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colors3.xml" ContentType="application/vnd.ms-office.chartcolorstyle+xml"/>
  <Override PartName="/word/charts/colors4.xml" ContentType="application/vnd.ms-office.chartcolorstyle+xml"/>
  <Override PartName="/word/charts/colors5.xml" ContentType="application/vnd.ms-office.chartcolorstyle+xml"/>
  <Override PartName="/word/charts/style1.xml" ContentType="application/vnd.ms-office.chartstyle+xml"/>
  <Override PartName="/word/charts/style2.xml" ContentType="application/vnd.ms-office.chartstyle+xml"/>
  <Override PartName="/word/charts/style3.xml" ContentType="application/vnd.ms-office.chartstyle+xml"/>
  <Override PartName="/word/charts/style4.xml" ContentType="application/vnd.ms-office.chartstyle+xml"/>
  <Override PartName="/word/charts/style5.xml" ContentType="application/vnd.ms-office.chartstyle+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BB34DAF">
      <w:pPr>
        <w:pStyle w:val="21"/>
        <w:ind w:left="0" w:leftChars="0" w:firstLine="0" w:firstLineChars="0"/>
        <w:rPr>
          <w:rFonts w:hint="default" w:ascii="Times New Roman" w:hAnsi="Times New Roman" w:eastAsia="宋体" w:cs="Times New Roman"/>
          <w:bCs/>
          <w:color w:val="000000" w:themeColor="text1"/>
          <w:sz w:val="36"/>
          <w:szCs w:val="36"/>
          <w:highlight w:val="yellow"/>
          <w:lang w:val="en-US" w:eastAsia="zh-CN"/>
          <w14:textFill>
            <w14:solidFill>
              <w14:schemeClr w14:val="tx1"/>
            </w14:solidFill>
          </w14:textFill>
        </w:rPr>
      </w:pPr>
    </w:p>
    <w:p w14:paraId="3CD5BB9A">
      <w:pPr>
        <w:pStyle w:val="21"/>
        <w:rPr>
          <w:rFonts w:hint="default" w:ascii="Times New Roman" w:hAnsi="Times New Roman" w:eastAsia="宋体" w:cs="Times New Roman"/>
          <w:bCs/>
          <w:color w:val="000000" w:themeColor="text1"/>
          <w:sz w:val="36"/>
          <w:szCs w:val="36"/>
          <w:highlight w:val="yellow"/>
          <w14:textFill>
            <w14:solidFill>
              <w14:schemeClr w14:val="tx1"/>
            </w14:solidFill>
          </w14:textFill>
        </w:rPr>
      </w:pPr>
    </w:p>
    <w:p w14:paraId="03CF190E">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b/>
          <w:color w:val="000000" w:themeColor="text1"/>
          <w:spacing w:val="30"/>
          <w:sz w:val="36"/>
          <w:highlight w:val="none"/>
          <w:lang w:eastAsia="zh-CN"/>
          <w14:textFill>
            <w14:solidFill>
              <w14:schemeClr w14:val="tx1"/>
            </w14:solidFill>
          </w14:textFill>
        </w:rPr>
      </w:pPr>
      <w:r>
        <w:rPr>
          <w:rFonts w:hint="default" w:ascii="Times New Roman" w:hAnsi="Times New Roman" w:eastAsia="宋体" w:cs="Times New Roman"/>
          <w:b/>
          <w:color w:val="000000" w:themeColor="text1"/>
          <w:spacing w:val="30"/>
          <w:sz w:val="36"/>
          <w:highlight w:val="none"/>
          <w:lang w:eastAsia="zh-CN"/>
          <w14:textFill>
            <w14:solidFill>
              <w14:schemeClr w14:val="tx1"/>
            </w14:solidFill>
          </w14:textFill>
        </w:rPr>
        <w:t>唐山市曹妃甸区垦丰家居产业园区</w:t>
      </w:r>
    </w:p>
    <w:p w14:paraId="6F20CEC8">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b/>
          <w:color w:val="000000" w:themeColor="text1"/>
          <w:spacing w:val="30"/>
          <w:sz w:val="36"/>
          <w:highlight w:val="none"/>
          <w:lang w:eastAsia="zh-CN"/>
          <w14:textFill>
            <w14:solidFill>
              <w14:schemeClr w14:val="tx1"/>
            </w14:solidFill>
          </w14:textFill>
        </w:rPr>
      </w:pPr>
      <w:r>
        <w:rPr>
          <w:rFonts w:hint="default" w:ascii="Times New Roman" w:hAnsi="Times New Roman" w:eastAsia="宋体" w:cs="Times New Roman"/>
          <w:b/>
          <w:color w:val="000000" w:themeColor="text1"/>
          <w:spacing w:val="30"/>
          <w:sz w:val="36"/>
          <w:highlight w:val="none"/>
          <w:lang w:eastAsia="zh-CN"/>
          <w14:textFill>
            <w14:solidFill>
              <w14:schemeClr w14:val="tx1"/>
            </w14:solidFill>
          </w14:textFill>
        </w:rPr>
        <w:t>新建污水处理厂工程</w:t>
      </w:r>
    </w:p>
    <w:p w14:paraId="0D87BAED">
      <w:pPr>
        <w:keepNext w:val="0"/>
        <w:keepLines w:val="0"/>
        <w:pageBreakBefore w:val="0"/>
        <w:widowControl w:val="0"/>
        <w:kinsoku/>
        <w:wordWrap/>
        <w:overflowPunct/>
        <w:topLinePunct w:val="0"/>
        <w:autoSpaceDE/>
        <w:autoSpaceDN/>
        <w:bidi w:val="0"/>
        <w:adjustRightInd/>
        <w:snapToGrid/>
        <w:spacing w:line="960" w:lineRule="exact"/>
        <w:ind w:firstLine="0" w:firstLineChars="0"/>
        <w:jc w:val="center"/>
        <w:textAlignment w:val="auto"/>
        <w:rPr>
          <w:rFonts w:hint="default" w:ascii="Times New Roman" w:hAnsi="Times New Roman" w:eastAsia="宋体" w:cs="Times New Roman"/>
          <w:b/>
          <w:color w:val="000000" w:themeColor="text1"/>
          <w:spacing w:val="32"/>
          <w:sz w:val="72"/>
          <w:szCs w:val="72"/>
          <w:highlight w:val="none"/>
          <w14:textFill>
            <w14:solidFill>
              <w14:schemeClr w14:val="tx1"/>
            </w14:solidFill>
          </w14:textFill>
        </w:rPr>
      </w:pPr>
      <w:r>
        <w:rPr>
          <w:rFonts w:hint="default" w:ascii="Times New Roman" w:hAnsi="Times New Roman" w:eastAsia="宋体" w:cs="Times New Roman"/>
          <w:b/>
          <w:color w:val="000000" w:themeColor="text1"/>
          <w:spacing w:val="32"/>
          <w:sz w:val="72"/>
          <w:szCs w:val="72"/>
          <w:highlight w:val="none"/>
          <w14:textFill>
            <w14:solidFill>
              <w14:schemeClr w14:val="tx1"/>
            </w14:solidFill>
          </w14:textFill>
        </w:rPr>
        <w:t>环境影响</w:t>
      </w:r>
      <w:bookmarkStart w:id="463" w:name="_GoBack"/>
      <w:bookmarkEnd w:id="463"/>
      <w:r>
        <w:rPr>
          <w:rFonts w:hint="default" w:ascii="Times New Roman" w:hAnsi="Times New Roman" w:eastAsia="宋体" w:cs="Times New Roman"/>
          <w:b/>
          <w:color w:val="000000" w:themeColor="text1"/>
          <w:spacing w:val="32"/>
          <w:sz w:val="72"/>
          <w:szCs w:val="72"/>
          <w:highlight w:val="none"/>
          <w14:textFill>
            <w14:solidFill>
              <w14:schemeClr w14:val="tx1"/>
            </w14:solidFill>
          </w14:textFill>
        </w:rPr>
        <w:t>报告书</w:t>
      </w:r>
    </w:p>
    <w:p w14:paraId="677F8304">
      <w:pPr>
        <w:keepNext w:val="0"/>
        <w:keepLines w:val="0"/>
        <w:pageBreakBefore w:val="0"/>
        <w:widowControl w:val="0"/>
        <w:kinsoku/>
        <w:wordWrap/>
        <w:overflowPunct/>
        <w:topLinePunct w:val="0"/>
        <w:autoSpaceDE/>
        <w:autoSpaceDN/>
        <w:bidi w:val="0"/>
        <w:adjustRightInd/>
        <w:snapToGrid/>
        <w:spacing w:line="960" w:lineRule="exact"/>
        <w:ind w:firstLine="0" w:firstLineChars="0"/>
        <w:jc w:val="center"/>
        <w:textAlignment w:val="auto"/>
        <w:rPr>
          <w:rFonts w:hint="default" w:ascii="Times New Roman" w:hAnsi="Times New Roman" w:eastAsia="宋体" w:cs="Times New Roman"/>
          <w:bCs/>
          <w:color w:val="000000" w:themeColor="text1"/>
          <w:spacing w:val="30"/>
          <w:sz w:val="36"/>
          <w:szCs w:val="36"/>
          <w:highlight w:val="none"/>
          <w14:textFill>
            <w14:solidFill>
              <w14:schemeClr w14:val="tx1"/>
            </w14:solidFill>
          </w14:textFill>
        </w:rPr>
      </w:pPr>
      <w:bookmarkStart w:id="0" w:name="_Toc498051391"/>
      <w:bookmarkStart w:id="1" w:name="_Toc498876766"/>
      <w:bookmarkStart w:id="2" w:name="_Toc436407157"/>
      <w:r>
        <w:rPr>
          <w:rFonts w:hint="default" w:ascii="Times New Roman" w:hAnsi="Times New Roman" w:eastAsia="宋体" w:cs="Times New Roman"/>
          <w:b/>
          <w:color w:val="000000" w:themeColor="text1"/>
          <w:spacing w:val="32"/>
          <w:sz w:val="36"/>
          <w:szCs w:val="36"/>
          <w:highlight w:val="none"/>
          <w14:textFill>
            <w14:solidFill>
              <w14:schemeClr w14:val="tx1"/>
            </w14:solidFill>
          </w14:textFill>
        </w:rPr>
        <w:t>（报</w:t>
      </w:r>
      <w:r>
        <w:rPr>
          <w:rFonts w:hint="eastAsia" w:cs="Times New Roman"/>
          <w:b/>
          <w:color w:val="000000" w:themeColor="text1"/>
          <w:spacing w:val="32"/>
          <w:sz w:val="36"/>
          <w:szCs w:val="36"/>
          <w:highlight w:val="none"/>
          <w:lang w:val="en-US" w:eastAsia="zh-CN"/>
          <w14:textFill>
            <w14:solidFill>
              <w14:schemeClr w14:val="tx1"/>
            </w14:solidFill>
          </w14:textFill>
        </w:rPr>
        <w:t>批</w:t>
      </w:r>
      <w:r>
        <w:rPr>
          <w:rFonts w:hint="default" w:ascii="Times New Roman" w:hAnsi="Times New Roman" w:eastAsia="宋体" w:cs="Times New Roman"/>
          <w:b/>
          <w:color w:val="000000" w:themeColor="text1"/>
          <w:spacing w:val="32"/>
          <w:sz w:val="36"/>
          <w:szCs w:val="36"/>
          <w:highlight w:val="none"/>
          <w14:textFill>
            <w14:solidFill>
              <w14:schemeClr w14:val="tx1"/>
            </w14:solidFill>
          </w14:textFill>
        </w:rPr>
        <w:t>版）</w:t>
      </w:r>
      <w:bookmarkEnd w:id="0"/>
      <w:bookmarkEnd w:id="1"/>
      <w:bookmarkEnd w:id="2"/>
    </w:p>
    <w:p w14:paraId="58689E6A">
      <w:pPr>
        <w:spacing w:line="520" w:lineRule="exact"/>
        <w:jc w:val="center"/>
        <w:rPr>
          <w:rFonts w:hint="default" w:ascii="Times New Roman" w:hAnsi="Times New Roman" w:eastAsia="宋体" w:cs="Times New Roman"/>
          <w:bCs/>
          <w:color w:val="000000" w:themeColor="text1"/>
          <w:spacing w:val="30"/>
          <w:sz w:val="36"/>
          <w:highlight w:val="none"/>
          <w14:textFill>
            <w14:solidFill>
              <w14:schemeClr w14:val="tx1"/>
            </w14:solidFill>
          </w14:textFill>
        </w:rPr>
      </w:pPr>
    </w:p>
    <w:p w14:paraId="52803BB7">
      <w:pPr>
        <w:spacing w:line="520" w:lineRule="exact"/>
        <w:jc w:val="center"/>
        <w:rPr>
          <w:rFonts w:hint="default" w:ascii="Times New Roman" w:hAnsi="Times New Roman" w:eastAsia="宋体" w:cs="Times New Roman"/>
          <w:bCs/>
          <w:color w:val="000000" w:themeColor="text1"/>
          <w:spacing w:val="30"/>
          <w:sz w:val="36"/>
          <w:highlight w:val="none"/>
          <w14:textFill>
            <w14:solidFill>
              <w14:schemeClr w14:val="tx1"/>
            </w14:solidFill>
          </w14:textFill>
        </w:rPr>
      </w:pPr>
    </w:p>
    <w:p w14:paraId="2EC09EE2">
      <w:pPr>
        <w:spacing w:line="520" w:lineRule="exact"/>
        <w:jc w:val="center"/>
        <w:rPr>
          <w:rFonts w:hint="default" w:ascii="Times New Roman" w:hAnsi="Times New Roman" w:eastAsia="宋体" w:cs="Times New Roman"/>
          <w:bCs/>
          <w:color w:val="000000" w:themeColor="text1"/>
          <w:spacing w:val="30"/>
          <w:sz w:val="36"/>
          <w:highlight w:val="none"/>
          <w14:textFill>
            <w14:solidFill>
              <w14:schemeClr w14:val="tx1"/>
            </w14:solidFill>
          </w14:textFill>
        </w:rPr>
      </w:pPr>
    </w:p>
    <w:p w14:paraId="241137A6">
      <w:pPr>
        <w:spacing w:line="520" w:lineRule="exact"/>
        <w:jc w:val="center"/>
        <w:rPr>
          <w:rFonts w:hint="default" w:ascii="Times New Roman" w:hAnsi="Times New Roman" w:eastAsia="宋体" w:cs="Times New Roman"/>
          <w:bCs/>
          <w:color w:val="000000" w:themeColor="text1"/>
          <w:spacing w:val="30"/>
          <w:sz w:val="36"/>
          <w:highlight w:val="none"/>
          <w14:textFill>
            <w14:solidFill>
              <w14:schemeClr w14:val="tx1"/>
            </w14:solidFill>
          </w14:textFill>
        </w:rPr>
      </w:pPr>
    </w:p>
    <w:p w14:paraId="63297B42">
      <w:pPr>
        <w:spacing w:line="520" w:lineRule="exact"/>
        <w:rPr>
          <w:rFonts w:hint="default" w:ascii="Times New Roman" w:hAnsi="Times New Roman" w:eastAsia="宋体" w:cs="Times New Roman"/>
          <w:color w:val="000000" w:themeColor="text1"/>
          <w:sz w:val="28"/>
          <w:highlight w:val="none"/>
          <w14:textFill>
            <w14:solidFill>
              <w14:schemeClr w14:val="tx1"/>
            </w14:solidFill>
          </w14:textFill>
        </w:rPr>
      </w:pPr>
    </w:p>
    <w:p w14:paraId="76DAE3C3">
      <w:pPr>
        <w:spacing w:line="520" w:lineRule="exact"/>
        <w:rPr>
          <w:rFonts w:hint="default" w:ascii="Times New Roman" w:hAnsi="Times New Roman" w:eastAsia="宋体" w:cs="Times New Roman"/>
          <w:color w:val="000000" w:themeColor="text1"/>
          <w:sz w:val="28"/>
          <w:highlight w:val="none"/>
          <w14:textFill>
            <w14:solidFill>
              <w14:schemeClr w14:val="tx1"/>
            </w14:solidFill>
          </w14:textFill>
        </w:rPr>
      </w:pPr>
    </w:p>
    <w:p w14:paraId="0193528D">
      <w:pPr>
        <w:spacing w:line="580" w:lineRule="exact"/>
        <w:ind w:firstLine="2814" w:firstLineChars="1005"/>
        <w:rPr>
          <w:rFonts w:hint="default" w:ascii="Times New Roman" w:hAnsi="Times New Roman" w:eastAsia="宋体" w:cs="Times New Roman"/>
          <w:color w:val="000000" w:themeColor="text1"/>
          <w:sz w:val="28"/>
          <w:highlight w:val="none"/>
          <w14:textFill>
            <w14:solidFill>
              <w14:schemeClr w14:val="tx1"/>
            </w14:solidFill>
          </w14:textFill>
        </w:rPr>
      </w:pPr>
    </w:p>
    <w:p w14:paraId="6C43B642">
      <w:pPr>
        <w:pStyle w:val="21"/>
        <w:rPr>
          <w:rFonts w:hint="default" w:ascii="Times New Roman" w:hAnsi="Times New Roman" w:eastAsia="宋体" w:cs="Times New Roman"/>
          <w:color w:val="000000" w:themeColor="text1"/>
          <w:sz w:val="28"/>
          <w:highlight w:val="none"/>
          <w14:textFill>
            <w14:solidFill>
              <w14:schemeClr w14:val="tx1"/>
            </w14:solidFill>
          </w14:textFill>
        </w:rPr>
      </w:pPr>
    </w:p>
    <w:p w14:paraId="2F87E8CE">
      <w:pPr>
        <w:pStyle w:val="21"/>
        <w:rPr>
          <w:rFonts w:hint="default" w:ascii="Times New Roman" w:hAnsi="Times New Roman" w:eastAsia="宋体" w:cs="Times New Roman"/>
          <w:color w:val="000000" w:themeColor="text1"/>
          <w:sz w:val="28"/>
          <w:highlight w:val="none"/>
          <w14:textFill>
            <w14:solidFill>
              <w14:schemeClr w14:val="tx1"/>
            </w14:solidFill>
          </w14:textFill>
        </w:rPr>
      </w:pPr>
    </w:p>
    <w:p w14:paraId="4AC2C82F">
      <w:pPr>
        <w:pStyle w:val="21"/>
        <w:ind w:left="0" w:leftChars="0" w:firstLine="0" w:firstLineChars="0"/>
        <w:rPr>
          <w:rFonts w:hint="default" w:ascii="Times New Roman" w:hAnsi="Times New Roman" w:eastAsia="宋体" w:cs="Times New Roman"/>
          <w:color w:val="000000" w:themeColor="text1"/>
          <w:sz w:val="28"/>
          <w:highlight w:val="none"/>
          <w14:textFill>
            <w14:solidFill>
              <w14:schemeClr w14:val="tx1"/>
            </w14:solidFill>
          </w14:textFill>
        </w:rPr>
      </w:pPr>
    </w:p>
    <w:p w14:paraId="58175397">
      <w:pPr>
        <w:pStyle w:val="21"/>
        <w:rPr>
          <w:rFonts w:hint="default" w:ascii="Times New Roman" w:hAnsi="Times New Roman" w:eastAsia="宋体" w:cs="Times New Roman"/>
          <w:color w:val="000000" w:themeColor="text1"/>
          <w:sz w:val="28"/>
          <w:highlight w:val="none"/>
          <w14:textFill>
            <w14:solidFill>
              <w14:schemeClr w14:val="tx1"/>
            </w14:solidFill>
          </w14:textFill>
        </w:rPr>
      </w:pPr>
    </w:p>
    <w:p w14:paraId="5BA0749F">
      <w:pPr>
        <w:rPr>
          <w:rFonts w:hint="default" w:ascii="Times New Roman" w:hAnsi="Times New Roman" w:eastAsia="宋体" w:cs="Times New Roman"/>
          <w:color w:val="000000" w:themeColor="text1"/>
          <w:sz w:val="28"/>
          <w:highlight w:val="none"/>
          <w14:textFill>
            <w14:solidFill>
              <w14:schemeClr w14:val="tx1"/>
            </w14:solidFill>
          </w14:textFill>
        </w:rPr>
      </w:pPr>
    </w:p>
    <w:p w14:paraId="1750CA32">
      <w:pPr>
        <w:pStyle w:val="21"/>
        <w:rPr>
          <w:rFonts w:hint="default" w:ascii="Times New Roman" w:hAnsi="Times New Roman" w:eastAsia="宋体" w:cs="Times New Roman"/>
          <w:color w:val="000000" w:themeColor="text1"/>
          <w:highlight w:val="none"/>
          <w14:textFill>
            <w14:solidFill>
              <w14:schemeClr w14:val="tx1"/>
            </w14:solidFill>
          </w14:textFill>
        </w:rPr>
      </w:pPr>
    </w:p>
    <w:tbl>
      <w:tblPr>
        <w:tblStyle w:val="47"/>
        <w:tblW w:w="0" w:type="auto"/>
        <w:jc w:val="center"/>
        <w:tblLayout w:type="fixed"/>
        <w:tblCellMar>
          <w:top w:w="0" w:type="dxa"/>
          <w:left w:w="0" w:type="dxa"/>
          <w:bottom w:w="0" w:type="dxa"/>
          <w:right w:w="0" w:type="dxa"/>
        </w:tblCellMar>
      </w:tblPr>
      <w:tblGrid>
        <w:gridCol w:w="1990"/>
        <w:gridCol w:w="5411"/>
      </w:tblGrid>
      <w:tr w14:paraId="2B5B05F7">
        <w:trPr>
          <w:trHeight w:val="90" w:hRule="atLeast"/>
          <w:jc w:val="center"/>
        </w:trPr>
        <w:tc>
          <w:tcPr>
            <w:tcW w:w="1990" w:type="dxa"/>
            <w:noWrap w:val="0"/>
            <w:vAlign w:val="center"/>
          </w:tcPr>
          <w:p w14:paraId="0548C3A3">
            <w:pPr>
              <w:keepNext w:val="0"/>
              <w:keepLines w:val="0"/>
              <w:pageBreakBefore w:val="0"/>
              <w:widowControl w:val="0"/>
              <w:kinsoku/>
              <w:wordWrap/>
              <w:overflowPunct/>
              <w:topLinePunct w:val="0"/>
              <w:autoSpaceDE/>
              <w:autoSpaceDN/>
              <w:bidi w:val="0"/>
              <w:adjustRightInd/>
              <w:snapToGrid/>
              <w:spacing w:line="480" w:lineRule="exact"/>
              <w:ind w:firstLine="0" w:firstLineChars="0"/>
              <w:jc w:val="center"/>
              <w:textAlignment w:val="auto"/>
              <w:rPr>
                <w:rFonts w:hint="default" w:ascii="Times New Roman" w:hAnsi="Times New Roman" w:eastAsia="宋体" w:cs="Times New Roman"/>
                <w:b w:val="0"/>
                <w:bCs w:val="0"/>
                <w:color w:val="000000" w:themeColor="text1"/>
                <w:sz w:val="30"/>
                <w:highlight w:val="none"/>
                <w14:textFill>
                  <w14:solidFill>
                    <w14:schemeClr w14:val="tx1"/>
                  </w14:solidFill>
                </w14:textFill>
              </w:rPr>
            </w:pPr>
            <w:bookmarkStart w:id="3" w:name="OLE_LINK52" w:colFirst="1" w:colLast="1"/>
            <w:r>
              <w:rPr>
                <w:rFonts w:hint="default" w:ascii="Times New Roman" w:hAnsi="Times New Roman" w:eastAsia="宋体" w:cs="Times New Roman"/>
                <w:b w:val="0"/>
                <w:bCs w:val="0"/>
                <w:color w:val="000000" w:themeColor="text1"/>
                <w:sz w:val="30"/>
                <w:highlight w:val="none"/>
                <w14:textFill>
                  <w14:solidFill>
                    <w14:schemeClr w14:val="tx1"/>
                  </w14:solidFill>
                </w14:textFill>
              </w:rPr>
              <w:t>建设单位：</w:t>
            </w:r>
          </w:p>
        </w:tc>
        <w:tc>
          <w:tcPr>
            <w:tcW w:w="5411" w:type="dxa"/>
            <w:noWrap w:val="0"/>
            <w:vAlign w:val="center"/>
          </w:tcPr>
          <w:p w14:paraId="1D6957E8">
            <w:pPr>
              <w:keepNext w:val="0"/>
              <w:keepLines w:val="0"/>
              <w:pageBreakBefore w:val="0"/>
              <w:widowControl w:val="0"/>
              <w:kinsoku/>
              <w:wordWrap/>
              <w:overflowPunct/>
              <w:topLinePunct w:val="0"/>
              <w:autoSpaceDE/>
              <w:autoSpaceDN/>
              <w:bidi w:val="0"/>
              <w:adjustRightInd/>
              <w:snapToGrid/>
              <w:spacing w:line="480" w:lineRule="exact"/>
              <w:ind w:firstLine="0" w:firstLineChars="0"/>
              <w:jc w:val="center"/>
              <w:textAlignment w:val="auto"/>
              <w:rPr>
                <w:rFonts w:hint="default" w:ascii="Times New Roman" w:hAnsi="Times New Roman" w:eastAsia="宋体" w:cs="Times New Roman"/>
                <w:b w:val="0"/>
                <w:bCs w:val="0"/>
                <w:color w:val="000000" w:themeColor="text1"/>
                <w:spacing w:val="-12"/>
                <w:kern w:val="0"/>
                <w:sz w:val="30"/>
                <w:szCs w:val="30"/>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pacing w:val="-12"/>
                <w:kern w:val="0"/>
                <w:sz w:val="30"/>
                <w:szCs w:val="30"/>
                <w:highlight w:val="none"/>
                <w:lang w:val="en-US" w:eastAsia="zh-CN"/>
                <w14:textFill>
                  <w14:solidFill>
                    <w14:schemeClr w14:val="tx1"/>
                  </w14:solidFill>
                </w14:textFill>
              </w:rPr>
              <w:t>唐山市曹妃甸区第十一农场</w:t>
            </w:r>
          </w:p>
        </w:tc>
      </w:tr>
      <w:bookmarkEnd w:id="3"/>
      <w:tr w14:paraId="4BE3B10D">
        <w:tblPrEx>
          <w:tblCellMar>
            <w:top w:w="0" w:type="dxa"/>
            <w:left w:w="0" w:type="dxa"/>
            <w:bottom w:w="0" w:type="dxa"/>
            <w:right w:w="0" w:type="dxa"/>
          </w:tblCellMar>
        </w:tblPrEx>
        <w:trPr>
          <w:trHeight w:val="510" w:hRule="atLeast"/>
          <w:jc w:val="center"/>
        </w:trPr>
        <w:tc>
          <w:tcPr>
            <w:tcW w:w="1990" w:type="dxa"/>
            <w:noWrap w:val="0"/>
            <w:vAlign w:val="center"/>
          </w:tcPr>
          <w:p w14:paraId="6B62426D">
            <w:pPr>
              <w:keepNext w:val="0"/>
              <w:keepLines w:val="0"/>
              <w:pageBreakBefore w:val="0"/>
              <w:widowControl w:val="0"/>
              <w:kinsoku/>
              <w:wordWrap/>
              <w:overflowPunct/>
              <w:topLinePunct w:val="0"/>
              <w:autoSpaceDE/>
              <w:autoSpaceDN/>
              <w:bidi w:val="0"/>
              <w:adjustRightInd/>
              <w:snapToGrid/>
              <w:spacing w:line="480" w:lineRule="exact"/>
              <w:ind w:firstLine="0" w:firstLineChars="0"/>
              <w:jc w:val="center"/>
              <w:textAlignment w:val="auto"/>
              <w:rPr>
                <w:rFonts w:hint="default" w:ascii="Times New Roman" w:hAnsi="Times New Roman" w:eastAsia="宋体" w:cs="Times New Roman"/>
                <w:b w:val="0"/>
                <w:bCs w:val="0"/>
                <w:color w:val="000000" w:themeColor="text1"/>
                <w:sz w:val="30"/>
                <w:highlight w:val="none"/>
                <w14:textFill>
                  <w14:solidFill>
                    <w14:schemeClr w14:val="tx1"/>
                  </w14:solidFill>
                </w14:textFill>
              </w:rPr>
            </w:pPr>
            <w:r>
              <w:rPr>
                <w:rFonts w:hint="default" w:ascii="Times New Roman" w:hAnsi="Times New Roman" w:eastAsia="宋体" w:cs="Times New Roman"/>
                <w:b w:val="0"/>
                <w:bCs w:val="0"/>
                <w:color w:val="000000" w:themeColor="text1"/>
                <w:sz w:val="30"/>
                <w:highlight w:val="none"/>
                <w14:textFill>
                  <w14:solidFill>
                    <w14:schemeClr w14:val="tx1"/>
                  </w14:solidFill>
                </w14:textFill>
              </w:rPr>
              <w:t>环评单位：</w:t>
            </w:r>
          </w:p>
        </w:tc>
        <w:tc>
          <w:tcPr>
            <w:tcW w:w="5411" w:type="dxa"/>
            <w:noWrap w:val="0"/>
            <w:vAlign w:val="center"/>
          </w:tcPr>
          <w:p w14:paraId="5750AA50">
            <w:pPr>
              <w:keepNext w:val="0"/>
              <w:keepLines w:val="0"/>
              <w:pageBreakBefore w:val="0"/>
              <w:widowControl w:val="0"/>
              <w:kinsoku/>
              <w:wordWrap/>
              <w:overflowPunct/>
              <w:topLinePunct w:val="0"/>
              <w:autoSpaceDE/>
              <w:autoSpaceDN/>
              <w:bidi w:val="0"/>
              <w:adjustRightInd/>
              <w:snapToGrid/>
              <w:spacing w:line="480" w:lineRule="exact"/>
              <w:ind w:firstLine="0" w:firstLineChars="0"/>
              <w:jc w:val="center"/>
              <w:textAlignment w:val="auto"/>
              <w:rPr>
                <w:rFonts w:hint="default" w:ascii="Times New Roman" w:hAnsi="Times New Roman" w:eastAsia="宋体" w:cs="Times New Roman"/>
                <w:b w:val="0"/>
                <w:bCs w:val="0"/>
                <w:color w:val="000000" w:themeColor="text1"/>
                <w:spacing w:val="-12"/>
                <w:kern w:val="0"/>
                <w:sz w:val="30"/>
                <w:szCs w:val="30"/>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pacing w:val="-12"/>
                <w:kern w:val="0"/>
                <w:sz w:val="30"/>
                <w:szCs w:val="30"/>
                <w:highlight w:val="none"/>
                <w:lang w:val="en-US" w:eastAsia="zh-CN"/>
                <w14:textFill>
                  <w14:solidFill>
                    <w14:schemeClr w14:val="tx1"/>
                  </w14:solidFill>
                </w14:textFill>
              </w:rPr>
              <w:t>唐山路红科技有限公司</w:t>
            </w:r>
          </w:p>
        </w:tc>
      </w:tr>
      <w:tr w14:paraId="0F05D5FC">
        <w:tblPrEx>
          <w:tblCellMar>
            <w:top w:w="0" w:type="dxa"/>
            <w:left w:w="0" w:type="dxa"/>
            <w:bottom w:w="0" w:type="dxa"/>
            <w:right w:w="0" w:type="dxa"/>
          </w:tblCellMar>
        </w:tblPrEx>
        <w:trPr>
          <w:trHeight w:val="510" w:hRule="atLeast"/>
          <w:jc w:val="center"/>
        </w:trPr>
        <w:tc>
          <w:tcPr>
            <w:tcW w:w="1990" w:type="dxa"/>
            <w:noWrap w:val="0"/>
            <w:vAlign w:val="center"/>
          </w:tcPr>
          <w:p w14:paraId="18C52A43">
            <w:pPr>
              <w:keepNext w:val="0"/>
              <w:keepLines w:val="0"/>
              <w:pageBreakBefore w:val="0"/>
              <w:widowControl w:val="0"/>
              <w:kinsoku/>
              <w:wordWrap/>
              <w:overflowPunct/>
              <w:topLinePunct w:val="0"/>
              <w:autoSpaceDE/>
              <w:autoSpaceDN/>
              <w:bidi w:val="0"/>
              <w:adjustRightInd/>
              <w:snapToGrid/>
              <w:spacing w:line="480" w:lineRule="exact"/>
              <w:ind w:firstLine="0" w:firstLineChars="0"/>
              <w:jc w:val="center"/>
              <w:textAlignment w:val="auto"/>
              <w:rPr>
                <w:rFonts w:hint="default" w:ascii="Times New Roman" w:hAnsi="Times New Roman" w:eastAsia="宋体" w:cs="Times New Roman"/>
                <w:b w:val="0"/>
                <w:bCs w:val="0"/>
                <w:color w:val="000000" w:themeColor="text1"/>
                <w:sz w:val="28"/>
                <w:szCs w:val="30"/>
                <w:highlight w:val="none"/>
                <w14:textFill>
                  <w14:solidFill>
                    <w14:schemeClr w14:val="tx1"/>
                  </w14:solidFill>
                </w14:textFill>
              </w:rPr>
            </w:pPr>
            <w:r>
              <w:rPr>
                <w:rFonts w:hint="default" w:ascii="Times New Roman" w:hAnsi="Times New Roman" w:eastAsia="宋体" w:cs="Times New Roman"/>
                <w:b w:val="0"/>
                <w:bCs w:val="0"/>
                <w:color w:val="000000" w:themeColor="text1"/>
                <w:sz w:val="30"/>
                <w:highlight w:val="none"/>
                <w14:textFill>
                  <w14:solidFill>
                    <w14:schemeClr w14:val="tx1"/>
                  </w14:solidFill>
                </w14:textFill>
              </w:rPr>
              <w:t>编制时间：</w:t>
            </w:r>
          </w:p>
        </w:tc>
        <w:tc>
          <w:tcPr>
            <w:tcW w:w="5411" w:type="dxa"/>
            <w:noWrap w:val="0"/>
            <w:vAlign w:val="center"/>
          </w:tcPr>
          <w:p w14:paraId="2A276731">
            <w:pPr>
              <w:keepNext w:val="0"/>
              <w:keepLines w:val="0"/>
              <w:pageBreakBefore w:val="0"/>
              <w:widowControl w:val="0"/>
              <w:kinsoku/>
              <w:wordWrap/>
              <w:overflowPunct/>
              <w:topLinePunct w:val="0"/>
              <w:autoSpaceDE/>
              <w:autoSpaceDN/>
              <w:bidi w:val="0"/>
              <w:adjustRightInd/>
              <w:snapToGrid/>
              <w:spacing w:line="480" w:lineRule="exact"/>
              <w:ind w:firstLine="0" w:firstLineChars="0"/>
              <w:jc w:val="center"/>
              <w:textAlignment w:val="auto"/>
              <w:rPr>
                <w:rFonts w:hint="default" w:ascii="Times New Roman" w:hAnsi="Times New Roman" w:eastAsia="宋体" w:cs="Times New Roman"/>
                <w:b w:val="0"/>
                <w:bCs w:val="0"/>
                <w:color w:val="000000" w:themeColor="text1"/>
                <w:sz w:val="28"/>
                <w:szCs w:val="30"/>
                <w:highlight w:val="none"/>
                <w14:textFill>
                  <w14:solidFill>
                    <w14:schemeClr w14:val="tx1"/>
                  </w14:solidFill>
                </w14:textFill>
              </w:rPr>
            </w:pPr>
            <w:r>
              <w:rPr>
                <w:rFonts w:hint="default" w:ascii="Times New Roman" w:hAnsi="Times New Roman" w:eastAsia="宋体" w:cs="Times New Roman"/>
                <w:b w:val="0"/>
                <w:bCs w:val="0"/>
                <w:color w:val="000000" w:themeColor="text1"/>
                <w:kern w:val="0"/>
                <w:sz w:val="30"/>
                <w:szCs w:val="30"/>
                <w:highlight w:val="none"/>
                <w:lang w:eastAsia="zh-CN"/>
                <w14:textFill>
                  <w14:solidFill>
                    <w14:schemeClr w14:val="tx1"/>
                  </w14:solidFill>
                </w14:textFill>
              </w:rPr>
              <w:t>二〇二</w:t>
            </w:r>
            <w:r>
              <w:rPr>
                <w:rFonts w:hint="default" w:ascii="Times New Roman" w:hAnsi="Times New Roman" w:eastAsia="宋体" w:cs="Times New Roman"/>
                <w:b w:val="0"/>
                <w:bCs w:val="0"/>
                <w:color w:val="000000" w:themeColor="text1"/>
                <w:kern w:val="0"/>
                <w:sz w:val="30"/>
                <w:szCs w:val="30"/>
                <w:highlight w:val="none"/>
                <w:lang w:val="en-US" w:eastAsia="zh-CN"/>
                <w14:textFill>
                  <w14:solidFill>
                    <w14:schemeClr w14:val="tx1"/>
                  </w14:solidFill>
                </w14:textFill>
              </w:rPr>
              <w:t>四</w:t>
            </w:r>
            <w:r>
              <w:rPr>
                <w:rFonts w:hint="default" w:ascii="Times New Roman" w:hAnsi="Times New Roman" w:eastAsia="宋体" w:cs="Times New Roman"/>
                <w:b w:val="0"/>
                <w:bCs w:val="0"/>
                <w:color w:val="000000" w:themeColor="text1"/>
                <w:kern w:val="0"/>
                <w:sz w:val="30"/>
                <w:szCs w:val="30"/>
                <w:highlight w:val="none"/>
                <w14:textFill>
                  <w14:solidFill>
                    <w14:schemeClr w14:val="tx1"/>
                  </w14:solidFill>
                </w14:textFill>
              </w:rPr>
              <w:t>年</w:t>
            </w:r>
            <w:r>
              <w:rPr>
                <w:rFonts w:hint="eastAsia" w:cs="Times New Roman"/>
                <w:b w:val="0"/>
                <w:bCs w:val="0"/>
                <w:color w:val="000000" w:themeColor="text1"/>
                <w:kern w:val="0"/>
                <w:sz w:val="30"/>
                <w:szCs w:val="30"/>
                <w:highlight w:val="none"/>
                <w:lang w:val="en-US" w:eastAsia="zh-CN"/>
                <w14:textFill>
                  <w14:solidFill>
                    <w14:schemeClr w14:val="tx1"/>
                  </w14:solidFill>
                </w14:textFill>
              </w:rPr>
              <w:t>十一</w:t>
            </w:r>
            <w:r>
              <w:rPr>
                <w:rFonts w:hint="default" w:ascii="Times New Roman" w:hAnsi="Times New Roman" w:eastAsia="宋体" w:cs="Times New Roman"/>
                <w:b w:val="0"/>
                <w:bCs w:val="0"/>
                <w:color w:val="000000" w:themeColor="text1"/>
                <w:kern w:val="0"/>
                <w:sz w:val="30"/>
                <w:szCs w:val="30"/>
                <w:highlight w:val="none"/>
                <w14:textFill>
                  <w14:solidFill>
                    <w14:schemeClr w14:val="tx1"/>
                  </w14:solidFill>
                </w14:textFill>
              </w:rPr>
              <w:t>月</w:t>
            </w:r>
          </w:p>
        </w:tc>
      </w:tr>
    </w:tbl>
    <w:p w14:paraId="1F5EABC3">
      <w:pPr>
        <w:pStyle w:val="21"/>
        <w:rPr>
          <w:rFonts w:hint="default" w:ascii="Times New Roman" w:hAnsi="Times New Roman" w:eastAsia="宋体" w:cs="Times New Roman"/>
          <w:color w:val="000000" w:themeColor="text1"/>
          <w:highlight w:val="yellow"/>
          <w14:textFill>
            <w14:solidFill>
              <w14:schemeClr w14:val="tx1"/>
            </w14:solidFill>
          </w14:textFill>
        </w:rPr>
      </w:pPr>
    </w:p>
    <w:p w14:paraId="776AF710">
      <w:pPr>
        <w:rPr>
          <w:rFonts w:hint="default" w:ascii="Times New Roman" w:hAnsi="Times New Roman" w:eastAsia="宋体" w:cs="Times New Roman"/>
        </w:rPr>
      </w:pPr>
    </w:p>
    <w:p w14:paraId="1A2B8210">
      <w:pPr>
        <w:spacing w:line="580" w:lineRule="exact"/>
        <w:ind w:firstLine="960" w:firstLineChars="300"/>
        <w:rPr>
          <w:rFonts w:hint="default" w:ascii="Times New Roman" w:hAnsi="Times New Roman" w:eastAsia="宋体" w:cs="Times New Roman"/>
          <w:color w:val="000000" w:themeColor="text1"/>
          <w:sz w:val="32"/>
          <w:highlight w:val="yellow"/>
          <w14:textFill>
            <w14:solidFill>
              <w14:schemeClr w14:val="tx1"/>
            </w14:solidFill>
          </w14:textFill>
        </w:rPr>
        <w:sectPr>
          <w:headerReference r:id="rId5" w:type="default"/>
          <w:headerReference r:id="rId6" w:type="even"/>
          <w:pgSz w:w="11906" w:h="16838"/>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p>
    <w:p w14:paraId="2159ECCA">
      <w:pPr>
        <w:pStyle w:val="34"/>
        <w:keepNext w:val="0"/>
        <w:keepLines w:val="0"/>
        <w:pageBreakBefore w:val="0"/>
        <w:widowControl w:val="0"/>
        <w:tabs>
          <w:tab w:val="right" w:leader="dot" w:pos="8306"/>
          <w:tab w:val="clear" w:pos="8296"/>
        </w:tabs>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000000" w:themeColor="text1"/>
          <w:kern w:val="0"/>
          <w:sz w:val="32"/>
          <w:szCs w:val="32"/>
          <w:highlight w:val="none"/>
          <w:lang w:val="en-US" w:eastAsia="zh-CN"/>
          <w14:textFill>
            <w14:solidFill>
              <w14:schemeClr w14:val="tx1"/>
            </w14:solidFill>
          </w14:textFill>
        </w:rPr>
        <w:sectPr>
          <w:headerReference r:id="rId7" w:type="default"/>
          <w:footerReference r:id="rId8" w:type="default"/>
          <w:pgSz w:w="11906" w:h="16838"/>
          <w:pgMar w:top="1417" w:right="1417" w:bottom="1417" w:left="1417" w:header="850" w:footer="992" w:gutter="0"/>
          <w:pgBorders>
            <w:top w:val="none" w:sz="0" w:space="0"/>
            <w:left w:val="none" w:sz="0" w:space="0"/>
            <w:bottom w:val="none" w:sz="0" w:space="0"/>
            <w:right w:val="none" w:sz="0" w:space="0"/>
          </w:pgBorders>
          <w:pgNumType w:fmt="decimal" w:start="1"/>
          <w:cols w:space="0" w:num="1"/>
          <w:rtlGutter w:val="0"/>
          <w:docGrid w:type="lines" w:linePitch="318" w:charSpace="0"/>
        </w:sectPr>
      </w:pPr>
    </w:p>
    <w:p w14:paraId="3870ECFB">
      <w:pPr>
        <w:pStyle w:val="34"/>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eastAsia="宋体" w:cs="Times New Roman"/>
          <w:color w:val="000000" w:themeColor="text1"/>
          <w:kern w:val="0"/>
          <w:sz w:val="32"/>
          <w:szCs w:val="32"/>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32"/>
          <w:szCs w:val="32"/>
          <w:highlight w:val="none"/>
          <w:lang w:val="en-US" w:eastAsia="zh-CN"/>
          <w14:textFill>
            <w14:solidFill>
              <w14:schemeClr w14:val="tx1"/>
            </w14:solidFill>
          </w14:textFill>
        </w:rPr>
        <w:t>目录</w:t>
      </w:r>
    </w:p>
    <w:p w14:paraId="7877C3CC">
      <w:pPr>
        <w:pStyle w:val="34"/>
        <w:keepNext w:val="0"/>
        <w:keepLines w:val="0"/>
        <w:pageBreakBefore w:val="0"/>
        <w:widowControl w:val="0"/>
        <w:tabs>
          <w:tab w:val="right" w:leader="dot" w:pos="9072"/>
          <w:tab w:val="clear" w:pos="8296"/>
        </w:tabs>
        <w:kinsoku/>
        <w:wordWrap/>
        <w:overflowPunct/>
        <w:topLinePunct w:val="0"/>
        <w:autoSpaceDE/>
        <w:autoSpaceDN/>
        <w:bidi w:val="0"/>
        <w:adjustRightInd/>
        <w:snapToGrid/>
        <w:spacing w:before="0" w:beforeLines="0" w:after="0" w:afterLines="0" w:line="460" w:lineRule="exact"/>
        <w:ind w:firstLine="0" w:firstLineChars="0"/>
        <w:textAlignment w:val="auto"/>
      </w:pPr>
      <w:r>
        <w:rPr>
          <w:rFonts w:hint="default" w:ascii="Times New Roman" w:hAnsi="Times New Roman" w:eastAsia="宋体" w:cs="Times New Roman"/>
          <w:color w:val="000000" w:themeColor="text1"/>
          <w:kern w:val="0"/>
          <w:sz w:val="24"/>
          <w:szCs w:val="24"/>
          <w:highlight w:val="yellow"/>
          <w14:textFill>
            <w14:solidFill>
              <w14:schemeClr w14:val="tx1"/>
            </w14:solidFill>
          </w14:textFill>
        </w:rPr>
        <w:fldChar w:fldCharType="begin"/>
      </w:r>
      <w:r>
        <w:rPr>
          <w:rFonts w:hint="default" w:ascii="Times New Roman" w:hAnsi="Times New Roman" w:eastAsia="宋体" w:cs="Times New Roman"/>
          <w:color w:val="000000" w:themeColor="text1"/>
          <w:kern w:val="0"/>
          <w:sz w:val="24"/>
          <w:szCs w:val="24"/>
          <w:highlight w:val="yellow"/>
          <w14:textFill>
            <w14:solidFill>
              <w14:schemeClr w14:val="tx1"/>
            </w14:solidFill>
          </w14:textFill>
        </w:rPr>
        <w:instrText xml:space="preserve"> TOC \o "1-2" \h \z \u </w:instrText>
      </w:r>
      <w:r>
        <w:rPr>
          <w:rFonts w:hint="default" w:ascii="Times New Roman" w:hAnsi="Times New Roman" w:eastAsia="宋体" w:cs="Times New Roman"/>
          <w:color w:val="000000" w:themeColor="text1"/>
          <w:kern w:val="0"/>
          <w:sz w:val="24"/>
          <w:szCs w:val="24"/>
          <w:highlight w:val="yellow"/>
          <w14:textFill>
            <w14:solidFill>
              <w14:schemeClr w14:val="tx1"/>
            </w14:solidFill>
          </w14:textFill>
        </w:rPr>
        <w:fldChar w:fldCharType="separate"/>
      </w:r>
      <w:r>
        <w:rPr>
          <w:rFonts w:hint="default" w:ascii="Times New Roman" w:hAnsi="Times New Roman" w:eastAsia="宋体" w:cs="Times New Roman"/>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kern w:val="0"/>
          <w:szCs w:val="24"/>
          <w:highlight w:val="yellow"/>
        </w:rPr>
        <w:instrText xml:space="preserve"> HYPERLINK \l _Toc23030 </w:instrText>
      </w:r>
      <w:r>
        <w:rPr>
          <w:rFonts w:hint="default" w:ascii="Times New Roman" w:hAnsi="Times New Roman" w:eastAsia="宋体" w:cs="Times New Roman"/>
          <w:kern w:val="0"/>
          <w:szCs w:val="24"/>
          <w:highlight w:val="yellow"/>
        </w:rPr>
        <w:fldChar w:fldCharType="separate"/>
      </w:r>
      <w:r>
        <w:rPr>
          <w:rFonts w:hint="default" w:ascii="Times New Roman" w:hAnsi="Times New Roman" w:eastAsia="宋体" w:cs="Times New Roman"/>
          <w:szCs w:val="24"/>
          <w:highlight w:val="none"/>
        </w:rPr>
        <w:t>1概述</w:t>
      </w:r>
      <w:r>
        <w:tab/>
      </w:r>
      <w:r>
        <w:fldChar w:fldCharType="begin"/>
      </w:r>
      <w:r>
        <w:instrText xml:space="preserve"> PAGEREF _Toc23030 \h </w:instrText>
      </w:r>
      <w:r>
        <w:fldChar w:fldCharType="separate"/>
      </w:r>
      <w:r>
        <w:t>1</w:t>
      </w:r>
      <w:r>
        <w:fldChar w:fldCharType="end"/>
      </w:r>
      <w:r>
        <w:rPr>
          <w:rFonts w:hint="default" w:ascii="Times New Roman" w:hAnsi="Times New Roman" w:eastAsia="宋体" w:cs="Times New Roman"/>
          <w:color w:val="000000" w:themeColor="text1"/>
          <w:kern w:val="0"/>
          <w:szCs w:val="24"/>
          <w:highlight w:val="yellow"/>
          <w14:textFill>
            <w14:solidFill>
              <w14:schemeClr w14:val="tx1"/>
            </w14:solidFill>
          </w14:textFill>
        </w:rPr>
        <w:fldChar w:fldCharType="end"/>
      </w:r>
    </w:p>
    <w:p w14:paraId="6F8E5C9A">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_Toc7741 </w:instrText>
      </w:r>
      <w:r>
        <w:rPr>
          <w:rFonts w:hint="default" w:ascii="Times New Roman" w:hAnsi="Times New Roman" w:eastAsia="宋体" w:cs="Times New Roman"/>
          <w:smallCaps/>
          <w:kern w:val="0"/>
          <w:szCs w:val="24"/>
          <w:highlight w:val="yellow"/>
        </w:rPr>
        <w:fldChar w:fldCharType="separate"/>
      </w:r>
      <w:r>
        <w:rPr>
          <w:rFonts w:hint="default"/>
        </w:rPr>
        <w:t>1.1建设项目特点</w:t>
      </w:r>
      <w:r>
        <w:tab/>
      </w:r>
      <w:r>
        <w:fldChar w:fldCharType="begin"/>
      </w:r>
      <w:r>
        <w:instrText xml:space="preserve"> PAGEREF _Toc7741 \h </w:instrText>
      </w:r>
      <w:r>
        <w:fldChar w:fldCharType="separate"/>
      </w:r>
      <w:r>
        <w:t>2</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5576BD89">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_Toc210 </w:instrText>
      </w:r>
      <w:r>
        <w:rPr>
          <w:rFonts w:hint="default" w:ascii="Times New Roman" w:hAnsi="Times New Roman" w:eastAsia="宋体" w:cs="Times New Roman"/>
          <w:smallCaps/>
          <w:kern w:val="0"/>
          <w:szCs w:val="24"/>
          <w:highlight w:val="yellow"/>
        </w:rPr>
        <w:fldChar w:fldCharType="separate"/>
      </w:r>
      <w:r>
        <w:rPr>
          <w:rFonts w:hint="default"/>
        </w:rPr>
        <w:t>1.2环境影响评价的工作过程</w:t>
      </w:r>
      <w:r>
        <w:tab/>
      </w:r>
      <w:r>
        <w:fldChar w:fldCharType="begin"/>
      </w:r>
      <w:r>
        <w:instrText xml:space="preserve"> PAGEREF _Toc210 \h </w:instrText>
      </w:r>
      <w:r>
        <w:fldChar w:fldCharType="separate"/>
      </w:r>
      <w:r>
        <w:t>2</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007C4889">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_Toc12678 </w:instrText>
      </w:r>
      <w:r>
        <w:rPr>
          <w:rFonts w:hint="default" w:ascii="Times New Roman" w:hAnsi="Times New Roman" w:eastAsia="宋体" w:cs="Times New Roman"/>
          <w:smallCaps/>
          <w:kern w:val="0"/>
          <w:szCs w:val="24"/>
          <w:highlight w:val="yellow"/>
        </w:rPr>
        <w:fldChar w:fldCharType="separate"/>
      </w:r>
      <w:r>
        <w:rPr>
          <w:rFonts w:hint="default"/>
        </w:rPr>
        <w:t>1.3分析判定相关情况</w:t>
      </w:r>
      <w:r>
        <w:tab/>
      </w:r>
      <w:r>
        <w:fldChar w:fldCharType="begin"/>
      </w:r>
      <w:r>
        <w:instrText xml:space="preserve"> PAGEREF _Toc12678 \h </w:instrText>
      </w:r>
      <w:r>
        <w:fldChar w:fldCharType="separate"/>
      </w:r>
      <w:r>
        <w:t>3</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514A4DF9">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_Toc8706 </w:instrText>
      </w:r>
      <w:r>
        <w:rPr>
          <w:rFonts w:hint="default" w:ascii="Times New Roman" w:hAnsi="Times New Roman" w:eastAsia="宋体" w:cs="Times New Roman"/>
          <w:smallCaps/>
          <w:kern w:val="0"/>
          <w:szCs w:val="24"/>
          <w:highlight w:val="yellow"/>
        </w:rPr>
        <w:fldChar w:fldCharType="separate"/>
      </w:r>
      <w:r>
        <w:rPr>
          <w:rFonts w:hint="default"/>
        </w:rPr>
        <w:t>1.4关注的主要环境问题及环境影响</w:t>
      </w:r>
      <w:r>
        <w:tab/>
      </w:r>
      <w:r>
        <w:fldChar w:fldCharType="begin"/>
      </w:r>
      <w:r>
        <w:instrText xml:space="preserve"> PAGEREF _Toc8706 \h </w:instrText>
      </w:r>
      <w:r>
        <w:fldChar w:fldCharType="separate"/>
      </w:r>
      <w:r>
        <w:t>4</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725E151F">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_Toc25842 </w:instrText>
      </w:r>
      <w:r>
        <w:rPr>
          <w:rFonts w:hint="default" w:ascii="Times New Roman" w:hAnsi="Times New Roman" w:eastAsia="宋体" w:cs="Times New Roman"/>
          <w:smallCaps/>
          <w:kern w:val="0"/>
          <w:szCs w:val="24"/>
          <w:highlight w:val="yellow"/>
        </w:rPr>
        <w:fldChar w:fldCharType="separate"/>
      </w:r>
      <w:r>
        <w:rPr>
          <w:rFonts w:hint="default"/>
        </w:rPr>
        <w:t>1.5环境影响评价主要结论</w:t>
      </w:r>
      <w:r>
        <w:tab/>
      </w:r>
      <w:r>
        <w:fldChar w:fldCharType="begin"/>
      </w:r>
      <w:r>
        <w:instrText xml:space="preserve"> PAGEREF _Toc25842 \h </w:instrText>
      </w:r>
      <w:r>
        <w:fldChar w:fldCharType="separate"/>
      </w:r>
      <w:r>
        <w:t>5</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0D9DD7D1">
      <w:pPr>
        <w:pStyle w:val="34"/>
        <w:keepNext w:val="0"/>
        <w:keepLines w:val="0"/>
        <w:pageBreakBefore w:val="0"/>
        <w:widowControl w:val="0"/>
        <w:tabs>
          <w:tab w:val="right" w:leader="dot" w:pos="9072"/>
          <w:tab w:val="clear" w:pos="8296"/>
        </w:tabs>
        <w:kinsoku/>
        <w:wordWrap/>
        <w:overflowPunct/>
        <w:topLinePunct w:val="0"/>
        <w:bidi w:val="0"/>
        <w:snapToGrid/>
        <w:spacing w:before="0" w:beforeLines="0" w:after="0" w:afterLines="0"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_Toc19047 </w:instrText>
      </w:r>
      <w:r>
        <w:rPr>
          <w:rFonts w:hint="default" w:ascii="Times New Roman" w:hAnsi="Times New Roman" w:eastAsia="宋体" w:cs="Times New Roman"/>
          <w:smallCaps/>
          <w:kern w:val="0"/>
          <w:szCs w:val="24"/>
          <w:highlight w:val="yellow"/>
        </w:rPr>
        <w:fldChar w:fldCharType="separate"/>
      </w:r>
      <w:r>
        <w:rPr>
          <w:rFonts w:hint="default"/>
        </w:rPr>
        <w:t>2总则</w:t>
      </w:r>
      <w:r>
        <w:tab/>
      </w:r>
      <w:r>
        <w:fldChar w:fldCharType="begin"/>
      </w:r>
      <w:r>
        <w:instrText xml:space="preserve"> PAGEREF _Toc19047 \h </w:instrText>
      </w:r>
      <w:r>
        <w:fldChar w:fldCharType="separate"/>
      </w:r>
      <w:r>
        <w:t>6</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798D8C00">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_Toc3309 </w:instrText>
      </w:r>
      <w:r>
        <w:rPr>
          <w:rFonts w:hint="default" w:ascii="Times New Roman" w:hAnsi="Times New Roman" w:eastAsia="宋体" w:cs="Times New Roman"/>
          <w:smallCaps/>
          <w:kern w:val="0"/>
          <w:szCs w:val="24"/>
          <w:highlight w:val="yellow"/>
        </w:rPr>
        <w:fldChar w:fldCharType="separate"/>
      </w:r>
      <w:r>
        <w:rPr>
          <w:rFonts w:hint="default"/>
        </w:rPr>
        <w:t>2.1编制依据</w:t>
      </w:r>
      <w:r>
        <w:tab/>
      </w:r>
      <w:r>
        <w:fldChar w:fldCharType="begin"/>
      </w:r>
      <w:r>
        <w:instrText xml:space="preserve"> PAGEREF _Toc3309 \h </w:instrText>
      </w:r>
      <w:r>
        <w:fldChar w:fldCharType="separate"/>
      </w:r>
      <w:r>
        <w:t>6</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56B9F4B7">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_Toc13213 </w:instrText>
      </w:r>
      <w:r>
        <w:rPr>
          <w:rFonts w:hint="default" w:ascii="Times New Roman" w:hAnsi="Times New Roman" w:eastAsia="宋体" w:cs="Times New Roman"/>
          <w:smallCaps/>
          <w:kern w:val="0"/>
          <w:szCs w:val="24"/>
          <w:highlight w:val="yellow"/>
        </w:rPr>
        <w:fldChar w:fldCharType="separate"/>
      </w:r>
      <w:r>
        <w:rPr>
          <w:rFonts w:hint="default"/>
        </w:rPr>
        <w:t>2.2评价目的及原则</w:t>
      </w:r>
      <w:r>
        <w:tab/>
      </w:r>
      <w:r>
        <w:fldChar w:fldCharType="begin"/>
      </w:r>
      <w:r>
        <w:instrText xml:space="preserve"> PAGEREF _Toc13213 \h </w:instrText>
      </w:r>
      <w:r>
        <w:fldChar w:fldCharType="separate"/>
      </w:r>
      <w:r>
        <w:t>11</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356A7C2C">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_Toc24569 </w:instrText>
      </w:r>
      <w:r>
        <w:rPr>
          <w:rFonts w:hint="default" w:ascii="Times New Roman" w:hAnsi="Times New Roman" w:eastAsia="宋体" w:cs="Times New Roman"/>
          <w:smallCaps/>
          <w:kern w:val="0"/>
          <w:szCs w:val="24"/>
          <w:highlight w:val="yellow"/>
        </w:rPr>
        <w:fldChar w:fldCharType="separate"/>
      </w:r>
      <w:r>
        <w:rPr>
          <w:rFonts w:hint="default"/>
        </w:rPr>
        <w:t>2.3评价内容和评价重点</w:t>
      </w:r>
      <w:r>
        <w:tab/>
      </w:r>
      <w:r>
        <w:fldChar w:fldCharType="begin"/>
      </w:r>
      <w:r>
        <w:instrText xml:space="preserve"> PAGEREF _Toc24569 \h </w:instrText>
      </w:r>
      <w:r>
        <w:fldChar w:fldCharType="separate"/>
      </w:r>
      <w:r>
        <w:t>12</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6F820EF7">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_Toc30733 </w:instrText>
      </w:r>
      <w:r>
        <w:rPr>
          <w:rFonts w:hint="default" w:ascii="Times New Roman" w:hAnsi="Times New Roman" w:eastAsia="宋体" w:cs="Times New Roman"/>
          <w:smallCaps/>
          <w:kern w:val="0"/>
          <w:szCs w:val="24"/>
          <w:highlight w:val="yellow"/>
        </w:rPr>
        <w:fldChar w:fldCharType="separate"/>
      </w:r>
      <w:r>
        <w:rPr>
          <w:rFonts w:hint="default"/>
        </w:rPr>
        <w:t>2.4环境影响识别与评价因子筛选</w:t>
      </w:r>
      <w:r>
        <w:tab/>
      </w:r>
      <w:r>
        <w:fldChar w:fldCharType="begin"/>
      </w:r>
      <w:r>
        <w:instrText xml:space="preserve"> PAGEREF _Toc30733 \h </w:instrText>
      </w:r>
      <w:r>
        <w:fldChar w:fldCharType="separate"/>
      </w:r>
      <w:r>
        <w:t>12</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18ED1F72">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_Toc7429 </w:instrText>
      </w:r>
      <w:r>
        <w:rPr>
          <w:rFonts w:hint="default" w:ascii="Times New Roman" w:hAnsi="Times New Roman" w:eastAsia="宋体" w:cs="Times New Roman"/>
          <w:smallCaps/>
          <w:kern w:val="0"/>
          <w:szCs w:val="24"/>
          <w:highlight w:val="yellow"/>
        </w:rPr>
        <w:fldChar w:fldCharType="separate"/>
      </w:r>
      <w:r>
        <w:rPr>
          <w:rFonts w:hint="default"/>
        </w:rPr>
        <w:t>2.5评价等级、评价范围</w:t>
      </w:r>
      <w:r>
        <w:tab/>
      </w:r>
      <w:r>
        <w:fldChar w:fldCharType="begin"/>
      </w:r>
      <w:r>
        <w:instrText xml:space="preserve"> PAGEREF _Toc7429 \h </w:instrText>
      </w:r>
      <w:r>
        <w:fldChar w:fldCharType="separate"/>
      </w:r>
      <w:r>
        <w:t>14</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5A78AD9F">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_Toc22642 </w:instrText>
      </w:r>
      <w:r>
        <w:rPr>
          <w:rFonts w:hint="default" w:ascii="Times New Roman" w:hAnsi="Times New Roman" w:eastAsia="宋体" w:cs="Times New Roman"/>
          <w:smallCaps/>
          <w:kern w:val="0"/>
          <w:szCs w:val="24"/>
          <w:highlight w:val="yellow"/>
        </w:rPr>
        <w:fldChar w:fldCharType="separate"/>
      </w:r>
      <w:r>
        <w:rPr>
          <w:rFonts w:hint="default"/>
        </w:rPr>
        <w:t>2.6评价标准及环境保护目标</w:t>
      </w:r>
      <w:r>
        <w:tab/>
      </w:r>
      <w:r>
        <w:fldChar w:fldCharType="begin"/>
      </w:r>
      <w:r>
        <w:instrText xml:space="preserve"> PAGEREF _Toc22642 \h </w:instrText>
      </w:r>
      <w:r>
        <w:fldChar w:fldCharType="separate"/>
      </w:r>
      <w:r>
        <w:t>24</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6E4C48A0">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_Toc4446 </w:instrText>
      </w:r>
      <w:r>
        <w:rPr>
          <w:rFonts w:hint="default" w:ascii="Times New Roman" w:hAnsi="Times New Roman" w:eastAsia="宋体" w:cs="Times New Roman"/>
          <w:smallCaps/>
          <w:kern w:val="0"/>
          <w:szCs w:val="24"/>
          <w:highlight w:val="yellow"/>
        </w:rPr>
        <w:fldChar w:fldCharType="separate"/>
      </w:r>
      <w:r>
        <w:rPr>
          <w:rFonts w:hint="default"/>
          <w:lang w:val="en-US" w:eastAsia="zh-CN"/>
        </w:rPr>
        <w:t>2.7</w:t>
      </w:r>
      <w:r>
        <w:rPr>
          <w:rFonts w:hint="default"/>
        </w:rPr>
        <w:t>生态建设与环境保护规划</w:t>
      </w:r>
      <w:r>
        <w:tab/>
      </w:r>
      <w:r>
        <w:fldChar w:fldCharType="begin"/>
      </w:r>
      <w:r>
        <w:instrText xml:space="preserve"> PAGEREF _Toc4446 \h </w:instrText>
      </w:r>
      <w:r>
        <w:fldChar w:fldCharType="separate"/>
      </w:r>
      <w:r>
        <w:t>31</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083172F5">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_Toc9845 </w:instrText>
      </w:r>
      <w:r>
        <w:rPr>
          <w:rFonts w:hint="default" w:ascii="Times New Roman" w:hAnsi="Times New Roman" w:eastAsia="宋体" w:cs="Times New Roman"/>
          <w:smallCaps/>
          <w:kern w:val="0"/>
          <w:szCs w:val="24"/>
          <w:highlight w:val="yellow"/>
        </w:rPr>
        <w:fldChar w:fldCharType="separate"/>
      </w:r>
      <w:r>
        <w:rPr>
          <w:rFonts w:hint="default" w:ascii="Times New Roman" w:hAnsi="Times New Roman" w:eastAsia="宋体" w:cs="Times New Roman"/>
          <w:szCs w:val="24"/>
          <w:highlight w:val="none"/>
          <w:lang w:val="en-US" w:eastAsia="zh-CN"/>
        </w:rPr>
        <w:t>2.</w:t>
      </w:r>
      <w:r>
        <w:rPr>
          <w:rFonts w:hint="eastAsia" w:cs="Times New Roman"/>
          <w:szCs w:val="24"/>
          <w:highlight w:val="none"/>
          <w:lang w:val="en-US" w:eastAsia="zh-CN"/>
        </w:rPr>
        <w:t>8</w:t>
      </w:r>
      <w:r>
        <w:rPr>
          <w:rFonts w:hint="default" w:ascii="Times New Roman" w:hAnsi="Times New Roman" w:eastAsia="宋体" w:cs="Times New Roman"/>
          <w:caps w:val="0"/>
          <w:smallCaps w:val="0"/>
          <w:kern w:val="2"/>
          <w:szCs w:val="24"/>
          <w:highlight w:val="none"/>
          <w:lang w:val="en-US" w:eastAsia="zh-CN"/>
        </w:rPr>
        <w:t>《曹妃甸区垦丰家居产业园控制性详细规划环境影响跟踪评价报告》</w:t>
      </w:r>
      <w:r>
        <w:tab/>
      </w:r>
      <w:r>
        <w:fldChar w:fldCharType="begin"/>
      </w:r>
      <w:r>
        <w:instrText xml:space="preserve"> PAGEREF _Toc9845 \h </w:instrText>
      </w:r>
      <w:r>
        <w:fldChar w:fldCharType="separate"/>
      </w:r>
      <w:r>
        <w:t>58</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2FDE074A">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_Toc25422 </w:instrText>
      </w:r>
      <w:r>
        <w:rPr>
          <w:rFonts w:hint="default" w:ascii="Times New Roman" w:hAnsi="Times New Roman" w:eastAsia="宋体" w:cs="Times New Roman"/>
          <w:smallCaps/>
          <w:kern w:val="0"/>
          <w:szCs w:val="24"/>
          <w:highlight w:val="yellow"/>
        </w:rPr>
        <w:fldChar w:fldCharType="separate"/>
      </w:r>
      <w:r>
        <w:rPr>
          <w:rFonts w:hint="default"/>
          <w:lang w:eastAsia="zh-CN"/>
        </w:rPr>
        <w:t>2.</w:t>
      </w:r>
      <w:r>
        <w:rPr>
          <w:rFonts w:hint="eastAsia"/>
          <w:lang w:val="en-US" w:eastAsia="zh-CN"/>
        </w:rPr>
        <w:t>9</w:t>
      </w:r>
      <w:r>
        <w:rPr>
          <w:rFonts w:hint="default"/>
        </w:rPr>
        <w:t>环境功能区划</w:t>
      </w:r>
      <w:r>
        <w:tab/>
      </w:r>
      <w:r>
        <w:fldChar w:fldCharType="begin"/>
      </w:r>
      <w:r>
        <w:instrText xml:space="preserve"> PAGEREF _Toc25422 \h </w:instrText>
      </w:r>
      <w:r>
        <w:fldChar w:fldCharType="separate"/>
      </w:r>
      <w:r>
        <w:t>63</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03080687">
      <w:pPr>
        <w:pStyle w:val="34"/>
        <w:keepNext w:val="0"/>
        <w:keepLines w:val="0"/>
        <w:pageBreakBefore w:val="0"/>
        <w:widowControl w:val="0"/>
        <w:tabs>
          <w:tab w:val="right" w:leader="dot" w:pos="9072"/>
          <w:tab w:val="clear" w:pos="8296"/>
        </w:tabs>
        <w:kinsoku/>
        <w:wordWrap/>
        <w:overflowPunct/>
        <w:topLinePunct w:val="0"/>
        <w:bidi w:val="0"/>
        <w:snapToGrid/>
        <w:spacing w:before="0" w:beforeLines="0" w:after="0" w:afterLines="0"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_Toc17751 </w:instrText>
      </w:r>
      <w:r>
        <w:rPr>
          <w:rFonts w:hint="default" w:ascii="Times New Roman" w:hAnsi="Times New Roman" w:eastAsia="宋体" w:cs="Times New Roman"/>
          <w:smallCaps/>
          <w:kern w:val="0"/>
          <w:szCs w:val="24"/>
          <w:highlight w:val="yellow"/>
        </w:rPr>
        <w:fldChar w:fldCharType="separate"/>
      </w:r>
      <w:r>
        <w:rPr>
          <w:rFonts w:hint="default"/>
        </w:rPr>
        <w:t>3</w:t>
      </w:r>
      <w:r>
        <w:rPr>
          <w:rFonts w:hint="default"/>
          <w:lang w:eastAsia="zh-CN"/>
        </w:rPr>
        <w:t>建设项目</w:t>
      </w:r>
      <w:r>
        <w:rPr>
          <w:rFonts w:hint="default"/>
        </w:rPr>
        <w:t>工程分析</w:t>
      </w:r>
      <w:r>
        <w:tab/>
      </w:r>
      <w:r>
        <w:fldChar w:fldCharType="begin"/>
      </w:r>
      <w:r>
        <w:instrText xml:space="preserve"> PAGEREF _Toc17751 \h </w:instrText>
      </w:r>
      <w:r>
        <w:fldChar w:fldCharType="separate"/>
      </w:r>
      <w:r>
        <w:t>64</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1834B249">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_Toc28334 </w:instrText>
      </w:r>
      <w:r>
        <w:rPr>
          <w:rFonts w:hint="default" w:ascii="Times New Roman" w:hAnsi="Times New Roman" w:eastAsia="宋体" w:cs="Times New Roman"/>
          <w:smallCaps/>
          <w:kern w:val="0"/>
          <w:szCs w:val="24"/>
          <w:highlight w:val="yellow"/>
        </w:rPr>
        <w:fldChar w:fldCharType="separate"/>
      </w:r>
      <w:r>
        <w:rPr>
          <w:rFonts w:hint="default"/>
        </w:rPr>
        <w:t>3.</w:t>
      </w:r>
      <w:r>
        <w:rPr>
          <w:rFonts w:hint="default"/>
          <w:lang w:val="en-US" w:eastAsia="zh-CN"/>
        </w:rPr>
        <w:t>1现有工程概况</w:t>
      </w:r>
      <w:r>
        <w:tab/>
      </w:r>
      <w:r>
        <w:fldChar w:fldCharType="begin"/>
      </w:r>
      <w:r>
        <w:instrText xml:space="preserve"> PAGEREF _Toc28334 \h </w:instrText>
      </w:r>
      <w:r>
        <w:fldChar w:fldCharType="separate"/>
      </w:r>
      <w:r>
        <w:t>64</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7C691BED">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_Toc30914 </w:instrText>
      </w:r>
      <w:r>
        <w:rPr>
          <w:rFonts w:hint="default" w:ascii="Times New Roman" w:hAnsi="Times New Roman" w:eastAsia="宋体" w:cs="Times New Roman"/>
          <w:smallCaps/>
          <w:kern w:val="0"/>
          <w:szCs w:val="24"/>
          <w:highlight w:val="yellow"/>
        </w:rPr>
        <w:fldChar w:fldCharType="separate"/>
      </w:r>
      <w:r>
        <w:rPr>
          <w:rFonts w:hint="default"/>
        </w:rPr>
        <w:t>3.</w:t>
      </w:r>
      <w:r>
        <w:rPr>
          <w:rFonts w:hint="default"/>
          <w:lang w:val="en-US" w:eastAsia="zh-CN"/>
        </w:rPr>
        <w:t>2本项目工程</w:t>
      </w:r>
      <w:r>
        <w:rPr>
          <w:rFonts w:hint="default"/>
        </w:rPr>
        <w:t>概况</w:t>
      </w:r>
      <w:r>
        <w:tab/>
      </w:r>
      <w:r>
        <w:fldChar w:fldCharType="begin"/>
      </w:r>
      <w:r>
        <w:instrText xml:space="preserve"> PAGEREF _Toc30914 \h </w:instrText>
      </w:r>
      <w:r>
        <w:fldChar w:fldCharType="separate"/>
      </w:r>
      <w:r>
        <w:t>70</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0361AC24">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_Toc10987 </w:instrText>
      </w:r>
      <w:r>
        <w:rPr>
          <w:rFonts w:hint="default" w:ascii="Times New Roman" w:hAnsi="Times New Roman" w:eastAsia="宋体" w:cs="Times New Roman"/>
          <w:smallCaps/>
          <w:kern w:val="0"/>
          <w:szCs w:val="24"/>
          <w:highlight w:val="yellow"/>
        </w:rPr>
        <w:fldChar w:fldCharType="separate"/>
      </w:r>
      <w:r>
        <w:rPr>
          <w:rFonts w:hint="default" w:ascii="Times New Roman" w:hAnsi="Times New Roman" w:eastAsia="宋体" w:cs="Times New Roman"/>
          <w:szCs w:val="24"/>
          <w:highlight w:val="none"/>
          <w:lang w:eastAsia="zh-CN"/>
        </w:rPr>
        <w:t>3.</w:t>
      </w:r>
      <w:r>
        <w:rPr>
          <w:rFonts w:hint="default" w:ascii="Times New Roman" w:hAnsi="Times New Roman" w:eastAsia="宋体" w:cs="Times New Roman"/>
          <w:szCs w:val="24"/>
          <w:highlight w:val="none"/>
          <w:lang w:val="en-US" w:eastAsia="zh-CN"/>
        </w:rPr>
        <w:t>3</w:t>
      </w:r>
      <w:r>
        <w:rPr>
          <w:rFonts w:hint="default" w:ascii="Times New Roman" w:hAnsi="Times New Roman" w:eastAsia="宋体" w:cs="Times New Roman"/>
          <w:szCs w:val="24"/>
          <w:highlight w:val="none"/>
          <w:lang w:val="zh-CN"/>
        </w:rPr>
        <w:t>主要污染源、污染物治理措施</w:t>
      </w:r>
      <w:r>
        <w:tab/>
      </w:r>
      <w:r>
        <w:fldChar w:fldCharType="begin"/>
      </w:r>
      <w:r>
        <w:instrText xml:space="preserve"> PAGEREF _Toc10987 \h </w:instrText>
      </w:r>
      <w:r>
        <w:fldChar w:fldCharType="separate"/>
      </w:r>
      <w:r>
        <w:t>86</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2B8BF7F9">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_Toc15152 </w:instrText>
      </w:r>
      <w:r>
        <w:rPr>
          <w:rFonts w:hint="default" w:ascii="Times New Roman" w:hAnsi="Times New Roman" w:eastAsia="宋体" w:cs="Times New Roman"/>
          <w:smallCaps/>
          <w:kern w:val="0"/>
          <w:szCs w:val="24"/>
          <w:highlight w:val="yellow"/>
        </w:rPr>
        <w:fldChar w:fldCharType="separate"/>
      </w:r>
      <w:r>
        <w:rPr>
          <w:rFonts w:hint="default"/>
        </w:rPr>
        <w:t>3.</w:t>
      </w:r>
      <w:r>
        <w:rPr>
          <w:rFonts w:hint="default"/>
          <w:lang w:val="en-US" w:eastAsia="zh-CN"/>
        </w:rPr>
        <w:t>4</w:t>
      </w:r>
      <w:r>
        <w:rPr>
          <w:rFonts w:hint="default"/>
        </w:rPr>
        <w:t>非正常工况分析</w:t>
      </w:r>
      <w:r>
        <w:tab/>
      </w:r>
      <w:r>
        <w:fldChar w:fldCharType="begin"/>
      </w:r>
      <w:r>
        <w:instrText xml:space="preserve"> PAGEREF _Toc15152 \h </w:instrText>
      </w:r>
      <w:r>
        <w:fldChar w:fldCharType="separate"/>
      </w:r>
      <w:r>
        <w:t>96</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79FB6DDC">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_Toc3665 </w:instrText>
      </w:r>
      <w:r>
        <w:rPr>
          <w:rFonts w:hint="default" w:ascii="Times New Roman" w:hAnsi="Times New Roman" w:eastAsia="宋体" w:cs="Times New Roman"/>
          <w:smallCaps/>
          <w:kern w:val="0"/>
          <w:szCs w:val="24"/>
          <w:highlight w:val="yellow"/>
        </w:rPr>
        <w:fldChar w:fldCharType="separate"/>
      </w:r>
      <w:r>
        <w:rPr>
          <w:rFonts w:hint="default"/>
        </w:rPr>
        <w:t>3.</w:t>
      </w:r>
      <w:r>
        <w:rPr>
          <w:rFonts w:hint="default"/>
          <w:lang w:val="en-US" w:eastAsia="zh-CN"/>
        </w:rPr>
        <w:t>5</w:t>
      </w:r>
      <w:r>
        <w:rPr>
          <w:rFonts w:hint="default"/>
        </w:rPr>
        <w:t>清洁生产分析</w:t>
      </w:r>
      <w:r>
        <w:tab/>
      </w:r>
      <w:r>
        <w:fldChar w:fldCharType="begin"/>
      </w:r>
      <w:r>
        <w:instrText xml:space="preserve"> PAGEREF _Toc3665 \h </w:instrText>
      </w:r>
      <w:r>
        <w:fldChar w:fldCharType="separate"/>
      </w:r>
      <w:r>
        <w:t>98</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6968E21F">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_Toc24720 </w:instrText>
      </w:r>
      <w:r>
        <w:rPr>
          <w:rFonts w:hint="default" w:ascii="Times New Roman" w:hAnsi="Times New Roman" w:eastAsia="宋体" w:cs="Times New Roman"/>
          <w:smallCaps/>
          <w:kern w:val="0"/>
          <w:szCs w:val="24"/>
          <w:highlight w:val="yellow"/>
        </w:rPr>
        <w:fldChar w:fldCharType="separate"/>
      </w:r>
      <w:r>
        <w:rPr>
          <w:rFonts w:hint="default"/>
        </w:rPr>
        <w:t>3.</w:t>
      </w:r>
      <w:r>
        <w:rPr>
          <w:rFonts w:hint="default"/>
          <w:lang w:val="en-US" w:eastAsia="zh-CN"/>
        </w:rPr>
        <w:t>6</w:t>
      </w:r>
      <w:r>
        <w:rPr>
          <w:rFonts w:hint="default"/>
        </w:rPr>
        <w:t>总量控制</w:t>
      </w:r>
      <w:r>
        <w:tab/>
      </w:r>
      <w:r>
        <w:fldChar w:fldCharType="begin"/>
      </w:r>
      <w:r>
        <w:instrText xml:space="preserve"> PAGEREF _Toc24720 \h </w:instrText>
      </w:r>
      <w:r>
        <w:fldChar w:fldCharType="separate"/>
      </w:r>
      <w:r>
        <w:t>100</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771DEA57">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_Toc16540 </w:instrText>
      </w:r>
      <w:r>
        <w:rPr>
          <w:rFonts w:hint="default" w:ascii="Times New Roman" w:hAnsi="Times New Roman" w:eastAsia="宋体" w:cs="Times New Roman"/>
          <w:smallCaps/>
          <w:kern w:val="0"/>
          <w:szCs w:val="24"/>
          <w:highlight w:val="yellow"/>
        </w:rPr>
        <w:fldChar w:fldCharType="separate"/>
      </w:r>
      <w:r>
        <w:rPr>
          <w:rFonts w:hint="default"/>
        </w:rPr>
        <w:t>3.</w:t>
      </w:r>
      <w:r>
        <w:rPr>
          <w:rFonts w:hint="default"/>
          <w:lang w:val="en-US" w:eastAsia="zh-CN"/>
        </w:rPr>
        <w:t>7</w:t>
      </w:r>
      <w:r>
        <w:rPr>
          <w:rFonts w:hint="default"/>
        </w:rPr>
        <w:t>本项目实施前后污染物排放量、削减量和变化量“三本帐”</w:t>
      </w:r>
      <w:r>
        <w:tab/>
      </w:r>
      <w:r>
        <w:fldChar w:fldCharType="begin"/>
      </w:r>
      <w:r>
        <w:instrText xml:space="preserve"> PAGEREF _Toc16540 \h </w:instrText>
      </w:r>
      <w:r>
        <w:fldChar w:fldCharType="separate"/>
      </w:r>
      <w:r>
        <w:t>101</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6F106175">
      <w:pPr>
        <w:pStyle w:val="34"/>
        <w:keepNext w:val="0"/>
        <w:keepLines w:val="0"/>
        <w:pageBreakBefore w:val="0"/>
        <w:widowControl w:val="0"/>
        <w:tabs>
          <w:tab w:val="right" w:leader="dot" w:pos="9072"/>
          <w:tab w:val="clear" w:pos="8296"/>
        </w:tabs>
        <w:kinsoku/>
        <w:wordWrap/>
        <w:overflowPunct/>
        <w:topLinePunct w:val="0"/>
        <w:bidi w:val="0"/>
        <w:snapToGrid/>
        <w:spacing w:before="0" w:beforeLines="0" w:after="0" w:afterLines="0"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_Toc12048 </w:instrText>
      </w:r>
      <w:r>
        <w:rPr>
          <w:rFonts w:hint="default" w:ascii="Times New Roman" w:hAnsi="Times New Roman" w:eastAsia="宋体" w:cs="Times New Roman"/>
          <w:smallCaps/>
          <w:kern w:val="0"/>
          <w:szCs w:val="24"/>
          <w:highlight w:val="yellow"/>
        </w:rPr>
        <w:fldChar w:fldCharType="separate"/>
      </w:r>
      <w:r>
        <w:rPr>
          <w:rFonts w:hint="default" w:ascii="Times New Roman" w:hAnsi="Times New Roman" w:eastAsia="宋体" w:cs="Times New Roman"/>
          <w:szCs w:val="24"/>
          <w:highlight w:val="none"/>
        </w:rPr>
        <w:t>4环境现状调查与评价</w:t>
      </w:r>
      <w:r>
        <w:tab/>
      </w:r>
      <w:r>
        <w:fldChar w:fldCharType="begin"/>
      </w:r>
      <w:r>
        <w:instrText xml:space="preserve"> PAGEREF _Toc12048 \h </w:instrText>
      </w:r>
      <w:r>
        <w:fldChar w:fldCharType="separate"/>
      </w:r>
      <w:r>
        <w:t>102</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78CF3B3B">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_Toc16154 </w:instrText>
      </w:r>
      <w:r>
        <w:rPr>
          <w:rFonts w:hint="default" w:ascii="Times New Roman" w:hAnsi="Times New Roman" w:eastAsia="宋体" w:cs="Times New Roman"/>
          <w:smallCaps/>
          <w:kern w:val="0"/>
          <w:szCs w:val="24"/>
          <w:highlight w:val="yellow"/>
        </w:rPr>
        <w:fldChar w:fldCharType="separate"/>
      </w:r>
      <w:r>
        <w:rPr>
          <w:rFonts w:hint="default"/>
        </w:rPr>
        <w:t>4.1自然环境概况调查</w:t>
      </w:r>
      <w:r>
        <w:tab/>
      </w:r>
      <w:r>
        <w:fldChar w:fldCharType="begin"/>
      </w:r>
      <w:r>
        <w:instrText xml:space="preserve"> PAGEREF _Toc16154 \h </w:instrText>
      </w:r>
      <w:r>
        <w:fldChar w:fldCharType="separate"/>
      </w:r>
      <w:r>
        <w:t>102</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25B91746">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_Toc10037 </w:instrText>
      </w:r>
      <w:r>
        <w:rPr>
          <w:rFonts w:hint="default" w:ascii="Times New Roman" w:hAnsi="Times New Roman" w:eastAsia="宋体" w:cs="Times New Roman"/>
          <w:smallCaps/>
          <w:kern w:val="0"/>
          <w:szCs w:val="24"/>
          <w:highlight w:val="yellow"/>
        </w:rPr>
        <w:fldChar w:fldCharType="separate"/>
      </w:r>
      <w:r>
        <w:rPr>
          <w:rFonts w:hint="default"/>
        </w:rPr>
        <w:t>4.</w:t>
      </w:r>
      <w:r>
        <w:rPr>
          <w:rFonts w:hint="default"/>
          <w:lang w:val="en-US" w:eastAsia="zh-CN"/>
        </w:rPr>
        <w:t>2区域污染源</w:t>
      </w:r>
      <w:r>
        <w:rPr>
          <w:rFonts w:hint="default"/>
        </w:rPr>
        <w:t>调查</w:t>
      </w:r>
      <w:r>
        <w:tab/>
      </w:r>
      <w:r>
        <w:fldChar w:fldCharType="begin"/>
      </w:r>
      <w:r>
        <w:instrText xml:space="preserve"> PAGEREF _Toc10037 \h </w:instrText>
      </w:r>
      <w:r>
        <w:fldChar w:fldCharType="separate"/>
      </w:r>
      <w:r>
        <w:t>109</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087CB4CD">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_Toc26348 </w:instrText>
      </w:r>
      <w:r>
        <w:rPr>
          <w:rFonts w:hint="default" w:ascii="Times New Roman" w:hAnsi="Times New Roman" w:eastAsia="宋体" w:cs="Times New Roman"/>
          <w:smallCaps/>
          <w:kern w:val="0"/>
          <w:szCs w:val="24"/>
          <w:highlight w:val="yellow"/>
        </w:rPr>
        <w:fldChar w:fldCharType="separate"/>
      </w:r>
      <w:r>
        <w:rPr>
          <w:rFonts w:hint="default"/>
          <w:lang w:eastAsia="zh-CN"/>
        </w:rPr>
        <w:t>4.3</w:t>
      </w:r>
      <w:r>
        <w:rPr>
          <w:rFonts w:hint="default"/>
        </w:rPr>
        <w:t>环境质量现状调查与评价</w:t>
      </w:r>
      <w:r>
        <w:tab/>
      </w:r>
      <w:r>
        <w:fldChar w:fldCharType="begin"/>
      </w:r>
      <w:r>
        <w:instrText xml:space="preserve"> PAGEREF _Toc26348 \h </w:instrText>
      </w:r>
      <w:r>
        <w:fldChar w:fldCharType="separate"/>
      </w:r>
      <w:r>
        <w:t>110</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656BC7DF">
      <w:pPr>
        <w:pStyle w:val="34"/>
        <w:keepNext w:val="0"/>
        <w:keepLines w:val="0"/>
        <w:pageBreakBefore w:val="0"/>
        <w:widowControl w:val="0"/>
        <w:tabs>
          <w:tab w:val="right" w:leader="dot" w:pos="9072"/>
          <w:tab w:val="clear" w:pos="8296"/>
        </w:tabs>
        <w:kinsoku/>
        <w:wordWrap/>
        <w:overflowPunct/>
        <w:topLinePunct w:val="0"/>
        <w:bidi w:val="0"/>
        <w:snapToGrid/>
        <w:spacing w:before="0" w:beforeLines="0" w:after="0" w:afterLines="0"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_Toc15778 </w:instrText>
      </w:r>
      <w:r>
        <w:rPr>
          <w:rFonts w:hint="default" w:ascii="Times New Roman" w:hAnsi="Times New Roman" w:eastAsia="宋体" w:cs="Times New Roman"/>
          <w:smallCaps/>
          <w:kern w:val="0"/>
          <w:szCs w:val="24"/>
          <w:highlight w:val="yellow"/>
        </w:rPr>
        <w:fldChar w:fldCharType="separate"/>
      </w:r>
      <w:r>
        <w:rPr>
          <w:rFonts w:hint="default" w:ascii="Times New Roman" w:hAnsi="Times New Roman" w:eastAsia="宋体" w:cs="Times New Roman"/>
          <w:szCs w:val="24"/>
          <w:highlight w:val="none"/>
        </w:rPr>
        <w:t>5环境影响预测与评价</w:t>
      </w:r>
      <w:r>
        <w:tab/>
      </w:r>
      <w:r>
        <w:fldChar w:fldCharType="begin"/>
      </w:r>
      <w:r>
        <w:instrText xml:space="preserve"> PAGEREF _Toc15778 \h </w:instrText>
      </w:r>
      <w:r>
        <w:fldChar w:fldCharType="separate"/>
      </w:r>
      <w:r>
        <w:t>137</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4A6D9E90">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_Toc15901 </w:instrText>
      </w:r>
      <w:r>
        <w:rPr>
          <w:rFonts w:hint="default" w:ascii="Times New Roman" w:hAnsi="Times New Roman" w:eastAsia="宋体" w:cs="Times New Roman"/>
          <w:smallCaps/>
          <w:kern w:val="0"/>
          <w:szCs w:val="24"/>
          <w:highlight w:val="yellow"/>
        </w:rPr>
        <w:fldChar w:fldCharType="separate"/>
      </w:r>
      <w:r>
        <w:rPr>
          <w:rFonts w:hint="default"/>
          <w:lang w:val="en-US"/>
        </w:rPr>
        <w:t>5.1施工期环境影响分析</w:t>
      </w:r>
      <w:r>
        <w:tab/>
      </w:r>
      <w:r>
        <w:fldChar w:fldCharType="begin"/>
      </w:r>
      <w:r>
        <w:instrText xml:space="preserve"> PAGEREF _Toc15901 \h </w:instrText>
      </w:r>
      <w:r>
        <w:fldChar w:fldCharType="separate"/>
      </w:r>
      <w:r>
        <w:t>137</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4D71A3F6">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_Toc7238 </w:instrText>
      </w:r>
      <w:r>
        <w:rPr>
          <w:rFonts w:hint="default" w:ascii="Times New Roman" w:hAnsi="Times New Roman" w:eastAsia="宋体" w:cs="Times New Roman"/>
          <w:smallCaps/>
          <w:kern w:val="0"/>
          <w:szCs w:val="24"/>
          <w:highlight w:val="yellow"/>
        </w:rPr>
        <w:fldChar w:fldCharType="separate"/>
      </w:r>
      <w:r>
        <w:rPr>
          <w:rFonts w:hint="default"/>
          <w:lang w:val="en-US"/>
        </w:rPr>
        <w:t>5.2</w:t>
      </w:r>
      <w:r>
        <w:rPr>
          <w:rFonts w:hint="default"/>
        </w:rPr>
        <w:t>营运期环境影响评价</w:t>
      </w:r>
      <w:r>
        <w:tab/>
      </w:r>
      <w:r>
        <w:fldChar w:fldCharType="begin"/>
      </w:r>
      <w:r>
        <w:instrText xml:space="preserve"> PAGEREF _Toc7238 \h </w:instrText>
      </w:r>
      <w:r>
        <w:fldChar w:fldCharType="separate"/>
      </w:r>
      <w:r>
        <w:t>144</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238CBFB8">
      <w:pPr>
        <w:pStyle w:val="34"/>
        <w:keepNext w:val="0"/>
        <w:keepLines w:val="0"/>
        <w:pageBreakBefore w:val="0"/>
        <w:widowControl w:val="0"/>
        <w:tabs>
          <w:tab w:val="right" w:leader="dot" w:pos="9072"/>
          <w:tab w:val="clear" w:pos="8296"/>
        </w:tabs>
        <w:kinsoku/>
        <w:wordWrap/>
        <w:overflowPunct/>
        <w:topLinePunct w:val="0"/>
        <w:bidi w:val="0"/>
        <w:snapToGrid/>
        <w:spacing w:before="0" w:beforeLines="0" w:after="0" w:afterLines="0"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_Toc23212 </w:instrText>
      </w:r>
      <w:r>
        <w:rPr>
          <w:rFonts w:hint="default" w:ascii="Times New Roman" w:hAnsi="Times New Roman" w:eastAsia="宋体" w:cs="Times New Roman"/>
          <w:smallCaps/>
          <w:kern w:val="0"/>
          <w:szCs w:val="24"/>
          <w:highlight w:val="yellow"/>
        </w:rPr>
        <w:fldChar w:fldCharType="separate"/>
      </w:r>
      <w:r>
        <w:rPr>
          <w:rFonts w:hint="default"/>
          <w:lang w:val="en-US" w:eastAsia="zh-CN"/>
        </w:rPr>
        <w:t>6</w:t>
      </w:r>
      <w:r>
        <w:rPr>
          <w:rFonts w:hint="default"/>
        </w:rPr>
        <w:t>环境保护措施及其可行性论证</w:t>
      </w:r>
      <w:r>
        <w:tab/>
      </w:r>
      <w:r>
        <w:fldChar w:fldCharType="begin"/>
      </w:r>
      <w:r>
        <w:instrText xml:space="preserve"> PAGEREF _Toc23212 \h </w:instrText>
      </w:r>
      <w:r>
        <w:fldChar w:fldCharType="separate"/>
      </w:r>
      <w:r>
        <w:t>215</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17176345">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_Toc28104 </w:instrText>
      </w:r>
      <w:r>
        <w:rPr>
          <w:rFonts w:hint="default" w:ascii="Times New Roman" w:hAnsi="Times New Roman" w:eastAsia="宋体" w:cs="Times New Roman"/>
          <w:smallCaps/>
          <w:kern w:val="0"/>
          <w:szCs w:val="24"/>
          <w:highlight w:val="yellow"/>
        </w:rPr>
        <w:fldChar w:fldCharType="separate"/>
      </w:r>
      <w:r>
        <w:rPr>
          <w:rFonts w:hint="default"/>
          <w:lang w:val="en-US" w:eastAsia="zh-CN"/>
        </w:rPr>
        <w:t>6</w:t>
      </w:r>
      <w:r>
        <w:rPr>
          <w:rFonts w:hint="default"/>
        </w:rPr>
        <w:t>.1废气治理措施可行性论证</w:t>
      </w:r>
      <w:r>
        <w:tab/>
      </w:r>
      <w:r>
        <w:fldChar w:fldCharType="begin"/>
      </w:r>
      <w:r>
        <w:instrText xml:space="preserve"> PAGEREF _Toc28104 \h </w:instrText>
      </w:r>
      <w:r>
        <w:fldChar w:fldCharType="separate"/>
      </w:r>
      <w:r>
        <w:t>215</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38660ACF">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_Toc32449 </w:instrText>
      </w:r>
      <w:r>
        <w:rPr>
          <w:rFonts w:hint="default" w:ascii="Times New Roman" w:hAnsi="Times New Roman" w:eastAsia="宋体" w:cs="Times New Roman"/>
          <w:smallCaps/>
          <w:kern w:val="0"/>
          <w:szCs w:val="24"/>
          <w:highlight w:val="yellow"/>
        </w:rPr>
        <w:fldChar w:fldCharType="separate"/>
      </w:r>
      <w:r>
        <w:rPr>
          <w:rFonts w:hint="default"/>
          <w:lang w:val="en-US" w:eastAsia="zh-CN"/>
        </w:rPr>
        <w:t>6</w:t>
      </w:r>
      <w:r>
        <w:rPr>
          <w:rFonts w:hint="default"/>
        </w:rPr>
        <w:t>.2废水治理措施</w:t>
      </w:r>
      <w:r>
        <w:rPr>
          <w:rFonts w:hint="default"/>
          <w:lang w:eastAsia="zh-CN"/>
        </w:rPr>
        <w:t>可行性论证</w:t>
      </w:r>
      <w:r>
        <w:tab/>
      </w:r>
      <w:r>
        <w:fldChar w:fldCharType="begin"/>
      </w:r>
      <w:r>
        <w:instrText xml:space="preserve"> PAGEREF _Toc32449 \h </w:instrText>
      </w:r>
      <w:r>
        <w:fldChar w:fldCharType="separate"/>
      </w:r>
      <w:r>
        <w:t>216</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09650FA1">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_Toc3422 </w:instrText>
      </w:r>
      <w:r>
        <w:rPr>
          <w:rFonts w:hint="default" w:ascii="Times New Roman" w:hAnsi="Times New Roman" w:eastAsia="宋体" w:cs="Times New Roman"/>
          <w:smallCaps/>
          <w:kern w:val="0"/>
          <w:szCs w:val="24"/>
          <w:highlight w:val="yellow"/>
        </w:rPr>
        <w:fldChar w:fldCharType="separate"/>
      </w:r>
      <w:r>
        <w:rPr>
          <w:rFonts w:hint="default"/>
          <w:lang w:val="en-US" w:eastAsia="zh-CN"/>
        </w:rPr>
        <w:t>6</w:t>
      </w:r>
      <w:r>
        <w:rPr>
          <w:rFonts w:hint="default"/>
        </w:rPr>
        <w:t>.3噪声治理措施可行性论证</w:t>
      </w:r>
      <w:r>
        <w:tab/>
      </w:r>
      <w:r>
        <w:fldChar w:fldCharType="begin"/>
      </w:r>
      <w:r>
        <w:instrText xml:space="preserve"> PAGEREF _Toc3422 \h </w:instrText>
      </w:r>
      <w:r>
        <w:fldChar w:fldCharType="separate"/>
      </w:r>
      <w:r>
        <w:t>222</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025C350E">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_Toc31647 </w:instrText>
      </w:r>
      <w:r>
        <w:rPr>
          <w:rFonts w:hint="default" w:ascii="Times New Roman" w:hAnsi="Times New Roman" w:eastAsia="宋体" w:cs="Times New Roman"/>
          <w:smallCaps/>
          <w:kern w:val="0"/>
          <w:szCs w:val="24"/>
          <w:highlight w:val="yellow"/>
        </w:rPr>
        <w:fldChar w:fldCharType="separate"/>
      </w:r>
      <w:r>
        <w:rPr>
          <w:rFonts w:hint="default"/>
          <w:lang w:val="en-US" w:eastAsia="zh-CN"/>
        </w:rPr>
        <w:t>6</w:t>
      </w:r>
      <w:r>
        <w:rPr>
          <w:rFonts w:hint="default"/>
        </w:rPr>
        <w:t>.4固体废物治理措施可行性论证</w:t>
      </w:r>
      <w:r>
        <w:tab/>
      </w:r>
      <w:r>
        <w:fldChar w:fldCharType="begin"/>
      </w:r>
      <w:r>
        <w:instrText xml:space="preserve"> PAGEREF _Toc31647 \h </w:instrText>
      </w:r>
      <w:r>
        <w:fldChar w:fldCharType="separate"/>
      </w:r>
      <w:r>
        <w:t>222</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57A5EFC4">
      <w:pPr>
        <w:pStyle w:val="34"/>
        <w:keepNext w:val="0"/>
        <w:keepLines w:val="0"/>
        <w:pageBreakBefore w:val="0"/>
        <w:widowControl w:val="0"/>
        <w:tabs>
          <w:tab w:val="right" w:leader="dot" w:pos="9072"/>
          <w:tab w:val="clear" w:pos="8296"/>
        </w:tabs>
        <w:kinsoku/>
        <w:wordWrap/>
        <w:overflowPunct/>
        <w:topLinePunct w:val="0"/>
        <w:bidi w:val="0"/>
        <w:snapToGrid/>
        <w:spacing w:before="0" w:beforeLines="0" w:after="0" w:afterLines="0"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_Toc1665 </w:instrText>
      </w:r>
      <w:r>
        <w:rPr>
          <w:rFonts w:hint="default" w:ascii="Times New Roman" w:hAnsi="Times New Roman" w:eastAsia="宋体" w:cs="Times New Roman"/>
          <w:smallCaps/>
          <w:kern w:val="0"/>
          <w:szCs w:val="24"/>
          <w:highlight w:val="yellow"/>
        </w:rPr>
        <w:fldChar w:fldCharType="separate"/>
      </w:r>
      <w:r>
        <w:rPr>
          <w:rFonts w:hint="default"/>
          <w:lang w:val="en-US" w:eastAsia="zh-CN"/>
        </w:rPr>
        <w:t>7</w:t>
      </w:r>
      <w:r>
        <w:rPr>
          <w:rFonts w:hint="default"/>
        </w:rPr>
        <w:t>环境影响经济损益分析</w:t>
      </w:r>
      <w:r>
        <w:tab/>
      </w:r>
      <w:r>
        <w:fldChar w:fldCharType="begin"/>
      </w:r>
      <w:r>
        <w:instrText xml:space="preserve"> PAGEREF _Toc1665 \h </w:instrText>
      </w:r>
      <w:r>
        <w:fldChar w:fldCharType="separate"/>
      </w:r>
      <w:r>
        <w:t>226</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21032957">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_Toc14614 </w:instrText>
      </w:r>
      <w:r>
        <w:rPr>
          <w:rFonts w:hint="default" w:ascii="Times New Roman" w:hAnsi="Times New Roman" w:eastAsia="宋体" w:cs="Times New Roman"/>
          <w:smallCaps/>
          <w:kern w:val="0"/>
          <w:szCs w:val="24"/>
          <w:highlight w:val="yellow"/>
        </w:rPr>
        <w:fldChar w:fldCharType="separate"/>
      </w:r>
      <w:r>
        <w:rPr>
          <w:rFonts w:hint="default"/>
          <w:lang w:val="en-US" w:eastAsia="zh-CN"/>
        </w:rPr>
        <w:t>7.1环保投资估算</w:t>
      </w:r>
      <w:r>
        <w:tab/>
      </w:r>
      <w:r>
        <w:fldChar w:fldCharType="begin"/>
      </w:r>
      <w:r>
        <w:instrText xml:space="preserve"> PAGEREF _Toc14614 \h </w:instrText>
      </w:r>
      <w:r>
        <w:fldChar w:fldCharType="separate"/>
      </w:r>
      <w:r>
        <w:t>226</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0BCD8C7E">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_Toc27418 </w:instrText>
      </w:r>
      <w:r>
        <w:rPr>
          <w:rFonts w:hint="default" w:ascii="Times New Roman" w:hAnsi="Times New Roman" w:eastAsia="宋体" w:cs="Times New Roman"/>
          <w:smallCaps/>
          <w:kern w:val="0"/>
          <w:szCs w:val="24"/>
          <w:highlight w:val="yellow"/>
        </w:rPr>
        <w:fldChar w:fldCharType="separate"/>
      </w:r>
      <w:r>
        <w:rPr>
          <w:rFonts w:hint="default"/>
          <w:lang w:val="en-US" w:eastAsia="zh-CN"/>
        </w:rPr>
        <w:t>7.2经济效益分析</w:t>
      </w:r>
      <w:r>
        <w:tab/>
      </w:r>
      <w:r>
        <w:fldChar w:fldCharType="begin"/>
      </w:r>
      <w:r>
        <w:instrText xml:space="preserve"> PAGEREF _Toc27418 \h </w:instrText>
      </w:r>
      <w:r>
        <w:fldChar w:fldCharType="separate"/>
      </w:r>
      <w:r>
        <w:t>227</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02D81360">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_Toc28023 </w:instrText>
      </w:r>
      <w:r>
        <w:rPr>
          <w:rFonts w:hint="default" w:ascii="Times New Roman" w:hAnsi="Times New Roman" w:eastAsia="宋体" w:cs="Times New Roman"/>
          <w:smallCaps/>
          <w:kern w:val="0"/>
          <w:szCs w:val="24"/>
          <w:highlight w:val="yellow"/>
        </w:rPr>
        <w:fldChar w:fldCharType="separate"/>
      </w:r>
      <w:r>
        <w:rPr>
          <w:rFonts w:hint="default"/>
          <w:lang w:val="en-US" w:eastAsia="zh-CN"/>
        </w:rPr>
        <w:t>7.3社会效益分析</w:t>
      </w:r>
      <w:r>
        <w:tab/>
      </w:r>
      <w:r>
        <w:fldChar w:fldCharType="begin"/>
      </w:r>
      <w:r>
        <w:instrText xml:space="preserve"> PAGEREF _Toc28023 \h </w:instrText>
      </w:r>
      <w:r>
        <w:fldChar w:fldCharType="separate"/>
      </w:r>
      <w:r>
        <w:t>227</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4B6658B9">
      <w:pPr>
        <w:pStyle w:val="34"/>
        <w:keepNext w:val="0"/>
        <w:keepLines w:val="0"/>
        <w:pageBreakBefore w:val="0"/>
        <w:widowControl w:val="0"/>
        <w:tabs>
          <w:tab w:val="right" w:leader="dot" w:pos="9072"/>
          <w:tab w:val="clear" w:pos="8296"/>
        </w:tabs>
        <w:kinsoku/>
        <w:wordWrap/>
        <w:overflowPunct/>
        <w:topLinePunct w:val="0"/>
        <w:bidi w:val="0"/>
        <w:snapToGrid/>
        <w:spacing w:before="0" w:beforeLines="0" w:after="0" w:afterLines="0"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_Toc31760 </w:instrText>
      </w:r>
      <w:r>
        <w:rPr>
          <w:rFonts w:hint="default" w:ascii="Times New Roman" w:hAnsi="Times New Roman" w:eastAsia="宋体" w:cs="Times New Roman"/>
          <w:smallCaps/>
          <w:kern w:val="0"/>
          <w:szCs w:val="24"/>
          <w:highlight w:val="yellow"/>
        </w:rPr>
        <w:fldChar w:fldCharType="separate"/>
      </w:r>
      <w:r>
        <w:rPr>
          <w:rFonts w:hint="default"/>
          <w:lang w:val="en-US" w:eastAsia="zh-CN"/>
        </w:rPr>
        <w:t>8环境管理与监测计划</w:t>
      </w:r>
      <w:r>
        <w:tab/>
      </w:r>
      <w:r>
        <w:fldChar w:fldCharType="begin"/>
      </w:r>
      <w:r>
        <w:instrText xml:space="preserve"> PAGEREF _Toc31760 \h </w:instrText>
      </w:r>
      <w:r>
        <w:fldChar w:fldCharType="separate"/>
      </w:r>
      <w:r>
        <w:t>228</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15126DC4">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_Toc12904 </w:instrText>
      </w:r>
      <w:r>
        <w:rPr>
          <w:rFonts w:hint="default" w:ascii="Times New Roman" w:hAnsi="Times New Roman" w:eastAsia="宋体" w:cs="Times New Roman"/>
          <w:smallCaps/>
          <w:kern w:val="0"/>
          <w:szCs w:val="24"/>
          <w:highlight w:val="yellow"/>
        </w:rPr>
        <w:fldChar w:fldCharType="separate"/>
      </w:r>
      <w:r>
        <w:rPr>
          <w:rFonts w:hint="default"/>
          <w:lang w:val="en-US" w:eastAsia="zh-CN"/>
        </w:rPr>
        <w:t>8</w:t>
      </w:r>
      <w:r>
        <w:rPr>
          <w:rFonts w:hint="default"/>
        </w:rPr>
        <w:t>.1施工期环境管理</w:t>
      </w:r>
      <w:r>
        <w:tab/>
      </w:r>
      <w:r>
        <w:fldChar w:fldCharType="begin"/>
      </w:r>
      <w:r>
        <w:instrText xml:space="preserve"> PAGEREF _Toc12904 \h </w:instrText>
      </w:r>
      <w:r>
        <w:fldChar w:fldCharType="separate"/>
      </w:r>
      <w:r>
        <w:t>228</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43594943">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_Toc16232 </w:instrText>
      </w:r>
      <w:r>
        <w:rPr>
          <w:rFonts w:hint="default" w:ascii="Times New Roman" w:hAnsi="Times New Roman" w:eastAsia="宋体" w:cs="Times New Roman"/>
          <w:smallCaps/>
          <w:kern w:val="0"/>
          <w:szCs w:val="24"/>
          <w:highlight w:val="yellow"/>
        </w:rPr>
        <w:fldChar w:fldCharType="separate"/>
      </w:r>
      <w:r>
        <w:rPr>
          <w:rFonts w:hint="default"/>
          <w:lang w:val="en-US" w:eastAsia="zh-CN"/>
        </w:rPr>
        <w:t>8</w:t>
      </w:r>
      <w:r>
        <w:rPr>
          <w:rFonts w:hint="default"/>
        </w:rPr>
        <w:t>.2营运期环境管理</w:t>
      </w:r>
      <w:r>
        <w:tab/>
      </w:r>
      <w:r>
        <w:fldChar w:fldCharType="begin"/>
      </w:r>
      <w:r>
        <w:instrText xml:space="preserve"> PAGEREF _Toc16232 \h </w:instrText>
      </w:r>
      <w:r>
        <w:fldChar w:fldCharType="separate"/>
      </w:r>
      <w:r>
        <w:t>228</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3B2F8CF6">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_Toc17664 </w:instrText>
      </w:r>
      <w:r>
        <w:rPr>
          <w:rFonts w:hint="default" w:ascii="Times New Roman" w:hAnsi="Times New Roman" w:eastAsia="宋体" w:cs="Times New Roman"/>
          <w:smallCaps/>
          <w:kern w:val="0"/>
          <w:szCs w:val="24"/>
          <w:highlight w:val="yellow"/>
        </w:rPr>
        <w:fldChar w:fldCharType="separate"/>
      </w:r>
      <w:r>
        <w:rPr>
          <w:rFonts w:hint="default"/>
          <w:lang w:val="en-US" w:eastAsia="zh-CN"/>
        </w:rPr>
        <w:t>8</w:t>
      </w:r>
      <w:r>
        <w:rPr>
          <w:rFonts w:hint="default"/>
        </w:rPr>
        <w:t>.3环境监测</w:t>
      </w:r>
      <w:r>
        <w:tab/>
      </w:r>
      <w:r>
        <w:fldChar w:fldCharType="begin"/>
      </w:r>
      <w:r>
        <w:instrText xml:space="preserve"> PAGEREF _Toc17664 \h </w:instrText>
      </w:r>
      <w:r>
        <w:fldChar w:fldCharType="separate"/>
      </w:r>
      <w:r>
        <w:t>231</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08E6A087">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_Toc14427 </w:instrText>
      </w:r>
      <w:r>
        <w:rPr>
          <w:rFonts w:hint="default" w:ascii="Times New Roman" w:hAnsi="Times New Roman" w:eastAsia="宋体" w:cs="Times New Roman"/>
          <w:smallCaps/>
          <w:kern w:val="0"/>
          <w:szCs w:val="24"/>
          <w:highlight w:val="yellow"/>
        </w:rPr>
        <w:fldChar w:fldCharType="separate"/>
      </w:r>
      <w:r>
        <w:rPr>
          <w:rFonts w:hint="default"/>
          <w:lang w:val="en-US" w:eastAsia="zh-CN"/>
        </w:rPr>
        <w:t>8</w:t>
      </w:r>
      <w:r>
        <w:rPr>
          <w:rFonts w:hint="default"/>
        </w:rPr>
        <w:t>.4</w:t>
      </w:r>
      <w:r>
        <w:rPr>
          <w:rFonts w:hint="default"/>
          <w:lang w:eastAsia="zh-CN"/>
        </w:rPr>
        <w:t>环境保护“</w:t>
      </w:r>
      <w:r>
        <w:rPr>
          <w:rFonts w:hint="default"/>
        </w:rPr>
        <w:t>三同时</w:t>
      </w:r>
      <w:r>
        <w:rPr>
          <w:rFonts w:hint="default"/>
          <w:lang w:eastAsia="zh-CN"/>
        </w:rPr>
        <w:t>”</w:t>
      </w:r>
      <w:r>
        <w:rPr>
          <w:rFonts w:hint="default"/>
        </w:rPr>
        <w:t>验收一览表</w:t>
      </w:r>
      <w:r>
        <w:tab/>
      </w:r>
      <w:r>
        <w:fldChar w:fldCharType="begin"/>
      </w:r>
      <w:r>
        <w:instrText xml:space="preserve"> PAGEREF _Toc14427 \h </w:instrText>
      </w:r>
      <w:r>
        <w:fldChar w:fldCharType="separate"/>
      </w:r>
      <w:r>
        <w:t>238</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66AB967C">
      <w:pPr>
        <w:pStyle w:val="34"/>
        <w:keepNext w:val="0"/>
        <w:keepLines w:val="0"/>
        <w:pageBreakBefore w:val="0"/>
        <w:widowControl w:val="0"/>
        <w:tabs>
          <w:tab w:val="right" w:leader="dot" w:pos="9072"/>
          <w:tab w:val="clear" w:pos="8296"/>
        </w:tabs>
        <w:kinsoku/>
        <w:wordWrap/>
        <w:overflowPunct/>
        <w:topLinePunct w:val="0"/>
        <w:bidi w:val="0"/>
        <w:snapToGrid/>
        <w:spacing w:before="0" w:beforeLines="0" w:after="0" w:afterLines="0"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_Toc29716 </w:instrText>
      </w:r>
      <w:r>
        <w:rPr>
          <w:rFonts w:hint="default" w:ascii="Times New Roman" w:hAnsi="Times New Roman" w:eastAsia="宋体" w:cs="Times New Roman"/>
          <w:smallCaps/>
          <w:kern w:val="0"/>
          <w:szCs w:val="24"/>
          <w:highlight w:val="yellow"/>
        </w:rPr>
        <w:fldChar w:fldCharType="separate"/>
      </w:r>
      <w:r>
        <w:rPr>
          <w:rFonts w:hint="default" w:ascii="Times New Roman" w:hAnsi="Times New Roman" w:eastAsia="宋体" w:cs="Times New Roman"/>
          <w:szCs w:val="24"/>
          <w:highlight w:val="none"/>
          <w:lang w:val="en-US" w:eastAsia="zh-CN"/>
        </w:rPr>
        <w:t>9</w:t>
      </w:r>
      <w:r>
        <w:rPr>
          <w:rFonts w:hint="default" w:ascii="Times New Roman" w:hAnsi="Times New Roman" w:eastAsia="宋体" w:cs="Times New Roman"/>
          <w:szCs w:val="24"/>
          <w:highlight w:val="none"/>
          <w:lang w:eastAsia="zh-CN"/>
        </w:rPr>
        <w:t>环境影响评价</w:t>
      </w:r>
      <w:r>
        <w:rPr>
          <w:rFonts w:hint="default" w:ascii="Times New Roman" w:hAnsi="Times New Roman" w:eastAsia="宋体" w:cs="Times New Roman"/>
          <w:szCs w:val="24"/>
          <w:highlight w:val="none"/>
        </w:rPr>
        <w:t>结论</w:t>
      </w:r>
      <w:r>
        <w:tab/>
      </w:r>
      <w:r>
        <w:fldChar w:fldCharType="begin"/>
      </w:r>
      <w:r>
        <w:instrText xml:space="preserve"> PAGEREF _Toc29716 \h </w:instrText>
      </w:r>
      <w:r>
        <w:fldChar w:fldCharType="separate"/>
      </w:r>
      <w:r>
        <w:t>242</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09A2E8B3">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_Toc22786 </w:instrText>
      </w:r>
      <w:r>
        <w:rPr>
          <w:rFonts w:hint="default" w:ascii="Times New Roman" w:hAnsi="Times New Roman" w:eastAsia="宋体" w:cs="Times New Roman"/>
          <w:smallCaps/>
          <w:kern w:val="0"/>
          <w:szCs w:val="24"/>
          <w:highlight w:val="yellow"/>
        </w:rPr>
        <w:fldChar w:fldCharType="separate"/>
      </w:r>
      <w:r>
        <w:rPr>
          <w:rFonts w:hint="default"/>
          <w:lang w:val="en-US" w:eastAsia="zh-CN"/>
        </w:rPr>
        <w:t>9</w:t>
      </w:r>
      <w:r>
        <w:rPr>
          <w:rFonts w:hint="default"/>
        </w:rPr>
        <w:t>.1建设项目情况</w:t>
      </w:r>
      <w:r>
        <w:tab/>
      </w:r>
      <w:r>
        <w:fldChar w:fldCharType="begin"/>
      </w:r>
      <w:r>
        <w:instrText xml:space="preserve"> PAGEREF _Toc22786 \h </w:instrText>
      </w:r>
      <w:r>
        <w:fldChar w:fldCharType="separate"/>
      </w:r>
      <w:r>
        <w:t>242</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1A575B5F">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_Toc5532 </w:instrText>
      </w:r>
      <w:r>
        <w:rPr>
          <w:rFonts w:hint="default" w:ascii="Times New Roman" w:hAnsi="Times New Roman" w:eastAsia="宋体" w:cs="Times New Roman"/>
          <w:smallCaps/>
          <w:kern w:val="0"/>
          <w:szCs w:val="24"/>
          <w:highlight w:val="yellow"/>
        </w:rPr>
        <w:fldChar w:fldCharType="separate"/>
      </w:r>
      <w:r>
        <w:rPr>
          <w:rFonts w:hint="default"/>
          <w:lang w:val="en-US" w:eastAsia="zh-CN"/>
        </w:rPr>
        <w:t>9</w:t>
      </w:r>
      <w:r>
        <w:rPr>
          <w:rFonts w:hint="default"/>
        </w:rPr>
        <w:t>.2环境质量现状</w:t>
      </w:r>
      <w:r>
        <w:tab/>
      </w:r>
      <w:r>
        <w:fldChar w:fldCharType="begin"/>
      </w:r>
      <w:r>
        <w:instrText xml:space="preserve"> PAGEREF _Toc5532 \h </w:instrText>
      </w:r>
      <w:r>
        <w:fldChar w:fldCharType="separate"/>
      </w:r>
      <w:r>
        <w:t>243</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1F19B737">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_Toc17041 </w:instrText>
      </w:r>
      <w:r>
        <w:rPr>
          <w:rFonts w:hint="default" w:ascii="Times New Roman" w:hAnsi="Times New Roman" w:eastAsia="宋体" w:cs="Times New Roman"/>
          <w:smallCaps/>
          <w:kern w:val="0"/>
          <w:szCs w:val="24"/>
          <w:highlight w:val="yellow"/>
        </w:rPr>
        <w:fldChar w:fldCharType="separate"/>
      </w:r>
      <w:r>
        <w:rPr>
          <w:rFonts w:hint="default" w:ascii="Times New Roman" w:hAnsi="Times New Roman" w:eastAsia="宋体" w:cs="Times New Roman"/>
          <w:szCs w:val="24"/>
          <w:highlight w:val="none"/>
          <w:lang w:val="en-US" w:eastAsia="zh-CN"/>
        </w:rPr>
        <w:t>9</w:t>
      </w:r>
      <w:r>
        <w:rPr>
          <w:rFonts w:hint="default" w:ascii="Times New Roman" w:hAnsi="Times New Roman" w:eastAsia="宋体" w:cs="Times New Roman"/>
          <w:szCs w:val="24"/>
          <w:highlight w:val="none"/>
        </w:rPr>
        <w:t>.3拟采取环保措施</w:t>
      </w:r>
      <w:r>
        <w:rPr>
          <w:rFonts w:hint="default" w:ascii="Times New Roman" w:hAnsi="Times New Roman" w:eastAsia="宋体" w:cs="Times New Roman"/>
          <w:szCs w:val="24"/>
          <w:highlight w:val="none"/>
          <w:lang w:eastAsia="zh-CN"/>
        </w:rPr>
        <w:t>及可行性分析结论</w:t>
      </w:r>
      <w:r>
        <w:tab/>
      </w:r>
      <w:r>
        <w:fldChar w:fldCharType="begin"/>
      </w:r>
      <w:r>
        <w:instrText xml:space="preserve"> PAGEREF _Toc17041 \h </w:instrText>
      </w:r>
      <w:r>
        <w:fldChar w:fldCharType="separate"/>
      </w:r>
      <w:r>
        <w:t>245</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248B4CB9">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_Toc25754 </w:instrText>
      </w:r>
      <w:r>
        <w:rPr>
          <w:rFonts w:hint="default" w:ascii="Times New Roman" w:hAnsi="Times New Roman" w:eastAsia="宋体" w:cs="Times New Roman"/>
          <w:smallCaps/>
          <w:kern w:val="0"/>
          <w:szCs w:val="24"/>
          <w:highlight w:val="yellow"/>
        </w:rPr>
        <w:fldChar w:fldCharType="separate"/>
      </w:r>
      <w:r>
        <w:rPr>
          <w:rFonts w:hint="default" w:ascii="Times New Roman" w:hAnsi="Times New Roman" w:eastAsia="宋体" w:cs="Times New Roman"/>
          <w:szCs w:val="24"/>
          <w:highlight w:val="none"/>
          <w:lang w:val="en-US" w:eastAsia="zh-CN"/>
        </w:rPr>
        <w:t>9</w:t>
      </w:r>
      <w:r>
        <w:rPr>
          <w:rFonts w:hint="default" w:ascii="Times New Roman" w:hAnsi="Times New Roman" w:eastAsia="宋体" w:cs="Times New Roman"/>
          <w:szCs w:val="24"/>
          <w:highlight w:val="none"/>
        </w:rPr>
        <w:t>.</w:t>
      </w:r>
      <w:r>
        <w:rPr>
          <w:rFonts w:hint="default" w:ascii="Times New Roman" w:hAnsi="Times New Roman" w:eastAsia="宋体" w:cs="Times New Roman"/>
          <w:szCs w:val="24"/>
          <w:highlight w:val="none"/>
          <w:lang w:val="en-US" w:eastAsia="zh-CN"/>
        </w:rPr>
        <w:t>4</w:t>
      </w:r>
      <w:r>
        <w:rPr>
          <w:rFonts w:hint="default" w:ascii="Times New Roman" w:hAnsi="Times New Roman" w:eastAsia="宋体" w:cs="Times New Roman"/>
          <w:szCs w:val="24"/>
          <w:highlight w:val="none"/>
          <w:lang w:eastAsia="zh-CN"/>
        </w:rPr>
        <w:t>环境影响分析结论</w:t>
      </w:r>
      <w:r>
        <w:tab/>
      </w:r>
      <w:r>
        <w:fldChar w:fldCharType="begin"/>
      </w:r>
      <w:r>
        <w:instrText xml:space="preserve"> PAGEREF _Toc25754 \h </w:instrText>
      </w:r>
      <w:r>
        <w:fldChar w:fldCharType="separate"/>
      </w:r>
      <w:r>
        <w:t>246</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0152F62D">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_Toc20533 </w:instrText>
      </w:r>
      <w:r>
        <w:rPr>
          <w:rFonts w:hint="default" w:ascii="Times New Roman" w:hAnsi="Times New Roman" w:eastAsia="宋体" w:cs="Times New Roman"/>
          <w:smallCaps/>
          <w:kern w:val="0"/>
          <w:szCs w:val="24"/>
          <w:highlight w:val="yellow"/>
        </w:rPr>
        <w:fldChar w:fldCharType="separate"/>
      </w:r>
      <w:r>
        <w:rPr>
          <w:rFonts w:hint="default" w:ascii="Times New Roman" w:hAnsi="Times New Roman" w:eastAsia="宋体" w:cs="Times New Roman"/>
          <w:szCs w:val="24"/>
          <w:highlight w:val="none"/>
          <w:lang w:val="en-US" w:eastAsia="zh-CN"/>
        </w:rPr>
        <w:t>9</w:t>
      </w:r>
      <w:r>
        <w:rPr>
          <w:rFonts w:hint="default" w:ascii="Times New Roman" w:hAnsi="Times New Roman" w:eastAsia="宋体" w:cs="Times New Roman"/>
          <w:szCs w:val="24"/>
          <w:highlight w:val="none"/>
        </w:rPr>
        <w:t>.</w:t>
      </w:r>
      <w:r>
        <w:rPr>
          <w:rFonts w:hint="default" w:ascii="Times New Roman" w:hAnsi="Times New Roman" w:eastAsia="宋体" w:cs="Times New Roman"/>
          <w:szCs w:val="24"/>
          <w:highlight w:val="none"/>
          <w:lang w:val="en-US" w:eastAsia="zh-CN"/>
        </w:rPr>
        <w:t>5</w:t>
      </w:r>
      <w:r>
        <w:rPr>
          <w:rFonts w:hint="default" w:ascii="Times New Roman" w:hAnsi="Times New Roman" w:eastAsia="宋体" w:cs="Times New Roman"/>
          <w:szCs w:val="24"/>
          <w:highlight w:val="none"/>
        </w:rPr>
        <w:t>公众意见采纳情况结论</w:t>
      </w:r>
      <w:r>
        <w:tab/>
      </w:r>
      <w:r>
        <w:fldChar w:fldCharType="begin"/>
      </w:r>
      <w:r>
        <w:instrText xml:space="preserve"> PAGEREF _Toc20533 \h </w:instrText>
      </w:r>
      <w:r>
        <w:fldChar w:fldCharType="separate"/>
      </w:r>
      <w:r>
        <w:t>247</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78AAE153">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_Toc29423 </w:instrText>
      </w:r>
      <w:r>
        <w:rPr>
          <w:rFonts w:hint="default" w:ascii="Times New Roman" w:hAnsi="Times New Roman" w:eastAsia="宋体" w:cs="Times New Roman"/>
          <w:smallCaps/>
          <w:kern w:val="0"/>
          <w:szCs w:val="24"/>
          <w:highlight w:val="yellow"/>
        </w:rPr>
        <w:fldChar w:fldCharType="separate"/>
      </w:r>
      <w:r>
        <w:rPr>
          <w:rFonts w:hint="default" w:ascii="Times New Roman" w:hAnsi="Times New Roman" w:eastAsia="宋体" w:cs="Times New Roman"/>
          <w:szCs w:val="24"/>
          <w:highlight w:val="none"/>
          <w:lang w:val="en-US" w:eastAsia="zh-CN"/>
        </w:rPr>
        <w:t>9</w:t>
      </w:r>
      <w:r>
        <w:rPr>
          <w:rFonts w:hint="default" w:ascii="Times New Roman" w:hAnsi="Times New Roman" w:eastAsia="宋体" w:cs="Times New Roman"/>
          <w:szCs w:val="24"/>
          <w:highlight w:val="none"/>
        </w:rPr>
        <w:t>.</w:t>
      </w:r>
      <w:r>
        <w:rPr>
          <w:rFonts w:hint="default" w:ascii="Times New Roman" w:hAnsi="Times New Roman" w:eastAsia="宋体" w:cs="Times New Roman"/>
          <w:szCs w:val="24"/>
          <w:highlight w:val="none"/>
          <w:lang w:val="en-US" w:eastAsia="zh-CN"/>
        </w:rPr>
        <w:t>6</w:t>
      </w:r>
      <w:r>
        <w:rPr>
          <w:rFonts w:hint="default" w:ascii="Times New Roman" w:hAnsi="Times New Roman" w:eastAsia="宋体" w:cs="Times New Roman"/>
          <w:szCs w:val="24"/>
          <w:highlight w:val="none"/>
        </w:rPr>
        <w:t>总量控制结论</w:t>
      </w:r>
      <w:r>
        <w:tab/>
      </w:r>
      <w:r>
        <w:fldChar w:fldCharType="begin"/>
      </w:r>
      <w:r>
        <w:instrText xml:space="preserve"> PAGEREF _Toc29423 \h </w:instrText>
      </w:r>
      <w:r>
        <w:fldChar w:fldCharType="separate"/>
      </w:r>
      <w:r>
        <w:t>247</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0A3F8B96">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_Toc2575 </w:instrText>
      </w:r>
      <w:r>
        <w:rPr>
          <w:rFonts w:hint="default" w:ascii="Times New Roman" w:hAnsi="Times New Roman" w:eastAsia="宋体" w:cs="Times New Roman"/>
          <w:smallCaps/>
          <w:kern w:val="0"/>
          <w:szCs w:val="24"/>
          <w:highlight w:val="yellow"/>
        </w:rPr>
        <w:fldChar w:fldCharType="separate"/>
      </w:r>
      <w:r>
        <w:rPr>
          <w:rFonts w:hint="default" w:ascii="Times New Roman" w:hAnsi="Times New Roman" w:eastAsia="宋体" w:cs="Times New Roman"/>
          <w:szCs w:val="24"/>
          <w:highlight w:val="none"/>
          <w:lang w:val="en-US" w:eastAsia="zh-CN"/>
        </w:rPr>
        <w:t>9</w:t>
      </w:r>
      <w:r>
        <w:rPr>
          <w:rFonts w:hint="default" w:ascii="Times New Roman" w:hAnsi="Times New Roman" w:eastAsia="宋体" w:cs="Times New Roman"/>
          <w:szCs w:val="24"/>
          <w:highlight w:val="none"/>
        </w:rPr>
        <w:t>.</w:t>
      </w:r>
      <w:r>
        <w:rPr>
          <w:rFonts w:hint="default" w:ascii="Times New Roman" w:hAnsi="Times New Roman" w:eastAsia="宋体" w:cs="Times New Roman"/>
          <w:szCs w:val="24"/>
          <w:highlight w:val="none"/>
          <w:lang w:val="en-US" w:eastAsia="zh-CN"/>
        </w:rPr>
        <w:t>7</w:t>
      </w:r>
      <w:r>
        <w:rPr>
          <w:rFonts w:hint="default" w:ascii="Times New Roman" w:hAnsi="Times New Roman" w:eastAsia="宋体" w:cs="Times New Roman"/>
          <w:szCs w:val="24"/>
          <w:highlight w:val="none"/>
        </w:rPr>
        <w:t>环境影响经济损益分析结论</w:t>
      </w:r>
      <w:r>
        <w:tab/>
      </w:r>
      <w:r>
        <w:fldChar w:fldCharType="begin"/>
      </w:r>
      <w:r>
        <w:instrText xml:space="preserve"> PAGEREF _Toc2575 \h </w:instrText>
      </w:r>
      <w:r>
        <w:fldChar w:fldCharType="separate"/>
      </w:r>
      <w:r>
        <w:t>247</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5BE9366F">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_Toc30452 </w:instrText>
      </w:r>
      <w:r>
        <w:rPr>
          <w:rFonts w:hint="default" w:ascii="Times New Roman" w:hAnsi="Times New Roman" w:eastAsia="宋体" w:cs="Times New Roman"/>
          <w:smallCaps/>
          <w:kern w:val="0"/>
          <w:szCs w:val="24"/>
          <w:highlight w:val="yellow"/>
        </w:rPr>
        <w:fldChar w:fldCharType="separate"/>
      </w:r>
      <w:r>
        <w:rPr>
          <w:rFonts w:hint="default" w:ascii="Times New Roman" w:hAnsi="Times New Roman" w:eastAsia="宋体" w:cs="Times New Roman"/>
          <w:szCs w:val="24"/>
          <w:highlight w:val="none"/>
          <w:lang w:val="en-US" w:eastAsia="zh-CN"/>
        </w:rPr>
        <w:t>9</w:t>
      </w:r>
      <w:r>
        <w:rPr>
          <w:rFonts w:hint="default" w:ascii="Times New Roman" w:hAnsi="Times New Roman" w:eastAsia="宋体" w:cs="Times New Roman"/>
          <w:szCs w:val="24"/>
          <w:highlight w:val="none"/>
        </w:rPr>
        <w:t>.</w:t>
      </w:r>
      <w:r>
        <w:rPr>
          <w:rFonts w:hint="default" w:ascii="Times New Roman" w:hAnsi="Times New Roman" w:eastAsia="宋体" w:cs="Times New Roman"/>
          <w:szCs w:val="24"/>
          <w:highlight w:val="none"/>
          <w:lang w:val="en-US" w:eastAsia="zh-CN"/>
        </w:rPr>
        <w:t>8</w:t>
      </w:r>
      <w:r>
        <w:rPr>
          <w:rFonts w:hint="default" w:ascii="Times New Roman" w:hAnsi="Times New Roman" w:eastAsia="宋体" w:cs="Times New Roman"/>
          <w:szCs w:val="24"/>
          <w:highlight w:val="none"/>
        </w:rPr>
        <w:t>环境管理与监控计划结论</w:t>
      </w:r>
      <w:r>
        <w:tab/>
      </w:r>
      <w:r>
        <w:fldChar w:fldCharType="begin"/>
      </w:r>
      <w:r>
        <w:instrText xml:space="preserve"> PAGEREF _Toc30452 \h </w:instrText>
      </w:r>
      <w:r>
        <w:fldChar w:fldCharType="separate"/>
      </w:r>
      <w:r>
        <w:t>248</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5BC4E702">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_Toc18663 </w:instrText>
      </w:r>
      <w:r>
        <w:rPr>
          <w:rFonts w:hint="default" w:ascii="Times New Roman" w:hAnsi="Times New Roman" w:eastAsia="宋体" w:cs="Times New Roman"/>
          <w:smallCaps/>
          <w:kern w:val="0"/>
          <w:szCs w:val="24"/>
          <w:highlight w:val="yellow"/>
        </w:rPr>
        <w:fldChar w:fldCharType="separate"/>
      </w:r>
      <w:r>
        <w:rPr>
          <w:rFonts w:hint="default" w:ascii="Times New Roman" w:hAnsi="Times New Roman" w:eastAsia="宋体" w:cs="Times New Roman"/>
          <w:szCs w:val="24"/>
          <w:highlight w:val="none"/>
          <w:lang w:val="en-US" w:eastAsia="zh-CN"/>
        </w:rPr>
        <w:t>9</w:t>
      </w:r>
      <w:r>
        <w:rPr>
          <w:rFonts w:hint="default" w:ascii="Times New Roman" w:hAnsi="Times New Roman" w:eastAsia="宋体" w:cs="Times New Roman"/>
          <w:szCs w:val="24"/>
          <w:highlight w:val="none"/>
        </w:rPr>
        <w:t>.</w:t>
      </w:r>
      <w:r>
        <w:rPr>
          <w:rFonts w:hint="default" w:ascii="Times New Roman" w:hAnsi="Times New Roman" w:eastAsia="宋体" w:cs="Times New Roman"/>
          <w:szCs w:val="24"/>
          <w:highlight w:val="none"/>
          <w:lang w:val="en-US" w:eastAsia="zh-CN"/>
        </w:rPr>
        <w:t>9</w:t>
      </w:r>
      <w:r>
        <w:rPr>
          <w:rFonts w:hint="default" w:ascii="Times New Roman" w:hAnsi="Times New Roman" w:eastAsia="宋体" w:cs="Times New Roman"/>
          <w:szCs w:val="24"/>
          <w:highlight w:val="none"/>
        </w:rPr>
        <w:t>项目可行性结论</w:t>
      </w:r>
      <w:r>
        <w:tab/>
      </w:r>
      <w:r>
        <w:fldChar w:fldCharType="begin"/>
      </w:r>
      <w:r>
        <w:instrText xml:space="preserve"> PAGEREF _Toc18663 \h </w:instrText>
      </w:r>
      <w:r>
        <w:fldChar w:fldCharType="separate"/>
      </w:r>
      <w:r>
        <w:t>248</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04E693B5">
      <w:pPr>
        <w:pStyle w:val="39"/>
        <w:keepNext w:val="0"/>
        <w:keepLines w:val="0"/>
        <w:pageBreakBefore w:val="0"/>
        <w:widowControl w:val="0"/>
        <w:tabs>
          <w:tab w:val="right" w:leader="dot" w:pos="9072"/>
        </w:tabs>
        <w:kinsoku/>
        <w:wordWrap/>
        <w:overflowPunct/>
        <w:topLinePunct w:val="0"/>
        <w:bidi w:val="0"/>
        <w:snapToGrid/>
        <w:spacing w:line="460" w:lineRule="exact"/>
        <w:ind w:firstLine="0" w:firstLineChars="0"/>
        <w:textAlignment w:val="auto"/>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begin"/>
      </w:r>
      <w:r>
        <w:rPr>
          <w:rFonts w:hint="default" w:ascii="Times New Roman" w:hAnsi="Times New Roman" w:eastAsia="宋体" w:cs="Times New Roman"/>
          <w:smallCaps/>
          <w:kern w:val="0"/>
          <w:szCs w:val="24"/>
          <w:highlight w:val="yellow"/>
        </w:rPr>
        <w:instrText xml:space="preserve"> HYPERLINK \l _Toc15067 </w:instrText>
      </w:r>
      <w:r>
        <w:rPr>
          <w:rFonts w:hint="default" w:ascii="Times New Roman" w:hAnsi="Times New Roman" w:eastAsia="宋体" w:cs="Times New Roman"/>
          <w:smallCaps/>
          <w:kern w:val="0"/>
          <w:szCs w:val="24"/>
          <w:highlight w:val="yellow"/>
        </w:rPr>
        <w:fldChar w:fldCharType="separate"/>
      </w:r>
      <w:r>
        <w:rPr>
          <w:rFonts w:hint="default" w:ascii="Times New Roman" w:hAnsi="Times New Roman" w:eastAsia="宋体" w:cs="Times New Roman"/>
          <w:szCs w:val="24"/>
          <w:highlight w:val="none"/>
          <w:lang w:val="en-US" w:eastAsia="zh-CN"/>
        </w:rPr>
        <w:t>9</w:t>
      </w:r>
      <w:r>
        <w:rPr>
          <w:rFonts w:hint="default" w:ascii="Times New Roman" w:hAnsi="Times New Roman" w:eastAsia="宋体" w:cs="Times New Roman"/>
          <w:szCs w:val="24"/>
          <w:highlight w:val="none"/>
        </w:rPr>
        <w:t>.</w:t>
      </w:r>
      <w:r>
        <w:rPr>
          <w:rFonts w:hint="default" w:ascii="Times New Roman" w:hAnsi="Times New Roman" w:eastAsia="宋体" w:cs="Times New Roman"/>
          <w:szCs w:val="24"/>
          <w:highlight w:val="none"/>
          <w:lang w:val="en-US" w:eastAsia="zh-CN"/>
        </w:rPr>
        <w:t>10</w:t>
      </w:r>
      <w:r>
        <w:rPr>
          <w:rFonts w:hint="default" w:ascii="Times New Roman" w:hAnsi="Times New Roman" w:eastAsia="宋体" w:cs="Times New Roman"/>
          <w:szCs w:val="24"/>
          <w:highlight w:val="none"/>
        </w:rPr>
        <w:t>建议</w:t>
      </w:r>
      <w:r>
        <w:tab/>
      </w:r>
      <w:r>
        <w:fldChar w:fldCharType="begin"/>
      </w:r>
      <w:r>
        <w:instrText xml:space="preserve"> PAGEREF _Toc15067 \h </w:instrText>
      </w:r>
      <w:r>
        <w:fldChar w:fldCharType="separate"/>
      </w:r>
      <w:r>
        <w:t>248</w:t>
      </w:r>
      <w:r>
        <w:fldChar w:fldCharType="end"/>
      </w: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23C88DF1">
      <w:pPr>
        <w:keepNext w:val="0"/>
        <w:keepLines w:val="0"/>
        <w:pageBreakBefore w:val="0"/>
        <w:widowControl w:val="0"/>
        <w:kinsoku/>
        <w:wordWrap/>
        <w:overflowPunct/>
        <w:topLinePunct w:val="0"/>
        <w:autoSpaceDE w:val="0"/>
        <w:autoSpaceDN w:val="0"/>
        <w:bidi w:val="0"/>
        <w:adjustRightInd w:val="0"/>
        <w:snapToGrid/>
        <w:spacing w:line="460" w:lineRule="exact"/>
        <w:ind w:firstLine="0" w:firstLineChars="0"/>
        <w:jc w:val="center"/>
        <w:textAlignment w:val="auto"/>
        <w:outlineLvl w:val="9"/>
        <w:rPr>
          <w:rFonts w:hint="default" w:ascii="Times New Roman" w:hAnsi="Times New Roman" w:eastAsia="宋体" w:cs="Times New Roman"/>
          <w:smallCaps/>
          <w:color w:val="000000" w:themeColor="text1"/>
          <w:kern w:val="0"/>
          <w:szCs w:val="24"/>
          <w:highlight w:val="yellow"/>
          <w14:textFill>
            <w14:solidFill>
              <w14:schemeClr w14:val="tx1"/>
            </w14:solidFill>
          </w14:textFill>
        </w:rPr>
        <w:sectPr>
          <w:footerReference r:id="rId9" w:type="default"/>
          <w:pgSz w:w="11906" w:h="16838"/>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r>
        <w:rPr>
          <w:rFonts w:hint="default" w:ascii="Times New Roman" w:hAnsi="Times New Roman" w:eastAsia="宋体" w:cs="Times New Roman"/>
          <w:smallCaps/>
          <w:color w:val="000000" w:themeColor="text1"/>
          <w:kern w:val="0"/>
          <w:szCs w:val="24"/>
          <w:highlight w:val="yellow"/>
          <w14:textFill>
            <w14:solidFill>
              <w14:schemeClr w14:val="tx1"/>
            </w14:solidFill>
          </w14:textFill>
        </w:rPr>
        <w:fldChar w:fldCharType="end"/>
      </w:r>
    </w:p>
    <w:p w14:paraId="6045561B">
      <w:pPr>
        <w:spacing w:before="155" w:line="360" w:lineRule="auto"/>
        <w:jc w:val="both"/>
        <w:rPr>
          <w:rFonts w:hint="default" w:ascii="Times New Roman" w:hAnsi="Times New Roman" w:eastAsia="宋体" w:cs="Times New Roman"/>
          <w:b/>
          <w:bCs/>
          <w:color w:val="000000" w:themeColor="text1"/>
          <w:sz w:val="36"/>
          <w:szCs w:val="36"/>
          <w:highlight w:val="none"/>
          <w14:textFill>
            <w14:solidFill>
              <w14:schemeClr w14:val="tx1"/>
            </w14:solidFill>
          </w14:textFill>
        </w:rPr>
      </w:pPr>
      <w:r>
        <w:rPr>
          <w:rFonts w:hint="default" w:ascii="Times New Roman" w:hAnsi="Times New Roman" w:eastAsia="宋体" w:cs="Times New Roman"/>
          <w:b/>
          <w:bCs/>
          <w:color w:val="000000" w:themeColor="text1"/>
          <w:spacing w:val="-7"/>
          <w:sz w:val="36"/>
          <w:szCs w:val="36"/>
          <w:highlight w:val="none"/>
          <w14:textFill>
            <w14:solidFill>
              <w14:schemeClr w14:val="tx1"/>
            </w14:solidFill>
          </w14:textFill>
        </w:rPr>
        <w:t>附</w:t>
      </w:r>
      <w:r>
        <w:rPr>
          <w:rFonts w:hint="default" w:ascii="Times New Roman" w:hAnsi="Times New Roman" w:eastAsia="宋体" w:cs="Times New Roman"/>
          <w:b/>
          <w:bCs/>
          <w:color w:val="000000" w:themeColor="text1"/>
          <w:spacing w:val="-5"/>
          <w:sz w:val="36"/>
          <w:szCs w:val="36"/>
          <w:highlight w:val="none"/>
          <w14:textFill>
            <w14:solidFill>
              <w14:schemeClr w14:val="tx1"/>
            </w14:solidFill>
          </w14:textFill>
        </w:rPr>
        <w:t>图</w:t>
      </w:r>
    </w:p>
    <w:p w14:paraId="6B13D2F9">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附图1</w:t>
      </w:r>
      <w:r>
        <w:rPr>
          <w:rFonts w:hint="eastAsia"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 xml:space="preserve"> </w:t>
      </w: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项目地理位置图</w:t>
      </w:r>
    </w:p>
    <w:p w14:paraId="60B6AD75">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附图2</w:t>
      </w:r>
      <w:r>
        <w:rPr>
          <w:rFonts w:hint="eastAsia"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 xml:space="preserve"> </w:t>
      </w: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项目平面布置及周边关系图</w:t>
      </w:r>
    </w:p>
    <w:p w14:paraId="4FCFE93E">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附图</w:t>
      </w:r>
      <w:r>
        <w:rPr>
          <w:rFonts w:hint="eastAsia"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 xml:space="preserve">3 </w:t>
      </w: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项目厂区防渗分区图</w:t>
      </w:r>
    </w:p>
    <w:p w14:paraId="61DBB90E">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附图</w:t>
      </w:r>
      <w:r>
        <w:rPr>
          <w:rFonts w:hint="eastAsia"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 xml:space="preserve">4 </w:t>
      </w: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项目大气评价范围、敏感点及噪声监测布点图</w:t>
      </w:r>
    </w:p>
    <w:p w14:paraId="5E668923">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附图</w:t>
      </w:r>
      <w:r>
        <w:rPr>
          <w:rFonts w:hint="eastAsia"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 xml:space="preserve">5 </w:t>
      </w: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项目地下水评价范围及检测布点图</w:t>
      </w:r>
    </w:p>
    <w:p w14:paraId="7399A61B">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附图</w:t>
      </w:r>
      <w:r>
        <w:rPr>
          <w:rFonts w:hint="eastAsia"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 xml:space="preserve">6 </w:t>
      </w: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项目</w:t>
      </w:r>
      <w:r>
        <w:rPr>
          <w:rFonts w:hint="eastAsia"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噪声、</w:t>
      </w: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土壤评价范围及检测布点图</w:t>
      </w:r>
    </w:p>
    <w:p w14:paraId="76189C75">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附图7</w:t>
      </w:r>
      <w:r>
        <w:rPr>
          <w:rFonts w:hint="eastAsia"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 xml:space="preserve"> 本项目位于园区位置图</w:t>
      </w:r>
    </w:p>
    <w:p w14:paraId="11597BE3">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附图</w:t>
      </w:r>
      <w:r>
        <w:rPr>
          <w:rFonts w:hint="eastAsia"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8 厂区管网平面布置图</w:t>
      </w:r>
    </w:p>
    <w:p w14:paraId="32D573AA">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附图</w:t>
      </w:r>
      <w:r>
        <w:rPr>
          <w:rFonts w:hint="eastAsia"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 xml:space="preserve">9 </w:t>
      </w: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项目与自然保护区位置关系图</w:t>
      </w:r>
    </w:p>
    <w:p w14:paraId="3E6BF874">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pPr>
      <w:bookmarkStart w:id="4" w:name="OLE_LINK91"/>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附图1</w:t>
      </w:r>
      <w:r>
        <w:rPr>
          <w:rFonts w:hint="eastAsia"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 xml:space="preserve">0 </w:t>
      </w: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项目在环境管控单元分布图中位置图</w:t>
      </w:r>
      <w:bookmarkEnd w:id="4"/>
    </w:p>
    <w:p w14:paraId="14852C86">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附图1</w:t>
      </w:r>
      <w:r>
        <w:rPr>
          <w:rFonts w:hint="eastAsia"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1 本项目收水范围</w:t>
      </w: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图</w:t>
      </w:r>
    </w:p>
    <w:p w14:paraId="098CD45E">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eastAsia"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附图1</w:t>
      </w:r>
      <w:r>
        <w:rPr>
          <w:rFonts w:hint="eastAsia"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2 园区污水管网图</w:t>
      </w:r>
    </w:p>
    <w:p w14:paraId="16C7CAA0">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附图13 本项目与生态保护红线的位置关系图</w:t>
      </w:r>
    </w:p>
    <w:p w14:paraId="611A4591">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附图14 项目周边地表水系图</w:t>
      </w:r>
    </w:p>
    <w:p w14:paraId="60D1F665">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eastAsia"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附图15 园区生态空间管控图</w:t>
      </w:r>
    </w:p>
    <w:p w14:paraId="07B83A34">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附图16 项目与沙化区位置关系图</w:t>
      </w:r>
    </w:p>
    <w:p w14:paraId="502A9B5F">
      <w:pPr>
        <w:spacing w:before="155" w:line="360" w:lineRule="auto"/>
        <w:jc w:val="both"/>
        <w:rPr>
          <w:rFonts w:hint="default" w:ascii="Times New Roman" w:hAnsi="Times New Roman" w:eastAsia="宋体" w:cs="Times New Roman"/>
          <w:b/>
          <w:bCs/>
          <w:color w:val="000000" w:themeColor="text1"/>
          <w:spacing w:val="-5"/>
          <w:sz w:val="36"/>
          <w:szCs w:val="36"/>
          <w:highlight w:val="none"/>
          <w14:textFill>
            <w14:solidFill>
              <w14:schemeClr w14:val="tx1"/>
            </w14:solidFill>
          </w14:textFill>
        </w:rPr>
      </w:pPr>
      <w:r>
        <w:rPr>
          <w:rFonts w:hint="default" w:ascii="Times New Roman" w:hAnsi="Times New Roman" w:eastAsia="宋体" w:cs="Times New Roman"/>
          <w:b/>
          <w:bCs/>
          <w:color w:val="000000" w:themeColor="text1"/>
          <w:spacing w:val="-5"/>
          <w:sz w:val="36"/>
          <w:szCs w:val="36"/>
          <w:highlight w:val="none"/>
          <w14:textFill>
            <w14:solidFill>
              <w14:schemeClr w14:val="tx1"/>
            </w14:solidFill>
          </w14:textFill>
        </w:rPr>
        <w:t>附件</w:t>
      </w:r>
    </w:p>
    <w:p w14:paraId="3E877762">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0"/>
          <w:sz w:val="24"/>
          <w:szCs w:val="24"/>
          <w:highlight w:val="none"/>
          <w14:textFill>
            <w14:solidFill>
              <w14:schemeClr w14:val="tx1"/>
            </w14:solidFill>
          </w14:textFill>
        </w:rPr>
        <w:t>附件1</w:t>
      </w:r>
      <w:r>
        <w:rPr>
          <w:rFonts w:hint="eastAsia" w:cs="Times New Roman"/>
          <w:color w:val="000000" w:themeColor="text1"/>
          <w:spacing w:val="-10"/>
          <w:sz w:val="24"/>
          <w:szCs w:val="24"/>
          <w:highlight w:val="none"/>
          <w:lang w:val="en-US" w:eastAsia="zh-CN"/>
          <w14:textFill>
            <w14:solidFill>
              <w14:schemeClr w14:val="tx1"/>
            </w14:solidFill>
          </w14:textFill>
        </w:rPr>
        <w:t xml:space="preserve"> </w:t>
      </w: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项目投资计划回函</w:t>
      </w:r>
    </w:p>
    <w:p w14:paraId="5576B4FC">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default" w:ascii="Times New Roman" w:hAnsi="Times New Roman" w:eastAsia="宋体" w:cs="Times New Roman"/>
          <w:color w:val="000000" w:themeColor="text1"/>
          <w:spacing w:val="-10"/>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pacing w:val="-10"/>
          <w:sz w:val="24"/>
          <w:szCs w:val="24"/>
          <w:highlight w:val="none"/>
          <w14:textFill>
            <w14:solidFill>
              <w14:schemeClr w14:val="tx1"/>
            </w14:solidFill>
          </w14:textFill>
        </w:rPr>
        <w:t>附件</w:t>
      </w: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2</w:t>
      </w:r>
      <w:r>
        <w:rPr>
          <w:rFonts w:hint="eastAsia" w:cs="Times New Roman"/>
          <w:color w:val="000000" w:themeColor="text1"/>
          <w:spacing w:val="-10"/>
          <w:sz w:val="24"/>
          <w:szCs w:val="24"/>
          <w:highlight w:val="none"/>
          <w:lang w:val="en-US" w:eastAsia="zh-CN"/>
          <w14:textFill>
            <w14:solidFill>
              <w14:schemeClr w14:val="tx1"/>
            </w14:solidFill>
          </w14:textFill>
        </w:rPr>
        <w:t xml:space="preserve"> </w:t>
      </w:r>
      <w:r>
        <w:rPr>
          <w:rFonts w:hint="default" w:ascii="Times New Roman" w:hAnsi="Times New Roman" w:eastAsia="宋体" w:cs="Times New Roman"/>
          <w:color w:val="000000" w:themeColor="text1"/>
          <w:spacing w:val="-10"/>
          <w:sz w:val="24"/>
          <w:szCs w:val="24"/>
          <w:highlight w:val="none"/>
          <w14:textFill>
            <w14:solidFill>
              <w14:schemeClr w14:val="tx1"/>
            </w14:solidFill>
          </w14:textFill>
        </w:rPr>
        <w:t>土地</w:t>
      </w: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手续</w:t>
      </w:r>
    </w:p>
    <w:p w14:paraId="3D894594">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default" w:ascii="Times New Roman" w:hAnsi="Times New Roman" w:eastAsia="宋体" w:cs="Times New Roman"/>
          <w:color w:val="000000" w:themeColor="text1"/>
          <w:spacing w:val="-10"/>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pacing w:val="-10"/>
          <w:sz w:val="24"/>
          <w:szCs w:val="24"/>
          <w:highlight w:val="none"/>
          <w14:textFill>
            <w14:solidFill>
              <w14:schemeClr w14:val="tx1"/>
            </w14:solidFill>
          </w14:textFill>
        </w:rPr>
        <w:t>附件</w:t>
      </w: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3</w:t>
      </w:r>
      <w:r>
        <w:rPr>
          <w:rFonts w:hint="eastAsia" w:cs="Times New Roman"/>
          <w:color w:val="000000" w:themeColor="text1"/>
          <w:spacing w:val="-10"/>
          <w:sz w:val="24"/>
          <w:szCs w:val="24"/>
          <w:highlight w:val="none"/>
          <w:lang w:val="en-US" w:eastAsia="zh-CN"/>
          <w14:textFill>
            <w14:solidFill>
              <w14:schemeClr w14:val="tx1"/>
            </w14:solidFill>
          </w14:textFill>
        </w:rPr>
        <w:t xml:space="preserve"> </w:t>
      </w:r>
      <w:r>
        <w:rPr>
          <w:rFonts w:hint="default" w:ascii="Times New Roman" w:hAnsi="Times New Roman" w:eastAsia="宋体" w:cs="Times New Roman"/>
          <w:color w:val="000000" w:themeColor="text1"/>
          <w:spacing w:val="-10"/>
          <w:sz w:val="24"/>
          <w:szCs w:val="24"/>
          <w:highlight w:val="none"/>
          <w:lang w:eastAsia="zh-CN"/>
          <w14:textFill>
            <w14:solidFill>
              <w14:schemeClr w14:val="tx1"/>
            </w14:solidFill>
          </w14:textFill>
        </w:rPr>
        <w:t>企业现有环评手续</w:t>
      </w:r>
    </w:p>
    <w:p w14:paraId="06A99224">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0"/>
          <w:sz w:val="24"/>
          <w:szCs w:val="24"/>
          <w:highlight w:val="none"/>
          <w14:textFill>
            <w14:solidFill>
              <w14:schemeClr w14:val="tx1"/>
            </w14:solidFill>
          </w14:textFill>
        </w:rPr>
        <w:t>附件</w:t>
      </w: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4</w:t>
      </w:r>
      <w:r>
        <w:rPr>
          <w:rFonts w:hint="eastAsia" w:cs="Times New Roman"/>
          <w:color w:val="000000" w:themeColor="text1"/>
          <w:spacing w:val="-10"/>
          <w:sz w:val="24"/>
          <w:szCs w:val="24"/>
          <w:highlight w:val="none"/>
          <w:lang w:val="en-US" w:eastAsia="zh-CN"/>
          <w14:textFill>
            <w14:solidFill>
              <w14:schemeClr w14:val="tx1"/>
            </w14:solidFill>
          </w14:textFill>
        </w:rPr>
        <w:t xml:space="preserve"> </w:t>
      </w: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企业现有固定污染源登记回执</w:t>
      </w:r>
    </w:p>
    <w:p w14:paraId="470C705E">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default" w:ascii="Times New Roman" w:hAnsi="Times New Roman" w:eastAsia="宋体" w:cs="Times New Roman"/>
          <w:color w:val="000000" w:themeColor="text1"/>
          <w:spacing w:val="-10"/>
          <w:sz w:val="24"/>
          <w:szCs w:val="24"/>
          <w:highlight w:val="none"/>
          <w:lang w:val="en-US"/>
          <w14:textFill>
            <w14:solidFill>
              <w14:schemeClr w14:val="tx1"/>
            </w14:solidFill>
          </w14:textFill>
        </w:rPr>
      </w:pPr>
      <w:r>
        <w:rPr>
          <w:rFonts w:hint="default" w:ascii="Times New Roman" w:hAnsi="Times New Roman" w:eastAsia="宋体" w:cs="Times New Roman"/>
          <w:color w:val="000000" w:themeColor="text1"/>
          <w:spacing w:val="-10"/>
          <w:sz w:val="24"/>
          <w:szCs w:val="24"/>
          <w:highlight w:val="none"/>
          <w14:textFill>
            <w14:solidFill>
              <w14:schemeClr w14:val="tx1"/>
            </w14:solidFill>
          </w14:textFill>
        </w:rPr>
        <w:t>附件</w:t>
      </w: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5</w:t>
      </w:r>
      <w:r>
        <w:rPr>
          <w:rFonts w:hint="eastAsia" w:cs="Times New Roman"/>
          <w:color w:val="000000" w:themeColor="text1"/>
          <w:spacing w:val="-10"/>
          <w:sz w:val="24"/>
          <w:szCs w:val="24"/>
          <w:highlight w:val="none"/>
          <w:lang w:val="en-US" w:eastAsia="zh-CN"/>
          <w14:textFill>
            <w14:solidFill>
              <w14:schemeClr w14:val="tx1"/>
            </w14:solidFill>
          </w14:textFill>
        </w:rPr>
        <w:t xml:space="preserve"> </w:t>
      </w: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现状监测（大气、地下水、土壤引用）</w:t>
      </w:r>
    </w:p>
    <w:p w14:paraId="51056EE2">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default" w:ascii="Times New Roman" w:hAnsi="Times New Roman" w:eastAsia="宋体" w:cs="Times New Roman"/>
          <w:color w:val="000000" w:themeColor="text1"/>
          <w:spacing w:val="-10"/>
          <w:sz w:val="24"/>
          <w:szCs w:val="24"/>
          <w:highlight w:val="none"/>
          <w14:textFill>
            <w14:solidFill>
              <w14:schemeClr w14:val="tx1"/>
            </w14:solidFill>
          </w14:textFill>
        </w:rPr>
      </w:pPr>
      <w:r>
        <w:rPr>
          <w:rFonts w:hint="default" w:ascii="Times New Roman" w:hAnsi="Times New Roman" w:eastAsia="宋体" w:cs="Times New Roman"/>
          <w:color w:val="000000" w:themeColor="text1"/>
          <w:spacing w:val="-10"/>
          <w:sz w:val="24"/>
          <w:szCs w:val="24"/>
          <w:highlight w:val="none"/>
          <w14:textFill>
            <w14:solidFill>
              <w14:schemeClr w14:val="tx1"/>
            </w14:solidFill>
          </w14:textFill>
        </w:rPr>
        <w:t>附件</w:t>
      </w: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6</w:t>
      </w:r>
      <w:r>
        <w:rPr>
          <w:rFonts w:hint="eastAsia" w:cs="Times New Roman"/>
          <w:color w:val="000000" w:themeColor="text1"/>
          <w:spacing w:val="-10"/>
          <w:sz w:val="24"/>
          <w:szCs w:val="24"/>
          <w:highlight w:val="none"/>
          <w:lang w:val="en-US" w:eastAsia="zh-CN"/>
          <w14:textFill>
            <w14:solidFill>
              <w14:schemeClr w14:val="tx1"/>
            </w14:solidFill>
          </w14:textFill>
        </w:rPr>
        <w:t xml:space="preserve"> </w:t>
      </w:r>
      <w:r>
        <w:rPr>
          <w:rFonts w:hint="default" w:ascii="Times New Roman" w:hAnsi="Times New Roman" w:eastAsia="宋体" w:cs="Times New Roman"/>
          <w:color w:val="000000" w:themeColor="text1"/>
          <w:spacing w:val="-10"/>
          <w:sz w:val="24"/>
          <w:szCs w:val="24"/>
          <w:highlight w:val="none"/>
          <w:lang w:eastAsia="zh-CN"/>
          <w14:textFill>
            <w14:solidFill>
              <w14:schemeClr w14:val="tx1"/>
            </w14:solidFill>
          </w14:textFill>
        </w:rPr>
        <w:t>现状监测（</w:t>
      </w: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地下水引用</w:t>
      </w:r>
      <w:r>
        <w:rPr>
          <w:rFonts w:hint="default" w:ascii="Times New Roman" w:hAnsi="Times New Roman" w:eastAsia="宋体" w:cs="Times New Roman"/>
          <w:color w:val="000000" w:themeColor="text1"/>
          <w:spacing w:val="-10"/>
          <w:sz w:val="24"/>
          <w:szCs w:val="24"/>
          <w:highlight w:val="none"/>
          <w:lang w:eastAsia="zh-CN"/>
          <w14:textFill>
            <w14:solidFill>
              <w14:schemeClr w14:val="tx1"/>
            </w14:solidFill>
          </w14:textFill>
        </w:rPr>
        <w:t>）</w:t>
      </w:r>
    </w:p>
    <w:p w14:paraId="7E54088F">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0"/>
          <w:sz w:val="24"/>
          <w:szCs w:val="24"/>
          <w:highlight w:val="none"/>
          <w14:textFill>
            <w14:solidFill>
              <w14:schemeClr w14:val="tx1"/>
            </w14:solidFill>
          </w14:textFill>
        </w:rPr>
        <w:t>附件</w:t>
      </w: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7</w:t>
      </w:r>
      <w:r>
        <w:rPr>
          <w:rFonts w:hint="eastAsia" w:cs="Times New Roman"/>
          <w:color w:val="000000" w:themeColor="text1"/>
          <w:spacing w:val="-10"/>
          <w:sz w:val="24"/>
          <w:szCs w:val="24"/>
          <w:highlight w:val="none"/>
          <w:lang w:val="en-US" w:eastAsia="zh-CN"/>
          <w14:textFill>
            <w14:solidFill>
              <w14:schemeClr w14:val="tx1"/>
            </w14:solidFill>
          </w14:textFill>
        </w:rPr>
        <w:t xml:space="preserve"> </w:t>
      </w: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现状监测（噪声、地下水）</w:t>
      </w:r>
    </w:p>
    <w:p w14:paraId="32C05976">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0"/>
          <w:sz w:val="24"/>
          <w:szCs w:val="24"/>
          <w:highlight w:val="none"/>
          <w14:textFill>
            <w14:solidFill>
              <w14:schemeClr w14:val="tx1"/>
            </w14:solidFill>
          </w14:textFill>
        </w:rPr>
        <w:t>附件</w:t>
      </w: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8</w:t>
      </w:r>
      <w:r>
        <w:rPr>
          <w:rFonts w:hint="eastAsia" w:cs="Times New Roman"/>
          <w:color w:val="000000" w:themeColor="text1"/>
          <w:spacing w:val="-10"/>
          <w:sz w:val="24"/>
          <w:szCs w:val="24"/>
          <w:highlight w:val="none"/>
          <w:lang w:val="en-US" w:eastAsia="zh-CN"/>
          <w14:textFill>
            <w14:solidFill>
              <w14:schemeClr w14:val="tx1"/>
            </w14:solidFill>
          </w14:textFill>
        </w:rPr>
        <w:t xml:space="preserve"> </w:t>
      </w: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现状监测（土壤和包气带）</w:t>
      </w:r>
    </w:p>
    <w:p w14:paraId="65DAC947">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0"/>
          <w:sz w:val="24"/>
          <w:szCs w:val="24"/>
          <w:highlight w:val="none"/>
          <w14:textFill>
            <w14:solidFill>
              <w14:schemeClr w14:val="tx1"/>
            </w14:solidFill>
          </w14:textFill>
        </w:rPr>
        <w:t>附件</w:t>
      </w: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9</w:t>
      </w:r>
      <w:r>
        <w:rPr>
          <w:rFonts w:hint="eastAsia" w:cs="Times New Roman"/>
          <w:color w:val="000000" w:themeColor="text1"/>
          <w:spacing w:val="-10"/>
          <w:sz w:val="24"/>
          <w:szCs w:val="24"/>
          <w:highlight w:val="none"/>
          <w:lang w:val="en-US" w:eastAsia="zh-CN"/>
          <w14:textFill>
            <w14:solidFill>
              <w14:schemeClr w14:val="tx1"/>
            </w14:solidFill>
          </w14:textFill>
        </w:rPr>
        <w:t xml:space="preserve"> </w:t>
      </w: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园区规划环评批复（2018）</w:t>
      </w:r>
    </w:p>
    <w:p w14:paraId="45DBCAC0">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附件1</w:t>
      </w:r>
      <w:r>
        <w:rPr>
          <w:rFonts w:hint="eastAsia" w:cs="Times New Roman"/>
          <w:color w:val="000000" w:themeColor="text1"/>
          <w:spacing w:val="-10"/>
          <w:sz w:val="24"/>
          <w:szCs w:val="24"/>
          <w:highlight w:val="none"/>
          <w:lang w:val="en-US" w:eastAsia="zh-CN"/>
          <w14:textFill>
            <w14:solidFill>
              <w14:schemeClr w14:val="tx1"/>
            </w14:solidFill>
          </w14:textFill>
        </w:rPr>
        <w:t xml:space="preserve">0 </w:t>
      </w: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园区规划环评跟踪评价报告书批复</w:t>
      </w:r>
    </w:p>
    <w:p w14:paraId="131BDE13">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附件</w:t>
      </w:r>
      <w:r>
        <w:rPr>
          <w:rFonts w:hint="eastAsia"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11 供水协议</w:t>
      </w:r>
    </w:p>
    <w:p w14:paraId="64FC35E3">
      <w:pPr>
        <w:keepNext w:val="0"/>
        <w:keepLines w:val="0"/>
        <w:pageBreakBefore w:val="0"/>
        <w:widowControl w:val="0"/>
        <w:kinsoku/>
        <w:wordWrap/>
        <w:overflowPunct/>
        <w:topLinePunct w:val="0"/>
        <w:autoSpaceDE/>
        <w:autoSpaceDN/>
        <w:bidi w:val="0"/>
        <w:adjustRightInd/>
        <w:snapToGrid/>
        <w:spacing w:line="440" w:lineRule="exact"/>
        <w:ind w:left="0" w:right="0" w:firstLine="0"/>
        <w:textAlignment w:val="auto"/>
        <w:rPr>
          <w:rFonts w:hint="default" w:ascii="Times New Roman" w:hAnsi="Times New Roman" w:eastAsia="宋体" w:cs="Times New Roman"/>
          <w:color w:val="000000" w:themeColor="text1"/>
          <w:spacing w:val="-10"/>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pacing w:val="-10"/>
          <w:sz w:val="24"/>
          <w:szCs w:val="24"/>
          <w:highlight w:val="none"/>
          <w:lang w:val="en-US" w:eastAsia="zh-CN"/>
          <w14:textFill>
            <w14:solidFill>
              <w14:schemeClr w14:val="tx1"/>
            </w14:solidFill>
          </w14:textFill>
        </w:rPr>
        <w:t>附件</w:t>
      </w:r>
      <w:r>
        <w:rPr>
          <w:rFonts w:hint="eastAsia" w:cs="Times New Roman"/>
          <w:color w:val="000000" w:themeColor="text1"/>
          <w:spacing w:val="-10"/>
          <w:sz w:val="24"/>
          <w:szCs w:val="24"/>
          <w:highlight w:val="none"/>
          <w:lang w:val="en-US" w:eastAsia="zh-CN"/>
          <w14:textFill>
            <w14:solidFill>
              <w14:schemeClr w14:val="tx1"/>
            </w14:solidFill>
          </w14:textFill>
        </w:rPr>
        <w:t xml:space="preserve">12 </w:t>
      </w:r>
      <w:r>
        <w:rPr>
          <w:rFonts w:hint="default" w:ascii="Times New Roman" w:hAnsi="Times New Roman" w:eastAsia="宋体" w:cs="Times New Roman"/>
          <w:color w:val="000000" w:themeColor="text1"/>
          <w:spacing w:val="-10"/>
          <w:sz w:val="24"/>
          <w:szCs w:val="24"/>
          <w:highlight w:val="none"/>
          <w14:textFill>
            <w14:solidFill>
              <w14:schemeClr w14:val="tx1"/>
            </w14:solidFill>
          </w14:textFill>
        </w:rPr>
        <w:t>建设项目环评审批基础信息表</w:t>
      </w:r>
    </w:p>
    <w:p w14:paraId="711B1423">
      <w:pPr>
        <w:keepNext w:val="0"/>
        <w:keepLines w:val="0"/>
        <w:pageBreakBefore w:val="0"/>
        <w:widowControl w:val="0"/>
        <w:kinsoku/>
        <w:wordWrap/>
        <w:overflowPunct/>
        <w:topLinePunct w:val="0"/>
        <w:autoSpaceDE/>
        <w:autoSpaceDN/>
        <w:bidi w:val="0"/>
        <w:adjustRightInd/>
        <w:snapToGrid/>
        <w:spacing w:line="400" w:lineRule="exact"/>
        <w:ind w:left="0" w:right="0" w:firstLine="0"/>
        <w:textAlignment w:val="auto"/>
        <w:rPr>
          <w:rFonts w:hint="default" w:ascii="Times New Roman" w:hAnsi="Times New Roman" w:eastAsia="宋体" w:cs="Times New Roman"/>
          <w:color w:val="000000" w:themeColor="text1"/>
          <w:spacing w:val="-10"/>
          <w:sz w:val="24"/>
          <w:szCs w:val="24"/>
          <w:highlight w:val="none"/>
          <w14:textFill>
            <w14:solidFill>
              <w14:schemeClr w14:val="tx1"/>
            </w14:solidFill>
          </w14:textFill>
        </w:rPr>
        <w:sectPr>
          <w:footerReference r:id="rId10" w:type="default"/>
          <w:pgSz w:w="11906" w:h="16838"/>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p>
    <w:p w14:paraId="1DD3B0F0">
      <w:pPr>
        <w:pageBreakBefore w:val="0"/>
        <w:widowControl w:val="0"/>
        <w:kinsoku/>
        <w:wordWrap/>
        <w:overflowPunct/>
        <w:topLinePunct w:val="0"/>
        <w:autoSpaceDE/>
        <w:autoSpaceDN/>
        <w:bidi w:val="0"/>
        <w:adjustRightInd/>
        <w:snapToGrid/>
        <w:spacing w:line="500" w:lineRule="exact"/>
        <w:ind w:left="0" w:right="0" w:firstLine="0"/>
        <w:textAlignment w:val="auto"/>
        <w:rPr>
          <w:rFonts w:hint="default" w:ascii="Times New Roman" w:hAnsi="Times New Roman" w:eastAsia="宋体" w:cs="Times New Roman"/>
          <w:color w:val="000000" w:themeColor="text1"/>
          <w:spacing w:val="-10"/>
          <w:sz w:val="24"/>
          <w:szCs w:val="24"/>
          <w:highlight w:val="cyan"/>
          <w14:textFill>
            <w14:solidFill>
              <w14:schemeClr w14:val="tx1"/>
            </w14:solidFill>
          </w14:textFill>
        </w:rPr>
        <w:sectPr>
          <w:pgSz w:w="11906" w:h="16838"/>
          <w:pgMar w:top="1417" w:right="1417" w:bottom="1417" w:left="1417" w:header="680" w:footer="992" w:gutter="0"/>
          <w:pgBorders>
            <w:top w:val="none" w:sz="0" w:space="0"/>
            <w:left w:val="none" w:sz="0" w:space="0"/>
            <w:bottom w:val="none" w:sz="0" w:space="0"/>
            <w:right w:val="none" w:sz="0" w:space="0"/>
          </w:pgBorders>
          <w:pgNumType w:fmt="decimal"/>
          <w:cols w:space="0" w:num="1"/>
          <w:rtlGutter w:val="0"/>
          <w:docGrid w:type="lines" w:linePitch="318" w:charSpace="0"/>
        </w:sectPr>
      </w:pPr>
    </w:p>
    <w:p w14:paraId="7576DF06">
      <w:pPr>
        <w:pStyle w:val="5"/>
        <w:bidi w:val="0"/>
        <w:rPr>
          <w:rFonts w:hint="default" w:ascii="Times New Roman" w:hAnsi="Times New Roman" w:eastAsia="宋体" w:cs="Times New Roman"/>
          <w:color w:val="000000" w:themeColor="text1"/>
          <w:sz w:val="24"/>
          <w:szCs w:val="24"/>
          <w:highlight w:val="none"/>
          <w14:textFill>
            <w14:solidFill>
              <w14:schemeClr w14:val="tx1"/>
            </w14:solidFill>
          </w14:textFill>
        </w:rPr>
      </w:pPr>
      <w:bookmarkStart w:id="5" w:name="_Toc23030"/>
      <w:r>
        <w:rPr>
          <w:rFonts w:hint="default" w:ascii="Times New Roman" w:hAnsi="Times New Roman" w:eastAsia="宋体" w:cs="Times New Roman"/>
          <w:color w:val="000000" w:themeColor="text1"/>
          <w:sz w:val="24"/>
          <w:szCs w:val="24"/>
          <w:highlight w:val="none"/>
          <w14:textFill>
            <w14:solidFill>
              <w14:schemeClr w14:val="tx1"/>
            </w14:solidFill>
          </w14:textFill>
        </w:rPr>
        <w:t>1</w:t>
      </w:r>
      <w:bookmarkStart w:id="6" w:name="_Toc528460163"/>
      <w:bookmarkStart w:id="7" w:name="_Toc528460232"/>
      <w:bookmarkStart w:id="8" w:name="_Toc25718056"/>
      <w:bookmarkStart w:id="9" w:name="_Toc528460412"/>
      <w:bookmarkStart w:id="10" w:name="_Toc528460453"/>
      <w:bookmarkStart w:id="11" w:name="_Toc20104503"/>
      <w:bookmarkStart w:id="12" w:name="_Toc529673118"/>
      <w:bookmarkStart w:id="13" w:name="_Toc2851221"/>
      <w:bookmarkStart w:id="14" w:name="_Toc529673406"/>
      <w:bookmarkStart w:id="15" w:name="_Toc528460586"/>
      <w:bookmarkStart w:id="16" w:name="_Toc29783533"/>
      <w:bookmarkStart w:id="17" w:name="_Toc32742808"/>
      <w:bookmarkStart w:id="18" w:name="_Toc528460542"/>
      <w:bookmarkStart w:id="19" w:name="_Toc20645402"/>
      <w:bookmarkStart w:id="20" w:name="_Toc99941153"/>
      <w:bookmarkStart w:id="21" w:name="_Toc2851375"/>
      <w:bookmarkStart w:id="22" w:name="_Toc36962132"/>
      <w:bookmarkStart w:id="23" w:name="_Toc36967959"/>
      <w:bookmarkStart w:id="24" w:name="_Toc38273046"/>
      <w:bookmarkStart w:id="25" w:name="_Toc34467801"/>
      <w:bookmarkStart w:id="26" w:name="_Toc23732363"/>
      <w:bookmarkStart w:id="27" w:name="_Toc32742181"/>
      <w:bookmarkStart w:id="28" w:name="_Toc25040837"/>
      <w:bookmarkStart w:id="29" w:name="_Toc528460305"/>
      <w:bookmarkStart w:id="30" w:name="_Toc529673267"/>
      <w:bookmarkStart w:id="31" w:name="_Toc24278987"/>
      <w:r>
        <w:rPr>
          <w:rFonts w:hint="default" w:ascii="Times New Roman" w:hAnsi="Times New Roman" w:eastAsia="宋体" w:cs="Times New Roman"/>
          <w:color w:val="000000" w:themeColor="text1"/>
          <w:sz w:val="24"/>
          <w:szCs w:val="24"/>
          <w:highlight w:val="none"/>
          <w14:textFill>
            <w14:solidFill>
              <w14:schemeClr w14:val="tx1"/>
            </w14:solidFill>
          </w14:textFill>
        </w:rPr>
        <w:t>概述</w:t>
      </w:r>
      <w:bookmarkEnd w:id="5"/>
    </w:p>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14:paraId="1C21A029">
      <w:pPr>
        <w:spacing w:line="480" w:lineRule="exact"/>
        <w:ind w:firstLine="480" w:firstLineChars="200"/>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bookmarkStart w:id="32" w:name="_Toc246763513"/>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唐山市曹妃甸区垦丰家居产业园区</w:t>
      </w:r>
      <w:r>
        <w:rPr>
          <w:rFonts w:hint="eastAsia" w:cs="Times New Roman"/>
          <w:color w:val="000000" w:themeColor="text1"/>
          <w:sz w:val="24"/>
          <w:szCs w:val="24"/>
          <w:highlight w:val="none"/>
          <w:lang w:val="en-US" w:eastAsia="zh-CN"/>
          <w14:textFill>
            <w14:solidFill>
              <w14:schemeClr w14:val="tx1"/>
            </w14:solidFill>
          </w14:textFill>
        </w:rPr>
        <w:t>建立于2018年，</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园区发展定位</w:t>
      </w:r>
      <w:r>
        <w:rPr>
          <w:rFonts w:hint="eastAsia" w:cs="Times New Roman"/>
          <w:color w:val="000000" w:themeColor="text1"/>
          <w:sz w:val="24"/>
          <w:szCs w:val="24"/>
          <w:highlight w:val="none"/>
          <w:lang w:val="en-US" w:eastAsia="zh-CN"/>
          <w14:textFill>
            <w14:solidFill>
              <w14:schemeClr w14:val="tx1"/>
            </w14:solidFill>
          </w14:textFill>
        </w:rPr>
        <w:t>以</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家具制造业及其上游产业为主导产业，</w:t>
      </w:r>
      <w:r>
        <w:rPr>
          <w:rFonts w:hint="eastAsia" w:cs="Times New Roman"/>
          <w:color w:val="000000" w:themeColor="text1"/>
          <w:sz w:val="24"/>
          <w:szCs w:val="24"/>
          <w:highlight w:val="none"/>
          <w:lang w:val="en-US" w:eastAsia="zh-CN"/>
          <w14:textFill>
            <w14:solidFill>
              <w14:schemeClr w14:val="tx1"/>
            </w14:solidFill>
          </w14:textFill>
        </w:rPr>
        <w:t>建设初期</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园区</w:t>
      </w:r>
      <w:r>
        <w:rPr>
          <w:rFonts w:hint="eastAsia" w:cs="Times New Roman"/>
          <w:color w:val="000000" w:themeColor="text1"/>
          <w:sz w:val="24"/>
          <w:szCs w:val="24"/>
          <w:highlight w:val="none"/>
          <w:lang w:val="en-US" w:eastAsia="zh-CN"/>
          <w14:textFill>
            <w14:solidFill>
              <w14:schemeClr w14:val="tx1"/>
            </w14:solidFill>
          </w14:textFill>
        </w:rPr>
        <w:t>企业入驻率较低，企业外排水</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主要为生活污水。</w:t>
      </w:r>
      <w:r>
        <w:rPr>
          <w:rFonts w:hint="eastAsia" w:cs="Times New Roman"/>
          <w:color w:val="000000" w:themeColor="text1"/>
          <w:sz w:val="24"/>
          <w:szCs w:val="24"/>
          <w:highlight w:val="none"/>
          <w:lang w:val="en-US" w:eastAsia="zh-CN"/>
          <w14:textFill>
            <w14:solidFill>
              <w14:schemeClr w14:val="tx1"/>
            </w14:solidFill>
          </w14:textFill>
        </w:rPr>
        <w:t>为了集中处理</w:t>
      </w:r>
      <w:r>
        <w:rPr>
          <w:rFonts w:hint="eastAsia"/>
          <w:highlight w:val="none"/>
          <w:lang w:val="en-US" w:eastAsia="zh-CN"/>
        </w:rPr>
        <w:t>企业</w:t>
      </w:r>
      <w:r>
        <w:rPr>
          <w:rFonts w:hint="eastAsia" w:cs="Times New Roman"/>
          <w:color w:val="000000" w:themeColor="text1"/>
          <w:sz w:val="24"/>
          <w:szCs w:val="24"/>
          <w:highlight w:val="none"/>
          <w:lang w:val="en-US" w:eastAsia="zh-CN"/>
          <w14:textFill>
            <w14:solidFill>
              <w14:schemeClr w14:val="tx1"/>
            </w14:solidFill>
          </w14:textFill>
        </w:rPr>
        <w:t>废水，在</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园区西北侧</w:t>
      </w:r>
      <w:r>
        <w:rPr>
          <w:rFonts w:hint="eastAsia" w:cs="Times New Roman"/>
          <w:color w:val="000000" w:themeColor="text1"/>
          <w:sz w:val="24"/>
          <w:szCs w:val="24"/>
          <w:highlight w:val="none"/>
          <w:lang w:val="en-US" w:eastAsia="zh-CN"/>
          <w14:textFill>
            <w14:solidFill>
              <w14:schemeClr w14:val="tx1"/>
            </w14:solidFill>
          </w14:textFill>
        </w:rPr>
        <w:t>设置一座处理规模为50m</w:t>
      </w:r>
      <w:r>
        <w:rPr>
          <w:rFonts w:hint="eastAsia" w:cs="Times New Roman"/>
          <w:color w:val="000000" w:themeColor="text1"/>
          <w:sz w:val="24"/>
          <w:szCs w:val="24"/>
          <w:highlight w:val="none"/>
          <w:vertAlign w:val="superscript"/>
          <w:lang w:val="en-US" w:eastAsia="zh-CN"/>
          <w14:textFill>
            <w14:solidFill>
              <w14:schemeClr w14:val="tx1"/>
            </w14:solidFill>
          </w14:textFill>
        </w:rPr>
        <w:t>3</w:t>
      </w:r>
      <w:r>
        <w:rPr>
          <w:rFonts w:hint="eastAsia" w:cs="Times New Roman"/>
          <w:color w:val="000000" w:themeColor="text1"/>
          <w:sz w:val="24"/>
          <w:szCs w:val="24"/>
          <w:highlight w:val="none"/>
          <w:lang w:val="en-US" w:eastAsia="zh-CN"/>
          <w14:textFill>
            <w14:solidFill>
              <w14:schemeClr w14:val="tx1"/>
            </w14:solidFill>
          </w14:textFill>
        </w:rPr>
        <w:t>/d的</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污水处理站</w:t>
      </w:r>
      <w:r>
        <w:rPr>
          <w:rFonts w:hint="eastAsia" w:cs="Times New Roman"/>
          <w:color w:val="000000" w:themeColor="text1"/>
          <w:sz w:val="24"/>
          <w:szCs w:val="24"/>
          <w:highlight w:val="none"/>
          <w:lang w:val="en-US" w:eastAsia="zh-CN"/>
          <w14:textFill>
            <w14:solidFill>
              <w14:schemeClr w14:val="tx1"/>
            </w14:solidFill>
          </w14:textFill>
        </w:rPr>
        <w:t>，采用MMBR膜一体化处理工艺。现有污水处理站</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于2022年11月填报了环境影响登记表，于2022年11月10日取得了固定污染源排污登记回执，登记编号：911302307183965422001Z，有效期：2022年11月10日至2027年11月09日。随着园区入驻企业逐渐增多，污水种类增加，现有污水处理</w:t>
      </w:r>
      <w:r>
        <w:rPr>
          <w:rFonts w:hint="eastAsia" w:cs="Times New Roman"/>
          <w:color w:val="000000" w:themeColor="text1"/>
          <w:sz w:val="24"/>
          <w:szCs w:val="24"/>
          <w:highlight w:val="none"/>
          <w:lang w:val="en-US" w:eastAsia="zh-CN"/>
          <w14:textFill>
            <w14:solidFill>
              <w14:schemeClr w14:val="tx1"/>
            </w14:solidFill>
          </w14:textFill>
        </w:rPr>
        <w:t>站</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无法满足园区污水处理要求，污水处理能力制约园区规模的进一步扩大，急需扩建现有污水处理厂。</w:t>
      </w:r>
      <w:r>
        <w:rPr>
          <w:rFonts w:hint="default" w:ascii="Times New Roman" w:hAnsi="Times New Roman" w:eastAsia="宋体" w:cs="Times New Roman"/>
          <w:color w:val="000000" w:themeColor="text1"/>
          <w:sz w:val="24"/>
          <w:szCs w:val="24"/>
          <w:highlight w:val="none"/>
          <w14:textFill>
            <w14:solidFill>
              <w14:schemeClr w14:val="tx1"/>
            </w14:solidFill>
          </w14:textFill>
        </w:rPr>
        <w:t>在此背景下，</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唐山市曹妃甸区第十一农场</w:t>
      </w:r>
      <w:r>
        <w:rPr>
          <w:rFonts w:hint="default" w:ascii="Times New Roman" w:hAnsi="Times New Roman" w:eastAsia="宋体" w:cs="Times New Roman"/>
          <w:color w:val="000000" w:themeColor="text1"/>
          <w:sz w:val="24"/>
          <w:szCs w:val="24"/>
          <w:highlight w:val="none"/>
          <w14:textFill>
            <w14:solidFill>
              <w14:schemeClr w14:val="tx1"/>
            </w14:solidFill>
          </w14:textFill>
        </w:rPr>
        <w:t>拟投资</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290.76</w:t>
      </w:r>
      <w:r>
        <w:rPr>
          <w:rFonts w:hint="default" w:ascii="Times New Roman" w:hAnsi="Times New Roman" w:eastAsia="宋体" w:cs="Times New Roman"/>
          <w:color w:val="000000" w:themeColor="text1"/>
          <w:sz w:val="24"/>
          <w:szCs w:val="24"/>
          <w:highlight w:val="none"/>
          <w14:textFill>
            <w14:solidFill>
              <w14:schemeClr w14:val="tx1"/>
            </w14:solidFill>
          </w14:textFill>
        </w:rPr>
        <w:t>万元建设</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唐山市曹妃甸区垦丰家居产业园区新建污水处理厂工程</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根据现阶段发展规模，拟定扩建规模为200</w:t>
      </w:r>
      <w:r>
        <w:rPr>
          <w:rFonts w:hint="eastAsia" w:cs="Times New Roman"/>
          <w:color w:val="000000" w:themeColor="text1"/>
          <w:sz w:val="24"/>
          <w:szCs w:val="24"/>
          <w:highlight w:val="none"/>
          <w:lang w:val="en-US" w:eastAsia="zh-CN"/>
          <w14:textFill>
            <w14:solidFill>
              <w14:schemeClr w14:val="tx1"/>
            </w14:solidFill>
          </w14:textFill>
        </w:rPr>
        <w:t>m</w:t>
      </w:r>
      <w:r>
        <w:rPr>
          <w:rFonts w:hint="eastAsia" w:cs="Times New Roman"/>
          <w:color w:val="000000" w:themeColor="text1"/>
          <w:sz w:val="24"/>
          <w:szCs w:val="24"/>
          <w:highlight w:val="none"/>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/d，扩建完成后，全厂处理规模为250</w:t>
      </w:r>
      <w:r>
        <w:rPr>
          <w:rFonts w:hint="eastAsia" w:cs="Times New Roman"/>
          <w:color w:val="000000" w:themeColor="text1"/>
          <w:sz w:val="24"/>
          <w:szCs w:val="24"/>
          <w:highlight w:val="none"/>
          <w:lang w:val="en-US" w:eastAsia="zh-CN"/>
          <w14:textFill>
            <w14:solidFill>
              <w14:schemeClr w14:val="tx1"/>
            </w14:solidFill>
          </w14:textFill>
        </w:rPr>
        <w:t>m</w:t>
      </w:r>
      <w:r>
        <w:rPr>
          <w:rFonts w:hint="eastAsia" w:cs="Times New Roman"/>
          <w:color w:val="000000" w:themeColor="text1"/>
          <w:sz w:val="24"/>
          <w:szCs w:val="24"/>
          <w:highlight w:val="none"/>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/d。</w:t>
      </w:r>
    </w:p>
    <w:p w14:paraId="11BD814A">
      <w:pPr>
        <w:spacing w:line="480" w:lineRule="exact"/>
        <w:ind w:firstLine="480" w:firstLineChars="200"/>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根据《中华人民共和国环境影响评价法》及《建设项目环境影响评价分类管理名录》（2021年版）的有关规定，本项目属于“</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四十三</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水的生产和供应业</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95</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污水处理及其再生利用</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”项目，应编制环境影响报告书。为此，唐山市曹妃甸区第十一农场委托我单位承担该项目环境影响评价工作，在经过现场勘察和资料调研的基础上，按照《环境影响评价技术导则》中有关要求，编制完成了《</w:t>
      </w:r>
      <w:r>
        <w:rPr>
          <w:rFonts w:hint="eastAsia" w:cs="Times New Roman"/>
          <w:color w:val="000000" w:themeColor="text1"/>
          <w:sz w:val="24"/>
          <w:szCs w:val="24"/>
          <w:highlight w:val="none"/>
          <w:lang w:val="en-US" w:eastAsia="zh-CN"/>
          <w14:textFill>
            <w14:solidFill>
              <w14:schemeClr w14:val="tx1"/>
            </w14:solidFill>
          </w14:textFill>
        </w:rPr>
        <w:t>唐山市曹妃甸区垦丰家居产业园区新建污水处理厂工程环境影响报告书</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w:t>
      </w:r>
    </w:p>
    <w:p w14:paraId="01FD301C">
      <w:pPr>
        <w:spacing w:line="480" w:lineRule="exact"/>
        <w:ind w:firstLine="480" w:firstLineChars="200"/>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本次评价大气环境影响评价等级为二级、地表水环境影响评价等级为三级B、地下水环境影响评价等级为一级、声环境影响评价等级为三级、生态环境影响评价等级为影响分析、环境风险评价等级为简单分析、土壤环境评价等级为三级。</w:t>
      </w:r>
    </w:p>
    <w:p w14:paraId="2908507C">
      <w:pPr>
        <w:spacing w:line="480" w:lineRule="exact"/>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在本次环境影响评价工作中，得到了</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唐山市</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曹妃甸区</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行政审批局</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唐山市生态环境局曹妃甸区分局</w:t>
      </w:r>
      <w:r>
        <w:rPr>
          <w:rFonts w:hint="default" w:ascii="Times New Roman" w:hAnsi="Times New Roman" w:eastAsia="宋体" w:cs="Times New Roman"/>
          <w:color w:val="000000" w:themeColor="text1"/>
          <w:sz w:val="24"/>
          <w:szCs w:val="24"/>
          <w:highlight w:val="none"/>
          <w14:textFill>
            <w14:solidFill>
              <w14:schemeClr w14:val="tx1"/>
            </w14:solidFill>
          </w14:textFill>
        </w:rPr>
        <w:t>、监测单位以及建设单位</w:t>
      </w:r>
      <w:r>
        <w:rPr>
          <w:rFonts w:hint="eastAsia" w:cs="Times New Roman"/>
          <w:color w:val="000000" w:themeColor="text1"/>
          <w:sz w:val="24"/>
          <w:szCs w:val="24"/>
          <w:highlight w:val="none"/>
          <w:lang w:val="en-US" w:eastAsia="zh-CN"/>
          <w14:textFill>
            <w14:solidFill>
              <w14:schemeClr w14:val="tx1"/>
            </w14:solidFill>
          </w14:textFill>
        </w:rPr>
        <w:t>等的</w:t>
      </w:r>
      <w:r>
        <w:rPr>
          <w:rFonts w:hint="default" w:ascii="Times New Roman" w:hAnsi="Times New Roman" w:eastAsia="宋体" w:cs="Times New Roman"/>
          <w:color w:val="000000" w:themeColor="text1"/>
          <w:sz w:val="24"/>
          <w:szCs w:val="24"/>
          <w:highlight w:val="none"/>
          <w14:textFill>
            <w14:solidFill>
              <w14:schemeClr w14:val="tx1"/>
            </w14:solidFill>
          </w14:textFill>
        </w:rPr>
        <w:t>大力支持与积极协助，谨此表示衷心的感谢</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p>
    <w:p w14:paraId="549DF1B0">
      <w:pPr>
        <w:pStyle w:val="20"/>
        <w:keepNext w:val="0"/>
        <w:keepLines w:val="0"/>
        <w:pageBreakBefore w:val="0"/>
        <w:widowControl w:val="0"/>
        <w:kinsoku/>
        <w:wordWrap/>
        <w:overflowPunct/>
        <w:topLinePunct w:val="0"/>
        <w:autoSpaceDE/>
        <w:autoSpaceDN/>
        <w:bidi w:val="0"/>
        <w:adjustRightInd w:val="0"/>
        <w:snapToGrid w:val="0"/>
        <w:spacing w:after="0" w:line="480" w:lineRule="exact"/>
        <w:ind w:firstLine="482"/>
        <w:jc w:val="both"/>
        <w:textAlignment w:val="auto"/>
        <w:rPr>
          <w:rFonts w:hint="default" w:ascii="Times New Roman" w:hAnsi="Times New Roman" w:eastAsia="宋体" w:cs="Times New Roman"/>
          <w:color w:val="000000" w:themeColor="text1"/>
          <w:sz w:val="24"/>
          <w:szCs w:val="24"/>
          <w:highlight w:val="yellow"/>
          <w:lang w:val="en-US" w:eastAsia="zh-CN"/>
          <w14:textFill>
            <w14:solidFill>
              <w14:schemeClr w14:val="tx1"/>
            </w14:solidFill>
          </w14:textFill>
        </w:rPr>
      </w:pPr>
    </w:p>
    <w:p w14:paraId="376BCA56">
      <w:pPr>
        <w:pStyle w:val="20"/>
        <w:keepNext w:val="0"/>
        <w:keepLines w:val="0"/>
        <w:pageBreakBefore w:val="0"/>
        <w:widowControl w:val="0"/>
        <w:kinsoku/>
        <w:wordWrap/>
        <w:overflowPunct/>
        <w:topLinePunct w:val="0"/>
        <w:autoSpaceDE/>
        <w:autoSpaceDN/>
        <w:bidi w:val="0"/>
        <w:adjustRightInd w:val="0"/>
        <w:snapToGrid w:val="0"/>
        <w:spacing w:after="0" w:line="480" w:lineRule="exact"/>
        <w:ind w:firstLine="482"/>
        <w:jc w:val="both"/>
        <w:textAlignment w:val="auto"/>
        <w:rPr>
          <w:rFonts w:hint="default" w:ascii="Times New Roman" w:hAnsi="Times New Roman" w:eastAsia="宋体" w:cs="Times New Roman"/>
          <w:color w:val="000000" w:themeColor="text1"/>
          <w:sz w:val="24"/>
          <w:szCs w:val="24"/>
          <w:highlight w:val="yellow"/>
          <w:lang w:val="en-US" w:eastAsia="zh-CN"/>
          <w14:textFill>
            <w14:solidFill>
              <w14:schemeClr w14:val="tx1"/>
            </w14:solidFill>
          </w14:textFill>
        </w:rPr>
        <w:sectPr>
          <w:headerReference r:id="rId11" w:type="default"/>
          <w:footerReference r:id="rId12" w:type="default"/>
          <w:pgSz w:w="11906" w:h="16838"/>
          <w:pgMar w:top="1417" w:right="1417" w:bottom="1417" w:left="1417" w:header="850" w:footer="992" w:gutter="0"/>
          <w:pgNumType w:fmt="decimal" w:start="1"/>
          <w:cols w:space="0" w:num="1"/>
          <w:rtlGutter w:val="0"/>
          <w:docGrid w:type="lines" w:linePitch="318" w:charSpace="0"/>
        </w:sectPr>
      </w:pPr>
    </w:p>
    <w:p w14:paraId="6A71C9A1">
      <w:pPr>
        <w:pStyle w:val="7"/>
        <w:bidi w:val="0"/>
        <w:rPr>
          <w:rFonts w:hint="default"/>
        </w:rPr>
      </w:pPr>
      <w:bookmarkStart w:id="33" w:name="_Toc7741"/>
      <w:bookmarkStart w:id="34" w:name="_Toc20707"/>
      <w:bookmarkStart w:id="35" w:name="_Toc497978853"/>
      <w:bookmarkStart w:id="36" w:name="_Toc482193196"/>
      <w:r>
        <w:rPr>
          <w:rFonts w:hint="default"/>
        </w:rPr>
        <w:t>1.1建设项目特点</w:t>
      </w:r>
      <w:bookmarkEnd w:id="33"/>
    </w:p>
    <w:p w14:paraId="2607700D">
      <w:pPr>
        <w:pageBreakBefore w:val="0"/>
        <w:kinsoku/>
        <w:wordWrap/>
        <w:overflowPunct/>
        <w:topLinePunct w:val="0"/>
        <w:autoSpaceDE/>
        <w:autoSpaceDN/>
        <w:bidi w:val="0"/>
        <w:spacing w:line="480" w:lineRule="exact"/>
        <w:ind w:firstLine="480" w:firstLineChars="200"/>
        <w:textAlignment w:val="auto"/>
        <w:rPr>
          <w:rFonts w:hint="default"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1、唐山市曹妃甸区第十一农场投资290.76万元建设的唐山市曹妃甸区垦丰家居产业园区新建污水处理厂工程，行业类别为D4620污水处理及其再生利用</w:t>
      </w:r>
      <w:r>
        <w:rPr>
          <w:rFonts w:hint="default"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w:t>
      </w:r>
    </w:p>
    <w:p w14:paraId="540FFD5B">
      <w:pPr>
        <w:pageBreakBefore w:val="0"/>
        <w:kinsoku/>
        <w:wordWrap/>
        <w:overflowPunct/>
        <w:topLinePunct w:val="0"/>
        <w:autoSpaceDE/>
        <w:autoSpaceDN/>
        <w:bidi w:val="0"/>
        <w:spacing w:line="480" w:lineRule="exact"/>
        <w:ind w:firstLine="480" w:firstLineChars="200"/>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eastAsia" w:cs="Times New Roman"/>
          <w:color w:val="000000" w:themeColor="text1"/>
          <w:sz w:val="24"/>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z w:val="24"/>
          <w:highlight w:val="none"/>
          <w14:textFill>
            <w14:solidFill>
              <w14:schemeClr w14:val="tx1"/>
            </w14:solidFill>
          </w14:textFill>
        </w:rPr>
        <w:t>建设性质：</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扩建</w:t>
      </w:r>
    </w:p>
    <w:p w14:paraId="14C99F09">
      <w:pPr>
        <w:spacing w:line="480" w:lineRule="exact"/>
        <w:ind w:firstLine="480"/>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eastAsia" w:cs="Times New Roman"/>
          <w:color w:val="000000" w:themeColor="text1"/>
          <w:sz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z w:val="24"/>
          <w:highlight w:val="none"/>
          <w14:textFill>
            <w14:solidFill>
              <w14:schemeClr w14:val="tx1"/>
            </w14:solidFill>
          </w14:textFill>
        </w:rPr>
        <w:t>建设地点：唐山市曹妃甸区垦丰家居产业园区污水处理厂</w:t>
      </w:r>
      <w:r>
        <w:rPr>
          <w:rFonts w:hint="eastAsia" w:cs="Times New Roman"/>
          <w:color w:val="000000" w:themeColor="text1"/>
          <w:sz w:val="24"/>
          <w:highlight w:val="none"/>
          <w:lang w:val="en-US" w:eastAsia="zh-CN"/>
          <w14:textFill>
            <w14:solidFill>
              <w14:schemeClr w14:val="tx1"/>
            </w14:solidFill>
          </w14:textFill>
        </w:rPr>
        <w:t>现有厂区内，厂区位于</w:t>
      </w:r>
      <w:r>
        <w:rPr>
          <w:rFonts w:hint="default" w:ascii="Times New Roman" w:hAnsi="Times New Roman" w:eastAsia="宋体" w:cs="Times New Roman"/>
          <w:color w:val="000000" w:themeColor="text1"/>
          <w:sz w:val="24"/>
          <w:highlight w:val="none"/>
          <w14:textFill>
            <w14:solidFill>
              <w14:schemeClr w14:val="tx1"/>
            </w14:solidFill>
          </w14:textFill>
        </w:rPr>
        <w:t>唐山市曹妃甸区垦丰家居产业园区西北侧，位于经三路西侧、纬二道北侧。厂区东侧隔经三路为</w:t>
      </w:r>
      <w:r>
        <w:rPr>
          <w:rFonts w:hint="eastAsia" w:cs="Times New Roman"/>
          <w:color w:val="000000" w:themeColor="text1"/>
          <w:sz w:val="24"/>
          <w:highlight w:val="none"/>
          <w:lang w:eastAsia="zh-CN"/>
          <w14:textFill>
            <w14:solidFill>
              <w14:schemeClr w14:val="tx1"/>
            </w14:solidFill>
          </w14:textFill>
        </w:rPr>
        <w:t>金木美佳（唐山）科技有限公司</w:t>
      </w:r>
      <w:r>
        <w:rPr>
          <w:rFonts w:hint="default" w:ascii="Times New Roman" w:hAnsi="Times New Roman" w:eastAsia="宋体" w:cs="Times New Roman"/>
          <w:color w:val="000000" w:themeColor="text1"/>
          <w:sz w:val="24"/>
          <w:highlight w:val="none"/>
          <w14:textFill>
            <w14:solidFill>
              <w14:schemeClr w14:val="tx1"/>
            </w14:solidFill>
          </w14:textFill>
        </w:rPr>
        <w:t>，南侧为</w:t>
      </w:r>
      <w:r>
        <w:rPr>
          <w:rFonts w:hint="eastAsia" w:cs="Times New Roman"/>
          <w:color w:val="000000" w:themeColor="text1"/>
          <w:sz w:val="24"/>
          <w:highlight w:val="none"/>
          <w:lang w:eastAsia="zh-CN"/>
          <w14:textFill>
            <w14:solidFill>
              <w14:schemeClr w14:val="tx1"/>
            </w14:solidFill>
          </w14:textFill>
        </w:rPr>
        <w:t>唐山市海鹭家具有限公司</w:t>
      </w:r>
      <w:r>
        <w:rPr>
          <w:rFonts w:hint="default" w:ascii="Times New Roman" w:hAnsi="Times New Roman" w:eastAsia="宋体" w:cs="Times New Roman"/>
          <w:color w:val="000000" w:themeColor="text1"/>
          <w:sz w:val="24"/>
          <w:highlight w:val="none"/>
          <w14:textFill>
            <w14:solidFill>
              <w14:schemeClr w14:val="tx1"/>
            </w14:solidFill>
          </w14:textFill>
        </w:rPr>
        <w:t>，西北侧为十一农场沟渠</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highlight w:val="none"/>
          <w14:textFill>
            <w14:solidFill>
              <w14:schemeClr w14:val="tx1"/>
            </w14:solidFill>
          </w14:textFill>
        </w:rPr>
        <w:t>中心坐标为</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北纬39°15′59.114″，东经118°16′3.267″。</w:t>
      </w:r>
    </w:p>
    <w:p w14:paraId="52258E7F">
      <w:pPr>
        <w:pageBreakBefore w:val="0"/>
        <w:kinsoku/>
        <w:wordWrap/>
        <w:overflowPunct/>
        <w:topLinePunct w:val="0"/>
        <w:autoSpaceDE/>
        <w:autoSpaceDN/>
        <w:bidi w:val="0"/>
        <w:spacing w:line="480" w:lineRule="exact"/>
        <w:ind w:firstLine="480" w:firstLineChars="200"/>
        <w:textAlignment w:val="auto"/>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pPr>
      <w:r>
        <w:rPr>
          <w:rFonts w:hint="eastAsia" w:cs="Times New Roman"/>
          <w:color w:val="000000" w:themeColor="text1"/>
          <w:sz w:val="24"/>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、建设</w:t>
      </w: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内容</w:t>
      </w:r>
      <w:r>
        <w:rPr>
          <w:rFonts w:hint="eastAsia" w:cs="Times New Roman"/>
          <w:b w:val="0"/>
          <w:bCs w:val="0"/>
          <w:color w:val="000000" w:themeColor="text1"/>
          <w:sz w:val="24"/>
          <w:highlight w:val="none"/>
          <w:lang w:val="en-US" w:eastAsia="zh-CN"/>
          <w14:textFill>
            <w14:solidFill>
              <w14:schemeClr w14:val="tx1"/>
            </w14:solidFill>
          </w14:textFill>
        </w:rPr>
        <w:t>与建设规模</w:t>
      </w: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：在垦丰家居产业园区新建日处理200吨的污水处理厂一座，包含新建污水处理装置及配套设施、管网，安装一体化设备等工程。本项目建成后总规模为年处理园区污水250</w:t>
      </w:r>
      <w:r>
        <w:rPr>
          <w:rFonts w:hint="eastAsia" w:cs="Times New Roman"/>
          <w:b w:val="0"/>
          <w:bCs w:val="0"/>
          <w:color w:val="000000" w:themeColor="text1"/>
          <w:sz w:val="24"/>
          <w:highlight w:val="none"/>
          <w:lang w:val="en-US" w:eastAsia="zh-CN"/>
          <w14:textFill>
            <w14:solidFill>
              <w14:schemeClr w14:val="tx1"/>
            </w14:solidFill>
          </w14:textFill>
        </w:rPr>
        <w:t>m</w:t>
      </w:r>
      <w:r>
        <w:rPr>
          <w:rFonts w:hint="eastAsia" w:cs="Times New Roman"/>
          <w:b w:val="0"/>
          <w:bCs w:val="0"/>
          <w:color w:val="000000" w:themeColor="text1"/>
          <w:sz w:val="24"/>
          <w:highlight w:val="none"/>
          <w:vertAlign w:val="superscript"/>
          <w:lang w:val="en-US" w:eastAsia="zh-CN"/>
          <w14:textFill>
            <w14:solidFill>
              <w14:schemeClr w14:val="tx1"/>
            </w14:solidFill>
          </w14:textFill>
        </w:rPr>
        <w:t>3</w:t>
      </w: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/d。</w:t>
      </w:r>
    </w:p>
    <w:p w14:paraId="3A5A795F">
      <w:pPr>
        <w:pageBreakBefore w:val="0"/>
        <w:kinsoku/>
        <w:wordWrap/>
        <w:overflowPunct/>
        <w:topLinePunct w:val="0"/>
        <w:autoSpaceDE/>
        <w:autoSpaceDN/>
        <w:bidi w:val="0"/>
        <w:spacing w:line="480" w:lineRule="exact"/>
        <w:ind w:firstLine="480" w:firstLineChars="200"/>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eastAsia" w:cs="Times New Roman"/>
          <w:color w:val="000000" w:themeColor="text1"/>
          <w:sz w:val="24"/>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、服务范围：唐山市曹妃甸区垦丰家居产业园区企业。</w:t>
      </w:r>
    </w:p>
    <w:p w14:paraId="02E5E55C">
      <w:pP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eastAsia" w:cs="Times New Roman"/>
          <w:color w:val="000000" w:themeColor="text1"/>
          <w:sz w:val="24"/>
          <w:highlight w:val="none"/>
          <w:lang w:val="en-US" w:eastAsia="zh-CN"/>
          <w14:textFill>
            <w14:solidFill>
              <w14:schemeClr w14:val="tx1"/>
            </w14:solidFill>
          </w14:textFill>
        </w:rPr>
        <w:t>6</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、污水处理工艺：扩建污水处理主体工艺采用“格栅+调节池+</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A</w:t>
      </w:r>
      <w:r>
        <w:rPr>
          <w:rFonts w:hint="eastAsia" w:ascii="Times New Roman" w:hAnsi="Times New Roman" w:eastAsia="宋体" w:cs="Times New Roman"/>
          <w:color w:val="000000" w:themeColor="text1"/>
          <w:sz w:val="24"/>
          <w:highlight w:val="none"/>
          <w:vertAlign w:val="superscript"/>
          <w:lang w:val="en-US" w:eastAsia="zh-CN"/>
          <w14:textFill>
            <w14:solidFill>
              <w14:schemeClr w14:val="tx1"/>
            </w14:solidFill>
          </w14:textFill>
        </w:rPr>
        <w:t>2</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O</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一体化处理设备+混凝沉淀池+</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砂滤</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消毒工艺</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”，污泥处理工艺采用“叠螺污泥脱水机”，消毒工艺采用“次氯酸钠”消毒工艺。废水经处理达到《城镇污水处理厂污染物排放标准》(GB18918-2002)中一级A排放标准，同时满足</w:t>
      </w:r>
      <w:r>
        <w:rPr>
          <w:rFonts w:hint="default" w:ascii="Times New Roman" w:hAnsi="Times New Roman" w:eastAsia="宋体" w:cs="Times New Roman"/>
          <w:color w:val="auto"/>
          <w:szCs w:val="24"/>
          <w:highlight w:val="none"/>
        </w:rPr>
        <w:t>《城市污水再生利用 工业用水水质》（GB/T19923-20</w:t>
      </w:r>
      <w:r>
        <w:rPr>
          <w:rFonts w:hint="eastAsia" w:ascii="Times New Roman" w:hAnsi="Times New Roman" w:cs="Times New Roman"/>
          <w:color w:val="auto"/>
          <w:szCs w:val="24"/>
          <w:highlight w:val="none"/>
          <w:lang w:val="en-US" w:eastAsia="zh-CN"/>
        </w:rPr>
        <w:t>24</w:t>
      </w:r>
      <w:r>
        <w:rPr>
          <w:rFonts w:hint="default" w:ascii="Times New Roman" w:hAnsi="Times New Roman" w:eastAsia="宋体" w:cs="Times New Roman"/>
          <w:color w:val="auto"/>
          <w:szCs w:val="24"/>
          <w:highlight w:val="none"/>
        </w:rPr>
        <w:t>）、《城市污水再生利用 城市杂用水水质》（GB/T18920-2020）</w:t>
      </w:r>
      <w:r>
        <w:rPr>
          <w:rFonts w:hint="eastAsia" w:cs="Times New Roman"/>
          <w:color w:val="auto"/>
          <w:szCs w:val="24"/>
          <w:highlight w:val="none"/>
          <w:lang w:eastAsia="zh-CN"/>
        </w:rPr>
        <w:t>、《</w:t>
      </w:r>
      <w:r>
        <w:rPr>
          <w:rFonts w:hint="default" w:ascii="Times New Roman" w:hAnsi="Times New Roman" w:eastAsia="宋体" w:cs="Times New Roman"/>
          <w:color w:val="auto"/>
          <w:szCs w:val="24"/>
          <w:highlight w:val="none"/>
          <w:lang w:val="en-US" w:eastAsia="zh-CN"/>
        </w:rPr>
        <w:t>城市污水再生利用 绿地灌溉水质</w:t>
      </w:r>
      <w:r>
        <w:rPr>
          <w:rFonts w:hint="eastAsia" w:cs="Times New Roman"/>
          <w:color w:val="auto"/>
          <w:szCs w:val="24"/>
          <w:highlight w:val="none"/>
          <w:lang w:val="en-US" w:eastAsia="zh-CN"/>
        </w:rPr>
        <w:t>》</w:t>
      </w:r>
      <w:r>
        <w:rPr>
          <w:rFonts w:hint="eastAsia" w:ascii="Times New Roman" w:hAnsi="Times New Roman" w:eastAsia="宋体" w:cs="Times New Roman"/>
          <w:color w:val="auto"/>
          <w:szCs w:val="24"/>
          <w:highlight w:val="none"/>
          <w:lang w:val="en-US" w:eastAsia="zh-CN"/>
        </w:rPr>
        <w:t>（</w:t>
      </w:r>
      <w:r>
        <w:rPr>
          <w:rFonts w:hint="default" w:ascii="Times New Roman" w:hAnsi="Times New Roman" w:eastAsia="宋体" w:cs="Times New Roman"/>
          <w:color w:val="auto"/>
          <w:szCs w:val="24"/>
          <w:highlight w:val="none"/>
        </w:rPr>
        <w:t>GB/T</w:t>
      </w:r>
      <w:r>
        <w:rPr>
          <w:rFonts w:hint="eastAsia" w:ascii="Times New Roman" w:hAnsi="Times New Roman" w:eastAsia="宋体" w:cs="Times New Roman"/>
          <w:color w:val="auto"/>
          <w:szCs w:val="24"/>
          <w:highlight w:val="none"/>
          <w:lang w:val="en-US" w:eastAsia="zh-CN"/>
        </w:rPr>
        <w:t>25499</w:t>
      </w:r>
      <w:r>
        <w:rPr>
          <w:rFonts w:hint="eastAsia" w:cs="Times New Roman"/>
          <w:color w:val="auto"/>
          <w:szCs w:val="24"/>
          <w:highlight w:val="none"/>
          <w:lang w:val="en-US" w:eastAsia="zh-CN"/>
        </w:rPr>
        <w:t>-</w:t>
      </w:r>
      <w:r>
        <w:rPr>
          <w:rFonts w:hint="eastAsia" w:ascii="Times New Roman" w:hAnsi="Times New Roman" w:eastAsia="宋体" w:cs="Times New Roman"/>
          <w:color w:val="auto"/>
          <w:szCs w:val="24"/>
          <w:highlight w:val="none"/>
          <w:lang w:val="en-US" w:eastAsia="zh-CN"/>
        </w:rPr>
        <w:t>2010）</w:t>
      </w:r>
      <w:r>
        <w:rPr>
          <w:rFonts w:hint="default" w:ascii="Times New Roman" w:hAnsi="Times New Roman" w:eastAsia="宋体" w:cs="Times New Roman"/>
          <w:color w:val="auto"/>
          <w:szCs w:val="24"/>
          <w:highlight w:val="none"/>
        </w:rPr>
        <w:t>标准后回用</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于厂区生产用水</w:t>
      </w:r>
      <w:r>
        <w:rPr>
          <w:rFonts w:hint="eastAsia" w:cs="Times New Roman"/>
          <w:color w:val="000000" w:themeColor="text1"/>
          <w:sz w:val="24"/>
          <w:highlight w:val="none"/>
          <w:lang w:val="en-US" w:eastAsia="zh-CN"/>
          <w14:textFill>
            <w14:solidFill>
              <w14:schemeClr w14:val="tx1"/>
            </w14:solidFill>
          </w14:textFill>
        </w:rPr>
        <w:t>、</w:t>
      </w:r>
      <w:r>
        <w:rPr>
          <w:rFonts w:hint="default" w:ascii="Times New Roman" w:hAnsi="Times New Roman" w:eastAsia="宋体" w:cs="Times New Roman"/>
          <w:color w:val="auto"/>
          <w:szCs w:val="24"/>
          <w:highlight w:val="none"/>
        </w:rPr>
        <w:t>园区绿化、道路喷洒</w:t>
      </w:r>
      <w:r>
        <w:rPr>
          <w:rFonts w:hint="eastAsia" w:ascii="Times New Roman" w:hAnsi="Times New Roman" w:cs="Times New Roman"/>
          <w:color w:val="auto"/>
          <w:szCs w:val="24"/>
          <w:highlight w:val="none"/>
          <w:lang w:val="en-US" w:eastAsia="zh-CN"/>
        </w:rPr>
        <w:t>及园区企业生产用水。</w:t>
      </w:r>
    </w:p>
    <w:p w14:paraId="7AC45485">
      <w:pPr>
        <w:pageBreakBefore w:val="0"/>
        <w:kinsoku/>
        <w:wordWrap/>
        <w:overflowPunct/>
        <w:topLinePunct w:val="0"/>
        <w:autoSpaceDE/>
        <w:autoSpaceDN/>
        <w:bidi w:val="0"/>
        <w:spacing w:line="480" w:lineRule="exact"/>
        <w:ind w:firstLine="480" w:firstLineChars="200"/>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eastAsia" w:cs="Times New Roman"/>
          <w:color w:val="000000" w:themeColor="text1"/>
          <w:sz w:val="24"/>
          <w:highlight w:val="none"/>
          <w:lang w:val="en-US" w:eastAsia="zh-CN"/>
          <w14:textFill>
            <w14:solidFill>
              <w14:schemeClr w14:val="tx1"/>
            </w14:solidFill>
          </w14:textFill>
        </w:rPr>
        <w:t>7</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、项目采取完善的环保治理措施，能够保证废气、废水、噪声的达标排放，固体废物能够得到有效合理的处置。</w:t>
      </w:r>
    </w:p>
    <w:bookmarkEnd w:id="34"/>
    <w:p w14:paraId="0098949C">
      <w:pPr>
        <w:pStyle w:val="7"/>
        <w:bidi w:val="0"/>
        <w:rPr>
          <w:rFonts w:hint="default"/>
        </w:rPr>
      </w:pPr>
      <w:bookmarkStart w:id="37" w:name="_Toc210"/>
      <w:r>
        <w:rPr>
          <w:rFonts w:hint="default"/>
        </w:rPr>
        <w:t>1.2环境影响评价的工作过程</w:t>
      </w:r>
      <w:bookmarkEnd w:id="35"/>
      <w:bookmarkEnd w:id="36"/>
      <w:bookmarkEnd w:id="37"/>
    </w:p>
    <w:p w14:paraId="3D3C3650">
      <w:pPr>
        <w:pStyle w:val="4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val="0"/>
        <w:spacing w:before="0" w:beforeLines="0" w:beforeAutospacing="0" w:after="0" w:afterLines="0" w:afterAutospacing="0" w:line="480" w:lineRule="exact"/>
        <w:ind w:right="0" w:rightChars="0" w:firstLine="480" w:firstLineChars="200"/>
        <w:jc w:val="both"/>
        <w:textAlignment w:val="auto"/>
        <w:outlineLvl w:val="9"/>
        <w:rPr>
          <w:rFonts w:hint="default" w:ascii="Times New Roman" w:hAnsi="Times New Roman" w:eastAsia="宋体" w:cs="Times New Roman"/>
          <w:color w:val="000000" w:themeColor="text1"/>
          <w:kern w:val="24"/>
          <w:sz w:val="24"/>
          <w:szCs w:val="24"/>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 w:val="24"/>
          <w:highlight w:val="none"/>
          <w:lang w:val="en-US" w:eastAsia="zh-CN"/>
          <w14:textFill>
            <w14:solidFill>
              <w14:schemeClr w14:val="tx1"/>
            </w14:solidFill>
          </w14:textFill>
        </w:rPr>
        <w:t>根据《中华人民共和国环境影响评价法》、国务院第682号令《建设项目环境保护管理条例（修订）》《</w:t>
      </w:r>
      <w:r>
        <w:rPr>
          <w:rFonts w:hint="default" w:ascii="Times New Roman" w:hAnsi="Times New Roman" w:eastAsia="宋体" w:cs="Times New Roman"/>
          <w:snapToGrid w:val="0"/>
          <w:color w:val="000000" w:themeColor="text1"/>
          <w:spacing w:val="0"/>
          <w:kern w:val="0"/>
          <w:sz w:val="24"/>
          <w:szCs w:val="24"/>
          <w:highlight w:val="none"/>
          <w:lang w:val="en-US" w:eastAsia="zh-CN" w:bidi="ar-SA"/>
          <w14:textFill>
            <w14:solidFill>
              <w14:schemeClr w14:val="tx1"/>
            </w14:solidFill>
          </w14:textFill>
        </w:rPr>
        <w:t>建设项目环境影响评价分类管理名录（2021版）》（生态环境部令第16号）</w:t>
      </w:r>
      <w:r>
        <w:rPr>
          <w:rFonts w:hint="default" w:ascii="Times New Roman" w:hAnsi="Times New Roman" w:eastAsia="宋体" w:cs="Times New Roman"/>
          <w:snapToGrid w:val="0"/>
          <w:color w:val="000000" w:themeColor="text1"/>
          <w:kern w:val="0"/>
          <w:sz w:val="24"/>
          <w:highlight w:val="none"/>
          <w:lang w:val="en-US" w:eastAsia="zh-CN"/>
          <w14:textFill>
            <w14:solidFill>
              <w14:schemeClr w14:val="tx1"/>
            </w14:solidFill>
          </w14:textFill>
        </w:rPr>
        <w:t>有关环保法律、法规的要求，</w:t>
      </w: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本项目属于“四十三、水的生产和供应业95污水处理及其再生利用新建、扩建工业废水集中处理的”项目，应编制环境影响报</w:t>
      </w:r>
      <w:r>
        <w:rPr>
          <w:rFonts w:hint="default" w:ascii="Times New Roman" w:hAnsi="Times New Roman" w:eastAsia="宋体" w:cs="Times New Roman"/>
          <w:color w:val="000000" w:themeColor="text1"/>
          <w:kern w:val="24"/>
          <w:sz w:val="24"/>
          <w:szCs w:val="24"/>
          <w:highlight w:val="none"/>
          <w14:textFill>
            <w14:solidFill>
              <w14:schemeClr w14:val="tx1"/>
            </w14:solidFill>
          </w14:textFill>
        </w:rPr>
        <w:t>告书，</w:t>
      </w:r>
      <w:r>
        <w:rPr>
          <w:rFonts w:hint="default" w:ascii="Times New Roman" w:hAnsi="Times New Roman" w:eastAsia="宋体" w:cs="Times New Roman"/>
          <w:color w:val="000000" w:themeColor="text1"/>
          <w:kern w:val="24"/>
          <w:sz w:val="24"/>
          <w:szCs w:val="24"/>
          <w:highlight w:val="none"/>
          <w:lang w:eastAsia="zh-CN"/>
          <w14:textFill>
            <w14:solidFill>
              <w14:schemeClr w14:val="tx1"/>
            </w14:solidFill>
          </w14:textFill>
        </w:rPr>
        <w:t>因此，</w:t>
      </w:r>
      <w:r>
        <w:rPr>
          <w:rFonts w:hint="default" w:ascii="Times New Roman" w:hAnsi="Times New Roman" w:eastAsia="宋体" w:cs="Times New Roman"/>
          <w:color w:val="000000" w:themeColor="text1"/>
          <w:kern w:val="24"/>
          <w:sz w:val="24"/>
          <w:szCs w:val="24"/>
          <w:highlight w:val="none"/>
          <w:lang w:val="en-US" w:eastAsia="zh-CN"/>
          <w14:textFill>
            <w14:solidFill>
              <w14:schemeClr w14:val="tx1"/>
            </w14:solidFill>
          </w14:textFill>
        </w:rPr>
        <w:t>唐山市曹妃甸区第十一农场</w:t>
      </w:r>
      <w:r>
        <w:rPr>
          <w:rFonts w:hint="default" w:ascii="Times New Roman" w:hAnsi="Times New Roman" w:eastAsia="宋体" w:cs="Times New Roman"/>
          <w:snapToGrid w:val="0"/>
          <w:color w:val="000000" w:themeColor="text1"/>
          <w:kern w:val="0"/>
          <w:sz w:val="24"/>
          <w:highlight w:val="none"/>
          <w:lang w:val="en-US" w:eastAsia="zh-CN"/>
          <w14:textFill>
            <w14:solidFill>
              <w14:schemeClr w14:val="tx1"/>
            </w14:solidFill>
          </w14:textFill>
        </w:rPr>
        <w:t>于2024年5月</w:t>
      </w:r>
      <w:r>
        <w:rPr>
          <w:rFonts w:hint="default" w:ascii="Times New Roman" w:hAnsi="Times New Roman" w:eastAsia="宋体" w:cs="Times New Roman"/>
          <w:color w:val="000000" w:themeColor="text1"/>
          <w:kern w:val="24"/>
          <w:sz w:val="24"/>
          <w:szCs w:val="24"/>
          <w:highlight w:val="none"/>
          <w14:textFill>
            <w14:solidFill>
              <w14:schemeClr w14:val="tx1"/>
            </w14:solidFill>
          </w14:textFill>
        </w:rPr>
        <w:t>委托我单位进行该项目的环境影响评价工作。</w:t>
      </w:r>
    </w:p>
    <w:p w14:paraId="6C68559F">
      <w:pPr>
        <w:bidi w:val="0"/>
        <w:rPr>
          <w:rFonts w:hint="default" w:ascii="Times New Roman" w:hAnsi="Times New Roman" w:eastAsia="宋体" w:cs="Times New Roman"/>
          <w:color w:val="000000" w:themeColor="text1"/>
          <w:sz w:val="24"/>
          <w:szCs w:val="24"/>
          <w:highlight w:val="none"/>
          <w:lang w:val="en-US"/>
          <w14:textFill>
            <w14:solidFill>
              <w14:schemeClr w14:val="tx1"/>
            </w14:solidFill>
          </w14:textFill>
        </w:rPr>
      </w:pPr>
      <w:r>
        <w:rPr>
          <w:rFonts w:hint="default" w:ascii="Times New Roman" w:hAnsi="Times New Roman" w:eastAsia="宋体" w:cs="Times New Roman"/>
          <w:color w:val="000000" w:themeColor="text1"/>
          <w:spacing w:val="-4"/>
          <w:sz w:val="24"/>
          <w:szCs w:val="24"/>
          <w:highlight w:val="none"/>
          <w14:textFill>
            <w14:solidFill>
              <w14:schemeClr w14:val="tx1"/>
            </w14:solidFill>
          </w14:textFill>
        </w:rPr>
        <w:t>接受</w:t>
      </w:r>
      <w:r>
        <w:rPr>
          <w:rFonts w:hint="default" w:ascii="Times New Roman" w:hAnsi="Times New Roman" w:eastAsia="宋体" w:cs="Times New Roman"/>
          <w:color w:val="000000" w:themeColor="text1"/>
          <w:sz w:val="24"/>
          <w:szCs w:val="24"/>
          <w:highlight w:val="none"/>
          <w14:textFill>
            <w14:solidFill>
              <w14:schemeClr w14:val="tx1"/>
            </w14:solidFill>
          </w14:textFill>
        </w:rPr>
        <w:t>委托后，我单位组织有关技术人员赶赴现场踏勘了厂区及外围环境现状，收集了相关基础资料，并开展了环境影响报告书编制工作</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kern w:val="0"/>
          <w:sz w:val="24"/>
          <w:highlight w:val="none"/>
          <w:shd w:val="clear" w:color="auto" w:fill="auto"/>
          <w:lang w:val="zh-CN"/>
          <w14:textFill>
            <w14:solidFill>
              <w14:schemeClr w14:val="tx1"/>
            </w14:solidFill>
          </w14:textFill>
        </w:rPr>
        <w:t>根据《环境影响评价公众参与办法》（生态环境部令第4号）的相关要求，</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建设单位</w:t>
      </w:r>
      <w:r>
        <w:rPr>
          <w:rFonts w:hint="default" w:ascii="Times New Roman" w:hAnsi="Times New Roman" w:eastAsia="宋体" w:cs="Times New Roman"/>
          <w:color w:val="000000" w:themeColor="text1"/>
          <w:sz w:val="24"/>
          <w:szCs w:val="24"/>
          <w:highlight w:val="none"/>
          <w14:textFill>
            <w14:solidFill>
              <w14:schemeClr w14:val="tx1"/>
            </w14:solidFill>
          </w14:textFill>
        </w:rPr>
        <w:t>在确定环境影响评价报告书编制单位后7个工作日内（</w:t>
      </w:r>
      <w:r>
        <w:rPr>
          <w:rFonts w:hint="default" w:ascii="Times New Roman" w:hAnsi="Times New Roman" w:eastAsia="宋体" w:cs="Times New Roman"/>
          <w:color w:val="000000" w:themeColor="text1"/>
          <w:sz w:val="24"/>
          <w:szCs w:val="24"/>
          <w:highlight w:val="none"/>
          <w:u w:val="none"/>
          <w:shd w:val="clear" w:color="auto" w:fill="FFFFFF"/>
          <w:lang w:val="en-US" w:eastAsia="zh-CN"/>
          <w14:textFill>
            <w14:solidFill>
              <w14:schemeClr w14:val="tx1"/>
            </w14:solidFill>
          </w14:textFill>
        </w:rPr>
        <w:t>2024年5月6日</w:t>
      </w:r>
      <w:r>
        <w:rPr>
          <w:rFonts w:hint="default" w:ascii="Times New Roman" w:hAnsi="Times New Roman" w:eastAsia="宋体" w:cs="Times New Roman"/>
          <w:color w:val="000000" w:themeColor="text1"/>
          <w:sz w:val="24"/>
          <w:szCs w:val="24"/>
          <w:highlight w:val="none"/>
          <w14:textFill>
            <w14:solidFill>
              <w14:schemeClr w14:val="tx1"/>
            </w14:solidFill>
          </w14:textFill>
        </w:rPr>
        <w:t>）在</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u w:val="none"/>
          <w:shd w:val="clear" w:color="auto" w:fill="FFFFFF"/>
          <w:lang w:val="en-US" w:eastAsia="zh-CN"/>
          <w14:textFill>
            <w14:solidFill>
              <w14:schemeClr w14:val="tx1"/>
            </w14:solidFill>
          </w14:textFill>
        </w:rPr>
        <w:t>曹妃甸区人民政府</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网站</w:t>
      </w:r>
      <w:r>
        <w:rPr>
          <w:rFonts w:hint="default" w:ascii="Times New Roman" w:hAnsi="Times New Roman" w:eastAsia="宋体" w:cs="Times New Roman"/>
          <w:color w:val="000000" w:themeColor="text1"/>
          <w:sz w:val="24"/>
          <w:szCs w:val="24"/>
          <w:highlight w:val="none"/>
          <w14:textFill>
            <w14:solidFill>
              <w14:schemeClr w14:val="tx1"/>
            </w14:solidFill>
          </w14:textFill>
        </w:rPr>
        <w:t>对项目基本情况进行了首次公示</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2024年5月-6月，</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唐山市曹妃甸区第十一农场</w:t>
      </w:r>
      <w:r>
        <w:rPr>
          <w:rFonts w:hint="eastAsia" w:cs="Times New Roman"/>
          <w:color w:val="000000" w:themeColor="text1"/>
          <w:sz w:val="24"/>
          <w:highlight w:val="none"/>
          <w:lang w:eastAsia="zh-CN"/>
          <w14:textFill>
            <w14:solidFill>
              <w14:schemeClr w14:val="tx1"/>
            </w14:solidFill>
          </w14:textFill>
        </w:rPr>
        <w:t>（</w:t>
      </w:r>
      <w:r>
        <w:rPr>
          <w:rFonts w:hint="eastAsia" w:cs="Times New Roman"/>
          <w:color w:val="000000" w:themeColor="text1"/>
          <w:sz w:val="24"/>
          <w:highlight w:val="none"/>
          <w:lang w:val="en-US" w:eastAsia="zh-CN"/>
          <w14:textFill>
            <w14:solidFill>
              <w14:schemeClr w14:val="tx1"/>
            </w14:solidFill>
          </w14:textFill>
        </w:rPr>
        <w:t>原</w:t>
      </w:r>
      <w:r>
        <w:rPr>
          <w:rFonts w:hint="eastAsia" w:cs="Times New Roman"/>
          <w:color w:val="000000" w:themeColor="text1"/>
          <w:sz w:val="24"/>
          <w:highlight w:val="none"/>
          <w:lang w:eastAsia="zh-CN"/>
          <w14:textFill>
            <w14:solidFill>
              <w14:schemeClr w14:val="tx1"/>
            </w14:solidFill>
          </w14:textFill>
        </w:rPr>
        <w:t>河北省国营柏各庄农场第十一农场）</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委托河北正联环保科技有限公司</w:t>
      </w:r>
      <w:r>
        <w:rPr>
          <w:rFonts w:hint="default" w:ascii="Times New Roman" w:hAnsi="Times New Roman" w:eastAsia="宋体" w:cs="Times New Roman"/>
          <w:color w:val="000000" w:themeColor="text1"/>
          <w:sz w:val="24"/>
          <w:highlight w:val="none"/>
          <w14:textFill>
            <w14:solidFill>
              <w14:schemeClr w14:val="tx1"/>
            </w14:solidFill>
          </w14:textFill>
        </w:rPr>
        <w:t>对</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本项目</w:t>
      </w:r>
      <w:r>
        <w:rPr>
          <w:rFonts w:hint="default" w:ascii="Times New Roman" w:hAnsi="Times New Roman" w:eastAsia="宋体" w:cs="Times New Roman"/>
          <w:color w:val="000000" w:themeColor="text1"/>
          <w:sz w:val="24"/>
          <w:highlight w:val="none"/>
          <w14:textFill>
            <w14:solidFill>
              <w14:schemeClr w14:val="tx1"/>
            </w14:solidFill>
          </w14:textFill>
        </w:rPr>
        <w:t>厂区及周边</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声、地下水环境质量进行了现状监测，委托河北欣蓝环境科技有限公司对项目所在区域土壤环境质量进行了现状监测</w:t>
      </w:r>
      <w:r>
        <w:rPr>
          <w:rFonts w:hint="default" w:ascii="Times New Roman" w:hAnsi="Times New Roman" w:eastAsia="宋体" w:cs="Times New Roman"/>
          <w:color w:val="000000" w:themeColor="text1"/>
          <w:spacing w:val="6"/>
          <w:sz w:val="24"/>
          <w:szCs w:val="24"/>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在得到环评初步结论后，</w:t>
      </w:r>
      <w:r>
        <w:rPr>
          <w:rFonts w:hint="default" w:ascii="Times New Roman" w:hAnsi="Times New Roman" w:eastAsia="宋体" w:cs="Times New Roman"/>
          <w:color w:val="000000" w:themeColor="text1"/>
          <w:sz w:val="24"/>
          <w:szCs w:val="24"/>
          <w:highlight w:val="none"/>
          <w:u w:val="none"/>
          <w:shd w:val="clear" w:color="auto" w:fill="FFFFFF"/>
          <w:lang w:val="en-US" w:eastAsia="zh-CN"/>
          <w14:textFill>
            <w14:solidFill>
              <w14:schemeClr w14:val="tx1"/>
            </w14:solidFill>
          </w14:textFill>
        </w:rPr>
        <w:t>建设单位于</w:t>
      </w:r>
      <w:r>
        <w:rPr>
          <w:rFonts w:hint="default" w:ascii="Times New Roman" w:hAnsi="Times New Roman" w:eastAsia="宋体" w:cs="Times New Roman"/>
          <w:b w:val="0"/>
          <w:bCs/>
          <w:color w:val="000000" w:themeColor="text1"/>
          <w:sz w:val="24"/>
          <w:szCs w:val="24"/>
          <w:highlight w:val="none"/>
          <w:vertAlign w:val="baseline"/>
          <w:lang w:val="en-US" w:eastAsia="zh-CN"/>
          <w14:textFill>
            <w14:solidFill>
              <w14:schemeClr w14:val="tx1"/>
            </w14:solidFill>
          </w14:textFill>
        </w:rPr>
        <w:t>2024年7月15日至2024年7月26日</w:t>
      </w:r>
      <w:r>
        <w:rPr>
          <w:rFonts w:hint="default" w:ascii="Times New Roman" w:hAnsi="Times New Roman" w:eastAsia="宋体" w:cs="Times New Roman"/>
          <w:color w:val="000000" w:themeColor="text1"/>
          <w:sz w:val="24"/>
          <w:szCs w:val="24"/>
          <w:highlight w:val="none"/>
          <w:u w:val="none"/>
          <w:shd w:val="clear" w:color="auto" w:fill="FFFFFF"/>
          <w:lang w:val="en-US" w:eastAsia="zh-CN"/>
          <w14:textFill>
            <w14:solidFill>
              <w14:schemeClr w14:val="tx1"/>
            </w14:solidFill>
          </w14:textFill>
        </w:rPr>
        <w:t>进行第二次公众意见调查工作</w:t>
      </w:r>
      <w:r>
        <w:rPr>
          <w:rFonts w:hint="default" w:ascii="Times New Roman" w:hAnsi="Times New Roman" w:eastAsia="宋体" w:cs="Times New Roman"/>
          <w:color w:val="000000" w:themeColor="text1"/>
          <w:sz w:val="24"/>
          <w:szCs w:val="24"/>
          <w:highlight w:val="none"/>
          <w:lang w:val="en-US"/>
          <w14:textFill>
            <w14:solidFill>
              <w14:schemeClr w14:val="tx1"/>
            </w14:solidFill>
          </w14:textFill>
        </w:rPr>
        <w:t>，</w:t>
      </w:r>
      <w:r>
        <w:rPr>
          <w:rFonts w:hint="default" w:ascii="Times New Roman" w:hAnsi="Times New Roman" w:eastAsia="宋体" w:cs="Times New Roman"/>
          <w:color w:val="000000" w:themeColor="text1"/>
          <w:sz w:val="24"/>
          <w:highlight w:val="none"/>
          <w:shd w:val="clear" w:color="auto" w:fill="auto"/>
          <w14:textFill>
            <w14:solidFill>
              <w14:schemeClr w14:val="tx1"/>
            </w14:solidFill>
          </w14:textFill>
        </w:rPr>
        <w:t>在</w:t>
      </w:r>
      <w:r>
        <w:rPr>
          <w:rFonts w:hint="default" w:ascii="Times New Roman" w:hAnsi="Times New Roman" w:eastAsia="宋体" w:cs="Times New Roman"/>
          <w:color w:val="000000" w:themeColor="text1"/>
          <w:sz w:val="24"/>
          <w:szCs w:val="24"/>
          <w:highlight w:val="none"/>
          <w:u w:val="none"/>
          <w:shd w:val="clear" w:color="auto" w:fill="FFFFFF"/>
          <w:lang w:val="en-US" w:eastAsia="zh-CN"/>
          <w14:textFill>
            <w14:solidFill>
              <w14:schemeClr w14:val="tx1"/>
            </w14:solidFill>
          </w14:textFill>
        </w:rPr>
        <w:t>曹妃甸区人民政府网站上</w:t>
      </w:r>
      <w:r>
        <w:rPr>
          <w:rFonts w:hint="default" w:ascii="Times New Roman" w:hAnsi="Times New Roman" w:eastAsia="宋体" w:cs="Times New Roman"/>
          <w:color w:val="000000" w:themeColor="text1"/>
          <w:sz w:val="24"/>
          <w:highlight w:val="none"/>
          <w:shd w:val="clear" w:color="auto" w:fill="auto"/>
          <w14:textFill>
            <w14:solidFill>
              <w14:schemeClr w14:val="tx1"/>
            </w14:solidFill>
          </w14:textFill>
        </w:rPr>
        <w:t>进行了网上公示、报纸公示(</w:t>
      </w:r>
      <w:r>
        <w:rPr>
          <w:rFonts w:hint="default" w:ascii="Times New Roman" w:hAnsi="Times New Roman" w:eastAsia="宋体" w:cs="Times New Roman"/>
          <w:color w:val="000000" w:themeColor="text1"/>
          <w:sz w:val="24"/>
          <w:highlight w:val="none"/>
          <w:shd w:val="clear" w:color="auto" w:fill="auto"/>
          <w:lang w:eastAsia="zh-CN"/>
          <w14:textFill>
            <w14:solidFill>
              <w14:schemeClr w14:val="tx1"/>
            </w14:solidFill>
          </w14:textFill>
        </w:rPr>
        <w:t>河北青年报</w:t>
      </w:r>
      <w:r>
        <w:rPr>
          <w:rFonts w:hint="default" w:ascii="Times New Roman" w:hAnsi="Times New Roman" w:eastAsia="宋体" w:cs="Times New Roman"/>
          <w:color w:val="000000" w:themeColor="text1"/>
          <w:sz w:val="24"/>
          <w:highlight w:val="none"/>
          <w:shd w:val="clear" w:color="auto" w:fill="auto"/>
          <w14:textFill>
            <w14:solidFill>
              <w14:schemeClr w14:val="tx1"/>
            </w14:solidFill>
          </w14:textFill>
        </w:rPr>
        <w:t>)、在村庄等敏感点现场粘贴公示同步进行，</w:t>
      </w:r>
      <w:r>
        <w:rPr>
          <w:rFonts w:hint="default" w:ascii="Times New Roman" w:hAnsi="Times New Roman" w:eastAsia="宋体" w:cs="Times New Roman"/>
          <w:color w:val="000000" w:themeColor="text1"/>
          <w:sz w:val="24"/>
          <w:szCs w:val="24"/>
          <w:highlight w:val="none"/>
          <w:lang w:val="en-US"/>
          <w14:textFill>
            <w14:solidFill>
              <w14:schemeClr w14:val="tx1"/>
            </w14:solidFill>
          </w14:textFill>
        </w:rPr>
        <w:t>公示期间未收到反馈意见。</w:t>
      </w:r>
    </w:p>
    <w:p w14:paraId="2229FCBE">
      <w:pPr>
        <w:spacing w:line="480" w:lineRule="exact"/>
        <w:ind w:firstLine="480" w:firstLineChars="200"/>
        <w:rPr>
          <w:rFonts w:hint="default" w:ascii="Times New Roman" w:hAnsi="Times New Roman" w:eastAsia="宋体" w:cs="Times New Roman"/>
          <w:color w:val="000000" w:themeColor="text1"/>
          <w:sz w:val="24"/>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在以上工作的基础上，按照《建设项目环境影响评价技术导则》的要求和各级</w:t>
      </w:r>
      <w:r>
        <w:rPr>
          <w:rFonts w:hint="default" w:ascii="Times New Roman" w:hAnsi="Times New Roman" w:eastAsia="宋体" w:cs="Times New Roman"/>
          <w:color w:val="000000" w:themeColor="text1"/>
          <w:spacing w:val="-3"/>
          <w:sz w:val="24"/>
          <w:szCs w:val="24"/>
          <w:highlight w:val="none"/>
          <w14:textFill>
            <w14:solidFill>
              <w14:schemeClr w14:val="tx1"/>
            </w14:solidFill>
          </w14:textFill>
        </w:rPr>
        <w:t>主管部门的意见，编制完成了</w:t>
      </w:r>
      <w:r>
        <w:rPr>
          <w:rFonts w:hint="default" w:ascii="Times New Roman" w:hAnsi="Times New Roman" w:eastAsia="宋体" w:cs="Times New Roman"/>
          <w:color w:val="000000" w:themeColor="text1"/>
          <w:spacing w:val="-3"/>
          <w:sz w:val="24"/>
          <w:szCs w:val="24"/>
          <w:highlight w:val="none"/>
          <w:lang w:eastAsia="zh-CN"/>
          <w14:textFill>
            <w14:solidFill>
              <w14:schemeClr w14:val="tx1"/>
            </w14:solidFill>
          </w14:textFill>
        </w:rPr>
        <w:t>《</w:t>
      </w:r>
      <w:r>
        <w:rPr>
          <w:rFonts w:hint="eastAsia" w:cs="Times New Roman"/>
          <w:color w:val="000000" w:themeColor="text1"/>
          <w:spacing w:val="-3"/>
          <w:sz w:val="24"/>
          <w:szCs w:val="24"/>
          <w:highlight w:val="none"/>
          <w:lang w:eastAsia="zh-CN"/>
          <w14:textFill>
            <w14:solidFill>
              <w14:schemeClr w14:val="tx1"/>
            </w14:solidFill>
          </w14:textFill>
        </w:rPr>
        <w:t>唐山市曹妃甸区垦丰家居产业园区新建污水处理厂工程环境影响报告书</w:t>
      </w:r>
      <w:r>
        <w:rPr>
          <w:rFonts w:hint="default" w:ascii="Times New Roman" w:hAnsi="Times New Roman" w:eastAsia="宋体" w:cs="Times New Roman"/>
          <w:color w:val="000000" w:themeColor="text1"/>
          <w:spacing w:val="-3"/>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pacing w:val="-3"/>
          <w:sz w:val="24"/>
          <w:highlight w:val="none"/>
          <w:shd w:val="clear" w:color="auto" w:fill="auto"/>
          <w14:textFill>
            <w14:solidFill>
              <w14:schemeClr w14:val="tx1"/>
            </w14:solidFill>
          </w14:textFill>
        </w:rPr>
        <w:t>。</w:t>
      </w:r>
    </w:p>
    <w:p w14:paraId="2DAB48CC">
      <w:pPr>
        <w:pStyle w:val="7"/>
        <w:bidi w:val="0"/>
        <w:rPr>
          <w:rFonts w:hint="default"/>
        </w:rPr>
      </w:pPr>
      <w:bookmarkStart w:id="38" w:name="_Toc497978854"/>
      <w:bookmarkStart w:id="39" w:name="_Toc482193197"/>
      <w:bookmarkStart w:id="40" w:name="_Toc12678"/>
      <w:r>
        <w:rPr>
          <w:rFonts w:hint="default"/>
        </w:rPr>
        <w:t>1.3分析判定相关情况</w:t>
      </w:r>
      <w:bookmarkEnd w:id="38"/>
      <w:bookmarkEnd w:id="39"/>
      <w:bookmarkEnd w:id="40"/>
    </w:p>
    <w:p w14:paraId="6142B653">
      <w:pPr>
        <w:pStyle w:val="6"/>
        <w:pageBreakBefore w:val="0"/>
        <w:widowControl w:val="0"/>
        <w:kinsoku/>
        <w:wordWrap/>
        <w:overflowPunct/>
        <w:topLinePunct w:val="0"/>
        <w:autoSpaceDE/>
        <w:autoSpaceDN/>
        <w:bidi w:val="0"/>
        <w:adjustRightInd/>
        <w:snapToGrid/>
        <w:spacing w:before="0" w:beforeLines="0" w:after="0" w:afterLines="0" w:line="480" w:lineRule="exact"/>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bookmarkStart w:id="41" w:name="_Toc32047"/>
      <w:bookmarkStart w:id="42" w:name="_Toc497978855"/>
      <w:bookmarkStart w:id="43" w:name="_Toc482193198"/>
      <w:bookmarkStart w:id="44" w:name="_Toc7281"/>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1.3</w:t>
      </w:r>
      <w:r>
        <w:rPr>
          <w:rFonts w:hint="default" w:ascii="Times New Roman" w:hAnsi="Times New Roman" w:eastAsia="宋体" w:cs="Times New Roman"/>
          <w:color w:val="000000" w:themeColor="text1"/>
          <w:sz w:val="24"/>
          <w:szCs w:val="24"/>
          <w:highlight w:val="none"/>
          <w14:textFill>
            <w14:solidFill>
              <w14:schemeClr w14:val="tx1"/>
            </w14:solidFill>
          </w14:textFill>
        </w:rPr>
        <w:t>.1</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选址合理性分析</w:t>
      </w:r>
    </w:p>
    <w:p w14:paraId="1E9FE697">
      <w:pPr>
        <w:pageBreakBefore w:val="0"/>
        <w:widowControl w:val="0"/>
        <w:kinsoku/>
        <w:wordWrap/>
        <w:overflowPunct/>
        <w:topLinePunct w:val="0"/>
        <w:bidi w:val="0"/>
        <w:spacing w:line="480" w:lineRule="exact"/>
        <w:ind w:firstLine="480"/>
        <w:textAlignment w:val="auto"/>
        <w:rPr>
          <w:rFonts w:hint="default" w:ascii="Times New Roman" w:hAnsi="Times New Roman" w:eastAsia="宋体" w:cs="Times New Roman"/>
          <w:bCs/>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项目位于唐山市曹妃甸区垦丰家居产业园区，为园区配套基础设施，</w:t>
      </w:r>
      <w:r>
        <w:rPr>
          <w:rFonts w:hint="eastAsia" w:cs="Times New Roman"/>
          <w:color w:val="000000" w:themeColor="text1"/>
          <w:sz w:val="24"/>
          <w:highlight w:val="none"/>
          <w:lang w:val="en-US" w:eastAsia="zh-CN"/>
          <w14:textFill>
            <w14:solidFill>
              <w14:schemeClr w14:val="tx1"/>
            </w14:solidFill>
          </w14:textFill>
        </w:rPr>
        <w:t>本项目</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为规划中污水处理厂扩建项目，符合园区规划</w:t>
      </w:r>
      <w:r>
        <w:rPr>
          <w:rFonts w:hint="eastAsia" w:cs="Times New Roman"/>
          <w:color w:val="000000" w:themeColor="text1"/>
          <w:sz w:val="24"/>
          <w:szCs w:val="24"/>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根据唐山市曹妃甸区自然资源和规划局出具的用地规划意见，项目选址位于唐山市曹妃甸区垦丰家居产业园区</w:t>
      </w:r>
      <w:r>
        <w:rPr>
          <w:rFonts w:hint="eastAsia" w:cs="Times New Roman"/>
          <w:color w:val="000000" w:themeColor="text1"/>
          <w:sz w:val="24"/>
          <w:highlight w:val="none"/>
          <w:lang w:val="en-US" w:eastAsia="zh-CN"/>
          <w14:textFill>
            <w14:solidFill>
              <w14:schemeClr w14:val="tx1"/>
            </w14:solidFill>
          </w14:textFill>
        </w:rPr>
        <w:t>规划污水处理厂用地</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范围内，符合用地规划。项目南侧距曹妃甸湿地和鸟类省级自然保护区实验区</w:t>
      </w:r>
      <w:r>
        <w:rPr>
          <w:rFonts w:hint="eastAsia" w:cs="Times New Roman"/>
          <w:color w:val="000000" w:themeColor="text1"/>
          <w:sz w:val="24"/>
          <w:highlight w:val="none"/>
          <w:lang w:val="en-US" w:eastAsia="zh-CN"/>
          <w14:textFill>
            <w14:solidFill>
              <w14:schemeClr w14:val="tx1"/>
            </w14:solidFill>
          </w14:textFill>
        </w:rPr>
        <w:t>1276</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m。项目采取各项污染防治措施，根据预测结果分析，污染物均能达标排放。项目建设运营后，区域各环境要素、环境功能区质量不会明显降低，项目建设对周边环境影响较小。</w:t>
      </w:r>
    </w:p>
    <w:p w14:paraId="6015BCC5">
      <w:pPr>
        <w:pStyle w:val="16"/>
        <w:spacing w:line="480" w:lineRule="exact"/>
        <w:rPr>
          <w:rFonts w:hint="default" w:ascii="Times New Roman" w:hAnsi="Times New Roman" w:eastAsia="宋体" w:cs="Times New Roman"/>
          <w:bCs/>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因此，项目选址合理。</w:t>
      </w:r>
    </w:p>
    <w:p w14:paraId="11CF830D">
      <w:pPr>
        <w:pStyle w:val="6"/>
        <w:pageBreakBefore w:val="0"/>
        <w:widowControl w:val="0"/>
        <w:kinsoku/>
        <w:wordWrap/>
        <w:overflowPunct/>
        <w:topLinePunct w:val="0"/>
        <w:autoSpaceDE/>
        <w:autoSpaceDN/>
        <w:bidi w:val="0"/>
        <w:adjustRightInd/>
        <w:snapToGrid/>
        <w:spacing w:before="0" w:beforeLines="0" w:after="0" w:afterLines="0" w:line="480" w:lineRule="exact"/>
        <w:textAlignment w:val="auto"/>
        <w:rPr>
          <w:rFonts w:hint="default" w:ascii="Times New Roman" w:hAnsi="Times New Roman" w:eastAsia="宋体" w:cs="Times New Roman"/>
          <w:bCs/>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1.3</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w:t>
      </w:r>
      <w:r>
        <w:rPr>
          <w:rFonts w:hint="default" w:ascii="Times New Roman" w:hAnsi="Times New Roman" w:eastAsia="宋体" w:cs="Times New Roman"/>
          <w:bCs/>
          <w:color w:val="000000" w:themeColor="text1"/>
          <w:sz w:val="24"/>
          <w:highlight w:val="none"/>
          <w:lang w:val="en-US" w:eastAsia="zh-CN"/>
          <w14:textFill>
            <w14:solidFill>
              <w14:schemeClr w14:val="tx1"/>
            </w14:solidFill>
          </w14:textFill>
        </w:rPr>
        <w:t>园区规划符合性分析</w:t>
      </w:r>
    </w:p>
    <w:p w14:paraId="65A2733F">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根据《曹妃甸区垦丰家居产业园控制性详细规划环境影响跟踪评价报告书》，</w:t>
      </w:r>
      <w:r>
        <w:rPr>
          <w:rFonts w:hint="eastAsia" w:cs="Times New Roman"/>
          <w:color w:val="000000" w:themeColor="text1"/>
          <w:sz w:val="24"/>
          <w:szCs w:val="24"/>
          <w:highlight w:val="none"/>
          <w:lang w:val="en-US" w:eastAsia="zh-CN"/>
          <w14:textFill>
            <w14:solidFill>
              <w14:schemeClr w14:val="tx1"/>
            </w14:solidFill>
          </w14:textFill>
        </w:rPr>
        <w:t>目前</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园区在建和现有企业污水排放量为</w:t>
      </w:r>
      <w:r>
        <w:rPr>
          <w:rFonts w:hint="eastAsia" w:cs="Times New Roman"/>
          <w:color w:val="000000" w:themeColor="text1"/>
          <w:sz w:val="24"/>
          <w:szCs w:val="24"/>
          <w:highlight w:val="none"/>
          <w:lang w:val="en-US" w:eastAsia="zh-CN"/>
          <w14:textFill>
            <w14:solidFill>
              <w14:schemeClr w14:val="tx1"/>
            </w14:solidFill>
          </w14:textFill>
        </w:rPr>
        <w:t>6666m</w:t>
      </w:r>
      <w:r>
        <w:rPr>
          <w:rFonts w:hint="eastAsia" w:cs="Times New Roman"/>
          <w:color w:val="000000" w:themeColor="text1"/>
          <w:sz w:val="24"/>
          <w:szCs w:val="24"/>
          <w:highlight w:val="none"/>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/a（</w:t>
      </w:r>
      <w:r>
        <w:rPr>
          <w:rFonts w:hint="eastAsia" w:cs="Times New Roman"/>
          <w:color w:val="000000" w:themeColor="text1"/>
          <w:sz w:val="24"/>
          <w:szCs w:val="24"/>
          <w:highlight w:val="none"/>
          <w:lang w:val="en-US" w:eastAsia="zh-CN"/>
          <w14:textFill>
            <w14:solidFill>
              <w14:schemeClr w14:val="tx1"/>
            </w14:solidFill>
          </w14:textFill>
        </w:rPr>
        <w:t>18.3m</w:t>
      </w:r>
      <w:r>
        <w:rPr>
          <w:rFonts w:hint="eastAsia" w:cs="Times New Roman"/>
          <w:color w:val="000000" w:themeColor="text1"/>
          <w:sz w:val="24"/>
          <w:szCs w:val="24"/>
          <w:highlight w:val="none"/>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/d），污水处理站满足使用要求，在新一轮规划修编时结合家具企业实际情况，合理确定污水处理站规模</w:t>
      </w:r>
      <w:r>
        <w:rPr>
          <w:rFonts w:hint="eastAsia"/>
          <w:highlight w:val="none"/>
          <w:lang w:eastAsia="zh-CN"/>
        </w:rPr>
        <w:t>，</w:t>
      </w:r>
      <w:r>
        <w:rPr>
          <w:rFonts w:hint="eastAsia"/>
          <w:highlight w:val="none"/>
          <w:lang w:val="en-US" w:eastAsia="zh-CN"/>
        </w:rPr>
        <w:t>建议在过渡期扩建污水处理站规模至250m</w:t>
      </w:r>
      <w:r>
        <w:rPr>
          <w:rFonts w:hint="eastAsia"/>
          <w:highlight w:val="none"/>
          <w:vertAlign w:val="superscript"/>
          <w:lang w:val="en-US" w:eastAsia="zh-CN"/>
        </w:rPr>
        <w:t>3</w:t>
      </w:r>
      <w:r>
        <w:rPr>
          <w:rFonts w:hint="eastAsia"/>
          <w:highlight w:val="none"/>
          <w:lang w:val="en-US" w:eastAsia="zh-CN"/>
        </w:rPr>
        <w:t>/d</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。目前，扩建工程正在设计中，扩建规模为200</w:t>
      </w:r>
      <w:r>
        <w:rPr>
          <w:rFonts w:hint="eastAsia" w:cs="Times New Roman"/>
          <w:color w:val="000000" w:themeColor="text1"/>
          <w:sz w:val="24"/>
          <w:szCs w:val="24"/>
          <w:highlight w:val="none"/>
          <w:lang w:val="en-US" w:eastAsia="zh-CN"/>
          <w14:textFill>
            <w14:solidFill>
              <w14:schemeClr w14:val="tx1"/>
            </w14:solidFill>
          </w14:textFill>
        </w:rPr>
        <w:t>m</w:t>
      </w:r>
      <w:r>
        <w:rPr>
          <w:rFonts w:hint="eastAsia" w:cs="Times New Roman"/>
          <w:color w:val="000000" w:themeColor="text1"/>
          <w:sz w:val="24"/>
          <w:szCs w:val="24"/>
          <w:highlight w:val="none"/>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/d，扩建完成后，全厂处理规模为250</w:t>
      </w:r>
      <w:r>
        <w:rPr>
          <w:rFonts w:hint="eastAsia" w:cs="Times New Roman"/>
          <w:color w:val="000000" w:themeColor="text1"/>
          <w:sz w:val="24"/>
          <w:szCs w:val="24"/>
          <w:highlight w:val="none"/>
          <w:lang w:val="en-US" w:eastAsia="zh-CN"/>
          <w14:textFill>
            <w14:solidFill>
              <w14:schemeClr w14:val="tx1"/>
            </w14:solidFill>
          </w14:textFill>
        </w:rPr>
        <w:t>m</w:t>
      </w:r>
      <w:r>
        <w:rPr>
          <w:rFonts w:hint="eastAsia" w:cs="Times New Roman"/>
          <w:color w:val="000000" w:themeColor="text1"/>
          <w:sz w:val="24"/>
          <w:szCs w:val="24"/>
          <w:highlight w:val="none"/>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/d。污水处理主体工艺采用“格栅+调节池+</w:t>
      </w:r>
      <w:r>
        <w:rPr>
          <w:rFonts w:hint="eastAsia" w:cs="Times New Roman"/>
          <w:color w:val="000000" w:themeColor="text1"/>
          <w:sz w:val="24"/>
          <w:szCs w:val="24"/>
          <w:highlight w:val="none"/>
          <w:lang w:val="en-US" w:eastAsia="zh-CN"/>
          <w14:textFill>
            <w14:solidFill>
              <w14:schemeClr w14:val="tx1"/>
            </w14:solidFill>
          </w14:textFill>
        </w:rPr>
        <w:t>A</w:t>
      </w:r>
      <w:r>
        <w:rPr>
          <w:rFonts w:hint="eastAsia" w:cs="Times New Roman"/>
          <w:color w:val="000000" w:themeColor="text1"/>
          <w:sz w:val="24"/>
          <w:szCs w:val="24"/>
          <w:highlight w:val="none"/>
          <w:vertAlign w:val="superscript"/>
          <w:lang w:val="en-US" w:eastAsia="zh-CN"/>
          <w14:textFill>
            <w14:solidFill>
              <w14:schemeClr w14:val="tx1"/>
            </w14:solidFill>
          </w14:textFill>
        </w:rPr>
        <w:t>2</w:t>
      </w:r>
      <w:r>
        <w:rPr>
          <w:rFonts w:hint="eastAsia" w:cs="Times New Roman"/>
          <w:color w:val="000000" w:themeColor="text1"/>
          <w:sz w:val="24"/>
          <w:szCs w:val="24"/>
          <w:highlight w:val="none"/>
          <w:lang w:val="en-US" w:eastAsia="zh-CN"/>
          <w14:textFill>
            <w14:solidFill>
              <w14:schemeClr w14:val="tx1"/>
            </w14:solidFill>
          </w14:textFill>
        </w:rPr>
        <w:t>O</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+混凝沉淀池+消毒工艺”，污水经处理达标后，排入附近沟渠，采用洒水车及绿化车辆在沟渠取水，用于园区内道路喷洒及绿化，园区外农田灌溉，汛期强排至三排干渠。</w:t>
      </w:r>
    </w:p>
    <w:p w14:paraId="49DCC81A">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本项目即为规划中污水处理厂扩建项目，</w:t>
      </w:r>
      <w:r>
        <w:rPr>
          <w:rFonts w:hint="eastAsia" w:cs="Times New Roman"/>
          <w:color w:val="000000" w:themeColor="text1"/>
          <w:sz w:val="24"/>
          <w:szCs w:val="24"/>
          <w:highlight w:val="none"/>
          <w:lang w:val="en-US" w:eastAsia="zh-CN"/>
          <w14:textFill>
            <w14:solidFill>
              <w14:schemeClr w14:val="tx1"/>
            </w14:solidFill>
          </w14:textFill>
        </w:rPr>
        <w:t>仅尾水排放去向进行了调整，将其全部回用于厂区生产用水、园区绿化用水、园区道路喷洒抑尘及园区其他企业生产用水，</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符合园区规划。</w:t>
      </w:r>
    </w:p>
    <w:p w14:paraId="0F1667D1">
      <w:pPr>
        <w:pStyle w:val="6"/>
        <w:bidi w:val="0"/>
        <w:rPr>
          <w:rFonts w:hint="default"/>
          <w:lang w:val="en-US" w:eastAsia="zh-CN"/>
        </w:rPr>
      </w:pPr>
      <w:r>
        <w:rPr>
          <w:rFonts w:hint="default"/>
          <w:lang w:val="en-US" w:eastAsia="zh-CN"/>
        </w:rPr>
        <w:t>1.3</w:t>
      </w:r>
      <w:r>
        <w:rPr>
          <w:rFonts w:hint="default"/>
        </w:rPr>
        <w:t>.</w:t>
      </w:r>
      <w:r>
        <w:rPr>
          <w:rFonts w:hint="default"/>
          <w:lang w:val="en-US" w:eastAsia="zh-CN"/>
        </w:rPr>
        <w:t>3产业政策符合性分析</w:t>
      </w:r>
    </w:p>
    <w:p w14:paraId="60EE5C61">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依据《产业结构调整指导目录（2024年本）》，本项目属于鼓励类项目中的“四十二、环境保护与资源节约综合利用，10.工业“三废”循环利用：“三废”综合利用与治理技术”；项目不属于《市场准入负面清单》(2022年)中的禁止准入类建设项目；唐山市曹妃甸区行政审批局已出具《关于唐山市曹妃甸区垦丰家居产业园区新建污水处理厂工程投资计划的通知》（唐曹审批投资文(2023)173号）。项目的建设符合国家及地方产业政策。</w:t>
      </w:r>
    </w:p>
    <w:p w14:paraId="64471228">
      <w:pPr>
        <w:pStyle w:val="6"/>
        <w:pageBreakBefore w:val="0"/>
        <w:widowControl w:val="0"/>
        <w:kinsoku/>
        <w:wordWrap/>
        <w:overflowPunct/>
        <w:topLinePunct w:val="0"/>
        <w:autoSpaceDE/>
        <w:autoSpaceDN/>
        <w:bidi w:val="0"/>
        <w:adjustRightInd/>
        <w:snapToGrid/>
        <w:spacing w:before="0" w:beforeLines="0" w:after="0" w:afterLines="0" w:line="480" w:lineRule="exact"/>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1.3.6公众意见采纳情况分析</w:t>
      </w:r>
    </w:p>
    <w:p w14:paraId="4210B54A">
      <w:pPr>
        <w:pageBreakBefore w:val="0"/>
        <w:kinsoku/>
        <w:wordWrap/>
        <w:overflowPunct/>
        <w:topLinePunct w:val="0"/>
        <w:autoSpaceDE/>
        <w:autoSpaceDN/>
        <w:bidi w:val="0"/>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14:textFill>
            <w14:solidFill>
              <w14:schemeClr w14:val="tx1"/>
            </w14:solidFill>
          </w14:textFill>
        </w:rPr>
      </w:pPr>
      <w:r>
        <w:rPr>
          <w:rFonts w:hint="default" w:ascii="Times New Roman" w:hAnsi="Times New Roman" w:eastAsia="宋体" w:cs="Times New Roman"/>
          <w:color w:val="000000" w:themeColor="text1"/>
          <w:kern w:val="0"/>
          <w:sz w:val="24"/>
          <w:highlight w:val="none"/>
          <w:shd w:val="clear" w:color="auto" w:fill="auto"/>
          <w:lang w:val="zh-CN"/>
          <w14:textFill>
            <w14:solidFill>
              <w14:schemeClr w14:val="tx1"/>
            </w14:solidFill>
          </w14:textFill>
        </w:rPr>
        <w:t>根据《环境影响评价公众参与办法》（生态环境部令第4号）的相关要求，</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建设单位</w:t>
      </w:r>
      <w:r>
        <w:rPr>
          <w:rFonts w:hint="default" w:ascii="Times New Roman" w:hAnsi="Times New Roman" w:eastAsia="宋体" w:cs="Times New Roman"/>
          <w:color w:val="000000" w:themeColor="text1"/>
          <w:sz w:val="24"/>
          <w:szCs w:val="24"/>
          <w:highlight w:val="none"/>
          <w14:textFill>
            <w14:solidFill>
              <w14:schemeClr w14:val="tx1"/>
            </w14:solidFill>
          </w14:textFill>
        </w:rPr>
        <w:t>在确定环境影响评价报告书编制单位后7个工作日内（</w:t>
      </w:r>
      <w:r>
        <w:rPr>
          <w:rFonts w:hint="default" w:ascii="Times New Roman" w:hAnsi="Times New Roman" w:eastAsia="宋体" w:cs="Times New Roman"/>
          <w:color w:val="000000" w:themeColor="text1"/>
          <w:sz w:val="24"/>
          <w:szCs w:val="24"/>
          <w:highlight w:val="none"/>
          <w:u w:val="none"/>
          <w:shd w:val="clear" w:color="auto" w:fill="FFFFFF"/>
          <w:lang w:val="en-US" w:eastAsia="zh-CN"/>
          <w14:textFill>
            <w14:solidFill>
              <w14:schemeClr w14:val="tx1"/>
            </w14:solidFill>
          </w14:textFill>
        </w:rPr>
        <w:t>2024年5月6日</w:t>
      </w:r>
      <w:r>
        <w:rPr>
          <w:rFonts w:hint="default" w:ascii="Times New Roman" w:hAnsi="Times New Roman" w:eastAsia="宋体" w:cs="Times New Roman"/>
          <w:color w:val="000000" w:themeColor="text1"/>
          <w:sz w:val="24"/>
          <w:szCs w:val="24"/>
          <w:highlight w:val="none"/>
          <w14:textFill>
            <w14:solidFill>
              <w14:schemeClr w14:val="tx1"/>
            </w14:solidFill>
          </w14:textFill>
        </w:rPr>
        <w:t>）在</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曹妃甸区人民政府网站上</w:t>
      </w:r>
      <w:r>
        <w:rPr>
          <w:rFonts w:hint="default" w:ascii="Times New Roman" w:hAnsi="Times New Roman" w:eastAsia="宋体" w:cs="Times New Roman"/>
          <w:color w:val="000000" w:themeColor="text1"/>
          <w:sz w:val="24"/>
          <w:szCs w:val="24"/>
          <w:highlight w:val="none"/>
          <w14:textFill>
            <w14:solidFill>
              <w14:schemeClr w14:val="tx1"/>
            </w14:solidFill>
          </w14:textFill>
        </w:rPr>
        <w:t>对项目基本情况进行了首次公示</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在得到环评初步结论后，</w:t>
      </w:r>
      <w:r>
        <w:rPr>
          <w:rFonts w:hint="default" w:ascii="Times New Roman" w:hAnsi="Times New Roman" w:eastAsia="宋体" w:cs="Times New Roman"/>
          <w:color w:val="000000" w:themeColor="text1"/>
          <w:sz w:val="24"/>
          <w:szCs w:val="24"/>
          <w:highlight w:val="none"/>
          <w:u w:val="none"/>
          <w:shd w:val="clear" w:color="auto" w:fill="FFFFFF"/>
          <w:lang w:val="en-US" w:eastAsia="zh-CN"/>
          <w14:textFill>
            <w14:solidFill>
              <w14:schemeClr w14:val="tx1"/>
            </w14:solidFill>
          </w14:textFill>
        </w:rPr>
        <w:t>建设单位于</w:t>
      </w:r>
      <w:r>
        <w:rPr>
          <w:rFonts w:hint="default" w:ascii="Times New Roman" w:hAnsi="Times New Roman" w:eastAsia="宋体" w:cs="Times New Roman"/>
          <w:b w:val="0"/>
          <w:bCs/>
          <w:color w:val="000000" w:themeColor="text1"/>
          <w:sz w:val="24"/>
          <w:szCs w:val="24"/>
          <w:highlight w:val="none"/>
          <w:vertAlign w:val="baseline"/>
          <w:lang w:val="en-US" w:eastAsia="zh-CN"/>
          <w14:textFill>
            <w14:solidFill>
              <w14:schemeClr w14:val="tx1"/>
            </w14:solidFill>
          </w14:textFill>
        </w:rPr>
        <w:t>2024年7月15日至2024年7月26日</w:t>
      </w:r>
      <w:r>
        <w:rPr>
          <w:rFonts w:hint="default" w:ascii="Times New Roman" w:hAnsi="Times New Roman" w:eastAsia="宋体" w:cs="Times New Roman"/>
          <w:color w:val="000000" w:themeColor="text1"/>
          <w:sz w:val="24"/>
          <w:szCs w:val="24"/>
          <w:highlight w:val="none"/>
          <w:u w:val="none"/>
          <w:shd w:val="clear" w:color="auto" w:fill="FFFFFF"/>
          <w:lang w:val="en-US" w:eastAsia="zh-CN"/>
          <w14:textFill>
            <w14:solidFill>
              <w14:schemeClr w14:val="tx1"/>
            </w14:solidFill>
          </w14:textFill>
        </w:rPr>
        <w:t>进行第二次公众意见调查工作</w:t>
      </w:r>
      <w:r>
        <w:rPr>
          <w:rFonts w:hint="default" w:ascii="Times New Roman" w:hAnsi="Times New Roman" w:eastAsia="宋体" w:cs="Times New Roman"/>
          <w:color w:val="000000" w:themeColor="text1"/>
          <w:sz w:val="24"/>
          <w:szCs w:val="24"/>
          <w:highlight w:val="none"/>
          <w:lang w:val="en-US"/>
          <w14:textFill>
            <w14:solidFill>
              <w14:schemeClr w14:val="tx1"/>
            </w14:solidFill>
          </w14:textFill>
        </w:rPr>
        <w:t>，</w:t>
      </w:r>
      <w:r>
        <w:rPr>
          <w:rFonts w:hint="default" w:ascii="Times New Roman" w:hAnsi="Times New Roman" w:eastAsia="宋体" w:cs="Times New Roman"/>
          <w:color w:val="000000" w:themeColor="text1"/>
          <w:sz w:val="24"/>
          <w:highlight w:val="none"/>
          <w:shd w:val="clear" w:color="auto" w:fill="auto"/>
          <w14:textFill>
            <w14:solidFill>
              <w14:schemeClr w14:val="tx1"/>
            </w14:solidFill>
          </w14:textFill>
        </w:rPr>
        <w:t>在</w:t>
      </w:r>
      <w:r>
        <w:rPr>
          <w:rFonts w:hint="default" w:ascii="Times New Roman" w:hAnsi="Times New Roman" w:eastAsia="宋体" w:cs="Times New Roman"/>
          <w:color w:val="000000" w:themeColor="text1"/>
          <w:sz w:val="24"/>
          <w:szCs w:val="24"/>
          <w:highlight w:val="none"/>
          <w:u w:val="none"/>
          <w:shd w:val="clear" w:color="auto" w:fill="FFFFFF"/>
          <w:lang w:val="en-US" w:eastAsia="zh-CN"/>
          <w14:textFill>
            <w14:solidFill>
              <w14:schemeClr w14:val="tx1"/>
            </w14:solidFill>
          </w14:textFill>
        </w:rPr>
        <w:t>曹妃甸区人民政府网站上</w:t>
      </w:r>
      <w:r>
        <w:rPr>
          <w:rFonts w:hint="default" w:ascii="Times New Roman" w:hAnsi="Times New Roman" w:eastAsia="宋体" w:cs="Times New Roman"/>
          <w:color w:val="000000" w:themeColor="text1"/>
          <w:sz w:val="24"/>
          <w:highlight w:val="none"/>
          <w:shd w:val="clear" w:color="auto" w:fill="auto"/>
          <w14:textFill>
            <w14:solidFill>
              <w14:schemeClr w14:val="tx1"/>
            </w14:solidFill>
          </w14:textFill>
        </w:rPr>
        <w:t>进行了网上公示、报纸公示(</w:t>
      </w:r>
      <w:r>
        <w:rPr>
          <w:rFonts w:hint="default" w:ascii="Times New Roman" w:hAnsi="Times New Roman" w:eastAsia="宋体" w:cs="Times New Roman"/>
          <w:color w:val="000000" w:themeColor="text1"/>
          <w:sz w:val="24"/>
          <w:highlight w:val="none"/>
          <w:shd w:val="clear" w:color="auto" w:fill="auto"/>
          <w:lang w:eastAsia="zh-CN"/>
          <w14:textFill>
            <w14:solidFill>
              <w14:schemeClr w14:val="tx1"/>
            </w14:solidFill>
          </w14:textFill>
        </w:rPr>
        <w:t>河北青年报</w:t>
      </w:r>
      <w:r>
        <w:rPr>
          <w:rFonts w:hint="default" w:ascii="Times New Roman" w:hAnsi="Times New Roman" w:eastAsia="宋体" w:cs="Times New Roman"/>
          <w:color w:val="000000" w:themeColor="text1"/>
          <w:sz w:val="24"/>
          <w:highlight w:val="none"/>
          <w:shd w:val="clear" w:color="auto" w:fill="auto"/>
          <w14:textFill>
            <w14:solidFill>
              <w14:schemeClr w14:val="tx1"/>
            </w14:solidFill>
          </w14:textFill>
        </w:rPr>
        <w:t>)、在村庄等敏感点现场粘贴公示同步进行，</w:t>
      </w:r>
      <w:r>
        <w:rPr>
          <w:rFonts w:hint="default" w:ascii="Times New Roman" w:hAnsi="Times New Roman" w:eastAsia="宋体" w:cs="Times New Roman"/>
          <w:color w:val="000000" w:themeColor="text1"/>
          <w:sz w:val="24"/>
          <w:szCs w:val="24"/>
          <w:highlight w:val="none"/>
          <w:lang w:val="en-US"/>
          <w14:textFill>
            <w14:solidFill>
              <w14:schemeClr w14:val="tx1"/>
            </w14:solidFill>
          </w14:textFill>
        </w:rPr>
        <w:t>公示期间未收到反馈意见。</w:t>
      </w:r>
    </w:p>
    <w:p w14:paraId="45BDECCF">
      <w:pPr>
        <w:pStyle w:val="6"/>
        <w:pageBreakBefore w:val="0"/>
        <w:widowControl w:val="0"/>
        <w:kinsoku/>
        <w:wordWrap/>
        <w:overflowPunct/>
        <w:topLinePunct w:val="0"/>
        <w:autoSpaceDE/>
        <w:autoSpaceDN/>
        <w:bidi w:val="0"/>
        <w:adjustRightInd/>
        <w:snapToGrid/>
        <w:spacing w:before="0" w:beforeLines="0" w:after="0" w:afterLines="0" w:line="480" w:lineRule="exact"/>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1.3</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4环保政策符合性分析</w:t>
      </w:r>
    </w:p>
    <w:p w14:paraId="79085071">
      <w:pPr>
        <w:spacing w:line="480" w:lineRule="exact"/>
        <w:ind w:firstLine="480" w:firstLineChars="200"/>
        <w:rPr>
          <w:rFonts w:hint="default" w:ascii="Times New Roman" w:hAnsi="Times New Roman" w:eastAsia="宋体" w:cs="Times New Roman"/>
          <w:color w:val="000000" w:themeColor="text1"/>
          <w:sz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本项目位于曹妃甸区垦丰家居产业园内，由唐山市环境管控单元分布图知，本项目属于重点管控单元。项目</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严格执行国家和省关于产业准入、总量控制和污染物排放标准等管控要求，不在生态保护红线和海洋生态红线范围内，</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项目的建设</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符合《唐山市人民政府关于实施“三线一单”生态环境分区管控的意见》（唐政字【2021】48号）及《唐山市生态环境准入清单》（2023年版)</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的</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要求。</w:t>
      </w:r>
    </w:p>
    <w:p w14:paraId="3A24AE88">
      <w:pPr>
        <w:pStyle w:val="6"/>
        <w:pageBreakBefore w:val="0"/>
        <w:widowControl w:val="0"/>
        <w:kinsoku/>
        <w:wordWrap/>
        <w:overflowPunct/>
        <w:topLinePunct w:val="0"/>
        <w:autoSpaceDE/>
        <w:autoSpaceDN/>
        <w:bidi w:val="0"/>
        <w:adjustRightInd/>
        <w:snapToGrid/>
        <w:spacing w:before="0" w:beforeLines="0" w:after="0" w:afterLines="0" w:line="480" w:lineRule="exact"/>
        <w:textAlignment w:val="auto"/>
        <w:rPr>
          <w:rFonts w:hint="default" w:ascii="Times New Roman" w:hAnsi="Times New Roman" w:eastAsia="宋体" w:cs="Times New Roman"/>
          <w:b/>
          <w:bCs/>
          <w:color w:val="000000" w:themeColor="text1"/>
          <w:kern w:val="2"/>
          <w:sz w:val="24"/>
          <w:szCs w:val="32"/>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1.3.5</w:t>
      </w:r>
      <w:r>
        <w:rPr>
          <w:rFonts w:hint="default" w:ascii="Times New Roman" w:hAnsi="Times New Roman" w:eastAsia="宋体" w:cs="Times New Roman"/>
          <w:b/>
          <w:bCs/>
          <w:color w:val="000000" w:themeColor="text1"/>
          <w:kern w:val="2"/>
          <w:sz w:val="24"/>
          <w:szCs w:val="32"/>
          <w:highlight w:val="none"/>
          <w:lang w:val="en-US" w:eastAsia="zh-CN" w:bidi="ar-SA"/>
          <w14:textFill>
            <w14:solidFill>
              <w14:schemeClr w14:val="tx1"/>
            </w14:solidFill>
          </w14:textFill>
        </w:rPr>
        <w:t>评价等级判定</w:t>
      </w:r>
    </w:p>
    <w:p w14:paraId="69EE8F21">
      <w:pPr>
        <w:keepNext w:val="0"/>
        <w:keepLines w:val="0"/>
        <w:pageBreakBefore w:val="0"/>
        <w:widowControl w:val="0"/>
        <w:kinsoku/>
        <w:wordWrap/>
        <w:overflowPunct/>
        <w:topLinePunct w:val="0"/>
        <w:autoSpaceDE/>
        <w:autoSpaceDN/>
        <w:bidi w:val="0"/>
        <w:adjustRightInd/>
        <w:snapToGrid w:val="0"/>
        <w:spacing w:line="48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本次评价大气环境影响评价等级为</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二</w:t>
      </w:r>
      <w:r>
        <w:rPr>
          <w:rFonts w:hint="default" w:ascii="Times New Roman" w:hAnsi="Times New Roman" w:eastAsia="宋体" w:cs="Times New Roman"/>
          <w:color w:val="000000" w:themeColor="text1"/>
          <w:sz w:val="24"/>
          <w:highlight w:val="none"/>
          <w14:textFill>
            <w14:solidFill>
              <w14:schemeClr w14:val="tx1"/>
            </w14:solidFill>
          </w14:textFill>
        </w:rPr>
        <w:t>级、地表水环境影响评价等</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级为</w:t>
      </w:r>
      <w:r>
        <w:rPr>
          <w:rFonts w:hint="default" w:ascii="Times New Roman" w:hAnsi="Times New Roman" w:eastAsia="宋体" w:cs="Times New Roman"/>
          <w:color w:val="000000" w:themeColor="text1"/>
          <w:sz w:val="24"/>
          <w:highlight w:val="none"/>
          <w14:textFill>
            <w14:solidFill>
              <w14:schemeClr w14:val="tx1"/>
            </w14:solidFill>
          </w14:textFill>
        </w:rPr>
        <w:t>三级B、地下水环境影响评价等级为</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一</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级</w:t>
      </w:r>
      <w:r>
        <w:rPr>
          <w:rFonts w:hint="default" w:ascii="Times New Roman" w:hAnsi="Times New Roman" w:eastAsia="宋体" w:cs="Times New Roman"/>
          <w:color w:val="000000" w:themeColor="text1"/>
          <w:sz w:val="24"/>
          <w:highlight w:val="none"/>
          <w14:textFill>
            <w14:solidFill>
              <w14:schemeClr w14:val="tx1"/>
            </w14:solidFill>
          </w14:textFill>
        </w:rPr>
        <w:t>、声环境影响评价等级为三级、生态环境影响评价等级为</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影响</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分析</w:t>
      </w:r>
      <w:r>
        <w:rPr>
          <w:rFonts w:hint="default" w:ascii="Times New Roman" w:hAnsi="Times New Roman" w:eastAsia="宋体" w:cs="Times New Roman"/>
          <w:color w:val="000000" w:themeColor="text1"/>
          <w:sz w:val="24"/>
          <w:highlight w:val="none"/>
          <w14:textFill>
            <w14:solidFill>
              <w14:schemeClr w14:val="tx1"/>
            </w14:solidFill>
          </w14:textFill>
        </w:rPr>
        <w:t>、环境风险评价等级为</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简单分析</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、土壤环境评价等级为</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三</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级</w:t>
      </w:r>
      <w:r>
        <w:rPr>
          <w:rFonts w:hint="default" w:ascii="Times New Roman" w:hAnsi="Times New Roman" w:eastAsia="宋体" w:cs="Times New Roman"/>
          <w:color w:val="000000" w:themeColor="text1"/>
          <w:sz w:val="24"/>
          <w:highlight w:val="none"/>
          <w14:textFill>
            <w14:solidFill>
              <w14:schemeClr w14:val="tx1"/>
            </w14:solidFill>
          </w14:textFill>
        </w:rPr>
        <w:t>。</w:t>
      </w:r>
    </w:p>
    <w:p w14:paraId="605849F5">
      <w:pPr>
        <w:pStyle w:val="7"/>
        <w:bidi w:val="0"/>
        <w:rPr>
          <w:rFonts w:hint="default"/>
        </w:rPr>
      </w:pPr>
      <w:bookmarkStart w:id="45" w:name="_Toc8706"/>
      <w:r>
        <w:rPr>
          <w:rFonts w:hint="default"/>
        </w:rPr>
        <w:t>1.4关注的主要环境问题</w:t>
      </w:r>
      <w:bookmarkEnd w:id="41"/>
      <w:r>
        <w:rPr>
          <w:rFonts w:hint="default"/>
        </w:rPr>
        <w:t>及环境影响</w:t>
      </w:r>
      <w:bookmarkEnd w:id="42"/>
      <w:bookmarkEnd w:id="43"/>
      <w:bookmarkEnd w:id="44"/>
      <w:bookmarkEnd w:id="45"/>
    </w:p>
    <w:p w14:paraId="0FADFB99">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u w:val="none"/>
          <w:lang w:val="en-GB"/>
          <w14:textFill>
            <w14:solidFill>
              <w14:schemeClr w14:val="tx1"/>
            </w14:solidFill>
          </w14:textFill>
        </w:rPr>
      </w:pPr>
      <w:r>
        <w:rPr>
          <w:rFonts w:hint="default" w:ascii="Times New Roman" w:hAnsi="Times New Roman" w:eastAsia="宋体" w:cs="Times New Roman"/>
          <w:color w:val="000000" w:themeColor="text1"/>
          <w:sz w:val="24"/>
          <w:highlight w:val="none"/>
          <w:u w:val="none"/>
          <w:lang w:val="en-GB"/>
          <w14:textFill>
            <w14:solidFill>
              <w14:schemeClr w14:val="tx1"/>
            </w14:solidFill>
          </w14:textFill>
        </w:rPr>
        <w:t>针对拟建项目的工程特点和项目周边的环境特点，拟建</w:t>
      </w:r>
      <w:r>
        <w:rPr>
          <w:rFonts w:hint="default" w:ascii="Times New Roman" w:hAnsi="Times New Roman" w:eastAsia="宋体" w:cs="Times New Roman"/>
          <w:color w:val="000000" w:themeColor="text1"/>
          <w:sz w:val="24"/>
          <w:highlight w:val="none"/>
          <w:u w:val="none"/>
          <w:lang w:val="en-GB" w:eastAsia="zh-CN"/>
          <w14:textFill>
            <w14:solidFill>
              <w14:schemeClr w14:val="tx1"/>
            </w14:solidFill>
          </w14:textFill>
        </w:rPr>
        <w:t>项目</w:t>
      </w:r>
      <w:r>
        <w:rPr>
          <w:rFonts w:hint="default" w:ascii="Times New Roman" w:hAnsi="Times New Roman" w:eastAsia="宋体" w:cs="Times New Roman"/>
          <w:color w:val="000000" w:themeColor="text1"/>
          <w:sz w:val="24"/>
          <w:highlight w:val="none"/>
          <w:u w:val="none"/>
          <w:lang w:val="en-GB"/>
          <w14:textFill>
            <w14:solidFill>
              <w14:schemeClr w14:val="tx1"/>
            </w14:solidFill>
          </w14:textFill>
        </w:rPr>
        <w:t>关注的环境问题和环境影响主要有：</w:t>
      </w:r>
    </w:p>
    <w:p w14:paraId="39C6E00F">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u w:val="none"/>
          <w:lang w:val="en-GB" w:eastAsia="zh-CN"/>
          <w14:textFill>
            <w14:solidFill>
              <w14:schemeClr w14:val="tx1"/>
            </w14:solidFill>
          </w14:textFill>
        </w:rPr>
      </w:pPr>
      <w:r>
        <w:rPr>
          <w:rFonts w:hint="default" w:ascii="Times New Roman" w:hAnsi="Times New Roman" w:eastAsia="宋体" w:cs="Times New Roman"/>
          <w:color w:val="000000" w:themeColor="text1"/>
          <w:sz w:val="24"/>
          <w:highlight w:val="none"/>
          <w:u w:val="none"/>
          <w:lang w:val="en-GB" w:eastAsia="zh-CN"/>
          <w14:textFill>
            <w14:solidFill>
              <w14:schemeClr w14:val="tx1"/>
            </w14:solidFill>
          </w14:textFill>
        </w:rPr>
        <w:t>⑴</w:t>
      </w:r>
      <w:r>
        <w:rPr>
          <w:rFonts w:hint="default" w:ascii="Times New Roman" w:hAnsi="Times New Roman" w:eastAsia="宋体" w:cs="Times New Roman"/>
          <w:color w:val="000000" w:themeColor="text1"/>
          <w:sz w:val="24"/>
          <w:highlight w:val="none"/>
          <w:u w:val="none"/>
          <w:lang w:val="en-GB"/>
          <w14:textFill>
            <w14:solidFill>
              <w14:schemeClr w14:val="tx1"/>
            </w14:solidFill>
          </w14:textFill>
        </w:rPr>
        <w:t>废气</w:t>
      </w:r>
      <w:r>
        <w:rPr>
          <w:rFonts w:hint="default" w:ascii="Times New Roman" w:hAnsi="Times New Roman" w:eastAsia="宋体" w:cs="Times New Roman"/>
          <w:color w:val="000000" w:themeColor="text1"/>
          <w:sz w:val="24"/>
          <w:highlight w:val="none"/>
          <w:u w:val="none"/>
          <w:lang w:val="en-GB" w:eastAsia="zh-CN"/>
          <w14:textFill>
            <w14:solidFill>
              <w14:schemeClr w14:val="tx1"/>
            </w14:solidFill>
          </w14:textFill>
        </w:rPr>
        <w:t>污染源及影响</w:t>
      </w:r>
    </w:p>
    <w:p w14:paraId="68ABA277">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lang w:val="en-GB"/>
          <w14:textFill>
            <w14:solidFill>
              <w14:schemeClr w14:val="tx1"/>
            </w14:solidFill>
          </w14:textFill>
        </w:rPr>
      </w:pPr>
      <w:r>
        <w:rPr>
          <w:rFonts w:hint="default" w:ascii="Times New Roman" w:hAnsi="Times New Roman" w:eastAsia="宋体" w:cs="Times New Roman"/>
          <w:color w:val="000000" w:themeColor="text1"/>
          <w:sz w:val="24"/>
          <w:highlight w:val="none"/>
          <w:u w:val="none"/>
          <w:lang w:val="en-GB"/>
          <w14:textFill>
            <w14:solidFill>
              <w14:schemeClr w14:val="tx1"/>
            </w14:solidFill>
          </w14:textFill>
        </w:rPr>
        <w:t>主要关注</w:t>
      </w:r>
      <w:r>
        <w:rPr>
          <w:rFonts w:hint="default" w:ascii="Times New Roman" w:hAnsi="Times New Roman" w:eastAsia="宋体" w:cs="Times New Roman"/>
          <w:color w:val="000000" w:themeColor="text1"/>
          <w:sz w:val="24"/>
          <w:highlight w:val="none"/>
          <w:u w:val="none"/>
          <w:lang w:val="en-GB" w:eastAsia="zh-CN"/>
          <w14:textFill>
            <w14:solidFill>
              <w14:schemeClr w14:val="tx1"/>
            </w14:solidFill>
          </w14:textFill>
        </w:rPr>
        <w:t>运行过程产生恶臭对周围环境的影响，</w:t>
      </w:r>
      <w:r>
        <w:rPr>
          <w:rFonts w:hint="default" w:ascii="Times New Roman" w:hAnsi="Times New Roman" w:eastAsia="宋体" w:cs="Times New Roman"/>
          <w:color w:val="000000" w:themeColor="text1"/>
          <w:sz w:val="24"/>
          <w:highlight w:val="none"/>
          <w:lang w:val="en-GB"/>
          <w14:textFill>
            <w14:solidFill>
              <w14:schemeClr w14:val="tx1"/>
            </w14:solidFill>
          </w14:textFill>
        </w:rPr>
        <w:t>采取防治措施后能否达标排放，充分论证污染防治设施的可行性，同时关注本项目废气排放是否影响大气环境质量功能。</w:t>
      </w:r>
    </w:p>
    <w:p w14:paraId="1B63272A">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lang w:val="en-GB"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GB" w:eastAsia="zh-CN"/>
          <w14:textFill>
            <w14:solidFill>
              <w14:schemeClr w14:val="tx1"/>
            </w14:solidFill>
          </w14:textFill>
        </w:rPr>
        <w:t>⑵</w:t>
      </w:r>
      <w:r>
        <w:rPr>
          <w:rFonts w:hint="default" w:ascii="Times New Roman" w:hAnsi="Times New Roman" w:eastAsia="宋体" w:cs="Times New Roman"/>
          <w:color w:val="000000" w:themeColor="text1"/>
          <w:sz w:val="24"/>
          <w:highlight w:val="none"/>
          <w:lang w:val="en-GB"/>
          <w14:textFill>
            <w14:solidFill>
              <w14:schemeClr w14:val="tx1"/>
            </w14:solidFill>
          </w14:textFill>
        </w:rPr>
        <w:t>废水</w:t>
      </w:r>
      <w:r>
        <w:rPr>
          <w:rFonts w:hint="default" w:ascii="Times New Roman" w:hAnsi="Times New Roman" w:eastAsia="宋体" w:cs="Times New Roman"/>
          <w:color w:val="000000" w:themeColor="text1"/>
          <w:sz w:val="24"/>
          <w:highlight w:val="none"/>
          <w:lang w:val="en-GB" w:eastAsia="zh-CN"/>
          <w14:textFill>
            <w14:solidFill>
              <w14:schemeClr w14:val="tx1"/>
            </w14:solidFill>
          </w14:textFill>
        </w:rPr>
        <w:t>污染源及影响</w:t>
      </w:r>
    </w:p>
    <w:p w14:paraId="675D0AD5">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lang w:val="en-GB"/>
          <w14:textFill>
            <w14:solidFill>
              <w14:schemeClr w14:val="tx1"/>
            </w14:solidFill>
          </w14:textFill>
        </w:rPr>
      </w:pPr>
      <w:r>
        <w:rPr>
          <w:rFonts w:hint="default" w:ascii="Times New Roman" w:hAnsi="Times New Roman" w:eastAsia="宋体" w:cs="Times New Roman"/>
          <w:color w:val="000000" w:themeColor="text1"/>
          <w:sz w:val="24"/>
          <w:highlight w:val="none"/>
          <w:lang w:val="en-GB" w:eastAsia="zh-CN"/>
          <w14:textFill>
            <w14:solidFill>
              <w14:schemeClr w14:val="tx1"/>
            </w14:solidFill>
          </w14:textFill>
        </w:rPr>
        <w:t>主要关注</w:t>
      </w:r>
      <w:r>
        <w:rPr>
          <w:rFonts w:hint="default" w:ascii="Times New Roman" w:hAnsi="Times New Roman" w:eastAsia="宋体" w:cs="Times New Roman"/>
          <w:color w:val="000000" w:themeColor="text1"/>
          <w:sz w:val="24"/>
          <w:highlight w:val="none"/>
          <w:lang w:val="en-GB"/>
          <w14:textFill>
            <w14:solidFill>
              <w14:schemeClr w14:val="tx1"/>
            </w14:solidFill>
          </w14:textFill>
        </w:rPr>
        <w:t>营运期</w:t>
      </w:r>
      <w:r>
        <w:rPr>
          <w:rFonts w:hint="default" w:ascii="Times New Roman" w:hAnsi="Times New Roman" w:eastAsia="宋体" w:cs="Times New Roman"/>
          <w:color w:val="000000" w:themeColor="text1"/>
          <w:sz w:val="24"/>
          <w:highlight w:val="none"/>
          <w:lang w:val="en-GB" w:eastAsia="zh-CN"/>
          <w14:textFill>
            <w14:solidFill>
              <w14:schemeClr w14:val="tx1"/>
            </w14:solidFill>
          </w14:textFill>
        </w:rPr>
        <w:t>尾水</w:t>
      </w:r>
      <w:r>
        <w:rPr>
          <w:rFonts w:hint="eastAsia" w:cs="Times New Roman"/>
          <w:color w:val="000000" w:themeColor="text1"/>
          <w:sz w:val="24"/>
          <w:highlight w:val="none"/>
          <w:lang w:val="en-US" w:eastAsia="zh-CN"/>
          <w14:textFill>
            <w14:solidFill>
              <w14:schemeClr w14:val="tx1"/>
            </w14:solidFill>
          </w14:textFill>
        </w:rPr>
        <w:t>全部回用的可行性</w:t>
      </w:r>
      <w:r>
        <w:rPr>
          <w:rFonts w:hint="default" w:ascii="Times New Roman" w:hAnsi="Times New Roman" w:eastAsia="宋体" w:cs="Times New Roman"/>
          <w:color w:val="000000" w:themeColor="text1"/>
          <w:sz w:val="24"/>
          <w:highlight w:val="none"/>
          <w:lang w:val="en-GB"/>
          <w14:textFill>
            <w14:solidFill>
              <w14:schemeClr w14:val="tx1"/>
            </w14:solidFill>
          </w14:textFill>
        </w:rPr>
        <w:t>。</w:t>
      </w:r>
    </w:p>
    <w:p w14:paraId="12BE4308">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lang w:val="en-GB"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GB" w:eastAsia="zh-CN"/>
          <w14:textFill>
            <w14:solidFill>
              <w14:schemeClr w14:val="tx1"/>
            </w14:solidFill>
          </w14:textFill>
        </w:rPr>
        <w:t>⑶</w:t>
      </w:r>
      <w:r>
        <w:rPr>
          <w:rFonts w:hint="default" w:ascii="Times New Roman" w:hAnsi="Times New Roman" w:eastAsia="宋体" w:cs="Times New Roman"/>
          <w:color w:val="000000" w:themeColor="text1"/>
          <w:sz w:val="24"/>
          <w:highlight w:val="none"/>
          <w:lang w:val="en-GB"/>
          <w14:textFill>
            <w14:solidFill>
              <w14:schemeClr w14:val="tx1"/>
            </w14:solidFill>
          </w14:textFill>
        </w:rPr>
        <w:t>噪声</w:t>
      </w:r>
      <w:r>
        <w:rPr>
          <w:rFonts w:hint="default" w:ascii="Times New Roman" w:hAnsi="Times New Roman" w:eastAsia="宋体" w:cs="Times New Roman"/>
          <w:color w:val="000000" w:themeColor="text1"/>
          <w:sz w:val="24"/>
          <w:highlight w:val="none"/>
          <w:lang w:val="en-GB" w:eastAsia="zh-CN"/>
          <w14:textFill>
            <w14:solidFill>
              <w14:schemeClr w14:val="tx1"/>
            </w14:solidFill>
          </w14:textFill>
        </w:rPr>
        <w:t>污染源及影响</w:t>
      </w:r>
    </w:p>
    <w:p w14:paraId="1622E472">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lang w:val="en-GB"/>
          <w14:textFill>
            <w14:solidFill>
              <w14:schemeClr w14:val="tx1"/>
            </w14:solidFill>
          </w14:textFill>
        </w:rPr>
      </w:pPr>
      <w:r>
        <w:rPr>
          <w:rFonts w:hint="default" w:ascii="Times New Roman" w:hAnsi="Times New Roman" w:eastAsia="宋体" w:cs="Times New Roman"/>
          <w:color w:val="000000" w:themeColor="text1"/>
          <w:sz w:val="24"/>
          <w:highlight w:val="none"/>
          <w:lang w:val="en-GB"/>
          <w14:textFill>
            <w14:solidFill>
              <w14:schemeClr w14:val="tx1"/>
            </w14:solidFill>
          </w14:textFill>
        </w:rPr>
        <w:t>主要</w:t>
      </w:r>
      <w:r>
        <w:rPr>
          <w:rFonts w:hint="default" w:ascii="Times New Roman" w:hAnsi="Times New Roman" w:eastAsia="宋体" w:cs="Times New Roman"/>
          <w:color w:val="000000" w:themeColor="text1"/>
          <w:sz w:val="24"/>
          <w:highlight w:val="none"/>
          <w:lang w:val="en-GB" w:eastAsia="zh-CN"/>
          <w14:textFill>
            <w14:solidFill>
              <w14:schemeClr w14:val="tx1"/>
            </w14:solidFill>
          </w14:textFill>
        </w:rPr>
        <w:t>关注生产</w:t>
      </w:r>
      <w:r>
        <w:rPr>
          <w:rFonts w:hint="default" w:ascii="Times New Roman" w:hAnsi="Times New Roman" w:eastAsia="宋体" w:cs="Times New Roman"/>
          <w:color w:val="000000" w:themeColor="text1"/>
          <w:sz w:val="24"/>
          <w:highlight w:val="none"/>
          <w:lang w:val="en-GB"/>
          <w14:textFill>
            <w14:solidFill>
              <w14:schemeClr w14:val="tx1"/>
            </w14:solidFill>
          </w14:textFill>
        </w:rPr>
        <w:t>设备噪声；在采取厂房隔声、设备减振等措施后，经距离衰减，厂界噪声</w:t>
      </w:r>
      <w:r>
        <w:rPr>
          <w:rFonts w:hint="default" w:ascii="Times New Roman" w:hAnsi="Times New Roman" w:eastAsia="宋体" w:cs="Times New Roman"/>
          <w:color w:val="000000" w:themeColor="text1"/>
          <w:sz w:val="24"/>
          <w:highlight w:val="none"/>
          <w:lang w:val="en-GB" w:eastAsia="zh-CN"/>
          <w14:textFill>
            <w14:solidFill>
              <w14:schemeClr w14:val="tx1"/>
            </w14:solidFill>
          </w14:textFill>
        </w:rPr>
        <w:t>能否实现</w:t>
      </w:r>
      <w:r>
        <w:rPr>
          <w:rFonts w:hint="default" w:ascii="Times New Roman" w:hAnsi="Times New Roman" w:eastAsia="宋体" w:cs="Times New Roman"/>
          <w:color w:val="000000" w:themeColor="text1"/>
          <w:sz w:val="24"/>
          <w:highlight w:val="none"/>
          <w:lang w:val="en-GB"/>
          <w14:textFill>
            <w14:solidFill>
              <w14:schemeClr w14:val="tx1"/>
            </w14:solidFill>
          </w14:textFill>
        </w:rPr>
        <w:t>达标排放。</w:t>
      </w:r>
    </w:p>
    <w:p w14:paraId="2E8CAD96">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lang w:val="en-GB"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GB" w:eastAsia="zh-CN"/>
          <w14:textFill>
            <w14:solidFill>
              <w14:schemeClr w14:val="tx1"/>
            </w14:solidFill>
          </w14:textFill>
        </w:rPr>
        <w:t>⑷固废的环境影响</w:t>
      </w:r>
    </w:p>
    <w:p w14:paraId="29884A54">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lang w:val="en-GB"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GB" w:eastAsia="zh-CN"/>
          <w14:textFill>
            <w14:solidFill>
              <w14:schemeClr w14:val="tx1"/>
            </w14:solidFill>
          </w14:textFill>
        </w:rPr>
        <w:t>主要关注</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项目运行过程中产生的污泥</w:t>
      </w:r>
      <w:r>
        <w:rPr>
          <w:rFonts w:hint="eastAsia" w:cs="Times New Roman"/>
          <w:color w:val="000000" w:themeColor="text1"/>
          <w:sz w:val="24"/>
          <w:highlight w:val="none"/>
          <w:lang w:val="en-US" w:eastAsia="zh-CN"/>
          <w14:textFill>
            <w14:solidFill>
              <w14:schemeClr w14:val="tx1"/>
            </w14:solidFill>
          </w14:textFill>
        </w:rPr>
        <w:t>和危险废物</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能否妥善处理，避免对环境产生二次污染</w:t>
      </w:r>
      <w:r>
        <w:rPr>
          <w:rFonts w:hint="default" w:ascii="Times New Roman" w:hAnsi="Times New Roman" w:eastAsia="宋体" w:cs="Times New Roman"/>
          <w:color w:val="000000" w:themeColor="text1"/>
          <w:sz w:val="24"/>
          <w:highlight w:val="none"/>
          <w:lang w:val="en-GB" w:eastAsia="zh-CN"/>
          <w14:textFill>
            <w14:solidFill>
              <w14:schemeClr w14:val="tx1"/>
            </w14:solidFill>
          </w14:textFill>
        </w:rPr>
        <w:t>。</w:t>
      </w:r>
    </w:p>
    <w:p w14:paraId="76417577">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80" w:firstLineChars="200"/>
        <w:textAlignment w:val="auto"/>
        <w:outlineLvl w:val="9"/>
        <w:rPr>
          <w:rFonts w:hint="default" w:ascii="Times New Roman" w:hAnsi="Times New Roman" w:eastAsia="宋体" w:cs="Times New Roman"/>
          <w:color w:val="000000" w:themeColor="text1"/>
          <w:sz w:val="24"/>
          <w:highlight w:val="none"/>
          <w:lang w:val="en-GB"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GB" w:eastAsia="zh-CN"/>
          <w14:textFill>
            <w14:solidFill>
              <w14:schemeClr w14:val="tx1"/>
            </w14:solidFill>
          </w14:textFill>
        </w:rPr>
        <w:t>⑸环境风险</w:t>
      </w:r>
    </w:p>
    <w:p w14:paraId="551708B9">
      <w:pPr>
        <w:pStyle w:val="70"/>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80"/>
        <w:textAlignment w:val="auto"/>
        <w:outlineLvl w:val="9"/>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主要关注</w:t>
      </w:r>
      <w:r>
        <w:rPr>
          <w:rFonts w:hint="eastAsia" w:ascii="Times New Roman" w:hAnsi="Times New Roman" w:cs="Times New Roman"/>
          <w:color w:val="000000" w:themeColor="text1"/>
          <w:highlight w:val="none"/>
          <w:lang w:val="en-US" w:eastAsia="zh-CN"/>
          <w14:textFill>
            <w14:solidFill>
              <w14:schemeClr w14:val="tx1"/>
            </w14:solidFill>
          </w14:textFill>
        </w:rPr>
        <w:t>实验室</w:t>
      </w:r>
      <w:r>
        <w:rPr>
          <w:rFonts w:hint="default" w:ascii="Times New Roman" w:hAnsi="Times New Roman" w:eastAsia="宋体" w:cs="Times New Roman"/>
          <w:color w:val="000000" w:themeColor="text1"/>
          <w:highlight w:val="none"/>
          <w:lang w:val="en-US" w:eastAsia="zh-CN"/>
          <w14:textFill>
            <w14:solidFill>
              <w14:schemeClr w14:val="tx1"/>
            </w14:solidFill>
          </w14:textFill>
        </w:rPr>
        <w:t>废液、</w:t>
      </w:r>
      <w:r>
        <w:rPr>
          <w:rFonts w:hint="eastAsia" w:ascii="Times New Roman" w:hAnsi="Times New Roman" w:cs="Times New Roman"/>
          <w:color w:val="000000" w:themeColor="text1"/>
          <w:highlight w:val="none"/>
          <w:lang w:val="en-US" w:eastAsia="zh-CN"/>
          <w14:textFill>
            <w14:solidFill>
              <w14:schemeClr w14:val="tx1"/>
            </w14:solidFill>
          </w14:textFill>
        </w:rPr>
        <w:t>在线监测废液、</w:t>
      </w:r>
      <w:r>
        <w:rPr>
          <w:rFonts w:hint="default" w:ascii="Times New Roman" w:hAnsi="Times New Roman" w:eastAsia="宋体" w:cs="Times New Roman"/>
          <w:color w:val="000000" w:themeColor="text1"/>
          <w:highlight w:val="none"/>
          <w:lang w:val="en-US" w:eastAsia="zh-CN"/>
          <w14:textFill>
            <w14:solidFill>
              <w14:schemeClr w14:val="tx1"/>
            </w14:solidFill>
          </w14:textFill>
        </w:rPr>
        <w:t>润滑油、废润滑油</w:t>
      </w:r>
      <w:r>
        <w:rPr>
          <w:rFonts w:hint="eastAsia" w:ascii="Times New Roman" w:hAnsi="Times New Roman" w:cs="Times New Roman"/>
          <w:color w:val="000000" w:themeColor="text1"/>
          <w:highlight w:val="none"/>
          <w:lang w:val="en-US" w:eastAsia="zh-CN"/>
          <w14:textFill>
            <w14:solidFill>
              <w14:schemeClr w14:val="tx1"/>
            </w14:solidFill>
          </w14:textFill>
        </w:rPr>
        <w:t>、液压油、废液压油、盐酸、硫酸等风险物质</w:t>
      </w:r>
      <w:r>
        <w:rPr>
          <w:rFonts w:hint="default" w:ascii="Times New Roman" w:hAnsi="Times New Roman" w:eastAsia="宋体" w:cs="Times New Roman"/>
          <w:color w:val="000000" w:themeColor="text1"/>
          <w:highlight w:val="none"/>
          <w:lang w:val="en-US" w:eastAsia="zh-CN"/>
          <w14:textFill>
            <w14:solidFill>
              <w14:schemeClr w14:val="tx1"/>
            </w14:solidFill>
          </w14:textFill>
        </w:rPr>
        <w:t>的泄漏，在采取相应措施后对周边环境的影响。</w:t>
      </w:r>
    </w:p>
    <w:p w14:paraId="23ABD175">
      <w:pPr>
        <w:pStyle w:val="70"/>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80"/>
        <w:textAlignment w:val="auto"/>
        <w:outlineLvl w:val="9"/>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⑹清洁生产水平</w:t>
      </w:r>
    </w:p>
    <w:p w14:paraId="704A7B0E">
      <w:pPr>
        <w:bidi w:val="0"/>
        <w:rPr>
          <w:rFonts w:hint="default"/>
          <w:lang w:val="en-US" w:eastAsia="zh-CN"/>
        </w:rPr>
      </w:pPr>
      <w:r>
        <w:rPr>
          <w:rFonts w:hint="default"/>
          <w:lang w:val="en-US" w:eastAsia="zh-CN"/>
        </w:rPr>
        <w:t>项目工程分析，拟采用的工艺流程、设备、工艺以及污染物产生指标是否满足清洁生产要求。</w:t>
      </w:r>
    </w:p>
    <w:p w14:paraId="22B7A908">
      <w:pPr>
        <w:pStyle w:val="7"/>
        <w:bidi w:val="0"/>
        <w:rPr>
          <w:rFonts w:hint="default"/>
        </w:rPr>
      </w:pPr>
      <w:bookmarkStart w:id="46" w:name="_Toc482193199"/>
      <w:bookmarkStart w:id="47" w:name="_Toc497978856"/>
      <w:bookmarkStart w:id="48" w:name="_Toc6861"/>
      <w:bookmarkStart w:id="49" w:name="_Toc25842"/>
      <w:bookmarkStart w:id="50" w:name="_Toc4595"/>
      <w:r>
        <w:rPr>
          <w:rFonts w:hint="default"/>
        </w:rPr>
        <w:t>1.5环境影响评价主要结论</w:t>
      </w:r>
      <w:bookmarkEnd w:id="46"/>
      <w:bookmarkEnd w:id="47"/>
      <w:bookmarkEnd w:id="48"/>
      <w:bookmarkEnd w:id="49"/>
      <w:bookmarkEnd w:id="50"/>
    </w:p>
    <w:p w14:paraId="46D54D88">
      <w:pPr>
        <w:pageBreakBefore w:val="0"/>
        <w:widowControl w:val="0"/>
        <w:kinsoku/>
        <w:wordWrap/>
        <w:overflowPunct/>
        <w:topLinePunct w:val="0"/>
        <w:autoSpaceDE/>
        <w:autoSpaceDN/>
        <w:bidi w:val="0"/>
        <w:adjustRightInd/>
        <w:snapToGrid/>
        <w:spacing w:line="480" w:lineRule="exact"/>
        <w:ind w:right="28" w:firstLine="480" w:firstLineChars="200"/>
        <w:textAlignment w:val="auto"/>
        <w:rPr>
          <w:rFonts w:hint="default" w:ascii="Times New Roman" w:hAnsi="Times New Roman" w:eastAsia="宋体" w:cs="Times New Roman"/>
          <w:snapToGrid w:val="0"/>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lang w:val="en-GB"/>
          <w14:textFill>
            <w14:solidFill>
              <w14:schemeClr w14:val="tx1"/>
            </w14:solidFill>
          </w14:textFill>
        </w:rPr>
        <w:t>拟建项目符合国家和地方有关环境保护法律法规、标准、政策、规范及相关规划要求和地方环保要求；选址合理；项目符合清洁生产要求和循环经济理念，在采取了完善的环保治理措施情况下，可以保证各类污染物达标排放，不会对周围环境产生明显影响。综上所述，在认真落实报告书提出的各项环境污染治理措施和切实做好</w:t>
      </w:r>
      <w:r>
        <w:rPr>
          <w:rFonts w:hint="default" w:ascii="Times New Roman" w:hAnsi="Times New Roman" w:eastAsia="宋体" w:cs="Times New Roman"/>
          <w:color w:val="000000" w:themeColor="text1"/>
          <w:sz w:val="24"/>
          <w:highlight w:val="none"/>
          <w:lang w:val="en-GB" w:eastAsia="zh-CN"/>
          <w14:textFill>
            <w14:solidFill>
              <w14:schemeClr w14:val="tx1"/>
            </w14:solidFill>
          </w14:textFill>
        </w:rPr>
        <w:t>“</w:t>
      </w:r>
      <w:r>
        <w:rPr>
          <w:rFonts w:hint="default" w:ascii="Times New Roman" w:hAnsi="Times New Roman" w:eastAsia="宋体" w:cs="Times New Roman"/>
          <w:color w:val="000000" w:themeColor="text1"/>
          <w:sz w:val="24"/>
          <w:highlight w:val="none"/>
          <w:lang w:val="en-GB"/>
          <w14:textFill>
            <w14:solidFill>
              <w14:schemeClr w14:val="tx1"/>
            </w14:solidFill>
          </w14:textFill>
        </w:rPr>
        <w:t>三同时</w:t>
      </w:r>
      <w:r>
        <w:rPr>
          <w:rFonts w:hint="default" w:ascii="Times New Roman" w:hAnsi="Times New Roman" w:eastAsia="宋体" w:cs="Times New Roman"/>
          <w:color w:val="000000" w:themeColor="text1"/>
          <w:sz w:val="24"/>
          <w:highlight w:val="none"/>
          <w:lang w:val="en-GB" w:eastAsia="zh-CN"/>
          <w14:textFill>
            <w14:solidFill>
              <w14:schemeClr w14:val="tx1"/>
            </w14:solidFill>
          </w14:textFill>
        </w:rPr>
        <w:t>”</w:t>
      </w:r>
      <w:r>
        <w:rPr>
          <w:rFonts w:hint="default" w:ascii="Times New Roman" w:hAnsi="Times New Roman" w:eastAsia="宋体" w:cs="Times New Roman"/>
          <w:color w:val="000000" w:themeColor="text1"/>
          <w:sz w:val="24"/>
          <w:highlight w:val="none"/>
          <w:lang w:val="en-GB"/>
          <w14:textFill>
            <w14:solidFill>
              <w14:schemeClr w14:val="tx1"/>
            </w14:solidFill>
          </w14:textFill>
        </w:rPr>
        <w:t>，加强日常环保管理工作的前提下，从环保角度论证，本项目建设是可行的。</w:t>
      </w:r>
    </w:p>
    <w:p w14:paraId="0E4ABD2B">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yellow"/>
          <w14:textFill>
            <w14:solidFill>
              <w14:schemeClr w14:val="tx1"/>
            </w14:solidFill>
          </w14:textFill>
        </w:rPr>
        <w:sectPr>
          <w:footerReference r:id="rId13" w:type="default"/>
          <w:pgSz w:w="11906" w:h="16838"/>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p>
    <w:bookmarkEnd w:id="32"/>
    <w:p w14:paraId="4335E406">
      <w:pPr>
        <w:pStyle w:val="5"/>
        <w:bidi w:val="0"/>
        <w:rPr>
          <w:rFonts w:hint="default"/>
        </w:rPr>
      </w:pPr>
      <w:bookmarkStart w:id="51" w:name="_Toc19047"/>
      <w:bookmarkStart w:id="52" w:name="_Toc497978857"/>
      <w:r>
        <w:rPr>
          <w:rFonts w:hint="default"/>
        </w:rPr>
        <w:t>2总则</w:t>
      </w:r>
      <w:bookmarkEnd w:id="51"/>
      <w:bookmarkEnd w:id="52"/>
    </w:p>
    <w:p w14:paraId="5260467D">
      <w:pPr>
        <w:pStyle w:val="7"/>
        <w:bidi w:val="0"/>
        <w:rPr>
          <w:rFonts w:hint="default"/>
        </w:rPr>
      </w:pPr>
      <w:bookmarkStart w:id="53" w:name="_Toc497978858"/>
      <w:bookmarkStart w:id="54" w:name="_Toc3309"/>
      <w:r>
        <w:rPr>
          <w:rFonts w:hint="default"/>
        </w:rPr>
        <w:t>2.1编制依据</w:t>
      </w:r>
      <w:bookmarkEnd w:id="53"/>
      <w:bookmarkEnd w:id="54"/>
    </w:p>
    <w:p w14:paraId="02961B0D">
      <w:pPr>
        <w:pStyle w:val="6"/>
        <w:pageBreakBefore w:val="0"/>
        <w:widowControl w:val="0"/>
        <w:kinsoku/>
        <w:wordWrap/>
        <w:overflowPunct/>
        <w:topLinePunct w:val="0"/>
        <w:autoSpaceDE/>
        <w:autoSpaceDN/>
        <w:bidi w:val="0"/>
        <w:adjustRightInd/>
        <w:snapToGrid/>
        <w:spacing w:before="0" w:beforeLines="0" w:after="0" w:afterLines="0" w:line="480" w:lineRule="exac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2.1.1环境保护法律</w:t>
      </w:r>
    </w:p>
    <w:p w14:paraId="7E031804">
      <w:pPr>
        <w:keepNext w:val="0"/>
        <w:keepLines w:val="0"/>
        <w:pageBreakBefore w:val="0"/>
        <w:widowControl w:val="0"/>
        <w:numPr>
          <w:ilvl w:val="0"/>
          <w:numId w:val="4"/>
        </w:numPr>
        <w:kinsoku/>
        <w:wordWrap/>
        <w:overflowPunct/>
        <w:topLinePunct w:val="0"/>
        <w:autoSpaceDE/>
        <w:autoSpaceDN/>
        <w:bidi w:val="0"/>
        <w:adjustRightInd/>
        <w:snapToGrid/>
        <w:ind w:left="0"/>
        <w:textAlignment w:val="auto"/>
        <w:rPr>
          <w:rFonts w:hint="default"/>
        </w:rPr>
      </w:pPr>
      <w:r>
        <w:rPr>
          <w:rFonts w:hint="default"/>
        </w:rPr>
        <w:t>《中华人民共和国环境保护法》（2015年1月1日）；</w:t>
      </w:r>
    </w:p>
    <w:p w14:paraId="741A1110">
      <w:pPr>
        <w:keepNext w:val="0"/>
        <w:keepLines w:val="0"/>
        <w:pageBreakBefore w:val="0"/>
        <w:widowControl w:val="0"/>
        <w:numPr>
          <w:ilvl w:val="0"/>
          <w:numId w:val="4"/>
        </w:numPr>
        <w:kinsoku/>
        <w:wordWrap/>
        <w:overflowPunct/>
        <w:topLinePunct w:val="0"/>
        <w:autoSpaceDE/>
        <w:autoSpaceDN/>
        <w:bidi w:val="0"/>
        <w:adjustRightInd/>
        <w:snapToGrid/>
        <w:ind w:left="0"/>
        <w:textAlignment w:val="auto"/>
        <w:rPr>
          <w:rFonts w:hint="default"/>
        </w:rPr>
      </w:pPr>
      <w:r>
        <w:rPr>
          <w:rFonts w:hint="default"/>
        </w:rPr>
        <w:t>《中华人民共和国大气污染防治法》（201</w:t>
      </w:r>
      <w:r>
        <w:rPr>
          <w:rFonts w:hint="default"/>
          <w:lang w:val="en-US" w:eastAsia="zh-CN"/>
        </w:rPr>
        <w:t>8</w:t>
      </w:r>
      <w:r>
        <w:rPr>
          <w:rFonts w:hint="default"/>
        </w:rPr>
        <w:t>年1</w:t>
      </w:r>
      <w:r>
        <w:rPr>
          <w:rFonts w:hint="default"/>
          <w:lang w:val="en-US" w:eastAsia="zh-CN"/>
        </w:rPr>
        <w:t>0</w:t>
      </w:r>
      <w:r>
        <w:rPr>
          <w:rFonts w:hint="default"/>
        </w:rPr>
        <w:t>月</w:t>
      </w:r>
      <w:r>
        <w:rPr>
          <w:rFonts w:hint="default"/>
          <w:lang w:val="en-US" w:eastAsia="zh-CN"/>
        </w:rPr>
        <w:t>26</w:t>
      </w:r>
      <w:r>
        <w:rPr>
          <w:rFonts w:hint="default"/>
        </w:rPr>
        <w:t>日</w:t>
      </w:r>
      <w:r>
        <w:rPr>
          <w:rFonts w:hint="default"/>
          <w:lang w:val="en-US" w:eastAsia="zh-CN"/>
        </w:rPr>
        <w:t>修订</w:t>
      </w:r>
      <w:r>
        <w:rPr>
          <w:rFonts w:hint="default"/>
        </w:rPr>
        <w:t>）；</w:t>
      </w:r>
    </w:p>
    <w:p w14:paraId="4BBF7D76">
      <w:pPr>
        <w:keepNext w:val="0"/>
        <w:keepLines w:val="0"/>
        <w:pageBreakBefore w:val="0"/>
        <w:widowControl w:val="0"/>
        <w:numPr>
          <w:ilvl w:val="0"/>
          <w:numId w:val="4"/>
        </w:numPr>
        <w:kinsoku/>
        <w:wordWrap/>
        <w:overflowPunct/>
        <w:topLinePunct w:val="0"/>
        <w:autoSpaceDE/>
        <w:autoSpaceDN/>
        <w:bidi w:val="0"/>
        <w:adjustRightInd/>
        <w:snapToGrid/>
        <w:ind w:left="0"/>
        <w:textAlignment w:val="auto"/>
        <w:rPr>
          <w:rFonts w:hint="default"/>
        </w:rPr>
      </w:pPr>
      <w:r>
        <w:rPr>
          <w:rFonts w:hint="default"/>
        </w:rPr>
        <w:t>《中华人民共和国水污染防治法》（20</w:t>
      </w:r>
      <w:r>
        <w:rPr>
          <w:rFonts w:hint="default"/>
          <w:lang w:val="en-US" w:eastAsia="zh-CN"/>
        </w:rPr>
        <w:t>18</w:t>
      </w:r>
      <w:r>
        <w:rPr>
          <w:rFonts w:hint="default"/>
        </w:rPr>
        <w:t>年</w:t>
      </w:r>
      <w:r>
        <w:rPr>
          <w:rFonts w:hint="default"/>
          <w:lang w:val="en-US" w:eastAsia="zh-CN"/>
        </w:rPr>
        <w:t>1</w:t>
      </w:r>
      <w:r>
        <w:rPr>
          <w:rFonts w:hint="default"/>
        </w:rPr>
        <w:t>月</w:t>
      </w:r>
      <w:r>
        <w:rPr>
          <w:rFonts w:hint="default"/>
          <w:lang w:val="en-US" w:eastAsia="zh-CN"/>
        </w:rPr>
        <w:t>1</w:t>
      </w:r>
      <w:r>
        <w:rPr>
          <w:rFonts w:hint="default"/>
        </w:rPr>
        <w:t>日）；</w:t>
      </w:r>
    </w:p>
    <w:p w14:paraId="02A73737">
      <w:pPr>
        <w:keepNext w:val="0"/>
        <w:keepLines w:val="0"/>
        <w:pageBreakBefore w:val="0"/>
        <w:widowControl w:val="0"/>
        <w:numPr>
          <w:ilvl w:val="0"/>
          <w:numId w:val="4"/>
        </w:numPr>
        <w:kinsoku/>
        <w:wordWrap/>
        <w:overflowPunct/>
        <w:topLinePunct w:val="0"/>
        <w:autoSpaceDE/>
        <w:autoSpaceDN/>
        <w:bidi w:val="0"/>
        <w:adjustRightInd/>
        <w:snapToGrid/>
        <w:ind w:left="0"/>
        <w:textAlignment w:val="auto"/>
        <w:rPr>
          <w:rFonts w:hint="default"/>
        </w:rPr>
      </w:pPr>
      <w:r>
        <w:rPr>
          <w:rFonts w:hint="default"/>
        </w:rPr>
        <w:t>《中华人民共和国噪声污染防治法》（2021年12月24日</w:t>
      </w:r>
      <w:r>
        <w:rPr>
          <w:rFonts w:hint="default"/>
          <w:lang w:val="en-US" w:eastAsia="zh-CN"/>
        </w:rPr>
        <w:t>修订</w:t>
      </w:r>
      <w:r>
        <w:rPr>
          <w:rFonts w:hint="default"/>
        </w:rPr>
        <w:t>）；</w:t>
      </w:r>
    </w:p>
    <w:p w14:paraId="7F072BA5">
      <w:pPr>
        <w:keepNext w:val="0"/>
        <w:keepLines w:val="0"/>
        <w:pageBreakBefore w:val="0"/>
        <w:widowControl w:val="0"/>
        <w:numPr>
          <w:ilvl w:val="0"/>
          <w:numId w:val="4"/>
        </w:numPr>
        <w:kinsoku/>
        <w:wordWrap/>
        <w:overflowPunct/>
        <w:topLinePunct w:val="0"/>
        <w:autoSpaceDE/>
        <w:autoSpaceDN/>
        <w:bidi w:val="0"/>
        <w:adjustRightInd/>
        <w:snapToGrid/>
        <w:ind w:left="0"/>
        <w:textAlignment w:val="auto"/>
        <w:rPr>
          <w:rFonts w:hint="default"/>
        </w:rPr>
      </w:pPr>
      <w:r>
        <w:rPr>
          <w:rFonts w:hint="default"/>
        </w:rPr>
        <w:t>《中华人民共和国固体废物污染环境防治法》（20</w:t>
      </w:r>
      <w:r>
        <w:rPr>
          <w:rFonts w:hint="default"/>
          <w:lang w:val="en-US" w:eastAsia="zh-CN"/>
        </w:rPr>
        <w:t>20</w:t>
      </w:r>
      <w:r>
        <w:rPr>
          <w:rFonts w:hint="default"/>
        </w:rPr>
        <w:t>年</w:t>
      </w:r>
      <w:r>
        <w:rPr>
          <w:rFonts w:hint="default"/>
          <w:lang w:val="en-US" w:eastAsia="zh-CN"/>
        </w:rPr>
        <w:t>4</w:t>
      </w:r>
      <w:r>
        <w:rPr>
          <w:rFonts w:hint="default"/>
        </w:rPr>
        <w:t>月</w:t>
      </w:r>
      <w:r>
        <w:rPr>
          <w:rFonts w:hint="default"/>
          <w:lang w:val="en-US" w:eastAsia="zh-CN"/>
        </w:rPr>
        <w:t>30</w:t>
      </w:r>
      <w:r>
        <w:rPr>
          <w:rFonts w:hint="default"/>
        </w:rPr>
        <w:t>日修订）；</w:t>
      </w:r>
    </w:p>
    <w:p w14:paraId="249A09D3">
      <w:pPr>
        <w:keepNext w:val="0"/>
        <w:keepLines w:val="0"/>
        <w:pageBreakBefore w:val="0"/>
        <w:widowControl w:val="0"/>
        <w:numPr>
          <w:ilvl w:val="0"/>
          <w:numId w:val="4"/>
        </w:numPr>
        <w:kinsoku/>
        <w:wordWrap/>
        <w:overflowPunct/>
        <w:topLinePunct w:val="0"/>
        <w:autoSpaceDE/>
        <w:autoSpaceDN/>
        <w:bidi w:val="0"/>
        <w:adjustRightInd/>
        <w:snapToGrid/>
        <w:ind w:left="0"/>
        <w:textAlignment w:val="auto"/>
        <w:rPr>
          <w:rFonts w:hint="default"/>
          <w:lang w:eastAsia="zh-CN"/>
        </w:rPr>
      </w:pPr>
      <w:r>
        <w:rPr>
          <w:rFonts w:hint="default"/>
          <w:lang w:eastAsia="zh-CN"/>
        </w:rPr>
        <w:t>《</w:t>
      </w:r>
      <w:r>
        <w:rPr>
          <w:rFonts w:hint="default"/>
          <w:lang w:val="en-US" w:eastAsia="zh-CN"/>
        </w:rPr>
        <w:t>中华人民共和国土壤污染防治法</w:t>
      </w:r>
      <w:r>
        <w:rPr>
          <w:rFonts w:hint="default"/>
          <w:lang w:eastAsia="zh-CN"/>
        </w:rPr>
        <w:t>》（</w:t>
      </w:r>
      <w:r>
        <w:rPr>
          <w:rFonts w:hint="default"/>
          <w:lang w:val="en-US" w:eastAsia="zh-CN"/>
        </w:rPr>
        <w:t>2019年1月1日</w:t>
      </w:r>
      <w:r>
        <w:rPr>
          <w:rFonts w:hint="default"/>
          <w:lang w:eastAsia="zh-CN"/>
        </w:rPr>
        <w:t>）；</w:t>
      </w:r>
    </w:p>
    <w:p w14:paraId="00CE76E7">
      <w:pPr>
        <w:keepNext w:val="0"/>
        <w:keepLines w:val="0"/>
        <w:pageBreakBefore w:val="0"/>
        <w:widowControl w:val="0"/>
        <w:numPr>
          <w:ilvl w:val="0"/>
          <w:numId w:val="4"/>
        </w:numPr>
        <w:kinsoku/>
        <w:wordWrap/>
        <w:overflowPunct/>
        <w:topLinePunct w:val="0"/>
        <w:autoSpaceDE/>
        <w:autoSpaceDN/>
        <w:bidi w:val="0"/>
        <w:adjustRightInd/>
        <w:snapToGrid/>
        <w:ind w:left="0"/>
        <w:textAlignment w:val="auto"/>
        <w:rPr>
          <w:rFonts w:hint="default"/>
        </w:rPr>
      </w:pPr>
      <w:r>
        <w:rPr>
          <w:rFonts w:hint="default"/>
        </w:rPr>
        <w:t>《中华人民共和国环境影响评价法》（201</w:t>
      </w:r>
      <w:r>
        <w:rPr>
          <w:rFonts w:hint="default"/>
          <w:lang w:val="en-US" w:eastAsia="zh-CN"/>
        </w:rPr>
        <w:t>8</w:t>
      </w:r>
      <w:r>
        <w:rPr>
          <w:rFonts w:hint="default"/>
        </w:rPr>
        <w:t>年</w:t>
      </w:r>
      <w:r>
        <w:rPr>
          <w:rFonts w:hint="default"/>
          <w:lang w:val="en-US" w:eastAsia="zh-CN"/>
        </w:rPr>
        <w:t>12</w:t>
      </w:r>
      <w:r>
        <w:rPr>
          <w:rFonts w:hint="default"/>
        </w:rPr>
        <w:t>月</w:t>
      </w:r>
      <w:r>
        <w:rPr>
          <w:rFonts w:hint="default"/>
          <w:lang w:val="en-US" w:eastAsia="zh-CN"/>
        </w:rPr>
        <w:t>29</w:t>
      </w:r>
      <w:r>
        <w:rPr>
          <w:rFonts w:hint="default"/>
        </w:rPr>
        <w:t>日</w:t>
      </w:r>
      <w:r>
        <w:rPr>
          <w:rFonts w:hint="default"/>
          <w:lang w:val="en-US" w:eastAsia="zh-CN"/>
        </w:rPr>
        <w:t>修订</w:t>
      </w:r>
      <w:r>
        <w:rPr>
          <w:rFonts w:hint="default"/>
        </w:rPr>
        <w:t>）；</w:t>
      </w:r>
    </w:p>
    <w:p w14:paraId="5A0631D6">
      <w:pPr>
        <w:keepNext w:val="0"/>
        <w:keepLines w:val="0"/>
        <w:pageBreakBefore w:val="0"/>
        <w:widowControl w:val="0"/>
        <w:numPr>
          <w:ilvl w:val="0"/>
          <w:numId w:val="4"/>
        </w:numPr>
        <w:kinsoku/>
        <w:wordWrap/>
        <w:overflowPunct/>
        <w:topLinePunct w:val="0"/>
        <w:autoSpaceDE/>
        <w:autoSpaceDN/>
        <w:bidi w:val="0"/>
        <w:adjustRightInd/>
        <w:snapToGrid/>
        <w:ind w:left="0"/>
        <w:textAlignment w:val="auto"/>
        <w:rPr>
          <w:rFonts w:hint="default"/>
        </w:rPr>
      </w:pPr>
      <w:r>
        <w:rPr>
          <w:rFonts w:hint="default"/>
        </w:rPr>
        <w:t>《中华人民共和国清洁生产促进法》（2012年7月1日）；</w:t>
      </w:r>
    </w:p>
    <w:p w14:paraId="1BB18F65">
      <w:pPr>
        <w:keepNext w:val="0"/>
        <w:keepLines w:val="0"/>
        <w:pageBreakBefore w:val="0"/>
        <w:widowControl w:val="0"/>
        <w:numPr>
          <w:ilvl w:val="0"/>
          <w:numId w:val="4"/>
        </w:numPr>
        <w:kinsoku/>
        <w:wordWrap/>
        <w:overflowPunct/>
        <w:topLinePunct w:val="0"/>
        <w:autoSpaceDE/>
        <w:autoSpaceDN/>
        <w:bidi w:val="0"/>
        <w:adjustRightInd/>
        <w:snapToGrid/>
        <w:ind w:left="0"/>
        <w:textAlignment w:val="auto"/>
        <w:rPr>
          <w:rFonts w:hint="default"/>
        </w:rPr>
      </w:pPr>
      <w:r>
        <w:rPr>
          <w:rFonts w:hint="default"/>
        </w:rPr>
        <w:t>《中华人民共和国循环经济促进法》（20</w:t>
      </w:r>
      <w:r>
        <w:rPr>
          <w:rFonts w:hint="default"/>
          <w:lang w:val="en-US" w:eastAsia="zh-CN"/>
        </w:rPr>
        <w:t>18</w:t>
      </w:r>
      <w:r>
        <w:rPr>
          <w:rFonts w:hint="default"/>
        </w:rPr>
        <w:t>年</w:t>
      </w:r>
      <w:r>
        <w:rPr>
          <w:rFonts w:hint="default"/>
          <w:lang w:val="en-US" w:eastAsia="zh-CN"/>
        </w:rPr>
        <w:t>10</w:t>
      </w:r>
      <w:r>
        <w:rPr>
          <w:rFonts w:hint="default"/>
        </w:rPr>
        <w:t>月2</w:t>
      </w:r>
      <w:r>
        <w:rPr>
          <w:rFonts w:hint="default"/>
          <w:lang w:val="en-US" w:eastAsia="zh-CN"/>
        </w:rPr>
        <w:t>6</w:t>
      </w:r>
      <w:r>
        <w:rPr>
          <w:rFonts w:hint="default"/>
        </w:rPr>
        <w:t>日</w:t>
      </w:r>
      <w:r>
        <w:rPr>
          <w:rFonts w:hint="default"/>
          <w:lang w:val="en-US" w:eastAsia="zh-CN"/>
        </w:rPr>
        <w:t>修订</w:t>
      </w:r>
      <w:r>
        <w:rPr>
          <w:rFonts w:hint="default"/>
        </w:rPr>
        <w:t>）；</w:t>
      </w:r>
    </w:p>
    <w:p w14:paraId="49F9A58A">
      <w:pPr>
        <w:keepNext w:val="0"/>
        <w:keepLines w:val="0"/>
        <w:pageBreakBefore w:val="0"/>
        <w:widowControl w:val="0"/>
        <w:numPr>
          <w:ilvl w:val="0"/>
          <w:numId w:val="4"/>
        </w:numPr>
        <w:kinsoku/>
        <w:wordWrap/>
        <w:overflowPunct/>
        <w:topLinePunct w:val="0"/>
        <w:autoSpaceDE/>
        <w:autoSpaceDN/>
        <w:bidi w:val="0"/>
        <w:adjustRightInd/>
        <w:snapToGrid/>
        <w:ind w:left="0"/>
        <w:textAlignment w:val="auto"/>
        <w:rPr>
          <w:rFonts w:hint="default"/>
        </w:rPr>
      </w:pPr>
      <w:r>
        <w:rPr>
          <w:rFonts w:hint="default"/>
        </w:rPr>
        <w:t>《中华人民共和国节约能源法》（20</w:t>
      </w:r>
      <w:r>
        <w:rPr>
          <w:rFonts w:hint="default"/>
          <w:lang w:val="en-US" w:eastAsia="zh-CN"/>
        </w:rPr>
        <w:t>18</w:t>
      </w:r>
      <w:r>
        <w:rPr>
          <w:rFonts w:hint="default"/>
        </w:rPr>
        <w:t>年</w:t>
      </w:r>
      <w:r>
        <w:rPr>
          <w:rFonts w:hint="default"/>
          <w:lang w:val="en-US" w:eastAsia="zh-CN"/>
        </w:rPr>
        <w:t>10</w:t>
      </w:r>
      <w:r>
        <w:rPr>
          <w:rFonts w:hint="default"/>
        </w:rPr>
        <w:t>月2</w:t>
      </w:r>
      <w:r>
        <w:rPr>
          <w:rFonts w:hint="default"/>
          <w:lang w:val="en-US" w:eastAsia="zh-CN"/>
        </w:rPr>
        <w:t>6</w:t>
      </w:r>
      <w:r>
        <w:rPr>
          <w:rFonts w:hint="default"/>
        </w:rPr>
        <w:t>日</w:t>
      </w:r>
      <w:r>
        <w:rPr>
          <w:rFonts w:hint="default"/>
          <w:lang w:val="en-US" w:eastAsia="zh-CN"/>
        </w:rPr>
        <w:t>修订</w:t>
      </w:r>
      <w:r>
        <w:rPr>
          <w:rFonts w:hint="default"/>
        </w:rPr>
        <w:t>）；</w:t>
      </w:r>
    </w:p>
    <w:p w14:paraId="6C965F13">
      <w:pPr>
        <w:keepNext w:val="0"/>
        <w:keepLines w:val="0"/>
        <w:pageBreakBefore w:val="0"/>
        <w:widowControl w:val="0"/>
        <w:numPr>
          <w:ilvl w:val="0"/>
          <w:numId w:val="4"/>
        </w:numPr>
        <w:kinsoku/>
        <w:wordWrap/>
        <w:overflowPunct/>
        <w:topLinePunct w:val="0"/>
        <w:autoSpaceDE/>
        <w:autoSpaceDN/>
        <w:bidi w:val="0"/>
        <w:adjustRightInd/>
        <w:snapToGrid/>
        <w:ind w:left="0"/>
        <w:textAlignment w:val="auto"/>
        <w:rPr>
          <w:rFonts w:hint="default"/>
          <w:lang w:eastAsia="zh-CN"/>
        </w:rPr>
      </w:pPr>
      <w:r>
        <w:rPr>
          <w:rFonts w:hint="default"/>
        </w:rPr>
        <w:t>《中华人民共和国水法》（2016年7月2日）</w:t>
      </w:r>
      <w:r>
        <w:rPr>
          <w:rFonts w:hint="default"/>
          <w:lang w:eastAsia="zh-CN"/>
        </w:rPr>
        <w:t>；</w:t>
      </w:r>
    </w:p>
    <w:p w14:paraId="6DFC0318">
      <w:pPr>
        <w:keepNext w:val="0"/>
        <w:keepLines w:val="0"/>
        <w:pageBreakBefore w:val="0"/>
        <w:widowControl w:val="0"/>
        <w:numPr>
          <w:ilvl w:val="0"/>
          <w:numId w:val="4"/>
        </w:numPr>
        <w:kinsoku/>
        <w:wordWrap/>
        <w:overflowPunct/>
        <w:topLinePunct w:val="0"/>
        <w:autoSpaceDE/>
        <w:autoSpaceDN/>
        <w:bidi w:val="0"/>
        <w:adjustRightInd/>
        <w:snapToGrid/>
        <w:ind w:left="0"/>
        <w:textAlignment w:val="auto"/>
        <w:rPr>
          <w:rFonts w:hint="default"/>
          <w:highlight w:val="none"/>
        </w:rPr>
      </w:pPr>
      <w:r>
        <w:rPr>
          <w:rFonts w:hint="default"/>
        </w:rPr>
        <w:t>《中华人民共和国城乡规划法》</w:t>
      </w:r>
      <w:r>
        <w:rPr>
          <w:rFonts w:hint="default"/>
          <w:highlight w:val="none"/>
        </w:rPr>
        <w:t>，</w:t>
      </w:r>
      <w:r>
        <w:rPr>
          <w:rFonts w:hint="eastAsia"/>
          <w:highlight w:val="none"/>
          <w:lang w:eastAsia="zh-CN"/>
        </w:rPr>
        <w:t>（</w:t>
      </w:r>
      <w:r>
        <w:rPr>
          <w:rFonts w:hint="default"/>
          <w:highlight w:val="none"/>
        </w:rPr>
        <w:t>20</w:t>
      </w:r>
      <w:r>
        <w:rPr>
          <w:rFonts w:hint="eastAsia"/>
          <w:highlight w:val="none"/>
          <w:lang w:val="en-US" w:eastAsia="zh-CN"/>
        </w:rPr>
        <w:t>19</w:t>
      </w:r>
      <w:r>
        <w:rPr>
          <w:rFonts w:hint="default"/>
          <w:highlight w:val="none"/>
        </w:rPr>
        <w:t>年</w:t>
      </w:r>
      <w:r>
        <w:rPr>
          <w:rFonts w:hint="eastAsia"/>
          <w:highlight w:val="none"/>
          <w:lang w:val="en-US" w:eastAsia="zh-CN"/>
        </w:rPr>
        <w:t>4</w:t>
      </w:r>
      <w:r>
        <w:rPr>
          <w:rFonts w:hint="default"/>
          <w:highlight w:val="none"/>
        </w:rPr>
        <w:t>月</w:t>
      </w:r>
      <w:r>
        <w:rPr>
          <w:rFonts w:hint="eastAsia"/>
          <w:highlight w:val="none"/>
          <w:lang w:val="en-US" w:eastAsia="zh-CN"/>
        </w:rPr>
        <w:t>23</w:t>
      </w:r>
      <w:r>
        <w:rPr>
          <w:rFonts w:hint="default"/>
          <w:highlight w:val="none"/>
        </w:rPr>
        <w:t>日</w:t>
      </w:r>
      <w:r>
        <w:rPr>
          <w:rFonts w:hint="eastAsia"/>
          <w:highlight w:val="none"/>
          <w:lang w:val="en-US" w:eastAsia="zh-CN"/>
        </w:rPr>
        <w:t>修订）</w:t>
      </w:r>
      <w:r>
        <w:rPr>
          <w:rFonts w:hint="default"/>
          <w:highlight w:val="none"/>
        </w:rPr>
        <w:t>；</w:t>
      </w:r>
    </w:p>
    <w:p w14:paraId="57B19433">
      <w:pPr>
        <w:keepNext w:val="0"/>
        <w:keepLines w:val="0"/>
        <w:pageBreakBefore w:val="0"/>
        <w:widowControl w:val="0"/>
        <w:numPr>
          <w:ilvl w:val="0"/>
          <w:numId w:val="4"/>
        </w:numPr>
        <w:kinsoku/>
        <w:wordWrap/>
        <w:overflowPunct/>
        <w:topLinePunct w:val="0"/>
        <w:autoSpaceDE/>
        <w:autoSpaceDN/>
        <w:bidi w:val="0"/>
        <w:adjustRightInd/>
        <w:snapToGrid/>
        <w:ind w:left="0"/>
        <w:textAlignment w:val="auto"/>
        <w:rPr>
          <w:rFonts w:hint="default"/>
          <w:highlight w:val="none"/>
          <w:lang w:eastAsia="zh-CN"/>
        </w:rPr>
      </w:pPr>
      <w:r>
        <w:rPr>
          <w:rFonts w:hint="default"/>
          <w:highlight w:val="none"/>
          <w:lang w:eastAsia="zh-CN"/>
        </w:rPr>
        <w:t>《中华人民共和国可再生资源法》（2016年1月1日起实施）；</w:t>
      </w:r>
    </w:p>
    <w:p w14:paraId="04A54A04">
      <w:pPr>
        <w:keepNext w:val="0"/>
        <w:keepLines w:val="0"/>
        <w:pageBreakBefore w:val="0"/>
        <w:widowControl w:val="0"/>
        <w:numPr>
          <w:ilvl w:val="0"/>
          <w:numId w:val="4"/>
        </w:numPr>
        <w:kinsoku/>
        <w:wordWrap/>
        <w:overflowPunct/>
        <w:topLinePunct w:val="0"/>
        <w:autoSpaceDE/>
        <w:autoSpaceDN/>
        <w:bidi w:val="0"/>
        <w:adjustRightInd/>
        <w:snapToGrid/>
        <w:ind w:left="0"/>
        <w:textAlignment w:val="auto"/>
        <w:rPr>
          <w:rFonts w:hint="default"/>
          <w:highlight w:val="none"/>
          <w:lang w:eastAsia="zh-CN"/>
        </w:rPr>
      </w:pPr>
      <w:r>
        <w:rPr>
          <w:rFonts w:hint="default"/>
          <w:highlight w:val="none"/>
          <w:lang w:eastAsia="zh-CN"/>
        </w:rPr>
        <w:t>《中华人民共和国土地管理法》（20</w:t>
      </w:r>
      <w:r>
        <w:rPr>
          <w:rFonts w:hint="eastAsia"/>
          <w:highlight w:val="none"/>
          <w:lang w:val="en-US" w:eastAsia="zh-CN"/>
        </w:rPr>
        <w:t>19</w:t>
      </w:r>
      <w:r>
        <w:rPr>
          <w:rFonts w:hint="default"/>
          <w:highlight w:val="none"/>
          <w:lang w:eastAsia="zh-CN"/>
        </w:rPr>
        <w:t>年</w:t>
      </w:r>
      <w:r>
        <w:rPr>
          <w:rFonts w:hint="eastAsia"/>
          <w:highlight w:val="none"/>
          <w:lang w:val="en-US" w:eastAsia="zh-CN"/>
        </w:rPr>
        <w:t>8</w:t>
      </w:r>
      <w:r>
        <w:rPr>
          <w:rFonts w:hint="default"/>
          <w:highlight w:val="none"/>
          <w:lang w:eastAsia="zh-CN"/>
        </w:rPr>
        <w:t>月</w:t>
      </w:r>
      <w:r>
        <w:rPr>
          <w:rFonts w:hint="eastAsia"/>
          <w:highlight w:val="none"/>
          <w:lang w:val="en-US" w:eastAsia="zh-CN"/>
        </w:rPr>
        <w:t>26</w:t>
      </w:r>
      <w:r>
        <w:rPr>
          <w:rFonts w:hint="default"/>
          <w:highlight w:val="none"/>
          <w:lang w:eastAsia="zh-CN"/>
        </w:rPr>
        <w:t>日</w:t>
      </w:r>
      <w:r>
        <w:rPr>
          <w:rFonts w:hint="eastAsia"/>
          <w:highlight w:val="none"/>
          <w:lang w:val="en-US" w:eastAsia="zh-CN"/>
        </w:rPr>
        <w:t>修订</w:t>
      </w:r>
      <w:r>
        <w:rPr>
          <w:rFonts w:hint="default"/>
          <w:highlight w:val="none"/>
          <w:lang w:eastAsia="zh-CN"/>
        </w:rPr>
        <w:t>）。</w:t>
      </w:r>
    </w:p>
    <w:p w14:paraId="297BC2B1">
      <w:pPr>
        <w:pStyle w:val="6"/>
        <w:pageBreakBefore w:val="0"/>
        <w:widowControl w:val="0"/>
        <w:kinsoku/>
        <w:wordWrap/>
        <w:overflowPunct/>
        <w:topLinePunct w:val="0"/>
        <w:autoSpaceDE/>
        <w:autoSpaceDN/>
        <w:bidi w:val="0"/>
        <w:adjustRightInd/>
        <w:snapToGrid/>
        <w:spacing w:before="0" w:beforeLines="0" w:after="0" w:afterLines="0" w:line="480" w:lineRule="exact"/>
        <w:ind w:firstLine="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2.1.2国家环境保护法规、规章</w:t>
      </w:r>
    </w:p>
    <w:p w14:paraId="47C41F81">
      <w:pPr>
        <w:keepNext w:val="0"/>
        <w:keepLines w:val="0"/>
        <w:pageBreakBefore w:val="0"/>
        <w:widowControl w:val="0"/>
        <w:numPr>
          <w:ilvl w:val="0"/>
          <w:numId w:val="5"/>
        </w:numPr>
        <w:kinsoku/>
        <w:wordWrap/>
        <w:overflowPunct/>
        <w:topLinePunct w:val="0"/>
        <w:autoSpaceDE/>
        <w:autoSpaceDN/>
        <w:bidi w:val="0"/>
        <w:adjustRightInd/>
        <w:snapToGrid/>
        <w:spacing w:line="480" w:lineRule="exact"/>
        <w:ind w:left="0" w:leftChars="0" w:firstLine="567" w:firstLineChars="0"/>
        <w:jc w:val="left"/>
        <w:textAlignment w:val="auto"/>
        <w:outlineLvl w:val="9"/>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《建设项目环境保护管理条例》</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中华人民共和国国务院第682号令，2017年10月1日</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1E7223D3">
      <w:pPr>
        <w:keepNext w:val="0"/>
        <w:keepLines w:val="0"/>
        <w:pageBreakBefore w:val="0"/>
        <w:widowControl w:val="0"/>
        <w:numPr>
          <w:ilvl w:val="0"/>
          <w:numId w:val="5"/>
        </w:numPr>
        <w:kinsoku/>
        <w:wordWrap/>
        <w:overflowPunct/>
        <w:topLinePunct w:val="0"/>
        <w:autoSpaceDE/>
        <w:autoSpaceDN/>
        <w:bidi w:val="0"/>
        <w:adjustRightInd/>
        <w:snapToGrid/>
        <w:spacing w:line="480" w:lineRule="exact"/>
        <w:ind w:left="0" w:leftChars="0" w:firstLine="567" w:firstLineChars="0"/>
        <w:textAlignment w:val="auto"/>
        <w:outlineLvl w:val="9"/>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bCs/>
          <w:color w:val="000000" w:themeColor="text1"/>
          <w:sz w:val="24"/>
          <w:szCs w:val="24"/>
          <w:highlight w:val="none"/>
          <w14:textFill>
            <w14:solidFill>
              <w14:schemeClr w14:val="tx1"/>
            </w14:solidFill>
          </w14:textFill>
        </w:rPr>
        <w:t>国务院关于加强环境保护重点工作的意见</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国发(2011)35号文；</w:t>
      </w:r>
    </w:p>
    <w:p w14:paraId="5305666C">
      <w:pPr>
        <w:keepNext w:val="0"/>
        <w:keepLines w:val="0"/>
        <w:pageBreakBefore w:val="0"/>
        <w:widowControl w:val="0"/>
        <w:numPr>
          <w:ilvl w:val="0"/>
          <w:numId w:val="5"/>
        </w:numPr>
        <w:kinsoku/>
        <w:wordWrap/>
        <w:overflowPunct/>
        <w:topLinePunct w:val="0"/>
        <w:autoSpaceDE/>
        <w:autoSpaceDN/>
        <w:bidi w:val="0"/>
        <w:adjustRightInd/>
        <w:snapToGrid/>
        <w:spacing w:line="480" w:lineRule="exact"/>
        <w:ind w:left="0" w:leftChars="0" w:firstLine="567" w:firstLineChars="0"/>
        <w:jc w:val="left"/>
        <w:textAlignment w:val="auto"/>
        <w:outlineLvl w:val="9"/>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《中华人民共和国国民经济和社会发展第十四个五年规划和2035年远景目标纲要》，2021年3月11日；</w:t>
      </w:r>
    </w:p>
    <w:p w14:paraId="378419AB">
      <w:pPr>
        <w:keepNext w:val="0"/>
        <w:keepLines w:val="0"/>
        <w:pageBreakBefore w:val="0"/>
        <w:widowControl w:val="0"/>
        <w:numPr>
          <w:ilvl w:val="0"/>
          <w:numId w:val="5"/>
        </w:numPr>
        <w:kinsoku/>
        <w:wordWrap/>
        <w:overflowPunct/>
        <w:topLinePunct w:val="0"/>
        <w:autoSpaceDE/>
        <w:autoSpaceDN/>
        <w:bidi w:val="0"/>
        <w:adjustRightInd/>
        <w:snapToGrid/>
        <w:spacing w:line="480" w:lineRule="exact"/>
        <w:ind w:left="0" w:leftChars="0" w:firstLine="567" w:firstLineChars="0"/>
        <w:textAlignment w:val="auto"/>
        <w:outlineLvl w:val="9"/>
        <w:rPr>
          <w:rFonts w:hint="default" w:ascii="Times New Roman" w:hAnsi="Times New Roman" w:eastAsia="宋体" w:cs="Times New Roman"/>
          <w:bCs/>
          <w:color w:val="000000" w:themeColor="text1"/>
          <w:sz w:val="24"/>
          <w:szCs w:val="24"/>
          <w:highlight w:val="none"/>
          <w14:textFill>
            <w14:solidFill>
              <w14:schemeClr w14:val="tx1"/>
            </w14:solidFill>
          </w14:textFill>
        </w:rPr>
      </w:pPr>
      <w:r>
        <w:rPr>
          <w:rFonts w:hint="default" w:ascii="Times New Roman" w:hAnsi="Times New Roman" w:eastAsia="宋体" w:cs="Times New Roman"/>
          <w:bCs/>
          <w:color w:val="000000" w:themeColor="text1"/>
          <w:sz w:val="24"/>
          <w:szCs w:val="24"/>
          <w:highlight w:val="none"/>
          <w14:textFill>
            <w14:solidFill>
              <w14:schemeClr w14:val="tx1"/>
            </w14:solidFill>
          </w14:textFill>
        </w:rPr>
        <w:t>《国务院关于印发</w:t>
      </w:r>
      <w:r>
        <w:rPr>
          <w:rFonts w:hint="default" w:ascii="Times New Roman" w:hAnsi="Times New Roman" w:eastAsia="宋体" w:cs="Times New Roman"/>
          <w:bCs/>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bCs/>
          <w:color w:val="000000" w:themeColor="text1"/>
          <w:sz w:val="24"/>
          <w:szCs w:val="24"/>
          <w:highlight w:val="none"/>
          <w14:textFill>
            <w14:solidFill>
              <w14:schemeClr w14:val="tx1"/>
            </w14:solidFill>
          </w14:textFill>
        </w:rPr>
        <w:t>十四五</w:t>
      </w:r>
      <w:r>
        <w:rPr>
          <w:rFonts w:hint="default" w:ascii="Times New Roman" w:hAnsi="Times New Roman" w:eastAsia="宋体" w:cs="Times New Roman"/>
          <w:bCs/>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bCs/>
          <w:color w:val="000000" w:themeColor="text1"/>
          <w:sz w:val="24"/>
          <w:szCs w:val="24"/>
          <w:highlight w:val="none"/>
          <w14:textFill>
            <w14:solidFill>
              <w14:schemeClr w14:val="tx1"/>
            </w14:solidFill>
          </w14:textFill>
        </w:rPr>
        <w:t>节能减排综合工作方案的通知》，国发</w:t>
      </w:r>
      <w:r>
        <w:rPr>
          <w:rFonts w:hint="default" w:ascii="Times New Roman" w:hAnsi="Times New Roman" w:eastAsia="宋体" w:cs="Times New Roman"/>
          <w:color w:val="000000" w:themeColor="text1"/>
          <w:sz w:val="24"/>
          <w:szCs w:val="24"/>
          <w:highlight w:val="none"/>
          <w14:textFill>
            <w14:solidFill>
              <w14:schemeClr w14:val="tx1"/>
            </w14:solidFill>
          </w14:textFill>
        </w:rPr>
        <w:t>[20</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21</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bCs/>
          <w:color w:val="000000" w:themeColor="text1"/>
          <w:sz w:val="24"/>
          <w:szCs w:val="24"/>
          <w:highlight w:val="none"/>
          <w14:textFill>
            <w14:solidFill>
              <w14:schemeClr w14:val="tx1"/>
            </w14:solidFill>
          </w14:textFill>
        </w:rPr>
        <w:t>33号，2021年12月28日；</w:t>
      </w:r>
    </w:p>
    <w:p w14:paraId="025EFD3D">
      <w:pPr>
        <w:keepNext w:val="0"/>
        <w:keepLines w:val="0"/>
        <w:pageBreakBefore w:val="0"/>
        <w:widowControl w:val="0"/>
        <w:numPr>
          <w:ilvl w:val="0"/>
          <w:numId w:val="5"/>
        </w:numPr>
        <w:kinsoku/>
        <w:wordWrap/>
        <w:overflowPunct/>
        <w:topLinePunct w:val="0"/>
        <w:autoSpaceDE/>
        <w:autoSpaceDN/>
        <w:bidi w:val="0"/>
        <w:adjustRightInd/>
        <w:snapToGrid/>
        <w:spacing w:line="480" w:lineRule="exact"/>
        <w:ind w:left="0" w:leftChars="0" w:firstLine="567" w:firstLineChars="0"/>
        <w:jc w:val="left"/>
        <w:textAlignment w:val="auto"/>
        <w:outlineLvl w:val="9"/>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《重污染天气重点行业应急减排措施制定技术指南（2021年修订版）》</w:t>
      </w:r>
      <w:r>
        <w:rPr>
          <w:rFonts w:hint="eastAsia" w:cs="Times New Roman"/>
          <w:color w:val="000000" w:themeColor="text1"/>
          <w:sz w:val="24"/>
          <w:highlight w:val="none"/>
          <w:lang w:val="en-US" w:eastAsia="zh-CN"/>
          <w14:textFill>
            <w14:solidFill>
              <w14:schemeClr w14:val="tx1"/>
            </w14:solidFill>
          </w14:textFill>
        </w:rPr>
        <w:t>；</w:t>
      </w:r>
    </w:p>
    <w:p w14:paraId="330605F6">
      <w:pPr>
        <w:keepNext w:val="0"/>
        <w:keepLines w:val="0"/>
        <w:pageBreakBefore w:val="0"/>
        <w:widowControl w:val="0"/>
        <w:numPr>
          <w:ilvl w:val="0"/>
          <w:numId w:val="5"/>
        </w:numPr>
        <w:kinsoku/>
        <w:wordWrap/>
        <w:overflowPunct/>
        <w:topLinePunct w:val="0"/>
        <w:autoSpaceDE/>
        <w:autoSpaceDN/>
        <w:bidi w:val="0"/>
        <w:adjustRightInd/>
        <w:snapToGrid/>
        <w:spacing w:line="480" w:lineRule="exact"/>
        <w:ind w:left="0" w:leftChars="0" w:firstLine="567" w:firstLineChars="0"/>
        <w:jc w:val="left"/>
        <w:textAlignment w:val="auto"/>
        <w:outlineLvl w:val="9"/>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《产业结构调整指导目录（20</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24</w:t>
      </w:r>
      <w:r>
        <w:rPr>
          <w:rFonts w:hint="default" w:ascii="Times New Roman" w:hAnsi="Times New Roman" w:eastAsia="宋体" w:cs="Times New Roman"/>
          <w:color w:val="000000" w:themeColor="text1"/>
          <w:sz w:val="24"/>
          <w:szCs w:val="24"/>
          <w:highlight w:val="none"/>
          <w14:textFill>
            <w14:solidFill>
              <w14:schemeClr w14:val="tx1"/>
            </w14:solidFill>
          </w14:textFill>
        </w:rPr>
        <w:t>年本）》，中华人民共和国国家发展和改革委员会令第</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7</w:t>
      </w:r>
      <w:r>
        <w:rPr>
          <w:rFonts w:hint="default" w:ascii="Times New Roman" w:hAnsi="Times New Roman" w:eastAsia="宋体" w:cs="Times New Roman"/>
          <w:color w:val="000000" w:themeColor="text1"/>
          <w:sz w:val="24"/>
          <w:szCs w:val="24"/>
          <w:highlight w:val="none"/>
          <w14:textFill>
            <w14:solidFill>
              <w14:schemeClr w14:val="tx1"/>
            </w14:solidFill>
          </w14:textFill>
        </w:rPr>
        <w:t>号，202</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年12月</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27</w:t>
      </w:r>
      <w:r>
        <w:rPr>
          <w:rFonts w:hint="default" w:ascii="Times New Roman" w:hAnsi="Times New Roman" w:eastAsia="宋体" w:cs="Times New Roman"/>
          <w:color w:val="000000" w:themeColor="text1"/>
          <w:sz w:val="24"/>
          <w:szCs w:val="24"/>
          <w:highlight w:val="none"/>
          <w14:textFill>
            <w14:solidFill>
              <w14:schemeClr w14:val="tx1"/>
            </w14:solidFill>
          </w14:textFill>
        </w:rPr>
        <w:t>日；</w:t>
      </w:r>
    </w:p>
    <w:p w14:paraId="1F937E00">
      <w:pPr>
        <w:keepNext w:val="0"/>
        <w:keepLines w:val="0"/>
        <w:pageBreakBefore w:val="0"/>
        <w:widowControl w:val="0"/>
        <w:numPr>
          <w:ilvl w:val="0"/>
          <w:numId w:val="5"/>
        </w:numPr>
        <w:kinsoku/>
        <w:wordWrap/>
        <w:overflowPunct/>
        <w:topLinePunct w:val="0"/>
        <w:autoSpaceDE/>
        <w:autoSpaceDN/>
        <w:bidi w:val="0"/>
        <w:adjustRightInd/>
        <w:snapToGrid/>
        <w:spacing w:line="480" w:lineRule="exact"/>
        <w:ind w:left="0" w:leftChars="0" w:firstLine="567" w:firstLineChars="0"/>
        <w:jc w:val="left"/>
        <w:textAlignment w:val="auto"/>
        <w:outlineLvl w:val="9"/>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《关于切实加强风险防范严格环境影响评价管理的通知》环发[2012]98号；</w:t>
      </w:r>
    </w:p>
    <w:p w14:paraId="6D5E5E18">
      <w:pPr>
        <w:keepNext w:val="0"/>
        <w:keepLines w:val="0"/>
        <w:pageBreakBefore w:val="0"/>
        <w:widowControl w:val="0"/>
        <w:numPr>
          <w:ilvl w:val="0"/>
          <w:numId w:val="5"/>
        </w:numPr>
        <w:kinsoku/>
        <w:wordWrap/>
        <w:overflowPunct/>
        <w:topLinePunct w:val="0"/>
        <w:autoSpaceDE/>
        <w:autoSpaceDN/>
        <w:bidi w:val="0"/>
        <w:adjustRightInd/>
        <w:snapToGrid/>
        <w:spacing w:line="480" w:lineRule="exact"/>
        <w:ind w:left="0" w:leftChars="0" w:firstLine="567" w:firstLineChars="0"/>
        <w:jc w:val="left"/>
        <w:textAlignment w:val="auto"/>
        <w:outlineLvl w:val="9"/>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《关于进一步加强环境影响评价管理防范环境风险的通知》环发[2012]77号；</w:t>
      </w:r>
    </w:p>
    <w:p w14:paraId="047A0D22">
      <w:pPr>
        <w:keepNext w:val="0"/>
        <w:keepLines w:val="0"/>
        <w:pageBreakBefore w:val="0"/>
        <w:widowControl w:val="0"/>
        <w:numPr>
          <w:ilvl w:val="0"/>
          <w:numId w:val="5"/>
        </w:numPr>
        <w:kinsoku/>
        <w:wordWrap/>
        <w:overflowPunct/>
        <w:topLinePunct w:val="0"/>
        <w:autoSpaceDE/>
        <w:autoSpaceDN/>
        <w:bidi w:val="0"/>
        <w:adjustRightInd/>
        <w:snapToGrid/>
        <w:spacing w:line="480" w:lineRule="exact"/>
        <w:ind w:left="0" w:leftChars="0" w:firstLine="567" w:firstLineChars="0"/>
        <w:jc w:val="left"/>
        <w:textAlignment w:val="auto"/>
        <w:outlineLvl w:val="9"/>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关于印发《水污染防治重点行业清洁生产技术推行方案的通知》工信部联节〔2016〕275号</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p>
    <w:p w14:paraId="3D8B0C11">
      <w:pPr>
        <w:keepNext w:val="0"/>
        <w:keepLines w:val="0"/>
        <w:pageBreakBefore w:val="0"/>
        <w:widowControl w:val="0"/>
        <w:numPr>
          <w:ilvl w:val="0"/>
          <w:numId w:val="5"/>
        </w:numPr>
        <w:kinsoku/>
        <w:wordWrap/>
        <w:overflowPunct/>
        <w:topLinePunct w:val="0"/>
        <w:autoSpaceDE/>
        <w:autoSpaceDN/>
        <w:bidi w:val="0"/>
        <w:adjustRightInd/>
        <w:snapToGrid/>
        <w:spacing w:line="480" w:lineRule="exact"/>
        <w:ind w:left="0" w:leftChars="0" w:firstLine="567" w:firstLineChars="0"/>
        <w:jc w:val="left"/>
        <w:textAlignment w:val="auto"/>
        <w:outlineLvl w:val="9"/>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《地下水管理条例》(中华人民共和国国务院令第748号公布2021年12月1日起施行)；</w:t>
      </w:r>
    </w:p>
    <w:p w14:paraId="5E97194F">
      <w:pPr>
        <w:keepNext w:val="0"/>
        <w:keepLines w:val="0"/>
        <w:pageBreakBefore w:val="0"/>
        <w:widowControl w:val="0"/>
        <w:numPr>
          <w:ilvl w:val="0"/>
          <w:numId w:val="5"/>
        </w:numPr>
        <w:kinsoku/>
        <w:wordWrap/>
        <w:overflowPunct/>
        <w:topLinePunct w:val="0"/>
        <w:autoSpaceDE/>
        <w:autoSpaceDN/>
        <w:bidi w:val="0"/>
        <w:adjustRightInd/>
        <w:snapToGrid/>
        <w:spacing w:line="480" w:lineRule="exact"/>
        <w:ind w:left="0" w:leftChars="0" w:firstLine="567" w:firstLineChars="0"/>
        <w:jc w:val="left"/>
        <w:textAlignment w:val="auto"/>
        <w:outlineLvl w:val="9"/>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《建设项目主要污染物排放总量指标审核及管理暂行办法》的通知</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环发[2014]197号</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3AA5CE86">
      <w:pPr>
        <w:keepNext w:val="0"/>
        <w:keepLines w:val="0"/>
        <w:pageBreakBefore w:val="0"/>
        <w:widowControl w:val="0"/>
        <w:numPr>
          <w:ilvl w:val="0"/>
          <w:numId w:val="5"/>
        </w:numPr>
        <w:kinsoku/>
        <w:wordWrap/>
        <w:overflowPunct/>
        <w:topLinePunct w:val="0"/>
        <w:autoSpaceDE/>
        <w:autoSpaceDN/>
        <w:bidi w:val="0"/>
        <w:adjustRightInd/>
        <w:snapToGrid/>
        <w:spacing w:line="480" w:lineRule="exact"/>
        <w:ind w:left="0" w:leftChars="0" w:firstLine="567" w:firstLineChars="0"/>
        <w:jc w:val="left"/>
        <w:textAlignment w:val="auto"/>
        <w:outlineLvl w:val="9"/>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《关于以改善环境质量为核心加强环境影响评价管理的通知》（环环评〔2016〕150号）；</w:t>
      </w:r>
    </w:p>
    <w:p w14:paraId="32E5F65C">
      <w:pPr>
        <w:keepNext w:val="0"/>
        <w:keepLines w:val="0"/>
        <w:pageBreakBefore w:val="0"/>
        <w:widowControl w:val="0"/>
        <w:numPr>
          <w:ilvl w:val="0"/>
          <w:numId w:val="5"/>
        </w:numPr>
        <w:kinsoku/>
        <w:wordWrap/>
        <w:overflowPunct/>
        <w:topLinePunct w:val="0"/>
        <w:autoSpaceDE/>
        <w:autoSpaceDN/>
        <w:bidi w:val="0"/>
        <w:adjustRightInd/>
        <w:snapToGrid/>
        <w:spacing w:line="480" w:lineRule="exact"/>
        <w:ind w:left="0" w:leftChars="0" w:firstLine="567" w:firstLineChars="0"/>
        <w:jc w:val="left"/>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环境影响评价公众参与办法</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生态环境部令第4号</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p>
    <w:p w14:paraId="6781286B">
      <w:pPr>
        <w:keepNext w:val="0"/>
        <w:keepLines w:val="0"/>
        <w:pageBreakBefore w:val="0"/>
        <w:widowControl w:val="0"/>
        <w:numPr>
          <w:ilvl w:val="0"/>
          <w:numId w:val="5"/>
        </w:numPr>
        <w:kinsoku/>
        <w:wordWrap/>
        <w:overflowPunct/>
        <w:topLinePunct w:val="0"/>
        <w:autoSpaceDE/>
        <w:autoSpaceDN/>
        <w:bidi w:val="0"/>
        <w:adjustRightInd/>
        <w:snapToGrid/>
        <w:spacing w:line="480" w:lineRule="exact"/>
        <w:ind w:left="0" w:leftChars="0" w:firstLine="567" w:firstLineChars="0"/>
        <w:jc w:val="left"/>
        <w:textAlignment w:val="auto"/>
        <w:outlineLvl w:val="9"/>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国家危险废物名录</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2021年版</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p>
    <w:p w14:paraId="0B4C8E75">
      <w:pPr>
        <w:keepNext w:val="0"/>
        <w:keepLines w:val="0"/>
        <w:pageBreakBefore w:val="0"/>
        <w:widowControl w:val="0"/>
        <w:numPr>
          <w:ilvl w:val="0"/>
          <w:numId w:val="5"/>
        </w:numPr>
        <w:kinsoku/>
        <w:wordWrap/>
        <w:overflowPunct/>
        <w:topLinePunct w:val="0"/>
        <w:autoSpaceDE/>
        <w:autoSpaceDN/>
        <w:bidi w:val="0"/>
        <w:adjustRightInd/>
        <w:snapToGrid/>
        <w:spacing w:line="480" w:lineRule="exact"/>
        <w:ind w:left="0" w:leftChars="0" w:firstLine="567" w:firstLineChars="0"/>
        <w:jc w:val="left"/>
        <w:textAlignment w:val="auto"/>
        <w:outlineLvl w:val="9"/>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《建设项目环境影响评价分类管理名录》</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2021年版</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p>
    <w:p w14:paraId="7F755F38">
      <w:pPr>
        <w:pStyle w:val="70"/>
        <w:keepNext w:val="0"/>
        <w:keepLines w:val="0"/>
        <w:pageBreakBefore w:val="0"/>
        <w:widowControl w:val="0"/>
        <w:numPr>
          <w:ilvl w:val="0"/>
          <w:numId w:val="5"/>
        </w:numPr>
        <w:kinsoku/>
        <w:wordWrap/>
        <w:overflowPunct/>
        <w:topLinePunct w:val="0"/>
        <w:autoSpaceDE/>
        <w:autoSpaceDN/>
        <w:bidi w:val="0"/>
        <w:adjustRightInd/>
        <w:snapToGrid/>
        <w:spacing w:line="480" w:lineRule="exact"/>
        <w:ind w:left="0" w:leftChars="0" w:firstLine="567" w:firstLineChars="0"/>
        <w:textAlignment w:val="auto"/>
        <w:outlineLvl w:val="9"/>
        <w:rPr>
          <w:rFonts w:hint="default" w:ascii="Times New Roman" w:hAnsi="Times New Roman" w:eastAsia="宋体" w:cs="Times New Roman"/>
          <w:snapToGrid/>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《固定污染源排污许可分类管理名录</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2019版</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》(部令第11号)</w:t>
      </w:r>
      <w:r>
        <w:rPr>
          <w:rFonts w:hint="default" w:ascii="Times New Roman" w:hAnsi="Times New Roman" w:eastAsia="宋体" w:cs="Times New Roman"/>
          <w:snapToGrid/>
          <w:color w:val="000000" w:themeColor="text1"/>
          <w:kern w:val="2"/>
          <w:sz w:val="24"/>
          <w:szCs w:val="24"/>
          <w:highlight w:val="none"/>
          <w:lang w:val="en-US" w:eastAsia="zh-CN" w:bidi="ar-SA"/>
          <w14:textFill>
            <w14:solidFill>
              <w14:schemeClr w14:val="tx1"/>
            </w14:solidFill>
          </w14:textFill>
        </w:rPr>
        <w:t>；</w:t>
      </w:r>
    </w:p>
    <w:p w14:paraId="7D2FCA04">
      <w:pPr>
        <w:pStyle w:val="70"/>
        <w:keepNext w:val="0"/>
        <w:keepLines w:val="0"/>
        <w:pageBreakBefore w:val="0"/>
        <w:widowControl w:val="0"/>
        <w:numPr>
          <w:ilvl w:val="0"/>
          <w:numId w:val="5"/>
        </w:numPr>
        <w:kinsoku/>
        <w:wordWrap/>
        <w:overflowPunct/>
        <w:topLinePunct w:val="0"/>
        <w:autoSpaceDE/>
        <w:autoSpaceDN/>
        <w:bidi w:val="0"/>
        <w:adjustRightInd/>
        <w:snapToGrid/>
        <w:spacing w:line="480" w:lineRule="exact"/>
        <w:ind w:left="0" w:leftChars="0" w:firstLine="567" w:firstLineChars="0"/>
        <w:textAlignment w:val="auto"/>
        <w:outlineLvl w:val="9"/>
        <w:rPr>
          <w:rFonts w:hint="default" w:ascii="Times New Roman" w:hAnsi="Times New Roman" w:eastAsia="宋体" w:cs="Times New Roman"/>
          <w:snapToGrid/>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snapToGrid/>
          <w:color w:val="000000" w:themeColor="text1"/>
          <w:kern w:val="2"/>
          <w:sz w:val="24"/>
          <w:szCs w:val="24"/>
          <w:highlight w:val="none"/>
          <w:lang w:val="en-US" w:eastAsia="zh-CN" w:bidi="ar-SA"/>
          <w14:textFill>
            <w14:solidFill>
              <w14:schemeClr w14:val="tx1"/>
            </w14:solidFill>
          </w14:textFill>
        </w:rPr>
        <w:t>《关于印发&lt;“十四五”环境影响评价与排污许可工作实施方案&gt;的通知》（环环评〔2022〕26号）；</w:t>
      </w:r>
    </w:p>
    <w:p w14:paraId="5E2591F6">
      <w:pPr>
        <w:pStyle w:val="70"/>
        <w:keepNext w:val="0"/>
        <w:keepLines w:val="0"/>
        <w:pageBreakBefore w:val="0"/>
        <w:widowControl w:val="0"/>
        <w:numPr>
          <w:ilvl w:val="0"/>
          <w:numId w:val="5"/>
        </w:numPr>
        <w:kinsoku/>
        <w:wordWrap/>
        <w:overflowPunct/>
        <w:topLinePunct w:val="0"/>
        <w:autoSpaceDE/>
        <w:autoSpaceDN/>
        <w:bidi w:val="0"/>
        <w:adjustRightInd/>
        <w:snapToGrid/>
        <w:spacing w:line="480" w:lineRule="exact"/>
        <w:ind w:left="0" w:leftChars="0" w:firstLine="567" w:firstLineChars="0"/>
        <w:textAlignment w:val="auto"/>
        <w:outlineLvl w:val="9"/>
        <w:rPr>
          <w:rFonts w:hint="default" w:ascii="Times New Roman" w:hAnsi="Times New Roman" w:eastAsia="宋体" w:cs="Times New Roman"/>
          <w:snapToGrid/>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snapToGrid/>
          <w:color w:val="000000" w:themeColor="text1"/>
          <w:kern w:val="2"/>
          <w:sz w:val="24"/>
          <w:szCs w:val="24"/>
          <w:highlight w:val="none"/>
          <w:lang w:val="en-US" w:eastAsia="zh-CN" w:bidi="ar-SA"/>
          <w14:textFill>
            <w14:solidFill>
              <w14:schemeClr w14:val="tx1"/>
            </w14:solidFill>
          </w14:textFill>
        </w:rPr>
        <w:t>《关于印发“十四五”土壤、地下水和农村生态环境保护规划的通知》（环土壤〔2021〕120号）；</w:t>
      </w:r>
    </w:p>
    <w:p w14:paraId="747C06E3">
      <w:pPr>
        <w:pStyle w:val="70"/>
        <w:keepNext w:val="0"/>
        <w:keepLines w:val="0"/>
        <w:pageBreakBefore w:val="0"/>
        <w:widowControl w:val="0"/>
        <w:numPr>
          <w:ilvl w:val="0"/>
          <w:numId w:val="5"/>
        </w:numPr>
        <w:kinsoku/>
        <w:wordWrap/>
        <w:overflowPunct/>
        <w:topLinePunct w:val="0"/>
        <w:autoSpaceDE/>
        <w:autoSpaceDN/>
        <w:bidi w:val="0"/>
        <w:adjustRightInd/>
        <w:snapToGrid/>
        <w:spacing w:line="480" w:lineRule="exact"/>
        <w:ind w:left="0" w:leftChars="0" w:firstLine="567" w:firstLineChars="0"/>
        <w:textAlignment w:val="auto"/>
        <w:outlineLvl w:val="9"/>
        <w:rPr>
          <w:rFonts w:hint="default" w:ascii="Times New Roman" w:hAnsi="Times New Roman" w:eastAsia="宋体" w:cs="Times New Roman"/>
          <w:snapToGrid/>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snapToGrid/>
          <w:color w:val="000000" w:themeColor="text1"/>
          <w:kern w:val="2"/>
          <w:sz w:val="24"/>
          <w:szCs w:val="24"/>
          <w:highlight w:val="none"/>
          <w:lang w:val="en-US" w:eastAsia="zh-CN" w:bidi="ar-SA"/>
          <w14:textFill>
            <w14:solidFill>
              <w14:schemeClr w14:val="tx1"/>
            </w14:solidFill>
          </w14:textFill>
        </w:rPr>
        <w:t>《“十四五”噪声污染防治行动计划》（环大气〔2023〕1号）；</w:t>
      </w:r>
    </w:p>
    <w:p w14:paraId="470E7837">
      <w:pPr>
        <w:pStyle w:val="70"/>
        <w:keepNext w:val="0"/>
        <w:keepLines w:val="0"/>
        <w:pageBreakBefore w:val="0"/>
        <w:widowControl w:val="0"/>
        <w:numPr>
          <w:ilvl w:val="0"/>
          <w:numId w:val="5"/>
        </w:numPr>
        <w:kinsoku/>
        <w:wordWrap/>
        <w:overflowPunct/>
        <w:topLinePunct w:val="0"/>
        <w:autoSpaceDE/>
        <w:autoSpaceDN/>
        <w:bidi w:val="0"/>
        <w:adjustRightInd/>
        <w:snapToGrid/>
        <w:spacing w:line="480" w:lineRule="exact"/>
        <w:ind w:left="0" w:leftChars="0" w:firstLine="567" w:firstLineChars="0"/>
        <w:textAlignment w:val="auto"/>
        <w:outlineLvl w:val="9"/>
        <w:rPr>
          <w:rFonts w:hint="default" w:ascii="Times New Roman" w:hAnsi="Times New Roman" w:eastAsia="宋体" w:cs="Times New Roman"/>
          <w:snapToGrid/>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snapToGrid/>
          <w:color w:val="000000" w:themeColor="text1"/>
          <w:kern w:val="2"/>
          <w:sz w:val="24"/>
          <w:szCs w:val="24"/>
          <w:highlight w:val="none"/>
          <w:lang w:val="en-US" w:eastAsia="zh-CN" w:bidi="ar-SA"/>
          <w14:textFill>
            <w14:solidFill>
              <w14:schemeClr w14:val="tx1"/>
            </w14:solidFill>
          </w14:textFill>
        </w:rPr>
        <w:t>《“十四五”生态保护监管规划》（生态环境部办公厅2022年3月18日印发）；</w:t>
      </w:r>
    </w:p>
    <w:p w14:paraId="6A360FF6">
      <w:pPr>
        <w:pStyle w:val="70"/>
        <w:keepNext w:val="0"/>
        <w:keepLines w:val="0"/>
        <w:pageBreakBefore w:val="0"/>
        <w:widowControl w:val="0"/>
        <w:numPr>
          <w:ilvl w:val="0"/>
          <w:numId w:val="5"/>
        </w:numPr>
        <w:kinsoku/>
        <w:wordWrap/>
        <w:overflowPunct/>
        <w:topLinePunct w:val="0"/>
        <w:autoSpaceDE/>
        <w:autoSpaceDN/>
        <w:bidi w:val="0"/>
        <w:adjustRightInd/>
        <w:snapToGrid/>
        <w:spacing w:line="480" w:lineRule="exact"/>
        <w:ind w:left="0" w:leftChars="0" w:firstLine="567" w:firstLineChars="0"/>
        <w:textAlignment w:val="auto"/>
        <w:outlineLvl w:val="9"/>
        <w:rPr>
          <w:rFonts w:hint="default" w:ascii="Times New Roman" w:hAnsi="Times New Roman" w:eastAsia="宋体" w:cs="Times New Roman"/>
          <w:snapToGrid/>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snapToGrid/>
          <w:color w:val="000000" w:themeColor="text1"/>
          <w:kern w:val="2"/>
          <w:sz w:val="24"/>
          <w:szCs w:val="24"/>
          <w:highlight w:val="none"/>
          <w:lang w:val="en-US" w:eastAsia="zh-CN" w:bidi="ar-SA"/>
          <w14:textFill>
            <w14:solidFill>
              <w14:schemeClr w14:val="tx1"/>
            </w14:solidFill>
          </w14:textFill>
        </w:rPr>
        <w:t>《危险废物转移管理办法》（2022年7月1日起施行）；</w:t>
      </w:r>
    </w:p>
    <w:p w14:paraId="7C403D4A">
      <w:pPr>
        <w:keepNext w:val="0"/>
        <w:keepLines w:val="0"/>
        <w:pageBreakBefore w:val="0"/>
        <w:widowControl w:val="0"/>
        <w:numPr>
          <w:ilvl w:val="0"/>
          <w:numId w:val="5"/>
        </w:numPr>
        <w:kinsoku/>
        <w:wordWrap/>
        <w:overflowPunct/>
        <w:topLinePunct w:val="0"/>
        <w:autoSpaceDE/>
        <w:autoSpaceDN/>
        <w:bidi w:val="0"/>
        <w:adjustRightInd/>
        <w:snapToGrid/>
        <w:spacing w:line="480" w:lineRule="exact"/>
        <w:ind w:left="0" w:leftChars="0" w:firstLine="567" w:firstLineChars="0"/>
        <w:jc w:val="left"/>
        <w:textAlignment w:val="auto"/>
        <w:outlineLvl w:val="9"/>
        <w:rPr>
          <w:rFonts w:hint="default" w:ascii="Times New Roman" w:hAnsi="Times New Roman" w:eastAsia="宋体" w:cs="Times New Roman"/>
          <w:snapToGrid/>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《关于深入打好污染防治攻坚战的意见》（中共中央国务院，</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2021年11月2日</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snapToGrid/>
          <w:color w:val="000000" w:themeColor="text1"/>
          <w:kern w:val="2"/>
          <w:sz w:val="24"/>
          <w:szCs w:val="24"/>
          <w:highlight w:val="none"/>
          <w:lang w:val="en-US" w:eastAsia="zh-CN" w:bidi="ar-SA"/>
          <w14:textFill>
            <w14:solidFill>
              <w14:schemeClr w14:val="tx1"/>
            </w14:solidFill>
          </w14:textFill>
        </w:rPr>
        <w:t>。</w:t>
      </w:r>
    </w:p>
    <w:p w14:paraId="25F0FD28">
      <w:pPr>
        <w:keepNext w:val="0"/>
        <w:keepLines w:val="0"/>
        <w:pageBreakBefore w:val="0"/>
        <w:widowControl w:val="0"/>
        <w:numPr>
          <w:ilvl w:val="0"/>
          <w:numId w:val="5"/>
        </w:numPr>
        <w:kinsoku/>
        <w:wordWrap/>
        <w:overflowPunct/>
        <w:topLinePunct w:val="0"/>
        <w:autoSpaceDE/>
        <w:autoSpaceDN/>
        <w:bidi w:val="0"/>
        <w:adjustRightInd/>
        <w:snapToGrid w:val="0"/>
        <w:spacing w:line="480" w:lineRule="exact"/>
        <w:ind w:left="0" w:leftChars="0" w:firstLine="567" w:firstLineChars="0"/>
        <w:textAlignment w:val="auto"/>
        <w:rPr>
          <w:rFonts w:hint="default" w:ascii="Times New Roman" w:hAnsi="Times New Roman" w:eastAsia="宋体" w:cs="Times New Roman"/>
          <w:caps w:val="0"/>
          <w:smallCaps w:val="0"/>
          <w:color w:val="auto"/>
          <w:sz w:val="24"/>
          <w:highlight w:val="none"/>
          <w:lang w:eastAsia="zh-CN"/>
        </w:rPr>
      </w:pPr>
      <w:r>
        <w:rPr>
          <w:rFonts w:hint="default" w:ascii="Times New Roman" w:hAnsi="Times New Roman" w:eastAsia="宋体" w:cs="Times New Roman"/>
          <w:caps w:val="0"/>
          <w:smallCaps w:val="0"/>
          <w:color w:val="auto"/>
          <w:sz w:val="24"/>
          <w:highlight w:val="none"/>
          <w:lang w:eastAsia="zh-CN"/>
        </w:rPr>
        <w:t>《“十</w:t>
      </w:r>
      <w:r>
        <w:rPr>
          <w:rFonts w:hint="eastAsia" w:cs="Times New Roman"/>
          <w:caps w:val="0"/>
          <w:smallCaps w:val="0"/>
          <w:color w:val="auto"/>
          <w:sz w:val="24"/>
          <w:highlight w:val="none"/>
          <w:lang w:val="en-US" w:eastAsia="zh-CN"/>
        </w:rPr>
        <w:t>四</w:t>
      </w:r>
      <w:r>
        <w:rPr>
          <w:rFonts w:hint="default" w:ascii="Times New Roman" w:hAnsi="Times New Roman" w:eastAsia="宋体" w:cs="Times New Roman"/>
          <w:caps w:val="0"/>
          <w:smallCaps w:val="0"/>
          <w:color w:val="auto"/>
          <w:sz w:val="24"/>
          <w:highlight w:val="none"/>
          <w:lang w:eastAsia="zh-CN"/>
        </w:rPr>
        <w:t>五”城镇污水处理及</w:t>
      </w:r>
      <w:r>
        <w:rPr>
          <w:rFonts w:hint="eastAsia" w:cs="Times New Roman"/>
          <w:caps w:val="0"/>
          <w:smallCaps w:val="0"/>
          <w:color w:val="auto"/>
          <w:sz w:val="24"/>
          <w:highlight w:val="none"/>
          <w:lang w:val="en-US" w:eastAsia="zh-CN"/>
        </w:rPr>
        <w:t>资源化</w:t>
      </w:r>
      <w:r>
        <w:rPr>
          <w:rFonts w:hint="default" w:ascii="Times New Roman" w:hAnsi="Times New Roman" w:eastAsia="宋体" w:cs="Times New Roman"/>
          <w:caps w:val="0"/>
          <w:smallCaps w:val="0"/>
          <w:color w:val="auto"/>
          <w:sz w:val="24"/>
          <w:highlight w:val="none"/>
          <w:lang w:eastAsia="zh-CN"/>
        </w:rPr>
        <w:t>利用</w:t>
      </w:r>
      <w:r>
        <w:rPr>
          <w:rFonts w:hint="eastAsia" w:cs="Times New Roman"/>
          <w:caps w:val="0"/>
          <w:smallCaps w:val="0"/>
          <w:color w:val="auto"/>
          <w:sz w:val="24"/>
          <w:highlight w:val="none"/>
          <w:lang w:val="en-US" w:eastAsia="zh-CN"/>
        </w:rPr>
        <w:t>发展</w:t>
      </w:r>
      <w:r>
        <w:rPr>
          <w:rFonts w:hint="default" w:ascii="Times New Roman" w:hAnsi="Times New Roman" w:eastAsia="宋体" w:cs="Times New Roman"/>
          <w:caps w:val="0"/>
          <w:smallCaps w:val="0"/>
          <w:color w:val="auto"/>
          <w:sz w:val="24"/>
          <w:highlight w:val="none"/>
          <w:lang w:eastAsia="zh-CN"/>
        </w:rPr>
        <w:t>规划》（发改环资[20</w:t>
      </w:r>
      <w:r>
        <w:rPr>
          <w:rFonts w:hint="eastAsia" w:cs="Times New Roman"/>
          <w:caps w:val="0"/>
          <w:smallCaps w:val="0"/>
          <w:color w:val="auto"/>
          <w:sz w:val="24"/>
          <w:highlight w:val="none"/>
          <w:lang w:val="en-US" w:eastAsia="zh-CN"/>
        </w:rPr>
        <w:t>21</w:t>
      </w:r>
      <w:r>
        <w:rPr>
          <w:rFonts w:hint="default" w:ascii="Times New Roman" w:hAnsi="Times New Roman" w:eastAsia="宋体" w:cs="Times New Roman"/>
          <w:caps w:val="0"/>
          <w:smallCaps w:val="0"/>
          <w:color w:val="auto"/>
          <w:sz w:val="24"/>
          <w:highlight w:val="none"/>
          <w:lang w:eastAsia="zh-CN"/>
        </w:rPr>
        <w:t>]</w:t>
      </w:r>
      <w:r>
        <w:rPr>
          <w:rFonts w:hint="eastAsia" w:cs="Times New Roman"/>
          <w:caps w:val="0"/>
          <w:smallCaps w:val="0"/>
          <w:color w:val="auto"/>
          <w:sz w:val="24"/>
          <w:highlight w:val="none"/>
          <w:lang w:val="en-US" w:eastAsia="zh-CN"/>
        </w:rPr>
        <w:t>827</w:t>
      </w:r>
      <w:r>
        <w:rPr>
          <w:rFonts w:hint="default" w:ascii="Times New Roman" w:hAnsi="Times New Roman" w:eastAsia="宋体" w:cs="Times New Roman"/>
          <w:caps w:val="0"/>
          <w:smallCaps w:val="0"/>
          <w:color w:val="auto"/>
          <w:sz w:val="24"/>
          <w:highlight w:val="none"/>
          <w:lang w:eastAsia="zh-CN"/>
        </w:rPr>
        <w:t>号）</w:t>
      </w:r>
      <w:r>
        <w:rPr>
          <w:rFonts w:hint="eastAsia" w:cs="Times New Roman"/>
          <w:caps w:val="0"/>
          <w:smallCaps w:val="0"/>
          <w:color w:val="auto"/>
          <w:sz w:val="24"/>
          <w:highlight w:val="none"/>
          <w:lang w:eastAsia="zh-CN"/>
        </w:rPr>
        <w:t>；</w:t>
      </w:r>
    </w:p>
    <w:p w14:paraId="043FC780">
      <w:pPr>
        <w:keepNext w:val="0"/>
        <w:keepLines w:val="0"/>
        <w:pageBreakBefore w:val="0"/>
        <w:widowControl w:val="0"/>
        <w:numPr>
          <w:ilvl w:val="0"/>
          <w:numId w:val="5"/>
        </w:numPr>
        <w:kinsoku/>
        <w:wordWrap/>
        <w:overflowPunct/>
        <w:topLinePunct w:val="0"/>
        <w:autoSpaceDE/>
        <w:autoSpaceDN/>
        <w:bidi w:val="0"/>
        <w:adjustRightInd/>
        <w:snapToGrid w:val="0"/>
        <w:spacing w:line="480" w:lineRule="exact"/>
        <w:ind w:left="0" w:leftChars="0" w:firstLine="567" w:firstLineChars="0"/>
        <w:textAlignment w:val="auto"/>
        <w:rPr>
          <w:rFonts w:hint="default" w:ascii="Times New Roman" w:hAnsi="Times New Roman" w:eastAsia="宋体" w:cs="Times New Roman"/>
          <w:caps w:val="0"/>
          <w:smallCaps w:val="0"/>
          <w:color w:val="auto"/>
          <w:sz w:val="24"/>
          <w:highlight w:val="none"/>
          <w:lang w:eastAsia="zh-CN"/>
        </w:rPr>
      </w:pPr>
      <w:r>
        <w:rPr>
          <w:rFonts w:hint="default" w:ascii="Times New Roman" w:hAnsi="Times New Roman" w:eastAsia="宋体" w:cs="Times New Roman"/>
          <w:caps w:val="0"/>
          <w:smallCaps w:val="0"/>
          <w:color w:val="auto"/>
          <w:sz w:val="24"/>
          <w:highlight w:val="none"/>
          <w:lang w:eastAsia="zh-CN"/>
        </w:rPr>
        <w:t>《关于以改善空气质量为核心加强环境影响评价管理的通知》（环环评【2016】150号）；</w:t>
      </w:r>
    </w:p>
    <w:p w14:paraId="4C514D98">
      <w:pPr>
        <w:keepNext w:val="0"/>
        <w:keepLines w:val="0"/>
        <w:pageBreakBefore w:val="0"/>
        <w:widowControl w:val="0"/>
        <w:numPr>
          <w:ilvl w:val="0"/>
          <w:numId w:val="5"/>
        </w:numPr>
        <w:kinsoku/>
        <w:wordWrap/>
        <w:overflowPunct/>
        <w:topLinePunct w:val="0"/>
        <w:autoSpaceDE/>
        <w:autoSpaceDN/>
        <w:bidi w:val="0"/>
        <w:adjustRightInd/>
        <w:snapToGrid w:val="0"/>
        <w:spacing w:line="480" w:lineRule="exact"/>
        <w:ind w:left="0" w:leftChars="0" w:firstLine="567" w:firstLineChars="0"/>
        <w:textAlignment w:val="auto"/>
        <w:rPr>
          <w:rFonts w:hint="default" w:ascii="Times New Roman" w:hAnsi="Times New Roman" w:eastAsia="宋体" w:cs="Times New Roman"/>
          <w:caps w:val="0"/>
          <w:smallCaps w:val="0"/>
          <w:color w:val="auto"/>
          <w:sz w:val="24"/>
          <w:highlight w:val="none"/>
          <w:lang w:eastAsia="zh-CN"/>
        </w:rPr>
      </w:pPr>
      <w:r>
        <w:rPr>
          <w:rFonts w:hint="default" w:ascii="Times New Roman" w:hAnsi="Times New Roman" w:eastAsia="宋体" w:cs="Times New Roman"/>
          <w:caps w:val="0"/>
          <w:smallCaps w:val="0"/>
          <w:color w:val="auto"/>
          <w:sz w:val="24"/>
          <w:highlight w:val="none"/>
          <w:lang w:eastAsia="zh-CN"/>
        </w:rPr>
        <w:t>《关于加强城镇污水处理设施污泥处理处置减排核查核算工作的通知》（环办总量函[2016]391号）；</w:t>
      </w:r>
    </w:p>
    <w:p w14:paraId="69D398E1">
      <w:pPr>
        <w:keepNext w:val="0"/>
        <w:keepLines w:val="0"/>
        <w:pageBreakBefore w:val="0"/>
        <w:widowControl w:val="0"/>
        <w:numPr>
          <w:ilvl w:val="0"/>
          <w:numId w:val="5"/>
        </w:numPr>
        <w:kinsoku/>
        <w:wordWrap/>
        <w:overflowPunct/>
        <w:topLinePunct w:val="0"/>
        <w:autoSpaceDE/>
        <w:autoSpaceDN/>
        <w:bidi w:val="0"/>
        <w:adjustRightInd/>
        <w:snapToGrid w:val="0"/>
        <w:spacing w:line="480" w:lineRule="exact"/>
        <w:ind w:left="0" w:leftChars="0" w:firstLine="567" w:firstLineChars="0"/>
        <w:textAlignment w:val="auto"/>
        <w:rPr>
          <w:rFonts w:hint="default" w:ascii="Times New Roman" w:hAnsi="Times New Roman" w:eastAsia="宋体" w:cs="Times New Roman"/>
          <w:caps w:val="0"/>
          <w:smallCaps w:val="0"/>
          <w:color w:val="auto"/>
          <w:sz w:val="24"/>
          <w:highlight w:val="none"/>
          <w:lang w:val="en-US" w:eastAsia="zh-CN"/>
        </w:rPr>
      </w:pPr>
      <w:r>
        <w:rPr>
          <w:rFonts w:hint="default" w:ascii="Times New Roman" w:hAnsi="Times New Roman" w:eastAsia="宋体" w:cs="Times New Roman"/>
          <w:caps w:val="0"/>
          <w:smallCaps w:val="0"/>
          <w:color w:val="auto"/>
          <w:sz w:val="24"/>
          <w:highlight w:val="none"/>
          <w:lang w:eastAsia="zh-CN"/>
        </w:rPr>
        <w:t>关于印发《城镇污水处理厂环境守法导则》的通知；（环办</w:t>
      </w:r>
      <w:r>
        <w:rPr>
          <w:rFonts w:hint="default" w:ascii="Times New Roman" w:hAnsi="Times New Roman" w:eastAsia="宋体" w:cs="Times New Roman"/>
          <w:caps w:val="0"/>
          <w:smallCaps w:val="0"/>
          <w:color w:val="auto"/>
          <w:sz w:val="24"/>
          <w:highlight w:val="none"/>
          <w:lang w:val="en-US" w:eastAsia="zh-CN"/>
        </w:rPr>
        <w:t>[2014]858号）。</w:t>
      </w:r>
    </w:p>
    <w:p w14:paraId="2567DC88">
      <w:pPr>
        <w:keepNext w:val="0"/>
        <w:keepLines w:val="0"/>
        <w:pageBreakBefore w:val="0"/>
        <w:widowControl w:val="0"/>
        <w:numPr>
          <w:ilvl w:val="0"/>
          <w:numId w:val="5"/>
        </w:numPr>
        <w:kinsoku/>
        <w:wordWrap/>
        <w:overflowPunct/>
        <w:topLinePunct w:val="0"/>
        <w:autoSpaceDE/>
        <w:autoSpaceDN/>
        <w:bidi w:val="0"/>
        <w:adjustRightInd/>
        <w:snapToGrid w:val="0"/>
        <w:spacing w:line="480" w:lineRule="exact"/>
        <w:ind w:left="0" w:leftChars="0" w:firstLine="567" w:firstLineChars="0"/>
        <w:textAlignment w:val="auto"/>
        <w:rPr>
          <w:rFonts w:hint="default" w:ascii="Times New Roman" w:hAnsi="Times New Roman" w:eastAsia="宋体" w:cs="Times New Roman"/>
          <w:caps w:val="0"/>
          <w:smallCaps w:val="0"/>
          <w:color w:val="auto"/>
          <w:sz w:val="24"/>
          <w:highlight w:val="none"/>
          <w:lang w:eastAsia="zh-CN"/>
        </w:rPr>
      </w:pPr>
      <w:r>
        <w:rPr>
          <w:rFonts w:hint="default" w:ascii="Times New Roman" w:hAnsi="Times New Roman" w:eastAsia="宋体" w:cs="Times New Roman"/>
          <w:caps w:val="0"/>
          <w:smallCaps w:val="0"/>
          <w:color w:val="auto"/>
          <w:sz w:val="24"/>
          <w:highlight w:val="none"/>
          <w:lang w:eastAsia="zh-CN"/>
        </w:rPr>
        <w:t>《关于印发城市污水处理及污染防治技术政策的通知》，建设部、国家环保总局、科技部建城[2000]124号文；</w:t>
      </w:r>
    </w:p>
    <w:p w14:paraId="0E56E067">
      <w:pPr>
        <w:keepNext w:val="0"/>
        <w:keepLines w:val="0"/>
        <w:pageBreakBefore w:val="0"/>
        <w:widowControl w:val="0"/>
        <w:numPr>
          <w:ilvl w:val="0"/>
          <w:numId w:val="5"/>
        </w:numPr>
        <w:kinsoku/>
        <w:wordWrap/>
        <w:overflowPunct/>
        <w:topLinePunct w:val="0"/>
        <w:autoSpaceDE/>
        <w:autoSpaceDN/>
        <w:bidi w:val="0"/>
        <w:adjustRightInd/>
        <w:snapToGrid w:val="0"/>
        <w:spacing w:line="480" w:lineRule="exact"/>
        <w:ind w:left="0" w:leftChars="0" w:firstLine="567" w:firstLineChars="0"/>
        <w:textAlignment w:val="auto"/>
        <w:rPr>
          <w:rFonts w:hint="default" w:ascii="Times New Roman" w:hAnsi="Times New Roman" w:eastAsia="宋体" w:cs="Times New Roman"/>
          <w:caps w:val="0"/>
          <w:smallCaps w:val="0"/>
          <w:color w:val="auto"/>
          <w:sz w:val="24"/>
          <w:highlight w:val="none"/>
          <w:lang w:eastAsia="zh-CN"/>
        </w:rPr>
      </w:pPr>
      <w:r>
        <w:rPr>
          <w:rFonts w:hint="default" w:ascii="Times New Roman" w:hAnsi="Times New Roman" w:eastAsia="宋体" w:cs="Times New Roman"/>
          <w:caps w:val="0"/>
          <w:smallCaps w:val="0"/>
          <w:color w:val="auto"/>
          <w:sz w:val="24"/>
          <w:highlight w:val="none"/>
          <w:lang w:eastAsia="zh-CN"/>
        </w:rPr>
        <w:t>《城镇污水处理厂污泥处理处置及污染防治技术政策（试行）》，建城[2009]23号，2009年2月18日起实施；</w:t>
      </w:r>
    </w:p>
    <w:p w14:paraId="72C67A4C">
      <w:pPr>
        <w:keepNext w:val="0"/>
        <w:keepLines w:val="0"/>
        <w:pageBreakBefore w:val="0"/>
        <w:widowControl w:val="0"/>
        <w:numPr>
          <w:ilvl w:val="0"/>
          <w:numId w:val="5"/>
        </w:numPr>
        <w:kinsoku/>
        <w:wordWrap/>
        <w:overflowPunct/>
        <w:topLinePunct w:val="0"/>
        <w:autoSpaceDE/>
        <w:autoSpaceDN/>
        <w:bidi w:val="0"/>
        <w:adjustRightInd/>
        <w:snapToGrid w:val="0"/>
        <w:spacing w:line="480" w:lineRule="exact"/>
        <w:ind w:left="0" w:leftChars="0" w:firstLine="567" w:firstLineChars="0"/>
        <w:textAlignment w:val="auto"/>
        <w:rPr>
          <w:rFonts w:hint="default" w:ascii="Times New Roman" w:hAnsi="Times New Roman" w:eastAsia="宋体" w:cs="Times New Roman"/>
          <w:caps w:val="0"/>
          <w:smallCaps w:val="0"/>
          <w:color w:val="auto"/>
          <w:sz w:val="24"/>
          <w:highlight w:val="none"/>
          <w:lang w:eastAsia="zh-CN"/>
        </w:rPr>
      </w:pPr>
      <w:r>
        <w:rPr>
          <w:rFonts w:hint="default" w:ascii="Times New Roman" w:hAnsi="Times New Roman" w:eastAsia="宋体" w:cs="Times New Roman"/>
          <w:caps w:val="0"/>
          <w:smallCaps w:val="0"/>
          <w:color w:val="auto"/>
          <w:sz w:val="24"/>
          <w:highlight w:val="none"/>
          <w:lang w:eastAsia="zh-CN"/>
        </w:rPr>
        <w:t>《关于加强城镇污水处理厂污泥污染防治工作的通知》，环办[2010]157号，2010年11月26日；</w:t>
      </w:r>
    </w:p>
    <w:p w14:paraId="2E74B4E9">
      <w:pPr>
        <w:keepNext w:val="0"/>
        <w:keepLines w:val="0"/>
        <w:pageBreakBefore w:val="0"/>
        <w:widowControl w:val="0"/>
        <w:numPr>
          <w:ilvl w:val="0"/>
          <w:numId w:val="5"/>
        </w:numPr>
        <w:kinsoku/>
        <w:wordWrap/>
        <w:overflowPunct/>
        <w:topLinePunct w:val="0"/>
        <w:autoSpaceDE/>
        <w:autoSpaceDN/>
        <w:bidi w:val="0"/>
        <w:adjustRightInd/>
        <w:snapToGrid w:val="0"/>
        <w:spacing w:line="480" w:lineRule="exact"/>
        <w:ind w:left="0" w:leftChars="0" w:firstLine="567" w:firstLineChars="0"/>
        <w:textAlignment w:val="auto"/>
        <w:rPr>
          <w:rFonts w:hint="default" w:ascii="Times New Roman" w:hAnsi="Times New Roman" w:eastAsia="宋体" w:cs="Times New Roman"/>
          <w:caps w:val="0"/>
          <w:smallCaps w:val="0"/>
          <w:color w:val="auto"/>
          <w:sz w:val="24"/>
          <w:highlight w:val="none"/>
          <w:lang w:eastAsia="zh-CN"/>
        </w:rPr>
      </w:pPr>
      <w:r>
        <w:rPr>
          <w:rFonts w:hint="default" w:ascii="Times New Roman" w:hAnsi="Times New Roman" w:eastAsia="宋体" w:cs="Times New Roman"/>
          <w:caps w:val="0"/>
          <w:smallCaps w:val="0"/>
          <w:color w:val="auto"/>
          <w:sz w:val="24"/>
          <w:highlight w:val="none"/>
          <w:lang w:eastAsia="zh-CN"/>
        </w:rPr>
        <w:t>《关于污（废）水处理设施产生污泥危险特性鉴别有关意见的函》(环函[2010]129号)，2010年4月16日；</w:t>
      </w:r>
    </w:p>
    <w:p w14:paraId="7136951D">
      <w:pPr>
        <w:keepNext w:val="0"/>
        <w:keepLines w:val="0"/>
        <w:pageBreakBefore w:val="0"/>
        <w:widowControl w:val="0"/>
        <w:numPr>
          <w:ilvl w:val="0"/>
          <w:numId w:val="5"/>
        </w:numPr>
        <w:kinsoku/>
        <w:wordWrap/>
        <w:overflowPunct/>
        <w:topLinePunct w:val="0"/>
        <w:autoSpaceDE/>
        <w:autoSpaceDN/>
        <w:bidi w:val="0"/>
        <w:adjustRightInd/>
        <w:snapToGrid w:val="0"/>
        <w:spacing w:line="480" w:lineRule="exact"/>
        <w:ind w:left="0" w:leftChars="0" w:firstLine="567" w:firstLineChars="0"/>
        <w:textAlignment w:val="auto"/>
        <w:rPr>
          <w:rFonts w:hint="default" w:ascii="Times New Roman" w:hAnsi="Times New Roman" w:eastAsia="宋体" w:cs="Times New Roman"/>
          <w:caps w:val="0"/>
          <w:smallCaps w:val="0"/>
          <w:color w:val="auto"/>
          <w:sz w:val="24"/>
          <w:highlight w:val="none"/>
          <w:lang w:eastAsia="zh-CN"/>
        </w:rPr>
      </w:pPr>
      <w:r>
        <w:rPr>
          <w:rFonts w:hint="default" w:ascii="Times New Roman" w:hAnsi="Times New Roman" w:eastAsia="宋体" w:cs="Times New Roman"/>
          <w:caps w:val="0"/>
          <w:smallCaps w:val="0"/>
          <w:color w:val="auto"/>
          <w:sz w:val="24"/>
          <w:highlight w:val="none"/>
          <w:lang w:eastAsia="zh-CN"/>
        </w:rPr>
        <w:t>《关于加强规划环境影响评价与建设项目环境影响评价联动工作的意见》（环发【2015】179号）；</w:t>
      </w:r>
    </w:p>
    <w:p w14:paraId="50CEFAA1">
      <w:pPr>
        <w:keepNext w:val="0"/>
        <w:keepLines w:val="0"/>
        <w:pageBreakBefore w:val="0"/>
        <w:widowControl w:val="0"/>
        <w:numPr>
          <w:ilvl w:val="0"/>
          <w:numId w:val="5"/>
        </w:numPr>
        <w:kinsoku/>
        <w:wordWrap/>
        <w:overflowPunct/>
        <w:topLinePunct w:val="0"/>
        <w:autoSpaceDE/>
        <w:autoSpaceDN/>
        <w:bidi w:val="0"/>
        <w:adjustRightInd/>
        <w:snapToGrid w:val="0"/>
        <w:spacing w:line="480" w:lineRule="exact"/>
        <w:ind w:left="0" w:leftChars="0" w:firstLine="567" w:firstLineChars="0"/>
        <w:textAlignment w:val="auto"/>
        <w:rPr>
          <w:rFonts w:hint="default" w:ascii="Times New Roman" w:hAnsi="Times New Roman" w:eastAsia="宋体" w:cs="Times New Roman"/>
          <w:caps w:val="0"/>
          <w:smallCaps w:val="0"/>
          <w:color w:val="auto"/>
          <w:sz w:val="24"/>
          <w:highlight w:val="none"/>
          <w:lang w:eastAsia="zh-CN"/>
        </w:rPr>
      </w:pPr>
      <w:r>
        <w:rPr>
          <w:rFonts w:hint="eastAsia" w:cs="Times New Roman"/>
          <w:caps w:val="0"/>
          <w:smallCaps w:val="0"/>
          <w:color w:val="auto"/>
          <w:sz w:val="24"/>
          <w:highlight w:val="none"/>
          <w:lang w:val="en-US" w:eastAsia="zh-CN"/>
        </w:rPr>
        <w:t>《地下水保护利用管理办法》（水资管</w:t>
      </w:r>
      <w:r>
        <w:rPr>
          <w:rFonts w:hint="eastAsia" w:ascii="仿宋" w:hAnsi="仿宋" w:eastAsia="仿宋" w:cs="仿宋"/>
          <w:caps w:val="0"/>
          <w:smallCaps w:val="0"/>
          <w:color w:val="auto"/>
          <w:sz w:val="24"/>
          <w:highlight w:val="none"/>
          <w:lang w:val="en-US" w:eastAsia="zh-CN"/>
        </w:rPr>
        <w:t>[</w:t>
      </w:r>
      <w:r>
        <w:rPr>
          <w:rFonts w:hint="eastAsia" w:cs="Times New Roman"/>
          <w:caps w:val="0"/>
          <w:smallCaps w:val="0"/>
          <w:color w:val="auto"/>
          <w:sz w:val="24"/>
          <w:highlight w:val="none"/>
          <w:lang w:val="en-US" w:eastAsia="zh-CN"/>
        </w:rPr>
        <w:t>2023</w:t>
      </w:r>
      <w:r>
        <w:rPr>
          <w:rFonts w:hint="eastAsia" w:ascii="仿宋" w:hAnsi="仿宋" w:eastAsia="仿宋" w:cs="仿宋"/>
          <w:caps w:val="0"/>
          <w:smallCaps w:val="0"/>
          <w:color w:val="auto"/>
          <w:sz w:val="24"/>
          <w:highlight w:val="none"/>
          <w:lang w:val="en-US" w:eastAsia="zh-CN"/>
        </w:rPr>
        <w:t>]</w:t>
      </w:r>
      <w:r>
        <w:rPr>
          <w:rFonts w:hint="eastAsia" w:cs="Times New Roman"/>
          <w:caps w:val="0"/>
          <w:smallCaps w:val="0"/>
          <w:color w:val="auto"/>
          <w:sz w:val="24"/>
          <w:highlight w:val="none"/>
          <w:lang w:val="en-US" w:eastAsia="zh-CN"/>
        </w:rPr>
        <w:t>214号）。</w:t>
      </w:r>
    </w:p>
    <w:p w14:paraId="641648C2">
      <w:pPr>
        <w:pStyle w:val="6"/>
        <w:bidi w:val="0"/>
        <w:rPr>
          <w:rFonts w:hint="default"/>
        </w:rPr>
      </w:pPr>
      <w:r>
        <w:rPr>
          <w:rFonts w:hint="default"/>
        </w:rPr>
        <w:t>2.1.</w:t>
      </w:r>
      <w:r>
        <w:rPr>
          <w:rFonts w:hint="default"/>
          <w:lang w:val="en-US" w:eastAsia="zh-CN"/>
        </w:rPr>
        <w:t>3</w:t>
      </w:r>
      <w:r>
        <w:rPr>
          <w:rFonts w:hint="default"/>
          <w:lang w:eastAsia="zh-CN"/>
        </w:rPr>
        <w:t>河北省</w:t>
      </w:r>
      <w:r>
        <w:rPr>
          <w:rFonts w:hint="default"/>
        </w:rPr>
        <w:t>环境保护法规、规章</w:t>
      </w:r>
    </w:p>
    <w:p w14:paraId="0208B5A9">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rPr>
      </w:pPr>
      <w:r>
        <w:rPr>
          <w:rFonts w:hint="default"/>
        </w:rPr>
        <w:t>中共河北省委河北省人民政府关于印发《河北省大气污染防治行动计划实施方案》的通知，2013.9.6；</w:t>
      </w:r>
    </w:p>
    <w:p w14:paraId="536DC942">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rPr>
      </w:pPr>
      <w:r>
        <w:rPr>
          <w:rFonts w:hint="default"/>
        </w:rPr>
        <w:t>中共河北省委河北省人民政府关于印发《河北省水污染防治工作方案》的通知，2015年12月31日；</w:t>
      </w:r>
    </w:p>
    <w:p w14:paraId="1428D3AA">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rPr>
      </w:pPr>
      <w:r>
        <w:rPr>
          <w:rFonts w:hint="default"/>
        </w:rPr>
        <w:t>河北省省委省政府《关于强力推进大气污染综合治理的意见》2017年4月；</w:t>
      </w:r>
    </w:p>
    <w:p w14:paraId="0C014613">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rPr>
      </w:pPr>
      <w:r>
        <w:rPr>
          <w:rFonts w:hint="default"/>
        </w:rPr>
        <w:t>《河北省环境保护厅关于进一步加强建设项目环保管理的通知》冀环评[2013]232号文；</w:t>
      </w:r>
    </w:p>
    <w:p w14:paraId="7B451E6C">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《关于调整公布&lt;河北省水功能区划&gt;的通知》（冀水资[2017]127号）；</w:t>
      </w:r>
    </w:p>
    <w:p w14:paraId="504C27EF">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lang w:val="en-US" w:eastAsia="zh-CN"/>
        </w:rPr>
      </w:pPr>
      <w:r>
        <w:rPr>
          <w:rFonts w:hint="default"/>
        </w:rPr>
        <w:t>《河北省扬尘污染防治办法》（河北省人民政府令〔2020〕第1号）</w:t>
      </w:r>
      <w:r>
        <w:rPr>
          <w:rFonts w:hint="default"/>
          <w:lang w:val="en-US" w:eastAsia="zh-CN"/>
        </w:rPr>
        <w:t>；</w:t>
      </w:r>
    </w:p>
    <w:p w14:paraId="7BF29650">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lang w:eastAsia="zh-CN"/>
        </w:rPr>
      </w:pPr>
      <w:r>
        <w:rPr>
          <w:rFonts w:hint="default"/>
          <w:lang w:val="en-US" w:eastAsia="zh-CN"/>
        </w:rPr>
        <w:t>《河北省生态环境保护条例》（2020年3月27日河北省第十三届人民代表大会常务委员会第十六次会议通过）；</w:t>
      </w:r>
    </w:p>
    <w:p w14:paraId="1093D25A">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rPr>
      </w:pPr>
      <w:r>
        <w:rPr>
          <w:rFonts w:hint="default"/>
          <w:lang w:eastAsia="zh-CN"/>
        </w:rPr>
        <w:t>《河北省大气污染防治条例》（</w:t>
      </w:r>
      <w:r>
        <w:rPr>
          <w:rFonts w:hint="default"/>
          <w:lang w:val="en-US" w:eastAsia="zh-CN"/>
        </w:rPr>
        <w:t>2021年9月29日河北省第十三届人民代表大会常务委员会第二十五次会议修正</w:t>
      </w:r>
      <w:r>
        <w:rPr>
          <w:rFonts w:hint="default"/>
          <w:lang w:eastAsia="zh-CN"/>
        </w:rPr>
        <w:t>）</w:t>
      </w:r>
      <w:r>
        <w:rPr>
          <w:rFonts w:hint="default"/>
        </w:rPr>
        <w:t>；</w:t>
      </w:r>
    </w:p>
    <w:p w14:paraId="71FE897D">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rPr>
      </w:pPr>
      <w:r>
        <w:rPr>
          <w:rFonts w:hint="default"/>
          <w:lang w:eastAsia="zh-CN"/>
        </w:rPr>
        <w:t>《河北省水污染防治条例》（</w:t>
      </w:r>
      <w:r>
        <w:rPr>
          <w:rFonts w:hint="default"/>
          <w:lang w:val="en-US" w:eastAsia="zh-CN"/>
        </w:rPr>
        <w:t>2018年5月31日</w:t>
      </w:r>
      <w:r>
        <w:rPr>
          <w:rFonts w:hint="default"/>
          <w:lang w:eastAsia="zh-CN"/>
        </w:rPr>
        <w:t>）</w:t>
      </w:r>
      <w:r>
        <w:rPr>
          <w:rFonts w:hint="default"/>
        </w:rPr>
        <w:t>；</w:t>
      </w:r>
    </w:p>
    <w:p w14:paraId="18D1B80C">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highlight w:val="none"/>
          <w:lang w:eastAsia="zh-CN"/>
        </w:rPr>
      </w:pPr>
      <w:r>
        <w:rPr>
          <w:rFonts w:hint="default"/>
        </w:rPr>
        <w:t>《河北省土壤污染防治条例》，</w:t>
      </w:r>
      <w:r>
        <w:rPr>
          <w:rFonts w:hint="default"/>
          <w:lang w:eastAsia="zh-CN"/>
        </w:rPr>
        <w:t>（</w:t>
      </w:r>
      <w:r>
        <w:rPr>
          <w:rFonts w:hint="default"/>
        </w:rPr>
        <w:t>2021年11月23日</w:t>
      </w:r>
      <w:r>
        <w:rPr>
          <w:rFonts w:hint="default"/>
          <w:lang w:eastAsia="zh-CN"/>
        </w:rPr>
        <w:t>）</w:t>
      </w:r>
      <w:r>
        <w:rPr>
          <w:rFonts w:hint="eastAsia"/>
          <w:highlight w:val="none"/>
          <w:lang w:eastAsia="zh-CN"/>
        </w:rPr>
        <w:t>；</w:t>
      </w:r>
    </w:p>
    <w:p w14:paraId="582EB0CA">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highlight w:val="none"/>
          <w:lang w:eastAsia="zh-CN"/>
        </w:rPr>
      </w:pPr>
      <w:r>
        <w:rPr>
          <w:rFonts w:hint="default"/>
          <w:highlight w:val="none"/>
          <w:lang w:eastAsia="zh-CN"/>
        </w:rPr>
        <w:t>《河北省固体废物污染环境防治条例》（20</w:t>
      </w:r>
      <w:r>
        <w:rPr>
          <w:rFonts w:hint="default"/>
          <w:highlight w:val="none"/>
          <w:lang w:val="en-US" w:eastAsia="zh-CN"/>
        </w:rPr>
        <w:t>22</w:t>
      </w:r>
      <w:r>
        <w:rPr>
          <w:rFonts w:hint="default"/>
          <w:highlight w:val="none"/>
          <w:lang w:eastAsia="zh-CN"/>
        </w:rPr>
        <w:t>年</w:t>
      </w:r>
      <w:r>
        <w:rPr>
          <w:rFonts w:hint="default"/>
          <w:highlight w:val="none"/>
          <w:lang w:val="en-US" w:eastAsia="zh-CN"/>
        </w:rPr>
        <w:t>12</w:t>
      </w:r>
      <w:r>
        <w:rPr>
          <w:rFonts w:hint="default"/>
          <w:highlight w:val="none"/>
          <w:lang w:eastAsia="zh-CN"/>
        </w:rPr>
        <w:t>月1日）；</w:t>
      </w:r>
    </w:p>
    <w:p w14:paraId="0250C240">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highlight w:val="none"/>
          <w:lang w:eastAsia="zh-CN"/>
        </w:rPr>
      </w:pPr>
      <w:r>
        <w:rPr>
          <w:rFonts w:hint="default"/>
          <w:highlight w:val="none"/>
          <w:lang w:eastAsia="zh-CN"/>
        </w:rPr>
        <w:t>《河北省地下水管理条例》（2018年9月20日修订，2018年11月1日起施行）；</w:t>
      </w:r>
    </w:p>
    <w:p w14:paraId="3069842E">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lang w:eastAsia="zh-CN"/>
        </w:rPr>
      </w:pPr>
      <w:r>
        <w:rPr>
          <w:rFonts w:hint="default"/>
          <w:highlight w:val="none"/>
          <w:lang w:eastAsia="zh-CN"/>
        </w:rPr>
        <w:t>《关于印发《河北省土壤与地下水污染防治“十四五”规划》的通知》（2</w:t>
      </w:r>
      <w:r>
        <w:rPr>
          <w:rFonts w:hint="default"/>
          <w:lang w:eastAsia="zh-CN"/>
        </w:rPr>
        <w:t>022年1月31日）；</w:t>
      </w:r>
    </w:p>
    <w:p w14:paraId="6D04ACA6">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highlight w:val="none"/>
          <w:lang w:eastAsia="zh-CN"/>
        </w:rPr>
      </w:pPr>
      <w:r>
        <w:rPr>
          <w:rFonts w:hint="default"/>
          <w:highlight w:val="none"/>
          <w:lang w:eastAsia="zh-CN"/>
        </w:rPr>
        <w:t>《关于印发&lt;2024年建筑施工扬尘污染防治工作方案&gt;的通知》（冀建质安函﹝2024﹞115号）</w:t>
      </w:r>
      <w:r>
        <w:rPr>
          <w:rFonts w:hint="eastAsia"/>
          <w:highlight w:val="none"/>
          <w:lang w:eastAsia="zh-CN"/>
        </w:rPr>
        <w:t>；</w:t>
      </w:r>
    </w:p>
    <w:p w14:paraId="5ECC5AA6">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highlight w:val="none"/>
        </w:rPr>
      </w:pPr>
      <w:r>
        <w:rPr>
          <w:rFonts w:hint="default"/>
          <w:highlight w:val="none"/>
        </w:rPr>
        <w:t>《关于加快实施“三线一单”生态环境分区管控的意见》(冀政字[2020]71号)；</w:t>
      </w:r>
    </w:p>
    <w:p w14:paraId="40291F85">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highlight w:val="none"/>
          <w:lang w:val="en-US" w:eastAsia="zh-CN"/>
        </w:rPr>
      </w:pPr>
      <w:r>
        <w:rPr>
          <w:rFonts w:hint="default"/>
          <w:highlight w:val="none"/>
          <w:lang w:val="en-US" w:eastAsia="zh-CN"/>
        </w:rPr>
        <w:t>《河北省生态环境保护“十四五”规划》（冀政字〔2022〕2号）；</w:t>
      </w:r>
    </w:p>
    <w:p w14:paraId="4F2C12EE">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highlight w:val="none"/>
          <w:lang w:val="en-US" w:eastAsia="zh-CN"/>
        </w:rPr>
      </w:pPr>
      <w:r>
        <w:rPr>
          <w:rFonts w:hint="default"/>
          <w:highlight w:val="none"/>
          <w:lang w:val="en-US" w:eastAsia="zh-CN"/>
        </w:rPr>
        <w:t>《河北省建设京津冀生态环境支撑区“十四五”规划》冀政办字〔2021〕144号</w:t>
      </w:r>
      <w:r>
        <w:rPr>
          <w:rFonts w:hint="eastAsia"/>
          <w:highlight w:val="none"/>
          <w:lang w:val="en-US" w:eastAsia="zh-CN"/>
        </w:rPr>
        <w:t>；</w:t>
      </w:r>
    </w:p>
    <w:p w14:paraId="666F6851">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highlight w:val="none"/>
          <w:lang w:val="en-US" w:eastAsia="zh-CN"/>
        </w:rPr>
      </w:pPr>
      <w:r>
        <w:rPr>
          <w:rFonts w:hint="default"/>
          <w:highlight w:val="none"/>
          <w:lang w:val="en-US" w:eastAsia="zh-CN"/>
        </w:rPr>
        <w:t>《</w:t>
      </w:r>
      <w:r>
        <w:rPr>
          <w:rFonts w:hint="default"/>
          <w:highlight w:val="none"/>
        </w:rPr>
        <w:t>河北省节约用水条例</w:t>
      </w:r>
      <w:r>
        <w:rPr>
          <w:rFonts w:hint="default"/>
          <w:highlight w:val="none"/>
          <w:lang w:val="en-US" w:eastAsia="zh-CN"/>
        </w:rPr>
        <w:t>》（</w:t>
      </w:r>
      <w:r>
        <w:rPr>
          <w:rFonts w:hint="default"/>
          <w:highlight w:val="none"/>
        </w:rPr>
        <w:t>2021年7月1日起施行</w:t>
      </w:r>
      <w:r>
        <w:rPr>
          <w:rFonts w:hint="default"/>
          <w:highlight w:val="none"/>
          <w:lang w:val="en-US" w:eastAsia="zh-CN"/>
        </w:rPr>
        <w:t>）；</w:t>
      </w:r>
    </w:p>
    <w:p w14:paraId="31226E7D">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河北省生态环境厅关于印发《河北省“十四五”危险废物利用处置能力建设规划》的通知（冀环固体〔2022〕91号）。</w:t>
      </w:r>
    </w:p>
    <w:p w14:paraId="70D37903">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《河北省人民政府关于进一步加强环境保护工作的决定》，河北省人民政府，冀政〔2012〕24号，2012年4月9日；</w:t>
      </w:r>
    </w:p>
    <w:p w14:paraId="1CE12CC4">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《河北省禁止投资的产业目录（2014年版）》，2014年11月27日；</w:t>
      </w:r>
    </w:p>
    <w:p w14:paraId="39E2261E">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《关于进一步加强污染防治工作的意见》，冀环防〔2012〕224号，2012年9月10日；</w:t>
      </w:r>
    </w:p>
    <w:p w14:paraId="4CD31877">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《河北省人民政府关于发布&lt;河北省生态保护红线&gt;的通知》，冀政字〔2018〕23号；</w:t>
      </w:r>
    </w:p>
    <w:p w14:paraId="68D9B746">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《关于贯彻落实&lt;环境影响评价公众参与办法&gt;规范环评文件审批的通知》，冀环办发〔2018〕23号；</w:t>
      </w:r>
    </w:p>
    <w:p w14:paraId="0E77DAD9">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《关于加强重要生态功能区及周边区域环境管理工作的通知》，省生态环境厅〔2020〕407号；</w:t>
      </w:r>
    </w:p>
    <w:p w14:paraId="11D093A5">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《河北省人民代表大会常务委员会关于加强扬尘污染防治的决定》，2018年10月19日通过；</w:t>
      </w:r>
    </w:p>
    <w:p w14:paraId="1CF7ACD2">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《河北省环境保护公众参与条例》，2020年7月30日修正；</w:t>
      </w:r>
    </w:p>
    <w:p w14:paraId="34E26CD5">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《中共河北省委办公厅、河北省人民政府办公厅关于印发&lt;河北省深入实施大气污染综合治理十条措施》的通知&gt;》，2021年2月26日；</w:t>
      </w:r>
    </w:p>
    <w:p w14:paraId="0750650B">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《河北省人民政府办公厅关于印发河北省突发环境事件应急预案的通知》，冀政办字〔2022〕15号；</w:t>
      </w:r>
    </w:p>
    <w:p w14:paraId="71F1AB66">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《关于进一步做好建设项目大气主要污染物排放总量指标审核管理工作的通知》，冀环办字函〔2020〕247号；</w:t>
      </w:r>
    </w:p>
    <w:p w14:paraId="15A913DE">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《河北省强化危险废物监管和利用处置能力改革行动方案》，冀政办字〔2021〕83号；</w:t>
      </w:r>
    </w:p>
    <w:p w14:paraId="43176FA4">
      <w:pPr>
        <w:keepNext w:val="0"/>
        <w:keepLines w:val="0"/>
        <w:pageBreakBefore w:val="0"/>
        <w:widowControl w:val="0"/>
        <w:numPr>
          <w:ilvl w:val="0"/>
          <w:numId w:val="6"/>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《河北生态环境厅关于加强环评管理提升环评文件质量的通知》，冀环环评函〔2022〕553号；</w:t>
      </w:r>
    </w:p>
    <w:p w14:paraId="5739E3E0">
      <w:pPr>
        <w:pStyle w:val="6"/>
        <w:bidi w:val="0"/>
        <w:rPr>
          <w:rFonts w:hint="default"/>
          <w:lang w:val="en-US" w:eastAsia="zh-CN"/>
        </w:rPr>
      </w:pPr>
      <w:r>
        <w:rPr>
          <w:rFonts w:hint="default"/>
        </w:rPr>
        <w:t>2.1.</w:t>
      </w:r>
      <w:r>
        <w:rPr>
          <w:rFonts w:hint="default"/>
          <w:lang w:val="en-US" w:eastAsia="zh-CN"/>
        </w:rPr>
        <w:t>4</w:t>
      </w:r>
      <w:r>
        <w:rPr>
          <w:rFonts w:hint="default"/>
          <w:lang w:eastAsia="zh-CN"/>
        </w:rPr>
        <w:t>唐山市</w:t>
      </w:r>
      <w:r>
        <w:rPr>
          <w:rFonts w:hint="default"/>
        </w:rPr>
        <w:t>环境保护法规、规章</w:t>
      </w:r>
    </w:p>
    <w:p w14:paraId="2F4FE0EC">
      <w:pPr>
        <w:keepNext w:val="0"/>
        <w:keepLines w:val="0"/>
        <w:pageBreakBefore w:val="0"/>
        <w:widowControl w:val="0"/>
        <w:numPr>
          <w:ilvl w:val="0"/>
          <w:numId w:val="7"/>
        </w:numPr>
        <w:kinsoku/>
        <w:wordWrap/>
        <w:overflowPunct/>
        <w:topLinePunct w:val="0"/>
        <w:autoSpaceDE/>
        <w:autoSpaceDN/>
        <w:bidi w:val="0"/>
        <w:adjustRightInd/>
        <w:snapToGrid/>
        <w:ind w:left="0"/>
        <w:textAlignment w:val="auto"/>
        <w:rPr>
          <w:rFonts w:hint="default"/>
          <w:highlight w:val="none"/>
          <w:lang w:eastAsia="zh-CN"/>
        </w:rPr>
      </w:pPr>
      <w:r>
        <w:rPr>
          <w:rFonts w:hint="default"/>
          <w:highlight w:val="none"/>
          <w:lang w:val="en-US" w:eastAsia="zh-CN"/>
        </w:rPr>
        <w:t>《唐山市生态环境保护“十四五”规划》（唐政字〔2022〕46号）</w:t>
      </w:r>
      <w:r>
        <w:rPr>
          <w:rFonts w:hint="default"/>
          <w:highlight w:val="none"/>
          <w:lang w:eastAsia="zh-CN"/>
        </w:rPr>
        <w:t>；</w:t>
      </w:r>
    </w:p>
    <w:p w14:paraId="3FDA95A6">
      <w:pPr>
        <w:keepNext w:val="0"/>
        <w:keepLines w:val="0"/>
        <w:pageBreakBefore w:val="0"/>
        <w:widowControl w:val="0"/>
        <w:numPr>
          <w:ilvl w:val="0"/>
          <w:numId w:val="7"/>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《关于实施“三线一单”生态环境分区管控的意见》（唐山市人民政府，唐政字(2021)48号）；</w:t>
      </w:r>
    </w:p>
    <w:p w14:paraId="3EA31324">
      <w:pPr>
        <w:keepNext w:val="0"/>
        <w:keepLines w:val="0"/>
        <w:pageBreakBefore w:val="0"/>
        <w:widowControl w:val="0"/>
        <w:numPr>
          <w:ilvl w:val="0"/>
          <w:numId w:val="7"/>
        </w:numPr>
        <w:kinsoku/>
        <w:wordWrap/>
        <w:overflowPunct/>
        <w:topLinePunct w:val="0"/>
        <w:autoSpaceDE/>
        <w:autoSpaceDN/>
        <w:bidi w:val="0"/>
        <w:adjustRightInd/>
        <w:snapToGrid/>
        <w:ind w:left="0"/>
        <w:textAlignment w:val="auto"/>
        <w:rPr>
          <w:rFonts w:hint="default"/>
          <w:highlight w:val="none"/>
        </w:rPr>
      </w:pPr>
      <w:r>
        <w:rPr>
          <w:rFonts w:hint="default"/>
          <w:highlight w:val="none"/>
        </w:rPr>
        <w:t>《唐山市生态环境准入清单》（2023年版)</w:t>
      </w:r>
      <w:r>
        <w:rPr>
          <w:rFonts w:hint="default"/>
          <w:highlight w:val="none"/>
          <w:lang w:val="en-US" w:eastAsia="zh-CN"/>
        </w:rPr>
        <w:t>；</w:t>
      </w:r>
    </w:p>
    <w:p w14:paraId="3C97727B">
      <w:pPr>
        <w:keepNext w:val="0"/>
        <w:keepLines w:val="0"/>
        <w:pageBreakBefore w:val="0"/>
        <w:widowControl w:val="0"/>
        <w:numPr>
          <w:ilvl w:val="0"/>
          <w:numId w:val="7"/>
        </w:numPr>
        <w:kinsoku/>
        <w:wordWrap/>
        <w:overflowPunct/>
        <w:topLinePunct w:val="0"/>
        <w:autoSpaceDE/>
        <w:autoSpaceDN/>
        <w:bidi w:val="0"/>
        <w:adjustRightInd/>
        <w:snapToGrid/>
        <w:ind w:left="0"/>
        <w:textAlignment w:val="auto"/>
        <w:rPr>
          <w:rFonts w:hint="default"/>
          <w:lang w:val="en-US" w:eastAsia="zh-CN"/>
        </w:rPr>
      </w:pPr>
      <w:r>
        <w:rPr>
          <w:rFonts w:hint="default"/>
          <w:lang w:eastAsia="zh-CN"/>
        </w:rPr>
        <w:t>《</w:t>
      </w:r>
      <w:r>
        <w:rPr>
          <w:rFonts w:hint="default"/>
          <w:lang w:val="en-US" w:eastAsia="zh-CN"/>
        </w:rPr>
        <w:t>唐山市生态环境保护条例</w:t>
      </w:r>
      <w:r>
        <w:rPr>
          <w:rFonts w:hint="default"/>
          <w:lang w:eastAsia="zh-CN"/>
        </w:rPr>
        <w:t>》（2023年3月1日）</w:t>
      </w:r>
      <w:r>
        <w:rPr>
          <w:rFonts w:hint="eastAsia"/>
          <w:lang w:eastAsia="zh-CN"/>
        </w:rPr>
        <w:t>；</w:t>
      </w:r>
    </w:p>
    <w:p w14:paraId="7156FD93">
      <w:pPr>
        <w:keepNext w:val="0"/>
        <w:keepLines w:val="0"/>
        <w:pageBreakBefore w:val="0"/>
        <w:widowControl w:val="0"/>
        <w:numPr>
          <w:ilvl w:val="0"/>
          <w:numId w:val="7"/>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《关于进一步做好非道路移动机械国家第四阶段排放标准实施有关工作的通知》唐环办发【2022】58号（2022.12.1实施）；</w:t>
      </w:r>
    </w:p>
    <w:p w14:paraId="2056F5D2">
      <w:pPr>
        <w:keepNext w:val="0"/>
        <w:keepLines w:val="0"/>
        <w:pageBreakBefore w:val="0"/>
        <w:widowControl w:val="0"/>
        <w:numPr>
          <w:ilvl w:val="0"/>
          <w:numId w:val="7"/>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《唐山市水污染防治工作方案》；</w:t>
      </w:r>
    </w:p>
    <w:p w14:paraId="3CCF1801">
      <w:pPr>
        <w:keepNext w:val="0"/>
        <w:keepLines w:val="0"/>
        <w:pageBreakBefore w:val="0"/>
        <w:widowControl w:val="0"/>
        <w:numPr>
          <w:ilvl w:val="0"/>
          <w:numId w:val="7"/>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《关于印发《生态唐山建设三年提升方案》的通知》，唐办字〔2020〕34号；</w:t>
      </w:r>
    </w:p>
    <w:p w14:paraId="0631FF9E">
      <w:pPr>
        <w:keepNext w:val="0"/>
        <w:keepLines w:val="0"/>
        <w:pageBreakBefore w:val="0"/>
        <w:widowControl w:val="0"/>
        <w:numPr>
          <w:ilvl w:val="0"/>
          <w:numId w:val="7"/>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《唐山市环境保护局关于强化建设项目环评公众参与工作的通知》，唐环发〔2011〕126号；</w:t>
      </w:r>
    </w:p>
    <w:p w14:paraId="062AF499">
      <w:pPr>
        <w:keepNext w:val="0"/>
        <w:keepLines w:val="0"/>
        <w:pageBreakBefore w:val="0"/>
        <w:widowControl w:val="0"/>
        <w:numPr>
          <w:ilvl w:val="0"/>
          <w:numId w:val="7"/>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《唐山市大气污染防治情况的报告》，唐山市十五届人大三次会议）</w:t>
      </w:r>
    </w:p>
    <w:p w14:paraId="79DFAB00">
      <w:pPr>
        <w:keepNext w:val="0"/>
        <w:keepLines w:val="0"/>
        <w:pageBreakBefore w:val="0"/>
        <w:widowControl w:val="0"/>
        <w:numPr>
          <w:ilvl w:val="0"/>
          <w:numId w:val="7"/>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《唐山市房屋建筑工地扬尘治理差别化动态管理方案》，2023年5月15日；</w:t>
      </w:r>
    </w:p>
    <w:p w14:paraId="0179C275">
      <w:pPr>
        <w:pStyle w:val="6"/>
        <w:pageBreakBefore w:val="0"/>
        <w:widowControl w:val="0"/>
        <w:kinsoku/>
        <w:wordWrap/>
        <w:overflowPunct/>
        <w:topLinePunct w:val="0"/>
        <w:autoSpaceDE/>
        <w:autoSpaceDN/>
        <w:bidi w:val="0"/>
        <w:adjustRightInd/>
        <w:snapToGrid/>
        <w:spacing w:before="0" w:beforeLines="0" w:after="0" w:afterLines="0" w:line="480" w:lineRule="exact"/>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2.1.</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sz w:val="24"/>
          <w:szCs w:val="24"/>
          <w:highlight w:val="none"/>
          <w14:textFill>
            <w14:solidFill>
              <w14:schemeClr w14:val="tx1"/>
            </w14:solidFill>
          </w14:textFill>
        </w:rPr>
        <w:t>环境影响评价</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技术导则</w:t>
      </w:r>
    </w:p>
    <w:p w14:paraId="473216C5">
      <w:pPr>
        <w:keepNext w:val="0"/>
        <w:keepLines w:val="0"/>
        <w:pageBreakBefore w:val="0"/>
        <w:widowControl w:val="0"/>
        <w:numPr>
          <w:ilvl w:val="0"/>
          <w:numId w:val="8"/>
        </w:numPr>
        <w:kinsoku/>
        <w:wordWrap/>
        <w:overflowPunct/>
        <w:topLinePunct w:val="0"/>
        <w:autoSpaceDE/>
        <w:autoSpaceDN/>
        <w:bidi w:val="0"/>
        <w:adjustRightInd/>
        <w:snapToGrid/>
        <w:ind w:left="0"/>
        <w:textAlignment w:val="auto"/>
        <w:rPr>
          <w:rFonts w:hint="default"/>
          <w:lang w:val="en-US" w:eastAsia="zh-CN"/>
        </w:rPr>
      </w:pPr>
      <w:bookmarkStart w:id="55" w:name="_Toc12339"/>
      <w:r>
        <w:rPr>
          <w:rFonts w:hint="default"/>
          <w:lang w:val="en-US" w:eastAsia="zh-CN"/>
        </w:rPr>
        <w:t>《建设项目环境影响评价技术导则－总纲》（HJ2.1-2016）；</w:t>
      </w:r>
    </w:p>
    <w:p w14:paraId="75A26828">
      <w:pPr>
        <w:keepNext w:val="0"/>
        <w:keepLines w:val="0"/>
        <w:pageBreakBefore w:val="0"/>
        <w:widowControl w:val="0"/>
        <w:numPr>
          <w:ilvl w:val="0"/>
          <w:numId w:val="8"/>
        </w:numPr>
        <w:kinsoku/>
        <w:wordWrap/>
        <w:overflowPunct/>
        <w:topLinePunct w:val="0"/>
        <w:autoSpaceDE/>
        <w:autoSpaceDN/>
        <w:bidi w:val="0"/>
        <w:adjustRightInd/>
        <w:snapToGrid/>
        <w:ind w:left="0"/>
        <w:textAlignment w:val="auto"/>
        <w:rPr>
          <w:rFonts w:hint="default"/>
          <w:lang w:val="en-US" w:eastAsia="zh-CN"/>
        </w:rPr>
      </w:pPr>
      <w:bookmarkStart w:id="56" w:name="_Toc498876775"/>
      <w:bookmarkStart w:id="57" w:name="_Toc498880216"/>
      <w:r>
        <w:rPr>
          <w:rFonts w:hint="default"/>
          <w:lang w:val="en-US" w:eastAsia="zh-CN"/>
        </w:rPr>
        <w:t>《环境影响评价技术导则－大气环境》（HJ2.2-2018）；</w:t>
      </w:r>
      <w:bookmarkEnd w:id="56"/>
      <w:bookmarkEnd w:id="57"/>
    </w:p>
    <w:p w14:paraId="1813B30B">
      <w:pPr>
        <w:keepNext w:val="0"/>
        <w:keepLines w:val="0"/>
        <w:pageBreakBefore w:val="0"/>
        <w:widowControl w:val="0"/>
        <w:numPr>
          <w:ilvl w:val="0"/>
          <w:numId w:val="8"/>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《环境影响评价技术导则－地表水环境》（HJ2.3-2018）；</w:t>
      </w:r>
    </w:p>
    <w:p w14:paraId="19478516">
      <w:pPr>
        <w:keepNext w:val="0"/>
        <w:keepLines w:val="0"/>
        <w:pageBreakBefore w:val="0"/>
        <w:widowControl w:val="0"/>
        <w:numPr>
          <w:ilvl w:val="0"/>
          <w:numId w:val="8"/>
        </w:numPr>
        <w:kinsoku/>
        <w:wordWrap/>
        <w:overflowPunct/>
        <w:topLinePunct w:val="0"/>
        <w:autoSpaceDE/>
        <w:autoSpaceDN/>
        <w:bidi w:val="0"/>
        <w:adjustRightInd/>
        <w:snapToGrid/>
        <w:ind w:left="0"/>
        <w:textAlignment w:val="auto"/>
        <w:rPr>
          <w:rFonts w:hint="default"/>
          <w:lang w:val="en-US" w:eastAsia="zh-CN"/>
        </w:rPr>
      </w:pPr>
      <w:bookmarkStart w:id="58" w:name="_Toc498880217"/>
      <w:bookmarkStart w:id="59" w:name="_Toc498876776"/>
      <w:r>
        <w:rPr>
          <w:rFonts w:hint="default"/>
          <w:lang w:val="en-US" w:eastAsia="zh-CN"/>
        </w:rPr>
        <w:t>《环境影响评价技术导则－地下水环境》（HJ610-2016）；</w:t>
      </w:r>
      <w:bookmarkEnd w:id="58"/>
      <w:bookmarkEnd w:id="59"/>
    </w:p>
    <w:p w14:paraId="38C0057A">
      <w:pPr>
        <w:keepNext w:val="0"/>
        <w:keepLines w:val="0"/>
        <w:pageBreakBefore w:val="0"/>
        <w:widowControl w:val="0"/>
        <w:numPr>
          <w:ilvl w:val="0"/>
          <w:numId w:val="8"/>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《环境影响评价技术导则—声环境》（HJ2.4-2021）；</w:t>
      </w:r>
    </w:p>
    <w:p w14:paraId="313DDA15">
      <w:pPr>
        <w:keepNext w:val="0"/>
        <w:keepLines w:val="0"/>
        <w:pageBreakBefore w:val="0"/>
        <w:widowControl w:val="0"/>
        <w:numPr>
          <w:ilvl w:val="0"/>
          <w:numId w:val="8"/>
        </w:numPr>
        <w:kinsoku/>
        <w:wordWrap/>
        <w:overflowPunct/>
        <w:topLinePunct w:val="0"/>
        <w:autoSpaceDE/>
        <w:autoSpaceDN/>
        <w:bidi w:val="0"/>
        <w:adjustRightInd/>
        <w:snapToGrid/>
        <w:ind w:left="0"/>
        <w:textAlignment w:val="auto"/>
        <w:rPr>
          <w:rFonts w:hint="default"/>
          <w:lang w:val="en-US" w:eastAsia="zh-CN"/>
        </w:rPr>
      </w:pPr>
      <w:bookmarkStart w:id="60" w:name="_Toc498876777"/>
      <w:bookmarkStart w:id="61" w:name="_Toc498880218"/>
      <w:r>
        <w:rPr>
          <w:rFonts w:hint="default"/>
          <w:lang w:val="en-US" w:eastAsia="zh-CN"/>
        </w:rPr>
        <w:t>《环境影响评价技术导则—生态影响》（HJ19-2022）；</w:t>
      </w:r>
      <w:bookmarkEnd w:id="60"/>
      <w:bookmarkEnd w:id="61"/>
    </w:p>
    <w:p w14:paraId="59A96537">
      <w:pPr>
        <w:keepNext w:val="0"/>
        <w:keepLines w:val="0"/>
        <w:pageBreakBefore w:val="0"/>
        <w:widowControl w:val="0"/>
        <w:numPr>
          <w:ilvl w:val="0"/>
          <w:numId w:val="8"/>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《建设项目环境风险评价技术导则》（HJ169-2018）；</w:t>
      </w:r>
    </w:p>
    <w:p w14:paraId="6CD82595">
      <w:pPr>
        <w:keepNext w:val="0"/>
        <w:keepLines w:val="0"/>
        <w:pageBreakBefore w:val="0"/>
        <w:widowControl w:val="0"/>
        <w:numPr>
          <w:ilvl w:val="0"/>
          <w:numId w:val="8"/>
        </w:numPr>
        <w:kinsoku/>
        <w:wordWrap/>
        <w:overflowPunct/>
        <w:topLinePunct w:val="0"/>
        <w:autoSpaceDE/>
        <w:autoSpaceDN/>
        <w:bidi w:val="0"/>
        <w:adjustRightInd/>
        <w:snapToGrid/>
        <w:ind w:left="0"/>
        <w:textAlignment w:val="auto"/>
        <w:rPr>
          <w:rFonts w:hint="default"/>
          <w:lang w:val="en-US" w:eastAsia="zh-CN"/>
        </w:rPr>
      </w:pPr>
      <w:bookmarkStart w:id="62" w:name="_Toc498876778"/>
      <w:bookmarkStart w:id="63" w:name="_Toc498880219"/>
      <w:r>
        <w:rPr>
          <w:rFonts w:hint="default"/>
          <w:lang w:val="en-US" w:eastAsia="zh-CN"/>
        </w:rPr>
        <w:t>《环境影响评价技术导则－土壤环境（试行）》（HJ964-2018）；</w:t>
      </w:r>
      <w:bookmarkEnd w:id="55"/>
      <w:bookmarkEnd w:id="62"/>
      <w:bookmarkEnd w:id="63"/>
      <w:bookmarkStart w:id="64" w:name="_Toc498880220"/>
      <w:bookmarkStart w:id="65" w:name="_Toc498876779"/>
    </w:p>
    <w:p w14:paraId="40AF065B">
      <w:pPr>
        <w:pStyle w:val="6"/>
        <w:bidi w:val="0"/>
        <w:rPr>
          <w:rFonts w:hint="default"/>
          <w:lang w:val="en-GB" w:eastAsia="zh-CN"/>
        </w:rPr>
      </w:pPr>
      <w:r>
        <w:rPr>
          <w:rFonts w:hint="default"/>
        </w:rPr>
        <w:t>2</w:t>
      </w:r>
      <w:r>
        <w:rPr>
          <w:rFonts w:hint="default"/>
          <w:lang w:val="en-GB"/>
        </w:rPr>
        <w:t>.1.</w:t>
      </w:r>
      <w:r>
        <w:rPr>
          <w:rFonts w:hint="default"/>
          <w:lang w:val="en-US" w:eastAsia="zh-CN"/>
        </w:rPr>
        <w:t>6</w:t>
      </w:r>
      <w:r>
        <w:rPr>
          <w:rFonts w:hint="default"/>
          <w:lang w:eastAsia="zh-CN"/>
        </w:rPr>
        <w:t>其它相关技术规范</w:t>
      </w:r>
    </w:p>
    <w:p w14:paraId="54BF2EF2">
      <w:pPr>
        <w:keepNext w:val="0"/>
        <w:keepLines w:val="0"/>
        <w:pageBreakBefore w:val="0"/>
        <w:widowControl w:val="0"/>
        <w:numPr>
          <w:ilvl w:val="0"/>
          <w:numId w:val="9"/>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《排污单位自行监测技术指南</w:t>
      </w:r>
      <w:r>
        <w:rPr>
          <w:rFonts w:hint="eastAsia"/>
          <w:lang w:val="en-US" w:eastAsia="zh-CN"/>
        </w:rPr>
        <w:t xml:space="preserve">  </w:t>
      </w:r>
      <w:r>
        <w:rPr>
          <w:rFonts w:hint="default"/>
          <w:lang w:val="en-US" w:eastAsia="zh-CN"/>
        </w:rPr>
        <w:t>总则》(HJ819-2017)；</w:t>
      </w:r>
    </w:p>
    <w:p w14:paraId="594D961B">
      <w:pPr>
        <w:keepNext w:val="0"/>
        <w:keepLines w:val="0"/>
        <w:pageBreakBefore w:val="0"/>
        <w:widowControl w:val="0"/>
        <w:numPr>
          <w:ilvl w:val="0"/>
          <w:numId w:val="9"/>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《排污许可申请与核发技术规范</w:t>
      </w:r>
      <w:r>
        <w:rPr>
          <w:rFonts w:hint="eastAsia"/>
          <w:lang w:val="en-US" w:eastAsia="zh-CN"/>
        </w:rPr>
        <w:t xml:space="preserve">  </w:t>
      </w:r>
      <w:r>
        <w:rPr>
          <w:rFonts w:hint="default"/>
          <w:lang w:val="en-US" w:eastAsia="zh-CN"/>
        </w:rPr>
        <w:t>总则》（HJ942-2018）；</w:t>
      </w:r>
    </w:p>
    <w:p w14:paraId="49C7DAEB">
      <w:pPr>
        <w:keepNext w:val="0"/>
        <w:keepLines w:val="0"/>
        <w:pageBreakBefore w:val="0"/>
        <w:widowControl w:val="0"/>
        <w:numPr>
          <w:ilvl w:val="0"/>
          <w:numId w:val="9"/>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《排污单位自行监测技术指南</w:t>
      </w:r>
      <w:r>
        <w:rPr>
          <w:rFonts w:hint="eastAsia"/>
          <w:lang w:val="en-US" w:eastAsia="zh-CN"/>
        </w:rPr>
        <w:t xml:space="preserve">  </w:t>
      </w:r>
      <w:r>
        <w:rPr>
          <w:rFonts w:hint="default"/>
          <w:lang w:val="en-US" w:eastAsia="zh-CN"/>
        </w:rPr>
        <w:t>水处理》（HJ1083-2020）；</w:t>
      </w:r>
    </w:p>
    <w:p w14:paraId="6B1E4CA7">
      <w:pPr>
        <w:keepNext w:val="0"/>
        <w:keepLines w:val="0"/>
        <w:pageBreakBefore w:val="0"/>
        <w:widowControl w:val="0"/>
        <w:numPr>
          <w:ilvl w:val="0"/>
          <w:numId w:val="9"/>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《排污许可申请与核发技术规范</w:t>
      </w:r>
      <w:r>
        <w:rPr>
          <w:rFonts w:hint="eastAsia"/>
          <w:lang w:val="en-US" w:eastAsia="zh-CN"/>
        </w:rPr>
        <w:t xml:space="preserve">  </w:t>
      </w:r>
      <w:r>
        <w:rPr>
          <w:rFonts w:hint="default"/>
          <w:lang w:val="en-US" w:eastAsia="zh-CN"/>
        </w:rPr>
        <w:t>水处理》（HJ978-2018）；</w:t>
      </w:r>
    </w:p>
    <w:p w14:paraId="6F6D3C12">
      <w:pPr>
        <w:keepNext w:val="0"/>
        <w:keepLines w:val="0"/>
        <w:pageBreakBefore w:val="0"/>
        <w:widowControl w:val="0"/>
        <w:numPr>
          <w:ilvl w:val="0"/>
          <w:numId w:val="9"/>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《河北省土壤污染重点监管单位土壤及地下水自行监测技术指南(试行)》；</w:t>
      </w:r>
    </w:p>
    <w:p w14:paraId="48092A57">
      <w:pPr>
        <w:keepNext w:val="0"/>
        <w:keepLines w:val="0"/>
        <w:pageBreakBefore w:val="0"/>
        <w:widowControl w:val="0"/>
        <w:numPr>
          <w:ilvl w:val="0"/>
          <w:numId w:val="9"/>
        </w:numPr>
        <w:kinsoku/>
        <w:wordWrap/>
        <w:overflowPunct/>
        <w:topLinePunct w:val="0"/>
        <w:autoSpaceDE/>
        <w:autoSpaceDN/>
        <w:bidi w:val="0"/>
        <w:adjustRightInd/>
        <w:snapToGrid/>
        <w:ind w:left="0"/>
        <w:textAlignment w:val="auto"/>
        <w:rPr>
          <w:rFonts w:hint="default"/>
          <w:highlight w:val="none"/>
          <w:lang w:val="en-US" w:eastAsia="zh-CN"/>
        </w:rPr>
      </w:pPr>
      <w:r>
        <w:rPr>
          <w:rFonts w:hint="default"/>
          <w:highlight w:val="none"/>
          <w:lang w:val="en-US" w:eastAsia="zh-CN"/>
        </w:rPr>
        <w:t>《</w:t>
      </w:r>
      <w:r>
        <w:rPr>
          <w:rFonts w:hint="eastAsia"/>
          <w:highlight w:val="none"/>
          <w:lang w:val="en-US" w:eastAsia="zh-CN"/>
        </w:rPr>
        <w:t>固体废物分类与代码目录</w:t>
      </w:r>
      <w:r>
        <w:rPr>
          <w:rFonts w:hint="default"/>
          <w:highlight w:val="none"/>
          <w:lang w:val="en-US" w:eastAsia="zh-CN"/>
        </w:rPr>
        <w:t>》(</w:t>
      </w:r>
      <w:r>
        <w:rPr>
          <w:rFonts w:hint="eastAsia"/>
          <w:highlight w:val="none"/>
          <w:lang w:val="en-US" w:eastAsia="zh-CN"/>
        </w:rPr>
        <w:t>生态环境部 公告2024年第4号 2024年1月19日</w:t>
      </w:r>
      <w:r>
        <w:rPr>
          <w:rFonts w:hint="default"/>
          <w:highlight w:val="none"/>
          <w:lang w:val="en-US" w:eastAsia="zh-CN"/>
        </w:rPr>
        <w:t>)；</w:t>
      </w:r>
    </w:p>
    <w:p w14:paraId="0D091CC9">
      <w:pPr>
        <w:keepNext w:val="0"/>
        <w:keepLines w:val="0"/>
        <w:pageBreakBefore w:val="0"/>
        <w:widowControl w:val="0"/>
        <w:numPr>
          <w:ilvl w:val="0"/>
          <w:numId w:val="9"/>
        </w:numPr>
        <w:kinsoku/>
        <w:wordWrap/>
        <w:overflowPunct/>
        <w:topLinePunct w:val="0"/>
        <w:autoSpaceDE/>
        <w:autoSpaceDN/>
        <w:bidi w:val="0"/>
        <w:adjustRightInd/>
        <w:snapToGrid/>
        <w:ind w:left="0"/>
        <w:textAlignment w:val="auto"/>
        <w:rPr>
          <w:rFonts w:hint="default"/>
          <w:highlight w:val="none"/>
          <w:lang w:val="en-US" w:eastAsia="zh-CN"/>
        </w:rPr>
      </w:pPr>
      <w:r>
        <w:rPr>
          <w:rFonts w:hint="default"/>
          <w:highlight w:val="none"/>
          <w:lang w:val="en-US" w:eastAsia="zh-CN"/>
        </w:rPr>
        <w:t>《突发环境事件应急监测技术规范》(HJ589-2021)；</w:t>
      </w:r>
    </w:p>
    <w:p w14:paraId="71A1BCB7">
      <w:pPr>
        <w:keepNext w:val="0"/>
        <w:keepLines w:val="0"/>
        <w:pageBreakBefore w:val="0"/>
        <w:widowControl w:val="0"/>
        <w:numPr>
          <w:ilvl w:val="0"/>
          <w:numId w:val="9"/>
        </w:numPr>
        <w:kinsoku/>
        <w:wordWrap/>
        <w:overflowPunct/>
        <w:topLinePunct w:val="0"/>
        <w:autoSpaceDE/>
        <w:autoSpaceDN/>
        <w:bidi w:val="0"/>
        <w:adjustRightInd/>
        <w:snapToGrid/>
        <w:ind w:left="0"/>
        <w:textAlignment w:val="auto"/>
        <w:rPr>
          <w:rFonts w:hint="default"/>
          <w:highlight w:val="none"/>
          <w:lang w:val="en-US" w:eastAsia="zh-CN"/>
        </w:rPr>
      </w:pPr>
      <w:r>
        <w:rPr>
          <w:rFonts w:hint="eastAsia"/>
          <w:highlight w:val="none"/>
          <w:lang w:eastAsia="zh-CN"/>
        </w:rPr>
        <w:t>《</w:t>
      </w:r>
      <w:r>
        <w:rPr>
          <w:rFonts w:hint="eastAsia"/>
          <w:highlight w:val="none"/>
          <w:lang w:val="en-US" w:eastAsia="zh-CN"/>
        </w:rPr>
        <w:t>建设项目危险废物环境影响评价指南</w:t>
      </w:r>
      <w:r>
        <w:rPr>
          <w:rFonts w:hint="eastAsia"/>
          <w:highlight w:val="none"/>
          <w:lang w:eastAsia="zh-CN"/>
        </w:rPr>
        <w:t>》（</w:t>
      </w:r>
      <w:r>
        <w:rPr>
          <w:rFonts w:hint="eastAsia"/>
          <w:highlight w:val="none"/>
          <w:lang w:val="en-US" w:eastAsia="zh-CN"/>
        </w:rPr>
        <w:t>环境保护部 公告2017年第43号 2017年10月1日</w:t>
      </w:r>
      <w:r>
        <w:rPr>
          <w:rFonts w:hint="eastAsia"/>
          <w:highlight w:val="none"/>
          <w:lang w:eastAsia="zh-CN"/>
        </w:rPr>
        <w:t>）</w:t>
      </w:r>
    </w:p>
    <w:p w14:paraId="45341756">
      <w:pPr>
        <w:pStyle w:val="6"/>
        <w:pageBreakBefore w:val="0"/>
        <w:widowControl w:val="0"/>
        <w:kinsoku/>
        <w:wordWrap/>
        <w:overflowPunct/>
        <w:topLinePunct w:val="0"/>
        <w:autoSpaceDE/>
        <w:autoSpaceDN/>
        <w:bidi w:val="0"/>
        <w:adjustRightInd/>
        <w:snapToGrid/>
        <w:spacing w:before="0" w:beforeLines="0" w:after="0" w:afterLines="0" w:line="480" w:lineRule="exact"/>
        <w:textAlignment w:val="auto"/>
        <w:rPr>
          <w:rFonts w:hint="default" w:ascii="Times New Roman" w:hAnsi="Times New Roman" w:eastAsia="宋体" w:cs="Times New Roman"/>
          <w:color w:val="000000" w:themeColor="text1"/>
          <w:sz w:val="24"/>
          <w:szCs w:val="24"/>
          <w:highlight w:val="none"/>
          <w:lang w:val="zh-CN"/>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2.1.</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7</w:t>
      </w:r>
      <w:r>
        <w:rPr>
          <w:rFonts w:hint="default" w:ascii="Times New Roman" w:hAnsi="Times New Roman" w:eastAsia="宋体" w:cs="Times New Roman"/>
          <w:color w:val="000000" w:themeColor="text1"/>
          <w:sz w:val="24"/>
          <w:szCs w:val="24"/>
          <w:highlight w:val="none"/>
          <w14:textFill>
            <w14:solidFill>
              <w14:schemeClr w14:val="tx1"/>
            </w14:solidFill>
          </w14:textFill>
        </w:rPr>
        <w:t>相关文件</w:t>
      </w:r>
      <w:bookmarkEnd w:id="64"/>
      <w:bookmarkEnd w:id="65"/>
    </w:p>
    <w:p w14:paraId="2BB9DCDD">
      <w:pPr>
        <w:keepNext w:val="0"/>
        <w:keepLines w:val="0"/>
        <w:pageBreakBefore w:val="0"/>
        <w:widowControl w:val="0"/>
        <w:numPr>
          <w:ilvl w:val="0"/>
          <w:numId w:val="10"/>
        </w:numPr>
        <w:kinsoku/>
        <w:wordWrap/>
        <w:overflowPunct/>
        <w:topLinePunct w:val="0"/>
        <w:autoSpaceDE/>
        <w:autoSpaceDN/>
        <w:bidi w:val="0"/>
        <w:adjustRightInd/>
        <w:snapToGrid/>
        <w:ind w:left="0"/>
        <w:textAlignment w:val="auto"/>
        <w:rPr>
          <w:rFonts w:hint="default"/>
          <w:lang w:val="zh-CN" w:eastAsia="zh-CN"/>
        </w:rPr>
      </w:pPr>
      <w:r>
        <w:rPr>
          <w:rFonts w:hint="default"/>
          <w:lang w:val="zh-CN" w:eastAsia="zh-CN"/>
        </w:rPr>
        <w:t>唐山市曹妃甸区垦丰家居产业园区新建污水处理厂工程</w:t>
      </w:r>
      <w:r>
        <w:rPr>
          <w:rFonts w:hint="default"/>
          <w:lang w:val="en-US" w:eastAsia="zh-CN"/>
        </w:rPr>
        <w:t>设计资料</w:t>
      </w:r>
      <w:r>
        <w:rPr>
          <w:rFonts w:hint="default"/>
          <w:lang w:val="zh-CN" w:eastAsia="zh-CN"/>
        </w:rPr>
        <w:t>；</w:t>
      </w:r>
    </w:p>
    <w:p w14:paraId="72A00DE4">
      <w:pPr>
        <w:keepNext w:val="0"/>
        <w:keepLines w:val="0"/>
        <w:pageBreakBefore w:val="0"/>
        <w:widowControl w:val="0"/>
        <w:numPr>
          <w:ilvl w:val="0"/>
          <w:numId w:val="10"/>
        </w:numPr>
        <w:kinsoku/>
        <w:wordWrap/>
        <w:overflowPunct/>
        <w:topLinePunct w:val="0"/>
        <w:autoSpaceDE/>
        <w:autoSpaceDN/>
        <w:bidi w:val="0"/>
        <w:adjustRightInd/>
        <w:snapToGrid/>
        <w:ind w:left="0"/>
        <w:textAlignment w:val="auto"/>
        <w:rPr>
          <w:rFonts w:hint="default"/>
          <w:lang w:val="zh-CN" w:eastAsia="zh-CN"/>
        </w:rPr>
      </w:pPr>
      <w:r>
        <w:rPr>
          <w:rFonts w:hint="default"/>
          <w:lang w:val="zh-CN" w:eastAsia="zh-CN"/>
        </w:rPr>
        <w:t>唐山市曹妃甸区垦丰家居产业园区污水处理厂</w:t>
      </w:r>
      <w:r>
        <w:rPr>
          <w:rFonts w:hint="default"/>
          <w:lang w:val="en-US" w:eastAsia="zh-CN"/>
        </w:rPr>
        <w:t>环评登记表</w:t>
      </w:r>
      <w:r>
        <w:rPr>
          <w:rFonts w:hint="default"/>
          <w:lang w:val="zh-CN" w:eastAsia="zh-CN"/>
        </w:rPr>
        <w:t>；</w:t>
      </w:r>
    </w:p>
    <w:p w14:paraId="6382D9C1">
      <w:pPr>
        <w:keepNext w:val="0"/>
        <w:keepLines w:val="0"/>
        <w:pageBreakBefore w:val="0"/>
        <w:widowControl w:val="0"/>
        <w:numPr>
          <w:ilvl w:val="0"/>
          <w:numId w:val="10"/>
        </w:numPr>
        <w:kinsoku/>
        <w:wordWrap/>
        <w:overflowPunct/>
        <w:topLinePunct w:val="0"/>
        <w:autoSpaceDE/>
        <w:autoSpaceDN/>
        <w:bidi w:val="0"/>
        <w:adjustRightInd/>
        <w:snapToGrid/>
        <w:ind w:left="0"/>
        <w:textAlignment w:val="auto"/>
        <w:rPr>
          <w:rFonts w:hint="default"/>
          <w:lang w:val="en-US" w:eastAsia="zh-CN"/>
        </w:rPr>
      </w:pPr>
      <w:r>
        <w:rPr>
          <w:rFonts w:hint="default"/>
          <w:lang w:val="zh-CN" w:eastAsia="zh-CN"/>
        </w:rPr>
        <w:t>唐山市曹妃甸区垦丰家居产业园区污水处理厂</w:t>
      </w:r>
      <w:r>
        <w:rPr>
          <w:rFonts w:hint="default"/>
          <w:lang w:val="en-US" w:eastAsia="zh-CN"/>
        </w:rPr>
        <w:t>固定污染源登记回执；</w:t>
      </w:r>
    </w:p>
    <w:p w14:paraId="0451B762">
      <w:pPr>
        <w:keepNext w:val="0"/>
        <w:keepLines w:val="0"/>
        <w:pageBreakBefore w:val="0"/>
        <w:widowControl w:val="0"/>
        <w:numPr>
          <w:ilvl w:val="0"/>
          <w:numId w:val="10"/>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《曹妃甸区垦丰家居产业园区控制性详细规</w:t>
      </w:r>
      <w:r>
        <w:rPr>
          <w:rFonts w:hint="default"/>
          <w:highlight w:val="none"/>
          <w:lang w:val="en-US" w:eastAsia="zh-CN"/>
        </w:rPr>
        <w:t>划</w:t>
      </w:r>
      <w:r>
        <w:rPr>
          <w:rFonts w:hint="eastAsia"/>
          <w:highlight w:val="none"/>
          <w:lang w:val="en-US" w:eastAsia="zh-CN"/>
        </w:rPr>
        <w:t>（2018-2023年）</w:t>
      </w:r>
      <w:r>
        <w:rPr>
          <w:rFonts w:hint="default"/>
          <w:highlight w:val="none"/>
          <w:lang w:val="en-US" w:eastAsia="zh-CN"/>
        </w:rPr>
        <w:t>》</w:t>
      </w:r>
    </w:p>
    <w:p w14:paraId="325CC652">
      <w:pPr>
        <w:keepNext w:val="0"/>
        <w:keepLines w:val="0"/>
        <w:pageBreakBefore w:val="0"/>
        <w:widowControl w:val="0"/>
        <w:numPr>
          <w:ilvl w:val="0"/>
          <w:numId w:val="10"/>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《曹妃甸区垦丰家居产业园区环境影响跟踪评价》</w:t>
      </w:r>
    </w:p>
    <w:p w14:paraId="3EA44C21">
      <w:pPr>
        <w:keepNext w:val="0"/>
        <w:keepLines w:val="0"/>
        <w:pageBreakBefore w:val="0"/>
        <w:widowControl w:val="0"/>
        <w:numPr>
          <w:ilvl w:val="0"/>
          <w:numId w:val="10"/>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环境质量现状监测报告；</w:t>
      </w:r>
    </w:p>
    <w:p w14:paraId="4049C1E0">
      <w:pPr>
        <w:keepNext w:val="0"/>
        <w:keepLines w:val="0"/>
        <w:pageBreakBefore w:val="0"/>
        <w:widowControl w:val="0"/>
        <w:numPr>
          <w:ilvl w:val="0"/>
          <w:numId w:val="10"/>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建设单位提供的其它工程技术资料；</w:t>
      </w:r>
    </w:p>
    <w:p w14:paraId="458E2907">
      <w:pPr>
        <w:keepNext w:val="0"/>
        <w:keepLines w:val="0"/>
        <w:pageBreakBefore w:val="0"/>
        <w:widowControl w:val="0"/>
        <w:numPr>
          <w:ilvl w:val="0"/>
          <w:numId w:val="10"/>
        </w:numPr>
        <w:kinsoku/>
        <w:wordWrap/>
        <w:overflowPunct/>
        <w:topLinePunct w:val="0"/>
        <w:autoSpaceDE/>
        <w:autoSpaceDN/>
        <w:bidi w:val="0"/>
        <w:adjustRightInd/>
        <w:snapToGrid/>
        <w:ind w:left="0"/>
        <w:textAlignment w:val="auto"/>
        <w:rPr>
          <w:rFonts w:hint="default"/>
          <w:lang w:val="en-US" w:eastAsia="zh-CN"/>
        </w:rPr>
      </w:pPr>
      <w:r>
        <w:rPr>
          <w:rFonts w:hint="default"/>
          <w:lang w:val="en-US" w:eastAsia="zh-CN"/>
        </w:rPr>
        <w:t>环评委托书。</w:t>
      </w:r>
    </w:p>
    <w:p w14:paraId="0C510536">
      <w:pPr>
        <w:pStyle w:val="7"/>
        <w:bidi w:val="0"/>
        <w:rPr>
          <w:rFonts w:hint="default"/>
        </w:rPr>
      </w:pPr>
      <w:bookmarkStart w:id="66" w:name="_Toc246763514"/>
      <w:bookmarkStart w:id="67" w:name="_Toc13213"/>
      <w:r>
        <w:rPr>
          <w:rFonts w:hint="default"/>
        </w:rPr>
        <w:t>2.2评价目的</w:t>
      </w:r>
      <w:bookmarkEnd w:id="66"/>
      <w:r>
        <w:rPr>
          <w:rFonts w:hint="default"/>
        </w:rPr>
        <w:t>及原则</w:t>
      </w:r>
      <w:bookmarkEnd w:id="67"/>
    </w:p>
    <w:p w14:paraId="0134E276">
      <w:pPr>
        <w:pStyle w:val="6"/>
        <w:pageBreakBefore w:val="0"/>
        <w:widowControl w:val="0"/>
        <w:kinsoku/>
        <w:wordWrap/>
        <w:overflowPunct/>
        <w:topLinePunct w:val="0"/>
        <w:autoSpaceDE/>
        <w:autoSpaceDN/>
        <w:bidi w:val="0"/>
        <w:adjustRightInd/>
        <w:snapToGrid/>
        <w:spacing w:before="0" w:beforeLines="0" w:after="0" w:afterLines="0" w:line="480" w:lineRule="exac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2.2.1评价目的</w:t>
      </w:r>
    </w:p>
    <w:p w14:paraId="3C2CFFCF">
      <w:pPr>
        <w:bidi w:val="0"/>
        <w:rPr>
          <w:rFonts w:hint="default"/>
          <w:lang w:val="en-US" w:eastAsia="zh-CN"/>
        </w:rPr>
      </w:pPr>
      <w:r>
        <w:rPr>
          <w:rFonts w:hint="default"/>
          <w:lang w:val="en-US" w:eastAsia="zh-CN"/>
        </w:rPr>
        <w:t>(1)通过现状调查和监测，掌握项目所在区域的自然环境及环境质量现状，为环境影响评价提供依据。</w:t>
      </w:r>
    </w:p>
    <w:p w14:paraId="1B7F9BA6">
      <w:pPr>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(2)针对本项目的特点和污染特征，确定主要环境影响要素及其污染因子。</w:t>
      </w:r>
    </w:p>
    <w:p w14:paraId="1A065EA0">
      <w:pPr>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(3)遵照产业政策、循环经济及清洁生产的要求，分析论述本项目采用的生产工艺和污染防治措施的先进性和可行性。</w:t>
      </w:r>
    </w:p>
    <w:p w14:paraId="70F6A31A">
      <w:pPr>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(4)预测本项目对当地环境可能造成的影响的范围和程度，从而提出避免和减少污染的对策和措施，并给出总量控制指标。</w:t>
      </w:r>
    </w:p>
    <w:p w14:paraId="3FE6D6AF">
      <w:pPr>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(5)从技术、经济角度分析本项目采用污染治理措施的可行性，从环境保护角度对本项目的建设是否可行作出明确的结论。</w:t>
      </w:r>
    </w:p>
    <w:p w14:paraId="25AF4450">
      <w:pPr>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(6)确保环境影响报告书为主管部门提供决策依据，为设计工作规定防治措施，为环境管理提供科学依据。</w:t>
      </w:r>
    </w:p>
    <w:p w14:paraId="6A84E2B1">
      <w:pPr>
        <w:pStyle w:val="6"/>
        <w:pageBreakBefore w:val="0"/>
        <w:widowControl w:val="0"/>
        <w:kinsoku/>
        <w:wordWrap/>
        <w:overflowPunct/>
        <w:topLinePunct w:val="0"/>
        <w:autoSpaceDE/>
        <w:autoSpaceDN/>
        <w:bidi w:val="0"/>
        <w:adjustRightInd/>
        <w:snapToGrid/>
        <w:spacing w:before="0" w:beforeLines="0" w:after="0" w:afterLines="0" w:line="480" w:lineRule="exac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bookmarkStart w:id="68" w:name="_Toc246763515"/>
      <w:r>
        <w:rPr>
          <w:rFonts w:hint="default" w:ascii="Times New Roman" w:hAnsi="Times New Roman" w:eastAsia="宋体" w:cs="Times New Roman"/>
          <w:color w:val="000000" w:themeColor="text1"/>
          <w:sz w:val="24"/>
          <w:szCs w:val="24"/>
          <w:highlight w:val="none"/>
          <w14:textFill>
            <w14:solidFill>
              <w14:schemeClr w14:val="tx1"/>
            </w14:solidFill>
          </w14:textFill>
        </w:rPr>
        <w:t>2.2.2评价原则</w:t>
      </w:r>
      <w:bookmarkEnd w:id="68"/>
    </w:p>
    <w:p w14:paraId="355415C7">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突出环境影响评价的源头预防作用，坚持保护和改善环境质量。</w:t>
      </w:r>
    </w:p>
    <w:p w14:paraId="3FDF3E0D">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(1)依法评价</w:t>
      </w:r>
    </w:p>
    <w:p w14:paraId="25160B98">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贯彻执行我国环境保护相关法律法规、标准、政策和规划等，优化项目建设，服务环境管理。</w:t>
      </w:r>
    </w:p>
    <w:p w14:paraId="56E27974">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(2)科学评价</w:t>
      </w:r>
    </w:p>
    <w:p w14:paraId="1AF6C1CD">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规范环境影响评价方法，科学分析项目建设对环境质量的影响。</w:t>
      </w:r>
    </w:p>
    <w:p w14:paraId="3C31EB33">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(3)突出重点</w:t>
      </w:r>
    </w:p>
    <w:p w14:paraId="32D2DBA0">
      <w:pPr>
        <w:pageBreakBefore w:val="0"/>
        <w:widowControl w:val="0"/>
        <w:kinsoku/>
        <w:wordWrap/>
        <w:overflowPunct/>
        <w:topLinePunct w:val="0"/>
        <w:autoSpaceDE/>
        <w:autoSpaceDN/>
        <w:bidi w:val="0"/>
        <w:adjustRightInd/>
        <w:snapToGrid/>
        <w:spacing w:line="480" w:lineRule="exact"/>
        <w:ind w:firstLine="48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根据建设项目的工程内容及其特点，明确与环境要素间的作用效应关系，根据规划环境影响评价结论和审查意见，充分利用符合时效的数据资料及成果，对建设项目主要环境影响予以重点分析和评价。</w:t>
      </w:r>
      <w:bookmarkStart w:id="69" w:name="_Toc497978860"/>
      <w:bookmarkStart w:id="70" w:name="_Toc482193203"/>
    </w:p>
    <w:p w14:paraId="00CB4A4B">
      <w:pPr>
        <w:pStyle w:val="7"/>
        <w:bidi w:val="0"/>
        <w:rPr>
          <w:rFonts w:hint="default"/>
        </w:rPr>
      </w:pPr>
      <w:bookmarkStart w:id="71" w:name="_Toc24569"/>
      <w:r>
        <w:rPr>
          <w:rFonts w:hint="default"/>
        </w:rPr>
        <w:t>2.3评价内容和评价重点</w:t>
      </w:r>
      <w:bookmarkEnd w:id="69"/>
      <w:bookmarkEnd w:id="70"/>
      <w:bookmarkEnd w:id="71"/>
    </w:p>
    <w:p w14:paraId="2658F5F0">
      <w:pPr>
        <w:pStyle w:val="6"/>
        <w:pageBreakBefore w:val="0"/>
        <w:widowControl w:val="0"/>
        <w:kinsoku/>
        <w:wordWrap/>
        <w:overflowPunct/>
        <w:topLinePunct w:val="0"/>
        <w:autoSpaceDE/>
        <w:autoSpaceDN/>
        <w:bidi w:val="0"/>
        <w:adjustRightInd/>
        <w:snapToGrid/>
        <w:spacing w:before="0" w:beforeLines="0" w:after="0" w:afterLines="0" w:line="480" w:lineRule="exac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2.3.1评价内容</w:t>
      </w:r>
    </w:p>
    <w:p w14:paraId="26B2DD90">
      <w:pPr>
        <w:pageBreakBefore w:val="0"/>
        <w:widowControl w:val="0"/>
        <w:kinsoku/>
        <w:wordWrap/>
        <w:overflowPunct/>
        <w:topLinePunct w:val="0"/>
        <w:autoSpaceDE/>
        <w:autoSpaceDN/>
        <w:bidi w:val="0"/>
        <w:adjustRightInd/>
        <w:snapToGrid/>
        <w:spacing w:line="480" w:lineRule="exact"/>
        <w:ind w:firstLine="360" w:firstLineChars="15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根据拟建项目的工程特点和区域环境特征，并按照</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导则</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的要求，将本次评价工作内容包括：概述、总则、建设项目工程分析、环境现状调查与评价、环境影响预测与评价、</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环境保护</w:t>
      </w:r>
      <w:r>
        <w:rPr>
          <w:rFonts w:hint="default" w:ascii="Times New Roman" w:hAnsi="Times New Roman" w:eastAsia="宋体" w:cs="Times New Roman"/>
          <w:color w:val="000000" w:themeColor="text1"/>
          <w:kern w:val="0"/>
          <w:sz w:val="24"/>
          <w:szCs w:val="24"/>
          <w:highlight w:val="none"/>
          <w:lang w:val="zh-CN"/>
          <w14:textFill>
            <w14:solidFill>
              <w14:schemeClr w14:val="tx1"/>
            </w14:solidFill>
          </w14:textFill>
        </w:rPr>
        <w:t>措施</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及其</w:t>
      </w:r>
      <w:r>
        <w:rPr>
          <w:rFonts w:hint="default" w:ascii="Times New Roman" w:hAnsi="Times New Roman" w:eastAsia="宋体" w:cs="Times New Roman"/>
          <w:color w:val="000000" w:themeColor="text1"/>
          <w:kern w:val="0"/>
          <w:sz w:val="24"/>
          <w:szCs w:val="24"/>
          <w:highlight w:val="none"/>
          <w:lang w:val="zh-CN"/>
          <w14:textFill>
            <w14:solidFill>
              <w14:schemeClr w14:val="tx1"/>
            </w14:solidFill>
          </w14:textFill>
        </w:rPr>
        <w:t>可行性论证、环境影响经济损益分析、环境管理与监测计划、</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环境影响评价的结论</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34EB1AB3">
      <w:pPr>
        <w:pStyle w:val="6"/>
        <w:pageBreakBefore w:val="0"/>
        <w:widowControl w:val="0"/>
        <w:kinsoku/>
        <w:wordWrap/>
        <w:overflowPunct/>
        <w:topLinePunct w:val="0"/>
        <w:autoSpaceDE/>
        <w:autoSpaceDN/>
        <w:bidi w:val="0"/>
        <w:adjustRightInd/>
        <w:snapToGrid/>
        <w:spacing w:before="0" w:beforeLines="0" w:after="0" w:afterLines="0" w:line="480" w:lineRule="exac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2.3.2评价重点</w:t>
      </w:r>
    </w:p>
    <w:p w14:paraId="6DA390C3">
      <w:pPr>
        <w:pageBreakBefore w:val="0"/>
        <w:widowControl w:val="0"/>
        <w:tabs>
          <w:tab w:val="left" w:pos="1170"/>
        </w:tabs>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结合拟建项目的排污特点及周围环境特征，确定本次评价工作重点为：工程分析、运营期环境影响评价（大气环境影响评价、水环境影响评价、声环境影响评价）、</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环境保护</w:t>
      </w:r>
      <w:r>
        <w:rPr>
          <w:rFonts w:hint="default" w:ascii="Times New Roman" w:hAnsi="Times New Roman" w:eastAsia="宋体" w:cs="Times New Roman"/>
          <w:color w:val="000000" w:themeColor="text1"/>
          <w:sz w:val="24"/>
          <w:szCs w:val="24"/>
          <w:highlight w:val="none"/>
          <w14:textFill>
            <w14:solidFill>
              <w14:schemeClr w14:val="tx1"/>
            </w14:solidFill>
          </w14:textFill>
        </w:rPr>
        <w:t>措施</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及其</w:t>
      </w:r>
      <w:r>
        <w:rPr>
          <w:rFonts w:hint="default" w:ascii="Times New Roman" w:hAnsi="Times New Roman" w:eastAsia="宋体" w:cs="Times New Roman"/>
          <w:color w:val="000000" w:themeColor="text1"/>
          <w:sz w:val="24"/>
          <w:szCs w:val="24"/>
          <w:highlight w:val="none"/>
          <w14:textFill>
            <w14:solidFill>
              <w14:schemeClr w14:val="tx1"/>
            </w14:solidFill>
          </w14:textFill>
        </w:rPr>
        <w:t>可行性论证等。</w:t>
      </w:r>
    </w:p>
    <w:p w14:paraId="38C13662">
      <w:pPr>
        <w:pStyle w:val="7"/>
        <w:bidi w:val="0"/>
        <w:rPr>
          <w:rFonts w:hint="default"/>
          <w:lang w:val="en-US" w:eastAsia="zh-CN"/>
        </w:rPr>
      </w:pPr>
      <w:bookmarkStart w:id="72" w:name="_Toc497978861"/>
      <w:bookmarkStart w:id="73" w:name="_Toc30733"/>
      <w:r>
        <w:rPr>
          <w:rFonts w:hint="default"/>
        </w:rPr>
        <w:t>2.4环境影响识别与评价因子筛选</w:t>
      </w:r>
      <w:bookmarkEnd w:id="72"/>
      <w:bookmarkEnd w:id="73"/>
    </w:p>
    <w:p w14:paraId="4D2CC492">
      <w:pPr>
        <w:pStyle w:val="6"/>
        <w:pageBreakBefore w:val="0"/>
        <w:widowControl w:val="0"/>
        <w:kinsoku/>
        <w:wordWrap/>
        <w:overflowPunct/>
        <w:topLinePunct w:val="0"/>
        <w:autoSpaceDE/>
        <w:autoSpaceDN/>
        <w:bidi w:val="0"/>
        <w:adjustRightInd/>
        <w:snapToGrid/>
        <w:spacing w:before="0" w:beforeLines="0" w:after="0" w:afterLines="0" w:line="480" w:lineRule="exac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2.4.1环境影响因素识别</w:t>
      </w:r>
    </w:p>
    <w:p w14:paraId="764E70B8">
      <w:pPr>
        <w:pageBreakBefore w:val="0"/>
        <w:widowControl w:val="0"/>
        <w:tabs>
          <w:tab w:val="left" w:pos="1170"/>
        </w:tabs>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根据该项目的生产特点和污染物的排放种类、排放量以及对环境的影响，将建设和生产过程中产生的污染物及对环境的影响列于表2.4-1。</w:t>
      </w:r>
    </w:p>
    <w:p w14:paraId="2FD6BCF0">
      <w:pPr>
        <w:pageBreakBefore w:val="0"/>
        <w:widowControl w:val="0"/>
        <w:tabs>
          <w:tab w:val="left" w:pos="1170"/>
        </w:tabs>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p>
    <w:p w14:paraId="50D10D09">
      <w:pPr>
        <w:pageBreakBefore w:val="0"/>
        <w:widowControl w:val="0"/>
        <w:tabs>
          <w:tab w:val="left" w:pos="1170"/>
        </w:tabs>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p>
    <w:p w14:paraId="2F95EECD">
      <w:pPr>
        <w:pageBreakBefore w:val="0"/>
        <w:widowControl w:val="0"/>
        <w:numPr>
          <w:ilvl w:val="0"/>
          <w:numId w:val="11"/>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color w:val="000000" w:themeColor="text1"/>
          <w:sz w:val="24"/>
          <w:szCs w:val="24"/>
          <w:highlight w:val="none"/>
          <w14:textFill>
            <w14:solidFill>
              <w14:schemeClr w14:val="tx1"/>
            </w14:solidFill>
          </w14:textFill>
        </w:rPr>
      </w:pPr>
      <w:r>
        <w:rPr>
          <w:rFonts w:hint="default" w:ascii="Times New Roman" w:hAnsi="Times New Roman" w:eastAsia="宋体" w:cs="Times New Roman"/>
          <w:b/>
          <w:color w:val="000000" w:themeColor="text1"/>
          <w:sz w:val="24"/>
          <w:szCs w:val="24"/>
          <w:highlight w:val="none"/>
          <w14:textFill>
            <w14:solidFill>
              <w14:schemeClr w14:val="tx1"/>
            </w14:solidFill>
          </w14:textFill>
        </w:rPr>
        <w:t>环境影响因素识别矩阵表</w:t>
      </w:r>
    </w:p>
    <w:tbl>
      <w:tblPr>
        <w:tblStyle w:val="88"/>
        <w:tblW w:w="5015"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651"/>
        <w:gridCol w:w="1927"/>
        <w:gridCol w:w="1370"/>
        <w:gridCol w:w="1370"/>
        <w:gridCol w:w="1233"/>
        <w:gridCol w:w="1256"/>
        <w:gridCol w:w="1322"/>
      </w:tblGrid>
      <w:tr w14:paraId="773D3D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412" w:type="pct"/>
            <w:gridSpan w:val="2"/>
            <w:vMerge w:val="restart"/>
            <w:noWrap w:val="0"/>
            <w:vAlign w:val="center"/>
            <mc:AlternateContent>
              <mc:Choice Requires="wpsCustomData">
                <wpsCustomData:diagonals>
                  <wpsCustomData:diagonal from="10000" to="30000">
                    <wpsCustomData:border w:val="single" w:color="auto" w:sz="12" w:space="0"/>
                  </wpsCustomData:diagonal>
                </wpsCustomData:diagonals>
              </mc:Choice>
            </mc:AlternateContent>
          </w:tcPr>
          <w:p w14:paraId="28EA2D2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p w14:paraId="2F13D99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mc:AlternateContent>
                <mc:Choice Requires="wpsCustomData">
                  <wpsCustomData:diagonalParaType/>
                </mc:Choice>
              </mc:AlternateContent>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影响因素</w:t>
            </w:r>
          </w:p>
          <w:p w14:paraId="311F41B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环境因素</w:t>
            </w:r>
          </w:p>
          <w:p w14:paraId="257C862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p>
        </w:tc>
        <w:tc>
          <w:tcPr>
            <w:tcW w:w="2863" w:type="pct"/>
            <w:gridSpan w:val="4"/>
            <w:noWrap w:val="0"/>
            <w:vAlign w:val="center"/>
          </w:tcPr>
          <w:p w14:paraId="71A5E3E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自然环境</w:t>
            </w:r>
          </w:p>
        </w:tc>
        <w:tc>
          <w:tcPr>
            <w:tcW w:w="724" w:type="pct"/>
            <w:noWrap w:val="0"/>
            <w:vAlign w:val="center"/>
          </w:tcPr>
          <w:p w14:paraId="5C35539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生态环境</w:t>
            </w:r>
          </w:p>
        </w:tc>
      </w:tr>
      <w:tr w14:paraId="62394F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412" w:type="pct"/>
            <w:gridSpan w:val="2"/>
            <w:vMerge w:val="continue"/>
            <w:noWrap w:val="0"/>
            <w:vAlign w:val="center"/>
          </w:tcPr>
          <w:p w14:paraId="3617725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750" w:type="pct"/>
            <w:noWrap w:val="0"/>
            <w:vAlign w:val="center"/>
          </w:tcPr>
          <w:p w14:paraId="61DA509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环境空气</w:t>
            </w:r>
          </w:p>
        </w:tc>
        <w:tc>
          <w:tcPr>
            <w:tcW w:w="750" w:type="pct"/>
            <w:noWrap w:val="0"/>
            <w:vAlign w:val="center"/>
          </w:tcPr>
          <w:p w14:paraId="44B990A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水环境</w:t>
            </w:r>
          </w:p>
        </w:tc>
        <w:tc>
          <w:tcPr>
            <w:tcW w:w="675" w:type="pct"/>
            <w:noWrap w:val="0"/>
            <w:vAlign w:val="center"/>
          </w:tcPr>
          <w:p w14:paraId="3B7FBD7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声环境</w:t>
            </w:r>
          </w:p>
        </w:tc>
        <w:tc>
          <w:tcPr>
            <w:tcW w:w="687" w:type="pct"/>
            <w:noWrap w:val="0"/>
            <w:vAlign w:val="center"/>
          </w:tcPr>
          <w:p w14:paraId="22C03AA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土壤环境</w:t>
            </w:r>
          </w:p>
        </w:tc>
        <w:tc>
          <w:tcPr>
            <w:tcW w:w="724" w:type="pct"/>
            <w:noWrap w:val="0"/>
            <w:vAlign w:val="center"/>
          </w:tcPr>
          <w:p w14:paraId="0DB9EB1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景观</w:t>
            </w:r>
          </w:p>
        </w:tc>
      </w:tr>
      <w:tr w14:paraId="78E1CEE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restart"/>
            <w:noWrap w:val="0"/>
            <w:textDirection w:val="tbRlV"/>
            <w:vAlign w:val="center"/>
          </w:tcPr>
          <w:p w14:paraId="48BFA17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施工期</w:t>
            </w:r>
          </w:p>
        </w:tc>
        <w:tc>
          <w:tcPr>
            <w:tcW w:w="1054" w:type="pct"/>
            <w:noWrap w:val="0"/>
            <w:vAlign w:val="center"/>
          </w:tcPr>
          <w:p w14:paraId="4C79B8C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地基处理</w:t>
            </w:r>
          </w:p>
        </w:tc>
        <w:tc>
          <w:tcPr>
            <w:tcW w:w="750" w:type="pct"/>
            <w:noWrap w:val="0"/>
            <w:vAlign w:val="center"/>
          </w:tcPr>
          <w:p w14:paraId="08ABA54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-1D</w:t>
            </w:r>
          </w:p>
        </w:tc>
        <w:tc>
          <w:tcPr>
            <w:tcW w:w="750" w:type="pct"/>
            <w:noWrap w:val="0"/>
            <w:vAlign w:val="center"/>
          </w:tcPr>
          <w:p w14:paraId="52486EB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675" w:type="pct"/>
            <w:noWrap w:val="0"/>
            <w:vAlign w:val="center"/>
          </w:tcPr>
          <w:p w14:paraId="20E1C1C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-1D</w:t>
            </w:r>
          </w:p>
        </w:tc>
        <w:tc>
          <w:tcPr>
            <w:tcW w:w="687" w:type="pct"/>
            <w:noWrap w:val="0"/>
            <w:vAlign w:val="center"/>
          </w:tcPr>
          <w:p w14:paraId="446A15B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724" w:type="pct"/>
            <w:noWrap w:val="0"/>
            <w:vAlign w:val="center"/>
          </w:tcPr>
          <w:p w14:paraId="124437E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-1D</w:t>
            </w:r>
          </w:p>
        </w:tc>
      </w:tr>
      <w:tr w14:paraId="0C932F9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noWrap w:val="0"/>
            <w:textDirection w:val="tbRlV"/>
            <w:vAlign w:val="center"/>
          </w:tcPr>
          <w:p w14:paraId="0D6A082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1054" w:type="pct"/>
            <w:noWrap w:val="0"/>
            <w:vAlign w:val="center"/>
          </w:tcPr>
          <w:p w14:paraId="47BD737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基建施工</w:t>
            </w:r>
          </w:p>
        </w:tc>
        <w:tc>
          <w:tcPr>
            <w:tcW w:w="750" w:type="pct"/>
            <w:noWrap w:val="0"/>
            <w:vAlign w:val="center"/>
          </w:tcPr>
          <w:p w14:paraId="3F078A5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-1D</w:t>
            </w:r>
          </w:p>
        </w:tc>
        <w:tc>
          <w:tcPr>
            <w:tcW w:w="750" w:type="pct"/>
            <w:noWrap w:val="0"/>
            <w:vAlign w:val="center"/>
          </w:tcPr>
          <w:p w14:paraId="4B61076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-1D</w:t>
            </w:r>
          </w:p>
        </w:tc>
        <w:tc>
          <w:tcPr>
            <w:tcW w:w="675" w:type="pct"/>
            <w:noWrap w:val="0"/>
            <w:vAlign w:val="center"/>
          </w:tcPr>
          <w:p w14:paraId="0EBEED2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-1D</w:t>
            </w:r>
          </w:p>
        </w:tc>
        <w:tc>
          <w:tcPr>
            <w:tcW w:w="687" w:type="pct"/>
            <w:noWrap w:val="0"/>
            <w:vAlign w:val="center"/>
          </w:tcPr>
          <w:p w14:paraId="6AF561C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724" w:type="pct"/>
            <w:noWrap w:val="0"/>
            <w:vAlign w:val="center"/>
          </w:tcPr>
          <w:p w14:paraId="2C7ED0F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r>
      <w:tr w14:paraId="382D65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noWrap w:val="0"/>
            <w:textDirection w:val="tbRlV"/>
            <w:vAlign w:val="center"/>
          </w:tcPr>
          <w:p w14:paraId="4A289E8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1054" w:type="pct"/>
            <w:noWrap w:val="0"/>
            <w:vAlign w:val="center"/>
          </w:tcPr>
          <w:p w14:paraId="205778B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材料运输</w:t>
            </w:r>
          </w:p>
        </w:tc>
        <w:tc>
          <w:tcPr>
            <w:tcW w:w="750" w:type="pct"/>
            <w:noWrap w:val="0"/>
            <w:vAlign w:val="center"/>
          </w:tcPr>
          <w:p w14:paraId="47D736A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-1D</w:t>
            </w:r>
          </w:p>
        </w:tc>
        <w:tc>
          <w:tcPr>
            <w:tcW w:w="750" w:type="pct"/>
            <w:noWrap w:val="0"/>
            <w:vAlign w:val="center"/>
          </w:tcPr>
          <w:p w14:paraId="426B51B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675" w:type="pct"/>
            <w:noWrap w:val="0"/>
            <w:vAlign w:val="center"/>
          </w:tcPr>
          <w:p w14:paraId="0C73004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-1D</w:t>
            </w:r>
          </w:p>
        </w:tc>
        <w:tc>
          <w:tcPr>
            <w:tcW w:w="687" w:type="pct"/>
            <w:noWrap w:val="0"/>
            <w:vAlign w:val="center"/>
          </w:tcPr>
          <w:p w14:paraId="0917EB1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724" w:type="pct"/>
            <w:noWrap w:val="0"/>
            <w:vAlign w:val="center"/>
          </w:tcPr>
          <w:p w14:paraId="32A9D26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r>
      <w:tr w14:paraId="53F98E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noWrap w:val="0"/>
            <w:textDirection w:val="tbRlV"/>
            <w:vAlign w:val="center"/>
          </w:tcPr>
          <w:p w14:paraId="1D0430C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1054" w:type="pct"/>
            <w:noWrap w:val="0"/>
            <w:vAlign w:val="center"/>
          </w:tcPr>
          <w:p w14:paraId="0A57829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建筑材料堆存</w:t>
            </w:r>
          </w:p>
        </w:tc>
        <w:tc>
          <w:tcPr>
            <w:tcW w:w="750" w:type="pct"/>
            <w:noWrap w:val="0"/>
            <w:vAlign w:val="center"/>
          </w:tcPr>
          <w:p w14:paraId="6E60D12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-1D</w:t>
            </w:r>
          </w:p>
        </w:tc>
        <w:tc>
          <w:tcPr>
            <w:tcW w:w="750" w:type="pct"/>
            <w:noWrap w:val="0"/>
            <w:vAlign w:val="center"/>
          </w:tcPr>
          <w:p w14:paraId="3C2EAD0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675" w:type="pct"/>
            <w:noWrap w:val="0"/>
            <w:vAlign w:val="center"/>
          </w:tcPr>
          <w:p w14:paraId="6425AFD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687" w:type="pct"/>
            <w:noWrap w:val="0"/>
            <w:vAlign w:val="center"/>
          </w:tcPr>
          <w:p w14:paraId="1E3D2E8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-1D</w:t>
            </w:r>
          </w:p>
        </w:tc>
        <w:tc>
          <w:tcPr>
            <w:tcW w:w="724" w:type="pct"/>
            <w:noWrap w:val="0"/>
            <w:vAlign w:val="center"/>
          </w:tcPr>
          <w:p w14:paraId="3FD4DEF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-1D</w:t>
            </w:r>
          </w:p>
        </w:tc>
      </w:tr>
      <w:tr w14:paraId="29D4D17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restart"/>
            <w:noWrap w:val="0"/>
            <w:textDirection w:val="tbRlV"/>
            <w:vAlign w:val="center"/>
          </w:tcPr>
          <w:p w14:paraId="166BC9C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营运期</w:t>
            </w:r>
          </w:p>
        </w:tc>
        <w:tc>
          <w:tcPr>
            <w:tcW w:w="1054" w:type="pct"/>
            <w:noWrap w:val="0"/>
            <w:vAlign w:val="center"/>
          </w:tcPr>
          <w:p w14:paraId="152E601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21"/>
                <w:szCs w:val="21"/>
                <w:highlight w:val="none"/>
                <w:lang w:eastAsia="zh-CN"/>
              </w:rPr>
            </w:pPr>
            <w:r>
              <w:rPr>
                <w:rFonts w:hint="eastAsia" w:cs="Times New Roman"/>
                <w:sz w:val="21"/>
                <w:szCs w:val="21"/>
                <w:highlight w:val="none"/>
                <w:lang w:val="en-US" w:eastAsia="zh-CN"/>
              </w:rPr>
              <w:t>污水处理过程</w:t>
            </w:r>
          </w:p>
        </w:tc>
        <w:tc>
          <w:tcPr>
            <w:tcW w:w="750" w:type="pct"/>
            <w:noWrap w:val="0"/>
            <w:vAlign w:val="center"/>
          </w:tcPr>
          <w:p w14:paraId="67F54AA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z w:val="21"/>
                <w:szCs w:val="21"/>
                <w:highlight w:val="none"/>
              </w:rPr>
              <w:t>-2C</w:t>
            </w:r>
          </w:p>
        </w:tc>
        <w:tc>
          <w:tcPr>
            <w:tcW w:w="750" w:type="pct"/>
            <w:noWrap w:val="0"/>
            <w:vAlign w:val="center"/>
          </w:tcPr>
          <w:p w14:paraId="2F6EBF0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z w:val="21"/>
                <w:szCs w:val="21"/>
                <w:highlight w:val="none"/>
              </w:rPr>
              <w:t>+1C</w:t>
            </w:r>
          </w:p>
        </w:tc>
        <w:tc>
          <w:tcPr>
            <w:tcW w:w="675" w:type="pct"/>
            <w:noWrap w:val="0"/>
            <w:vAlign w:val="center"/>
          </w:tcPr>
          <w:p w14:paraId="0737C45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highlight w:val="none"/>
              </w:rPr>
            </w:pPr>
            <w:r>
              <w:rPr>
                <w:rFonts w:hint="eastAsia" w:ascii="Times New Roman" w:hAnsi="Times New Roman" w:eastAsia="宋体" w:cs="Times New Roman"/>
                <w:sz w:val="21"/>
                <w:szCs w:val="21"/>
                <w:highlight w:val="none"/>
              </w:rPr>
              <w:t>-1C</w:t>
            </w:r>
          </w:p>
        </w:tc>
        <w:tc>
          <w:tcPr>
            <w:tcW w:w="687" w:type="pct"/>
            <w:noWrap w:val="0"/>
            <w:vAlign w:val="center"/>
          </w:tcPr>
          <w:p w14:paraId="49B7E3E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z w:val="21"/>
                <w:szCs w:val="21"/>
                <w:highlight w:val="none"/>
              </w:rPr>
              <w:t>-1C</w:t>
            </w:r>
          </w:p>
        </w:tc>
        <w:tc>
          <w:tcPr>
            <w:tcW w:w="724" w:type="pct"/>
            <w:noWrap w:val="0"/>
            <w:vAlign w:val="center"/>
          </w:tcPr>
          <w:p w14:paraId="1A6E5C1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highlight w:val="none"/>
              </w:rPr>
            </w:pPr>
          </w:p>
        </w:tc>
      </w:tr>
      <w:tr w14:paraId="6E8CEB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57" w:type="pct"/>
            <w:vMerge w:val="continue"/>
            <w:noWrap w:val="0"/>
            <w:textDirection w:val="tbRlV"/>
            <w:vAlign w:val="center"/>
          </w:tcPr>
          <w:p w14:paraId="50D4B02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1054" w:type="pct"/>
            <w:noWrap w:val="0"/>
            <w:vAlign w:val="center"/>
          </w:tcPr>
          <w:p w14:paraId="19AA1F1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21"/>
                <w:szCs w:val="21"/>
                <w:highlight w:val="none"/>
                <w:lang w:eastAsia="zh-CN"/>
              </w:rPr>
            </w:pPr>
            <w:r>
              <w:rPr>
                <w:rFonts w:hint="eastAsia" w:cs="Times New Roman"/>
                <w:sz w:val="21"/>
                <w:szCs w:val="21"/>
                <w:highlight w:val="none"/>
                <w:lang w:val="en-US" w:eastAsia="zh-CN"/>
              </w:rPr>
              <w:t>污泥处理过程</w:t>
            </w:r>
          </w:p>
        </w:tc>
        <w:tc>
          <w:tcPr>
            <w:tcW w:w="750" w:type="pct"/>
            <w:noWrap w:val="0"/>
            <w:vAlign w:val="center"/>
          </w:tcPr>
          <w:p w14:paraId="44D28BC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highlight w:val="none"/>
              </w:rPr>
            </w:pPr>
            <w:bookmarkStart w:id="74" w:name="OLE_LINK97"/>
            <w:r>
              <w:rPr>
                <w:rFonts w:hint="default" w:ascii="Times New Roman" w:hAnsi="Times New Roman" w:eastAsia="宋体" w:cs="Times New Roman"/>
                <w:sz w:val="21"/>
                <w:szCs w:val="21"/>
                <w:highlight w:val="none"/>
              </w:rPr>
              <w:t>-2C</w:t>
            </w:r>
            <w:bookmarkEnd w:id="74"/>
          </w:p>
        </w:tc>
        <w:tc>
          <w:tcPr>
            <w:tcW w:w="750" w:type="pct"/>
            <w:noWrap w:val="0"/>
            <w:vAlign w:val="center"/>
          </w:tcPr>
          <w:p w14:paraId="534EC1D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z w:val="21"/>
                <w:szCs w:val="21"/>
                <w:highlight w:val="none"/>
              </w:rPr>
              <w:t>-1C</w:t>
            </w:r>
          </w:p>
        </w:tc>
        <w:tc>
          <w:tcPr>
            <w:tcW w:w="675" w:type="pct"/>
            <w:noWrap w:val="0"/>
            <w:vAlign w:val="center"/>
          </w:tcPr>
          <w:p w14:paraId="5A5F6BA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highlight w:val="none"/>
              </w:rPr>
            </w:pPr>
            <w:r>
              <w:rPr>
                <w:rFonts w:hint="eastAsia" w:ascii="Times New Roman" w:hAnsi="Times New Roman" w:eastAsia="宋体" w:cs="Times New Roman"/>
                <w:sz w:val="21"/>
                <w:szCs w:val="21"/>
                <w:highlight w:val="none"/>
              </w:rPr>
              <w:t>-1C</w:t>
            </w:r>
          </w:p>
        </w:tc>
        <w:tc>
          <w:tcPr>
            <w:tcW w:w="687" w:type="pct"/>
            <w:noWrap w:val="0"/>
            <w:vAlign w:val="center"/>
          </w:tcPr>
          <w:p w14:paraId="3E0D93B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z w:val="21"/>
                <w:szCs w:val="21"/>
                <w:highlight w:val="none"/>
              </w:rPr>
              <w:t>-1C</w:t>
            </w:r>
          </w:p>
        </w:tc>
        <w:tc>
          <w:tcPr>
            <w:tcW w:w="724" w:type="pct"/>
            <w:noWrap w:val="0"/>
            <w:vAlign w:val="center"/>
          </w:tcPr>
          <w:p w14:paraId="3218B77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highlight w:val="none"/>
              </w:rPr>
            </w:pPr>
          </w:p>
        </w:tc>
      </w:tr>
    </w:tbl>
    <w:p w14:paraId="5E8BF6C5">
      <w:pPr>
        <w:spacing w:line="240" w:lineRule="exact"/>
        <w:ind w:firstLine="360" w:firstLineChars="200"/>
        <w:rPr>
          <w:rFonts w:hint="default" w:ascii="Times New Roman" w:hAnsi="Times New Roman" w:eastAsia="宋体" w:cs="Times New Roman"/>
          <w:color w:val="000000" w:themeColor="text1"/>
          <w:sz w:val="18"/>
          <w:szCs w:val="18"/>
          <w:highlight w:val="none"/>
          <w14:textFill>
            <w14:solidFill>
              <w14:schemeClr w14:val="tx1"/>
            </w14:solidFill>
          </w14:textFill>
        </w:rPr>
      </w:pPr>
      <w:r>
        <w:rPr>
          <w:rFonts w:hint="default" w:ascii="Times New Roman" w:hAnsi="Times New Roman" w:eastAsia="宋体" w:cs="Times New Roman"/>
          <w:color w:val="000000" w:themeColor="text1"/>
          <w:sz w:val="18"/>
          <w:szCs w:val="18"/>
          <w:highlight w:val="none"/>
          <w14:textFill>
            <w14:solidFill>
              <w14:schemeClr w14:val="tx1"/>
            </w14:solidFill>
          </w14:textFill>
        </w:rPr>
        <w:t>备注：1、表中+表示正效益，-表示负效益；</w:t>
      </w:r>
    </w:p>
    <w:p w14:paraId="3E7693AA">
      <w:pPr>
        <w:spacing w:line="240" w:lineRule="exact"/>
        <w:ind w:firstLine="900" w:firstLineChars="500"/>
        <w:rPr>
          <w:rFonts w:hint="default" w:ascii="Times New Roman" w:hAnsi="Times New Roman" w:eastAsia="宋体" w:cs="Times New Roman"/>
          <w:color w:val="000000" w:themeColor="text1"/>
          <w:sz w:val="18"/>
          <w:szCs w:val="18"/>
          <w:highlight w:val="none"/>
          <w14:textFill>
            <w14:solidFill>
              <w14:schemeClr w14:val="tx1"/>
            </w14:solidFill>
          </w14:textFill>
        </w:rPr>
      </w:pPr>
      <w:r>
        <w:rPr>
          <w:rFonts w:hint="default" w:ascii="Times New Roman" w:hAnsi="Times New Roman" w:eastAsia="宋体" w:cs="Times New Roman"/>
          <w:color w:val="000000" w:themeColor="text1"/>
          <w:sz w:val="18"/>
          <w:szCs w:val="18"/>
          <w:highlight w:val="none"/>
          <w14:textFill>
            <w14:solidFill>
              <w14:schemeClr w14:val="tx1"/>
            </w14:solidFill>
          </w14:textFill>
        </w:rPr>
        <w:t>2、表中数字表示影响的相对程度，1表示影响较小，2表示影响中等，3表示影响较大；</w:t>
      </w:r>
    </w:p>
    <w:p w14:paraId="447D4802">
      <w:pPr>
        <w:spacing w:line="240" w:lineRule="exact"/>
        <w:ind w:firstLine="900" w:firstLineChars="500"/>
        <w:rPr>
          <w:rFonts w:hint="default" w:ascii="Times New Roman" w:hAnsi="Times New Roman" w:eastAsia="宋体" w:cs="Times New Roman"/>
          <w:b/>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18"/>
          <w:szCs w:val="18"/>
          <w:highlight w:val="none"/>
          <w14:textFill>
            <w14:solidFill>
              <w14:schemeClr w14:val="tx1"/>
            </w14:solidFill>
          </w14:textFill>
        </w:rPr>
        <w:t>3、表中D表示短期影响，C表示长期影响。</w:t>
      </w:r>
    </w:p>
    <w:p w14:paraId="218A9AE7">
      <w:pPr>
        <w:rPr>
          <w:rFonts w:hint="default"/>
        </w:rPr>
      </w:pPr>
      <w:r>
        <w:rPr>
          <w:rFonts w:hint="default"/>
        </w:rPr>
        <w:t>由上表可知，拟建项目的建设对环境的影响是多方面的，既存在短期、局部及可恢复的或正或负的影响，也存在长期的或正或负的影响。施工期主要表现在对自然环境要素产生一定程度的负面影响，施工期的影响是局部的、短期的，且随着施工期的结束而消</w:t>
      </w:r>
      <w:r>
        <w:rPr>
          <w:rFonts w:hint="default"/>
          <w:highlight w:val="none"/>
        </w:rPr>
        <w:t>失。</w:t>
      </w:r>
    </w:p>
    <w:p w14:paraId="79291F1E">
      <w:pPr>
        <w:pStyle w:val="6"/>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2.4.2评价因子</w:t>
      </w:r>
    </w:p>
    <w:p w14:paraId="637A58AC">
      <w:pPr>
        <w:rPr>
          <w:rFonts w:hint="default"/>
        </w:rPr>
      </w:pPr>
      <w:r>
        <w:rPr>
          <w:rFonts w:hint="default"/>
        </w:rPr>
        <w:t>根据环境影响因素识别的结果，结合区域环境质量现状，以及项目特点和污染物排放特征，确定拟建项目评价因子见表2.4-2。</w:t>
      </w:r>
    </w:p>
    <w:p w14:paraId="5B693910">
      <w:pPr>
        <w:pageBreakBefore w:val="0"/>
        <w:widowControl w:val="0"/>
        <w:numPr>
          <w:ilvl w:val="0"/>
          <w:numId w:val="11"/>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color w:val="000000" w:themeColor="text1"/>
          <w:sz w:val="24"/>
          <w:szCs w:val="24"/>
          <w:highlight w:val="none"/>
          <w14:textFill>
            <w14:solidFill>
              <w14:schemeClr w14:val="tx1"/>
            </w14:solidFill>
          </w14:textFill>
        </w:rPr>
      </w:pPr>
      <w:r>
        <w:rPr>
          <w:rFonts w:hint="default" w:ascii="Times New Roman" w:hAnsi="Times New Roman" w:eastAsia="宋体" w:cs="Times New Roman"/>
          <w:b/>
          <w:color w:val="000000" w:themeColor="text1"/>
          <w:sz w:val="24"/>
          <w:szCs w:val="24"/>
          <w:highlight w:val="none"/>
          <w14:textFill>
            <w14:solidFill>
              <w14:schemeClr w14:val="tx1"/>
            </w14:solidFill>
          </w14:textFill>
        </w:rPr>
        <w:t>评价因子一览表</w:t>
      </w:r>
    </w:p>
    <w:tbl>
      <w:tblPr>
        <w:tblStyle w:val="47"/>
        <w:tblW w:w="4990" w:type="pct"/>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autofit"/>
        <w:tblCellMar>
          <w:top w:w="0" w:type="dxa"/>
          <w:left w:w="108" w:type="dxa"/>
          <w:bottom w:w="0" w:type="dxa"/>
          <w:right w:w="108" w:type="dxa"/>
        </w:tblCellMar>
      </w:tblPr>
      <w:tblGrid>
        <w:gridCol w:w="548"/>
        <w:gridCol w:w="846"/>
        <w:gridCol w:w="1283"/>
        <w:gridCol w:w="1608"/>
        <w:gridCol w:w="4984"/>
      </w:tblGrid>
      <w:tr w14:paraId="56CF844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96" w:type="pct"/>
            <w:vMerge w:val="restart"/>
            <w:tcBorders>
              <w:tl2br w:val="nil"/>
              <w:tr2bl w:val="nil"/>
            </w:tcBorders>
            <w:noWrap w:val="0"/>
            <w:vAlign w:val="center"/>
          </w:tcPr>
          <w:p w14:paraId="2493A6FC">
            <w:pPr>
              <w:pStyle w:val="58"/>
              <w:bidi w:val="0"/>
              <w:rPr>
                <w:rFonts w:hint="default"/>
              </w:rPr>
            </w:pPr>
            <w:bookmarkStart w:id="75" w:name="_Toc246763518"/>
            <w:r>
              <w:rPr>
                <w:rFonts w:hint="default"/>
              </w:rPr>
              <w:t>序号</w:t>
            </w:r>
          </w:p>
        </w:tc>
        <w:tc>
          <w:tcPr>
            <w:tcW w:w="456" w:type="pct"/>
            <w:vMerge w:val="restart"/>
            <w:tcBorders>
              <w:tl2br w:val="nil"/>
              <w:tr2bl w:val="nil"/>
            </w:tcBorders>
            <w:noWrap w:val="0"/>
            <w:vAlign w:val="center"/>
          </w:tcPr>
          <w:p w14:paraId="14BEC27D">
            <w:pPr>
              <w:pStyle w:val="58"/>
              <w:bidi w:val="0"/>
              <w:rPr>
                <w:rFonts w:hint="default"/>
              </w:rPr>
            </w:pPr>
            <w:r>
              <w:rPr>
                <w:rFonts w:hint="default"/>
              </w:rPr>
              <w:t>要素</w:t>
            </w:r>
          </w:p>
        </w:tc>
        <w:tc>
          <w:tcPr>
            <w:tcW w:w="692" w:type="pct"/>
            <w:vMerge w:val="restart"/>
            <w:tcBorders>
              <w:tl2br w:val="nil"/>
              <w:tr2bl w:val="nil"/>
            </w:tcBorders>
            <w:noWrap w:val="0"/>
            <w:vAlign w:val="center"/>
          </w:tcPr>
          <w:p w14:paraId="7B077889">
            <w:pPr>
              <w:pStyle w:val="58"/>
              <w:bidi w:val="0"/>
              <w:rPr>
                <w:rFonts w:hint="default"/>
              </w:rPr>
            </w:pPr>
            <w:r>
              <w:rPr>
                <w:rFonts w:hint="default"/>
              </w:rPr>
              <w:t>项目</w:t>
            </w:r>
          </w:p>
        </w:tc>
        <w:tc>
          <w:tcPr>
            <w:tcW w:w="3555" w:type="pct"/>
            <w:gridSpan w:val="2"/>
            <w:tcBorders>
              <w:tl2br w:val="nil"/>
              <w:tr2bl w:val="nil"/>
            </w:tcBorders>
            <w:noWrap w:val="0"/>
            <w:vAlign w:val="center"/>
          </w:tcPr>
          <w:p w14:paraId="3D3F9569">
            <w:pPr>
              <w:pStyle w:val="58"/>
              <w:bidi w:val="0"/>
              <w:rPr>
                <w:rFonts w:hint="default"/>
              </w:rPr>
            </w:pPr>
            <w:r>
              <w:rPr>
                <w:rFonts w:hint="default"/>
              </w:rPr>
              <w:t>评价因子</w:t>
            </w:r>
          </w:p>
        </w:tc>
      </w:tr>
      <w:tr w14:paraId="5255FCD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96" w:type="pct"/>
            <w:vMerge w:val="continue"/>
            <w:tcBorders>
              <w:tl2br w:val="nil"/>
              <w:tr2bl w:val="nil"/>
            </w:tcBorders>
            <w:noWrap w:val="0"/>
            <w:vAlign w:val="center"/>
          </w:tcPr>
          <w:p w14:paraId="7B73DA95">
            <w:pPr>
              <w:pStyle w:val="58"/>
              <w:bidi w:val="0"/>
              <w:rPr>
                <w:rFonts w:hint="default"/>
              </w:rPr>
            </w:pPr>
          </w:p>
        </w:tc>
        <w:tc>
          <w:tcPr>
            <w:tcW w:w="456" w:type="pct"/>
            <w:vMerge w:val="continue"/>
            <w:tcBorders>
              <w:tl2br w:val="nil"/>
              <w:tr2bl w:val="nil"/>
            </w:tcBorders>
            <w:noWrap w:val="0"/>
            <w:vAlign w:val="center"/>
          </w:tcPr>
          <w:p w14:paraId="5B3B4453">
            <w:pPr>
              <w:pStyle w:val="58"/>
              <w:bidi w:val="0"/>
              <w:rPr>
                <w:rFonts w:hint="default"/>
              </w:rPr>
            </w:pPr>
          </w:p>
        </w:tc>
        <w:tc>
          <w:tcPr>
            <w:tcW w:w="692" w:type="pct"/>
            <w:vMerge w:val="continue"/>
            <w:tcBorders>
              <w:tl2br w:val="nil"/>
              <w:tr2bl w:val="nil"/>
            </w:tcBorders>
            <w:noWrap w:val="0"/>
            <w:vAlign w:val="center"/>
          </w:tcPr>
          <w:p w14:paraId="27CC4B1F">
            <w:pPr>
              <w:pStyle w:val="58"/>
              <w:bidi w:val="0"/>
              <w:rPr>
                <w:rFonts w:hint="default"/>
              </w:rPr>
            </w:pPr>
          </w:p>
        </w:tc>
        <w:tc>
          <w:tcPr>
            <w:tcW w:w="867" w:type="pct"/>
            <w:tcBorders>
              <w:tl2br w:val="nil"/>
              <w:tr2bl w:val="nil"/>
            </w:tcBorders>
            <w:noWrap w:val="0"/>
            <w:vAlign w:val="center"/>
          </w:tcPr>
          <w:p w14:paraId="240D045C">
            <w:pPr>
              <w:pStyle w:val="58"/>
              <w:bidi w:val="0"/>
              <w:rPr>
                <w:rFonts w:hint="default"/>
                <w:lang w:val="en-US" w:eastAsia="zh-CN"/>
              </w:rPr>
            </w:pPr>
            <w:r>
              <w:rPr>
                <w:rFonts w:hint="default"/>
                <w:lang w:val="en-US" w:eastAsia="zh-CN"/>
              </w:rPr>
              <w:t>施工期</w:t>
            </w:r>
          </w:p>
        </w:tc>
        <w:tc>
          <w:tcPr>
            <w:tcW w:w="2687" w:type="pct"/>
            <w:tcBorders>
              <w:tl2br w:val="nil"/>
              <w:tr2bl w:val="nil"/>
            </w:tcBorders>
            <w:noWrap w:val="0"/>
            <w:vAlign w:val="center"/>
          </w:tcPr>
          <w:p w14:paraId="5A6B9B04">
            <w:pPr>
              <w:pStyle w:val="58"/>
              <w:bidi w:val="0"/>
              <w:rPr>
                <w:rFonts w:hint="default"/>
                <w:lang w:val="en-US" w:eastAsia="zh-CN"/>
              </w:rPr>
            </w:pPr>
            <w:r>
              <w:rPr>
                <w:rFonts w:hint="default"/>
                <w:lang w:val="en-US" w:eastAsia="zh-CN"/>
              </w:rPr>
              <w:t>运营期</w:t>
            </w:r>
          </w:p>
        </w:tc>
      </w:tr>
      <w:tr w14:paraId="2DE5AB29">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296" w:type="pct"/>
            <w:vMerge w:val="restart"/>
            <w:tcBorders>
              <w:tl2br w:val="nil"/>
              <w:tr2bl w:val="nil"/>
            </w:tcBorders>
            <w:noWrap w:val="0"/>
            <w:vAlign w:val="center"/>
          </w:tcPr>
          <w:p w14:paraId="56DBD9D0">
            <w:pPr>
              <w:pStyle w:val="58"/>
              <w:bidi w:val="0"/>
              <w:rPr>
                <w:rFonts w:hint="default"/>
              </w:rPr>
            </w:pPr>
            <w:r>
              <w:rPr>
                <w:rFonts w:hint="default"/>
              </w:rPr>
              <w:t>1</w:t>
            </w:r>
          </w:p>
        </w:tc>
        <w:tc>
          <w:tcPr>
            <w:tcW w:w="456" w:type="pct"/>
            <w:vMerge w:val="restart"/>
            <w:tcBorders>
              <w:tl2br w:val="nil"/>
              <w:tr2bl w:val="nil"/>
            </w:tcBorders>
            <w:noWrap w:val="0"/>
            <w:vAlign w:val="center"/>
          </w:tcPr>
          <w:p w14:paraId="3402DF95">
            <w:pPr>
              <w:pStyle w:val="58"/>
              <w:bidi w:val="0"/>
              <w:rPr>
                <w:rFonts w:hint="default"/>
              </w:rPr>
            </w:pPr>
            <w:r>
              <w:rPr>
                <w:rFonts w:hint="default"/>
              </w:rPr>
              <w:t>大气环境</w:t>
            </w:r>
          </w:p>
        </w:tc>
        <w:tc>
          <w:tcPr>
            <w:tcW w:w="692" w:type="pct"/>
            <w:tcBorders>
              <w:tl2br w:val="nil"/>
              <w:tr2bl w:val="nil"/>
            </w:tcBorders>
            <w:noWrap w:val="0"/>
            <w:vAlign w:val="center"/>
          </w:tcPr>
          <w:p w14:paraId="4D080F79">
            <w:pPr>
              <w:pStyle w:val="58"/>
              <w:bidi w:val="0"/>
              <w:rPr>
                <w:rFonts w:hint="default"/>
              </w:rPr>
            </w:pPr>
            <w:r>
              <w:rPr>
                <w:rFonts w:hint="default"/>
              </w:rPr>
              <w:t>现状评价</w:t>
            </w:r>
          </w:p>
        </w:tc>
        <w:tc>
          <w:tcPr>
            <w:tcW w:w="867" w:type="pct"/>
            <w:tcBorders>
              <w:tl2br w:val="nil"/>
              <w:tr2bl w:val="nil"/>
            </w:tcBorders>
            <w:noWrap w:val="0"/>
            <w:vAlign w:val="center"/>
          </w:tcPr>
          <w:p w14:paraId="5E87F89A">
            <w:pPr>
              <w:pStyle w:val="58"/>
              <w:bidi w:val="0"/>
              <w:rPr>
                <w:rFonts w:hint="default"/>
              </w:rPr>
            </w:pPr>
            <w:r>
              <w:rPr>
                <w:rFonts w:hint="default"/>
                <w:lang w:val="en-US" w:eastAsia="zh-CN"/>
              </w:rPr>
              <w:t>-</w:t>
            </w:r>
          </w:p>
        </w:tc>
        <w:tc>
          <w:tcPr>
            <w:tcW w:w="2687" w:type="pct"/>
            <w:tcBorders>
              <w:tl2br w:val="nil"/>
              <w:tr2bl w:val="nil"/>
            </w:tcBorders>
            <w:noWrap w:val="0"/>
            <w:vAlign w:val="center"/>
          </w:tcPr>
          <w:p w14:paraId="1837DBAB">
            <w:pPr>
              <w:pStyle w:val="58"/>
              <w:bidi w:val="0"/>
              <w:rPr>
                <w:rFonts w:hint="default"/>
                <w:lang w:val="en-US"/>
              </w:rPr>
            </w:pPr>
            <w:r>
              <w:rPr>
                <w:rFonts w:hint="eastAsia"/>
                <w:lang w:val="en-US" w:eastAsia="zh-CN"/>
              </w:rPr>
              <w:t>SO</w:t>
            </w:r>
            <w:r>
              <w:rPr>
                <w:rFonts w:hint="eastAsia"/>
                <w:vertAlign w:val="subscript"/>
                <w:lang w:val="en-US" w:eastAsia="zh-CN"/>
              </w:rPr>
              <w:t>2</w:t>
            </w:r>
            <w:r>
              <w:rPr>
                <w:rFonts w:hint="default"/>
                <w:lang w:val="en-US" w:eastAsia="zh-CN"/>
              </w:rPr>
              <w:t>、</w:t>
            </w:r>
            <w:r>
              <w:rPr>
                <w:rFonts w:hint="eastAsia"/>
                <w:lang w:val="en-US" w:eastAsia="zh-CN"/>
              </w:rPr>
              <w:t>NO</w:t>
            </w:r>
            <w:r>
              <w:rPr>
                <w:rFonts w:hint="eastAsia"/>
                <w:vertAlign w:val="subscript"/>
                <w:lang w:val="en-US" w:eastAsia="zh-CN"/>
              </w:rPr>
              <w:t>2</w:t>
            </w:r>
            <w:r>
              <w:rPr>
                <w:rFonts w:hint="default"/>
                <w:lang w:val="en-US" w:eastAsia="zh-CN"/>
              </w:rPr>
              <w:t>、</w:t>
            </w:r>
            <w:r>
              <w:rPr>
                <w:rFonts w:hint="eastAsia"/>
                <w:lang w:val="en-US" w:eastAsia="zh-CN"/>
              </w:rPr>
              <w:t>PM</w:t>
            </w:r>
            <w:r>
              <w:rPr>
                <w:rFonts w:hint="eastAsia"/>
                <w:vertAlign w:val="subscript"/>
                <w:lang w:val="en-US" w:eastAsia="zh-CN"/>
              </w:rPr>
              <w:t>10</w:t>
            </w:r>
            <w:r>
              <w:rPr>
                <w:rFonts w:hint="default"/>
                <w:lang w:val="en-US" w:eastAsia="zh-CN"/>
              </w:rPr>
              <w:t>、</w:t>
            </w:r>
            <w:r>
              <w:rPr>
                <w:rFonts w:hint="eastAsia"/>
                <w:lang w:val="en-US" w:eastAsia="zh-CN"/>
              </w:rPr>
              <w:t>PM</w:t>
            </w:r>
            <w:r>
              <w:rPr>
                <w:rFonts w:hint="eastAsia"/>
                <w:vertAlign w:val="subscript"/>
                <w:lang w:val="en-US" w:eastAsia="zh-CN"/>
              </w:rPr>
              <w:t>2.5</w:t>
            </w:r>
            <w:r>
              <w:rPr>
                <w:rFonts w:hint="default"/>
                <w:lang w:val="en-US" w:eastAsia="zh-CN"/>
              </w:rPr>
              <w:t>、</w:t>
            </w:r>
            <w:r>
              <w:rPr>
                <w:rFonts w:hint="eastAsia"/>
                <w:lang w:val="en-US" w:eastAsia="zh-CN"/>
              </w:rPr>
              <w:t>O</w:t>
            </w:r>
            <w:r>
              <w:rPr>
                <w:rFonts w:hint="eastAsia"/>
                <w:vertAlign w:val="subscript"/>
                <w:lang w:val="en-US" w:eastAsia="zh-CN"/>
              </w:rPr>
              <w:t>3</w:t>
            </w:r>
            <w:r>
              <w:rPr>
                <w:rFonts w:hint="default"/>
                <w:lang w:val="en-US" w:eastAsia="zh-CN"/>
              </w:rPr>
              <w:t>、CO、氨、硫化氢</w:t>
            </w:r>
          </w:p>
        </w:tc>
      </w:tr>
      <w:tr w14:paraId="6196D5F6">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96" w:type="pct"/>
            <w:vMerge w:val="continue"/>
            <w:tcBorders>
              <w:tl2br w:val="nil"/>
              <w:tr2bl w:val="nil"/>
            </w:tcBorders>
            <w:noWrap w:val="0"/>
            <w:vAlign w:val="center"/>
          </w:tcPr>
          <w:p w14:paraId="1639033E">
            <w:pPr>
              <w:pStyle w:val="58"/>
              <w:bidi w:val="0"/>
              <w:rPr>
                <w:rFonts w:hint="default"/>
              </w:rPr>
            </w:pPr>
          </w:p>
        </w:tc>
        <w:tc>
          <w:tcPr>
            <w:tcW w:w="456" w:type="pct"/>
            <w:vMerge w:val="continue"/>
            <w:tcBorders>
              <w:tl2br w:val="nil"/>
              <w:tr2bl w:val="nil"/>
            </w:tcBorders>
            <w:noWrap w:val="0"/>
            <w:vAlign w:val="center"/>
          </w:tcPr>
          <w:p w14:paraId="76695569">
            <w:pPr>
              <w:pStyle w:val="58"/>
              <w:bidi w:val="0"/>
              <w:rPr>
                <w:rFonts w:hint="default"/>
              </w:rPr>
            </w:pPr>
          </w:p>
        </w:tc>
        <w:tc>
          <w:tcPr>
            <w:tcW w:w="692" w:type="pct"/>
            <w:tcBorders>
              <w:tl2br w:val="nil"/>
              <w:tr2bl w:val="nil"/>
            </w:tcBorders>
            <w:noWrap w:val="0"/>
            <w:vAlign w:val="center"/>
          </w:tcPr>
          <w:p w14:paraId="5661955D">
            <w:pPr>
              <w:pStyle w:val="58"/>
              <w:bidi w:val="0"/>
              <w:rPr>
                <w:rFonts w:hint="default"/>
              </w:rPr>
            </w:pPr>
            <w:r>
              <w:rPr>
                <w:rFonts w:hint="default"/>
              </w:rPr>
              <w:t>污染源</w:t>
            </w:r>
          </w:p>
        </w:tc>
        <w:tc>
          <w:tcPr>
            <w:tcW w:w="867" w:type="pct"/>
            <w:tcBorders>
              <w:tl2br w:val="nil"/>
              <w:tr2bl w:val="nil"/>
            </w:tcBorders>
            <w:noWrap w:val="0"/>
            <w:vAlign w:val="center"/>
          </w:tcPr>
          <w:p w14:paraId="31B49F7C">
            <w:pPr>
              <w:pStyle w:val="58"/>
              <w:bidi w:val="0"/>
              <w:rPr>
                <w:rFonts w:hint="default"/>
              </w:rPr>
            </w:pPr>
            <w:r>
              <w:rPr>
                <w:rFonts w:hint="default"/>
                <w:lang w:eastAsia="zh-CN"/>
              </w:rPr>
              <w:t>颗粒物</w:t>
            </w:r>
          </w:p>
        </w:tc>
        <w:tc>
          <w:tcPr>
            <w:tcW w:w="2687" w:type="pct"/>
            <w:tcBorders>
              <w:tl2br w:val="nil"/>
              <w:tr2bl w:val="nil"/>
            </w:tcBorders>
            <w:noWrap w:val="0"/>
            <w:vAlign w:val="center"/>
          </w:tcPr>
          <w:p w14:paraId="0641F66B">
            <w:pPr>
              <w:pStyle w:val="58"/>
              <w:bidi w:val="0"/>
              <w:rPr>
                <w:rFonts w:hint="default"/>
                <w:lang w:val="en-US" w:eastAsia="zh-CN"/>
              </w:rPr>
            </w:pPr>
            <w:r>
              <w:rPr>
                <w:rFonts w:hint="default"/>
              </w:rPr>
              <w:t>氨、硫化氢、臭气浓度</w:t>
            </w:r>
          </w:p>
        </w:tc>
      </w:tr>
      <w:tr w14:paraId="6EA0B300">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96" w:type="pct"/>
            <w:vMerge w:val="continue"/>
            <w:tcBorders>
              <w:tl2br w:val="nil"/>
              <w:tr2bl w:val="nil"/>
            </w:tcBorders>
            <w:noWrap w:val="0"/>
            <w:vAlign w:val="center"/>
          </w:tcPr>
          <w:p w14:paraId="506BE5CF">
            <w:pPr>
              <w:pStyle w:val="58"/>
              <w:bidi w:val="0"/>
              <w:rPr>
                <w:rFonts w:hint="default"/>
              </w:rPr>
            </w:pPr>
          </w:p>
        </w:tc>
        <w:tc>
          <w:tcPr>
            <w:tcW w:w="456" w:type="pct"/>
            <w:vMerge w:val="continue"/>
            <w:tcBorders>
              <w:tl2br w:val="nil"/>
              <w:tr2bl w:val="nil"/>
            </w:tcBorders>
            <w:noWrap w:val="0"/>
            <w:vAlign w:val="center"/>
          </w:tcPr>
          <w:p w14:paraId="13440FAD">
            <w:pPr>
              <w:pStyle w:val="58"/>
              <w:bidi w:val="0"/>
              <w:rPr>
                <w:rFonts w:hint="default"/>
              </w:rPr>
            </w:pPr>
          </w:p>
        </w:tc>
        <w:tc>
          <w:tcPr>
            <w:tcW w:w="692" w:type="pct"/>
            <w:tcBorders>
              <w:tl2br w:val="nil"/>
              <w:tr2bl w:val="nil"/>
            </w:tcBorders>
            <w:noWrap w:val="0"/>
            <w:vAlign w:val="center"/>
          </w:tcPr>
          <w:p w14:paraId="41FEDFB8">
            <w:pPr>
              <w:pStyle w:val="58"/>
              <w:bidi w:val="0"/>
              <w:rPr>
                <w:rFonts w:hint="default"/>
              </w:rPr>
            </w:pPr>
            <w:r>
              <w:rPr>
                <w:rFonts w:hint="default"/>
              </w:rPr>
              <w:t>影响评价</w:t>
            </w:r>
          </w:p>
        </w:tc>
        <w:tc>
          <w:tcPr>
            <w:tcW w:w="867" w:type="pct"/>
            <w:tcBorders>
              <w:tl2br w:val="nil"/>
              <w:tr2bl w:val="nil"/>
            </w:tcBorders>
            <w:noWrap w:val="0"/>
            <w:vAlign w:val="center"/>
          </w:tcPr>
          <w:p w14:paraId="6812903D">
            <w:pPr>
              <w:pStyle w:val="58"/>
              <w:bidi w:val="0"/>
              <w:rPr>
                <w:rFonts w:hint="eastAsia" w:eastAsia="宋体"/>
                <w:lang w:val="en-US" w:eastAsia="zh-CN"/>
              </w:rPr>
            </w:pPr>
            <w:r>
              <w:rPr>
                <w:rFonts w:hint="default"/>
                <w:lang w:val="en-US" w:eastAsia="zh-CN"/>
              </w:rPr>
              <w:t>TSP、</w:t>
            </w:r>
            <w:r>
              <w:rPr>
                <w:rFonts w:hint="eastAsia"/>
                <w:lang w:eastAsia="zh-CN"/>
              </w:rPr>
              <w:t>PM</w:t>
            </w:r>
            <w:r>
              <w:rPr>
                <w:rFonts w:hint="eastAsia"/>
                <w:vertAlign w:val="subscript"/>
                <w:lang w:eastAsia="zh-CN"/>
              </w:rPr>
              <w:t>10</w:t>
            </w:r>
          </w:p>
        </w:tc>
        <w:tc>
          <w:tcPr>
            <w:tcW w:w="2687" w:type="pct"/>
            <w:tcBorders>
              <w:tl2br w:val="nil"/>
              <w:tr2bl w:val="nil"/>
            </w:tcBorders>
            <w:noWrap w:val="0"/>
            <w:vAlign w:val="center"/>
          </w:tcPr>
          <w:p w14:paraId="39CCA725">
            <w:pPr>
              <w:pStyle w:val="58"/>
              <w:bidi w:val="0"/>
              <w:rPr>
                <w:rFonts w:hint="default"/>
                <w:lang w:val="en-US" w:eastAsia="zh-CN"/>
              </w:rPr>
            </w:pPr>
            <w:r>
              <w:rPr>
                <w:rFonts w:hint="default"/>
              </w:rPr>
              <w:t>氨、硫化氢、臭气浓度</w:t>
            </w:r>
          </w:p>
        </w:tc>
      </w:tr>
      <w:tr w14:paraId="69B70413">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96" w:type="pct"/>
            <w:vMerge w:val="restart"/>
            <w:tcBorders>
              <w:tl2br w:val="nil"/>
              <w:tr2bl w:val="nil"/>
            </w:tcBorders>
            <w:noWrap w:val="0"/>
            <w:vAlign w:val="center"/>
          </w:tcPr>
          <w:p w14:paraId="5C7BFCEB">
            <w:pPr>
              <w:pStyle w:val="58"/>
              <w:bidi w:val="0"/>
              <w:rPr>
                <w:rFonts w:hint="default"/>
              </w:rPr>
            </w:pPr>
            <w:r>
              <w:rPr>
                <w:rFonts w:hint="default"/>
                <w:lang w:val="en-US" w:eastAsia="zh-CN"/>
              </w:rPr>
              <w:t>2</w:t>
            </w:r>
          </w:p>
        </w:tc>
        <w:tc>
          <w:tcPr>
            <w:tcW w:w="456" w:type="pct"/>
            <w:vMerge w:val="restart"/>
            <w:tcBorders>
              <w:tl2br w:val="nil"/>
              <w:tr2bl w:val="nil"/>
            </w:tcBorders>
            <w:noWrap w:val="0"/>
            <w:vAlign w:val="center"/>
          </w:tcPr>
          <w:p w14:paraId="1134F64E">
            <w:pPr>
              <w:pStyle w:val="58"/>
              <w:bidi w:val="0"/>
              <w:rPr>
                <w:rFonts w:hint="default"/>
                <w:lang w:val="en-US" w:eastAsia="zh-CN"/>
              </w:rPr>
            </w:pPr>
            <w:r>
              <w:rPr>
                <w:rFonts w:hint="default"/>
                <w:lang w:val="en-US" w:eastAsia="zh-CN"/>
              </w:rPr>
              <w:t>地表水</w:t>
            </w:r>
          </w:p>
        </w:tc>
        <w:tc>
          <w:tcPr>
            <w:tcW w:w="692" w:type="pct"/>
            <w:tcBorders>
              <w:tl2br w:val="nil"/>
              <w:tr2bl w:val="nil"/>
            </w:tcBorders>
            <w:noWrap w:val="0"/>
            <w:vAlign w:val="center"/>
          </w:tcPr>
          <w:p w14:paraId="2BD19706">
            <w:pPr>
              <w:pStyle w:val="58"/>
              <w:bidi w:val="0"/>
              <w:rPr>
                <w:rFonts w:hint="default"/>
                <w:lang w:val="en-US" w:eastAsia="zh-CN"/>
              </w:rPr>
            </w:pPr>
            <w:r>
              <w:rPr>
                <w:rFonts w:hint="default"/>
              </w:rPr>
              <w:t>污染源</w:t>
            </w:r>
          </w:p>
        </w:tc>
        <w:tc>
          <w:tcPr>
            <w:tcW w:w="867" w:type="pct"/>
            <w:tcBorders>
              <w:tl2br w:val="nil"/>
              <w:tr2bl w:val="nil"/>
            </w:tcBorders>
            <w:noWrap w:val="0"/>
            <w:vAlign w:val="center"/>
          </w:tcPr>
          <w:p w14:paraId="7E18D2EF">
            <w:pPr>
              <w:pStyle w:val="58"/>
              <w:bidi w:val="0"/>
              <w:rPr>
                <w:rFonts w:hint="default"/>
                <w:lang w:val="en-US" w:eastAsia="zh-CN"/>
              </w:rPr>
            </w:pPr>
            <w:r>
              <w:rPr>
                <w:rFonts w:hint="default"/>
              </w:rPr>
              <w:t>COD、氨氮、SS</w:t>
            </w:r>
          </w:p>
        </w:tc>
        <w:tc>
          <w:tcPr>
            <w:tcW w:w="2687" w:type="pct"/>
            <w:tcBorders>
              <w:tl2br w:val="nil"/>
              <w:tr2bl w:val="nil"/>
            </w:tcBorders>
            <w:noWrap w:val="0"/>
            <w:vAlign w:val="center"/>
          </w:tcPr>
          <w:p w14:paraId="4325867B">
            <w:pPr>
              <w:pStyle w:val="58"/>
              <w:bidi w:val="0"/>
              <w:rPr>
                <w:rFonts w:hint="default"/>
                <w:highlight w:val="none"/>
                <w:lang w:val="en-US" w:eastAsia="zh-CN"/>
              </w:rPr>
            </w:pPr>
            <w:r>
              <w:rPr>
                <w:rFonts w:hint="eastAsia"/>
                <w:highlight w:val="none"/>
                <w:lang w:val="en-US" w:eastAsia="zh-CN"/>
              </w:rPr>
              <w:t>pH、</w:t>
            </w:r>
            <w:r>
              <w:rPr>
                <w:rFonts w:hint="default"/>
                <w:highlight w:val="none"/>
              </w:rPr>
              <w:t>COD、</w:t>
            </w:r>
            <w:r>
              <w:rPr>
                <w:rFonts w:hint="eastAsia"/>
                <w:highlight w:val="none"/>
                <w:lang w:eastAsia="zh-CN"/>
              </w:rPr>
              <w:t>BOD</w:t>
            </w:r>
            <w:r>
              <w:rPr>
                <w:rFonts w:hint="eastAsia"/>
                <w:highlight w:val="none"/>
                <w:vertAlign w:val="subscript"/>
                <w:lang w:eastAsia="zh-CN"/>
              </w:rPr>
              <w:t>5</w:t>
            </w:r>
            <w:r>
              <w:rPr>
                <w:rFonts w:hint="default"/>
                <w:highlight w:val="none"/>
              </w:rPr>
              <w:t>、氨氮、SS、</w:t>
            </w:r>
            <w:r>
              <w:rPr>
                <w:rFonts w:hint="eastAsia"/>
                <w:highlight w:val="none"/>
                <w:lang w:val="en-US" w:eastAsia="zh-CN"/>
              </w:rPr>
              <w:t>石油类、</w:t>
            </w:r>
            <w:r>
              <w:rPr>
                <w:rFonts w:hint="default"/>
                <w:highlight w:val="none"/>
              </w:rPr>
              <w:t>总氮、总磷</w:t>
            </w:r>
          </w:p>
        </w:tc>
      </w:tr>
      <w:tr w14:paraId="397CBCC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96" w:type="pct"/>
            <w:vMerge w:val="continue"/>
            <w:tcBorders>
              <w:tl2br w:val="nil"/>
              <w:tr2bl w:val="nil"/>
            </w:tcBorders>
            <w:noWrap w:val="0"/>
            <w:vAlign w:val="center"/>
          </w:tcPr>
          <w:p w14:paraId="0BCCCD10">
            <w:pPr>
              <w:pStyle w:val="58"/>
              <w:bidi w:val="0"/>
              <w:rPr>
                <w:rFonts w:hint="default"/>
              </w:rPr>
            </w:pPr>
          </w:p>
        </w:tc>
        <w:tc>
          <w:tcPr>
            <w:tcW w:w="456" w:type="pct"/>
            <w:vMerge w:val="continue"/>
            <w:tcBorders>
              <w:tl2br w:val="nil"/>
              <w:tr2bl w:val="nil"/>
            </w:tcBorders>
            <w:noWrap w:val="0"/>
            <w:vAlign w:val="center"/>
          </w:tcPr>
          <w:p w14:paraId="00A9FA5B">
            <w:pPr>
              <w:pStyle w:val="58"/>
              <w:bidi w:val="0"/>
              <w:rPr>
                <w:rFonts w:hint="default"/>
              </w:rPr>
            </w:pPr>
          </w:p>
        </w:tc>
        <w:tc>
          <w:tcPr>
            <w:tcW w:w="692" w:type="pct"/>
            <w:tcBorders>
              <w:tl2br w:val="nil"/>
              <w:tr2bl w:val="nil"/>
            </w:tcBorders>
            <w:noWrap w:val="0"/>
            <w:vAlign w:val="center"/>
          </w:tcPr>
          <w:p w14:paraId="4EA1CC08">
            <w:pPr>
              <w:pStyle w:val="58"/>
              <w:bidi w:val="0"/>
              <w:rPr>
                <w:rFonts w:hint="default"/>
              </w:rPr>
            </w:pPr>
            <w:r>
              <w:rPr>
                <w:rFonts w:hint="default"/>
              </w:rPr>
              <w:t>影响</w:t>
            </w:r>
            <w:r>
              <w:rPr>
                <w:rFonts w:hint="default"/>
                <w:lang w:val="en-US" w:eastAsia="zh-CN"/>
              </w:rPr>
              <w:t>分析</w:t>
            </w:r>
          </w:p>
        </w:tc>
        <w:tc>
          <w:tcPr>
            <w:tcW w:w="867" w:type="pct"/>
            <w:tcBorders>
              <w:tl2br w:val="nil"/>
              <w:tr2bl w:val="nil"/>
            </w:tcBorders>
            <w:noWrap w:val="0"/>
            <w:vAlign w:val="center"/>
          </w:tcPr>
          <w:p w14:paraId="3BF05A3D">
            <w:pPr>
              <w:pStyle w:val="58"/>
              <w:bidi w:val="0"/>
              <w:rPr>
                <w:rFonts w:hint="default"/>
                <w:lang w:val="en-US" w:eastAsia="zh-CN"/>
              </w:rPr>
            </w:pPr>
            <w:r>
              <w:rPr>
                <w:rFonts w:hint="default"/>
              </w:rPr>
              <w:t>COD、氨氮、SS</w:t>
            </w:r>
          </w:p>
        </w:tc>
        <w:tc>
          <w:tcPr>
            <w:tcW w:w="2687" w:type="pct"/>
            <w:tcBorders>
              <w:tl2br w:val="nil"/>
              <w:tr2bl w:val="nil"/>
            </w:tcBorders>
            <w:noWrap w:val="0"/>
            <w:vAlign w:val="center"/>
          </w:tcPr>
          <w:p w14:paraId="702DFE06">
            <w:pPr>
              <w:pStyle w:val="58"/>
              <w:bidi w:val="0"/>
              <w:rPr>
                <w:rFonts w:hint="default"/>
                <w:highlight w:val="none"/>
                <w:lang w:val="en-US" w:eastAsia="zh-CN"/>
              </w:rPr>
            </w:pPr>
            <w:r>
              <w:rPr>
                <w:rFonts w:hint="default"/>
                <w:highlight w:val="none"/>
              </w:rPr>
              <w:t>pH、COD、BOD</w:t>
            </w:r>
            <w:r>
              <w:rPr>
                <w:rFonts w:hint="default"/>
                <w:highlight w:val="none"/>
                <w:vertAlign w:val="subscript"/>
              </w:rPr>
              <w:t>5</w:t>
            </w:r>
            <w:r>
              <w:rPr>
                <w:rFonts w:hint="default"/>
                <w:highlight w:val="none"/>
              </w:rPr>
              <w:t>、氨氮、总氮、总磷</w:t>
            </w:r>
          </w:p>
        </w:tc>
      </w:tr>
      <w:tr w14:paraId="2842A902">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296" w:type="pct"/>
            <w:vMerge w:val="restart"/>
            <w:tcBorders>
              <w:tl2br w:val="nil"/>
              <w:tr2bl w:val="nil"/>
            </w:tcBorders>
            <w:noWrap w:val="0"/>
            <w:vAlign w:val="center"/>
          </w:tcPr>
          <w:p w14:paraId="1BA8908D">
            <w:pPr>
              <w:pStyle w:val="58"/>
              <w:bidi w:val="0"/>
              <w:rPr>
                <w:rFonts w:hint="default"/>
                <w:lang w:val="en-US" w:eastAsia="zh-CN"/>
              </w:rPr>
            </w:pPr>
            <w:r>
              <w:rPr>
                <w:rFonts w:hint="default"/>
                <w:lang w:val="en-US" w:eastAsia="zh-CN"/>
              </w:rPr>
              <w:t>3</w:t>
            </w:r>
          </w:p>
        </w:tc>
        <w:tc>
          <w:tcPr>
            <w:tcW w:w="456" w:type="pct"/>
            <w:vMerge w:val="restart"/>
            <w:tcBorders>
              <w:tl2br w:val="nil"/>
              <w:tr2bl w:val="nil"/>
            </w:tcBorders>
            <w:noWrap w:val="0"/>
            <w:vAlign w:val="center"/>
          </w:tcPr>
          <w:p w14:paraId="59186B7B">
            <w:pPr>
              <w:pStyle w:val="58"/>
              <w:bidi w:val="0"/>
              <w:rPr>
                <w:rFonts w:hint="default"/>
              </w:rPr>
            </w:pPr>
            <w:r>
              <w:rPr>
                <w:rFonts w:hint="default"/>
              </w:rPr>
              <w:t>地下水环境</w:t>
            </w:r>
          </w:p>
        </w:tc>
        <w:tc>
          <w:tcPr>
            <w:tcW w:w="692" w:type="pct"/>
            <w:tcBorders>
              <w:tl2br w:val="nil"/>
              <w:tr2bl w:val="nil"/>
            </w:tcBorders>
            <w:noWrap w:val="0"/>
            <w:vAlign w:val="center"/>
          </w:tcPr>
          <w:p w14:paraId="5AF6513F">
            <w:pPr>
              <w:pStyle w:val="58"/>
              <w:bidi w:val="0"/>
              <w:rPr>
                <w:rFonts w:hint="default"/>
              </w:rPr>
            </w:pPr>
            <w:r>
              <w:rPr>
                <w:rFonts w:hint="default"/>
              </w:rPr>
              <w:t>现状评价</w:t>
            </w:r>
          </w:p>
        </w:tc>
        <w:tc>
          <w:tcPr>
            <w:tcW w:w="867" w:type="pct"/>
            <w:tcBorders>
              <w:tl2br w:val="nil"/>
              <w:tr2bl w:val="nil"/>
            </w:tcBorders>
            <w:noWrap w:val="0"/>
            <w:vAlign w:val="center"/>
          </w:tcPr>
          <w:p w14:paraId="0D85476B">
            <w:pPr>
              <w:pStyle w:val="58"/>
              <w:bidi w:val="0"/>
              <w:rPr>
                <w:rFonts w:hint="default"/>
                <w:lang w:val="en-US" w:eastAsia="zh-CN"/>
              </w:rPr>
            </w:pPr>
            <w:r>
              <w:rPr>
                <w:rFonts w:hint="default"/>
                <w:lang w:val="en-US" w:eastAsia="zh-CN"/>
              </w:rPr>
              <w:t>-</w:t>
            </w:r>
          </w:p>
        </w:tc>
        <w:tc>
          <w:tcPr>
            <w:tcW w:w="2687" w:type="pct"/>
            <w:tcBorders>
              <w:tl2br w:val="nil"/>
              <w:tr2bl w:val="nil"/>
            </w:tcBorders>
            <w:noWrap w:val="0"/>
            <w:vAlign w:val="center"/>
          </w:tcPr>
          <w:p w14:paraId="16D3D074">
            <w:pPr>
              <w:pStyle w:val="58"/>
              <w:bidi w:val="0"/>
              <w:jc w:val="both"/>
              <w:rPr>
                <w:rFonts w:hint="default"/>
                <w:highlight w:val="none"/>
              </w:rPr>
            </w:pPr>
            <w:r>
              <w:rPr>
                <w:rFonts w:hint="default"/>
                <w:highlight w:val="none"/>
              </w:rPr>
              <w:t>K</w:t>
            </w:r>
            <w:r>
              <w:rPr>
                <w:rFonts w:hint="default"/>
                <w:highlight w:val="none"/>
                <w:vertAlign w:val="superscript"/>
              </w:rPr>
              <w:t>+</w:t>
            </w:r>
            <w:r>
              <w:rPr>
                <w:rFonts w:hint="default"/>
                <w:highlight w:val="none"/>
              </w:rPr>
              <w:t>、Na</w:t>
            </w:r>
            <w:r>
              <w:rPr>
                <w:rFonts w:hint="default"/>
                <w:highlight w:val="none"/>
                <w:vertAlign w:val="superscript"/>
              </w:rPr>
              <w:t>+</w:t>
            </w:r>
            <w:r>
              <w:rPr>
                <w:rFonts w:hint="default"/>
                <w:highlight w:val="none"/>
              </w:rPr>
              <w:t>、Ca</w:t>
            </w:r>
            <w:r>
              <w:rPr>
                <w:rFonts w:hint="default"/>
                <w:highlight w:val="none"/>
                <w:vertAlign w:val="superscript"/>
              </w:rPr>
              <w:t>2+</w:t>
            </w:r>
            <w:r>
              <w:rPr>
                <w:rFonts w:hint="default"/>
                <w:highlight w:val="none"/>
              </w:rPr>
              <w:t>、Mg</w:t>
            </w:r>
            <w:r>
              <w:rPr>
                <w:rFonts w:hint="default"/>
                <w:highlight w:val="none"/>
                <w:vertAlign w:val="superscript"/>
              </w:rPr>
              <w:t>2+</w:t>
            </w:r>
            <w:r>
              <w:rPr>
                <w:rFonts w:hint="default"/>
                <w:highlight w:val="none"/>
              </w:rPr>
              <w:t>、CO</w:t>
            </w:r>
            <w:r>
              <w:rPr>
                <w:rFonts w:hint="eastAsia"/>
                <w:highlight w:val="none"/>
                <w:lang w:val="en-US" w:eastAsia="zh-CN"/>
                <w:eastAsianLayout w:id="137" w:combine="1"/>
              </w:rPr>
              <w:t>3</w:t>
            </w:r>
            <w:r>
              <w:rPr>
                <w:rFonts w:hint="eastAsia"/>
                <w:highlight w:val="none"/>
                <w:vertAlign w:val="superscript"/>
                <w:lang w:val="en-US" w:eastAsia="zh-CN"/>
              </w:rPr>
              <w:t>2-</w:t>
            </w:r>
            <w:r>
              <w:rPr>
                <w:rFonts w:hint="default"/>
                <w:highlight w:val="none"/>
              </w:rPr>
              <w:t>、HCO</w:t>
            </w:r>
            <w:r>
              <w:rPr>
                <w:rFonts w:hint="default"/>
                <w:highlight w:val="none"/>
                <w:vertAlign w:val="subscript"/>
              </w:rPr>
              <w:t>3</w:t>
            </w:r>
            <w:r>
              <w:rPr>
                <w:rFonts w:hint="default"/>
                <w:highlight w:val="none"/>
                <w:vertAlign w:val="superscript"/>
              </w:rPr>
              <w:t>-</w:t>
            </w:r>
            <w:r>
              <w:rPr>
                <w:rFonts w:hint="default"/>
                <w:highlight w:val="none"/>
              </w:rPr>
              <w:t>、</w:t>
            </w:r>
            <w:r>
              <w:rPr>
                <w:rFonts w:hint="eastAsia"/>
                <w:highlight w:val="none"/>
                <w:lang w:val="en-US" w:eastAsia="zh-CN"/>
              </w:rPr>
              <w:t>Cl</w:t>
            </w:r>
            <w:r>
              <w:rPr>
                <w:rFonts w:hint="eastAsia"/>
                <w:highlight w:val="none"/>
                <w:vertAlign w:val="superscript"/>
                <w:lang w:val="en-US" w:eastAsia="zh-CN"/>
              </w:rPr>
              <w:t>-</w:t>
            </w:r>
            <w:r>
              <w:rPr>
                <w:rFonts w:hint="eastAsia"/>
                <w:highlight w:val="none"/>
                <w:lang w:val="en-US" w:eastAsia="zh-CN"/>
              </w:rPr>
              <w:t>、SO</w:t>
            </w:r>
            <w:r>
              <w:rPr>
                <w:rFonts w:hint="eastAsia"/>
                <w:highlight w:val="none"/>
                <w:vertAlign w:val="subscript"/>
                <w:lang w:val="en-US" w:eastAsia="zh-CN"/>
              </w:rPr>
              <w:t>4</w:t>
            </w:r>
            <w:r>
              <w:rPr>
                <w:rFonts w:hint="eastAsia"/>
                <w:highlight w:val="none"/>
                <w:vertAlign w:val="superscript"/>
                <w:lang w:val="en-US" w:eastAsia="zh-CN"/>
              </w:rPr>
              <w:t>2-</w:t>
            </w:r>
            <w:r>
              <w:rPr>
                <w:rFonts w:hint="eastAsia"/>
                <w:highlight w:val="none"/>
                <w:vertAlign w:val="baseline"/>
                <w:lang w:val="en-US" w:eastAsia="zh-CN"/>
              </w:rPr>
              <w:t>、</w:t>
            </w:r>
            <w:r>
              <w:rPr>
                <w:rFonts w:hint="default" w:ascii="Times New Roman" w:hAnsi="Times New Roman" w:eastAsia="宋体" w:cs="Times New Roman"/>
                <w:caps w:val="0"/>
                <w:smallCaps w:val="0"/>
                <w:color w:val="auto"/>
                <w:spacing w:val="5"/>
                <w:kern w:val="2"/>
                <w:sz w:val="21"/>
                <w:szCs w:val="21"/>
                <w:highlight w:val="none"/>
                <w:lang w:val="en-US" w:eastAsia="zh-CN" w:bidi="ar-SA"/>
              </w:rPr>
              <w:t>pH、氨氮、硝酸盐、亚硝酸盐、挥发性酚类、氰化物、砷、汞、六价铬、总硬度、铅、氟、镉、铁、锰、溶解性总固体、耗氧量、</w:t>
            </w:r>
            <w:r>
              <w:rPr>
                <w:rFonts w:hint="eastAsia" w:ascii="Times New Roman" w:hAnsi="Times New Roman" w:eastAsia="宋体" w:cs="Times New Roman"/>
                <w:caps w:val="0"/>
                <w:smallCaps w:val="0"/>
                <w:color w:val="auto"/>
                <w:spacing w:val="5"/>
                <w:kern w:val="2"/>
                <w:sz w:val="21"/>
                <w:szCs w:val="21"/>
                <w:highlight w:val="none"/>
                <w:lang w:val="en-US" w:eastAsia="zh-CN" w:bidi="ar-SA"/>
              </w:rPr>
              <w:t>硫酸盐、氯化物、</w:t>
            </w:r>
            <w:r>
              <w:rPr>
                <w:rFonts w:hint="default" w:ascii="Times New Roman" w:hAnsi="Times New Roman" w:eastAsia="宋体" w:cs="Times New Roman"/>
                <w:caps w:val="0"/>
                <w:smallCaps w:val="0"/>
                <w:color w:val="auto"/>
                <w:spacing w:val="5"/>
                <w:kern w:val="2"/>
                <w:sz w:val="21"/>
                <w:szCs w:val="21"/>
                <w:highlight w:val="none"/>
                <w:lang w:val="en-US" w:eastAsia="zh-CN" w:bidi="ar-SA"/>
              </w:rPr>
              <w:t>总大肠菌群、菌落总数</w:t>
            </w:r>
            <w:r>
              <w:rPr>
                <w:rFonts w:hint="default"/>
                <w:highlight w:val="none"/>
              </w:rPr>
              <w:t>、</w:t>
            </w:r>
            <w:r>
              <w:rPr>
                <w:rFonts w:hint="eastAsia"/>
                <w:highlight w:val="none"/>
                <w:lang w:val="en-US" w:eastAsia="zh-CN"/>
              </w:rPr>
              <w:t>石油类</w:t>
            </w:r>
          </w:p>
        </w:tc>
      </w:tr>
      <w:tr w14:paraId="6727AAFB">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96" w:type="pct"/>
            <w:vMerge w:val="continue"/>
            <w:tcBorders>
              <w:tl2br w:val="nil"/>
              <w:tr2bl w:val="nil"/>
            </w:tcBorders>
            <w:noWrap w:val="0"/>
            <w:vAlign w:val="center"/>
          </w:tcPr>
          <w:p w14:paraId="4E79A583">
            <w:pPr>
              <w:pStyle w:val="58"/>
              <w:bidi w:val="0"/>
              <w:rPr>
                <w:rFonts w:hint="default"/>
              </w:rPr>
            </w:pPr>
          </w:p>
        </w:tc>
        <w:tc>
          <w:tcPr>
            <w:tcW w:w="456" w:type="pct"/>
            <w:vMerge w:val="continue"/>
            <w:tcBorders>
              <w:tl2br w:val="nil"/>
              <w:tr2bl w:val="nil"/>
            </w:tcBorders>
            <w:noWrap w:val="0"/>
            <w:vAlign w:val="center"/>
          </w:tcPr>
          <w:p w14:paraId="4AF0DDF5">
            <w:pPr>
              <w:pStyle w:val="58"/>
              <w:bidi w:val="0"/>
              <w:rPr>
                <w:rFonts w:hint="default"/>
              </w:rPr>
            </w:pPr>
          </w:p>
        </w:tc>
        <w:tc>
          <w:tcPr>
            <w:tcW w:w="692" w:type="pct"/>
            <w:tcBorders>
              <w:tl2br w:val="nil"/>
              <w:tr2bl w:val="nil"/>
            </w:tcBorders>
            <w:noWrap w:val="0"/>
            <w:vAlign w:val="center"/>
          </w:tcPr>
          <w:p w14:paraId="41B68E5B">
            <w:pPr>
              <w:pStyle w:val="58"/>
              <w:bidi w:val="0"/>
              <w:rPr>
                <w:rFonts w:hint="default"/>
              </w:rPr>
            </w:pPr>
            <w:r>
              <w:rPr>
                <w:rFonts w:hint="default"/>
              </w:rPr>
              <w:t>污染源</w:t>
            </w:r>
          </w:p>
        </w:tc>
        <w:tc>
          <w:tcPr>
            <w:tcW w:w="867" w:type="pct"/>
            <w:tcBorders>
              <w:tl2br w:val="nil"/>
              <w:tr2bl w:val="nil"/>
            </w:tcBorders>
            <w:noWrap w:val="0"/>
            <w:vAlign w:val="center"/>
          </w:tcPr>
          <w:p w14:paraId="675646FF">
            <w:pPr>
              <w:pStyle w:val="58"/>
              <w:bidi w:val="0"/>
              <w:rPr>
                <w:rFonts w:hint="default"/>
                <w:lang w:val="en-US" w:eastAsia="zh-CN"/>
              </w:rPr>
            </w:pPr>
            <w:r>
              <w:rPr>
                <w:rFonts w:hint="default"/>
                <w:lang w:val="en-US" w:eastAsia="zh-CN"/>
              </w:rPr>
              <w:t>-</w:t>
            </w:r>
          </w:p>
        </w:tc>
        <w:tc>
          <w:tcPr>
            <w:tcW w:w="2687" w:type="pct"/>
            <w:tcBorders>
              <w:tl2br w:val="nil"/>
              <w:tr2bl w:val="nil"/>
            </w:tcBorders>
            <w:noWrap w:val="0"/>
            <w:vAlign w:val="center"/>
          </w:tcPr>
          <w:p w14:paraId="1052DC59">
            <w:pPr>
              <w:pStyle w:val="58"/>
              <w:bidi w:val="0"/>
              <w:rPr>
                <w:rFonts w:hint="default" w:eastAsia="宋体"/>
                <w:highlight w:val="none"/>
                <w:lang w:val="en-US" w:eastAsia="zh-CN"/>
              </w:rPr>
            </w:pPr>
            <w:r>
              <w:rPr>
                <w:rFonts w:hint="eastAsia"/>
                <w:highlight w:val="none"/>
              </w:rPr>
              <w:t>pH、COD、BOD</w:t>
            </w:r>
            <w:r>
              <w:rPr>
                <w:rFonts w:hint="eastAsia"/>
                <w:highlight w:val="none"/>
                <w:vertAlign w:val="subscript"/>
              </w:rPr>
              <w:t>5</w:t>
            </w:r>
            <w:r>
              <w:rPr>
                <w:rFonts w:hint="eastAsia"/>
                <w:highlight w:val="none"/>
              </w:rPr>
              <w:t>、氨氮、SS、总氮、总磷</w:t>
            </w:r>
            <w:r>
              <w:rPr>
                <w:rFonts w:hint="eastAsia"/>
                <w:highlight w:val="none"/>
                <w:lang w:eastAsia="zh-CN"/>
              </w:rPr>
              <w:t>、</w:t>
            </w:r>
            <w:r>
              <w:rPr>
                <w:rFonts w:hint="eastAsia"/>
                <w:highlight w:val="none"/>
                <w:lang w:val="en-US" w:eastAsia="zh-CN"/>
              </w:rPr>
              <w:t>石油类</w:t>
            </w:r>
          </w:p>
        </w:tc>
      </w:tr>
      <w:tr w14:paraId="5D02A271">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96" w:type="pct"/>
            <w:vMerge w:val="continue"/>
            <w:tcBorders>
              <w:tl2br w:val="nil"/>
              <w:tr2bl w:val="nil"/>
            </w:tcBorders>
            <w:noWrap w:val="0"/>
            <w:vAlign w:val="center"/>
          </w:tcPr>
          <w:p w14:paraId="25163D52">
            <w:pPr>
              <w:pStyle w:val="58"/>
              <w:bidi w:val="0"/>
              <w:rPr>
                <w:rFonts w:hint="default"/>
              </w:rPr>
            </w:pPr>
          </w:p>
        </w:tc>
        <w:tc>
          <w:tcPr>
            <w:tcW w:w="456" w:type="pct"/>
            <w:vMerge w:val="continue"/>
            <w:tcBorders>
              <w:tl2br w:val="nil"/>
              <w:tr2bl w:val="nil"/>
            </w:tcBorders>
            <w:noWrap w:val="0"/>
            <w:vAlign w:val="center"/>
          </w:tcPr>
          <w:p w14:paraId="0B2CFAF9">
            <w:pPr>
              <w:pStyle w:val="58"/>
              <w:bidi w:val="0"/>
              <w:rPr>
                <w:rFonts w:hint="default"/>
              </w:rPr>
            </w:pPr>
          </w:p>
        </w:tc>
        <w:tc>
          <w:tcPr>
            <w:tcW w:w="692" w:type="pct"/>
            <w:tcBorders>
              <w:tl2br w:val="nil"/>
              <w:tr2bl w:val="nil"/>
            </w:tcBorders>
            <w:noWrap w:val="0"/>
            <w:vAlign w:val="center"/>
          </w:tcPr>
          <w:p w14:paraId="39C45CCE">
            <w:pPr>
              <w:pStyle w:val="58"/>
              <w:bidi w:val="0"/>
              <w:rPr>
                <w:rFonts w:hint="default"/>
              </w:rPr>
            </w:pPr>
            <w:r>
              <w:rPr>
                <w:rFonts w:hint="default"/>
              </w:rPr>
              <w:t>影响</w:t>
            </w:r>
            <w:r>
              <w:rPr>
                <w:rFonts w:hint="default"/>
                <w:lang w:val="en-US" w:eastAsia="zh-CN"/>
              </w:rPr>
              <w:t>评价</w:t>
            </w:r>
          </w:p>
        </w:tc>
        <w:tc>
          <w:tcPr>
            <w:tcW w:w="867" w:type="pct"/>
            <w:tcBorders>
              <w:tl2br w:val="nil"/>
              <w:tr2bl w:val="nil"/>
            </w:tcBorders>
            <w:noWrap w:val="0"/>
            <w:vAlign w:val="center"/>
          </w:tcPr>
          <w:p w14:paraId="729AAF5E">
            <w:pPr>
              <w:pStyle w:val="58"/>
              <w:bidi w:val="0"/>
              <w:rPr>
                <w:rFonts w:hint="default"/>
                <w:lang w:val="en-US" w:eastAsia="zh-CN"/>
              </w:rPr>
            </w:pPr>
            <w:r>
              <w:rPr>
                <w:rFonts w:hint="default"/>
                <w:lang w:val="en-US" w:eastAsia="zh-CN"/>
              </w:rPr>
              <w:t>-</w:t>
            </w:r>
          </w:p>
        </w:tc>
        <w:tc>
          <w:tcPr>
            <w:tcW w:w="2687" w:type="pct"/>
            <w:tcBorders>
              <w:tl2br w:val="nil"/>
              <w:tr2bl w:val="nil"/>
            </w:tcBorders>
            <w:noWrap w:val="0"/>
            <w:vAlign w:val="center"/>
          </w:tcPr>
          <w:p w14:paraId="3793B72B">
            <w:pPr>
              <w:pStyle w:val="58"/>
              <w:bidi w:val="0"/>
              <w:rPr>
                <w:rFonts w:hint="default"/>
                <w:lang w:eastAsia="zh-CN"/>
              </w:rPr>
            </w:pPr>
            <w:r>
              <w:rPr>
                <w:rFonts w:hint="default"/>
              </w:rPr>
              <w:t>耗氧量、氨氮</w:t>
            </w:r>
          </w:p>
        </w:tc>
      </w:tr>
      <w:tr w14:paraId="46F89E1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645" w:hRule="atLeast"/>
          <w:jc w:val="center"/>
        </w:trPr>
        <w:tc>
          <w:tcPr>
            <w:tcW w:w="296" w:type="pct"/>
            <w:vMerge w:val="restart"/>
            <w:tcBorders>
              <w:tl2br w:val="nil"/>
              <w:tr2bl w:val="nil"/>
            </w:tcBorders>
            <w:noWrap w:val="0"/>
            <w:vAlign w:val="center"/>
          </w:tcPr>
          <w:p w14:paraId="5EAB2825">
            <w:pPr>
              <w:pStyle w:val="58"/>
              <w:bidi w:val="0"/>
              <w:rPr>
                <w:rFonts w:hint="default"/>
                <w:lang w:val="en-US" w:eastAsia="zh-CN"/>
              </w:rPr>
            </w:pPr>
            <w:r>
              <w:rPr>
                <w:rFonts w:hint="default"/>
                <w:lang w:val="en-US" w:eastAsia="zh-CN"/>
              </w:rPr>
              <w:t>4</w:t>
            </w:r>
          </w:p>
        </w:tc>
        <w:tc>
          <w:tcPr>
            <w:tcW w:w="456" w:type="pct"/>
            <w:vMerge w:val="restart"/>
            <w:tcBorders>
              <w:tl2br w:val="nil"/>
              <w:tr2bl w:val="nil"/>
            </w:tcBorders>
            <w:noWrap w:val="0"/>
            <w:vAlign w:val="center"/>
          </w:tcPr>
          <w:p w14:paraId="0D18FD44">
            <w:pPr>
              <w:pStyle w:val="58"/>
              <w:bidi w:val="0"/>
              <w:rPr>
                <w:rFonts w:hint="default"/>
              </w:rPr>
            </w:pPr>
            <w:r>
              <w:rPr>
                <w:rFonts w:hint="default"/>
              </w:rPr>
              <w:t>声环境</w:t>
            </w:r>
          </w:p>
        </w:tc>
        <w:tc>
          <w:tcPr>
            <w:tcW w:w="692" w:type="pct"/>
            <w:tcBorders>
              <w:tl2br w:val="nil"/>
              <w:tr2bl w:val="nil"/>
            </w:tcBorders>
            <w:noWrap w:val="0"/>
            <w:vAlign w:val="center"/>
          </w:tcPr>
          <w:p w14:paraId="6D831C4C">
            <w:pPr>
              <w:pStyle w:val="58"/>
              <w:bidi w:val="0"/>
              <w:rPr>
                <w:rFonts w:hint="default"/>
              </w:rPr>
            </w:pPr>
            <w:r>
              <w:rPr>
                <w:rFonts w:hint="default"/>
              </w:rPr>
              <w:t>现状评价</w:t>
            </w:r>
          </w:p>
        </w:tc>
        <w:tc>
          <w:tcPr>
            <w:tcW w:w="867" w:type="pct"/>
            <w:tcBorders>
              <w:tl2br w:val="nil"/>
              <w:tr2bl w:val="nil"/>
            </w:tcBorders>
            <w:noWrap w:val="0"/>
            <w:vAlign w:val="center"/>
          </w:tcPr>
          <w:p w14:paraId="3F0D2010">
            <w:pPr>
              <w:pStyle w:val="58"/>
              <w:bidi w:val="0"/>
              <w:rPr>
                <w:rFonts w:hint="default"/>
              </w:rPr>
            </w:pPr>
            <w:r>
              <w:rPr>
                <w:rFonts w:hint="default"/>
              </w:rPr>
              <w:t>等效连续A声级</w:t>
            </w:r>
          </w:p>
        </w:tc>
        <w:tc>
          <w:tcPr>
            <w:tcW w:w="2687" w:type="pct"/>
            <w:tcBorders>
              <w:tl2br w:val="nil"/>
              <w:tr2bl w:val="nil"/>
            </w:tcBorders>
            <w:noWrap w:val="0"/>
            <w:vAlign w:val="center"/>
          </w:tcPr>
          <w:p w14:paraId="385AA89A">
            <w:pPr>
              <w:pStyle w:val="58"/>
              <w:bidi w:val="0"/>
              <w:rPr>
                <w:rFonts w:hint="default"/>
              </w:rPr>
            </w:pPr>
            <w:r>
              <w:rPr>
                <w:rFonts w:hint="default"/>
              </w:rPr>
              <w:t>等效连续A声级</w:t>
            </w:r>
          </w:p>
        </w:tc>
      </w:tr>
      <w:tr w14:paraId="1363A86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96" w:type="pct"/>
            <w:vMerge w:val="continue"/>
            <w:tcBorders>
              <w:tl2br w:val="nil"/>
              <w:tr2bl w:val="nil"/>
            </w:tcBorders>
            <w:noWrap w:val="0"/>
            <w:vAlign w:val="center"/>
          </w:tcPr>
          <w:p w14:paraId="592494C0">
            <w:pPr>
              <w:pStyle w:val="58"/>
              <w:bidi w:val="0"/>
              <w:rPr>
                <w:rFonts w:hint="default"/>
              </w:rPr>
            </w:pPr>
          </w:p>
        </w:tc>
        <w:tc>
          <w:tcPr>
            <w:tcW w:w="456" w:type="pct"/>
            <w:vMerge w:val="continue"/>
            <w:tcBorders>
              <w:tl2br w:val="nil"/>
              <w:tr2bl w:val="nil"/>
            </w:tcBorders>
            <w:noWrap w:val="0"/>
            <w:vAlign w:val="center"/>
          </w:tcPr>
          <w:p w14:paraId="31E2493C">
            <w:pPr>
              <w:pStyle w:val="58"/>
              <w:bidi w:val="0"/>
              <w:rPr>
                <w:rFonts w:hint="default"/>
              </w:rPr>
            </w:pPr>
          </w:p>
        </w:tc>
        <w:tc>
          <w:tcPr>
            <w:tcW w:w="692" w:type="pct"/>
            <w:tcBorders>
              <w:tl2br w:val="nil"/>
              <w:tr2bl w:val="nil"/>
            </w:tcBorders>
            <w:noWrap w:val="0"/>
            <w:vAlign w:val="center"/>
          </w:tcPr>
          <w:p w14:paraId="366C6D25">
            <w:pPr>
              <w:pStyle w:val="58"/>
              <w:bidi w:val="0"/>
              <w:rPr>
                <w:rFonts w:hint="default"/>
              </w:rPr>
            </w:pPr>
            <w:r>
              <w:rPr>
                <w:rFonts w:hint="default"/>
              </w:rPr>
              <w:t>污染源</w:t>
            </w:r>
          </w:p>
        </w:tc>
        <w:tc>
          <w:tcPr>
            <w:tcW w:w="867" w:type="pct"/>
            <w:tcBorders>
              <w:tl2br w:val="nil"/>
              <w:tr2bl w:val="nil"/>
            </w:tcBorders>
            <w:noWrap w:val="0"/>
            <w:vAlign w:val="center"/>
          </w:tcPr>
          <w:p w14:paraId="2182DAD7">
            <w:pPr>
              <w:pStyle w:val="58"/>
              <w:bidi w:val="0"/>
              <w:rPr>
                <w:rFonts w:hint="default"/>
              </w:rPr>
            </w:pPr>
            <w:r>
              <w:rPr>
                <w:rFonts w:hint="default"/>
              </w:rPr>
              <w:t>A声级</w:t>
            </w:r>
          </w:p>
        </w:tc>
        <w:tc>
          <w:tcPr>
            <w:tcW w:w="2687" w:type="pct"/>
            <w:tcBorders>
              <w:tl2br w:val="nil"/>
              <w:tr2bl w:val="nil"/>
            </w:tcBorders>
            <w:noWrap w:val="0"/>
            <w:vAlign w:val="center"/>
          </w:tcPr>
          <w:p w14:paraId="43949371">
            <w:pPr>
              <w:pStyle w:val="58"/>
              <w:bidi w:val="0"/>
              <w:rPr>
                <w:rFonts w:hint="default"/>
              </w:rPr>
            </w:pPr>
            <w:r>
              <w:rPr>
                <w:rFonts w:hint="default"/>
              </w:rPr>
              <w:t>A声级</w:t>
            </w:r>
          </w:p>
        </w:tc>
      </w:tr>
      <w:tr w14:paraId="51D1A937">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690" w:hRule="atLeast"/>
          <w:jc w:val="center"/>
        </w:trPr>
        <w:tc>
          <w:tcPr>
            <w:tcW w:w="296" w:type="pct"/>
            <w:vMerge w:val="continue"/>
            <w:tcBorders>
              <w:tl2br w:val="nil"/>
              <w:tr2bl w:val="nil"/>
            </w:tcBorders>
            <w:noWrap w:val="0"/>
            <w:vAlign w:val="center"/>
          </w:tcPr>
          <w:p w14:paraId="3CAC2430">
            <w:pPr>
              <w:pStyle w:val="58"/>
              <w:bidi w:val="0"/>
              <w:rPr>
                <w:rFonts w:hint="default"/>
              </w:rPr>
            </w:pPr>
          </w:p>
        </w:tc>
        <w:tc>
          <w:tcPr>
            <w:tcW w:w="456" w:type="pct"/>
            <w:vMerge w:val="continue"/>
            <w:tcBorders>
              <w:tl2br w:val="nil"/>
              <w:tr2bl w:val="nil"/>
            </w:tcBorders>
            <w:noWrap w:val="0"/>
            <w:vAlign w:val="center"/>
          </w:tcPr>
          <w:p w14:paraId="27A36C62">
            <w:pPr>
              <w:pStyle w:val="58"/>
              <w:bidi w:val="0"/>
              <w:rPr>
                <w:rFonts w:hint="default"/>
              </w:rPr>
            </w:pPr>
          </w:p>
        </w:tc>
        <w:tc>
          <w:tcPr>
            <w:tcW w:w="692" w:type="pct"/>
            <w:tcBorders>
              <w:tl2br w:val="nil"/>
              <w:tr2bl w:val="nil"/>
            </w:tcBorders>
            <w:noWrap w:val="0"/>
            <w:vAlign w:val="center"/>
          </w:tcPr>
          <w:p w14:paraId="06836030">
            <w:pPr>
              <w:pStyle w:val="58"/>
              <w:bidi w:val="0"/>
              <w:rPr>
                <w:rFonts w:hint="default"/>
              </w:rPr>
            </w:pPr>
            <w:r>
              <w:rPr>
                <w:rFonts w:hint="default"/>
              </w:rPr>
              <w:t>影响评价</w:t>
            </w:r>
          </w:p>
        </w:tc>
        <w:tc>
          <w:tcPr>
            <w:tcW w:w="867" w:type="pct"/>
            <w:tcBorders>
              <w:tl2br w:val="nil"/>
              <w:tr2bl w:val="nil"/>
            </w:tcBorders>
            <w:noWrap w:val="0"/>
            <w:vAlign w:val="center"/>
          </w:tcPr>
          <w:p w14:paraId="79437C9A">
            <w:pPr>
              <w:pStyle w:val="58"/>
              <w:bidi w:val="0"/>
              <w:rPr>
                <w:rFonts w:hint="default"/>
                <w:lang w:val="en-US" w:eastAsia="zh-CN"/>
              </w:rPr>
            </w:pPr>
            <w:r>
              <w:rPr>
                <w:rFonts w:hint="default"/>
              </w:rPr>
              <w:t>等效连续A声级</w:t>
            </w:r>
          </w:p>
        </w:tc>
        <w:tc>
          <w:tcPr>
            <w:tcW w:w="2687" w:type="pct"/>
            <w:tcBorders>
              <w:tl2br w:val="nil"/>
              <w:tr2bl w:val="nil"/>
            </w:tcBorders>
            <w:noWrap w:val="0"/>
            <w:vAlign w:val="center"/>
          </w:tcPr>
          <w:p w14:paraId="3EBCE442">
            <w:pPr>
              <w:pStyle w:val="58"/>
              <w:bidi w:val="0"/>
              <w:rPr>
                <w:rFonts w:hint="default"/>
                <w:lang w:val="en-US" w:eastAsia="zh-CN"/>
              </w:rPr>
            </w:pPr>
            <w:r>
              <w:rPr>
                <w:rFonts w:hint="default"/>
              </w:rPr>
              <w:t>等效连续A声级</w:t>
            </w:r>
          </w:p>
        </w:tc>
      </w:tr>
      <w:tr w14:paraId="372F9A92">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660" w:hRule="atLeast"/>
          <w:jc w:val="center"/>
        </w:trPr>
        <w:tc>
          <w:tcPr>
            <w:tcW w:w="296" w:type="pct"/>
            <w:vMerge w:val="restart"/>
            <w:tcBorders>
              <w:tl2br w:val="nil"/>
              <w:tr2bl w:val="nil"/>
            </w:tcBorders>
            <w:noWrap w:val="0"/>
            <w:vAlign w:val="center"/>
          </w:tcPr>
          <w:p w14:paraId="4AE1DF7C">
            <w:pPr>
              <w:pStyle w:val="58"/>
              <w:bidi w:val="0"/>
              <w:rPr>
                <w:rFonts w:hint="default"/>
                <w:lang w:val="en-US" w:eastAsia="zh-CN"/>
              </w:rPr>
            </w:pPr>
            <w:r>
              <w:rPr>
                <w:rFonts w:hint="default"/>
                <w:lang w:val="en-US" w:eastAsia="zh-CN"/>
              </w:rPr>
              <w:t>5</w:t>
            </w:r>
          </w:p>
        </w:tc>
        <w:tc>
          <w:tcPr>
            <w:tcW w:w="456" w:type="pct"/>
            <w:vMerge w:val="restart"/>
            <w:tcBorders>
              <w:tl2br w:val="nil"/>
              <w:tr2bl w:val="nil"/>
            </w:tcBorders>
            <w:noWrap w:val="0"/>
            <w:vAlign w:val="center"/>
          </w:tcPr>
          <w:p w14:paraId="2A1BBF1E">
            <w:pPr>
              <w:pStyle w:val="58"/>
              <w:bidi w:val="0"/>
              <w:rPr>
                <w:rFonts w:hint="default"/>
                <w:lang w:val="en-US" w:eastAsia="zh-CN"/>
              </w:rPr>
            </w:pPr>
            <w:r>
              <w:rPr>
                <w:rFonts w:hint="default"/>
                <w:lang w:val="en-US" w:eastAsia="zh-CN"/>
              </w:rPr>
              <w:t>土壤</w:t>
            </w:r>
          </w:p>
        </w:tc>
        <w:tc>
          <w:tcPr>
            <w:tcW w:w="692" w:type="pct"/>
            <w:tcBorders>
              <w:tl2br w:val="nil"/>
              <w:tr2bl w:val="nil"/>
            </w:tcBorders>
            <w:noWrap w:val="0"/>
            <w:vAlign w:val="center"/>
          </w:tcPr>
          <w:p w14:paraId="462F8DDD">
            <w:pPr>
              <w:pStyle w:val="58"/>
              <w:bidi w:val="0"/>
              <w:rPr>
                <w:rFonts w:hint="default"/>
              </w:rPr>
            </w:pPr>
            <w:r>
              <w:rPr>
                <w:rFonts w:hint="default"/>
              </w:rPr>
              <w:t>现状评价</w:t>
            </w:r>
          </w:p>
        </w:tc>
        <w:tc>
          <w:tcPr>
            <w:tcW w:w="867" w:type="pct"/>
            <w:tcBorders>
              <w:tl2br w:val="nil"/>
              <w:tr2bl w:val="nil"/>
            </w:tcBorders>
            <w:noWrap w:val="0"/>
            <w:vAlign w:val="center"/>
          </w:tcPr>
          <w:p w14:paraId="4997ABFA">
            <w:pPr>
              <w:pStyle w:val="58"/>
              <w:bidi w:val="0"/>
              <w:rPr>
                <w:rFonts w:hint="default"/>
              </w:rPr>
            </w:pPr>
            <w:r>
              <w:rPr>
                <w:rFonts w:hint="default"/>
                <w:lang w:val="en-US" w:eastAsia="zh-CN"/>
              </w:rPr>
              <w:t>-</w:t>
            </w:r>
          </w:p>
        </w:tc>
        <w:tc>
          <w:tcPr>
            <w:tcW w:w="2687" w:type="pct"/>
            <w:tcBorders>
              <w:tl2br w:val="nil"/>
              <w:tr2bl w:val="nil"/>
            </w:tcBorders>
            <w:noWrap w:val="0"/>
            <w:vAlign w:val="center"/>
          </w:tcPr>
          <w:p w14:paraId="562642C5">
            <w:pPr>
              <w:pStyle w:val="58"/>
              <w:bidi w:val="0"/>
              <w:rPr>
                <w:rFonts w:hint="default"/>
                <w:highlight w:val="green"/>
                <w:lang w:val="en-US" w:eastAsia="zh-CN"/>
              </w:rPr>
            </w:pPr>
            <w:r>
              <w:rPr>
                <w:rFonts w:hint="default"/>
                <w:highlight w:val="none"/>
                <w:lang w:val="en-US" w:eastAsia="zh-CN"/>
              </w:rPr>
              <w:t>pH、砷、镉、铬(六价)、铜、铅、汞、镍、四氯化碳、氯仿、氯甲烷、1,1-二氯乙烷、1,2-二氯乙烷、1,1-二氯乙烯，顺-1,2-二氯乙烯、反-1,2-二氯乙烯、二氯甲烷、1,2-二氯丙烷、1,1,1,2-四氯乙烷、1,1,2,2-四氯乙烷、四氯乙烯、1,1,1-三氯乙烷、1,1,2-三氯乙烷、三氯乙烯、1,2,3-三氯丙烷、氯乙烯、苯、氯苯、1,2-二氯苯、1,4-二氯苯、乙苯、苯乙烯、甲苯、间二甲苯+对二甲苯、邻二甲苯、硝基苯、苯胺、2-氯酚、苯并[a]蒽、苯并[a]芘、苯并[b]荧蒽、苯并[k]荧蒽、䓛、二苯并[a、h]蒽、茚并[1,2,3-cd]芘、萘、石油烃、氨氮</w:t>
            </w:r>
          </w:p>
        </w:tc>
      </w:tr>
      <w:tr w14:paraId="0566186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440" w:hRule="atLeast"/>
          <w:jc w:val="center"/>
        </w:trPr>
        <w:tc>
          <w:tcPr>
            <w:tcW w:w="296" w:type="pct"/>
            <w:vMerge w:val="continue"/>
            <w:tcBorders>
              <w:tl2br w:val="nil"/>
              <w:tr2bl w:val="nil"/>
            </w:tcBorders>
            <w:noWrap w:val="0"/>
            <w:vAlign w:val="center"/>
          </w:tcPr>
          <w:p w14:paraId="3AEC940B">
            <w:pPr>
              <w:pStyle w:val="58"/>
              <w:bidi w:val="0"/>
              <w:rPr>
                <w:rFonts w:hint="default"/>
                <w:lang w:val="en-US" w:eastAsia="zh-CN"/>
              </w:rPr>
            </w:pPr>
          </w:p>
        </w:tc>
        <w:tc>
          <w:tcPr>
            <w:tcW w:w="456" w:type="pct"/>
            <w:vMerge w:val="continue"/>
            <w:tcBorders>
              <w:tl2br w:val="nil"/>
              <w:tr2bl w:val="nil"/>
            </w:tcBorders>
            <w:noWrap w:val="0"/>
            <w:vAlign w:val="center"/>
          </w:tcPr>
          <w:p w14:paraId="41E64C9B">
            <w:pPr>
              <w:pStyle w:val="58"/>
              <w:bidi w:val="0"/>
              <w:rPr>
                <w:rFonts w:hint="default"/>
                <w:lang w:val="en-US" w:eastAsia="zh-CN"/>
              </w:rPr>
            </w:pPr>
          </w:p>
        </w:tc>
        <w:tc>
          <w:tcPr>
            <w:tcW w:w="692" w:type="pct"/>
            <w:tcBorders>
              <w:tl2br w:val="nil"/>
              <w:tr2bl w:val="nil"/>
            </w:tcBorders>
            <w:noWrap w:val="0"/>
            <w:vAlign w:val="center"/>
          </w:tcPr>
          <w:p w14:paraId="716AC0B2">
            <w:pPr>
              <w:pStyle w:val="58"/>
              <w:bidi w:val="0"/>
              <w:rPr>
                <w:rFonts w:hint="default"/>
                <w:lang w:val="en-US" w:eastAsia="zh-CN"/>
              </w:rPr>
            </w:pPr>
            <w:r>
              <w:rPr>
                <w:rFonts w:hint="default"/>
                <w:lang w:eastAsia="zh-CN"/>
              </w:rPr>
              <w:t>污染源评价</w:t>
            </w:r>
          </w:p>
        </w:tc>
        <w:tc>
          <w:tcPr>
            <w:tcW w:w="867" w:type="pct"/>
            <w:tcBorders>
              <w:tl2br w:val="nil"/>
              <w:tr2bl w:val="nil"/>
            </w:tcBorders>
            <w:noWrap w:val="0"/>
            <w:vAlign w:val="center"/>
          </w:tcPr>
          <w:p w14:paraId="0200F8F2">
            <w:pPr>
              <w:pStyle w:val="58"/>
              <w:bidi w:val="0"/>
              <w:rPr>
                <w:rFonts w:hint="default"/>
                <w:lang w:val="en-US" w:eastAsia="zh-CN"/>
              </w:rPr>
            </w:pPr>
            <w:r>
              <w:rPr>
                <w:rFonts w:hint="default"/>
                <w:lang w:val="en-US" w:eastAsia="zh-CN"/>
              </w:rPr>
              <w:t>-</w:t>
            </w:r>
          </w:p>
        </w:tc>
        <w:tc>
          <w:tcPr>
            <w:tcW w:w="2687" w:type="pct"/>
            <w:tcBorders>
              <w:tl2br w:val="nil"/>
              <w:tr2bl w:val="nil"/>
            </w:tcBorders>
            <w:noWrap w:val="0"/>
            <w:vAlign w:val="center"/>
          </w:tcPr>
          <w:p w14:paraId="0965A69F">
            <w:pPr>
              <w:pStyle w:val="58"/>
              <w:bidi w:val="0"/>
              <w:rPr>
                <w:rFonts w:hint="default" w:eastAsia="宋体"/>
                <w:highlight w:val="none"/>
                <w:lang w:val="en-US" w:eastAsia="zh-CN"/>
              </w:rPr>
            </w:pPr>
            <w:r>
              <w:rPr>
                <w:rFonts w:hint="default"/>
                <w:highlight w:val="none"/>
                <w:lang w:val="en-US" w:eastAsia="zh-CN"/>
              </w:rPr>
              <w:t>pH、石油烃</w:t>
            </w:r>
            <w:r>
              <w:rPr>
                <w:rFonts w:hint="eastAsia"/>
                <w:highlight w:val="none"/>
                <w:lang w:eastAsia="zh-CN"/>
              </w:rPr>
              <w:t>、</w:t>
            </w:r>
            <w:r>
              <w:rPr>
                <w:rFonts w:hint="eastAsia"/>
                <w:highlight w:val="none"/>
                <w:lang w:val="en-US" w:eastAsia="zh-CN"/>
              </w:rPr>
              <w:t>氨氮</w:t>
            </w:r>
          </w:p>
        </w:tc>
      </w:tr>
      <w:tr w14:paraId="470AA911">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641" w:hRule="atLeast"/>
          <w:jc w:val="center"/>
        </w:trPr>
        <w:tc>
          <w:tcPr>
            <w:tcW w:w="296" w:type="pct"/>
            <w:vMerge w:val="continue"/>
            <w:tcBorders>
              <w:tl2br w:val="nil"/>
              <w:tr2bl w:val="nil"/>
            </w:tcBorders>
            <w:noWrap w:val="0"/>
            <w:vAlign w:val="center"/>
          </w:tcPr>
          <w:p w14:paraId="69A7A84F">
            <w:pPr>
              <w:pStyle w:val="58"/>
              <w:bidi w:val="0"/>
              <w:rPr>
                <w:rFonts w:hint="default"/>
                <w:lang w:val="en-US" w:eastAsia="zh-CN"/>
              </w:rPr>
            </w:pPr>
          </w:p>
        </w:tc>
        <w:tc>
          <w:tcPr>
            <w:tcW w:w="456" w:type="pct"/>
            <w:vMerge w:val="continue"/>
            <w:tcBorders>
              <w:tl2br w:val="nil"/>
              <w:tr2bl w:val="nil"/>
            </w:tcBorders>
            <w:noWrap w:val="0"/>
            <w:vAlign w:val="center"/>
          </w:tcPr>
          <w:p w14:paraId="1CB0ADEE">
            <w:pPr>
              <w:pStyle w:val="58"/>
              <w:bidi w:val="0"/>
              <w:rPr>
                <w:rFonts w:hint="default"/>
                <w:lang w:val="en-US" w:eastAsia="zh-CN"/>
              </w:rPr>
            </w:pPr>
          </w:p>
        </w:tc>
        <w:tc>
          <w:tcPr>
            <w:tcW w:w="692" w:type="pct"/>
            <w:tcBorders>
              <w:tl2br w:val="nil"/>
              <w:tr2bl w:val="nil"/>
            </w:tcBorders>
            <w:noWrap w:val="0"/>
            <w:vAlign w:val="center"/>
          </w:tcPr>
          <w:p w14:paraId="68AD8F10">
            <w:pPr>
              <w:pStyle w:val="58"/>
              <w:bidi w:val="0"/>
              <w:rPr>
                <w:rFonts w:hint="default"/>
                <w:lang w:val="en-US" w:eastAsia="zh-CN"/>
              </w:rPr>
            </w:pPr>
            <w:r>
              <w:rPr>
                <w:rFonts w:hint="default"/>
                <w:lang w:eastAsia="zh-CN"/>
              </w:rPr>
              <w:t>影响评价</w:t>
            </w:r>
          </w:p>
        </w:tc>
        <w:tc>
          <w:tcPr>
            <w:tcW w:w="867" w:type="pct"/>
            <w:tcBorders>
              <w:tl2br w:val="nil"/>
              <w:tr2bl w:val="nil"/>
            </w:tcBorders>
            <w:noWrap w:val="0"/>
            <w:vAlign w:val="center"/>
          </w:tcPr>
          <w:p w14:paraId="5DBCF7AA">
            <w:pPr>
              <w:pStyle w:val="58"/>
              <w:bidi w:val="0"/>
              <w:rPr>
                <w:rFonts w:hint="default"/>
                <w:lang w:val="en-US" w:eastAsia="zh-CN"/>
              </w:rPr>
            </w:pPr>
            <w:r>
              <w:rPr>
                <w:rFonts w:hint="default"/>
                <w:lang w:val="en-US" w:eastAsia="zh-CN"/>
              </w:rPr>
              <w:t>-</w:t>
            </w:r>
          </w:p>
        </w:tc>
        <w:tc>
          <w:tcPr>
            <w:tcW w:w="2687" w:type="pct"/>
            <w:tcBorders>
              <w:tl2br w:val="nil"/>
              <w:tr2bl w:val="nil"/>
            </w:tcBorders>
            <w:noWrap w:val="0"/>
            <w:vAlign w:val="center"/>
          </w:tcPr>
          <w:p w14:paraId="550F5F3C">
            <w:pPr>
              <w:pStyle w:val="58"/>
              <w:bidi w:val="0"/>
              <w:rPr>
                <w:rFonts w:hint="default" w:eastAsia="宋体"/>
                <w:highlight w:val="none"/>
                <w:lang w:val="en-US" w:eastAsia="zh-CN"/>
              </w:rPr>
            </w:pPr>
            <w:r>
              <w:rPr>
                <w:rFonts w:hint="default"/>
                <w:highlight w:val="none"/>
                <w:lang w:val="en-US" w:eastAsia="zh-CN"/>
              </w:rPr>
              <w:t>pH、石油烃</w:t>
            </w:r>
            <w:r>
              <w:rPr>
                <w:rFonts w:hint="eastAsia"/>
                <w:highlight w:val="none"/>
                <w:lang w:eastAsia="zh-CN"/>
              </w:rPr>
              <w:t>、</w:t>
            </w:r>
            <w:r>
              <w:rPr>
                <w:rFonts w:hint="eastAsia"/>
                <w:highlight w:val="none"/>
                <w:lang w:val="en-US" w:eastAsia="zh-CN"/>
              </w:rPr>
              <w:t>氨氮</w:t>
            </w:r>
          </w:p>
        </w:tc>
      </w:tr>
      <w:tr w14:paraId="6D356DF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96" w:type="pct"/>
            <w:vMerge w:val="restart"/>
            <w:tcBorders>
              <w:tl2br w:val="nil"/>
              <w:tr2bl w:val="nil"/>
            </w:tcBorders>
            <w:noWrap w:val="0"/>
            <w:vAlign w:val="center"/>
          </w:tcPr>
          <w:p w14:paraId="7D8D0AB6">
            <w:pPr>
              <w:pStyle w:val="58"/>
              <w:bidi w:val="0"/>
              <w:rPr>
                <w:rFonts w:hint="default"/>
              </w:rPr>
            </w:pPr>
            <w:r>
              <w:rPr>
                <w:rFonts w:hint="default"/>
                <w:lang w:val="en-US" w:eastAsia="zh-CN"/>
              </w:rPr>
              <w:t>6</w:t>
            </w:r>
          </w:p>
        </w:tc>
        <w:tc>
          <w:tcPr>
            <w:tcW w:w="456" w:type="pct"/>
            <w:vMerge w:val="restart"/>
            <w:tcBorders>
              <w:tl2br w:val="nil"/>
              <w:tr2bl w:val="nil"/>
            </w:tcBorders>
            <w:noWrap w:val="0"/>
            <w:vAlign w:val="center"/>
          </w:tcPr>
          <w:p w14:paraId="5DE836EC">
            <w:pPr>
              <w:pStyle w:val="58"/>
              <w:bidi w:val="0"/>
              <w:rPr>
                <w:rFonts w:hint="default"/>
              </w:rPr>
            </w:pPr>
            <w:r>
              <w:rPr>
                <w:rFonts w:hint="default"/>
              </w:rPr>
              <w:t>固体废物</w:t>
            </w:r>
          </w:p>
        </w:tc>
        <w:tc>
          <w:tcPr>
            <w:tcW w:w="692" w:type="pct"/>
            <w:tcBorders>
              <w:tl2br w:val="nil"/>
              <w:tr2bl w:val="nil"/>
            </w:tcBorders>
            <w:noWrap w:val="0"/>
            <w:vAlign w:val="center"/>
          </w:tcPr>
          <w:p w14:paraId="5B94E24C">
            <w:pPr>
              <w:pStyle w:val="58"/>
              <w:bidi w:val="0"/>
              <w:rPr>
                <w:rFonts w:hint="default"/>
              </w:rPr>
            </w:pPr>
            <w:r>
              <w:rPr>
                <w:rFonts w:hint="default"/>
              </w:rPr>
              <w:t>污染源</w:t>
            </w:r>
          </w:p>
        </w:tc>
        <w:tc>
          <w:tcPr>
            <w:tcW w:w="867" w:type="pct"/>
            <w:vMerge w:val="restart"/>
            <w:tcBorders>
              <w:tl2br w:val="nil"/>
              <w:tr2bl w:val="nil"/>
            </w:tcBorders>
            <w:noWrap w:val="0"/>
            <w:vAlign w:val="center"/>
          </w:tcPr>
          <w:p w14:paraId="5775C894">
            <w:pPr>
              <w:pStyle w:val="58"/>
              <w:bidi w:val="0"/>
              <w:rPr>
                <w:rFonts w:hint="default"/>
                <w:lang w:val="en-US" w:eastAsia="zh-CN"/>
              </w:rPr>
            </w:pPr>
            <w:r>
              <w:rPr>
                <w:rFonts w:hint="default"/>
                <w:lang w:val="en-US" w:eastAsia="zh-CN"/>
              </w:rPr>
              <w:t>建筑垃圾、</w:t>
            </w:r>
            <w:r>
              <w:rPr>
                <w:rFonts w:hint="default"/>
              </w:rPr>
              <w:t>弃土</w:t>
            </w:r>
          </w:p>
        </w:tc>
        <w:tc>
          <w:tcPr>
            <w:tcW w:w="2687" w:type="pct"/>
            <w:vMerge w:val="restart"/>
            <w:tcBorders>
              <w:tl2br w:val="nil"/>
              <w:tr2bl w:val="nil"/>
            </w:tcBorders>
            <w:noWrap w:val="0"/>
            <w:vAlign w:val="center"/>
          </w:tcPr>
          <w:p w14:paraId="65B5E545">
            <w:pPr>
              <w:pStyle w:val="58"/>
              <w:bidi w:val="0"/>
              <w:rPr>
                <w:rFonts w:hint="default"/>
                <w:lang w:eastAsia="zh-CN"/>
              </w:rPr>
            </w:pPr>
            <w:r>
              <w:rPr>
                <w:rFonts w:hint="default"/>
                <w:lang w:eastAsia="zh-CN"/>
              </w:rPr>
              <w:t>一般固废：栅渣、沉砂、污泥、职工生活垃圾</w:t>
            </w:r>
          </w:p>
          <w:p w14:paraId="0224B9D5">
            <w:pPr>
              <w:pStyle w:val="58"/>
              <w:bidi w:val="0"/>
              <w:rPr>
                <w:rFonts w:hint="default"/>
                <w:lang w:eastAsia="zh-CN"/>
              </w:rPr>
            </w:pPr>
            <w:r>
              <w:rPr>
                <w:rFonts w:hint="default"/>
                <w:lang w:eastAsia="zh-CN"/>
              </w:rPr>
              <w:t>危险废物：</w:t>
            </w:r>
            <w:r>
              <w:rPr>
                <w:rFonts w:hint="eastAsia"/>
                <w:lang w:eastAsia="zh-CN"/>
              </w:rPr>
              <w:t>实验室</w:t>
            </w:r>
            <w:r>
              <w:rPr>
                <w:rFonts w:hint="default"/>
                <w:lang w:eastAsia="zh-CN"/>
              </w:rPr>
              <w:t>及在线监测设备</w:t>
            </w:r>
            <w:r>
              <w:rPr>
                <w:rFonts w:hint="eastAsia"/>
                <w:lang w:val="en-US" w:eastAsia="zh-CN"/>
              </w:rPr>
              <w:t>废</w:t>
            </w:r>
            <w:r>
              <w:rPr>
                <w:rFonts w:hint="default"/>
                <w:lang w:eastAsia="zh-CN"/>
              </w:rPr>
              <w:t>液及废瓶、废润滑油</w:t>
            </w:r>
            <w:r>
              <w:rPr>
                <w:rFonts w:hint="eastAsia"/>
                <w:lang w:eastAsia="zh-CN"/>
              </w:rPr>
              <w:t>、</w:t>
            </w:r>
            <w:r>
              <w:rPr>
                <w:rFonts w:hint="eastAsia"/>
                <w:lang w:val="en-US" w:eastAsia="zh-CN"/>
              </w:rPr>
              <w:t>废液压油</w:t>
            </w:r>
            <w:r>
              <w:rPr>
                <w:rFonts w:hint="default"/>
                <w:lang w:eastAsia="zh-CN"/>
              </w:rPr>
              <w:t>及废油桶</w:t>
            </w:r>
          </w:p>
        </w:tc>
      </w:tr>
      <w:tr w14:paraId="6C11B792">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96" w:type="pct"/>
            <w:vMerge w:val="continue"/>
            <w:tcBorders>
              <w:tl2br w:val="nil"/>
              <w:tr2bl w:val="nil"/>
            </w:tcBorders>
            <w:noWrap w:val="0"/>
            <w:vAlign w:val="center"/>
          </w:tcPr>
          <w:p w14:paraId="24301D50">
            <w:pPr>
              <w:pStyle w:val="58"/>
              <w:bidi w:val="0"/>
              <w:rPr>
                <w:rFonts w:hint="default"/>
              </w:rPr>
            </w:pPr>
          </w:p>
        </w:tc>
        <w:tc>
          <w:tcPr>
            <w:tcW w:w="456" w:type="pct"/>
            <w:vMerge w:val="continue"/>
            <w:tcBorders>
              <w:tl2br w:val="nil"/>
              <w:tr2bl w:val="nil"/>
            </w:tcBorders>
            <w:noWrap w:val="0"/>
            <w:vAlign w:val="center"/>
          </w:tcPr>
          <w:p w14:paraId="069A6BB3">
            <w:pPr>
              <w:pStyle w:val="58"/>
              <w:bidi w:val="0"/>
              <w:rPr>
                <w:rFonts w:hint="default"/>
              </w:rPr>
            </w:pPr>
          </w:p>
        </w:tc>
        <w:tc>
          <w:tcPr>
            <w:tcW w:w="692" w:type="pct"/>
            <w:tcBorders>
              <w:tl2br w:val="nil"/>
              <w:tr2bl w:val="nil"/>
            </w:tcBorders>
            <w:noWrap w:val="0"/>
            <w:vAlign w:val="center"/>
          </w:tcPr>
          <w:p w14:paraId="2F9AF010">
            <w:pPr>
              <w:pStyle w:val="58"/>
              <w:bidi w:val="0"/>
              <w:rPr>
                <w:rFonts w:hint="default"/>
              </w:rPr>
            </w:pPr>
            <w:r>
              <w:rPr>
                <w:rFonts w:hint="default"/>
              </w:rPr>
              <w:t>影响分析</w:t>
            </w:r>
          </w:p>
        </w:tc>
        <w:tc>
          <w:tcPr>
            <w:tcW w:w="867" w:type="pct"/>
            <w:vMerge w:val="continue"/>
            <w:tcBorders>
              <w:tl2br w:val="nil"/>
              <w:tr2bl w:val="nil"/>
            </w:tcBorders>
            <w:noWrap w:val="0"/>
            <w:vAlign w:val="center"/>
          </w:tcPr>
          <w:p w14:paraId="39958F83">
            <w:pPr>
              <w:pStyle w:val="58"/>
              <w:bidi w:val="0"/>
              <w:rPr>
                <w:rFonts w:hint="default"/>
              </w:rPr>
            </w:pPr>
          </w:p>
        </w:tc>
        <w:tc>
          <w:tcPr>
            <w:tcW w:w="2687" w:type="pct"/>
            <w:vMerge w:val="continue"/>
            <w:tcBorders>
              <w:tl2br w:val="nil"/>
              <w:tr2bl w:val="nil"/>
            </w:tcBorders>
            <w:noWrap w:val="0"/>
            <w:vAlign w:val="center"/>
          </w:tcPr>
          <w:p w14:paraId="2F12683F">
            <w:pPr>
              <w:pStyle w:val="58"/>
              <w:bidi w:val="0"/>
              <w:rPr>
                <w:rFonts w:hint="default"/>
              </w:rPr>
            </w:pPr>
          </w:p>
        </w:tc>
      </w:tr>
      <w:tr w14:paraId="39ED662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96" w:type="pct"/>
            <w:tcBorders>
              <w:tl2br w:val="nil"/>
              <w:tr2bl w:val="nil"/>
            </w:tcBorders>
            <w:noWrap w:val="0"/>
            <w:vAlign w:val="center"/>
          </w:tcPr>
          <w:p w14:paraId="7D46BC44">
            <w:pPr>
              <w:pStyle w:val="58"/>
              <w:bidi w:val="0"/>
              <w:rPr>
                <w:rFonts w:hint="default"/>
                <w:lang w:val="en-US" w:eastAsia="zh-CN"/>
              </w:rPr>
            </w:pPr>
            <w:r>
              <w:rPr>
                <w:rFonts w:hint="default"/>
                <w:lang w:val="en-US" w:eastAsia="zh-CN"/>
              </w:rPr>
              <w:t>7</w:t>
            </w:r>
          </w:p>
        </w:tc>
        <w:tc>
          <w:tcPr>
            <w:tcW w:w="456" w:type="pct"/>
            <w:tcBorders>
              <w:tl2br w:val="nil"/>
              <w:tr2bl w:val="nil"/>
            </w:tcBorders>
            <w:noWrap w:val="0"/>
            <w:vAlign w:val="center"/>
          </w:tcPr>
          <w:p w14:paraId="3A7EA76D">
            <w:pPr>
              <w:pStyle w:val="58"/>
              <w:bidi w:val="0"/>
              <w:rPr>
                <w:rFonts w:hint="default"/>
                <w:highlight w:val="none"/>
                <w:lang w:val="en-US" w:eastAsia="zh-CN"/>
              </w:rPr>
            </w:pPr>
            <w:r>
              <w:rPr>
                <w:rFonts w:hint="default"/>
                <w:highlight w:val="none"/>
                <w:lang w:val="en-US" w:eastAsia="zh-CN"/>
              </w:rPr>
              <w:t>生态</w:t>
            </w:r>
          </w:p>
        </w:tc>
        <w:tc>
          <w:tcPr>
            <w:tcW w:w="692" w:type="pct"/>
            <w:tcBorders>
              <w:tl2br w:val="nil"/>
              <w:tr2bl w:val="nil"/>
            </w:tcBorders>
            <w:noWrap w:val="0"/>
            <w:vAlign w:val="center"/>
          </w:tcPr>
          <w:p w14:paraId="1595D9AC">
            <w:pPr>
              <w:pStyle w:val="58"/>
              <w:bidi w:val="0"/>
              <w:rPr>
                <w:rFonts w:hint="default"/>
                <w:highlight w:val="none"/>
                <w:lang w:val="en-US" w:eastAsia="zh-CN"/>
              </w:rPr>
            </w:pPr>
            <w:r>
              <w:rPr>
                <w:rFonts w:hint="default"/>
                <w:highlight w:val="none"/>
              </w:rPr>
              <w:t>影响</w:t>
            </w:r>
            <w:r>
              <w:rPr>
                <w:rFonts w:hint="eastAsia"/>
                <w:highlight w:val="none"/>
                <w:lang w:val="en-US" w:eastAsia="zh-CN"/>
              </w:rPr>
              <w:t>分析</w:t>
            </w:r>
          </w:p>
        </w:tc>
        <w:tc>
          <w:tcPr>
            <w:tcW w:w="867" w:type="pct"/>
            <w:tcBorders>
              <w:tl2br w:val="nil"/>
              <w:tr2bl w:val="nil"/>
            </w:tcBorders>
            <w:noWrap w:val="0"/>
            <w:vAlign w:val="center"/>
          </w:tcPr>
          <w:p w14:paraId="3568BE2E">
            <w:pPr>
              <w:pStyle w:val="58"/>
              <w:bidi w:val="0"/>
              <w:rPr>
                <w:rFonts w:hint="default"/>
                <w:lang w:val="en-US" w:eastAsia="zh-CN"/>
              </w:rPr>
            </w:pPr>
            <w:r>
              <w:rPr>
                <w:rFonts w:hint="default"/>
              </w:rPr>
              <w:t>水土流失、植被、土壤</w:t>
            </w:r>
          </w:p>
        </w:tc>
        <w:tc>
          <w:tcPr>
            <w:tcW w:w="2687" w:type="pct"/>
            <w:tcBorders>
              <w:tl2br w:val="nil"/>
              <w:tr2bl w:val="nil"/>
            </w:tcBorders>
            <w:noWrap w:val="0"/>
            <w:vAlign w:val="center"/>
          </w:tcPr>
          <w:p w14:paraId="5FDEBA5B">
            <w:pPr>
              <w:pStyle w:val="58"/>
              <w:bidi w:val="0"/>
              <w:rPr>
                <w:rFonts w:hint="default"/>
                <w:lang w:val="en-US" w:eastAsia="zh-CN"/>
              </w:rPr>
            </w:pPr>
            <w:r>
              <w:rPr>
                <w:rFonts w:hint="eastAsia"/>
                <w:highlight w:val="none"/>
                <w:lang w:val="en-US" w:eastAsia="zh-CN"/>
              </w:rPr>
              <w:t>景观</w:t>
            </w:r>
          </w:p>
        </w:tc>
      </w:tr>
      <w:tr w14:paraId="6AEE6E02">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96" w:type="pct"/>
            <w:vMerge w:val="restart"/>
            <w:tcBorders>
              <w:tl2br w:val="nil"/>
              <w:tr2bl w:val="nil"/>
            </w:tcBorders>
            <w:noWrap w:val="0"/>
            <w:vAlign w:val="center"/>
          </w:tcPr>
          <w:p w14:paraId="13243BBA">
            <w:pPr>
              <w:pStyle w:val="58"/>
              <w:bidi w:val="0"/>
              <w:rPr>
                <w:rFonts w:hint="default"/>
                <w:lang w:val="en-US" w:eastAsia="zh-CN"/>
              </w:rPr>
            </w:pPr>
            <w:r>
              <w:rPr>
                <w:rFonts w:hint="default"/>
                <w:lang w:val="en-US" w:eastAsia="zh-CN"/>
              </w:rPr>
              <w:t>8</w:t>
            </w:r>
          </w:p>
        </w:tc>
        <w:tc>
          <w:tcPr>
            <w:tcW w:w="456" w:type="pct"/>
            <w:vMerge w:val="restart"/>
            <w:tcBorders>
              <w:tl2br w:val="nil"/>
              <w:tr2bl w:val="nil"/>
            </w:tcBorders>
            <w:noWrap w:val="0"/>
            <w:vAlign w:val="center"/>
          </w:tcPr>
          <w:p w14:paraId="754F7929">
            <w:pPr>
              <w:pStyle w:val="58"/>
              <w:bidi w:val="0"/>
              <w:rPr>
                <w:rFonts w:hint="default"/>
              </w:rPr>
            </w:pPr>
            <w:r>
              <w:rPr>
                <w:rFonts w:hint="default"/>
              </w:rPr>
              <w:t>环境风险</w:t>
            </w:r>
          </w:p>
        </w:tc>
        <w:tc>
          <w:tcPr>
            <w:tcW w:w="692" w:type="pct"/>
            <w:tcBorders>
              <w:tl2br w:val="nil"/>
              <w:tr2bl w:val="nil"/>
            </w:tcBorders>
            <w:noWrap w:val="0"/>
            <w:vAlign w:val="center"/>
          </w:tcPr>
          <w:p w14:paraId="586981B6">
            <w:pPr>
              <w:pStyle w:val="58"/>
              <w:bidi w:val="0"/>
              <w:rPr>
                <w:rFonts w:hint="default"/>
              </w:rPr>
            </w:pPr>
            <w:r>
              <w:rPr>
                <w:rFonts w:hint="default"/>
              </w:rPr>
              <w:t>风险识别</w:t>
            </w:r>
          </w:p>
        </w:tc>
        <w:tc>
          <w:tcPr>
            <w:tcW w:w="867" w:type="pct"/>
            <w:vMerge w:val="restart"/>
            <w:tcBorders>
              <w:tl2br w:val="nil"/>
              <w:tr2bl w:val="nil"/>
            </w:tcBorders>
            <w:noWrap w:val="0"/>
            <w:vAlign w:val="center"/>
          </w:tcPr>
          <w:p w14:paraId="650DCDDF">
            <w:pPr>
              <w:pStyle w:val="58"/>
              <w:bidi w:val="0"/>
              <w:rPr>
                <w:rFonts w:hint="default"/>
                <w:lang w:val="en-US" w:eastAsia="zh-CN"/>
              </w:rPr>
            </w:pPr>
            <w:r>
              <w:rPr>
                <w:rFonts w:hint="default"/>
                <w:lang w:val="en-US" w:eastAsia="zh-CN"/>
              </w:rPr>
              <w:t>-</w:t>
            </w:r>
          </w:p>
        </w:tc>
        <w:tc>
          <w:tcPr>
            <w:tcW w:w="2687" w:type="pct"/>
            <w:vMerge w:val="restart"/>
            <w:tcBorders>
              <w:tl2br w:val="nil"/>
              <w:tr2bl w:val="nil"/>
            </w:tcBorders>
            <w:noWrap w:val="0"/>
            <w:vAlign w:val="center"/>
          </w:tcPr>
          <w:p w14:paraId="4B8A202B">
            <w:pPr>
              <w:pStyle w:val="58"/>
              <w:bidi w:val="0"/>
              <w:rPr>
                <w:rFonts w:hint="default"/>
                <w:lang w:val="en-US" w:eastAsia="zh-CN"/>
              </w:rPr>
            </w:pPr>
            <w:r>
              <w:rPr>
                <w:rFonts w:hint="default"/>
                <w:lang w:val="en-US" w:eastAsia="zh-CN"/>
              </w:rPr>
              <w:t>次氯酸钠、硫酸、重铬酸钾、纳氏试剂(含汞）、润滑油、废润滑油、液压油、废液压油、废油桶、在线监测废液、</w:t>
            </w:r>
            <w:r>
              <w:rPr>
                <w:rFonts w:hint="eastAsia"/>
                <w:lang w:val="en-US" w:eastAsia="zh-CN"/>
              </w:rPr>
              <w:t>实验室</w:t>
            </w:r>
            <w:r>
              <w:rPr>
                <w:rFonts w:hint="default"/>
                <w:lang w:val="en-US" w:eastAsia="zh-CN"/>
              </w:rPr>
              <w:t>废液和废试剂瓶等</w:t>
            </w:r>
          </w:p>
        </w:tc>
      </w:tr>
      <w:tr w14:paraId="5637DAD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96" w:type="pct"/>
            <w:vMerge w:val="continue"/>
            <w:tcBorders>
              <w:tl2br w:val="nil"/>
              <w:tr2bl w:val="nil"/>
            </w:tcBorders>
            <w:noWrap w:val="0"/>
            <w:vAlign w:val="center"/>
          </w:tcPr>
          <w:p w14:paraId="7FA13866">
            <w:pPr>
              <w:pStyle w:val="58"/>
              <w:bidi w:val="0"/>
              <w:rPr>
                <w:rFonts w:hint="default"/>
              </w:rPr>
            </w:pPr>
          </w:p>
        </w:tc>
        <w:tc>
          <w:tcPr>
            <w:tcW w:w="456" w:type="pct"/>
            <w:vMerge w:val="continue"/>
            <w:tcBorders>
              <w:tl2br w:val="nil"/>
              <w:tr2bl w:val="nil"/>
            </w:tcBorders>
            <w:noWrap w:val="0"/>
            <w:vAlign w:val="center"/>
          </w:tcPr>
          <w:p w14:paraId="78FE5737">
            <w:pPr>
              <w:pStyle w:val="58"/>
              <w:bidi w:val="0"/>
              <w:rPr>
                <w:rFonts w:hint="default"/>
              </w:rPr>
            </w:pPr>
          </w:p>
        </w:tc>
        <w:tc>
          <w:tcPr>
            <w:tcW w:w="692" w:type="pct"/>
            <w:tcBorders>
              <w:tl2br w:val="nil"/>
              <w:tr2bl w:val="nil"/>
            </w:tcBorders>
            <w:noWrap w:val="0"/>
            <w:vAlign w:val="center"/>
          </w:tcPr>
          <w:p w14:paraId="1BE376CB">
            <w:pPr>
              <w:pStyle w:val="58"/>
              <w:bidi w:val="0"/>
              <w:rPr>
                <w:rFonts w:hint="default"/>
              </w:rPr>
            </w:pPr>
            <w:r>
              <w:rPr>
                <w:rFonts w:hint="default"/>
              </w:rPr>
              <w:t>风险评价</w:t>
            </w:r>
          </w:p>
        </w:tc>
        <w:tc>
          <w:tcPr>
            <w:tcW w:w="867" w:type="pct"/>
            <w:vMerge w:val="continue"/>
            <w:tcBorders>
              <w:tl2br w:val="nil"/>
              <w:tr2bl w:val="nil"/>
            </w:tcBorders>
            <w:noWrap w:val="0"/>
            <w:vAlign w:val="center"/>
          </w:tcPr>
          <w:p w14:paraId="07E73380">
            <w:pPr>
              <w:pStyle w:val="58"/>
              <w:bidi w:val="0"/>
              <w:rPr>
                <w:rFonts w:hint="default"/>
              </w:rPr>
            </w:pPr>
          </w:p>
        </w:tc>
        <w:tc>
          <w:tcPr>
            <w:tcW w:w="2687" w:type="pct"/>
            <w:vMerge w:val="continue"/>
            <w:tcBorders>
              <w:tl2br w:val="nil"/>
              <w:tr2bl w:val="nil"/>
            </w:tcBorders>
            <w:noWrap w:val="0"/>
            <w:vAlign w:val="center"/>
          </w:tcPr>
          <w:p w14:paraId="6C6F5253">
            <w:pPr>
              <w:pStyle w:val="58"/>
              <w:bidi w:val="0"/>
              <w:rPr>
                <w:rFonts w:hint="default"/>
              </w:rPr>
            </w:pPr>
          </w:p>
        </w:tc>
      </w:tr>
    </w:tbl>
    <w:p w14:paraId="7FF8A655">
      <w:pPr>
        <w:pStyle w:val="7"/>
        <w:bidi w:val="0"/>
        <w:rPr>
          <w:rFonts w:hint="default"/>
        </w:rPr>
      </w:pPr>
      <w:bookmarkStart w:id="76" w:name="_Toc7429"/>
      <w:r>
        <w:rPr>
          <w:rFonts w:hint="default"/>
        </w:rPr>
        <w:t>2.5评价等级、评价范围</w:t>
      </w:r>
      <w:bookmarkEnd w:id="75"/>
      <w:bookmarkEnd w:id="76"/>
    </w:p>
    <w:p w14:paraId="43B6251B">
      <w:pPr>
        <w:pStyle w:val="6"/>
        <w:pageBreakBefore w:val="0"/>
        <w:widowControl w:val="0"/>
        <w:kinsoku/>
        <w:wordWrap/>
        <w:overflowPunct/>
        <w:topLinePunct w:val="0"/>
        <w:autoSpaceDE/>
        <w:autoSpaceDN/>
        <w:bidi w:val="0"/>
        <w:adjustRightInd/>
        <w:snapToGrid/>
        <w:spacing w:before="0" w:beforeLines="0" w:after="0" w:afterLines="0" w:line="480" w:lineRule="exac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bookmarkStart w:id="77" w:name="_Toc498880229"/>
      <w:bookmarkStart w:id="78" w:name="_Toc498494527"/>
      <w:r>
        <w:rPr>
          <w:rFonts w:hint="default" w:ascii="Times New Roman" w:hAnsi="Times New Roman" w:eastAsia="宋体" w:cs="Times New Roman"/>
          <w:color w:val="000000" w:themeColor="text1"/>
          <w:sz w:val="24"/>
          <w:szCs w:val="24"/>
          <w:highlight w:val="none"/>
          <w14:textFill>
            <w14:solidFill>
              <w14:schemeClr w14:val="tx1"/>
            </w14:solidFill>
          </w14:textFill>
        </w:rPr>
        <w:t>2.5.1大气环境影响评价等级</w:t>
      </w:r>
      <w:bookmarkEnd w:id="77"/>
      <w:bookmarkEnd w:id="78"/>
    </w:p>
    <w:p w14:paraId="2711A948">
      <w:pPr>
        <w:pageBreakBefore w:val="0"/>
        <w:widowControl w:val="0"/>
        <w:kinsoku/>
        <w:wordWrap/>
        <w:overflowPunct/>
        <w:topLinePunct w:val="0"/>
        <w:autoSpaceDE/>
        <w:autoSpaceDN/>
        <w:bidi w:val="0"/>
        <w:adjustRightInd/>
        <w:snapToGrid/>
        <w:spacing w:line="480" w:lineRule="exact"/>
        <w:ind w:firstLine="422" w:firstLineChars="176"/>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依据《环境影响评价技术导则-大气环境》(HJ2.2-2018)中5.3节工作等级的确定方法，结合项目工程分析结果，选择正常排放的主要污染物及排放参数，采用附录A推荐模型中的AERSCREEN模式计算项目污染源的最大环境影响，然后按评价工作分级判据进行分级。</w:t>
      </w:r>
    </w:p>
    <w:p w14:paraId="18ADD2C2">
      <w:pPr>
        <w:pageBreakBefore w:val="0"/>
        <w:widowControl w:val="0"/>
        <w:kinsoku/>
        <w:wordWrap/>
        <w:overflowPunct/>
        <w:topLinePunct w:val="0"/>
        <w:autoSpaceDE/>
        <w:autoSpaceDN/>
        <w:bidi w:val="0"/>
        <w:adjustRightInd/>
        <w:snapToGrid/>
        <w:spacing w:line="480" w:lineRule="exact"/>
        <w:ind w:firstLine="422" w:firstLineChars="176"/>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(1)P</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max</w:t>
      </w:r>
      <w:r>
        <w:rPr>
          <w:rFonts w:hint="default" w:ascii="Times New Roman" w:hAnsi="Times New Roman" w:eastAsia="宋体" w:cs="Times New Roman"/>
          <w:color w:val="000000" w:themeColor="text1"/>
          <w:sz w:val="24"/>
          <w:szCs w:val="24"/>
          <w:highlight w:val="none"/>
          <w14:textFill>
            <w14:solidFill>
              <w14:schemeClr w14:val="tx1"/>
            </w14:solidFill>
          </w14:textFill>
        </w:rPr>
        <w:t>及D</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10%</w:t>
      </w:r>
      <w:r>
        <w:rPr>
          <w:rFonts w:hint="default" w:ascii="Times New Roman" w:hAnsi="Times New Roman" w:eastAsia="宋体" w:cs="Times New Roman"/>
          <w:color w:val="000000" w:themeColor="text1"/>
          <w:sz w:val="24"/>
          <w:szCs w:val="24"/>
          <w:highlight w:val="none"/>
          <w14:textFill>
            <w14:solidFill>
              <w14:schemeClr w14:val="tx1"/>
            </w14:solidFill>
          </w14:textFill>
        </w:rPr>
        <w:t>的确定</w:t>
      </w:r>
    </w:p>
    <w:p w14:paraId="45B0586A">
      <w:pPr>
        <w:pageBreakBefore w:val="0"/>
        <w:widowControl w:val="0"/>
        <w:kinsoku/>
        <w:wordWrap/>
        <w:overflowPunct/>
        <w:topLinePunct w:val="0"/>
        <w:autoSpaceDE/>
        <w:autoSpaceDN/>
        <w:bidi w:val="0"/>
        <w:adjustRightInd/>
        <w:snapToGrid/>
        <w:spacing w:line="480" w:lineRule="exact"/>
        <w:ind w:firstLine="422" w:firstLineChars="176"/>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依据最大地面浓度占标率P</w:t>
      </w:r>
      <w:r>
        <w:rPr>
          <w:rFonts w:hint="default" w:ascii="Times New Roman" w:hAnsi="Times New Roman" w:eastAsia="宋体" w:cs="Times New Roman"/>
          <w:i/>
          <w:color w:val="000000" w:themeColor="text1"/>
          <w:sz w:val="24"/>
          <w:szCs w:val="24"/>
          <w:highlight w:val="none"/>
          <w14:textFill>
            <w14:solidFill>
              <w14:schemeClr w14:val="tx1"/>
            </w14:solidFill>
          </w14:textFill>
        </w:rPr>
        <w:t>i</w:t>
      </w:r>
      <w:r>
        <w:rPr>
          <w:rFonts w:hint="default" w:ascii="Times New Roman" w:hAnsi="Times New Roman" w:eastAsia="宋体" w:cs="Times New Roman"/>
          <w:color w:val="000000" w:themeColor="text1"/>
          <w:sz w:val="24"/>
          <w:szCs w:val="24"/>
          <w:highlight w:val="none"/>
          <w14:textFill>
            <w14:solidFill>
              <w14:schemeClr w14:val="tx1"/>
            </w14:solidFill>
          </w14:textFill>
        </w:rPr>
        <w:t>定义如下：</w:t>
      </w:r>
    </w:p>
    <w:p w14:paraId="703E4178">
      <w:pPr>
        <w:pageBreakBefore w:val="0"/>
        <w:widowControl w:val="0"/>
        <w:kinsoku/>
        <w:wordWrap/>
        <w:overflowPunct/>
        <w:topLinePunct w:val="0"/>
        <w:autoSpaceDE/>
        <w:autoSpaceDN/>
        <w:bidi w:val="0"/>
        <w:adjustRightInd/>
        <w:snapToGrid/>
        <w:spacing w:line="480" w:lineRule="exact"/>
        <w:ind w:firstLine="422" w:firstLineChars="176"/>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m:oMathPara>
        <m:oMath>
          <m:sSub>
            <m:sSubPr>
              <m:ctrlPr>
                <w:rPr>
                  <w:rFonts w:hint="default" w:ascii="Cambria Math" w:hAnsi="Cambria Math" w:eastAsia="宋体" w:cs="Times New Roman"/>
                  <w:color w:val="000000" w:themeColor="text1"/>
                  <w:sz w:val="24"/>
                  <w:szCs w:val="24"/>
                  <w:highlight w:val="none"/>
                  <w14:textFill>
                    <w14:solidFill>
                      <w14:schemeClr w14:val="tx1"/>
                    </w14:solidFill>
                  </w14:textFill>
                </w:rPr>
              </m:ctrlPr>
            </m:sSubPr>
            <m:e>
              <m:r>
                <m:rPr/>
                <w:rPr>
                  <w:rFonts w:hint="default" w:ascii="Cambria Math" w:hAnsi="Cambria Math" w:eastAsia="宋体" w:cs="Times New Roman"/>
                  <w:color w:val="000000" w:themeColor="text1"/>
                  <w:sz w:val="24"/>
                  <w:szCs w:val="24"/>
                  <w:highlight w:val="none"/>
                  <w14:textFill>
                    <w14:solidFill>
                      <w14:schemeClr w14:val="tx1"/>
                    </w14:solidFill>
                  </w14:textFill>
                </w:rPr>
                <m:t>P</m:t>
              </m:r>
              <m:ctrlPr>
                <w:rPr>
                  <w:rFonts w:hint="default" w:ascii="Cambria Math" w:hAnsi="Cambria Math" w:eastAsia="宋体" w:cs="Times New Roman"/>
                  <w:color w:val="000000" w:themeColor="text1"/>
                  <w:sz w:val="24"/>
                  <w:szCs w:val="24"/>
                  <w:highlight w:val="none"/>
                  <w14:textFill>
                    <w14:solidFill>
                      <w14:schemeClr w14:val="tx1"/>
                    </w14:solidFill>
                  </w14:textFill>
                </w:rPr>
              </m:ctrlPr>
            </m:e>
            <m:sub>
              <m:r>
                <m:rPr/>
                <w:rPr>
                  <w:rFonts w:hint="default" w:ascii="Cambria Math" w:hAnsi="Cambria Math" w:eastAsia="宋体" w:cs="Times New Roman"/>
                  <w:color w:val="000000" w:themeColor="text1"/>
                  <w:sz w:val="24"/>
                  <w:szCs w:val="24"/>
                  <w:highlight w:val="none"/>
                  <w14:textFill>
                    <w14:solidFill>
                      <w14:schemeClr w14:val="tx1"/>
                    </w14:solidFill>
                  </w14:textFill>
                </w:rPr>
                <m:t>i</m:t>
              </m:r>
              <m:ctrlPr>
                <w:rPr>
                  <w:rFonts w:hint="default" w:ascii="Cambria Math" w:hAnsi="Cambria Math" w:eastAsia="宋体" w:cs="Times New Roman"/>
                  <w:color w:val="000000" w:themeColor="text1"/>
                  <w:sz w:val="24"/>
                  <w:szCs w:val="24"/>
                  <w:highlight w:val="none"/>
                  <w14:textFill>
                    <w14:solidFill>
                      <w14:schemeClr w14:val="tx1"/>
                    </w14:solidFill>
                  </w14:textFill>
                </w:rPr>
              </m:ctrlPr>
            </m:sub>
          </m:sSub>
          <m:r>
            <m:rPr>
              <m:sty m:val="p"/>
            </m:rPr>
            <w:rPr>
              <w:rFonts w:hint="default" w:ascii="Cambria Math" w:hAnsi="Cambria Math" w:eastAsia="宋体" w:cs="Times New Roman"/>
              <w:color w:val="000000" w:themeColor="text1"/>
              <w:sz w:val="24"/>
              <w:szCs w:val="24"/>
              <w:highlight w:val="none"/>
              <w14:textFill>
                <w14:solidFill>
                  <w14:schemeClr w14:val="tx1"/>
                </w14:solidFill>
              </w14:textFill>
            </w:rPr>
            <m:t>=</m:t>
          </m:r>
          <m:f>
            <m:fPr>
              <m:ctrlPr>
                <w:rPr>
                  <w:rFonts w:hint="default" w:ascii="Cambria Math" w:hAnsi="Cambria Math" w:eastAsia="宋体" w:cs="Times New Roman"/>
                  <w:color w:val="000000" w:themeColor="text1"/>
                  <w:sz w:val="24"/>
                  <w:szCs w:val="24"/>
                  <w:highlight w:val="none"/>
                  <w14:textFill>
                    <w14:solidFill>
                      <w14:schemeClr w14:val="tx1"/>
                    </w14:solidFill>
                  </w14:textFill>
                </w:rPr>
              </m:ctrlPr>
            </m:fPr>
            <m:num>
              <m:sSub>
                <m:sSubPr>
                  <m:ctrlPr>
                    <w:rPr>
                      <w:rFonts w:hint="default" w:ascii="Cambria Math" w:hAnsi="Cambria Math" w:eastAsia="宋体" w:cs="Times New Roman"/>
                      <w:i/>
                      <w:color w:val="000000" w:themeColor="text1"/>
                      <w:sz w:val="24"/>
                      <w:szCs w:val="24"/>
                      <w:highlight w:val="none"/>
                      <w14:textFill>
                        <w14:solidFill>
                          <w14:schemeClr w14:val="tx1"/>
                        </w14:solidFill>
                      </w14:textFill>
                    </w:rPr>
                  </m:ctrlPr>
                </m:sSubPr>
                <m:e>
                  <m:r>
                    <m:rPr/>
                    <w:rPr>
                      <w:rFonts w:hint="default" w:ascii="Cambria Math" w:hAnsi="Cambria Math" w:eastAsia="宋体" w:cs="Times New Roman"/>
                      <w:color w:val="000000" w:themeColor="text1"/>
                      <w:sz w:val="24"/>
                      <w:szCs w:val="24"/>
                      <w:highlight w:val="none"/>
                      <w14:textFill>
                        <w14:solidFill>
                          <w14:schemeClr w14:val="tx1"/>
                        </w14:solidFill>
                      </w14:textFill>
                    </w:rPr>
                    <m:t>C</m:t>
                  </m:r>
                  <m:ctrlPr>
                    <w:rPr>
                      <w:rFonts w:hint="default" w:ascii="Cambria Math" w:hAnsi="Cambria Math" w:eastAsia="宋体" w:cs="Times New Roman"/>
                      <w:i/>
                      <w:color w:val="000000" w:themeColor="text1"/>
                      <w:sz w:val="24"/>
                      <w:szCs w:val="24"/>
                      <w:highlight w:val="none"/>
                      <w14:textFill>
                        <w14:solidFill>
                          <w14:schemeClr w14:val="tx1"/>
                        </w14:solidFill>
                      </w14:textFill>
                    </w:rPr>
                  </m:ctrlPr>
                </m:e>
                <m:sub>
                  <m:r>
                    <m:rPr/>
                    <w:rPr>
                      <w:rFonts w:hint="default" w:ascii="Cambria Math" w:hAnsi="Cambria Math" w:eastAsia="宋体" w:cs="Times New Roman"/>
                      <w:color w:val="000000" w:themeColor="text1"/>
                      <w:sz w:val="24"/>
                      <w:szCs w:val="24"/>
                      <w:highlight w:val="none"/>
                      <w14:textFill>
                        <w14:solidFill>
                          <w14:schemeClr w14:val="tx1"/>
                        </w14:solidFill>
                      </w14:textFill>
                    </w:rPr>
                    <m:t>i</m:t>
                  </m:r>
                  <m:ctrlPr>
                    <w:rPr>
                      <w:rFonts w:hint="default" w:ascii="Cambria Math" w:hAnsi="Cambria Math" w:eastAsia="宋体" w:cs="Times New Roman"/>
                      <w:i/>
                      <w:color w:val="000000" w:themeColor="text1"/>
                      <w:sz w:val="24"/>
                      <w:szCs w:val="24"/>
                      <w:highlight w:val="none"/>
                      <w14:textFill>
                        <w14:solidFill>
                          <w14:schemeClr w14:val="tx1"/>
                        </w14:solidFill>
                      </w14:textFill>
                    </w:rPr>
                  </m:ctrlPr>
                </m:sub>
              </m:sSub>
              <m:ctrlPr>
                <w:rPr>
                  <w:rFonts w:hint="default" w:ascii="Cambria Math" w:hAnsi="Cambria Math" w:eastAsia="宋体" w:cs="Times New Roman"/>
                  <w:color w:val="000000" w:themeColor="text1"/>
                  <w:sz w:val="24"/>
                  <w:szCs w:val="24"/>
                  <w:highlight w:val="none"/>
                  <w14:textFill>
                    <w14:solidFill>
                      <w14:schemeClr w14:val="tx1"/>
                    </w14:solidFill>
                  </w14:textFill>
                </w:rPr>
              </m:ctrlPr>
            </m:num>
            <m:den>
              <m:sSub>
                <m:sSubPr>
                  <m:ctrlPr>
                    <w:rPr>
                      <w:rFonts w:hint="default" w:ascii="Cambria Math" w:hAnsi="Cambria Math" w:eastAsia="宋体" w:cs="Times New Roman"/>
                      <w:i/>
                      <w:color w:val="000000" w:themeColor="text1"/>
                      <w:sz w:val="24"/>
                      <w:szCs w:val="24"/>
                      <w:highlight w:val="none"/>
                      <w14:textFill>
                        <w14:solidFill>
                          <w14:schemeClr w14:val="tx1"/>
                        </w14:solidFill>
                      </w14:textFill>
                    </w:rPr>
                  </m:ctrlPr>
                </m:sSubPr>
                <m:e>
                  <m:r>
                    <m:rPr/>
                    <w:rPr>
                      <w:rFonts w:hint="default" w:ascii="Cambria Math" w:hAnsi="Cambria Math" w:eastAsia="宋体" w:cs="Times New Roman"/>
                      <w:color w:val="000000" w:themeColor="text1"/>
                      <w:sz w:val="24"/>
                      <w:szCs w:val="24"/>
                      <w:highlight w:val="none"/>
                      <w14:textFill>
                        <w14:solidFill>
                          <w14:schemeClr w14:val="tx1"/>
                        </w14:solidFill>
                      </w14:textFill>
                    </w:rPr>
                    <m:t>C</m:t>
                  </m:r>
                  <m:ctrlPr>
                    <w:rPr>
                      <w:rFonts w:hint="default" w:ascii="Cambria Math" w:hAnsi="Cambria Math" w:eastAsia="宋体" w:cs="Times New Roman"/>
                      <w:i/>
                      <w:color w:val="000000" w:themeColor="text1"/>
                      <w:sz w:val="24"/>
                      <w:szCs w:val="24"/>
                      <w:highlight w:val="none"/>
                      <w14:textFill>
                        <w14:solidFill>
                          <w14:schemeClr w14:val="tx1"/>
                        </w14:solidFill>
                      </w14:textFill>
                    </w:rPr>
                  </m:ctrlPr>
                </m:e>
                <m:sub>
                  <m:r>
                    <m:rPr/>
                    <w:rPr>
                      <w:rFonts w:hint="default" w:ascii="Cambria Math" w:hAnsi="Cambria Math" w:eastAsia="宋体" w:cs="Times New Roman"/>
                      <w:color w:val="000000" w:themeColor="text1"/>
                      <w:sz w:val="24"/>
                      <w:szCs w:val="24"/>
                      <w:highlight w:val="none"/>
                      <w14:textFill>
                        <w14:solidFill>
                          <w14:schemeClr w14:val="tx1"/>
                        </w14:solidFill>
                      </w14:textFill>
                    </w:rPr>
                    <m:t>0i</m:t>
                  </m:r>
                  <m:ctrlPr>
                    <w:rPr>
                      <w:rFonts w:hint="default" w:ascii="Cambria Math" w:hAnsi="Cambria Math" w:eastAsia="宋体" w:cs="Times New Roman"/>
                      <w:i/>
                      <w:color w:val="000000" w:themeColor="text1"/>
                      <w:sz w:val="24"/>
                      <w:szCs w:val="24"/>
                      <w:highlight w:val="none"/>
                      <w14:textFill>
                        <w14:solidFill>
                          <w14:schemeClr w14:val="tx1"/>
                        </w14:solidFill>
                      </w14:textFill>
                    </w:rPr>
                  </m:ctrlPr>
                </m:sub>
              </m:sSub>
              <m:ctrlPr>
                <w:rPr>
                  <w:rFonts w:hint="default" w:ascii="Cambria Math" w:hAnsi="Cambria Math" w:eastAsia="宋体" w:cs="Times New Roman"/>
                  <w:color w:val="000000" w:themeColor="text1"/>
                  <w:sz w:val="24"/>
                  <w:szCs w:val="24"/>
                  <w:highlight w:val="none"/>
                  <w14:textFill>
                    <w14:solidFill>
                      <w14:schemeClr w14:val="tx1"/>
                    </w14:solidFill>
                  </w14:textFill>
                </w:rPr>
              </m:ctrlPr>
            </m:den>
          </m:f>
          <m:r>
            <m:rPr/>
            <w:rPr>
              <w:rFonts w:hint="default" w:ascii="Cambria Math" w:hAnsi="Cambria Math" w:eastAsia="宋体" w:cs="Times New Roman"/>
              <w:color w:val="000000" w:themeColor="text1"/>
              <w:sz w:val="24"/>
              <w:szCs w:val="24"/>
              <w:highlight w:val="none"/>
              <w14:textFill>
                <w14:solidFill>
                  <w14:schemeClr w14:val="tx1"/>
                </w14:solidFill>
              </w14:textFill>
            </w:rPr>
            <m:t>×100%</m:t>
          </m:r>
        </m:oMath>
      </m:oMathPara>
    </w:p>
    <w:p w14:paraId="4B20902F">
      <w:pPr>
        <w:pageBreakBefore w:val="0"/>
        <w:widowControl w:val="0"/>
        <w:kinsoku/>
        <w:wordWrap/>
        <w:overflowPunct/>
        <w:topLinePunct w:val="0"/>
        <w:autoSpaceDE/>
        <w:autoSpaceDN/>
        <w:bidi w:val="0"/>
        <w:adjustRightInd/>
        <w:snapToGrid/>
        <w:spacing w:line="480" w:lineRule="exact"/>
        <w:ind w:firstLine="422" w:firstLineChars="176"/>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m:oMath>
        <m:sSub>
          <m:sSubPr>
            <m:ctrlPr>
              <w:rPr>
                <w:rFonts w:hint="default" w:ascii="Cambria Math" w:hAnsi="Cambria Math" w:eastAsia="宋体" w:cs="Times New Roman"/>
                <w:color w:val="000000" w:themeColor="text1"/>
                <w:sz w:val="24"/>
                <w:szCs w:val="24"/>
                <w:highlight w:val="none"/>
                <w14:textFill>
                  <w14:solidFill>
                    <w14:schemeClr w14:val="tx1"/>
                  </w14:solidFill>
                </w14:textFill>
              </w:rPr>
            </m:ctrlPr>
          </m:sSubPr>
          <m:e>
            <m:r>
              <m:rPr/>
              <w:rPr>
                <w:rFonts w:hint="default" w:ascii="Cambria Math" w:hAnsi="Cambria Math" w:eastAsia="宋体" w:cs="Times New Roman"/>
                <w:color w:val="000000" w:themeColor="text1"/>
                <w:sz w:val="24"/>
                <w:szCs w:val="24"/>
                <w:highlight w:val="none"/>
                <w14:textFill>
                  <w14:solidFill>
                    <w14:schemeClr w14:val="tx1"/>
                  </w14:solidFill>
                </w14:textFill>
              </w:rPr>
              <m:t>P</m:t>
            </m:r>
            <m:ctrlPr>
              <w:rPr>
                <w:rFonts w:hint="default" w:ascii="Cambria Math" w:hAnsi="Cambria Math" w:eastAsia="宋体" w:cs="Times New Roman"/>
                <w:color w:val="000000" w:themeColor="text1"/>
                <w:sz w:val="24"/>
                <w:szCs w:val="24"/>
                <w:highlight w:val="none"/>
                <w14:textFill>
                  <w14:solidFill>
                    <w14:schemeClr w14:val="tx1"/>
                  </w14:solidFill>
                </w14:textFill>
              </w:rPr>
            </m:ctrlPr>
          </m:e>
          <m:sub>
            <m:r>
              <m:rPr/>
              <w:rPr>
                <w:rFonts w:hint="default" w:ascii="Cambria Math" w:hAnsi="Cambria Math" w:eastAsia="宋体" w:cs="Times New Roman"/>
                <w:color w:val="000000" w:themeColor="text1"/>
                <w:sz w:val="24"/>
                <w:szCs w:val="24"/>
                <w:highlight w:val="none"/>
                <w14:textFill>
                  <w14:solidFill>
                    <w14:schemeClr w14:val="tx1"/>
                  </w14:solidFill>
                </w14:textFill>
              </w:rPr>
              <m:t>i</m:t>
            </m:r>
            <m:ctrlPr>
              <w:rPr>
                <w:rFonts w:hint="default" w:ascii="Cambria Math" w:hAnsi="Cambria Math" w:eastAsia="宋体" w:cs="Times New Roman"/>
                <w:color w:val="000000" w:themeColor="text1"/>
                <w:sz w:val="24"/>
                <w:szCs w:val="24"/>
                <w:highlight w:val="none"/>
                <w14:textFill>
                  <w14:solidFill>
                    <w14:schemeClr w14:val="tx1"/>
                  </w14:solidFill>
                </w14:textFill>
              </w:rPr>
            </m:ctrlPr>
          </m:sub>
        </m:sSub>
      </m:oMath>
      <w:r>
        <w:rPr>
          <w:rFonts w:hint="default" w:ascii="Times New Roman" w:hAnsi="Times New Roman" w:eastAsia="宋体" w:cs="Times New Roman"/>
          <w:color w:val="000000" w:themeColor="text1"/>
          <w:sz w:val="24"/>
          <w:szCs w:val="24"/>
          <w:highlight w:val="none"/>
          <w14:textFill>
            <w14:solidFill>
              <w14:schemeClr w14:val="tx1"/>
            </w14:solidFill>
          </w14:textFill>
        </w:rPr>
        <w:t>——第i个污染物的最大地面空气质量浓度占标率，%；</w:t>
      </w:r>
    </w:p>
    <w:p w14:paraId="21390085">
      <w:pPr>
        <w:pageBreakBefore w:val="0"/>
        <w:widowControl w:val="0"/>
        <w:kinsoku/>
        <w:wordWrap/>
        <w:overflowPunct/>
        <w:topLinePunct w:val="0"/>
        <w:autoSpaceDE/>
        <w:autoSpaceDN/>
        <w:bidi w:val="0"/>
        <w:adjustRightInd/>
        <w:snapToGrid/>
        <w:spacing w:line="480" w:lineRule="exact"/>
        <w:ind w:firstLine="422" w:firstLineChars="176"/>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m:oMath>
        <m:sSub>
          <m:sSubPr>
            <m:ctrlPr>
              <w:rPr>
                <w:rFonts w:hint="default" w:ascii="Cambria Math" w:hAnsi="Cambria Math" w:eastAsia="宋体" w:cs="Times New Roman"/>
                <w:i/>
                <w:color w:val="000000" w:themeColor="text1"/>
                <w:sz w:val="24"/>
                <w:szCs w:val="24"/>
                <w:highlight w:val="none"/>
                <w14:textFill>
                  <w14:solidFill>
                    <w14:schemeClr w14:val="tx1"/>
                  </w14:solidFill>
                </w14:textFill>
              </w:rPr>
            </m:ctrlPr>
          </m:sSubPr>
          <m:e>
            <m:r>
              <m:rPr/>
              <w:rPr>
                <w:rFonts w:hint="default" w:ascii="Cambria Math" w:hAnsi="Cambria Math" w:eastAsia="宋体" w:cs="Times New Roman"/>
                <w:color w:val="000000" w:themeColor="text1"/>
                <w:sz w:val="24"/>
                <w:szCs w:val="24"/>
                <w:highlight w:val="none"/>
                <w14:textFill>
                  <w14:solidFill>
                    <w14:schemeClr w14:val="tx1"/>
                  </w14:solidFill>
                </w14:textFill>
              </w:rPr>
              <m:t>C</m:t>
            </m:r>
            <m:ctrlPr>
              <w:rPr>
                <w:rFonts w:hint="default" w:ascii="Cambria Math" w:hAnsi="Cambria Math" w:eastAsia="宋体" w:cs="Times New Roman"/>
                <w:i/>
                <w:color w:val="000000" w:themeColor="text1"/>
                <w:sz w:val="24"/>
                <w:szCs w:val="24"/>
                <w:highlight w:val="none"/>
                <w14:textFill>
                  <w14:solidFill>
                    <w14:schemeClr w14:val="tx1"/>
                  </w14:solidFill>
                </w14:textFill>
              </w:rPr>
            </m:ctrlPr>
          </m:e>
          <m:sub>
            <m:r>
              <m:rPr/>
              <w:rPr>
                <w:rFonts w:hint="default" w:ascii="Cambria Math" w:hAnsi="Cambria Math" w:eastAsia="宋体" w:cs="Times New Roman"/>
                <w:color w:val="000000" w:themeColor="text1"/>
                <w:sz w:val="24"/>
                <w:szCs w:val="24"/>
                <w:highlight w:val="none"/>
                <w14:textFill>
                  <w14:solidFill>
                    <w14:schemeClr w14:val="tx1"/>
                  </w14:solidFill>
                </w14:textFill>
              </w:rPr>
              <m:t>i</m:t>
            </m:r>
            <m:ctrlPr>
              <w:rPr>
                <w:rFonts w:hint="default" w:ascii="Cambria Math" w:hAnsi="Cambria Math" w:eastAsia="宋体" w:cs="Times New Roman"/>
                <w:i/>
                <w:color w:val="000000" w:themeColor="text1"/>
                <w:sz w:val="24"/>
                <w:szCs w:val="24"/>
                <w:highlight w:val="none"/>
                <w14:textFill>
                  <w14:solidFill>
                    <w14:schemeClr w14:val="tx1"/>
                  </w14:solidFill>
                </w14:textFill>
              </w:rPr>
            </m:ctrlPr>
          </m:sub>
        </m:sSub>
      </m:oMath>
      <w:r>
        <w:rPr>
          <w:rFonts w:hint="default" w:ascii="Times New Roman" w:hAnsi="Times New Roman" w:eastAsia="宋体" w:cs="Times New Roman"/>
          <w:color w:val="000000" w:themeColor="text1"/>
          <w:sz w:val="24"/>
          <w:szCs w:val="24"/>
          <w:highlight w:val="none"/>
          <w14:textFill>
            <w14:solidFill>
              <w14:schemeClr w14:val="tx1"/>
            </w14:solidFill>
          </w14:textFill>
        </w:rPr>
        <w:t>——采用估算模型计算出的第i个污染物的最大1h地面空气质量浓度，μg/</w:t>
      </w:r>
      <w:r>
        <w:rPr>
          <w:rFonts w:hint="eastAsia" w:cs="Times New Roman"/>
          <w:color w:val="000000" w:themeColor="text1"/>
          <w:sz w:val="24"/>
          <w:szCs w:val="24"/>
          <w:highlight w:val="none"/>
          <w:lang w:eastAsia="zh-CN"/>
          <w14:textFill>
            <w14:solidFill>
              <w14:schemeClr w14:val="tx1"/>
            </w14:solidFill>
          </w14:textFill>
        </w:rPr>
        <w:t>m</w:t>
      </w:r>
      <w:r>
        <w:rPr>
          <w:rFonts w:hint="eastAsia" w:cs="Times New Roman"/>
          <w:color w:val="000000" w:themeColor="text1"/>
          <w:sz w:val="24"/>
          <w:szCs w:val="24"/>
          <w:highlight w:val="none"/>
          <w:vertAlign w:val="superscript"/>
          <w:lang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5BC460AA">
      <w:pPr>
        <w:pageBreakBefore w:val="0"/>
        <w:widowControl w:val="0"/>
        <w:kinsoku/>
        <w:wordWrap/>
        <w:overflowPunct/>
        <w:topLinePunct w:val="0"/>
        <w:autoSpaceDE/>
        <w:autoSpaceDN/>
        <w:bidi w:val="0"/>
        <w:adjustRightInd/>
        <w:snapToGrid/>
        <w:spacing w:line="480" w:lineRule="exact"/>
        <w:ind w:firstLine="422" w:firstLineChars="176"/>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m:oMath>
        <m:sSub>
          <m:sSubPr>
            <m:ctrlPr>
              <w:rPr>
                <w:rFonts w:hint="default" w:ascii="Cambria Math" w:hAnsi="Cambria Math" w:eastAsia="宋体" w:cs="Times New Roman"/>
                <w:i/>
                <w:color w:val="000000" w:themeColor="text1"/>
                <w:sz w:val="24"/>
                <w:szCs w:val="24"/>
                <w:highlight w:val="none"/>
                <w14:textFill>
                  <w14:solidFill>
                    <w14:schemeClr w14:val="tx1"/>
                  </w14:solidFill>
                </w14:textFill>
              </w:rPr>
            </m:ctrlPr>
          </m:sSubPr>
          <m:e>
            <m:r>
              <m:rPr/>
              <w:rPr>
                <w:rFonts w:hint="default" w:ascii="Cambria Math" w:hAnsi="Cambria Math" w:eastAsia="宋体" w:cs="Times New Roman"/>
                <w:color w:val="000000" w:themeColor="text1"/>
                <w:sz w:val="24"/>
                <w:szCs w:val="24"/>
                <w:highlight w:val="none"/>
                <w14:textFill>
                  <w14:solidFill>
                    <w14:schemeClr w14:val="tx1"/>
                  </w14:solidFill>
                </w14:textFill>
              </w:rPr>
              <m:t>C</m:t>
            </m:r>
            <m:ctrlPr>
              <w:rPr>
                <w:rFonts w:hint="default" w:ascii="Cambria Math" w:hAnsi="Cambria Math" w:eastAsia="宋体" w:cs="Times New Roman"/>
                <w:i/>
                <w:color w:val="000000" w:themeColor="text1"/>
                <w:sz w:val="24"/>
                <w:szCs w:val="24"/>
                <w:highlight w:val="none"/>
                <w14:textFill>
                  <w14:solidFill>
                    <w14:schemeClr w14:val="tx1"/>
                  </w14:solidFill>
                </w14:textFill>
              </w:rPr>
            </m:ctrlPr>
          </m:e>
          <m:sub>
            <m:r>
              <m:rPr/>
              <w:rPr>
                <w:rFonts w:hint="default" w:ascii="Cambria Math" w:hAnsi="Cambria Math" w:eastAsia="宋体" w:cs="Times New Roman"/>
                <w:color w:val="000000" w:themeColor="text1"/>
                <w:sz w:val="24"/>
                <w:szCs w:val="24"/>
                <w:highlight w:val="none"/>
                <w14:textFill>
                  <w14:solidFill>
                    <w14:schemeClr w14:val="tx1"/>
                  </w14:solidFill>
                </w14:textFill>
              </w:rPr>
              <m:t>0i</m:t>
            </m:r>
            <m:ctrlPr>
              <w:rPr>
                <w:rFonts w:hint="default" w:ascii="Cambria Math" w:hAnsi="Cambria Math" w:eastAsia="宋体" w:cs="Times New Roman"/>
                <w:i/>
                <w:color w:val="000000" w:themeColor="text1"/>
                <w:sz w:val="24"/>
                <w:szCs w:val="24"/>
                <w:highlight w:val="none"/>
                <w14:textFill>
                  <w14:solidFill>
                    <w14:schemeClr w14:val="tx1"/>
                  </w14:solidFill>
                </w14:textFill>
              </w:rPr>
            </m:ctrlPr>
          </m:sub>
        </m:sSub>
      </m:oMath>
      <w:r>
        <w:rPr>
          <w:rFonts w:hint="default" w:ascii="Times New Roman" w:hAnsi="Times New Roman" w:eastAsia="宋体" w:cs="Times New Roman"/>
          <w:color w:val="000000" w:themeColor="text1"/>
          <w:sz w:val="24"/>
          <w:szCs w:val="24"/>
          <w:highlight w:val="none"/>
          <w14:textFill>
            <w14:solidFill>
              <w14:schemeClr w14:val="tx1"/>
            </w14:solidFill>
          </w14:textFill>
        </w:rPr>
        <w:t>——第i个污染物的环境空气质量浓度标准，μg/</w:t>
      </w:r>
      <w:r>
        <w:rPr>
          <w:rFonts w:hint="eastAsia" w:cs="Times New Roman"/>
          <w:color w:val="000000" w:themeColor="text1"/>
          <w:sz w:val="24"/>
          <w:szCs w:val="24"/>
          <w:highlight w:val="none"/>
          <w:lang w:eastAsia="zh-CN"/>
          <w14:textFill>
            <w14:solidFill>
              <w14:schemeClr w14:val="tx1"/>
            </w14:solidFill>
          </w14:textFill>
        </w:rPr>
        <w:t>m</w:t>
      </w:r>
      <w:r>
        <w:rPr>
          <w:rFonts w:hint="eastAsia" w:cs="Times New Roman"/>
          <w:color w:val="000000" w:themeColor="text1"/>
          <w:sz w:val="24"/>
          <w:szCs w:val="24"/>
          <w:highlight w:val="none"/>
          <w:vertAlign w:val="superscript"/>
          <w:lang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215A9462">
      <w:pPr>
        <w:pageBreakBefore w:val="0"/>
        <w:widowControl w:val="0"/>
        <w:kinsoku/>
        <w:wordWrap/>
        <w:overflowPunct/>
        <w:topLinePunct w:val="0"/>
        <w:autoSpaceDE/>
        <w:autoSpaceDN/>
        <w:bidi w:val="0"/>
        <w:adjustRightInd/>
        <w:snapToGrid/>
        <w:spacing w:line="480" w:lineRule="exact"/>
        <w:ind w:firstLine="422" w:firstLineChars="176"/>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(2)评价等级判别表</w:t>
      </w:r>
    </w:p>
    <w:p w14:paraId="5E7A18A7">
      <w:pPr>
        <w:pageBreakBefore w:val="0"/>
        <w:widowControl w:val="0"/>
        <w:kinsoku/>
        <w:wordWrap/>
        <w:overflowPunct/>
        <w:topLinePunct w:val="0"/>
        <w:autoSpaceDE/>
        <w:autoSpaceDN/>
        <w:bidi w:val="0"/>
        <w:adjustRightInd/>
        <w:snapToGrid/>
        <w:spacing w:line="480" w:lineRule="exact"/>
        <w:ind w:firstLine="422" w:firstLineChars="176"/>
        <w:jc w:val="left"/>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评价等级按下表的分级判据进行划分</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p>
    <w:p w14:paraId="1177506E">
      <w:pPr>
        <w:pageBreakBefore w:val="0"/>
        <w:widowControl w:val="0"/>
        <w:numPr>
          <w:ilvl w:val="0"/>
          <w:numId w:val="12"/>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bCs/>
          <w:color w:val="000000" w:themeColor="text1"/>
          <w:sz w:val="24"/>
          <w:szCs w:val="24"/>
          <w:highlight w:val="none"/>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14:textFill>
            <w14:solidFill>
              <w14:schemeClr w14:val="tx1"/>
            </w14:solidFill>
          </w14:textFill>
        </w:rPr>
        <w:t>评价等级判别表</w:t>
      </w:r>
    </w:p>
    <w:tbl>
      <w:tblPr>
        <w:tblStyle w:val="48"/>
        <w:tblW w:w="499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4623"/>
        <w:gridCol w:w="4663"/>
      </w:tblGrid>
      <w:tr w14:paraId="2880E8D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89" w:type="pct"/>
            <w:tcBorders>
              <w:tl2br w:val="nil"/>
              <w:tr2bl w:val="nil"/>
            </w:tcBorders>
            <w:noWrap w:val="0"/>
            <w:vAlign w:val="center"/>
          </w:tcPr>
          <w:p w14:paraId="094F2D55">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评价工作等级</w:t>
            </w:r>
          </w:p>
        </w:tc>
        <w:tc>
          <w:tcPr>
            <w:tcW w:w="2510" w:type="pct"/>
            <w:tcBorders>
              <w:tl2br w:val="nil"/>
              <w:tr2bl w:val="nil"/>
            </w:tcBorders>
            <w:noWrap w:val="0"/>
            <w:vAlign w:val="center"/>
          </w:tcPr>
          <w:p w14:paraId="74F51D0B">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评价工作分级判据</w:t>
            </w:r>
          </w:p>
        </w:tc>
      </w:tr>
      <w:tr w14:paraId="786DE89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89" w:type="pct"/>
            <w:tcBorders>
              <w:tl2br w:val="nil"/>
              <w:tr2bl w:val="nil"/>
            </w:tcBorders>
            <w:noWrap w:val="0"/>
            <w:vAlign w:val="center"/>
          </w:tcPr>
          <w:p w14:paraId="15ABB7DC">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一级评价</w:t>
            </w:r>
          </w:p>
        </w:tc>
        <w:tc>
          <w:tcPr>
            <w:tcW w:w="2510" w:type="pct"/>
            <w:tcBorders>
              <w:tl2br w:val="nil"/>
              <w:tr2bl w:val="nil"/>
            </w:tcBorders>
            <w:noWrap w:val="0"/>
            <w:vAlign w:val="center"/>
          </w:tcPr>
          <w:p w14:paraId="552BF572">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Pmax≧10%</w:t>
            </w:r>
          </w:p>
        </w:tc>
      </w:tr>
      <w:tr w14:paraId="69A0C83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89" w:type="pct"/>
            <w:tcBorders>
              <w:tl2br w:val="nil"/>
              <w:tr2bl w:val="nil"/>
            </w:tcBorders>
            <w:noWrap w:val="0"/>
            <w:vAlign w:val="center"/>
          </w:tcPr>
          <w:p w14:paraId="34265281">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二级评价</w:t>
            </w:r>
          </w:p>
        </w:tc>
        <w:tc>
          <w:tcPr>
            <w:tcW w:w="2510" w:type="pct"/>
            <w:tcBorders>
              <w:tl2br w:val="nil"/>
              <w:tr2bl w:val="nil"/>
            </w:tcBorders>
            <w:noWrap w:val="0"/>
            <w:vAlign w:val="center"/>
          </w:tcPr>
          <w:p w14:paraId="3F720EFE">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1%≦Pmax&lt;10%</w:t>
            </w:r>
          </w:p>
        </w:tc>
      </w:tr>
      <w:tr w14:paraId="5FD00C7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89" w:type="pct"/>
            <w:tcBorders>
              <w:tl2br w:val="nil"/>
              <w:tr2bl w:val="nil"/>
            </w:tcBorders>
            <w:noWrap w:val="0"/>
            <w:vAlign w:val="center"/>
          </w:tcPr>
          <w:p w14:paraId="70C1D8E2">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三级评价</w:t>
            </w:r>
          </w:p>
        </w:tc>
        <w:tc>
          <w:tcPr>
            <w:tcW w:w="2510" w:type="pct"/>
            <w:tcBorders>
              <w:tl2br w:val="nil"/>
              <w:tr2bl w:val="nil"/>
            </w:tcBorders>
            <w:noWrap w:val="0"/>
            <w:vAlign w:val="center"/>
          </w:tcPr>
          <w:p w14:paraId="1DDF0B86">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Pmax&lt;1%</w:t>
            </w:r>
          </w:p>
        </w:tc>
      </w:tr>
    </w:tbl>
    <w:p w14:paraId="606DFD71">
      <w:pPr>
        <w:spacing w:line="480" w:lineRule="exact"/>
        <w:ind w:firstLine="422" w:firstLineChars="176"/>
        <w:jc w:val="left"/>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(3)污染物评价标准</w:t>
      </w:r>
    </w:p>
    <w:p w14:paraId="2B51E3C7">
      <w:pPr>
        <w:spacing w:line="480" w:lineRule="exact"/>
        <w:ind w:firstLine="422" w:firstLineChars="176"/>
        <w:jc w:val="left"/>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污染物评价标准和来源见下表。</w:t>
      </w:r>
    </w:p>
    <w:p w14:paraId="5EDC4948">
      <w:pPr>
        <w:pageBreakBefore w:val="0"/>
        <w:widowControl w:val="0"/>
        <w:numPr>
          <w:ilvl w:val="0"/>
          <w:numId w:val="12"/>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bCs/>
          <w:color w:val="000000" w:themeColor="text1"/>
          <w:sz w:val="24"/>
          <w:szCs w:val="24"/>
          <w:highlight w:val="none"/>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14:textFill>
            <w14:solidFill>
              <w14:schemeClr w14:val="tx1"/>
            </w14:solidFill>
          </w14:textFill>
        </w:rPr>
        <w:t>污染物评价标准</w:t>
      </w:r>
    </w:p>
    <w:tbl>
      <w:tblPr>
        <w:tblStyle w:val="47"/>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332"/>
        <w:gridCol w:w="1667"/>
        <w:gridCol w:w="1293"/>
        <w:gridCol w:w="1306"/>
        <w:gridCol w:w="3690"/>
      </w:tblGrid>
      <w:tr w14:paraId="2B4F607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17" w:type="pct"/>
            <w:tcBorders>
              <w:tl2br w:val="nil"/>
              <w:tr2bl w:val="nil"/>
            </w:tcBorders>
            <w:vAlign w:val="center"/>
          </w:tcPr>
          <w:p w14:paraId="77A5DD54">
            <w:pPr>
              <w:pStyle w:val="58"/>
              <w:bidi w:val="0"/>
              <w:rPr>
                <w:rFonts w:hint="default"/>
                <w:highlight w:val="none"/>
                <w:lang w:eastAsia="zh-CN"/>
              </w:rPr>
            </w:pPr>
            <w:r>
              <w:rPr>
                <w:rFonts w:hint="default"/>
                <w:highlight w:val="none"/>
                <w:lang w:eastAsia="zh-CN"/>
              </w:rPr>
              <w:t>污染物名称</w:t>
            </w:r>
          </w:p>
        </w:tc>
        <w:tc>
          <w:tcPr>
            <w:tcW w:w="897" w:type="pct"/>
            <w:tcBorders>
              <w:tl2br w:val="nil"/>
              <w:tr2bl w:val="nil"/>
            </w:tcBorders>
            <w:vAlign w:val="center"/>
          </w:tcPr>
          <w:p w14:paraId="597CE8D0">
            <w:pPr>
              <w:pStyle w:val="58"/>
              <w:bidi w:val="0"/>
              <w:rPr>
                <w:rFonts w:hint="default"/>
                <w:highlight w:val="none"/>
                <w:lang w:eastAsia="zh-CN"/>
              </w:rPr>
            </w:pPr>
            <w:r>
              <w:rPr>
                <w:rFonts w:hint="default"/>
                <w:highlight w:val="none"/>
                <w:lang w:eastAsia="zh-CN"/>
              </w:rPr>
              <w:t>功能区</w:t>
            </w:r>
          </w:p>
        </w:tc>
        <w:tc>
          <w:tcPr>
            <w:tcW w:w="696" w:type="pct"/>
            <w:tcBorders>
              <w:tl2br w:val="nil"/>
              <w:tr2bl w:val="nil"/>
            </w:tcBorders>
            <w:vAlign w:val="center"/>
          </w:tcPr>
          <w:p w14:paraId="7B023B2B">
            <w:pPr>
              <w:pStyle w:val="58"/>
              <w:bidi w:val="0"/>
              <w:rPr>
                <w:rFonts w:hint="default"/>
                <w:highlight w:val="none"/>
                <w:lang w:eastAsia="zh-CN"/>
              </w:rPr>
            </w:pPr>
            <w:r>
              <w:rPr>
                <w:rFonts w:hint="default"/>
                <w:highlight w:val="none"/>
                <w:lang w:eastAsia="zh-CN"/>
              </w:rPr>
              <w:t>取值时间</w:t>
            </w:r>
          </w:p>
        </w:tc>
        <w:tc>
          <w:tcPr>
            <w:tcW w:w="703" w:type="pct"/>
            <w:tcBorders>
              <w:tl2br w:val="nil"/>
              <w:tr2bl w:val="nil"/>
            </w:tcBorders>
            <w:vAlign w:val="center"/>
          </w:tcPr>
          <w:p w14:paraId="09E4D1DF">
            <w:pPr>
              <w:pStyle w:val="58"/>
              <w:bidi w:val="0"/>
              <w:rPr>
                <w:rFonts w:hint="default"/>
                <w:highlight w:val="none"/>
                <w:lang w:eastAsia="zh-CN"/>
              </w:rPr>
            </w:pPr>
            <w:r>
              <w:rPr>
                <w:rFonts w:hint="default"/>
                <w:highlight w:val="none"/>
                <w:lang w:eastAsia="zh-CN"/>
              </w:rPr>
              <w:t>标准值(μg/m³)</w:t>
            </w:r>
          </w:p>
        </w:tc>
        <w:tc>
          <w:tcPr>
            <w:tcW w:w="1985" w:type="pct"/>
            <w:tcBorders>
              <w:tl2br w:val="nil"/>
              <w:tr2bl w:val="nil"/>
            </w:tcBorders>
            <w:vAlign w:val="center"/>
          </w:tcPr>
          <w:p w14:paraId="1C974723">
            <w:pPr>
              <w:pStyle w:val="58"/>
              <w:bidi w:val="0"/>
              <w:rPr>
                <w:rFonts w:hint="default"/>
                <w:highlight w:val="none"/>
                <w:lang w:eastAsia="zh-CN"/>
              </w:rPr>
            </w:pPr>
            <w:r>
              <w:rPr>
                <w:rFonts w:hint="default"/>
                <w:highlight w:val="none"/>
                <w:lang w:eastAsia="zh-CN"/>
              </w:rPr>
              <w:t>标准来源</w:t>
            </w:r>
          </w:p>
        </w:tc>
      </w:tr>
      <w:tr w14:paraId="54AA39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17" w:type="pct"/>
            <w:tcBorders>
              <w:tl2br w:val="nil"/>
              <w:tr2bl w:val="nil"/>
            </w:tcBorders>
            <w:vAlign w:val="center"/>
          </w:tcPr>
          <w:p w14:paraId="3FC073F4">
            <w:pPr>
              <w:pStyle w:val="58"/>
              <w:bidi w:val="0"/>
              <w:rPr>
                <w:rFonts w:hint="default"/>
                <w:highlight w:val="none"/>
                <w:lang w:val="en-US" w:eastAsia="zh-CN"/>
              </w:rPr>
            </w:pPr>
            <w:r>
              <w:rPr>
                <w:rFonts w:hint="eastAsia"/>
                <w:highlight w:val="none"/>
                <w:lang w:eastAsia="zh-CN"/>
              </w:rPr>
              <w:t>H</w:t>
            </w:r>
            <w:r>
              <w:rPr>
                <w:rFonts w:hint="eastAsia"/>
                <w:highlight w:val="none"/>
                <w:vertAlign w:val="subscript"/>
                <w:lang w:eastAsia="zh-CN"/>
              </w:rPr>
              <w:t>2</w:t>
            </w:r>
            <w:r>
              <w:rPr>
                <w:rFonts w:hint="eastAsia"/>
                <w:highlight w:val="none"/>
                <w:lang w:eastAsia="zh-CN"/>
              </w:rPr>
              <w:t>S</w:t>
            </w:r>
          </w:p>
        </w:tc>
        <w:tc>
          <w:tcPr>
            <w:tcW w:w="897" w:type="pct"/>
            <w:tcBorders>
              <w:tl2br w:val="nil"/>
              <w:tr2bl w:val="nil"/>
            </w:tcBorders>
            <w:vAlign w:val="center"/>
          </w:tcPr>
          <w:p w14:paraId="12009BB6">
            <w:pPr>
              <w:pStyle w:val="58"/>
              <w:bidi w:val="0"/>
              <w:rPr>
                <w:rFonts w:hint="default"/>
                <w:highlight w:val="none"/>
                <w:lang w:val="en-US" w:eastAsia="zh-CN"/>
              </w:rPr>
            </w:pPr>
            <w:r>
              <w:rPr>
                <w:rFonts w:hint="default"/>
                <w:highlight w:val="none"/>
                <w:lang w:eastAsia="zh-CN"/>
              </w:rPr>
              <w:t>二类限区</w:t>
            </w:r>
          </w:p>
        </w:tc>
        <w:tc>
          <w:tcPr>
            <w:tcW w:w="696" w:type="pct"/>
            <w:tcBorders>
              <w:tl2br w:val="nil"/>
              <w:tr2bl w:val="nil"/>
            </w:tcBorders>
            <w:vAlign w:val="center"/>
          </w:tcPr>
          <w:p w14:paraId="0E5DB429">
            <w:pPr>
              <w:pStyle w:val="58"/>
              <w:bidi w:val="0"/>
              <w:rPr>
                <w:rFonts w:hint="default"/>
                <w:highlight w:val="none"/>
                <w:lang w:val="en-US" w:eastAsia="zh-CN"/>
              </w:rPr>
            </w:pPr>
            <w:r>
              <w:rPr>
                <w:rFonts w:hint="default"/>
                <w:highlight w:val="none"/>
                <w:lang w:eastAsia="zh-CN"/>
              </w:rPr>
              <w:t>一小时</w:t>
            </w:r>
          </w:p>
        </w:tc>
        <w:tc>
          <w:tcPr>
            <w:tcW w:w="703" w:type="pct"/>
            <w:tcBorders>
              <w:tl2br w:val="nil"/>
              <w:tr2bl w:val="nil"/>
            </w:tcBorders>
            <w:vAlign w:val="center"/>
          </w:tcPr>
          <w:p w14:paraId="3E6BB8AC">
            <w:pPr>
              <w:pStyle w:val="58"/>
              <w:bidi w:val="0"/>
              <w:rPr>
                <w:rFonts w:hint="default"/>
                <w:highlight w:val="none"/>
                <w:lang w:val="en-US" w:eastAsia="zh-CN"/>
              </w:rPr>
            </w:pPr>
            <w:r>
              <w:rPr>
                <w:rFonts w:hint="default"/>
                <w:highlight w:val="none"/>
                <w:lang w:val="en-US" w:eastAsia="zh-CN"/>
              </w:rPr>
              <w:t>10</w:t>
            </w:r>
          </w:p>
        </w:tc>
        <w:tc>
          <w:tcPr>
            <w:tcW w:w="1985" w:type="pct"/>
            <w:vMerge w:val="restart"/>
            <w:tcBorders>
              <w:tl2br w:val="nil"/>
              <w:tr2bl w:val="nil"/>
            </w:tcBorders>
            <w:vAlign w:val="center"/>
          </w:tcPr>
          <w:p w14:paraId="3B5883F6">
            <w:pPr>
              <w:pStyle w:val="58"/>
              <w:bidi w:val="0"/>
              <w:rPr>
                <w:rFonts w:hint="default"/>
                <w:highlight w:val="none"/>
                <w:lang w:eastAsia="zh-CN"/>
              </w:rPr>
            </w:pPr>
            <w:r>
              <w:rPr>
                <w:rFonts w:hint="default"/>
                <w:highlight w:val="none"/>
                <w:lang w:eastAsia="zh-CN"/>
              </w:rPr>
              <w:t>《环境影响评价技术导则－大气环境》（HJ2.2-2018）</w:t>
            </w:r>
            <w:r>
              <w:rPr>
                <w:rFonts w:hint="default"/>
                <w:highlight w:val="none"/>
                <w:lang w:val="en-US" w:eastAsia="zh-CN"/>
              </w:rPr>
              <w:t>附录D</w:t>
            </w:r>
          </w:p>
        </w:tc>
      </w:tr>
      <w:tr w14:paraId="6392C31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17" w:type="pct"/>
            <w:tcBorders>
              <w:tl2br w:val="nil"/>
              <w:tr2bl w:val="nil"/>
            </w:tcBorders>
            <w:vAlign w:val="center"/>
          </w:tcPr>
          <w:p w14:paraId="70426539">
            <w:pPr>
              <w:pStyle w:val="58"/>
              <w:bidi w:val="0"/>
              <w:rPr>
                <w:rFonts w:hint="default"/>
                <w:highlight w:val="none"/>
                <w:lang w:eastAsia="zh-CN"/>
              </w:rPr>
            </w:pPr>
            <w:r>
              <w:rPr>
                <w:rFonts w:hint="eastAsia"/>
                <w:highlight w:val="none"/>
                <w:lang w:val="en-US" w:eastAsia="zh-CN"/>
              </w:rPr>
              <w:t>NH</w:t>
            </w:r>
            <w:r>
              <w:rPr>
                <w:rFonts w:hint="eastAsia"/>
                <w:highlight w:val="none"/>
                <w:vertAlign w:val="subscript"/>
                <w:lang w:val="en-US" w:eastAsia="zh-CN"/>
              </w:rPr>
              <w:t>3</w:t>
            </w:r>
          </w:p>
        </w:tc>
        <w:tc>
          <w:tcPr>
            <w:tcW w:w="897" w:type="pct"/>
            <w:tcBorders>
              <w:tl2br w:val="nil"/>
              <w:tr2bl w:val="nil"/>
            </w:tcBorders>
            <w:vAlign w:val="center"/>
          </w:tcPr>
          <w:p w14:paraId="1A81A811">
            <w:pPr>
              <w:pStyle w:val="58"/>
              <w:bidi w:val="0"/>
              <w:rPr>
                <w:rFonts w:hint="default"/>
                <w:highlight w:val="none"/>
                <w:lang w:val="en-US" w:eastAsia="zh-CN"/>
              </w:rPr>
            </w:pPr>
            <w:r>
              <w:rPr>
                <w:rFonts w:hint="default"/>
                <w:highlight w:val="none"/>
                <w:lang w:eastAsia="zh-CN"/>
              </w:rPr>
              <w:t>二类限区</w:t>
            </w:r>
          </w:p>
        </w:tc>
        <w:tc>
          <w:tcPr>
            <w:tcW w:w="696" w:type="pct"/>
            <w:tcBorders>
              <w:tl2br w:val="nil"/>
              <w:tr2bl w:val="nil"/>
            </w:tcBorders>
            <w:vAlign w:val="center"/>
          </w:tcPr>
          <w:p w14:paraId="6ED6EE14">
            <w:pPr>
              <w:pStyle w:val="58"/>
              <w:bidi w:val="0"/>
              <w:rPr>
                <w:rFonts w:hint="default"/>
                <w:highlight w:val="none"/>
                <w:lang w:val="en-US" w:eastAsia="zh-CN"/>
              </w:rPr>
            </w:pPr>
            <w:r>
              <w:rPr>
                <w:rFonts w:hint="default"/>
                <w:highlight w:val="none"/>
                <w:lang w:eastAsia="zh-CN"/>
              </w:rPr>
              <w:t>一小时</w:t>
            </w:r>
          </w:p>
        </w:tc>
        <w:tc>
          <w:tcPr>
            <w:tcW w:w="703" w:type="pct"/>
            <w:tcBorders>
              <w:tl2br w:val="nil"/>
              <w:tr2bl w:val="nil"/>
            </w:tcBorders>
            <w:vAlign w:val="center"/>
          </w:tcPr>
          <w:p w14:paraId="43782C03">
            <w:pPr>
              <w:pStyle w:val="58"/>
              <w:bidi w:val="0"/>
              <w:rPr>
                <w:rFonts w:hint="default"/>
                <w:highlight w:val="none"/>
                <w:lang w:val="en-US" w:eastAsia="zh-CN"/>
              </w:rPr>
            </w:pPr>
            <w:r>
              <w:rPr>
                <w:rFonts w:hint="default"/>
                <w:highlight w:val="none"/>
                <w:lang w:eastAsia="zh-CN"/>
              </w:rPr>
              <w:t>200</w:t>
            </w:r>
          </w:p>
        </w:tc>
        <w:tc>
          <w:tcPr>
            <w:tcW w:w="1985" w:type="pct"/>
            <w:vMerge w:val="continue"/>
            <w:tcBorders>
              <w:tl2br w:val="nil"/>
              <w:tr2bl w:val="nil"/>
            </w:tcBorders>
            <w:vAlign w:val="center"/>
          </w:tcPr>
          <w:p w14:paraId="669CC3B8">
            <w:pPr>
              <w:pStyle w:val="58"/>
              <w:bidi w:val="0"/>
              <w:rPr>
                <w:rFonts w:hint="default"/>
                <w:highlight w:val="none"/>
                <w:lang w:eastAsia="zh-CN"/>
              </w:rPr>
            </w:pPr>
          </w:p>
        </w:tc>
      </w:tr>
    </w:tbl>
    <w:p w14:paraId="5D0D3F8E">
      <w:pPr>
        <w:spacing w:line="480" w:lineRule="exact"/>
        <w:ind w:firstLine="480" w:firstLineChars="200"/>
        <w:jc w:val="left"/>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sectPr>
          <w:footerReference r:id="rId14" w:type="default"/>
          <w:pgSz w:w="11906" w:h="16838"/>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p>
    <w:p w14:paraId="199EF614">
      <w:pPr>
        <w:spacing w:line="480" w:lineRule="exact"/>
        <w:ind w:firstLine="422" w:firstLineChars="176"/>
        <w:jc w:val="left"/>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⑷污染源参数</w:t>
      </w:r>
    </w:p>
    <w:p w14:paraId="0FD286FB">
      <w:pPr>
        <w:spacing w:line="480" w:lineRule="exact"/>
        <w:ind w:firstLine="422" w:firstLineChars="176"/>
        <w:jc w:val="left"/>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主要废气污染源排放参数见下表：</w:t>
      </w:r>
    </w:p>
    <w:p w14:paraId="1C42FFDE">
      <w:pPr>
        <w:pageBreakBefore w:val="0"/>
        <w:widowControl w:val="0"/>
        <w:numPr>
          <w:ilvl w:val="0"/>
          <w:numId w:val="12"/>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bCs/>
          <w:color w:val="000000" w:themeColor="text1"/>
          <w:sz w:val="24"/>
          <w:szCs w:val="24"/>
          <w:highlight w:val="none"/>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14:textFill>
            <w14:solidFill>
              <w14:schemeClr w14:val="tx1"/>
            </w14:solidFill>
          </w14:textFill>
        </w:rPr>
        <w:t>大气污染物有组织排放</w:t>
      </w:r>
      <w:r>
        <w:rPr>
          <w:rFonts w:hint="default" w:ascii="Times New Roman" w:hAnsi="Times New Roman" w:eastAsia="宋体" w:cs="Times New Roman"/>
          <w:b/>
          <w:bCs/>
          <w:color w:val="000000" w:themeColor="text1"/>
          <w:sz w:val="24"/>
          <w:szCs w:val="24"/>
          <w:highlight w:val="none"/>
          <w:lang w:eastAsia="zh-CN"/>
          <w14:textFill>
            <w14:solidFill>
              <w14:schemeClr w14:val="tx1"/>
            </w14:solidFill>
          </w14:textFill>
        </w:rPr>
        <w:t>调查情况一览</w:t>
      </w:r>
      <w:r>
        <w:rPr>
          <w:rFonts w:hint="default" w:ascii="Times New Roman" w:hAnsi="Times New Roman" w:eastAsia="宋体" w:cs="Times New Roman"/>
          <w:b/>
          <w:bCs/>
          <w:color w:val="000000" w:themeColor="text1"/>
          <w:sz w:val="24"/>
          <w:szCs w:val="24"/>
          <w:highlight w:val="none"/>
          <w14:textFill>
            <w14:solidFill>
              <w14:schemeClr w14:val="tx1"/>
            </w14:solidFill>
          </w14:textFill>
        </w:rPr>
        <w:t>表</w:t>
      </w:r>
      <w:r>
        <w:rPr>
          <w:rFonts w:hint="default" w:ascii="Times New Roman" w:hAnsi="Times New Roman" w:eastAsia="宋体" w:cs="Times New Roman"/>
          <w:b/>
          <w:bCs/>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b/>
          <w:bCs/>
          <w:color w:val="000000" w:themeColor="text1"/>
          <w:sz w:val="24"/>
          <w:szCs w:val="24"/>
          <w:highlight w:val="none"/>
          <w14:textFill>
            <w14:solidFill>
              <w14:schemeClr w14:val="tx1"/>
            </w14:solidFill>
          </w14:textFill>
        </w:rPr>
        <w:t>点源</w:t>
      </w:r>
      <w:r>
        <w:rPr>
          <w:rFonts w:hint="default" w:ascii="Times New Roman" w:hAnsi="Times New Roman" w:eastAsia="宋体" w:cs="Times New Roman"/>
          <w:b/>
          <w:bCs/>
          <w:color w:val="000000" w:themeColor="text1"/>
          <w:sz w:val="24"/>
          <w:szCs w:val="24"/>
          <w:highlight w:val="none"/>
          <w:lang w:eastAsia="zh-CN"/>
          <w14:textFill>
            <w14:solidFill>
              <w14:schemeClr w14:val="tx1"/>
            </w14:solidFill>
          </w14:textFill>
        </w:rPr>
        <w:t>）</w:t>
      </w:r>
    </w:p>
    <w:tbl>
      <w:tblPr>
        <w:tblStyle w:val="48"/>
        <w:tblW w:w="1405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
      <w:tblGrid>
        <w:gridCol w:w="897"/>
        <w:gridCol w:w="1747"/>
        <w:gridCol w:w="1230"/>
        <w:gridCol w:w="1125"/>
        <w:gridCol w:w="960"/>
        <w:gridCol w:w="585"/>
        <w:gridCol w:w="660"/>
        <w:gridCol w:w="945"/>
        <w:gridCol w:w="1005"/>
        <w:gridCol w:w="1140"/>
        <w:gridCol w:w="975"/>
        <w:gridCol w:w="1170"/>
        <w:gridCol w:w="915"/>
        <w:gridCol w:w="703"/>
      </w:tblGrid>
      <w:tr w14:paraId="016DE08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897" w:type="dxa"/>
            <w:vMerge w:val="restart"/>
            <w:tcBorders>
              <w:tl2br w:val="nil"/>
              <w:tr2bl w:val="nil"/>
            </w:tcBorders>
            <w:noWrap w:val="0"/>
            <w:vAlign w:val="center"/>
          </w:tcPr>
          <w:p w14:paraId="2AA9607B">
            <w:pPr>
              <w:keepNext w:val="0"/>
              <w:keepLines w:val="0"/>
              <w:pageBreakBefore w:val="0"/>
              <w:widowControl w:val="0"/>
              <w:kinsoku/>
              <w:wordWrap/>
              <w:overflowPunct/>
              <w:topLinePunct w:val="0"/>
              <w:autoSpaceDE/>
              <w:autoSpaceDN/>
              <w:bidi w:val="0"/>
              <w:adjustRightInd/>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排气筒编号</w:t>
            </w:r>
          </w:p>
        </w:tc>
        <w:tc>
          <w:tcPr>
            <w:tcW w:w="1747" w:type="dxa"/>
            <w:vMerge w:val="restart"/>
            <w:tcBorders>
              <w:tl2br w:val="nil"/>
              <w:tr2bl w:val="nil"/>
            </w:tcBorders>
            <w:noWrap w:val="0"/>
            <w:vAlign w:val="center"/>
          </w:tcPr>
          <w:p w14:paraId="0C133179">
            <w:pPr>
              <w:keepNext w:val="0"/>
              <w:keepLines w:val="0"/>
              <w:pageBreakBefore w:val="0"/>
              <w:widowControl w:val="0"/>
              <w:kinsoku/>
              <w:wordWrap/>
              <w:overflowPunct/>
              <w:topLinePunct w:val="0"/>
              <w:autoSpaceDE/>
              <w:autoSpaceDN/>
              <w:bidi w:val="0"/>
              <w:adjustRightInd/>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名称</w:t>
            </w:r>
          </w:p>
        </w:tc>
        <w:tc>
          <w:tcPr>
            <w:tcW w:w="2355" w:type="dxa"/>
            <w:gridSpan w:val="2"/>
            <w:tcBorders>
              <w:tl2br w:val="nil"/>
              <w:tr2bl w:val="nil"/>
            </w:tcBorders>
            <w:noWrap w:val="0"/>
            <w:vAlign w:val="center"/>
          </w:tcPr>
          <w:p w14:paraId="77D304DB">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坐标(</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o</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p>
        </w:tc>
        <w:tc>
          <w:tcPr>
            <w:tcW w:w="960" w:type="dxa"/>
            <w:vMerge w:val="restart"/>
            <w:tcBorders>
              <w:tl2br w:val="nil"/>
              <w:tr2bl w:val="nil"/>
            </w:tcBorders>
            <w:noWrap w:val="0"/>
            <w:vAlign w:val="center"/>
          </w:tcPr>
          <w:p w14:paraId="79CAF666">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排气筒底部海拔高度</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/m</w:t>
            </w:r>
          </w:p>
        </w:tc>
        <w:tc>
          <w:tcPr>
            <w:tcW w:w="3195" w:type="dxa"/>
            <w:gridSpan w:val="4"/>
            <w:tcBorders>
              <w:tl2br w:val="nil"/>
              <w:tr2bl w:val="nil"/>
            </w:tcBorders>
            <w:noWrap w:val="0"/>
            <w:vAlign w:val="center"/>
          </w:tcPr>
          <w:p w14:paraId="64A3DE05">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排气筒参数</w:t>
            </w:r>
          </w:p>
        </w:tc>
        <w:tc>
          <w:tcPr>
            <w:tcW w:w="1140" w:type="dxa"/>
            <w:vMerge w:val="restart"/>
            <w:tcBorders>
              <w:tl2br w:val="nil"/>
              <w:tr2bl w:val="nil"/>
            </w:tcBorders>
            <w:noWrap w:val="0"/>
            <w:vAlign w:val="center"/>
          </w:tcPr>
          <w:p w14:paraId="266B0A13">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年排放小时数（</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h</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975" w:type="dxa"/>
            <w:vMerge w:val="restart"/>
            <w:tcBorders>
              <w:tl2br w:val="nil"/>
              <w:tr2bl w:val="nil"/>
            </w:tcBorders>
            <w:noWrap w:val="0"/>
            <w:vAlign w:val="center"/>
          </w:tcPr>
          <w:p w14:paraId="4956CCBC">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排放工况</w:t>
            </w:r>
          </w:p>
        </w:tc>
        <w:tc>
          <w:tcPr>
            <w:tcW w:w="1170" w:type="dxa"/>
            <w:vMerge w:val="restart"/>
            <w:tcBorders>
              <w:tl2br w:val="nil"/>
              <w:tr2bl w:val="nil"/>
            </w:tcBorders>
            <w:noWrap w:val="0"/>
            <w:vAlign w:val="center"/>
          </w:tcPr>
          <w:p w14:paraId="655DF8C7">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污染物名称</w:t>
            </w:r>
          </w:p>
        </w:tc>
        <w:tc>
          <w:tcPr>
            <w:tcW w:w="915" w:type="dxa"/>
            <w:vMerge w:val="restart"/>
            <w:tcBorders>
              <w:tl2br w:val="nil"/>
              <w:tr2bl w:val="nil"/>
            </w:tcBorders>
            <w:noWrap w:val="0"/>
            <w:vAlign w:val="center"/>
          </w:tcPr>
          <w:p w14:paraId="403EE2C8">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排放速率</w:t>
            </w:r>
          </w:p>
        </w:tc>
        <w:tc>
          <w:tcPr>
            <w:tcW w:w="703" w:type="dxa"/>
            <w:vMerge w:val="restart"/>
            <w:tcBorders>
              <w:tl2br w:val="nil"/>
              <w:tr2bl w:val="nil"/>
            </w:tcBorders>
            <w:noWrap w:val="0"/>
            <w:vAlign w:val="center"/>
          </w:tcPr>
          <w:p w14:paraId="59B4A85D">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单位</w:t>
            </w:r>
          </w:p>
        </w:tc>
      </w:tr>
      <w:tr w14:paraId="18EA30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897" w:type="dxa"/>
            <w:vMerge w:val="continue"/>
            <w:tcBorders>
              <w:tl2br w:val="nil"/>
              <w:tr2bl w:val="nil"/>
            </w:tcBorders>
            <w:noWrap w:val="0"/>
            <w:vAlign w:val="center"/>
          </w:tcPr>
          <w:p w14:paraId="0889A7B9">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747" w:type="dxa"/>
            <w:vMerge w:val="continue"/>
            <w:tcBorders>
              <w:tl2br w:val="nil"/>
              <w:tr2bl w:val="nil"/>
            </w:tcBorders>
            <w:noWrap w:val="0"/>
            <w:vAlign w:val="center"/>
          </w:tcPr>
          <w:p w14:paraId="3C682072">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230" w:type="dxa"/>
            <w:tcBorders>
              <w:tl2br w:val="nil"/>
              <w:tr2bl w:val="nil"/>
            </w:tcBorders>
            <w:noWrap w:val="0"/>
            <w:vAlign w:val="center"/>
          </w:tcPr>
          <w:p w14:paraId="0ADEBB54">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经度</w:t>
            </w:r>
          </w:p>
        </w:tc>
        <w:tc>
          <w:tcPr>
            <w:tcW w:w="1125" w:type="dxa"/>
            <w:tcBorders>
              <w:tl2br w:val="nil"/>
              <w:tr2bl w:val="nil"/>
            </w:tcBorders>
            <w:noWrap w:val="0"/>
            <w:vAlign w:val="center"/>
          </w:tcPr>
          <w:p w14:paraId="170A9D65">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纬</w:t>
            </w:r>
            <w:r>
              <w:rPr>
                <w:rFonts w:hint="default" w:ascii="Times New Roman" w:hAnsi="Times New Roman" w:eastAsia="宋体" w:cs="Times New Roman"/>
                <w:color w:val="000000" w:themeColor="text1"/>
                <w:sz w:val="21"/>
                <w:szCs w:val="21"/>
                <w:highlight w:val="none"/>
                <w14:textFill>
                  <w14:solidFill>
                    <w14:schemeClr w14:val="tx1"/>
                  </w14:solidFill>
                </w14:textFill>
              </w:rPr>
              <w:t>度</w:t>
            </w:r>
          </w:p>
        </w:tc>
        <w:tc>
          <w:tcPr>
            <w:tcW w:w="960" w:type="dxa"/>
            <w:vMerge w:val="continue"/>
            <w:tcBorders>
              <w:tl2br w:val="nil"/>
              <w:tr2bl w:val="nil"/>
            </w:tcBorders>
            <w:noWrap w:val="0"/>
            <w:vAlign w:val="center"/>
          </w:tcPr>
          <w:p w14:paraId="249F4B6B">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585" w:type="dxa"/>
            <w:tcBorders>
              <w:tl2br w:val="nil"/>
              <w:tr2bl w:val="nil"/>
            </w:tcBorders>
            <w:noWrap w:val="0"/>
            <w:vAlign w:val="center"/>
          </w:tcPr>
          <w:p w14:paraId="7EF1ED5B">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高度</w:t>
            </w:r>
          </w:p>
          <w:p w14:paraId="2A967CAA">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(m)</w:t>
            </w:r>
          </w:p>
        </w:tc>
        <w:tc>
          <w:tcPr>
            <w:tcW w:w="660" w:type="dxa"/>
            <w:tcBorders>
              <w:tl2br w:val="nil"/>
              <w:tr2bl w:val="nil"/>
            </w:tcBorders>
            <w:noWrap w:val="0"/>
            <w:vAlign w:val="center"/>
          </w:tcPr>
          <w:p w14:paraId="3D8C451C">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内径</w:t>
            </w:r>
          </w:p>
          <w:p w14:paraId="2F61CF2C">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(m)</w:t>
            </w:r>
          </w:p>
        </w:tc>
        <w:tc>
          <w:tcPr>
            <w:tcW w:w="945" w:type="dxa"/>
            <w:tcBorders>
              <w:tl2br w:val="nil"/>
              <w:tr2bl w:val="nil"/>
            </w:tcBorders>
            <w:noWrap w:val="0"/>
            <w:vAlign w:val="center"/>
          </w:tcPr>
          <w:p w14:paraId="7D78A478">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烟气</w:t>
            </w:r>
            <w:r>
              <w:rPr>
                <w:rFonts w:hint="default" w:ascii="Times New Roman" w:hAnsi="Times New Roman" w:eastAsia="宋体" w:cs="Times New Roman"/>
                <w:color w:val="000000" w:themeColor="text1"/>
                <w:sz w:val="21"/>
                <w:szCs w:val="21"/>
                <w:highlight w:val="none"/>
                <w14:textFill>
                  <w14:solidFill>
                    <w14:schemeClr w14:val="tx1"/>
                  </w14:solidFill>
                </w14:textFill>
              </w:rPr>
              <w:t>流速</w:t>
            </w:r>
          </w:p>
          <w:p w14:paraId="6DC7C2CE">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(m/s)</w:t>
            </w:r>
          </w:p>
        </w:tc>
        <w:tc>
          <w:tcPr>
            <w:tcW w:w="1005" w:type="dxa"/>
            <w:tcBorders>
              <w:tl2br w:val="nil"/>
              <w:tr2bl w:val="nil"/>
            </w:tcBorders>
            <w:noWrap w:val="0"/>
            <w:vAlign w:val="center"/>
          </w:tcPr>
          <w:p w14:paraId="30487971">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烟气温度</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40" w:type="dxa"/>
            <w:vMerge w:val="continue"/>
            <w:tcBorders>
              <w:tl2br w:val="nil"/>
              <w:tr2bl w:val="nil"/>
            </w:tcBorders>
            <w:noWrap w:val="0"/>
            <w:vAlign w:val="center"/>
          </w:tcPr>
          <w:p w14:paraId="7093A569">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975" w:type="dxa"/>
            <w:vMerge w:val="continue"/>
            <w:tcBorders>
              <w:tl2br w:val="nil"/>
              <w:tr2bl w:val="nil"/>
            </w:tcBorders>
            <w:noWrap w:val="0"/>
            <w:vAlign w:val="center"/>
          </w:tcPr>
          <w:p w14:paraId="3539B090">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170" w:type="dxa"/>
            <w:vMerge w:val="continue"/>
            <w:tcBorders>
              <w:tl2br w:val="nil"/>
              <w:tr2bl w:val="nil"/>
            </w:tcBorders>
            <w:noWrap w:val="0"/>
            <w:vAlign w:val="center"/>
          </w:tcPr>
          <w:p w14:paraId="5F7D97E0">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915" w:type="dxa"/>
            <w:vMerge w:val="continue"/>
            <w:tcBorders>
              <w:tl2br w:val="nil"/>
              <w:tr2bl w:val="nil"/>
            </w:tcBorders>
            <w:noWrap w:val="0"/>
            <w:vAlign w:val="center"/>
          </w:tcPr>
          <w:p w14:paraId="502E3829">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703" w:type="dxa"/>
            <w:vMerge w:val="continue"/>
            <w:tcBorders>
              <w:tl2br w:val="nil"/>
              <w:tr2bl w:val="nil"/>
            </w:tcBorders>
            <w:noWrap w:val="0"/>
            <w:vAlign w:val="center"/>
          </w:tcPr>
          <w:p w14:paraId="20594E4F">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r>
      <w:tr w14:paraId="325B38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897" w:type="dxa"/>
            <w:tcBorders>
              <w:tl2br w:val="nil"/>
              <w:tr2bl w:val="nil"/>
            </w:tcBorders>
            <w:noWrap w:val="0"/>
            <w:vAlign w:val="center"/>
          </w:tcPr>
          <w:p w14:paraId="68FE6E0D">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DA001</w:t>
            </w:r>
          </w:p>
        </w:tc>
        <w:tc>
          <w:tcPr>
            <w:tcW w:w="1747" w:type="dxa"/>
            <w:tcBorders>
              <w:tl2br w:val="nil"/>
              <w:tr2bl w:val="nil"/>
            </w:tcBorders>
            <w:noWrap w:val="0"/>
            <w:vAlign w:val="center"/>
          </w:tcPr>
          <w:p w14:paraId="31228865">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除臭排气筒</w:t>
            </w:r>
          </w:p>
        </w:tc>
        <w:tc>
          <w:tcPr>
            <w:tcW w:w="1230" w:type="dxa"/>
            <w:tcBorders>
              <w:tl2br w:val="nil"/>
              <w:tr2bl w:val="nil"/>
            </w:tcBorders>
            <w:noWrap w:val="0"/>
            <w:vAlign w:val="center"/>
          </w:tcPr>
          <w:p w14:paraId="298377AD">
            <w:pPr>
              <w:keepNext w:val="0"/>
              <w:keepLines w:val="0"/>
              <w:pageBreakBefore w:val="0"/>
              <w:widowControl w:val="0"/>
              <w:kinsoku/>
              <w:wordWrap/>
              <w:overflowPunct/>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118.26780</w:t>
            </w:r>
            <w: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t>5</w:t>
            </w:r>
          </w:p>
        </w:tc>
        <w:tc>
          <w:tcPr>
            <w:tcW w:w="1125" w:type="dxa"/>
            <w:tcBorders>
              <w:tl2br w:val="nil"/>
              <w:tr2bl w:val="nil"/>
            </w:tcBorders>
            <w:noWrap w:val="0"/>
            <w:vAlign w:val="center"/>
          </w:tcPr>
          <w:p w14:paraId="22C5F484">
            <w:pPr>
              <w:keepNext w:val="0"/>
              <w:keepLines w:val="0"/>
              <w:pageBreakBefore w:val="0"/>
              <w:widowControl w:val="0"/>
              <w:kinsoku/>
              <w:wordWrap/>
              <w:overflowPunct/>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39.266163</w:t>
            </w:r>
          </w:p>
        </w:tc>
        <w:tc>
          <w:tcPr>
            <w:tcW w:w="960" w:type="dxa"/>
            <w:tcBorders>
              <w:tl2br w:val="nil"/>
              <w:tr2bl w:val="nil"/>
            </w:tcBorders>
            <w:noWrap w:val="0"/>
            <w:vAlign w:val="center"/>
          </w:tcPr>
          <w:p w14:paraId="759C8E2A">
            <w:pPr>
              <w:keepNext w:val="0"/>
              <w:keepLines w:val="0"/>
              <w:pageBreakBefore w:val="0"/>
              <w:widowControl w:val="0"/>
              <w:kinsoku/>
              <w:wordWrap/>
              <w:overflowPunct/>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t>1.4</w:t>
            </w:r>
          </w:p>
        </w:tc>
        <w:tc>
          <w:tcPr>
            <w:tcW w:w="585" w:type="dxa"/>
            <w:tcBorders>
              <w:tl2br w:val="nil"/>
              <w:tr2bl w:val="nil"/>
            </w:tcBorders>
            <w:noWrap w:val="0"/>
            <w:vAlign w:val="center"/>
          </w:tcPr>
          <w:p w14:paraId="0A724B8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15</w:t>
            </w:r>
          </w:p>
        </w:tc>
        <w:tc>
          <w:tcPr>
            <w:tcW w:w="660" w:type="dxa"/>
            <w:tcBorders>
              <w:tl2br w:val="nil"/>
              <w:tr2bl w:val="nil"/>
            </w:tcBorders>
            <w:noWrap w:val="0"/>
            <w:vAlign w:val="center"/>
          </w:tcPr>
          <w:p w14:paraId="150D8258">
            <w:pPr>
              <w:keepNext w:val="0"/>
              <w:keepLines w:val="0"/>
              <w:pageBreakBefore w:val="0"/>
              <w:widowControl w:val="0"/>
              <w:kinsoku/>
              <w:wordWrap/>
              <w:overflowPunct/>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t>0.3</w:t>
            </w:r>
          </w:p>
        </w:tc>
        <w:tc>
          <w:tcPr>
            <w:tcW w:w="945" w:type="dxa"/>
            <w:tcBorders>
              <w:tl2br w:val="nil"/>
              <w:tr2bl w:val="nil"/>
            </w:tcBorders>
            <w:noWrap w:val="0"/>
            <w:vAlign w:val="center"/>
          </w:tcPr>
          <w:p w14:paraId="697B8458">
            <w:pPr>
              <w:keepNext w:val="0"/>
              <w:keepLines w:val="0"/>
              <w:pageBreakBefore w:val="0"/>
              <w:widowControl w:val="0"/>
              <w:kinsoku/>
              <w:wordWrap/>
              <w:overflowPunct/>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t>15.87</w:t>
            </w:r>
          </w:p>
        </w:tc>
        <w:tc>
          <w:tcPr>
            <w:tcW w:w="1005" w:type="dxa"/>
            <w:tcBorders>
              <w:tl2br w:val="nil"/>
              <w:tr2bl w:val="nil"/>
            </w:tcBorders>
            <w:noWrap w:val="0"/>
            <w:vAlign w:val="center"/>
          </w:tcPr>
          <w:p w14:paraId="0F5E2ABE">
            <w:pPr>
              <w:keepNext w:val="0"/>
              <w:keepLines w:val="0"/>
              <w:pageBreakBefore w:val="0"/>
              <w:widowControl w:val="0"/>
              <w:kinsoku/>
              <w:wordWrap/>
              <w:overflowPunct/>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t>2</w:t>
            </w: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0</w:t>
            </w:r>
          </w:p>
        </w:tc>
        <w:tc>
          <w:tcPr>
            <w:tcW w:w="1140" w:type="dxa"/>
            <w:tcBorders>
              <w:tl2br w:val="nil"/>
              <w:tr2bl w:val="nil"/>
            </w:tcBorders>
            <w:noWrap w:val="0"/>
            <w:vAlign w:val="center"/>
          </w:tcPr>
          <w:p w14:paraId="1F6F925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8760</w:t>
            </w:r>
          </w:p>
        </w:tc>
        <w:tc>
          <w:tcPr>
            <w:tcW w:w="975" w:type="dxa"/>
            <w:tcBorders>
              <w:tl2br w:val="nil"/>
              <w:tr2bl w:val="nil"/>
            </w:tcBorders>
            <w:noWrap w:val="0"/>
            <w:vAlign w:val="center"/>
          </w:tcPr>
          <w:p w14:paraId="3FEE176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正常</w:t>
            </w:r>
          </w:p>
        </w:tc>
        <w:tc>
          <w:tcPr>
            <w:tcW w:w="1170" w:type="dxa"/>
            <w:tcBorders>
              <w:tl2br w:val="nil"/>
              <w:tr2bl w:val="nil"/>
            </w:tcBorders>
            <w:noWrap w:val="0"/>
            <w:vAlign w:val="center"/>
          </w:tcPr>
          <w:p w14:paraId="42A986DA">
            <w:pPr>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cs="Times New Roman"/>
                <w:color w:val="000000" w:themeColor="text1"/>
                <w:sz w:val="21"/>
                <w:szCs w:val="21"/>
                <w:highlight w:val="none"/>
                <w:lang w:eastAsia="zh-CN"/>
                <w14:textFill>
                  <w14:solidFill>
                    <w14:schemeClr w14:val="tx1"/>
                  </w14:solidFill>
                </w14:textFill>
              </w:rPr>
              <w:t>NH</w:t>
            </w:r>
            <w:r>
              <w:rPr>
                <w:rFonts w:hint="eastAsia" w:cs="Times New Roman"/>
                <w:color w:val="000000" w:themeColor="text1"/>
                <w:sz w:val="21"/>
                <w:szCs w:val="21"/>
                <w:highlight w:val="none"/>
                <w:vertAlign w:val="subscript"/>
                <w:lang w:eastAsia="zh-CN"/>
                <w14:textFill>
                  <w14:solidFill>
                    <w14:schemeClr w14:val="tx1"/>
                  </w14:solidFill>
                </w14:textFill>
              </w:rPr>
              <w:t>3</w:t>
            </w:r>
          </w:p>
          <w:p w14:paraId="42CF1125">
            <w:pPr>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H</w:t>
            </w:r>
            <w:r>
              <w:rPr>
                <w:rFonts w:hint="eastAsia" w:cs="Times New Roman"/>
                <w:color w:val="000000" w:themeColor="text1"/>
                <w:sz w:val="21"/>
                <w:szCs w:val="21"/>
                <w:highlight w:val="none"/>
                <w:vertAlign w:val="subscript"/>
                <w:lang w:val="en-US" w:eastAsia="zh-CN"/>
                <w14:textFill>
                  <w14:solidFill>
                    <w14:schemeClr w14:val="tx1"/>
                  </w14:solidFill>
                </w14:textFill>
              </w:rPr>
              <w:t>2</w:t>
            </w:r>
            <w:r>
              <w:rPr>
                <w:rFonts w:hint="eastAsia" w:cs="Times New Roman"/>
                <w:color w:val="000000" w:themeColor="text1"/>
                <w:sz w:val="21"/>
                <w:szCs w:val="21"/>
                <w:highlight w:val="none"/>
                <w:lang w:val="en-US" w:eastAsia="zh-CN"/>
                <w14:textFill>
                  <w14:solidFill>
                    <w14:schemeClr w14:val="tx1"/>
                  </w14:solidFill>
                </w14:textFill>
              </w:rPr>
              <w:t>S</w:t>
            </w:r>
          </w:p>
        </w:tc>
        <w:tc>
          <w:tcPr>
            <w:tcW w:w="915" w:type="dxa"/>
            <w:tcBorders>
              <w:tl2br w:val="nil"/>
              <w:tr2bl w:val="nil"/>
            </w:tcBorders>
            <w:noWrap w:val="0"/>
            <w:vAlign w:val="center"/>
          </w:tcPr>
          <w:p w14:paraId="5FBFE23B">
            <w:pPr>
              <w:pStyle w:val="63"/>
              <w:keepNext w:val="0"/>
              <w:keepLines w:val="0"/>
              <w:pageBreakBefore w:val="0"/>
              <w:widowControl w:val="0"/>
              <w:kinsoku/>
              <w:wordWrap/>
              <w:overflowPunct/>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0.0158</w:t>
            </w:r>
          </w:p>
          <w:p w14:paraId="7061D80D">
            <w:pPr>
              <w:pStyle w:val="63"/>
              <w:keepNext w:val="0"/>
              <w:keepLines w:val="0"/>
              <w:pageBreakBefore w:val="0"/>
              <w:widowControl w:val="0"/>
              <w:kinsoku/>
              <w:wordWrap/>
              <w:overflowPunct/>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0.0003</w:t>
            </w:r>
          </w:p>
        </w:tc>
        <w:tc>
          <w:tcPr>
            <w:tcW w:w="703" w:type="dxa"/>
            <w:tcBorders>
              <w:tl2br w:val="nil"/>
              <w:tr2bl w:val="nil"/>
            </w:tcBorders>
            <w:noWrap w:val="0"/>
            <w:vAlign w:val="center"/>
          </w:tcPr>
          <w:p w14:paraId="46DEEF00">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kg/h</w:t>
            </w:r>
          </w:p>
        </w:tc>
      </w:tr>
    </w:tbl>
    <w:p w14:paraId="133D75DE">
      <w:pPr>
        <w:pageBreakBefore w:val="0"/>
        <w:widowControl w:val="0"/>
        <w:numPr>
          <w:ilvl w:val="0"/>
          <w:numId w:val="12"/>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bCs/>
          <w:color w:val="000000" w:themeColor="text1"/>
          <w:sz w:val="24"/>
          <w:szCs w:val="24"/>
          <w:highlight w:val="none"/>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14:textFill>
            <w14:solidFill>
              <w14:schemeClr w14:val="tx1"/>
            </w14:solidFill>
          </w14:textFill>
        </w:rPr>
        <w:t>大气污染物</w:t>
      </w:r>
      <w:r>
        <w:rPr>
          <w:rFonts w:hint="default" w:ascii="Times New Roman" w:hAnsi="Times New Roman" w:eastAsia="宋体" w:cs="Times New Roman"/>
          <w:b/>
          <w:bCs/>
          <w:color w:val="000000" w:themeColor="text1"/>
          <w:sz w:val="24"/>
          <w:szCs w:val="24"/>
          <w:highlight w:val="none"/>
          <w:lang w:eastAsia="zh-CN"/>
          <w14:textFill>
            <w14:solidFill>
              <w14:schemeClr w14:val="tx1"/>
            </w14:solidFill>
          </w14:textFill>
        </w:rPr>
        <w:t>无</w:t>
      </w:r>
      <w:r>
        <w:rPr>
          <w:rFonts w:hint="default" w:ascii="Times New Roman" w:hAnsi="Times New Roman" w:eastAsia="宋体" w:cs="Times New Roman"/>
          <w:b/>
          <w:bCs/>
          <w:color w:val="000000" w:themeColor="text1"/>
          <w:sz w:val="24"/>
          <w:szCs w:val="24"/>
          <w:highlight w:val="none"/>
          <w14:textFill>
            <w14:solidFill>
              <w14:schemeClr w14:val="tx1"/>
            </w14:solidFill>
          </w14:textFill>
        </w:rPr>
        <w:t>组织排放</w:t>
      </w:r>
      <w:r>
        <w:rPr>
          <w:rFonts w:hint="default" w:ascii="Times New Roman" w:hAnsi="Times New Roman" w:eastAsia="宋体" w:cs="Times New Roman"/>
          <w:b/>
          <w:bCs/>
          <w:color w:val="000000" w:themeColor="text1"/>
          <w:sz w:val="24"/>
          <w:szCs w:val="24"/>
          <w:highlight w:val="none"/>
          <w:lang w:eastAsia="zh-CN"/>
          <w14:textFill>
            <w14:solidFill>
              <w14:schemeClr w14:val="tx1"/>
            </w14:solidFill>
          </w14:textFill>
        </w:rPr>
        <w:t>调查情况一览</w:t>
      </w:r>
      <w:r>
        <w:rPr>
          <w:rFonts w:hint="default" w:ascii="Times New Roman" w:hAnsi="Times New Roman" w:eastAsia="宋体" w:cs="Times New Roman"/>
          <w:b/>
          <w:bCs/>
          <w:color w:val="000000" w:themeColor="text1"/>
          <w:sz w:val="24"/>
          <w:szCs w:val="24"/>
          <w:highlight w:val="none"/>
          <w14:textFill>
            <w14:solidFill>
              <w14:schemeClr w14:val="tx1"/>
            </w14:solidFill>
          </w14:textFill>
        </w:rPr>
        <w:t>表</w:t>
      </w:r>
      <w:r>
        <w:rPr>
          <w:rFonts w:hint="default" w:ascii="Times New Roman" w:hAnsi="Times New Roman" w:eastAsia="宋体" w:cs="Times New Roman"/>
          <w:b/>
          <w:bCs/>
          <w:color w:val="000000" w:themeColor="text1"/>
          <w:sz w:val="24"/>
          <w:szCs w:val="24"/>
          <w:highlight w:val="none"/>
          <w:lang w:eastAsia="zh-CN"/>
          <w14:textFill>
            <w14:solidFill>
              <w14:schemeClr w14:val="tx1"/>
            </w14:solidFill>
          </w14:textFill>
        </w:rPr>
        <w:t>（面源）</w:t>
      </w:r>
    </w:p>
    <w:tbl>
      <w:tblPr>
        <w:tblStyle w:val="48"/>
        <w:tblW w:w="1413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40"/>
        <w:gridCol w:w="1260"/>
        <w:gridCol w:w="1170"/>
        <w:gridCol w:w="972"/>
        <w:gridCol w:w="1005"/>
        <w:gridCol w:w="1005"/>
        <w:gridCol w:w="1440"/>
        <w:gridCol w:w="1155"/>
        <w:gridCol w:w="1162"/>
        <w:gridCol w:w="803"/>
        <w:gridCol w:w="1035"/>
        <w:gridCol w:w="1113"/>
        <w:gridCol w:w="874"/>
      </w:tblGrid>
      <w:tr w14:paraId="66FE3D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40" w:type="dxa"/>
            <w:vMerge w:val="restart"/>
            <w:tcBorders>
              <w:tl2br w:val="nil"/>
              <w:tr2bl w:val="nil"/>
            </w:tcBorders>
            <w:noWrap w:val="0"/>
            <w:vAlign w:val="center"/>
          </w:tcPr>
          <w:p w14:paraId="73DDFA72">
            <w:pPr>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bookmarkStart w:id="79" w:name="OLE_LINK29"/>
            <w:r>
              <w:rPr>
                <w:rFonts w:hint="default" w:ascii="Times New Roman" w:hAnsi="Times New Roman" w:eastAsia="宋体" w:cs="Times New Roman"/>
                <w:color w:val="000000" w:themeColor="text1"/>
                <w:sz w:val="21"/>
                <w:szCs w:val="21"/>
                <w:highlight w:val="none"/>
                <w14:textFill>
                  <w14:solidFill>
                    <w14:schemeClr w14:val="tx1"/>
                  </w14:solidFill>
                </w14:textFill>
              </w:rPr>
              <w:t>污染源名称</w:t>
            </w:r>
          </w:p>
        </w:tc>
        <w:tc>
          <w:tcPr>
            <w:tcW w:w="2430" w:type="dxa"/>
            <w:gridSpan w:val="2"/>
            <w:tcBorders>
              <w:tl2br w:val="nil"/>
              <w:tr2bl w:val="nil"/>
            </w:tcBorders>
            <w:noWrap w:val="0"/>
            <w:vAlign w:val="center"/>
          </w:tcPr>
          <w:p w14:paraId="6B683DDD">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坐标(</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o</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p>
        </w:tc>
        <w:tc>
          <w:tcPr>
            <w:tcW w:w="972" w:type="dxa"/>
            <w:vMerge w:val="restart"/>
            <w:tcBorders>
              <w:tl2br w:val="nil"/>
              <w:tr2bl w:val="nil"/>
            </w:tcBorders>
            <w:noWrap w:val="0"/>
            <w:vAlign w:val="center"/>
          </w:tcPr>
          <w:p w14:paraId="2E2EE16A">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海拔高度(m)</w:t>
            </w:r>
          </w:p>
        </w:tc>
        <w:tc>
          <w:tcPr>
            <w:tcW w:w="4605" w:type="dxa"/>
            <w:gridSpan w:val="4"/>
            <w:tcBorders>
              <w:tl2br w:val="nil"/>
              <w:tr2bl w:val="nil"/>
            </w:tcBorders>
            <w:noWrap w:val="0"/>
            <w:vAlign w:val="center"/>
          </w:tcPr>
          <w:p w14:paraId="2053FBDC">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矩形面源</w:t>
            </w:r>
          </w:p>
        </w:tc>
        <w:tc>
          <w:tcPr>
            <w:tcW w:w="1162" w:type="dxa"/>
            <w:vMerge w:val="restart"/>
            <w:tcBorders>
              <w:tl2br w:val="nil"/>
              <w:tr2bl w:val="nil"/>
            </w:tcBorders>
            <w:noWrap w:val="0"/>
            <w:vAlign w:val="center"/>
          </w:tcPr>
          <w:p w14:paraId="2163BCC8">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年排放小时数（</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h</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803" w:type="dxa"/>
            <w:vMerge w:val="restart"/>
            <w:tcBorders>
              <w:tl2br w:val="nil"/>
              <w:tr2bl w:val="nil"/>
            </w:tcBorders>
            <w:noWrap w:val="0"/>
            <w:vAlign w:val="center"/>
          </w:tcPr>
          <w:p w14:paraId="3F484369">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排放工况</w:t>
            </w:r>
          </w:p>
        </w:tc>
        <w:tc>
          <w:tcPr>
            <w:tcW w:w="1035" w:type="dxa"/>
            <w:vMerge w:val="restart"/>
            <w:tcBorders>
              <w:tl2br w:val="nil"/>
              <w:tr2bl w:val="nil"/>
            </w:tcBorders>
            <w:noWrap w:val="0"/>
            <w:vAlign w:val="center"/>
          </w:tcPr>
          <w:p w14:paraId="159D580B">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污染物</w:t>
            </w:r>
          </w:p>
        </w:tc>
        <w:tc>
          <w:tcPr>
            <w:tcW w:w="1113" w:type="dxa"/>
            <w:vMerge w:val="restart"/>
            <w:tcBorders>
              <w:tl2br w:val="nil"/>
              <w:tr2bl w:val="nil"/>
            </w:tcBorders>
            <w:noWrap w:val="0"/>
            <w:vAlign w:val="center"/>
          </w:tcPr>
          <w:p w14:paraId="3705A8FB">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排放速率</w:t>
            </w:r>
          </w:p>
        </w:tc>
        <w:tc>
          <w:tcPr>
            <w:tcW w:w="874" w:type="dxa"/>
            <w:vMerge w:val="restart"/>
            <w:tcBorders>
              <w:tl2br w:val="nil"/>
              <w:tr2bl w:val="nil"/>
            </w:tcBorders>
            <w:noWrap w:val="0"/>
            <w:vAlign w:val="center"/>
          </w:tcPr>
          <w:p w14:paraId="45642A25">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单位</w:t>
            </w:r>
          </w:p>
        </w:tc>
      </w:tr>
      <w:tr w14:paraId="23E7E2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40" w:type="dxa"/>
            <w:vMerge w:val="continue"/>
            <w:tcBorders>
              <w:tl2br w:val="nil"/>
              <w:tr2bl w:val="nil"/>
            </w:tcBorders>
            <w:noWrap w:val="0"/>
            <w:vAlign w:val="center"/>
          </w:tcPr>
          <w:p w14:paraId="598C7BC8">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260" w:type="dxa"/>
            <w:tcBorders>
              <w:tl2br w:val="nil"/>
              <w:tr2bl w:val="nil"/>
            </w:tcBorders>
            <w:noWrap w:val="0"/>
            <w:vAlign w:val="center"/>
          </w:tcPr>
          <w:p w14:paraId="4463C303">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经度</w:t>
            </w:r>
          </w:p>
        </w:tc>
        <w:tc>
          <w:tcPr>
            <w:tcW w:w="1170" w:type="dxa"/>
            <w:tcBorders>
              <w:tl2br w:val="nil"/>
              <w:tr2bl w:val="nil"/>
            </w:tcBorders>
            <w:noWrap w:val="0"/>
            <w:vAlign w:val="center"/>
          </w:tcPr>
          <w:p w14:paraId="6E5316F0">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纬</w:t>
            </w:r>
            <w:r>
              <w:rPr>
                <w:rFonts w:hint="default" w:ascii="Times New Roman" w:hAnsi="Times New Roman" w:eastAsia="宋体" w:cs="Times New Roman"/>
                <w:color w:val="000000" w:themeColor="text1"/>
                <w:sz w:val="21"/>
                <w:szCs w:val="21"/>
                <w:highlight w:val="none"/>
                <w14:textFill>
                  <w14:solidFill>
                    <w14:schemeClr w14:val="tx1"/>
                  </w14:solidFill>
                </w14:textFill>
              </w:rPr>
              <w:t>度</w:t>
            </w:r>
          </w:p>
        </w:tc>
        <w:tc>
          <w:tcPr>
            <w:tcW w:w="972" w:type="dxa"/>
            <w:vMerge w:val="continue"/>
            <w:tcBorders>
              <w:tl2br w:val="nil"/>
              <w:tr2bl w:val="nil"/>
            </w:tcBorders>
            <w:noWrap w:val="0"/>
            <w:vAlign w:val="center"/>
          </w:tcPr>
          <w:p w14:paraId="504DB80C">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005" w:type="dxa"/>
            <w:tcBorders>
              <w:tl2br w:val="nil"/>
              <w:tr2bl w:val="nil"/>
            </w:tcBorders>
            <w:noWrap w:val="0"/>
            <w:vAlign w:val="center"/>
          </w:tcPr>
          <w:p w14:paraId="4317AE19">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长度(m)</w:t>
            </w:r>
          </w:p>
        </w:tc>
        <w:tc>
          <w:tcPr>
            <w:tcW w:w="1005" w:type="dxa"/>
            <w:tcBorders>
              <w:tl2br w:val="nil"/>
              <w:tr2bl w:val="nil"/>
            </w:tcBorders>
            <w:noWrap w:val="0"/>
            <w:vAlign w:val="center"/>
          </w:tcPr>
          <w:p w14:paraId="498B602C">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宽度(m)</w:t>
            </w:r>
          </w:p>
        </w:tc>
        <w:tc>
          <w:tcPr>
            <w:tcW w:w="1440" w:type="dxa"/>
            <w:tcBorders>
              <w:tl2br w:val="nil"/>
              <w:tr2bl w:val="nil"/>
            </w:tcBorders>
            <w:noWrap w:val="0"/>
            <w:vAlign w:val="center"/>
          </w:tcPr>
          <w:p w14:paraId="2030F322">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有效高度(m)</w:t>
            </w:r>
          </w:p>
        </w:tc>
        <w:tc>
          <w:tcPr>
            <w:tcW w:w="1155" w:type="dxa"/>
            <w:tcBorders>
              <w:tl2br w:val="nil"/>
              <w:tr2bl w:val="nil"/>
            </w:tcBorders>
            <w:noWrap w:val="0"/>
            <w:vAlign w:val="center"/>
          </w:tcPr>
          <w:p w14:paraId="743ACB7C">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与正北方向夹角</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62" w:type="dxa"/>
            <w:vMerge w:val="continue"/>
            <w:tcBorders>
              <w:tl2br w:val="nil"/>
              <w:tr2bl w:val="nil"/>
            </w:tcBorders>
            <w:noWrap w:val="0"/>
            <w:vAlign w:val="center"/>
          </w:tcPr>
          <w:p w14:paraId="4D54A324">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803" w:type="dxa"/>
            <w:vMerge w:val="continue"/>
            <w:tcBorders>
              <w:tl2br w:val="nil"/>
              <w:tr2bl w:val="nil"/>
            </w:tcBorders>
            <w:noWrap w:val="0"/>
            <w:vAlign w:val="center"/>
          </w:tcPr>
          <w:p w14:paraId="076DBA00">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035" w:type="dxa"/>
            <w:vMerge w:val="continue"/>
            <w:tcBorders>
              <w:tl2br w:val="nil"/>
              <w:tr2bl w:val="nil"/>
            </w:tcBorders>
            <w:noWrap w:val="0"/>
            <w:vAlign w:val="center"/>
          </w:tcPr>
          <w:p w14:paraId="5F0D6BD2">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113" w:type="dxa"/>
            <w:vMerge w:val="continue"/>
            <w:tcBorders>
              <w:tl2br w:val="nil"/>
              <w:tr2bl w:val="nil"/>
            </w:tcBorders>
            <w:noWrap w:val="0"/>
            <w:vAlign w:val="center"/>
          </w:tcPr>
          <w:p w14:paraId="3718A7C4">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874" w:type="dxa"/>
            <w:vMerge w:val="continue"/>
            <w:tcBorders>
              <w:tl2br w:val="nil"/>
              <w:tr2bl w:val="nil"/>
            </w:tcBorders>
            <w:noWrap w:val="0"/>
            <w:vAlign w:val="center"/>
          </w:tcPr>
          <w:p w14:paraId="7E69F460">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r>
      <w:tr w14:paraId="550D653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40" w:type="dxa"/>
            <w:vAlign w:val="center"/>
          </w:tcPr>
          <w:p w14:paraId="6F069266">
            <w:pPr>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厂界无组织</w:t>
            </w:r>
          </w:p>
        </w:tc>
        <w:tc>
          <w:tcPr>
            <w:tcW w:w="1260" w:type="dxa"/>
            <w:vAlign w:val="center"/>
          </w:tcPr>
          <w:p w14:paraId="205408FA">
            <w:pPr>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118.26737</w:t>
            </w:r>
            <w: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t>6</w:t>
            </w:r>
          </w:p>
        </w:tc>
        <w:tc>
          <w:tcPr>
            <w:tcW w:w="1170" w:type="dxa"/>
            <w:vAlign w:val="center"/>
          </w:tcPr>
          <w:p w14:paraId="66E77CFF">
            <w:pPr>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39.266627</w:t>
            </w:r>
          </w:p>
        </w:tc>
        <w:tc>
          <w:tcPr>
            <w:tcW w:w="972" w:type="dxa"/>
            <w:vAlign w:val="center"/>
          </w:tcPr>
          <w:p w14:paraId="542EB7FA">
            <w:pPr>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t>1.4</w:t>
            </w:r>
          </w:p>
        </w:tc>
        <w:tc>
          <w:tcPr>
            <w:tcW w:w="1005" w:type="dxa"/>
            <w:vAlign w:val="center"/>
          </w:tcPr>
          <w:p w14:paraId="435C9650">
            <w:pPr>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t>41.9</w:t>
            </w:r>
          </w:p>
        </w:tc>
        <w:tc>
          <w:tcPr>
            <w:tcW w:w="1005" w:type="dxa"/>
            <w:vAlign w:val="center"/>
          </w:tcPr>
          <w:p w14:paraId="480BAD3C">
            <w:pPr>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t>26.2</w:t>
            </w:r>
          </w:p>
        </w:tc>
        <w:tc>
          <w:tcPr>
            <w:tcW w:w="1440" w:type="dxa"/>
            <w:vAlign w:val="center"/>
          </w:tcPr>
          <w:p w14:paraId="145D9E4D">
            <w:pPr>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t>4.6</w:t>
            </w:r>
          </w:p>
        </w:tc>
        <w:tc>
          <w:tcPr>
            <w:tcW w:w="1155" w:type="dxa"/>
            <w:vAlign w:val="center"/>
          </w:tcPr>
          <w:p w14:paraId="4B142BB5">
            <w:pPr>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0</w:t>
            </w:r>
          </w:p>
        </w:tc>
        <w:tc>
          <w:tcPr>
            <w:tcW w:w="1162" w:type="dxa"/>
            <w:vAlign w:val="center"/>
          </w:tcPr>
          <w:p w14:paraId="13D8C36E">
            <w:pPr>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8760</w:t>
            </w:r>
          </w:p>
        </w:tc>
        <w:tc>
          <w:tcPr>
            <w:tcW w:w="803" w:type="dxa"/>
            <w:vAlign w:val="center"/>
          </w:tcPr>
          <w:p w14:paraId="39E5C69F">
            <w:pPr>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正常</w:t>
            </w:r>
          </w:p>
        </w:tc>
        <w:tc>
          <w:tcPr>
            <w:tcW w:w="1035" w:type="dxa"/>
            <w:vAlign w:val="center"/>
          </w:tcPr>
          <w:p w14:paraId="2BD14E35">
            <w:pPr>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NH</w:t>
            </w:r>
            <w:r>
              <w:rPr>
                <w:rFonts w:hint="eastAsia" w:cs="Times New Roman"/>
                <w:color w:val="000000" w:themeColor="text1"/>
                <w:sz w:val="21"/>
                <w:szCs w:val="21"/>
                <w:highlight w:val="none"/>
                <w:vertAlign w:val="subscript"/>
                <w:lang w:val="en-US" w:eastAsia="zh-CN"/>
                <w14:textFill>
                  <w14:solidFill>
                    <w14:schemeClr w14:val="tx1"/>
                  </w14:solidFill>
                </w14:textFill>
              </w:rPr>
              <w:t>3</w:t>
            </w:r>
          </w:p>
          <w:p w14:paraId="76242A96">
            <w:pPr>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H</w:t>
            </w:r>
            <w:r>
              <w:rPr>
                <w:rFonts w:hint="eastAsia" w:cs="Times New Roman"/>
                <w:color w:val="000000" w:themeColor="text1"/>
                <w:sz w:val="21"/>
                <w:szCs w:val="21"/>
                <w:highlight w:val="none"/>
                <w:vertAlign w:val="subscript"/>
                <w:lang w:val="en-US" w:eastAsia="zh-CN"/>
                <w14:textFill>
                  <w14:solidFill>
                    <w14:schemeClr w14:val="tx1"/>
                  </w14:solidFill>
                </w14:textFill>
              </w:rPr>
              <w:t>2</w:t>
            </w:r>
            <w:r>
              <w:rPr>
                <w:rFonts w:hint="eastAsia" w:cs="Times New Roman"/>
                <w:color w:val="000000" w:themeColor="text1"/>
                <w:sz w:val="21"/>
                <w:szCs w:val="21"/>
                <w:highlight w:val="none"/>
                <w:lang w:val="en-US" w:eastAsia="zh-CN"/>
                <w14:textFill>
                  <w14:solidFill>
                    <w14:schemeClr w14:val="tx1"/>
                  </w14:solidFill>
                </w14:textFill>
              </w:rPr>
              <w:t>S</w:t>
            </w:r>
          </w:p>
        </w:tc>
        <w:tc>
          <w:tcPr>
            <w:tcW w:w="1113" w:type="dxa"/>
            <w:vAlign w:val="center"/>
          </w:tcPr>
          <w:p w14:paraId="3AF6BE6E">
            <w:pPr>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0.0044</w:t>
            </w:r>
          </w:p>
          <w:p w14:paraId="6B5529EB">
            <w:pPr>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0.00008</w:t>
            </w:r>
          </w:p>
        </w:tc>
        <w:tc>
          <w:tcPr>
            <w:tcW w:w="874" w:type="dxa"/>
            <w:vAlign w:val="center"/>
          </w:tcPr>
          <w:p w14:paraId="74A25C0F">
            <w:pPr>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kg/h</w:t>
            </w:r>
          </w:p>
        </w:tc>
      </w:tr>
      <w:bookmarkEnd w:id="79"/>
    </w:tbl>
    <w:p w14:paraId="70EE26EE">
      <w:pPr>
        <w:pStyle w:val="21"/>
        <w:ind w:left="0" w:leftChars="0" w:firstLine="0" w:firstLineChars="0"/>
        <w:rPr>
          <w:rFonts w:hint="default" w:ascii="Times New Roman" w:hAnsi="Times New Roman" w:eastAsia="宋体" w:cs="Times New Roman"/>
          <w:color w:val="000000" w:themeColor="text1"/>
          <w:kern w:val="2"/>
          <w:sz w:val="21"/>
          <w:szCs w:val="24"/>
          <w:highlight w:val="none"/>
          <w:lang w:val="en-US" w:eastAsia="zh-CN" w:bidi="ar-SA"/>
          <w14:textFill>
            <w14:solidFill>
              <w14:schemeClr w14:val="tx1"/>
            </w14:solidFill>
          </w14:textFill>
        </w:rPr>
        <w:sectPr>
          <w:pgSz w:w="16838" w:h="11906" w:orient="landscape"/>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r>
        <w:rPr>
          <w:rFonts w:hint="default" w:ascii="Times New Roman" w:hAnsi="Times New Roman" w:eastAsia="宋体" w:cs="Times New Roman"/>
          <w:color w:val="000000" w:themeColor="text1"/>
          <w:kern w:val="2"/>
          <w:sz w:val="21"/>
          <w:szCs w:val="24"/>
          <w:highlight w:val="none"/>
          <w:lang w:val="en-US" w:eastAsia="zh-CN" w:bidi="ar-SA"/>
          <w14:textFill>
            <w14:solidFill>
              <w14:schemeClr w14:val="tx1"/>
            </w14:solidFill>
          </w14:textFill>
        </w:rPr>
        <w:t>*注：坐标点为面源左上角。</w:t>
      </w:r>
    </w:p>
    <w:p w14:paraId="74E1F4FC">
      <w:pPr>
        <w:spacing w:line="480" w:lineRule="exact"/>
        <w:ind w:firstLine="480" w:firstLineChars="200"/>
        <w:jc w:val="left"/>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⑸</w:t>
      </w:r>
      <w:r>
        <w:rPr>
          <w:rFonts w:hint="default" w:ascii="Times New Roman" w:hAnsi="Times New Roman" w:eastAsia="宋体" w:cs="Times New Roman"/>
          <w:color w:val="000000" w:themeColor="text1"/>
          <w:sz w:val="24"/>
          <w:szCs w:val="24"/>
          <w:highlight w:val="none"/>
          <w14:textFill>
            <w14:solidFill>
              <w14:schemeClr w14:val="tx1"/>
            </w14:solidFill>
          </w14:textFill>
        </w:rPr>
        <w:t>项目参数</w:t>
      </w:r>
    </w:p>
    <w:p w14:paraId="583ABC61">
      <w:pPr>
        <w:spacing w:line="480" w:lineRule="exact"/>
        <w:ind w:firstLine="422" w:firstLineChars="176"/>
        <w:jc w:val="left"/>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根据</w:t>
      </w:r>
      <w:r>
        <w:rPr>
          <w:rFonts w:hint="default" w:ascii="Times New Roman" w:hAnsi="Times New Roman" w:eastAsia="宋体" w:cs="Times New Roman"/>
          <w:color w:val="000000" w:themeColor="text1"/>
          <w:sz w:val="24"/>
          <w:highlight w:val="none"/>
          <w14:textFill>
            <w14:solidFill>
              <w14:schemeClr w14:val="tx1"/>
            </w14:solidFill>
          </w14:textFill>
        </w:rPr>
        <w:t>《环境影响评价技术导则－大气环境》（</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HJ2.2-2018</w:t>
      </w:r>
      <w:r>
        <w:rPr>
          <w:rFonts w:hint="default" w:ascii="Times New Roman" w:hAnsi="Times New Roman" w:eastAsia="宋体" w:cs="Times New Roman"/>
          <w:color w:val="000000" w:themeColor="text1"/>
          <w:sz w:val="24"/>
          <w:highlight w:val="none"/>
          <w14:textFill>
            <w14:solidFill>
              <w14:schemeClr w14:val="tx1"/>
            </w14:solidFill>
          </w14:textFill>
        </w:rPr>
        <w:t>）</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附录</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B.6.1，当项目周边3km半径范围内一半以上面积属于城市建成区或者规划区时，选择城市，否则选择农村。地表参数中，取项目周边3km范围内占地面积最大的土地利用类型来确定，本项目周边3km半径范围内城市用地面积为2.88km</w:t>
      </w:r>
      <w:r>
        <w:rPr>
          <w:rFonts w:hint="default" w:ascii="Times New Roman" w:hAnsi="Times New Roman" w:eastAsia="宋体" w:cs="Times New Roman"/>
          <w:color w:val="000000" w:themeColor="text1"/>
          <w:sz w:val="24"/>
          <w:highlight w:val="none"/>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，比例为10.2%，则农用地比例为89.8%；本项目3km范围内的情况见图2.5-1。</w:t>
      </w:r>
    </w:p>
    <w:p w14:paraId="0C726DD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highlight w:val="yellow"/>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ict>
          <v:shape id="_x0000_s1079" o:spid="_x0000_s1079" o:spt="75" type="#_x0000_t75" style="position:absolute;left:0pt;margin-left:396.45pt;margin-top:2.9pt;height:81pt;width:75.8pt;z-index:251674624;mso-width-relative:page;mso-height-relative:page;" o:ole="t" filled="f" o:preferrelative="t" stroked="f" coordsize="21600,21600">
            <v:path/>
            <v:fill on="f" focussize="0,0"/>
            <v:stroke on="f"/>
            <v:imagedata r:id="rId30" o:title=""/>
            <o:lock v:ext="edit" aspectratio="f"/>
          </v:shape>
          <o:OLEObject Type="Embed" ProgID="Visio.Drawing.11" ShapeID="_x0000_s1079" DrawAspect="Content" ObjectID="_1468075725" r:id="rId29">
            <o:LockedField>false</o:LockedField>
          </o:OLEObject>
        </w:pic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drawing>
          <wp:inline distT="0" distB="0" distL="114300" distR="114300">
            <wp:extent cx="5969635" cy="4343400"/>
            <wp:effectExtent l="0" t="0" r="12065" b="0"/>
            <wp:docPr id="17" name="图片 17" descr="1718172070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718172070777"/>
                    <pic:cNvPicPr>
                      <a:picLocks noChangeAspect="1"/>
                    </pic:cNvPicPr>
                  </pic:nvPicPr>
                  <pic:blipFill>
                    <a:blip r:embed="rId31"/>
                    <a:srcRect r="721"/>
                    <a:stretch>
                      <a:fillRect/>
                    </a:stretch>
                  </pic:blipFill>
                  <pic:spPr>
                    <a:xfrm>
                      <a:off x="0" y="0"/>
                      <a:ext cx="5969635" cy="4343400"/>
                    </a:xfrm>
                    <a:prstGeom prst="rect">
                      <a:avLst/>
                    </a:prstGeom>
                  </pic:spPr>
                </pic:pic>
              </a:graphicData>
            </a:graphic>
          </wp:inline>
        </w:drawing>
      </w:r>
    </w:p>
    <w:p w14:paraId="385285B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000000" w:themeColor="text1"/>
          <w:sz w:val="24"/>
          <w:szCs w:val="24"/>
          <w:highlight w:val="none"/>
          <w14:textFill>
            <w14:solidFill>
              <w14:schemeClr w14:val="tx1"/>
            </w14:solidFill>
          </w14:textFill>
        </w:rPr>
      </w:pPr>
      <w:r>
        <w:rPr>
          <w:rFonts w:hint="default" w:ascii="Times New Roman" w:hAnsi="Times New Roman" w:eastAsia="宋体" w:cs="Times New Roman"/>
          <w:b/>
          <w:bCs/>
          <w:color w:val="000000" w:themeColor="text1"/>
          <w:sz w:val="24"/>
          <w:highlight w:val="none"/>
          <w:lang w:val="en-US" w:eastAsia="zh-CN"/>
          <w14:textFill>
            <w14:solidFill>
              <w14:schemeClr w14:val="tx1"/>
            </w14:solidFill>
          </w14:textFill>
        </w:rPr>
        <w:t>图2.5-1本项目周边3km半径范围内情况</w:t>
      </w:r>
    </w:p>
    <w:p w14:paraId="60D8C406">
      <w:pPr>
        <w:pageBreakBefore w:val="0"/>
        <w:widowControl w:val="0"/>
        <w:numPr>
          <w:ilvl w:val="0"/>
          <w:numId w:val="12"/>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bCs/>
          <w:color w:val="000000" w:themeColor="text1"/>
          <w:sz w:val="24"/>
          <w:szCs w:val="24"/>
          <w:highlight w:val="none"/>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14:textFill>
            <w14:solidFill>
              <w14:schemeClr w14:val="tx1"/>
            </w14:solidFill>
          </w14:textFill>
        </w:rPr>
        <w:t>估算模型参数表</w:t>
      </w:r>
    </w:p>
    <w:tbl>
      <w:tblPr>
        <w:tblStyle w:val="48"/>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520"/>
        <w:gridCol w:w="2708"/>
        <w:gridCol w:w="4056"/>
      </w:tblGrid>
      <w:tr w14:paraId="19CD79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815" w:type="pct"/>
            <w:gridSpan w:val="2"/>
            <w:tcBorders>
              <w:tl2br w:val="nil"/>
              <w:tr2bl w:val="nil"/>
            </w:tcBorders>
            <w:noWrap w:val="0"/>
            <w:vAlign w:val="center"/>
          </w:tcPr>
          <w:p w14:paraId="29CDB0A0">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bookmarkStart w:id="80" w:name="OLE_LINK30"/>
            <w:r>
              <w:rPr>
                <w:rFonts w:hint="default" w:ascii="Times New Roman" w:hAnsi="Times New Roman" w:eastAsia="宋体" w:cs="Times New Roman"/>
                <w:color w:val="000000" w:themeColor="text1"/>
                <w:sz w:val="21"/>
                <w:szCs w:val="21"/>
                <w:highlight w:val="none"/>
                <w14:textFill>
                  <w14:solidFill>
                    <w14:schemeClr w14:val="tx1"/>
                  </w14:solidFill>
                </w14:textFill>
              </w:rPr>
              <w:t>参数</w:t>
            </w:r>
          </w:p>
        </w:tc>
        <w:tc>
          <w:tcPr>
            <w:tcW w:w="2184" w:type="pct"/>
            <w:tcBorders>
              <w:tl2br w:val="nil"/>
              <w:tr2bl w:val="nil"/>
            </w:tcBorders>
            <w:noWrap w:val="0"/>
            <w:vAlign w:val="center"/>
          </w:tcPr>
          <w:p w14:paraId="524584E0">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取值</w:t>
            </w:r>
          </w:p>
        </w:tc>
      </w:tr>
      <w:tr w14:paraId="245B6D5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357" w:type="pct"/>
            <w:vMerge w:val="restart"/>
            <w:tcBorders>
              <w:tl2br w:val="nil"/>
              <w:tr2bl w:val="nil"/>
            </w:tcBorders>
            <w:noWrap w:val="0"/>
            <w:vAlign w:val="center"/>
          </w:tcPr>
          <w:p w14:paraId="15214E66">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城市农村/选项</w:t>
            </w:r>
          </w:p>
        </w:tc>
        <w:tc>
          <w:tcPr>
            <w:tcW w:w="1458" w:type="pct"/>
            <w:tcBorders>
              <w:tl2br w:val="nil"/>
              <w:tr2bl w:val="nil"/>
            </w:tcBorders>
            <w:noWrap w:val="0"/>
            <w:vAlign w:val="center"/>
          </w:tcPr>
          <w:p w14:paraId="1F4735BB">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城市/农村</w:t>
            </w:r>
          </w:p>
        </w:tc>
        <w:tc>
          <w:tcPr>
            <w:tcW w:w="2184" w:type="pct"/>
            <w:tcBorders>
              <w:tl2br w:val="nil"/>
              <w:tr2bl w:val="nil"/>
            </w:tcBorders>
            <w:noWrap w:val="0"/>
            <w:vAlign w:val="center"/>
          </w:tcPr>
          <w:p w14:paraId="41E49EAF">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auto"/>
                <w:sz w:val="21"/>
                <w:szCs w:val="21"/>
                <w:highlight w:val="none"/>
                <w:lang w:val="en-US" w:eastAsia="zh-CN"/>
              </w:rPr>
              <w:t>农村</w:t>
            </w:r>
          </w:p>
        </w:tc>
      </w:tr>
      <w:tr w14:paraId="084432E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357" w:type="pct"/>
            <w:vMerge w:val="continue"/>
            <w:tcBorders>
              <w:tl2br w:val="nil"/>
              <w:tr2bl w:val="nil"/>
            </w:tcBorders>
            <w:noWrap w:val="0"/>
            <w:vAlign w:val="center"/>
          </w:tcPr>
          <w:p w14:paraId="01F2FED8">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458" w:type="pct"/>
            <w:tcBorders>
              <w:tl2br w:val="nil"/>
              <w:tr2bl w:val="nil"/>
            </w:tcBorders>
            <w:noWrap w:val="0"/>
            <w:vAlign w:val="center"/>
          </w:tcPr>
          <w:p w14:paraId="01D831D1">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人口数(城市人口数)</w:t>
            </w:r>
          </w:p>
        </w:tc>
        <w:tc>
          <w:tcPr>
            <w:tcW w:w="2184" w:type="pct"/>
            <w:tcBorders>
              <w:tl2br w:val="nil"/>
              <w:tr2bl w:val="nil"/>
            </w:tcBorders>
            <w:noWrap w:val="0"/>
            <w:vAlign w:val="center"/>
          </w:tcPr>
          <w:p w14:paraId="0F26317B">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auto"/>
                <w:spacing w:val="0"/>
                <w:sz w:val="21"/>
                <w:szCs w:val="21"/>
                <w:highlight w:val="none"/>
              </w:rPr>
              <w:t>--</w:t>
            </w:r>
          </w:p>
        </w:tc>
      </w:tr>
      <w:tr w14:paraId="044BB99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815" w:type="pct"/>
            <w:gridSpan w:val="2"/>
            <w:tcBorders>
              <w:tl2br w:val="nil"/>
              <w:tr2bl w:val="nil"/>
            </w:tcBorders>
            <w:noWrap w:val="0"/>
            <w:vAlign w:val="center"/>
          </w:tcPr>
          <w:p w14:paraId="74748CFB">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最高环境温度</w:t>
            </w:r>
          </w:p>
        </w:tc>
        <w:tc>
          <w:tcPr>
            <w:tcW w:w="2184" w:type="pct"/>
            <w:tcBorders>
              <w:tl2br w:val="nil"/>
              <w:tr2bl w:val="nil"/>
            </w:tcBorders>
            <w:noWrap w:val="0"/>
            <w:vAlign w:val="center"/>
          </w:tcPr>
          <w:p w14:paraId="1D81026A">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auto"/>
                <w:sz w:val="21"/>
                <w:szCs w:val="21"/>
                <w:highlight w:val="none"/>
                <w:lang w:val="en-US" w:eastAsia="zh-CN"/>
              </w:rPr>
              <w:t>38.7</w:t>
            </w:r>
            <w:r>
              <w:rPr>
                <w:rFonts w:hint="default" w:ascii="Times New Roman" w:hAnsi="Times New Roman" w:eastAsia="宋体" w:cs="Times New Roman"/>
                <w:color w:val="000000" w:themeColor="text1"/>
                <w:sz w:val="21"/>
                <w:szCs w:val="21"/>
                <w:highlight w:val="none"/>
                <w14:textFill>
                  <w14:solidFill>
                    <w14:schemeClr w14:val="tx1"/>
                  </w14:solidFill>
                </w14:textFill>
              </w:rPr>
              <w:t>°C</w:t>
            </w:r>
          </w:p>
        </w:tc>
      </w:tr>
      <w:tr w14:paraId="404A1F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815" w:type="pct"/>
            <w:gridSpan w:val="2"/>
            <w:tcBorders>
              <w:tl2br w:val="nil"/>
              <w:tr2bl w:val="nil"/>
            </w:tcBorders>
            <w:noWrap w:val="0"/>
            <w:vAlign w:val="center"/>
          </w:tcPr>
          <w:p w14:paraId="250089F7">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最低环境温度</w:t>
            </w:r>
          </w:p>
        </w:tc>
        <w:tc>
          <w:tcPr>
            <w:tcW w:w="2184" w:type="pct"/>
            <w:tcBorders>
              <w:tl2br w:val="nil"/>
              <w:tr2bl w:val="nil"/>
            </w:tcBorders>
            <w:noWrap w:val="0"/>
            <w:vAlign w:val="center"/>
          </w:tcPr>
          <w:p w14:paraId="4CC8AD43">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auto"/>
                <w:sz w:val="21"/>
                <w:szCs w:val="21"/>
                <w:highlight w:val="none"/>
                <w:lang w:val="en-US" w:eastAsia="zh-CN"/>
              </w:rPr>
              <w:t>-</w:t>
            </w:r>
            <w:r>
              <w:rPr>
                <w:rFonts w:hint="eastAsia" w:cs="Times New Roman"/>
                <w:color w:val="auto"/>
                <w:sz w:val="21"/>
                <w:szCs w:val="21"/>
                <w:highlight w:val="none"/>
                <w:lang w:val="en-US" w:eastAsia="zh-CN"/>
              </w:rPr>
              <w:t>22.8</w:t>
            </w:r>
            <w:r>
              <w:rPr>
                <w:rFonts w:hint="default" w:ascii="Times New Roman" w:hAnsi="Times New Roman" w:eastAsia="宋体" w:cs="Times New Roman"/>
                <w:color w:val="000000" w:themeColor="text1"/>
                <w:highlight w:val="none"/>
                <w14:textFill>
                  <w14:solidFill>
                    <w14:schemeClr w14:val="tx1"/>
                  </w14:solidFill>
                </w14:textFill>
              </w:rPr>
              <w:t>°C</w:t>
            </w:r>
          </w:p>
        </w:tc>
      </w:tr>
      <w:tr w14:paraId="3D911E1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815" w:type="pct"/>
            <w:gridSpan w:val="2"/>
            <w:tcBorders>
              <w:tl2br w:val="nil"/>
              <w:tr2bl w:val="nil"/>
            </w:tcBorders>
            <w:noWrap w:val="0"/>
            <w:vAlign w:val="center"/>
          </w:tcPr>
          <w:p w14:paraId="03684411">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土地利用类型</w:t>
            </w:r>
          </w:p>
        </w:tc>
        <w:tc>
          <w:tcPr>
            <w:tcW w:w="2184" w:type="pct"/>
            <w:tcBorders>
              <w:tl2br w:val="nil"/>
              <w:tr2bl w:val="nil"/>
            </w:tcBorders>
            <w:noWrap w:val="0"/>
            <w:vAlign w:val="center"/>
          </w:tcPr>
          <w:p w14:paraId="6379D4DC">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auto"/>
                <w:sz w:val="21"/>
                <w:szCs w:val="21"/>
                <w:highlight w:val="none"/>
                <w:lang w:val="en-US" w:eastAsia="zh-CN"/>
              </w:rPr>
              <w:t>农</w:t>
            </w:r>
            <w:r>
              <w:rPr>
                <w:rFonts w:hint="eastAsia" w:cs="Times New Roman"/>
                <w:color w:val="auto"/>
                <w:sz w:val="21"/>
                <w:szCs w:val="21"/>
                <w:highlight w:val="none"/>
                <w:lang w:val="en-US" w:eastAsia="zh-CN"/>
              </w:rPr>
              <w:t>用</w:t>
            </w:r>
            <w:r>
              <w:rPr>
                <w:rFonts w:hint="default" w:ascii="Times New Roman" w:hAnsi="Times New Roman" w:eastAsia="宋体" w:cs="Times New Roman"/>
                <w:color w:val="auto"/>
                <w:sz w:val="21"/>
                <w:szCs w:val="21"/>
                <w:highlight w:val="none"/>
                <w:lang w:val="en-US" w:eastAsia="zh-CN"/>
              </w:rPr>
              <w:t>地</w:t>
            </w:r>
          </w:p>
        </w:tc>
      </w:tr>
      <w:tr w14:paraId="395C905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815" w:type="pct"/>
            <w:gridSpan w:val="2"/>
            <w:tcBorders>
              <w:tl2br w:val="nil"/>
              <w:tr2bl w:val="nil"/>
            </w:tcBorders>
            <w:noWrap w:val="0"/>
            <w:vAlign w:val="center"/>
          </w:tcPr>
          <w:p w14:paraId="1516BB3E">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区域湿度条件</w:t>
            </w:r>
          </w:p>
        </w:tc>
        <w:tc>
          <w:tcPr>
            <w:tcW w:w="2184" w:type="pct"/>
            <w:tcBorders>
              <w:tl2br w:val="nil"/>
              <w:tr2bl w:val="nil"/>
            </w:tcBorders>
            <w:noWrap w:val="0"/>
            <w:vAlign w:val="center"/>
          </w:tcPr>
          <w:p w14:paraId="45BB2B6A">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auto"/>
                <w:sz w:val="21"/>
                <w:szCs w:val="21"/>
                <w:highlight w:val="none"/>
              </w:rPr>
              <w:t>中等湿度气候</w:t>
            </w:r>
          </w:p>
        </w:tc>
      </w:tr>
      <w:tr w14:paraId="4B7936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815" w:type="pct"/>
            <w:gridSpan w:val="2"/>
            <w:tcBorders>
              <w:tl2br w:val="nil"/>
              <w:tr2bl w:val="nil"/>
            </w:tcBorders>
            <w:noWrap w:val="0"/>
            <w:vAlign w:val="center"/>
          </w:tcPr>
          <w:p w14:paraId="5DB9DE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风速计高度</w:t>
            </w:r>
          </w:p>
        </w:tc>
        <w:tc>
          <w:tcPr>
            <w:tcW w:w="2184" w:type="pct"/>
            <w:tcBorders>
              <w:tl2br w:val="nil"/>
              <w:tr2bl w:val="nil"/>
            </w:tcBorders>
            <w:noWrap w:val="0"/>
            <w:vAlign w:val="center"/>
          </w:tcPr>
          <w:p w14:paraId="64AAA2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10m</w:t>
            </w:r>
          </w:p>
        </w:tc>
      </w:tr>
      <w:tr w14:paraId="141FA5D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815" w:type="pct"/>
            <w:gridSpan w:val="2"/>
            <w:tcBorders>
              <w:tl2br w:val="nil"/>
              <w:tr2bl w:val="nil"/>
            </w:tcBorders>
            <w:noWrap w:val="0"/>
            <w:vAlign w:val="center"/>
          </w:tcPr>
          <w:p w14:paraId="20050C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最小风速</w:t>
            </w:r>
          </w:p>
        </w:tc>
        <w:tc>
          <w:tcPr>
            <w:tcW w:w="2184" w:type="pct"/>
            <w:tcBorders>
              <w:tl2br w:val="nil"/>
              <w:tr2bl w:val="nil"/>
            </w:tcBorders>
            <w:noWrap w:val="0"/>
            <w:vAlign w:val="center"/>
          </w:tcPr>
          <w:p w14:paraId="64B234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0.5m/s</w:t>
            </w:r>
          </w:p>
        </w:tc>
      </w:tr>
      <w:tr w14:paraId="6FD89FC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815" w:type="pct"/>
            <w:gridSpan w:val="2"/>
            <w:tcBorders>
              <w:tl2br w:val="nil"/>
              <w:tr2bl w:val="nil"/>
            </w:tcBorders>
            <w:noWrap w:val="0"/>
            <w:vAlign w:val="center"/>
          </w:tcPr>
          <w:p w14:paraId="3F9E91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中心经纬度</w:t>
            </w:r>
          </w:p>
        </w:tc>
        <w:tc>
          <w:tcPr>
            <w:tcW w:w="2184" w:type="pct"/>
            <w:tcBorders>
              <w:tl2br w:val="nil"/>
              <w:tr2bl w:val="nil"/>
            </w:tcBorders>
            <w:noWrap w:val="0"/>
            <w:vAlign w:val="center"/>
          </w:tcPr>
          <w:p w14:paraId="5538DA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北纬39°15′59.114″，东经118°16′3.267″</w:t>
            </w:r>
          </w:p>
        </w:tc>
      </w:tr>
      <w:tr w14:paraId="144C350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357" w:type="pct"/>
            <w:vMerge w:val="restart"/>
            <w:tcBorders>
              <w:tl2br w:val="nil"/>
              <w:tr2bl w:val="nil"/>
            </w:tcBorders>
            <w:noWrap w:val="0"/>
            <w:vAlign w:val="center"/>
          </w:tcPr>
          <w:p w14:paraId="59F04B6F">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是否考虑地形</w:t>
            </w:r>
          </w:p>
        </w:tc>
        <w:tc>
          <w:tcPr>
            <w:tcW w:w="1458" w:type="pct"/>
            <w:tcBorders>
              <w:tl2br w:val="nil"/>
              <w:tr2bl w:val="nil"/>
            </w:tcBorders>
            <w:noWrap w:val="0"/>
            <w:vAlign w:val="center"/>
          </w:tcPr>
          <w:p w14:paraId="248AEB0A">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考虑地形</w:t>
            </w:r>
          </w:p>
        </w:tc>
        <w:tc>
          <w:tcPr>
            <w:tcW w:w="2184" w:type="pct"/>
            <w:tcBorders>
              <w:tl2br w:val="nil"/>
              <w:tr2bl w:val="nil"/>
            </w:tcBorders>
            <w:noWrap w:val="0"/>
            <w:vAlign w:val="center"/>
          </w:tcPr>
          <w:p w14:paraId="44A87C1D">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14:paraId="094B7FD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357" w:type="pct"/>
            <w:vMerge w:val="continue"/>
            <w:tcBorders>
              <w:tl2br w:val="nil"/>
              <w:tr2bl w:val="nil"/>
            </w:tcBorders>
            <w:noWrap w:val="0"/>
            <w:vAlign w:val="center"/>
          </w:tcPr>
          <w:p w14:paraId="767DB430">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458" w:type="pct"/>
            <w:tcBorders>
              <w:tl2br w:val="nil"/>
              <w:tr2bl w:val="nil"/>
            </w:tcBorders>
            <w:noWrap w:val="0"/>
            <w:vAlign w:val="center"/>
          </w:tcPr>
          <w:p w14:paraId="027F3722">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地形数据分辨率(m)</w:t>
            </w:r>
          </w:p>
        </w:tc>
        <w:tc>
          <w:tcPr>
            <w:tcW w:w="2184" w:type="pct"/>
            <w:tcBorders>
              <w:tl2br w:val="nil"/>
              <w:tr2bl w:val="nil"/>
            </w:tcBorders>
            <w:noWrap w:val="0"/>
            <w:vAlign w:val="center"/>
          </w:tcPr>
          <w:p w14:paraId="71EAF3DF">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90</w:t>
            </w:r>
          </w:p>
        </w:tc>
      </w:tr>
      <w:tr w14:paraId="5D14884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357" w:type="pct"/>
            <w:vMerge w:val="restart"/>
            <w:tcBorders>
              <w:tl2br w:val="nil"/>
              <w:tr2bl w:val="nil"/>
            </w:tcBorders>
            <w:noWrap w:val="0"/>
            <w:vAlign w:val="center"/>
          </w:tcPr>
          <w:p w14:paraId="0442B623">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是否考虑岸线熏烟</w:t>
            </w:r>
          </w:p>
        </w:tc>
        <w:tc>
          <w:tcPr>
            <w:tcW w:w="1458" w:type="pct"/>
            <w:tcBorders>
              <w:tl2br w:val="nil"/>
              <w:tr2bl w:val="nil"/>
            </w:tcBorders>
            <w:noWrap w:val="0"/>
            <w:vAlign w:val="center"/>
          </w:tcPr>
          <w:p w14:paraId="21A54E93">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考虑岸线熏烟</w:t>
            </w:r>
          </w:p>
        </w:tc>
        <w:tc>
          <w:tcPr>
            <w:tcW w:w="2184" w:type="pct"/>
            <w:tcBorders>
              <w:tl2br w:val="nil"/>
              <w:tr2bl w:val="nil"/>
            </w:tcBorders>
            <w:noWrap w:val="0"/>
            <w:vAlign w:val="center"/>
          </w:tcPr>
          <w:p w14:paraId="3AB5AB28">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否</w:t>
            </w:r>
          </w:p>
        </w:tc>
      </w:tr>
      <w:tr w14:paraId="14AF972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357" w:type="pct"/>
            <w:vMerge w:val="continue"/>
            <w:tcBorders>
              <w:tl2br w:val="nil"/>
              <w:tr2bl w:val="nil"/>
            </w:tcBorders>
            <w:noWrap w:val="0"/>
            <w:vAlign w:val="center"/>
          </w:tcPr>
          <w:p w14:paraId="7D31CD41">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458" w:type="pct"/>
            <w:tcBorders>
              <w:tl2br w:val="nil"/>
              <w:tr2bl w:val="nil"/>
            </w:tcBorders>
            <w:noWrap w:val="0"/>
            <w:vAlign w:val="center"/>
          </w:tcPr>
          <w:p w14:paraId="47E5F399">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岸线距离/m</w:t>
            </w:r>
          </w:p>
        </w:tc>
        <w:tc>
          <w:tcPr>
            <w:tcW w:w="4303" w:type="dxa"/>
            <w:tcBorders>
              <w:tl2br w:val="nil"/>
              <w:tr2bl w:val="nil"/>
            </w:tcBorders>
            <w:noWrap w:val="0"/>
            <w:vAlign w:val="center"/>
          </w:tcPr>
          <w:p w14:paraId="59AA7EFE">
            <w:pPr>
              <w:keepNext w:val="0"/>
              <w:keepLines w:val="0"/>
              <w:pageBreakBefore w:val="0"/>
              <w:widowControl w:val="0"/>
              <w:tabs>
                <w:tab w:val="left" w:pos="540"/>
              </w:tabs>
              <w:kinsoku/>
              <w:wordWrap/>
              <w:overflowPunct/>
              <w:topLinePunct w:val="0"/>
              <w:autoSpaceDE/>
              <w:autoSpaceDN/>
              <w:bidi w:val="0"/>
              <w:adjustRightInd w:val="0"/>
              <w:snapToGrid w:val="0"/>
              <w:spacing w:line="360" w:lineRule="exact"/>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auto"/>
                <w:sz w:val="21"/>
                <w:szCs w:val="21"/>
                <w:highlight w:val="none"/>
              </w:rPr>
              <w:t>--</w:t>
            </w:r>
          </w:p>
        </w:tc>
      </w:tr>
      <w:tr w14:paraId="586FA12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357" w:type="pct"/>
            <w:vMerge w:val="continue"/>
            <w:tcBorders>
              <w:tl2br w:val="nil"/>
              <w:tr2bl w:val="nil"/>
            </w:tcBorders>
            <w:noWrap w:val="0"/>
            <w:vAlign w:val="center"/>
          </w:tcPr>
          <w:p w14:paraId="746BD526">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458" w:type="pct"/>
            <w:tcBorders>
              <w:tl2br w:val="nil"/>
              <w:tr2bl w:val="nil"/>
            </w:tcBorders>
            <w:noWrap w:val="0"/>
            <w:vAlign w:val="center"/>
          </w:tcPr>
          <w:p w14:paraId="30130B4F">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岸线方向/°</w:t>
            </w:r>
          </w:p>
        </w:tc>
        <w:tc>
          <w:tcPr>
            <w:tcW w:w="4303" w:type="dxa"/>
            <w:tcBorders>
              <w:tl2br w:val="nil"/>
              <w:tr2bl w:val="nil"/>
            </w:tcBorders>
            <w:noWrap w:val="0"/>
            <w:vAlign w:val="center"/>
          </w:tcPr>
          <w:p w14:paraId="168A5F2F">
            <w:pPr>
              <w:keepNext w:val="0"/>
              <w:keepLines w:val="0"/>
              <w:pageBreakBefore w:val="0"/>
              <w:widowControl w:val="0"/>
              <w:tabs>
                <w:tab w:val="left" w:pos="540"/>
              </w:tabs>
              <w:kinsoku/>
              <w:wordWrap/>
              <w:overflowPunct/>
              <w:topLinePunct w:val="0"/>
              <w:autoSpaceDE/>
              <w:autoSpaceDN/>
              <w:bidi w:val="0"/>
              <w:adjustRightInd w:val="0"/>
              <w:snapToGrid w:val="0"/>
              <w:spacing w:line="360" w:lineRule="exact"/>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auto"/>
                <w:sz w:val="21"/>
                <w:szCs w:val="21"/>
                <w:highlight w:val="none"/>
              </w:rPr>
              <w:t>--</w:t>
            </w:r>
          </w:p>
        </w:tc>
      </w:tr>
      <w:bookmarkEnd w:id="80"/>
    </w:tbl>
    <w:p w14:paraId="598A9BB4">
      <w:pPr>
        <w:spacing w:line="480" w:lineRule="exact"/>
        <w:ind w:firstLine="371" w:firstLineChars="176"/>
        <w:jc w:val="left"/>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bookmarkStart w:id="81" w:name="_Toc498880230"/>
      <w:bookmarkStart w:id="82" w:name="_Toc498494528"/>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注：本项目岸线距离为15610m，因此项目未考虑岸线熏烟。</w:t>
      </w:r>
    </w:p>
    <w:p w14:paraId="732A10C9">
      <w:pPr>
        <w:spacing w:line="480" w:lineRule="exact"/>
        <w:ind w:firstLine="422" w:firstLineChars="176"/>
        <w:jc w:val="left"/>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⑹</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评价</w:t>
      </w:r>
      <w:r>
        <w:rPr>
          <w:rFonts w:hint="default" w:ascii="Times New Roman" w:hAnsi="Times New Roman" w:eastAsia="宋体" w:cs="Times New Roman"/>
          <w:color w:val="000000" w:themeColor="text1"/>
          <w:sz w:val="24"/>
          <w:szCs w:val="24"/>
          <w:highlight w:val="none"/>
          <w14:textFill>
            <w14:solidFill>
              <w14:schemeClr w14:val="tx1"/>
            </w14:solidFill>
          </w14:textFill>
        </w:rPr>
        <w:t>工作等级确定</w:t>
      </w:r>
    </w:p>
    <w:p w14:paraId="6693A507">
      <w:pPr>
        <w:spacing w:line="480" w:lineRule="exact"/>
        <w:ind w:firstLine="422" w:firstLineChars="176"/>
        <w:jc w:val="left"/>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①</w:t>
      </w:r>
      <w:r>
        <w:rPr>
          <w:rFonts w:hint="default" w:ascii="Times New Roman" w:hAnsi="Times New Roman" w:eastAsia="宋体" w:cs="Times New Roman"/>
          <w:color w:val="000000" w:themeColor="text1"/>
          <w:sz w:val="24"/>
          <w:szCs w:val="24"/>
          <w:highlight w:val="none"/>
          <w14:textFill>
            <w14:solidFill>
              <w14:schemeClr w14:val="tx1"/>
            </w14:solidFill>
          </w14:textFill>
        </w:rPr>
        <w:t>本项目所有污染源的正常排放的污染物的P</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max</w:t>
      </w:r>
      <w:r>
        <w:rPr>
          <w:rFonts w:hint="default" w:ascii="Times New Roman" w:hAnsi="Times New Roman" w:eastAsia="宋体" w:cs="Times New Roman"/>
          <w:color w:val="000000" w:themeColor="text1"/>
          <w:sz w:val="24"/>
          <w:szCs w:val="24"/>
          <w:highlight w:val="none"/>
          <w14:textFill>
            <w14:solidFill>
              <w14:schemeClr w14:val="tx1"/>
            </w14:solidFill>
          </w14:textFill>
        </w:rPr>
        <w:t>和D</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10%</w:t>
      </w:r>
      <w:r>
        <w:rPr>
          <w:rFonts w:hint="default" w:ascii="Times New Roman" w:hAnsi="Times New Roman" w:eastAsia="宋体" w:cs="Times New Roman"/>
          <w:color w:val="000000" w:themeColor="text1"/>
          <w:sz w:val="24"/>
          <w:szCs w:val="24"/>
          <w:highlight w:val="none"/>
          <w14:textFill>
            <w14:solidFill>
              <w14:schemeClr w14:val="tx1"/>
            </w14:solidFill>
          </w14:textFill>
        </w:rPr>
        <w:t>预测结果如下：</w:t>
      </w:r>
    </w:p>
    <w:p w14:paraId="6E2AE5D2">
      <w:pPr>
        <w:pageBreakBefore w:val="0"/>
        <w:widowControl w:val="0"/>
        <w:numPr>
          <w:ilvl w:val="0"/>
          <w:numId w:val="12"/>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bCs/>
          <w:color w:val="000000" w:themeColor="text1"/>
          <w:sz w:val="24"/>
          <w:szCs w:val="24"/>
          <w:highlight w:val="none"/>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本项目</w:t>
      </w:r>
      <w:r>
        <w:rPr>
          <w:rFonts w:hint="default" w:ascii="Times New Roman" w:hAnsi="Times New Roman" w:eastAsia="宋体" w:cs="Times New Roman"/>
          <w:b/>
          <w:bCs/>
          <w:color w:val="000000" w:themeColor="text1"/>
          <w:sz w:val="24"/>
          <w:szCs w:val="24"/>
          <w:highlight w:val="none"/>
          <w14:textFill>
            <w14:solidFill>
              <w14:schemeClr w14:val="tx1"/>
            </w14:solidFill>
          </w14:textFill>
        </w:rPr>
        <w:t>Pmax和D10%预测和计算结果一览表</w:t>
      </w:r>
    </w:p>
    <w:tbl>
      <w:tblPr>
        <w:tblStyle w:val="47"/>
        <w:tblW w:w="4982" w:type="pct"/>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2088"/>
        <w:gridCol w:w="1178"/>
        <w:gridCol w:w="1923"/>
        <w:gridCol w:w="1532"/>
        <w:gridCol w:w="1356"/>
        <w:gridCol w:w="1178"/>
      </w:tblGrid>
      <w:tr w14:paraId="0448F60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397" w:hRule="atLeast"/>
        </w:trPr>
        <w:tc>
          <w:tcPr>
            <w:tcW w:w="1128" w:type="pct"/>
            <w:tcBorders>
              <w:top w:val="single" w:color="auto" w:sz="12" w:space="0"/>
              <w:left w:val="single" w:color="auto" w:sz="12" w:space="0"/>
              <w:bottom w:val="single" w:color="auto" w:sz="4" w:space="0"/>
              <w:right w:val="single" w:color="auto" w:sz="4" w:space="0"/>
            </w:tcBorders>
            <w:vAlign w:val="center"/>
          </w:tcPr>
          <w:p w14:paraId="04D8E91F">
            <w:pPr>
              <w:pStyle w:val="58"/>
              <w:bidi w:val="0"/>
              <w:rPr>
                <w:rFonts w:hint="default"/>
                <w:highlight w:val="none"/>
              </w:rPr>
            </w:pPr>
            <w:r>
              <w:rPr>
                <w:rFonts w:hint="default"/>
                <w:highlight w:val="none"/>
              </w:rPr>
              <w:t>污染源名称</w:t>
            </w:r>
          </w:p>
        </w:tc>
        <w:tc>
          <w:tcPr>
            <w:tcW w:w="636" w:type="pct"/>
            <w:tcBorders>
              <w:top w:val="single" w:color="auto" w:sz="12" w:space="0"/>
              <w:left w:val="single" w:color="auto" w:sz="4" w:space="0"/>
              <w:bottom w:val="single" w:color="auto" w:sz="4" w:space="0"/>
              <w:right w:val="single" w:color="auto" w:sz="4" w:space="0"/>
            </w:tcBorders>
            <w:vAlign w:val="center"/>
          </w:tcPr>
          <w:p w14:paraId="2475A3B1">
            <w:pPr>
              <w:pStyle w:val="58"/>
              <w:bidi w:val="0"/>
              <w:rPr>
                <w:rFonts w:hint="default"/>
                <w:highlight w:val="none"/>
              </w:rPr>
            </w:pPr>
            <w:r>
              <w:rPr>
                <w:rFonts w:hint="default"/>
                <w:highlight w:val="none"/>
              </w:rPr>
              <w:t>评价因子</w:t>
            </w:r>
          </w:p>
        </w:tc>
        <w:tc>
          <w:tcPr>
            <w:tcW w:w="1038" w:type="pct"/>
            <w:tcBorders>
              <w:top w:val="single" w:color="auto" w:sz="12" w:space="0"/>
              <w:left w:val="single" w:color="auto" w:sz="4" w:space="0"/>
              <w:bottom w:val="single" w:color="auto" w:sz="4" w:space="0"/>
              <w:right w:val="single" w:color="auto" w:sz="4" w:space="0"/>
            </w:tcBorders>
            <w:vAlign w:val="center"/>
          </w:tcPr>
          <w:p w14:paraId="65B7FE43">
            <w:pPr>
              <w:pStyle w:val="58"/>
              <w:bidi w:val="0"/>
              <w:rPr>
                <w:rFonts w:hint="default"/>
                <w:highlight w:val="none"/>
              </w:rPr>
            </w:pPr>
            <w:r>
              <w:rPr>
                <w:rFonts w:hint="default"/>
                <w:highlight w:val="none"/>
              </w:rPr>
              <w:t>评价标准(μg/m</w:t>
            </w:r>
            <w:r>
              <w:rPr>
                <w:rFonts w:hint="eastAsia"/>
                <w:highlight w:val="none"/>
                <w:vertAlign w:val="superscript"/>
                <w:lang w:val="en-US" w:eastAsia="zh-CN"/>
              </w:rPr>
              <w:t>3</w:t>
            </w:r>
            <w:r>
              <w:rPr>
                <w:rFonts w:hint="default"/>
                <w:highlight w:val="none"/>
              </w:rPr>
              <w:t>)</w:t>
            </w:r>
          </w:p>
        </w:tc>
        <w:tc>
          <w:tcPr>
            <w:tcW w:w="827" w:type="pct"/>
            <w:tcBorders>
              <w:top w:val="single" w:color="auto" w:sz="12" w:space="0"/>
              <w:left w:val="single" w:color="auto" w:sz="4" w:space="0"/>
              <w:bottom w:val="single" w:color="auto" w:sz="4" w:space="0"/>
              <w:right w:val="single" w:color="auto" w:sz="4" w:space="0"/>
            </w:tcBorders>
            <w:vAlign w:val="center"/>
          </w:tcPr>
          <w:p w14:paraId="5A4D29AB">
            <w:pPr>
              <w:pStyle w:val="58"/>
              <w:bidi w:val="0"/>
              <w:rPr>
                <w:rFonts w:hint="default"/>
                <w:highlight w:val="none"/>
              </w:rPr>
            </w:pPr>
            <w:r>
              <w:rPr>
                <w:rFonts w:hint="default"/>
                <w:highlight w:val="none"/>
              </w:rPr>
              <w:t>C</w:t>
            </w:r>
            <w:r>
              <w:rPr>
                <w:rFonts w:hint="default"/>
                <w:highlight w:val="none"/>
                <w:vertAlign w:val="subscript"/>
              </w:rPr>
              <w:t>max</w:t>
            </w:r>
            <w:r>
              <w:rPr>
                <w:rFonts w:hint="default"/>
                <w:highlight w:val="none"/>
              </w:rPr>
              <w:t>(μg/m</w:t>
            </w:r>
            <w:r>
              <w:rPr>
                <w:rFonts w:hint="eastAsia"/>
                <w:highlight w:val="none"/>
                <w:vertAlign w:val="superscript"/>
                <w:lang w:val="en-US" w:eastAsia="zh-CN"/>
              </w:rPr>
              <w:t>3</w:t>
            </w:r>
            <w:r>
              <w:rPr>
                <w:rFonts w:hint="default"/>
                <w:highlight w:val="none"/>
              </w:rPr>
              <w:t>)</w:t>
            </w:r>
          </w:p>
        </w:tc>
        <w:tc>
          <w:tcPr>
            <w:tcW w:w="732" w:type="pct"/>
            <w:tcBorders>
              <w:top w:val="single" w:color="auto" w:sz="12" w:space="0"/>
              <w:left w:val="single" w:color="auto" w:sz="4" w:space="0"/>
              <w:bottom w:val="single" w:color="auto" w:sz="4" w:space="0"/>
              <w:right w:val="single" w:color="auto" w:sz="4" w:space="0"/>
            </w:tcBorders>
            <w:vAlign w:val="center"/>
          </w:tcPr>
          <w:p w14:paraId="0D55E5E5">
            <w:pPr>
              <w:pStyle w:val="58"/>
              <w:bidi w:val="0"/>
              <w:rPr>
                <w:rFonts w:hint="default"/>
                <w:highlight w:val="none"/>
              </w:rPr>
            </w:pPr>
            <w:r>
              <w:rPr>
                <w:rFonts w:hint="default"/>
                <w:highlight w:val="none"/>
              </w:rPr>
              <w:t>P</w:t>
            </w:r>
            <w:r>
              <w:rPr>
                <w:rFonts w:hint="default"/>
                <w:highlight w:val="none"/>
                <w:vertAlign w:val="subscript"/>
              </w:rPr>
              <w:t>max</w:t>
            </w:r>
            <w:r>
              <w:rPr>
                <w:rFonts w:hint="default"/>
                <w:highlight w:val="none"/>
              </w:rPr>
              <w:t>(%)</w:t>
            </w:r>
          </w:p>
        </w:tc>
        <w:tc>
          <w:tcPr>
            <w:tcW w:w="636" w:type="pct"/>
            <w:tcBorders>
              <w:top w:val="single" w:color="auto" w:sz="12" w:space="0"/>
              <w:left w:val="single" w:color="auto" w:sz="4" w:space="0"/>
              <w:bottom w:val="single" w:color="auto" w:sz="4" w:space="0"/>
              <w:right w:val="single" w:color="auto" w:sz="12" w:space="0"/>
            </w:tcBorders>
            <w:vAlign w:val="center"/>
          </w:tcPr>
          <w:p w14:paraId="48DCEAB9">
            <w:pPr>
              <w:pStyle w:val="58"/>
              <w:bidi w:val="0"/>
              <w:rPr>
                <w:rFonts w:hint="default"/>
                <w:highlight w:val="none"/>
              </w:rPr>
            </w:pPr>
            <w:r>
              <w:rPr>
                <w:rFonts w:hint="default"/>
                <w:highlight w:val="none"/>
              </w:rPr>
              <w:t>D</w:t>
            </w:r>
            <w:r>
              <w:rPr>
                <w:rFonts w:hint="default"/>
                <w:highlight w:val="none"/>
                <w:vertAlign w:val="subscript"/>
              </w:rPr>
              <w:t>10%</w:t>
            </w:r>
            <w:r>
              <w:rPr>
                <w:rFonts w:hint="default"/>
                <w:highlight w:val="none"/>
              </w:rPr>
              <w:t>(m)</w:t>
            </w:r>
          </w:p>
        </w:tc>
      </w:tr>
      <w:tr w14:paraId="2845724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397" w:hRule="atLeast"/>
        </w:trPr>
        <w:tc>
          <w:tcPr>
            <w:tcW w:w="1128" w:type="pct"/>
            <w:vMerge w:val="restart"/>
            <w:tcBorders>
              <w:top w:val="single" w:color="auto" w:sz="4" w:space="0"/>
              <w:left w:val="single" w:color="auto" w:sz="12" w:space="0"/>
              <w:right w:val="single" w:color="auto" w:sz="4" w:space="0"/>
            </w:tcBorders>
            <w:vAlign w:val="center"/>
          </w:tcPr>
          <w:p w14:paraId="0DE485DA">
            <w:pPr>
              <w:pStyle w:val="58"/>
              <w:bidi w:val="0"/>
              <w:rPr>
                <w:rFonts w:hint="default"/>
                <w:highlight w:val="none"/>
              </w:rPr>
            </w:pPr>
            <w:bookmarkStart w:id="83" w:name="OLE_LINK45" w:colFirst="1" w:colLast="1"/>
            <w:r>
              <w:rPr>
                <w:rFonts w:hint="default"/>
                <w:highlight w:val="none"/>
              </w:rPr>
              <w:t>DA001</w:t>
            </w:r>
          </w:p>
        </w:tc>
        <w:tc>
          <w:tcPr>
            <w:tcW w:w="636" w:type="pct"/>
            <w:tcBorders>
              <w:top w:val="single" w:color="auto" w:sz="4" w:space="0"/>
              <w:left w:val="single" w:color="auto" w:sz="4" w:space="0"/>
              <w:bottom w:val="single" w:color="auto" w:sz="4" w:space="0"/>
              <w:right w:val="single" w:color="auto" w:sz="4" w:space="0"/>
            </w:tcBorders>
            <w:vAlign w:val="center"/>
          </w:tcPr>
          <w:p w14:paraId="40720D25">
            <w:pPr>
              <w:pStyle w:val="58"/>
              <w:bidi w:val="0"/>
              <w:rPr>
                <w:rFonts w:hint="default"/>
                <w:highlight w:val="none"/>
                <w:lang w:val="en-US" w:eastAsia="zh-CN"/>
              </w:rPr>
            </w:pPr>
            <w:r>
              <w:rPr>
                <w:rFonts w:hint="eastAsia"/>
                <w:highlight w:val="none"/>
                <w:lang w:val="en-US" w:eastAsia="zh-CN"/>
              </w:rPr>
              <w:t>NH</w:t>
            </w:r>
            <w:r>
              <w:rPr>
                <w:rFonts w:hint="eastAsia"/>
                <w:highlight w:val="none"/>
                <w:vertAlign w:val="subscript"/>
                <w:lang w:val="en-US" w:eastAsia="zh-CN"/>
              </w:rPr>
              <w:t>3</w:t>
            </w:r>
          </w:p>
        </w:tc>
        <w:tc>
          <w:tcPr>
            <w:tcW w:w="1038" w:type="pct"/>
            <w:tcBorders>
              <w:top w:val="single" w:color="auto" w:sz="4" w:space="0"/>
              <w:left w:val="single" w:color="auto" w:sz="4" w:space="0"/>
              <w:bottom w:val="single" w:color="auto" w:sz="4" w:space="0"/>
              <w:right w:val="single" w:color="auto" w:sz="4" w:space="0"/>
            </w:tcBorders>
            <w:vAlign w:val="center"/>
          </w:tcPr>
          <w:p w14:paraId="68C50C36">
            <w:pPr>
              <w:pStyle w:val="58"/>
              <w:bidi w:val="0"/>
              <w:rPr>
                <w:rFonts w:hint="default"/>
                <w:highlight w:val="none"/>
                <w:lang w:val="en-US" w:eastAsia="zh-CN"/>
              </w:rPr>
            </w:pPr>
            <w:r>
              <w:rPr>
                <w:rFonts w:hint="eastAsia"/>
                <w:highlight w:val="none"/>
              </w:rPr>
              <w:t>200.0</w:t>
            </w:r>
          </w:p>
        </w:tc>
        <w:tc>
          <w:tcPr>
            <w:tcW w:w="1532" w:type="dxa"/>
            <w:tcBorders>
              <w:top w:val="single" w:color="auto" w:sz="4" w:space="0"/>
              <w:left w:val="single" w:color="auto" w:sz="4" w:space="0"/>
              <w:bottom w:val="single" w:color="auto" w:sz="4" w:space="0"/>
              <w:right w:val="single" w:color="auto" w:sz="4" w:space="0"/>
            </w:tcBorders>
            <w:vAlign w:val="center"/>
          </w:tcPr>
          <w:p w14:paraId="4303E71B">
            <w:pPr>
              <w:pStyle w:val="58"/>
              <w:bidi w:val="0"/>
              <w:rPr>
                <w:rFonts w:hint="default" w:ascii="Times New Roman" w:hAnsi="Times New Roman" w:cs="Times New Roman"/>
                <w:highlight w:val="none"/>
                <w:lang w:val="en-US" w:eastAsia="zh-CN"/>
              </w:rPr>
            </w:pPr>
            <w:r>
              <w:rPr>
                <w:rFonts w:hint="eastAsia" w:ascii="Times New Roman" w:hAnsi="Times New Roman" w:cs="Times New Roman"/>
                <w:highlight w:val="none"/>
              </w:rPr>
              <w:t>1.5089</w:t>
            </w:r>
          </w:p>
        </w:tc>
        <w:tc>
          <w:tcPr>
            <w:tcW w:w="1356" w:type="dxa"/>
            <w:tcBorders>
              <w:top w:val="single" w:color="auto" w:sz="4" w:space="0"/>
              <w:left w:val="single" w:color="auto" w:sz="4" w:space="0"/>
              <w:bottom w:val="single" w:color="auto" w:sz="4" w:space="0"/>
              <w:right w:val="single" w:color="auto" w:sz="4" w:space="0"/>
            </w:tcBorders>
            <w:vAlign w:val="center"/>
          </w:tcPr>
          <w:p w14:paraId="6376861B">
            <w:pPr>
              <w:pStyle w:val="58"/>
              <w:bidi w:val="0"/>
              <w:rPr>
                <w:rFonts w:hint="default" w:ascii="Times New Roman" w:hAnsi="Times New Roman" w:cs="Times New Roman"/>
                <w:highlight w:val="none"/>
                <w:lang w:val="en-US" w:eastAsia="zh-CN"/>
              </w:rPr>
            </w:pPr>
            <w:r>
              <w:rPr>
                <w:rFonts w:hint="eastAsia" w:ascii="Times New Roman" w:hAnsi="Times New Roman" w:cs="Times New Roman"/>
                <w:highlight w:val="none"/>
              </w:rPr>
              <w:t>0.7544</w:t>
            </w:r>
          </w:p>
        </w:tc>
        <w:tc>
          <w:tcPr>
            <w:tcW w:w="636" w:type="pct"/>
            <w:tcBorders>
              <w:top w:val="single" w:color="auto" w:sz="4" w:space="0"/>
              <w:left w:val="single" w:color="auto" w:sz="4" w:space="0"/>
              <w:bottom w:val="single" w:color="auto" w:sz="4" w:space="0"/>
              <w:right w:val="single" w:color="auto" w:sz="12" w:space="0"/>
            </w:tcBorders>
            <w:vAlign w:val="center"/>
          </w:tcPr>
          <w:p w14:paraId="45764386">
            <w:pPr>
              <w:pStyle w:val="58"/>
              <w:bidi w:val="0"/>
              <w:rPr>
                <w:rFonts w:hint="default"/>
                <w:highlight w:val="none"/>
              </w:rPr>
            </w:pPr>
            <w:r>
              <w:rPr>
                <w:rFonts w:hint="default"/>
                <w:highlight w:val="none"/>
              </w:rPr>
              <w:t>/</w:t>
            </w:r>
          </w:p>
        </w:tc>
      </w:tr>
      <w:tr w14:paraId="68A2966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397" w:hRule="atLeast"/>
        </w:trPr>
        <w:tc>
          <w:tcPr>
            <w:tcW w:w="1128" w:type="pct"/>
            <w:vMerge w:val="continue"/>
            <w:tcBorders>
              <w:left w:val="single" w:color="auto" w:sz="12" w:space="0"/>
              <w:right w:val="single" w:color="auto" w:sz="4" w:space="0"/>
            </w:tcBorders>
            <w:vAlign w:val="center"/>
          </w:tcPr>
          <w:p w14:paraId="7200436B">
            <w:pPr>
              <w:pStyle w:val="58"/>
              <w:bidi w:val="0"/>
              <w:rPr>
                <w:rFonts w:hint="default"/>
                <w:highlight w:val="none"/>
              </w:rPr>
            </w:pPr>
          </w:p>
        </w:tc>
        <w:tc>
          <w:tcPr>
            <w:tcW w:w="636" w:type="pct"/>
            <w:tcBorders>
              <w:top w:val="single" w:color="auto" w:sz="4" w:space="0"/>
              <w:left w:val="single" w:color="auto" w:sz="4" w:space="0"/>
              <w:bottom w:val="single" w:color="auto" w:sz="4" w:space="0"/>
              <w:right w:val="single" w:color="auto" w:sz="4" w:space="0"/>
            </w:tcBorders>
            <w:vAlign w:val="center"/>
          </w:tcPr>
          <w:p w14:paraId="25B42C09">
            <w:pPr>
              <w:pStyle w:val="58"/>
              <w:bidi w:val="0"/>
              <w:rPr>
                <w:rFonts w:hint="default"/>
                <w:highlight w:val="none"/>
              </w:rPr>
            </w:pPr>
            <w:r>
              <w:rPr>
                <w:rFonts w:hint="eastAsia"/>
                <w:highlight w:val="none"/>
                <w:lang w:val="en-US" w:eastAsia="zh-CN"/>
              </w:rPr>
              <w:t>H</w:t>
            </w:r>
            <w:r>
              <w:rPr>
                <w:rFonts w:hint="eastAsia"/>
                <w:highlight w:val="none"/>
                <w:vertAlign w:val="subscript"/>
                <w:lang w:val="en-US" w:eastAsia="zh-CN"/>
              </w:rPr>
              <w:t>2</w:t>
            </w:r>
            <w:r>
              <w:rPr>
                <w:rFonts w:hint="eastAsia"/>
                <w:highlight w:val="none"/>
                <w:lang w:val="en-US" w:eastAsia="zh-CN"/>
              </w:rPr>
              <w:t>S</w:t>
            </w:r>
          </w:p>
        </w:tc>
        <w:tc>
          <w:tcPr>
            <w:tcW w:w="1038" w:type="pct"/>
            <w:tcBorders>
              <w:top w:val="single" w:color="auto" w:sz="4" w:space="0"/>
              <w:left w:val="single" w:color="auto" w:sz="4" w:space="0"/>
              <w:bottom w:val="single" w:color="auto" w:sz="4" w:space="0"/>
              <w:right w:val="single" w:color="auto" w:sz="4" w:space="0"/>
            </w:tcBorders>
            <w:vAlign w:val="center"/>
          </w:tcPr>
          <w:p w14:paraId="2729150B">
            <w:pPr>
              <w:pStyle w:val="58"/>
              <w:bidi w:val="0"/>
              <w:rPr>
                <w:rFonts w:hint="default"/>
                <w:highlight w:val="none"/>
                <w:lang w:val="en-US" w:eastAsia="zh-CN"/>
              </w:rPr>
            </w:pPr>
            <w:r>
              <w:rPr>
                <w:rFonts w:hint="eastAsia"/>
                <w:highlight w:val="none"/>
              </w:rPr>
              <w:t>10.0</w:t>
            </w:r>
          </w:p>
        </w:tc>
        <w:tc>
          <w:tcPr>
            <w:tcW w:w="1532" w:type="dxa"/>
            <w:tcBorders>
              <w:top w:val="single" w:color="auto" w:sz="4" w:space="0"/>
              <w:left w:val="single" w:color="auto" w:sz="4" w:space="0"/>
              <w:bottom w:val="single" w:color="auto" w:sz="4" w:space="0"/>
              <w:right w:val="single" w:color="auto" w:sz="4" w:space="0"/>
            </w:tcBorders>
            <w:vAlign w:val="center"/>
          </w:tcPr>
          <w:p w14:paraId="38F5D353">
            <w:pPr>
              <w:pStyle w:val="58"/>
              <w:bidi w:val="0"/>
              <w:rPr>
                <w:rFonts w:hint="default" w:ascii="Times New Roman" w:hAnsi="Times New Roman" w:cs="Times New Roman"/>
                <w:highlight w:val="none"/>
                <w:lang w:val="en-US" w:eastAsia="zh-CN"/>
              </w:rPr>
            </w:pPr>
            <w:r>
              <w:rPr>
                <w:rFonts w:hint="eastAsia" w:ascii="Times New Roman" w:hAnsi="Times New Roman" w:cs="Times New Roman"/>
                <w:highlight w:val="none"/>
              </w:rPr>
              <w:t>0.0286</w:t>
            </w:r>
          </w:p>
        </w:tc>
        <w:tc>
          <w:tcPr>
            <w:tcW w:w="1356" w:type="dxa"/>
            <w:tcBorders>
              <w:top w:val="single" w:color="auto" w:sz="4" w:space="0"/>
              <w:left w:val="single" w:color="auto" w:sz="4" w:space="0"/>
              <w:bottom w:val="single" w:color="auto" w:sz="4" w:space="0"/>
              <w:right w:val="single" w:color="auto" w:sz="4" w:space="0"/>
            </w:tcBorders>
            <w:vAlign w:val="center"/>
          </w:tcPr>
          <w:p w14:paraId="0CC07D46">
            <w:pPr>
              <w:pStyle w:val="58"/>
              <w:bidi w:val="0"/>
              <w:rPr>
                <w:rFonts w:hint="default" w:ascii="Times New Roman" w:hAnsi="Times New Roman" w:cs="Times New Roman"/>
                <w:highlight w:val="none"/>
                <w:lang w:val="en-US" w:eastAsia="zh-CN"/>
              </w:rPr>
            </w:pPr>
            <w:r>
              <w:rPr>
                <w:rFonts w:hint="eastAsia" w:ascii="Times New Roman" w:hAnsi="Times New Roman" w:cs="Times New Roman"/>
                <w:highlight w:val="none"/>
              </w:rPr>
              <w:t>0.2865</w:t>
            </w:r>
          </w:p>
        </w:tc>
        <w:tc>
          <w:tcPr>
            <w:tcW w:w="636" w:type="pct"/>
            <w:tcBorders>
              <w:top w:val="single" w:color="auto" w:sz="4" w:space="0"/>
              <w:left w:val="single" w:color="auto" w:sz="4" w:space="0"/>
              <w:bottom w:val="single" w:color="auto" w:sz="4" w:space="0"/>
              <w:right w:val="single" w:color="auto" w:sz="12" w:space="0"/>
            </w:tcBorders>
            <w:vAlign w:val="center"/>
          </w:tcPr>
          <w:p w14:paraId="6D982413">
            <w:pPr>
              <w:pStyle w:val="58"/>
              <w:bidi w:val="0"/>
              <w:rPr>
                <w:rFonts w:hint="default"/>
                <w:highlight w:val="none"/>
              </w:rPr>
            </w:pPr>
            <w:r>
              <w:rPr>
                <w:rFonts w:hint="default"/>
                <w:highlight w:val="none"/>
              </w:rPr>
              <w:t>/</w:t>
            </w:r>
          </w:p>
        </w:tc>
      </w:tr>
      <w:bookmarkEnd w:id="83"/>
      <w:tr w14:paraId="19CDA21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397" w:hRule="atLeast"/>
        </w:trPr>
        <w:tc>
          <w:tcPr>
            <w:tcW w:w="1128" w:type="pct"/>
            <w:vMerge w:val="restart"/>
            <w:tcBorders>
              <w:left w:val="single" w:color="auto" w:sz="12" w:space="0"/>
              <w:right w:val="single" w:color="auto" w:sz="4" w:space="0"/>
            </w:tcBorders>
            <w:vAlign w:val="center"/>
          </w:tcPr>
          <w:p w14:paraId="76A0F5FB">
            <w:pPr>
              <w:pStyle w:val="58"/>
              <w:bidi w:val="0"/>
              <w:rPr>
                <w:rFonts w:hint="default"/>
                <w:highlight w:val="none"/>
                <w:lang w:val="en-US" w:eastAsia="zh-CN"/>
              </w:rPr>
            </w:pPr>
            <w:r>
              <w:rPr>
                <w:rFonts w:hint="default"/>
                <w:highlight w:val="none"/>
                <w:lang w:val="en-US" w:eastAsia="zh-CN"/>
              </w:rPr>
              <w:t>矩形面源</w:t>
            </w:r>
          </w:p>
        </w:tc>
        <w:tc>
          <w:tcPr>
            <w:tcW w:w="636" w:type="pct"/>
            <w:tcBorders>
              <w:top w:val="single" w:color="auto" w:sz="4" w:space="0"/>
              <w:left w:val="single" w:color="auto" w:sz="4" w:space="0"/>
              <w:bottom w:val="single" w:color="auto" w:sz="4" w:space="0"/>
              <w:right w:val="single" w:color="auto" w:sz="4" w:space="0"/>
            </w:tcBorders>
            <w:vAlign w:val="center"/>
          </w:tcPr>
          <w:p w14:paraId="5199F5FC">
            <w:pPr>
              <w:pStyle w:val="58"/>
              <w:bidi w:val="0"/>
              <w:rPr>
                <w:rFonts w:hint="eastAsia"/>
                <w:highlight w:val="none"/>
                <w:lang w:val="en-US" w:eastAsia="zh-CN"/>
              </w:rPr>
            </w:pPr>
            <w:r>
              <w:rPr>
                <w:rFonts w:hint="eastAsia"/>
                <w:highlight w:val="none"/>
              </w:rPr>
              <w:t>NH</w:t>
            </w:r>
            <w:r>
              <w:rPr>
                <w:rFonts w:hint="eastAsia"/>
                <w:highlight w:val="none"/>
                <w:vertAlign w:val="subscript"/>
              </w:rPr>
              <w:t>3</w:t>
            </w:r>
          </w:p>
        </w:tc>
        <w:tc>
          <w:tcPr>
            <w:tcW w:w="1038" w:type="pct"/>
            <w:tcBorders>
              <w:top w:val="single" w:color="auto" w:sz="4" w:space="0"/>
              <w:left w:val="single" w:color="auto" w:sz="4" w:space="0"/>
              <w:bottom w:val="single" w:color="auto" w:sz="4" w:space="0"/>
              <w:right w:val="single" w:color="auto" w:sz="4" w:space="0"/>
            </w:tcBorders>
            <w:vAlign w:val="center"/>
          </w:tcPr>
          <w:p w14:paraId="6260A530">
            <w:pPr>
              <w:pStyle w:val="58"/>
              <w:bidi w:val="0"/>
              <w:rPr>
                <w:rFonts w:hint="default"/>
                <w:highlight w:val="none"/>
                <w:lang w:val="en-US" w:eastAsia="zh-CN"/>
              </w:rPr>
            </w:pPr>
            <w:r>
              <w:rPr>
                <w:rFonts w:hint="eastAsia"/>
                <w:highlight w:val="none"/>
              </w:rPr>
              <w:t>200.0</w:t>
            </w:r>
          </w:p>
        </w:tc>
        <w:tc>
          <w:tcPr>
            <w:tcW w:w="827" w:type="pct"/>
            <w:tcBorders>
              <w:top w:val="single" w:color="auto" w:sz="4" w:space="0"/>
              <w:left w:val="single" w:color="auto" w:sz="4" w:space="0"/>
              <w:bottom w:val="single" w:color="auto" w:sz="4" w:space="0"/>
              <w:right w:val="single" w:color="auto" w:sz="4" w:space="0"/>
            </w:tcBorders>
            <w:vAlign w:val="center"/>
          </w:tcPr>
          <w:p w14:paraId="35A09F60">
            <w:pPr>
              <w:pStyle w:val="58"/>
              <w:bidi w:val="0"/>
              <w:rPr>
                <w:rFonts w:hint="default"/>
                <w:highlight w:val="none"/>
              </w:rPr>
            </w:pPr>
            <w:r>
              <w:rPr>
                <w:rFonts w:hint="eastAsia"/>
                <w:highlight w:val="none"/>
              </w:rPr>
              <w:t>10.4380</w:t>
            </w:r>
          </w:p>
        </w:tc>
        <w:tc>
          <w:tcPr>
            <w:tcW w:w="732" w:type="pct"/>
            <w:tcBorders>
              <w:top w:val="single" w:color="auto" w:sz="4" w:space="0"/>
              <w:left w:val="single" w:color="auto" w:sz="4" w:space="0"/>
              <w:bottom w:val="single" w:color="auto" w:sz="4" w:space="0"/>
              <w:right w:val="single" w:color="auto" w:sz="4" w:space="0"/>
            </w:tcBorders>
            <w:vAlign w:val="center"/>
          </w:tcPr>
          <w:p w14:paraId="69AC377D">
            <w:pPr>
              <w:pStyle w:val="58"/>
              <w:bidi w:val="0"/>
              <w:rPr>
                <w:rFonts w:hint="default"/>
                <w:highlight w:val="none"/>
              </w:rPr>
            </w:pPr>
            <w:r>
              <w:rPr>
                <w:rFonts w:hint="eastAsia"/>
                <w:highlight w:val="none"/>
              </w:rPr>
              <w:t>5.2190</w:t>
            </w:r>
          </w:p>
        </w:tc>
        <w:tc>
          <w:tcPr>
            <w:tcW w:w="636" w:type="pct"/>
            <w:tcBorders>
              <w:top w:val="single" w:color="auto" w:sz="4" w:space="0"/>
              <w:left w:val="single" w:color="auto" w:sz="4" w:space="0"/>
              <w:bottom w:val="single" w:color="auto" w:sz="4" w:space="0"/>
              <w:right w:val="single" w:color="auto" w:sz="12" w:space="0"/>
            </w:tcBorders>
            <w:vAlign w:val="center"/>
          </w:tcPr>
          <w:p w14:paraId="6BF379E6">
            <w:pPr>
              <w:pStyle w:val="58"/>
              <w:bidi w:val="0"/>
              <w:rPr>
                <w:rFonts w:hint="default"/>
                <w:highlight w:val="none"/>
              </w:rPr>
            </w:pPr>
            <w:r>
              <w:rPr>
                <w:rFonts w:hint="eastAsia"/>
                <w:highlight w:val="none"/>
              </w:rPr>
              <w:t>/</w:t>
            </w:r>
          </w:p>
        </w:tc>
      </w:tr>
      <w:tr w14:paraId="280079C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397" w:hRule="atLeast"/>
        </w:trPr>
        <w:tc>
          <w:tcPr>
            <w:tcW w:w="1128" w:type="pct"/>
            <w:vMerge w:val="continue"/>
            <w:tcBorders>
              <w:left w:val="single" w:color="auto" w:sz="12" w:space="0"/>
              <w:bottom w:val="single" w:color="auto" w:sz="12" w:space="0"/>
              <w:right w:val="single" w:color="auto" w:sz="4" w:space="0"/>
            </w:tcBorders>
            <w:vAlign w:val="center"/>
          </w:tcPr>
          <w:p w14:paraId="149E55DC">
            <w:pPr>
              <w:pStyle w:val="58"/>
              <w:bidi w:val="0"/>
              <w:rPr>
                <w:rFonts w:hint="default"/>
                <w:highlight w:val="none"/>
                <w:lang w:val="en-US" w:eastAsia="zh-CN"/>
              </w:rPr>
            </w:pPr>
          </w:p>
        </w:tc>
        <w:tc>
          <w:tcPr>
            <w:tcW w:w="636" w:type="pct"/>
            <w:tcBorders>
              <w:top w:val="single" w:color="auto" w:sz="4" w:space="0"/>
              <w:left w:val="single" w:color="auto" w:sz="4" w:space="0"/>
              <w:bottom w:val="single" w:color="auto" w:sz="12" w:space="0"/>
              <w:right w:val="single" w:color="auto" w:sz="4" w:space="0"/>
            </w:tcBorders>
            <w:vAlign w:val="center"/>
          </w:tcPr>
          <w:p w14:paraId="1C7F4EC8">
            <w:pPr>
              <w:pStyle w:val="58"/>
              <w:bidi w:val="0"/>
              <w:rPr>
                <w:rFonts w:hint="eastAsia"/>
                <w:highlight w:val="none"/>
                <w:lang w:val="en-US" w:eastAsia="zh-CN"/>
              </w:rPr>
            </w:pPr>
            <w:r>
              <w:rPr>
                <w:rFonts w:hint="eastAsia"/>
                <w:highlight w:val="none"/>
              </w:rPr>
              <w:t>H</w:t>
            </w:r>
            <w:r>
              <w:rPr>
                <w:rFonts w:hint="eastAsia"/>
                <w:highlight w:val="none"/>
                <w:vertAlign w:val="subscript"/>
              </w:rPr>
              <w:t>2</w:t>
            </w:r>
            <w:r>
              <w:rPr>
                <w:rFonts w:hint="eastAsia"/>
                <w:highlight w:val="none"/>
              </w:rPr>
              <w:t>S</w:t>
            </w:r>
          </w:p>
        </w:tc>
        <w:tc>
          <w:tcPr>
            <w:tcW w:w="1038" w:type="pct"/>
            <w:tcBorders>
              <w:top w:val="single" w:color="auto" w:sz="4" w:space="0"/>
              <w:left w:val="single" w:color="auto" w:sz="4" w:space="0"/>
              <w:bottom w:val="single" w:color="auto" w:sz="12" w:space="0"/>
              <w:right w:val="single" w:color="auto" w:sz="4" w:space="0"/>
            </w:tcBorders>
            <w:vAlign w:val="center"/>
          </w:tcPr>
          <w:p w14:paraId="032EAA65">
            <w:pPr>
              <w:pStyle w:val="58"/>
              <w:bidi w:val="0"/>
              <w:rPr>
                <w:rFonts w:hint="default"/>
                <w:highlight w:val="none"/>
                <w:lang w:val="en-US" w:eastAsia="zh-CN"/>
              </w:rPr>
            </w:pPr>
            <w:r>
              <w:rPr>
                <w:rFonts w:hint="eastAsia"/>
                <w:highlight w:val="none"/>
              </w:rPr>
              <w:t>10.0</w:t>
            </w:r>
          </w:p>
        </w:tc>
        <w:tc>
          <w:tcPr>
            <w:tcW w:w="827" w:type="pct"/>
            <w:tcBorders>
              <w:top w:val="single" w:color="auto" w:sz="4" w:space="0"/>
              <w:left w:val="single" w:color="auto" w:sz="4" w:space="0"/>
              <w:bottom w:val="single" w:color="auto" w:sz="12" w:space="0"/>
              <w:right w:val="single" w:color="auto" w:sz="4" w:space="0"/>
            </w:tcBorders>
            <w:vAlign w:val="center"/>
          </w:tcPr>
          <w:p w14:paraId="0E9C1A1C">
            <w:pPr>
              <w:pStyle w:val="58"/>
              <w:bidi w:val="0"/>
              <w:rPr>
                <w:rFonts w:hint="default"/>
                <w:highlight w:val="none"/>
              </w:rPr>
            </w:pPr>
            <w:r>
              <w:rPr>
                <w:rFonts w:hint="eastAsia"/>
                <w:highlight w:val="none"/>
              </w:rPr>
              <w:t>0.1898</w:t>
            </w:r>
          </w:p>
        </w:tc>
        <w:tc>
          <w:tcPr>
            <w:tcW w:w="732" w:type="pct"/>
            <w:tcBorders>
              <w:top w:val="single" w:color="auto" w:sz="4" w:space="0"/>
              <w:left w:val="single" w:color="auto" w:sz="4" w:space="0"/>
              <w:bottom w:val="single" w:color="auto" w:sz="12" w:space="0"/>
              <w:right w:val="single" w:color="auto" w:sz="4" w:space="0"/>
            </w:tcBorders>
            <w:vAlign w:val="center"/>
          </w:tcPr>
          <w:p w14:paraId="0B7AAAC3">
            <w:pPr>
              <w:pStyle w:val="58"/>
              <w:bidi w:val="0"/>
              <w:rPr>
                <w:rFonts w:hint="default"/>
                <w:highlight w:val="none"/>
              </w:rPr>
            </w:pPr>
            <w:r>
              <w:rPr>
                <w:rFonts w:hint="eastAsia"/>
                <w:highlight w:val="none"/>
              </w:rPr>
              <w:t>1.8978</w:t>
            </w:r>
          </w:p>
        </w:tc>
        <w:tc>
          <w:tcPr>
            <w:tcW w:w="636" w:type="pct"/>
            <w:tcBorders>
              <w:top w:val="single" w:color="auto" w:sz="4" w:space="0"/>
              <w:left w:val="single" w:color="auto" w:sz="4" w:space="0"/>
              <w:bottom w:val="single" w:color="auto" w:sz="12" w:space="0"/>
              <w:right w:val="single" w:color="auto" w:sz="12" w:space="0"/>
            </w:tcBorders>
            <w:vAlign w:val="center"/>
          </w:tcPr>
          <w:p w14:paraId="648D3082">
            <w:pPr>
              <w:pStyle w:val="58"/>
              <w:bidi w:val="0"/>
              <w:rPr>
                <w:rFonts w:hint="default"/>
                <w:highlight w:val="none"/>
              </w:rPr>
            </w:pPr>
            <w:r>
              <w:rPr>
                <w:rFonts w:hint="eastAsia"/>
                <w:highlight w:val="none"/>
              </w:rPr>
              <w:t>/</w:t>
            </w:r>
          </w:p>
        </w:tc>
      </w:tr>
    </w:tbl>
    <w:p w14:paraId="7AEC0FAA">
      <w:pPr>
        <w:keepNext w:val="0"/>
        <w:keepLines w:val="0"/>
        <w:pageBreakBefore w:val="0"/>
        <w:widowControl w:val="0"/>
        <w:numPr>
          <w:ilvl w:val="0"/>
          <w:numId w:val="0"/>
        </w:numPr>
        <w:kinsoku/>
        <w:wordWrap/>
        <w:overflowPunct/>
        <w:topLinePunct w:val="0"/>
        <w:autoSpaceDE/>
        <w:autoSpaceDN/>
        <w:bidi w:val="0"/>
        <w:adjustRightInd/>
        <w:snapToGrid/>
        <w:spacing w:line="420" w:lineRule="exact"/>
        <w:ind w:firstLine="480" w:firstLineChars="200"/>
        <w:jc w:val="both"/>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②</w:t>
      </w:r>
      <w:r>
        <w:rPr>
          <w:rFonts w:hint="default" w:ascii="Times New Roman" w:hAnsi="Times New Roman" w:eastAsia="宋体" w:cs="Times New Roman"/>
          <w:color w:val="000000" w:themeColor="text1"/>
          <w:sz w:val="24"/>
          <w:szCs w:val="24"/>
          <w:highlight w:val="none"/>
          <w14:textFill>
            <w14:solidFill>
              <w14:schemeClr w14:val="tx1"/>
            </w14:solidFill>
          </w14:textFill>
        </w:rPr>
        <w:t>本项目污染源的正常排放的污染物的P</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max</w:t>
      </w:r>
      <w:r>
        <w:rPr>
          <w:rFonts w:hint="default" w:ascii="Times New Roman" w:hAnsi="Times New Roman" w:eastAsia="宋体" w:cs="Times New Roman"/>
          <w:color w:val="000000" w:themeColor="text1"/>
          <w:sz w:val="24"/>
          <w:szCs w:val="24"/>
          <w:highlight w:val="none"/>
          <w14:textFill>
            <w14:solidFill>
              <w14:schemeClr w14:val="tx1"/>
            </w14:solidFill>
          </w14:textFill>
        </w:rPr>
        <w:t>和D</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10%</w:t>
      </w:r>
      <w:r>
        <w:rPr>
          <w:rFonts w:hint="default" w:ascii="Times New Roman" w:hAnsi="Times New Roman" w:eastAsia="宋体" w:cs="Times New Roman"/>
          <w:color w:val="000000" w:themeColor="text1"/>
          <w:sz w:val="24"/>
          <w:szCs w:val="24"/>
          <w:highlight w:val="none"/>
          <w14:textFill>
            <w14:solidFill>
              <w14:schemeClr w14:val="tx1"/>
            </w14:solidFill>
          </w14:textFill>
        </w:rPr>
        <w:t>预测</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图</w:t>
      </w:r>
    </w:p>
    <w:p w14:paraId="5A9F04B8">
      <w:pPr>
        <w:keepNext w:val="0"/>
        <w:keepLines w:val="0"/>
        <w:pageBreakBefore w:val="0"/>
        <w:kinsoku/>
        <w:wordWrap/>
        <w:overflowPunct/>
        <w:topLinePunct w:val="0"/>
        <w:autoSpaceDE/>
        <w:autoSpaceDN/>
        <w:bidi w:val="0"/>
        <w:adjustRightInd/>
        <w:spacing w:line="480" w:lineRule="exact"/>
        <w:ind w:firstLine="422" w:firstLineChars="176"/>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本</w:t>
      </w:r>
      <w:r>
        <w:rPr>
          <w:rFonts w:hint="default" w:ascii="Times New Roman" w:hAnsi="Times New Roman" w:eastAsia="宋体" w:cs="Times New Roman"/>
          <w:b w:val="0"/>
          <w:color w:val="000000" w:themeColor="text1"/>
          <w:sz w:val="24"/>
          <w:szCs w:val="24"/>
          <w:highlight w:val="none"/>
          <w:lang w:eastAsia="zh-CN"/>
          <w14:textFill>
            <w14:solidFill>
              <w14:schemeClr w14:val="tx1"/>
            </w14:solidFill>
          </w14:textFill>
        </w:rPr>
        <w:t>项目</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污染源正常排放的污染物的</w:t>
      </w:r>
      <w:r>
        <w:rPr>
          <w:rFonts w:hint="default" w:ascii="Times New Roman" w:hAnsi="Times New Roman" w:eastAsia="宋体" w:cs="Times New Roman"/>
          <w:color w:val="000000" w:themeColor="text1"/>
          <w:sz w:val="24"/>
          <w:szCs w:val="24"/>
          <w:highlight w:val="none"/>
          <w14:textFill>
            <w14:solidFill>
              <w14:schemeClr w14:val="tx1"/>
            </w14:solidFill>
          </w14:textFill>
        </w:rPr>
        <w:t>P</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max</w:t>
      </w:r>
      <w:r>
        <w:rPr>
          <w:rFonts w:hint="default" w:ascii="Times New Roman" w:hAnsi="Times New Roman" w:eastAsia="宋体" w:cs="Times New Roman"/>
          <w:color w:val="000000" w:themeColor="text1"/>
          <w:sz w:val="24"/>
          <w:szCs w:val="24"/>
          <w:highlight w:val="none"/>
          <w14:textFill>
            <w14:solidFill>
              <w14:schemeClr w14:val="tx1"/>
            </w14:solidFill>
          </w14:textFill>
        </w:rPr>
        <w:t>和D</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10%</w:t>
      </w:r>
      <w:r>
        <w:rPr>
          <w:rFonts w:hint="default" w:ascii="Times New Roman" w:hAnsi="Times New Roman" w:eastAsia="宋体" w:cs="Times New Roman"/>
          <w:color w:val="000000" w:themeColor="text1"/>
          <w:sz w:val="24"/>
          <w:szCs w:val="24"/>
          <w:highlight w:val="none"/>
          <w14:textFill>
            <w14:solidFill>
              <w14:schemeClr w14:val="tx1"/>
            </w14:solidFill>
          </w14:textFill>
        </w:rPr>
        <w:t>预测</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图见</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下</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图</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w:t>
      </w:r>
    </w:p>
    <w:p w14:paraId="0E93A2D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drawing>
          <wp:inline distT="0" distB="0" distL="114300" distR="114300">
            <wp:extent cx="5332730" cy="2580640"/>
            <wp:effectExtent l="0" t="0" r="1270" b="0"/>
            <wp:docPr id="5" name="图片 5" descr="折线图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折线图 (3)"/>
                    <pic:cNvPicPr>
                      <a:picLocks noChangeAspect="1"/>
                    </pic:cNvPicPr>
                  </pic:nvPicPr>
                  <pic:blipFill>
                    <a:blip r:embed="rId32"/>
                    <a:srcRect l="2157" r="6139"/>
                    <a:stretch>
                      <a:fillRect/>
                    </a:stretch>
                  </pic:blipFill>
                  <pic:spPr>
                    <a:xfrm>
                      <a:off x="0" y="0"/>
                      <a:ext cx="5332730" cy="2580640"/>
                    </a:xfrm>
                    <a:prstGeom prst="rect">
                      <a:avLst/>
                    </a:prstGeom>
                  </pic:spPr>
                </pic:pic>
              </a:graphicData>
            </a:graphic>
          </wp:inline>
        </w:drawing>
      </w:r>
    </w:p>
    <w:p w14:paraId="5DCE9ECA">
      <w:pPr>
        <w:spacing w:line="480" w:lineRule="exact"/>
        <w:jc w:val="cente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eastAsia="zh-CN"/>
          <w14:textFill>
            <w14:solidFill>
              <w14:schemeClr w14:val="tx1"/>
            </w14:solidFill>
          </w14:textFill>
        </w:rPr>
        <w:t>图</w:t>
      </w: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2.5-2预测结果折线图</w:t>
      </w:r>
    </w:p>
    <w:p w14:paraId="4DB9A140">
      <w:pPr>
        <w:spacing w:line="480" w:lineRule="exact"/>
        <w:ind w:firstLine="480" w:firstLineChars="200"/>
        <w:jc w:val="both"/>
        <w:rPr>
          <w:rFonts w:hint="default" w:ascii="Times New Roman" w:hAnsi="Times New Roman" w:eastAsia="宋体" w:cs="Times New Roman"/>
          <w:color w:val="000000" w:themeColor="text1"/>
          <w:sz w:val="24"/>
          <w:szCs w:val="24"/>
          <w:highlight w:val="magenta"/>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本项目P</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max</w:t>
      </w:r>
      <w:r>
        <w:rPr>
          <w:rFonts w:hint="default" w:ascii="Times New Roman" w:hAnsi="Times New Roman" w:eastAsia="宋体" w:cs="Times New Roman"/>
          <w:color w:val="000000" w:themeColor="text1"/>
          <w:sz w:val="24"/>
          <w:szCs w:val="24"/>
          <w:highlight w:val="none"/>
          <w14:textFill>
            <w14:solidFill>
              <w14:schemeClr w14:val="tx1"/>
            </w14:solidFill>
          </w14:textFill>
        </w:rPr>
        <w:t>最大值出现为矩形面源排放的NH</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3</w:t>
      </w:r>
      <w:r>
        <w:rPr>
          <w:rFonts w:hint="eastAsia" w:cs="Times New Roman"/>
          <w:color w:val="000000" w:themeColor="text1"/>
          <w:sz w:val="24"/>
          <w:szCs w:val="24"/>
          <w:highlight w:val="none"/>
          <w:vertAlign w:val="subscript"/>
          <w:lang w:val="en-US" w:eastAsia="zh-CN"/>
          <w14:textFill>
            <w14:solidFill>
              <w14:schemeClr w14:val="tx1"/>
            </w14:solidFill>
          </w14:textFill>
        </w:rPr>
        <w:t xml:space="preserve"> </w:t>
      </w:r>
      <w:r>
        <w:rPr>
          <w:rFonts w:hint="default" w:ascii="Times New Roman" w:hAnsi="Times New Roman" w:eastAsia="宋体" w:cs="Times New Roman"/>
          <w:color w:val="000000" w:themeColor="text1"/>
          <w:sz w:val="24"/>
          <w:szCs w:val="24"/>
          <w:highlight w:val="none"/>
          <w14:textFill>
            <w14:solidFill>
              <w14:schemeClr w14:val="tx1"/>
            </w14:solidFill>
          </w14:textFill>
        </w:rPr>
        <w:t>P</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max</w:t>
      </w:r>
      <w:r>
        <w:rPr>
          <w:rFonts w:hint="default" w:ascii="Times New Roman" w:hAnsi="Times New Roman" w:eastAsia="宋体" w:cs="Times New Roman"/>
          <w:color w:val="000000" w:themeColor="text1"/>
          <w:sz w:val="24"/>
          <w:szCs w:val="24"/>
          <w:highlight w:val="none"/>
          <w14:textFill>
            <w14:solidFill>
              <w14:schemeClr w14:val="tx1"/>
            </w14:solidFill>
          </w14:textFill>
        </w:rPr>
        <w:t>值为5.219%，C</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max</w:t>
      </w:r>
      <w:r>
        <w:rPr>
          <w:rFonts w:hint="default" w:ascii="Times New Roman" w:hAnsi="Times New Roman" w:eastAsia="宋体" w:cs="Times New Roman"/>
          <w:color w:val="000000" w:themeColor="text1"/>
          <w:sz w:val="24"/>
          <w:szCs w:val="24"/>
          <w:highlight w:val="none"/>
          <w14:textFill>
            <w14:solidFill>
              <w14:schemeClr w14:val="tx1"/>
            </w14:solidFill>
          </w14:textFill>
        </w:rPr>
        <w:t>为10.438μg/m³，根据《环境影响评价技术导则 大气环境》（HJ2.2-2018）分级判据，确定本项目大气环境影响评价工作等级为二级。</w:t>
      </w:r>
    </w:p>
    <w:p w14:paraId="4E4CCBA9">
      <w:pPr>
        <w:pStyle w:val="6"/>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2.5.2噪声环境影响评价等级</w:t>
      </w:r>
      <w:bookmarkEnd w:id="81"/>
      <w:bookmarkEnd w:id="82"/>
    </w:p>
    <w:p w14:paraId="309FAB77">
      <w:pPr>
        <w:rPr>
          <w:rFonts w:hint="default"/>
          <w:lang w:val="en-US" w:eastAsia="zh-CN"/>
        </w:rPr>
      </w:pPr>
      <w:r>
        <w:rPr>
          <w:rFonts w:hint="default"/>
          <w:lang w:val="en-US" w:eastAsia="zh-CN"/>
        </w:rPr>
        <w:t>依据《环境影响评价技术导则声环境》（</w:t>
      </w:r>
      <w:r>
        <w:rPr>
          <w:rFonts w:hint="eastAsia"/>
          <w:lang w:val="en-US" w:eastAsia="zh-CN"/>
        </w:rPr>
        <w:t>HJ2.4-2021</w:t>
      </w:r>
      <w:r>
        <w:rPr>
          <w:rFonts w:hint="default"/>
          <w:lang w:val="en-US" w:eastAsia="zh-CN"/>
        </w:rPr>
        <w:t>），判定评价等级。</w:t>
      </w:r>
    </w:p>
    <w:p w14:paraId="5AF54603">
      <w:pPr>
        <w:rPr>
          <w:rFonts w:hint="default"/>
          <w:lang w:val="en-US" w:eastAsia="zh-CN"/>
        </w:rPr>
      </w:pPr>
      <w:r>
        <w:rPr>
          <w:rFonts w:hint="default"/>
          <w:lang w:val="en-US" w:eastAsia="zh-CN"/>
        </w:rPr>
        <w:t>（1）所在区域声环境功能区</w:t>
      </w:r>
    </w:p>
    <w:p w14:paraId="6880F158">
      <w:pPr>
        <w:rPr>
          <w:rFonts w:hint="default"/>
          <w:lang w:val="en-US" w:eastAsia="zh-CN"/>
        </w:rPr>
      </w:pPr>
      <w:r>
        <w:rPr>
          <w:rFonts w:hint="default"/>
          <w:lang w:val="en-US" w:eastAsia="zh-CN"/>
        </w:rPr>
        <w:t>本项目位于曹妃甸区垦丰家居产业园区，按照声环境质量功能区划，该区域为声环境3类区。</w:t>
      </w:r>
    </w:p>
    <w:p w14:paraId="17EBD057">
      <w:pPr>
        <w:rPr>
          <w:rFonts w:hint="default"/>
          <w:lang w:val="en-US" w:eastAsia="zh-CN"/>
        </w:rPr>
      </w:pPr>
      <w:r>
        <w:rPr>
          <w:rFonts w:hint="eastAsia"/>
          <w:lang w:val="en-US" w:eastAsia="zh-CN"/>
        </w:rPr>
        <w:t>（2）</w:t>
      </w:r>
      <w:r>
        <w:rPr>
          <w:rFonts w:hint="default"/>
          <w:lang w:val="en-US" w:eastAsia="zh-CN"/>
        </w:rPr>
        <w:t>声环境特征</w:t>
      </w:r>
    </w:p>
    <w:p w14:paraId="29445137">
      <w:pPr>
        <w:rPr>
          <w:rFonts w:hint="default"/>
          <w:lang w:val="en-US" w:eastAsia="zh-CN"/>
        </w:rPr>
      </w:pPr>
      <w:r>
        <w:rPr>
          <w:rFonts w:hint="default"/>
          <w:lang w:val="zh-CN" w:eastAsia="zh-CN"/>
        </w:rPr>
        <w:t>本项目厂址周边200m范围内均为园区内企业，无声环境保护目标。</w:t>
      </w:r>
    </w:p>
    <w:p w14:paraId="68177BF6">
      <w:pPr>
        <w:rPr>
          <w:rFonts w:hint="default"/>
          <w:lang w:val="en-US" w:eastAsia="zh-CN"/>
        </w:rPr>
      </w:pPr>
      <w:r>
        <w:rPr>
          <w:rFonts w:hint="default"/>
          <w:lang w:val="en-US" w:eastAsia="zh-CN"/>
        </w:rPr>
        <w:t>(3)评价工作级别确定</w:t>
      </w:r>
    </w:p>
    <w:p w14:paraId="7A0E9BB1">
      <w:pPr>
        <w:rPr>
          <w:rFonts w:hint="default"/>
          <w:lang w:val="zh-CN" w:eastAsia="zh-CN"/>
        </w:rPr>
      </w:pPr>
      <w:r>
        <w:rPr>
          <w:rFonts w:hint="default"/>
          <w:lang w:val="en-US" w:eastAsia="zh-CN"/>
        </w:rPr>
        <w:t>综合以上分析，按照《环境影响评价技术导则·声环境》（</w:t>
      </w:r>
      <w:r>
        <w:rPr>
          <w:rFonts w:hint="eastAsia"/>
          <w:lang w:val="en-US" w:eastAsia="zh-CN"/>
        </w:rPr>
        <w:t>HJ2.4-2021</w:t>
      </w:r>
      <w:r>
        <w:rPr>
          <w:rFonts w:hint="default"/>
          <w:lang w:val="en-US" w:eastAsia="zh-CN"/>
        </w:rPr>
        <w:t>）中噪声环境影响评价等级划分办法，确定拟建项目声环境影响评价工作等级为三级。</w:t>
      </w:r>
    </w:p>
    <w:p w14:paraId="389C7009">
      <w:pPr>
        <w:pStyle w:val="6"/>
        <w:rPr>
          <w:rFonts w:hint="default" w:ascii="Times New Roman" w:hAnsi="Times New Roman" w:eastAsia="宋体" w:cs="Times New Roman"/>
          <w:color w:val="000000" w:themeColor="text1"/>
          <w:sz w:val="24"/>
          <w:szCs w:val="24"/>
          <w:highlight w:val="none"/>
          <w14:textFill>
            <w14:solidFill>
              <w14:schemeClr w14:val="tx1"/>
            </w14:solidFill>
          </w14:textFill>
        </w:rPr>
      </w:pPr>
      <w:bookmarkStart w:id="84" w:name="_Toc498880231"/>
      <w:bookmarkStart w:id="85" w:name="_Toc498494529"/>
      <w:r>
        <w:rPr>
          <w:rFonts w:hint="default" w:ascii="Times New Roman" w:hAnsi="Times New Roman" w:eastAsia="宋体" w:cs="Times New Roman"/>
          <w:color w:val="000000" w:themeColor="text1"/>
          <w:sz w:val="24"/>
          <w:szCs w:val="24"/>
          <w:highlight w:val="none"/>
          <w14:textFill>
            <w14:solidFill>
              <w14:schemeClr w14:val="tx1"/>
            </w14:solidFill>
          </w14:textFill>
        </w:rPr>
        <w:t>2.5.3地表水环境影响评价等级</w:t>
      </w:r>
      <w:bookmarkEnd w:id="84"/>
      <w:bookmarkEnd w:id="85"/>
    </w:p>
    <w:p w14:paraId="1F5C83D1">
      <w:pPr>
        <w:spacing w:line="480" w:lineRule="exact"/>
        <w:ind w:firstLine="480" w:firstLineChars="200"/>
        <w:rPr>
          <w:rFonts w:hint="default" w:ascii="Times New Roman" w:hAnsi="Times New Roman" w:eastAsia="宋体" w:cs="Times New Roman"/>
          <w:b w:val="0"/>
          <w:bCs w:val="0"/>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4"/>
          <w:szCs w:val="24"/>
          <w:highlight w:val="none"/>
          <w:lang w:val="en-US" w:eastAsia="zh-CN" w:bidi="ar-SA"/>
          <w14:textFill>
            <w14:solidFill>
              <w14:schemeClr w14:val="tx1"/>
            </w14:solidFill>
          </w14:textFill>
        </w:rPr>
        <w:t>项目建设完成后厂区尾水</w:t>
      </w:r>
      <w:r>
        <w:rPr>
          <w:rFonts w:hint="eastAsia" w:cs="Times New Roman"/>
          <w:b w:val="0"/>
          <w:bCs w:val="0"/>
          <w:color w:val="000000" w:themeColor="text1"/>
          <w:kern w:val="2"/>
          <w:sz w:val="24"/>
          <w:szCs w:val="24"/>
          <w:highlight w:val="none"/>
          <w:lang w:val="en-US" w:eastAsia="zh-CN" w:bidi="ar-SA"/>
          <w14:textFill>
            <w14:solidFill>
              <w14:schemeClr w14:val="tx1"/>
            </w14:solidFill>
          </w14:textFill>
        </w:rPr>
        <w:t>回用于厂区生产用水、园区绿化、道路喷洒及园区企业生产用水。</w:t>
      </w:r>
    </w:p>
    <w:p w14:paraId="40515287">
      <w:pPr>
        <w:spacing w:line="480" w:lineRule="exact"/>
        <w:ind w:firstLine="480" w:firstLineChars="200"/>
        <w:rPr>
          <w:rFonts w:hint="default" w:ascii="Times New Roman" w:hAnsi="Times New Roman" w:eastAsia="宋体" w:cs="Times New Roman"/>
          <w:snapToGrid w:val="0"/>
          <w:color w:val="000000" w:themeColor="text1"/>
          <w:kern w:val="0"/>
          <w:sz w:val="24"/>
          <w:szCs w:val="24"/>
          <w:highlight w:val="none"/>
          <w:lang w:val="en-US" w:eastAsia="zh-CN" w:bidi="ar"/>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根据</w:t>
      </w:r>
      <w:r>
        <w:rPr>
          <w:rFonts w:hint="default" w:ascii="Times New Roman" w:hAnsi="Times New Roman" w:eastAsia="宋体" w:cs="Times New Roman"/>
          <w:snapToGrid w:val="0"/>
          <w:color w:val="000000" w:themeColor="text1"/>
          <w:kern w:val="0"/>
          <w:sz w:val="24"/>
          <w:szCs w:val="24"/>
          <w:highlight w:val="none"/>
          <w:lang w:val="en-US" w:eastAsia="zh-CN" w:bidi="ar"/>
          <w14:textFill>
            <w14:solidFill>
              <w14:schemeClr w14:val="tx1"/>
            </w14:solidFill>
          </w14:textFill>
        </w:rPr>
        <w:t>《环境影响评价技术导则-地表水环境》（HJ2.3-2018），确定项目地表水评价等级为三级B，仅进行废水</w:t>
      </w:r>
      <w:r>
        <w:rPr>
          <w:rFonts w:hint="eastAsia" w:cs="Times New Roman"/>
          <w:snapToGrid w:val="0"/>
          <w:color w:val="000000" w:themeColor="text1"/>
          <w:kern w:val="0"/>
          <w:sz w:val="24"/>
          <w:szCs w:val="24"/>
          <w:highlight w:val="none"/>
          <w:lang w:val="en-US" w:eastAsia="zh-CN" w:bidi="ar"/>
          <w14:textFill>
            <w14:solidFill>
              <w14:schemeClr w14:val="tx1"/>
            </w14:solidFill>
          </w14:textFill>
        </w:rPr>
        <w:t>全部</w:t>
      </w:r>
      <w:r>
        <w:rPr>
          <w:rFonts w:hint="default" w:ascii="Times New Roman" w:hAnsi="Times New Roman" w:eastAsia="宋体" w:cs="Times New Roman"/>
          <w:snapToGrid w:val="0"/>
          <w:color w:val="000000" w:themeColor="text1"/>
          <w:kern w:val="0"/>
          <w:sz w:val="24"/>
          <w:szCs w:val="24"/>
          <w:highlight w:val="none"/>
          <w:lang w:val="en-US" w:eastAsia="zh-CN" w:bidi="ar"/>
          <w14:textFill>
            <w14:solidFill>
              <w14:schemeClr w14:val="tx1"/>
            </w14:solidFill>
          </w14:textFill>
        </w:rPr>
        <w:t>回用于厂区生产用水</w:t>
      </w:r>
      <w:r>
        <w:rPr>
          <w:rFonts w:hint="eastAsia" w:cs="Times New Roman"/>
          <w:snapToGrid w:val="0"/>
          <w:color w:val="000000" w:themeColor="text1"/>
          <w:kern w:val="0"/>
          <w:sz w:val="24"/>
          <w:szCs w:val="24"/>
          <w:highlight w:val="none"/>
          <w:lang w:val="en-US" w:eastAsia="zh-CN" w:bidi="ar"/>
          <w14:textFill>
            <w14:solidFill>
              <w14:schemeClr w14:val="tx1"/>
            </w14:solidFill>
          </w14:textFill>
        </w:rPr>
        <w:t>、</w:t>
      </w:r>
      <w:r>
        <w:rPr>
          <w:rFonts w:hint="default" w:ascii="Times New Roman" w:hAnsi="Times New Roman" w:eastAsia="宋体" w:cs="Times New Roman"/>
          <w:snapToGrid w:val="0"/>
          <w:color w:val="000000" w:themeColor="text1"/>
          <w:kern w:val="0"/>
          <w:sz w:val="24"/>
          <w:szCs w:val="24"/>
          <w:highlight w:val="none"/>
          <w:lang w:val="en-US" w:eastAsia="zh-CN" w:bidi="ar"/>
          <w14:textFill>
            <w14:solidFill>
              <w14:schemeClr w14:val="tx1"/>
            </w14:solidFill>
          </w14:textFill>
        </w:rPr>
        <w:t>园区绿化、道路喷洒及园区企业生产用水可行性论证。</w:t>
      </w:r>
    </w:p>
    <w:p w14:paraId="25194F98">
      <w:pPr>
        <w:pStyle w:val="6"/>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2.5.4地下水环境影响评价等级</w:t>
      </w:r>
    </w:p>
    <w:p w14:paraId="068FE201">
      <w:pPr>
        <w:spacing w:line="480" w:lineRule="exact"/>
        <w:ind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 w:val="24"/>
          <w:szCs w:val="24"/>
          <w:highlight w:val="none"/>
          <w14:textFill>
            <w14:solidFill>
              <w14:schemeClr w14:val="tx1"/>
            </w14:solidFill>
          </w14:textFill>
        </w:rPr>
        <w:t>(1)</w:t>
      </w:r>
      <w:r>
        <w:rPr>
          <w:rFonts w:hint="default" w:ascii="Times New Roman" w:hAnsi="Times New Roman" w:eastAsia="宋体" w:cs="Times New Roman"/>
          <w:color w:val="000000" w:themeColor="text1"/>
          <w:sz w:val="24"/>
          <w:szCs w:val="24"/>
          <w:highlight w:val="none"/>
          <w14:textFill>
            <w14:solidFill>
              <w14:schemeClr w14:val="tx1"/>
            </w14:solidFill>
          </w14:textFill>
        </w:rPr>
        <w:t>项目类别</w:t>
      </w:r>
    </w:p>
    <w:p w14:paraId="4E4C8E16">
      <w:pPr>
        <w:tabs>
          <w:tab w:val="left" w:pos="600"/>
        </w:tabs>
        <w:spacing w:line="480" w:lineRule="exact"/>
        <w:ind w:firstLine="480" w:firstLineChars="200"/>
        <w:jc w:val="left"/>
        <w:rPr>
          <w:rFonts w:hint="default" w:ascii="Times New Roman" w:hAnsi="Times New Roman" w:eastAsia="宋体" w:cs="Times New Roman"/>
          <w:bCs/>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根据《环境影响评价技术导则-地下水环境》（HJ610-2016）附录A（规范性附录）地下水环境影响评价行业分类表，表相关内容见表2.5-</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7</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0EBDC41C">
      <w:pPr>
        <w:pageBreakBefore w:val="0"/>
        <w:widowControl w:val="0"/>
        <w:numPr>
          <w:ilvl w:val="0"/>
          <w:numId w:val="12"/>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bCs/>
          <w:color w:val="000000" w:themeColor="text1"/>
          <w:sz w:val="24"/>
          <w:szCs w:val="24"/>
          <w:highlight w:val="none"/>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14:textFill>
            <w14:solidFill>
              <w14:schemeClr w14:val="tx1"/>
            </w14:solidFill>
          </w14:textFill>
        </w:rPr>
        <w:t>地下水环境影响评价行业分类表</w:t>
      </w:r>
    </w:p>
    <w:tbl>
      <w:tblPr>
        <w:tblStyle w:val="47"/>
        <w:tblpPr w:leftFromText="180" w:rightFromText="180" w:vertAnchor="text" w:tblpY="1"/>
        <w:tblOverlap w:val="never"/>
        <w:tblW w:w="4998"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2875"/>
        <w:gridCol w:w="2071"/>
        <w:gridCol w:w="933"/>
        <w:gridCol w:w="2207"/>
        <w:gridCol w:w="1198"/>
      </w:tblGrid>
      <w:tr w14:paraId="23E37BB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1548" w:type="pct"/>
            <w:vMerge w:val="restart"/>
            <w:tcBorders>
              <w:tl2br w:val="nil"/>
              <w:tr2bl w:val="nil"/>
            </w:tcBorders>
            <w:noWrap w:val="0"/>
            <w:vAlign w:val="center"/>
          </w:tcPr>
          <w:p w14:paraId="65F194FB">
            <w:pPr>
              <w:pStyle w:val="58"/>
              <w:bidi w:val="0"/>
              <w:rPr>
                <w:rFonts w:hint="default"/>
              </w:rPr>
            </w:pPr>
            <w:r>
              <w:rPr>
                <w:rFonts w:hint="default"/>
              </w:rPr>
              <mc:AlternateContent>
                <mc:Choice Requires="wps">
                  <w:drawing>
                    <wp:anchor distT="0" distB="0" distL="114300" distR="114300" simplePos="0" relativeHeight="251666432" behindDoc="0" locked="0" layoutInCell="1" allowOverlap="1">
                      <wp:simplePos x="0" y="0"/>
                      <wp:positionH relativeFrom="column">
                        <wp:posOffset>-47625</wp:posOffset>
                      </wp:positionH>
                      <wp:positionV relativeFrom="paragraph">
                        <wp:posOffset>22860</wp:posOffset>
                      </wp:positionV>
                      <wp:extent cx="1822450" cy="407670"/>
                      <wp:effectExtent l="1270" t="4445" r="5080" b="6985"/>
                      <wp:wrapNone/>
                      <wp:docPr id="6" name="直接连接符 6"/>
                      <wp:cNvGraphicFramePr/>
                      <a:graphic xmlns:a="http://schemas.openxmlformats.org/drawingml/2006/main">
                        <a:graphicData uri="http://schemas.microsoft.com/office/word/2010/wordprocessingShape">
                          <wps:wsp>
                            <wps:cNvCnPr/>
                            <wps:spPr>
                              <a:xfrm>
                                <a:off x="1076325" y="5034280"/>
                                <a:ext cx="1822450" cy="40767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3.75pt;margin-top:1.8pt;height:32.1pt;width:143.5pt;z-index:251666432;mso-width-relative:page;mso-height-relative:page;" filled="f" stroked="t" coordsize="21600,21600" o:gfxdata="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2eRPQtUAAAAHAQAADwAAAAAAAAABACAAAAAiAAAAZHJzL2Rvd25yZXYueG1sUEsBAhQAFAAA&#10;AAgAh07iQGQWhijyAQAAwgMAAA4AAAAAAAAAAQAgAAAAJAEAAGRycy9lMm9Eb2MueG1sUEsFBgAA&#10;AAAGAAYAWQEAAIgFAAAAAA==&#10;">
                      <v:fill on="f" focussize="0,0"/>
                      <v:stroke weight="0.5pt" color="#000000 [3200]" miterlimit="8" joinstyle="miter"/>
                      <v:imagedata o:title=""/>
                      <o:lock v:ext="edit" aspectratio="f"/>
                    </v:line>
                  </w:pict>
                </mc:Fallback>
              </mc:AlternateContent>
            </w:r>
            <w:r>
              <w:rPr>
                <w:rFonts w:hint="default"/>
              </w:rPr>
              <w:t>环评类别</w:t>
            </w:r>
          </w:p>
          <w:p w14:paraId="03A6C3F2">
            <w:pPr>
              <w:pStyle w:val="58"/>
              <w:bidi w:val="0"/>
              <w:rPr>
                <w:rFonts w:hint="default"/>
              </w:rPr>
            </w:pPr>
            <w:r>
              <w:rPr>
                <w:rFonts w:hint="default"/>
              </w:rPr>
              <w:t>行业类别</w:t>
            </w:r>
          </w:p>
        </w:tc>
        <w:tc>
          <w:tcPr>
            <w:tcW w:w="1115" w:type="pct"/>
            <w:vMerge w:val="restart"/>
            <w:tcBorders>
              <w:tl2br w:val="nil"/>
              <w:tr2bl w:val="nil"/>
            </w:tcBorders>
            <w:noWrap w:val="0"/>
            <w:vAlign w:val="center"/>
          </w:tcPr>
          <w:p w14:paraId="2B7C52C4">
            <w:pPr>
              <w:pStyle w:val="58"/>
              <w:bidi w:val="0"/>
              <w:rPr>
                <w:rFonts w:hint="default"/>
              </w:rPr>
            </w:pPr>
            <w:r>
              <w:rPr>
                <w:rFonts w:hint="default"/>
              </w:rPr>
              <w:t>报告书</w:t>
            </w:r>
          </w:p>
        </w:tc>
        <w:tc>
          <w:tcPr>
            <w:tcW w:w="502" w:type="pct"/>
            <w:vMerge w:val="restart"/>
            <w:tcBorders>
              <w:tl2br w:val="nil"/>
              <w:tr2bl w:val="nil"/>
            </w:tcBorders>
            <w:noWrap w:val="0"/>
            <w:vAlign w:val="center"/>
          </w:tcPr>
          <w:p w14:paraId="0900C4E5">
            <w:pPr>
              <w:pStyle w:val="58"/>
              <w:bidi w:val="0"/>
              <w:rPr>
                <w:rFonts w:hint="default"/>
              </w:rPr>
            </w:pPr>
            <w:r>
              <w:rPr>
                <w:rFonts w:hint="default"/>
              </w:rPr>
              <w:t>报告表</w:t>
            </w:r>
          </w:p>
        </w:tc>
        <w:tc>
          <w:tcPr>
            <w:tcW w:w="1833" w:type="pct"/>
            <w:gridSpan w:val="2"/>
            <w:tcBorders>
              <w:tl2br w:val="nil"/>
              <w:tr2bl w:val="nil"/>
            </w:tcBorders>
            <w:noWrap w:val="0"/>
            <w:vAlign w:val="center"/>
          </w:tcPr>
          <w:p w14:paraId="4A7E9F74">
            <w:pPr>
              <w:pStyle w:val="58"/>
              <w:bidi w:val="0"/>
              <w:rPr>
                <w:rFonts w:hint="default"/>
              </w:rPr>
            </w:pPr>
            <w:r>
              <w:rPr>
                <w:rFonts w:hint="default"/>
              </w:rPr>
              <w:t>地下水环境影响评价项目类别</w:t>
            </w:r>
          </w:p>
        </w:tc>
      </w:tr>
      <w:tr w14:paraId="08321B2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1548" w:type="pct"/>
            <w:vMerge w:val="continue"/>
            <w:tcBorders>
              <w:tl2br w:val="nil"/>
              <w:tr2bl w:val="nil"/>
            </w:tcBorders>
            <w:noWrap w:val="0"/>
            <w:vAlign w:val="center"/>
          </w:tcPr>
          <w:p w14:paraId="475E9ECA">
            <w:pPr>
              <w:pStyle w:val="58"/>
              <w:bidi w:val="0"/>
              <w:rPr>
                <w:rFonts w:hint="default"/>
              </w:rPr>
            </w:pPr>
          </w:p>
        </w:tc>
        <w:tc>
          <w:tcPr>
            <w:tcW w:w="1115" w:type="pct"/>
            <w:vMerge w:val="continue"/>
            <w:tcBorders>
              <w:tl2br w:val="nil"/>
              <w:tr2bl w:val="nil"/>
            </w:tcBorders>
            <w:noWrap w:val="0"/>
            <w:vAlign w:val="center"/>
          </w:tcPr>
          <w:p w14:paraId="06BE9241">
            <w:pPr>
              <w:pStyle w:val="58"/>
              <w:bidi w:val="0"/>
              <w:rPr>
                <w:rFonts w:hint="default"/>
              </w:rPr>
            </w:pPr>
          </w:p>
        </w:tc>
        <w:tc>
          <w:tcPr>
            <w:tcW w:w="502" w:type="pct"/>
            <w:vMerge w:val="continue"/>
            <w:tcBorders>
              <w:tl2br w:val="nil"/>
              <w:tr2bl w:val="nil"/>
            </w:tcBorders>
            <w:noWrap w:val="0"/>
            <w:vAlign w:val="center"/>
          </w:tcPr>
          <w:p w14:paraId="265F7441">
            <w:pPr>
              <w:pStyle w:val="58"/>
              <w:bidi w:val="0"/>
              <w:rPr>
                <w:rFonts w:hint="default"/>
              </w:rPr>
            </w:pPr>
          </w:p>
        </w:tc>
        <w:tc>
          <w:tcPr>
            <w:tcW w:w="1188" w:type="pct"/>
            <w:tcBorders>
              <w:tl2br w:val="nil"/>
              <w:tr2bl w:val="nil"/>
            </w:tcBorders>
            <w:noWrap w:val="0"/>
            <w:vAlign w:val="center"/>
          </w:tcPr>
          <w:p w14:paraId="53004E88">
            <w:pPr>
              <w:pStyle w:val="58"/>
              <w:bidi w:val="0"/>
              <w:rPr>
                <w:rFonts w:hint="default"/>
              </w:rPr>
            </w:pPr>
            <w:r>
              <w:rPr>
                <w:rFonts w:hint="default"/>
              </w:rPr>
              <w:t>报告书</w:t>
            </w:r>
          </w:p>
        </w:tc>
        <w:tc>
          <w:tcPr>
            <w:tcW w:w="645" w:type="pct"/>
            <w:tcBorders>
              <w:tl2br w:val="nil"/>
              <w:tr2bl w:val="nil"/>
            </w:tcBorders>
            <w:noWrap w:val="0"/>
            <w:vAlign w:val="center"/>
          </w:tcPr>
          <w:p w14:paraId="3995ECCA">
            <w:pPr>
              <w:pStyle w:val="58"/>
              <w:bidi w:val="0"/>
              <w:rPr>
                <w:rFonts w:hint="default"/>
              </w:rPr>
            </w:pPr>
            <w:r>
              <w:rPr>
                <w:rFonts w:hint="default"/>
              </w:rPr>
              <w:t>报告表</w:t>
            </w:r>
          </w:p>
        </w:tc>
      </w:tr>
      <w:tr w14:paraId="0DC1B75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1548" w:type="pct"/>
            <w:tcBorders>
              <w:tl2br w:val="nil"/>
              <w:tr2bl w:val="nil"/>
            </w:tcBorders>
            <w:noWrap w:val="0"/>
            <w:vAlign w:val="center"/>
          </w:tcPr>
          <w:p w14:paraId="62F515C7">
            <w:pPr>
              <w:pStyle w:val="58"/>
              <w:bidi w:val="0"/>
              <w:rPr>
                <w:rFonts w:hint="default"/>
                <w:lang w:val="en-US" w:eastAsia="zh-CN"/>
              </w:rPr>
            </w:pPr>
            <w:r>
              <w:rPr>
                <w:rFonts w:hint="default"/>
              </w:rPr>
              <w:t>14</w:t>
            </w:r>
            <w:r>
              <w:rPr>
                <w:rFonts w:hint="default"/>
                <w:lang w:val="en-US" w:eastAsia="zh-CN"/>
              </w:rPr>
              <w:t>5</w:t>
            </w:r>
            <w:r>
              <w:rPr>
                <w:rFonts w:hint="default"/>
              </w:rPr>
              <w:t>、</w:t>
            </w:r>
            <w:r>
              <w:rPr>
                <w:rFonts w:hint="default"/>
                <w:lang w:val="en-US" w:eastAsia="zh-CN"/>
              </w:rPr>
              <w:t>工业废</w:t>
            </w:r>
            <w:r>
              <w:rPr>
                <w:rFonts w:hint="default"/>
              </w:rPr>
              <w:t>水集中处理</w:t>
            </w:r>
          </w:p>
        </w:tc>
        <w:tc>
          <w:tcPr>
            <w:tcW w:w="1115" w:type="pct"/>
            <w:tcBorders>
              <w:tl2br w:val="nil"/>
              <w:tr2bl w:val="nil"/>
            </w:tcBorders>
            <w:noWrap w:val="0"/>
            <w:vAlign w:val="center"/>
          </w:tcPr>
          <w:p w14:paraId="139AB418">
            <w:pPr>
              <w:pStyle w:val="58"/>
              <w:bidi w:val="0"/>
              <w:rPr>
                <w:rFonts w:hint="default"/>
              </w:rPr>
            </w:pPr>
            <w:r>
              <w:rPr>
                <w:rFonts w:hint="default"/>
                <w:lang w:val="en-US" w:eastAsia="zh-CN"/>
              </w:rPr>
              <w:t>全部</w:t>
            </w:r>
          </w:p>
        </w:tc>
        <w:tc>
          <w:tcPr>
            <w:tcW w:w="502" w:type="pct"/>
            <w:tcBorders>
              <w:tl2br w:val="nil"/>
              <w:tr2bl w:val="nil"/>
            </w:tcBorders>
            <w:noWrap w:val="0"/>
            <w:vAlign w:val="center"/>
          </w:tcPr>
          <w:p w14:paraId="58EA3416">
            <w:pPr>
              <w:pStyle w:val="58"/>
              <w:bidi w:val="0"/>
              <w:rPr>
                <w:rFonts w:hint="default"/>
                <w:lang w:eastAsia="zh-CN"/>
              </w:rPr>
            </w:pPr>
            <w:r>
              <w:rPr>
                <w:rFonts w:hint="default"/>
                <w:lang w:val="en-US" w:eastAsia="zh-CN"/>
              </w:rPr>
              <w:t>-</w:t>
            </w:r>
          </w:p>
        </w:tc>
        <w:tc>
          <w:tcPr>
            <w:tcW w:w="1188" w:type="pct"/>
            <w:tcBorders>
              <w:tl2br w:val="nil"/>
              <w:tr2bl w:val="nil"/>
            </w:tcBorders>
            <w:noWrap w:val="0"/>
            <w:vAlign w:val="center"/>
          </w:tcPr>
          <w:p w14:paraId="08F85B84">
            <w:pPr>
              <w:pStyle w:val="58"/>
              <w:bidi w:val="0"/>
              <w:rPr>
                <w:rFonts w:hint="default"/>
              </w:rPr>
            </w:pPr>
            <w:r>
              <w:rPr>
                <w:rFonts w:hint="default"/>
              </w:rPr>
              <w:fldChar w:fldCharType="begin"/>
            </w:r>
            <w:r>
              <w:rPr>
                <w:rFonts w:hint="default"/>
              </w:rPr>
              <w:instrText xml:space="preserve"> = 1 \* ROMAN \* MERGEFORMAT </w:instrText>
            </w:r>
            <w:r>
              <w:rPr>
                <w:rFonts w:hint="default"/>
              </w:rPr>
              <w:fldChar w:fldCharType="separate"/>
            </w:r>
            <w:r>
              <w:rPr>
                <w:rFonts w:hint="default"/>
              </w:rPr>
              <w:t>I</w:t>
            </w:r>
            <w:r>
              <w:rPr>
                <w:rFonts w:hint="default"/>
              </w:rPr>
              <w:fldChar w:fldCharType="end"/>
            </w:r>
            <w:r>
              <w:rPr>
                <w:rFonts w:hint="default"/>
              </w:rPr>
              <w:t>类</w:t>
            </w:r>
          </w:p>
        </w:tc>
        <w:tc>
          <w:tcPr>
            <w:tcW w:w="645" w:type="pct"/>
            <w:tcBorders>
              <w:tl2br w:val="nil"/>
              <w:tr2bl w:val="nil"/>
            </w:tcBorders>
            <w:noWrap w:val="0"/>
            <w:vAlign w:val="center"/>
          </w:tcPr>
          <w:p w14:paraId="340798BE">
            <w:pPr>
              <w:pStyle w:val="58"/>
              <w:bidi w:val="0"/>
              <w:rPr>
                <w:rFonts w:hint="default"/>
              </w:rPr>
            </w:pPr>
            <w:r>
              <w:rPr>
                <w:rFonts w:hint="default"/>
                <w:lang w:val="en-US" w:eastAsia="zh-CN"/>
              </w:rPr>
              <w:t>-</w:t>
            </w:r>
          </w:p>
        </w:tc>
      </w:tr>
    </w:tbl>
    <w:p w14:paraId="04167804">
      <w:pPr>
        <w:spacing w:line="480" w:lineRule="exact"/>
        <w:ind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根据《环境影响评价技术导则地下水环境》（HJ610-2016）附录A地下水环境影响评价行业分类表，拟建项目地下水评价类别为</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I</w:t>
      </w:r>
      <w:r>
        <w:rPr>
          <w:rFonts w:hint="default" w:ascii="Times New Roman" w:hAnsi="Times New Roman" w:eastAsia="宋体" w:cs="Times New Roman"/>
          <w:color w:val="000000" w:themeColor="text1"/>
          <w:sz w:val="24"/>
          <w:szCs w:val="24"/>
          <w:highlight w:val="none"/>
          <w14:textFill>
            <w14:solidFill>
              <w14:schemeClr w14:val="tx1"/>
            </w14:solidFill>
          </w14:textFill>
        </w:rPr>
        <w:t>类。</w:t>
      </w:r>
    </w:p>
    <w:p w14:paraId="03FA15CE">
      <w:pPr>
        <w:spacing w:line="480" w:lineRule="exact"/>
        <w:ind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《环境影响评价技术导则-地下水环境》（HJ610-2016）地下水环境敏感程度分级表见表2.5-</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8</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76208532">
      <w:pPr>
        <w:spacing w:line="480" w:lineRule="exact"/>
        <w:ind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p>
    <w:p w14:paraId="1F98CED8">
      <w:pPr>
        <w:pageBreakBefore w:val="0"/>
        <w:widowControl w:val="0"/>
        <w:numPr>
          <w:ilvl w:val="0"/>
          <w:numId w:val="12"/>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bCs/>
          <w:color w:val="000000" w:themeColor="text1"/>
          <w:sz w:val="24"/>
          <w:szCs w:val="24"/>
          <w:highlight w:val="none"/>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14:textFill>
            <w14:solidFill>
              <w14:schemeClr w14:val="tx1"/>
            </w14:solidFill>
          </w14:textFill>
        </w:rPr>
        <w:t>地下水环境敏感程度分级表</w:t>
      </w:r>
    </w:p>
    <w:tbl>
      <w:tblPr>
        <w:tblStyle w:val="47"/>
        <w:tblW w:w="4998"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autofit"/>
        <w:tblCellMar>
          <w:top w:w="0" w:type="dxa"/>
          <w:left w:w="108" w:type="dxa"/>
          <w:bottom w:w="0" w:type="dxa"/>
          <w:right w:w="108" w:type="dxa"/>
        </w:tblCellMar>
      </w:tblPr>
      <w:tblGrid>
        <w:gridCol w:w="1225"/>
        <w:gridCol w:w="8059"/>
      </w:tblGrid>
      <w:tr w14:paraId="2C9FD69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trPr>
        <w:tc>
          <w:tcPr>
            <w:tcW w:w="660" w:type="pct"/>
            <w:tcBorders>
              <w:tl2br w:val="nil"/>
              <w:tr2bl w:val="nil"/>
            </w:tcBorders>
            <w:noWrap w:val="0"/>
            <w:vAlign w:val="center"/>
          </w:tcPr>
          <w:p w14:paraId="73F5D2EF">
            <w:pPr>
              <w:pStyle w:val="58"/>
              <w:bidi w:val="0"/>
              <w:rPr>
                <w:rFonts w:hint="default" w:ascii="Times New Roman" w:hAnsi="Times New Roman"/>
              </w:rPr>
            </w:pPr>
            <w:r>
              <w:rPr>
                <w:rFonts w:hint="default" w:ascii="Times New Roman" w:hAnsi="Times New Roman"/>
              </w:rPr>
              <w:t>敏感程度</w:t>
            </w:r>
          </w:p>
        </w:tc>
        <w:tc>
          <w:tcPr>
            <w:tcW w:w="4339" w:type="pct"/>
            <w:tcBorders>
              <w:tl2br w:val="nil"/>
              <w:tr2bl w:val="nil"/>
            </w:tcBorders>
            <w:noWrap w:val="0"/>
            <w:vAlign w:val="center"/>
          </w:tcPr>
          <w:p w14:paraId="0368929A">
            <w:pPr>
              <w:pStyle w:val="58"/>
              <w:bidi w:val="0"/>
              <w:rPr>
                <w:rFonts w:hint="default" w:ascii="Times New Roman" w:hAnsi="Times New Roman"/>
              </w:rPr>
            </w:pPr>
            <w:r>
              <w:rPr>
                <w:rFonts w:hint="default" w:ascii="Times New Roman" w:hAnsi="Times New Roman"/>
              </w:rPr>
              <w:t>地下水环境敏感特征</w:t>
            </w:r>
          </w:p>
        </w:tc>
      </w:tr>
      <w:tr w14:paraId="5A1FC45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trPr>
        <w:tc>
          <w:tcPr>
            <w:tcW w:w="660" w:type="pct"/>
            <w:tcBorders>
              <w:tl2br w:val="nil"/>
              <w:tr2bl w:val="nil"/>
            </w:tcBorders>
            <w:noWrap w:val="0"/>
            <w:vAlign w:val="center"/>
          </w:tcPr>
          <w:p w14:paraId="083875DA">
            <w:pPr>
              <w:pStyle w:val="58"/>
              <w:bidi w:val="0"/>
              <w:rPr>
                <w:rFonts w:hint="default" w:ascii="Times New Roman" w:hAnsi="Times New Roman"/>
              </w:rPr>
            </w:pPr>
            <w:r>
              <w:rPr>
                <w:rFonts w:hint="default" w:ascii="Times New Roman" w:hAnsi="Times New Roman"/>
              </w:rPr>
              <w:t>敏感</w:t>
            </w:r>
          </w:p>
        </w:tc>
        <w:tc>
          <w:tcPr>
            <w:tcW w:w="4339" w:type="pct"/>
            <w:tcBorders>
              <w:tl2br w:val="nil"/>
              <w:tr2bl w:val="nil"/>
            </w:tcBorders>
            <w:noWrap w:val="0"/>
            <w:vAlign w:val="center"/>
          </w:tcPr>
          <w:p w14:paraId="21492879">
            <w:pPr>
              <w:pStyle w:val="58"/>
              <w:bidi w:val="0"/>
              <w:rPr>
                <w:rFonts w:hint="default" w:ascii="Times New Roman" w:hAnsi="Times New Roman"/>
              </w:rPr>
            </w:pPr>
            <w:r>
              <w:rPr>
                <w:rFonts w:hint="default" w:ascii="Times New Roman" w:hAnsi="Times New Roman"/>
              </w:rPr>
              <w:t>集中式饮用水水源（包括已建成的在用、备用、应急水源，在建和规划的饮用水水源）准保护区；除集中式饮用水水源以外的国家或地方政府设定的与地下水环境相关的其它保护区，如热水、矿泉水、温泉等特殊地下水资源保护区。</w:t>
            </w:r>
          </w:p>
        </w:tc>
      </w:tr>
      <w:tr w14:paraId="2BA186E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trPr>
        <w:tc>
          <w:tcPr>
            <w:tcW w:w="660" w:type="pct"/>
            <w:tcBorders>
              <w:tl2br w:val="nil"/>
              <w:tr2bl w:val="nil"/>
            </w:tcBorders>
            <w:noWrap w:val="0"/>
            <w:vAlign w:val="center"/>
          </w:tcPr>
          <w:p w14:paraId="0E2B479C">
            <w:pPr>
              <w:pStyle w:val="58"/>
              <w:bidi w:val="0"/>
              <w:rPr>
                <w:rFonts w:hint="default" w:ascii="Times New Roman" w:hAnsi="Times New Roman"/>
              </w:rPr>
            </w:pPr>
            <w:r>
              <w:rPr>
                <w:rFonts w:hint="default" w:ascii="Times New Roman" w:hAnsi="Times New Roman"/>
              </w:rPr>
              <w:t>较敏感</w:t>
            </w:r>
          </w:p>
        </w:tc>
        <w:tc>
          <w:tcPr>
            <w:tcW w:w="4339" w:type="pct"/>
            <w:tcBorders>
              <w:tl2br w:val="nil"/>
              <w:tr2bl w:val="nil"/>
            </w:tcBorders>
            <w:noWrap w:val="0"/>
            <w:vAlign w:val="center"/>
          </w:tcPr>
          <w:p w14:paraId="54EC72CB">
            <w:pPr>
              <w:pStyle w:val="58"/>
              <w:bidi w:val="0"/>
              <w:rPr>
                <w:rFonts w:hint="default" w:ascii="Times New Roman" w:hAnsi="Times New Roman"/>
              </w:rPr>
            </w:pPr>
            <w:r>
              <w:rPr>
                <w:rFonts w:hint="default" w:ascii="Times New Roman" w:hAnsi="Times New Roman"/>
              </w:rPr>
              <w:t>集中式饮用水水源（包括已建成的在用、备用、应急水源，在建和规划的饮用水水源）准保护区以外的补给径流区；未划定准保护区的</w:t>
            </w:r>
            <w:r>
              <w:rPr>
                <w:rFonts w:hint="default" w:ascii="Times New Roman" w:hAnsi="Times New Roman"/>
                <w:lang w:eastAsia="zh-CN"/>
              </w:rPr>
              <w:t>集中</w:t>
            </w:r>
            <w:r>
              <w:rPr>
                <w:rFonts w:hint="default" w:ascii="Times New Roman" w:hAnsi="Times New Roman"/>
              </w:rPr>
              <w:t>式饮用水水源，其保护区以外的补给径流区；分散式饮用水水源地；特殊地下水资源（如矿泉水、温泉等）保护区以外的分布区等其他未列入上述敏感分级的环境敏感区a。</w:t>
            </w:r>
          </w:p>
        </w:tc>
      </w:tr>
      <w:tr w14:paraId="1C59DBB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trPr>
        <w:tc>
          <w:tcPr>
            <w:tcW w:w="660" w:type="pct"/>
            <w:tcBorders>
              <w:tl2br w:val="nil"/>
              <w:tr2bl w:val="nil"/>
            </w:tcBorders>
            <w:noWrap w:val="0"/>
            <w:vAlign w:val="center"/>
          </w:tcPr>
          <w:p w14:paraId="39405BDB">
            <w:pPr>
              <w:pStyle w:val="58"/>
              <w:bidi w:val="0"/>
              <w:rPr>
                <w:rFonts w:hint="default" w:ascii="Times New Roman" w:hAnsi="Times New Roman"/>
              </w:rPr>
            </w:pPr>
            <w:r>
              <w:rPr>
                <w:rFonts w:hint="default" w:ascii="Times New Roman" w:hAnsi="Times New Roman"/>
              </w:rPr>
              <w:t>不敏感</w:t>
            </w:r>
          </w:p>
        </w:tc>
        <w:tc>
          <w:tcPr>
            <w:tcW w:w="4339" w:type="pct"/>
            <w:tcBorders>
              <w:tl2br w:val="nil"/>
              <w:tr2bl w:val="nil"/>
            </w:tcBorders>
            <w:noWrap w:val="0"/>
            <w:vAlign w:val="center"/>
          </w:tcPr>
          <w:p w14:paraId="4EC3D9EF">
            <w:pPr>
              <w:pStyle w:val="58"/>
              <w:bidi w:val="0"/>
              <w:rPr>
                <w:rFonts w:hint="default" w:ascii="Times New Roman" w:hAnsi="Times New Roman"/>
              </w:rPr>
            </w:pPr>
            <w:r>
              <w:rPr>
                <w:rFonts w:hint="default" w:ascii="Times New Roman" w:hAnsi="Times New Roman"/>
              </w:rPr>
              <w:t>上述地区之外的其他地区</w:t>
            </w:r>
          </w:p>
        </w:tc>
      </w:tr>
      <w:tr w14:paraId="0D4301D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trPr>
        <w:tc>
          <w:tcPr>
            <w:tcW w:w="5000" w:type="pct"/>
            <w:gridSpan w:val="2"/>
            <w:tcBorders>
              <w:tl2br w:val="nil"/>
              <w:tr2bl w:val="nil"/>
            </w:tcBorders>
            <w:noWrap w:val="0"/>
            <w:vAlign w:val="center"/>
          </w:tcPr>
          <w:p w14:paraId="5CF11A04">
            <w:pPr>
              <w:pStyle w:val="58"/>
              <w:bidi w:val="0"/>
              <w:rPr>
                <w:rFonts w:hint="default" w:ascii="Times New Roman" w:hAnsi="Times New Roman"/>
              </w:rPr>
            </w:pPr>
            <w:r>
              <w:rPr>
                <w:rFonts w:hint="default" w:ascii="Times New Roman" w:hAnsi="Times New Roman"/>
              </w:rPr>
              <w:t>注：a</w:t>
            </w:r>
            <w:r>
              <w:rPr>
                <w:rFonts w:hint="default" w:ascii="Times New Roman" w:hAnsi="Times New Roman"/>
                <w:lang w:eastAsia="zh-CN"/>
              </w:rPr>
              <w:t>“</w:t>
            </w:r>
            <w:r>
              <w:rPr>
                <w:rFonts w:hint="default" w:ascii="Times New Roman" w:hAnsi="Times New Roman"/>
              </w:rPr>
              <w:t>环境敏感区</w:t>
            </w:r>
            <w:r>
              <w:rPr>
                <w:rFonts w:hint="default" w:ascii="Times New Roman" w:hAnsi="Times New Roman"/>
                <w:lang w:eastAsia="zh-CN"/>
              </w:rPr>
              <w:t>”</w:t>
            </w:r>
            <w:r>
              <w:rPr>
                <w:rFonts w:hint="default" w:ascii="Times New Roman" w:hAnsi="Times New Roman"/>
              </w:rPr>
              <w:t>是指《建设项目环境影响评价分类管理名录》中所界定的涉及地下水的环境敏感区。</w:t>
            </w:r>
          </w:p>
        </w:tc>
      </w:tr>
    </w:tbl>
    <w:p w14:paraId="66393A7D">
      <w:pPr>
        <w:spacing w:line="480" w:lineRule="exact"/>
        <w:ind w:firstLine="480" w:firstLineChars="200"/>
        <w:rPr>
          <w:rFonts w:hint="default" w:ascii="Times New Roman" w:hAnsi="Times New Roman" w:eastAsia="宋体" w:cs="Times New Roman"/>
          <w:snapToGrid w:val="0"/>
          <w:color w:val="000000" w:themeColor="text1"/>
          <w:kern w:val="0"/>
          <w:sz w:val="24"/>
          <w:szCs w:val="24"/>
          <w:highlight w:val="none"/>
          <w:lang w:eastAsia="zh-CN"/>
          <w14:textFill>
            <w14:solidFill>
              <w14:schemeClr w14:val="tx1"/>
            </w14:solidFill>
          </w14:textFill>
        </w:rPr>
      </w:pPr>
      <w:bookmarkStart w:id="86" w:name="_Toc498494530"/>
      <w:bookmarkStart w:id="87" w:name="_Toc498880232"/>
      <w:r>
        <w:rPr>
          <w:rFonts w:hint="default" w:ascii="Times New Roman" w:hAnsi="Times New Roman" w:eastAsia="宋体" w:cs="Times New Roman"/>
          <w:snapToGrid w:val="0"/>
          <w:color w:val="000000" w:themeColor="text1"/>
          <w:kern w:val="0"/>
          <w:sz w:val="24"/>
          <w:szCs w:val="24"/>
          <w:highlight w:val="none"/>
          <w:lang w:val="en-US" w:eastAsia="zh-CN"/>
          <w14:textFill>
            <w14:solidFill>
              <w14:schemeClr w14:val="tx1"/>
            </w14:solidFill>
          </w14:textFill>
        </w:rPr>
        <w:t>本项目位于唐山市曹妃甸区垦丰家居产业园区，</w:t>
      </w:r>
      <w:r>
        <w:rPr>
          <w:rFonts w:hint="default" w:ascii="Times New Roman" w:hAnsi="Times New Roman" w:eastAsia="宋体" w:cs="Times New Roman"/>
          <w:snapToGrid w:val="0"/>
          <w:color w:val="000000" w:themeColor="text1"/>
          <w:kern w:val="0"/>
          <w:sz w:val="24"/>
          <w:highlight w:val="none"/>
          <w:lang w:val="en-US" w:eastAsia="zh-CN"/>
          <w14:textFill>
            <w14:solidFill>
              <w14:schemeClr w14:val="tx1"/>
            </w14:solidFill>
          </w14:textFill>
        </w:rPr>
        <w:t>根据对项目所在区域的地下水环境现状调查可知，项目占地范围内无集中式饮用水水源准保护区，不涉及国家或地方政府设定的与地下水环境相关的其它保护区，如热水、矿泉水、温泉等特殊地下水资源保护区。但本项目附近分布有分散式饮用水井，主要为园区内饮用水井，涉及分散式饮用水源地。</w:t>
      </w:r>
      <w:r>
        <w:rPr>
          <w:rFonts w:hint="default" w:ascii="Times New Roman" w:hAnsi="Times New Roman" w:eastAsia="宋体" w:cs="Times New Roman"/>
          <w:b w:val="0"/>
          <w:bCs w:val="0"/>
          <w:caps w:val="0"/>
          <w:smallCaps w:val="0"/>
          <w:color w:val="auto"/>
          <w:sz w:val="24"/>
          <w:highlight w:val="none"/>
          <w:lang w:val="en-US" w:eastAsia="zh-CN"/>
        </w:rPr>
        <w:t>项目下游1</w:t>
      </w:r>
      <w:r>
        <w:rPr>
          <w:rFonts w:hint="eastAsia" w:ascii="Times New Roman" w:hAnsi="Times New Roman" w:eastAsia="宋体" w:cs="Times New Roman"/>
          <w:b w:val="0"/>
          <w:bCs w:val="0"/>
          <w:caps w:val="0"/>
          <w:smallCaps w:val="0"/>
          <w:color w:val="auto"/>
          <w:sz w:val="24"/>
          <w:highlight w:val="none"/>
          <w:lang w:val="en-US" w:eastAsia="zh-CN"/>
        </w:rPr>
        <w:t>276</w:t>
      </w:r>
      <w:r>
        <w:rPr>
          <w:rFonts w:hint="default" w:ascii="Times New Roman" w:hAnsi="Times New Roman" w:eastAsia="宋体" w:cs="Times New Roman"/>
          <w:b w:val="0"/>
          <w:bCs w:val="0"/>
          <w:caps w:val="0"/>
          <w:smallCaps w:val="0"/>
          <w:color w:val="auto"/>
          <w:sz w:val="24"/>
          <w:highlight w:val="none"/>
          <w:lang w:val="en-US" w:eastAsia="zh-CN"/>
        </w:rPr>
        <w:t>m为曹妃甸湿地和鸟类省级自然保护区实验区，</w:t>
      </w:r>
      <w:r>
        <w:rPr>
          <w:rFonts w:hint="default" w:ascii="Times New Roman" w:hAnsi="Times New Roman" w:eastAsia="宋体" w:cs="Times New Roman"/>
          <w:snapToGrid w:val="0"/>
          <w:color w:val="000000" w:themeColor="text1"/>
          <w:kern w:val="0"/>
          <w:sz w:val="24"/>
          <w:highlight w:val="none"/>
          <w:lang w:val="en-US" w:eastAsia="zh-CN"/>
          <w14:textFill>
            <w14:solidFill>
              <w14:schemeClr w14:val="tx1"/>
            </w14:solidFill>
          </w14:textFill>
        </w:rPr>
        <w:t>因此本项目地下水功能敏感性为较敏感。</w:t>
      </w:r>
    </w:p>
    <w:p w14:paraId="79C9F822">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 w:val="24"/>
          <w:highlight w:val="none"/>
          <w14:textFill>
            <w14:solidFill>
              <w14:schemeClr w14:val="tx1"/>
            </w14:solidFill>
          </w14:textFill>
        </w:rPr>
        <w:t>(3)</w:t>
      </w:r>
      <w:r>
        <w:rPr>
          <w:rFonts w:hint="default" w:ascii="Times New Roman" w:hAnsi="Times New Roman" w:eastAsia="宋体" w:cs="Times New Roman"/>
          <w:color w:val="000000" w:themeColor="text1"/>
          <w:sz w:val="24"/>
          <w:highlight w:val="none"/>
          <w14:textFill>
            <w14:solidFill>
              <w14:schemeClr w14:val="tx1"/>
            </w14:solidFill>
          </w14:textFill>
        </w:rPr>
        <w:t>建设项目评价工作等级</w:t>
      </w:r>
    </w:p>
    <w:p w14:paraId="08C71163">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《环境影响评价技术导则-地下水环境》（HJ610-2016）评价工作等级分级表见表2.5-</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highlight w:val="none"/>
          <w14:textFill>
            <w14:solidFill>
              <w14:schemeClr w14:val="tx1"/>
            </w14:solidFill>
          </w14:textFill>
        </w:rPr>
        <w:t>。</w:t>
      </w:r>
    </w:p>
    <w:p w14:paraId="62E4BB05">
      <w:pPr>
        <w:pageBreakBefore w:val="0"/>
        <w:widowControl w:val="0"/>
        <w:numPr>
          <w:ilvl w:val="0"/>
          <w:numId w:val="12"/>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bCs/>
          <w:color w:val="000000" w:themeColor="text1"/>
          <w:sz w:val="24"/>
          <w:szCs w:val="24"/>
          <w:highlight w:val="none"/>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14:textFill>
            <w14:solidFill>
              <w14:schemeClr w14:val="tx1"/>
            </w14:solidFill>
          </w14:textFill>
        </w:rPr>
        <w:t>评价工作等级分级表</w:t>
      </w:r>
    </w:p>
    <w:tbl>
      <w:tblPr>
        <w:tblStyle w:val="47"/>
        <w:tblW w:w="4998"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autofit"/>
        <w:tblCellMar>
          <w:top w:w="0" w:type="dxa"/>
          <w:left w:w="108" w:type="dxa"/>
          <w:bottom w:w="0" w:type="dxa"/>
          <w:right w:w="108" w:type="dxa"/>
        </w:tblCellMar>
      </w:tblPr>
      <w:tblGrid>
        <w:gridCol w:w="4066"/>
        <w:gridCol w:w="1745"/>
        <w:gridCol w:w="1561"/>
        <w:gridCol w:w="1912"/>
      </w:tblGrid>
      <w:tr w14:paraId="17B3DC1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549" w:hRule="atLeast"/>
          <w:jc w:val="center"/>
        </w:trPr>
        <w:tc>
          <w:tcPr>
            <w:tcW w:w="2189" w:type="pct"/>
            <w:tcBorders>
              <w:tl2br w:val="nil"/>
              <w:tr2bl w:val="nil"/>
            </w:tcBorders>
            <w:noWrap w:val="0"/>
            <w:vAlign w:val="center"/>
          </w:tcPr>
          <w:p w14:paraId="43CAF27E">
            <w:pPr>
              <w:pStyle w:val="58"/>
              <w:bidi w:val="0"/>
              <w:rPr>
                <w:rFonts w:hint="default" w:ascii="Times New Roman" w:hAnsi="Times New Roman"/>
              </w:rPr>
            </w:pPr>
            <w:r>
              <w:rPr>
                <w:rFonts w:hint="default" w:ascii="Times New Roman" w:hAnsi="Times New Roman"/>
              </w:rPr>
              <mc:AlternateContent>
                <mc:Choice Requires="wps">
                  <w:drawing>
                    <wp:anchor distT="0" distB="0" distL="114300" distR="114300" simplePos="0" relativeHeight="251665408" behindDoc="0" locked="0" layoutInCell="1" allowOverlap="1">
                      <wp:simplePos x="0" y="0"/>
                      <wp:positionH relativeFrom="column">
                        <wp:posOffset>-68580</wp:posOffset>
                      </wp:positionH>
                      <wp:positionV relativeFrom="paragraph">
                        <wp:posOffset>17145</wp:posOffset>
                      </wp:positionV>
                      <wp:extent cx="2546985" cy="363855"/>
                      <wp:effectExtent l="635" t="4445" r="5080" b="12700"/>
                      <wp:wrapNone/>
                      <wp:docPr id="22" name="直接连接符 22"/>
                      <wp:cNvGraphicFramePr/>
                      <a:graphic xmlns:a="http://schemas.openxmlformats.org/drawingml/2006/main">
                        <a:graphicData uri="http://schemas.microsoft.com/office/word/2010/wordprocessingShape">
                          <wps:wsp>
                            <wps:cNvCnPr/>
                            <wps:spPr>
                              <a:xfrm>
                                <a:off x="0" y="0"/>
                                <a:ext cx="2546985" cy="36385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5.4pt;margin-top:1.35pt;height:28.65pt;width:200.55pt;z-index:251665408;mso-width-relative:page;mso-height-relative:page;" filled="f" stroked="t" coordsize="21600,21600" o:gfxdata="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fReD7tYAAAAIAQAADwAAAAAAAAABACAAAAAiAAAAZHJzL2Rvd25yZXYueG1s&#10;UEsBAhQAFAAAAAgAh07iQJHebU76AQAA6wMAAA4AAAAAAAAAAQAgAAAAJQEAAGRycy9lMm9Eb2Mu&#10;eG1sUEsFBgAAAAAGAAYAWQEAAJEFAAAAAA==&#10;">
                      <v:fill on="f" focussize="0,0"/>
                      <v:stroke color="#000000" joinstyle="round"/>
                      <v:imagedata o:title=""/>
                      <o:lock v:ext="edit" aspectratio="f"/>
                    </v:line>
                  </w:pict>
                </mc:Fallback>
              </mc:AlternateContent>
            </w:r>
            <w:r>
              <w:rPr>
                <w:rFonts w:hint="default" w:ascii="Times New Roman" w:hAnsi="Times New Roman"/>
                <w:lang w:eastAsia="zh-CN"/>
              </w:rPr>
              <w:t>　　　　　　　　　　　　</w:t>
            </w:r>
            <w:r>
              <w:rPr>
                <w:rFonts w:hint="default" w:ascii="Times New Roman" w:hAnsi="Times New Roman"/>
              </w:rPr>
              <w:t>项目类别</w:t>
            </w:r>
          </w:p>
          <w:p w14:paraId="11101806">
            <w:pPr>
              <w:pStyle w:val="58"/>
              <w:bidi w:val="0"/>
              <w:rPr>
                <w:rFonts w:hint="default" w:ascii="Times New Roman" w:hAnsi="Times New Roman"/>
              </w:rPr>
            </w:pPr>
            <w:r>
              <w:rPr>
                <w:rFonts w:hint="default" w:ascii="Times New Roman" w:hAnsi="Times New Roman"/>
              </w:rPr>
              <w:t>环境敏感程度</w:t>
            </w:r>
          </w:p>
        </w:tc>
        <w:tc>
          <w:tcPr>
            <w:tcW w:w="939" w:type="pct"/>
            <w:tcBorders>
              <w:tl2br w:val="nil"/>
              <w:tr2bl w:val="nil"/>
            </w:tcBorders>
            <w:noWrap w:val="0"/>
            <w:vAlign w:val="center"/>
          </w:tcPr>
          <w:p w14:paraId="1BD16C5C">
            <w:pPr>
              <w:pStyle w:val="58"/>
              <w:bidi w:val="0"/>
              <w:rPr>
                <w:rFonts w:hint="default" w:ascii="Times New Roman" w:hAnsi="Times New Roman"/>
              </w:rPr>
            </w:pPr>
            <w:r>
              <w:rPr>
                <w:rFonts w:hint="default" w:ascii="Times New Roman" w:hAnsi="Times New Roman"/>
              </w:rPr>
              <w:t>Ⅰ类项目</w:t>
            </w:r>
          </w:p>
        </w:tc>
        <w:tc>
          <w:tcPr>
            <w:tcW w:w="840" w:type="pct"/>
            <w:tcBorders>
              <w:tl2br w:val="nil"/>
              <w:tr2bl w:val="nil"/>
            </w:tcBorders>
            <w:noWrap w:val="0"/>
            <w:vAlign w:val="center"/>
          </w:tcPr>
          <w:p w14:paraId="10BA4D11">
            <w:pPr>
              <w:pStyle w:val="58"/>
              <w:bidi w:val="0"/>
              <w:rPr>
                <w:rFonts w:hint="default" w:ascii="Times New Roman" w:hAnsi="Times New Roman"/>
              </w:rPr>
            </w:pPr>
            <w:r>
              <w:rPr>
                <w:rFonts w:hint="default" w:ascii="Times New Roman" w:hAnsi="Times New Roman"/>
              </w:rPr>
              <w:t>Ⅱ类项目</w:t>
            </w:r>
          </w:p>
        </w:tc>
        <w:tc>
          <w:tcPr>
            <w:tcW w:w="1029" w:type="pct"/>
            <w:tcBorders>
              <w:tl2br w:val="nil"/>
              <w:tr2bl w:val="nil"/>
            </w:tcBorders>
            <w:noWrap w:val="0"/>
            <w:vAlign w:val="center"/>
          </w:tcPr>
          <w:p w14:paraId="302D4A21">
            <w:pPr>
              <w:pStyle w:val="58"/>
              <w:bidi w:val="0"/>
              <w:rPr>
                <w:rFonts w:hint="default" w:ascii="Times New Roman" w:hAnsi="Times New Roman"/>
              </w:rPr>
            </w:pPr>
            <w:r>
              <w:rPr>
                <w:rFonts w:hint="default" w:ascii="Times New Roman" w:hAnsi="Times New Roman"/>
              </w:rPr>
              <w:t>Ⅲ类项目</w:t>
            </w:r>
          </w:p>
        </w:tc>
      </w:tr>
      <w:tr w14:paraId="2CFF420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2189" w:type="pct"/>
            <w:tcBorders>
              <w:tl2br w:val="nil"/>
              <w:tr2bl w:val="nil"/>
            </w:tcBorders>
            <w:noWrap w:val="0"/>
            <w:vAlign w:val="center"/>
          </w:tcPr>
          <w:p w14:paraId="262077BE">
            <w:pPr>
              <w:pStyle w:val="58"/>
              <w:bidi w:val="0"/>
              <w:rPr>
                <w:rFonts w:hint="default" w:ascii="Times New Roman" w:hAnsi="Times New Roman"/>
              </w:rPr>
            </w:pPr>
            <w:r>
              <w:rPr>
                <w:rFonts w:hint="default" w:ascii="Times New Roman" w:hAnsi="Times New Roman"/>
              </w:rPr>
              <w:t>敏感</w:t>
            </w:r>
          </w:p>
        </w:tc>
        <w:tc>
          <w:tcPr>
            <w:tcW w:w="939" w:type="pct"/>
            <w:tcBorders>
              <w:tl2br w:val="nil"/>
              <w:tr2bl w:val="nil"/>
            </w:tcBorders>
            <w:noWrap w:val="0"/>
            <w:vAlign w:val="center"/>
          </w:tcPr>
          <w:p w14:paraId="255C51D4">
            <w:pPr>
              <w:pStyle w:val="58"/>
              <w:bidi w:val="0"/>
              <w:rPr>
                <w:rFonts w:hint="default" w:ascii="Times New Roman" w:hAnsi="Times New Roman"/>
              </w:rPr>
            </w:pPr>
            <w:r>
              <w:rPr>
                <w:rFonts w:hint="default" w:ascii="Times New Roman" w:hAnsi="Times New Roman"/>
              </w:rPr>
              <w:t>一</w:t>
            </w:r>
          </w:p>
        </w:tc>
        <w:tc>
          <w:tcPr>
            <w:tcW w:w="840" w:type="pct"/>
            <w:tcBorders>
              <w:tl2br w:val="nil"/>
              <w:tr2bl w:val="nil"/>
            </w:tcBorders>
            <w:noWrap w:val="0"/>
            <w:vAlign w:val="center"/>
          </w:tcPr>
          <w:p w14:paraId="58AF50C9">
            <w:pPr>
              <w:pStyle w:val="58"/>
              <w:bidi w:val="0"/>
              <w:rPr>
                <w:rFonts w:hint="default" w:ascii="Times New Roman" w:hAnsi="Times New Roman"/>
              </w:rPr>
            </w:pPr>
            <w:r>
              <w:rPr>
                <w:rFonts w:hint="default" w:ascii="Times New Roman" w:hAnsi="Times New Roman"/>
              </w:rPr>
              <w:t>一</w:t>
            </w:r>
          </w:p>
        </w:tc>
        <w:tc>
          <w:tcPr>
            <w:tcW w:w="1029" w:type="pct"/>
            <w:tcBorders>
              <w:tl2br w:val="nil"/>
              <w:tr2bl w:val="nil"/>
            </w:tcBorders>
            <w:noWrap w:val="0"/>
            <w:vAlign w:val="center"/>
          </w:tcPr>
          <w:p w14:paraId="01FF9684">
            <w:pPr>
              <w:pStyle w:val="58"/>
              <w:bidi w:val="0"/>
              <w:rPr>
                <w:rFonts w:hint="default" w:ascii="Times New Roman" w:hAnsi="Times New Roman"/>
              </w:rPr>
            </w:pPr>
            <w:r>
              <w:rPr>
                <w:rFonts w:hint="default" w:ascii="Times New Roman" w:hAnsi="Times New Roman"/>
              </w:rPr>
              <w:t>二</w:t>
            </w:r>
          </w:p>
        </w:tc>
      </w:tr>
      <w:tr w14:paraId="01B57EE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2189" w:type="pct"/>
            <w:tcBorders>
              <w:tl2br w:val="nil"/>
              <w:tr2bl w:val="nil"/>
            </w:tcBorders>
            <w:noWrap w:val="0"/>
            <w:vAlign w:val="center"/>
          </w:tcPr>
          <w:p w14:paraId="67C6CAAC">
            <w:pPr>
              <w:pStyle w:val="58"/>
              <w:bidi w:val="0"/>
              <w:rPr>
                <w:rFonts w:hint="default" w:ascii="Times New Roman" w:hAnsi="Times New Roman"/>
              </w:rPr>
            </w:pPr>
            <w:r>
              <w:rPr>
                <w:rFonts w:hint="default" w:ascii="Times New Roman" w:hAnsi="Times New Roman"/>
              </w:rPr>
              <w:t>较敏感</w:t>
            </w:r>
          </w:p>
        </w:tc>
        <w:tc>
          <w:tcPr>
            <w:tcW w:w="939" w:type="pct"/>
            <w:tcBorders>
              <w:tl2br w:val="nil"/>
              <w:tr2bl w:val="nil"/>
            </w:tcBorders>
            <w:noWrap w:val="0"/>
            <w:vAlign w:val="center"/>
          </w:tcPr>
          <w:p w14:paraId="68D56120">
            <w:pPr>
              <w:pStyle w:val="58"/>
              <w:bidi w:val="0"/>
              <w:rPr>
                <w:rFonts w:hint="eastAsia" w:ascii="Times New Roman" w:hAnsi="Times New Roman"/>
                <w:lang w:val="en-US" w:eastAsia="zh-CN"/>
              </w:rPr>
            </w:pPr>
            <w:r>
              <w:rPr>
                <w:rFonts w:hint="eastAsia" w:ascii="Times New Roman" w:hAnsi="Times New Roman"/>
                <w:b/>
                <w:bCs/>
                <w:shd w:val="clear" w:color="FFFFFF" w:fill="D9D9D9"/>
                <w:lang w:val="en-US" w:eastAsia="zh-CN"/>
              </w:rPr>
              <w:t>一</w:t>
            </w:r>
          </w:p>
        </w:tc>
        <w:tc>
          <w:tcPr>
            <w:tcW w:w="840" w:type="pct"/>
            <w:tcBorders>
              <w:tl2br w:val="nil"/>
              <w:tr2bl w:val="nil"/>
            </w:tcBorders>
            <w:noWrap w:val="0"/>
            <w:vAlign w:val="center"/>
          </w:tcPr>
          <w:p w14:paraId="501DD7A0">
            <w:pPr>
              <w:pStyle w:val="58"/>
              <w:bidi w:val="0"/>
              <w:rPr>
                <w:rFonts w:hint="default" w:ascii="Times New Roman" w:hAnsi="Times New Roman"/>
              </w:rPr>
            </w:pPr>
            <w:r>
              <w:rPr>
                <w:rFonts w:hint="default" w:ascii="Times New Roman" w:hAnsi="Times New Roman"/>
              </w:rPr>
              <w:t>二</w:t>
            </w:r>
          </w:p>
        </w:tc>
        <w:tc>
          <w:tcPr>
            <w:tcW w:w="1029" w:type="pct"/>
            <w:tcBorders>
              <w:tl2br w:val="nil"/>
              <w:tr2bl w:val="nil"/>
            </w:tcBorders>
            <w:noWrap w:val="0"/>
            <w:vAlign w:val="center"/>
          </w:tcPr>
          <w:p w14:paraId="5EC66B58">
            <w:pPr>
              <w:pStyle w:val="58"/>
              <w:bidi w:val="0"/>
              <w:rPr>
                <w:rFonts w:hint="default" w:ascii="Times New Roman" w:hAnsi="Times New Roman"/>
              </w:rPr>
            </w:pPr>
            <w:r>
              <w:rPr>
                <w:rFonts w:hint="default" w:ascii="Times New Roman" w:hAnsi="Times New Roman"/>
              </w:rPr>
              <w:t>三</w:t>
            </w:r>
          </w:p>
        </w:tc>
      </w:tr>
      <w:tr w14:paraId="765D941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2189" w:type="pct"/>
            <w:tcBorders>
              <w:tl2br w:val="nil"/>
              <w:tr2bl w:val="nil"/>
            </w:tcBorders>
            <w:noWrap w:val="0"/>
            <w:vAlign w:val="center"/>
          </w:tcPr>
          <w:p w14:paraId="4D0BCFCA">
            <w:pPr>
              <w:pStyle w:val="58"/>
              <w:bidi w:val="0"/>
              <w:rPr>
                <w:rFonts w:hint="default" w:ascii="Times New Roman" w:hAnsi="Times New Roman"/>
              </w:rPr>
            </w:pPr>
            <w:r>
              <w:rPr>
                <w:rFonts w:hint="default" w:ascii="Times New Roman" w:hAnsi="Times New Roman"/>
              </w:rPr>
              <w:t>不敏感</w:t>
            </w:r>
          </w:p>
        </w:tc>
        <w:tc>
          <w:tcPr>
            <w:tcW w:w="939" w:type="pct"/>
            <w:tcBorders>
              <w:tl2br w:val="nil"/>
              <w:tr2bl w:val="nil"/>
            </w:tcBorders>
            <w:noWrap w:val="0"/>
            <w:vAlign w:val="center"/>
          </w:tcPr>
          <w:p w14:paraId="3326B4B2">
            <w:pPr>
              <w:pStyle w:val="58"/>
              <w:bidi w:val="0"/>
              <w:rPr>
                <w:rFonts w:hint="default" w:ascii="Times New Roman" w:hAnsi="Times New Roman"/>
              </w:rPr>
            </w:pPr>
            <w:r>
              <w:rPr>
                <w:rFonts w:hint="default" w:ascii="Times New Roman" w:hAnsi="Times New Roman"/>
              </w:rPr>
              <w:t>二</w:t>
            </w:r>
          </w:p>
        </w:tc>
        <w:tc>
          <w:tcPr>
            <w:tcW w:w="840" w:type="pct"/>
            <w:tcBorders>
              <w:tl2br w:val="nil"/>
              <w:tr2bl w:val="nil"/>
            </w:tcBorders>
            <w:noWrap w:val="0"/>
            <w:vAlign w:val="center"/>
          </w:tcPr>
          <w:p w14:paraId="751BA163">
            <w:pPr>
              <w:pStyle w:val="58"/>
              <w:bidi w:val="0"/>
              <w:rPr>
                <w:rFonts w:hint="default" w:ascii="Times New Roman" w:hAnsi="Times New Roman"/>
              </w:rPr>
            </w:pPr>
            <w:r>
              <w:rPr>
                <w:rFonts w:hint="default" w:ascii="Times New Roman" w:hAnsi="Times New Roman"/>
              </w:rPr>
              <w:t>三</w:t>
            </w:r>
          </w:p>
        </w:tc>
        <w:tc>
          <w:tcPr>
            <w:tcW w:w="1029" w:type="pct"/>
            <w:tcBorders>
              <w:tl2br w:val="nil"/>
              <w:tr2bl w:val="nil"/>
            </w:tcBorders>
            <w:noWrap w:val="0"/>
            <w:vAlign w:val="center"/>
          </w:tcPr>
          <w:p w14:paraId="13B2E61E">
            <w:pPr>
              <w:pStyle w:val="58"/>
              <w:bidi w:val="0"/>
              <w:rPr>
                <w:rFonts w:hint="default" w:ascii="Times New Roman" w:hAnsi="Times New Roman"/>
              </w:rPr>
            </w:pPr>
            <w:r>
              <w:rPr>
                <w:rFonts w:hint="default" w:ascii="Times New Roman" w:hAnsi="Times New Roman"/>
              </w:rPr>
              <w:t>三</w:t>
            </w:r>
          </w:p>
        </w:tc>
      </w:tr>
    </w:tbl>
    <w:p w14:paraId="24436E62">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根据上述分析，按照《环境影响评价技术导则—地下水环境》（HJ</w:t>
      </w:r>
      <w:r>
        <w:rPr>
          <w:rFonts w:hint="default" w:ascii="Times New Roman" w:hAnsi="Times New Roman" w:eastAsia="宋体" w:cs="Times New Roman"/>
          <w:color w:val="000000" w:themeColor="text1"/>
          <w:sz w:val="24"/>
          <w:szCs w:val="24"/>
          <w:highlight w:val="none"/>
          <w14:textFill>
            <w14:solidFill>
              <w14:schemeClr w14:val="tx1"/>
            </w14:solidFill>
          </w14:textFill>
        </w:rPr>
        <w:softHyphen/>
      </w:r>
      <w:r>
        <w:rPr>
          <w:rFonts w:hint="default" w:ascii="Times New Roman" w:hAnsi="Times New Roman" w:eastAsia="宋体" w:cs="Times New Roman"/>
          <w:color w:val="000000" w:themeColor="text1"/>
          <w:sz w:val="24"/>
          <w:szCs w:val="24"/>
          <w:highlight w:val="none"/>
          <w14:textFill>
            <w14:solidFill>
              <w14:schemeClr w14:val="tx1"/>
            </w14:solidFill>
          </w14:textFill>
        </w:rPr>
        <w:t>610-2016）中的评价等级划分办法，确定拟建项目地下水环境影响评价工作等级为</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一级</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1F7EF238">
      <w:pPr>
        <w:pStyle w:val="6"/>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2.5.5生态影响评价等级</w:t>
      </w:r>
      <w:bookmarkEnd w:id="86"/>
      <w:bookmarkEnd w:id="87"/>
    </w:p>
    <w:p w14:paraId="4FDC77AB">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根据《环境影响评价技术导则·生态影响》（HJ19-2022），</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本项目在现有厂区内进行建设，属于“符合生态环境分区管控要求且位于原厂界（或永久占地）范围内的污染影响类改扩建项目”</w:t>
      </w:r>
      <w:r>
        <w:rPr>
          <w:rFonts w:hint="default" w:ascii="Times New Roman" w:hAnsi="Times New Roman" w:eastAsia="宋体" w:cs="Times New Roman"/>
          <w:color w:val="000000" w:themeColor="text1"/>
          <w:sz w:val="24"/>
          <w:highlight w:val="none"/>
          <w14:textFill>
            <w14:solidFill>
              <w14:schemeClr w14:val="tx1"/>
            </w14:solidFill>
          </w14:textFill>
        </w:rPr>
        <w:t>，因此，确定生态影响评价工作等级为</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生态影响简单分析</w:t>
      </w:r>
      <w:r>
        <w:rPr>
          <w:rFonts w:hint="default" w:ascii="Times New Roman" w:hAnsi="Times New Roman" w:eastAsia="宋体" w:cs="Times New Roman"/>
          <w:color w:val="000000" w:themeColor="text1"/>
          <w:sz w:val="24"/>
          <w:highlight w:val="none"/>
          <w14:textFill>
            <w14:solidFill>
              <w14:schemeClr w14:val="tx1"/>
            </w14:solidFill>
          </w14:textFill>
        </w:rPr>
        <w:t>。</w:t>
      </w:r>
    </w:p>
    <w:p w14:paraId="152F13BB">
      <w:pPr>
        <w:pStyle w:val="6"/>
        <w:pageBreakBefore w:val="0"/>
        <w:widowControl w:val="0"/>
        <w:kinsoku/>
        <w:wordWrap/>
        <w:overflowPunct/>
        <w:topLinePunct w:val="0"/>
        <w:bidi w:val="0"/>
        <w:spacing w:line="480" w:lineRule="exact"/>
        <w:textAlignment w:val="auto"/>
        <w:rPr>
          <w:rFonts w:hint="default" w:ascii="Times New Roman" w:hAnsi="Times New Roman" w:eastAsia="宋体" w:cs="Times New Roman"/>
          <w:color w:val="auto"/>
          <w:sz w:val="24"/>
          <w:szCs w:val="24"/>
          <w:highlight w:val="none"/>
        </w:rPr>
      </w:pPr>
      <w:bookmarkStart w:id="88" w:name="_Toc498880233"/>
      <w:bookmarkStart w:id="89" w:name="_Toc498494531"/>
      <w:r>
        <w:rPr>
          <w:rFonts w:hint="default" w:ascii="Times New Roman" w:hAnsi="Times New Roman" w:eastAsia="宋体" w:cs="Times New Roman"/>
          <w:color w:val="000000" w:themeColor="text1"/>
          <w:highlight w:val="none"/>
          <w14:textFill>
            <w14:solidFill>
              <w14:schemeClr w14:val="tx1"/>
            </w14:solidFill>
          </w14:textFill>
        </w:rPr>
        <w:t>2.5.6风险影响评价等级</w:t>
      </w:r>
      <w:bookmarkEnd w:id="88"/>
      <w:bookmarkEnd w:id="89"/>
    </w:p>
    <w:p w14:paraId="56EA5958">
      <w:pPr>
        <w:keepNext w:val="0"/>
        <w:keepLines w:val="0"/>
        <w:pageBreakBefore w:val="0"/>
        <w:widowControl w:val="0"/>
        <w:kinsoku/>
        <w:wordWrap/>
        <w:overflowPunct/>
        <w:topLinePunct w:val="0"/>
        <w:autoSpaceDE/>
        <w:autoSpaceDN/>
        <w:bidi w:val="0"/>
        <w:adjustRightInd/>
        <w:snapToGrid/>
        <w:spacing w:line="500" w:lineRule="exact"/>
        <w:ind w:right="0"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根据《建设项目环境风险评价技术导则》（HJ169</w:t>
      </w:r>
      <w:r>
        <w:rPr>
          <w:rFonts w:hint="default"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rPr>
        <w:t>20</w:t>
      </w:r>
      <w:r>
        <w:rPr>
          <w:rFonts w:hint="default" w:ascii="Times New Roman" w:hAnsi="Times New Roman" w:eastAsia="宋体" w:cs="Times New Roman"/>
          <w:color w:val="auto"/>
          <w:sz w:val="24"/>
          <w:szCs w:val="24"/>
          <w:highlight w:val="none"/>
          <w:lang w:val="en-US" w:eastAsia="zh-CN"/>
        </w:rPr>
        <w:t>18</w:t>
      </w:r>
      <w:r>
        <w:rPr>
          <w:rFonts w:hint="default" w:ascii="Times New Roman" w:hAnsi="Times New Roman" w:eastAsia="宋体" w:cs="Times New Roman"/>
          <w:color w:val="auto"/>
          <w:sz w:val="24"/>
          <w:szCs w:val="24"/>
          <w:highlight w:val="none"/>
        </w:rPr>
        <w:t>），对本项目进行风险识别、风险分析和对环境后果计算等方法进行环境风险评价，提出减少风险的事故应急措施及应急预案，为工程设计和环境管理提供资料和依据，以达</w:t>
      </w:r>
      <w:r>
        <w:rPr>
          <w:rFonts w:hint="default" w:ascii="Times New Roman" w:hAnsi="Times New Roman" w:eastAsia="宋体" w:cs="Times New Roman"/>
          <w:color w:val="auto"/>
          <w:sz w:val="24"/>
          <w:szCs w:val="24"/>
          <w:highlight w:val="none"/>
          <w:lang w:eastAsia="zh-CN"/>
        </w:rPr>
        <w:t>降低环境风险</w:t>
      </w:r>
      <w:r>
        <w:rPr>
          <w:rFonts w:hint="default" w:ascii="Times New Roman" w:hAnsi="Times New Roman" w:eastAsia="宋体" w:cs="Times New Roman"/>
          <w:color w:val="auto"/>
          <w:sz w:val="24"/>
          <w:szCs w:val="24"/>
          <w:highlight w:val="none"/>
        </w:rPr>
        <w:t>，减少环境污染的目的。</w:t>
      </w:r>
    </w:p>
    <w:p w14:paraId="41179B1B">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（一）风险调查</w:t>
      </w:r>
    </w:p>
    <w:p w14:paraId="26B03765">
      <w:pPr>
        <w:keepNext w:val="0"/>
        <w:keepLines w:val="0"/>
        <w:pageBreakBefore w:val="0"/>
        <w:widowControl/>
        <w:kinsoku/>
        <w:wordWrap/>
        <w:overflowPunct/>
        <w:topLinePunct w:val="0"/>
        <w:autoSpaceDE/>
        <w:autoSpaceDN/>
        <w:bidi w:val="0"/>
        <w:adjustRightInd/>
        <w:snapToGrid/>
        <w:spacing w:line="500" w:lineRule="exact"/>
        <w:ind w:firstLine="470" w:firstLineChars="196"/>
        <w:textAlignment w:val="auto"/>
        <w:rPr>
          <w:rFonts w:hint="default" w:ascii="Times New Roman" w:hAnsi="Times New Roman" w:eastAsia="宋体" w:cs="Times New Roman"/>
          <w:b/>
          <w:bCs/>
          <w:color w:val="auto"/>
          <w:sz w:val="24"/>
          <w:highlight w:val="none"/>
          <w:lang w:eastAsia="zh-CN"/>
        </w:rPr>
      </w:pPr>
      <w:r>
        <w:rPr>
          <w:rFonts w:hint="default" w:ascii="Times New Roman" w:hAnsi="Times New Roman" w:eastAsia="宋体" w:cs="Times New Roman"/>
          <w:color w:val="auto"/>
          <w:sz w:val="24"/>
          <w:szCs w:val="24"/>
          <w:highlight w:val="none"/>
          <w:lang w:val="en-US" w:eastAsia="zh-CN"/>
        </w:rPr>
        <w:t>本项涉及的风险物质主要为次氯酸钠、硫酸、重铬酸钾、纳氏试剂(含汞）、润滑油、废润滑油、液压油、废液压油、废油桶、在线监测废液、</w:t>
      </w:r>
      <w:r>
        <w:rPr>
          <w:rFonts w:hint="eastAsia" w:cs="Times New Roman"/>
          <w:color w:val="auto"/>
          <w:sz w:val="24"/>
          <w:szCs w:val="24"/>
          <w:highlight w:val="none"/>
          <w:lang w:val="en-US" w:eastAsia="zh-CN"/>
        </w:rPr>
        <w:t>实验室</w:t>
      </w:r>
      <w:r>
        <w:rPr>
          <w:rFonts w:hint="default" w:ascii="Times New Roman" w:hAnsi="Times New Roman" w:eastAsia="宋体" w:cs="Times New Roman"/>
          <w:color w:val="auto"/>
          <w:sz w:val="24"/>
          <w:szCs w:val="24"/>
          <w:highlight w:val="none"/>
          <w:lang w:val="en-US" w:eastAsia="zh-CN"/>
        </w:rPr>
        <w:t>废液等，润滑油</w:t>
      </w:r>
      <w:r>
        <w:rPr>
          <w:rFonts w:hint="eastAsia" w:cs="Times New Roman"/>
          <w:color w:val="auto"/>
          <w:sz w:val="24"/>
          <w:szCs w:val="24"/>
          <w:highlight w:val="none"/>
          <w:lang w:val="en-US" w:eastAsia="zh-CN"/>
        </w:rPr>
        <w:t>、液压油等</w:t>
      </w:r>
      <w:r>
        <w:rPr>
          <w:rFonts w:hint="default" w:ascii="Times New Roman" w:hAnsi="Times New Roman" w:eastAsia="宋体" w:cs="Times New Roman"/>
          <w:color w:val="auto"/>
          <w:sz w:val="24"/>
          <w:szCs w:val="24"/>
          <w:highlight w:val="none"/>
          <w:lang w:val="en-US" w:eastAsia="zh-CN"/>
        </w:rPr>
        <w:t>采用专用容器储存存放于库房，次氯酸钠、硫酸、重铬酸钾、纳氏试剂(含汞）等采用专用容器储存存放于</w:t>
      </w:r>
      <w:r>
        <w:rPr>
          <w:rFonts w:hint="eastAsia" w:cs="Times New Roman"/>
          <w:color w:val="auto"/>
          <w:sz w:val="24"/>
          <w:szCs w:val="24"/>
          <w:highlight w:val="none"/>
          <w:lang w:val="en-US" w:eastAsia="zh-CN"/>
        </w:rPr>
        <w:t>加药间及实验室，</w:t>
      </w:r>
      <w:r>
        <w:rPr>
          <w:rFonts w:hint="default" w:ascii="Times New Roman" w:hAnsi="Times New Roman" w:eastAsia="宋体" w:cs="Times New Roman"/>
          <w:color w:val="auto"/>
          <w:sz w:val="24"/>
          <w:szCs w:val="24"/>
          <w:highlight w:val="none"/>
          <w:lang w:val="en-US" w:eastAsia="zh-CN"/>
        </w:rPr>
        <w:t>废润滑油</w:t>
      </w:r>
      <w:r>
        <w:rPr>
          <w:rFonts w:hint="eastAsia" w:cs="Times New Roman"/>
          <w:color w:val="auto"/>
          <w:sz w:val="24"/>
          <w:szCs w:val="24"/>
          <w:highlight w:val="none"/>
          <w:lang w:val="en-US" w:eastAsia="zh-CN"/>
        </w:rPr>
        <w:t>、废液压油、在线监测废液、实验室废液等</w:t>
      </w:r>
      <w:r>
        <w:rPr>
          <w:rFonts w:hint="default" w:ascii="Times New Roman" w:hAnsi="Times New Roman" w:eastAsia="宋体" w:cs="Times New Roman"/>
          <w:color w:val="auto"/>
          <w:sz w:val="24"/>
          <w:szCs w:val="24"/>
          <w:highlight w:val="none"/>
          <w:lang w:val="en-US" w:eastAsia="zh-CN"/>
        </w:rPr>
        <w:t>采用专用容器储存，暂存于厂区危废暂存间内。</w:t>
      </w:r>
      <w:r>
        <w:rPr>
          <w:rFonts w:hint="default" w:ascii="Times New Roman" w:hAnsi="Times New Roman" w:eastAsia="宋体" w:cs="Times New Roman"/>
          <w:color w:val="auto"/>
          <w:sz w:val="24"/>
          <w:highlight w:val="none"/>
        </w:rPr>
        <w:t>项目主要装置及涉及环境风险物质情况见</w:t>
      </w:r>
      <w:r>
        <w:rPr>
          <w:rFonts w:hint="default" w:ascii="Times New Roman" w:hAnsi="Times New Roman" w:eastAsia="宋体" w:cs="Times New Roman"/>
          <w:color w:val="auto"/>
          <w:sz w:val="24"/>
          <w:highlight w:val="none"/>
          <w:lang w:eastAsia="zh-CN"/>
        </w:rPr>
        <w:t>下</w:t>
      </w:r>
      <w:r>
        <w:rPr>
          <w:rFonts w:hint="default" w:ascii="Times New Roman" w:hAnsi="Times New Roman" w:eastAsia="宋体" w:cs="Times New Roman"/>
          <w:color w:val="auto"/>
          <w:sz w:val="24"/>
          <w:highlight w:val="none"/>
        </w:rPr>
        <w:t>表</w:t>
      </w:r>
      <w:r>
        <w:rPr>
          <w:rFonts w:hint="default" w:ascii="Times New Roman" w:hAnsi="Times New Roman" w:eastAsia="宋体" w:cs="Times New Roman"/>
          <w:color w:val="auto"/>
          <w:sz w:val="24"/>
          <w:highlight w:val="none"/>
          <w:lang w:eastAsia="zh-CN"/>
        </w:rPr>
        <w:t>。</w:t>
      </w:r>
    </w:p>
    <w:p w14:paraId="4370B257">
      <w:pPr>
        <w:pageBreakBefore w:val="0"/>
        <w:widowControl w:val="0"/>
        <w:numPr>
          <w:ilvl w:val="0"/>
          <w:numId w:val="12"/>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bCs/>
          <w:color w:val="000000" w:themeColor="text1"/>
          <w:sz w:val="24"/>
          <w:szCs w:val="24"/>
          <w:highlight w:val="none"/>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14:textFill>
            <w14:solidFill>
              <w14:schemeClr w14:val="tx1"/>
            </w14:solidFill>
          </w14:textFill>
        </w:rPr>
        <w:t>主要装置及涉及环境风险物质情况一览表</w:t>
      </w:r>
    </w:p>
    <w:tbl>
      <w:tblPr>
        <w:tblStyle w:val="47"/>
        <w:tblW w:w="499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732"/>
        <w:gridCol w:w="1495"/>
        <w:gridCol w:w="1331"/>
        <w:gridCol w:w="1441"/>
        <w:gridCol w:w="1432"/>
        <w:gridCol w:w="1430"/>
        <w:gridCol w:w="1420"/>
      </w:tblGrid>
      <w:tr w14:paraId="7E3388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5" w:type="pct"/>
            <w:noWrap w:val="0"/>
            <w:vAlign w:val="center"/>
          </w:tcPr>
          <w:p w14:paraId="09B32635">
            <w:pPr>
              <w:pStyle w:val="58"/>
              <w:bidi w:val="0"/>
              <w:rPr>
                <w:rFonts w:hint="default" w:ascii="Times New Roman" w:hAnsi="Times New Roman"/>
                <w:highlight w:val="none"/>
              </w:rPr>
            </w:pPr>
            <w:bookmarkStart w:id="90" w:name="OLE_LINK36"/>
            <w:r>
              <w:rPr>
                <w:rFonts w:hint="default" w:ascii="Times New Roman" w:hAnsi="Times New Roman"/>
                <w:highlight w:val="none"/>
              </w:rPr>
              <w:t>序号</w:t>
            </w:r>
          </w:p>
        </w:tc>
        <w:tc>
          <w:tcPr>
            <w:tcW w:w="805" w:type="pct"/>
            <w:noWrap w:val="0"/>
            <w:vAlign w:val="center"/>
          </w:tcPr>
          <w:p w14:paraId="5ACF26E7">
            <w:pPr>
              <w:pStyle w:val="58"/>
              <w:bidi w:val="0"/>
              <w:rPr>
                <w:rFonts w:hint="default" w:ascii="Times New Roman" w:hAnsi="Times New Roman"/>
                <w:highlight w:val="none"/>
              </w:rPr>
            </w:pPr>
            <w:r>
              <w:rPr>
                <w:rFonts w:hint="default" w:ascii="Times New Roman" w:hAnsi="Times New Roman"/>
                <w:highlight w:val="none"/>
              </w:rPr>
              <w:t>危险物品名称</w:t>
            </w:r>
          </w:p>
        </w:tc>
        <w:tc>
          <w:tcPr>
            <w:tcW w:w="717" w:type="pct"/>
            <w:noWrap w:val="0"/>
            <w:vAlign w:val="center"/>
          </w:tcPr>
          <w:p w14:paraId="2E586A9B">
            <w:pPr>
              <w:pStyle w:val="58"/>
              <w:bidi w:val="0"/>
              <w:rPr>
                <w:rFonts w:hint="default" w:ascii="Times New Roman" w:hAnsi="Times New Roman"/>
                <w:highlight w:val="none"/>
              </w:rPr>
            </w:pPr>
            <w:r>
              <w:rPr>
                <w:rFonts w:hint="default" w:ascii="Times New Roman" w:hAnsi="Times New Roman"/>
                <w:highlight w:val="none"/>
              </w:rPr>
              <w:t>状态</w:t>
            </w:r>
          </w:p>
        </w:tc>
        <w:tc>
          <w:tcPr>
            <w:tcW w:w="776" w:type="pct"/>
            <w:noWrap w:val="0"/>
            <w:vAlign w:val="center"/>
          </w:tcPr>
          <w:p w14:paraId="4A0F81F6">
            <w:pPr>
              <w:pStyle w:val="58"/>
              <w:bidi w:val="0"/>
              <w:rPr>
                <w:rFonts w:hint="default" w:ascii="Times New Roman" w:hAnsi="Times New Roman"/>
                <w:highlight w:val="none"/>
              </w:rPr>
            </w:pPr>
            <w:r>
              <w:rPr>
                <w:rFonts w:hint="default" w:ascii="Times New Roman" w:hAnsi="Times New Roman"/>
                <w:highlight w:val="none"/>
              </w:rPr>
              <w:t>储存方式</w:t>
            </w:r>
          </w:p>
        </w:tc>
        <w:tc>
          <w:tcPr>
            <w:tcW w:w="771" w:type="pct"/>
            <w:noWrap w:val="0"/>
            <w:vAlign w:val="center"/>
          </w:tcPr>
          <w:p w14:paraId="3EDFF107">
            <w:pPr>
              <w:pStyle w:val="58"/>
              <w:bidi w:val="0"/>
              <w:rPr>
                <w:rFonts w:hint="default" w:ascii="Times New Roman" w:hAnsi="Times New Roman"/>
                <w:highlight w:val="none"/>
              </w:rPr>
            </w:pPr>
            <w:r>
              <w:rPr>
                <w:rFonts w:hint="default" w:ascii="Times New Roman" w:hAnsi="Times New Roman"/>
                <w:highlight w:val="none"/>
              </w:rPr>
              <w:t>最大储量（t）</w:t>
            </w:r>
          </w:p>
        </w:tc>
        <w:tc>
          <w:tcPr>
            <w:tcW w:w="769" w:type="pct"/>
            <w:noWrap w:val="0"/>
            <w:vAlign w:val="center"/>
          </w:tcPr>
          <w:p w14:paraId="2C6EAD49">
            <w:pPr>
              <w:pStyle w:val="58"/>
              <w:bidi w:val="0"/>
              <w:rPr>
                <w:rFonts w:hint="default" w:ascii="Times New Roman" w:hAnsi="Times New Roman"/>
                <w:highlight w:val="none"/>
              </w:rPr>
            </w:pPr>
            <w:r>
              <w:rPr>
                <w:rFonts w:hint="default" w:ascii="Times New Roman" w:hAnsi="Times New Roman"/>
                <w:highlight w:val="none"/>
              </w:rPr>
              <w:t>临界量</w:t>
            </w:r>
            <w:bookmarkStart w:id="91" w:name="OLE_LINK80"/>
            <w:r>
              <w:rPr>
                <w:rFonts w:hint="default" w:ascii="Times New Roman" w:hAnsi="Times New Roman"/>
                <w:highlight w:val="none"/>
              </w:rPr>
              <w:t>Q</w:t>
            </w:r>
            <w:r>
              <w:rPr>
                <w:rFonts w:hint="default" w:ascii="Times New Roman" w:hAnsi="Times New Roman"/>
                <w:highlight w:val="none"/>
                <w:vertAlign w:val="subscript"/>
              </w:rPr>
              <w:t>n</w:t>
            </w:r>
            <w:bookmarkEnd w:id="91"/>
            <w:r>
              <w:rPr>
                <w:rFonts w:hint="default" w:ascii="Times New Roman" w:hAnsi="Times New Roman"/>
                <w:highlight w:val="none"/>
              </w:rPr>
              <w:t>/t</w:t>
            </w:r>
          </w:p>
        </w:tc>
        <w:tc>
          <w:tcPr>
            <w:tcW w:w="765" w:type="pct"/>
            <w:noWrap w:val="0"/>
            <w:vAlign w:val="center"/>
          </w:tcPr>
          <w:p w14:paraId="2A56E5E3">
            <w:pPr>
              <w:pStyle w:val="58"/>
              <w:bidi w:val="0"/>
              <w:rPr>
                <w:rFonts w:hint="default" w:ascii="Times New Roman" w:hAnsi="Times New Roman" w:eastAsia="宋体"/>
                <w:highlight w:val="none"/>
                <w:lang w:val="en-US" w:eastAsia="zh-CN"/>
              </w:rPr>
            </w:pPr>
            <w:r>
              <w:rPr>
                <w:rFonts w:hint="eastAsia"/>
                <w:highlight w:val="none"/>
                <w:lang w:val="en-US" w:eastAsia="zh-CN"/>
              </w:rPr>
              <w:t>q/</w:t>
            </w:r>
            <w:r>
              <w:rPr>
                <w:rFonts w:hint="default" w:ascii="Times New Roman" w:hAnsi="Times New Roman"/>
                <w:highlight w:val="none"/>
              </w:rPr>
              <w:t>Q</w:t>
            </w:r>
            <w:r>
              <w:rPr>
                <w:rFonts w:hint="default" w:ascii="Times New Roman" w:hAnsi="Times New Roman"/>
                <w:highlight w:val="none"/>
                <w:vertAlign w:val="subscript"/>
              </w:rPr>
              <w:t>n</w:t>
            </w:r>
          </w:p>
        </w:tc>
      </w:tr>
      <w:tr w14:paraId="7D9C61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395" w:type="pct"/>
            <w:noWrap w:val="0"/>
            <w:vAlign w:val="center"/>
          </w:tcPr>
          <w:p w14:paraId="3CBE6407">
            <w:pPr>
              <w:pStyle w:val="58"/>
              <w:numPr>
                <w:ilvl w:val="0"/>
                <w:numId w:val="13"/>
              </w:numPr>
              <w:bidi w:val="0"/>
              <w:ind w:left="425" w:leftChars="0" w:hanging="425" w:firstLineChars="0"/>
              <w:rPr>
                <w:rFonts w:hint="default" w:ascii="Times New Roman" w:hAnsi="Times New Roman"/>
                <w:highlight w:val="none"/>
                <w:lang w:val="en-US" w:eastAsia="zh-CN"/>
              </w:rPr>
            </w:pPr>
            <w:bookmarkStart w:id="92" w:name="OLE_LINK88" w:colFirst="6" w:colLast="6"/>
          </w:p>
        </w:tc>
        <w:tc>
          <w:tcPr>
            <w:tcW w:w="805" w:type="pct"/>
            <w:noWrap w:val="0"/>
            <w:vAlign w:val="center"/>
          </w:tcPr>
          <w:p w14:paraId="5FAE152B">
            <w:pPr>
              <w:pStyle w:val="58"/>
              <w:bidi w:val="0"/>
              <w:rPr>
                <w:rFonts w:hint="default" w:ascii="Times New Roman" w:hAnsi="Times New Roman"/>
                <w:highlight w:val="none"/>
                <w:lang w:val="en-US" w:eastAsia="zh-CN"/>
              </w:rPr>
            </w:pPr>
            <w:r>
              <w:rPr>
                <w:rFonts w:hint="default" w:ascii="Times New Roman" w:hAnsi="Times New Roman"/>
                <w:highlight w:val="none"/>
              </w:rPr>
              <w:t>润滑油</w:t>
            </w:r>
          </w:p>
        </w:tc>
        <w:tc>
          <w:tcPr>
            <w:tcW w:w="717" w:type="pct"/>
            <w:noWrap w:val="0"/>
            <w:vAlign w:val="center"/>
          </w:tcPr>
          <w:p w14:paraId="6E84C8E1">
            <w:pPr>
              <w:pStyle w:val="58"/>
              <w:bidi w:val="0"/>
              <w:rPr>
                <w:rFonts w:hint="default" w:ascii="Times New Roman" w:hAnsi="Times New Roman"/>
                <w:highlight w:val="none"/>
                <w:lang w:val="en-US" w:eastAsia="zh-CN"/>
              </w:rPr>
            </w:pPr>
            <w:r>
              <w:rPr>
                <w:rFonts w:hint="default" w:ascii="Times New Roman" w:hAnsi="Times New Roman"/>
                <w:highlight w:val="none"/>
              </w:rPr>
              <w:t>液态</w:t>
            </w:r>
          </w:p>
        </w:tc>
        <w:tc>
          <w:tcPr>
            <w:tcW w:w="776" w:type="pct"/>
            <w:noWrap w:val="0"/>
            <w:vAlign w:val="center"/>
          </w:tcPr>
          <w:p w14:paraId="1451CFF9">
            <w:pPr>
              <w:pStyle w:val="58"/>
              <w:bidi w:val="0"/>
              <w:rPr>
                <w:rFonts w:hint="default" w:ascii="Times New Roman" w:hAnsi="Times New Roman"/>
                <w:highlight w:val="none"/>
                <w:lang w:val="en-US" w:eastAsia="zh-CN"/>
              </w:rPr>
            </w:pPr>
            <w:r>
              <w:rPr>
                <w:rFonts w:hint="default" w:ascii="Times New Roman" w:hAnsi="Times New Roman"/>
                <w:highlight w:val="none"/>
              </w:rPr>
              <w:t>桶装</w:t>
            </w:r>
          </w:p>
        </w:tc>
        <w:tc>
          <w:tcPr>
            <w:tcW w:w="771" w:type="pct"/>
            <w:noWrap w:val="0"/>
            <w:vAlign w:val="center"/>
          </w:tcPr>
          <w:p w14:paraId="3C0E8689">
            <w:pPr>
              <w:pStyle w:val="58"/>
              <w:bidi w:val="0"/>
              <w:rPr>
                <w:rFonts w:hint="default" w:ascii="Times New Roman" w:hAnsi="Times New Roman"/>
                <w:highlight w:val="none"/>
                <w:lang w:val="en-US" w:eastAsia="zh-CN"/>
              </w:rPr>
            </w:pPr>
            <w:r>
              <w:rPr>
                <w:rFonts w:hint="default" w:ascii="Times New Roman" w:hAnsi="Times New Roman"/>
                <w:highlight w:val="none"/>
                <w:lang w:val="en-US" w:eastAsia="zh-CN"/>
              </w:rPr>
              <w:t>0.0</w:t>
            </w:r>
            <w:r>
              <w:rPr>
                <w:rFonts w:hint="eastAsia"/>
                <w:highlight w:val="none"/>
                <w:lang w:val="en-US" w:eastAsia="zh-CN"/>
              </w:rPr>
              <w:t>5</w:t>
            </w:r>
          </w:p>
        </w:tc>
        <w:tc>
          <w:tcPr>
            <w:tcW w:w="769" w:type="pct"/>
            <w:noWrap w:val="0"/>
            <w:vAlign w:val="center"/>
          </w:tcPr>
          <w:p w14:paraId="000D664E">
            <w:pPr>
              <w:pStyle w:val="58"/>
              <w:bidi w:val="0"/>
              <w:rPr>
                <w:rFonts w:hint="default" w:ascii="Times New Roman" w:hAnsi="Times New Roman"/>
                <w:highlight w:val="none"/>
                <w:lang w:val="en-US" w:eastAsia="zh-CN"/>
              </w:rPr>
            </w:pPr>
            <w:r>
              <w:rPr>
                <w:rFonts w:hint="default" w:ascii="Times New Roman" w:hAnsi="Times New Roman"/>
                <w:highlight w:val="none"/>
                <w:lang w:val="en-US" w:eastAsia="zh-CN"/>
              </w:rPr>
              <w:t>2500</w:t>
            </w:r>
          </w:p>
        </w:tc>
        <w:tc>
          <w:tcPr>
            <w:tcW w:w="765" w:type="pct"/>
            <w:noWrap w:val="0"/>
            <w:vAlign w:val="center"/>
          </w:tcPr>
          <w:p w14:paraId="6B4CBCB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2"/>
                <w:sz w:val="21"/>
                <w:szCs w:val="21"/>
                <w:highlight w:val="none"/>
                <w:lang w:val="en-US" w:eastAsia="zh-CN" w:bidi="ar-SA"/>
              </w:rPr>
              <w:t>0.00002</w:t>
            </w:r>
          </w:p>
        </w:tc>
      </w:tr>
      <w:tr w14:paraId="5CF9D7D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395" w:type="pct"/>
            <w:noWrap w:val="0"/>
            <w:vAlign w:val="center"/>
          </w:tcPr>
          <w:p w14:paraId="0F7DA8B8">
            <w:pPr>
              <w:pStyle w:val="58"/>
              <w:numPr>
                <w:ilvl w:val="0"/>
                <w:numId w:val="13"/>
              </w:numPr>
              <w:bidi w:val="0"/>
              <w:ind w:left="425" w:leftChars="0" w:hanging="425" w:firstLineChars="0"/>
              <w:rPr>
                <w:rFonts w:hint="default" w:ascii="Times New Roman" w:hAnsi="Times New Roman"/>
                <w:highlight w:val="none"/>
                <w:lang w:val="en-US" w:eastAsia="zh-CN"/>
              </w:rPr>
            </w:pPr>
          </w:p>
        </w:tc>
        <w:tc>
          <w:tcPr>
            <w:tcW w:w="805" w:type="pct"/>
            <w:noWrap w:val="0"/>
            <w:vAlign w:val="center"/>
          </w:tcPr>
          <w:p w14:paraId="2B824A2A">
            <w:pPr>
              <w:pStyle w:val="58"/>
              <w:bidi w:val="0"/>
              <w:rPr>
                <w:rFonts w:hint="default" w:ascii="Times New Roman" w:hAnsi="Times New Roman"/>
                <w:highlight w:val="none"/>
                <w:lang w:val="en-US" w:eastAsia="zh-CN"/>
              </w:rPr>
            </w:pPr>
            <w:r>
              <w:rPr>
                <w:rFonts w:hint="default" w:ascii="Times New Roman" w:hAnsi="Times New Roman"/>
                <w:highlight w:val="none"/>
              </w:rPr>
              <w:t>液压油</w:t>
            </w:r>
          </w:p>
        </w:tc>
        <w:tc>
          <w:tcPr>
            <w:tcW w:w="717" w:type="pct"/>
            <w:noWrap w:val="0"/>
            <w:vAlign w:val="center"/>
          </w:tcPr>
          <w:p w14:paraId="24602E72">
            <w:pPr>
              <w:pStyle w:val="58"/>
              <w:bidi w:val="0"/>
              <w:rPr>
                <w:rFonts w:hint="default" w:ascii="Times New Roman" w:hAnsi="Times New Roman"/>
                <w:highlight w:val="none"/>
                <w:lang w:val="en-US" w:eastAsia="zh-CN"/>
              </w:rPr>
            </w:pPr>
            <w:r>
              <w:rPr>
                <w:rFonts w:hint="default" w:ascii="Times New Roman" w:hAnsi="Times New Roman"/>
                <w:highlight w:val="none"/>
              </w:rPr>
              <w:t>液态</w:t>
            </w:r>
          </w:p>
        </w:tc>
        <w:tc>
          <w:tcPr>
            <w:tcW w:w="776" w:type="pct"/>
            <w:noWrap w:val="0"/>
            <w:vAlign w:val="center"/>
          </w:tcPr>
          <w:p w14:paraId="1523F79A">
            <w:pPr>
              <w:pStyle w:val="58"/>
              <w:bidi w:val="0"/>
              <w:rPr>
                <w:rFonts w:hint="default" w:ascii="Times New Roman" w:hAnsi="Times New Roman"/>
                <w:highlight w:val="none"/>
                <w:lang w:val="en-US" w:eastAsia="zh-CN"/>
              </w:rPr>
            </w:pPr>
            <w:r>
              <w:rPr>
                <w:rFonts w:hint="default" w:ascii="Times New Roman" w:hAnsi="Times New Roman"/>
                <w:highlight w:val="none"/>
              </w:rPr>
              <w:t>桶装</w:t>
            </w:r>
          </w:p>
        </w:tc>
        <w:tc>
          <w:tcPr>
            <w:tcW w:w="771" w:type="pct"/>
            <w:noWrap w:val="0"/>
            <w:vAlign w:val="center"/>
          </w:tcPr>
          <w:p w14:paraId="6034013B">
            <w:pPr>
              <w:pStyle w:val="58"/>
              <w:bidi w:val="0"/>
              <w:rPr>
                <w:rFonts w:hint="default" w:ascii="Times New Roman" w:hAnsi="Times New Roman"/>
                <w:highlight w:val="none"/>
                <w:lang w:val="en-US" w:eastAsia="zh-CN"/>
              </w:rPr>
            </w:pPr>
            <w:r>
              <w:rPr>
                <w:rFonts w:hint="default" w:ascii="Times New Roman" w:hAnsi="Times New Roman"/>
                <w:highlight w:val="none"/>
                <w:lang w:val="en-US" w:eastAsia="zh-CN"/>
              </w:rPr>
              <w:t>0.0</w:t>
            </w:r>
            <w:r>
              <w:rPr>
                <w:rFonts w:hint="eastAsia"/>
                <w:highlight w:val="none"/>
                <w:lang w:val="en-US" w:eastAsia="zh-CN"/>
              </w:rPr>
              <w:t>4</w:t>
            </w:r>
          </w:p>
        </w:tc>
        <w:tc>
          <w:tcPr>
            <w:tcW w:w="769" w:type="pct"/>
            <w:noWrap w:val="0"/>
            <w:vAlign w:val="center"/>
          </w:tcPr>
          <w:p w14:paraId="57D06AB7">
            <w:pPr>
              <w:pStyle w:val="58"/>
              <w:bidi w:val="0"/>
              <w:rPr>
                <w:rFonts w:hint="default" w:ascii="Times New Roman" w:hAnsi="Times New Roman"/>
                <w:highlight w:val="none"/>
                <w:lang w:val="en-US" w:eastAsia="zh-CN"/>
              </w:rPr>
            </w:pPr>
            <w:r>
              <w:rPr>
                <w:rFonts w:hint="default" w:ascii="Times New Roman" w:hAnsi="Times New Roman"/>
                <w:highlight w:val="none"/>
                <w:lang w:val="en-US" w:eastAsia="zh-CN"/>
              </w:rPr>
              <w:t>2500</w:t>
            </w:r>
          </w:p>
        </w:tc>
        <w:tc>
          <w:tcPr>
            <w:tcW w:w="765" w:type="pct"/>
            <w:noWrap w:val="0"/>
            <w:vAlign w:val="center"/>
          </w:tcPr>
          <w:p w14:paraId="040679D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2"/>
                <w:sz w:val="21"/>
                <w:szCs w:val="21"/>
                <w:highlight w:val="none"/>
                <w:lang w:val="en-US" w:eastAsia="zh-CN" w:bidi="ar-SA"/>
              </w:rPr>
              <w:t>0.000016</w:t>
            </w:r>
          </w:p>
        </w:tc>
      </w:tr>
      <w:tr w14:paraId="228D17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395" w:type="pct"/>
            <w:noWrap w:val="0"/>
            <w:vAlign w:val="center"/>
          </w:tcPr>
          <w:p w14:paraId="7C4381EE">
            <w:pPr>
              <w:pStyle w:val="58"/>
              <w:numPr>
                <w:ilvl w:val="0"/>
                <w:numId w:val="13"/>
              </w:numPr>
              <w:bidi w:val="0"/>
              <w:ind w:left="425" w:leftChars="0" w:hanging="425" w:firstLineChars="0"/>
              <w:rPr>
                <w:rFonts w:hint="default" w:ascii="Times New Roman" w:hAnsi="Times New Roman"/>
                <w:highlight w:val="none"/>
                <w:lang w:val="en-US" w:eastAsia="zh-CN"/>
              </w:rPr>
            </w:pPr>
          </w:p>
        </w:tc>
        <w:tc>
          <w:tcPr>
            <w:tcW w:w="805" w:type="pct"/>
            <w:noWrap w:val="0"/>
            <w:vAlign w:val="center"/>
          </w:tcPr>
          <w:p w14:paraId="469FA248">
            <w:pPr>
              <w:pStyle w:val="58"/>
              <w:bidi w:val="0"/>
              <w:rPr>
                <w:rFonts w:hint="default" w:ascii="Times New Roman" w:hAnsi="Times New Roman"/>
                <w:highlight w:val="none"/>
                <w:lang w:val="en-US" w:eastAsia="zh-CN"/>
              </w:rPr>
            </w:pPr>
            <w:r>
              <w:rPr>
                <w:rFonts w:hint="default" w:ascii="Times New Roman" w:hAnsi="Times New Roman"/>
                <w:highlight w:val="none"/>
              </w:rPr>
              <w:t>硫酸</w:t>
            </w:r>
          </w:p>
        </w:tc>
        <w:tc>
          <w:tcPr>
            <w:tcW w:w="717" w:type="pct"/>
            <w:noWrap w:val="0"/>
            <w:vAlign w:val="center"/>
          </w:tcPr>
          <w:p w14:paraId="6E68D941">
            <w:pPr>
              <w:pStyle w:val="58"/>
              <w:bidi w:val="0"/>
              <w:rPr>
                <w:rFonts w:hint="default" w:ascii="Times New Roman" w:hAnsi="Times New Roman"/>
                <w:highlight w:val="none"/>
              </w:rPr>
            </w:pPr>
            <w:r>
              <w:rPr>
                <w:rFonts w:hint="default" w:ascii="Times New Roman" w:hAnsi="Times New Roman"/>
                <w:highlight w:val="none"/>
              </w:rPr>
              <w:t>液态</w:t>
            </w:r>
          </w:p>
        </w:tc>
        <w:tc>
          <w:tcPr>
            <w:tcW w:w="776" w:type="pct"/>
            <w:noWrap w:val="0"/>
            <w:vAlign w:val="center"/>
          </w:tcPr>
          <w:p w14:paraId="0B56511F">
            <w:pPr>
              <w:pStyle w:val="58"/>
              <w:bidi w:val="0"/>
              <w:rPr>
                <w:rFonts w:hint="default" w:ascii="Times New Roman" w:hAnsi="Times New Roman"/>
                <w:highlight w:val="none"/>
              </w:rPr>
            </w:pPr>
            <w:r>
              <w:rPr>
                <w:rFonts w:hint="default" w:ascii="Times New Roman" w:hAnsi="Times New Roman"/>
                <w:highlight w:val="none"/>
              </w:rPr>
              <w:t>桶装</w:t>
            </w:r>
          </w:p>
        </w:tc>
        <w:tc>
          <w:tcPr>
            <w:tcW w:w="771" w:type="pct"/>
            <w:noWrap w:val="0"/>
            <w:vAlign w:val="center"/>
          </w:tcPr>
          <w:p w14:paraId="09B50070">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0.092</w:t>
            </w:r>
          </w:p>
        </w:tc>
        <w:tc>
          <w:tcPr>
            <w:tcW w:w="769" w:type="pct"/>
            <w:noWrap w:val="0"/>
            <w:vAlign w:val="center"/>
          </w:tcPr>
          <w:p w14:paraId="2AB143C7">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10</w:t>
            </w:r>
          </w:p>
        </w:tc>
        <w:tc>
          <w:tcPr>
            <w:tcW w:w="765" w:type="pct"/>
            <w:noWrap w:val="0"/>
            <w:vAlign w:val="center"/>
          </w:tcPr>
          <w:p w14:paraId="6BF0B70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2"/>
                <w:sz w:val="21"/>
                <w:szCs w:val="21"/>
                <w:highlight w:val="none"/>
                <w:lang w:val="en-US" w:eastAsia="zh-CN" w:bidi="ar-SA"/>
              </w:rPr>
              <w:t>0.0092</w:t>
            </w:r>
          </w:p>
        </w:tc>
      </w:tr>
      <w:tr w14:paraId="629EAE5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395" w:type="pct"/>
            <w:noWrap w:val="0"/>
            <w:vAlign w:val="center"/>
          </w:tcPr>
          <w:p w14:paraId="2620AD55">
            <w:pPr>
              <w:pStyle w:val="58"/>
              <w:numPr>
                <w:ilvl w:val="0"/>
                <w:numId w:val="13"/>
              </w:numPr>
              <w:bidi w:val="0"/>
              <w:ind w:left="425" w:leftChars="0" w:hanging="425" w:firstLineChars="0"/>
              <w:rPr>
                <w:rFonts w:hint="default" w:ascii="Times New Roman" w:hAnsi="Times New Roman"/>
                <w:highlight w:val="none"/>
                <w:lang w:val="en-US" w:eastAsia="zh-CN"/>
              </w:rPr>
            </w:pPr>
          </w:p>
        </w:tc>
        <w:tc>
          <w:tcPr>
            <w:tcW w:w="805" w:type="pct"/>
            <w:noWrap w:val="0"/>
            <w:vAlign w:val="center"/>
          </w:tcPr>
          <w:p w14:paraId="7A0DC760">
            <w:pPr>
              <w:pStyle w:val="58"/>
              <w:bidi w:val="0"/>
              <w:rPr>
                <w:rFonts w:hint="default" w:ascii="Times New Roman" w:hAnsi="Times New Roman"/>
                <w:highlight w:val="none"/>
                <w:lang w:val="en-US" w:eastAsia="zh-CN"/>
              </w:rPr>
            </w:pPr>
            <w:r>
              <w:rPr>
                <w:rFonts w:hint="default" w:ascii="Times New Roman" w:hAnsi="Times New Roman"/>
                <w:highlight w:val="none"/>
              </w:rPr>
              <w:t>重铬酸钾</w:t>
            </w:r>
          </w:p>
        </w:tc>
        <w:tc>
          <w:tcPr>
            <w:tcW w:w="717" w:type="pct"/>
            <w:noWrap w:val="0"/>
            <w:vAlign w:val="center"/>
          </w:tcPr>
          <w:p w14:paraId="5492A7D9">
            <w:pPr>
              <w:pStyle w:val="58"/>
              <w:bidi w:val="0"/>
              <w:rPr>
                <w:rFonts w:hint="default" w:ascii="Times New Roman" w:hAnsi="Times New Roman"/>
                <w:highlight w:val="none"/>
              </w:rPr>
            </w:pPr>
            <w:r>
              <w:rPr>
                <w:rFonts w:hint="eastAsia" w:ascii="Times New Roman" w:hAnsi="Times New Roman"/>
                <w:highlight w:val="none"/>
              </w:rPr>
              <w:t>液态</w:t>
            </w:r>
          </w:p>
        </w:tc>
        <w:tc>
          <w:tcPr>
            <w:tcW w:w="776" w:type="pct"/>
            <w:noWrap w:val="0"/>
            <w:vAlign w:val="center"/>
          </w:tcPr>
          <w:p w14:paraId="622F6D36">
            <w:pPr>
              <w:pStyle w:val="58"/>
              <w:bidi w:val="0"/>
              <w:rPr>
                <w:rFonts w:hint="default" w:ascii="Times New Roman" w:hAnsi="Times New Roman"/>
                <w:highlight w:val="none"/>
                <w:lang w:val="en-US" w:eastAsia="zh-CN"/>
              </w:rPr>
            </w:pPr>
            <w:bookmarkStart w:id="93" w:name="OLE_LINK74"/>
            <w:r>
              <w:rPr>
                <w:rFonts w:hint="eastAsia" w:ascii="Times New Roman" w:hAnsi="Times New Roman"/>
                <w:highlight w:val="none"/>
                <w:lang w:val="en-US" w:eastAsia="zh-CN"/>
              </w:rPr>
              <w:t>瓶装</w:t>
            </w:r>
            <w:bookmarkEnd w:id="93"/>
          </w:p>
        </w:tc>
        <w:tc>
          <w:tcPr>
            <w:tcW w:w="771" w:type="pct"/>
            <w:noWrap w:val="0"/>
            <w:vAlign w:val="center"/>
          </w:tcPr>
          <w:p w14:paraId="5F66D5B1">
            <w:pPr>
              <w:pStyle w:val="58"/>
              <w:bidi w:val="0"/>
              <w:rPr>
                <w:rFonts w:hint="default" w:ascii="Times New Roman" w:hAnsi="Times New Roman"/>
                <w:highlight w:val="none"/>
                <w:lang w:val="en-US" w:eastAsia="zh-CN"/>
              </w:rPr>
            </w:pPr>
            <w:r>
              <w:rPr>
                <w:rFonts w:hint="eastAsia" w:ascii="Times New Roman" w:hAnsi="Times New Roman"/>
                <w:highlight w:val="none"/>
              </w:rPr>
              <w:t>5×10</w:t>
            </w:r>
            <w:r>
              <w:rPr>
                <w:rFonts w:hint="eastAsia" w:ascii="Times New Roman" w:hAnsi="Times New Roman"/>
                <w:highlight w:val="none"/>
                <w:vertAlign w:val="superscript"/>
              </w:rPr>
              <w:t>-4</w:t>
            </w:r>
            <w:r>
              <w:rPr>
                <w:rFonts w:hint="eastAsia" w:ascii="Times New Roman" w:hAnsi="Times New Roman"/>
                <w:highlight w:val="none"/>
              </w:rPr>
              <w:t>（折合铬为1.768×10</w:t>
            </w:r>
            <w:r>
              <w:rPr>
                <w:rFonts w:hint="eastAsia" w:ascii="Times New Roman" w:hAnsi="Times New Roman"/>
                <w:highlight w:val="none"/>
                <w:vertAlign w:val="superscript"/>
              </w:rPr>
              <w:t>-4</w:t>
            </w:r>
            <w:r>
              <w:rPr>
                <w:rFonts w:hint="eastAsia" w:ascii="Times New Roman" w:hAnsi="Times New Roman"/>
                <w:highlight w:val="none"/>
              </w:rPr>
              <w:t>）</w:t>
            </w:r>
          </w:p>
        </w:tc>
        <w:tc>
          <w:tcPr>
            <w:tcW w:w="769" w:type="pct"/>
            <w:noWrap w:val="0"/>
            <w:vAlign w:val="center"/>
          </w:tcPr>
          <w:p w14:paraId="50D28AF5">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0.25</w:t>
            </w:r>
          </w:p>
        </w:tc>
        <w:tc>
          <w:tcPr>
            <w:tcW w:w="765" w:type="pct"/>
            <w:noWrap w:val="0"/>
            <w:vAlign w:val="center"/>
          </w:tcPr>
          <w:p w14:paraId="39DD19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2"/>
                <w:sz w:val="21"/>
                <w:szCs w:val="21"/>
                <w:highlight w:val="none"/>
                <w:lang w:val="en-US" w:eastAsia="zh-CN" w:bidi="ar-SA"/>
              </w:rPr>
              <w:t>0.0007072</w:t>
            </w:r>
          </w:p>
        </w:tc>
      </w:tr>
      <w:tr w14:paraId="352A3D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395" w:type="pct"/>
            <w:noWrap w:val="0"/>
            <w:vAlign w:val="center"/>
          </w:tcPr>
          <w:p w14:paraId="3CAF837C">
            <w:pPr>
              <w:pStyle w:val="58"/>
              <w:numPr>
                <w:ilvl w:val="0"/>
                <w:numId w:val="13"/>
              </w:numPr>
              <w:bidi w:val="0"/>
              <w:ind w:left="425" w:leftChars="0" w:hanging="425" w:firstLineChars="0"/>
              <w:rPr>
                <w:rFonts w:hint="default" w:ascii="Times New Roman" w:hAnsi="Times New Roman"/>
                <w:lang w:val="en-US" w:eastAsia="zh-CN"/>
              </w:rPr>
            </w:pPr>
          </w:p>
        </w:tc>
        <w:tc>
          <w:tcPr>
            <w:tcW w:w="805" w:type="pct"/>
            <w:noWrap w:val="0"/>
            <w:vAlign w:val="center"/>
          </w:tcPr>
          <w:p w14:paraId="5544981D">
            <w:pPr>
              <w:pStyle w:val="58"/>
              <w:bidi w:val="0"/>
              <w:rPr>
                <w:rFonts w:hint="default" w:ascii="Times New Roman" w:hAnsi="Times New Roman"/>
                <w:lang w:val="en-US" w:eastAsia="zh-CN"/>
              </w:rPr>
            </w:pPr>
            <w:r>
              <w:rPr>
                <w:rFonts w:hint="default" w:ascii="Times New Roman" w:hAnsi="Times New Roman"/>
              </w:rPr>
              <w:t>纳氏试剂</w:t>
            </w:r>
          </w:p>
        </w:tc>
        <w:tc>
          <w:tcPr>
            <w:tcW w:w="717" w:type="pct"/>
            <w:noWrap w:val="0"/>
            <w:vAlign w:val="center"/>
          </w:tcPr>
          <w:p w14:paraId="0E766B8F">
            <w:pPr>
              <w:pStyle w:val="58"/>
              <w:bidi w:val="0"/>
              <w:rPr>
                <w:rFonts w:hint="default" w:ascii="Times New Roman" w:hAnsi="Times New Roman"/>
              </w:rPr>
            </w:pPr>
            <w:r>
              <w:rPr>
                <w:rFonts w:hint="eastAsia" w:ascii="Times New Roman" w:hAnsi="Times New Roman"/>
              </w:rPr>
              <w:t>液态</w:t>
            </w:r>
          </w:p>
        </w:tc>
        <w:tc>
          <w:tcPr>
            <w:tcW w:w="776" w:type="pct"/>
            <w:noWrap w:val="0"/>
            <w:vAlign w:val="center"/>
          </w:tcPr>
          <w:p w14:paraId="42DBDC16">
            <w:pPr>
              <w:pStyle w:val="58"/>
              <w:bidi w:val="0"/>
              <w:rPr>
                <w:rFonts w:hint="default" w:ascii="Times New Roman" w:hAnsi="Times New Roman"/>
              </w:rPr>
            </w:pPr>
            <w:r>
              <w:rPr>
                <w:rFonts w:hint="eastAsia" w:ascii="Times New Roman" w:hAnsi="Times New Roman"/>
                <w:lang w:val="en-US" w:eastAsia="zh-CN"/>
              </w:rPr>
              <w:t>瓶装</w:t>
            </w:r>
          </w:p>
        </w:tc>
        <w:tc>
          <w:tcPr>
            <w:tcW w:w="771" w:type="pct"/>
            <w:noWrap w:val="0"/>
            <w:vAlign w:val="center"/>
          </w:tcPr>
          <w:p w14:paraId="7FA0808A">
            <w:pPr>
              <w:pStyle w:val="58"/>
              <w:bidi w:val="0"/>
              <w:rPr>
                <w:rFonts w:hint="default" w:ascii="Times New Roman" w:hAnsi="Times New Roman"/>
                <w:lang w:val="en-US" w:eastAsia="zh-CN"/>
              </w:rPr>
            </w:pPr>
            <w:r>
              <w:rPr>
                <w:rFonts w:hint="eastAsia" w:ascii="Times New Roman" w:hAnsi="Times New Roman"/>
              </w:rPr>
              <w:t>5.8×10</w:t>
            </w:r>
            <w:r>
              <w:rPr>
                <w:rFonts w:hint="eastAsia" w:ascii="Times New Roman" w:hAnsi="Times New Roman" w:eastAsia="宋体" w:cs="Times New Roman"/>
                <w:color w:val="auto"/>
                <w:kern w:val="2"/>
                <w:sz w:val="24"/>
                <w:szCs w:val="24"/>
                <w:highlight w:val="none"/>
                <w:vertAlign w:val="superscript"/>
                <w:lang w:val="en-US" w:eastAsia="zh-CN" w:bidi="ar-SA"/>
              </w:rPr>
              <w:t>-4</w:t>
            </w:r>
            <w:r>
              <w:rPr>
                <w:rFonts w:hint="eastAsia" w:ascii="Times New Roman" w:hAnsi="Times New Roman"/>
              </w:rPr>
              <w:t>（折合汞为9.23×10</w:t>
            </w:r>
            <w:r>
              <w:rPr>
                <w:rFonts w:hint="eastAsia" w:ascii="Times New Roman" w:hAnsi="Times New Roman"/>
                <w:vertAlign w:val="superscript"/>
              </w:rPr>
              <w:t>-5</w:t>
            </w:r>
            <w:r>
              <w:rPr>
                <w:rFonts w:hint="eastAsia" w:ascii="Times New Roman" w:hAnsi="Times New Roman"/>
              </w:rPr>
              <w:t>）</w:t>
            </w:r>
          </w:p>
        </w:tc>
        <w:tc>
          <w:tcPr>
            <w:tcW w:w="769" w:type="pct"/>
            <w:noWrap w:val="0"/>
            <w:vAlign w:val="center"/>
          </w:tcPr>
          <w:p w14:paraId="1FF5521D">
            <w:pPr>
              <w:pStyle w:val="58"/>
              <w:bidi w:val="0"/>
              <w:rPr>
                <w:rFonts w:hint="default" w:ascii="Times New Roman" w:hAnsi="Times New Roman"/>
                <w:lang w:val="en-US" w:eastAsia="zh-CN"/>
              </w:rPr>
            </w:pPr>
            <w:r>
              <w:rPr>
                <w:rFonts w:hint="eastAsia" w:ascii="Times New Roman" w:hAnsi="Times New Roman"/>
                <w:lang w:val="en-US" w:eastAsia="zh-CN"/>
              </w:rPr>
              <w:t>0.5</w:t>
            </w:r>
          </w:p>
        </w:tc>
        <w:tc>
          <w:tcPr>
            <w:tcW w:w="765" w:type="pct"/>
            <w:noWrap w:val="0"/>
            <w:vAlign w:val="center"/>
          </w:tcPr>
          <w:p w14:paraId="11C2827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0.0001846</w:t>
            </w:r>
          </w:p>
        </w:tc>
      </w:tr>
      <w:tr w14:paraId="4E28F7D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395" w:type="pct"/>
            <w:noWrap w:val="0"/>
            <w:vAlign w:val="center"/>
          </w:tcPr>
          <w:p w14:paraId="5737A17B">
            <w:pPr>
              <w:pStyle w:val="58"/>
              <w:numPr>
                <w:ilvl w:val="0"/>
                <w:numId w:val="13"/>
              </w:numPr>
              <w:bidi w:val="0"/>
              <w:ind w:left="425" w:leftChars="0" w:hanging="425" w:firstLineChars="0"/>
              <w:rPr>
                <w:rFonts w:hint="default" w:ascii="Times New Roman" w:hAnsi="Times New Roman"/>
                <w:lang w:val="en-US" w:eastAsia="zh-CN"/>
              </w:rPr>
            </w:pPr>
          </w:p>
        </w:tc>
        <w:tc>
          <w:tcPr>
            <w:tcW w:w="805" w:type="pct"/>
            <w:noWrap w:val="0"/>
            <w:vAlign w:val="center"/>
          </w:tcPr>
          <w:p w14:paraId="61F34FF9">
            <w:pPr>
              <w:pStyle w:val="58"/>
              <w:bidi w:val="0"/>
              <w:rPr>
                <w:rFonts w:hint="default" w:ascii="Times New Roman" w:hAnsi="Times New Roman"/>
                <w:lang w:val="en-US" w:eastAsia="zh-CN"/>
              </w:rPr>
            </w:pPr>
            <w:r>
              <w:rPr>
                <w:rFonts w:hint="default" w:ascii="Times New Roman" w:hAnsi="Times New Roman"/>
              </w:rPr>
              <w:t>次氯酸钠溶液（12%）</w:t>
            </w:r>
          </w:p>
        </w:tc>
        <w:tc>
          <w:tcPr>
            <w:tcW w:w="717" w:type="pct"/>
            <w:noWrap w:val="0"/>
            <w:vAlign w:val="center"/>
          </w:tcPr>
          <w:p w14:paraId="47C68E17">
            <w:pPr>
              <w:pStyle w:val="58"/>
              <w:bidi w:val="0"/>
              <w:rPr>
                <w:rFonts w:hint="default" w:ascii="Times New Roman" w:hAnsi="Times New Roman"/>
              </w:rPr>
            </w:pPr>
            <w:r>
              <w:rPr>
                <w:rFonts w:hint="eastAsia" w:ascii="Times New Roman" w:hAnsi="Times New Roman"/>
              </w:rPr>
              <w:t>液态</w:t>
            </w:r>
          </w:p>
        </w:tc>
        <w:tc>
          <w:tcPr>
            <w:tcW w:w="776" w:type="pct"/>
            <w:noWrap w:val="0"/>
            <w:vAlign w:val="center"/>
          </w:tcPr>
          <w:p w14:paraId="66B7755E">
            <w:pPr>
              <w:pStyle w:val="58"/>
              <w:bidi w:val="0"/>
              <w:rPr>
                <w:rFonts w:hint="default" w:ascii="Times New Roman" w:hAnsi="Times New Roman"/>
              </w:rPr>
            </w:pPr>
            <w:r>
              <w:rPr>
                <w:rFonts w:hint="eastAsia"/>
                <w:highlight w:val="none"/>
                <w:lang w:val="en-US" w:eastAsia="zh-CN"/>
              </w:rPr>
              <w:t>罐</w:t>
            </w:r>
            <w:r>
              <w:rPr>
                <w:rFonts w:hint="eastAsia" w:ascii="Times New Roman" w:hAnsi="Times New Roman"/>
                <w:highlight w:val="none"/>
                <w:lang w:val="en-US" w:eastAsia="zh-CN"/>
              </w:rPr>
              <w:t>装</w:t>
            </w:r>
          </w:p>
        </w:tc>
        <w:tc>
          <w:tcPr>
            <w:tcW w:w="771" w:type="pct"/>
            <w:noWrap w:val="0"/>
            <w:vAlign w:val="center"/>
          </w:tcPr>
          <w:p w14:paraId="28F195D2">
            <w:pPr>
              <w:pStyle w:val="58"/>
              <w:bidi w:val="0"/>
              <w:rPr>
                <w:rFonts w:hint="default" w:ascii="Times New Roman" w:hAnsi="Times New Roman"/>
                <w:lang w:val="en-US" w:eastAsia="zh-CN"/>
              </w:rPr>
            </w:pPr>
            <w:r>
              <w:rPr>
                <w:rFonts w:hint="eastAsia" w:ascii="Times New Roman" w:hAnsi="Times New Roman"/>
              </w:rPr>
              <w:t>1（折纯0.12）</w:t>
            </w:r>
          </w:p>
        </w:tc>
        <w:tc>
          <w:tcPr>
            <w:tcW w:w="769" w:type="pct"/>
            <w:noWrap w:val="0"/>
            <w:vAlign w:val="center"/>
          </w:tcPr>
          <w:p w14:paraId="0E997799">
            <w:pPr>
              <w:pStyle w:val="58"/>
              <w:bidi w:val="0"/>
              <w:rPr>
                <w:rFonts w:hint="default" w:ascii="Times New Roman" w:hAnsi="Times New Roman"/>
                <w:lang w:val="en-US" w:eastAsia="zh-CN"/>
              </w:rPr>
            </w:pPr>
            <w:r>
              <w:rPr>
                <w:rFonts w:hint="eastAsia" w:ascii="Times New Roman" w:hAnsi="Times New Roman"/>
                <w:lang w:val="en-US" w:eastAsia="zh-CN"/>
              </w:rPr>
              <w:t>5</w:t>
            </w:r>
          </w:p>
        </w:tc>
        <w:tc>
          <w:tcPr>
            <w:tcW w:w="765" w:type="pct"/>
            <w:noWrap w:val="0"/>
            <w:vAlign w:val="center"/>
          </w:tcPr>
          <w:p w14:paraId="691F2C9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0.024</w:t>
            </w:r>
          </w:p>
        </w:tc>
      </w:tr>
      <w:tr w14:paraId="496B22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395" w:type="pct"/>
            <w:noWrap w:val="0"/>
            <w:vAlign w:val="center"/>
          </w:tcPr>
          <w:p w14:paraId="6FF79A56">
            <w:pPr>
              <w:pStyle w:val="58"/>
              <w:numPr>
                <w:ilvl w:val="0"/>
                <w:numId w:val="13"/>
              </w:numPr>
              <w:bidi w:val="0"/>
              <w:ind w:left="425" w:leftChars="0" w:hanging="425" w:firstLineChars="0"/>
              <w:rPr>
                <w:rFonts w:hint="default" w:ascii="Times New Roman" w:hAnsi="Times New Roman"/>
                <w:lang w:val="en-US" w:eastAsia="zh-CN"/>
              </w:rPr>
            </w:pPr>
          </w:p>
        </w:tc>
        <w:tc>
          <w:tcPr>
            <w:tcW w:w="805" w:type="pct"/>
            <w:noWrap w:val="0"/>
            <w:vAlign w:val="center"/>
          </w:tcPr>
          <w:p w14:paraId="14F7B78A">
            <w:pPr>
              <w:pStyle w:val="58"/>
              <w:bidi w:val="0"/>
              <w:rPr>
                <w:rFonts w:hint="default" w:ascii="Times New Roman" w:hAnsi="Times New Roman"/>
                <w:lang w:val="en-US" w:eastAsia="zh-CN"/>
              </w:rPr>
            </w:pPr>
            <w:r>
              <w:rPr>
                <w:rFonts w:hint="default" w:ascii="Times New Roman" w:hAnsi="Times New Roman"/>
              </w:rPr>
              <w:t>废润滑油</w:t>
            </w:r>
          </w:p>
        </w:tc>
        <w:tc>
          <w:tcPr>
            <w:tcW w:w="717" w:type="pct"/>
            <w:noWrap w:val="0"/>
            <w:vAlign w:val="center"/>
          </w:tcPr>
          <w:p w14:paraId="74C0DAED">
            <w:pPr>
              <w:pStyle w:val="58"/>
              <w:bidi w:val="0"/>
              <w:rPr>
                <w:rFonts w:hint="default" w:ascii="Times New Roman" w:hAnsi="Times New Roman"/>
              </w:rPr>
            </w:pPr>
            <w:r>
              <w:rPr>
                <w:rFonts w:hint="eastAsia" w:ascii="Times New Roman" w:hAnsi="Times New Roman"/>
              </w:rPr>
              <w:t>液态</w:t>
            </w:r>
          </w:p>
        </w:tc>
        <w:tc>
          <w:tcPr>
            <w:tcW w:w="776" w:type="pct"/>
            <w:noWrap w:val="0"/>
            <w:vAlign w:val="center"/>
          </w:tcPr>
          <w:p w14:paraId="55275707">
            <w:pPr>
              <w:pStyle w:val="58"/>
              <w:bidi w:val="0"/>
              <w:rPr>
                <w:rFonts w:hint="default" w:ascii="Times New Roman" w:hAnsi="Times New Roman"/>
              </w:rPr>
            </w:pPr>
            <w:r>
              <w:rPr>
                <w:rFonts w:hint="eastAsia" w:ascii="Times New Roman" w:hAnsi="Times New Roman"/>
              </w:rPr>
              <w:t>桶装</w:t>
            </w:r>
          </w:p>
        </w:tc>
        <w:tc>
          <w:tcPr>
            <w:tcW w:w="771" w:type="pct"/>
            <w:noWrap w:val="0"/>
            <w:vAlign w:val="center"/>
          </w:tcPr>
          <w:p w14:paraId="70490761">
            <w:pPr>
              <w:pStyle w:val="58"/>
              <w:bidi w:val="0"/>
              <w:rPr>
                <w:rFonts w:hint="default" w:ascii="Times New Roman" w:hAnsi="Times New Roman"/>
                <w:lang w:val="en-US" w:eastAsia="zh-CN"/>
              </w:rPr>
            </w:pPr>
            <w:r>
              <w:rPr>
                <w:rFonts w:hint="eastAsia" w:ascii="Times New Roman" w:hAnsi="Times New Roman"/>
              </w:rPr>
              <w:t>0.01</w:t>
            </w:r>
          </w:p>
        </w:tc>
        <w:tc>
          <w:tcPr>
            <w:tcW w:w="769" w:type="pct"/>
            <w:noWrap w:val="0"/>
            <w:vAlign w:val="center"/>
          </w:tcPr>
          <w:p w14:paraId="77D74BC6">
            <w:pPr>
              <w:pStyle w:val="58"/>
              <w:bidi w:val="0"/>
              <w:rPr>
                <w:rFonts w:hint="default" w:ascii="Times New Roman" w:hAnsi="Times New Roman"/>
                <w:lang w:val="en-US" w:eastAsia="zh-CN"/>
              </w:rPr>
            </w:pPr>
            <w:r>
              <w:rPr>
                <w:rFonts w:hint="eastAsia" w:ascii="Times New Roman" w:hAnsi="Times New Roman"/>
                <w:lang w:val="en-US" w:eastAsia="zh-CN"/>
              </w:rPr>
              <w:t>100</w:t>
            </w:r>
          </w:p>
        </w:tc>
        <w:tc>
          <w:tcPr>
            <w:tcW w:w="765" w:type="pct"/>
            <w:noWrap w:val="0"/>
            <w:vAlign w:val="center"/>
          </w:tcPr>
          <w:p w14:paraId="3B15915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0.0001</w:t>
            </w:r>
          </w:p>
        </w:tc>
      </w:tr>
      <w:tr w14:paraId="19F0D1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395" w:type="pct"/>
            <w:noWrap w:val="0"/>
            <w:vAlign w:val="center"/>
          </w:tcPr>
          <w:p w14:paraId="4F06671B">
            <w:pPr>
              <w:pStyle w:val="58"/>
              <w:numPr>
                <w:ilvl w:val="0"/>
                <w:numId w:val="13"/>
              </w:numPr>
              <w:bidi w:val="0"/>
              <w:ind w:left="425" w:leftChars="0" w:hanging="425" w:firstLineChars="0"/>
              <w:rPr>
                <w:rFonts w:hint="eastAsia" w:ascii="Times New Roman" w:hAnsi="Times New Roman"/>
                <w:lang w:val="en-US" w:eastAsia="zh-CN"/>
              </w:rPr>
            </w:pPr>
          </w:p>
        </w:tc>
        <w:tc>
          <w:tcPr>
            <w:tcW w:w="805" w:type="pct"/>
            <w:noWrap w:val="0"/>
            <w:vAlign w:val="center"/>
          </w:tcPr>
          <w:p w14:paraId="60375A5F">
            <w:pPr>
              <w:pStyle w:val="58"/>
              <w:bidi w:val="0"/>
              <w:rPr>
                <w:rFonts w:hint="default" w:ascii="Times New Roman" w:hAnsi="Times New Roman"/>
                <w:lang w:val="en-US" w:eastAsia="zh-CN"/>
              </w:rPr>
            </w:pPr>
            <w:r>
              <w:rPr>
                <w:rFonts w:hint="default" w:ascii="Times New Roman" w:hAnsi="Times New Roman"/>
              </w:rPr>
              <w:t>废液压油</w:t>
            </w:r>
          </w:p>
        </w:tc>
        <w:tc>
          <w:tcPr>
            <w:tcW w:w="717" w:type="pct"/>
            <w:noWrap w:val="0"/>
            <w:vAlign w:val="center"/>
          </w:tcPr>
          <w:p w14:paraId="61286A3F">
            <w:pPr>
              <w:pStyle w:val="58"/>
              <w:bidi w:val="0"/>
              <w:rPr>
                <w:rFonts w:hint="default" w:ascii="Times New Roman" w:hAnsi="Times New Roman"/>
              </w:rPr>
            </w:pPr>
            <w:r>
              <w:rPr>
                <w:rFonts w:hint="eastAsia" w:ascii="Times New Roman" w:hAnsi="Times New Roman"/>
              </w:rPr>
              <w:t>液态</w:t>
            </w:r>
          </w:p>
        </w:tc>
        <w:tc>
          <w:tcPr>
            <w:tcW w:w="776" w:type="pct"/>
            <w:noWrap w:val="0"/>
            <w:vAlign w:val="center"/>
          </w:tcPr>
          <w:p w14:paraId="01470946">
            <w:pPr>
              <w:pStyle w:val="58"/>
              <w:bidi w:val="0"/>
              <w:rPr>
                <w:rFonts w:hint="default" w:ascii="Times New Roman" w:hAnsi="Times New Roman"/>
              </w:rPr>
            </w:pPr>
            <w:r>
              <w:rPr>
                <w:rFonts w:hint="eastAsia" w:ascii="Times New Roman" w:hAnsi="Times New Roman"/>
              </w:rPr>
              <w:t>桶装</w:t>
            </w:r>
          </w:p>
        </w:tc>
        <w:tc>
          <w:tcPr>
            <w:tcW w:w="771" w:type="pct"/>
            <w:noWrap w:val="0"/>
            <w:vAlign w:val="center"/>
          </w:tcPr>
          <w:p w14:paraId="0BFCE91E">
            <w:pPr>
              <w:pStyle w:val="58"/>
              <w:bidi w:val="0"/>
              <w:rPr>
                <w:rFonts w:hint="eastAsia" w:ascii="Times New Roman" w:hAnsi="Times New Roman" w:eastAsia="宋体"/>
                <w:lang w:val="en-US" w:eastAsia="zh-CN"/>
              </w:rPr>
            </w:pPr>
            <w:r>
              <w:rPr>
                <w:rFonts w:hint="eastAsia" w:ascii="Times New Roman" w:hAnsi="Times New Roman"/>
              </w:rPr>
              <w:t>0.0</w:t>
            </w:r>
            <w:r>
              <w:rPr>
                <w:rFonts w:hint="eastAsia"/>
                <w:lang w:val="en-US" w:eastAsia="zh-CN"/>
              </w:rPr>
              <w:t>2</w:t>
            </w:r>
          </w:p>
        </w:tc>
        <w:tc>
          <w:tcPr>
            <w:tcW w:w="769" w:type="pct"/>
            <w:noWrap w:val="0"/>
            <w:vAlign w:val="center"/>
          </w:tcPr>
          <w:p w14:paraId="2F2D86A1">
            <w:pPr>
              <w:pStyle w:val="58"/>
              <w:bidi w:val="0"/>
              <w:rPr>
                <w:rFonts w:hint="default" w:ascii="Times New Roman" w:hAnsi="Times New Roman"/>
                <w:lang w:val="en-US" w:eastAsia="zh-CN"/>
              </w:rPr>
            </w:pPr>
            <w:r>
              <w:rPr>
                <w:rFonts w:hint="eastAsia" w:ascii="Times New Roman" w:hAnsi="Times New Roman"/>
                <w:lang w:val="en-US" w:eastAsia="zh-CN"/>
              </w:rPr>
              <w:t>100</w:t>
            </w:r>
          </w:p>
        </w:tc>
        <w:tc>
          <w:tcPr>
            <w:tcW w:w="765" w:type="pct"/>
            <w:noWrap w:val="0"/>
            <w:vAlign w:val="center"/>
          </w:tcPr>
          <w:p w14:paraId="6470C28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0.0002</w:t>
            </w:r>
          </w:p>
        </w:tc>
      </w:tr>
      <w:tr w14:paraId="4A7DC7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395" w:type="pct"/>
            <w:noWrap w:val="0"/>
            <w:vAlign w:val="center"/>
          </w:tcPr>
          <w:p w14:paraId="5A5CC671">
            <w:pPr>
              <w:pStyle w:val="58"/>
              <w:numPr>
                <w:ilvl w:val="0"/>
                <w:numId w:val="13"/>
              </w:numPr>
              <w:bidi w:val="0"/>
              <w:ind w:left="425" w:leftChars="0" w:hanging="425" w:firstLineChars="0"/>
              <w:rPr>
                <w:rFonts w:hint="eastAsia" w:ascii="Times New Roman" w:hAnsi="Times New Roman"/>
                <w:lang w:val="en-US" w:eastAsia="zh-CN"/>
              </w:rPr>
            </w:pPr>
          </w:p>
        </w:tc>
        <w:tc>
          <w:tcPr>
            <w:tcW w:w="805" w:type="pct"/>
            <w:noWrap w:val="0"/>
            <w:vAlign w:val="center"/>
          </w:tcPr>
          <w:p w14:paraId="1821CCA5">
            <w:pPr>
              <w:pStyle w:val="58"/>
              <w:bidi w:val="0"/>
              <w:rPr>
                <w:rFonts w:hint="default" w:ascii="Times New Roman" w:hAnsi="Times New Roman"/>
                <w:lang w:val="en-US" w:eastAsia="zh-CN"/>
              </w:rPr>
            </w:pPr>
            <w:r>
              <w:rPr>
                <w:rFonts w:hint="default" w:ascii="Times New Roman" w:hAnsi="Times New Roman"/>
              </w:rPr>
              <w:t>废油桶</w:t>
            </w:r>
          </w:p>
        </w:tc>
        <w:tc>
          <w:tcPr>
            <w:tcW w:w="717" w:type="pct"/>
            <w:noWrap w:val="0"/>
            <w:vAlign w:val="center"/>
          </w:tcPr>
          <w:p w14:paraId="206C0877">
            <w:pPr>
              <w:pStyle w:val="58"/>
              <w:bidi w:val="0"/>
              <w:rPr>
                <w:rFonts w:hint="default" w:ascii="Times New Roman" w:hAnsi="Times New Roman"/>
              </w:rPr>
            </w:pPr>
            <w:r>
              <w:rPr>
                <w:rFonts w:hint="eastAsia" w:ascii="Times New Roman" w:hAnsi="Times New Roman"/>
              </w:rPr>
              <w:t>液态</w:t>
            </w:r>
          </w:p>
        </w:tc>
        <w:tc>
          <w:tcPr>
            <w:tcW w:w="776" w:type="pct"/>
            <w:noWrap w:val="0"/>
            <w:vAlign w:val="center"/>
          </w:tcPr>
          <w:p w14:paraId="1D7B0C9E">
            <w:pPr>
              <w:pStyle w:val="58"/>
              <w:bidi w:val="0"/>
              <w:rPr>
                <w:rFonts w:hint="eastAsia" w:ascii="Times New Roman" w:hAnsi="Times New Roman"/>
                <w:lang w:eastAsia="zh-CN"/>
              </w:rPr>
            </w:pPr>
            <w:r>
              <w:rPr>
                <w:rFonts w:hint="eastAsia" w:ascii="Times New Roman" w:hAnsi="Times New Roman"/>
                <w:lang w:val="en-US" w:eastAsia="zh-CN"/>
              </w:rPr>
              <w:t>/</w:t>
            </w:r>
          </w:p>
        </w:tc>
        <w:tc>
          <w:tcPr>
            <w:tcW w:w="771" w:type="pct"/>
            <w:noWrap w:val="0"/>
            <w:vAlign w:val="center"/>
          </w:tcPr>
          <w:p w14:paraId="31235C8B">
            <w:pPr>
              <w:pStyle w:val="58"/>
              <w:bidi w:val="0"/>
              <w:rPr>
                <w:rFonts w:hint="default" w:ascii="Times New Roman" w:hAnsi="Times New Roman" w:eastAsia="宋体"/>
                <w:lang w:val="en-US" w:eastAsia="zh-CN"/>
              </w:rPr>
            </w:pPr>
            <w:r>
              <w:rPr>
                <w:rFonts w:hint="eastAsia" w:ascii="Times New Roman" w:hAnsi="Times New Roman"/>
              </w:rPr>
              <w:t>0.00</w:t>
            </w:r>
            <w:r>
              <w:rPr>
                <w:rFonts w:hint="eastAsia"/>
                <w:lang w:val="en-US" w:eastAsia="zh-CN"/>
              </w:rPr>
              <w:t>5</w:t>
            </w:r>
          </w:p>
        </w:tc>
        <w:tc>
          <w:tcPr>
            <w:tcW w:w="769" w:type="pct"/>
            <w:noWrap w:val="0"/>
            <w:vAlign w:val="center"/>
          </w:tcPr>
          <w:p w14:paraId="38C95725">
            <w:pPr>
              <w:pStyle w:val="58"/>
              <w:bidi w:val="0"/>
              <w:rPr>
                <w:rFonts w:hint="default" w:ascii="Times New Roman" w:hAnsi="Times New Roman"/>
                <w:lang w:val="en-US" w:eastAsia="zh-CN"/>
              </w:rPr>
            </w:pPr>
            <w:r>
              <w:rPr>
                <w:rFonts w:hint="eastAsia" w:ascii="Times New Roman" w:hAnsi="Times New Roman"/>
                <w:lang w:val="en-US" w:eastAsia="zh-CN"/>
              </w:rPr>
              <w:t>100</w:t>
            </w:r>
          </w:p>
        </w:tc>
        <w:tc>
          <w:tcPr>
            <w:tcW w:w="765" w:type="pct"/>
            <w:noWrap w:val="0"/>
            <w:vAlign w:val="center"/>
          </w:tcPr>
          <w:p w14:paraId="0E42DE0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0.00005</w:t>
            </w:r>
          </w:p>
        </w:tc>
      </w:tr>
      <w:tr w14:paraId="7C35367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395" w:type="pct"/>
            <w:noWrap w:val="0"/>
            <w:vAlign w:val="center"/>
          </w:tcPr>
          <w:p w14:paraId="31E28297">
            <w:pPr>
              <w:pStyle w:val="58"/>
              <w:numPr>
                <w:ilvl w:val="0"/>
                <w:numId w:val="13"/>
              </w:numPr>
              <w:bidi w:val="0"/>
              <w:ind w:left="425" w:leftChars="0" w:hanging="425" w:firstLineChars="0"/>
              <w:rPr>
                <w:rFonts w:hint="eastAsia" w:ascii="Times New Roman" w:hAnsi="Times New Roman"/>
                <w:lang w:val="en-US" w:eastAsia="zh-CN"/>
              </w:rPr>
            </w:pPr>
          </w:p>
        </w:tc>
        <w:tc>
          <w:tcPr>
            <w:tcW w:w="805" w:type="pct"/>
            <w:noWrap w:val="0"/>
            <w:vAlign w:val="center"/>
          </w:tcPr>
          <w:p w14:paraId="013CCB4F">
            <w:pPr>
              <w:pStyle w:val="58"/>
              <w:bidi w:val="0"/>
              <w:rPr>
                <w:rFonts w:hint="default" w:ascii="Times New Roman" w:hAnsi="Times New Roman"/>
                <w:lang w:val="en-US" w:eastAsia="zh-CN"/>
              </w:rPr>
            </w:pPr>
            <w:r>
              <w:rPr>
                <w:rFonts w:hint="default" w:ascii="Times New Roman" w:hAnsi="Times New Roman"/>
              </w:rPr>
              <w:t>在线监测废液</w:t>
            </w:r>
          </w:p>
        </w:tc>
        <w:tc>
          <w:tcPr>
            <w:tcW w:w="717" w:type="pct"/>
            <w:noWrap w:val="0"/>
            <w:vAlign w:val="center"/>
          </w:tcPr>
          <w:p w14:paraId="4DA7E453">
            <w:pPr>
              <w:pStyle w:val="58"/>
              <w:bidi w:val="0"/>
              <w:rPr>
                <w:rFonts w:hint="default" w:ascii="Times New Roman" w:hAnsi="Times New Roman"/>
              </w:rPr>
            </w:pPr>
            <w:r>
              <w:rPr>
                <w:rFonts w:hint="eastAsia" w:ascii="Times New Roman" w:hAnsi="Times New Roman"/>
              </w:rPr>
              <w:t>液态</w:t>
            </w:r>
          </w:p>
        </w:tc>
        <w:tc>
          <w:tcPr>
            <w:tcW w:w="776" w:type="pct"/>
            <w:noWrap w:val="0"/>
            <w:vAlign w:val="center"/>
          </w:tcPr>
          <w:p w14:paraId="709051E4">
            <w:pPr>
              <w:pStyle w:val="58"/>
              <w:bidi w:val="0"/>
              <w:rPr>
                <w:rFonts w:hint="default" w:ascii="Times New Roman" w:hAnsi="Times New Roman"/>
              </w:rPr>
            </w:pPr>
            <w:r>
              <w:rPr>
                <w:rFonts w:hint="default" w:ascii="Times New Roman" w:hAnsi="Times New Roman"/>
              </w:rPr>
              <w:t>桶装</w:t>
            </w:r>
          </w:p>
        </w:tc>
        <w:tc>
          <w:tcPr>
            <w:tcW w:w="771" w:type="pct"/>
            <w:noWrap w:val="0"/>
            <w:vAlign w:val="center"/>
          </w:tcPr>
          <w:p w14:paraId="4327E6FC">
            <w:pPr>
              <w:pStyle w:val="58"/>
              <w:bidi w:val="0"/>
              <w:rPr>
                <w:rFonts w:hint="default" w:ascii="Times New Roman" w:hAnsi="Times New Roman" w:eastAsia="宋体"/>
                <w:lang w:val="en-US" w:eastAsia="zh-CN"/>
              </w:rPr>
            </w:pPr>
            <w:r>
              <w:rPr>
                <w:rFonts w:hint="eastAsia" w:ascii="Times New Roman" w:hAnsi="Times New Roman"/>
              </w:rPr>
              <w:t>0.</w:t>
            </w:r>
            <w:r>
              <w:rPr>
                <w:rFonts w:hint="eastAsia"/>
                <w:lang w:val="en-US" w:eastAsia="zh-CN"/>
              </w:rPr>
              <w:t>07</w:t>
            </w:r>
          </w:p>
        </w:tc>
        <w:tc>
          <w:tcPr>
            <w:tcW w:w="769" w:type="pct"/>
            <w:noWrap w:val="0"/>
            <w:vAlign w:val="center"/>
          </w:tcPr>
          <w:p w14:paraId="334ED03A">
            <w:pPr>
              <w:pStyle w:val="58"/>
              <w:bidi w:val="0"/>
              <w:rPr>
                <w:rFonts w:hint="default" w:ascii="Times New Roman" w:hAnsi="Times New Roman"/>
                <w:lang w:val="en-US" w:eastAsia="zh-CN"/>
              </w:rPr>
            </w:pPr>
            <w:r>
              <w:rPr>
                <w:rFonts w:hint="eastAsia" w:ascii="Times New Roman" w:hAnsi="Times New Roman"/>
                <w:lang w:val="en-US" w:eastAsia="zh-CN"/>
              </w:rPr>
              <w:t>100</w:t>
            </w:r>
          </w:p>
        </w:tc>
        <w:tc>
          <w:tcPr>
            <w:tcW w:w="765" w:type="pct"/>
            <w:noWrap w:val="0"/>
            <w:vAlign w:val="center"/>
          </w:tcPr>
          <w:p w14:paraId="6893BC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0.0007</w:t>
            </w:r>
          </w:p>
        </w:tc>
      </w:tr>
      <w:tr w14:paraId="6456B83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395" w:type="pct"/>
            <w:noWrap w:val="0"/>
            <w:vAlign w:val="center"/>
          </w:tcPr>
          <w:p w14:paraId="07471D37">
            <w:pPr>
              <w:pStyle w:val="58"/>
              <w:numPr>
                <w:ilvl w:val="0"/>
                <w:numId w:val="13"/>
              </w:numPr>
              <w:bidi w:val="0"/>
              <w:ind w:left="425" w:leftChars="0" w:hanging="425" w:firstLineChars="0"/>
              <w:rPr>
                <w:rFonts w:hint="eastAsia" w:ascii="Times New Roman" w:hAnsi="Times New Roman"/>
                <w:lang w:val="en-US" w:eastAsia="zh-CN"/>
              </w:rPr>
            </w:pPr>
          </w:p>
        </w:tc>
        <w:tc>
          <w:tcPr>
            <w:tcW w:w="805" w:type="pct"/>
            <w:noWrap w:val="0"/>
            <w:vAlign w:val="center"/>
          </w:tcPr>
          <w:p w14:paraId="4838EBE3">
            <w:pPr>
              <w:pStyle w:val="58"/>
              <w:bidi w:val="0"/>
              <w:rPr>
                <w:rFonts w:hint="default" w:ascii="Times New Roman" w:hAnsi="Times New Roman"/>
                <w:lang w:val="en-US" w:eastAsia="zh-CN"/>
              </w:rPr>
            </w:pPr>
            <w:r>
              <w:rPr>
                <w:rFonts w:hint="eastAsia"/>
                <w:lang w:eastAsia="zh-CN"/>
              </w:rPr>
              <w:t>实验室</w:t>
            </w:r>
            <w:r>
              <w:rPr>
                <w:rFonts w:hint="default" w:ascii="Times New Roman" w:hAnsi="Times New Roman"/>
              </w:rPr>
              <w:t>废液</w:t>
            </w:r>
          </w:p>
        </w:tc>
        <w:tc>
          <w:tcPr>
            <w:tcW w:w="717" w:type="pct"/>
            <w:noWrap w:val="0"/>
            <w:vAlign w:val="center"/>
          </w:tcPr>
          <w:p w14:paraId="7A1F8CA3">
            <w:pPr>
              <w:pStyle w:val="58"/>
              <w:bidi w:val="0"/>
              <w:rPr>
                <w:rFonts w:hint="default" w:ascii="Times New Roman" w:hAnsi="Times New Roman"/>
              </w:rPr>
            </w:pPr>
            <w:r>
              <w:rPr>
                <w:rFonts w:hint="eastAsia" w:ascii="Times New Roman" w:hAnsi="Times New Roman"/>
              </w:rPr>
              <w:t>液态</w:t>
            </w:r>
          </w:p>
        </w:tc>
        <w:tc>
          <w:tcPr>
            <w:tcW w:w="776" w:type="pct"/>
            <w:noWrap w:val="0"/>
            <w:vAlign w:val="center"/>
          </w:tcPr>
          <w:p w14:paraId="7B1A04BC">
            <w:pPr>
              <w:pStyle w:val="58"/>
              <w:bidi w:val="0"/>
              <w:rPr>
                <w:rFonts w:hint="default" w:ascii="Times New Roman" w:hAnsi="Times New Roman"/>
              </w:rPr>
            </w:pPr>
            <w:r>
              <w:rPr>
                <w:rFonts w:hint="default" w:ascii="Times New Roman" w:hAnsi="Times New Roman"/>
              </w:rPr>
              <w:t>桶装</w:t>
            </w:r>
          </w:p>
        </w:tc>
        <w:tc>
          <w:tcPr>
            <w:tcW w:w="771" w:type="pct"/>
            <w:noWrap w:val="0"/>
            <w:vAlign w:val="center"/>
          </w:tcPr>
          <w:p w14:paraId="2175C507">
            <w:pPr>
              <w:pStyle w:val="58"/>
              <w:bidi w:val="0"/>
              <w:rPr>
                <w:rFonts w:hint="default" w:ascii="Times New Roman" w:hAnsi="Times New Roman"/>
                <w:lang w:val="en-US" w:eastAsia="zh-CN"/>
              </w:rPr>
            </w:pPr>
            <w:r>
              <w:rPr>
                <w:rFonts w:hint="eastAsia" w:ascii="Times New Roman" w:hAnsi="Times New Roman"/>
              </w:rPr>
              <w:t>0.01</w:t>
            </w:r>
          </w:p>
        </w:tc>
        <w:tc>
          <w:tcPr>
            <w:tcW w:w="769" w:type="pct"/>
            <w:noWrap w:val="0"/>
            <w:vAlign w:val="center"/>
          </w:tcPr>
          <w:p w14:paraId="580B9745">
            <w:pPr>
              <w:pStyle w:val="58"/>
              <w:bidi w:val="0"/>
              <w:rPr>
                <w:rFonts w:hint="default" w:ascii="Times New Roman" w:hAnsi="Times New Roman"/>
                <w:lang w:val="en-US" w:eastAsia="zh-CN"/>
              </w:rPr>
            </w:pPr>
            <w:r>
              <w:rPr>
                <w:rFonts w:hint="eastAsia" w:ascii="Times New Roman" w:hAnsi="Times New Roman"/>
                <w:lang w:val="en-US" w:eastAsia="zh-CN"/>
              </w:rPr>
              <w:t>100</w:t>
            </w:r>
          </w:p>
        </w:tc>
        <w:tc>
          <w:tcPr>
            <w:tcW w:w="765" w:type="pct"/>
            <w:noWrap w:val="0"/>
            <w:vAlign w:val="center"/>
          </w:tcPr>
          <w:p w14:paraId="097E82D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0.0001</w:t>
            </w:r>
          </w:p>
        </w:tc>
      </w:tr>
      <w:tr w14:paraId="44B2A60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395" w:type="pct"/>
            <w:noWrap w:val="0"/>
            <w:vAlign w:val="center"/>
          </w:tcPr>
          <w:p w14:paraId="1DBCE030">
            <w:pPr>
              <w:pStyle w:val="58"/>
              <w:numPr>
                <w:ilvl w:val="0"/>
                <w:numId w:val="13"/>
              </w:numPr>
              <w:bidi w:val="0"/>
              <w:ind w:left="425" w:leftChars="0" w:hanging="425" w:firstLineChars="0"/>
              <w:rPr>
                <w:rFonts w:hint="eastAsia" w:ascii="Times New Roman" w:hAnsi="Times New Roman"/>
                <w:lang w:val="en-US" w:eastAsia="zh-CN"/>
              </w:rPr>
            </w:pPr>
          </w:p>
        </w:tc>
        <w:tc>
          <w:tcPr>
            <w:tcW w:w="805" w:type="pct"/>
            <w:noWrap w:val="0"/>
            <w:vAlign w:val="center"/>
          </w:tcPr>
          <w:p w14:paraId="6FB67A5D">
            <w:pPr>
              <w:pStyle w:val="58"/>
              <w:bidi w:val="0"/>
              <w:rPr>
                <w:rFonts w:hint="default"/>
                <w:lang w:val="en-US" w:eastAsia="zh-CN"/>
              </w:rPr>
            </w:pPr>
            <w:r>
              <w:rPr>
                <w:rFonts w:hint="eastAsia"/>
                <w:lang w:val="en-US" w:eastAsia="zh-CN"/>
              </w:rPr>
              <w:t>废试剂瓶</w:t>
            </w:r>
          </w:p>
        </w:tc>
        <w:tc>
          <w:tcPr>
            <w:tcW w:w="717" w:type="pct"/>
            <w:noWrap w:val="0"/>
            <w:vAlign w:val="center"/>
          </w:tcPr>
          <w:p w14:paraId="43B35C66">
            <w:pPr>
              <w:pStyle w:val="58"/>
              <w:bidi w:val="0"/>
              <w:rPr>
                <w:rFonts w:hint="eastAsia" w:ascii="Times New Roman" w:hAnsi="Times New Roman" w:eastAsia="宋体"/>
                <w:lang w:val="en-US" w:eastAsia="zh-CN"/>
              </w:rPr>
            </w:pPr>
            <w:r>
              <w:rPr>
                <w:rFonts w:hint="eastAsia"/>
                <w:lang w:val="en-US" w:eastAsia="zh-CN"/>
              </w:rPr>
              <w:t>液态</w:t>
            </w:r>
          </w:p>
        </w:tc>
        <w:tc>
          <w:tcPr>
            <w:tcW w:w="776" w:type="pct"/>
            <w:noWrap w:val="0"/>
            <w:vAlign w:val="center"/>
          </w:tcPr>
          <w:p w14:paraId="17B2314C">
            <w:pPr>
              <w:pStyle w:val="58"/>
              <w:bidi w:val="0"/>
              <w:rPr>
                <w:rFonts w:hint="eastAsia" w:ascii="Times New Roman" w:hAnsi="Times New Roman" w:eastAsia="宋体"/>
                <w:lang w:val="en-US" w:eastAsia="zh-CN"/>
              </w:rPr>
            </w:pPr>
            <w:r>
              <w:rPr>
                <w:rFonts w:hint="eastAsia"/>
                <w:lang w:val="en-US" w:eastAsia="zh-CN"/>
              </w:rPr>
              <w:t>/</w:t>
            </w:r>
          </w:p>
        </w:tc>
        <w:tc>
          <w:tcPr>
            <w:tcW w:w="771" w:type="pct"/>
            <w:noWrap w:val="0"/>
            <w:vAlign w:val="center"/>
          </w:tcPr>
          <w:p w14:paraId="181B7C28">
            <w:pPr>
              <w:pStyle w:val="58"/>
              <w:bidi w:val="0"/>
              <w:rPr>
                <w:rFonts w:hint="eastAsia" w:ascii="Times New Roman" w:hAnsi="Times New Roman"/>
              </w:rPr>
            </w:pPr>
            <w:r>
              <w:rPr>
                <w:rFonts w:hint="default"/>
                <w:highlight w:val="none"/>
              </w:rPr>
              <w:t>3.2×10</w:t>
            </w:r>
            <w:r>
              <w:rPr>
                <w:rFonts w:hint="default"/>
                <w:highlight w:val="none"/>
                <w:vertAlign w:val="superscript"/>
              </w:rPr>
              <w:t>-5</w:t>
            </w:r>
          </w:p>
        </w:tc>
        <w:tc>
          <w:tcPr>
            <w:tcW w:w="769" w:type="pct"/>
            <w:noWrap w:val="0"/>
            <w:vAlign w:val="center"/>
          </w:tcPr>
          <w:p w14:paraId="1CF40804">
            <w:pPr>
              <w:pStyle w:val="58"/>
              <w:bidi w:val="0"/>
              <w:rPr>
                <w:rFonts w:hint="default" w:ascii="Times New Roman" w:hAnsi="Times New Roman"/>
                <w:lang w:val="en-US" w:eastAsia="zh-CN"/>
              </w:rPr>
            </w:pPr>
            <w:r>
              <w:rPr>
                <w:rFonts w:hint="eastAsia"/>
                <w:lang w:val="en-US" w:eastAsia="zh-CN"/>
              </w:rPr>
              <w:t>100</w:t>
            </w:r>
          </w:p>
        </w:tc>
        <w:tc>
          <w:tcPr>
            <w:tcW w:w="765" w:type="pct"/>
            <w:noWrap w:val="0"/>
            <w:vAlign w:val="center"/>
          </w:tcPr>
          <w:p w14:paraId="3806CC5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kern w:val="2"/>
                <w:sz w:val="21"/>
                <w:szCs w:val="21"/>
                <w:lang w:val="en-US" w:eastAsia="zh-CN" w:bidi="ar-SA"/>
              </w:rPr>
            </w:pPr>
            <w:r>
              <w:rPr>
                <w:rFonts w:hint="eastAsia" w:cs="Times New Roman"/>
                <w:kern w:val="2"/>
                <w:sz w:val="21"/>
                <w:szCs w:val="21"/>
                <w:lang w:val="en-US" w:eastAsia="zh-CN" w:bidi="ar-SA"/>
              </w:rPr>
              <w:t>3.2</w:t>
            </w:r>
            <w:r>
              <w:rPr>
                <w:rFonts w:hint="default"/>
                <w:sz w:val="21"/>
                <w:szCs w:val="21"/>
                <w:highlight w:val="none"/>
              </w:rPr>
              <w:t>×10</w:t>
            </w:r>
            <w:r>
              <w:rPr>
                <w:rFonts w:hint="default"/>
                <w:sz w:val="21"/>
                <w:szCs w:val="21"/>
                <w:highlight w:val="none"/>
                <w:vertAlign w:val="superscript"/>
              </w:rPr>
              <w:t>-</w:t>
            </w:r>
            <w:r>
              <w:rPr>
                <w:rFonts w:hint="eastAsia"/>
                <w:sz w:val="21"/>
                <w:szCs w:val="21"/>
                <w:highlight w:val="none"/>
                <w:vertAlign w:val="superscript"/>
                <w:lang w:val="en-US" w:eastAsia="zh-CN"/>
              </w:rPr>
              <w:t>7</w:t>
            </w:r>
          </w:p>
        </w:tc>
      </w:tr>
      <w:tr w14:paraId="39EACB5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4234" w:type="pct"/>
            <w:gridSpan w:val="6"/>
            <w:noWrap w:val="0"/>
            <w:vAlign w:val="center"/>
          </w:tcPr>
          <w:p w14:paraId="6784BD6D">
            <w:pPr>
              <w:pStyle w:val="58"/>
              <w:bidi w:val="0"/>
              <w:rPr>
                <w:rFonts w:hint="eastAsia" w:ascii="Times New Roman" w:hAnsi="Times New Roman"/>
                <w:lang w:val="en-US" w:eastAsia="zh-CN"/>
              </w:rPr>
            </w:pPr>
            <w:r>
              <w:rPr>
                <w:rFonts w:hint="eastAsia" w:ascii="Times New Roman" w:hAnsi="Times New Roman"/>
                <w:lang w:val="en-US" w:eastAsia="zh-CN"/>
              </w:rPr>
              <w:t>项目Q值</w:t>
            </w:r>
          </w:p>
        </w:tc>
        <w:tc>
          <w:tcPr>
            <w:tcW w:w="765" w:type="pct"/>
            <w:noWrap w:val="0"/>
            <w:vAlign w:val="center"/>
          </w:tcPr>
          <w:p w14:paraId="57B2478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0.035</w:t>
            </w:r>
            <w:r>
              <w:rPr>
                <w:rFonts w:hint="eastAsia" w:cs="Times New Roman"/>
                <w:kern w:val="2"/>
                <w:sz w:val="21"/>
                <w:szCs w:val="21"/>
                <w:lang w:val="en-US" w:eastAsia="zh-CN" w:bidi="ar-SA"/>
              </w:rPr>
              <w:t>3</w:t>
            </w:r>
          </w:p>
        </w:tc>
      </w:tr>
      <w:bookmarkEnd w:id="90"/>
      <w:bookmarkEnd w:id="92"/>
    </w:tbl>
    <w:p w14:paraId="302E63A5">
      <w:pPr>
        <w:keepNext w:val="0"/>
        <w:keepLines w:val="0"/>
        <w:pageBreakBefore w:val="0"/>
        <w:widowControl w:val="0"/>
        <w:kinsoku/>
        <w:wordWrap/>
        <w:overflowPunct/>
        <w:topLinePunct w:val="0"/>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（二）危险物质数量与临界量比值（Q）</w:t>
      </w:r>
    </w:p>
    <w:p w14:paraId="261B94C0">
      <w:pPr>
        <w:keepNext w:val="0"/>
        <w:keepLines w:val="0"/>
        <w:pageBreakBefore w:val="0"/>
        <w:widowControl w:val="0"/>
        <w:kinsoku/>
        <w:wordWrap/>
        <w:overflowPunct/>
        <w:topLinePunct w:val="0"/>
        <w:autoSpaceDE w:val="0"/>
        <w:autoSpaceDN w:val="0"/>
        <w:bidi w:val="0"/>
        <w:adjustRightInd w:val="0"/>
        <w:spacing w:line="500" w:lineRule="exact"/>
        <w:ind w:firstLine="470" w:firstLineChars="196"/>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计算所涉及的每种危险物质在厂界内的最大存在总量与其在《建设项目环境风险评价技术导则》（HJ169-2018）附录B中对应临界量的比值Q。当只涉及一种危险物质时，计算该物质的总量与其临界量比值，即为Q；</w:t>
      </w:r>
    </w:p>
    <w:p w14:paraId="0CB40127">
      <w:pPr>
        <w:keepNext w:val="0"/>
        <w:keepLines w:val="0"/>
        <w:pageBreakBefore w:val="0"/>
        <w:widowControl w:val="0"/>
        <w:kinsoku/>
        <w:wordWrap/>
        <w:overflowPunct/>
        <w:topLinePunct w:val="0"/>
        <w:autoSpaceDE w:val="0"/>
        <w:autoSpaceDN w:val="0"/>
        <w:bidi w:val="0"/>
        <w:adjustRightInd w:val="0"/>
        <w:spacing w:line="500" w:lineRule="exact"/>
        <w:ind w:firstLine="470" w:firstLineChars="196"/>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当存在多种危险物质</w:t>
      </w:r>
      <w:r>
        <w:rPr>
          <w:rFonts w:hint="default" w:ascii="Times New Roman" w:hAnsi="Times New Roman" w:eastAsia="宋体" w:cs="Times New Roman"/>
          <w:color w:val="auto"/>
          <w:sz w:val="24"/>
          <w:szCs w:val="24"/>
          <w:highlight w:val="none"/>
          <w:lang w:val="en-US" w:eastAsia="zh-CN"/>
        </w:rPr>
        <w:t>时</w:t>
      </w:r>
      <w:r>
        <w:rPr>
          <w:rFonts w:hint="default" w:ascii="Times New Roman" w:hAnsi="Times New Roman" w:eastAsia="宋体" w:cs="Times New Roman"/>
          <w:color w:val="auto"/>
          <w:sz w:val="24"/>
          <w:szCs w:val="24"/>
          <w:highlight w:val="none"/>
        </w:rPr>
        <w:t>，则按下式计算物质总量与其临界量的比值（Q）：</w:t>
      </w:r>
    </w:p>
    <w:p w14:paraId="317C596E">
      <w:pPr>
        <w:keepNext w:val="0"/>
        <w:keepLines w:val="0"/>
        <w:pageBreakBefore w:val="0"/>
        <w:widowControl w:val="0"/>
        <w:kinsoku/>
        <w:wordWrap/>
        <w:overflowPunct/>
        <w:topLinePunct w:val="0"/>
        <w:bidi w:val="0"/>
        <w:spacing w:line="500" w:lineRule="exact"/>
        <w:ind w:firstLine="1200" w:firstLineChars="500"/>
        <w:textAlignment w:val="auto"/>
        <w:rPr>
          <w:rFonts w:hint="default" w:ascii="Times New Roman" w:hAnsi="Times New Roman" w:eastAsia="宋体" w:cs="Times New Roman"/>
          <w:color w:val="auto"/>
          <w:sz w:val="24"/>
          <w:szCs w:val="24"/>
          <w:highlight w:val="none"/>
          <w:vertAlign w:val="subscript"/>
          <w:lang w:eastAsia="zh-CN"/>
        </w:rPr>
      </w:pPr>
      <w:r>
        <w:rPr>
          <w:rFonts w:hint="default" w:ascii="Times New Roman" w:hAnsi="Times New Roman" w:eastAsia="宋体" w:cs="Times New Roman"/>
          <w:color w:val="auto"/>
          <w:sz w:val="24"/>
          <w:szCs w:val="24"/>
          <w:highlight w:val="none"/>
        </w:rPr>
        <w:t>Q=q</w:t>
      </w:r>
      <w:r>
        <w:rPr>
          <w:rFonts w:hint="default" w:ascii="Times New Roman" w:hAnsi="Times New Roman" w:eastAsia="宋体" w:cs="Times New Roman"/>
          <w:color w:val="auto"/>
          <w:sz w:val="24"/>
          <w:szCs w:val="24"/>
          <w:highlight w:val="none"/>
          <w:vertAlign w:val="subscript"/>
        </w:rPr>
        <w:t>1</w:t>
      </w:r>
      <w:r>
        <w:rPr>
          <w:rFonts w:hint="default" w:ascii="Times New Roman" w:hAnsi="Times New Roman" w:eastAsia="宋体" w:cs="Times New Roman"/>
          <w:color w:val="auto"/>
          <w:sz w:val="24"/>
          <w:szCs w:val="24"/>
          <w:highlight w:val="none"/>
        </w:rPr>
        <w:t>/Q</w:t>
      </w:r>
      <w:r>
        <w:rPr>
          <w:rFonts w:hint="default" w:ascii="Times New Roman" w:hAnsi="Times New Roman" w:eastAsia="宋体" w:cs="Times New Roman"/>
          <w:color w:val="auto"/>
          <w:sz w:val="24"/>
          <w:szCs w:val="24"/>
          <w:highlight w:val="none"/>
          <w:vertAlign w:val="subscript"/>
        </w:rPr>
        <w:t>1</w:t>
      </w:r>
      <w:r>
        <w:rPr>
          <w:rFonts w:hint="default" w:ascii="Times New Roman" w:hAnsi="Times New Roman" w:eastAsia="宋体" w:cs="Times New Roman"/>
          <w:color w:val="auto"/>
          <w:sz w:val="24"/>
          <w:szCs w:val="24"/>
          <w:highlight w:val="none"/>
        </w:rPr>
        <w:t>+q</w:t>
      </w:r>
      <w:r>
        <w:rPr>
          <w:rFonts w:hint="default" w:ascii="Times New Roman" w:hAnsi="Times New Roman" w:eastAsia="宋体" w:cs="Times New Roman"/>
          <w:color w:val="auto"/>
          <w:sz w:val="24"/>
          <w:szCs w:val="24"/>
          <w:highlight w:val="none"/>
          <w:vertAlign w:val="subscript"/>
        </w:rPr>
        <w:t>2</w:t>
      </w:r>
      <w:r>
        <w:rPr>
          <w:rFonts w:hint="default" w:ascii="Times New Roman" w:hAnsi="Times New Roman" w:eastAsia="宋体" w:cs="Times New Roman"/>
          <w:color w:val="auto"/>
          <w:sz w:val="24"/>
          <w:szCs w:val="24"/>
          <w:highlight w:val="none"/>
        </w:rPr>
        <w:t>/Q</w:t>
      </w:r>
      <w:r>
        <w:rPr>
          <w:rFonts w:hint="default" w:ascii="Times New Roman" w:hAnsi="Times New Roman" w:eastAsia="宋体" w:cs="Times New Roman"/>
          <w:color w:val="auto"/>
          <w:sz w:val="24"/>
          <w:szCs w:val="24"/>
          <w:highlight w:val="none"/>
          <w:vertAlign w:val="subscript"/>
        </w:rPr>
        <w:t>2</w:t>
      </w:r>
      <w:r>
        <w:rPr>
          <w:rFonts w:hint="default" w:ascii="Times New Roman" w:hAnsi="Times New Roman" w:eastAsia="宋体" w:cs="Times New Roman"/>
          <w:color w:val="auto"/>
          <w:sz w:val="24"/>
          <w:szCs w:val="24"/>
          <w:highlight w:val="none"/>
        </w:rPr>
        <w:t>……+q</w:t>
      </w:r>
      <w:r>
        <w:rPr>
          <w:rFonts w:hint="default" w:ascii="Times New Roman" w:hAnsi="Times New Roman" w:eastAsia="宋体" w:cs="Times New Roman"/>
          <w:color w:val="auto"/>
          <w:sz w:val="24"/>
          <w:szCs w:val="24"/>
          <w:highlight w:val="none"/>
          <w:vertAlign w:val="subscript"/>
        </w:rPr>
        <w:t>n</w:t>
      </w:r>
      <w:r>
        <w:rPr>
          <w:rFonts w:hint="default" w:ascii="Times New Roman" w:hAnsi="Times New Roman" w:eastAsia="宋体" w:cs="Times New Roman"/>
          <w:color w:val="auto"/>
          <w:sz w:val="24"/>
          <w:szCs w:val="24"/>
          <w:highlight w:val="none"/>
        </w:rPr>
        <w:t>/Q</w:t>
      </w:r>
      <w:r>
        <w:rPr>
          <w:rFonts w:hint="default" w:ascii="Times New Roman" w:hAnsi="Times New Roman" w:eastAsia="宋体" w:cs="Times New Roman"/>
          <w:color w:val="auto"/>
          <w:sz w:val="24"/>
          <w:szCs w:val="24"/>
          <w:highlight w:val="none"/>
          <w:vertAlign w:val="subscript"/>
        </w:rPr>
        <w:t>n</w:t>
      </w:r>
    </w:p>
    <w:p w14:paraId="52097550">
      <w:pPr>
        <w:keepNext w:val="0"/>
        <w:keepLines w:val="0"/>
        <w:pageBreakBefore w:val="0"/>
        <w:widowControl w:val="0"/>
        <w:kinsoku/>
        <w:wordWrap/>
        <w:overflowPunct/>
        <w:topLinePunct w:val="0"/>
        <w:bidi w:val="0"/>
        <w:snapToGrid w:val="0"/>
        <w:spacing w:line="500" w:lineRule="exact"/>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式中：q</w:t>
      </w:r>
      <w:r>
        <w:rPr>
          <w:rFonts w:hint="default" w:ascii="Times New Roman" w:hAnsi="Times New Roman" w:eastAsia="宋体" w:cs="Times New Roman"/>
          <w:color w:val="auto"/>
          <w:sz w:val="24"/>
          <w:szCs w:val="24"/>
          <w:highlight w:val="none"/>
          <w:vertAlign w:val="subscript"/>
        </w:rPr>
        <w:t>1</w:t>
      </w:r>
      <w:r>
        <w:rPr>
          <w:rFonts w:hint="default" w:ascii="Times New Roman" w:hAnsi="Times New Roman" w:eastAsia="宋体" w:cs="Times New Roman"/>
          <w:color w:val="auto"/>
          <w:sz w:val="24"/>
          <w:szCs w:val="24"/>
          <w:highlight w:val="none"/>
        </w:rPr>
        <w:t>、q</w:t>
      </w:r>
      <w:r>
        <w:rPr>
          <w:rFonts w:hint="default" w:ascii="Times New Roman" w:hAnsi="Times New Roman" w:eastAsia="宋体" w:cs="Times New Roman"/>
          <w:color w:val="auto"/>
          <w:sz w:val="24"/>
          <w:szCs w:val="24"/>
          <w:highlight w:val="none"/>
          <w:vertAlign w:val="subscript"/>
        </w:rPr>
        <w:t>2</w:t>
      </w:r>
      <w:r>
        <w:rPr>
          <w:rFonts w:hint="default" w:ascii="Times New Roman" w:hAnsi="Times New Roman" w:eastAsia="宋体" w:cs="Times New Roman"/>
          <w:color w:val="auto"/>
          <w:sz w:val="24"/>
          <w:szCs w:val="24"/>
          <w:highlight w:val="none"/>
        </w:rPr>
        <w:t>、…、q</w:t>
      </w:r>
      <w:r>
        <w:rPr>
          <w:rFonts w:hint="default" w:ascii="Times New Roman" w:hAnsi="Times New Roman" w:eastAsia="宋体" w:cs="Times New Roman"/>
          <w:color w:val="auto"/>
          <w:sz w:val="24"/>
          <w:szCs w:val="24"/>
          <w:highlight w:val="none"/>
          <w:vertAlign w:val="subscript"/>
        </w:rPr>
        <w:t>n</w:t>
      </w:r>
      <w:r>
        <w:rPr>
          <w:rFonts w:hint="default" w:ascii="Times New Roman" w:hAnsi="Times New Roman" w:eastAsia="宋体" w:cs="Times New Roman"/>
          <w:color w:val="auto"/>
          <w:sz w:val="24"/>
          <w:szCs w:val="24"/>
          <w:highlight w:val="none"/>
        </w:rPr>
        <w:t>—每种风险物质的存在量，t；</w:t>
      </w:r>
    </w:p>
    <w:p w14:paraId="25583C66">
      <w:pPr>
        <w:keepNext w:val="0"/>
        <w:keepLines w:val="0"/>
        <w:pageBreakBefore w:val="0"/>
        <w:widowControl w:val="0"/>
        <w:kinsoku/>
        <w:wordWrap/>
        <w:overflowPunct/>
        <w:topLinePunct w:val="0"/>
        <w:bidi w:val="0"/>
        <w:snapToGrid w:val="0"/>
        <w:spacing w:line="500" w:lineRule="exact"/>
        <w:ind w:firstLine="1200" w:firstLineChars="5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Q</w:t>
      </w:r>
      <w:r>
        <w:rPr>
          <w:rFonts w:hint="default" w:ascii="Times New Roman" w:hAnsi="Times New Roman" w:eastAsia="宋体" w:cs="Times New Roman"/>
          <w:color w:val="auto"/>
          <w:sz w:val="24"/>
          <w:szCs w:val="24"/>
          <w:highlight w:val="none"/>
          <w:vertAlign w:val="subscript"/>
        </w:rPr>
        <w:t>1</w:t>
      </w:r>
      <w:r>
        <w:rPr>
          <w:rFonts w:hint="default" w:ascii="Times New Roman" w:hAnsi="Times New Roman" w:eastAsia="宋体" w:cs="Times New Roman"/>
          <w:color w:val="auto"/>
          <w:sz w:val="24"/>
          <w:szCs w:val="24"/>
          <w:highlight w:val="none"/>
        </w:rPr>
        <w:t>、Q</w:t>
      </w:r>
      <w:r>
        <w:rPr>
          <w:rFonts w:hint="default" w:ascii="Times New Roman" w:hAnsi="Times New Roman" w:eastAsia="宋体" w:cs="Times New Roman"/>
          <w:color w:val="auto"/>
          <w:sz w:val="24"/>
          <w:szCs w:val="24"/>
          <w:highlight w:val="none"/>
          <w:vertAlign w:val="subscript"/>
        </w:rPr>
        <w:t>2</w:t>
      </w:r>
      <w:r>
        <w:rPr>
          <w:rFonts w:hint="default" w:ascii="Times New Roman" w:hAnsi="Times New Roman" w:eastAsia="宋体" w:cs="Times New Roman"/>
          <w:color w:val="auto"/>
          <w:sz w:val="24"/>
          <w:szCs w:val="24"/>
          <w:highlight w:val="none"/>
        </w:rPr>
        <w:t>、…、Q</w:t>
      </w:r>
      <w:r>
        <w:rPr>
          <w:rFonts w:hint="default" w:ascii="Times New Roman" w:hAnsi="Times New Roman" w:eastAsia="宋体" w:cs="Times New Roman"/>
          <w:color w:val="auto"/>
          <w:sz w:val="24"/>
          <w:szCs w:val="24"/>
          <w:highlight w:val="none"/>
          <w:vertAlign w:val="subscript"/>
        </w:rPr>
        <w:t>n</w:t>
      </w:r>
      <w:r>
        <w:rPr>
          <w:rFonts w:hint="default" w:ascii="Times New Roman" w:hAnsi="Times New Roman" w:eastAsia="宋体" w:cs="Times New Roman"/>
          <w:color w:val="auto"/>
          <w:sz w:val="24"/>
          <w:szCs w:val="24"/>
          <w:highlight w:val="none"/>
        </w:rPr>
        <w:t>—每种风险物质的临界量，t。</w:t>
      </w:r>
    </w:p>
    <w:p w14:paraId="2140FAD9">
      <w:pPr>
        <w:keepNext w:val="0"/>
        <w:keepLines w:val="0"/>
        <w:pageBreakBefore w:val="0"/>
        <w:widowControl w:val="0"/>
        <w:kinsoku/>
        <w:wordWrap/>
        <w:overflowPunct/>
        <w:topLinePunct w:val="0"/>
        <w:bidi w:val="0"/>
        <w:spacing w:line="500" w:lineRule="exact"/>
        <w:ind w:firstLine="1200" w:firstLineChars="5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当Q＜1，该项目环境风险潜势为Ⅰ。</w:t>
      </w:r>
    </w:p>
    <w:p w14:paraId="7D56223B">
      <w:pPr>
        <w:keepNext w:val="0"/>
        <w:keepLines w:val="0"/>
        <w:pageBreakBefore w:val="0"/>
        <w:widowControl w:val="0"/>
        <w:kinsoku/>
        <w:wordWrap/>
        <w:overflowPunct/>
        <w:topLinePunct w:val="0"/>
        <w:bidi w:val="0"/>
        <w:spacing w:line="500" w:lineRule="exact"/>
        <w:ind w:firstLine="1200" w:firstLineChars="5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当Q≥1时，1≤Q＜10，以Q</w:t>
      </w:r>
      <w:r>
        <w:rPr>
          <w:rFonts w:hint="default" w:ascii="Times New Roman" w:hAnsi="Times New Roman" w:eastAsia="宋体" w:cs="Times New Roman"/>
          <w:color w:val="auto"/>
          <w:sz w:val="24"/>
          <w:szCs w:val="24"/>
          <w:highlight w:val="none"/>
          <w:vertAlign w:val="subscript"/>
        </w:rPr>
        <w:t>1</w:t>
      </w:r>
      <w:r>
        <w:rPr>
          <w:rFonts w:hint="default" w:ascii="Times New Roman" w:hAnsi="Times New Roman" w:eastAsia="宋体" w:cs="Times New Roman"/>
          <w:color w:val="auto"/>
          <w:sz w:val="24"/>
          <w:szCs w:val="24"/>
          <w:highlight w:val="none"/>
        </w:rPr>
        <w:t>表示；10≤Q＜100，以Q</w:t>
      </w:r>
      <w:r>
        <w:rPr>
          <w:rFonts w:hint="default" w:ascii="Times New Roman" w:hAnsi="Times New Roman" w:eastAsia="宋体" w:cs="Times New Roman"/>
          <w:color w:val="auto"/>
          <w:sz w:val="24"/>
          <w:szCs w:val="24"/>
          <w:highlight w:val="none"/>
          <w:vertAlign w:val="subscript"/>
        </w:rPr>
        <w:t>2</w:t>
      </w:r>
      <w:r>
        <w:rPr>
          <w:rFonts w:hint="default" w:ascii="Times New Roman" w:hAnsi="Times New Roman" w:eastAsia="宋体" w:cs="Times New Roman"/>
          <w:color w:val="auto"/>
          <w:sz w:val="24"/>
          <w:szCs w:val="24"/>
          <w:highlight w:val="none"/>
        </w:rPr>
        <w:t>表示；Q≥100，以Q</w:t>
      </w:r>
      <w:r>
        <w:rPr>
          <w:rFonts w:hint="default" w:ascii="Times New Roman" w:hAnsi="Times New Roman" w:eastAsia="宋体" w:cs="Times New Roman"/>
          <w:color w:val="auto"/>
          <w:sz w:val="24"/>
          <w:szCs w:val="24"/>
          <w:highlight w:val="none"/>
          <w:vertAlign w:val="subscript"/>
        </w:rPr>
        <w:t>3</w:t>
      </w:r>
      <w:r>
        <w:rPr>
          <w:rFonts w:hint="default" w:ascii="Times New Roman" w:hAnsi="Times New Roman" w:eastAsia="宋体" w:cs="Times New Roman"/>
          <w:color w:val="auto"/>
          <w:sz w:val="24"/>
          <w:szCs w:val="24"/>
          <w:highlight w:val="none"/>
        </w:rPr>
        <w:t>表示。</w:t>
      </w:r>
    </w:p>
    <w:p w14:paraId="780BDAE1">
      <w:pPr>
        <w:keepNext w:val="0"/>
        <w:keepLines w:val="0"/>
        <w:pageBreakBefore w:val="0"/>
        <w:widowControl w:val="0"/>
        <w:kinsoku/>
        <w:wordWrap/>
        <w:overflowPunct/>
        <w:topLinePunct w:val="0"/>
        <w:autoSpaceDE w:val="0"/>
        <w:autoSpaceDN w:val="0"/>
        <w:bidi w:val="0"/>
        <w:adjustRightInd w:val="0"/>
        <w:spacing w:line="500" w:lineRule="exact"/>
        <w:ind w:firstLine="470" w:firstLineChars="196"/>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本项目Q=</w:t>
      </w:r>
      <w:r>
        <w:rPr>
          <w:rFonts w:hint="eastAsia" w:cs="Times New Roman"/>
          <w:color w:val="auto"/>
          <w:sz w:val="24"/>
          <w:szCs w:val="24"/>
          <w:highlight w:val="none"/>
          <w:lang w:val="en-US" w:eastAsia="zh-CN"/>
        </w:rPr>
        <w:t>0.0353</w:t>
      </w:r>
      <w:r>
        <w:rPr>
          <w:rFonts w:hint="default" w:ascii="Times New Roman" w:hAnsi="Times New Roman" w:eastAsia="宋体" w:cs="Times New Roman"/>
          <w:color w:val="auto"/>
          <w:sz w:val="24"/>
          <w:szCs w:val="24"/>
          <w:highlight w:val="none"/>
        </w:rPr>
        <w:t>＜1。</w:t>
      </w:r>
    </w:p>
    <w:p w14:paraId="284E8798">
      <w:pPr>
        <w:bidi w:val="0"/>
        <w:rPr>
          <w:rFonts w:hint="default"/>
          <w:lang w:val="en-US" w:eastAsia="zh-CN"/>
        </w:rPr>
      </w:pPr>
      <w:r>
        <w:rPr>
          <w:rFonts w:hint="default"/>
        </w:rPr>
        <w:t>则本项目环境风险潜势为Ⅰ。</w:t>
      </w:r>
    </w:p>
    <w:p w14:paraId="088E805A">
      <w:pPr>
        <w:keepNext w:val="0"/>
        <w:keepLines w:val="0"/>
        <w:pageBreakBefore w:val="0"/>
        <w:widowControl w:val="0"/>
        <w:kinsoku/>
        <w:wordWrap/>
        <w:overflowPunct/>
        <w:topLinePunct w:val="0"/>
        <w:autoSpaceDE w:val="0"/>
        <w:autoSpaceDN w:val="0"/>
        <w:bidi w:val="0"/>
        <w:adjustRightInd w:val="0"/>
        <w:spacing w:line="500" w:lineRule="exact"/>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（三）环境风险评价等级判定</w:t>
      </w:r>
    </w:p>
    <w:p w14:paraId="3B519AE7">
      <w:pPr>
        <w:keepNext w:val="0"/>
        <w:keepLines w:val="0"/>
        <w:pageBreakBefore w:val="0"/>
        <w:widowControl w:val="0"/>
        <w:kinsoku/>
        <w:wordWrap/>
        <w:overflowPunct/>
        <w:topLinePunct w:val="0"/>
        <w:autoSpaceDE w:val="0"/>
        <w:autoSpaceDN w:val="0"/>
        <w:bidi w:val="0"/>
        <w:adjustRightInd w:val="0"/>
        <w:spacing w:line="500" w:lineRule="exact"/>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根据《建设项目环境风险评价技术导则》(HJ169-2018)的要求，环境风险评价工作等级划分为一级、二级、三级，根据建设项目涉及的危险物质及工艺系统危险性和所在地的环境敏感性确定环境风险潜势。风险潜势为Ⅳ及以上，进行一级评价；风险潜势为Ⅲ，进行二级评价；风险潜势为Ⅱ，进行三级评价；风险潜势为Ⅰ，可开展简单分析。评价工作级别划分见表2.</w:t>
      </w:r>
      <w:r>
        <w:rPr>
          <w:rFonts w:hint="default" w:ascii="Times New Roman" w:hAnsi="Times New Roman" w:eastAsia="宋体" w:cs="Times New Roman"/>
          <w:color w:val="auto"/>
          <w:sz w:val="24"/>
          <w:highlight w:val="none"/>
          <w:lang w:val="en-US" w:eastAsia="zh-CN"/>
        </w:rPr>
        <w:t>5</w:t>
      </w:r>
      <w:r>
        <w:rPr>
          <w:rFonts w:hint="default" w:ascii="Times New Roman" w:hAnsi="Times New Roman" w:eastAsia="宋体" w:cs="Times New Roman"/>
          <w:color w:val="auto"/>
          <w:sz w:val="24"/>
          <w:highlight w:val="none"/>
        </w:rPr>
        <w:t>-1</w:t>
      </w:r>
      <w:r>
        <w:rPr>
          <w:rFonts w:hint="default" w:ascii="Times New Roman" w:hAnsi="Times New Roman" w:eastAsia="宋体" w:cs="Times New Roman"/>
          <w:color w:val="auto"/>
          <w:sz w:val="24"/>
          <w:highlight w:val="none"/>
          <w:lang w:val="en-US" w:eastAsia="zh-CN"/>
        </w:rPr>
        <w:t>1</w:t>
      </w:r>
      <w:r>
        <w:rPr>
          <w:rFonts w:hint="default" w:ascii="Times New Roman" w:hAnsi="Times New Roman" w:eastAsia="宋体" w:cs="Times New Roman"/>
          <w:color w:val="auto"/>
          <w:sz w:val="24"/>
          <w:highlight w:val="none"/>
        </w:rPr>
        <w:t>。</w:t>
      </w:r>
    </w:p>
    <w:p w14:paraId="72FA2143">
      <w:pPr>
        <w:pageBreakBefore w:val="0"/>
        <w:widowControl w:val="0"/>
        <w:numPr>
          <w:ilvl w:val="0"/>
          <w:numId w:val="12"/>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bCs/>
          <w:color w:val="000000" w:themeColor="text1"/>
          <w:sz w:val="24"/>
          <w:szCs w:val="24"/>
          <w:highlight w:val="none"/>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14:textFill>
            <w14:solidFill>
              <w14:schemeClr w14:val="tx1"/>
            </w14:solidFill>
          </w14:textFill>
        </w:rPr>
        <w:t>评价工作等级划分一览表</w:t>
      </w:r>
    </w:p>
    <w:tbl>
      <w:tblPr>
        <w:tblStyle w:val="47"/>
        <w:tblW w:w="499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364"/>
        <w:gridCol w:w="2136"/>
        <w:gridCol w:w="1489"/>
        <w:gridCol w:w="1434"/>
        <w:gridCol w:w="1863"/>
      </w:tblGrid>
      <w:tr w14:paraId="7F678D8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73" w:type="pct"/>
            <w:tcBorders>
              <w:top w:val="single" w:color="auto" w:sz="12" w:space="0"/>
              <w:left w:val="single" w:color="auto" w:sz="12" w:space="0"/>
              <w:bottom w:val="single" w:color="auto" w:sz="4" w:space="0"/>
              <w:right w:val="single" w:color="auto" w:sz="4" w:space="0"/>
            </w:tcBorders>
            <w:noWrap w:val="0"/>
            <w:vAlign w:val="center"/>
          </w:tcPr>
          <w:p w14:paraId="15D8C2DF">
            <w:pPr>
              <w:pStyle w:val="2"/>
              <w:spacing w:after="0" w:line="240" w:lineRule="auto"/>
              <w:ind w:left="0" w:leftChars="0"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环境风险潜势</w:t>
            </w:r>
          </w:p>
        </w:tc>
        <w:tc>
          <w:tcPr>
            <w:tcW w:w="1150" w:type="pct"/>
            <w:tcBorders>
              <w:top w:val="single" w:color="auto" w:sz="12" w:space="0"/>
              <w:left w:val="single" w:color="auto" w:sz="4" w:space="0"/>
              <w:bottom w:val="single" w:color="auto" w:sz="4" w:space="0"/>
              <w:right w:val="single" w:color="auto" w:sz="4" w:space="0"/>
            </w:tcBorders>
            <w:noWrap w:val="0"/>
            <w:vAlign w:val="center"/>
          </w:tcPr>
          <w:p w14:paraId="1D920E89">
            <w:pPr>
              <w:pStyle w:val="2"/>
              <w:spacing w:after="0" w:line="240" w:lineRule="auto"/>
              <w:ind w:left="0" w:leftChars="0" w:firstLine="0" w:firstLineChars="0"/>
              <w:jc w:val="center"/>
              <w:rPr>
                <w:rFonts w:hint="default" w:ascii="Times New Roman" w:hAnsi="Times New Roman" w:eastAsia="宋体" w:cs="Times New Roman"/>
                <w:color w:val="auto"/>
                <w:sz w:val="21"/>
                <w:szCs w:val="21"/>
                <w:highlight w:val="none"/>
                <w:vertAlign w:val="superscript"/>
              </w:rPr>
            </w:pPr>
            <w:r>
              <w:rPr>
                <w:rFonts w:hint="default" w:ascii="Times New Roman" w:hAnsi="Times New Roman" w:eastAsia="宋体" w:cs="Times New Roman"/>
                <w:color w:val="auto"/>
                <w:sz w:val="21"/>
                <w:szCs w:val="21"/>
                <w:highlight w:val="none"/>
              </w:rPr>
              <w:t>Ⅳ，Ⅳ</w:t>
            </w:r>
            <w:r>
              <w:rPr>
                <w:rFonts w:hint="default" w:ascii="Times New Roman" w:hAnsi="Times New Roman" w:eastAsia="宋体" w:cs="Times New Roman"/>
                <w:color w:val="auto"/>
                <w:sz w:val="21"/>
                <w:szCs w:val="21"/>
                <w:highlight w:val="none"/>
                <w:vertAlign w:val="superscript"/>
              </w:rPr>
              <w:t>+</w:t>
            </w:r>
          </w:p>
        </w:tc>
        <w:tc>
          <w:tcPr>
            <w:tcW w:w="802" w:type="pct"/>
            <w:tcBorders>
              <w:top w:val="single" w:color="auto" w:sz="12" w:space="0"/>
              <w:left w:val="single" w:color="auto" w:sz="4" w:space="0"/>
              <w:bottom w:val="single" w:color="auto" w:sz="4" w:space="0"/>
              <w:right w:val="single" w:color="auto" w:sz="4" w:space="0"/>
            </w:tcBorders>
            <w:noWrap w:val="0"/>
            <w:vAlign w:val="center"/>
          </w:tcPr>
          <w:p w14:paraId="1B3A88C9">
            <w:pPr>
              <w:pStyle w:val="2"/>
              <w:spacing w:after="0" w:line="240" w:lineRule="auto"/>
              <w:ind w:left="0" w:leftChars="0"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Ⅲ</w:t>
            </w:r>
          </w:p>
        </w:tc>
        <w:tc>
          <w:tcPr>
            <w:tcW w:w="772" w:type="pct"/>
            <w:tcBorders>
              <w:top w:val="single" w:color="auto" w:sz="12" w:space="0"/>
              <w:left w:val="single" w:color="auto" w:sz="4" w:space="0"/>
              <w:bottom w:val="single" w:color="auto" w:sz="4" w:space="0"/>
              <w:right w:val="single" w:color="auto" w:sz="4" w:space="0"/>
            </w:tcBorders>
            <w:noWrap w:val="0"/>
            <w:vAlign w:val="center"/>
          </w:tcPr>
          <w:p w14:paraId="52231373">
            <w:pPr>
              <w:pStyle w:val="2"/>
              <w:spacing w:after="0" w:line="240" w:lineRule="auto"/>
              <w:ind w:left="0" w:leftChars="0"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Ⅱ</w:t>
            </w:r>
          </w:p>
        </w:tc>
        <w:tc>
          <w:tcPr>
            <w:tcW w:w="1000" w:type="pct"/>
            <w:tcBorders>
              <w:top w:val="single" w:color="auto" w:sz="12" w:space="0"/>
              <w:left w:val="single" w:color="auto" w:sz="4" w:space="0"/>
              <w:bottom w:val="single" w:color="auto" w:sz="4" w:space="0"/>
              <w:right w:val="single" w:color="auto" w:sz="12" w:space="0"/>
            </w:tcBorders>
            <w:noWrap w:val="0"/>
            <w:vAlign w:val="center"/>
          </w:tcPr>
          <w:p w14:paraId="4483590F">
            <w:pPr>
              <w:pStyle w:val="2"/>
              <w:spacing w:after="0" w:line="240" w:lineRule="auto"/>
              <w:ind w:left="0" w:leftChars="0"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Ⅰ</w:t>
            </w:r>
          </w:p>
        </w:tc>
      </w:tr>
      <w:tr w14:paraId="5519862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73" w:type="pct"/>
            <w:tcBorders>
              <w:top w:val="single" w:color="auto" w:sz="4" w:space="0"/>
              <w:left w:val="single" w:color="auto" w:sz="12" w:space="0"/>
              <w:bottom w:val="single" w:color="auto" w:sz="4" w:space="0"/>
              <w:right w:val="single" w:color="auto" w:sz="4" w:space="0"/>
            </w:tcBorders>
            <w:noWrap w:val="0"/>
            <w:vAlign w:val="center"/>
          </w:tcPr>
          <w:p w14:paraId="075CCE25">
            <w:pPr>
              <w:pStyle w:val="2"/>
              <w:spacing w:after="0" w:line="240" w:lineRule="auto"/>
              <w:ind w:left="0" w:leftChars="0"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评价工作等级</w:t>
            </w:r>
          </w:p>
        </w:tc>
        <w:tc>
          <w:tcPr>
            <w:tcW w:w="1150" w:type="pct"/>
            <w:tcBorders>
              <w:top w:val="single" w:color="auto" w:sz="4" w:space="0"/>
              <w:left w:val="single" w:color="auto" w:sz="4" w:space="0"/>
              <w:bottom w:val="single" w:color="auto" w:sz="4" w:space="0"/>
              <w:right w:val="single" w:color="auto" w:sz="4" w:space="0"/>
            </w:tcBorders>
            <w:noWrap w:val="0"/>
            <w:vAlign w:val="center"/>
          </w:tcPr>
          <w:p w14:paraId="07C92C50">
            <w:pPr>
              <w:pStyle w:val="2"/>
              <w:spacing w:after="0" w:line="240" w:lineRule="auto"/>
              <w:ind w:left="0" w:leftChars="0"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一</w:t>
            </w:r>
          </w:p>
        </w:tc>
        <w:tc>
          <w:tcPr>
            <w:tcW w:w="802" w:type="pct"/>
            <w:tcBorders>
              <w:top w:val="single" w:color="auto" w:sz="4" w:space="0"/>
              <w:left w:val="single" w:color="auto" w:sz="4" w:space="0"/>
              <w:bottom w:val="single" w:color="auto" w:sz="4" w:space="0"/>
              <w:right w:val="single" w:color="auto" w:sz="4" w:space="0"/>
            </w:tcBorders>
            <w:noWrap w:val="0"/>
            <w:vAlign w:val="center"/>
          </w:tcPr>
          <w:p w14:paraId="28E4B483">
            <w:pPr>
              <w:pStyle w:val="2"/>
              <w:spacing w:after="0" w:line="240" w:lineRule="auto"/>
              <w:ind w:left="0" w:leftChars="0"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二</w:t>
            </w:r>
          </w:p>
        </w:tc>
        <w:tc>
          <w:tcPr>
            <w:tcW w:w="772" w:type="pct"/>
            <w:tcBorders>
              <w:top w:val="single" w:color="auto" w:sz="4" w:space="0"/>
              <w:left w:val="single" w:color="auto" w:sz="4" w:space="0"/>
              <w:bottom w:val="single" w:color="auto" w:sz="4" w:space="0"/>
              <w:right w:val="single" w:color="auto" w:sz="4" w:space="0"/>
            </w:tcBorders>
            <w:noWrap w:val="0"/>
            <w:vAlign w:val="center"/>
          </w:tcPr>
          <w:p w14:paraId="3A9B87E7">
            <w:pPr>
              <w:pStyle w:val="2"/>
              <w:spacing w:after="0" w:line="240" w:lineRule="auto"/>
              <w:ind w:left="0" w:leftChars="0"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三</w:t>
            </w:r>
          </w:p>
        </w:tc>
        <w:tc>
          <w:tcPr>
            <w:tcW w:w="1000" w:type="pct"/>
            <w:tcBorders>
              <w:top w:val="single" w:color="auto" w:sz="4" w:space="0"/>
              <w:left w:val="single" w:color="auto" w:sz="4" w:space="0"/>
              <w:bottom w:val="single" w:color="auto" w:sz="4" w:space="0"/>
              <w:right w:val="single" w:color="auto" w:sz="12" w:space="0"/>
            </w:tcBorders>
            <w:noWrap w:val="0"/>
            <w:vAlign w:val="center"/>
          </w:tcPr>
          <w:p w14:paraId="4A484ABF">
            <w:pPr>
              <w:pStyle w:val="2"/>
              <w:spacing w:after="0" w:line="240" w:lineRule="auto"/>
              <w:ind w:left="0" w:leftChars="0"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简单分析</w:t>
            </w:r>
            <w:r>
              <w:rPr>
                <w:rFonts w:hint="default" w:ascii="Times New Roman" w:hAnsi="Times New Roman" w:eastAsia="宋体" w:cs="Times New Roman"/>
                <w:color w:val="auto"/>
                <w:sz w:val="21"/>
                <w:szCs w:val="21"/>
                <w:highlight w:val="none"/>
                <w:vertAlign w:val="superscript"/>
              </w:rPr>
              <w:t>a</w:t>
            </w:r>
          </w:p>
        </w:tc>
      </w:tr>
      <w:tr w14:paraId="2503E1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00" w:type="pct"/>
            <w:gridSpan w:val="5"/>
            <w:tcBorders>
              <w:top w:val="single" w:color="auto" w:sz="4" w:space="0"/>
              <w:left w:val="single" w:color="auto" w:sz="12" w:space="0"/>
              <w:bottom w:val="single" w:color="auto" w:sz="12" w:space="0"/>
              <w:right w:val="single" w:color="auto" w:sz="12" w:space="0"/>
            </w:tcBorders>
            <w:noWrap w:val="0"/>
            <w:vAlign w:val="center"/>
          </w:tcPr>
          <w:p w14:paraId="789B1812">
            <w:pPr>
              <w:pStyle w:val="2"/>
              <w:spacing w:after="0" w:line="240" w:lineRule="auto"/>
              <w:ind w:left="0" w:leftChars="0" w:firstLine="0" w:firstLineChars="0"/>
              <w:jc w:val="left"/>
              <w:rPr>
                <w:rFonts w:hint="default" w:ascii="Times New Roman" w:hAnsi="Times New Roman" w:eastAsia="宋体" w:cs="Times New Roman"/>
                <w:color w:val="auto"/>
                <w:sz w:val="21"/>
                <w:szCs w:val="21"/>
                <w:highlight w:val="none"/>
                <w:vertAlign w:val="superscript"/>
              </w:rPr>
            </w:pPr>
            <w:r>
              <w:rPr>
                <w:rFonts w:hint="default" w:ascii="Times New Roman" w:hAnsi="Times New Roman" w:eastAsia="宋体" w:cs="Times New Roman"/>
                <w:color w:val="auto"/>
                <w:sz w:val="21"/>
                <w:szCs w:val="21"/>
                <w:highlight w:val="none"/>
                <w:vertAlign w:val="superscript"/>
              </w:rPr>
              <w:t>a</w:t>
            </w:r>
            <w:r>
              <w:rPr>
                <w:rFonts w:hint="default" w:ascii="Times New Roman" w:hAnsi="Times New Roman" w:eastAsia="宋体" w:cs="Times New Roman"/>
                <w:color w:val="auto"/>
                <w:sz w:val="21"/>
                <w:szCs w:val="21"/>
                <w:highlight w:val="none"/>
              </w:rPr>
              <w:t>是相对于详细评价工作内容而言，在描述危险物质、环境影响途径、环境危害后果、风险防范措施等方面给出定性说明。</w:t>
            </w:r>
          </w:p>
        </w:tc>
      </w:tr>
    </w:tbl>
    <w:p w14:paraId="71B84E38">
      <w:pPr>
        <w:keepNext w:val="0"/>
        <w:keepLines w:val="0"/>
        <w:pageBreakBefore w:val="0"/>
        <w:widowControl w:val="0"/>
        <w:kinsoku/>
        <w:wordWrap/>
        <w:overflowPunct/>
        <w:topLinePunct w:val="0"/>
        <w:autoSpaceDE w:val="0"/>
        <w:autoSpaceDN w:val="0"/>
        <w:bidi w:val="0"/>
        <w:adjustRightInd w:val="0"/>
        <w:spacing w:line="500" w:lineRule="exact"/>
        <w:ind w:firstLine="480" w:firstLineChars="200"/>
        <w:textAlignment w:val="auto"/>
        <w:rPr>
          <w:rFonts w:hint="default" w:ascii="Times New Roman" w:hAnsi="Times New Roman" w:eastAsia="宋体" w:cs="Times New Roman"/>
          <w:color w:val="auto"/>
          <w:sz w:val="24"/>
          <w:highlight w:val="none"/>
          <w:lang w:val="en-US" w:eastAsia="zh-CN"/>
        </w:rPr>
      </w:pPr>
      <w:bookmarkStart w:id="94" w:name="_Toc498880234"/>
      <w:bookmarkStart w:id="95" w:name="_Toc498494532"/>
      <w:r>
        <w:rPr>
          <w:rFonts w:hint="default" w:ascii="Times New Roman" w:hAnsi="Times New Roman" w:eastAsia="宋体" w:cs="Times New Roman"/>
          <w:color w:val="auto"/>
          <w:sz w:val="24"/>
          <w:highlight w:val="none"/>
          <w:lang w:val="en-US" w:eastAsia="zh-CN"/>
        </w:rPr>
        <w:t>经判定，该项目环境风险潜势为Ⅰ。因此，本项目环境风险评价等级为简单分析。</w:t>
      </w:r>
    </w:p>
    <w:p w14:paraId="38E9AA66">
      <w:pPr>
        <w:pStyle w:val="6"/>
        <w:keepNext/>
        <w:keepLines/>
        <w:pageBreakBefore w:val="0"/>
        <w:widowControl w:val="0"/>
        <w:kinsoku/>
        <w:wordWrap/>
        <w:overflowPunct/>
        <w:topLinePunct w:val="0"/>
        <w:autoSpaceDE/>
        <w:autoSpaceDN/>
        <w:bidi w:val="0"/>
        <w:adjustRightInd/>
        <w:snapToGrid/>
        <w:spacing w:before="0" w:after="0"/>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2.5.7</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土壤环境评价等级</w:t>
      </w:r>
    </w:p>
    <w:p w14:paraId="1B7B0B8D">
      <w:pPr>
        <w:tabs>
          <w:tab w:val="left" w:pos="600"/>
        </w:tabs>
        <w:spacing w:line="480" w:lineRule="exact"/>
        <w:ind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⑴土壤环境影响评价项目类别判定</w:t>
      </w:r>
    </w:p>
    <w:p w14:paraId="425BFA6D">
      <w:pPr>
        <w:tabs>
          <w:tab w:val="left" w:pos="600"/>
        </w:tabs>
        <w:spacing w:line="480" w:lineRule="exact"/>
        <w:ind w:firstLine="480" w:firstLineChars="200"/>
        <w:rPr>
          <w:rFonts w:hint="default" w:ascii="Times New Roman" w:hAnsi="Times New Roman" w:eastAsia="宋体" w:cs="Times New Roman"/>
          <w:bCs/>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根据《环境影响评价技术导则-土壤环境（试行）》（HJ</w:t>
      </w:r>
      <w:r>
        <w:rPr>
          <w:rFonts w:hint="default" w:ascii="Times New Roman" w:hAnsi="Times New Roman" w:eastAsia="宋体" w:cs="Times New Roman"/>
          <w:color w:val="000000" w:themeColor="text1"/>
          <w:sz w:val="24"/>
          <w:szCs w:val="24"/>
          <w:highlight w:val="none"/>
          <w:lang w:val="en-US"/>
          <w14:textFill>
            <w14:solidFill>
              <w14:schemeClr w14:val="tx1"/>
            </w14:solidFill>
          </w14:textFill>
        </w:rPr>
        <w:t>964</w:t>
      </w:r>
      <w:r>
        <w:rPr>
          <w:rFonts w:hint="default" w:ascii="Times New Roman" w:hAnsi="Times New Roman" w:eastAsia="宋体" w:cs="Times New Roman"/>
          <w:color w:val="000000" w:themeColor="text1"/>
          <w:sz w:val="24"/>
          <w:szCs w:val="24"/>
          <w:highlight w:val="none"/>
          <w14:textFill>
            <w14:solidFill>
              <w14:schemeClr w14:val="tx1"/>
            </w14:solidFill>
          </w14:textFill>
        </w:rPr>
        <w:t>-201</w:t>
      </w:r>
      <w:r>
        <w:rPr>
          <w:rFonts w:hint="default" w:ascii="Times New Roman" w:hAnsi="Times New Roman" w:eastAsia="宋体" w:cs="Times New Roman"/>
          <w:color w:val="000000" w:themeColor="text1"/>
          <w:sz w:val="24"/>
          <w:szCs w:val="24"/>
          <w:highlight w:val="none"/>
          <w:lang w:val="en-US"/>
          <w14:textFill>
            <w14:solidFill>
              <w14:schemeClr w14:val="tx1"/>
            </w14:solidFill>
          </w14:textFill>
        </w:rPr>
        <w:t>8</w:t>
      </w:r>
      <w:r>
        <w:rPr>
          <w:rFonts w:hint="default" w:ascii="Times New Roman" w:hAnsi="Times New Roman" w:eastAsia="宋体" w:cs="Times New Roman"/>
          <w:color w:val="000000" w:themeColor="text1"/>
          <w:sz w:val="24"/>
          <w:szCs w:val="24"/>
          <w:highlight w:val="none"/>
          <w14:textFill>
            <w14:solidFill>
              <w14:schemeClr w14:val="tx1"/>
            </w14:solidFill>
          </w14:textFill>
        </w:rPr>
        <w:t>）附录A（规范性附录）土壤环境影响评价项目类别表，相关内容见表2.5-</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12</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7EC53A4D">
      <w:pPr>
        <w:pageBreakBefore w:val="0"/>
        <w:widowControl w:val="0"/>
        <w:numPr>
          <w:ilvl w:val="0"/>
          <w:numId w:val="12"/>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bCs/>
          <w:color w:val="000000" w:themeColor="text1"/>
          <w:sz w:val="24"/>
          <w:szCs w:val="24"/>
          <w:highlight w:val="none"/>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14:textFill>
            <w14:solidFill>
              <w14:schemeClr w14:val="tx1"/>
            </w14:solidFill>
          </w14:textFill>
        </w:rPr>
        <w:t>土壤环境影响评价项目类别表</w:t>
      </w:r>
    </w:p>
    <w:tbl>
      <w:tblPr>
        <w:tblStyle w:val="47"/>
        <w:tblpPr w:leftFromText="180" w:rightFromText="180" w:vertAnchor="text" w:tblpXSpec="center" w:tblpY="1"/>
        <w:tblOverlap w:val="never"/>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1252"/>
        <w:gridCol w:w="1596"/>
        <w:gridCol w:w="2793"/>
        <w:gridCol w:w="3166"/>
        <w:gridCol w:w="481"/>
      </w:tblGrid>
      <w:tr w14:paraId="2E57F82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53" w:hRule="atLeast"/>
          <w:jc w:val="center"/>
        </w:trPr>
        <w:tc>
          <w:tcPr>
            <w:tcW w:w="673" w:type="pct"/>
            <w:vMerge w:val="restart"/>
            <w:tcBorders>
              <w:tl2br w:val="nil"/>
              <w:tr2bl w:val="nil"/>
            </w:tcBorders>
            <w:noWrap/>
            <w:vAlign w:val="center"/>
          </w:tcPr>
          <w:p w14:paraId="36D8FAD9">
            <w:pPr>
              <w:pStyle w:val="58"/>
              <w:bidi w:val="0"/>
              <w:rPr>
                <w:rFonts w:hint="default"/>
              </w:rPr>
            </w:pPr>
            <w:r>
              <w:rPr>
                <w:rFonts w:hint="default"/>
              </w:rPr>
              <w:t>行业类别</w:t>
            </w:r>
          </w:p>
        </w:tc>
        <w:tc>
          <w:tcPr>
            <w:tcW w:w="4326" w:type="pct"/>
            <w:gridSpan w:val="4"/>
            <w:tcBorders>
              <w:tl2br w:val="nil"/>
              <w:tr2bl w:val="nil"/>
            </w:tcBorders>
            <w:noWrap/>
            <w:vAlign w:val="center"/>
          </w:tcPr>
          <w:p w14:paraId="75947140">
            <w:pPr>
              <w:pStyle w:val="58"/>
              <w:bidi w:val="0"/>
              <w:rPr>
                <w:rFonts w:hint="default"/>
              </w:rPr>
            </w:pPr>
            <w:r>
              <w:rPr>
                <w:rFonts w:hint="default"/>
              </w:rPr>
              <w:t>项目类别</w:t>
            </w:r>
          </w:p>
        </w:tc>
      </w:tr>
      <w:tr w14:paraId="57E6419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53" w:hRule="atLeast"/>
          <w:jc w:val="center"/>
        </w:trPr>
        <w:tc>
          <w:tcPr>
            <w:tcW w:w="673" w:type="pct"/>
            <w:vMerge w:val="continue"/>
            <w:tcBorders>
              <w:tl2br w:val="nil"/>
              <w:tr2bl w:val="nil"/>
            </w:tcBorders>
            <w:noWrap/>
            <w:vAlign w:val="center"/>
          </w:tcPr>
          <w:p w14:paraId="504D1011">
            <w:pPr>
              <w:pStyle w:val="58"/>
              <w:bidi w:val="0"/>
              <w:rPr>
                <w:rFonts w:hint="default"/>
              </w:rPr>
            </w:pPr>
          </w:p>
        </w:tc>
        <w:tc>
          <w:tcPr>
            <w:tcW w:w="859" w:type="pct"/>
            <w:tcBorders>
              <w:tl2br w:val="nil"/>
              <w:tr2bl w:val="nil"/>
            </w:tcBorders>
            <w:noWrap/>
            <w:vAlign w:val="center"/>
          </w:tcPr>
          <w:p w14:paraId="6EFD7626">
            <w:pPr>
              <w:pStyle w:val="58"/>
              <w:bidi w:val="0"/>
              <w:rPr>
                <w:rFonts w:hint="default"/>
              </w:rPr>
            </w:pPr>
            <w:r>
              <w:rPr>
                <w:rFonts w:hint="default"/>
              </w:rPr>
              <w:t>Ⅰ</w:t>
            </w:r>
          </w:p>
        </w:tc>
        <w:tc>
          <w:tcPr>
            <w:tcW w:w="1503" w:type="pct"/>
            <w:tcBorders>
              <w:tl2br w:val="nil"/>
              <w:tr2bl w:val="nil"/>
            </w:tcBorders>
            <w:noWrap/>
            <w:vAlign w:val="center"/>
          </w:tcPr>
          <w:p w14:paraId="79737E30">
            <w:pPr>
              <w:pStyle w:val="58"/>
              <w:bidi w:val="0"/>
              <w:rPr>
                <w:rFonts w:hint="default"/>
              </w:rPr>
            </w:pPr>
            <w:r>
              <w:rPr>
                <w:rFonts w:hint="default"/>
              </w:rPr>
              <w:t>Ⅱ</w:t>
            </w:r>
          </w:p>
        </w:tc>
        <w:tc>
          <w:tcPr>
            <w:tcW w:w="1704" w:type="pct"/>
            <w:tcBorders>
              <w:tl2br w:val="nil"/>
              <w:tr2bl w:val="nil"/>
            </w:tcBorders>
            <w:noWrap/>
            <w:vAlign w:val="center"/>
          </w:tcPr>
          <w:p w14:paraId="2DD06DAD">
            <w:pPr>
              <w:pStyle w:val="58"/>
              <w:bidi w:val="0"/>
              <w:rPr>
                <w:rFonts w:hint="default"/>
              </w:rPr>
            </w:pPr>
            <w:r>
              <w:rPr>
                <w:rFonts w:hint="default"/>
              </w:rPr>
              <w:t>Ⅲ</w:t>
            </w:r>
          </w:p>
        </w:tc>
        <w:tc>
          <w:tcPr>
            <w:tcW w:w="258" w:type="pct"/>
            <w:tcBorders>
              <w:tl2br w:val="nil"/>
              <w:tr2bl w:val="nil"/>
            </w:tcBorders>
            <w:noWrap/>
            <w:vAlign w:val="center"/>
          </w:tcPr>
          <w:p w14:paraId="5EBAE3E9">
            <w:pPr>
              <w:pStyle w:val="58"/>
              <w:bidi w:val="0"/>
              <w:rPr>
                <w:rFonts w:hint="default"/>
              </w:rPr>
            </w:pPr>
            <w:r>
              <w:rPr>
                <w:rFonts w:hint="default"/>
              </w:rPr>
              <w:t>Ⅳ</w:t>
            </w:r>
          </w:p>
        </w:tc>
      </w:tr>
      <w:tr w14:paraId="4B394EA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42" w:hRule="atLeast"/>
          <w:jc w:val="center"/>
        </w:trPr>
        <w:tc>
          <w:tcPr>
            <w:tcW w:w="673" w:type="pct"/>
            <w:tcBorders>
              <w:tl2br w:val="nil"/>
              <w:tr2bl w:val="nil"/>
            </w:tcBorders>
            <w:noWrap/>
            <w:vAlign w:val="center"/>
          </w:tcPr>
          <w:p w14:paraId="70B07A54">
            <w:pPr>
              <w:pStyle w:val="58"/>
              <w:bidi w:val="0"/>
              <w:rPr>
                <w:rFonts w:hint="default"/>
                <w:lang w:val="en-US" w:eastAsia="zh-CN"/>
              </w:rPr>
            </w:pPr>
            <w:r>
              <w:rPr>
                <w:rFonts w:hint="default"/>
                <w:lang w:val="en-US" w:eastAsia="zh-CN"/>
              </w:rPr>
              <w:t>电力热力燃气及水生产和供应业</w:t>
            </w:r>
          </w:p>
        </w:tc>
        <w:tc>
          <w:tcPr>
            <w:tcW w:w="859" w:type="pct"/>
            <w:tcBorders>
              <w:tl2br w:val="nil"/>
              <w:tr2bl w:val="nil"/>
            </w:tcBorders>
            <w:noWrap/>
            <w:vAlign w:val="center"/>
          </w:tcPr>
          <w:p w14:paraId="56E7622C">
            <w:pPr>
              <w:pStyle w:val="58"/>
              <w:bidi w:val="0"/>
              <w:rPr>
                <w:rFonts w:hint="default"/>
                <w:lang w:val="en-US" w:eastAsia="zh-CN"/>
              </w:rPr>
            </w:pPr>
            <w:r>
              <w:rPr>
                <w:rFonts w:hint="default"/>
                <w:lang w:val="en-US" w:eastAsia="zh-CN"/>
              </w:rPr>
              <w:t>生活垃圾及污泥发电</w:t>
            </w:r>
          </w:p>
        </w:tc>
        <w:tc>
          <w:tcPr>
            <w:tcW w:w="1503" w:type="pct"/>
            <w:tcBorders>
              <w:tl2br w:val="nil"/>
              <w:tr2bl w:val="nil"/>
            </w:tcBorders>
            <w:noWrap/>
            <w:vAlign w:val="center"/>
          </w:tcPr>
          <w:p w14:paraId="0EA2CDCB">
            <w:pPr>
              <w:pStyle w:val="58"/>
              <w:bidi w:val="0"/>
              <w:rPr>
                <w:rFonts w:hint="default"/>
                <w:lang w:val="en-US" w:eastAsia="zh-CN"/>
              </w:rPr>
            </w:pPr>
            <w:r>
              <w:rPr>
                <w:rFonts w:hint="default"/>
                <w:lang w:val="en-US" w:eastAsia="zh-CN"/>
              </w:rPr>
              <w:t>水力发电；火力发电(燃气发电除外)；矸石、油页岩、石油焦等综合利用发电；工业废水处理；燃气生产</w:t>
            </w:r>
          </w:p>
        </w:tc>
        <w:tc>
          <w:tcPr>
            <w:tcW w:w="1704" w:type="pct"/>
            <w:tcBorders>
              <w:tl2br w:val="nil"/>
              <w:tr2bl w:val="nil"/>
            </w:tcBorders>
            <w:noWrap/>
            <w:vAlign w:val="center"/>
          </w:tcPr>
          <w:p w14:paraId="19201EAB">
            <w:pPr>
              <w:pStyle w:val="58"/>
              <w:bidi w:val="0"/>
              <w:rPr>
                <w:rFonts w:hint="default"/>
                <w:lang w:val="en-US" w:eastAsia="zh-CN"/>
              </w:rPr>
            </w:pPr>
            <w:r>
              <w:rPr>
                <w:rFonts w:hint="default"/>
                <w:lang w:val="en-US" w:eastAsia="zh-CN"/>
              </w:rPr>
              <w:t>生活污水处理；燃煤锅炉总容量65t</w:t>
            </w:r>
            <w:r>
              <w:rPr>
                <w:rFonts w:hint="eastAsia"/>
                <w:lang w:val="en-US" w:eastAsia="zh-CN"/>
              </w:rPr>
              <w:t>/</w:t>
            </w:r>
            <w:r>
              <w:rPr>
                <w:rFonts w:hint="default"/>
                <w:lang w:val="en-US" w:eastAsia="zh-CN"/>
              </w:rPr>
              <w:t>h(不含)以上的热力生产工程；燃油锅炉总容量65t</w:t>
            </w:r>
            <w:r>
              <w:rPr>
                <w:rFonts w:hint="eastAsia"/>
                <w:lang w:val="en-US" w:eastAsia="zh-CN"/>
              </w:rPr>
              <w:t>/</w:t>
            </w:r>
            <w:r>
              <w:rPr>
                <w:rFonts w:hint="default"/>
                <w:lang w:val="en-US" w:eastAsia="zh-CN"/>
              </w:rPr>
              <w:t>h(不含)以上的热力生产工程</w:t>
            </w:r>
          </w:p>
        </w:tc>
        <w:tc>
          <w:tcPr>
            <w:tcW w:w="258" w:type="pct"/>
            <w:tcBorders>
              <w:tl2br w:val="nil"/>
              <w:tr2bl w:val="nil"/>
            </w:tcBorders>
            <w:noWrap/>
            <w:vAlign w:val="center"/>
          </w:tcPr>
          <w:p w14:paraId="5C6C76B9">
            <w:pPr>
              <w:pStyle w:val="58"/>
              <w:bidi w:val="0"/>
              <w:rPr>
                <w:rFonts w:hint="default"/>
                <w:lang w:val="en-US" w:eastAsia="zh-CN"/>
              </w:rPr>
            </w:pPr>
            <w:r>
              <w:rPr>
                <w:rFonts w:hint="default"/>
                <w:lang w:val="en-US" w:eastAsia="zh-CN"/>
              </w:rPr>
              <w:t>其他</w:t>
            </w:r>
          </w:p>
        </w:tc>
      </w:tr>
    </w:tbl>
    <w:p w14:paraId="5CABDFA9">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本项目</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属于</w:t>
      </w:r>
      <w:r>
        <w:rPr>
          <w:rFonts w:hint="default"/>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工业废水处理</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”，确定项目类别为</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Ⅱ</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类。</w:t>
      </w:r>
    </w:p>
    <w:p w14:paraId="53CA63F2">
      <w:pPr>
        <w:bidi w:val="0"/>
        <w:rPr>
          <w:rFonts w:hint="default"/>
        </w:rPr>
      </w:pPr>
      <w:r>
        <w:rPr>
          <w:rFonts w:hint="default"/>
        </w:rPr>
        <w:t>⑵污染类型</w:t>
      </w:r>
    </w:p>
    <w:p w14:paraId="5D9C65D0">
      <w:pPr>
        <w:bidi w:val="0"/>
        <w:rPr>
          <w:rFonts w:hint="default"/>
        </w:rPr>
      </w:pPr>
      <w:r>
        <w:rPr>
          <w:rFonts w:hint="default"/>
        </w:rPr>
        <w:t>本项目主要通过垂直入渗对土壤造成影响，土壤环境的影响类型为</w:t>
      </w:r>
      <w:bookmarkStart w:id="96" w:name="OLE_LINK79"/>
      <w:r>
        <w:rPr>
          <w:rFonts w:hint="default"/>
        </w:rPr>
        <w:t>“</w:t>
      </w:r>
      <w:bookmarkEnd w:id="96"/>
      <w:r>
        <w:rPr>
          <w:rFonts w:hint="default"/>
        </w:rPr>
        <w:t>污染影响型”。</w:t>
      </w:r>
    </w:p>
    <w:p w14:paraId="7AF3AA1F">
      <w:pPr>
        <w:bidi w:val="0"/>
        <w:rPr>
          <w:rFonts w:hint="default"/>
          <w:lang w:val="en-US"/>
        </w:rPr>
      </w:pPr>
      <w:r>
        <w:rPr>
          <w:rFonts w:hint="default"/>
        </w:rPr>
        <w:t>⑶</w:t>
      </w:r>
      <w:r>
        <w:rPr>
          <w:rFonts w:hint="default"/>
          <w:lang w:val="en-US"/>
        </w:rPr>
        <w:t>敏感度判定</w:t>
      </w:r>
    </w:p>
    <w:p w14:paraId="07E6E05B">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14:textFill>
            <w14:solidFill>
              <w14:schemeClr w14:val="tx1"/>
            </w14:solidFill>
          </w14:textFill>
        </w:rPr>
        <w:t>本项目位于</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唐山市曹妃甸区垦丰家居产业园区</w:t>
      </w:r>
      <w:r>
        <w:rPr>
          <w:rFonts w:hint="default" w:ascii="Times New Roman" w:hAnsi="Times New Roman" w:eastAsia="宋体" w:cs="Times New Roman"/>
          <w:color w:val="000000" w:themeColor="text1"/>
          <w:sz w:val="24"/>
          <w:highlight w:val="none"/>
          <w:lang w:val="en-US"/>
          <w14:textFill>
            <w14:solidFill>
              <w14:schemeClr w14:val="tx1"/>
            </w14:solidFill>
          </w14:textFill>
        </w:rPr>
        <w:t>，</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厂区周边</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00m范围内有养殖水面，周边占地情况详见图2.</w:t>
      </w:r>
      <w:r>
        <w:rPr>
          <w:rFonts w:hint="eastAsia" w:cs="Times New Roman"/>
          <w:color w:val="000000" w:themeColor="text1"/>
          <w:sz w:val="24"/>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w:t>
      </w:r>
      <w:r>
        <w:rPr>
          <w:rFonts w:hint="eastAsia" w:cs="Times New Roman"/>
          <w:color w:val="000000" w:themeColor="text1"/>
          <w:sz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，因此环境敏感程度为“较敏感”。</w:t>
      </w:r>
    </w:p>
    <w:p w14:paraId="7A4F5C9B">
      <w:pPr>
        <w:pStyle w:val="2"/>
        <w:ind w:left="0" w:leftChars="0" w:firstLine="0" w:firstLineChars="0"/>
        <w:jc w:val="center"/>
        <w:rPr>
          <w:rFonts w:hint="eastAsia" w:ascii="Times New Roman" w:hAnsi="Times New Roman" w:eastAsia="宋体" w:cs="Times New Roman"/>
          <w:b/>
          <w:bCs/>
          <w:color w:val="auto"/>
          <w:sz w:val="24"/>
          <w:highlight w:val="none"/>
          <w:lang w:eastAsia="zh-CN"/>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ict>
          <v:shape id="_x0000_s1080" o:spid="_x0000_s1080" o:spt="75" type="#_x0000_t75" style="position:absolute;left:0pt;margin-left:379.25pt;margin-top:4.55pt;height:81pt;width:75.8pt;z-index:251678720;mso-width-relative:page;mso-height-relative:page;" o:ole="t" filled="f" o:preferrelative="t" stroked="f" coordsize="21600,21600">
            <v:path/>
            <v:fill on="f" focussize="0,0"/>
            <v:stroke on="f"/>
            <v:imagedata r:id="rId30" o:title=""/>
            <o:lock v:ext="edit" aspectratio="f"/>
          </v:shape>
          <o:OLEObject Type="Embed" ProgID="Visio.Drawing.11" ShapeID="_x0000_s1080" DrawAspect="Content" ObjectID="_1468075726" r:id="rId33">
            <o:LockedField>false</o:LockedField>
          </o:OLEObject>
        </w:pict>
      </w:r>
      <w:r>
        <w:rPr>
          <w:sz w:val="24"/>
        </w:rPr>
        <mc:AlternateContent>
          <mc:Choice Requires="wps">
            <w:drawing>
              <wp:anchor distT="0" distB="0" distL="114300" distR="114300" simplePos="0" relativeHeight="251673600" behindDoc="0" locked="0" layoutInCell="1" allowOverlap="1">
                <wp:simplePos x="0" y="0"/>
                <wp:positionH relativeFrom="column">
                  <wp:posOffset>2459355</wp:posOffset>
                </wp:positionH>
                <wp:positionV relativeFrom="paragraph">
                  <wp:posOffset>559435</wp:posOffset>
                </wp:positionV>
                <wp:extent cx="1393190" cy="488950"/>
                <wp:effectExtent l="0" t="0" r="245110" b="730250"/>
                <wp:wrapNone/>
                <wp:docPr id="31" name="圆角矩形标注 31"/>
                <wp:cNvGraphicFramePr/>
                <a:graphic xmlns:a="http://schemas.openxmlformats.org/drawingml/2006/main">
                  <a:graphicData uri="http://schemas.microsoft.com/office/word/2010/wordprocessingShape">
                    <wps:wsp>
                      <wps:cNvSpPr/>
                      <wps:spPr>
                        <a:xfrm>
                          <a:off x="0" y="0"/>
                          <a:ext cx="1393190" cy="488950"/>
                        </a:xfrm>
                        <a:prstGeom prst="wedgeRoundRectCallout">
                          <a:avLst>
                            <a:gd name="adj1" fmla="val 66499"/>
                            <a:gd name="adj2" fmla="val 196493"/>
                            <a:gd name="adj3" fmla="val 16667"/>
                          </a:avLst>
                        </a:prstGeom>
                        <a:solidFill>
                          <a:schemeClr val="bg1"/>
                        </a:solid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4FD872BC">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rFonts w:hint="default" w:eastAsia="宋体"/>
                                <w:color w:val="000000" w:themeColor="text1"/>
                                <w:sz w:val="24"/>
                                <w:szCs w:val="24"/>
                                <w:lang w:val="en-US" w:eastAsia="zh-CN"/>
                                <w14:textFill>
                                  <w14:solidFill>
                                    <w14:schemeClr w14:val="tx1"/>
                                  </w14:solidFill>
                                </w14:textFill>
                              </w:rPr>
                            </w:pPr>
                            <w:r>
                              <w:rPr>
                                <w:rFonts w:hint="eastAsia" w:eastAsia="宋体"/>
                                <w:color w:val="000000" w:themeColor="text1"/>
                                <w:sz w:val="24"/>
                                <w:szCs w:val="24"/>
                                <w:lang w:val="en-US" w:eastAsia="zh-CN"/>
                                <w14:textFill>
                                  <w14:solidFill>
                                    <w14:schemeClr w14:val="tx1"/>
                                  </w14:solidFill>
                                </w14:textFill>
                              </w:rPr>
                              <w:t>200m范围内</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193.65pt;margin-top:44.05pt;height:38.5pt;width:109.7pt;z-index:251673600;v-text-anchor:middle;mso-width-relative:page;mso-height-relative:page;" fillcolor="#FFFFFF [3212]" filled="t" stroked="f" coordsize="21600,21600" o:gfxdata="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" adj="25164,53242,14400">
                <v:fill on="t" focussize="0,0"/>
                <v:stroke on="f" weight="1pt" miterlimit="8" joinstyle="miter"/>
                <v:imagedata o:title=""/>
                <o:lock v:ext="edit" aspectratio="f"/>
                <v:textbox>
                  <w:txbxContent>
                    <w:p w14:paraId="4FD872BC">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rFonts w:hint="default" w:eastAsia="宋体"/>
                          <w:color w:val="000000" w:themeColor="text1"/>
                          <w:sz w:val="24"/>
                          <w:szCs w:val="24"/>
                          <w:lang w:val="en-US" w:eastAsia="zh-CN"/>
                          <w14:textFill>
                            <w14:solidFill>
                              <w14:schemeClr w14:val="tx1"/>
                            </w14:solidFill>
                          </w14:textFill>
                        </w:rPr>
                      </w:pPr>
                      <w:r>
                        <w:rPr>
                          <w:rFonts w:hint="eastAsia" w:eastAsia="宋体"/>
                          <w:color w:val="000000" w:themeColor="text1"/>
                          <w:sz w:val="24"/>
                          <w:szCs w:val="24"/>
                          <w:lang w:val="en-US" w:eastAsia="zh-CN"/>
                          <w14:textFill>
                            <w14:solidFill>
                              <w14:schemeClr w14:val="tx1"/>
                            </w14:solidFill>
                          </w14:textFill>
                        </w:rPr>
                        <w:t>200m范围内</w:t>
                      </w:r>
                    </w:p>
                  </w:txbxContent>
                </v:textbox>
              </v:shape>
            </w:pict>
          </mc:Fallback>
        </mc:AlternateContent>
      </w:r>
      <w:r>
        <w:rPr>
          <w:sz w:val="24"/>
        </w:rPr>
        <mc:AlternateContent>
          <mc:Choice Requires="wps">
            <w:drawing>
              <wp:anchor distT="0" distB="0" distL="114300" distR="114300" simplePos="0" relativeHeight="251671552" behindDoc="0" locked="0" layoutInCell="1" allowOverlap="1">
                <wp:simplePos x="0" y="0"/>
                <wp:positionH relativeFrom="column">
                  <wp:posOffset>2378710</wp:posOffset>
                </wp:positionH>
                <wp:positionV relativeFrom="paragraph">
                  <wp:posOffset>1859280</wp:posOffset>
                </wp:positionV>
                <wp:extent cx="1035685" cy="488950"/>
                <wp:effectExtent l="0" t="0" r="69215" b="349250"/>
                <wp:wrapNone/>
                <wp:docPr id="29" name="圆角矩形标注 29"/>
                <wp:cNvGraphicFramePr/>
                <a:graphic xmlns:a="http://schemas.openxmlformats.org/drawingml/2006/main">
                  <a:graphicData uri="http://schemas.microsoft.com/office/word/2010/wordprocessingShape">
                    <wps:wsp>
                      <wps:cNvSpPr/>
                      <wps:spPr>
                        <a:xfrm>
                          <a:off x="3289935" y="6877050"/>
                          <a:ext cx="1035685" cy="488950"/>
                        </a:xfrm>
                        <a:prstGeom prst="wedgeRoundRectCallout">
                          <a:avLst>
                            <a:gd name="adj1" fmla="val 56162"/>
                            <a:gd name="adj2" fmla="val 118588"/>
                            <a:gd name="adj3" fmla="val 16667"/>
                          </a:avLst>
                        </a:prstGeom>
                        <a:solidFill>
                          <a:schemeClr val="bg1"/>
                        </a:solid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513EC851">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rFonts w:hint="default" w:eastAsia="宋体"/>
                                <w:color w:val="000000" w:themeColor="text1"/>
                                <w:sz w:val="24"/>
                                <w:szCs w:val="24"/>
                                <w:lang w:val="en-US" w:eastAsia="zh-CN"/>
                                <w14:textFill>
                                  <w14:solidFill>
                                    <w14:schemeClr w14:val="tx1"/>
                                  </w14:solidFill>
                                </w14:textFill>
                              </w:rPr>
                            </w:pPr>
                            <w:r>
                              <w:rPr>
                                <w:rFonts w:hint="eastAsia"/>
                                <w:color w:val="000000" w:themeColor="text1"/>
                                <w:sz w:val="24"/>
                                <w:szCs w:val="24"/>
                                <w:lang w:val="en-US" w:eastAsia="zh-CN"/>
                                <w14:textFill>
                                  <w14:solidFill>
                                    <w14:schemeClr w14:val="tx1"/>
                                  </w14:solidFill>
                                </w14:textFill>
                              </w:rPr>
                              <w:t>本项目位置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187.3pt;margin-top:146.4pt;height:38.5pt;width:81.55pt;z-index:251671552;v-text-anchor:middle;mso-width-relative:page;mso-height-relative:page;" fillcolor="#FFFFFF [3212]" filled="t" stroked="f" coordsize="21600,21600" o:gfxdata="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" adj="22931,36415,14400">
                <v:fill on="t" focussize="0,0"/>
                <v:stroke on="f" weight="1pt" miterlimit="8" joinstyle="miter"/>
                <v:imagedata o:title=""/>
                <o:lock v:ext="edit" aspectratio="f"/>
                <v:textbox>
                  <w:txbxContent>
                    <w:p w14:paraId="513EC851">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rFonts w:hint="default" w:eastAsia="宋体"/>
                          <w:color w:val="000000" w:themeColor="text1"/>
                          <w:sz w:val="24"/>
                          <w:szCs w:val="24"/>
                          <w:lang w:val="en-US" w:eastAsia="zh-CN"/>
                          <w14:textFill>
                            <w14:solidFill>
                              <w14:schemeClr w14:val="tx1"/>
                            </w14:solidFill>
                          </w14:textFill>
                        </w:rPr>
                      </w:pPr>
                      <w:r>
                        <w:rPr>
                          <w:rFonts w:hint="eastAsia"/>
                          <w:color w:val="000000" w:themeColor="text1"/>
                          <w:sz w:val="24"/>
                          <w:szCs w:val="24"/>
                          <w:lang w:val="en-US" w:eastAsia="zh-CN"/>
                          <w14:textFill>
                            <w14:solidFill>
                              <w14:schemeClr w14:val="tx1"/>
                            </w14:solidFill>
                          </w14:textFill>
                        </w:rPr>
                        <w:t>本项目位置</w:t>
                      </w:r>
                    </w:p>
                  </w:txbxContent>
                </v:textbox>
              </v:shape>
            </w:pict>
          </mc:Fallback>
        </mc:AlternateContent>
      </w:r>
      <w:r>
        <w:rPr>
          <w:rFonts w:hint="eastAsia" w:ascii="Times New Roman" w:hAnsi="Times New Roman" w:eastAsia="宋体" w:cs="Times New Roman"/>
          <w:b/>
          <w:bCs/>
          <w:color w:val="auto"/>
          <w:sz w:val="24"/>
          <w:highlight w:val="none"/>
          <w:lang w:eastAsia="zh-CN"/>
        </w:rPr>
        <w:drawing>
          <wp:inline distT="0" distB="0" distL="114300" distR="114300">
            <wp:extent cx="5749925" cy="4104640"/>
            <wp:effectExtent l="0" t="0" r="3175" b="10160"/>
            <wp:docPr id="11" name="图片 11" descr="1724468068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724468068196"/>
                    <pic:cNvPicPr>
                      <a:picLocks noChangeAspect="1"/>
                    </pic:cNvPicPr>
                  </pic:nvPicPr>
                  <pic:blipFill>
                    <a:blip r:embed="rId34"/>
                    <a:stretch>
                      <a:fillRect/>
                    </a:stretch>
                  </pic:blipFill>
                  <pic:spPr>
                    <a:xfrm>
                      <a:off x="0" y="0"/>
                      <a:ext cx="5749925" cy="4104640"/>
                    </a:xfrm>
                    <a:prstGeom prst="rect">
                      <a:avLst/>
                    </a:prstGeom>
                  </pic:spPr>
                </pic:pic>
              </a:graphicData>
            </a:graphic>
          </wp:inline>
        </w:drawing>
      </w:r>
    </w:p>
    <w:p w14:paraId="081ACCC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b/>
          <w:bCs/>
          <w:color w:val="auto"/>
          <w:sz w:val="24"/>
          <w:highlight w:val="none"/>
          <w:lang w:val="en-US" w:eastAsia="zh-CN"/>
        </w:rPr>
      </w:pPr>
      <w:r>
        <w:rPr>
          <w:rFonts w:hint="default" w:ascii="Times New Roman" w:hAnsi="Times New Roman" w:eastAsia="宋体" w:cs="Times New Roman"/>
          <w:b/>
          <w:bCs/>
          <w:color w:val="auto"/>
          <w:sz w:val="24"/>
          <w:highlight w:val="none"/>
        </w:rPr>
        <w:t>图2.</w:t>
      </w:r>
      <w:r>
        <w:rPr>
          <w:rFonts w:hint="default" w:ascii="Times New Roman" w:hAnsi="Times New Roman" w:eastAsia="宋体" w:cs="Times New Roman"/>
          <w:b/>
          <w:bCs/>
          <w:color w:val="auto"/>
          <w:sz w:val="24"/>
          <w:highlight w:val="none"/>
          <w:lang w:val="en-US" w:eastAsia="zh-CN"/>
        </w:rPr>
        <w:t>5</w:t>
      </w:r>
      <w:r>
        <w:rPr>
          <w:rFonts w:hint="default" w:ascii="Times New Roman" w:hAnsi="Times New Roman" w:eastAsia="宋体" w:cs="Times New Roman"/>
          <w:b/>
          <w:bCs/>
          <w:color w:val="auto"/>
          <w:sz w:val="24"/>
          <w:highlight w:val="none"/>
        </w:rPr>
        <w:t>-</w:t>
      </w:r>
      <w:r>
        <w:rPr>
          <w:rFonts w:hint="default" w:ascii="Times New Roman" w:hAnsi="Times New Roman" w:eastAsia="宋体" w:cs="Times New Roman"/>
          <w:b/>
          <w:bCs/>
          <w:color w:val="auto"/>
          <w:sz w:val="24"/>
          <w:highlight w:val="none"/>
          <w:lang w:val="en-US" w:eastAsia="zh-CN"/>
        </w:rPr>
        <w:t>3</w:t>
      </w:r>
      <w:r>
        <w:rPr>
          <w:rFonts w:hint="default" w:ascii="Times New Roman" w:hAnsi="Times New Roman" w:eastAsia="宋体" w:cs="Times New Roman"/>
          <w:b/>
          <w:bCs/>
          <w:color w:val="auto"/>
          <w:sz w:val="24"/>
          <w:highlight w:val="none"/>
        </w:rPr>
        <w:t>项目周边</w:t>
      </w:r>
      <w:r>
        <w:rPr>
          <w:rFonts w:hint="default" w:ascii="Times New Roman" w:hAnsi="Times New Roman" w:eastAsia="宋体" w:cs="Times New Roman"/>
          <w:b/>
          <w:bCs/>
          <w:color w:val="auto"/>
          <w:sz w:val="24"/>
          <w:highlight w:val="none"/>
          <w:lang w:val="en-US" w:eastAsia="zh-CN"/>
        </w:rPr>
        <w:t>10</w:t>
      </w:r>
      <w:r>
        <w:rPr>
          <w:rFonts w:hint="default" w:ascii="Times New Roman" w:hAnsi="Times New Roman" w:eastAsia="宋体" w:cs="Times New Roman"/>
          <w:b/>
          <w:bCs/>
          <w:color w:val="auto"/>
          <w:sz w:val="24"/>
          <w:highlight w:val="none"/>
        </w:rPr>
        <w:t>0m范围土地利用现状图</w:t>
      </w:r>
      <w:r>
        <w:rPr>
          <w:rFonts w:hint="default" w:ascii="Times New Roman" w:hAnsi="Times New Roman" w:eastAsia="宋体" w:cs="Times New Roman"/>
          <w:b/>
          <w:bCs/>
          <w:color w:val="auto"/>
          <w:sz w:val="24"/>
          <w:highlight w:val="none"/>
          <w:lang w:val="en-US" w:eastAsia="zh-CN"/>
        </w:rPr>
        <w:t>比例尺1:10000</w:t>
      </w:r>
    </w:p>
    <w:p w14:paraId="32134272">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000000" w:themeColor="text1"/>
          <w:sz w:val="24"/>
          <w:highlight w:val="none"/>
          <w:lang w:val="en-US"/>
          <w14:textFill>
            <w14:solidFill>
              <w14:schemeClr w14:val="tx1"/>
            </w14:solidFill>
          </w14:textFill>
        </w:rPr>
      </w:pPr>
      <w:r>
        <w:rPr>
          <w:rFonts w:hint="default" w:ascii="Times New Roman" w:hAnsi="Times New Roman" w:eastAsia="宋体" w:cs="Times New Roman"/>
          <w:color w:val="000000" w:themeColor="text1"/>
          <w:sz w:val="24"/>
          <w:highlight w:val="none"/>
          <w:lang w:val="en-US"/>
          <w14:textFill>
            <w14:solidFill>
              <w14:schemeClr w14:val="tx1"/>
            </w14:solidFill>
          </w14:textFill>
        </w:rPr>
        <w:t>⑷项目占地规模</w:t>
      </w:r>
    </w:p>
    <w:p w14:paraId="44D7B64A">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000000" w:themeColor="text1"/>
          <w:sz w:val="24"/>
          <w:highlight w:val="none"/>
          <w:lang w:val="en-US"/>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本项目</w:t>
      </w:r>
      <w:r>
        <w:rPr>
          <w:rFonts w:hint="default" w:ascii="Times New Roman" w:hAnsi="Times New Roman" w:eastAsia="宋体" w:cs="Times New Roman"/>
          <w:color w:val="000000" w:themeColor="text1"/>
          <w:sz w:val="24"/>
          <w:highlight w:val="none"/>
          <w:lang w:val="en-US"/>
          <w14:textFill>
            <w14:solidFill>
              <w14:schemeClr w14:val="tx1"/>
            </w14:solidFill>
          </w14:textFill>
        </w:rPr>
        <w:t>占地面积为</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11100</w:t>
      </w:r>
      <w:r>
        <w:rPr>
          <w:rFonts w:hint="default" w:ascii="Times New Roman" w:hAnsi="Times New Roman" w:eastAsia="宋体" w:cs="Times New Roman"/>
          <w:color w:val="000000" w:themeColor="text1"/>
          <w:sz w:val="24"/>
          <w:highlight w:val="none"/>
          <w:lang w:val="en-US"/>
          <w14:textFill>
            <w14:solidFill>
              <w14:schemeClr w14:val="tx1"/>
            </w14:solidFill>
          </w14:textFill>
        </w:rPr>
        <w:t>m</w:t>
      </w:r>
      <w:r>
        <w:rPr>
          <w:rFonts w:hint="default" w:ascii="Times New Roman" w:hAnsi="Times New Roman" w:eastAsia="宋体" w:cs="Times New Roman"/>
          <w:color w:val="000000" w:themeColor="text1"/>
          <w:sz w:val="24"/>
          <w:highlight w:val="none"/>
          <w:vertAlign w:val="superscript"/>
          <w:lang w:val="en-US"/>
          <w14:textFill>
            <w14:solidFill>
              <w14:schemeClr w14:val="tx1"/>
            </w14:solidFill>
          </w14:textFill>
        </w:rPr>
        <w:t>2</w:t>
      </w:r>
      <w:r>
        <w:rPr>
          <w:rFonts w:hint="default" w:ascii="Times New Roman" w:hAnsi="Times New Roman" w:eastAsia="宋体" w:cs="Times New Roman"/>
          <w:color w:val="000000" w:themeColor="text1"/>
          <w:sz w:val="24"/>
          <w:highlight w:val="none"/>
          <w:lang w:val="en-US"/>
          <w14:textFill>
            <w14:solidFill>
              <w14:schemeClr w14:val="tx1"/>
            </w14:solidFill>
          </w14:textFill>
        </w:rPr>
        <w:t>，占地面积</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sz w:val="24"/>
          <w:highlight w:val="none"/>
          <w:lang w:val="en-US"/>
          <w14:textFill>
            <w14:solidFill>
              <w14:schemeClr w14:val="tx1"/>
            </w14:solidFill>
          </w14:textFill>
        </w:rPr>
        <w:t>hm</w:t>
      </w:r>
      <w:r>
        <w:rPr>
          <w:rFonts w:hint="default" w:ascii="Times New Roman" w:hAnsi="Times New Roman" w:eastAsia="宋体" w:cs="Times New Roman"/>
          <w:color w:val="000000" w:themeColor="text1"/>
          <w:sz w:val="24"/>
          <w:highlight w:val="none"/>
          <w:vertAlign w:val="superscript"/>
          <w:lang w:val="en-US"/>
          <w14:textFill>
            <w14:solidFill>
              <w14:schemeClr w14:val="tx1"/>
            </w14:solidFill>
          </w14:textFill>
        </w:rPr>
        <w:t>2</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z w:val="24"/>
          <w:highlight w:val="none"/>
          <w:lang w:val="en-US"/>
          <w14:textFill>
            <w14:solidFill>
              <w14:schemeClr w14:val="tx1"/>
            </w14:solidFill>
          </w14:textFill>
        </w:rPr>
        <w:t>占地规模为</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小</w:t>
      </w:r>
      <w:r>
        <w:rPr>
          <w:rFonts w:hint="default" w:ascii="Times New Roman" w:hAnsi="Times New Roman" w:eastAsia="宋体" w:cs="Times New Roman"/>
          <w:color w:val="000000" w:themeColor="text1"/>
          <w:sz w:val="24"/>
          <w:highlight w:val="none"/>
          <w:lang w:val="en-US"/>
          <w14:textFill>
            <w14:solidFill>
              <w14:schemeClr w14:val="tx1"/>
            </w14:solidFill>
          </w14:textFill>
        </w:rPr>
        <w:t>型。</w:t>
      </w:r>
    </w:p>
    <w:p w14:paraId="7466E46C">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000000" w:themeColor="text1"/>
          <w:sz w:val="24"/>
          <w:highlight w:val="none"/>
          <w:lang w:val="en-US"/>
          <w14:textFill>
            <w14:solidFill>
              <w14:schemeClr w14:val="tx1"/>
            </w14:solidFill>
          </w14:textFill>
        </w:rPr>
      </w:pPr>
      <w:r>
        <w:rPr>
          <w:rFonts w:hint="default" w:ascii="Times New Roman" w:hAnsi="Times New Roman" w:eastAsia="宋体" w:cs="Times New Roman"/>
          <w:color w:val="000000" w:themeColor="text1"/>
          <w:sz w:val="24"/>
          <w:highlight w:val="none"/>
          <w:lang w:val="en-US"/>
          <w14:textFill>
            <w14:solidFill>
              <w14:schemeClr w14:val="tx1"/>
            </w14:solidFill>
          </w14:textFill>
        </w:rPr>
        <w:t>⑸土壤环境等级确定</w:t>
      </w:r>
    </w:p>
    <w:p w14:paraId="32BA2D47">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000000" w:themeColor="text1"/>
          <w:sz w:val="24"/>
          <w:highlight w:val="none"/>
          <w:lang w:val="en-US"/>
          <w14:textFill>
            <w14:solidFill>
              <w14:schemeClr w14:val="tx1"/>
            </w14:solidFill>
          </w14:textFill>
        </w:rPr>
      </w:pPr>
      <w:r>
        <w:rPr>
          <w:rFonts w:hint="default" w:ascii="Times New Roman" w:hAnsi="Times New Roman" w:eastAsia="宋体" w:cs="Times New Roman"/>
          <w:color w:val="000000" w:themeColor="text1"/>
          <w:sz w:val="24"/>
          <w:highlight w:val="none"/>
          <w:lang w:val="en-US"/>
          <w14:textFill>
            <w14:solidFill>
              <w14:schemeClr w14:val="tx1"/>
            </w14:solidFill>
          </w14:textFill>
        </w:rPr>
        <w:t>根据土壤环境影响评价项目类别、占地规模与敏感程度划分评价工作等级，详见表2.5-</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13</w:t>
      </w:r>
      <w:r>
        <w:rPr>
          <w:rFonts w:hint="default" w:ascii="Times New Roman" w:hAnsi="Times New Roman" w:eastAsia="宋体" w:cs="Times New Roman"/>
          <w:color w:val="000000" w:themeColor="text1"/>
          <w:sz w:val="24"/>
          <w:highlight w:val="none"/>
          <w:lang w:val="en-US"/>
          <w14:textFill>
            <w14:solidFill>
              <w14:schemeClr w14:val="tx1"/>
            </w14:solidFill>
          </w14:textFill>
        </w:rPr>
        <w:t>。</w:t>
      </w:r>
    </w:p>
    <w:p w14:paraId="0AA243B8">
      <w:pPr>
        <w:pageBreakBefore w:val="0"/>
        <w:widowControl w:val="0"/>
        <w:numPr>
          <w:ilvl w:val="0"/>
          <w:numId w:val="12"/>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bCs/>
          <w:color w:val="000000" w:themeColor="text1"/>
          <w:sz w:val="24"/>
          <w:szCs w:val="24"/>
          <w:highlight w:val="none"/>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14:textFill>
            <w14:solidFill>
              <w14:schemeClr w14:val="tx1"/>
            </w14:solidFill>
          </w14:textFill>
        </w:rPr>
        <w:t>土壤环境</w:t>
      </w:r>
      <w:r>
        <w:rPr>
          <w:rFonts w:hint="default" w:ascii="Times New Roman" w:hAnsi="Times New Roman" w:eastAsia="宋体" w:cs="Times New Roman"/>
          <w:b/>
          <w:bCs/>
          <w:color w:val="000000" w:themeColor="text1"/>
          <w:sz w:val="24"/>
          <w:szCs w:val="24"/>
          <w:highlight w:val="none"/>
          <w14:textFill>
            <w14:solidFill>
              <w14:schemeClr w14:val="tx1"/>
            </w14:solidFill>
          </w14:textFill>
        </w:rPr>
        <w:t>评价工作等级分级表</w:t>
      </w:r>
    </w:p>
    <w:tbl>
      <w:tblPr>
        <w:tblStyle w:val="47"/>
        <w:tblW w:w="9014"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2211"/>
        <w:gridCol w:w="830"/>
        <w:gridCol w:w="830"/>
        <w:gridCol w:w="830"/>
        <w:gridCol w:w="681"/>
        <w:gridCol w:w="681"/>
        <w:gridCol w:w="683"/>
        <w:gridCol w:w="715"/>
        <w:gridCol w:w="743"/>
        <w:gridCol w:w="810"/>
      </w:tblGrid>
      <w:tr w14:paraId="1DC89EA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211" w:type="dxa"/>
            <w:vMerge w:val="restart"/>
            <w:tcBorders>
              <w:tl2br w:val="nil"/>
              <w:tr2bl w:val="nil"/>
            </w:tcBorders>
            <w:noWrap/>
            <w:vAlign w:val="center"/>
          </w:tcPr>
          <w:p w14:paraId="7B019BC5">
            <w:pPr>
              <w:keepNext w:val="0"/>
              <w:keepLines w:val="0"/>
              <w:pageBreakBefore w:val="0"/>
              <w:widowControl w:val="0"/>
              <w:tabs>
                <w:tab w:val="left" w:pos="600"/>
              </w:tabs>
              <w:kinsoku/>
              <w:wordWrap/>
              <w:overflowPunct/>
              <w:topLinePunct w:val="0"/>
              <w:autoSpaceDE/>
              <w:autoSpaceDN/>
              <w:bidi w:val="0"/>
              <w:adjustRightInd/>
              <w:snapToGrid w:val="0"/>
              <w:spacing w:line="240" w:lineRule="auto"/>
              <w:ind w:left="0" w:firstLine="0" w:firstLineChars="0"/>
              <w:textAlignment w:val="auto"/>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mc:AlternateContent>
                <mc:Choice Requires="wps">
                  <w:drawing>
                    <wp:anchor distT="0" distB="0" distL="114300" distR="114300" simplePos="0" relativeHeight="251662336" behindDoc="0" locked="0" layoutInCell="1" allowOverlap="1">
                      <wp:simplePos x="0" y="0"/>
                      <wp:positionH relativeFrom="column">
                        <wp:posOffset>515620</wp:posOffset>
                      </wp:positionH>
                      <wp:positionV relativeFrom="paragraph">
                        <wp:posOffset>-12700</wp:posOffset>
                      </wp:positionV>
                      <wp:extent cx="810260" cy="520700"/>
                      <wp:effectExtent l="2540" t="3810" r="6350" b="8890"/>
                      <wp:wrapNone/>
                      <wp:docPr id="23" name="直接连接符 23"/>
                      <wp:cNvGraphicFramePr/>
                      <a:graphic xmlns:a="http://schemas.openxmlformats.org/drawingml/2006/main">
                        <a:graphicData uri="http://schemas.microsoft.com/office/word/2010/wordprocessingShape">
                          <wps:wsp>
                            <wps:cNvCnPr/>
                            <wps:spPr>
                              <a:xfrm>
                                <a:off x="0" y="0"/>
                                <a:ext cx="810260" cy="5207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0.6pt;margin-top:-1pt;height:41pt;width:63.8pt;z-index:251662336;mso-width-relative:page;mso-height-relative:page;" filled="f" stroked="t" coordsize="21600,21600" o:gfxdata="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Z5l2b9UAAAAIAQAADwAAAAAAAAABACAAAAAiAAAAZHJzL2Rvd25yZXYueG1s&#10;UEsBAhQAFAAAAAgAh07iQFKtHOv7AQAA6gMAAA4AAAAAAAAAAQAgAAAAJAEAAGRycy9lMm9Eb2Mu&#10;eG1sUEsFBgAAAAAGAAYAWQEAAJEFAAAAAA==&#10;">
                      <v:fill on="f" focussize="0,0"/>
                      <v:stroke color="#000000" joinstyle="round"/>
                      <v:imagedata o:title=""/>
                      <o:lock v:ext="edit" aspectratio="f"/>
                    </v:line>
                  </w:pict>
                </mc:Fallback>
              </mc:AlternateContent>
            </w:r>
            <w:r>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t>占地规模</w:t>
            </w:r>
            <w:r>
              <w:rPr>
                <w:rFonts w:hint="eastAsia" w:cs="Times New Roman" w:eastAsiaTheme="minorEastAsia"/>
                <w:bCs/>
                <w:color w:val="000000" w:themeColor="text1"/>
                <w:sz w:val="21"/>
                <w:szCs w:val="21"/>
                <w:highlight w:val="none"/>
                <w:lang w:val="en-US" w:eastAsia="zh-CN"/>
                <w14:textFill>
                  <w14:solidFill>
                    <w14:schemeClr w14:val="tx1"/>
                  </w14:solidFill>
                </w14:textFill>
              </w:rPr>
              <w:t xml:space="preserve">   </w:t>
            </w:r>
            <w:r>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t>评价等级</w:t>
            </w:r>
          </w:p>
          <w:p w14:paraId="48970FD0">
            <w:pPr>
              <w:keepNext w:val="0"/>
              <w:keepLines w:val="0"/>
              <w:pageBreakBefore w:val="0"/>
              <w:widowControl w:val="0"/>
              <w:tabs>
                <w:tab w:val="left" w:pos="600"/>
              </w:tabs>
              <w:kinsoku/>
              <w:wordWrap/>
              <w:overflowPunct/>
              <w:topLinePunct w:val="0"/>
              <w:autoSpaceDE/>
              <w:autoSpaceDN/>
              <w:bidi w:val="0"/>
              <w:adjustRightInd/>
              <w:snapToGrid w:val="0"/>
              <w:spacing w:line="240" w:lineRule="auto"/>
              <w:ind w:left="0" w:firstLine="0" w:firstLineChars="0"/>
              <w:textAlignment w:val="auto"/>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mc:AlternateContent>
                <mc:Choice Requires="wps">
                  <w:drawing>
                    <wp:anchor distT="0" distB="0" distL="114300" distR="114300" simplePos="0" relativeHeight="251661312" behindDoc="1" locked="0" layoutInCell="1" allowOverlap="1">
                      <wp:simplePos x="0" y="0"/>
                      <wp:positionH relativeFrom="column">
                        <wp:posOffset>-67310</wp:posOffset>
                      </wp:positionH>
                      <wp:positionV relativeFrom="paragraph">
                        <wp:posOffset>5715</wp:posOffset>
                      </wp:positionV>
                      <wp:extent cx="1400810" cy="333375"/>
                      <wp:effectExtent l="1270" t="4445" r="7620" b="5080"/>
                      <wp:wrapNone/>
                      <wp:docPr id="24" name="直接连接符 24"/>
                      <wp:cNvGraphicFramePr/>
                      <a:graphic xmlns:a="http://schemas.openxmlformats.org/drawingml/2006/main">
                        <a:graphicData uri="http://schemas.microsoft.com/office/word/2010/wordprocessingShape">
                          <wps:wsp>
                            <wps:cNvCnPr/>
                            <wps:spPr>
                              <a:xfrm>
                                <a:off x="0" y="0"/>
                                <a:ext cx="1400810" cy="33337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5.3pt;margin-top:0.45pt;height:26.25pt;width:110.3pt;z-index:-251655168;mso-width-relative:page;mso-height-relative:page;" filled="f" stroked="t" coordsize="21600,21600" o:gfxdata="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xitkzNUAAAAHAQAADwAAAAAAAAABACAAAAAiAAAAZHJzL2Rvd25yZXYueG1sUEsB&#10;AhQAFAAAAAgAh07iQEY4ADr4AQAA6wMAAA4AAAAAAAAAAQAgAAAAJAEAAGRycy9lMm9Eb2MueG1s&#10;UEsFBgAAAAAGAAYAWQEAAI4FAAAAAA==&#10;">
                      <v:fill on="f" focussize="0,0"/>
                      <v:stroke color="#000000" joinstyle="round"/>
                      <v:imagedata o:title=""/>
                      <o:lock v:ext="edit" aspectratio="f"/>
                    </v:line>
                  </w:pict>
                </mc:Fallback>
              </mc:AlternateContent>
            </w:r>
          </w:p>
          <w:p w14:paraId="0AE7FAF9">
            <w:pPr>
              <w:keepNext w:val="0"/>
              <w:keepLines w:val="0"/>
              <w:pageBreakBefore w:val="0"/>
              <w:widowControl w:val="0"/>
              <w:tabs>
                <w:tab w:val="left" w:pos="600"/>
              </w:tabs>
              <w:kinsoku/>
              <w:wordWrap/>
              <w:overflowPunct/>
              <w:topLinePunct w:val="0"/>
              <w:autoSpaceDE/>
              <w:autoSpaceDN/>
              <w:bidi w:val="0"/>
              <w:adjustRightInd/>
              <w:snapToGrid w:val="0"/>
              <w:spacing w:line="240" w:lineRule="auto"/>
              <w:ind w:left="0" w:firstLine="0" w:firstLineChars="0"/>
              <w:textAlignment w:val="auto"/>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t>敏感程度</w:t>
            </w:r>
          </w:p>
        </w:tc>
        <w:tc>
          <w:tcPr>
            <w:tcW w:w="2490" w:type="dxa"/>
            <w:gridSpan w:val="3"/>
            <w:tcBorders>
              <w:tl2br w:val="nil"/>
              <w:tr2bl w:val="nil"/>
            </w:tcBorders>
            <w:noWrap/>
            <w:vAlign w:val="center"/>
          </w:tcPr>
          <w:p w14:paraId="25F72032">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t>Ⅰ类项目</w:t>
            </w:r>
          </w:p>
        </w:tc>
        <w:tc>
          <w:tcPr>
            <w:tcW w:w="2045" w:type="dxa"/>
            <w:gridSpan w:val="3"/>
            <w:tcBorders>
              <w:tl2br w:val="nil"/>
              <w:tr2bl w:val="nil"/>
            </w:tcBorders>
            <w:noWrap/>
            <w:vAlign w:val="center"/>
          </w:tcPr>
          <w:p w14:paraId="5C4F6DF8">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t>Ⅱ类项目</w:t>
            </w:r>
          </w:p>
        </w:tc>
        <w:tc>
          <w:tcPr>
            <w:tcW w:w="2268" w:type="dxa"/>
            <w:gridSpan w:val="3"/>
            <w:tcBorders>
              <w:tl2br w:val="nil"/>
              <w:tr2bl w:val="nil"/>
            </w:tcBorders>
            <w:noWrap/>
            <w:vAlign w:val="center"/>
          </w:tcPr>
          <w:p w14:paraId="7B8DF74E">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t>Ⅲ类项目</w:t>
            </w:r>
          </w:p>
        </w:tc>
      </w:tr>
      <w:tr w14:paraId="20D21C0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211" w:type="dxa"/>
            <w:vMerge w:val="continue"/>
            <w:tcBorders>
              <w:tl2br w:val="nil"/>
              <w:tr2bl w:val="nil"/>
            </w:tcBorders>
            <w:noWrap/>
            <w:vAlign w:val="center"/>
          </w:tcPr>
          <w:p w14:paraId="1867C8F3">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p>
        </w:tc>
        <w:tc>
          <w:tcPr>
            <w:tcW w:w="830" w:type="dxa"/>
            <w:tcBorders>
              <w:tl2br w:val="nil"/>
              <w:tr2bl w:val="nil"/>
            </w:tcBorders>
            <w:noWrap/>
            <w:vAlign w:val="center"/>
          </w:tcPr>
          <w:p w14:paraId="1CB5D04B">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大</w:t>
            </w:r>
          </w:p>
        </w:tc>
        <w:tc>
          <w:tcPr>
            <w:tcW w:w="830" w:type="dxa"/>
            <w:tcBorders>
              <w:tl2br w:val="nil"/>
              <w:tr2bl w:val="nil"/>
            </w:tcBorders>
            <w:noWrap/>
            <w:vAlign w:val="center"/>
          </w:tcPr>
          <w:p w14:paraId="6D345FAD">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中</w:t>
            </w:r>
          </w:p>
        </w:tc>
        <w:tc>
          <w:tcPr>
            <w:tcW w:w="830" w:type="dxa"/>
            <w:tcBorders>
              <w:tl2br w:val="nil"/>
              <w:tr2bl w:val="nil"/>
            </w:tcBorders>
            <w:noWrap/>
            <w:vAlign w:val="center"/>
          </w:tcPr>
          <w:p w14:paraId="0BD069A9">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t>小</w:t>
            </w:r>
          </w:p>
        </w:tc>
        <w:tc>
          <w:tcPr>
            <w:tcW w:w="681" w:type="dxa"/>
            <w:tcBorders>
              <w:tl2br w:val="nil"/>
              <w:tr2bl w:val="nil"/>
            </w:tcBorders>
            <w:noWrap/>
            <w:vAlign w:val="center"/>
          </w:tcPr>
          <w:p w14:paraId="2D45B855">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大</w:t>
            </w:r>
          </w:p>
        </w:tc>
        <w:tc>
          <w:tcPr>
            <w:tcW w:w="681" w:type="dxa"/>
            <w:tcBorders>
              <w:tl2br w:val="nil"/>
              <w:tr2bl w:val="nil"/>
            </w:tcBorders>
            <w:noWrap/>
            <w:vAlign w:val="center"/>
          </w:tcPr>
          <w:p w14:paraId="1B24A37C">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中</w:t>
            </w:r>
          </w:p>
        </w:tc>
        <w:tc>
          <w:tcPr>
            <w:tcW w:w="683" w:type="dxa"/>
            <w:tcBorders>
              <w:tl2br w:val="nil"/>
              <w:tr2bl w:val="nil"/>
            </w:tcBorders>
            <w:noWrap/>
            <w:vAlign w:val="center"/>
          </w:tcPr>
          <w:p w14:paraId="18518B97">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t>小</w:t>
            </w:r>
          </w:p>
        </w:tc>
        <w:tc>
          <w:tcPr>
            <w:tcW w:w="715" w:type="dxa"/>
            <w:tcBorders>
              <w:tl2br w:val="nil"/>
              <w:tr2bl w:val="nil"/>
            </w:tcBorders>
            <w:noWrap/>
            <w:vAlign w:val="center"/>
          </w:tcPr>
          <w:p w14:paraId="681C6F17">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大</w:t>
            </w:r>
          </w:p>
        </w:tc>
        <w:tc>
          <w:tcPr>
            <w:tcW w:w="743" w:type="dxa"/>
            <w:tcBorders>
              <w:tl2br w:val="nil"/>
              <w:tr2bl w:val="nil"/>
            </w:tcBorders>
            <w:noWrap/>
            <w:vAlign w:val="center"/>
          </w:tcPr>
          <w:p w14:paraId="09B42AE5">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中</w:t>
            </w:r>
          </w:p>
        </w:tc>
        <w:tc>
          <w:tcPr>
            <w:tcW w:w="810" w:type="dxa"/>
            <w:tcBorders>
              <w:tl2br w:val="nil"/>
              <w:tr2bl w:val="nil"/>
            </w:tcBorders>
            <w:noWrap/>
            <w:vAlign w:val="center"/>
          </w:tcPr>
          <w:p w14:paraId="5DD2503E">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t>小</w:t>
            </w:r>
          </w:p>
        </w:tc>
      </w:tr>
      <w:tr w14:paraId="5A999B6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211" w:type="dxa"/>
            <w:tcBorders>
              <w:tl2br w:val="nil"/>
              <w:tr2bl w:val="nil"/>
            </w:tcBorders>
            <w:noWrap/>
            <w:vAlign w:val="center"/>
          </w:tcPr>
          <w:p w14:paraId="13FA4547">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t>敏感</w:t>
            </w:r>
          </w:p>
        </w:tc>
        <w:tc>
          <w:tcPr>
            <w:tcW w:w="830" w:type="dxa"/>
            <w:tcBorders>
              <w:tl2br w:val="nil"/>
              <w:tr2bl w:val="nil"/>
            </w:tcBorders>
            <w:noWrap/>
            <w:vAlign w:val="center"/>
          </w:tcPr>
          <w:p w14:paraId="5EB5AFD8">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一级</w:t>
            </w:r>
          </w:p>
        </w:tc>
        <w:tc>
          <w:tcPr>
            <w:tcW w:w="830" w:type="dxa"/>
            <w:tcBorders>
              <w:tl2br w:val="nil"/>
              <w:tr2bl w:val="nil"/>
            </w:tcBorders>
            <w:noWrap/>
            <w:vAlign w:val="center"/>
          </w:tcPr>
          <w:p w14:paraId="1A956D2C">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val="0"/>
                <w:color w:val="000000" w:themeColor="text1"/>
                <w:sz w:val="21"/>
                <w:szCs w:val="21"/>
                <w:highlight w:val="none"/>
                <w14:textFill>
                  <w14:solidFill>
                    <w14:schemeClr w14:val="tx1"/>
                  </w14:solidFill>
                </w14:textFill>
              </w:rPr>
              <w:t>一级</w:t>
            </w:r>
          </w:p>
        </w:tc>
        <w:tc>
          <w:tcPr>
            <w:tcW w:w="830" w:type="dxa"/>
            <w:tcBorders>
              <w:tl2br w:val="nil"/>
              <w:tr2bl w:val="nil"/>
            </w:tcBorders>
            <w:noWrap/>
            <w:vAlign w:val="center"/>
          </w:tcPr>
          <w:p w14:paraId="1DB34359">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val="0"/>
                <w:color w:val="000000" w:themeColor="text1"/>
                <w:sz w:val="21"/>
                <w:szCs w:val="21"/>
                <w:highlight w:val="none"/>
                <w14:textFill>
                  <w14:solidFill>
                    <w14:schemeClr w14:val="tx1"/>
                  </w14:solidFill>
                </w14:textFill>
              </w:rPr>
              <w:t>一级</w:t>
            </w:r>
          </w:p>
        </w:tc>
        <w:tc>
          <w:tcPr>
            <w:tcW w:w="681" w:type="dxa"/>
            <w:tcBorders>
              <w:tl2br w:val="nil"/>
              <w:tr2bl w:val="nil"/>
            </w:tcBorders>
            <w:noWrap/>
            <w:vAlign w:val="center"/>
          </w:tcPr>
          <w:p w14:paraId="2851CFE9">
            <w:pPr>
              <w:keepNext w:val="0"/>
              <w:keepLines w:val="0"/>
              <w:pageBreakBefore w:val="0"/>
              <w:widowControl w:val="0"/>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t>二级</w:t>
            </w:r>
          </w:p>
        </w:tc>
        <w:tc>
          <w:tcPr>
            <w:tcW w:w="681" w:type="dxa"/>
            <w:tcBorders>
              <w:tl2br w:val="nil"/>
              <w:tr2bl w:val="nil"/>
            </w:tcBorders>
            <w:noWrap/>
            <w:vAlign w:val="center"/>
          </w:tcPr>
          <w:p w14:paraId="43ADF792">
            <w:pPr>
              <w:keepNext w:val="0"/>
              <w:keepLines w:val="0"/>
              <w:pageBreakBefore w:val="0"/>
              <w:widowControl w:val="0"/>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t>二级</w:t>
            </w:r>
          </w:p>
        </w:tc>
        <w:tc>
          <w:tcPr>
            <w:tcW w:w="683" w:type="dxa"/>
            <w:tcBorders>
              <w:tl2br w:val="nil"/>
              <w:tr2bl w:val="nil"/>
            </w:tcBorders>
            <w:noWrap/>
            <w:vAlign w:val="center"/>
          </w:tcPr>
          <w:p w14:paraId="029E996E">
            <w:pPr>
              <w:keepNext w:val="0"/>
              <w:keepLines w:val="0"/>
              <w:pageBreakBefore w:val="0"/>
              <w:widowControl w:val="0"/>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t>二级</w:t>
            </w:r>
          </w:p>
        </w:tc>
        <w:tc>
          <w:tcPr>
            <w:tcW w:w="715" w:type="dxa"/>
            <w:tcBorders>
              <w:tl2br w:val="nil"/>
              <w:tr2bl w:val="nil"/>
            </w:tcBorders>
            <w:noWrap/>
            <w:vAlign w:val="center"/>
          </w:tcPr>
          <w:p w14:paraId="46935EB6">
            <w:pPr>
              <w:keepNext w:val="0"/>
              <w:keepLines w:val="0"/>
              <w:pageBreakBefore w:val="0"/>
              <w:widowControl w:val="0"/>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三级</w:t>
            </w:r>
          </w:p>
        </w:tc>
        <w:tc>
          <w:tcPr>
            <w:tcW w:w="743" w:type="dxa"/>
            <w:tcBorders>
              <w:tl2br w:val="nil"/>
              <w:tr2bl w:val="nil"/>
            </w:tcBorders>
            <w:noWrap/>
            <w:vAlign w:val="center"/>
          </w:tcPr>
          <w:p w14:paraId="7DFEB92C">
            <w:pPr>
              <w:keepNext w:val="0"/>
              <w:keepLines w:val="0"/>
              <w:pageBreakBefore w:val="0"/>
              <w:widowControl w:val="0"/>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三级</w:t>
            </w:r>
          </w:p>
        </w:tc>
        <w:tc>
          <w:tcPr>
            <w:tcW w:w="810" w:type="dxa"/>
            <w:tcBorders>
              <w:tl2br w:val="nil"/>
              <w:tr2bl w:val="nil"/>
            </w:tcBorders>
            <w:noWrap/>
            <w:vAlign w:val="center"/>
          </w:tcPr>
          <w:p w14:paraId="3E048692">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三级</w:t>
            </w:r>
          </w:p>
        </w:tc>
      </w:tr>
      <w:tr w14:paraId="443B0C7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211" w:type="dxa"/>
            <w:tcBorders>
              <w:tl2br w:val="nil"/>
              <w:tr2bl w:val="nil"/>
            </w:tcBorders>
            <w:noWrap/>
            <w:vAlign w:val="center"/>
          </w:tcPr>
          <w:p w14:paraId="6C5FD1E6">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t>较敏感</w:t>
            </w:r>
          </w:p>
        </w:tc>
        <w:tc>
          <w:tcPr>
            <w:tcW w:w="830" w:type="dxa"/>
            <w:tcBorders>
              <w:tl2br w:val="nil"/>
              <w:tr2bl w:val="nil"/>
            </w:tcBorders>
            <w:noWrap/>
            <w:vAlign w:val="center"/>
          </w:tcPr>
          <w:p w14:paraId="3FFDD3CE">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一级</w:t>
            </w:r>
          </w:p>
        </w:tc>
        <w:tc>
          <w:tcPr>
            <w:tcW w:w="830" w:type="dxa"/>
            <w:tcBorders>
              <w:tl2br w:val="nil"/>
              <w:tr2bl w:val="nil"/>
            </w:tcBorders>
            <w:noWrap/>
            <w:vAlign w:val="center"/>
          </w:tcPr>
          <w:p w14:paraId="7473EEE9">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一级</w:t>
            </w:r>
          </w:p>
        </w:tc>
        <w:tc>
          <w:tcPr>
            <w:tcW w:w="830" w:type="dxa"/>
            <w:tcBorders>
              <w:tl2br w:val="nil"/>
              <w:tr2bl w:val="nil"/>
            </w:tcBorders>
            <w:noWrap/>
            <w:vAlign w:val="center"/>
          </w:tcPr>
          <w:p w14:paraId="0CC8465A">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二级</w:t>
            </w:r>
          </w:p>
        </w:tc>
        <w:tc>
          <w:tcPr>
            <w:tcW w:w="681" w:type="dxa"/>
            <w:tcBorders>
              <w:tl2br w:val="nil"/>
              <w:tr2bl w:val="nil"/>
            </w:tcBorders>
            <w:noWrap/>
            <w:vAlign w:val="center"/>
          </w:tcPr>
          <w:p w14:paraId="3D54CAF0">
            <w:pPr>
              <w:keepNext w:val="0"/>
              <w:keepLines w:val="0"/>
              <w:pageBreakBefore w:val="0"/>
              <w:widowControl w:val="0"/>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t>二级</w:t>
            </w:r>
          </w:p>
        </w:tc>
        <w:tc>
          <w:tcPr>
            <w:tcW w:w="681" w:type="dxa"/>
            <w:tcBorders>
              <w:tl2br w:val="nil"/>
              <w:tr2bl w:val="nil"/>
            </w:tcBorders>
            <w:noWrap/>
            <w:vAlign w:val="center"/>
          </w:tcPr>
          <w:p w14:paraId="2222A92C">
            <w:pPr>
              <w:keepNext w:val="0"/>
              <w:keepLines w:val="0"/>
              <w:pageBreakBefore w:val="0"/>
              <w:widowControl w:val="0"/>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t>二级</w:t>
            </w:r>
          </w:p>
        </w:tc>
        <w:tc>
          <w:tcPr>
            <w:tcW w:w="683" w:type="dxa"/>
            <w:tcBorders>
              <w:tl2br w:val="nil"/>
              <w:tr2bl w:val="nil"/>
            </w:tcBorders>
            <w:noWrap/>
            <w:vAlign w:val="center"/>
          </w:tcPr>
          <w:p w14:paraId="64D90CCD">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color w:val="000000" w:themeColor="text1"/>
                <w:sz w:val="21"/>
                <w:szCs w:val="21"/>
                <w:highlight w:val="none"/>
                <w:shd w:val="clear" w:color="FFFFFF" w:fill="D9D9D9"/>
                <w14:textFill>
                  <w14:solidFill>
                    <w14:schemeClr w14:val="tx1"/>
                  </w14:solidFill>
                </w14:textFill>
              </w:rPr>
              <w:t>三级</w:t>
            </w:r>
          </w:p>
        </w:tc>
        <w:tc>
          <w:tcPr>
            <w:tcW w:w="715" w:type="dxa"/>
            <w:tcBorders>
              <w:tl2br w:val="nil"/>
              <w:tr2bl w:val="nil"/>
            </w:tcBorders>
            <w:noWrap/>
            <w:vAlign w:val="center"/>
          </w:tcPr>
          <w:p w14:paraId="2F55C9CB">
            <w:pPr>
              <w:keepNext w:val="0"/>
              <w:keepLines w:val="0"/>
              <w:pageBreakBefore w:val="0"/>
              <w:widowControl w:val="0"/>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三级</w:t>
            </w:r>
          </w:p>
        </w:tc>
        <w:tc>
          <w:tcPr>
            <w:tcW w:w="743" w:type="dxa"/>
            <w:tcBorders>
              <w:tl2br w:val="nil"/>
              <w:tr2bl w:val="nil"/>
            </w:tcBorders>
            <w:noWrap/>
            <w:vAlign w:val="center"/>
          </w:tcPr>
          <w:p w14:paraId="12F372CE">
            <w:pPr>
              <w:keepNext w:val="0"/>
              <w:keepLines w:val="0"/>
              <w:pageBreakBefore w:val="0"/>
              <w:widowControl w:val="0"/>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三级</w:t>
            </w:r>
          </w:p>
        </w:tc>
        <w:tc>
          <w:tcPr>
            <w:tcW w:w="810" w:type="dxa"/>
            <w:tcBorders>
              <w:tl2br w:val="nil"/>
              <w:tr2bl w:val="nil"/>
            </w:tcBorders>
            <w:noWrap/>
            <w:vAlign w:val="center"/>
          </w:tcPr>
          <w:p w14:paraId="540A9CB2">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w:t>
            </w:r>
          </w:p>
        </w:tc>
      </w:tr>
      <w:tr w14:paraId="0BDB708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211" w:type="dxa"/>
            <w:tcBorders>
              <w:tl2br w:val="nil"/>
              <w:tr2bl w:val="nil"/>
            </w:tcBorders>
            <w:noWrap/>
            <w:vAlign w:val="center"/>
          </w:tcPr>
          <w:p w14:paraId="698D1421">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t>不敏感</w:t>
            </w:r>
          </w:p>
        </w:tc>
        <w:tc>
          <w:tcPr>
            <w:tcW w:w="830" w:type="dxa"/>
            <w:tcBorders>
              <w:tl2br w:val="nil"/>
              <w:tr2bl w:val="nil"/>
            </w:tcBorders>
            <w:noWrap/>
            <w:vAlign w:val="center"/>
          </w:tcPr>
          <w:p w14:paraId="6A8594FB">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b/>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一级</w:t>
            </w:r>
          </w:p>
        </w:tc>
        <w:tc>
          <w:tcPr>
            <w:tcW w:w="830" w:type="dxa"/>
            <w:tcBorders>
              <w:tl2br w:val="nil"/>
              <w:tr2bl w:val="nil"/>
            </w:tcBorders>
            <w:noWrap/>
            <w:vAlign w:val="center"/>
          </w:tcPr>
          <w:p w14:paraId="69907D7B">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二级</w:t>
            </w:r>
          </w:p>
        </w:tc>
        <w:tc>
          <w:tcPr>
            <w:tcW w:w="830" w:type="dxa"/>
            <w:tcBorders>
              <w:tl2br w:val="nil"/>
              <w:tr2bl w:val="nil"/>
            </w:tcBorders>
            <w:noWrap/>
            <w:vAlign w:val="center"/>
          </w:tcPr>
          <w:p w14:paraId="7CCF9740">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二级</w:t>
            </w:r>
          </w:p>
        </w:tc>
        <w:tc>
          <w:tcPr>
            <w:tcW w:w="681" w:type="dxa"/>
            <w:tcBorders>
              <w:tl2br w:val="nil"/>
              <w:tr2bl w:val="nil"/>
            </w:tcBorders>
            <w:noWrap/>
            <w:vAlign w:val="center"/>
          </w:tcPr>
          <w:p w14:paraId="652A2750">
            <w:pPr>
              <w:keepNext w:val="0"/>
              <w:keepLines w:val="0"/>
              <w:pageBreakBefore w:val="0"/>
              <w:widowControl w:val="0"/>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t>二级</w:t>
            </w:r>
          </w:p>
        </w:tc>
        <w:tc>
          <w:tcPr>
            <w:tcW w:w="681" w:type="dxa"/>
            <w:tcBorders>
              <w:tl2br w:val="nil"/>
              <w:tr2bl w:val="nil"/>
            </w:tcBorders>
            <w:noWrap/>
            <w:vAlign w:val="center"/>
          </w:tcPr>
          <w:p w14:paraId="5567D0D8">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val="0"/>
                <w:color w:val="000000" w:themeColor="text1"/>
                <w:sz w:val="21"/>
                <w:szCs w:val="21"/>
                <w:highlight w:val="none"/>
                <w14:textFill>
                  <w14:solidFill>
                    <w14:schemeClr w14:val="tx1"/>
                  </w14:solidFill>
                </w14:textFill>
              </w:rPr>
              <w:t>三级</w:t>
            </w:r>
          </w:p>
        </w:tc>
        <w:tc>
          <w:tcPr>
            <w:tcW w:w="683" w:type="dxa"/>
            <w:tcBorders>
              <w:tl2br w:val="nil"/>
              <w:tr2bl w:val="nil"/>
            </w:tcBorders>
            <w:noWrap/>
            <w:vAlign w:val="center"/>
          </w:tcPr>
          <w:p w14:paraId="4B61992C">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val="0"/>
                <w:color w:val="000000" w:themeColor="text1"/>
                <w:sz w:val="21"/>
                <w:szCs w:val="21"/>
                <w:highlight w:val="none"/>
                <w14:textFill>
                  <w14:solidFill>
                    <w14:schemeClr w14:val="tx1"/>
                  </w14:solidFill>
                </w14:textFill>
              </w:rPr>
              <w:t>三级</w:t>
            </w:r>
          </w:p>
        </w:tc>
        <w:tc>
          <w:tcPr>
            <w:tcW w:w="715" w:type="dxa"/>
            <w:tcBorders>
              <w:tl2br w:val="nil"/>
              <w:tr2bl w:val="nil"/>
            </w:tcBorders>
            <w:noWrap/>
            <w:vAlign w:val="center"/>
          </w:tcPr>
          <w:p w14:paraId="77C4828C">
            <w:pPr>
              <w:keepNext w:val="0"/>
              <w:keepLines w:val="0"/>
              <w:pageBreakBefore w:val="0"/>
              <w:widowControl w:val="0"/>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b/>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三级</w:t>
            </w:r>
          </w:p>
        </w:tc>
        <w:tc>
          <w:tcPr>
            <w:tcW w:w="743" w:type="dxa"/>
            <w:tcBorders>
              <w:tl2br w:val="nil"/>
              <w:tr2bl w:val="nil"/>
            </w:tcBorders>
            <w:noWrap/>
            <w:vAlign w:val="center"/>
          </w:tcPr>
          <w:p w14:paraId="53857EC3">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b/>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color w:val="000000" w:themeColor="text1"/>
                <w:sz w:val="21"/>
                <w:szCs w:val="21"/>
                <w:highlight w:val="none"/>
                <w14:textFill>
                  <w14:solidFill>
                    <w14:schemeClr w14:val="tx1"/>
                  </w14:solidFill>
                </w14:textFill>
              </w:rPr>
              <w:t>—</w:t>
            </w:r>
          </w:p>
        </w:tc>
        <w:tc>
          <w:tcPr>
            <w:tcW w:w="810" w:type="dxa"/>
            <w:tcBorders>
              <w:tl2br w:val="nil"/>
              <w:tr2bl w:val="nil"/>
            </w:tcBorders>
            <w:noWrap/>
            <w:vAlign w:val="center"/>
          </w:tcPr>
          <w:p w14:paraId="30A5FCF7">
            <w:pPr>
              <w:keepNext w:val="0"/>
              <w:keepLines w:val="0"/>
              <w:pageBreakBefore w:val="0"/>
              <w:widowControl w:val="0"/>
              <w:tabs>
                <w:tab w:val="left" w:pos="600"/>
              </w:tabs>
              <w:kinsoku/>
              <w:wordWrap/>
              <w:overflowPunct/>
              <w:topLinePunct w:val="0"/>
              <w:autoSpaceDE/>
              <w:autoSpaceDN/>
              <w:bidi w:val="0"/>
              <w:adjustRightInd/>
              <w:spacing w:line="240" w:lineRule="auto"/>
              <w:ind w:left="0" w:firstLine="0" w:firstLineChars="0"/>
              <w:jc w:val="center"/>
              <w:textAlignment w:val="auto"/>
              <w:rPr>
                <w:rFonts w:hint="default" w:ascii="Times New Roman" w:hAnsi="Times New Roman" w:cs="Times New Roman" w:eastAsiaTheme="minorEastAsia"/>
                <w:b/>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color w:val="000000" w:themeColor="text1"/>
                <w:sz w:val="21"/>
                <w:szCs w:val="21"/>
                <w:highlight w:val="none"/>
                <w14:textFill>
                  <w14:solidFill>
                    <w14:schemeClr w14:val="tx1"/>
                  </w14:solidFill>
                </w14:textFill>
              </w:rPr>
              <w:t>—</w:t>
            </w:r>
          </w:p>
        </w:tc>
      </w:tr>
    </w:tbl>
    <w:p w14:paraId="3BA8F2F0">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000000" w:themeColor="text1"/>
          <w:sz w:val="24"/>
          <w:highlight w:val="none"/>
          <w:lang w:val="en-US"/>
          <w14:textFill>
            <w14:solidFill>
              <w14:schemeClr w14:val="tx1"/>
            </w14:solidFill>
          </w14:textFill>
        </w:rPr>
      </w:pPr>
      <w:r>
        <w:rPr>
          <w:rFonts w:hint="default" w:ascii="Times New Roman" w:hAnsi="Times New Roman" w:eastAsia="宋体" w:cs="Times New Roman"/>
          <w:color w:val="000000" w:themeColor="text1"/>
          <w:sz w:val="24"/>
          <w:highlight w:val="none"/>
          <w:lang w:val="en-US"/>
          <w14:textFill>
            <w14:solidFill>
              <w14:schemeClr w14:val="tx1"/>
            </w14:solidFill>
          </w14:textFill>
        </w:rPr>
        <w:t>本项目土壤环境影响评价项目类别为</w:t>
      </w:r>
      <w:r>
        <w:rPr>
          <w:rFonts w:hint="default" w:ascii="Times New Roman" w:hAnsi="Times New Roman" w:eastAsia="宋体" w:cs="Times New Roman"/>
          <w:bCs/>
          <w:color w:val="000000" w:themeColor="text1"/>
          <w:sz w:val="24"/>
          <w:szCs w:val="24"/>
          <w:highlight w:val="none"/>
          <w:lang w:val="en-US" w:eastAsia="zh-CN"/>
          <w14:textFill>
            <w14:solidFill>
              <w14:schemeClr w14:val="tx1"/>
            </w14:solidFill>
          </w14:textFill>
        </w:rPr>
        <w:t>Ⅱ</w:t>
      </w:r>
      <w:r>
        <w:rPr>
          <w:rFonts w:hint="default" w:ascii="Times New Roman" w:hAnsi="Times New Roman" w:eastAsia="宋体" w:cs="Times New Roman"/>
          <w:color w:val="000000" w:themeColor="text1"/>
          <w:sz w:val="24"/>
          <w:highlight w:val="none"/>
          <w:lang w:val="en-US"/>
          <w14:textFill>
            <w14:solidFill>
              <w14:schemeClr w14:val="tx1"/>
            </w14:solidFill>
          </w14:textFill>
        </w:rPr>
        <w:t>类，占地规模为</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小</w:t>
      </w:r>
      <w:r>
        <w:rPr>
          <w:rFonts w:hint="default" w:ascii="Times New Roman" w:hAnsi="Times New Roman" w:eastAsia="宋体" w:cs="Times New Roman"/>
          <w:color w:val="000000" w:themeColor="text1"/>
          <w:sz w:val="24"/>
          <w:highlight w:val="none"/>
          <w:lang w:val="en-US"/>
          <w14:textFill>
            <w14:solidFill>
              <w14:schemeClr w14:val="tx1"/>
            </w14:solidFill>
          </w14:textFill>
        </w:rPr>
        <w:t>型，敏感程度为</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较</w:t>
      </w:r>
      <w:r>
        <w:rPr>
          <w:rFonts w:hint="default" w:ascii="Times New Roman" w:hAnsi="Times New Roman" w:eastAsia="宋体" w:cs="Times New Roman"/>
          <w:color w:val="000000" w:themeColor="text1"/>
          <w:sz w:val="24"/>
          <w:highlight w:val="none"/>
          <w:lang w:val="en-US"/>
          <w14:textFill>
            <w14:solidFill>
              <w14:schemeClr w14:val="tx1"/>
            </w14:solidFill>
          </w14:textFill>
        </w:rPr>
        <w:t>敏感，因此确定土壤环境评价等级为</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三</w:t>
      </w:r>
      <w:r>
        <w:rPr>
          <w:rFonts w:hint="default" w:ascii="Times New Roman" w:hAnsi="Times New Roman" w:eastAsia="宋体" w:cs="Times New Roman"/>
          <w:color w:val="000000" w:themeColor="text1"/>
          <w:sz w:val="24"/>
          <w:highlight w:val="none"/>
          <w:lang w:val="en-US"/>
          <w14:textFill>
            <w14:solidFill>
              <w14:schemeClr w14:val="tx1"/>
            </w14:solidFill>
          </w14:textFill>
        </w:rPr>
        <w:t>级。</w:t>
      </w:r>
    </w:p>
    <w:p w14:paraId="1A3A481D">
      <w:pPr>
        <w:pStyle w:val="6"/>
        <w:keepNext w:val="0"/>
        <w:keepLines w:val="0"/>
        <w:pageBreakBefore w:val="0"/>
        <w:widowControl w:val="0"/>
        <w:kinsoku/>
        <w:wordWrap/>
        <w:overflowPunct/>
        <w:topLinePunct w:val="0"/>
        <w:autoSpaceDE/>
        <w:autoSpaceDN/>
        <w:bidi w:val="0"/>
        <w:adjustRightInd/>
        <w:snapToGrid/>
        <w:spacing w:before="0" w:beforeLines="0" w:after="0" w:afterLines="0" w:line="460" w:lineRule="exact"/>
        <w:textAlignment w:val="auto"/>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2.5.</w:t>
      </w:r>
      <w:r>
        <w:rPr>
          <w:rFonts w:hint="default" w:ascii="Times New Roman" w:hAnsi="Times New Roman" w:eastAsia="宋体" w:cs="Times New Roman"/>
          <w:color w:val="000000" w:themeColor="text1"/>
          <w:highlight w:val="none"/>
          <w:lang w:val="en-US" w:eastAsia="zh-CN"/>
          <w14:textFill>
            <w14:solidFill>
              <w14:schemeClr w14:val="tx1"/>
            </w14:solidFill>
          </w14:textFill>
        </w:rPr>
        <w:t>8</w:t>
      </w:r>
      <w:r>
        <w:rPr>
          <w:rFonts w:hint="default" w:ascii="Times New Roman" w:hAnsi="Times New Roman" w:eastAsia="宋体" w:cs="Times New Roman"/>
          <w:color w:val="000000" w:themeColor="text1"/>
          <w:highlight w:val="none"/>
          <w14:textFill>
            <w14:solidFill>
              <w14:schemeClr w14:val="tx1"/>
            </w14:solidFill>
          </w14:textFill>
        </w:rPr>
        <w:t>评价范围</w:t>
      </w:r>
      <w:bookmarkEnd w:id="94"/>
      <w:bookmarkEnd w:id="95"/>
    </w:p>
    <w:p w14:paraId="6B129940">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根据拟建项目各环境要素确定的评价等级，结合区域环境特征，按</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highlight w:val="none"/>
          <w14:textFill>
            <w14:solidFill>
              <w14:schemeClr w14:val="tx1"/>
            </w14:solidFill>
          </w14:textFill>
        </w:rPr>
        <w:t>建设项目环境影响评价技术导则</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highlight w:val="none"/>
          <w14:textFill>
            <w14:solidFill>
              <w14:schemeClr w14:val="tx1"/>
            </w14:solidFill>
          </w14:textFill>
        </w:rPr>
        <w:t>中评价范围确定的相关规定，并综合项目污染源排放特征，确定本评价各环境要素评价范围见表2.5-</w:t>
      </w:r>
      <w:r>
        <w:rPr>
          <w:rFonts w:hint="eastAsia" w:cs="Times New Roman"/>
          <w:color w:val="000000" w:themeColor="text1"/>
          <w:sz w:val="24"/>
          <w:highlight w:val="none"/>
          <w:lang w:val="en-US" w:eastAsia="zh-CN"/>
          <w14:textFill>
            <w14:solidFill>
              <w14:schemeClr w14:val="tx1"/>
            </w14:solidFill>
          </w14:textFill>
        </w:rPr>
        <w:t>14</w:t>
      </w:r>
      <w:r>
        <w:rPr>
          <w:rFonts w:hint="default" w:ascii="Times New Roman" w:hAnsi="Times New Roman" w:eastAsia="宋体" w:cs="Times New Roman"/>
          <w:color w:val="000000" w:themeColor="text1"/>
          <w:sz w:val="24"/>
          <w:highlight w:val="none"/>
          <w14:textFill>
            <w14:solidFill>
              <w14:schemeClr w14:val="tx1"/>
            </w14:solidFill>
          </w14:textFill>
        </w:rPr>
        <w:t>。</w:t>
      </w:r>
    </w:p>
    <w:p w14:paraId="78F984CF">
      <w:pPr>
        <w:pageBreakBefore w:val="0"/>
        <w:widowControl w:val="0"/>
        <w:numPr>
          <w:ilvl w:val="0"/>
          <w:numId w:val="12"/>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bCs/>
          <w:color w:val="000000" w:themeColor="text1"/>
          <w:sz w:val="24"/>
          <w:szCs w:val="24"/>
          <w:highlight w:val="none"/>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14:textFill>
            <w14:solidFill>
              <w14:schemeClr w14:val="tx1"/>
            </w14:solidFill>
          </w14:textFill>
        </w:rPr>
        <w:t>各环境要素评价范围一览表</w:t>
      </w:r>
    </w:p>
    <w:tbl>
      <w:tblPr>
        <w:tblStyle w:val="47"/>
        <w:tblW w:w="9474"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821"/>
        <w:gridCol w:w="1410"/>
        <w:gridCol w:w="1776"/>
        <w:gridCol w:w="5467"/>
      </w:tblGrid>
      <w:tr w14:paraId="7DBC013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821" w:type="dxa"/>
            <w:tcBorders>
              <w:tl2br w:val="nil"/>
              <w:tr2bl w:val="nil"/>
            </w:tcBorders>
            <w:noWrap w:val="0"/>
            <w:vAlign w:val="center"/>
          </w:tcPr>
          <w:p w14:paraId="6F74F09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aps/>
                <w:color w:val="000000" w:themeColor="text1"/>
                <w:szCs w:val="21"/>
                <w:highlight w:val="none"/>
                <w14:textFill>
                  <w14:solidFill>
                    <w14:schemeClr w14:val="tx1"/>
                  </w14:solidFill>
                </w14:textFill>
              </w:rPr>
            </w:pPr>
            <w:bookmarkStart w:id="97" w:name="_Toc246763520"/>
            <w:bookmarkStart w:id="98" w:name="_Toc150246997"/>
            <w:bookmarkStart w:id="99" w:name="_Toc156613288"/>
            <w:r>
              <w:rPr>
                <w:rFonts w:hint="default" w:ascii="Times New Roman" w:hAnsi="Times New Roman" w:eastAsia="宋体" w:cs="Times New Roman"/>
                <w:bCs/>
                <w:caps/>
                <w:color w:val="000000" w:themeColor="text1"/>
                <w:szCs w:val="21"/>
                <w:highlight w:val="none"/>
                <w14:textFill>
                  <w14:solidFill>
                    <w14:schemeClr w14:val="tx1"/>
                  </w14:solidFill>
                </w14:textFill>
              </w:rPr>
              <w:t>序号</w:t>
            </w:r>
          </w:p>
        </w:tc>
        <w:tc>
          <w:tcPr>
            <w:tcW w:w="1410" w:type="dxa"/>
            <w:tcBorders>
              <w:tl2br w:val="nil"/>
              <w:tr2bl w:val="nil"/>
            </w:tcBorders>
            <w:noWrap w:val="0"/>
            <w:vAlign w:val="center"/>
          </w:tcPr>
          <w:p w14:paraId="31F9AB6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aps/>
                <w:color w:val="000000" w:themeColor="text1"/>
                <w:szCs w:val="21"/>
                <w:highlight w:val="none"/>
                <w14:textFill>
                  <w14:solidFill>
                    <w14:schemeClr w14:val="tx1"/>
                  </w14:solidFill>
                </w14:textFill>
              </w:rPr>
            </w:pPr>
            <w:r>
              <w:rPr>
                <w:rFonts w:hint="default" w:ascii="Times New Roman" w:hAnsi="Times New Roman" w:eastAsia="宋体" w:cs="Times New Roman"/>
                <w:bCs/>
                <w:caps/>
                <w:color w:val="000000" w:themeColor="text1"/>
                <w:szCs w:val="21"/>
                <w:highlight w:val="none"/>
                <w14:textFill>
                  <w14:solidFill>
                    <w14:schemeClr w14:val="tx1"/>
                  </w14:solidFill>
                </w14:textFill>
              </w:rPr>
              <w:t>环境要素</w:t>
            </w:r>
          </w:p>
        </w:tc>
        <w:tc>
          <w:tcPr>
            <w:tcW w:w="1776" w:type="dxa"/>
            <w:tcBorders>
              <w:tl2br w:val="nil"/>
              <w:tr2bl w:val="nil"/>
            </w:tcBorders>
            <w:noWrap w:val="0"/>
            <w:vAlign w:val="center"/>
          </w:tcPr>
          <w:p w14:paraId="2EFF04C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aps/>
                <w:color w:val="000000" w:themeColor="text1"/>
                <w:szCs w:val="21"/>
                <w:highlight w:val="none"/>
                <w14:textFill>
                  <w14:solidFill>
                    <w14:schemeClr w14:val="tx1"/>
                  </w14:solidFill>
                </w14:textFill>
              </w:rPr>
            </w:pPr>
            <w:r>
              <w:rPr>
                <w:rFonts w:hint="default" w:ascii="Times New Roman" w:hAnsi="Times New Roman" w:eastAsia="宋体" w:cs="Times New Roman"/>
                <w:bCs/>
                <w:caps/>
                <w:color w:val="000000" w:themeColor="text1"/>
                <w:szCs w:val="21"/>
                <w:highlight w:val="none"/>
                <w14:textFill>
                  <w14:solidFill>
                    <w14:schemeClr w14:val="tx1"/>
                  </w14:solidFill>
                </w14:textFill>
              </w:rPr>
              <w:t>评价等级</w:t>
            </w:r>
          </w:p>
        </w:tc>
        <w:tc>
          <w:tcPr>
            <w:tcW w:w="5467" w:type="dxa"/>
            <w:tcBorders>
              <w:tl2br w:val="nil"/>
              <w:tr2bl w:val="nil"/>
            </w:tcBorders>
            <w:noWrap w:val="0"/>
            <w:vAlign w:val="center"/>
          </w:tcPr>
          <w:p w14:paraId="1B4B165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aps/>
                <w:color w:val="000000" w:themeColor="text1"/>
                <w:szCs w:val="21"/>
                <w:highlight w:val="none"/>
                <w14:textFill>
                  <w14:solidFill>
                    <w14:schemeClr w14:val="tx1"/>
                  </w14:solidFill>
                </w14:textFill>
              </w:rPr>
            </w:pPr>
            <w:r>
              <w:rPr>
                <w:rFonts w:hint="default" w:ascii="Times New Roman" w:hAnsi="Times New Roman" w:eastAsia="宋体" w:cs="Times New Roman"/>
                <w:bCs/>
                <w:caps/>
                <w:color w:val="000000" w:themeColor="text1"/>
                <w:szCs w:val="21"/>
                <w:highlight w:val="none"/>
                <w14:textFill>
                  <w14:solidFill>
                    <w14:schemeClr w14:val="tx1"/>
                  </w14:solidFill>
                </w14:textFill>
              </w:rPr>
              <w:t>评价范围</w:t>
            </w:r>
          </w:p>
        </w:tc>
      </w:tr>
      <w:tr w14:paraId="770BAB7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821" w:type="dxa"/>
            <w:tcBorders>
              <w:tl2br w:val="nil"/>
              <w:tr2bl w:val="nil"/>
            </w:tcBorders>
            <w:noWrap w:val="0"/>
            <w:vAlign w:val="center"/>
          </w:tcPr>
          <w:p w14:paraId="1CCC20B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1</w:t>
            </w:r>
          </w:p>
        </w:tc>
        <w:tc>
          <w:tcPr>
            <w:tcW w:w="1410" w:type="dxa"/>
            <w:tcBorders>
              <w:tl2br w:val="nil"/>
              <w:tr2bl w:val="nil"/>
            </w:tcBorders>
            <w:noWrap w:val="0"/>
            <w:vAlign w:val="center"/>
          </w:tcPr>
          <w:p w14:paraId="431B540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环境空气</w:t>
            </w:r>
          </w:p>
        </w:tc>
        <w:tc>
          <w:tcPr>
            <w:tcW w:w="1776" w:type="dxa"/>
            <w:tcBorders>
              <w:tl2br w:val="nil"/>
              <w:tr2bl w:val="nil"/>
            </w:tcBorders>
            <w:noWrap w:val="0"/>
            <w:vAlign w:val="center"/>
          </w:tcPr>
          <w:p w14:paraId="241C9BC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二</w:t>
            </w:r>
            <w:r>
              <w:rPr>
                <w:rFonts w:hint="default" w:ascii="Times New Roman" w:hAnsi="Times New Roman" w:eastAsia="宋体" w:cs="Times New Roman"/>
                <w:color w:val="000000" w:themeColor="text1"/>
                <w:szCs w:val="21"/>
                <w:highlight w:val="none"/>
                <w:lang w:eastAsia="zh-CN"/>
                <w14:textFill>
                  <w14:solidFill>
                    <w14:schemeClr w14:val="tx1"/>
                  </w14:solidFill>
                </w14:textFill>
              </w:rPr>
              <w:t>级</w:t>
            </w:r>
          </w:p>
        </w:tc>
        <w:tc>
          <w:tcPr>
            <w:tcW w:w="5467" w:type="dxa"/>
            <w:tcBorders>
              <w:tl2br w:val="nil"/>
              <w:tr2bl w:val="nil"/>
            </w:tcBorders>
            <w:noWrap w:val="0"/>
            <w:vAlign w:val="center"/>
          </w:tcPr>
          <w:p w14:paraId="00D88EC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以</w:t>
            </w: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项目厂址为中心</w:t>
            </w:r>
            <w:r>
              <w:rPr>
                <w:rFonts w:hint="default" w:ascii="Times New Roman" w:hAnsi="Times New Roman" w:eastAsia="宋体" w:cs="Times New Roman"/>
                <w:color w:val="000000" w:themeColor="text1"/>
                <w:szCs w:val="21"/>
                <w:highlight w:val="none"/>
                <w14:textFill>
                  <w14:solidFill>
                    <w14:schemeClr w14:val="tx1"/>
                  </w14:solidFill>
                </w14:textFill>
              </w:rPr>
              <w:t>，</w:t>
            </w: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边长5km的矩形范围。</w:t>
            </w:r>
          </w:p>
        </w:tc>
      </w:tr>
      <w:tr w14:paraId="27EE74D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821" w:type="dxa"/>
            <w:tcBorders>
              <w:tl2br w:val="nil"/>
              <w:tr2bl w:val="nil"/>
            </w:tcBorders>
            <w:noWrap w:val="0"/>
            <w:vAlign w:val="center"/>
          </w:tcPr>
          <w:p w14:paraId="25F97CF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2</w:t>
            </w:r>
          </w:p>
        </w:tc>
        <w:tc>
          <w:tcPr>
            <w:tcW w:w="1410" w:type="dxa"/>
            <w:tcBorders>
              <w:tl2br w:val="nil"/>
              <w:tr2bl w:val="nil"/>
            </w:tcBorders>
            <w:noWrap w:val="0"/>
            <w:vAlign w:val="center"/>
          </w:tcPr>
          <w:p w14:paraId="0750260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声环境</w:t>
            </w:r>
          </w:p>
        </w:tc>
        <w:tc>
          <w:tcPr>
            <w:tcW w:w="1776" w:type="dxa"/>
            <w:tcBorders>
              <w:tl2br w:val="nil"/>
              <w:tr2bl w:val="nil"/>
            </w:tcBorders>
            <w:noWrap w:val="0"/>
            <w:vAlign w:val="center"/>
          </w:tcPr>
          <w:p w14:paraId="19CC382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Cs w:val="21"/>
                <w:highlight w:val="none"/>
                <w:lang w:eastAsia="zh-CN"/>
                <w14:textFill>
                  <w14:solidFill>
                    <w14:schemeClr w14:val="tx1"/>
                  </w14:solidFill>
                </w14:textFill>
              </w:rPr>
              <w:t>三级</w:t>
            </w:r>
          </w:p>
        </w:tc>
        <w:tc>
          <w:tcPr>
            <w:tcW w:w="5467" w:type="dxa"/>
            <w:tcBorders>
              <w:tl2br w:val="nil"/>
              <w:tr2bl w:val="nil"/>
            </w:tcBorders>
            <w:noWrap w:val="0"/>
            <w:vAlign w:val="center"/>
          </w:tcPr>
          <w:p w14:paraId="7A71F27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lang w:eastAsia="zh-CN"/>
                <w14:textFill>
                  <w14:solidFill>
                    <w14:schemeClr w14:val="tx1"/>
                  </w14:solidFill>
                </w14:textFill>
              </w:rPr>
              <w:t>四周</w:t>
            </w:r>
            <w:r>
              <w:rPr>
                <w:rFonts w:hint="default" w:ascii="Times New Roman" w:hAnsi="Times New Roman" w:eastAsia="宋体" w:cs="Times New Roman"/>
                <w:color w:val="000000" w:themeColor="text1"/>
                <w:szCs w:val="21"/>
                <w:highlight w:val="none"/>
                <w14:textFill>
                  <w14:solidFill>
                    <w14:schemeClr w14:val="tx1"/>
                  </w14:solidFill>
                </w14:textFill>
              </w:rPr>
              <w:t>厂界外</w:t>
            </w: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200</w:t>
            </w:r>
            <w:r>
              <w:rPr>
                <w:rFonts w:hint="default" w:ascii="Times New Roman" w:hAnsi="Times New Roman" w:eastAsia="宋体" w:cs="Times New Roman"/>
                <w:color w:val="000000" w:themeColor="text1"/>
                <w:szCs w:val="21"/>
                <w:highlight w:val="none"/>
                <w14:textFill>
                  <w14:solidFill>
                    <w14:schemeClr w14:val="tx1"/>
                  </w14:solidFill>
                </w14:textFill>
              </w:rPr>
              <w:t>m</w:t>
            </w:r>
          </w:p>
        </w:tc>
      </w:tr>
      <w:tr w14:paraId="2405DB0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821" w:type="dxa"/>
            <w:tcBorders>
              <w:tl2br w:val="nil"/>
              <w:tr2bl w:val="nil"/>
            </w:tcBorders>
            <w:noWrap w:val="0"/>
            <w:vAlign w:val="center"/>
          </w:tcPr>
          <w:p w14:paraId="4E02673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3</w:t>
            </w:r>
          </w:p>
        </w:tc>
        <w:tc>
          <w:tcPr>
            <w:tcW w:w="1410" w:type="dxa"/>
            <w:tcBorders>
              <w:tl2br w:val="nil"/>
              <w:tr2bl w:val="nil"/>
            </w:tcBorders>
            <w:noWrap w:val="0"/>
            <w:vAlign w:val="center"/>
          </w:tcPr>
          <w:p w14:paraId="2A4FBB2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Cs w:val="21"/>
                <w:highlight w:val="none"/>
                <w:lang w:eastAsia="zh-CN"/>
                <w14:textFill>
                  <w14:solidFill>
                    <w14:schemeClr w14:val="tx1"/>
                  </w14:solidFill>
                </w14:textFill>
              </w:rPr>
              <w:t>地表水</w:t>
            </w:r>
          </w:p>
        </w:tc>
        <w:tc>
          <w:tcPr>
            <w:tcW w:w="1776" w:type="dxa"/>
            <w:tcBorders>
              <w:tl2br w:val="nil"/>
              <w:tr2bl w:val="nil"/>
            </w:tcBorders>
            <w:noWrap w:val="0"/>
            <w:vAlign w:val="center"/>
          </w:tcPr>
          <w:p w14:paraId="0304D2E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三级B</w:t>
            </w:r>
          </w:p>
        </w:tc>
        <w:tc>
          <w:tcPr>
            <w:tcW w:w="5467" w:type="dxa"/>
            <w:tcBorders>
              <w:tl2br w:val="nil"/>
              <w:tr2bl w:val="nil"/>
            </w:tcBorders>
            <w:noWrap w:val="0"/>
            <w:vAlign w:val="center"/>
          </w:tcPr>
          <w:p w14:paraId="32E1A5A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w:t>
            </w:r>
          </w:p>
        </w:tc>
      </w:tr>
      <w:tr w14:paraId="6DA0EA0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821" w:type="dxa"/>
            <w:tcBorders>
              <w:tl2br w:val="nil"/>
              <w:tr2bl w:val="nil"/>
            </w:tcBorders>
            <w:noWrap w:val="0"/>
            <w:vAlign w:val="center"/>
          </w:tcPr>
          <w:p w14:paraId="29700DA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4</w:t>
            </w:r>
          </w:p>
        </w:tc>
        <w:tc>
          <w:tcPr>
            <w:tcW w:w="1410" w:type="dxa"/>
            <w:tcBorders>
              <w:tl2br w:val="nil"/>
              <w:tr2bl w:val="nil"/>
            </w:tcBorders>
            <w:noWrap w:val="0"/>
            <w:vAlign w:val="center"/>
          </w:tcPr>
          <w:p w14:paraId="0507753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地下水</w:t>
            </w:r>
          </w:p>
        </w:tc>
        <w:tc>
          <w:tcPr>
            <w:tcW w:w="1776" w:type="dxa"/>
            <w:tcBorders>
              <w:tl2br w:val="nil"/>
              <w:tr2bl w:val="nil"/>
            </w:tcBorders>
            <w:noWrap w:val="0"/>
            <w:vAlign w:val="center"/>
          </w:tcPr>
          <w:p w14:paraId="0F3DB32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一</w:t>
            </w:r>
            <w:r>
              <w:rPr>
                <w:rFonts w:hint="default" w:ascii="Times New Roman" w:hAnsi="Times New Roman" w:eastAsia="宋体" w:cs="Times New Roman"/>
                <w:color w:val="000000" w:themeColor="text1"/>
                <w:szCs w:val="21"/>
                <w:highlight w:val="none"/>
                <w:lang w:eastAsia="zh-CN"/>
                <w14:textFill>
                  <w14:solidFill>
                    <w14:schemeClr w14:val="tx1"/>
                  </w14:solidFill>
                </w14:textFill>
              </w:rPr>
              <w:t>级</w:t>
            </w:r>
          </w:p>
        </w:tc>
        <w:tc>
          <w:tcPr>
            <w:tcW w:w="5467" w:type="dxa"/>
            <w:tcBorders>
              <w:tl2br w:val="nil"/>
              <w:tr2bl w:val="nil"/>
            </w:tcBorders>
            <w:noWrap w:val="0"/>
            <w:vAlign w:val="center"/>
          </w:tcPr>
          <w:p w14:paraId="3BF782B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以项目厂址为中心，</w:t>
            </w:r>
            <w:r>
              <w:rPr>
                <w:rFonts w:hint="default" w:ascii="Times New Roman" w:hAnsi="Times New Roman" w:eastAsia="宋体" w:cs="Times New Roman"/>
                <w:color w:val="000000" w:themeColor="text1"/>
                <w:szCs w:val="21"/>
                <w:highlight w:val="none"/>
                <w14:textFill>
                  <w14:solidFill>
                    <w14:schemeClr w14:val="tx1"/>
                  </w14:solidFill>
                </w14:textFill>
              </w:rPr>
              <w:t>沿地下水主径流方向上游外扩</w:t>
            </w: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1.8km，下游外扩3.6km，侧向</w:t>
            </w:r>
            <w:r>
              <w:rPr>
                <w:rFonts w:hint="default" w:ascii="Times New Roman" w:hAnsi="Times New Roman" w:eastAsia="宋体" w:cs="Times New Roman"/>
                <w:color w:val="000000" w:themeColor="text1"/>
                <w:szCs w:val="21"/>
                <w:highlight w:val="none"/>
                <w:lang w:eastAsia="zh-CN"/>
                <w14:textFill>
                  <w14:solidFill>
                    <w14:schemeClr w14:val="tx1"/>
                  </w14:solidFill>
                </w14:textFill>
              </w:rPr>
              <w:t>各</w:t>
            </w: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1.8km的区域，评价面积约20.7km</w:t>
            </w:r>
            <w:r>
              <w:rPr>
                <w:rFonts w:hint="default" w:ascii="Times New Roman" w:hAnsi="Times New Roman" w:eastAsia="宋体" w:cs="Times New Roman"/>
                <w:color w:val="000000" w:themeColor="text1"/>
                <w:szCs w:val="21"/>
                <w:highlight w:val="none"/>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w:t>
            </w:r>
          </w:p>
        </w:tc>
      </w:tr>
      <w:tr w14:paraId="44D814B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4" w:hRule="atLeast"/>
          <w:jc w:val="center"/>
        </w:trPr>
        <w:tc>
          <w:tcPr>
            <w:tcW w:w="821" w:type="dxa"/>
            <w:tcBorders>
              <w:tl2br w:val="nil"/>
              <w:tr2bl w:val="nil"/>
            </w:tcBorders>
            <w:noWrap w:val="0"/>
            <w:vAlign w:val="center"/>
          </w:tcPr>
          <w:p w14:paraId="1382B31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5</w:t>
            </w:r>
          </w:p>
        </w:tc>
        <w:tc>
          <w:tcPr>
            <w:tcW w:w="1410" w:type="dxa"/>
            <w:tcBorders>
              <w:tl2br w:val="nil"/>
              <w:tr2bl w:val="nil"/>
            </w:tcBorders>
            <w:noWrap w:val="0"/>
            <w:vAlign w:val="center"/>
          </w:tcPr>
          <w:p w14:paraId="2F34373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环境风险</w:t>
            </w:r>
          </w:p>
        </w:tc>
        <w:tc>
          <w:tcPr>
            <w:tcW w:w="1776" w:type="dxa"/>
            <w:tcBorders>
              <w:tl2br w:val="nil"/>
              <w:tr2bl w:val="nil"/>
            </w:tcBorders>
            <w:noWrap w:val="0"/>
            <w:vAlign w:val="center"/>
          </w:tcPr>
          <w:p w14:paraId="1DA2DF0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简单分析</w:t>
            </w:r>
          </w:p>
        </w:tc>
        <w:tc>
          <w:tcPr>
            <w:tcW w:w="5467" w:type="dxa"/>
            <w:tcBorders>
              <w:tl2br w:val="nil"/>
              <w:tr2bl w:val="nil"/>
            </w:tcBorders>
            <w:noWrap w:val="0"/>
            <w:vAlign w:val="center"/>
          </w:tcPr>
          <w:p w14:paraId="75A3941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w:t>
            </w:r>
          </w:p>
        </w:tc>
      </w:tr>
      <w:tr w14:paraId="23AFC79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821" w:type="dxa"/>
            <w:tcBorders>
              <w:tl2br w:val="nil"/>
              <w:tr2bl w:val="nil"/>
            </w:tcBorders>
            <w:noWrap w:val="0"/>
            <w:vAlign w:val="center"/>
          </w:tcPr>
          <w:p w14:paraId="75B1440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t>6</w:t>
            </w:r>
          </w:p>
        </w:tc>
        <w:tc>
          <w:tcPr>
            <w:tcW w:w="1410" w:type="dxa"/>
            <w:tcBorders>
              <w:tl2br w:val="nil"/>
              <w:tr2bl w:val="nil"/>
            </w:tcBorders>
            <w:noWrap w:val="0"/>
            <w:vAlign w:val="center"/>
          </w:tcPr>
          <w:p w14:paraId="4BD1519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生态环境</w:t>
            </w:r>
          </w:p>
        </w:tc>
        <w:tc>
          <w:tcPr>
            <w:tcW w:w="1776" w:type="dxa"/>
            <w:tcBorders>
              <w:tl2br w:val="nil"/>
              <w:tr2bl w:val="nil"/>
            </w:tcBorders>
            <w:noWrap w:val="0"/>
            <w:vAlign w:val="center"/>
          </w:tcPr>
          <w:p w14:paraId="0814DD3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影响分析</w:t>
            </w:r>
          </w:p>
        </w:tc>
        <w:tc>
          <w:tcPr>
            <w:tcW w:w="5467" w:type="dxa"/>
            <w:tcBorders>
              <w:tl2br w:val="nil"/>
              <w:tr2bl w:val="nil"/>
            </w:tcBorders>
            <w:noWrap w:val="0"/>
            <w:vAlign w:val="center"/>
          </w:tcPr>
          <w:p w14:paraId="5BF07B3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厂址占地</w:t>
            </w:r>
            <w:r>
              <w:rPr>
                <w:rFonts w:hint="default" w:ascii="Times New Roman" w:hAnsi="Times New Roman" w:eastAsia="宋体" w:cs="Times New Roman"/>
                <w:color w:val="000000" w:themeColor="text1"/>
                <w:szCs w:val="21"/>
                <w:highlight w:val="none"/>
                <w:lang w:eastAsia="zh-CN"/>
                <w14:textFill>
                  <w14:solidFill>
                    <w14:schemeClr w14:val="tx1"/>
                  </w14:solidFill>
                </w14:textFill>
              </w:rPr>
              <w:t>范围</w:t>
            </w:r>
          </w:p>
        </w:tc>
      </w:tr>
      <w:tr w14:paraId="6068362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821" w:type="dxa"/>
            <w:tcBorders>
              <w:tl2br w:val="nil"/>
              <w:tr2bl w:val="nil"/>
            </w:tcBorders>
            <w:noWrap w:val="0"/>
            <w:vAlign w:val="center"/>
          </w:tcPr>
          <w:p w14:paraId="2495116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t>7</w:t>
            </w:r>
          </w:p>
        </w:tc>
        <w:tc>
          <w:tcPr>
            <w:tcW w:w="1410" w:type="dxa"/>
            <w:tcBorders>
              <w:tl2br w:val="nil"/>
              <w:tr2bl w:val="nil"/>
            </w:tcBorders>
            <w:noWrap w:val="0"/>
            <w:vAlign w:val="center"/>
          </w:tcPr>
          <w:p w14:paraId="39D83D0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Cs w:val="21"/>
                <w:highlight w:val="none"/>
                <w:lang w:eastAsia="zh-CN"/>
                <w14:textFill>
                  <w14:solidFill>
                    <w14:schemeClr w14:val="tx1"/>
                  </w14:solidFill>
                </w14:textFill>
              </w:rPr>
              <w:t>土壤环境</w:t>
            </w:r>
          </w:p>
        </w:tc>
        <w:tc>
          <w:tcPr>
            <w:tcW w:w="1776" w:type="dxa"/>
            <w:tcBorders>
              <w:tl2br w:val="nil"/>
              <w:tr2bl w:val="nil"/>
            </w:tcBorders>
            <w:noWrap w:val="0"/>
            <w:vAlign w:val="center"/>
          </w:tcPr>
          <w:p w14:paraId="642501B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三</w:t>
            </w:r>
            <w:r>
              <w:rPr>
                <w:rFonts w:hint="default" w:ascii="Times New Roman" w:hAnsi="Times New Roman" w:eastAsia="宋体" w:cs="Times New Roman"/>
                <w:color w:val="000000" w:themeColor="text1"/>
                <w:szCs w:val="21"/>
                <w:highlight w:val="none"/>
                <w:lang w:eastAsia="zh-CN"/>
                <w14:textFill>
                  <w14:solidFill>
                    <w14:schemeClr w14:val="tx1"/>
                  </w14:solidFill>
                </w14:textFill>
              </w:rPr>
              <w:t>级</w:t>
            </w:r>
          </w:p>
        </w:tc>
        <w:tc>
          <w:tcPr>
            <w:tcW w:w="5467" w:type="dxa"/>
            <w:tcBorders>
              <w:tl2br w:val="nil"/>
              <w:tr2bl w:val="nil"/>
            </w:tcBorders>
            <w:noWrap w:val="0"/>
            <w:vAlign w:val="center"/>
          </w:tcPr>
          <w:p w14:paraId="663D42C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Cs w:val="21"/>
                <w:highlight w:val="none"/>
                <w:lang w:eastAsia="zh-CN"/>
                <w14:textFill>
                  <w14:solidFill>
                    <w14:schemeClr w14:val="tx1"/>
                  </w14:solidFill>
                </w14:textFill>
              </w:rPr>
              <w:t>厂区及厂界外</w:t>
            </w: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50m</w:t>
            </w:r>
          </w:p>
        </w:tc>
      </w:tr>
    </w:tbl>
    <w:p w14:paraId="388BAFE8">
      <w:pPr>
        <w:pStyle w:val="7"/>
        <w:bidi w:val="0"/>
        <w:rPr>
          <w:rFonts w:hint="default"/>
        </w:rPr>
      </w:pPr>
      <w:bookmarkStart w:id="100" w:name="_Toc22642"/>
      <w:r>
        <w:rPr>
          <w:rFonts w:hint="default"/>
        </w:rPr>
        <w:t>2.6评价标准及环境保护目标</w:t>
      </w:r>
      <w:bookmarkEnd w:id="97"/>
      <w:bookmarkEnd w:id="100"/>
    </w:p>
    <w:p w14:paraId="312FD968">
      <w:pPr>
        <w:pStyle w:val="6"/>
        <w:keepNext/>
        <w:keepLines/>
        <w:pageBreakBefore w:val="0"/>
        <w:widowControl w:val="0"/>
        <w:kinsoku/>
        <w:wordWrap/>
        <w:overflowPunct/>
        <w:topLinePunct w:val="0"/>
        <w:autoSpaceDE/>
        <w:autoSpaceDN/>
        <w:bidi w:val="0"/>
        <w:adjustRightInd/>
        <w:snapToGrid/>
        <w:spacing w:before="0" w:beforeLines="0" w:after="0" w:afterLines="0" w:line="480" w:lineRule="exac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bookmarkStart w:id="101" w:name="_Toc498494534"/>
      <w:bookmarkStart w:id="102" w:name="_Toc498880236"/>
      <w:r>
        <w:rPr>
          <w:rFonts w:hint="default" w:ascii="Times New Roman" w:hAnsi="Times New Roman" w:eastAsia="宋体" w:cs="Times New Roman"/>
          <w:color w:val="000000" w:themeColor="text1"/>
          <w:sz w:val="24"/>
          <w:szCs w:val="24"/>
          <w:highlight w:val="none"/>
          <w14:textFill>
            <w14:solidFill>
              <w14:schemeClr w14:val="tx1"/>
            </w14:solidFill>
          </w14:textFill>
        </w:rPr>
        <w:t>2.6.1评价标准</w:t>
      </w:r>
      <w:bookmarkEnd w:id="101"/>
      <w:bookmarkEnd w:id="102"/>
    </w:p>
    <w:p w14:paraId="0E7DD962">
      <w:pPr>
        <w:pStyle w:val="8"/>
        <w:bidi w:val="0"/>
        <w:outlineLvl w:val="3"/>
        <w:rPr>
          <w:rFonts w:hint="default" w:ascii="Times New Roman" w:hAnsi="Times New Roman" w:cs="Times New Roman"/>
        </w:rPr>
      </w:pPr>
      <w:r>
        <w:rPr>
          <w:rFonts w:hint="default" w:ascii="Times New Roman" w:hAnsi="Times New Roman" w:cs="Times New Roman"/>
        </w:rPr>
        <w:t>2.6.1.1环境质量标准</w:t>
      </w:r>
    </w:p>
    <w:p w14:paraId="5091D47F">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 w:val="24"/>
          <w:highlight w:val="none"/>
          <w14:textFill>
            <w14:solidFill>
              <w14:schemeClr w14:val="tx1"/>
            </w14:solidFill>
          </w14:textFill>
        </w:rPr>
        <w:t>(1)</w:t>
      </w:r>
      <w:r>
        <w:rPr>
          <w:rFonts w:hint="default" w:ascii="Times New Roman" w:hAnsi="Times New Roman" w:eastAsia="宋体" w:cs="Times New Roman"/>
          <w:color w:val="000000" w:themeColor="text1"/>
          <w:sz w:val="24"/>
          <w:highlight w:val="none"/>
          <w14:textFill>
            <w14:solidFill>
              <w14:schemeClr w14:val="tx1"/>
            </w14:solidFill>
          </w14:textFill>
        </w:rPr>
        <w:t>环境空气</w:t>
      </w:r>
    </w:p>
    <w:p w14:paraId="59D070FE">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eastAsia" w:ascii="Times New Roman" w:hAnsi="Times New Roman" w:eastAsia="宋体" w:cs="Times New Roman"/>
          <w:color w:val="000000" w:themeColor="text1"/>
          <w:sz w:val="24"/>
          <w:highlight w:val="green"/>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环境空气质量：执行《环境空气质量标准》（GB3095-2012）中的二级标准及修改单；硫化氢、氨执行《环境影响评价技术导则－大气环境》（HJ2.2-2018）附录D其他污染物空气质量浓度参考限值要求。</w:t>
      </w:r>
    </w:p>
    <w:p w14:paraId="5B0D95F4">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 w:val="24"/>
          <w:highlight w:val="none"/>
          <w14:textFill>
            <w14:solidFill>
              <w14:schemeClr w14:val="tx1"/>
            </w14:solidFill>
          </w14:textFill>
        </w:rPr>
        <w:t>(2)</w:t>
      </w:r>
      <w:r>
        <w:rPr>
          <w:rFonts w:hint="default" w:ascii="Times New Roman" w:hAnsi="Times New Roman" w:eastAsia="宋体" w:cs="Times New Roman"/>
          <w:color w:val="000000" w:themeColor="text1"/>
          <w:sz w:val="24"/>
          <w:highlight w:val="none"/>
          <w14:textFill>
            <w14:solidFill>
              <w14:schemeClr w14:val="tx1"/>
            </w14:solidFill>
          </w14:textFill>
        </w:rPr>
        <w:t>声环境</w:t>
      </w:r>
    </w:p>
    <w:p w14:paraId="41363C92">
      <w:pPr>
        <w:autoSpaceDE w:val="0"/>
        <w:autoSpaceDN w:val="0"/>
        <w:adjustRightInd w:val="0"/>
        <w:snapToGrid w:val="0"/>
        <w:spacing w:line="480" w:lineRule="exact"/>
        <w:ind w:firstLine="480" w:firstLineChars="200"/>
        <w:rPr>
          <w:rFonts w:hint="default" w:ascii="Times New Roman" w:hAnsi="Times New Roman" w:eastAsia="宋体" w:cs="Times New Roman"/>
          <w:color w:val="000000" w:themeColor="text1"/>
          <w:kern w:val="0"/>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项目所在地声环境执行《声环境质量标准》（GB3096-2008）3类区标准</w:t>
      </w:r>
      <w:r>
        <w:rPr>
          <w:rFonts w:hint="default"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w:t>
      </w:r>
    </w:p>
    <w:p w14:paraId="5B9F7877">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 w:val="24"/>
          <w:highlight w:val="none"/>
          <w14:textFill>
            <w14:solidFill>
              <w14:schemeClr w14:val="tx1"/>
            </w14:solidFill>
          </w14:textFill>
        </w:rPr>
        <w:t>(3)</w:t>
      </w:r>
      <w:r>
        <w:rPr>
          <w:rFonts w:hint="default" w:ascii="Times New Roman" w:hAnsi="Times New Roman" w:eastAsia="宋体" w:cs="Times New Roman"/>
          <w:color w:val="000000" w:themeColor="text1"/>
          <w:sz w:val="24"/>
          <w:highlight w:val="none"/>
          <w14:textFill>
            <w14:solidFill>
              <w14:schemeClr w14:val="tx1"/>
            </w14:solidFill>
          </w14:textFill>
        </w:rPr>
        <w:t>地下水环境</w:t>
      </w:r>
    </w:p>
    <w:p w14:paraId="655C285B">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区域地下水执行</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《地下水质量标准》(GB/T14848-</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2017</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)Ⅲ类标准，石油类</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参照</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执行《地表水环境质量标准》（GB3838-2002）Ⅲ类标准。</w:t>
      </w:r>
    </w:p>
    <w:p w14:paraId="3568F512">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(4)土壤</w:t>
      </w:r>
    </w:p>
    <w:p w14:paraId="164F2272">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厂区内</w:t>
      </w:r>
      <w:r>
        <w:rPr>
          <w:rFonts w:hint="default" w:ascii="Times New Roman" w:hAnsi="Times New Roman" w:eastAsia="宋体" w:cs="Times New Roman"/>
          <w:color w:val="000000" w:themeColor="text1"/>
          <w:sz w:val="24"/>
          <w:highlight w:val="none"/>
          <w14:textFill>
            <w14:solidFill>
              <w14:schemeClr w14:val="tx1"/>
            </w14:solidFill>
          </w14:textFill>
        </w:rPr>
        <w:t>执行《土壤环境质量建设用地土壤污染风险管控标准（试行）》（GB36600-2018）中第二类用地筛选值限值要求</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氨氮执行《建设用地土壤污染风险筛选值》（DB13/T5216-2022）中第二类用地筛选值</w:t>
      </w:r>
      <w:r>
        <w:rPr>
          <w:rFonts w:hint="default" w:ascii="Times New Roman" w:hAnsi="Times New Roman" w:eastAsia="宋体" w:cs="Times New Roman"/>
          <w:color w:val="000000" w:themeColor="text1"/>
          <w:sz w:val="24"/>
          <w:highlight w:val="none"/>
          <w14:textFill>
            <w14:solidFill>
              <w14:schemeClr w14:val="tx1"/>
            </w14:solidFill>
          </w14:textFill>
        </w:rPr>
        <w:t>。</w:t>
      </w:r>
    </w:p>
    <w:p w14:paraId="47C1D2B5">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环境质量标准限值见表2.6-1~表2.6-</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tbl>
      <w:tblPr>
        <w:tblStyle w:val="47"/>
        <w:tblpPr w:leftFromText="180" w:rightFromText="180" w:vertAnchor="text" w:horzAnchor="page" w:tblpX="1348" w:tblpY="480"/>
        <w:tblOverlap w:val="never"/>
        <w:tblW w:w="4998"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933"/>
        <w:gridCol w:w="1316"/>
        <w:gridCol w:w="2245"/>
        <w:gridCol w:w="1979"/>
        <w:gridCol w:w="2625"/>
      </w:tblGrid>
      <w:tr w14:paraId="0991676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13" w:type="pct"/>
            <w:tcBorders>
              <w:tl2br w:val="nil"/>
              <w:tr2bl w:val="nil"/>
            </w:tcBorders>
            <w:noWrap w:val="0"/>
            <w:vAlign w:val="center"/>
          </w:tcPr>
          <w:p w14:paraId="40BE3355">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环境要素</w:t>
            </w:r>
          </w:p>
        </w:tc>
        <w:tc>
          <w:tcPr>
            <w:tcW w:w="723" w:type="pct"/>
            <w:tcBorders>
              <w:tl2br w:val="nil"/>
              <w:tr2bl w:val="nil"/>
            </w:tcBorders>
            <w:noWrap w:val="0"/>
            <w:vAlign w:val="center"/>
          </w:tcPr>
          <w:p w14:paraId="6DB622FF">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污染物</w:t>
            </w:r>
          </w:p>
        </w:tc>
        <w:tc>
          <w:tcPr>
            <w:tcW w:w="1233" w:type="pct"/>
            <w:tcBorders>
              <w:tl2br w:val="nil"/>
              <w:tr2bl w:val="nil"/>
            </w:tcBorders>
            <w:noWrap w:val="0"/>
            <w:vAlign w:val="center"/>
          </w:tcPr>
          <w:p w14:paraId="1FAEA9F6">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取值时间</w:t>
            </w:r>
          </w:p>
        </w:tc>
        <w:tc>
          <w:tcPr>
            <w:tcW w:w="1087" w:type="pct"/>
            <w:tcBorders>
              <w:tl2br w:val="nil"/>
              <w:tr2bl w:val="nil"/>
            </w:tcBorders>
            <w:noWrap w:val="0"/>
            <w:vAlign w:val="center"/>
          </w:tcPr>
          <w:p w14:paraId="63DCCC48">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lang w:eastAsia="zh-CN"/>
              </w:rPr>
              <w:t>二级</w:t>
            </w:r>
            <w:r>
              <w:rPr>
                <w:rFonts w:hint="default" w:ascii="Times New Roman" w:hAnsi="Times New Roman" w:cs="Times New Roman" w:eastAsiaTheme="minorEastAsia"/>
                <w:sz w:val="21"/>
                <w:szCs w:val="21"/>
                <w:highlight w:val="none"/>
              </w:rPr>
              <w:t>标准值</w:t>
            </w:r>
          </w:p>
        </w:tc>
        <w:tc>
          <w:tcPr>
            <w:tcW w:w="1442" w:type="pct"/>
            <w:tcBorders>
              <w:tl2br w:val="nil"/>
              <w:tr2bl w:val="nil"/>
            </w:tcBorders>
            <w:noWrap w:val="0"/>
            <w:vAlign w:val="center"/>
          </w:tcPr>
          <w:p w14:paraId="73AFF599">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标准来源</w:t>
            </w:r>
          </w:p>
        </w:tc>
      </w:tr>
      <w:tr w14:paraId="5328DD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13" w:type="pct"/>
            <w:vMerge w:val="restart"/>
            <w:tcBorders>
              <w:tl2br w:val="nil"/>
              <w:tr2bl w:val="nil"/>
            </w:tcBorders>
            <w:noWrap w:val="0"/>
            <w:vAlign w:val="center"/>
          </w:tcPr>
          <w:p w14:paraId="25CB9370">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环</w:t>
            </w:r>
          </w:p>
          <w:p w14:paraId="06884773">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境</w:t>
            </w:r>
          </w:p>
          <w:p w14:paraId="0738FA87">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空</w:t>
            </w:r>
          </w:p>
          <w:p w14:paraId="3740CE4C">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气</w:t>
            </w:r>
          </w:p>
        </w:tc>
        <w:tc>
          <w:tcPr>
            <w:tcW w:w="723" w:type="pct"/>
            <w:vMerge w:val="restart"/>
            <w:tcBorders>
              <w:tl2br w:val="nil"/>
              <w:tr2bl w:val="nil"/>
            </w:tcBorders>
            <w:noWrap w:val="0"/>
            <w:vAlign w:val="center"/>
          </w:tcPr>
          <w:p w14:paraId="740836D8">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TSP</w:t>
            </w:r>
          </w:p>
        </w:tc>
        <w:tc>
          <w:tcPr>
            <w:tcW w:w="1233" w:type="pct"/>
            <w:tcBorders>
              <w:tl2br w:val="nil"/>
              <w:tr2bl w:val="nil"/>
            </w:tcBorders>
            <w:noWrap w:val="0"/>
            <w:vAlign w:val="center"/>
          </w:tcPr>
          <w:p w14:paraId="35F74BBF">
            <w:pPr>
              <w:pStyle w:val="58"/>
              <w:bidi w:val="0"/>
              <w:jc w:val="center"/>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rPr>
              <w:t>年平均</w:t>
            </w:r>
          </w:p>
        </w:tc>
        <w:tc>
          <w:tcPr>
            <w:tcW w:w="1087" w:type="pct"/>
            <w:tcBorders>
              <w:tl2br w:val="nil"/>
              <w:tr2bl w:val="nil"/>
            </w:tcBorders>
            <w:noWrap w:val="0"/>
            <w:vAlign w:val="center"/>
          </w:tcPr>
          <w:p w14:paraId="4E151773">
            <w:pPr>
              <w:pStyle w:val="58"/>
              <w:bidi w:val="0"/>
              <w:jc w:val="center"/>
              <w:rPr>
                <w:rFonts w:hint="eastAsia"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rPr>
              <w:t>200μg/</w:t>
            </w:r>
            <w:r>
              <w:rPr>
                <w:rFonts w:hint="eastAsia" w:cs="Times New Roman" w:eastAsiaTheme="minorEastAsia"/>
                <w:sz w:val="21"/>
                <w:szCs w:val="21"/>
                <w:highlight w:val="none"/>
                <w:lang w:eastAsia="zh-CN"/>
              </w:rPr>
              <w:t>m</w:t>
            </w:r>
            <w:r>
              <w:rPr>
                <w:rFonts w:hint="eastAsia" w:cs="Times New Roman" w:eastAsiaTheme="minorEastAsia"/>
                <w:sz w:val="21"/>
                <w:szCs w:val="21"/>
                <w:highlight w:val="none"/>
                <w:vertAlign w:val="superscript"/>
                <w:lang w:eastAsia="zh-CN"/>
              </w:rPr>
              <w:t>3</w:t>
            </w:r>
          </w:p>
        </w:tc>
        <w:tc>
          <w:tcPr>
            <w:tcW w:w="1442" w:type="pct"/>
            <w:vMerge w:val="restart"/>
            <w:tcBorders>
              <w:tl2br w:val="nil"/>
              <w:tr2bl w:val="nil"/>
            </w:tcBorders>
            <w:noWrap w:val="0"/>
            <w:vAlign w:val="center"/>
          </w:tcPr>
          <w:p w14:paraId="06349FAC">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《环境空气质量标准》（GB3095-2012）</w:t>
            </w:r>
            <w:r>
              <w:rPr>
                <w:rFonts w:hint="default" w:ascii="Times New Roman" w:hAnsi="Times New Roman" w:cs="Times New Roman" w:eastAsiaTheme="minorEastAsia"/>
                <w:sz w:val="21"/>
                <w:szCs w:val="21"/>
                <w:highlight w:val="none"/>
                <w:lang w:eastAsia="zh-CN"/>
              </w:rPr>
              <w:t>二级标准及</w:t>
            </w:r>
            <w:r>
              <w:rPr>
                <w:rFonts w:hint="default" w:ascii="Times New Roman" w:hAnsi="Times New Roman" w:cs="Times New Roman" w:eastAsiaTheme="minorEastAsia"/>
                <w:sz w:val="21"/>
                <w:szCs w:val="21"/>
                <w:highlight w:val="none"/>
              </w:rPr>
              <w:t>修改单</w:t>
            </w:r>
          </w:p>
        </w:tc>
      </w:tr>
      <w:tr w14:paraId="69CCA91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13" w:type="pct"/>
            <w:vMerge w:val="continue"/>
            <w:tcBorders>
              <w:tl2br w:val="nil"/>
              <w:tr2bl w:val="nil"/>
            </w:tcBorders>
            <w:noWrap w:val="0"/>
            <w:vAlign w:val="center"/>
          </w:tcPr>
          <w:p w14:paraId="1F98855A">
            <w:pPr>
              <w:pStyle w:val="58"/>
              <w:bidi w:val="0"/>
              <w:jc w:val="center"/>
              <w:rPr>
                <w:rFonts w:hint="default" w:ascii="Times New Roman" w:hAnsi="Times New Roman" w:cs="Times New Roman" w:eastAsiaTheme="minorEastAsia"/>
                <w:sz w:val="21"/>
                <w:szCs w:val="21"/>
                <w:highlight w:val="none"/>
              </w:rPr>
            </w:pPr>
          </w:p>
        </w:tc>
        <w:tc>
          <w:tcPr>
            <w:tcW w:w="723" w:type="pct"/>
            <w:vMerge w:val="continue"/>
            <w:tcBorders>
              <w:tl2br w:val="nil"/>
              <w:tr2bl w:val="nil"/>
            </w:tcBorders>
            <w:noWrap w:val="0"/>
            <w:vAlign w:val="center"/>
          </w:tcPr>
          <w:p w14:paraId="25DC0E30">
            <w:pPr>
              <w:pStyle w:val="58"/>
              <w:bidi w:val="0"/>
              <w:jc w:val="center"/>
              <w:rPr>
                <w:rFonts w:hint="default" w:ascii="Times New Roman" w:hAnsi="Times New Roman" w:cs="Times New Roman" w:eastAsiaTheme="minorEastAsia"/>
                <w:sz w:val="21"/>
                <w:szCs w:val="21"/>
                <w:highlight w:val="none"/>
              </w:rPr>
            </w:pPr>
          </w:p>
        </w:tc>
        <w:tc>
          <w:tcPr>
            <w:tcW w:w="1233" w:type="pct"/>
            <w:tcBorders>
              <w:tl2br w:val="nil"/>
              <w:tr2bl w:val="nil"/>
            </w:tcBorders>
            <w:noWrap w:val="0"/>
            <w:vAlign w:val="center"/>
          </w:tcPr>
          <w:p w14:paraId="0A469C69">
            <w:pPr>
              <w:pStyle w:val="58"/>
              <w:bidi w:val="0"/>
              <w:jc w:val="center"/>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rPr>
              <w:t>24小时平均</w:t>
            </w:r>
          </w:p>
        </w:tc>
        <w:tc>
          <w:tcPr>
            <w:tcW w:w="1087" w:type="pct"/>
            <w:tcBorders>
              <w:tl2br w:val="nil"/>
              <w:tr2bl w:val="nil"/>
            </w:tcBorders>
            <w:noWrap w:val="0"/>
            <w:vAlign w:val="center"/>
          </w:tcPr>
          <w:p w14:paraId="74407AB2">
            <w:pPr>
              <w:pStyle w:val="58"/>
              <w:bidi w:val="0"/>
              <w:jc w:val="center"/>
              <w:rPr>
                <w:rFonts w:hint="eastAsia"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rPr>
              <w:t>300μg/</w:t>
            </w:r>
            <w:r>
              <w:rPr>
                <w:rFonts w:hint="eastAsia" w:cs="Times New Roman" w:eastAsiaTheme="minorEastAsia"/>
                <w:sz w:val="21"/>
                <w:szCs w:val="21"/>
                <w:highlight w:val="none"/>
                <w:lang w:eastAsia="zh-CN"/>
              </w:rPr>
              <w:t>m</w:t>
            </w:r>
            <w:r>
              <w:rPr>
                <w:rFonts w:hint="eastAsia" w:cs="Times New Roman" w:eastAsiaTheme="minorEastAsia"/>
                <w:sz w:val="21"/>
                <w:szCs w:val="21"/>
                <w:highlight w:val="none"/>
                <w:vertAlign w:val="superscript"/>
                <w:lang w:eastAsia="zh-CN"/>
              </w:rPr>
              <w:t>3</w:t>
            </w:r>
          </w:p>
        </w:tc>
        <w:tc>
          <w:tcPr>
            <w:tcW w:w="1442" w:type="pct"/>
            <w:vMerge w:val="continue"/>
            <w:tcBorders>
              <w:tl2br w:val="nil"/>
              <w:tr2bl w:val="nil"/>
            </w:tcBorders>
            <w:noWrap w:val="0"/>
            <w:vAlign w:val="center"/>
          </w:tcPr>
          <w:p w14:paraId="533DFC3E">
            <w:pPr>
              <w:pStyle w:val="58"/>
              <w:bidi w:val="0"/>
              <w:jc w:val="center"/>
              <w:rPr>
                <w:rFonts w:hint="default" w:ascii="Times New Roman" w:hAnsi="Times New Roman" w:cs="Times New Roman" w:eastAsiaTheme="minorEastAsia"/>
                <w:sz w:val="21"/>
                <w:szCs w:val="21"/>
                <w:highlight w:val="none"/>
              </w:rPr>
            </w:pPr>
          </w:p>
        </w:tc>
      </w:tr>
      <w:tr w14:paraId="0297C6E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13" w:type="pct"/>
            <w:vMerge w:val="continue"/>
            <w:tcBorders>
              <w:tl2br w:val="nil"/>
              <w:tr2bl w:val="nil"/>
            </w:tcBorders>
            <w:noWrap w:val="0"/>
            <w:vAlign w:val="center"/>
          </w:tcPr>
          <w:p w14:paraId="4CCED172">
            <w:pPr>
              <w:pStyle w:val="58"/>
              <w:bidi w:val="0"/>
              <w:jc w:val="center"/>
              <w:rPr>
                <w:rFonts w:hint="default" w:ascii="Times New Roman" w:hAnsi="Times New Roman" w:cs="Times New Roman" w:eastAsiaTheme="minorEastAsia"/>
                <w:sz w:val="21"/>
                <w:szCs w:val="21"/>
                <w:highlight w:val="none"/>
              </w:rPr>
            </w:pPr>
          </w:p>
        </w:tc>
        <w:tc>
          <w:tcPr>
            <w:tcW w:w="723" w:type="pct"/>
            <w:vMerge w:val="restart"/>
            <w:tcBorders>
              <w:tl2br w:val="nil"/>
              <w:tr2bl w:val="nil"/>
            </w:tcBorders>
            <w:noWrap w:val="0"/>
            <w:vAlign w:val="center"/>
          </w:tcPr>
          <w:p w14:paraId="1ABABF8D">
            <w:pPr>
              <w:pStyle w:val="58"/>
              <w:bidi w:val="0"/>
              <w:jc w:val="center"/>
              <w:rPr>
                <w:rFonts w:hint="eastAsia" w:ascii="Times New Roman" w:hAnsi="Times New Roman" w:cs="Times New Roman" w:eastAsiaTheme="minorEastAsia"/>
                <w:sz w:val="21"/>
                <w:szCs w:val="21"/>
                <w:highlight w:val="none"/>
                <w:lang w:eastAsia="zh-CN"/>
              </w:rPr>
            </w:pPr>
            <w:r>
              <w:rPr>
                <w:rFonts w:hint="eastAsia" w:cs="Times New Roman" w:eastAsiaTheme="minorEastAsia"/>
                <w:sz w:val="21"/>
                <w:szCs w:val="21"/>
                <w:highlight w:val="none"/>
                <w:lang w:eastAsia="zh-CN"/>
              </w:rPr>
              <w:t>PM</w:t>
            </w:r>
            <w:r>
              <w:rPr>
                <w:rFonts w:hint="eastAsia" w:cs="Times New Roman" w:eastAsiaTheme="minorEastAsia"/>
                <w:sz w:val="21"/>
                <w:szCs w:val="21"/>
                <w:highlight w:val="none"/>
                <w:vertAlign w:val="subscript"/>
                <w:lang w:eastAsia="zh-CN"/>
              </w:rPr>
              <w:t>10</w:t>
            </w:r>
          </w:p>
        </w:tc>
        <w:tc>
          <w:tcPr>
            <w:tcW w:w="1233" w:type="pct"/>
            <w:tcBorders>
              <w:tl2br w:val="nil"/>
              <w:tr2bl w:val="nil"/>
            </w:tcBorders>
            <w:noWrap w:val="0"/>
            <w:vAlign w:val="center"/>
          </w:tcPr>
          <w:p w14:paraId="36D6BBF9">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年平均</w:t>
            </w:r>
          </w:p>
        </w:tc>
        <w:tc>
          <w:tcPr>
            <w:tcW w:w="1087" w:type="pct"/>
            <w:tcBorders>
              <w:tl2br w:val="nil"/>
              <w:tr2bl w:val="nil"/>
            </w:tcBorders>
            <w:noWrap w:val="0"/>
            <w:vAlign w:val="center"/>
          </w:tcPr>
          <w:p w14:paraId="4E1D5246">
            <w:pPr>
              <w:pStyle w:val="58"/>
              <w:bidi w:val="0"/>
              <w:jc w:val="center"/>
              <w:rPr>
                <w:rFonts w:hint="eastAsia" w:ascii="Times New Roman" w:hAnsi="Times New Roman" w:cs="Times New Roman" w:eastAsiaTheme="minorEastAsia"/>
                <w:sz w:val="21"/>
                <w:szCs w:val="21"/>
                <w:highlight w:val="none"/>
                <w:lang w:eastAsia="zh-CN"/>
              </w:rPr>
            </w:pPr>
            <w:r>
              <w:rPr>
                <w:rFonts w:hint="default" w:ascii="Times New Roman" w:hAnsi="Times New Roman" w:cs="Times New Roman" w:eastAsiaTheme="minorEastAsia"/>
                <w:sz w:val="21"/>
                <w:szCs w:val="21"/>
                <w:highlight w:val="none"/>
              </w:rPr>
              <w:t>70μg/</w:t>
            </w:r>
            <w:r>
              <w:rPr>
                <w:rFonts w:hint="eastAsia" w:cs="Times New Roman" w:eastAsiaTheme="minorEastAsia"/>
                <w:sz w:val="21"/>
                <w:szCs w:val="21"/>
                <w:highlight w:val="none"/>
                <w:lang w:eastAsia="zh-CN"/>
              </w:rPr>
              <w:t>m</w:t>
            </w:r>
            <w:r>
              <w:rPr>
                <w:rFonts w:hint="eastAsia" w:cs="Times New Roman" w:eastAsiaTheme="minorEastAsia"/>
                <w:sz w:val="21"/>
                <w:szCs w:val="21"/>
                <w:highlight w:val="none"/>
                <w:vertAlign w:val="superscript"/>
                <w:lang w:eastAsia="zh-CN"/>
              </w:rPr>
              <w:t>3</w:t>
            </w:r>
          </w:p>
        </w:tc>
        <w:tc>
          <w:tcPr>
            <w:tcW w:w="1442" w:type="pct"/>
            <w:vMerge w:val="continue"/>
            <w:tcBorders>
              <w:tl2br w:val="nil"/>
              <w:tr2bl w:val="nil"/>
            </w:tcBorders>
            <w:noWrap w:val="0"/>
            <w:vAlign w:val="center"/>
          </w:tcPr>
          <w:p w14:paraId="5BB1EEE2">
            <w:pPr>
              <w:pStyle w:val="58"/>
              <w:bidi w:val="0"/>
              <w:jc w:val="center"/>
              <w:rPr>
                <w:rFonts w:hint="default" w:ascii="Times New Roman" w:hAnsi="Times New Roman" w:cs="Times New Roman" w:eastAsiaTheme="minorEastAsia"/>
                <w:sz w:val="21"/>
                <w:szCs w:val="21"/>
                <w:highlight w:val="none"/>
              </w:rPr>
            </w:pPr>
          </w:p>
        </w:tc>
      </w:tr>
      <w:tr w14:paraId="4294FA3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13" w:type="pct"/>
            <w:vMerge w:val="continue"/>
            <w:tcBorders>
              <w:tl2br w:val="nil"/>
              <w:tr2bl w:val="nil"/>
            </w:tcBorders>
            <w:noWrap w:val="0"/>
            <w:vAlign w:val="center"/>
          </w:tcPr>
          <w:p w14:paraId="50059956">
            <w:pPr>
              <w:pStyle w:val="58"/>
              <w:bidi w:val="0"/>
              <w:jc w:val="center"/>
              <w:rPr>
                <w:rFonts w:hint="default" w:ascii="Times New Roman" w:hAnsi="Times New Roman" w:cs="Times New Roman" w:eastAsiaTheme="minorEastAsia"/>
                <w:sz w:val="21"/>
                <w:szCs w:val="21"/>
                <w:highlight w:val="none"/>
              </w:rPr>
            </w:pPr>
          </w:p>
        </w:tc>
        <w:tc>
          <w:tcPr>
            <w:tcW w:w="723" w:type="pct"/>
            <w:vMerge w:val="continue"/>
            <w:tcBorders>
              <w:tl2br w:val="nil"/>
              <w:tr2bl w:val="nil"/>
            </w:tcBorders>
            <w:noWrap w:val="0"/>
            <w:vAlign w:val="center"/>
          </w:tcPr>
          <w:p w14:paraId="4341D4CB">
            <w:pPr>
              <w:pStyle w:val="58"/>
              <w:bidi w:val="0"/>
              <w:jc w:val="center"/>
              <w:rPr>
                <w:rFonts w:hint="default" w:ascii="Times New Roman" w:hAnsi="Times New Roman" w:cs="Times New Roman" w:eastAsiaTheme="minorEastAsia"/>
                <w:sz w:val="21"/>
                <w:szCs w:val="21"/>
                <w:highlight w:val="none"/>
              </w:rPr>
            </w:pPr>
          </w:p>
        </w:tc>
        <w:tc>
          <w:tcPr>
            <w:tcW w:w="1233" w:type="pct"/>
            <w:tcBorders>
              <w:tl2br w:val="nil"/>
              <w:tr2bl w:val="nil"/>
            </w:tcBorders>
            <w:noWrap w:val="0"/>
            <w:vAlign w:val="center"/>
          </w:tcPr>
          <w:p w14:paraId="20D6396A">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24小时平均</w:t>
            </w:r>
          </w:p>
        </w:tc>
        <w:tc>
          <w:tcPr>
            <w:tcW w:w="1087" w:type="pct"/>
            <w:tcBorders>
              <w:tl2br w:val="nil"/>
              <w:tr2bl w:val="nil"/>
            </w:tcBorders>
            <w:noWrap w:val="0"/>
            <w:vAlign w:val="center"/>
          </w:tcPr>
          <w:p w14:paraId="7D6174CD">
            <w:pPr>
              <w:pStyle w:val="58"/>
              <w:bidi w:val="0"/>
              <w:jc w:val="center"/>
              <w:rPr>
                <w:rFonts w:hint="eastAsia" w:ascii="Times New Roman" w:hAnsi="Times New Roman" w:cs="Times New Roman" w:eastAsiaTheme="minorEastAsia"/>
                <w:sz w:val="21"/>
                <w:szCs w:val="21"/>
                <w:highlight w:val="none"/>
                <w:lang w:eastAsia="zh-CN"/>
              </w:rPr>
            </w:pPr>
            <w:r>
              <w:rPr>
                <w:rFonts w:hint="default" w:ascii="Times New Roman" w:hAnsi="Times New Roman" w:cs="Times New Roman" w:eastAsiaTheme="minorEastAsia"/>
                <w:sz w:val="21"/>
                <w:szCs w:val="21"/>
                <w:highlight w:val="none"/>
              </w:rPr>
              <w:t>150μg/</w:t>
            </w:r>
            <w:r>
              <w:rPr>
                <w:rFonts w:hint="eastAsia" w:cs="Times New Roman" w:eastAsiaTheme="minorEastAsia"/>
                <w:sz w:val="21"/>
                <w:szCs w:val="21"/>
                <w:highlight w:val="none"/>
                <w:lang w:eastAsia="zh-CN"/>
              </w:rPr>
              <w:t>m</w:t>
            </w:r>
            <w:r>
              <w:rPr>
                <w:rFonts w:hint="eastAsia" w:cs="Times New Roman" w:eastAsiaTheme="minorEastAsia"/>
                <w:sz w:val="21"/>
                <w:szCs w:val="21"/>
                <w:highlight w:val="none"/>
                <w:vertAlign w:val="superscript"/>
                <w:lang w:eastAsia="zh-CN"/>
              </w:rPr>
              <w:t>3</w:t>
            </w:r>
          </w:p>
        </w:tc>
        <w:tc>
          <w:tcPr>
            <w:tcW w:w="1442" w:type="pct"/>
            <w:vMerge w:val="continue"/>
            <w:tcBorders>
              <w:tl2br w:val="nil"/>
              <w:tr2bl w:val="nil"/>
            </w:tcBorders>
            <w:noWrap w:val="0"/>
            <w:vAlign w:val="center"/>
          </w:tcPr>
          <w:p w14:paraId="2CC7FA33">
            <w:pPr>
              <w:pStyle w:val="58"/>
              <w:bidi w:val="0"/>
              <w:jc w:val="center"/>
              <w:rPr>
                <w:rFonts w:hint="default" w:ascii="Times New Roman" w:hAnsi="Times New Roman" w:cs="Times New Roman" w:eastAsiaTheme="minorEastAsia"/>
                <w:sz w:val="21"/>
                <w:szCs w:val="21"/>
                <w:highlight w:val="none"/>
              </w:rPr>
            </w:pPr>
          </w:p>
        </w:tc>
      </w:tr>
      <w:tr w14:paraId="3627BBF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13" w:type="pct"/>
            <w:vMerge w:val="continue"/>
            <w:tcBorders>
              <w:tl2br w:val="nil"/>
              <w:tr2bl w:val="nil"/>
            </w:tcBorders>
            <w:noWrap w:val="0"/>
            <w:vAlign w:val="center"/>
          </w:tcPr>
          <w:p w14:paraId="2E5CBC5F">
            <w:pPr>
              <w:pStyle w:val="58"/>
              <w:bidi w:val="0"/>
              <w:jc w:val="center"/>
              <w:rPr>
                <w:rFonts w:hint="default" w:ascii="Times New Roman" w:hAnsi="Times New Roman" w:cs="Times New Roman" w:eastAsiaTheme="minorEastAsia"/>
                <w:sz w:val="21"/>
                <w:szCs w:val="21"/>
                <w:highlight w:val="none"/>
              </w:rPr>
            </w:pPr>
          </w:p>
        </w:tc>
        <w:tc>
          <w:tcPr>
            <w:tcW w:w="723" w:type="pct"/>
            <w:vMerge w:val="restart"/>
            <w:tcBorders>
              <w:tl2br w:val="nil"/>
              <w:tr2bl w:val="nil"/>
            </w:tcBorders>
            <w:noWrap w:val="0"/>
            <w:vAlign w:val="center"/>
          </w:tcPr>
          <w:p w14:paraId="3000026A">
            <w:pPr>
              <w:pStyle w:val="58"/>
              <w:bidi w:val="0"/>
              <w:jc w:val="center"/>
              <w:rPr>
                <w:rFonts w:hint="eastAsia" w:ascii="Times New Roman" w:hAnsi="Times New Roman" w:cs="Times New Roman" w:eastAsiaTheme="minorEastAsia"/>
                <w:sz w:val="21"/>
                <w:szCs w:val="21"/>
                <w:highlight w:val="none"/>
                <w:lang w:eastAsia="zh-CN"/>
              </w:rPr>
            </w:pPr>
            <w:r>
              <w:rPr>
                <w:rFonts w:hint="eastAsia" w:cs="Times New Roman" w:eastAsiaTheme="minorEastAsia"/>
                <w:sz w:val="21"/>
                <w:szCs w:val="21"/>
                <w:highlight w:val="none"/>
                <w:lang w:eastAsia="zh-CN"/>
              </w:rPr>
              <w:t>PM</w:t>
            </w:r>
            <w:r>
              <w:rPr>
                <w:rFonts w:hint="eastAsia" w:cs="Times New Roman" w:eastAsiaTheme="minorEastAsia"/>
                <w:sz w:val="21"/>
                <w:szCs w:val="21"/>
                <w:highlight w:val="none"/>
                <w:vertAlign w:val="subscript"/>
                <w:lang w:eastAsia="zh-CN"/>
              </w:rPr>
              <w:t>2.5</w:t>
            </w:r>
          </w:p>
        </w:tc>
        <w:tc>
          <w:tcPr>
            <w:tcW w:w="1233" w:type="pct"/>
            <w:tcBorders>
              <w:tl2br w:val="nil"/>
              <w:tr2bl w:val="nil"/>
            </w:tcBorders>
            <w:noWrap w:val="0"/>
            <w:vAlign w:val="center"/>
          </w:tcPr>
          <w:p w14:paraId="76532761">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年平均</w:t>
            </w:r>
          </w:p>
        </w:tc>
        <w:tc>
          <w:tcPr>
            <w:tcW w:w="1087" w:type="pct"/>
            <w:tcBorders>
              <w:tl2br w:val="nil"/>
              <w:tr2bl w:val="nil"/>
            </w:tcBorders>
            <w:noWrap w:val="0"/>
            <w:vAlign w:val="center"/>
          </w:tcPr>
          <w:p w14:paraId="53FBCD9A">
            <w:pPr>
              <w:pStyle w:val="58"/>
              <w:bidi w:val="0"/>
              <w:jc w:val="center"/>
              <w:rPr>
                <w:rFonts w:hint="eastAsia" w:ascii="Times New Roman" w:hAnsi="Times New Roman" w:cs="Times New Roman" w:eastAsiaTheme="minorEastAsia"/>
                <w:sz w:val="21"/>
                <w:szCs w:val="21"/>
                <w:highlight w:val="none"/>
                <w:lang w:eastAsia="zh-CN"/>
              </w:rPr>
            </w:pPr>
            <w:r>
              <w:rPr>
                <w:rFonts w:hint="default" w:ascii="Times New Roman" w:hAnsi="Times New Roman" w:cs="Times New Roman" w:eastAsiaTheme="minorEastAsia"/>
                <w:sz w:val="21"/>
                <w:szCs w:val="21"/>
                <w:highlight w:val="none"/>
              </w:rPr>
              <w:t>35μg/</w:t>
            </w:r>
            <w:r>
              <w:rPr>
                <w:rFonts w:hint="eastAsia" w:cs="Times New Roman" w:eastAsiaTheme="minorEastAsia"/>
                <w:sz w:val="21"/>
                <w:szCs w:val="21"/>
                <w:highlight w:val="none"/>
                <w:lang w:eastAsia="zh-CN"/>
              </w:rPr>
              <w:t>m</w:t>
            </w:r>
            <w:r>
              <w:rPr>
                <w:rFonts w:hint="eastAsia" w:cs="Times New Roman" w:eastAsiaTheme="minorEastAsia"/>
                <w:sz w:val="21"/>
                <w:szCs w:val="21"/>
                <w:highlight w:val="none"/>
                <w:vertAlign w:val="superscript"/>
                <w:lang w:eastAsia="zh-CN"/>
              </w:rPr>
              <w:t>3</w:t>
            </w:r>
          </w:p>
        </w:tc>
        <w:tc>
          <w:tcPr>
            <w:tcW w:w="1442" w:type="pct"/>
            <w:vMerge w:val="continue"/>
            <w:tcBorders>
              <w:tl2br w:val="nil"/>
              <w:tr2bl w:val="nil"/>
            </w:tcBorders>
            <w:noWrap w:val="0"/>
            <w:vAlign w:val="center"/>
          </w:tcPr>
          <w:p w14:paraId="3B539CE8">
            <w:pPr>
              <w:pStyle w:val="58"/>
              <w:bidi w:val="0"/>
              <w:jc w:val="center"/>
              <w:rPr>
                <w:rFonts w:hint="default" w:ascii="Times New Roman" w:hAnsi="Times New Roman" w:cs="Times New Roman" w:eastAsiaTheme="minorEastAsia"/>
                <w:sz w:val="21"/>
                <w:szCs w:val="21"/>
                <w:highlight w:val="none"/>
              </w:rPr>
            </w:pPr>
          </w:p>
        </w:tc>
      </w:tr>
      <w:tr w14:paraId="3D5E02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13" w:type="pct"/>
            <w:vMerge w:val="continue"/>
            <w:tcBorders>
              <w:tl2br w:val="nil"/>
              <w:tr2bl w:val="nil"/>
            </w:tcBorders>
            <w:noWrap w:val="0"/>
            <w:vAlign w:val="center"/>
          </w:tcPr>
          <w:p w14:paraId="3847E224">
            <w:pPr>
              <w:pStyle w:val="58"/>
              <w:bidi w:val="0"/>
              <w:jc w:val="center"/>
              <w:rPr>
                <w:rFonts w:hint="default" w:ascii="Times New Roman" w:hAnsi="Times New Roman" w:cs="Times New Roman" w:eastAsiaTheme="minorEastAsia"/>
                <w:sz w:val="21"/>
                <w:szCs w:val="21"/>
                <w:highlight w:val="none"/>
              </w:rPr>
            </w:pPr>
          </w:p>
        </w:tc>
        <w:tc>
          <w:tcPr>
            <w:tcW w:w="723" w:type="pct"/>
            <w:vMerge w:val="continue"/>
            <w:tcBorders>
              <w:tl2br w:val="nil"/>
              <w:tr2bl w:val="nil"/>
            </w:tcBorders>
            <w:noWrap w:val="0"/>
            <w:vAlign w:val="center"/>
          </w:tcPr>
          <w:p w14:paraId="3D05B13E">
            <w:pPr>
              <w:pStyle w:val="58"/>
              <w:bidi w:val="0"/>
              <w:jc w:val="center"/>
              <w:rPr>
                <w:rFonts w:hint="default" w:ascii="Times New Roman" w:hAnsi="Times New Roman" w:cs="Times New Roman" w:eastAsiaTheme="minorEastAsia"/>
                <w:sz w:val="21"/>
                <w:szCs w:val="21"/>
                <w:highlight w:val="none"/>
              </w:rPr>
            </w:pPr>
          </w:p>
        </w:tc>
        <w:tc>
          <w:tcPr>
            <w:tcW w:w="1233" w:type="pct"/>
            <w:tcBorders>
              <w:tl2br w:val="nil"/>
              <w:tr2bl w:val="nil"/>
            </w:tcBorders>
            <w:noWrap w:val="0"/>
            <w:vAlign w:val="center"/>
          </w:tcPr>
          <w:p w14:paraId="262C3FF1">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24小时平均</w:t>
            </w:r>
          </w:p>
        </w:tc>
        <w:tc>
          <w:tcPr>
            <w:tcW w:w="1087" w:type="pct"/>
            <w:tcBorders>
              <w:tl2br w:val="nil"/>
              <w:tr2bl w:val="nil"/>
            </w:tcBorders>
            <w:noWrap w:val="0"/>
            <w:vAlign w:val="center"/>
          </w:tcPr>
          <w:p w14:paraId="14669AC1">
            <w:pPr>
              <w:pStyle w:val="58"/>
              <w:bidi w:val="0"/>
              <w:jc w:val="center"/>
              <w:rPr>
                <w:rFonts w:hint="eastAsia" w:ascii="Times New Roman" w:hAnsi="Times New Roman" w:cs="Times New Roman" w:eastAsiaTheme="minorEastAsia"/>
                <w:sz w:val="21"/>
                <w:szCs w:val="21"/>
                <w:highlight w:val="none"/>
                <w:lang w:eastAsia="zh-CN"/>
              </w:rPr>
            </w:pPr>
            <w:r>
              <w:rPr>
                <w:rFonts w:hint="default" w:ascii="Times New Roman" w:hAnsi="Times New Roman" w:cs="Times New Roman" w:eastAsiaTheme="minorEastAsia"/>
                <w:sz w:val="21"/>
                <w:szCs w:val="21"/>
                <w:highlight w:val="none"/>
              </w:rPr>
              <w:t>75μg/</w:t>
            </w:r>
            <w:r>
              <w:rPr>
                <w:rFonts w:hint="eastAsia" w:cs="Times New Roman" w:eastAsiaTheme="minorEastAsia"/>
                <w:sz w:val="21"/>
                <w:szCs w:val="21"/>
                <w:highlight w:val="none"/>
                <w:lang w:eastAsia="zh-CN"/>
              </w:rPr>
              <w:t>m</w:t>
            </w:r>
            <w:r>
              <w:rPr>
                <w:rFonts w:hint="eastAsia" w:cs="Times New Roman" w:eastAsiaTheme="minorEastAsia"/>
                <w:sz w:val="21"/>
                <w:szCs w:val="21"/>
                <w:highlight w:val="none"/>
                <w:vertAlign w:val="superscript"/>
                <w:lang w:eastAsia="zh-CN"/>
              </w:rPr>
              <w:t>3</w:t>
            </w:r>
          </w:p>
        </w:tc>
        <w:tc>
          <w:tcPr>
            <w:tcW w:w="1442" w:type="pct"/>
            <w:vMerge w:val="continue"/>
            <w:tcBorders>
              <w:tl2br w:val="nil"/>
              <w:tr2bl w:val="nil"/>
            </w:tcBorders>
            <w:noWrap w:val="0"/>
            <w:vAlign w:val="center"/>
          </w:tcPr>
          <w:p w14:paraId="00D2B4EC">
            <w:pPr>
              <w:pStyle w:val="58"/>
              <w:bidi w:val="0"/>
              <w:jc w:val="center"/>
              <w:rPr>
                <w:rFonts w:hint="default" w:ascii="Times New Roman" w:hAnsi="Times New Roman" w:cs="Times New Roman" w:eastAsiaTheme="minorEastAsia"/>
                <w:sz w:val="21"/>
                <w:szCs w:val="21"/>
                <w:highlight w:val="none"/>
              </w:rPr>
            </w:pPr>
          </w:p>
        </w:tc>
      </w:tr>
      <w:tr w14:paraId="6FA6FFC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13" w:type="pct"/>
            <w:vMerge w:val="continue"/>
            <w:tcBorders>
              <w:tl2br w:val="nil"/>
              <w:tr2bl w:val="nil"/>
            </w:tcBorders>
            <w:noWrap w:val="0"/>
            <w:vAlign w:val="center"/>
          </w:tcPr>
          <w:p w14:paraId="0EDC5072">
            <w:pPr>
              <w:pStyle w:val="58"/>
              <w:bidi w:val="0"/>
              <w:jc w:val="center"/>
              <w:rPr>
                <w:rFonts w:hint="default" w:ascii="Times New Roman" w:hAnsi="Times New Roman" w:cs="Times New Roman" w:eastAsiaTheme="minorEastAsia"/>
                <w:sz w:val="21"/>
                <w:szCs w:val="21"/>
                <w:highlight w:val="none"/>
              </w:rPr>
            </w:pPr>
          </w:p>
        </w:tc>
        <w:tc>
          <w:tcPr>
            <w:tcW w:w="723" w:type="pct"/>
            <w:vMerge w:val="restart"/>
            <w:tcBorders>
              <w:tl2br w:val="nil"/>
              <w:tr2bl w:val="nil"/>
            </w:tcBorders>
            <w:noWrap w:val="0"/>
            <w:vAlign w:val="center"/>
          </w:tcPr>
          <w:p w14:paraId="4AECD42A">
            <w:pPr>
              <w:pStyle w:val="58"/>
              <w:bidi w:val="0"/>
              <w:jc w:val="center"/>
              <w:rPr>
                <w:rFonts w:hint="eastAsia" w:ascii="Times New Roman" w:hAnsi="Times New Roman" w:cs="Times New Roman" w:eastAsiaTheme="minorEastAsia"/>
                <w:sz w:val="21"/>
                <w:szCs w:val="21"/>
                <w:highlight w:val="none"/>
                <w:lang w:eastAsia="zh-CN"/>
              </w:rPr>
            </w:pPr>
            <w:r>
              <w:rPr>
                <w:rFonts w:hint="eastAsia" w:cs="Times New Roman" w:eastAsiaTheme="minorEastAsia"/>
                <w:sz w:val="21"/>
                <w:szCs w:val="21"/>
                <w:highlight w:val="none"/>
                <w:lang w:eastAsia="zh-CN"/>
              </w:rPr>
              <w:t>SO</w:t>
            </w:r>
            <w:r>
              <w:rPr>
                <w:rFonts w:hint="eastAsia" w:cs="Times New Roman" w:eastAsiaTheme="minorEastAsia"/>
                <w:sz w:val="21"/>
                <w:szCs w:val="21"/>
                <w:highlight w:val="none"/>
                <w:vertAlign w:val="subscript"/>
                <w:lang w:eastAsia="zh-CN"/>
              </w:rPr>
              <w:t>2</w:t>
            </w:r>
          </w:p>
        </w:tc>
        <w:tc>
          <w:tcPr>
            <w:tcW w:w="1233" w:type="pct"/>
            <w:tcBorders>
              <w:tl2br w:val="nil"/>
              <w:tr2bl w:val="nil"/>
            </w:tcBorders>
            <w:noWrap w:val="0"/>
            <w:vAlign w:val="center"/>
          </w:tcPr>
          <w:p w14:paraId="55A24023">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年平均</w:t>
            </w:r>
          </w:p>
        </w:tc>
        <w:tc>
          <w:tcPr>
            <w:tcW w:w="1087" w:type="pct"/>
            <w:tcBorders>
              <w:tl2br w:val="nil"/>
              <w:tr2bl w:val="nil"/>
            </w:tcBorders>
            <w:noWrap w:val="0"/>
            <w:vAlign w:val="center"/>
          </w:tcPr>
          <w:p w14:paraId="64189CF5">
            <w:pPr>
              <w:pStyle w:val="58"/>
              <w:bidi w:val="0"/>
              <w:jc w:val="center"/>
              <w:rPr>
                <w:rFonts w:hint="eastAsia" w:ascii="Times New Roman" w:hAnsi="Times New Roman" w:cs="Times New Roman" w:eastAsiaTheme="minorEastAsia"/>
                <w:sz w:val="21"/>
                <w:szCs w:val="21"/>
                <w:highlight w:val="none"/>
                <w:lang w:eastAsia="zh-CN"/>
              </w:rPr>
            </w:pPr>
            <w:r>
              <w:rPr>
                <w:rFonts w:hint="default" w:ascii="Times New Roman" w:hAnsi="Times New Roman" w:cs="Times New Roman" w:eastAsiaTheme="minorEastAsia"/>
                <w:sz w:val="21"/>
                <w:szCs w:val="21"/>
                <w:highlight w:val="none"/>
              </w:rPr>
              <w:t>60μg/</w:t>
            </w:r>
            <w:r>
              <w:rPr>
                <w:rFonts w:hint="eastAsia" w:cs="Times New Roman" w:eastAsiaTheme="minorEastAsia"/>
                <w:sz w:val="21"/>
                <w:szCs w:val="21"/>
                <w:highlight w:val="none"/>
                <w:lang w:eastAsia="zh-CN"/>
              </w:rPr>
              <w:t>m</w:t>
            </w:r>
            <w:r>
              <w:rPr>
                <w:rFonts w:hint="eastAsia" w:cs="Times New Roman" w:eastAsiaTheme="minorEastAsia"/>
                <w:sz w:val="21"/>
                <w:szCs w:val="21"/>
                <w:highlight w:val="none"/>
                <w:vertAlign w:val="superscript"/>
                <w:lang w:eastAsia="zh-CN"/>
              </w:rPr>
              <w:t>3</w:t>
            </w:r>
          </w:p>
        </w:tc>
        <w:tc>
          <w:tcPr>
            <w:tcW w:w="1442" w:type="pct"/>
            <w:vMerge w:val="continue"/>
            <w:tcBorders>
              <w:tl2br w:val="nil"/>
              <w:tr2bl w:val="nil"/>
            </w:tcBorders>
            <w:noWrap w:val="0"/>
            <w:vAlign w:val="center"/>
          </w:tcPr>
          <w:p w14:paraId="17C52843">
            <w:pPr>
              <w:pStyle w:val="58"/>
              <w:bidi w:val="0"/>
              <w:jc w:val="center"/>
              <w:rPr>
                <w:rFonts w:hint="default" w:ascii="Times New Roman" w:hAnsi="Times New Roman" w:cs="Times New Roman" w:eastAsiaTheme="minorEastAsia"/>
                <w:sz w:val="21"/>
                <w:szCs w:val="21"/>
                <w:highlight w:val="none"/>
              </w:rPr>
            </w:pPr>
          </w:p>
        </w:tc>
      </w:tr>
      <w:tr w14:paraId="3EBA5F2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13" w:type="pct"/>
            <w:vMerge w:val="continue"/>
            <w:tcBorders>
              <w:tl2br w:val="nil"/>
              <w:tr2bl w:val="nil"/>
            </w:tcBorders>
            <w:noWrap w:val="0"/>
            <w:vAlign w:val="center"/>
          </w:tcPr>
          <w:p w14:paraId="6A4BEAB8">
            <w:pPr>
              <w:pStyle w:val="58"/>
              <w:bidi w:val="0"/>
              <w:jc w:val="center"/>
              <w:rPr>
                <w:rFonts w:hint="default" w:ascii="Times New Roman" w:hAnsi="Times New Roman" w:cs="Times New Roman" w:eastAsiaTheme="minorEastAsia"/>
                <w:sz w:val="21"/>
                <w:szCs w:val="21"/>
                <w:highlight w:val="none"/>
              </w:rPr>
            </w:pPr>
          </w:p>
        </w:tc>
        <w:tc>
          <w:tcPr>
            <w:tcW w:w="723" w:type="pct"/>
            <w:vMerge w:val="continue"/>
            <w:tcBorders>
              <w:tl2br w:val="nil"/>
              <w:tr2bl w:val="nil"/>
            </w:tcBorders>
            <w:noWrap w:val="0"/>
            <w:vAlign w:val="center"/>
          </w:tcPr>
          <w:p w14:paraId="7A940CCD">
            <w:pPr>
              <w:pStyle w:val="58"/>
              <w:bidi w:val="0"/>
              <w:jc w:val="center"/>
              <w:rPr>
                <w:rFonts w:hint="default" w:ascii="Times New Roman" w:hAnsi="Times New Roman" w:cs="Times New Roman" w:eastAsiaTheme="minorEastAsia"/>
                <w:sz w:val="21"/>
                <w:szCs w:val="21"/>
                <w:highlight w:val="none"/>
              </w:rPr>
            </w:pPr>
          </w:p>
        </w:tc>
        <w:tc>
          <w:tcPr>
            <w:tcW w:w="1233" w:type="pct"/>
            <w:tcBorders>
              <w:tl2br w:val="nil"/>
              <w:tr2bl w:val="nil"/>
            </w:tcBorders>
            <w:noWrap w:val="0"/>
            <w:vAlign w:val="center"/>
          </w:tcPr>
          <w:p w14:paraId="7EB43235">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24小时平均</w:t>
            </w:r>
          </w:p>
        </w:tc>
        <w:tc>
          <w:tcPr>
            <w:tcW w:w="1087" w:type="pct"/>
            <w:tcBorders>
              <w:tl2br w:val="nil"/>
              <w:tr2bl w:val="nil"/>
            </w:tcBorders>
            <w:noWrap w:val="0"/>
            <w:vAlign w:val="center"/>
          </w:tcPr>
          <w:p w14:paraId="75616C7A">
            <w:pPr>
              <w:pStyle w:val="58"/>
              <w:bidi w:val="0"/>
              <w:jc w:val="center"/>
              <w:rPr>
                <w:rFonts w:hint="eastAsia" w:ascii="Times New Roman" w:hAnsi="Times New Roman" w:cs="Times New Roman" w:eastAsiaTheme="minorEastAsia"/>
                <w:sz w:val="21"/>
                <w:szCs w:val="21"/>
                <w:highlight w:val="none"/>
                <w:lang w:eastAsia="zh-CN"/>
              </w:rPr>
            </w:pPr>
            <w:r>
              <w:rPr>
                <w:rFonts w:hint="default" w:ascii="Times New Roman" w:hAnsi="Times New Roman" w:cs="Times New Roman" w:eastAsiaTheme="minorEastAsia"/>
                <w:sz w:val="21"/>
                <w:szCs w:val="21"/>
                <w:highlight w:val="none"/>
              </w:rPr>
              <w:t>150μg/</w:t>
            </w:r>
            <w:r>
              <w:rPr>
                <w:rFonts w:hint="eastAsia" w:cs="Times New Roman" w:eastAsiaTheme="minorEastAsia"/>
                <w:sz w:val="21"/>
                <w:szCs w:val="21"/>
                <w:highlight w:val="none"/>
                <w:lang w:eastAsia="zh-CN"/>
              </w:rPr>
              <w:t>m</w:t>
            </w:r>
            <w:r>
              <w:rPr>
                <w:rFonts w:hint="eastAsia" w:cs="Times New Roman" w:eastAsiaTheme="minorEastAsia"/>
                <w:sz w:val="21"/>
                <w:szCs w:val="21"/>
                <w:highlight w:val="none"/>
                <w:vertAlign w:val="superscript"/>
                <w:lang w:eastAsia="zh-CN"/>
              </w:rPr>
              <w:t>3</w:t>
            </w:r>
          </w:p>
        </w:tc>
        <w:tc>
          <w:tcPr>
            <w:tcW w:w="1442" w:type="pct"/>
            <w:vMerge w:val="continue"/>
            <w:tcBorders>
              <w:tl2br w:val="nil"/>
              <w:tr2bl w:val="nil"/>
            </w:tcBorders>
            <w:noWrap w:val="0"/>
            <w:vAlign w:val="center"/>
          </w:tcPr>
          <w:p w14:paraId="36C83E78">
            <w:pPr>
              <w:pStyle w:val="58"/>
              <w:bidi w:val="0"/>
              <w:jc w:val="center"/>
              <w:rPr>
                <w:rFonts w:hint="default" w:ascii="Times New Roman" w:hAnsi="Times New Roman" w:cs="Times New Roman" w:eastAsiaTheme="minorEastAsia"/>
                <w:sz w:val="21"/>
                <w:szCs w:val="21"/>
                <w:highlight w:val="none"/>
              </w:rPr>
            </w:pPr>
          </w:p>
        </w:tc>
      </w:tr>
      <w:tr w14:paraId="1AC53E1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13" w:type="pct"/>
            <w:vMerge w:val="continue"/>
            <w:tcBorders>
              <w:tl2br w:val="nil"/>
              <w:tr2bl w:val="nil"/>
            </w:tcBorders>
            <w:noWrap w:val="0"/>
            <w:vAlign w:val="center"/>
          </w:tcPr>
          <w:p w14:paraId="4630F11D">
            <w:pPr>
              <w:pStyle w:val="58"/>
              <w:bidi w:val="0"/>
              <w:jc w:val="center"/>
              <w:rPr>
                <w:rFonts w:hint="default" w:ascii="Times New Roman" w:hAnsi="Times New Roman" w:cs="Times New Roman" w:eastAsiaTheme="minorEastAsia"/>
                <w:sz w:val="21"/>
                <w:szCs w:val="21"/>
                <w:highlight w:val="none"/>
              </w:rPr>
            </w:pPr>
          </w:p>
        </w:tc>
        <w:tc>
          <w:tcPr>
            <w:tcW w:w="723" w:type="pct"/>
            <w:vMerge w:val="continue"/>
            <w:tcBorders>
              <w:tl2br w:val="nil"/>
              <w:tr2bl w:val="nil"/>
            </w:tcBorders>
            <w:noWrap w:val="0"/>
            <w:vAlign w:val="center"/>
          </w:tcPr>
          <w:p w14:paraId="4772D6C8">
            <w:pPr>
              <w:pStyle w:val="58"/>
              <w:bidi w:val="0"/>
              <w:jc w:val="center"/>
              <w:rPr>
                <w:rFonts w:hint="default" w:ascii="Times New Roman" w:hAnsi="Times New Roman" w:cs="Times New Roman" w:eastAsiaTheme="minorEastAsia"/>
                <w:sz w:val="21"/>
                <w:szCs w:val="21"/>
                <w:highlight w:val="none"/>
              </w:rPr>
            </w:pPr>
          </w:p>
        </w:tc>
        <w:tc>
          <w:tcPr>
            <w:tcW w:w="1233" w:type="pct"/>
            <w:tcBorders>
              <w:tl2br w:val="nil"/>
              <w:tr2bl w:val="nil"/>
            </w:tcBorders>
            <w:noWrap w:val="0"/>
            <w:vAlign w:val="center"/>
          </w:tcPr>
          <w:p w14:paraId="05871BA3">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1小时平均</w:t>
            </w:r>
          </w:p>
        </w:tc>
        <w:tc>
          <w:tcPr>
            <w:tcW w:w="1087" w:type="pct"/>
            <w:tcBorders>
              <w:tl2br w:val="nil"/>
              <w:tr2bl w:val="nil"/>
            </w:tcBorders>
            <w:noWrap w:val="0"/>
            <w:vAlign w:val="center"/>
          </w:tcPr>
          <w:p w14:paraId="661FAF7A">
            <w:pPr>
              <w:pStyle w:val="58"/>
              <w:bidi w:val="0"/>
              <w:jc w:val="center"/>
              <w:rPr>
                <w:rFonts w:hint="eastAsia" w:ascii="Times New Roman" w:hAnsi="Times New Roman" w:cs="Times New Roman" w:eastAsiaTheme="minorEastAsia"/>
                <w:sz w:val="21"/>
                <w:szCs w:val="21"/>
                <w:highlight w:val="none"/>
                <w:lang w:eastAsia="zh-CN"/>
              </w:rPr>
            </w:pPr>
            <w:r>
              <w:rPr>
                <w:rFonts w:hint="default" w:ascii="Times New Roman" w:hAnsi="Times New Roman" w:cs="Times New Roman" w:eastAsiaTheme="minorEastAsia"/>
                <w:sz w:val="21"/>
                <w:szCs w:val="21"/>
                <w:highlight w:val="none"/>
              </w:rPr>
              <w:t>500μg/</w:t>
            </w:r>
            <w:r>
              <w:rPr>
                <w:rFonts w:hint="eastAsia" w:cs="Times New Roman" w:eastAsiaTheme="minorEastAsia"/>
                <w:sz w:val="21"/>
                <w:szCs w:val="21"/>
                <w:highlight w:val="none"/>
                <w:lang w:eastAsia="zh-CN"/>
              </w:rPr>
              <w:t>m</w:t>
            </w:r>
            <w:r>
              <w:rPr>
                <w:rFonts w:hint="eastAsia" w:cs="Times New Roman" w:eastAsiaTheme="minorEastAsia"/>
                <w:sz w:val="21"/>
                <w:szCs w:val="21"/>
                <w:highlight w:val="none"/>
                <w:vertAlign w:val="superscript"/>
                <w:lang w:eastAsia="zh-CN"/>
              </w:rPr>
              <w:t>3</w:t>
            </w:r>
          </w:p>
        </w:tc>
        <w:tc>
          <w:tcPr>
            <w:tcW w:w="1442" w:type="pct"/>
            <w:vMerge w:val="continue"/>
            <w:tcBorders>
              <w:tl2br w:val="nil"/>
              <w:tr2bl w:val="nil"/>
            </w:tcBorders>
            <w:noWrap w:val="0"/>
            <w:vAlign w:val="center"/>
          </w:tcPr>
          <w:p w14:paraId="6369868B">
            <w:pPr>
              <w:pStyle w:val="58"/>
              <w:bidi w:val="0"/>
              <w:jc w:val="center"/>
              <w:rPr>
                <w:rFonts w:hint="default" w:ascii="Times New Roman" w:hAnsi="Times New Roman" w:cs="Times New Roman" w:eastAsiaTheme="minorEastAsia"/>
                <w:sz w:val="21"/>
                <w:szCs w:val="21"/>
                <w:highlight w:val="none"/>
              </w:rPr>
            </w:pPr>
          </w:p>
        </w:tc>
      </w:tr>
      <w:tr w14:paraId="3C40BFD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13" w:type="pct"/>
            <w:vMerge w:val="continue"/>
            <w:tcBorders>
              <w:tl2br w:val="nil"/>
              <w:tr2bl w:val="nil"/>
            </w:tcBorders>
            <w:noWrap w:val="0"/>
            <w:vAlign w:val="center"/>
          </w:tcPr>
          <w:p w14:paraId="1A2296B4">
            <w:pPr>
              <w:pStyle w:val="58"/>
              <w:bidi w:val="0"/>
              <w:jc w:val="center"/>
              <w:rPr>
                <w:rFonts w:hint="default" w:ascii="Times New Roman" w:hAnsi="Times New Roman" w:cs="Times New Roman" w:eastAsiaTheme="minorEastAsia"/>
                <w:sz w:val="21"/>
                <w:szCs w:val="21"/>
                <w:highlight w:val="none"/>
              </w:rPr>
            </w:pPr>
          </w:p>
        </w:tc>
        <w:tc>
          <w:tcPr>
            <w:tcW w:w="723" w:type="pct"/>
            <w:vMerge w:val="restart"/>
            <w:tcBorders>
              <w:tl2br w:val="nil"/>
              <w:tr2bl w:val="nil"/>
            </w:tcBorders>
            <w:noWrap w:val="0"/>
            <w:vAlign w:val="center"/>
          </w:tcPr>
          <w:p w14:paraId="26833A70">
            <w:pPr>
              <w:pStyle w:val="58"/>
              <w:bidi w:val="0"/>
              <w:jc w:val="center"/>
              <w:rPr>
                <w:rFonts w:hint="eastAsia" w:ascii="Times New Roman" w:hAnsi="Times New Roman" w:cs="Times New Roman" w:eastAsiaTheme="minorEastAsia"/>
                <w:sz w:val="21"/>
                <w:szCs w:val="21"/>
                <w:highlight w:val="none"/>
                <w:lang w:eastAsia="zh-CN"/>
              </w:rPr>
            </w:pPr>
            <w:r>
              <w:rPr>
                <w:rFonts w:hint="eastAsia" w:cs="Times New Roman" w:eastAsiaTheme="minorEastAsia"/>
                <w:sz w:val="21"/>
                <w:szCs w:val="21"/>
                <w:highlight w:val="none"/>
                <w:lang w:eastAsia="zh-CN"/>
              </w:rPr>
              <w:t>NO</w:t>
            </w:r>
            <w:r>
              <w:rPr>
                <w:rFonts w:hint="eastAsia" w:cs="Times New Roman" w:eastAsiaTheme="minorEastAsia"/>
                <w:sz w:val="21"/>
                <w:szCs w:val="21"/>
                <w:highlight w:val="none"/>
                <w:vertAlign w:val="subscript"/>
                <w:lang w:eastAsia="zh-CN"/>
              </w:rPr>
              <w:t>2</w:t>
            </w:r>
          </w:p>
        </w:tc>
        <w:tc>
          <w:tcPr>
            <w:tcW w:w="1233" w:type="pct"/>
            <w:tcBorders>
              <w:tl2br w:val="nil"/>
              <w:tr2bl w:val="nil"/>
            </w:tcBorders>
            <w:noWrap w:val="0"/>
            <w:vAlign w:val="center"/>
          </w:tcPr>
          <w:p w14:paraId="1D9DCF46">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年平均</w:t>
            </w:r>
          </w:p>
        </w:tc>
        <w:tc>
          <w:tcPr>
            <w:tcW w:w="1087" w:type="pct"/>
            <w:tcBorders>
              <w:tl2br w:val="nil"/>
              <w:tr2bl w:val="nil"/>
            </w:tcBorders>
            <w:noWrap w:val="0"/>
            <w:vAlign w:val="center"/>
          </w:tcPr>
          <w:p w14:paraId="47600694">
            <w:pPr>
              <w:pStyle w:val="58"/>
              <w:bidi w:val="0"/>
              <w:jc w:val="center"/>
              <w:rPr>
                <w:rFonts w:hint="eastAsia" w:ascii="Times New Roman" w:hAnsi="Times New Roman" w:cs="Times New Roman" w:eastAsiaTheme="minorEastAsia"/>
                <w:sz w:val="21"/>
                <w:szCs w:val="21"/>
                <w:highlight w:val="none"/>
                <w:lang w:eastAsia="zh-CN"/>
              </w:rPr>
            </w:pPr>
            <w:r>
              <w:rPr>
                <w:rFonts w:hint="default" w:ascii="Times New Roman" w:hAnsi="Times New Roman" w:cs="Times New Roman" w:eastAsiaTheme="minorEastAsia"/>
                <w:sz w:val="21"/>
                <w:szCs w:val="21"/>
                <w:highlight w:val="none"/>
              </w:rPr>
              <w:t>40μg/</w:t>
            </w:r>
            <w:r>
              <w:rPr>
                <w:rFonts w:hint="eastAsia" w:cs="Times New Roman" w:eastAsiaTheme="minorEastAsia"/>
                <w:sz w:val="21"/>
                <w:szCs w:val="21"/>
                <w:highlight w:val="none"/>
                <w:lang w:eastAsia="zh-CN"/>
              </w:rPr>
              <w:t>m</w:t>
            </w:r>
            <w:r>
              <w:rPr>
                <w:rFonts w:hint="eastAsia" w:cs="Times New Roman" w:eastAsiaTheme="minorEastAsia"/>
                <w:sz w:val="21"/>
                <w:szCs w:val="21"/>
                <w:highlight w:val="none"/>
                <w:vertAlign w:val="superscript"/>
                <w:lang w:eastAsia="zh-CN"/>
              </w:rPr>
              <w:t>3</w:t>
            </w:r>
          </w:p>
        </w:tc>
        <w:tc>
          <w:tcPr>
            <w:tcW w:w="1442" w:type="pct"/>
            <w:vMerge w:val="continue"/>
            <w:tcBorders>
              <w:tl2br w:val="nil"/>
              <w:tr2bl w:val="nil"/>
            </w:tcBorders>
            <w:noWrap w:val="0"/>
            <w:vAlign w:val="center"/>
          </w:tcPr>
          <w:p w14:paraId="01671ED9">
            <w:pPr>
              <w:pStyle w:val="58"/>
              <w:bidi w:val="0"/>
              <w:jc w:val="center"/>
              <w:rPr>
                <w:rFonts w:hint="default" w:ascii="Times New Roman" w:hAnsi="Times New Roman" w:cs="Times New Roman" w:eastAsiaTheme="minorEastAsia"/>
                <w:sz w:val="21"/>
                <w:szCs w:val="21"/>
                <w:highlight w:val="none"/>
              </w:rPr>
            </w:pPr>
          </w:p>
        </w:tc>
      </w:tr>
      <w:tr w14:paraId="29610A0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13" w:type="pct"/>
            <w:vMerge w:val="continue"/>
            <w:tcBorders>
              <w:tl2br w:val="nil"/>
              <w:tr2bl w:val="nil"/>
            </w:tcBorders>
            <w:noWrap w:val="0"/>
            <w:vAlign w:val="center"/>
          </w:tcPr>
          <w:p w14:paraId="5F6ADA5A">
            <w:pPr>
              <w:pStyle w:val="58"/>
              <w:bidi w:val="0"/>
              <w:jc w:val="center"/>
              <w:rPr>
                <w:rFonts w:hint="default" w:ascii="Times New Roman" w:hAnsi="Times New Roman" w:cs="Times New Roman" w:eastAsiaTheme="minorEastAsia"/>
                <w:sz w:val="21"/>
                <w:szCs w:val="21"/>
                <w:highlight w:val="none"/>
              </w:rPr>
            </w:pPr>
          </w:p>
        </w:tc>
        <w:tc>
          <w:tcPr>
            <w:tcW w:w="723" w:type="pct"/>
            <w:vMerge w:val="continue"/>
            <w:tcBorders>
              <w:tl2br w:val="nil"/>
              <w:tr2bl w:val="nil"/>
            </w:tcBorders>
            <w:noWrap w:val="0"/>
            <w:vAlign w:val="center"/>
          </w:tcPr>
          <w:p w14:paraId="13E65A6E">
            <w:pPr>
              <w:pStyle w:val="58"/>
              <w:bidi w:val="0"/>
              <w:jc w:val="center"/>
              <w:rPr>
                <w:rFonts w:hint="default" w:ascii="Times New Roman" w:hAnsi="Times New Roman" w:cs="Times New Roman" w:eastAsiaTheme="minorEastAsia"/>
                <w:sz w:val="21"/>
                <w:szCs w:val="21"/>
                <w:highlight w:val="none"/>
              </w:rPr>
            </w:pPr>
          </w:p>
        </w:tc>
        <w:tc>
          <w:tcPr>
            <w:tcW w:w="1233" w:type="pct"/>
            <w:tcBorders>
              <w:tl2br w:val="nil"/>
              <w:tr2bl w:val="nil"/>
            </w:tcBorders>
            <w:noWrap w:val="0"/>
            <w:vAlign w:val="center"/>
          </w:tcPr>
          <w:p w14:paraId="20838F7B">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24小时平均</w:t>
            </w:r>
          </w:p>
        </w:tc>
        <w:tc>
          <w:tcPr>
            <w:tcW w:w="1087" w:type="pct"/>
            <w:tcBorders>
              <w:tl2br w:val="nil"/>
              <w:tr2bl w:val="nil"/>
            </w:tcBorders>
            <w:noWrap w:val="0"/>
            <w:vAlign w:val="center"/>
          </w:tcPr>
          <w:p w14:paraId="1D64BD1B">
            <w:pPr>
              <w:pStyle w:val="58"/>
              <w:bidi w:val="0"/>
              <w:jc w:val="center"/>
              <w:rPr>
                <w:rFonts w:hint="eastAsia" w:ascii="Times New Roman" w:hAnsi="Times New Roman" w:cs="Times New Roman" w:eastAsiaTheme="minorEastAsia"/>
                <w:sz w:val="21"/>
                <w:szCs w:val="21"/>
                <w:highlight w:val="none"/>
                <w:lang w:eastAsia="zh-CN"/>
              </w:rPr>
            </w:pPr>
            <w:r>
              <w:rPr>
                <w:rFonts w:hint="default" w:ascii="Times New Roman" w:hAnsi="Times New Roman" w:cs="Times New Roman" w:eastAsiaTheme="minorEastAsia"/>
                <w:sz w:val="21"/>
                <w:szCs w:val="21"/>
                <w:highlight w:val="none"/>
              </w:rPr>
              <w:t>80μg/</w:t>
            </w:r>
            <w:r>
              <w:rPr>
                <w:rFonts w:hint="eastAsia" w:cs="Times New Roman" w:eastAsiaTheme="minorEastAsia"/>
                <w:sz w:val="21"/>
                <w:szCs w:val="21"/>
                <w:highlight w:val="none"/>
                <w:lang w:eastAsia="zh-CN"/>
              </w:rPr>
              <w:t>m</w:t>
            </w:r>
            <w:r>
              <w:rPr>
                <w:rFonts w:hint="eastAsia" w:cs="Times New Roman" w:eastAsiaTheme="minorEastAsia"/>
                <w:sz w:val="21"/>
                <w:szCs w:val="21"/>
                <w:highlight w:val="none"/>
                <w:vertAlign w:val="superscript"/>
                <w:lang w:eastAsia="zh-CN"/>
              </w:rPr>
              <w:t>3</w:t>
            </w:r>
          </w:p>
        </w:tc>
        <w:tc>
          <w:tcPr>
            <w:tcW w:w="1442" w:type="pct"/>
            <w:vMerge w:val="continue"/>
            <w:tcBorders>
              <w:tl2br w:val="nil"/>
              <w:tr2bl w:val="nil"/>
            </w:tcBorders>
            <w:noWrap w:val="0"/>
            <w:vAlign w:val="center"/>
          </w:tcPr>
          <w:p w14:paraId="29AABB0C">
            <w:pPr>
              <w:pStyle w:val="58"/>
              <w:bidi w:val="0"/>
              <w:jc w:val="center"/>
              <w:rPr>
                <w:rFonts w:hint="default" w:ascii="Times New Roman" w:hAnsi="Times New Roman" w:cs="Times New Roman" w:eastAsiaTheme="minorEastAsia"/>
                <w:sz w:val="21"/>
                <w:szCs w:val="21"/>
                <w:highlight w:val="none"/>
              </w:rPr>
            </w:pPr>
          </w:p>
        </w:tc>
      </w:tr>
      <w:tr w14:paraId="2B70DD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13" w:type="pct"/>
            <w:vMerge w:val="continue"/>
            <w:tcBorders>
              <w:tl2br w:val="nil"/>
              <w:tr2bl w:val="nil"/>
            </w:tcBorders>
            <w:noWrap w:val="0"/>
            <w:vAlign w:val="center"/>
          </w:tcPr>
          <w:p w14:paraId="675D5436">
            <w:pPr>
              <w:pStyle w:val="58"/>
              <w:bidi w:val="0"/>
              <w:jc w:val="center"/>
              <w:rPr>
                <w:rFonts w:hint="default" w:ascii="Times New Roman" w:hAnsi="Times New Roman" w:cs="Times New Roman" w:eastAsiaTheme="minorEastAsia"/>
                <w:sz w:val="21"/>
                <w:szCs w:val="21"/>
                <w:highlight w:val="none"/>
              </w:rPr>
            </w:pPr>
          </w:p>
        </w:tc>
        <w:tc>
          <w:tcPr>
            <w:tcW w:w="723" w:type="pct"/>
            <w:vMerge w:val="continue"/>
            <w:tcBorders>
              <w:tl2br w:val="nil"/>
              <w:tr2bl w:val="nil"/>
            </w:tcBorders>
            <w:noWrap w:val="0"/>
            <w:vAlign w:val="center"/>
          </w:tcPr>
          <w:p w14:paraId="475875C4">
            <w:pPr>
              <w:pStyle w:val="58"/>
              <w:bidi w:val="0"/>
              <w:jc w:val="center"/>
              <w:rPr>
                <w:rFonts w:hint="default" w:ascii="Times New Roman" w:hAnsi="Times New Roman" w:cs="Times New Roman" w:eastAsiaTheme="minorEastAsia"/>
                <w:sz w:val="21"/>
                <w:szCs w:val="21"/>
                <w:highlight w:val="none"/>
              </w:rPr>
            </w:pPr>
          </w:p>
        </w:tc>
        <w:tc>
          <w:tcPr>
            <w:tcW w:w="1233" w:type="pct"/>
            <w:tcBorders>
              <w:tl2br w:val="nil"/>
              <w:tr2bl w:val="nil"/>
            </w:tcBorders>
            <w:noWrap w:val="0"/>
            <w:vAlign w:val="center"/>
          </w:tcPr>
          <w:p w14:paraId="27CCF13A">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1小时平均</w:t>
            </w:r>
          </w:p>
        </w:tc>
        <w:tc>
          <w:tcPr>
            <w:tcW w:w="1087" w:type="pct"/>
            <w:tcBorders>
              <w:tl2br w:val="nil"/>
              <w:tr2bl w:val="nil"/>
            </w:tcBorders>
            <w:noWrap w:val="0"/>
            <w:vAlign w:val="center"/>
          </w:tcPr>
          <w:p w14:paraId="04AAFDFE">
            <w:pPr>
              <w:pStyle w:val="58"/>
              <w:bidi w:val="0"/>
              <w:jc w:val="center"/>
              <w:rPr>
                <w:rFonts w:hint="eastAsia" w:ascii="Times New Roman" w:hAnsi="Times New Roman" w:cs="Times New Roman" w:eastAsiaTheme="minorEastAsia"/>
                <w:sz w:val="21"/>
                <w:szCs w:val="21"/>
                <w:highlight w:val="none"/>
                <w:lang w:eastAsia="zh-CN"/>
              </w:rPr>
            </w:pPr>
            <w:r>
              <w:rPr>
                <w:rFonts w:hint="default" w:ascii="Times New Roman" w:hAnsi="Times New Roman" w:cs="Times New Roman" w:eastAsiaTheme="minorEastAsia"/>
                <w:sz w:val="21"/>
                <w:szCs w:val="21"/>
                <w:highlight w:val="none"/>
              </w:rPr>
              <w:t>200μg/</w:t>
            </w:r>
            <w:r>
              <w:rPr>
                <w:rFonts w:hint="eastAsia" w:cs="Times New Roman" w:eastAsiaTheme="minorEastAsia"/>
                <w:sz w:val="21"/>
                <w:szCs w:val="21"/>
                <w:highlight w:val="none"/>
                <w:lang w:eastAsia="zh-CN"/>
              </w:rPr>
              <w:t>m</w:t>
            </w:r>
            <w:r>
              <w:rPr>
                <w:rFonts w:hint="eastAsia" w:cs="Times New Roman" w:eastAsiaTheme="minorEastAsia"/>
                <w:sz w:val="21"/>
                <w:szCs w:val="21"/>
                <w:highlight w:val="none"/>
                <w:vertAlign w:val="superscript"/>
                <w:lang w:eastAsia="zh-CN"/>
              </w:rPr>
              <w:t>3</w:t>
            </w:r>
          </w:p>
        </w:tc>
        <w:tc>
          <w:tcPr>
            <w:tcW w:w="1442" w:type="pct"/>
            <w:vMerge w:val="continue"/>
            <w:tcBorders>
              <w:tl2br w:val="nil"/>
              <w:tr2bl w:val="nil"/>
            </w:tcBorders>
            <w:noWrap w:val="0"/>
            <w:vAlign w:val="center"/>
          </w:tcPr>
          <w:p w14:paraId="4F452201">
            <w:pPr>
              <w:pStyle w:val="58"/>
              <w:bidi w:val="0"/>
              <w:jc w:val="center"/>
              <w:rPr>
                <w:rFonts w:hint="default" w:ascii="Times New Roman" w:hAnsi="Times New Roman" w:cs="Times New Roman" w:eastAsiaTheme="minorEastAsia"/>
                <w:sz w:val="21"/>
                <w:szCs w:val="21"/>
                <w:highlight w:val="none"/>
              </w:rPr>
            </w:pPr>
          </w:p>
        </w:tc>
      </w:tr>
      <w:tr w14:paraId="74CAE94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13" w:type="pct"/>
            <w:vMerge w:val="continue"/>
            <w:tcBorders>
              <w:tl2br w:val="nil"/>
              <w:tr2bl w:val="nil"/>
            </w:tcBorders>
            <w:noWrap w:val="0"/>
            <w:vAlign w:val="center"/>
          </w:tcPr>
          <w:p w14:paraId="0509EE1D">
            <w:pPr>
              <w:pStyle w:val="58"/>
              <w:bidi w:val="0"/>
              <w:jc w:val="center"/>
              <w:rPr>
                <w:rFonts w:hint="default" w:ascii="Times New Roman" w:hAnsi="Times New Roman" w:cs="Times New Roman" w:eastAsiaTheme="minorEastAsia"/>
                <w:sz w:val="21"/>
                <w:szCs w:val="21"/>
                <w:highlight w:val="none"/>
              </w:rPr>
            </w:pPr>
          </w:p>
        </w:tc>
        <w:tc>
          <w:tcPr>
            <w:tcW w:w="723" w:type="pct"/>
            <w:vMerge w:val="restart"/>
            <w:tcBorders>
              <w:tl2br w:val="nil"/>
              <w:tr2bl w:val="nil"/>
            </w:tcBorders>
            <w:noWrap w:val="0"/>
            <w:vAlign w:val="center"/>
          </w:tcPr>
          <w:p w14:paraId="7CE5EAB8">
            <w:pPr>
              <w:pStyle w:val="58"/>
              <w:bidi w:val="0"/>
              <w:jc w:val="center"/>
              <w:rPr>
                <w:rFonts w:hint="eastAsia" w:ascii="Times New Roman" w:hAnsi="Times New Roman" w:cs="Times New Roman" w:eastAsiaTheme="minorEastAsia"/>
                <w:sz w:val="21"/>
                <w:szCs w:val="21"/>
                <w:highlight w:val="none"/>
                <w:lang w:eastAsia="zh-CN"/>
              </w:rPr>
            </w:pPr>
            <w:r>
              <w:rPr>
                <w:rFonts w:hint="eastAsia" w:cs="Times New Roman" w:eastAsiaTheme="minorEastAsia"/>
                <w:sz w:val="21"/>
                <w:szCs w:val="21"/>
                <w:highlight w:val="none"/>
                <w:lang w:eastAsia="zh-CN"/>
              </w:rPr>
              <w:t>O</w:t>
            </w:r>
            <w:r>
              <w:rPr>
                <w:rFonts w:hint="eastAsia" w:cs="Times New Roman" w:eastAsiaTheme="minorEastAsia"/>
                <w:sz w:val="21"/>
                <w:szCs w:val="21"/>
                <w:highlight w:val="none"/>
                <w:vertAlign w:val="subscript"/>
                <w:lang w:eastAsia="zh-CN"/>
              </w:rPr>
              <w:t>3</w:t>
            </w:r>
          </w:p>
        </w:tc>
        <w:tc>
          <w:tcPr>
            <w:tcW w:w="1233" w:type="pct"/>
            <w:tcBorders>
              <w:tl2br w:val="nil"/>
              <w:tr2bl w:val="nil"/>
            </w:tcBorders>
            <w:noWrap w:val="0"/>
            <w:vAlign w:val="center"/>
          </w:tcPr>
          <w:p w14:paraId="74D5625F">
            <w:pPr>
              <w:pStyle w:val="58"/>
              <w:bidi w:val="0"/>
              <w:jc w:val="center"/>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rPr>
              <w:t>日最大8小时平均</w:t>
            </w:r>
          </w:p>
        </w:tc>
        <w:tc>
          <w:tcPr>
            <w:tcW w:w="1087" w:type="pct"/>
            <w:tcBorders>
              <w:tl2br w:val="nil"/>
              <w:tr2bl w:val="nil"/>
            </w:tcBorders>
            <w:noWrap w:val="0"/>
            <w:vAlign w:val="center"/>
          </w:tcPr>
          <w:p w14:paraId="28DE7A6D">
            <w:pPr>
              <w:pStyle w:val="58"/>
              <w:bidi w:val="0"/>
              <w:jc w:val="center"/>
              <w:rPr>
                <w:rFonts w:hint="eastAsia"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rPr>
              <w:t>160μg/</w:t>
            </w:r>
            <w:r>
              <w:rPr>
                <w:rFonts w:hint="eastAsia" w:cs="Times New Roman" w:eastAsiaTheme="minorEastAsia"/>
                <w:sz w:val="21"/>
                <w:szCs w:val="21"/>
                <w:highlight w:val="none"/>
                <w:lang w:eastAsia="zh-CN"/>
              </w:rPr>
              <w:t>m</w:t>
            </w:r>
            <w:r>
              <w:rPr>
                <w:rFonts w:hint="eastAsia" w:cs="Times New Roman" w:eastAsiaTheme="minorEastAsia"/>
                <w:sz w:val="21"/>
                <w:szCs w:val="21"/>
                <w:highlight w:val="none"/>
                <w:vertAlign w:val="superscript"/>
                <w:lang w:eastAsia="zh-CN"/>
              </w:rPr>
              <w:t>3</w:t>
            </w:r>
          </w:p>
        </w:tc>
        <w:tc>
          <w:tcPr>
            <w:tcW w:w="1442" w:type="pct"/>
            <w:vMerge w:val="continue"/>
            <w:tcBorders>
              <w:tl2br w:val="nil"/>
              <w:tr2bl w:val="nil"/>
            </w:tcBorders>
            <w:noWrap w:val="0"/>
            <w:vAlign w:val="center"/>
          </w:tcPr>
          <w:p w14:paraId="592FC6AC">
            <w:pPr>
              <w:pStyle w:val="58"/>
              <w:bidi w:val="0"/>
              <w:jc w:val="center"/>
              <w:rPr>
                <w:rFonts w:hint="default" w:ascii="Times New Roman" w:hAnsi="Times New Roman" w:cs="Times New Roman" w:eastAsiaTheme="minorEastAsia"/>
                <w:sz w:val="21"/>
                <w:szCs w:val="21"/>
                <w:highlight w:val="none"/>
              </w:rPr>
            </w:pPr>
          </w:p>
        </w:tc>
      </w:tr>
      <w:tr w14:paraId="39FA04A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13" w:type="pct"/>
            <w:vMerge w:val="continue"/>
            <w:tcBorders>
              <w:tl2br w:val="nil"/>
              <w:tr2bl w:val="nil"/>
            </w:tcBorders>
            <w:noWrap w:val="0"/>
            <w:vAlign w:val="center"/>
          </w:tcPr>
          <w:p w14:paraId="0C94C7CA">
            <w:pPr>
              <w:pStyle w:val="58"/>
              <w:bidi w:val="0"/>
              <w:jc w:val="center"/>
              <w:rPr>
                <w:rFonts w:hint="default" w:ascii="Times New Roman" w:hAnsi="Times New Roman" w:cs="Times New Roman" w:eastAsiaTheme="minorEastAsia"/>
                <w:sz w:val="21"/>
                <w:szCs w:val="21"/>
                <w:highlight w:val="none"/>
              </w:rPr>
            </w:pPr>
          </w:p>
        </w:tc>
        <w:tc>
          <w:tcPr>
            <w:tcW w:w="723" w:type="pct"/>
            <w:vMerge w:val="continue"/>
            <w:tcBorders>
              <w:tl2br w:val="nil"/>
              <w:tr2bl w:val="nil"/>
            </w:tcBorders>
            <w:noWrap w:val="0"/>
            <w:vAlign w:val="center"/>
          </w:tcPr>
          <w:p w14:paraId="07A60772">
            <w:pPr>
              <w:pStyle w:val="58"/>
              <w:bidi w:val="0"/>
              <w:jc w:val="center"/>
              <w:rPr>
                <w:rFonts w:hint="default" w:ascii="Times New Roman" w:hAnsi="Times New Roman" w:cs="Times New Roman" w:eastAsiaTheme="minorEastAsia"/>
                <w:sz w:val="21"/>
                <w:szCs w:val="21"/>
                <w:highlight w:val="none"/>
              </w:rPr>
            </w:pPr>
          </w:p>
        </w:tc>
        <w:tc>
          <w:tcPr>
            <w:tcW w:w="1233" w:type="pct"/>
            <w:tcBorders>
              <w:tl2br w:val="nil"/>
              <w:tr2bl w:val="nil"/>
            </w:tcBorders>
            <w:noWrap w:val="0"/>
            <w:vAlign w:val="center"/>
          </w:tcPr>
          <w:p w14:paraId="44FEC271">
            <w:pPr>
              <w:pStyle w:val="58"/>
              <w:bidi w:val="0"/>
              <w:jc w:val="center"/>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rPr>
              <w:t>1小时平均</w:t>
            </w:r>
          </w:p>
        </w:tc>
        <w:tc>
          <w:tcPr>
            <w:tcW w:w="1087" w:type="pct"/>
            <w:tcBorders>
              <w:tl2br w:val="nil"/>
              <w:tr2bl w:val="nil"/>
            </w:tcBorders>
            <w:noWrap w:val="0"/>
            <w:vAlign w:val="center"/>
          </w:tcPr>
          <w:p w14:paraId="5CBE2780">
            <w:pPr>
              <w:pStyle w:val="58"/>
              <w:bidi w:val="0"/>
              <w:jc w:val="center"/>
              <w:rPr>
                <w:rFonts w:hint="eastAsia"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rPr>
              <w:t>200μg/</w:t>
            </w:r>
            <w:r>
              <w:rPr>
                <w:rFonts w:hint="eastAsia" w:cs="Times New Roman" w:eastAsiaTheme="minorEastAsia"/>
                <w:sz w:val="21"/>
                <w:szCs w:val="21"/>
                <w:highlight w:val="none"/>
                <w:lang w:eastAsia="zh-CN"/>
              </w:rPr>
              <w:t>m</w:t>
            </w:r>
            <w:r>
              <w:rPr>
                <w:rFonts w:hint="eastAsia" w:cs="Times New Roman" w:eastAsiaTheme="minorEastAsia"/>
                <w:sz w:val="21"/>
                <w:szCs w:val="21"/>
                <w:highlight w:val="none"/>
                <w:vertAlign w:val="superscript"/>
                <w:lang w:eastAsia="zh-CN"/>
              </w:rPr>
              <w:t>3</w:t>
            </w:r>
          </w:p>
        </w:tc>
        <w:tc>
          <w:tcPr>
            <w:tcW w:w="1442" w:type="pct"/>
            <w:vMerge w:val="continue"/>
            <w:tcBorders>
              <w:tl2br w:val="nil"/>
              <w:tr2bl w:val="nil"/>
            </w:tcBorders>
            <w:noWrap w:val="0"/>
            <w:vAlign w:val="center"/>
          </w:tcPr>
          <w:p w14:paraId="6B72E99E">
            <w:pPr>
              <w:pStyle w:val="58"/>
              <w:bidi w:val="0"/>
              <w:jc w:val="center"/>
              <w:rPr>
                <w:rFonts w:hint="default" w:ascii="Times New Roman" w:hAnsi="Times New Roman" w:cs="Times New Roman" w:eastAsiaTheme="minorEastAsia"/>
                <w:sz w:val="21"/>
                <w:szCs w:val="21"/>
                <w:highlight w:val="none"/>
              </w:rPr>
            </w:pPr>
          </w:p>
        </w:tc>
      </w:tr>
      <w:tr w14:paraId="10D6ED5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13" w:type="pct"/>
            <w:vMerge w:val="continue"/>
            <w:tcBorders>
              <w:tl2br w:val="nil"/>
              <w:tr2bl w:val="nil"/>
            </w:tcBorders>
            <w:noWrap w:val="0"/>
            <w:vAlign w:val="center"/>
          </w:tcPr>
          <w:p w14:paraId="3DF4DB09">
            <w:pPr>
              <w:pStyle w:val="58"/>
              <w:bidi w:val="0"/>
              <w:jc w:val="center"/>
              <w:rPr>
                <w:rFonts w:hint="default" w:ascii="Times New Roman" w:hAnsi="Times New Roman" w:cs="Times New Roman" w:eastAsiaTheme="minorEastAsia"/>
                <w:sz w:val="21"/>
                <w:szCs w:val="21"/>
                <w:highlight w:val="none"/>
              </w:rPr>
            </w:pPr>
          </w:p>
        </w:tc>
        <w:tc>
          <w:tcPr>
            <w:tcW w:w="723" w:type="pct"/>
            <w:vMerge w:val="restart"/>
            <w:tcBorders>
              <w:tl2br w:val="nil"/>
              <w:tr2bl w:val="nil"/>
            </w:tcBorders>
            <w:noWrap w:val="0"/>
            <w:vAlign w:val="center"/>
          </w:tcPr>
          <w:p w14:paraId="1C939E77">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CO</w:t>
            </w:r>
          </w:p>
        </w:tc>
        <w:tc>
          <w:tcPr>
            <w:tcW w:w="1233" w:type="pct"/>
            <w:tcBorders>
              <w:tl2br w:val="nil"/>
              <w:tr2bl w:val="nil"/>
            </w:tcBorders>
            <w:noWrap w:val="0"/>
            <w:vAlign w:val="center"/>
          </w:tcPr>
          <w:p w14:paraId="69152404">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24小时平均</w:t>
            </w:r>
          </w:p>
        </w:tc>
        <w:tc>
          <w:tcPr>
            <w:tcW w:w="1087" w:type="pct"/>
            <w:tcBorders>
              <w:tl2br w:val="nil"/>
              <w:tr2bl w:val="nil"/>
            </w:tcBorders>
            <w:noWrap w:val="0"/>
            <w:vAlign w:val="center"/>
          </w:tcPr>
          <w:p w14:paraId="7B7C2BB1">
            <w:pPr>
              <w:pStyle w:val="58"/>
              <w:bidi w:val="0"/>
              <w:jc w:val="center"/>
              <w:rPr>
                <w:rFonts w:hint="eastAsia" w:ascii="Times New Roman" w:hAnsi="Times New Roman" w:cs="Times New Roman" w:eastAsiaTheme="minorEastAsia"/>
                <w:sz w:val="21"/>
                <w:szCs w:val="21"/>
                <w:highlight w:val="none"/>
                <w:lang w:eastAsia="zh-CN"/>
              </w:rPr>
            </w:pPr>
            <w:r>
              <w:rPr>
                <w:rFonts w:hint="default" w:ascii="Times New Roman" w:hAnsi="Times New Roman" w:cs="Times New Roman" w:eastAsiaTheme="minorEastAsia"/>
                <w:sz w:val="21"/>
                <w:szCs w:val="21"/>
                <w:highlight w:val="none"/>
              </w:rPr>
              <w:t>4mg/</w:t>
            </w:r>
            <w:r>
              <w:rPr>
                <w:rFonts w:hint="eastAsia" w:cs="Times New Roman" w:eastAsiaTheme="minorEastAsia"/>
                <w:sz w:val="21"/>
                <w:szCs w:val="21"/>
                <w:highlight w:val="none"/>
                <w:lang w:eastAsia="zh-CN"/>
              </w:rPr>
              <w:t>m</w:t>
            </w:r>
            <w:r>
              <w:rPr>
                <w:rFonts w:hint="eastAsia" w:cs="Times New Roman" w:eastAsiaTheme="minorEastAsia"/>
                <w:sz w:val="21"/>
                <w:szCs w:val="21"/>
                <w:highlight w:val="none"/>
                <w:vertAlign w:val="superscript"/>
                <w:lang w:eastAsia="zh-CN"/>
              </w:rPr>
              <w:t>3</w:t>
            </w:r>
          </w:p>
        </w:tc>
        <w:tc>
          <w:tcPr>
            <w:tcW w:w="1442" w:type="pct"/>
            <w:vMerge w:val="continue"/>
            <w:tcBorders>
              <w:tl2br w:val="nil"/>
              <w:tr2bl w:val="nil"/>
            </w:tcBorders>
            <w:noWrap w:val="0"/>
            <w:vAlign w:val="center"/>
          </w:tcPr>
          <w:p w14:paraId="497490C7">
            <w:pPr>
              <w:pStyle w:val="58"/>
              <w:bidi w:val="0"/>
              <w:jc w:val="center"/>
              <w:rPr>
                <w:rFonts w:hint="default" w:ascii="Times New Roman" w:hAnsi="Times New Roman" w:cs="Times New Roman" w:eastAsiaTheme="minorEastAsia"/>
                <w:sz w:val="21"/>
                <w:szCs w:val="21"/>
                <w:highlight w:val="none"/>
              </w:rPr>
            </w:pPr>
          </w:p>
        </w:tc>
      </w:tr>
      <w:tr w14:paraId="4452940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13" w:type="pct"/>
            <w:vMerge w:val="continue"/>
            <w:tcBorders>
              <w:tl2br w:val="nil"/>
              <w:tr2bl w:val="nil"/>
            </w:tcBorders>
            <w:noWrap w:val="0"/>
            <w:vAlign w:val="center"/>
          </w:tcPr>
          <w:p w14:paraId="7847792F">
            <w:pPr>
              <w:pStyle w:val="58"/>
              <w:bidi w:val="0"/>
              <w:jc w:val="center"/>
              <w:rPr>
                <w:rFonts w:hint="default" w:ascii="Times New Roman" w:hAnsi="Times New Roman" w:cs="Times New Roman" w:eastAsiaTheme="minorEastAsia"/>
                <w:sz w:val="21"/>
                <w:szCs w:val="21"/>
                <w:highlight w:val="none"/>
              </w:rPr>
            </w:pPr>
          </w:p>
        </w:tc>
        <w:tc>
          <w:tcPr>
            <w:tcW w:w="723" w:type="pct"/>
            <w:vMerge w:val="continue"/>
            <w:tcBorders>
              <w:tl2br w:val="nil"/>
              <w:tr2bl w:val="nil"/>
            </w:tcBorders>
            <w:noWrap w:val="0"/>
            <w:vAlign w:val="center"/>
          </w:tcPr>
          <w:p w14:paraId="19C2917F">
            <w:pPr>
              <w:pStyle w:val="58"/>
              <w:bidi w:val="0"/>
              <w:jc w:val="center"/>
              <w:rPr>
                <w:rFonts w:hint="default" w:ascii="Times New Roman" w:hAnsi="Times New Roman" w:cs="Times New Roman" w:eastAsiaTheme="minorEastAsia"/>
                <w:sz w:val="21"/>
                <w:szCs w:val="21"/>
                <w:highlight w:val="none"/>
              </w:rPr>
            </w:pPr>
          </w:p>
        </w:tc>
        <w:tc>
          <w:tcPr>
            <w:tcW w:w="1233" w:type="pct"/>
            <w:tcBorders>
              <w:tl2br w:val="nil"/>
              <w:tr2bl w:val="nil"/>
            </w:tcBorders>
            <w:noWrap w:val="0"/>
            <w:vAlign w:val="center"/>
          </w:tcPr>
          <w:p w14:paraId="53359EC3">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1小时平均</w:t>
            </w:r>
          </w:p>
        </w:tc>
        <w:tc>
          <w:tcPr>
            <w:tcW w:w="1087" w:type="pct"/>
            <w:tcBorders>
              <w:tl2br w:val="nil"/>
              <w:tr2bl w:val="nil"/>
            </w:tcBorders>
            <w:noWrap w:val="0"/>
            <w:vAlign w:val="center"/>
          </w:tcPr>
          <w:p w14:paraId="5FB46686">
            <w:pPr>
              <w:pStyle w:val="58"/>
              <w:bidi w:val="0"/>
              <w:jc w:val="center"/>
              <w:rPr>
                <w:rFonts w:hint="eastAsia" w:ascii="Times New Roman" w:hAnsi="Times New Roman" w:cs="Times New Roman" w:eastAsiaTheme="minorEastAsia"/>
                <w:sz w:val="21"/>
                <w:szCs w:val="21"/>
                <w:highlight w:val="none"/>
                <w:lang w:eastAsia="zh-CN"/>
              </w:rPr>
            </w:pPr>
            <w:r>
              <w:rPr>
                <w:rFonts w:hint="default" w:ascii="Times New Roman" w:hAnsi="Times New Roman" w:cs="Times New Roman" w:eastAsiaTheme="minorEastAsia"/>
                <w:sz w:val="21"/>
                <w:szCs w:val="21"/>
                <w:highlight w:val="none"/>
              </w:rPr>
              <w:t>10mg/</w:t>
            </w:r>
            <w:r>
              <w:rPr>
                <w:rFonts w:hint="eastAsia" w:cs="Times New Roman" w:eastAsiaTheme="minorEastAsia"/>
                <w:sz w:val="21"/>
                <w:szCs w:val="21"/>
                <w:highlight w:val="none"/>
                <w:lang w:eastAsia="zh-CN"/>
              </w:rPr>
              <w:t>m</w:t>
            </w:r>
            <w:r>
              <w:rPr>
                <w:rFonts w:hint="eastAsia" w:cs="Times New Roman" w:eastAsiaTheme="minorEastAsia"/>
                <w:sz w:val="21"/>
                <w:szCs w:val="21"/>
                <w:highlight w:val="none"/>
                <w:vertAlign w:val="superscript"/>
                <w:lang w:eastAsia="zh-CN"/>
              </w:rPr>
              <w:t>3</w:t>
            </w:r>
          </w:p>
        </w:tc>
        <w:tc>
          <w:tcPr>
            <w:tcW w:w="1442" w:type="pct"/>
            <w:vMerge w:val="continue"/>
            <w:tcBorders>
              <w:tl2br w:val="nil"/>
              <w:tr2bl w:val="nil"/>
            </w:tcBorders>
            <w:noWrap w:val="0"/>
            <w:vAlign w:val="center"/>
          </w:tcPr>
          <w:p w14:paraId="6576D217">
            <w:pPr>
              <w:pStyle w:val="58"/>
              <w:bidi w:val="0"/>
              <w:jc w:val="center"/>
              <w:rPr>
                <w:rFonts w:hint="default" w:ascii="Times New Roman" w:hAnsi="Times New Roman" w:cs="Times New Roman" w:eastAsiaTheme="minorEastAsia"/>
                <w:sz w:val="21"/>
                <w:szCs w:val="21"/>
                <w:highlight w:val="none"/>
              </w:rPr>
            </w:pPr>
          </w:p>
        </w:tc>
      </w:tr>
      <w:tr w14:paraId="61C1B17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13" w:type="pct"/>
            <w:vMerge w:val="continue"/>
            <w:tcBorders>
              <w:tl2br w:val="nil"/>
              <w:tr2bl w:val="nil"/>
            </w:tcBorders>
            <w:noWrap w:val="0"/>
            <w:vAlign w:val="center"/>
          </w:tcPr>
          <w:p w14:paraId="373882F5">
            <w:pPr>
              <w:pStyle w:val="58"/>
              <w:bidi w:val="0"/>
              <w:jc w:val="center"/>
              <w:rPr>
                <w:rFonts w:hint="default" w:ascii="Times New Roman" w:hAnsi="Times New Roman" w:cs="Times New Roman" w:eastAsiaTheme="minorEastAsia"/>
                <w:sz w:val="21"/>
                <w:szCs w:val="21"/>
                <w:highlight w:val="none"/>
              </w:rPr>
            </w:pPr>
          </w:p>
        </w:tc>
        <w:tc>
          <w:tcPr>
            <w:tcW w:w="723" w:type="pct"/>
            <w:tcBorders>
              <w:tl2br w:val="nil"/>
              <w:tr2bl w:val="nil"/>
            </w:tcBorders>
            <w:noWrap w:val="0"/>
            <w:vAlign w:val="center"/>
          </w:tcPr>
          <w:p w14:paraId="4D6967B7">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氨</w:t>
            </w:r>
          </w:p>
        </w:tc>
        <w:tc>
          <w:tcPr>
            <w:tcW w:w="1233" w:type="pct"/>
            <w:tcBorders>
              <w:tl2br w:val="nil"/>
              <w:tr2bl w:val="nil"/>
            </w:tcBorders>
            <w:noWrap w:val="0"/>
            <w:vAlign w:val="center"/>
          </w:tcPr>
          <w:p w14:paraId="2AB2600C">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1小时平均</w:t>
            </w:r>
          </w:p>
        </w:tc>
        <w:tc>
          <w:tcPr>
            <w:tcW w:w="1087" w:type="pct"/>
            <w:tcBorders>
              <w:tl2br w:val="nil"/>
              <w:tr2bl w:val="nil"/>
            </w:tcBorders>
            <w:noWrap w:val="0"/>
            <w:vAlign w:val="center"/>
          </w:tcPr>
          <w:p w14:paraId="4BEBB2E1">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200μg/</w:t>
            </w:r>
            <w:r>
              <w:rPr>
                <w:rFonts w:hint="eastAsia" w:cs="Times New Roman" w:eastAsiaTheme="minorEastAsia"/>
                <w:sz w:val="21"/>
                <w:szCs w:val="21"/>
                <w:highlight w:val="none"/>
                <w:lang w:eastAsia="zh-CN"/>
              </w:rPr>
              <w:t>m</w:t>
            </w:r>
            <w:r>
              <w:rPr>
                <w:rFonts w:hint="eastAsia" w:cs="Times New Roman" w:eastAsiaTheme="minorEastAsia"/>
                <w:sz w:val="21"/>
                <w:szCs w:val="21"/>
                <w:highlight w:val="none"/>
                <w:vertAlign w:val="superscript"/>
                <w:lang w:eastAsia="zh-CN"/>
              </w:rPr>
              <w:t>3</w:t>
            </w:r>
          </w:p>
        </w:tc>
        <w:tc>
          <w:tcPr>
            <w:tcW w:w="1442" w:type="pct"/>
            <w:vMerge w:val="restart"/>
            <w:tcBorders>
              <w:tl2br w:val="nil"/>
              <w:tr2bl w:val="nil"/>
            </w:tcBorders>
            <w:noWrap w:val="0"/>
            <w:vAlign w:val="center"/>
          </w:tcPr>
          <w:p w14:paraId="367B76FC">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《环境影响评价技术导则大气环境》（HJ2.2-2018）附录D表D.1其他污染物空气质量浓度参考限值</w:t>
            </w:r>
          </w:p>
        </w:tc>
      </w:tr>
      <w:tr w14:paraId="5390CBB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13" w:type="pct"/>
            <w:vMerge w:val="continue"/>
            <w:tcBorders>
              <w:tl2br w:val="nil"/>
              <w:tr2bl w:val="nil"/>
            </w:tcBorders>
            <w:noWrap w:val="0"/>
            <w:vAlign w:val="center"/>
          </w:tcPr>
          <w:p w14:paraId="15109A77">
            <w:pPr>
              <w:pStyle w:val="58"/>
              <w:bidi w:val="0"/>
              <w:jc w:val="center"/>
              <w:rPr>
                <w:rFonts w:hint="default" w:ascii="Times New Roman" w:hAnsi="Times New Roman" w:cs="Times New Roman" w:eastAsiaTheme="minorEastAsia"/>
                <w:sz w:val="21"/>
                <w:szCs w:val="21"/>
                <w:highlight w:val="none"/>
              </w:rPr>
            </w:pPr>
          </w:p>
        </w:tc>
        <w:tc>
          <w:tcPr>
            <w:tcW w:w="723" w:type="pct"/>
            <w:tcBorders>
              <w:tl2br w:val="nil"/>
              <w:tr2bl w:val="nil"/>
            </w:tcBorders>
            <w:noWrap w:val="0"/>
            <w:vAlign w:val="center"/>
          </w:tcPr>
          <w:p w14:paraId="7177CE8B">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硫化氢</w:t>
            </w:r>
          </w:p>
        </w:tc>
        <w:tc>
          <w:tcPr>
            <w:tcW w:w="1233" w:type="pct"/>
            <w:tcBorders>
              <w:tl2br w:val="nil"/>
              <w:tr2bl w:val="nil"/>
            </w:tcBorders>
            <w:noWrap w:val="0"/>
            <w:vAlign w:val="center"/>
          </w:tcPr>
          <w:p w14:paraId="2793B076">
            <w:pPr>
              <w:pStyle w:val="58"/>
              <w:bidi w:val="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1小时平均</w:t>
            </w:r>
          </w:p>
        </w:tc>
        <w:tc>
          <w:tcPr>
            <w:tcW w:w="1087" w:type="pct"/>
            <w:tcBorders>
              <w:tl2br w:val="nil"/>
              <w:tr2bl w:val="nil"/>
            </w:tcBorders>
            <w:noWrap w:val="0"/>
            <w:vAlign w:val="center"/>
          </w:tcPr>
          <w:p w14:paraId="712E35B9">
            <w:pPr>
              <w:pStyle w:val="58"/>
              <w:bidi w:val="0"/>
              <w:jc w:val="center"/>
              <w:rPr>
                <w:rFonts w:hint="eastAsia" w:ascii="Times New Roman" w:hAnsi="Times New Roman" w:cs="Times New Roman" w:eastAsiaTheme="minorEastAsia"/>
                <w:sz w:val="21"/>
                <w:szCs w:val="21"/>
                <w:highlight w:val="none"/>
                <w:lang w:eastAsia="zh-CN"/>
              </w:rPr>
            </w:pPr>
            <w:r>
              <w:rPr>
                <w:rFonts w:hint="default" w:ascii="Times New Roman" w:hAnsi="Times New Roman" w:cs="Times New Roman" w:eastAsiaTheme="minorEastAsia"/>
                <w:sz w:val="21"/>
                <w:szCs w:val="21"/>
                <w:highlight w:val="none"/>
              </w:rPr>
              <w:t>10μg/</w:t>
            </w:r>
            <w:r>
              <w:rPr>
                <w:rFonts w:hint="eastAsia" w:cs="Times New Roman" w:eastAsiaTheme="minorEastAsia"/>
                <w:sz w:val="21"/>
                <w:szCs w:val="21"/>
                <w:highlight w:val="none"/>
                <w:lang w:eastAsia="zh-CN"/>
              </w:rPr>
              <w:t>m</w:t>
            </w:r>
            <w:r>
              <w:rPr>
                <w:rFonts w:hint="eastAsia" w:cs="Times New Roman" w:eastAsiaTheme="minorEastAsia"/>
                <w:sz w:val="21"/>
                <w:szCs w:val="21"/>
                <w:highlight w:val="none"/>
                <w:vertAlign w:val="superscript"/>
                <w:lang w:eastAsia="zh-CN"/>
              </w:rPr>
              <w:t>3</w:t>
            </w:r>
          </w:p>
        </w:tc>
        <w:tc>
          <w:tcPr>
            <w:tcW w:w="1442" w:type="pct"/>
            <w:vMerge w:val="continue"/>
            <w:tcBorders>
              <w:tl2br w:val="nil"/>
              <w:tr2bl w:val="nil"/>
            </w:tcBorders>
            <w:noWrap w:val="0"/>
            <w:vAlign w:val="center"/>
          </w:tcPr>
          <w:p w14:paraId="3F2D4C11">
            <w:pPr>
              <w:pStyle w:val="58"/>
              <w:bidi w:val="0"/>
              <w:jc w:val="center"/>
              <w:rPr>
                <w:rFonts w:hint="default" w:ascii="Times New Roman" w:hAnsi="Times New Roman" w:cs="Times New Roman" w:eastAsiaTheme="minorEastAsia"/>
                <w:sz w:val="21"/>
                <w:szCs w:val="21"/>
                <w:highlight w:val="none"/>
              </w:rPr>
            </w:pPr>
          </w:p>
        </w:tc>
      </w:tr>
    </w:tbl>
    <w:p w14:paraId="43E88477">
      <w:pPr>
        <w:pageBreakBefore w:val="0"/>
        <w:widowControl w:val="0"/>
        <w:numPr>
          <w:ilvl w:val="0"/>
          <w:numId w:val="14"/>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color w:val="000000" w:themeColor="text1"/>
          <w:sz w:val="24"/>
          <w:highlight w:val="none"/>
          <w14:textFill>
            <w14:solidFill>
              <w14:schemeClr w14:val="tx1"/>
            </w14:solidFill>
          </w14:textFill>
        </w:rPr>
      </w:pPr>
      <w:r>
        <w:rPr>
          <w:rFonts w:hint="default" w:ascii="Times New Roman" w:hAnsi="Times New Roman" w:eastAsia="宋体" w:cs="Times New Roman"/>
          <w:b/>
          <w:color w:val="000000" w:themeColor="text1"/>
          <w:sz w:val="24"/>
          <w:highlight w:val="none"/>
          <w14:textFill>
            <w14:solidFill>
              <w14:schemeClr w14:val="tx1"/>
            </w14:solidFill>
          </w14:textFill>
        </w:rPr>
        <w:t>大气环境质量标准</w:t>
      </w:r>
    </w:p>
    <w:p w14:paraId="7A669CFB">
      <w:pPr>
        <w:pageBreakBefore w:val="0"/>
        <w:widowControl w:val="0"/>
        <w:numPr>
          <w:ilvl w:val="0"/>
          <w:numId w:val="14"/>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color w:val="000000" w:themeColor="text1"/>
          <w:sz w:val="24"/>
          <w:highlight w:val="none"/>
          <w14:textFill>
            <w14:solidFill>
              <w14:schemeClr w14:val="tx1"/>
            </w14:solidFill>
          </w14:textFill>
        </w:rPr>
      </w:pPr>
      <w:r>
        <w:rPr>
          <w:rFonts w:hint="default" w:ascii="Times New Roman" w:hAnsi="Times New Roman" w:eastAsia="宋体" w:cs="Times New Roman"/>
          <w:b/>
          <w:color w:val="000000" w:themeColor="text1"/>
          <w:sz w:val="24"/>
          <w:highlight w:val="none"/>
          <w14:textFill>
            <w14:solidFill>
              <w14:schemeClr w14:val="tx1"/>
            </w14:solidFill>
          </w14:textFill>
        </w:rPr>
        <w:t>声环境质量标准</w:t>
      </w:r>
    </w:p>
    <w:tbl>
      <w:tblPr>
        <w:tblStyle w:val="47"/>
        <w:tblW w:w="4937" w:type="pct"/>
        <w:jc w:val="cente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159"/>
        <w:gridCol w:w="1733"/>
        <w:gridCol w:w="760"/>
        <w:gridCol w:w="1213"/>
        <w:gridCol w:w="1094"/>
        <w:gridCol w:w="916"/>
        <w:gridCol w:w="2296"/>
      </w:tblGrid>
      <w:tr w14:paraId="4F51EC7D">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51" w:hRule="atLeast"/>
          <w:jc w:val="center"/>
        </w:trPr>
        <w:tc>
          <w:tcPr>
            <w:tcW w:w="632" w:type="pct"/>
            <w:vMerge w:val="restart"/>
            <w:noWrap w:val="0"/>
            <w:vAlign w:val="center"/>
          </w:tcPr>
          <w:p w14:paraId="736F6B18">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适应环境</w:t>
            </w:r>
          </w:p>
        </w:tc>
        <w:tc>
          <w:tcPr>
            <w:tcW w:w="945" w:type="pct"/>
            <w:vMerge w:val="restart"/>
            <w:noWrap w:val="0"/>
            <w:vAlign w:val="center"/>
          </w:tcPr>
          <w:p w14:paraId="7E021EEB">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污染因子</w:t>
            </w:r>
          </w:p>
        </w:tc>
        <w:tc>
          <w:tcPr>
            <w:tcW w:w="3421" w:type="pct"/>
            <w:gridSpan w:val="5"/>
            <w:noWrap w:val="0"/>
            <w:vAlign w:val="center"/>
          </w:tcPr>
          <w:p w14:paraId="7B2F3555">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环境质量标准</w:t>
            </w:r>
          </w:p>
        </w:tc>
      </w:tr>
      <w:tr w14:paraId="31314E24">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51" w:hRule="atLeast"/>
          <w:jc w:val="center"/>
        </w:trPr>
        <w:tc>
          <w:tcPr>
            <w:tcW w:w="632" w:type="pct"/>
            <w:vMerge w:val="continue"/>
            <w:noWrap w:val="0"/>
            <w:vAlign w:val="center"/>
          </w:tcPr>
          <w:p w14:paraId="4BF99D64">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945" w:type="pct"/>
            <w:vMerge w:val="continue"/>
            <w:noWrap w:val="0"/>
            <w:vAlign w:val="center"/>
          </w:tcPr>
          <w:p w14:paraId="1FBF0625">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075" w:type="pct"/>
            <w:gridSpan w:val="2"/>
            <w:noWrap w:val="0"/>
            <w:vAlign w:val="center"/>
          </w:tcPr>
          <w:p w14:paraId="2F666CAF">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取值时间</w:t>
            </w:r>
          </w:p>
        </w:tc>
        <w:tc>
          <w:tcPr>
            <w:tcW w:w="596" w:type="pct"/>
            <w:noWrap w:val="0"/>
            <w:vAlign w:val="center"/>
          </w:tcPr>
          <w:p w14:paraId="6A6E9DEF">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限值</w:t>
            </w:r>
          </w:p>
        </w:tc>
        <w:tc>
          <w:tcPr>
            <w:tcW w:w="499" w:type="pct"/>
            <w:noWrap w:val="0"/>
            <w:vAlign w:val="center"/>
          </w:tcPr>
          <w:p w14:paraId="32DDD59F">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单位</w:t>
            </w:r>
          </w:p>
        </w:tc>
        <w:tc>
          <w:tcPr>
            <w:tcW w:w="1250" w:type="pct"/>
            <w:noWrap w:val="0"/>
            <w:vAlign w:val="center"/>
          </w:tcPr>
          <w:p w14:paraId="1F07B546">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标准名称及类别</w:t>
            </w:r>
          </w:p>
        </w:tc>
      </w:tr>
      <w:tr w14:paraId="7ECC23A2">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51" w:hRule="atLeast"/>
          <w:jc w:val="center"/>
        </w:trPr>
        <w:tc>
          <w:tcPr>
            <w:tcW w:w="632" w:type="pct"/>
            <w:vMerge w:val="restart"/>
            <w:noWrap w:val="0"/>
            <w:vAlign w:val="center"/>
          </w:tcPr>
          <w:p w14:paraId="5728E0D2">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声环境</w:t>
            </w:r>
          </w:p>
        </w:tc>
        <w:tc>
          <w:tcPr>
            <w:tcW w:w="945" w:type="pct"/>
            <w:vMerge w:val="restart"/>
            <w:noWrap w:val="0"/>
            <w:vAlign w:val="center"/>
          </w:tcPr>
          <w:p w14:paraId="539E848A">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等效连续A声级</w:t>
            </w:r>
          </w:p>
        </w:tc>
        <w:tc>
          <w:tcPr>
            <w:tcW w:w="414" w:type="pct"/>
            <w:vMerge w:val="restart"/>
            <w:noWrap w:val="0"/>
            <w:vAlign w:val="center"/>
          </w:tcPr>
          <w:p w14:paraId="071DC7E9">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3类</w:t>
            </w:r>
          </w:p>
        </w:tc>
        <w:tc>
          <w:tcPr>
            <w:tcW w:w="661" w:type="pct"/>
            <w:noWrap w:val="0"/>
            <w:vAlign w:val="center"/>
          </w:tcPr>
          <w:p w14:paraId="0DCEC063">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昼间</w:t>
            </w:r>
          </w:p>
        </w:tc>
        <w:tc>
          <w:tcPr>
            <w:tcW w:w="596" w:type="pct"/>
            <w:noWrap w:val="0"/>
            <w:vAlign w:val="center"/>
          </w:tcPr>
          <w:p w14:paraId="1ACD1D16">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65</w:t>
            </w:r>
          </w:p>
        </w:tc>
        <w:tc>
          <w:tcPr>
            <w:tcW w:w="499" w:type="pct"/>
            <w:vMerge w:val="restart"/>
            <w:noWrap w:val="0"/>
            <w:vAlign w:val="center"/>
          </w:tcPr>
          <w:p w14:paraId="1FE4F2BF">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dB(A)</w:t>
            </w:r>
          </w:p>
        </w:tc>
        <w:tc>
          <w:tcPr>
            <w:tcW w:w="1250" w:type="pct"/>
            <w:vMerge w:val="restart"/>
            <w:noWrap w:val="0"/>
            <w:vAlign w:val="center"/>
          </w:tcPr>
          <w:p w14:paraId="1AAC2C2F">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《声环境质量标准》</w:t>
            </w:r>
          </w:p>
          <w:p w14:paraId="665BBE91">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（GB3096－2008）</w:t>
            </w:r>
          </w:p>
        </w:tc>
      </w:tr>
      <w:tr w14:paraId="1171FB32">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51" w:hRule="atLeast"/>
          <w:jc w:val="center"/>
        </w:trPr>
        <w:tc>
          <w:tcPr>
            <w:tcW w:w="632" w:type="pct"/>
            <w:vMerge w:val="continue"/>
            <w:noWrap w:val="0"/>
            <w:vAlign w:val="center"/>
          </w:tcPr>
          <w:p w14:paraId="57C22624">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945" w:type="pct"/>
            <w:vMerge w:val="continue"/>
            <w:noWrap w:val="0"/>
            <w:vAlign w:val="center"/>
          </w:tcPr>
          <w:p w14:paraId="3F99C192">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414" w:type="pct"/>
            <w:vMerge w:val="continue"/>
            <w:noWrap w:val="0"/>
            <w:vAlign w:val="center"/>
          </w:tcPr>
          <w:p w14:paraId="59AF724A">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661" w:type="pct"/>
            <w:noWrap w:val="0"/>
            <w:vAlign w:val="center"/>
          </w:tcPr>
          <w:p w14:paraId="7CF3D813">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夜间</w:t>
            </w:r>
          </w:p>
        </w:tc>
        <w:tc>
          <w:tcPr>
            <w:tcW w:w="596" w:type="pct"/>
            <w:noWrap w:val="0"/>
            <w:vAlign w:val="center"/>
          </w:tcPr>
          <w:p w14:paraId="65FC0BEB">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55</w:t>
            </w:r>
          </w:p>
        </w:tc>
        <w:tc>
          <w:tcPr>
            <w:tcW w:w="499" w:type="pct"/>
            <w:vMerge w:val="continue"/>
            <w:noWrap w:val="0"/>
            <w:vAlign w:val="center"/>
          </w:tcPr>
          <w:p w14:paraId="6D25B53D">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250" w:type="pct"/>
            <w:vMerge w:val="continue"/>
            <w:noWrap w:val="0"/>
            <w:vAlign w:val="center"/>
          </w:tcPr>
          <w:p w14:paraId="267116E8">
            <w:pPr>
              <w:spacing w:line="340" w:lineRule="exact"/>
              <w:ind w:firstLine="0" w:firstLineChars="0"/>
              <w:jc w:val="center"/>
              <w:rPr>
                <w:rFonts w:hint="default" w:ascii="Times New Roman" w:hAnsi="Times New Roman" w:eastAsia="宋体" w:cs="Times New Roman"/>
                <w:color w:val="auto"/>
                <w:sz w:val="21"/>
                <w:szCs w:val="21"/>
                <w:highlight w:val="none"/>
              </w:rPr>
            </w:pPr>
          </w:p>
        </w:tc>
      </w:tr>
    </w:tbl>
    <w:p w14:paraId="74AF861E">
      <w:pPr>
        <w:pageBreakBefore w:val="0"/>
        <w:widowControl w:val="0"/>
        <w:numPr>
          <w:ilvl w:val="0"/>
          <w:numId w:val="14"/>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color w:val="000000" w:themeColor="text1"/>
          <w:sz w:val="24"/>
          <w:highlight w:val="none"/>
          <w14:textFill>
            <w14:solidFill>
              <w14:schemeClr w14:val="tx1"/>
            </w14:solidFill>
          </w14:textFill>
        </w:rPr>
      </w:pPr>
      <w:r>
        <w:rPr>
          <w:rFonts w:hint="default" w:ascii="Times New Roman" w:hAnsi="Times New Roman" w:eastAsia="宋体" w:cs="Times New Roman"/>
          <w:b/>
          <w:color w:val="000000" w:themeColor="text1"/>
          <w:sz w:val="24"/>
          <w:highlight w:val="none"/>
          <w14:textFill>
            <w14:solidFill>
              <w14:schemeClr w14:val="tx1"/>
            </w14:solidFill>
          </w14:textFill>
        </w:rPr>
        <w:t>地下水环境质量标准</w:t>
      </w:r>
    </w:p>
    <w:tbl>
      <w:tblPr>
        <w:tblStyle w:val="47"/>
        <w:tblW w:w="499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1278"/>
        <w:gridCol w:w="2407"/>
        <w:gridCol w:w="2547"/>
        <w:gridCol w:w="2868"/>
      </w:tblGrid>
      <w:tr w14:paraId="570A5F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702" w:type="pct"/>
            <w:noWrap w:val="0"/>
            <w:vAlign w:val="center"/>
          </w:tcPr>
          <w:p w14:paraId="546BD60D">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环境要素</w:t>
            </w:r>
          </w:p>
        </w:tc>
        <w:tc>
          <w:tcPr>
            <w:tcW w:w="1322" w:type="pct"/>
            <w:noWrap w:val="0"/>
            <w:vAlign w:val="center"/>
          </w:tcPr>
          <w:p w14:paraId="3536D3F2">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污染物</w:t>
            </w:r>
          </w:p>
        </w:tc>
        <w:tc>
          <w:tcPr>
            <w:tcW w:w="1399" w:type="pct"/>
            <w:noWrap w:val="0"/>
            <w:vAlign w:val="center"/>
          </w:tcPr>
          <w:p w14:paraId="33BC0464">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标准值（mg/L）</w:t>
            </w:r>
          </w:p>
        </w:tc>
        <w:tc>
          <w:tcPr>
            <w:tcW w:w="1575" w:type="pct"/>
            <w:noWrap w:val="0"/>
            <w:vAlign w:val="center"/>
          </w:tcPr>
          <w:p w14:paraId="035AAD14">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标准来源</w:t>
            </w:r>
          </w:p>
        </w:tc>
      </w:tr>
      <w:tr w14:paraId="54612FF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702" w:type="pct"/>
            <w:vMerge w:val="restart"/>
            <w:noWrap w:val="0"/>
            <w:vAlign w:val="center"/>
          </w:tcPr>
          <w:p w14:paraId="7512A558">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地下水</w:t>
            </w:r>
          </w:p>
        </w:tc>
        <w:tc>
          <w:tcPr>
            <w:tcW w:w="1322" w:type="pct"/>
            <w:noWrap w:val="0"/>
            <w:vAlign w:val="center"/>
          </w:tcPr>
          <w:p w14:paraId="1E8D5F1A">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w:t>
            </w:r>
          </w:p>
        </w:tc>
        <w:tc>
          <w:tcPr>
            <w:tcW w:w="1399" w:type="pct"/>
            <w:noWrap w:val="0"/>
            <w:vAlign w:val="center"/>
          </w:tcPr>
          <w:p w14:paraId="1E30E854">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Ⅲ类标准</w:t>
            </w:r>
          </w:p>
        </w:tc>
        <w:tc>
          <w:tcPr>
            <w:tcW w:w="1575" w:type="pct"/>
            <w:vMerge w:val="restart"/>
            <w:noWrap w:val="0"/>
            <w:vAlign w:val="center"/>
          </w:tcPr>
          <w:p w14:paraId="43E7B0BC">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《地下水质量标准》（GB/T14848-2017）</w:t>
            </w:r>
          </w:p>
        </w:tc>
      </w:tr>
      <w:tr w14:paraId="0192265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702" w:type="pct"/>
            <w:vMerge w:val="continue"/>
            <w:noWrap w:val="0"/>
            <w:vAlign w:val="center"/>
          </w:tcPr>
          <w:p w14:paraId="6CB3D17B">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322" w:type="pct"/>
            <w:noWrap w:val="0"/>
            <w:vAlign w:val="center"/>
          </w:tcPr>
          <w:p w14:paraId="57D77919">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p</w:t>
            </w:r>
            <w:r>
              <w:rPr>
                <w:rFonts w:hint="default" w:ascii="Times New Roman" w:hAnsi="Times New Roman" w:eastAsia="宋体" w:cs="Times New Roman"/>
                <w:color w:val="auto"/>
                <w:sz w:val="21"/>
                <w:szCs w:val="21"/>
                <w:highlight w:val="none"/>
                <w:lang w:val="en-US" w:eastAsia="zh-CN"/>
              </w:rPr>
              <w:t>H</w:t>
            </w:r>
          </w:p>
        </w:tc>
        <w:tc>
          <w:tcPr>
            <w:tcW w:w="1399" w:type="pct"/>
            <w:noWrap w:val="0"/>
            <w:vAlign w:val="center"/>
          </w:tcPr>
          <w:p w14:paraId="39C8A59E">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6.5~8.5</w:t>
            </w:r>
          </w:p>
        </w:tc>
        <w:tc>
          <w:tcPr>
            <w:tcW w:w="1575" w:type="pct"/>
            <w:vMerge w:val="continue"/>
            <w:noWrap w:val="0"/>
            <w:vAlign w:val="center"/>
          </w:tcPr>
          <w:p w14:paraId="52B3A14D">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40AE532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702" w:type="pct"/>
            <w:vMerge w:val="continue"/>
            <w:noWrap w:val="0"/>
            <w:vAlign w:val="center"/>
          </w:tcPr>
          <w:p w14:paraId="3E94C68B">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322" w:type="pct"/>
            <w:noWrap w:val="0"/>
            <w:vAlign w:val="center"/>
          </w:tcPr>
          <w:p w14:paraId="10A33ABC">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总硬度</w:t>
            </w:r>
            <w:r>
              <w:rPr>
                <w:rFonts w:hint="default" w:ascii="Times New Roman" w:hAnsi="Times New Roman" w:eastAsia="宋体" w:cs="Times New Roman"/>
                <w:color w:val="auto"/>
                <w:sz w:val="21"/>
                <w:szCs w:val="21"/>
                <w:highlight w:val="none"/>
                <w:lang w:eastAsia="zh-CN"/>
              </w:rPr>
              <w:t>（以</w:t>
            </w:r>
            <w:r>
              <w:rPr>
                <w:rFonts w:hint="default" w:ascii="Times New Roman" w:hAnsi="Times New Roman" w:eastAsia="宋体" w:cs="Times New Roman"/>
                <w:color w:val="auto"/>
                <w:sz w:val="21"/>
                <w:szCs w:val="21"/>
                <w:highlight w:val="none"/>
                <w:lang w:val="en-US" w:eastAsia="zh-CN"/>
              </w:rPr>
              <w:t>CaC</w:t>
            </w:r>
            <w:r>
              <w:rPr>
                <w:rFonts w:hint="eastAsia" w:ascii="Times New Roman" w:hAnsi="Times New Roman" w:eastAsia="宋体" w:cs="Times New Roman"/>
                <w:color w:val="auto"/>
                <w:sz w:val="21"/>
                <w:szCs w:val="21"/>
                <w:highlight w:val="none"/>
                <w:lang w:val="en-US" w:eastAsia="zh-CN"/>
              </w:rPr>
              <w:t>O</w:t>
            </w:r>
            <w:r>
              <w:rPr>
                <w:rFonts w:hint="eastAsia" w:ascii="Times New Roman" w:hAnsi="Times New Roman" w:eastAsia="宋体" w:cs="Times New Roman"/>
                <w:color w:val="auto"/>
                <w:sz w:val="21"/>
                <w:szCs w:val="21"/>
                <w:highlight w:val="none"/>
                <w:vertAlign w:val="subscript"/>
                <w:lang w:val="en-US" w:eastAsia="zh-CN"/>
              </w:rPr>
              <w:t>3</w:t>
            </w:r>
            <w:r>
              <w:rPr>
                <w:rFonts w:hint="default" w:ascii="Times New Roman" w:hAnsi="Times New Roman" w:eastAsia="宋体" w:cs="Times New Roman"/>
                <w:color w:val="auto"/>
                <w:sz w:val="21"/>
                <w:szCs w:val="21"/>
                <w:highlight w:val="none"/>
                <w:lang w:val="en-US" w:eastAsia="zh-CN"/>
              </w:rPr>
              <w:t>计</w:t>
            </w:r>
            <w:r>
              <w:rPr>
                <w:rFonts w:hint="default" w:ascii="Times New Roman" w:hAnsi="Times New Roman" w:eastAsia="宋体" w:cs="Times New Roman"/>
                <w:color w:val="auto"/>
                <w:sz w:val="21"/>
                <w:szCs w:val="21"/>
                <w:highlight w:val="none"/>
                <w:lang w:eastAsia="zh-CN"/>
              </w:rPr>
              <w:t>）</w:t>
            </w:r>
          </w:p>
        </w:tc>
        <w:tc>
          <w:tcPr>
            <w:tcW w:w="1399" w:type="pct"/>
            <w:noWrap w:val="0"/>
            <w:vAlign w:val="center"/>
          </w:tcPr>
          <w:p w14:paraId="0720FB41">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450</w:t>
            </w:r>
          </w:p>
        </w:tc>
        <w:tc>
          <w:tcPr>
            <w:tcW w:w="1575" w:type="pct"/>
            <w:vMerge w:val="continue"/>
            <w:noWrap w:val="0"/>
            <w:vAlign w:val="center"/>
          </w:tcPr>
          <w:p w14:paraId="5F4F890D">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42643F3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702" w:type="pct"/>
            <w:vMerge w:val="continue"/>
            <w:noWrap w:val="0"/>
            <w:vAlign w:val="center"/>
          </w:tcPr>
          <w:p w14:paraId="1027ECAF">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322" w:type="pct"/>
            <w:noWrap w:val="0"/>
            <w:vAlign w:val="center"/>
          </w:tcPr>
          <w:p w14:paraId="09A13D7A">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溶解性总固体</w:t>
            </w:r>
          </w:p>
        </w:tc>
        <w:tc>
          <w:tcPr>
            <w:tcW w:w="1399" w:type="pct"/>
            <w:noWrap w:val="0"/>
            <w:vAlign w:val="center"/>
          </w:tcPr>
          <w:p w14:paraId="6B18F354">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1000</w:t>
            </w:r>
          </w:p>
        </w:tc>
        <w:tc>
          <w:tcPr>
            <w:tcW w:w="1575" w:type="pct"/>
            <w:vMerge w:val="continue"/>
            <w:noWrap w:val="0"/>
            <w:vAlign w:val="center"/>
          </w:tcPr>
          <w:p w14:paraId="58A9B97D">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26FA4B6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702" w:type="pct"/>
            <w:vMerge w:val="continue"/>
            <w:noWrap w:val="0"/>
            <w:vAlign w:val="center"/>
          </w:tcPr>
          <w:p w14:paraId="6AAE091A">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322" w:type="pct"/>
            <w:noWrap w:val="0"/>
            <w:vAlign w:val="center"/>
          </w:tcPr>
          <w:p w14:paraId="3381AFD0">
            <w:pPr>
              <w:spacing w:line="340" w:lineRule="exact"/>
              <w:ind w:firstLine="0" w:firstLineChars="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耗氧量</w:t>
            </w:r>
          </w:p>
        </w:tc>
        <w:tc>
          <w:tcPr>
            <w:tcW w:w="1399" w:type="pct"/>
            <w:noWrap w:val="0"/>
            <w:vAlign w:val="center"/>
          </w:tcPr>
          <w:p w14:paraId="1CBC0A0F">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3.0</w:t>
            </w:r>
          </w:p>
        </w:tc>
        <w:tc>
          <w:tcPr>
            <w:tcW w:w="1575" w:type="pct"/>
            <w:vMerge w:val="continue"/>
            <w:noWrap w:val="0"/>
            <w:vAlign w:val="center"/>
          </w:tcPr>
          <w:p w14:paraId="1E5E1118">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69863B9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702" w:type="pct"/>
            <w:vMerge w:val="continue"/>
            <w:noWrap w:val="0"/>
            <w:vAlign w:val="center"/>
          </w:tcPr>
          <w:p w14:paraId="16B09EE8">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322" w:type="pct"/>
            <w:noWrap w:val="0"/>
            <w:vAlign w:val="center"/>
          </w:tcPr>
          <w:p w14:paraId="2F4B813E">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氨氮</w:t>
            </w:r>
            <w:r>
              <w:rPr>
                <w:rFonts w:hint="default" w:ascii="Times New Roman" w:hAnsi="Times New Roman" w:eastAsia="宋体" w:cs="Times New Roman"/>
                <w:color w:val="auto"/>
                <w:sz w:val="21"/>
                <w:szCs w:val="21"/>
                <w:highlight w:val="none"/>
                <w:lang w:eastAsia="zh-CN"/>
              </w:rPr>
              <w:t>（以</w:t>
            </w:r>
            <w:r>
              <w:rPr>
                <w:rFonts w:hint="default" w:ascii="Times New Roman" w:hAnsi="Times New Roman" w:eastAsia="宋体" w:cs="Times New Roman"/>
                <w:color w:val="auto"/>
                <w:sz w:val="21"/>
                <w:szCs w:val="21"/>
                <w:highlight w:val="none"/>
                <w:lang w:val="en-US" w:eastAsia="zh-CN"/>
              </w:rPr>
              <w:t>N计</w:t>
            </w:r>
            <w:r>
              <w:rPr>
                <w:rFonts w:hint="default" w:ascii="Times New Roman" w:hAnsi="Times New Roman" w:eastAsia="宋体" w:cs="Times New Roman"/>
                <w:color w:val="auto"/>
                <w:sz w:val="21"/>
                <w:szCs w:val="21"/>
                <w:highlight w:val="none"/>
                <w:lang w:eastAsia="zh-CN"/>
              </w:rPr>
              <w:t>）</w:t>
            </w:r>
          </w:p>
        </w:tc>
        <w:tc>
          <w:tcPr>
            <w:tcW w:w="1399" w:type="pct"/>
            <w:noWrap w:val="0"/>
            <w:vAlign w:val="center"/>
          </w:tcPr>
          <w:p w14:paraId="356173E5">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0.5</w:t>
            </w:r>
          </w:p>
        </w:tc>
        <w:tc>
          <w:tcPr>
            <w:tcW w:w="1575" w:type="pct"/>
            <w:vMerge w:val="continue"/>
            <w:noWrap w:val="0"/>
            <w:vAlign w:val="center"/>
          </w:tcPr>
          <w:p w14:paraId="4F88801E">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79EBB8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702" w:type="pct"/>
            <w:vMerge w:val="continue"/>
            <w:noWrap w:val="0"/>
            <w:vAlign w:val="center"/>
          </w:tcPr>
          <w:p w14:paraId="69400C97">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322" w:type="pct"/>
            <w:noWrap w:val="0"/>
            <w:vAlign w:val="center"/>
          </w:tcPr>
          <w:p w14:paraId="5AF3B1C7">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钠</w:t>
            </w:r>
          </w:p>
        </w:tc>
        <w:tc>
          <w:tcPr>
            <w:tcW w:w="1399" w:type="pct"/>
            <w:noWrap w:val="0"/>
            <w:vAlign w:val="center"/>
          </w:tcPr>
          <w:p w14:paraId="3435D2B4">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200</w:t>
            </w:r>
          </w:p>
        </w:tc>
        <w:tc>
          <w:tcPr>
            <w:tcW w:w="1575" w:type="pct"/>
            <w:vMerge w:val="continue"/>
            <w:noWrap w:val="0"/>
            <w:vAlign w:val="center"/>
          </w:tcPr>
          <w:p w14:paraId="47898659">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7AD915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702" w:type="pct"/>
            <w:vMerge w:val="continue"/>
            <w:noWrap w:val="0"/>
            <w:vAlign w:val="center"/>
          </w:tcPr>
          <w:p w14:paraId="0232D4AD">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322" w:type="pct"/>
            <w:noWrap w:val="0"/>
            <w:vAlign w:val="center"/>
          </w:tcPr>
          <w:p w14:paraId="33DDA180">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硝酸盐氮</w:t>
            </w:r>
            <w:r>
              <w:rPr>
                <w:rFonts w:hint="default" w:ascii="Times New Roman" w:hAnsi="Times New Roman" w:eastAsia="宋体" w:cs="Times New Roman"/>
                <w:color w:val="auto"/>
                <w:sz w:val="21"/>
                <w:szCs w:val="21"/>
                <w:highlight w:val="none"/>
                <w:lang w:eastAsia="zh-CN"/>
              </w:rPr>
              <w:t>（以</w:t>
            </w:r>
            <w:r>
              <w:rPr>
                <w:rFonts w:hint="default" w:ascii="Times New Roman" w:hAnsi="Times New Roman" w:eastAsia="宋体" w:cs="Times New Roman"/>
                <w:color w:val="auto"/>
                <w:sz w:val="21"/>
                <w:szCs w:val="21"/>
                <w:highlight w:val="none"/>
                <w:lang w:val="en-US" w:eastAsia="zh-CN"/>
              </w:rPr>
              <w:t>N计</w:t>
            </w:r>
            <w:r>
              <w:rPr>
                <w:rFonts w:hint="default" w:ascii="Times New Roman" w:hAnsi="Times New Roman" w:eastAsia="宋体" w:cs="Times New Roman"/>
                <w:color w:val="auto"/>
                <w:sz w:val="21"/>
                <w:szCs w:val="21"/>
                <w:highlight w:val="none"/>
                <w:lang w:eastAsia="zh-CN"/>
              </w:rPr>
              <w:t>）</w:t>
            </w:r>
          </w:p>
        </w:tc>
        <w:tc>
          <w:tcPr>
            <w:tcW w:w="1399" w:type="pct"/>
            <w:noWrap w:val="0"/>
            <w:vAlign w:val="center"/>
          </w:tcPr>
          <w:p w14:paraId="71CD3214">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20</w:t>
            </w:r>
          </w:p>
        </w:tc>
        <w:tc>
          <w:tcPr>
            <w:tcW w:w="1575" w:type="pct"/>
            <w:vMerge w:val="continue"/>
            <w:noWrap w:val="0"/>
            <w:vAlign w:val="center"/>
          </w:tcPr>
          <w:p w14:paraId="36858FF3">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471125F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702" w:type="pct"/>
            <w:vMerge w:val="continue"/>
            <w:noWrap w:val="0"/>
            <w:vAlign w:val="center"/>
          </w:tcPr>
          <w:p w14:paraId="2D72004D">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322" w:type="pct"/>
            <w:noWrap w:val="0"/>
            <w:vAlign w:val="center"/>
          </w:tcPr>
          <w:p w14:paraId="6C951A2D">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亚硝酸盐氮</w:t>
            </w:r>
            <w:r>
              <w:rPr>
                <w:rFonts w:hint="default"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eastAsia="zh-CN"/>
              </w:rPr>
              <w:t>以</w:t>
            </w:r>
            <w:r>
              <w:rPr>
                <w:rFonts w:hint="default" w:ascii="Times New Roman" w:hAnsi="Times New Roman" w:eastAsia="宋体" w:cs="Times New Roman"/>
                <w:color w:val="auto"/>
                <w:sz w:val="21"/>
                <w:szCs w:val="21"/>
                <w:highlight w:val="none"/>
                <w:lang w:val="en-US" w:eastAsia="zh-CN"/>
              </w:rPr>
              <w:t>N计)</w:t>
            </w:r>
          </w:p>
        </w:tc>
        <w:tc>
          <w:tcPr>
            <w:tcW w:w="1399" w:type="pct"/>
            <w:noWrap w:val="0"/>
            <w:vAlign w:val="center"/>
          </w:tcPr>
          <w:p w14:paraId="3557FC70">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1.0</w:t>
            </w:r>
          </w:p>
        </w:tc>
        <w:tc>
          <w:tcPr>
            <w:tcW w:w="1575" w:type="pct"/>
            <w:vMerge w:val="continue"/>
            <w:noWrap w:val="0"/>
            <w:vAlign w:val="center"/>
          </w:tcPr>
          <w:p w14:paraId="247A965C">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18CF1AE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702" w:type="pct"/>
            <w:vMerge w:val="continue"/>
            <w:noWrap w:val="0"/>
            <w:vAlign w:val="center"/>
          </w:tcPr>
          <w:p w14:paraId="55CF9511">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322" w:type="pct"/>
            <w:noWrap w:val="0"/>
            <w:vAlign w:val="center"/>
          </w:tcPr>
          <w:p w14:paraId="7D3F7D19">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氯化物</w:t>
            </w:r>
          </w:p>
        </w:tc>
        <w:tc>
          <w:tcPr>
            <w:tcW w:w="1399" w:type="pct"/>
            <w:noWrap w:val="0"/>
            <w:vAlign w:val="center"/>
          </w:tcPr>
          <w:p w14:paraId="580B2E02">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250</w:t>
            </w:r>
          </w:p>
        </w:tc>
        <w:tc>
          <w:tcPr>
            <w:tcW w:w="1575" w:type="pct"/>
            <w:vMerge w:val="continue"/>
            <w:noWrap w:val="0"/>
            <w:vAlign w:val="center"/>
          </w:tcPr>
          <w:p w14:paraId="6C2830DB">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6F371FC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702" w:type="pct"/>
            <w:vMerge w:val="continue"/>
            <w:noWrap w:val="0"/>
            <w:vAlign w:val="center"/>
          </w:tcPr>
          <w:p w14:paraId="1216D0CD">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322" w:type="pct"/>
            <w:noWrap w:val="0"/>
            <w:vAlign w:val="center"/>
          </w:tcPr>
          <w:p w14:paraId="7E9FC4F0">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eastAsia="zh-CN"/>
              </w:rPr>
              <w:t>氰化物</w:t>
            </w:r>
          </w:p>
        </w:tc>
        <w:tc>
          <w:tcPr>
            <w:tcW w:w="1399" w:type="pct"/>
            <w:noWrap w:val="0"/>
            <w:vAlign w:val="center"/>
          </w:tcPr>
          <w:p w14:paraId="7A174E6D">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0.05</w:t>
            </w:r>
          </w:p>
        </w:tc>
        <w:tc>
          <w:tcPr>
            <w:tcW w:w="1575" w:type="pct"/>
            <w:vMerge w:val="continue"/>
            <w:noWrap w:val="0"/>
            <w:vAlign w:val="center"/>
          </w:tcPr>
          <w:p w14:paraId="46C037B6">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39FF6A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702" w:type="pct"/>
            <w:vMerge w:val="continue"/>
            <w:noWrap w:val="0"/>
            <w:vAlign w:val="center"/>
          </w:tcPr>
          <w:p w14:paraId="26085365">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322" w:type="pct"/>
            <w:noWrap w:val="0"/>
            <w:vAlign w:val="center"/>
          </w:tcPr>
          <w:p w14:paraId="44C1E2A1">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eastAsia="zh-CN"/>
              </w:rPr>
              <w:t>硫酸盐</w:t>
            </w:r>
          </w:p>
        </w:tc>
        <w:tc>
          <w:tcPr>
            <w:tcW w:w="1399" w:type="pct"/>
            <w:noWrap w:val="0"/>
            <w:vAlign w:val="center"/>
          </w:tcPr>
          <w:p w14:paraId="7954747C">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250</w:t>
            </w:r>
          </w:p>
        </w:tc>
        <w:tc>
          <w:tcPr>
            <w:tcW w:w="1575" w:type="pct"/>
            <w:vMerge w:val="continue"/>
            <w:noWrap w:val="0"/>
            <w:vAlign w:val="center"/>
          </w:tcPr>
          <w:p w14:paraId="7C692A3C">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1D2504E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702" w:type="pct"/>
            <w:vMerge w:val="continue"/>
            <w:noWrap w:val="0"/>
            <w:vAlign w:val="center"/>
          </w:tcPr>
          <w:p w14:paraId="60C7DB28">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322" w:type="pct"/>
            <w:noWrap w:val="0"/>
            <w:vAlign w:val="center"/>
          </w:tcPr>
          <w:p w14:paraId="7DB2C802">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eastAsia="zh-CN"/>
              </w:rPr>
              <w:t>挥发性酚类</w:t>
            </w:r>
          </w:p>
        </w:tc>
        <w:tc>
          <w:tcPr>
            <w:tcW w:w="1399" w:type="pct"/>
            <w:noWrap w:val="0"/>
            <w:vAlign w:val="center"/>
          </w:tcPr>
          <w:p w14:paraId="33A5AB5F">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0.002</w:t>
            </w:r>
          </w:p>
        </w:tc>
        <w:tc>
          <w:tcPr>
            <w:tcW w:w="1575" w:type="pct"/>
            <w:vMerge w:val="continue"/>
            <w:noWrap w:val="0"/>
            <w:vAlign w:val="center"/>
          </w:tcPr>
          <w:p w14:paraId="7FF359F4">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2BC8C53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702" w:type="pct"/>
            <w:vMerge w:val="continue"/>
            <w:noWrap w:val="0"/>
            <w:vAlign w:val="center"/>
          </w:tcPr>
          <w:p w14:paraId="4F045C6D">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322" w:type="pct"/>
            <w:noWrap w:val="0"/>
            <w:vAlign w:val="center"/>
          </w:tcPr>
          <w:p w14:paraId="1BE63142">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铁</w:t>
            </w:r>
          </w:p>
        </w:tc>
        <w:tc>
          <w:tcPr>
            <w:tcW w:w="1399" w:type="pct"/>
            <w:noWrap w:val="0"/>
            <w:vAlign w:val="center"/>
          </w:tcPr>
          <w:p w14:paraId="61EC89E8">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0.3</w:t>
            </w:r>
          </w:p>
        </w:tc>
        <w:tc>
          <w:tcPr>
            <w:tcW w:w="1575" w:type="pct"/>
            <w:vMerge w:val="continue"/>
            <w:noWrap w:val="0"/>
            <w:vAlign w:val="center"/>
          </w:tcPr>
          <w:p w14:paraId="2140A858">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2E3E620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702" w:type="pct"/>
            <w:vMerge w:val="continue"/>
            <w:noWrap w:val="0"/>
            <w:vAlign w:val="center"/>
          </w:tcPr>
          <w:p w14:paraId="5CD63FBD">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322" w:type="pct"/>
            <w:noWrap w:val="0"/>
            <w:vAlign w:val="center"/>
          </w:tcPr>
          <w:p w14:paraId="65B29ACB">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锰</w:t>
            </w:r>
          </w:p>
        </w:tc>
        <w:tc>
          <w:tcPr>
            <w:tcW w:w="1399" w:type="pct"/>
            <w:noWrap w:val="0"/>
            <w:vAlign w:val="center"/>
          </w:tcPr>
          <w:p w14:paraId="67DF14B8">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0.1</w:t>
            </w:r>
          </w:p>
        </w:tc>
        <w:tc>
          <w:tcPr>
            <w:tcW w:w="1575" w:type="pct"/>
            <w:vMerge w:val="continue"/>
            <w:noWrap w:val="0"/>
            <w:vAlign w:val="center"/>
          </w:tcPr>
          <w:p w14:paraId="19D8208D">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1DC9D9D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702" w:type="pct"/>
            <w:vMerge w:val="continue"/>
            <w:noWrap w:val="0"/>
            <w:vAlign w:val="center"/>
          </w:tcPr>
          <w:p w14:paraId="3AB31652">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322" w:type="pct"/>
            <w:noWrap w:val="0"/>
            <w:vAlign w:val="center"/>
          </w:tcPr>
          <w:p w14:paraId="2DCA0E76">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汞</w:t>
            </w:r>
          </w:p>
        </w:tc>
        <w:tc>
          <w:tcPr>
            <w:tcW w:w="1399" w:type="pct"/>
            <w:noWrap w:val="0"/>
            <w:vAlign w:val="center"/>
          </w:tcPr>
          <w:p w14:paraId="10E0E2B8">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0.001</w:t>
            </w:r>
          </w:p>
        </w:tc>
        <w:tc>
          <w:tcPr>
            <w:tcW w:w="1575" w:type="pct"/>
            <w:vMerge w:val="continue"/>
            <w:noWrap w:val="0"/>
            <w:vAlign w:val="center"/>
          </w:tcPr>
          <w:p w14:paraId="0A60234D">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07E0CA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702" w:type="pct"/>
            <w:vMerge w:val="continue"/>
            <w:noWrap w:val="0"/>
            <w:vAlign w:val="center"/>
          </w:tcPr>
          <w:p w14:paraId="5BD2A1C7">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322" w:type="pct"/>
            <w:noWrap w:val="0"/>
            <w:vAlign w:val="center"/>
          </w:tcPr>
          <w:p w14:paraId="310E7FCC">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砷</w:t>
            </w:r>
          </w:p>
        </w:tc>
        <w:tc>
          <w:tcPr>
            <w:tcW w:w="1399" w:type="pct"/>
            <w:noWrap w:val="0"/>
            <w:vAlign w:val="center"/>
          </w:tcPr>
          <w:p w14:paraId="47C13F49">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0.01</w:t>
            </w:r>
          </w:p>
        </w:tc>
        <w:tc>
          <w:tcPr>
            <w:tcW w:w="1575" w:type="pct"/>
            <w:vMerge w:val="continue"/>
            <w:noWrap w:val="0"/>
            <w:vAlign w:val="center"/>
          </w:tcPr>
          <w:p w14:paraId="26D944BD">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00B2020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702" w:type="pct"/>
            <w:vMerge w:val="continue"/>
            <w:noWrap w:val="0"/>
            <w:vAlign w:val="center"/>
          </w:tcPr>
          <w:p w14:paraId="3B6584F7">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322" w:type="pct"/>
            <w:noWrap w:val="0"/>
            <w:vAlign w:val="center"/>
          </w:tcPr>
          <w:p w14:paraId="6B11BABE">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铅</w:t>
            </w:r>
          </w:p>
        </w:tc>
        <w:tc>
          <w:tcPr>
            <w:tcW w:w="1399" w:type="pct"/>
            <w:noWrap w:val="0"/>
            <w:vAlign w:val="center"/>
          </w:tcPr>
          <w:p w14:paraId="383F47CC">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0.01</w:t>
            </w:r>
          </w:p>
        </w:tc>
        <w:tc>
          <w:tcPr>
            <w:tcW w:w="1575" w:type="pct"/>
            <w:vMerge w:val="continue"/>
            <w:noWrap w:val="0"/>
            <w:vAlign w:val="center"/>
          </w:tcPr>
          <w:p w14:paraId="350E14A6">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48B27D6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702" w:type="pct"/>
            <w:vMerge w:val="continue"/>
            <w:noWrap w:val="0"/>
            <w:vAlign w:val="center"/>
          </w:tcPr>
          <w:p w14:paraId="6EDDD407">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322" w:type="pct"/>
            <w:noWrap w:val="0"/>
            <w:vAlign w:val="center"/>
          </w:tcPr>
          <w:p w14:paraId="78DBC05A">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eastAsia="zh-CN"/>
              </w:rPr>
              <w:t>氟化物</w:t>
            </w:r>
          </w:p>
        </w:tc>
        <w:tc>
          <w:tcPr>
            <w:tcW w:w="1399" w:type="pct"/>
            <w:noWrap w:val="0"/>
            <w:vAlign w:val="center"/>
          </w:tcPr>
          <w:p w14:paraId="2D8678EC">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1.0</w:t>
            </w:r>
          </w:p>
        </w:tc>
        <w:tc>
          <w:tcPr>
            <w:tcW w:w="1575" w:type="pct"/>
            <w:vMerge w:val="continue"/>
            <w:noWrap w:val="0"/>
            <w:vAlign w:val="center"/>
          </w:tcPr>
          <w:p w14:paraId="745B6F15">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7B38183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702" w:type="pct"/>
            <w:vMerge w:val="continue"/>
            <w:noWrap w:val="0"/>
            <w:vAlign w:val="center"/>
          </w:tcPr>
          <w:p w14:paraId="6B8FE96A">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322" w:type="pct"/>
            <w:noWrap w:val="0"/>
            <w:vAlign w:val="center"/>
          </w:tcPr>
          <w:p w14:paraId="100779AD">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镉</w:t>
            </w:r>
          </w:p>
        </w:tc>
        <w:tc>
          <w:tcPr>
            <w:tcW w:w="1399" w:type="pct"/>
            <w:noWrap w:val="0"/>
            <w:vAlign w:val="center"/>
          </w:tcPr>
          <w:p w14:paraId="3B10FAFA">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0.005</w:t>
            </w:r>
          </w:p>
        </w:tc>
        <w:tc>
          <w:tcPr>
            <w:tcW w:w="1575" w:type="pct"/>
            <w:vMerge w:val="continue"/>
            <w:noWrap w:val="0"/>
            <w:vAlign w:val="center"/>
          </w:tcPr>
          <w:p w14:paraId="650DE7D5">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5DF8FD4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702" w:type="pct"/>
            <w:vMerge w:val="continue"/>
            <w:noWrap w:val="0"/>
            <w:vAlign w:val="center"/>
          </w:tcPr>
          <w:p w14:paraId="2E888214">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322" w:type="pct"/>
            <w:noWrap w:val="0"/>
            <w:vAlign w:val="center"/>
          </w:tcPr>
          <w:p w14:paraId="71749C8C">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铬</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六价</w:t>
            </w:r>
            <w:r>
              <w:rPr>
                <w:rFonts w:hint="default" w:ascii="Times New Roman" w:hAnsi="Times New Roman" w:eastAsia="宋体" w:cs="Times New Roman"/>
                <w:color w:val="auto"/>
                <w:sz w:val="21"/>
                <w:szCs w:val="21"/>
                <w:highlight w:val="none"/>
                <w:lang w:eastAsia="zh-CN"/>
              </w:rPr>
              <w:t>）</w:t>
            </w:r>
          </w:p>
        </w:tc>
        <w:tc>
          <w:tcPr>
            <w:tcW w:w="1399" w:type="pct"/>
            <w:noWrap w:val="0"/>
            <w:vAlign w:val="center"/>
          </w:tcPr>
          <w:p w14:paraId="5D1328F6">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0.05</w:t>
            </w:r>
          </w:p>
        </w:tc>
        <w:tc>
          <w:tcPr>
            <w:tcW w:w="1575" w:type="pct"/>
            <w:vMerge w:val="continue"/>
            <w:noWrap w:val="0"/>
            <w:vAlign w:val="center"/>
          </w:tcPr>
          <w:p w14:paraId="79384E32">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788FA2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702" w:type="pct"/>
            <w:vMerge w:val="continue"/>
            <w:noWrap w:val="0"/>
            <w:vAlign w:val="center"/>
          </w:tcPr>
          <w:p w14:paraId="6F1546DD">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322" w:type="pct"/>
            <w:noWrap w:val="0"/>
            <w:vAlign w:val="center"/>
          </w:tcPr>
          <w:p w14:paraId="2FF1D7C8">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eastAsia="zh-CN"/>
              </w:rPr>
              <w:t>细菌总数</w:t>
            </w:r>
          </w:p>
        </w:tc>
        <w:tc>
          <w:tcPr>
            <w:tcW w:w="1399" w:type="pct"/>
            <w:noWrap w:val="0"/>
            <w:vAlign w:val="center"/>
          </w:tcPr>
          <w:p w14:paraId="2BBC9C32">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100</w:t>
            </w:r>
          </w:p>
        </w:tc>
        <w:tc>
          <w:tcPr>
            <w:tcW w:w="1575" w:type="pct"/>
            <w:vMerge w:val="continue"/>
            <w:noWrap w:val="0"/>
            <w:vAlign w:val="center"/>
          </w:tcPr>
          <w:p w14:paraId="2C790149">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1D0E5F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702" w:type="pct"/>
            <w:vMerge w:val="continue"/>
            <w:noWrap w:val="0"/>
            <w:vAlign w:val="center"/>
          </w:tcPr>
          <w:p w14:paraId="356A0973">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322" w:type="pct"/>
            <w:noWrap w:val="0"/>
            <w:vAlign w:val="center"/>
          </w:tcPr>
          <w:p w14:paraId="2FA5D0E8">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总大肠菌群</w:t>
            </w:r>
          </w:p>
        </w:tc>
        <w:tc>
          <w:tcPr>
            <w:tcW w:w="1399" w:type="pct"/>
            <w:noWrap w:val="0"/>
            <w:vAlign w:val="center"/>
          </w:tcPr>
          <w:p w14:paraId="11DDF5EF">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3.0</w:t>
            </w:r>
          </w:p>
        </w:tc>
        <w:tc>
          <w:tcPr>
            <w:tcW w:w="1575" w:type="pct"/>
            <w:vMerge w:val="continue"/>
            <w:noWrap w:val="0"/>
            <w:vAlign w:val="center"/>
          </w:tcPr>
          <w:p w14:paraId="2EA936F9">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738F80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702" w:type="pct"/>
            <w:vMerge w:val="continue"/>
            <w:noWrap w:val="0"/>
            <w:vAlign w:val="center"/>
          </w:tcPr>
          <w:p w14:paraId="507B70BC">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322" w:type="pct"/>
            <w:noWrap w:val="0"/>
            <w:vAlign w:val="center"/>
          </w:tcPr>
          <w:p w14:paraId="5ED2FC8C">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石油类</w:t>
            </w:r>
          </w:p>
        </w:tc>
        <w:tc>
          <w:tcPr>
            <w:tcW w:w="1399" w:type="pct"/>
            <w:noWrap w:val="0"/>
            <w:vAlign w:val="center"/>
          </w:tcPr>
          <w:p w14:paraId="282DBA74">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≤0.</w:t>
            </w:r>
            <w:r>
              <w:rPr>
                <w:rFonts w:hint="default" w:ascii="Times New Roman" w:hAnsi="Times New Roman" w:eastAsia="宋体" w:cs="Times New Roman"/>
                <w:color w:val="auto"/>
                <w:sz w:val="21"/>
                <w:szCs w:val="21"/>
                <w:highlight w:val="none"/>
                <w:lang w:val="en-US" w:eastAsia="zh-CN"/>
              </w:rPr>
              <w:t>05</w:t>
            </w:r>
          </w:p>
        </w:tc>
        <w:tc>
          <w:tcPr>
            <w:tcW w:w="1575" w:type="pct"/>
            <w:noWrap w:val="0"/>
            <w:vAlign w:val="center"/>
          </w:tcPr>
          <w:p w14:paraId="7E854C39">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《地表水环境质量标准》（GB3838-2002）Ⅲ类标准</w:t>
            </w:r>
          </w:p>
        </w:tc>
      </w:tr>
    </w:tbl>
    <w:p w14:paraId="6348B716">
      <w:pPr>
        <w:pageBreakBefore w:val="0"/>
        <w:widowControl w:val="0"/>
        <w:numPr>
          <w:ilvl w:val="0"/>
          <w:numId w:val="14"/>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sz w:val="24"/>
          <w:highlight w:val="none"/>
          <w:lang w:val="en-US" w:eastAsia="zh-CN"/>
          <w14:textFill>
            <w14:solidFill>
              <w14:schemeClr w14:val="tx1"/>
            </w14:solidFill>
          </w14:textFill>
        </w:rPr>
        <w:t>土壤环境质量标准单位：mg/kg</w:t>
      </w:r>
    </w:p>
    <w:tbl>
      <w:tblPr>
        <w:tblStyle w:val="47"/>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1180"/>
        <w:gridCol w:w="3224"/>
        <w:gridCol w:w="2347"/>
        <w:gridCol w:w="2347"/>
      </w:tblGrid>
      <w:tr w14:paraId="1710198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noWrap w:val="0"/>
            <w:vAlign w:val="center"/>
          </w:tcPr>
          <w:p w14:paraId="63A6F05C">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环境要素</w:t>
            </w:r>
          </w:p>
        </w:tc>
        <w:tc>
          <w:tcPr>
            <w:tcW w:w="1771" w:type="pct"/>
            <w:noWrap w:val="0"/>
            <w:vAlign w:val="center"/>
          </w:tcPr>
          <w:p w14:paraId="61CFDF96">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污染物</w:t>
            </w:r>
          </w:p>
        </w:tc>
        <w:tc>
          <w:tcPr>
            <w:tcW w:w="1289" w:type="pct"/>
            <w:noWrap w:val="0"/>
            <w:vAlign w:val="center"/>
          </w:tcPr>
          <w:p w14:paraId="7303FD60">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GB36600-2018</w:t>
            </w:r>
          </w:p>
        </w:tc>
        <w:tc>
          <w:tcPr>
            <w:tcW w:w="1289" w:type="pct"/>
            <w:noWrap w:val="0"/>
            <w:vAlign w:val="center"/>
          </w:tcPr>
          <w:p w14:paraId="504E2911">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DB13/T5216-2022</w:t>
            </w:r>
          </w:p>
        </w:tc>
      </w:tr>
      <w:tr w14:paraId="7179D01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restart"/>
            <w:noWrap w:val="0"/>
            <w:vAlign w:val="center"/>
          </w:tcPr>
          <w:p w14:paraId="726AFF98">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土壤</w:t>
            </w:r>
          </w:p>
        </w:tc>
        <w:tc>
          <w:tcPr>
            <w:tcW w:w="1771" w:type="pct"/>
            <w:noWrap w:val="0"/>
            <w:vAlign w:val="center"/>
          </w:tcPr>
          <w:p w14:paraId="1F4CDC5D">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砷</w:t>
            </w:r>
          </w:p>
        </w:tc>
        <w:tc>
          <w:tcPr>
            <w:tcW w:w="1289" w:type="pct"/>
            <w:noWrap w:val="0"/>
            <w:vAlign w:val="center"/>
          </w:tcPr>
          <w:p w14:paraId="1919130D">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60</w:t>
            </w:r>
          </w:p>
        </w:tc>
        <w:tc>
          <w:tcPr>
            <w:tcW w:w="1289" w:type="pct"/>
            <w:noWrap w:val="0"/>
            <w:vAlign w:val="center"/>
          </w:tcPr>
          <w:p w14:paraId="3AADAE90">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089DA64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7D60D08A">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1B175B25">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镉</w:t>
            </w:r>
          </w:p>
        </w:tc>
        <w:tc>
          <w:tcPr>
            <w:tcW w:w="1289" w:type="pct"/>
            <w:noWrap w:val="0"/>
            <w:vAlign w:val="center"/>
          </w:tcPr>
          <w:p w14:paraId="33814E3D">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65</w:t>
            </w:r>
          </w:p>
        </w:tc>
        <w:tc>
          <w:tcPr>
            <w:tcW w:w="1289" w:type="pct"/>
            <w:noWrap w:val="0"/>
            <w:vAlign w:val="center"/>
          </w:tcPr>
          <w:p w14:paraId="54484F97">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10CBE3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4EF1C7F7">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0E6438DB">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铬（六价）</w:t>
            </w:r>
          </w:p>
        </w:tc>
        <w:tc>
          <w:tcPr>
            <w:tcW w:w="1289" w:type="pct"/>
            <w:noWrap w:val="0"/>
            <w:vAlign w:val="center"/>
          </w:tcPr>
          <w:p w14:paraId="37B1AA03">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5.7</w:t>
            </w:r>
          </w:p>
        </w:tc>
        <w:tc>
          <w:tcPr>
            <w:tcW w:w="1289" w:type="pct"/>
            <w:noWrap w:val="0"/>
            <w:vAlign w:val="center"/>
          </w:tcPr>
          <w:p w14:paraId="07DC09DF">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2A8A773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6E479363">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446E8CF0">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铜</w:t>
            </w:r>
          </w:p>
        </w:tc>
        <w:tc>
          <w:tcPr>
            <w:tcW w:w="1289" w:type="pct"/>
            <w:noWrap w:val="0"/>
            <w:vAlign w:val="center"/>
          </w:tcPr>
          <w:p w14:paraId="0AC56B3F">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18000</w:t>
            </w:r>
          </w:p>
        </w:tc>
        <w:tc>
          <w:tcPr>
            <w:tcW w:w="1289" w:type="pct"/>
            <w:noWrap w:val="0"/>
            <w:vAlign w:val="center"/>
          </w:tcPr>
          <w:p w14:paraId="5BC5D2B9">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0BCA687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7EEC2FE7">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6265EA7B">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铅</w:t>
            </w:r>
          </w:p>
        </w:tc>
        <w:tc>
          <w:tcPr>
            <w:tcW w:w="1289" w:type="pct"/>
            <w:noWrap w:val="0"/>
            <w:vAlign w:val="center"/>
          </w:tcPr>
          <w:p w14:paraId="20592E37">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800</w:t>
            </w:r>
          </w:p>
        </w:tc>
        <w:tc>
          <w:tcPr>
            <w:tcW w:w="1289" w:type="pct"/>
            <w:noWrap w:val="0"/>
            <w:vAlign w:val="center"/>
          </w:tcPr>
          <w:p w14:paraId="66FB9BD3">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16BDB4B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55272967">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5E0CA69F">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汞</w:t>
            </w:r>
          </w:p>
        </w:tc>
        <w:tc>
          <w:tcPr>
            <w:tcW w:w="1289" w:type="pct"/>
            <w:noWrap w:val="0"/>
            <w:vAlign w:val="center"/>
          </w:tcPr>
          <w:p w14:paraId="59A408E0">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38</w:t>
            </w:r>
          </w:p>
        </w:tc>
        <w:tc>
          <w:tcPr>
            <w:tcW w:w="1289" w:type="pct"/>
            <w:noWrap w:val="0"/>
            <w:vAlign w:val="center"/>
          </w:tcPr>
          <w:p w14:paraId="247BAFFD">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6AD57D6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62A5C477">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49DEF796">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镍</w:t>
            </w:r>
          </w:p>
        </w:tc>
        <w:tc>
          <w:tcPr>
            <w:tcW w:w="1289" w:type="pct"/>
            <w:noWrap w:val="0"/>
            <w:vAlign w:val="center"/>
          </w:tcPr>
          <w:p w14:paraId="607E59C9">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900</w:t>
            </w:r>
          </w:p>
        </w:tc>
        <w:tc>
          <w:tcPr>
            <w:tcW w:w="1289" w:type="pct"/>
            <w:noWrap w:val="0"/>
            <w:vAlign w:val="center"/>
          </w:tcPr>
          <w:p w14:paraId="73C790D6">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1EEA94E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48A9DFBF">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78864B5E">
            <w:pPr>
              <w:spacing w:line="34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锌</w:t>
            </w:r>
          </w:p>
        </w:tc>
        <w:tc>
          <w:tcPr>
            <w:tcW w:w="1289" w:type="pct"/>
            <w:noWrap w:val="0"/>
            <w:vAlign w:val="center"/>
          </w:tcPr>
          <w:p w14:paraId="1F56A52B">
            <w:pPr>
              <w:spacing w:line="34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w:t>
            </w:r>
          </w:p>
        </w:tc>
        <w:tc>
          <w:tcPr>
            <w:tcW w:w="1289" w:type="pct"/>
            <w:noWrap w:val="0"/>
            <w:vAlign w:val="center"/>
          </w:tcPr>
          <w:p w14:paraId="50F23E2E">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w:t>
            </w:r>
          </w:p>
        </w:tc>
      </w:tr>
      <w:tr w14:paraId="43A412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30D9FA78">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0C7A46A5">
            <w:pPr>
              <w:spacing w:line="340" w:lineRule="exact"/>
              <w:ind w:firstLine="0" w:firstLineChars="0"/>
              <w:jc w:val="center"/>
              <w:rPr>
                <w:rFonts w:hint="eastAsia"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四氯化碳</w:t>
            </w:r>
          </w:p>
        </w:tc>
        <w:tc>
          <w:tcPr>
            <w:tcW w:w="1289" w:type="pct"/>
            <w:noWrap w:val="0"/>
            <w:vAlign w:val="center"/>
          </w:tcPr>
          <w:p w14:paraId="46587B77">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2.8</w:t>
            </w:r>
          </w:p>
        </w:tc>
        <w:tc>
          <w:tcPr>
            <w:tcW w:w="1289" w:type="pct"/>
            <w:noWrap w:val="0"/>
            <w:vAlign w:val="center"/>
          </w:tcPr>
          <w:p w14:paraId="5ED35E07">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3AA3A0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568D590E">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14581EE8">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氯仿</w:t>
            </w:r>
          </w:p>
        </w:tc>
        <w:tc>
          <w:tcPr>
            <w:tcW w:w="1289" w:type="pct"/>
            <w:noWrap w:val="0"/>
            <w:vAlign w:val="center"/>
          </w:tcPr>
          <w:p w14:paraId="761F1353">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0.9</w:t>
            </w:r>
          </w:p>
        </w:tc>
        <w:tc>
          <w:tcPr>
            <w:tcW w:w="1289" w:type="pct"/>
            <w:noWrap w:val="0"/>
            <w:vAlign w:val="center"/>
          </w:tcPr>
          <w:p w14:paraId="421A61E0">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2D045D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3A0158D7">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35B1C550">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氯甲烷</w:t>
            </w:r>
          </w:p>
        </w:tc>
        <w:tc>
          <w:tcPr>
            <w:tcW w:w="1289" w:type="pct"/>
            <w:noWrap w:val="0"/>
            <w:vAlign w:val="center"/>
          </w:tcPr>
          <w:p w14:paraId="0826F76C">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37</w:t>
            </w:r>
          </w:p>
        </w:tc>
        <w:tc>
          <w:tcPr>
            <w:tcW w:w="1289" w:type="pct"/>
            <w:noWrap w:val="0"/>
            <w:vAlign w:val="center"/>
          </w:tcPr>
          <w:p w14:paraId="2BDFA400">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1982ADB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0D378F69">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110DE3D1">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1-二氯乙烷</w:t>
            </w:r>
          </w:p>
        </w:tc>
        <w:tc>
          <w:tcPr>
            <w:tcW w:w="1289" w:type="pct"/>
            <w:noWrap w:val="0"/>
            <w:vAlign w:val="center"/>
          </w:tcPr>
          <w:p w14:paraId="57D9E0BA">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9</w:t>
            </w:r>
          </w:p>
        </w:tc>
        <w:tc>
          <w:tcPr>
            <w:tcW w:w="1289" w:type="pct"/>
            <w:noWrap w:val="0"/>
            <w:vAlign w:val="center"/>
          </w:tcPr>
          <w:p w14:paraId="25393ACC">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39DA3DC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63696AFF">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7A1C5F6D">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2-二氯乙烷</w:t>
            </w:r>
          </w:p>
        </w:tc>
        <w:tc>
          <w:tcPr>
            <w:tcW w:w="1289" w:type="pct"/>
            <w:noWrap w:val="0"/>
            <w:vAlign w:val="center"/>
          </w:tcPr>
          <w:p w14:paraId="6AAF9B7F">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5</w:t>
            </w:r>
          </w:p>
        </w:tc>
        <w:tc>
          <w:tcPr>
            <w:tcW w:w="1289" w:type="pct"/>
            <w:noWrap w:val="0"/>
            <w:vAlign w:val="center"/>
          </w:tcPr>
          <w:p w14:paraId="58FAE23A">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3C506D0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4A097816">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07A21AE3">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1-二氯乙烯</w:t>
            </w:r>
          </w:p>
        </w:tc>
        <w:tc>
          <w:tcPr>
            <w:tcW w:w="1289" w:type="pct"/>
            <w:noWrap w:val="0"/>
            <w:vAlign w:val="center"/>
          </w:tcPr>
          <w:p w14:paraId="76C40D8C">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66</w:t>
            </w:r>
          </w:p>
        </w:tc>
        <w:tc>
          <w:tcPr>
            <w:tcW w:w="1289" w:type="pct"/>
            <w:noWrap w:val="0"/>
            <w:vAlign w:val="center"/>
          </w:tcPr>
          <w:p w14:paraId="52EF2B14">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5BB6FA2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72B21792">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2BB0851F">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顺-1</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2二氯乙烯</w:t>
            </w:r>
          </w:p>
        </w:tc>
        <w:tc>
          <w:tcPr>
            <w:tcW w:w="1289" w:type="pct"/>
            <w:noWrap w:val="0"/>
            <w:vAlign w:val="center"/>
          </w:tcPr>
          <w:p w14:paraId="5EBDE02C">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596</w:t>
            </w:r>
          </w:p>
        </w:tc>
        <w:tc>
          <w:tcPr>
            <w:tcW w:w="1289" w:type="pct"/>
            <w:noWrap w:val="0"/>
            <w:vAlign w:val="center"/>
          </w:tcPr>
          <w:p w14:paraId="5115F74E">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56EE852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7CA97EF0">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5E692C88">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反-1</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2二氯乙烯</w:t>
            </w:r>
          </w:p>
        </w:tc>
        <w:tc>
          <w:tcPr>
            <w:tcW w:w="1289" w:type="pct"/>
            <w:noWrap w:val="0"/>
            <w:vAlign w:val="center"/>
          </w:tcPr>
          <w:p w14:paraId="34728BCE">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54</w:t>
            </w:r>
          </w:p>
        </w:tc>
        <w:tc>
          <w:tcPr>
            <w:tcW w:w="1289" w:type="pct"/>
            <w:noWrap w:val="0"/>
            <w:vAlign w:val="center"/>
          </w:tcPr>
          <w:p w14:paraId="0EDC8AEB">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23736F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167BDC44">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0FB80EA8">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二氯甲烷</w:t>
            </w:r>
          </w:p>
        </w:tc>
        <w:tc>
          <w:tcPr>
            <w:tcW w:w="1289" w:type="pct"/>
            <w:noWrap w:val="0"/>
            <w:vAlign w:val="center"/>
          </w:tcPr>
          <w:p w14:paraId="0C371D61">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616</w:t>
            </w:r>
          </w:p>
        </w:tc>
        <w:tc>
          <w:tcPr>
            <w:tcW w:w="1289" w:type="pct"/>
            <w:noWrap w:val="0"/>
            <w:vAlign w:val="center"/>
          </w:tcPr>
          <w:p w14:paraId="6963D2C1">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30EA07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15FF479A">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6E7C5523">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2-二氯丙烷</w:t>
            </w:r>
          </w:p>
        </w:tc>
        <w:tc>
          <w:tcPr>
            <w:tcW w:w="1289" w:type="pct"/>
            <w:noWrap w:val="0"/>
            <w:vAlign w:val="center"/>
          </w:tcPr>
          <w:p w14:paraId="18345B80">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5</w:t>
            </w:r>
          </w:p>
        </w:tc>
        <w:tc>
          <w:tcPr>
            <w:tcW w:w="1289" w:type="pct"/>
            <w:noWrap w:val="0"/>
            <w:vAlign w:val="center"/>
          </w:tcPr>
          <w:p w14:paraId="5C83D93F">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6D6703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0ACC01C5">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26A14F94">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1</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1</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2-四氯乙烷</w:t>
            </w:r>
          </w:p>
        </w:tc>
        <w:tc>
          <w:tcPr>
            <w:tcW w:w="1289" w:type="pct"/>
            <w:noWrap w:val="0"/>
            <w:vAlign w:val="center"/>
          </w:tcPr>
          <w:p w14:paraId="4A6371CB">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10</w:t>
            </w:r>
          </w:p>
        </w:tc>
        <w:tc>
          <w:tcPr>
            <w:tcW w:w="1289" w:type="pct"/>
            <w:noWrap w:val="0"/>
            <w:vAlign w:val="center"/>
          </w:tcPr>
          <w:p w14:paraId="403CD4D4">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37BD335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745C2776">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5E961F05">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1</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2</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2-四氯乙烷</w:t>
            </w:r>
          </w:p>
        </w:tc>
        <w:tc>
          <w:tcPr>
            <w:tcW w:w="1289" w:type="pct"/>
            <w:noWrap w:val="0"/>
            <w:vAlign w:val="center"/>
          </w:tcPr>
          <w:p w14:paraId="62BEBF1E">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6.8</w:t>
            </w:r>
          </w:p>
        </w:tc>
        <w:tc>
          <w:tcPr>
            <w:tcW w:w="1289" w:type="pct"/>
            <w:noWrap w:val="0"/>
            <w:vAlign w:val="center"/>
          </w:tcPr>
          <w:p w14:paraId="749C1E83">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0BBDD9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73B9D657">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11D0789A">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四氯乙烯</w:t>
            </w:r>
          </w:p>
        </w:tc>
        <w:tc>
          <w:tcPr>
            <w:tcW w:w="1289" w:type="pct"/>
            <w:noWrap w:val="0"/>
            <w:vAlign w:val="center"/>
          </w:tcPr>
          <w:p w14:paraId="389BDAB1">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53</w:t>
            </w:r>
          </w:p>
        </w:tc>
        <w:tc>
          <w:tcPr>
            <w:tcW w:w="1289" w:type="pct"/>
            <w:noWrap w:val="0"/>
            <w:vAlign w:val="center"/>
          </w:tcPr>
          <w:p w14:paraId="07024C12">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7605943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63674DD2">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50DC9A34">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1，1</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1</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-三氯乙烷</w:t>
            </w:r>
          </w:p>
        </w:tc>
        <w:tc>
          <w:tcPr>
            <w:tcW w:w="1289" w:type="pct"/>
            <w:noWrap w:val="0"/>
            <w:vAlign w:val="center"/>
          </w:tcPr>
          <w:p w14:paraId="06EC6754">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840</w:t>
            </w:r>
          </w:p>
        </w:tc>
        <w:tc>
          <w:tcPr>
            <w:tcW w:w="1289" w:type="pct"/>
            <w:noWrap w:val="0"/>
            <w:vAlign w:val="center"/>
          </w:tcPr>
          <w:p w14:paraId="39E41AAB">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72F0A49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15909131">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3119ED93">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1</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2-三氯乙烷</w:t>
            </w:r>
          </w:p>
        </w:tc>
        <w:tc>
          <w:tcPr>
            <w:tcW w:w="1289" w:type="pct"/>
            <w:noWrap w:val="0"/>
            <w:vAlign w:val="center"/>
          </w:tcPr>
          <w:p w14:paraId="716E9FD1">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2.8</w:t>
            </w:r>
          </w:p>
        </w:tc>
        <w:tc>
          <w:tcPr>
            <w:tcW w:w="1289" w:type="pct"/>
            <w:noWrap w:val="0"/>
            <w:vAlign w:val="center"/>
          </w:tcPr>
          <w:p w14:paraId="4BC534D9">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480DDC2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223F43B7">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3EAB8758">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三氯乙烯</w:t>
            </w:r>
          </w:p>
        </w:tc>
        <w:tc>
          <w:tcPr>
            <w:tcW w:w="1289" w:type="pct"/>
            <w:noWrap w:val="0"/>
            <w:vAlign w:val="center"/>
          </w:tcPr>
          <w:p w14:paraId="2351CA5F">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2.8</w:t>
            </w:r>
          </w:p>
        </w:tc>
        <w:tc>
          <w:tcPr>
            <w:tcW w:w="1289" w:type="pct"/>
            <w:noWrap w:val="0"/>
            <w:vAlign w:val="center"/>
          </w:tcPr>
          <w:p w14:paraId="089662D6">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716A373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29B2BD91">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360389F2">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2</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3-三氯丙烷</w:t>
            </w:r>
          </w:p>
        </w:tc>
        <w:tc>
          <w:tcPr>
            <w:tcW w:w="1289" w:type="pct"/>
            <w:noWrap w:val="0"/>
            <w:vAlign w:val="center"/>
          </w:tcPr>
          <w:p w14:paraId="2AD3C5D0">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0.5</w:t>
            </w:r>
          </w:p>
        </w:tc>
        <w:tc>
          <w:tcPr>
            <w:tcW w:w="1289" w:type="pct"/>
            <w:noWrap w:val="0"/>
            <w:vAlign w:val="center"/>
          </w:tcPr>
          <w:p w14:paraId="20E8CAC0">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30742B2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4C535469">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72E9B12B">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氯乙烯</w:t>
            </w:r>
          </w:p>
        </w:tc>
        <w:tc>
          <w:tcPr>
            <w:tcW w:w="1289" w:type="pct"/>
            <w:noWrap w:val="0"/>
            <w:vAlign w:val="center"/>
          </w:tcPr>
          <w:p w14:paraId="5B459B96">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0.43</w:t>
            </w:r>
          </w:p>
        </w:tc>
        <w:tc>
          <w:tcPr>
            <w:tcW w:w="1289" w:type="pct"/>
            <w:noWrap w:val="0"/>
            <w:vAlign w:val="center"/>
          </w:tcPr>
          <w:p w14:paraId="4C4CD47B">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5545FEE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79363411">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14E2BBF2">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苯</w:t>
            </w:r>
          </w:p>
        </w:tc>
        <w:tc>
          <w:tcPr>
            <w:tcW w:w="1289" w:type="pct"/>
            <w:noWrap w:val="0"/>
            <w:vAlign w:val="center"/>
          </w:tcPr>
          <w:p w14:paraId="4B7BF8B6">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4</w:t>
            </w:r>
          </w:p>
        </w:tc>
        <w:tc>
          <w:tcPr>
            <w:tcW w:w="1289" w:type="pct"/>
            <w:noWrap w:val="0"/>
            <w:vAlign w:val="center"/>
          </w:tcPr>
          <w:p w14:paraId="763569A6">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0A448E2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439DBFB7">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2C87DFD0">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氯苯</w:t>
            </w:r>
          </w:p>
        </w:tc>
        <w:tc>
          <w:tcPr>
            <w:tcW w:w="1289" w:type="pct"/>
            <w:noWrap w:val="0"/>
            <w:vAlign w:val="center"/>
          </w:tcPr>
          <w:p w14:paraId="6171D9F6">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270</w:t>
            </w:r>
          </w:p>
        </w:tc>
        <w:tc>
          <w:tcPr>
            <w:tcW w:w="1289" w:type="pct"/>
            <w:noWrap w:val="0"/>
            <w:vAlign w:val="center"/>
          </w:tcPr>
          <w:p w14:paraId="66D116D3">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4742F35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147B0A28">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1980963E">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2-二氯苯</w:t>
            </w:r>
          </w:p>
        </w:tc>
        <w:tc>
          <w:tcPr>
            <w:tcW w:w="1289" w:type="pct"/>
            <w:noWrap w:val="0"/>
            <w:vAlign w:val="center"/>
          </w:tcPr>
          <w:p w14:paraId="0B2B8229">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560</w:t>
            </w:r>
          </w:p>
        </w:tc>
        <w:tc>
          <w:tcPr>
            <w:tcW w:w="1289" w:type="pct"/>
            <w:noWrap w:val="0"/>
            <w:vAlign w:val="center"/>
          </w:tcPr>
          <w:p w14:paraId="4D908CDF">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25009E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3F52BA4C">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58B191BF">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4-二氯苯</w:t>
            </w:r>
          </w:p>
        </w:tc>
        <w:tc>
          <w:tcPr>
            <w:tcW w:w="1289" w:type="pct"/>
            <w:noWrap w:val="0"/>
            <w:vAlign w:val="center"/>
          </w:tcPr>
          <w:p w14:paraId="453743A1">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20</w:t>
            </w:r>
          </w:p>
        </w:tc>
        <w:tc>
          <w:tcPr>
            <w:tcW w:w="1289" w:type="pct"/>
            <w:noWrap w:val="0"/>
            <w:vAlign w:val="center"/>
          </w:tcPr>
          <w:p w14:paraId="382B9579">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4D836B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246DA392">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55D49566">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乙苯</w:t>
            </w:r>
          </w:p>
        </w:tc>
        <w:tc>
          <w:tcPr>
            <w:tcW w:w="1289" w:type="pct"/>
            <w:noWrap w:val="0"/>
            <w:vAlign w:val="center"/>
          </w:tcPr>
          <w:p w14:paraId="7552D26E">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28</w:t>
            </w:r>
          </w:p>
        </w:tc>
        <w:tc>
          <w:tcPr>
            <w:tcW w:w="1289" w:type="pct"/>
            <w:noWrap w:val="0"/>
            <w:vAlign w:val="center"/>
          </w:tcPr>
          <w:p w14:paraId="38D60DA6">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79F82B3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70A298BB">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1AA61FA5">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苯乙烯</w:t>
            </w:r>
          </w:p>
        </w:tc>
        <w:tc>
          <w:tcPr>
            <w:tcW w:w="1289" w:type="pct"/>
            <w:noWrap w:val="0"/>
            <w:vAlign w:val="center"/>
          </w:tcPr>
          <w:p w14:paraId="6662CED9">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1290</w:t>
            </w:r>
          </w:p>
        </w:tc>
        <w:tc>
          <w:tcPr>
            <w:tcW w:w="1289" w:type="pct"/>
            <w:noWrap w:val="0"/>
            <w:vAlign w:val="center"/>
          </w:tcPr>
          <w:p w14:paraId="610B5A52">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1ADF6DF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60B228C3">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30F773F9">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甲苯</w:t>
            </w:r>
          </w:p>
        </w:tc>
        <w:tc>
          <w:tcPr>
            <w:tcW w:w="1289" w:type="pct"/>
            <w:noWrap w:val="0"/>
            <w:vAlign w:val="center"/>
          </w:tcPr>
          <w:p w14:paraId="11212E63">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1200</w:t>
            </w:r>
          </w:p>
        </w:tc>
        <w:tc>
          <w:tcPr>
            <w:tcW w:w="1289" w:type="pct"/>
            <w:noWrap w:val="0"/>
            <w:vAlign w:val="center"/>
          </w:tcPr>
          <w:p w14:paraId="1B7B2E2C">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5BD3825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center"/>
          </w:tcPr>
          <w:p w14:paraId="4BA39D77">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78D6E12B">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间二甲苯+对二甲苯</w:t>
            </w:r>
          </w:p>
        </w:tc>
        <w:tc>
          <w:tcPr>
            <w:tcW w:w="1289" w:type="pct"/>
            <w:noWrap w:val="0"/>
            <w:vAlign w:val="center"/>
          </w:tcPr>
          <w:p w14:paraId="2BE6F736">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570</w:t>
            </w:r>
          </w:p>
        </w:tc>
        <w:tc>
          <w:tcPr>
            <w:tcW w:w="1289" w:type="pct"/>
            <w:noWrap w:val="0"/>
            <w:vAlign w:val="center"/>
          </w:tcPr>
          <w:p w14:paraId="1DE3953C">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2840054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top"/>
          </w:tcPr>
          <w:p w14:paraId="5997F858">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31DCB1D2">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邻二甲苯</w:t>
            </w:r>
          </w:p>
        </w:tc>
        <w:tc>
          <w:tcPr>
            <w:tcW w:w="1289" w:type="pct"/>
            <w:noWrap w:val="0"/>
            <w:vAlign w:val="center"/>
          </w:tcPr>
          <w:p w14:paraId="55A859C9">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640</w:t>
            </w:r>
          </w:p>
        </w:tc>
        <w:tc>
          <w:tcPr>
            <w:tcW w:w="1289" w:type="pct"/>
            <w:noWrap w:val="0"/>
            <w:vAlign w:val="center"/>
          </w:tcPr>
          <w:p w14:paraId="4C47C33D">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267CE7D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top"/>
          </w:tcPr>
          <w:p w14:paraId="5D25272E">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7C4C1D53">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dfa</w:t>
            </w:r>
            <w:r>
              <w:rPr>
                <w:rFonts w:hint="default" w:ascii="Times New Roman" w:hAnsi="Times New Roman" w:eastAsia="宋体" w:cs="Times New Roman"/>
                <w:color w:val="auto"/>
                <w:sz w:val="21"/>
                <w:szCs w:val="21"/>
                <w:highlight w:val="none"/>
              </w:rPr>
              <w:t>硝基苯</w:t>
            </w:r>
          </w:p>
        </w:tc>
        <w:tc>
          <w:tcPr>
            <w:tcW w:w="1289" w:type="pct"/>
            <w:noWrap w:val="0"/>
            <w:vAlign w:val="center"/>
          </w:tcPr>
          <w:p w14:paraId="1F6414C0">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76</w:t>
            </w:r>
          </w:p>
        </w:tc>
        <w:tc>
          <w:tcPr>
            <w:tcW w:w="1289" w:type="pct"/>
            <w:noWrap w:val="0"/>
            <w:vAlign w:val="center"/>
          </w:tcPr>
          <w:p w14:paraId="4587F306">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2D07476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top"/>
          </w:tcPr>
          <w:p w14:paraId="20F384D0">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492E8C37">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苯胺</w:t>
            </w:r>
          </w:p>
        </w:tc>
        <w:tc>
          <w:tcPr>
            <w:tcW w:w="1289" w:type="pct"/>
            <w:noWrap w:val="0"/>
            <w:vAlign w:val="center"/>
          </w:tcPr>
          <w:p w14:paraId="3855B7C3">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260</w:t>
            </w:r>
          </w:p>
        </w:tc>
        <w:tc>
          <w:tcPr>
            <w:tcW w:w="1289" w:type="pct"/>
            <w:noWrap w:val="0"/>
            <w:vAlign w:val="center"/>
          </w:tcPr>
          <w:p w14:paraId="44BF0887">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6F651F9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top"/>
          </w:tcPr>
          <w:p w14:paraId="554D474E">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1309B37A">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2-氯酚</w:t>
            </w:r>
          </w:p>
        </w:tc>
        <w:tc>
          <w:tcPr>
            <w:tcW w:w="1289" w:type="pct"/>
            <w:noWrap w:val="0"/>
            <w:vAlign w:val="center"/>
          </w:tcPr>
          <w:p w14:paraId="109ACB54">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2256</w:t>
            </w:r>
          </w:p>
        </w:tc>
        <w:tc>
          <w:tcPr>
            <w:tcW w:w="1289" w:type="pct"/>
            <w:noWrap w:val="0"/>
            <w:vAlign w:val="center"/>
          </w:tcPr>
          <w:p w14:paraId="7D1F4A41">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0F2BED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top"/>
          </w:tcPr>
          <w:p w14:paraId="41583C62">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2D13E051">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苯并[a]蒽</w:t>
            </w:r>
          </w:p>
        </w:tc>
        <w:tc>
          <w:tcPr>
            <w:tcW w:w="1289" w:type="pct"/>
            <w:noWrap w:val="0"/>
            <w:vAlign w:val="center"/>
          </w:tcPr>
          <w:p w14:paraId="6B74F381">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15</w:t>
            </w:r>
          </w:p>
        </w:tc>
        <w:tc>
          <w:tcPr>
            <w:tcW w:w="1289" w:type="pct"/>
            <w:noWrap w:val="0"/>
            <w:vAlign w:val="center"/>
          </w:tcPr>
          <w:p w14:paraId="2D4F1499">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4B1741F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top"/>
          </w:tcPr>
          <w:p w14:paraId="2098E594">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4F01B54C">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苯并[a]芘</w:t>
            </w:r>
          </w:p>
        </w:tc>
        <w:tc>
          <w:tcPr>
            <w:tcW w:w="1289" w:type="pct"/>
            <w:noWrap w:val="0"/>
            <w:vAlign w:val="center"/>
          </w:tcPr>
          <w:p w14:paraId="0875F814">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1.5</w:t>
            </w:r>
          </w:p>
        </w:tc>
        <w:tc>
          <w:tcPr>
            <w:tcW w:w="1289" w:type="pct"/>
            <w:noWrap w:val="0"/>
            <w:vAlign w:val="center"/>
          </w:tcPr>
          <w:p w14:paraId="4CBF9AA7">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24A1F96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top"/>
          </w:tcPr>
          <w:p w14:paraId="4FD747AE">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5F352439">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苯并[b]荧蒽</w:t>
            </w:r>
          </w:p>
        </w:tc>
        <w:tc>
          <w:tcPr>
            <w:tcW w:w="1289" w:type="pct"/>
            <w:noWrap w:val="0"/>
            <w:vAlign w:val="center"/>
          </w:tcPr>
          <w:p w14:paraId="2216B559">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15</w:t>
            </w:r>
          </w:p>
        </w:tc>
        <w:tc>
          <w:tcPr>
            <w:tcW w:w="1289" w:type="pct"/>
            <w:noWrap w:val="0"/>
            <w:vAlign w:val="center"/>
          </w:tcPr>
          <w:p w14:paraId="36DA1662">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7ECE9FE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top"/>
          </w:tcPr>
          <w:p w14:paraId="43F88B95">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5B4A3E66">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苯并[k]荧蒽</w:t>
            </w:r>
          </w:p>
        </w:tc>
        <w:tc>
          <w:tcPr>
            <w:tcW w:w="1289" w:type="pct"/>
            <w:noWrap w:val="0"/>
            <w:vAlign w:val="center"/>
          </w:tcPr>
          <w:p w14:paraId="111D9969">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151</w:t>
            </w:r>
          </w:p>
        </w:tc>
        <w:tc>
          <w:tcPr>
            <w:tcW w:w="1289" w:type="pct"/>
            <w:noWrap w:val="0"/>
            <w:vAlign w:val="center"/>
          </w:tcPr>
          <w:p w14:paraId="47F95582">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603E24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top"/>
          </w:tcPr>
          <w:p w14:paraId="1304F83E">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0F7C4421">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䓛</w:t>
            </w:r>
          </w:p>
        </w:tc>
        <w:tc>
          <w:tcPr>
            <w:tcW w:w="1289" w:type="pct"/>
            <w:noWrap w:val="0"/>
            <w:vAlign w:val="center"/>
          </w:tcPr>
          <w:p w14:paraId="4449D55E">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1293</w:t>
            </w:r>
          </w:p>
        </w:tc>
        <w:tc>
          <w:tcPr>
            <w:tcW w:w="1289" w:type="pct"/>
            <w:noWrap w:val="0"/>
            <w:vAlign w:val="center"/>
          </w:tcPr>
          <w:p w14:paraId="5B7194F5">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5965F2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top"/>
          </w:tcPr>
          <w:p w14:paraId="5CB82E8B">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4BE683C8">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二苯并[a</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h]蒽</w:t>
            </w:r>
          </w:p>
        </w:tc>
        <w:tc>
          <w:tcPr>
            <w:tcW w:w="1289" w:type="pct"/>
            <w:noWrap w:val="0"/>
            <w:vAlign w:val="center"/>
          </w:tcPr>
          <w:p w14:paraId="029FE3F0">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1.5</w:t>
            </w:r>
          </w:p>
        </w:tc>
        <w:tc>
          <w:tcPr>
            <w:tcW w:w="1289" w:type="pct"/>
            <w:noWrap w:val="0"/>
            <w:vAlign w:val="center"/>
          </w:tcPr>
          <w:p w14:paraId="067BCC11">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4B0224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top"/>
          </w:tcPr>
          <w:p w14:paraId="2EDFB0C8">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4D720412">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茚[1</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2</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3-cd]并芘</w:t>
            </w:r>
          </w:p>
        </w:tc>
        <w:tc>
          <w:tcPr>
            <w:tcW w:w="1289" w:type="pct"/>
            <w:noWrap w:val="0"/>
            <w:vAlign w:val="center"/>
          </w:tcPr>
          <w:p w14:paraId="0ABE5713">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15</w:t>
            </w:r>
          </w:p>
        </w:tc>
        <w:tc>
          <w:tcPr>
            <w:tcW w:w="1289" w:type="pct"/>
            <w:noWrap w:val="0"/>
            <w:vAlign w:val="center"/>
          </w:tcPr>
          <w:p w14:paraId="6CEEE806">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7D9E1F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top"/>
          </w:tcPr>
          <w:p w14:paraId="5FA9AE8D">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73ADA6D8">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萘</w:t>
            </w:r>
          </w:p>
        </w:tc>
        <w:tc>
          <w:tcPr>
            <w:tcW w:w="1289" w:type="pct"/>
            <w:noWrap w:val="0"/>
            <w:vAlign w:val="center"/>
          </w:tcPr>
          <w:p w14:paraId="19B30442">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70</w:t>
            </w:r>
          </w:p>
        </w:tc>
        <w:tc>
          <w:tcPr>
            <w:tcW w:w="1289" w:type="pct"/>
            <w:noWrap w:val="0"/>
            <w:vAlign w:val="center"/>
          </w:tcPr>
          <w:p w14:paraId="7396DBEB">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2F7D38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top"/>
          </w:tcPr>
          <w:p w14:paraId="3854BB76">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3A8D726D">
            <w:pPr>
              <w:spacing w:line="34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石油烃（C10-C40）</w:t>
            </w:r>
          </w:p>
        </w:tc>
        <w:tc>
          <w:tcPr>
            <w:tcW w:w="1289" w:type="pct"/>
            <w:noWrap w:val="0"/>
            <w:vAlign w:val="center"/>
          </w:tcPr>
          <w:p w14:paraId="23F12A2A">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4500</w:t>
            </w:r>
          </w:p>
        </w:tc>
        <w:tc>
          <w:tcPr>
            <w:tcW w:w="1289" w:type="pct"/>
            <w:noWrap w:val="0"/>
            <w:vAlign w:val="center"/>
          </w:tcPr>
          <w:p w14:paraId="0A372CA1">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w:t>
            </w:r>
          </w:p>
        </w:tc>
      </w:tr>
      <w:tr w14:paraId="426ECE2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jc w:val="center"/>
        </w:trPr>
        <w:tc>
          <w:tcPr>
            <w:tcW w:w="648" w:type="pct"/>
            <w:vMerge w:val="continue"/>
            <w:noWrap w:val="0"/>
            <w:vAlign w:val="top"/>
          </w:tcPr>
          <w:p w14:paraId="604F0994">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771" w:type="pct"/>
            <w:noWrap w:val="0"/>
            <w:vAlign w:val="center"/>
          </w:tcPr>
          <w:p w14:paraId="5AB31553">
            <w:pPr>
              <w:spacing w:line="34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氨氮</w:t>
            </w:r>
          </w:p>
        </w:tc>
        <w:tc>
          <w:tcPr>
            <w:tcW w:w="1289" w:type="pct"/>
            <w:noWrap w:val="0"/>
            <w:vAlign w:val="center"/>
          </w:tcPr>
          <w:p w14:paraId="0003A581">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w:t>
            </w:r>
          </w:p>
        </w:tc>
        <w:tc>
          <w:tcPr>
            <w:tcW w:w="1289" w:type="pct"/>
            <w:noWrap w:val="0"/>
            <w:vAlign w:val="center"/>
          </w:tcPr>
          <w:p w14:paraId="39EDFD0B">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1200</w:t>
            </w:r>
          </w:p>
        </w:tc>
      </w:tr>
    </w:tbl>
    <w:p w14:paraId="29737B59">
      <w:pPr>
        <w:pStyle w:val="8"/>
        <w:bidi w:val="0"/>
        <w:rPr>
          <w:rFonts w:hint="default"/>
        </w:rPr>
      </w:pPr>
      <w:r>
        <w:rPr>
          <w:rFonts w:hint="default"/>
        </w:rPr>
        <w:t>2.6.1.2污染物排放标准</w:t>
      </w:r>
    </w:p>
    <w:p w14:paraId="2B0BCF97">
      <w:pPr>
        <w:spacing w:line="480" w:lineRule="exact"/>
        <w:ind w:firstLine="470" w:firstLineChars="196"/>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 w:val="24"/>
          <w:szCs w:val="24"/>
          <w:highlight w:val="none"/>
          <w14:textFill>
            <w14:solidFill>
              <w14:schemeClr w14:val="tx1"/>
            </w14:solidFill>
          </w14:textFill>
        </w:rPr>
        <w:t>(1)</w:t>
      </w:r>
      <w:r>
        <w:rPr>
          <w:rFonts w:hint="default" w:ascii="Times New Roman" w:hAnsi="Times New Roman" w:eastAsia="宋体" w:cs="Times New Roman"/>
          <w:color w:val="000000" w:themeColor="text1"/>
          <w:sz w:val="24"/>
          <w:szCs w:val="24"/>
          <w:highlight w:val="none"/>
          <w14:textFill>
            <w14:solidFill>
              <w14:schemeClr w14:val="tx1"/>
            </w14:solidFill>
          </w14:textFill>
        </w:rPr>
        <w:t>施工期</w:t>
      </w:r>
    </w:p>
    <w:p w14:paraId="58B486F9">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噪声：施工噪声执行《建筑施工场界环境噪声排放标准》(GB12523-2011)标准。</w:t>
      </w:r>
    </w:p>
    <w:p w14:paraId="60829950">
      <w:pPr>
        <w:pageBreakBefore w:val="0"/>
        <w:widowControl w:val="0"/>
        <w:numPr>
          <w:ilvl w:val="0"/>
          <w:numId w:val="14"/>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sz w:val="24"/>
          <w:highlight w:val="none"/>
          <w14:textFill>
            <w14:solidFill>
              <w14:schemeClr w14:val="tx1"/>
            </w14:solidFill>
          </w14:textFill>
        </w:rPr>
        <w:t>噪声排放标准dB(A)</w:t>
      </w:r>
    </w:p>
    <w:tbl>
      <w:tblPr>
        <w:tblStyle w:val="47"/>
        <w:tblW w:w="5103"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Layout w:type="autofit"/>
        <w:tblCellMar>
          <w:top w:w="0" w:type="dxa"/>
          <w:left w:w="0" w:type="dxa"/>
          <w:bottom w:w="0" w:type="dxa"/>
          <w:right w:w="0" w:type="dxa"/>
        </w:tblCellMar>
      </w:tblPr>
      <w:tblGrid>
        <w:gridCol w:w="1172"/>
        <w:gridCol w:w="697"/>
        <w:gridCol w:w="948"/>
        <w:gridCol w:w="1056"/>
        <w:gridCol w:w="5417"/>
      </w:tblGrid>
      <w:tr w14:paraId="78E326EA">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0" w:type="dxa"/>
            <w:bottom w:w="0" w:type="dxa"/>
            <w:right w:w="0" w:type="dxa"/>
          </w:tblCellMar>
        </w:tblPrEx>
        <w:trPr>
          <w:trHeight w:val="344" w:hRule="atLeast"/>
          <w:jc w:val="center"/>
        </w:trPr>
        <w:tc>
          <w:tcPr>
            <w:tcW w:w="631" w:type="pct"/>
            <w:vMerge w:val="restart"/>
            <w:tcBorders>
              <w:tl2br w:val="nil"/>
              <w:tr2bl w:val="nil"/>
            </w:tcBorders>
            <w:noWrap w:val="0"/>
            <w:vAlign w:val="center"/>
          </w:tcPr>
          <w:p w14:paraId="1943B1F5">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污染因子</w:t>
            </w:r>
          </w:p>
        </w:tc>
        <w:tc>
          <w:tcPr>
            <w:tcW w:w="375" w:type="pct"/>
            <w:vMerge w:val="restart"/>
            <w:tcBorders>
              <w:tl2br w:val="nil"/>
              <w:tr2bl w:val="nil"/>
            </w:tcBorders>
            <w:noWrap w:val="0"/>
            <w:vAlign w:val="center"/>
          </w:tcPr>
          <w:p w14:paraId="13091FE2">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级别</w:t>
            </w:r>
          </w:p>
        </w:tc>
        <w:tc>
          <w:tcPr>
            <w:tcW w:w="1078" w:type="pct"/>
            <w:gridSpan w:val="2"/>
            <w:tcBorders>
              <w:tl2br w:val="nil"/>
              <w:tr2bl w:val="nil"/>
            </w:tcBorders>
            <w:noWrap w:val="0"/>
            <w:vAlign w:val="center"/>
          </w:tcPr>
          <w:p w14:paraId="098B5779">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排放标准限值</w:t>
            </w:r>
          </w:p>
        </w:tc>
        <w:tc>
          <w:tcPr>
            <w:tcW w:w="2914" w:type="pct"/>
            <w:vMerge w:val="restart"/>
            <w:tcBorders>
              <w:tl2br w:val="nil"/>
              <w:tr2bl w:val="nil"/>
            </w:tcBorders>
            <w:noWrap w:val="0"/>
            <w:vAlign w:val="center"/>
          </w:tcPr>
          <w:p w14:paraId="195981E7">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标准名称</w:t>
            </w:r>
          </w:p>
        </w:tc>
      </w:tr>
      <w:tr w14:paraId="6B889610">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0" w:type="dxa"/>
            <w:bottom w:w="0" w:type="dxa"/>
            <w:right w:w="0" w:type="dxa"/>
          </w:tblCellMar>
        </w:tblPrEx>
        <w:trPr>
          <w:trHeight w:val="90" w:hRule="atLeast"/>
          <w:jc w:val="center"/>
        </w:trPr>
        <w:tc>
          <w:tcPr>
            <w:tcW w:w="631" w:type="pct"/>
            <w:vMerge w:val="continue"/>
            <w:tcBorders>
              <w:tl2br w:val="nil"/>
              <w:tr2bl w:val="nil"/>
            </w:tcBorders>
            <w:noWrap w:val="0"/>
            <w:vAlign w:val="center"/>
          </w:tcPr>
          <w:p w14:paraId="6354FFDE">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375" w:type="pct"/>
            <w:vMerge w:val="continue"/>
            <w:tcBorders>
              <w:tl2br w:val="nil"/>
              <w:tr2bl w:val="nil"/>
            </w:tcBorders>
            <w:noWrap w:val="0"/>
            <w:vAlign w:val="center"/>
          </w:tcPr>
          <w:p w14:paraId="76CB17C9">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510" w:type="pct"/>
            <w:tcBorders>
              <w:tl2br w:val="nil"/>
              <w:tr2bl w:val="nil"/>
            </w:tcBorders>
            <w:noWrap w:val="0"/>
            <w:vAlign w:val="center"/>
          </w:tcPr>
          <w:p w14:paraId="2EEF9B71">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昼间</w:t>
            </w:r>
          </w:p>
        </w:tc>
        <w:tc>
          <w:tcPr>
            <w:tcW w:w="568" w:type="pct"/>
            <w:tcBorders>
              <w:tl2br w:val="nil"/>
              <w:tr2bl w:val="nil"/>
            </w:tcBorders>
            <w:noWrap w:val="0"/>
            <w:vAlign w:val="center"/>
          </w:tcPr>
          <w:p w14:paraId="2526E766">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夜间</w:t>
            </w:r>
          </w:p>
        </w:tc>
        <w:tc>
          <w:tcPr>
            <w:tcW w:w="2914" w:type="pct"/>
            <w:vMerge w:val="continue"/>
            <w:tcBorders>
              <w:tl2br w:val="nil"/>
              <w:tr2bl w:val="nil"/>
            </w:tcBorders>
            <w:noWrap w:val="0"/>
            <w:vAlign w:val="center"/>
          </w:tcPr>
          <w:p w14:paraId="7E81F59B">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741D2721">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0" w:type="dxa"/>
            <w:bottom w:w="0" w:type="dxa"/>
            <w:right w:w="0" w:type="dxa"/>
          </w:tblCellMar>
        </w:tblPrEx>
        <w:trPr>
          <w:trHeight w:val="454" w:hRule="atLeast"/>
          <w:jc w:val="center"/>
        </w:trPr>
        <w:tc>
          <w:tcPr>
            <w:tcW w:w="631" w:type="pct"/>
            <w:tcBorders>
              <w:tl2br w:val="nil"/>
              <w:tr2bl w:val="nil"/>
            </w:tcBorders>
            <w:noWrap w:val="0"/>
            <w:vAlign w:val="center"/>
          </w:tcPr>
          <w:p w14:paraId="3933E06A">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施工阶段</w:t>
            </w:r>
          </w:p>
        </w:tc>
        <w:tc>
          <w:tcPr>
            <w:tcW w:w="375" w:type="pct"/>
            <w:tcBorders>
              <w:tl2br w:val="nil"/>
              <w:tr2bl w:val="nil"/>
            </w:tcBorders>
            <w:noWrap w:val="0"/>
            <w:vAlign w:val="center"/>
          </w:tcPr>
          <w:p w14:paraId="4E3FA285">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c>
          <w:tcPr>
            <w:tcW w:w="510" w:type="pct"/>
            <w:tcBorders>
              <w:tl2br w:val="nil"/>
              <w:tr2bl w:val="nil"/>
            </w:tcBorders>
            <w:noWrap w:val="0"/>
            <w:vAlign w:val="center"/>
          </w:tcPr>
          <w:p w14:paraId="581F7FAF">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70</w:t>
            </w:r>
          </w:p>
        </w:tc>
        <w:tc>
          <w:tcPr>
            <w:tcW w:w="568" w:type="pct"/>
            <w:tcBorders>
              <w:tl2br w:val="nil"/>
              <w:tr2bl w:val="nil"/>
            </w:tcBorders>
            <w:noWrap w:val="0"/>
            <w:vAlign w:val="center"/>
          </w:tcPr>
          <w:p w14:paraId="3829DC66">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55</w:t>
            </w:r>
          </w:p>
        </w:tc>
        <w:tc>
          <w:tcPr>
            <w:tcW w:w="2914" w:type="pct"/>
            <w:tcBorders>
              <w:tl2br w:val="nil"/>
              <w:tr2bl w:val="nil"/>
            </w:tcBorders>
            <w:noWrap w:val="0"/>
            <w:vAlign w:val="center"/>
          </w:tcPr>
          <w:p w14:paraId="3AEAB0F8">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《建筑施工场界环境噪声排放标准》</w:t>
            </w:r>
          </w:p>
          <w:p w14:paraId="626B0FDC">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(GB12523-2011)</w:t>
            </w:r>
          </w:p>
        </w:tc>
      </w:tr>
    </w:tbl>
    <w:p w14:paraId="06A74093">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废气：施工期</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PM</w:t>
      </w:r>
      <w:r>
        <w:rPr>
          <w:rFonts w:hint="eastAsia" w:ascii="Times New Roman" w:hAnsi="Times New Roman" w:eastAsia="宋体" w:cs="Times New Roman"/>
          <w:color w:val="000000" w:themeColor="text1"/>
          <w:sz w:val="24"/>
          <w:szCs w:val="24"/>
          <w:highlight w:val="none"/>
          <w:vertAlign w:val="subscript"/>
          <w:lang w:eastAsia="zh-CN"/>
          <w14:textFill>
            <w14:solidFill>
              <w14:schemeClr w14:val="tx1"/>
            </w14:solidFill>
          </w14:textFill>
        </w:rPr>
        <w:t>10</w:t>
      </w:r>
      <w:r>
        <w:rPr>
          <w:rFonts w:hint="default" w:ascii="Times New Roman" w:hAnsi="Times New Roman" w:eastAsia="宋体" w:cs="Times New Roman"/>
          <w:color w:val="000000" w:themeColor="text1"/>
          <w:sz w:val="24"/>
          <w:szCs w:val="24"/>
          <w:highlight w:val="none"/>
          <w14:textFill>
            <w14:solidFill>
              <w14:schemeClr w14:val="tx1"/>
            </w14:solidFill>
          </w14:textFill>
        </w:rPr>
        <w:t>执行《施工场地扬尘排放标准》（DB13/2934-2019）中相关要求。</w:t>
      </w:r>
    </w:p>
    <w:p w14:paraId="5A4CFCE2">
      <w:pPr>
        <w:pageBreakBefore w:val="0"/>
        <w:widowControl w:val="0"/>
        <w:numPr>
          <w:ilvl w:val="0"/>
          <w:numId w:val="14"/>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color w:val="000000" w:themeColor="text1"/>
          <w:sz w:val="24"/>
          <w:highlight w:val="none"/>
          <w14:textFill>
            <w14:solidFill>
              <w14:schemeClr w14:val="tx1"/>
            </w14:solidFill>
          </w14:textFill>
        </w:rPr>
      </w:pPr>
      <w:r>
        <w:rPr>
          <w:rFonts w:hint="default" w:ascii="Times New Roman" w:hAnsi="Times New Roman" w:eastAsia="宋体" w:cs="Times New Roman"/>
          <w:b/>
          <w:color w:val="000000" w:themeColor="text1"/>
          <w:sz w:val="24"/>
          <w:highlight w:val="none"/>
          <w14:textFill>
            <w14:solidFill>
              <w14:schemeClr w14:val="tx1"/>
            </w14:solidFill>
          </w14:textFill>
        </w:rPr>
        <w:t>扬尘排放浓度限值</w:t>
      </w:r>
    </w:p>
    <w:tbl>
      <w:tblPr>
        <w:tblStyle w:val="48"/>
        <w:tblW w:w="499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149"/>
        <w:gridCol w:w="3282"/>
        <w:gridCol w:w="2855"/>
      </w:tblGrid>
      <w:tr w14:paraId="7B8F3C4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2" w:hRule="atLeast"/>
          <w:jc w:val="center"/>
        </w:trPr>
        <w:tc>
          <w:tcPr>
            <w:tcW w:w="1696" w:type="pct"/>
            <w:tcBorders>
              <w:tl2br w:val="nil"/>
              <w:tr2bl w:val="nil"/>
            </w:tcBorders>
            <w:noWrap w:val="0"/>
            <w:vAlign w:val="center"/>
          </w:tcPr>
          <w:p w14:paraId="46F38F86">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控制项目</w:t>
            </w:r>
          </w:p>
        </w:tc>
        <w:tc>
          <w:tcPr>
            <w:tcW w:w="1767" w:type="pct"/>
            <w:tcBorders>
              <w:tl2br w:val="nil"/>
              <w:tr2bl w:val="nil"/>
            </w:tcBorders>
            <w:noWrap w:val="0"/>
            <w:vAlign w:val="center"/>
          </w:tcPr>
          <w:p w14:paraId="66EECF9B">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监测点浓度限值</w:t>
            </w:r>
            <w:r>
              <w:rPr>
                <w:rFonts w:hint="default" w:ascii="Times New Roman" w:hAnsi="Times New Roman" w:eastAsia="宋体" w:cs="Times New Roman"/>
                <w:color w:val="auto"/>
                <w:sz w:val="21"/>
                <w:szCs w:val="21"/>
                <w:highlight w:val="none"/>
                <w:lang w:val="en-US" w:eastAsia="zh-CN"/>
              </w:rPr>
              <w:t>a</w:t>
            </w:r>
            <w:r>
              <w:rPr>
                <w:rFonts w:hint="default" w:ascii="Times New Roman" w:hAnsi="Times New Roman" w:eastAsia="宋体" w:cs="Times New Roman"/>
                <w:color w:val="auto"/>
                <w:sz w:val="21"/>
                <w:szCs w:val="21"/>
                <w:highlight w:val="none"/>
              </w:rPr>
              <w:t>（µg/</w:t>
            </w:r>
            <w:r>
              <w:rPr>
                <w:rFonts w:hint="eastAsia" w:ascii="Times New Roman" w:hAnsi="Times New Roman" w:eastAsia="宋体" w:cs="Times New Roman"/>
                <w:color w:val="auto"/>
                <w:sz w:val="21"/>
                <w:szCs w:val="21"/>
                <w:highlight w:val="none"/>
                <w:lang w:eastAsia="zh-CN"/>
              </w:rPr>
              <w:t>m</w:t>
            </w:r>
            <w:r>
              <w:rPr>
                <w:rFonts w:hint="eastAsia" w:ascii="Times New Roman" w:hAnsi="Times New Roman" w:eastAsia="宋体" w:cs="Times New Roman"/>
                <w:color w:val="auto"/>
                <w:sz w:val="21"/>
                <w:szCs w:val="21"/>
                <w:highlight w:val="none"/>
                <w:vertAlign w:val="superscript"/>
                <w:lang w:eastAsia="zh-CN"/>
              </w:rPr>
              <w:t>3</w:t>
            </w:r>
            <w:r>
              <w:rPr>
                <w:rFonts w:hint="default" w:ascii="Times New Roman" w:hAnsi="Times New Roman" w:eastAsia="宋体" w:cs="Times New Roman"/>
                <w:color w:val="auto"/>
                <w:sz w:val="21"/>
                <w:szCs w:val="21"/>
                <w:highlight w:val="none"/>
              </w:rPr>
              <w:t>）</w:t>
            </w:r>
          </w:p>
        </w:tc>
        <w:tc>
          <w:tcPr>
            <w:tcW w:w="1536" w:type="pct"/>
            <w:tcBorders>
              <w:tl2br w:val="nil"/>
              <w:tr2bl w:val="nil"/>
            </w:tcBorders>
            <w:noWrap w:val="0"/>
            <w:vAlign w:val="center"/>
          </w:tcPr>
          <w:p w14:paraId="2E98A507">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达标判定依据（次/天）</w:t>
            </w:r>
          </w:p>
        </w:tc>
      </w:tr>
      <w:tr w14:paraId="4443266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1696" w:type="pct"/>
            <w:tcBorders>
              <w:tl2br w:val="nil"/>
              <w:tr2bl w:val="nil"/>
            </w:tcBorders>
            <w:noWrap w:val="0"/>
            <w:vAlign w:val="center"/>
          </w:tcPr>
          <w:p w14:paraId="19043AB4">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PM</w:t>
            </w:r>
            <w:r>
              <w:rPr>
                <w:rFonts w:hint="eastAsia" w:ascii="Times New Roman" w:hAnsi="Times New Roman" w:eastAsia="宋体" w:cs="Times New Roman"/>
                <w:color w:val="auto"/>
                <w:sz w:val="21"/>
                <w:szCs w:val="21"/>
                <w:highlight w:val="none"/>
                <w:vertAlign w:val="subscript"/>
                <w:lang w:val="en-US" w:eastAsia="zh-CN"/>
              </w:rPr>
              <w:t>10</w:t>
            </w:r>
          </w:p>
        </w:tc>
        <w:tc>
          <w:tcPr>
            <w:tcW w:w="1767" w:type="pct"/>
            <w:tcBorders>
              <w:tl2br w:val="nil"/>
              <w:tr2bl w:val="nil"/>
            </w:tcBorders>
            <w:noWrap w:val="0"/>
            <w:vAlign w:val="center"/>
          </w:tcPr>
          <w:p w14:paraId="1EEA1872">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80</w:t>
            </w:r>
          </w:p>
        </w:tc>
        <w:tc>
          <w:tcPr>
            <w:tcW w:w="1536" w:type="pct"/>
            <w:tcBorders>
              <w:tl2br w:val="nil"/>
              <w:tr2bl w:val="nil"/>
            </w:tcBorders>
            <w:noWrap w:val="0"/>
            <w:vAlign w:val="center"/>
          </w:tcPr>
          <w:p w14:paraId="33EA82AB">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w:t>
            </w:r>
          </w:p>
        </w:tc>
      </w:tr>
      <w:tr w14:paraId="091EB7A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76" w:hRule="atLeast"/>
          <w:jc w:val="center"/>
        </w:trPr>
        <w:tc>
          <w:tcPr>
            <w:tcW w:w="5000" w:type="pct"/>
            <w:gridSpan w:val="3"/>
            <w:tcBorders>
              <w:tl2br w:val="nil"/>
              <w:tr2bl w:val="nil"/>
            </w:tcBorders>
            <w:noWrap w:val="0"/>
            <w:vAlign w:val="center"/>
          </w:tcPr>
          <w:p w14:paraId="563068C9">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a指监测点</w:t>
            </w:r>
            <w:r>
              <w:rPr>
                <w:rFonts w:hint="eastAsia" w:ascii="Times New Roman" w:hAnsi="Times New Roman" w:eastAsia="宋体" w:cs="Times New Roman"/>
                <w:color w:val="auto"/>
                <w:sz w:val="21"/>
                <w:szCs w:val="21"/>
                <w:highlight w:val="none"/>
                <w:lang w:val="en-US" w:eastAsia="zh-CN"/>
              </w:rPr>
              <w:t>PM</w:t>
            </w:r>
            <w:r>
              <w:rPr>
                <w:rFonts w:hint="eastAsia" w:ascii="Times New Roman" w:hAnsi="Times New Roman" w:eastAsia="宋体" w:cs="Times New Roman"/>
                <w:color w:val="auto"/>
                <w:sz w:val="21"/>
                <w:szCs w:val="21"/>
                <w:highlight w:val="none"/>
                <w:vertAlign w:val="subscript"/>
                <w:lang w:val="en-US" w:eastAsia="zh-CN"/>
              </w:rPr>
              <w:t>10</w:t>
            </w:r>
            <w:r>
              <w:rPr>
                <w:rFonts w:hint="default" w:ascii="Times New Roman" w:hAnsi="Times New Roman" w:eastAsia="宋体" w:cs="Times New Roman"/>
                <w:color w:val="auto"/>
                <w:sz w:val="21"/>
                <w:szCs w:val="21"/>
                <w:highlight w:val="none"/>
                <w:lang w:val="en-US" w:eastAsia="zh-CN"/>
              </w:rPr>
              <w:t>小时平均浓度实测值与同时段所属县（市、区）</w:t>
            </w:r>
            <w:r>
              <w:rPr>
                <w:rFonts w:hint="eastAsia" w:ascii="Times New Roman" w:hAnsi="Times New Roman" w:eastAsia="宋体" w:cs="Times New Roman"/>
                <w:color w:val="auto"/>
                <w:sz w:val="21"/>
                <w:szCs w:val="21"/>
                <w:highlight w:val="none"/>
                <w:lang w:val="en-US" w:eastAsia="zh-CN"/>
              </w:rPr>
              <w:t>PM</w:t>
            </w:r>
            <w:r>
              <w:rPr>
                <w:rFonts w:hint="eastAsia" w:ascii="Times New Roman" w:hAnsi="Times New Roman" w:eastAsia="宋体" w:cs="Times New Roman"/>
                <w:color w:val="auto"/>
                <w:sz w:val="21"/>
                <w:szCs w:val="21"/>
                <w:highlight w:val="none"/>
                <w:vertAlign w:val="subscript"/>
                <w:lang w:val="en-US" w:eastAsia="zh-CN"/>
              </w:rPr>
              <w:t>10</w:t>
            </w:r>
            <w:r>
              <w:rPr>
                <w:rFonts w:hint="default" w:ascii="Times New Roman" w:hAnsi="Times New Roman" w:eastAsia="宋体" w:cs="Times New Roman"/>
                <w:color w:val="auto"/>
                <w:sz w:val="21"/>
                <w:szCs w:val="21"/>
                <w:highlight w:val="none"/>
                <w:lang w:val="en-US" w:eastAsia="zh-CN"/>
              </w:rPr>
              <w:t>小时平均浓度的差值。当县（市、区）</w:t>
            </w:r>
            <w:r>
              <w:rPr>
                <w:rFonts w:hint="eastAsia" w:ascii="Times New Roman" w:hAnsi="Times New Roman" w:eastAsia="宋体" w:cs="Times New Roman"/>
                <w:color w:val="auto"/>
                <w:sz w:val="21"/>
                <w:szCs w:val="21"/>
                <w:highlight w:val="none"/>
                <w:lang w:val="en-US" w:eastAsia="zh-CN"/>
              </w:rPr>
              <w:t>PM</w:t>
            </w:r>
            <w:r>
              <w:rPr>
                <w:rFonts w:hint="eastAsia" w:ascii="Times New Roman" w:hAnsi="Times New Roman" w:eastAsia="宋体" w:cs="Times New Roman"/>
                <w:color w:val="auto"/>
                <w:sz w:val="21"/>
                <w:szCs w:val="21"/>
                <w:highlight w:val="none"/>
                <w:vertAlign w:val="subscript"/>
                <w:lang w:val="en-US" w:eastAsia="zh-CN"/>
              </w:rPr>
              <w:t>10</w:t>
            </w:r>
            <w:r>
              <w:rPr>
                <w:rFonts w:hint="default" w:ascii="Times New Roman" w:hAnsi="Times New Roman" w:eastAsia="宋体" w:cs="Times New Roman"/>
                <w:color w:val="auto"/>
                <w:sz w:val="21"/>
                <w:szCs w:val="21"/>
                <w:highlight w:val="none"/>
                <w:lang w:val="en-US" w:eastAsia="zh-CN"/>
              </w:rPr>
              <w:t>小时平均浓度值大于150µg/</w:t>
            </w:r>
            <w:r>
              <w:rPr>
                <w:rFonts w:hint="eastAsia" w:ascii="Times New Roman" w:hAnsi="Times New Roman" w:eastAsia="宋体" w:cs="Times New Roman"/>
                <w:color w:val="auto"/>
                <w:sz w:val="21"/>
                <w:szCs w:val="21"/>
                <w:highlight w:val="none"/>
                <w:lang w:val="en-US" w:eastAsia="zh-CN"/>
              </w:rPr>
              <w:t>m</w:t>
            </w:r>
            <w:r>
              <w:rPr>
                <w:rFonts w:hint="eastAsia" w:ascii="Times New Roman" w:hAnsi="Times New Roman" w:eastAsia="宋体" w:cs="Times New Roman"/>
                <w:color w:val="auto"/>
                <w:sz w:val="21"/>
                <w:szCs w:val="21"/>
                <w:highlight w:val="none"/>
                <w:vertAlign w:val="superscript"/>
                <w:lang w:val="en-US" w:eastAsia="zh-CN"/>
              </w:rPr>
              <w:t>3</w:t>
            </w:r>
            <w:r>
              <w:rPr>
                <w:rFonts w:hint="default" w:ascii="Times New Roman" w:hAnsi="Times New Roman" w:eastAsia="宋体" w:cs="Times New Roman"/>
                <w:color w:val="auto"/>
                <w:sz w:val="21"/>
                <w:szCs w:val="21"/>
                <w:highlight w:val="none"/>
                <w:lang w:val="en-US" w:eastAsia="zh-CN"/>
              </w:rPr>
              <w:t>时，以150µg/</w:t>
            </w:r>
            <w:r>
              <w:rPr>
                <w:rFonts w:hint="eastAsia" w:ascii="Times New Roman" w:hAnsi="Times New Roman" w:eastAsia="宋体" w:cs="Times New Roman"/>
                <w:color w:val="auto"/>
                <w:sz w:val="21"/>
                <w:szCs w:val="21"/>
                <w:highlight w:val="none"/>
                <w:lang w:val="en-US" w:eastAsia="zh-CN"/>
              </w:rPr>
              <w:t>m</w:t>
            </w:r>
            <w:r>
              <w:rPr>
                <w:rFonts w:hint="eastAsia" w:ascii="Times New Roman" w:hAnsi="Times New Roman" w:eastAsia="宋体" w:cs="Times New Roman"/>
                <w:color w:val="auto"/>
                <w:sz w:val="21"/>
                <w:szCs w:val="21"/>
                <w:highlight w:val="none"/>
                <w:vertAlign w:val="superscript"/>
                <w:lang w:val="en-US" w:eastAsia="zh-CN"/>
              </w:rPr>
              <w:t>3</w:t>
            </w:r>
            <w:r>
              <w:rPr>
                <w:rFonts w:hint="default" w:ascii="Times New Roman" w:hAnsi="Times New Roman" w:eastAsia="宋体" w:cs="Times New Roman"/>
                <w:color w:val="auto"/>
                <w:sz w:val="21"/>
                <w:szCs w:val="21"/>
                <w:highlight w:val="none"/>
                <w:lang w:val="en-US" w:eastAsia="zh-CN"/>
              </w:rPr>
              <w:t>计。</w:t>
            </w:r>
          </w:p>
        </w:tc>
      </w:tr>
    </w:tbl>
    <w:p w14:paraId="3E75D8F8">
      <w:pPr>
        <w:spacing w:line="480" w:lineRule="exact"/>
        <w:ind w:firstLine="470" w:firstLineChars="196"/>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 w:val="24"/>
          <w:szCs w:val="24"/>
          <w:highlight w:val="none"/>
          <w14:textFill>
            <w14:solidFill>
              <w14:schemeClr w14:val="tx1"/>
            </w14:solidFill>
          </w14:textFill>
        </w:rPr>
        <w:t>(2)</w:t>
      </w:r>
      <w:r>
        <w:rPr>
          <w:rFonts w:hint="default" w:ascii="Times New Roman" w:hAnsi="Times New Roman" w:eastAsia="宋体" w:cs="Times New Roman"/>
          <w:color w:val="000000" w:themeColor="text1"/>
          <w:sz w:val="24"/>
          <w:szCs w:val="24"/>
          <w:highlight w:val="none"/>
          <w14:textFill>
            <w14:solidFill>
              <w14:schemeClr w14:val="tx1"/>
            </w14:solidFill>
          </w14:textFill>
        </w:rPr>
        <w:t>运营期</w:t>
      </w:r>
    </w:p>
    <w:p w14:paraId="20D0CFB3">
      <w:pPr>
        <w:rPr>
          <w:rFonts w:hint="default"/>
        </w:rPr>
      </w:pPr>
      <w:r>
        <w:rPr>
          <w:rFonts w:hint="default"/>
        </w:rPr>
        <w:t>①废气</w:t>
      </w:r>
    </w:p>
    <w:p w14:paraId="39B9239E">
      <w:pPr>
        <w:spacing w:line="480" w:lineRule="exact"/>
        <w:ind w:firstLine="472" w:firstLineChars="196"/>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有组织：</w:t>
      </w:r>
    </w:p>
    <w:p w14:paraId="33EF0F12">
      <w:pPr>
        <w:rPr>
          <w:rFonts w:hint="default"/>
          <w:lang w:val="en-US" w:eastAsia="zh-CN"/>
        </w:rPr>
      </w:pPr>
      <w:r>
        <w:rPr>
          <w:rFonts w:hint="default"/>
          <w:lang w:val="en-US" w:eastAsia="zh-CN"/>
        </w:rPr>
        <w:t>污水、污泥处理单元废气处理装置排气筒中氨、硫化氢、臭气浓度执行《恶臭污染物排放标准》（GB14554-1993）表2中二级标准；</w:t>
      </w:r>
    </w:p>
    <w:p w14:paraId="7BE39140">
      <w:pPr>
        <w:spacing w:line="480" w:lineRule="exact"/>
        <w:ind w:firstLine="472" w:firstLineChars="196"/>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无组织：</w:t>
      </w:r>
    </w:p>
    <w:p w14:paraId="14BA5995">
      <w:pPr>
        <w:rPr>
          <w:rFonts w:hint="default"/>
          <w:lang w:val="en-US" w:eastAsia="zh-CN"/>
        </w:rPr>
      </w:pPr>
      <w:r>
        <w:rPr>
          <w:rFonts w:hint="default"/>
          <w:lang w:val="en-US" w:eastAsia="zh-CN"/>
        </w:rPr>
        <w:t>厂界无组织氨、硫化氢、臭气浓度</w:t>
      </w:r>
      <w:r>
        <w:rPr>
          <w:rFonts w:hint="eastAsia"/>
          <w:lang w:val="en-US" w:eastAsia="zh-CN"/>
        </w:rPr>
        <w:t>、甲烷</w:t>
      </w:r>
      <w:r>
        <w:rPr>
          <w:rFonts w:hint="default"/>
          <w:lang w:val="en-US" w:eastAsia="zh-CN"/>
        </w:rPr>
        <w:t>执行《城镇污水处理厂污染物排放标准》（GB18918-2002）中表4</w:t>
      </w:r>
      <w:r>
        <w:rPr>
          <w:rFonts w:hint="eastAsia"/>
          <w:lang w:val="en-US" w:eastAsia="zh-CN"/>
        </w:rPr>
        <w:t>中的限值要求</w:t>
      </w:r>
      <w:r>
        <w:rPr>
          <w:rFonts w:hint="default"/>
          <w:lang w:val="en-US" w:eastAsia="zh-CN"/>
        </w:rPr>
        <w:t>。</w:t>
      </w:r>
    </w:p>
    <w:p w14:paraId="14941330">
      <w:pPr>
        <w:autoSpaceDE w:val="0"/>
        <w:autoSpaceDN w:val="0"/>
        <w:adjustRightInd w:val="0"/>
        <w:snapToGrid w:val="0"/>
        <w:spacing w:line="480" w:lineRule="exact"/>
        <w:ind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②废水</w:t>
      </w:r>
    </w:p>
    <w:p w14:paraId="70A55B35">
      <w:pPr>
        <w:rPr>
          <w:rFonts w:hint="default"/>
          <w:highlight w:val="none"/>
        </w:rPr>
      </w:pPr>
      <w:r>
        <w:rPr>
          <w:rFonts w:hint="default"/>
          <w:lang w:val="en-US" w:eastAsia="zh-CN"/>
        </w:rPr>
        <w:t>污水处理厂</w:t>
      </w:r>
      <w:r>
        <w:rPr>
          <w:rFonts w:hint="default"/>
          <w:highlight w:val="none"/>
          <w:lang w:val="en-US" w:eastAsia="zh-CN"/>
        </w:rPr>
        <w:t>出水执行《城镇污水处理厂污染物排放标准》（GB18918-2002）中一级A标准，同时满足</w:t>
      </w:r>
      <w:r>
        <w:rPr>
          <w:rFonts w:hint="default" w:ascii="Times New Roman" w:hAnsi="Times New Roman" w:eastAsia="宋体" w:cs="Times New Roman"/>
          <w:color w:val="auto"/>
          <w:szCs w:val="24"/>
          <w:highlight w:val="none"/>
        </w:rPr>
        <w:t>《城市污水再生利用  工业用水水质》（GB/T19923-20</w:t>
      </w:r>
      <w:r>
        <w:rPr>
          <w:rFonts w:hint="eastAsia" w:ascii="Times New Roman" w:hAnsi="Times New Roman" w:eastAsia="宋体" w:cs="Times New Roman"/>
          <w:color w:val="auto"/>
          <w:szCs w:val="24"/>
          <w:highlight w:val="none"/>
          <w:lang w:val="en-US" w:eastAsia="zh-CN"/>
        </w:rPr>
        <w:t>24</w:t>
      </w:r>
      <w:r>
        <w:rPr>
          <w:rFonts w:hint="default" w:ascii="Times New Roman" w:hAnsi="Times New Roman" w:eastAsia="宋体" w:cs="Times New Roman"/>
          <w:color w:val="auto"/>
          <w:szCs w:val="24"/>
          <w:highlight w:val="none"/>
        </w:rPr>
        <w:t>）、《城市污水再生利用 城市杂用水水质》（GB/T18920-2020）</w:t>
      </w:r>
      <w:r>
        <w:rPr>
          <w:rFonts w:hint="eastAsia" w:cs="Times New Roman"/>
          <w:color w:val="auto"/>
          <w:szCs w:val="24"/>
          <w:highlight w:val="none"/>
          <w:lang w:eastAsia="zh-CN"/>
        </w:rPr>
        <w:t>、《</w:t>
      </w:r>
      <w:r>
        <w:rPr>
          <w:rFonts w:hint="default" w:ascii="Times New Roman" w:hAnsi="Times New Roman" w:eastAsia="宋体" w:cs="Times New Roman"/>
          <w:color w:val="auto"/>
          <w:szCs w:val="24"/>
          <w:highlight w:val="none"/>
          <w:lang w:val="en-US" w:eastAsia="zh-CN"/>
        </w:rPr>
        <w:t>城市污水再生利用 绿地灌溉水质</w:t>
      </w:r>
      <w:r>
        <w:rPr>
          <w:rFonts w:hint="eastAsia" w:cs="Times New Roman"/>
          <w:color w:val="auto"/>
          <w:szCs w:val="24"/>
          <w:highlight w:val="none"/>
          <w:lang w:val="en-US" w:eastAsia="zh-CN"/>
        </w:rPr>
        <w:t>》</w:t>
      </w:r>
      <w:r>
        <w:rPr>
          <w:rFonts w:hint="eastAsia" w:ascii="Times New Roman" w:hAnsi="Times New Roman" w:eastAsia="宋体" w:cs="Times New Roman"/>
          <w:color w:val="auto"/>
          <w:szCs w:val="24"/>
          <w:highlight w:val="none"/>
          <w:lang w:val="en-US" w:eastAsia="zh-CN"/>
        </w:rPr>
        <w:t>（</w:t>
      </w:r>
      <w:r>
        <w:rPr>
          <w:rFonts w:hint="default" w:ascii="Times New Roman" w:hAnsi="Times New Roman" w:eastAsia="宋体" w:cs="Times New Roman"/>
          <w:color w:val="auto"/>
          <w:szCs w:val="24"/>
          <w:highlight w:val="none"/>
        </w:rPr>
        <w:t>GB/T</w:t>
      </w:r>
      <w:r>
        <w:rPr>
          <w:rFonts w:hint="eastAsia" w:ascii="Times New Roman" w:hAnsi="Times New Roman" w:eastAsia="宋体" w:cs="Times New Roman"/>
          <w:color w:val="auto"/>
          <w:szCs w:val="24"/>
          <w:highlight w:val="none"/>
          <w:lang w:val="en-US" w:eastAsia="zh-CN"/>
        </w:rPr>
        <w:t>25499—2010）</w:t>
      </w:r>
      <w:r>
        <w:rPr>
          <w:rFonts w:hint="default"/>
          <w:highlight w:val="none"/>
          <w:lang w:val="en-US" w:eastAsia="zh-CN"/>
        </w:rPr>
        <w:t>标准限值。</w:t>
      </w:r>
    </w:p>
    <w:p w14:paraId="388580FC">
      <w:pPr>
        <w:autoSpaceDE w:val="0"/>
        <w:autoSpaceDN w:val="0"/>
        <w:adjustRightInd w:val="0"/>
        <w:snapToGrid w:val="0"/>
        <w:spacing w:line="480" w:lineRule="exact"/>
        <w:ind w:firstLine="480" w:firstLineChars="200"/>
        <w:rPr>
          <w:rFonts w:hint="default" w:ascii="Times New Roman" w:hAnsi="Times New Roman" w:eastAsia="宋体" w:cs="Times New Roman"/>
          <w:color w:val="000000" w:themeColor="text1"/>
          <w:kern w:val="0"/>
          <w:sz w:val="24"/>
          <w:szCs w:val="24"/>
          <w:highlight w:val="none"/>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14:textFill>
            <w14:solidFill>
              <w14:schemeClr w14:val="tx1"/>
            </w14:solidFill>
          </w14:textFill>
        </w:rPr>
        <w:t>③噪声</w:t>
      </w:r>
    </w:p>
    <w:p w14:paraId="78D394D6">
      <w:pPr>
        <w:rPr>
          <w:rFonts w:hint="default"/>
          <w:lang w:val="en-US" w:eastAsia="zh-CN"/>
        </w:rPr>
      </w:pPr>
      <w:r>
        <w:rPr>
          <w:rFonts w:hint="default"/>
        </w:rPr>
        <w:t>运营期噪声执行《工业企业厂界环境噪声排放标准》（GB12348-2008）3</w:t>
      </w:r>
      <w:r>
        <w:rPr>
          <w:rFonts w:hint="default"/>
          <w:lang w:eastAsia="zh-CN"/>
        </w:rPr>
        <w:t>类</w:t>
      </w:r>
      <w:r>
        <w:rPr>
          <w:rFonts w:hint="default"/>
          <w:lang w:val="en-US" w:eastAsia="zh-CN"/>
        </w:rPr>
        <w:t>标准。</w:t>
      </w:r>
    </w:p>
    <w:p w14:paraId="2A443645">
      <w:pPr>
        <w:pageBreakBefore w:val="0"/>
        <w:widowControl w:val="0"/>
        <w:kinsoku/>
        <w:wordWrap/>
        <w:overflowPunct/>
        <w:topLinePunct w:val="0"/>
        <w:autoSpaceDE w:val="0"/>
        <w:autoSpaceDN w:val="0"/>
        <w:bidi w:val="0"/>
        <w:adjustRightInd w:val="0"/>
        <w:snapToGrid w:val="0"/>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④固废</w:t>
      </w:r>
    </w:p>
    <w:p w14:paraId="7A6C6B59">
      <w:pPr>
        <w:pageBreakBefore w:val="0"/>
        <w:widowControl w:val="0"/>
        <w:kinsoku/>
        <w:wordWrap/>
        <w:overflowPunct/>
        <w:topLinePunct w:val="0"/>
        <w:autoSpaceDE w:val="0"/>
        <w:autoSpaceDN w:val="0"/>
        <w:bidi w:val="0"/>
        <w:adjustRightInd w:val="0"/>
        <w:snapToGrid w:val="0"/>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cs="Times New Roman"/>
          <w:b w:val="0"/>
          <w:bCs w:val="0"/>
          <w:color w:val="auto"/>
          <w:sz w:val="24"/>
          <w:szCs w:val="24"/>
          <w:highlight w:val="none"/>
          <w:lang w:val="zh-CN" w:eastAsia="zh-CN"/>
        </w:rPr>
        <w:t>本项目一般固体废物执行《排污许可证申请与核发技术规范工业固体废物（试行）》（HJ1200-2021）中相关要求；</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危险废物执行《危险废物贮存污染控制标准》（GB18597-2023）中相关要求；</w:t>
      </w:r>
      <w:r>
        <w:rPr>
          <w:rFonts w:hint="default" w:ascii="Times New Roman" w:hAnsi="Times New Roman" w:eastAsia="宋体" w:cs="Times New Roman"/>
          <w:color w:val="000000" w:themeColor="text1"/>
          <w:sz w:val="24"/>
          <w:szCs w:val="24"/>
          <w:highlight w:val="none"/>
          <w14:textFill>
            <w14:solidFill>
              <w14:schemeClr w14:val="tx1"/>
            </w14:solidFill>
          </w14:textFill>
        </w:rPr>
        <w:t>污泥稳定化控制指标符合《城镇污水处理厂污染物排放标准》（GB18918-2002）表5规定，城镇污水处理厂的污泥应进行脱水处理，脱水后的污泥含水率应小于80%。</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生活垃圾参照执行《中华人民共和国固体废物污染环境防治法》中相关要求</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3B73F95C">
      <w:pPr>
        <w:autoSpaceDE w:val="0"/>
        <w:autoSpaceDN w:val="0"/>
        <w:adjustRightInd w:val="0"/>
        <w:snapToGrid w:val="0"/>
        <w:spacing w:line="480" w:lineRule="exact"/>
        <w:ind w:firstLine="480" w:firstLineChars="200"/>
        <w:rPr>
          <w:rFonts w:hint="default" w:ascii="Times New Roman" w:hAnsi="Times New Roman" w:eastAsia="宋体" w:cs="Times New Roman"/>
          <w:color w:val="000000" w:themeColor="text1"/>
          <w:kern w:val="0"/>
          <w:sz w:val="24"/>
          <w:szCs w:val="24"/>
          <w:highlight w:val="none"/>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14:textFill>
            <w14:solidFill>
              <w14:schemeClr w14:val="tx1"/>
            </w14:solidFill>
          </w14:textFill>
        </w:rPr>
        <w:t>拟建项目污染物排放标准见表2.6-</w:t>
      </w:r>
      <w:r>
        <w:rPr>
          <w:rFonts w:hint="default"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7</w:t>
      </w:r>
      <w:r>
        <w:rPr>
          <w:rFonts w:hint="default" w:ascii="Times New Roman" w:hAnsi="Times New Roman" w:eastAsia="宋体" w:cs="Times New Roman"/>
          <w:color w:val="000000" w:themeColor="text1"/>
          <w:kern w:val="0"/>
          <w:sz w:val="24"/>
          <w:szCs w:val="24"/>
          <w:highlight w:val="none"/>
          <w14:textFill>
            <w14:solidFill>
              <w14:schemeClr w14:val="tx1"/>
            </w14:solidFill>
          </w14:textFill>
        </w:rPr>
        <w:t>~表2.6-</w:t>
      </w:r>
      <w:r>
        <w:rPr>
          <w:rFonts w:hint="default"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kern w:val="0"/>
          <w:sz w:val="24"/>
          <w:szCs w:val="24"/>
          <w:highlight w:val="none"/>
          <w14:textFill>
            <w14:solidFill>
              <w14:schemeClr w14:val="tx1"/>
            </w14:solidFill>
          </w14:textFill>
        </w:rPr>
        <w:t>。</w:t>
      </w:r>
    </w:p>
    <w:p w14:paraId="016BAE09">
      <w:pPr>
        <w:pageBreakBefore w:val="0"/>
        <w:widowControl w:val="0"/>
        <w:numPr>
          <w:ilvl w:val="0"/>
          <w:numId w:val="14"/>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color w:val="000000" w:themeColor="text1"/>
          <w:sz w:val="24"/>
          <w:highlight w:val="none"/>
          <w14:textFill>
            <w14:solidFill>
              <w14:schemeClr w14:val="tx1"/>
            </w14:solidFill>
          </w14:textFill>
        </w:rPr>
      </w:pPr>
      <w:r>
        <w:rPr>
          <w:rFonts w:hint="default" w:ascii="Times New Roman" w:hAnsi="Times New Roman" w:eastAsia="宋体" w:cs="Times New Roman"/>
          <w:b/>
          <w:color w:val="000000" w:themeColor="text1"/>
          <w:sz w:val="24"/>
          <w:highlight w:val="none"/>
          <w:lang w:val="en-US" w:eastAsia="zh-CN"/>
          <w14:textFill>
            <w14:solidFill>
              <w14:schemeClr w14:val="tx1"/>
            </w14:solidFill>
          </w14:textFill>
        </w:rPr>
        <w:t>大</w:t>
      </w:r>
      <w:r>
        <w:rPr>
          <w:rFonts w:hint="default" w:ascii="Times New Roman" w:hAnsi="Times New Roman" w:eastAsia="宋体" w:cs="Times New Roman"/>
          <w:b/>
          <w:color w:val="000000" w:themeColor="text1"/>
          <w:sz w:val="24"/>
          <w:highlight w:val="none"/>
          <w14:textFill>
            <w14:solidFill>
              <w14:schemeClr w14:val="tx1"/>
            </w14:solidFill>
          </w14:textFill>
        </w:rPr>
        <w:t>气污染物排放标准</w:t>
      </w:r>
    </w:p>
    <w:tbl>
      <w:tblPr>
        <w:tblStyle w:val="88"/>
        <w:tblW w:w="4998"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557"/>
        <w:gridCol w:w="663"/>
        <w:gridCol w:w="588"/>
        <w:gridCol w:w="1345"/>
        <w:gridCol w:w="1442"/>
        <w:gridCol w:w="1435"/>
        <w:gridCol w:w="2059"/>
        <w:gridCol w:w="1009"/>
      </w:tblGrid>
      <w:tr w14:paraId="3AE4F1E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69" w:hRule="atLeast"/>
        </w:trPr>
        <w:tc>
          <w:tcPr>
            <w:tcW w:w="306" w:type="pct"/>
            <w:vAlign w:val="center"/>
          </w:tcPr>
          <w:p w14:paraId="0AA1B085">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类别</w:t>
            </w:r>
          </w:p>
        </w:tc>
        <w:tc>
          <w:tcPr>
            <w:tcW w:w="687" w:type="pct"/>
            <w:gridSpan w:val="2"/>
            <w:vAlign w:val="center"/>
          </w:tcPr>
          <w:p w14:paraId="7F2B89D8">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污染源</w:t>
            </w:r>
          </w:p>
        </w:tc>
        <w:tc>
          <w:tcPr>
            <w:tcW w:w="739" w:type="pct"/>
            <w:vAlign w:val="center"/>
          </w:tcPr>
          <w:p w14:paraId="7C1A6FA4">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污染物</w:t>
            </w:r>
          </w:p>
        </w:tc>
        <w:tc>
          <w:tcPr>
            <w:tcW w:w="1580" w:type="pct"/>
            <w:gridSpan w:val="2"/>
            <w:vAlign w:val="center"/>
          </w:tcPr>
          <w:p w14:paraId="47AA8DB6">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排放限值</w:t>
            </w:r>
          </w:p>
        </w:tc>
        <w:tc>
          <w:tcPr>
            <w:tcW w:w="1131" w:type="pct"/>
            <w:vAlign w:val="center"/>
          </w:tcPr>
          <w:p w14:paraId="21B7F089">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标准名称</w:t>
            </w:r>
          </w:p>
        </w:tc>
        <w:tc>
          <w:tcPr>
            <w:tcW w:w="554" w:type="pct"/>
            <w:vAlign w:val="center"/>
          </w:tcPr>
          <w:p w14:paraId="073AE37C">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级别</w:t>
            </w:r>
          </w:p>
        </w:tc>
      </w:tr>
      <w:tr w14:paraId="395972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69" w:hRule="atLeast"/>
        </w:trPr>
        <w:tc>
          <w:tcPr>
            <w:tcW w:w="306" w:type="pct"/>
            <w:vMerge w:val="restart"/>
            <w:vAlign w:val="center"/>
          </w:tcPr>
          <w:p w14:paraId="264246CA">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废气</w:t>
            </w:r>
          </w:p>
        </w:tc>
        <w:tc>
          <w:tcPr>
            <w:tcW w:w="364" w:type="pct"/>
            <w:vMerge w:val="restart"/>
            <w:vAlign w:val="center"/>
          </w:tcPr>
          <w:p w14:paraId="3EB2C12C">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污水处理及污泥脱水等过程</w:t>
            </w:r>
          </w:p>
        </w:tc>
        <w:tc>
          <w:tcPr>
            <w:tcW w:w="322" w:type="pct"/>
            <w:vMerge w:val="restart"/>
            <w:vAlign w:val="center"/>
          </w:tcPr>
          <w:p w14:paraId="5E95F364">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有组织排放</w:t>
            </w:r>
          </w:p>
        </w:tc>
        <w:tc>
          <w:tcPr>
            <w:tcW w:w="739" w:type="pct"/>
            <w:vAlign w:val="center"/>
          </w:tcPr>
          <w:p w14:paraId="6187EDA3">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氨</w:t>
            </w:r>
          </w:p>
        </w:tc>
        <w:tc>
          <w:tcPr>
            <w:tcW w:w="792" w:type="pct"/>
            <w:vAlign w:val="center"/>
          </w:tcPr>
          <w:p w14:paraId="0BF8394D">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4.9kg/h</w:t>
            </w:r>
          </w:p>
        </w:tc>
        <w:tc>
          <w:tcPr>
            <w:tcW w:w="788" w:type="pct"/>
            <w:vMerge w:val="restart"/>
            <w:vAlign w:val="center"/>
          </w:tcPr>
          <w:p w14:paraId="086E1F59">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排气筒高度15m</w:t>
            </w:r>
          </w:p>
        </w:tc>
        <w:tc>
          <w:tcPr>
            <w:tcW w:w="1131" w:type="pct"/>
            <w:vMerge w:val="restart"/>
            <w:vAlign w:val="center"/>
          </w:tcPr>
          <w:p w14:paraId="70653C59">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《恶臭污染物排放标准》(GB14554-93)</w:t>
            </w:r>
          </w:p>
        </w:tc>
        <w:tc>
          <w:tcPr>
            <w:tcW w:w="554" w:type="pct"/>
            <w:vMerge w:val="restart"/>
            <w:vAlign w:val="center"/>
          </w:tcPr>
          <w:p w14:paraId="4E3375AA">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表2排放标准值</w:t>
            </w:r>
          </w:p>
        </w:tc>
      </w:tr>
      <w:tr w14:paraId="2BDD20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69" w:hRule="atLeast"/>
        </w:trPr>
        <w:tc>
          <w:tcPr>
            <w:tcW w:w="306" w:type="pct"/>
            <w:vMerge w:val="continue"/>
            <w:vAlign w:val="center"/>
          </w:tcPr>
          <w:p w14:paraId="6FEEC40E">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364" w:type="pct"/>
            <w:vMerge w:val="continue"/>
            <w:vAlign w:val="center"/>
          </w:tcPr>
          <w:p w14:paraId="00795A42">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322" w:type="pct"/>
            <w:vMerge w:val="continue"/>
            <w:vAlign w:val="center"/>
          </w:tcPr>
          <w:p w14:paraId="1F51BE66">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739" w:type="pct"/>
            <w:vAlign w:val="center"/>
          </w:tcPr>
          <w:p w14:paraId="5DF5E025">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硫化氢</w:t>
            </w:r>
          </w:p>
        </w:tc>
        <w:tc>
          <w:tcPr>
            <w:tcW w:w="792" w:type="pct"/>
            <w:vAlign w:val="center"/>
          </w:tcPr>
          <w:p w14:paraId="73FBE050">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0.33kg/h</w:t>
            </w:r>
          </w:p>
        </w:tc>
        <w:tc>
          <w:tcPr>
            <w:tcW w:w="788" w:type="pct"/>
            <w:vMerge w:val="continue"/>
            <w:vAlign w:val="center"/>
          </w:tcPr>
          <w:p w14:paraId="7F985925">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131" w:type="pct"/>
            <w:vMerge w:val="continue"/>
            <w:vAlign w:val="center"/>
          </w:tcPr>
          <w:p w14:paraId="376F6BBD">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554" w:type="pct"/>
            <w:vMerge w:val="continue"/>
            <w:vAlign w:val="center"/>
          </w:tcPr>
          <w:p w14:paraId="78642F7E">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4EA6D28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69" w:hRule="atLeast"/>
        </w:trPr>
        <w:tc>
          <w:tcPr>
            <w:tcW w:w="306" w:type="pct"/>
            <w:vMerge w:val="continue"/>
            <w:vAlign w:val="center"/>
          </w:tcPr>
          <w:p w14:paraId="0DD96C2B">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364" w:type="pct"/>
            <w:vMerge w:val="continue"/>
            <w:vAlign w:val="center"/>
          </w:tcPr>
          <w:p w14:paraId="27839108">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322" w:type="pct"/>
            <w:vMerge w:val="continue"/>
            <w:vAlign w:val="center"/>
          </w:tcPr>
          <w:p w14:paraId="460B4FB0">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739" w:type="pct"/>
            <w:vAlign w:val="center"/>
          </w:tcPr>
          <w:p w14:paraId="067E6FC9">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臭气浓度</w:t>
            </w:r>
          </w:p>
        </w:tc>
        <w:tc>
          <w:tcPr>
            <w:tcW w:w="792" w:type="pct"/>
            <w:vAlign w:val="center"/>
          </w:tcPr>
          <w:p w14:paraId="71681E79">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2000无量纲</w:t>
            </w:r>
          </w:p>
        </w:tc>
        <w:tc>
          <w:tcPr>
            <w:tcW w:w="788" w:type="pct"/>
            <w:vMerge w:val="continue"/>
            <w:vAlign w:val="center"/>
          </w:tcPr>
          <w:p w14:paraId="2F5716C8">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1131" w:type="pct"/>
            <w:vMerge w:val="continue"/>
            <w:vAlign w:val="center"/>
          </w:tcPr>
          <w:p w14:paraId="7BB934FA">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554" w:type="pct"/>
            <w:vMerge w:val="continue"/>
            <w:vAlign w:val="center"/>
          </w:tcPr>
          <w:p w14:paraId="69368340">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187FA26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69" w:hRule="atLeast"/>
        </w:trPr>
        <w:tc>
          <w:tcPr>
            <w:tcW w:w="306" w:type="pct"/>
            <w:vMerge w:val="continue"/>
            <w:vAlign w:val="center"/>
          </w:tcPr>
          <w:p w14:paraId="74DE1220">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364" w:type="pct"/>
            <w:vMerge w:val="continue"/>
            <w:vAlign w:val="center"/>
          </w:tcPr>
          <w:p w14:paraId="5DFDF9F0">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322" w:type="pct"/>
            <w:vMerge w:val="restart"/>
            <w:vAlign w:val="center"/>
          </w:tcPr>
          <w:p w14:paraId="6C1909D6">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无组织排放</w:t>
            </w:r>
          </w:p>
        </w:tc>
        <w:tc>
          <w:tcPr>
            <w:tcW w:w="739" w:type="pct"/>
            <w:vAlign w:val="center"/>
          </w:tcPr>
          <w:p w14:paraId="3A8E1887">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氨</w:t>
            </w:r>
          </w:p>
        </w:tc>
        <w:tc>
          <w:tcPr>
            <w:tcW w:w="1580" w:type="pct"/>
            <w:gridSpan w:val="2"/>
            <w:vAlign w:val="center"/>
          </w:tcPr>
          <w:p w14:paraId="5ECA4602">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1.5mg/m</w:t>
            </w:r>
            <w:r>
              <w:rPr>
                <w:rFonts w:hint="default" w:ascii="Times New Roman" w:hAnsi="Times New Roman" w:eastAsia="宋体" w:cs="Times New Roman"/>
                <w:color w:val="auto"/>
                <w:sz w:val="21"/>
                <w:szCs w:val="21"/>
                <w:highlight w:val="none"/>
                <w:vertAlign w:val="superscript"/>
              </w:rPr>
              <w:t>3</w:t>
            </w:r>
          </w:p>
        </w:tc>
        <w:tc>
          <w:tcPr>
            <w:tcW w:w="1131" w:type="pct"/>
            <w:vMerge w:val="restart"/>
            <w:vAlign w:val="center"/>
          </w:tcPr>
          <w:p w14:paraId="02A20E78">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《城镇污水处理厂污染物排放标准》(GB18918-2002)</w:t>
            </w:r>
          </w:p>
        </w:tc>
        <w:tc>
          <w:tcPr>
            <w:tcW w:w="554" w:type="pct"/>
            <w:vMerge w:val="restart"/>
            <w:vAlign w:val="center"/>
          </w:tcPr>
          <w:p w14:paraId="44EA2918">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表4二级标准</w:t>
            </w:r>
          </w:p>
        </w:tc>
      </w:tr>
      <w:tr w14:paraId="5F09620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69" w:hRule="atLeast"/>
        </w:trPr>
        <w:tc>
          <w:tcPr>
            <w:tcW w:w="306" w:type="pct"/>
            <w:vMerge w:val="continue"/>
            <w:vAlign w:val="center"/>
          </w:tcPr>
          <w:p w14:paraId="47DB7C33">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364" w:type="pct"/>
            <w:vMerge w:val="continue"/>
            <w:vAlign w:val="center"/>
          </w:tcPr>
          <w:p w14:paraId="6C45625E">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322" w:type="pct"/>
            <w:vMerge w:val="continue"/>
            <w:vAlign w:val="center"/>
          </w:tcPr>
          <w:p w14:paraId="778CE140">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739" w:type="pct"/>
            <w:vAlign w:val="center"/>
          </w:tcPr>
          <w:p w14:paraId="468256CC">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硫化氢</w:t>
            </w:r>
          </w:p>
        </w:tc>
        <w:tc>
          <w:tcPr>
            <w:tcW w:w="1580" w:type="pct"/>
            <w:gridSpan w:val="2"/>
            <w:vAlign w:val="center"/>
          </w:tcPr>
          <w:p w14:paraId="5392474D">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0.06mg/m</w:t>
            </w:r>
            <w:r>
              <w:rPr>
                <w:rFonts w:hint="default" w:ascii="Times New Roman" w:hAnsi="Times New Roman" w:eastAsia="宋体" w:cs="Times New Roman"/>
                <w:color w:val="auto"/>
                <w:sz w:val="21"/>
                <w:szCs w:val="21"/>
                <w:highlight w:val="none"/>
                <w:vertAlign w:val="superscript"/>
              </w:rPr>
              <w:t>3</w:t>
            </w:r>
          </w:p>
        </w:tc>
        <w:tc>
          <w:tcPr>
            <w:tcW w:w="1131" w:type="pct"/>
            <w:vMerge w:val="continue"/>
            <w:vAlign w:val="center"/>
          </w:tcPr>
          <w:p w14:paraId="03680B0B">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554" w:type="pct"/>
            <w:vMerge w:val="continue"/>
            <w:vAlign w:val="center"/>
          </w:tcPr>
          <w:p w14:paraId="003F386E">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0AB3651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69" w:hRule="atLeast"/>
        </w:trPr>
        <w:tc>
          <w:tcPr>
            <w:tcW w:w="306" w:type="pct"/>
            <w:vMerge w:val="continue"/>
            <w:vAlign w:val="center"/>
          </w:tcPr>
          <w:p w14:paraId="4CE7DF0E">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364" w:type="pct"/>
            <w:vMerge w:val="continue"/>
            <w:vAlign w:val="center"/>
          </w:tcPr>
          <w:p w14:paraId="7D2A81A1">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322" w:type="pct"/>
            <w:vMerge w:val="continue"/>
            <w:vAlign w:val="center"/>
          </w:tcPr>
          <w:p w14:paraId="2477AC5E">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739" w:type="pct"/>
            <w:vAlign w:val="center"/>
          </w:tcPr>
          <w:p w14:paraId="3679349C">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臭气浓度</w:t>
            </w:r>
          </w:p>
        </w:tc>
        <w:tc>
          <w:tcPr>
            <w:tcW w:w="1580" w:type="pct"/>
            <w:gridSpan w:val="2"/>
            <w:vAlign w:val="center"/>
          </w:tcPr>
          <w:p w14:paraId="5F0FA065">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20（无量纲）</w:t>
            </w:r>
          </w:p>
        </w:tc>
        <w:tc>
          <w:tcPr>
            <w:tcW w:w="1131" w:type="pct"/>
            <w:vMerge w:val="continue"/>
            <w:vAlign w:val="center"/>
          </w:tcPr>
          <w:p w14:paraId="383F4384">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554" w:type="pct"/>
            <w:vMerge w:val="continue"/>
            <w:vAlign w:val="center"/>
          </w:tcPr>
          <w:p w14:paraId="03E28A9B">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411F59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69" w:hRule="atLeast"/>
        </w:trPr>
        <w:tc>
          <w:tcPr>
            <w:tcW w:w="306" w:type="pct"/>
            <w:vMerge w:val="continue"/>
            <w:vAlign w:val="center"/>
          </w:tcPr>
          <w:p w14:paraId="3D601167">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364" w:type="pct"/>
            <w:vMerge w:val="continue"/>
            <w:vAlign w:val="center"/>
          </w:tcPr>
          <w:p w14:paraId="24E0F313">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322" w:type="pct"/>
            <w:vMerge w:val="continue"/>
            <w:vAlign w:val="center"/>
          </w:tcPr>
          <w:p w14:paraId="4DAF8096">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739" w:type="pct"/>
            <w:vAlign w:val="center"/>
          </w:tcPr>
          <w:p w14:paraId="2155025A">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甲烷（厂区最高体积浓度）</w:t>
            </w:r>
          </w:p>
        </w:tc>
        <w:tc>
          <w:tcPr>
            <w:tcW w:w="1580" w:type="pct"/>
            <w:gridSpan w:val="2"/>
            <w:vAlign w:val="center"/>
          </w:tcPr>
          <w:p w14:paraId="60C066DA">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w:t>
            </w:r>
          </w:p>
        </w:tc>
        <w:tc>
          <w:tcPr>
            <w:tcW w:w="1131" w:type="pct"/>
            <w:vMerge w:val="continue"/>
            <w:vAlign w:val="center"/>
          </w:tcPr>
          <w:p w14:paraId="5779BDFA">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554" w:type="pct"/>
            <w:vMerge w:val="continue"/>
            <w:vAlign w:val="center"/>
          </w:tcPr>
          <w:p w14:paraId="63BC37A7">
            <w:pPr>
              <w:spacing w:line="340" w:lineRule="exact"/>
              <w:ind w:firstLine="0" w:firstLineChars="0"/>
              <w:jc w:val="center"/>
              <w:rPr>
                <w:rFonts w:hint="default" w:ascii="Times New Roman" w:hAnsi="Times New Roman" w:eastAsia="宋体" w:cs="Times New Roman"/>
                <w:color w:val="auto"/>
                <w:sz w:val="21"/>
                <w:szCs w:val="21"/>
                <w:highlight w:val="none"/>
              </w:rPr>
            </w:pPr>
          </w:p>
        </w:tc>
      </w:tr>
    </w:tbl>
    <w:p w14:paraId="36DE279D">
      <w:pPr>
        <w:pageBreakBefore w:val="0"/>
        <w:widowControl w:val="0"/>
        <w:numPr>
          <w:ilvl w:val="0"/>
          <w:numId w:val="14"/>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sz w:val="24"/>
          <w:highlight w:val="none"/>
          <w14:textFill>
            <w14:solidFill>
              <w14:schemeClr w14:val="tx1"/>
            </w14:solidFill>
          </w14:textFill>
        </w:rPr>
        <w:t>噪声排放标准dB(A)</w:t>
      </w:r>
    </w:p>
    <w:tbl>
      <w:tblPr>
        <w:tblStyle w:val="47"/>
        <w:tblW w:w="5064"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Layout w:type="autofit"/>
        <w:tblCellMar>
          <w:top w:w="0" w:type="dxa"/>
          <w:left w:w="0" w:type="dxa"/>
          <w:bottom w:w="0" w:type="dxa"/>
          <w:right w:w="0" w:type="dxa"/>
        </w:tblCellMar>
      </w:tblPr>
      <w:tblGrid>
        <w:gridCol w:w="1031"/>
        <w:gridCol w:w="516"/>
        <w:gridCol w:w="764"/>
        <w:gridCol w:w="767"/>
        <w:gridCol w:w="6141"/>
      </w:tblGrid>
      <w:tr w14:paraId="4A02BC68">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0" w:type="dxa"/>
            <w:bottom w:w="0" w:type="dxa"/>
            <w:right w:w="0" w:type="dxa"/>
          </w:tblCellMar>
        </w:tblPrEx>
        <w:trPr>
          <w:trHeight w:val="344" w:hRule="atLeast"/>
          <w:jc w:val="center"/>
        </w:trPr>
        <w:tc>
          <w:tcPr>
            <w:tcW w:w="559" w:type="pct"/>
            <w:vMerge w:val="restart"/>
            <w:tcBorders>
              <w:tl2br w:val="nil"/>
              <w:tr2bl w:val="nil"/>
            </w:tcBorders>
            <w:noWrap w:val="0"/>
            <w:vAlign w:val="center"/>
          </w:tcPr>
          <w:p w14:paraId="3B3030E8">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污染因子</w:t>
            </w:r>
          </w:p>
        </w:tc>
        <w:tc>
          <w:tcPr>
            <w:tcW w:w="280" w:type="pct"/>
            <w:vMerge w:val="restart"/>
            <w:tcBorders>
              <w:tl2br w:val="nil"/>
              <w:tr2bl w:val="nil"/>
            </w:tcBorders>
            <w:noWrap w:val="0"/>
            <w:vAlign w:val="center"/>
          </w:tcPr>
          <w:p w14:paraId="507D532F">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级别</w:t>
            </w:r>
          </w:p>
        </w:tc>
        <w:tc>
          <w:tcPr>
            <w:tcW w:w="830" w:type="pct"/>
            <w:gridSpan w:val="2"/>
            <w:tcBorders>
              <w:tl2br w:val="nil"/>
              <w:tr2bl w:val="nil"/>
            </w:tcBorders>
            <w:noWrap w:val="0"/>
            <w:vAlign w:val="center"/>
          </w:tcPr>
          <w:p w14:paraId="21BACB48">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排放标准限值</w:t>
            </w:r>
          </w:p>
        </w:tc>
        <w:tc>
          <w:tcPr>
            <w:tcW w:w="3329" w:type="pct"/>
            <w:vMerge w:val="restart"/>
            <w:tcBorders>
              <w:tl2br w:val="nil"/>
              <w:tr2bl w:val="nil"/>
            </w:tcBorders>
            <w:noWrap w:val="0"/>
            <w:vAlign w:val="center"/>
          </w:tcPr>
          <w:p w14:paraId="6999EB61">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标准名称</w:t>
            </w:r>
          </w:p>
        </w:tc>
      </w:tr>
      <w:tr w14:paraId="4EA68E4D">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0" w:type="dxa"/>
            <w:bottom w:w="0" w:type="dxa"/>
            <w:right w:w="0" w:type="dxa"/>
          </w:tblCellMar>
        </w:tblPrEx>
        <w:trPr>
          <w:trHeight w:val="90" w:hRule="atLeast"/>
          <w:jc w:val="center"/>
        </w:trPr>
        <w:tc>
          <w:tcPr>
            <w:tcW w:w="559" w:type="pct"/>
            <w:vMerge w:val="continue"/>
            <w:tcBorders>
              <w:tl2br w:val="nil"/>
              <w:tr2bl w:val="nil"/>
            </w:tcBorders>
            <w:noWrap w:val="0"/>
            <w:vAlign w:val="center"/>
          </w:tcPr>
          <w:p w14:paraId="66DFDDA3">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280" w:type="pct"/>
            <w:vMerge w:val="continue"/>
            <w:tcBorders>
              <w:tl2br w:val="nil"/>
              <w:tr2bl w:val="nil"/>
            </w:tcBorders>
            <w:noWrap w:val="0"/>
            <w:vAlign w:val="center"/>
          </w:tcPr>
          <w:p w14:paraId="01E086F8">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414" w:type="pct"/>
            <w:tcBorders>
              <w:tl2br w:val="nil"/>
              <w:tr2bl w:val="nil"/>
            </w:tcBorders>
            <w:noWrap w:val="0"/>
            <w:vAlign w:val="center"/>
          </w:tcPr>
          <w:p w14:paraId="1D4FC67C">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昼间</w:t>
            </w:r>
          </w:p>
        </w:tc>
        <w:tc>
          <w:tcPr>
            <w:tcW w:w="416" w:type="pct"/>
            <w:tcBorders>
              <w:tl2br w:val="nil"/>
              <w:tr2bl w:val="nil"/>
            </w:tcBorders>
            <w:noWrap w:val="0"/>
            <w:vAlign w:val="center"/>
          </w:tcPr>
          <w:p w14:paraId="1DAD4D32">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夜间</w:t>
            </w:r>
          </w:p>
        </w:tc>
        <w:tc>
          <w:tcPr>
            <w:tcW w:w="3329" w:type="pct"/>
            <w:vMerge w:val="continue"/>
            <w:tcBorders>
              <w:tl2br w:val="nil"/>
              <w:tr2bl w:val="nil"/>
            </w:tcBorders>
            <w:noWrap w:val="0"/>
            <w:vAlign w:val="center"/>
          </w:tcPr>
          <w:p w14:paraId="5EE82E0A">
            <w:pPr>
              <w:spacing w:line="340" w:lineRule="exact"/>
              <w:ind w:firstLine="0" w:firstLineChars="0"/>
              <w:jc w:val="center"/>
              <w:rPr>
                <w:rFonts w:hint="default" w:ascii="Times New Roman" w:hAnsi="Times New Roman" w:eastAsia="宋体" w:cs="Times New Roman"/>
                <w:color w:val="auto"/>
                <w:sz w:val="21"/>
                <w:szCs w:val="21"/>
                <w:highlight w:val="none"/>
              </w:rPr>
            </w:pPr>
          </w:p>
        </w:tc>
      </w:tr>
      <w:tr w14:paraId="258AA19F">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0" w:type="dxa"/>
            <w:bottom w:w="0" w:type="dxa"/>
            <w:right w:w="0" w:type="dxa"/>
          </w:tblCellMar>
        </w:tblPrEx>
        <w:trPr>
          <w:trHeight w:val="454" w:hRule="atLeast"/>
          <w:jc w:val="center"/>
        </w:trPr>
        <w:tc>
          <w:tcPr>
            <w:tcW w:w="559" w:type="pct"/>
            <w:tcBorders>
              <w:tl2br w:val="nil"/>
              <w:tr2bl w:val="nil"/>
            </w:tcBorders>
            <w:noWrap w:val="0"/>
            <w:vAlign w:val="center"/>
          </w:tcPr>
          <w:p w14:paraId="00CFF4C3">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运营期</w:t>
            </w:r>
          </w:p>
        </w:tc>
        <w:tc>
          <w:tcPr>
            <w:tcW w:w="280" w:type="pct"/>
            <w:tcBorders>
              <w:tl2br w:val="nil"/>
              <w:tr2bl w:val="nil"/>
            </w:tcBorders>
            <w:noWrap w:val="0"/>
            <w:vAlign w:val="center"/>
          </w:tcPr>
          <w:p w14:paraId="6EF54F39">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3类</w:t>
            </w:r>
          </w:p>
        </w:tc>
        <w:tc>
          <w:tcPr>
            <w:tcW w:w="414" w:type="pct"/>
            <w:tcBorders>
              <w:tl2br w:val="nil"/>
              <w:tr2bl w:val="nil"/>
            </w:tcBorders>
            <w:noWrap w:val="0"/>
            <w:vAlign w:val="center"/>
          </w:tcPr>
          <w:p w14:paraId="17D17B0F">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65</w:t>
            </w:r>
          </w:p>
        </w:tc>
        <w:tc>
          <w:tcPr>
            <w:tcW w:w="416" w:type="pct"/>
            <w:tcBorders>
              <w:tl2br w:val="nil"/>
              <w:tr2bl w:val="nil"/>
            </w:tcBorders>
            <w:noWrap w:val="0"/>
            <w:vAlign w:val="center"/>
          </w:tcPr>
          <w:p w14:paraId="64D0021F">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55</w:t>
            </w:r>
          </w:p>
        </w:tc>
        <w:tc>
          <w:tcPr>
            <w:tcW w:w="3329" w:type="pct"/>
            <w:tcBorders>
              <w:tl2br w:val="nil"/>
              <w:tr2bl w:val="nil"/>
            </w:tcBorders>
            <w:noWrap w:val="0"/>
            <w:vAlign w:val="center"/>
          </w:tcPr>
          <w:p w14:paraId="60288EFE">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eastAsia="zh-CN"/>
              </w:rPr>
              <w:t>工业企业厂界环境噪声排放标准</w:t>
            </w:r>
            <w:r>
              <w:rPr>
                <w:rFonts w:hint="default" w:ascii="Times New Roman" w:hAnsi="Times New Roman" w:eastAsia="宋体" w:cs="Times New Roman"/>
                <w:color w:val="auto"/>
                <w:sz w:val="21"/>
                <w:szCs w:val="21"/>
                <w:highlight w:val="none"/>
              </w:rPr>
              <w:t>》（GB12348-2008）</w:t>
            </w:r>
          </w:p>
        </w:tc>
      </w:tr>
    </w:tbl>
    <w:p w14:paraId="15656C92">
      <w:pPr>
        <w:pageBreakBefore w:val="0"/>
        <w:widowControl w:val="0"/>
        <w:numPr>
          <w:ilvl w:val="0"/>
          <w:numId w:val="14"/>
        </w:numPr>
        <w:kinsoku/>
        <w:wordWrap/>
        <w:overflowPunct/>
        <w:topLinePunct w:val="0"/>
        <w:autoSpaceDE/>
        <w:autoSpaceDN/>
        <w:bidi w:val="0"/>
        <w:adjustRightInd/>
        <w:snapToGrid/>
        <w:spacing w:line="480" w:lineRule="exact"/>
        <w:ind w:left="425" w:leftChars="0" w:hanging="425" w:firstLineChars="0"/>
        <w:jc w:val="right"/>
        <w:textAlignment w:val="auto"/>
        <w:rPr>
          <w:rFonts w:hint="default" w:ascii="Times New Roman" w:hAnsi="Times New Roman" w:eastAsia="宋体" w:cs="Times New Roman"/>
          <w:b/>
          <w:color w:val="000000" w:themeColor="text1"/>
          <w:sz w:val="24"/>
          <w:highlight w:val="none"/>
          <w14:textFill>
            <w14:solidFill>
              <w14:schemeClr w14:val="tx1"/>
            </w14:solidFill>
          </w14:textFill>
        </w:rPr>
      </w:pPr>
      <w:r>
        <w:rPr>
          <w:rFonts w:hint="default" w:ascii="Times New Roman" w:hAnsi="Times New Roman" w:eastAsia="宋体" w:cs="Times New Roman"/>
          <w:b/>
          <w:color w:val="000000" w:themeColor="text1"/>
          <w:sz w:val="24"/>
          <w:highlight w:val="none"/>
          <w14:textFill>
            <w14:solidFill>
              <w14:schemeClr w14:val="tx1"/>
            </w14:solidFill>
          </w14:textFill>
        </w:rPr>
        <w:t>污水标准限值</w:t>
      </w:r>
      <w:r>
        <w:rPr>
          <w:rFonts w:hint="eastAsia" w:cs="Times New Roman"/>
          <w:b/>
          <w:color w:val="000000" w:themeColor="text1"/>
          <w:sz w:val="24"/>
          <w:highlight w:val="none"/>
          <w:lang w:val="en-US" w:eastAsia="zh-CN"/>
          <w14:textFill>
            <w14:solidFill>
              <w14:schemeClr w14:val="tx1"/>
            </w14:solidFill>
          </w14:textFill>
        </w:rPr>
        <w:t xml:space="preserve">                  单位：</w:t>
      </w:r>
      <w:r>
        <w:rPr>
          <w:rFonts w:hint="eastAsia" w:cs="Times New Roman"/>
          <w:color w:val="auto"/>
          <w:sz w:val="21"/>
          <w:szCs w:val="21"/>
          <w:highlight w:val="none"/>
          <w:lang w:val="en-US" w:eastAsia="zh-CN"/>
        </w:rPr>
        <w:t>mg/L</w:t>
      </w:r>
    </w:p>
    <w:tbl>
      <w:tblPr>
        <w:tblStyle w:val="47"/>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1525"/>
        <w:gridCol w:w="1687"/>
        <w:gridCol w:w="1687"/>
        <w:gridCol w:w="1689"/>
        <w:gridCol w:w="2270"/>
      </w:tblGrid>
      <w:tr w14:paraId="1A1F5A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61" w:type="pct"/>
            <w:noWrap w:val="0"/>
            <w:vAlign w:val="center"/>
          </w:tcPr>
          <w:p w14:paraId="3444ECDD">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序号</w:t>
            </w:r>
          </w:p>
        </w:tc>
        <w:tc>
          <w:tcPr>
            <w:tcW w:w="894" w:type="pct"/>
            <w:noWrap w:val="0"/>
            <w:vAlign w:val="center"/>
          </w:tcPr>
          <w:p w14:paraId="46C0C97A">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基本控制项目</w:t>
            </w:r>
          </w:p>
        </w:tc>
        <w:tc>
          <w:tcPr>
            <w:tcW w:w="960" w:type="pct"/>
            <w:noWrap w:val="0"/>
            <w:vAlign w:val="center"/>
          </w:tcPr>
          <w:p w14:paraId="5A75F1DD">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一级A标准</w:t>
            </w:r>
          </w:p>
        </w:tc>
        <w:tc>
          <w:tcPr>
            <w:tcW w:w="960" w:type="pct"/>
            <w:noWrap w:val="0"/>
            <w:vAlign w:val="center"/>
          </w:tcPr>
          <w:p w14:paraId="551C21AE">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《城市污水再生利用  工业用水水质》</w:t>
            </w:r>
          </w:p>
        </w:tc>
        <w:tc>
          <w:tcPr>
            <w:tcW w:w="961" w:type="pct"/>
            <w:noWrap w:val="0"/>
            <w:vAlign w:val="center"/>
          </w:tcPr>
          <w:p w14:paraId="4BB5624A">
            <w:pPr>
              <w:spacing w:line="34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《城市污水再生利用 城市杂用水水质》</w:t>
            </w:r>
          </w:p>
        </w:tc>
        <w:tc>
          <w:tcPr>
            <w:tcW w:w="961" w:type="pct"/>
            <w:noWrap w:val="0"/>
            <w:vAlign w:val="center"/>
          </w:tcPr>
          <w:p w14:paraId="6A30438E">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城市污水再生利用 绿地灌溉水质</w:t>
            </w: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GB/T</w:t>
            </w:r>
            <w:r>
              <w:rPr>
                <w:rFonts w:hint="eastAsia" w:ascii="Times New Roman" w:hAnsi="Times New Roman" w:eastAsia="宋体" w:cs="Times New Roman"/>
                <w:color w:val="auto"/>
                <w:sz w:val="21"/>
                <w:szCs w:val="21"/>
                <w:highlight w:val="none"/>
                <w:lang w:val="en-US" w:eastAsia="zh-CN"/>
              </w:rPr>
              <w:t>25499—2010）</w:t>
            </w:r>
          </w:p>
        </w:tc>
      </w:tr>
      <w:tr w14:paraId="0AE44FD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61" w:type="pct"/>
            <w:noWrap w:val="0"/>
            <w:vAlign w:val="center"/>
          </w:tcPr>
          <w:p w14:paraId="69992F3C">
            <w:pPr>
              <w:numPr>
                <w:ilvl w:val="0"/>
                <w:numId w:val="15"/>
              </w:numPr>
              <w:spacing w:line="340" w:lineRule="exact"/>
              <w:ind w:left="425" w:leftChars="0" w:hanging="425" w:firstLineChars="0"/>
              <w:jc w:val="center"/>
              <w:rPr>
                <w:rFonts w:hint="default" w:ascii="Times New Roman" w:hAnsi="Times New Roman" w:eastAsia="宋体" w:cs="Times New Roman"/>
                <w:color w:val="auto"/>
                <w:sz w:val="21"/>
                <w:szCs w:val="21"/>
                <w:highlight w:val="none"/>
              </w:rPr>
            </w:pPr>
          </w:p>
        </w:tc>
        <w:tc>
          <w:tcPr>
            <w:tcW w:w="894" w:type="pct"/>
            <w:noWrap w:val="0"/>
            <w:vAlign w:val="center"/>
          </w:tcPr>
          <w:p w14:paraId="61BB8121">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悬浮物(SS)</w:t>
            </w:r>
          </w:p>
        </w:tc>
        <w:tc>
          <w:tcPr>
            <w:tcW w:w="960" w:type="pct"/>
            <w:noWrap w:val="0"/>
            <w:vAlign w:val="center"/>
          </w:tcPr>
          <w:p w14:paraId="4276AF2E">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10</w:t>
            </w:r>
          </w:p>
        </w:tc>
        <w:tc>
          <w:tcPr>
            <w:tcW w:w="960" w:type="pct"/>
            <w:noWrap w:val="0"/>
            <w:vAlign w:val="center"/>
          </w:tcPr>
          <w:p w14:paraId="5E3D828C">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961" w:type="pct"/>
            <w:noWrap w:val="0"/>
            <w:vAlign w:val="center"/>
          </w:tcPr>
          <w:p w14:paraId="5A0ECDB2">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2270" w:type="dxa"/>
            <w:noWrap w:val="0"/>
            <w:vAlign w:val="center"/>
          </w:tcPr>
          <w:p w14:paraId="0BF5B190">
            <w:pPr>
              <w:spacing w:line="340" w:lineRule="exact"/>
              <w:ind w:firstLine="0" w:firstLine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w:t>
            </w:r>
          </w:p>
        </w:tc>
      </w:tr>
      <w:tr w14:paraId="34F7066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61" w:type="pct"/>
            <w:noWrap w:val="0"/>
            <w:vAlign w:val="center"/>
          </w:tcPr>
          <w:p w14:paraId="18E11C51">
            <w:pPr>
              <w:numPr>
                <w:ilvl w:val="0"/>
                <w:numId w:val="15"/>
              </w:numPr>
              <w:spacing w:line="340" w:lineRule="exact"/>
              <w:ind w:left="425" w:leftChars="0" w:hanging="425" w:firstLineChars="0"/>
              <w:jc w:val="center"/>
              <w:rPr>
                <w:rFonts w:hint="default" w:ascii="Times New Roman" w:hAnsi="Times New Roman" w:eastAsia="宋体" w:cs="Times New Roman"/>
                <w:color w:val="auto"/>
                <w:sz w:val="21"/>
                <w:szCs w:val="21"/>
                <w:highlight w:val="none"/>
              </w:rPr>
            </w:pPr>
          </w:p>
        </w:tc>
        <w:tc>
          <w:tcPr>
            <w:tcW w:w="894" w:type="pct"/>
            <w:noWrap w:val="0"/>
            <w:vAlign w:val="center"/>
          </w:tcPr>
          <w:p w14:paraId="122F39E4">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pH(无量纲)</w:t>
            </w:r>
          </w:p>
        </w:tc>
        <w:tc>
          <w:tcPr>
            <w:tcW w:w="960" w:type="pct"/>
            <w:noWrap w:val="0"/>
            <w:vAlign w:val="center"/>
          </w:tcPr>
          <w:p w14:paraId="570BED92">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6~9</w:t>
            </w:r>
          </w:p>
        </w:tc>
        <w:tc>
          <w:tcPr>
            <w:tcW w:w="960" w:type="pct"/>
            <w:noWrap w:val="0"/>
            <w:vAlign w:val="center"/>
          </w:tcPr>
          <w:p w14:paraId="7C99B4E5">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6~9</w:t>
            </w:r>
          </w:p>
        </w:tc>
        <w:tc>
          <w:tcPr>
            <w:tcW w:w="961" w:type="pct"/>
            <w:noWrap w:val="0"/>
            <w:vAlign w:val="center"/>
          </w:tcPr>
          <w:p w14:paraId="33F2BFC0">
            <w:pPr>
              <w:spacing w:line="34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6~9</w:t>
            </w:r>
          </w:p>
        </w:tc>
        <w:tc>
          <w:tcPr>
            <w:tcW w:w="2270" w:type="dxa"/>
            <w:noWrap w:val="0"/>
            <w:vAlign w:val="center"/>
          </w:tcPr>
          <w:p w14:paraId="59425F21">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6~9</w:t>
            </w:r>
          </w:p>
        </w:tc>
      </w:tr>
      <w:tr w14:paraId="46FB748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61" w:type="pct"/>
            <w:noWrap w:val="0"/>
            <w:vAlign w:val="center"/>
          </w:tcPr>
          <w:p w14:paraId="3049AD48">
            <w:pPr>
              <w:numPr>
                <w:ilvl w:val="0"/>
                <w:numId w:val="15"/>
              </w:numPr>
              <w:spacing w:line="340" w:lineRule="exact"/>
              <w:ind w:left="425" w:leftChars="0" w:hanging="425" w:firstLineChars="0"/>
              <w:jc w:val="center"/>
              <w:rPr>
                <w:rFonts w:hint="default" w:ascii="Times New Roman" w:hAnsi="Times New Roman" w:eastAsia="宋体" w:cs="Times New Roman"/>
                <w:color w:val="auto"/>
                <w:sz w:val="21"/>
                <w:szCs w:val="21"/>
                <w:highlight w:val="none"/>
              </w:rPr>
            </w:pPr>
          </w:p>
        </w:tc>
        <w:tc>
          <w:tcPr>
            <w:tcW w:w="894" w:type="pct"/>
            <w:noWrap w:val="0"/>
            <w:vAlign w:val="center"/>
          </w:tcPr>
          <w:p w14:paraId="0E206BC1">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化学需氧量(COD)</w:t>
            </w:r>
          </w:p>
        </w:tc>
        <w:tc>
          <w:tcPr>
            <w:tcW w:w="960" w:type="pct"/>
            <w:noWrap w:val="0"/>
            <w:vAlign w:val="center"/>
          </w:tcPr>
          <w:p w14:paraId="4D3CB09E">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50</w:t>
            </w:r>
          </w:p>
        </w:tc>
        <w:tc>
          <w:tcPr>
            <w:tcW w:w="960" w:type="pct"/>
            <w:noWrap w:val="0"/>
            <w:vAlign w:val="center"/>
          </w:tcPr>
          <w:p w14:paraId="65B0410C">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50</w:t>
            </w:r>
          </w:p>
        </w:tc>
        <w:tc>
          <w:tcPr>
            <w:tcW w:w="961" w:type="pct"/>
            <w:noWrap w:val="0"/>
            <w:vAlign w:val="center"/>
          </w:tcPr>
          <w:p w14:paraId="2D75FA32">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2270" w:type="dxa"/>
            <w:noWrap w:val="0"/>
            <w:vAlign w:val="center"/>
          </w:tcPr>
          <w:p w14:paraId="23B5B667">
            <w:pPr>
              <w:spacing w:line="340" w:lineRule="exact"/>
              <w:ind w:firstLine="0" w:firstLine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w:t>
            </w:r>
          </w:p>
        </w:tc>
      </w:tr>
      <w:tr w14:paraId="65B2ADF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61" w:type="pct"/>
            <w:noWrap w:val="0"/>
            <w:vAlign w:val="center"/>
          </w:tcPr>
          <w:p w14:paraId="1C93D5DE">
            <w:pPr>
              <w:numPr>
                <w:ilvl w:val="0"/>
                <w:numId w:val="15"/>
              </w:numPr>
              <w:spacing w:line="340" w:lineRule="exact"/>
              <w:ind w:left="425" w:leftChars="0" w:hanging="425" w:firstLineChars="0"/>
              <w:jc w:val="center"/>
              <w:rPr>
                <w:rFonts w:hint="default" w:ascii="Times New Roman" w:hAnsi="Times New Roman" w:eastAsia="宋体" w:cs="Times New Roman"/>
                <w:color w:val="auto"/>
                <w:sz w:val="21"/>
                <w:szCs w:val="21"/>
                <w:highlight w:val="none"/>
              </w:rPr>
            </w:pPr>
          </w:p>
        </w:tc>
        <w:tc>
          <w:tcPr>
            <w:tcW w:w="894" w:type="pct"/>
            <w:noWrap w:val="0"/>
            <w:vAlign w:val="center"/>
          </w:tcPr>
          <w:p w14:paraId="42705893">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生化需氧量(</w:t>
            </w:r>
            <w:r>
              <w:rPr>
                <w:rFonts w:hint="eastAsia" w:ascii="Times New Roman" w:hAnsi="Times New Roman" w:eastAsia="宋体" w:cs="Times New Roman"/>
                <w:color w:val="auto"/>
                <w:sz w:val="21"/>
                <w:szCs w:val="21"/>
                <w:highlight w:val="none"/>
                <w:lang w:eastAsia="zh-CN"/>
              </w:rPr>
              <w:t>BOD</w:t>
            </w:r>
            <w:r>
              <w:rPr>
                <w:rFonts w:hint="eastAsia" w:ascii="Times New Roman" w:hAnsi="Times New Roman" w:eastAsia="宋体" w:cs="Times New Roman"/>
                <w:color w:val="auto"/>
                <w:sz w:val="21"/>
                <w:szCs w:val="21"/>
                <w:highlight w:val="none"/>
                <w:vertAlign w:val="subscript"/>
                <w:lang w:eastAsia="zh-CN"/>
              </w:rPr>
              <w:t>5</w:t>
            </w:r>
            <w:r>
              <w:rPr>
                <w:rFonts w:hint="default" w:ascii="Times New Roman" w:hAnsi="Times New Roman" w:eastAsia="宋体" w:cs="Times New Roman"/>
                <w:color w:val="auto"/>
                <w:sz w:val="21"/>
                <w:szCs w:val="21"/>
                <w:highlight w:val="none"/>
              </w:rPr>
              <w:t>)</w:t>
            </w:r>
          </w:p>
        </w:tc>
        <w:tc>
          <w:tcPr>
            <w:tcW w:w="960" w:type="pct"/>
            <w:noWrap w:val="0"/>
            <w:vAlign w:val="center"/>
          </w:tcPr>
          <w:p w14:paraId="4ECED4F2">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10</w:t>
            </w:r>
          </w:p>
        </w:tc>
        <w:tc>
          <w:tcPr>
            <w:tcW w:w="960" w:type="pct"/>
            <w:noWrap w:val="0"/>
            <w:vAlign w:val="center"/>
          </w:tcPr>
          <w:p w14:paraId="5E76E2F2">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10</w:t>
            </w:r>
          </w:p>
        </w:tc>
        <w:tc>
          <w:tcPr>
            <w:tcW w:w="961" w:type="pct"/>
            <w:noWrap w:val="0"/>
            <w:vAlign w:val="center"/>
          </w:tcPr>
          <w:p w14:paraId="798D89AE">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10</w:t>
            </w:r>
          </w:p>
        </w:tc>
        <w:tc>
          <w:tcPr>
            <w:tcW w:w="2270" w:type="dxa"/>
            <w:noWrap w:val="0"/>
            <w:vAlign w:val="center"/>
          </w:tcPr>
          <w:p w14:paraId="4D6189CB">
            <w:pPr>
              <w:spacing w:line="340" w:lineRule="exact"/>
              <w:ind w:firstLine="0" w:firstLine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10</w:t>
            </w:r>
          </w:p>
        </w:tc>
      </w:tr>
      <w:tr w14:paraId="0A48EA6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61" w:type="pct"/>
            <w:noWrap w:val="0"/>
            <w:vAlign w:val="center"/>
          </w:tcPr>
          <w:p w14:paraId="68CA25B7">
            <w:pPr>
              <w:numPr>
                <w:ilvl w:val="0"/>
                <w:numId w:val="15"/>
              </w:numPr>
              <w:spacing w:line="340" w:lineRule="exact"/>
              <w:ind w:left="425" w:leftChars="0" w:hanging="425" w:firstLineChars="0"/>
              <w:jc w:val="center"/>
              <w:rPr>
                <w:rFonts w:hint="default" w:ascii="Times New Roman" w:hAnsi="Times New Roman" w:eastAsia="宋体" w:cs="Times New Roman"/>
                <w:color w:val="auto"/>
                <w:sz w:val="21"/>
                <w:szCs w:val="21"/>
                <w:highlight w:val="none"/>
              </w:rPr>
            </w:pPr>
          </w:p>
        </w:tc>
        <w:tc>
          <w:tcPr>
            <w:tcW w:w="894" w:type="pct"/>
            <w:noWrap w:val="0"/>
            <w:vAlign w:val="center"/>
          </w:tcPr>
          <w:p w14:paraId="074822A2">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总磷(以P计)</w:t>
            </w:r>
          </w:p>
        </w:tc>
        <w:tc>
          <w:tcPr>
            <w:tcW w:w="960" w:type="pct"/>
            <w:noWrap w:val="0"/>
            <w:vAlign w:val="center"/>
          </w:tcPr>
          <w:p w14:paraId="1500B882">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0.5</w:t>
            </w:r>
          </w:p>
        </w:tc>
        <w:tc>
          <w:tcPr>
            <w:tcW w:w="960" w:type="pct"/>
            <w:noWrap w:val="0"/>
            <w:vAlign w:val="center"/>
          </w:tcPr>
          <w:p w14:paraId="132416E0">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0.5</w:t>
            </w:r>
          </w:p>
        </w:tc>
        <w:tc>
          <w:tcPr>
            <w:tcW w:w="961" w:type="pct"/>
            <w:noWrap w:val="0"/>
            <w:vAlign w:val="center"/>
          </w:tcPr>
          <w:p w14:paraId="7080667F">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2270" w:type="dxa"/>
            <w:noWrap w:val="0"/>
            <w:vAlign w:val="center"/>
          </w:tcPr>
          <w:p w14:paraId="1F0EABE3">
            <w:pPr>
              <w:spacing w:line="340" w:lineRule="exact"/>
              <w:ind w:firstLine="0" w:firstLine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w:t>
            </w:r>
          </w:p>
        </w:tc>
      </w:tr>
      <w:tr w14:paraId="5E5285F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61" w:type="pct"/>
            <w:noWrap w:val="0"/>
            <w:vAlign w:val="center"/>
          </w:tcPr>
          <w:p w14:paraId="18F041DF">
            <w:pPr>
              <w:numPr>
                <w:ilvl w:val="0"/>
                <w:numId w:val="15"/>
              </w:numPr>
              <w:spacing w:line="340" w:lineRule="exact"/>
              <w:ind w:left="425" w:leftChars="0" w:hanging="425" w:firstLineChars="0"/>
              <w:jc w:val="center"/>
              <w:rPr>
                <w:rFonts w:hint="default" w:ascii="Times New Roman" w:hAnsi="Times New Roman" w:eastAsia="宋体" w:cs="Times New Roman"/>
                <w:color w:val="auto"/>
                <w:sz w:val="21"/>
                <w:szCs w:val="21"/>
                <w:highlight w:val="none"/>
              </w:rPr>
            </w:pPr>
          </w:p>
        </w:tc>
        <w:tc>
          <w:tcPr>
            <w:tcW w:w="894" w:type="pct"/>
            <w:noWrap w:val="0"/>
            <w:vAlign w:val="center"/>
          </w:tcPr>
          <w:p w14:paraId="4423F373">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总氮(以N计)</w:t>
            </w:r>
          </w:p>
        </w:tc>
        <w:tc>
          <w:tcPr>
            <w:tcW w:w="960" w:type="pct"/>
            <w:noWrap w:val="0"/>
            <w:vAlign w:val="center"/>
          </w:tcPr>
          <w:p w14:paraId="5B86011B">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15</w:t>
            </w:r>
          </w:p>
        </w:tc>
        <w:tc>
          <w:tcPr>
            <w:tcW w:w="960" w:type="pct"/>
            <w:noWrap w:val="0"/>
            <w:vAlign w:val="center"/>
          </w:tcPr>
          <w:p w14:paraId="61D1BFB0">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15</w:t>
            </w:r>
          </w:p>
        </w:tc>
        <w:tc>
          <w:tcPr>
            <w:tcW w:w="961" w:type="pct"/>
            <w:noWrap w:val="0"/>
            <w:vAlign w:val="center"/>
          </w:tcPr>
          <w:p w14:paraId="43242D57">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2270" w:type="dxa"/>
            <w:noWrap w:val="0"/>
            <w:vAlign w:val="center"/>
          </w:tcPr>
          <w:p w14:paraId="70290B21">
            <w:pPr>
              <w:spacing w:line="340" w:lineRule="exact"/>
              <w:ind w:firstLine="0" w:firstLine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w:t>
            </w:r>
          </w:p>
        </w:tc>
      </w:tr>
      <w:tr w14:paraId="4D5C10A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61" w:type="pct"/>
            <w:noWrap w:val="0"/>
            <w:vAlign w:val="center"/>
          </w:tcPr>
          <w:p w14:paraId="1A713CF9">
            <w:pPr>
              <w:numPr>
                <w:ilvl w:val="0"/>
                <w:numId w:val="15"/>
              </w:numPr>
              <w:spacing w:line="340" w:lineRule="exact"/>
              <w:ind w:left="425" w:leftChars="0" w:hanging="425" w:firstLineChars="0"/>
              <w:jc w:val="center"/>
              <w:rPr>
                <w:rFonts w:hint="default" w:ascii="Times New Roman" w:hAnsi="Times New Roman" w:eastAsia="宋体" w:cs="Times New Roman"/>
                <w:color w:val="auto"/>
                <w:sz w:val="21"/>
                <w:szCs w:val="21"/>
                <w:highlight w:val="none"/>
              </w:rPr>
            </w:pPr>
          </w:p>
        </w:tc>
        <w:tc>
          <w:tcPr>
            <w:tcW w:w="894" w:type="pct"/>
            <w:noWrap w:val="0"/>
            <w:vAlign w:val="center"/>
          </w:tcPr>
          <w:p w14:paraId="648DECFB">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氨氮(以N计)</w:t>
            </w:r>
          </w:p>
        </w:tc>
        <w:tc>
          <w:tcPr>
            <w:tcW w:w="960" w:type="pct"/>
            <w:noWrap w:val="0"/>
            <w:vAlign w:val="center"/>
          </w:tcPr>
          <w:p w14:paraId="7D684B57">
            <w:pPr>
              <w:spacing w:line="340" w:lineRule="exact"/>
              <w:ind w:firstLine="0" w:firstLineChars="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5</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8</w:t>
            </w:r>
            <w:r>
              <w:rPr>
                <w:rFonts w:hint="default" w:ascii="Times New Roman" w:hAnsi="Times New Roman" w:eastAsia="宋体" w:cs="Times New Roman"/>
                <w:color w:val="auto"/>
                <w:sz w:val="21"/>
                <w:szCs w:val="21"/>
                <w:highlight w:val="none"/>
                <w:lang w:eastAsia="zh-CN"/>
              </w:rPr>
              <w:t>）</w:t>
            </w:r>
          </w:p>
        </w:tc>
        <w:tc>
          <w:tcPr>
            <w:tcW w:w="960" w:type="pct"/>
            <w:noWrap w:val="0"/>
            <w:vAlign w:val="center"/>
          </w:tcPr>
          <w:p w14:paraId="233B905A">
            <w:pPr>
              <w:spacing w:line="34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5</w:t>
            </w:r>
          </w:p>
        </w:tc>
        <w:tc>
          <w:tcPr>
            <w:tcW w:w="961" w:type="pct"/>
            <w:noWrap w:val="0"/>
            <w:vAlign w:val="center"/>
          </w:tcPr>
          <w:p w14:paraId="1149F665">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8</w:t>
            </w:r>
          </w:p>
        </w:tc>
        <w:tc>
          <w:tcPr>
            <w:tcW w:w="2270" w:type="dxa"/>
            <w:noWrap w:val="0"/>
            <w:vAlign w:val="center"/>
          </w:tcPr>
          <w:p w14:paraId="1BA870EA">
            <w:pPr>
              <w:spacing w:line="34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20</w:t>
            </w:r>
          </w:p>
        </w:tc>
      </w:tr>
      <w:tr w14:paraId="04FDEE2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61" w:type="pct"/>
            <w:noWrap w:val="0"/>
            <w:vAlign w:val="center"/>
          </w:tcPr>
          <w:p w14:paraId="31A9F340">
            <w:pPr>
              <w:numPr>
                <w:ilvl w:val="0"/>
                <w:numId w:val="15"/>
              </w:numPr>
              <w:spacing w:line="340" w:lineRule="exact"/>
              <w:ind w:left="425" w:leftChars="0" w:hanging="425" w:firstLineChars="0"/>
              <w:jc w:val="center"/>
              <w:rPr>
                <w:rFonts w:hint="default" w:ascii="Times New Roman" w:hAnsi="Times New Roman" w:eastAsia="宋体" w:cs="Times New Roman"/>
                <w:color w:val="auto"/>
                <w:sz w:val="21"/>
                <w:szCs w:val="21"/>
                <w:highlight w:val="none"/>
              </w:rPr>
            </w:pPr>
          </w:p>
        </w:tc>
        <w:tc>
          <w:tcPr>
            <w:tcW w:w="894" w:type="pct"/>
            <w:noWrap w:val="0"/>
            <w:vAlign w:val="center"/>
          </w:tcPr>
          <w:p w14:paraId="441CFDC7">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动植物油类</w:t>
            </w:r>
          </w:p>
        </w:tc>
        <w:tc>
          <w:tcPr>
            <w:tcW w:w="960" w:type="pct"/>
            <w:noWrap w:val="0"/>
            <w:vAlign w:val="center"/>
          </w:tcPr>
          <w:p w14:paraId="5921F012">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1.0</w:t>
            </w:r>
          </w:p>
        </w:tc>
        <w:tc>
          <w:tcPr>
            <w:tcW w:w="960" w:type="pct"/>
            <w:noWrap w:val="0"/>
            <w:vAlign w:val="center"/>
          </w:tcPr>
          <w:p w14:paraId="1CD01921">
            <w:pPr>
              <w:spacing w:line="34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w:t>
            </w:r>
          </w:p>
        </w:tc>
        <w:tc>
          <w:tcPr>
            <w:tcW w:w="961" w:type="pct"/>
            <w:noWrap w:val="0"/>
            <w:vAlign w:val="center"/>
          </w:tcPr>
          <w:p w14:paraId="0F31A525">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2270" w:type="dxa"/>
            <w:noWrap w:val="0"/>
            <w:vAlign w:val="center"/>
          </w:tcPr>
          <w:p w14:paraId="42DD8E83">
            <w:pPr>
              <w:spacing w:line="340" w:lineRule="exact"/>
              <w:ind w:firstLine="0" w:firstLine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w:t>
            </w:r>
          </w:p>
        </w:tc>
      </w:tr>
      <w:tr w14:paraId="3713C3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61" w:type="pct"/>
            <w:noWrap w:val="0"/>
            <w:vAlign w:val="center"/>
          </w:tcPr>
          <w:p w14:paraId="52BC6332">
            <w:pPr>
              <w:numPr>
                <w:ilvl w:val="0"/>
                <w:numId w:val="15"/>
              </w:numPr>
              <w:spacing w:line="340" w:lineRule="exact"/>
              <w:ind w:left="425" w:leftChars="0" w:hanging="425" w:firstLineChars="0"/>
              <w:jc w:val="center"/>
              <w:rPr>
                <w:rFonts w:hint="default" w:ascii="Times New Roman" w:hAnsi="Times New Roman" w:eastAsia="宋体" w:cs="Times New Roman"/>
                <w:color w:val="auto"/>
                <w:sz w:val="21"/>
                <w:szCs w:val="21"/>
                <w:highlight w:val="none"/>
              </w:rPr>
            </w:pPr>
          </w:p>
        </w:tc>
        <w:tc>
          <w:tcPr>
            <w:tcW w:w="894" w:type="pct"/>
            <w:noWrap w:val="0"/>
            <w:vAlign w:val="center"/>
          </w:tcPr>
          <w:p w14:paraId="1A511B52">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石油类</w:t>
            </w:r>
          </w:p>
        </w:tc>
        <w:tc>
          <w:tcPr>
            <w:tcW w:w="960" w:type="pct"/>
            <w:noWrap w:val="0"/>
            <w:vAlign w:val="center"/>
          </w:tcPr>
          <w:p w14:paraId="5A04AB67">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1.0</w:t>
            </w:r>
          </w:p>
        </w:tc>
        <w:tc>
          <w:tcPr>
            <w:tcW w:w="960" w:type="pct"/>
            <w:noWrap w:val="0"/>
            <w:vAlign w:val="center"/>
          </w:tcPr>
          <w:p w14:paraId="7EA46CB8">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1.0</w:t>
            </w:r>
          </w:p>
        </w:tc>
        <w:tc>
          <w:tcPr>
            <w:tcW w:w="961" w:type="pct"/>
            <w:noWrap w:val="0"/>
            <w:vAlign w:val="center"/>
          </w:tcPr>
          <w:p w14:paraId="79E0042C">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2270" w:type="dxa"/>
            <w:noWrap w:val="0"/>
            <w:vAlign w:val="center"/>
          </w:tcPr>
          <w:p w14:paraId="67F24EB4">
            <w:pPr>
              <w:spacing w:line="340" w:lineRule="exact"/>
              <w:ind w:firstLine="0" w:firstLine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w:t>
            </w:r>
          </w:p>
        </w:tc>
      </w:tr>
      <w:tr w14:paraId="67AEA18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61" w:type="pct"/>
            <w:noWrap w:val="0"/>
            <w:vAlign w:val="center"/>
          </w:tcPr>
          <w:p w14:paraId="49E5F059">
            <w:pPr>
              <w:numPr>
                <w:ilvl w:val="0"/>
                <w:numId w:val="15"/>
              </w:numPr>
              <w:spacing w:line="340" w:lineRule="exact"/>
              <w:ind w:left="425" w:leftChars="0" w:hanging="425" w:firstLineChars="0"/>
              <w:jc w:val="center"/>
              <w:rPr>
                <w:rFonts w:hint="default" w:ascii="Times New Roman" w:hAnsi="Times New Roman" w:eastAsia="宋体" w:cs="Times New Roman"/>
                <w:color w:val="auto"/>
                <w:sz w:val="21"/>
                <w:szCs w:val="21"/>
                <w:highlight w:val="none"/>
              </w:rPr>
            </w:pPr>
          </w:p>
        </w:tc>
        <w:tc>
          <w:tcPr>
            <w:tcW w:w="894" w:type="pct"/>
            <w:noWrap w:val="0"/>
            <w:vAlign w:val="center"/>
          </w:tcPr>
          <w:p w14:paraId="6BFD8658">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阴离子表面活性剂</w:t>
            </w:r>
          </w:p>
        </w:tc>
        <w:tc>
          <w:tcPr>
            <w:tcW w:w="960" w:type="pct"/>
            <w:noWrap w:val="0"/>
            <w:vAlign w:val="center"/>
          </w:tcPr>
          <w:p w14:paraId="30B1E839">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0.5</w:t>
            </w:r>
          </w:p>
        </w:tc>
        <w:tc>
          <w:tcPr>
            <w:tcW w:w="960" w:type="pct"/>
            <w:noWrap w:val="0"/>
            <w:vAlign w:val="center"/>
          </w:tcPr>
          <w:p w14:paraId="41318814">
            <w:pPr>
              <w:spacing w:line="34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w:t>
            </w:r>
            <w:r>
              <w:rPr>
                <w:rFonts w:hint="eastAsia" w:ascii="Times New Roman" w:hAnsi="Times New Roman" w:eastAsia="宋体" w:cs="Times New Roman"/>
                <w:color w:val="auto"/>
                <w:sz w:val="21"/>
                <w:szCs w:val="21"/>
                <w:highlight w:val="none"/>
                <w:lang w:val="en-US" w:eastAsia="zh-CN"/>
              </w:rPr>
              <w:t>5</w:t>
            </w:r>
          </w:p>
        </w:tc>
        <w:tc>
          <w:tcPr>
            <w:tcW w:w="961" w:type="pct"/>
            <w:noWrap w:val="0"/>
            <w:vAlign w:val="center"/>
          </w:tcPr>
          <w:p w14:paraId="1FF43062">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0.5</w:t>
            </w:r>
          </w:p>
        </w:tc>
        <w:tc>
          <w:tcPr>
            <w:tcW w:w="2270" w:type="dxa"/>
            <w:noWrap w:val="0"/>
            <w:vAlign w:val="center"/>
          </w:tcPr>
          <w:p w14:paraId="32845D25">
            <w:pPr>
              <w:spacing w:line="340" w:lineRule="exact"/>
              <w:ind w:firstLine="0" w:firstLine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0.5</w:t>
            </w:r>
          </w:p>
        </w:tc>
      </w:tr>
      <w:tr w14:paraId="7DDDBCF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61" w:type="pct"/>
            <w:noWrap w:val="0"/>
            <w:vAlign w:val="center"/>
          </w:tcPr>
          <w:p w14:paraId="128CE062">
            <w:pPr>
              <w:numPr>
                <w:ilvl w:val="0"/>
                <w:numId w:val="15"/>
              </w:numPr>
              <w:spacing w:line="340" w:lineRule="exact"/>
              <w:ind w:left="425" w:leftChars="0" w:hanging="425" w:firstLineChars="0"/>
              <w:jc w:val="center"/>
              <w:rPr>
                <w:rFonts w:hint="default" w:ascii="Times New Roman" w:hAnsi="Times New Roman" w:eastAsia="宋体" w:cs="Times New Roman"/>
                <w:color w:val="auto"/>
                <w:sz w:val="21"/>
                <w:szCs w:val="21"/>
                <w:highlight w:val="none"/>
              </w:rPr>
            </w:pPr>
          </w:p>
        </w:tc>
        <w:tc>
          <w:tcPr>
            <w:tcW w:w="894" w:type="pct"/>
            <w:noWrap w:val="0"/>
            <w:vAlign w:val="center"/>
          </w:tcPr>
          <w:p w14:paraId="7EBBC17E">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粪大肠菌群（个/L）</w:t>
            </w:r>
          </w:p>
        </w:tc>
        <w:tc>
          <w:tcPr>
            <w:tcW w:w="960" w:type="pct"/>
            <w:noWrap w:val="0"/>
            <w:vAlign w:val="center"/>
          </w:tcPr>
          <w:p w14:paraId="3F7827AF">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1000</w:t>
            </w:r>
          </w:p>
        </w:tc>
        <w:tc>
          <w:tcPr>
            <w:tcW w:w="960" w:type="pct"/>
            <w:noWrap w:val="0"/>
            <w:vAlign w:val="center"/>
          </w:tcPr>
          <w:p w14:paraId="20A3B6A6">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w:t>
            </w:r>
            <w:r>
              <w:rPr>
                <w:rFonts w:hint="eastAsia" w:ascii="Times New Roman" w:hAnsi="Times New Roman" w:eastAsia="宋体" w:cs="Times New Roman"/>
                <w:color w:val="auto"/>
                <w:sz w:val="21"/>
                <w:szCs w:val="21"/>
                <w:highlight w:val="none"/>
                <w:lang w:val="en-US" w:eastAsia="zh-CN"/>
              </w:rPr>
              <w:t>000</w:t>
            </w:r>
          </w:p>
        </w:tc>
        <w:tc>
          <w:tcPr>
            <w:tcW w:w="961" w:type="pct"/>
            <w:noWrap w:val="0"/>
            <w:vAlign w:val="center"/>
          </w:tcPr>
          <w:p w14:paraId="2A482E56">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2270" w:type="dxa"/>
            <w:noWrap w:val="0"/>
            <w:vAlign w:val="center"/>
          </w:tcPr>
          <w:p w14:paraId="08797B34">
            <w:pPr>
              <w:spacing w:line="34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1000</w:t>
            </w:r>
          </w:p>
        </w:tc>
      </w:tr>
      <w:tr w14:paraId="04D67C7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61" w:type="pct"/>
            <w:noWrap w:val="0"/>
            <w:vAlign w:val="center"/>
          </w:tcPr>
          <w:p w14:paraId="1F6641E8">
            <w:pPr>
              <w:numPr>
                <w:ilvl w:val="0"/>
                <w:numId w:val="15"/>
              </w:numPr>
              <w:spacing w:line="340" w:lineRule="exact"/>
              <w:ind w:left="425" w:leftChars="0" w:hanging="425" w:firstLineChars="0"/>
              <w:jc w:val="center"/>
              <w:rPr>
                <w:rFonts w:hint="default" w:ascii="Times New Roman" w:hAnsi="Times New Roman" w:eastAsia="宋体" w:cs="Times New Roman"/>
                <w:color w:val="auto"/>
                <w:sz w:val="21"/>
                <w:szCs w:val="21"/>
                <w:highlight w:val="none"/>
              </w:rPr>
            </w:pPr>
            <w:bookmarkStart w:id="103" w:name="_Toc498880237"/>
            <w:bookmarkStart w:id="104" w:name="_Toc498494535"/>
          </w:p>
        </w:tc>
        <w:tc>
          <w:tcPr>
            <w:tcW w:w="894" w:type="pct"/>
            <w:noWrap w:val="0"/>
            <w:vAlign w:val="center"/>
          </w:tcPr>
          <w:p w14:paraId="6F45322F">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总余氯</w:t>
            </w:r>
          </w:p>
        </w:tc>
        <w:tc>
          <w:tcPr>
            <w:tcW w:w="960" w:type="pct"/>
            <w:noWrap w:val="0"/>
            <w:vAlign w:val="center"/>
          </w:tcPr>
          <w:p w14:paraId="2E237FCF">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mg/L</w:t>
            </w:r>
          </w:p>
        </w:tc>
        <w:tc>
          <w:tcPr>
            <w:tcW w:w="960" w:type="pct"/>
            <w:noWrap w:val="0"/>
            <w:vAlign w:val="center"/>
          </w:tcPr>
          <w:p w14:paraId="21A8D9AA">
            <w:pPr>
              <w:spacing w:line="34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0.1-0.2</w:t>
            </w:r>
          </w:p>
        </w:tc>
        <w:tc>
          <w:tcPr>
            <w:tcW w:w="961" w:type="pct"/>
            <w:noWrap w:val="0"/>
            <w:vAlign w:val="center"/>
          </w:tcPr>
          <w:p w14:paraId="226FB25E">
            <w:pPr>
              <w:spacing w:line="34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1.0(出厂)，0.2（管网末端）</w:t>
            </w:r>
          </w:p>
        </w:tc>
        <w:tc>
          <w:tcPr>
            <w:tcW w:w="2270" w:type="dxa"/>
            <w:noWrap w:val="0"/>
            <w:vAlign w:val="center"/>
          </w:tcPr>
          <w:p w14:paraId="733DD23F">
            <w:pPr>
              <w:spacing w:line="34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0.2≤管网末端≤0.5</w:t>
            </w:r>
          </w:p>
        </w:tc>
      </w:tr>
    </w:tbl>
    <w:p w14:paraId="480C7202">
      <w:pPr>
        <w:pStyle w:val="6"/>
        <w:pageBreakBefore w:val="0"/>
        <w:widowControl w:val="0"/>
        <w:kinsoku/>
        <w:wordWrap/>
        <w:overflowPunct/>
        <w:topLinePunct w:val="0"/>
        <w:bidi w:val="0"/>
        <w:spacing w:before="0" w:beforeLines="0" w:after="0" w:afterLines="0" w:line="480" w:lineRule="exact"/>
        <w:textAlignment w:val="auto"/>
        <w:rPr>
          <w:rFonts w:hint="eastAsia"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2.6.2环境保护目标</w:t>
      </w:r>
      <w:bookmarkEnd w:id="103"/>
      <w:bookmarkEnd w:id="104"/>
    </w:p>
    <w:bookmarkEnd w:id="98"/>
    <w:bookmarkEnd w:id="99"/>
    <w:p w14:paraId="5FD7B669">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color w:val="000000" w:themeColor="text1"/>
          <w:sz w:val="24"/>
          <w:highlight w:val="none"/>
          <w:lang w:eastAsia="zh-CN"/>
          <w14:textFill>
            <w14:solidFill>
              <w14:schemeClr w14:val="tx1"/>
            </w14:solidFill>
          </w14:textFill>
        </w:rPr>
      </w:pPr>
      <w:bookmarkStart w:id="105" w:name="OLE_LINK38"/>
      <w:r>
        <w:rPr>
          <w:rFonts w:hint="default" w:ascii="Times New Roman" w:hAnsi="Times New Roman" w:eastAsia="宋体" w:cs="Times New Roman"/>
          <w:color w:val="000000" w:themeColor="text1"/>
          <w:sz w:val="24"/>
          <w:highlight w:val="none"/>
          <w14:textFill>
            <w14:solidFill>
              <w14:schemeClr w14:val="tx1"/>
            </w14:solidFill>
          </w14:textFill>
        </w:rPr>
        <w:t>拟建项目评价区域内没有重点文物、珍稀动植物资源等重点保护目标</w:t>
      </w:r>
      <w:r>
        <w:rPr>
          <w:rFonts w:hint="eastAsia" w:cs="Times New Roman"/>
          <w:color w:val="000000" w:themeColor="text1"/>
          <w:sz w:val="24"/>
          <w:highlight w:val="none"/>
          <w:lang w:eastAsia="zh-CN"/>
          <w14:textFill>
            <w14:solidFill>
              <w14:schemeClr w14:val="tx1"/>
            </w14:solidFill>
          </w14:textFill>
        </w:rPr>
        <w:t>，距离曹妃甸湿地和鸟类省级自然保护区实验区1276m</w:t>
      </w:r>
      <w:r>
        <w:rPr>
          <w:rFonts w:hint="default" w:ascii="Times New Roman" w:hAnsi="Times New Roman" w:eastAsia="宋体" w:cs="Times New Roman"/>
          <w:color w:val="000000" w:themeColor="text1"/>
          <w:sz w:val="24"/>
          <w:highlight w:val="none"/>
          <w14:textFill>
            <w14:solidFill>
              <w14:schemeClr w14:val="tx1"/>
            </w14:solidFill>
          </w14:textFill>
        </w:rPr>
        <w:t>。根据项目性质及周围环境特征，</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大气保护目标是以项目厂址为中心区域，边长5</w:t>
      </w:r>
      <w:r>
        <w:rPr>
          <w:rFonts w:hint="default" w:ascii="Times New Roman" w:hAnsi="Times New Roman" w:eastAsia="宋体" w:cs="Times New Roman"/>
          <w:color w:val="000000" w:themeColor="text1"/>
          <w:sz w:val="24"/>
          <w:highlight w:val="none"/>
          <w14:textFill>
            <w14:solidFill>
              <w14:schemeClr w14:val="tx1"/>
            </w14:solidFill>
          </w14:textFill>
        </w:rPr>
        <w:t>km范围内居住集中区</w:t>
      </w:r>
      <w:r>
        <w:rPr>
          <w:rFonts w:hint="eastAsia"/>
          <w:highlight w:val="none"/>
          <w:lang w:val="en-US" w:eastAsia="zh-CN"/>
        </w:rPr>
        <w:t>和曹妃甸湿地和鸟类省级自然保护区</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。噪声保护目标为</w:t>
      </w:r>
      <w:r>
        <w:rPr>
          <w:rFonts w:hint="default" w:ascii="Times New Roman" w:hAnsi="Times New Roman" w:eastAsia="宋体" w:cs="Times New Roman"/>
          <w:color w:val="000000" w:themeColor="text1"/>
          <w:sz w:val="24"/>
          <w:highlight w:val="none"/>
          <w14:textFill>
            <w14:solidFill>
              <w14:schemeClr w14:val="tx1"/>
            </w14:solidFill>
          </w14:textFill>
        </w:rPr>
        <w:t>厂界外</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200m为声环境保护对象。项</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目所在区域潜水及周边饮用水井为地下水保护目标。项目厂区及厂界外</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50m范围内</w:t>
      </w:r>
      <w:r>
        <w:rPr>
          <w:rFonts w:hint="eastAsia" w:cs="Times New Roman"/>
          <w:color w:val="000000" w:themeColor="text1"/>
          <w:sz w:val="24"/>
          <w:highlight w:val="none"/>
          <w:lang w:val="en-US" w:eastAsia="zh-CN"/>
          <w14:textFill>
            <w14:solidFill>
              <w14:schemeClr w14:val="tx1"/>
            </w14:solidFill>
          </w14:textFill>
        </w:rPr>
        <w:t>无</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土壤保护目标。</w:t>
      </w:r>
    </w:p>
    <w:p w14:paraId="54864DB3">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主要环境保护目标见表2.6-</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10</w:t>
      </w:r>
      <w:r>
        <w:rPr>
          <w:rFonts w:hint="default" w:ascii="Times New Roman" w:hAnsi="Times New Roman" w:eastAsia="宋体" w:cs="Times New Roman"/>
          <w:color w:val="000000" w:themeColor="text1"/>
          <w:sz w:val="24"/>
          <w:highlight w:val="none"/>
          <w14:textFill>
            <w14:solidFill>
              <w14:schemeClr w14:val="tx1"/>
            </w14:solidFill>
          </w14:textFill>
        </w:rPr>
        <w:t>。</w:t>
      </w:r>
    </w:p>
    <w:bookmarkEnd w:id="105"/>
    <w:p w14:paraId="3187E21D">
      <w:pPr>
        <w:pageBreakBefore w:val="0"/>
        <w:widowControl w:val="0"/>
        <w:numPr>
          <w:ilvl w:val="0"/>
          <w:numId w:val="14"/>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color w:val="000000" w:themeColor="text1"/>
          <w:sz w:val="24"/>
          <w:highlight w:val="none"/>
          <w14:textFill>
            <w14:solidFill>
              <w14:schemeClr w14:val="tx1"/>
            </w14:solidFill>
          </w14:textFill>
        </w:rPr>
      </w:pPr>
      <w:r>
        <w:rPr>
          <w:rFonts w:hint="default" w:ascii="Times New Roman" w:hAnsi="Times New Roman" w:eastAsia="宋体" w:cs="Times New Roman"/>
          <w:b/>
          <w:color w:val="000000" w:themeColor="text1"/>
          <w:sz w:val="24"/>
          <w:highlight w:val="none"/>
          <w14:textFill>
            <w14:solidFill>
              <w14:schemeClr w14:val="tx1"/>
            </w14:solidFill>
          </w14:textFill>
        </w:rPr>
        <w:t>项目</w:t>
      </w:r>
      <w:r>
        <w:rPr>
          <w:rFonts w:hint="default" w:ascii="Times New Roman" w:hAnsi="Times New Roman" w:eastAsia="宋体" w:cs="Times New Roman"/>
          <w:b/>
          <w:color w:val="000000" w:themeColor="text1"/>
          <w:sz w:val="24"/>
          <w:highlight w:val="none"/>
          <w:lang w:eastAsia="zh-CN"/>
          <w14:textFill>
            <w14:solidFill>
              <w14:schemeClr w14:val="tx1"/>
            </w14:solidFill>
          </w14:textFill>
        </w:rPr>
        <w:t>大气、声</w:t>
      </w:r>
      <w:r>
        <w:rPr>
          <w:rFonts w:hint="default" w:ascii="Times New Roman" w:hAnsi="Times New Roman" w:eastAsia="宋体" w:cs="Times New Roman"/>
          <w:b/>
          <w:color w:val="000000" w:themeColor="text1"/>
          <w:sz w:val="24"/>
          <w:highlight w:val="none"/>
          <w14:textFill>
            <w14:solidFill>
              <w14:schemeClr w14:val="tx1"/>
            </w14:solidFill>
          </w14:textFill>
        </w:rPr>
        <w:t>环境保护目标一览表</w:t>
      </w:r>
    </w:p>
    <w:tbl>
      <w:tblPr>
        <w:tblStyle w:val="47"/>
        <w:tblW w:w="499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740"/>
        <w:gridCol w:w="1433"/>
        <w:gridCol w:w="1248"/>
        <w:gridCol w:w="1151"/>
        <w:gridCol w:w="923"/>
        <w:gridCol w:w="733"/>
        <w:gridCol w:w="661"/>
        <w:gridCol w:w="706"/>
        <w:gridCol w:w="724"/>
        <w:gridCol w:w="962"/>
      </w:tblGrid>
      <w:tr w14:paraId="1E92D1A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9" w:type="pct"/>
            <w:vMerge w:val="restart"/>
            <w:tcBorders>
              <w:tl2br w:val="nil"/>
              <w:tr2bl w:val="nil"/>
            </w:tcBorders>
            <w:noWrap w:val="0"/>
            <w:vAlign w:val="center"/>
          </w:tcPr>
          <w:p w14:paraId="66DA8605">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环境要素</w:t>
            </w:r>
          </w:p>
        </w:tc>
        <w:tc>
          <w:tcPr>
            <w:tcW w:w="772" w:type="pct"/>
            <w:vMerge w:val="restart"/>
            <w:tcBorders>
              <w:tl2br w:val="nil"/>
              <w:tr2bl w:val="nil"/>
            </w:tcBorders>
            <w:noWrap w:val="0"/>
            <w:vAlign w:val="center"/>
          </w:tcPr>
          <w:p w14:paraId="38BBD510">
            <w:pPr>
              <w:spacing w:line="340" w:lineRule="exact"/>
              <w:ind w:firstLine="0" w:firstLineChars="0"/>
              <w:jc w:val="center"/>
              <w:rPr>
                <w:rFonts w:hint="default" w:ascii="Times New Roman" w:hAnsi="Times New Roman" w:cs="Times New Roman" w:eastAsiaTheme="minorEastAsia"/>
                <w:color w:val="auto"/>
                <w:sz w:val="21"/>
                <w:szCs w:val="21"/>
                <w:highlight w:val="none"/>
              </w:rPr>
            </w:pPr>
            <w:r>
              <w:rPr>
                <w:rFonts w:hint="default" w:ascii="Times New Roman" w:hAnsi="Times New Roman" w:cs="Times New Roman" w:eastAsiaTheme="minorEastAsia"/>
                <w:color w:val="auto"/>
                <w:sz w:val="21"/>
                <w:szCs w:val="21"/>
                <w:highlight w:val="none"/>
              </w:rPr>
              <w:t>名称</w:t>
            </w:r>
          </w:p>
        </w:tc>
        <w:tc>
          <w:tcPr>
            <w:tcW w:w="1292" w:type="pct"/>
            <w:gridSpan w:val="2"/>
            <w:tcBorders>
              <w:tl2br w:val="nil"/>
              <w:tr2bl w:val="nil"/>
            </w:tcBorders>
            <w:noWrap w:val="0"/>
            <w:vAlign w:val="center"/>
          </w:tcPr>
          <w:p w14:paraId="5BB0ADF9">
            <w:pPr>
              <w:spacing w:line="340" w:lineRule="exact"/>
              <w:ind w:firstLine="0" w:firstLineChars="0"/>
              <w:jc w:val="center"/>
              <w:rPr>
                <w:rFonts w:hint="default" w:ascii="Times New Roman" w:hAnsi="Times New Roman" w:cs="Times New Roman" w:eastAsiaTheme="minorEastAsia"/>
                <w:color w:val="auto"/>
                <w:sz w:val="21"/>
                <w:szCs w:val="21"/>
                <w:highlight w:val="none"/>
              </w:rPr>
            </w:pPr>
            <w:r>
              <w:rPr>
                <w:rFonts w:hint="default" w:ascii="Times New Roman" w:hAnsi="Times New Roman" w:cs="Times New Roman" w:eastAsiaTheme="minorEastAsia"/>
                <w:color w:val="auto"/>
                <w:sz w:val="21"/>
                <w:szCs w:val="21"/>
                <w:highlight w:val="none"/>
              </w:rPr>
              <w:t>坐标</w:t>
            </w:r>
          </w:p>
        </w:tc>
        <w:tc>
          <w:tcPr>
            <w:tcW w:w="497" w:type="pct"/>
            <w:vMerge w:val="restart"/>
            <w:tcBorders>
              <w:tl2br w:val="nil"/>
              <w:tr2bl w:val="nil"/>
            </w:tcBorders>
            <w:noWrap w:val="0"/>
            <w:vAlign w:val="center"/>
          </w:tcPr>
          <w:p w14:paraId="17678689">
            <w:pPr>
              <w:spacing w:line="340" w:lineRule="exact"/>
              <w:ind w:firstLine="0" w:firstLineChars="0"/>
              <w:jc w:val="center"/>
              <w:rPr>
                <w:rFonts w:hint="default" w:ascii="Times New Roman" w:hAnsi="Times New Roman" w:cs="Times New Roman" w:eastAsiaTheme="minorEastAsia"/>
                <w:color w:val="auto"/>
                <w:sz w:val="21"/>
                <w:szCs w:val="21"/>
                <w:highlight w:val="none"/>
              </w:rPr>
            </w:pPr>
            <w:r>
              <w:rPr>
                <w:rFonts w:hint="default" w:ascii="Times New Roman" w:hAnsi="Times New Roman" w:cs="Times New Roman" w:eastAsiaTheme="minorEastAsia"/>
                <w:color w:val="auto"/>
                <w:sz w:val="21"/>
                <w:szCs w:val="21"/>
                <w:highlight w:val="none"/>
              </w:rPr>
              <w:t>保护</w:t>
            </w:r>
          </w:p>
          <w:p w14:paraId="1918EE0A">
            <w:pPr>
              <w:spacing w:line="340" w:lineRule="exact"/>
              <w:ind w:firstLine="0" w:firstLineChars="0"/>
              <w:jc w:val="center"/>
              <w:rPr>
                <w:rFonts w:hint="default" w:ascii="Times New Roman" w:hAnsi="Times New Roman" w:cs="Times New Roman" w:eastAsiaTheme="minorEastAsia"/>
                <w:color w:val="auto"/>
                <w:sz w:val="21"/>
                <w:szCs w:val="21"/>
                <w:highlight w:val="none"/>
              </w:rPr>
            </w:pPr>
            <w:r>
              <w:rPr>
                <w:rFonts w:hint="default" w:ascii="Times New Roman" w:hAnsi="Times New Roman" w:cs="Times New Roman" w:eastAsiaTheme="minorEastAsia"/>
                <w:color w:val="auto"/>
                <w:sz w:val="21"/>
                <w:szCs w:val="21"/>
                <w:highlight w:val="none"/>
              </w:rPr>
              <w:t>对象</w:t>
            </w:r>
          </w:p>
        </w:tc>
        <w:tc>
          <w:tcPr>
            <w:tcW w:w="395" w:type="pct"/>
            <w:vMerge w:val="restart"/>
            <w:tcBorders>
              <w:tl2br w:val="nil"/>
              <w:tr2bl w:val="nil"/>
            </w:tcBorders>
            <w:noWrap w:val="0"/>
            <w:vAlign w:val="center"/>
          </w:tcPr>
          <w:p w14:paraId="79E74426">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保护内容</w:t>
            </w:r>
          </w:p>
        </w:tc>
        <w:tc>
          <w:tcPr>
            <w:tcW w:w="356" w:type="pct"/>
            <w:vMerge w:val="restart"/>
            <w:tcBorders>
              <w:tl2br w:val="nil"/>
              <w:tr2bl w:val="nil"/>
            </w:tcBorders>
            <w:noWrap w:val="0"/>
            <w:vAlign w:val="center"/>
          </w:tcPr>
          <w:p w14:paraId="5C1C19FD">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rPr>
              <w:t>人数</w:t>
            </w:r>
          </w:p>
        </w:tc>
        <w:tc>
          <w:tcPr>
            <w:tcW w:w="380" w:type="pct"/>
            <w:vMerge w:val="restart"/>
            <w:tcBorders>
              <w:tl2br w:val="nil"/>
              <w:tr2bl w:val="nil"/>
            </w:tcBorders>
            <w:noWrap w:val="0"/>
            <w:vAlign w:val="center"/>
          </w:tcPr>
          <w:p w14:paraId="59281118">
            <w:pPr>
              <w:spacing w:line="340" w:lineRule="exact"/>
              <w:ind w:firstLine="0" w:firstLineChars="0"/>
              <w:jc w:val="center"/>
              <w:rPr>
                <w:rFonts w:hint="default" w:ascii="Times New Roman" w:hAnsi="Times New Roman" w:cs="Times New Roman" w:eastAsiaTheme="minorEastAsia"/>
                <w:color w:val="auto"/>
                <w:sz w:val="21"/>
                <w:szCs w:val="21"/>
                <w:highlight w:val="none"/>
              </w:rPr>
            </w:pPr>
            <w:r>
              <w:rPr>
                <w:rFonts w:hint="default" w:ascii="Times New Roman" w:hAnsi="Times New Roman" w:cs="Times New Roman" w:eastAsiaTheme="minorEastAsia"/>
                <w:color w:val="auto"/>
                <w:sz w:val="21"/>
                <w:szCs w:val="21"/>
                <w:highlight w:val="none"/>
              </w:rPr>
              <w:t>环境功能区</w:t>
            </w:r>
          </w:p>
        </w:tc>
        <w:tc>
          <w:tcPr>
            <w:tcW w:w="390" w:type="pct"/>
            <w:vMerge w:val="restart"/>
            <w:tcBorders>
              <w:tl2br w:val="nil"/>
              <w:tr2bl w:val="nil"/>
            </w:tcBorders>
            <w:noWrap w:val="0"/>
            <w:vAlign w:val="center"/>
          </w:tcPr>
          <w:p w14:paraId="6D2FE765">
            <w:pPr>
              <w:spacing w:line="340" w:lineRule="exact"/>
              <w:ind w:firstLine="0" w:firstLineChars="0"/>
              <w:jc w:val="center"/>
              <w:rPr>
                <w:rFonts w:hint="default" w:ascii="Times New Roman" w:hAnsi="Times New Roman" w:cs="Times New Roman" w:eastAsiaTheme="minorEastAsia"/>
                <w:color w:val="auto"/>
                <w:sz w:val="21"/>
                <w:szCs w:val="21"/>
                <w:highlight w:val="none"/>
              </w:rPr>
            </w:pPr>
            <w:r>
              <w:rPr>
                <w:rFonts w:hint="default" w:ascii="Times New Roman" w:hAnsi="Times New Roman" w:cs="Times New Roman" w:eastAsiaTheme="minorEastAsia"/>
                <w:color w:val="auto"/>
                <w:sz w:val="21"/>
                <w:szCs w:val="21"/>
                <w:highlight w:val="none"/>
              </w:rPr>
              <w:t>相对厂址方位</w:t>
            </w:r>
          </w:p>
        </w:tc>
        <w:tc>
          <w:tcPr>
            <w:tcW w:w="517" w:type="pct"/>
            <w:vMerge w:val="restart"/>
            <w:tcBorders>
              <w:tl2br w:val="nil"/>
              <w:tr2bl w:val="nil"/>
            </w:tcBorders>
            <w:noWrap w:val="0"/>
            <w:vAlign w:val="center"/>
          </w:tcPr>
          <w:p w14:paraId="4DDF3DD0">
            <w:pPr>
              <w:spacing w:line="340" w:lineRule="exact"/>
              <w:ind w:firstLine="0" w:firstLineChars="0"/>
              <w:jc w:val="center"/>
              <w:rPr>
                <w:rFonts w:hint="default" w:ascii="Times New Roman" w:hAnsi="Times New Roman" w:cs="Times New Roman" w:eastAsiaTheme="minorEastAsia"/>
                <w:color w:val="auto"/>
                <w:sz w:val="21"/>
                <w:szCs w:val="21"/>
                <w:highlight w:val="none"/>
              </w:rPr>
            </w:pPr>
            <w:r>
              <w:rPr>
                <w:rFonts w:hint="default" w:ascii="Times New Roman" w:hAnsi="Times New Roman" w:cs="Times New Roman" w:eastAsiaTheme="minorEastAsia"/>
                <w:color w:val="auto"/>
                <w:sz w:val="21"/>
                <w:szCs w:val="21"/>
                <w:highlight w:val="none"/>
              </w:rPr>
              <w:t>相对厂界距离/m</w:t>
            </w:r>
          </w:p>
        </w:tc>
      </w:tr>
      <w:tr w14:paraId="7A97F9C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9" w:type="pct"/>
            <w:vMerge w:val="continue"/>
            <w:tcBorders>
              <w:tl2br w:val="nil"/>
              <w:tr2bl w:val="nil"/>
            </w:tcBorders>
            <w:noWrap w:val="0"/>
            <w:vAlign w:val="center"/>
          </w:tcPr>
          <w:p w14:paraId="313F3BB7">
            <w:pPr>
              <w:spacing w:line="340" w:lineRule="exact"/>
              <w:ind w:firstLine="0" w:firstLineChars="0"/>
              <w:jc w:val="center"/>
              <w:rPr>
                <w:rFonts w:hint="default" w:ascii="Times New Roman" w:hAnsi="Times New Roman" w:cs="Times New Roman" w:eastAsiaTheme="minorEastAsia"/>
                <w:color w:val="auto"/>
                <w:sz w:val="21"/>
                <w:szCs w:val="21"/>
                <w:highlight w:val="none"/>
              </w:rPr>
            </w:pPr>
          </w:p>
        </w:tc>
        <w:tc>
          <w:tcPr>
            <w:tcW w:w="772" w:type="pct"/>
            <w:vMerge w:val="continue"/>
            <w:tcBorders>
              <w:tl2br w:val="nil"/>
              <w:tr2bl w:val="nil"/>
            </w:tcBorders>
            <w:noWrap w:val="0"/>
            <w:vAlign w:val="center"/>
          </w:tcPr>
          <w:p w14:paraId="7CE62B20">
            <w:pPr>
              <w:spacing w:line="340" w:lineRule="exact"/>
              <w:ind w:firstLine="0" w:firstLineChars="0"/>
              <w:jc w:val="center"/>
              <w:rPr>
                <w:rFonts w:hint="default" w:ascii="Times New Roman" w:hAnsi="Times New Roman" w:cs="Times New Roman" w:eastAsiaTheme="minorEastAsia"/>
                <w:color w:val="auto"/>
                <w:sz w:val="21"/>
                <w:szCs w:val="21"/>
                <w:highlight w:val="none"/>
              </w:rPr>
            </w:pPr>
          </w:p>
        </w:tc>
        <w:tc>
          <w:tcPr>
            <w:tcW w:w="672" w:type="pct"/>
            <w:tcBorders>
              <w:tl2br w:val="nil"/>
              <w:tr2bl w:val="nil"/>
            </w:tcBorders>
            <w:noWrap w:val="0"/>
            <w:vAlign w:val="center"/>
          </w:tcPr>
          <w:p w14:paraId="612A99BC">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X</w:t>
            </w:r>
          </w:p>
        </w:tc>
        <w:tc>
          <w:tcPr>
            <w:tcW w:w="620" w:type="pct"/>
            <w:tcBorders>
              <w:tl2br w:val="nil"/>
              <w:tr2bl w:val="nil"/>
            </w:tcBorders>
            <w:noWrap w:val="0"/>
            <w:vAlign w:val="center"/>
          </w:tcPr>
          <w:p w14:paraId="258C2E8D">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Y</w:t>
            </w:r>
          </w:p>
        </w:tc>
        <w:tc>
          <w:tcPr>
            <w:tcW w:w="497" w:type="pct"/>
            <w:vMerge w:val="continue"/>
            <w:tcBorders>
              <w:tl2br w:val="nil"/>
              <w:tr2bl w:val="nil"/>
            </w:tcBorders>
            <w:noWrap w:val="0"/>
            <w:vAlign w:val="center"/>
          </w:tcPr>
          <w:p w14:paraId="36176008">
            <w:pPr>
              <w:spacing w:line="340" w:lineRule="exact"/>
              <w:ind w:firstLine="0" w:firstLineChars="0"/>
              <w:jc w:val="center"/>
              <w:rPr>
                <w:rFonts w:hint="default" w:ascii="Times New Roman" w:hAnsi="Times New Roman" w:cs="Times New Roman" w:eastAsiaTheme="minorEastAsia"/>
                <w:color w:val="auto"/>
                <w:sz w:val="21"/>
                <w:szCs w:val="21"/>
                <w:highlight w:val="none"/>
              </w:rPr>
            </w:pPr>
          </w:p>
        </w:tc>
        <w:tc>
          <w:tcPr>
            <w:tcW w:w="395" w:type="pct"/>
            <w:vMerge w:val="continue"/>
            <w:tcBorders>
              <w:tl2br w:val="nil"/>
              <w:tr2bl w:val="nil"/>
            </w:tcBorders>
            <w:noWrap w:val="0"/>
            <w:vAlign w:val="center"/>
          </w:tcPr>
          <w:p w14:paraId="12455187">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p>
        </w:tc>
        <w:tc>
          <w:tcPr>
            <w:tcW w:w="356" w:type="pct"/>
            <w:vMerge w:val="continue"/>
            <w:tcBorders>
              <w:tl2br w:val="nil"/>
              <w:tr2bl w:val="nil"/>
            </w:tcBorders>
            <w:noWrap w:val="0"/>
            <w:vAlign w:val="center"/>
          </w:tcPr>
          <w:p w14:paraId="390EDC1D">
            <w:pPr>
              <w:spacing w:line="340" w:lineRule="exact"/>
              <w:ind w:firstLine="0" w:firstLineChars="0"/>
              <w:jc w:val="center"/>
              <w:rPr>
                <w:rFonts w:hint="default" w:ascii="Times New Roman" w:hAnsi="Times New Roman" w:cs="Times New Roman" w:eastAsiaTheme="minorEastAsia"/>
                <w:color w:val="auto"/>
                <w:sz w:val="21"/>
                <w:szCs w:val="21"/>
                <w:highlight w:val="none"/>
              </w:rPr>
            </w:pPr>
          </w:p>
        </w:tc>
        <w:tc>
          <w:tcPr>
            <w:tcW w:w="380" w:type="pct"/>
            <w:vMerge w:val="continue"/>
            <w:tcBorders>
              <w:tl2br w:val="nil"/>
              <w:tr2bl w:val="nil"/>
            </w:tcBorders>
            <w:noWrap w:val="0"/>
            <w:vAlign w:val="center"/>
          </w:tcPr>
          <w:p w14:paraId="0684E52D">
            <w:pPr>
              <w:spacing w:line="340" w:lineRule="exact"/>
              <w:ind w:firstLine="0" w:firstLineChars="0"/>
              <w:jc w:val="center"/>
              <w:rPr>
                <w:rFonts w:hint="default" w:ascii="Times New Roman" w:hAnsi="Times New Roman" w:cs="Times New Roman" w:eastAsiaTheme="minorEastAsia"/>
                <w:color w:val="auto"/>
                <w:sz w:val="21"/>
                <w:szCs w:val="21"/>
                <w:highlight w:val="none"/>
              </w:rPr>
            </w:pPr>
          </w:p>
        </w:tc>
        <w:tc>
          <w:tcPr>
            <w:tcW w:w="390" w:type="pct"/>
            <w:vMerge w:val="continue"/>
            <w:tcBorders>
              <w:tl2br w:val="nil"/>
              <w:tr2bl w:val="nil"/>
            </w:tcBorders>
            <w:noWrap w:val="0"/>
            <w:vAlign w:val="center"/>
          </w:tcPr>
          <w:p w14:paraId="6F2933CD">
            <w:pPr>
              <w:spacing w:line="340" w:lineRule="exact"/>
              <w:ind w:firstLine="0" w:firstLineChars="0"/>
              <w:jc w:val="center"/>
              <w:rPr>
                <w:rFonts w:hint="default" w:ascii="Times New Roman" w:hAnsi="Times New Roman" w:cs="Times New Roman" w:eastAsiaTheme="minorEastAsia"/>
                <w:color w:val="auto"/>
                <w:sz w:val="21"/>
                <w:szCs w:val="21"/>
                <w:highlight w:val="none"/>
              </w:rPr>
            </w:pPr>
          </w:p>
        </w:tc>
        <w:tc>
          <w:tcPr>
            <w:tcW w:w="517" w:type="pct"/>
            <w:vMerge w:val="continue"/>
            <w:tcBorders>
              <w:tl2br w:val="nil"/>
              <w:tr2bl w:val="nil"/>
            </w:tcBorders>
            <w:noWrap w:val="0"/>
            <w:vAlign w:val="center"/>
          </w:tcPr>
          <w:p w14:paraId="0AEDDEE2">
            <w:pPr>
              <w:spacing w:line="340" w:lineRule="exact"/>
              <w:ind w:firstLine="0" w:firstLineChars="0"/>
              <w:jc w:val="center"/>
              <w:rPr>
                <w:rFonts w:hint="default" w:ascii="Times New Roman" w:hAnsi="Times New Roman" w:cs="Times New Roman" w:eastAsiaTheme="minorEastAsia"/>
                <w:color w:val="auto"/>
                <w:sz w:val="21"/>
                <w:szCs w:val="21"/>
                <w:highlight w:val="none"/>
              </w:rPr>
            </w:pPr>
          </w:p>
        </w:tc>
      </w:tr>
      <w:tr w14:paraId="01C5623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9" w:type="pct"/>
            <w:vMerge w:val="restart"/>
            <w:tcBorders>
              <w:tl2br w:val="nil"/>
              <w:tr2bl w:val="nil"/>
            </w:tcBorders>
            <w:noWrap w:val="0"/>
            <w:vAlign w:val="center"/>
          </w:tcPr>
          <w:p w14:paraId="681B6943">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环境空气</w:t>
            </w:r>
          </w:p>
        </w:tc>
        <w:tc>
          <w:tcPr>
            <w:tcW w:w="772" w:type="pct"/>
            <w:tcBorders>
              <w:tl2br w:val="nil"/>
              <w:tr2bl w:val="nil"/>
            </w:tcBorders>
            <w:noWrap w:val="0"/>
            <w:vAlign w:val="center"/>
          </w:tcPr>
          <w:p w14:paraId="63E1F7A5">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大西北灶村</w:t>
            </w:r>
          </w:p>
        </w:tc>
        <w:tc>
          <w:tcPr>
            <w:tcW w:w="672" w:type="pct"/>
            <w:tcBorders>
              <w:tl2br w:val="nil"/>
              <w:tr2bl w:val="nil"/>
            </w:tcBorders>
            <w:noWrap w:val="0"/>
            <w:vAlign w:val="center"/>
          </w:tcPr>
          <w:p w14:paraId="5FF6965C">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118.298891</w:t>
            </w:r>
          </w:p>
        </w:tc>
        <w:tc>
          <w:tcPr>
            <w:tcW w:w="620" w:type="pct"/>
            <w:tcBorders>
              <w:tl2br w:val="nil"/>
              <w:tr2bl w:val="nil"/>
            </w:tcBorders>
            <w:noWrap w:val="0"/>
            <w:vAlign w:val="center"/>
          </w:tcPr>
          <w:p w14:paraId="22D240C9">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39.272634</w:t>
            </w:r>
          </w:p>
        </w:tc>
        <w:tc>
          <w:tcPr>
            <w:tcW w:w="497" w:type="pct"/>
            <w:tcBorders>
              <w:tl2br w:val="nil"/>
              <w:tr2bl w:val="nil"/>
            </w:tcBorders>
            <w:noWrap w:val="0"/>
            <w:vAlign w:val="center"/>
          </w:tcPr>
          <w:p w14:paraId="489CCEE8">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居民区</w:t>
            </w:r>
          </w:p>
        </w:tc>
        <w:tc>
          <w:tcPr>
            <w:tcW w:w="395" w:type="pct"/>
            <w:tcBorders>
              <w:tl2br w:val="nil"/>
              <w:tr2bl w:val="nil"/>
            </w:tcBorders>
            <w:noWrap w:val="0"/>
            <w:vAlign w:val="center"/>
          </w:tcPr>
          <w:p w14:paraId="5E07B794">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居民</w:t>
            </w:r>
          </w:p>
        </w:tc>
        <w:tc>
          <w:tcPr>
            <w:tcW w:w="356" w:type="pct"/>
            <w:tcBorders>
              <w:tl2br w:val="nil"/>
              <w:tr2bl w:val="nil"/>
            </w:tcBorders>
            <w:noWrap w:val="0"/>
            <w:vAlign w:val="center"/>
          </w:tcPr>
          <w:p w14:paraId="50DBD9C1">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555</w:t>
            </w:r>
          </w:p>
        </w:tc>
        <w:tc>
          <w:tcPr>
            <w:tcW w:w="380" w:type="pct"/>
            <w:tcBorders>
              <w:tl2br w:val="nil"/>
              <w:tr2bl w:val="nil"/>
            </w:tcBorders>
            <w:noWrap w:val="0"/>
            <w:vAlign w:val="center"/>
          </w:tcPr>
          <w:p w14:paraId="4E8FFECC">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二类</w:t>
            </w:r>
          </w:p>
        </w:tc>
        <w:tc>
          <w:tcPr>
            <w:tcW w:w="390" w:type="pct"/>
            <w:tcBorders>
              <w:tl2br w:val="nil"/>
              <w:tr2bl w:val="nil"/>
            </w:tcBorders>
            <w:noWrap w:val="0"/>
            <w:vAlign w:val="center"/>
          </w:tcPr>
          <w:p w14:paraId="44A9074F">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NE</w:t>
            </w:r>
          </w:p>
        </w:tc>
        <w:tc>
          <w:tcPr>
            <w:tcW w:w="517" w:type="pct"/>
            <w:tcBorders>
              <w:tl2br w:val="nil"/>
              <w:tr2bl w:val="nil"/>
            </w:tcBorders>
            <w:noWrap w:val="0"/>
            <w:vAlign w:val="center"/>
          </w:tcPr>
          <w:p w14:paraId="4169DCF7">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2375</w:t>
            </w:r>
          </w:p>
        </w:tc>
      </w:tr>
      <w:tr w14:paraId="7E1BF25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9" w:type="pct"/>
            <w:vMerge w:val="continue"/>
            <w:tcBorders>
              <w:tl2br w:val="nil"/>
              <w:tr2bl w:val="nil"/>
            </w:tcBorders>
            <w:noWrap w:val="0"/>
            <w:vAlign w:val="center"/>
          </w:tcPr>
          <w:p w14:paraId="25F92D76">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p>
        </w:tc>
        <w:tc>
          <w:tcPr>
            <w:tcW w:w="772" w:type="pct"/>
            <w:tcBorders>
              <w:tl2br w:val="nil"/>
              <w:tr2bl w:val="nil"/>
            </w:tcBorders>
            <w:noWrap w:val="0"/>
            <w:vAlign w:val="center"/>
          </w:tcPr>
          <w:p w14:paraId="3F452F2C">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西南街村</w:t>
            </w:r>
          </w:p>
        </w:tc>
        <w:tc>
          <w:tcPr>
            <w:tcW w:w="672" w:type="pct"/>
            <w:tcBorders>
              <w:tl2br w:val="nil"/>
              <w:tr2bl w:val="nil"/>
            </w:tcBorders>
            <w:noWrap w:val="0"/>
            <w:vAlign w:val="center"/>
          </w:tcPr>
          <w:p w14:paraId="2D8837A2">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118.245697</w:t>
            </w:r>
          </w:p>
        </w:tc>
        <w:tc>
          <w:tcPr>
            <w:tcW w:w="620" w:type="pct"/>
            <w:tcBorders>
              <w:tl2br w:val="nil"/>
              <w:tr2bl w:val="nil"/>
            </w:tcBorders>
            <w:noWrap w:val="0"/>
            <w:vAlign w:val="center"/>
          </w:tcPr>
          <w:p w14:paraId="1E247D06">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39.260167</w:t>
            </w:r>
          </w:p>
        </w:tc>
        <w:tc>
          <w:tcPr>
            <w:tcW w:w="497" w:type="pct"/>
            <w:tcBorders>
              <w:tl2br w:val="nil"/>
              <w:tr2bl w:val="nil"/>
            </w:tcBorders>
            <w:noWrap w:val="0"/>
            <w:vAlign w:val="center"/>
          </w:tcPr>
          <w:p w14:paraId="131CC1BF">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居民区</w:t>
            </w:r>
          </w:p>
        </w:tc>
        <w:tc>
          <w:tcPr>
            <w:tcW w:w="395" w:type="pct"/>
            <w:tcBorders>
              <w:tl2br w:val="nil"/>
              <w:tr2bl w:val="nil"/>
            </w:tcBorders>
            <w:noWrap w:val="0"/>
            <w:vAlign w:val="center"/>
          </w:tcPr>
          <w:p w14:paraId="6BB240D6">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居民</w:t>
            </w:r>
          </w:p>
        </w:tc>
        <w:tc>
          <w:tcPr>
            <w:tcW w:w="356" w:type="pct"/>
            <w:tcBorders>
              <w:tl2br w:val="nil"/>
              <w:tr2bl w:val="nil"/>
            </w:tcBorders>
            <w:noWrap w:val="0"/>
            <w:vAlign w:val="center"/>
          </w:tcPr>
          <w:p w14:paraId="6F6CEF7E">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451</w:t>
            </w:r>
          </w:p>
        </w:tc>
        <w:tc>
          <w:tcPr>
            <w:tcW w:w="380" w:type="pct"/>
            <w:tcBorders>
              <w:tl2br w:val="nil"/>
              <w:tr2bl w:val="nil"/>
            </w:tcBorders>
            <w:noWrap w:val="0"/>
            <w:vAlign w:val="center"/>
          </w:tcPr>
          <w:p w14:paraId="46CA88AD">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二类</w:t>
            </w:r>
          </w:p>
        </w:tc>
        <w:tc>
          <w:tcPr>
            <w:tcW w:w="390" w:type="pct"/>
            <w:tcBorders>
              <w:tl2br w:val="nil"/>
              <w:tr2bl w:val="nil"/>
            </w:tcBorders>
            <w:noWrap w:val="0"/>
            <w:vAlign w:val="center"/>
          </w:tcPr>
          <w:p w14:paraId="0BD19229">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SW</w:t>
            </w:r>
          </w:p>
        </w:tc>
        <w:tc>
          <w:tcPr>
            <w:tcW w:w="517" w:type="pct"/>
            <w:tcBorders>
              <w:tl2br w:val="nil"/>
              <w:tr2bl w:val="nil"/>
            </w:tcBorders>
            <w:noWrap w:val="0"/>
            <w:vAlign w:val="center"/>
          </w:tcPr>
          <w:p w14:paraId="341CA79E">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1677</w:t>
            </w:r>
          </w:p>
        </w:tc>
      </w:tr>
      <w:tr w14:paraId="5138432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9" w:type="pct"/>
            <w:vMerge w:val="continue"/>
            <w:tcBorders>
              <w:tl2br w:val="nil"/>
              <w:tr2bl w:val="nil"/>
            </w:tcBorders>
            <w:noWrap w:val="0"/>
            <w:vAlign w:val="center"/>
          </w:tcPr>
          <w:p w14:paraId="33426EBA">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p>
        </w:tc>
        <w:tc>
          <w:tcPr>
            <w:tcW w:w="772" w:type="pct"/>
            <w:tcBorders>
              <w:tl2br w:val="nil"/>
              <w:tr2bl w:val="nil"/>
            </w:tcBorders>
            <w:noWrap w:val="0"/>
            <w:vAlign w:val="center"/>
          </w:tcPr>
          <w:p w14:paraId="416ABAA9">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eastAsia" w:cs="Times New Roman" w:eastAsiaTheme="minorEastAsia"/>
                <w:color w:val="auto"/>
                <w:sz w:val="21"/>
                <w:szCs w:val="21"/>
                <w:highlight w:val="none"/>
                <w:lang w:val="en-US" w:eastAsia="zh-CN"/>
              </w:rPr>
              <w:t>老王庄</w:t>
            </w:r>
            <w:r>
              <w:rPr>
                <w:rFonts w:hint="default" w:ascii="Times New Roman" w:hAnsi="Times New Roman" w:cs="Times New Roman" w:eastAsiaTheme="minorEastAsia"/>
                <w:color w:val="auto"/>
                <w:sz w:val="21"/>
                <w:szCs w:val="21"/>
                <w:highlight w:val="none"/>
                <w:lang w:val="en-US" w:eastAsia="zh-CN"/>
              </w:rPr>
              <w:t>东南街村</w:t>
            </w:r>
          </w:p>
        </w:tc>
        <w:tc>
          <w:tcPr>
            <w:tcW w:w="672" w:type="pct"/>
            <w:tcBorders>
              <w:tl2br w:val="nil"/>
              <w:tr2bl w:val="nil"/>
            </w:tcBorders>
            <w:noWrap w:val="0"/>
            <w:vAlign w:val="center"/>
          </w:tcPr>
          <w:p w14:paraId="0698A570">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118.240118</w:t>
            </w:r>
          </w:p>
        </w:tc>
        <w:tc>
          <w:tcPr>
            <w:tcW w:w="620" w:type="pct"/>
            <w:tcBorders>
              <w:tl2br w:val="nil"/>
              <w:tr2bl w:val="nil"/>
            </w:tcBorders>
            <w:noWrap w:val="0"/>
            <w:vAlign w:val="center"/>
          </w:tcPr>
          <w:p w14:paraId="073A9C5B">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39.271325</w:t>
            </w:r>
          </w:p>
        </w:tc>
        <w:tc>
          <w:tcPr>
            <w:tcW w:w="497" w:type="pct"/>
            <w:tcBorders>
              <w:tl2br w:val="nil"/>
              <w:tr2bl w:val="nil"/>
            </w:tcBorders>
            <w:noWrap w:val="0"/>
            <w:vAlign w:val="center"/>
          </w:tcPr>
          <w:p w14:paraId="2721E18C">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居民区</w:t>
            </w:r>
          </w:p>
        </w:tc>
        <w:tc>
          <w:tcPr>
            <w:tcW w:w="395" w:type="pct"/>
            <w:tcBorders>
              <w:tl2br w:val="nil"/>
              <w:tr2bl w:val="nil"/>
            </w:tcBorders>
            <w:noWrap w:val="0"/>
            <w:vAlign w:val="center"/>
          </w:tcPr>
          <w:p w14:paraId="0E2C2A21">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居民</w:t>
            </w:r>
          </w:p>
        </w:tc>
        <w:tc>
          <w:tcPr>
            <w:tcW w:w="356" w:type="pct"/>
            <w:tcBorders>
              <w:tl2br w:val="nil"/>
              <w:tr2bl w:val="nil"/>
            </w:tcBorders>
            <w:noWrap w:val="0"/>
            <w:vAlign w:val="center"/>
          </w:tcPr>
          <w:p w14:paraId="45A3DD4C">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4727</w:t>
            </w:r>
          </w:p>
        </w:tc>
        <w:tc>
          <w:tcPr>
            <w:tcW w:w="380" w:type="pct"/>
            <w:tcBorders>
              <w:tl2br w:val="nil"/>
              <w:tr2bl w:val="nil"/>
            </w:tcBorders>
            <w:noWrap w:val="0"/>
            <w:vAlign w:val="center"/>
          </w:tcPr>
          <w:p w14:paraId="6C1710E1">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二类</w:t>
            </w:r>
          </w:p>
        </w:tc>
        <w:tc>
          <w:tcPr>
            <w:tcW w:w="390" w:type="pct"/>
            <w:tcBorders>
              <w:tl2br w:val="nil"/>
              <w:tr2bl w:val="nil"/>
            </w:tcBorders>
            <w:noWrap w:val="0"/>
            <w:vAlign w:val="center"/>
          </w:tcPr>
          <w:p w14:paraId="39A4FA3F">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W</w:t>
            </w:r>
          </w:p>
        </w:tc>
        <w:tc>
          <w:tcPr>
            <w:tcW w:w="517" w:type="pct"/>
            <w:tcBorders>
              <w:tl2br w:val="nil"/>
              <w:tr2bl w:val="nil"/>
            </w:tcBorders>
            <w:noWrap w:val="0"/>
            <w:vAlign w:val="center"/>
          </w:tcPr>
          <w:p w14:paraId="4BB00FAE">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1576</w:t>
            </w:r>
          </w:p>
        </w:tc>
      </w:tr>
      <w:tr w14:paraId="4D978EA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9" w:type="pct"/>
            <w:vMerge w:val="continue"/>
            <w:tcBorders>
              <w:tl2br w:val="nil"/>
              <w:tr2bl w:val="nil"/>
            </w:tcBorders>
            <w:noWrap w:val="0"/>
            <w:vAlign w:val="center"/>
          </w:tcPr>
          <w:p w14:paraId="4BCB90C2">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p>
        </w:tc>
        <w:tc>
          <w:tcPr>
            <w:tcW w:w="772" w:type="pct"/>
            <w:tcBorders>
              <w:tl2br w:val="nil"/>
              <w:tr2bl w:val="nil"/>
            </w:tcBorders>
            <w:noWrap w:val="0"/>
            <w:vAlign w:val="center"/>
          </w:tcPr>
          <w:p w14:paraId="7BFCC234">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老王庄村</w:t>
            </w:r>
          </w:p>
        </w:tc>
        <w:tc>
          <w:tcPr>
            <w:tcW w:w="672" w:type="pct"/>
            <w:tcBorders>
              <w:tl2br w:val="nil"/>
              <w:tr2bl w:val="nil"/>
            </w:tcBorders>
            <w:noWrap w:val="0"/>
            <w:vAlign w:val="center"/>
          </w:tcPr>
          <w:p w14:paraId="2FA9C087">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118.238101</w:t>
            </w:r>
          </w:p>
        </w:tc>
        <w:tc>
          <w:tcPr>
            <w:tcW w:w="620" w:type="pct"/>
            <w:tcBorders>
              <w:tl2br w:val="nil"/>
              <w:tr2bl w:val="nil"/>
            </w:tcBorders>
            <w:noWrap w:val="0"/>
            <w:vAlign w:val="center"/>
          </w:tcPr>
          <w:p w14:paraId="54D6A5A2">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39.284844</w:t>
            </w:r>
          </w:p>
        </w:tc>
        <w:tc>
          <w:tcPr>
            <w:tcW w:w="497" w:type="pct"/>
            <w:tcBorders>
              <w:tl2br w:val="nil"/>
              <w:tr2bl w:val="nil"/>
            </w:tcBorders>
            <w:noWrap w:val="0"/>
            <w:vAlign w:val="center"/>
          </w:tcPr>
          <w:p w14:paraId="53B4B14A">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居民区</w:t>
            </w:r>
          </w:p>
        </w:tc>
        <w:tc>
          <w:tcPr>
            <w:tcW w:w="395" w:type="pct"/>
            <w:tcBorders>
              <w:tl2br w:val="nil"/>
              <w:tr2bl w:val="nil"/>
            </w:tcBorders>
            <w:noWrap w:val="0"/>
            <w:vAlign w:val="center"/>
          </w:tcPr>
          <w:p w14:paraId="0A9FF452">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居民</w:t>
            </w:r>
          </w:p>
        </w:tc>
        <w:tc>
          <w:tcPr>
            <w:tcW w:w="356" w:type="pct"/>
            <w:tcBorders>
              <w:tl2br w:val="nil"/>
              <w:tr2bl w:val="nil"/>
            </w:tcBorders>
            <w:noWrap w:val="0"/>
            <w:vAlign w:val="center"/>
          </w:tcPr>
          <w:p w14:paraId="0F388237">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1390</w:t>
            </w:r>
          </w:p>
        </w:tc>
        <w:tc>
          <w:tcPr>
            <w:tcW w:w="380" w:type="pct"/>
            <w:tcBorders>
              <w:tl2br w:val="nil"/>
              <w:tr2bl w:val="nil"/>
            </w:tcBorders>
            <w:noWrap w:val="0"/>
            <w:vAlign w:val="center"/>
          </w:tcPr>
          <w:p w14:paraId="301CD627">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二类</w:t>
            </w:r>
          </w:p>
        </w:tc>
        <w:tc>
          <w:tcPr>
            <w:tcW w:w="390" w:type="pct"/>
            <w:tcBorders>
              <w:tl2br w:val="nil"/>
              <w:tr2bl w:val="nil"/>
            </w:tcBorders>
            <w:noWrap w:val="0"/>
            <w:vAlign w:val="center"/>
          </w:tcPr>
          <w:p w14:paraId="4EA837D9">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NW</w:t>
            </w:r>
          </w:p>
        </w:tc>
        <w:tc>
          <w:tcPr>
            <w:tcW w:w="517" w:type="pct"/>
            <w:tcBorders>
              <w:tl2br w:val="nil"/>
              <w:tr2bl w:val="nil"/>
            </w:tcBorders>
            <w:noWrap w:val="0"/>
            <w:vAlign w:val="center"/>
          </w:tcPr>
          <w:p w14:paraId="08C3C669">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2903</w:t>
            </w:r>
          </w:p>
        </w:tc>
      </w:tr>
      <w:tr w14:paraId="739E27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9" w:type="pct"/>
            <w:vMerge w:val="continue"/>
            <w:tcBorders>
              <w:tl2br w:val="nil"/>
              <w:tr2bl w:val="nil"/>
            </w:tcBorders>
            <w:noWrap w:val="0"/>
            <w:vAlign w:val="center"/>
          </w:tcPr>
          <w:p w14:paraId="759472DC">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p>
        </w:tc>
        <w:tc>
          <w:tcPr>
            <w:tcW w:w="772" w:type="pct"/>
            <w:tcBorders>
              <w:tl2br w:val="nil"/>
              <w:tr2bl w:val="nil"/>
            </w:tcBorders>
            <w:noWrap w:val="0"/>
            <w:vAlign w:val="center"/>
          </w:tcPr>
          <w:p w14:paraId="423118FE">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南堡开发区第三小学</w:t>
            </w:r>
          </w:p>
        </w:tc>
        <w:tc>
          <w:tcPr>
            <w:tcW w:w="672" w:type="pct"/>
            <w:tcBorders>
              <w:tl2br w:val="nil"/>
              <w:tr2bl w:val="nil"/>
            </w:tcBorders>
            <w:noWrap w:val="0"/>
            <w:vAlign w:val="center"/>
          </w:tcPr>
          <w:p w14:paraId="74FE6802">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118.241491</w:t>
            </w:r>
          </w:p>
        </w:tc>
        <w:tc>
          <w:tcPr>
            <w:tcW w:w="620" w:type="pct"/>
            <w:tcBorders>
              <w:tl2br w:val="nil"/>
              <w:tr2bl w:val="nil"/>
            </w:tcBorders>
            <w:noWrap w:val="0"/>
            <w:vAlign w:val="center"/>
          </w:tcPr>
          <w:p w14:paraId="058561B7">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39.266261</w:t>
            </w:r>
          </w:p>
        </w:tc>
        <w:tc>
          <w:tcPr>
            <w:tcW w:w="497" w:type="pct"/>
            <w:tcBorders>
              <w:tl2br w:val="nil"/>
              <w:tr2bl w:val="nil"/>
            </w:tcBorders>
            <w:noWrap w:val="0"/>
            <w:vAlign w:val="center"/>
          </w:tcPr>
          <w:p w14:paraId="5FD7CD3F">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学校</w:t>
            </w:r>
          </w:p>
        </w:tc>
        <w:tc>
          <w:tcPr>
            <w:tcW w:w="395" w:type="pct"/>
            <w:tcBorders>
              <w:tl2br w:val="nil"/>
              <w:tr2bl w:val="nil"/>
            </w:tcBorders>
            <w:noWrap w:val="0"/>
            <w:vAlign w:val="center"/>
          </w:tcPr>
          <w:p w14:paraId="3A217514">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师生</w:t>
            </w:r>
          </w:p>
        </w:tc>
        <w:tc>
          <w:tcPr>
            <w:tcW w:w="356" w:type="pct"/>
            <w:tcBorders>
              <w:tl2br w:val="nil"/>
              <w:tr2bl w:val="nil"/>
            </w:tcBorders>
            <w:noWrap w:val="0"/>
            <w:vAlign w:val="center"/>
          </w:tcPr>
          <w:p w14:paraId="27F3703E">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420</w:t>
            </w:r>
          </w:p>
        </w:tc>
        <w:tc>
          <w:tcPr>
            <w:tcW w:w="380" w:type="pct"/>
            <w:tcBorders>
              <w:tl2br w:val="nil"/>
              <w:tr2bl w:val="nil"/>
            </w:tcBorders>
            <w:noWrap w:val="0"/>
            <w:vAlign w:val="center"/>
          </w:tcPr>
          <w:p w14:paraId="585C9516">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二类</w:t>
            </w:r>
          </w:p>
        </w:tc>
        <w:tc>
          <w:tcPr>
            <w:tcW w:w="390" w:type="pct"/>
            <w:tcBorders>
              <w:tl2br w:val="nil"/>
              <w:tr2bl w:val="nil"/>
            </w:tcBorders>
            <w:noWrap w:val="0"/>
            <w:vAlign w:val="center"/>
          </w:tcPr>
          <w:p w14:paraId="205A1E11">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W</w:t>
            </w:r>
          </w:p>
        </w:tc>
        <w:tc>
          <w:tcPr>
            <w:tcW w:w="517" w:type="pct"/>
            <w:tcBorders>
              <w:tl2br w:val="nil"/>
              <w:tr2bl w:val="nil"/>
            </w:tcBorders>
            <w:noWrap w:val="0"/>
            <w:vAlign w:val="center"/>
          </w:tcPr>
          <w:p w14:paraId="5A702CEF">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2055</w:t>
            </w:r>
          </w:p>
        </w:tc>
      </w:tr>
      <w:tr w14:paraId="530B85A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9" w:type="pct"/>
            <w:vMerge w:val="continue"/>
            <w:tcBorders>
              <w:tl2br w:val="nil"/>
              <w:tr2bl w:val="nil"/>
            </w:tcBorders>
            <w:noWrap w:val="0"/>
            <w:vAlign w:val="center"/>
          </w:tcPr>
          <w:p w14:paraId="22CFE672">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p>
        </w:tc>
        <w:tc>
          <w:tcPr>
            <w:tcW w:w="772" w:type="pct"/>
            <w:tcBorders>
              <w:tl2br w:val="nil"/>
              <w:tr2bl w:val="nil"/>
            </w:tcBorders>
            <w:noWrap w:val="0"/>
            <w:vAlign w:val="center"/>
          </w:tcPr>
          <w:p w14:paraId="795827D6">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曹妃甸湿地鸟类自然保护区</w:t>
            </w:r>
          </w:p>
        </w:tc>
        <w:tc>
          <w:tcPr>
            <w:tcW w:w="672" w:type="pct"/>
            <w:tcBorders>
              <w:tl2br w:val="nil"/>
              <w:tr2bl w:val="nil"/>
            </w:tcBorders>
            <w:noWrap w:val="0"/>
            <w:vAlign w:val="center"/>
          </w:tcPr>
          <w:p w14:paraId="2C85CC94">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118.274987</w:t>
            </w:r>
          </w:p>
        </w:tc>
        <w:tc>
          <w:tcPr>
            <w:tcW w:w="620" w:type="pct"/>
            <w:tcBorders>
              <w:tl2br w:val="nil"/>
              <w:tr2bl w:val="nil"/>
            </w:tcBorders>
            <w:noWrap w:val="0"/>
            <w:vAlign w:val="center"/>
          </w:tcPr>
          <w:p w14:paraId="42BCD6DA">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39.249438</w:t>
            </w:r>
          </w:p>
        </w:tc>
        <w:tc>
          <w:tcPr>
            <w:tcW w:w="497" w:type="pct"/>
            <w:tcBorders>
              <w:tl2br w:val="nil"/>
              <w:tr2bl w:val="nil"/>
            </w:tcBorders>
            <w:noWrap w:val="0"/>
            <w:vAlign w:val="center"/>
          </w:tcPr>
          <w:p w14:paraId="0B4BEF54">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自然保护区实验区</w:t>
            </w:r>
          </w:p>
        </w:tc>
        <w:tc>
          <w:tcPr>
            <w:tcW w:w="395" w:type="pct"/>
            <w:tcBorders>
              <w:tl2br w:val="nil"/>
              <w:tr2bl w:val="nil"/>
            </w:tcBorders>
            <w:noWrap w:val="0"/>
            <w:vAlign w:val="center"/>
          </w:tcPr>
          <w:p w14:paraId="19984E0F">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湿地和动植物资源</w:t>
            </w:r>
          </w:p>
        </w:tc>
        <w:tc>
          <w:tcPr>
            <w:tcW w:w="356" w:type="pct"/>
            <w:tcBorders>
              <w:tl2br w:val="nil"/>
              <w:tr2bl w:val="nil"/>
            </w:tcBorders>
            <w:noWrap w:val="0"/>
            <w:vAlign w:val="center"/>
          </w:tcPr>
          <w:p w14:paraId="24423D56">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w:t>
            </w:r>
          </w:p>
        </w:tc>
        <w:tc>
          <w:tcPr>
            <w:tcW w:w="380" w:type="pct"/>
            <w:tcBorders>
              <w:tl2br w:val="nil"/>
              <w:tr2bl w:val="nil"/>
            </w:tcBorders>
            <w:noWrap w:val="0"/>
            <w:vAlign w:val="center"/>
          </w:tcPr>
          <w:p w14:paraId="12CE053B">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一类</w:t>
            </w:r>
          </w:p>
        </w:tc>
        <w:tc>
          <w:tcPr>
            <w:tcW w:w="390" w:type="pct"/>
            <w:tcBorders>
              <w:tl2br w:val="nil"/>
              <w:tr2bl w:val="nil"/>
            </w:tcBorders>
            <w:noWrap w:val="0"/>
            <w:vAlign w:val="center"/>
          </w:tcPr>
          <w:p w14:paraId="0BDF16AC">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S</w:t>
            </w:r>
          </w:p>
        </w:tc>
        <w:tc>
          <w:tcPr>
            <w:tcW w:w="517" w:type="pct"/>
            <w:tcBorders>
              <w:tl2br w:val="nil"/>
              <w:tr2bl w:val="nil"/>
            </w:tcBorders>
            <w:noWrap w:val="0"/>
            <w:vAlign w:val="center"/>
          </w:tcPr>
          <w:p w14:paraId="0783C6A2">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1276</w:t>
            </w:r>
          </w:p>
        </w:tc>
      </w:tr>
      <w:tr w14:paraId="47D6DC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9" w:type="pct"/>
            <w:tcBorders>
              <w:tl2br w:val="nil"/>
              <w:tr2bl w:val="nil"/>
            </w:tcBorders>
            <w:noWrap w:val="0"/>
            <w:vAlign w:val="center"/>
          </w:tcPr>
          <w:p w14:paraId="3F4AAC2E">
            <w:pPr>
              <w:spacing w:line="340" w:lineRule="exact"/>
              <w:ind w:firstLine="0" w:firstLineChars="0"/>
              <w:jc w:val="center"/>
              <w:rPr>
                <w:rFonts w:hint="default" w:ascii="Times New Roman" w:hAnsi="Times New Roman" w:cs="Times New Roman" w:eastAsiaTheme="minorEastAsia"/>
                <w:color w:val="auto"/>
                <w:sz w:val="21"/>
                <w:szCs w:val="21"/>
                <w:highlight w:val="none"/>
                <w:lang w:eastAsia="zh-CN"/>
              </w:rPr>
            </w:pPr>
            <w:r>
              <w:rPr>
                <w:rFonts w:hint="default" w:ascii="Times New Roman" w:hAnsi="Times New Roman" w:cs="Times New Roman" w:eastAsiaTheme="minorEastAsia"/>
                <w:color w:val="auto"/>
                <w:sz w:val="21"/>
                <w:szCs w:val="21"/>
                <w:highlight w:val="none"/>
                <w:lang w:eastAsia="zh-CN"/>
              </w:rPr>
              <w:t>声环境</w:t>
            </w:r>
          </w:p>
        </w:tc>
        <w:tc>
          <w:tcPr>
            <w:tcW w:w="2561" w:type="pct"/>
            <w:gridSpan w:val="4"/>
            <w:tcBorders>
              <w:tl2br w:val="nil"/>
              <w:tr2bl w:val="nil"/>
            </w:tcBorders>
            <w:noWrap w:val="0"/>
            <w:vAlign w:val="center"/>
          </w:tcPr>
          <w:p w14:paraId="1EF3EFDC">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eastAsia="zh-CN"/>
              </w:rPr>
              <w:t>四周厂界外</w:t>
            </w:r>
            <w:r>
              <w:rPr>
                <w:rFonts w:hint="default" w:ascii="Times New Roman" w:hAnsi="Times New Roman" w:cs="Times New Roman" w:eastAsiaTheme="minorEastAsia"/>
                <w:color w:val="auto"/>
                <w:sz w:val="21"/>
                <w:szCs w:val="21"/>
                <w:highlight w:val="none"/>
                <w:lang w:val="en-US" w:eastAsia="zh-CN"/>
              </w:rPr>
              <w:t>200m</w:t>
            </w:r>
          </w:p>
        </w:tc>
        <w:tc>
          <w:tcPr>
            <w:tcW w:w="2039" w:type="pct"/>
            <w:gridSpan w:val="5"/>
            <w:tcBorders>
              <w:tl2br w:val="nil"/>
              <w:tr2bl w:val="nil"/>
            </w:tcBorders>
            <w:noWrap w:val="0"/>
            <w:vAlign w:val="center"/>
          </w:tcPr>
          <w:p w14:paraId="0221375D">
            <w:pPr>
              <w:spacing w:line="340" w:lineRule="exact"/>
              <w:ind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《声环境质量标准》（GB3096-2008）3类标准</w:t>
            </w:r>
          </w:p>
        </w:tc>
      </w:tr>
    </w:tbl>
    <w:p w14:paraId="6522C789">
      <w:pPr>
        <w:keepNext w:val="0"/>
        <w:keepLines w:val="0"/>
        <w:pageBreakBefore w:val="0"/>
        <w:widowControl w:val="0"/>
        <w:numPr>
          <w:ilvl w:val="0"/>
          <w:numId w:val="14"/>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color w:val="000000" w:themeColor="text1"/>
          <w:sz w:val="24"/>
          <w:highlight w:val="none"/>
          <w14:textFill>
            <w14:solidFill>
              <w14:schemeClr w14:val="tx1"/>
            </w14:solidFill>
          </w14:textFill>
        </w:rPr>
      </w:pPr>
      <w:bookmarkStart w:id="106" w:name="_Toc4446"/>
      <w:r>
        <w:rPr>
          <w:rFonts w:hint="default" w:ascii="Times New Roman" w:hAnsi="Times New Roman" w:eastAsia="宋体" w:cs="Times New Roman"/>
          <w:b/>
          <w:color w:val="000000" w:themeColor="text1"/>
          <w:sz w:val="24"/>
          <w:highlight w:val="none"/>
          <w:lang w:val="en-US" w:eastAsia="zh-CN"/>
          <w14:textFill>
            <w14:solidFill>
              <w14:schemeClr w14:val="tx1"/>
            </w14:solidFill>
          </w14:textFill>
        </w:rPr>
        <w:t xml:space="preserve"> </w:t>
      </w:r>
      <w:r>
        <w:rPr>
          <w:rFonts w:hint="default" w:ascii="Times New Roman" w:hAnsi="Times New Roman" w:eastAsia="宋体" w:cs="Times New Roman"/>
          <w:b/>
          <w:color w:val="000000" w:themeColor="text1"/>
          <w:sz w:val="24"/>
          <w:highlight w:val="none"/>
          <w:lang w:eastAsia="zh-CN"/>
          <w14:textFill>
            <w14:solidFill>
              <w14:schemeClr w14:val="tx1"/>
            </w14:solidFill>
          </w14:textFill>
        </w:rPr>
        <w:t>项目</w:t>
      </w:r>
      <w:r>
        <w:rPr>
          <w:rFonts w:hint="default" w:ascii="Times New Roman" w:hAnsi="Times New Roman" w:eastAsia="宋体" w:cs="Times New Roman"/>
          <w:b/>
          <w:color w:val="000000" w:themeColor="text1"/>
          <w:sz w:val="24"/>
          <w:highlight w:val="none"/>
          <w14:textFill>
            <w14:solidFill>
              <w14:schemeClr w14:val="tx1"/>
            </w14:solidFill>
          </w14:textFill>
        </w:rPr>
        <w:t>地下水环境保护目标表</w:t>
      </w:r>
    </w:p>
    <w:tbl>
      <w:tblPr>
        <w:tblStyle w:val="88"/>
        <w:tblW w:w="5093"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336"/>
        <w:gridCol w:w="736"/>
        <w:gridCol w:w="724"/>
        <w:gridCol w:w="874"/>
        <w:gridCol w:w="1005"/>
        <w:gridCol w:w="700"/>
        <w:gridCol w:w="1876"/>
        <w:gridCol w:w="878"/>
        <w:gridCol w:w="1142"/>
      </w:tblGrid>
      <w:tr w14:paraId="6FE6B84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720" w:type="pct"/>
            <w:vMerge w:val="restart"/>
            <w:tcBorders>
              <w:tl2br w:val="nil"/>
              <w:tr2bl w:val="nil"/>
            </w:tcBorders>
            <w:noWrap w:val="0"/>
            <w:vAlign w:val="center"/>
          </w:tcPr>
          <w:p w14:paraId="60655CD9">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保护</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目标</w:t>
            </w:r>
          </w:p>
        </w:tc>
        <w:tc>
          <w:tcPr>
            <w:tcW w:w="787" w:type="pct"/>
            <w:gridSpan w:val="2"/>
            <w:tcBorders>
              <w:tl2br w:val="nil"/>
              <w:tr2bl w:val="nil"/>
            </w:tcBorders>
            <w:noWrap w:val="0"/>
            <w:vAlign w:val="center"/>
          </w:tcPr>
          <w:p w14:paraId="21D73BDB">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相对</w:t>
            </w:r>
            <w:r>
              <w:rPr>
                <w:rFonts w:hint="default" w:ascii="Times New Roman" w:hAnsi="Times New Roman" w:cs="Times New Roman"/>
                <w:color w:val="000000" w:themeColor="text1"/>
                <w:spacing w:val="-1"/>
                <w:sz w:val="21"/>
                <w:szCs w:val="21"/>
                <w:highlight w:val="none"/>
                <w:lang w:eastAsia="zh-CN"/>
                <w14:textFill>
                  <w14:solidFill>
                    <w14:schemeClr w14:val="tx1"/>
                  </w14:solidFill>
                </w14:textFill>
              </w:rPr>
              <w:t>本项目</w:t>
            </w:r>
          </w:p>
        </w:tc>
        <w:tc>
          <w:tcPr>
            <w:tcW w:w="471" w:type="pct"/>
            <w:vMerge w:val="restart"/>
            <w:tcBorders>
              <w:tl2br w:val="nil"/>
              <w:tr2bl w:val="nil"/>
            </w:tcBorders>
            <w:noWrap w:val="0"/>
            <w:vAlign w:val="center"/>
          </w:tcPr>
          <w:p w14:paraId="3894294E">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cs="Times New Roman"/>
                <w:color w:val="000000" w:themeColor="text1"/>
                <w:spacing w:val="-2"/>
                <w:sz w:val="21"/>
                <w:szCs w:val="21"/>
                <w:highlight w:val="none"/>
                <w:lang w:eastAsia="zh-CN"/>
                <w14:textFill>
                  <w14:solidFill>
                    <w14:schemeClr w14:val="tx1"/>
                  </w14:solidFill>
                </w14:textFill>
              </w:rPr>
            </w:pPr>
            <w:r>
              <w:rPr>
                <w:rFonts w:hint="eastAsia" w:cs="Times New Roman"/>
                <w:color w:val="000000" w:themeColor="text1"/>
                <w:spacing w:val="-2"/>
                <w:sz w:val="21"/>
                <w:szCs w:val="21"/>
                <w:highlight w:val="none"/>
                <w:lang w:eastAsia="zh-CN"/>
                <w14:textFill>
                  <w14:solidFill>
                    <w14:schemeClr w14:val="tx1"/>
                  </w14:solidFill>
                </w14:textFill>
              </w:rPr>
              <w:t>与项目位置关系</w:t>
            </w:r>
          </w:p>
        </w:tc>
        <w:tc>
          <w:tcPr>
            <w:tcW w:w="542" w:type="pct"/>
            <w:vMerge w:val="restart"/>
            <w:tcBorders>
              <w:tl2br w:val="nil"/>
              <w:tr2bl w:val="nil"/>
            </w:tcBorders>
            <w:noWrap w:val="0"/>
            <w:vAlign w:val="center"/>
          </w:tcPr>
          <w:p w14:paraId="75B321E5">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cs="Times New Roman"/>
                <w:color w:val="000000" w:themeColor="text1"/>
                <w:spacing w:val="-2"/>
                <w:sz w:val="21"/>
                <w:szCs w:val="21"/>
                <w:highlight w:val="none"/>
                <w:lang w:eastAsia="zh-CN"/>
                <w14:textFill>
                  <w14:solidFill>
                    <w14:schemeClr w14:val="tx1"/>
                  </w14:solidFill>
                </w14:textFill>
              </w:rPr>
              <w:t>供水规模（人口数）</w:t>
            </w:r>
          </w:p>
        </w:tc>
        <w:tc>
          <w:tcPr>
            <w:tcW w:w="377" w:type="pct"/>
            <w:vMerge w:val="restart"/>
            <w:tcBorders>
              <w:tl2br w:val="nil"/>
              <w:tr2bl w:val="nil"/>
            </w:tcBorders>
            <w:noWrap w:val="0"/>
            <w:vAlign w:val="center"/>
          </w:tcPr>
          <w:p w14:paraId="644ACC9E">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用途</w:t>
            </w:r>
          </w:p>
        </w:tc>
        <w:tc>
          <w:tcPr>
            <w:tcW w:w="1011" w:type="pct"/>
            <w:vMerge w:val="restart"/>
            <w:tcBorders>
              <w:tl2br w:val="nil"/>
              <w:tr2bl w:val="nil"/>
            </w:tcBorders>
            <w:noWrap w:val="0"/>
            <w:vAlign w:val="center"/>
          </w:tcPr>
          <w:p w14:paraId="4467A81C">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取水层位</w:t>
            </w:r>
          </w:p>
        </w:tc>
        <w:tc>
          <w:tcPr>
            <w:tcW w:w="473" w:type="pct"/>
            <w:vMerge w:val="restart"/>
            <w:tcBorders>
              <w:tl2br w:val="nil"/>
              <w:tr2bl w:val="nil"/>
            </w:tcBorders>
            <w:noWrap w:val="0"/>
            <w:vAlign w:val="center"/>
          </w:tcPr>
          <w:p w14:paraId="3AE285D2">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井深</w:t>
            </w:r>
            <w:r>
              <w:rPr>
                <w:rFonts w:hint="default" w:ascii="Times New Roman" w:hAnsi="Times New Roman" w:eastAsia="宋体" w:cs="Times New Roman"/>
                <w:color w:val="000000" w:themeColor="text1"/>
                <w:spacing w:val="38"/>
                <w:sz w:val="21"/>
                <w:szCs w:val="21"/>
                <w:highlight w:val="none"/>
                <w14:textFill>
                  <w14:solidFill>
                    <w14:schemeClr w14:val="tx1"/>
                  </w14:solidFill>
                </w14:textFill>
              </w:rPr>
              <w:t>(</w:t>
            </w:r>
            <w:r>
              <w:rPr>
                <w:rFonts w:hint="default" w:ascii="Times New Roman" w:hAnsi="Times New Roman" w:eastAsia="Times New Roman" w:cs="Times New Roman"/>
                <w:color w:val="000000" w:themeColor="text1"/>
                <w:sz w:val="21"/>
                <w:szCs w:val="21"/>
                <w:highlight w:val="none"/>
                <w14:textFill>
                  <w14:solidFill>
                    <w14:schemeClr w14:val="tx1"/>
                  </w14:solidFill>
                </w14:textFill>
              </w:rPr>
              <w:t>m</w:t>
            </w:r>
            <w:r>
              <w:rPr>
                <w:rFonts w:hint="default" w:ascii="Times New Roman" w:hAnsi="Times New Roman" w:eastAsia="宋体" w:cs="Times New Roman"/>
                <w:color w:val="000000" w:themeColor="text1"/>
                <w:spacing w:val="37"/>
                <w:sz w:val="21"/>
                <w:szCs w:val="21"/>
                <w:highlight w:val="none"/>
                <w14:textFill>
                  <w14:solidFill>
                    <w14:schemeClr w14:val="tx1"/>
                  </w14:solidFill>
                </w14:textFill>
              </w:rPr>
              <w:t>)</w:t>
            </w:r>
          </w:p>
        </w:tc>
        <w:tc>
          <w:tcPr>
            <w:tcW w:w="615" w:type="pct"/>
            <w:vMerge w:val="restart"/>
            <w:tcBorders>
              <w:tl2br w:val="nil"/>
              <w:tr2bl w:val="nil"/>
            </w:tcBorders>
            <w:noWrap w:val="0"/>
            <w:vAlign w:val="center"/>
          </w:tcPr>
          <w:p w14:paraId="774334E8">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保护</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级别</w:t>
            </w:r>
          </w:p>
        </w:tc>
      </w:tr>
      <w:tr w14:paraId="1487BFA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720" w:type="pct"/>
            <w:vMerge w:val="continue"/>
            <w:tcBorders>
              <w:tl2br w:val="nil"/>
              <w:tr2bl w:val="nil"/>
            </w:tcBorders>
            <w:noWrap w:val="0"/>
            <w:vAlign w:val="center"/>
          </w:tcPr>
          <w:p w14:paraId="4F4A1C7E">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cs="Times New Roman"/>
                <w:color w:val="000000" w:themeColor="text1"/>
                <w:sz w:val="21"/>
                <w:highlight w:val="none"/>
                <w14:textFill>
                  <w14:solidFill>
                    <w14:schemeClr w14:val="tx1"/>
                  </w14:solidFill>
                </w14:textFill>
              </w:rPr>
            </w:pPr>
          </w:p>
        </w:tc>
        <w:tc>
          <w:tcPr>
            <w:tcW w:w="397" w:type="pct"/>
            <w:tcBorders>
              <w:tl2br w:val="nil"/>
              <w:tr2bl w:val="nil"/>
            </w:tcBorders>
            <w:noWrap w:val="0"/>
            <w:vAlign w:val="center"/>
          </w:tcPr>
          <w:p w14:paraId="182D999D">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方位</w:t>
            </w:r>
          </w:p>
        </w:tc>
        <w:tc>
          <w:tcPr>
            <w:tcW w:w="390" w:type="pct"/>
            <w:tcBorders>
              <w:tl2br w:val="nil"/>
              <w:tr2bl w:val="nil"/>
            </w:tcBorders>
            <w:noWrap w:val="0"/>
            <w:vAlign w:val="center"/>
          </w:tcPr>
          <w:p w14:paraId="00FF600E">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color w:val="000000" w:themeColor="text1"/>
                <w:sz w:val="19"/>
                <w:szCs w:val="19"/>
                <w:highlight w:val="none"/>
                <w14:textFill>
                  <w14:solidFill>
                    <w14:schemeClr w14:val="tx1"/>
                  </w14:solidFill>
                </w14:textFill>
              </w:rPr>
            </w:pP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距离(m)</w:t>
            </w:r>
          </w:p>
        </w:tc>
        <w:tc>
          <w:tcPr>
            <w:tcW w:w="471" w:type="pct"/>
            <w:vMerge w:val="continue"/>
            <w:tcBorders>
              <w:tl2br w:val="nil"/>
              <w:tr2bl w:val="nil"/>
            </w:tcBorders>
            <w:noWrap w:val="0"/>
            <w:vAlign w:val="center"/>
          </w:tcPr>
          <w:p w14:paraId="461F5FF3">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cs="Times New Roman"/>
                <w:color w:val="000000" w:themeColor="text1"/>
                <w:sz w:val="21"/>
                <w:highlight w:val="none"/>
                <w14:textFill>
                  <w14:solidFill>
                    <w14:schemeClr w14:val="tx1"/>
                  </w14:solidFill>
                </w14:textFill>
              </w:rPr>
            </w:pPr>
          </w:p>
        </w:tc>
        <w:tc>
          <w:tcPr>
            <w:tcW w:w="542" w:type="pct"/>
            <w:vMerge w:val="continue"/>
            <w:tcBorders>
              <w:tl2br w:val="nil"/>
              <w:tr2bl w:val="nil"/>
            </w:tcBorders>
            <w:noWrap w:val="0"/>
            <w:vAlign w:val="center"/>
          </w:tcPr>
          <w:p w14:paraId="241D0F2F">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cs="Times New Roman"/>
                <w:color w:val="000000" w:themeColor="text1"/>
                <w:sz w:val="21"/>
                <w:highlight w:val="none"/>
                <w14:textFill>
                  <w14:solidFill>
                    <w14:schemeClr w14:val="tx1"/>
                  </w14:solidFill>
                </w14:textFill>
              </w:rPr>
            </w:pPr>
          </w:p>
        </w:tc>
        <w:tc>
          <w:tcPr>
            <w:tcW w:w="377" w:type="pct"/>
            <w:vMerge w:val="continue"/>
            <w:tcBorders>
              <w:tl2br w:val="nil"/>
              <w:tr2bl w:val="nil"/>
            </w:tcBorders>
            <w:noWrap w:val="0"/>
            <w:vAlign w:val="center"/>
          </w:tcPr>
          <w:p w14:paraId="6736D54F">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cs="Times New Roman"/>
                <w:color w:val="000000" w:themeColor="text1"/>
                <w:sz w:val="21"/>
                <w:highlight w:val="none"/>
                <w14:textFill>
                  <w14:solidFill>
                    <w14:schemeClr w14:val="tx1"/>
                  </w14:solidFill>
                </w14:textFill>
              </w:rPr>
            </w:pPr>
          </w:p>
        </w:tc>
        <w:tc>
          <w:tcPr>
            <w:tcW w:w="1011" w:type="pct"/>
            <w:vMerge w:val="continue"/>
            <w:tcBorders>
              <w:tl2br w:val="nil"/>
              <w:tr2bl w:val="nil"/>
            </w:tcBorders>
            <w:noWrap w:val="0"/>
            <w:vAlign w:val="center"/>
          </w:tcPr>
          <w:p w14:paraId="1594E151">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cs="Times New Roman"/>
                <w:color w:val="000000" w:themeColor="text1"/>
                <w:sz w:val="21"/>
                <w:highlight w:val="none"/>
                <w14:textFill>
                  <w14:solidFill>
                    <w14:schemeClr w14:val="tx1"/>
                  </w14:solidFill>
                </w14:textFill>
              </w:rPr>
            </w:pPr>
          </w:p>
        </w:tc>
        <w:tc>
          <w:tcPr>
            <w:tcW w:w="473" w:type="pct"/>
            <w:vMerge w:val="continue"/>
            <w:tcBorders>
              <w:tl2br w:val="nil"/>
              <w:tr2bl w:val="nil"/>
            </w:tcBorders>
            <w:noWrap w:val="0"/>
            <w:vAlign w:val="center"/>
          </w:tcPr>
          <w:p w14:paraId="32802155">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cs="Times New Roman"/>
                <w:color w:val="000000" w:themeColor="text1"/>
                <w:sz w:val="21"/>
                <w:highlight w:val="none"/>
                <w14:textFill>
                  <w14:solidFill>
                    <w14:schemeClr w14:val="tx1"/>
                  </w14:solidFill>
                </w14:textFill>
              </w:rPr>
            </w:pPr>
          </w:p>
        </w:tc>
        <w:tc>
          <w:tcPr>
            <w:tcW w:w="615" w:type="pct"/>
            <w:vMerge w:val="continue"/>
            <w:tcBorders>
              <w:tl2br w:val="nil"/>
              <w:tr2bl w:val="nil"/>
            </w:tcBorders>
            <w:noWrap w:val="0"/>
            <w:vAlign w:val="center"/>
          </w:tcPr>
          <w:p w14:paraId="138C6595">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cs="Times New Roman"/>
                <w:color w:val="000000" w:themeColor="text1"/>
                <w:sz w:val="21"/>
                <w:highlight w:val="none"/>
                <w14:textFill>
                  <w14:solidFill>
                    <w14:schemeClr w14:val="tx1"/>
                  </w14:solidFill>
                </w14:textFill>
              </w:rPr>
            </w:pPr>
          </w:p>
        </w:tc>
      </w:tr>
      <w:tr w14:paraId="4E9083D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720" w:type="pct"/>
            <w:tcBorders>
              <w:tl2br w:val="nil"/>
              <w:tr2bl w:val="nil"/>
            </w:tcBorders>
            <w:noWrap w:val="0"/>
            <w:vAlign w:val="center"/>
          </w:tcPr>
          <w:p w14:paraId="5E03F0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垦丰家居产业园区</w:t>
            </w: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供水井</w:t>
            </w:r>
          </w:p>
        </w:tc>
        <w:tc>
          <w:tcPr>
            <w:tcW w:w="397" w:type="pct"/>
            <w:tcBorders>
              <w:tl2br w:val="nil"/>
              <w:tr2bl w:val="nil"/>
            </w:tcBorders>
            <w:noWrap w:val="0"/>
            <w:vAlign w:val="center"/>
          </w:tcPr>
          <w:p w14:paraId="33213131">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eastAsia="宋体" w:cs="Times New Roman"/>
                <w:color w:val="000000" w:themeColor="text1"/>
                <w:spacing w:val="3"/>
                <w:sz w:val="21"/>
                <w:szCs w:val="21"/>
                <w:highlight w:val="none"/>
                <w:lang w:val="en-US" w:eastAsia="zh-CN"/>
                <w14:textFill>
                  <w14:solidFill>
                    <w14:schemeClr w14:val="tx1"/>
                  </w14:solidFill>
                </w14:textFill>
              </w:rPr>
              <w:t>SE</w:t>
            </w:r>
          </w:p>
        </w:tc>
        <w:tc>
          <w:tcPr>
            <w:tcW w:w="390" w:type="pct"/>
            <w:tcBorders>
              <w:tl2br w:val="nil"/>
              <w:tr2bl w:val="nil"/>
            </w:tcBorders>
            <w:noWrap w:val="0"/>
            <w:vAlign w:val="center"/>
          </w:tcPr>
          <w:p w14:paraId="3414AB82">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Times New Roman" w:cs="Times New Roman"/>
                <w:color w:val="000000" w:themeColor="text1"/>
                <w:sz w:val="21"/>
                <w:szCs w:val="21"/>
                <w:highlight w:val="none"/>
                <w:lang w:val="en-US"/>
                <w14:textFill>
                  <w14:solidFill>
                    <w14:schemeClr w14:val="tx1"/>
                  </w14:solidFill>
                </w14:textFill>
              </w:rPr>
            </w:pPr>
            <w:r>
              <w:rPr>
                <w:rFonts w:hint="eastAsia" w:cs="Times New Roman"/>
                <w:snapToGrid w:val="0"/>
                <w:color w:val="000000" w:themeColor="text1"/>
                <w:kern w:val="0"/>
                <w:sz w:val="21"/>
                <w:szCs w:val="21"/>
                <w:highlight w:val="none"/>
                <w:lang w:val="en-US" w:eastAsia="zh-CN" w:bidi="ar-SA"/>
                <w14:textFill>
                  <w14:solidFill>
                    <w14:schemeClr w14:val="tx1"/>
                  </w14:solidFill>
                </w14:textFill>
              </w:rPr>
              <w:t>358</w:t>
            </w:r>
          </w:p>
        </w:tc>
        <w:tc>
          <w:tcPr>
            <w:tcW w:w="471" w:type="pct"/>
            <w:tcBorders>
              <w:tl2br w:val="nil"/>
              <w:tr2bl w:val="nil"/>
            </w:tcBorders>
            <w:noWrap w:val="0"/>
            <w:vAlign w:val="center"/>
          </w:tcPr>
          <w:p w14:paraId="0B5211D3">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cs="Times New Roman"/>
                <w:color w:val="000000" w:themeColor="text1"/>
                <w:spacing w:val="-1"/>
                <w:sz w:val="21"/>
                <w:szCs w:val="21"/>
                <w:highlight w:val="none"/>
                <w:lang w:val="en-US" w:eastAsia="zh-CN"/>
                <w14:textFill>
                  <w14:solidFill>
                    <w14:schemeClr w14:val="tx1"/>
                  </w14:solidFill>
                </w14:textFill>
              </w:rPr>
            </w:pPr>
            <w:r>
              <w:rPr>
                <w:rFonts w:hint="eastAsia" w:cs="Times New Roman"/>
                <w:color w:val="000000" w:themeColor="text1"/>
                <w:spacing w:val="-1"/>
                <w:sz w:val="21"/>
                <w:szCs w:val="21"/>
                <w:highlight w:val="none"/>
                <w:lang w:val="en-US" w:eastAsia="zh-CN"/>
                <w14:textFill>
                  <w14:solidFill>
                    <w14:schemeClr w14:val="tx1"/>
                  </w14:solidFill>
                </w14:textFill>
              </w:rPr>
              <w:t>下游侧向</w:t>
            </w:r>
          </w:p>
        </w:tc>
        <w:tc>
          <w:tcPr>
            <w:tcW w:w="542" w:type="pct"/>
            <w:tcBorders>
              <w:tl2br w:val="nil"/>
              <w:tr2bl w:val="nil"/>
            </w:tcBorders>
            <w:noWrap w:val="0"/>
            <w:vAlign w:val="center"/>
          </w:tcPr>
          <w:p w14:paraId="4F0B7DA8">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pacing w:val="-1"/>
                <w:sz w:val="21"/>
                <w:szCs w:val="21"/>
                <w:highlight w:val="none"/>
                <w:lang w:val="en-US" w:eastAsia="zh-CN"/>
                <w14:textFill>
                  <w14:solidFill>
                    <w14:schemeClr w14:val="tx1"/>
                  </w14:solidFill>
                </w14:textFill>
              </w:rPr>
              <w:t>820</w:t>
            </w:r>
          </w:p>
        </w:tc>
        <w:tc>
          <w:tcPr>
            <w:tcW w:w="377" w:type="pct"/>
            <w:tcBorders>
              <w:tl2br w:val="nil"/>
              <w:tr2bl w:val="nil"/>
            </w:tcBorders>
            <w:noWrap w:val="0"/>
            <w:vAlign w:val="center"/>
          </w:tcPr>
          <w:p w14:paraId="273E3EDF">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生</w:t>
            </w:r>
            <w:r>
              <w:rPr>
                <w:rFonts w:hint="default" w:ascii="Times New Roman" w:hAnsi="Times New Roman" w:eastAsia="宋体" w:cs="Times New Roman"/>
                <w:color w:val="000000" w:themeColor="text1"/>
                <w:spacing w:val="-4"/>
                <w:sz w:val="21"/>
                <w:szCs w:val="21"/>
                <w:highlight w:val="none"/>
                <w14:textFill>
                  <w14:solidFill>
                    <w14:schemeClr w14:val="tx1"/>
                  </w14:solidFill>
                </w14:textFill>
              </w:rPr>
              <w:t>活</w:t>
            </w: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用</w:t>
            </w: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水</w:t>
            </w:r>
          </w:p>
        </w:tc>
        <w:tc>
          <w:tcPr>
            <w:tcW w:w="1011" w:type="pct"/>
            <w:tcBorders>
              <w:tl2br w:val="nil"/>
              <w:tr2bl w:val="nil"/>
            </w:tcBorders>
            <w:noWrap w:val="0"/>
            <w:vAlign w:val="center"/>
          </w:tcPr>
          <w:p w14:paraId="28269A6E">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第四系孔隙承压水（第II含水组下部和第Ⅲ含水组上段）</w:t>
            </w:r>
          </w:p>
        </w:tc>
        <w:tc>
          <w:tcPr>
            <w:tcW w:w="473" w:type="pct"/>
            <w:tcBorders>
              <w:tl2br w:val="nil"/>
              <w:tr2bl w:val="nil"/>
            </w:tcBorders>
            <w:noWrap w:val="0"/>
            <w:vAlign w:val="center"/>
          </w:tcPr>
          <w:p w14:paraId="4D6E28DD">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pacing w:val="-2"/>
                <w:sz w:val="21"/>
                <w:szCs w:val="21"/>
                <w:highlight w:val="none"/>
                <w:lang w:val="en-US" w:eastAsia="zh-CN"/>
                <w14:textFill>
                  <w14:solidFill>
                    <w14:schemeClr w14:val="tx1"/>
                  </w14:solidFill>
                </w14:textFill>
              </w:rPr>
              <w:t>275</w:t>
            </w:r>
          </w:p>
        </w:tc>
        <w:tc>
          <w:tcPr>
            <w:tcW w:w="615" w:type="pct"/>
            <w:vMerge w:val="restart"/>
            <w:tcBorders>
              <w:tl2br w:val="nil"/>
              <w:tr2bl w:val="nil"/>
            </w:tcBorders>
            <w:noWrap w:val="0"/>
            <w:vAlign w:val="center"/>
          </w:tcPr>
          <w:p w14:paraId="058D574C">
            <w:pPr>
              <w:keepNext w:val="0"/>
              <w:keepLines w:val="0"/>
              <w:pageBreakBefore w:val="0"/>
              <w:widowControl w:val="0"/>
              <w:tabs>
                <w:tab w:val="left" w:pos="192"/>
              </w:tabs>
              <w:kinsoku/>
              <w:wordWrap/>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cs="Times New Roman"/>
                <w:snapToGrid w:val="0"/>
                <w:color w:val="000000" w:themeColor="text1"/>
                <w:kern w:val="0"/>
                <w:sz w:val="21"/>
                <w:szCs w:val="21"/>
                <w:highlight w:val="none"/>
                <w:lang w:val="en-US" w:eastAsia="zh-CN" w:bidi="ar-SA"/>
                <w14:textFill>
                  <w14:solidFill>
                    <w14:schemeClr w14:val="tx1"/>
                  </w14:solidFill>
                </w14:textFill>
              </w:rPr>
              <w:t>《地下水质量标准》（GB/</w:t>
            </w:r>
            <w:r>
              <w:rPr>
                <w:rFonts w:hint="eastAsia" w:cs="Times New Roman"/>
                <w:snapToGrid w:val="0"/>
                <w:color w:val="000000" w:themeColor="text1"/>
                <w:kern w:val="0"/>
                <w:sz w:val="21"/>
                <w:szCs w:val="21"/>
                <w:highlight w:val="none"/>
                <w:lang w:val="en-US" w:eastAsia="zh-CN" w:bidi="ar-SA"/>
                <w14:textFill>
                  <w14:solidFill>
                    <w14:schemeClr w14:val="tx1"/>
                  </w14:solidFill>
                </w14:textFill>
              </w:rPr>
              <w:t>T</w:t>
            </w:r>
            <w:r>
              <w:rPr>
                <w:rFonts w:hint="default" w:ascii="Times New Roman" w:hAnsi="Times New Roman" w:cs="Times New Roman"/>
                <w:snapToGrid w:val="0"/>
                <w:color w:val="000000" w:themeColor="text1"/>
                <w:kern w:val="0"/>
                <w:sz w:val="21"/>
                <w:szCs w:val="21"/>
                <w:highlight w:val="none"/>
                <w:lang w:val="en-US" w:eastAsia="zh-CN" w:bidi="ar-SA"/>
                <w14:textFill>
                  <w14:solidFill>
                    <w14:schemeClr w14:val="tx1"/>
                  </w14:solidFill>
                </w14:textFill>
              </w:rPr>
              <w:t>14848-2017）Ⅲ类标准</w:t>
            </w:r>
          </w:p>
        </w:tc>
      </w:tr>
      <w:tr w14:paraId="6B5F676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720" w:type="pct"/>
            <w:tcBorders>
              <w:tl2br w:val="nil"/>
              <w:tr2bl w:val="nil"/>
            </w:tcBorders>
            <w:noWrap w:val="0"/>
            <w:vAlign w:val="center"/>
          </w:tcPr>
          <w:p w14:paraId="3C4AFB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曹妃甸湿地鸟类自然保护区</w:t>
            </w:r>
          </w:p>
        </w:tc>
        <w:tc>
          <w:tcPr>
            <w:tcW w:w="397" w:type="pct"/>
            <w:tcBorders>
              <w:tl2br w:val="nil"/>
              <w:tr2bl w:val="nil"/>
            </w:tcBorders>
            <w:noWrap w:val="0"/>
            <w:vAlign w:val="center"/>
          </w:tcPr>
          <w:p w14:paraId="4D0DEA0E">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cs="Times New Roman"/>
                <w:color w:val="000000" w:themeColor="text1"/>
                <w:spacing w:val="3"/>
                <w:sz w:val="21"/>
                <w:szCs w:val="21"/>
                <w:highlight w:val="none"/>
                <w:lang w:val="en-US" w:eastAsia="zh-CN"/>
                <w14:textFill>
                  <w14:solidFill>
                    <w14:schemeClr w14:val="tx1"/>
                  </w14:solidFill>
                </w14:textFill>
              </w:rPr>
            </w:pPr>
            <w:r>
              <w:rPr>
                <w:rFonts w:hint="eastAsia" w:cs="Times New Roman"/>
                <w:color w:val="000000" w:themeColor="text1"/>
                <w:spacing w:val="3"/>
                <w:sz w:val="21"/>
                <w:szCs w:val="21"/>
                <w:highlight w:val="none"/>
                <w:lang w:val="en-US" w:eastAsia="zh-CN"/>
                <w14:textFill>
                  <w14:solidFill>
                    <w14:schemeClr w14:val="tx1"/>
                  </w14:solidFill>
                </w14:textFill>
              </w:rPr>
              <w:t>S</w:t>
            </w:r>
          </w:p>
        </w:tc>
        <w:tc>
          <w:tcPr>
            <w:tcW w:w="390" w:type="pct"/>
            <w:tcBorders>
              <w:tl2br w:val="nil"/>
              <w:tr2bl w:val="nil"/>
            </w:tcBorders>
            <w:noWrap w:val="0"/>
            <w:vAlign w:val="center"/>
          </w:tcPr>
          <w:p w14:paraId="0B098CE5">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cs="Times New Roman"/>
                <w:snapToGrid w:val="0"/>
                <w:color w:val="000000" w:themeColor="text1"/>
                <w:kern w:val="0"/>
                <w:sz w:val="21"/>
                <w:szCs w:val="21"/>
                <w:highlight w:val="none"/>
                <w:lang w:val="en-US" w:eastAsia="zh-CN" w:bidi="ar-SA"/>
                <w14:textFill>
                  <w14:solidFill>
                    <w14:schemeClr w14:val="tx1"/>
                  </w14:solidFill>
                </w14:textFill>
              </w:rPr>
              <w:t>1276</w:t>
            </w:r>
          </w:p>
        </w:tc>
        <w:tc>
          <w:tcPr>
            <w:tcW w:w="471" w:type="pct"/>
            <w:tcBorders>
              <w:tl2br w:val="nil"/>
              <w:tr2bl w:val="nil"/>
            </w:tcBorders>
            <w:noWrap w:val="0"/>
            <w:vAlign w:val="center"/>
          </w:tcPr>
          <w:p w14:paraId="607A5336">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cs="Times New Roman"/>
                <w:color w:val="000000" w:themeColor="text1"/>
                <w:spacing w:val="-2"/>
                <w:sz w:val="21"/>
                <w:szCs w:val="21"/>
                <w:highlight w:val="none"/>
                <w:lang w:val="en-US" w:eastAsia="zh-CN"/>
                <w14:textFill>
                  <w14:solidFill>
                    <w14:schemeClr w14:val="tx1"/>
                  </w14:solidFill>
                </w14:textFill>
              </w:rPr>
            </w:pPr>
            <w:r>
              <w:rPr>
                <w:rFonts w:hint="eastAsia" w:cs="Times New Roman"/>
                <w:color w:val="000000" w:themeColor="text1"/>
                <w:spacing w:val="-2"/>
                <w:sz w:val="21"/>
                <w:szCs w:val="21"/>
                <w:highlight w:val="none"/>
                <w:lang w:val="en-US" w:eastAsia="zh-CN"/>
                <w14:textFill>
                  <w14:solidFill>
                    <w14:schemeClr w14:val="tx1"/>
                  </w14:solidFill>
                </w14:textFill>
              </w:rPr>
              <w:t>下游</w:t>
            </w:r>
          </w:p>
        </w:tc>
        <w:tc>
          <w:tcPr>
            <w:tcW w:w="542" w:type="pct"/>
            <w:tcBorders>
              <w:tl2br w:val="nil"/>
              <w:tr2bl w:val="nil"/>
            </w:tcBorders>
            <w:noWrap w:val="0"/>
            <w:vAlign w:val="center"/>
          </w:tcPr>
          <w:p w14:paraId="0C24354A">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cs="Times New Roman"/>
                <w:color w:val="000000" w:themeColor="text1"/>
                <w:spacing w:val="-2"/>
                <w:sz w:val="21"/>
                <w:szCs w:val="21"/>
                <w:highlight w:val="none"/>
                <w:lang w:val="en-US" w:eastAsia="zh-CN"/>
                <w14:textFill>
                  <w14:solidFill>
                    <w14:schemeClr w14:val="tx1"/>
                  </w14:solidFill>
                </w14:textFill>
              </w:rPr>
            </w:pPr>
            <w:r>
              <w:rPr>
                <w:rFonts w:hint="eastAsia" w:cs="Times New Roman"/>
                <w:color w:val="000000" w:themeColor="text1"/>
                <w:spacing w:val="-2"/>
                <w:sz w:val="21"/>
                <w:szCs w:val="21"/>
                <w:highlight w:val="none"/>
                <w:lang w:val="en-US" w:eastAsia="zh-CN"/>
                <w14:textFill>
                  <w14:solidFill>
                    <w14:schemeClr w14:val="tx1"/>
                  </w14:solidFill>
                </w14:textFill>
              </w:rPr>
              <w:t>/</w:t>
            </w:r>
          </w:p>
        </w:tc>
        <w:tc>
          <w:tcPr>
            <w:tcW w:w="377" w:type="pct"/>
            <w:tcBorders>
              <w:tl2br w:val="nil"/>
              <w:tr2bl w:val="nil"/>
            </w:tcBorders>
            <w:noWrap w:val="0"/>
            <w:vAlign w:val="center"/>
          </w:tcPr>
          <w:p w14:paraId="5B190E2B">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color w:val="000000" w:themeColor="text1"/>
                <w:sz w:val="21"/>
                <w:highlight w:val="none"/>
                <w:lang w:val="en-US" w:eastAsia="zh-CN"/>
                <w14:textFill>
                  <w14:solidFill>
                    <w14:schemeClr w14:val="tx1"/>
                  </w14:solidFill>
                </w14:textFill>
              </w:rPr>
            </w:pPr>
            <w:r>
              <w:rPr>
                <w:rFonts w:hint="eastAsia" w:ascii="Times New Roman" w:hAnsi="Times New Roman" w:cs="Times New Roman"/>
                <w:color w:val="000000" w:themeColor="text1"/>
                <w:sz w:val="21"/>
                <w:highlight w:val="none"/>
                <w:lang w:val="en-US" w:eastAsia="zh-CN"/>
                <w14:textFill>
                  <w14:solidFill>
                    <w14:schemeClr w14:val="tx1"/>
                  </w14:solidFill>
                </w14:textFill>
              </w:rPr>
              <w:t>/</w:t>
            </w:r>
          </w:p>
        </w:tc>
        <w:tc>
          <w:tcPr>
            <w:tcW w:w="1011" w:type="pct"/>
            <w:tcBorders>
              <w:tl2br w:val="nil"/>
              <w:tr2bl w:val="nil"/>
            </w:tcBorders>
            <w:noWrap w:val="0"/>
            <w:vAlign w:val="center"/>
          </w:tcPr>
          <w:p w14:paraId="3C1BC8AE">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color w:val="000000" w:themeColor="text1"/>
                <w:sz w:val="21"/>
                <w:highlight w:val="none"/>
                <w:lang w:val="en-US" w:eastAsia="zh-CN"/>
                <w14:textFill>
                  <w14:solidFill>
                    <w14:schemeClr w14:val="tx1"/>
                  </w14:solidFill>
                </w14:textFill>
              </w:rPr>
            </w:pPr>
            <w:r>
              <w:rPr>
                <w:rFonts w:hint="eastAsia" w:ascii="Times New Roman" w:hAnsi="Times New Roman" w:cs="Times New Roman"/>
                <w:color w:val="000000" w:themeColor="text1"/>
                <w:sz w:val="21"/>
                <w:highlight w:val="none"/>
                <w:lang w:val="en-US" w:eastAsia="zh-CN"/>
                <w14:textFill>
                  <w14:solidFill>
                    <w14:schemeClr w14:val="tx1"/>
                  </w14:solidFill>
                </w14:textFill>
              </w:rPr>
              <w:t>/</w:t>
            </w:r>
          </w:p>
        </w:tc>
        <w:tc>
          <w:tcPr>
            <w:tcW w:w="473" w:type="pct"/>
            <w:tcBorders>
              <w:tl2br w:val="nil"/>
              <w:tr2bl w:val="nil"/>
            </w:tcBorders>
            <w:noWrap w:val="0"/>
            <w:vAlign w:val="center"/>
          </w:tcPr>
          <w:p w14:paraId="474869BC">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cs="Times New Roman"/>
                <w:color w:val="000000" w:themeColor="text1"/>
                <w:spacing w:val="-2"/>
                <w:sz w:val="21"/>
                <w:szCs w:val="21"/>
                <w:highlight w:val="none"/>
                <w:lang w:val="en-US" w:eastAsia="zh-CN"/>
                <w14:textFill>
                  <w14:solidFill>
                    <w14:schemeClr w14:val="tx1"/>
                  </w14:solidFill>
                </w14:textFill>
              </w:rPr>
            </w:pPr>
            <w:r>
              <w:rPr>
                <w:rFonts w:hint="eastAsia" w:cs="Times New Roman"/>
                <w:color w:val="000000" w:themeColor="text1"/>
                <w:spacing w:val="-2"/>
                <w:sz w:val="21"/>
                <w:szCs w:val="21"/>
                <w:highlight w:val="none"/>
                <w:lang w:val="en-US" w:eastAsia="zh-CN"/>
                <w14:textFill>
                  <w14:solidFill>
                    <w14:schemeClr w14:val="tx1"/>
                  </w14:solidFill>
                </w14:textFill>
              </w:rPr>
              <w:t>/</w:t>
            </w:r>
          </w:p>
        </w:tc>
        <w:tc>
          <w:tcPr>
            <w:tcW w:w="615" w:type="pct"/>
            <w:vMerge w:val="continue"/>
            <w:tcBorders>
              <w:tl2br w:val="nil"/>
              <w:tr2bl w:val="nil"/>
            </w:tcBorders>
            <w:noWrap w:val="0"/>
            <w:vAlign w:val="center"/>
          </w:tcPr>
          <w:p w14:paraId="302F0FAE">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cs="Times New Roman"/>
                <w:color w:val="000000" w:themeColor="text1"/>
                <w:sz w:val="21"/>
                <w:highlight w:val="none"/>
                <w14:textFill>
                  <w14:solidFill>
                    <w14:schemeClr w14:val="tx1"/>
                  </w14:solidFill>
                </w14:textFill>
              </w:rPr>
            </w:pPr>
          </w:p>
        </w:tc>
      </w:tr>
      <w:tr w14:paraId="7429082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384" w:type="pct"/>
            <w:gridSpan w:val="8"/>
            <w:tcBorders>
              <w:tl2br w:val="nil"/>
              <w:tr2bl w:val="nil"/>
            </w:tcBorders>
            <w:noWrap w:val="0"/>
            <w:vAlign w:val="center"/>
          </w:tcPr>
          <w:p w14:paraId="2F0B19EC">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评价区域</w:t>
            </w:r>
            <w:r>
              <w:rPr>
                <w:rFonts w:hint="default" w:ascii="Times New Roman" w:hAnsi="Times New Roman" w:eastAsia="宋体" w:cs="Times New Roman"/>
                <w:color w:val="000000" w:themeColor="text1"/>
                <w:sz w:val="21"/>
                <w:szCs w:val="21"/>
                <w:highlight w:val="none"/>
                <w14:textFill>
                  <w14:solidFill>
                    <w14:schemeClr w14:val="tx1"/>
                  </w14:solidFill>
                </w14:textFill>
              </w:rPr>
              <w:t>潜水含水层</w:t>
            </w:r>
          </w:p>
        </w:tc>
        <w:tc>
          <w:tcPr>
            <w:tcW w:w="615" w:type="pct"/>
            <w:vMerge w:val="continue"/>
            <w:tcBorders>
              <w:tl2br w:val="nil"/>
              <w:tr2bl w:val="nil"/>
            </w:tcBorders>
            <w:noWrap w:val="0"/>
            <w:vAlign w:val="center"/>
          </w:tcPr>
          <w:p w14:paraId="0AB1EAA2">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cs="Times New Roman"/>
                <w:color w:val="000000" w:themeColor="text1"/>
                <w:sz w:val="21"/>
                <w:highlight w:val="none"/>
                <w14:textFill>
                  <w14:solidFill>
                    <w14:schemeClr w14:val="tx1"/>
                  </w14:solidFill>
                </w14:textFill>
              </w:rPr>
            </w:pPr>
          </w:p>
        </w:tc>
      </w:tr>
    </w:tbl>
    <w:p w14:paraId="20629A10">
      <w:pPr>
        <w:pStyle w:val="7"/>
        <w:bidi w:val="0"/>
        <w:rPr>
          <w:rFonts w:hint="default"/>
          <w:highlight w:val="none"/>
          <w:lang w:eastAsia="zh-CN"/>
        </w:rPr>
      </w:pPr>
      <w:r>
        <w:rPr>
          <w:rFonts w:hint="default"/>
          <w:highlight w:val="none"/>
          <w:lang w:val="en-US" w:eastAsia="zh-CN"/>
        </w:rPr>
        <w:t>2.7</w:t>
      </w:r>
      <w:r>
        <w:rPr>
          <w:rFonts w:hint="default"/>
          <w:highlight w:val="none"/>
        </w:rPr>
        <w:t>生态建设与环境保护规划</w:t>
      </w:r>
      <w:bookmarkEnd w:id="106"/>
    </w:p>
    <w:p w14:paraId="4FA3F6CE">
      <w:pPr>
        <w:pStyle w:val="6"/>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color w:val="000000" w:themeColor="text1"/>
          <w:spacing w:val="-2"/>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2.</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7.1</w:t>
      </w:r>
      <w:r>
        <w:rPr>
          <w:rFonts w:hint="default" w:ascii="Times New Roman" w:hAnsi="Times New Roman" w:eastAsia="宋体" w:cs="Times New Roman"/>
          <w:color w:val="000000" w:themeColor="text1"/>
          <w:spacing w:val="-2"/>
          <w:sz w:val="24"/>
          <w:szCs w:val="24"/>
          <w:highlight w:val="none"/>
          <w14:textFill>
            <w14:solidFill>
              <w14:schemeClr w14:val="tx1"/>
            </w14:solidFill>
          </w14:textFill>
        </w:rPr>
        <w:t>与国家及地方生态环境保护规划分析</w:t>
      </w:r>
    </w:p>
    <w:p w14:paraId="4E9799C2">
      <w:pPr>
        <w:pageBreakBefore w:val="0"/>
        <w:widowControl w:val="0"/>
        <w:numPr>
          <w:ilvl w:val="0"/>
          <w:numId w:val="16"/>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bCs/>
          <w:color w:val="000000" w:themeColor="text1"/>
          <w:spacing w:val="0"/>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pacing w:val="0"/>
          <w:sz w:val="24"/>
          <w:szCs w:val="24"/>
          <w:highlight w:val="none"/>
          <w:lang w:val="en-US" w:eastAsia="zh-CN"/>
          <w14:textFill>
            <w14:solidFill>
              <w14:schemeClr w14:val="tx1"/>
            </w14:solidFill>
          </w14:textFill>
        </w:rPr>
        <w:t>本项目与各生态环境保护规划分析结果汇总一览表</w:t>
      </w:r>
    </w:p>
    <w:p w14:paraId="588658D9">
      <w:pPr>
        <w:spacing w:line="17" w:lineRule="exact"/>
        <w:rPr>
          <w:rFonts w:hint="default" w:ascii="Times New Roman" w:hAnsi="Times New Roman" w:eastAsia="宋体" w:cs="Times New Roman"/>
          <w:color w:val="000000" w:themeColor="text1"/>
          <w:highlight w:val="none"/>
          <w14:textFill>
            <w14:solidFill>
              <w14:schemeClr w14:val="tx1"/>
            </w14:solidFill>
          </w14:textFill>
        </w:rPr>
      </w:pPr>
    </w:p>
    <w:tbl>
      <w:tblPr>
        <w:tblStyle w:val="88"/>
        <w:tblW w:w="9618"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461"/>
        <w:gridCol w:w="938"/>
        <w:gridCol w:w="4226"/>
        <w:gridCol w:w="3284"/>
        <w:gridCol w:w="709"/>
      </w:tblGrid>
      <w:tr w14:paraId="789115A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23" w:hRule="atLeast"/>
          <w:jc w:val="center"/>
        </w:trPr>
        <w:tc>
          <w:tcPr>
            <w:tcW w:w="461" w:type="dxa"/>
            <w:tcBorders>
              <w:tl2br w:val="nil"/>
              <w:tr2bl w:val="nil"/>
            </w:tcBorders>
            <w:noWrap w:val="0"/>
            <w:vAlign w:val="center"/>
          </w:tcPr>
          <w:p w14:paraId="7B0AF914">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序号</w:t>
            </w:r>
          </w:p>
        </w:tc>
        <w:tc>
          <w:tcPr>
            <w:tcW w:w="938" w:type="dxa"/>
            <w:tcBorders>
              <w:tl2br w:val="nil"/>
              <w:tr2bl w:val="nil"/>
            </w:tcBorders>
            <w:noWrap w:val="0"/>
            <w:vAlign w:val="center"/>
          </w:tcPr>
          <w:p w14:paraId="06212FD2">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规划名称</w:t>
            </w:r>
          </w:p>
        </w:tc>
        <w:tc>
          <w:tcPr>
            <w:tcW w:w="4226" w:type="dxa"/>
            <w:tcBorders>
              <w:tl2br w:val="nil"/>
              <w:tr2bl w:val="nil"/>
            </w:tcBorders>
            <w:noWrap w:val="0"/>
            <w:vAlign w:val="center"/>
          </w:tcPr>
          <w:p w14:paraId="37B6C333">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相关内容</w:t>
            </w:r>
          </w:p>
        </w:tc>
        <w:tc>
          <w:tcPr>
            <w:tcW w:w="3284" w:type="dxa"/>
            <w:tcBorders>
              <w:tl2br w:val="nil"/>
              <w:tr2bl w:val="nil"/>
            </w:tcBorders>
            <w:noWrap w:val="0"/>
            <w:vAlign w:val="center"/>
          </w:tcPr>
          <w:p w14:paraId="242DC3BF">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本项目内容</w:t>
            </w:r>
          </w:p>
        </w:tc>
        <w:tc>
          <w:tcPr>
            <w:tcW w:w="709" w:type="dxa"/>
            <w:tcBorders>
              <w:tl2br w:val="nil"/>
              <w:tr2bl w:val="nil"/>
            </w:tcBorders>
            <w:noWrap w:val="0"/>
            <w:vAlign w:val="center"/>
          </w:tcPr>
          <w:p w14:paraId="42F5395B">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符合性</w:t>
            </w:r>
          </w:p>
        </w:tc>
      </w:tr>
      <w:tr w14:paraId="61102D4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479" w:hRule="atLeast"/>
          <w:jc w:val="center"/>
        </w:trPr>
        <w:tc>
          <w:tcPr>
            <w:tcW w:w="461" w:type="dxa"/>
            <w:vMerge w:val="restart"/>
            <w:tcBorders>
              <w:tl2br w:val="nil"/>
              <w:tr2bl w:val="nil"/>
            </w:tcBorders>
            <w:noWrap w:val="0"/>
            <w:vAlign w:val="center"/>
          </w:tcPr>
          <w:p w14:paraId="6A154159">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w:t>
            </w:r>
          </w:p>
        </w:tc>
        <w:tc>
          <w:tcPr>
            <w:tcW w:w="938" w:type="dxa"/>
            <w:vMerge w:val="restart"/>
            <w:tcBorders>
              <w:tl2br w:val="nil"/>
              <w:tr2bl w:val="nil"/>
            </w:tcBorders>
            <w:noWrap w:val="0"/>
            <w:vAlign w:val="center"/>
          </w:tcPr>
          <w:p w14:paraId="6E8EDA92">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《“十四五”土壤、地下水和农村生态环境保护规划》</w:t>
            </w:r>
          </w:p>
        </w:tc>
        <w:tc>
          <w:tcPr>
            <w:tcW w:w="4226" w:type="dxa"/>
            <w:tcBorders>
              <w:tl2br w:val="nil"/>
              <w:tr2bl w:val="nil"/>
            </w:tcBorders>
            <w:noWrap w:val="0"/>
            <w:vAlign w:val="center"/>
          </w:tcPr>
          <w:p w14:paraId="3E3C823C">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从事土地开发利用活动，应当采取有效措施，防止、减少土壤污染，并确保建设用地符合土壤环境质量要求。</w:t>
            </w:r>
          </w:p>
        </w:tc>
        <w:tc>
          <w:tcPr>
            <w:tcW w:w="3284" w:type="dxa"/>
            <w:tcBorders>
              <w:tl2br w:val="nil"/>
              <w:tr2bl w:val="nil"/>
            </w:tcBorders>
            <w:noWrap w:val="0"/>
            <w:vAlign w:val="center"/>
          </w:tcPr>
          <w:p w14:paraId="661E36E1">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本项目采取了源头控制措施和过程防控措施，从源头上减少了污染物的排放量，同时通过采取严格的防渗措施，切断了垂直入渗进入土壤的途径，对项目所在区域土壤环境质量进行定期的监测，防止或最大限度地减轻项目对土壤环境的污染</w:t>
            </w:r>
          </w:p>
        </w:tc>
        <w:tc>
          <w:tcPr>
            <w:tcW w:w="709" w:type="dxa"/>
            <w:tcBorders>
              <w:tl2br w:val="nil"/>
              <w:tr2bl w:val="nil"/>
            </w:tcBorders>
            <w:noWrap w:val="0"/>
            <w:vAlign w:val="center"/>
          </w:tcPr>
          <w:p w14:paraId="7CDB6931">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符合</w:t>
            </w:r>
          </w:p>
        </w:tc>
      </w:tr>
      <w:tr w14:paraId="09D8BE6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1554" w:hRule="atLeast"/>
          <w:jc w:val="center"/>
        </w:trPr>
        <w:tc>
          <w:tcPr>
            <w:tcW w:w="461" w:type="dxa"/>
            <w:vMerge w:val="continue"/>
            <w:tcBorders>
              <w:tl2br w:val="nil"/>
              <w:tr2bl w:val="nil"/>
            </w:tcBorders>
            <w:noWrap w:val="0"/>
            <w:vAlign w:val="center"/>
          </w:tcPr>
          <w:p w14:paraId="4C58A9AD">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938" w:type="dxa"/>
            <w:vMerge w:val="continue"/>
            <w:tcBorders>
              <w:tl2br w:val="nil"/>
              <w:tr2bl w:val="nil"/>
            </w:tcBorders>
            <w:noWrap w:val="0"/>
            <w:vAlign w:val="center"/>
          </w:tcPr>
          <w:p w14:paraId="79156A24">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p>
        </w:tc>
        <w:tc>
          <w:tcPr>
            <w:tcW w:w="4226" w:type="dxa"/>
            <w:tcBorders>
              <w:tl2br w:val="nil"/>
              <w:tr2bl w:val="nil"/>
            </w:tcBorders>
            <w:noWrap w:val="0"/>
            <w:vAlign w:val="center"/>
          </w:tcPr>
          <w:p w14:paraId="63479136">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督促“一企一库”“两场两区”采取防渗漏措施，按要求建设地下水环境监测井，开展地下水环境自行监测。</w:t>
            </w:r>
          </w:p>
        </w:tc>
        <w:tc>
          <w:tcPr>
            <w:tcW w:w="3284" w:type="dxa"/>
            <w:tcBorders>
              <w:tl2br w:val="nil"/>
              <w:tr2bl w:val="nil"/>
            </w:tcBorders>
            <w:noWrap w:val="0"/>
            <w:vAlign w:val="center"/>
          </w:tcPr>
          <w:p w14:paraId="23EDC28B">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本项目按照《环境影响评价技术导则地下水环境》(HJ610-2016)中的相关标准要求采取防渗措施，在厂区内设置地下水监测井，定期进行自行监测</w:t>
            </w:r>
          </w:p>
        </w:tc>
        <w:tc>
          <w:tcPr>
            <w:tcW w:w="709" w:type="dxa"/>
            <w:tcBorders>
              <w:tl2br w:val="nil"/>
              <w:tr2bl w:val="nil"/>
            </w:tcBorders>
            <w:noWrap w:val="0"/>
            <w:vAlign w:val="center"/>
          </w:tcPr>
          <w:p w14:paraId="1D82DA19">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符合</w:t>
            </w:r>
          </w:p>
        </w:tc>
      </w:tr>
      <w:tr w14:paraId="2226995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1554" w:hRule="atLeast"/>
          <w:jc w:val="center"/>
        </w:trPr>
        <w:tc>
          <w:tcPr>
            <w:tcW w:w="461" w:type="dxa"/>
            <w:vMerge w:val="restart"/>
            <w:tcBorders>
              <w:tl2br w:val="nil"/>
              <w:tr2bl w:val="nil"/>
            </w:tcBorders>
            <w:noWrap w:val="0"/>
            <w:vAlign w:val="center"/>
          </w:tcPr>
          <w:p w14:paraId="41A7DB93">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2</w:t>
            </w:r>
          </w:p>
        </w:tc>
        <w:tc>
          <w:tcPr>
            <w:tcW w:w="938" w:type="dxa"/>
            <w:vMerge w:val="restart"/>
            <w:tcBorders>
              <w:tl2br w:val="nil"/>
              <w:tr2bl w:val="nil"/>
            </w:tcBorders>
            <w:noWrap w:val="0"/>
            <w:vAlign w:val="center"/>
          </w:tcPr>
          <w:p w14:paraId="03DD8E4A">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《河北省生态环境保护“十四五”规划》</w:t>
            </w:r>
          </w:p>
        </w:tc>
        <w:tc>
          <w:tcPr>
            <w:tcW w:w="4226" w:type="dxa"/>
            <w:tcBorders>
              <w:tl2br w:val="nil"/>
              <w:tr2bl w:val="nil"/>
            </w:tcBorders>
            <w:noWrap w:val="0"/>
            <w:vAlign w:val="center"/>
          </w:tcPr>
          <w:p w14:paraId="4E1D6254">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巩固钢铁、焦化、煤电、水泥、平板玻璃、陶瓷等行业超低排放成效，实施工艺全流程深度治理，全面加强无组织排放管控。以工业炉窑污染综合治理为重点，深化工业氮氧化物减排。</w:t>
            </w:r>
          </w:p>
        </w:tc>
        <w:tc>
          <w:tcPr>
            <w:tcW w:w="3284" w:type="dxa"/>
            <w:tcBorders>
              <w:tl2br w:val="nil"/>
              <w:tr2bl w:val="nil"/>
            </w:tcBorders>
            <w:noWrap w:val="0"/>
            <w:vAlign w:val="center"/>
          </w:tcPr>
          <w:p w14:paraId="7D1F3184">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本项目为污水处理及其再生利用，不涉及上述内容</w:t>
            </w:r>
          </w:p>
        </w:tc>
        <w:tc>
          <w:tcPr>
            <w:tcW w:w="709" w:type="dxa"/>
            <w:tcBorders>
              <w:tl2br w:val="nil"/>
              <w:tr2bl w:val="nil"/>
            </w:tcBorders>
            <w:noWrap w:val="0"/>
            <w:vAlign w:val="center"/>
          </w:tcPr>
          <w:p w14:paraId="434C15EB">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符合</w:t>
            </w:r>
          </w:p>
        </w:tc>
      </w:tr>
      <w:tr w14:paraId="46466AC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628" w:hRule="atLeast"/>
          <w:jc w:val="center"/>
        </w:trPr>
        <w:tc>
          <w:tcPr>
            <w:tcW w:w="461" w:type="dxa"/>
            <w:vMerge w:val="continue"/>
            <w:noWrap w:val="0"/>
            <w:vAlign w:val="center"/>
          </w:tcPr>
          <w:p w14:paraId="4FC79F40">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938" w:type="dxa"/>
            <w:vMerge w:val="continue"/>
            <w:noWrap w:val="0"/>
            <w:vAlign w:val="center"/>
          </w:tcPr>
          <w:p w14:paraId="5E9377B4">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p>
        </w:tc>
        <w:tc>
          <w:tcPr>
            <w:tcW w:w="4226" w:type="dxa"/>
            <w:noWrap w:val="0"/>
            <w:vAlign w:val="center"/>
          </w:tcPr>
          <w:p w14:paraId="050F40F3">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强化工业污染减排。实施差别化环境准入政策，推进涉水工业企业全面入园进区。</w:t>
            </w:r>
          </w:p>
        </w:tc>
        <w:tc>
          <w:tcPr>
            <w:tcW w:w="3284" w:type="dxa"/>
            <w:noWrap w:val="0"/>
            <w:vAlign w:val="center"/>
          </w:tcPr>
          <w:p w14:paraId="0DDE7597">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本项目位于唐山市曹妃甸区垦丰家居产业园区综合产业园区内</w:t>
            </w:r>
          </w:p>
        </w:tc>
        <w:tc>
          <w:tcPr>
            <w:tcW w:w="709" w:type="dxa"/>
            <w:noWrap w:val="0"/>
            <w:vAlign w:val="center"/>
          </w:tcPr>
          <w:p w14:paraId="17408E53">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符合</w:t>
            </w:r>
          </w:p>
        </w:tc>
      </w:tr>
      <w:tr w14:paraId="525E69C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936" w:hRule="atLeast"/>
          <w:jc w:val="center"/>
        </w:trPr>
        <w:tc>
          <w:tcPr>
            <w:tcW w:w="461" w:type="dxa"/>
            <w:vMerge w:val="continue"/>
            <w:noWrap w:val="0"/>
            <w:vAlign w:val="center"/>
          </w:tcPr>
          <w:p w14:paraId="6B045B58">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938" w:type="dxa"/>
            <w:vMerge w:val="continue"/>
            <w:noWrap w:val="0"/>
            <w:vAlign w:val="center"/>
          </w:tcPr>
          <w:p w14:paraId="7141DE4E">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p>
        </w:tc>
        <w:tc>
          <w:tcPr>
            <w:tcW w:w="4226" w:type="dxa"/>
            <w:noWrap w:val="0"/>
            <w:vAlign w:val="center"/>
          </w:tcPr>
          <w:p w14:paraId="0C05C9AF">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强化工业企业土壤污染风险防控。新(改、扩)建项目涉及有毒有害物质可能造成土壤污染的，落实土壤和地下水污染防治要求。</w:t>
            </w:r>
          </w:p>
        </w:tc>
        <w:tc>
          <w:tcPr>
            <w:tcW w:w="3284" w:type="dxa"/>
            <w:noWrap w:val="0"/>
            <w:vAlign w:val="center"/>
          </w:tcPr>
          <w:p w14:paraId="1B4F32A4">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本项目占地为公用设施用地，并且报告中提出了完善的土壤及地下水污染防治要求</w:t>
            </w:r>
          </w:p>
        </w:tc>
        <w:tc>
          <w:tcPr>
            <w:tcW w:w="709" w:type="dxa"/>
            <w:noWrap w:val="0"/>
            <w:vAlign w:val="center"/>
          </w:tcPr>
          <w:p w14:paraId="4670CE84">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符合</w:t>
            </w:r>
          </w:p>
        </w:tc>
      </w:tr>
      <w:tr w14:paraId="356F99E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90" w:hRule="atLeast"/>
          <w:jc w:val="center"/>
        </w:trPr>
        <w:tc>
          <w:tcPr>
            <w:tcW w:w="461" w:type="dxa"/>
            <w:vMerge w:val="restart"/>
            <w:noWrap w:val="0"/>
            <w:vAlign w:val="center"/>
          </w:tcPr>
          <w:p w14:paraId="7B9141BA">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3</w:t>
            </w:r>
          </w:p>
        </w:tc>
        <w:tc>
          <w:tcPr>
            <w:tcW w:w="938" w:type="dxa"/>
            <w:vMerge w:val="restart"/>
            <w:noWrap w:val="0"/>
            <w:vAlign w:val="center"/>
          </w:tcPr>
          <w:p w14:paraId="49D3D790">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《河北省建设京津冀生态环境支撑区“十四五”规划》</w:t>
            </w:r>
          </w:p>
        </w:tc>
        <w:tc>
          <w:tcPr>
            <w:tcW w:w="4226" w:type="dxa"/>
            <w:noWrap w:val="0"/>
            <w:vAlign w:val="center"/>
          </w:tcPr>
          <w:p w14:paraId="25556D9B">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完善生态环境分区管控体系。立足资源环境承载能力，落实并完善“三线一单”生态环境分区管控体系，建立动态更新和调整机制，完善环境管控单元环境准入清单，严格执行高耗能、高排放项目环境准入及管控要求。加强“三线一单”成果与国土空间规划协调联动，强化在政策制定、环境准入、园区管理、执法监管等方面的应用，推动污染物排放和生态环境质量目标联动管理。</w:t>
            </w:r>
          </w:p>
        </w:tc>
        <w:tc>
          <w:tcPr>
            <w:tcW w:w="3284" w:type="dxa"/>
            <w:noWrap w:val="0"/>
            <w:vAlign w:val="center"/>
          </w:tcPr>
          <w:p w14:paraId="553B5AA7">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本项目符合“三线一单”要求。</w:t>
            </w:r>
          </w:p>
        </w:tc>
        <w:tc>
          <w:tcPr>
            <w:tcW w:w="709" w:type="dxa"/>
            <w:noWrap w:val="0"/>
            <w:vAlign w:val="center"/>
          </w:tcPr>
          <w:p w14:paraId="2322D55D">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符合</w:t>
            </w:r>
          </w:p>
        </w:tc>
      </w:tr>
      <w:tr w14:paraId="28842C4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09" w:hRule="atLeast"/>
          <w:jc w:val="center"/>
        </w:trPr>
        <w:tc>
          <w:tcPr>
            <w:tcW w:w="461" w:type="dxa"/>
            <w:vMerge w:val="continue"/>
            <w:noWrap w:val="0"/>
            <w:vAlign w:val="center"/>
          </w:tcPr>
          <w:p w14:paraId="1B545663">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938" w:type="dxa"/>
            <w:vMerge w:val="continue"/>
            <w:noWrap w:val="0"/>
            <w:vAlign w:val="center"/>
          </w:tcPr>
          <w:p w14:paraId="6421CB0B">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p>
        </w:tc>
        <w:tc>
          <w:tcPr>
            <w:tcW w:w="4226" w:type="dxa"/>
            <w:noWrap w:val="0"/>
            <w:vAlign w:val="center"/>
          </w:tcPr>
          <w:p w14:paraId="2FF5EDA5">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源头防控土壤环境安全风险。对土壤污染重点监管单位、工业园区、污水集中处理设施、固体废物处置设施周边土壤定期开展监测。</w:t>
            </w:r>
          </w:p>
        </w:tc>
        <w:tc>
          <w:tcPr>
            <w:tcW w:w="3284" w:type="dxa"/>
            <w:noWrap w:val="0"/>
            <w:vAlign w:val="center"/>
          </w:tcPr>
          <w:p w14:paraId="70A49558">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为了及时准确地掌握本项目厂址及周围土壤环境质量状况和土壤中污染物的动态变化情况，本项目对所在区域土壤环境质量进行定期的监测，防止项目对土壤环境的污染。</w:t>
            </w:r>
          </w:p>
        </w:tc>
        <w:tc>
          <w:tcPr>
            <w:tcW w:w="709" w:type="dxa"/>
            <w:noWrap w:val="0"/>
            <w:vAlign w:val="center"/>
          </w:tcPr>
          <w:p w14:paraId="7EE0AFC5">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符合</w:t>
            </w:r>
          </w:p>
        </w:tc>
      </w:tr>
      <w:tr w14:paraId="61E9A62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1554" w:hRule="atLeast"/>
          <w:jc w:val="center"/>
        </w:trPr>
        <w:tc>
          <w:tcPr>
            <w:tcW w:w="461" w:type="dxa"/>
            <w:vMerge w:val="restart"/>
            <w:noWrap w:val="0"/>
            <w:vAlign w:val="center"/>
          </w:tcPr>
          <w:p w14:paraId="2D6D4DC5">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w:t>
            </w:r>
          </w:p>
        </w:tc>
        <w:tc>
          <w:tcPr>
            <w:tcW w:w="938" w:type="dxa"/>
            <w:vMerge w:val="restart"/>
            <w:noWrap w:val="0"/>
            <w:vAlign w:val="center"/>
          </w:tcPr>
          <w:p w14:paraId="2FD41CB1">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《河北省土壤与地下水污染防治“十四五”规划》</w:t>
            </w:r>
          </w:p>
        </w:tc>
        <w:tc>
          <w:tcPr>
            <w:tcW w:w="4226" w:type="dxa"/>
            <w:noWrap w:val="0"/>
            <w:vAlign w:val="center"/>
          </w:tcPr>
          <w:p w14:paraId="24094AE5">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bookmarkStart w:id="107" w:name="OLE_LINK82"/>
            <w:r>
              <w:rPr>
                <w:rFonts w:hint="default" w:ascii="Times New Roman" w:hAnsi="Times New Roman" w:eastAsia="宋体" w:cs="Times New Roman"/>
                <w:color w:val="auto"/>
                <w:sz w:val="21"/>
                <w:szCs w:val="21"/>
                <w:highlight w:val="none"/>
                <w:lang w:val="en-US" w:eastAsia="zh-CN"/>
              </w:rPr>
              <w:t>以金属表面处理及热处理加工、基础化学原料制造、炼焦、专用化学品制造等行业</w:t>
            </w:r>
            <w:bookmarkEnd w:id="107"/>
            <w:r>
              <w:rPr>
                <w:rFonts w:hint="default" w:ascii="Times New Roman" w:hAnsi="Times New Roman" w:eastAsia="宋体" w:cs="Times New Roman"/>
                <w:color w:val="auto"/>
                <w:sz w:val="21"/>
                <w:szCs w:val="21"/>
                <w:highlight w:val="none"/>
                <w:lang w:val="en-US" w:eastAsia="zh-CN"/>
              </w:rPr>
              <w:t>企业为重点，鼓励采用污染阻隔、监测自然衰减等原位风险管控或修复技术。</w:t>
            </w:r>
          </w:p>
        </w:tc>
        <w:tc>
          <w:tcPr>
            <w:tcW w:w="3284" w:type="dxa"/>
            <w:noWrap w:val="0"/>
            <w:vAlign w:val="center"/>
          </w:tcPr>
          <w:p w14:paraId="1A220D52">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本项目不属于以金属表面处理及热处理加工、基础化学原料制造、炼焦、专用化学品制造等行业，各污染源均采取了严格的污染物控制措施，防止或最大限度的减轻项目对环境造成的污染。</w:t>
            </w:r>
          </w:p>
        </w:tc>
        <w:tc>
          <w:tcPr>
            <w:tcW w:w="709" w:type="dxa"/>
            <w:noWrap w:val="0"/>
            <w:vAlign w:val="center"/>
          </w:tcPr>
          <w:p w14:paraId="4D1DEBE5">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符合</w:t>
            </w:r>
          </w:p>
        </w:tc>
      </w:tr>
      <w:tr w14:paraId="312A3C3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1554" w:hRule="atLeast"/>
          <w:jc w:val="center"/>
        </w:trPr>
        <w:tc>
          <w:tcPr>
            <w:tcW w:w="461" w:type="dxa"/>
            <w:vMerge w:val="continue"/>
            <w:noWrap w:val="0"/>
            <w:vAlign w:val="center"/>
          </w:tcPr>
          <w:p w14:paraId="632DD773">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938" w:type="dxa"/>
            <w:vMerge w:val="continue"/>
            <w:noWrap w:val="0"/>
            <w:vAlign w:val="center"/>
          </w:tcPr>
          <w:p w14:paraId="47410A21">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p>
        </w:tc>
        <w:tc>
          <w:tcPr>
            <w:tcW w:w="4226" w:type="dxa"/>
            <w:noWrap w:val="0"/>
            <w:vAlign w:val="center"/>
          </w:tcPr>
          <w:p w14:paraId="2A5FF086">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按照国家统一部署，督促“一企一库”“两场两区”采取防渗漏措施，建设地下水环境监测井，开展地下水环境自行监测</w:t>
            </w:r>
          </w:p>
        </w:tc>
        <w:tc>
          <w:tcPr>
            <w:tcW w:w="3284" w:type="dxa"/>
            <w:noWrap w:val="0"/>
            <w:vAlign w:val="center"/>
          </w:tcPr>
          <w:p w14:paraId="48359156">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本项目按照《环境影响评价技术导则地下水环境》(HJ610-2016)中的相关标准要求采取防渗措施，在厂区内设置地下水监测井，定期进行自行监测</w:t>
            </w:r>
          </w:p>
        </w:tc>
        <w:tc>
          <w:tcPr>
            <w:tcW w:w="709" w:type="dxa"/>
            <w:noWrap w:val="0"/>
            <w:vAlign w:val="center"/>
          </w:tcPr>
          <w:p w14:paraId="40C93F9E">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符合</w:t>
            </w:r>
          </w:p>
        </w:tc>
      </w:tr>
      <w:tr w14:paraId="367F229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479" w:hRule="atLeast"/>
          <w:jc w:val="center"/>
        </w:trPr>
        <w:tc>
          <w:tcPr>
            <w:tcW w:w="461" w:type="dxa"/>
            <w:vMerge w:val="restart"/>
            <w:noWrap w:val="0"/>
            <w:vAlign w:val="center"/>
          </w:tcPr>
          <w:p w14:paraId="67EC7976">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w:t>
            </w:r>
          </w:p>
        </w:tc>
        <w:tc>
          <w:tcPr>
            <w:tcW w:w="938" w:type="dxa"/>
            <w:vMerge w:val="restart"/>
            <w:noWrap w:val="0"/>
            <w:vAlign w:val="center"/>
          </w:tcPr>
          <w:p w14:paraId="027D766F">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唐山市土壤与地下水污染防</w:t>
            </w:r>
          </w:p>
          <w:p w14:paraId="67D451A2">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治“十四五”规划</w:t>
            </w:r>
          </w:p>
        </w:tc>
        <w:tc>
          <w:tcPr>
            <w:tcW w:w="4226" w:type="dxa"/>
            <w:noWrap w:val="0"/>
            <w:vAlign w:val="center"/>
          </w:tcPr>
          <w:p w14:paraId="74876653">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强化空间布局优化与管理。衔接国土空间规划和用途管控，推进重点行业统一规划、集聚发展，推动重点行业企业退城搬迁，引导产业集群入园区。严格落实环境影响评价制度，涉及排放有毒有害物质可能造成土壤污染的新(改、扩)建项目，依法进行环境影响评价，提出并落实防腐蚀、防渗漏、防遗撒等土壤污染防治具体措施。</w:t>
            </w:r>
          </w:p>
        </w:tc>
        <w:tc>
          <w:tcPr>
            <w:tcW w:w="3284" w:type="dxa"/>
            <w:noWrap w:val="0"/>
            <w:vAlign w:val="center"/>
          </w:tcPr>
          <w:p w14:paraId="30D8A7F6">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本项目位于唐山市曹妃甸区垦丰家居产业园区内，项目针对土壤污染源采取了完善的防治措施，通过预测，项目对土壤环境影响可接受</w:t>
            </w:r>
          </w:p>
        </w:tc>
        <w:tc>
          <w:tcPr>
            <w:tcW w:w="709" w:type="dxa"/>
            <w:noWrap w:val="0"/>
            <w:vAlign w:val="center"/>
          </w:tcPr>
          <w:p w14:paraId="1A75ACDF">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符合</w:t>
            </w:r>
          </w:p>
        </w:tc>
      </w:tr>
      <w:tr w14:paraId="033D89F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84" w:hRule="atLeast"/>
          <w:jc w:val="center"/>
        </w:trPr>
        <w:tc>
          <w:tcPr>
            <w:tcW w:w="461" w:type="dxa"/>
            <w:vMerge w:val="continue"/>
            <w:noWrap w:val="0"/>
            <w:vAlign w:val="center"/>
          </w:tcPr>
          <w:p w14:paraId="3DC7F9A2">
            <w:pPr>
              <w:spacing w:line="340" w:lineRule="exact"/>
              <w:ind w:firstLine="0" w:firstLineChars="0"/>
              <w:jc w:val="center"/>
              <w:rPr>
                <w:rFonts w:hint="default" w:ascii="Times New Roman" w:hAnsi="Times New Roman" w:eastAsia="宋体" w:cs="Times New Roman"/>
                <w:color w:val="auto"/>
                <w:sz w:val="21"/>
                <w:szCs w:val="21"/>
                <w:highlight w:val="none"/>
              </w:rPr>
            </w:pPr>
          </w:p>
        </w:tc>
        <w:tc>
          <w:tcPr>
            <w:tcW w:w="938" w:type="dxa"/>
            <w:vMerge w:val="continue"/>
            <w:noWrap w:val="0"/>
            <w:vAlign w:val="center"/>
          </w:tcPr>
          <w:p w14:paraId="32A68D5B">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p>
        </w:tc>
        <w:tc>
          <w:tcPr>
            <w:tcW w:w="4226" w:type="dxa"/>
            <w:noWrap w:val="0"/>
            <w:vAlign w:val="center"/>
          </w:tcPr>
          <w:p w14:paraId="2D40408D">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推动实施绿色改造：以重有色金属及黑色金属采选、冶炼等行业为重点，鼓励企业推进工艺技术设备清洁化改造，率先在电镀、制革行业实施清洁生产技术改造，进一步减少污染物排放。鼓励推动金属制品业、化学原料和化学制品制造业等行业企业实施管道化、密闭化改造，实施物料、污水、废气管线架空建设和重点区域防腐防渗改造。开展工业固体废物堆存和废旧资源再生利用活动场所及企业危废贮存场所的防扬散、防流失、防渗漏等环境风险排查整治</w:t>
            </w:r>
          </w:p>
        </w:tc>
        <w:tc>
          <w:tcPr>
            <w:tcW w:w="3284" w:type="dxa"/>
            <w:noWrap w:val="0"/>
            <w:vAlign w:val="center"/>
          </w:tcPr>
          <w:p w14:paraId="237FC067">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项目各产污节点均采取治理措施后达标排放，减少污染物排放量；原辅料均置于封闭库房内；厂区危废间采取重点防渗，危险废物贮存场所达到防扬散、防流失、防渗透</w:t>
            </w:r>
          </w:p>
        </w:tc>
        <w:tc>
          <w:tcPr>
            <w:tcW w:w="709" w:type="dxa"/>
            <w:noWrap w:val="0"/>
            <w:vAlign w:val="center"/>
          </w:tcPr>
          <w:p w14:paraId="24A4AF83">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符合</w:t>
            </w:r>
          </w:p>
        </w:tc>
      </w:tr>
      <w:tr w14:paraId="797EE65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628" w:hRule="atLeast"/>
          <w:jc w:val="center"/>
        </w:trPr>
        <w:tc>
          <w:tcPr>
            <w:tcW w:w="461" w:type="dxa"/>
            <w:vMerge w:val="restart"/>
            <w:noWrap w:val="0"/>
            <w:vAlign w:val="center"/>
          </w:tcPr>
          <w:p w14:paraId="34440248">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6</w:t>
            </w:r>
          </w:p>
        </w:tc>
        <w:tc>
          <w:tcPr>
            <w:tcW w:w="938" w:type="dxa"/>
            <w:vMerge w:val="restart"/>
            <w:noWrap w:val="0"/>
            <w:vAlign w:val="center"/>
          </w:tcPr>
          <w:p w14:paraId="5187A978">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唐山市生态环境保护“十四五”规划</w:t>
            </w:r>
          </w:p>
        </w:tc>
        <w:tc>
          <w:tcPr>
            <w:tcW w:w="4226" w:type="dxa"/>
            <w:noWrap w:val="0"/>
            <w:vAlign w:val="center"/>
          </w:tcPr>
          <w:p w14:paraId="4B7DF9F8">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强化水污染源头防控。实施差别化环境准入政策，推进涉水工业企业全面入园进区。入网企业污水必须达到集中处理要求，方可接入污水集中处理设施处理；直排水企业必须达到城镇污水处理厂一级A排放标准或行业特别排放标准。</w:t>
            </w:r>
          </w:p>
        </w:tc>
        <w:tc>
          <w:tcPr>
            <w:tcW w:w="3284" w:type="dxa"/>
            <w:noWrap w:val="0"/>
            <w:vAlign w:val="center"/>
          </w:tcPr>
          <w:p w14:paraId="21A334FF">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本项目为污水处理及其再生利用</w:t>
            </w:r>
            <w:r>
              <w:rPr>
                <w:rFonts w:hint="default" w:ascii="Times New Roman" w:hAnsi="Times New Roman" w:eastAsia="宋体" w:cs="Times New Roman"/>
                <w:color w:val="auto"/>
                <w:sz w:val="21"/>
                <w:szCs w:val="21"/>
                <w:highlight w:val="none"/>
                <w:lang w:val="en-US" w:eastAsia="zh-CN"/>
              </w:rPr>
              <w:t>项目，位于唐山市曹妃甸区垦丰家居产业园区内，本项目扩建完成后可以集中处理该园区企业的污水。</w:t>
            </w:r>
          </w:p>
        </w:tc>
        <w:tc>
          <w:tcPr>
            <w:tcW w:w="709" w:type="dxa"/>
            <w:noWrap w:val="0"/>
            <w:vAlign w:val="center"/>
          </w:tcPr>
          <w:p w14:paraId="7FECE174">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符合</w:t>
            </w:r>
          </w:p>
        </w:tc>
      </w:tr>
      <w:tr w14:paraId="0D9BF78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1862" w:hRule="atLeast"/>
          <w:jc w:val="center"/>
        </w:trPr>
        <w:tc>
          <w:tcPr>
            <w:tcW w:w="461" w:type="dxa"/>
            <w:vMerge w:val="continue"/>
            <w:noWrap w:val="0"/>
            <w:vAlign w:val="center"/>
          </w:tcPr>
          <w:p w14:paraId="0A1E4395">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p>
        </w:tc>
        <w:tc>
          <w:tcPr>
            <w:tcW w:w="938" w:type="dxa"/>
            <w:vMerge w:val="continue"/>
            <w:noWrap w:val="0"/>
            <w:vAlign w:val="center"/>
          </w:tcPr>
          <w:p w14:paraId="0AEC98CF">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p>
        </w:tc>
        <w:tc>
          <w:tcPr>
            <w:tcW w:w="4226" w:type="dxa"/>
            <w:noWrap w:val="0"/>
            <w:vAlign w:val="center"/>
          </w:tcPr>
          <w:p w14:paraId="35C95149">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实施土壤污染源头防控。严格落实环境影响评价制度，涉及有毒有害物质可能造成土壤污染的新（改、扩）建项目，依法进行环境影响评价，提出并落实防腐蚀、防渗漏、防遗撒等土壤污染防治具体措施。落实土壤和地下水污染防治要求。</w:t>
            </w:r>
          </w:p>
        </w:tc>
        <w:tc>
          <w:tcPr>
            <w:tcW w:w="3284" w:type="dxa"/>
            <w:noWrap w:val="0"/>
            <w:vAlign w:val="center"/>
          </w:tcPr>
          <w:p w14:paraId="7B2E9FB4">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项目在现有厂区内进行建设，各建筑均采取了防腐防渗措施，降低土壤和地下水污染风险，符合规划要求。</w:t>
            </w:r>
          </w:p>
        </w:tc>
        <w:tc>
          <w:tcPr>
            <w:tcW w:w="709" w:type="dxa"/>
            <w:noWrap w:val="0"/>
            <w:vAlign w:val="center"/>
          </w:tcPr>
          <w:p w14:paraId="2DFE6886">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符合</w:t>
            </w:r>
          </w:p>
        </w:tc>
      </w:tr>
      <w:tr w14:paraId="691F12E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200" w:hRule="atLeast"/>
          <w:jc w:val="center"/>
        </w:trPr>
        <w:tc>
          <w:tcPr>
            <w:tcW w:w="461" w:type="dxa"/>
            <w:vMerge w:val="continue"/>
            <w:noWrap w:val="0"/>
            <w:vAlign w:val="center"/>
          </w:tcPr>
          <w:p w14:paraId="3D491E60">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p>
        </w:tc>
        <w:tc>
          <w:tcPr>
            <w:tcW w:w="938" w:type="dxa"/>
            <w:vMerge w:val="continue"/>
            <w:noWrap w:val="0"/>
            <w:vAlign w:val="center"/>
          </w:tcPr>
          <w:p w14:paraId="558ADFB9">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p>
        </w:tc>
        <w:tc>
          <w:tcPr>
            <w:tcW w:w="4226" w:type="dxa"/>
            <w:noWrap w:val="0"/>
            <w:vAlign w:val="center"/>
          </w:tcPr>
          <w:p w14:paraId="3427F6DF">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规范危险废物污染防治与处置。强化对危险废物收集、贮存、处置单位的监管，严防危险废物超期超量贮存。推进智能化视频监控体系建设。在环境风险可控的前提下，鼓励工业企业对产生的危险废物回收再利用处置，开展危险废物“点对点”定向利用的危险废物经营许可豁免管理试点。</w:t>
            </w:r>
          </w:p>
        </w:tc>
        <w:tc>
          <w:tcPr>
            <w:tcW w:w="3284" w:type="dxa"/>
            <w:noWrap w:val="0"/>
            <w:vAlign w:val="center"/>
          </w:tcPr>
          <w:p w14:paraId="4B2D76FB">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本项目危险废物</w:t>
            </w:r>
            <w:r>
              <w:rPr>
                <w:rFonts w:hint="default" w:ascii="Times New Roman" w:hAnsi="Times New Roman" w:eastAsia="宋体" w:cs="Times New Roman"/>
                <w:color w:val="auto"/>
                <w:sz w:val="21"/>
                <w:szCs w:val="21"/>
                <w:highlight w:val="none"/>
                <w:lang w:eastAsia="zh-CN"/>
              </w:rPr>
              <w:t>暂存于危废间，定期交有资质单位处理。</w:t>
            </w:r>
          </w:p>
        </w:tc>
        <w:tc>
          <w:tcPr>
            <w:tcW w:w="709" w:type="dxa"/>
            <w:noWrap w:val="0"/>
            <w:vAlign w:val="center"/>
          </w:tcPr>
          <w:p w14:paraId="150F8284">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符合</w:t>
            </w:r>
          </w:p>
        </w:tc>
      </w:tr>
    </w:tbl>
    <w:p w14:paraId="05CB37DD">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z w:val="24"/>
          <w:szCs w:val="24"/>
          <w:highlight w:val="yellow"/>
          <w:lang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14:textFill>
            <w14:solidFill>
              <w14:schemeClr w14:val="tx1"/>
            </w14:solidFill>
          </w14:textFill>
        </w:rPr>
        <w:t>根</w:t>
      </w:r>
      <w:r>
        <w:rPr>
          <w:rFonts w:hint="default" w:ascii="Times New Roman" w:hAnsi="Times New Roman" w:eastAsia="宋体" w:cs="Times New Roman"/>
          <w:color w:val="000000" w:themeColor="text1"/>
          <w:spacing w:val="6"/>
          <w:sz w:val="24"/>
          <w:szCs w:val="24"/>
          <w:highlight w:val="none"/>
          <w14:textFill>
            <w14:solidFill>
              <w14:schemeClr w14:val="tx1"/>
            </w14:solidFill>
          </w14:textFill>
        </w:rPr>
        <w:t>据上表分析可知，本项目符合国家生态环境保护规划相关原则性要求，同时符合</w:t>
      </w:r>
      <w:r>
        <w:rPr>
          <w:rFonts w:hint="default" w:ascii="Times New Roman" w:hAnsi="Times New Roman" w:eastAsia="宋体" w:cs="Times New Roman"/>
          <w:color w:val="000000" w:themeColor="text1"/>
          <w:spacing w:val="-4"/>
          <w:sz w:val="24"/>
          <w:szCs w:val="24"/>
          <w:highlight w:val="none"/>
          <w14:textFill>
            <w14:solidFill>
              <w14:schemeClr w14:val="tx1"/>
            </w14:solidFill>
          </w14:textFill>
        </w:rPr>
        <w:t>地方生态</w:t>
      </w:r>
      <w:r>
        <w:rPr>
          <w:rFonts w:hint="default" w:ascii="Times New Roman" w:hAnsi="Times New Roman" w:eastAsia="宋体" w:cs="Times New Roman"/>
          <w:color w:val="000000" w:themeColor="text1"/>
          <w:spacing w:val="-2"/>
          <w:sz w:val="24"/>
          <w:szCs w:val="24"/>
          <w:highlight w:val="none"/>
          <w14:textFill>
            <w14:solidFill>
              <w14:schemeClr w14:val="tx1"/>
            </w14:solidFill>
          </w14:textFill>
        </w:rPr>
        <w:t>环境保护规划中的具体要求。</w:t>
      </w:r>
    </w:p>
    <w:p w14:paraId="5F02D905">
      <w:pPr>
        <w:pStyle w:val="6"/>
        <w:pageBreakBefore w:val="0"/>
        <w:widowControl w:val="0"/>
        <w:kinsoku/>
        <w:wordWrap/>
        <w:overflowPunct/>
        <w:topLinePunct w:val="0"/>
        <w:autoSpaceDE/>
        <w:autoSpaceDN/>
        <w:bidi w:val="0"/>
        <w:adjustRightInd/>
        <w:snapToGrid/>
        <w:spacing w:before="0" w:beforeLines="0" w:after="0" w:afterLines="0" w:line="480" w:lineRule="exact"/>
        <w:textAlignment w:val="auto"/>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2.</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7.2与“三线一单”的符合性分析</w:t>
      </w:r>
    </w:p>
    <w:p w14:paraId="5E82A0B7">
      <w:pPr>
        <w:pStyle w:val="8"/>
        <w:bidi w:val="0"/>
        <w:rPr>
          <w:rFonts w:hint="default"/>
          <w:lang w:eastAsia="zh-CN"/>
        </w:rPr>
      </w:pPr>
      <w:r>
        <w:rPr>
          <w:rFonts w:hint="default"/>
          <w:lang w:val="en-US" w:eastAsia="zh-CN"/>
        </w:rPr>
        <w:t>2.7.2.1</w:t>
      </w:r>
      <w:r>
        <w:rPr>
          <w:rFonts w:hint="default"/>
          <w:lang w:eastAsia="zh-CN"/>
        </w:rPr>
        <w:t>“</w:t>
      </w:r>
      <w:r>
        <w:rPr>
          <w:rFonts w:hint="default"/>
        </w:rPr>
        <w:t>三线一单</w:t>
      </w:r>
      <w:r>
        <w:rPr>
          <w:rFonts w:hint="default"/>
          <w:lang w:eastAsia="zh-CN"/>
        </w:rPr>
        <w:t>”</w:t>
      </w:r>
      <w:r>
        <w:rPr>
          <w:rFonts w:hint="default"/>
        </w:rPr>
        <w:t>相符性</w:t>
      </w:r>
      <w:r>
        <w:rPr>
          <w:rFonts w:hint="default"/>
          <w:lang w:eastAsia="zh-CN"/>
        </w:rPr>
        <w:t>分析</w:t>
      </w:r>
    </w:p>
    <w:p w14:paraId="20478608">
      <w:pPr>
        <w:bidi w:val="0"/>
        <w:rPr>
          <w:rFonts w:hint="default"/>
          <w:lang w:eastAsia="zh-CN"/>
        </w:rPr>
      </w:pPr>
      <w:r>
        <w:rPr>
          <w:rFonts w:hint="default"/>
          <w:lang w:eastAsia="zh-CN"/>
        </w:rPr>
        <w:t>根据《关于以改善环境质量为核心加强环境影响评价管理的通知》（环环评【</w:t>
      </w:r>
      <w:r>
        <w:rPr>
          <w:rFonts w:hint="default"/>
          <w:lang w:val="en-US" w:eastAsia="zh-CN"/>
        </w:rPr>
        <w:t>2016】150号）</w:t>
      </w:r>
      <w:r>
        <w:rPr>
          <w:rFonts w:hint="default"/>
          <w:lang w:eastAsia="zh-CN"/>
        </w:rPr>
        <w:t>，</w:t>
      </w:r>
      <w:r>
        <w:rPr>
          <w:rFonts w:hint="default"/>
        </w:rPr>
        <w:t>要求以生态保护红线、环境质量底线、资源利用上线和环境准入负面清单（以下简称“三线一单”）为手段，强化空间、总量和准入环境管理。</w:t>
      </w:r>
    </w:p>
    <w:p w14:paraId="7452D654">
      <w:pPr>
        <w:bidi w:val="0"/>
        <w:rPr>
          <w:rFonts w:hint="default"/>
          <w:lang w:val="en-US" w:eastAsia="zh-CN"/>
        </w:rPr>
      </w:pPr>
      <w:r>
        <w:rPr>
          <w:rFonts w:hint="default"/>
          <w:lang w:eastAsia="zh-CN"/>
        </w:rPr>
        <w:t>为适应以改善环境质量为核心的环境管理要求，切实加强环境影响评价（以下简称环评）管理，落实“生态保护红线、环境质量底线、资源利用上线和环境准入负面清单”（以下简称“三线一单”）约束，建立项目环评审批与规划环评、现有项目环境管理、区域环境质量联动机制（以下简称“三挂钩”机制），更好地发挥环评制度从源头防范环境污染和生态破坏的作用，加快推进改善环境质量，现就有关事项通知如下：</w:t>
      </w:r>
    </w:p>
    <w:p w14:paraId="5BA28525">
      <w:pPr>
        <w:bidi w:val="0"/>
        <w:rPr>
          <w:rFonts w:hint="default"/>
          <w:b/>
          <w:bCs/>
          <w:lang w:eastAsia="zh-CN"/>
        </w:rPr>
      </w:pPr>
      <w:r>
        <w:rPr>
          <w:rFonts w:hint="default"/>
          <w:b/>
          <w:bCs/>
          <w:lang w:eastAsia="zh-CN"/>
        </w:rPr>
        <w:t>（</w:t>
      </w:r>
      <w:r>
        <w:rPr>
          <w:rFonts w:hint="default"/>
          <w:b/>
          <w:bCs/>
          <w:lang w:val="en-US" w:eastAsia="zh-CN"/>
        </w:rPr>
        <w:t>1</w:t>
      </w:r>
      <w:r>
        <w:rPr>
          <w:rFonts w:hint="default"/>
          <w:b/>
          <w:bCs/>
          <w:lang w:eastAsia="zh-CN"/>
        </w:rPr>
        <w:t>）生态保护红线是生态空间范围内具有特殊重点生态功能必须实行强制性严格保护的区域。相关规划环评应将生态空间管控作为重点内容，规划区域涉及生态保护红线的，在规划环评结论和审查意见中应落实生态保护红线的管理要求，提出相对应对策措施。除受自然条件限制、确实无法避让的铁路、公路、航道、防洪、管道、干渠、通讯、输变电等重要基础设施项目外，在生态保护红线范围内，严控各类开发建设活动，依法不予审批新建工业项目和矿产开发项目的环评文件。</w:t>
      </w:r>
    </w:p>
    <w:p w14:paraId="384B7D56">
      <w:pPr>
        <w:rPr>
          <w:rFonts w:hint="default"/>
          <w:lang w:val="en-US" w:eastAsia="zh-CN"/>
        </w:rPr>
      </w:pPr>
      <w:r>
        <w:rPr>
          <w:rFonts w:hint="default"/>
          <w:lang w:eastAsia="zh-CN"/>
        </w:rPr>
        <w:t>生态保护红线包括禁止开发区生态红线、重要生态功能区生态红线和生态环境敏感区、脆弱区生态红线。纳入的区域，禁止进行工业化和城镇化开发，从而有效保护我国珍稀、濒危并具代表性的动植物物种及生态系统，维护我国重要生态系统的主导功能。禁止开发区红线范围可包括自然保护区、森林公园、风景名胜区、世界文化自然遗产、地质公园等。</w:t>
      </w:r>
    </w:p>
    <w:p w14:paraId="7F411C95">
      <w:pPr>
        <w:rPr>
          <w:rFonts w:hint="default"/>
        </w:rPr>
      </w:pPr>
      <w:r>
        <w:rPr>
          <w:rFonts w:hint="default"/>
        </w:rPr>
        <w:t>根据《河北省生态保护红线》，河北省生态保护红线体系共包括陆域生态功能极重要区、极敏感脆弱区、各类保护地和海洋生态功能区、海洋敏感脆弱区等。</w:t>
      </w:r>
    </w:p>
    <w:p w14:paraId="6FBBBE44">
      <w:pPr>
        <w:rPr>
          <w:rFonts w:hint="default"/>
        </w:rPr>
      </w:pPr>
      <w:r>
        <w:rPr>
          <w:rFonts w:hint="default"/>
        </w:rPr>
        <w:t>全省生态保护红线总面积4.05万平方公里，占全省国土面积的20.70%。其中，陆域生态保护红线面积3.86万平方公里，占全省陆域国土面积的20.49%，海洋生态保护红线面积1880平方公里，占全省管辖海域面积的26.02%。</w:t>
      </w:r>
    </w:p>
    <w:p w14:paraId="7F063D22">
      <w:pPr>
        <w:rPr>
          <w:rFonts w:hint="default"/>
        </w:rPr>
      </w:pPr>
      <w:r>
        <w:rPr>
          <w:rFonts w:hint="default"/>
          <w:lang w:val="en-US" w:eastAsia="zh-CN"/>
        </w:rPr>
        <w:t>唐山市生态保护红线主要生态服务功能包括水源涵养、生物多样性保护、河滨岸带；涉及燕山水源涵养、生物多样性维护生态保护红线，河北平原河滨岸带敏感生态保护红线。</w:t>
      </w:r>
      <w:r>
        <w:rPr>
          <w:rFonts w:hint="default"/>
        </w:rPr>
        <w:t>唐山市生态保护红线总面积1085.47</w:t>
      </w:r>
      <w:r>
        <w:rPr>
          <w:rFonts w:hint="default" w:ascii="Times New Roman" w:hAnsi="Times New Roman" w:cs="Times New Roman"/>
        </w:rPr>
        <w:t>k</w:t>
      </w:r>
      <w:r>
        <w:rPr>
          <w:rFonts w:hint="eastAsia" w:cs="Times New Roman"/>
          <w:lang w:eastAsia="zh-CN"/>
        </w:rPr>
        <w:t>m</w:t>
      </w:r>
      <w:r>
        <w:rPr>
          <w:rFonts w:hint="default" w:ascii="Times New Roman" w:hAnsi="Times New Roman" w:cs="Times New Roman"/>
          <w:vertAlign w:val="superscript"/>
          <w:lang w:eastAsia="zh-CN"/>
        </w:rPr>
        <w:t>2</w:t>
      </w:r>
      <w:r>
        <w:rPr>
          <w:rFonts w:hint="default"/>
        </w:rPr>
        <w:t>，占唐山市土地面积比例为7.65%，主要分布在迁西县、迁安市、遵化市、曹妃甸区、滦州市等。</w:t>
      </w:r>
    </w:p>
    <w:p w14:paraId="2283B77E">
      <w:pPr>
        <w:rPr>
          <w:rFonts w:hint="default"/>
          <w:lang w:val="en-US" w:eastAsia="zh-CN"/>
        </w:rPr>
      </w:pPr>
      <w:r>
        <w:rPr>
          <w:rFonts w:hint="default"/>
          <w:lang w:val="en-US" w:eastAsia="zh-CN"/>
        </w:rPr>
        <w:t>根据《河北省人民政府关于加快实施“三线一单”生态环境分区管控的意见》（冀政字〔2020〕71号），加快实施“生态保护红线、环境质量底线、资源利用上线和生态环境准入清单”（以下简称“三线一单”），构建生态环境分区管控体系，扎实推进全省生态环境治理体系和治理能力现代化。</w:t>
      </w:r>
    </w:p>
    <w:p w14:paraId="7FC52B5B">
      <w:pPr>
        <w:bidi w:val="0"/>
        <w:rPr>
          <w:rFonts w:hint="default" w:ascii="Times New Roman" w:hAnsi="Times New Roman" w:eastAsia="宋体" w:cs="Times New Roman"/>
          <w:color w:val="000000" w:themeColor="text1"/>
          <w:spacing w:val="11"/>
          <w:szCs w:val="24"/>
          <w:highlight w:val="none"/>
          <w:lang w:val="en-US" w:eastAsia="zh-CN"/>
          <w14:textFill>
            <w14:solidFill>
              <w14:schemeClr w14:val="tx1"/>
            </w14:solidFill>
          </w14:textFill>
        </w:rPr>
      </w:pPr>
      <w:r>
        <w:rPr>
          <w:rFonts w:hint="default"/>
          <w:lang w:val="en-US" w:eastAsia="zh-CN"/>
        </w:rPr>
        <w:t>根据《河北省生态保护红线》，项目不在生态保护红线范围内。项目与生态红线相对位置见图2.7-1。</w:t>
      </w:r>
    </w:p>
    <w:p w14:paraId="743DF08D">
      <w:pPr>
        <w:pStyle w:val="16"/>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object>
          <v:shape id="_x0000_i1025" o:spt="75" type="#_x0000_t75" style="height:579.25pt;width:443.85pt;" o:ole="t" filled="f" o:preferrelative="t" stroked="f" coordsize="21600,21600">
            <v:path/>
            <v:fill on="f" focussize="0,0"/>
            <v:stroke on="f"/>
            <v:imagedata r:id="rId36" o:title=""/>
            <o:lock v:ext="edit" aspectratio="t"/>
            <w10:wrap type="none"/>
            <w10:anchorlock/>
          </v:shape>
          <o:OLEObject Type="Embed" ProgID="Visio.Drawing.11" ShapeID="_x0000_i1025" DrawAspect="Content" ObjectID="_1468075727" r:id="rId35">
            <o:LockedField>false</o:LockedField>
          </o:OLEObject>
        </w:object>
      </w:r>
    </w:p>
    <w:p w14:paraId="378E556E">
      <w:pPr>
        <w:pStyle w:val="16"/>
        <w:jc w:val="center"/>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图2.7-1项目与</w:t>
      </w:r>
      <w:r>
        <w:rPr>
          <w:rFonts w:hint="default" w:ascii="Times New Roman" w:hAnsi="Times New Roman" w:eastAsia="宋体" w:cs="Times New Roman"/>
          <w:b/>
          <w:bCs/>
          <w:highlight w:val="none"/>
          <w:lang w:val="en-US" w:eastAsia="zh-CN"/>
        </w:rPr>
        <w:t>生态保护红线相对位置图</w:t>
      </w:r>
    </w:p>
    <w:p w14:paraId="2D87CF60">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sectPr>
          <w:footerReference r:id="rId15" w:type="default"/>
          <w:pgSz w:w="11906" w:h="16838"/>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本项目选址位于唐山市曹妃甸区垦丰家居产业园区，距离曹妃甸湿地和鸟类省级自然保护区实验区1276m，不在生态保护红线范围内，满足生态红线保护要求。项目与河北省“三线一单”分类管控要求符合性分析见下表。</w:t>
      </w:r>
    </w:p>
    <w:p w14:paraId="773EDEC5">
      <w:pPr>
        <w:pageBreakBefore w:val="0"/>
        <w:widowControl w:val="0"/>
        <w:numPr>
          <w:ilvl w:val="0"/>
          <w:numId w:val="16"/>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bCs/>
          <w:color w:val="000000" w:themeColor="text1"/>
          <w:spacing w:val="0"/>
          <w:sz w:val="24"/>
          <w:szCs w:val="24"/>
          <w:highlight w:val="none"/>
          <w:lang w:val="zh-CN" w:eastAsia="zh-CN"/>
          <w14:textFill>
            <w14:solidFill>
              <w14:schemeClr w14:val="tx1"/>
            </w14:solidFill>
          </w14:textFill>
        </w:rPr>
      </w:pPr>
      <w:r>
        <w:rPr>
          <w:rFonts w:hint="default" w:ascii="Times New Roman" w:hAnsi="Times New Roman" w:eastAsia="宋体" w:cs="Times New Roman"/>
          <w:b/>
          <w:bCs/>
          <w:color w:val="000000" w:themeColor="text1"/>
          <w:spacing w:val="0"/>
          <w:sz w:val="24"/>
          <w:szCs w:val="24"/>
          <w:highlight w:val="none"/>
          <w:lang w:val="zh-CN" w:eastAsia="zh-CN"/>
          <w14:textFill>
            <w14:solidFill>
              <w14:schemeClr w14:val="tx1"/>
            </w14:solidFill>
          </w14:textFill>
        </w:rPr>
        <w:t>河北省“三线一单”分类管控要求符合性</w:t>
      </w:r>
    </w:p>
    <w:tbl>
      <w:tblPr>
        <w:tblStyle w:val="47"/>
        <w:tblW w:w="4998"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732"/>
        <w:gridCol w:w="1183"/>
        <w:gridCol w:w="5526"/>
        <w:gridCol w:w="967"/>
        <w:gridCol w:w="876"/>
      </w:tblGrid>
      <w:tr w14:paraId="7837971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94" w:hRule="atLeast"/>
        </w:trPr>
        <w:tc>
          <w:tcPr>
            <w:tcW w:w="394" w:type="pct"/>
            <w:noWrap w:val="0"/>
            <w:vAlign w:val="center"/>
          </w:tcPr>
          <w:p w14:paraId="62110C7D">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序号</w:t>
            </w:r>
          </w:p>
        </w:tc>
        <w:tc>
          <w:tcPr>
            <w:tcW w:w="636" w:type="pct"/>
            <w:noWrap w:val="0"/>
            <w:vAlign w:val="center"/>
          </w:tcPr>
          <w:p w14:paraId="215A2C55">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分类管控要求</w:t>
            </w:r>
          </w:p>
        </w:tc>
        <w:tc>
          <w:tcPr>
            <w:tcW w:w="2975" w:type="pct"/>
            <w:noWrap w:val="0"/>
            <w:vAlign w:val="center"/>
          </w:tcPr>
          <w:p w14:paraId="3B18A102">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政策要求</w:t>
            </w:r>
          </w:p>
        </w:tc>
        <w:tc>
          <w:tcPr>
            <w:tcW w:w="521" w:type="pct"/>
            <w:noWrap w:val="0"/>
            <w:vAlign w:val="center"/>
          </w:tcPr>
          <w:p w14:paraId="784161A8">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本项目实际</w:t>
            </w:r>
          </w:p>
        </w:tc>
        <w:tc>
          <w:tcPr>
            <w:tcW w:w="471" w:type="pct"/>
            <w:noWrap w:val="0"/>
            <w:vAlign w:val="center"/>
          </w:tcPr>
          <w:p w14:paraId="0260F07A">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符合性</w:t>
            </w:r>
          </w:p>
        </w:tc>
      </w:tr>
      <w:tr w14:paraId="349591F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4" w:hRule="atLeast"/>
        </w:trPr>
        <w:tc>
          <w:tcPr>
            <w:tcW w:w="394" w:type="pct"/>
            <w:noWrap w:val="0"/>
            <w:vAlign w:val="center"/>
          </w:tcPr>
          <w:p w14:paraId="4691CD03">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w:t>
            </w:r>
          </w:p>
        </w:tc>
        <w:tc>
          <w:tcPr>
            <w:tcW w:w="636" w:type="pct"/>
            <w:noWrap w:val="0"/>
            <w:vAlign w:val="center"/>
          </w:tcPr>
          <w:p w14:paraId="60576F19">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优先保护单元</w:t>
            </w:r>
          </w:p>
        </w:tc>
        <w:tc>
          <w:tcPr>
            <w:tcW w:w="2975" w:type="pct"/>
            <w:noWrap w:val="0"/>
            <w:vAlign w:val="center"/>
          </w:tcPr>
          <w:p w14:paraId="49036818">
            <w:pPr>
              <w:spacing w:line="340" w:lineRule="exact"/>
              <w:ind w:firstLine="0" w:firstLineChars="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严格落实生态保护红线管理要求，除有限人为活动外，依法依规禁止其他城镇和建设活动。一般生态空间突出生态保护，严禁不符合主体功能定位的各类开发活动，严禁任意改变用途。</w:t>
            </w:r>
          </w:p>
        </w:tc>
        <w:tc>
          <w:tcPr>
            <w:tcW w:w="521" w:type="pct"/>
            <w:vMerge w:val="restart"/>
            <w:noWrap w:val="0"/>
            <w:vAlign w:val="center"/>
          </w:tcPr>
          <w:p w14:paraId="57D9C70B">
            <w:pPr>
              <w:spacing w:line="340" w:lineRule="exact"/>
              <w:ind w:firstLine="0" w:firstLineChars="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本项目属于</w:t>
            </w:r>
            <w:r>
              <w:rPr>
                <w:rFonts w:hint="default" w:ascii="Times New Roman" w:hAnsi="Times New Roman" w:eastAsia="宋体" w:cs="Times New Roman"/>
                <w:color w:val="auto"/>
                <w:sz w:val="21"/>
                <w:szCs w:val="21"/>
                <w:highlight w:val="none"/>
                <w:lang w:val="en-US" w:eastAsia="zh-CN"/>
              </w:rPr>
              <w:t>重点</w:t>
            </w:r>
            <w:r>
              <w:rPr>
                <w:rFonts w:hint="default" w:ascii="Times New Roman" w:hAnsi="Times New Roman" w:eastAsia="宋体" w:cs="Times New Roman"/>
                <w:color w:val="auto"/>
                <w:sz w:val="21"/>
                <w:szCs w:val="21"/>
                <w:highlight w:val="none"/>
                <w:lang w:eastAsia="zh-CN"/>
              </w:rPr>
              <w:t>管控单元，严格执行国家和省关于产业准入、总量控制和污染物排放标准等管控要求</w:t>
            </w:r>
          </w:p>
        </w:tc>
        <w:tc>
          <w:tcPr>
            <w:tcW w:w="471" w:type="pct"/>
            <w:vMerge w:val="restart"/>
            <w:noWrap w:val="0"/>
            <w:vAlign w:val="center"/>
          </w:tcPr>
          <w:p w14:paraId="4629A965">
            <w:pPr>
              <w:spacing w:line="340" w:lineRule="exact"/>
              <w:ind w:firstLine="0" w:firstLineChars="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符合</w:t>
            </w:r>
          </w:p>
        </w:tc>
      </w:tr>
      <w:tr w14:paraId="4592EBE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4" w:hRule="atLeast"/>
        </w:trPr>
        <w:tc>
          <w:tcPr>
            <w:tcW w:w="394" w:type="pct"/>
            <w:noWrap w:val="0"/>
            <w:vAlign w:val="center"/>
          </w:tcPr>
          <w:p w14:paraId="745F3BD4">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w:t>
            </w:r>
          </w:p>
        </w:tc>
        <w:tc>
          <w:tcPr>
            <w:tcW w:w="636" w:type="pct"/>
            <w:noWrap w:val="0"/>
            <w:vAlign w:val="center"/>
          </w:tcPr>
          <w:p w14:paraId="606FA27A">
            <w:pPr>
              <w:spacing w:line="340" w:lineRule="exact"/>
              <w:ind w:firstLine="0" w:firstLineChars="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重点管控单元</w:t>
            </w:r>
          </w:p>
        </w:tc>
        <w:tc>
          <w:tcPr>
            <w:tcW w:w="2975" w:type="pct"/>
            <w:noWrap w:val="0"/>
            <w:vAlign w:val="center"/>
          </w:tcPr>
          <w:p w14:paraId="2BAC7E17">
            <w:pPr>
              <w:spacing w:line="340" w:lineRule="exact"/>
              <w:ind w:firstLine="0" w:firstLineChars="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城镇重点管控单元。优化工业布局，有序实施高污染、高排放工业企业整改或搬迁退出；强化交通污染源管控；完善污水治理设施；加快城镇河流水系环境整治；加强工业污染场地环境风险防控和开发再利用监管。工业园区（工业集聚区）重点管控单元。严格项目准入，优化产业布局；完善园区设施建设，推动设施提标改造；实施污染物总量控制，落实排污许可证制度；强化资源利用效率和地下水开采管控。农业农村重点管控单元。优化规模化畜禽养殖布局，加快农村生态环境综合整治，逐步推进农村污水和生活垃圾治理；减少化肥农药施用量，优化农业种植结构，推动秸秆综合利用；控制地下水超采区农业地下水开采。近岸海域重点管控单元。严格海洋岸线开发；强化船舶、港区污染物控制；加强近岸海域及港口码头环境污染风险防控。</w:t>
            </w:r>
          </w:p>
        </w:tc>
        <w:tc>
          <w:tcPr>
            <w:tcW w:w="521" w:type="pct"/>
            <w:vMerge w:val="continue"/>
            <w:noWrap w:val="0"/>
            <w:vAlign w:val="center"/>
          </w:tcPr>
          <w:p w14:paraId="3D7C3B6A">
            <w:pPr>
              <w:spacing w:line="340" w:lineRule="exact"/>
              <w:ind w:firstLine="0" w:firstLineChars="0"/>
              <w:jc w:val="center"/>
              <w:rPr>
                <w:rFonts w:hint="default" w:ascii="Times New Roman" w:hAnsi="Times New Roman" w:eastAsia="宋体" w:cs="Times New Roman"/>
                <w:color w:val="auto"/>
                <w:sz w:val="21"/>
                <w:szCs w:val="21"/>
                <w:highlight w:val="none"/>
                <w:lang w:eastAsia="zh-CN"/>
              </w:rPr>
            </w:pPr>
          </w:p>
        </w:tc>
        <w:tc>
          <w:tcPr>
            <w:tcW w:w="471" w:type="pct"/>
            <w:vMerge w:val="continue"/>
            <w:noWrap w:val="0"/>
            <w:vAlign w:val="center"/>
          </w:tcPr>
          <w:p w14:paraId="4EF27EC7">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p>
        </w:tc>
      </w:tr>
      <w:tr w14:paraId="44E57A3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4" w:hRule="atLeast"/>
        </w:trPr>
        <w:tc>
          <w:tcPr>
            <w:tcW w:w="394" w:type="pct"/>
            <w:noWrap w:val="0"/>
            <w:vAlign w:val="center"/>
          </w:tcPr>
          <w:p w14:paraId="0582360E">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w:t>
            </w:r>
          </w:p>
        </w:tc>
        <w:tc>
          <w:tcPr>
            <w:tcW w:w="636" w:type="pct"/>
            <w:noWrap w:val="0"/>
            <w:vAlign w:val="center"/>
          </w:tcPr>
          <w:p w14:paraId="5E51317D">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eastAsia="zh-CN"/>
              </w:rPr>
              <w:t>一般</w:t>
            </w:r>
            <w:r>
              <w:rPr>
                <w:rFonts w:hint="default" w:ascii="Times New Roman" w:hAnsi="Times New Roman" w:eastAsia="宋体" w:cs="Times New Roman"/>
                <w:color w:val="auto"/>
                <w:sz w:val="21"/>
                <w:szCs w:val="21"/>
                <w:highlight w:val="none"/>
              </w:rPr>
              <w:t>管控单元</w:t>
            </w:r>
          </w:p>
        </w:tc>
        <w:tc>
          <w:tcPr>
            <w:tcW w:w="2975" w:type="pct"/>
            <w:noWrap w:val="0"/>
            <w:vAlign w:val="center"/>
          </w:tcPr>
          <w:p w14:paraId="755D6996">
            <w:pPr>
              <w:spacing w:line="34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eastAsia="zh-CN"/>
              </w:rPr>
              <w:t>严格执行国家和省关于产业准入、总量控制和污染物排放标准等管控要求</w:t>
            </w:r>
          </w:p>
        </w:tc>
        <w:tc>
          <w:tcPr>
            <w:tcW w:w="521" w:type="pct"/>
            <w:vMerge w:val="continue"/>
            <w:noWrap w:val="0"/>
            <w:vAlign w:val="center"/>
          </w:tcPr>
          <w:p w14:paraId="0672E6DC">
            <w:pPr>
              <w:spacing w:line="340" w:lineRule="exact"/>
              <w:ind w:firstLine="0" w:firstLineChars="0"/>
              <w:jc w:val="center"/>
              <w:rPr>
                <w:rFonts w:hint="default" w:ascii="Times New Roman" w:hAnsi="Times New Roman" w:eastAsia="宋体" w:cs="Times New Roman"/>
                <w:color w:val="auto"/>
                <w:sz w:val="21"/>
                <w:szCs w:val="21"/>
                <w:highlight w:val="none"/>
                <w:lang w:eastAsia="zh-CN"/>
              </w:rPr>
            </w:pPr>
          </w:p>
        </w:tc>
        <w:tc>
          <w:tcPr>
            <w:tcW w:w="471" w:type="pct"/>
            <w:vMerge w:val="continue"/>
            <w:noWrap w:val="0"/>
            <w:vAlign w:val="center"/>
          </w:tcPr>
          <w:p w14:paraId="289655F7">
            <w:pPr>
              <w:spacing w:line="340" w:lineRule="exact"/>
              <w:ind w:firstLine="0" w:firstLineChars="0"/>
              <w:jc w:val="center"/>
              <w:rPr>
                <w:rFonts w:hint="default" w:ascii="Times New Roman" w:hAnsi="Times New Roman" w:eastAsia="宋体" w:cs="Times New Roman"/>
                <w:color w:val="auto"/>
                <w:sz w:val="21"/>
                <w:szCs w:val="21"/>
                <w:highlight w:val="none"/>
                <w:lang w:eastAsia="zh-CN"/>
              </w:rPr>
            </w:pPr>
          </w:p>
        </w:tc>
      </w:tr>
    </w:tbl>
    <w:p w14:paraId="7E31116B">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本项目位于唐山市曹妃甸区垦丰家居产业园区综合产业园区内，属于曹妃甸区重点管控单元，严格执行国家和省</w:t>
      </w:r>
      <w:r>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t>关于产业准入、总量控制和污染物排放标准等管控要求，不在生态保护红线范围内。</w:t>
      </w:r>
    </w:p>
    <w:p w14:paraId="0AEB6AD4">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82" w:firstLineChars="200"/>
        <w:textAlignment w:val="auto"/>
        <w:outlineLvl w:val="9"/>
        <w:rPr>
          <w:rFonts w:hint="default" w:ascii="Times New Roman" w:hAnsi="Times New Roman" w:eastAsia="宋体" w:cs="Times New Roman"/>
          <w:b/>
          <w:bCs/>
          <w:i w:val="0"/>
          <w:iCs w:val="0"/>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b/>
          <w:bCs/>
          <w:i w:val="0"/>
          <w:iCs w:val="0"/>
          <w:color w:val="000000" w:themeColor="text1"/>
          <w:kern w:val="2"/>
          <w:sz w:val="24"/>
          <w:szCs w:val="24"/>
          <w:lang w:val="en-US" w:eastAsia="zh-CN" w:bidi="ar-SA"/>
          <w14:textFill>
            <w14:solidFill>
              <w14:schemeClr w14:val="tx1"/>
            </w14:solidFill>
          </w14:textFill>
        </w:rPr>
        <w:t>（2）</w:t>
      </w:r>
      <w:r>
        <w:rPr>
          <w:rFonts w:hint="default" w:ascii="Times New Roman" w:hAnsi="Times New Roman" w:eastAsia="宋体" w:cs="Times New Roman"/>
          <w:b/>
          <w:bCs/>
          <w:i w:val="0"/>
          <w:iCs w:val="0"/>
          <w:color w:val="000000" w:themeColor="text1"/>
          <w:sz w:val="24"/>
          <w:szCs w:val="24"/>
          <w:highlight w:val="none"/>
          <w:lang w:eastAsia="zh-CN"/>
          <w14:textFill>
            <w14:solidFill>
              <w14:schemeClr w14:val="tx1"/>
            </w14:solidFill>
          </w14:textFill>
        </w:rPr>
        <w:t>环境质量底线是国家和地方设置的大气、水和土壤环境质量目标，也是改善环境质量的基准线。项目环评应对照区域环境质量目标，深入分析预测项目建设对环境质量的影响，强化污染防治措施和污染物排放控制要求。</w:t>
      </w:r>
    </w:p>
    <w:p w14:paraId="3D97AD46">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区域地下水执行《地下水质量标准》(GB/T14848-2017)Ⅲ类标准</w:t>
      </w:r>
      <w:r>
        <w:rPr>
          <w:rFonts w:hint="default" w:ascii="Times New Roman" w:hAnsi="Times New Roman" w:eastAsia="宋体" w:cs="Times New Roman"/>
          <w:color w:val="000000" w:themeColor="text1"/>
          <w:spacing w:val="11"/>
          <w:sz w:val="24"/>
          <w:szCs w:val="24"/>
          <w:highlight w:val="none"/>
          <w14:textFill>
            <w14:solidFill>
              <w14:schemeClr w14:val="tx1"/>
            </w14:solidFill>
          </w14:textFill>
        </w:rPr>
        <w:t>；</w:t>
      </w: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区域大气环境为二类区，</w:t>
      </w:r>
      <w:r>
        <w:rPr>
          <w:rFonts w:hint="default" w:ascii="Times New Roman" w:hAnsi="Times New Roman" w:eastAsia="宋体" w:cs="Times New Roman"/>
          <w:color w:val="000000" w:themeColor="text1"/>
          <w:spacing w:val="11"/>
          <w:sz w:val="24"/>
          <w:szCs w:val="24"/>
          <w:highlight w:val="none"/>
          <w14:textFill>
            <w14:solidFill>
              <w14:schemeClr w14:val="tx1"/>
            </w14:solidFill>
          </w14:textFill>
        </w:rPr>
        <w:t>大气环境质量目标</w:t>
      </w:r>
      <w:r>
        <w:rPr>
          <w:rFonts w:hint="eastAsia" w:cs="Times New Roman"/>
          <w:color w:val="000000" w:themeColor="text1"/>
          <w:spacing w:val="11"/>
          <w:sz w:val="24"/>
          <w:szCs w:val="24"/>
          <w:highlight w:val="none"/>
          <w:lang w:val="en-US" w:eastAsia="zh-CN"/>
          <w14:textFill>
            <w14:solidFill>
              <w14:schemeClr w14:val="tx1"/>
            </w14:solidFill>
          </w14:textFill>
        </w:rPr>
        <w:t>为</w:t>
      </w:r>
      <w:r>
        <w:rPr>
          <w:rFonts w:hint="default" w:ascii="Times New Roman" w:hAnsi="Times New Roman" w:eastAsia="宋体" w:cs="Times New Roman"/>
          <w:color w:val="000000" w:themeColor="text1"/>
          <w:spacing w:val="11"/>
          <w:sz w:val="24"/>
          <w:szCs w:val="24"/>
          <w:highlight w:val="none"/>
          <w14:textFill>
            <w14:solidFill>
              <w14:schemeClr w14:val="tx1"/>
            </w14:solidFill>
          </w14:textFill>
        </w:rPr>
        <w:t>《环境空气质量标准》（GB3095-2012）中二级标准</w:t>
      </w:r>
      <w:r>
        <w:rPr>
          <w:rFonts w:hint="eastAsia"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及其修改单</w:t>
      </w:r>
      <w:r>
        <w:rPr>
          <w:rFonts w:hint="default" w:ascii="Times New Roman" w:hAnsi="Times New Roman" w:eastAsia="宋体" w:cs="Times New Roman"/>
          <w:color w:val="000000" w:themeColor="text1"/>
          <w:spacing w:val="11"/>
          <w:sz w:val="24"/>
          <w:szCs w:val="24"/>
          <w:highlight w:val="none"/>
          <w14:textFill>
            <w14:solidFill>
              <w14:schemeClr w14:val="tx1"/>
            </w14:solidFill>
          </w14:textFill>
        </w:rPr>
        <w:t>；区域声环境质量目标为《声环境质量标准》（GB3096-2008）</w:t>
      </w: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pacing w:val="11"/>
          <w:sz w:val="24"/>
          <w:szCs w:val="24"/>
          <w:highlight w:val="none"/>
          <w14:textFill>
            <w14:solidFill>
              <w14:schemeClr w14:val="tx1"/>
            </w14:solidFill>
          </w14:textFill>
        </w:rPr>
        <w:t>类区标准</w:t>
      </w:r>
      <w:r>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t>；</w:t>
      </w:r>
      <w:r>
        <w:rPr>
          <w:rFonts w:hint="eastAsia" w:cs="Times New Roman"/>
          <w:color w:val="000000" w:themeColor="text1"/>
          <w:spacing w:val="11"/>
          <w:sz w:val="24"/>
          <w:szCs w:val="24"/>
          <w:highlight w:val="none"/>
          <w:lang w:val="en-US" w:eastAsia="zh-CN"/>
          <w14:textFill>
            <w14:solidFill>
              <w14:schemeClr w14:val="tx1"/>
            </w14:solidFill>
          </w14:textFill>
        </w:rPr>
        <w:t>园区</w:t>
      </w: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土壤环境执行《土壤环境质量</w:t>
      </w:r>
      <w:r>
        <w:rPr>
          <w:rFonts w:hint="eastAsia" w:cs="Times New Roman"/>
          <w:color w:val="000000" w:themeColor="text1"/>
          <w:spacing w:val="11"/>
          <w:sz w:val="24"/>
          <w:szCs w:val="24"/>
          <w:highlight w:val="none"/>
          <w:lang w:val="en-US" w:eastAsia="zh-CN"/>
          <w14:textFill>
            <w14:solidFill>
              <w14:schemeClr w14:val="tx1"/>
            </w14:solidFill>
          </w14:textFill>
        </w:rPr>
        <w:t xml:space="preserve">  </w:t>
      </w: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建设用地土壤污染风险管控标准（试行）》（GB36600-2018）中的建设用地土壤污染风险筛选值。</w:t>
      </w:r>
    </w:p>
    <w:p w14:paraId="5E8B6887">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14:textFill>
            <w14:solidFill>
              <w14:schemeClr w14:val="tx1"/>
            </w14:solidFill>
          </w14:textFill>
        </w:rPr>
        <w:t>项目对产生的主要废气、噪声、</w:t>
      </w:r>
      <w:r>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t>废水、</w:t>
      </w:r>
      <w:r>
        <w:rPr>
          <w:rFonts w:hint="default" w:ascii="Times New Roman" w:hAnsi="Times New Roman" w:eastAsia="宋体" w:cs="Times New Roman"/>
          <w:color w:val="000000" w:themeColor="text1"/>
          <w:spacing w:val="11"/>
          <w:sz w:val="24"/>
          <w:szCs w:val="24"/>
          <w:highlight w:val="none"/>
          <w14:textFill>
            <w14:solidFill>
              <w14:schemeClr w14:val="tx1"/>
            </w14:solidFill>
          </w14:textFill>
        </w:rPr>
        <w:t>固废等污染物均采取了严格的治理和处置措施，污染物均能达标排放。</w:t>
      </w:r>
    </w:p>
    <w:p w14:paraId="59761B5E">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14:textFill>
            <w14:solidFill>
              <w14:schemeClr w14:val="tx1"/>
            </w14:solidFill>
          </w14:textFill>
        </w:rPr>
        <w:t>综上所述，本项目的建设符合环境质量底线要求。</w:t>
      </w:r>
    </w:p>
    <w:p w14:paraId="4B5EE54C">
      <w:pPr>
        <w:keepNext w:val="0"/>
        <w:keepLines w:val="0"/>
        <w:pageBreakBefore w:val="0"/>
        <w:widowControl w:val="0"/>
        <w:kinsoku/>
        <w:wordWrap/>
        <w:overflowPunct/>
        <w:topLinePunct w:val="0"/>
        <w:autoSpaceDE/>
        <w:autoSpaceDN/>
        <w:bidi w:val="0"/>
        <w:adjustRightInd/>
        <w:snapToGrid/>
        <w:spacing w:line="480" w:lineRule="exact"/>
        <w:ind w:firstLine="482" w:firstLineChars="200"/>
        <w:textAlignment w:val="auto"/>
        <w:outlineLvl w:val="9"/>
        <w:rPr>
          <w:rFonts w:hint="default" w:ascii="Times New Roman" w:hAnsi="Times New Roman" w:eastAsia="宋体" w:cs="Times New Roman"/>
          <w:b/>
          <w:bCs/>
          <w:i w:val="0"/>
          <w:iCs w:val="0"/>
          <w:color w:val="000000" w:themeColor="text1"/>
          <w:sz w:val="24"/>
          <w:szCs w:val="24"/>
          <w:highlight w:val="yellow"/>
          <w:lang w:eastAsia="zh-CN"/>
          <w14:textFill>
            <w14:solidFill>
              <w14:schemeClr w14:val="tx1"/>
            </w14:solidFill>
          </w14:textFill>
        </w:rPr>
      </w:pPr>
      <w:r>
        <w:rPr>
          <w:rFonts w:hint="default" w:ascii="Times New Roman" w:hAnsi="Times New Roman" w:eastAsia="宋体" w:cs="Times New Roman"/>
          <w:b/>
          <w:bCs/>
          <w:i w:val="0"/>
          <w:iCs w:val="0"/>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b/>
          <w:bCs/>
          <w:i w:val="0"/>
          <w:iCs w:val="0"/>
          <w:color w:val="000000" w:themeColor="text1"/>
          <w:sz w:val="24"/>
          <w:szCs w:val="24"/>
          <w:highlight w:val="none"/>
          <w:lang w:val="en-US" w:eastAsia="zh-CN"/>
          <w14:textFill>
            <w14:solidFill>
              <w14:schemeClr w14:val="tx1"/>
            </w14:solidFill>
          </w14:textFill>
        </w:rPr>
        <w:t>3</w:t>
      </w:r>
      <w:r>
        <w:rPr>
          <w:rFonts w:hint="default" w:ascii="Times New Roman" w:hAnsi="Times New Roman" w:eastAsia="宋体" w:cs="Times New Roman"/>
          <w:b/>
          <w:bCs/>
          <w:i w:val="0"/>
          <w:iCs w:val="0"/>
          <w:color w:val="000000" w:themeColor="text1"/>
          <w:sz w:val="24"/>
          <w:szCs w:val="24"/>
          <w:highlight w:val="none"/>
          <w:lang w:eastAsia="zh-CN"/>
          <w14:textFill>
            <w14:solidFill>
              <w14:schemeClr w14:val="tx1"/>
            </w14:solidFill>
          </w14:textFill>
        </w:rPr>
        <w:t>）资源是环境的载体，资源利用上线是各地区能源、水、土地等资源消耗不得突破的“天花板”。</w:t>
      </w:r>
    </w:p>
    <w:p w14:paraId="5F86654A">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t>本项目</w:t>
      </w: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用水由园区供水管网提供，用电由园区供电管网提供，</w:t>
      </w:r>
      <w:bookmarkStart w:id="108" w:name="OLE_LINK81"/>
      <w:r>
        <w:rPr>
          <w:rFonts w:hint="eastAsia" w:cs="Times New Roman"/>
          <w:color w:val="000000" w:themeColor="text1"/>
          <w:spacing w:val="11"/>
          <w:sz w:val="24"/>
          <w:szCs w:val="24"/>
          <w:highlight w:val="none"/>
          <w:lang w:val="en-US" w:eastAsia="zh-CN"/>
          <w14:textFill>
            <w14:solidFill>
              <w14:schemeClr w14:val="tx1"/>
            </w14:solidFill>
          </w14:textFill>
        </w:rPr>
        <w:t>加药间、实验室等办公区域</w:t>
      </w:r>
      <w:bookmarkEnd w:id="108"/>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冬季采暖采用单体空调。项目在现有厂区内扩建，不新增占地。</w:t>
      </w:r>
      <w:r>
        <w:rPr>
          <w:rFonts w:hint="default" w:ascii="Times New Roman" w:hAnsi="Times New Roman" w:eastAsia="宋体" w:cs="Times New Roman"/>
          <w:color w:val="000000" w:themeColor="text1"/>
          <w:spacing w:val="11"/>
          <w:sz w:val="24"/>
          <w:szCs w:val="24"/>
          <w:highlight w:val="none"/>
          <w14:textFill>
            <w14:solidFill>
              <w14:schemeClr w14:val="tx1"/>
            </w14:solidFill>
          </w14:textFill>
        </w:rPr>
        <w:t>符合资源利用上线。</w:t>
      </w:r>
    </w:p>
    <w:p w14:paraId="0EFDDF6E">
      <w:pPr>
        <w:keepNext w:val="0"/>
        <w:keepLines w:val="0"/>
        <w:pageBreakBefore w:val="0"/>
        <w:widowControl w:val="0"/>
        <w:kinsoku/>
        <w:wordWrap/>
        <w:overflowPunct/>
        <w:topLinePunct w:val="0"/>
        <w:autoSpaceDE w:val="0"/>
        <w:autoSpaceDN w:val="0"/>
        <w:bidi w:val="0"/>
        <w:adjustRightInd w:val="0"/>
        <w:snapToGrid w:val="0"/>
        <w:spacing w:line="480" w:lineRule="exact"/>
        <w:ind w:firstLine="482" w:firstLineChars="200"/>
        <w:jc w:val="left"/>
        <w:textAlignment w:val="auto"/>
        <w:rPr>
          <w:rFonts w:hint="default" w:ascii="Times New Roman" w:hAnsi="Times New Roman" w:eastAsia="宋体" w:cs="Times New Roman"/>
          <w:color w:val="000000" w:themeColor="text1"/>
          <w:kern w:val="0"/>
          <w:sz w:val="24"/>
          <w:szCs w:val="24"/>
          <w:highlight w:val="none"/>
          <w:lang w:val="en-US" w:eastAsia="zh-CN"/>
          <w14:textFill>
            <w14:solidFill>
              <w14:schemeClr w14:val="tx1"/>
            </w14:solidFill>
          </w14:textFill>
        </w:rPr>
      </w:pPr>
      <w:r>
        <w:rPr>
          <w:rFonts w:hint="default" w:ascii="Times New Roman" w:hAnsi="Times New Roman" w:eastAsia="宋体" w:cs="Times New Roman"/>
          <w:b/>
          <w:bCs/>
          <w:i w:val="0"/>
          <w:iCs w:val="0"/>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b/>
          <w:bCs/>
          <w:i w:val="0"/>
          <w:iCs w:val="0"/>
          <w:color w:val="000000" w:themeColor="text1"/>
          <w:sz w:val="24"/>
          <w:szCs w:val="24"/>
          <w:highlight w:val="none"/>
          <w:lang w:val="en-US" w:eastAsia="zh-CN"/>
          <w14:textFill>
            <w14:solidFill>
              <w14:schemeClr w14:val="tx1"/>
            </w14:solidFill>
          </w14:textFill>
        </w:rPr>
        <w:t>4</w:t>
      </w:r>
      <w:r>
        <w:rPr>
          <w:rFonts w:hint="default" w:ascii="Times New Roman" w:hAnsi="Times New Roman" w:eastAsia="宋体" w:cs="Times New Roman"/>
          <w:b/>
          <w:bCs/>
          <w:i w:val="0"/>
          <w:iCs w:val="0"/>
          <w:color w:val="000000" w:themeColor="text1"/>
          <w:sz w:val="24"/>
          <w:szCs w:val="24"/>
          <w:highlight w:val="none"/>
          <w:lang w:eastAsia="zh-CN"/>
          <w14:textFill>
            <w14:solidFill>
              <w14:schemeClr w14:val="tx1"/>
            </w14:solidFill>
          </w14:textFill>
        </w:rPr>
        <w:t>）环境准入负面清单是基于生态保护红线、环境质量底线和资源利用上线，以清单方式列出的禁止、限制等差别化环境准入条件和要求。要在规划环评清单式管理试点的基础上，从布局选址、资源利用效率、资源配置方式等方面入手，制定环境准入负面清单，充分发挥负面清单对产业发展和项目准入的指导和约束作用</w:t>
      </w:r>
      <w:r>
        <w:rPr>
          <w:rFonts w:hint="default"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w:t>
      </w:r>
    </w:p>
    <w:p w14:paraId="103F4EAB">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t>本项目与“曹妃甸垦丰家居产业园过渡期生态环境准入清单”符合性见表</w:t>
      </w: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2.7-3</w:t>
      </w:r>
      <w:r>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t>。</w:t>
      </w:r>
    </w:p>
    <w:p w14:paraId="3B99C47D">
      <w:pPr>
        <w:pageBreakBefore w:val="0"/>
        <w:widowControl w:val="0"/>
        <w:numPr>
          <w:ilvl w:val="0"/>
          <w:numId w:val="16"/>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bCs/>
          <w:color w:val="000000" w:themeColor="text1"/>
          <w:spacing w:val="0"/>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pacing w:val="0"/>
          <w:sz w:val="24"/>
          <w:szCs w:val="24"/>
          <w:highlight w:val="none"/>
          <w:lang w:val="en-US" w:eastAsia="zh-CN"/>
          <w14:textFill>
            <w14:solidFill>
              <w14:schemeClr w14:val="tx1"/>
            </w14:solidFill>
          </w14:textFill>
        </w:rPr>
        <w:t>与“曹妃甸垦丰家居产业园过渡期生态环境准入清单”符合性分析判定表</w:t>
      </w:r>
    </w:p>
    <w:tbl>
      <w:tblPr>
        <w:tblStyle w:val="47"/>
        <w:tblW w:w="5046" w:type="pct"/>
        <w:tblInd w:w="0" w:type="dxa"/>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autofit"/>
        <w:tblCellMar>
          <w:top w:w="0" w:type="dxa"/>
          <w:left w:w="0" w:type="dxa"/>
          <w:bottom w:w="0" w:type="dxa"/>
          <w:right w:w="0" w:type="dxa"/>
        </w:tblCellMar>
      </w:tblPr>
      <w:tblGrid>
        <w:gridCol w:w="1249"/>
        <w:gridCol w:w="4079"/>
        <w:gridCol w:w="2884"/>
        <w:gridCol w:w="974"/>
      </w:tblGrid>
      <w:tr w14:paraId="5E636646">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80" w:type="pct"/>
            <w:noWrap w:val="0"/>
            <w:vAlign w:val="center"/>
          </w:tcPr>
          <w:p w14:paraId="1E9CE982">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考虑因素</w:t>
            </w:r>
          </w:p>
        </w:tc>
        <w:tc>
          <w:tcPr>
            <w:tcW w:w="2219" w:type="pct"/>
            <w:noWrap w:val="0"/>
            <w:vAlign w:val="center"/>
          </w:tcPr>
          <w:p w14:paraId="41AC53F3">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环保准入条件</w:t>
            </w:r>
          </w:p>
        </w:tc>
        <w:tc>
          <w:tcPr>
            <w:tcW w:w="1569" w:type="pct"/>
            <w:noWrap w:val="0"/>
            <w:vAlign w:val="center"/>
          </w:tcPr>
          <w:p w14:paraId="368FED13">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本项目</w:t>
            </w:r>
          </w:p>
        </w:tc>
        <w:tc>
          <w:tcPr>
            <w:tcW w:w="530" w:type="pct"/>
            <w:noWrap w:val="0"/>
            <w:vAlign w:val="center"/>
          </w:tcPr>
          <w:p w14:paraId="32F7EC4F">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符合性</w:t>
            </w:r>
          </w:p>
        </w:tc>
      </w:tr>
      <w:tr w14:paraId="42E9723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80" w:type="pct"/>
            <w:noWrap w:val="0"/>
            <w:vAlign w:val="center"/>
          </w:tcPr>
          <w:p w14:paraId="5AD762CF">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相关政策</w:t>
            </w:r>
          </w:p>
        </w:tc>
        <w:tc>
          <w:tcPr>
            <w:tcW w:w="2219" w:type="pct"/>
            <w:noWrap w:val="0"/>
            <w:vAlign w:val="center"/>
          </w:tcPr>
          <w:p w14:paraId="7F11487E">
            <w:pPr>
              <w:spacing w:line="340" w:lineRule="exact"/>
              <w:ind w:firstLine="0" w:firstLineChars="0"/>
              <w:jc w:val="left"/>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符合《产业结构调整指导目录(2011年本)》（修正)、《河北省新增限制和淘汰类产业目录(2015年版)》及国家最新产业政策要求；其采用的技术、工艺、产品及所用设备均未列入《高耗能落后机电设备(产品)淘汰目录(第—批、第二批、第三批、第四批)》及国家最新产业政策要求中；</w:t>
            </w:r>
          </w:p>
          <w:p w14:paraId="14B04916">
            <w:pPr>
              <w:spacing w:line="340" w:lineRule="exact"/>
              <w:ind w:firstLine="0" w:firstLineChars="0"/>
              <w:jc w:val="left"/>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2.符合国家现行的相关行业准入条件；</w:t>
            </w:r>
          </w:p>
          <w:p w14:paraId="143A3AB6">
            <w:pPr>
              <w:spacing w:line="340" w:lineRule="exact"/>
              <w:ind w:firstLine="0" w:firstLineChars="0"/>
              <w:jc w:val="left"/>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3</w:t>
            </w:r>
            <w:r>
              <w:rPr>
                <w:rFonts w:hint="default" w:ascii="Times New Roman" w:hAnsi="Times New Roman" w:eastAsia="宋体" w:cs="Times New Roman"/>
                <w:color w:val="auto"/>
                <w:sz w:val="21"/>
                <w:szCs w:val="21"/>
                <w:highlight w:val="none"/>
                <w:lang w:val="en-US" w:eastAsia="zh-CN"/>
              </w:rPr>
              <w:t>.应选择引入原料和产品为环境友好型的项目，限制引入使用剧毒、高风险化学品的项目。</w:t>
            </w:r>
          </w:p>
        </w:tc>
        <w:tc>
          <w:tcPr>
            <w:tcW w:w="1569" w:type="pct"/>
            <w:noWrap w:val="0"/>
            <w:vAlign w:val="center"/>
          </w:tcPr>
          <w:p w14:paraId="5FDB794B">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项目符合《产业结构调整目录（20</w:t>
            </w:r>
            <w:r>
              <w:rPr>
                <w:rFonts w:hint="eastAsia" w:ascii="Times New Roman" w:hAnsi="Times New Roman" w:eastAsia="宋体" w:cs="Times New Roman"/>
                <w:color w:val="auto"/>
                <w:sz w:val="21"/>
                <w:szCs w:val="21"/>
                <w:highlight w:val="none"/>
                <w:lang w:val="en-US" w:eastAsia="zh-CN"/>
              </w:rPr>
              <w:t>24</w:t>
            </w:r>
            <w:r>
              <w:rPr>
                <w:rFonts w:hint="default" w:ascii="Times New Roman" w:hAnsi="Times New Roman" w:eastAsia="宋体" w:cs="Times New Roman"/>
                <w:color w:val="auto"/>
                <w:sz w:val="21"/>
                <w:szCs w:val="21"/>
                <w:highlight w:val="none"/>
                <w:lang w:val="en-US" w:eastAsia="zh-CN"/>
              </w:rPr>
              <w:t>年本）》及国家最新产业政策要求；采用的技术、工艺、产品及设备均未列入《高耗能落后机电设备(产品)淘汰目录(第—批、第二批、第三批、第四批)》及国家最新产业政策要求中；项目</w:t>
            </w:r>
            <w:r>
              <w:rPr>
                <w:rFonts w:hint="eastAsia" w:cs="Times New Roman"/>
                <w:color w:val="auto"/>
                <w:sz w:val="21"/>
                <w:szCs w:val="21"/>
                <w:highlight w:val="none"/>
                <w:lang w:val="en-US" w:eastAsia="zh-CN"/>
              </w:rPr>
              <w:t>为园区配套基础设施</w:t>
            </w:r>
            <w:r>
              <w:rPr>
                <w:rFonts w:hint="default" w:ascii="Times New Roman" w:hAnsi="Times New Roman" w:eastAsia="宋体" w:cs="Times New Roman"/>
                <w:color w:val="auto"/>
                <w:sz w:val="21"/>
                <w:szCs w:val="21"/>
                <w:highlight w:val="none"/>
                <w:lang w:val="en-US" w:eastAsia="zh-CN"/>
              </w:rPr>
              <w:t>，符合园区规划；项目属于污染治理行业，不涉及剧毒、高风险化学品。</w:t>
            </w:r>
          </w:p>
        </w:tc>
        <w:tc>
          <w:tcPr>
            <w:tcW w:w="530" w:type="pct"/>
            <w:noWrap w:val="0"/>
            <w:vAlign w:val="center"/>
          </w:tcPr>
          <w:p w14:paraId="434B22CF">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符合</w:t>
            </w:r>
          </w:p>
        </w:tc>
      </w:tr>
      <w:tr w14:paraId="39E170C9">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80" w:type="pct"/>
            <w:noWrap w:val="0"/>
            <w:vAlign w:val="center"/>
          </w:tcPr>
          <w:p w14:paraId="0BBC7202">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空间布局</w:t>
            </w:r>
          </w:p>
        </w:tc>
        <w:tc>
          <w:tcPr>
            <w:tcW w:w="2219" w:type="pct"/>
            <w:noWrap w:val="0"/>
            <w:vAlign w:val="center"/>
          </w:tcPr>
          <w:p w14:paraId="17FF6F67">
            <w:pPr>
              <w:spacing w:line="340" w:lineRule="exact"/>
              <w:ind w:firstLine="0" w:firstLineChars="0"/>
              <w:jc w:val="left"/>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1.入驻企业禁止占用园区内绿地、道路广场用地；</w:t>
            </w:r>
          </w:p>
          <w:p w14:paraId="526B536F">
            <w:pPr>
              <w:spacing w:line="340" w:lineRule="exact"/>
              <w:ind w:firstLine="0" w:firstLineChars="0"/>
              <w:jc w:val="left"/>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2.入区工业项目需满足环评、安评报告中确定的防护距离要求；</w:t>
            </w:r>
          </w:p>
          <w:p w14:paraId="5369DE7F">
            <w:pPr>
              <w:spacing w:line="340" w:lineRule="exact"/>
              <w:ind w:firstLine="0" w:firstLineChars="0"/>
              <w:jc w:val="left"/>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3.曹妃甸湿地和鸟类自然保护区空间布局要求：严格按规定控制建筑物高度24m、建筑物禁止选择鲜艳的色彩，企业夜间照明的灯源和光强禁止过强。</w:t>
            </w:r>
          </w:p>
        </w:tc>
        <w:tc>
          <w:tcPr>
            <w:tcW w:w="1569" w:type="pct"/>
            <w:noWrap w:val="0"/>
            <w:vAlign w:val="center"/>
          </w:tcPr>
          <w:p w14:paraId="673EB55C">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本项目</w:t>
            </w:r>
            <w:r>
              <w:rPr>
                <w:rFonts w:hint="eastAsia" w:cs="Times New Roman"/>
                <w:color w:val="auto"/>
                <w:sz w:val="21"/>
                <w:szCs w:val="21"/>
                <w:highlight w:val="none"/>
                <w:lang w:val="en-US" w:eastAsia="zh-CN"/>
              </w:rPr>
              <w:t>在现有厂区内建设，不新增占地</w:t>
            </w:r>
            <w:r>
              <w:rPr>
                <w:rFonts w:hint="eastAsia" w:ascii="Times New Roman" w:hAnsi="Times New Roman" w:eastAsia="宋体" w:cs="Times New Roman"/>
                <w:color w:val="auto"/>
                <w:sz w:val="21"/>
                <w:szCs w:val="21"/>
                <w:highlight w:val="none"/>
                <w:lang w:val="en-US" w:eastAsia="zh-CN"/>
              </w:rPr>
              <w:t>；满足环评、安评报告中确定的防护距离要求；满足曹妃甸湿地和鸟类自然保护区空间布局要求。</w:t>
            </w:r>
          </w:p>
        </w:tc>
        <w:tc>
          <w:tcPr>
            <w:tcW w:w="530" w:type="pct"/>
            <w:noWrap w:val="0"/>
            <w:vAlign w:val="center"/>
          </w:tcPr>
          <w:p w14:paraId="44E1D8F4">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符合</w:t>
            </w:r>
          </w:p>
        </w:tc>
      </w:tr>
      <w:tr w14:paraId="0F3C03EE">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80" w:type="pct"/>
            <w:noWrap w:val="0"/>
            <w:vAlign w:val="center"/>
          </w:tcPr>
          <w:p w14:paraId="4A93AC04">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污染物排放</w:t>
            </w:r>
          </w:p>
        </w:tc>
        <w:tc>
          <w:tcPr>
            <w:tcW w:w="2219" w:type="pct"/>
            <w:noWrap w:val="0"/>
            <w:vAlign w:val="center"/>
          </w:tcPr>
          <w:p w14:paraId="4C066A5F">
            <w:pPr>
              <w:spacing w:line="340" w:lineRule="exact"/>
              <w:ind w:firstLine="0" w:firstLineChars="0"/>
              <w:jc w:val="left"/>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1.禁止建设用于生产或取暖的燃煤、燃油等非清洁能源锅炉，锅炉烟气必须满足《锅炉大气污染物排放标准》（GB13271-2014)要求；</w:t>
            </w:r>
          </w:p>
          <w:p w14:paraId="5528AC4E">
            <w:pPr>
              <w:spacing w:line="340" w:lineRule="exact"/>
              <w:ind w:firstLine="0" w:firstLineChars="0"/>
              <w:jc w:val="left"/>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2.生产过程中产生的粉尘、VOCs等污染物必须收集处理，处理达标后方可排放；</w:t>
            </w:r>
          </w:p>
          <w:p w14:paraId="0BFE612F">
            <w:pPr>
              <w:spacing w:line="340" w:lineRule="exact"/>
              <w:ind w:firstLine="0" w:firstLineChars="0"/>
              <w:jc w:val="left"/>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3.入区企业废水排放量严格执行相应的行业排放标准；</w:t>
            </w:r>
          </w:p>
          <w:p w14:paraId="143F89E1">
            <w:pPr>
              <w:spacing w:line="340" w:lineRule="exact"/>
              <w:ind w:firstLine="0" w:firstLineChars="0"/>
              <w:jc w:val="left"/>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4.所有入区企业生产废水必须满足相应的排放要求，方可排放；</w:t>
            </w:r>
          </w:p>
          <w:p w14:paraId="11759725">
            <w:pPr>
              <w:spacing w:line="340" w:lineRule="exact"/>
              <w:ind w:firstLine="0" w:firstLineChars="0"/>
              <w:jc w:val="left"/>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5.污染物排放量较大的污染源，必须根据相关规定配备污染物在线监测系统。</w:t>
            </w:r>
          </w:p>
        </w:tc>
        <w:tc>
          <w:tcPr>
            <w:tcW w:w="1569" w:type="pct"/>
            <w:noWrap w:val="0"/>
            <w:vAlign w:val="center"/>
          </w:tcPr>
          <w:p w14:paraId="0BD56FD8">
            <w:pPr>
              <w:spacing w:line="340" w:lineRule="exact"/>
              <w:ind w:firstLine="0" w:firstLineChars="0"/>
              <w:jc w:val="both"/>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本项目不涉及锅炉；生产过程中产生的污染物经收集处理后达标排放；废水处理后满足《城镇污水处理厂污染物排放标准》（GB18918-2002）一级A标准，同时满足《城市污水再生利用  工业用水水质》（GB/T19923-2024）、《城市污水再生利用 城市杂用水水质》（GB/T18920-2020）</w:t>
            </w:r>
            <w:r>
              <w:rPr>
                <w:rFonts w:hint="eastAsia"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城市污水再生利用 绿地灌溉水质</w:t>
            </w: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GB/T</w:t>
            </w:r>
            <w:r>
              <w:rPr>
                <w:rFonts w:hint="eastAsia" w:ascii="Times New Roman" w:hAnsi="Times New Roman" w:eastAsia="宋体" w:cs="Times New Roman"/>
                <w:color w:val="auto"/>
                <w:sz w:val="21"/>
                <w:szCs w:val="21"/>
                <w:highlight w:val="none"/>
                <w:lang w:val="en-US" w:eastAsia="zh-CN"/>
              </w:rPr>
              <w:t>25499</w:t>
            </w:r>
            <w:r>
              <w:rPr>
                <w:rFonts w:hint="default"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2010）</w:t>
            </w:r>
            <w:r>
              <w:rPr>
                <w:rFonts w:hint="default" w:ascii="Times New Roman" w:hAnsi="Times New Roman" w:eastAsia="宋体" w:cs="Times New Roman"/>
                <w:color w:val="auto"/>
                <w:sz w:val="21"/>
                <w:szCs w:val="21"/>
                <w:highlight w:val="none"/>
                <w:lang w:val="en-US" w:eastAsia="zh-CN"/>
              </w:rPr>
              <w:t>标准限值。回用于厂区生产用水</w:t>
            </w:r>
            <w:r>
              <w:rPr>
                <w:rFonts w:hint="eastAsia"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园区绿化、道路喷洒及园区企业生产用水；根据要求配备污染物在线监测系统。</w:t>
            </w:r>
          </w:p>
        </w:tc>
        <w:tc>
          <w:tcPr>
            <w:tcW w:w="530" w:type="pct"/>
            <w:noWrap w:val="0"/>
            <w:vAlign w:val="center"/>
          </w:tcPr>
          <w:p w14:paraId="351C1FDD">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符合</w:t>
            </w:r>
          </w:p>
        </w:tc>
      </w:tr>
      <w:tr w14:paraId="2E95CE2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80" w:type="pct"/>
            <w:noWrap w:val="0"/>
            <w:vAlign w:val="center"/>
          </w:tcPr>
          <w:p w14:paraId="02C133ED">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环境风险防控</w:t>
            </w:r>
          </w:p>
        </w:tc>
        <w:tc>
          <w:tcPr>
            <w:tcW w:w="2219" w:type="pct"/>
            <w:noWrap w:val="0"/>
            <w:vAlign w:val="center"/>
          </w:tcPr>
          <w:p w14:paraId="5AF51C14">
            <w:pPr>
              <w:numPr>
                <w:ilvl w:val="0"/>
                <w:numId w:val="17"/>
              </w:numPr>
              <w:spacing w:line="340" w:lineRule="exact"/>
              <w:ind w:firstLine="0" w:firstLineChars="0"/>
              <w:jc w:val="left"/>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合理布置产生有害因素的生产单元，入区项目选址需满足环境风险预测有毒有害物质毒性浓度1范围内无敏感点；</w:t>
            </w:r>
          </w:p>
          <w:p w14:paraId="6C08CDD0">
            <w:pPr>
              <w:numPr>
                <w:ilvl w:val="0"/>
                <w:numId w:val="17"/>
              </w:numPr>
              <w:spacing w:line="340" w:lineRule="exact"/>
              <w:ind w:firstLine="0" w:firstLineChars="0"/>
              <w:jc w:val="left"/>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.严格落实建设项目环评及其批复、规划环评及其批复文件要求的环境风险防范措施；</w:t>
            </w:r>
          </w:p>
          <w:p w14:paraId="6D208838">
            <w:pPr>
              <w:numPr>
                <w:ilvl w:val="0"/>
                <w:numId w:val="17"/>
              </w:numPr>
              <w:spacing w:line="340" w:lineRule="exact"/>
              <w:ind w:firstLine="0" w:firstLineChars="0"/>
              <w:jc w:val="left"/>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入区企业需组织编制《环境风险应急预案》，成立应急组织机构，定期开展应急演练，提高区域环境风险防范能力。</w:t>
            </w:r>
          </w:p>
        </w:tc>
        <w:tc>
          <w:tcPr>
            <w:tcW w:w="1569" w:type="pct"/>
            <w:noWrap w:val="0"/>
            <w:vAlign w:val="center"/>
          </w:tcPr>
          <w:p w14:paraId="29F47C32">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本项目严格落实各项风险防范措施，应急预案正在编制中。</w:t>
            </w:r>
          </w:p>
        </w:tc>
        <w:tc>
          <w:tcPr>
            <w:tcW w:w="530" w:type="pct"/>
            <w:noWrap w:val="0"/>
            <w:vAlign w:val="center"/>
          </w:tcPr>
          <w:p w14:paraId="75E6B6E8">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符合</w:t>
            </w:r>
          </w:p>
        </w:tc>
      </w:tr>
      <w:tr w14:paraId="509619F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80" w:type="pct"/>
            <w:noWrap w:val="0"/>
            <w:vAlign w:val="center"/>
          </w:tcPr>
          <w:p w14:paraId="3E3C5132">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资源开发利用要求</w:t>
            </w:r>
          </w:p>
        </w:tc>
        <w:tc>
          <w:tcPr>
            <w:tcW w:w="2219" w:type="pct"/>
            <w:noWrap w:val="0"/>
            <w:vAlign w:val="center"/>
          </w:tcPr>
          <w:p w14:paraId="7C21FE6C">
            <w:pPr>
              <w:spacing w:line="340" w:lineRule="exact"/>
              <w:ind w:firstLine="0" w:firstLineChars="0"/>
              <w:jc w:val="left"/>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禁止新建、扩建采用非清洁燃料的项目和设施；</w:t>
            </w:r>
          </w:p>
          <w:p w14:paraId="7F49D7ED">
            <w:pPr>
              <w:spacing w:line="340" w:lineRule="exact"/>
              <w:ind w:firstLine="0" w:firstLineChars="0"/>
              <w:jc w:val="left"/>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入区企业不能突破区域“三线一单”设定的土地资源、水资源、能源利用上限；</w:t>
            </w:r>
          </w:p>
          <w:p w14:paraId="7175C944">
            <w:pPr>
              <w:spacing w:line="340" w:lineRule="exact"/>
              <w:ind w:firstLine="0" w:firstLineChars="0"/>
              <w:jc w:val="left"/>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规划入区项目采用资源利用率高、污染物产生量小的清洁生产技术、工艺和设备，单位产品物耗、能耗、水耗、资源综合利用和污染物排放量等指标达到清洁生产先进水平；推进企业内部工业用水循环利用，提高重复利用率。</w:t>
            </w:r>
          </w:p>
        </w:tc>
        <w:tc>
          <w:tcPr>
            <w:tcW w:w="1569" w:type="pct"/>
            <w:noWrap w:val="0"/>
            <w:vAlign w:val="center"/>
          </w:tcPr>
          <w:p w14:paraId="15AADCE6">
            <w:pPr>
              <w:spacing w:line="340" w:lineRule="exact"/>
              <w:ind w:firstLine="0" w:firstLineChars="0"/>
              <w:jc w:val="both"/>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本项目不涉及燃料；符合三线一单资源利用上限要求；符合清洁生产要求；本项目为污水处理及其再生利用项目，废水处理后满足《城镇污水处理厂污染物排放标准》（GB18918-2002）一级A标准，同时满足《城市污水再生利用 工业用水水质》（GB/T19923-2024）、《城市污水再生利用 城市杂用水水质》（GB/T18920-2020）</w:t>
            </w:r>
            <w:r>
              <w:rPr>
                <w:rFonts w:hint="eastAsia"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城市污水再生利用 绿地灌溉水质</w:t>
            </w: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GB/T</w:t>
            </w:r>
            <w:r>
              <w:rPr>
                <w:rFonts w:hint="eastAsia" w:ascii="Times New Roman" w:hAnsi="Times New Roman" w:eastAsia="宋体" w:cs="Times New Roman"/>
                <w:color w:val="auto"/>
                <w:sz w:val="21"/>
                <w:szCs w:val="21"/>
                <w:highlight w:val="none"/>
                <w:lang w:val="en-US" w:eastAsia="zh-CN"/>
              </w:rPr>
              <w:t>25499</w:t>
            </w:r>
            <w:r>
              <w:rPr>
                <w:rFonts w:hint="default"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2010）标准限值。</w:t>
            </w:r>
            <w:r>
              <w:rPr>
                <w:rFonts w:hint="eastAsia" w:cs="Times New Roman"/>
                <w:color w:val="auto"/>
                <w:sz w:val="21"/>
                <w:szCs w:val="21"/>
                <w:highlight w:val="none"/>
                <w:lang w:val="en-US" w:eastAsia="zh-CN"/>
              </w:rPr>
              <w:t>回用于厂区生产用水、园区绿化、道路喷洒及园区企业生产用水。节约新水资源</w:t>
            </w:r>
            <w:r>
              <w:rPr>
                <w:rFonts w:hint="eastAsia" w:ascii="Times New Roman" w:hAnsi="Times New Roman" w:eastAsia="宋体" w:cs="Times New Roman"/>
                <w:color w:val="auto"/>
                <w:sz w:val="21"/>
                <w:szCs w:val="21"/>
                <w:highlight w:val="none"/>
                <w:lang w:val="en-US" w:eastAsia="zh-CN"/>
              </w:rPr>
              <w:t>。</w:t>
            </w:r>
          </w:p>
        </w:tc>
        <w:tc>
          <w:tcPr>
            <w:tcW w:w="530" w:type="pct"/>
            <w:noWrap w:val="0"/>
            <w:vAlign w:val="center"/>
          </w:tcPr>
          <w:p w14:paraId="5ECBC855">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符合</w:t>
            </w:r>
          </w:p>
        </w:tc>
      </w:tr>
      <w:tr w14:paraId="44BCD6A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80" w:type="pct"/>
            <w:noWrap w:val="0"/>
            <w:vAlign w:val="center"/>
          </w:tcPr>
          <w:p w14:paraId="17452537">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清洁生产</w:t>
            </w:r>
          </w:p>
        </w:tc>
        <w:tc>
          <w:tcPr>
            <w:tcW w:w="2219" w:type="pct"/>
            <w:noWrap w:val="0"/>
            <w:vAlign w:val="center"/>
          </w:tcPr>
          <w:p w14:paraId="79F77E8B">
            <w:pPr>
              <w:numPr>
                <w:ilvl w:val="0"/>
                <w:numId w:val="18"/>
              </w:numPr>
              <w:spacing w:line="340" w:lineRule="exact"/>
              <w:ind w:firstLine="0" w:firstLineChars="0"/>
              <w:jc w:val="left"/>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已出台(或试行)清洁生产标准的行业，入区企业需达到清洁生产国内先进水平；</w:t>
            </w:r>
          </w:p>
          <w:p w14:paraId="4C21C909">
            <w:pPr>
              <w:numPr>
                <w:ilvl w:val="0"/>
                <w:numId w:val="18"/>
              </w:numPr>
              <w:spacing w:line="340" w:lineRule="exact"/>
              <w:ind w:firstLine="0" w:firstLineChars="0"/>
              <w:jc w:val="left"/>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.无清洁生产标准的行业，入区企业清洁生产水平需达到本行业国内先进水平；</w:t>
            </w:r>
          </w:p>
          <w:p w14:paraId="799284B3">
            <w:pPr>
              <w:numPr>
                <w:ilvl w:val="0"/>
                <w:numId w:val="18"/>
              </w:numPr>
              <w:spacing w:line="340" w:lineRule="exact"/>
              <w:ind w:firstLine="0" w:firstLineChars="0"/>
              <w:jc w:val="left"/>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新引入企业的单位产值能耗及主要污染物产生指标应在上年度园区平均水平的基础上提高20%以上。</w:t>
            </w:r>
          </w:p>
        </w:tc>
        <w:tc>
          <w:tcPr>
            <w:tcW w:w="1569" w:type="pct"/>
            <w:noWrap w:val="0"/>
            <w:vAlign w:val="center"/>
          </w:tcPr>
          <w:p w14:paraId="0C6F578B">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各项指标均达到清洁生产本行业国内先进水平。</w:t>
            </w:r>
          </w:p>
        </w:tc>
        <w:tc>
          <w:tcPr>
            <w:tcW w:w="530" w:type="pct"/>
            <w:noWrap w:val="0"/>
            <w:vAlign w:val="center"/>
          </w:tcPr>
          <w:p w14:paraId="3600675D">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符合</w:t>
            </w:r>
          </w:p>
        </w:tc>
      </w:tr>
      <w:tr w14:paraId="6778075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80" w:type="pct"/>
            <w:noWrap w:val="0"/>
            <w:vAlign w:val="center"/>
          </w:tcPr>
          <w:p w14:paraId="578C04EB">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总量控制</w:t>
            </w:r>
          </w:p>
        </w:tc>
        <w:tc>
          <w:tcPr>
            <w:tcW w:w="2219" w:type="pct"/>
            <w:noWrap w:val="0"/>
            <w:vAlign w:val="center"/>
          </w:tcPr>
          <w:p w14:paraId="19368A1D">
            <w:pPr>
              <w:spacing w:line="340" w:lineRule="exact"/>
              <w:ind w:firstLine="0" w:firstLineChars="0"/>
              <w:jc w:val="left"/>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严格控制颗粒物、</w:t>
            </w:r>
            <w:r>
              <w:rPr>
                <w:rFonts w:hint="eastAsia" w:ascii="Times New Roman" w:hAnsi="Times New Roman" w:eastAsia="宋体" w:cs="Times New Roman"/>
                <w:color w:val="auto"/>
                <w:sz w:val="21"/>
                <w:szCs w:val="21"/>
                <w:highlight w:val="none"/>
                <w:lang w:val="en-US" w:eastAsia="zh-CN"/>
              </w:rPr>
              <w:t>SO2</w:t>
            </w:r>
            <w:r>
              <w:rPr>
                <w:rFonts w:hint="default" w:ascii="Times New Roman" w:hAnsi="Times New Roman" w:eastAsia="宋体" w:cs="Times New Roman"/>
                <w:color w:val="auto"/>
                <w:sz w:val="21"/>
                <w:szCs w:val="21"/>
                <w:highlight w:val="none"/>
                <w:lang w:val="en-US" w:eastAsia="zh-CN"/>
              </w:rPr>
              <w:t>、NOx、VOCs、COD、氨氮的排放量，执行“增一减二”的总量控制要求</w:t>
            </w:r>
          </w:p>
        </w:tc>
        <w:tc>
          <w:tcPr>
            <w:tcW w:w="1569" w:type="pct"/>
            <w:noWrap w:val="0"/>
            <w:vAlign w:val="center"/>
          </w:tcPr>
          <w:p w14:paraId="03205A06">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本项目不涉及</w:t>
            </w:r>
          </w:p>
        </w:tc>
        <w:tc>
          <w:tcPr>
            <w:tcW w:w="530" w:type="pct"/>
            <w:noWrap w:val="0"/>
            <w:vAlign w:val="center"/>
          </w:tcPr>
          <w:p w14:paraId="249787AF">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符合</w:t>
            </w:r>
          </w:p>
        </w:tc>
      </w:tr>
      <w:tr w14:paraId="10DC382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80" w:type="pct"/>
            <w:noWrap w:val="0"/>
            <w:vAlign w:val="center"/>
          </w:tcPr>
          <w:p w14:paraId="00763B92">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产业布局</w:t>
            </w:r>
          </w:p>
        </w:tc>
        <w:tc>
          <w:tcPr>
            <w:tcW w:w="2219" w:type="pct"/>
            <w:noWrap w:val="0"/>
            <w:vAlign w:val="center"/>
          </w:tcPr>
          <w:p w14:paraId="04ED2089">
            <w:pPr>
              <w:spacing w:line="340" w:lineRule="exact"/>
              <w:ind w:firstLine="0" w:firstLineChars="0"/>
              <w:jc w:val="left"/>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入区企业按照环评建议调整后的产业布局进行布置。</w:t>
            </w:r>
          </w:p>
        </w:tc>
        <w:tc>
          <w:tcPr>
            <w:tcW w:w="1569" w:type="pct"/>
            <w:noWrap w:val="0"/>
            <w:vAlign w:val="center"/>
          </w:tcPr>
          <w:p w14:paraId="5F838E39">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项目符合园区产业布局</w:t>
            </w:r>
          </w:p>
        </w:tc>
        <w:tc>
          <w:tcPr>
            <w:tcW w:w="530" w:type="pct"/>
            <w:noWrap w:val="0"/>
            <w:vAlign w:val="center"/>
          </w:tcPr>
          <w:p w14:paraId="6953E5E5">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符合</w:t>
            </w:r>
          </w:p>
        </w:tc>
      </w:tr>
      <w:tr w14:paraId="4EE6343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80" w:type="pct"/>
            <w:noWrap w:val="0"/>
            <w:vAlign w:val="center"/>
          </w:tcPr>
          <w:p w14:paraId="55D5BD4D">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准入行业</w:t>
            </w:r>
          </w:p>
        </w:tc>
        <w:tc>
          <w:tcPr>
            <w:tcW w:w="2219" w:type="pct"/>
            <w:noWrap w:val="0"/>
            <w:vAlign w:val="center"/>
          </w:tcPr>
          <w:p w14:paraId="08088D5B">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家具制造业（含酸洗、电镀等金属表面处理工序的企业除外）、木材加工和木竹藤草制品业、以机加工为主的设备制造业、普通仓储物流（储存危险化学品，易燃易爆品、有毒有害物质等重大危险源物质的企业除外）。</w:t>
            </w:r>
          </w:p>
        </w:tc>
        <w:tc>
          <w:tcPr>
            <w:tcW w:w="1569" w:type="pct"/>
            <w:noWrap w:val="0"/>
            <w:vAlign w:val="center"/>
          </w:tcPr>
          <w:p w14:paraId="5007E09D">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本项目属于园区配套公用设施</w:t>
            </w:r>
          </w:p>
        </w:tc>
        <w:tc>
          <w:tcPr>
            <w:tcW w:w="530" w:type="pct"/>
            <w:noWrap w:val="0"/>
            <w:vAlign w:val="center"/>
          </w:tcPr>
          <w:p w14:paraId="0073897A">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符合</w:t>
            </w:r>
          </w:p>
        </w:tc>
      </w:tr>
    </w:tbl>
    <w:p w14:paraId="528FA54E">
      <w:pPr>
        <w:pStyle w:val="8"/>
        <w:bidi w:val="0"/>
        <w:rPr>
          <w:rFonts w:hint="default"/>
          <w:lang w:val="en-US" w:eastAsia="zh-CN"/>
        </w:rPr>
      </w:pPr>
      <w:r>
        <w:rPr>
          <w:rFonts w:hint="default"/>
          <w:lang w:val="en-US" w:eastAsia="zh-CN"/>
        </w:rPr>
        <w:t>2.7.2.2本项目与《关于加快实施“三线一单”生态环境分区管控的意见》(冀政字[2020]71号)的符合性分析</w:t>
      </w:r>
    </w:p>
    <w:p w14:paraId="5035976D">
      <w:pPr>
        <w:pageBreakBefore w:val="0"/>
        <w:widowControl w:val="0"/>
        <w:numPr>
          <w:ilvl w:val="0"/>
          <w:numId w:val="16"/>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bCs/>
          <w:color w:val="000000" w:themeColor="text1"/>
          <w:spacing w:val="0"/>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pacing w:val="0"/>
          <w:sz w:val="24"/>
          <w:szCs w:val="24"/>
          <w:highlight w:val="none"/>
          <w:lang w:val="en-US" w:eastAsia="zh-CN"/>
          <w14:textFill>
            <w14:solidFill>
              <w14:schemeClr w14:val="tx1"/>
            </w14:solidFill>
          </w14:textFill>
        </w:rPr>
        <w:t>与河北省“三线一单”的符合性分析</w:t>
      </w:r>
    </w:p>
    <w:tbl>
      <w:tblPr>
        <w:tblStyle w:val="88"/>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590"/>
        <w:gridCol w:w="4130"/>
        <w:gridCol w:w="3839"/>
        <w:gridCol w:w="543"/>
      </w:tblGrid>
      <w:tr w14:paraId="7DF27CB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55" w:hRule="atLeast"/>
          <w:jc w:val="center"/>
        </w:trPr>
        <w:tc>
          <w:tcPr>
            <w:tcW w:w="5000" w:type="pct"/>
            <w:gridSpan w:val="4"/>
            <w:tcBorders>
              <w:tl2br w:val="nil"/>
              <w:tr2bl w:val="nil"/>
            </w:tcBorders>
            <w:noWrap w:val="0"/>
            <w:vAlign w:val="center"/>
          </w:tcPr>
          <w:p w14:paraId="637A2915">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一、总体要求——主要目标</w:t>
            </w:r>
          </w:p>
        </w:tc>
      </w:tr>
      <w:tr w14:paraId="43E74A1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640" w:hRule="atLeast"/>
          <w:jc w:val="center"/>
        </w:trPr>
        <w:tc>
          <w:tcPr>
            <w:tcW w:w="324" w:type="pct"/>
            <w:tcBorders>
              <w:tl2br w:val="nil"/>
              <w:tr2bl w:val="nil"/>
            </w:tcBorders>
            <w:noWrap w:val="0"/>
            <w:vAlign w:val="center"/>
          </w:tcPr>
          <w:p w14:paraId="75FD8C44">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w:t>
            </w:r>
          </w:p>
        </w:tc>
        <w:tc>
          <w:tcPr>
            <w:tcW w:w="2269" w:type="pct"/>
            <w:tcBorders>
              <w:tl2br w:val="nil"/>
              <w:tr2bl w:val="nil"/>
            </w:tcBorders>
            <w:noWrap w:val="0"/>
            <w:vAlign w:val="center"/>
          </w:tcPr>
          <w:p w14:paraId="4BE25433">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生态保护红线：重要生态功能区域生态功能不降低、面积不减少、性质不改变。</w:t>
            </w:r>
          </w:p>
        </w:tc>
        <w:tc>
          <w:tcPr>
            <w:tcW w:w="2109" w:type="pct"/>
            <w:tcBorders>
              <w:tl2br w:val="nil"/>
              <w:tr2bl w:val="nil"/>
            </w:tcBorders>
            <w:noWrap w:val="0"/>
            <w:vAlign w:val="center"/>
          </w:tcPr>
          <w:p w14:paraId="6960FBE2">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本项目不涉及生态保护红线</w:t>
            </w:r>
          </w:p>
        </w:tc>
        <w:tc>
          <w:tcPr>
            <w:tcW w:w="296" w:type="pct"/>
            <w:tcBorders>
              <w:tl2br w:val="nil"/>
              <w:tr2bl w:val="nil"/>
            </w:tcBorders>
            <w:noWrap w:val="0"/>
            <w:vAlign w:val="center"/>
          </w:tcPr>
          <w:p w14:paraId="1BF72292">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符合</w:t>
            </w:r>
          </w:p>
        </w:tc>
      </w:tr>
      <w:tr w14:paraId="1C17391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1573" w:hRule="atLeast"/>
          <w:jc w:val="center"/>
        </w:trPr>
        <w:tc>
          <w:tcPr>
            <w:tcW w:w="324" w:type="pct"/>
            <w:tcBorders>
              <w:tl2br w:val="nil"/>
              <w:tr2bl w:val="nil"/>
            </w:tcBorders>
            <w:noWrap w:val="0"/>
            <w:vAlign w:val="center"/>
          </w:tcPr>
          <w:p w14:paraId="0A2F2B0C">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w:t>
            </w:r>
          </w:p>
        </w:tc>
        <w:tc>
          <w:tcPr>
            <w:tcW w:w="2269" w:type="pct"/>
            <w:tcBorders>
              <w:tl2br w:val="nil"/>
              <w:tr2bl w:val="nil"/>
            </w:tcBorders>
            <w:noWrap w:val="0"/>
            <w:vAlign w:val="center"/>
          </w:tcPr>
          <w:p w14:paraId="267F3D64">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环境质量底线：到2025年，地表水国考断面优良(Ⅲ类以上)比例、近岸海域优良海水比例逐步提升；</w:t>
            </w:r>
            <w:r>
              <w:rPr>
                <w:rFonts w:hint="eastAsia" w:ascii="Times New Roman" w:hAnsi="Times New Roman" w:eastAsia="宋体" w:cs="Times New Roman"/>
                <w:color w:val="auto"/>
                <w:sz w:val="21"/>
                <w:szCs w:val="21"/>
                <w:highlight w:val="none"/>
                <w:lang w:val="en-US" w:eastAsia="zh-CN"/>
              </w:rPr>
              <w:t>PM2.5</w:t>
            </w:r>
            <w:r>
              <w:rPr>
                <w:rFonts w:hint="default" w:ascii="Times New Roman" w:hAnsi="Times New Roman" w:eastAsia="宋体" w:cs="Times New Roman"/>
                <w:color w:val="auto"/>
                <w:sz w:val="21"/>
                <w:szCs w:val="21"/>
                <w:highlight w:val="none"/>
                <w:lang w:val="en-US" w:eastAsia="zh-CN"/>
              </w:rPr>
              <w:t>年均浓度持续降低、优良天数比例稳步提升；土壤受污染耕地安全利用率、污染地块安全利用率进一步提升。</w:t>
            </w:r>
          </w:p>
        </w:tc>
        <w:tc>
          <w:tcPr>
            <w:tcW w:w="2109" w:type="pct"/>
            <w:tcBorders>
              <w:tl2br w:val="nil"/>
              <w:tr2bl w:val="nil"/>
            </w:tcBorders>
            <w:noWrap w:val="0"/>
            <w:vAlign w:val="center"/>
          </w:tcPr>
          <w:p w14:paraId="4E408F9A">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本项目各污染物均能达标排放；本项目位于唐山市曹妃甸区垦丰家居产业园区，不涉及耕地</w:t>
            </w:r>
          </w:p>
        </w:tc>
        <w:tc>
          <w:tcPr>
            <w:tcW w:w="296" w:type="pct"/>
            <w:tcBorders>
              <w:tl2br w:val="nil"/>
              <w:tr2bl w:val="nil"/>
            </w:tcBorders>
            <w:noWrap w:val="0"/>
            <w:vAlign w:val="center"/>
          </w:tcPr>
          <w:p w14:paraId="43D538CE">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符合</w:t>
            </w:r>
          </w:p>
        </w:tc>
      </w:tr>
      <w:tr w14:paraId="07035C6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1261" w:hRule="atLeast"/>
          <w:jc w:val="center"/>
        </w:trPr>
        <w:tc>
          <w:tcPr>
            <w:tcW w:w="324" w:type="pct"/>
            <w:tcBorders>
              <w:tl2br w:val="nil"/>
              <w:tr2bl w:val="nil"/>
            </w:tcBorders>
            <w:noWrap w:val="0"/>
            <w:vAlign w:val="center"/>
          </w:tcPr>
          <w:p w14:paraId="2B5CBCD7">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w:t>
            </w:r>
          </w:p>
        </w:tc>
        <w:tc>
          <w:tcPr>
            <w:tcW w:w="2269" w:type="pct"/>
            <w:tcBorders>
              <w:tl2br w:val="nil"/>
              <w:tr2bl w:val="nil"/>
            </w:tcBorders>
            <w:noWrap w:val="0"/>
            <w:vAlign w:val="center"/>
          </w:tcPr>
          <w:p w14:paraId="0A8D3E0C">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资源利用上线：以保障生态安全、改善环境质量为核心，合理确定全省资源利用上线目标，实现水资源与水环境、能源与大气环境、岸线与海洋环境的系统管控。</w:t>
            </w:r>
          </w:p>
        </w:tc>
        <w:tc>
          <w:tcPr>
            <w:tcW w:w="2109" w:type="pct"/>
            <w:tcBorders>
              <w:tl2br w:val="nil"/>
              <w:tr2bl w:val="nil"/>
            </w:tcBorders>
            <w:noWrap w:val="0"/>
            <w:vAlign w:val="center"/>
          </w:tcPr>
          <w:p w14:paraId="7E2C6CDF">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本项目用水由园区供水管网提供，用电由园区供电管网提供，</w:t>
            </w:r>
            <w:r>
              <w:rPr>
                <w:rFonts w:hint="eastAsia" w:ascii="Times New Roman" w:hAnsi="Times New Roman" w:eastAsia="宋体" w:cs="Times New Roman"/>
                <w:color w:val="auto"/>
                <w:sz w:val="21"/>
                <w:szCs w:val="21"/>
                <w:highlight w:val="none"/>
                <w:lang w:val="en-US" w:eastAsia="zh-CN"/>
              </w:rPr>
              <w:t>加药间、实验室等办公区域</w:t>
            </w:r>
            <w:r>
              <w:rPr>
                <w:rFonts w:hint="default" w:ascii="Times New Roman" w:hAnsi="Times New Roman" w:eastAsia="宋体" w:cs="Times New Roman"/>
                <w:color w:val="auto"/>
                <w:sz w:val="21"/>
                <w:szCs w:val="21"/>
                <w:highlight w:val="none"/>
                <w:lang w:val="en-US" w:eastAsia="zh-CN"/>
              </w:rPr>
              <w:t>冬季采暖采用单体空调。项目在现有厂区内扩建，不新增占地。符合资源利用上线。</w:t>
            </w:r>
          </w:p>
        </w:tc>
        <w:tc>
          <w:tcPr>
            <w:tcW w:w="296" w:type="pct"/>
            <w:tcBorders>
              <w:tl2br w:val="nil"/>
              <w:tr2bl w:val="nil"/>
            </w:tcBorders>
            <w:noWrap w:val="0"/>
            <w:vAlign w:val="center"/>
          </w:tcPr>
          <w:p w14:paraId="36030B90">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符合</w:t>
            </w:r>
          </w:p>
        </w:tc>
      </w:tr>
      <w:tr w14:paraId="4FADEDE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15" w:hRule="atLeast"/>
          <w:jc w:val="center"/>
        </w:trPr>
        <w:tc>
          <w:tcPr>
            <w:tcW w:w="5000" w:type="pct"/>
            <w:gridSpan w:val="4"/>
            <w:tcBorders>
              <w:tl2br w:val="nil"/>
              <w:tr2bl w:val="nil"/>
            </w:tcBorders>
            <w:noWrap w:val="0"/>
            <w:vAlign w:val="center"/>
          </w:tcPr>
          <w:p w14:paraId="00600047">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二、构建生态环境分区管控体系——分类管控要求</w:t>
            </w:r>
          </w:p>
        </w:tc>
      </w:tr>
      <w:tr w14:paraId="69ED77C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04" w:hRule="atLeast"/>
          <w:jc w:val="center"/>
        </w:trPr>
        <w:tc>
          <w:tcPr>
            <w:tcW w:w="324" w:type="pct"/>
            <w:tcBorders>
              <w:tl2br w:val="nil"/>
              <w:tr2bl w:val="nil"/>
            </w:tcBorders>
            <w:noWrap w:val="0"/>
            <w:vAlign w:val="center"/>
          </w:tcPr>
          <w:p w14:paraId="6714A924">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w:t>
            </w:r>
          </w:p>
        </w:tc>
        <w:tc>
          <w:tcPr>
            <w:tcW w:w="2269" w:type="pct"/>
            <w:tcBorders>
              <w:tl2br w:val="nil"/>
              <w:tr2bl w:val="nil"/>
            </w:tcBorders>
            <w:noWrap w:val="0"/>
            <w:vAlign w:val="center"/>
          </w:tcPr>
          <w:p w14:paraId="7375D4F1">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重点管控单元：省级以上产业园区重点管控单元：严格产业准入，完善园区设施建设，推动设施提标改造；实施污染物总量控制，落实排污许可证制度；强化资源利用效率和地下水开采管控。</w:t>
            </w:r>
          </w:p>
        </w:tc>
        <w:tc>
          <w:tcPr>
            <w:tcW w:w="2109" w:type="pct"/>
            <w:tcBorders>
              <w:tl2br w:val="nil"/>
              <w:tr2bl w:val="nil"/>
            </w:tcBorders>
            <w:noWrap w:val="0"/>
            <w:vAlign w:val="center"/>
          </w:tcPr>
          <w:p w14:paraId="0CE22E1B">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本项目位于唐山市曹妃甸区垦丰家居产业园区，项目符合园区的产业布局规划和用地布局规划；本项目废气污染源均满足相关标准；本项目</w:t>
            </w:r>
            <w:r>
              <w:rPr>
                <w:rFonts w:hint="eastAsia" w:ascii="Times New Roman" w:hAnsi="Times New Roman" w:eastAsia="宋体" w:cs="Times New Roman"/>
                <w:color w:val="auto"/>
                <w:sz w:val="21"/>
                <w:szCs w:val="21"/>
                <w:highlight w:val="none"/>
                <w:lang w:val="en-US" w:eastAsia="zh-CN"/>
              </w:rPr>
              <w:t>不涉及</w:t>
            </w:r>
            <w:r>
              <w:rPr>
                <w:rFonts w:hint="default" w:ascii="Times New Roman" w:hAnsi="Times New Roman" w:eastAsia="宋体" w:cs="Times New Roman"/>
                <w:color w:val="auto"/>
                <w:sz w:val="21"/>
                <w:szCs w:val="21"/>
                <w:highlight w:val="none"/>
                <w:lang w:val="en-US" w:eastAsia="zh-CN"/>
              </w:rPr>
              <w:t>总量控制指标。</w:t>
            </w:r>
          </w:p>
        </w:tc>
        <w:tc>
          <w:tcPr>
            <w:tcW w:w="296" w:type="pct"/>
            <w:tcBorders>
              <w:tl2br w:val="nil"/>
              <w:tr2bl w:val="nil"/>
            </w:tcBorders>
            <w:noWrap w:val="0"/>
            <w:vAlign w:val="center"/>
          </w:tcPr>
          <w:p w14:paraId="4355891A">
            <w:pPr>
              <w:spacing w:line="34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符合</w:t>
            </w:r>
          </w:p>
        </w:tc>
      </w:tr>
      <w:tr w14:paraId="3C6CA0F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35" w:hRule="atLeast"/>
          <w:jc w:val="center"/>
        </w:trPr>
        <w:tc>
          <w:tcPr>
            <w:tcW w:w="5000" w:type="pct"/>
            <w:gridSpan w:val="4"/>
            <w:tcBorders>
              <w:tl2br w:val="nil"/>
              <w:tr2bl w:val="nil"/>
            </w:tcBorders>
            <w:noWrap w:val="0"/>
            <w:vAlign w:val="center"/>
          </w:tcPr>
          <w:p w14:paraId="611D06EF">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三、加快“三线一单”成果应用——做好产业准入环保支撑</w:t>
            </w:r>
          </w:p>
        </w:tc>
      </w:tr>
      <w:tr w14:paraId="1C55ECB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61" w:hRule="atLeast"/>
          <w:jc w:val="center"/>
        </w:trPr>
        <w:tc>
          <w:tcPr>
            <w:tcW w:w="324" w:type="pct"/>
            <w:tcBorders>
              <w:tl2br w:val="nil"/>
              <w:tr2bl w:val="nil"/>
            </w:tcBorders>
            <w:noWrap w:val="0"/>
            <w:vAlign w:val="center"/>
          </w:tcPr>
          <w:p w14:paraId="6372FB82">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w:t>
            </w:r>
          </w:p>
        </w:tc>
        <w:tc>
          <w:tcPr>
            <w:tcW w:w="2269" w:type="pct"/>
            <w:tcBorders>
              <w:tl2br w:val="nil"/>
              <w:tr2bl w:val="nil"/>
            </w:tcBorders>
            <w:noWrap w:val="0"/>
            <w:vAlign w:val="center"/>
          </w:tcPr>
          <w:p w14:paraId="634F4B26">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各地各部门要充分发挥生态环境准入清单编制及落实实施等方面的作用，将“三线一单”成果应用到规划环评审查和建设项目环评审批中，将“三线一单”生态环境分区管控要求作为具体区域、园区和单元项目准入的重要支撑。</w:t>
            </w:r>
          </w:p>
        </w:tc>
        <w:tc>
          <w:tcPr>
            <w:tcW w:w="2109" w:type="pct"/>
            <w:tcBorders>
              <w:tl2br w:val="nil"/>
              <w:tr2bl w:val="nil"/>
            </w:tcBorders>
            <w:noWrap w:val="0"/>
            <w:vAlign w:val="center"/>
          </w:tcPr>
          <w:p w14:paraId="24FCD882">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本项目位于唐山市曹妃甸区垦丰家居产业园区，符合园区“三线一单”相关要求</w:t>
            </w:r>
          </w:p>
        </w:tc>
        <w:tc>
          <w:tcPr>
            <w:tcW w:w="296" w:type="pct"/>
            <w:tcBorders>
              <w:tl2br w:val="nil"/>
              <w:tr2bl w:val="nil"/>
            </w:tcBorders>
            <w:noWrap w:val="0"/>
            <w:vAlign w:val="center"/>
          </w:tcPr>
          <w:p w14:paraId="634474D6">
            <w:pPr>
              <w:spacing w:line="34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符合</w:t>
            </w:r>
          </w:p>
        </w:tc>
      </w:tr>
    </w:tbl>
    <w:p w14:paraId="539E13F5">
      <w:pPr>
        <w:pStyle w:val="6"/>
        <w:pageBreakBefore w:val="0"/>
        <w:widowControl w:val="0"/>
        <w:kinsoku/>
        <w:wordWrap/>
        <w:overflowPunct/>
        <w:topLinePunct w:val="0"/>
        <w:bidi w:val="0"/>
        <w:spacing w:before="0" w:beforeLines="0" w:after="0" w:afterLines="0" w:line="480" w:lineRule="exact"/>
        <w:textAlignment w:val="auto"/>
        <w:rPr>
          <w:rFonts w:hint="default" w:ascii="Times New Roman" w:hAnsi="Times New Roman" w:eastAsia="宋体" w:cs="Times New Roman"/>
          <w:b/>
          <w:bCs/>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2.</w:t>
      </w:r>
      <w:r>
        <w:rPr>
          <w:rFonts w:hint="default" w:ascii="Times New Roman" w:hAnsi="Times New Roman" w:eastAsia="宋体" w:cs="Times New Roman"/>
          <w:color w:val="000000" w:themeColor="text1"/>
          <w:highlight w:val="none"/>
          <w:lang w:val="en-US" w:eastAsia="zh-CN"/>
          <w14:textFill>
            <w14:solidFill>
              <w14:schemeClr w14:val="tx1"/>
            </w14:solidFill>
          </w14:textFill>
        </w:rPr>
        <w:t>7</w:t>
      </w:r>
      <w:r>
        <w:rPr>
          <w:rFonts w:hint="default" w:ascii="Times New Roman" w:hAnsi="Times New Roman" w:eastAsia="宋体" w:cs="Times New Roman"/>
          <w:color w:val="000000" w:themeColor="text1"/>
          <w:highlight w:val="none"/>
          <w14:textFill>
            <w14:solidFill>
              <w14:schemeClr w14:val="tx1"/>
            </w14:solidFill>
          </w14:textFill>
        </w:rPr>
        <w:t>.</w:t>
      </w:r>
      <w:r>
        <w:rPr>
          <w:rFonts w:hint="default" w:ascii="Times New Roman" w:hAnsi="Times New Roman" w:eastAsia="宋体" w:cs="Times New Roman"/>
          <w:color w:val="000000" w:themeColor="text1"/>
          <w:highlight w:val="none"/>
          <w:lang w:val="en-US" w:eastAsia="zh-CN"/>
          <w14:textFill>
            <w14:solidFill>
              <w14:schemeClr w14:val="tx1"/>
            </w14:solidFill>
          </w14:textFill>
        </w:rPr>
        <w:t>3</w:t>
      </w:r>
      <w:r>
        <w:rPr>
          <w:rFonts w:hint="default" w:ascii="Times New Roman" w:hAnsi="Times New Roman" w:eastAsia="宋体" w:cs="Times New Roman"/>
          <w:b/>
          <w:bCs/>
          <w:color w:val="000000" w:themeColor="text1"/>
          <w:sz w:val="24"/>
          <w:szCs w:val="24"/>
          <w:highlight w:val="none"/>
          <w14:textFill>
            <w14:solidFill>
              <w14:schemeClr w14:val="tx1"/>
            </w14:solidFill>
          </w14:textFill>
        </w:rPr>
        <w:t>与</w:t>
      </w: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《唐山市人民政府关于实施“三线一单”生态环境分区管控的意见》</w:t>
      </w:r>
      <w:r>
        <w:rPr>
          <w:rFonts w:hint="default" w:ascii="Times New Roman" w:hAnsi="Times New Roman" w:eastAsia="宋体" w:cs="Times New Roman"/>
          <w:b/>
          <w:bCs/>
          <w:color w:val="000000" w:themeColor="text1"/>
          <w:sz w:val="24"/>
          <w:szCs w:val="24"/>
          <w:highlight w:val="none"/>
          <w14:textFill>
            <w14:solidFill>
              <w14:schemeClr w14:val="tx1"/>
            </w14:solidFill>
          </w14:textFill>
        </w:rPr>
        <w:t>符合性分析</w:t>
      </w:r>
    </w:p>
    <w:p w14:paraId="3F4C47C9">
      <w:pPr>
        <w:rPr>
          <w:rFonts w:hint="default"/>
          <w:lang w:val="en-US" w:eastAsia="zh-CN"/>
        </w:rPr>
      </w:pPr>
      <w:r>
        <w:rPr>
          <w:rFonts w:hint="default"/>
          <w:lang w:val="en-US" w:eastAsia="zh-CN"/>
        </w:rPr>
        <w:t>根据《唐山市人民政府关于实施“三线一单”生态环境分区管控的意见》（唐政字〔2021〕48号）及《唐山市生态环境准入清单》（2023年版)，加快实施“生态保护红线、环境质量底线、资源利用上线和生态环境准入清单”（以下简称“三线一单”），构建生态环境分区管控体系，推动经济高质量发展和生态环境高水平保护协同并进。全市共划定环境管控单元228个，分为优先管控单元、重点管控单元和一般管控单元。</w:t>
      </w:r>
    </w:p>
    <w:p w14:paraId="0A91AF63">
      <w:pPr>
        <w:rPr>
          <w:rFonts w:hint="default"/>
          <w:lang w:val="en-US" w:eastAsia="zh-CN"/>
        </w:rPr>
        <w:sectPr>
          <w:type w:val="continuous"/>
          <w:pgSz w:w="11906" w:h="16838"/>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r>
        <w:rPr>
          <w:rFonts w:hint="default"/>
          <w:lang w:val="en-US" w:eastAsia="zh-CN"/>
        </w:rPr>
        <w:t>本项目位于曹妃甸区垦丰家居产业园区内，由唐山市环境管控单元分布图知，本项目属于重点管控单元。在管控单元位置见图2.7-2，本项目与唐山市“三线一单”符合性分析见表2.7-5</w:t>
      </w:r>
    </w:p>
    <w:p w14:paraId="3D1EB26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highlight w:val="yellow"/>
          <w:lang w:eastAsia="zh-CN"/>
          <w14:textFill>
            <w14:solidFill>
              <w14:schemeClr w14:val="tx1"/>
            </w14:solidFill>
          </w14:textFill>
        </w:rPr>
      </w:pPr>
      <w:r>
        <w:rPr>
          <w:rFonts w:hint="eastAsia" w:ascii="Times New Roman" w:hAnsi="Times New Roman" w:eastAsia="宋体" w:cs="Times New Roman"/>
          <w:color w:val="000000" w:themeColor="text1"/>
          <w:sz w:val="21"/>
          <w:highlight w:val="none"/>
          <w:lang w:eastAsia="zh-CN"/>
          <w14:textFill>
            <w14:solidFill>
              <w14:schemeClr w14:val="tx1"/>
            </w14:solidFill>
          </w14:textFill>
        </w:rPr>
        <w:drawing>
          <wp:inline distT="0" distB="0" distL="114300" distR="114300">
            <wp:extent cx="7578725" cy="5383530"/>
            <wp:effectExtent l="0" t="0" r="3175" b="7620"/>
            <wp:docPr id="1" name="图片 1" descr="1725326624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725326624598"/>
                    <pic:cNvPicPr>
                      <a:picLocks noChangeAspect="1"/>
                    </pic:cNvPicPr>
                  </pic:nvPicPr>
                  <pic:blipFill>
                    <a:blip r:embed="rId37"/>
                    <a:stretch>
                      <a:fillRect/>
                    </a:stretch>
                  </pic:blipFill>
                  <pic:spPr>
                    <a:xfrm>
                      <a:off x="0" y="0"/>
                      <a:ext cx="7578725" cy="5383530"/>
                    </a:xfrm>
                    <a:prstGeom prst="rect">
                      <a:avLst/>
                    </a:prstGeom>
                  </pic:spPr>
                </pic:pic>
              </a:graphicData>
            </a:graphic>
          </wp:inline>
        </w:drawing>
      </w:r>
    </w:p>
    <w:p w14:paraId="56CAC1C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sectPr>
          <w:headerReference r:id="rId16" w:type="default"/>
          <w:footerReference r:id="rId17" w:type="default"/>
          <w:pgSz w:w="16838" w:h="11906" w:orient="landscape"/>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r>
        <w:rPr>
          <w:rFonts w:hint="eastAsia" w:cs="Times New Roman"/>
          <w:b/>
          <w:bCs/>
          <w:color w:val="000000" w:themeColor="text1"/>
          <w:sz w:val="21"/>
          <w:highlight w:val="none"/>
          <w:lang w:val="en-US" w:eastAsia="zh-CN"/>
          <w14:textFill>
            <w14:solidFill>
              <w14:schemeClr w14:val="tx1"/>
            </w14:solidFill>
          </w14:textFill>
        </w:rPr>
        <w:t>图2.7-2</w:t>
      </w: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项目在环境管控单元分布图中</w:t>
      </w:r>
      <w:r>
        <w:rPr>
          <w:rFonts w:hint="eastAsia" w:cs="Times New Roman"/>
          <w:b/>
          <w:bCs/>
          <w:color w:val="000000" w:themeColor="text1"/>
          <w:sz w:val="24"/>
          <w:szCs w:val="24"/>
          <w:highlight w:val="none"/>
          <w:lang w:val="en-US" w:eastAsia="zh-CN"/>
          <w14:textFill>
            <w14:solidFill>
              <w14:schemeClr w14:val="tx1"/>
            </w14:solidFill>
          </w14:textFill>
        </w:rPr>
        <w:t>位置</w:t>
      </w:r>
    </w:p>
    <w:p w14:paraId="017E9C9B">
      <w:pPr>
        <w:pageBreakBefore w:val="0"/>
        <w:widowControl w:val="0"/>
        <w:numPr>
          <w:ilvl w:val="0"/>
          <w:numId w:val="16"/>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bCs/>
          <w:color w:val="000000" w:themeColor="text1"/>
          <w:spacing w:val="0"/>
          <w:sz w:val="24"/>
          <w:szCs w:val="24"/>
          <w:highlight w:val="none"/>
          <w:lang w:val="zh-CN" w:eastAsia="zh-CN"/>
          <w14:textFill>
            <w14:solidFill>
              <w14:schemeClr w14:val="tx1"/>
            </w14:solidFill>
          </w14:textFill>
        </w:rPr>
      </w:pPr>
      <w:r>
        <w:rPr>
          <w:rFonts w:hint="default" w:ascii="Times New Roman" w:hAnsi="Times New Roman" w:eastAsia="宋体" w:cs="Times New Roman"/>
          <w:b/>
          <w:bCs/>
          <w:color w:val="000000" w:themeColor="text1"/>
          <w:spacing w:val="0"/>
          <w:sz w:val="24"/>
          <w:szCs w:val="24"/>
          <w:highlight w:val="none"/>
          <w:lang w:val="en-US" w:eastAsia="zh-CN"/>
          <w14:textFill>
            <w14:solidFill>
              <w14:schemeClr w14:val="tx1"/>
            </w14:solidFill>
          </w14:textFill>
        </w:rPr>
        <w:t>唐山市</w:t>
      </w:r>
      <w:r>
        <w:rPr>
          <w:rFonts w:hint="default" w:ascii="Times New Roman" w:hAnsi="Times New Roman" w:eastAsia="宋体" w:cs="Times New Roman"/>
          <w:b/>
          <w:bCs/>
          <w:color w:val="000000" w:themeColor="text1"/>
          <w:spacing w:val="0"/>
          <w:sz w:val="24"/>
          <w:szCs w:val="24"/>
          <w:highlight w:val="none"/>
          <w:lang w:val="zh-CN" w:eastAsia="zh-CN"/>
          <w14:textFill>
            <w14:solidFill>
              <w14:schemeClr w14:val="tx1"/>
            </w14:solidFill>
          </w14:textFill>
        </w:rPr>
        <w:t>“三线一单”重点管控单元符合性分析</w:t>
      </w:r>
    </w:p>
    <w:tbl>
      <w:tblPr>
        <w:tblStyle w:val="47"/>
        <w:tblW w:w="4989"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845"/>
        <w:gridCol w:w="974"/>
        <w:gridCol w:w="9922"/>
        <w:gridCol w:w="1846"/>
        <w:gridCol w:w="602"/>
      </w:tblGrid>
      <w:tr w14:paraId="6117942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18" w:hRule="atLeast"/>
          <w:jc w:val="center"/>
        </w:trPr>
        <w:tc>
          <w:tcPr>
            <w:tcW w:w="297" w:type="pct"/>
            <w:noWrap w:val="0"/>
            <w:vAlign w:val="center"/>
          </w:tcPr>
          <w:p w14:paraId="366079E4">
            <w:pPr>
              <w:pStyle w:val="58"/>
              <w:bidi w:val="0"/>
              <w:rPr>
                <w:rFonts w:hint="default"/>
                <w:lang w:eastAsia="zh-CN"/>
              </w:rPr>
            </w:pPr>
            <w:r>
              <w:rPr>
                <w:rFonts w:hint="default"/>
                <w:lang w:eastAsia="zh-CN"/>
              </w:rPr>
              <w:t>要素属性</w:t>
            </w:r>
          </w:p>
        </w:tc>
        <w:tc>
          <w:tcPr>
            <w:tcW w:w="343" w:type="pct"/>
            <w:noWrap w:val="0"/>
            <w:vAlign w:val="center"/>
          </w:tcPr>
          <w:p w14:paraId="4426A748">
            <w:pPr>
              <w:pStyle w:val="58"/>
              <w:bidi w:val="0"/>
              <w:rPr>
                <w:rFonts w:hint="default"/>
                <w:lang w:eastAsia="zh-CN"/>
              </w:rPr>
            </w:pPr>
            <w:r>
              <w:rPr>
                <w:rFonts w:hint="default"/>
              </w:rPr>
              <w:t>管控</w:t>
            </w:r>
            <w:r>
              <w:rPr>
                <w:rFonts w:hint="default"/>
                <w:lang w:eastAsia="zh-CN"/>
              </w:rPr>
              <w:t>类别</w:t>
            </w:r>
          </w:p>
        </w:tc>
        <w:tc>
          <w:tcPr>
            <w:tcW w:w="3496" w:type="pct"/>
            <w:noWrap w:val="0"/>
            <w:vAlign w:val="center"/>
          </w:tcPr>
          <w:p w14:paraId="17B87B6F">
            <w:pPr>
              <w:pStyle w:val="58"/>
              <w:bidi w:val="0"/>
              <w:rPr>
                <w:rFonts w:hint="default"/>
                <w:lang w:eastAsia="zh-CN"/>
              </w:rPr>
            </w:pPr>
            <w:r>
              <w:rPr>
                <w:rFonts w:hint="default"/>
              </w:rPr>
              <w:t>管控</w:t>
            </w:r>
            <w:r>
              <w:rPr>
                <w:rFonts w:hint="default"/>
                <w:lang w:eastAsia="zh-CN"/>
              </w:rPr>
              <w:t>要求</w:t>
            </w:r>
          </w:p>
        </w:tc>
        <w:tc>
          <w:tcPr>
            <w:tcW w:w="650" w:type="pct"/>
            <w:noWrap w:val="0"/>
            <w:vAlign w:val="center"/>
          </w:tcPr>
          <w:p w14:paraId="20991BC2">
            <w:pPr>
              <w:pStyle w:val="58"/>
              <w:bidi w:val="0"/>
              <w:rPr>
                <w:rFonts w:hint="default"/>
              </w:rPr>
            </w:pPr>
            <w:r>
              <w:rPr>
                <w:rFonts w:hint="default"/>
              </w:rPr>
              <w:t>本项目实际</w:t>
            </w:r>
          </w:p>
        </w:tc>
        <w:tc>
          <w:tcPr>
            <w:tcW w:w="212" w:type="pct"/>
            <w:noWrap w:val="0"/>
            <w:vAlign w:val="center"/>
          </w:tcPr>
          <w:p w14:paraId="6025EFC6">
            <w:pPr>
              <w:pStyle w:val="58"/>
              <w:bidi w:val="0"/>
              <w:rPr>
                <w:rFonts w:hint="default"/>
                <w:lang w:eastAsia="zh-CN"/>
              </w:rPr>
            </w:pPr>
            <w:r>
              <w:rPr>
                <w:rFonts w:hint="default"/>
                <w:lang w:eastAsia="zh-CN"/>
              </w:rPr>
              <w:t>结论</w:t>
            </w:r>
          </w:p>
        </w:tc>
      </w:tr>
      <w:tr w14:paraId="5ABCFED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97" w:type="pct"/>
            <w:vMerge w:val="restart"/>
            <w:noWrap w:val="0"/>
            <w:vAlign w:val="center"/>
          </w:tcPr>
          <w:p w14:paraId="49A8E1AC">
            <w:pPr>
              <w:pStyle w:val="58"/>
              <w:bidi w:val="0"/>
              <w:rPr>
                <w:rFonts w:hint="default"/>
                <w:lang w:eastAsia="zh-CN"/>
              </w:rPr>
            </w:pPr>
            <w:r>
              <w:rPr>
                <w:rFonts w:hint="default"/>
                <w:lang w:eastAsia="zh-CN"/>
              </w:rPr>
              <w:t>大气环境</w:t>
            </w:r>
          </w:p>
        </w:tc>
        <w:tc>
          <w:tcPr>
            <w:tcW w:w="343" w:type="pct"/>
            <w:noWrap w:val="0"/>
            <w:vAlign w:val="center"/>
          </w:tcPr>
          <w:p w14:paraId="3E0BEF0F">
            <w:pPr>
              <w:pStyle w:val="58"/>
              <w:bidi w:val="0"/>
              <w:rPr>
                <w:rFonts w:hint="default"/>
                <w:lang w:val="zh-TW" w:eastAsia="zh-TW"/>
              </w:rPr>
            </w:pPr>
            <w:r>
              <w:rPr>
                <w:rFonts w:hint="default"/>
              </w:rPr>
              <w:t>空间布局约束</w:t>
            </w:r>
          </w:p>
        </w:tc>
        <w:tc>
          <w:tcPr>
            <w:tcW w:w="3496" w:type="pct"/>
            <w:noWrap w:val="0"/>
            <w:vAlign w:val="center"/>
          </w:tcPr>
          <w:p w14:paraId="1F8EB580">
            <w:pPr>
              <w:pStyle w:val="58"/>
              <w:bidi w:val="0"/>
              <w:jc w:val="left"/>
              <w:rPr>
                <w:rFonts w:hint="default"/>
              </w:rPr>
            </w:pPr>
            <w:r>
              <w:rPr>
                <w:rFonts w:hint="default"/>
              </w:rPr>
              <w:t>1、</w:t>
            </w:r>
            <w:r>
              <w:rPr>
                <w:rFonts w:hint="default"/>
              </w:rPr>
              <w:tab/>
            </w:r>
            <w:r>
              <w:rPr>
                <w:rFonts w:hint="default"/>
              </w:rPr>
              <w:t>全面推进沿海、迁安、滦州、迁西（遵化）4大片区规划建设，加快推进钢铁企业整合搬迁项目建设，推进</w:t>
            </w:r>
            <w:r>
              <w:rPr>
                <w:rFonts w:hint="default"/>
                <w:lang w:val="zh-CN" w:eastAsia="zh-CN"/>
              </w:rPr>
              <w:t>“公转</w:t>
            </w:r>
            <w:r>
              <w:rPr>
                <w:rFonts w:hint="default"/>
              </w:rPr>
              <w:t>铁”、</w:t>
            </w:r>
            <w:r>
              <w:rPr>
                <w:rFonts w:hint="default"/>
                <w:lang w:val="zh-CN" w:eastAsia="zh-CN"/>
              </w:rPr>
              <w:t>“公</w:t>
            </w:r>
            <w:r>
              <w:rPr>
                <w:rFonts w:hint="default"/>
              </w:rPr>
              <w:t>转水</w:t>
            </w:r>
            <w:r>
              <w:rPr>
                <w:rFonts w:hint="default"/>
                <w:lang w:val="zh-CN" w:eastAsia="zh-CN"/>
              </w:rPr>
              <w:t>”和物</w:t>
            </w:r>
            <w:r>
              <w:rPr>
                <w:rFonts w:hint="default"/>
              </w:rPr>
              <w:t>料集中输送管廊项目建设，形成</w:t>
            </w:r>
            <w:r>
              <w:rPr>
                <w:rFonts w:hint="default"/>
                <w:lang w:val="zh-CN" w:eastAsia="zh-CN"/>
              </w:rPr>
              <w:t>“沿海</w:t>
            </w:r>
            <w:r>
              <w:rPr>
                <w:rFonts w:hint="default"/>
              </w:rPr>
              <w:t>临港、铁路沿线”产业新布局。</w:t>
            </w:r>
          </w:p>
          <w:p w14:paraId="6CD47E59">
            <w:pPr>
              <w:pStyle w:val="58"/>
              <w:bidi w:val="0"/>
              <w:jc w:val="left"/>
              <w:rPr>
                <w:rFonts w:hint="default"/>
              </w:rPr>
            </w:pPr>
            <w:r>
              <w:rPr>
                <w:rFonts w:hint="default"/>
                <w:lang w:val="en-US" w:eastAsia="zh-CN"/>
              </w:rPr>
              <w:t>2</w:t>
            </w:r>
            <w:r>
              <w:rPr>
                <w:rFonts w:hint="default"/>
              </w:rPr>
              <w:t>、</w:t>
            </w:r>
            <w:r>
              <w:rPr>
                <w:rFonts w:hint="default"/>
              </w:rPr>
              <w:tab/>
            </w:r>
            <w:r>
              <w:rPr>
                <w:rFonts w:hint="default"/>
                <w:lang w:val="en-US" w:eastAsia="zh-CN"/>
              </w:rPr>
              <w:t>严禁违规新增钢铁、焦化、平板玻璃、水泥、陶瓷产能，禁止新建《产业结构调整指导目录》中限制类项目。</w:t>
            </w:r>
          </w:p>
          <w:p w14:paraId="3F7E585E">
            <w:pPr>
              <w:pStyle w:val="58"/>
              <w:bidi w:val="0"/>
              <w:jc w:val="left"/>
              <w:rPr>
                <w:rFonts w:hint="default"/>
              </w:rPr>
            </w:pPr>
            <w:r>
              <w:rPr>
                <w:rFonts w:hint="default"/>
              </w:rPr>
              <w:t>3、</w:t>
            </w:r>
            <w:r>
              <w:rPr>
                <w:rFonts w:hint="default"/>
              </w:rPr>
              <w:tab/>
            </w:r>
            <w:r>
              <w:rPr>
                <w:rFonts w:hint="default"/>
                <w:lang w:val="en-US" w:eastAsia="zh-CN"/>
              </w:rPr>
              <w:t>新（改、扩）建项目严格执行产能置换、煤炭替代和污染物倍量削减替代制度，当地有相关园区规划的，原则上要进入园区并配套建设高效环保治理设施，符合园区规划环评、建设项目环评要求。</w:t>
            </w:r>
          </w:p>
          <w:p w14:paraId="5F17BCF0">
            <w:pPr>
              <w:pStyle w:val="58"/>
              <w:bidi w:val="0"/>
              <w:jc w:val="left"/>
              <w:rPr>
                <w:rFonts w:hint="default"/>
              </w:rPr>
            </w:pPr>
            <w:r>
              <w:rPr>
                <w:rFonts w:hint="default"/>
              </w:rPr>
              <w:t>4、</w:t>
            </w:r>
            <w:r>
              <w:rPr>
                <w:rFonts w:hint="default"/>
                <w:lang w:val="en-US" w:eastAsia="zh-CN"/>
              </w:rPr>
              <w:t>基本取缔燃煤热风炉和钢铁行业燃煤供热锅炉，基本淘汰热电联产供热管网覆盖范围内的燃煤加热、烘干炉（窑）。</w:t>
            </w:r>
          </w:p>
          <w:p w14:paraId="07418038">
            <w:pPr>
              <w:pStyle w:val="58"/>
              <w:bidi w:val="0"/>
              <w:jc w:val="left"/>
              <w:rPr>
                <w:rFonts w:hint="default"/>
                <w:lang w:val="zh-TW" w:eastAsia="zh-TW"/>
              </w:rPr>
            </w:pPr>
            <w:r>
              <w:rPr>
                <w:rFonts w:hint="default"/>
              </w:rPr>
              <w:t>5、</w:t>
            </w:r>
            <w:r>
              <w:rPr>
                <w:rFonts w:hint="default"/>
              </w:rPr>
              <w:tab/>
            </w:r>
            <w:r>
              <w:rPr>
                <w:rFonts w:hint="default"/>
                <w:lang w:val="en-US" w:eastAsia="zh-CN"/>
              </w:rPr>
              <w:t>对热效率低下、敞开未封闭，装备简易落后、自动化程度低，布局分散、规模小、无组织排放突出，以及无治理设施或治理设施工艺落后的工业炉窑，依法责令停业关闭。</w:t>
            </w:r>
          </w:p>
        </w:tc>
        <w:tc>
          <w:tcPr>
            <w:tcW w:w="650" w:type="pct"/>
            <w:noWrap w:val="0"/>
            <w:vAlign w:val="center"/>
          </w:tcPr>
          <w:p w14:paraId="55956081">
            <w:pPr>
              <w:pStyle w:val="58"/>
              <w:bidi w:val="0"/>
              <w:rPr>
                <w:rFonts w:hint="default"/>
                <w:lang w:eastAsia="zh-CN"/>
              </w:rPr>
            </w:pPr>
            <w:r>
              <w:rPr>
                <w:rFonts w:hint="default"/>
                <w:lang w:eastAsia="zh-CN"/>
              </w:rPr>
              <w:t>本项目为</w:t>
            </w:r>
            <w:bookmarkStart w:id="109" w:name="OLE_LINK89"/>
            <w:r>
              <w:rPr>
                <w:rFonts w:hint="default"/>
                <w:lang w:eastAsia="zh-CN"/>
              </w:rPr>
              <w:t>污水处理及其再生利用</w:t>
            </w:r>
            <w:r>
              <w:rPr>
                <w:rFonts w:hint="default"/>
                <w:lang w:val="en-US" w:eastAsia="zh-CN"/>
              </w:rPr>
              <w:t>项目</w:t>
            </w:r>
            <w:bookmarkEnd w:id="109"/>
            <w:r>
              <w:rPr>
                <w:rFonts w:hint="default"/>
                <w:lang w:val="en-US" w:eastAsia="zh-CN"/>
              </w:rPr>
              <w:t>，不涉及管控要求中相关内容</w:t>
            </w:r>
            <w:r>
              <w:rPr>
                <w:rFonts w:hint="default"/>
                <w:lang w:eastAsia="zh-CN"/>
              </w:rPr>
              <w:t>。</w:t>
            </w:r>
          </w:p>
        </w:tc>
        <w:tc>
          <w:tcPr>
            <w:tcW w:w="212" w:type="pct"/>
            <w:noWrap w:val="0"/>
            <w:vAlign w:val="center"/>
          </w:tcPr>
          <w:p w14:paraId="4A90121D">
            <w:pPr>
              <w:pStyle w:val="58"/>
              <w:bidi w:val="0"/>
              <w:rPr>
                <w:rFonts w:hint="default"/>
              </w:rPr>
            </w:pPr>
            <w:r>
              <w:rPr>
                <w:rFonts w:hint="default"/>
              </w:rPr>
              <w:t>符合</w:t>
            </w:r>
          </w:p>
        </w:tc>
      </w:tr>
      <w:tr w14:paraId="7FE7DEE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97" w:type="pct"/>
            <w:vMerge w:val="continue"/>
            <w:noWrap w:val="0"/>
            <w:vAlign w:val="center"/>
          </w:tcPr>
          <w:p w14:paraId="15234718">
            <w:pPr>
              <w:pStyle w:val="58"/>
              <w:bidi w:val="0"/>
              <w:rPr>
                <w:rFonts w:hint="default"/>
              </w:rPr>
            </w:pPr>
          </w:p>
        </w:tc>
        <w:tc>
          <w:tcPr>
            <w:tcW w:w="343" w:type="pct"/>
            <w:noWrap w:val="0"/>
            <w:vAlign w:val="center"/>
          </w:tcPr>
          <w:p w14:paraId="40AF8F1C">
            <w:pPr>
              <w:pStyle w:val="58"/>
              <w:bidi w:val="0"/>
              <w:rPr>
                <w:rFonts w:hint="default"/>
                <w:lang w:val="zh-TW" w:eastAsia="zh-TW"/>
              </w:rPr>
            </w:pPr>
            <w:r>
              <w:rPr>
                <w:rFonts w:hint="default"/>
              </w:rPr>
              <w:t>污染物排放管控</w:t>
            </w:r>
          </w:p>
        </w:tc>
        <w:tc>
          <w:tcPr>
            <w:tcW w:w="3496" w:type="pct"/>
            <w:noWrap w:val="0"/>
            <w:vAlign w:val="center"/>
          </w:tcPr>
          <w:p w14:paraId="7179087A">
            <w:pPr>
              <w:pStyle w:val="58"/>
              <w:bidi w:val="0"/>
              <w:jc w:val="left"/>
              <w:rPr>
                <w:rFonts w:hint="default"/>
              </w:rPr>
            </w:pPr>
            <w:r>
              <w:rPr>
                <w:rFonts w:hint="default"/>
              </w:rPr>
              <w:t>1、</w:t>
            </w:r>
            <w:r>
              <w:rPr>
                <w:rFonts w:hint="default"/>
                <w:lang w:val="en-US" w:eastAsia="zh-CN"/>
              </w:rPr>
              <w:t>细颗粒物（</w:t>
            </w:r>
            <w:r>
              <w:rPr>
                <w:rFonts w:hint="eastAsia"/>
                <w:lang w:val="en-US" w:eastAsia="zh-CN"/>
              </w:rPr>
              <w:t>PM</w:t>
            </w:r>
            <w:r>
              <w:rPr>
                <w:rFonts w:hint="eastAsia"/>
                <w:vertAlign w:val="subscript"/>
                <w:lang w:val="en-US" w:eastAsia="zh-CN"/>
              </w:rPr>
              <w:t>2.5</w:t>
            </w:r>
            <w:r>
              <w:rPr>
                <w:rFonts w:hint="default"/>
                <w:lang w:val="en-US" w:eastAsia="zh-CN"/>
              </w:rPr>
              <w:t>）年平均浓度不达标的城市，二氧化硫、氮氧化物、烟粉尘、挥发性有机物四项污染物均需进行2倍削减替代（燃煤发电机组大气污染物排放浓度基本达到燃气轮机组排放限值的除外）。</w:t>
            </w:r>
          </w:p>
          <w:p w14:paraId="7A4662CE">
            <w:pPr>
              <w:pStyle w:val="58"/>
              <w:bidi w:val="0"/>
              <w:jc w:val="left"/>
              <w:rPr>
                <w:rFonts w:hint="default"/>
              </w:rPr>
            </w:pPr>
            <w:r>
              <w:rPr>
                <w:rFonts w:hint="default"/>
              </w:rPr>
              <w:t>2、</w:t>
            </w:r>
            <w:r>
              <w:rPr>
                <w:rFonts w:hint="default"/>
                <w:lang w:val="en-US" w:eastAsia="zh-CN"/>
              </w:rPr>
              <w:t>全市范围内禁止新建35蒸吨/小时及以下燃煤锅炉，城市建成区、县城等人口密集区不再建设燃油、燃生物质锅炉。新建锅炉环评文件审批执行新排放标准。新建锅炉应符合质量、安全、节能、环保等各项指标要求。</w:t>
            </w:r>
          </w:p>
          <w:p w14:paraId="60A8EA24">
            <w:pPr>
              <w:pStyle w:val="58"/>
              <w:bidi w:val="0"/>
              <w:jc w:val="left"/>
              <w:rPr>
                <w:rFonts w:hint="default"/>
              </w:rPr>
            </w:pPr>
            <w:r>
              <w:rPr>
                <w:rFonts w:hint="default"/>
              </w:rPr>
              <w:t>3、</w:t>
            </w:r>
            <w:r>
              <w:rPr>
                <w:rFonts w:hint="default"/>
                <w:lang w:val="en-US" w:eastAsia="zh-CN"/>
              </w:rPr>
              <w:t>巩固“双代一清”成果，对“双代”改造外的农户，做好洁净型煤、兰炭、优质无烟煤保供和推广工作，确保洁净煤兜底全覆盖，实现温暖过冬、安全过冬、清洁过冬。</w:t>
            </w:r>
          </w:p>
          <w:p w14:paraId="042CECFE">
            <w:pPr>
              <w:pStyle w:val="58"/>
              <w:bidi w:val="0"/>
              <w:jc w:val="left"/>
              <w:rPr>
                <w:rFonts w:hint="default"/>
                <w:lang w:eastAsia="zh-CN"/>
              </w:rPr>
            </w:pPr>
            <w:r>
              <w:rPr>
                <w:rFonts w:hint="default"/>
                <w:lang w:val="en-US" w:eastAsia="zh-CN"/>
              </w:rPr>
              <w:t>4</w:t>
            </w:r>
            <w:r>
              <w:rPr>
                <w:rFonts w:hint="default"/>
              </w:rPr>
              <w:t>、</w:t>
            </w:r>
            <w:r>
              <w:rPr>
                <w:rFonts w:hint="default"/>
                <w:lang w:val="en-US" w:eastAsia="zh-CN"/>
              </w:rPr>
              <w:t>对保留的工业炉窑开展环保提标改造，配套建设高效脱硫脱硝除尘设施，确保稳定达标排放。加快推进钢铁行业超低排放改造，积极推进平板玻璃行业和水泥行业污染治理升级改造。鼓励具备条件的陶瓷企业陶瓷窑、喷雾干燥塔开展超低排放改造。平板玻璃、建筑陶瓷企业逐步取消脱硫脱硝烟气旁路或设置备用脱硫脱硝等设施，鼓励水泥企业实施全流程污染深度治理。推进具备条件的焦化企业实施干熄焦改造。在保证生产安全前提下，钢铁烧结（球团）、高炉、转炉、轧钢工序实施车间封闭生产。对标行业先进，持续推动污染物排放总量降低</w:t>
            </w:r>
            <w:r>
              <w:rPr>
                <w:rFonts w:hint="default"/>
              </w:rPr>
              <w:t>。</w:t>
            </w:r>
          </w:p>
          <w:p w14:paraId="453BDE67">
            <w:pPr>
              <w:pStyle w:val="58"/>
              <w:bidi w:val="0"/>
              <w:jc w:val="left"/>
              <w:rPr>
                <w:rFonts w:hint="default"/>
              </w:rPr>
            </w:pPr>
            <w:r>
              <w:rPr>
                <w:rFonts w:hint="default"/>
                <w:lang w:val="en-US" w:eastAsia="zh-CN"/>
              </w:rPr>
              <w:t>5、加快推广使用新能源汽车。加快推进城市建成区公交、环卫、邮政、出租、通勤、轻型物流配送车辆采用新能源或清洁能源汽车；港口、机场、铁路货场等新增或更换作业车辆主要采用新能源汽车或国Ⅵ排放标准清洁能源汽车，完善充电基础设施；建设城市绿色物流体系，发展清洁货运。</w:t>
            </w:r>
          </w:p>
          <w:p w14:paraId="1B603499">
            <w:pPr>
              <w:pStyle w:val="58"/>
              <w:bidi w:val="0"/>
              <w:jc w:val="left"/>
              <w:rPr>
                <w:rFonts w:hint="default"/>
              </w:rPr>
            </w:pPr>
            <w:r>
              <w:rPr>
                <w:rFonts w:hint="default"/>
                <w:lang w:val="en-US" w:eastAsia="zh-CN"/>
              </w:rPr>
              <w:t>6、加快油品质量升级。停止销售低于国Ⅵ标准的汽柴油，实现车用柴油、普通柴油、部分船舶用油“三油并轨”。</w:t>
            </w:r>
          </w:p>
          <w:p w14:paraId="61272B50">
            <w:pPr>
              <w:pStyle w:val="58"/>
              <w:bidi w:val="0"/>
              <w:jc w:val="left"/>
              <w:rPr>
                <w:rFonts w:hint="default"/>
              </w:rPr>
            </w:pPr>
            <w:r>
              <w:rPr>
                <w:rFonts w:hint="default"/>
                <w:lang w:val="en-US" w:eastAsia="zh-CN"/>
              </w:rPr>
              <w:t>7、持续推进露天矿山综合整治。对不具备环评要求和环保不达标的有证露天矿山一律实施停产整治，对拒不停产或擅自恢复生产的依法强制关闭。</w:t>
            </w:r>
          </w:p>
          <w:p w14:paraId="2EADD231">
            <w:pPr>
              <w:pStyle w:val="58"/>
              <w:bidi w:val="0"/>
              <w:jc w:val="left"/>
              <w:rPr>
                <w:rFonts w:hint="default"/>
                <w:lang w:val="en-US" w:eastAsia="zh-CN"/>
              </w:rPr>
            </w:pPr>
            <w:r>
              <w:rPr>
                <w:rFonts w:hint="default"/>
                <w:lang w:val="en-US" w:eastAsia="zh-CN"/>
              </w:rPr>
              <w:t>8、深化建筑扬尘专项整治，县城及城市规划建设用地范围内建筑工地全面做到“六个百分之百”和“两个全覆盖”。实施城市土地硬化和复绿。加强道路扬尘综合整治。</w:t>
            </w:r>
          </w:p>
          <w:p w14:paraId="19FF69D0">
            <w:pPr>
              <w:pStyle w:val="58"/>
              <w:bidi w:val="0"/>
              <w:jc w:val="left"/>
              <w:rPr>
                <w:rFonts w:hint="default"/>
              </w:rPr>
            </w:pPr>
            <w:r>
              <w:rPr>
                <w:rFonts w:hint="default"/>
                <w:lang w:val="en-US" w:eastAsia="zh-CN"/>
              </w:rPr>
              <w:t>9、加快重点行业超低排放改造。深入实施工业企业排放达标计划，未达标排放的企业一律依法停产整治。以钢铁、焦化等行业为重点，全面实施超低排放改造。实施重点行业环保“领跑者”制度，推进工业企业“持证排污”、“按证排污”，推行企业排放绩效管理、企业排放信息强制性披露和环境信用评价制度。</w:t>
            </w:r>
          </w:p>
          <w:p w14:paraId="204A4100">
            <w:pPr>
              <w:pStyle w:val="58"/>
              <w:bidi w:val="0"/>
              <w:jc w:val="left"/>
              <w:rPr>
                <w:rFonts w:hint="default"/>
              </w:rPr>
            </w:pPr>
            <w:r>
              <w:rPr>
                <w:rFonts w:hint="default"/>
                <w:lang w:val="en-US" w:eastAsia="zh-CN"/>
              </w:rPr>
              <w:t>10、开展钢铁、建材、火电、焦化、铸造等重点行业无组织排放排查工作，分行业建立无组织排放改造清单和管理台账，不断强化无组织排放控制管理。</w:t>
            </w:r>
          </w:p>
          <w:p w14:paraId="1D3A9629">
            <w:pPr>
              <w:pStyle w:val="58"/>
              <w:bidi w:val="0"/>
              <w:jc w:val="left"/>
              <w:rPr>
                <w:rFonts w:hint="default"/>
              </w:rPr>
            </w:pPr>
            <w:r>
              <w:rPr>
                <w:rFonts w:hint="default"/>
                <w:lang w:val="en-US" w:eastAsia="zh-CN"/>
              </w:rPr>
              <w:t>11、加强重污染天气应急联动。加强污染气象条件和空气污染监测、预报预警和评估能力建设，建成全市区域传输监控预警系统，提高重污染天气预报预警的准确度。加大秋冬季工业企业生产调控力度，按照基本抵消新增污染物排放量的原则，对钢铁、建材、焦化、铸造、化工等高排放行业实行强化管控。</w:t>
            </w:r>
          </w:p>
          <w:p w14:paraId="4AFAC113">
            <w:pPr>
              <w:pStyle w:val="58"/>
              <w:bidi w:val="0"/>
              <w:jc w:val="left"/>
              <w:rPr>
                <w:rFonts w:hint="default"/>
              </w:rPr>
            </w:pPr>
            <w:r>
              <w:rPr>
                <w:rFonts w:hint="default"/>
                <w:lang w:val="en-US" w:eastAsia="zh-CN"/>
              </w:rPr>
              <w:t>12、强化柴油货车污染防治。加快柴油货车治理，推动货运经营整合升级、提质增效，加快规模化发展、连锁化经营。实施清洁柴油车、清洁运输和清洁油品行动，降低污染排放总量。</w:t>
            </w:r>
          </w:p>
          <w:p w14:paraId="74130C87">
            <w:pPr>
              <w:pStyle w:val="58"/>
              <w:bidi w:val="0"/>
              <w:jc w:val="left"/>
              <w:rPr>
                <w:rFonts w:hint="default"/>
              </w:rPr>
            </w:pPr>
            <w:r>
              <w:rPr>
                <w:rFonts w:hint="default"/>
                <w:lang w:val="en-US" w:eastAsia="zh-CN"/>
              </w:rPr>
              <w:t>13、禁止露天焚烧秸秆、落叶、枯草等产生烟尘污染的物质，以及电子废弃物、油毡、橡胶、塑料、皮革、沥青、垃圾等产生有毒有害、恶臭或者强烈异味气体的物质。</w:t>
            </w:r>
          </w:p>
          <w:p w14:paraId="013CD921">
            <w:pPr>
              <w:pStyle w:val="58"/>
              <w:bidi w:val="0"/>
              <w:jc w:val="left"/>
              <w:rPr>
                <w:rFonts w:hint="default"/>
              </w:rPr>
            </w:pPr>
            <w:r>
              <w:rPr>
                <w:rFonts w:hint="default"/>
                <w:lang w:val="en-US" w:eastAsia="zh-CN"/>
              </w:rPr>
              <w:t>14、以化工、工业涂装、包装印刷、油品储运销等行业领域为重点，安全高效推进挥发性有机物综合治理，无组织排放和末端深度治理等提升改造工程。</w:t>
            </w:r>
          </w:p>
          <w:p w14:paraId="615397D5">
            <w:pPr>
              <w:pStyle w:val="58"/>
              <w:bidi w:val="0"/>
              <w:jc w:val="left"/>
              <w:rPr>
                <w:rFonts w:hint="default"/>
              </w:rPr>
            </w:pPr>
            <w:r>
              <w:rPr>
                <w:rFonts w:hint="default"/>
                <w:lang w:val="en-US" w:eastAsia="zh-CN"/>
              </w:rPr>
              <w:t>15、推动大气氨排放控制。加强烟气脱硝和氨法脱硫氨逃逸控制。推进种植业、养殖业大气氨减排，加强源头防控，优化肥料、饲料结构。</w:t>
            </w:r>
          </w:p>
          <w:p w14:paraId="67AD82D8">
            <w:pPr>
              <w:pStyle w:val="58"/>
              <w:bidi w:val="0"/>
              <w:jc w:val="left"/>
              <w:rPr>
                <w:rFonts w:hint="default"/>
                <w:lang w:val="zh-TW" w:eastAsia="zh-CN"/>
              </w:rPr>
            </w:pPr>
            <w:r>
              <w:rPr>
                <w:rFonts w:hint="default"/>
                <w:lang w:val="en-US" w:eastAsia="zh-CN"/>
              </w:rPr>
              <w:t>16、严格控制二氧化碳排放强度。加强甲烷等非二氧化碳温室气体管控。</w:t>
            </w:r>
          </w:p>
        </w:tc>
        <w:tc>
          <w:tcPr>
            <w:tcW w:w="650" w:type="pct"/>
            <w:noWrap w:val="0"/>
            <w:vAlign w:val="center"/>
          </w:tcPr>
          <w:p w14:paraId="783170A5">
            <w:pPr>
              <w:pStyle w:val="58"/>
              <w:bidi w:val="0"/>
              <w:rPr>
                <w:rFonts w:hint="default"/>
                <w:lang w:val="en-US" w:eastAsia="zh-CN"/>
              </w:rPr>
            </w:pPr>
            <w:r>
              <w:rPr>
                <w:rFonts w:hint="default"/>
                <w:lang w:val="en-US" w:eastAsia="zh-CN"/>
              </w:rPr>
              <w:t>本项目施工期建筑工地全面做到“六个百分之百”和“两个全覆盖”</w:t>
            </w:r>
            <w:r>
              <w:rPr>
                <w:rFonts w:hint="eastAsia"/>
                <w:lang w:val="en-US" w:eastAsia="zh-CN"/>
              </w:rPr>
              <w:t>，</w:t>
            </w:r>
            <w:r>
              <w:rPr>
                <w:rFonts w:hint="default"/>
                <w:lang w:val="en-US" w:eastAsia="zh-CN"/>
              </w:rPr>
              <w:t>采取措施防止道路扬尘</w:t>
            </w:r>
            <w:r>
              <w:rPr>
                <w:rFonts w:hint="default"/>
                <w:lang w:eastAsia="zh-CN"/>
              </w:rPr>
              <w:t>。</w:t>
            </w:r>
          </w:p>
        </w:tc>
        <w:tc>
          <w:tcPr>
            <w:tcW w:w="212" w:type="pct"/>
            <w:noWrap w:val="0"/>
            <w:vAlign w:val="center"/>
          </w:tcPr>
          <w:p w14:paraId="1CD2CFC2">
            <w:pPr>
              <w:pStyle w:val="58"/>
              <w:bidi w:val="0"/>
              <w:rPr>
                <w:rFonts w:hint="default"/>
              </w:rPr>
            </w:pPr>
            <w:r>
              <w:rPr>
                <w:rFonts w:hint="default"/>
              </w:rPr>
              <w:t>符合</w:t>
            </w:r>
          </w:p>
        </w:tc>
      </w:tr>
      <w:tr w14:paraId="1FE1778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97" w:type="pct"/>
            <w:vMerge w:val="continue"/>
            <w:noWrap w:val="0"/>
            <w:vAlign w:val="center"/>
          </w:tcPr>
          <w:p w14:paraId="4D5F4CA6">
            <w:pPr>
              <w:pStyle w:val="58"/>
              <w:bidi w:val="0"/>
              <w:rPr>
                <w:rFonts w:hint="default"/>
              </w:rPr>
            </w:pPr>
          </w:p>
        </w:tc>
        <w:tc>
          <w:tcPr>
            <w:tcW w:w="343" w:type="pct"/>
            <w:noWrap w:val="0"/>
            <w:vAlign w:val="center"/>
          </w:tcPr>
          <w:p w14:paraId="0AE420BA">
            <w:pPr>
              <w:pStyle w:val="58"/>
              <w:bidi w:val="0"/>
              <w:rPr>
                <w:rFonts w:hint="default"/>
              </w:rPr>
            </w:pPr>
            <w:r>
              <w:rPr>
                <w:rFonts w:hint="default"/>
              </w:rPr>
              <w:t>环境风险防控</w:t>
            </w:r>
          </w:p>
        </w:tc>
        <w:tc>
          <w:tcPr>
            <w:tcW w:w="3496" w:type="pct"/>
            <w:noWrap w:val="0"/>
            <w:vAlign w:val="center"/>
          </w:tcPr>
          <w:p w14:paraId="1C7B8312">
            <w:pPr>
              <w:pStyle w:val="58"/>
              <w:bidi w:val="0"/>
              <w:jc w:val="left"/>
              <w:rPr>
                <w:rFonts w:hint="default"/>
                <w:lang w:eastAsia="zh-CN"/>
              </w:rPr>
            </w:pPr>
            <w:r>
              <w:rPr>
                <w:rFonts w:hint="default"/>
                <w:lang w:val="en-US" w:eastAsia="zh-CN"/>
              </w:rPr>
              <w:t>完善市、县、乡、村网格化环境监管体系，建立信息全面、要素齐全、处置高效、决策科学的市级大气环境监管大数据平台，实现对各级网格和各类污染源的集中在线监测、全程监控和监管指挥。</w:t>
            </w:r>
          </w:p>
        </w:tc>
        <w:tc>
          <w:tcPr>
            <w:tcW w:w="650" w:type="pct"/>
            <w:noWrap w:val="0"/>
            <w:vAlign w:val="center"/>
          </w:tcPr>
          <w:p w14:paraId="12189D86">
            <w:pPr>
              <w:pStyle w:val="58"/>
              <w:bidi w:val="0"/>
              <w:rPr>
                <w:rFonts w:hint="default"/>
                <w:lang w:val="en-US" w:eastAsia="zh-CN"/>
              </w:rPr>
            </w:pPr>
            <w:r>
              <w:rPr>
                <w:rFonts w:hint="default"/>
                <w:lang w:val="en-US" w:eastAsia="zh-CN"/>
              </w:rPr>
              <w:t>企业对厂区进行防渗分区，并按相关要求进行防腐防渗。项目建成后根据要求编写环境风险应急预案。</w:t>
            </w:r>
          </w:p>
        </w:tc>
        <w:tc>
          <w:tcPr>
            <w:tcW w:w="212" w:type="pct"/>
            <w:noWrap w:val="0"/>
            <w:vAlign w:val="center"/>
          </w:tcPr>
          <w:p w14:paraId="7E2845C0">
            <w:pPr>
              <w:pStyle w:val="58"/>
              <w:bidi w:val="0"/>
              <w:rPr>
                <w:rFonts w:hint="default"/>
              </w:rPr>
            </w:pPr>
            <w:r>
              <w:rPr>
                <w:rFonts w:hint="default"/>
              </w:rPr>
              <w:t>符合</w:t>
            </w:r>
          </w:p>
        </w:tc>
      </w:tr>
      <w:tr w14:paraId="1F18E85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97" w:type="pct"/>
            <w:vMerge w:val="continue"/>
            <w:noWrap w:val="0"/>
            <w:vAlign w:val="center"/>
          </w:tcPr>
          <w:p w14:paraId="2F102DF4">
            <w:pPr>
              <w:pStyle w:val="58"/>
              <w:bidi w:val="0"/>
              <w:rPr>
                <w:rFonts w:hint="default"/>
                <w:lang w:val="zh-TW" w:eastAsia="zh-TW"/>
              </w:rPr>
            </w:pPr>
          </w:p>
        </w:tc>
        <w:tc>
          <w:tcPr>
            <w:tcW w:w="343" w:type="pct"/>
            <w:noWrap w:val="0"/>
            <w:vAlign w:val="center"/>
          </w:tcPr>
          <w:p w14:paraId="03ABC465">
            <w:pPr>
              <w:pStyle w:val="58"/>
              <w:bidi w:val="0"/>
              <w:rPr>
                <w:rFonts w:hint="default"/>
                <w:lang w:val="zh-TW" w:eastAsia="zh-CN"/>
              </w:rPr>
            </w:pPr>
            <w:r>
              <w:rPr>
                <w:rFonts w:hint="default"/>
                <w:lang w:val="zh-TW" w:eastAsia="zh-TW"/>
              </w:rPr>
              <w:t>资源</w:t>
            </w:r>
            <w:r>
              <w:rPr>
                <w:rFonts w:hint="default"/>
                <w:lang w:val="zh-TW" w:eastAsia="zh-CN"/>
              </w:rPr>
              <w:t>开发利用</w:t>
            </w:r>
          </w:p>
        </w:tc>
        <w:tc>
          <w:tcPr>
            <w:tcW w:w="3496" w:type="pct"/>
            <w:noWrap w:val="0"/>
            <w:vAlign w:val="center"/>
          </w:tcPr>
          <w:p w14:paraId="21407B0C">
            <w:pPr>
              <w:pStyle w:val="58"/>
              <w:bidi w:val="0"/>
              <w:jc w:val="left"/>
              <w:rPr>
                <w:rFonts w:hint="default"/>
              </w:rPr>
            </w:pPr>
            <w:r>
              <w:rPr>
                <w:rFonts w:hint="default"/>
                <w:lang w:val="en-US" w:eastAsia="zh-CN"/>
              </w:rPr>
              <w:t>1、对新增耗煤项目实施减量替代。</w:t>
            </w:r>
          </w:p>
          <w:p w14:paraId="4B5C20BB">
            <w:pPr>
              <w:pStyle w:val="58"/>
              <w:bidi w:val="0"/>
              <w:jc w:val="left"/>
              <w:rPr>
                <w:rFonts w:hint="default"/>
              </w:rPr>
            </w:pPr>
            <w:r>
              <w:rPr>
                <w:rFonts w:hint="default"/>
                <w:lang w:val="en-US" w:eastAsia="zh-CN"/>
              </w:rPr>
              <w:t>2、提高能源利用效率。实施能源消耗总量和强度双控行动。健全节能标准体系，大力开发、推广节能高效技术和产品，实现重点用能行业、设备节能标准全覆盖。</w:t>
            </w:r>
          </w:p>
          <w:p w14:paraId="19D811BA">
            <w:pPr>
              <w:pStyle w:val="58"/>
              <w:bidi w:val="0"/>
              <w:jc w:val="left"/>
              <w:rPr>
                <w:rFonts w:hint="default"/>
                <w:lang w:eastAsia="zh-CN"/>
              </w:rPr>
            </w:pPr>
            <w:r>
              <w:rPr>
                <w:rFonts w:hint="default"/>
                <w:lang w:val="en-US" w:eastAsia="zh-CN"/>
              </w:rPr>
              <w:t>3、新（改、扩）建项目能耗达到《河北省主要产品能耗限额和设备能效限定值》准入值要求，鼓励达到先进值。对能效不达标的企业限期进行节能提升改造，现有企业单位产品能耗达到《河北省主要产品能耗限额和设备能效限定值》限定值要求，鼓励已达标企业通过节能改造达到先进值。国家或省对重点行业单位产品能源消耗限额进行修订的，行业限定值、准入值、先进值按新标准执行。</w:t>
            </w:r>
          </w:p>
          <w:p w14:paraId="751CE576">
            <w:pPr>
              <w:pStyle w:val="58"/>
              <w:bidi w:val="0"/>
              <w:jc w:val="left"/>
              <w:rPr>
                <w:rFonts w:hint="default"/>
              </w:rPr>
            </w:pPr>
            <w:r>
              <w:rPr>
                <w:rFonts w:hint="default"/>
                <w:lang w:val="en-US" w:eastAsia="zh-CN"/>
              </w:rPr>
              <w:t>4、禁燃区内不得新建燃烧煤炭、重油、渣油等高污染燃料的设施；现有燃烧高污染燃料的设施，应当限期改用清洁能源；未改用清洁能源替代的高污染燃料设施，应当配套建设先进工艺的脱硫、脱硝、除尘装置或者采取其他措施，控制二氧化硫、氮氧化物和烟尘等排放；仍未达到大气污染物排放标准的，应当停止使用。禁燃区内禁止原煤散烧。</w:t>
            </w:r>
          </w:p>
          <w:p w14:paraId="33706E1A">
            <w:pPr>
              <w:pStyle w:val="58"/>
              <w:bidi w:val="0"/>
              <w:jc w:val="left"/>
              <w:rPr>
                <w:rFonts w:hint="default"/>
                <w:lang w:val="zh-TW" w:eastAsia="zh-CN"/>
              </w:rPr>
            </w:pPr>
            <w:r>
              <w:rPr>
                <w:rFonts w:hint="default"/>
                <w:lang w:val="en-US" w:eastAsia="zh-CN"/>
              </w:rPr>
              <w:t>5、禁燃区内禁止销售高污染燃料；禁止燃用煤炭及其制品（原料煤和发电、集中供热等具备高效污染治理设施企业用煤除外）；石油焦、油页岩、原油、重油、渣油、煤焦油；非专用锅炉或未配置高效除尘设施的专用锅炉燃用的生物质成型燃料等高污染燃料。</w:t>
            </w:r>
          </w:p>
        </w:tc>
        <w:tc>
          <w:tcPr>
            <w:tcW w:w="650" w:type="pct"/>
            <w:noWrap w:val="0"/>
            <w:vAlign w:val="center"/>
          </w:tcPr>
          <w:p w14:paraId="3D2694C7">
            <w:pPr>
              <w:pStyle w:val="58"/>
              <w:bidi w:val="0"/>
              <w:rPr>
                <w:rFonts w:hint="default"/>
                <w:lang w:val="en-US" w:eastAsia="zh-CN"/>
              </w:rPr>
            </w:pPr>
            <w:r>
              <w:rPr>
                <w:rFonts w:hint="default"/>
                <w:lang w:val="en-US" w:eastAsia="zh-CN"/>
              </w:rPr>
              <w:t>本项目不耗煤，不涉及</w:t>
            </w:r>
            <w:r>
              <w:rPr>
                <w:rFonts w:hint="default"/>
              </w:rPr>
              <w:t>燃烧煤炭、重油、渣油等高污染燃料的设施</w:t>
            </w:r>
            <w:r>
              <w:rPr>
                <w:rFonts w:hint="default"/>
                <w:lang w:eastAsia="zh-CN"/>
              </w:rPr>
              <w:t>。</w:t>
            </w:r>
          </w:p>
        </w:tc>
        <w:tc>
          <w:tcPr>
            <w:tcW w:w="212" w:type="pct"/>
            <w:noWrap w:val="0"/>
            <w:vAlign w:val="center"/>
          </w:tcPr>
          <w:p w14:paraId="59AE7269">
            <w:pPr>
              <w:pStyle w:val="58"/>
              <w:bidi w:val="0"/>
              <w:rPr>
                <w:rFonts w:hint="default"/>
              </w:rPr>
            </w:pPr>
            <w:r>
              <w:rPr>
                <w:rFonts w:hint="default"/>
              </w:rPr>
              <w:t>符合</w:t>
            </w:r>
          </w:p>
        </w:tc>
      </w:tr>
      <w:tr w14:paraId="712DDD3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97" w:type="pct"/>
            <w:vMerge w:val="restart"/>
            <w:noWrap w:val="0"/>
            <w:vAlign w:val="center"/>
          </w:tcPr>
          <w:p w14:paraId="3CF5F37B">
            <w:pPr>
              <w:pStyle w:val="58"/>
              <w:bidi w:val="0"/>
              <w:rPr>
                <w:rFonts w:hint="default"/>
                <w:highlight w:val="none"/>
                <w:lang w:val="zh-TW" w:eastAsia="zh-TW"/>
              </w:rPr>
            </w:pPr>
            <w:r>
              <w:rPr>
                <w:rFonts w:hint="default"/>
                <w:highlight w:val="none"/>
              </w:rPr>
              <w:t>土壤及地下水环境</w:t>
            </w:r>
          </w:p>
        </w:tc>
        <w:tc>
          <w:tcPr>
            <w:tcW w:w="343" w:type="pct"/>
            <w:noWrap w:val="0"/>
            <w:vAlign w:val="center"/>
          </w:tcPr>
          <w:p w14:paraId="1AD3426B">
            <w:pPr>
              <w:pStyle w:val="58"/>
              <w:bidi w:val="0"/>
              <w:rPr>
                <w:rFonts w:hint="default"/>
                <w:highlight w:val="none"/>
                <w:lang w:val="zh-TW" w:eastAsia="zh-CN"/>
              </w:rPr>
            </w:pPr>
            <w:r>
              <w:rPr>
                <w:rFonts w:hint="default"/>
                <w:highlight w:val="none"/>
                <w:lang w:val="zh-TW" w:eastAsia="zh-CN"/>
              </w:rPr>
              <w:t>污染物防控目标</w:t>
            </w:r>
          </w:p>
        </w:tc>
        <w:tc>
          <w:tcPr>
            <w:tcW w:w="3496" w:type="pct"/>
            <w:noWrap w:val="0"/>
            <w:vAlign w:val="center"/>
          </w:tcPr>
          <w:p w14:paraId="37FDF3DC">
            <w:pPr>
              <w:pStyle w:val="58"/>
              <w:bidi w:val="0"/>
              <w:jc w:val="left"/>
              <w:rPr>
                <w:rFonts w:hint="default"/>
                <w:highlight w:val="none"/>
                <w:lang w:val="zh-TW" w:eastAsia="zh-TW"/>
              </w:rPr>
            </w:pPr>
            <w:r>
              <w:rPr>
                <w:rFonts w:hint="default"/>
                <w:highlight w:val="none"/>
                <w:lang w:val="en-US" w:eastAsia="zh-CN"/>
              </w:rPr>
              <w:t>2025年底前，受污染耕地安全利用率完成河北省下达任务，受污染耕地管控措施覆盖率100%；重点建设用地安全利用得到有效保障，拟开发利用污染地块治理修复或风险管控目标达标率100%，暂不开发利用污染地块管控措施覆盖率100%；国家地下水环境质量区域考核点位Ⅴ类水比例控制在20%以下，“双源”考核点位水质总体保持稳定。</w:t>
            </w:r>
          </w:p>
        </w:tc>
        <w:tc>
          <w:tcPr>
            <w:tcW w:w="650" w:type="pct"/>
            <w:noWrap w:val="0"/>
            <w:vAlign w:val="center"/>
          </w:tcPr>
          <w:p w14:paraId="6C4D1007">
            <w:pPr>
              <w:pStyle w:val="58"/>
              <w:bidi w:val="0"/>
              <w:rPr>
                <w:rFonts w:hint="default"/>
                <w:highlight w:val="none"/>
                <w:lang w:val="en-US" w:eastAsia="zh-CN"/>
              </w:rPr>
            </w:pPr>
            <w:r>
              <w:rPr>
                <w:rFonts w:hint="default"/>
                <w:highlight w:val="none"/>
                <w:lang w:val="en-US" w:eastAsia="zh-CN"/>
              </w:rPr>
              <w:t>本项目</w:t>
            </w:r>
            <w:r>
              <w:rPr>
                <w:rFonts w:hint="eastAsia"/>
                <w:highlight w:val="none"/>
                <w:lang w:val="en-US" w:eastAsia="zh-CN"/>
              </w:rPr>
              <w:t>采取分区防渗等措施，防止土壤和地下水污染</w:t>
            </w:r>
            <w:r>
              <w:rPr>
                <w:rFonts w:hint="default"/>
                <w:highlight w:val="none"/>
                <w:lang w:val="en-US" w:eastAsia="zh-CN"/>
              </w:rPr>
              <w:t>。</w:t>
            </w:r>
          </w:p>
        </w:tc>
        <w:tc>
          <w:tcPr>
            <w:tcW w:w="212" w:type="pct"/>
            <w:noWrap w:val="0"/>
            <w:vAlign w:val="center"/>
          </w:tcPr>
          <w:p w14:paraId="494E7F6B">
            <w:pPr>
              <w:pStyle w:val="58"/>
              <w:bidi w:val="0"/>
              <w:rPr>
                <w:rFonts w:hint="default"/>
                <w:highlight w:val="none"/>
                <w:lang w:val="en-US" w:eastAsia="zh-CN"/>
              </w:rPr>
            </w:pPr>
            <w:r>
              <w:rPr>
                <w:rFonts w:hint="eastAsia"/>
                <w:highlight w:val="none"/>
                <w:lang w:val="en-US" w:eastAsia="zh-CN"/>
              </w:rPr>
              <w:t>符合</w:t>
            </w:r>
          </w:p>
        </w:tc>
      </w:tr>
      <w:tr w14:paraId="1E924CA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30" w:hRule="atLeast"/>
          <w:jc w:val="center"/>
        </w:trPr>
        <w:tc>
          <w:tcPr>
            <w:tcW w:w="297" w:type="pct"/>
            <w:vMerge w:val="continue"/>
            <w:noWrap w:val="0"/>
            <w:vAlign w:val="center"/>
          </w:tcPr>
          <w:p w14:paraId="0297289C">
            <w:pPr>
              <w:pStyle w:val="58"/>
              <w:bidi w:val="0"/>
              <w:rPr>
                <w:rFonts w:hint="default"/>
                <w:highlight w:val="none"/>
              </w:rPr>
            </w:pPr>
          </w:p>
        </w:tc>
        <w:tc>
          <w:tcPr>
            <w:tcW w:w="343" w:type="pct"/>
            <w:noWrap w:val="0"/>
            <w:vAlign w:val="center"/>
          </w:tcPr>
          <w:p w14:paraId="2DCC4A68">
            <w:pPr>
              <w:pStyle w:val="58"/>
              <w:bidi w:val="0"/>
              <w:rPr>
                <w:rFonts w:hint="default"/>
                <w:highlight w:val="none"/>
                <w:lang w:val="zh-TW" w:eastAsia="zh-TW"/>
              </w:rPr>
            </w:pPr>
            <w:r>
              <w:rPr>
                <w:rFonts w:hint="default"/>
                <w:highlight w:val="none"/>
              </w:rPr>
              <w:t>空间布局约束</w:t>
            </w:r>
          </w:p>
        </w:tc>
        <w:tc>
          <w:tcPr>
            <w:tcW w:w="3496" w:type="pct"/>
            <w:noWrap w:val="0"/>
            <w:vAlign w:val="center"/>
          </w:tcPr>
          <w:p w14:paraId="38C363F8">
            <w:pPr>
              <w:pStyle w:val="58"/>
              <w:bidi w:val="0"/>
              <w:jc w:val="left"/>
              <w:rPr>
                <w:rFonts w:hint="default"/>
                <w:highlight w:val="none"/>
                <w:lang w:val="zh-TW" w:eastAsia="zh-TW"/>
              </w:rPr>
            </w:pPr>
            <w:r>
              <w:rPr>
                <w:rFonts w:hint="default"/>
                <w:highlight w:val="none"/>
              </w:rPr>
              <w:t>1、严格执行相关行业企业布局选址要求，禁止在居民区和学校、医院、疗养院、养老院等单位周边新建、改建、扩建可能造成</w:t>
            </w:r>
            <w:r>
              <w:rPr>
                <w:rFonts w:hint="default"/>
                <w:highlight w:val="none"/>
                <w:lang w:eastAsia="zh-CN"/>
              </w:rPr>
              <w:t>土壤</w:t>
            </w:r>
            <w:r>
              <w:rPr>
                <w:rFonts w:hint="default"/>
                <w:highlight w:val="none"/>
              </w:rPr>
              <w:t>污染的建设项目。</w:t>
            </w:r>
          </w:p>
        </w:tc>
        <w:tc>
          <w:tcPr>
            <w:tcW w:w="650" w:type="pct"/>
            <w:noWrap w:val="0"/>
            <w:vAlign w:val="center"/>
          </w:tcPr>
          <w:p w14:paraId="207567BD">
            <w:pPr>
              <w:pStyle w:val="58"/>
              <w:bidi w:val="0"/>
              <w:rPr>
                <w:rFonts w:hint="default" w:eastAsia="宋体"/>
                <w:highlight w:val="none"/>
                <w:lang w:val="en-US" w:eastAsia="zh-CN"/>
              </w:rPr>
            </w:pPr>
            <w:r>
              <w:rPr>
                <w:rFonts w:hint="default"/>
                <w:highlight w:val="none"/>
                <w:lang w:val="en-US" w:eastAsia="zh-CN"/>
              </w:rPr>
              <w:t>本项目</w:t>
            </w:r>
            <w:r>
              <w:rPr>
                <w:rFonts w:hint="eastAsia"/>
                <w:highlight w:val="none"/>
                <w:lang w:val="en-US" w:eastAsia="zh-CN"/>
              </w:rPr>
              <w:t>位于曹妃甸区垦丰家居产业园区，距离项目最近居民区为项目西侧1576m处的老王庄东南街村。周围没有学校、医院、疗养院、养老院等单位。</w:t>
            </w:r>
          </w:p>
        </w:tc>
        <w:tc>
          <w:tcPr>
            <w:tcW w:w="212" w:type="pct"/>
            <w:noWrap w:val="0"/>
            <w:vAlign w:val="center"/>
          </w:tcPr>
          <w:p w14:paraId="0581E3C9">
            <w:pPr>
              <w:pStyle w:val="58"/>
              <w:bidi w:val="0"/>
              <w:rPr>
                <w:rFonts w:hint="default"/>
                <w:highlight w:val="none"/>
                <w:lang w:val="en-US" w:eastAsia="zh-CN"/>
              </w:rPr>
            </w:pPr>
            <w:r>
              <w:rPr>
                <w:rFonts w:hint="default"/>
                <w:highlight w:val="none"/>
              </w:rPr>
              <w:t>符合</w:t>
            </w:r>
          </w:p>
        </w:tc>
      </w:tr>
      <w:tr w14:paraId="1D0F5D6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97" w:type="pct"/>
            <w:vMerge w:val="continue"/>
            <w:noWrap w:val="0"/>
            <w:vAlign w:val="center"/>
          </w:tcPr>
          <w:p w14:paraId="40B8B74E">
            <w:pPr>
              <w:pStyle w:val="58"/>
              <w:bidi w:val="0"/>
              <w:rPr>
                <w:rFonts w:hint="default"/>
              </w:rPr>
            </w:pPr>
          </w:p>
        </w:tc>
        <w:tc>
          <w:tcPr>
            <w:tcW w:w="343" w:type="pct"/>
            <w:noWrap w:val="0"/>
            <w:vAlign w:val="center"/>
          </w:tcPr>
          <w:p w14:paraId="4237E795">
            <w:pPr>
              <w:pStyle w:val="58"/>
              <w:bidi w:val="0"/>
              <w:rPr>
                <w:rFonts w:hint="default"/>
                <w:lang w:val="zh-TW" w:eastAsia="zh-TW"/>
              </w:rPr>
            </w:pPr>
            <w:r>
              <w:rPr>
                <w:rFonts w:hint="default"/>
              </w:rPr>
              <w:t>污染排放管控</w:t>
            </w:r>
          </w:p>
        </w:tc>
        <w:tc>
          <w:tcPr>
            <w:tcW w:w="3496" w:type="pct"/>
            <w:noWrap w:val="0"/>
            <w:vAlign w:val="bottom"/>
          </w:tcPr>
          <w:p w14:paraId="25FAB827">
            <w:pPr>
              <w:pStyle w:val="58"/>
              <w:bidi w:val="0"/>
              <w:jc w:val="left"/>
              <w:rPr>
                <w:rFonts w:hint="default"/>
                <w:lang w:val="en-US" w:eastAsia="zh-CN"/>
              </w:rPr>
            </w:pPr>
            <w:r>
              <w:rPr>
                <w:rFonts w:hint="default"/>
                <w:lang w:val="en-US" w:eastAsia="zh-CN"/>
              </w:rPr>
              <w:t>1、严禁将污泥直接用作肥料，禁止不达标污泥就地堆放，结合污泥处理设施升级改造，逐步取消原生污泥简易填埋等不符合环保要求的处置方式。鼓励利用水泥厂等工业窑炉，开展污泥协同焚烧处置。</w:t>
            </w:r>
          </w:p>
          <w:p w14:paraId="6195410B">
            <w:pPr>
              <w:pStyle w:val="58"/>
              <w:bidi w:val="0"/>
              <w:jc w:val="left"/>
              <w:rPr>
                <w:rFonts w:hint="default"/>
                <w:lang w:val="en-US" w:eastAsia="zh-CN"/>
              </w:rPr>
            </w:pPr>
            <w:r>
              <w:rPr>
                <w:rFonts w:hint="default"/>
                <w:lang w:val="en-US" w:eastAsia="zh-CN"/>
              </w:rPr>
              <w:t>2、严格落实总量控制制度，减少重金属污染物排放。新、改、扩建涉重金属重点行业建设项目，污染物排放实施等量或倍量替换，排放量不降反升的地区暂停审批新增重金属污染物排放的建设项目。加大减排项目督导力度，确保项目按期实施。</w:t>
            </w:r>
          </w:p>
          <w:p w14:paraId="5FEA38EE">
            <w:pPr>
              <w:pStyle w:val="58"/>
              <w:bidi w:val="0"/>
              <w:jc w:val="left"/>
              <w:rPr>
                <w:rFonts w:hint="default"/>
                <w:lang w:val="en-US" w:eastAsia="zh-CN"/>
              </w:rPr>
            </w:pPr>
            <w:r>
              <w:rPr>
                <w:rFonts w:hint="default"/>
                <w:lang w:val="en-US" w:eastAsia="zh-CN"/>
              </w:rPr>
              <w:t>3、加大矿山地质环境和生态修复力度，新建和生产矿山严格按照审批通过的开发利用方案和矿山生态环境恢复治理方案，边开采、边治理、边恢复。加快推进责任主体灭失矿山迹地综合治理。加强尾矿库安全监管，运营、管理单位要开展土壤污染状况监测和环境风险评估，建立环境风险管理档案，防止发生安全事故造成土壤污染。</w:t>
            </w:r>
          </w:p>
          <w:p w14:paraId="6610CBD7">
            <w:pPr>
              <w:pStyle w:val="58"/>
              <w:bidi w:val="0"/>
              <w:jc w:val="left"/>
              <w:rPr>
                <w:rFonts w:hint="default"/>
                <w:lang w:val="en-US" w:eastAsia="zh-CN"/>
              </w:rPr>
            </w:pPr>
            <w:r>
              <w:rPr>
                <w:rFonts w:hint="default"/>
                <w:lang w:val="en-US" w:eastAsia="zh-CN"/>
              </w:rPr>
              <w:t>4、组织开展工业固体废物堆存场所环境整治，提升大宗固体废物综合利用能力，完善防扬散、防流失、防渗漏等设施。推动工业固废综合利用，促进工业固废减量化、资源化。推行生态环境保护综合执法，加强塑料废弃物回收、利用、处置等环节的环境监管，依法查处违法排污等行为，全面禁止洋垃圾入境，逐步实现固体废物零进口。</w:t>
            </w:r>
          </w:p>
          <w:p w14:paraId="15D2725F">
            <w:pPr>
              <w:pStyle w:val="58"/>
              <w:bidi w:val="0"/>
              <w:jc w:val="left"/>
              <w:rPr>
                <w:rFonts w:hint="default"/>
                <w:lang w:val="zh-TW" w:eastAsia="zh-TW"/>
              </w:rPr>
            </w:pPr>
            <w:r>
              <w:rPr>
                <w:rFonts w:hint="default"/>
                <w:lang w:val="en-US" w:eastAsia="zh-CN"/>
              </w:rPr>
              <w:t>5、严格危险废物经营许可审批，加强危险废物处置单位规范化管理核查。统筹推进危险废物利用处置能力建设，加快补齐利用处置设施短板，积极推进重点监管源智能监控体系建设，加大危险废物产生、贮存、转运、利用、处置全流程监管力度。规范和完善医疗废物分类收集处置体系。</w:t>
            </w:r>
          </w:p>
        </w:tc>
        <w:tc>
          <w:tcPr>
            <w:tcW w:w="650" w:type="pct"/>
            <w:noWrap w:val="0"/>
            <w:vAlign w:val="center"/>
          </w:tcPr>
          <w:p w14:paraId="63A303B2">
            <w:pPr>
              <w:pStyle w:val="58"/>
              <w:bidi w:val="0"/>
              <w:rPr>
                <w:rFonts w:hint="default"/>
                <w:lang w:val="en-US" w:eastAsia="zh-CN"/>
              </w:rPr>
            </w:pPr>
            <w:r>
              <w:rPr>
                <w:rFonts w:hint="default"/>
                <w:lang w:val="en-US" w:eastAsia="zh-CN"/>
              </w:rPr>
              <w:t>本项目为污水处理及其再生利用项目，污泥委托水泥厂协同处置；不属于涉重金属重点行业，</w:t>
            </w:r>
            <w:r>
              <w:rPr>
                <w:rFonts w:hint="default"/>
                <w:lang w:eastAsia="zh-CN"/>
              </w:rPr>
              <w:t>不纳入全国重金属污染物排放总量控制管理</w:t>
            </w:r>
            <w:r>
              <w:rPr>
                <w:rFonts w:hint="default"/>
                <w:lang w:val="en-US" w:eastAsia="zh-CN"/>
              </w:rPr>
              <w:t>。</w:t>
            </w:r>
          </w:p>
        </w:tc>
        <w:tc>
          <w:tcPr>
            <w:tcW w:w="212" w:type="pct"/>
            <w:noWrap w:val="0"/>
            <w:vAlign w:val="center"/>
          </w:tcPr>
          <w:p w14:paraId="1A66E6C3">
            <w:pPr>
              <w:pStyle w:val="58"/>
              <w:bidi w:val="0"/>
              <w:rPr>
                <w:rFonts w:hint="default"/>
                <w:lang w:val="en-US" w:eastAsia="zh-CN"/>
              </w:rPr>
            </w:pPr>
            <w:r>
              <w:rPr>
                <w:rFonts w:hint="default"/>
              </w:rPr>
              <w:t>符合</w:t>
            </w:r>
          </w:p>
        </w:tc>
      </w:tr>
      <w:tr w14:paraId="1601E61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97" w:type="pct"/>
            <w:vMerge w:val="continue"/>
            <w:noWrap w:val="0"/>
            <w:vAlign w:val="center"/>
          </w:tcPr>
          <w:p w14:paraId="32CB8EAB">
            <w:pPr>
              <w:pStyle w:val="58"/>
              <w:bidi w:val="0"/>
              <w:rPr>
                <w:rFonts w:hint="default"/>
              </w:rPr>
            </w:pPr>
          </w:p>
        </w:tc>
        <w:tc>
          <w:tcPr>
            <w:tcW w:w="343" w:type="pct"/>
            <w:noWrap w:val="0"/>
            <w:vAlign w:val="center"/>
          </w:tcPr>
          <w:p w14:paraId="14C57F78">
            <w:pPr>
              <w:pStyle w:val="58"/>
              <w:bidi w:val="0"/>
              <w:rPr>
                <w:rFonts w:hint="default"/>
                <w:lang w:val="zh-TW" w:eastAsia="zh-TW"/>
              </w:rPr>
            </w:pPr>
            <w:r>
              <w:rPr>
                <w:rFonts w:hint="default"/>
              </w:rPr>
              <w:t>环境风险防控</w:t>
            </w:r>
          </w:p>
        </w:tc>
        <w:tc>
          <w:tcPr>
            <w:tcW w:w="3496" w:type="pct"/>
            <w:noWrap w:val="0"/>
            <w:vAlign w:val="bottom"/>
          </w:tcPr>
          <w:p w14:paraId="63DC5A32">
            <w:pPr>
              <w:pStyle w:val="58"/>
              <w:bidi w:val="0"/>
              <w:jc w:val="left"/>
              <w:rPr>
                <w:rFonts w:hint="default"/>
                <w:lang w:val="en-US" w:eastAsia="zh-CN"/>
              </w:rPr>
            </w:pPr>
            <w:r>
              <w:rPr>
                <w:rFonts w:hint="default"/>
                <w:lang w:val="en-US" w:eastAsia="zh-CN"/>
              </w:rPr>
              <w:t>1、每年对集中式饮用水水源保护区开展基础调查与评估，将可能影响水源水质安全的风险源全部列入档案，实行“一源一案”，对每个风险源开展隐患排查、整改，编制风险应急方案，建立联防联控应急机制。</w:t>
            </w:r>
          </w:p>
          <w:p w14:paraId="5490267C">
            <w:pPr>
              <w:pStyle w:val="58"/>
              <w:bidi w:val="0"/>
              <w:jc w:val="left"/>
              <w:rPr>
                <w:rFonts w:hint="default"/>
                <w:lang w:val="en-US" w:eastAsia="zh-CN"/>
              </w:rPr>
            </w:pPr>
            <w:r>
              <w:rPr>
                <w:rFonts w:hint="default"/>
                <w:lang w:val="en-US" w:eastAsia="zh-CN"/>
              </w:rPr>
              <w:t>2、加强尾矿库安全监管，防止发生安全事故造成土壤污染，有重点监管尾矿库的企业要开展环境风险评估，完善污染治理设施，储备应急装备、物资。</w:t>
            </w:r>
          </w:p>
          <w:p w14:paraId="3CD83D85">
            <w:pPr>
              <w:pStyle w:val="58"/>
              <w:bidi w:val="0"/>
              <w:jc w:val="left"/>
              <w:rPr>
                <w:rFonts w:hint="default"/>
                <w:lang w:val="en-US" w:eastAsia="zh-CN"/>
              </w:rPr>
            </w:pPr>
            <w:r>
              <w:rPr>
                <w:rFonts w:hint="default"/>
                <w:lang w:val="en-US" w:eastAsia="zh-CN"/>
              </w:rPr>
              <w:t>3、产生、收集、贮存、运输、利用、处置危险废物的单位，应当依法制定意外事故的防范措施和应急预案，并向所在地生态环境主管部门和其他负有固体废物污染环境防治监督管理职责的部门备案。</w:t>
            </w:r>
          </w:p>
          <w:p w14:paraId="0C3E8AF3">
            <w:pPr>
              <w:pStyle w:val="58"/>
              <w:bidi w:val="0"/>
              <w:jc w:val="left"/>
              <w:rPr>
                <w:rFonts w:hint="default"/>
                <w:lang w:val="en-US" w:eastAsia="zh-CN"/>
              </w:rPr>
            </w:pPr>
            <w:r>
              <w:rPr>
                <w:rFonts w:hint="default"/>
                <w:lang w:val="en-US" w:eastAsia="zh-CN"/>
              </w:rPr>
              <w:t>4、严格落实耕地风险防范措施。对安全利用类耕地，应结合当地主要作物品种和种植习惯，采取农艺调控、低积累品种替代、轮作间作等措施，降低农产品超标风险；对严格管控类耕地，依法划定特定农产品禁止生产区域，鼓励采取调整种植结构、退耕还林还草、退耕还湿、轮作休耕等风险管控措施。</w:t>
            </w:r>
          </w:p>
          <w:p w14:paraId="664FB460">
            <w:pPr>
              <w:pStyle w:val="58"/>
              <w:bidi w:val="0"/>
              <w:jc w:val="left"/>
              <w:rPr>
                <w:rFonts w:hint="default"/>
                <w:lang w:val="en-US" w:eastAsia="zh-CN"/>
              </w:rPr>
            </w:pPr>
            <w:r>
              <w:rPr>
                <w:rFonts w:hint="default"/>
                <w:lang w:val="en-US" w:eastAsia="zh-CN"/>
              </w:rPr>
              <w:t>5、强化污染地块土壤环境联动监管。抓好退城搬迁工业企业工矿用地土壤环境监督管理，有色金属冶炼、石油加工、化工、焦化、电镀、制革、造纸、钢铁、制药、农药、印染等行业企业，以及土壤污染重点监管单位拆除设施、设备或者建筑物、构筑物，要制定土壤污染防治工作方案，防范拆除活动造成土壤和地下水污染，切实保障生态环境安全。</w:t>
            </w:r>
          </w:p>
          <w:p w14:paraId="4F15792D">
            <w:pPr>
              <w:pStyle w:val="58"/>
              <w:bidi w:val="0"/>
              <w:jc w:val="left"/>
              <w:rPr>
                <w:rFonts w:hint="default"/>
                <w:lang w:val="en-US" w:eastAsia="zh-CN"/>
              </w:rPr>
            </w:pPr>
            <w:r>
              <w:rPr>
                <w:rFonts w:hint="default"/>
                <w:lang w:val="en-US" w:eastAsia="zh-CN"/>
              </w:rPr>
              <w:t>6、严格建设用地准入管理。加强对土地征收、收回、收购的监督管理，对应当开展土壤污染状况调查而未进行调查的地块，以及列入疑似污染地块名单、污染地块名录、建设用地土壤污染风险管控和修复名录且未达到规划用途土壤环境质量要求的地块，不得进入供地程序进行再开发利用，未达到土壤污染风险管控、修复目标的地块，禁止开工建设任何与风险管控、修复无关的项目，不得批准环境影响评价技术文件、建设工程规划许可证等事项。涉及成片污染地块分期分批开发或周边土地开发的，要科学设定开发时序，防止受污染土壤及其后续风险管控和修复措施对周边人群产生影响。</w:t>
            </w:r>
          </w:p>
          <w:p w14:paraId="17BC99FD">
            <w:pPr>
              <w:pStyle w:val="58"/>
              <w:bidi w:val="0"/>
              <w:jc w:val="left"/>
              <w:rPr>
                <w:rFonts w:hint="default"/>
                <w:lang w:val="en-US" w:eastAsia="zh-CN"/>
              </w:rPr>
            </w:pPr>
            <w:r>
              <w:rPr>
                <w:rFonts w:hint="default"/>
                <w:lang w:val="en-US" w:eastAsia="zh-CN"/>
              </w:rPr>
              <w:t>7、加强污染地块风险管控及修复。对暂不开发利用的污染地块，实施以防止污染扩散为目的的风险管控，设立标识、发布公告，并组织开展土壤、地表水、地下水、空气环境监测。对需要实施治理与修复的污染地块，应结合土地利用总体规划和城乡规划编制修复方案并组织实施。加强治理与修复施工的环境监理，并严防治理与修复过程中产生废水、废气和固体废物二次污染。</w:t>
            </w:r>
          </w:p>
          <w:p w14:paraId="202516AE">
            <w:pPr>
              <w:pStyle w:val="58"/>
              <w:bidi w:val="0"/>
              <w:jc w:val="left"/>
              <w:rPr>
                <w:rFonts w:hint="default"/>
                <w:lang w:val="en-US" w:eastAsia="zh-CN"/>
              </w:rPr>
            </w:pPr>
            <w:r>
              <w:rPr>
                <w:rFonts w:hint="default"/>
                <w:lang w:val="en-US" w:eastAsia="zh-CN"/>
              </w:rPr>
              <w:t>8、加快建设应急备用水源，防控水源地环境风险。</w:t>
            </w:r>
          </w:p>
          <w:p w14:paraId="226E882D">
            <w:pPr>
              <w:pStyle w:val="58"/>
              <w:bidi w:val="0"/>
              <w:jc w:val="left"/>
              <w:rPr>
                <w:rFonts w:hint="default"/>
                <w:lang w:val="zh-TW" w:eastAsia="zh-TW"/>
              </w:rPr>
            </w:pPr>
            <w:r>
              <w:rPr>
                <w:rFonts w:hint="default"/>
                <w:lang w:val="en-US" w:eastAsia="zh-CN"/>
              </w:rPr>
              <w:t>9、针对存在地下水污染的化工园区、危险废物处置场和生活垃圾填埋场等，实施地下水污染风险管控，因地制宜选择阻隔、制度控制、渗透反应格栅等技术，阻止污染扩散，加强风险管控后期地下水环境监管。</w:t>
            </w:r>
          </w:p>
        </w:tc>
        <w:tc>
          <w:tcPr>
            <w:tcW w:w="650" w:type="pct"/>
            <w:noWrap w:val="0"/>
            <w:vAlign w:val="center"/>
          </w:tcPr>
          <w:p w14:paraId="2BC70D94">
            <w:pPr>
              <w:pStyle w:val="58"/>
              <w:bidi w:val="0"/>
              <w:rPr>
                <w:rFonts w:hint="default"/>
                <w:lang w:val="en-US" w:eastAsia="zh-CN"/>
              </w:rPr>
            </w:pPr>
            <w:r>
              <w:rPr>
                <w:rFonts w:hint="default"/>
                <w:highlight w:val="none"/>
                <w:lang w:val="en-US" w:eastAsia="zh-CN"/>
              </w:rPr>
              <w:t>项目建成后编写环境风险应急预案并备案。</w:t>
            </w:r>
          </w:p>
        </w:tc>
        <w:tc>
          <w:tcPr>
            <w:tcW w:w="212" w:type="pct"/>
            <w:noWrap w:val="0"/>
            <w:vAlign w:val="center"/>
          </w:tcPr>
          <w:p w14:paraId="6AE57981">
            <w:pPr>
              <w:pStyle w:val="58"/>
              <w:bidi w:val="0"/>
              <w:rPr>
                <w:rFonts w:hint="default"/>
                <w:lang w:val="en-US" w:eastAsia="zh-CN"/>
              </w:rPr>
            </w:pPr>
            <w:r>
              <w:rPr>
                <w:rFonts w:hint="default"/>
              </w:rPr>
              <w:t>符合</w:t>
            </w:r>
          </w:p>
        </w:tc>
      </w:tr>
    </w:tbl>
    <w:p w14:paraId="458F3EB0">
      <w:pPr>
        <w:pageBreakBefore w:val="0"/>
        <w:widowControl w:val="0"/>
        <w:numPr>
          <w:ilvl w:val="0"/>
          <w:numId w:val="16"/>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bCs/>
          <w:color w:val="000000" w:themeColor="text1"/>
          <w:spacing w:val="0"/>
          <w:sz w:val="24"/>
          <w:szCs w:val="24"/>
          <w:highlight w:val="none"/>
          <w:lang w:val="zh-CN" w:eastAsia="zh-CN"/>
          <w14:textFill>
            <w14:solidFill>
              <w14:schemeClr w14:val="tx1"/>
            </w14:solidFill>
          </w14:textFill>
        </w:rPr>
      </w:pPr>
      <w:r>
        <w:rPr>
          <w:rFonts w:hint="default" w:ascii="Times New Roman" w:hAnsi="Times New Roman" w:eastAsia="宋体" w:cs="Times New Roman"/>
          <w:b/>
          <w:bCs/>
          <w:color w:val="000000" w:themeColor="text1"/>
          <w:spacing w:val="0"/>
          <w:sz w:val="24"/>
          <w:szCs w:val="24"/>
          <w:highlight w:val="none"/>
          <w:lang w:val="en-US" w:eastAsia="zh-CN"/>
          <w14:textFill>
            <w14:solidFill>
              <w14:schemeClr w14:val="tx1"/>
            </w14:solidFill>
          </w14:textFill>
        </w:rPr>
        <w:t>与《唐山市生态环境准入清单》（2023年版）</w:t>
      </w:r>
      <w:r>
        <w:rPr>
          <w:rFonts w:hint="default" w:ascii="Times New Roman" w:hAnsi="Times New Roman" w:eastAsia="宋体" w:cs="Times New Roman"/>
          <w:b/>
          <w:bCs/>
          <w:color w:val="000000" w:themeColor="text1"/>
          <w:spacing w:val="0"/>
          <w:sz w:val="24"/>
          <w:szCs w:val="24"/>
          <w:highlight w:val="none"/>
          <w:lang w:val="zh-CN" w:eastAsia="zh-CN"/>
          <w14:textFill>
            <w14:solidFill>
              <w14:schemeClr w14:val="tx1"/>
            </w14:solidFill>
          </w14:textFill>
        </w:rPr>
        <w:t>符合性分析</w:t>
      </w:r>
    </w:p>
    <w:tbl>
      <w:tblPr>
        <w:tblStyle w:val="47"/>
        <w:tblW w:w="4996"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989"/>
        <w:gridCol w:w="930"/>
        <w:gridCol w:w="8469"/>
        <w:gridCol w:w="3059"/>
        <w:gridCol w:w="762"/>
      </w:tblGrid>
      <w:tr w14:paraId="3A2A1F4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noWrap w:val="0"/>
            <w:vAlign w:val="center"/>
          </w:tcPr>
          <w:p w14:paraId="4E8BC216">
            <w:pPr>
              <w:pStyle w:val="58"/>
              <w:bidi w:val="0"/>
              <w:rPr>
                <w:rFonts w:hint="default"/>
              </w:rPr>
            </w:pPr>
            <w:r>
              <w:rPr>
                <w:rFonts w:hint="default"/>
              </w:rPr>
              <w:t>要素属性</w:t>
            </w:r>
          </w:p>
        </w:tc>
        <w:tc>
          <w:tcPr>
            <w:tcW w:w="327" w:type="pct"/>
            <w:noWrap w:val="0"/>
            <w:vAlign w:val="center"/>
          </w:tcPr>
          <w:p w14:paraId="5D0B2FEB">
            <w:pPr>
              <w:pStyle w:val="58"/>
              <w:bidi w:val="0"/>
              <w:rPr>
                <w:rFonts w:hint="default"/>
              </w:rPr>
            </w:pPr>
            <w:r>
              <w:rPr>
                <w:rFonts w:hint="default"/>
              </w:rPr>
              <w:t>管控类别</w:t>
            </w:r>
          </w:p>
        </w:tc>
        <w:tc>
          <w:tcPr>
            <w:tcW w:w="2979" w:type="pct"/>
            <w:noWrap w:val="0"/>
            <w:vAlign w:val="center"/>
          </w:tcPr>
          <w:p w14:paraId="16331E19">
            <w:pPr>
              <w:pStyle w:val="58"/>
              <w:bidi w:val="0"/>
              <w:rPr>
                <w:rFonts w:hint="default"/>
              </w:rPr>
            </w:pPr>
            <w:r>
              <w:rPr>
                <w:rFonts w:hint="default"/>
              </w:rPr>
              <w:t>管控要求</w:t>
            </w:r>
          </w:p>
        </w:tc>
        <w:tc>
          <w:tcPr>
            <w:tcW w:w="1076" w:type="pct"/>
            <w:noWrap w:val="0"/>
            <w:vAlign w:val="center"/>
          </w:tcPr>
          <w:p w14:paraId="1386C062">
            <w:pPr>
              <w:pStyle w:val="58"/>
              <w:bidi w:val="0"/>
              <w:rPr>
                <w:rFonts w:hint="default"/>
              </w:rPr>
            </w:pPr>
            <w:r>
              <w:rPr>
                <w:rFonts w:hint="default"/>
              </w:rPr>
              <w:t>本项目实际</w:t>
            </w:r>
          </w:p>
        </w:tc>
        <w:tc>
          <w:tcPr>
            <w:tcW w:w="268" w:type="pct"/>
            <w:noWrap w:val="0"/>
            <w:vAlign w:val="center"/>
          </w:tcPr>
          <w:p w14:paraId="583567EC">
            <w:pPr>
              <w:pStyle w:val="58"/>
              <w:bidi w:val="0"/>
              <w:rPr>
                <w:rFonts w:hint="default"/>
              </w:rPr>
            </w:pPr>
            <w:r>
              <w:rPr>
                <w:rFonts w:hint="default"/>
              </w:rPr>
              <w:t>结论</w:t>
            </w:r>
          </w:p>
        </w:tc>
      </w:tr>
      <w:tr w14:paraId="59EEF94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restart"/>
            <w:noWrap w:val="0"/>
            <w:vAlign w:val="center"/>
          </w:tcPr>
          <w:p w14:paraId="35CAA579">
            <w:pPr>
              <w:pStyle w:val="58"/>
              <w:bidi w:val="0"/>
              <w:rPr>
                <w:rFonts w:hint="default"/>
                <w:lang w:eastAsia="zh-CN"/>
              </w:rPr>
            </w:pPr>
            <w:r>
              <w:rPr>
                <w:rFonts w:hint="default"/>
                <w:lang w:eastAsia="zh-CN"/>
              </w:rPr>
              <w:t>大气环境</w:t>
            </w:r>
          </w:p>
        </w:tc>
        <w:tc>
          <w:tcPr>
            <w:tcW w:w="327" w:type="pct"/>
            <w:vMerge w:val="restart"/>
            <w:noWrap w:val="0"/>
            <w:vAlign w:val="center"/>
          </w:tcPr>
          <w:p w14:paraId="2CE6CC41">
            <w:pPr>
              <w:pStyle w:val="58"/>
              <w:bidi w:val="0"/>
              <w:rPr>
                <w:rFonts w:hint="default"/>
              </w:rPr>
            </w:pPr>
            <w:r>
              <w:rPr>
                <w:rFonts w:hint="default"/>
              </w:rPr>
              <w:t>空间布局约束</w:t>
            </w:r>
          </w:p>
        </w:tc>
        <w:tc>
          <w:tcPr>
            <w:tcW w:w="2979" w:type="pct"/>
            <w:noWrap w:val="0"/>
            <w:vAlign w:val="center"/>
          </w:tcPr>
          <w:p w14:paraId="08C9F940">
            <w:pPr>
              <w:pStyle w:val="58"/>
              <w:bidi w:val="0"/>
              <w:rPr>
                <w:rFonts w:hint="default"/>
                <w:lang w:val="en-US" w:eastAsia="en-US"/>
              </w:rPr>
            </w:pPr>
            <w:r>
              <w:rPr>
                <w:rFonts w:hint="default"/>
              </w:rPr>
              <w:t>1、全面推进沿海、迁安、滦州、迁西（遵化）4大片区规划建设，加快推进钢铁企业整合搬迁项目建设，推进“公转铁”、“公转水”和物料集中输送管廊项目建设，形成“沿海临港、铁路沿线”产业新布局。</w:t>
            </w:r>
          </w:p>
        </w:tc>
        <w:tc>
          <w:tcPr>
            <w:tcW w:w="1076" w:type="pct"/>
            <w:noWrap w:val="0"/>
            <w:vAlign w:val="center"/>
          </w:tcPr>
          <w:p w14:paraId="02A95EA4">
            <w:pPr>
              <w:pStyle w:val="58"/>
              <w:bidi w:val="0"/>
              <w:rPr>
                <w:rFonts w:hint="default"/>
                <w:lang w:eastAsia="zh-CN"/>
              </w:rPr>
            </w:pPr>
            <w:r>
              <w:rPr>
                <w:rFonts w:hint="default"/>
                <w:lang w:eastAsia="zh-CN"/>
              </w:rPr>
              <w:t>本项目不属于钢铁企业</w:t>
            </w:r>
          </w:p>
        </w:tc>
        <w:tc>
          <w:tcPr>
            <w:tcW w:w="268" w:type="pct"/>
            <w:noWrap w:val="0"/>
            <w:vAlign w:val="center"/>
          </w:tcPr>
          <w:p w14:paraId="47D2D9D1">
            <w:pPr>
              <w:pStyle w:val="58"/>
              <w:bidi w:val="0"/>
              <w:rPr>
                <w:rFonts w:hint="default"/>
                <w:lang w:val="en-US" w:eastAsia="zh-CN"/>
              </w:rPr>
            </w:pPr>
            <w:r>
              <w:rPr>
                <w:rFonts w:hint="default"/>
                <w:lang w:val="en-US" w:eastAsia="zh-CN"/>
              </w:rPr>
              <w:t>-</w:t>
            </w:r>
          </w:p>
        </w:tc>
      </w:tr>
      <w:tr w14:paraId="55F494F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491AC6A7">
            <w:pPr>
              <w:pStyle w:val="58"/>
              <w:bidi w:val="0"/>
              <w:rPr>
                <w:rFonts w:hint="default"/>
                <w:lang w:eastAsia="zh-CN"/>
              </w:rPr>
            </w:pPr>
          </w:p>
        </w:tc>
        <w:tc>
          <w:tcPr>
            <w:tcW w:w="327" w:type="pct"/>
            <w:vMerge w:val="continue"/>
            <w:noWrap w:val="0"/>
            <w:vAlign w:val="center"/>
          </w:tcPr>
          <w:p w14:paraId="5439C19B">
            <w:pPr>
              <w:pStyle w:val="58"/>
              <w:bidi w:val="0"/>
              <w:rPr>
                <w:rFonts w:hint="default"/>
              </w:rPr>
            </w:pPr>
          </w:p>
        </w:tc>
        <w:tc>
          <w:tcPr>
            <w:tcW w:w="2979" w:type="pct"/>
            <w:noWrap w:val="0"/>
            <w:vAlign w:val="center"/>
          </w:tcPr>
          <w:p w14:paraId="4B9B78E3">
            <w:pPr>
              <w:pStyle w:val="58"/>
              <w:bidi w:val="0"/>
              <w:rPr>
                <w:rFonts w:hint="default"/>
                <w:lang w:val="en-US" w:eastAsia="en-US"/>
              </w:rPr>
            </w:pPr>
            <w:r>
              <w:rPr>
                <w:rFonts w:hint="default"/>
              </w:rPr>
              <w:t>2、严禁违规新增钢铁、焦化、水泥、平板玻璃等产能，依法推动独立焦化、独立石灰、独立球团逐步退出。</w:t>
            </w:r>
          </w:p>
        </w:tc>
        <w:tc>
          <w:tcPr>
            <w:tcW w:w="1076" w:type="pct"/>
            <w:noWrap w:val="0"/>
            <w:vAlign w:val="center"/>
          </w:tcPr>
          <w:p w14:paraId="1D8D5275">
            <w:pPr>
              <w:pStyle w:val="58"/>
              <w:bidi w:val="0"/>
              <w:rPr>
                <w:rFonts w:hint="default"/>
              </w:rPr>
            </w:pPr>
            <w:r>
              <w:rPr>
                <w:rFonts w:hint="default"/>
                <w:lang w:eastAsia="zh-CN"/>
              </w:rPr>
              <w:t>本项目不属于</w:t>
            </w:r>
            <w:r>
              <w:rPr>
                <w:rFonts w:hint="default"/>
              </w:rPr>
              <w:t>钢铁、焦化、水泥、平板玻璃</w:t>
            </w:r>
          </w:p>
        </w:tc>
        <w:tc>
          <w:tcPr>
            <w:tcW w:w="268" w:type="pct"/>
            <w:noWrap w:val="0"/>
            <w:vAlign w:val="center"/>
          </w:tcPr>
          <w:p w14:paraId="68B4D8CE">
            <w:pPr>
              <w:pStyle w:val="58"/>
              <w:bidi w:val="0"/>
              <w:rPr>
                <w:rFonts w:hint="default"/>
                <w:lang w:val="en-US" w:eastAsia="zh-CN"/>
              </w:rPr>
            </w:pPr>
            <w:r>
              <w:rPr>
                <w:rFonts w:hint="default"/>
                <w:lang w:val="en-US" w:eastAsia="zh-CN"/>
              </w:rPr>
              <w:t>-</w:t>
            </w:r>
          </w:p>
        </w:tc>
      </w:tr>
      <w:tr w14:paraId="48F9001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5A5DF828">
            <w:pPr>
              <w:pStyle w:val="58"/>
              <w:bidi w:val="0"/>
              <w:rPr>
                <w:rFonts w:hint="default"/>
                <w:lang w:eastAsia="zh-CN"/>
              </w:rPr>
            </w:pPr>
          </w:p>
        </w:tc>
        <w:tc>
          <w:tcPr>
            <w:tcW w:w="327" w:type="pct"/>
            <w:vMerge w:val="continue"/>
            <w:noWrap w:val="0"/>
            <w:vAlign w:val="center"/>
          </w:tcPr>
          <w:p w14:paraId="4B077BE9">
            <w:pPr>
              <w:pStyle w:val="58"/>
              <w:bidi w:val="0"/>
              <w:rPr>
                <w:rFonts w:hint="default"/>
              </w:rPr>
            </w:pPr>
          </w:p>
        </w:tc>
        <w:tc>
          <w:tcPr>
            <w:tcW w:w="2979" w:type="pct"/>
            <w:noWrap w:val="0"/>
            <w:vAlign w:val="center"/>
          </w:tcPr>
          <w:p w14:paraId="1D22CB11">
            <w:pPr>
              <w:pStyle w:val="58"/>
              <w:bidi w:val="0"/>
              <w:rPr>
                <w:rFonts w:hint="default"/>
                <w:lang w:val="en-US" w:eastAsia="en-US"/>
              </w:rPr>
            </w:pPr>
            <w:r>
              <w:rPr>
                <w:rFonts w:hint="default"/>
              </w:rPr>
              <w:t>3、新（改、扩）建项目严格执行产能置换、煤炭替代和污染物倍量削减替代制度，当地有相关园区规划的，原则上要进入园区并配套建设高效环保治理设施，符合园区规划环评、建设项目环评要求。</w:t>
            </w:r>
          </w:p>
        </w:tc>
        <w:tc>
          <w:tcPr>
            <w:tcW w:w="1076" w:type="pct"/>
            <w:noWrap w:val="0"/>
            <w:vAlign w:val="center"/>
          </w:tcPr>
          <w:p w14:paraId="7B2CF932">
            <w:pPr>
              <w:pStyle w:val="58"/>
              <w:bidi w:val="0"/>
              <w:rPr>
                <w:rFonts w:hint="default"/>
                <w:lang w:val="en-US" w:eastAsia="zh-CN"/>
              </w:rPr>
            </w:pPr>
            <w:r>
              <w:rPr>
                <w:rFonts w:hint="default"/>
                <w:lang w:val="en-US" w:eastAsia="zh-CN"/>
              </w:rPr>
              <w:t>本项目位于唐山市曹妃甸区垦丰家居产业园区并配套建设高效环保治理设施，符合园区规划环评、建设项目环评要求。</w:t>
            </w:r>
          </w:p>
        </w:tc>
        <w:tc>
          <w:tcPr>
            <w:tcW w:w="268" w:type="pct"/>
            <w:noWrap w:val="0"/>
            <w:vAlign w:val="center"/>
          </w:tcPr>
          <w:p w14:paraId="4FE3C71A">
            <w:pPr>
              <w:pStyle w:val="58"/>
              <w:bidi w:val="0"/>
              <w:rPr>
                <w:rFonts w:hint="default"/>
                <w:lang w:eastAsia="zh-CN"/>
              </w:rPr>
            </w:pPr>
            <w:r>
              <w:rPr>
                <w:rFonts w:hint="default"/>
                <w:lang w:eastAsia="zh-CN"/>
              </w:rPr>
              <w:t>符合</w:t>
            </w:r>
          </w:p>
        </w:tc>
      </w:tr>
      <w:tr w14:paraId="4F93ED6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5C0351F8">
            <w:pPr>
              <w:pStyle w:val="58"/>
              <w:bidi w:val="0"/>
              <w:rPr>
                <w:rFonts w:hint="default"/>
                <w:lang w:eastAsia="zh-CN"/>
              </w:rPr>
            </w:pPr>
          </w:p>
        </w:tc>
        <w:tc>
          <w:tcPr>
            <w:tcW w:w="327" w:type="pct"/>
            <w:vMerge w:val="continue"/>
            <w:noWrap w:val="0"/>
            <w:vAlign w:val="center"/>
          </w:tcPr>
          <w:p w14:paraId="79B82DF1">
            <w:pPr>
              <w:pStyle w:val="58"/>
              <w:bidi w:val="0"/>
              <w:rPr>
                <w:rFonts w:hint="default"/>
              </w:rPr>
            </w:pPr>
          </w:p>
        </w:tc>
        <w:tc>
          <w:tcPr>
            <w:tcW w:w="2979" w:type="pct"/>
            <w:noWrap w:val="0"/>
            <w:vAlign w:val="center"/>
          </w:tcPr>
          <w:p w14:paraId="69B93D7A">
            <w:pPr>
              <w:pStyle w:val="58"/>
              <w:bidi w:val="0"/>
              <w:rPr>
                <w:rFonts w:hint="default"/>
              </w:rPr>
            </w:pPr>
            <w:r>
              <w:rPr>
                <w:rFonts w:hint="default"/>
              </w:rPr>
              <w:t>4、基本取缔燃煤热风炉和钢铁行业燃煤供热锅炉，基本淘汰热电联产供热管网覆盖范围内的燃煤加热、烘干炉（窑）。</w:t>
            </w:r>
          </w:p>
        </w:tc>
        <w:tc>
          <w:tcPr>
            <w:tcW w:w="1076" w:type="pct"/>
            <w:noWrap w:val="0"/>
            <w:vAlign w:val="center"/>
          </w:tcPr>
          <w:p w14:paraId="3C8C0832">
            <w:pPr>
              <w:pStyle w:val="58"/>
              <w:bidi w:val="0"/>
              <w:rPr>
                <w:rFonts w:hint="default"/>
                <w:lang w:val="en-US" w:eastAsia="zh-CN"/>
              </w:rPr>
            </w:pPr>
            <w:r>
              <w:rPr>
                <w:rFonts w:hint="default"/>
                <w:lang w:eastAsia="zh-CN"/>
              </w:rPr>
              <w:t>本项目</w:t>
            </w:r>
            <w:r>
              <w:rPr>
                <w:rFonts w:hint="default"/>
                <w:lang w:val="en-US" w:eastAsia="zh-CN"/>
              </w:rPr>
              <w:t>不涉及锅炉。</w:t>
            </w:r>
          </w:p>
        </w:tc>
        <w:tc>
          <w:tcPr>
            <w:tcW w:w="268" w:type="pct"/>
            <w:noWrap w:val="0"/>
            <w:vAlign w:val="center"/>
          </w:tcPr>
          <w:p w14:paraId="7525101C">
            <w:pPr>
              <w:pStyle w:val="58"/>
              <w:bidi w:val="0"/>
              <w:rPr>
                <w:rFonts w:hint="default"/>
                <w:lang w:eastAsia="zh-CN"/>
              </w:rPr>
            </w:pPr>
            <w:r>
              <w:rPr>
                <w:rFonts w:hint="default"/>
                <w:lang w:eastAsia="zh-CN"/>
              </w:rPr>
              <w:t>符合</w:t>
            </w:r>
          </w:p>
        </w:tc>
      </w:tr>
      <w:tr w14:paraId="37BCC7D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3C05783D">
            <w:pPr>
              <w:pStyle w:val="58"/>
              <w:bidi w:val="0"/>
              <w:rPr>
                <w:rFonts w:hint="default"/>
                <w:lang w:eastAsia="zh-CN"/>
              </w:rPr>
            </w:pPr>
          </w:p>
        </w:tc>
        <w:tc>
          <w:tcPr>
            <w:tcW w:w="327" w:type="pct"/>
            <w:vMerge w:val="continue"/>
            <w:noWrap w:val="0"/>
            <w:vAlign w:val="center"/>
          </w:tcPr>
          <w:p w14:paraId="4C5F5348">
            <w:pPr>
              <w:pStyle w:val="58"/>
              <w:bidi w:val="0"/>
              <w:rPr>
                <w:rFonts w:hint="default"/>
              </w:rPr>
            </w:pPr>
          </w:p>
        </w:tc>
        <w:tc>
          <w:tcPr>
            <w:tcW w:w="2979" w:type="pct"/>
            <w:noWrap w:val="0"/>
            <w:vAlign w:val="center"/>
          </w:tcPr>
          <w:p w14:paraId="6317C8B6">
            <w:pPr>
              <w:pStyle w:val="58"/>
              <w:bidi w:val="0"/>
              <w:rPr>
                <w:rFonts w:hint="default"/>
                <w:lang w:val="en-US" w:eastAsia="en-US"/>
              </w:rPr>
            </w:pPr>
            <w:r>
              <w:rPr>
                <w:rFonts w:hint="default"/>
              </w:rPr>
              <w:t>5、企业事业单位和其他生产经营者应当在规定期限内，淘汰列入河北省淘汰落后生产工艺、设备和产品名录的生产工艺、设备和产品。</w:t>
            </w:r>
          </w:p>
        </w:tc>
        <w:tc>
          <w:tcPr>
            <w:tcW w:w="1076" w:type="pct"/>
            <w:noWrap w:val="0"/>
            <w:vAlign w:val="center"/>
          </w:tcPr>
          <w:p w14:paraId="7D6611F2">
            <w:pPr>
              <w:pStyle w:val="58"/>
              <w:bidi w:val="0"/>
              <w:rPr>
                <w:rFonts w:hint="default"/>
                <w:lang w:eastAsia="zh-CN"/>
              </w:rPr>
            </w:pPr>
            <w:r>
              <w:rPr>
                <w:rFonts w:hint="default"/>
                <w:lang w:eastAsia="zh-CN"/>
              </w:rPr>
              <w:t>项目</w:t>
            </w:r>
            <w:r>
              <w:rPr>
                <w:rFonts w:hint="default"/>
                <w:lang w:val="en-US" w:eastAsia="zh-CN"/>
              </w:rPr>
              <w:t>不涉及</w:t>
            </w:r>
            <w:r>
              <w:rPr>
                <w:rFonts w:hint="default"/>
              </w:rPr>
              <w:t>落后生产工艺、设备。</w:t>
            </w:r>
          </w:p>
        </w:tc>
        <w:tc>
          <w:tcPr>
            <w:tcW w:w="268" w:type="pct"/>
            <w:noWrap w:val="0"/>
            <w:vAlign w:val="center"/>
          </w:tcPr>
          <w:p w14:paraId="086C733A">
            <w:pPr>
              <w:pStyle w:val="58"/>
              <w:bidi w:val="0"/>
              <w:rPr>
                <w:rFonts w:hint="default"/>
                <w:lang w:val="en-US" w:eastAsia="zh-CN"/>
              </w:rPr>
            </w:pPr>
            <w:r>
              <w:rPr>
                <w:rFonts w:hint="default"/>
                <w:lang w:eastAsia="zh-CN"/>
              </w:rPr>
              <w:t>符合</w:t>
            </w:r>
          </w:p>
        </w:tc>
      </w:tr>
      <w:tr w14:paraId="1BFEDC7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6BAD4135">
            <w:pPr>
              <w:pStyle w:val="58"/>
              <w:bidi w:val="0"/>
              <w:rPr>
                <w:rFonts w:hint="default"/>
                <w:lang w:eastAsia="zh-CN"/>
              </w:rPr>
            </w:pPr>
          </w:p>
        </w:tc>
        <w:tc>
          <w:tcPr>
            <w:tcW w:w="327" w:type="pct"/>
            <w:vMerge w:val="continue"/>
            <w:noWrap w:val="0"/>
            <w:vAlign w:val="center"/>
          </w:tcPr>
          <w:p w14:paraId="4CCBF113">
            <w:pPr>
              <w:pStyle w:val="58"/>
              <w:bidi w:val="0"/>
              <w:rPr>
                <w:rFonts w:hint="default"/>
              </w:rPr>
            </w:pPr>
          </w:p>
        </w:tc>
        <w:tc>
          <w:tcPr>
            <w:tcW w:w="2979" w:type="pct"/>
            <w:noWrap w:val="0"/>
            <w:vAlign w:val="center"/>
          </w:tcPr>
          <w:p w14:paraId="3A28E16D">
            <w:pPr>
              <w:pStyle w:val="58"/>
              <w:bidi w:val="0"/>
              <w:rPr>
                <w:rFonts w:hint="default"/>
                <w:lang w:val="en-US" w:eastAsia="en-US"/>
              </w:rPr>
            </w:pPr>
            <w:r>
              <w:rPr>
                <w:rFonts w:hint="default"/>
              </w:rPr>
              <w:t>6、全面取缔35蒸吨及以下燃煤锅炉，发现一台，拆除一台，确保实现动态“清零”；严禁新增35蒸吨及以下燃煤锅炉。路南区、路北区、高新区、开平区、古冶区、丰润区、丰南区、曹妃甸区全面取缔燃生物质燃料、燃油（醇基燃料）锅炉，建成区范围内改为电锅炉，其他区域改为燃气锅炉或电锅炉。其他县（市）、开发区（管理区）全面取缔燃用生物质燃料非专用锅炉，改为燃气锅炉或电锅炉。</w:t>
            </w:r>
          </w:p>
        </w:tc>
        <w:tc>
          <w:tcPr>
            <w:tcW w:w="1076" w:type="pct"/>
            <w:noWrap w:val="0"/>
            <w:vAlign w:val="center"/>
          </w:tcPr>
          <w:p w14:paraId="18AA967D">
            <w:pPr>
              <w:pStyle w:val="58"/>
              <w:bidi w:val="0"/>
              <w:rPr>
                <w:rFonts w:hint="default"/>
                <w:lang w:eastAsia="zh-CN"/>
              </w:rPr>
            </w:pPr>
            <w:r>
              <w:rPr>
                <w:rFonts w:hint="default"/>
                <w:lang w:eastAsia="zh-CN"/>
              </w:rPr>
              <w:t>本项目不涉及</w:t>
            </w:r>
          </w:p>
        </w:tc>
        <w:tc>
          <w:tcPr>
            <w:tcW w:w="268" w:type="pct"/>
            <w:noWrap w:val="0"/>
            <w:vAlign w:val="center"/>
          </w:tcPr>
          <w:p w14:paraId="7C1AF909">
            <w:pPr>
              <w:pStyle w:val="58"/>
              <w:bidi w:val="0"/>
              <w:rPr>
                <w:rFonts w:hint="default"/>
                <w:lang w:val="en-US" w:eastAsia="zh-CN"/>
              </w:rPr>
            </w:pPr>
            <w:r>
              <w:rPr>
                <w:rFonts w:hint="default"/>
                <w:lang w:val="en-US" w:eastAsia="zh-CN"/>
              </w:rPr>
              <w:t>-</w:t>
            </w:r>
          </w:p>
        </w:tc>
      </w:tr>
      <w:tr w14:paraId="266762F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6B7D5AC4">
            <w:pPr>
              <w:pStyle w:val="58"/>
              <w:bidi w:val="0"/>
              <w:rPr>
                <w:rFonts w:hint="default"/>
                <w:lang w:eastAsia="zh-CN"/>
              </w:rPr>
            </w:pPr>
          </w:p>
        </w:tc>
        <w:tc>
          <w:tcPr>
            <w:tcW w:w="327" w:type="pct"/>
            <w:vMerge w:val="restart"/>
            <w:noWrap w:val="0"/>
            <w:vAlign w:val="center"/>
          </w:tcPr>
          <w:p w14:paraId="68298894">
            <w:pPr>
              <w:pStyle w:val="58"/>
              <w:bidi w:val="0"/>
              <w:rPr>
                <w:rFonts w:hint="default"/>
              </w:rPr>
            </w:pPr>
            <w:r>
              <w:rPr>
                <w:rFonts w:hint="default"/>
              </w:rPr>
              <w:t>污染物排放管控</w:t>
            </w:r>
          </w:p>
        </w:tc>
        <w:tc>
          <w:tcPr>
            <w:tcW w:w="2979" w:type="pct"/>
            <w:noWrap w:val="0"/>
            <w:vAlign w:val="center"/>
          </w:tcPr>
          <w:p w14:paraId="3AB511A8">
            <w:pPr>
              <w:pStyle w:val="58"/>
              <w:bidi w:val="0"/>
              <w:rPr>
                <w:rFonts w:hint="default"/>
                <w:lang w:val="en-US" w:eastAsia="en-US"/>
              </w:rPr>
            </w:pPr>
            <w:r>
              <w:rPr>
                <w:rFonts w:hint="default"/>
              </w:rPr>
              <w:t>1、细颗粒物（</w:t>
            </w:r>
            <w:r>
              <w:rPr>
                <w:rFonts w:hint="eastAsia"/>
                <w:lang w:eastAsia="zh-CN"/>
              </w:rPr>
              <w:t>PM</w:t>
            </w:r>
            <w:r>
              <w:rPr>
                <w:rFonts w:hint="eastAsia"/>
                <w:vertAlign w:val="subscript"/>
                <w:lang w:eastAsia="zh-CN"/>
              </w:rPr>
              <w:t>2.5</w:t>
            </w:r>
            <w:r>
              <w:rPr>
                <w:rFonts w:hint="default"/>
              </w:rPr>
              <w:t>）年平均浓度不达标的城市，二氧化硫、氮氧化物、烟粉尘、挥发性有机物四项污染物均需进行2倍削减替代（燃煤发电机组大气污染物排放浓度基本达到燃气轮机组排放限值的除外）。</w:t>
            </w:r>
          </w:p>
        </w:tc>
        <w:tc>
          <w:tcPr>
            <w:tcW w:w="1076" w:type="pct"/>
            <w:noWrap w:val="0"/>
            <w:vAlign w:val="center"/>
          </w:tcPr>
          <w:p w14:paraId="79CBEE4C">
            <w:pPr>
              <w:pStyle w:val="58"/>
              <w:bidi w:val="0"/>
              <w:rPr>
                <w:rFonts w:hint="default"/>
                <w:lang w:val="en-US" w:eastAsia="zh-CN"/>
              </w:rPr>
            </w:pPr>
            <w:r>
              <w:rPr>
                <w:rFonts w:hint="default"/>
                <w:lang w:eastAsia="zh-CN"/>
              </w:rPr>
              <w:t>本项目</w:t>
            </w:r>
            <w:r>
              <w:rPr>
                <w:rFonts w:hint="default"/>
                <w:lang w:val="en-US" w:eastAsia="zh-CN"/>
              </w:rPr>
              <w:t>不涉及</w:t>
            </w:r>
            <w:r>
              <w:rPr>
                <w:rFonts w:hint="default"/>
              </w:rPr>
              <w:t>二氧化硫、氮氧化物、烟粉尘、挥发性有机物</w:t>
            </w:r>
            <w:r>
              <w:rPr>
                <w:rFonts w:hint="default"/>
                <w:lang w:val="en-US" w:eastAsia="zh-CN"/>
              </w:rPr>
              <w:t>这</w:t>
            </w:r>
            <w:r>
              <w:rPr>
                <w:rFonts w:hint="default"/>
              </w:rPr>
              <w:t>四项污染物</w:t>
            </w:r>
          </w:p>
        </w:tc>
        <w:tc>
          <w:tcPr>
            <w:tcW w:w="268" w:type="pct"/>
            <w:noWrap w:val="0"/>
            <w:vAlign w:val="center"/>
          </w:tcPr>
          <w:p w14:paraId="2FE52A00">
            <w:pPr>
              <w:pStyle w:val="58"/>
              <w:bidi w:val="0"/>
              <w:rPr>
                <w:rFonts w:hint="default"/>
                <w:lang w:val="en-US" w:eastAsia="zh-CN"/>
              </w:rPr>
            </w:pPr>
            <w:r>
              <w:rPr>
                <w:rFonts w:hint="default"/>
                <w:lang w:val="en-US" w:eastAsia="zh-CN"/>
              </w:rPr>
              <w:t>-</w:t>
            </w:r>
          </w:p>
        </w:tc>
      </w:tr>
      <w:tr w14:paraId="16E14E7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090027F3">
            <w:pPr>
              <w:pStyle w:val="58"/>
              <w:bidi w:val="0"/>
              <w:rPr>
                <w:rFonts w:hint="default"/>
                <w:lang w:eastAsia="zh-CN"/>
              </w:rPr>
            </w:pPr>
          </w:p>
        </w:tc>
        <w:tc>
          <w:tcPr>
            <w:tcW w:w="327" w:type="pct"/>
            <w:vMerge w:val="continue"/>
            <w:noWrap w:val="0"/>
            <w:vAlign w:val="center"/>
          </w:tcPr>
          <w:p w14:paraId="373DBC62">
            <w:pPr>
              <w:pStyle w:val="58"/>
              <w:bidi w:val="0"/>
              <w:rPr>
                <w:rFonts w:hint="default"/>
              </w:rPr>
            </w:pPr>
          </w:p>
        </w:tc>
        <w:tc>
          <w:tcPr>
            <w:tcW w:w="2979" w:type="pct"/>
            <w:noWrap w:val="0"/>
            <w:vAlign w:val="center"/>
          </w:tcPr>
          <w:p w14:paraId="3D2A58F8">
            <w:pPr>
              <w:pStyle w:val="58"/>
              <w:bidi w:val="0"/>
              <w:rPr>
                <w:rFonts w:hint="default"/>
                <w:lang w:val="en-US" w:eastAsia="en-US"/>
              </w:rPr>
            </w:pPr>
            <w:r>
              <w:rPr>
                <w:rFonts w:hint="default"/>
              </w:rPr>
              <w:t>2、35蒸吨以上燃煤锅炉、燃油（醇基燃料）锅炉、燃用生物质专用锅炉各污染物排放浓度达到《河北省锅炉大气污染物排放标准（DB13/5161）》要求；燃煤气、天然气锅炉各污染物排放浓度达到《唐山市锅炉治理专项实施方案》（唐气领办〔2019〕10号）要求。</w:t>
            </w:r>
          </w:p>
        </w:tc>
        <w:tc>
          <w:tcPr>
            <w:tcW w:w="1076" w:type="pct"/>
            <w:noWrap w:val="0"/>
            <w:vAlign w:val="center"/>
          </w:tcPr>
          <w:p w14:paraId="541A97B0">
            <w:pPr>
              <w:pStyle w:val="58"/>
              <w:bidi w:val="0"/>
              <w:rPr>
                <w:rFonts w:hint="default"/>
                <w:lang w:val="en-US" w:eastAsia="zh-CN"/>
              </w:rPr>
            </w:pPr>
            <w:r>
              <w:rPr>
                <w:rFonts w:hint="default"/>
                <w:lang w:eastAsia="zh-CN"/>
              </w:rPr>
              <w:t>本项目不涉及</w:t>
            </w:r>
          </w:p>
        </w:tc>
        <w:tc>
          <w:tcPr>
            <w:tcW w:w="268" w:type="pct"/>
            <w:noWrap w:val="0"/>
            <w:vAlign w:val="center"/>
          </w:tcPr>
          <w:p w14:paraId="70B93D97">
            <w:pPr>
              <w:pStyle w:val="58"/>
              <w:bidi w:val="0"/>
              <w:rPr>
                <w:rFonts w:hint="default"/>
                <w:lang w:val="en-US" w:eastAsia="zh-CN"/>
              </w:rPr>
            </w:pPr>
            <w:r>
              <w:rPr>
                <w:rFonts w:hint="default"/>
                <w:lang w:val="en-US" w:eastAsia="zh-CN"/>
              </w:rPr>
              <w:t>-</w:t>
            </w:r>
          </w:p>
        </w:tc>
      </w:tr>
      <w:tr w14:paraId="4EBAF5B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201428D9">
            <w:pPr>
              <w:pStyle w:val="58"/>
              <w:bidi w:val="0"/>
              <w:rPr>
                <w:rFonts w:hint="default"/>
                <w:lang w:eastAsia="zh-CN"/>
              </w:rPr>
            </w:pPr>
          </w:p>
        </w:tc>
        <w:tc>
          <w:tcPr>
            <w:tcW w:w="327" w:type="pct"/>
            <w:vMerge w:val="continue"/>
            <w:noWrap w:val="0"/>
            <w:vAlign w:val="center"/>
          </w:tcPr>
          <w:p w14:paraId="6AD0B50C">
            <w:pPr>
              <w:pStyle w:val="58"/>
              <w:bidi w:val="0"/>
              <w:rPr>
                <w:rFonts w:hint="default"/>
              </w:rPr>
            </w:pPr>
          </w:p>
        </w:tc>
        <w:tc>
          <w:tcPr>
            <w:tcW w:w="2979" w:type="pct"/>
            <w:noWrap w:val="0"/>
            <w:vAlign w:val="center"/>
          </w:tcPr>
          <w:p w14:paraId="10DDE38A">
            <w:pPr>
              <w:pStyle w:val="58"/>
              <w:bidi w:val="0"/>
              <w:rPr>
                <w:rFonts w:hint="default"/>
                <w:lang w:val="en-US" w:eastAsia="en-US"/>
              </w:rPr>
            </w:pPr>
            <w:r>
              <w:rPr>
                <w:rFonts w:hint="default"/>
              </w:rPr>
              <w:t>3、加强农村燃煤污染治理：（一）推广使用民用清洁燃烧炉具，加快淘汰低效直燃式高污染炉具，严禁生产、销售、使用不符合环保要求的炉具；（二）加强洁净型煤、优质煤炭的推广使用，实现农村地区洁净型煤配送网点建设全覆盖，严禁使用高硫分和劣质煤炭；（三）推广太阳能、电能、燃气、沼气、地热等使用，加强农作物秸秆能源化，推进农村清洁能源的替代和开发利用。</w:t>
            </w:r>
          </w:p>
        </w:tc>
        <w:tc>
          <w:tcPr>
            <w:tcW w:w="1076" w:type="pct"/>
            <w:noWrap w:val="0"/>
            <w:vAlign w:val="center"/>
          </w:tcPr>
          <w:p w14:paraId="1C5ADE68">
            <w:pPr>
              <w:pStyle w:val="58"/>
              <w:bidi w:val="0"/>
              <w:rPr>
                <w:rFonts w:hint="default"/>
                <w:lang w:val="en-US" w:eastAsia="zh-CN"/>
              </w:rPr>
            </w:pPr>
            <w:r>
              <w:rPr>
                <w:rFonts w:hint="default"/>
                <w:lang w:eastAsia="zh-CN"/>
              </w:rPr>
              <w:t>本项目不涉及</w:t>
            </w:r>
          </w:p>
        </w:tc>
        <w:tc>
          <w:tcPr>
            <w:tcW w:w="268" w:type="pct"/>
            <w:noWrap w:val="0"/>
            <w:vAlign w:val="center"/>
          </w:tcPr>
          <w:p w14:paraId="5457F905">
            <w:pPr>
              <w:pStyle w:val="58"/>
              <w:bidi w:val="0"/>
              <w:rPr>
                <w:rFonts w:hint="default"/>
                <w:lang w:val="en-US" w:eastAsia="zh-CN"/>
              </w:rPr>
            </w:pPr>
            <w:r>
              <w:rPr>
                <w:rFonts w:hint="default"/>
                <w:lang w:val="en-US" w:eastAsia="zh-CN"/>
              </w:rPr>
              <w:t>-</w:t>
            </w:r>
          </w:p>
        </w:tc>
      </w:tr>
      <w:tr w14:paraId="702C4E4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6879E392">
            <w:pPr>
              <w:pStyle w:val="58"/>
              <w:bidi w:val="0"/>
              <w:rPr>
                <w:rFonts w:hint="default"/>
                <w:lang w:eastAsia="zh-CN"/>
              </w:rPr>
            </w:pPr>
          </w:p>
        </w:tc>
        <w:tc>
          <w:tcPr>
            <w:tcW w:w="327" w:type="pct"/>
            <w:vMerge w:val="continue"/>
            <w:noWrap w:val="0"/>
            <w:vAlign w:val="center"/>
          </w:tcPr>
          <w:p w14:paraId="48353481">
            <w:pPr>
              <w:pStyle w:val="58"/>
              <w:bidi w:val="0"/>
              <w:rPr>
                <w:rFonts w:hint="default"/>
              </w:rPr>
            </w:pPr>
          </w:p>
        </w:tc>
        <w:tc>
          <w:tcPr>
            <w:tcW w:w="2979" w:type="pct"/>
            <w:noWrap w:val="0"/>
            <w:vAlign w:val="center"/>
          </w:tcPr>
          <w:p w14:paraId="7F4A450C">
            <w:pPr>
              <w:pStyle w:val="58"/>
              <w:bidi w:val="0"/>
              <w:rPr>
                <w:rFonts w:hint="default"/>
                <w:lang w:val="en-US" w:eastAsia="en-US"/>
              </w:rPr>
            </w:pPr>
            <w:r>
              <w:rPr>
                <w:rFonts w:hint="default"/>
              </w:rPr>
              <w:t>4、对保留的工业炉窑开展环保提标改造，配套建设高效脱硫脱硝除尘设施，确保稳定达标排放。加快推进钢铁行业超低排放改造，积极推进平板玻璃行业和水泥行业污染治理升级改造。鼓励具备条件的陶瓷企业陶瓷窑、喷雾干燥塔开展超低排放改造。平板玻璃、建筑陶瓷企业逐步取消脱硫脱硝烟气旁路或设置备用脱硫脱硝等设施，鼓励水泥企业实施全流程污染深度治理。推进具备条件的焦化企业实施干熄焦改造。在保证生产安全前提下，钢铁烧结（球团）、高炉、转炉、轧钢工序实施车间封闭生产。对标行业先进，持续推动污染物排放总量降低。</w:t>
            </w:r>
          </w:p>
        </w:tc>
        <w:tc>
          <w:tcPr>
            <w:tcW w:w="1076" w:type="pct"/>
            <w:noWrap w:val="0"/>
            <w:vAlign w:val="center"/>
          </w:tcPr>
          <w:p w14:paraId="0356654F">
            <w:pPr>
              <w:pStyle w:val="58"/>
              <w:bidi w:val="0"/>
              <w:rPr>
                <w:rFonts w:hint="default"/>
                <w:lang w:val="en-US" w:eastAsia="zh-CN"/>
              </w:rPr>
            </w:pPr>
            <w:r>
              <w:rPr>
                <w:rFonts w:hint="default"/>
                <w:lang w:eastAsia="zh-CN"/>
              </w:rPr>
              <w:t>本项目不涉及</w:t>
            </w:r>
          </w:p>
        </w:tc>
        <w:tc>
          <w:tcPr>
            <w:tcW w:w="268" w:type="pct"/>
            <w:noWrap w:val="0"/>
            <w:vAlign w:val="center"/>
          </w:tcPr>
          <w:p w14:paraId="67CB987A">
            <w:pPr>
              <w:pStyle w:val="58"/>
              <w:bidi w:val="0"/>
              <w:rPr>
                <w:rFonts w:hint="default"/>
                <w:lang w:val="en-US" w:eastAsia="zh-CN"/>
              </w:rPr>
            </w:pPr>
            <w:r>
              <w:rPr>
                <w:rFonts w:hint="default"/>
                <w:lang w:val="en-US" w:eastAsia="zh-CN"/>
              </w:rPr>
              <w:t>-</w:t>
            </w:r>
          </w:p>
        </w:tc>
      </w:tr>
      <w:tr w14:paraId="36CF68D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61A8818D">
            <w:pPr>
              <w:pStyle w:val="58"/>
              <w:bidi w:val="0"/>
              <w:rPr>
                <w:rFonts w:hint="default"/>
                <w:lang w:eastAsia="zh-CN"/>
              </w:rPr>
            </w:pPr>
          </w:p>
        </w:tc>
        <w:tc>
          <w:tcPr>
            <w:tcW w:w="327" w:type="pct"/>
            <w:vMerge w:val="continue"/>
            <w:noWrap w:val="0"/>
            <w:vAlign w:val="center"/>
          </w:tcPr>
          <w:p w14:paraId="1BBE0021">
            <w:pPr>
              <w:pStyle w:val="58"/>
              <w:bidi w:val="0"/>
              <w:rPr>
                <w:rFonts w:hint="default"/>
              </w:rPr>
            </w:pPr>
          </w:p>
        </w:tc>
        <w:tc>
          <w:tcPr>
            <w:tcW w:w="2979" w:type="pct"/>
            <w:noWrap w:val="0"/>
            <w:vAlign w:val="center"/>
          </w:tcPr>
          <w:p w14:paraId="5EBEA5EA">
            <w:pPr>
              <w:pStyle w:val="58"/>
              <w:bidi w:val="0"/>
              <w:rPr>
                <w:rFonts w:hint="default"/>
                <w:lang w:val="en-US" w:eastAsia="en-US"/>
              </w:rPr>
            </w:pPr>
            <w:r>
              <w:rPr>
                <w:rFonts w:hint="default"/>
              </w:rPr>
              <w:t>5、推广新能源机动车，建设相应的充电站（桩）、加气站等基础设施，新建居民住宅小区停车位应当建设相应的充电设施；鼓励和支持公共交通、出租车、环境卫生、邮政、快递等行业用车和公务用车率先使用新能源机动车。加强城市步行和自行车交通系统建设，引导公众绿色、低碳出行。船舶靠港后应当优先使用岸电。新建码头应当规划、设计和建设岸基供电设施；已建成的码头应当逐步实施岸基供电设施改造。</w:t>
            </w:r>
          </w:p>
        </w:tc>
        <w:tc>
          <w:tcPr>
            <w:tcW w:w="1076" w:type="pct"/>
            <w:noWrap w:val="0"/>
            <w:vAlign w:val="center"/>
          </w:tcPr>
          <w:p w14:paraId="1694DD88">
            <w:pPr>
              <w:pStyle w:val="58"/>
              <w:bidi w:val="0"/>
              <w:rPr>
                <w:rFonts w:hint="default"/>
                <w:lang w:val="en-US" w:eastAsia="zh-CN"/>
              </w:rPr>
            </w:pPr>
            <w:r>
              <w:rPr>
                <w:rFonts w:hint="default"/>
                <w:lang w:eastAsia="zh-CN"/>
              </w:rPr>
              <w:t>本项目不涉及</w:t>
            </w:r>
          </w:p>
        </w:tc>
        <w:tc>
          <w:tcPr>
            <w:tcW w:w="268" w:type="pct"/>
            <w:noWrap w:val="0"/>
            <w:vAlign w:val="center"/>
          </w:tcPr>
          <w:p w14:paraId="0F755982">
            <w:pPr>
              <w:pStyle w:val="58"/>
              <w:bidi w:val="0"/>
              <w:rPr>
                <w:rFonts w:hint="default"/>
                <w:lang w:val="en-US" w:eastAsia="zh-CN"/>
              </w:rPr>
            </w:pPr>
            <w:r>
              <w:rPr>
                <w:rFonts w:hint="default"/>
                <w:lang w:val="en-US" w:eastAsia="zh-CN"/>
              </w:rPr>
              <w:t>-</w:t>
            </w:r>
          </w:p>
        </w:tc>
      </w:tr>
      <w:tr w14:paraId="632E2D1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637DE5C1">
            <w:pPr>
              <w:pStyle w:val="58"/>
              <w:bidi w:val="0"/>
              <w:rPr>
                <w:rFonts w:hint="default"/>
                <w:lang w:eastAsia="zh-CN"/>
              </w:rPr>
            </w:pPr>
          </w:p>
        </w:tc>
        <w:tc>
          <w:tcPr>
            <w:tcW w:w="327" w:type="pct"/>
            <w:vMerge w:val="continue"/>
            <w:noWrap w:val="0"/>
            <w:vAlign w:val="center"/>
          </w:tcPr>
          <w:p w14:paraId="20405EEB">
            <w:pPr>
              <w:pStyle w:val="58"/>
              <w:bidi w:val="0"/>
              <w:rPr>
                <w:rFonts w:hint="default"/>
              </w:rPr>
            </w:pPr>
          </w:p>
        </w:tc>
        <w:tc>
          <w:tcPr>
            <w:tcW w:w="2979" w:type="pct"/>
            <w:noWrap w:val="0"/>
            <w:vAlign w:val="center"/>
          </w:tcPr>
          <w:p w14:paraId="6A7C7A30">
            <w:pPr>
              <w:pStyle w:val="58"/>
              <w:bidi w:val="0"/>
              <w:rPr>
                <w:rFonts w:hint="default"/>
                <w:lang w:val="en-US" w:eastAsia="en-US"/>
              </w:rPr>
            </w:pPr>
            <w:r>
              <w:rPr>
                <w:rFonts w:hint="default"/>
              </w:rPr>
              <w:t>6、加快油品质量升级。停止销售低于国Ⅵ标准的汽柴油，实现车用柴油、普通柴油、部分船舶用油“三油并轨”。</w:t>
            </w:r>
          </w:p>
        </w:tc>
        <w:tc>
          <w:tcPr>
            <w:tcW w:w="1076" w:type="pct"/>
            <w:noWrap w:val="0"/>
            <w:vAlign w:val="center"/>
          </w:tcPr>
          <w:p w14:paraId="1FB780FC">
            <w:pPr>
              <w:pStyle w:val="58"/>
              <w:bidi w:val="0"/>
              <w:rPr>
                <w:rFonts w:hint="default"/>
                <w:lang w:val="en-US" w:eastAsia="zh-CN"/>
              </w:rPr>
            </w:pPr>
            <w:r>
              <w:rPr>
                <w:rFonts w:hint="default"/>
                <w:lang w:eastAsia="zh-CN"/>
              </w:rPr>
              <w:t>本项目不涉及</w:t>
            </w:r>
          </w:p>
        </w:tc>
        <w:tc>
          <w:tcPr>
            <w:tcW w:w="268" w:type="pct"/>
            <w:noWrap w:val="0"/>
            <w:vAlign w:val="center"/>
          </w:tcPr>
          <w:p w14:paraId="74D3DF2A">
            <w:pPr>
              <w:pStyle w:val="58"/>
              <w:bidi w:val="0"/>
              <w:rPr>
                <w:rFonts w:hint="default"/>
                <w:lang w:val="en-US" w:eastAsia="zh-CN"/>
              </w:rPr>
            </w:pPr>
            <w:r>
              <w:rPr>
                <w:rFonts w:hint="default"/>
                <w:lang w:val="en-US" w:eastAsia="zh-CN"/>
              </w:rPr>
              <w:t>-</w:t>
            </w:r>
          </w:p>
        </w:tc>
      </w:tr>
      <w:tr w14:paraId="4456B1B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4580884B">
            <w:pPr>
              <w:pStyle w:val="58"/>
              <w:bidi w:val="0"/>
              <w:rPr>
                <w:rFonts w:hint="default"/>
                <w:lang w:eastAsia="zh-CN"/>
              </w:rPr>
            </w:pPr>
          </w:p>
        </w:tc>
        <w:tc>
          <w:tcPr>
            <w:tcW w:w="327" w:type="pct"/>
            <w:vMerge w:val="continue"/>
            <w:noWrap w:val="0"/>
            <w:vAlign w:val="center"/>
          </w:tcPr>
          <w:p w14:paraId="6DE69553">
            <w:pPr>
              <w:pStyle w:val="58"/>
              <w:bidi w:val="0"/>
              <w:rPr>
                <w:rFonts w:hint="default"/>
              </w:rPr>
            </w:pPr>
          </w:p>
        </w:tc>
        <w:tc>
          <w:tcPr>
            <w:tcW w:w="2979" w:type="pct"/>
            <w:noWrap w:val="0"/>
            <w:vAlign w:val="center"/>
          </w:tcPr>
          <w:p w14:paraId="40DA433B">
            <w:pPr>
              <w:pStyle w:val="58"/>
              <w:bidi w:val="0"/>
              <w:rPr>
                <w:rFonts w:hint="default"/>
                <w:lang w:val="en-US" w:eastAsia="en-US"/>
              </w:rPr>
            </w:pPr>
            <w:r>
              <w:rPr>
                <w:rFonts w:hint="default"/>
              </w:rPr>
              <w:t>7、推进矿山综合整治。按照“能关则关、应合尽合、能转则转”的原则，对违反法律法规、列入关闭计划、整改不达标、乱采滥挖的矿山，依法依规坚决关闭取缔。</w:t>
            </w:r>
          </w:p>
        </w:tc>
        <w:tc>
          <w:tcPr>
            <w:tcW w:w="1076" w:type="pct"/>
            <w:noWrap w:val="0"/>
            <w:vAlign w:val="center"/>
          </w:tcPr>
          <w:p w14:paraId="075BCFBF">
            <w:pPr>
              <w:pStyle w:val="58"/>
              <w:bidi w:val="0"/>
              <w:rPr>
                <w:rFonts w:hint="default"/>
                <w:lang w:val="en-US" w:eastAsia="zh-CN"/>
              </w:rPr>
            </w:pPr>
            <w:r>
              <w:rPr>
                <w:rFonts w:hint="default"/>
                <w:lang w:eastAsia="zh-CN"/>
              </w:rPr>
              <w:t>本项目不涉及</w:t>
            </w:r>
          </w:p>
        </w:tc>
        <w:tc>
          <w:tcPr>
            <w:tcW w:w="268" w:type="pct"/>
            <w:noWrap w:val="0"/>
            <w:vAlign w:val="center"/>
          </w:tcPr>
          <w:p w14:paraId="3EDF2E6F">
            <w:pPr>
              <w:pStyle w:val="58"/>
              <w:bidi w:val="0"/>
              <w:rPr>
                <w:rFonts w:hint="default"/>
                <w:lang w:val="en-US" w:eastAsia="zh-CN"/>
              </w:rPr>
            </w:pPr>
            <w:r>
              <w:rPr>
                <w:rFonts w:hint="default"/>
                <w:lang w:val="en-US" w:eastAsia="zh-CN"/>
              </w:rPr>
              <w:t>-</w:t>
            </w:r>
          </w:p>
        </w:tc>
      </w:tr>
      <w:tr w14:paraId="6C3FA51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2E67D4EA">
            <w:pPr>
              <w:pStyle w:val="58"/>
              <w:bidi w:val="0"/>
              <w:rPr>
                <w:rFonts w:hint="default"/>
                <w:lang w:eastAsia="zh-CN"/>
              </w:rPr>
            </w:pPr>
          </w:p>
        </w:tc>
        <w:tc>
          <w:tcPr>
            <w:tcW w:w="327" w:type="pct"/>
            <w:vMerge w:val="continue"/>
            <w:noWrap w:val="0"/>
            <w:vAlign w:val="center"/>
          </w:tcPr>
          <w:p w14:paraId="0D224064">
            <w:pPr>
              <w:pStyle w:val="58"/>
              <w:bidi w:val="0"/>
              <w:rPr>
                <w:rFonts w:hint="default"/>
              </w:rPr>
            </w:pPr>
          </w:p>
        </w:tc>
        <w:tc>
          <w:tcPr>
            <w:tcW w:w="2979" w:type="pct"/>
            <w:noWrap w:val="0"/>
            <w:vAlign w:val="center"/>
          </w:tcPr>
          <w:p w14:paraId="293739D6">
            <w:pPr>
              <w:pStyle w:val="58"/>
              <w:bidi w:val="0"/>
              <w:rPr>
                <w:rFonts w:hint="default"/>
                <w:lang w:val="en-US" w:eastAsia="en-US"/>
              </w:rPr>
            </w:pPr>
            <w:r>
              <w:rPr>
                <w:rFonts w:hint="default"/>
              </w:rPr>
              <w:t>8、强化建筑施工扬尘污染防治，严格落实《河北省扬尘污染防治办法》，对城市建成区、县城建筑施工工地实施全面监管。强化道路扬尘综合治理，按照《河北省城市精细化管理标准》有关要求，全面巩固洁净城市创建成果。</w:t>
            </w:r>
          </w:p>
        </w:tc>
        <w:tc>
          <w:tcPr>
            <w:tcW w:w="1076" w:type="pct"/>
            <w:noWrap w:val="0"/>
            <w:vAlign w:val="center"/>
          </w:tcPr>
          <w:p w14:paraId="0771E80E">
            <w:pPr>
              <w:pStyle w:val="58"/>
              <w:bidi w:val="0"/>
              <w:rPr>
                <w:rFonts w:hint="default"/>
                <w:lang w:val="en-US" w:eastAsia="zh-CN"/>
              </w:rPr>
            </w:pPr>
            <w:r>
              <w:rPr>
                <w:rFonts w:hint="default"/>
                <w:lang w:eastAsia="zh-CN"/>
              </w:rPr>
              <w:t>本项目施工期</w:t>
            </w:r>
            <w:r>
              <w:rPr>
                <w:rFonts w:hint="default"/>
              </w:rPr>
              <w:t>严格落实《河北省扬尘污染防治办法》。</w:t>
            </w:r>
            <w:r>
              <w:rPr>
                <w:rFonts w:hint="default"/>
                <w:lang w:val="en-US" w:eastAsia="zh-CN"/>
              </w:rPr>
              <w:t>采取措施防止道路扬尘。</w:t>
            </w:r>
          </w:p>
        </w:tc>
        <w:tc>
          <w:tcPr>
            <w:tcW w:w="268" w:type="pct"/>
            <w:noWrap w:val="0"/>
            <w:vAlign w:val="center"/>
          </w:tcPr>
          <w:p w14:paraId="11D0CFD8">
            <w:pPr>
              <w:pStyle w:val="58"/>
              <w:bidi w:val="0"/>
              <w:rPr>
                <w:rFonts w:hint="default"/>
                <w:lang w:eastAsia="zh-CN"/>
              </w:rPr>
            </w:pPr>
            <w:r>
              <w:rPr>
                <w:rFonts w:hint="default"/>
                <w:lang w:eastAsia="zh-CN"/>
              </w:rPr>
              <w:t>符合</w:t>
            </w:r>
          </w:p>
        </w:tc>
      </w:tr>
      <w:tr w14:paraId="209E238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086FC2A9">
            <w:pPr>
              <w:pStyle w:val="58"/>
              <w:bidi w:val="0"/>
              <w:rPr>
                <w:rFonts w:hint="default"/>
                <w:lang w:eastAsia="zh-CN"/>
              </w:rPr>
            </w:pPr>
          </w:p>
        </w:tc>
        <w:tc>
          <w:tcPr>
            <w:tcW w:w="327" w:type="pct"/>
            <w:vMerge w:val="continue"/>
            <w:noWrap w:val="0"/>
            <w:vAlign w:val="center"/>
          </w:tcPr>
          <w:p w14:paraId="6739F431">
            <w:pPr>
              <w:pStyle w:val="58"/>
              <w:bidi w:val="0"/>
              <w:rPr>
                <w:rFonts w:hint="default"/>
              </w:rPr>
            </w:pPr>
          </w:p>
        </w:tc>
        <w:tc>
          <w:tcPr>
            <w:tcW w:w="2979" w:type="pct"/>
            <w:noWrap w:val="0"/>
            <w:vAlign w:val="center"/>
          </w:tcPr>
          <w:p w14:paraId="0D51D91A">
            <w:pPr>
              <w:pStyle w:val="58"/>
              <w:bidi w:val="0"/>
              <w:rPr>
                <w:rFonts w:hint="default"/>
                <w:lang w:val="en-US" w:eastAsia="en-US"/>
              </w:rPr>
            </w:pPr>
            <w:r>
              <w:rPr>
                <w:rFonts w:hint="default"/>
              </w:rPr>
              <w:t>9、深化重点行业深度治理。巩固钢铁、焦化、煤电、水泥、平板玻璃等重点行业超低排放改造成效，实施工艺全流程深度治理，推进全过程无组织排放管控。</w:t>
            </w:r>
          </w:p>
        </w:tc>
        <w:tc>
          <w:tcPr>
            <w:tcW w:w="1076" w:type="pct"/>
            <w:noWrap w:val="0"/>
            <w:vAlign w:val="center"/>
          </w:tcPr>
          <w:p w14:paraId="77A82C80">
            <w:pPr>
              <w:pStyle w:val="58"/>
              <w:bidi w:val="0"/>
              <w:rPr>
                <w:rFonts w:hint="default"/>
                <w:lang w:val="en-US" w:eastAsia="zh-CN"/>
              </w:rPr>
            </w:pPr>
            <w:r>
              <w:rPr>
                <w:rFonts w:hint="default"/>
                <w:lang w:eastAsia="zh-CN"/>
              </w:rPr>
              <w:t>本项目不涉及</w:t>
            </w:r>
          </w:p>
        </w:tc>
        <w:tc>
          <w:tcPr>
            <w:tcW w:w="268" w:type="pct"/>
            <w:noWrap w:val="0"/>
            <w:vAlign w:val="center"/>
          </w:tcPr>
          <w:p w14:paraId="56348B8F">
            <w:pPr>
              <w:pStyle w:val="58"/>
              <w:bidi w:val="0"/>
              <w:rPr>
                <w:rFonts w:hint="default"/>
                <w:lang w:val="en-US" w:eastAsia="zh-CN"/>
              </w:rPr>
            </w:pPr>
            <w:r>
              <w:rPr>
                <w:rFonts w:hint="default"/>
                <w:lang w:val="en-US" w:eastAsia="zh-CN"/>
              </w:rPr>
              <w:t>-</w:t>
            </w:r>
          </w:p>
        </w:tc>
      </w:tr>
      <w:tr w14:paraId="3966F59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64F50770">
            <w:pPr>
              <w:pStyle w:val="58"/>
              <w:bidi w:val="0"/>
              <w:rPr>
                <w:rFonts w:hint="default"/>
                <w:lang w:eastAsia="zh-CN"/>
              </w:rPr>
            </w:pPr>
          </w:p>
        </w:tc>
        <w:tc>
          <w:tcPr>
            <w:tcW w:w="327" w:type="pct"/>
            <w:vMerge w:val="continue"/>
            <w:noWrap w:val="0"/>
            <w:vAlign w:val="center"/>
          </w:tcPr>
          <w:p w14:paraId="22C5DE19">
            <w:pPr>
              <w:pStyle w:val="58"/>
              <w:bidi w:val="0"/>
              <w:rPr>
                <w:rFonts w:hint="default"/>
              </w:rPr>
            </w:pPr>
          </w:p>
        </w:tc>
        <w:tc>
          <w:tcPr>
            <w:tcW w:w="2979" w:type="pct"/>
            <w:noWrap w:val="0"/>
            <w:vAlign w:val="center"/>
          </w:tcPr>
          <w:p w14:paraId="6F07B9BC">
            <w:pPr>
              <w:pStyle w:val="58"/>
              <w:bidi w:val="0"/>
              <w:rPr>
                <w:rFonts w:hint="default"/>
                <w:lang w:val="en-US" w:eastAsia="en-US"/>
              </w:rPr>
            </w:pPr>
            <w:r>
              <w:rPr>
                <w:rFonts w:hint="default"/>
              </w:rPr>
              <w:t>10、加强重污染天气应急联动。加强污染气象条件和空气污染监测、预报预警和评估能力建设，建成全市区域传输监控预警系统，提高重污染天气预报预警的准确度。加大秋冬季工业企业生产调控力度，按照基本抵消新增污染物排放量的原则，对钢铁、建材、焦化、铸造、化工等高排放行业实行强化管控。</w:t>
            </w:r>
          </w:p>
        </w:tc>
        <w:tc>
          <w:tcPr>
            <w:tcW w:w="1076" w:type="pct"/>
            <w:noWrap w:val="0"/>
            <w:vAlign w:val="center"/>
          </w:tcPr>
          <w:p w14:paraId="284A72A7">
            <w:pPr>
              <w:pStyle w:val="58"/>
              <w:bidi w:val="0"/>
              <w:rPr>
                <w:rFonts w:hint="default"/>
                <w:lang w:val="en-US" w:eastAsia="zh-CN"/>
              </w:rPr>
            </w:pPr>
            <w:r>
              <w:rPr>
                <w:rFonts w:hint="default"/>
              </w:rPr>
              <w:t>本项目</w:t>
            </w:r>
            <w:r>
              <w:rPr>
                <w:rFonts w:hint="default"/>
                <w:lang w:val="en-US" w:eastAsia="zh-CN"/>
              </w:rPr>
              <w:t>不涉及</w:t>
            </w:r>
          </w:p>
        </w:tc>
        <w:tc>
          <w:tcPr>
            <w:tcW w:w="268" w:type="pct"/>
            <w:noWrap w:val="0"/>
            <w:vAlign w:val="center"/>
          </w:tcPr>
          <w:p w14:paraId="04A4ABFF">
            <w:pPr>
              <w:pStyle w:val="58"/>
              <w:bidi w:val="0"/>
              <w:rPr>
                <w:rFonts w:hint="default"/>
                <w:lang w:val="en-US" w:eastAsia="zh-CN"/>
              </w:rPr>
            </w:pPr>
            <w:r>
              <w:rPr>
                <w:rFonts w:hint="default"/>
                <w:lang w:val="en-US" w:eastAsia="zh-CN"/>
              </w:rPr>
              <w:t>-</w:t>
            </w:r>
          </w:p>
        </w:tc>
      </w:tr>
      <w:tr w14:paraId="6CE2A80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702C77D4">
            <w:pPr>
              <w:pStyle w:val="58"/>
              <w:bidi w:val="0"/>
              <w:rPr>
                <w:rFonts w:hint="default"/>
                <w:lang w:eastAsia="zh-CN"/>
              </w:rPr>
            </w:pPr>
          </w:p>
        </w:tc>
        <w:tc>
          <w:tcPr>
            <w:tcW w:w="327" w:type="pct"/>
            <w:vMerge w:val="continue"/>
            <w:noWrap w:val="0"/>
            <w:vAlign w:val="center"/>
          </w:tcPr>
          <w:p w14:paraId="6D517E08">
            <w:pPr>
              <w:pStyle w:val="58"/>
              <w:bidi w:val="0"/>
              <w:rPr>
                <w:rFonts w:hint="default"/>
              </w:rPr>
            </w:pPr>
          </w:p>
        </w:tc>
        <w:tc>
          <w:tcPr>
            <w:tcW w:w="2979" w:type="pct"/>
            <w:noWrap w:val="0"/>
            <w:vAlign w:val="center"/>
          </w:tcPr>
          <w:p w14:paraId="5D167329">
            <w:pPr>
              <w:pStyle w:val="58"/>
              <w:bidi w:val="0"/>
              <w:rPr>
                <w:rFonts w:hint="default"/>
                <w:lang w:val="en-US" w:eastAsia="en-US"/>
              </w:rPr>
            </w:pPr>
            <w:r>
              <w:rPr>
                <w:rFonts w:hint="default"/>
              </w:rPr>
              <w:t>11、强化柴油货车污染防治。加快柴油货车治理，推动货运经营整合升级、提质增效，加快规模化发展、连锁化经营。实施清洁柴油车、清洁运输和清洁油品行动，降低污染排放总量。</w:t>
            </w:r>
          </w:p>
        </w:tc>
        <w:tc>
          <w:tcPr>
            <w:tcW w:w="1076" w:type="pct"/>
            <w:noWrap w:val="0"/>
            <w:vAlign w:val="center"/>
          </w:tcPr>
          <w:p w14:paraId="1D55393A">
            <w:pPr>
              <w:pStyle w:val="58"/>
              <w:bidi w:val="0"/>
              <w:rPr>
                <w:rFonts w:hint="default"/>
                <w:lang w:val="en-US" w:eastAsia="zh-CN"/>
              </w:rPr>
            </w:pPr>
            <w:r>
              <w:rPr>
                <w:rFonts w:hint="default"/>
                <w:lang w:eastAsia="zh-CN"/>
              </w:rPr>
              <w:t>本项目不涉及</w:t>
            </w:r>
          </w:p>
        </w:tc>
        <w:tc>
          <w:tcPr>
            <w:tcW w:w="268" w:type="pct"/>
            <w:noWrap w:val="0"/>
            <w:vAlign w:val="center"/>
          </w:tcPr>
          <w:p w14:paraId="0F727709">
            <w:pPr>
              <w:pStyle w:val="58"/>
              <w:bidi w:val="0"/>
              <w:rPr>
                <w:rFonts w:hint="default"/>
                <w:lang w:val="en-US" w:eastAsia="zh-CN"/>
              </w:rPr>
            </w:pPr>
            <w:r>
              <w:rPr>
                <w:rFonts w:hint="default"/>
                <w:lang w:val="en-US" w:eastAsia="zh-CN"/>
              </w:rPr>
              <w:t>-</w:t>
            </w:r>
          </w:p>
        </w:tc>
      </w:tr>
      <w:tr w14:paraId="3E3D5E7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2AB2A4AB">
            <w:pPr>
              <w:pStyle w:val="58"/>
              <w:bidi w:val="0"/>
              <w:rPr>
                <w:rFonts w:hint="default"/>
                <w:lang w:eastAsia="zh-CN"/>
              </w:rPr>
            </w:pPr>
          </w:p>
        </w:tc>
        <w:tc>
          <w:tcPr>
            <w:tcW w:w="327" w:type="pct"/>
            <w:vMerge w:val="continue"/>
            <w:noWrap w:val="0"/>
            <w:vAlign w:val="center"/>
          </w:tcPr>
          <w:p w14:paraId="0FD76C79">
            <w:pPr>
              <w:pStyle w:val="58"/>
              <w:bidi w:val="0"/>
              <w:rPr>
                <w:rFonts w:hint="default"/>
              </w:rPr>
            </w:pPr>
          </w:p>
        </w:tc>
        <w:tc>
          <w:tcPr>
            <w:tcW w:w="2979" w:type="pct"/>
            <w:noWrap w:val="0"/>
            <w:vAlign w:val="center"/>
          </w:tcPr>
          <w:p w14:paraId="3DCD3DCA">
            <w:pPr>
              <w:pStyle w:val="58"/>
              <w:bidi w:val="0"/>
              <w:rPr>
                <w:rFonts w:hint="default"/>
                <w:lang w:val="en-US" w:eastAsia="en-US"/>
              </w:rPr>
            </w:pPr>
            <w:r>
              <w:rPr>
                <w:rFonts w:hint="default"/>
              </w:rPr>
              <w:t>12、禁止露天焚烧秸秆、落叶、枯草等产生烟尘污染的物质，以及电子废弃物、油毡、橡胶、塑料、皮革、沥青、垃圾等产生有毒有害、恶臭或者强烈异味气体的物质。</w:t>
            </w:r>
          </w:p>
        </w:tc>
        <w:tc>
          <w:tcPr>
            <w:tcW w:w="1076" w:type="pct"/>
            <w:noWrap w:val="0"/>
            <w:vAlign w:val="center"/>
          </w:tcPr>
          <w:p w14:paraId="0FFE29D4">
            <w:pPr>
              <w:pStyle w:val="58"/>
              <w:bidi w:val="0"/>
              <w:rPr>
                <w:rFonts w:hint="default"/>
                <w:lang w:val="en-US" w:eastAsia="zh-CN"/>
              </w:rPr>
            </w:pPr>
            <w:r>
              <w:rPr>
                <w:rFonts w:hint="default"/>
                <w:lang w:eastAsia="zh-CN"/>
              </w:rPr>
              <w:t>本项目不涉及</w:t>
            </w:r>
          </w:p>
        </w:tc>
        <w:tc>
          <w:tcPr>
            <w:tcW w:w="268" w:type="pct"/>
            <w:noWrap w:val="0"/>
            <w:vAlign w:val="center"/>
          </w:tcPr>
          <w:p w14:paraId="2584CD9E">
            <w:pPr>
              <w:pStyle w:val="58"/>
              <w:bidi w:val="0"/>
              <w:rPr>
                <w:rFonts w:hint="default"/>
                <w:lang w:val="en-US" w:eastAsia="zh-CN"/>
              </w:rPr>
            </w:pPr>
            <w:r>
              <w:rPr>
                <w:rFonts w:hint="default"/>
                <w:lang w:val="en-US" w:eastAsia="zh-CN"/>
              </w:rPr>
              <w:t>-</w:t>
            </w:r>
          </w:p>
        </w:tc>
      </w:tr>
      <w:tr w14:paraId="4AC6BD4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4E8A0B7D">
            <w:pPr>
              <w:pStyle w:val="58"/>
              <w:bidi w:val="0"/>
              <w:rPr>
                <w:rFonts w:hint="default"/>
                <w:lang w:eastAsia="zh-CN"/>
              </w:rPr>
            </w:pPr>
          </w:p>
        </w:tc>
        <w:tc>
          <w:tcPr>
            <w:tcW w:w="327" w:type="pct"/>
            <w:vMerge w:val="continue"/>
            <w:noWrap w:val="0"/>
            <w:vAlign w:val="center"/>
          </w:tcPr>
          <w:p w14:paraId="1FC9ABE2">
            <w:pPr>
              <w:pStyle w:val="58"/>
              <w:bidi w:val="0"/>
              <w:rPr>
                <w:rFonts w:hint="default"/>
              </w:rPr>
            </w:pPr>
          </w:p>
        </w:tc>
        <w:tc>
          <w:tcPr>
            <w:tcW w:w="2979" w:type="pct"/>
            <w:noWrap w:val="0"/>
            <w:vAlign w:val="center"/>
          </w:tcPr>
          <w:p w14:paraId="2C95C2D1">
            <w:pPr>
              <w:pStyle w:val="58"/>
              <w:bidi w:val="0"/>
              <w:rPr>
                <w:rFonts w:hint="default"/>
                <w:lang w:val="en-US" w:eastAsia="en-US"/>
              </w:rPr>
            </w:pPr>
            <w:r>
              <w:rPr>
                <w:rFonts w:hint="default"/>
              </w:rPr>
              <w:t>13、以化工、工业涂装、包装印刷、油品储运销等行业领域为重点，安全高效推进挥发性有机物综合治理，无组织排放和末端深度治理等提升改造工程。</w:t>
            </w:r>
          </w:p>
        </w:tc>
        <w:tc>
          <w:tcPr>
            <w:tcW w:w="1076" w:type="pct"/>
            <w:noWrap w:val="0"/>
            <w:vAlign w:val="center"/>
          </w:tcPr>
          <w:p w14:paraId="31347073">
            <w:pPr>
              <w:pStyle w:val="58"/>
              <w:bidi w:val="0"/>
              <w:rPr>
                <w:rFonts w:hint="default"/>
                <w:lang w:val="en-US" w:eastAsia="zh-CN"/>
              </w:rPr>
            </w:pPr>
            <w:r>
              <w:rPr>
                <w:rFonts w:hint="default"/>
                <w:lang w:eastAsia="zh-CN"/>
              </w:rPr>
              <w:t>本项目不涉及</w:t>
            </w:r>
          </w:p>
        </w:tc>
        <w:tc>
          <w:tcPr>
            <w:tcW w:w="268" w:type="pct"/>
            <w:noWrap w:val="0"/>
            <w:vAlign w:val="center"/>
          </w:tcPr>
          <w:p w14:paraId="2A7F6508">
            <w:pPr>
              <w:pStyle w:val="58"/>
              <w:bidi w:val="0"/>
              <w:rPr>
                <w:rFonts w:hint="default"/>
                <w:lang w:val="en-US" w:eastAsia="zh-CN"/>
              </w:rPr>
            </w:pPr>
            <w:r>
              <w:rPr>
                <w:rFonts w:hint="default"/>
                <w:lang w:val="en-US" w:eastAsia="zh-CN"/>
              </w:rPr>
              <w:t>-</w:t>
            </w:r>
          </w:p>
        </w:tc>
      </w:tr>
      <w:tr w14:paraId="28DC1BE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2090FDA9">
            <w:pPr>
              <w:pStyle w:val="58"/>
              <w:bidi w:val="0"/>
              <w:rPr>
                <w:rFonts w:hint="default"/>
                <w:lang w:eastAsia="zh-CN"/>
              </w:rPr>
            </w:pPr>
          </w:p>
        </w:tc>
        <w:tc>
          <w:tcPr>
            <w:tcW w:w="327" w:type="pct"/>
            <w:vMerge w:val="continue"/>
            <w:noWrap w:val="0"/>
            <w:vAlign w:val="center"/>
          </w:tcPr>
          <w:p w14:paraId="7A81AB6E">
            <w:pPr>
              <w:pStyle w:val="58"/>
              <w:bidi w:val="0"/>
              <w:rPr>
                <w:rFonts w:hint="default"/>
              </w:rPr>
            </w:pPr>
          </w:p>
        </w:tc>
        <w:tc>
          <w:tcPr>
            <w:tcW w:w="2979" w:type="pct"/>
            <w:noWrap w:val="0"/>
            <w:vAlign w:val="center"/>
          </w:tcPr>
          <w:p w14:paraId="68937A64">
            <w:pPr>
              <w:pStyle w:val="58"/>
              <w:bidi w:val="0"/>
              <w:rPr>
                <w:rFonts w:hint="default"/>
              </w:rPr>
            </w:pPr>
            <w:r>
              <w:rPr>
                <w:rFonts w:hint="default"/>
              </w:rPr>
              <w:t>14、推动大气氨排放控制。加强烟气脱硝和氨法脱硫氨逃逸控制。推进种植业、养殖业大气氨减排，加强源头防控，优化肥料、饲料结构。</w:t>
            </w:r>
          </w:p>
        </w:tc>
        <w:tc>
          <w:tcPr>
            <w:tcW w:w="1076" w:type="pct"/>
            <w:noWrap w:val="0"/>
            <w:vAlign w:val="center"/>
          </w:tcPr>
          <w:p w14:paraId="5BA2ED40">
            <w:pPr>
              <w:pStyle w:val="58"/>
              <w:bidi w:val="0"/>
              <w:rPr>
                <w:rFonts w:hint="default"/>
                <w:lang w:val="en-US" w:eastAsia="zh-CN"/>
              </w:rPr>
            </w:pPr>
            <w:r>
              <w:rPr>
                <w:rFonts w:hint="default"/>
                <w:lang w:eastAsia="zh-CN"/>
              </w:rPr>
              <w:t>本项目不涉及</w:t>
            </w:r>
          </w:p>
        </w:tc>
        <w:tc>
          <w:tcPr>
            <w:tcW w:w="268" w:type="pct"/>
            <w:noWrap w:val="0"/>
            <w:vAlign w:val="center"/>
          </w:tcPr>
          <w:p w14:paraId="7E505C95">
            <w:pPr>
              <w:pStyle w:val="58"/>
              <w:bidi w:val="0"/>
              <w:rPr>
                <w:rFonts w:hint="default"/>
                <w:lang w:val="en-US" w:eastAsia="zh-CN"/>
              </w:rPr>
            </w:pPr>
            <w:r>
              <w:rPr>
                <w:rFonts w:hint="default"/>
                <w:lang w:val="en-US" w:eastAsia="zh-CN"/>
              </w:rPr>
              <w:t>-</w:t>
            </w:r>
          </w:p>
        </w:tc>
      </w:tr>
      <w:tr w14:paraId="2EE6620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5DE86C85">
            <w:pPr>
              <w:pStyle w:val="58"/>
              <w:bidi w:val="0"/>
              <w:rPr>
                <w:rFonts w:hint="default"/>
                <w:lang w:eastAsia="zh-CN"/>
              </w:rPr>
            </w:pPr>
          </w:p>
        </w:tc>
        <w:tc>
          <w:tcPr>
            <w:tcW w:w="327" w:type="pct"/>
            <w:vMerge w:val="continue"/>
            <w:noWrap w:val="0"/>
            <w:vAlign w:val="center"/>
          </w:tcPr>
          <w:p w14:paraId="590169E1">
            <w:pPr>
              <w:pStyle w:val="58"/>
              <w:bidi w:val="0"/>
              <w:rPr>
                <w:rFonts w:hint="default"/>
              </w:rPr>
            </w:pPr>
          </w:p>
        </w:tc>
        <w:tc>
          <w:tcPr>
            <w:tcW w:w="2979" w:type="pct"/>
            <w:noWrap w:val="0"/>
            <w:vAlign w:val="center"/>
          </w:tcPr>
          <w:p w14:paraId="23FFD29F">
            <w:pPr>
              <w:pStyle w:val="58"/>
              <w:bidi w:val="0"/>
              <w:rPr>
                <w:rFonts w:hint="default"/>
                <w:lang w:val="en-US" w:eastAsia="en-US"/>
              </w:rPr>
            </w:pPr>
            <w:r>
              <w:rPr>
                <w:rFonts w:hint="default"/>
              </w:rPr>
              <w:t>15、严格控制二氧化碳排放强度。加强甲烷等非二氧化碳温室气体管控。</w:t>
            </w:r>
          </w:p>
        </w:tc>
        <w:tc>
          <w:tcPr>
            <w:tcW w:w="1076" w:type="pct"/>
            <w:noWrap w:val="0"/>
            <w:vAlign w:val="center"/>
          </w:tcPr>
          <w:p w14:paraId="3D6842D1">
            <w:pPr>
              <w:pStyle w:val="58"/>
              <w:bidi w:val="0"/>
              <w:rPr>
                <w:rFonts w:hint="default"/>
                <w:lang w:val="en-US" w:eastAsia="zh-CN"/>
              </w:rPr>
            </w:pPr>
            <w:r>
              <w:rPr>
                <w:rFonts w:hint="default"/>
                <w:lang w:eastAsia="zh-CN"/>
              </w:rPr>
              <w:t>本项目不涉及</w:t>
            </w:r>
          </w:p>
        </w:tc>
        <w:tc>
          <w:tcPr>
            <w:tcW w:w="268" w:type="pct"/>
            <w:noWrap w:val="0"/>
            <w:vAlign w:val="center"/>
          </w:tcPr>
          <w:p w14:paraId="7047D1BB">
            <w:pPr>
              <w:pStyle w:val="58"/>
              <w:bidi w:val="0"/>
              <w:rPr>
                <w:rFonts w:hint="default"/>
                <w:lang w:val="en-US" w:eastAsia="zh-CN"/>
              </w:rPr>
            </w:pPr>
            <w:r>
              <w:rPr>
                <w:rFonts w:hint="default"/>
                <w:lang w:val="en-US" w:eastAsia="zh-CN"/>
              </w:rPr>
              <w:t>-</w:t>
            </w:r>
          </w:p>
        </w:tc>
      </w:tr>
      <w:tr w14:paraId="061F2B2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0924B96A">
            <w:pPr>
              <w:pStyle w:val="58"/>
              <w:bidi w:val="0"/>
              <w:rPr>
                <w:rFonts w:hint="default"/>
                <w:lang w:eastAsia="zh-CN"/>
              </w:rPr>
            </w:pPr>
          </w:p>
        </w:tc>
        <w:tc>
          <w:tcPr>
            <w:tcW w:w="327" w:type="pct"/>
            <w:noWrap w:val="0"/>
            <w:vAlign w:val="center"/>
          </w:tcPr>
          <w:p w14:paraId="7F983B25">
            <w:pPr>
              <w:pStyle w:val="58"/>
              <w:bidi w:val="0"/>
              <w:rPr>
                <w:rFonts w:hint="default"/>
                <w:lang w:val="en-US" w:eastAsia="en-US"/>
              </w:rPr>
            </w:pPr>
            <w:r>
              <w:rPr>
                <w:rFonts w:hint="default"/>
              </w:rPr>
              <w:t>环境风险防控</w:t>
            </w:r>
          </w:p>
        </w:tc>
        <w:tc>
          <w:tcPr>
            <w:tcW w:w="2979" w:type="pct"/>
            <w:noWrap w:val="0"/>
            <w:vAlign w:val="center"/>
          </w:tcPr>
          <w:p w14:paraId="6191FAA7">
            <w:pPr>
              <w:pStyle w:val="58"/>
              <w:bidi w:val="0"/>
              <w:rPr>
                <w:rFonts w:hint="default"/>
                <w:lang w:val="en-US" w:eastAsia="en-US"/>
              </w:rPr>
            </w:pPr>
            <w:r>
              <w:rPr>
                <w:rFonts w:hint="default"/>
              </w:rPr>
              <w:t>完善市、县、乡、村网格化环境监管体系，建立信息全面、要素齐全、处置高效、决策科学的市级大气环境监管大数据平台，实现对各级网格和各类污染源的集中在线监测、全程监控和监管指挥。</w:t>
            </w:r>
          </w:p>
        </w:tc>
        <w:tc>
          <w:tcPr>
            <w:tcW w:w="1076" w:type="pct"/>
            <w:noWrap w:val="0"/>
            <w:vAlign w:val="center"/>
          </w:tcPr>
          <w:p w14:paraId="3855122E">
            <w:pPr>
              <w:pStyle w:val="58"/>
              <w:bidi w:val="0"/>
              <w:rPr>
                <w:rFonts w:hint="default"/>
                <w:highlight w:val="none"/>
                <w:lang w:val="en-US" w:eastAsia="zh-CN"/>
              </w:rPr>
            </w:pPr>
            <w:r>
              <w:rPr>
                <w:rFonts w:hint="default"/>
                <w:highlight w:val="none"/>
                <w:lang w:val="en-US" w:eastAsia="zh-CN"/>
              </w:rPr>
              <w:t>本项目</w:t>
            </w:r>
            <w:r>
              <w:rPr>
                <w:rFonts w:hint="eastAsia"/>
                <w:highlight w:val="none"/>
                <w:lang w:val="en-US" w:eastAsia="zh-CN"/>
              </w:rPr>
              <w:t>不涉及</w:t>
            </w:r>
          </w:p>
        </w:tc>
        <w:tc>
          <w:tcPr>
            <w:tcW w:w="268" w:type="pct"/>
            <w:noWrap w:val="0"/>
            <w:vAlign w:val="center"/>
          </w:tcPr>
          <w:p w14:paraId="562BE543">
            <w:pPr>
              <w:pStyle w:val="58"/>
              <w:bidi w:val="0"/>
              <w:rPr>
                <w:rFonts w:hint="default"/>
                <w:highlight w:val="none"/>
                <w:lang w:val="en-US" w:eastAsia="zh-CN"/>
              </w:rPr>
            </w:pPr>
            <w:r>
              <w:rPr>
                <w:rFonts w:hint="eastAsia"/>
                <w:highlight w:val="none"/>
                <w:lang w:val="en-US" w:eastAsia="zh-CN"/>
              </w:rPr>
              <w:t>-</w:t>
            </w:r>
          </w:p>
        </w:tc>
      </w:tr>
      <w:tr w14:paraId="6F91E52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409B7E8D">
            <w:pPr>
              <w:pStyle w:val="58"/>
              <w:bidi w:val="0"/>
              <w:rPr>
                <w:rFonts w:hint="default"/>
                <w:lang w:eastAsia="zh-CN"/>
              </w:rPr>
            </w:pPr>
          </w:p>
        </w:tc>
        <w:tc>
          <w:tcPr>
            <w:tcW w:w="327" w:type="pct"/>
            <w:vMerge w:val="restart"/>
            <w:noWrap w:val="0"/>
            <w:vAlign w:val="center"/>
          </w:tcPr>
          <w:p w14:paraId="2901BA53">
            <w:pPr>
              <w:pStyle w:val="58"/>
              <w:bidi w:val="0"/>
              <w:rPr>
                <w:rFonts w:hint="default"/>
              </w:rPr>
            </w:pPr>
            <w:r>
              <w:rPr>
                <w:rFonts w:hint="default"/>
              </w:rPr>
              <w:t>资源开发利用</w:t>
            </w:r>
          </w:p>
        </w:tc>
        <w:tc>
          <w:tcPr>
            <w:tcW w:w="2979" w:type="pct"/>
            <w:noWrap w:val="0"/>
            <w:vAlign w:val="center"/>
          </w:tcPr>
          <w:p w14:paraId="4EBCC5E4">
            <w:pPr>
              <w:pStyle w:val="58"/>
              <w:bidi w:val="0"/>
              <w:rPr>
                <w:rFonts w:hint="default"/>
                <w:lang w:val="en-US" w:eastAsia="en-US"/>
              </w:rPr>
            </w:pPr>
            <w:r>
              <w:rPr>
                <w:rFonts w:hint="default"/>
              </w:rPr>
              <w:t>1、国家大气污染防治重点区域内新建、改建、扩建用煤项目的，应当实行煤炭的等量或者减量替代。</w:t>
            </w:r>
          </w:p>
        </w:tc>
        <w:tc>
          <w:tcPr>
            <w:tcW w:w="1076" w:type="pct"/>
            <w:noWrap w:val="0"/>
            <w:vAlign w:val="center"/>
          </w:tcPr>
          <w:p w14:paraId="1F81282F">
            <w:pPr>
              <w:pStyle w:val="58"/>
              <w:bidi w:val="0"/>
              <w:rPr>
                <w:rFonts w:hint="default"/>
                <w:lang w:val="en-US" w:eastAsia="zh-CN"/>
              </w:rPr>
            </w:pPr>
            <w:r>
              <w:rPr>
                <w:rFonts w:hint="default"/>
                <w:lang w:eastAsia="zh-CN"/>
              </w:rPr>
              <w:t>本项目不涉及</w:t>
            </w:r>
          </w:p>
        </w:tc>
        <w:tc>
          <w:tcPr>
            <w:tcW w:w="268" w:type="pct"/>
            <w:noWrap w:val="0"/>
            <w:vAlign w:val="center"/>
          </w:tcPr>
          <w:p w14:paraId="318E94F4">
            <w:pPr>
              <w:pStyle w:val="58"/>
              <w:bidi w:val="0"/>
              <w:rPr>
                <w:rFonts w:hint="default"/>
                <w:lang w:val="en-US" w:eastAsia="zh-CN"/>
              </w:rPr>
            </w:pPr>
            <w:r>
              <w:rPr>
                <w:rFonts w:hint="default"/>
                <w:lang w:val="en-US" w:eastAsia="zh-CN"/>
              </w:rPr>
              <w:t>-</w:t>
            </w:r>
          </w:p>
        </w:tc>
      </w:tr>
      <w:tr w14:paraId="03ADC43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2BDD3A2E">
            <w:pPr>
              <w:pStyle w:val="58"/>
              <w:bidi w:val="0"/>
              <w:rPr>
                <w:rFonts w:hint="default"/>
                <w:lang w:eastAsia="zh-CN"/>
              </w:rPr>
            </w:pPr>
          </w:p>
        </w:tc>
        <w:tc>
          <w:tcPr>
            <w:tcW w:w="327" w:type="pct"/>
            <w:vMerge w:val="continue"/>
            <w:noWrap w:val="0"/>
            <w:vAlign w:val="center"/>
          </w:tcPr>
          <w:p w14:paraId="0221DB5E">
            <w:pPr>
              <w:pStyle w:val="58"/>
              <w:bidi w:val="0"/>
              <w:rPr>
                <w:rFonts w:hint="default"/>
              </w:rPr>
            </w:pPr>
          </w:p>
        </w:tc>
        <w:tc>
          <w:tcPr>
            <w:tcW w:w="2979" w:type="pct"/>
            <w:noWrap w:val="0"/>
            <w:vAlign w:val="center"/>
          </w:tcPr>
          <w:p w14:paraId="18773A9B">
            <w:pPr>
              <w:pStyle w:val="58"/>
              <w:bidi w:val="0"/>
              <w:rPr>
                <w:rFonts w:hint="default"/>
                <w:lang w:val="en-US" w:eastAsia="en-US"/>
              </w:rPr>
            </w:pPr>
            <w:r>
              <w:rPr>
                <w:rFonts w:hint="default"/>
              </w:rPr>
              <w:t>2、实施能源消耗总量和强度双控行动。健全节能标准体系，大力开发、推广节能高效技术和产品，实现重点用能行业、设备节能标准全覆盖。</w:t>
            </w:r>
          </w:p>
        </w:tc>
        <w:tc>
          <w:tcPr>
            <w:tcW w:w="1076" w:type="pct"/>
            <w:noWrap w:val="0"/>
            <w:vAlign w:val="center"/>
          </w:tcPr>
          <w:p w14:paraId="55AAD810">
            <w:pPr>
              <w:pStyle w:val="58"/>
              <w:bidi w:val="0"/>
              <w:rPr>
                <w:rFonts w:hint="default"/>
                <w:lang w:val="en-US" w:eastAsia="zh-CN"/>
              </w:rPr>
            </w:pPr>
            <w:r>
              <w:rPr>
                <w:rFonts w:hint="default"/>
                <w:lang w:eastAsia="zh-CN"/>
              </w:rPr>
              <w:t>本项目不涉及</w:t>
            </w:r>
          </w:p>
        </w:tc>
        <w:tc>
          <w:tcPr>
            <w:tcW w:w="268" w:type="pct"/>
            <w:noWrap w:val="0"/>
            <w:vAlign w:val="center"/>
          </w:tcPr>
          <w:p w14:paraId="33CBC828">
            <w:pPr>
              <w:pStyle w:val="58"/>
              <w:bidi w:val="0"/>
              <w:rPr>
                <w:rFonts w:hint="default"/>
                <w:lang w:val="en-US" w:eastAsia="zh-CN"/>
              </w:rPr>
            </w:pPr>
            <w:r>
              <w:rPr>
                <w:rFonts w:hint="default"/>
                <w:lang w:val="en-US" w:eastAsia="zh-CN"/>
              </w:rPr>
              <w:t>-</w:t>
            </w:r>
          </w:p>
        </w:tc>
      </w:tr>
      <w:tr w14:paraId="737E259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2F3F8930">
            <w:pPr>
              <w:pStyle w:val="58"/>
              <w:bidi w:val="0"/>
              <w:rPr>
                <w:rFonts w:hint="default"/>
                <w:lang w:eastAsia="zh-CN"/>
              </w:rPr>
            </w:pPr>
          </w:p>
        </w:tc>
        <w:tc>
          <w:tcPr>
            <w:tcW w:w="327" w:type="pct"/>
            <w:vMerge w:val="continue"/>
            <w:noWrap w:val="0"/>
            <w:vAlign w:val="center"/>
          </w:tcPr>
          <w:p w14:paraId="49117676">
            <w:pPr>
              <w:pStyle w:val="58"/>
              <w:bidi w:val="0"/>
              <w:rPr>
                <w:rFonts w:hint="default"/>
              </w:rPr>
            </w:pPr>
          </w:p>
        </w:tc>
        <w:tc>
          <w:tcPr>
            <w:tcW w:w="2979" w:type="pct"/>
            <w:noWrap w:val="0"/>
            <w:vAlign w:val="center"/>
          </w:tcPr>
          <w:p w14:paraId="6B3891E1">
            <w:pPr>
              <w:pStyle w:val="58"/>
              <w:bidi w:val="0"/>
              <w:rPr>
                <w:rFonts w:hint="default"/>
                <w:lang w:val="en-US" w:eastAsia="en-US"/>
              </w:rPr>
            </w:pPr>
            <w:r>
              <w:rPr>
                <w:rFonts w:hint="default"/>
              </w:rPr>
              <w:t>3、新（改、扩）建项目能耗达到《河北省主要产品能耗限额和设备能效限定值》准入值要求，鼓励达到先进值。对能效不达标的企业限期进行节能提升改造，现有企业单位产品能耗达到《河北省主要产品能耗限额和设备能效限定值》限定值要求，鼓励已达标企业通过节能改造达到先进值。国家或省对重点行业单位产品能源消耗限额进行修订的，行业限定值、准入值、先进值按新标准执行。</w:t>
            </w:r>
          </w:p>
        </w:tc>
        <w:tc>
          <w:tcPr>
            <w:tcW w:w="1076" w:type="pct"/>
            <w:noWrap w:val="0"/>
            <w:vAlign w:val="center"/>
          </w:tcPr>
          <w:p w14:paraId="4C08A793">
            <w:pPr>
              <w:pStyle w:val="58"/>
              <w:bidi w:val="0"/>
              <w:rPr>
                <w:rFonts w:hint="default"/>
                <w:lang w:eastAsia="zh-CN"/>
              </w:rPr>
            </w:pPr>
            <w:r>
              <w:rPr>
                <w:rFonts w:hint="default"/>
                <w:lang w:eastAsia="zh-CN"/>
              </w:rPr>
              <w:t>项目能耗达到</w:t>
            </w:r>
            <w:r>
              <w:rPr>
                <w:rFonts w:hint="default"/>
              </w:rPr>
              <w:t>先进值。</w:t>
            </w:r>
          </w:p>
        </w:tc>
        <w:tc>
          <w:tcPr>
            <w:tcW w:w="268" w:type="pct"/>
            <w:noWrap w:val="0"/>
            <w:vAlign w:val="center"/>
          </w:tcPr>
          <w:p w14:paraId="1E39C35B">
            <w:pPr>
              <w:pStyle w:val="58"/>
              <w:bidi w:val="0"/>
              <w:rPr>
                <w:rFonts w:hint="default"/>
                <w:lang w:eastAsia="zh-CN"/>
              </w:rPr>
            </w:pPr>
            <w:r>
              <w:rPr>
                <w:rFonts w:hint="default"/>
                <w:lang w:eastAsia="zh-CN"/>
              </w:rPr>
              <w:t>符合</w:t>
            </w:r>
          </w:p>
        </w:tc>
      </w:tr>
      <w:tr w14:paraId="2E32642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restart"/>
            <w:noWrap w:val="0"/>
            <w:vAlign w:val="center"/>
          </w:tcPr>
          <w:p w14:paraId="69490389">
            <w:pPr>
              <w:pStyle w:val="58"/>
              <w:bidi w:val="0"/>
              <w:rPr>
                <w:rFonts w:hint="default"/>
                <w:lang w:eastAsia="zh-CN"/>
              </w:rPr>
            </w:pPr>
            <w:r>
              <w:rPr>
                <w:rFonts w:hint="default"/>
              </w:rPr>
              <w:t>地表水环境</w:t>
            </w:r>
          </w:p>
        </w:tc>
        <w:tc>
          <w:tcPr>
            <w:tcW w:w="327" w:type="pct"/>
            <w:vMerge w:val="restart"/>
            <w:noWrap w:val="0"/>
            <w:vAlign w:val="center"/>
          </w:tcPr>
          <w:p w14:paraId="576DD217">
            <w:pPr>
              <w:pStyle w:val="58"/>
              <w:bidi w:val="0"/>
              <w:rPr>
                <w:rFonts w:hint="default"/>
              </w:rPr>
            </w:pPr>
            <w:r>
              <w:rPr>
                <w:rFonts w:hint="default"/>
              </w:rPr>
              <w:t>空间布局约束</w:t>
            </w:r>
          </w:p>
        </w:tc>
        <w:tc>
          <w:tcPr>
            <w:tcW w:w="2979" w:type="pct"/>
            <w:noWrap w:val="0"/>
            <w:vAlign w:val="center"/>
          </w:tcPr>
          <w:p w14:paraId="762BD87A">
            <w:pPr>
              <w:pStyle w:val="58"/>
              <w:bidi w:val="0"/>
              <w:rPr>
                <w:rFonts w:hint="default"/>
                <w:lang w:val="en-US" w:eastAsia="en-US"/>
              </w:rPr>
            </w:pPr>
            <w:r>
              <w:rPr>
                <w:rFonts w:hint="default"/>
              </w:rPr>
              <w:t>1、涉地表水自然保护区、湿地公园、饮用水水源保护区管控参照生态环境空间总体管控要求中各类保护地总体管控要求。</w:t>
            </w:r>
          </w:p>
        </w:tc>
        <w:tc>
          <w:tcPr>
            <w:tcW w:w="1076" w:type="pct"/>
            <w:noWrap w:val="0"/>
            <w:vAlign w:val="center"/>
          </w:tcPr>
          <w:p w14:paraId="26EE661D">
            <w:pPr>
              <w:pStyle w:val="58"/>
              <w:bidi w:val="0"/>
              <w:rPr>
                <w:rFonts w:hint="default"/>
                <w:lang w:val="en-US" w:eastAsia="zh-CN"/>
              </w:rPr>
            </w:pPr>
            <w:r>
              <w:rPr>
                <w:rFonts w:hint="default"/>
                <w:lang w:eastAsia="zh-CN"/>
              </w:rPr>
              <w:t>本项目不涉及</w:t>
            </w:r>
          </w:p>
        </w:tc>
        <w:tc>
          <w:tcPr>
            <w:tcW w:w="268" w:type="pct"/>
            <w:noWrap w:val="0"/>
            <w:vAlign w:val="center"/>
          </w:tcPr>
          <w:p w14:paraId="06B997F4">
            <w:pPr>
              <w:pStyle w:val="58"/>
              <w:bidi w:val="0"/>
              <w:rPr>
                <w:rFonts w:hint="default"/>
                <w:lang w:val="en-US" w:eastAsia="zh-CN"/>
              </w:rPr>
            </w:pPr>
            <w:r>
              <w:rPr>
                <w:rFonts w:hint="default"/>
                <w:lang w:val="en-US" w:eastAsia="zh-CN"/>
              </w:rPr>
              <w:t>-</w:t>
            </w:r>
          </w:p>
        </w:tc>
      </w:tr>
      <w:tr w14:paraId="5944359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04A17A9D">
            <w:pPr>
              <w:pStyle w:val="58"/>
              <w:bidi w:val="0"/>
              <w:rPr>
                <w:rFonts w:hint="default"/>
                <w:lang w:eastAsia="zh-CN"/>
              </w:rPr>
            </w:pPr>
          </w:p>
        </w:tc>
        <w:tc>
          <w:tcPr>
            <w:tcW w:w="327" w:type="pct"/>
            <w:vMerge w:val="continue"/>
            <w:noWrap w:val="0"/>
            <w:vAlign w:val="center"/>
          </w:tcPr>
          <w:p w14:paraId="6885D67E">
            <w:pPr>
              <w:pStyle w:val="58"/>
              <w:bidi w:val="0"/>
              <w:rPr>
                <w:rFonts w:hint="default"/>
              </w:rPr>
            </w:pPr>
          </w:p>
        </w:tc>
        <w:tc>
          <w:tcPr>
            <w:tcW w:w="2979" w:type="pct"/>
            <w:noWrap w:val="0"/>
            <w:vAlign w:val="center"/>
          </w:tcPr>
          <w:p w14:paraId="6D5B5FB0">
            <w:pPr>
              <w:pStyle w:val="58"/>
              <w:bidi w:val="0"/>
              <w:rPr>
                <w:rFonts w:hint="default"/>
                <w:lang w:val="en-US" w:eastAsia="en-US"/>
              </w:rPr>
            </w:pPr>
            <w:r>
              <w:rPr>
                <w:rFonts w:hint="default"/>
              </w:rPr>
              <w:t>2、鼓励发展节水高效现代农业、低耗水高新技术产业以及生态保护型旅游业，严格控制缺水地区、水污染严重地区和敏感区域高耗水、高污染行业发展。</w:t>
            </w:r>
          </w:p>
        </w:tc>
        <w:tc>
          <w:tcPr>
            <w:tcW w:w="1076" w:type="pct"/>
            <w:noWrap w:val="0"/>
            <w:vAlign w:val="center"/>
          </w:tcPr>
          <w:p w14:paraId="635E16B7">
            <w:pPr>
              <w:pStyle w:val="58"/>
              <w:bidi w:val="0"/>
              <w:rPr>
                <w:rFonts w:hint="default"/>
                <w:lang w:val="en-US" w:eastAsia="zh-CN"/>
              </w:rPr>
            </w:pPr>
            <w:r>
              <w:rPr>
                <w:rFonts w:hint="default"/>
                <w:lang w:eastAsia="zh-CN"/>
              </w:rPr>
              <w:t>本项目不涉及</w:t>
            </w:r>
          </w:p>
        </w:tc>
        <w:tc>
          <w:tcPr>
            <w:tcW w:w="268" w:type="pct"/>
            <w:noWrap w:val="0"/>
            <w:vAlign w:val="center"/>
          </w:tcPr>
          <w:p w14:paraId="3F0FBAC1">
            <w:pPr>
              <w:pStyle w:val="58"/>
              <w:bidi w:val="0"/>
              <w:rPr>
                <w:rFonts w:hint="default"/>
                <w:lang w:val="en-US" w:eastAsia="zh-CN"/>
              </w:rPr>
            </w:pPr>
            <w:r>
              <w:rPr>
                <w:rFonts w:hint="default"/>
                <w:lang w:val="en-US" w:eastAsia="zh-CN"/>
              </w:rPr>
              <w:t>-</w:t>
            </w:r>
          </w:p>
        </w:tc>
      </w:tr>
      <w:tr w14:paraId="5DF477F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683CD4EA">
            <w:pPr>
              <w:pStyle w:val="58"/>
              <w:bidi w:val="0"/>
              <w:rPr>
                <w:rFonts w:hint="default"/>
                <w:lang w:eastAsia="zh-CN"/>
              </w:rPr>
            </w:pPr>
          </w:p>
        </w:tc>
        <w:tc>
          <w:tcPr>
            <w:tcW w:w="327" w:type="pct"/>
            <w:vMerge w:val="continue"/>
            <w:noWrap w:val="0"/>
            <w:vAlign w:val="center"/>
          </w:tcPr>
          <w:p w14:paraId="790F369D">
            <w:pPr>
              <w:pStyle w:val="58"/>
              <w:bidi w:val="0"/>
              <w:rPr>
                <w:rFonts w:hint="default"/>
              </w:rPr>
            </w:pPr>
          </w:p>
        </w:tc>
        <w:tc>
          <w:tcPr>
            <w:tcW w:w="2979" w:type="pct"/>
            <w:noWrap w:val="0"/>
            <w:vAlign w:val="center"/>
          </w:tcPr>
          <w:p w14:paraId="5556EA1B">
            <w:pPr>
              <w:pStyle w:val="58"/>
              <w:bidi w:val="0"/>
              <w:rPr>
                <w:rFonts w:hint="default"/>
                <w:lang w:val="en-US" w:eastAsia="en-US"/>
              </w:rPr>
            </w:pPr>
            <w:r>
              <w:rPr>
                <w:rFonts w:hint="default"/>
              </w:rPr>
              <w:t>3、全市重点河流沿岸、重要饮用水水源地补给区，严格控制化学原料和化学制品制造、医药制造、制革、造纸、焦化、化学纤维制造、石油加工、纺织印染等项目环境风险，合理布局生产装置及危险化学品仓储等设施。重大项目原则上布局在优化开发区和重点开发区，并符合城乡规划和土地利用总体规划。</w:t>
            </w:r>
          </w:p>
        </w:tc>
        <w:tc>
          <w:tcPr>
            <w:tcW w:w="1076" w:type="pct"/>
            <w:noWrap w:val="0"/>
            <w:vAlign w:val="center"/>
          </w:tcPr>
          <w:p w14:paraId="31D41DAF">
            <w:pPr>
              <w:pStyle w:val="58"/>
              <w:bidi w:val="0"/>
              <w:rPr>
                <w:rFonts w:hint="default"/>
                <w:lang w:val="en-US" w:eastAsia="zh-CN"/>
              </w:rPr>
            </w:pPr>
            <w:r>
              <w:rPr>
                <w:rFonts w:hint="default"/>
                <w:lang w:eastAsia="zh-CN"/>
              </w:rPr>
              <w:t>本项目不涉及</w:t>
            </w:r>
          </w:p>
        </w:tc>
        <w:tc>
          <w:tcPr>
            <w:tcW w:w="268" w:type="pct"/>
            <w:noWrap w:val="0"/>
            <w:vAlign w:val="center"/>
          </w:tcPr>
          <w:p w14:paraId="2F347C06">
            <w:pPr>
              <w:pStyle w:val="58"/>
              <w:bidi w:val="0"/>
              <w:rPr>
                <w:rFonts w:hint="default"/>
                <w:lang w:val="en-US" w:eastAsia="zh-CN"/>
              </w:rPr>
            </w:pPr>
            <w:r>
              <w:rPr>
                <w:rFonts w:hint="default"/>
                <w:lang w:val="en-US" w:eastAsia="zh-CN"/>
              </w:rPr>
              <w:t>-</w:t>
            </w:r>
          </w:p>
        </w:tc>
      </w:tr>
      <w:tr w14:paraId="734CC63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1336DC82">
            <w:pPr>
              <w:pStyle w:val="58"/>
              <w:bidi w:val="0"/>
              <w:rPr>
                <w:rFonts w:hint="default"/>
                <w:lang w:eastAsia="zh-CN"/>
              </w:rPr>
            </w:pPr>
          </w:p>
        </w:tc>
        <w:tc>
          <w:tcPr>
            <w:tcW w:w="327" w:type="pct"/>
            <w:vMerge w:val="continue"/>
            <w:noWrap w:val="0"/>
            <w:vAlign w:val="center"/>
          </w:tcPr>
          <w:p w14:paraId="76790A11">
            <w:pPr>
              <w:pStyle w:val="58"/>
              <w:bidi w:val="0"/>
              <w:rPr>
                <w:rFonts w:hint="default"/>
              </w:rPr>
            </w:pPr>
          </w:p>
        </w:tc>
        <w:tc>
          <w:tcPr>
            <w:tcW w:w="2979" w:type="pct"/>
            <w:noWrap w:val="0"/>
            <w:vAlign w:val="center"/>
          </w:tcPr>
          <w:p w14:paraId="367F70A5">
            <w:pPr>
              <w:pStyle w:val="58"/>
              <w:bidi w:val="0"/>
              <w:rPr>
                <w:rFonts w:hint="default"/>
              </w:rPr>
            </w:pPr>
            <w:r>
              <w:rPr>
                <w:rFonts w:hint="default"/>
              </w:rPr>
              <w:t>4、未按照规定完成污水集中处理设施以及管网建设的工业园区（工业集聚区），暂停审批和核准其增加水污染物排放的建设项目。向污水集中处理设施排放工业废水的，应当按照国家有关规定进行预处理，达到集中处理设施处理工艺要求后方可排放。</w:t>
            </w:r>
          </w:p>
        </w:tc>
        <w:tc>
          <w:tcPr>
            <w:tcW w:w="1076" w:type="pct"/>
            <w:noWrap w:val="0"/>
            <w:vAlign w:val="center"/>
          </w:tcPr>
          <w:p w14:paraId="42724391">
            <w:pPr>
              <w:pStyle w:val="58"/>
              <w:bidi w:val="0"/>
              <w:rPr>
                <w:rFonts w:hint="default"/>
                <w:lang w:val="en-US" w:eastAsia="zh-CN"/>
              </w:rPr>
            </w:pPr>
            <w:r>
              <w:rPr>
                <w:rFonts w:hint="default"/>
                <w:lang w:eastAsia="zh-CN"/>
              </w:rPr>
              <w:t>本项目不涉及</w:t>
            </w:r>
          </w:p>
        </w:tc>
        <w:tc>
          <w:tcPr>
            <w:tcW w:w="268" w:type="pct"/>
            <w:noWrap w:val="0"/>
            <w:vAlign w:val="center"/>
          </w:tcPr>
          <w:p w14:paraId="1F114A95">
            <w:pPr>
              <w:pStyle w:val="58"/>
              <w:bidi w:val="0"/>
              <w:rPr>
                <w:rFonts w:hint="default"/>
                <w:lang w:val="en-US" w:eastAsia="zh-CN"/>
              </w:rPr>
            </w:pPr>
            <w:r>
              <w:rPr>
                <w:rFonts w:hint="default"/>
                <w:lang w:val="en-US" w:eastAsia="zh-CN"/>
              </w:rPr>
              <w:t>-</w:t>
            </w:r>
          </w:p>
        </w:tc>
      </w:tr>
      <w:tr w14:paraId="34C6F06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1926D360">
            <w:pPr>
              <w:pStyle w:val="58"/>
              <w:bidi w:val="0"/>
              <w:rPr>
                <w:rFonts w:hint="default"/>
                <w:lang w:eastAsia="zh-CN"/>
              </w:rPr>
            </w:pPr>
          </w:p>
        </w:tc>
        <w:tc>
          <w:tcPr>
            <w:tcW w:w="327" w:type="pct"/>
            <w:vMerge w:val="continue"/>
            <w:noWrap w:val="0"/>
            <w:vAlign w:val="center"/>
          </w:tcPr>
          <w:p w14:paraId="2E635B3E">
            <w:pPr>
              <w:pStyle w:val="58"/>
              <w:bidi w:val="0"/>
              <w:rPr>
                <w:rFonts w:hint="default"/>
              </w:rPr>
            </w:pPr>
          </w:p>
        </w:tc>
        <w:tc>
          <w:tcPr>
            <w:tcW w:w="2979" w:type="pct"/>
            <w:noWrap w:val="0"/>
            <w:vAlign w:val="center"/>
          </w:tcPr>
          <w:p w14:paraId="26F76606">
            <w:pPr>
              <w:pStyle w:val="58"/>
              <w:bidi w:val="0"/>
              <w:rPr>
                <w:rFonts w:hint="default"/>
                <w:lang w:val="en-US" w:eastAsia="en-US"/>
              </w:rPr>
            </w:pPr>
            <w:r>
              <w:rPr>
                <w:rFonts w:hint="default"/>
              </w:rPr>
              <w:t>5、推进现有企业向依法合规设立、环保设施齐全、符合规划环评要求、满足水法律法规规定的工业集聚区集中，明确涉水工业企业入园时间表；确因不具备入园条件需原地保留的涉水工业企业，明确保留条件，其中直排环境企业应达到排入水体功能区标准。</w:t>
            </w:r>
          </w:p>
        </w:tc>
        <w:tc>
          <w:tcPr>
            <w:tcW w:w="1076" w:type="pct"/>
            <w:noWrap w:val="0"/>
            <w:vAlign w:val="center"/>
          </w:tcPr>
          <w:p w14:paraId="6E0A0062">
            <w:pPr>
              <w:pStyle w:val="58"/>
              <w:bidi w:val="0"/>
              <w:rPr>
                <w:rFonts w:hint="default"/>
                <w:lang w:val="en-US" w:eastAsia="zh-CN"/>
              </w:rPr>
            </w:pPr>
            <w:r>
              <w:rPr>
                <w:rFonts w:hint="default"/>
                <w:lang w:eastAsia="zh-CN"/>
              </w:rPr>
              <w:t>本项目不涉及</w:t>
            </w:r>
          </w:p>
        </w:tc>
        <w:tc>
          <w:tcPr>
            <w:tcW w:w="268" w:type="pct"/>
            <w:noWrap w:val="0"/>
            <w:vAlign w:val="center"/>
          </w:tcPr>
          <w:p w14:paraId="29919E7D">
            <w:pPr>
              <w:pStyle w:val="58"/>
              <w:bidi w:val="0"/>
              <w:rPr>
                <w:rFonts w:hint="default"/>
                <w:lang w:val="en-US" w:eastAsia="zh-CN"/>
              </w:rPr>
            </w:pPr>
            <w:r>
              <w:rPr>
                <w:rFonts w:hint="default"/>
                <w:lang w:val="en-US" w:eastAsia="zh-CN"/>
              </w:rPr>
              <w:t>-</w:t>
            </w:r>
          </w:p>
        </w:tc>
      </w:tr>
      <w:tr w14:paraId="5DDA99A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516FA144">
            <w:pPr>
              <w:pStyle w:val="58"/>
              <w:bidi w:val="0"/>
              <w:rPr>
                <w:rFonts w:hint="default"/>
                <w:lang w:eastAsia="zh-CN"/>
              </w:rPr>
            </w:pPr>
          </w:p>
        </w:tc>
        <w:tc>
          <w:tcPr>
            <w:tcW w:w="327" w:type="pct"/>
            <w:vMerge w:val="restart"/>
            <w:noWrap w:val="0"/>
            <w:vAlign w:val="center"/>
          </w:tcPr>
          <w:p w14:paraId="3E89EC6F">
            <w:pPr>
              <w:pStyle w:val="58"/>
              <w:bidi w:val="0"/>
              <w:rPr>
                <w:rFonts w:hint="default"/>
              </w:rPr>
            </w:pPr>
            <w:r>
              <w:rPr>
                <w:rFonts w:hint="default"/>
              </w:rPr>
              <w:t>污染物排放管控</w:t>
            </w:r>
          </w:p>
        </w:tc>
        <w:tc>
          <w:tcPr>
            <w:tcW w:w="2979" w:type="pct"/>
            <w:noWrap w:val="0"/>
            <w:vAlign w:val="center"/>
          </w:tcPr>
          <w:p w14:paraId="11D10923">
            <w:pPr>
              <w:pStyle w:val="58"/>
              <w:bidi w:val="0"/>
              <w:rPr>
                <w:rFonts w:hint="default"/>
                <w:lang w:val="en-US" w:eastAsia="en-US"/>
              </w:rPr>
            </w:pPr>
            <w:r>
              <w:rPr>
                <w:rFonts w:hint="default"/>
              </w:rPr>
              <w:t>1、严格控制高污染、高耗水行业新增产能。产能过剩产业实行新增产能等量替代、涉水主要污染物排放同行业倍量替代。对造纸、焦化、氮肥、石油化工、印染、农副食品加工、原料药制造、制革、农药、电镀等“十大”重点行业，新建、改建、扩建项目实行新增主要污染物排放倍量替代。</w:t>
            </w:r>
          </w:p>
        </w:tc>
        <w:tc>
          <w:tcPr>
            <w:tcW w:w="1076" w:type="pct"/>
            <w:noWrap w:val="0"/>
            <w:vAlign w:val="center"/>
          </w:tcPr>
          <w:p w14:paraId="48076A79">
            <w:pPr>
              <w:pStyle w:val="58"/>
              <w:bidi w:val="0"/>
              <w:rPr>
                <w:rFonts w:hint="default"/>
                <w:lang w:val="en-US" w:eastAsia="zh-CN"/>
              </w:rPr>
            </w:pPr>
            <w:r>
              <w:rPr>
                <w:rFonts w:hint="default"/>
                <w:lang w:eastAsia="zh-CN"/>
              </w:rPr>
              <w:t>本项目不涉及</w:t>
            </w:r>
          </w:p>
        </w:tc>
        <w:tc>
          <w:tcPr>
            <w:tcW w:w="268" w:type="pct"/>
            <w:noWrap w:val="0"/>
            <w:vAlign w:val="center"/>
          </w:tcPr>
          <w:p w14:paraId="5F8086B3">
            <w:pPr>
              <w:pStyle w:val="58"/>
              <w:bidi w:val="0"/>
              <w:rPr>
                <w:rFonts w:hint="default"/>
                <w:lang w:val="en-US" w:eastAsia="zh-CN"/>
              </w:rPr>
            </w:pPr>
            <w:r>
              <w:rPr>
                <w:rFonts w:hint="default"/>
                <w:lang w:val="en-US" w:eastAsia="zh-CN"/>
              </w:rPr>
              <w:t>-</w:t>
            </w:r>
          </w:p>
        </w:tc>
      </w:tr>
      <w:tr w14:paraId="169FECA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4708AD6B">
            <w:pPr>
              <w:pStyle w:val="58"/>
              <w:bidi w:val="0"/>
              <w:rPr>
                <w:rFonts w:hint="default"/>
                <w:lang w:eastAsia="zh-CN"/>
              </w:rPr>
            </w:pPr>
          </w:p>
        </w:tc>
        <w:tc>
          <w:tcPr>
            <w:tcW w:w="327" w:type="pct"/>
            <w:vMerge w:val="continue"/>
            <w:noWrap w:val="0"/>
            <w:vAlign w:val="center"/>
          </w:tcPr>
          <w:p w14:paraId="7A2BEB05">
            <w:pPr>
              <w:pStyle w:val="58"/>
              <w:bidi w:val="0"/>
              <w:rPr>
                <w:rFonts w:hint="default"/>
              </w:rPr>
            </w:pPr>
          </w:p>
        </w:tc>
        <w:tc>
          <w:tcPr>
            <w:tcW w:w="2979" w:type="pct"/>
            <w:noWrap w:val="0"/>
            <w:vAlign w:val="center"/>
          </w:tcPr>
          <w:p w14:paraId="062DF8E4">
            <w:pPr>
              <w:pStyle w:val="58"/>
              <w:bidi w:val="0"/>
              <w:rPr>
                <w:rFonts w:hint="default"/>
                <w:lang w:val="en-US" w:eastAsia="en-US"/>
              </w:rPr>
            </w:pPr>
            <w:r>
              <w:rPr>
                <w:rFonts w:hint="default"/>
              </w:rPr>
              <w:t>2、全面加强城镇污水管网建设，提升污水收集能力。扩大城镇污水管网覆盖范围，推进新建城区、扩建新区以及城乡结合部等污水截留、收集纳管；进一步加强城区支管、毛细管等管网建设，提高污水收集率。推进城镇排水系统雨污分流建设，新建城区、扩建新区、新开发区建设排水管网一律实行雨污分流；强化各县（市、区）城区和重点城镇污水管网建设，新建污水处理设施应与配套管网同步设计、同步建设、同步投运。推进初期雨水收集、处理与资源化利用。</w:t>
            </w:r>
          </w:p>
        </w:tc>
        <w:tc>
          <w:tcPr>
            <w:tcW w:w="1076" w:type="pct"/>
            <w:noWrap w:val="0"/>
            <w:vAlign w:val="center"/>
          </w:tcPr>
          <w:p w14:paraId="7A352C6D">
            <w:pPr>
              <w:pStyle w:val="58"/>
              <w:bidi w:val="0"/>
              <w:rPr>
                <w:rFonts w:hint="default"/>
                <w:lang w:val="en-US" w:eastAsia="zh-CN"/>
              </w:rPr>
            </w:pPr>
            <w:r>
              <w:rPr>
                <w:rFonts w:hint="default"/>
                <w:lang w:eastAsia="zh-CN"/>
              </w:rPr>
              <w:t>本项目</w:t>
            </w:r>
            <w:r>
              <w:rPr>
                <w:rFonts w:hint="default"/>
                <w:lang w:val="en-US" w:eastAsia="zh-CN"/>
              </w:rPr>
              <w:t>对唐山市曹妃甸区垦丰家居产业园区污水进行收集处理，扩建完成后提升了污水收集能力。</w:t>
            </w:r>
          </w:p>
        </w:tc>
        <w:tc>
          <w:tcPr>
            <w:tcW w:w="268" w:type="pct"/>
            <w:noWrap w:val="0"/>
            <w:vAlign w:val="center"/>
          </w:tcPr>
          <w:p w14:paraId="48C1186B">
            <w:pPr>
              <w:pStyle w:val="58"/>
              <w:bidi w:val="0"/>
              <w:rPr>
                <w:rFonts w:hint="default"/>
                <w:lang w:val="en-US" w:eastAsia="zh-CN"/>
              </w:rPr>
            </w:pPr>
            <w:r>
              <w:rPr>
                <w:rFonts w:hint="default"/>
                <w:lang w:val="en-US" w:eastAsia="zh-CN"/>
              </w:rPr>
              <w:tab/>
            </w:r>
            <w:r>
              <w:rPr>
                <w:rFonts w:hint="default"/>
                <w:lang w:val="en-US" w:eastAsia="zh-CN"/>
              </w:rPr>
              <w:t>-符合</w:t>
            </w:r>
          </w:p>
        </w:tc>
      </w:tr>
      <w:tr w14:paraId="1134243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21D93504">
            <w:pPr>
              <w:pStyle w:val="58"/>
              <w:bidi w:val="0"/>
              <w:rPr>
                <w:rFonts w:hint="default"/>
                <w:lang w:eastAsia="zh-CN"/>
              </w:rPr>
            </w:pPr>
          </w:p>
        </w:tc>
        <w:tc>
          <w:tcPr>
            <w:tcW w:w="327" w:type="pct"/>
            <w:vMerge w:val="continue"/>
            <w:noWrap w:val="0"/>
            <w:vAlign w:val="center"/>
          </w:tcPr>
          <w:p w14:paraId="714F1249">
            <w:pPr>
              <w:pStyle w:val="58"/>
              <w:bidi w:val="0"/>
              <w:rPr>
                <w:rFonts w:hint="default"/>
              </w:rPr>
            </w:pPr>
          </w:p>
        </w:tc>
        <w:tc>
          <w:tcPr>
            <w:tcW w:w="2979" w:type="pct"/>
            <w:noWrap w:val="0"/>
            <w:vAlign w:val="center"/>
          </w:tcPr>
          <w:p w14:paraId="232E81A9">
            <w:pPr>
              <w:pStyle w:val="58"/>
              <w:bidi w:val="0"/>
              <w:rPr>
                <w:rFonts w:hint="default"/>
              </w:rPr>
            </w:pPr>
            <w:r>
              <w:rPr>
                <w:rFonts w:hint="default"/>
              </w:rPr>
              <w:t>3、强化工业污水限期达标整治。推进废水直排外环境的工业企业全面达标排放。强化入河排污口监督管理，推动入河排污口规范化建设，取缔非法入河排污口。加大超标排放整治力度，对超标和超总量的企业依法查处，对企业超标现象普遍、超标企业集中地区政府采取挂牌督办、公开约谈等措施。对整治仍不能达到要求且情节严重的企业，由所在地政府依法责令限期关闭。</w:t>
            </w:r>
          </w:p>
        </w:tc>
        <w:tc>
          <w:tcPr>
            <w:tcW w:w="1076" w:type="pct"/>
            <w:noWrap w:val="0"/>
            <w:vAlign w:val="center"/>
          </w:tcPr>
          <w:p w14:paraId="2999383A">
            <w:pPr>
              <w:pStyle w:val="58"/>
              <w:bidi w:val="0"/>
              <w:jc w:val="both"/>
              <w:rPr>
                <w:rFonts w:hint="default"/>
                <w:lang w:val="en-US" w:eastAsia="zh-CN"/>
              </w:rPr>
            </w:pPr>
            <w:r>
              <w:rPr>
                <w:rFonts w:hint="default" w:ascii="Times New Roman" w:hAnsi="Times New Roman" w:eastAsia="宋体" w:cs="Times New Roman"/>
                <w:lang w:val="en-US" w:eastAsia="zh-CN"/>
              </w:rPr>
              <w:t>本项目污水处理后满足《城镇污水处理厂污染物排放标准》（GB18918-2002）一级A标准，同时满足</w:t>
            </w:r>
            <w:r>
              <w:rPr>
                <w:rFonts w:hint="default" w:ascii="Times New Roman" w:hAnsi="Times New Roman" w:eastAsia="宋体" w:cs="Times New Roman"/>
                <w:highlight w:val="none"/>
                <w:lang w:val="en-US" w:eastAsia="zh-CN"/>
              </w:rPr>
              <w:t>《城市污水再生利用  工业用水水质》（GB/T19923-2024）、《城市污水再生利用 城市杂用水水质》（GB/T18920-2020）</w:t>
            </w:r>
            <w:r>
              <w:rPr>
                <w:rFonts w:hint="eastAsia"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城市污水再生利用 绿地灌溉水质</w:t>
            </w: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GB/T</w:t>
            </w:r>
            <w:r>
              <w:rPr>
                <w:rFonts w:hint="eastAsia" w:ascii="Times New Roman" w:hAnsi="Times New Roman" w:eastAsia="宋体" w:cs="Times New Roman"/>
                <w:color w:val="auto"/>
                <w:sz w:val="21"/>
                <w:szCs w:val="21"/>
                <w:highlight w:val="none"/>
                <w:lang w:val="en-US" w:eastAsia="zh-CN"/>
              </w:rPr>
              <w:t>25499</w:t>
            </w:r>
            <w:r>
              <w:rPr>
                <w:rFonts w:hint="default"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2010）</w:t>
            </w:r>
            <w:r>
              <w:rPr>
                <w:rFonts w:hint="default" w:ascii="Times New Roman" w:hAnsi="Times New Roman" w:eastAsia="宋体" w:cs="Times New Roman"/>
                <w:highlight w:val="none"/>
                <w:lang w:val="en-US" w:eastAsia="zh-CN"/>
              </w:rPr>
              <w:t>标准限值。</w:t>
            </w:r>
            <w:r>
              <w:rPr>
                <w:rFonts w:hint="eastAsia" w:cs="Times New Roman"/>
                <w:highlight w:val="none"/>
                <w:lang w:val="en-US" w:eastAsia="zh-CN"/>
              </w:rPr>
              <w:t>回用于厂区生产用水、园区绿化、道路喷洒及园区企业生产用水。</w:t>
            </w:r>
          </w:p>
        </w:tc>
        <w:tc>
          <w:tcPr>
            <w:tcW w:w="268" w:type="pct"/>
            <w:noWrap w:val="0"/>
            <w:vAlign w:val="center"/>
          </w:tcPr>
          <w:p w14:paraId="2AF6BC97">
            <w:pPr>
              <w:pStyle w:val="58"/>
              <w:bidi w:val="0"/>
              <w:rPr>
                <w:rFonts w:hint="default"/>
                <w:lang w:eastAsia="zh-CN"/>
              </w:rPr>
            </w:pPr>
            <w:r>
              <w:rPr>
                <w:rFonts w:hint="default"/>
                <w:lang w:eastAsia="zh-CN"/>
              </w:rPr>
              <w:t>符合</w:t>
            </w:r>
          </w:p>
        </w:tc>
      </w:tr>
      <w:tr w14:paraId="6462774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1B58F590">
            <w:pPr>
              <w:pStyle w:val="58"/>
              <w:bidi w:val="0"/>
              <w:rPr>
                <w:rFonts w:hint="default"/>
                <w:lang w:eastAsia="zh-CN"/>
              </w:rPr>
            </w:pPr>
          </w:p>
        </w:tc>
        <w:tc>
          <w:tcPr>
            <w:tcW w:w="327" w:type="pct"/>
            <w:vMerge w:val="continue"/>
            <w:noWrap w:val="0"/>
            <w:vAlign w:val="center"/>
          </w:tcPr>
          <w:p w14:paraId="0CA4DF7B">
            <w:pPr>
              <w:pStyle w:val="58"/>
              <w:bidi w:val="0"/>
              <w:rPr>
                <w:rFonts w:hint="default"/>
              </w:rPr>
            </w:pPr>
          </w:p>
        </w:tc>
        <w:tc>
          <w:tcPr>
            <w:tcW w:w="2979" w:type="pct"/>
            <w:noWrap w:val="0"/>
            <w:vAlign w:val="center"/>
          </w:tcPr>
          <w:p w14:paraId="4C894940">
            <w:pPr>
              <w:pStyle w:val="58"/>
              <w:bidi w:val="0"/>
              <w:rPr>
                <w:rFonts w:hint="default"/>
              </w:rPr>
            </w:pPr>
            <w:r>
              <w:rPr>
                <w:rFonts w:hint="default"/>
              </w:rPr>
              <w:t>4、推进农业面源污染治理。减少化肥农药使用量，严格控制高毒高风险农药使用，推进有机肥替代化肥、病虫害绿色防控替代化学防治，积极推进废旧农膜回收，完善废旧地膜和包装废弃物等回收处理制度。</w:t>
            </w:r>
          </w:p>
        </w:tc>
        <w:tc>
          <w:tcPr>
            <w:tcW w:w="1076" w:type="pct"/>
            <w:noWrap w:val="0"/>
            <w:vAlign w:val="center"/>
          </w:tcPr>
          <w:p w14:paraId="39C0897A">
            <w:pPr>
              <w:pStyle w:val="58"/>
              <w:bidi w:val="0"/>
              <w:rPr>
                <w:rFonts w:hint="default"/>
                <w:lang w:val="en-US" w:eastAsia="zh-CN"/>
              </w:rPr>
            </w:pPr>
            <w:r>
              <w:rPr>
                <w:rFonts w:hint="default"/>
                <w:lang w:eastAsia="zh-CN"/>
              </w:rPr>
              <w:t>本项目不涉及</w:t>
            </w:r>
          </w:p>
        </w:tc>
        <w:tc>
          <w:tcPr>
            <w:tcW w:w="268" w:type="pct"/>
            <w:noWrap w:val="0"/>
            <w:vAlign w:val="center"/>
          </w:tcPr>
          <w:p w14:paraId="107A7E43">
            <w:pPr>
              <w:pStyle w:val="58"/>
              <w:bidi w:val="0"/>
              <w:rPr>
                <w:rFonts w:hint="default"/>
                <w:lang w:val="en-US" w:eastAsia="zh-CN"/>
              </w:rPr>
            </w:pPr>
            <w:r>
              <w:rPr>
                <w:rFonts w:hint="default"/>
                <w:lang w:val="en-US" w:eastAsia="zh-CN"/>
              </w:rPr>
              <w:t>-</w:t>
            </w:r>
          </w:p>
        </w:tc>
      </w:tr>
      <w:tr w14:paraId="1B968D0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3B38BAB0">
            <w:pPr>
              <w:pStyle w:val="58"/>
              <w:bidi w:val="0"/>
              <w:rPr>
                <w:rFonts w:hint="default"/>
                <w:lang w:eastAsia="zh-CN"/>
              </w:rPr>
            </w:pPr>
          </w:p>
        </w:tc>
        <w:tc>
          <w:tcPr>
            <w:tcW w:w="327" w:type="pct"/>
            <w:vMerge w:val="continue"/>
            <w:noWrap w:val="0"/>
            <w:vAlign w:val="center"/>
          </w:tcPr>
          <w:p w14:paraId="7609AE34">
            <w:pPr>
              <w:pStyle w:val="58"/>
              <w:bidi w:val="0"/>
              <w:rPr>
                <w:rFonts w:hint="default"/>
              </w:rPr>
            </w:pPr>
          </w:p>
        </w:tc>
        <w:tc>
          <w:tcPr>
            <w:tcW w:w="2979" w:type="pct"/>
            <w:noWrap w:val="0"/>
            <w:vAlign w:val="center"/>
          </w:tcPr>
          <w:p w14:paraId="68AD0CCE">
            <w:pPr>
              <w:pStyle w:val="58"/>
              <w:bidi w:val="0"/>
              <w:rPr>
                <w:rFonts w:hint="default"/>
              </w:rPr>
            </w:pPr>
            <w:r>
              <w:rPr>
                <w:rFonts w:hint="default"/>
              </w:rPr>
              <w:t>5、推进养殖废弃物资源化利用。坚持种植和养殖相结合，就地就近消纳利用畜禽养殖废弃物。合理布局水产养殖空间，深入推进生态健康养殖，开展重点河流湖库及近岸海域破坏生态环境的养殖方式综合整治。</w:t>
            </w:r>
          </w:p>
        </w:tc>
        <w:tc>
          <w:tcPr>
            <w:tcW w:w="1076" w:type="pct"/>
            <w:noWrap w:val="0"/>
            <w:vAlign w:val="center"/>
          </w:tcPr>
          <w:p w14:paraId="07571E79">
            <w:pPr>
              <w:pStyle w:val="58"/>
              <w:bidi w:val="0"/>
              <w:rPr>
                <w:rFonts w:hint="default"/>
                <w:lang w:val="en-US" w:eastAsia="zh-CN"/>
              </w:rPr>
            </w:pPr>
            <w:r>
              <w:rPr>
                <w:rFonts w:hint="default"/>
                <w:lang w:eastAsia="zh-CN"/>
              </w:rPr>
              <w:t>本项目不涉及</w:t>
            </w:r>
          </w:p>
        </w:tc>
        <w:tc>
          <w:tcPr>
            <w:tcW w:w="268" w:type="pct"/>
            <w:noWrap w:val="0"/>
            <w:vAlign w:val="center"/>
          </w:tcPr>
          <w:p w14:paraId="6523E81C">
            <w:pPr>
              <w:pStyle w:val="58"/>
              <w:bidi w:val="0"/>
              <w:rPr>
                <w:rFonts w:hint="default"/>
                <w:lang w:val="en-US" w:eastAsia="zh-CN"/>
              </w:rPr>
            </w:pPr>
            <w:r>
              <w:rPr>
                <w:rFonts w:hint="default"/>
                <w:lang w:val="en-US" w:eastAsia="zh-CN"/>
              </w:rPr>
              <w:t>-</w:t>
            </w:r>
          </w:p>
        </w:tc>
      </w:tr>
      <w:tr w14:paraId="6054885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14F49143">
            <w:pPr>
              <w:pStyle w:val="58"/>
              <w:bidi w:val="0"/>
              <w:rPr>
                <w:rFonts w:hint="default"/>
                <w:lang w:eastAsia="zh-CN"/>
              </w:rPr>
            </w:pPr>
          </w:p>
        </w:tc>
        <w:tc>
          <w:tcPr>
            <w:tcW w:w="327" w:type="pct"/>
            <w:vMerge w:val="continue"/>
            <w:noWrap w:val="0"/>
            <w:vAlign w:val="center"/>
          </w:tcPr>
          <w:p w14:paraId="5D240325">
            <w:pPr>
              <w:pStyle w:val="58"/>
              <w:bidi w:val="0"/>
              <w:rPr>
                <w:rFonts w:hint="default"/>
              </w:rPr>
            </w:pPr>
          </w:p>
        </w:tc>
        <w:tc>
          <w:tcPr>
            <w:tcW w:w="2979" w:type="pct"/>
            <w:noWrap w:val="0"/>
            <w:vAlign w:val="center"/>
          </w:tcPr>
          <w:p w14:paraId="4540C3F6">
            <w:pPr>
              <w:pStyle w:val="58"/>
              <w:bidi w:val="0"/>
              <w:rPr>
                <w:rFonts w:hint="default"/>
              </w:rPr>
            </w:pPr>
            <w:r>
              <w:rPr>
                <w:rFonts w:hint="default"/>
              </w:rPr>
              <w:t>6、实施总氮排放总量控制，新建、改建、扩建涉及总氮排放的建设项目，实施总氮排放总量指标减量替代，并在相关单位排污许可证中予以明确、严格落实，严控新增总氮排放量。</w:t>
            </w:r>
          </w:p>
        </w:tc>
        <w:tc>
          <w:tcPr>
            <w:tcW w:w="1076" w:type="pct"/>
            <w:noWrap w:val="0"/>
            <w:vAlign w:val="center"/>
          </w:tcPr>
          <w:p w14:paraId="760C7E09">
            <w:pPr>
              <w:pStyle w:val="58"/>
              <w:bidi w:val="0"/>
              <w:rPr>
                <w:rFonts w:hint="default"/>
                <w:lang w:val="en-US" w:eastAsia="zh-CN"/>
              </w:rPr>
            </w:pPr>
            <w:r>
              <w:rPr>
                <w:rFonts w:hint="default"/>
                <w:lang w:eastAsia="zh-CN"/>
              </w:rPr>
              <w:t>本项目不涉及</w:t>
            </w:r>
          </w:p>
        </w:tc>
        <w:tc>
          <w:tcPr>
            <w:tcW w:w="268" w:type="pct"/>
            <w:noWrap w:val="0"/>
            <w:vAlign w:val="center"/>
          </w:tcPr>
          <w:p w14:paraId="1A24AA04">
            <w:pPr>
              <w:pStyle w:val="58"/>
              <w:bidi w:val="0"/>
              <w:rPr>
                <w:rFonts w:hint="default"/>
                <w:lang w:val="en-US" w:eastAsia="zh-CN"/>
              </w:rPr>
            </w:pPr>
            <w:r>
              <w:rPr>
                <w:rFonts w:hint="default"/>
                <w:lang w:val="en-US" w:eastAsia="zh-CN"/>
              </w:rPr>
              <w:t>-</w:t>
            </w:r>
          </w:p>
        </w:tc>
      </w:tr>
      <w:tr w14:paraId="24E648C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3649BAF5">
            <w:pPr>
              <w:pStyle w:val="58"/>
              <w:bidi w:val="0"/>
              <w:rPr>
                <w:rFonts w:hint="default"/>
                <w:lang w:eastAsia="zh-CN"/>
              </w:rPr>
            </w:pPr>
          </w:p>
        </w:tc>
        <w:tc>
          <w:tcPr>
            <w:tcW w:w="327" w:type="pct"/>
            <w:noWrap w:val="0"/>
            <w:vAlign w:val="center"/>
          </w:tcPr>
          <w:p w14:paraId="7555C2D9">
            <w:pPr>
              <w:pStyle w:val="58"/>
              <w:bidi w:val="0"/>
              <w:rPr>
                <w:rFonts w:hint="default"/>
                <w:lang w:val="en-US" w:eastAsia="en-US"/>
              </w:rPr>
            </w:pPr>
            <w:r>
              <w:rPr>
                <w:rFonts w:hint="default"/>
              </w:rPr>
              <w:t>环境风险防控</w:t>
            </w:r>
          </w:p>
        </w:tc>
        <w:tc>
          <w:tcPr>
            <w:tcW w:w="2979" w:type="pct"/>
            <w:noWrap w:val="0"/>
            <w:vAlign w:val="center"/>
          </w:tcPr>
          <w:p w14:paraId="3C9AF1B4">
            <w:pPr>
              <w:pStyle w:val="58"/>
              <w:bidi w:val="0"/>
              <w:rPr>
                <w:rFonts w:hint="default"/>
                <w:lang w:val="en-US" w:eastAsia="en-US"/>
              </w:rPr>
            </w:pPr>
            <w:r>
              <w:rPr>
                <w:rFonts w:hint="default"/>
              </w:rPr>
              <w:t>有效防控水源地环境风险。每年对集中式饮用水水源保护区开展基础调查与评估，将可能影响水源水质安全的风险源全部列入档案，加强风险应急防控，建立联防联控应急机制。推广供水水厂应急净化技术，储备应急供水专项物资，配置移动式应急净水设备，加强应急抢险专业队伍建设，及时有效处置饮用水水源突发环境事件。</w:t>
            </w:r>
          </w:p>
        </w:tc>
        <w:tc>
          <w:tcPr>
            <w:tcW w:w="1076" w:type="pct"/>
            <w:noWrap w:val="0"/>
            <w:vAlign w:val="center"/>
          </w:tcPr>
          <w:p w14:paraId="72AB457B">
            <w:pPr>
              <w:pStyle w:val="58"/>
              <w:bidi w:val="0"/>
              <w:rPr>
                <w:rFonts w:hint="default"/>
                <w:lang w:val="en-US" w:eastAsia="zh-CN"/>
              </w:rPr>
            </w:pPr>
            <w:r>
              <w:rPr>
                <w:rFonts w:hint="default"/>
                <w:lang w:eastAsia="zh-CN"/>
              </w:rPr>
              <w:t>本项目不涉及</w:t>
            </w:r>
          </w:p>
        </w:tc>
        <w:tc>
          <w:tcPr>
            <w:tcW w:w="268" w:type="pct"/>
            <w:noWrap w:val="0"/>
            <w:vAlign w:val="center"/>
          </w:tcPr>
          <w:p w14:paraId="1F09DB87">
            <w:pPr>
              <w:pStyle w:val="58"/>
              <w:bidi w:val="0"/>
              <w:rPr>
                <w:rFonts w:hint="default"/>
                <w:lang w:val="en-US" w:eastAsia="zh-CN"/>
              </w:rPr>
            </w:pPr>
            <w:r>
              <w:rPr>
                <w:rFonts w:hint="default"/>
                <w:lang w:val="en-US" w:eastAsia="zh-CN"/>
              </w:rPr>
              <w:t>-</w:t>
            </w:r>
          </w:p>
        </w:tc>
      </w:tr>
      <w:tr w14:paraId="050F9E5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69EBD9FA">
            <w:pPr>
              <w:pStyle w:val="58"/>
              <w:bidi w:val="0"/>
              <w:rPr>
                <w:rFonts w:hint="default"/>
                <w:lang w:eastAsia="zh-CN"/>
              </w:rPr>
            </w:pPr>
          </w:p>
        </w:tc>
        <w:tc>
          <w:tcPr>
            <w:tcW w:w="327" w:type="pct"/>
            <w:vMerge w:val="restart"/>
            <w:noWrap w:val="0"/>
            <w:vAlign w:val="center"/>
          </w:tcPr>
          <w:p w14:paraId="00BB705C">
            <w:pPr>
              <w:pStyle w:val="58"/>
              <w:bidi w:val="0"/>
              <w:rPr>
                <w:rFonts w:hint="default"/>
                <w:lang w:val="en-US" w:eastAsia="en-US"/>
              </w:rPr>
            </w:pPr>
            <w:r>
              <w:rPr>
                <w:rFonts w:hint="default"/>
              </w:rPr>
              <w:t>资源开发利用</w:t>
            </w:r>
          </w:p>
        </w:tc>
        <w:tc>
          <w:tcPr>
            <w:tcW w:w="2979" w:type="pct"/>
            <w:noWrap w:val="0"/>
            <w:vAlign w:val="center"/>
          </w:tcPr>
          <w:p w14:paraId="32FD46B8">
            <w:pPr>
              <w:pStyle w:val="58"/>
              <w:bidi w:val="0"/>
              <w:rPr>
                <w:rFonts w:hint="default"/>
                <w:lang w:val="en-US" w:eastAsia="en-US"/>
              </w:rPr>
            </w:pPr>
            <w:r>
              <w:rPr>
                <w:rFonts w:hint="default"/>
              </w:rPr>
              <w:t>1、开展用水效率评估，建立万元工业增加值水耗指标等用水效率评估体系，把节水目标任务完成情况纳入地方政府政绩考核。将再生水、雨水和微咸水等非常规水源纳入水资源统一配置。</w:t>
            </w:r>
          </w:p>
        </w:tc>
        <w:tc>
          <w:tcPr>
            <w:tcW w:w="1076" w:type="pct"/>
            <w:noWrap w:val="0"/>
            <w:vAlign w:val="center"/>
          </w:tcPr>
          <w:p w14:paraId="5DF72F60">
            <w:pPr>
              <w:pStyle w:val="58"/>
              <w:bidi w:val="0"/>
              <w:jc w:val="both"/>
              <w:rPr>
                <w:rFonts w:hint="default"/>
                <w:highlight w:val="none"/>
                <w:lang w:val="en-US" w:eastAsia="zh-CN"/>
              </w:rPr>
            </w:pPr>
            <w:r>
              <w:rPr>
                <w:rFonts w:hint="default" w:ascii="Times New Roman" w:hAnsi="Times New Roman" w:eastAsia="宋体" w:cs="Times New Roman"/>
                <w:highlight w:val="none"/>
                <w:lang w:val="en-US" w:eastAsia="zh-CN"/>
              </w:rPr>
              <w:t>本项目废水处理后满足《城镇污水处理厂污染物排放标准》（GB18918-2002）一级A标准，同时满足《城市污水再生利用  工业用水水质》（GB/T19923-2024）、《城市污水再生利用 城市杂用水水质》（GB/T18920-2020）</w:t>
            </w:r>
            <w:r>
              <w:rPr>
                <w:rFonts w:hint="eastAsia"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城市污水再生利用 绿地灌溉水质</w:t>
            </w: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GB/T</w:t>
            </w:r>
            <w:r>
              <w:rPr>
                <w:rFonts w:hint="eastAsia" w:ascii="Times New Roman" w:hAnsi="Times New Roman" w:eastAsia="宋体" w:cs="Times New Roman"/>
                <w:color w:val="auto"/>
                <w:sz w:val="21"/>
                <w:szCs w:val="21"/>
                <w:highlight w:val="none"/>
                <w:lang w:val="en-US" w:eastAsia="zh-CN"/>
              </w:rPr>
              <w:t>25499</w:t>
            </w:r>
            <w:r>
              <w:rPr>
                <w:rFonts w:hint="default"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2010）</w:t>
            </w:r>
            <w:r>
              <w:rPr>
                <w:rFonts w:hint="default" w:ascii="Times New Roman" w:hAnsi="Times New Roman" w:eastAsia="宋体" w:cs="Times New Roman"/>
                <w:highlight w:val="none"/>
                <w:lang w:val="en-US" w:eastAsia="zh-CN"/>
              </w:rPr>
              <w:t>标准限值。</w:t>
            </w:r>
            <w:r>
              <w:rPr>
                <w:rFonts w:hint="eastAsia" w:cs="Times New Roman"/>
                <w:highlight w:val="none"/>
                <w:lang w:val="en-US" w:eastAsia="zh-CN"/>
              </w:rPr>
              <w:t>回用于厂区生产用水、园区绿化、道路喷洒及园区企业生产用水。</w:t>
            </w:r>
          </w:p>
        </w:tc>
        <w:tc>
          <w:tcPr>
            <w:tcW w:w="268" w:type="pct"/>
            <w:noWrap w:val="0"/>
            <w:vAlign w:val="center"/>
          </w:tcPr>
          <w:p w14:paraId="437A7542">
            <w:pPr>
              <w:pStyle w:val="58"/>
              <w:bidi w:val="0"/>
              <w:rPr>
                <w:rFonts w:hint="default"/>
                <w:lang w:val="en-US" w:eastAsia="zh-CN"/>
              </w:rPr>
            </w:pPr>
            <w:r>
              <w:rPr>
                <w:rFonts w:hint="default"/>
                <w:lang w:eastAsia="zh-CN"/>
              </w:rPr>
              <w:t>符合</w:t>
            </w:r>
          </w:p>
        </w:tc>
      </w:tr>
      <w:tr w14:paraId="6A66248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43FFC692">
            <w:pPr>
              <w:pStyle w:val="58"/>
              <w:bidi w:val="0"/>
              <w:rPr>
                <w:rFonts w:hint="default"/>
                <w:lang w:eastAsia="zh-CN"/>
              </w:rPr>
            </w:pPr>
          </w:p>
        </w:tc>
        <w:tc>
          <w:tcPr>
            <w:tcW w:w="327" w:type="pct"/>
            <w:vMerge w:val="continue"/>
            <w:noWrap w:val="0"/>
            <w:vAlign w:val="center"/>
          </w:tcPr>
          <w:p w14:paraId="23EC6B1A">
            <w:pPr>
              <w:pStyle w:val="58"/>
              <w:bidi w:val="0"/>
              <w:rPr>
                <w:rFonts w:hint="default"/>
              </w:rPr>
            </w:pPr>
          </w:p>
        </w:tc>
        <w:tc>
          <w:tcPr>
            <w:tcW w:w="2979" w:type="pct"/>
            <w:noWrap w:val="0"/>
            <w:vAlign w:val="center"/>
          </w:tcPr>
          <w:p w14:paraId="175FDC77">
            <w:pPr>
              <w:pStyle w:val="58"/>
              <w:bidi w:val="0"/>
              <w:rPr>
                <w:rFonts w:hint="default"/>
              </w:rPr>
            </w:pPr>
            <w:r>
              <w:rPr>
                <w:rFonts w:hint="default"/>
              </w:rPr>
              <w:t>2、发展农业节水。调整农业种植结构，发展旱作节水农业，推进田间节水设施建设，大力推广耐旱节水品种、耕作保墒、地膜覆盖、秸秆还田、水肥一体化等农业综合节水技术。推广渠道防渗、管道输水、喷灌、微灌、农作物节水抗旱等技术，完善灌溉用水计量设施，推进规模化高效节水灌溉。加快高效节水灌溉示范项目建设，粮食主产区大力推广以高标准管灌为主的节水灌溉工程，蔬菜、果品和经济种植区大力推广微滴灌技术，规模化农场、承包大户积极推广喷灌技术。地上水灌区实施续建配套与节水改造。</w:t>
            </w:r>
          </w:p>
        </w:tc>
        <w:tc>
          <w:tcPr>
            <w:tcW w:w="1076" w:type="pct"/>
            <w:noWrap w:val="0"/>
            <w:vAlign w:val="center"/>
          </w:tcPr>
          <w:p w14:paraId="1F65E586">
            <w:pPr>
              <w:pStyle w:val="58"/>
              <w:bidi w:val="0"/>
              <w:rPr>
                <w:rFonts w:hint="default"/>
                <w:lang w:val="en-US" w:eastAsia="zh-CN"/>
              </w:rPr>
            </w:pPr>
            <w:r>
              <w:rPr>
                <w:rFonts w:hint="default"/>
                <w:lang w:eastAsia="zh-CN"/>
              </w:rPr>
              <w:t>本项目不涉及</w:t>
            </w:r>
          </w:p>
        </w:tc>
        <w:tc>
          <w:tcPr>
            <w:tcW w:w="268" w:type="pct"/>
            <w:noWrap w:val="0"/>
            <w:vAlign w:val="center"/>
          </w:tcPr>
          <w:p w14:paraId="5AA33E20">
            <w:pPr>
              <w:pStyle w:val="58"/>
              <w:bidi w:val="0"/>
              <w:rPr>
                <w:rFonts w:hint="default"/>
                <w:lang w:val="en-US" w:eastAsia="zh-CN"/>
              </w:rPr>
            </w:pPr>
            <w:r>
              <w:rPr>
                <w:rFonts w:hint="default"/>
                <w:lang w:val="en-US" w:eastAsia="zh-CN"/>
              </w:rPr>
              <w:t>-</w:t>
            </w:r>
          </w:p>
        </w:tc>
      </w:tr>
      <w:tr w14:paraId="567A047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restart"/>
            <w:noWrap w:val="0"/>
            <w:vAlign w:val="center"/>
          </w:tcPr>
          <w:p w14:paraId="779C2DD5">
            <w:pPr>
              <w:pStyle w:val="58"/>
              <w:bidi w:val="0"/>
              <w:rPr>
                <w:rFonts w:hint="default"/>
                <w:lang w:eastAsia="zh-CN"/>
              </w:rPr>
            </w:pPr>
            <w:r>
              <w:rPr>
                <w:rFonts w:hint="default"/>
              </w:rPr>
              <w:t>土壤及地下水环境</w:t>
            </w:r>
          </w:p>
        </w:tc>
        <w:tc>
          <w:tcPr>
            <w:tcW w:w="327" w:type="pct"/>
            <w:vMerge w:val="restart"/>
            <w:noWrap w:val="0"/>
            <w:vAlign w:val="center"/>
          </w:tcPr>
          <w:p w14:paraId="054F84A4">
            <w:pPr>
              <w:pStyle w:val="58"/>
              <w:bidi w:val="0"/>
              <w:rPr>
                <w:rFonts w:hint="default"/>
              </w:rPr>
            </w:pPr>
            <w:r>
              <w:rPr>
                <w:rFonts w:hint="default"/>
              </w:rPr>
              <w:t>空间布局约束</w:t>
            </w:r>
          </w:p>
        </w:tc>
        <w:tc>
          <w:tcPr>
            <w:tcW w:w="2979" w:type="pct"/>
            <w:noWrap w:val="0"/>
            <w:vAlign w:val="center"/>
          </w:tcPr>
          <w:p w14:paraId="57418407">
            <w:pPr>
              <w:pStyle w:val="58"/>
              <w:bidi w:val="0"/>
              <w:rPr>
                <w:rFonts w:hint="default"/>
                <w:lang w:val="en-US" w:eastAsia="en-US"/>
              </w:rPr>
            </w:pPr>
            <w:r>
              <w:rPr>
                <w:rFonts w:hint="default"/>
              </w:rPr>
              <w:t>1、严格执行相关行业企业布局选址要求，禁止在居民区和学校、医院、疗养院、养老院等单位周边新建、改建、扩建可能造成土壤污染的建设项目。</w:t>
            </w:r>
          </w:p>
        </w:tc>
        <w:tc>
          <w:tcPr>
            <w:tcW w:w="1076" w:type="pct"/>
            <w:noWrap w:val="0"/>
            <w:vAlign w:val="center"/>
          </w:tcPr>
          <w:p w14:paraId="203520A1">
            <w:pPr>
              <w:pStyle w:val="58"/>
              <w:bidi w:val="0"/>
              <w:rPr>
                <w:rFonts w:hint="default"/>
                <w:lang w:val="en-US" w:eastAsia="zh-CN"/>
              </w:rPr>
            </w:pPr>
            <w:r>
              <w:rPr>
                <w:rFonts w:hint="default"/>
                <w:lang w:eastAsia="zh-CN"/>
              </w:rPr>
              <w:t>本项目不涉及</w:t>
            </w:r>
          </w:p>
        </w:tc>
        <w:tc>
          <w:tcPr>
            <w:tcW w:w="268" w:type="pct"/>
            <w:noWrap w:val="0"/>
            <w:vAlign w:val="center"/>
          </w:tcPr>
          <w:p w14:paraId="07581A10">
            <w:pPr>
              <w:pStyle w:val="58"/>
              <w:bidi w:val="0"/>
              <w:rPr>
                <w:rFonts w:hint="default"/>
                <w:lang w:val="en-US" w:eastAsia="zh-CN"/>
              </w:rPr>
            </w:pPr>
            <w:r>
              <w:rPr>
                <w:rFonts w:hint="default"/>
                <w:lang w:val="en-US" w:eastAsia="zh-CN"/>
              </w:rPr>
              <w:t>-</w:t>
            </w:r>
          </w:p>
        </w:tc>
      </w:tr>
      <w:tr w14:paraId="4F2B622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4AFF5488">
            <w:pPr>
              <w:pStyle w:val="58"/>
              <w:bidi w:val="0"/>
              <w:rPr>
                <w:rFonts w:hint="default"/>
                <w:lang w:eastAsia="zh-CN"/>
              </w:rPr>
            </w:pPr>
          </w:p>
        </w:tc>
        <w:tc>
          <w:tcPr>
            <w:tcW w:w="327" w:type="pct"/>
            <w:vMerge w:val="continue"/>
            <w:noWrap w:val="0"/>
            <w:vAlign w:val="center"/>
          </w:tcPr>
          <w:p w14:paraId="1B295F87">
            <w:pPr>
              <w:pStyle w:val="58"/>
              <w:bidi w:val="0"/>
              <w:rPr>
                <w:rFonts w:hint="default"/>
              </w:rPr>
            </w:pPr>
          </w:p>
        </w:tc>
        <w:tc>
          <w:tcPr>
            <w:tcW w:w="2979" w:type="pct"/>
            <w:noWrap w:val="0"/>
            <w:vAlign w:val="center"/>
          </w:tcPr>
          <w:p w14:paraId="518B44BB">
            <w:pPr>
              <w:pStyle w:val="58"/>
              <w:bidi w:val="0"/>
              <w:rPr>
                <w:rFonts w:hint="default"/>
                <w:lang w:val="en-US" w:eastAsia="en-US"/>
              </w:rPr>
            </w:pPr>
            <w:r>
              <w:rPr>
                <w:rFonts w:hint="default"/>
              </w:rPr>
              <w:t>2、禁止在集中式地下水饮用水水源地建设需要取水的地热能开发利用项目。禁止抽取难以更新的地下水用于需要取水的地热能开发利用项目。</w:t>
            </w:r>
          </w:p>
        </w:tc>
        <w:tc>
          <w:tcPr>
            <w:tcW w:w="1076" w:type="pct"/>
            <w:noWrap w:val="0"/>
            <w:vAlign w:val="center"/>
          </w:tcPr>
          <w:p w14:paraId="400C532D">
            <w:pPr>
              <w:pStyle w:val="58"/>
              <w:bidi w:val="0"/>
              <w:rPr>
                <w:rFonts w:hint="default"/>
                <w:lang w:val="en-US" w:eastAsia="zh-CN"/>
              </w:rPr>
            </w:pPr>
            <w:r>
              <w:rPr>
                <w:rFonts w:hint="default"/>
                <w:lang w:eastAsia="zh-CN"/>
              </w:rPr>
              <w:t>本项目不涉及</w:t>
            </w:r>
          </w:p>
        </w:tc>
        <w:tc>
          <w:tcPr>
            <w:tcW w:w="268" w:type="pct"/>
            <w:noWrap w:val="0"/>
            <w:vAlign w:val="center"/>
          </w:tcPr>
          <w:p w14:paraId="69A5026F">
            <w:pPr>
              <w:pStyle w:val="58"/>
              <w:bidi w:val="0"/>
              <w:rPr>
                <w:rFonts w:hint="default"/>
                <w:lang w:val="en-US" w:eastAsia="zh-CN"/>
              </w:rPr>
            </w:pPr>
            <w:r>
              <w:rPr>
                <w:rFonts w:hint="default"/>
                <w:lang w:val="en-US" w:eastAsia="zh-CN"/>
              </w:rPr>
              <w:t>-</w:t>
            </w:r>
          </w:p>
        </w:tc>
      </w:tr>
      <w:tr w14:paraId="6C60271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6A515892">
            <w:pPr>
              <w:pStyle w:val="58"/>
              <w:bidi w:val="0"/>
              <w:rPr>
                <w:rFonts w:hint="default"/>
                <w:lang w:eastAsia="zh-CN"/>
              </w:rPr>
            </w:pPr>
          </w:p>
        </w:tc>
        <w:tc>
          <w:tcPr>
            <w:tcW w:w="327" w:type="pct"/>
            <w:vMerge w:val="continue"/>
            <w:noWrap w:val="0"/>
            <w:vAlign w:val="center"/>
          </w:tcPr>
          <w:p w14:paraId="5B56037C">
            <w:pPr>
              <w:pStyle w:val="58"/>
              <w:bidi w:val="0"/>
              <w:rPr>
                <w:rFonts w:hint="default"/>
              </w:rPr>
            </w:pPr>
          </w:p>
        </w:tc>
        <w:tc>
          <w:tcPr>
            <w:tcW w:w="2979" w:type="pct"/>
            <w:noWrap w:val="0"/>
            <w:vAlign w:val="center"/>
          </w:tcPr>
          <w:p w14:paraId="62F5591D">
            <w:pPr>
              <w:pStyle w:val="58"/>
              <w:bidi w:val="0"/>
              <w:rPr>
                <w:rFonts w:hint="default"/>
                <w:lang w:val="en-US" w:eastAsia="en-US"/>
              </w:rPr>
            </w:pPr>
            <w:r>
              <w:rPr>
                <w:rFonts w:hint="default"/>
              </w:rPr>
              <w:t>3、地下水饮用水水源地优先保护区管控参照生态环境空间总体管控要求中地下水饮用水水源地保护区总体管控要求。</w:t>
            </w:r>
          </w:p>
        </w:tc>
        <w:tc>
          <w:tcPr>
            <w:tcW w:w="1076" w:type="pct"/>
            <w:noWrap w:val="0"/>
            <w:vAlign w:val="center"/>
          </w:tcPr>
          <w:p w14:paraId="3566A583">
            <w:pPr>
              <w:pStyle w:val="58"/>
              <w:bidi w:val="0"/>
              <w:rPr>
                <w:rFonts w:hint="default"/>
                <w:lang w:val="en-US" w:eastAsia="zh-CN"/>
              </w:rPr>
            </w:pPr>
            <w:r>
              <w:rPr>
                <w:rFonts w:hint="default"/>
                <w:lang w:eastAsia="zh-CN"/>
              </w:rPr>
              <w:t>本项目不涉及</w:t>
            </w:r>
          </w:p>
        </w:tc>
        <w:tc>
          <w:tcPr>
            <w:tcW w:w="268" w:type="pct"/>
            <w:noWrap w:val="0"/>
            <w:vAlign w:val="center"/>
          </w:tcPr>
          <w:p w14:paraId="1029A5BE">
            <w:pPr>
              <w:pStyle w:val="58"/>
              <w:bidi w:val="0"/>
              <w:rPr>
                <w:rFonts w:hint="default"/>
                <w:lang w:val="en-US" w:eastAsia="zh-CN"/>
              </w:rPr>
            </w:pPr>
            <w:r>
              <w:rPr>
                <w:rFonts w:hint="default"/>
                <w:lang w:val="en-US" w:eastAsia="zh-CN"/>
              </w:rPr>
              <w:t>-</w:t>
            </w:r>
          </w:p>
        </w:tc>
      </w:tr>
      <w:tr w14:paraId="5E491F0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08852B25">
            <w:pPr>
              <w:pStyle w:val="58"/>
              <w:bidi w:val="0"/>
              <w:rPr>
                <w:rFonts w:hint="default"/>
                <w:lang w:eastAsia="zh-CN"/>
              </w:rPr>
            </w:pPr>
          </w:p>
        </w:tc>
        <w:tc>
          <w:tcPr>
            <w:tcW w:w="327" w:type="pct"/>
            <w:vMerge w:val="restart"/>
            <w:noWrap w:val="0"/>
            <w:vAlign w:val="center"/>
          </w:tcPr>
          <w:p w14:paraId="29F7CF73">
            <w:pPr>
              <w:pStyle w:val="58"/>
              <w:bidi w:val="0"/>
              <w:rPr>
                <w:rFonts w:hint="default"/>
              </w:rPr>
            </w:pPr>
            <w:r>
              <w:rPr>
                <w:rFonts w:hint="default"/>
              </w:rPr>
              <w:t>污染排放管控</w:t>
            </w:r>
          </w:p>
        </w:tc>
        <w:tc>
          <w:tcPr>
            <w:tcW w:w="2979" w:type="pct"/>
            <w:noWrap w:val="0"/>
            <w:vAlign w:val="center"/>
          </w:tcPr>
          <w:p w14:paraId="48A81F0D">
            <w:pPr>
              <w:pStyle w:val="58"/>
              <w:bidi w:val="0"/>
              <w:rPr>
                <w:rFonts w:hint="default"/>
              </w:rPr>
            </w:pPr>
            <w:r>
              <w:rPr>
                <w:rFonts w:hint="default"/>
              </w:rPr>
              <w:t>1、严禁将污泥直接用作肥料，禁止不达标污泥就地堆放，结合污泥处理设施升级改造，逐步取消原生污泥简易填埋等不符合环保要求的处置方式。鼓励利用水泥厂等工业窑炉，开展污泥协同焚烧处置。</w:t>
            </w:r>
          </w:p>
        </w:tc>
        <w:tc>
          <w:tcPr>
            <w:tcW w:w="1076" w:type="pct"/>
            <w:noWrap w:val="0"/>
            <w:vAlign w:val="center"/>
          </w:tcPr>
          <w:p w14:paraId="171884D4">
            <w:pPr>
              <w:pStyle w:val="58"/>
              <w:bidi w:val="0"/>
              <w:rPr>
                <w:rFonts w:hint="default"/>
                <w:lang w:val="en-US" w:eastAsia="zh-CN"/>
              </w:rPr>
            </w:pPr>
            <w:r>
              <w:rPr>
                <w:rFonts w:hint="default"/>
                <w:lang w:eastAsia="zh-CN"/>
              </w:rPr>
              <w:t>本项目</w:t>
            </w:r>
            <w:r>
              <w:rPr>
                <w:rFonts w:hint="default"/>
                <w:lang w:val="en-US" w:eastAsia="zh-CN"/>
              </w:rPr>
              <w:t>污泥暂存污泥</w:t>
            </w:r>
            <w:r>
              <w:rPr>
                <w:rFonts w:hint="eastAsia"/>
                <w:lang w:val="en-US" w:eastAsia="zh-CN"/>
              </w:rPr>
              <w:t>脱水</w:t>
            </w:r>
            <w:r>
              <w:rPr>
                <w:rFonts w:hint="default"/>
                <w:lang w:val="en-US" w:eastAsia="zh-CN"/>
              </w:rPr>
              <w:t>间，委托水泥厂协同处置。</w:t>
            </w:r>
          </w:p>
        </w:tc>
        <w:tc>
          <w:tcPr>
            <w:tcW w:w="268" w:type="pct"/>
            <w:noWrap w:val="0"/>
            <w:vAlign w:val="center"/>
          </w:tcPr>
          <w:p w14:paraId="0C352B49">
            <w:pPr>
              <w:pStyle w:val="58"/>
              <w:bidi w:val="0"/>
              <w:rPr>
                <w:rFonts w:hint="default"/>
                <w:lang w:val="en-US" w:eastAsia="zh-CN"/>
              </w:rPr>
            </w:pPr>
            <w:r>
              <w:rPr>
                <w:rFonts w:hint="default"/>
                <w:lang w:val="en-US" w:eastAsia="zh-CN"/>
              </w:rPr>
              <w:t>-</w:t>
            </w:r>
          </w:p>
        </w:tc>
      </w:tr>
      <w:tr w14:paraId="7E6DF43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72E0D9D7">
            <w:pPr>
              <w:pStyle w:val="58"/>
              <w:bidi w:val="0"/>
              <w:rPr>
                <w:rFonts w:hint="default"/>
                <w:lang w:eastAsia="zh-CN"/>
              </w:rPr>
            </w:pPr>
          </w:p>
        </w:tc>
        <w:tc>
          <w:tcPr>
            <w:tcW w:w="327" w:type="pct"/>
            <w:vMerge w:val="continue"/>
            <w:noWrap w:val="0"/>
            <w:vAlign w:val="center"/>
          </w:tcPr>
          <w:p w14:paraId="1447D5F5">
            <w:pPr>
              <w:pStyle w:val="58"/>
              <w:bidi w:val="0"/>
              <w:rPr>
                <w:rFonts w:hint="default"/>
              </w:rPr>
            </w:pPr>
          </w:p>
        </w:tc>
        <w:tc>
          <w:tcPr>
            <w:tcW w:w="2979" w:type="pct"/>
            <w:noWrap w:val="0"/>
            <w:vAlign w:val="center"/>
          </w:tcPr>
          <w:p w14:paraId="73467716">
            <w:pPr>
              <w:pStyle w:val="58"/>
              <w:bidi w:val="0"/>
              <w:rPr>
                <w:rFonts w:hint="default"/>
                <w:lang w:val="en-US" w:eastAsia="en-US"/>
              </w:rPr>
            </w:pPr>
            <w:r>
              <w:rPr>
                <w:rFonts w:hint="default"/>
              </w:rPr>
              <w:t>2、严格落实总量控制制度，减少重金属污染物排放。新、改、扩建涉重金属重点行业建设项目，污染物排放实施等量或倍量替换，对重金属排放量继续上升的地区，暂停审批新增重金属污染物排放的建设项目。加大减排项目督导力度，确保项目按期实施。</w:t>
            </w:r>
          </w:p>
        </w:tc>
        <w:tc>
          <w:tcPr>
            <w:tcW w:w="1076" w:type="pct"/>
            <w:noWrap w:val="0"/>
            <w:vAlign w:val="center"/>
          </w:tcPr>
          <w:p w14:paraId="4657AD17">
            <w:pPr>
              <w:pStyle w:val="58"/>
              <w:bidi w:val="0"/>
              <w:rPr>
                <w:rFonts w:hint="default"/>
                <w:lang w:val="en-US" w:eastAsia="zh-CN"/>
              </w:rPr>
            </w:pPr>
            <w:r>
              <w:rPr>
                <w:rFonts w:hint="default"/>
                <w:lang w:eastAsia="zh-CN"/>
              </w:rPr>
              <w:t>本项目不涉及</w:t>
            </w:r>
          </w:p>
        </w:tc>
        <w:tc>
          <w:tcPr>
            <w:tcW w:w="268" w:type="pct"/>
            <w:noWrap w:val="0"/>
            <w:vAlign w:val="center"/>
          </w:tcPr>
          <w:p w14:paraId="26FC0940">
            <w:pPr>
              <w:pStyle w:val="58"/>
              <w:bidi w:val="0"/>
              <w:rPr>
                <w:rFonts w:hint="default"/>
                <w:lang w:val="en-US" w:eastAsia="zh-CN"/>
              </w:rPr>
            </w:pPr>
            <w:r>
              <w:rPr>
                <w:rFonts w:hint="default"/>
                <w:lang w:val="en-US" w:eastAsia="zh-CN"/>
              </w:rPr>
              <w:t>-</w:t>
            </w:r>
          </w:p>
        </w:tc>
      </w:tr>
      <w:tr w14:paraId="3AAE180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7ABF5B1D">
            <w:pPr>
              <w:pStyle w:val="58"/>
              <w:bidi w:val="0"/>
              <w:rPr>
                <w:rFonts w:hint="default"/>
                <w:lang w:eastAsia="zh-CN"/>
              </w:rPr>
            </w:pPr>
          </w:p>
        </w:tc>
        <w:tc>
          <w:tcPr>
            <w:tcW w:w="327" w:type="pct"/>
            <w:vMerge w:val="continue"/>
            <w:noWrap w:val="0"/>
            <w:vAlign w:val="center"/>
          </w:tcPr>
          <w:p w14:paraId="1D35282D">
            <w:pPr>
              <w:pStyle w:val="58"/>
              <w:bidi w:val="0"/>
              <w:rPr>
                <w:rFonts w:hint="default"/>
              </w:rPr>
            </w:pPr>
          </w:p>
        </w:tc>
        <w:tc>
          <w:tcPr>
            <w:tcW w:w="2979" w:type="pct"/>
            <w:noWrap w:val="0"/>
            <w:vAlign w:val="center"/>
          </w:tcPr>
          <w:p w14:paraId="6C1B43EC">
            <w:pPr>
              <w:pStyle w:val="58"/>
              <w:bidi w:val="0"/>
              <w:rPr>
                <w:rFonts w:hint="default"/>
                <w:lang w:val="en-US" w:eastAsia="en-US"/>
              </w:rPr>
            </w:pPr>
            <w:r>
              <w:rPr>
                <w:rFonts w:hint="default"/>
              </w:rPr>
              <w:t>3、严格危险废物经营许可审批，加强危险废物处置单位规范化管理核查。统筹推进危险废物利用处置能力建设，加快补齐利用处置设施短板。积极推进重点监管源智能监控体系建设，加大危险废物产生、贮存、转运、利用、处置全流程监管力度。规范和完善医疗废物分类收集处置体系。</w:t>
            </w:r>
          </w:p>
        </w:tc>
        <w:tc>
          <w:tcPr>
            <w:tcW w:w="1076" w:type="pct"/>
            <w:noWrap w:val="0"/>
            <w:vAlign w:val="center"/>
          </w:tcPr>
          <w:p w14:paraId="31E360D1">
            <w:pPr>
              <w:pStyle w:val="58"/>
              <w:bidi w:val="0"/>
              <w:rPr>
                <w:rFonts w:hint="default"/>
                <w:lang w:val="en-US" w:eastAsia="zh-CN"/>
              </w:rPr>
            </w:pPr>
            <w:r>
              <w:rPr>
                <w:rFonts w:hint="default"/>
                <w:lang w:eastAsia="zh-CN"/>
              </w:rPr>
              <w:t>本项目</w:t>
            </w:r>
            <w:r>
              <w:rPr>
                <w:rFonts w:hint="eastAsia"/>
                <w:lang w:val="zh-CN" w:eastAsia="zh-CN"/>
              </w:rPr>
              <w:t>实验室</w:t>
            </w:r>
            <w:r>
              <w:rPr>
                <w:rFonts w:hint="default"/>
                <w:lang w:val="zh-CN" w:eastAsia="zh-CN"/>
              </w:rPr>
              <w:t>及在线监测设备</w:t>
            </w:r>
            <w:r>
              <w:rPr>
                <w:rFonts w:hint="default"/>
                <w:lang w:val="en-US" w:eastAsia="zh-CN"/>
              </w:rPr>
              <w:t>产生的</w:t>
            </w:r>
            <w:r>
              <w:rPr>
                <w:rFonts w:hint="default"/>
                <w:lang w:val="zh-CN" w:eastAsia="zh-CN"/>
              </w:rPr>
              <w:t>废液及废瓶</w:t>
            </w:r>
            <w:r>
              <w:rPr>
                <w:rFonts w:hint="default"/>
                <w:lang w:val="en-US" w:eastAsia="zh-CN"/>
              </w:rPr>
              <w:t>与设备维护产生</w:t>
            </w:r>
            <w:r>
              <w:rPr>
                <w:rFonts w:hint="default"/>
                <w:lang w:val="zh-CN" w:eastAsia="zh-CN"/>
              </w:rPr>
              <w:t>废润滑油、废油桶</w:t>
            </w:r>
            <w:r>
              <w:rPr>
                <w:rFonts w:hint="default"/>
                <w:lang w:val="en-US" w:eastAsia="zh-CN"/>
              </w:rPr>
              <w:t>为危险废物，暂存于危废间，定期交有资质的单位处理</w:t>
            </w:r>
          </w:p>
        </w:tc>
        <w:tc>
          <w:tcPr>
            <w:tcW w:w="268" w:type="pct"/>
            <w:noWrap w:val="0"/>
            <w:vAlign w:val="center"/>
          </w:tcPr>
          <w:p w14:paraId="67046F97">
            <w:pPr>
              <w:pStyle w:val="58"/>
              <w:bidi w:val="0"/>
              <w:rPr>
                <w:rFonts w:hint="default"/>
                <w:lang w:val="en-US" w:eastAsia="zh-CN"/>
              </w:rPr>
            </w:pPr>
            <w:r>
              <w:rPr>
                <w:rFonts w:hint="default"/>
                <w:lang w:val="en-US" w:eastAsia="zh-CN"/>
              </w:rPr>
              <w:t>符合</w:t>
            </w:r>
          </w:p>
        </w:tc>
      </w:tr>
      <w:tr w14:paraId="286B507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22FD1993">
            <w:pPr>
              <w:pStyle w:val="58"/>
              <w:bidi w:val="0"/>
              <w:rPr>
                <w:rFonts w:hint="default"/>
                <w:lang w:eastAsia="zh-CN"/>
              </w:rPr>
            </w:pPr>
          </w:p>
        </w:tc>
        <w:tc>
          <w:tcPr>
            <w:tcW w:w="327" w:type="pct"/>
            <w:vMerge w:val="continue"/>
            <w:noWrap w:val="0"/>
            <w:vAlign w:val="center"/>
          </w:tcPr>
          <w:p w14:paraId="1655C3FC">
            <w:pPr>
              <w:pStyle w:val="58"/>
              <w:bidi w:val="0"/>
              <w:rPr>
                <w:rFonts w:hint="default"/>
              </w:rPr>
            </w:pPr>
          </w:p>
        </w:tc>
        <w:tc>
          <w:tcPr>
            <w:tcW w:w="2979" w:type="pct"/>
            <w:noWrap w:val="0"/>
            <w:vAlign w:val="center"/>
          </w:tcPr>
          <w:p w14:paraId="0D609D8F">
            <w:pPr>
              <w:pStyle w:val="58"/>
              <w:bidi w:val="0"/>
              <w:rPr>
                <w:rFonts w:hint="default"/>
              </w:rPr>
            </w:pPr>
            <w:r>
              <w:rPr>
                <w:rFonts w:hint="default"/>
              </w:rPr>
              <w:t>4、建设和运行固体废物处置设施，应当采取防扬散、防流失、防渗漏等措施，依法贮存、利用、处置固体废物。处置生活垃圾，应当优先采用焚烧处理技术，有计划地实现垃圾零填埋，已有的垃圾填埋处置设施应当建设渗滤液收集和处理、处置设施，并采取相应措施防止土壤污染。</w:t>
            </w:r>
          </w:p>
        </w:tc>
        <w:tc>
          <w:tcPr>
            <w:tcW w:w="1076" w:type="pct"/>
            <w:noWrap w:val="0"/>
            <w:vAlign w:val="center"/>
          </w:tcPr>
          <w:p w14:paraId="76229E77">
            <w:pPr>
              <w:pStyle w:val="58"/>
              <w:bidi w:val="0"/>
              <w:rPr>
                <w:rFonts w:hint="default"/>
                <w:lang w:val="en-US"/>
              </w:rPr>
            </w:pPr>
            <w:r>
              <w:rPr>
                <w:rFonts w:hint="eastAsia"/>
                <w:highlight w:val="none"/>
                <w:lang w:val="en-US" w:eastAsia="zh-CN"/>
              </w:rPr>
              <w:t>栅渣、沉砂和</w:t>
            </w:r>
            <w:r>
              <w:rPr>
                <w:rFonts w:hint="default"/>
                <w:highlight w:val="none"/>
                <w:lang w:val="en-US" w:eastAsia="zh-CN"/>
              </w:rPr>
              <w:t>脱水后</w:t>
            </w:r>
            <w:r>
              <w:rPr>
                <w:rFonts w:hint="eastAsia"/>
                <w:highlight w:val="none"/>
                <w:lang w:val="en-US" w:eastAsia="zh-CN"/>
              </w:rPr>
              <w:t>的</w:t>
            </w:r>
            <w:r>
              <w:rPr>
                <w:rFonts w:hint="default"/>
                <w:highlight w:val="none"/>
                <w:lang w:val="en-US" w:eastAsia="zh-CN"/>
              </w:rPr>
              <w:t>污泥委托水泥厂协同处置；生活垃圾</w:t>
            </w:r>
            <w:r>
              <w:rPr>
                <w:rFonts w:hint="default"/>
                <w:lang w:val="en-US" w:eastAsia="zh-CN"/>
              </w:rPr>
              <w:t>定期交环卫部门处置。</w:t>
            </w:r>
          </w:p>
        </w:tc>
        <w:tc>
          <w:tcPr>
            <w:tcW w:w="268" w:type="pct"/>
            <w:noWrap w:val="0"/>
            <w:vAlign w:val="center"/>
          </w:tcPr>
          <w:p w14:paraId="21F3FD87">
            <w:pPr>
              <w:pStyle w:val="58"/>
              <w:bidi w:val="0"/>
              <w:rPr>
                <w:rFonts w:hint="default"/>
                <w:lang w:eastAsia="zh-CN"/>
              </w:rPr>
            </w:pPr>
            <w:r>
              <w:rPr>
                <w:rFonts w:hint="default"/>
                <w:lang w:eastAsia="zh-CN"/>
              </w:rPr>
              <w:t>符合</w:t>
            </w:r>
          </w:p>
        </w:tc>
      </w:tr>
      <w:tr w14:paraId="1C8A2C0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313F87F9">
            <w:pPr>
              <w:pStyle w:val="58"/>
              <w:bidi w:val="0"/>
              <w:rPr>
                <w:rFonts w:hint="default"/>
                <w:lang w:eastAsia="zh-CN"/>
              </w:rPr>
            </w:pPr>
          </w:p>
        </w:tc>
        <w:tc>
          <w:tcPr>
            <w:tcW w:w="327" w:type="pct"/>
            <w:vMerge w:val="continue"/>
            <w:noWrap w:val="0"/>
            <w:vAlign w:val="center"/>
          </w:tcPr>
          <w:p w14:paraId="17F0C859">
            <w:pPr>
              <w:pStyle w:val="58"/>
              <w:bidi w:val="0"/>
              <w:rPr>
                <w:rFonts w:hint="default"/>
              </w:rPr>
            </w:pPr>
          </w:p>
        </w:tc>
        <w:tc>
          <w:tcPr>
            <w:tcW w:w="2979" w:type="pct"/>
            <w:noWrap w:val="0"/>
            <w:vAlign w:val="center"/>
          </w:tcPr>
          <w:p w14:paraId="0983809D">
            <w:pPr>
              <w:pStyle w:val="58"/>
              <w:bidi w:val="0"/>
              <w:rPr>
                <w:rFonts w:hint="default"/>
              </w:rPr>
            </w:pPr>
            <w:r>
              <w:rPr>
                <w:rFonts w:hint="default"/>
              </w:rPr>
              <w:t>5、严格危险废物源头管控，优化利用处置结构布局，提高应急保障能力。发展生态循环农业，提升农业废弃物综合利用率。健全完善制度、技术、市场、监管四大政策体系，实现固体废物和危险废物全链条监管。</w:t>
            </w:r>
          </w:p>
        </w:tc>
        <w:tc>
          <w:tcPr>
            <w:tcW w:w="1076" w:type="pct"/>
            <w:noWrap w:val="0"/>
            <w:vAlign w:val="center"/>
          </w:tcPr>
          <w:p w14:paraId="25EF4FEF">
            <w:pPr>
              <w:pStyle w:val="58"/>
              <w:bidi w:val="0"/>
              <w:rPr>
                <w:rFonts w:hint="default"/>
                <w:lang w:val="en-US" w:eastAsia="zh-CN"/>
              </w:rPr>
            </w:pPr>
            <w:r>
              <w:rPr>
                <w:rFonts w:hint="default"/>
                <w:lang w:eastAsia="zh-CN"/>
              </w:rPr>
              <w:t>本项目不涉及</w:t>
            </w:r>
          </w:p>
        </w:tc>
        <w:tc>
          <w:tcPr>
            <w:tcW w:w="268" w:type="pct"/>
            <w:noWrap w:val="0"/>
            <w:vAlign w:val="center"/>
          </w:tcPr>
          <w:p w14:paraId="7FDC23E2">
            <w:pPr>
              <w:pStyle w:val="58"/>
              <w:bidi w:val="0"/>
              <w:rPr>
                <w:rFonts w:hint="default"/>
                <w:lang w:val="en-US" w:eastAsia="zh-CN"/>
              </w:rPr>
            </w:pPr>
            <w:r>
              <w:rPr>
                <w:rFonts w:hint="default"/>
                <w:lang w:val="en-US" w:eastAsia="zh-CN"/>
              </w:rPr>
              <w:t>-</w:t>
            </w:r>
          </w:p>
        </w:tc>
      </w:tr>
      <w:tr w14:paraId="68605DB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33D52351">
            <w:pPr>
              <w:pStyle w:val="58"/>
              <w:bidi w:val="0"/>
              <w:rPr>
                <w:rFonts w:hint="default"/>
                <w:lang w:eastAsia="zh-CN"/>
              </w:rPr>
            </w:pPr>
          </w:p>
        </w:tc>
        <w:tc>
          <w:tcPr>
            <w:tcW w:w="327" w:type="pct"/>
            <w:vMerge w:val="continue"/>
            <w:noWrap w:val="0"/>
            <w:vAlign w:val="center"/>
          </w:tcPr>
          <w:p w14:paraId="7C55699F">
            <w:pPr>
              <w:pStyle w:val="58"/>
              <w:bidi w:val="0"/>
              <w:rPr>
                <w:rFonts w:hint="default"/>
              </w:rPr>
            </w:pPr>
          </w:p>
        </w:tc>
        <w:tc>
          <w:tcPr>
            <w:tcW w:w="2979" w:type="pct"/>
            <w:noWrap w:val="0"/>
            <w:vAlign w:val="center"/>
          </w:tcPr>
          <w:p w14:paraId="21692FA4">
            <w:pPr>
              <w:pStyle w:val="58"/>
              <w:bidi w:val="0"/>
              <w:rPr>
                <w:rFonts w:hint="default"/>
                <w:lang w:val="en-US" w:eastAsia="en-US"/>
              </w:rPr>
            </w:pPr>
            <w:r>
              <w:rPr>
                <w:rFonts w:hint="default"/>
              </w:rPr>
              <w:t>1、每年对集中式饮用水水源保护区开展基础调查与评估，将可能影响水源水质安全的风险源全部列入档案，实行“一源一案”，对每个风险源开展隐患排查、整改，编制风险应急方案，建立联防联控应急机制。</w:t>
            </w:r>
          </w:p>
        </w:tc>
        <w:tc>
          <w:tcPr>
            <w:tcW w:w="1076" w:type="pct"/>
            <w:noWrap w:val="0"/>
            <w:vAlign w:val="center"/>
          </w:tcPr>
          <w:p w14:paraId="564BF0DB">
            <w:pPr>
              <w:pStyle w:val="58"/>
              <w:bidi w:val="0"/>
              <w:rPr>
                <w:rFonts w:hint="default"/>
                <w:lang w:val="en-US" w:eastAsia="zh-CN"/>
              </w:rPr>
            </w:pPr>
            <w:r>
              <w:rPr>
                <w:rFonts w:hint="default"/>
                <w:lang w:eastAsia="zh-CN"/>
              </w:rPr>
              <w:t>本项目不涉及</w:t>
            </w:r>
          </w:p>
        </w:tc>
        <w:tc>
          <w:tcPr>
            <w:tcW w:w="268" w:type="pct"/>
            <w:noWrap w:val="0"/>
            <w:vAlign w:val="center"/>
          </w:tcPr>
          <w:p w14:paraId="4DA704BB">
            <w:pPr>
              <w:pStyle w:val="58"/>
              <w:bidi w:val="0"/>
              <w:rPr>
                <w:rFonts w:hint="default"/>
                <w:lang w:val="en-US" w:eastAsia="zh-CN"/>
              </w:rPr>
            </w:pPr>
            <w:r>
              <w:rPr>
                <w:rFonts w:hint="default"/>
                <w:lang w:val="en-US" w:eastAsia="zh-CN"/>
              </w:rPr>
              <w:t>-</w:t>
            </w:r>
          </w:p>
        </w:tc>
      </w:tr>
      <w:tr w14:paraId="7A901F5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25796DD3">
            <w:pPr>
              <w:pStyle w:val="58"/>
              <w:bidi w:val="0"/>
              <w:rPr>
                <w:rFonts w:hint="default"/>
                <w:lang w:eastAsia="zh-CN"/>
              </w:rPr>
            </w:pPr>
          </w:p>
        </w:tc>
        <w:tc>
          <w:tcPr>
            <w:tcW w:w="327" w:type="pct"/>
            <w:vMerge w:val="continue"/>
            <w:noWrap w:val="0"/>
            <w:vAlign w:val="center"/>
          </w:tcPr>
          <w:p w14:paraId="09D3FF0F">
            <w:pPr>
              <w:pStyle w:val="58"/>
              <w:bidi w:val="0"/>
              <w:rPr>
                <w:rFonts w:hint="default"/>
              </w:rPr>
            </w:pPr>
          </w:p>
        </w:tc>
        <w:tc>
          <w:tcPr>
            <w:tcW w:w="2979" w:type="pct"/>
            <w:noWrap w:val="0"/>
            <w:vAlign w:val="center"/>
          </w:tcPr>
          <w:p w14:paraId="4AB20BAA">
            <w:pPr>
              <w:pStyle w:val="58"/>
              <w:bidi w:val="0"/>
              <w:rPr>
                <w:rFonts w:hint="default"/>
                <w:lang w:val="en-US" w:eastAsia="en-US"/>
              </w:rPr>
            </w:pPr>
            <w:r>
              <w:rPr>
                <w:rFonts w:hint="default"/>
              </w:rPr>
              <w:t>2、尾矿库运营、管理单位应当按照规定加强尾矿库的安全管理，采取措施防止土壤污染。危库、险库、病库以及其他需要重点监管的尾矿库运营、管理单位应当按照规定进行土壤污染状况监测和定期评估。</w:t>
            </w:r>
          </w:p>
        </w:tc>
        <w:tc>
          <w:tcPr>
            <w:tcW w:w="1076" w:type="pct"/>
            <w:noWrap w:val="0"/>
            <w:vAlign w:val="center"/>
          </w:tcPr>
          <w:p w14:paraId="232F419F">
            <w:pPr>
              <w:pStyle w:val="58"/>
              <w:bidi w:val="0"/>
              <w:rPr>
                <w:rFonts w:hint="default"/>
                <w:lang w:val="en-US" w:eastAsia="zh-CN"/>
              </w:rPr>
            </w:pPr>
            <w:r>
              <w:rPr>
                <w:rFonts w:hint="default"/>
                <w:lang w:eastAsia="zh-CN"/>
              </w:rPr>
              <w:t>本项目不涉及</w:t>
            </w:r>
          </w:p>
        </w:tc>
        <w:tc>
          <w:tcPr>
            <w:tcW w:w="268" w:type="pct"/>
            <w:noWrap w:val="0"/>
            <w:vAlign w:val="center"/>
          </w:tcPr>
          <w:p w14:paraId="222B13EB">
            <w:pPr>
              <w:pStyle w:val="58"/>
              <w:bidi w:val="0"/>
              <w:rPr>
                <w:rFonts w:hint="default"/>
                <w:lang w:val="en-US" w:eastAsia="zh-CN"/>
              </w:rPr>
            </w:pPr>
            <w:r>
              <w:rPr>
                <w:rFonts w:hint="default"/>
                <w:lang w:val="en-US" w:eastAsia="zh-CN"/>
              </w:rPr>
              <w:t>-</w:t>
            </w:r>
          </w:p>
        </w:tc>
      </w:tr>
      <w:tr w14:paraId="312DA0D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5AF7DA5F">
            <w:pPr>
              <w:pStyle w:val="58"/>
              <w:bidi w:val="0"/>
              <w:rPr>
                <w:rFonts w:hint="default"/>
                <w:lang w:eastAsia="zh-CN"/>
              </w:rPr>
            </w:pPr>
          </w:p>
        </w:tc>
        <w:tc>
          <w:tcPr>
            <w:tcW w:w="327" w:type="pct"/>
            <w:vMerge w:val="continue"/>
            <w:noWrap w:val="0"/>
            <w:vAlign w:val="center"/>
          </w:tcPr>
          <w:p w14:paraId="761CD547">
            <w:pPr>
              <w:pStyle w:val="58"/>
              <w:bidi w:val="0"/>
              <w:rPr>
                <w:rFonts w:hint="default"/>
              </w:rPr>
            </w:pPr>
          </w:p>
        </w:tc>
        <w:tc>
          <w:tcPr>
            <w:tcW w:w="2979" w:type="pct"/>
            <w:noWrap w:val="0"/>
            <w:vAlign w:val="center"/>
          </w:tcPr>
          <w:p w14:paraId="135940E5">
            <w:pPr>
              <w:pStyle w:val="58"/>
              <w:bidi w:val="0"/>
              <w:rPr>
                <w:rFonts w:hint="default"/>
                <w:lang w:val="en-US" w:eastAsia="en-US"/>
              </w:rPr>
            </w:pPr>
            <w:r>
              <w:rPr>
                <w:rFonts w:hint="default"/>
              </w:rPr>
              <w:t>3、产生、收集、贮存、运输、利用、处置危险废物的单位，应当依法制定意外事故的防范措施和应急预案，并向所在地生态环境主管部门和其他负有固体废物污染环境防治监督管理职责的部门备案。</w:t>
            </w:r>
          </w:p>
        </w:tc>
        <w:tc>
          <w:tcPr>
            <w:tcW w:w="1076" w:type="pct"/>
            <w:noWrap w:val="0"/>
            <w:vAlign w:val="center"/>
          </w:tcPr>
          <w:p w14:paraId="5CB94B56">
            <w:pPr>
              <w:pStyle w:val="58"/>
              <w:bidi w:val="0"/>
              <w:rPr>
                <w:rFonts w:hint="default"/>
                <w:lang w:val="en-US" w:eastAsia="zh-CN"/>
              </w:rPr>
            </w:pPr>
            <w:r>
              <w:rPr>
                <w:rFonts w:hint="default"/>
                <w:lang w:eastAsia="zh-CN"/>
              </w:rPr>
              <w:t>本项目不涉及</w:t>
            </w:r>
          </w:p>
        </w:tc>
        <w:tc>
          <w:tcPr>
            <w:tcW w:w="268" w:type="pct"/>
            <w:noWrap w:val="0"/>
            <w:vAlign w:val="center"/>
          </w:tcPr>
          <w:p w14:paraId="596DFB02">
            <w:pPr>
              <w:pStyle w:val="58"/>
              <w:bidi w:val="0"/>
              <w:rPr>
                <w:rFonts w:hint="default"/>
                <w:lang w:val="en-US" w:eastAsia="zh-CN"/>
              </w:rPr>
            </w:pPr>
            <w:r>
              <w:rPr>
                <w:rFonts w:hint="default"/>
                <w:lang w:val="en-US" w:eastAsia="zh-CN"/>
              </w:rPr>
              <w:t>-</w:t>
            </w:r>
          </w:p>
        </w:tc>
      </w:tr>
      <w:tr w14:paraId="7853C66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3DE18585">
            <w:pPr>
              <w:pStyle w:val="58"/>
              <w:bidi w:val="0"/>
              <w:rPr>
                <w:rFonts w:hint="default"/>
                <w:lang w:eastAsia="zh-CN"/>
              </w:rPr>
            </w:pPr>
          </w:p>
        </w:tc>
        <w:tc>
          <w:tcPr>
            <w:tcW w:w="327" w:type="pct"/>
            <w:vMerge w:val="continue"/>
            <w:noWrap w:val="0"/>
            <w:vAlign w:val="center"/>
          </w:tcPr>
          <w:p w14:paraId="2BA528F9">
            <w:pPr>
              <w:pStyle w:val="58"/>
              <w:bidi w:val="0"/>
              <w:rPr>
                <w:rFonts w:hint="default"/>
              </w:rPr>
            </w:pPr>
          </w:p>
        </w:tc>
        <w:tc>
          <w:tcPr>
            <w:tcW w:w="2979" w:type="pct"/>
            <w:noWrap w:val="0"/>
            <w:vAlign w:val="center"/>
          </w:tcPr>
          <w:p w14:paraId="0E42F135">
            <w:pPr>
              <w:pStyle w:val="58"/>
              <w:bidi w:val="0"/>
              <w:rPr>
                <w:rFonts w:hint="default"/>
                <w:lang w:val="en-US" w:eastAsia="en-US"/>
              </w:rPr>
            </w:pPr>
            <w:r>
              <w:rPr>
                <w:rFonts w:hint="default"/>
              </w:rPr>
              <w:t>4、严格落实耕地风险防范措施。对安全利用类耕地，应结合当地主要作物品种和种植习惯，采取农艺调控、低积累品种替代、轮作间作等措施，降低农产品超标风险；对严格管控类耕地，依法划定特定农产品禁止生产区域，鼓励采取调整种植结构、退耕还林还草、退耕还湿、轮作休耕等风险管控措施。</w:t>
            </w:r>
          </w:p>
        </w:tc>
        <w:tc>
          <w:tcPr>
            <w:tcW w:w="1076" w:type="pct"/>
            <w:noWrap w:val="0"/>
            <w:vAlign w:val="center"/>
          </w:tcPr>
          <w:p w14:paraId="1401653D">
            <w:pPr>
              <w:pStyle w:val="58"/>
              <w:bidi w:val="0"/>
              <w:rPr>
                <w:rFonts w:hint="default"/>
                <w:lang w:val="en-US" w:eastAsia="zh-CN"/>
              </w:rPr>
            </w:pPr>
            <w:r>
              <w:rPr>
                <w:rFonts w:hint="default"/>
                <w:lang w:eastAsia="zh-CN"/>
              </w:rPr>
              <w:t>本项目不涉及</w:t>
            </w:r>
          </w:p>
        </w:tc>
        <w:tc>
          <w:tcPr>
            <w:tcW w:w="268" w:type="pct"/>
            <w:noWrap w:val="0"/>
            <w:vAlign w:val="center"/>
          </w:tcPr>
          <w:p w14:paraId="00F28D26">
            <w:pPr>
              <w:pStyle w:val="58"/>
              <w:bidi w:val="0"/>
              <w:rPr>
                <w:rFonts w:hint="default"/>
                <w:lang w:val="en-US" w:eastAsia="zh-CN"/>
              </w:rPr>
            </w:pPr>
            <w:r>
              <w:rPr>
                <w:rFonts w:hint="default"/>
                <w:lang w:val="en-US" w:eastAsia="zh-CN"/>
              </w:rPr>
              <w:t>-</w:t>
            </w:r>
          </w:p>
        </w:tc>
      </w:tr>
      <w:tr w14:paraId="753974B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5490A170">
            <w:pPr>
              <w:pStyle w:val="58"/>
              <w:bidi w:val="0"/>
              <w:rPr>
                <w:rFonts w:hint="default"/>
                <w:lang w:eastAsia="zh-CN"/>
              </w:rPr>
            </w:pPr>
          </w:p>
        </w:tc>
        <w:tc>
          <w:tcPr>
            <w:tcW w:w="327" w:type="pct"/>
            <w:vMerge w:val="continue"/>
            <w:noWrap w:val="0"/>
            <w:vAlign w:val="center"/>
          </w:tcPr>
          <w:p w14:paraId="62059CC1">
            <w:pPr>
              <w:pStyle w:val="58"/>
              <w:bidi w:val="0"/>
              <w:rPr>
                <w:rFonts w:hint="default"/>
              </w:rPr>
            </w:pPr>
          </w:p>
        </w:tc>
        <w:tc>
          <w:tcPr>
            <w:tcW w:w="2979" w:type="pct"/>
            <w:noWrap w:val="0"/>
            <w:vAlign w:val="center"/>
          </w:tcPr>
          <w:p w14:paraId="729A1074">
            <w:pPr>
              <w:pStyle w:val="58"/>
              <w:bidi w:val="0"/>
              <w:rPr>
                <w:rFonts w:hint="default"/>
              </w:rPr>
            </w:pPr>
            <w:r>
              <w:rPr>
                <w:rFonts w:hint="default"/>
              </w:rPr>
              <w:t>5、强化污染地块土壤环境联动监管。抓好退城搬迁工业企业工矿用地土壤环境监督管理，土壤污染重点监管单位拆除设施、设备或者建筑物、构筑物，要制定土壤污染防治工作方案并按要求备案，防范拆除活动造成土壤和地下水污染，切实保障生态环境安全。</w:t>
            </w:r>
          </w:p>
        </w:tc>
        <w:tc>
          <w:tcPr>
            <w:tcW w:w="1076" w:type="pct"/>
            <w:noWrap w:val="0"/>
            <w:vAlign w:val="center"/>
          </w:tcPr>
          <w:p w14:paraId="352273A9">
            <w:pPr>
              <w:pStyle w:val="58"/>
              <w:bidi w:val="0"/>
              <w:rPr>
                <w:rFonts w:hint="default"/>
                <w:lang w:val="en-US" w:eastAsia="zh-CN"/>
              </w:rPr>
            </w:pPr>
            <w:r>
              <w:rPr>
                <w:rFonts w:hint="default"/>
                <w:lang w:eastAsia="zh-CN"/>
              </w:rPr>
              <w:t>本项目不涉及</w:t>
            </w:r>
          </w:p>
        </w:tc>
        <w:tc>
          <w:tcPr>
            <w:tcW w:w="268" w:type="pct"/>
            <w:noWrap w:val="0"/>
            <w:vAlign w:val="center"/>
          </w:tcPr>
          <w:p w14:paraId="0CB487F7">
            <w:pPr>
              <w:pStyle w:val="58"/>
              <w:bidi w:val="0"/>
              <w:rPr>
                <w:rFonts w:hint="default"/>
                <w:lang w:val="en-US" w:eastAsia="zh-CN"/>
              </w:rPr>
            </w:pPr>
            <w:r>
              <w:rPr>
                <w:rFonts w:hint="default"/>
                <w:lang w:val="en-US" w:eastAsia="zh-CN"/>
              </w:rPr>
              <w:t>-</w:t>
            </w:r>
          </w:p>
        </w:tc>
      </w:tr>
      <w:tr w14:paraId="396FF78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5ADC6BA0">
            <w:pPr>
              <w:pStyle w:val="58"/>
              <w:bidi w:val="0"/>
              <w:rPr>
                <w:rFonts w:hint="default"/>
                <w:lang w:eastAsia="zh-CN"/>
              </w:rPr>
            </w:pPr>
          </w:p>
        </w:tc>
        <w:tc>
          <w:tcPr>
            <w:tcW w:w="327" w:type="pct"/>
            <w:vMerge w:val="continue"/>
            <w:noWrap w:val="0"/>
            <w:vAlign w:val="center"/>
          </w:tcPr>
          <w:p w14:paraId="34057E55">
            <w:pPr>
              <w:pStyle w:val="58"/>
              <w:bidi w:val="0"/>
              <w:rPr>
                <w:rFonts w:hint="default"/>
              </w:rPr>
            </w:pPr>
          </w:p>
        </w:tc>
        <w:tc>
          <w:tcPr>
            <w:tcW w:w="2979" w:type="pct"/>
            <w:noWrap w:val="0"/>
            <w:vAlign w:val="center"/>
          </w:tcPr>
          <w:p w14:paraId="5D02EAD0">
            <w:pPr>
              <w:pStyle w:val="58"/>
              <w:bidi w:val="0"/>
              <w:rPr>
                <w:rFonts w:hint="default"/>
              </w:rPr>
            </w:pPr>
            <w:r>
              <w:rPr>
                <w:rFonts w:hint="default"/>
              </w:rPr>
              <w:t>6、严格建设用地准入管理。加强对土地征收、收回、收购的监督管理，对应当开展土壤污染状况调查而未进行调查的地块，以及列入疑似污染地块名单、污染地块名录、建设用地土壤污染风险管控和修复名录且未达到规划用途土壤环境质量要求的地块，不得进入供地程序进行再开发利用，未达到土壤污染风险管控、修复目标的地块，禁止开工建设任何与风险管控、修复无关的项目，不得批准环境影响评价技术文件、建设工程规划许可证等事项。涉及成片污染地块分期分批开发或周边土地开发的，要科学设定开发时序，防止受污染土壤及其后续风险管控和修复措施对周边人群产生影响。</w:t>
            </w:r>
          </w:p>
        </w:tc>
        <w:tc>
          <w:tcPr>
            <w:tcW w:w="1076" w:type="pct"/>
            <w:noWrap w:val="0"/>
            <w:vAlign w:val="center"/>
          </w:tcPr>
          <w:p w14:paraId="4B829C02">
            <w:pPr>
              <w:pStyle w:val="58"/>
              <w:bidi w:val="0"/>
              <w:rPr>
                <w:rFonts w:hint="default"/>
                <w:lang w:val="en-US" w:eastAsia="zh-CN"/>
              </w:rPr>
            </w:pPr>
            <w:r>
              <w:rPr>
                <w:rFonts w:hint="default"/>
                <w:lang w:val="en-US" w:eastAsia="zh-CN"/>
              </w:rPr>
              <w:t>本项目位于现有厂区内，项目不新增占地，项目占地为公用工程用地，符合用地要求</w:t>
            </w:r>
          </w:p>
        </w:tc>
        <w:tc>
          <w:tcPr>
            <w:tcW w:w="268" w:type="pct"/>
            <w:noWrap w:val="0"/>
            <w:vAlign w:val="center"/>
          </w:tcPr>
          <w:p w14:paraId="464F9F2B">
            <w:pPr>
              <w:pStyle w:val="58"/>
              <w:bidi w:val="0"/>
              <w:rPr>
                <w:rFonts w:hint="default"/>
                <w:lang w:val="en-US" w:eastAsia="zh-CN"/>
              </w:rPr>
            </w:pPr>
            <w:r>
              <w:rPr>
                <w:rFonts w:hint="default"/>
                <w:lang w:val="en-US" w:eastAsia="zh-CN"/>
              </w:rPr>
              <w:t>符合</w:t>
            </w:r>
          </w:p>
        </w:tc>
      </w:tr>
      <w:tr w14:paraId="64C8ADF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37FCFAF0">
            <w:pPr>
              <w:pStyle w:val="58"/>
              <w:bidi w:val="0"/>
              <w:rPr>
                <w:rFonts w:hint="default"/>
                <w:lang w:eastAsia="zh-CN"/>
              </w:rPr>
            </w:pPr>
          </w:p>
        </w:tc>
        <w:tc>
          <w:tcPr>
            <w:tcW w:w="327" w:type="pct"/>
            <w:vMerge w:val="continue"/>
            <w:noWrap w:val="0"/>
            <w:vAlign w:val="center"/>
          </w:tcPr>
          <w:p w14:paraId="3EB3FB56">
            <w:pPr>
              <w:pStyle w:val="58"/>
              <w:bidi w:val="0"/>
              <w:rPr>
                <w:rFonts w:hint="default"/>
              </w:rPr>
            </w:pPr>
          </w:p>
        </w:tc>
        <w:tc>
          <w:tcPr>
            <w:tcW w:w="2979" w:type="pct"/>
            <w:noWrap w:val="0"/>
            <w:vAlign w:val="center"/>
          </w:tcPr>
          <w:p w14:paraId="0C8AA9D4">
            <w:pPr>
              <w:pStyle w:val="58"/>
              <w:bidi w:val="0"/>
              <w:rPr>
                <w:rFonts w:hint="default"/>
              </w:rPr>
            </w:pPr>
            <w:r>
              <w:rPr>
                <w:rFonts w:hint="default"/>
              </w:rPr>
              <w:t>7、加强污染地块风险管控及修复。对暂不开发利用的污染地块，实施以防止污染扩散为目的的风险管控，设立标识、发布公告，并组织开展土壤、地表水、地下水、空气环境监测。对需要实施治理与修复的污染地块，应结合土地利用总体规划和城乡规划编制修复方案并组织实施。加强治理与修复施工的环境监理，并严防治理与修复过程中产生废水、废气和固体废物二次污染。</w:t>
            </w:r>
          </w:p>
        </w:tc>
        <w:tc>
          <w:tcPr>
            <w:tcW w:w="1076" w:type="pct"/>
            <w:noWrap w:val="0"/>
            <w:vAlign w:val="center"/>
          </w:tcPr>
          <w:p w14:paraId="0B9673C1">
            <w:pPr>
              <w:pStyle w:val="58"/>
              <w:bidi w:val="0"/>
              <w:rPr>
                <w:rFonts w:hint="default"/>
                <w:lang w:val="en-US" w:eastAsia="zh-CN"/>
              </w:rPr>
            </w:pPr>
            <w:r>
              <w:rPr>
                <w:rFonts w:hint="default"/>
                <w:lang w:eastAsia="zh-CN"/>
              </w:rPr>
              <w:t>本项目不涉及</w:t>
            </w:r>
          </w:p>
        </w:tc>
        <w:tc>
          <w:tcPr>
            <w:tcW w:w="268" w:type="pct"/>
            <w:noWrap w:val="0"/>
            <w:vAlign w:val="center"/>
          </w:tcPr>
          <w:p w14:paraId="102EE9FF">
            <w:pPr>
              <w:pStyle w:val="58"/>
              <w:bidi w:val="0"/>
              <w:rPr>
                <w:rFonts w:hint="default"/>
                <w:lang w:val="en-US" w:eastAsia="zh-CN"/>
              </w:rPr>
            </w:pPr>
            <w:r>
              <w:rPr>
                <w:rFonts w:hint="default"/>
                <w:lang w:val="en-US" w:eastAsia="zh-CN"/>
              </w:rPr>
              <w:t>-</w:t>
            </w:r>
          </w:p>
        </w:tc>
      </w:tr>
      <w:tr w14:paraId="38E40DB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2A5E7524">
            <w:pPr>
              <w:pStyle w:val="58"/>
              <w:bidi w:val="0"/>
              <w:rPr>
                <w:rFonts w:hint="default"/>
                <w:lang w:eastAsia="zh-CN"/>
              </w:rPr>
            </w:pPr>
          </w:p>
        </w:tc>
        <w:tc>
          <w:tcPr>
            <w:tcW w:w="327" w:type="pct"/>
            <w:vMerge w:val="continue"/>
            <w:noWrap w:val="0"/>
            <w:vAlign w:val="center"/>
          </w:tcPr>
          <w:p w14:paraId="3712D176">
            <w:pPr>
              <w:pStyle w:val="58"/>
              <w:bidi w:val="0"/>
              <w:rPr>
                <w:rFonts w:hint="default"/>
              </w:rPr>
            </w:pPr>
          </w:p>
        </w:tc>
        <w:tc>
          <w:tcPr>
            <w:tcW w:w="2979" w:type="pct"/>
            <w:noWrap w:val="0"/>
            <w:vAlign w:val="center"/>
          </w:tcPr>
          <w:p w14:paraId="615C8F45">
            <w:pPr>
              <w:pStyle w:val="58"/>
              <w:bidi w:val="0"/>
              <w:rPr>
                <w:rFonts w:hint="default"/>
                <w:lang w:val="en-US" w:eastAsia="en-US"/>
              </w:rPr>
            </w:pPr>
            <w:r>
              <w:rPr>
                <w:rFonts w:hint="default"/>
              </w:rPr>
              <w:t>8、县级以上地方人民政府应当根据地下水水源条件和需要，建设应急备用饮用水水源，制定应急预案，确保需要时正常使用。应急备用地下水水源结束应急使用后，应当立即停止取水。</w:t>
            </w:r>
          </w:p>
        </w:tc>
        <w:tc>
          <w:tcPr>
            <w:tcW w:w="1076" w:type="pct"/>
            <w:noWrap w:val="0"/>
            <w:vAlign w:val="center"/>
          </w:tcPr>
          <w:p w14:paraId="42F19A1D">
            <w:pPr>
              <w:pStyle w:val="58"/>
              <w:bidi w:val="0"/>
              <w:rPr>
                <w:rFonts w:hint="default"/>
                <w:lang w:val="en-US" w:eastAsia="zh-CN"/>
              </w:rPr>
            </w:pPr>
            <w:r>
              <w:rPr>
                <w:rFonts w:hint="default"/>
                <w:lang w:eastAsia="zh-CN"/>
              </w:rPr>
              <w:t>本项目不涉及</w:t>
            </w:r>
          </w:p>
        </w:tc>
        <w:tc>
          <w:tcPr>
            <w:tcW w:w="268" w:type="pct"/>
            <w:noWrap w:val="0"/>
            <w:vAlign w:val="center"/>
          </w:tcPr>
          <w:p w14:paraId="5400C45A">
            <w:pPr>
              <w:pStyle w:val="58"/>
              <w:bidi w:val="0"/>
              <w:rPr>
                <w:rFonts w:hint="default"/>
                <w:lang w:val="en-US" w:eastAsia="zh-CN"/>
              </w:rPr>
            </w:pPr>
            <w:r>
              <w:rPr>
                <w:rFonts w:hint="default"/>
                <w:lang w:val="en-US" w:eastAsia="zh-CN"/>
              </w:rPr>
              <w:t>-</w:t>
            </w:r>
          </w:p>
        </w:tc>
      </w:tr>
      <w:tr w14:paraId="0CF7635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255C6169">
            <w:pPr>
              <w:pStyle w:val="58"/>
              <w:bidi w:val="0"/>
              <w:rPr>
                <w:rFonts w:hint="default"/>
                <w:lang w:eastAsia="zh-CN"/>
              </w:rPr>
            </w:pPr>
          </w:p>
        </w:tc>
        <w:tc>
          <w:tcPr>
            <w:tcW w:w="327" w:type="pct"/>
            <w:vMerge w:val="continue"/>
            <w:noWrap w:val="0"/>
            <w:vAlign w:val="center"/>
          </w:tcPr>
          <w:p w14:paraId="4BFEFD19">
            <w:pPr>
              <w:pStyle w:val="58"/>
              <w:bidi w:val="0"/>
              <w:rPr>
                <w:rFonts w:hint="default"/>
              </w:rPr>
            </w:pPr>
          </w:p>
        </w:tc>
        <w:tc>
          <w:tcPr>
            <w:tcW w:w="2979" w:type="pct"/>
            <w:noWrap w:val="0"/>
            <w:vAlign w:val="center"/>
          </w:tcPr>
          <w:p w14:paraId="2FF71454">
            <w:pPr>
              <w:pStyle w:val="58"/>
              <w:bidi w:val="0"/>
              <w:rPr>
                <w:rFonts w:hint="default"/>
                <w:lang w:val="en-US" w:eastAsia="en-US"/>
              </w:rPr>
            </w:pPr>
            <w:r>
              <w:rPr>
                <w:rFonts w:hint="default"/>
              </w:rPr>
              <w:t>9、针对存在地下水污染的化工园区、危险废物处置场和生活垃圾填埋场等，实施地下水污染风险管控，因地制宜选择阻隔、制度控制、渗透反应格栅等技术，阻止污染扩散，加强风险管控后期地下水环境监管。</w:t>
            </w:r>
          </w:p>
        </w:tc>
        <w:tc>
          <w:tcPr>
            <w:tcW w:w="1076" w:type="pct"/>
            <w:noWrap w:val="0"/>
            <w:vAlign w:val="center"/>
          </w:tcPr>
          <w:p w14:paraId="3B2E0E10">
            <w:pPr>
              <w:pStyle w:val="58"/>
              <w:bidi w:val="0"/>
              <w:rPr>
                <w:rFonts w:hint="default"/>
                <w:lang w:val="en-US" w:eastAsia="zh-CN"/>
              </w:rPr>
            </w:pPr>
            <w:r>
              <w:rPr>
                <w:rFonts w:hint="default"/>
                <w:lang w:eastAsia="zh-CN"/>
              </w:rPr>
              <w:t>本项目不涉及</w:t>
            </w:r>
          </w:p>
        </w:tc>
        <w:tc>
          <w:tcPr>
            <w:tcW w:w="268" w:type="pct"/>
            <w:noWrap w:val="0"/>
            <w:vAlign w:val="center"/>
          </w:tcPr>
          <w:p w14:paraId="4EC24129">
            <w:pPr>
              <w:pStyle w:val="58"/>
              <w:bidi w:val="0"/>
              <w:rPr>
                <w:rFonts w:hint="default"/>
                <w:lang w:val="en-US" w:eastAsia="zh-CN"/>
              </w:rPr>
            </w:pPr>
            <w:r>
              <w:rPr>
                <w:rFonts w:hint="default"/>
                <w:lang w:val="en-US" w:eastAsia="zh-CN"/>
              </w:rPr>
              <w:t>-</w:t>
            </w:r>
          </w:p>
        </w:tc>
      </w:tr>
      <w:tr w14:paraId="123D269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 w:hRule="atLeast"/>
          <w:jc w:val="center"/>
        </w:trPr>
        <w:tc>
          <w:tcPr>
            <w:tcW w:w="348" w:type="pct"/>
            <w:vMerge w:val="continue"/>
            <w:noWrap w:val="0"/>
            <w:vAlign w:val="center"/>
          </w:tcPr>
          <w:p w14:paraId="4B4CC410">
            <w:pPr>
              <w:pStyle w:val="58"/>
              <w:bidi w:val="0"/>
              <w:rPr>
                <w:rFonts w:hint="default"/>
                <w:lang w:eastAsia="zh-CN"/>
              </w:rPr>
            </w:pPr>
          </w:p>
        </w:tc>
        <w:tc>
          <w:tcPr>
            <w:tcW w:w="327" w:type="pct"/>
            <w:vMerge w:val="continue"/>
            <w:noWrap w:val="0"/>
            <w:vAlign w:val="center"/>
          </w:tcPr>
          <w:p w14:paraId="1D0E81E7">
            <w:pPr>
              <w:pStyle w:val="58"/>
              <w:bidi w:val="0"/>
              <w:rPr>
                <w:rFonts w:hint="default"/>
              </w:rPr>
            </w:pPr>
          </w:p>
        </w:tc>
        <w:tc>
          <w:tcPr>
            <w:tcW w:w="2979" w:type="pct"/>
            <w:noWrap w:val="0"/>
            <w:vAlign w:val="center"/>
          </w:tcPr>
          <w:p w14:paraId="6F1596E0">
            <w:pPr>
              <w:pStyle w:val="58"/>
              <w:bidi w:val="0"/>
              <w:rPr>
                <w:rFonts w:hint="default"/>
                <w:lang w:val="en-US" w:eastAsia="en-US"/>
              </w:rPr>
            </w:pPr>
            <w:r>
              <w:rPr>
                <w:rFonts w:hint="default"/>
              </w:rPr>
              <w:t>10、地下水污染风险重点管控区执行《唐山市地下水污染防治重点区划定方案（试行）》中管控类区域管理要求。</w:t>
            </w:r>
          </w:p>
        </w:tc>
        <w:tc>
          <w:tcPr>
            <w:tcW w:w="1076" w:type="pct"/>
            <w:noWrap w:val="0"/>
            <w:vAlign w:val="center"/>
          </w:tcPr>
          <w:p w14:paraId="0589671C">
            <w:pPr>
              <w:pStyle w:val="58"/>
              <w:bidi w:val="0"/>
              <w:rPr>
                <w:rFonts w:hint="default"/>
                <w:lang w:val="en-US" w:eastAsia="zh-CN"/>
              </w:rPr>
            </w:pPr>
            <w:r>
              <w:rPr>
                <w:rFonts w:hint="default"/>
                <w:lang w:eastAsia="zh-CN"/>
              </w:rPr>
              <w:t>本项目不涉及</w:t>
            </w:r>
          </w:p>
        </w:tc>
        <w:tc>
          <w:tcPr>
            <w:tcW w:w="268" w:type="pct"/>
            <w:noWrap w:val="0"/>
            <w:vAlign w:val="center"/>
          </w:tcPr>
          <w:p w14:paraId="525612BC">
            <w:pPr>
              <w:pStyle w:val="58"/>
              <w:bidi w:val="0"/>
              <w:rPr>
                <w:rFonts w:hint="default"/>
                <w:lang w:val="en-US" w:eastAsia="zh-CN"/>
              </w:rPr>
            </w:pPr>
            <w:r>
              <w:rPr>
                <w:rFonts w:hint="default"/>
                <w:lang w:val="en-US" w:eastAsia="zh-CN"/>
              </w:rPr>
              <w:t>-</w:t>
            </w:r>
          </w:p>
        </w:tc>
      </w:tr>
    </w:tbl>
    <w:p w14:paraId="19B36A09">
      <w:pPr>
        <w:pageBreakBefore w:val="0"/>
        <w:widowControl w:val="0"/>
        <w:numPr>
          <w:ilvl w:val="0"/>
          <w:numId w:val="16"/>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bCs/>
          <w:color w:val="000000" w:themeColor="text1"/>
          <w:spacing w:val="0"/>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pacing w:val="0"/>
          <w:sz w:val="24"/>
          <w:szCs w:val="24"/>
          <w:highlight w:val="none"/>
          <w:lang w:val="en-US" w:eastAsia="zh-CN"/>
          <w14:textFill>
            <w14:solidFill>
              <w14:schemeClr w14:val="tx1"/>
            </w14:solidFill>
          </w14:textFill>
        </w:rPr>
        <w:t>与“曹妃甸区管控单元管控要求”符合性分析判定表</w:t>
      </w:r>
    </w:p>
    <w:tbl>
      <w:tblPr>
        <w:tblStyle w:val="47"/>
        <w:tblW w:w="4995"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790"/>
        <w:gridCol w:w="611"/>
        <w:gridCol w:w="779"/>
        <w:gridCol w:w="664"/>
        <w:gridCol w:w="1110"/>
        <w:gridCol w:w="670"/>
        <w:gridCol w:w="5750"/>
        <w:gridCol w:w="3146"/>
        <w:gridCol w:w="686"/>
      </w:tblGrid>
      <w:tr w14:paraId="0279769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78" w:type="pct"/>
            <w:noWrap w:val="0"/>
            <w:vAlign w:val="center"/>
          </w:tcPr>
          <w:p w14:paraId="4E8A0643">
            <w:pPr>
              <w:pStyle w:val="58"/>
              <w:bidi w:val="0"/>
              <w:rPr>
                <w:rFonts w:hint="default"/>
                <w:lang w:eastAsia="zh-CN"/>
              </w:rPr>
            </w:pPr>
            <w:r>
              <w:rPr>
                <w:rFonts w:hint="default"/>
                <w:lang w:eastAsia="zh-CN"/>
              </w:rPr>
              <w:t>编号</w:t>
            </w:r>
          </w:p>
        </w:tc>
        <w:tc>
          <w:tcPr>
            <w:tcW w:w="214" w:type="pct"/>
            <w:noWrap w:val="0"/>
            <w:vAlign w:val="center"/>
          </w:tcPr>
          <w:p w14:paraId="25F369DE">
            <w:pPr>
              <w:pStyle w:val="58"/>
              <w:bidi w:val="0"/>
              <w:rPr>
                <w:rFonts w:hint="default"/>
                <w:lang w:eastAsia="zh-CN"/>
              </w:rPr>
            </w:pPr>
            <w:r>
              <w:rPr>
                <w:rFonts w:hint="default"/>
                <w:lang w:eastAsia="zh-CN"/>
              </w:rPr>
              <w:t>区县</w:t>
            </w:r>
          </w:p>
        </w:tc>
        <w:tc>
          <w:tcPr>
            <w:tcW w:w="274" w:type="pct"/>
            <w:noWrap w:val="0"/>
            <w:vAlign w:val="center"/>
          </w:tcPr>
          <w:p w14:paraId="0BDE3C22">
            <w:pPr>
              <w:pStyle w:val="58"/>
              <w:bidi w:val="0"/>
              <w:rPr>
                <w:rFonts w:hint="default"/>
                <w:lang w:eastAsia="zh-CN"/>
              </w:rPr>
            </w:pPr>
            <w:r>
              <w:rPr>
                <w:rFonts w:hint="default"/>
                <w:lang w:val="en-US" w:eastAsia="zh-CN"/>
              </w:rPr>
              <w:t>乡</w:t>
            </w:r>
            <w:r>
              <w:rPr>
                <w:rFonts w:hint="default"/>
                <w:lang w:eastAsia="zh-CN"/>
              </w:rPr>
              <w:t>镇</w:t>
            </w:r>
          </w:p>
        </w:tc>
        <w:tc>
          <w:tcPr>
            <w:tcW w:w="233" w:type="pct"/>
            <w:noWrap w:val="0"/>
            <w:vAlign w:val="center"/>
          </w:tcPr>
          <w:p w14:paraId="724A7A6F">
            <w:pPr>
              <w:pStyle w:val="58"/>
              <w:bidi w:val="0"/>
              <w:rPr>
                <w:rFonts w:hint="default"/>
                <w:lang w:eastAsia="zh-CN"/>
              </w:rPr>
            </w:pPr>
            <w:r>
              <w:rPr>
                <w:rFonts w:hint="default"/>
                <w:lang w:eastAsia="zh-CN"/>
              </w:rPr>
              <w:t>单元类别</w:t>
            </w:r>
          </w:p>
        </w:tc>
        <w:tc>
          <w:tcPr>
            <w:tcW w:w="390" w:type="pct"/>
            <w:noWrap w:val="0"/>
            <w:vAlign w:val="center"/>
          </w:tcPr>
          <w:p w14:paraId="0DCBBE43">
            <w:pPr>
              <w:pStyle w:val="58"/>
              <w:bidi w:val="0"/>
              <w:rPr>
                <w:rFonts w:hint="default"/>
                <w:lang w:eastAsia="zh-CN"/>
              </w:rPr>
            </w:pPr>
            <w:r>
              <w:rPr>
                <w:rFonts w:hint="default"/>
                <w:lang w:eastAsia="zh-CN"/>
              </w:rPr>
              <w:t>环境要素类别</w:t>
            </w:r>
          </w:p>
        </w:tc>
        <w:tc>
          <w:tcPr>
            <w:tcW w:w="235" w:type="pct"/>
            <w:noWrap w:val="0"/>
            <w:vAlign w:val="center"/>
          </w:tcPr>
          <w:p w14:paraId="72329BE0">
            <w:pPr>
              <w:pStyle w:val="58"/>
              <w:bidi w:val="0"/>
              <w:rPr>
                <w:rFonts w:hint="default"/>
              </w:rPr>
            </w:pPr>
            <w:r>
              <w:rPr>
                <w:rFonts w:hint="default"/>
              </w:rPr>
              <w:t>维度</w:t>
            </w:r>
          </w:p>
        </w:tc>
        <w:tc>
          <w:tcPr>
            <w:tcW w:w="2023" w:type="pct"/>
            <w:noWrap w:val="0"/>
            <w:vAlign w:val="center"/>
          </w:tcPr>
          <w:p w14:paraId="081620CB">
            <w:pPr>
              <w:pStyle w:val="58"/>
              <w:bidi w:val="0"/>
              <w:rPr>
                <w:rFonts w:hint="default"/>
              </w:rPr>
            </w:pPr>
            <w:r>
              <w:rPr>
                <w:rFonts w:hint="default"/>
              </w:rPr>
              <w:t>管控措施</w:t>
            </w:r>
          </w:p>
        </w:tc>
        <w:tc>
          <w:tcPr>
            <w:tcW w:w="1107" w:type="pct"/>
            <w:noWrap w:val="0"/>
            <w:vAlign w:val="center"/>
          </w:tcPr>
          <w:p w14:paraId="0EB89DB5">
            <w:pPr>
              <w:pStyle w:val="58"/>
              <w:bidi w:val="0"/>
              <w:rPr>
                <w:rFonts w:hint="default"/>
              </w:rPr>
            </w:pPr>
            <w:r>
              <w:rPr>
                <w:rFonts w:hint="default"/>
              </w:rPr>
              <w:t>本项目实际</w:t>
            </w:r>
          </w:p>
        </w:tc>
        <w:tc>
          <w:tcPr>
            <w:tcW w:w="241" w:type="pct"/>
            <w:noWrap w:val="0"/>
            <w:vAlign w:val="center"/>
          </w:tcPr>
          <w:p w14:paraId="21C8F3B9">
            <w:pPr>
              <w:pStyle w:val="58"/>
              <w:bidi w:val="0"/>
              <w:rPr>
                <w:rFonts w:hint="default"/>
              </w:rPr>
            </w:pPr>
            <w:r>
              <w:rPr>
                <w:rFonts w:hint="default"/>
              </w:rPr>
              <w:t>符合性</w:t>
            </w:r>
          </w:p>
        </w:tc>
      </w:tr>
      <w:tr w14:paraId="6B02D2F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78" w:type="pct"/>
            <w:vMerge w:val="restart"/>
            <w:noWrap w:val="0"/>
            <w:vAlign w:val="center"/>
          </w:tcPr>
          <w:p w14:paraId="44F9B956">
            <w:pPr>
              <w:pStyle w:val="58"/>
              <w:bidi w:val="0"/>
              <w:rPr>
                <w:rFonts w:hint="default"/>
                <w:lang w:val="en-US" w:eastAsia="zh-CN"/>
              </w:rPr>
            </w:pPr>
            <w:r>
              <w:rPr>
                <w:rFonts w:hint="default"/>
                <w:lang w:val="en-US" w:eastAsia="en-US"/>
              </w:rPr>
              <w:t>ZH13</w:t>
            </w:r>
            <w:r>
              <w:rPr>
                <w:rFonts w:hint="default"/>
              </w:rPr>
              <w:t>02</w:t>
            </w:r>
            <w:r>
              <w:rPr>
                <w:rFonts w:hint="default"/>
                <w:lang w:val="en-US" w:eastAsia="zh-CN"/>
              </w:rPr>
              <w:t>09</w:t>
            </w:r>
            <w:r>
              <w:rPr>
                <w:rFonts w:hint="default"/>
              </w:rPr>
              <w:t>20001</w:t>
            </w:r>
          </w:p>
        </w:tc>
        <w:tc>
          <w:tcPr>
            <w:tcW w:w="214" w:type="pct"/>
            <w:vMerge w:val="restart"/>
            <w:noWrap w:val="0"/>
            <w:vAlign w:val="center"/>
          </w:tcPr>
          <w:p w14:paraId="7F7BB98F">
            <w:pPr>
              <w:pStyle w:val="58"/>
              <w:bidi w:val="0"/>
              <w:rPr>
                <w:rFonts w:hint="default"/>
                <w:lang w:val="en-US" w:eastAsia="zh-CN"/>
              </w:rPr>
            </w:pPr>
            <w:r>
              <w:rPr>
                <w:rFonts w:hint="default"/>
                <w:lang w:val="en-US" w:eastAsia="zh-CN"/>
              </w:rPr>
              <w:t>曹妃甸区</w:t>
            </w:r>
          </w:p>
        </w:tc>
        <w:tc>
          <w:tcPr>
            <w:tcW w:w="274" w:type="pct"/>
            <w:vMerge w:val="restart"/>
            <w:noWrap w:val="0"/>
            <w:vAlign w:val="center"/>
          </w:tcPr>
          <w:p w14:paraId="475EDB12">
            <w:pPr>
              <w:pStyle w:val="58"/>
              <w:bidi w:val="0"/>
              <w:rPr>
                <w:rFonts w:hint="default"/>
                <w:lang w:eastAsia="zh-CN"/>
              </w:rPr>
            </w:pPr>
            <w:r>
              <w:rPr>
                <w:rFonts w:hint="default"/>
                <w:lang w:val="en-US" w:eastAsia="zh-CN"/>
              </w:rPr>
              <w:t>希望路街道、唐海镇、滨海镇、孙塘庄镇</w:t>
            </w:r>
          </w:p>
        </w:tc>
        <w:tc>
          <w:tcPr>
            <w:tcW w:w="233" w:type="pct"/>
            <w:vMerge w:val="restart"/>
            <w:noWrap w:val="0"/>
            <w:vAlign w:val="center"/>
          </w:tcPr>
          <w:p w14:paraId="0F199E06">
            <w:pPr>
              <w:pStyle w:val="58"/>
              <w:bidi w:val="0"/>
              <w:rPr>
                <w:rFonts w:hint="default"/>
                <w:lang w:eastAsia="zh-CN"/>
              </w:rPr>
            </w:pPr>
            <w:r>
              <w:rPr>
                <w:rFonts w:hint="default"/>
                <w:lang w:eastAsia="zh-CN"/>
              </w:rPr>
              <w:t>重点管控单元</w:t>
            </w:r>
          </w:p>
        </w:tc>
        <w:tc>
          <w:tcPr>
            <w:tcW w:w="390" w:type="pct"/>
            <w:vMerge w:val="restart"/>
            <w:noWrap w:val="0"/>
            <w:vAlign w:val="center"/>
          </w:tcPr>
          <w:p w14:paraId="6EE2A44E">
            <w:pPr>
              <w:pStyle w:val="58"/>
              <w:bidi w:val="0"/>
              <w:rPr>
                <w:rFonts w:hint="default"/>
                <w:lang w:val="en-US" w:eastAsia="zh-CN"/>
              </w:rPr>
            </w:pPr>
            <w:r>
              <w:rPr>
                <w:rFonts w:hint="eastAsia"/>
                <w:lang w:val="en-US" w:eastAsia="zh-CN"/>
              </w:rPr>
              <w:t>1、</w:t>
            </w:r>
            <w:r>
              <w:rPr>
                <w:rFonts w:hint="default"/>
                <w:lang w:val="en-US" w:eastAsia="zh-CN"/>
              </w:rPr>
              <w:t>河北唐山南堡经济开发区</w:t>
            </w:r>
          </w:p>
          <w:p w14:paraId="71620BEE">
            <w:pPr>
              <w:pStyle w:val="58"/>
              <w:bidi w:val="0"/>
              <w:rPr>
                <w:rFonts w:hint="default"/>
                <w:lang w:val="en-US" w:eastAsia="zh-CN"/>
              </w:rPr>
            </w:pPr>
            <w:r>
              <w:rPr>
                <w:rFonts w:hint="eastAsia"/>
                <w:lang w:val="en-US" w:eastAsia="zh-CN"/>
              </w:rPr>
              <w:t>2、</w:t>
            </w:r>
            <w:r>
              <w:rPr>
                <w:rFonts w:hint="default"/>
                <w:lang w:val="en-US" w:eastAsia="zh-CN"/>
              </w:rPr>
              <w:t>曹妃甸区垦丰家居产业园3、大气环境高排放重点管控区</w:t>
            </w:r>
          </w:p>
          <w:p w14:paraId="12503FF3">
            <w:pPr>
              <w:pStyle w:val="58"/>
              <w:bidi w:val="0"/>
              <w:rPr>
                <w:rFonts w:hint="default"/>
                <w:lang w:eastAsia="zh-CN"/>
              </w:rPr>
            </w:pPr>
            <w:r>
              <w:rPr>
                <w:rFonts w:hint="eastAsia"/>
                <w:lang w:val="en-US" w:eastAsia="zh-CN"/>
              </w:rPr>
              <w:t>4、</w:t>
            </w:r>
            <w:r>
              <w:rPr>
                <w:rFonts w:hint="default"/>
                <w:lang w:val="en-US" w:eastAsia="zh-CN"/>
              </w:rPr>
              <w:t>水环境工业污染重点管控区</w:t>
            </w:r>
          </w:p>
          <w:p w14:paraId="087C6568">
            <w:pPr>
              <w:pStyle w:val="58"/>
              <w:bidi w:val="0"/>
              <w:rPr>
                <w:rFonts w:hint="default"/>
                <w:lang w:val="en-US" w:eastAsia="zh-CN"/>
              </w:rPr>
            </w:pPr>
            <w:r>
              <w:rPr>
                <w:rFonts w:hint="eastAsia"/>
                <w:lang w:val="en-US" w:eastAsia="zh-CN"/>
              </w:rPr>
              <w:t>5、</w:t>
            </w:r>
            <w:r>
              <w:rPr>
                <w:rFonts w:hint="default"/>
                <w:lang w:val="en-US" w:eastAsia="zh-CN"/>
              </w:rPr>
              <w:t>土壤建设用地污染风险重点管控区</w:t>
            </w:r>
          </w:p>
          <w:p w14:paraId="6E78612B">
            <w:pPr>
              <w:pStyle w:val="58"/>
              <w:bidi w:val="0"/>
              <w:rPr>
                <w:rFonts w:hint="default"/>
                <w:lang w:val="en-US" w:eastAsia="zh-CN"/>
              </w:rPr>
            </w:pPr>
            <w:r>
              <w:rPr>
                <w:rFonts w:hint="eastAsia"/>
                <w:lang w:val="en-US" w:eastAsia="zh-CN"/>
              </w:rPr>
              <w:t>6、</w:t>
            </w:r>
            <w:r>
              <w:rPr>
                <w:rFonts w:hint="default"/>
                <w:lang w:val="en-US" w:eastAsia="zh-CN"/>
              </w:rPr>
              <w:t>禁燃区</w:t>
            </w:r>
          </w:p>
          <w:p w14:paraId="2B343613">
            <w:pPr>
              <w:pStyle w:val="58"/>
              <w:bidi w:val="0"/>
              <w:rPr>
                <w:rFonts w:hint="default"/>
                <w:lang w:val="en-US" w:eastAsia="zh-CN"/>
              </w:rPr>
            </w:pPr>
            <w:r>
              <w:rPr>
                <w:rFonts w:hint="default"/>
                <w:lang w:val="en-US" w:eastAsia="zh-CN"/>
              </w:rPr>
              <w:t>7、地下水开采重点管控区</w:t>
            </w:r>
          </w:p>
          <w:p w14:paraId="26CD4BED">
            <w:pPr>
              <w:pStyle w:val="58"/>
              <w:bidi w:val="0"/>
              <w:rPr>
                <w:rFonts w:hint="default"/>
                <w:lang w:eastAsia="zh-CN"/>
              </w:rPr>
            </w:pPr>
            <w:r>
              <w:rPr>
                <w:rFonts w:hint="default"/>
                <w:lang w:val="en-US" w:eastAsia="zh-CN"/>
              </w:rPr>
              <w:t>8、土地资源重点管控区</w:t>
            </w:r>
          </w:p>
        </w:tc>
        <w:tc>
          <w:tcPr>
            <w:tcW w:w="235" w:type="pct"/>
            <w:noWrap w:val="0"/>
            <w:vAlign w:val="center"/>
          </w:tcPr>
          <w:p w14:paraId="3F9F2B91">
            <w:pPr>
              <w:pStyle w:val="58"/>
              <w:bidi w:val="0"/>
              <w:rPr>
                <w:rFonts w:hint="default"/>
                <w:lang w:val="zh-TW" w:eastAsia="zh-TW"/>
              </w:rPr>
            </w:pPr>
            <w:r>
              <w:rPr>
                <w:rFonts w:hint="default"/>
              </w:rPr>
              <w:t>空间布局约束</w:t>
            </w:r>
          </w:p>
        </w:tc>
        <w:tc>
          <w:tcPr>
            <w:tcW w:w="2023" w:type="pct"/>
            <w:noWrap w:val="0"/>
            <w:vAlign w:val="center"/>
          </w:tcPr>
          <w:p w14:paraId="05FD7EFA">
            <w:pPr>
              <w:pStyle w:val="58"/>
              <w:numPr>
                <w:ilvl w:val="0"/>
                <w:numId w:val="19"/>
              </w:numPr>
              <w:bidi w:val="0"/>
              <w:rPr>
                <w:rFonts w:hint="default"/>
                <w:lang w:val="en-US" w:eastAsia="zh-CN"/>
              </w:rPr>
            </w:pPr>
            <w:r>
              <w:rPr>
                <w:rFonts w:hint="default"/>
                <w:lang w:val="en-US" w:eastAsia="zh-CN"/>
              </w:rPr>
              <w:t>科学合理调整用地布局和产业结构。南堡经济开发区东区临曹妃甸湿地，最近距离保护区核心区480m，距缓冲区、实验区70m。东区东边界与保护区西边界之间禁止建设工业交通道路。</w:t>
            </w:r>
          </w:p>
          <w:p w14:paraId="777996CD">
            <w:pPr>
              <w:pStyle w:val="58"/>
              <w:numPr>
                <w:ilvl w:val="0"/>
                <w:numId w:val="19"/>
              </w:numPr>
              <w:bidi w:val="0"/>
              <w:rPr>
                <w:rFonts w:hint="default"/>
                <w:lang w:val="en-US" w:eastAsia="zh-CN"/>
              </w:rPr>
            </w:pPr>
            <w:r>
              <w:rPr>
                <w:rFonts w:hint="default"/>
                <w:lang w:val="en-US" w:eastAsia="zh-CN"/>
              </w:rPr>
              <w:t>禁止新建、改建、扩建会对下游辽东湾渤海湾莱州湾国家级水产种质资源保护区海域产生污染的排污口。</w:t>
            </w:r>
          </w:p>
          <w:p w14:paraId="2AC506ED">
            <w:pPr>
              <w:pStyle w:val="58"/>
              <w:bidi w:val="0"/>
              <w:rPr>
                <w:rFonts w:hint="default"/>
                <w:lang w:val="zh-TW" w:eastAsia="zh-TW"/>
              </w:rPr>
            </w:pPr>
            <w:r>
              <w:rPr>
                <w:rFonts w:hint="default"/>
                <w:lang w:val="en-US" w:eastAsia="zh-CN"/>
              </w:rPr>
              <w:t>3、开发区规划范围内基本农田执行全市总体准入要求中一般生态空间的基本农田管控要求。</w:t>
            </w:r>
          </w:p>
        </w:tc>
        <w:tc>
          <w:tcPr>
            <w:tcW w:w="1107" w:type="pct"/>
            <w:noWrap w:val="0"/>
            <w:vAlign w:val="center"/>
          </w:tcPr>
          <w:p w14:paraId="56A0B6D8">
            <w:pPr>
              <w:pStyle w:val="58"/>
              <w:bidi w:val="0"/>
              <w:rPr>
                <w:rFonts w:hint="default"/>
                <w:lang w:val="en-US" w:eastAsia="zh-CN"/>
              </w:rPr>
            </w:pPr>
            <w:r>
              <w:rPr>
                <w:rFonts w:hint="default"/>
                <w:lang w:eastAsia="zh-CN"/>
              </w:rPr>
              <w:t>本项目</w:t>
            </w:r>
            <w:r>
              <w:rPr>
                <w:rFonts w:hint="default"/>
                <w:lang w:val="en-US" w:eastAsia="zh-CN"/>
              </w:rPr>
              <w:t>位于唐山市曹妃甸区垦丰家居产业园区</w:t>
            </w:r>
            <w:r>
              <w:rPr>
                <w:rFonts w:hint="default"/>
                <w:lang w:eastAsia="zh-CN"/>
              </w:rPr>
              <w:t>内。</w:t>
            </w:r>
            <w:r>
              <w:rPr>
                <w:rFonts w:hint="default"/>
                <w:lang w:val="en-US" w:eastAsia="zh-CN"/>
              </w:rPr>
              <w:t>不设置排污口。</w:t>
            </w:r>
          </w:p>
        </w:tc>
        <w:tc>
          <w:tcPr>
            <w:tcW w:w="241" w:type="pct"/>
            <w:noWrap w:val="0"/>
            <w:vAlign w:val="center"/>
          </w:tcPr>
          <w:p w14:paraId="7C04A91A">
            <w:pPr>
              <w:pStyle w:val="58"/>
              <w:bidi w:val="0"/>
              <w:rPr>
                <w:rFonts w:hint="default"/>
              </w:rPr>
            </w:pPr>
            <w:r>
              <w:rPr>
                <w:rFonts w:hint="default"/>
              </w:rPr>
              <w:t>符合</w:t>
            </w:r>
          </w:p>
        </w:tc>
      </w:tr>
      <w:tr w14:paraId="63F8D9B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78" w:type="pct"/>
            <w:vMerge w:val="continue"/>
            <w:noWrap w:val="0"/>
            <w:vAlign w:val="center"/>
          </w:tcPr>
          <w:p w14:paraId="3734C3BC">
            <w:pPr>
              <w:pStyle w:val="58"/>
              <w:bidi w:val="0"/>
              <w:rPr>
                <w:rFonts w:hint="default"/>
              </w:rPr>
            </w:pPr>
          </w:p>
        </w:tc>
        <w:tc>
          <w:tcPr>
            <w:tcW w:w="214" w:type="pct"/>
            <w:vMerge w:val="continue"/>
            <w:noWrap w:val="0"/>
            <w:vAlign w:val="center"/>
          </w:tcPr>
          <w:p w14:paraId="102E8EB4">
            <w:pPr>
              <w:pStyle w:val="58"/>
              <w:bidi w:val="0"/>
              <w:rPr>
                <w:rFonts w:hint="default"/>
              </w:rPr>
            </w:pPr>
          </w:p>
        </w:tc>
        <w:tc>
          <w:tcPr>
            <w:tcW w:w="274" w:type="pct"/>
            <w:vMerge w:val="continue"/>
            <w:noWrap w:val="0"/>
            <w:vAlign w:val="center"/>
          </w:tcPr>
          <w:p w14:paraId="7CAFDD6F">
            <w:pPr>
              <w:pStyle w:val="58"/>
              <w:bidi w:val="0"/>
              <w:rPr>
                <w:rFonts w:hint="default"/>
              </w:rPr>
            </w:pPr>
          </w:p>
        </w:tc>
        <w:tc>
          <w:tcPr>
            <w:tcW w:w="233" w:type="pct"/>
            <w:vMerge w:val="continue"/>
            <w:noWrap w:val="0"/>
            <w:vAlign w:val="center"/>
          </w:tcPr>
          <w:p w14:paraId="641C04F2">
            <w:pPr>
              <w:pStyle w:val="58"/>
              <w:bidi w:val="0"/>
              <w:rPr>
                <w:rFonts w:hint="default"/>
              </w:rPr>
            </w:pPr>
          </w:p>
        </w:tc>
        <w:tc>
          <w:tcPr>
            <w:tcW w:w="390" w:type="pct"/>
            <w:vMerge w:val="continue"/>
            <w:noWrap w:val="0"/>
            <w:vAlign w:val="center"/>
          </w:tcPr>
          <w:p w14:paraId="0F90BD12">
            <w:pPr>
              <w:pStyle w:val="58"/>
              <w:bidi w:val="0"/>
              <w:rPr>
                <w:rFonts w:hint="default"/>
              </w:rPr>
            </w:pPr>
          </w:p>
        </w:tc>
        <w:tc>
          <w:tcPr>
            <w:tcW w:w="235" w:type="pct"/>
            <w:noWrap w:val="0"/>
            <w:vAlign w:val="center"/>
          </w:tcPr>
          <w:p w14:paraId="74967AD9">
            <w:pPr>
              <w:pStyle w:val="58"/>
              <w:bidi w:val="0"/>
              <w:rPr>
                <w:rFonts w:hint="default"/>
                <w:lang w:val="zh-TW" w:eastAsia="zh-TW"/>
              </w:rPr>
            </w:pPr>
            <w:r>
              <w:rPr>
                <w:rFonts w:hint="default"/>
              </w:rPr>
              <w:t>污染物排放管控</w:t>
            </w:r>
          </w:p>
        </w:tc>
        <w:tc>
          <w:tcPr>
            <w:tcW w:w="2023" w:type="pct"/>
            <w:noWrap w:val="0"/>
            <w:vAlign w:val="center"/>
          </w:tcPr>
          <w:p w14:paraId="57591686">
            <w:pPr>
              <w:pStyle w:val="58"/>
              <w:bidi w:val="0"/>
              <w:rPr>
                <w:rFonts w:hint="default"/>
                <w:lang w:val="en-US" w:eastAsia="zh-CN"/>
              </w:rPr>
            </w:pPr>
            <w:r>
              <w:rPr>
                <w:rFonts w:hint="eastAsia"/>
                <w:lang w:val="en-US" w:eastAsia="zh-CN"/>
              </w:rPr>
              <w:t>1、</w:t>
            </w:r>
            <w:r>
              <w:rPr>
                <w:rFonts w:hint="default"/>
                <w:lang w:val="en-US" w:eastAsia="zh-CN"/>
              </w:rPr>
              <w:t>严禁开发区初期雨水直接排放，初期雨水需通过集水系统收集后经过处理后达标排放。严禁开发区化学品、风险事故排水直接进入水体。</w:t>
            </w:r>
          </w:p>
          <w:p w14:paraId="0424D05E">
            <w:pPr>
              <w:pStyle w:val="58"/>
              <w:bidi w:val="0"/>
              <w:rPr>
                <w:rFonts w:hint="default"/>
                <w:lang w:val="zh-TW" w:eastAsia="zh-CN"/>
              </w:rPr>
            </w:pPr>
            <w:r>
              <w:rPr>
                <w:rFonts w:hint="default"/>
                <w:lang w:val="en-US" w:eastAsia="zh-CN"/>
              </w:rPr>
              <w:t>2、深化企业超低排放标准治理，加快“五大行业”全流程达标治理。钢铁、焦化、电力、水泥、平板玻璃等五大行业在点源达到超低排放的基础上强化无组织排放管理，完成全流程整治。</w:t>
            </w:r>
          </w:p>
        </w:tc>
        <w:tc>
          <w:tcPr>
            <w:tcW w:w="1107" w:type="pct"/>
            <w:noWrap w:val="0"/>
            <w:vAlign w:val="center"/>
          </w:tcPr>
          <w:p w14:paraId="71690519">
            <w:pPr>
              <w:pStyle w:val="58"/>
              <w:bidi w:val="0"/>
              <w:rPr>
                <w:rFonts w:hint="default"/>
                <w:lang w:eastAsia="zh-CN"/>
              </w:rPr>
            </w:pPr>
            <w:r>
              <w:rPr>
                <w:rFonts w:hint="default"/>
                <w:lang w:val="en-US" w:eastAsia="zh-CN"/>
              </w:rPr>
              <w:t>本项目为污水处理及其再生利用项目，不属于</w:t>
            </w:r>
            <w:r>
              <w:rPr>
                <w:rFonts w:hint="default"/>
              </w:rPr>
              <w:t>钢铁、焦化、电力、水泥、平板玻璃等五大行业</w:t>
            </w:r>
            <w:r>
              <w:rPr>
                <w:rFonts w:hint="default"/>
                <w:lang w:eastAsia="zh-CN"/>
              </w:rPr>
              <w:t>。</w:t>
            </w:r>
          </w:p>
        </w:tc>
        <w:tc>
          <w:tcPr>
            <w:tcW w:w="241" w:type="pct"/>
            <w:noWrap w:val="0"/>
            <w:vAlign w:val="center"/>
          </w:tcPr>
          <w:p w14:paraId="318BAFD9">
            <w:pPr>
              <w:pStyle w:val="58"/>
              <w:bidi w:val="0"/>
              <w:rPr>
                <w:rFonts w:hint="default"/>
              </w:rPr>
            </w:pPr>
            <w:r>
              <w:rPr>
                <w:rFonts w:hint="default"/>
              </w:rPr>
              <w:t>符合</w:t>
            </w:r>
          </w:p>
        </w:tc>
      </w:tr>
      <w:tr w14:paraId="0A81C72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78" w:type="pct"/>
            <w:vMerge w:val="continue"/>
            <w:noWrap w:val="0"/>
            <w:vAlign w:val="center"/>
          </w:tcPr>
          <w:p w14:paraId="248B1C02">
            <w:pPr>
              <w:pStyle w:val="58"/>
              <w:bidi w:val="0"/>
              <w:rPr>
                <w:rFonts w:hint="default"/>
              </w:rPr>
            </w:pPr>
          </w:p>
        </w:tc>
        <w:tc>
          <w:tcPr>
            <w:tcW w:w="214" w:type="pct"/>
            <w:vMerge w:val="continue"/>
            <w:noWrap w:val="0"/>
            <w:vAlign w:val="center"/>
          </w:tcPr>
          <w:p w14:paraId="7A98C0D7">
            <w:pPr>
              <w:pStyle w:val="58"/>
              <w:bidi w:val="0"/>
              <w:rPr>
                <w:rFonts w:hint="default"/>
              </w:rPr>
            </w:pPr>
          </w:p>
        </w:tc>
        <w:tc>
          <w:tcPr>
            <w:tcW w:w="274" w:type="pct"/>
            <w:vMerge w:val="continue"/>
            <w:noWrap w:val="0"/>
            <w:vAlign w:val="center"/>
          </w:tcPr>
          <w:p w14:paraId="739E07B6">
            <w:pPr>
              <w:pStyle w:val="58"/>
              <w:bidi w:val="0"/>
              <w:rPr>
                <w:rFonts w:hint="default"/>
              </w:rPr>
            </w:pPr>
          </w:p>
        </w:tc>
        <w:tc>
          <w:tcPr>
            <w:tcW w:w="233" w:type="pct"/>
            <w:vMerge w:val="continue"/>
            <w:noWrap w:val="0"/>
            <w:vAlign w:val="center"/>
          </w:tcPr>
          <w:p w14:paraId="675E908C">
            <w:pPr>
              <w:pStyle w:val="58"/>
              <w:bidi w:val="0"/>
              <w:rPr>
                <w:rFonts w:hint="default"/>
              </w:rPr>
            </w:pPr>
          </w:p>
        </w:tc>
        <w:tc>
          <w:tcPr>
            <w:tcW w:w="390" w:type="pct"/>
            <w:vMerge w:val="continue"/>
            <w:noWrap w:val="0"/>
            <w:vAlign w:val="center"/>
          </w:tcPr>
          <w:p w14:paraId="6F4FCB30">
            <w:pPr>
              <w:pStyle w:val="58"/>
              <w:bidi w:val="0"/>
              <w:rPr>
                <w:rFonts w:hint="default"/>
              </w:rPr>
            </w:pPr>
          </w:p>
        </w:tc>
        <w:tc>
          <w:tcPr>
            <w:tcW w:w="235" w:type="pct"/>
            <w:noWrap w:val="0"/>
            <w:vAlign w:val="center"/>
          </w:tcPr>
          <w:p w14:paraId="0361734F">
            <w:pPr>
              <w:pStyle w:val="58"/>
              <w:bidi w:val="0"/>
              <w:rPr>
                <w:rFonts w:hint="default"/>
                <w:lang w:val="zh-TW" w:eastAsia="zh-TW"/>
              </w:rPr>
            </w:pPr>
            <w:r>
              <w:rPr>
                <w:rFonts w:hint="default"/>
              </w:rPr>
              <w:t>环境风险防控</w:t>
            </w:r>
          </w:p>
        </w:tc>
        <w:tc>
          <w:tcPr>
            <w:tcW w:w="2023" w:type="pct"/>
            <w:noWrap w:val="0"/>
            <w:vAlign w:val="center"/>
          </w:tcPr>
          <w:p w14:paraId="78DF6352">
            <w:pPr>
              <w:pStyle w:val="58"/>
              <w:bidi w:val="0"/>
              <w:rPr>
                <w:rFonts w:hint="default"/>
                <w:lang w:val="en-US" w:eastAsia="zh-CN"/>
              </w:rPr>
            </w:pPr>
            <w:r>
              <w:rPr>
                <w:rFonts w:hint="eastAsia"/>
                <w:lang w:val="en-US" w:eastAsia="zh-CN"/>
              </w:rPr>
              <w:t>1、</w:t>
            </w:r>
            <w:r>
              <w:rPr>
                <w:rFonts w:hint="default"/>
                <w:lang w:val="en-US" w:eastAsia="zh-CN"/>
              </w:rPr>
              <w:t>开发区及入区企业应当依法制定并及时修订《突发环境事件应急预案》，成立应急组织机构，定期开展应急演练，提高区域环境风险防范能力。</w:t>
            </w:r>
          </w:p>
          <w:p w14:paraId="0515BC8C">
            <w:pPr>
              <w:pStyle w:val="58"/>
              <w:bidi w:val="0"/>
              <w:rPr>
                <w:rFonts w:hint="default"/>
                <w:lang w:val="en-US" w:eastAsia="zh-CN"/>
              </w:rPr>
            </w:pPr>
            <w:r>
              <w:rPr>
                <w:rFonts w:hint="eastAsia"/>
                <w:lang w:val="en-US" w:eastAsia="zh-CN"/>
              </w:rPr>
              <w:t>2、</w:t>
            </w:r>
            <w:r>
              <w:rPr>
                <w:rFonts w:hint="default"/>
                <w:lang w:val="en-US" w:eastAsia="zh-CN"/>
              </w:rPr>
              <w:t>危险废物集中处置行业企业需严格执行其环评文件要求的卫生防护距离；贮存危险废物需满足《中华人民共和国固体废物污染环境防治法》及《唐山市强化危险废物监管和利用处置能力改革行动方案》（唐政办字〔2021〕70号）规定。</w:t>
            </w:r>
          </w:p>
          <w:p w14:paraId="6149FF97">
            <w:pPr>
              <w:pStyle w:val="58"/>
              <w:bidi w:val="0"/>
              <w:rPr>
                <w:rFonts w:hint="default"/>
                <w:lang w:val="en-US" w:eastAsia="zh-CN"/>
              </w:rPr>
            </w:pPr>
            <w:r>
              <w:rPr>
                <w:rFonts w:hint="eastAsia"/>
                <w:lang w:val="en-US" w:eastAsia="zh-CN"/>
              </w:rPr>
              <w:t>3、</w:t>
            </w:r>
            <w:r>
              <w:rPr>
                <w:rFonts w:hint="default"/>
                <w:lang w:val="en-US" w:eastAsia="zh-CN"/>
              </w:rPr>
              <w:t>产生、收集、贮存、运输、利用、处置危险废物的单位，应当依法制定意外事故的防范措施和应急预案，并向所在地生态环境主管部门和其他负有固体废物污染环境防治监督管理职责的部门备案。</w:t>
            </w:r>
          </w:p>
          <w:p w14:paraId="26A9046B">
            <w:pPr>
              <w:pStyle w:val="58"/>
              <w:bidi w:val="0"/>
              <w:rPr>
                <w:rFonts w:hint="default"/>
                <w:lang w:val="zh-TW" w:eastAsia="zh-TW"/>
              </w:rPr>
            </w:pPr>
            <w:r>
              <w:rPr>
                <w:rFonts w:hint="default"/>
                <w:lang w:val="en-US" w:eastAsia="zh-CN"/>
              </w:rPr>
              <w:t>4、土壤污染重点监管单位应严格控制有毒有害物质排放，并按年度向所在地</w:t>
            </w:r>
            <w:r>
              <w:rPr>
                <w:rFonts w:hint="default"/>
                <w:lang w:val="zh-TW" w:eastAsia="zh-TW"/>
              </w:rPr>
              <w:t>生态环境主管部门报告排放情况;建立土壤污染隐患排查制度,及时开展隐患排查,发现土壤污染隐患并采取措施消除或者降低污染隐患，保证持续有效防止有毒有害物质渗漏、流失、扬散;制定、实施自行监测方案，按照相关技术规范要求开展</w:t>
            </w:r>
            <w:r>
              <w:rPr>
                <w:rFonts w:hint="default"/>
                <w:lang w:val="zh-TW" w:eastAsia="zh-CN"/>
              </w:rPr>
              <w:t>土壤</w:t>
            </w:r>
            <w:r>
              <w:rPr>
                <w:rFonts w:hint="default"/>
                <w:lang w:val="zh-TW" w:eastAsia="zh-TW"/>
              </w:rPr>
              <w:t>、地下水环境监测，并将监测数据报所在地生态环境主管部门。</w:t>
            </w:r>
          </w:p>
        </w:tc>
        <w:tc>
          <w:tcPr>
            <w:tcW w:w="1107" w:type="pct"/>
            <w:noWrap w:val="0"/>
            <w:vAlign w:val="center"/>
          </w:tcPr>
          <w:p w14:paraId="67A1B79A">
            <w:pPr>
              <w:pStyle w:val="58"/>
              <w:bidi w:val="0"/>
              <w:rPr>
                <w:rFonts w:hint="default"/>
                <w:lang w:eastAsia="zh-CN"/>
              </w:rPr>
            </w:pPr>
            <w:r>
              <w:rPr>
                <w:rFonts w:hint="default"/>
                <w:lang w:val="en-US" w:eastAsia="zh-CN"/>
              </w:rPr>
              <w:t>本项目位于唐山市曹妃甸区垦丰家居产业园区，项目建成后，积极配合园区开展应急演练和评估工作，并制定突发环境事件应急预案并备案，与唐山市曹妃甸区垦丰家居产业园区等应急预案做好衔接。</w:t>
            </w:r>
          </w:p>
        </w:tc>
        <w:tc>
          <w:tcPr>
            <w:tcW w:w="241" w:type="pct"/>
            <w:noWrap w:val="0"/>
            <w:vAlign w:val="center"/>
          </w:tcPr>
          <w:p w14:paraId="0ABDC84B">
            <w:pPr>
              <w:pStyle w:val="58"/>
              <w:bidi w:val="0"/>
              <w:rPr>
                <w:rFonts w:hint="default"/>
              </w:rPr>
            </w:pPr>
            <w:r>
              <w:rPr>
                <w:rFonts w:hint="default"/>
              </w:rPr>
              <w:t>符合</w:t>
            </w:r>
          </w:p>
        </w:tc>
      </w:tr>
      <w:tr w14:paraId="6733D0F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3" w:hRule="atLeast"/>
          <w:jc w:val="center"/>
        </w:trPr>
        <w:tc>
          <w:tcPr>
            <w:tcW w:w="278" w:type="pct"/>
            <w:vMerge w:val="continue"/>
            <w:noWrap w:val="0"/>
            <w:vAlign w:val="center"/>
          </w:tcPr>
          <w:p w14:paraId="0B7F800E">
            <w:pPr>
              <w:pStyle w:val="58"/>
              <w:bidi w:val="0"/>
              <w:rPr>
                <w:rFonts w:hint="default"/>
                <w:lang w:val="en-US" w:eastAsia="zh-CN"/>
              </w:rPr>
            </w:pPr>
          </w:p>
        </w:tc>
        <w:tc>
          <w:tcPr>
            <w:tcW w:w="214" w:type="pct"/>
            <w:vMerge w:val="continue"/>
            <w:noWrap w:val="0"/>
            <w:vAlign w:val="center"/>
          </w:tcPr>
          <w:p w14:paraId="68BC4AB4">
            <w:pPr>
              <w:pStyle w:val="58"/>
              <w:bidi w:val="0"/>
              <w:rPr>
                <w:rFonts w:hint="default"/>
                <w:lang w:val="zh-TW" w:eastAsia="zh-TW"/>
              </w:rPr>
            </w:pPr>
          </w:p>
        </w:tc>
        <w:tc>
          <w:tcPr>
            <w:tcW w:w="274" w:type="pct"/>
            <w:vMerge w:val="continue"/>
            <w:noWrap w:val="0"/>
            <w:vAlign w:val="center"/>
          </w:tcPr>
          <w:p w14:paraId="4D6E4D63">
            <w:pPr>
              <w:pStyle w:val="58"/>
              <w:bidi w:val="0"/>
              <w:rPr>
                <w:rFonts w:hint="default"/>
                <w:lang w:val="zh-TW" w:eastAsia="zh-TW"/>
              </w:rPr>
            </w:pPr>
          </w:p>
        </w:tc>
        <w:tc>
          <w:tcPr>
            <w:tcW w:w="233" w:type="pct"/>
            <w:vMerge w:val="continue"/>
            <w:noWrap w:val="0"/>
            <w:vAlign w:val="center"/>
          </w:tcPr>
          <w:p w14:paraId="3F6D6D7F">
            <w:pPr>
              <w:pStyle w:val="58"/>
              <w:bidi w:val="0"/>
              <w:rPr>
                <w:rFonts w:hint="default"/>
                <w:lang w:val="zh-TW" w:eastAsia="zh-TW"/>
              </w:rPr>
            </w:pPr>
          </w:p>
        </w:tc>
        <w:tc>
          <w:tcPr>
            <w:tcW w:w="390" w:type="pct"/>
            <w:vMerge w:val="continue"/>
            <w:noWrap w:val="0"/>
            <w:vAlign w:val="center"/>
          </w:tcPr>
          <w:p w14:paraId="67C0F494">
            <w:pPr>
              <w:pStyle w:val="58"/>
              <w:bidi w:val="0"/>
              <w:rPr>
                <w:rFonts w:hint="default"/>
                <w:lang w:val="zh-TW" w:eastAsia="zh-TW"/>
              </w:rPr>
            </w:pPr>
          </w:p>
        </w:tc>
        <w:tc>
          <w:tcPr>
            <w:tcW w:w="235" w:type="pct"/>
            <w:noWrap w:val="0"/>
            <w:vAlign w:val="center"/>
          </w:tcPr>
          <w:p w14:paraId="3C694ED8">
            <w:pPr>
              <w:pStyle w:val="58"/>
              <w:bidi w:val="0"/>
              <w:rPr>
                <w:rFonts w:hint="default"/>
                <w:lang w:val="zh-TW" w:eastAsia="zh-TW"/>
              </w:rPr>
            </w:pPr>
            <w:r>
              <w:rPr>
                <w:rFonts w:hint="default"/>
                <w:lang w:val="zh-TW" w:eastAsia="zh-TW"/>
              </w:rPr>
              <w:t>资源利用效率要求</w:t>
            </w:r>
          </w:p>
        </w:tc>
        <w:tc>
          <w:tcPr>
            <w:tcW w:w="2023" w:type="pct"/>
            <w:noWrap w:val="0"/>
            <w:vAlign w:val="center"/>
          </w:tcPr>
          <w:p w14:paraId="77EC7ABF">
            <w:pPr>
              <w:pStyle w:val="58"/>
              <w:bidi w:val="0"/>
              <w:jc w:val="both"/>
              <w:rPr>
                <w:rFonts w:hint="default"/>
                <w:highlight w:val="none"/>
                <w:lang w:val="en-US" w:eastAsia="zh-CN"/>
              </w:rPr>
            </w:pPr>
            <w:r>
              <w:rPr>
                <w:rFonts w:hint="eastAsia"/>
                <w:highlight w:val="none"/>
                <w:lang w:val="en-US" w:eastAsia="zh-CN"/>
              </w:rPr>
              <w:t>1、</w:t>
            </w:r>
            <w:r>
              <w:rPr>
                <w:rFonts w:hint="default"/>
                <w:highlight w:val="none"/>
                <w:lang w:val="en-US" w:eastAsia="zh-CN"/>
              </w:rPr>
              <w:t>禁燃区执行全市资源利用总体管控要求中禁燃区管控要求。</w:t>
            </w:r>
          </w:p>
          <w:p w14:paraId="4C4592C0">
            <w:pPr>
              <w:pStyle w:val="58"/>
              <w:bidi w:val="0"/>
              <w:rPr>
                <w:rFonts w:hint="default"/>
                <w:highlight w:val="none"/>
                <w:lang w:val="en-US" w:eastAsia="zh-CN"/>
              </w:rPr>
            </w:pPr>
            <w:r>
              <w:rPr>
                <w:rFonts w:hint="eastAsia"/>
                <w:highlight w:val="none"/>
                <w:lang w:val="en-US" w:eastAsia="zh-CN"/>
              </w:rPr>
              <w:t>2、</w:t>
            </w:r>
            <w:r>
              <w:rPr>
                <w:rFonts w:hint="default"/>
                <w:highlight w:val="none"/>
                <w:lang w:val="en-US" w:eastAsia="zh-CN"/>
              </w:rPr>
              <w:t>严控煤炭消费量，对钢铁、焦化、煤炭、电力等重点用煤行业加强煤耗管控，采取去产能、减少煤电机组出力和电煤消耗、推进可再生清洁能源代煤改造等综合性削煤措施，充分利用天然气等各种清洁能源，促进天然气产业上中下游协调发展。</w:t>
            </w:r>
          </w:p>
          <w:p w14:paraId="2966641D">
            <w:pPr>
              <w:pStyle w:val="58"/>
              <w:bidi w:val="0"/>
              <w:rPr>
                <w:rFonts w:hint="default"/>
                <w:highlight w:val="none"/>
                <w:lang w:val="en-US" w:eastAsia="zh-CN"/>
              </w:rPr>
            </w:pPr>
            <w:r>
              <w:rPr>
                <w:rFonts w:hint="eastAsia"/>
                <w:highlight w:val="none"/>
                <w:lang w:val="en-US" w:eastAsia="zh-CN"/>
              </w:rPr>
              <w:t>3、</w:t>
            </w:r>
            <w:r>
              <w:rPr>
                <w:rFonts w:hint="default"/>
                <w:highlight w:val="none"/>
                <w:lang w:val="en-US" w:eastAsia="zh-CN"/>
              </w:rPr>
              <w:t>希望路街道、唐海镇、滨海镇、孙塘庄镇位于深层地下水限采区，执行全市资源利用总体管控要求中地下水限采区管控要求。</w:t>
            </w:r>
          </w:p>
          <w:p w14:paraId="69494D5D">
            <w:pPr>
              <w:pStyle w:val="58"/>
              <w:bidi w:val="0"/>
              <w:rPr>
                <w:rFonts w:hint="default"/>
                <w:highlight w:val="none"/>
                <w:lang w:val="en-US" w:eastAsia="zh-CN"/>
              </w:rPr>
            </w:pPr>
            <w:r>
              <w:rPr>
                <w:rFonts w:hint="eastAsia"/>
                <w:highlight w:val="none"/>
                <w:lang w:val="en-US" w:eastAsia="zh-CN"/>
              </w:rPr>
              <w:t>4、</w:t>
            </w:r>
            <w:r>
              <w:rPr>
                <w:rFonts w:hint="default"/>
                <w:highlight w:val="none"/>
                <w:lang w:val="en-US" w:eastAsia="zh-CN"/>
              </w:rPr>
              <w:t>提高水资源重复利用率，加强再生水的回用。污水经深度处理后满足相关再生水回用的标准，回用于工业用水、绿地浇洒、道路喷洒等。</w:t>
            </w:r>
          </w:p>
          <w:p w14:paraId="499AAEA7">
            <w:pPr>
              <w:pStyle w:val="58"/>
              <w:bidi w:val="0"/>
              <w:rPr>
                <w:rFonts w:hint="default"/>
                <w:highlight w:val="none"/>
                <w:lang w:val="zh-TW" w:eastAsia="zh-CN"/>
              </w:rPr>
            </w:pPr>
            <w:r>
              <w:rPr>
                <w:rFonts w:hint="eastAsia"/>
                <w:highlight w:val="none"/>
                <w:lang w:val="en-US" w:eastAsia="zh-CN"/>
              </w:rPr>
              <w:t>5、</w:t>
            </w:r>
            <w:r>
              <w:rPr>
                <w:rFonts w:hint="default"/>
                <w:highlight w:val="none"/>
                <w:lang w:val="en-US" w:eastAsia="zh-CN"/>
              </w:rPr>
              <w:t>城镇开发边界外区域，暂不开发建设，待土地性质调整后方可开发利用。</w:t>
            </w:r>
          </w:p>
        </w:tc>
        <w:tc>
          <w:tcPr>
            <w:tcW w:w="1107" w:type="pct"/>
            <w:noWrap w:val="0"/>
            <w:vAlign w:val="center"/>
          </w:tcPr>
          <w:p w14:paraId="749AEB35">
            <w:pPr>
              <w:pStyle w:val="58"/>
              <w:bidi w:val="0"/>
              <w:jc w:val="both"/>
              <w:rPr>
                <w:rFonts w:hint="default"/>
                <w:highlight w:val="none"/>
                <w:lang w:eastAsia="zh-CN"/>
              </w:rPr>
            </w:pPr>
            <w:r>
              <w:rPr>
                <w:rFonts w:hint="default"/>
                <w:highlight w:val="none"/>
                <w:lang w:val="en-US" w:eastAsia="zh-CN"/>
              </w:rPr>
              <w:t>废水处理后满足《城镇污水处理厂污染物排放标准》（GB18918-2002）一级A标准</w:t>
            </w:r>
            <w:r>
              <w:rPr>
                <w:rFonts w:hint="eastAsia"/>
                <w:highlight w:val="none"/>
                <w:lang w:val="en-US" w:eastAsia="zh-CN"/>
              </w:rPr>
              <w:t>,</w:t>
            </w:r>
            <w:r>
              <w:rPr>
                <w:rFonts w:hint="default"/>
                <w:highlight w:val="none"/>
                <w:lang w:val="en-US" w:eastAsia="zh-CN"/>
              </w:rPr>
              <w:t>同时满足《城市污水再生利用  工业用水水质》（GB/T19923-2024）、《城市污水再生利用 城市杂用水水质》（GB/T18920-2020）</w:t>
            </w:r>
            <w:r>
              <w:rPr>
                <w:rFonts w:hint="eastAsia"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城市污水再生利用 绿地灌溉水质</w:t>
            </w: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GB/T</w:t>
            </w:r>
            <w:r>
              <w:rPr>
                <w:rFonts w:hint="eastAsia" w:ascii="Times New Roman" w:hAnsi="Times New Roman" w:eastAsia="宋体" w:cs="Times New Roman"/>
                <w:color w:val="auto"/>
                <w:sz w:val="21"/>
                <w:szCs w:val="21"/>
                <w:highlight w:val="none"/>
                <w:lang w:val="en-US" w:eastAsia="zh-CN"/>
              </w:rPr>
              <w:t>25499</w:t>
            </w:r>
            <w:r>
              <w:rPr>
                <w:rFonts w:hint="default"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2010）</w:t>
            </w:r>
            <w:r>
              <w:rPr>
                <w:rFonts w:hint="default"/>
                <w:highlight w:val="none"/>
                <w:lang w:val="en-US" w:eastAsia="zh-CN"/>
              </w:rPr>
              <w:t>标准限值。回用于厂区生产用水或回用于园区绿化、道路喷洒及园区企业生产用水，</w:t>
            </w:r>
            <w:r>
              <w:rPr>
                <w:rFonts w:hint="default"/>
                <w:highlight w:val="none"/>
                <w:lang w:eastAsia="zh-CN"/>
              </w:rPr>
              <w:t>项目</w:t>
            </w:r>
            <w:r>
              <w:rPr>
                <w:rFonts w:hint="eastAsia"/>
                <w:highlight w:val="none"/>
                <w:lang w:val="en-US" w:eastAsia="zh-CN"/>
              </w:rPr>
              <w:t>加药间、实验室等办公区域</w:t>
            </w:r>
            <w:r>
              <w:rPr>
                <w:rFonts w:hint="default"/>
                <w:highlight w:val="none"/>
                <w:lang w:val="en-US" w:eastAsia="zh-CN"/>
              </w:rPr>
              <w:t>冬季供热采用单体空调</w:t>
            </w:r>
            <w:r>
              <w:rPr>
                <w:rFonts w:hint="default"/>
                <w:highlight w:val="none"/>
                <w:lang w:eastAsia="zh-CN"/>
              </w:rPr>
              <w:t>。</w:t>
            </w:r>
          </w:p>
        </w:tc>
        <w:tc>
          <w:tcPr>
            <w:tcW w:w="241" w:type="pct"/>
            <w:noWrap w:val="0"/>
            <w:vAlign w:val="center"/>
          </w:tcPr>
          <w:p w14:paraId="408756AE">
            <w:pPr>
              <w:pStyle w:val="58"/>
              <w:bidi w:val="0"/>
              <w:rPr>
                <w:rFonts w:hint="default"/>
              </w:rPr>
            </w:pPr>
            <w:r>
              <w:rPr>
                <w:rFonts w:hint="default"/>
              </w:rPr>
              <w:t>符合</w:t>
            </w:r>
          </w:p>
        </w:tc>
      </w:tr>
    </w:tbl>
    <w:p w14:paraId="2ADD7E18">
      <w:pPr>
        <w:spacing w:line="480" w:lineRule="exact"/>
        <w:ind w:firstLine="480" w:firstLineChars="200"/>
        <w:jc w:val="both"/>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综上所述，本项目符合“三线一单”的要求。</w:t>
      </w:r>
    </w:p>
    <w:p w14:paraId="46493D86">
      <w:pPr>
        <w:pStyle w:val="6"/>
        <w:pageBreakBefore w:val="0"/>
        <w:widowControl w:val="0"/>
        <w:kinsoku/>
        <w:wordWrap/>
        <w:overflowPunct/>
        <w:topLinePunct w:val="0"/>
        <w:bidi w:val="0"/>
        <w:spacing w:before="0" w:beforeLines="0" w:after="0" w:afterLines="0" w:line="480" w:lineRule="exact"/>
        <w:textAlignment w:val="auto"/>
        <w:rPr>
          <w:rFonts w:hint="default" w:ascii="Times New Roman" w:hAnsi="Times New Roman" w:eastAsia="宋体" w:cs="Times New Roman"/>
          <w:b/>
          <w:bCs/>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2.</w:t>
      </w:r>
      <w:r>
        <w:rPr>
          <w:rFonts w:hint="default" w:ascii="Times New Roman" w:hAnsi="Times New Roman" w:eastAsia="宋体" w:cs="Times New Roman"/>
          <w:color w:val="000000" w:themeColor="text1"/>
          <w:highlight w:val="none"/>
          <w:lang w:val="en-US" w:eastAsia="zh-CN"/>
          <w14:textFill>
            <w14:solidFill>
              <w14:schemeClr w14:val="tx1"/>
            </w14:solidFill>
          </w14:textFill>
        </w:rPr>
        <w:t>7</w:t>
      </w:r>
      <w:r>
        <w:rPr>
          <w:rFonts w:hint="default" w:ascii="Times New Roman" w:hAnsi="Times New Roman" w:eastAsia="宋体" w:cs="Times New Roman"/>
          <w:color w:val="000000" w:themeColor="text1"/>
          <w:highlight w:val="none"/>
          <w14:textFill>
            <w14:solidFill>
              <w14:schemeClr w14:val="tx1"/>
            </w14:solidFill>
          </w14:textFill>
        </w:rPr>
        <w:t>.</w:t>
      </w:r>
      <w:r>
        <w:rPr>
          <w:rFonts w:hint="eastAsia" w:ascii="Times New Roman" w:hAnsi="Times New Roman" w:eastAsia="宋体" w:cs="Times New Roman"/>
          <w:color w:val="000000" w:themeColor="text1"/>
          <w:highlight w:val="none"/>
          <w:lang w:val="en-US" w:eastAsia="zh-CN"/>
          <w14:textFill>
            <w14:solidFill>
              <w14:schemeClr w14:val="tx1"/>
            </w14:solidFill>
          </w14:textFill>
        </w:rPr>
        <w:t>4</w:t>
      </w:r>
      <w:r>
        <w:rPr>
          <w:rFonts w:hint="default" w:ascii="Times New Roman" w:hAnsi="Times New Roman" w:eastAsia="宋体" w:cs="Times New Roman"/>
          <w:b/>
          <w:bCs/>
          <w:color w:val="000000" w:themeColor="text1"/>
          <w:sz w:val="24"/>
          <w:szCs w:val="24"/>
          <w:highlight w:val="none"/>
          <w14:textFill>
            <w14:solidFill>
              <w14:schemeClr w14:val="tx1"/>
            </w14:solidFill>
          </w14:textFill>
        </w:rPr>
        <w:t>与</w:t>
      </w:r>
      <w:r>
        <w:rPr>
          <w:rFonts w:hint="eastAsia" w:ascii="Times New Roman" w:hAnsi="Times New Roman" w:eastAsia="宋体" w:cs="Times New Roman"/>
          <w:b/>
          <w:bCs/>
          <w:color w:val="000000" w:themeColor="text1"/>
          <w:sz w:val="24"/>
          <w:szCs w:val="24"/>
          <w:highlight w:val="none"/>
          <w:lang w:val="en-US" w:eastAsia="zh-CN"/>
          <w14:textFill>
            <w14:solidFill>
              <w14:schemeClr w14:val="tx1"/>
            </w14:solidFill>
          </w14:textFill>
        </w:rPr>
        <w:t>城镇污水处理厂污泥处置相关规范</w:t>
      </w:r>
      <w:r>
        <w:rPr>
          <w:rFonts w:hint="default" w:ascii="Times New Roman" w:hAnsi="Times New Roman" w:eastAsia="宋体" w:cs="Times New Roman"/>
          <w:b/>
          <w:bCs/>
          <w:color w:val="000000" w:themeColor="text1"/>
          <w:sz w:val="24"/>
          <w:szCs w:val="24"/>
          <w:highlight w:val="none"/>
          <w14:textFill>
            <w14:solidFill>
              <w14:schemeClr w14:val="tx1"/>
            </w14:solidFill>
          </w14:textFill>
        </w:rPr>
        <w:t>符合性分析</w:t>
      </w:r>
    </w:p>
    <w:p w14:paraId="07A626C7">
      <w:pPr>
        <w:pageBreakBefore w:val="0"/>
        <w:widowControl w:val="0"/>
        <w:numPr>
          <w:ilvl w:val="0"/>
          <w:numId w:val="16"/>
        </w:numPr>
        <w:kinsoku/>
        <w:wordWrap/>
        <w:overflowPunct/>
        <w:topLinePunct w:val="0"/>
        <w:autoSpaceDE/>
        <w:autoSpaceDN/>
        <w:bidi w:val="0"/>
        <w:adjustRightInd/>
        <w:snapToGrid/>
        <w:spacing w:line="480" w:lineRule="exact"/>
        <w:ind w:left="425" w:leftChars="0" w:hanging="425" w:firstLineChars="0"/>
        <w:jc w:val="center"/>
        <w:textAlignment w:val="auto"/>
        <w:rPr>
          <w:rFonts w:hint="default" w:ascii="Times New Roman" w:hAnsi="Times New Roman" w:eastAsia="宋体" w:cs="Times New Roman"/>
          <w:b/>
          <w:bCs/>
          <w:color w:val="000000" w:themeColor="text1"/>
          <w:spacing w:val="0"/>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pacing w:val="0"/>
          <w:sz w:val="24"/>
          <w:szCs w:val="24"/>
          <w:highlight w:val="none"/>
          <w:lang w:val="en-US" w:eastAsia="zh-CN"/>
          <w14:textFill>
            <w14:solidFill>
              <w14:schemeClr w14:val="tx1"/>
            </w14:solidFill>
          </w14:textFill>
        </w:rPr>
        <w:t>与城镇污水处理厂污泥处置相关规范符合性分析判定表</w:t>
      </w:r>
    </w:p>
    <w:tbl>
      <w:tblPr>
        <w:tblStyle w:val="48"/>
        <w:tblW w:w="4995"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870"/>
        <w:gridCol w:w="2274"/>
        <w:gridCol w:w="6506"/>
        <w:gridCol w:w="3084"/>
        <w:gridCol w:w="1472"/>
      </w:tblGrid>
      <w:tr w14:paraId="0F11C7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306" w:type="pct"/>
            <w:vAlign w:val="center"/>
          </w:tcPr>
          <w:p w14:paraId="14BD63BF">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default" w:ascii="Times New Roman" w:hAnsi="Times New Roman" w:eastAsia="宋体" w:cs="Times New Roman"/>
                <w:b/>
                <w:bCs w:val="0"/>
                <w:sz w:val="21"/>
                <w:szCs w:val="21"/>
                <w:highlight w:val="none"/>
                <w:lang w:val="en-US" w:eastAsia="zh-CN"/>
              </w:rPr>
            </w:pPr>
            <w:r>
              <w:rPr>
                <w:rFonts w:hint="default" w:ascii="Times New Roman" w:hAnsi="Times New Roman" w:eastAsia="宋体" w:cs="Times New Roman"/>
                <w:b/>
                <w:bCs w:val="0"/>
                <w:sz w:val="21"/>
                <w:szCs w:val="21"/>
                <w:highlight w:val="none"/>
                <w:lang w:val="en-US" w:eastAsia="zh-CN"/>
              </w:rPr>
              <w:t>序号</w:t>
            </w:r>
          </w:p>
        </w:tc>
        <w:tc>
          <w:tcPr>
            <w:tcW w:w="800" w:type="pct"/>
            <w:vAlign w:val="center"/>
          </w:tcPr>
          <w:p w14:paraId="7346BB28">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default" w:ascii="Times New Roman" w:hAnsi="Times New Roman" w:eastAsia="宋体" w:cs="Times New Roman"/>
                <w:b/>
                <w:bCs w:val="0"/>
                <w:sz w:val="21"/>
                <w:szCs w:val="21"/>
                <w:highlight w:val="none"/>
                <w:lang w:val="en-US" w:eastAsia="zh-CN"/>
              </w:rPr>
            </w:pPr>
            <w:r>
              <w:rPr>
                <w:rFonts w:hint="default" w:ascii="Times New Roman" w:hAnsi="Times New Roman" w:eastAsia="宋体" w:cs="Times New Roman"/>
                <w:b/>
                <w:bCs w:val="0"/>
                <w:sz w:val="21"/>
                <w:szCs w:val="21"/>
                <w:highlight w:val="none"/>
                <w:lang w:val="en-US" w:eastAsia="zh-CN"/>
              </w:rPr>
              <w:t>环保政策</w:t>
            </w:r>
          </w:p>
        </w:tc>
        <w:tc>
          <w:tcPr>
            <w:tcW w:w="2289" w:type="pct"/>
            <w:vAlign w:val="center"/>
          </w:tcPr>
          <w:p w14:paraId="1F4F08C6">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default" w:ascii="Times New Roman" w:hAnsi="Times New Roman" w:eastAsia="宋体" w:cs="Times New Roman"/>
                <w:b/>
                <w:bCs w:val="0"/>
                <w:sz w:val="21"/>
                <w:szCs w:val="21"/>
                <w:highlight w:val="none"/>
              </w:rPr>
            </w:pPr>
            <w:r>
              <w:rPr>
                <w:rFonts w:hint="default" w:ascii="Times New Roman" w:hAnsi="Times New Roman" w:eastAsia="宋体" w:cs="Times New Roman"/>
                <w:b/>
                <w:bCs w:val="0"/>
                <w:sz w:val="21"/>
                <w:szCs w:val="21"/>
                <w:highlight w:val="none"/>
                <w:lang w:val="en-US" w:eastAsia="zh-CN"/>
              </w:rPr>
              <w:t>政策要求</w:t>
            </w:r>
          </w:p>
        </w:tc>
        <w:tc>
          <w:tcPr>
            <w:tcW w:w="1085" w:type="pct"/>
            <w:vAlign w:val="center"/>
          </w:tcPr>
          <w:p w14:paraId="276D4C2C">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default" w:ascii="Times New Roman" w:hAnsi="Times New Roman" w:eastAsia="宋体" w:cs="Times New Roman"/>
                <w:b/>
                <w:bCs w:val="0"/>
                <w:sz w:val="21"/>
                <w:szCs w:val="21"/>
                <w:highlight w:val="none"/>
                <w:lang w:val="en-US" w:eastAsia="zh-CN"/>
              </w:rPr>
            </w:pPr>
            <w:r>
              <w:rPr>
                <w:rFonts w:hint="default" w:ascii="Times New Roman" w:hAnsi="Times New Roman" w:eastAsia="宋体" w:cs="Times New Roman"/>
                <w:b/>
                <w:bCs w:val="0"/>
                <w:sz w:val="21"/>
                <w:szCs w:val="21"/>
                <w:highlight w:val="none"/>
                <w:lang w:val="en-US" w:eastAsia="zh-CN"/>
              </w:rPr>
              <w:t>拟建项目实际</w:t>
            </w:r>
          </w:p>
        </w:tc>
        <w:tc>
          <w:tcPr>
            <w:tcW w:w="518" w:type="pct"/>
            <w:vAlign w:val="center"/>
          </w:tcPr>
          <w:p w14:paraId="302E7C99">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default" w:ascii="Times New Roman" w:hAnsi="Times New Roman" w:eastAsia="宋体" w:cs="Times New Roman"/>
                <w:b/>
                <w:bCs w:val="0"/>
                <w:sz w:val="21"/>
                <w:szCs w:val="21"/>
                <w:highlight w:val="none"/>
                <w:lang w:val="en-US" w:eastAsia="zh-CN"/>
              </w:rPr>
            </w:pPr>
            <w:r>
              <w:rPr>
                <w:rFonts w:hint="default" w:ascii="Times New Roman" w:hAnsi="Times New Roman" w:eastAsia="宋体" w:cs="Times New Roman"/>
                <w:b/>
                <w:bCs w:val="0"/>
                <w:sz w:val="21"/>
                <w:szCs w:val="21"/>
                <w:highlight w:val="none"/>
                <w:lang w:val="en-US" w:eastAsia="zh-CN"/>
              </w:rPr>
              <w:t>符合性分析</w:t>
            </w:r>
          </w:p>
        </w:tc>
      </w:tr>
      <w:tr w14:paraId="047DC78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306" w:type="pct"/>
            <w:vMerge w:val="restart"/>
            <w:vAlign w:val="center"/>
          </w:tcPr>
          <w:p w14:paraId="30F6BAA9">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default" w:ascii="Times New Roman" w:hAnsi="Times New Roman" w:eastAsia="宋体" w:cs="Times New Roman"/>
                <w:bCs/>
                <w:sz w:val="21"/>
                <w:szCs w:val="21"/>
                <w:highlight w:val="none"/>
                <w:lang w:val="en-US" w:eastAsia="zh-CN"/>
              </w:rPr>
            </w:pPr>
            <w:r>
              <w:rPr>
                <w:rFonts w:hint="default" w:ascii="Times New Roman" w:hAnsi="Times New Roman" w:eastAsia="宋体" w:cs="Times New Roman"/>
                <w:bCs/>
                <w:sz w:val="21"/>
                <w:szCs w:val="21"/>
                <w:highlight w:val="none"/>
                <w:lang w:val="en-US" w:eastAsia="zh-CN"/>
              </w:rPr>
              <w:t>1</w:t>
            </w:r>
          </w:p>
        </w:tc>
        <w:tc>
          <w:tcPr>
            <w:tcW w:w="800" w:type="pct"/>
            <w:vMerge w:val="restart"/>
            <w:vAlign w:val="center"/>
          </w:tcPr>
          <w:p w14:paraId="635B4227">
            <w:pPr>
              <w:pStyle w:val="328"/>
              <w:keepNext w:val="0"/>
              <w:keepLines w:val="0"/>
              <w:pageBreakBefore w:val="0"/>
              <w:widowControl w:val="0"/>
              <w:kinsoku/>
              <w:wordWrap/>
              <w:overflowPunct/>
              <w:topLinePunct w:val="0"/>
              <w:autoSpaceDE/>
              <w:autoSpaceDN/>
              <w:bidi w:val="0"/>
              <w:adjustRightInd/>
              <w:snapToGrid/>
              <w:spacing w:line="380" w:lineRule="exact"/>
              <w:ind w:left="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2"/>
                <w:sz w:val="21"/>
                <w:szCs w:val="21"/>
                <w:highlight w:val="none"/>
                <w:lang w:val="en-US" w:eastAsia="zh-CN" w:bidi="ar-SA"/>
              </w:rPr>
              <w:t>《城镇污水处理厂污泥处理处置及污染防治技术政策（试行）》建城[2009]23号</w:t>
            </w:r>
          </w:p>
        </w:tc>
        <w:tc>
          <w:tcPr>
            <w:tcW w:w="2289" w:type="pct"/>
            <w:vAlign w:val="center"/>
          </w:tcPr>
          <w:p w14:paraId="69DF60B5">
            <w:pPr>
              <w:pStyle w:val="328"/>
              <w:keepNext w:val="0"/>
              <w:keepLines w:val="0"/>
              <w:pageBreakBefore w:val="0"/>
              <w:widowControl w:val="0"/>
              <w:kinsoku/>
              <w:wordWrap/>
              <w:overflowPunct/>
              <w:topLinePunct w:val="0"/>
              <w:autoSpaceDE/>
              <w:autoSpaceDN/>
              <w:bidi w:val="0"/>
              <w:adjustRightInd/>
              <w:snapToGrid/>
              <w:spacing w:line="380" w:lineRule="exact"/>
              <w:ind w:left="0" w:hanging="25"/>
              <w:jc w:val="center"/>
              <w:textAlignment w:val="auto"/>
              <w:rPr>
                <w:rFonts w:hint="default" w:ascii="Times New Roman" w:hAnsi="Times New Roman" w:eastAsia="宋体" w:cs="Times New Roman"/>
                <w:kern w:val="2"/>
                <w:sz w:val="21"/>
                <w:szCs w:val="21"/>
                <w:highlight w:val="none"/>
                <w:lang w:val="en-US" w:eastAsia="en-US" w:bidi="ar-SA"/>
              </w:rPr>
            </w:pPr>
            <w:r>
              <w:rPr>
                <w:rFonts w:hint="default" w:ascii="Times New Roman" w:hAnsi="Times New Roman" w:eastAsia="宋体" w:cs="Times New Roman"/>
                <w:kern w:val="2"/>
                <w:sz w:val="21"/>
                <w:szCs w:val="21"/>
                <w:highlight w:val="none"/>
                <w:lang w:val="en-US" w:eastAsia="zh-CN" w:bidi="ar-SA"/>
              </w:rPr>
              <w:t>鼓励焚烧：在经济较发达的大中城市，可采用污泥焚烧工艺，鼓励采用干化焚烧的联用方式，提高污泥的热能利用效率；鼓励污泥焚烧厂与垃圾焚烧厂合建，在有条件的地区，鼓励污泥作为低质燃料在火力发电厂焚烧炉、水泥窑或砖窑中混合焚烧。</w:t>
            </w:r>
          </w:p>
        </w:tc>
        <w:tc>
          <w:tcPr>
            <w:tcW w:w="1085" w:type="pct"/>
            <w:vAlign w:val="center"/>
          </w:tcPr>
          <w:p w14:paraId="3B6FC58F">
            <w:pPr>
              <w:pStyle w:val="328"/>
              <w:keepNext w:val="0"/>
              <w:keepLines w:val="0"/>
              <w:pageBreakBefore w:val="0"/>
              <w:widowControl w:val="0"/>
              <w:kinsoku/>
              <w:wordWrap/>
              <w:overflowPunct/>
              <w:topLinePunct w:val="0"/>
              <w:autoSpaceDE/>
              <w:autoSpaceDN/>
              <w:bidi w:val="0"/>
              <w:adjustRightInd/>
              <w:snapToGrid/>
              <w:spacing w:line="380" w:lineRule="exact"/>
              <w:ind w:left="0"/>
              <w:jc w:val="center"/>
              <w:textAlignment w:val="auto"/>
              <w:rPr>
                <w:rFonts w:hint="default" w:ascii="Times New Roman" w:hAnsi="Times New Roman" w:eastAsia="宋体" w:cs="Times New Roman"/>
                <w:kern w:val="2"/>
                <w:sz w:val="21"/>
                <w:szCs w:val="21"/>
                <w:highlight w:val="none"/>
                <w:lang w:val="en-US" w:eastAsia="en-US" w:bidi="ar-SA"/>
              </w:rPr>
            </w:pPr>
            <w:r>
              <w:rPr>
                <w:rFonts w:hint="default" w:ascii="Times New Roman" w:hAnsi="Times New Roman" w:eastAsia="宋体" w:cs="Times New Roman"/>
                <w:kern w:val="2"/>
                <w:sz w:val="21"/>
                <w:szCs w:val="21"/>
                <w:highlight w:val="none"/>
                <w:lang w:val="en-US" w:eastAsia="zh-CN" w:bidi="ar-SA"/>
              </w:rPr>
              <w:t>本项目污泥</w:t>
            </w:r>
            <w:r>
              <w:rPr>
                <w:rFonts w:hint="eastAsia" w:ascii="Times New Roman" w:hAnsi="Times New Roman" w:eastAsia="宋体" w:cs="Times New Roman"/>
                <w:kern w:val="2"/>
                <w:sz w:val="21"/>
                <w:szCs w:val="21"/>
                <w:highlight w:val="none"/>
                <w:lang w:val="en-US" w:eastAsia="zh-CN" w:bidi="ar-SA"/>
              </w:rPr>
              <w:t>脱水后送水泥厂协同处置</w:t>
            </w:r>
            <w:r>
              <w:rPr>
                <w:rFonts w:hint="default" w:ascii="Times New Roman" w:hAnsi="Times New Roman" w:eastAsia="宋体" w:cs="Times New Roman"/>
                <w:kern w:val="2"/>
                <w:sz w:val="21"/>
                <w:szCs w:val="21"/>
                <w:highlight w:val="none"/>
                <w:lang w:val="en-US" w:eastAsia="zh-CN" w:bidi="ar-SA"/>
              </w:rPr>
              <w:t>，符合建城[2009]23号文件精神，属于鼓励类</w:t>
            </w:r>
          </w:p>
        </w:tc>
        <w:tc>
          <w:tcPr>
            <w:tcW w:w="518" w:type="pct"/>
            <w:vAlign w:val="center"/>
          </w:tcPr>
          <w:p w14:paraId="08E07D23">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2"/>
                <w:sz w:val="21"/>
                <w:szCs w:val="21"/>
                <w:highlight w:val="none"/>
                <w:lang w:val="en-US" w:eastAsia="zh-CN" w:bidi="ar-SA"/>
              </w:rPr>
              <w:t>符合</w:t>
            </w:r>
          </w:p>
        </w:tc>
      </w:tr>
      <w:tr w14:paraId="68A7311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306" w:type="pct"/>
            <w:vMerge w:val="continue"/>
            <w:vAlign w:val="center"/>
          </w:tcPr>
          <w:p w14:paraId="574E56DA">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default" w:ascii="Times New Roman" w:hAnsi="Times New Roman" w:eastAsia="宋体" w:cs="Times New Roman"/>
                <w:sz w:val="21"/>
                <w:szCs w:val="21"/>
                <w:highlight w:val="none"/>
              </w:rPr>
            </w:pPr>
          </w:p>
        </w:tc>
        <w:tc>
          <w:tcPr>
            <w:tcW w:w="800" w:type="pct"/>
            <w:vMerge w:val="continue"/>
            <w:vAlign w:val="center"/>
          </w:tcPr>
          <w:p w14:paraId="793748A0">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p>
        </w:tc>
        <w:tc>
          <w:tcPr>
            <w:tcW w:w="2289" w:type="pct"/>
            <w:vAlign w:val="center"/>
          </w:tcPr>
          <w:p w14:paraId="2F89FE7D">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default" w:ascii="Times New Roman" w:hAnsi="Times New Roman" w:eastAsia="宋体" w:cs="Times New Roman"/>
                <w:kern w:val="2"/>
                <w:sz w:val="21"/>
                <w:szCs w:val="21"/>
                <w:highlight w:val="none"/>
                <w:lang w:val="en-US" w:eastAsia="en-US" w:bidi="ar-SA"/>
              </w:rPr>
            </w:pPr>
            <w:r>
              <w:rPr>
                <w:rFonts w:hint="default" w:ascii="Times New Roman" w:hAnsi="Times New Roman" w:eastAsia="宋体" w:cs="Times New Roman"/>
                <w:kern w:val="2"/>
                <w:sz w:val="21"/>
                <w:szCs w:val="21"/>
                <w:highlight w:val="none"/>
                <w:lang w:val="en-US" w:eastAsia="zh-CN" w:bidi="ar-SA"/>
              </w:rPr>
              <w:t>污泥运输储存：污泥运输鼓励采用管道、密闭车辆和密闭驳船等方式，在运输过程中应进行全过程监控和管理，防止因暴露、洒落或地漏造成的环境二次污染，严</w:t>
            </w:r>
            <w:r>
              <w:rPr>
                <w:rFonts w:hint="eastAsia" w:cs="Times New Roman"/>
                <w:kern w:val="2"/>
                <w:sz w:val="21"/>
                <w:szCs w:val="21"/>
                <w:highlight w:val="none"/>
                <w:lang w:val="en-US" w:eastAsia="zh-CN" w:bidi="ar-SA"/>
              </w:rPr>
              <w:t>禁</w:t>
            </w:r>
            <w:r>
              <w:rPr>
                <w:rFonts w:hint="default" w:ascii="Times New Roman" w:hAnsi="Times New Roman" w:eastAsia="宋体" w:cs="Times New Roman"/>
                <w:kern w:val="2"/>
                <w:sz w:val="21"/>
                <w:szCs w:val="21"/>
                <w:highlight w:val="none"/>
                <w:lang w:val="en-US" w:eastAsia="zh-CN" w:bidi="ar-SA"/>
              </w:rPr>
              <w:t>随意倾倒、偷排污泥。</w:t>
            </w:r>
          </w:p>
        </w:tc>
        <w:tc>
          <w:tcPr>
            <w:tcW w:w="1085" w:type="pct"/>
            <w:vAlign w:val="center"/>
          </w:tcPr>
          <w:p w14:paraId="164CD47A">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2"/>
                <w:sz w:val="21"/>
                <w:szCs w:val="21"/>
                <w:highlight w:val="none"/>
                <w:lang w:val="en-US" w:eastAsia="zh-CN" w:bidi="ar-SA"/>
              </w:rPr>
              <w:t>本项目污泥委托第三方专业运输公司采用封闭运输车运输</w:t>
            </w:r>
            <w:r>
              <w:rPr>
                <w:rFonts w:hint="eastAsia" w:ascii="Times New Roman" w:hAnsi="Times New Roman" w:eastAsia="宋体" w:cs="Times New Roman"/>
                <w:kern w:val="2"/>
                <w:sz w:val="21"/>
                <w:szCs w:val="21"/>
                <w:highlight w:val="none"/>
                <w:lang w:val="en-US" w:eastAsia="zh-CN" w:bidi="ar-SA"/>
              </w:rPr>
              <w:t>进水泥厂</w:t>
            </w:r>
            <w:r>
              <w:rPr>
                <w:rFonts w:hint="default" w:ascii="Times New Roman" w:hAnsi="Times New Roman" w:eastAsia="宋体" w:cs="Times New Roman"/>
                <w:kern w:val="2"/>
                <w:sz w:val="21"/>
                <w:szCs w:val="21"/>
                <w:highlight w:val="none"/>
                <w:lang w:val="en-US" w:eastAsia="zh-CN" w:bidi="ar-SA"/>
              </w:rPr>
              <w:t>。</w:t>
            </w:r>
          </w:p>
        </w:tc>
        <w:tc>
          <w:tcPr>
            <w:tcW w:w="518" w:type="pct"/>
            <w:vAlign w:val="center"/>
          </w:tcPr>
          <w:p w14:paraId="74FC22E9">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2"/>
                <w:sz w:val="21"/>
                <w:szCs w:val="21"/>
                <w:highlight w:val="none"/>
                <w:lang w:val="en-US" w:eastAsia="zh-CN" w:bidi="ar-SA"/>
              </w:rPr>
              <w:t>符合</w:t>
            </w:r>
          </w:p>
        </w:tc>
      </w:tr>
      <w:tr w14:paraId="09B1E88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306" w:type="pct"/>
            <w:vAlign w:val="center"/>
          </w:tcPr>
          <w:p w14:paraId="0A8EAC23">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2</w:t>
            </w:r>
          </w:p>
        </w:tc>
        <w:tc>
          <w:tcPr>
            <w:tcW w:w="800" w:type="pct"/>
            <w:vAlign w:val="center"/>
          </w:tcPr>
          <w:p w14:paraId="01B30D34">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《城镇污水处理厂污泥处理处置及污染防治技术》</w:t>
            </w:r>
          </w:p>
        </w:tc>
        <w:tc>
          <w:tcPr>
            <w:tcW w:w="2289" w:type="pct"/>
            <w:vAlign w:val="center"/>
          </w:tcPr>
          <w:p w14:paraId="71DDA68D">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污泥焚烧：鼓励污泥作为低热值燃料在火力发电厂焚烧炉、水泥窑或砖窑中混合焚烧。污泥运输鼓励采用管道、密闭车辆和密闭驳船等方式；运输过程中应进行全过程监控和管理，防止因暴露、洒落或滴漏造成的环境二次污染；严禁随意倾倒、偷排污泥。</w:t>
            </w:r>
          </w:p>
        </w:tc>
        <w:tc>
          <w:tcPr>
            <w:tcW w:w="1085" w:type="pct"/>
            <w:vAlign w:val="center"/>
          </w:tcPr>
          <w:p w14:paraId="73C96AA9">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本项目</w:t>
            </w:r>
            <w:r>
              <w:rPr>
                <w:rFonts w:hint="eastAsia" w:ascii="Times New Roman" w:hAnsi="Times New Roman" w:eastAsia="宋体" w:cs="Times New Roman"/>
                <w:sz w:val="21"/>
                <w:szCs w:val="21"/>
                <w:highlight w:val="none"/>
                <w:lang w:val="en-US" w:eastAsia="zh-CN"/>
              </w:rPr>
              <w:t>污泥送水泥厂协同处置</w:t>
            </w:r>
            <w:r>
              <w:rPr>
                <w:rFonts w:hint="default" w:ascii="Times New Roman" w:hAnsi="Times New Roman" w:eastAsia="宋体" w:cs="Times New Roman"/>
                <w:sz w:val="21"/>
                <w:szCs w:val="21"/>
                <w:highlight w:val="none"/>
                <w:lang w:val="en-US" w:eastAsia="zh-CN"/>
              </w:rPr>
              <w:t>，运输采用密闭车辆，运输过程全过程监控管理，防止因暴露、洒落或滴漏造成的环境二次污染</w:t>
            </w:r>
            <w:r>
              <w:rPr>
                <w:rFonts w:hint="eastAsia" w:ascii="Times New Roman" w:hAnsi="Times New Roman" w:eastAsia="宋体" w:cs="Times New Roman"/>
                <w:sz w:val="21"/>
                <w:szCs w:val="21"/>
                <w:highlight w:val="none"/>
                <w:lang w:val="en-US" w:eastAsia="zh-CN"/>
              </w:rPr>
              <w:t>。</w:t>
            </w:r>
          </w:p>
        </w:tc>
        <w:tc>
          <w:tcPr>
            <w:tcW w:w="518" w:type="pct"/>
            <w:vAlign w:val="center"/>
          </w:tcPr>
          <w:p w14:paraId="1B27962A">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2"/>
                <w:sz w:val="21"/>
                <w:szCs w:val="21"/>
                <w:highlight w:val="none"/>
                <w:lang w:val="en-US" w:eastAsia="zh-CN" w:bidi="ar-SA"/>
              </w:rPr>
              <w:t>符合</w:t>
            </w:r>
          </w:p>
        </w:tc>
      </w:tr>
      <w:tr w14:paraId="7170CF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306" w:type="pct"/>
            <w:vMerge w:val="restart"/>
            <w:vAlign w:val="center"/>
          </w:tcPr>
          <w:p w14:paraId="1ECB32FD">
            <w:pPr>
              <w:pStyle w:val="338"/>
              <w:spacing w:line="240" w:lineRule="auto"/>
              <w:rPr>
                <w:rFonts w:hint="default" w:ascii="Times New Roman" w:hAnsi="Times New Roman" w:eastAsia="宋体" w:cs="Times New Roman"/>
                <w:bCs/>
                <w:color w:val="auto"/>
                <w:kern w:val="2"/>
                <w:sz w:val="21"/>
                <w:szCs w:val="21"/>
                <w:highlight w:val="none"/>
                <w:lang w:val="en-US" w:eastAsia="zh-CN" w:bidi="ar-SA"/>
              </w:rPr>
            </w:pPr>
            <w:r>
              <w:rPr>
                <w:rFonts w:hint="eastAsia" w:hAnsi="Times New Roman" w:cs="Times New Roman"/>
                <w:bCs/>
                <w:color w:val="auto"/>
                <w:kern w:val="2"/>
                <w:sz w:val="21"/>
                <w:szCs w:val="21"/>
                <w:highlight w:val="none"/>
                <w:lang w:val="en-US" w:eastAsia="zh-CN" w:bidi="ar-SA"/>
              </w:rPr>
              <w:t>3</w:t>
            </w:r>
          </w:p>
        </w:tc>
        <w:tc>
          <w:tcPr>
            <w:tcW w:w="800" w:type="pct"/>
            <w:vMerge w:val="restart"/>
            <w:vAlign w:val="center"/>
          </w:tcPr>
          <w:p w14:paraId="63E9B5A8">
            <w:pPr>
              <w:pStyle w:val="338"/>
              <w:spacing w:line="240" w:lineRule="auto"/>
              <w:rPr>
                <w:rFonts w:hint="default" w:ascii="Times New Roman" w:hAnsi="Times New Roman" w:eastAsia="宋体" w:cs="Times New Roman"/>
                <w:bCs/>
                <w:color w:val="auto"/>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河北省“无废城市”建设工作领导小组办公室关于印发《全省工业污泥综合治理专项工作方案》的通知</w:t>
            </w:r>
          </w:p>
        </w:tc>
        <w:tc>
          <w:tcPr>
            <w:tcW w:w="2289" w:type="pct"/>
            <w:vAlign w:val="center"/>
          </w:tcPr>
          <w:p w14:paraId="5523E4BD">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1排查台账联单。产废单位重点核查是否对污泥种类、属性数量、出入库、去向、交接人签字等情况如实登记造册和规范记录；结合环评预测产废数量、产排污系数、物料衡算，核查实际产生污泥数量，并与台账进行比对，是否存在数据不实、产多记少的问题。利用、处置单位重点核查是否对污泥来源、接收数量利用和处置数量及去向实施台账管理，是否存在去向不明问题污泥委托利用处置是否执行联单转移制度，联单填报数量是否与台账一致。</w:t>
            </w:r>
          </w:p>
        </w:tc>
        <w:tc>
          <w:tcPr>
            <w:tcW w:w="1085" w:type="pct"/>
            <w:vAlign w:val="center"/>
          </w:tcPr>
          <w:p w14:paraId="6CE8E710">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本项目按要求做台账和转移联单。</w:t>
            </w:r>
          </w:p>
        </w:tc>
        <w:tc>
          <w:tcPr>
            <w:tcW w:w="518" w:type="pct"/>
            <w:vAlign w:val="center"/>
          </w:tcPr>
          <w:p w14:paraId="555633B5">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符合</w:t>
            </w:r>
          </w:p>
        </w:tc>
      </w:tr>
      <w:tr w14:paraId="7E40C55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306" w:type="pct"/>
            <w:vMerge w:val="continue"/>
            <w:vAlign w:val="center"/>
          </w:tcPr>
          <w:p w14:paraId="6B99B9AA">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default" w:ascii="Times New Roman" w:hAnsi="Times New Roman" w:eastAsia="宋体" w:cs="Times New Roman"/>
                <w:sz w:val="21"/>
                <w:szCs w:val="21"/>
                <w:highlight w:val="none"/>
                <w:lang w:val="en-US" w:eastAsia="zh-CN"/>
              </w:rPr>
            </w:pPr>
          </w:p>
        </w:tc>
        <w:tc>
          <w:tcPr>
            <w:tcW w:w="800" w:type="pct"/>
            <w:vMerge w:val="continue"/>
            <w:vAlign w:val="center"/>
          </w:tcPr>
          <w:p w14:paraId="19200630">
            <w:pPr>
              <w:pStyle w:val="338"/>
              <w:spacing w:line="240" w:lineRule="auto"/>
              <w:jc w:val="left"/>
              <w:rPr>
                <w:rFonts w:hint="default" w:ascii="Times New Roman" w:hAnsi="Times New Roman" w:eastAsia="宋体" w:cs="Times New Roman"/>
                <w:bCs/>
                <w:color w:val="auto"/>
                <w:kern w:val="2"/>
                <w:sz w:val="21"/>
                <w:szCs w:val="21"/>
                <w:highlight w:val="none"/>
                <w:lang w:val="en-US" w:eastAsia="zh-CN" w:bidi="ar-SA"/>
              </w:rPr>
            </w:pPr>
          </w:p>
        </w:tc>
        <w:tc>
          <w:tcPr>
            <w:tcW w:w="2289" w:type="pct"/>
            <w:vAlign w:val="center"/>
          </w:tcPr>
          <w:p w14:paraId="1C712B73">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2排查储存场所。排查企业是否按照规范要求设立污泥储存场所，储存场所地面是否硬化处理，建有遮雨棚、围堰、污泥渗滤液引流通道或装置；是否将渗滤液引入污水处理设施，设置必要的除臭、通风装置；是否将污泥堆放或弃置在储存场所以外：是否存在污泥乱堆乱放、雨水管沟废渣沉淀等情况</w:t>
            </w:r>
          </w:p>
        </w:tc>
        <w:tc>
          <w:tcPr>
            <w:tcW w:w="1085" w:type="pct"/>
            <w:vAlign w:val="center"/>
          </w:tcPr>
          <w:p w14:paraId="5EF9AB86">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本项目设置污泥池与污泥</w:t>
            </w:r>
            <w:r>
              <w:rPr>
                <w:rFonts w:hint="eastAsia" w:cs="Times New Roman"/>
                <w:sz w:val="21"/>
                <w:szCs w:val="21"/>
                <w:highlight w:val="none"/>
                <w:lang w:val="en-US" w:eastAsia="zh-CN"/>
              </w:rPr>
              <w:t>脱水间</w:t>
            </w:r>
            <w:r>
              <w:rPr>
                <w:rFonts w:hint="eastAsia" w:ascii="Times New Roman" w:hAnsi="Times New Roman" w:eastAsia="宋体" w:cs="Times New Roman"/>
                <w:sz w:val="21"/>
                <w:szCs w:val="21"/>
                <w:highlight w:val="none"/>
                <w:lang w:val="en-US" w:eastAsia="zh-CN"/>
              </w:rPr>
              <w:t>，臭气经集气管道密闭收集后引入一套等离子光电一体机处理达标后排放，不存在污泥乱堆乱放情况。</w:t>
            </w:r>
          </w:p>
        </w:tc>
        <w:tc>
          <w:tcPr>
            <w:tcW w:w="518" w:type="pct"/>
            <w:vAlign w:val="center"/>
          </w:tcPr>
          <w:p w14:paraId="471454D6">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符合</w:t>
            </w:r>
          </w:p>
        </w:tc>
      </w:tr>
      <w:tr w14:paraId="1F84AA7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306" w:type="pct"/>
            <w:vMerge w:val="continue"/>
            <w:vAlign w:val="center"/>
          </w:tcPr>
          <w:p w14:paraId="4F14F12E">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default" w:ascii="Times New Roman" w:hAnsi="Times New Roman" w:eastAsia="宋体" w:cs="Times New Roman"/>
                <w:sz w:val="21"/>
                <w:szCs w:val="21"/>
                <w:highlight w:val="none"/>
                <w:lang w:val="en-US" w:eastAsia="zh-CN"/>
              </w:rPr>
            </w:pPr>
          </w:p>
        </w:tc>
        <w:tc>
          <w:tcPr>
            <w:tcW w:w="800" w:type="pct"/>
            <w:vMerge w:val="continue"/>
            <w:vAlign w:val="center"/>
          </w:tcPr>
          <w:p w14:paraId="3BBFB89B">
            <w:pPr>
              <w:pStyle w:val="338"/>
              <w:spacing w:line="240" w:lineRule="auto"/>
              <w:jc w:val="left"/>
              <w:rPr>
                <w:rFonts w:hint="default" w:ascii="Times New Roman" w:hAnsi="Times New Roman" w:eastAsia="宋体" w:cs="Times New Roman"/>
                <w:bCs/>
                <w:color w:val="auto"/>
                <w:kern w:val="2"/>
                <w:sz w:val="21"/>
                <w:szCs w:val="21"/>
                <w:highlight w:val="none"/>
                <w:lang w:val="en-US" w:eastAsia="zh-CN" w:bidi="ar-SA"/>
              </w:rPr>
            </w:pPr>
          </w:p>
        </w:tc>
        <w:tc>
          <w:tcPr>
            <w:tcW w:w="2289" w:type="pct"/>
            <w:vAlign w:val="center"/>
          </w:tcPr>
          <w:p w14:paraId="501241AB">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3优化利用处置技术。污泥焚烧工艺宜采用干化焚烧的联用方式，提高污泥的热能利用效率。鼓励污泥与生活垃圾协同焚烧，或作为低质燃料在火力发电厂、焚烧炉、水泥窑或砖窑中混合焚烧。垃圾焚烧设施协同处置工业污泥（属一般工业固体废物）的要符合《生活垃圾焚烧污染控制标准》（GB18485）和《河北生活垃圾焚烧大气污染控制标准》(DB13/5325-2021)，污泥含水率应小于 60%，污泥占生活垃圾重量比（以污泥计） 不宜超过 5%水泥窑协同处置污泥的，应符合《水泥窑协同处置污泥工程设计规范》(GB 50757)、《水泥窑协同处置固体废物技术规范》（GB30760）等技术性能要求，污泥占总原料重量比 （以干污泥计）不宜超过 10%。污泥实施填埋的，填埋前的污泥需进行减量化、稳定化处理，含水率应小于 60%。未经脱水处理达标的污泥不得在填埋场填埋。按照《有机肥料》标准 (NY/T 525-2021)，禁止污泥作为农用有机肥生产原料。</w:t>
            </w:r>
          </w:p>
        </w:tc>
        <w:tc>
          <w:tcPr>
            <w:tcW w:w="1085" w:type="pct"/>
            <w:vAlign w:val="center"/>
          </w:tcPr>
          <w:p w14:paraId="10EB6213">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本项目污泥经叠螺污泥脱水机脱水后含水率小于60%，脱水后的污泥送往水泥厂协同处置。</w:t>
            </w:r>
          </w:p>
        </w:tc>
        <w:tc>
          <w:tcPr>
            <w:tcW w:w="518" w:type="pct"/>
            <w:vAlign w:val="center"/>
          </w:tcPr>
          <w:p w14:paraId="63F3FD37">
            <w:pPr>
              <w:keepNext w:val="0"/>
              <w:keepLines w:val="0"/>
              <w:pageBreakBefore w:val="0"/>
              <w:widowControl w:val="0"/>
              <w:kinsoku/>
              <w:wordWrap/>
              <w:overflowPunct/>
              <w:topLinePunct w:val="0"/>
              <w:autoSpaceDE/>
              <w:autoSpaceDN/>
              <w:bidi w:val="0"/>
              <w:adjustRightInd/>
              <w:snapToGrid/>
              <w:spacing w:line="380" w:lineRule="exact"/>
              <w:ind w:left="0" w:firstLine="0" w:firstLineChars="0"/>
              <w:jc w:val="center"/>
              <w:textAlignment w:val="auto"/>
              <w:rPr>
                <w:rFonts w:hint="eastAsia"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符合</w:t>
            </w:r>
          </w:p>
        </w:tc>
      </w:tr>
    </w:tbl>
    <w:p w14:paraId="6B9D518F">
      <w:pPr>
        <w:spacing w:line="480" w:lineRule="exact"/>
        <w:ind w:left="0" w:leftChars="0" w:firstLine="0" w:firstLineChars="0"/>
        <w:jc w:val="both"/>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p>
    <w:p w14:paraId="513DED93">
      <w:pPr>
        <w:spacing w:line="480" w:lineRule="exact"/>
        <w:ind w:firstLine="480" w:firstLineChars="200"/>
        <w:jc w:val="both"/>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p>
    <w:p w14:paraId="48D17E6A">
      <w:pPr>
        <w:spacing w:line="480" w:lineRule="exact"/>
        <w:ind w:firstLine="480" w:firstLineChars="200"/>
        <w:jc w:val="both"/>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sectPr>
          <w:type w:val="continuous"/>
          <w:pgSz w:w="16838" w:h="11906" w:orient="landscape"/>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p>
    <w:p w14:paraId="0372C6B2">
      <w:pPr>
        <w:pStyle w:val="7"/>
        <w:bidi w:val="0"/>
        <w:rPr>
          <w:rFonts w:hint="default" w:ascii="Times New Roman" w:hAnsi="Times New Roman" w:eastAsia="宋体" w:cs="Times New Roman"/>
          <w:caps w:val="0"/>
          <w:smallCaps w:val="0"/>
          <w:color w:val="auto"/>
          <w:kern w:val="2"/>
          <w:sz w:val="24"/>
          <w:szCs w:val="24"/>
          <w:highlight w:val="none"/>
          <w:lang w:val="en-US" w:eastAsia="zh-CN"/>
        </w:rPr>
      </w:pPr>
      <w:bookmarkStart w:id="110" w:name="_Toc9845"/>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w:t>
      </w:r>
      <w:r>
        <w:rPr>
          <w:rFonts w:hint="eastAsia" w:cs="Times New Roman"/>
          <w:color w:val="000000" w:themeColor="text1"/>
          <w:sz w:val="24"/>
          <w:szCs w:val="24"/>
          <w:highlight w:val="none"/>
          <w:lang w:val="en-US" w:eastAsia="zh-CN"/>
          <w14:textFill>
            <w14:solidFill>
              <w14:schemeClr w14:val="tx1"/>
            </w14:solidFill>
          </w14:textFill>
        </w:rPr>
        <w:t>8</w:t>
      </w:r>
      <w:r>
        <w:rPr>
          <w:rFonts w:hint="default" w:ascii="Times New Roman" w:hAnsi="Times New Roman" w:eastAsia="宋体" w:cs="Times New Roman"/>
          <w:caps w:val="0"/>
          <w:smallCaps w:val="0"/>
          <w:color w:val="auto"/>
          <w:kern w:val="2"/>
          <w:sz w:val="24"/>
          <w:szCs w:val="24"/>
          <w:highlight w:val="none"/>
          <w:lang w:val="en-US" w:eastAsia="zh-CN"/>
        </w:rPr>
        <w:t>《曹妃甸区垦丰家居产业园控制性详细规划环境影响跟踪评价报告》</w:t>
      </w:r>
      <w:bookmarkEnd w:id="110"/>
    </w:p>
    <w:p w14:paraId="7A34019B">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2018年，为加快经济发展，承接北京产业转移，唐山市曹妃甸区第十一农场（又名曹妃甸十一农场）拟利用存量建设用地，建设家居文化创意产业园。2018年2月，第十一农场委托北京中元工程设计顾问有限公司编制了《曹妃甸区垦丰家居产业园控制性详细规划》。2018年5月，唐山立业工程技术咨询有限公司编制完成了《曹妃甸区垦丰家居产业园控制性详细规划环境影响报告书》，原唐山市环境保护局曹妃甸分局于2018年8月30日出具了《曹妃甸垦丰家居产业园控制性详细规划环境影响报告书审查意见的函》（唐曹环评函[2018]1号）。2024年1月</w:t>
      </w:r>
      <w:r>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t>编制完成了《曹妃甸区垦丰家居产业园控制性详细规划环境影响跟踪评价报告》，</w:t>
      </w: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唐山市生态环境局于2024年2月8日出具了《关于转送曹妃甸区垦丰家居产业园控制性详细规划环境影响跟踪评价报告书结论的的函》（唐环评函[2024]13号）</w:t>
      </w:r>
      <w:r>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t>。</w:t>
      </w:r>
    </w:p>
    <w:p w14:paraId="244644A7">
      <w:pPr>
        <w:pStyle w:val="6"/>
        <w:pageBreakBefore w:val="0"/>
        <w:widowControl w:val="0"/>
        <w:kinsoku/>
        <w:wordWrap/>
        <w:overflowPunct/>
        <w:topLinePunct w:val="0"/>
        <w:autoSpaceDE/>
        <w:autoSpaceDN/>
        <w:bidi w:val="0"/>
        <w:adjustRightInd/>
        <w:snapToGrid/>
        <w:spacing w:before="0" w:beforeLines="0" w:after="0" w:afterLines="0" w:line="480" w:lineRule="exact"/>
        <w:textAlignment w:val="auto"/>
        <w:rPr>
          <w:rFonts w:hint="default" w:ascii="Times New Roman" w:hAnsi="Times New Roman" w:eastAsia="宋体" w:cs="Times New Roman"/>
          <w:color w:val="000000" w:themeColor="text1"/>
          <w:sz w:val="24"/>
          <w:szCs w:val="24"/>
          <w:highlight w:val="yellow"/>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w:t>
      </w:r>
      <w:r>
        <w:rPr>
          <w:rFonts w:hint="eastAsia" w:cs="Times New Roman"/>
          <w:color w:val="000000" w:themeColor="text1"/>
          <w:sz w:val="24"/>
          <w:szCs w:val="24"/>
          <w:highlight w:val="none"/>
          <w:lang w:val="en-US" w:eastAsia="zh-CN"/>
          <w14:textFill>
            <w14:solidFill>
              <w14:schemeClr w14:val="tx1"/>
            </w14:solidFill>
          </w14:textFill>
        </w:rPr>
        <w:t>8</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.1规划概况</w:t>
      </w:r>
    </w:p>
    <w:p w14:paraId="288FCC6B">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t>）规划名称：曹妃甸区垦丰家居产业园控制性详细规划</w:t>
      </w:r>
    </w:p>
    <w:p w14:paraId="5D90479D">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t>）规划位置：曹妃甸区十一农场西侧</w:t>
      </w:r>
    </w:p>
    <w:p w14:paraId="28D16F4F">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t>）规划范围：规划园区东侧至庞大汽贸东侧道路，南侧至沿海公路，西侧至三排干，北侧边界距离沿海公路约950m，整个规划区范围为135.81公顷（1.36k</w:t>
      </w:r>
      <w:r>
        <w:rPr>
          <w:rFonts w:hint="eastAsia" w:cs="Times New Roman"/>
          <w:color w:val="000000" w:themeColor="text1"/>
          <w:spacing w:val="11"/>
          <w:sz w:val="24"/>
          <w:szCs w:val="24"/>
          <w:highlight w:val="none"/>
          <w:lang w:eastAsia="zh-CN"/>
          <w14:textFill>
            <w14:solidFill>
              <w14:schemeClr w14:val="tx1"/>
            </w14:solidFill>
          </w14:textFill>
        </w:rPr>
        <w:t>m</w:t>
      </w:r>
      <w:r>
        <w:rPr>
          <w:rFonts w:hint="default" w:ascii="Times New Roman" w:hAnsi="Times New Roman" w:eastAsia="宋体" w:cs="Times New Roman"/>
          <w:color w:val="000000" w:themeColor="text1"/>
          <w:spacing w:val="11"/>
          <w:sz w:val="24"/>
          <w:szCs w:val="24"/>
          <w:highlight w:val="none"/>
          <w:vertAlign w:val="superscript"/>
          <w:lang w:eastAsia="zh-CN"/>
          <w14:textFill>
            <w14:solidFill>
              <w14:schemeClr w14:val="tx1"/>
            </w14:solidFill>
          </w14:textFill>
        </w:rPr>
        <w:t>2</w:t>
      </w:r>
      <w:r>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t>）</w:t>
      </w:r>
    </w:p>
    <w:p w14:paraId="4345EF77">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t>）功能定位：承接北京产业转移，建设家居文化创意产业园，集生产、研发、商贸以及配套服务于一体，涵盖家居产业链各环节</w:t>
      </w:r>
    </w:p>
    <w:p w14:paraId="29B5B0F2">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t>）产业发展规划：规划无明确的产业发展规划，规划环评建议明确产业规划为“主导产业为家具制造业、上游的木材加工和木制品业以及与之相容的以机加工为主的设备制造业以及仓储业，保留现有的饲料加工业，兼容高端的装备制造业”。</w:t>
      </w:r>
    </w:p>
    <w:p w14:paraId="120FFB1F">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6</w:t>
      </w:r>
      <w:r>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t>）公用工程设施规划</w:t>
      </w:r>
    </w:p>
    <w:p w14:paraId="179A0CED">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t>①供水规划</w:t>
      </w:r>
    </w:p>
    <w:p w14:paraId="1F2E77D0">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园区</w:t>
      </w:r>
      <w:r>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t>现状地块有深水井1眼，出水量每小时50t，运行良好，水质达标。</w:t>
      </w:r>
    </w:p>
    <w:p w14:paraId="71464140">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t>远期规划建设给水厂1座，位于规划园区的西南角，占地0.6公顷。水源取自十一农场落潮湾平原水库，经给水厂处理后供园区生产生活。</w:t>
      </w:r>
    </w:p>
    <w:p w14:paraId="6E732886">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②排水工程规划</w:t>
      </w:r>
    </w:p>
    <w:p w14:paraId="587F1374">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园区内实施雨污分流制。</w:t>
      </w:r>
    </w:p>
    <w:p w14:paraId="285E742F">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(1)污水工程建设：园区修建了纬一道、经二路、经三路，配套修建了污水主干管，管径为d400-d600，沿途收集规划区域内各支线的污水，最终排入垦丰家居产业园污水处理站，经处理达标后，排入附近沟渠，采用洒水车及绿化车辆在沟渠取水，用于园区内道路喷洒及绿化，园区外农田灌溉，汛期强排至三排干渠。</w:t>
      </w:r>
    </w:p>
    <w:p w14:paraId="2B973363">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(2)雨水工程建设：将雨水管线规划成若干小雨水系统，每个系统均有一个主干管，初期雨水厂内预处理后排入园区污水处理站，后期雨水分别就近排向现状河道，便于工程实施和运行管理。</w:t>
      </w:r>
    </w:p>
    <w:p w14:paraId="042372D0">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园区为了减少地下水的使用，污水经处理后首先进行回用，汛期附近沟渠不能容纳雨水和污水后，采用强排措施，排入三排干渠。</w:t>
      </w:r>
    </w:p>
    <w:p w14:paraId="0B037D8A">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园区内企业有行业水污染物排放标准的要执行该行业排放标准，无行业标准的企业须满足《污水综合排放标准》（GB8978-1996）中表4三级标准，同时满足园区污水处理厂进水水质要求。</w:t>
      </w:r>
    </w:p>
    <w:p w14:paraId="785E8895">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outlineLvl w:val="9"/>
        <w:rPr>
          <w:rFonts w:hint="default" w:ascii="Times New Roman" w:hAnsi="Times New Roman" w:eastAsia="宋体" w:cs="Times New Roman"/>
          <w:b/>
          <w:bCs/>
          <w:color w:val="auto"/>
          <w:highlight w:val="none"/>
        </w:rPr>
      </w:pPr>
      <w:r>
        <w:rPr>
          <w:rFonts w:hint="default" w:ascii="Times New Roman" w:hAnsi="Times New Roman" w:eastAsia="宋体" w:cs="Times New Roman"/>
          <w:b w:val="0"/>
          <w:bCs w:val="0"/>
          <w:color w:val="auto"/>
          <w:highlight w:val="none"/>
          <w:lang w:eastAsia="zh-CN"/>
        </w:rPr>
        <w:t>园区污水处理站</w:t>
      </w:r>
      <w:r>
        <w:rPr>
          <w:rFonts w:hint="default" w:ascii="Times New Roman" w:hAnsi="Times New Roman" w:eastAsia="宋体" w:cs="Times New Roman"/>
          <w:b w:val="0"/>
          <w:bCs w:val="0"/>
          <w:color w:val="auto"/>
          <w:highlight w:val="none"/>
          <w:lang w:val="en-US" w:eastAsia="zh-CN"/>
        </w:rPr>
        <w:t>出水执行</w:t>
      </w:r>
      <w:r>
        <w:rPr>
          <w:rFonts w:hint="default" w:ascii="Times New Roman" w:hAnsi="Times New Roman" w:eastAsia="宋体" w:cs="Times New Roman"/>
          <w:b w:val="0"/>
          <w:bCs w:val="0"/>
          <w:color w:val="auto"/>
          <w:highlight w:val="none"/>
        </w:rPr>
        <w:t>《城镇污水处理厂污染物排放标准》（GB18918－2002）的一级A标准和参照执行北京市地方标准《水污染物综合排放标准》（DB/307-2013）中表1排入地表水体的水污染物排放限值的B标准，</w:t>
      </w:r>
      <w:r>
        <w:rPr>
          <w:rFonts w:hint="default" w:ascii="Times New Roman" w:hAnsi="Times New Roman" w:eastAsia="宋体" w:cs="Times New Roman"/>
          <w:b w:val="0"/>
          <w:bCs w:val="0"/>
          <w:color w:val="auto"/>
          <w:highlight w:val="none"/>
          <w:lang w:eastAsia="zh-CN"/>
        </w:rPr>
        <w:t>同时满足</w:t>
      </w:r>
      <w:r>
        <w:rPr>
          <w:rFonts w:hint="default" w:ascii="Times New Roman" w:hAnsi="Times New Roman" w:eastAsia="宋体" w:cs="Times New Roman"/>
          <w:b w:val="0"/>
          <w:bCs w:val="0"/>
          <w:color w:val="auto"/>
          <w:highlight w:val="none"/>
        </w:rPr>
        <w:t>《城市污水再生利用 工业用水水质》（GB/T19923-2005）、《城市污水再生利用 城市杂用水水质》（GB/T18920-2020）和《农田灌溉水质标准》（GB5084-2021）相应标准。</w:t>
      </w:r>
    </w:p>
    <w:p w14:paraId="4163BBF2">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③供热工程</w:t>
      </w:r>
    </w:p>
    <w:p w14:paraId="65077D5C">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园区不设置集中供热设施，企业自行设置供热锅炉，使用天然气、生物质等原料。</w:t>
      </w:r>
    </w:p>
    <w:p w14:paraId="58A1DD7E">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④电力工程</w:t>
      </w:r>
    </w:p>
    <w:p w14:paraId="5073AD92">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电源采用沿海公路南侧规划建设的十一农场110千伏变电站，该变电站容量为2×50MW。在规划区内根据负荷大小分布建设4座10千伏开闭所，开闭所、配电所的占地面积约200</w:t>
      </w:r>
      <w:r>
        <w:rPr>
          <w:rFonts w:hint="eastAsia" w:cs="Times New Roman"/>
          <w:color w:val="000000" w:themeColor="text1"/>
          <w:spacing w:val="11"/>
          <w:sz w:val="24"/>
          <w:szCs w:val="24"/>
          <w:highlight w:val="none"/>
          <w:lang w:val="en-US" w:eastAsia="zh-CN"/>
          <w14:textFill>
            <w14:solidFill>
              <w14:schemeClr w14:val="tx1"/>
            </w14:solidFill>
          </w14:textFill>
        </w:rPr>
        <w:t>m</w:t>
      </w:r>
      <w:r>
        <w:rPr>
          <w:rFonts w:hint="default" w:ascii="Times New Roman" w:hAnsi="Times New Roman" w:eastAsia="宋体" w:cs="Times New Roman"/>
          <w:color w:val="000000" w:themeColor="text1"/>
          <w:spacing w:val="11"/>
          <w:sz w:val="24"/>
          <w:szCs w:val="24"/>
          <w:highlight w:val="none"/>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可单独建设，也可结合建筑物建设，大型企业可根据自身需求建设开关站。10千伏线路采用铠装铜芯电缆地下排管铺设，一般位于城市道路的西侧及北侧人行道下，埋深0.8m。大型建构筑物一般自带变电站，用电负荷较小的用户可由公用10千伏变电站供给电源，内设10千伏开关站，规划建设的变电站位置及容量根据实际情况进行调整。</w:t>
      </w:r>
    </w:p>
    <w:p w14:paraId="42A2E8C3">
      <w:pPr>
        <w:pStyle w:val="6"/>
        <w:pageBreakBefore w:val="0"/>
        <w:widowControl w:val="0"/>
        <w:kinsoku/>
        <w:wordWrap/>
        <w:overflowPunct/>
        <w:topLinePunct w:val="0"/>
        <w:autoSpaceDE/>
        <w:autoSpaceDN/>
        <w:bidi w:val="0"/>
        <w:adjustRightInd/>
        <w:snapToGrid/>
        <w:spacing w:before="0" w:beforeLines="0" w:after="0" w:afterLines="0"/>
        <w:textAlignment w:val="auto"/>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2.</w:t>
      </w:r>
      <w:r>
        <w:rPr>
          <w:rFonts w:hint="eastAsia" w:cs="Times New Roman"/>
          <w:color w:val="000000" w:themeColor="text1"/>
          <w:highlight w:val="none"/>
          <w:lang w:val="en-US" w:eastAsia="zh-CN"/>
          <w14:textFill>
            <w14:solidFill>
              <w14:schemeClr w14:val="tx1"/>
            </w14:solidFill>
          </w14:textFill>
        </w:rPr>
        <w:t>8</w:t>
      </w:r>
      <w:r>
        <w:rPr>
          <w:rFonts w:hint="default" w:ascii="Times New Roman" w:hAnsi="Times New Roman" w:eastAsia="宋体" w:cs="Times New Roman"/>
          <w:color w:val="000000" w:themeColor="text1"/>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highlight w:val="none"/>
          <w:lang w:eastAsia="zh-CN"/>
          <w14:textFill>
            <w14:solidFill>
              <w14:schemeClr w14:val="tx1"/>
            </w14:solidFill>
          </w14:textFill>
        </w:rPr>
        <w:t>用地规划</w:t>
      </w:r>
    </w:p>
    <w:p w14:paraId="68876A0C">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开发区总体规划确定的规划区用地范围135.81公顷，其中建设用地135.81公顷，用地指标见表2.</w:t>
      </w:r>
      <w:r>
        <w:rPr>
          <w:rFonts w:hint="eastAsia" w:cs="Times New Roman"/>
          <w:color w:val="000000" w:themeColor="text1"/>
          <w:spacing w:val="11"/>
          <w:sz w:val="24"/>
          <w:szCs w:val="24"/>
          <w:highlight w:val="none"/>
          <w:lang w:val="en-US" w:eastAsia="zh-CN"/>
          <w14:textFill>
            <w14:solidFill>
              <w14:schemeClr w14:val="tx1"/>
            </w14:solidFill>
          </w14:textFill>
        </w:rPr>
        <w:t>8</w:t>
      </w: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w:t>
      </w:r>
      <w:r>
        <w:rPr>
          <w:rFonts w:hint="eastAsia" w:cs="Times New Roman"/>
          <w:color w:val="000000" w:themeColor="text1"/>
          <w:spacing w:val="11"/>
          <w:sz w:val="24"/>
          <w:szCs w:val="24"/>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w:t>
      </w:r>
    </w:p>
    <w:p w14:paraId="03D1A1E2">
      <w:pPr>
        <w:numPr>
          <w:ilvl w:val="0"/>
          <w:numId w:val="20"/>
        </w:numPr>
        <w:spacing w:line="480" w:lineRule="exact"/>
        <w:ind w:left="425" w:leftChars="0" w:hanging="425" w:firstLineChars="0"/>
        <w:jc w:val="center"/>
        <w:rPr>
          <w:rFonts w:hint="default" w:ascii="Times New Roman" w:hAnsi="Times New Roman" w:eastAsia="宋体" w:cs="Times New Roman"/>
          <w:b/>
          <w:bCs w:val="0"/>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b/>
          <w:bCs w:val="0"/>
          <w:color w:val="000000" w:themeColor="text1"/>
          <w:sz w:val="24"/>
          <w:highlight w:val="none"/>
          <w:lang w:val="en-US" w:eastAsia="zh-CN"/>
          <w14:textFill>
            <w14:solidFill>
              <w14:schemeClr w14:val="tx1"/>
            </w14:solidFill>
          </w14:textFill>
        </w:rPr>
        <w:t>开发区土地利用分区汇总表</w:t>
      </w:r>
    </w:p>
    <w:tbl>
      <w:tblPr>
        <w:tblStyle w:val="47"/>
        <w:tblW w:w="4999"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038"/>
        <w:gridCol w:w="141"/>
        <w:gridCol w:w="3100"/>
        <w:gridCol w:w="2537"/>
        <w:gridCol w:w="2470"/>
      </w:tblGrid>
      <w:tr w14:paraId="54C43D9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304" w:type="pct"/>
            <w:gridSpan w:val="3"/>
            <w:vMerge w:val="restart"/>
            <w:tcBorders>
              <w:tl2br w:val="nil"/>
              <w:tr2bl w:val="nil"/>
            </w:tcBorders>
            <w:noWrap w:val="0"/>
            <w:vAlign w:val="center"/>
          </w:tcPr>
          <w:p w14:paraId="5A22AAD9">
            <w:pPr>
              <w:pStyle w:val="159"/>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textAlignment w:val="baseline"/>
              <w:rPr>
                <w:rFonts w:hint="default" w:ascii="Times New Roman" w:hAnsi="Times New Roman" w:eastAsia="宋体" w:cs="Times New Roman"/>
                <w:color w:val="auto"/>
                <w:kern w:val="2"/>
                <w:sz w:val="21"/>
                <w:szCs w:val="21"/>
                <w:highlight w:val="none"/>
              </w:rPr>
            </w:pPr>
            <w:r>
              <w:rPr>
                <w:rFonts w:hint="default" w:ascii="Times New Roman" w:hAnsi="Times New Roman" w:eastAsia="宋体" w:cs="Times New Roman"/>
                <w:color w:val="auto"/>
                <w:sz w:val="21"/>
                <w:szCs w:val="21"/>
                <w:highlight w:val="none"/>
              </w:rPr>
              <w:t>土地利用类型</w:t>
            </w:r>
          </w:p>
        </w:tc>
        <w:tc>
          <w:tcPr>
            <w:tcW w:w="2695" w:type="pct"/>
            <w:gridSpan w:val="2"/>
            <w:tcBorders>
              <w:tl2br w:val="nil"/>
              <w:tr2bl w:val="nil"/>
            </w:tcBorders>
            <w:noWrap w:val="0"/>
            <w:vAlign w:val="center"/>
          </w:tcPr>
          <w:p w14:paraId="03FE8686">
            <w:pPr>
              <w:pStyle w:val="159"/>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textAlignment w:val="baseline"/>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规划</w:t>
            </w:r>
          </w:p>
        </w:tc>
      </w:tr>
      <w:tr w14:paraId="56CE203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304" w:type="pct"/>
            <w:gridSpan w:val="3"/>
            <w:vMerge w:val="continue"/>
            <w:tcBorders>
              <w:tl2br w:val="nil"/>
              <w:tr2bl w:val="nil"/>
            </w:tcBorders>
            <w:noWrap w:val="0"/>
            <w:vAlign w:val="center"/>
          </w:tcPr>
          <w:p w14:paraId="1A4F1DFE">
            <w:pPr>
              <w:pStyle w:val="159"/>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textAlignment w:val="baseline"/>
              <w:rPr>
                <w:rFonts w:hint="default" w:ascii="Times New Roman" w:hAnsi="Times New Roman" w:eastAsia="宋体" w:cs="Times New Roman"/>
                <w:color w:val="auto"/>
                <w:kern w:val="2"/>
                <w:sz w:val="21"/>
                <w:szCs w:val="21"/>
                <w:highlight w:val="none"/>
              </w:rPr>
            </w:pPr>
          </w:p>
        </w:tc>
        <w:tc>
          <w:tcPr>
            <w:tcW w:w="1366" w:type="pct"/>
            <w:tcBorders>
              <w:tl2br w:val="nil"/>
              <w:tr2bl w:val="nil"/>
            </w:tcBorders>
            <w:noWrap w:val="0"/>
            <w:vAlign w:val="center"/>
          </w:tcPr>
          <w:p w14:paraId="18CF4FF5">
            <w:pPr>
              <w:pStyle w:val="159"/>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面积</w:t>
            </w:r>
          </w:p>
          <w:p w14:paraId="648D5C54">
            <w:pPr>
              <w:pStyle w:val="159"/>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textAlignment w:val="baseline"/>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eastAsia="zh-CN"/>
              </w:rPr>
              <w:t>公顷</w:t>
            </w:r>
            <w:r>
              <w:rPr>
                <w:rFonts w:hint="default" w:ascii="Times New Roman" w:hAnsi="Times New Roman" w:eastAsia="宋体" w:cs="Times New Roman"/>
                <w:color w:val="auto"/>
                <w:sz w:val="21"/>
                <w:szCs w:val="21"/>
                <w:highlight w:val="none"/>
              </w:rPr>
              <w:t>）</w:t>
            </w:r>
          </w:p>
        </w:tc>
        <w:tc>
          <w:tcPr>
            <w:tcW w:w="1329" w:type="pct"/>
            <w:tcBorders>
              <w:tl2br w:val="nil"/>
              <w:tr2bl w:val="nil"/>
            </w:tcBorders>
            <w:noWrap w:val="0"/>
            <w:vAlign w:val="center"/>
          </w:tcPr>
          <w:p w14:paraId="3433785E">
            <w:pPr>
              <w:pStyle w:val="159"/>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textAlignment w:val="baseline"/>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占</w:t>
            </w:r>
            <w:r>
              <w:rPr>
                <w:rFonts w:hint="default" w:ascii="Times New Roman" w:hAnsi="Times New Roman" w:eastAsia="宋体" w:cs="Times New Roman"/>
                <w:color w:val="auto"/>
                <w:sz w:val="21"/>
                <w:szCs w:val="21"/>
                <w:highlight w:val="none"/>
                <w:lang w:eastAsia="zh-CN"/>
              </w:rPr>
              <w:t>建设用地</w:t>
            </w:r>
            <w:r>
              <w:rPr>
                <w:rFonts w:hint="default" w:ascii="Times New Roman" w:hAnsi="Times New Roman" w:eastAsia="宋体" w:cs="Times New Roman"/>
                <w:color w:val="auto"/>
                <w:sz w:val="21"/>
                <w:szCs w:val="21"/>
                <w:highlight w:val="none"/>
              </w:rPr>
              <w:t>比例（%）</w:t>
            </w:r>
          </w:p>
        </w:tc>
      </w:tr>
      <w:tr w14:paraId="33DB30A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635" w:type="pct"/>
            <w:gridSpan w:val="2"/>
            <w:tcBorders>
              <w:tl2br w:val="nil"/>
              <w:tr2bl w:val="nil"/>
            </w:tcBorders>
            <w:noWrap w:val="0"/>
            <w:vAlign w:val="center"/>
          </w:tcPr>
          <w:p w14:paraId="5423D231">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1</w:t>
            </w:r>
          </w:p>
        </w:tc>
        <w:tc>
          <w:tcPr>
            <w:tcW w:w="1668" w:type="pct"/>
            <w:tcBorders>
              <w:tl2br w:val="nil"/>
              <w:tr2bl w:val="nil"/>
            </w:tcBorders>
            <w:noWrap w:val="0"/>
            <w:vAlign w:val="center"/>
          </w:tcPr>
          <w:p w14:paraId="0CAD357D">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公共设施用地</w:t>
            </w:r>
            <w:r>
              <w:rPr>
                <w:rFonts w:hint="default" w:ascii="Times New Roman" w:hAnsi="Times New Roman" w:eastAsia="宋体" w:cs="Times New Roman"/>
                <w:color w:val="auto"/>
                <w:sz w:val="21"/>
                <w:szCs w:val="21"/>
                <w:highlight w:val="none"/>
                <w:lang w:val="en-US" w:eastAsia="zh-CN"/>
              </w:rPr>
              <w:t>(商业金融用地)</w:t>
            </w:r>
          </w:p>
        </w:tc>
        <w:tc>
          <w:tcPr>
            <w:tcW w:w="1366" w:type="pct"/>
            <w:tcBorders>
              <w:tl2br w:val="nil"/>
              <w:tr2bl w:val="nil"/>
            </w:tcBorders>
            <w:noWrap w:val="0"/>
            <w:vAlign w:val="center"/>
          </w:tcPr>
          <w:p w14:paraId="726248CE">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9.14</w:t>
            </w:r>
          </w:p>
        </w:tc>
        <w:tc>
          <w:tcPr>
            <w:tcW w:w="1329" w:type="pct"/>
            <w:tcBorders>
              <w:tl2br w:val="nil"/>
              <w:tr2bl w:val="nil"/>
            </w:tcBorders>
            <w:noWrap w:val="0"/>
            <w:vAlign w:val="center"/>
          </w:tcPr>
          <w:p w14:paraId="02680FB8">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6.73</w:t>
            </w:r>
          </w:p>
        </w:tc>
      </w:tr>
      <w:tr w14:paraId="1819D97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635" w:type="pct"/>
            <w:gridSpan w:val="2"/>
            <w:tcBorders>
              <w:tl2br w:val="nil"/>
              <w:tr2bl w:val="nil"/>
            </w:tcBorders>
            <w:noWrap w:val="0"/>
            <w:vAlign w:val="center"/>
          </w:tcPr>
          <w:p w14:paraId="77C24236">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2</w:t>
            </w:r>
          </w:p>
        </w:tc>
        <w:tc>
          <w:tcPr>
            <w:tcW w:w="1668" w:type="pct"/>
            <w:tcBorders>
              <w:tl2br w:val="nil"/>
              <w:tr2bl w:val="nil"/>
            </w:tcBorders>
            <w:noWrap w:val="0"/>
            <w:vAlign w:val="center"/>
          </w:tcPr>
          <w:p w14:paraId="20AD75AB">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二类工业用地</w:t>
            </w:r>
          </w:p>
        </w:tc>
        <w:tc>
          <w:tcPr>
            <w:tcW w:w="1366" w:type="pct"/>
            <w:tcBorders>
              <w:tl2br w:val="nil"/>
              <w:tr2bl w:val="nil"/>
            </w:tcBorders>
            <w:noWrap w:val="0"/>
            <w:vAlign w:val="center"/>
          </w:tcPr>
          <w:p w14:paraId="3CDAA117">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100.12</w:t>
            </w:r>
          </w:p>
        </w:tc>
        <w:tc>
          <w:tcPr>
            <w:tcW w:w="1329" w:type="pct"/>
            <w:tcBorders>
              <w:tl2br w:val="nil"/>
              <w:tr2bl w:val="nil"/>
            </w:tcBorders>
            <w:noWrap w:val="0"/>
            <w:vAlign w:val="center"/>
          </w:tcPr>
          <w:p w14:paraId="120D718B">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73.72</w:t>
            </w:r>
          </w:p>
        </w:tc>
      </w:tr>
      <w:tr w14:paraId="148C85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635" w:type="pct"/>
            <w:gridSpan w:val="2"/>
            <w:tcBorders>
              <w:tl2br w:val="nil"/>
              <w:tr2bl w:val="nil"/>
            </w:tcBorders>
            <w:noWrap w:val="0"/>
            <w:vAlign w:val="center"/>
          </w:tcPr>
          <w:p w14:paraId="54D4F267">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3</w:t>
            </w:r>
          </w:p>
        </w:tc>
        <w:tc>
          <w:tcPr>
            <w:tcW w:w="1668" w:type="pct"/>
            <w:tcBorders>
              <w:tl2br w:val="nil"/>
              <w:tr2bl w:val="nil"/>
            </w:tcBorders>
            <w:noWrap w:val="0"/>
            <w:vAlign w:val="center"/>
          </w:tcPr>
          <w:p w14:paraId="3219A4F3">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仓储用地</w:t>
            </w:r>
          </w:p>
        </w:tc>
        <w:tc>
          <w:tcPr>
            <w:tcW w:w="1366" w:type="pct"/>
            <w:tcBorders>
              <w:tl2br w:val="nil"/>
              <w:tr2bl w:val="nil"/>
            </w:tcBorders>
            <w:noWrap w:val="0"/>
            <w:vAlign w:val="center"/>
          </w:tcPr>
          <w:p w14:paraId="44E75FA5">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11.78</w:t>
            </w:r>
          </w:p>
        </w:tc>
        <w:tc>
          <w:tcPr>
            <w:tcW w:w="1329" w:type="pct"/>
            <w:tcBorders>
              <w:tl2br w:val="nil"/>
              <w:tr2bl w:val="nil"/>
            </w:tcBorders>
            <w:noWrap w:val="0"/>
            <w:vAlign w:val="center"/>
          </w:tcPr>
          <w:p w14:paraId="20EB0EC6">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8.67</w:t>
            </w:r>
          </w:p>
        </w:tc>
      </w:tr>
      <w:tr w14:paraId="7434C4E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635" w:type="pct"/>
            <w:gridSpan w:val="2"/>
            <w:tcBorders>
              <w:tl2br w:val="nil"/>
              <w:tr2bl w:val="nil"/>
            </w:tcBorders>
            <w:noWrap w:val="0"/>
            <w:vAlign w:val="center"/>
          </w:tcPr>
          <w:p w14:paraId="7675EF8C">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4</w:t>
            </w:r>
          </w:p>
        </w:tc>
        <w:tc>
          <w:tcPr>
            <w:tcW w:w="1668" w:type="pct"/>
            <w:tcBorders>
              <w:tl2br w:val="nil"/>
              <w:tr2bl w:val="nil"/>
            </w:tcBorders>
            <w:noWrap w:val="0"/>
            <w:vAlign w:val="center"/>
          </w:tcPr>
          <w:p w14:paraId="3D1A9936">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道路用地</w:t>
            </w:r>
          </w:p>
        </w:tc>
        <w:tc>
          <w:tcPr>
            <w:tcW w:w="1366" w:type="pct"/>
            <w:tcBorders>
              <w:tl2br w:val="nil"/>
              <w:tr2bl w:val="nil"/>
            </w:tcBorders>
            <w:noWrap w:val="0"/>
            <w:vAlign w:val="center"/>
          </w:tcPr>
          <w:p w14:paraId="191BDFDA">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9.42</w:t>
            </w:r>
          </w:p>
        </w:tc>
        <w:tc>
          <w:tcPr>
            <w:tcW w:w="1329" w:type="pct"/>
            <w:tcBorders>
              <w:tl2br w:val="nil"/>
              <w:tr2bl w:val="nil"/>
            </w:tcBorders>
            <w:noWrap w:val="0"/>
            <w:vAlign w:val="center"/>
          </w:tcPr>
          <w:p w14:paraId="096817D1">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6.94</w:t>
            </w:r>
          </w:p>
        </w:tc>
      </w:tr>
      <w:tr w14:paraId="7BEF5C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635" w:type="pct"/>
            <w:gridSpan w:val="2"/>
            <w:tcBorders>
              <w:tl2br w:val="nil"/>
              <w:tr2bl w:val="nil"/>
            </w:tcBorders>
            <w:noWrap w:val="0"/>
            <w:vAlign w:val="center"/>
          </w:tcPr>
          <w:p w14:paraId="343247CE">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5</w:t>
            </w:r>
          </w:p>
        </w:tc>
        <w:tc>
          <w:tcPr>
            <w:tcW w:w="1668" w:type="pct"/>
            <w:tcBorders>
              <w:tl2br w:val="nil"/>
              <w:tr2bl w:val="nil"/>
            </w:tcBorders>
            <w:noWrap w:val="0"/>
            <w:vAlign w:val="center"/>
          </w:tcPr>
          <w:p w14:paraId="76C30E24">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工程设施用地</w:t>
            </w:r>
          </w:p>
        </w:tc>
        <w:tc>
          <w:tcPr>
            <w:tcW w:w="1366" w:type="pct"/>
            <w:tcBorders>
              <w:tl2br w:val="nil"/>
              <w:tr2bl w:val="nil"/>
            </w:tcBorders>
            <w:noWrap w:val="0"/>
            <w:vAlign w:val="center"/>
          </w:tcPr>
          <w:p w14:paraId="31F4D5D1">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1.71</w:t>
            </w:r>
          </w:p>
        </w:tc>
        <w:tc>
          <w:tcPr>
            <w:tcW w:w="1329" w:type="pct"/>
            <w:tcBorders>
              <w:tl2br w:val="nil"/>
              <w:tr2bl w:val="nil"/>
            </w:tcBorders>
            <w:noWrap w:val="0"/>
            <w:vAlign w:val="center"/>
          </w:tcPr>
          <w:p w14:paraId="163555F8">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1.26</w:t>
            </w:r>
          </w:p>
        </w:tc>
      </w:tr>
      <w:tr w14:paraId="107939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635" w:type="pct"/>
            <w:gridSpan w:val="2"/>
            <w:tcBorders>
              <w:tl2br w:val="nil"/>
              <w:tr2bl w:val="nil"/>
            </w:tcBorders>
            <w:noWrap w:val="0"/>
            <w:vAlign w:val="center"/>
          </w:tcPr>
          <w:p w14:paraId="1C21D008">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6</w:t>
            </w:r>
          </w:p>
        </w:tc>
        <w:tc>
          <w:tcPr>
            <w:tcW w:w="1668" w:type="pct"/>
            <w:tcBorders>
              <w:tl2br w:val="nil"/>
              <w:tr2bl w:val="nil"/>
            </w:tcBorders>
            <w:noWrap w:val="0"/>
            <w:vAlign w:val="center"/>
          </w:tcPr>
          <w:p w14:paraId="75A564F0">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绿地</w:t>
            </w:r>
          </w:p>
        </w:tc>
        <w:tc>
          <w:tcPr>
            <w:tcW w:w="1366" w:type="pct"/>
            <w:tcBorders>
              <w:tl2br w:val="nil"/>
              <w:tr2bl w:val="nil"/>
            </w:tcBorders>
            <w:noWrap w:val="0"/>
            <w:vAlign w:val="center"/>
          </w:tcPr>
          <w:p w14:paraId="10891220">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3.64</w:t>
            </w:r>
          </w:p>
        </w:tc>
        <w:tc>
          <w:tcPr>
            <w:tcW w:w="1329" w:type="pct"/>
            <w:tcBorders>
              <w:tl2br w:val="nil"/>
              <w:tr2bl w:val="nil"/>
            </w:tcBorders>
            <w:noWrap w:val="0"/>
            <w:vAlign w:val="center"/>
          </w:tcPr>
          <w:p w14:paraId="5447CC1E">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2.68</w:t>
            </w:r>
          </w:p>
        </w:tc>
      </w:tr>
      <w:tr w14:paraId="6FAE8C5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304" w:type="pct"/>
            <w:gridSpan w:val="3"/>
            <w:tcBorders>
              <w:tl2br w:val="nil"/>
              <w:tr2bl w:val="nil"/>
            </w:tcBorders>
            <w:noWrap w:val="0"/>
            <w:vAlign w:val="center"/>
          </w:tcPr>
          <w:p w14:paraId="5D0BDE29">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城市建设用地</w:t>
            </w:r>
          </w:p>
        </w:tc>
        <w:tc>
          <w:tcPr>
            <w:tcW w:w="1366" w:type="pct"/>
            <w:tcBorders>
              <w:tl2br w:val="nil"/>
              <w:tr2bl w:val="nil"/>
            </w:tcBorders>
            <w:noWrap w:val="0"/>
            <w:vAlign w:val="center"/>
          </w:tcPr>
          <w:p w14:paraId="5EF167F4">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135.81</w:t>
            </w:r>
          </w:p>
        </w:tc>
        <w:tc>
          <w:tcPr>
            <w:tcW w:w="1329" w:type="pct"/>
            <w:tcBorders>
              <w:tl2br w:val="nil"/>
              <w:tr2bl w:val="nil"/>
            </w:tcBorders>
            <w:noWrap w:val="0"/>
            <w:vAlign w:val="center"/>
          </w:tcPr>
          <w:p w14:paraId="78E0815A">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100</w:t>
            </w:r>
          </w:p>
        </w:tc>
      </w:tr>
      <w:tr w14:paraId="4302421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59" w:type="pct"/>
            <w:vMerge w:val="restart"/>
            <w:tcBorders>
              <w:tl2br w:val="nil"/>
              <w:tr2bl w:val="nil"/>
            </w:tcBorders>
            <w:noWrap w:val="0"/>
            <w:vAlign w:val="center"/>
          </w:tcPr>
          <w:p w14:paraId="31BFDEA2">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7</w:t>
            </w:r>
          </w:p>
        </w:tc>
        <w:tc>
          <w:tcPr>
            <w:tcW w:w="1744" w:type="pct"/>
            <w:gridSpan w:val="2"/>
            <w:vMerge w:val="restart"/>
            <w:tcBorders>
              <w:tl2br w:val="nil"/>
              <w:tr2bl w:val="nil"/>
            </w:tcBorders>
            <w:noWrap w:val="0"/>
            <w:vAlign w:val="center"/>
          </w:tcPr>
          <w:p w14:paraId="24BC6907">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非建设用地</w:t>
            </w:r>
          </w:p>
        </w:tc>
        <w:tc>
          <w:tcPr>
            <w:tcW w:w="1366" w:type="pct"/>
            <w:tcBorders>
              <w:tl2br w:val="nil"/>
              <w:tr2bl w:val="nil"/>
            </w:tcBorders>
            <w:noWrap w:val="0"/>
            <w:vAlign w:val="center"/>
          </w:tcPr>
          <w:p w14:paraId="243DE9CB">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0</w:t>
            </w:r>
          </w:p>
        </w:tc>
        <w:tc>
          <w:tcPr>
            <w:tcW w:w="1329" w:type="pct"/>
            <w:tcBorders>
              <w:tl2br w:val="nil"/>
              <w:tr2bl w:val="nil"/>
            </w:tcBorders>
            <w:noWrap w:val="0"/>
            <w:vAlign w:val="center"/>
          </w:tcPr>
          <w:p w14:paraId="07E5EE9E">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0</w:t>
            </w:r>
          </w:p>
        </w:tc>
      </w:tr>
      <w:tr w14:paraId="40AB180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59" w:type="pct"/>
            <w:vMerge w:val="continue"/>
            <w:tcBorders>
              <w:tl2br w:val="nil"/>
              <w:tr2bl w:val="nil"/>
            </w:tcBorders>
            <w:noWrap w:val="0"/>
            <w:vAlign w:val="center"/>
          </w:tcPr>
          <w:p w14:paraId="643118F0">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sz w:val="21"/>
                <w:szCs w:val="21"/>
                <w:highlight w:val="none"/>
                <w:lang w:val="en-US" w:eastAsia="zh-CN"/>
              </w:rPr>
            </w:pPr>
          </w:p>
        </w:tc>
        <w:tc>
          <w:tcPr>
            <w:tcW w:w="1744" w:type="pct"/>
            <w:gridSpan w:val="2"/>
            <w:vMerge w:val="continue"/>
            <w:tcBorders>
              <w:tl2br w:val="nil"/>
              <w:tr2bl w:val="nil"/>
            </w:tcBorders>
            <w:noWrap w:val="0"/>
            <w:vAlign w:val="center"/>
          </w:tcPr>
          <w:p w14:paraId="63E7762D">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sz w:val="21"/>
                <w:szCs w:val="21"/>
                <w:highlight w:val="none"/>
                <w:lang w:val="en-US" w:eastAsia="zh-CN"/>
              </w:rPr>
            </w:pPr>
          </w:p>
        </w:tc>
        <w:tc>
          <w:tcPr>
            <w:tcW w:w="1366" w:type="pct"/>
            <w:tcBorders>
              <w:tl2br w:val="nil"/>
              <w:tr2bl w:val="nil"/>
            </w:tcBorders>
            <w:noWrap w:val="0"/>
            <w:vAlign w:val="center"/>
          </w:tcPr>
          <w:p w14:paraId="4CB877A7">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0</w:t>
            </w:r>
          </w:p>
        </w:tc>
        <w:tc>
          <w:tcPr>
            <w:tcW w:w="1329" w:type="pct"/>
            <w:tcBorders>
              <w:tl2br w:val="nil"/>
              <w:tr2bl w:val="nil"/>
            </w:tcBorders>
            <w:noWrap w:val="0"/>
            <w:vAlign w:val="center"/>
          </w:tcPr>
          <w:p w14:paraId="63954301">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0</w:t>
            </w:r>
          </w:p>
        </w:tc>
      </w:tr>
      <w:tr w14:paraId="3FFB727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59" w:type="pct"/>
            <w:vMerge w:val="continue"/>
            <w:tcBorders>
              <w:tl2br w:val="nil"/>
              <w:tr2bl w:val="nil"/>
            </w:tcBorders>
            <w:noWrap w:val="0"/>
            <w:vAlign w:val="center"/>
          </w:tcPr>
          <w:p w14:paraId="1D96B4F6">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sz w:val="21"/>
                <w:szCs w:val="21"/>
                <w:highlight w:val="none"/>
                <w:lang w:val="en-US" w:eastAsia="zh-CN"/>
              </w:rPr>
            </w:pPr>
          </w:p>
        </w:tc>
        <w:tc>
          <w:tcPr>
            <w:tcW w:w="1744" w:type="pct"/>
            <w:gridSpan w:val="2"/>
            <w:vMerge w:val="continue"/>
            <w:tcBorders>
              <w:tl2br w:val="nil"/>
              <w:tr2bl w:val="nil"/>
            </w:tcBorders>
            <w:noWrap w:val="0"/>
            <w:vAlign w:val="center"/>
          </w:tcPr>
          <w:p w14:paraId="4CFAADB4">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sz w:val="21"/>
                <w:szCs w:val="21"/>
                <w:highlight w:val="none"/>
                <w:lang w:val="en-US" w:eastAsia="zh-CN"/>
              </w:rPr>
            </w:pPr>
          </w:p>
        </w:tc>
        <w:tc>
          <w:tcPr>
            <w:tcW w:w="1366" w:type="pct"/>
            <w:tcBorders>
              <w:tl2br w:val="nil"/>
              <w:tr2bl w:val="nil"/>
            </w:tcBorders>
            <w:noWrap w:val="0"/>
            <w:vAlign w:val="center"/>
          </w:tcPr>
          <w:p w14:paraId="399D97C9">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0</w:t>
            </w:r>
          </w:p>
        </w:tc>
        <w:tc>
          <w:tcPr>
            <w:tcW w:w="1329" w:type="pct"/>
            <w:tcBorders>
              <w:tl2br w:val="nil"/>
              <w:tr2bl w:val="nil"/>
            </w:tcBorders>
            <w:noWrap w:val="0"/>
            <w:vAlign w:val="center"/>
          </w:tcPr>
          <w:p w14:paraId="37759DC0">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0</w:t>
            </w:r>
          </w:p>
        </w:tc>
      </w:tr>
      <w:tr w14:paraId="252CD2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304" w:type="pct"/>
            <w:gridSpan w:val="3"/>
            <w:tcBorders>
              <w:tl2br w:val="nil"/>
              <w:tr2bl w:val="nil"/>
            </w:tcBorders>
            <w:noWrap w:val="0"/>
            <w:vAlign w:val="center"/>
          </w:tcPr>
          <w:p w14:paraId="3208562F">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eastAsia="zh-CN"/>
              </w:rPr>
              <w:t>总计</w:t>
            </w:r>
          </w:p>
        </w:tc>
        <w:tc>
          <w:tcPr>
            <w:tcW w:w="2695" w:type="pct"/>
            <w:gridSpan w:val="2"/>
            <w:tcBorders>
              <w:tl2br w:val="nil"/>
              <w:tr2bl w:val="nil"/>
            </w:tcBorders>
            <w:noWrap w:val="0"/>
            <w:vAlign w:val="center"/>
          </w:tcPr>
          <w:p w14:paraId="10BE9388">
            <w:pPr>
              <w:pStyle w:val="159"/>
              <w:keepNext w:val="0"/>
              <w:keepLines w:val="0"/>
              <w:pageBreakBefore w:val="0"/>
              <w:widowControl w:val="0"/>
              <w:kinsoku/>
              <w:wordWrap/>
              <w:overflowPunct/>
              <w:topLinePunct w:val="0"/>
              <w:autoSpaceDE/>
              <w:autoSpaceDN/>
              <w:bidi w:val="0"/>
              <w:adjustRightInd w:val="0"/>
              <w:snapToGrid w:val="0"/>
              <w:spacing w:before="0" w:after="0" w:line="320" w:lineRule="exact"/>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135.81</w:t>
            </w:r>
          </w:p>
        </w:tc>
      </w:tr>
    </w:tbl>
    <w:p w14:paraId="3D097771">
      <w:pPr>
        <w:keepNext w:val="0"/>
        <w:keepLines w:val="0"/>
        <w:pageBreakBefore w:val="0"/>
        <w:widowControl w:val="0"/>
        <w:kinsoku/>
        <w:wordWrap/>
        <w:overflowPunct/>
        <w:topLinePunct w:val="0"/>
        <w:bidi w:val="0"/>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本项目占地为公用设施用地。</w:t>
      </w:r>
    </w:p>
    <w:p w14:paraId="40FE9707">
      <w:pPr>
        <w:pStyle w:val="6"/>
        <w:pageBreakBefore w:val="0"/>
        <w:widowControl w:val="0"/>
        <w:kinsoku/>
        <w:wordWrap/>
        <w:overflowPunct/>
        <w:topLinePunct w:val="0"/>
        <w:autoSpaceDE/>
        <w:autoSpaceDN/>
        <w:bidi w:val="0"/>
        <w:adjustRightInd/>
        <w:snapToGrid/>
        <w:spacing w:before="0" w:beforeLines="0" w:after="0" w:afterLines="0"/>
        <w:textAlignment w:val="auto"/>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2.</w:t>
      </w:r>
      <w:r>
        <w:rPr>
          <w:rFonts w:hint="eastAsia" w:cs="Times New Roman"/>
          <w:color w:val="000000" w:themeColor="text1"/>
          <w:highlight w:val="none"/>
          <w:lang w:val="en-US" w:eastAsia="zh-CN"/>
          <w14:textFill>
            <w14:solidFill>
              <w14:schemeClr w14:val="tx1"/>
            </w14:solidFill>
          </w14:textFill>
        </w:rPr>
        <w:t>8</w:t>
      </w:r>
      <w:r>
        <w:rPr>
          <w:rFonts w:hint="default" w:ascii="Times New Roman" w:hAnsi="Times New Roman" w:eastAsia="宋体" w:cs="Times New Roman"/>
          <w:color w:val="000000" w:themeColor="text1"/>
          <w:highlight w:val="none"/>
          <w:lang w:val="en-US" w:eastAsia="zh-CN"/>
          <w14:textFill>
            <w14:solidFill>
              <w14:schemeClr w14:val="tx1"/>
            </w14:solidFill>
          </w14:textFill>
        </w:rPr>
        <w:t>.3园区基础设施与项目衔接可行性</w:t>
      </w:r>
    </w:p>
    <w:p w14:paraId="49DBF435">
      <w:pPr>
        <w:rPr>
          <w:rFonts w:hint="default"/>
          <w:highlight w:val="none"/>
          <w:lang w:val="en-US" w:eastAsia="zh-CN"/>
        </w:rPr>
      </w:pPr>
      <w:r>
        <w:rPr>
          <w:rFonts w:hint="default"/>
          <w:highlight w:val="none"/>
          <w:lang w:val="en-US" w:eastAsia="zh-CN"/>
        </w:rPr>
        <w:t>（1）给水</w:t>
      </w:r>
    </w:p>
    <w:p w14:paraId="121565A5">
      <w:pPr>
        <w:rPr>
          <w:rFonts w:hint="default"/>
          <w:highlight w:val="none"/>
          <w:lang w:val="en-US" w:eastAsia="zh-CN"/>
        </w:rPr>
      </w:pPr>
      <w:r>
        <w:rPr>
          <w:rFonts w:hint="default"/>
          <w:highlight w:val="none"/>
          <w:lang w:val="en-US" w:eastAsia="zh-CN"/>
        </w:rPr>
        <w:t>园区现状地块有深水井1眼，出水量每小时50t，运行良好，水质达标。园区给水管网布置形式沿路直埋敷设；主干管设为环状，支干管设为枝状和环状两种。目前园区给水管网已覆盖至本项目区域，本项目新增设备冲洗用水量为8.5</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/d；新增</w:t>
      </w:r>
      <w:r>
        <w:rPr>
          <w:rFonts w:hint="eastAsia"/>
          <w:highlight w:val="none"/>
          <w:lang w:val="en-US" w:eastAsia="zh-CN"/>
        </w:rPr>
        <w:t>PAM、PAC调配</w:t>
      </w:r>
      <w:r>
        <w:rPr>
          <w:rFonts w:hint="default"/>
          <w:highlight w:val="none"/>
          <w:lang w:val="en-US" w:eastAsia="zh-CN"/>
        </w:rPr>
        <w:t>用水0.5</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/d。全部为本项目处理达标尾水回用，本项目不新增新鲜用水量。</w:t>
      </w:r>
    </w:p>
    <w:p w14:paraId="57509FF6">
      <w:pPr>
        <w:rPr>
          <w:rFonts w:hint="default"/>
          <w:highlight w:val="none"/>
          <w:lang w:val="en-US" w:eastAsia="zh-CN"/>
        </w:rPr>
      </w:pPr>
      <w:r>
        <w:rPr>
          <w:rFonts w:hint="default"/>
          <w:highlight w:val="none"/>
          <w:lang w:val="en-US" w:eastAsia="zh-CN"/>
        </w:rPr>
        <w:t>（2）供热</w:t>
      </w:r>
    </w:p>
    <w:p w14:paraId="2CE2F63E">
      <w:pPr>
        <w:rPr>
          <w:rFonts w:hint="default"/>
          <w:highlight w:val="none"/>
          <w:lang w:val="en-US" w:eastAsia="zh-CN"/>
        </w:rPr>
      </w:pPr>
      <w:r>
        <w:rPr>
          <w:rFonts w:hint="default"/>
          <w:highlight w:val="none"/>
          <w:lang w:val="en-US" w:eastAsia="zh-CN"/>
        </w:rPr>
        <w:t>园区不设置集中供热设施，本项目</w:t>
      </w:r>
      <w:r>
        <w:rPr>
          <w:rFonts w:hint="eastAsia"/>
          <w:highlight w:val="none"/>
          <w:lang w:val="en-US" w:eastAsia="zh-CN"/>
        </w:rPr>
        <w:t>加药间、实验室等办公区域</w:t>
      </w:r>
      <w:r>
        <w:rPr>
          <w:rFonts w:hint="default"/>
          <w:highlight w:val="none"/>
          <w:lang w:val="en-US" w:eastAsia="zh-CN"/>
        </w:rPr>
        <w:t>供热为单体空调。</w:t>
      </w:r>
    </w:p>
    <w:p w14:paraId="560ACCAD">
      <w:pPr>
        <w:rPr>
          <w:rFonts w:hint="default"/>
          <w:highlight w:val="none"/>
          <w:lang w:val="en-US" w:eastAsia="zh-CN"/>
        </w:rPr>
      </w:pPr>
      <w:r>
        <w:rPr>
          <w:rFonts w:hint="default"/>
          <w:highlight w:val="none"/>
          <w:lang w:val="en-US" w:eastAsia="zh-CN"/>
        </w:rPr>
        <w:t>（3）供电</w:t>
      </w:r>
    </w:p>
    <w:p w14:paraId="67F1CA48">
      <w:pPr>
        <w:rPr>
          <w:rFonts w:hint="default"/>
          <w:highlight w:val="none"/>
          <w:lang w:val="en-US" w:eastAsia="zh-CN"/>
        </w:rPr>
      </w:pPr>
      <w:r>
        <w:rPr>
          <w:rFonts w:hint="default"/>
          <w:highlight w:val="none"/>
          <w:lang w:val="en-US" w:eastAsia="zh-CN"/>
        </w:rPr>
        <w:t>本工程年用电量约48.2万kW·h，由园区电网提供，可满足本项目用电要求，厂区用电由10KV供电专线引入。</w:t>
      </w:r>
    </w:p>
    <w:p w14:paraId="08D2E907">
      <w:pPr>
        <w:rPr>
          <w:rFonts w:hint="default"/>
          <w:highlight w:val="none"/>
          <w:lang w:val="en-US" w:eastAsia="zh-CN"/>
        </w:rPr>
      </w:pPr>
      <w:r>
        <w:rPr>
          <w:rFonts w:hint="default"/>
          <w:highlight w:val="none"/>
          <w:lang w:val="en-US" w:eastAsia="zh-CN"/>
        </w:rPr>
        <w:t>（4）排水及园区污水处理厂建设情况</w:t>
      </w:r>
    </w:p>
    <w:p w14:paraId="7E190A76">
      <w:pPr>
        <w:rPr>
          <w:rFonts w:hint="default"/>
          <w:highlight w:val="none"/>
          <w:lang w:val="en-US" w:eastAsia="zh-CN"/>
        </w:rPr>
      </w:pPr>
      <w:r>
        <w:rPr>
          <w:rFonts w:hint="default"/>
          <w:highlight w:val="none"/>
          <w:lang w:val="en-US" w:eastAsia="zh-CN"/>
        </w:rPr>
        <w:t>园区污水主干管沿纬一道、纬二道、经三路修建，管径为D400-D600，沿途收集规划区域各支线的污水，最终排入园区污水处理厂（本项目）。</w:t>
      </w:r>
    </w:p>
    <w:p w14:paraId="4E506ADC">
      <w:pPr>
        <w:rPr>
          <w:rFonts w:hint="default"/>
          <w:highlight w:val="none"/>
          <w:lang w:val="en-US" w:eastAsia="zh-CN"/>
        </w:rPr>
      </w:pPr>
      <w:r>
        <w:rPr>
          <w:rFonts w:hint="eastAsia"/>
          <w:highlight w:val="none"/>
          <w:lang w:val="en-US" w:eastAsia="zh-CN"/>
        </w:rPr>
        <w:t>本项目扩建完成后处理规模为250m</w:t>
      </w:r>
      <w:r>
        <w:rPr>
          <w:rFonts w:hint="eastAsia"/>
          <w:highlight w:val="none"/>
          <w:vertAlign w:val="superscript"/>
          <w:lang w:val="en-US" w:eastAsia="zh-CN"/>
        </w:rPr>
        <w:t>3</w:t>
      </w:r>
      <w:r>
        <w:rPr>
          <w:rFonts w:hint="eastAsia"/>
          <w:highlight w:val="none"/>
          <w:lang w:val="en-US" w:eastAsia="zh-CN"/>
        </w:rPr>
        <w:t>/d，由于进水增加锅炉排水、冷却塔定排水等工业废水，本项目废水经处理达标后不再排入附近沟渠回用于农田灌溉。本项目生产、园区绿化、园区道路泼洒抑尘及金木美佳等园区企业生产需要中水，经分析全年能够实现全部回用，故排放标准与原规划有差异。</w:t>
      </w:r>
    </w:p>
    <w:p w14:paraId="07BCA560">
      <w:pPr>
        <w:rPr>
          <w:rFonts w:hint="default"/>
          <w:highlight w:val="none"/>
          <w:lang w:val="en-US" w:eastAsia="zh-CN"/>
        </w:rPr>
      </w:pPr>
      <w:r>
        <w:rPr>
          <w:rFonts w:hint="default"/>
          <w:highlight w:val="none"/>
          <w:lang w:val="en-US" w:eastAsia="zh-CN"/>
        </w:rPr>
        <w:t>本项目新增</w:t>
      </w:r>
      <w:r>
        <w:rPr>
          <w:rFonts w:hint="eastAsia"/>
          <w:highlight w:val="none"/>
          <w:lang w:val="en-US" w:eastAsia="zh-CN"/>
        </w:rPr>
        <w:t>生活污水、</w:t>
      </w:r>
      <w:r>
        <w:rPr>
          <w:rFonts w:hint="default"/>
          <w:highlight w:val="none"/>
          <w:lang w:val="en-US" w:eastAsia="zh-CN"/>
        </w:rPr>
        <w:t>设备</w:t>
      </w:r>
      <w:r>
        <w:rPr>
          <w:rFonts w:hint="eastAsia"/>
          <w:highlight w:val="none"/>
          <w:lang w:val="en-US" w:eastAsia="zh-CN"/>
        </w:rPr>
        <w:t>、污泥脱水间</w:t>
      </w:r>
      <w:r>
        <w:rPr>
          <w:rFonts w:hint="default"/>
          <w:highlight w:val="none"/>
          <w:lang w:val="en-US" w:eastAsia="zh-CN"/>
        </w:rPr>
        <w:t>冲洗水</w:t>
      </w:r>
      <w:r>
        <w:rPr>
          <w:rFonts w:hint="eastAsia"/>
          <w:highlight w:val="none"/>
          <w:lang w:val="en-US" w:eastAsia="zh-CN"/>
        </w:rPr>
        <w:t>、PAM、PAC调配</w:t>
      </w:r>
      <w:r>
        <w:rPr>
          <w:rFonts w:hint="default"/>
          <w:highlight w:val="none"/>
          <w:lang w:val="en-US" w:eastAsia="zh-CN"/>
        </w:rPr>
        <w:t>用水</w:t>
      </w:r>
      <w:r>
        <w:rPr>
          <w:rFonts w:hint="eastAsia"/>
          <w:highlight w:val="none"/>
          <w:lang w:val="en-US" w:eastAsia="zh-CN"/>
        </w:rPr>
        <w:t>、实验室用水，均</w:t>
      </w:r>
      <w:r>
        <w:rPr>
          <w:rFonts w:hint="default"/>
          <w:highlight w:val="none"/>
          <w:lang w:val="en-US" w:eastAsia="zh-CN"/>
        </w:rPr>
        <w:t>排入本厂污水处理系统进行处理，</w:t>
      </w:r>
      <w:bookmarkStart w:id="111" w:name="OLE_LINK99"/>
      <w:r>
        <w:rPr>
          <w:rFonts w:hint="default"/>
          <w:highlight w:val="none"/>
          <w:lang w:val="en-US" w:eastAsia="zh-CN"/>
        </w:rPr>
        <w:t>处理后水质满足《城镇污水处理厂污染物排放标准》（GB18918-2002）中表1一级A标准，同时满足《城市污水再生利用  工业用水水质》（GB/T19923-2024）、《城市污水再生利用 城市杂用水水质》（GB/T18920-2020）、《城市污水再生利用 绿地灌溉水质》（GB/T25499-2010）标准限值。首先作为中水回用厂区生产用水，剩余污水</w:t>
      </w:r>
      <w:bookmarkEnd w:id="111"/>
      <w:r>
        <w:rPr>
          <w:rFonts w:hint="eastAsia"/>
          <w:highlight w:val="none"/>
          <w:lang w:val="en-US" w:eastAsia="zh-CN"/>
        </w:rPr>
        <w:t>回用于园区绿化、道路喷洒及园区企业生产用水。</w:t>
      </w:r>
    </w:p>
    <w:p w14:paraId="50940F7C">
      <w:pPr>
        <w:pStyle w:val="6"/>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color w:val="000000" w:themeColor="text1"/>
          <w:highlight w:val="none"/>
          <w:lang w:eastAsia="zh-CN"/>
          <w14:textFill>
            <w14:solidFill>
              <w14:schemeClr w14:val="tx1"/>
            </w14:solidFill>
          </w14:textFill>
        </w:rPr>
      </w:pPr>
      <w:bookmarkStart w:id="112" w:name="_Toc391036379"/>
      <w:r>
        <w:rPr>
          <w:rFonts w:hint="default" w:ascii="Times New Roman" w:hAnsi="Times New Roman" w:eastAsia="宋体" w:cs="Times New Roman"/>
          <w:color w:val="000000" w:themeColor="text1"/>
          <w:highlight w:val="none"/>
          <w:lang w:val="en-US" w:eastAsia="zh-CN"/>
          <w14:textFill>
            <w14:solidFill>
              <w14:schemeClr w14:val="tx1"/>
            </w14:solidFill>
          </w14:textFill>
        </w:rPr>
        <w:t>2.</w:t>
      </w:r>
      <w:r>
        <w:rPr>
          <w:rFonts w:hint="eastAsia" w:cs="Times New Roman"/>
          <w:color w:val="000000" w:themeColor="text1"/>
          <w:highlight w:val="none"/>
          <w:lang w:val="en-US" w:eastAsia="zh-CN"/>
          <w14:textFill>
            <w14:solidFill>
              <w14:schemeClr w14:val="tx1"/>
            </w14:solidFill>
          </w14:textFill>
        </w:rPr>
        <w:t>8</w:t>
      </w:r>
      <w:r>
        <w:rPr>
          <w:rFonts w:hint="default" w:ascii="Times New Roman" w:hAnsi="Times New Roman" w:eastAsia="宋体" w:cs="Times New Roman"/>
          <w:color w:val="000000" w:themeColor="text1"/>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highlight w:val="none"/>
          <w14:textFill>
            <w14:solidFill>
              <w14:schemeClr w14:val="tx1"/>
            </w14:solidFill>
          </w14:textFill>
        </w:rPr>
        <w:t>与环评审查意见相符性分析</w:t>
      </w:r>
    </w:p>
    <w:p w14:paraId="46D41EED">
      <w:pPr>
        <w:rPr>
          <w:rFonts w:hint="default"/>
          <w:highlight w:val="none"/>
          <w:lang w:eastAsia="zh-CN"/>
        </w:rPr>
      </w:pPr>
      <w:r>
        <w:rPr>
          <w:rFonts w:hint="default"/>
          <w:highlight w:val="none"/>
          <w:lang w:eastAsia="zh-CN"/>
        </w:rPr>
        <w:t>针对《曹妃甸区垦丰家居产业园区控制性详细规划》，201</w:t>
      </w:r>
      <w:r>
        <w:rPr>
          <w:rFonts w:hint="default"/>
          <w:highlight w:val="none"/>
          <w:lang w:val="en-US" w:eastAsia="zh-CN"/>
        </w:rPr>
        <w:t>8</w:t>
      </w:r>
      <w:r>
        <w:rPr>
          <w:rFonts w:hint="default"/>
          <w:highlight w:val="none"/>
          <w:lang w:eastAsia="zh-CN"/>
        </w:rPr>
        <w:t>年</w:t>
      </w:r>
      <w:r>
        <w:rPr>
          <w:rFonts w:hint="default"/>
          <w:highlight w:val="none"/>
          <w:lang w:val="en-US" w:eastAsia="zh-CN"/>
        </w:rPr>
        <w:t>5</w:t>
      </w:r>
      <w:r>
        <w:rPr>
          <w:rFonts w:hint="default"/>
          <w:highlight w:val="none"/>
          <w:lang w:eastAsia="zh-CN"/>
        </w:rPr>
        <w:t>月唐山市曹妃甸区第十一农场委托唐山立业工程技术咨询有限公司编制《曹妃甸区垦丰家居产业园控制性详细规划环境影响报告书》，201</w:t>
      </w:r>
      <w:r>
        <w:rPr>
          <w:rFonts w:hint="default"/>
          <w:highlight w:val="none"/>
          <w:lang w:val="en-US" w:eastAsia="zh-CN"/>
        </w:rPr>
        <w:t>8</w:t>
      </w:r>
      <w:r>
        <w:rPr>
          <w:rFonts w:hint="default"/>
          <w:highlight w:val="none"/>
          <w:lang w:eastAsia="zh-CN"/>
        </w:rPr>
        <w:t>年8月</w:t>
      </w:r>
      <w:r>
        <w:rPr>
          <w:rFonts w:hint="default"/>
          <w:highlight w:val="none"/>
          <w:lang w:val="en-US" w:eastAsia="zh-CN"/>
        </w:rPr>
        <w:t>30</w:t>
      </w:r>
      <w:r>
        <w:rPr>
          <w:rFonts w:hint="default"/>
          <w:highlight w:val="none"/>
          <w:lang w:eastAsia="zh-CN"/>
        </w:rPr>
        <w:t>日，原唐山市环境保护局曹妃甸区分局出具了《关于曹妃甸区垦丰家居产业园控制性详细规划环境影响报告书审查意见的函》（唐曹环评函【</w:t>
      </w:r>
      <w:r>
        <w:rPr>
          <w:rFonts w:hint="default"/>
          <w:highlight w:val="none"/>
          <w:lang w:val="en-US" w:eastAsia="zh-CN"/>
        </w:rPr>
        <w:t>2018</w:t>
      </w:r>
      <w:r>
        <w:rPr>
          <w:rFonts w:hint="default"/>
          <w:highlight w:val="none"/>
          <w:lang w:eastAsia="zh-CN"/>
        </w:rPr>
        <w:t>】</w:t>
      </w:r>
      <w:r>
        <w:rPr>
          <w:rFonts w:hint="default"/>
          <w:highlight w:val="none"/>
          <w:lang w:val="en-US" w:eastAsia="zh-CN"/>
        </w:rPr>
        <w:t>1号</w:t>
      </w:r>
      <w:r>
        <w:rPr>
          <w:rFonts w:hint="default"/>
          <w:highlight w:val="none"/>
          <w:lang w:eastAsia="zh-CN"/>
        </w:rPr>
        <w:t>）。本项目与规划环评审查意见相符性见表</w:t>
      </w:r>
      <w:r>
        <w:rPr>
          <w:rFonts w:hint="default"/>
          <w:highlight w:val="none"/>
          <w:lang w:val="en-US" w:eastAsia="zh-CN"/>
        </w:rPr>
        <w:t>2.</w:t>
      </w:r>
      <w:r>
        <w:rPr>
          <w:rFonts w:hint="eastAsia"/>
          <w:highlight w:val="none"/>
          <w:lang w:val="en-US" w:eastAsia="zh-CN"/>
        </w:rPr>
        <w:t>8</w:t>
      </w:r>
      <w:r>
        <w:rPr>
          <w:rFonts w:hint="default"/>
          <w:highlight w:val="none"/>
          <w:lang w:val="en-US" w:eastAsia="zh-CN"/>
        </w:rPr>
        <w:t>-</w:t>
      </w:r>
      <w:r>
        <w:rPr>
          <w:rFonts w:hint="eastAsia"/>
          <w:highlight w:val="none"/>
          <w:lang w:val="en-US" w:eastAsia="zh-CN"/>
        </w:rPr>
        <w:t>2</w:t>
      </w:r>
      <w:r>
        <w:rPr>
          <w:rFonts w:hint="default"/>
          <w:highlight w:val="none"/>
          <w:lang w:eastAsia="zh-CN"/>
        </w:rPr>
        <w:t>。</w:t>
      </w:r>
    </w:p>
    <w:p w14:paraId="6757812A">
      <w:pPr>
        <w:numPr>
          <w:ilvl w:val="0"/>
          <w:numId w:val="20"/>
        </w:numPr>
        <w:spacing w:line="480" w:lineRule="exact"/>
        <w:ind w:left="425" w:leftChars="0" w:hanging="425" w:firstLineChars="0"/>
        <w:jc w:val="center"/>
        <w:rPr>
          <w:rFonts w:hint="default" w:ascii="Times New Roman" w:hAnsi="Times New Roman" w:eastAsia="宋体" w:cs="Times New Roman"/>
          <w:b/>
          <w:bCs w:val="0"/>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b/>
          <w:bCs w:val="0"/>
          <w:color w:val="000000" w:themeColor="text1"/>
          <w:sz w:val="24"/>
          <w:highlight w:val="none"/>
          <w:lang w:val="en-US" w:eastAsia="zh-CN"/>
          <w14:textFill>
            <w14:solidFill>
              <w14:schemeClr w14:val="tx1"/>
            </w14:solidFill>
          </w14:textFill>
        </w:rPr>
        <w:t>与环评审查意见相符性分析</w:t>
      </w:r>
    </w:p>
    <w:tbl>
      <w:tblPr>
        <w:tblStyle w:val="47"/>
        <w:tblW w:w="8504" w:type="dxa"/>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fixed"/>
        <w:tblCellMar>
          <w:top w:w="0" w:type="dxa"/>
          <w:left w:w="0" w:type="dxa"/>
          <w:bottom w:w="0" w:type="dxa"/>
          <w:right w:w="0" w:type="dxa"/>
        </w:tblCellMar>
      </w:tblPr>
      <w:tblGrid>
        <w:gridCol w:w="475"/>
        <w:gridCol w:w="3929"/>
        <w:gridCol w:w="3360"/>
        <w:gridCol w:w="740"/>
      </w:tblGrid>
      <w:tr w14:paraId="030907C2">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475" w:type="dxa"/>
            <w:noWrap w:val="0"/>
            <w:vAlign w:val="center"/>
          </w:tcPr>
          <w:p w14:paraId="2D280DBA">
            <w:pPr>
              <w:pStyle w:val="58"/>
              <w:bidi w:val="0"/>
              <w:rPr>
                <w:rFonts w:hint="default"/>
                <w:highlight w:val="none"/>
                <w:lang w:val="en-US" w:eastAsia="zh-CN"/>
              </w:rPr>
            </w:pPr>
            <w:r>
              <w:rPr>
                <w:rFonts w:hint="default"/>
                <w:highlight w:val="none"/>
                <w:lang w:val="en-US" w:eastAsia="zh-CN"/>
              </w:rPr>
              <w:t>序号</w:t>
            </w:r>
          </w:p>
        </w:tc>
        <w:tc>
          <w:tcPr>
            <w:tcW w:w="3929" w:type="dxa"/>
            <w:noWrap w:val="0"/>
            <w:vAlign w:val="center"/>
          </w:tcPr>
          <w:p w14:paraId="4DB22C39">
            <w:pPr>
              <w:pStyle w:val="58"/>
              <w:bidi w:val="0"/>
              <w:rPr>
                <w:rFonts w:hint="default"/>
                <w:highlight w:val="none"/>
                <w:lang w:val="en-US" w:eastAsia="zh-CN"/>
              </w:rPr>
            </w:pPr>
            <w:r>
              <w:rPr>
                <w:rFonts w:hint="default"/>
                <w:highlight w:val="none"/>
                <w:lang w:val="en-US" w:eastAsia="zh-CN"/>
              </w:rPr>
              <w:t>规划环评审查意见</w:t>
            </w:r>
          </w:p>
        </w:tc>
        <w:tc>
          <w:tcPr>
            <w:tcW w:w="3360" w:type="dxa"/>
            <w:noWrap w:val="0"/>
            <w:vAlign w:val="center"/>
          </w:tcPr>
          <w:p w14:paraId="0C71E732">
            <w:pPr>
              <w:pStyle w:val="58"/>
              <w:bidi w:val="0"/>
              <w:rPr>
                <w:rFonts w:hint="default"/>
                <w:highlight w:val="none"/>
                <w:lang w:val="en-US" w:eastAsia="zh-CN"/>
              </w:rPr>
            </w:pPr>
            <w:r>
              <w:rPr>
                <w:rFonts w:hint="default"/>
                <w:highlight w:val="none"/>
                <w:lang w:val="en-US" w:eastAsia="zh-CN"/>
              </w:rPr>
              <w:t>本项目</w:t>
            </w:r>
          </w:p>
        </w:tc>
        <w:tc>
          <w:tcPr>
            <w:tcW w:w="740" w:type="dxa"/>
            <w:noWrap w:val="0"/>
            <w:vAlign w:val="center"/>
          </w:tcPr>
          <w:p w14:paraId="13FA030A">
            <w:pPr>
              <w:pStyle w:val="58"/>
              <w:bidi w:val="0"/>
              <w:rPr>
                <w:rFonts w:hint="default"/>
                <w:highlight w:val="none"/>
                <w:lang w:val="en-US" w:eastAsia="zh-CN"/>
              </w:rPr>
            </w:pPr>
            <w:r>
              <w:rPr>
                <w:rFonts w:hint="default"/>
                <w:highlight w:val="none"/>
                <w:lang w:val="en-US" w:eastAsia="zh-CN"/>
              </w:rPr>
              <w:t>符合性</w:t>
            </w:r>
          </w:p>
        </w:tc>
      </w:tr>
      <w:tr w14:paraId="53104FB3">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475" w:type="dxa"/>
            <w:noWrap w:val="0"/>
            <w:vAlign w:val="center"/>
          </w:tcPr>
          <w:p w14:paraId="1076B692">
            <w:pPr>
              <w:pStyle w:val="58"/>
              <w:bidi w:val="0"/>
              <w:rPr>
                <w:rFonts w:hint="default"/>
                <w:highlight w:val="none"/>
                <w:lang w:val="en-US" w:eastAsia="zh-CN"/>
              </w:rPr>
            </w:pPr>
            <w:r>
              <w:rPr>
                <w:rFonts w:hint="default"/>
                <w:highlight w:val="none"/>
                <w:lang w:val="en-US" w:eastAsia="zh-CN"/>
              </w:rPr>
              <w:t>1</w:t>
            </w:r>
          </w:p>
        </w:tc>
        <w:tc>
          <w:tcPr>
            <w:tcW w:w="3929" w:type="dxa"/>
            <w:noWrap w:val="0"/>
            <w:vAlign w:val="center"/>
          </w:tcPr>
          <w:p w14:paraId="0B42FE59">
            <w:pPr>
              <w:pStyle w:val="58"/>
              <w:bidi w:val="0"/>
              <w:rPr>
                <w:rFonts w:hint="default"/>
                <w:highlight w:val="none"/>
                <w:lang w:eastAsia="zh-CN"/>
              </w:rPr>
            </w:pPr>
            <w:r>
              <w:rPr>
                <w:rFonts w:hint="default"/>
                <w:highlight w:val="none"/>
                <w:lang w:val="en-US" w:eastAsia="zh-CN"/>
              </w:rPr>
              <w:t>根据本园区的产排污特点，贯彻循环经济和清洁生产的发展理念。园区内的各企业生物质固废优先在园区内消纳，企业富余余热供给园区内其他企业，共享喷漆房及有机废气处置设施</w:t>
            </w:r>
          </w:p>
        </w:tc>
        <w:tc>
          <w:tcPr>
            <w:tcW w:w="3360" w:type="dxa"/>
            <w:noWrap w:val="0"/>
            <w:vAlign w:val="center"/>
          </w:tcPr>
          <w:p w14:paraId="173B15DE">
            <w:pPr>
              <w:pStyle w:val="58"/>
              <w:bidi w:val="0"/>
              <w:rPr>
                <w:rFonts w:hint="default"/>
                <w:highlight w:val="none"/>
                <w:lang w:val="en-US" w:eastAsia="zh-CN"/>
              </w:rPr>
            </w:pPr>
            <w:r>
              <w:rPr>
                <w:rFonts w:hint="default"/>
                <w:highlight w:val="none"/>
                <w:lang w:val="en-US" w:eastAsia="zh-CN"/>
              </w:rPr>
              <w:t>本项目建成后，能够收集并处置园区企业生活污水</w:t>
            </w:r>
            <w:r>
              <w:rPr>
                <w:rFonts w:hint="eastAsia"/>
                <w:highlight w:val="none"/>
                <w:lang w:val="en-US" w:eastAsia="zh-CN"/>
              </w:rPr>
              <w:t>、</w:t>
            </w:r>
            <w:r>
              <w:rPr>
                <w:rFonts w:hint="default"/>
                <w:highlight w:val="none"/>
                <w:lang w:val="en-US" w:eastAsia="zh-CN"/>
              </w:rPr>
              <w:t>锅炉排水</w:t>
            </w:r>
            <w:r>
              <w:rPr>
                <w:rFonts w:hint="eastAsia"/>
                <w:highlight w:val="none"/>
                <w:lang w:val="en-US" w:eastAsia="zh-CN"/>
              </w:rPr>
              <w:t>、冷却塔定排水等生产废水</w:t>
            </w:r>
            <w:r>
              <w:rPr>
                <w:rFonts w:hint="default"/>
                <w:highlight w:val="none"/>
                <w:lang w:val="en-US" w:eastAsia="zh-CN"/>
              </w:rPr>
              <w:t>，污水处理后满足《城镇污水处理厂污染物排放标准》（GB18918-2002）一级A标准，同时满足《城市污水再生利用  工业用水水质》（GB/T19923-2024）、《城市污水再生利用 城市杂用水水质》（GB/T18920-2020）</w:t>
            </w:r>
            <w:r>
              <w:rPr>
                <w:rFonts w:hint="eastAsia"/>
                <w:highlight w:val="none"/>
                <w:lang w:val="en-US" w:eastAsia="zh-CN"/>
              </w:rPr>
              <w:t>、《</w:t>
            </w:r>
            <w:r>
              <w:rPr>
                <w:rFonts w:hint="default"/>
                <w:highlight w:val="none"/>
                <w:lang w:val="en-US" w:eastAsia="zh-CN"/>
              </w:rPr>
              <w:t>城市污水再生利用 绿地灌溉水质</w:t>
            </w:r>
            <w:r>
              <w:rPr>
                <w:rFonts w:hint="eastAsia"/>
                <w:highlight w:val="none"/>
                <w:lang w:val="en-US" w:eastAsia="zh-CN"/>
              </w:rPr>
              <w:t>》（</w:t>
            </w:r>
            <w:r>
              <w:rPr>
                <w:rFonts w:hint="default"/>
                <w:highlight w:val="none"/>
                <w:lang w:val="en-US" w:eastAsia="zh-CN"/>
              </w:rPr>
              <w:t>GB/T</w:t>
            </w:r>
            <w:r>
              <w:rPr>
                <w:rFonts w:hint="eastAsia"/>
                <w:highlight w:val="none"/>
                <w:lang w:val="en-US" w:eastAsia="zh-CN"/>
              </w:rPr>
              <w:t>25499</w:t>
            </w:r>
            <w:r>
              <w:rPr>
                <w:rFonts w:hint="default"/>
                <w:highlight w:val="none"/>
                <w:lang w:val="en-US" w:eastAsia="zh-CN"/>
              </w:rPr>
              <w:t>-</w:t>
            </w:r>
            <w:r>
              <w:rPr>
                <w:rFonts w:hint="eastAsia"/>
                <w:highlight w:val="none"/>
                <w:lang w:val="en-US" w:eastAsia="zh-CN"/>
              </w:rPr>
              <w:t>2010）</w:t>
            </w:r>
            <w:r>
              <w:rPr>
                <w:rFonts w:hint="default"/>
                <w:highlight w:val="none"/>
                <w:lang w:val="en-US" w:eastAsia="zh-CN"/>
              </w:rPr>
              <w:t>标准限值。首先作为中水回用厂区生产用水，剩余污水</w:t>
            </w:r>
            <w:r>
              <w:rPr>
                <w:rFonts w:hint="eastAsia"/>
                <w:highlight w:val="none"/>
                <w:lang w:val="en-US" w:eastAsia="zh-CN"/>
              </w:rPr>
              <w:t>回用于园区绿化、道路喷洒及园区企业生产用水</w:t>
            </w:r>
          </w:p>
        </w:tc>
        <w:tc>
          <w:tcPr>
            <w:tcW w:w="740" w:type="dxa"/>
            <w:noWrap w:val="0"/>
            <w:vAlign w:val="center"/>
          </w:tcPr>
          <w:p w14:paraId="1D8A7548">
            <w:pPr>
              <w:pStyle w:val="58"/>
              <w:bidi w:val="0"/>
              <w:rPr>
                <w:rFonts w:hint="default"/>
                <w:highlight w:val="none"/>
                <w:lang w:val="en-US" w:eastAsia="zh-CN"/>
              </w:rPr>
            </w:pPr>
            <w:r>
              <w:rPr>
                <w:rFonts w:hint="default"/>
                <w:highlight w:val="none"/>
                <w:lang w:val="en-US" w:eastAsia="zh-CN"/>
              </w:rPr>
              <w:t>符合</w:t>
            </w:r>
          </w:p>
        </w:tc>
      </w:tr>
      <w:tr w14:paraId="41F3D72E">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475" w:type="dxa"/>
            <w:noWrap w:val="0"/>
            <w:vAlign w:val="center"/>
          </w:tcPr>
          <w:p w14:paraId="1E235C5B">
            <w:pPr>
              <w:pStyle w:val="58"/>
              <w:bidi w:val="0"/>
              <w:rPr>
                <w:rFonts w:hint="default"/>
                <w:highlight w:val="none"/>
                <w:lang w:val="en-US" w:eastAsia="zh-CN"/>
              </w:rPr>
            </w:pPr>
            <w:r>
              <w:rPr>
                <w:rFonts w:hint="default"/>
                <w:highlight w:val="none"/>
                <w:lang w:val="en-US" w:eastAsia="zh-CN"/>
              </w:rPr>
              <w:t>2</w:t>
            </w:r>
          </w:p>
        </w:tc>
        <w:tc>
          <w:tcPr>
            <w:tcW w:w="3929" w:type="dxa"/>
            <w:noWrap w:val="0"/>
            <w:vAlign w:val="center"/>
          </w:tcPr>
          <w:p w14:paraId="26903BCB">
            <w:pPr>
              <w:pStyle w:val="58"/>
              <w:bidi w:val="0"/>
              <w:rPr>
                <w:rFonts w:hint="default"/>
                <w:highlight w:val="none"/>
                <w:lang w:eastAsia="zh-CN"/>
              </w:rPr>
            </w:pPr>
            <w:r>
              <w:rPr>
                <w:rFonts w:hint="default"/>
                <w:highlight w:val="none"/>
                <w:lang w:val="en-US" w:eastAsia="zh-CN"/>
              </w:rPr>
              <w:t>做好湿地保护工作。园区建设中应严格按报告书中的要求，废气排放负荷大的企业尽量向北侧安置，严格控制建筑物高度、建筑物外表颜色，以及加强宣传等管理措施，确保规划实施对曹妃甸湿地鸟类省级自然保护区的影响降到最小。</w:t>
            </w:r>
          </w:p>
        </w:tc>
        <w:tc>
          <w:tcPr>
            <w:tcW w:w="3360" w:type="dxa"/>
            <w:noWrap w:val="0"/>
            <w:vAlign w:val="center"/>
          </w:tcPr>
          <w:p w14:paraId="76B9DBA9">
            <w:pPr>
              <w:pStyle w:val="58"/>
              <w:bidi w:val="0"/>
              <w:rPr>
                <w:rFonts w:hint="default"/>
                <w:highlight w:val="none"/>
                <w:lang w:val="en-US" w:eastAsia="zh-CN"/>
              </w:rPr>
            </w:pPr>
            <w:r>
              <w:rPr>
                <w:rFonts w:hint="default"/>
                <w:highlight w:val="none"/>
                <w:lang w:val="en-US" w:eastAsia="zh-CN"/>
              </w:rPr>
              <w:t>项目车间等建筑物高度低于5米、建筑物外表采用与环境接近的颜色，内部道路采用低瓦数路灯，将对曹妃甸湿地鸟类省级自然保护区的影响降到最小。</w:t>
            </w:r>
          </w:p>
        </w:tc>
        <w:tc>
          <w:tcPr>
            <w:tcW w:w="740" w:type="dxa"/>
            <w:noWrap w:val="0"/>
            <w:vAlign w:val="center"/>
          </w:tcPr>
          <w:p w14:paraId="266CD842">
            <w:pPr>
              <w:pStyle w:val="58"/>
              <w:bidi w:val="0"/>
              <w:rPr>
                <w:rFonts w:hint="default"/>
                <w:highlight w:val="none"/>
                <w:lang w:val="en-US" w:eastAsia="zh-CN"/>
              </w:rPr>
            </w:pPr>
            <w:r>
              <w:rPr>
                <w:rFonts w:hint="default"/>
                <w:highlight w:val="none"/>
                <w:lang w:val="en-US" w:eastAsia="zh-CN"/>
              </w:rPr>
              <w:t>符合</w:t>
            </w:r>
          </w:p>
        </w:tc>
      </w:tr>
      <w:tr w14:paraId="31FCA45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475" w:type="dxa"/>
            <w:noWrap w:val="0"/>
            <w:vAlign w:val="center"/>
          </w:tcPr>
          <w:p w14:paraId="2B25FC2D">
            <w:pPr>
              <w:pStyle w:val="58"/>
              <w:bidi w:val="0"/>
              <w:rPr>
                <w:rFonts w:hint="default"/>
                <w:highlight w:val="none"/>
                <w:lang w:val="en-US" w:eastAsia="zh-CN"/>
              </w:rPr>
            </w:pPr>
            <w:r>
              <w:rPr>
                <w:rFonts w:hint="default"/>
                <w:highlight w:val="none"/>
                <w:lang w:val="en-US" w:eastAsia="zh-CN"/>
              </w:rPr>
              <w:t>3</w:t>
            </w:r>
          </w:p>
        </w:tc>
        <w:tc>
          <w:tcPr>
            <w:tcW w:w="3929" w:type="dxa"/>
            <w:noWrap w:val="0"/>
            <w:vAlign w:val="center"/>
          </w:tcPr>
          <w:p w14:paraId="42A627D9">
            <w:pPr>
              <w:pStyle w:val="58"/>
              <w:bidi w:val="0"/>
              <w:rPr>
                <w:rFonts w:hint="default"/>
                <w:highlight w:val="none"/>
                <w:lang w:eastAsia="zh-CN"/>
              </w:rPr>
            </w:pPr>
            <w:r>
              <w:rPr>
                <w:rFonts w:hint="default"/>
                <w:highlight w:val="none"/>
                <w:lang w:val="en-US" w:eastAsia="zh-CN"/>
              </w:rPr>
              <w:t>强化规划园区基础设施建设。优先建设园区污水处理设施及管网，确保入驻企业投产前，污水厂具备收纳处理能力；加快给水厂建设，早期结束地下水开采；谋划中水利用、雨水利用工程</w:t>
            </w:r>
          </w:p>
        </w:tc>
        <w:tc>
          <w:tcPr>
            <w:tcW w:w="3360" w:type="dxa"/>
            <w:noWrap w:val="0"/>
            <w:vAlign w:val="center"/>
          </w:tcPr>
          <w:p w14:paraId="668D16BE">
            <w:pPr>
              <w:pStyle w:val="58"/>
              <w:bidi w:val="0"/>
              <w:rPr>
                <w:rFonts w:hint="default"/>
                <w:highlight w:val="none"/>
                <w:lang w:val="en-US" w:eastAsia="zh-CN"/>
              </w:rPr>
            </w:pPr>
            <w:r>
              <w:rPr>
                <w:rFonts w:hint="default"/>
                <w:highlight w:val="none"/>
                <w:lang w:val="en-US" w:eastAsia="zh-CN"/>
              </w:rPr>
              <w:t>本项目扩建完成后，能满足园区入驻企业污水处理要求。</w:t>
            </w:r>
          </w:p>
        </w:tc>
        <w:tc>
          <w:tcPr>
            <w:tcW w:w="740" w:type="dxa"/>
            <w:noWrap w:val="0"/>
            <w:vAlign w:val="center"/>
          </w:tcPr>
          <w:p w14:paraId="416B27AC">
            <w:pPr>
              <w:pStyle w:val="58"/>
              <w:bidi w:val="0"/>
              <w:rPr>
                <w:rFonts w:hint="default"/>
                <w:highlight w:val="none"/>
                <w:lang w:val="en-US" w:eastAsia="zh-CN"/>
              </w:rPr>
            </w:pPr>
            <w:r>
              <w:rPr>
                <w:rFonts w:hint="default"/>
                <w:highlight w:val="none"/>
                <w:lang w:val="en-US" w:eastAsia="zh-CN"/>
              </w:rPr>
              <w:t>符合</w:t>
            </w:r>
          </w:p>
        </w:tc>
      </w:tr>
      <w:tr w14:paraId="34D2B340">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475" w:type="dxa"/>
            <w:noWrap w:val="0"/>
            <w:vAlign w:val="center"/>
          </w:tcPr>
          <w:p w14:paraId="78BE6FC2">
            <w:pPr>
              <w:pStyle w:val="58"/>
              <w:bidi w:val="0"/>
              <w:rPr>
                <w:rFonts w:hint="default"/>
                <w:highlight w:val="none"/>
                <w:lang w:val="en-US" w:eastAsia="zh-CN"/>
              </w:rPr>
            </w:pPr>
            <w:r>
              <w:rPr>
                <w:rFonts w:hint="default"/>
                <w:highlight w:val="none"/>
                <w:lang w:val="en-US" w:eastAsia="zh-CN"/>
              </w:rPr>
              <w:t>4</w:t>
            </w:r>
          </w:p>
        </w:tc>
        <w:tc>
          <w:tcPr>
            <w:tcW w:w="3929" w:type="dxa"/>
            <w:noWrap w:val="0"/>
            <w:vAlign w:val="center"/>
          </w:tcPr>
          <w:p w14:paraId="4530E2FF">
            <w:pPr>
              <w:pStyle w:val="58"/>
              <w:bidi w:val="0"/>
              <w:rPr>
                <w:rFonts w:hint="default"/>
                <w:highlight w:val="none"/>
                <w:lang w:eastAsia="zh-CN"/>
              </w:rPr>
            </w:pPr>
            <w:r>
              <w:rPr>
                <w:rFonts w:hint="default"/>
                <w:highlight w:val="none"/>
                <w:lang w:val="en-US" w:eastAsia="zh-CN"/>
              </w:rPr>
              <w:t>加强二氧化硫、二氧化氮、烟（粉）尘、挥发性有机物等大气污染物防治，从源头、控制措施等多方面减少排放量，确保规划区环境大气质量满足环境功能要求。家具制造企业废气执行或参照北京市地方标准《木质家具制造业大气污染排放标准》（DB11/1202）；生物质锅炉废气污染物排放标准执行《锅炉大气污染物排放标准》（DB13/5161-2020)表1中排放限值；根据冀气领办[2018]177号，天然气锅炉燃烧废气产生的污染物烟尘、二氧化硫、氮氧化物排放浓度标准为5mg/</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、10mg/</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、30mg/</w:t>
            </w:r>
            <w:r>
              <w:rPr>
                <w:rFonts w:hint="eastAsia"/>
                <w:highlight w:val="none"/>
                <w:lang w:val="en-US" w:eastAsia="zh-CN"/>
              </w:rPr>
              <w:t>m</w:t>
            </w:r>
            <w:r>
              <w:rPr>
                <w:rFonts w:hint="eastAsia"/>
                <w:highlight w:val="none"/>
                <w:vertAlign w:val="superscript"/>
                <w:lang w:val="en-US" w:eastAsia="zh-CN"/>
              </w:rPr>
              <w:t>3</w:t>
            </w:r>
          </w:p>
        </w:tc>
        <w:tc>
          <w:tcPr>
            <w:tcW w:w="3360" w:type="dxa"/>
            <w:noWrap w:val="0"/>
            <w:vAlign w:val="center"/>
          </w:tcPr>
          <w:p w14:paraId="40F6BB92">
            <w:pPr>
              <w:pStyle w:val="58"/>
              <w:bidi w:val="0"/>
              <w:rPr>
                <w:rFonts w:hint="default"/>
                <w:highlight w:val="none"/>
                <w:lang w:val="en-US" w:eastAsia="zh-CN"/>
              </w:rPr>
            </w:pPr>
            <w:r>
              <w:rPr>
                <w:rFonts w:hint="default"/>
                <w:highlight w:val="none"/>
                <w:lang w:val="en-US" w:eastAsia="zh-CN"/>
              </w:rPr>
              <w:t>本项目不涉及</w:t>
            </w:r>
          </w:p>
        </w:tc>
        <w:tc>
          <w:tcPr>
            <w:tcW w:w="740" w:type="dxa"/>
            <w:noWrap w:val="0"/>
            <w:vAlign w:val="center"/>
          </w:tcPr>
          <w:p w14:paraId="4B82590A">
            <w:pPr>
              <w:pStyle w:val="58"/>
              <w:bidi w:val="0"/>
              <w:rPr>
                <w:rFonts w:hint="default"/>
                <w:highlight w:val="none"/>
                <w:lang w:val="en-US" w:eastAsia="zh-CN"/>
              </w:rPr>
            </w:pPr>
            <w:r>
              <w:rPr>
                <w:rFonts w:hint="default"/>
                <w:highlight w:val="none"/>
                <w:lang w:val="en-US" w:eastAsia="zh-CN"/>
              </w:rPr>
              <w:t>符合</w:t>
            </w:r>
          </w:p>
        </w:tc>
      </w:tr>
      <w:tr w14:paraId="2A79516B">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475" w:type="dxa"/>
            <w:noWrap w:val="0"/>
            <w:vAlign w:val="center"/>
          </w:tcPr>
          <w:p w14:paraId="277C263E">
            <w:pPr>
              <w:pStyle w:val="58"/>
              <w:bidi w:val="0"/>
              <w:rPr>
                <w:rFonts w:hint="default"/>
                <w:highlight w:val="none"/>
                <w:lang w:val="en-US" w:eastAsia="zh-CN"/>
              </w:rPr>
            </w:pPr>
            <w:r>
              <w:rPr>
                <w:rFonts w:hint="default"/>
                <w:highlight w:val="none"/>
                <w:lang w:val="en-US" w:eastAsia="zh-CN"/>
              </w:rPr>
              <w:t>5</w:t>
            </w:r>
          </w:p>
        </w:tc>
        <w:tc>
          <w:tcPr>
            <w:tcW w:w="3929" w:type="dxa"/>
            <w:noWrap w:val="0"/>
            <w:vAlign w:val="center"/>
          </w:tcPr>
          <w:p w14:paraId="16ACD482">
            <w:pPr>
              <w:pStyle w:val="58"/>
              <w:bidi w:val="0"/>
              <w:rPr>
                <w:rFonts w:hint="default"/>
                <w:highlight w:val="none"/>
                <w:lang w:eastAsia="zh-CN"/>
              </w:rPr>
            </w:pPr>
            <w:r>
              <w:rPr>
                <w:rFonts w:hint="default"/>
                <w:highlight w:val="none"/>
                <w:lang w:val="en-US" w:eastAsia="zh-CN"/>
              </w:rPr>
              <w:t>制定相应的风险应急预案，建立园区与各企业充分协调联动的突发性事故应急机构，以便在事故发生时，能够有序实施救援，控制事态发展，确保事故下不对周围环境和公众健康造成影响，确保曹妃甸湿地鸟类自然保护区不受到污染</w:t>
            </w:r>
          </w:p>
        </w:tc>
        <w:tc>
          <w:tcPr>
            <w:tcW w:w="3360" w:type="dxa"/>
            <w:noWrap w:val="0"/>
            <w:vAlign w:val="center"/>
          </w:tcPr>
          <w:p w14:paraId="617FF707">
            <w:pPr>
              <w:pStyle w:val="58"/>
              <w:bidi w:val="0"/>
              <w:rPr>
                <w:rFonts w:hint="default"/>
                <w:highlight w:val="none"/>
                <w:lang w:val="en-US" w:eastAsia="zh-CN"/>
              </w:rPr>
            </w:pPr>
            <w:r>
              <w:rPr>
                <w:rFonts w:hint="default"/>
                <w:highlight w:val="none"/>
                <w:lang w:val="en-US" w:eastAsia="zh-CN"/>
              </w:rPr>
              <w:t>要求企业编制突发环境事件应急预案，并作为“三同时”验收的条件；建立与园区充分协调联动的突发性事故应急机构，确保事故下不对周围环境和公众健康造成影响，确保曹妃甸湿地鸟类自然保护区不受到污染</w:t>
            </w:r>
          </w:p>
        </w:tc>
        <w:tc>
          <w:tcPr>
            <w:tcW w:w="740" w:type="dxa"/>
            <w:noWrap w:val="0"/>
            <w:vAlign w:val="center"/>
          </w:tcPr>
          <w:p w14:paraId="379EA95B">
            <w:pPr>
              <w:pStyle w:val="58"/>
              <w:bidi w:val="0"/>
              <w:rPr>
                <w:rFonts w:hint="default"/>
                <w:highlight w:val="none"/>
                <w:lang w:val="en-US" w:eastAsia="zh-CN"/>
              </w:rPr>
            </w:pPr>
            <w:r>
              <w:rPr>
                <w:rFonts w:hint="default"/>
                <w:highlight w:val="none"/>
                <w:lang w:val="en-US" w:eastAsia="zh-CN"/>
              </w:rPr>
              <w:t>符合</w:t>
            </w:r>
          </w:p>
        </w:tc>
      </w:tr>
      <w:tr w14:paraId="5B2E4FA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475" w:type="dxa"/>
            <w:noWrap w:val="0"/>
            <w:vAlign w:val="center"/>
          </w:tcPr>
          <w:p w14:paraId="53C00A01">
            <w:pPr>
              <w:pStyle w:val="58"/>
              <w:bidi w:val="0"/>
              <w:rPr>
                <w:rFonts w:hint="default"/>
                <w:highlight w:val="none"/>
                <w:lang w:val="en-US" w:eastAsia="zh-CN"/>
              </w:rPr>
            </w:pPr>
            <w:r>
              <w:rPr>
                <w:rFonts w:hint="default"/>
                <w:highlight w:val="none"/>
                <w:lang w:val="en-US" w:eastAsia="zh-CN"/>
              </w:rPr>
              <w:t>6</w:t>
            </w:r>
          </w:p>
        </w:tc>
        <w:tc>
          <w:tcPr>
            <w:tcW w:w="3929" w:type="dxa"/>
            <w:noWrap w:val="0"/>
            <w:vAlign w:val="center"/>
          </w:tcPr>
          <w:p w14:paraId="2BAB38FB">
            <w:pPr>
              <w:pStyle w:val="58"/>
              <w:bidi w:val="0"/>
              <w:rPr>
                <w:rFonts w:hint="default"/>
                <w:highlight w:val="none"/>
                <w:lang w:eastAsia="zh-CN"/>
              </w:rPr>
            </w:pPr>
            <w:r>
              <w:rPr>
                <w:rFonts w:hint="default"/>
                <w:highlight w:val="none"/>
                <w:lang w:val="en-US" w:eastAsia="zh-CN"/>
              </w:rPr>
              <w:t>切实落实环评报告书规划优化调整建议，严格执行报告书中提出的准入行业企业要求和环境准入条件，禁止引进含有酸洗、电镀等工序的项目，禁止引进淘汰的工艺、产品和设备，禁止建设燃煤、燃油等非清洁能源锅炉</w:t>
            </w:r>
          </w:p>
        </w:tc>
        <w:tc>
          <w:tcPr>
            <w:tcW w:w="3360" w:type="dxa"/>
            <w:noWrap w:val="0"/>
            <w:vAlign w:val="center"/>
          </w:tcPr>
          <w:p w14:paraId="772FCA4E">
            <w:pPr>
              <w:pStyle w:val="58"/>
              <w:bidi w:val="0"/>
              <w:rPr>
                <w:rFonts w:hint="default"/>
                <w:highlight w:val="none"/>
                <w:lang w:val="en-US" w:eastAsia="zh-CN"/>
              </w:rPr>
            </w:pPr>
            <w:r>
              <w:rPr>
                <w:rFonts w:hint="default"/>
                <w:highlight w:val="none"/>
                <w:lang w:val="en-US" w:eastAsia="zh-CN"/>
              </w:rPr>
              <w:t>项目满足园区准入行业企业要求和环境准入条件</w:t>
            </w:r>
          </w:p>
        </w:tc>
        <w:tc>
          <w:tcPr>
            <w:tcW w:w="740" w:type="dxa"/>
            <w:noWrap w:val="0"/>
            <w:vAlign w:val="center"/>
          </w:tcPr>
          <w:p w14:paraId="63D411E8">
            <w:pPr>
              <w:pStyle w:val="58"/>
              <w:bidi w:val="0"/>
              <w:rPr>
                <w:rFonts w:hint="default"/>
                <w:highlight w:val="none"/>
                <w:lang w:val="en-US" w:eastAsia="zh-CN"/>
              </w:rPr>
            </w:pPr>
            <w:r>
              <w:rPr>
                <w:rFonts w:hint="default"/>
                <w:highlight w:val="none"/>
                <w:lang w:val="en-US" w:eastAsia="zh-CN"/>
              </w:rPr>
              <w:t>符合</w:t>
            </w:r>
          </w:p>
        </w:tc>
      </w:tr>
      <w:tr w14:paraId="152550D0">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475" w:type="dxa"/>
            <w:noWrap w:val="0"/>
            <w:vAlign w:val="center"/>
          </w:tcPr>
          <w:p w14:paraId="347A5A80">
            <w:pPr>
              <w:pStyle w:val="58"/>
              <w:bidi w:val="0"/>
              <w:rPr>
                <w:rFonts w:hint="default"/>
                <w:highlight w:val="none"/>
                <w:lang w:val="en-US" w:eastAsia="zh-CN"/>
              </w:rPr>
            </w:pPr>
            <w:r>
              <w:rPr>
                <w:rFonts w:hint="default"/>
                <w:highlight w:val="none"/>
                <w:lang w:val="en-US" w:eastAsia="zh-CN"/>
              </w:rPr>
              <w:t>7</w:t>
            </w:r>
          </w:p>
        </w:tc>
        <w:tc>
          <w:tcPr>
            <w:tcW w:w="3929" w:type="dxa"/>
            <w:noWrap w:val="0"/>
            <w:vAlign w:val="center"/>
          </w:tcPr>
          <w:p w14:paraId="3AC472C2">
            <w:pPr>
              <w:pStyle w:val="58"/>
              <w:bidi w:val="0"/>
              <w:rPr>
                <w:rFonts w:hint="default"/>
                <w:highlight w:val="none"/>
                <w:lang w:eastAsia="zh-CN"/>
              </w:rPr>
            </w:pPr>
            <w:r>
              <w:rPr>
                <w:rFonts w:hint="default"/>
                <w:highlight w:val="none"/>
                <w:lang w:val="en-US" w:eastAsia="zh-CN"/>
              </w:rPr>
              <w:t>对属于规划范围内的建设项目应按审批权限和程序规定履行环保审批手续，园区内建设项目应按《关于加强规划环境影响评价与建设项目环境影响评价联动工作的意见》（环发[2015]178号）和报告书中具体要求简化评价内容；规划区排污总量控制应符合国家、省、市环保部门确定的总量控制要求</w:t>
            </w:r>
          </w:p>
        </w:tc>
        <w:tc>
          <w:tcPr>
            <w:tcW w:w="3360" w:type="dxa"/>
            <w:noWrap w:val="0"/>
            <w:vAlign w:val="center"/>
          </w:tcPr>
          <w:p w14:paraId="788854A9">
            <w:pPr>
              <w:pStyle w:val="58"/>
              <w:bidi w:val="0"/>
              <w:rPr>
                <w:rFonts w:hint="default"/>
                <w:highlight w:val="none"/>
                <w:lang w:eastAsia="zh-CN"/>
              </w:rPr>
            </w:pPr>
            <w:r>
              <w:rPr>
                <w:rFonts w:hint="eastAsia"/>
                <w:highlight w:val="none"/>
                <w:lang w:val="en-US" w:eastAsia="zh-CN"/>
              </w:rPr>
              <w:t>本项目不排放</w:t>
            </w:r>
            <w:r>
              <w:rPr>
                <w:rFonts w:hint="default"/>
                <w:highlight w:val="none"/>
                <w:lang w:eastAsia="zh-CN"/>
              </w:rPr>
              <w:t>颗粒物、</w:t>
            </w:r>
            <w:r>
              <w:rPr>
                <w:rFonts w:hint="eastAsia"/>
                <w:highlight w:val="none"/>
                <w:lang w:eastAsia="zh-CN"/>
              </w:rPr>
              <w:t>SO</w:t>
            </w:r>
            <w:r>
              <w:rPr>
                <w:rFonts w:hint="eastAsia"/>
                <w:highlight w:val="none"/>
                <w:vertAlign w:val="subscript"/>
                <w:lang w:eastAsia="zh-CN"/>
              </w:rPr>
              <w:t>2</w:t>
            </w:r>
            <w:r>
              <w:rPr>
                <w:rFonts w:hint="default"/>
                <w:highlight w:val="none"/>
                <w:lang w:eastAsia="zh-CN"/>
              </w:rPr>
              <w:t>、NOx、VOCs、COD、氨氮</w:t>
            </w:r>
            <w:r>
              <w:rPr>
                <w:rFonts w:hint="eastAsia"/>
                <w:highlight w:val="none"/>
                <w:lang w:eastAsia="zh-CN"/>
              </w:rPr>
              <w:t>，</w:t>
            </w:r>
            <w:r>
              <w:rPr>
                <w:rFonts w:hint="eastAsia"/>
                <w:highlight w:val="none"/>
                <w:lang w:val="en-US" w:eastAsia="zh-CN"/>
              </w:rPr>
              <w:t>不涉及</w:t>
            </w:r>
            <w:r>
              <w:rPr>
                <w:rFonts w:hint="default"/>
                <w:highlight w:val="none"/>
                <w:lang w:eastAsia="zh-CN"/>
              </w:rPr>
              <w:t>总量控制要求</w:t>
            </w:r>
          </w:p>
        </w:tc>
        <w:tc>
          <w:tcPr>
            <w:tcW w:w="740" w:type="dxa"/>
            <w:noWrap w:val="0"/>
            <w:vAlign w:val="center"/>
          </w:tcPr>
          <w:p w14:paraId="181B5583">
            <w:pPr>
              <w:pStyle w:val="58"/>
              <w:bidi w:val="0"/>
              <w:rPr>
                <w:rFonts w:hint="default"/>
                <w:highlight w:val="none"/>
                <w:lang w:val="en-US" w:eastAsia="zh-CN"/>
              </w:rPr>
            </w:pPr>
            <w:r>
              <w:rPr>
                <w:rFonts w:hint="default"/>
                <w:highlight w:val="none"/>
                <w:lang w:val="en-US" w:eastAsia="zh-CN"/>
              </w:rPr>
              <w:t>符合</w:t>
            </w:r>
          </w:p>
        </w:tc>
      </w:tr>
      <w:tr w14:paraId="043371B9">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475" w:type="dxa"/>
            <w:noWrap w:val="0"/>
            <w:vAlign w:val="center"/>
          </w:tcPr>
          <w:p w14:paraId="11F6A3D8">
            <w:pPr>
              <w:pStyle w:val="58"/>
              <w:bidi w:val="0"/>
              <w:rPr>
                <w:rFonts w:hint="default"/>
                <w:highlight w:val="none"/>
                <w:lang w:val="en-US" w:eastAsia="zh-CN"/>
              </w:rPr>
            </w:pPr>
            <w:r>
              <w:rPr>
                <w:rFonts w:hint="default"/>
                <w:highlight w:val="none"/>
                <w:lang w:val="en-US" w:eastAsia="zh-CN"/>
              </w:rPr>
              <w:t>8</w:t>
            </w:r>
          </w:p>
        </w:tc>
        <w:tc>
          <w:tcPr>
            <w:tcW w:w="3929" w:type="dxa"/>
            <w:noWrap w:val="0"/>
            <w:vAlign w:val="center"/>
          </w:tcPr>
          <w:p w14:paraId="46C4F795">
            <w:pPr>
              <w:pStyle w:val="58"/>
              <w:bidi w:val="0"/>
              <w:rPr>
                <w:rFonts w:hint="default"/>
                <w:highlight w:val="none"/>
                <w:lang w:eastAsia="zh-CN"/>
              </w:rPr>
            </w:pPr>
            <w:r>
              <w:rPr>
                <w:rFonts w:hint="default"/>
                <w:highlight w:val="none"/>
                <w:lang w:val="en-US" w:eastAsia="zh-CN"/>
              </w:rPr>
              <w:t>切实落实报告书环境管理和环境监测计划有关规定，按照《关于加强产业园区规划环境影响评价有关工作的通知》（环发[2011]14号），每隔5年左右应进行一次环境影响跟踪评价。</w:t>
            </w:r>
          </w:p>
        </w:tc>
        <w:tc>
          <w:tcPr>
            <w:tcW w:w="3360" w:type="dxa"/>
            <w:noWrap w:val="0"/>
            <w:vAlign w:val="center"/>
          </w:tcPr>
          <w:p w14:paraId="6840F3C2">
            <w:pPr>
              <w:pStyle w:val="58"/>
              <w:bidi w:val="0"/>
              <w:rPr>
                <w:rFonts w:hint="default"/>
                <w:highlight w:val="none"/>
                <w:lang w:val="en-US" w:eastAsia="zh-CN"/>
              </w:rPr>
            </w:pPr>
            <w:r>
              <w:rPr>
                <w:rFonts w:hint="default"/>
                <w:highlight w:val="none"/>
                <w:lang w:val="en-US" w:eastAsia="zh-CN"/>
              </w:rPr>
              <w:t>按相关管理要求制定了监测计划</w:t>
            </w:r>
          </w:p>
        </w:tc>
        <w:tc>
          <w:tcPr>
            <w:tcW w:w="740" w:type="dxa"/>
            <w:noWrap w:val="0"/>
            <w:vAlign w:val="center"/>
          </w:tcPr>
          <w:p w14:paraId="7ACA265D">
            <w:pPr>
              <w:pStyle w:val="58"/>
              <w:bidi w:val="0"/>
              <w:rPr>
                <w:rFonts w:hint="default"/>
                <w:highlight w:val="none"/>
                <w:lang w:val="en-US" w:eastAsia="zh-CN"/>
              </w:rPr>
            </w:pPr>
            <w:r>
              <w:rPr>
                <w:rFonts w:hint="default"/>
                <w:highlight w:val="none"/>
                <w:lang w:val="en-US" w:eastAsia="zh-CN"/>
              </w:rPr>
              <w:t>符合</w:t>
            </w:r>
          </w:p>
        </w:tc>
      </w:tr>
      <w:tr w14:paraId="3031CCCB">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475" w:type="dxa"/>
            <w:noWrap w:val="0"/>
            <w:vAlign w:val="center"/>
          </w:tcPr>
          <w:p w14:paraId="70631223">
            <w:pPr>
              <w:pStyle w:val="58"/>
              <w:bidi w:val="0"/>
              <w:rPr>
                <w:rFonts w:hint="default"/>
                <w:highlight w:val="none"/>
                <w:lang w:val="en-US" w:eastAsia="zh-CN"/>
              </w:rPr>
            </w:pPr>
            <w:r>
              <w:rPr>
                <w:rFonts w:hint="default"/>
                <w:highlight w:val="none"/>
                <w:lang w:val="en-US" w:eastAsia="zh-CN"/>
              </w:rPr>
              <w:t>9</w:t>
            </w:r>
          </w:p>
        </w:tc>
        <w:tc>
          <w:tcPr>
            <w:tcW w:w="3929" w:type="dxa"/>
            <w:noWrap w:val="0"/>
            <w:vAlign w:val="center"/>
          </w:tcPr>
          <w:p w14:paraId="73836E5E">
            <w:pPr>
              <w:pStyle w:val="58"/>
              <w:bidi w:val="0"/>
              <w:rPr>
                <w:rFonts w:hint="default"/>
                <w:highlight w:val="none"/>
                <w:lang w:eastAsia="zh-CN"/>
              </w:rPr>
            </w:pPr>
            <w:r>
              <w:rPr>
                <w:rFonts w:hint="default"/>
                <w:highlight w:val="none"/>
                <w:lang w:val="en-US" w:eastAsia="zh-CN"/>
              </w:rPr>
              <w:t>规划实施中其他环保管理要求严格按报告书所提各项措施落实</w:t>
            </w:r>
          </w:p>
        </w:tc>
        <w:tc>
          <w:tcPr>
            <w:tcW w:w="3360" w:type="dxa"/>
            <w:noWrap w:val="0"/>
            <w:vAlign w:val="center"/>
          </w:tcPr>
          <w:p w14:paraId="2CD24710">
            <w:pPr>
              <w:pStyle w:val="58"/>
              <w:bidi w:val="0"/>
              <w:rPr>
                <w:rFonts w:hint="default"/>
                <w:highlight w:val="none"/>
                <w:lang w:val="en-US" w:eastAsia="zh-CN"/>
              </w:rPr>
            </w:pPr>
            <w:r>
              <w:rPr>
                <w:rFonts w:hint="default"/>
                <w:highlight w:val="none"/>
                <w:lang w:val="en-US" w:eastAsia="zh-CN"/>
              </w:rPr>
              <w:t>严格按报告书所提各项措施落实环保管理要求</w:t>
            </w:r>
          </w:p>
        </w:tc>
        <w:tc>
          <w:tcPr>
            <w:tcW w:w="740" w:type="dxa"/>
            <w:noWrap w:val="0"/>
            <w:vAlign w:val="center"/>
          </w:tcPr>
          <w:p w14:paraId="35EFA14A">
            <w:pPr>
              <w:pStyle w:val="58"/>
              <w:bidi w:val="0"/>
              <w:rPr>
                <w:rFonts w:hint="default"/>
                <w:highlight w:val="none"/>
                <w:lang w:val="en-US" w:eastAsia="zh-CN"/>
              </w:rPr>
            </w:pPr>
            <w:r>
              <w:rPr>
                <w:rFonts w:hint="default"/>
                <w:highlight w:val="none"/>
                <w:lang w:val="en-US" w:eastAsia="zh-CN"/>
              </w:rPr>
              <w:t>符合</w:t>
            </w:r>
          </w:p>
        </w:tc>
      </w:tr>
    </w:tbl>
    <w:p w14:paraId="73496F9A">
      <w:pPr>
        <w:pStyle w:val="7"/>
        <w:bidi w:val="0"/>
        <w:rPr>
          <w:rFonts w:hint="default"/>
          <w:highlight w:val="none"/>
        </w:rPr>
      </w:pPr>
      <w:bookmarkStart w:id="113" w:name="_Toc25422"/>
      <w:r>
        <w:rPr>
          <w:rFonts w:hint="default"/>
          <w:highlight w:val="none"/>
          <w:lang w:eastAsia="zh-CN"/>
        </w:rPr>
        <w:t>2.</w:t>
      </w:r>
      <w:r>
        <w:rPr>
          <w:rFonts w:hint="eastAsia"/>
          <w:highlight w:val="none"/>
          <w:lang w:val="en-US" w:eastAsia="zh-CN"/>
        </w:rPr>
        <w:t>9</w:t>
      </w:r>
      <w:r>
        <w:rPr>
          <w:rFonts w:hint="default"/>
          <w:highlight w:val="none"/>
        </w:rPr>
        <w:t>环境功能区划</w:t>
      </w:r>
      <w:bookmarkEnd w:id="113"/>
    </w:p>
    <w:p w14:paraId="706F8615">
      <w:pPr>
        <w:rPr>
          <w:rFonts w:hint="default"/>
          <w:highlight w:val="none"/>
          <w:lang w:eastAsia="zh-CN"/>
        </w:rPr>
      </w:pPr>
      <w:r>
        <w:rPr>
          <w:rFonts w:hint="default"/>
          <w:highlight w:val="none"/>
          <w:lang w:eastAsia="zh-CN"/>
        </w:rPr>
        <w:t>根据</w:t>
      </w:r>
      <w:r>
        <w:rPr>
          <w:rFonts w:hint="default"/>
          <w:highlight w:val="none"/>
          <w:lang w:val="en-US" w:eastAsia="zh-CN"/>
        </w:rPr>
        <w:t>《曹妃甸区垦丰家居产业园控制性详细规划环境影响跟踪评价报告》</w:t>
      </w:r>
      <w:r>
        <w:rPr>
          <w:rFonts w:hint="default"/>
          <w:highlight w:val="none"/>
          <w:lang w:eastAsia="zh-CN"/>
        </w:rPr>
        <w:t>，区域环境</w:t>
      </w:r>
      <w:r>
        <w:rPr>
          <w:rFonts w:hint="default"/>
          <w:highlight w:val="none"/>
          <w:lang w:val="en-US" w:eastAsia="zh-CN"/>
        </w:rPr>
        <w:t>空气</w:t>
      </w:r>
      <w:r>
        <w:rPr>
          <w:rFonts w:hint="default"/>
          <w:highlight w:val="none"/>
          <w:lang w:eastAsia="zh-CN"/>
        </w:rPr>
        <w:t>执行《环境空气质量标准》(GB3095-</w:t>
      </w:r>
      <w:r>
        <w:rPr>
          <w:rFonts w:hint="default"/>
          <w:highlight w:val="none"/>
          <w:lang w:val="en-US" w:eastAsia="zh-CN"/>
        </w:rPr>
        <w:t>2012</w:t>
      </w:r>
      <w:r>
        <w:rPr>
          <w:rFonts w:hint="default"/>
          <w:highlight w:val="none"/>
          <w:lang w:eastAsia="zh-CN"/>
        </w:rPr>
        <w:t>)二级标准</w:t>
      </w:r>
      <w:r>
        <w:rPr>
          <w:rFonts w:hint="eastAsia"/>
          <w:highlight w:val="none"/>
          <w:lang w:val="en-US" w:eastAsia="zh-CN"/>
        </w:rPr>
        <w:t>及其修改单要求</w:t>
      </w:r>
      <w:r>
        <w:rPr>
          <w:rFonts w:hint="default"/>
          <w:highlight w:val="none"/>
          <w:lang w:eastAsia="zh-CN"/>
        </w:rPr>
        <w:t>；</w:t>
      </w:r>
    </w:p>
    <w:p w14:paraId="696269B2">
      <w:pPr>
        <w:rPr>
          <w:rFonts w:hint="default"/>
          <w:highlight w:val="none"/>
          <w:lang w:eastAsia="zh-CN"/>
        </w:rPr>
      </w:pPr>
      <w:r>
        <w:rPr>
          <w:rFonts w:hint="default"/>
          <w:highlight w:val="none"/>
          <w:lang w:val="en-US" w:eastAsia="zh-CN"/>
        </w:rPr>
        <w:t>区域三排干</w:t>
      </w:r>
      <w:r>
        <w:rPr>
          <w:rFonts w:hint="default"/>
          <w:highlight w:val="none"/>
          <w:lang w:eastAsia="zh-CN"/>
        </w:rPr>
        <w:t>执行《地表水环境质量标准》(GB3838-2002)V类标准；</w:t>
      </w:r>
    </w:p>
    <w:p w14:paraId="63FFB215">
      <w:pPr>
        <w:rPr>
          <w:rFonts w:hint="default"/>
          <w:highlight w:val="none"/>
          <w:lang w:eastAsia="zh-CN"/>
        </w:rPr>
      </w:pPr>
      <w:r>
        <w:rPr>
          <w:rFonts w:hint="default"/>
          <w:highlight w:val="none"/>
          <w:lang w:eastAsia="zh-CN"/>
        </w:rPr>
        <w:t>区域地下水执行《地下水质量标准》(GB/T14843-2017)</w:t>
      </w:r>
      <w:r>
        <w:rPr>
          <w:rFonts w:hint="eastAsia"/>
          <w:highlight w:val="none"/>
          <w:lang w:val="en-US" w:eastAsia="zh-CN"/>
        </w:rPr>
        <w:t>Ⅲ</w:t>
      </w:r>
      <w:r>
        <w:rPr>
          <w:rFonts w:hint="default"/>
          <w:highlight w:val="none"/>
          <w:lang w:eastAsia="zh-CN"/>
        </w:rPr>
        <w:t>类标准；</w:t>
      </w:r>
    </w:p>
    <w:p w14:paraId="13DE4D69">
      <w:pPr>
        <w:rPr>
          <w:rFonts w:hint="default"/>
          <w:highlight w:val="none"/>
          <w:lang w:eastAsia="zh-CN"/>
        </w:rPr>
      </w:pPr>
      <w:r>
        <w:rPr>
          <w:rFonts w:hint="default"/>
          <w:highlight w:val="none"/>
          <w:lang w:eastAsia="zh-CN"/>
        </w:rPr>
        <w:t>声环境执行《声环境质量标准》(GB3096-2008)3类区标准。</w:t>
      </w:r>
    </w:p>
    <w:p w14:paraId="7A9CBD9B">
      <w:pPr>
        <w:rPr>
          <w:rFonts w:hint="default"/>
          <w:highlight w:val="none"/>
          <w:lang w:eastAsia="zh-CN"/>
        </w:rPr>
      </w:pPr>
      <w:r>
        <w:rPr>
          <w:rFonts w:hint="default"/>
          <w:highlight w:val="none"/>
          <w:lang w:eastAsia="zh-CN"/>
        </w:rPr>
        <w:t>厂区内执行《土壤环境质量建设用地土壤污染风险管控标准（试行）》（GB36600-2018）中第二类用地筛选值限值要求；氨氮执行《建设用地土壤污染风险筛选值》（DB13/T5216-2022）中第二类用地筛选值。</w:t>
      </w:r>
    </w:p>
    <w:p w14:paraId="1F94CFD5">
      <w:pPr>
        <w:keepNext w:val="0"/>
        <w:keepLines w:val="0"/>
        <w:pageBreakBefore w:val="0"/>
        <w:widowControl w:val="0"/>
        <w:kinsoku/>
        <w:wordWrap/>
        <w:overflowPunct/>
        <w:topLinePunct w:val="0"/>
        <w:autoSpaceDE/>
        <w:autoSpaceDN/>
        <w:bidi w:val="0"/>
        <w:adjustRightInd/>
        <w:snapToGrid/>
        <w:spacing w:line="480" w:lineRule="exact"/>
        <w:ind w:left="0" w:leftChars="0" w:firstLine="0" w:firstLineChars="0"/>
        <w:textAlignment w:val="auto"/>
        <w:outlineLvl w:val="9"/>
        <w:rPr>
          <w:rFonts w:hint="default" w:ascii="Times New Roman" w:hAnsi="Times New Roman" w:eastAsia="宋体" w:cs="Times New Roman"/>
          <w:color w:val="000000" w:themeColor="text1"/>
          <w:spacing w:val="11"/>
          <w:sz w:val="24"/>
          <w:szCs w:val="24"/>
          <w:highlight w:val="none"/>
          <w:lang w:eastAsia="zh-CN"/>
          <w14:textFill>
            <w14:solidFill>
              <w14:schemeClr w14:val="tx1"/>
            </w14:solidFill>
          </w14:textFill>
        </w:rPr>
        <w:sectPr>
          <w:pgSz w:w="11906" w:h="16838"/>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p>
    <w:bookmarkEnd w:id="112"/>
    <w:p w14:paraId="01BB6E3E">
      <w:pPr>
        <w:pStyle w:val="5"/>
        <w:bidi w:val="0"/>
        <w:rPr>
          <w:rFonts w:hint="default"/>
          <w:highlight w:val="none"/>
        </w:rPr>
      </w:pPr>
      <w:bookmarkStart w:id="114" w:name="_Toc17751"/>
      <w:r>
        <w:rPr>
          <w:rFonts w:hint="default"/>
          <w:highlight w:val="none"/>
        </w:rPr>
        <w:t>3</w:t>
      </w:r>
      <w:r>
        <w:rPr>
          <w:rFonts w:hint="default"/>
          <w:highlight w:val="none"/>
          <w:lang w:eastAsia="zh-CN"/>
        </w:rPr>
        <w:t>建设项目</w:t>
      </w:r>
      <w:r>
        <w:rPr>
          <w:rFonts w:hint="default"/>
          <w:highlight w:val="none"/>
        </w:rPr>
        <w:t>工程分析</w:t>
      </w:r>
      <w:bookmarkEnd w:id="114"/>
      <w:bookmarkStart w:id="115" w:name="_Toc156613292"/>
      <w:bookmarkStart w:id="116" w:name="_Toc149727663"/>
      <w:bookmarkStart w:id="117" w:name="_Toc150140050"/>
      <w:bookmarkStart w:id="118" w:name="_Toc154715405"/>
      <w:bookmarkStart w:id="119" w:name="_Toc149727391"/>
    </w:p>
    <w:bookmarkEnd w:id="115"/>
    <w:bookmarkEnd w:id="116"/>
    <w:bookmarkEnd w:id="117"/>
    <w:bookmarkEnd w:id="118"/>
    <w:bookmarkEnd w:id="119"/>
    <w:p w14:paraId="217C180D">
      <w:pPr>
        <w:pStyle w:val="7"/>
        <w:bidi w:val="0"/>
        <w:rPr>
          <w:rFonts w:hint="default"/>
          <w:highlight w:val="none"/>
          <w:lang w:val="en-US" w:eastAsia="zh-CN"/>
        </w:rPr>
      </w:pPr>
      <w:bookmarkStart w:id="120" w:name="_Toc16125"/>
      <w:bookmarkStart w:id="121" w:name="_Toc28334"/>
      <w:bookmarkStart w:id="122" w:name="_Toc25181"/>
      <w:r>
        <w:rPr>
          <w:rFonts w:hint="default"/>
          <w:highlight w:val="none"/>
        </w:rPr>
        <w:t>3.</w:t>
      </w:r>
      <w:r>
        <w:rPr>
          <w:rFonts w:hint="default"/>
          <w:highlight w:val="none"/>
          <w:lang w:val="en-US" w:eastAsia="zh-CN"/>
        </w:rPr>
        <w:t>1现有工程</w:t>
      </w:r>
      <w:bookmarkEnd w:id="120"/>
      <w:r>
        <w:rPr>
          <w:rFonts w:hint="default"/>
          <w:highlight w:val="none"/>
          <w:lang w:val="en-US" w:eastAsia="zh-CN"/>
        </w:rPr>
        <w:t>概况</w:t>
      </w:r>
      <w:bookmarkEnd w:id="121"/>
    </w:p>
    <w:p w14:paraId="4C0E20A6">
      <w:pPr>
        <w:pStyle w:val="6"/>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3.1.1</w:t>
      </w: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现有工程基本情况</w:t>
      </w:r>
    </w:p>
    <w:p w14:paraId="543416DD">
      <w:pPr>
        <w:rPr>
          <w:rFonts w:hint="default"/>
          <w:highlight w:val="none"/>
          <w:lang w:val="en-US" w:eastAsia="zh-CN"/>
        </w:rPr>
      </w:pPr>
      <w:r>
        <w:rPr>
          <w:rFonts w:hint="default"/>
          <w:highlight w:val="none"/>
          <w:lang w:val="en-US" w:eastAsia="zh-CN"/>
        </w:rPr>
        <w:t>唐山市曹妃甸区垦丰家居产业园区污水处理厂现有工程建设1座MMBR膜一体化污水处理站，占地面积约100平米，主要采用兼氧生化处理工艺</w:t>
      </w:r>
      <w:r>
        <w:rPr>
          <w:rFonts w:hint="eastAsia"/>
          <w:highlight w:val="none"/>
          <w:lang w:val="en-US" w:eastAsia="zh-CN"/>
        </w:rPr>
        <w:t>，</w:t>
      </w:r>
      <w:r>
        <w:rPr>
          <w:rFonts w:hint="default"/>
          <w:highlight w:val="none"/>
          <w:lang w:val="en-US" w:eastAsia="zh-CN"/>
        </w:rPr>
        <w:t>污水处理站处理规模为50</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/d，用于处理产业园内的生活污水。</w:t>
      </w:r>
    </w:p>
    <w:p w14:paraId="033413BF">
      <w:pPr>
        <w:rPr>
          <w:rFonts w:hint="default"/>
          <w:highlight w:val="none"/>
          <w:lang w:val="en-US" w:eastAsia="zh-CN"/>
        </w:rPr>
      </w:pPr>
      <w:r>
        <w:rPr>
          <w:rFonts w:hint="default"/>
          <w:highlight w:val="none"/>
          <w:lang w:val="en-US" w:eastAsia="zh-CN"/>
        </w:rPr>
        <w:t>企业于2022年11月9日填写了曹妃甸区垦丰家居产业园生活污水处理项目建设项目环境影响登记表。2022年11月10日取得了固定污染源排污登记回执，登记编号：911302307183965422001Z，有效期：2022年11月10日至2027年11月09日。</w:t>
      </w:r>
    </w:p>
    <w:p w14:paraId="5D75F5FE">
      <w:pPr>
        <w:pStyle w:val="20"/>
        <w:keepNext w:val="0"/>
        <w:keepLines w:val="0"/>
        <w:pageBreakBefore w:val="0"/>
        <w:widowControl w:val="0"/>
        <w:kinsoku/>
        <w:wordWrap/>
        <w:overflowPunct/>
        <w:topLinePunct w:val="0"/>
        <w:autoSpaceDE/>
        <w:autoSpaceDN/>
        <w:bidi w:val="0"/>
        <w:adjustRightInd w:val="0"/>
        <w:snapToGrid w:val="0"/>
        <w:spacing w:after="0" w:line="240" w:lineRule="auto"/>
        <w:ind w:firstLine="0" w:firstLineChars="0"/>
        <w:jc w:val="both"/>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sz w:val="24"/>
          <w:highlight w:val="none"/>
        </w:rPr>
        <mc:AlternateContent>
          <mc:Choice Requires="wps">
            <w:drawing>
              <wp:anchor distT="0" distB="0" distL="114300" distR="114300" simplePos="0" relativeHeight="251670528" behindDoc="0" locked="0" layoutInCell="1" allowOverlap="1">
                <wp:simplePos x="0" y="0"/>
                <wp:positionH relativeFrom="column">
                  <wp:posOffset>3104515</wp:posOffset>
                </wp:positionH>
                <wp:positionV relativeFrom="paragraph">
                  <wp:posOffset>1377950</wp:posOffset>
                </wp:positionV>
                <wp:extent cx="680085" cy="259080"/>
                <wp:effectExtent l="0" t="0" r="0" b="0"/>
                <wp:wrapNone/>
                <wp:docPr id="44" name="文本框 44"/>
                <wp:cNvGraphicFramePr/>
                <a:graphic xmlns:a="http://schemas.openxmlformats.org/drawingml/2006/main">
                  <a:graphicData uri="http://schemas.microsoft.com/office/word/2010/wordprocessingShape">
                    <wps:wsp>
                      <wps:cNvSpPr txBox="1"/>
                      <wps:spPr>
                        <a:xfrm>
                          <a:off x="4103370" y="5293360"/>
                          <a:ext cx="680085" cy="2590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C162D5">
                            <w:pPr>
                              <w:rPr>
                                <w:rFonts w:hint="default" w:eastAsia="宋体"/>
                                <w:color w:val="FFFF00"/>
                                <w:sz w:val="18"/>
                                <w:szCs w:val="18"/>
                                <w:lang w:val="en-US" w:eastAsia="zh-CN"/>
                              </w:rPr>
                            </w:pPr>
                            <w:r>
                              <w:rPr>
                                <w:rFonts w:hint="eastAsia"/>
                                <w:color w:val="FFFF00"/>
                                <w:sz w:val="18"/>
                                <w:szCs w:val="18"/>
                                <w:lang w:val="en-US" w:eastAsia="zh-CN"/>
                              </w:rPr>
                              <w:t>现有工程</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4.45pt;margin-top:108.5pt;height:20.4pt;width:53.55pt;z-index:251670528;mso-width-relative:page;mso-height-relative:page;" filled="f" stroked="f" coordsize="21600,21600" o:gfxdata="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GX5tjPcAAAACwEAAA8AAAAA&#10;AAAAAQAgAAAAIgAAAGRycy9kb3ducmV2LnhtbFBLAQIUABQAAAAIAIdO4kAJm0ifSQIAAHMEAAAO&#10;AAAAAAAAAAEAIAAAACsBAABkcnMvZTJvRG9jLnhtbFBLBQYAAAAABgAGAFkBAADmBQAAAAA=&#10;">
                <v:fill on="f" focussize="0,0"/>
                <v:stroke on="f" weight="0.5pt"/>
                <v:imagedata o:title=""/>
                <o:lock v:ext="edit" aspectratio="f"/>
                <v:textbox>
                  <w:txbxContent>
                    <w:p w14:paraId="62C162D5">
                      <w:pPr>
                        <w:rPr>
                          <w:rFonts w:hint="default" w:eastAsia="宋体"/>
                          <w:color w:val="FFFF00"/>
                          <w:sz w:val="18"/>
                          <w:szCs w:val="18"/>
                          <w:lang w:val="en-US" w:eastAsia="zh-CN"/>
                        </w:rPr>
                      </w:pPr>
                      <w:r>
                        <w:rPr>
                          <w:rFonts w:hint="eastAsia"/>
                          <w:color w:val="FFFF00"/>
                          <w:sz w:val="18"/>
                          <w:szCs w:val="18"/>
                          <w:lang w:val="en-US" w:eastAsia="zh-CN"/>
                        </w:rPr>
                        <w:t>现有工程</w:t>
                      </w:r>
                    </w:p>
                  </w:txbxContent>
                </v:textbox>
              </v:shape>
            </w:pict>
          </mc:Fallback>
        </mc:AlternateConten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object>
          <v:shape id="_x0000_i1026" o:spt="75" type="#_x0000_t75" style="height:232.2pt;width:452.9pt;" o:ole="t" filled="f" o:preferrelative="t" stroked="f" coordsize="21600,21600">
            <v:path/>
            <v:fill on="f" focussize="0,0"/>
            <v:stroke on="f"/>
            <v:imagedata r:id="rId39" o:title=""/>
            <o:lock v:ext="edit" aspectratio="f"/>
            <w10:wrap type="none"/>
            <w10:anchorlock/>
          </v:shape>
          <o:OLEObject Type="Embed" ProgID="Visio.Drawing.11" ShapeID="_x0000_i1026" DrawAspect="Content" ObjectID="_1468075728" r:id="rId38">
            <o:LockedField>false</o:LockedField>
          </o:OLEObject>
        </w:object>
      </w:r>
    </w:p>
    <w:p w14:paraId="6B72FA5B">
      <w:pPr>
        <w:numPr>
          <w:ilvl w:val="0"/>
          <w:numId w:val="21"/>
        </w:numPr>
        <w:ind w:left="425" w:leftChars="0" w:hanging="425" w:firstLineChars="0"/>
        <w:jc w:val="center"/>
        <w:rPr>
          <w:rFonts w:hint="default" w:ascii="Times New Roman" w:hAnsi="Times New Roman" w:eastAsia="宋体" w:cs="Times New Roman"/>
          <w:b/>
          <w:bCs/>
          <w:spacing w:val="-2"/>
          <w:sz w:val="24"/>
          <w:szCs w:val="24"/>
          <w:highlight w:val="none"/>
        </w:rPr>
      </w:pPr>
      <w:r>
        <w:rPr>
          <w:rFonts w:hint="default" w:ascii="Times New Roman" w:hAnsi="Times New Roman" w:eastAsia="宋体" w:cs="Times New Roman"/>
          <w:b/>
          <w:bCs/>
          <w:spacing w:val="-2"/>
          <w:sz w:val="24"/>
          <w:szCs w:val="24"/>
          <w:highlight w:val="none"/>
          <w:lang w:val="en-US" w:eastAsia="zh-CN"/>
        </w:rPr>
        <w:t>现有工程及</w:t>
      </w:r>
      <w:r>
        <w:rPr>
          <w:rFonts w:hint="default" w:ascii="Times New Roman" w:hAnsi="Times New Roman" w:eastAsia="宋体" w:cs="Times New Roman"/>
          <w:b/>
          <w:bCs/>
          <w:spacing w:val="-2"/>
          <w:sz w:val="24"/>
          <w:szCs w:val="24"/>
          <w:highlight w:val="none"/>
        </w:rPr>
        <w:t>周边概</w:t>
      </w:r>
      <w:bookmarkStart w:id="123" w:name="OLE_LINK49"/>
      <w:r>
        <w:rPr>
          <w:rFonts w:hint="default" w:ascii="Times New Roman" w:hAnsi="Times New Roman" w:eastAsia="宋体" w:cs="Times New Roman"/>
          <w:b/>
          <w:bCs/>
          <w:spacing w:val="-2"/>
          <w:sz w:val="24"/>
          <w:szCs w:val="24"/>
          <w:highlight w:val="none"/>
        </w:rPr>
        <w:t>况图</w:t>
      </w:r>
      <w:bookmarkEnd w:id="123"/>
    </w:p>
    <w:p w14:paraId="603B6474">
      <w:pPr>
        <w:rPr>
          <w:rFonts w:hint="default"/>
          <w:highlight w:val="none"/>
          <w:lang w:val="en-US" w:eastAsia="zh-CN"/>
        </w:rPr>
      </w:pPr>
      <w:r>
        <w:rPr>
          <w:rFonts w:hint="default"/>
          <w:highlight w:val="none"/>
          <w:lang w:val="en-US" w:eastAsia="zh-CN"/>
        </w:rPr>
        <w:t>唐山市曹妃甸区垦丰家居产业园区污水处理厂现有工程建设内容及生产规模一览表见表3.1-1。</w:t>
      </w:r>
    </w:p>
    <w:p w14:paraId="063A3789">
      <w:pPr>
        <w:numPr>
          <w:ilvl w:val="0"/>
          <w:numId w:val="22"/>
        </w:numPr>
        <w:autoSpaceDE w:val="0"/>
        <w:autoSpaceDN w:val="0"/>
        <w:spacing w:line="480" w:lineRule="exact"/>
        <w:ind w:left="425" w:leftChars="0" w:hanging="425" w:firstLineChars="0"/>
        <w:jc w:val="center"/>
        <w:rPr>
          <w:rFonts w:hint="default" w:ascii="Times New Roman" w:hAnsi="Times New Roman" w:eastAsia="宋体" w:cs="Times New Roman"/>
          <w:b/>
          <w:color w:val="000000" w:themeColor="text1"/>
          <w:kern w:val="0"/>
          <w:sz w:val="24"/>
          <w:highlight w:val="none"/>
          <w:shd w:val="clear" w:color="auto" w:fill="auto"/>
          <w:lang w:val="zh-CN"/>
          <w14:textFill>
            <w14:solidFill>
              <w14:schemeClr w14:val="tx1"/>
            </w14:solidFill>
          </w14:textFill>
        </w:rPr>
      </w:pPr>
      <w:r>
        <w:rPr>
          <w:rFonts w:hint="default" w:ascii="Times New Roman" w:hAnsi="Times New Roman" w:eastAsia="宋体" w:cs="Times New Roman"/>
          <w:b/>
          <w:color w:val="000000" w:themeColor="text1"/>
          <w:kern w:val="0"/>
          <w:sz w:val="24"/>
          <w:highlight w:val="none"/>
          <w:shd w:val="clear" w:color="auto" w:fill="auto"/>
          <w:lang w:val="en-US" w:eastAsia="zh-CN"/>
          <w14:textFill>
            <w14:solidFill>
              <w14:schemeClr w14:val="tx1"/>
            </w14:solidFill>
          </w14:textFill>
        </w:rPr>
        <w:t>　</w:t>
      </w:r>
      <w:r>
        <w:rPr>
          <w:rFonts w:hint="default" w:ascii="Times New Roman" w:hAnsi="Times New Roman" w:eastAsia="宋体" w:cs="Times New Roman"/>
          <w:b/>
          <w:color w:val="000000" w:themeColor="text1"/>
          <w:kern w:val="0"/>
          <w:sz w:val="24"/>
          <w:highlight w:val="none"/>
          <w:shd w:val="clear" w:color="auto" w:fill="auto"/>
          <w:lang w:val="zh-CN"/>
          <w14:textFill>
            <w14:solidFill>
              <w14:schemeClr w14:val="tx1"/>
            </w14:solidFill>
          </w14:textFill>
        </w:rPr>
        <w:t>项目组成一览表</w:t>
      </w:r>
    </w:p>
    <w:tbl>
      <w:tblPr>
        <w:tblStyle w:val="47"/>
        <w:tblW w:w="499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51" w:type="dxa"/>
          <w:bottom w:w="0" w:type="dxa"/>
          <w:right w:w="51" w:type="dxa"/>
        </w:tblCellMar>
      </w:tblPr>
      <w:tblGrid>
        <w:gridCol w:w="1238"/>
        <w:gridCol w:w="1627"/>
        <w:gridCol w:w="6307"/>
      </w:tblGrid>
      <w:tr w14:paraId="0A96A70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5" w:type="pct"/>
            <w:tcBorders>
              <w:tl2br w:val="nil"/>
              <w:tr2bl w:val="nil"/>
            </w:tcBorders>
            <w:noWrap w:val="0"/>
            <w:vAlign w:val="center"/>
          </w:tcPr>
          <w:p w14:paraId="52495DB9">
            <w:pPr>
              <w:pStyle w:val="58"/>
              <w:bidi w:val="0"/>
              <w:rPr>
                <w:rFonts w:hint="default"/>
                <w:highlight w:val="none"/>
                <w:lang w:val="zh-CN"/>
              </w:rPr>
            </w:pPr>
            <w:r>
              <w:rPr>
                <w:rFonts w:hint="default"/>
                <w:highlight w:val="none"/>
                <w:lang w:val="zh-CN"/>
              </w:rPr>
              <w:t>项目</w:t>
            </w:r>
          </w:p>
        </w:tc>
        <w:tc>
          <w:tcPr>
            <w:tcW w:w="886" w:type="pct"/>
            <w:tcBorders>
              <w:tl2br w:val="nil"/>
              <w:tr2bl w:val="nil"/>
            </w:tcBorders>
            <w:noWrap w:val="0"/>
            <w:vAlign w:val="center"/>
          </w:tcPr>
          <w:p w14:paraId="550CCE0C">
            <w:pPr>
              <w:pStyle w:val="58"/>
              <w:bidi w:val="0"/>
              <w:rPr>
                <w:rFonts w:hint="default"/>
                <w:highlight w:val="none"/>
                <w:lang w:val="zh-CN"/>
              </w:rPr>
            </w:pPr>
            <w:r>
              <w:rPr>
                <w:rFonts w:hint="default"/>
                <w:highlight w:val="none"/>
                <w:lang w:val="zh-CN"/>
              </w:rPr>
              <w:t>建设内容</w:t>
            </w:r>
          </w:p>
        </w:tc>
        <w:tc>
          <w:tcPr>
            <w:tcW w:w="3437" w:type="pct"/>
            <w:tcBorders>
              <w:tl2br w:val="nil"/>
              <w:tr2bl w:val="nil"/>
            </w:tcBorders>
            <w:noWrap w:val="0"/>
            <w:vAlign w:val="center"/>
          </w:tcPr>
          <w:p w14:paraId="3921AA01">
            <w:pPr>
              <w:pStyle w:val="58"/>
              <w:bidi w:val="0"/>
              <w:rPr>
                <w:rFonts w:hint="default"/>
                <w:highlight w:val="none"/>
                <w:lang w:val="zh-CN"/>
              </w:rPr>
            </w:pPr>
            <w:r>
              <w:rPr>
                <w:rFonts w:hint="default"/>
                <w:highlight w:val="none"/>
                <w:lang w:val="zh-CN"/>
              </w:rPr>
              <w:t>备注</w:t>
            </w:r>
          </w:p>
        </w:tc>
      </w:tr>
      <w:tr w14:paraId="05F4E58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5" w:type="pct"/>
            <w:vMerge w:val="restart"/>
            <w:tcBorders>
              <w:tl2br w:val="nil"/>
              <w:tr2bl w:val="nil"/>
            </w:tcBorders>
            <w:noWrap w:val="0"/>
            <w:vAlign w:val="center"/>
          </w:tcPr>
          <w:p w14:paraId="5BC00CF5">
            <w:pPr>
              <w:pStyle w:val="58"/>
              <w:bidi w:val="0"/>
              <w:rPr>
                <w:rFonts w:hint="default"/>
                <w:highlight w:val="none"/>
                <w:lang w:val="zh-CN"/>
              </w:rPr>
            </w:pPr>
            <w:r>
              <w:rPr>
                <w:rFonts w:hint="default"/>
                <w:highlight w:val="none"/>
                <w:lang w:val="zh-CN"/>
              </w:rPr>
              <w:t>主体工程</w:t>
            </w:r>
          </w:p>
        </w:tc>
        <w:tc>
          <w:tcPr>
            <w:tcW w:w="886" w:type="pct"/>
            <w:tcBorders>
              <w:tl2br w:val="nil"/>
              <w:tr2bl w:val="nil"/>
            </w:tcBorders>
            <w:noWrap w:val="0"/>
            <w:vAlign w:val="center"/>
          </w:tcPr>
          <w:p w14:paraId="1978F9B7">
            <w:pPr>
              <w:pStyle w:val="58"/>
              <w:bidi w:val="0"/>
              <w:rPr>
                <w:rFonts w:hint="default"/>
                <w:highlight w:val="none"/>
                <w:lang w:val="en-US" w:eastAsia="zh-CN"/>
              </w:rPr>
            </w:pPr>
            <w:r>
              <w:rPr>
                <w:rFonts w:hint="eastAsia"/>
                <w:highlight w:val="none"/>
                <w:lang w:val="en-US" w:eastAsia="zh-CN"/>
              </w:rPr>
              <w:t>格栅池</w:t>
            </w:r>
          </w:p>
        </w:tc>
        <w:tc>
          <w:tcPr>
            <w:tcW w:w="3437" w:type="pct"/>
            <w:tcBorders>
              <w:tl2br w:val="nil"/>
              <w:tr2bl w:val="nil"/>
            </w:tcBorders>
            <w:noWrap w:val="0"/>
            <w:vAlign w:val="center"/>
          </w:tcPr>
          <w:p w14:paraId="108AB0BB">
            <w:pPr>
              <w:pStyle w:val="58"/>
              <w:bidi w:val="0"/>
              <w:rPr>
                <w:rFonts w:hint="default"/>
                <w:highlight w:val="none"/>
                <w:lang w:val="zh-CN"/>
              </w:rPr>
            </w:pPr>
            <w:r>
              <w:rPr>
                <w:rFonts w:hint="default"/>
                <w:highlight w:val="none"/>
                <w:lang w:val="en-US" w:eastAsia="zh-CN"/>
              </w:rPr>
              <w:t>1</w:t>
            </w:r>
            <w:r>
              <w:rPr>
                <w:rFonts w:hint="default"/>
                <w:highlight w:val="none"/>
                <w:lang w:val="zh-CN"/>
              </w:rPr>
              <w:t>座，地下式钢筋</w:t>
            </w:r>
            <w:r>
              <w:rPr>
                <w:rFonts w:hint="default"/>
                <w:highlight w:val="none"/>
                <w:lang w:val="en-US" w:eastAsia="zh-CN"/>
              </w:rPr>
              <w:t>混凝土</w:t>
            </w:r>
            <w:r>
              <w:rPr>
                <w:rFonts w:hint="default"/>
                <w:highlight w:val="none"/>
                <w:lang w:val="zh-CN"/>
              </w:rPr>
              <w:t>结构，</w:t>
            </w:r>
            <w:r>
              <w:rPr>
                <w:rFonts w:hint="default"/>
                <w:highlight w:val="none"/>
                <w:lang w:val="en-US" w:eastAsia="zh-CN"/>
              </w:rPr>
              <w:t>池底、</w:t>
            </w:r>
            <w:r>
              <w:rPr>
                <w:rFonts w:hint="default"/>
                <w:highlight w:val="none"/>
                <w:lang w:val="zh-CN"/>
              </w:rPr>
              <w:t>池壁水泥砂浆防渗</w:t>
            </w:r>
          </w:p>
        </w:tc>
      </w:tr>
      <w:tr w14:paraId="3F6DF3B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5" w:type="pct"/>
            <w:vMerge w:val="continue"/>
            <w:tcBorders>
              <w:tl2br w:val="nil"/>
              <w:tr2bl w:val="nil"/>
            </w:tcBorders>
            <w:noWrap w:val="0"/>
            <w:vAlign w:val="center"/>
          </w:tcPr>
          <w:p w14:paraId="575B0D86">
            <w:pPr>
              <w:pStyle w:val="58"/>
              <w:bidi w:val="0"/>
              <w:rPr>
                <w:rFonts w:hint="default"/>
                <w:highlight w:val="none"/>
                <w:lang w:val="zh-CN"/>
              </w:rPr>
            </w:pPr>
          </w:p>
        </w:tc>
        <w:tc>
          <w:tcPr>
            <w:tcW w:w="886" w:type="pct"/>
            <w:tcBorders>
              <w:tl2br w:val="nil"/>
              <w:tr2bl w:val="nil"/>
            </w:tcBorders>
            <w:noWrap w:val="0"/>
            <w:vAlign w:val="center"/>
          </w:tcPr>
          <w:p w14:paraId="12F54877">
            <w:pPr>
              <w:pStyle w:val="58"/>
              <w:bidi w:val="0"/>
              <w:rPr>
                <w:rFonts w:hint="default"/>
                <w:highlight w:val="none"/>
                <w:lang w:val="en-US" w:eastAsia="zh-CN"/>
              </w:rPr>
            </w:pPr>
            <w:r>
              <w:rPr>
                <w:rFonts w:hint="default"/>
                <w:highlight w:val="none"/>
                <w:lang w:val="en-US" w:eastAsia="zh-CN"/>
              </w:rPr>
              <w:t>集水池</w:t>
            </w:r>
          </w:p>
        </w:tc>
        <w:tc>
          <w:tcPr>
            <w:tcW w:w="3437" w:type="pct"/>
            <w:tcBorders>
              <w:tl2br w:val="nil"/>
              <w:tr2bl w:val="nil"/>
            </w:tcBorders>
            <w:noWrap w:val="0"/>
            <w:vAlign w:val="center"/>
          </w:tcPr>
          <w:p w14:paraId="08E9435C">
            <w:pPr>
              <w:pStyle w:val="58"/>
              <w:bidi w:val="0"/>
              <w:rPr>
                <w:rFonts w:hint="default"/>
                <w:highlight w:val="none"/>
                <w:lang w:val="en-US" w:eastAsia="zh-CN"/>
              </w:rPr>
            </w:pPr>
            <w:r>
              <w:rPr>
                <w:rFonts w:hint="default"/>
                <w:highlight w:val="none"/>
                <w:lang w:val="en-US" w:eastAsia="zh-CN"/>
              </w:rPr>
              <w:t>1</w:t>
            </w:r>
            <w:r>
              <w:rPr>
                <w:rFonts w:hint="default"/>
                <w:highlight w:val="none"/>
                <w:lang w:val="zh-CN"/>
              </w:rPr>
              <w:t>座，地下式钢筋</w:t>
            </w:r>
            <w:r>
              <w:rPr>
                <w:rFonts w:hint="default"/>
                <w:highlight w:val="none"/>
                <w:lang w:val="en-US" w:eastAsia="zh-CN"/>
              </w:rPr>
              <w:t>混凝土</w:t>
            </w:r>
            <w:r>
              <w:rPr>
                <w:rFonts w:hint="default"/>
                <w:highlight w:val="none"/>
                <w:lang w:val="zh-CN"/>
              </w:rPr>
              <w:t>结构，</w:t>
            </w:r>
            <w:r>
              <w:rPr>
                <w:rFonts w:hint="default"/>
                <w:highlight w:val="none"/>
                <w:lang w:val="en-US" w:eastAsia="zh-CN"/>
              </w:rPr>
              <w:t>池底、</w:t>
            </w:r>
            <w:r>
              <w:rPr>
                <w:rFonts w:hint="default"/>
                <w:highlight w:val="none"/>
                <w:lang w:val="zh-CN"/>
              </w:rPr>
              <w:t>池壁水泥砂浆防渗</w:t>
            </w:r>
          </w:p>
        </w:tc>
      </w:tr>
      <w:tr w14:paraId="0B25BE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5" w:type="pct"/>
            <w:vMerge w:val="continue"/>
            <w:tcBorders>
              <w:tl2br w:val="nil"/>
              <w:tr2bl w:val="nil"/>
            </w:tcBorders>
            <w:noWrap w:val="0"/>
            <w:vAlign w:val="center"/>
          </w:tcPr>
          <w:p w14:paraId="1B2D124B">
            <w:pPr>
              <w:pStyle w:val="58"/>
              <w:bidi w:val="0"/>
              <w:rPr>
                <w:rFonts w:hint="default"/>
                <w:highlight w:val="none"/>
                <w:lang w:val="zh-CN"/>
              </w:rPr>
            </w:pPr>
          </w:p>
        </w:tc>
        <w:tc>
          <w:tcPr>
            <w:tcW w:w="886" w:type="pct"/>
            <w:tcBorders>
              <w:tl2br w:val="nil"/>
              <w:tr2bl w:val="nil"/>
            </w:tcBorders>
            <w:noWrap w:val="0"/>
            <w:vAlign w:val="center"/>
          </w:tcPr>
          <w:p w14:paraId="1D3DA51C">
            <w:pPr>
              <w:pStyle w:val="58"/>
              <w:bidi w:val="0"/>
              <w:rPr>
                <w:rFonts w:hint="default"/>
                <w:highlight w:val="none"/>
                <w:lang w:val="en-US" w:eastAsia="zh-CN"/>
              </w:rPr>
            </w:pPr>
            <w:r>
              <w:rPr>
                <w:rFonts w:hint="default"/>
                <w:highlight w:val="none"/>
                <w:lang w:val="en-US" w:eastAsia="zh-CN"/>
              </w:rPr>
              <w:t>MMBR膜一体化污水处理器</w:t>
            </w:r>
          </w:p>
        </w:tc>
        <w:tc>
          <w:tcPr>
            <w:tcW w:w="3437" w:type="pct"/>
            <w:tcBorders>
              <w:tl2br w:val="nil"/>
              <w:tr2bl w:val="nil"/>
            </w:tcBorders>
            <w:noWrap w:val="0"/>
            <w:vAlign w:val="center"/>
          </w:tcPr>
          <w:p w14:paraId="211E82F6">
            <w:pPr>
              <w:pStyle w:val="58"/>
              <w:bidi w:val="0"/>
              <w:rPr>
                <w:rFonts w:hint="default"/>
                <w:highlight w:val="none"/>
                <w:lang w:val="en-US" w:eastAsia="zh-CN"/>
              </w:rPr>
            </w:pPr>
            <w:r>
              <w:rPr>
                <w:rFonts w:hint="default"/>
                <w:highlight w:val="none"/>
                <w:lang w:val="en-US" w:eastAsia="zh-CN"/>
              </w:rPr>
              <w:t>1套，</w:t>
            </w:r>
            <w:r>
              <w:rPr>
                <w:rFonts w:hint="default"/>
                <w:highlight w:val="none"/>
                <w:lang w:val="zh-CN"/>
              </w:rPr>
              <w:t>钢筋混凝土结构</w:t>
            </w:r>
            <w:r>
              <w:rPr>
                <w:rFonts w:hint="default"/>
                <w:highlight w:val="none"/>
                <w:lang w:val="en-US" w:eastAsia="zh-CN"/>
              </w:rPr>
              <w:t>,位于保温彩钢房内</w:t>
            </w:r>
          </w:p>
        </w:tc>
      </w:tr>
      <w:tr w14:paraId="6071E3B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5" w:type="pct"/>
            <w:vMerge w:val="continue"/>
            <w:tcBorders>
              <w:tl2br w:val="nil"/>
              <w:tr2bl w:val="nil"/>
            </w:tcBorders>
            <w:noWrap w:val="0"/>
            <w:vAlign w:val="center"/>
          </w:tcPr>
          <w:p w14:paraId="4A111F82">
            <w:pPr>
              <w:pStyle w:val="58"/>
              <w:bidi w:val="0"/>
              <w:rPr>
                <w:rFonts w:hint="default"/>
                <w:highlight w:val="none"/>
                <w:lang w:val="zh-CN"/>
              </w:rPr>
            </w:pPr>
          </w:p>
        </w:tc>
        <w:tc>
          <w:tcPr>
            <w:tcW w:w="886" w:type="pct"/>
            <w:tcBorders>
              <w:tl2br w:val="nil"/>
              <w:tr2bl w:val="nil"/>
            </w:tcBorders>
            <w:noWrap w:val="0"/>
            <w:vAlign w:val="center"/>
          </w:tcPr>
          <w:p w14:paraId="728E4F3A">
            <w:pPr>
              <w:pStyle w:val="58"/>
              <w:bidi w:val="0"/>
              <w:rPr>
                <w:rFonts w:hint="default"/>
                <w:highlight w:val="none"/>
                <w:lang w:val="en-US" w:eastAsia="zh-CN"/>
              </w:rPr>
            </w:pPr>
            <w:r>
              <w:rPr>
                <w:rFonts w:hint="default"/>
                <w:highlight w:val="none"/>
                <w:lang w:val="en-US" w:eastAsia="zh-CN"/>
              </w:rPr>
              <w:t>出水池</w:t>
            </w:r>
          </w:p>
        </w:tc>
        <w:tc>
          <w:tcPr>
            <w:tcW w:w="3437" w:type="pct"/>
            <w:tcBorders>
              <w:tl2br w:val="nil"/>
              <w:tr2bl w:val="nil"/>
            </w:tcBorders>
            <w:noWrap w:val="0"/>
            <w:vAlign w:val="center"/>
          </w:tcPr>
          <w:p w14:paraId="25DC9501">
            <w:pPr>
              <w:pStyle w:val="58"/>
              <w:bidi w:val="0"/>
              <w:rPr>
                <w:rFonts w:hint="default"/>
                <w:highlight w:val="none"/>
                <w:lang w:val="en-US" w:eastAsia="zh-CN"/>
              </w:rPr>
            </w:pPr>
            <w:r>
              <w:rPr>
                <w:rFonts w:hint="default"/>
                <w:highlight w:val="none"/>
                <w:lang w:val="en-US" w:eastAsia="zh-CN"/>
              </w:rPr>
              <w:t>1</w:t>
            </w:r>
            <w:r>
              <w:rPr>
                <w:rFonts w:hint="default"/>
                <w:highlight w:val="none"/>
                <w:lang w:val="zh-CN"/>
              </w:rPr>
              <w:t>座，地下式钢筋</w:t>
            </w:r>
            <w:r>
              <w:rPr>
                <w:rFonts w:hint="default"/>
                <w:highlight w:val="none"/>
                <w:lang w:val="en-US" w:eastAsia="zh-CN"/>
              </w:rPr>
              <w:t>混凝土</w:t>
            </w:r>
            <w:r>
              <w:rPr>
                <w:rFonts w:hint="default"/>
                <w:highlight w:val="none"/>
                <w:lang w:val="zh-CN"/>
              </w:rPr>
              <w:t>结构，</w:t>
            </w:r>
            <w:r>
              <w:rPr>
                <w:rFonts w:hint="default"/>
                <w:highlight w:val="none"/>
                <w:lang w:val="en-US" w:eastAsia="zh-CN"/>
              </w:rPr>
              <w:t>池底、</w:t>
            </w:r>
            <w:r>
              <w:rPr>
                <w:rFonts w:hint="default"/>
                <w:highlight w:val="none"/>
                <w:lang w:val="zh-CN"/>
              </w:rPr>
              <w:t>池壁水泥砂浆防渗</w:t>
            </w:r>
          </w:p>
        </w:tc>
      </w:tr>
      <w:tr w14:paraId="3AE3FB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5" w:type="pct"/>
            <w:tcBorders>
              <w:tl2br w:val="nil"/>
              <w:tr2bl w:val="nil"/>
            </w:tcBorders>
            <w:noWrap w:val="0"/>
            <w:vAlign w:val="center"/>
          </w:tcPr>
          <w:p w14:paraId="7EEF060A">
            <w:pPr>
              <w:pStyle w:val="58"/>
              <w:bidi w:val="0"/>
              <w:rPr>
                <w:rFonts w:hint="default"/>
                <w:highlight w:val="none"/>
                <w:lang w:val="zh-CN"/>
              </w:rPr>
            </w:pPr>
            <w:r>
              <w:rPr>
                <w:rFonts w:hint="default"/>
                <w:highlight w:val="none"/>
                <w:lang w:val="zh-CN"/>
              </w:rPr>
              <w:t>辅助工程</w:t>
            </w:r>
          </w:p>
        </w:tc>
        <w:tc>
          <w:tcPr>
            <w:tcW w:w="886" w:type="pct"/>
            <w:tcBorders>
              <w:tl2br w:val="nil"/>
              <w:tr2bl w:val="nil"/>
            </w:tcBorders>
            <w:noWrap w:val="0"/>
            <w:vAlign w:val="center"/>
          </w:tcPr>
          <w:p w14:paraId="70EB70D6">
            <w:pPr>
              <w:pStyle w:val="58"/>
              <w:bidi w:val="0"/>
              <w:rPr>
                <w:rFonts w:hint="default"/>
                <w:highlight w:val="none"/>
                <w:lang w:val="zh-CN"/>
              </w:rPr>
            </w:pPr>
            <w:r>
              <w:rPr>
                <w:rFonts w:hint="default"/>
                <w:highlight w:val="none"/>
                <w:lang w:val="zh-CN"/>
              </w:rPr>
              <w:t>管网</w:t>
            </w:r>
          </w:p>
        </w:tc>
        <w:tc>
          <w:tcPr>
            <w:tcW w:w="3437" w:type="pct"/>
            <w:tcBorders>
              <w:tl2br w:val="nil"/>
              <w:tr2bl w:val="nil"/>
            </w:tcBorders>
            <w:noWrap w:val="0"/>
            <w:vAlign w:val="center"/>
          </w:tcPr>
          <w:p w14:paraId="54E354D4">
            <w:pPr>
              <w:pStyle w:val="58"/>
              <w:bidi w:val="0"/>
              <w:rPr>
                <w:rFonts w:hint="default"/>
                <w:highlight w:val="none"/>
                <w:lang w:val="zh-CN" w:eastAsia="zh-CN"/>
              </w:rPr>
            </w:pPr>
            <w:r>
              <w:rPr>
                <w:rFonts w:hint="default"/>
                <w:highlight w:val="none"/>
                <w:lang w:val="zh-CN" w:eastAsia="zh-CN"/>
              </w:rPr>
              <w:t>园区修建了纬一道、经二路、经三路，配套修建了污水主干管，管径为d400-d600，沿途收集规划区域内各支线的污水，最终排入垦丰家居产业园污水处理站，经处理达标后，排入附近沟渠，采用洒水车及绿化车辆在沟渠取水，用于园区内道路喷洒及绿化，</w:t>
            </w:r>
            <w:r>
              <w:rPr>
                <w:rFonts w:hint="eastAsia"/>
                <w:highlight w:val="none"/>
                <w:lang w:val="en-US" w:eastAsia="zh-CN"/>
              </w:rPr>
              <w:t>其余经沟渠回用于</w:t>
            </w:r>
            <w:r>
              <w:rPr>
                <w:rFonts w:hint="default"/>
                <w:highlight w:val="none"/>
                <w:lang w:val="zh-CN" w:eastAsia="zh-CN"/>
              </w:rPr>
              <w:t>农田灌溉，汛期强排至三排干渠。</w:t>
            </w:r>
          </w:p>
          <w:p w14:paraId="6758AD65">
            <w:pPr>
              <w:pStyle w:val="58"/>
              <w:bidi w:val="0"/>
              <w:rPr>
                <w:rFonts w:hint="default"/>
                <w:highlight w:val="none"/>
                <w:lang w:val="en-US" w:eastAsia="zh-CN"/>
              </w:rPr>
            </w:pPr>
            <w:r>
              <w:rPr>
                <w:rFonts w:hint="default"/>
                <w:highlight w:val="none"/>
                <w:lang w:val="en-US" w:eastAsia="zh-CN"/>
              </w:rPr>
              <w:t>管网</w:t>
            </w:r>
            <w:r>
              <w:rPr>
                <w:rFonts w:hint="default"/>
                <w:highlight w:val="none"/>
                <w:lang w:val="zh-CN"/>
              </w:rPr>
              <w:t>采用承插口接口，橡胶圈连接，管道基础采用砂垫层基础。</w:t>
            </w:r>
          </w:p>
        </w:tc>
      </w:tr>
      <w:tr w14:paraId="3E7F34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5" w:type="pct"/>
            <w:vMerge w:val="restart"/>
            <w:tcBorders>
              <w:tl2br w:val="nil"/>
              <w:tr2bl w:val="nil"/>
            </w:tcBorders>
            <w:noWrap w:val="0"/>
            <w:vAlign w:val="center"/>
          </w:tcPr>
          <w:p w14:paraId="7AA76D52">
            <w:pPr>
              <w:pStyle w:val="58"/>
              <w:bidi w:val="0"/>
              <w:rPr>
                <w:rFonts w:hint="default"/>
                <w:highlight w:val="none"/>
                <w:lang w:val="zh-CN"/>
              </w:rPr>
            </w:pPr>
            <w:r>
              <w:rPr>
                <w:rFonts w:hint="default"/>
                <w:highlight w:val="none"/>
                <w:lang w:val="zh-CN"/>
              </w:rPr>
              <w:t>公用工程</w:t>
            </w:r>
          </w:p>
        </w:tc>
        <w:tc>
          <w:tcPr>
            <w:tcW w:w="886" w:type="pct"/>
            <w:tcBorders>
              <w:tl2br w:val="nil"/>
              <w:tr2bl w:val="nil"/>
            </w:tcBorders>
            <w:noWrap w:val="0"/>
            <w:vAlign w:val="center"/>
          </w:tcPr>
          <w:p w14:paraId="2D4A353B">
            <w:pPr>
              <w:pStyle w:val="58"/>
              <w:bidi w:val="0"/>
              <w:rPr>
                <w:rFonts w:hint="default"/>
                <w:highlight w:val="none"/>
                <w:lang w:val="zh-CN"/>
              </w:rPr>
            </w:pPr>
            <w:r>
              <w:rPr>
                <w:rFonts w:hint="default"/>
                <w:highlight w:val="none"/>
              </w:rPr>
              <w:t>供电</w:t>
            </w:r>
          </w:p>
        </w:tc>
        <w:tc>
          <w:tcPr>
            <w:tcW w:w="3437" w:type="pct"/>
            <w:tcBorders>
              <w:tl2br w:val="nil"/>
              <w:tr2bl w:val="nil"/>
            </w:tcBorders>
            <w:noWrap w:val="0"/>
            <w:vAlign w:val="center"/>
          </w:tcPr>
          <w:p w14:paraId="45456911">
            <w:pPr>
              <w:pStyle w:val="58"/>
              <w:bidi w:val="0"/>
              <w:rPr>
                <w:rFonts w:hint="default"/>
                <w:highlight w:val="none"/>
                <w:lang w:val="en-US" w:eastAsia="zh-CN"/>
              </w:rPr>
            </w:pPr>
            <w:r>
              <w:rPr>
                <w:rFonts w:hint="default"/>
                <w:highlight w:val="none"/>
              </w:rPr>
              <w:t>由园区电网提供，可满足本项目用电要求，园区用电由十一农场变电站提供。</w:t>
            </w:r>
          </w:p>
        </w:tc>
      </w:tr>
      <w:tr w14:paraId="23EF23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5" w:type="pct"/>
            <w:vMerge w:val="continue"/>
            <w:tcBorders>
              <w:tl2br w:val="nil"/>
              <w:tr2bl w:val="nil"/>
            </w:tcBorders>
            <w:noWrap w:val="0"/>
            <w:vAlign w:val="center"/>
          </w:tcPr>
          <w:p w14:paraId="57B91A5A">
            <w:pPr>
              <w:pStyle w:val="58"/>
              <w:bidi w:val="0"/>
              <w:rPr>
                <w:rFonts w:hint="default"/>
                <w:highlight w:val="none"/>
                <w:lang w:val="zh-CN"/>
              </w:rPr>
            </w:pPr>
          </w:p>
        </w:tc>
        <w:tc>
          <w:tcPr>
            <w:tcW w:w="886" w:type="pct"/>
            <w:tcBorders>
              <w:tl2br w:val="nil"/>
              <w:tr2bl w:val="nil"/>
            </w:tcBorders>
            <w:noWrap w:val="0"/>
            <w:vAlign w:val="center"/>
          </w:tcPr>
          <w:p w14:paraId="68FEDF4E">
            <w:pPr>
              <w:pStyle w:val="58"/>
              <w:bidi w:val="0"/>
              <w:rPr>
                <w:rFonts w:hint="default"/>
                <w:highlight w:val="none"/>
                <w:lang w:val="en-US" w:eastAsia="zh-CN"/>
              </w:rPr>
            </w:pPr>
            <w:r>
              <w:rPr>
                <w:rFonts w:hint="default"/>
                <w:highlight w:val="none"/>
                <w:lang w:val="en-US" w:eastAsia="zh-CN"/>
              </w:rPr>
              <w:t>供水</w:t>
            </w:r>
          </w:p>
        </w:tc>
        <w:tc>
          <w:tcPr>
            <w:tcW w:w="3437" w:type="pct"/>
            <w:tcBorders>
              <w:tl2br w:val="nil"/>
              <w:tr2bl w:val="nil"/>
            </w:tcBorders>
            <w:noWrap w:val="0"/>
            <w:vAlign w:val="center"/>
          </w:tcPr>
          <w:p w14:paraId="03C1DDDB">
            <w:pPr>
              <w:pStyle w:val="58"/>
              <w:bidi w:val="0"/>
              <w:jc w:val="left"/>
              <w:rPr>
                <w:rFonts w:hint="default"/>
                <w:highlight w:val="none"/>
                <w:lang w:val="en-US" w:eastAsia="zh-CN"/>
              </w:rPr>
            </w:pPr>
            <w:r>
              <w:rPr>
                <w:rFonts w:hint="eastAsia"/>
                <w:highlight w:val="none"/>
                <w:lang w:val="en-US" w:eastAsia="zh-CN"/>
              </w:rPr>
              <w:t>由园区管网提供</w:t>
            </w:r>
          </w:p>
        </w:tc>
      </w:tr>
      <w:tr w14:paraId="371D9DE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5" w:type="pct"/>
            <w:vMerge w:val="continue"/>
            <w:tcBorders>
              <w:tl2br w:val="nil"/>
              <w:tr2bl w:val="nil"/>
            </w:tcBorders>
            <w:noWrap w:val="0"/>
            <w:vAlign w:val="center"/>
          </w:tcPr>
          <w:p w14:paraId="57B8379C">
            <w:pPr>
              <w:pStyle w:val="58"/>
              <w:bidi w:val="0"/>
              <w:rPr>
                <w:rFonts w:hint="default"/>
                <w:highlight w:val="none"/>
                <w:lang w:val="zh-CN"/>
              </w:rPr>
            </w:pPr>
            <w:bookmarkStart w:id="124" w:name="OLE_LINK41" w:colFirst="1" w:colLast="2"/>
          </w:p>
        </w:tc>
        <w:tc>
          <w:tcPr>
            <w:tcW w:w="886" w:type="pct"/>
            <w:tcBorders>
              <w:tl2br w:val="nil"/>
              <w:tr2bl w:val="nil"/>
            </w:tcBorders>
            <w:noWrap w:val="0"/>
            <w:vAlign w:val="center"/>
          </w:tcPr>
          <w:p w14:paraId="18984B98">
            <w:pPr>
              <w:pStyle w:val="58"/>
              <w:bidi w:val="0"/>
              <w:rPr>
                <w:rFonts w:hint="default"/>
                <w:highlight w:val="none"/>
                <w:lang w:val="en-US" w:eastAsia="zh-CN"/>
              </w:rPr>
            </w:pPr>
            <w:r>
              <w:rPr>
                <w:rFonts w:hint="default"/>
                <w:highlight w:val="none"/>
                <w:lang w:val="zh-CN"/>
              </w:rPr>
              <w:t>供</w:t>
            </w:r>
            <w:r>
              <w:rPr>
                <w:rFonts w:hint="default"/>
                <w:highlight w:val="none"/>
                <w:lang w:val="en-US" w:eastAsia="zh-CN"/>
              </w:rPr>
              <w:t>热</w:t>
            </w:r>
          </w:p>
        </w:tc>
        <w:tc>
          <w:tcPr>
            <w:tcW w:w="3437" w:type="pct"/>
            <w:tcBorders>
              <w:tl2br w:val="nil"/>
              <w:tr2bl w:val="nil"/>
            </w:tcBorders>
            <w:noWrap w:val="0"/>
            <w:vAlign w:val="center"/>
          </w:tcPr>
          <w:p w14:paraId="04C0D1F3">
            <w:pPr>
              <w:pStyle w:val="58"/>
              <w:bidi w:val="0"/>
              <w:rPr>
                <w:rFonts w:hint="default"/>
                <w:highlight w:val="none"/>
                <w:lang w:val="en-US" w:eastAsia="zh-CN"/>
              </w:rPr>
            </w:pPr>
            <w:r>
              <w:rPr>
                <w:rFonts w:hint="eastAsia"/>
                <w:highlight w:val="none"/>
                <w:lang w:val="en-US" w:eastAsia="zh-CN"/>
              </w:rPr>
              <w:t>厂区范围内</w:t>
            </w:r>
            <w:r>
              <w:rPr>
                <w:rFonts w:hint="default"/>
                <w:highlight w:val="none"/>
                <w:lang w:val="en-US" w:eastAsia="zh-CN"/>
              </w:rPr>
              <w:t>无办公室及宿舍，无需供热</w:t>
            </w:r>
            <w:r>
              <w:rPr>
                <w:rFonts w:hint="eastAsia"/>
                <w:highlight w:val="none"/>
                <w:lang w:val="en-US" w:eastAsia="zh-CN"/>
              </w:rPr>
              <w:t>（现有工程规模小，依托园区管委会办公室）</w:t>
            </w:r>
          </w:p>
        </w:tc>
      </w:tr>
      <w:bookmarkEnd w:id="124"/>
      <w:tr w14:paraId="609F8CB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1562" w:type="pct"/>
            <w:gridSpan w:val="2"/>
            <w:tcBorders>
              <w:tl2br w:val="nil"/>
              <w:tr2bl w:val="nil"/>
            </w:tcBorders>
            <w:noWrap w:val="0"/>
            <w:vAlign w:val="center"/>
          </w:tcPr>
          <w:p w14:paraId="554BD1EC">
            <w:pPr>
              <w:pStyle w:val="58"/>
              <w:bidi w:val="0"/>
              <w:rPr>
                <w:rFonts w:hint="default"/>
                <w:highlight w:val="none"/>
                <w:lang w:val="en-US" w:eastAsia="zh-CN"/>
              </w:rPr>
            </w:pPr>
            <w:r>
              <w:rPr>
                <w:rFonts w:hint="default"/>
                <w:highlight w:val="none"/>
                <w:lang w:val="en-US" w:eastAsia="zh-CN"/>
              </w:rPr>
              <w:t>劳动定员及工作制度</w:t>
            </w:r>
          </w:p>
        </w:tc>
        <w:tc>
          <w:tcPr>
            <w:tcW w:w="3437" w:type="pct"/>
            <w:tcBorders>
              <w:tl2br w:val="nil"/>
              <w:tr2bl w:val="nil"/>
            </w:tcBorders>
            <w:noWrap w:val="0"/>
            <w:vAlign w:val="center"/>
          </w:tcPr>
          <w:p w14:paraId="14BB94E6">
            <w:pPr>
              <w:pStyle w:val="58"/>
              <w:bidi w:val="0"/>
              <w:rPr>
                <w:rFonts w:hint="default"/>
                <w:highlight w:val="none"/>
                <w:lang w:val="en-US" w:eastAsia="zh-CN"/>
              </w:rPr>
            </w:pPr>
            <w:r>
              <w:rPr>
                <w:rFonts w:hint="default"/>
                <w:highlight w:val="none"/>
                <w:lang w:val="en-US" w:eastAsia="zh-CN"/>
              </w:rPr>
              <w:t>现有工程全年运营，劳动定员3人，负责污水处理站日常运行，工作制度为</w:t>
            </w:r>
            <w:r>
              <w:rPr>
                <w:rFonts w:hint="eastAsia"/>
                <w:highlight w:val="none"/>
                <w:lang w:val="en-US" w:eastAsia="zh-CN"/>
              </w:rPr>
              <w:t>3</w:t>
            </w:r>
            <w:r>
              <w:rPr>
                <w:rFonts w:hint="default"/>
                <w:highlight w:val="none"/>
                <w:lang w:val="en-US" w:eastAsia="zh-CN"/>
              </w:rPr>
              <w:t>班制，每班工作</w:t>
            </w:r>
            <w:r>
              <w:rPr>
                <w:rFonts w:hint="eastAsia"/>
                <w:highlight w:val="none"/>
                <w:lang w:val="en-US" w:eastAsia="zh-CN"/>
              </w:rPr>
              <w:t>8</w:t>
            </w:r>
            <w:r>
              <w:rPr>
                <w:rFonts w:hint="default"/>
                <w:highlight w:val="none"/>
                <w:lang w:val="en-US" w:eastAsia="zh-CN"/>
              </w:rPr>
              <w:t>小时。</w:t>
            </w:r>
          </w:p>
        </w:tc>
      </w:tr>
      <w:tr w14:paraId="324AD5B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5" w:type="pct"/>
            <w:vMerge w:val="restart"/>
            <w:tcBorders>
              <w:tl2br w:val="nil"/>
              <w:tr2bl w:val="nil"/>
            </w:tcBorders>
            <w:noWrap w:val="0"/>
            <w:vAlign w:val="center"/>
          </w:tcPr>
          <w:p w14:paraId="6FECC680">
            <w:pPr>
              <w:pStyle w:val="58"/>
              <w:bidi w:val="0"/>
              <w:rPr>
                <w:rFonts w:hint="default"/>
                <w:highlight w:val="none"/>
                <w:lang w:val="zh-CN"/>
              </w:rPr>
            </w:pPr>
            <w:r>
              <w:rPr>
                <w:rFonts w:hint="default"/>
                <w:highlight w:val="none"/>
                <w:lang w:val="zh-CN"/>
              </w:rPr>
              <w:t>环保工程</w:t>
            </w:r>
          </w:p>
        </w:tc>
        <w:tc>
          <w:tcPr>
            <w:tcW w:w="886" w:type="pct"/>
            <w:tcBorders>
              <w:tl2br w:val="nil"/>
              <w:tr2bl w:val="nil"/>
            </w:tcBorders>
            <w:noWrap w:val="0"/>
            <w:vAlign w:val="center"/>
          </w:tcPr>
          <w:p w14:paraId="259CE65F">
            <w:pPr>
              <w:pStyle w:val="58"/>
              <w:bidi w:val="0"/>
              <w:rPr>
                <w:rFonts w:hint="default"/>
                <w:highlight w:val="none"/>
                <w:lang w:val="zh-CN"/>
              </w:rPr>
            </w:pPr>
            <w:r>
              <w:rPr>
                <w:rFonts w:hint="default"/>
                <w:highlight w:val="none"/>
                <w:lang w:val="zh-CN"/>
              </w:rPr>
              <w:t>废气</w:t>
            </w:r>
          </w:p>
        </w:tc>
        <w:tc>
          <w:tcPr>
            <w:tcW w:w="3437" w:type="pct"/>
            <w:tcBorders>
              <w:tl2br w:val="nil"/>
              <w:tr2bl w:val="nil"/>
            </w:tcBorders>
            <w:noWrap w:val="0"/>
            <w:vAlign w:val="center"/>
          </w:tcPr>
          <w:p w14:paraId="527003F6">
            <w:pPr>
              <w:pStyle w:val="58"/>
              <w:bidi w:val="0"/>
              <w:rPr>
                <w:rFonts w:hint="default"/>
                <w:highlight w:val="none"/>
                <w:lang w:val="zh-CN"/>
              </w:rPr>
            </w:pPr>
            <w:r>
              <w:rPr>
                <w:rFonts w:hint="eastAsia"/>
                <w:highlight w:val="none"/>
                <w:lang w:val="en-US" w:eastAsia="zh-CN"/>
              </w:rPr>
              <w:t>格栅池</w:t>
            </w:r>
            <w:r>
              <w:rPr>
                <w:rFonts w:hint="default"/>
                <w:highlight w:val="none"/>
                <w:lang w:val="en-US" w:eastAsia="zh-CN"/>
              </w:rPr>
              <w:t>、集水池</w:t>
            </w:r>
            <w:r>
              <w:rPr>
                <w:rFonts w:hint="default"/>
                <w:highlight w:val="none"/>
                <w:lang w:val="zh-CN"/>
              </w:rPr>
              <w:t>地埋式钢筋混凝土结构，池顶加盖板，膜技术污水处理器为</w:t>
            </w:r>
            <w:r>
              <w:rPr>
                <w:rFonts w:hint="default"/>
                <w:highlight w:val="none"/>
                <w:lang w:val="en-US" w:eastAsia="zh-CN"/>
              </w:rPr>
              <w:t>地下设置，池顶加盖板，位于保温彩钢房内</w:t>
            </w:r>
            <w:r>
              <w:rPr>
                <w:rFonts w:hint="default"/>
                <w:highlight w:val="none"/>
                <w:lang w:val="zh-CN"/>
              </w:rPr>
              <w:t>。</w:t>
            </w:r>
          </w:p>
        </w:tc>
      </w:tr>
      <w:tr w14:paraId="5A8A07D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5" w:type="pct"/>
            <w:vMerge w:val="continue"/>
            <w:tcBorders>
              <w:tl2br w:val="nil"/>
              <w:tr2bl w:val="nil"/>
            </w:tcBorders>
            <w:noWrap w:val="0"/>
            <w:vAlign w:val="center"/>
          </w:tcPr>
          <w:p w14:paraId="399FF771">
            <w:pPr>
              <w:pStyle w:val="58"/>
              <w:bidi w:val="0"/>
              <w:rPr>
                <w:rFonts w:hint="default"/>
                <w:highlight w:val="none"/>
                <w:lang w:val="zh-CN"/>
              </w:rPr>
            </w:pPr>
          </w:p>
        </w:tc>
        <w:tc>
          <w:tcPr>
            <w:tcW w:w="886" w:type="pct"/>
            <w:tcBorders>
              <w:tl2br w:val="nil"/>
              <w:tr2bl w:val="nil"/>
            </w:tcBorders>
            <w:noWrap w:val="0"/>
            <w:vAlign w:val="center"/>
          </w:tcPr>
          <w:p w14:paraId="5643B079">
            <w:pPr>
              <w:pStyle w:val="58"/>
              <w:bidi w:val="0"/>
              <w:rPr>
                <w:rFonts w:hint="default"/>
                <w:highlight w:val="none"/>
                <w:lang w:val="zh-CN"/>
              </w:rPr>
            </w:pPr>
            <w:r>
              <w:rPr>
                <w:rFonts w:hint="default"/>
                <w:highlight w:val="none"/>
                <w:lang w:val="zh-CN"/>
              </w:rPr>
              <w:t>废水</w:t>
            </w:r>
          </w:p>
        </w:tc>
        <w:tc>
          <w:tcPr>
            <w:tcW w:w="3437" w:type="pct"/>
            <w:tcBorders>
              <w:tl2br w:val="nil"/>
              <w:tr2bl w:val="nil"/>
            </w:tcBorders>
            <w:noWrap w:val="0"/>
            <w:vAlign w:val="center"/>
          </w:tcPr>
          <w:p w14:paraId="6E877045">
            <w:pPr>
              <w:pStyle w:val="58"/>
              <w:bidi w:val="0"/>
              <w:rPr>
                <w:rFonts w:hint="default"/>
                <w:highlight w:val="none"/>
                <w:lang w:val="zh-CN"/>
              </w:rPr>
            </w:pPr>
            <w:r>
              <w:rPr>
                <w:rFonts w:hint="eastAsia"/>
                <w:highlight w:val="none"/>
                <w:lang w:val="zh-CN" w:eastAsia="zh-CN"/>
              </w:rPr>
              <w:t>经处理达标后，排入附近沟渠，采用洒水车及绿化车辆在沟渠取水，用于园区内道路喷洒及绿化，其余经沟渠回用于农田灌溉，汛期强排至三排干渠。</w:t>
            </w:r>
          </w:p>
        </w:tc>
      </w:tr>
      <w:tr w14:paraId="2A48B60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5" w:type="pct"/>
            <w:vMerge w:val="continue"/>
            <w:tcBorders>
              <w:tl2br w:val="nil"/>
              <w:tr2bl w:val="nil"/>
            </w:tcBorders>
            <w:noWrap w:val="0"/>
            <w:vAlign w:val="center"/>
          </w:tcPr>
          <w:p w14:paraId="0697BC5A">
            <w:pPr>
              <w:pStyle w:val="58"/>
              <w:bidi w:val="0"/>
              <w:rPr>
                <w:rFonts w:hint="default"/>
                <w:highlight w:val="none"/>
                <w:lang w:val="zh-CN"/>
              </w:rPr>
            </w:pPr>
          </w:p>
        </w:tc>
        <w:tc>
          <w:tcPr>
            <w:tcW w:w="886" w:type="pct"/>
            <w:tcBorders>
              <w:tl2br w:val="nil"/>
              <w:tr2bl w:val="nil"/>
            </w:tcBorders>
            <w:noWrap w:val="0"/>
            <w:vAlign w:val="center"/>
          </w:tcPr>
          <w:p w14:paraId="3FBCA696">
            <w:pPr>
              <w:pStyle w:val="58"/>
              <w:bidi w:val="0"/>
              <w:rPr>
                <w:rFonts w:hint="default"/>
                <w:highlight w:val="none"/>
                <w:lang w:val="zh-CN"/>
              </w:rPr>
            </w:pPr>
            <w:r>
              <w:rPr>
                <w:rFonts w:hint="default"/>
                <w:highlight w:val="none"/>
                <w:lang w:val="zh-CN"/>
              </w:rPr>
              <w:t>噪声</w:t>
            </w:r>
          </w:p>
        </w:tc>
        <w:tc>
          <w:tcPr>
            <w:tcW w:w="3437" w:type="pct"/>
            <w:tcBorders>
              <w:tl2br w:val="nil"/>
              <w:tr2bl w:val="nil"/>
            </w:tcBorders>
            <w:noWrap w:val="0"/>
            <w:vAlign w:val="center"/>
          </w:tcPr>
          <w:p w14:paraId="19F3F5D1">
            <w:pPr>
              <w:pStyle w:val="58"/>
              <w:bidi w:val="0"/>
              <w:rPr>
                <w:rFonts w:hint="default"/>
                <w:highlight w:val="none"/>
                <w:lang w:val="zh-CN"/>
              </w:rPr>
            </w:pPr>
            <w:r>
              <w:rPr>
                <w:rFonts w:hint="default"/>
                <w:highlight w:val="none"/>
                <w:lang w:val="zh-CN"/>
              </w:rPr>
              <w:t>低噪声设备，池体加盖封闭、保温彩钢房封闭、距离衰减等措施</w:t>
            </w:r>
          </w:p>
        </w:tc>
      </w:tr>
      <w:tr w14:paraId="1F633DB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5" w:type="pct"/>
            <w:vMerge w:val="continue"/>
            <w:tcBorders>
              <w:tl2br w:val="nil"/>
              <w:tr2bl w:val="nil"/>
            </w:tcBorders>
            <w:noWrap w:val="0"/>
            <w:vAlign w:val="center"/>
          </w:tcPr>
          <w:p w14:paraId="6AD98188">
            <w:pPr>
              <w:pStyle w:val="58"/>
              <w:bidi w:val="0"/>
              <w:rPr>
                <w:rFonts w:hint="default"/>
                <w:highlight w:val="none"/>
                <w:lang w:val="zh-CN"/>
              </w:rPr>
            </w:pPr>
          </w:p>
        </w:tc>
        <w:tc>
          <w:tcPr>
            <w:tcW w:w="886" w:type="pct"/>
            <w:tcBorders>
              <w:tl2br w:val="nil"/>
              <w:tr2bl w:val="nil"/>
            </w:tcBorders>
            <w:noWrap w:val="0"/>
            <w:vAlign w:val="center"/>
          </w:tcPr>
          <w:p w14:paraId="0B3D0B2F">
            <w:pPr>
              <w:pStyle w:val="58"/>
              <w:bidi w:val="0"/>
              <w:rPr>
                <w:rFonts w:hint="default"/>
                <w:highlight w:val="none"/>
                <w:lang w:val="zh-CN"/>
              </w:rPr>
            </w:pPr>
            <w:r>
              <w:rPr>
                <w:rFonts w:hint="default"/>
                <w:highlight w:val="none"/>
                <w:lang w:val="zh-CN"/>
              </w:rPr>
              <w:t>固废</w:t>
            </w:r>
          </w:p>
        </w:tc>
        <w:tc>
          <w:tcPr>
            <w:tcW w:w="3437" w:type="pct"/>
            <w:tcBorders>
              <w:tl2br w:val="nil"/>
              <w:tr2bl w:val="nil"/>
            </w:tcBorders>
            <w:noWrap w:val="0"/>
            <w:vAlign w:val="center"/>
          </w:tcPr>
          <w:p w14:paraId="16304B82">
            <w:pPr>
              <w:pStyle w:val="58"/>
              <w:bidi w:val="0"/>
              <w:rPr>
                <w:rFonts w:hint="default"/>
                <w:highlight w:val="none"/>
                <w:lang w:val="en-US" w:eastAsia="zh-CN"/>
              </w:rPr>
            </w:pPr>
            <w:r>
              <w:rPr>
                <w:rFonts w:hint="default"/>
                <w:highlight w:val="none"/>
                <w:lang w:val="zh-CN" w:eastAsia="zh-CN"/>
              </w:rPr>
              <w:t>栅渣和污泥委托水泥厂协同处置</w:t>
            </w:r>
            <w:r>
              <w:rPr>
                <w:rFonts w:hint="eastAsia"/>
                <w:highlight w:val="none"/>
                <w:lang w:eastAsia="zh-CN"/>
              </w:rPr>
              <w:t>。</w:t>
            </w:r>
          </w:p>
        </w:tc>
      </w:tr>
    </w:tbl>
    <w:p w14:paraId="4A130CDF">
      <w:pPr>
        <w:pStyle w:val="6"/>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3.1.2</w:t>
      </w: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现有主要建构筑物</w:t>
      </w:r>
    </w:p>
    <w:p w14:paraId="60C95889">
      <w:pPr>
        <w:numPr>
          <w:ilvl w:val="0"/>
          <w:numId w:val="22"/>
        </w:numPr>
        <w:autoSpaceDE w:val="0"/>
        <w:autoSpaceDN w:val="0"/>
        <w:spacing w:line="480" w:lineRule="exact"/>
        <w:ind w:left="425" w:leftChars="0" w:hanging="425" w:firstLineChars="0"/>
        <w:jc w:val="center"/>
        <w:rPr>
          <w:rFonts w:hint="default" w:ascii="Times New Roman" w:hAnsi="Times New Roman" w:eastAsia="宋体" w:cs="Times New Roman"/>
          <w:b/>
          <w:color w:val="000000" w:themeColor="text1"/>
          <w:kern w:val="0"/>
          <w:sz w:val="24"/>
          <w:highlight w:val="none"/>
          <w:shd w:val="clear" w:color="auto" w:fill="auto"/>
          <w:lang w:val="zh-CN"/>
          <w14:textFill>
            <w14:solidFill>
              <w14:schemeClr w14:val="tx1"/>
            </w14:solidFill>
          </w14:textFill>
        </w:rPr>
      </w:pPr>
      <w:r>
        <w:rPr>
          <w:rFonts w:hint="default" w:ascii="Times New Roman" w:hAnsi="Times New Roman" w:eastAsia="宋体" w:cs="Times New Roman"/>
          <w:b/>
          <w:color w:val="000000" w:themeColor="text1"/>
          <w:kern w:val="0"/>
          <w:sz w:val="24"/>
          <w:highlight w:val="none"/>
          <w:shd w:val="clear" w:color="auto" w:fill="auto"/>
          <w:lang w:val="zh-CN"/>
          <w14:textFill>
            <w14:solidFill>
              <w14:schemeClr w14:val="tx1"/>
            </w14:solidFill>
          </w14:textFill>
        </w:rPr>
        <w:t>现有工程</w:t>
      </w:r>
      <w:r>
        <w:rPr>
          <w:rFonts w:hint="default" w:ascii="Times New Roman" w:hAnsi="Times New Roman" w:eastAsia="宋体" w:cs="Times New Roman"/>
          <w:b/>
          <w:color w:val="000000" w:themeColor="text1"/>
          <w:kern w:val="0"/>
          <w:sz w:val="24"/>
          <w:highlight w:val="none"/>
          <w:shd w:val="clear" w:color="auto" w:fill="auto"/>
          <w:lang w:val="en-US" w:eastAsia="zh-CN"/>
          <w14:textFill>
            <w14:solidFill>
              <w14:schemeClr w14:val="tx1"/>
            </w14:solidFill>
          </w14:textFill>
        </w:rPr>
        <w:t>建构筑物</w:t>
      </w:r>
      <w:r>
        <w:rPr>
          <w:rFonts w:hint="default" w:ascii="Times New Roman" w:hAnsi="Times New Roman" w:eastAsia="宋体" w:cs="Times New Roman"/>
          <w:b/>
          <w:color w:val="000000" w:themeColor="text1"/>
          <w:kern w:val="0"/>
          <w:sz w:val="24"/>
          <w:highlight w:val="none"/>
          <w:shd w:val="clear" w:color="auto" w:fill="auto"/>
          <w:lang w:val="zh-CN"/>
          <w14:textFill>
            <w14:solidFill>
              <w14:schemeClr w14:val="tx1"/>
            </w14:solidFill>
          </w14:textFill>
        </w:rPr>
        <w:t>一览表</w:t>
      </w:r>
    </w:p>
    <w:tbl>
      <w:tblPr>
        <w:tblStyle w:val="48"/>
        <w:tblW w:w="4951"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631"/>
        <w:gridCol w:w="1456"/>
        <w:gridCol w:w="843"/>
        <w:gridCol w:w="1914"/>
        <w:gridCol w:w="1706"/>
        <w:gridCol w:w="2647"/>
      </w:tblGrid>
      <w:tr w14:paraId="5E0860D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43" w:type="pct"/>
            <w:vAlign w:val="center"/>
          </w:tcPr>
          <w:p w14:paraId="2F3A31CC">
            <w:pPr>
              <w:pStyle w:val="58"/>
              <w:bidi w:val="0"/>
              <w:rPr>
                <w:rFonts w:hint="default"/>
                <w:highlight w:val="none"/>
                <w:lang w:val="en-US" w:eastAsia="zh-CN"/>
              </w:rPr>
            </w:pPr>
            <w:r>
              <w:rPr>
                <w:rFonts w:hint="default"/>
                <w:highlight w:val="none"/>
                <w:lang w:val="en-US" w:eastAsia="zh-CN"/>
              </w:rPr>
              <w:t>编号</w:t>
            </w:r>
          </w:p>
        </w:tc>
        <w:tc>
          <w:tcPr>
            <w:tcW w:w="791" w:type="pct"/>
            <w:vAlign w:val="center"/>
          </w:tcPr>
          <w:p w14:paraId="133946DE">
            <w:pPr>
              <w:pStyle w:val="58"/>
              <w:bidi w:val="0"/>
              <w:rPr>
                <w:rFonts w:hint="default"/>
                <w:highlight w:val="none"/>
                <w:lang w:val="en-US" w:eastAsia="zh-CN"/>
              </w:rPr>
            </w:pPr>
            <w:r>
              <w:rPr>
                <w:rFonts w:hint="default"/>
                <w:highlight w:val="none"/>
                <w:lang w:val="en-US" w:eastAsia="zh-CN"/>
              </w:rPr>
              <w:t>名称</w:t>
            </w:r>
          </w:p>
        </w:tc>
        <w:tc>
          <w:tcPr>
            <w:tcW w:w="458" w:type="pct"/>
            <w:vAlign w:val="center"/>
          </w:tcPr>
          <w:p w14:paraId="1F84549B">
            <w:pPr>
              <w:pStyle w:val="58"/>
              <w:bidi w:val="0"/>
              <w:rPr>
                <w:rFonts w:hint="default"/>
                <w:highlight w:val="none"/>
                <w:lang w:val="en-US" w:eastAsia="zh-CN"/>
              </w:rPr>
            </w:pPr>
            <w:r>
              <w:rPr>
                <w:rFonts w:hint="default"/>
                <w:highlight w:val="none"/>
                <w:lang w:val="en-US" w:eastAsia="zh-CN"/>
              </w:rPr>
              <w:t>数量</w:t>
            </w:r>
          </w:p>
        </w:tc>
        <w:tc>
          <w:tcPr>
            <w:tcW w:w="1040" w:type="pct"/>
            <w:vAlign w:val="center"/>
          </w:tcPr>
          <w:p w14:paraId="27CC9E51">
            <w:pPr>
              <w:pStyle w:val="58"/>
              <w:bidi w:val="0"/>
              <w:rPr>
                <w:rFonts w:hint="default"/>
                <w:highlight w:val="none"/>
                <w:lang w:val="en-US" w:eastAsia="zh-CN"/>
              </w:rPr>
            </w:pPr>
            <w:r>
              <w:rPr>
                <w:rFonts w:hint="eastAsia"/>
                <w:highlight w:val="none"/>
                <w:lang w:val="en-US" w:eastAsia="zh-CN"/>
              </w:rPr>
              <w:t>规格型号</w:t>
            </w:r>
          </w:p>
        </w:tc>
        <w:tc>
          <w:tcPr>
            <w:tcW w:w="927" w:type="pct"/>
            <w:vAlign w:val="center"/>
          </w:tcPr>
          <w:p w14:paraId="1E4DD607">
            <w:pPr>
              <w:pStyle w:val="58"/>
              <w:bidi w:val="0"/>
              <w:rPr>
                <w:rFonts w:hint="default"/>
                <w:highlight w:val="none"/>
                <w:lang w:val="en-US" w:eastAsia="zh-CN"/>
              </w:rPr>
            </w:pPr>
            <w:r>
              <w:rPr>
                <w:rFonts w:hint="default"/>
                <w:highlight w:val="none"/>
                <w:lang w:val="en-US" w:eastAsia="zh-CN"/>
              </w:rPr>
              <w:t>处理规模</w:t>
            </w:r>
          </w:p>
        </w:tc>
        <w:tc>
          <w:tcPr>
            <w:tcW w:w="1438" w:type="pct"/>
            <w:vAlign w:val="center"/>
          </w:tcPr>
          <w:p w14:paraId="751B0BCD">
            <w:pPr>
              <w:pStyle w:val="58"/>
              <w:bidi w:val="0"/>
              <w:rPr>
                <w:rFonts w:hint="default"/>
                <w:highlight w:val="none"/>
                <w:lang w:val="en-US" w:eastAsia="zh-CN"/>
              </w:rPr>
            </w:pPr>
            <w:r>
              <w:rPr>
                <w:rFonts w:hint="default"/>
                <w:highlight w:val="none"/>
                <w:lang w:val="en-US" w:eastAsia="zh-CN"/>
              </w:rPr>
              <w:t>备注</w:t>
            </w:r>
          </w:p>
        </w:tc>
      </w:tr>
      <w:tr w14:paraId="223ED0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43" w:type="pct"/>
            <w:vAlign w:val="center"/>
          </w:tcPr>
          <w:p w14:paraId="4310628A">
            <w:pPr>
              <w:pStyle w:val="58"/>
              <w:bidi w:val="0"/>
              <w:rPr>
                <w:rFonts w:hint="default"/>
                <w:highlight w:val="none"/>
                <w:lang w:val="en-US" w:eastAsia="zh-CN"/>
              </w:rPr>
            </w:pPr>
            <w:r>
              <w:rPr>
                <w:rFonts w:hint="default"/>
                <w:highlight w:val="none"/>
                <w:lang w:val="en-US" w:eastAsia="zh-CN"/>
              </w:rPr>
              <w:t>1</w:t>
            </w:r>
          </w:p>
        </w:tc>
        <w:tc>
          <w:tcPr>
            <w:tcW w:w="791" w:type="pct"/>
            <w:vAlign w:val="center"/>
          </w:tcPr>
          <w:p w14:paraId="384BB3E0">
            <w:pPr>
              <w:pStyle w:val="58"/>
              <w:bidi w:val="0"/>
              <w:rPr>
                <w:rFonts w:hint="default"/>
                <w:highlight w:val="none"/>
                <w:lang w:val="en-US" w:eastAsia="zh-CN"/>
              </w:rPr>
            </w:pPr>
            <w:r>
              <w:rPr>
                <w:rFonts w:hint="eastAsia"/>
                <w:highlight w:val="none"/>
                <w:lang w:val="en-US" w:eastAsia="zh-CN"/>
              </w:rPr>
              <w:t>格栅池</w:t>
            </w:r>
          </w:p>
        </w:tc>
        <w:tc>
          <w:tcPr>
            <w:tcW w:w="458" w:type="pct"/>
            <w:vAlign w:val="center"/>
          </w:tcPr>
          <w:p w14:paraId="72C33849">
            <w:pPr>
              <w:pStyle w:val="58"/>
              <w:bidi w:val="0"/>
              <w:rPr>
                <w:rFonts w:hint="default"/>
                <w:highlight w:val="none"/>
                <w:lang w:val="en-US" w:eastAsia="zh-CN"/>
              </w:rPr>
            </w:pPr>
            <w:r>
              <w:rPr>
                <w:rFonts w:hint="default"/>
                <w:highlight w:val="none"/>
                <w:lang w:val="en-US" w:eastAsia="zh-CN"/>
              </w:rPr>
              <w:t>1座</w:t>
            </w:r>
          </w:p>
        </w:tc>
        <w:tc>
          <w:tcPr>
            <w:tcW w:w="1040" w:type="pct"/>
            <w:vAlign w:val="center"/>
          </w:tcPr>
          <w:p w14:paraId="45BE80CD">
            <w:pPr>
              <w:pStyle w:val="58"/>
              <w:bidi w:val="0"/>
              <w:rPr>
                <w:rFonts w:hint="default"/>
                <w:highlight w:val="none"/>
                <w:lang w:val="en-US" w:eastAsia="zh-CN"/>
              </w:rPr>
            </w:pPr>
            <w:bookmarkStart w:id="125" w:name="OLE_LINK90"/>
            <w:r>
              <w:rPr>
                <w:rFonts w:hint="eastAsia"/>
                <w:highlight w:val="none"/>
                <w:lang w:val="en-US" w:eastAsia="zh-CN"/>
              </w:rPr>
              <w:t>5.1</w:t>
            </w:r>
            <w:r>
              <w:rPr>
                <w:rFonts w:hint="default"/>
                <w:highlight w:val="none"/>
                <w:lang w:val="en-US" w:eastAsia="zh-CN"/>
              </w:rPr>
              <w:t>m*</w:t>
            </w:r>
            <w:r>
              <w:rPr>
                <w:rFonts w:hint="eastAsia"/>
                <w:highlight w:val="none"/>
                <w:lang w:val="en-US" w:eastAsia="zh-CN"/>
              </w:rPr>
              <w:t>1.55</w:t>
            </w:r>
            <w:r>
              <w:rPr>
                <w:rFonts w:hint="default"/>
                <w:highlight w:val="none"/>
                <w:lang w:val="en-US" w:eastAsia="zh-CN"/>
              </w:rPr>
              <w:t>m*</w:t>
            </w:r>
            <w:r>
              <w:rPr>
                <w:rFonts w:hint="eastAsia"/>
                <w:highlight w:val="none"/>
                <w:lang w:val="en-US" w:eastAsia="zh-CN"/>
              </w:rPr>
              <w:t>4.5</w:t>
            </w:r>
            <w:r>
              <w:rPr>
                <w:rFonts w:hint="default"/>
                <w:highlight w:val="none"/>
                <w:lang w:val="en-US" w:eastAsia="zh-CN"/>
              </w:rPr>
              <w:t>m</w:t>
            </w:r>
            <w:bookmarkEnd w:id="125"/>
          </w:p>
        </w:tc>
        <w:tc>
          <w:tcPr>
            <w:tcW w:w="927" w:type="pct"/>
            <w:vAlign w:val="center"/>
          </w:tcPr>
          <w:p w14:paraId="724F4CB3">
            <w:pPr>
              <w:pStyle w:val="58"/>
              <w:bidi w:val="0"/>
              <w:rPr>
                <w:rFonts w:hint="default"/>
                <w:highlight w:val="none"/>
                <w:lang w:val="en-US" w:eastAsia="zh-CN"/>
              </w:rPr>
            </w:pPr>
            <w:r>
              <w:rPr>
                <w:rFonts w:hint="default"/>
                <w:highlight w:val="none"/>
                <w:lang w:val="en-US" w:eastAsia="zh-CN"/>
              </w:rPr>
              <w:t>50</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/d</w:t>
            </w:r>
          </w:p>
        </w:tc>
        <w:tc>
          <w:tcPr>
            <w:tcW w:w="1438" w:type="pct"/>
            <w:vAlign w:val="center"/>
          </w:tcPr>
          <w:p w14:paraId="3157D9C9">
            <w:pPr>
              <w:pStyle w:val="58"/>
              <w:bidi w:val="0"/>
              <w:rPr>
                <w:rFonts w:hint="default"/>
                <w:highlight w:val="none"/>
                <w:lang w:val="en-US" w:eastAsia="zh-CN"/>
              </w:rPr>
            </w:pPr>
          </w:p>
        </w:tc>
      </w:tr>
      <w:tr w14:paraId="79F9C5B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43" w:type="pct"/>
            <w:vAlign w:val="center"/>
          </w:tcPr>
          <w:p w14:paraId="23172435">
            <w:pPr>
              <w:pStyle w:val="58"/>
              <w:bidi w:val="0"/>
              <w:rPr>
                <w:rFonts w:hint="default"/>
                <w:highlight w:val="none"/>
                <w:lang w:val="en-US" w:eastAsia="zh-CN"/>
              </w:rPr>
            </w:pPr>
            <w:r>
              <w:rPr>
                <w:rFonts w:hint="default"/>
                <w:highlight w:val="none"/>
                <w:lang w:val="en-US" w:eastAsia="zh-CN"/>
              </w:rPr>
              <w:t>2</w:t>
            </w:r>
          </w:p>
        </w:tc>
        <w:tc>
          <w:tcPr>
            <w:tcW w:w="791" w:type="pct"/>
            <w:vAlign w:val="center"/>
          </w:tcPr>
          <w:p w14:paraId="6FE7B3AE">
            <w:pPr>
              <w:pStyle w:val="58"/>
              <w:bidi w:val="0"/>
              <w:rPr>
                <w:rFonts w:hint="default"/>
                <w:highlight w:val="none"/>
                <w:lang w:val="en-US" w:eastAsia="zh-CN"/>
              </w:rPr>
            </w:pPr>
            <w:r>
              <w:rPr>
                <w:rFonts w:hint="default"/>
                <w:highlight w:val="none"/>
                <w:lang w:val="en-US" w:eastAsia="zh-CN"/>
              </w:rPr>
              <w:t>集水池</w:t>
            </w:r>
          </w:p>
        </w:tc>
        <w:tc>
          <w:tcPr>
            <w:tcW w:w="458" w:type="pct"/>
            <w:vAlign w:val="center"/>
          </w:tcPr>
          <w:p w14:paraId="55DFA5E3">
            <w:pPr>
              <w:pStyle w:val="58"/>
              <w:bidi w:val="0"/>
              <w:rPr>
                <w:rFonts w:hint="default"/>
                <w:highlight w:val="none"/>
                <w:lang w:val="en-US" w:eastAsia="zh-CN"/>
              </w:rPr>
            </w:pPr>
            <w:r>
              <w:rPr>
                <w:rFonts w:hint="default"/>
                <w:highlight w:val="none"/>
                <w:lang w:val="en-US" w:eastAsia="zh-CN"/>
              </w:rPr>
              <w:t>1座</w:t>
            </w:r>
          </w:p>
        </w:tc>
        <w:tc>
          <w:tcPr>
            <w:tcW w:w="1040" w:type="pct"/>
            <w:vAlign w:val="center"/>
          </w:tcPr>
          <w:p w14:paraId="0FFC59BD">
            <w:pPr>
              <w:pStyle w:val="58"/>
              <w:bidi w:val="0"/>
              <w:rPr>
                <w:rFonts w:hint="default"/>
                <w:highlight w:val="none"/>
                <w:lang w:val="en-US" w:eastAsia="zh-CN"/>
              </w:rPr>
            </w:pPr>
            <w:r>
              <w:rPr>
                <w:rFonts w:hint="eastAsia"/>
                <w:highlight w:val="none"/>
                <w:lang w:val="en-US" w:eastAsia="zh-CN"/>
              </w:rPr>
              <w:t>5.1</w:t>
            </w:r>
            <w:r>
              <w:rPr>
                <w:rFonts w:hint="default"/>
                <w:highlight w:val="none"/>
                <w:lang w:val="en-US" w:eastAsia="zh-CN"/>
              </w:rPr>
              <w:t>m*</w:t>
            </w:r>
            <w:r>
              <w:rPr>
                <w:rFonts w:hint="eastAsia"/>
                <w:highlight w:val="none"/>
                <w:lang w:val="en-US" w:eastAsia="zh-CN"/>
              </w:rPr>
              <w:t>5.2</w:t>
            </w:r>
            <w:r>
              <w:rPr>
                <w:rFonts w:hint="default"/>
                <w:highlight w:val="none"/>
                <w:lang w:val="en-US" w:eastAsia="zh-CN"/>
              </w:rPr>
              <w:t>m*</w:t>
            </w:r>
            <w:r>
              <w:rPr>
                <w:rFonts w:hint="eastAsia"/>
                <w:highlight w:val="none"/>
                <w:lang w:val="en-US" w:eastAsia="zh-CN"/>
              </w:rPr>
              <w:t>4.5</w:t>
            </w:r>
            <w:r>
              <w:rPr>
                <w:rFonts w:hint="default"/>
                <w:highlight w:val="none"/>
                <w:lang w:val="en-US" w:eastAsia="zh-CN"/>
              </w:rPr>
              <w:t>m</w:t>
            </w:r>
          </w:p>
        </w:tc>
        <w:tc>
          <w:tcPr>
            <w:tcW w:w="927" w:type="pct"/>
            <w:vAlign w:val="center"/>
          </w:tcPr>
          <w:p w14:paraId="2C23D0C7">
            <w:pPr>
              <w:pStyle w:val="58"/>
              <w:bidi w:val="0"/>
              <w:rPr>
                <w:rFonts w:hint="default"/>
                <w:highlight w:val="none"/>
                <w:lang w:val="en-US" w:eastAsia="zh-CN"/>
              </w:rPr>
            </w:pPr>
            <w:r>
              <w:rPr>
                <w:rFonts w:hint="default"/>
                <w:highlight w:val="none"/>
                <w:lang w:val="en-US" w:eastAsia="zh-CN"/>
              </w:rPr>
              <w:t>50</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/d</w:t>
            </w:r>
          </w:p>
        </w:tc>
        <w:tc>
          <w:tcPr>
            <w:tcW w:w="1438" w:type="pct"/>
            <w:vAlign w:val="center"/>
          </w:tcPr>
          <w:p w14:paraId="7424A0B5">
            <w:pPr>
              <w:pStyle w:val="58"/>
              <w:bidi w:val="0"/>
              <w:rPr>
                <w:rFonts w:hint="default"/>
                <w:highlight w:val="none"/>
                <w:lang w:val="en-US" w:eastAsia="zh-CN"/>
              </w:rPr>
            </w:pPr>
          </w:p>
        </w:tc>
      </w:tr>
      <w:tr w14:paraId="346C6C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43" w:type="pct"/>
            <w:vAlign w:val="center"/>
          </w:tcPr>
          <w:p w14:paraId="16DE66A7">
            <w:pPr>
              <w:pStyle w:val="58"/>
              <w:bidi w:val="0"/>
              <w:rPr>
                <w:rFonts w:hint="default"/>
                <w:highlight w:val="none"/>
                <w:lang w:val="en-US" w:eastAsia="zh-CN"/>
              </w:rPr>
            </w:pPr>
            <w:r>
              <w:rPr>
                <w:rFonts w:hint="default"/>
                <w:highlight w:val="none"/>
                <w:lang w:val="en-US" w:eastAsia="zh-CN"/>
              </w:rPr>
              <w:t>3</w:t>
            </w:r>
          </w:p>
        </w:tc>
        <w:tc>
          <w:tcPr>
            <w:tcW w:w="791" w:type="pct"/>
            <w:vAlign w:val="center"/>
          </w:tcPr>
          <w:p w14:paraId="1A60B0D5">
            <w:pPr>
              <w:pStyle w:val="58"/>
              <w:bidi w:val="0"/>
              <w:rPr>
                <w:rFonts w:hint="default"/>
                <w:highlight w:val="none"/>
                <w:lang w:val="en-US" w:eastAsia="zh-CN"/>
              </w:rPr>
            </w:pPr>
            <w:r>
              <w:rPr>
                <w:rFonts w:hint="default"/>
                <w:highlight w:val="none"/>
                <w:lang w:val="en-US" w:eastAsia="zh-CN"/>
              </w:rPr>
              <w:t>保温彩钢房</w:t>
            </w:r>
          </w:p>
        </w:tc>
        <w:tc>
          <w:tcPr>
            <w:tcW w:w="458" w:type="pct"/>
            <w:vAlign w:val="center"/>
          </w:tcPr>
          <w:p w14:paraId="454E8376">
            <w:pPr>
              <w:pStyle w:val="58"/>
              <w:bidi w:val="0"/>
              <w:rPr>
                <w:rFonts w:hint="default"/>
                <w:highlight w:val="none"/>
                <w:lang w:val="en-US" w:eastAsia="zh-CN"/>
              </w:rPr>
            </w:pPr>
            <w:r>
              <w:rPr>
                <w:rFonts w:hint="default"/>
                <w:highlight w:val="none"/>
                <w:lang w:val="en-US" w:eastAsia="zh-CN"/>
              </w:rPr>
              <w:t>1座</w:t>
            </w:r>
          </w:p>
        </w:tc>
        <w:tc>
          <w:tcPr>
            <w:tcW w:w="1040" w:type="pct"/>
            <w:vAlign w:val="center"/>
          </w:tcPr>
          <w:p w14:paraId="072625E7">
            <w:pPr>
              <w:pStyle w:val="58"/>
              <w:bidi w:val="0"/>
              <w:rPr>
                <w:rFonts w:hint="default"/>
                <w:highlight w:val="none"/>
                <w:lang w:val="en-US" w:eastAsia="zh-CN"/>
              </w:rPr>
            </w:pPr>
            <w:r>
              <w:rPr>
                <w:rFonts w:hint="eastAsia"/>
                <w:highlight w:val="none"/>
                <w:lang w:val="en-US" w:eastAsia="zh-CN"/>
              </w:rPr>
              <w:t>10.4</w:t>
            </w:r>
            <w:r>
              <w:rPr>
                <w:rFonts w:hint="default"/>
                <w:highlight w:val="none"/>
                <w:lang w:val="en-US" w:eastAsia="zh-CN"/>
              </w:rPr>
              <w:t>m*5.</w:t>
            </w:r>
            <w:r>
              <w:rPr>
                <w:rFonts w:hint="eastAsia"/>
                <w:highlight w:val="none"/>
                <w:lang w:val="en-US" w:eastAsia="zh-CN"/>
              </w:rPr>
              <w:t>1</w:t>
            </w:r>
            <w:r>
              <w:rPr>
                <w:rFonts w:hint="default"/>
                <w:highlight w:val="none"/>
                <w:lang w:val="en-US" w:eastAsia="zh-CN"/>
              </w:rPr>
              <w:t>m*</w:t>
            </w:r>
            <w:r>
              <w:rPr>
                <w:rFonts w:hint="eastAsia"/>
                <w:highlight w:val="none"/>
                <w:lang w:val="en-US" w:eastAsia="zh-CN"/>
              </w:rPr>
              <w:t>2.8</w:t>
            </w:r>
            <w:r>
              <w:rPr>
                <w:rFonts w:hint="default"/>
                <w:highlight w:val="none"/>
                <w:lang w:val="en-US" w:eastAsia="zh-CN"/>
              </w:rPr>
              <w:t>m</w:t>
            </w:r>
          </w:p>
        </w:tc>
        <w:tc>
          <w:tcPr>
            <w:tcW w:w="927" w:type="pct"/>
            <w:vAlign w:val="center"/>
          </w:tcPr>
          <w:p w14:paraId="3EBE0F25">
            <w:pPr>
              <w:pStyle w:val="58"/>
              <w:bidi w:val="0"/>
              <w:rPr>
                <w:rFonts w:hint="default"/>
                <w:highlight w:val="none"/>
                <w:lang w:val="en-US" w:eastAsia="zh-CN"/>
              </w:rPr>
            </w:pPr>
            <w:r>
              <w:rPr>
                <w:rFonts w:hint="default"/>
                <w:highlight w:val="none"/>
                <w:lang w:val="en-US" w:eastAsia="zh-CN"/>
              </w:rPr>
              <w:t>50</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/d</w:t>
            </w:r>
          </w:p>
        </w:tc>
        <w:tc>
          <w:tcPr>
            <w:tcW w:w="1438" w:type="pct"/>
            <w:vAlign w:val="center"/>
          </w:tcPr>
          <w:p w14:paraId="5490C5FF">
            <w:pPr>
              <w:pStyle w:val="58"/>
              <w:bidi w:val="0"/>
              <w:rPr>
                <w:rFonts w:hint="default"/>
                <w:highlight w:val="none"/>
                <w:lang w:val="en-US" w:eastAsia="zh-CN"/>
              </w:rPr>
            </w:pPr>
            <w:r>
              <w:rPr>
                <w:rFonts w:hint="default"/>
                <w:highlight w:val="none"/>
                <w:lang w:val="en-US" w:eastAsia="zh-CN"/>
              </w:rPr>
              <w:t>1F</w:t>
            </w:r>
            <w:r>
              <w:rPr>
                <w:rFonts w:hint="eastAsia"/>
                <w:highlight w:val="none"/>
                <w:lang w:val="en-US" w:eastAsia="zh-CN"/>
              </w:rPr>
              <w:t>，</w:t>
            </w:r>
            <w:r>
              <w:rPr>
                <w:rFonts w:hint="default"/>
                <w:highlight w:val="none"/>
                <w:lang w:val="en-US" w:eastAsia="zh-CN"/>
              </w:rPr>
              <w:t>安装MMBR膜一体化污水处理器</w:t>
            </w:r>
          </w:p>
        </w:tc>
      </w:tr>
      <w:tr w14:paraId="0A26697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43" w:type="pct"/>
            <w:vAlign w:val="center"/>
          </w:tcPr>
          <w:p w14:paraId="1C387696">
            <w:pPr>
              <w:pStyle w:val="58"/>
              <w:bidi w:val="0"/>
              <w:rPr>
                <w:rFonts w:hint="default"/>
                <w:highlight w:val="none"/>
                <w:lang w:val="en-US" w:eastAsia="zh-CN"/>
              </w:rPr>
            </w:pPr>
            <w:r>
              <w:rPr>
                <w:rFonts w:hint="default"/>
                <w:highlight w:val="none"/>
                <w:lang w:val="en-US" w:eastAsia="zh-CN"/>
              </w:rPr>
              <w:t>4</w:t>
            </w:r>
          </w:p>
        </w:tc>
        <w:tc>
          <w:tcPr>
            <w:tcW w:w="791" w:type="pct"/>
            <w:vAlign w:val="center"/>
          </w:tcPr>
          <w:p w14:paraId="393F3FC5">
            <w:pPr>
              <w:pStyle w:val="58"/>
              <w:bidi w:val="0"/>
              <w:rPr>
                <w:rFonts w:hint="default"/>
                <w:highlight w:val="none"/>
                <w:lang w:val="en-US" w:eastAsia="zh-CN"/>
              </w:rPr>
            </w:pPr>
            <w:r>
              <w:rPr>
                <w:rFonts w:hint="default"/>
                <w:highlight w:val="none"/>
                <w:lang w:val="en-US" w:eastAsia="zh-CN"/>
              </w:rPr>
              <w:t>阀门井</w:t>
            </w:r>
          </w:p>
        </w:tc>
        <w:tc>
          <w:tcPr>
            <w:tcW w:w="458" w:type="pct"/>
            <w:vAlign w:val="center"/>
          </w:tcPr>
          <w:p w14:paraId="7AC30FA0">
            <w:pPr>
              <w:pStyle w:val="58"/>
              <w:bidi w:val="0"/>
              <w:rPr>
                <w:rFonts w:hint="default"/>
                <w:highlight w:val="none"/>
                <w:lang w:val="en-US" w:eastAsia="zh-CN"/>
              </w:rPr>
            </w:pPr>
            <w:r>
              <w:rPr>
                <w:rFonts w:hint="default"/>
                <w:highlight w:val="none"/>
                <w:lang w:val="en-US" w:eastAsia="zh-CN"/>
              </w:rPr>
              <w:t>1座</w:t>
            </w:r>
          </w:p>
        </w:tc>
        <w:tc>
          <w:tcPr>
            <w:tcW w:w="1040" w:type="pct"/>
            <w:vAlign w:val="center"/>
          </w:tcPr>
          <w:p w14:paraId="16CDB465">
            <w:pPr>
              <w:pStyle w:val="58"/>
              <w:bidi w:val="0"/>
              <w:rPr>
                <w:rFonts w:hint="default"/>
                <w:highlight w:val="none"/>
                <w:lang w:val="en-US" w:eastAsia="zh-CN"/>
              </w:rPr>
            </w:pPr>
            <w:r>
              <w:rPr>
                <w:rFonts w:hint="eastAsia"/>
                <w:highlight w:val="none"/>
                <w:lang w:val="en-US" w:eastAsia="zh-CN"/>
              </w:rPr>
              <w:t>/</w:t>
            </w:r>
          </w:p>
        </w:tc>
        <w:tc>
          <w:tcPr>
            <w:tcW w:w="927" w:type="pct"/>
            <w:vAlign w:val="center"/>
          </w:tcPr>
          <w:p w14:paraId="29D8EB5A">
            <w:pPr>
              <w:pStyle w:val="58"/>
              <w:bidi w:val="0"/>
              <w:rPr>
                <w:rFonts w:hint="default"/>
                <w:highlight w:val="none"/>
                <w:lang w:val="en-US" w:eastAsia="zh-CN"/>
              </w:rPr>
            </w:pPr>
            <w:r>
              <w:rPr>
                <w:rFonts w:hint="default"/>
                <w:highlight w:val="none"/>
                <w:lang w:val="en-US" w:eastAsia="zh-CN"/>
              </w:rPr>
              <w:t>50</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/d</w:t>
            </w:r>
          </w:p>
        </w:tc>
        <w:tc>
          <w:tcPr>
            <w:tcW w:w="1438" w:type="pct"/>
            <w:vAlign w:val="center"/>
          </w:tcPr>
          <w:p w14:paraId="76E153A6">
            <w:pPr>
              <w:pStyle w:val="58"/>
              <w:bidi w:val="0"/>
              <w:rPr>
                <w:rFonts w:hint="default"/>
                <w:highlight w:val="none"/>
                <w:lang w:val="en-US" w:eastAsia="zh-CN"/>
              </w:rPr>
            </w:pPr>
          </w:p>
        </w:tc>
      </w:tr>
      <w:tr w14:paraId="77E530A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43" w:type="pct"/>
            <w:vAlign w:val="center"/>
          </w:tcPr>
          <w:p w14:paraId="333BAE73">
            <w:pPr>
              <w:pStyle w:val="58"/>
              <w:bidi w:val="0"/>
              <w:rPr>
                <w:rFonts w:hint="default"/>
                <w:highlight w:val="none"/>
                <w:lang w:val="en-US" w:eastAsia="zh-CN"/>
              </w:rPr>
            </w:pPr>
            <w:r>
              <w:rPr>
                <w:rFonts w:hint="default"/>
                <w:highlight w:val="none"/>
                <w:lang w:val="en-US" w:eastAsia="zh-CN"/>
              </w:rPr>
              <w:t>5</w:t>
            </w:r>
          </w:p>
        </w:tc>
        <w:tc>
          <w:tcPr>
            <w:tcW w:w="791" w:type="pct"/>
            <w:vAlign w:val="center"/>
          </w:tcPr>
          <w:p w14:paraId="53374857">
            <w:pPr>
              <w:pStyle w:val="58"/>
              <w:bidi w:val="0"/>
              <w:rPr>
                <w:rFonts w:hint="default"/>
                <w:highlight w:val="none"/>
                <w:lang w:val="en-US" w:eastAsia="zh-CN"/>
              </w:rPr>
            </w:pPr>
            <w:r>
              <w:rPr>
                <w:rFonts w:hint="default"/>
                <w:highlight w:val="none"/>
                <w:lang w:val="en-US" w:eastAsia="zh-CN"/>
              </w:rPr>
              <w:t>出水池</w:t>
            </w:r>
          </w:p>
        </w:tc>
        <w:tc>
          <w:tcPr>
            <w:tcW w:w="458" w:type="pct"/>
            <w:vAlign w:val="center"/>
          </w:tcPr>
          <w:p w14:paraId="0B1C0AEA">
            <w:pPr>
              <w:pStyle w:val="58"/>
              <w:bidi w:val="0"/>
              <w:rPr>
                <w:rFonts w:hint="default"/>
                <w:highlight w:val="none"/>
                <w:lang w:val="en-US" w:eastAsia="zh-CN"/>
              </w:rPr>
            </w:pPr>
            <w:r>
              <w:rPr>
                <w:rFonts w:hint="default"/>
                <w:highlight w:val="none"/>
                <w:lang w:val="en-US" w:eastAsia="zh-CN"/>
              </w:rPr>
              <w:t>1座</w:t>
            </w:r>
          </w:p>
        </w:tc>
        <w:tc>
          <w:tcPr>
            <w:tcW w:w="1040" w:type="pct"/>
            <w:vAlign w:val="center"/>
          </w:tcPr>
          <w:p w14:paraId="4B7F5AB4">
            <w:pPr>
              <w:pStyle w:val="58"/>
              <w:bidi w:val="0"/>
              <w:rPr>
                <w:rFonts w:hint="default"/>
                <w:highlight w:val="none"/>
                <w:lang w:val="en-US" w:eastAsia="zh-CN"/>
              </w:rPr>
            </w:pPr>
            <w:r>
              <w:rPr>
                <w:rFonts w:hint="eastAsia"/>
                <w:highlight w:val="none"/>
                <w:lang w:val="en-US" w:eastAsia="zh-CN"/>
              </w:rPr>
              <w:t>1.48m*2.52m*0.9m</w:t>
            </w:r>
          </w:p>
        </w:tc>
        <w:tc>
          <w:tcPr>
            <w:tcW w:w="927" w:type="pct"/>
            <w:vAlign w:val="center"/>
          </w:tcPr>
          <w:p w14:paraId="21598877">
            <w:pPr>
              <w:pStyle w:val="58"/>
              <w:bidi w:val="0"/>
              <w:rPr>
                <w:rFonts w:hint="default"/>
                <w:highlight w:val="none"/>
                <w:lang w:val="en-US" w:eastAsia="zh-CN"/>
              </w:rPr>
            </w:pPr>
            <w:r>
              <w:rPr>
                <w:rFonts w:hint="default"/>
                <w:highlight w:val="none"/>
                <w:lang w:val="en-US" w:eastAsia="zh-CN"/>
              </w:rPr>
              <w:t>50</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/d</w:t>
            </w:r>
          </w:p>
        </w:tc>
        <w:tc>
          <w:tcPr>
            <w:tcW w:w="1438" w:type="pct"/>
            <w:vAlign w:val="center"/>
          </w:tcPr>
          <w:p w14:paraId="5673DAD8">
            <w:pPr>
              <w:pStyle w:val="58"/>
              <w:bidi w:val="0"/>
              <w:rPr>
                <w:rFonts w:hint="default"/>
                <w:highlight w:val="none"/>
                <w:lang w:val="en-US" w:eastAsia="zh-CN"/>
              </w:rPr>
            </w:pPr>
          </w:p>
        </w:tc>
      </w:tr>
    </w:tbl>
    <w:p w14:paraId="52E60F34">
      <w:pPr>
        <w:pStyle w:val="6"/>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3.1.3</w:t>
      </w: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现有主要设备</w:t>
      </w:r>
    </w:p>
    <w:p w14:paraId="032F58F2">
      <w:pPr>
        <w:numPr>
          <w:ilvl w:val="0"/>
          <w:numId w:val="22"/>
        </w:numPr>
        <w:autoSpaceDE w:val="0"/>
        <w:autoSpaceDN w:val="0"/>
        <w:spacing w:line="480" w:lineRule="exact"/>
        <w:ind w:left="425" w:leftChars="0" w:hanging="425" w:firstLineChars="0"/>
        <w:jc w:val="center"/>
        <w:rPr>
          <w:rFonts w:hint="default" w:ascii="Times New Roman" w:hAnsi="Times New Roman" w:eastAsia="宋体" w:cs="Times New Roman"/>
          <w:b/>
          <w:color w:val="000000" w:themeColor="text1"/>
          <w:kern w:val="0"/>
          <w:sz w:val="24"/>
          <w:highlight w:val="none"/>
          <w:shd w:val="clear" w:color="auto" w:fill="auto"/>
          <w:lang w:val="zh-CN"/>
          <w14:textFill>
            <w14:solidFill>
              <w14:schemeClr w14:val="tx1"/>
            </w14:solidFill>
          </w14:textFill>
        </w:rPr>
      </w:pPr>
      <w:r>
        <w:rPr>
          <w:rFonts w:hint="default" w:ascii="Times New Roman" w:hAnsi="Times New Roman" w:eastAsia="宋体" w:cs="Times New Roman"/>
          <w:b/>
          <w:color w:val="000000" w:themeColor="text1"/>
          <w:kern w:val="0"/>
          <w:sz w:val="24"/>
          <w:highlight w:val="none"/>
          <w:shd w:val="clear" w:color="auto" w:fill="auto"/>
          <w:lang w:val="en-US" w:eastAsia="zh-CN"/>
          <w14:textFill>
            <w14:solidFill>
              <w14:schemeClr w14:val="tx1"/>
            </w14:solidFill>
          </w14:textFill>
        </w:rPr>
        <w:t>现有</w:t>
      </w:r>
      <w:r>
        <w:rPr>
          <w:rFonts w:hint="default" w:ascii="Times New Roman" w:hAnsi="Times New Roman" w:eastAsia="宋体" w:cs="Times New Roman"/>
          <w:b/>
          <w:color w:val="000000" w:themeColor="text1"/>
          <w:kern w:val="0"/>
          <w:sz w:val="24"/>
          <w:highlight w:val="none"/>
          <w:shd w:val="clear" w:color="auto" w:fill="auto"/>
          <w:lang w:val="zh-CN"/>
          <w14:textFill>
            <w14:solidFill>
              <w14:schemeClr w14:val="tx1"/>
            </w14:solidFill>
          </w14:textFill>
        </w:rPr>
        <w:t>主要设备一览表</w:t>
      </w:r>
    </w:p>
    <w:tbl>
      <w:tblPr>
        <w:tblStyle w:val="47"/>
        <w:tblW w:w="4998" w:type="pct"/>
        <w:jc w:val="center"/>
        <w:tblBorders>
          <w:top w:val="single" w:color="000000" w:sz="12" w:space="0"/>
          <w:left w:val="single" w:color="000000" w:sz="12" w:space="0"/>
          <w:bottom w:val="single" w:color="000000" w:sz="12" w:space="0"/>
          <w:right w:val="single" w:color="000000" w:sz="12" w:space="0"/>
          <w:insideH w:val="single" w:color="000000" w:sz="2" w:space="0"/>
          <w:insideV w:val="single" w:color="000000" w:sz="2" w:space="0"/>
        </w:tblBorders>
        <w:tblLayout w:type="autofit"/>
        <w:tblCellMar>
          <w:top w:w="15" w:type="dxa"/>
          <w:left w:w="15" w:type="dxa"/>
          <w:bottom w:w="15" w:type="dxa"/>
          <w:right w:w="15" w:type="dxa"/>
        </w:tblCellMar>
      </w:tblPr>
      <w:tblGrid>
        <w:gridCol w:w="753"/>
        <w:gridCol w:w="2537"/>
        <w:gridCol w:w="2426"/>
        <w:gridCol w:w="1116"/>
        <w:gridCol w:w="788"/>
        <w:gridCol w:w="1478"/>
      </w:tblGrid>
      <w:tr w14:paraId="6722DFC7">
        <w:tblPrEx>
          <w:tblBorders>
            <w:top w:val="single" w:color="000000" w:sz="12" w:space="0"/>
            <w:left w:val="single" w:color="000000" w:sz="12" w:space="0"/>
            <w:bottom w:val="single" w:color="000000" w:sz="12" w:space="0"/>
            <w:right w:val="single" w:color="000000" w:sz="12" w:space="0"/>
            <w:insideH w:val="single" w:color="000000" w:sz="2" w:space="0"/>
            <w:insideV w:val="single" w:color="000000" w:sz="2" w:space="0"/>
          </w:tblBorders>
          <w:tblCellMar>
            <w:top w:w="15" w:type="dxa"/>
            <w:left w:w="15" w:type="dxa"/>
            <w:bottom w:w="15" w:type="dxa"/>
            <w:right w:w="15" w:type="dxa"/>
          </w:tblCellMar>
        </w:tblPrEx>
        <w:trPr>
          <w:trHeight w:val="369" w:hRule="atLeast"/>
          <w:jc w:val="center"/>
        </w:trPr>
        <w:tc>
          <w:tcPr>
            <w:tcW w:w="414" w:type="pct"/>
            <w:tcBorders>
              <w:top w:val="single" w:color="000000" w:sz="12" w:space="0"/>
              <w:left w:val="single" w:color="000000" w:sz="12" w:space="0"/>
              <w:bottom w:val="single" w:color="000000" w:sz="2" w:space="0"/>
              <w:right w:val="single" w:color="000000" w:sz="2" w:space="0"/>
            </w:tcBorders>
            <w:noWrap w:val="0"/>
            <w:vAlign w:val="center"/>
          </w:tcPr>
          <w:p w14:paraId="13C783B4">
            <w:pPr>
              <w:pStyle w:val="58"/>
              <w:bidi w:val="0"/>
              <w:rPr>
                <w:rFonts w:hint="default"/>
              </w:rPr>
            </w:pPr>
            <w:r>
              <w:rPr>
                <w:rFonts w:hint="default"/>
              </w:rPr>
              <w:t>序号</w:t>
            </w:r>
          </w:p>
        </w:tc>
        <w:tc>
          <w:tcPr>
            <w:tcW w:w="1394" w:type="pct"/>
            <w:tcBorders>
              <w:top w:val="single" w:color="000000" w:sz="12" w:space="0"/>
              <w:left w:val="single" w:color="000000" w:sz="2" w:space="0"/>
              <w:bottom w:val="single" w:color="000000" w:sz="2" w:space="0"/>
              <w:right w:val="single" w:color="000000" w:sz="2" w:space="0"/>
            </w:tcBorders>
            <w:noWrap w:val="0"/>
            <w:vAlign w:val="center"/>
          </w:tcPr>
          <w:p w14:paraId="169E500C">
            <w:pPr>
              <w:pStyle w:val="58"/>
              <w:bidi w:val="0"/>
              <w:rPr>
                <w:rFonts w:hint="default"/>
              </w:rPr>
            </w:pPr>
            <w:r>
              <w:rPr>
                <w:rFonts w:hint="default"/>
              </w:rPr>
              <w:t>设备</w:t>
            </w:r>
          </w:p>
        </w:tc>
        <w:tc>
          <w:tcPr>
            <w:tcW w:w="1333" w:type="pct"/>
            <w:tcBorders>
              <w:top w:val="single" w:color="000000" w:sz="12" w:space="0"/>
              <w:left w:val="single" w:color="000000" w:sz="2" w:space="0"/>
              <w:bottom w:val="single" w:color="000000" w:sz="2" w:space="0"/>
              <w:right w:val="single" w:color="000000" w:sz="2" w:space="0"/>
            </w:tcBorders>
            <w:noWrap w:val="0"/>
            <w:vAlign w:val="center"/>
          </w:tcPr>
          <w:p w14:paraId="71549974">
            <w:pPr>
              <w:pStyle w:val="58"/>
              <w:bidi w:val="0"/>
              <w:rPr>
                <w:rFonts w:hint="default"/>
              </w:rPr>
            </w:pPr>
            <w:r>
              <w:rPr>
                <w:rFonts w:hint="default"/>
              </w:rPr>
              <w:t>规格或型号</w:t>
            </w:r>
          </w:p>
        </w:tc>
        <w:tc>
          <w:tcPr>
            <w:tcW w:w="613" w:type="pct"/>
            <w:tcBorders>
              <w:top w:val="single" w:color="000000" w:sz="12" w:space="0"/>
              <w:left w:val="single" w:color="000000" w:sz="2" w:space="0"/>
              <w:bottom w:val="single" w:color="000000" w:sz="2" w:space="0"/>
              <w:right w:val="single" w:color="000000" w:sz="2" w:space="0"/>
            </w:tcBorders>
            <w:noWrap w:val="0"/>
            <w:vAlign w:val="center"/>
          </w:tcPr>
          <w:p w14:paraId="281C632F">
            <w:pPr>
              <w:pStyle w:val="58"/>
              <w:bidi w:val="0"/>
              <w:rPr>
                <w:rFonts w:hint="default"/>
              </w:rPr>
            </w:pPr>
            <w:r>
              <w:rPr>
                <w:rFonts w:hint="default"/>
              </w:rPr>
              <w:t>单位</w:t>
            </w:r>
          </w:p>
        </w:tc>
        <w:tc>
          <w:tcPr>
            <w:tcW w:w="433" w:type="pct"/>
            <w:tcBorders>
              <w:top w:val="single" w:color="000000" w:sz="12" w:space="0"/>
              <w:left w:val="single" w:color="000000" w:sz="2" w:space="0"/>
              <w:bottom w:val="single" w:color="000000" w:sz="2" w:space="0"/>
              <w:right w:val="single" w:color="000000" w:sz="2" w:space="0"/>
            </w:tcBorders>
            <w:noWrap w:val="0"/>
            <w:vAlign w:val="center"/>
          </w:tcPr>
          <w:p w14:paraId="3187C420">
            <w:pPr>
              <w:pStyle w:val="58"/>
              <w:bidi w:val="0"/>
              <w:rPr>
                <w:rFonts w:hint="default"/>
              </w:rPr>
            </w:pPr>
            <w:r>
              <w:rPr>
                <w:rFonts w:hint="default"/>
              </w:rPr>
              <w:t>数量</w:t>
            </w:r>
          </w:p>
        </w:tc>
        <w:tc>
          <w:tcPr>
            <w:tcW w:w="812" w:type="pct"/>
            <w:tcBorders>
              <w:top w:val="single" w:color="000000" w:sz="12" w:space="0"/>
              <w:left w:val="single" w:color="000000" w:sz="2" w:space="0"/>
              <w:bottom w:val="single" w:color="000000" w:sz="2" w:space="0"/>
              <w:right w:val="single" w:color="000000" w:sz="12" w:space="0"/>
            </w:tcBorders>
            <w:noWrap w:val="0"/>
            <w:vAlign w:val="center"/>
          </w:tcPr>
          <w:p w14:paraId="1DECFB14">
            <w:pPr>
              <w:pStyle w:val="58"/>
              <w:bidi w:val="0"/>
              <w:rPr>
                <w:rFonts w:hint="default"/>
              </w:rPr>
            </w:pPr>
            <w:r>
              <w:rPr>
                <w:rFonts w:hint="default"/>
              </w:rPr>
              <w:t>备注</w:t>
            </w:r>
          </w:p>
        </w:tc>
      </w:tr>
      <w:tr w14:paraId="70D212E0">
        <w:tblPrEx>
          <w:tblBorders>
            <w:top w:val="single" w:color="000000" w:sz="12" w:space="0"/>
            <w:left w:val="single" w:color="000000" w:sz="12" w:space="0"/>
            <w:bottom w:val="single" w:color="000000" w:sz="12" w:space="0"/>
            <w:right w:val="single" w:color="000000" w:sz="12" w:space="0"/>
            <w:insideH w:val="single" w:color="000000" w:sz="2" w:space="0"/>
            <w:insideV w:val="single" w:color="000000" w:sz="2" w:space="0"/>
          </w:tblBorders>
          <w:tblCellMar>
            <w:top w:w="15" w:type="dxa"/>
            <w:left w:w="15" w:type="dxa"/>
            <w:bottom w:w="15" w:type="dxa"/>
            <w:right w:w="15" w:type="dxa"/>
          </w:tblCellMar>
        </w:tblPrEx>
        <w:trPr>
          <w:trHeight w:val="369" w:hRule="atLeast"/>
          <w:jc w:val="center"/>
        </w:trPr>
        <w:tc>
          <w:tcPr>
            <w:tcW w:w="414" w:type="pct"/>
            <w:tcBorders>
              <w:top w:val="single" w:color="000000" w:sz="2" w:space="0"/>
              <w:left w:val="single" w:color="000000" w:sz="12" w:space="0"/>
              <w:bottom w:val="single" w:color="000000" w:sz="2" w:space="0"/>
              <w:right w:val="single" w:color="000000" w:sz="2" w:space="0"/>
            </w:tcBorders>
            <w:noWrap w:val="0"/>
            <w:vAlign w:val="center"/>
          </w:tcPr>
          <w:p w14:paraId="0D4E9E2D">
            <w:pPr>
              <w:pStyle w:val="58"/>
              <w:bidi w:val="0"/>
              <w:rPr>
                <w:rFonts w:hint="default"/>
              </w:rPr>
            </w:pPr>
            <w:bookmarkStart w:id="126" w:name="OLE_LINK12" w:colFirst="2" w:colLast="2"/>
            <w:r>
              <w:rPr>
                <w:rFonts w:hint="default"/>
              </w:rPr>
              <w:t>1</w:t>
            </w:r>
          </w:p>
        </w:tc>
        <w:tc>
          <w:tcPr>
            <w:tcW w:w="1394" w:type="pct"/>
            <w:tcBorders>
              <w:top w:val="single" w:color="000000" w:sz="2" w:space="0"/>
              <w:left w:val="single" w:color="000000" w:sz="2" w:space="0"/>
              <w:bottom w:val="single" w:color="000000" w:sz="2" w:space="0"/>
              <w:right w:val="single" w:color="000000" w:sz="2" w:space="0"/>
            </w:tcBorders>
            <w:noWrap w:val="0"/>
            <w:vAlign w:val="center"/>
          </w:tcPr>
          <w:p w14:paraId="5BDE5757">
            <w:pPr>
              <w:pStyle w:val="58"/>
              <w:bidi w:val="0"/>
              <w:rPr>
                <w:rFonts w:hint="default"/>
              </w:rPr>
            </w:pPr>
            <w:r>
              <w:rPr>
                <w:rFonts w:hint="default"/>
              </w:rPr>
              <w:t>粗格网</w:t>
            </w:r>
          </w:p>
        </w:tc>
        <w:tc>
          <w:tcPr>
            <w:tcW w:w="1333" w:type="pct"/>
            <w:tcBorders>
              <w:top w:val="single" w:color="000000" w:sz="2" w:space="0"/>
              <w:left w:val="single" w:color="000000" w:sz="2" w:space="0"/>
              <w:bottom w:val="single" w:color="000000" w:sz="2" w:space="0"/>
              <w:right w:val="single" w:color="000000" w:sz="2" w:space="0"/>
            </w:tcBorders>
            <w:noWrap w:val="0"/>
            <w:vAlign w:val="center"/>
          </w:tcPr>
          <w:p w14:paraId="7D611683">
            <w:pPr>
              <w:pStyle w:val="58"/>
              <w:bidi w:val="0"/>
              <w:rPr>
                <w:rFonts w:hint="default"/>
              </w:rPr>
            </w:pPr>
            <w:r>
              <w:rPr>
                <w:rFonts w:hint="default"/>
              </w:rPr>
              <w:t>栅隙10mm</w:t>
            </w:r>
          </w:p>
        </w:tc>
        <w:tc>
          <w:tcPr>
            <w:tcW w:w="613" w:type="pct"/>
            <w:tcBorders>
              <w:top w:val="single" w:color="000000" w:sz="2" w:space="0"/>
              <w:left w:val="single" w:color="000000" w:sz="2" w:space="0"/>
              <w:bottom w:val="single" w:color="000000" w:sz="2" w:space="0"/>
              <w:right w:val="single" w:color="000000" w:sz="2" w:space="0"/>
            </w:tcBorders>
            <w:noWrap w:val="0"/>
            <w:vAlign w:val="center"/>
          </w:tcPr>
          <w:p w14:paraId="25CDAC07">
            <w:pPr>
              <w:pStyle w:val="58"/>
              <w:bidi w:val="0"/>
              <w:rPr>
                <w:rFonts w:hint="default"/>
              </w:rPr>
            </w:pPr>
            <w:r>
              <w:rPr>
                <w:rFonts w:hint="default"/>
              </w:rPr>
              <w:t>套</w:t>
            </w:r>
          </w:p>
        </w:tc>
        <w:tc>
          <w:tcPr>
            <w:tcW w:w="433" w:type="pct"/>
            <w:tcBorders>
              <w:top w:val="single" w:color="000000" w:sz="2" w:space="0"/>
              <w:left w:val="single" w:color="000000" w:sz="2" w:space="0"/>
              <w:bottom w:val="single" w:color="000000" w:sz="2" w:space="0"/>
              <w:right w:val="single" w:color="000000" w:sz="2" w:space="0"/>
            </w:tcBorders>
            <w:noWrap w:val="0"/>
            <w:vAlign w:val="center"/>
          </w:tcPr>
          <w:p w14:paraId="1EEC8D56">
            <w:pPr>
              <w:pStyle w:val="58"/>
              <w:bidi w:val="0"/>
              <w:rPr>
                <w:rFonts w:hint="default"/>
              </w:rPr>
            </w:pPr>
            <w:r>
              <w:rPr>
                <w:rFonts w:hint="default"/>
              </w:rPr>
              <w:t>1</w:t>
            </w:r>
          </w:p>
        </w:tc>
        <w:tc>
          <w:tcPr>
            <w:tcW w:w="812" w:type="pct"/>
            <w:tcBorders>
              <w:top w:val="single" w:color="000000" w:sz="2" w:space="0"/>
              <w:left w:val="single" w:color="000000" w:sz="2" w:space="0"/>
              <w:bottom w:val="single" w:color="000000" w:sz="2" w:space="0"/>
              <w:right w:val="single" w:color="000000" w:sz="12" w:space="0"/>
            </w:tcBorders>
            <w:noWrap w:val="0"/>
            <w:vAlign w:val="center"/>
          </w:tcPr>
          <w:p w14:paraId="7E120972">
            <w:pPr>
              <w:pStyle w:val="58"/>
              <w:bidi w:val="0"/>
              <w:rPr>
                <w:rFonts w:hint="default" w:eastAsia="宋体"/>
                <w:highlight w:val="yellow"/>
                <w:lang w:val="en-US" w:eastAsia="zh-CN"/>
              </w:rPr>
            </w:pPr>
          </w:p>
        </w:tc>
      </w:tr>
      <w:tr w14:paraId="28EE067C">
        <w:tblPrEx>
          <w:tblBorders>
            <w:top w:val="single" w:color="000000" w:sz="12" w:space="0"/>
            <w:left w:val="single" w:color="000000" w:sz="12" w:space="0"/>
            <w:bottom w:val="single" w:color="000000" w:sz="12" w:space="0"/>
            <w:right w:val="single" w:color="000000" w:sz="12" w:space="0"/>
            <w:insideH w:val="single" w:color="000000" w:sz="2" w:space="0"/>
            <w:insideV w:val="single" w:color="000000" w:sz="2" w:space="0"/>
          </w:tblBorders>
          <w:tblCellMar>
            <w:top w:w="15" w:type="dxa"/>
            <w:left w:w="15" w:type="dxa"/>
            <w:bottom w:w="15" w:type="dxa"/>
            <w:right w:w="15" w:type="dxa"/>
          </w:tblCellMar>
        </w:tblPrEx>
        <w:trPr>
          <w:trHeight w:val="369" w:hRule="atLeast"/>
          <w:jc w:val="center"/>
        </w:trPr>
        <w:tc>
          <w:tcPr>
            <w:tcW w:w="414" w:type="pct"/>
            <w:tcBorders>
              <w:top w:val="single" w:color="000000" w:sz="2" w:space="0"/>
              <w:left w:val="single" w:color="000000" w:sz="12" w:space="0"/>
              <w:bottom w:val="single" w:color="000000" w:sz="2" w:space="0"/>
              <w:right w:val="single" w:color="000000" w:sz="2" w:space="0"/>
            </w:tcBorders>
            <w:noWrap w:val="0"/>
            <w:vAlign w:val="center"/>
          </w:tcPr>
          <w:p w14:paraId="7A0E7537">
            <w:pPr>
              <w:pStyle w:val="58"/>
              <w:bidi w:val="0"/>
              <w:rPr>
                <w:rFonts w:hint="default"/>
              </w:rPr>
            </w:pPr>
            <w:r>
              <w:rPr>
                <w:rFonts w:hint="default"/>
              </w:rPr>
              <w:t>2</w:t>
            </w:r>
          </w:p>
        </w:tc>
        <w:tc>
          <w:tcPr>
            <w:tcW w:w="1394" w:type="pct"/>
            <w:tcBorders>
              <w:top w:val="single" w:color="000000" w:sz="2" w:space="0"/>
              <w:left w:val="single" w:color="000000" w:sz="2" w:space="0"/>
              <w:bottom w:val="single" w:color="000000" w:sz="2" w:space="0"/>
              <w:right w:val="single" w:color="000000" w:sz="2" w:space="0"/>
            </w:tcBorders>
            <w:noWrap w:val="0"/>
            <w:vAlign w:val="center"/>
          </w:tcPr>
          <w:p w14:paraId="0B9CBF1E">
            <w:pPr>
              <w:pStyle w:val="58"/>
              <w:bidi w:val="0"/>
              <w:rPr>
                <w:rFonts w:hint="default"/>
              </w:rPr>
            </w:pPr>
            <w:r>
              <w:rPr>
                <w:rFonts w:hint="default"/>
              </w:rPr>
              <w:t>细格网</w:t>
            </w:r>
          </w:p>
        </w:tc>
        <w:tc>
          <w:tcPr>
            <w:tcW w:w="1333" w:type="pct"/>
            <w:tcBorders>
              <w:top w:val="single" w:color="000000" w:sz="2" w:space="0"/>
              <w:left w:val="single" w:color="000000" w:sz="2" w:space="0"/>
              <w:bottom w:val="single" w:color="000000" w:sz="2" w:space="0"/>
              <w:right w:val="single" w:color="000000" w:sz="2" w:space="0"/>
            </w:tcBorders>
            <w:noWrap w:val="0"/>
            <w:vAlign w:val="center"/>
          </w:tcPr>
          <w:p w14:paraId="5609A568">
            <w:pPr>
              <w:pStyle w:val="58"/>
              <w:bidi w:val="0"/>
              <w:rPr>
                <w:rFonts w:hint="default"/>
              </w:rPr>
            </w:pPr>
            <w:r>
              <w:rPr>
                <w:rFonts w:hint="default"/>
              </w:rPr>
              <w:t>栅隙2mm</w:t>
            </w:r>
          </w:p>
        </w:tc>
        <w:tc>
          <w:tcPr>
            <w:tcW w:w="613" w:type="pct"/>
            <w:tcBorders>
              <w:top w:val="single" w:color="000000" w:sz="2" w:space="0"/>
              <w:left w:val="single" w:color="000000" w:sz="2" w:space="0"/>
              <w:bottom w:val="single" w:color="000000" w:sz="2" w:space="0"/>
              <w:right w:val="single" w:color="000000" w:sz="2" w:space="0"/>
            </w:tcBorders>
            <w:noWrap w:val="0"/>
            <w:vAlign w:val="center"/>
          </w:tcPr>
          <w:p w14:paraId="54D38EAF">
            <w:pPr>
              <w:pStyle w:val="58"/>
              <w:bidi w:val="0"/>
              <w:rPr>
                <w:rFonts w:hint="default"/>
              </w:rPr>
            </w:pPr>
            <w:r>
              <w:rPr>
                <w:rFonts w:hint="default"/>
              </w:rPr>
              <w:t>套</w:t>
            </w:r>
          </w:p>
        </w:tc>
        <w:tc>
          <w:tcPr>
            <w:tcW w:w="433" w:type="pct"/>
            <w:tcBorders>
              <w:top w:val="single" w:color="000000" w:sz="2" w:space="0"/>
              <w:left w:val="single" w:color="000000" w:sz="2" w:space="0"/>
              <w:bottom w:val="single" w:color="000000" w:sz="2" w:space="0"/>
              <w:right w:val="single" w:color="000000" w:sz="2" w:space="0"/>
            </w:tcBorders>
            <w:noWrap w:val="0"/>
            <w:vAlign w:val="center"/>
          </w:tcPr>
          <w:p w14:paraId="1C59AC01">
            <w:pPr>
              <w:pStyle w:val="58"/>
              <w:bidi w:val="0"/>
              <w:rPr>
                <w:rFonts w:hint="default"/>
              </w:rPr>
            </w:pPr>
            <w:r>
              <w:rPr>
                <w:rFonts w:hint="default"/>
              </w:rPr>
              <w:t>1</w:t>
            </w:r>
          </w:p>
        </w:tc>
        <w:tc>
          <w:tcPr>
            <w:tcW w:w="812" w:type="pct"/>
            <w:tcBorders>
              <w:top w:val="single" w:color="000000" w:sz="2" w:space="0"/>
              <w:left w:val="single" w:color="000000" w:sz="2" w:space="0"/>
              <w:bottom w:val="single" w:color="000000" w:sz="2" w:space="0"/>
              <w:right w:val="single" w:color="000000" w:sz="12" w:space="0"/>
            </w:tcBorders>
            <w:noWrap w:val="0"/>
            <w:vAlign w:val="center"/>
          </w:tcPr>
          <w:p w14:paraId="56A7599C">
            <w:pPr>
              <w:pStyle w:val="58"/>
              <w:bidi w:val="0"/>
              <w:rPr>
                <w:rFonts w:hint="default"/>
                <w:highlight w:val="yellow"/>
              </w:rPr>
            </w:pPr>
          </w:p>
        </w:tc>
      </w:tr>
      <w:bookmarkEnd w:id="126"/>
      <w:tr w14:paraId="66056D63">
        <w:tblPrEx>
          <w:tblBorders>
            <w:top w:val="single" w:color="000000" w:sz="12" w:space="0"/>
            <w:left w:val="single" w:color="000000" w:sz="12" w:space="0"/>
            <w:bottom w:val="single" w:color="000000" w:sz="12" w:space="0"/>
            <w:right w:val="single" w:color="000000" w:sz="12" w:space="0"/>
            <w:insideH w:val="single" w:color="000000" w:sz="2" w:space="0"/>
            <w:insideV w:val="single" w:color="000000" w:sz="2" w:space="0"/>
          </w:tblBorders>
          <w:tblCellMar>
            <w:top w:w="15" w:type="dxa"/>
            <w:left w:w="15" w:type="dxa"/>
            <w:bottom w:w="15" w:type="dxa"/>
            <w:right w:w="15" w:type="dxa"/>
          </w:tblCellMar>
        </w:tblPrEx>
        <w:trPr>
          <w:trHeight w:val="369" w:hRule="atLeast"/>
          <w:jc w:val="center"/>
        </w:trPr>
        <w:tc>
          <w:tcPr>
            <w:tcW w:w="414" w:type="pct"/>
            <w:tcBorders>
              <w:top w:val="single" w:color="000000" w:sz="2" w:space="0"/>
              <w:left w:val="single" w:color="000000" w:sz="12" w:space="0"/>
              <w:bottom w:val="single" w:color="000000" w:sz="2" w:space="0"/>
              <w:right w:val="single" w:color="000000" w:sz="2" w:space="0"/>
            </w:tcBorders>
            <w:noWrap w:val="0"/>
            <w:vAlign w:val="center"/>
          </w:tcPr>
          <w:p w14:paraId="2B008577">
            <w:pPr>
              <w:pStyle w:val="58"/>
              <w:bidi w:val="0"/>
              <w:rPr>
                <w:rFonts w:hint="default"/>
              </w:rPr>
            </w:pPr>
            <w:bookmarkStart w:id="127" w:name="OLE_LINK15" w:colFirst="1" w:colLast="1"/>
            <w:r>
              <w:rPr>
                <w:rFonts w:hint="default"/>
              </w:rPr>
              <w:t>3</w:t>
            </w:r>
          </w:p>
        </w:tc>
        <w:tc>
          <w:tcPr>
            <w:tcW w:w="1394" w:type="pct"/>
            <w:tcBorders>
              <w:top w:val="single" w:color="000000" w:sz="2" w:space="0"/>
              <w:left w:val="single" w:color="000000" w:sz="2" w:space="0"/>
              <w:bottom w:val="single" w:color="000000" w:sz="2" w:space="0"/>
              <w:right w:val="single" w:color="000000" w:sz="2" w:space="0"/>
            </w:tcBorders>
            <w:noWrap w:val="0"/>
            <w:vAlign w:val="center"/>
          </w:tcPr>
          <w:p w14:paraId="67D1B6EE">
            <w:pPr>
              <w:pStyle w:val="58"/>
              <w:bidi w:val="0"/>
              <w:rPr>
                <w:rFonts w:hint="default"/>
              </w:rPr>
            </w:pPr>
            <w:r>
              <w:rPr>
                <w:rFonts w:hint="default"/>
              </w:rPr>
              <w:t>泵</w:t>
            </w:r>
          </w:p>
        </w:tc>
        <w:tc>
          <w:tcPr>
            <w:tcW w:w="1333" w:type="pct"/>
            <w:tcBorders>
              <w:top w:val="single" w:color="000000" w:sz="2" w:space="0"/>
              <w:left w:val="single" w:color="000000" w:sz="2" w:space="0"/>
              <w:bottom w:val="single" w:color="000000" w:sz="2" w:space="0"/>
              <w:right w:val="single" w:color="000000" w:sz="2" w:space="0"/>
            </w:tcBorders>
            <w:noWrap w:val="0"/>
            <w:vAlign w:val="center"/>
          </w:tcPr>
          <w:p w14:paraId="425CF77A">
            <w:pPr>
              <w:pStyle w:val="58"/>
              <w:bidi w:val="0"/>
              <w:rPr>
                <w:rFonts w:hint="default"/>
              </w:rPr>
            </w:pPr>
          </w:p>
        </w:tc>
        <w:tc>
          <w:tcPr>
            <w:tcW w:w="613" w:type="pct"/>
            <w:tcBorders>
              <w:top w:val="single" w:color="000000" w:sz="2" w:space="0"/>
              <w:left w:val="single" w:color="000000" w:sz="2" w:space="0"/>
              <w:bottom w:val="single" w:color="000000" w:sz="2" w:space="0"/>
              <w:right w:val="single" w:color="000000" w:sz="2" w:space="0"/>
            </w:tcBorders>
            <w:noWrap w:val="0"/>
            <w:vAlign w:val="center"/>
          </w:tcPr>
          <w:p w14:paraId="162D4136">
            <w:pPr>
              <w:pStyle w:val="58"/>
              <w:bidi w:val="0"/>
              <w:rPr>
                <w:rFonts w:hint="default"/>
              </w:rPr>
            </w:pPr>
            <w:r>
              <w:rPr>
                <w:rFonts w:hint="default"/>
              </w:rPr>
              <w:t>台</w:t>
            </w:r>
          </w:p>
        </w:tc>
        <w:tc>
          <w:tcPr>
            <w:tcW w:w="433" w:type="pct"/>
            <w:tcBorders>
              <w:top w:val="single" w:color="000000" w:sz="2" w:space="0"/>
              <w:left w:val="single" w:color="000000" w:sz="2" w:space="0"/>
              <w:bottom w:val="single" w:color="000000" w:sz="2" w:space="0"/>
              <w:right w:val="single" w:color="000000" w:sz="2" w:space="0"/>
            </w:tcBorders>
            <w:noWrap w:val="0"/>
            <w:vAlign w:val="center"/>
          </w:tcPr>
          <w:p w14:paraId="548C0899">
            <w:pPr>
              <w:pStyle w:val="58"/>
              <w:bidi w:val="0"/>
              <w:rPr>
                <w:rFonts w:hint="default"/>
              </w:rPr>
            </w:pPr>
            <w:r>
              <w:rPr>
                <w:rFonts w:hint="default"/>
              </w:rPr>
              <w:t>12</w:t>
            </w:r>
          </w:p>
        </w:tc>
        <w:tc>
          <w:tcPr>
            <w:tcW w:w="812" w:type="pct"/>
            <w:tcBorders>
              <w:top w:val="single" w:color="000000" w:sz="2" w:space="0"/>
              <w:left w:val="single" w:color="000000" w:sz="2" w:space="0"/>
              <w:bottom w:val="single" w:color="000000" w:sz="2" w:space="0"/>
              <w:right w:val="single" w:color="000000" w:sz="12" w:space="0"/>
            </w:tcBorders>
            <w:noWrap w:val="0"/>
            <w:vAlign w:val="center"/>
          </w:tcPr>
          <w:p w14:paraId="7C11F25D">
            <w:pPr>
              <w:pStyle w:val="58"/>
              <w:bidi w:val="0"/>
              <w:rPr>
                <w:rFonts w:hint="default"/>
              </w:rPr>
            </w:pPr>
          </w:p>
        </w:tc>
      </w:tr>
      <w:tr w14:paraId="43AABA02">
        <w:tblPrEx>
          <w:tblBorders>
            <w:top w:val="single" w:color="000000" w:sz="12" w:space="0"/>
            <w:left w:val="single" w:color="000000" w:sz="12" w:space="0"/>
            <w:bottom w:val="single" w:color="000000" w:sz="12" w:space="0"/>
            <w:right w:val="single" w:color="000000" w:sz="12" w:space="0"/>
            <w:insideH w:val="single" w:color="000000" w:sz="2" w:space="0"/>
            <w:insideV w:val="single" w:color="000000" w:sz="2" w:space="0"/>
          </w:tblBorders>
          <w:tblCellMar>
            <w:top w:w="15" w:type="dxa"/>
            <w:left w:w="15" w:type="dxa"/>
            <w:bottom w:w="15" w:type="dxa"/>
            <w:right w:w="15" w:type="dxa"/>
          </w:tblCellMar>
        </w:tblPrEx>
        <w:trPr>
          <w:trHeight w:val="369" w:hRule="atLeast"/>
          <w:jc w:val="center"/>
        </w:trPr>
        <w:tc>
          <w:tcPr>
            <w:tcW w:w="414" w:type="pct"/>
            <w:tcBorders>
              <w:top w:val="single" w:color="000000" w:sz="2" w:space="0"/>
              <w:left w:val="single" w:color="000000" w:sz="12" w:space="0"/>
              <w:bottom w:val="single" w:color="000000" w:sz="2" w:space="0"/>
              <w:right w:val="single" w:color="000000" w:sz="2" w:space="0"/>
            </w:tcBorders>
            <w:noWrap w:val="0"/>
            <w:vAlign w:val="center"/>
          </w:tcPr>
          <w:p w14:paraId="208A7006">
            <w:pPr>
              <w:pStyle w:val="58"/>
              <w:bidi w:val="0"/>
              <w:rPr>
                <w:rFonts w:hint="default"/>
              </w:rPr>
            </w:pPr>
            <w:r>
              <w:rPr>
                <w:rFonts w:hint="default"/>
              </w:rPr>
              <w:t>4</w:t>
            </w:r>
          </w:p>
        </w:tc>
        <w:tc>
          <w:tcPr>
            <w:tcW w:w="1394" w:type="pct"/>
            <w:tcBorders>
              <w:top w:val="single" w:color="000000" w:sz="2" w:space="0"/>
              <w:left w:val="single" w:color="000000" w:sz="2" w:space="0"/>
              <w:bottom w:val="single" w:color="000000" w:sz="2" w:space="0"/>
              <w:right w:val="single" w:color="000000" w:sz="2" w:space="0"/>
            </w:tcBorders>
            <w:noWrap w:val="0"/>
            <w:vAlign w:val="center"/>
          </w:tcPr>
          <w:p w14:paraId="0E2B0331">
            <w:pPr>
              <w:pStyle w:val="58"/>
              <w:bidi w:val="0"/>
              <w:rPr>
                <w:rFonts w:hint="default"/>
              </w:rPr>
            </w:pPr>
            <w:bookmarkStart w:id="128" w:name="OLE_LINK13"/>
            <w:r>
              <w:rPr>
                <w:rFonts w:hint="default"/>
                <w:lang w:val="en-US" w:eastAsia="zh-CN"/>
              </w:rPr>
              <w:t>M</w:t>
            </w:r>
            <w:r>
              <w:rPr>
                <w:rFonts w:hint="default"/>
              </w:rPr>
              <w:t>MBR膜一体化技术</w:t>
            </w:r>
          </w:p>
          <w:p w14:paraId="196C99EA">
            <w:pPr>
              <w:pStyle w:val="58"/>
              <w:bidi w:val="0"/>
              <w:rPr>
                <w:rFonts w:hint="default"/>
              </w:rPr>
            </w:pPr>
            <w:r>
              <w:rPr>
                <w:rFonts w:hint="default"/>
              </w:rPr>
              <w:t>污水处理器</w:t>
            </w:r>
            <w:bookmarkEnd w:id="128"/>
          </w:p>
        </w:tc>
        <w:tc>
          <w:tcPr>
            <w:tcW w:w="1333" w:type="pct"/>
            <w:tcBorders>
              <w:top w:val="single" w:color="000000" w:sz="2" w:space="0"/>
              <w:left w:val="single" w:color="000000" w:sz="2" w:space="0"/>
              <w:bottom w:val="single" w:color="000000" w:sz="2" w:space="0"/>
              <w:right w:val="single" w:color="000000" w:sz="2" w:space="0"/>
            </w:tcBorders>
            <w:noWrap w:val="0"/>
            <w:vAlign w:val="center"/>
          </w:tcPr>
          <w:p w14:paraId="0BC94F8A">
            <w:pPr>
              <w:pStyle w:val="58"/>
              <w:bidi w:val="0"/>
              <w:rPr>
                <w:rFonts w:hint="default"/>
              </w:rPr>
            </w:pPr>
            <w:bookmarkStart w:id="129" w:name="OLE_LINK14"/>
            <w:r>
              <w:rPr>
                <w:rFonts w:hint="default"/>
              </w:rPr>
              <w:t>Q=40~50</w:t>
            </w:r>
            <w:r>
              <w:rPr>
                <w:rFonts w:hint="eastAsia"/>
                <w:lang w:eastAsia="zh-CN"/>
              </w:rPr>
              <w:t>m</w:t>
            </w:r>
            <w:r>
              <w:rPr>
                <w:rFonts w:hint="eastAsia"/>
                <w:vertAlign w:val="superscript"/>
                <w:lang w:eastAsia="zh-CN"/>
              </w:rPr>
              <w:t>3</w:t>
            </w:r>
            <w:r>
              <w:rPr>
                <w:rFonts w:hint="default"/>
              </w:rPr>
              <w:t>/d，N=2.7w</w:t>
            </w:r>
            <w:bookmarkEnd w:id="129"/>
          </w:p>
        </w:tc>
        <w:tc>
          <w:tcPr>
            <w:tcW w:w="613" w:type="pct"/>
            <w:tcBorders>
              <w:top w:val="single" w:color="000000" w:sz="2" w:space="0"/>
              <w:left w:val="single" w:color="000000" w:sz="2" w:space="0"/>
              <w:bottom w:val="single" w:color="000000" w:sz="2" w:space="0"/>
              <w:right w:val="single" w:color="000000" w:sz="2" w:space="0"/>
            </w:tcBorders>
            <w:noWrap w:val="0"/>
            <w:vAlign w:val="center"/>
          </w:tcPr>
          <w:p w14:paraId="695B025E">
            <w:pPr>
              <w:pStyle w:val="58"/>
              <w:bidi w:val="0"/>
              <w:rPr>
                <w:rFonts w:hint="default"/>
              </w:rPr>
            </w:pPr>
            <w:r>
              <w:rPr>
                <w:rFonts w:hint="default"/>
              </w:rPr>
              <w:t>台</w:t>
            </w:r>
          </w:p>
        </w:tc>
        <w:tc>
          <w:tcPr>
            <w:tcW w:w="433" w:type="pct"/>
            <w:tcBorders>
              <w:top w:val="single" w:color="000000" w:sz="2" w:space="0"/>
              <w:left w:val="single" w:color="000000" w:sz="2" w:space="0"/>
              <w:bottom w:val="single" w:color="000000" w:sz="2" w:space="0"/>
              <w:right w:val="single" w:color="000000" w:sz="2" w:space="0"/>
            </w:tcBorders>
            <w:noWrap w:val="0"/>
            <w:vAlign w:val="center"/>
          </w:tcPr>
          <w:p w14:paraId="2C4B6171">
            <w:pPr>
              <w:pStyle w:val="58"/>
              <w:bidi w:val="0"/>
              <w:rPr>
                <w:rFonts w:hint="default"/>
                <w:highlight w:val="none"/>
              </w:rPr>
            </w:pPr>
            <w:r>
              <w:rPr>
                <w:rFonts w:hint="default"/>
                <w:highlight w:val="none"/>
              </w:rPr>
              <w:t>1</w:t>
            </w:r>
          </w:p>
        </w:tc>
        <w:tc>
          <w:tcPr>
            <w:tcW w:w="812" w:type="pct"/>
            <w:tcBorders>
              <w:top w:val="single" w:color="000000" w:sz="2" w:space="0"/>
              <w:left w:val="single" w:color="000000" w:sz="2" w:space="0"/>
              <w:bottom w:val="single" w:color="000000" w:sz="2" w:space="0"/>
              <w:right w:val="single" w:color="000000" w:sz="12" w:space="0"/>
            </w:tcBorders>
            <w:noWrap w:val="0"/>
            <w:vAlign w:val="center"/>
          </w:tcPr>
          <w:p w14:paraId="2241A702">
            <w:pPr>
              <w:pStyle w:val="58"/>
              <w:bidi w:val="0"/>
              <w:rPr>
                <w:rFonts w:hint="default" w:eastAsia="宋体"/>
                <w:highlight w:val="none"/>
                <w:lang w:val="en-US" w:eastAsia="zh-CN"/>
              </w:rPr>
            </w:pPr>
            <w:r>
              <w:rPr>
                <w:rFonts w:hint="default"/>
                <w:highlight w:val="none"/>
              </w:rPr>
              <w:t>地下结构</w:t>
            </w:r>
            <w:r>
              <w:rPr>
                <w:rFonts w:hint="eastAsia"/>
                <w:highlight w:val="none"/>
                <w:lang w:eastAsia="zh-CN"/>
              </w:rPr>
              <w:t>，</w:t>
            </w:r>
            <w:r>
              <w:rPr>
                <w:rFonts w:hint="eastAsia"/>
                <w:highlight w:val="none"/>
                <w:lang w:val="en-US" w:eastAsia="zh-CN"/>
              </w:rPr>
              <w:t>位于保温彩钢房内</w:t>
            </w:r>
          </w:p>
        </w:tc>
      </w:tr>
      <w:bookmarkEnd w:id="127"/>
      <w:tr w14:paraId="1B2C1E6F">
        <w:tblPrEx>
          <w:tblBorders>
            <w:top w:val="single" w:color="000000" w:sz="12" w:space="0"/>
            <w:left w:val="single" w:color="000000" w:sz="12" w:space="0"/>
            <w:bottom w:val="single" w:color="000000" w:sz="12" w:space="0"/>
            <w:right w:val="single" w:color="000000" w:sz="12" w:space="0"/>
            <w:insideH w:val="single" w:color="000000" w:sz="2" w:space="0"/>
            <w:insideV w:val="single" w:color="000000" w:sz="2" w:space="0"/>
          </w:tblBorders>
          <w:tblCellMar>
            <w:top w:w="15" w:type="dxa"/>
            <w:left w:w="15" w:type="dxa"/>
            <w:bottom w:w="15" w:type="dxa"/>
            <w:right w:w="15" w:type="dxa"/>
          </w:tblCellMar>
        </w:tblPrEx>
        <w:trPr>
          <w:trHeight w:val="369" w:hRule="atLeast"/>
          <w:jc w:val="center"/>
        </w:trPr>
        <w:tc>
          <w:tcPr>
            <w:tcW w:w="414" w:type="pct"/>
            <w:tcBorders>
              <w:top w:val="single" w:color="000000" w:sz="2" w:space="0"/>
              <w:left w:val="single" w:color="000000" w:sz="12" w:space="0"/>
              <w:bottom w:val="single" w:color="000000" w:sz="2" w:space="0"/>
              <w:right w:val="single" w:color="000000" w:sz="2" w:space="0"/>
            </w:tcBorders>
            <w:noWrap w:val="0"/>
            <w:vAlign w:val="center"/>
          </w:tcPr>
          <w:p w14:paraId="7DE1BA89">
            <w:pPr>
              <w:pStyle w:val="58"/>
              <w:bidi w:val="0"/>
              <w:rPr>
                <w:rFonts w:hint="default"/>
              </w:rPr>
            </w:pPr>
            <w:r>
              <w:rPr>
                <w:rFonts w:hint="default"/>
              </w:rPr>
              <w:t>5</w:t>
            </w:r>
          </w:p>
        </w:tc>
        <w:tc>
          <w:tcPr>
            <w:tcW w:w="1394" w:type="pct"/>
            <w:tcBorders>
              <w:top w:val="single" w:color="000000" w:sz="2" w:space="0"/>
              <w:left w:val="single" w:color="000000" w:sz="2" w:space="0"/>
              <w:bottom w:val="single" w:color="000000" w:sz="2" w:space="0"/>
              <w:right w:val="single" w:color="000000" w:sz="2" w:space="0"/>
            </w:tcBorders>
            <w:noWrap w:val="0"/>
            <w:vAlign w:val="center"/>
          </w:tcPr>
          <w:p w14:paraId="17F46DB3">
            <w:pPr>
              <w:pStyle w:val="58"/>
              <w:bidi w:val="0"/>
              <w:rPr>
                <w:rFonts w:hint="default"/>
              </w:rPr>
            </w:pPr>
            <w:r>
              <w:rPr>
                <w:rFonts w:hint="default"/>
              </w:rPr>
              <w:t>配套自控与配电系统</w:t>
            </w:r>
          </w:p>
        </w:tc>
        <w:tc>
          <w:tcPr>
            <w:tcW w:w="1333" w:type="pct"/>
            <w:tcBorders>
              <w:top w:val="single" w:color="000000" w:sz="2" w:space="0"/>
              <w:left w:val="single" w:color="000000" w:sz="2" w:space="0"/>
              <w:bottom w:val="single" w:color="000000" w:sz="2" w:space="0"/>
              <w:right w:val="single" w:color="000000" w:sz="2" w:space="0"/>
            </w:tcBorders>
            <w:noWrap w:val="0"/>
            <w:vAlign w:val="center"/>
          </w:tcPr>
          <w:p w14:paraId="54C99FDF">
            <w:pPr>
              <w:pStyle w:val="58"/>
              <w:bidi w:val="0"/>
              <w:rPr>
                <w:rFonts w:hint="default"/>
              </w:rPr>
            </w:pPr>
            <w:r>
              <w:rPr>
                <w:rFonts w:hint="default"/>
              </w:rPr>
              <w:t>含电缆、电气元件等</w:t>
            </w:r>
          </w:p>
        </w:tc>
        <w:tc>
          <w:tcPr>
            <w:tcW w:w="613" w:type="pct"/>
            <w:tcBorders>
              <w:top w:val="single" w:color="000000" w:sz="2" w:space="0"/>
              <w:left w:val="single" w:color="000000" w:sz="2" w:space="0"/>
              <w:bottom w:val="single" w:color="000000" w:sz="2" w:space="0"/>
              <w:right w:val="single" w:color="000000" w:sz="2" w:space="0"/>
            </w:tcBorders>
            <w:noWrap w:val="0"/>
            <w:vAlign w:val="center"/>
          </w:tcPr>
          <w:p w14:paraId="2463A8C3">
            <w:pPr>
              <w:pStyle w:val="58"/>
              <w:bidi w:val="0"/>
              <w:rPr>
                <w:rFonts w:hint="default"/>
              </w:rPr>
            </w:pPr>
            <w:r>
              <w:rPr>
                <w:rFonts w:hint="default"/>
              </w:rPr>
              <w:t>套</w:t>
            </w:r>
          </w:p>
        </w:tc>
        <w:tc>
          <w:tcPr>
            <w:tcW w:w="433" w:type="pct"/>
            <w:tcBorders>
              <w:top w:val="single" w:color="000000" w:sz="2" w:space="0"/>
              <w:left w:val="single" w:color="000000" w:sz="2" w:space="0"/>
              <w:bottom w:val="single" w:color="000000" w:sz="2" w:space="0"/>
              <w:right w:val="single" w:color="000000" w:sz="2" w:space="0"/>
            </w:tcBorders>
            <w:noWrap w:val="0"/>
            <w:vAlign w:val="center"/>
          </w:tcPr>
          <w:p w14:paraId="57F6ECD1">
            <w:pPr>
              <w:pStyle w:val="58"/>
              <w:bidi w:val="0"/>
              <w:rPr>
                <w:rFonts w:hint="default"/>
              </w:rPr>
            </w:pPr>
            <w:r>
              <w:rPr>
                <w:rFonts w:hint="default"/>
              </w:rPr>
              <w:t>1</w:t>
            </w:r>
          </w:p>
        </w:tc>
        <w:tc>
          <w:tcPr>
            <w:tcW w:w="812" w:type="pct"/>
            <w:tcBorders>
              <w:top w:val="single" w:color="000000" w:sz="2" w:space="0"/>
              <w:left w:val="single" w:color="000000" w:sz="2" w:space="0"/>
              <w:bottom w:val="single" w:color="000000" w:sz="2" w:space="0"/>
              <w:right w:val="single" w:color="000000" w:sz="12" w:space="0"/>
            </w:tcBorders>
            <w:noWrap w:val="0"/>
            <w:vAlign w:val="center"/>
          </w:tcPr>
          <w:p w14:paraId="6220C5BF">
            <w:pPr>
              <w:pStyle w:val="58"/>
              <w:bidi w:val="0"/>
              <w:rPr>
                <w:rFonts w:hint="default"/>
              </w:rPr>
            </w:pPr>
          </w:p>
        </w:tc>
      </w:tr>
      <w:tr w14:paraId="71FDBE52">
        <w:tblPrEx>
          <w:tblBorders>
            <w:top w:val="single" w:color="000000" w:sz="12" w:space="0"/>
            <w:left w:val="single" w:color="000000" w:sz="12" w:space="0"/>
            <w:bottom w:val="single" w:color="000000" w:sz="12" w:space="0"/>
            <w:right w:val="single" w:color="000000" w:sz="12" w:space="0"/>
            <w:insideH w:val="single" w:color="000000" w:sz="2" w:space="0"/>
            <w:insideV w:val="single" w:color="000000" w:sz="2" w:space="0"/>
          </w:tblBorders>
          <w:tblCellMar>
            <w:top w:w="15" w:type="dxa"/>
            <w:left w:w="15" w:type="dxa"/>
            <w:bottom w:w="15" w:type="dxa"/>
            <w:right w:w="15" w:type="dxa"/>
          </w:tblCellMar>
        </w:tblPrEx>
        <w:trPr>
          <w:trHeight w:val="369" w:hRule="atLeast"/>
          <w:jc w:val="center"/>
        </w:trPr>
        <w:tc>
          <w:tcPr>
            <w:tcW w:w="414" w:type="pct"/>
            <w:tcBorders>
              <w:top w:val="single" w:color="000000" w:sz="2" w:space="0"/>
              <w:left w:val="single" w:color="000000" w:sz="12" w:space="0"/>
              <w:bottom w:val="single" w:color="000000" w:sz="12" w:space="0"/>
              <w:right w:val="single" w:color="000000" w:sz="2" w:space="0"/>
            </w:tcBorders>
            <w:noWrap w:val="0"/>
            <w:vAlign w:val="center"/>
          </w:tcPr>
          <w:p w14:paraId="758682C8">
            <w:pPr>
              <w:pStyle w:val="58"/>
              <w:bidi w:val="0"/>
              <w:rPr>
                <w:rFonts w:hint="default"/>
              </w:rPr>
            </w:pPr>
            <w:r>
              <w:rPr>
                <w:rFonts w:hint="default"/>
              </w:rPr>
              <w:t>6</w:t>
            </w:r>
          </w:p>
        </w:tc>
        <w:tc>
          <w:tcPr>
            <w:tcW w:w="1394" w:type="pct"/>
            <w:tcBorders>
              <w:top w:val="single" w:color="000000" w:sz="2" w:space="0"/>
              <w:left w:val="single" w:color="000000" w:sz="2" w:space="0"/>
              <w:bottom w:val="single" w:color="000000" w:sz="12" w:space="0"/>
              <w:right w:val="single" w:color="000000" w:sz="2" w:space="0"/>
            </w:tcBorders>
            <w:noWrap w:val="0"/>
            <w:vAlign w:val="center"/>
          </w:tcPr>
          <w:p w14:paraId="5745AE01">
            <w:pPr>
              <w:pStyle w:val="58"/>
              <w:bidi w:val="0"/>
              <w:rPr>
                <w:rFonts w:hint="default"/>
              </w:rPr>
            </w:pPr>
            <w:r>
              <w:rPr>
                <w:rFonts w:hint="default"/>
              </w:rPr>
              <w:t>其它辅助材料</w:t>
            </w:r>
          </w:p>
        </w:tc>
        <w:tc>
          <w:tcPr>
            <w:tcW w:w="1333" w:type="pct"/>
            <w:tcBorders>
              <w:top w:val="single" w:color="000000" w:sz="2" w:space="0"/>
              <w:left w:val="single" w:color="000000" w:sz="2" w:space="0"/>
              <w:bottom w:val="single" w:color="000000" w:sz="12" w:space="0"/>
              <w:right w:val="single" w:color="000000" w:sz="2" w:space="0"/>
            </w:tcBorders>
            <w:noWrap w:val="0"/>
            <w:vAlign w:val="center"/>
          </w:tcPr>
          <w:p w14:paraId="5566A787">
            <w:pPr>
              <w:pStyle w:val="58"/>
              <w:bidi w:val="0"/>
              <w:rPr>
                <w:rFonts w:hint="default"/>
              </w:rPr>
            </w:pPr>
            <w:r>
              <w:rPr>
                <w:rFonts w:hint="default"/>
              </w:rPr>
              <w:t>管道及阀门、型钢及辅材</w:t>
            </w:r>
          </w:p>
        </w:tc>
        <w:tc>
          <w:tcPr>
            <w:tcW w:w="613" w:type="pct"/>
            <w:tcBorders>
              <w:top w:val="single" w:color="000000" w:sz="2" w:space="0"/>
              <w:left w:val="single" w:color="000000" w:sz="2" w:space="0"/>
              <w:bottom w:val="single" w:color="000000" w:sz="12" w:space="0"/>
              <w:right w:val="single" w:color="000000" w:sz="2" w:space="0"/>
            </w:tcBorders>
            <w:noWrap w:val="0"/>
            <w:vAlign w:val="center"/>
          </w:tcPr>
          <w:p w14:paraId="157560D1">
            <w:pPr>
              <w:pStyle w:val="58"/>
              <w:bidi w:val="0"/>
              <w:rPr>
                <w:rFonts w:hint="default"/>
              </w:rPr>
            </w:pPr>
            <w:r>
              <w:rPr>
                <w:rFonts w:hint="default"/>
              </w:rPr>
              <w:t>批</w:t>
            </w:r>
          </w:p>
        </w:tc>
        <w:tc>
          <w:tcPr>
            <w:tcW w:w="433" w:type="pct"/>
            <w:tcBorders>
              <w:top w:val="single" w:color="000000" w:sz="2" w:space="0"/>
              <w:left w:val="single" w:color="000000" w:sz="2" w:space="0"/>
              <w:bottom w:val="single" w:color="000000" w:sz="12" w:space="0"/>
              <w:right w:val="single" w:color="000000" w:sz="2" w:space="0"/>
            </w:tcBorders>
            <w:noWrap w:val="0"/>
            <w:vAlign w:val="center"/>
          </w:tcPr>
          <w:p w14:paraId="00F4300C">
            <w:pPr>
              <w:pStyle w:val="58"/>
              <w:bidi w:val="0"/>
              <w:rPr>
                <w:rFonts w:hint="default"/>
              </w:rPr>
            </w:pPr>
            <w:r>
              <w:rPr>
                <w:rFonts w:hint="default"/>
              </w:rPr>
              <w:t>1</w:t>
            </w:r>
          </w:p>
        </w:tc>
        <w:tc>
          <w:tcPr>
            <w:tcW w:w="812" w:type="pct"/>
            <w:tcBorders>
              <w:top w:val="single" w:color="000000" w:sz="2" w:space="0"/>
              <w:left w:val="single" w:color="000000" w:sz="2" w:space="0"/>
              <w:bottom w:val="single" w:color="000000" w:sz="12" w:space="0"/>
              <w:right w:val="single" w:color="000000" w:sz="12" w:space="0"/>
            </w:tcBorders>
            <w:noWrap w:val="0"/>
            <w:vAlign w:val="center"/>
          </w:tcPr>
          <w:p w14:paraId="54D62E66">
            <w:pPr>
              <w:pStyle w:val="58"/>
              <w:bidi w:val="0"/>
              <w:rPr>
                <w:rFonts w:hint="default"/>
              </w:rPr>
            </w:pPr>
          </w:p>
        </w:tc>
      </w:tr>
    </w:tbl>
    <w:p w14:paraId="7A174854">
      <w:pPr>
        <w:pStyle w:val="6"/>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3.1.4</w:t>
      </w: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现有主要原辅材料</w:t>
      </w:r>
    </w:p>
    <w:p w14:paraId="415F0FB4">
      <w:pPr>
        <w:rPr>
          <w:rFonts w:hint="default"/>
          <w:lang w:eastAsia="zh-CN"/>
        </w:rPr>
      </w:pPr>
      <w:r>
        <w:rPr>
          <w:rFonts w:hint="default"/>
          <w:lang w:eastAsia="zh-CN"/>
        </w:rPr>
        <w:t>污水处理站消毒采用次氯酸钠消毒。主要原辅材料消耗见表3.1-</w:t>
      </w:r>
      <w:r>
        <w:rPr>
          <w:rFonts w:hint="eastAsia"/>
          <w:lang w:eastAsia="zh-CN"/>
        </w:rPr>
        <w:t>4</w:t>
      </w:r>
      <w:r>
        <w:rPr>
          <w:rFonts w:hint="default"/>
          <w:lang w:eastAsia="zh-CN"/>
        </w:rPr>
        <w:t>。</w:t>
      </w:r>
    </w:p>
    <w:p w14:paraId="7CAD40F9">
      <w:pPr>
        <w:numPr>
          <w:ilvl w:val="0"/>
          <w:numId w:val="22"/>
        </w:numPr>
        <w:autoSpaceDE w:val="0"/>
        <w:autoSpaceDN w:val="0"/>
        <w:spacing w:line="480" w:lineRule="exact"/>
        <w:ind w:left="425" w:leftChars="0" w:hanging="425" w:firstLineChars="0"/>
        <w:jc w:val="center"/>
        <w:rPr>
          <w:rFonts w:hint="default" w:ascii="Times New Roman" w:hAnsi="Times New Roman" w:eastAsia="宋体" w:cs="Times New Roman"/>
          <w:b/>
          <w:color w:val="000000" w:themeColor="text1"/>
          <w:kern w:val="0"/>
          <w:sz w:val="24"/>
          <w:highlight w:val="none"/>
          <w:shd w:val="clear" w:color="auto" w:fill="auto"/>
          <w:lang w:val="zh-CN"/>
          <w14:textFill>
            <w14:solidFill>
              <w14:schemeClr w14:val="tx1"/>
            </w14:solidFill>
          </w14:textFill>
        </w:rPr>
      </w:pPr>
      <w:r>
        <w:rPr>
          <w:rFonts w:hint="default" w:ascii="Times New Roman" w:hAnsi="Times New Roman" w:eastAsia="宋体" w:cs="Times New Roman"/>
          <w:b/>
          <w:color w:val="000000" w:themeColor="text1"/>
          <w:kern w:val="0"/>
          <w:sz w:val="24"/>
          <w:highlight w:val="none"/>
          <w:shd w:val="clear" w:color="auto" w:fill="auto"/>
          <w:lang w:val="zh-CN"/>
          <w14:textFill>
            <w14:solidFill>
              <w14:schemeClr w14:val="tx1"/>
            </w14:solidFill>
          </w14:textFill>
        </w:rPr>
        <w:t>主要原辅材料一览表</w:t>
      </w:r>
    </w:p>
    <w:tbl>
      <w:tblPr>
        <w:tblStyle w:val="47"/>
        <w:tblW w:w="4998"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933"/>
        <w:gridCol w:w="1806"/>
        <w:gridCol w:w="1773"/>
        <w:gridCol w:w="2772"/>
      </w:tblGrid>
      <w:tr w14:paraId="57929D4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579" w:type="pct"/>
            <w:noWrap w:val="0"/>
            <w:vAlign w:val="center"/>
          </w:tcPr>
          <w:p w14:paraId="3740D0E7">
            <w:pPr>
              <w:pStyle w:val="58"/>
              <w:bidi w:val="0"/>
              <w:rPr>
                <w:rFonts w:hint="default"/>
                <w:highlight w:val="none"/>
              </w:rPr>
            </w:pPr>
            <w:r>
              <w:rPr>
                <w:rFonts w:hint="default"/>
                <w:highlight w:val="none"/>
              </w:rPr>
              <w:t>名称</w:t>
            </w:r>
          </w:p>
        </w:tc>
        <w:tc>
          <w:tcPr>
            <w:tcW w:w="972" w:type="pct"/>
            <w:noWrap w:val="0"/>
            <w:vAlign w:val="center"/>
          </w:tcPr>
          <w:p w14:paraId="47F971C7">
            <w:pPr>
              <w:pStyle w:val="58"/>
              <w:bidi w:val="0"/>
              <w:rPr>
                <w:rFonts w:hint="default"/>
                <w:highlight w:val="none"/>
              </w:rPr>
            </w:pPr>
            <w:r>
              <w:rPr>
                <w:rFonts w:hint="default"/>
                <w:highlight w:val="none"/>
              </w:rPr>
              <w:t>用量</w:t>
            </w:r>
          </w:p>
        </w:tc>
        <w:tc>
          <w:tcPr>
            <w:tcW w:w="954" w:type="pct"/>
            <w:noWrap w:val="0"/>
            <w:vAlign w:val="center"/>
          </w:tcPr>
          <w:p w14:paraId="4BAE270C">
            <w:pPr>
              <w:pStyle w:val="58"/>
              <w:bidi w:val="0"/>
              <w:rPr>
                <w:rFonts w:hint="default"/>
                <w:highlight w:val="none"/>
              </w:rPr>
            </w:pPr>
            <w:r>
              <w:rPr>
                <w:rFonts w:hint="default"/>
                <w:highlight w:val="none"/>
              </w:rPr>
              <w:t>储存方式</w:t>
            </w:r>
          </w:p>
        </w:tc>
        <w:tc>
          <w:tcPr>
            <w:tcW w:w="1492" w:type="pct"/>
            <w:noWrap w:val="0"/>
            <w:vAlign w:val="center"/>
          </w:tcPr>
          <w:p w14:paraId="1FA9FDCF">
            <w:pPr>
              <w:pStyle w:val="58"/>
              <w:bidi w:val="0"/>
              <w:rPr>
                <w:rFonts w:hint="default"/>
                <w:highlight w:val="none"/>
              </w:rPr>
            </w:pPr>
            <w:r>
              <w:rPr>
                <w:rFonts w:hint="default"/>
                <w:highlight w:val="none"/>
              </w:rPr>
              <w:t>备注</w:t>
            </w:r>
          </w:p>
        </w:tc>
      </w:tr>
      <w:tr w14:paraId="03B8E7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579" w:type="pct"/>
            <w:noWrap w:val="0"/>
            <w:vAlign w:val="center"/>
          </w:tcPr>
          <w:p w14:paraId="7C4F3BD1">
            <w:pPr>
              <w:pStyle w:val="58"/>
              <w:bidi w:val="0"/>
              <w:rPr>
                <w:rFonts w:hint="default"/>
                <w:highlight w:val="none"/>
              </w:rPr>
            </w:pPr>
            <w:r>
              <w:rPr>
                <w:rFonts w:hint="default"/>
                <w:highlight w:val="none"/>
              </w:rPr>
              <w:t>成品次氯酸钠液体（8%）</w:t>
            </w:r>
          </w:p>
        </w:tc>
        <w:tc>
          <w:tcPr>
            <w:tcW w:w="972" w:type="pct"/>
            <w:noWrap w:val="0"/>
            <w:vAlign w:val="center"/>
          </w:tcPr>
          <w:p w14:paraId="03A09C24">
            <w:pPr>
              <w:pStyle w:val="58"/>
              <w:bidi w:val="0"/>
              <w:rPr>
                <w:rFonts w:hint="default"/>
                <w:highlight w:val="none"/>
              </w:rPr>
            </w:pPr>
            <w:r>
              <w:rPr>
                <w:rFonts w:hint="default"/>
                <w:highlight w:val="none"/>
                <w:lang w:val="en-US" w:eastAsia="zh-CN"/>
              </w:rPr>
              <w:t>0.05</w:t>
            </w:r>
            <w:r>
              <w:rPr>
                <w:rFonts w:hint="default"/>
                <w:highlight w:val="none"/>
              </w:rPr>
              <w:t>t/a</w:t>
            </w:r>
          </w:p>
        </w:tc>
        <w:tc>
          <w:tcPr>
            <w:tcW w:w="954" w:type="pct"/>
            <w:noWrap w:val="0"/>
            <w:vAlign w:val="center"/>
          </w:tcPr>
          <w:p w14:paraId="7609C593">
            <w:pPr>
              <w:pStyle w:val="58"/>
              <w:bidi w:val="0"/>
              <w:rPr>
                <w:rFonts w:hint="default"/>
                <w:highlight w:val="none"/>
                <w:lang w:val="en-US" w:eastAsia="zh-CN"/>
              </w:rPr>
            </w:pPr>
            <w:r>
              <w:rPr>
                <w:rFonts w:hint="default"/>
                <w:highlight w:val="none"/>
                <w:lang w:val="en-US" w:eastAsia="zh-CN"/>
              </w:rPr>
              <w:t>桶装</w:t>
            </w:r>
          </w:p>
        </w:tc>
        <w:tc>
          <w:tcPr>
            <w:tcW w:w="1492" w:type="pct"/>
            <w:noWrap w:val="0"/>
            <w:vAlign w:val="center"/>
          </w:tcPr>
          <w:p w14:paraId="6305B2D9">
            <w:pPr>
              <w:pStyle w:val="58"/>
              <w:bidi w:val="0"/>
              <w:rPr>
                <w:rFonts w:hint="default"/>
                <w:highlight w:val="none"/>
                <w:lang w:val="en-US" w:eastAsia="zh-CN"/>
              </w:rPr>
            </w:pPr>
            <w:r>
              <w:rPr>
                <w:rFonts w:hint="default"/>
                <w:highlight w:val="none"/>
                <w:lang w:val="en-US" w:eastAsia="zh-CN"/>
              </w:rPr>
              <w:t>20kg/桶</w:t>
            </w:r>
          </w:p>
        </w:tc>
      </w:tr>
    </w:tbl>
    <w:p w14:paraId="293C5668">
      <w:pPr>
        <w:pStyle w:val="6"/>
        <w:pageBreakBefore w:val="0"/>
        <w:widowControl w:val="0"/>
        <w:kinsoku/>
        <w:wordWrap/>
        <w:overflowPunct/>
        <w:topLinePunct w:val="0"/>
        <w:autoSpaceDE/>
        <w:autoSpaceDN/>
        <w:bidi w:val="0"/>
        <w:adjustRightInd/>
        <w:snapToGrid/>
        <w:spacing w:line="480" w:lineRule="exact"/>
        <w:textAlignment w:val="auto"/>
        <w:rPr>
          <w:rFonts w:hint="eastAsia"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3.1.5</w:t>
      </w:r>
      <w:r>
        <w:rPr>
          <w:rFonts w:hint="eastAsia" w:cs="Times New Roman"/>
          <w:b/>
          <w:bCs/>
          <w:color w:val="000000" w:themeColor="text1"/>
          <w:sz w:val="24"/>
          <w:szCs w:val="24"/>
          <w:highlight w:val="none"/>
          <w:lang w:val="en-US" w:eastAsia="zh-CN"/>
          <w14:textFill>
            <w14:solidFill>
              <w14:schemeClr w14:val="tx1"/>
            </w14:solidFill>
          </w14:textFill>
        </w:rPr>
        <w:t>收水范围及收水种类</w:t>
      </w:r>
    </w:p>
    <w:p w14:paraId="118B64BB">
      <w:pPr>
        <w:rPr>
          <w:rFonts w:hint="default"/>
          <w:highlight w:val="none"/>
          <w:lang w:val="en-US" w:eastAsia="zh-CN"/>
        </w:rPr>
      </w:pPr>
      <w:r>
        <w:rPr>
          <w:rFonts w:hint="eastAsia"/>
          <w:highlight w:val="none"/>
          <w:lang w:val="en-US" w:eastAsia="zh-CN"/>
        </w:rPr>
        <w:t>现有工程的收水范围为</w:t>
      </w:r>
      <w:r>
        <w:rPr>
          <w:rFonts w:hint="eastAsia"/>
          <w:highlight w:val="none"/>
          <w:lang w:eastAsia="zh-CN"/>
        </w:rPr>
        <w:t>唐山市曹妃甸区垦丰家居产业园区</w:t>
      </w:r>
      <w:r>
        <w:rPr>
          <w:rFonts w:hint="eastAsia"/>
          <w:highlight w:val="none"/>
          <w:lang w:val="en-US" w:eastAsia="zh-CN"/>
        </w:rPr>
        <w:t>正在生产运行的企业，收水种类为生活污水，目前园区企业排入废水详见下表。</w:t>
      </w:r>
    </w:p>
    <w:p w14:paraId="58F3EE0B">
      <w:pPr>
        <w:numPr>
          <w:ilvl w:val="0"/>
          <w:numId w:val="22"/>
        </w:numPr>
        <w:autoSpaceDE w:val="0"/>
        <w:autoSpaceDN w:val="0"/>
        <w:spacing w:line="480" w:lineRule="exact"/>
        <w:ind w:left="425" w:leftChars="0" w:hanging="425" w:firstLineChars="0"/>
        <w:jc w:val="center"/>
        <w:rPr>
          <w:rFonts w:hint="default" w:ascii="Times New Roman" w:hAnsi="Times New Roman" w:eastAsia="宋体" w:cs="Times New Roman"/>
          <w:b/>
          <w:color w:val="000000" w:themeColor="text1"/>
          <w:kern w:val="0"/>
          <w:sz w:val="24"/>
          <w:highlight w:val="none"/>
          <w:shd w:val="clear" w:color="auto" w:fill="auto"/>
          <w:lang w:val="zh-CN"/>
          <w14:textFill>
            <w14:solidFill>
              <w14:schemeClr w14:val="tx1"/>
            </w14:solidFill>
          </w14:textFill>
        </w:rPr>
      </w:pPr>
      <w:r>
        <w:rPr>
          <w:rFonts w:hint="default" w:ascii="Times New Roman" w:hAnsi="Times New Roman" w:eastAsia="宋体" w:cs="Times New Roman"/>
          <w:b/>
          <w:color w:val="000000" w:themeColor="text1"/>
          <w:kern w:val="0"/>
          <w:sz w:val="24"/>
          <w:highlight w:val="none"/>
          <w:shd w:val="clear" w:color="auto" w:fill="auto"/>
          <w:lang w:val="zh-CN"/>
          <w14:textFill>
            <w14:solidFill>
              <w14:schemeClr w14:val="tx1"/>
            </w14:solidFill>
          </w14:textFill>
        </w:rPr>
        <w:t>现有企业</w:t>
      </w:r>
      <w:r>
        <w:rPr>
          <w:rFonts w:hint="eastAsia" w:cs="Times New Roman"/>
          <w:b/>
          <w:color w:val="000000" w:themeColor="text1"/>
          <w:kern w:val="0"/>
          <w:sz w:val="24"/>
          <w:highlight w:val="none"/>
          <w:shd w:val="clear" w:color="auto" w:fill="auto"/>
          <w:lang w:val="en-US" w:eastAsia="zh-CN"/>
          <w14:textFill>
            <w14:solidFill>
              <w14:schemeClr w14:val="tx1"/>
            </w14:solidFill>
          </w14:textFill>
        </w:rPr>
        <w:t>废水</w:t>
      </w:r>
      <w:r>
        <w:rPr>
          <w:rFonts w:hint="default" w:ascii="Times New Roman" w:hAnsi="Times New Roman" w:eastAsia="宋体" w:cs="Times New Roman"/>
          <w:b/>
          <w:color w:val="000000" w:themeColor="text1"/>
          <w:kern w:val="0"/>
          <w:sz w:val="24"/>
          <w:highlight w:val="none"/>
          <w:shd w:val="clear" w:color="auto" w:fill="auto"/>
          <w:lang w:val="zh-CN"/>
          <w14:textFill>
            <w14:solidFill>
              <w14:schemeClr w14:val="tx1"/>
            </w14:solidFill>
          </w14:textFill>
        </w:rPr>
        <w:t>排放情况一览表  单位：t/a</w:t>
      </w:r>
    </w:p>
    <w:tbl>
      <w:tblPr>
        <w:tblStyle w:val="48"/>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564"/>
        <w:gridCol w:w="3183"/>
        <w:gridCol w:w="1710"/>
        <w:gridCol w:w="1738"/>
        <w:gridCol w:w="2093"/>
      </w:tblGrid>
      <w:tr w14:paraId="10F67B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tblHeader/>
        </w:trPr>
        <w:tc>
          <w:tcPr>
            <w:tcW w:w="0" w:type="auto"/>
            <w:vMerge w:val="restart"/>
            <w:tcBorders>
              <w:tl2br w:val="nil"/>
              <w:tr2bl w:val="nil"/>
            </w:tcBorders>
            <w:noWrap w:val="0"/>
            <w:vAlign w:val="center"/>
          </w:tcPr>
          <w:p w14:paraId="3C92CEB6">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序号</w:t>
            </w:r>
          </w:p>
        </w:tc>
        <w:tc>
          <w:tcPr>
            <w:tcW w:w="3183" w:type="dxa"/>
            <w:vMerge w:val="restart"/>
            <w:tcBorders>
              <w:tl2br w:val="nil"/>
              <w:tr2bl w:val="nil"/>
            </w:tcBorders>
            <w:noWrap w:val="0"/>
            <w:vAlign w:val="center"/>
          </w:tcPr>
          <w:p w14:paraId="5D7251B4">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企业名称</w:t>
            </w:r>
          </w:p>
        </w:tc>
        <w:tc>
          <w:tcPr>
            <w:tcW w:w="1710" w:type="dxa"/>
            <w:vMerge w:val="restart"/>
            <w:tcBorders>
              <w:tl2br w:val="nil"/>
              <w:tr2bl w:val="nil"/>
            </w:tcBorders>
            <w:noWrap w:val="0"/>
            <w:vAlign w:val="center"/>
          </w:tcPr>
          <w:p w14:paraId="47837807">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生活污水量</w:t>
            </w:r>
          </w:p>
        </w:tc>
        <w:tc>
          <w:tcPr>
            <w:tcW w:w="1738" w:type="dxa"/>
            <w:vMerge w:val="restart"/>
            <w:tcBorders>
              <w:tl2br w:val="nil"/>
              <w:tr2bl w:val="nil"/>
            </w:tcBorders>
            <w:noWrap w:val="0"/>
            <w:vAlign w:val="center"/>
          </w:tcPr>
          <w:p w14:paraId="17D48CBA">
            <w:pPr>
              <w:pStyle w:val="58"/>
              <w:bidi w:val="0"/>
              <w:rPr>
                <w:rFonts w:hint="default" w:ascii="Times New Roman" w:hAnsi="Times New Roman" w:eastAsia="宋体" w:cs="Times New Roman"/>
                <w:highlight w:val="none"/>
              </w:rPr>
            </w:pPr>
            <w:r>
              <w:rPr>
                <w:rFonts w:hint="eastAsia" w:cs="Times New Roman"/>
                <w:highlight w:val="none"/>
                <w:lang w:val="en-US" w:eastAsia="zh-CN"/>
              </w:rPr>
              <w:t>生产</w:t>
            </w:r>
            <w:r>
              <w:rPr>
                <w:rFonts w:hint="default" w:ascii="Times New Roman" w:hAnsi="Times New Roman" w:eastAsia="宋体" w:cs="Times New Roman"/>
                <w:highlight w:val="none"/>
              </w:rPr>
              <w:t>废水排放量</w:t>
            </w:r>
          </w:p>
        </w:tc>
        <w:tc>
          <w:tcPr>
            <w:tcW w:w="2093" w:type="dxa"/>
            <w:vMerge w:val="restart"/>
            <w:tcBorders>
              <w:tl2br w:val="nil"/>
              <w:tr2bl w:val="nil"/>
            </w:tcBorders>
            <w:noWrap w:val="0"/>
            <w:vAlign w:val="center"/>
          </w:tcPr>
          <w:p w14:paraId="1EDE9341">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排放方式</w:t>
            </w:r>
          </w:p>
        </w:tc>
      </w:tr>
      <w:tr w14:paraId="5D2AF33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tblHeader/>
        </w:trPr>
        <w:tc>
          <w:tcPr>
            <w:tcW w:w="0" w:type="auto"/>
            <w:vMerge w:val="continue"/>
            <w:tcBorders>
              <w:tl2br w:val="nil"/>
              <w:tr2bl w:val="nil"/>
            </w:tcBorders>
            <w:noWrap w:val="0"/>
            <w:vAlign w:val="center"/>
          </w:tcPr>
          <w:p w14:paraId="361B338F">
            <w:pPr>
              <w:pStyle w:val="58"/>
              <w:bidi w:val="0"/>
              <w:rPr>
                <w:rFonts w:hint="default" w:ascii="Times New Roman" w:hAnsi="Times New Roman" w:eastAsia="宋体" w:cs="Times New Roman"/>
                <w:highlight w:val="none"/>
              </w:rPr>
            </w:pPr>
          </w:p>
        </w:tc>
        <w:tc>
          <w:tcPr>
            <w:tcW w:w="3183" w:type="dxa"/>
            <w:vMerge w:val="continue"/>
            <w:tcBorders>
              <w:tl2br w:val="nil"/>
              <w:tr2bl w:val="nil"/>
            </w:tcBorders>
            <w:noWrap w:val="0"/>
            <w:vAlign w:val="center"/>
          </w:tcPr>
          <w:p w14:paraId="0E3B88D0">
            <w:pPr>
              <w:pStyle w:val="58"/>
              <w:bidi w:val="0"/>
              <w:rPr>
                <w:rFonts w:hint="default" w:ascii="Times New Roman" w:hAnsi="Times New Roman" w:eastAsia="宋体" w:cs="Times New Roman"/>
                <w:highlight w:val="none"/>
              </w:rPr>
            </w:pPr>
          </w:p>
        </w:tc>
        <w:tc>
          <w:tcPr>
            <w:tcW w:w="1710" w:type="dxa"/>
            <w:vMerge w:val="continue"/>
            <w:tcBorders>
              <w:tl2br w:val="nil"/>
              <w:tr2bl w:val="nil"/>
            </w:tcBorders>
            <w:noWrap w:val="0"/>
            <w:vAlign w:val="center"/>
          </w:tcPr>
          <w:p w14:paraId="1DEBE9DE">
            <w:pPr>
              <w:pStyle w:val="58"/>
              <w:bidi w:val="0"/>
              <w:rPr>
                <w:rFonts w:hint="default" w:ascii="Times New Roman" w:hAnsi="Times New Roman" w:eastAsia="宋体" w:cs="Times New Roman"/>
                <w:highlight w:val="none"/>
              </w:rPr>
            </w:pPr>
          </w:p>
        </w:tc>
        <w:tc>
          <w:tcPr>
            <w:tcW w:w="1738" w:type="dxa"/>
            <w:vMerge w:val="continue"/>
            <w:tcBorders>
              <w:tl2br w:val="nil"/>
              <w:tr2bl w:val="nil"/>
            </w:tcBorders>
            <w:noWrap w:val="0"/>
            <w:vAlign w:val="center"/>
          </w:tcPr>
          <w:p w14:paraId="0C889812">
            <w:pPr>
              <w:pStyle w:val="58"/>
              <w:bidi w:val="0"/>
              <w:rPr>
                <w:rFonts w:hint="default" w:ascii="Times New Roman" w:hAnsi="Times New Roman" w:eastAsia="宋体" w:cs="Times New Roman"/>
                <w:highlight w:val="none"/>
              </w:rPr>
            </w:pPr>
          </w:p>
        </w:tc>
        <w:tc>
          <w:tcPr>
            <w:tcW w:w="2093" w:type="dxa"/>
            <w:vMerge w:val="continue"/>
            <w:tcBorders>
              <w:tl2br w:val="nil"/>
              <w:tr2bl w:val="nil"/>
            </w:tcBorders>
            <w:noWrap w:val="0"/>
            <w:vAlign w:val="center"/>
          </w:tcPr>
          <w:p w14:paraId="6BD58702">
            <w:pPr>
              <w:pStyle w:val="58"/>
              <w:bidi w:val="0"/>
              <w:rPr>
                <w:rFonts w:hint="default" w:ascii="Times New Roman" w:hAnsi="Times New Roman" w:eastAsia="宋体" w:cs="Times New Roman"/>
                <w:highlight w:val="none"/>
              </w:rPr>
            </w:pPr>
          </w:p>
        </w:tc>
      </w:tr>
      <w:tr w14:paraId="3CFF6C9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0" w:type="auto"/>
            <w:tcBorders>
              <w:tl2br w:val="nil"/>
              <w:tr2bl w:val="nil"/>
            </w:tcBorders>
            <w:noWrap w:val="0"/>
            <w:vAlign w:val="center"/>
          </w:tcPr>
          <w:p w14:paraId="3EFD0F55">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1</w:t>
            </w:r>
          </w:p>
        </w:tc>
        <w:tc>
          <w:tcPr>
            <w:tcW w:w="3183" w:type="dxa"/>
            <w:tcBorders>
              <w:tl2br w:val="nil"/>
              <w:tr2bl w:val="nil"/>
            </w:tcBorders>
            <w:noWrap w:val="0"/>
            <w:vAlign w:val="center"/>
          </w:tcPr>
          <w:p w14:paraId="29ADEFE9">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金木美佳（唐山）科技有限公司</w:t>
            </w:r>
          </w:p>
        </w:tc>
        <w:tc>
          <w:tcPr>
            <w:tcW w:w="1710" w:type="dxa"/>
            <w:tcBorders>
              <w:tl2br w:val="nil"/>
              <w:tr2bl w:val="nil"/>
            </w:tcBorders>
            <w:noWrap w:val="0"/>
            <w:vAlign w:val="center"/>
          </w:tcPr>
          <w:p w14:paraId="549C0CCD">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5910</w:t>
            </w:r>
          </w:p>
        </w:tc>
        <w:tc>
          <w:tcPr>
            <w:tcW w:w="1738" w:type="dxa"/>
            <w:tcBorders>
              <w:tl2br w:val="nil"/>
              <w:tr2bl w:val="nil"/>
            </w:tcBorders>
            <w:noWrap w:val="0"/>
            <w:vAlign w:val="center"/>
          </w:tcPr>
          <w:p w14:paraId="7FC01D15">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0</w:t>
            </w:r>
          </w:p>
        </w:tc>
        <w:tc>
          <w:tcPr>
            <w:tcW w:w="2093" w:type="dxa"/>
            <w:vMerge w:val="restart"/>
            <w:tcBorders>
              <w:tl2br w:val="nil"/>
              <w:tr2bl w:val="nil"/>
            </w:tcBorders>
            <w:noWrap w:val="0"/>
            <w:vAlign w:val="center"/>
          </w:tcPr>
          <w:p w14:paraId="221B9114">
            <w:pPr>
              <w:pStyle w:val="58"/>
              <w:bidi w:val="0"/>
              <w:rPr>
                <w:rFonts w:hint="default" w:ascii="Times New Roman" w:hAnsi="Times New Roman" w:eastAsia="宋体" w:cs="Times New Roman"/>
                <w:highlight w:val="none"/>
                <w:lang w:val="en-US" w:eastAsia="zh-CN"/>
              </w:rPr>
            </w:pPr>
            <w:r>
              <w:rPr>
                <w:rFonts w:hint="eastAsia"/>
                <w:highlight w:val="none"/>
                <w:lang w:val="en-US" w:eastAsia="zh-CN"/>
              </w:rPr>
              <w:t>经园区管网排入本污水站</w:t>
            </w:r>
          </w:p>
        </w:tc>
      </w:tr>
      <w:tr w14:paraId="7863CA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0" w:type="auto"/>
            <w:tcBorders>
              <w:tl2br w:val="nil"/>
              <w:tr2bl w:val="nil"/>
            </w:tcBorders>
            <w:noWrap w:val="0"/>
            <w:vAlign w:val="center"/>
          </w:tcPr>
          <w:p w14:paraId="3FD6000A">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2</w:t>
            </w:r>
          </w:p>
        </w:tc>
        <w:tc>
          <w:tcPr>
            <w:tcW w:w="3183" w:type="dxa"/>
            <w:tcBorders>
              <w:tl2br w:val="nil"/>
              <w:tr2bl w:val="nil"/>
            </w:tcBorders>
            <w:noWrap w:val="0"/>
            <w:vAlign w:val="center"/>
          </w:tcPr>
          <w:p w14:paraId="20D64901">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唐山牧正饲料有限公司</w:t>
            </w:r>
          </w:p>
        </w:tc>
        <w:tc>
          <w:tcPr>
            <w:tcW w:w="1710" w:type="dxa"/>
            <w:tcBorders>
              <w:tl2br w:val="nil"/>
              <w:tr2bl w:val="nil"/>
            </w:tcBorders>
            <w:noWrap w:val="0"/>
            <w:vAlign w:val="center"/>
          </w:tcPr>
          <w:p w14:paraId="35AA9432">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756</w:t>
            </w:r>
          </w:p>
        </w:tc>
        <w:tc>
          <w:tcPr>
            <w:tcW w:w="1738" w:type="dxa"/>
            <w:tcBorders>
              <w:tl2br w:val="nil"/>
              <w:tr2bl w:val="nil"/>
            </w:tcBorders>
            <w:noWrap w:val="0"/>
            <w:vAlign w:val="center"/>
          </w:tcPr>
          <w:p w14:paraId="4FD24907">
            <w:pPr>
              <w:pStyle w:val="58"/>
              <w:bidi w:val="0"/>
              <w:rPr>
                <w:rFonts w:hint="default" w:ascii="Times New Roman" w:hAnsi="Times New Roman" w:eastAsia="宋体" w:cs="Times New Roman"/>
                <w:highlight w:val="none"/>
                <w:lang w:val="en-US" w:eastAsia="zh-CN"/>
              </w:rPr>
            </w:pPr>
            <w:r>
              <w:rPr>
                <w:rFonts w:hint="eastAsia" w:cs="Times New Roman"/>
                <w:highlight w:val="none"/>
                <w:lang w:val="en-US" w:eastAsia="zh-CN"/>
              </w:rPr>
              <w:t>0</w:t>
            </w:r>
          </w:p>
        </w:tc>
        <w:tc>
          <w:tcPr>
            <w:tcW w:w="2093" w:type="dxa"/>
            <w:vMerge w:val="continue"/>
            <w:tcBorders>
              <w:tl2br w:val="nil"/>
              <w:tr2bl w:val="nil"/>
            </w:tcBorders>
            <w:noWrap w:val="0"/>
            <w:vAlign w:val="center"/>
          </w:tcPr>
          <w:p w14:paraId="605D162B">
            <w:pPr>
              <w:pStyle w:val="58"/>
              <w:bidi w:val="0"/>
              <w:rPr>
                <w:rFonts w:hint="default" w:ascii="Times New Roman" w:hAnsi="Times New Roman" w:eastAsia="宋体" w:cs="Times New Roman"/>
                <w:highlight w:val="none"/>
              </w:rPr>
            </w:pPr>
          </w:p>
        </w:tc>
      </w:tr>
      <w:tr w14:paraId="03C8878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0" w:type="auto"/>
            <w:tcBorders>
              <w:tl2br w:val="nil"/>
              <w:tr2bl w:val="nil"/>
            </w:tcBorders>
            <w:noWrap w:val="0"/>
            <w:vAlign w:val="center"/>
          </w:tcPr>
          <w:p w14:paraId="4FE3A239">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w:t>
            </w:r>
          </w:p>
        </w:tc>
        <w:tc>
          <w:tcPr>
            <w:tcW w:w="3183" w:type="dxa"/>
            <w:tcBorders>
              <w:tl2br w:val="nil"/>
              <w:tr2bl w:val="nil"/>
            </w:tcBorders>
            <w:noWrap w:val="0"/>
            <w:vAlign w:val="center"/>
          </w:tcPr>
          <w:p w14:paraId="09F6FC50">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合计</w:t>
            </w:r>
          </w:p>
        </w:tc>
        <w:tc>
          <w:tcPr>
            <w:tcW w:w="1710" w:type="dxa"/>
            <w:tcBorders>
              <w:tl2br w:val="nil"/>
              <w:tr2bl w:val="nil"/>
            </w:tcBorders>
            <w:noWrap w:val="0"/>
            <w:vAlign w:val="center"/>
          </w:tcPr>
          <w:p w14:paraId="50B9A778">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6666</w:t>
            </w:r>
          </w:p>
        </w:tc>
        <w:tc>
          <w:tcPr>
            <w:tcW w:w="1738" w:type="dxa"/>
            <w:tcBorders>
              <w:tl2br w:val="nil"/>
              <w:tr2bl w:val="nil"/>
            </w:tcBorders>
            <w:noWrap w:val="0"/>
            <w:vAlign w:val="center"/>
          </w:tcPr>
          <w:p w14:paraId="41DDD09D">
            <w:pPr>
              <w:pStyle w:val="58"/>
              <w:bidi w:val="0"/>
              <w:rPr>
                <w:rFonts w:hint="default" w:ascii="Times New Roman" w:hAnsi="Times New Roman" w:eastAsia="宋体" w:cs="Times New Roman"/>
                <w:highlight w:val="none"/>
                <w:lang w:val="en-US" w:eastAsia="zh-CN"/>
              </w:rPr>
            </w:pPr>
            <w:r>
              <w:rPr>
                <w:rFonts w:hint="eastAsia" w:cs="Times New Roman"/>
                <w:highlight w:val="none"/>
                <w:lang w:val="en-US" w:eastAsia="zh-CN"/>
              </w:rPr>
              <w:t>0</w:t>
            </w:r>
          </w:p>
        </w:tc>
        <w:tc>
          <w:tcPr>
            <w:tcW w:w="2093" w:type="dxa"/>
            <w:vMerge w:val="continue"/>
            <w:tcBorders>
              <w:tl2br w:val="nil"/>
              <w:tr2bl w:val="nil"/>
            </w:tcBorders>
            <w:noWrap w:val="0"/>
            <w:vAlign w:val="center"/>
          </w:tcPr>
          <w:p w14:paraId="4C4E6984">
            <w:pPr>
              <w:pStyle w:val="58"/>
              <w:bidi w:val="0"/>
              <w:rPr>
                <w:rFonts w:hint="default" w:ascii="Times New Roman" w:hAnsi="Times New Roman" w:eastAsia="宋体" w:cs="Times New Roman"/>
                <w:highlight w:val="none"/>
                <w:lang w:val="en-US" w:eastAsia="zh-CN"/>
              </w:rPr>
            </w:pPr>
          </w:p>
        </w:tc>
      </w:tr>
    </w:tbl>
    <w:p w14:paraId="42E15E66">
      <w:pPr>
        <w:pStyle w:val="6"/>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3.1.</w:t>
      </w:r>
      <w:r>
        <w:rPr>
          <w:rFonts w:hint="eastAsia" w:cs="Times New Roman"/>
          <w:color w:val="000000" w:themeColor="text1"/>
          <w:sz w:val="24"/>
          <w:szCs w:val="24"/>
          <w:highlight w:val="none"/>
          <w:lang w:val="en-US" w:eastAsia="zh-CN"/>
          <w14:textFill>
            <w14:solidFill>
              <w14:schemeClr w14:val="tx1"/>
            </w14:solidFill>
          </w14:textFill>
        </w:rPr>
        <w:t>6</w:t>
      </w: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现有工程公用工程</w:t>
      </w:r>
    </w:p>
    <w:p w14:paraId="5404EC13">
      <w:pPr>
        <w:rPr>
          <w:rFonts w:hint="default"/>
          <w:highlight w:val="none"/>
          <w:lang w:eastAsia="zh-CN"/>
        </w:rPr>
      </w:pPr>
      <w:r>
        <w:rPr>
          <w:rFonts w:hint="default"/>
          <w:highlight w:val="none"/>
          <w:lang w:eastAsia="zh-CN"/>
        </w:rPr>
        <w:t>（1）给水</w:t>
      </w:r>
    </w:p>
    <w:p w14:paraId="209F815C">
      <w:pPr>
        <w:rPr>
          <w:rFonts w:hint="default"/>
          <w:highlight w:val="none"/>
          <w:lang w:eastAsia="zh-CN"/>
        </w:rPr>
      </w:pPr>
      <w:r>
        <w:rPr>
          <w:rFonts w:hint="default"/>
          <w:highlight w:val="none"/>
          <w:lang w:eastAsia="zh-CN"/>
        </w:rPr>
        <w:t>现有项目用水主要为生活用水，</w:t>
      </w:r>
      <w:r>
        <w:rPr>
          <w:rFonts w:hint="default"/>
          <w:highlight w:val="none"/>
          <w:lang w:val="en-US" w:eastAsia="zh-CN"/>
        </w:rPr>
        <w:t>现有工程规模小，设备自动化程度高，不需生产用水</w:t>
      </w:r>
      <w:r>
        <w:rPr>
          <w:rFonts w:hint="default"/>
          <w:highlight w:val="none"/>
          <w:lang w:eastAsia="zh-CN"/>
        </w:rPr>
        <w:t>，</w:t>
      </w:r>
      <w:r>
        <w:rPr>
          <w:rFonts w:hint="default"/>
          <w:highlight w:val="none"/>
          <w:lang w:val="en-US" w:eastAsia="zh-CN"/>
        </w:rPr>
        <w:t>生活用水</w:t>
      </w:r>
      <w:r>
        <w:rPr>
          <w:rFonts w:hint="default"/>
          <w:highlight w:val="none"/>
          <w:lang w:eastAsia="zh-CN"/>
        </w:rPr>
        <w:t>由</w:t>
      </w:r>
      <w:r>
        <w:rPr>
          <w:rFonts w:hint="eastAsia"/>
          <w:highlight w:val="none"/>
          <w:lang w:val="en-US" w:eastAsia="zh-CN"/>
        </w:rPr>
        <w:t>园区供水管网提供</w:t>
      </w:r>
      <w:r>
        <w:rPr>
          <w:rFonts w:hint="default"/>
          <w:highlight w:val="none"/>
          <w:lang w:eastAsia="zh-CN"/>
        </w:rPr>
        <w:t>。</w:t>
      </w:r>
    </w:p>
    <w:p w14:paraId="2CF6929D">
      <w:pPr>
        <w:rPr>
          <w:rFonts w:hint="default"/>
          <w:highlight w:val="none"/>
          <w:lang w:val="en-US" w:eastAsia="zh-CN"/>
        </w:rPr>
      </w:pPr>
      <w:r>
        <w:rPr>
          <w:rFonts w:hint="default"/>
          <w:highlight w:val="none"/>
          <w:lang w:eastAsia="zh-CN"/>
        </w:rPr>
        <w:t>项目现有工程劳动定员</w:t>
      </w:r>
      <w:r>
        <w:rPr>
          <w:rFonts w:hint="default"/>
          <w:highlight w:val="none"/>
          <w:lang w:val="en-US" w:eastAsia="zh-CN"/>
        </w:rPr>
        <w:t>3</w:t>
      </w:r>
      <w:r>
        <w:rPr>
          <w:rFonts w:hint="default"/>
          <w:highlight w:val="none"/>
          <w:lang w:eastAsia="zh-CN"/>
        </w:rPr>
        <w:t>人，则生活用水量为</w:t>
      </w:r>
      <w:r>
        <w:rPr>
          <w:rFonts w:hint="default"/>
          <w:highlight w:val="none"/>
          <w:lang w:val="en-US" w:eastAsia="zh-CN"/>
        </w:rPr>
        <w:t>0.3</w:t>
      </w:r>
      <w:r>
        <w:rPr>
          <w:rFonts w:hint="eastAsia"/>
          <w:highlight w:val="none"/>
          <w:lang w:eastAsia="zh-CN"/>
        </w:rPr>
        <w:t>m</w:t>
      </w:r>
      <w:r>
        <w:rPr>
          <w:rFonts w:hint="default"/>
          <w:highlight w:val="none"/>
          <w:vertAlign w:val="superscript"/>
          <w:lang w:val="en-US" w:eastAsia="zh-CN"/>
        </w:rPr>
        <w:t>3</w:t>
      </w:r>
      <w:r>
        <w:rPr>
          <w:rFonts w:hint="default"/>
          <w:highlight w:val="none"/>
          <w:lang w:eastAsia="zh-CN"/>
        </w:rPr>
        <w:t>/d（</w:t>
      </w:r>
      <w:r>
        <w:rPr>
          <w:rFonts w:hint="default"/>
          <w:highlight w:val="none"/>
          <w:lang w:val="en-US" w:eastAsia="zh-CN"/>
        </w:rPr>
        <w:t>109.5</w:t>
      </w:r>
      <w:r>
        <w:rPr>
          <w:rFonts w:hint="eastAsia"/>
          <w:highlight w:val="none"/>
          <w:lang w:eastAsia="zh-CN"/>
        </w:rPr>
        <w:t>m</w:t>
      </w:r>
      <w:r>
        <w:rPr>
          <w:rFonts w:hint="default"/>
          <w:highlight w:val="none"/>
          <w:vertAlign w:val="superscript"/>
          <w:lang w:val="en-US" w:eastAsia="zh-CN"/>
        </w:rPr>
        <w:t>3</w:t>
      </w:r>
      <w:r>
        <w:rPr>
          <w:rFonts w:hint="default"/>
          <w:highlight w:val="none"/>
          <w:lang w:eastAsia="zh-CN"/>
        </w:rPr>
        <w:t>/</w:t>
      </w:r>
      <w:r>
        <w:rPr>
          <w:rFonts w:hint="default"/>
          <w:highlight w:val="none"/>
          <w:lang w:val="en-US" w:eastAsia="zh-CN"/>
        </w:rPr>
        <w:t>a</w:t>
      </w:r>
      <w:r>
        <w:rPr>
          <w:rFonts w:hint="default"/>
          <w:highlight w:val="none"/>
          <w:lang w:eastAsia="zh-CN"/>
        </w:rPr>
        <w:t>）。</w:t>
      </w:r>
    </w:p>
    <w:p w14:paraId="56496606">
      <w:pPr>
        <w:rPr>
          <w:rFonts w:hint="default"/>
          <w:highlight w:val="none"/>
          <w:lang w:eastAsia="zh-CN"/>
        </w:rPr>
      </w:pPr>
      <w:r>
        <w:rPr>
          <w:rFonts w:hint="default"/>
          <w:highlight w:val="none"/>
          <w:lang w:eastAsia="zh-CN"/>
        </w:rPr>
        <w:t>（2）排水</w:t>
      </w:r>
    </w:p>
    <w:p w14:paraId="5083DC4F">
      <w:pPr>
        <w:rPr>
          <w:rFonts w:hint="default"/>
          <w:highlight w:val="none"/>
          <w:lang w:val="en-US" w:eastAsia="zh-CN"/>
        </w:rPr>
      </w:pPr>
      <w:r>
        <w:rPr>
          <w:rFonts w:hint="default"/>
          <w:highlight w:val="none"/>
          <w:lang w:val="en-US" w:eastAsia="zh-CN"/>
        </w:rPr>
        <w:t>厂区排水实行雨污分流制，废水直接排入厂内污水管网进行处理，废水被格栅、污泥、沉砂带走部分，处理后的废水</w:t>
      </w:r>
      <w:r>
        <w:rPr>
          <w:rFonts w:hint="eastAsia"/>
          <w:highlight w:val="none"/>
          <w:lang w:val="en-US" w:eastAsia="zh-CN"/>
        </w:rPr>
        <w:t>回用于厂区生产用水、园区绿化、道路喷洒及园区企业生产用水。</w:t>
      </w:r>
      <w:r>
        <w:rPr>
          <w:rFonts w:hint="default"/>
          <w:highlight w:val="none"/>
          <w:lang w:val="en-US" w:eastAsia="zh-CN"/>
        </w:rPr>
        <w:t>雨水经管道收集排入厂外市政雨水系统。</w:t>
      </w:r>
    </w:p>
    <w:p w14:paraId="7D969FA7">
      <w:pPr>
        <w:rPr>
          <w:rFonts w:hint="default"/>
          <w:highlight w:val="none"/>
          <w:lang w:val="en-US" w:eastAsia="zh-CN"/>
        </w:rPr>
      </w:pPr>
      <w:r>
        <w:rPr>
          <w:rFonts w:hint="default"/>
          <w:highlight w:val="none"/>
          <w:lang w:val="en-US" w:eastAsia="zh-CN"/>
        </w:rPr>
        <w:t>厂内生活污水产生量为0.24</w:t>
      </w:r>
      <w:r>
        <w:rPr>
          <w:rFonts w:hint="eastAsia"/>
          <w:highlight w:val="none"/>
          <w:lang w:val="en-US" w:eastAsia="zh-CN"/>
        </w:rPr>
        <w:t>m</w:t>
      </w:r>
      <w:r>
        <w:rPr>
          <w:rFonts w:hint="default"/>
          <w:highlight w:val="none"/>
          <w:vertAlign w:val="superscript"/>
          <w:lang w:val="en-US" w:eastAsia="zh-CN"/>
        </w:rPr>
        <w:t>3</w:t>
      </w:r>
      <w:r>
        <w:rPr>
          <w:rFonts w:hint="default"/>
          <w:highlight w:val="none"/>
          <w:lang w:val="en-US" w:eastAsia="zh-CN"/>
        </w:rPr>
        <w:t>/d（87.6</w:t>
      </w:r>
      <w:r>
        <w:rPr>
          <w:rFonts w:hint="eastAsia"/>
          <w:highlight w:val="none"/>
          <w:lang w:val="en-US" w:eastAsia="zh-CN"/>
        </w:rPr>
        <w:t>m</w:t>
      </w:r>
      <w:r>
        <w:rPr>
          <w:rFonts w:hint="default"/>
          <w:highlight w:val="none"/>
          <w:vertAlign w:val="superscript"/>
          <w:lang w:val="en-US" w:eastAsia="zh-CN"/>
        </w:rPr>
        <w:t>3</w:t>
      </w:r>
      <w:r>
        <w:rPr>
          <w:rFonts w:hint="default"/>
          <w:highlight w:val="none"/>
          <w:lang w:val="en-US" w:eastAsia="zh-CN"/>
        </w:rPr>
        <w:t>/a），废水收集后排入厂内污水管，与排入污水厂的园区内企业生活污水汇流至格栅井，再进入污水处理系统。</w:t>
      </w:r>
    </w:p>
    <w:p w14:paraId="201A8D9A">
      <w:pP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pPr>
      <w:r>
        <w:rPr>
          <w:rFonts w:hint="default"/>
          <w:highlight w:val="none"/>
          <w:lang w:val="en-US" w:eastAsia="zh-CN"/>
        </w:rPr>
        <w:t>项目现有工程给排水平衡见图3.1-</w:t>
      </w:r>
      <w:r>
        <w:rPr>
          <w:rFonts w:hint="eastAsia"/>
          <w:highlight w:val="none"/>
          <w:lang w:val="en-US" w:eastAsia="zh-CN"/>
        </w:rPr>
        <w:t>2</w:t>
      </w:r>
      <w:r>
        <w:rPr>
          <w:rFonts w:hint="default"/>
          <w:highlight w:val="none"/>
          <w:lang w:val="en-US" w:eastAsia="zh-CN"/>
        </w:rPr>
        <w:t>。</w:t>
      </w:r>
    </w:p>
    <w:p w14:paraId="4C950CE8">
      <w:pPr>
        <w:pStyle w:val="100"/>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object>
          <v:shape id="_x0000_i1027" o:spt="75" type="#_x0000_t75" style="height:117.75pt;width:441.75pt;" o:ole="t" filled="f" o:preferrelative="t" stroked="f" coordsize="21600,21600">
            <v:path/>
            <v:fill on="f" focussize="0,0"/>
            <v:stroke on="f"/>
            <v:imagedata r:id="rId41" o:title=""/>
            <o:lock v:ext="edit" aspectratio="f"/>
            <w10:wrap type="none"/>
            <w10:anchorlock/>
          </v:shape>
          <o:OLEObject Type="Embed" ProgID="Visio.Drawing.11" ShapeID="_x0000_i1027" DrawAspect="Content" ObjectID="_1468075729" r:id="rId40">
            <o:LockedField>false</o:LockedField>
          </o:OLEObject>
        </w:object>
      </w:r>
    </w:p>
    <w:p w14:paraId="36481BE9">
      <w:pPr>
        <w:numPr>
          <w:ilvl w:val="0"/>
          <w:numId w:val="21"/>
        </w:numPr>
        <w:ind w:left="425" w:leftChars="0" w:hanging="425" w:firstLineChars="0"/>
        <w:jc w:val="center"/>
        <w:rPr>
          <w:rFonts w:hint="default" w:ascii="Times New Roman" w:hAnsi="Times New Roman" w:eastAsia="宋体" w:cs="Times New Roman"/>
          <w:b/>
          <w:bCs/>
          <w:spacing w:val="-2"/>
          <w:sz w:val="24"/>
          <w:szCs w:val="24"/>
          <w:highlight w:val="none"/>
          <w:lang w:val="en-US" w:eastAsia="zh-CN"/>
        </w:rPr>
      </w:pPr>
      <w:r>
        <w:rPr>
          <w:rFonts w:hint="default" w:ascii="Times New Roman" w:hAnsi="Times New Roman" w:eastAsia="宋体" w:cs="Times New Roman"/>
          <w:b/>
          <w:bCs/>
          <w:spacing w:val="-2"/>
          <w:sz w:val="24"/>
          <w:szCs w:val="24"/>
          <w:highlight w:val="none"/>
          <w:lang w:val="en-US" w:eastAsia="zh-CN"/>
        </w:rPr>
        <w:t>现有工程给排水平衡图单位：</w:t>
      </w:r>
      <w:r>
        <w:rPr>
          <w:rFonts w:hint="eastAsia" w:cs="Times New Roman"/>
          <w:b/>
          <w:bCs/>
          <w:spacing w:val="-2"/>
          <w:sz w:val="24"/>
          <w:szCs w:val="24"/>
          <w:highlight w:val="none"/>
          <w:lang w:val="en-US" w:eastAsia="zh-CN"/>
        </w:rPr>
        <w:t>m</w:t>
      </w:r>
      <w:r>
        <w:rPr>
          <w:rFonts w:hint="eastAsia" w:cs="Times New Roman"/>
          <w:b/>
          <w:bCs/>
          <w:spacing w:val="-2"/>
          <w:sz w:val="24"/>
          <w:szCs w:val="24"/>
          <w:highlight w:val="none"/>
          <w:vertAlign w:val="superscript"/>
          <w:lang w:val="en-US" w:eastAsia="zh-CN"/>
        </w:rPr>
        <w:t>3</w:t>
      </w:r>
      <w:r>
        <w:rPr>
          <w:rFonts w:hint="default" w:ascii="Times New Roman" w:hAnsi="Times New Roman" w:eastAsia="宋体" w:cs="Times New Roman"/>
          <w:highlight w:val="none"/>
          <w:lang w:val="en-US" w:eastAsia="zh-CN"/>
        </w:rPr>
        <w:t>/d</w:t>
      </w:r>
    </w:p>
    <w:p w14:paraId="18D340B2">
      <w:pPr>
        <w:rPr>
          <w:rFonts w:hint="default"/>
          <w:highlight w:val="none"/>
          <w:lang w:val="en-US" w:eastAsia="zh-CN"/>
        </w:rPr>
      </w:pPr>
      <w:r>
        <w:rPr>
          <w:rFonts w:hint="default"/>
          <w:highlight w:val="none"/>
          <w:lang w:val="en-US" w:eastAsia="zh-CN"/>
        </w:rPr>
        <w:t>（3）供电</w:t>
      </w:r>
    </w:p>
    <w:p w14:paraId="3673CFF7">
      <w:pPr>
        <w:rPr>
          <w:rFonts w:hint="default"/>
          <w:highlight w:val="none"/>
          <w:lang w:val="en-US" w:eastAsia="zh-CN"/>
        </w:rPr>
      </w:pPr>
      <w:r>
        <w:rPr>
          <w:rFonts w:hint="default"/>
          <w:highlight w:val="none"/>
          <w:lang w:val="en-US" w:eastAsia="zh-CN"/>
        </w:rPr>
        <w:t>由园区电网提供，可满足本项目用电要求，园区用电由十一农场变电站提供，年用电量约6万kWh。</w:t>
      </w:r>
    </w:p>
    <w:p w14:paraId="5C6E0668">
      <w:pPr>
        <w:rPr>
          <w:rFonts w:hint="default"/>
          <w:highlight w:val="none"/>
          <w:lang w:val="en-US" w:eastAsia="zh-CN"/>
        </w:rPr>
      </w:pPr>
      <w:r>
        <w:rPr>
          <w:rFonts w:hint="default"/>
          <w:highlight w:val="none"/>
          <w:lang w:val="en-US" w:eastAsia="zh-CN"/>
        </w:rPr>
        <w:t>（4）供暖</w:t>
      </w:r>
    </w:p>
    <w:p w14:paraId="42AE4744">
      <w:pPr>
        <w:rPr>
          <w:rFonts w:hint="default"/>
          <w:highlight w:val="none"/>
          <w:lang w:val="en-US" w:eastAsia="zh-CN"/>
        </w:rPr>
      </w:pPr>
      <w:r>
        <w:rPr>
          <w:rFonts w:hint="default"/>
          <w:highlight w:val="none"/>
          <w:lang w:val="en-US" w:eastAsia="zh-CN"/>
        </w:rPr>
        <w:t>现有工程无办公室及宿舍，无需供热。</w:t>
      </w:r>
    </w:p>
    <w:p w14:paraId="3461C467">
      <w:pPr>
        <w:pStyle w:val="6"/>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3.1.</w:t>
      </w:r>
      <w:r>
        <w:rPr>
          <w:rFonts w:hint="eastAsia" w:cs="Times New Roman"/>
          <w:color w:val="000000" w:themeColor="text1"/>
          <w:sz w:val="24"/>
          <w:szCs w:val="24"/>
          <w:highlight w:val="none"/>
          <w:lang w:val="en-US" w:eastAsia="zh-CN"/>
          <w14:textFill>
            <w14:solidFill>
              <w14:schemeClr w14:val="tx1"/>
            </w14:solidFill>
          </w14:textFill>
        </w:rPr>
        <w:t>7</w:t>
      </w: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现有工程设计进出水水质</w:t>
      </w:r>
    </w:p>
    <w:p w14:paraId="30057523">
      <w:pPr>
        <w:numPr>
          <w:ilvl w:val="0"/>
          <w:numId w:val="22"/>
        </w:numPr>
        <w:autoSpaceDE w:val="0"/>
        <w:autoSpaceDN w:val="0"/>
        <w:spacing w:line="480" w:lineRule="exact"/>
        <w:ind w:left="425" w:leftChars="0" w:hanging="425" w:firstLineChars="0"/>
        <w:jc w:val="center"/>
        <w:rPr>
          <w:rFonts w:hint="default" w:ascii="Times New Roman" w:hAnsi="Times New Roman" w:eastAsia="宋体" w:cs="Times New Roman"/>
          <w:b/>
          <w:color w:val="000000" w:themeColor="text1"/>
          <w:kern w:val="0"/>
          <w:sz w:val="24"/>
          <w:highlight w:val="none"/>
          <w:shd w:val="clear" w:color="auto" w:fill="auto"/>
          <w:lang w:val="zh-CN"/>
          <w14:textFill>
            <w14:solidFill>
              <w14:schemeClr w14:val="tx1"/>
            </w14:solidFill>
          </w14:textFill>
        </w:rPr>
      </w:pPr>
      <w:r>
        <w:rPr>
          <w:rFonts w:hint="default" w:ascii="Times New Roman" w:hAnsi="Times New Roman" w:eastAsia="宋体" w:cs="Times New Roman"/>
          <w:b/>
          <w:color w:val="000000" w:themeColor="text1"/>
          <w:kern w:val="0"/>
          <w:sz w:val="24"/>
          <w:highlight w:val="none"/>
          <w:shd w:val="clear" w:color="auto" w:fill="auto"/>
          <w:lang w:val="en-US" w:eastAsia="zh-CN"/>
          <w14:textFill>
            <w14:solidFill>
              <w14:schemeClr w14:val="tx1"/>
            </w14:solidFill>
          </w14:textFill>
        </w:rPr>
        <w:t>现有工程设计进出水水质</w:t>
      </w:r>
      <w:r>
        <w:rPr>
          <w:rFonts w:hint="default" w:ascii="Times New Roman" w:hAnsi="Times New Roman" w:eastAsia="宋体" w:cs="Times New Roman"/>
          <w:b/>
          <w:color w:val="000000" w:themeColor="text1"/>
          <w:kern w:val="0"/>
          <w:sz w:val="24"/>
          <w:highlight w:val="none"/>
          <w:shd w:val="clear" w:color="auto" w:fill="auto"/>
          <w:lang w:val="zh-CN"/>
          <w14:textFill>
            <w14:solidFill>
              <w14:schemeClr w14:val="tx1"/>
            </w14:solidFill>
          </w14:textFill>
        </w:rPr>
        <w:t>一览表</w:t>
      </w:r>
    </w:p>
    <w:tbl>
      <w:tblPr>
        <w:tblStyle w:val="48"/>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826"/>
        <w:gridCol w:w="1910"/>
        <w:gridCol w:w="1852"/>
        <w:gridCol w:w="1837"/>
        <w:gridCol w:w="1863"/>
      </w:tblGrid>
      <w:tr w14:paraId="1D9AFBE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3" w:type="pct"/>
            <w:vAlign w:val="center"/>
          </w:tcPr>
          <w:p w14:paraId="768E536F">
            <w:pPr>
              <w:pStyle w:val="58"/>
              <w:bidi w:val="0"/>
              <w:rPr>
                <w:rFonts w:hint="default"/>
                <w:highlight w:val="none"/>
                <w:lang w:val="en-US" w:eastAsia="zh-CN"/>
              </w:rPr>
            </w:pPr>
            <w:bookmarkStart w:id="130" w:name="OLE_LINK107"/>
            <w:r>
              <w:rPr>
                <w:rFonts w:hint="default"/>
                <w:highlight w:val="none"/>
                <w:lang w:val="en-US" w:eastAsia="zh-CN"/>
              </w:rPr>
              <w:t>序号</w:t>
            </w:r>
          </w:p>
        </w:tc>
        <w:tc>
          <w:tcPr>
            <w:tcW w:w="1028" w:type="pct"/>
            <w:vAlign w:val="center"/>
          </w:tcPr>
          <w:p w14:paraId="34E8C899">
            <w:pPr>
              <w:pStyle w:val="58"/>
              <w:bidi w:val="0"/>
              <w:rPr>
                <w:rFonts w:hint="default"/>
                <w:highlight w:val="none"/>
                <w:lang w:val="en-US" w:eastAsia="zh-CN"/>
              </w:rPr>
            </w:pPr>
            <w:r>
              <w:rPr>
                <w:rFonts w:hint="default"/>
                <w:highlight w:val="none"/>
                <w:lang w:val="en-US" w:eastAsia="zh-CN"/>
              </w:rPr>
              <w:t>项目</w:t>
            </w:r>
          </w:p>
        </w:tc>
        <w:tc>
          <w:tcPr>
            <w:tcW w:w="997" w:type="pct"/>
            <w:vAlign w:val="center"/>
          </w:tcPr>
          <w:p w14:paraId="3D232CD6">
            <w:pPr>
              <w:pStyle w:val="58"/>
              <w:bidi w:val="0"/>
              <w:rPr>
                <w:rFonts w:hint="default"/>
                <w:highlight w:val="none"/>
                <w:lang w:val="en-US" w:eastAsia="zh-CN"/>
              </w:rPr>
            </w:pPr>
            <w:r>
              <w:rPr>
                <w:rFonts w:hint="default"/>
                <w:highlight w:val="none"/>
                <w:lang w:val="en-US" w:eastAsia="zh-CN"/>
              </w:rPr>
              <w:t>单位</w:t>
            </w:r>
          </w:p>
        </w:tc>
        <w:tc>
          <w:tcPr>
            <w:tcW w:w="989" w:type="pct"/>
            <w:vAlign w:val="center"/>
          </w:tcPr>
          <w:p w14:paraId="695A4596">
            <w:pPr>
              <w:pStyle w:val="58"/>
              <w:bidi w:val="0"/>
              <w:rPr>
                <w:rFonts w:hint="default"/>
                <w:highlight w:val="none"/>
                <w:lang w:val="en-US" w:eastAsia="zh-CN"/>
              </w:rPr>
            </w:pPr>
            <w:r>
              <w:rPr>
                <w:rFonts w:hint="default"/>
                <w:highlight w:val="none"/>
                <w:lang w:val="en-US" w:eastAsia="zh-CN"/>
              </w:rPr>
              <w:t>设计进水水质</w:t>
            </w:r>
          </w:p>
        </w:tc>
        <w:tc>
          <w:tcPr>
            <w:tcW w:w="1001" w:type="pct"/>
            <w:vAlign w:val="center"/>
          </w:tcPr>
          <w:p w14:paraId="2D584D99">
            <w:pPr>
              <w:pStyle w:val="58"/>
              <w:bidi w:val="0"/>
              <w:rPr>
                <w:rFonts w:hint="default"/>
                <w:highlight w:val="none"/>
                <w:lang w:val="en-US" w:eastAsia="zh-CN"/>
              </w:rPr>
            </w:pPr>
            <w:r>
              <w:rPr>
                <w:rFonts w:hint="default"/>
                <w:highlight w:val="none"/>
                <w:lang w:val="en-US" w:eastAsia="zh-CN"/>
              </w:rPr>
              <w:t>污水出水水质</w:t>
            </w:r>
          </w:p>
        </w:tc>
      </w:tr>
      <w:tr w14:paraId="054BBA8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3" w:type="pct"/>
            <w:vAlign w:val="center"/>
          </w:tcPr>
          <w:p w14:paraId="58BE876A">
            <w:pPr>
              <w:pStyle w:val="58"/>
              <w:bidi w:val="0"/>
              <w:rPr>
                <w:rFonts w:hint="default"/>
                <w:highlight w:val="none"/>
                <w:lang w:val="en-US" w:eastAsia="zh-CN"/>
              </w:rPr>
            </w:pPr>
            <w:r>
              <w:rPr>
                <w:rFonts w:hint="default"/>
                <w:highlight w:val="none"/>
                <w:lang w:val="en-US" w:eastAsia="zh-CN"/>
              </w:rPr>
              <w:t>1</w:t>
            </w:r>
          </w:p>
        </w:tc>
        <w:tc>
          <w:tcPr>
            <w:tcW w:w="1028" w:type="pct"/>
            <w:vAlign w:val="center"/>
          </w:tcPr>
          <w:p w14:paraId="0651B5E9">
            <w:pPr>
              <w:pStyle w:val="58"/>
              <w:bidi w:val="0"/>
              <w:rPr>
                <w:rFonts w:hint="default"/>
                <w:highlight w:val="none"/>
                <w:lang w:val="en-US" w:eastAsia="zh-CN"/>
              </w:rPr>
            </w:pPr>
            <w:r>
              <w:rPr>
                <w:rFonts w:hint="default"/>
                <w:highlight w:val="none"/>
                <w:lang w:val="en-US" w:eastAsia="zh-CN"/>
              </w:rPr>
              <w:t>COD</w:t>
            </w:r>
            <w:r>
              <w:rPr>
                <w:rFonts w:hint="default"/>
                <w:highlight w:val="none"/>
                <w:vertAlign w:val="subscript"/>
                <w:lang w:val="en-US" w:eastAsia="zh-CN"/>
              </w:rPr>
              <w:t>Cr</w:t>
            </w:r>
          </w:p>
        </w:tc>
        <w:tc>
          <w:tcPr>
            <w:tcW w:w="997" w:type="pct"/>
            <w:vAlign w:val="center"/>
          </w:tcPr>
          <w:p w14:paraId="6BDAA3AF">
            <w:pPr>
              <w:pStyle w:val="58"/>
              <w:bidi w:val="0"/>
              <w:rPr>
                <w:rFonts w:hint="default"/>
                <w:highlight w:val="none"/>
                <w:lang w:val="en-US" w:eastAsia="zh-CN"/>
              </w:rPr>
            </w:pPr>
            <w:r>
              <w:rPr>
                <w:rFonts w:hint="default"/>
                <w:highlight w:val="none"/>
                <w:lang w:val="en-US" w:eastAsia="zh-CN"/>
              </w:rPr>
              <w:t>mg/L</w:t>
            </w:r>
          </w:p>
        </w:tc>
        <w:tc>
          <w:tcPr>
            <w:tcW w:w="989" w:type="pct"/>
            <w:vAlign w:val="center"/>
          </w:tcPr>
          <w:p w14:paraId="2A25E411">
            <w:pPr>
              <w:pStyle w:val="58"/>
              <w:bidi w:val="0"/>
              <w:rPr>
                <w:rFonts w:hint="default"/>
                <w:highlight w:val="none"/>
                <w:lang w:val="en-US" w:eastAsia="zh-CN"/>
              </w:rPr>
            </w:pPr>
            <w:r>
              <w:rPr>
                <w:rFonts w:hint="default"/>
                <w:highlight w:val="none"/>
                <w:lang w:val="en-US" w:eastAsia="zh-CN"/>
              </w:rPr>
              <w:t>350</w:t>
            </w:r>
          </w:p>
        </w:tc>
        <w:tc>
          <w:tcPr>
            <w:tcW w:w="1001" w:type="pct"/>
            <w:vAlign w:val="center"/>
          </w:tcPr>
          <w:p w14:paraId="50D1C123">
            <w:pPr>
              <w:pStyle w:val="58"/>
              <w:bidi w:val="0"/>
              <w:rPr>
                <w:rFonts w:hint="default"/>
                <w:highlight w:val="none"/>
                <w:lang w:val="en-US" w:eastAsia="zh-CN"/>
              </w:rPr>
            </w:pPr>
            <w:r>
              <w:rPr>
                <w:rFonts w:hint="default"/>
                <w:highlight w:val="none"/>
                <w:lang w:val="en-US" w:eastAsia="zh-CN"/>
              </w:rPr>
              <w:t>50</w:t>
            </w:r>
          </w:p>
        </w:tc>
      </w:tr>
      <w:tr w14:paraId="485EF12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3" w:type="pct"/>
            <w:vAlign w:val="center"/>
          </w:tcPr>
          <w:p w14:paraId="23BDEB9A">
            <w:pPr>
              <w:pStyle w:val="58"/>
              <w:bidi w:val="0"/>
              <w:rPr>
                <w:rFonts w:hint="default"/>
                <w:highlight w:val="none"/>
                <w:lang w:val="en-US" w:eastAsia="zh-CN"/>
              </w:rPr>
            </w:pPr>
            <w:r>
              <w:rPr>
                <w:rFonts w:hint="default"/>
                <w:highlight w:val="none"/>
                <w:lang w:val="en-US" w:eastAsia="zh-CN"/>
              </w:rPr>
              <w:t>2</w:t>
            </w:r>
          </w:p>
        </w:tc>
        <w:tc>
          <w:tcPr>
            <w:tcW w:w="1028" w:type="pct"/>
            <w:vAlign w:val="center"/>
          </w:tcPr>
          <w:p w14:paraId="0362B3AC">
            <w:pPr>
              <w:pStyle w:val="58"/>
              <w:bidi w:val="0"/>
              <w:rPr>
                <w:rFonts w:hint="default"/>
                <w:highlight w:val="none"/>
                <w:lang w:val="en-US" w:eastAsia="zh-CN"/>
              </w:rPr>
            </w:pPr>
            <w:r>
              <w:rPr>
                <w:rFonts w:hint="eastAsia"/>
                <w:highlight w:val="none"/>
                <w:lang w:val="en-US" w:eastAsia="zh-CN"/>
              </w:rPr>
              <w:t>BOD</w:t>
            </w:r>
            <w:r>
              <w:rPr>
                <w:rFonts w:hint="eastAsia"/>
                <w:highlight w:val="none"/>
                <w:vertAlign w:val="subscript"/>
                <w:lang w:val="en-US" w:eastAsia="zh-CN"/>
              </w:rPr>
              <w:t>5</w:t>
            </w:r>
          </w:p>
        </w:tc>
        <w:tc>
          <w:tcPr>
            <w:tcW w:w="997" w:type="pct"/>
            <w:vAlign w:val="center"/>
          </w:tcPr>
          <w:p w14:paraId="53C7AFBD">
            <w:pPr>
              <w:pStyle w:val="58"/>
              <w:bidi w:val="0"/>
              <w:rPr>
                <w:rFonts w:hint="default"/>
                <w:highlight w:val="none"/>
                <w:lang w:val="en-US" w:eastAsia="zh-CN"/>
              </w:rPr>
            </w:pPr>
            <w:r>
              <w:rPr>
                <w:rFonts w:hint="default"/>
                <w:highlight w:val="none"/>
                <w:lang w:val="en-US" w:eastAsia="zh-CN"/>
              </w:rPr>
              <w:t>mg/L</w:t>
            </w:r>
          </w:p>
        </w:tc>
        <w:tc>
          <w:tcPr>
            <w:tcW w:w="989" w:type="pct"/>
            <w:vAlign w:val="center"/>
          </w:tcPr>
          <w:p w14:paraId="20AE4A44">
            <w:pPr>
              <w:pStyle w:val="58"/>
              <w:bidi w:val="0"/>
              <w:rPr>
                <w:rFonts w:hint="default"/>
                <w:highlight w:val="none"/>
                <w:lang w:val="en-US" w:eastAsia="zh-CN"/>
              </w:rPr>
            </w:pPr>
            <w:r>
              <w:rPr>
                <w:rFonts w:hint="default"/>
                <w:highlight w:val="none"/>
                <w:lang w:val="en-US" w:eastAsia="zh-CN"/>
              </w:rPr>
              <w:t>150</w:t>
            </w:r>
          </w:p>
        </w:tc>
        <w:tc>
          <w:tcPr>
            <w:tcW w:w="1001" w:type="pct"/>
            <w:vAlign w:val="center"/>
          </w:tcPr>
          <w:p w14:paraId="42F97CEA">
            <w:pPr>
              <w:pStyle w:val="58"/>
              <w:bidi w:val="0"/>
              <w:rPr>
                <w:rFonts w:hint="default"/>
                <w:highlight w:val="none"/>
                <w:lang w:val="en-US" w:eastAsia="zh-CN"/>
              </w:rPr>
            </w:pPr>
            <w:r>
              <w:rPr>
                <w:rFonts w:hint="default"/>
                <w:highlight w:val="none"/>
                <w:lang w:val="en-US" w:eastAsia="zh-CN"/>
              </w:rPr>
              <w:t>10</w:t>
            </w:r>
          </w:p>
        </w:tc>
      </w:tr>
      <w:tr w14:paraId="281E064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3" w:type="pct"/>
            <w:vAlign w:val="center"/>
          </w:tcPr>
          <w:p w14:paraId="01F2D4BF">
            <w:pPr>
              <w:pStyle w:val="58"/>
              <w:bidi w:val="0"/>
              <w:rPr>
                <w:rFonts w:hint="default"/>
                <w:highlight w:val="none"/>
                <w:lang w:val="en-US" w:eastAsia="zh-CN"/>
              </w:rPr>
            </w:pPr>
            <w:r>
              <w:rPr>
                <w:rFonts w:hint="default"/>
                <w:highlight w:val="none"/>
                <w:lang w:val="en-US" w:eastAsia="zh-CN"/>
              </w:rPr>
              <w:t>3</w:t>
            </w:r>
          </w:p>
        </w:tc>
        <w:tc>
          <w:tcPr>
            <w:tcW w:w="1028" w:type="pct"/>
            <w:vAlign w:val="center"/>
          </w:tcPr>
          <w:p w14:paraId="07F0E74B">
            <w:pPr>
              <w:pStyle w:val="58"/>
              <w:bidi w:val="0"/>
              <w:rPr>
                <w:rFonts w:hint="default"/>
                <w:highlight w:val="none"/>
                <w:lang w:val="en-US" w:eastAsia="zh-CN"/>
              </w:rPr>
            </w:pPr>
            <w:r>
              <w:rPr>
                <w:rFonts w:hint="default"/>
                <w:highlight w:val="none"/>
                <w:lang w:val="en-US" w:eastAsia="zh-CN"/>
              </w:rPr>
              <w:t>SS</w:t>
            </w:r>
          </w:p>
        </w:tc>
        <w:tc>
          <w:tcPr>
            <w:tcW w:w="997" w:type="pct"/>
            <w:vAlign w:val="center"/>
          </w:tcPr>
          <w:p w14:paraId="025AD5E9">
            <w:pPr>
              <w:pStyle w:val="58"/>
              <w:bidi w:val="0"/>
              <w:rPr>
                <w:rFonts w:hint="default"/>
                <w:highlight w:val="none"/>
                <w:lang w:val="en-US" w:eastAsia="zh-CN"/>
              </w:rPr>
            </w:pPr>
            <w:r>
              <w:rPr>
                <w:rFonts w:hint="default"/>
                <w:highlight w:val="none"/>
                <w:lang w:val="en-US" w:eastAsia="zh-CN"/>
              </w:rPr>
              <w:t>mg/L</w:t>
            </w:r>
          </w:p>
        </w:tc>
        <w:tc>
          <w:tcPr>
            <w:tcW w:w="989" w:type="pct"/>
            <w:vAlign w:val="center"/>
          </w:tcPr>
          <w:p w14:paraId="27F32932">
            <w:pPr>
              <w:pStyle w:val="58"/>
              <w:bidi w:val="0"/>
              <w:rPr>
                <w:rFonts w:hint="default"/>
                <w:highlight w:val="none"/>
                <w:lang w:val="en-US" w:eastAsia="zh-CN"/>
              </w:rPr>
            </w:pPr>
            <w:r>
              <w:rPr>
                <w:rFonts w:hint="default"/>
                <w:highlight w:val="none"/>
                <w:lang w:val="en-US" w:eastAsia="zh-CN"/>
              </w:rPr>
              <w:t>250</w:t>
            </w:r>
          </w:p>
        </w:tc>
        <w:tc>
          <w:tcPr>
            <w:tcW w:w="1001" w:type="pct"/>
            <w:vAlign w:val="center"/>
          </w:tcPr>
          <w:p w14:paraId="7651AF70">
            <w:pPr>
              <w:pStyle w:val="58"/>
              <w:bidi w:val="0"/>
              <w:rPr>
                <w:rFonts w:hint="default"/>
                <w:highlight w:val="none"/>
                <w:lang w:val="en-US" w:eastAsia="zh-CN"/>
              </w:rPr>
            </w:pPr>
            <w:r>
              <w:rPr>
                <w:rFonts w:hint="default"/>
                <w:highlight w:val="none"/>
                <w:lang w:val="en-US" w:eastAsia="zh-CN"/>
              </w:rPr>
              <w:t>10</w:t>
            </w:r>
          </w:p>
        </w:tc>
      </w:tr>
      <w:tr w14:paraId="662235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3" w:type="pct"/>
            <w:vAlign w:val="center"/>
          </w:tcPr>
          <w:p w14:paraId="7E3BB903">
            <w:pPr>
              <w:pStyle w:val="58"/>
              <w:bidi w:val="0"/>
              <w:rPr>
                <w:rFonts w:hint="default"/>
                <w:highlight w:val="none"/>
                <w:lang w:val="en-US" w:eastAsia="zh-CN"/>
              </w:rPr>
            </w:pPr>
            <w:r>
              <w:rPr>
                <w:rFonts w:hint="default"/>
                <w:highlight w:val="none"/>
                <w:lang w:val="en-US" w:eastAsia="zh-CN"/>
              </w:rPr>
              <w:t>4</w:t>
            </w:r>
          </w:p>
        </w:tc>
        <w:tc>
          <w:tcPr>
            <w:tcW w:w="1028" w:type="pct"/>
            <w:vAlign w:val="center"/>
          </w:tcPr>
          <w:p w14:paraId="5E60477E">
            <w:pPr>
              <w:pStyle w:val="58"/>
              <w:bidi w:val="0"/>
              <w:rPr>
                <w:rFonts w:hint="default"/>
                <w:highlight w:val="none"/>
                <w:lang w:val="en-US" w:eastAsia="zh-CN"/>
              </w:rPr>
            </w:pPr>
            <w:r>
              <w:rPr>
                <w:rFonts w:hint="default"/>
                <w:highlight w:val="none"/>
                <w:lang w:val="en-US" w:eastAsia="zh-CN"/>
              </w:rPr>
              <w:t>总氮（TN）</w:t>
            </w:r>
          </w:p>
        </w:tc>
        <w:tc>
          <w:tcPr>
            <w:tcW w:w="997" w:type="pct"/>
            <w:vAlign w:val="center"/>
          </w:tcPr>
          <w:p w14:paraId="4573232E">
            <w:pPr>
              <w:pStyle w:val="58"/>
              <w:bidi w:val="0"/>
              <w:rPr>
                <w:rFonts w:hint="default"/>
                <w:highlight w:val="none"/>
                <w:lang w:val="en-US" w:eastAsia="zh-CN"/>
              </w:rPr>
            </w:pPr>
            <w:r>
              <w:rPr>
                <w:rFonts w:hint="default"/>
                <w:highlight w:val="none"/>
                <w:lang w:val="en-US" w:eastAsia="zh-CN"/>
              </w:rPr>
              <w:t>mg/L</w:t>
            </w:r>
          </w:p>
        </w:tc>
        <w:tc>
          <w:tcPr>
            <w:tcW w:w="989" w:type="pct"/>
            <w:vAlign w:val="center"/>
          </w:tcPr>
          <w:p w14:paraId="7DD84656">
            <w:pPr>
              <w:pStyle w:val="58"/>
              <w:bidi w:val="0"/>
              <w:rPr>
                <w:rFonts w:hint="default"/>
                <w:highlight w:val="none"/>
                <w:lang w:val="en-US" w:eastAsia="zh-CN"/>
              </w:rPr>
            </w:pPr>
            <w:r>
              <w:rPr>
                <w:rFonts w:hint="default"/>
                <w:highlight w:val="none"/>
                <w:lang w:val="en-US" w:eastAsia="zh-CN"/>
              </w:rPr>
              <w:t>30</w:t>
            </w:r>
          </w:p>
        </w:tc>
        <w:tc>
          <w:tcPr>
            <w:tcW w:w="1001" w:type="pct"/>
            <w:vAlign w:val="center"/>
          </w:tcPr>
          <w:p w14:paraId="5F2DAC3A">
            <w:pPr>
              <w:pStyle w:val="58"/>
              <w:bidi w:val="0"/>
              <w:rPr>
                <w:rFonts w:hint="default"/>
                <w:highlight w:val="none"/>
                <w:lang w:val="en-US" w:eastAsia="zh-CN"/>
              </w:rPr>
            </w:pPr>
            <w:r>
              <w:rPr>
                <w:rFonts w:hint="default"/>
                <w:highlight w:val="none"/>
                <w:lang w:val="en-US" w:eastAsia="zh-CN"/>
              </w:rPr>
              <w:t>15</w:t>
            </w:r>
          </w:p>
        </w:tc>
      </w:tr>
      <w:tr w14:paraId="072B34D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3" w:type="pct"/>
            <w:vAlign w:val="center"/>
          </w:tcPr>
          <w:p w14:paraId="1514ADDA">
            <w:pPr>
              <w:pStyle w:val="58"/>
              <w:bidi w:val="0"/>
              <w:rPr>
                <w:rFonts w:hint="default"/>
                <w:highlight w:val="none"/>
                <w:lang w:val="en-US" w:eastAsia="zh-CN"/>
              </w:rPr>
            </w:pPr>
            <w:r>
              <w:rPr>
                <w:rFonts w:hint="default"/>
                <w:highlight w:val="none"/>
                <w:lang w:val="en-US" w:eastAsia="zh-CN"/>
              </w:rPr>
              <w:t>5</w:t>
            </w:r>
          </w:p>
        </w:tc>
        <w:tc>
          <w:tcPr>
            <w:tcW w:w="1028" w:type="pct"/>
            <w:vAlign w:val="center"/>
          </w:tcPr>
          <w:p w14:paraId="3E0FD46F">
            <w:pPr>
              <w:pStyle w:val="58"/>
              <w:bidi w:val="0"/>
              <w:rPr>
                <w:rFonts w:hint="default"/>
                <w:highlight w:val="none"/>
                <w:lang w:val="en-US" w:eastAsia="zh-CN"/>
              </w:rPr>
            </w:pPr>
            <w:r>
              <w:rPr>
                <w:rFonts w:hint="default"/>
                <w:highlight w:val="none"/>
                <w:lang w:val="en-US" w:eastAsia="zh-CN"/>
              </w:rPr>
              <w:t>氨氮（</w:t>
            </w:r>
            <w:r>
              <w:rPr>
                <w:rFonts w:hint="eastAsia"/>
                <w:highlight w:val="none"/>
                <w:lang w:val="en-US" w:eastAsia="zh-CN"/>
              </w:rPr>
              <w:t>NH</w:t>
            </w:r>
            <w:r>
              <w:rPr>
                <w:rFonts w:hint="eastAsia"/>
                <w:highlight w:val="none"/>
                <w:vertAlign w:val="subscript"/>
                <w:lang w:val="en-US" w:eastAsia="zh-CN"/>
              </w:rPr>
              <w:t>3</w:t>
            </w:r>
            <w:r>
              <w:rPr>
                <w:rFonts w:hint="default"/>
                <w:highlight w:val="none"/>
                <w:lang w:val="en-US" w:eastAsia="zh-CN"/>
              </w:rPr>
              <w:t>-N）</w:t>
            </w:r>
          </w:p>
        </w:tc>
        <w:tc>
          <w:tcPr>
            <w:tcW w:w="997" w:type="pct"/>
            <w:vAlign w:val="center"/>
          </w:tcPr>
          <w:p w14:paraId="1C3781F2">
            <w:pPr>
              <w:pStyle w:val="58"/>
              <w:bidi w:val="0"/>
              <w:rPr>
                <w:rFonts w:hint="default"/>
                <w:highlight w:val="none"/>
                <w:lang w:val="en-US" w:eastAsia="zh-CN"/>
              </w:rPr>
            </w:pPr>
            <w:r>
              <w:rPr>
                <w:rFonts w:hint="default"/>
                <w:highlight w:val="none"/>
                <w:lang w:val="en-US" w:eastAsia="zh-CN"/>
              </w:rPr>
              <w:t>mg/L</w:t>
            </w:r>
          </w:p>
        </w:tc>
        <w:tc>
          <w:tcPr>
            <w:tcW w:w="989" w:type="pct"/>
            <w:vAlign w:val="center"/>
          </w:tcPr>
          <w:p w14:paraId="08247D9C">
            <w:pPr>
              <w:pStyle w:val="58"/>
              <w:bidi w:val="0"/>
              <w:rPr>
                <w:rFonts w:hint="default"/>
                <w:highlight w:val="none"/>
                <w:lang w:val="en-US" w:eastAsia="zh-CN"/>
              </w:rPr>
            </w:pPr>
            <w:r>
              <w:rPr>
                <w:rFonts w:hint="default"/>
                <w:highlight w:val="none"/>
                <w:lang w:val="en-US" w:eastAsia="zh-CN"/>
              </w:rPr>
              <w:t>45</w:t>
            </w:r>
          </w:p>
        </w:tc>
        <w:tc>
          <w:tcPr>
            <w:tcW w:w="1001" w:type="pct"/>
            <w:vAlign w:val="center"/>
          </w:tcPr>
          <w:p w14:paraId="65F17489">
            <w:pPr>
              <w:pStyle w:val="58"/>
              <w:bidi w:val="0"/>
              <w:rPr>
                <w:rFonts w:hint="default"/>
                <w:highlight w:val="none"/>
                <w:lang w:val="en-US" w:eastAsia="zh-CN"/>
              </w:rPr>
            </w:pPr>
            <w:r>
              <w:rPr>
                <w:rFonts w:hint="default"/>
                <w:highlight w:val="none"/>
                <w:lang w:val="en-US" w:eastAsia="zh-CN"/>
              </w:rPr>
              <w:t>5（8）</w:t>
            </w:r>
          </w:p>
        </w:tc>
      </w:tr>
      <w:tr w14:paraId="0940CF0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3" w:type="pct"/>
            <w:vAlign w:val="center"/>
          </w:tcPr>
          <w:p w14:paraId="7F6E8195">
            <w:pPr>
              <w:pStyle w:val="58"/>
              <w:bidi w:val="0"/>
              <w:rPr>
                <w:rFonts w:hint="default"/>
                <w:highlight w:val="none"/>
                <w:lang w:val="en-US" w:eastAsia="zh-CN"/>
              </w:rPr>
            </w:pPr>
            <w:r>
              <w:rPr>
                <w:rFonts w:hint="default"/>
                <w:highlight w:val="none"/>
                <w:lang w:val="en-US" w:eastAsia="zh-CN"/>
              </w:rPr>
              <w:t>6</w:t>
            </w:r>
          </w:p>
        </w:tc>
        <w:tc>
          <w:tcPr>
            <w:tcW w:w="1028" w:type="pct"/>
            <w:vAlign w:val="center"/>
          </w:tcPr>
          <w:p w14:paraId="433F7CDD">
            <w:pPr>
              <w:pStyle w:val="58"/>
              <w:bidi w:val="0"/>
              <w:rPr>
                <w:rFonts w:hint="default"/>
                <w:highlight w:val="none"/>
                <w:lang w:val="en-US" w:eastAsia="zh-CN"/>
              </w:rPr>
            </w:pPr>
            <w:r>
              <w:rPr>
                <w:rFonts w:hint="default"/>
                <w:highlight w:val="none"/>
                <w:lang w:val="en-US" w:eastAsia="zh-CN"/>
              </w:rPr>
              <w:t>总磷（TP）</w:t>
            </w:r>
          </w:p>
        </w:tc>
        <w:tc>
          <w:tcPr>
            <w:tcW w:w="997" w:type="pct"/>
            <w:vAlign w:val="center"/>
          </w:tcPr>
          <w:p w14:paraId="459041D8">
            <w:pPr>
              <w:pStyle w:val="58"/>
              <w:bidi w:val="0"/>
              <w:rPr>
                <w:rFonts w:hint="default"/>
                <w:highlight w:val="none"/>
                <w:lang w:val="en-US" w:eastAsia="zh-CN"/>
              </w:rPr>
            </w:pPr>
            <w:r>
              <w:rPr>
                <w:rFonts w:hint="default"/>
                <w:highlight w:val="none"/>
                <w:lang w:val="en-US" w:eastAsia="zh-CN"/>
              </w:rPr>
              <w:t>mg/L</w:t>
            </w:r>
          </w:p>
        </w:tc>
        <w:tc>
          <w:tcPr>
            <w:tcW w:w="989" w:type="pct"/>
            <w:vAlign w:val="center"/>
          </w:tcPr>
          <w:p w14:paraId="3D203564">
            <w:pPr>
              <w:pStyle w:val="58"/>
              <w:bidi w:val="0"/>
              <w:rPr>
                <w:rFonts w:hint="default"/>
                <w:highlight w:val="none"/>
                <w:lang w:val="en-US" w:eastAsia="zh-CN"/>
              </w:rPr>
            </w:pPr>
            <w:r>
              <w:rPr>
                <w:rFonts w:hint="default"/>
                <w:highlight w:val="none"/>
                <w:lang w:val="en-US" w:eastAsia="zh-CN"/>
              </w:rPr>
              <w:t>8</w:t>
            </w:r>
          </w:p>
        </w:tc>
        <w:tc>
          <w:tcPr>
            <w:tcW w:w="1001" w:type="pct"/>
            <w:vAlign w:val="center"/>
          </w:tcPr>
          <w:p w14:paraId="685B338B">
            <w:pPr>
              <w:pStyle w:val="58"/>
              <w:bidi w:val="0"/>
              <w:rPr>
                <w:rFonts w:hint="default"/>
                <w:highlight w:val="none"/>
                <w:lang w:val="en-US" w:eastAsia="zh-CN"/>
              </w:rPr>
            </w:pPr>
            <w:r>
              <w:rPr>
                <w:rFonts w:hint="default"/>
                <w:highlight w:val="none"/>
                <w:lang w:val="en-US" w:eastAsia="zh-CN"/>
              </w:rPr>
              <w:t>0.5</w:t>
            </w:r>
          </w:p>
        </w:tc>
      </w:tr>
      <w:tr w14:paraId="40EB34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3" w:type="pct"/>
            <w:vAlign w:val="center"/>
          </w:tcPr>
          <w:p w14:paraId="046B8F05">
            <w:pPr>
              <w:pStyle w:val="58"/>
              <w:bidi w:val="0"/>
              <w:rPr>
                <w:rFonts w:hint="default"/>
                <w:highlight w:val="none"/>
                <w:lang w:val="en-US" w:eastAsia="zh-CN"/>
              </w:rPr>
            </w:pPr>
            <w:r>
              <w:rPr>
                <w:rFonts w:hint="default"/>
                <w:highlight w:val="none"/>
                <w:lang w:val="en-US" w:eastAsia="zh-CN"/>
              </w:rPr>
              <w:t>7</w:t>
            </w:r>
          </w:p>
        </w:tc>
        <w:tc>
          <w:tcPr>
            <w:tcW w:w="1028" w:type="pct"/>
            <w:vAlign w:val="center"/>
          </w:tcPr>
          <w:p w14:paraId="1EB45970">
            <w:pPr>
              <w:pStyle w:val="58"/>
              <w:bidi w:val="0"/>
              <w:rPr>
                <w:rFonts w:hint="default"/>
                <w:highlight w:val="none"/>
                <w:lang w:val="en-US" w:eastAsia="zh-CN"/>
              </w:rPr>
            </w:pPr>
            <w:r>
              <w:rPr>
                <w:rFonts w:hint="default"/>
                <w:highlight w:val="none"/>
                <w:lang w:val="en-US" w:eastAsia="zh-CN"/>
              </w:rPr>
              <w:t>粪大肠菌群数</w:t>
            </w:r>
          </w:p>
        </w:tc>
        <w:tc>
          <w:tcPr>
            <w:tcW w:w="997" w:type="pct"/>
            <w:vAlign w:val="center"/>
          </w:tcPr>
          <w:p w14:paraId="37BC7BFA">
            <w:pPr>
              <w:pStyle w:val="58"/>
              <w:bidi w:val="0"/>
              <w:rPr>
                <w:rFonts w:hint="default"/>
                <w:highlight w:val="none"/>
                <w:lang w:val="en-US" w:eastAsia="zh-CN"/>
              </w:rPr>
            </w:pPr>
            <w:r>
              <w:rPr>
                <w:rFonts w:hint="default"/>
                <w:highlight w:val="none"/>
                <w:lang w:val="en-US" w:eastAsia="zh-CN"/>
              </w:rPr>
              <w:t>个/L</w:t>
            </w:r>
          </w:p>
        </w:tc>
        <w:tc>
          <w:tcPr>
            <w:tcW w:w="989" w:type="pct"/>
            <w:vAlign w:val="center"/>
          </w:tcPr>
          <w:p w14:paraId="354A73E2">
            <w:pPr>
              <w:pStyle w:val="58"/>
              <w:bidi w:val="0"/>
              <w:rPr>
                <w:rFonts w:hint="default"/>
                <w:highlight w:val="none"/>
                <w:lang w:val="en-US" w:eastAsia="zh-CN"/>
              </w:rPr>
            </w:pPr>
            <w:r>
              <w:rPr>
                <w:rFonts w:hint="default"/>
                <w:highlight w:val="none"/>
                <w:lang w:val="en-US" w:eastAsia="zh-CN"/>
              </w:rPr>
              <w:t>10</w:t>
            </w:r>
            <w:r>
              <w:rPr>
                <w:rFonts w:hint="default"/>
                <w:highlight w:val="none"/>
                <w:vertAlign w:val="superscript"/>
                <w:lang w:val="en-US" w:eastAsia="zh-CN"/>
              </w:rPr>
              <w:t>6</w:t>
            </w:r>
          </w:p>
        </w:tc>
        <w:tc>
          <w:tcPr>
            <w:tcW w:w="1001" w:type="pct"/>
            <w:vAlign w:val="center"/>
          </w:tcPr>
          <w:p w14:paraId="02C0D163">
            <w:pPr>
              <w:pStyle w:val="58"/>
              <w:bidi w:val="0"/>
              <w:rPr>
                <w:rFonts w:hint="default"/>
                <w:highlight w:val="none"/>
                <w:lang w:val="en-US" w:eastAsia="zh-CN"/>
              </w:rPr>
            </w:pPr>
            <w:r>
              <w:rPr>
                <w:rFonts w:hint="default"/>
                <w:highlight w:val="none"/>
                <w:lang w:val="en-US" w:eastAsia="zh-CN"/>
              </w:rPr>
              <w:t>≤10</w:t>
            </w:r>
            <w:r>
              <w:rPr>
                <w:rFonts w:hint="default"/>
                <w:highlight w:val="none"/>
                <w:vertAlign w:val="superscript"/>
                <w:lang w:val="en-US" w:eastAsia="zh-CN"/>
              </w:rPr>
              <w:t>3</w:t>
            </w:r>
          </w:p>
        </w:tc>
      </w:tr>
      <w:tr w14:paraId="177786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5"/>
            <w:vAlign w:val="center"/>
          </w:tcPr>
          <w:p w14:paraId="18C237CE">
            <w:pPr>
              <w:pStyle w:val="58"/>
              <w:bidi w:val="0"/>
              <w:rPr>
                <w:rFonts w:hint="default"/>
                <w:highlight w:val="none"/>
                <w:lang w:val="en-US" w:eastAsia="zh-CN"/>
              </w:rPr>
            </w:pPr>
            <w:r>
              <w:rPr>
                <w:rFonts w:hint="default"/>
                <w:highlight w:val="none"/>
                <w:lang w:val="en-US" w:eastAsia="zh-CN"/>
              </w:rPr>
              <w:t>注：氨氮指标中，括号外数值为水温＞12℃时的控制指标，括号内数值为水温≤12℃时的控制指标。</w:t>
            </w:r>
          </w:p>
        </w:tc>
      </w:tr>
      <w:bookmarkEnd w:id="130"/>
    </w:tbl>
    <w:p w14:paraId="7411D183">
      <w:pPr>
        <w:pStyle w:val="6"/>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3.1.</w:t>
      </w:r>
      <w:r>
        <w:rPr>
          <w:rFonts w:hint="eastAsia" w:cs="Times New Roman"/>
          <w:color w:val="000000" w:themeColor="text1"/>
          <w:sz w:val="24"/>
          <w:szCs w:val="24"/>
          <w:highlight w:val="none"/>
          <w:lang w:val="en-US" w:eastAsia="zh-CN"/>
          <w14:textFill>
            <w14:solidFill>
              <w14:schemeClr w14:val="tx1"/>
            </w14:solidFill>
          </w14:textFill>
        </w:rPr>
        <w:t>8</w:t>
      </w: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现有工程污水处理工艺</w:t>
      </w:r>
    </w:p>
    <w:p w14:paraId="75A907B4">
      <w:pPr>
        <w:rPr>
          <w:rFonts w:hint="eastAsia" w:eastAsia="宋体"/>
          <w:highlight w:val="none"/>
          <w:lang w:val="en-US" w:eastAsia="zh-CN"/>
        </w:rPr>
      </w:pPr>
      <w:r>
        <w:rPr>
          <w:rFonts w:hint="default"/>
          <w:highlight w:val="none"/>
          <w:lang w:val="en-US" w:eastAsia="zh-CN"/>
        </w:rPr>
        <w:t>现有工程建设1座MMBR膜一体化污水处理站，污水处理工艺流程见图3</w:t>
      </w:r>
      <w:r>
        <w:rPr>
          <w:rFonts w:hint="eastAsia"/>
          <w:highlight w:val="none"/>
          <w:lang w:val="en-US" w:eastAsia="zh-CN"/>
        </w:rPr>
        <w:t>.1</w:t>
      </w:r>
      <w:r>
        <w:rPr>
          <w:rFonts w:hint="default"/>
          <w:highlight w:val="none"/>
          <w:lang w:val="en-US" w:eastAsia="zh-CN"/>
        </w:rPr>
        <w:t>-</w:t>
      </w:r>
      <w:r>
        <w:rPr>
          <w:rFonts w:hint="eastAsia"/>
          <w:highlight w:val="none"/>
          <w:lang w:val="en-US" w:eastAsia="zh-CN"/>
        </w:rPr>
        <w:t>3</w:t>
      </w:r>
      <w:r>
        <w:rPr>
          <w:rFonts w:hint="eastAsia"/>
          <w:highlight w:val="none"/>
          <w:lang w:eastAsia="zh-CN"/>
        </w:rPr>
        <w:t>。</w:t>
      </w:r>
    </w:p>
    <w:p w14:paraId="643E74FC">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object>
          <v:shape id="_x0000_i1028" o:spt="75" type="#_x0000_t75" style="height:118.2pt;width:481.8pt;" o:ole="t" filled="f" o:preferrelative="t" stroked="f" coordsize="21600,21600">
            <v:path/>
            <v:fill on="f" focussize="0,0"/>
            <v:stroke on="f"/>
            <v:imagedata r:id="rId43" o:title=""/>
            <o:lock v:ext="edit" aspectratio="f"/>
            <w10:wrap type="none"/>
            <w10:anchorlock/>
          </v:shape>
          <o:OLEObject Type="Embed" ProgID="Visio.Drawing.11" ShapeID="_x0000_i1028" DrawAspect="Content" ObjectID="_1468075730" r:id="rId42">
            <o:LockedField>false</o:LockedField>
          </o:OLEObject>
        </w:object>
      </w:r>
    </w:p>
    <w:p w14:paraId="13D98FC2">
      <w:pPr>
        <w:numPr>
          <w:ilvl w:val="0"/>
          <w:numId w:val="21"/>
        </w:numPr>
        <w:ind w:left="425" w:leftChars="0" w:hanging="425" w:firstLineChars="0"/>
        <w:jc w:val="center"/>
        <w:rPr>
          <w:rFonts w:hint="default" w:ascii="Times New Roman" w:hAnsi="Times New Roman" w:eastAsia="宋体" w:cs="Times New Roman"/>
          <w:b/>
          <w:bCs/>
          <w:spacing w:val="-2"/>
          <w:sz w:val="24"/>
          <w:szCs w:val="24"/>
          <w:highlight w:val="none"/>
          <w:lang w:val="en-US" w:eastAsia="zh-CN"/>
        </w:rPr>
      </w:pPr>
      <w:bookmarkStart w:id="131" w:name="OLE_LINK47"/>
      <w:r>
        <w:rPr>
          <w:rFonts w:hint="default" w:ascii="Times New Roman" w:hAnsi="Times New Roman" w:eastAsia="宋体" w:cs="Times New Roman"/>
          <w:b/>
          <w:bCs/>
          <w:spacing w:val="-2"/>
          <w:sz w:val="24"/>
          <w:szCs w:val="24"/>
          <w:highlight w:val="none"/>
          <w:lang w:val="en-US" w:eastAsia="zh-CN"/>
        </w:rPr>
        <w:t>现有污水处理工艺流程图</w:t>
      </w:r>
    </w:p>
    <w:bookmarkEnd w:id="131"/>
    <w:p w14:paraId="48044A16">
      <w:pPr>
        <w:pStyle w:val="6"/>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3.1.</w:t>
      </w:r>
      <w:r>
        <w:rPr>
          <w:rFonts w:hint="eastAsia" w:cs="Times New Roman"/>
          <w:color w:val="000000" w:themeColor="text1"/>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现有主要污染物产排污情况</w:t>
      </w:r>
    </w:p>
    <w:p w14:paraId="378193C6">
      <w:pPr>
        <w:rPr>
          <w:rFonts w:hint="default"/>
          <w:highlight w:val="none"/>
          <w:lang w:val="en-US" w:eastAsia="zh-CN"/>
        </w:rPr>
      </w:pPr>
      <w:r>
        <w:rPr>
          <w:rFonts w:hint="eastAsia"/>
          <w:highlight w:val="none"/>
          <w:lang w:val="en-US" w:eastAsia="zh-CN"/>
        </w:rPr>
        <w:t>本项目现有工程污水处理规模为50m</w:t>
      </w:r>
      <w:r>
        <w:rPr>
          <w:rFonts w:hint="eastAsia"/>
          <w:highlight w:val="none"/>
          <w:vertAlign w:val="superscript"/>
          <w:lang w:val="en-US" w:eastAsia="zh-CN"/>
        </w:rPr>
        <w:t>3</w:t>
      </w:r>
      <w:r>
        <w:rPr>
          <w:rFonts w:hint="eastAsia"/>
          <w:highlight w:val="none"/>
          <w:lang w:val="en-US" w:eastAsia="zh-CN"/>
        </w:rPr>
        <w:t>/d，环评为登记表，排污为登记管理，企业未进行自行监测，因此污染物产生情况主要采取类比法。噪声和扩建部分一同进行预测。</w:t>
      </w:r>
    </w:p>
    <w:p w14:paraId="2AEF345F">
      <w:pPr>
        <w:rPr>
          <w:rFonts w:hint="default"/>
          <w:highlight w:val="none"/>
          <w:lang w:val="en-US" w:eastAsia="zh-CN"/>
        </w:rPr>
      </w:pPr>
      <w:r>
        <w:rPr>
          <w:rFonts w:hint="default"/>
          <w:highlight w:val="none"/>
          <w:lang w:val="en-US" w:eastAsia="zh-CN"/>
        </w:rPr>
        <w:t>（1）废水</w:t>
      </w:r>
    </w:p>
    <w:p w14:paraId="346631AC">
      <w:pPr>
        <w:rPr>
          <w:rFonts w:hint="default"/>
          <w:highlight w:val="none"/>
          <w:lang w:val="en-US" w:eastAsia="zh-CN"/>
        </w:rPr>
      </w:pPr>
      <w:r>
        <w:rPr>
          <w:rFonts w:hint="default"/>
          <w:highlight w:val="none"/>
          <w:lang w:val="en-US" w:eastAsia="zh-CN"/>
        </w:rPr>
        <w:t>现状园区污水处理站主要处理生活污水，污水处理采用MMBR膜一体化处理工艺，出水水质达到《城镇污水处理厂污染物排放标准》(GB18918-2002)中一级A排放标准，同时满足《农田灌溉水质标准》（GB5084-2021）中水田作物标准限值。</w:t>
      </w:r>
      <w:r>
        <w:rPr>
          <w:rFonts w:hint="eastAsia"/>
          <w:highlight w:val="none"/>
          <w:lang w:val="en-US" w:eastAsia="zh-CN"/>
        </w:rPr>
        <w:t>废水</w:t>
      </w:r>
      <w:r>
        <w:rPr>
          <w:rFonts w:hint="default"/>
          <w:highlight w:val="none"/>
          <w:lang w:val="en-US" w:eastAsia="zh-CN"/>
        </w:rPr>
        <w:t>经处理达标后，排入附近沟渠，采用洒水车及绿化车辆在沟渠取水，用于园区内道路喷洒及绿化，其余经沟渠回用于农田灌溉，汛期强排至三排干渠。</w:t>
      </w:r>
    </w:p>
    <w:p w14:paraId="260FFF94">
      <w:pPr>
        <w:rPr>
          <w:rFonts w:hint="default"/>
          <w:highlight w:val="none"/>
          <w:lang w:val="en-US" w:eastAsia="zh-CN"/>
        </w:rPr>
      </w:pPr>
      <w:r>
        <w:rPr>
          <w:rFonts w:hint="eastAsia"/>
          <w:highlight w:val="none"/>
          <w:lang w:val="en-US" w:eastAsia="zh-CN"/>
        </w:rPr>
        <w:t>类比同规模同类项目，经处理后废水可以达标，由于项目未满负荷运行且无相关检测报告，现有工程污染物排放量按最不利原则考虑，此次按设计出水水质满负荷进行折算废水污染物排放量。</w:t>
      </w:r>
    </w:p>
    <w:p w14:paraId="4D22DB76">
      <w:pPr>
        <w:numPr>
          <w:ilvl w:val="0"/>
          <w:numId w:val="22"/>
        </w:numPr>
        <w:autoSpaceDE w:val="0"/>
        <w:autoSpaceDN w:val="0"/>
        <w:spacing w:line="480" w:lineRule="exact"/>
        <w:ind w:left="425" w:leftChars="0" w:hanging="425" w:firstLineChars="0"/>
        <w:jc w:val="center"/>
        <w:rPr>
          <w:rFonts w:hint="eastAsia" w:ascii="Times New Roman" w:hAnsi="Times New Roman" w:eastAsia="宋体" w:cs="Times New Roman"/>
          <w:b/>
          <w:color w:val="000000" w:themeColor="text1"/>
          <w:kern w:val="0"/>
          <w:sz w:val="24"/>
          <w:highlight w:val="none"/>
          <w:shd w:val="clear" w:color="auto" w:fill="auto"/>
          <w:lang w:val="en-US" w:eastAsia="zh-CN"/>
          <w14:textFill>
            <w14:solidFill>
              <w14:schemeClr w14:val="tx1"/>
            </w14:solidFill>
          </w14:textFill>
        </w:rPr>
      </w:pPr>
      <w:r>
        <w:rPr>
          <w:rFonts w:hint="eastAsia" w:ascii="Times New Roman" w:hAnsi="Times New Roman" w:eastAsia="宋体" w:cs="Times New Roman"/>
          <w:b/>
          <w:color w:val="000000" w:themeColor="text1"/>
          <w:kern w:val="0"/>
          <w:sz w:val="24"/>
          <w:highlight w:val="none"/>
          <w:shd w:val="clear" w:color="auto" w:fill="auto"/>
          <w:lang w:val="en-US" w:eastAsia="zh-CN"/>
          <w14:textFill>
            <w14:solidFill>
              <w14:schemeClr w14:val="tx1"/>
            </w14:solidFill>
          </w14:textFill>
        </w:rPr>
        <w:t>废水排放情况表</w:t>
      </w:r>
    </w:p>
    <w:tbl>
      <w:tblPr>
        <w:tblStyle w:val="88"/>
        <w:tblW w:w="5014"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2280"/>
        <w:gridCol w:w="2281"/>
        <w:gridCol w:w="2283"/>
        <w:gridCol w:w="2283"/>
      </w:tblGrid>
      <w:tr w14:paraId="574C183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714" w:hRule="atLeast"/>
        </w:trPr>
        <w:tc>
          <w:tcPr>
            <w:tcW w:w="1249" w:type="pct"/>
            <w:vAlign w:val="center"/>
          </w:tcPr>
          <w:p w14:paraId="6068388F">
            <w:pPr>
              <w:pStyle w:val="58"/>
              <w:bidi w:val="0"/>
              <w:rPr>
                <w:rFonts w:hint="default"/>
                <w:highlight w:val="none"/>
                <w:lang w:val="en-US" w:eastAsia="zh-CN"/>
              </w:rPr>
            </w:pPr>
            <w:bookmarkStart w:id="132" w:name="OLE_LINK46"/>
            <w:r>
              <w:rPr>
                <w:rFonts w:hint="default"/>
                <w:highlight w:val="none"/>
                <w:lang w:val="en-US" w:eastAsia="zh-CN"/>
              </w:rPr>
              <w:t>污染物</w:t>
            </w:r>
          </w:p>
        </w:tc>
        <w:tc>
          <w:tcPr>
            <w:tcW w:w="1249" w:type="pct"/>
            <w:vAlign w:val="center"/>
          </w:tcPr>
          <w:p w14:paraId="376D8C64">
            <w:pPr>
              <w:pStyle w:val="58"/>
              <w:bidi w:val="0"/>
              <w:rPr>
                <w:rFonts w:hint="default"/>
                <w:highlight w:val="none"/>
                <w:lang w:val="en-US" w:eastAsia="zh-CN"/>
              </w:rPr>
            </w:pPr>
            <w:r>
              <w:rPr>
                <w:rFonts w:hint="eastAsia"/>
                <w:highlight w:val="none"/>
                <w:lang w:val="en-US" w:eastAsia="zh-CN"/>
              </w:rPr>
              <w:t>出水水质要求</w:t>
            </w:r>
            <w:r>
              <w:rPr>
                <w:rFonts w:hint="default"/>
                <w:highlight w:val="none"/>
                <w:lang w:val="en-US" w:eastAsia="zh-CN"/>
              </w:rPr>
              <w:t>(mg/L)</w:t>
            </w:r>
          </w:p>
        </w:tc>
        <w:tc>
          <w:tcPr>
            <w:tcW w:w="1250" w:type="pct"/>
            <w:vAlign w:val="center"/>
          </w:tcPr>
          <w:p w14:paraId="357C28B9">
            <w:pPr>
              <w:pStyle w:val="58"/>
              <w:bidi w:val="0"/>
              <w:rPr>
                <w:rFonts w:hint="default"/>
                <w:highlight w:val="none"/>
                <w:lang w:val="en-US" w:eastAsia="zh-CN"/>
              </w:rPr>
            </w:pPr>
            <w:r>
              <w:rPr>
                <w:rFonts w:hint="default"/>
                <w:highlight w:val="none"/>
                <w:lang w:val="en-US" w:eastAsia="zh-CN"/>
              </w:rPr>
              <w:t>设计出水量（</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w:t>
            </w:r>
            <w:r>
              <w:rPr>
                <w:rFonts w:hint="eastAsia"/>
                <w:highlight w:val="none"/>
                <w:lang w:val="en-US" w:eastAsia="zh-CN"/>
              </w:rPr>
              <w:t>d</w:t>
            </w:r>
            <w:r>
              <w:rPr>
                <w:rFonts w:hint="default"/>
                <w:highlight w:val="none"/>
                <w:lang w:val="en-US" w:eastAsia="zh-CN"/>
              </w:rPr>
              <w:t>）</w:t>
            </w:r>
          </w:p>
        </w:tc>
        <w:tc>
          <w:tcPr>
            <w:tcW w:w="1250" w:type="pct"/>
            <w:vAlign w:val="center"/>
          </w:tcPr>
          <w:p w14:paraId="2597F571">
            <w:pPr>
              <w:pStyle w:val="58"/>
              <w:bidi w:val="0"/>
              <w:rPr>
                <w:rFonts w:hint="default" w:eastAsia="宋体"/>
                <w:highlight w:val="none"/>
                <w:lang w:val="en-US" w:eastAsia="zh-CN"/>
              </w:rPr>
            </w:pPr>
            <w:r>
              <w:rPr>
                <w:rFonts w:hint="eastAsia"/>
                <w:highlight w:val="none"/>
                <w:lang w:val="en-US" w:eastAsia="zh-CN"/>
              </w:rPr>
              <w:t>按设计出水水质计算满负荷排放量</w:t>
            </w:r>
            <w:bookmarkStart w:id="133" w:name="OLE_LINK48"/>
            <w:r>
              <w:rPr>
                <w:rFonts w:hint="eastAsia"/>
                <w:highlight w:val="none"/>
                <w:lang w:val="en-US" w:eastAsia="zh-CN"/>
              </w:rPr>
              <w:t>(t/a)</w:t>
            </w:r>
            <w:bookmarkEnd w:id="133"/>
          </w:p>
        </w:tc>
      </w:tr>
      <w:tr w14:paraId="1DA9833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26" w:hRule="atLeast"/>
        </w:trPr>
        <w:tc>
          <w:tcPr>
            <w:tcW w:w="1249" w:type="pct"/>
            <w:vAlign w:val="center"/>
          </w:tcPr>
          <w:p w14:paraId="3D2ABFB5">
            <w:pPr>
              <w:pStyle w:val="58"/>
              <w:bidi w:val="0"/>
              <w:rPr>
                <w:rFonts w:hint="default"/>
                <w:highlight w:val="none"/>
                <w:lang w:val="en-US" w:eastAsia="zh-CN"/>
              </w:rPr>
            </w:pPr>
            <w:r>
              <w:rPr>
                <w:rFonts w:hint="eastAsia"/>
                <w:highlight w:val="none"/>
                <w:lang w:val="en-US" w:eastAsia="zh-CN"/>
              </w:rPr>
              <w:t>COD</w:t>
            </w:r>
            <w:r>
              <w:rPr>
                <w:rFonts w:hint="eastAsia"/>
                <w:highlight w:val="none"/>
                <w:vertAlign w:val="subscript"/>
                <w:lang w:val="en-US" w:eastAsia="zh-CN"/>
              </w:rPr>
              <w:t>Cr</w:t>
            </w:r>
          </w:p>
        </w:tc>
        <w:tc>
          <w:tcPr>
            <w:tcW w:w="1249" w:type="pct"/>
            <w:vAlign w:val="center"/>
          </w:tcPr>
          <w:p w14:paraId="6DE53790">
            <w:pPr>
              <w:pStyle w:val="58"/>
              <w:bidi w:val="0"/>
              <w:rPr>
                <w:rFonts w:hint="default"/>
                <w:highlight w:val="none"/>
                <w:lang w:val="en-US" w:eastAsia="zh-CN"/>
              </w:rPr>
            </w:pPr>
            <w:r>
              <w:rPr>
                <w:rFonts w:hint="eastAsia"/>
                <w:highlight w:val="none"/>
                <w:lang w:val="en-US" w:eastAsia="zh-CN"/>
              </w:rPr>
              <w:t>50</w:t>
            </w:r>
          </w:p>
        </w:tc>
        <w:tc>
          <w:tcPr>
            <w:tcW w:w="1250" w:type="pct"/>
            <w:vMerge w:val="restart"/>
            <w:vAlign w:val="center"/>
          </w:tcPr>
          <w:p w14:paraId="26A9AA2B">
            <w:pPr>
              <w:pStyle w:val="58"/>
              <w:bidi w:val="0"/>
              <w:rPr>
                <w:rFonts w:hint="default"/>
                <w:highlight w:val="none"/>
                <w:lang w:val="en-US" w:eastAsia="zh-CN"/>
              </w:rPr>
            </w:pPr>
            <w:r>
              <w:rPr>
                <w:rFonts w:hint="eastAsia"/>
                <w:highlight w:val="none"/>
                <w:lang w:val="en-US" w:eastAsia="zh-CN"/>
              </w:rPr>
              <w:t>49.996</w:t>
            </w:r>
          </w:p>
        </w:tc>
        <w:tc>
          <w:tcPr>
            <w:tcW w:w="2425" w:type="dxa"/>
            <w:vAlign w:val="center"/>
          </w:tcPr>
          <w:p w14:paraId="0B892477">
            <w:pPr>
              <w:pStyle w:val="58"/>
              <w:bidi w:val="0"/>
              <w:rPr>
                <w:rFonts w:hint="default"/>
                <w:highlight w:val="none"/>
                <w:lang w:val="en-US" w:eastAsia="zh-CN"/>
              </w:rPr>
            </w:pPr>
            <w:r>
              <w:rPr>
                <w:rFonts w:hint="eastAsia"/>
                <w:highlight w:val="none"/>
                <w:lang w:val="en-US" w:eastAsia="zh-CN"/>
              </w:rPr>
              <w:t>0.912</w:t>
            </w:r>
          </w:p>
        </w:tc>
      </w:tr>
      <w:tr w14:paraId="172A9E8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48" w:hRule="atLeast"/>
        </w:trPr>
        <w:tc>
          <w:tcPr>
            <w:tcW w:w="1249" w:type="pct"/>
            <w:vAlign w:val="center"/>
          </w:tcPr>
          <w:p w14:paraId="11B504E1">
            <w:pPr>
              <w:pStyle w:val="58"/>
              <w:bidi w:val="0"/>
              <w:rPr>
                <w:rFonts w:hint="default"/>
                <w:highlight w:val="none"/>
                <w:lang w:val="en-US" w:eastAsia="zh-CN"/>
              </w:rPr>
            </w:pPr>
            <w:r>
              <w:rPr>
                <w:rFonts w:hint="eastAsia"/>
                <w:highlight w:val="none"/>
                <w:lang w:val="en-US" w:eastAsia="zh-CN"/>
              </w:rPr>
              <w:t>BOD</w:t>
            </w:r>
            <w:r>
              <w:rPr>
                <w:rFonts w:hint="eastAsia"/>
                <w:highlight w:val="none"/>
                <w:vertAlign w:val="subscript"/>
                <w:lang w:val="en-US" w:eastAsia="zh-CN"/>
              </w:rPr>
              <w:t>5</w:t>
            </w:r>
          </w:p>
        </w:tc>
        <w:tc>
          <w:tcPr>
            <w:tcW w:w="1249" w:type="pct"/>
            <w:vAlign w:val="center"/>
          </w:tcPr>
          <w:p w14:paraId="5AC7F0C9">
            <w:pPr>
              <w:pStyle w:val="58"/>
              <w:bidi w:val="0"/>
              <w:rPr>
                <w:rFonts w:hint="default"/>
                <w:highlight w:val="none"/>
                <w:lang w:val="en-US" w:eastAsia="zh-CN"/>
              </w:rPr>
            </w:pPr>
            <w:r>
              <w:rPr>
                <w:rFonts w:hint="eastAsia"/>
                <w:highlight w:val="none"/>
                <w:lang w:val="en-US" w:eastAsia="zh-CN"/>
              </w:rPr>
              <w:t>10</w:t>
            </w:r>
          </w:p>
        </w:tc>
        <w:tc>
          <w:tcPr>
            <w:tcW w:w="1250" w:type="pct"/>
            <w:vMerge w:val="continue"/>
            <w:vAlign w:val="center"/>
          </w:tcPr>
          <w:p w14:paraId="3B20DEAC">
            <w:pPr>
              <w:pStyle w:val="58"/>
              <w:bidi w:val="0"/>
              <w:rPr>
                <w:rFonts w:hint="default"/>
                <w:highlight w:val="none"/>
                <w:lang w:val="en-US" w:eastAsia="zh-CN"/>
              </w:rPr>
            </w:pPr>
          </w:p>
        </w:tc>
        <w:tc>
          <w:tcPr>
            <w:tcW w:w="2425" w:type="dxa"/>
            <w:vAlign w:val="center"/>
          </w:tcPr>
          <w:p w14:paraId="2EA343B2">
            <w:pPr>
              <w:pStyle w:val="58"/>
              <w:bidi w:val="0"/>
              <w:rPr>
                <w:rFonts w:hint="default"/>
                <w:highlight w:val="none"/>
                <w:lang w:val="en-US" w:eastAsia="zh-CN"/>
              </w:rPr>
            </w:pPr>
            <w:r>
              <w:rPr>
                <w:rFonts w:hint="eastAsia"/>
                <w:highlight w:val="none"/>
                <w:lang w:val="en-US" w:eastAsia="zh-CN"/>
              </w:rPr>
              <w:t>0.182</w:t>
            </w:r>
          </w:p>
        </w:tc>
      </w:tr>
      <w:tr w14:paraId="4F68E13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26" w:hRule="atLeast"/>
        </w:trPr>
        <w:tc>
          <w:tcPr>
            <w:tcW w:w="1249" w:type="pct"/>
            <w:vAlign w:val="center"/>
          </w:tcPr>
          <w:p w14:paraId="7F9DEB80">
            <w:pPr>
              <w:pStyle w:val="58"/>
              <w:bidi w:val="0"/>
              <w:rPr>
                <w:rFonts w:hint="default"/>
                <w:highlight w:val="none"/>
                <w:lang w:val="en-US" w:eastAsia="zh-CN"/>
              </w:rPr>
            </w:pPr>
            <w:r>
              <w:rPr>
                <w:rFonts w:hint="eastAsia"/>
                <w:highlight w:val="none"/>
                <w:lang w:val="en-US" w:eastAsia="zh-CN"/>
              </w:rPr>
              <w:t>SS</w:t>
            </w:r>
          </w:p>
        </w:tc>
        <w:tc>
          <w:tcPr>
            <w:tcW w:w="1249" w:type="pct"/>
            <w:vAlign w:val="center"/>
          </w:tcPr>
          <w:p w14:paraId="1DB3F83E">
            <w:pPr>
              <w:pStyle w:val="58"/>
              <w:bidi w:val="0"/>
              <w:rPr>
                <w:rFonts w:hint="default"/>
                <w:highlight w:val="none"/>
                <w:lang w:val="en-US" w:eastAsia="zh-CN"/>
              </w:rPr>
            </w:pPr>
            <w:r>
              <w:rPr>
                <w:rFonts w:hint="eastAsia"/>
                <w:highlight w:val="none"/>
                <w:lang w:val="en-US" w:eastAsia="zh-CN"/>
              </w:rPr>
              <w:t>10</w:t>
            </w:r>
          </w:p>
        </w:tc>
        <w:tc>
          <w:tcPr>
            <w:tcW w:w="1250" w:type="pct"/>
            <w:vMerge w:val="continue"/>
            <w:vAlign w:val="center"/>
          </w:tcPr>
          <w:p w14:paraId="76E25CB2">
            <w:pPr>
              <w:pStyle w:val="58"/>
              <w:bidi w:val="0"/>
              <w:rPr>
                <w:rFonts w:hint="default"/>
                <w:highlight w:val="none"/>
                <w:lang w:val="en-US" w:eastAsia="zh-CN"/>
              </w:rPr>
            </w:pPr>
          </w:p>
        </w:tc>
        <w:tc>
          <w:tcPr>
            <w:tcW w:w="2425" w:type="dxa"/>
            <w:vAlign w:val="center"/>
          </w:tcPr>
          <w:p w14:paraId="005452F5">
            <w:pPr>
              <w:pStyle w:val="58"/>
              <w:bidi w:val="0"/>
              <w:rPr>
                <w:rFonts w:hint="default"/>
                <w:highlight w:val="none"/>
                <w:lang w:val="en-US" w:eastAsia="zh-CN"/>
              </w:rPr>
            </w:pPr>
            <w:r>
              <w:rPr>
                <w:rFonts w:hint="eastAsia"/>
                <w:highlight w:val="none"/>
                <w:lang w:val="en-US" w:eastAsia="zh-CN"/>
              </w:rPr>
              <w:t>0.182</w:t>
            </w:r>
          </w:p>
        </w:tc>
      </w:tr>
      <w:tr w14:paraId="5C8C388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26" w:hRule="atLeast"/>
        </w:trPr>
        <w:tc>
          <w:tcPr>
            <w:tcW w:w="1249" w:type="pct"/>
            <w:vAlign w:val="center"/>
          </w:tcPr>
          <w:p w14:paraId="0D6CC33A">
            <w:pPr>
              <w:pStyle w:val="58"/>
              <w:bidi w:val="0"/>
              <w:rPr>
                <w:rFonts w:hint="default"/>
                <w:highlight w:val="none"/>
                <w:lang w:val="en-US" w:eastAsia="zh-CN"/>
              </w:rPr>
            </w:pPr>
            <w:r>
              <w:rPr>
                <w:rFonts w:hint="eastAsia"/>
                <w:highlight w:val="none"/>
                <w:lang w:val="en-US" w:eastAsia="zh-CN"/>
              </w:rPr>
              <w:t>总氮（TN）</w:t>
            </w:r>
          </w:p>
        </w:tc>
        <w:tc>
          <w:tcPr>
            <w:tcW w:w="1249" w:type="pct"/>
            <w:vAlign w:val="center"/>
          </w:tcPr>
          <w:p w14:paraId="4886E411">
            <w:pPr>
              <w:pStyle w:val="58"/>
              <w:bidi w:val="0"/>
              <w:rPr>
                <w:rFonts w:hint="default"/>
                <w:highlight w:val="none"/>
                <w:lang w:val="en-US" w:eastAsia="zh-CN"/>
              </w:rPr>
            </w:pPr>
            <w:r>
              <w:rPr>
                <w:rFonts w:hint="eastAsia"/>
                <w:highlight w:val="none"/>
                <w:lang w:val="en-US" w:eastAsia="zh-CN"/>
              </w:rPr>
              <w:t>15</w:t>
            </w:r>
          </w:p>
        </w:tc>
        <w:tc>
          <w:tcPr>
            <w:tcW w:w="1250" w:type="pct"/>
            <w:vMerge w:val="continue"/>
            <w:vAlign w:val="center"/>
          </w:tcPr>
          <w:p w14:paraId="720C1D6D">
            <w:pPr>
              <w:pStyle w:val="58"/>
              <w:bidi w:val="0"/>
              <w:rPr>
                <w:rFonts w:hint="default"/>
                <w:highlight w:val="none"/>
                <w:lang w:val="en-US" w:eastAsia="zh-CN"/>
              </w:rPr>
            </w:pPr>
          </w:p>
        </w:tc>
        <w:tc>
          <w:tcPr>
            <w:tcW w:w="2425" w:type="dxa"/>
            <w:vAlign w:val="center"/>
          </w:tcPr>
          <w:p w14:paraId="7BDBDAE6">
            <w:pPr>
              <w:pStyle w:val="58"/>
              <w:bidi w:val="0"/>
              <w:rPr>
                <w:rFonts w:hint="default"/>
                <w:highlight w:val="none"/>
                <w:lang w:val="en-US" w:eastAsia="zh-CN"/>
              </w:rPr>
            </w:pPr>
            <w:r>
              <w:rPr>
                <w:rFonts w:hint="eastAsia"/>
                <w:highlight w:val="none"/>
                <w:lang w:val="en-US" w:eastAsia="zh-CN"/>
              </w:rPr>
              <w:t>0.274</w:t>
            </w:r>
          </w:p>
        </w:tc>
      </w:tr>
      <w:tr w14:paraId="7190EBC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26" w:hRule="atLeast"/>
        </w:trPr>
        <w:tc>
          <w:tcPr>
            <w:tcW w:w="1249" w:type="pct"/>
            <w:vAlign w:val="center"/>
          </w:tcPr>
          <w:p w14:paraId="43200CE2">
            <w:pPr>
              <w:pStyle w:val="58"/>
              <w:bidi w:val="0"/>
              <w:rPr>
                <w:rFonts w:hint="default"/>
                <w:highlight w:val="none"/>
                <w:lang w:val="en-US" w:eastAsia="zh-CN"/>
              </w:rPr>
            </w:pPr>
            <w:r>
              <w:rPr>
                <w:rFonts w:hint="eastAsia"/>
                <w:highlight w:val="none"/>
                <w:lang w:val="en-US" w:eastAsia="zh-CN"/>
              </w:rPr>
              <w:t>氨氮（NH</w:t>
            </w:r>
            <w:r>
              <w:rPr>
                <w:rFonts w:hint="eastAsia"/>
                <w:highlight w:val="none"/>
                <w:vertAlign w:val="subscript"/>
                <w:lang w:val="en-US" w:eastAsia="zh-CN"/>
              </w:rPr>
              <w:t>3</w:t>
            </w:r>
            <w:r>
              <w:rPr>
                <w:rFonts w:hint="eastAsia"/>
                <w:highlight w:val="none"/>
                <w:lang w:val="en-US" w:eastAsia="zh-CN"/>
              </w:rPr>
              <w:t>-N）</w:t>
            </w:r>
          </w:p>
        </w:tc>
        <w:tc>
          <w:tcPr>
            <w:tcW w:w="1249" w:type="pct"/>
            <w:vAlign w:val="center"/>
          </w:tcPr>
          <w:p w14:paraId="3546D778">
            <w:pPr>
              <w:pStyle w:val="58"/>
              <w:bidi w:val="0"/>
              <w:rPr>
                <w:rFonts w:hint="default"/>
                <w:highlight w:val="none"/>
                <w:lang w:val="en-US" w:eastAsia="zh-CN"/>
              </w:rPr>
            </w:pPr>
            <w:r>
              <w:rPr>
                <w:rFonts w:hint="eastAsia"/>
                <w:highlight w:val="none"/>
                <w:lang w:val="en-US" w:eastAsia="zh-CN"/>
              </w:rPr>
              <w:t>5（8）</w:t>
            </w:r>
          </w:p>
        </w:tc>
        <w:tc>
          <w:tcPr>
            <w:tcW w:w="1250" w:type="pct"/>
            <w:vMerge w:val="continue"/>
            <w:vAlign w:val="center"/>
          </w:tcPr>
          <w:p w14:paraId="592C4F20">
            <w:pPr>
              <w:pStyle w:val="58"/>
              <w:bidi w:val="0"/>
              <w:rPr>
                <w:rFonts w:hint="default"/>
                <w:highlight w:val="none"/>
                <w:lang w:val="en-US" w:eastAsia="zh-CN"/>
              </w:rPr>
            </w:pPr>
          </w:p>
        </w:tc>
        <w:tc>
          <w:tcPr>
            <w:tcW w:w="2425" w:type="dxa"/>
            <w:vAlign w:val="center"/>
          </w:tcPr>
          <w:p w14:paraId="11BA65BB">
            <w:pPr>
              <w:pStyle w:val="58"/>
              <w:bidi w:val="0"/>
              <w:rPr>
                <w:rFonts w:hint="default"/>
                <w:highlight w:val="none"/>
                <w:lang w:val="en-US" w:eastAsia="zh-CN"/>
              </w:rPr>
            </w:pPr>
            <w:bookmarkStart w:id="134" w:name="OLE_LINK70"/>
            <w:r>
              <w:rPr>
                <w:rFonts w:hint="eastAsia"/>
                <w:highlight w:val="none"/>
                <w:lang w:val="en-US" w:eastAsia="zh-CN"/>
              </w:rPr>
              <w:t>0.146</w:t>
            </w:r>
            <w:bookmarkEnd w:id="134"/>
          </w:p>
        </w:tc>
      </w:tr>
      <w:tr w14:paraId="3D3466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26" w:hRule="atLeast"/>
        </w:trPr>
        <w:tc>
          <w:tcPr>
            <w:tcW w:w="1249" w:type="pct"/>
            <w:vAlign w:val="center"/>
          </w:tcPr>
          <w:p w14:paraId="6DEB7F54">
            <w:pPr>
              <w:pStyle w:val="58"/>
              <w:bidi w:val="0"/>
              <w:rPr>
                <w:rFonts w:hint="default"/>
                <w:highlight w:val="none"/>
                <w:lang w:val="en-US" w:eastAsia="zh-CN"/>
              </w:rPr>
            </w:pPr>
            <w:r>
              <w:rPr>
                <w:rFonts w:hint="eastAsia"/>
                <w:highlight w:val="none"/>
                <w:lang w:val="en-US" w:eastAsia="zh-CN"/>
              </w:rPr>
              <w:t>总磷（TP）</w:t>
            </w:r>
          </w:p>
        </w:tc>
        <w:tc>
          <w:tcPr>
            <w:tcW w:w="1249" w:type="pct"/>
            <w:vAlign w:val="center"/>
          </w:tcPr>
          <w:p w14:paraId="2E896347">
            <w:pPr>
              <w:pStyle w:val="58"/>
              <w:bidi w:val="0"/>
              <w:rPr>
                <w:rFonts w:hint="default"/>
                <w:highlight w:val="none"/>
                <w:lang w:val="en-US" w:eastAsia="zh-CN"/>
              </w:rPr>
            </w:pPr>
            <w:r>
              <w:rPr>
                <w:rFonts w:hint="eastAsia"/>
                <w:highlight w:val="none"/>
                <w:lang w:val="en-US" w:eastAsia="zh-CN"/>
              </w:rPr>
              <w:t>0.5</w:t>
            </w:r>
          </w:p>
        </w:tc>
        <w:tc>
          <w:tcPr>
            <w:tcW w:w="1250" w:type="pct"/>
            <w:vMerge w:val="continue"/>
            <w:vAlign w:val="center"/>
          </w:tcPr>
          <w:p w14:paraId="2A25F2C0">
            <w:pPr>
              <w:pStyle w:val="58"/>
              <w:bidi w:val="0"/>
              <w:rPr>
                <w:rFonts w:hint="default"/>
                <w:highlight w:val="none"/>
                <w:lang w:val="en-US" w:eastAsia="zh-CN"/>
              </w:rPr>
            </w:pPr>
          </w:p>
        </w:tc>
        <w:tc>
          <w:tcPr>
            <w:tcW w:w="2425" w:type="dxa"/>
            <w:vAlign w:val="center"/>
          </w:tcPr>
          <w:p w14:paraId="6229ED47">
            <w:pPr>
              <w:pStyle w:val="58"/>
              <w:bidi w:val="0"/>
              <w:rPr>
                <w:rFonts w:hint="default"/>
                <w:highlight w:val="none"/>
                <w:lang w:val="en-US" w:eastAsia="zh-CN"/>
              </w:rPr>
            </w:pPr>
            <w:bookmarkStart w:id="135" w:name="OLE_LINK71"/>
            <w:r>
              <w:rPr>
                <w:rFonts w:hint="eastAsia"/>
                <w:highlight w:val="none"/>
                <w:lang w:val="en-US" w:eastAsia="zh-CN"/>
              </w:rPr>
              <w:t>0.009</w:t>
            </w:r>
            <w:bookmarkEnd w:id="135"/>
          </w:p>
        </w:tc>
      </w:tr>
      <w:tr w14:paraId="5A24E2F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26" w:hRule="atLeast"/>
        </w:trPr>
        <w:tc>
          <w:tcPr>
            <w:tcW w:w="1249" w:type="pct"/>
            <w:vAlign w:val="center"/>
          </w:tcPr>
          <w:p w14:paraId="1D833525">
            <w:pPr>
              <w:pStyle w:val="58"/>
              <w:bidi w:val="0"/>
              <w:rPr>
                <w:rFonts w:hint="default"/>
                <w:highlight w:val="none"/>
                <w:lang w:val="en-US" w:eastAsia="zh-CN"/>
              </w:rPr>
            </w:pPr>
            <w:r>
              <w:rPr>
                <w:rFonts w:hint="eastAsia"/>
                <w:highlight w:val="none"/>
                <w:lang w:val="en-US" w:eastAsia="zh-CN"/>
              </w:rPr>
              <w:t>粪大肠菌群数</w:t>
            </w:r>
          </w:p>
        </w:tc>
        <w:tc>
          <w:tcPr>
            <w:tcW w:w="1249" w:type="pct"/>
            <w:vAlign w:val="center"/>
          </w:tcPr>
          <w:p w14:paraId="2EDD4E55">
            <w:pPr>
              <w:pStyle w:val="58"/>
              <w:bidi w:val="0"/>
              <w:rPr>
                <w:rFonts w:hint="default"/>
                <w:highlight w:val="none"/>
                <w:lang w:val="en-US" w:eastAsia="zh-CN"/>
              </w:rPr>
            </w:pPr>
            <w:r>
              <w:rPr>
                <w:rFonts w:hint="eastAsia"/>
                <w:highlight w:val="none"/>
                <w:lang w:val="en-US" w:eastAsia="zh-CN"/>
              </w:rPr>
              <w:t>≤10</w:t>
            </w:r>
            <w:r>
              <w:rPr>
                <w:rFonts w:hint="eastAsia"/>
                <w:highlight w:val="none"/>
                <w:vertAlign w:val="superscript"/>
                <w:lang w:val="en-US" w:eastAsia="zh-CN"/>
              </w:rPr>
              <w:t>3</w:t>
            </w:r>
          </w:p>
        </w:tc>
        <w:tc>
          <w:tcPr>
            <w:tcW w:w="1250" w:type="pct"/>
            <w:vMerge w:val="continue"/>
            <w:vAlign w:val="center"/>
          </w:tcPr>
          <w:p w14:paraId="7641136E">
            <w:pPr>
              <w:pStyle w:val="58"/>
              <w:bidi w:val="0"/>
              <w:rPr>
                <w:rFonts w:hint="default"/>
                <w:highlight w:val="none"/>
                <w:lang w:val="en-US" w:eastAsia="zh-CN"/>
              </w:rPr>
            </w:pPr>
          </w:p>
        </w:tc>
        <w:tc>
          <w:tcPr>
            <w:tcW w:w="1250" w:type="pct"/>
            <w:vAlign w:val="center"/>
          </w:tcPr>
          <w:p w14:paraId="385833A5">
            <w:pPr>
              <w:pStyle w:val="58"/>
              <w:bidi w:val="0"/>
              <w:rPr>
                <w:rFonts w:hint="default"/>
                <w:highlight w:val="none"/>
                <w:lang w:val="en-US" w:eastAsia="zh-CN"/>
              </w:rPr>
            </w:pPr>
            <w:r>
              <w:rPr>
                <w:rFonts w:hint="eastAsia"/>
                <w:highlight w:val="none"/>
                <w:lang w:val="en-US" w:eastAsia="zh-CN"/>
              </w:rPr>
              <w:t>／</w:t>
            </w:r>
          </w:p>
        </w:tc>
      </w:tr>
      <w:bookmarkEnd w:id="132"/>
    </w:tbl>
    <w:p w14:paraId="2B941932">
      <w:pPr>
        <w:keepNext w:val="0"/>
        <w:keepLines w:val="0"/>
        <w:pageBreakBefore w:val="0"/>
        <w:widowControl w:val="0"/>
        <w:kinsoku/>
        <w:wordWrap/>
        <w:overflowPunct/>
        <w:topLinePunct w:val="0"/>
        <w:autoSpaceDE/>
        <w:autoSpaceDN/>
        <w:bidi w:val="0"/>
        <w:adjustRightInd/>
        <w:snapToGrid/>
        <w:spacing w:line="480" w:lineRule="exact"/>
        <w:ind w:firstLine="524" w:firstLineChars="200"/>
        <w:textAlignment w:val="auto"/>
        <w:outlineLvl w:val="9"/>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注：氨氮指标中，括号外数值为水温＞12℃时的控制指标，括号内数值为水温≤12℃时的控制指标。</w:t>
      </w:r>
      <w:r>
        <w:rPr>
          <w:rFonts w:hint="eastAsia" w:ascii="Times New Roman" w:hAnsi="Times New Roman" w:eastAsia="宋体" w:cs="Times New Roman"/>
          <w:color w:val="000000" w:themeColor="text1"/>
          <w:spacing w:val="11"/>
          <w:sz w:val="24"/>
          <w:szCs w:val="24"/>
          <w:highlight w:val="none"/>
          <w:lang w:val="en-US" w:eastAsia="zh-CN"/>
          <w14:textFill>
            <w14:solidFill>
              <w14:schemeClr w14:val="tx1"/>
            </w14:solidFill>
          </w14:textFill>
        </w:rPr>
        <w:t>此次按8mg/L进行计算。</w:t>
      </w:r>
    </w:p>
    <w:p w14:paraId="38BCC3FF">
      <w:pPr>
        <w:rPr>
          <w:rFonts w:hint="default"/>
          <w:highlight w:val="none"/>
          <w:lang w:val="en-US" w:eastAsia="zh-CN"/>
        </w:rPr>
      </w:pPr>
      <w:r>
        <w:rPr>
          <w:rFonts w:hint="eastAsia"/>
          <w:highlight w:val="none"/>
          <w:lang w:val="en-US" w:eastAsia="zh-CN"/>
        </w:rPr>
        <w:t>（2）</w:t>
      </w:r>
      <w:r>
        <w:rPr>
          <w:rFonts w:hint="default"/>
          <w:highlight w:val="none"/>
          <w:lang w:val="en-US" w:eastAsia="zh-CN"/>
        </w:rPr>
        <w:t>废气</w:t>
      </w:r>
    </w:p>
    <w:p w14:paraId="6D0620FD">
      <w:pPr>
        <w:rPr>
          <w:rFonts w:hint="default"/>
          <w:highlight w:val="none"/>
          <w:lang w:val="en-US" w:eastAsia="zh-CN"/>
        </w:rPr>
      </w:pPr>
      <w:r>
        <w:rPr>
          <w:rFonts w:hint="default"/>
          <w:highlight w:val="none"/>
          <w:lang w:val="en-US" w:eastAsia="zh-CN"/>
        </w:rPr>
        <w:t>在污水处理各工艺单元产生的恶臭气体，本项目中产生恶臭气体的单元主要有</w:t>
      </w:r>
      <w:r>
        <w:rPr>
          <w:rFonts w:hint="eastAsia"/>
          <w:highlight w:val="none"/>
          <w:lang w:val="en-US" w:eastAsia="zh-CN"/>
        </w:rPr>
        <w:t>格栅池</w:t>
      </w:r>
      <w:r>
        <w:rPr>
          <w:rFonts w:hint="default"/>
          <w:highlight w:val="none"/>
          <w:lang w:val="en-US" w:eastAsia="zh-CN"/>
        </w:rPr>
        <w:t>、集水池、MMBR膜一体化污水处理器等，其主要成分为氨、硫化氢及臭气浓度等。</w:t>
      </w:r>
    </w:p>
    <w:p w14:paraId="5522E1F9">
      <w:pPr>
        <w:rPr>
          <w:rFonts w:hint="default"/>
          <w:highlight w:val="none"/>
          <w:lang w:val="en-US" w:eastAsia="zh-CN"/>
        </w:rPr>
      </w:pPr>
      <w:r>
        <w:rPr>
          <w:rFonts w:hint="default"/>
          <w:highlight w:val="none"/>
          <w:lang w:val="en-US" w:eastAsia="zh-CN"/>
        </w:rPr>
        <w:t>类比同规模同类项目，</w:t>
      </w:r>
      <w:r>
        <w:rPr>
          <w:rFonts w:hint="eastAsia"/>
          <w:highlight w:val="none"/>
          <w:lang w:val="en-US" w:eastAsia="zh-CN"/>
        </w:rPr>
        <w:t>现有工程氨、硫化氢产生量分别为0.03t/a和0.02t/a，污水处理及污泥处理过程产生的臭气经加盖处理、加强密闭（效率60%），则氨、硫化氢排放量为0.012t/a和0.008t/a。现有工程厂界</w:t>
      </w:r>
      <w:r>
        <w:rPr>
          <w:rFonts w:hint="default"/>
          <w:highlight w:val="none"/>
          <w:lang w:val="en-US" w:eastAsia="zh-CN"/>
        </w:rPr>
        <w:t>可以达标，厂界处恶臭污染物最大值分别为：氨0.16mg/</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，硫化氢0.004mg/</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，臭气浓度14（无量纲），甲烷最大体积浓度0.00027%</w:t>
      </w:r>
      <w:r>
        <w:rPr>
          <w:rFonts w:hint="eastAsia"/>
          <w:highlight w:val="none"/>
          <w:lang w:val="en-US" w:eastAsia="zh-CN"/>
        </w:rPr>
        <w:t>。</w:t>
      </w:r>
      <w:r>
        <w:rPr>
          <w:rFonts w:hint="default"/>
          <w:highlight w:val="none"/>
          <w:lang w:val="en-US" w:eastAsia="zh-CN"/>
        </w:rPr>
        <w:t>氨、硫化氢、臭气浓度、甲烷排放浓度均满足《城镇污水处理厂污染物排放标准》(GB18918-2002)表4二级标准：氨1.5mg/</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，硫化氢：0.06mg/</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，臭气浓度20（无量纲），甲烷厂区最高体积浓度1%。</w:t>
      </w:r>
    </w:p>
    <w:p w14:paraId="783301A7">
      <w:pPr>
        <w:rPr>
          <w:rFonts w:hint="default"/>
          <w:highlight w:val="none"/>
          <w:lang w:val="en-US" w:eastAsia="zh-CN"/>
        </w:rPr>
      </w:pPr>
      <w:r>
        <w:rPr>
          <w:rFonts w:hint="eastAsia"/>
          <w:highlight w:val="none"/>
          <w:lang w:val="en-US" w:eastAsia="zh-CN"/>
        </w:rPr>
        <w:t>（3）</w:t>
      </w:r>
      <w:r>
        <w:rPr>
          <w:rFonts w:hint="default"/>
          <w:highlight w:val="none"/>
          <w:lang w:val="en-US" w:eastAsia="zh-CN"/>
        </w:rPr>
        <w:t>噪声</w:t>
      </w:r>
    </w:p>
    <w:p w14:paraId="645BE9CA">
      <w:pPr>
        <w:rPr>
          <w:rFonts w:hint="default"/>
          <w:highlight w:val="none"/>
          <w:lang w:val="en-US" w:eastAsia="zh-CN"/>
        </w:rPr>
      </w:pPr>
      <w:r>
        <w:rPr>
          <w:rFonts w:hint="default"/>
          <w:highlight w:val="none"/>
          <w:lang w:val="en-US" w:eastAsia="zh-CN"/>
        </w:rPr>
        <w:t>主要为各种泵类运行产生的噪声</w:t>
      </w:r>
      <w:r>
        <w:rPr>
          <w:rFonts w:hint="eastAsia"/>
          <w:highlight w:val="none"/>
          <w:lang w:val="en-US" w:eastAsia="zh-CN"/>
        </w:rPr>
        <w:t>，各种</w:t>
      </w:r>
      <w:r>
        <w:rPr>
          <w:rFonts w:hint="default"/>
          <w:highlight w:val="none"/>
          <w:lang w:val="en-US" w:eastAsia="zh-CN"/>
        </w:rPr>
        <w:t>泵类采取基础减振</w:t>
      </w:r>
      <w:r>
        <w:rPr>
          <w:rFonts w:hint="eastAsia"/>
          <w:highlight w:val="none"/>
          <w:lang w:val="en-US" w:eastAsia="zh-CN"/>
        </w:rPr>
        <w:t>且布置于</w:t>
      </w:r>
      <w:r>
        <w:rPr>
          <w:rFonts w:hint="default"/>
          <w:highlight w:val="none"/>
          <w:lang w:val="en-US" w:eastAsia="zh-CN"/>
        </w:rPr>
        <w:t>地下。</w:t>
      </w:r>
      <w:r>
        <w:rPr>
          <w:rFonts w:hint="eastAsia"/>
          <w:highlight w:val="none"/>
          <w:lang w:val="en-US" w:eastAsia="zh-CN"/>
        </w:rPr>
        <w:t>类比同规模同类项目，厂界噪声可以满足3类标准限值。</w:t>
      </w:r>
    </w:p>
    <w:p w14:paraId="57E66CF9">
      <w:pPr>
        <w:rPr>
          <w:rFonts w:hint="default"/>
          <w:highlight w:val="none"/>
          <w:lang w:val="en-US" w:eastAsia="zh-CN"/>
        </w:rPr>
      </w:pPr>
      <w:r>
        <w:rPr>
          <w:rFonts w:hint="eastAsia"/>
          <w:highlight w:val="none"/>
          <w:lang w:val="en-US" w:eastAsia="zh-CN"/>
        </w:rPr>
        <w:t>（4）</w:t>
      </w:r>
      <w:r>
        <w:rPr>
          <w:rFonts w:hint="default"/>
          <w:highlight w:val="none"/>
          <w:lang w:val="en-US" w:eastAsia="zh-CN"/>
        </w:rPr>
        <w:t>固废</w:t>
      </w:r>
    </w:p>
    <w:p w14:paraId="573181DC">
      <w:pPr>
        <w:rPr>
          <w:rFonts w:hint="default"/>
          <w:highlight w:val="none"/>
          <w:lang w:val="en-US" w:eastAsia="zh-CN"/>
        </w:rPr>
      </w:pPr>
      <w:r>
        <w:rPr>
          <w:rFonts w:hint="default"/>
          <w:highlight w:val="none"/>
          <w:lang w:val="en-US" w:eastAsia="zh-CN"/>
        </w:rPr>
        <w:t>栅渣、污水处理站污泥等。栅渣交由环卫工人定期清运。本工艺污泥循环利用，产生量极少，目前没有处理过。</w:t>
      </w:r>
      <w:r>
        <w:rPr>
          <w:rFonts w:hint="eastAsia"/>
          <w:highlight w:val="none"/>
          <w:lang w:val="en-US" w:eastAsia="zh-CN"/>
        </w:rPr>
        <w:t>由于本项目规模小，设备布局紧凑，自动化程度高，无其他固废产生。</w:t>
      </w:r>
    </w:p>
    <w:p w14:paraId="2715E5E3">
      <w:pPr>
        <w:rPr>
          <w:rFonts w:hint="default"/>
          <w:highlight w:val="none"/>
          <w:lang w:val="en-US" w:eastAsia="zh-CN"/>
        </w:rPr>
      </w:pPr>
      <w:r>
        <w:rPr>
          <w:rFonts w:hint="eastAsia"/>
          <w:highlight w:val="none"/>
          <w:lang w:val="en-US" w:eastAsia="zh-CN"/>
        </w:rPr>
        <w:t>（5）</w:t>
      </w:r>
      <w:r>
        <w:rPr>
          <w:rFonts w:hint="default"/>
          <w:highlight w:val="none"/>
          <w:lang w:val="en-US" w:eastAsia="zh-CN"/>
        </w:rPr>
        <w:t>防渗措施</w:t>
      </w:r>
    </w:p>
    <w:p w14:paraId="3B7139FE">
      <w:pPr>
        <w:rPr>
          <w:rFonts w:hint="default"/>
          <w:highlight w:val="none"/>
          <w:lang w:val="en-US" w:eastAsia="zh-CN"/>
        </w:rPr>
      </w:pPr>
      <w:r>
        <w:rPr>
          <w:rFonts w:hint="default"/>
          <w:highlight w:val="none"/>
          <w:lang w:val="en-US" w:eastAsia="zh-CN"/>
        </w:rPr>
        <w:t>各个水池</w:t>
      </w:r>
      <w:r>
        <w:rPr>
          <w:rFonts w:hint="eastAsia"/>
          <w:highlight w:val="none"/>
          <w:lang w:val="en-US" w:eastAsia="zh-CN"/>
        </w:rPr>
        <w:t>内</w:t>
      </w:r>
      <w:r>
        <w:rPr>
          <w:rFonts w:hint="default"/>
          <w:highlight w:val="none"/>
          <w:lang w:val="en-US" w:eastAsia="zh-CN"/>
        </w:rPr>
        <w:t>采用防渗混凝土浇筑，上覆HDPE膜，最后用防渗水泥砂浆涂覆，防渗系数满足K≤1.0×10</w:t>
      </w:r>
      <w:r>
        <w:rPr>
          <w:rFonts w:hint="default"/>
          <w:highlight w:val="none"/>
          <w:vertAlign w:val="superscript"/>
          <w:lang w:val="en-US" w:eastAsia="zh-CN"/>
        </w:rPr>
        <w:t>-7</w:t>
      </w:r>
      <w:r>
        <w:rPr>
          <w:rFonts w:hint="default"/>
          <w:highlight w:val="none"/>
          <w:lang w:val="en-US" w:eastAsia="zh-CN"/>
        </w:rPr>
        <w:t>cm/s。</w:t>
      </w:r>
    </w:p>
    <w:p w14:paraId="2BDFB90B">
      <w:pPr>
        <w:rPr>
          <w:rFonts w:hint="default"/>
          <w:highlight w:val="none"/>
          <w:lang w:val="en-US" w:eastAsia="zh-CN"/>
        </w:rPr>
      </w:pPr>
      <w:r>
        <w:rPr>
          <w:rFonts w:hint="eastAsia"/>
          <w:highlight w:val="none"/>
          <w:lang w:val="en-US" w:eastAsia="zh-CN"/>
        </w:rPr>
        <w:t>（6）</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现有工程环境风险防范措施落实情况</w:t>
      </w:r>
    </w:p>
    <w:p w14:paraId="1EC6CF03">
      <w:pPr>
        <w:rPr>
          <w:rFonts w:hint="default"/>
          <w:highlight w:val="none"/>
          <w:lang w:val="en-US" w:eastAsia="zh-CN"/>
        </w:rPr>
      </w:pPr>
      <w:r>
        <w:rPr>
          <w:rFonts w:hint="eastAsia"/>
          <w:highlight w:val="none"/>
          <w:lang w:val="en-US" w:eastAsia="zh-CN"/>
        </w:rPr>
        <w:t>涉及的药品随买随用，减少在厂区存放数量和时间。桶装次氯酸钠液体等存放彩钢房内专用区域，底部设置集水槽，地面采用抗渗混凝土按一般防渗要求做好防渗措施。</w:t>
      </w:r>
    </w:p>
    <w:p w14:paraId="36A356CD">
      <w:pPr>
        <w:rPr>
          <w:rFonts w:hint="default"/>
          <w:highlight w:val="none"/>
          <w:lang w:val="en-US" w:eastAsia="zh-CN"/>
        </w:rPr>
      </w:pPr>
      <w:r>
        <w:rPr>
          <w:rFonts w:hint="eastAsia"/>
          <w:highlight w:val="none"/>
          <w:lang w:val="en-US" w:eastAsia="zh-CN"/>
        </w:rPr>
        <w:t>（7）</w:t>
      </w:r>
      <w:r>
        <w:rPr>
          <w:rFonts w:hint="default"/>
          <w:highlight w:val="none"/>
          <w:lang w:val="en-US" w:eastAsia="zh-CN"/>
        </w:rPr>
        <w:t>现有工程存在的环保问题</w:t>
      </w:r>
    </w:p>
    <w:p w14:paraId="0D07B475">
      <w:pPr>
        <w:rPr>
          <w:rFonts w:hint="default"/>
          <w:b/>
          <w:bCs/>
          <w:highlight w:val="none"/>
          <w:lang w:val="en-US" w:eastAsia="zh-CN"/>
        </w:rPr>
      </w:pPr>
      <w:r>
        <w:rPr>
          <w:rFonts w:hint="default"/>
          <w:b/>
          <w:bCs/>
          <w:highlight w:val="none"/>
          <w:lang w:val="en-US" w:eastAsia="zh-CN"/>
        </w:rPr>
        <w:t>存在问题：</w:t>
      </w:r>
    </w:p>
    <w:p w14:paraId="4CB6B0E9">
      <w:pPr>
        <w:rPr>
          <w:rFonts w:hint="default"/>
          <w:highlight w:val="none"/>
          <w:lang w:val="en-US" w:eastAsia="zh-CN"/>
        </w:rPr>
      </w:pPr>
      <w:r>
        <w:rPr>
          <w:rFonts w:hint="default"/>
          <w:highlight w:val="none"/>
          <w:lang w:val="en-US" w:eastAsia="zh-CN"/>
        </w:rPr>
        <w:t>①未按自行监测计划进行监测。</w:t>
      </w:r>
    </w:p>
    <w:p w14:paraId="10D4659B">
      <w:pPr>
        <w:rPr>
          <w:rFonts w:hint="default"/>
          <w:highlight w:val="none"/>
          <w:lang w:val="en-US" w:eastAsia="zh-CN"/>
        </w:rPr>
      </w:pPr>
      <w:r>
        <w:rPr>
          <w:rFonts w:hint="default"/>
          <w:highlight w:val="none"/>
          <w:lang w:val="en-US" w:eastAsia="zh-CN"/>
        </w:rPr>
        <w:t>②未设置危废暂存间。</w:t>
      </w:r>
    </w:p>
    <w:p w14:paraId="26D20174">
      <w:pPr>
        <w:rPr>
          <w:rFonts w:hint="default"/>
          <w:highlight w:val="none"/>
          <w:lang w:val="en-US" w:eastAsia="zh-CN"/>
        </w:rPr>
      </w:pPr>
      <w:r>
        <w:rPr>
          <w:rFonts w:hint="default"/>
          <w:highlight w:val="none"/>
          <w:lang w:val="en-US" w:eastAsia="zh-CN"/>
        </w:rPr>
        <w:t>③污泥未进行</w:t>
      </w:r>
      <w:r>
        <w:rPr>
          <w:rFonts w:hint="eastAsia"/>
          <w:highlight w:val="none"/>
          <w:lang w:val="en-US" w:eastAsia="zh-CN"/>
        </w:rPr>
        <w:t>压滤</w:t>
      </w:r>
      <w:r>
        <w:rPr>
          <w:rFonts w:hint="default"/>
          <w:highlight w:val="none"/>
          <w:lang w:val="en-US" w:eastAsia="zh-CN"/>
        </w:rPr>
        <w:t>处理。</w:t>
      </w:r>
    </w:p>
    <w:p w14:paraId="4A09F27A">
      <w:pPr>
        <w:pStyle w:val="63"/>
        <w:rPr>
          <w:rFonts w:hint="eastAsia"/>
          <w:highlight w:val="none"/>
          <w:lang w:val="en-US" w:eastAsia="zh-CN"/>
        </w:rPr>
      </w:pPr>
      <w:r>
        <w:rPr>
          <w:rFonts w:hint="eastAsia" w:ascii="微软雅黑" w:hAnsi="微软雅黑" w:eastAsia="微软雅黑" w:cs="微软雅黑"/>
          <w:highlight w:val="none"/>
          <w:lang w:val="en-US" w:eastAsia="zh-CN"/>
        </w:rPr>
        <w:t>④</w:t>
      </w:r>
      <w:r>
        <w:rPr>
          <w:rFonts w:hint="eastAsia"/>
          <w:highlight w:val="none"/>
          <w:lang w:val="en-US" w:eastAsia="zh-CN"/>
        </w:rPr>
        <w:t>未设置地下水监控井，未开展地下水自行监测。</w:t>
      </w:r>
    </w:p>
    <w:p w14:paraId="3AAE985D">
      <w:pPr>
        <w:rPr>
          <w:rFonts w:hint="default"/>
          <w:highlight w:val="none"/>
          <w:lang w:val="en-US" w:eastAsia="zh-CN"/>
        </w:rPr>
      </w:pPr>
      <w:r>
        <w:rPr>
          <w:rFonts w:hint="eastAsia" w:ascii="微软雅黑" w:hAnsi="微软雅黑" w:eastAsia="微软雅黑" w:cs="微软雅黑"/>
          <w:highlight w:val="none"/>
          <w:lang w:val="en-US" w:eastAsia="zh-CN"/>
        </w:rPr>
        <w:t>⑤</w:t>
      </w:r>
      <w:r>
        <w:rPr>
          <w:rFonts w:hint="eastAsia"/>
          <w:highlight w:val="none"/>
          <w:lang w:val="en-US" w:eastAsia="zh-CN"/>
        </w:rPr>
        <w:t>未设置实验室。</w:t>
      </w:r>
    </w:p>
    <w:p w14:paraId="7EF65DF9">
      <w:pPr>
        <w:keepNext w:val="0"/>
        <w:keepLines w:val="0"/>
        <w:pageBreakBefore w:val="0"/>
        <w:widowControl w:val="0"/>
        <w:kinsoku/>
        <w:wordWrap/>
        <w:overflowPunct/>
        <w:topLinePunct w:val="0"/>
        <w:autoSpaceDE/>
        <w:autoSpaceDN/>
        <w:bidi w:val="0"/>
        <w:adjustRightInd/>
        <w:snapToGrid/>
        <w:spacing w:line="480" w:lineRule="exact"/>
        <w:ind w:firstLine="526" w:firstLineChars="200"/>
        <w:textAlignment w:val="auto"/>
        <w:outlineLvl w:val="9"/>
        <w:rPr>
          <w:rFonts w:hint="default" w:ascii="Times New Roman" w:hAnsi="Times New Roman" w:eastAsia="宋体" w:cs="Times New Roman"/>
          <w:b/>
          <w:bCs/>
          <w:color w:val="000000" w:themeColor="text1"/>
          <w:spacing w:val="11"/>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pacing w:val="11"/>
          <w:sz w:val="24"/>
          <w:szCs w:val="24"/>
          <w:highlight w:val="none"/>
          <w:lang w:val="en-US" w:eastAsia="zh-CN"/>
          <w14:textFill>
            <w14:solidFill>
              <w14:schemeClr w14:val="tx1"/>
            </w14:solidFill>
          </w14:textFill>
        </w:rPr>
        <w:t>整改措施：</w:t>
      </w:r>
    </w:p>
    <w:p w14:paraId="0B4AFCF5">
      <w:pPr>
        <w:rPr>
          <w:rFonts w:hint="default"/>
          <w:highlight w:val="none"/>
          <w:lang w:val="en-US" w:eastAsia="zh-CN"/>
        </w:rPr>
      </w:pPr>
      <w:r>
        <w:rPr>
          <w:rFonts w:hint="default"/>
          <w:highlight w:val="none"/>
          <w:lang w:val="en-US" w:eastAsia="zh-CN"/>
        </w:rPr>
        <w:t>①制定自行监测计划并按要求进行自行监测。</w:t>
      </w:r>
    </w:p>
    <w:p w14:paraId="7F5C1B2F">
      <w:pPr>
        <w:rPr>
          <w:rFonts w:hint="default"/>
          <w:highlight w:val="none"/>
          <w:lang w:val="en-US" w:eastAsia="zh-CN"/>
        </w:rPr>
      </w:pPr>
      <w:r>
        <w:rPr>
          <w:rFonts w:hint="default"/>
          <w:highlight w:val="none"/>
          <w:lang w:val="en-US" w:eastAsia="zh-CN"/>
        </w:rPr>
        <w:t>②设置危废暂存间。</w:t>
      </w:r>
    </w:p>
    <w:p w14:paraId="2ED0DB09">
      <w:pPr>
        <w:rPr>
          <w:rFonts w:hint="default"/>
          <w:highlight w:val="none"/>
          <w:lang w:val="en-US" w:eastAsia="zh-CN"/>
        </w:rPr>
      </w:pPr>
      <w:r>
        <w:rPr>
          <w:rFonts w:hint="default"/>
          <w:highlight w:val="none"/>
          <w:lang w:val="en-US" w:eastAsia="zh-CN"/>
        </w:rPr>
        <w:t>③现有工程污泥与扩建</w:t>
      </w:r>
      <w:r>
        <w:rPr>
          <w:rFonts w:hint="eastAsia"/>
          <w:highlight w:val="none"/>
          <w:lang w:val="en-US" w:eastAsia="zh-CN"/>
        </w:rPr>
        <w:t>工程</w:t>
      </w:r>
      <w:r>
        <w:rPr>
          <w:rFonts w:hint="default"/>
          <w:highlight w:val="none"/>
          <w:lang w:val="en-US" w:eastAsia="zh-CN"/>
        </w:rPr>
        <w:t>污泥一同进行</w:t>
      </w:r>
      <w:r>
        <w:rPr>
          <w:rFonts w:hint="eastAsia"/>
          <w:highlight w:val="none"/>
          <w:lang w:val="en-US" w:eastAsia="zh-CN"/>
        </w:rPr>
        <w:t>脱水</w:t>
      </w:r>
      <w:r>
        <w:rPr>
          <w:rFonts w:hint="default"/>
          <w:highlight w:val="none"/>
          <w:lang w:val="en-US" w:eastAsia="zh-CN"/>
        </w:rPr>
        <w:t>处理</w:t>
      </w:r>
      <w:r>
        <w:rPr>
          <w:rFonts w:hint="eastAsia"/>
          <w:highlight w:val="none"/>
          <w:lang w:val="en-US" w:eastAsia="zh-CN"/>
        </w:rPr>
        <w:t>后委托水泥厂进行协同处置</w:t>
      </w:r>
      <w:r>
        <w:rPr>
          <w:rFonts w:hint="default"/>
          <w:highlight w:val="none"/>
          <w:lang w:val="en-US" w:eastAsia="zh-CN"/>
        </w:rPr>
        <w:t>。</w:t>
      </w:r>
    </w:p>
    <w:p w14:paraId="7CCF65DC">
      <w:pPr>
        <w:rPr>
          <w:rFonts w:hint="eastAsia"/>
          <w:highlight w:val="none"/>
          <w:lang w:val="en-US" w:eastAsia="zh-CN"/>
        </w:rPr>
      </w:pPr>
      <w:r>
        <w:rPr>
          <w:rFonts w:hint="eastAsia"/>
          <w:highlight w:val="none"/>
          <w:lang w:val="en-US" w:eastAsia="zh-CN"/>
        </w:rPr>
        <w:t>④参考《环境影响评价技术导则 地下水环境》（HJ610-2016）、《地下水环境监测技术规范》(HJ/T164-2020)，设置地下水监控井，结合扩建项目环评要求，定期进行地下水跟踪监测。</w:t>
      </w:r>
    </w:p>
    <w:p w14:paraId="590FC383">
      <w:pPr>
        <w:rPr>
          <w:rFonts w:hint="default"/>
          <w:highlight w:val="none"/>
          <w:lang w:val="en-US" w:eastAsia="zh-CN"/>
        </w:rPr>
      </w:pPr>
      <w:r>
        <w:rPr>
          <w:rFonts w:hint="eastAsia"/>
          <w:highlight w:val="none"/>
          <w:lang w:val="en-US" w:eastAsia="zh-CN"/>
        </w:rPr>
        <w:t>⑤设置实验室，项目运行过程中加强管理。</w:t>
      </w:r>
    </w:p>
    <w:p w14:paraId="4B14FB8F">
      <w:pPr>
        <w:pStyle w:val="7"/>
        <w:bidi w:val="0"/>
        <w:rPr>
          <w:rFonts w:hint="default"/>
          <w:highlight w:val="none"/>
        </w:rPr>
      </w:pPr>
      <w:bookmarkStart w:id="136" w:name="_Toc30914"/>
      <w:r>
        <w:rPr>
          <w:rFonts w:hint="default"/>
          <w:highlight w:val="none"/>
        </w:rPr>
        <w:t>3.</w:t>
      </w:r>
      <w:r>
        <w:rPr>
          <w:rFonts w:hint="default"/>
          <w:highlight w:val="none"/>
          <w:lang w:val="en-US" w:eastAsia="zh-CN"/>
        </w:rPr>
        <w:t>2本项目工程</w:t>
      </w:r>
      <w:r>
        <w:rPr>
          <w:rFonts w:hint="default"/>
          <w:highlight w:val="none"/>
        </w:rPr>
        <w:t>概况</w:t>
      </w:r>
      <w:bookmarkEnd w:id="122"/>
      <w:bookmarkEnd w:id="136"/>
    </w:p>
    <w:p w14:paraId="5737B8F3">
      <w:pPr>
        <w:rPr>
          <w:rFonts w:hint="default"/>
          <w:highlight w:val="none"/>
          <w:lang w:val="en-US" w:eastAsia="zh-CN"/>
        </w:rPr>
      </w:pPr>
      <w:r>
        <w:rPr>
          <w:rFonts w:hint="default"/>
          <w:highlight w:val="none"/>
          <w:lang w:val="en-US" w:eastAsia="zh-CN"/>
        </w:rPr>
        <w:t>⑴项目名称：唐山市曹妃甸区垦丰家居产业园区新建污水处理厂工程。</w:t>
      </w:r>
    </w:p>
    <w:p w14:paraId="78D1D2E4">
      <w:pPr>
        <w:rPr>
          <w:rFonts w:hint="default"/>
          <w:highlight w:val="none"/>
          <w:lang w:val="en-US" w:eastAsia="zh-CN"/>
        </w:rPr>
      </w:pPr>
      <w:r>
        <w:rPr>
          <w:rFonts w:hint="default"/>
          <w:highlight w:val="none"/>
          <w:lang w:val="en-US" w:eastAsia="zh-CN"/>
        </w:rPr>
        <w:t>⑵建设单位：唐山市曹妃甸区第十一农场。</w:t>
      </w:r>
    </w:p>
    <w:p w14:paraId="40138AB8">
      <w:pPr>
        <w:rPr>
          <w:rFonts w:hint="default"/>
          <w:highlight w:val="none"/>
          <w:lang w:val="en-US" w:eastAsia="zh-CN"/>
        </w:rPr>
      </w:pPr>
      <w:r>
        <w:rPr>
          <w:rFonts w:hint="default"/>
          <w:highlight w:val="none"/>
          <w:lang w:val="en-US" w:eastAsia="zh-CN"/>
        </w:rPr>
        <w:t>⑶建设地点：本项目建设地点</w:t>
      </w:r>
      <w:r>
        <w:rPr>
          <w:rFonts w:hint="eastAsia"/>
          <w:highlight w:val="none"/>
          <w:lang w:val="en-US" w:eastAsia="zh-CN"/>
        </w:rPr>
        <w:t>在曹妃甸区垦丰家居产业园区污水处理厂内，厂区具体位置</w:t>
      </w:r>
      <w:r>
        <w:rPr>
          <w:rFonts w:hint="default"/>
          <w:highlight w:val="none"/>
          <w:lang w:val="en-US" w:eastAsia="zh-CN"/>
        </w:rPr>
        <w:t>为曹妃甸区垦丰家居产业园区经三路西侧、纬二道北侧。厂区东侧隔经三路为</w:t>
      </w:r>
      <w:r>
        <w:rPr>
          <w:rFonts w:hint="eastAsia"/>
          <w:highlight w:val="none"/>
          <w:lang w:val="en-US" w:eastAsia="zh-CN"/>
        </w:rPr>
        <w:t>金木美佳（唐山）科技有限公司</w:t>
      </w:r>
      <w:r>
        <w:rPr>
          <w:rFonts w:hint="default"/>
          <w:highlight w:val="none"/>
          <w:lang w:val="en-US" w:eastAsia="zh-CN"/>
        </w:rPr>
        <w:t>，南侧为</w:t>
      </w:r>
      <w:r>
        <w:rPr>
          <w:rFonts w:hint="eastAsia"/>
          <w:highlight w:val="none"/>
          <w:lang w:val="en-US" w:eastAsia="zh-CN"/>
        </w:rPr>
        <w:t>唐山市海鹭家具有限公司</w:t>
      </w:r>
      <w:r>
        <w:rPr>
          <w:rFonts w:hint="default"/>
          <w:highlight w:val="none"/>
          <w:lang w:val="en-US" w:eastAsia="zh-CN"/>
        </w:rPr>
        <w:t>，西北侧为十一农场沟渠，中心坐标为：北纬39°15′58.796″，东经118°16′2.316″。地理位置见附图1。</w:t>
      </w:r>
    </w:p>
    <w:p w14:paraId="11DF8142">
      <w:pPr>
        <w:rPr>
          <w:rFonts w:hint="default"/>
          <w:highlight w:val="none"/>
          <w:lang w:val="en-US" w:eastAsia="zh-CN"/>
        </w:rPr>
      </w:pPr>
      <w:r>
        <w:rPr>
          <w:rFonts w:hint="default"/>
          <w:highlight w:val="none"/>
          <w:lang w:val="en-US" w:eastAsia="zh-CN"/>
        </w:rPr>
        <w:t>⑷占地面积：11100</w:t>
      </w:r>
      <w:r>
        <w:rPr>
          <w:rFonts w:hint="eastAsia"/>
          <w:highlight w:val="none"/>
          <w:lang w:val="en-US" w:eastAsia="zh-CN"/>
        </w:rPr>
        <w:t>m</w:t>
      </w:r>
      <w:r>
        <w:rPr>
          <w:rFonts w:hint="default"/>
          <w:highlight w:val="none"/>
          <w:vertAlign w:val="superscript"/>
          <w:lang w:val="en-US" w:eastAsia="zh-CN"/>
        </w:rPr>
        <w:t>2</w:t>
      </w:r>
      <w:r>
        <w:rPr>
          <w:rFonts w:hint="default"/>
          <w:highlight w:val="none"/>
          <w:lang w:val="en-US" w:eastAsia="zh-CN"/>
        </w:rPr>
        <w:t>。</w:t>
      </w:r>
    </w:p>
    <w:p w14:paraId="7B3F65D1">
      <w:pPr>
        <w:rPr>
          <w:rFonts w:hint="default"/>
          <w:highlight w:val="none"/>
          <w:lang w:val="en-US" w:eastAsia="zh-CN"/>
        </w:rPr>
      </w:pPr>
      <w:r>
        <w:rPr>
          <w:rFonts w:hint="default"/>
          <w:highlight w:val="none"/>
          <w:lang w:val="en-US" w:eastAsia="zh-CN"/>
        </w:rPr>
        <w:t>⑸建设性质：扩建。</w:t>
      </w:r>
    </w:p>
    <w:p w14:paraId="18E225B4">
      <w:pPr>
        <w:rPr>
          <w:rFonts w:hint="default"/>
          <w:highlight w:val="none"/>
          <w:lang w:val="en-US" w:eastAsia="zh-CN"/>
        </w:rPr>
      </w:pPr>
      <w:r>
        <w:rPr>
          <w:rFonts w:hint="default"/>
          <w:highlight w:val="none"/>
          <w:lang w:val="en-US" w:eastAsia="zh-CN"/>
        </w:rPr>
        <w:t>⑹劳动定员及工作制度：本项目新增劳动定员</w:t>
      </w:r>
      <w:r>
        <w:rPr>
          <w:rFonts w:hint="eastAsia"/>
          <w:highlight w:val="none"/>
          <w:lang w:val="en-US" w:eastAsia="zh-CN"/>
        </w:rPr>
        <w:t>2人</w:t>
      </w:r>
      <w:r>
        <w:rPr>
          <w:rFonts w:hint="default"/>
          <w:highlight w:val="none"/>
          <w:lang w:val="en-US" w:eastAsia="zh-CN"/>
        </w:rPr>
        <w:t>。年工作365天，</w:t>
      </w:r>
      <w:r>
        <w:rPr>
          <w:rFonts w:hint="eastAsia"/>
          <w:highlight w:val="none"/>
          <w:lang w:val="en-US" w:eastAsia="zh-CN"/>
        </w:rPr>
        <w:t>污水处理厂</w:t>
      </w:r>
      <w:r>
        <w:rPr>
          <w:rFonts w:hint="default"/>
          <w:highlight w:val="none"/>
          <w:lang w:val="en-US" w:eastAsia="zh-CN"/>
        </w:rPr>
        <w:t>每日24h运行。</w:t>
      </w:r>
    </w:p>
    <w:p w14:paraId="26B47488">
      <w:pPr>
        <w:rPr>
          <w:rFonts w:hint="default"/>
          <w:highlight w:val="none"/>
          <w:lang w:val="en-US" w:eastAsia="zh-CN"/>
        </w:rPr>
      </w:pPr>
      <w:r>
        <w:rPr>
          <w:rFonts w:hint="default"/>
          <w:highlight w:val="none"/>
          <w:lang w:val="en-US" w:eastAsia="zh-CN"/>
        </w:rPr>
        <w:t>⑺污水处理工艺：扩建污水处理主体工艺采用“格栅+调节池+</w:t>
      </w:r>
      <w:r>
        <w:rPr>
          <w:rFonts w:hint="eastAsia"/>
          <w:highlight w:val="none"/>
          <w:lang w:val="en-US" w:eastAsia="zh-CN"/>
        </w:rPr>
        <w:t>A</w:t>
      </w:r>
      <w:r>
        <w:rPr>
          <w:rFonts w:hint="eastAsia"/>
          <w:highlight w:val="none"/>
          <w:vertAlign w:val="superscript"/>
          <w:lang w:val="en-US" w:eastAsia="zh-CN"/>
        </w:rPr>
        <w:t>2</w:t>
      </w:r>
      <w:r>
        <w:rPr>
          <w:rFonts w:hint="eastAsia"/>
          <w:highlight w:val="none"/>
          <w:lang w:val="en-US" w:eastAsia="zh-CN"/>
        </w:rPr>
        <w:t>O</w:t>
      </w:r>
      <w:r>
        <w:rPr>
          <w:rFonts w:hint="default"/>
          <w:highlight w:val="none"/>
          <w:lang w:val="en-US" w:eastAsia="zh-CN"/>
        </w:rPr>
        <w:t>一体化处理设备+混凝沉淀池+</w:t>
      </w:r>
      <w:r>
        <w:rPr>
          <w:rFonts w:hint="eastAsia"/>
          <w:highlight w:val="none"/>
          <w:vertAlign w:val="baseline"/>
          <w:lang w:val="en-US" w:eastAsia="zh-CN"/>
        </w:rPr>
        <w:t>砂滤</w:t>
      </w:r>
      <w:r>
        <w:rPr>
          <w:rFonts w:hint="default"/>
          <w:highlight w:val="none"/>
          <w:lang w:val="en-US" w:eastAsia="zh-CN"/>
        </w:rPr>
        <w:t>+</w:t>
      </w:r>
      <w:r>
        <w:rPr>
          <w:rFonts w:hint="eastAsia"/>
          <w:highlight w:val="none"/>
          <w:lang w:val="en-US" w:eastAsia="zh-CN"/>
        </w:rPr>
        <w:t>消毒工艺</w:t>
      </w:r>
      <w:r>
        <w:rPr>
          <w:rFonts w:hint="default"/>
          <w:highlight w:val="none"/>
          <w:lang w:val="en-US" w:eastAsia="zh-CN"/>
        </w:rPr>
        <w:t>”，污泥处理工艺采用“叠螺污泥脱水机”，消毒工艺采用“次氯酸钠”消毒工艺。废水经处理达到《城镇污水处理厂污染物排放标准》(GB18918-2002)中一级A排放标准，同时满足《城市污水再生利用 工业用水水质》（GB/T19923-2024）、《城市污水再生利用 城市杂用水水质》（GB/T18920-2020）、《城市污水再生利用 绿地灌溉水质》（GB/T25499-2010）标准限值。污水处理厂出水</w:t>
      </w:r>
      <w:r>
        <w:rPr>
          <w:rFonts w:hint="eastAsia"/>
          <w:highlight w:val="none"/>
          <w:lang w:val="en-US" w:eastAsia="zh-CN"/>
        </w:rPr>
        <w:t>回用于厂区生产用水、园区绿化、道路喷洒及园区企业生产用水。</w:t>
      </w:r>
    </w:p>
    <w:p w14:paraId="05C6194A">
      <w:pPr>
        <w:rPr>
          <w:rFonts w:hint="default"/>
          <w:highlight w:val="none"/>
          <w:lang w:val="en-US" w:eastAsia="zh-CN"/>
        </w:rPr>
      </w:pPr>
      <w:r>
        <w:rPr>
          <w:rFonts w:hint="default"/>
          <w:highlight w:val="none"/>
          <w:lang w:val="en-US" w:eastAsia="zh-CN"/>
        </w:rPr>
        <w:t>⑻工程投资：总投资估算为290.76万元，全部为环保投资。</w:t>
      </w:r>
    </w:p>
    <w:p w14:paraId="0EE041A9">
      <w:pPr>
        <w:rPr>
          <w:rFonts w:hint="default"/>
          <w:highlight w:val="none"/>
          <w:lang w:val="en-US" w:eastAsia="zh-CN"/>
        </w:rPr>
      </w:pPr>
      <w:r>
        <w:rPr>
          <w:rFonts w:hint="default"/>
          <w:highlight w:val="none"/>
          <w:lang w:val="en-US" w:eastAsia="zh-CN"/>
        </w:rPr>
        <w:t>⑼建设内容及规模：在垦丰家居产业园区新建日处理200吨的污水处理厂一座，包含新建污水处理装置及配套设施、管网</w:t>
      </w:r>
      <w:r>
        <w:rPr>
          <w:rFonts w:hint="eastAsia"/>
          <w:highlight w:val="none"/>
          <w:lang w:val="en-US" w:eastAsia="zh-CN"/>
        </w:rPr>
        <w:t>（厂区内）</w:t>
      </w:r>
      <w:r>
        <w:rPr>
          <w:rFonts w:hint="default"/>
          <w:highlight w:val="none"/>
          <w:lang w:val="en-US" w:eastAsia="zh-CN"/>
        </w:rPr>
        <w:t>，安装一体化设备等工程。详细建设内容：新建格栅及调节池、</w:t>
      </w:r>
      <w:r>
        <w:rPr>
          <w:rFonts w:hint="eastAsia"/>
          <w:highlight w:val="none"/>
          <w:lang w:val="en-US" w:eastAsia="zh-CN"/>
        </w:rPr>
        <w:t>A</w:t>
      </w:r>
      <w:r>
        <w:rPr>
          <w:rFonts w:hint="eastAsia"/>
          <w:highlight w:val="none"/>
          <w:vertAlign w:val="superscript"/>
          <w:lang w:val="en-US" w:eastAsia="zh-CN"/>
        </w:rPr>
        <w:t>2</w:t>
      </w:r>
      <w:r>
        <w:rPr>
          <w:rFonts w:hint="eastAsia"/>
          <w:highlight w:val="none"/>
          <w:lang w:val="en-US" w:eastAsia="zh-CN"/>
        </w:rPr>
        <w:t>O</w:t>
      </w:r>
      <w:r>
        <w:rPr>
          <w:rFonts w:hint="default"/>
          <w:highlight w:val="none"/>
          <w:lang w:val="en-US" w:eastAsia="zh-CN"/>
        </w:rPr>
        <w:t>一体化处理设备、混凝沉淀池、消毒池、污泥池、配电室、污泥脱水间、加药间、鼓风机房、电气、自控及配套管网等。扩建完成后，全厂处理规模为250</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/d。本次评价不包括</w:t>
      </w:r>
      <w:r>
        <w:rPr>
          <w:rFonts w:hint="eastAsia"/>
          <w:highlight w:val="none"/>
          <w:lang w:val="en-US" w:eastAsia="zh-CN"/>
        </w:rPr>
        <w:t>厂区外</w:t>
      </w:r>
      <w:r>
        <w:rPr>
          <w:rFonts w:hint="default"/>
          <w:highlight w:val="none"/>
          <w:lang w:val="en-US" w:eastAsia="zh-CN"/>
        </w:rPr>
        <w:t>管网内容，园区内污水管网随市政工程建设，各企业内部污水管网由各企业负责建设</w:t>
      </w:r>
      <w:r>
        <w:rPr>
          <w:rFonts w:hint="eastAsia"/>
          <w:highlight w:val="none"/>
          <w:lang w:val="en-US" w:eastAsia="zh-CN"/>
        </w:rPr>
        <w:t>。为实现中水回用，本项目建设一个回用水池及污水处理厂内中水回用管道，预留接口，利用中水的企业内部管网及和预留接口之间的管网由各企业根据需要自行负责建设。</w:t>
      </w:r>
    </w:p>
    <w:p w14:paraId="19CCB970">
      <w:pPr>
        <w:numPr>
          <w:ilvl w:val="0"/>
          <w:numId w:val="23"/>
        </w:numPr>
        <w:rPr>
          <w:rFonts w:hint="eastAsia"/>
          <w:highlight w:val="none"/>
          <w:lang w:val="en-US" w:eastAsia="zh-CN"/>
        </w:rPr>
      </w:pPr>
      <w:r>
        <w:rPr>
          <w:rFonts w:hint="eastAsia"/>
          <w:highlight w:val="none"/>
          <w:lang w:val="en-US" w:eastAsia="zh-CN"/>
        </w:rPr>
        <w:t>进出水质</w:t>
      </w:r>
    </w:p>
    <w:p w14:paraId="581D5547">
      <w:pPr>
        <w:keepNext w:val="0"/>
        <w:keepLines w:val="0"/>
        <w:pageBreakBefore w:val="0"/>
        <w:widowControl w:val="0"/>
        <w:numPr>
          <w:ilvl w:val="0"/>
          <w:numId w:val="0"/>
        </w:numPr>
        <w:kinsoku/>
        <w:wordWrap/>
        <w:overflowPunct/>
        <w:topLinePunct w:val="0"/>
        <w:autoSpaceDE/>
        <w:autoSpaceDN/>
        <w:bidi w:val="0"/>
        <w:adjustRightInd/>
        <w:snapToGrid/>
        <w:ind w:firstLine="480" w:firstLineChars="200"/>
        <w:textAlignment w:val="auto"/>
        <w:rPr>
          <w:rFonts w:hint="default"/>
          <w:highlight w:val="none"/>
          <w:lang w:val="en-US" w:eastAsia="zh-CN"/>
        </w:rPr>
      </w:pPr>
      <w:r>
        <w:rPr>
          <w:rFonts w:hint="eastAsia"/>
          <w:highlight w:val="none"/>
          <w:lang w:val="en-US" w:eastAsia="zh-CN"/>
        </w:rPr>
        <w:t>扩建前后进出水质要求不变。</w:t>
      </w:r>
    </w:p>
    <w:p w14:paraId="35A3F52E">
      <w:pPr>
        <w:widowControl/>
        <w:numPr>
          <w:ilvl w:val="0"/>
          <w:numId w:val="24"/>
        </w:numPr>
        <w:ind w:left="425" w:leftChars="0" w:hanging="425" w:firstLineChars="0"/>
        <w:jc w:val="center"/>
        <w:rPr>
          <w:rFonts w:hint="eastAsia" w:ascii="Times New Roman" w:hAnsi="Times New Roman" w:eastAsia="宋体" w:cs="Times New Roman"/>
          <w:b/>
          <w:color w:val="auto"/>
          <w:highlight w:val="none"/>
          <w:lang w:val="en-US" w:eastAsia="zh-CN"/>
        </w:rPr>
      </w:pPr>
      <w:r>
        <w:rPr>
          <w:rFonts w:hint="eastAsia" w:cs="Times New Roman"/>
          <w:b/>
          <w:color w:val="auto"/>
          <w:highlight w:val="none"/>
          <w:lang w:val="en-US" w:eastAsia="zh-CN"/>
        </w:rPr>
        <w:t xml:space="preserve"> </w:t>
      </w:r>
      <w:r>
        <w:rPr>
          <w:rFonts w:hint="eastAsia" w:ascii="Times New Roman" w:hAnsi="Times New Roman" w:eastAsia="宋体" w:cs="Times New Roman"/>
          <w:b/>
          <w:color w:val="auto"/>
          <w:highlight w:val="none"/>
          <w:lang w:val="en-US" w:eastAsia="zh-CN"/>
        </w:rPr>
        <w:t>本项目设计进出水水质一览表</w:t>
      </w:r>
    </w:p>
    <w:tbl>
      <w:tblPr>
        <w:tblStyle w:val="48"/>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100"/>
        <w:gridCol w:w="2632"/>
        <w:gridCol w:w="1848"/>
        <w:gridCol w:w="1833"/>
        <w:gridCol w:w="1875"/>
      </w:tblGrid>
      <w:tr w14:paraId="6192E02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92" w:type="pct"/>
            <w:vAlign w:val="center"/>
          </w:tcPr>
          <w:p w14:paraId="094C2501">
            <w:pPr>
              <w:pStyle w:val="58"/>
              <w:bidi w:val="0"/>
              <w:rPr>
                <w:rFonts w:hint="default"/>
                <w:highlight w:val="none"/>
                <w:lang w:val="en-US" w:eastAsia="zh-CN"/>
              </w:rPr>
            </w:pPr>
            <w:r>
              <w:rPr>
                <w:rFonts w:hint="default"/>
                <w:highlight w:val="none"/>
                <w:lang w:val="en-US" w:eastAsia="zh-CN"/>
              </w:rPr>
              <w:t>序号</w:t>
            </w:r>
          </w:p>
        </w:tc>
        <w:tc>
          <w:tcPr>
            <w:tcW w:w="1417" w:type="pct"/>
            <w:vAlign w:val="center"/>
          </w:tcPr>
          <w:p w14:paraId="56F9F032">
            <w:pPr>
              <w:pStyle w:val="58"/>
              <w:bidi w:val="0"/>
              <w:rPr>
                <w:rFonts w:hint="default"/>
                <w:highlight w:val="none"/>
                <w:lang w:val="en-US" w:eastAsia="zh-CN"/>
              </w:rPr>
            </w:pPr>
            <w:r>
              <w:rPr>
                <w:rFonts w:hint="default"/>
                <w:highlight w:val="none"/>
                <w:lang w:val="en-US" w:eastAsia="zh-CN"/>
              </w:rPr>
              <w:t>项目</w:t>
            </w:r>
          </w:p>
        </w:tc>
        <w:tc>
          <w:tcPr>
            <w:tcW w:w="995" w:type="pct"/>
            <w:vAlign w:val="center"/>
          </w:tcPr>
          <w:p w14:paraId="3AF303BA">
            <w:pPr>
              <w:pStyle w:val="58"/>
              <w:bidi w:val="0"/>
              <w:rPr>
                <w:rFonts w:hint="default"/>
                <w:highlight w:val="none"/>
                <w:lang w:val="en-US" w:eastAsia="zh-CN"/>
              </w:rPr>
            </w:pPr>
            <w:r>
              <w:rPr>
                <w:rFonts w:hint="default"/>
                <w:highlight w:val="none"/>
                <w:lang w:val="en-US" w:eastAsia="zh-CN"/>
              </w:rPr>
              <w:t>单位</w:t>
            </w:r>
          </w:p>
        </w:tc>
        <w:tc>
          <w:tcPr>
            <w:tcW w:w="987" w:type="pct"/>
            <w:vAlign w:val="center"/>
          </w:tcPr>
          <w:p w14:paraId="708597BC">
            <w:pPr>
              <w:pStyle w:val="58"/>
              <w:bidi w:val="0"/>
              <w:rPr>
                <w:rFonts w:hint="default"/>
                <w:highlight w:val="none"/>
                <w:lang w:val="en-US" w:eastAsia="zh-CN"/>
              </w:rPr>
            </w:pPr>
            <w:r>
              <w:rPr>
                <w:rFonts w:hint="default"/>
                <w:highlight w:val="none"/>
                <w:lang w:val="en-US" w:eastAsia="zh-CN"/>
              </w:rPr>
              <w:t>设计进水水质</w:t>
            </w:r>
          </w:p>
        </w:tc>
        <w:tc>
          <w:tcPr>
            <w:tcW w:w="1006" w:type="pct"/>
            <w:vAlign w:val="center"/>
          </w:tcPr>
          <w:p w14:paraId="7FFDE646">
            <w:pPr>
              <w:pStyle w:val="58"/>
              <w:bidi w:val="0"/>
              <w:rPr>
                <w:rFonts w:hint="default"/>
                <w:highlight w:val="none"/>
                <w:lang w:val="en-US" w:eastAsia="zh-CN"/>
              </w:rPr>
            </w:pPr>
            <w:r>
              <w:rPr>
                <w:rFonts w:hint="default"/>
                <w:highlight w:val="none"/>
                <w:lang w:val="en-US" w:eastAsia="zh-CN"/>
              </w:rPr>
              <w:t>污水出水水质</w:t>
            </w:r>
          </w:p>
        </w:tc>
      </w:tr>
      <w:tr w14:paraId="0AD33C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92" w:type="pct"/>
            <w:vAlign w:val="center"/>
          </w:tcPr>
          <w:p w14:paraId="722D00BE">
            <w:pPr>
              <w:pStyle w:val="58"/>
              <w:bidi w:val="0"/>
              <w:rPr>
                <w:rFonts w:hint="default"/>
                <w:highlight w:val="none"/>
                <w:lang w:val="en-US" w:eastAsia="zh-CN"/>
              </w:rPr>
            </w:pPr>
            <w:r>
              <w:rPr>
                <w:rFonts w:hint="default"/>
                <w:highlight w:val="none"/>
                <w:lang w:val="en-US" w:eastAsia="zh-CN"/>
              </w:rPr>
              <w:t>1</w:t>
            </w:r>
          </w:p>
        </w:tc>
        <w:tc>
          <w:tcPr>
            <w:tcW w:w="1417" w:type="pct"/>
            <w:vAlign w:val="center"/>
          </w:tcPr>
          <w:p w14:paraId="6B91E924">
            <w:pPr>
              <w:pStyle w:val="58"/>
              <w:bidi w:val="0"/>
              <w:rPr>
                <w:rFonts w:hint="default"/>
                <w:highlight w:val="none"/>
                <w:lang w:val="en-US" w:eastAsia="zh-CN"/>
              </w:rPr>
            </w:pPr>
            <w:r>
              <w:rPr>
                <w:rFonts w:hint="default"/>
                <w:highlight w:val="none"/>
                <w:lang w:val="en-US" w:eastAsia="zh-CN"/>
              </w:rPr>
              <w:t>COD</w:t>
            </w:r>
            <w:r>
              <w:rPr>
                <w:rFonts w:hint="default"/>
                <w:highlight w:val="none"/>
                <w:vertAlign w:val="subscript"/>
                <w:lang w:val="en-US" w:eastAsia="zh-CN"/>
              </w:rPr>
              <w:t>Cr</w:t>
            </w:r>
          </w:p>
        </w:tc>
        <w:tc>
          <w:tcPr>
            <w:tcW w:w="995" w:type="pct"/>
            <w:vAlign w:val="center"/>
          </w:tcPr>
          <w:p w14:paraId="786B9748">
            <w:pPr>
              <w:pStyle w:val="58"/>
              <w:bidi w:val="0"/>
              <w:rPr>
                <w:rFonts w:hint="default"/>
                <w:highlight w:val="none"/>
                <w:lang w:val="en-US" w:eastAsia="zh-CN"/>
              </w:rPr>
            </w:pPr>
            <w:r>
              <w:rPr>
                <w:rFonts w:hint="default"/>
                <w:highlight w:val="none"/>
                <w:lang w:val="en-US" w:eastAsia="zh-CN"/>
              </w:rPr>
              <w:t>mg/L</w:t>
            </w:r>
          </w:p>
        </w:tc>
        <w:tc>
          <w:tcPr>
            <w:tcW w:w="987" w:type="pct"/>
            <w:vAlign w:val="center"/>
          </w:tcPr>
          <w:p w14:paraId="3C17F40C">
            <w:pPr>
              <w:pStyle w:val="58"/>
              <w:bidi w:val="0"/>
              <w:rPr>
                <w:rFonts w:hint="default"/>
                <w:highlight w:val="none"/>
                <w:lang w:val="en-US" w:eastAsia="zh-CN"/>
              </w:rPr>
            </w:pPr>
            <w:r>
              <w:rPr>
                <w:rFonts w:hint="default"/>
                <w:highlight w:val="none"/>
                <w:lang w:val="en-US" w:eastAsia="zh-CN"/>
              </w:rPr>
              <w:t>350</w:t>
            </w:r>
          </w:p>
        </w:tc>
        <w:tc>
          <w:tcPr>
            <w:tcW w:w="1006" w:type="pct"/>
            <w:vAlign w:val="center"/>
          </w:tcPr>
          <w:p w14:paraId="48DE25F9">
            <w:pPr>
              <w:pStyle w:val="58"/>
              <w:bidi w:val="0"/>
              <w:rPr>
                <w:rFonts w:hint="default"/>
                <w:highlight w:val="none"/>
                <w:lang w:val="en-US" w:eastAsia="zh-CN"/>
              </w:rPr>
            </w:pPr>
            <w:r>
              <w:rPr>
                <w:rFonts w:hint="default"/>
                <w:highlight w:val="none"/>
                <w:lang w:val="en-US" w:eastAsia="zh-CN"/>
              </w:rPr>
              <w:t>50</w:t>
            </w:r>
          </w:p>
        </w:tc>
      </w:tr>
      <w:tr w14:paraId="2BD6AF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92" w:type="pct"/>
            <w:vAlign w:val="center"/>
          </w:tcPr>
          <w:p w14:paraId="1029DB7F">
            <w:pPr>
              <w:pStyle w:val="58"/>
              <w:bidi w:val="0"/>
              <w:rPr>
                <w:rFonts w:hint="default"/>
                <w:highlight w:val="none"/>
                <w:lang w:val="en-US" w:eastAsia="zh-CN"/>
              </w:rPr>
            </w:pPr>
            <w:r>
              <w:rPr>
                <w:rFonts w:hint="default"/>
                <w:highlight w:val="none"/>
                <w:lang w:val="en-US" w:eastAsia="zh-CN"/>
              </w:rPr>
              <w:t>2</w:t>
            </w:r>
          </w:p>
        </w:tc>
        <w:tc>
          <w:tcPr>
            <w:tcW w:w="1417" w:type="pct"/>
            <w:vAlign w:val="center"/>
          </w:tcPr>
          <w:p w14:paraId="314AEDCD">
            <w:pPr>
              <w:pStyle w:val="58"/>
              <w:bidi w:val="0"/>
              <w:rPr>
                <w:rFonts w:hint="default"/>
                <w:highlight w:val="none"/>
                <w:lang w:val="en-US" w:eastAsia="zh-CN"/>
              </w:rPr>
            </w:pPr>
            <w:r>
              <w:rPr>
                <w:rFonts w:hint="eastAsia"/>
                <w:highlight w:val="none"/>
                <w:lang w:val="en-US" w:eastAsia="zh-CN"/>
              </w:rPr>
              <w:t>BOD</w:t>
            </w:r>
            <w:r>
              <w:rPr>
                <w:rFonts w:hint="eastAsia"/>
                <w:highlight w:val="none"/>
                <w:vertAlign w:val="subscript"/>
                <w:lang w:val="en-US" w:eastAsia="zh-CN"/>
              </w:rPr>
              <w:t>5</w:t>
            </w:r>
          </w:p>
        </w:tc>
        <w:tc>
          <w:tcPr>
            <w:tcW w:w="995" w:type="pct"/>
            <w:vAlign w:val="center"/>
          </w:tcPr>
          <w:p w14:paraId="23B82F60">
            <w:pPr>
              <w:pStyle w:val="58"/>
              <w:bidi w:val="0"/>
              <w:rPr>
                <w:rFonts w:hint="default"/>
                <w:highlight w:val="none"/>
                <w:lang w:val="en-US" w:eastAsia="zh-CN"/>
              </w:rPr>
            </w:pPr>
            <w:r>
              <w:rPr>
                <w:rFonts w:hint="default"/>
                <w:highlight w:val="none"/>
                <w:lang w:val="en-US" w:eastAsia="zh-CN"/>
              </w:rPr>
              <w:t>mg/L</w:t>
            </w:r>
          </w:p>
        </w:tc>
        <w:tc>
          <w:tcPr>
            <w:tcW w:w="987" w:type="pct"/>
            <w:vAlign w:val="center"/>
          </w:tcPr>
          <w:p w14:paraId="03C590DC">
            <w:pPr>
              <w:pStyle w:val="58"/>
              <w:bidi w:val="0"/>
              <w:rPr>
                <w:rFonts w:hint="default"/>
                <w:highlight w:val="none"/>
                <w:lang w:val="en-US" w:eastAsia="zh-CN"/>
              </w:rPr>
            </w:pPr>
            <w:r>
              <w:rPr>
                <w:rFonts w:hint="default"/>
                <w:highlight w:val="none"/>
                <w:lang w:val="en-US" w:eastAsia="zh-CN"/>
              </w:rPr>
              <w:t>150</w:t>
            </w:r>
          </w:p>
        </w:tc>
        <w:tc>
          <w:tcPr>
            <w:tcW w:w="1006" w:type="pct"/>
            <w:vAlign w:val="center"/>
          </w:tcPr>
          <w:p w14:paraId="54C3A93E">
            <w:pPr>
              <w:pStyle w:val="58"/>
              <w:bidi w:val="0"/>
              <w:rPr>
                <w:rFonts w:hint="default"/>
                <w:highlight w:val="none"/>
                <w:lang w:val="en-US" w:eastAsia="zh-CN"/>
              </w:rPr>
            </w:pPr>
            <w:r>
              <w:rPr>
                <w:rFonts w:hint="default"/>
                <w:highlight w:val="none"/>
                <w:lang w:val="en-US" w:eastAsia="zh-CN"/>
              </w:rPr>
              <w:t>10</w:t>
            </w:r>
          </w:p>
        </w:tc>
      </w:tr>
      <w:tr w14:paraId="573F5A4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92" w:type="pct"/>
            <w:vAlign w:val="center"/>
          </w:tcPr>
          <w:p w14:paraId="1C9CB939">
            <w:pPr>
              <w:pStyle w:val="58"/>
              <w:bidi w:val="0"/>
              <w:rPr>
                <w:rFonts w:hint="default"/>
                <w:highlight w:val="none"/>
                <w:lang w:val="en-US" w:eastAsia="zh-CN"/>
              </w:rPr>
            </w:pPr>
            <w:r>
              <w:rPr>
                <w:rFonts w:hint="default"/>
                <w:highlight w:val="none"/>
                <w:lang w:val="en-US" w:eastAsia="zh-CN"/>
              </w:rPr>
              <w:t>3</w:t>
            </w:r>
          </w:p>
        </w:tc>
        <w:tc>
          <w:tcPr>
            <w:tcW w:w="1417" w:type="pct"/>
            <w:vAlign w:val="center"/>
          </w:tcPr>
          <w:p w14:paraId="3FA3F6B4">
            <w:pPr>
              <w:pStyle w:val="58"/>
              <w:bidi w:val="0"/>
              <w:rPr>
                <w:rFonts w:hint="default"/>
                <w:highlight w:val="none"/>
                <w:lang w:val="en-US" w:eastAsia="zh-CN"/>
              </w:rPr>
            </w:pPr>
            <w:r>
              <w:rPr>
                <w:rFonts w:hint="default"/>
                <w:highlight w:val="none"/>
                <w:lang w:val="en-US" w:eastAsia="zh-CN"/>
              </w:rPr>
              <w:t>SS</w:t>
            </w:r>
          </w:p>
        </w:tc>
        <w:tc>
          <w:tcPr>
            <w:tcW w:w="995" w:type="pct"/>
            <w:vAlign w:val="center"/>
          </w:tcPr>
          <w:p w14:paraId="6D118CB1">
            <w:pPr>
              <w:pStyle w:val="58"/>
              <w:bidi w:val="0"/>
              <w:rPr>
                <w:rFonts w:hint="default"/>
                <w:highlight w:val="none"/>
                <w:lang w:val="en-US" w:eastAsia="zh-CN"/>
              </w:rPr>
            </w:pPr>
            <w:r>
              <w:rPr>
                <w:rFonts w:hint="default"/>
                <w:highlight w:val="none"/>
                <w:lang w:val="en-US" w:eastAsia="zh-CN"/>
              </w:rPr>
              <w:t>mg/L</w:t>
            </w:r>
          </w:p>
        </w:tc>
        <w:tc>
          <w:tcPr>
            <w:tcW w:w="987" w:type="pct"/>
            <w:vAlign w:val="center"/>
          </w:tcPr>
          <w:p w14:paraId="02DFC7EE">
            <w:pPr>
              <w:pStyle w:val="58"/>
              <w:bidi w:val="0"/>
              <w:rPr>
                <w:rFonts w:hint="default"/>
                <w:highlight w:val="none"/>
                <w:lang w:val="en-US" w:eastAsia="zh-CN"/>
              </w:rPr>
            </w:pPr>
            <w:r>
              <w:rPr>
                <w:rFonts w:hint="default"/>
                <w:highlight w:val="none"/>
                <w:lang w:val="en-US" w:eastAsia="zh-CN"/>
              </w:rPr>
              <w:t>250</w:t>
            </w:r>
          </w:p>
        </w:tc>
        <w:tc>
          <w:tcPr>
            <w:tcW w:w="1006" w:type="pct"/>
            <w:vAlign w:val="center"/>
          </w:tcPr>
          <w:p w14:paraId="2F18171E">
            <w:pPr>
              <w:pStyle w:val="58"/>
              <w:bidi w:val="0"/>
              <w:rPr>
                <w:rFonts w:hint="default"/>
                <w:highlight w:val="none"/>
                <w:lang w:val="en-US" w:eastAsia="zh-CN"/>
              </w:rPr>
            </w:pPr>
            <w:r>
              <w:rPr>
                <w:rFonts w:hint="default"/>
                <w:highlight w:val="none"/>
                <w:lang w:val="en-US" w:eastAsia="zh-CN"/>
              </w:rPr>
              <w:t>10</w:t>
            </w:r>
          </w:p>
        </w:tc>
      </w:tr>
      <w:tr w14:paraId="556A7D8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92" w:type="pct"/>
            <w:vAlign w:val="center"/>
          </w:tcPr>
          <w:p w14:paraId="699B1CAD">
            <w:pPr>
              <w:pStyle w:val="58"/>
              <w:bidi w:val="0"/>
              <w:rPr>
                <w:rFonts w:hint="default"/>
                <w:highlight w:val="none"/>
                <w:lang w:val="en-US" w:eastAsia="zh-CN"/>
              </w:rPr>
            </w:pPr>
            <w:r>
              <w:rPr>
                <w:rFonts w:hint="default"/>
                <w:highlight w:val="none"/>
                <w:lang w:val="en-US" w:eastAsia="zh-CN"/>
              </w:rPr>
              <w:t>4</w:t>
            </w:r>
          </w:p>
        </w:tc>
        <w:tc>
          <w:tcPr>
            <w:tcW w:w="1417" w:type="pct"/>
            <w:vAlign w:val="center"/>
          </w:tcPr>
          <w:p w14:paraId="29886447">
            <w:pPr>
              <w:pStyle w:val="58"/>
              <w:bidi w:val="0"/>
              <w:rPr>
                <w:rFonts w:hint="default"/>
                <w:highlight w:val="none"/>
                <w:lang w:val="en-US" w:eastAsia="zh-CN"/>
              </w:rPr>
            </w:pPr>
            <w:r>
              <w:rPr>
                <w:rFonts w:hint="default"/>
                <w:highlight w:val="none"/>
                <w:lang w:val="en-US" w:eastAsia="zh-CN"/>
              </w:rPr>
              <w:t>总氮（TN）</w:t>
            </w:r>
          </w:p>
        </w:tc>
        <w:tc>
          <w:tcPr>
            <w:tcW w:w="995" w:type="pct"/>
            <w:vAlign w:val="center"/>
          </w:tcPr>
          <w:p w14:paraId="00D117D5">
            <w:pPr>
              <w:pStyle w:val="58"/>
              <w:bidi w:val="0"/>
              <w:rPr>
                <w:rFonts w:hint="default"/>
                <w:highlight w:val="none"/>
                <w:lang w:val="en-US" w:eastAsia="zh-CN"/>
              </w:rPr>
            </w:pPr>
            <w:r>
              <w:rPr>
                <w:rFonts w:hint="default"/>
                <w:highlight w:val="none"/>
                <w:lang w:val="en-US" w:eastAsia="zh-CN"/>
              </w:rPr>
              <w:t>mg/L</w:t>
            </w:r>
          </w:p>
        </w:tc>
        <w:tc>
          <w:tcPr>
            <w:tcW w:w="987" w:type="pct"/>
            <w:vAlign w:val="center"/>
          </w:tcPr>
          <w:p w14:paraId="0633280C">
            <w:pPr>
              <w:pStyle w:val="58"/>
              <w:bidi w:val="0"/>
              <w:rPr>
                <w:rFonts w:hint="default"/>
                <w:highlight w:val="none"/>
                <w:lang w:val="en-US" w:eastAsia="zh-CN"/>
              </w:rPr>
            </w:pPr>
            <w:r>
              <w:rPr>
                <w:rFonts w:hint="default"/>
                <w:highlight w:val="none"/>
                <w:lang w:val="en-US" w:eastAsia="zh-CN"/>
              </w:rPr>
              <w:t>30</w:t>
            </w:r>
          </w:p>
        </w:tc>
        <w:tc>
          <w:tcPr>
            <w:tcW w:w="1006" w:type="pct"/>
            <w:vAlign w:val="center"/>
          </w:tcPr>
          <w:p w14:paraId="638D28C6">
            <w:pPr>
              <w:pStyle w:val="58"/>
              <w:bidi w:val="0"/>
              <w:rPr>
                <w:rFonts w:hint="default"/>
                <w:highlight w:val="none"/>
                <w:lang w:val="en-US" w:eastAsia="zh-CN"/>
              </w:rPr>
            </w:pPr>
            <w:r>
              <w:rPr>
                <w:rFonts w:hint="default"/>
                <w:highlight w:val="none"/>
                <w:lang w:val="en-US" w:eastAsia="zh-CN"/>
              </w:rPr>
              <w:t>15</w:t>
            </w:r>
          </w:p>
        </w:tc>
      </w:tr>
      <w:tr w14:paraId="63B9A5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92" w:type="pct"/>
            <w:vAlign w:val="center"/>
          </w:tcPr>
          <w:p w14:paraId="168CD0FE">
            <w:pPr>
              <w:pStyle w:val="58"/>
              <w:bidi w:val="0"/>
              <w:rPr>
                <w:rFonts w:hint="default"/>
                <w:highlight w:val="none"/>
                <w:lang w:val="en-US" w:eastAsia="zh-CN"/>
              </w:rPr>
            </w:pPr>
            <w:r>
              <w:rPr>
                <w:rFonts w:hint="default"/>
                <w:highlight w:val="none"/>
                <w:lang w:val="en-US" w:eastAsia="zh-CN"/>
              </w:rPr>
              <w:t>5</w:t>
            </w:r>
          </w:p>
        </w:tc>
        <w:tc>
          <w:tcPr>
            <w:tcW w:w="1417" w:type="pct"/>
            <w:vAlign w:val="center"/>
          </w:tcPr>
          <w:p w14:paraId="09891C0D">
            <w:pPr>
              <w:pStyle w:val="58"/>
              <w:bidi w:val="0"/>
              <w:rPr>
                <w:rFonts w:hint="default"/>
                <w:highlight w:val="none"/>
                <w:lang w:val="en-US" w:eastAsia="zh-CN"/>
              </w:rPr>
            </w:pPr>
            <w:r>
              <w:rPr>
                <w:rFonts w:hint="default"/>
                <w:highlight w:val="none"/>
                <w:lang w:val="en-US" w:eastAsia="zh-CN"/>
              </w:rPr>
              <w:t>氨氮（</w:t>
            </w:r>
            <w:r>
              <w:rPr>
                <w:rFonts w:hint="eastAsia"/>
                <w:highlight w:val="none"/>
                <w:lang w:val="en-US" w:eastAsia="zh-CN"/>
              </w:rPr>
              <w:t>NH</w:t>
            </w:r>
            <w:r>
              <w:rPr>
                <w:rFonts w:hint="eastAsia"/>
                <w:highlight w:val="none"/>
                <w:vertAlign w:val="subscript"/>
                <w:lang w:val="en-US" w:eastAsia="zh-CN"/>
              </w:rPr>
              <w:t>3</w:t>
            </w:r>
            <w:r>
              <w:rPr>
                <w:rFonts w:hint="default"/>
                <w:highlight w:val="none"/>
                <w:lang w:val="en-US" w:eastAsia="zh-CN"/>
              </w:rPr>
              <w:t>-N）</w:t>
            </w:r>
          </w:p>
        </w:tc>
        <w:tc>
          <w:tcPr>
            <w:tcW w:w="995" w:type="pct"/>
            <w:vAlign w:val="center"/>
          </w:tcPr>
          <w:p w14:paraId="7135EA18">
            <w:pPr>
              <w:pStyle w:val="58"/>
              <w:bidi w:val="0"/>
              <w:rPr>
                <w:rFonts w:hint="default"/>
                <w:highlight w:val="none"/>
                <w:lang w:val="en-US" w:eastAsia="zh-CN"/>
              </w:rPr>
            </w:pPr>
            <w:r>
              <w:rPr>
                <w:rFonts w:hint="default"/>
                <w:highlight w:val="none"/>
                <w:lang w:val="en-US" w:eastAsia="zh-CN"/>
              </w:rPr>
              <w:t>mg/L</w:t>
            </w:r>
          </w:p>
        </w:tc>
        <w:tc>
          <w:tcPr>
            <w:tcW w:w="987" w:type="pct"/>
            <w:vAlign w:val="center"/>
          </w:tcPr>
          <w:p w14:paraId="27816659">
            <w:pPr>
              <w:pStyle w:val="58"/>
              <w:bidi w:val="0"/>
              <w:rPr>
                <w:rFonts w:hint="default"/>
                <w:highlight w:val="none"/>
                <w:lang w:val="en-US" w:eastAsia="zh-CN"/>
              </w:rPr>
            </w:pPr>
            <w:r>
              <w:rPr>
                <w:rFonts w:hint="default"/>
                <w:highlight w:val="none"/>
                <w:lang w:val="en-US" w:eastAsia="zh-CN"/>
              </w:rPr>
              <w:t>45</w:t>
            </w:r>
          </w:p>
        </w:tc>
        <w:tc>
          <w:tcPr>
            <w:tcW w:w="1006" w:type="pct"/>
            <w:vAlign w:val="center"/>
          </w:tcPr>
          <w:p w14:paraId="46EBEB88">
            <w:pPr>
              <w:pStyle w:val="58"/>
              <w:bidi w:val="0"/>
              <w:rPr>
                <w:rFonts w:hint="default"/>
                <w:highlight w:val="none"/>
                <w:lang w:val="en-US" w:eastAsia="zh-CN"/>
              </w:rPr>
            </w:pPr>
            <w:r>
              <w:rPr>
                <w:rFonts w:hint="default"/>
                <w:highlight w:val="none"/>
                <w:lang w:val="en-US" w:eastAsia="zh-CN"/>
              </w:rPr>
              <w:t>5（8）</w:t>
            </w:r>
          </w:p>
        </w:tc>
      </w:tr>
      <w:tr w14:paraId="5D5271F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92" w:type="pct"/>
            <w:vAlign w:val="center"/>
          </w:tcPr>
          <w:p w14:paraId="0E6AFB5F">
            <w:pPr>
              <w:pStyle w:val="58"/>
              <w:bidi w:val="0"/>
              <w:rPr>
                <w:rFonts w:hint="default"/>
                <w:highlight w:val="none"/>
                <w:lang w:val="en-US" w:eastAsia="zh-CN"/>
              </w:rPr>
            </w:pPr>
            <w:r>
              <w:rPr>
                <w:rFonts w:hint="default"/>
                <w:highlight w:val="none"/>
                <w:lang w:val="en-US" w:eastAsia="zh-CN"/>
              </w:rPr>
              <w:t>6</w:t>
            </w:r>
          </w:p>
        </w:tc>
        <w:tc>
          <w:tcPr>
            <w:tcW w:w="1417" w:type="pct"/>
            <w:vAlign w:val="center"/>
          </w:tcPr>
          <w:p w14:paraId="2A80B830">
            <w:pPr>
              <w:pStyle w:val="58"/>
              <w:bidi w:val="0"/>
              <w:rPr>
                <w:rFonts w:hint="default"/>
                <w:highlight w:val="none"/>
                <w:lang w:val="en-US" w:eastAsia="zh-CN"/>
              </w:rPr>
            </w:pPr>
            <w:r>
              <w:rPr>
                <w:rFonts w:hint="default"/>
                <w:highlight w:val="none"/>
                <w:lang w:val="en-US" w:eastAsia="zh-CN"/>
              </w:rPr>
              <w:t>总磷（TP）</w:t>
            </w:r>
          </w:p>
        </w:tc>
        <w:tc>
          <w:tcPr>
            <w:tcW w:w="995" w:type="pct"/>
            <w:vAlign w:val="center"/>
          </w:tcPr>
          <w:p w14:paraId="1A5075E7">
            <w:pPr>
              <w:pStyle w:val="58"/>
              <w:bidi w:val="0"/>
              <w:rPr>
                <w:rFonts w:hint="default"/>
                <w:highlight w:val="none"/>
                <w:lang w:val="en-US" w:eastAsia="zh-CN"/>
              </w:rPr>
            </w:pPr>
            <w:r>
              <w:rPr>
                <w:rFonts w:hint="default"/>
                <w:highlight w:val="none"/>
                <w:lang w:val="en-US" w:eastAsia="zh-CN"/>
              </w:rPr>
              <w:t>mg/L</w:t>
            </w:r>
          </w:p>
        </w:tc>
        <w:tc>
          <w:tcPr>
            <w:tcW w:w="987" w:type="pct"/>
            <w:vAlign w:val="center"/>
          </w:tcPr>
          <w:p w14:paraId="7B71B844">
            <w:pPr>
              <w:pStyle w:val="58"/>
              <w:bidi w:val="0"/>
              <w:rPr>
                <w:rFonts w:hint="default"/>
                <w:highlight w:val="none"/>
                <w:lang w:val="en-US" w:eastAsia="zh-CN"/>
              </w:rPr>
            </w:pPr>
            <w:r>
              <w:rPr>
                <w:rFonts w:hint="default"/>
                <w:highlight w:val="none"/>
                <w:lang w:val="en-US" w:eastAsia="zh-CN"/>
              </w:rPr>
              <w:t>8</w:t>
            </w:r>
          </w:p>
        </w:tc>
        <w:tc>
          <w:tcPr>
            <w:tcW w:w="1006" w:type="pct"/>
            <w:vAlign w:val="center"/>
          </w:tcPr>
          <w:p w14:paraId="3FA17783">
            <w:pPr>
              <w:pStyle w:val="58"/>
              <w:bidi w:val="0"/>
              <w:rPr>
                <w:rFonts w:hint="default"/>
                <w:highlight w:val="none"/>
                <w:lang w:val="en-US" w:eastAsia="zh-CN"/>
              </w:rPr>
            </w:pPr>
            <w:r>
              <w:rPr>
                <w:rFonts w:hint="default"/>
                <w:highlight w:val="none"/>
                <w:lang w:val="en-US" w:eastAsia="zh-CN"/>
              </w:rPr>
              <w:t>0.5</w:t>
            </w:r>
          </w:p>
        </w:tc>
      </w:tr>
      <w:tr w14:paraId="73616C8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92" w:type="pct"/>
            <w:vAlign w:val="center"/>
          </w:tcPr>
          <w:p w14:paraId="69B198F4">
            <w:pPr>
              <w:pStyle w:val="58"/>
              <w:bidi w:val="0"/>
              <w:rPr>
                <w:rFonts w:hint="default"/>
                <w:highlight w:val="none"/>
                <w:lang w:val="en-US" w:eastAsia="zh-CN"/>
              </w:rPr>
            </w:pPr>
            <w:r>
              <w:rPr>
                <w:rFonts w:hint="default"/>
                <w:highlight w:val="none"/>
                <w:lang w:val="en-US" w:eastAsia="zh-CN"/>
              </w:rPr>
              <w:t>7</w:t>
            </w:r>
          </w:p>
        </w:tc>
        <w:tc>
          <w:tcPr>
            <w:tcW w:w="1417" w:type="pct"/>
            <w:vAlign w:val="center"/>
          </w:tcPr>
          <w:p w14:paraId="42FCEF82">
            <w:pPr>
              <w:pStyle w:val="58"/>
              <w:bidi w:val="0"/>
              <w:rPr>
                <w:rFonts w:hint="default"/>
                <w:highlight w:val="none"/>
                <w:lang w:val="en-US" w:eastAsia="zh-CN"/>
              </w:rPr>
            </w:pPr>
            <w:r>
              <w:rPr>
                <w:rFonts w:hint="default"/>
                <w:highlight w:val="none"/>
                <w:lang w:val="en-US" w:eastAsia="zh-CN"/>
              </w:rPr>
              <w:t>粪大肠菌群数</w:t>
            </w:r>
          </w:p>
        </w:tc>
        <w:tc>
          <w:tcPr>
            <w:tcW w:w="995" w:type="pct"/>
            <w:vAlign w:val="center"/>
          </w:tcPr>
          <w:p w14:paraId="1E7D195B">
            <w:pPr>
              <w:pStyle w:val="58"/>
              <w:bidi w:val="0"/>
              <w:rPr>
                <w:rFonts w:hint="default"/>
                <w:highlight w:val="none"/>
                <w:lang w:val="en-US" w:eastAsia="zh-CN"/>
              </w:rPr>
            </w:pPr>
            <w:r>
              <w:rPr>
                <w:rFonts w:hint="default"/>
                <w:highlight w:val="none"/>
                <w:lang w:val="en-US" w:eastAsia="zh-CN"/>
              </w:rPr>
              <w:t>个/L</w:t>
            </w:r>
          </w:p>
        </w:tc>
        <w:tc>
          <w:tcPr>
            <w:tcW w:w="987" w:type="pct"/>
            <w:vAlign w:val="center"/>
          </w:tcPr>
          <w:p w14:paraId="2F67E224">
            <w:pPr>
              <w:pStyle w:val="58"/>
              <w:bidi w:val="0"/>
              <w:rPr>
                <w:rFonts w:hint="default"/>
                <w:highlight w:val="none"/>
                <w:lang w:val="en-US" w:eastAsia="zh-CN"/>
              </w:rPr>
            </w:pPr>
            <w:r>
              <w:rPr>
                <w:rFonts w:hint="default"/>
                <w:highlight w:val="none"/>
                <w:lang w:val="en-US" w:eastAsia="zh-CN"/>
              </w:rPr>
              <w:t>10</w:t>
            </w:r>
            <w:r>
              <w:rPr>
                <w:rFonts w:hint="default"/>
                <w:highlight w:val="none"/>
                <w:vertAlign w:val="superscript"/>
                <w:lang w:val="en-US" w:eastAsia="zh-CN"/>
              </w:rPr>
              <w:t>6</w:t>
            </w:r>
          </w:p>
        </w:tc>
        <w:tc>
          <w:tcPr>
            <w:tcW w:w="1006" w:type="pct"/>
            <w:vAlign w:val="center"/>
          </w:tcPr>
          <w:p w14:paraId="6993AAD3">
            <w:pPr>
              <w:pStyle w:val="58"/>
              <w:bidi w:val="0"/>
              <w:rPr>
                <w:rFonts w:hint="default"/>
                <w:highlight w:val="none"/>
                <w:lang w:val="en-US" w:eastAsia="zh-CN"/>
              </w:rPr>
            </w:pPr>
            <w:r>
              <w:rPr>
                <w:rFonts w:hint="default"/>
                <w:highlight w:val="none"/>
                <w:lang w:val="en-US" w:eastAsia="zh-CN"/>
              </w:rPr>
              <w:t>≤10</w:t>
            </w:r>
            <w:r>
              <w:rPr>
                <w:rFonts w:hint="default"/>
                <w:highlight w:val="none"/>
                <w:vertAlign w:val="superscript"/>
                <w:lang w:val="en-US" w:eastAsia="zh-CN"/>
              </w:rPr>
              <w:t>3</w:t>
            </w:r>
          </w:p>
        </w:tc>
      </w:tr>
      <w:tr w14:paraId="13ADD00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5"/>
            <w:vAlign w:val="center"/>
          </w:tcPr>
          <w:p w14:paraId="1BB3AA15">
            <w:pPr>
              <w:pStyle w:val="58"/>
              <w:bidi w:val="0"/>
              <w:rPr>
                <w:rFonts w:hint="default"/>
                <w:highlight w:val="none"/>
                <w:lang w:val="en-US" w:eastAsia="zh-CN"/>
              </w:rPr>
            </w:pPr>
            <w:r>
              <w:rPr>
                <w:rFonts w:hint="default"/>
                <w:highlight w:val="none"/>
                <w:lang w:val="en-US" w:eastAsia="zh-CN"/>
              </w:rPr>
              <w:t>注：氨氮指标中，括号外数值为水温＞12℃时的控制指标，括号内数值为水温≤12℃时的控制指标。</w:t>
            </w:r>
          </w:p>
        </w:tc>
      </w:tr>
    </w:tbl>
    <w:p w14:paraId="4BEA2361">
      <w:pPr>
        <w:numPr>
          <w:ilvl w:val="0"/>
          <w:numId w:val="23"/>
        </w:numPr>
        <w:rPr>
          <w:rFonts w:hint="eastAsia"/>
          <w:highlight w:val="none"/>
          <w:lang w:val="en-US" w:eastAsia="zh-CN"/>
        </w:rPr>
      </w:pPr>
      <w:r>
        <w:rPr>
          <w:rFonts w:hint="default"/>
          <w:highlight w:val="none"/>
          <w:lang w:val="en-US" w:eastAsia="zh-CN"/>
        </w:rPr>
        <w:t>服务范围：唐山市曹妃甸区垦丰家居产业园区所有企业。</w:t>
      </w:r>
      <w:r>
        <w:rPr>
          <w:rFonts w:hint="eastAsia"/>
          <w:highlight w:val="none"/>
          <w:lang w:val="en-US" w:eastAsia="zh-CN"/>
        </w:rPr>
        <w:t>（详见附图11）</w:t>
      </w:r>
    </w:p>
    <w:p w14:paraId="1D242F81">
      <w:pPr>
        <w:rPr>
          <w:rFonts w:hint="default" w:ascii="Times New Roman" w:hAnsi="Times New Roman" w:cs="Times New Roman"/>
          <w:highlight w:val="none"/>
          <w:lang w:val="en-US" w:eastAsia="zh-CN"/>
        </w:rPr>
      </w:pPr>
      <w:r>
        <w:rPr>
          <w:rFonts w:hint="eastAsia" w:ascii="Times New Roman" w:hAnsi="Times New Roman" w:cs="Times New Roman"/>
          <w:highlight w:val="none"/>
          <w:lang w:val="en-US" w:eastAsia="zh-CN"/>
        </w:rPr>
        <w:t>目前正在排入与建成后有意向排入园区污水处理厂的企业废水排放量如下表所示：</w:t>
      </w:r>
    </w:p>
    <w:p w14:paraId="00C94E29">
      <w:pPr>
        <w:widowControl/>
        <w:numPr>
          <w:ilvl w:val="0"/>
          <w:numId w:val="24"/>
        </w:numPr>
        <w:ind w:left="425" w:leftChars="0" w:hanging="425" w:firstLineChars="0"/>
        <w:jc w:val="center"/>
        <w:rPr>
          <w:rFonts w:hint="default" w:ascii="Times New Roman" w:hAnsi="Times New Roman" w:eastAsia="宋体" w:cs="Times New Roman"/>
          <w:b/>
          <w:color w:val="000000" w:themeColor="text1"/>
          <w:kern w:val="0"/>
          <w:sz w:val="24"/>
          <w:highlight w:val="none"/>
          <w:shd w:val="clear" w:color="auto" w:fill="auto"/>
          <w:lang w:val="zh-CN"/>
          <w14:textFill>
            <w14:solidFill>
              <w14:schemeClr w14:val="tx1"/>
            </w14:solidFill>
          </w14:textFill>
        </w:rPr>
      </w:pPr>
      <w:r>
        <w:rPr>
          <w:rFonts w:hint="default" w:ascii="Times New Roman" w:hAnsi="Times New Roman" w:eastAsia="宋体" w:cs="Times New Roman"/>
          <w:b/>
          <w:color w:val="000000" w:themeColor="text1"/>
          <w:kern w:val="0"/>
          <w:sz w:val="24"/>
          <w:highlight w:val="none"/>
          <w:shd w:val="clear" w:color="auto" w:fill="auto"/>
          <w:lang w:val="zh-CN" w:eastAsia="zh-CN"/>
          <w14:textFill>
            <w14:solidFill>
              <w14:schemeClr w14:val="tx1"/>
            </w14:solidFill>
          </w14:textFill>
        </w:rPr>
        <w:t>唐山市曹妃甸区垦丰家居产业园区</w:t>
      </w:r>
      <w:r>
        <w:rPr>
          <w:rFonts w:hint="default" w:ascii="Times New Roman" w:hAnsi="Times New Roman" w:eastAsia="宋体" w:cs="Times New Roman"/>
          <w:b/>
          <w:color w:val="000000" w:themeColor="text1"/>
          <w:kern w:val="0"/>
          <w:sz w:val="24"/>
          <w:highlight w:val="none"/>
          <w:shd w:val="clear" w:color="auto" w:fill="auto"/>
          <w:lang w:val="zh-CN"/>
          <w14:textFill>
            <w14:solidFill>
              <w14:schemeClr w14:val="tx1"/>
            </w14:solidFill>
          </w14:textFill>
        </w:rPr>
        <w:t>企业</w:t>
      </w:r>
      <w:r>
        <w:rPr>
          <w:rFonts w:hint="eastAsia" w:cs="Times New Roman"/>
          <w:b/>
          <w:color w:val="000000" w:themeColor="text1"/>
          <w:kern w:val="0"/>
          <w:sz w:val="24"/>
          <w:highlight w:val="none"/>
          <w:shd w:val="clear" w:color="auto" w:fill="auto"/>
          <w:lang w:val="en-US" w:eastAsia="zh-CN"/>
          <w14:textFill>
            <w14:solidFill>
              <w14:schemeClr w14:val="tx1"/>
            </w14:solidFill>
          </w14:textFill>
        </w:rPr>
        <w:t>废水</w:t>
      </w:r>
      <w:r>
        <w:rPr>
          <w:rFonts w:hint="default" w:ascii="Times New Roman" w:hAnsi="Times New Roman" w:eastAsia="宋体" w:cs="Times New Roman"/>
          <w:b/>
          <w:color w:val="000000" w:themeColor="text1"/>
          <w:kern w:val="0"/>
          <w:sz w:val="24"/>
          <w:highlight w:val="none"/>
          <w:shd w:val="clear" w:color="auto" w:fill="auto"/>
          <w:lang w:val="zh-CN"/>
          <w14:textFill>
            <w14:solidFill>
              <w14:schemeClr w14:val="tx1"/>
            </w14:solidFill>
          </w14:textFill>
        </w:rPr>
        <w:t>排放情况一览表  单位：</w:t>
      </w:r>
      <w:r>
        <w:rPr>
          <w:rFonts w:hint="eastAsia" w:cs="Times New Roman"/>
          <w:b/>
          <w:color w:val="000000" w:themeColor="text1"/>
          <w:kern w:val="0"/>
          <w:sz w:val="24"/>
          <w:highlight w:val="none"/>
          <w:shd w:val="clear" w:color="auto" w:fill="auto"/>
          <w:lang w:val="en-US" w:eastAsia="zh-CN"/>
          <w14:textFill>
            <w14:solidFill>
              <w14:schemeClr w14:val="tx1"/>
            </w14:solidFill>
          </w14:textFill>
        </w:rPr>
        <w:t>m</w:t>
      </w:r>
      <w:r>
        <w:rPr>
          <w:rFonts w:hint="eastAsia" w:cs="Times New Roman"/>
          <w:b/>
          <w:color w:val="000000" w:themeColor="text1"/>
          <w:kern w:val="0"/>
          <w:sz w:val="24"/>
          <w:highlight w:val="none"/>
          <w:shd w:val="clear" w:color="auto" w:fill="auto"/>
          <w:vertAlign w:val="superscript"/>
          <w:lang w:val="en-US" w:eastAsia="zh-CN"/>
          <w14:textFill>
            <w14:solidFill>
              <w14:schemeClr w14:val="tx1"/>
            </w14:solidFill>
          </w14:textFill>
        </w:rPr>
        <w:t>3</w:t>
      </w:r>
      <w:r>
        <w:rPr>
          <w:rFonts w:hint="default" w:ascii="Times New Roman" w:hAnsi="Times New Roman" w:eastAsia="宋体" w:cs="Times New Roman"/>
          <w:b/>
          <w:color w:val="000000" w:themeColor="text1"/>
          <w:kern w:val="0"/>
          <w:sz w:val="24"/>
          <w:highlight w:val="none"/>
          <w:shd w:val="clear" w:color="auto" w:fill="auto"/>
          <w:lang w:val="zh-CN"/>
          <w14:textFill>
            <w14:solidFill>
              <w14:schemeClr w14:val="tx1"/>
            </w14:solidFill>
          </w14:textFill>
        </w:rPr>
        <w:t>/</w:t>
      </w:r>
      <w:r>
        <w:rPr>
          <w:rFonts w:hint="eastAsia" w:cs="Times New Roman"/>
          <w:b/>
          <w:color w:val="000000" w:themeColor="text1"/>
          <w:kern w:val="0"/>
          <w:sz w:val="24"/>
          <w:highlight w:val="none"/>
          <w:shd w:val="clear" w:color="auto" w:fill="auto"/>
          <w:lang w:val="en-US" w:eastAsia="zh-CN"/>
          <w14:textFill>
            <w14:solidFill>
              <w14:schemeClr w14:val="tx1"/>
            </w14:solidFill>
          </w14:textFill>
        </w:rPr>
        <w:t>d</w:t>
      </w:r>
    </w:p>
    <w:tbl>
      <w:tblPr>
        <w:tblStyle w:val="48"/>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547"/>
        <w:gridCol w:w="2331"/>
        <w:gridCol w:w="999"/>
        <w:gridCol w:w="1197"/>
        <w:gridCol w:w="1788"/>
        <w:gridCol w:w="2426"/>
      </w:tblGrid>
      <w:tr w14:paraId="1EB5310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16" w:hRule="atLeast"/>
          <w:tblHeader/>
        </w:trPr>
        <w:tc>
          <w:tcPr>
            <w:tcW w:w="0" w:type="auto"/>
            <w:tcBorders>
              <w:tl2br w:val="nil"/>
              <w:tr2bl w:val="nil"/>
            </w:tcBorders>
            <w:noWrap w:val="0"/>
            <w:vAlign w:val="center"/>
          </w:tcPr>
          <w:p w14:paraId="77880222">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序号</w:t>
            </w:r>
          </w:p>
        </w:tc>
        <w:tc>
          <w:tcPr>
            <w:tcW w:w="2331" w:type="dxa"/>
            <w:tcBorders>
              <w:tl2br w:val="nil"/>
              <w:tr2bl w:val="nil"/>
            </w:tcBorders>
            <w:noWrap w:val="0"/>
            <w:vAlign w:val="center"/>
          </w:tcPr>
          <w:p w14:paraId="212F7FD8">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企业名称</w:t>
            </w:r>
          </w:p>
        </w:tc>
        <w:tc>
          <w:tcPr>
            <w:tcW w:w="999" w:type="dxa"/>
            <w:tcBorders>
              <w:tl2br w:val="nil"/>
              <w:tr2bl w:val="nil"/>
            </w:tcBorders>
            <w:noWrap w:val="0"/>
            <w:vAlign w:val="center"/>
          </w:tcPr>
          <w:p w14:paraId="1413D4ED">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生活污水量</w:t>
            </w:r>
          </w:p>
        </w:tc>
        <w:tc>
          <w:tcPr>
            <w:tcW w:w="0" w:type="auto"/>
            <w:tcBorders>
              <w:tl2br w:val="nil"/>
              <w:tr2bl w:val="nil"/>
            </w:tcBorders>
            <w:noWrap w:val="0"/>
            <w:vAlign w:val="center"/>
          </w:tcPr>
          <w:p w14:paraId="64ABF842">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工业废水排放量</w:t>
            </w:r>
          </w:p>
        </w:tc>
        <w:tc>
          <w:tcPr>
            <w:tcW w:w="1788" w:type="dxa"/>
            <w:tcBorders>
              <w:tl2br w:val="nil"/>
              <w:tr2bl w:val="nil"/>
            </w:tcBorders>
            <w:noWrap w:val="0"/>
            <w:vAlign w:val="center"/>
          </w:tcPr>
          <w:p w14:paraId="7AEF804B">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排放方式</w:t>
            </w:r>
          </w:p>
        </w:tc>
        <w:tc>
          <w:tcPr>
            <w:tcW w:w="2426" w:type="dxa"/>
            <w:tcBorders>
              <w:tl2br w:val="nil"/>
              <w:tr2bl w:val="nil"/>
            </w:tcBorders>
            <w:noWrap w:val="0"/>
            <w:vAlign w:val="center"/>
          </w:tcPr>
          <w:p w14:paraId="56E5C881">
            <w:pPr>
              <w:pStyle w:val="58"/>
              <w:bidi w:val="0"/>
              <w:rPr>
                <w:rFonts w:hint="eastAsia" w:ascii="Times New Roman" w:hAnsi="Times New Roman" w:eastAsia="宋体" w:cs="Times New Roman"/>
                <w:highlight w:val="none"/>
                <w:lang w:val="en-US" w:eastAsia="zh-CN"/>
              </w:rPr>
            </w:pPr>
            <w:r>
              <w:rPr>
                <w:rFonts w:hint="eastAsia" w:cs="Times New Roman"/>
                <w:highlight w:val="none"/>
                <w:lang w:val="en-US" w:eastAsia="zh-CN"/>
              </w:rPr>
              <w:t>备注</w:t>
            </w:r>
          </w:p>
        </w:tc>
      </w:tr>
      <w:tr w14:paraId="3A4E41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0" w:type="auto"/>
            <w:tcBorders>
              <w:tl2br w:val="nil"/>
              <w:tr2bl w:val="nil"/>
            </w:tcBorders>
            <w:noWrap w:val="0"/>
            <w:vAlign w:val="center"/>
          </w:tcPr>
          <w:p w14:paraId="652EB1D0">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1</w:t>
            </w:r>
          </w:p>
        </w:tc>
        <w:tc>
          <w:tcPr>
            <w:tcW w:w="2331" w:type="dxa"/>
            <w:tcBorders>
              <w:tl2br w:val="nil"/>
              <w:tr2bl w:val="nil"/>
            </w:tcBorders>
            <w:noWrap w:val="0"/>
            <w:vAlign w:val="center"/>
          </w:tcPr>
          <w:p w14:paraId="5C3D4899">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金木美佳（唐山）科技有限公司</w:t>
            </w:r>
          </w:p>
        </w:tc>
        <w:tc>
          <w:tcPr>
            <w:tcW w:w="999" w:type="dxa"/>
            <w:tcBorders>
              <w:tl2br w:val="nil"/>
              <w:tr2bl w:val="nil"/>
            </w:tcBorders>
            <w:noWrap w:val="0"/>
            <w:vAlign w:val="center"/>
          </w:tcPr>
          <w:p w14:paraId="10FD035F">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5910</w:t>
            </w:r>
          </w:p>
        </w:tc>
        <w:tc>
          <w:tcPr>
            <w:tcW w:w="1197" w:type="dxa"/>
            <w:tcBorders>
              <w:tl2br w:val="nil"/>
              <w:tr2bl w:val="nil"/>
            </w:tcBorders>
            <w:noWrap w:val="0"/>
            <w:vAlign w:val="center"/>
          </w:tcPr>
          <w:p w14:paraId="2F2BFFB9">
            <w:pPr>
              <w:pStyle w:val="58"/>
              <w:bidi w:val="0"/>
              <w:rPr>
                <w:rFonts w:hint="default" w:ascii="Times New Roman" w:hAnsi="Times New Roman" w:eastAsia="宋体" w:cs="Times New Roman"/>
                <w:highlight w:val="none"/>
                <w:lang w:val="en-US" w:eastAsia="zh-CN"/>
              </w:rPr>
            </w:pPr>
            <w:r>
              <w:rPr>
                <w:rFonts w:hint="eastAsia" w:cs="Times New Roman"/>
                <w:highlight w:val="none"/>
                <w:lang w:val="en-US" w:eastAsia="zh-CN"/>
              </w:rPr>
              <w:t>250*</w:t>
            </w:r>
          </w:p>
        </w:tc>
        <w:tc>
          <w:tcPr>
            <w:tcW w:w="1788" w:type="dxa"/>
            <w:vMerge w:val="restart"/>
            <w:tcBorders>
              <w:tl2br w:val="nil"/>
              <w:tr2bl w:val="nil"/>
            </w:tcBorders>
            <w:noWrap w:val="0"/>
            <w:vAlign w:val="center"/>
          </w:tcPr>
          <w:p w14:paraId="05742DA1">
            <w:pPr>
              <w:pStyle w:val="58"/>
              <w:bidi w:val="0"/>
              <w:rPr>
                <w:rFonts w:hint="default" w:ascii="Times New Roman" w:hAnsi="Times New Roman" w:eastAsia="宋体" w:cs="Times New Roman"/>
                <w:highlight w:val="none"/>
                <w:lang w:val="en-US" w:eastAsia="zh-CN"/>
              </w:rPr>
            </w:pPr>
            <w:r>
              <w:rPr>
                <w:rFonts w:hint="eastAsia" w:cs="Times New Roman"/>
                <w:highlight w:val="none"/>
                <w:lang w:val="en-US" w:eastAsia="zh-CN"/>
              </w:rPr>
              <w:t>经污水管网</w:t>
            </w:r>
            <w:r>
              <w:rPr>
                <w:rFonts w:hint="eastAsia" w:ascii="Times New Roman" w:hAnsi="Times New Roman" w:eastAsia="宋体" w:cs="Times New Roman"/>
                <w:highlight w:val="none"/>
                <w:lang w:eastAsia="zh-CN"/>
              </w:rPr>
              <w:t>排入</w:t>
            </w:r>
            <w:r>
              <w:rPr>
                <w:rFonts w:hint="eastAsia" w:cs="Times New Roman"/>
                <w:highlight w:val="none"/>
                <w:lang w:val="en-US" w:eastAsia="zh-CN"/>
              </w:rPr>
              <w:t>本项目污水处理系统</w:t>
            </w:r>
          </w:p>
        </w:tc>
        <w:tc>
          <w:tcPr>
            <w:tcW w:w="2426" w:type="dxa"/>
            <w:tcBorders>
              <w:tl2br w:val="nil"/>
              <w:tr2bl w:val="nil"/>
            </w:tcBorders>
            <w:noWrap w:val="0"/>
            <w:vAlign w:val="center"/>
          </w:tcPr>
          <w:p w14:paraId="03114B34">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rPr>
              <w:t>工业废水为</w:t>
            </w:r>
            <w:r>
              <w:rPr>
                <w:rFonts w:hint="default" w:ascii="Times New Roman" w:hAnsi="Times New Roman" w:eastAsia="宋体" w:cs="Times New Roman"/>
                <w:highlight w:val="none"/>
                <w:lang w:val="en-US" w:eastAsia="zh-CN"/>
              </w:rPr>
              <w:t>冷却塔定排水</w:t>
            </w:r>
          </w:p>
        </w:tc>
      </w:tr>
      <w:tr w14:paraId="097D4A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0" w:type="auto"/>
            <w:tcBorders>
              <w:tl2br w:val="nil"/>
              <w:tr2bl w:val="nil"/>
            </w:tcBorders>
            <w:noWrap w:val="0"/>
            <w:vAlign w:val="center"/>
          </w:tcPr>
          <w:p w14:paraId="348DF370">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2</w:t>
            </w:r>
          </w:p>
        </w:tc>
        <w:tc>
          <w:tcPr>
            <w:tcW w:w="2331" w:type="dxa"/>
            <w:tcBorders>
              <w:tl2br w:val="nil"/>
              <w:tr2bl w:val="nil"/>
            </w:tcBorders>
            <w:noWrap w:val="0"/>
            <w:vAlign w:val="center"/>
          </w:tcPr>
          <w:p w14:paraId="452F0EBC">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唐山牧正饲料有限公司</w:t>
            </w:r>
          </w:p>
        </w:tc>
        <w:tc>
          <w:tcPr>
            <w:tcW w:w="999" w:type="dxa"/>
            <w:tcBorders>
              <w:tl2br w:val="nil"/>
              <w:tr2bl w:val="nil"/>
            </w:tcBorders>
            <w:noWrap w:val="0"/>
            <w:vAlign w:val="center"/>
          </w:tcPr>
          <w:p w14:paraId="0F397E92">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756</w:t>
            </w:r>
          </w:p>
        </w:tc>
        <w:tc>
          <w:tcPr>
            <w:tcW w:w="1197" w:type="dxa"/>
            <w:tcBorders>
              <w:tl2br w:val="nil"/>
              <w:tr2bl w:val="nil"/>
            </w:tcBorders>
            <w:noWrap w:val="0"/>
            <w:vAlign w:val="center"/>
          </w:tcPr>
          <w:p w14:paraId="3AA9B08E">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567</w:t>
            </w:r>
            <w:r>
              <w:rPr>
                <w:rFonts w:hint="eastAsia" w:cs="Times New Roman"/>
                <w:highlight w:val="none"/>
                <w:lang w:val="en-US" w:eastAsia="zh-CN"/>
              </w:rPr>
              <w:t>*</w:t>
            </w:r>
          </w:p>
        </w:tc>
        <w:tc>
          <w:tcPr>
            <w:tcW w:w="1788" w:type="dxa"/>
            <w:vMerge w:val="continue"/>
            <w:tcBorders>
              <w:tl2br w:val="nil"/>
              <w:tr2bl w:val="nil"/>
            </w:tcBorders>
            <w:noWrap w:val="0"/>
            <w:vAlign w:val="center"/>
          </w:tcPr>
          <w:p w14:paraId="201BAD8A">
            <w:pPr>
              <w:pStyle w:val="58"/>
              <w:bidi w:val="0"/>
              <w:rPr>
                <w:rFonts w:hint="default" w:ascii="Times New Roman" w:hAnsi="Times New Roman" w:eastAsia="宋体" w:cs="Times New Roman"/>
                <w:highlight w:val="none"/>
              </w:rPr>
            </w:pPr>
          </w:p>
        </w:tc>
        <w:tc>
          <w:tcPr>
            <w:tcW w:w="2426" w:type="dxa"/>
            <w:tcBorders>
              <w:tl2br w:val="nil"/>
              <w:tr2bl w:val="nil"/>
            </w:tcBorders>
            <w:noWrap w:val="0"/>
            <w:vAlign w:val="center"/>
          </w:tcPr>
          <w:p w14:paraId="3D9A61CE">
            <w:pPr>
              <w:pStyle w:val="58"/>
              <w:bidi w:val="0"/>
              <w:rPr>
                <w:rFonts w:hint="eastAsia" w:ascii="Times New Roman" w:hAnsi="Times New Roman" w:eastAsia="宋体" w:cs="Times New Roman"/>
                <w:highlight w:val="none"/>
                <w:lang w:eastAsia="zh-CN"/>
              </w:rPr>
            </w:pPr>
            <w:r>
              <w:rPr>
                <w:rFonts w:hint="default" w:ascii="Times New Roman" w:hAnsi="Times New Roman" w:eastAsia="宋体" w:cs="Times New Roman"/>
                <w:highlight w:val="none"/>
              </w:rPr>
              <w:t>工业废水为</w:t>
            </w:r>
            <w:r>
              <w:rPr>
                <w:rFonts w:hint="eastAsia" w:cs="Times New Roman"/>
                <w:highlight w:val="none"/>
                <w:lang w:eastAsia="zh-CN"/>
              </w:rPr>
              <w:t>锅炉排水</w:t>
            </w:r>
          </w:p>
        </w:tc>
      </w:tr>
      <w:tr w14:paraId="31FA804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0" w:type="auto"/>
            <w:tcBorders>
              <w:tl2br w:val="nil"/>
              <w:tr2bl w:val="nil"/>
            </w:tcBorders>
            <w:noWrap w:val="0"/>
            <w:vAlign w:val="center"/>
          </w:tcPr>
          <w:p w14:paraId="71773471">
            <w:pPr>
              <w:pStyle w:val="58"/>
              <w:bidi w:val="0"/>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3</w:t>
            </w:r>
          </w:p>
        </w:tc>
        <w:tc>
          <w:tcPr>
            <w:tcW w:w="2331" w:type="dxa"/>
            <w:tcBorders>
              <w:tl2br w:val="nil"/>
              <w:tr2bl w:val="nil"/>
            </w:tcBorders>
            <w:noWrap w:val="0"/>
            <w:vAlign w:val="center"/>
          </w:tcPr>
          <w:p w14:paraId="58145358">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eastAsia="zh-CN"/>
              </w:rPr>
              <w:t>唐山市海鹭家具有限公司</w:t>
            </w:r>
          </w:p>
        </w:tc>
        <w:tc>
          <w:tcPr>
            <w:tcW w:w="999" w:type="dxa"/>
            <w:tcBorders>
              <w:tl2br w:val="nil"/>
              <w:tr2bl w:val="nil"/>
            </w:tcBorders>
            <w:noWrap w:val="0"/>
            <w:vAlign w:val="center"/>
          </w:tcPr>
          <w:p w14:paraId="371B9EE1">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540</w:t>
            </w:r>
          </w:p>
        </w:tc>
        <w:tc>
          <w:tcPr>
            <w:tcW w:w="1197" w:type="dxa"/>
            <w:tcBorders>
              <w:tl2br w:val="nil"/>
              <w:tr2bl w:val="nil"/>
            </w:tcBorders>
            <w:noWrap w:val="0"/>
            <w:vAlign w:val="center"/>
          </w:tcPr>
          <w:p w14:paraId="16A11E24">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0</w:t>
            </w:r>
          </w:p>
        </w:tc>
        <w:tc>
          <w:tcPr>
            <w:tcW w:w="1788" w:type="dxa"/>
            <w:vMerge w:val="continue"/>
            <w:tcBorders>
              <w:tl2br w:val="nil"/>
              <w:tr2bl w:val="nil"/>
            </w:tcBorders>
            <w:noWrap w:val="0"/>
            <w:vAlign w:val="center"/>
          </w:tcPr>
          <w:p w14:paraId="338547DD">
            <w:pPr>
              <w:pStyle w:val="58"/>
              <w:bidi w:val="0"/>
              <w:rPr>
                <w:rFonts w:hint="default" w:ascii="Times New Roman" w:hAnsi="Times New Roman" w:eastAsia="宋体" w:cs="Times New Roman"/>
                <w:highlight w:val="none"/>
                <w:lang w:val="en-US" w:eastAsia="zh-CN"/>
              </w:rPr>
            </w:pPr>
          </w:p>
        </w:tc>
        <w:tc>
          <w:tcPr>
            <w:tcW w:w="2426" w:type="dxa"/>
            <w:tcBorders>
              <w:tl2br w:val="nil"/>
              <w:tr2bl w:val="nil"/>
            </w:tcBorders>
            <w:noWrap w:val="0"/>
            <w:vAlign w:val="center"/>
          </w:tcPr>
          <w:p w14:paraId="4F51AD3E">
            <w:pPr>
              <w:pStyle w:val="58"/>
              <w:bidi w:val="0"/>
              <w:rPr>
                <w:rFonts w:hint="default" w:ascii="Times New Roman" w:hAnsi="Times New Roman" w:eastAsia="宋体" w:cs="Times New Roman"/>
                <w:highlight w:val="none"/>
                <w:lang w:val="en-US" w:eastAsia="zh-CN"/>
              </w:rPr>
            </w:pPr>
            <w:r>
              <w:rPr>
                <w:rFonts w:hint="eastAsia" w:cs="Times New Roman"/>
                <w:highlight w:val="none"/>
                <w:lang w:val="en-US" w:eastAsia="zh-CN"/>
              </w:rPr>
              <w:t>/</w:t>
            </w:r>
          </w:p>
        </w:tc>
      </w:tr>
      <w:tr w14:paraId="4DEA2C9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0" w:type="auto"/>
            <w:tcBorders>
              <w:tl2br w:val="nil"/>
              <w:tr2bl w:val="nil"/>
            </w:tcBorders>
            <w:noWrap w:val="0"/>
            <w:vAlign w:val="center"/>
          </w:tcPr>
          <w:p w14:paraId="151D942C">
            <w:pPr>
              <w:pStyle w:val="58"/>
              <w:bidi w:val="0"/>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4</w:t>
            </w:r>
          </w:p>
        </w:tc>
        <w:tc>
          <w:tcPr>
            <w:tcW w:w="2331" w:type="dxa"/>
            <w:tcBorders>
              <w:tl2br w:val="nil"/>
              <w:tr2bl w:val="nil"/>
            </w:tcBorders>
            <w:noWrap w:val="0"/>
            <w:vAlign w:val="center"/>
          </w:tcPr>
          <w:p w14:paraId="30053A84">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京武建材科技（唐山）有限公司</w:t>
            </w:r>
          </w:p>
        </w:tc>
        <w:tc>
          <w:tcPr>
            <w:tcW w:w="999" w:type="dxa"/>
            <w:tcBorders>
              <w:tl2br w:val="nil"/>
              <w:tr2bl w:val="nil"/>
            </w:tcBorders>
            <w:noWrap w:val="0"/>
            <w:vAlign w:val="center"/>
          </w:tcPr>
          <w:p w14:paraId="658C6A60">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480</w:t>
            </w:r>
          </w:p>
        </w:tc>
        <w:tc>
          <w:tcPr>
            <w:tcW w:w="1197" w:type="dxa"/>
            <w:tcBorders>
              <w:tl2br w:val="nil"/>
              <w:tr2bl w:val="nil"/>
            </w:tcBorders>
            <w:noWrap w:val="0"/>
            <w:vAlign w:val="center"/>
          </w:tcPr>
          <w:p w14:paraId="15CD91BF">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530</w:t>
            </w:r>
          </w:p>
        </w:tc>
        <w:tc>
          <w:tcPr>
            <w:tcW w:w="1788" w:type="dxa"/>
            <w:vMerge w:val="continue"/>
            <w:tcBorders>
              <w:tl2br w:val="nil"/>
              <w:tr2bl w:val="nil"/>
            </w:tcBorders>
            <w:noWrap w:val="0"/>
            <w:vAlign w:val="center"/>
          </w:tcPr>
          <w:p w14:paraId="04C042FE">
            <w:pPr>
              <w:pStyle w:val="58"/>
              <w:bidi w:val="0"/>
              <w:rPr>
                <w:rFonts w:hint="default" w:ascii="Times New Roman" w:hAnsi="Times New Roman" w:eastAsia="宋体" w:cs="Times New Roman"/>
                <w:highlight w:val="none"/>
                <w:lang w:val="en-US" w:eastAsia="zh-CN"/>
              </w:rPr>
            </w:pPr>
          </w:p>
        </w:tc>
        <w:tc>
          <w:tcPr>
            <w:tcW w:w="2426" w:type="dxa"/>
            <w:tcBorders>
              <w:tl2br w:val="nil"/>
              <w:tr2bl w:val="nil"/>
            </w:tcBorders>
            <w:noWrap w:val="0"/>
            <w:vAlign w:val="center"/>
          </w:tcPr>
          <w:p w14:paraId="2C355C76">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工业废水为冷却塔定排水</w:t>
            </w:r>
          </w:p>
        </w:tc>
      </w:tr>
      <w:tr w14:paraId="2C11979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0" w:type="auto"/>
            <w:tcBorders>
              <w:tl2br w:val="nil"/>
              <w:tr2bl w:val="nil"/>
            </w:tcBorders>
            <w:noWrap w:val="0"/>
            <w:vAlign w:val="center"/>
          </w:tcPr>
          <w:p w14:paraId="7DF8E8D6">
            <w:pPr>
              <w:pStyle w:val="58"/>
              <w:bidi w:val="0"/>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5</w:t>
            </w:r>
          </w:p>
        </w:tc>
        <w:tc>
          <w:tcPr>
            <w:tcW w:w="2331" w:type="dxa"/>
            <w:tcBorders>
              <w:tl2br w:val="nil"/>
              <w:tr2bl w:val="nil"/>
            </w:tcBorders>
            <w:noWrap w:val="0"/>
            <w:vAlign w:val="center"/>
          </w:tcPr>
          <w:p w14:paraId="3E733332">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唐山展华新能源科技有限公司</w:t>
            </w:r>
          </w:p>
        </w:tc>
        <w:tc>
          <w:tcPr>
            <w:tcW w:w="999" w:type="dxa"/>
            <w:tcBorders>
              <w:tl2br w:val="nil"/>
              <w:tr2bl w:val="nil"/>
            </w:tcBorders>
            <w:noWrap w:val="0"/>
            <w:vAlign w:val="center"/>
          </w:tcPr>
          <w:p w14:paraId="4B55887C">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554</w:t>
            </w:r>
          </w:p>
        </w:tc>
        <w:tc>
          <w:tcPr>
            <w:tcW w:w="1197" w:type="dxa"/>
            <w:tcBorders>
              <w:tl2br w:val="nil"/>
              <w:tr2bl w:val="nil"/>
            </w:tcBorders>
            <w:noWrap w:val="0"/>
            <w:vAlign w:val="center"/>
          </w:tcPr>
          <w:p w14:paraId="45218918">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581</w:t>
            </w:r>
          </w:p>
        </w:tc>
        <w:tc>
          <w:tcPr>
            <w:tcW w:w="1788" w:type="dxa"/>
            <w:vMerge w:val="continue"/>
            <w:tcBorders>
              <w:tl2br w:val="nil"/>
              <w:tr2bl w:val="nil"/>
            </w:tcBorders>
            <w:noWrap w:val="0"/>
            <w:vAlign w:val="center"/>
          </w:tcPr>
          <w:p w14:paraId="2A4A3F31">
            <w:pPr>
              <w:pStyle w:val="58"/>
              <w:bidi w:val="0"/>
              <w:rPr>
                <w:rFonts w:hint="default" w:ascii="Times New Roman" w:hAnsi="Times New Roman" w:eastAsia="宋体" w:cs="Times New Roman"/>
                <w:highlight w:val="none"/>
                <w:lang w:val="en-US" w:eastAsia="zh-CN"/>
              </w:rPr>
            </w:pPr>
          </w:p>
        </w:tc>
        <w:tc>
          <w:tcPr>
            <w:tcW w:w="2426" w:type="dxa"/>
            <w:tcBorders>
              <w:tl2br w:val="nil"/>
              <w:tr2bl w:val="nil"/>
            </w:tcBorders>
            <w:noWrap w:val="0"/>
            <w:vAlign w:val="center"/>
          </w:tcPr>
          <w:p w14:paraId="1CF8D9E2">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工业废水为冷却塔定排水</w:t>
            </w:r>
          </w:p>
        </w:tc>
      </w:tr>
      <w:tr w14:paraId="016DF5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0" w:type="auto"/>
            <w:tcBorders>
              <w:tl2br w:val="nil"/>
              <w:tr2bl w:val="nil"/>
            </w:tcBorders>
            <w:noWrap w:val="0"/>
            <w:vAlign w:val="center"/>
          </w:tcPr>
          <w:p w14:paraId="7EFB0EFD">
            <w:pPr>
              <w:pStyle w:val="58"/>
              <w:bidi w:val="0"/>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6</w:t>
            </w:r>
          </w:p>
        </w:tc>
        <w:tc>
          <w:tcPr>
            <w:tcW w:w="2331" w:type="dxa"/>
            <w:tcBorders>
              <w:tl2br w:val="nil"/>
              <w:tr2bl w:val="nil"/>
            </w:tcBorders>
            <w:noWrap w:val="0"/>
            <w:vAlign w:val="center"/>
          </w:tcPr>
          <w:p w14:paraId="793FA349">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金木美佳（唐山）科技有限公司</w:t>
            </w:r>
            <w:r>
              <w:rPr>
                <w:rFonts w:hint="eastAsia" w:ascii="Times New Roman" w:hAnsi="Times New Roman" w:eastAsia="宋体" w:cs="Times New Roman"/>
                <w:highlight w:val="none"/>
                <w:lang w:val="en-US" w:eastAsia="zh-CN"/>
              </w:rPr>
              <w:t>二期</w:t>
            </w:r>
          </w:p>
        </w:tc>
        <w:tc>
          <w:tcPr>
            <w:tcW w:w="999" w:type="dxa"/>
            <w:tcBorders>
              <w:tl2br w:val="nil"/>
              <w:tr2bl w:val="nil"/>
            </w:tcBorders>
            <w:noWrap w:val="0"/>
            <w:vAlign w:val="center"/>
          </w:tcPr>
          <w:p w14:paraId="0FD676EB">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4368</w:t>
            </w:r>
          </w:p>
        </w:tc>
        <w:tc>
          <w:tcPr>
            <w:tcW w:w="1197" w:type="dxa"/>
            <w:tcBorders>
              <w:tl2br w:val="nil"/>
              <w:tr2bl w:val="nil"/>
            </w:tcBorders>
            <w:noWrap w:val="0"/>
            <w:vAlign w:val="center"/>
          </w:tcPr>
          <w:p w14:paraId="760695D5">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600</w:t>
            </w:r>
          </w:p>
        </w:tc>
        <w:tc>
          <w:tcPr>
            <w:tcW w:w="1788" w:type="dxa"/>
            <w:vMerge w:val="continue"/>
            <w:tcBorders>
              <w:tl2br w:val="nil"/>
              <w:tr2bl w:val="nil"/>
            </w:tcBorders>
            <w:noWrap w:val="0"/>
            <w:vAlign w:val="center"/>
          </w:tcPr>
          <w:p w14:paraId="3B6B0F7E">
            <w:pPr>
              <w:pStyle w:val="58"/>
              <w:bidi w:val="0"/>
              <w:rPr>
                <w:rFonts w:hint="default" w:ascii="Times New Roman" w:hAnsi="Times New Roman" w:eastAsia="宋体" w:cs="Times New Roman"/>
                <w:highlight w:val="none"/>
                <w:lang w:val="en-US" w:eastAsia="zh-CN"/>
              </w:rPr>
            </w:pPr>
          </w:p>
        </w:tc>
        <w:tc>
          <w:tcPr>
            <w:tcW w:w="2426" w:type="dxa"/>
            <w:tcBorders>
              <w:tl2br w:val="nil"/>
              <w:tr2bl w:val="nil"/>
            </w:tcBorders>
            <w:noWrap w:val="0"/>
            <w:vAlign w:val="center"/>
          </w:tcPr>
          <w:p w14:paraId="5D10B3A8">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工业废水为冷却塔定排水</w:t>
            </w:r>
          </w:p>
        </w:tc>
      </w:tr>
      <w:tr w14:paraId="265B687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0" w:type="auto"/>
            <w:tcBorders>
              <w:tl2br w:val="nil"/>
              <w:tr2bl w:val="nil"/>
            </w:tcBorders>
            <w:noWrap w:val="0"/>
            <w:vAlign w:val="center"/>
          </w:tcPr>
          <w:p w14:paraId="18AF95C8">
            <w:pPr>
              <w:pStyle w:val="58"/>
              <w:bidi w:val="0"/>
              <w:rPr>
                <w:rFonts w:hint="default" w:ascii="Times New Roman" w:hAnsi="Times New Roman" w:eastAsia="宋体" w:cs="Times New Roman"/>
                <w:highlight w:val="none"/>
                <w:lang w:val="en-US" w:eastAsia="zh-CN"/>
              </w:rPr>
            </w:pPr>
            <w:r>
              <w:rPr>
                <w:rFonts w:hint="eastAsia" w:cs="Times New Roman"/>
                <w:highlight w:val="none"/>
                <w:lang w:val="en-US" w:eastAsia="zh-CN"/>
              </w:rPr>
              <w:t>7</w:t>
            </w:r>
          </w:p>
        </w:tc>
        <w:tc>
          <w:tcPr>
            <w:tcW w:w="2331" w:type="dxa"/>
            <w:tcBorders>
              <w:tl2br w:val="nil"/>
              <w:tr2bl w:val="nil"/>
            </w:tcBorders>
            <w:noWrap w:val="0"/>
            <w:vAlign w:val="center"/>
          </w:tcPr>
          <w:p w14:paraId="4232D55C">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国电申能唐山新能源开发有限公司</w:t>
            </w:r>
          </w:p>
        </w:tc>
        <w:tc>
          <w:tcPr>
            <w:tcW w:w="999" w:type="dxa"/>
            <w:tcBorders>
              <w:tl2br w:val="nil"/>
              <w:tr2bl w:val="nil"/>
            </w:tcBorders>
            <w:noWrap w:val="0"/>
            <w:vAlign w:val="center"/>
          </w:tcPr>
          <w:p w14:paraId="32E8C370">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180</w:t>
            </w:r>
          </w:p>
        </w:tc>
        <w:tc>
          <w:tcPr>
            <w:tcW w:w="1197" w:type="dxa"/>
            <w:tcBorders>
              <w:tl2br w:val="nil"/>
              <w:tr2bl w:val="nil"/>
            </w:tcBorders>
            <w:noWrap w:val="0"/>
            <w:vAlign w:val="center"/>
          </w:tcPr>
          <w:p w14:paraId="6C0F5A2A">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613</w:t>
            </w:r>
          </w:p>
        </w:tc>
        <w:tc>
          <w:tcPr>
            <w:tcW w:w="1788" w:type="dxa"/>
            <w:vMerge w:val="continue"/>
            <w:tcBorders>
              <w:tl2br w:val="nil"/>
              <w:tr2bl w:val="nil"/>
            </w:tcBorders>
            <w:noWrap w:val="0"/>
            <w:vAlign w:val="center"/>
          </w:tcPr>
          <w:p w14:paraId="45860032">
            <w:pPr>
              <w:pStyle w:val="58"/>
              <w:bidi w:val="0"/>
              <w:rPr>
                <w:rFonts w:hint="default" w:ascii="Times New Roman" w:hAnsi="Times New Roman" w:eastAsia="宋体" w:cs="Times New Roman"/>
                <w:highlight w:val="none"/>
                <w:lang w:val="en-US" w:eastAsia="zh-CN"/>
              </w:rPr>
            </w:pPr>
          </w:p>
        </w:tc>
        <w:tc>
          <w:tcPr>
            <w:tcW w:w="2426" w:type="dxa"/>
            <w:tcBorders>
              <w:tl2br w:val="nil"/>
              <w:tr2bl w:val="nil"/>
            </w:tcBorders>
            <w:noWrap w:val="0"/>
            <w:vAlign w:val="center"/>
          </w:tcPr>
          <w:p w14:paraId="0109BA21">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工业废水为光伏组件清洗废水</w:t>
            </w:r>
          </w:p>
        </w:tc>
      </w:tr>
      <w:tr w14:paraId="4D0A647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878" w:type="dxa"/>
            <w:gridSpan w:val="2"/>
            <w:tcBorders>
              <w:tl2br w:val="nil"/>
              <w:tr2bl w:val="nil"/>
            </w:tcBorders>
            <w:noWrap w:val="0"/>
            <w:vAlign w:val="center"/>
          </w:tcPr>
          <w:p w14:paraId="06708AE1">
            <w:pPr>
              <w:pStyle w:val="58"/>
              <w:bidi w:val="0"/>
              <w:rPr>
                <w:rFonts w:hint="default" w:ascii="Times New Roman" w:hAnsi="Times New Roman" w:eastAsia="宋体" w:cs="Times New Roman"/>
                <w:highlight w:val="none"/>
                <w:lang w:val="en-US" w:eastAsia="zh-CN"/>
              </w:rPr>
            </w:pPr>
            <w:r>
              <w:rPr>
                <w:rFonts w:hint="eastAsia" w:cs="Times New Roman"/>
                <w:highlight w:val="none"/>
                <w:lang w:val="en-US" w:eastAsia="zh-CN"/>
              </w:rPr>
              <w:t>合计</w:t>
            </w:r>
          </w:p>
        </w:tc>
        <w:tc>
          <w:tcPr>
            <w:tcW w:w="999" w:type="dxa"/>
            <w:tcBorders>
              <w:tl2br w:val="nil"/>
              <w:tr2bl w:val="nil"/>
            </w:tcBorders>
            <w:noWrap w:val="0"/>
            <w:vAlign w:val="center"/>
          </w:tcPr>
          <w:p w14:paraId="3EC26A1D">
            <w:pPr>
              <w:pStyle w:val="58"/>
              <w:bidi w:val="0"/>
              <w:rPr>
                <w:rFonts w:hint="eastAsia"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12788</w:t>
            </w:r>
          </w:p>
        </w:tc>
        <w:tc>
          <w:tcPr>
            <w:tcW w:w="1197" w:type="dxa"/>
            <w:tcBorders>
              <w:tl2br w:val="nil"/>
              <w:tr2bl w:val="nil"/>
            </w:tcBorders>
            <w:noWrap w:val="0"/>
            <w:vAlign w:val="center"/>
          </w:tcPr>
          <w:p w14:paraId="07BFD02D">
            <w:pPr>
              <w:pStyle w:val="58"/>
              <w:bidi w:val="0"/>
              <w:rPr>
                <w:rFonts w:hint="eastAsia"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3141</w:t>
            </w:r>
          </w:p>
        </w:tc>
        <w:tc>
          <w:tcPr>
            <w:tcW w:w="1788" w:type="dxa"/>
            <w:tcBorders>
              <w:tl2br w:val="nil"/>
              <w:tr2bl w:val="nil"/>
            </w:tcBorders>
            <w:noWrap w:val="0"/>
            <w:vAlign w:val="center"/>
          </w:tcPr>
          <w:p w14:paraId="4019D7B3">
            <w:pPr>
              <w:pStyle w:val="58"/>
              <w:bidi w:val="0"/>
              <w:rPr>
                <w:rFonts w:hint="default" w:ascii="Times New Roman" w:hAnsi="Times New Roman" w:eastAsia="宋体" w:cs="Times New Roman"/>
                <w:highlight w:val="none"/>
                <w:lang w:val="en-US" w:eastAsia="zh-CN"/>
              </w:rPr>
            </w:pPr>
            <w:r>
              <w:rPr>
                <w:rFonts w:hint="eastAsia" w:cs="Times New Roman"/>
                <w:highlight w:val="none"/>
                <w:lang w:val="en-US" w:eastAsia="zh-CN"/>
              </w:rPr>
              <w:t>/</w:t>
            </w:r>
          </w:p>
        </w:tc>
        <w:tc>
          <w:tcPr>
            <w:tcW w:w="2426" w:type="dxa"/>
            <w:tcBorders>
              <w:tl2br w:val="nil"/>
              <w:tr2bl w:val="nil"/>
            </w:tcBorders>
            <w:noWrap w:val="0"/>
            <w:vAlign w:val="center"/>
          </w:tcPr>
          <w:p w14:paraId="19D05768">
            <w:pPr>
              <w:pStyle w:val="58"/>
              <w:bidi w:val="0"/>
              <w:rPr>
                <w:rFonts w:hint="default" w:ascii="Times New Roman" w:hAnsi="Times New Roman" w:eastAsia="宋体" w:cs="Times New Roman"/>
                <w:highlight w:val="none"/>
                <w:lang w:val="en-US" w:eastAsia="zh-CN"/>
              </w:rPr>
            </w:pPr>
            <w:r>
              <w:rPr>
                <w:rFonts w:hint="eastAsia" w:cs="Times New Roman"/>
                <w:highlight w:val="none"/>
                <w:lang w:val="en-US" w:eastAsia="zh-CN"/>
              </w:rPr>
              <w:t>/</w:t>
            </w:r>
          </w:p>
        </w:tc>
      </w:tr>
    </w:tbl>
    <w:p w14:paraId="49E4D58B">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highlight w:val="none"/>
          <w:lang w:val="en-US" w:eastAsia="zh-CN"/>
        </w:rPr>
      </w:pPr>
      <w:r>
        <w:rPr>
          <w:rFonts w:hint="eastAsia"/>
          <w:b/>
          <w:bCs/>
          <w:sz w:val="22"/>
          <w:szCs w:val="22"/>
          <w:highlight w:val="none"/>
          <w:lang w:val="en-US" w:eastAsia="zh-CN"/>
        </w:rPr>
        <w:t>备注：*污水处理厂扩建完成后开始排放。</w:t>
      </w:r>
    </w:p>
    <w:p w14:paraId="706F9E1A">
      <w:pPr>
        <w:keepNext w:val="0"/>
        <w:keepLines w:val="0"/>
        <w:pageBreakBefore w:val="0"/>
        <w:widowControl w:val="0"/>
        <w:kinsoku/>
        <w:wordWrap/>
        <w:overflowPunct/>
        <w:topLinePunct w:val="0"/>
        <w:autoSpaceDE/>
        <w:autoSpaceDN/>
        <w:bidi w:val="0"/>
        <w:adjustRightInd/>
        <w:snapToGrid/>
        <w:spacing w:line="480" w:lineRule="exact"/>
        <w:ind w:left="0" w:leftChars="0" w:firstLine="480" w:firstLineChars="200"/>
        <w:textAlignment w:val="auto"/>
        <w:rPr>
          <w:rFonts w:hint="default"/>
          <w:highlight w:val="none"/>
          <w:lang w:val="en-US" w:eastAsia="zh-CN"/>
        </w:rPr>
      </w:pPr>
      <w:r>
        <w:rPr>
          <w:rFonts w:hint="eastAsia"/>
          <w:highlight w:val="none"/>
          <w:lang w:val="en-US" w:eastAsia="zh-CN"/>
        </w:rPr>
        <w:t>扩建完成后收水种类主要为生活污水、锅炉排水、冷却塔定排水、设备清洗废水等。</w:t>
      </w:r>
    </w:p>
    <w:p w14:paraId="17377809">
      <w:pPr>
        <w:keepNext w:val="0"/>
        <w:keepLines w:val="0"/>
        <w:pageBreakBefore w:val="0"/>
        <w:widowControl w:val="0"/>
        <w:kinsoku/>
        <w:wordWrap/>
        <w:overflowPunct/>
        <w:topLinePunct w:val="0"/>
        <w:autoSpaceDE/>
        <w:autoSpaceDN/>
        <w:bidi w:val="0"/>
        <w:adjustRightInd/>
        <w:snapToGrid/>
        <w:ind w:left="0" w:leftChars="0" w:firstLine="480" w:firstLineChars="200"/>
        <w:textAlignment w:val="auto"/>
        <w:rPr>
          <w:rFonts w:hint="eastAsia"/>
          <w:highlight w:val="none"/>
          <w:lang w:val="en-US" w:eastAsia="zh-CN"/>
        </w:rPr>
      </w:pPr>
      <w:r>
        <w:rPr>
          <w:rFonts w:hint="eastAsia" w:ascii="Times New Roman" w:hAnsi="Times New Roman" w:cs="Times New Roman"/>
          <w:highlight w:val="none"/>
          <w:lang w:val="en-US" w:eastAsia="zh-CN"/>
        </w:rPr>
        <w:t>目前园区企业入驻率尚低，参考《</w:t>
      </w:r>
      <w:r>
        <w:rPr>
          <w:rFonts w:hint="default" w:ascii="Times New Roman" w:hAnsi="Times New Roman" w:cs="Times New Roman"/>
          <w:highlight w:val="none"/>
          <w:lang w:val="en-US" w:eastAsia="zh-CN"/>
        </w:rPr>
        <w:t>曹妃甸区垦丰家居产业园控制性详细规划环境影响跟踪评价报告书</w:t>
      </w:r>
      <w:r>
        <w:rPr>
          <w:rFonts w:hint="eastAsia" w:ascii="Times New Roman" w:hAnsi="Times New Roman" w:cs="Times New Roman"/>
          <w:highlight w:val="none"/>
          <w:lang w:val="en-US" w:eastAsia="zh-CN"/>
        </w:rPr>
        <w:t>》的</w:t>
      </w:r>
      <w:r>
        <w:rPr>
          <w:rFonts w:hint="default"/>
          <w:highlight w:val="none"/>
          <w:lang w:val="en-US" w:eastAsia="zh-CN"/>
        </w:rPr>
        <w:t>核算</w:t>
      </w:r>
      <w:r>
        <w:rPr>
          <w:rFonts w:hint="eastAsia"/>
          <w:highlight w:val="none"/>
          <w:lang w:val="en-US" w:eastAsia="zh-CN"/>
        </w:rPr>
        <w:t>结果，</w:t>
      </w:r>
      <w:r>
        <w:rPr>
          <w:rFonts w:hint="default"/>
          <w:highlight w:val="none"/>
          <w:lang w:val="en-US" w:eastAsia="zh-CN"/>
        </w:rPr>
        <w:t>园区工业</w:t>
      </w:r>
      <w:r>
        <w:rPr>
          <w:rFonts w:hint="eastAsia"/>
          <w:highlight w:val="none"/>
          <w:lang w:val="en-US" w:eastAsia="zh-CN"/>
        </w:rPr>
        <w:t>产值达15.6亿元时预计园区总</w:t>
      </w:r>
      <w:r>
        <w:rPr>
          <w:rFonts w:hint="default"/>
          <w:highlight w:val="none"/>
          <w:lang w:val="en-US" w:eastAsia="zh-CN"/>
        </w:rPr>
        <w:t>排水量为7.49万</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w:t>
      </w:r>
      <w:r>
        <w:rPr>
          <w:rFonts w:hint="eastAsia"/>
          <w:highlight w:val="none"/>
          <w:lang w:val="en-US" w:eastAsia="zh-CN"/>
        </w:rPr>
        <w:t>a</w:t>
      </w:r>
      <w:r>
        <w:rPr>
          <w:rFonts w:hint="default"/>
          <w:highlight w:val="none"/>
          <w:lang w:val="en-US" w:eastAsia="zh-CN"/>
        </w:rPr>
        <w:t>，企业按照年工作330天计算，则每天废水排放量为227</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/d</w:t>
      </w:r>
      <w:r>
        <w:rPr>
          <w:rFonts w:hint="eastAsia"/>
          <w:highlight w:val="none"/>
          <w:lang w:val="en-US" w:eastAsia="zh-CN"/>
        </w:rPr>
        <w:t>。</w:t>
      </w:r>
    </w:p>
    <w:p w14:paraId="24FA9C8A">
      <w:pPr>
        <w:keepNext w:val="0"/>
        <w:keepLines w:val="0"/>
        <w:pageBreakBefore w:val="0"/>
        <w:widowControl w:val="0"/>
        <w:kinsoku/>
        <w:wordWrap/>
        <w:overflowPunct/>
        <w:topLinePunct w:val="0"/>
        <w:autoSpaceDE/>
        <w:autoSpaceDN/>
        <w:bidi w:val="0"/>
        <w:adjustRightInd/>
        <w:snapToGrid/>
        <w:spacing w:line="480" w:lineRule="exact"/>
        <w:ind w:left="0" w:leftChars="0" w:firstLine="480" w:firstLineChars="200"/>
        <w:textAlignment w:val="auto"/>
        <w:rPr>
          <w:rFonts w:hint="default"/>
          <w:highlight w:val="none"/>
          <w:lang w:val="en-US" w:eastAsia="zh-CN"/>
        </w:rPr>
      </w:pPr>
      <w:r>
        <w:rPr>
          <w:rFonts w:hint="eastAsia"/>
          <w:highlight w:val="none"/>
          <w:lang w:val="en-US" w:eastAsia="zh-CN"/>
        </w:rPr>
        <w:t>园区规划污水管网，详见附图12。</w:t>
      </w:r>
    </w:p>
    <w:p w14:paraId="7A4C24D1">
      <w:pPr>
        <w:rPr>
          <w:rFonts w:hint="default"/>
          <w:highlight w:val="none"/>
          <w:lang w:val="en-US" w:eastAsia="zh-CN"/>
        </w:rPr>
      </w:pPr>
      <w:r>
        <w:rPr>
          <w:rFonts w:hint="eastAsia"/>
          <w:highlight w:val="none"/>
          <w:lang w:val="en-US" w:eastAsia="zh-CN"/>
        </w:rPr>
        <w:t>（11）</w:t>
      </w:r>
      <w:r>
        <w:rPr>
          <w:rFonts w:hint="default"/>
          <w:highlight w:val="none"/>
          <w:lang w:val="en-US" w:eastAsia="zh-CN"/>
        </w:rPr>
        <w:t>建设周期：建设周期为2024年</w:t>
      </w:r>
      <w:r>
        <w:rPr>
          <w:rFonts w:hint="eastAsia"/>
          <w:highlight w:val="none"/>
          <w:lang w:val="en-US" w:eastAsia="zh-CN"/>
        </w:rPr>
        <w:t>11</w:t>
      </w:r>
      <w:r>
        <w:rPr>
          <w:rFonts w:hint="default"/>
          <w:highlight w:val="none"/>
          <w:lang w:val="en-US" w:eastAsia="zh-CN"/>
        </w:rPr>
        <w:t>月-202</w:t>
      </w:r>
      <w:r>
        <w:rPr>
          <w:rFonts w:hint="eastAsia"/>
          <w:highlight w:val="none"/>
          <w:lang w:val="en-US" w:eastAsia="zh-CN"/>
        </w:rPr>
        <w:t>5</w:t>
      </w:r>
      <w:r>
        <w:rPr>
          <w:rFonts w:hint="default"/>
          <w:highlight w:val="none"/>
          <w:lang w:val="en-US" w:eastAsia="zh-CN"/>
        </w:rPr>
        <w:t>年</w:t>
      </w:r>
      <w:r>
        <w:rPr>
          <w:rFonts w:hint="eastAsia"/>
          <w:highlight w:val="none"/>
          <w:lang w:val="en-US" w:eastAsia="zh-CN"/>
        </w:rPr>
        <w:t>2</w:t>
      </w:r>
      <w:r>
        <w:rPr>
          <w:rFonts w:hint="default"/>
          <w:highlight w:val="none"/>
          <w:lang w:val="en-US" w:eastAsia="zh-CN"/>
        </w:rPr>
        <w:t>月；</w:t>
      </w:r>
    </w:p>
    <w:p w14:paraId="679030B0">
      <w:pPr>
        <w:rPr>
          <w:rFonts w:hint="default"/>
          <w:highlight w:val="none"/>
          <w:lang w:val="en-US" w:eastAsia="zh-CN"/>
        </w:rPr>
      </w:pPr>
      <w:r>
        <w:rPr>
          <w:rFonts w:hint="default"/>
          <w:highlight w:val="none"/>
          <w:lang w:val="zh-CN" w:eastAsia="zh-CN"/>
        </w:rPr>
        <w:t>本</w:t>
      </w:r>
      <w:r>
        <w:rPr>
          <w:rFonts w:hint="default"/>
          <w:highlight w:val="none"/>
          <w:lang w:val="en-US" w:eastAsia="zh-CN"/>
        </w:rPr>
        <w:t>项目组成一览表见表3.2-</w:t>
      </w:r>
      <w:r>
        <w:rPr>
          <w:rFonts w:hint="eastAsia"/>
          <w:highlight w:val="none"/>
          <w:lang w:val="en-US" w:eastAsia="zh-CN"/>
        </w:rPr>
        <w:t>3</w:t>
      </w:r>
      <w:r>
        <w:rPr>
          <w:rFonts w:hint="default"/>
          <w:highlight w:val="none"/>
          <w:lang w:val="en-US" w:eastAsia="zh-CN"/>
        </w:rPr>
        <w:t>。</w:t>
      </w:r>
    </w:p>
    <w:p w14:paraId="4D3F0D99">
      <w:pPr>
        <w:widowControl/>
        <w:numPr>
          <w:ilvl w:val="0"/>
          <w:numId w:val="24"/>
        </w:numPr>
        <w:ind w:left="425" w:leftChars="0" w:hanging="425" w:firstLineChars="0"/>
        <w:jc w:val="center"/>
        <w:rPr>
          <w:rFonts w:hint="default" w:ascii="Times New Roman" w:hAnsi="Times New Roman" w:eastAsia="宋体" w:cs="Times New Roman"/>
          <w:b/>
          <w:color w:val="auto"/>
          <w:highlight w:val="none"/>
          <w:lang w:val="zh-CN"/>
        </w:rPr>
      </w:pPr>
      <w:r>
        <w:rPr>
          <w:rFonts w:hint="default" w:ascii="Times New Roman" w:hAnsi="Times New Roman" w:eastAsia="宋体" w:cs="Times New Roman"/>
          <w:b/>
          <w:color w:val="auto"/>
          <w:highlight w:val="none"/>
          <w:lang w:val="zh-CN"/>
        </w:rPr>
        <w:t>项目主要工程组成一览表</w:t>
      </w:r>
    </w:p>
    <w:tbl>
      <w:tblPr>
        <w:tblStyle w:val="47"/>
        <w:tblW w:w="499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51" w:type="dxa"/>
          <w:bottom w:w="0" w:type="dxa"/>
          <w:right w:w="51" w:type="dxa"/>
        </w:tblCellMar>
      </w:tblPr>
      <w:tblGrid>
        <w:gridCol w:w="1231"/>
        <w:gridCol w:w="1632"/>
        <w:gridCol w:w="6293"/>
      </w:tblGrid>
      <w:tr w14:paraId="5C0519A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2" w:type="pct"/>
            <w:tcBorders>
              <w:tl2br w:val="nil"/>
              <w:tr2bl w:val="nil"/>
            </w:tcBorders>
            <w:noWrap w:val="0"/>
            <w:vAlign w:val="center"/>
          </w:tcPr>
          <w:p w14:paraId="468F1837">
            <w:pPr>
              <w:pStyle w:val="58"/>
              <w:bidi w:val="0"/>
              <w:rPr>
                <w:rFonts w:hint="default"/>
                <w:highlight w:val="none"/>
                <w:lang w:val="zh-CN"/>
              </w:rPr>
            </w:pPr>
            <w:r>
              <w:rPr>
                <w:rFonts w:hint="default"/>
                <w:highlight w:val="none"/>
                <w:lang w:val="zh-CN"/>
              </w:rPr>
              <w:t>项目</w:t>
            </w:r>
          </w:p>
        </w:tc>
        <w:tc>
          <w:tcPr>
            <w:tcW w:w="891" w:type="pct"/>
            <w:tcBorders>
              <w:tl2br w:val="nil"/>
              <w:tr2bl w:val="nil"/>
            </w:tcBorders>
            <w:noWrap w:val="0"/>
            <w:vAlign w:val="center"/>
          </w:tcPr>
          <w:p w14:paraId="27514855">
            <w:pPr>
              <w:pStyle w:val="58"/>
              <w:bidi w:val="0"/>
              <w:rPr>
                <w:rFonts w:hint="default"/>
                <w:highlight w:val="none"/>
                <w:lang w:val="zh-CN"/>
              </w:rPr>
            </w:pPr>
            <w:r>
              <w:rPr>
                <w:rFonts w:hint="default"/>
                <w:highlight w:val="none"/>
                <w:lang w:val="zh-CN"/>
              </w:rPr>
              <w:t>建设内容</w:t>
            </w:r>
          </w:p>
        </w:tc>
        <w:tc>
          <w:tcPr>
            <w:tcW w:w="3436" w:type="pct"/>
            <w:tcBorders>
              <w:tl2br w:val="nil"/>
              <w:tr2bl w:val="nil"/>
            </w:tcBorders>
            <w:noWrap w:val="0"/>
            <w:vAlign w:val="center"/>
          </w:tcPr>
          <w:p w14:paraId="044C4B22">
            <w:pPr>
              <w:pStyle w:val="58"/>
              <w:bidi w:val="0"/>
              <w:rPr>
                <w:rFonts w:hint="default"/>
                <w:highlight w:val="none"/>
                <w:lang w:val="zh-CN"/>
              </w:rPr>
            </w:pPr>
            <w:r>
              <w:rPr>
                <w:rFonts w:hint="default"/>
                <w:highlight w:val="none"/>
                <w:lang w:val="zh-CN"/>
              </w:rPr>
              <w:t>备注</w:t>
            </w:r>
          </w:p>
        </w:tc>
      </w:tr>
      <w:tr w14:paraId="2102262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2" w:type="pct"/>
            <w:vMerge w:val="restart"/>
            <w:tcBorders>
              <w:tl2br w:val="nil"/>
              <w:tr2bl w:val="nil"/>
            </w:tcBorders>
            <w:noWrap w:val="0"/>
            <w:vAlign w:val="center"/>
          </w:tcPr>
          <w:p w14:paraId="6ED3CF56">
            <w:pPr>
              <w:pStyle w:val="58"/>
              <w:bidi w:val="0"/>
              <w:rPr>
                <w:rFonts w:hint="default"/>
                <w:highlight w:val="none"/>
                <w:lang w:val="zh-CN"/>
              </w:rPr>
            </w:pPr>
            <w:r>
              <w:rPr>
                <w:rFonts w:hint="default"/>
                <w:highlight w:val="none"/>
                <w:lang w:val="zh-CN"/>
              </w:rPr>
              <w:t>主体工程</w:t>
            </w:r>
          </w:p>
        </w:tc>
        <w:tc>
          <w:tcPr>
            <w:tcW w:w="891" w:type="pct"/>
            <w:tcBorders>
              <w:tl2br w:val="nil"/>
              <w:tr2bl w:val="nil"/>
            </w:tcBorders>
            <w:noWrap w:val="0"/>
            <w:vAlign w:val="center"/>
          </w:tcPr>
          <w:p w14:paraId="700125C7">
            <w:pPr>
              <w:pStyle w:val="58"/>
              <w:bidi w:val="0"/>
              <w:rPr>
                <w:rFonts w:hint="default" w:eastAsia="宋体"/>
                <w:highlight w:val="none"/>
                <w:lang w:val="en-US" w:eastAsia="zh-CN"/>
              </w:rPr>
            </w:pPr>
            <w:r>
              <w:rPr>
                <w:rFonts w:hint="default"/>
                <w:highlight w:val="none"/>
                <w:lang w:eastAsia="zh-CN"/>
              </w:rPr>
              <w:t>格栅渠及调节池</w:t>
            </w:r>
          </w:p>
        </w:tc>
        <w:tc>
          <w:tcPr>
            <w:tcW w:w="3436" w:type="pct"/>
            <w:tcBorders>
              <w:tl2br w:val="nil"/>
              <w:tr2bl w:val="nil"/>
            </w:tcBorders>
            <w:noWrap w:val="0"/>
            <w:vAlign w:val="center"/>
          </w:tcPr>
          <w:p w14:paraId="6D6E2720">
            <w:pPr>
              <w:pStyle w:val="58"/>
              <w:bidi w:val="0"/>
              <w:rPr>
                <w:rFonts w:hint="default"/>
                <w:highlight w:val="none"/>
                <w:lang w:val="en-US" w:eastAsia="zh-CN"/>
              </w:rPr>
            </w:pPr>
            <w:r>
              <w:rPr>
                <w:rFonts w:hint="eastAsia"/>
                <w:highlight w:val="none"/>
                <w:lang w:val="en-US" w:eastAsia="zh-CN"/>
              </w:rPr>
              <w:t>新增，地下结构，8.6m×9.7m×5.25m</w:t>
            </w:r>
          </w:p>
        </w:tc>
      </w:tr>
      <w:tr w14:paraId="2D57265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2" w:type="pct"/>
            <w:vMerge w:val="continue"/>
            <w:tcBorders>
              <w:tl2br w:val="nil"/>
              <w:tr2bl w:val="nil"/>
            </w:tcBorders>
            <w:noWrap w:val="0"/>
            <w:vAlign w:val="center"/>
          </w:tcPr>
          <w:p w14:paraId="2E1774EF">
            <w:pPr>
              <w:pStyle w:val="58"/>
              <w:bidi w:val="0"/>
              <w:rPr>
                <w:rFonts w:hint="default"/>
                <w:highlight w:val="none"/>
                <w:lang w:val="zh-CN"/>
              </w:rPr>
            </w:pPr>
          </w:p>
        </w:tc>
        <w:tc>
          <w:tcPr>
            <w:tcW w:w="891" w:type="pct"/>
            <w:tcBorders>
              <w:tl2br w:val="nil"/>
              <w:tr2bl w:val="nil"/>
            </w:tcBorders>
            <w:noWrap w:val="0"/>
            <w:vAlign w:val="center"/>
          </w:tcPr>
          <w:p w14:paraId="47A95AA8">
            <w:pPr>
              <w:pStyle w:val="58"/>
              <w:bidi w:val="0"/>
              <w:rPr>
                <w:rFonts w:hint="default"/>
                <w:highlight w:val="none"/>
                <w:lang w:eastAsia="zh-CN"/>
              </w:rPr>
            </w:pPr>
            <w:r>
              <w:rPr>
                <w:rFonts w:hint="default"/>
                <w:highlight w:val="none"/>
                <w:lang w:val="en-US" w:eastAsia="zh-CN"/>
              </w:rPr>
              <w:t>生化处理辅助工房</w:t>
            </w:r>
          </w:p>
        </w:tc>
        <w:tc>
          <w:tcPr>
            <w:tcW w:w="3436" w:type="pct"/>
            <w:tcBorders>
              <w:tl2br w:val="nil"/>
              <w:tr2bl w:val="nil"/>
            </w:tcBorders>
            <w:noWrap w:val="0"/>
            <w:vAlign w:val="center"/>
          </w:tcPr>
          <w:p w14:paraId="5F8C1978">
            <w:pPr>
              <w:pStyle w:val="58"/>
              <w:bidi w:val="0"/>
              <w:rPr>
                <w:rFonts w:hint="default"/>
                <w:highlight w:val="none"/>
                <w:lang w:val="en-US" w:eastAsia="zh-CN"/>
              </w:rPr>
            </w:pPr>
            <w:r>
              <w:rPr>
                <w:rFonts w:hint="eastAsia"/>
                <w:highlight w:val="none"/>
                <w:lang w:val="en-US" w:eastAsia="zh-CN"/>
              </w:rPr>
              <w:t>新增，地上结构，12.5m×3.0m×0.5m，内设A</w:t>
            </w:r>
            <w:r>
              <w:rPr>
                <w:rFonts w:hint="eastAsia"/>
                <w:highlight w:val="none"/>
                <w:vertAlign w:val="superscript"/>
                <w:lang w:val="en-US" w:eastAsia="zh-CN"/>
              </w:rPr>
              <w:t>2</w:t>
            </w:r>
            <w:r>
              <w:rPr>
                <w:rFonts w:hint="eastAsia"/>
                <w:highlight w:val="none"/>
                <w:lang w:val="en-US" w:eastAsia="zh-CN"/>
              </w:rPr>
              <w:t>O一体化设备（地下结构）</w:t>
            </w:r>
          </w:p>
        </w:tc>
      </w:tr>
      <w:tr w14:paraId="509A60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2" w:type="pct"/>
            <w:vMerge w:val="continue"/>
            <w:tcBorders>
              <w:tl2br w:val="nil"/>
              <w:tr2bl w:val="nil"/>
            </w:tcBorders>
            <w:noWrap w:val="0"/>
            <w:vAlign w:val="center"/>
          </w:tcPr>
          <w:p w14:paraId="2A1246AE">
            <w:pPr>
              <w:pStyle w:val="58"/>
              <w:bidi w:val="0"/>
              <w:rPr>
                <w:rFonts w:hint="default"/>
                <w:highlight w:val="none"/>
                <w:lang w:val="zh-CN"/>
              </w:rPr>
            </w:pPr>
          </w:p>
        </w:tc>
        <w:tc>
          <w:tcPr>
            <w:tcW w:w="891" w:type="pct"/>
            <w:tcBorders>
              <w:tl2br w:val="nil"/>
              <w:tr2bl w:val="nil"/>
            </w:tcBorders>
            <w:noWrap w:val="0"/>
            <w:vAlign w:val="center"/>
          </w:tcPr>
          <w:p w14:paraId="21AB876C">
            <w:pPr>
              <w:pStyle w:val="58"/>
              <w:bidi w:val="0"/>
              <w:rPr>
                <w:rFonts w:hint="default"/>
                <w:highlight w:val="none"/>
                <w:lang w:eastAsia="zh-CN"/>
              </w:rPr>
            </w:pPr>
            <w:r>
              <w:rPr>
                <w:rFonts w:hint="default"/>
                <w:highlight w:val="none"/>
                <w:lang w:val="en-US" w:eastAsia="zh-CN"/>
              </w:rPr>
              <w:t>污泥脱水间</w:t>
            </w:r>
          </w:p>
        </w:tc>
        <w:tc>
          <w:tcPr>
            <w:tcW w:w="3436" w:type="pct"/>
            <w:tcBorders>
              <w:tl2br w:val="nil"/>
              <w:tr2bl w:val="nil"/>
            </w:tcBorders>
            <w:noWrap w:val="0"/>
            <w:vAlign w:val="center"/>
          </w:tcPr>
          <w:p w14:paraId="25A9F9A1">
            <w:pPr>
              <w:pStyle w:val="58"/>
              <w:bidi w:val="0"/>
              <w:rPr>
                <w:rFonts w:hint="default"/>
                <w:highlight w:val="none"/>
                <w:lang w:val="en-US" w:eastAsia="zh-CN"/>
              </w:rPr>
            </w:pPr>
            <w:r>
              <w:rPr>
                <w:rFonts w:hint="eastAsia"/>
                <w:highlight w:val="none"/>
                <w:lang w:val="en-US" w:eastAsia="zh-CN"/>
              </w:rPr>
              <w:t>新增，地上结构，1F，4.5m×8m×4.6m</w:t>
            </w:r>
          </w:p>
        </w:tc>
      </w:tr>
      <w:tr w14:paraId="4A0E473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2" w:type="pct"/>
            <w:vMerge w:val="continue"/>
            <w:tcBorders>
              <w:tl2br w:val="nil"/>
              <w:tr2bl w:val="nil"/>
            </w:tcBorders>
            <w:noWrap w:val="0"/>
            <w:vAlign w:val="center"/>
          </w:tcPr>
          <w:p w14:paraId="38962DEF">
            <w:pPr>
              <w:pStyle w:val="58"/>
              <w:bidi w:val="0"/>
              <w:rPr>
                <w:rFonts w:hint="default"/>
                <w:highlight w:val="none"/>
                <w:lang w:val="zh-CN"/>
              </w:rPr>
            </w:pPr>
          </w:p>
        </w:tc>
        <w:tc>
          <w:tcPr>
            <w:tcW w:w="891" w:type="pct"/>
            <w:tcBorders>
              <w:tl2br w:val="nil"/>
              <w:tr2bl w:val="nil"/>
            </w:tcBorders>
            <w:noWrap w:val="0"/>
            <w:vAlign w:val="center"/>
          </w:tcPr>
          <w:p w14:paraId="4B937C8B">
            <w:pPr>
              <w:pStyle w:val="58"/>
              <w:bidi w:val="0"/>
              <w:rPr>
                <w:rFonts w:hint="default"/>
                <w:highlight w:val="none"/>
                <w:lang w:eastAsia="zh-CN"/>
              </w:rPr>
            </w:pPr>
            <w:r>
              <w:rPr>
                <w:rFonts w:hint="default"/>
                <w:highlight w:val="none"/>
                <w:lang w:val="en-US" w:eastAsia="zh-CN"/>
              </w:rPr>
              <w:t>污泥池</w:t>
            </w:r>
          </w:p>
        </w:tc>
        <w:tc>
          <w:tcPr>
            <w:tcW w:w="3436" w:type="pct"/>
            <w:tcBorders>
              <w:tl2br w:val="nil"/>
              <w:tr2bl w:val="nil"/>
            </w:tcBorders>
            <w:noWrap w:val="0"/>
            <w:vAlign w:val="center"/>
          </w:tcPr>
          <w:p w14:paraId="6A62F44F">
            <w:pPr>
              <w:pStyle w:val="58"/>
              <w:bidi w:val="0"/>
              <w:rPr>
                <w:rFonts w:hint="default"/>
                <w:highlight w:val="none"/>
                <w:lang w:val="en-US" w:eastAsia="zh-CN"/>
              </w:rPr>
            </w:pPr>
            <w:bookmarkStart w:id="137" w:name="OLE_LINK104"/>
            <w:r>
              <w:rPr>
                <w:rFonts w:hint="eastAsia"/>
                <w:highlight w:val="none"/>
                <w:lang w:val="en-US" w:eastAsia="zh-CN"/>
              </w:rPr>
              <w:t>新增，地下结构，</w:t>
            </w:r>
            <w:r>
              <w:rPr>
                <w:rFonts w:hint="default"/>
                <w:highlight w:val="none"/>
                <w:lang w:val="en-US" w:eastAsia="zh-CN"/>
              </w:rPr>
              <w:t>4.9m×2.4m×5.25m</w:t>
            </w:r>
            <w:bookmarkEnd w:id="137"/>
          </w:p>
        </w:tc>
      </w:tr>
      <w:tr w14:paraId="5415B19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2" w:type="pct"/>
            <w:vMerge w:val="continue"/>
            <w:tcBorders>
              <w:tl2br w:val="nil"/>
              <w:tr2bl w:val="nil"/>
            </w:tcBorders>
            <w:noWrap w:val="0"/>
            <w:vAlign w:val="center"/>
          </w:tcPr>
          <w:p w14:paraId="533A54C8">
            <w:pPr>
              <w:pStyle w:val="58"/>
              <w:bidi w:val="0"/>
              <w:rPr>
                <w:rFonts w:hint="default"/>
                <w:highlight w:val="none"/>
                <w:lang w:val="zh-CN"/>
              </w:rPr>
            </w:pPr>
          </w:p>
        </w:tc>
        <w:tc>
          <w:tcPr>
            <w:tcW w:w="891" w:type="pct"/>
            <w:tcBorders>
              <w:tl2br w:val="nil"/>
              <w:tr2bl w:val="nil"/>
            </w:tcBorders>
            <w:noWrap w:val="0"/>
            <w:vAlign w:val="center"/>
          </w:tcPr>
          <w:p w14:paraId="1D902981">
            <w:pPr>
              <w:pStyle w:val="58"/>
              <w:bidi w:val="0"/>
              <w:rPr>
                <w:rFonts w:hint="default"/>
                <w:highlight w:val="none"/>
                <w:lang w:eastAsia="zh-CN"/>
              </w:rPr>
            </w:pPr>
            <w:r>
              <w:rPr>
                <w:rFonts w:hint="default"/>
                <w:highlight w:val="none"/>
                <w:lang w:eastAsia="zh-CN"/>
              </w:rPr>
              <w:t>混凝沉淀池</w:t>
            </w:r>
          </w:p>
        </w:tc>
        <w:tc>
          <w:tcPr>
            <w:tcW w:w="3436" w:type="pct"/>
            <w:tcBorders>
              <w:tl2br w:val="nil"/>
              <w:tr2bl w:val="nil"/>
            </w:tcBorders>
            <w:noWrap w:val="0"/>
            <w:vAlign w:val="center"/>
          </w:tcPr>
          <w:p w14:paraId="564D2FEB">
            <w:pPr>
              <w:pStyle w:val="58"/>
              <w:bidi w:val="0"/>
              <w:rPr>
                <w:rFonts w:hint="default"/>
                <w:highlight w:val="none"/>
                <w:lang w:val="en-US" w:eastAsia="zh-CN"/>
              </w:rPr>
            </w:pPr>
            <w:r>
              <w:rPr>
                <w:rFonts w:hint="eastAsia"/>
                <w:highlight w:val="none"/>
                <w:lang w:val="en-US" w:eastAsia="zh-CN"/>
              </w:rPr>
              <w:t>新增，地下结构，</w:t>
            </w:r>
            <w:r>
              <w:rPr>
                <w:rFonts w:hint="default"/>
                <w:highlight w:val="none"/>
                <w:lang w:val="en-US" w:eastAsia="zh-CN"/>
              </w:rPr>
              <w:t>4.9m×4.55m×5.25m</w:t>
            </w:r>
          </w:p>
        </w:tc>
      </w:tr>
      <w:tr w14:paraId="02C370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2" w:type="pct"/>
            <w:vMerge w:val="continue"/>
            <w:tcBorders>
              <w:tl2br w:val="nil"/>
              <w:tr2bl w:val="nil"/>
            </w:tcBorders>
            <w:noWrap w:val="0"/>
            <w:vAlign w:val="center"/>
          </w:tcPr>
          <w:p w14:paraId="4D8290E6">
            <w:pPr>
              <w:pStyle w:val="58"/>
              <w:bidi w:val="0"/>
              <w:rPr>
                <w:rFonts w:hint="default"/>
                <w:highlight w:val="none"/>
                <w:lang w:val="zh-CN"/>
              </w:rPr>
            </w:pPr>
          </w:p>
        </w:tc>
        <w:tc>
          <w:tcPr>
            <w:tcW w:w="891" w:type="pct"/>
            <w:tcBorders>
              <w:tl2br w:val="nil"/>
              <w:tr2bl w:val="nil"/>
            </w:tcBorders>
            <w:noWrap w:val="0"/>
            <w:vAlign w:val="center"/>
          </w:tcPr>
          <w:p w14:paraId="7C761672">
            <w:pPr>
              <w:pStyle w:val="58"/>
              <w:bidi w:val="0"/>
              <w:rPr>
                <w:rFonts w:hint="default"/>
                <w:highlight w:val="none"/>
                <w:lang w:val="en-US" w:eastAsia="zh-CN"/>
              </w:rPr>
            </w:pPr>
            <w:r>
              <w:rPr>
                <w:rFonts w:hint="eastAsia"/>
                <w:highlight w:val="none"/>
                <w:lang w:val="en-US" w:eastAsia="zh-CN"/>
              </w:rPr>
              <w:t>消毒池</w:t>
            </w:r>
          </w:p>
        </w:tc>
        <w:tc>
          <w:tcPr>
            <w:tcW w:w="3436" w:type="pct"/>
            <w:tcBorders>
              <w:tl2br w:val="nil"/>
              <w:tr2bl w:val="nil"/>
            </w:tcBorders>
            <w:noWrap w:val="0"/>
            <w:vAlign w:val="center"/>
          </w:tcPr>
          <w:p w14:paraId="377B1645">
            <w:pPr>
              <w:pStyle w:val="58"/>
              <w:bidi w:val="0"/>
              <w:rPr>
                <w:rFonts w:hint="default"/>
                <w:highlight w:val="none"/>
                <w:lang w:val="en-US" w:eastAsia="zh-CN"/>
              </w:rPr>
            </w:pPr>
            <w:r>
              <w:rPr>
                <w:rFonts w:hint="eastAsia"/>
                <w:highlight w:val="none"/>
                <w:lang w:val="en-US" w:eastAsia="zh-CN"/>
              </w:rPr>
              <w:t>新增，地下结构，</w:t>
            </w:r>
            <w:r>
              <w:rPr>
                <w:rFonts w:hint="default"/>
                <w:highlight w:val="none"/>
                <w:lang w:val="en-US" w:eastAsia="zh-CN"/>
              </w:rPr>
              <w:t>4.9m×</w:t>
            </w:r>
            <w:r>
              <w:rPr>
                <w:rFonts w:hint="eastAsia"/>
                <w:highlight w:val="none"/>
                <w:lang w:val="en-US" w:eastAsia="zh-CN"/>
              </w:rPr>
              <w:t>3.1</w:t>
            </w:r>
            <w:r>
              <w:rPr>
                <w:rFonts w:hint="default"/>
                <w:highlight w:val="none"/>
                <w:lang w:val="en-US" w:eastAsia="zh-CN"/>
              </w:rPr>
              <w:t>m×5.25m</w:t>
            </w:r>
          </w:p>
        </w:tc>
      </w:tr>
      <w:tr w14:paraId="24B7AC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2" w:type="pct"/>
            <w:vMerge w:val="continue"/>
            <w:tcBorders>
              <w:tl2br w:val="nil"/>
              <w:tr2bl w:val="nil"/>
            </w:tcBorders>
            <w:noWrap w:val="0"/>
            <w:vAlign w:val="center"/>
          </w:tcPr>
          <w:p w14:paraId="0A3F54ED">
            <w:pPr>
              <w:pStyle w:val="58"/>
              <w:bidi w:val="0"/>
              <w:rPr>
                <w:rFonts w:hint="default"/>
                <w:highlight w:val="none"/>
                <w:lang w:val="zh-CN"/>
              </w:rPr>
            </w:pPr>
          </w:p>
        </w:tc>
        <w:tc>
          <w:tcPr>
            <w:tcW w:w="891" w:type="pct"/>
            <w:tcBorders>
              <w:tl2br w:val="nil"/>
              <w:tr2bl w:val="nil"/>
            </w:tcBorders>
            <w:shd w:val="clear" w:color="auto" w:fill="auto"/>
            <w:noWrap w:val="0"/>
            <w:vAlign w:val="center"/>
          </w:tcPr>
          <w:p w14:paraId="2DD753E8">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eastAsia="zh-CN"/>
              </w:rPr>
              <w:t>砂滤设备</w:t>
            </w:r>
          </w:p>
        </w:tc>
        <w:tc>
          <w:tcPr>
            <w:tcW w:w="3436" w:type="pct"/>
            <w:tcBorders>
              <w:tl2br w:val="nil"/>
              <w:tr2bl w:val="nil"/>
            </w:tcBorders>
            <w:noWrap w:val="0"/>
            <w:vAlign w:val="center"/>
          </w:tcPr>
          <w:p w14:paraId="25C38564">
            <w:pPr>
              <w:pStyle w:val="58"/>
              <w:bidi w:val="0"/>
              <w:rPr>
                <w:rFonts w:hint="default"/>
                <w:highlight w:val="none"/>
                <w:lang w:val="en-US" w:eastAsia="zh-CN"/>
              </w:rPr>
            </w:pPr>
            <w:r>
              <w:rPr>
                <w:rFonts w:hint="eastAsia"/>
                <w:highlight w:val="none"/>
                <w:lang w:val="en-US" w:eastAsia="zh-CN"/>
              </w:rPr>
              <w:t>新增，成品设备，</w:t>
            </w:r>
            <w:r>
              <w:rPr>
                <w:rFonts w:hint="default"/>
                <w:highlight w:val="none"/>
                <w:lang w:val="en-US" w:eastAsia="zh-CN"/>
              </w:rPr>
              <w:t>∮1500，高2.48m</w:t>
            </w:r>
          </w:p>
        </w:tc>
      </w:tr>
      <w:tr w14:paraId="64884B9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2" w:type="pct"/>
            <w:vMerge w:val="continue"/>
            <w:tcBorders>
              <w:tl2br w:val="nil"/>
              <w:tr2bl w:val="nil"/>
            </w:tcBorders>
            <w:noWrap w:val="0"/>
            <w:vAlign w:val="center"/>
          </w:tcPr>
          <w:p w14:paraId="15BC6349">
            <w:pPr>
              <w:pStyle w:val="58"/>
              <w:bidi w:val="0"/>
              <w:rPr>
                <w:rFonts w:hint="default"/>
                <w:highlight w:val="none"/>
                <w:lang w:val="zh-CN"/>
              </w:rPr>
            </w:pPr>
          </w:p>
        </w:tc>
        <w:tc>
          <w:tcPr>
            <w:tcW w:w="891" w:type="pct"/>
            <w:tcBorders>
              <w:tl2br w:val="nil"/>
              <w:tr2bl w:val="nil"/>
            </w:tcBorders>
            <w:shd w:val="clear" w:color="auto" w:fill="auto"/>
            <w:noWrap w:val="0"/>
            <w:vAlign w:val="center"/>
          </w:tcPr>
          <w:p w14:paraId="15A9FA8D">
            <w:pPr>
              <w:pStyle w:val="58"/>
              <w:bidi w:val="0"/>
              <w:ind w:firstLine="0" w:firstLineChars="0"/>
              <w:rPr>
                <w:rFonts w:hint="default"/>
                <w:highlight w:val="none"/>
                <w:lang w:val="en-US" w:eastAsia="zh-CN"/>
              </w:rPr>
            </w:pPr>
            <w:r>
              <w:rPr>
                <w:rFonts w:hint="eastAsia"/>
                <w:highlight w:val="none"/>
                <w:lang w:val="en-US" w:eastAsia="zh-CN"/>
              </w:rPr>
              <w:t>回用水池</w:t>
            </w:r>
          </w:p>
        </w:tc>
        <w:tc>
          <w:tcPr>
            <w:tcW w:w="3436" w:type="pct"/>
            <w:tcBorders>
              <w:tl2br w:val="nil"/>
              <w:tr2bl w:val="nil"/>
            </w:tcBorders>
            <w:noWrap w:val="0"/>
            <w:vAlign w:val="center"/>
          </w:tcPr>
          <w:p w14:paraId="43D6B9BE">
            <w:pPr>
              <w:pStyle w:val="58"/>
              <w:bidi w:val="0"/>
              <w:rPr>
                <w:rFonts w:hint="default"/>
                <w:highlight w:val="none"/>
                <w:lang w:val="en-US" w:eastAsia="zh-CN"/>
              </w:rPr>
            </w:pPr>
            <w:r>
              <w:rPr>
                <w:rFonts w:hint="eastAsia"/>
                <w:highlight w:val="none"/>
                <w:lang w:val="en-US" w:eastAsia="zh-CN"/>
              </w:rPr>
              <w:t>新增，地下结构，11.2</w:t>
            </w:r>
            <w:r>
              <w:rPr>
                <w:rFonts w:hint="default"/>
                <w:highlight w:val="none"/>
                <w:lang w:val="en-US" w:eastAsia="zh-CN"/>
              </w:rPr>
              <w:t>m×</w:t>
            </w:r>
            <w:r>
              <w:rPr>
                <w:rFonts w:hint="eastAsia"/>
                <w:highlight w:val="none"/>
                <w:lang w:val="en-US" w:eastAsia="zh-CN"/>
              </w:rPr>
              <w:t>11.2</w:t>
            </w:r>
            <w:r>
              <w:rPr>
                <w:rFonts w:hint="default"/>
                <w:highlight w:val="none"/>
                <w:lang w:val="en-US" w:eastAsia="zh-CN"/>
              </w:rPr>
              <w:t>m×5</w:t>
            </w:r>
            <w:r>
              <w:rPr>
                <w:rFonts w:hint="eastAsia"/>
                <w:highlight w:val="none"/>
                <w:lang w:val="en-US" w:eastAsia="zh-CN"/>
              </w:rPr>
              <w:t>.25</w:t>
            </w:r>
            <w:r>
              <w:rPr>
                <w:rFonts w:hint="default"/>
                <w:highlight w:val="none"/>
                <w:lang w:val="en-US" w:eastAsia="zh-CN"/>
              </w:rPr>
              <w:t>m</w:t>
            </w:r>
          </w:p>
        </w:tc>
      </w:tr>
      <w:tr w14:paraId="265182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2" w:type="pct"/>
            <w:vMerge w:val="continue"/>
            <w:tcBorders>
              <w:tl2br w:val="nil"/>
              <w:tr2bl w:val="nil"/>
            </w:tcBorders>
            <w:noWrap w:val="0"/>
            <w:vAlign w:val="center"/>
          </w:tcPr>
          <w:p w14:paraId="35A9B3D6">
            <w:pPr>
              <w:pStyle w:val="58"/>
              <w:bidi w:val="0"/>
              <w:rPr>
                <w:rFonts w:hint="default"/>
                <w:highlight w:val="none"/>
                <w:lang w:val="zh-CN"/>
              </w:rPr>
            </w:pPr>
          </w:p>
        </w:tc>
        <w:tc>
          <w:tcPr>
            <w:tcW w:w="891" w:type="pct"/>
            <w:tcBorders>
              <w:tl2br w:val="nil"/>
              <w:tr2bl w:val="nil"/>
            </w:tcBorders>
            <w:noWrap w:val="0"/>
            <w:vAlign w:val="center"/>
          </w:tcPr>
          <w:p w14:paraId="40D19B4B">
            <w:pPr>
              <w:pStyle w:val="58"/>
              <w:bidi w:val="0"/>
              <w:rPr>
                <w:rFonts w:hint="default"/>
                <w:highlight w:val="none"/>
                <w:lang w:val="en-US" w:eastAsia="zh-CN"/>
              </w:rPr>
            </w:pPr>
            <w:r>
              <w:rPr>
                <w:rFonts w:hint="eastAsia"/>
                <w:highlight w:val="none"/>
                <w:lang w:val="en-US" w:eastAsia="zh-CN"/>
              </w:rPr>
              <w:t>厂区内管网</w:t>
            </w:r>
          </w:p>
        </w:tc>
        <w:tc>
          <w:tcPr>
            <w:tcW w:w="3436" w:type="pct"/>
            <w:tcBorders>
              <w:tl2br w:val="nil"/>
              <w:tr2bl w:val="nil"/>
            </w:tcBorders>
            <w:noWrap w:val="0"/>
            <w:vAlign w:val="center"/>
          </w:tcPr>
          <w:p w14:paraId="7E528610">
            <w:pPr>
              <w:pStyle w:val="58"/>
              <w:bidi w:val="0"/>
              <w:rPr>
                <w:rFonts w:hint="default"/>
                <w:highlight w:val="none"/>
                <w:lang w:val="en-US" w:eastAsia="zh-CN"/>
              </w:rPr>
            </w:pPr>
            <w:r>
              <w:rPr>
                <w:rFonts w:hint="eastAsia"/>
                <w:highlight w:val="none"/>
                <w:lang w:val="en-US" w:eastAsia="zh-CN"/>
              </w:rPr>
              <w:t>含给水管网、雨水管网、污水管网，与现有工程进出管道进行连接，共用同一个进口和出口。本项目厂区内中水管网(DN100mm，长约33m)。</w:t>
            </w:r>
          </w:p>
        </w:tc>
      </w:tr>
      <w:tr w14:paraId="248C829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2" w:type="pct"/>
            <w:tcBorders>
              <w:tl2br w:val="nil"/>
              <w:tr2bl w:val="nil"/>
            </w:tcBorders>
            <w:noWrap w:val="0"/>
            <w:vAlign w:val="center"/>
          </w:tcPr>
          <w:p w14:paraId="7D34CE20">
            <w:pPr>
              <w:pStyle w:val="58"/>
              <w:bidi w:val="0"/>
              <w:rPr>
                <w:rFonts w:hint="default"/>
                <w:highlight w:val="none"/>
                <w:lang w:val="zh-CN"/>
              </w:rPr>
            </w:pPr>
            <w:r>
              <w:rPr>
                <w:rFonts w:hint="default"/>
                <w:highlight w:val="none"/>
                <w:lang w:val="zh-CN"/>
              </w:rPr>
              <w:t>辅助工程</w:t>
            </w:r>
          </w:p>
        </w:tc>
        <w:tc>
          <w:tcPr>
            <w:tcW w:w="4327" w:type="pct"/>
            <w:gridSpan w:val="2"/>
            <w:tcBorders>
              <w:tl2br w:val="nil"/>
              <w:tr2bl w:val="nil"/>
            </w:tcBorders>
            <w:noWrap w:val="0"/>
            <w:vAlign w:val="center"/>
          </w:tcPr>
          <w:p w14:paraId="11B8875A">
            <w:pPr>
              <w:pStyle w:val="58"/>
              <w:bidi w:val="0"/>
              <w:jc w:val="left"/>
              <w:rPr>
                <w:rFonts w:hint="default"/>
                <w:highlight w:val="none"/>
                <w:lang w:val="en-US" w:eastAsia="zh-CN"/>
              </w:rPr>
            </w:pPr>
            <w:r>
              <w:rPr>
                <w:rFonts w:hint="default"/>
                <w:highlight w:val="none"/>
                <w:lang w:val="en-US" w:eastAsia="zh-CN"/>
              </w:rPr>
              <w:t>包括</w:t>
            </w:r>
            <w:r>
              <w:rPr>
                <w:rFonts w:hint="eastAsia"/>
                <w:highlight w:val="none"/>
                <w:lang w:val="en-US" w:eastAsia="zh-CN"/>
              </w:rPr>
              <w:t>实验室</w:t>
            </w:r>
            <w:r>
              <w:rPr>
                <w:rFonts w:hint="default"/>
                <w:highlight w:val="none"/>
                <w:lang w:val="en-US" w:eastAsia="zh-CN"/>
              </w:rPr>
              <w:t>、</w:t>
            </w:r>
            <w:r>
              <w:rPr>
                <w:rFonts w:hint="eastAsia"/>
                <w:highlight w:val="none"/>
                <w:lang w:val="en-US" w:eastAsia="zh-CN"/>
              </w:rPr>
              <w:t>加药间、</w:t>
            </w:r>
            <w:r>
              <w:rPr>
                <w:rFonts w:hint="default"/>
                <w:highlight w:val="none"/>
                <w:lang w:val="en-US" w:eastAsia="zh-CN"/>
              </w:rPr>
              <w:t>变配电室、鼓风机房</w:t>
            </w:r>
            <w:r>
              <w:rPr>
                <w:rFonts w:hint="eastAsia"/>
                <w:highlight w:val="none"/>
                <w:lang w:val="en-US" w:eastAsia="zh-CN"/>
              </w:rPr>
              <w:t>、在线监测室</w:t>
            </w:r>
            <w:r>
              <w:rPr>
                <w:rFonts w:hint="default"/>
                <w:highlight w:val="none"/>
                <w:lang w:val="en-US" w:eastAsia="zh-CN"/>
              </w:rPr>
              <w:t>等。本项目人员较少，为来自附近的居民，</w:t>
            </w:r>
            <w:r>
              <w:rPr>
                <w:rFonts w:hint="eastAsia"/>
                <w:highlight w:val="none"/>
                <w:lang w:val="en-US" w:eastAsia="zh-CN"/>
              </w:rPr>
              <w:t>依托园区管委会办公楼，厂区内</w:t>
            </w:r>
            <w:r>
              <w:rPr>
                <w:rFonts w:hint="default"/>
                <w:highlight w:val="none"/>
                <w:lang w:val="en-US" w:eastAsia="zh-CN"/>
              </w:rPr>
              <w:t>不设</w:t>
            </w:r>
            <w:r>
              <w:rPr>
                <w:rFonts w:hint="eastAsia"/>
                <w:highlight w:val="none"/>
                <w:lang w:val="en-US" w:eastAsia="zh-CN"/>
              </w:rPr>
              <w:t>生活设施</w:t>
            </w:r>
            <w:r>
              <w:rPr>
                <w:rFonts w:hint="default"/>
                <w:highlight w:val="none"/>
                <w:lang w:val="en-US" w:eastAsia="zh-CN"/>
              </w:rPr>
              <w:t>。</w:t>
            </w:r>
          </w:p>
        </w:tc>
      </w:tr>
      <w:tr w14:paraId="77EE457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2" w:type="pct"/>
            <w:vMerge w:val="restart"/>
            <w:tcBorders>
              <w:tl2br w:val="nil"/>
              <w:tr2bl w:val="nil"/>
            </w:tcBorders>
            <w:noWrap w:val="0"/>
            <w:vAlign w:val="center"/>
          </w:tcPr>
          <w:p w14:paraId="1852B3C1">
            <w:pPr>
              <w:pStyle w:val="58"/>
              <w:bidi w:val="0"/>
              <w:rPr>
                <w:rFonts w:hint="default"/>
                <w:highlight w:val="none"/>
                <w:lang w:val="zh-CN"/>
              </w:rPr>
            </w:pPr>
            <w:r>
              <w:rPr>
                <w:rFonts w:hint="default"/>
                <w:highlight w:val="none"/>
                <w:lang w:val="zh-CN"/>
              </w:rPr>
              <w:t>公用工程</w:t>
            </w:r>
          </w:p>
        </w:tc>
        <w:tc>
          <w:tcPr>
            <w:tcW w:w="891" w:type="pct"/>
            <w:tcBorders>
              <w:tl2br w:val="nil"/>
              <w:tr2bl w:val="nil"/>
            </w:tcBorders>
            <w:noWrap w:val="0"/>
            <w:vAlign w:val="center"/>
          </w:tcPr>
          <w:p w14:paraId="4BAF7787">
            <w:pPr>
              <w:pStyle w:val="58"/>
              <w:bidi w:val="0"/>
              <w:jc w:val="center"/>
              <w:rPr>
                <w:rFonts w:hint="default"/>
                <w:highlight w:val="none"/>
                <w:lang w:val="en-US" w:eastAsia="zh-CN"/>
              </w:rPr>
            </w:pPr>
            <w:r>
              <w:rPr>
                <w:rFonts w:hint="default"/>
                <w:highlight w:val="none"/>
                <w:lang w:val="en-US" w:eastAsia="zh-CN"/>
              </w:rPr>
              <w:t>供水</w:t>
            </w:r>
          </w:p>
        </w:tc>
        <w:tc>
          <w:tcPr>
            <w:tcW w:w="3436" w:type="pct"/>
            <w:tcBorders>
              <w:tl2br w:val="nil"/>
              <w:tr2bl w:val="nil"/>
            </w:tcBorders>
            <w:noWrap w:val="0"/>
            <w:vAlign w:val="center"/>
          </w:tcPr>
          <w:p w14:paraId="68E7635A">
            <w:pPr>
              <w:pStyle w:val="58"/>
              <w:bidi w:val="0"/>
              <w:jc w:val="left"/>
              <w:rPr>
                <w:rFonts w:hint="default"/>
                <w:highlight w:val="none"/>
                <w:lang w:val="en-US" w:eastAsia="zh-CN"/>
              </w:rPr>
            </w:pPr>
            <w:r>
              <w:rPr>
                <w:rFonts w:hint="default"/>
                <w:highlight w:val="none"/>
                <w:lang w:val="en-US" w:eastAsia="zh-CN"/>
              </w:rPr>
              <w:t>由园区取水管网提供，可满足本项目用水需求。</w:t>
            </w:r>
          </w:p>
        </w:tc>
      </w:tr>
      <w:tr w14:paraId="222A732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2" w:type="pct"/>
            <w:vMerge w:val="continue"/>
            <w:tcBorders>
              <w:tl2br w:val="nil"/>
              <w:tr2bl w:val="nil"/>
            </w:tcBorders>
            <w:noWrap w:val="0"/>
            <w:vAlign w:val="center"/>
          </w:tcPr>
          <w:p w14:paraId="2CE0B708">
            <w:pPr>
              <w:pStyle w:val="58"/>
              <w:bidi w:val="0"/>
              <w:rPr>
                <w:rFonts w:hint="default"/>
                <w:highlight w:val="none"/>
                <w:lang w:val="zh-CN"/>
              </w:rPr>
            </w:pPr>
          </w:p>
        </w:tc>
        <w:tc>
          <w:tcPr>
            <w:tcW w:w="891" w:type="pct"/>
            <w:tcBorders>
              <w:tl2br w:val="nil"/>
              <w:tr2bl w:val="nil"/>
            </w:tcBorders>
            <w:noWrap w:val="0"/>
            <w:vAlign w:val="center"/>
          </w:tcPr>
          <w:p w14:paraId="328EA6C7">
            <w:pPr>
              <w:pStyle w:val="58"/>
              <w:bidi w:val="0"/>
              <w:jc w:val="center"/>
              <w:rPr>
                <w:rFonts w:hint="default"/>
                <w:highlight w:val="none"/>
                <w:lang w:val="zh-CN" w:eastAsia="zh-CN"/>
              </w:rPr>
            </w:pPr>
            <w:r>
              <w:rPr>
                <w:rFonts w:hint="default"/>
                <w:highlight w:val="none"/>
                <w:lang w:val="zh-CN" w:eastAsia="zh-CN"/>
              </w:rPr>
              <w:t>供电</w:t>
            </w:r>
          </w:p>
        </w:tc>
        <w:tc>
          <w:tcPr>
            <w:tcW w:w="3436" w:type="pct"/>
            <w:tcBorders>
              <w:tl2br w:val="nil"/>
              <w:tr2bl w:val="nil"/>
            </w:tcBorders>
            <w:noWrap w:val="0"/>
            <w:vAlign w:val="center"/>
          </w:tcPr>
          <w:p w14:paraId="373E8209">
            <w:pPr>
              <w:pStyle w:val="58"/>
              <w:bidi w:val="0"/>
              <w:jc w:val="left"/>
              <w:rPr>
                <w:rFonts w:hint="default"/>
                <w:highlight w:val="none"/>
                <w:lang w:val="zh-CN" w:eastAsia="zh-CN"/>
              </w:rPr>
            </w:pPr>
            <w:r>
              <w:rPr>
                <w:rFonts w:hint="default"/>
                <w:highlight w:val="none"/>
                <w:lang w:val="en-US" w:eastAsia="zh-CN"/>
              </w:rPr>
              <w:t>由园区电网提供，可满足本项目用电需求，园区</w:t>
            </w:r>
            <w:r>
              <w:rPr>
                <w:rFonts w:hint="default"/>
                <w:highlight w:val="none"/>
                <w:lang w:val="zh-CN" w:eastAsia="zh-CN"/>
              </w:rPr>
              <w:t>用电由</w:t>
            </w:r>
            <w:r>
              <w:rPr>
                <w:rFonts w:hint="default"/>
                <w:highlight w:val="none"/>
                <w:lang w:val="en-US" w:eastAsia="zh-CN"/>
              </w:rPr>
              <w:t>十一农场</w:t>
            </w:r>
            <w:r>
              <w:rPr>
                <w:rFonts w:hint="default"/>
                <w:highlight w:val="none"/>
                <w:lang w:val="zh-CN" w:eastAsia="zh-CN"/>
              </w:rPr>
              <w:t>变电</w:t>
            </w:r>
            <w:r>
              <w:rPr>
                <w:rFonts w:hint="default"/>
                <w:highlight w:val="none"/>
                <w:lang w:val="en-US" w:eastAsia="zh-CN"/>
              </w:rPr>
              <w:t>站</w:t>
            </w:r>
            <w:r>
              <w:rPr>
                <w:rFonts w:hint="default"/>
                <w:highlight w:val="none"/>
                <w:lang w:val="zh-CN" w:eastAsia="zh-CN"/>
              </w:rPr>
              <w:t>提供。</w:t>
            </w:r>
          </w:p>
        </w:tc>
      </w:tr>
      <w:tr w14:paraId="11D2581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2" w:type="pct"/>
            <w:vMerge w:val="continue"/>
            <w:tcBorders>
              <w:tl2br w:val="nil"/>
              <w:tr2bl w:val="nil"/>
            </w:tcBorders>
            <w:noWrap w:val="0"/>
            <w:vAlign w:val="center"/>
          </w:tcPr>
          <w:p w14:paraId="35C771ED">
            <w:pPr>
              <w:pStyle w:val="58"/>
              <w:bidi w:val="0"/>
              <w:rPr>
                <w:rFonts w:hint="default"/>
                <w:highlight w:val="none"/>
                <w:lang w:val="zh-CN"/>
              </w:rPr>
            </w:pPr>
          </w:p>
        </w:tc>
        <w:tc>
          <w:tcPr>
            <w:tcW w:w="891" w:type="pct"/>
            <w:tcBorders>
              <w:tl2br w:val="nil"/>
              <w:tr2bl w:val="nil"/>
            </w:tcBorders>
            <w:noWrap w:val="0"/>
            <w:vAlign w:val="center"/>
          </w:tcPr>
          <w:p w14:paraId="5216CB8A">
            <w:pPr>
              <w:pStyle w:val="58"/>
              <w:bidi w:val="0"/>
              <w:jc w:val="center"/>
              <w:rPr>
                <w:rFonts w:hint="default"/>
                <w:highlight w:val="none"/>
                <w:lang w:val="en-US" w:eastAsia="zh-CN"/>
              </w:rPr>
            </w:pPr>
            <w:r>
              <w:rPr>
                <w:rFonts w:hint="default"/>
                <w:highlight w:val="none"/>
                <w:lang w:val="en-US" w:eastAsia="zh-CN"/>
              </w:rPr>
              <w:t>供热</w:t>
            </w:r>
          </w:p>
        </w:tc>
        <w:tc>
          <w:tcPr>
            <w:tcW w:w="3436" w:type="pct"/>
            <w:tcBorders>
              <w:tl2br w:val="nil"/>
              <w:tr2bl w:val="nil"/>
            </w:tcBorders>
            <w:noWrap w:val="0"/>
            <w:vAlign w:val="center"/>
          </w:tcPr>
          <w:p w14:paraId="0F4547F9">
            <w:pPr>
              <w:pStyle w:val="58"/>
              <w:bidi w:val="0"/>
              <w:jc w:val="left"/>
              <w:rPr>
                <w:rFonts w:hint="default"/>
                <w:highlight w:val="none"/>
                <w:lang w:val="en-US" w:eastAsia="zh-CN"/>
              </w:rPr>
            </w:pPr>
            <w:r>
              <w:rPr>
                <w:rFonts w:hint="eastAsia"/>
                <w:highlight w:val="none"/>
                <w:lang w:val="en-US" w:eastAsia="zh-CN"/>
              </w:rPr>
              <w:t>污水处理厂加药间、实验室等办公区域</w:t>
            </w:r>
            <w:r>
              <w:rPr>
                <w:rFonts w:hint="default"/>
                <w:highlight w:val="none"/>
                <w:lang w:val="en-US" w:eastAsia="zh-CN"/>
              </w:rPr>
              <w:t>冬季采暖采用单体空调。</w:t>
            </w:r>
          </w:p>
        </w:tc>
      </w:tr>
      <w:tr w14:paraId="16DD2D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2" w:type="pct"/>
            <w:vMerge w:val="restart"/>
            <w:tcBorders>
              <w:tl2br w:val="nil"/>
              <w:tr2bl w:val="nil"/>
            </w:tcBorders>
            <w:noWrap w:val="0"/>
            <w:vAlign w:val="center"/>
          </w:tcPr>
          <w:p w14:paraId="7E9F38DD">
            <w:pPr>
              <w:pStyle w:val="58"/>
              <w:bidi w:val="0"/>
              <w:rPr>
                <w:rFonts w:hint="default"/>
                <w:highlight w:val="none"/>
                <w:lang w:val="zh-CN"/>
              </w:rPr>
            </w:pPr>
            <w:r>
              <w:rPr>
                <w:rFonts w:hint="default"/>
                <w:highlight w:val="none"/>
                <w:lang w:val="zh-CN"/>
              </w:rPr>
              <w:t>环保工程</w:t>
            </w:r>
          </w:p>
        </w:tc>
        <w:tc>
          <w:tcPr>
            <w:tcW w:w="891" w:type="pct"/>
            <w:tcBorders>
              <w:tl2br w:val="nil"/>
              <w:tr2bl w:val="nil"/>
            </w:tcBorders>
            <w:noWrap w:val="0"/>
            <w:vAlign w:val="center"/>
          </w:tcPr>
          <w:p w14:paraId="4A87978C">
            <w:pPr>
              <w:pStyle w:val="58"/>
              <w:bidi w:val="0"/>
              <w:jc w:val="center"/>
              <w:rPr>
                <w:rFonts w:hint="default"/>
                <w:highlight w:val="none"/>
                <w:lang w:val="zh-CN"/>
              </w:rPr>
            </w:pPr>
            <w:r>
              <w:rPr>
                <w:rFonts w:hint="default"/>
                <w:highlight w:val="none"/>
                <w:lang w:val="zh-CN"/>
              </w:rPr>
              <w:t>废气</w:t>
            </w:r>
          </w:p>
        </w:tc>
        <w:tc>
          <w:tcPr>
            <w:tcW w:w="3436" w:type="pct"/>
            <w:tcBorders>
              <w:tl2br w:val="nil"/>
              <w:tr2bl w:val="nil"/>
            </w:tcBorders>
            <w:noWrap w:val="0"/>
            <w:vAlign w:val="center"/>
          </w:tcPr>
          <w:p w14:paraId="58983683">
            <w:pPr>
              <w:pStyle w:val="58"/>
              <w:bidi w:val="0"/>
              <w:jc w:val="left"/>
              <w:rPr>
                <w:rFonts w:hint="default"/>
                <w:highlight w:val="none"/>
                <w:lang w:val="zh-CN"/>
              </w:rPr>
            </w:pPr>
            <w:r>
              <w:rPr>
                <w:rFonts w:hint="eastAsia"/>
                <w:highlight w:val="none"/>
                <w:lang w:val="en-US" w:eastAsia="zh-CN"/>
              </w:rPr>
              <w:t>格栅渠及</w:t>
            </w:r>
            <w:r>
              <w:rPr>
                <w:rFonts w:hint="default"/>
                <w:highlight w:val="none"/>
                <w:lang w:val="en-US" w:eastAsia="zh-CN"/>
              </w:rPr>
              <w:t>调节池</w:t>
            </w:r>
            <w:r>
              <w:rPr>
                <w:rFonts w:hint="default"/>
                <w:highlight w:val="none"/>
              </w:rPr>
              <w:t>、污泥池进行加盖处理，</w:t>
            </w:r>
            <w:r>
              <w:rPr>
                <w:rFonts w:hint="eastAsia"/>
                <w:highlight w:val="none"/>
                <w:lang w:val="en-US" w:eastAsia="zh-CN"/>
              </w:rPr>
              <w:t>A</w:t>
            </w:r>
            <w:r>
              <w:rPr>
                <w:rFonts w:hint="eastAsia"/>
                <w:highlight w:val="none"/>
                <w:vertAlign w:val="superscript"/>
                <w:lang w:val="en-US" w:eastAsia="zh-CN"/>
              </w:rPr>
              <w:t>2</w:t>
            </w:r>
            <w:r>
              <w:rPr>
                <w:rFonts w:hint="eastAsia"/>
                <w:highlight w:val="none"/>
                <w:lang w:val="en-US" w:eastAsia="zh-CN"/>
              </w:rPr>
              <w:t>O</w:t>
            </w:r>
            <w:r>
              <w:rPr>
                <w:rFonts w:hint="default"/>
                <w:highlight w:val="none"/>
                <w:lang w:val="en-US" w:eastAsia="zh-CN"/>
              </w:rPr>
              <w:t>一体化处理设备</w:t>
            </w:r>
            <w:r>
              <w:rPr>
                <w:rFonts w:hint="eastAsia"/>
                <w:highlight w:val="none"/>
                <w:lang w:val="en-US" w:eastAsia="zh-CN"/>
              </w:rPr>
              <w:t>、</w:t>
            </w:r>
            <w:r>
              <w:rPr>
                <w:rFonts w:hint="default"/>
                <w:highlight w:val="none"/>
              </w:rPr>
              <w:t>污泥脱水机房密闭，废气经负压收集后通过管道引入</w:t>
            </w:r>
            <w:r>
              <w:rPr>
                <w:rFonts w:hint="default"/>
                <w:highlight w:val="none"/>
                <w:lang w:val="en-US" w:eastAsia="zh-CN"/>
              </w:rPr>
              <w:t>一套等离子光电一体机（风机风量5000</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/h）处理，处理后经15m高排气筒（DA001）排放。</w:t>
            </w:r>
          </w:p>
        </w:tc>
      </w:tr>
      <w:tr w14:paraId="3DE920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2" w:type="pct"/>
            <w:vMerge w:val="continue"/>
            <w:tcBorders>
              <w:tl2br w:val="nil"/>
              <w:tr2bl w:val="nil"/>
            </w:tcBorders>
            <w:noWrap w:val="0"/>
            <w:vAlign w:val="center"/>
          </w:tcPr>
          <w:p w14:paraId="6E4256D8">
            <w:pPr>
              <w:pStyle w:val="58"/>
              <w:bidi w:val="0"/>
              <w:rPr>
                <w:rFonts w:hint="default"/>
                <w:highlight w:val="none"/>
                <w:lang w:val="zh-CN"/>
              </w:rPr>
            </w:pPr>
          </w:p>
        </w:tc>
        <w:tc>
          <w:tcPr>
            <w:tcW w:w="891" w:type="pct"/>
            <w:tcBorders>
              <w:tl2br w:val="nil"/>
              <w:tr2bl w:val="nil"/>
            </w:tcBorders>
            <w:noWrap w:val="0"/>
            <w:vAlign w:val="center"/>
          </w:tcPr>
          <w:p w14:paraId="2758EF0E">
            <w:pPr>
              <w:pStyle w:val="58"/>
              <w:bidi w:val="0"/>
              <w:rPr>
                <w:rFonts w:hint="default"/>
                <w:highlight w:val="none"/>
                <w:lang w:val="zh-CN"/>
              </w:rPr>
            </w:pPr>
            <w:r>
              <w:rPr>
                <w:rFonts w:hint="default"/>
                <w:highlight w:val="none"/>
                <w:lang w:val="zh-CN"/>
              </w:rPr>
              <w:t>废水</w:t>
            </w:r>
          </w:p>
        </w:tc>
        <w:tc>
          <w:tcPr>
            <w:tcW w:w="3436" w:type="pct"/>
            <w:tcBorders>
              <w:tl2br w:val="nil"/>
              <w:tr2bl w:val="nil"/>
            </w:tcBorders>
            <w:noWrap w:val="0"/>
            <w:vAlign w:val="center"/>
          </w:tcPr>
          <w:p w14:paraId="75E320AF">
            <w:pPr>
              <w:pStyle w:val="58"/>
              <w:bidi w:val="0"/>
              <w:jc w:val="both"/>
              <w:rPr>
                <w:rFonts w:hint="eastAsia" w:eastAsia="宋体"/>
                <w:highlight w:val="none"/>
                <w:lang w:val="en-US" w:eastAsia="zh-CN"/>
              </w:rPr>
            </w:pPr>
            <w:r>
              <w:rPr>
                <w:rFonts w:hint="default"/>
                <w:highlight w:val="none"/>
                <w:lang w:val="en-US"/>
              </w:rPr>
              <w:t>处理后水质满足《城镇污水处理厂污染物排放标准》（GB18918-2002）中表1一级A标准，同时满足</w:t>
            </w:r>
            <w:r>
              <w:rPr>
                <w:rFonts w:hint="default"/>
                <w:highlight w:val="none"/>
                <w:lang w:val="en-US" w:eastAsia="zh-CN"/>
              </w:rPr>
              <w:t>《城市污水再生利用 工业用水水质》（GB/T19923-2024）、《城市污水再生利用 城市杂用水水质》（GB/T18920-2020）</w:t>
            </w:r>
            <w:r>
              <w:rPr>
                <w:rFonts w:hint="eastAsia"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城市污水再生利用 绿地灌溉水质</w:t>
            </w: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GB/T</w:t>
            </w:r>
            <w:r>
              <w:rPr>
                <w:rFonts w:hint="eastAsia" w:ascii="Times New Roman" w:hAnsi="Times New Roman" w:eastAsia="宋体" w:cs="Times New Roman"/>
                <w:color w:val="auto"/>
                <w:sz w:val="21"/>
                <w:szCs w:val="21"/>
                <w:highlight w:val="none"/>
                <w:lang w:val="en-US" w:eastAsia="zh-CN"/>
              </w:rPr>
              <w:t>25499</w:t>
            </w:r>
            <w:r>
              <w:rPr>
                <w:rFonts w:hint="default"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2010）</w:t>
            </w:r>
            <w:r>
              <w:rPr>
                <w:rFonts w:hint="default"/>
                <w:highlight w:val="none"/>
                <w:lang w:val="en-US" w:eastAsia="zh-CN"/>
              </w:rPr>
              <w:t>标准限值。</w:t>
            </w:r>
            <w:r>
              <w:rPr>
                <w:rFonts w:hint="default"/>
                <w:highlight w:val="none"/>
                <w:lang w:val="en-US"/>
              </w:rPr>
              <w:t>首先作为中水回用厂区生产用水，剩余污水</w:t>
            </w:r>
            <w:r>
              <w:rPr>
                <w:rFonts w:hint="eastAsia"/>
                <w:highlight w:val="none"/>
                <w:lang w:val="en-US" w:eastAsia="zh-CN"/>
              </w:rPr>
              <w:t>回用于园区绿化、道路喷洒及园区企业生产用水。</w:t>
            </w:r>
          </w:p>
        </w:tc>
      </w:tr>
      <w:tr w14:paraId="4F63CFD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2" w:type="pct"/>
            <w:vMerge w:val="continue"/>
            <w:tcBorders>
              <w:tl2br w:val="nil"/>
              <w:tr2bl w:val="nil"/>
            </w:tcBorders>
            <w:noWrap w:val="0"/>
            <w:vAlign w:val="center"/>
          </w:tcPr>
          <w:p w14:paraId="7641777D">
            <w:pPr>
              <w:pStyle w:val="58"/>
              <w:bidi w:val="0"/>
              <w:rPr>
                <w:rFonts w:hint="default"/>
                <w:highlight w:val="none"/>
                <w:lang w:val="zh-CN"/>
              </w:rPr>
            </w:pPr>
          </w:p>
        </w:tc>
        <w:tc>
          <w:tcPr>
            <w:tcW w:w="891" w:type="pct"/>
            <w:tcBorders>
              <w:tl2br w:val="nil"/>
              <w:tr2bl w:val="nil"/>
            </w:tcBorders>
            <w:noWrap w:val="0"/>
            <w:vAlign w:val="center"/>
          </w:tcPr>
          <w:p w14:paraId="0ACFA391">
            <w:pPr>
              <w:pStyle w:val="58"/>
              <w:bidi w:val="0"/>
              <w:rPr>
                <w:rFonts w:hint="default"/>
                <w:highlight w:val="none"/>
                <w:lang w:val="zh-CN"/>
              </w:rPr>
            </w:pPr>
            <w:r>
              <w:rPr>
                <w:rFonts w:hint="default"/>
                <w:highlight w:val="none"/>
                <w:lang w:val="zh-CN"/>
              </w:rPr>
              <w:t>噪声</w:t>
            </w:r>
          </w:p>
        </w:tc>
        <w:tc>
          <w:tcPr>
            <w:tcW w:w="3436" w:type="pct"/>
            <w:tcBorders>
              <w:tl2br w:val="nil"/>
              <w:tr2bl w:val="nil"/>
            </w:tcBorders>
            <w:noWrap w:val="0"/>
            <w:vAlign w:val="center"/>
          </w:tcPr>
          <w:p w14:paraId="21A55F44">
            <w:pPr>
              <w:pStyle w:val="58"/>
              <w:bidi w:val="0"/>
              <w:rPr>
                <w:rFonts w:hint="default"/>
                <w:highlight w:val="none"/>
                <w:lang w:val="zh-CN"/>
              </w:rPr>
            </w:pPr>
            <w:r>
              <w:rPr>
                <w:rFonts w:hint="default"/>
                <w:highlight w:val="none"/>
                <w:lang w:val="zh-CN"/>
              </w:rPr>
              <w:t>低噪声设备，池体加盖封闭、设备房封闭、距离衰减等措施</w:t>
            </w:r>
          </w:p>
        </w:tc>
      </w:tr>
      <w:tr w14:paraId="058E10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2" w:type="pct"/>
            <w:vMerge w:val="continue"/>
            <w:tcBorders>
              <w:tl2br w:val="nil"/>
              <w:tr2bl w:val="nil"/>
            </w:tcBorders>
            <w:noWrap w:val="0"/>
            <w:vAlign w:val="center"/>
          </w:tcPr>
          <w:p w14:paraId="6F9EC936">
            <w:pPr>
              <w:pStyle w:val="58"/>
              <w:bidi w:val="0"/>
              <w:rPr>
                <w:rFonts w:hint="default"/>
                <w:highlight w:val="none"/>
                <w:lang w:val="zh-CN"/>
              </w:rPr>
            </w:pPr>
          </w:p>
        </w:tc>
        <w:tc>
          <w:tcPr>
            <w:tcW w:w="891" w:type="pct"/>
            <w:tcBorders>
              <w:tl2br w:val="nil"/>
              <w:tr2bl w:val="nil"/>
            </w:tcBorders>
            <w:noWrap w:val="0"/>
            <w:vAlign w:val="center"/>
          </w:tcPr>
          <w:p w14:paraId="6950DBDC">
            <w:pPr>
              <w:pStyle w:val="58"/>
              <w:bidi w:val="0"/>
              <w:rPr>
                <w:rFonts w:hint="default"/>
                <w:highlight w:val="none"/>
                <w:lang w:val="zh-CN"/>
              </w:rPr>
            </w:pPr>
            <w:r>
              <w:rPr>
                <w:rFonts w:hint="default"/>
                <w:highlight w:val="none"/>
                <w:lang w:val="zh-CN"/>
              </w:rPr>
              <w:t>固废</w:t>
            </w:r>
          </w:p>
        </w:tc>
        <w:tc>
          <w:tcPr>
            <w:tcW w:w="3436" w:type="pct"/>
            <w:tcBorders>
              <w:tl2br w:val="nil"/>
              <w:tr2bl w:val="nil"/>
            </w:tcBorders>
            <w:noWrap w:val="0"/>
            <w:vAlign w:val="center"/>
          </w:tcPr>
          <w:p w14:paraId="2DC85D31">
            <w:pPr>
              <w:pStyle w:val="58"/>
              <w:bidi w:val="0"/>
              <w:jc w:val="both"/>
              <w:rPr>
                <w:rFonts w:hint="default" w:eastAsia="宋体"/>
                <w:highlight w:val="none"/>
                <w:lang w:val="en-US" w:eastAsia="zh-CN"/>
              </w:rPr>
            </w:pPr>
            <w:r>
              <w:rPr>
                <w:rFonts w:hint="default"/>
                <w:highlight w:val="none"/>
                <w:lang w:val="zh-CN"/>
              </w:rPr>
              <w:t>生活垃圾由环卫部门处置，</w:t>
            </w:r>
            <w:r>
              <w:rPr>
                <w:rFonts w:hint="eastAsia"/>
                <w:highlight w:val="none"/>
                <w:lang w:val="en-US" w:eastAsia="zh-CN"/>
              </w:rPr>
              <w:t>栅渣、沉砂和</w:t>
            </w:r>
            <w:r>
              <w:rPr>
                <w:rFonts w:hint="default"/>
                <w:highlight w:val="none"/>
                <w:lang w:val="en-US" w:eastAsia="zh-CN"/>
              </w:rPr>
              <w:t>脱水后</w:t>
            </w:r>
            <w:r>
              <w:rPr>
                <w:rFonts w:hint="eastAsia"/>
                <w:highlight w:val="none"/>
                <w:lang w:val="en-US" w:eastAsia="zh-CN"/>
              </w:rPr>
              <w:t>的</w:t>
            </w:r>
            <w:r>
              <w:rPr>
                <w:rFonts w:hint="default"/>
                <w:highlight w:val="none"/>
                <w:lang w:val="en-US" w:eastAsia="zh-CN"/>
              </w:rPr>
              <w:t>污泥委托水泥厂协同处置；</w:t>
            </w:r>
            <w:r>
              <w:rPr>
                <w:rFonts w:hint="eastAsia"/>
                <w:highlight w:val="none"/>
                <w:lang w:val="en-US" w:eastAsia="zh-CN"/>
              </w:rPr>
              <w:t>等离子光电一体机更换下来的废UV灯管、</w:t>
            </w:r>
            <w:r>
              <w:rPr>
                <w:rFonts w:hint="eastAsia"/>
                <w:highlight w:val="none"/>
                <w:lang w:val="zh-CN"/>
              </w:rPr>
              <w:t>实验室</w:t>
            </w:r>
            <w:r>
              <w:rPr>
                <w:rFonts w:hint="default"/>
                <w:highlight w:val="none"/>
                <w:lang w:val="zh-CN"/>
              </w:rPr>
              <w:t>及在线监测设备</w:t>
            </w:r>
            <w:r>
              <w:rPr>
                <w:rFonts w:hint="default"/>
                <w:highlight w:val="none"/>
                <w:lang w:val="en-US" w:eastAsia="zh-CN"/>
              </w:rPr>
              <w:t>产生的</w:t>
            </w:r>
            <w:r>
              <w:rPr>
                <w:rFonts w:hint="default"/>
                <w:highlight w:val="none"/>
                <w:lang w:val="zh-CN"/>
              </w:rPr>
              <w:t>废液及废瓶</w:t>
            </w:r>
            <w:r>
              <w:rPr>
                <w:rFonts w:hint="default"/>
                <w:highlight w:val="none"/>
                <w:lang w:val="en-US" w:eastAsia="zh-CN"/>
              </w:rPr>
              <w:t>与设备维护产生</w:t>
            </w:r>
            <w:r>
              <w:rPr>
                <w:rFonts w:hint="default"/>
                <w:highlight w:val="none"/>
                <w:lang w:val="zh-CN"/>
              </w:rPr>
              <w:t>废润滑油、</w:t>
            </w:r>
            <w:r>
              <w:rPr>
                <w:rFonts w:hint="eastAsia"/>
                <w:highlight w:val="none"/>
                <w:lang w:val="en-US" w:eastAsia="zh-CN"/>
              </w:rPr>
              <w:t>废液压油、</w:t>
            </w:r>
            <w:r>
              <w:rPr>
                <w:rFonts w:hint="default"/>
                <w:highlight w:val="none"/>
                <w:lang w:val="zh-CN"/>
              </w:rPr>
              <w:t>废油桶属于危废，</w:t>
            </w:r>
            <w:r>
              <w:rPr>
                <w:rFonts w:hint="eastAsia"/>
                <w:highlight w:val="none"/>
                <w:lang w:val="en-US" w:eastAsia="zh-CN"/>
              </w:rPr>
              <w:t>厂区危废间暂存，定期委托有</w:t>
            </w:r>
            <w:r>
              <w:rPr>
                <w:rFonts w:hint="default"/>
                <w:highlight w:val="none"/>
                <w:lang w:val="zh-CN"/>
              </w:rPr>
              <w:t>资质单位处置。</w:t>
            </w:r>
            <w:r>
              <w:rPr>
                <w:rFonts w:hint="eastAsia"/>
                <w:highlight w:val="none"/>
                <w:lang w:val="en-US" w:eastAsia="zh-CN"/>
              </w:rPr>
              <w:t>本项目建设一个22.5m</w:t>
            </w:r>
            <w:r>
              <w:rPr>
                <w:rFonts w:hint="eastAsia"/>
                <w:highlight w:val="none"/>
                <w:vertAlign w:val="superscript"/>
                <w:lang w:val="en-US" w:eastAsia="zh-CN"/>
              </w:rPr>
              <w:t>2</w:t>
            </w:r>
            <w:r>
              <w:rPr>
                <w:rFonts w:hint="eastAsia"/>
                <w:highlight w:val="none"/>
                <w:vertAlign w:val="baseline"/>
                <w:lang w:val="en-US" w:eastAsia="zh-CN"/>
              </w:rPr>
              <w:t>危废间。</w:t>
            </w:r>
          </w:p>
        </w:tc>
      </w:tr>
      <w:tr w14:paraId="767E364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2" w:type="pct"/>
            <w:vMerge w:val="continue"/>
            <w:tcBorders>
              <w:tl2br w:val="nil"/>
              <w:tr2bl w:val="nil"/>
            </w:tcBorders>
            <w:noWrap w:val="0"/>
            <w:vAlign w:val="center"/>
          </w:tcPr>
          <w:p w14:paraId="350BA1E7">
            <w:pPr>
              <w:pStyle w:val="58"/>
              <w:bidi w:val="0"/>
              <w:rPr>
                <w:rFonts w:hint="default"/>
                <w:highlight w:val="none"/>
                <w:lang w:val="zh-CN"/>
              </w:rPr>
            </w:pPr>
          </w:p>
        </w:tc>
        <w:tc>
          <w:tcPr>
            <w:tcW w:w="891" w:type="pct"/>
            <w:tcBorders>
              <w:tl2br w:val="nil"/>
              <w:tr2bl w:val="nil"/>
            </w:tcBorders>
            <w:noWrap w:val="0"/>
            <w:vAlign w:val="center"/>
          </w:tcPr>
          <w:p w14:paraId="067F734C">
            <w:pPr>
              <w:pStyle w:val="58"/>
              <w:bidi w:val="0"/>
              <w:rPr>
                <w:rFonts w:hint="default"/>
                <w:highlight w:val="none"/>
                <w:lang w:val="en-US" w:eastAsia="zh-CN"/>
              </w:rPr>
            </w:pPr>
            <w:r>
              <w:rPr>
                <w:rFonts w:hint="default"/>
                <w:highlight w:val="none"/>
                <w:lang w:val="en-US" w:eastAsia="zh-CN"/>
              </w:rPr>
              <w:t>防渗</w:t>
            </w:r>
          </w:p>
        </w:tc>
        <w:tc>
          <w:tcPr>
            <w:tcW w:w="3436" w:type="pct"/>
            <w:tcBorders>
              <w:tl2br w:val="nil"/>
              <w:tr2bl w:val="nil"/>
            </w:tcBorders>
            <w:noWrap w:val="0"/>
            <w:vAlign w:val="center"/>
          </w:tcPr>
          <w:p w14:paraId="36650C00">
            <w:pPr>
              <w:pStyle w:val="58"/>
              <w:bidi w:val="0"/>
              <w:rPr>
                <w:rFonts w:hint="default"/>
                <w:highlight w:val="none"/>
                <w:lang w:val="zh-CN"/>
              </w:rPr>
            </w:pPr>
            <w:r>
              <w:rPr>
                <w:rFonts w:hint="default"/>
                <w:highlight w:val="none"/>
                <w:lang w:val="zh-CN"/>
              </w:rPr>
              <w:t>采取分区防渗的措施。</w:t>
            </w:r>
          </w:p>
        </w:tc>
      </w:tr>
      <w:tr w14:paraId="0737BC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1" w:type="dxa"/>
            <w:bottom w:w="0" w:type="dxa"/>
            <w:right w:w="51" w:type="dxa"/>
          </w:tblCellMar>
        </w:tblPrEx>
        <w:trPr>
          <w:trHeight w:val="369" w:hRule="atLeast"/>
          <w:jc w:val="center"/>
        </w:trPr>
        <w:tc>
          <w:tcPr>
            <w:tcW w:w="672" w:type="pct"/>
            <w:vMerge w:val="continue"/>
            <w:tcBorders>
              <w:tl2br w:val="nil"/>
              <w:tr2bl w:val="nil"/>
            </w:tcBorders>
            <w:noWrap w:val="0"/>
            <w:vAlign w:val="center"/>
          </w:tcPr>
          <w:p w14:paraId="2FA60324">
            <w:pPr>
              <w:pStyle w:val="58"/>
              <w:bidi w:val="0"/>
              <w:rPr>
                <w:rFonts w:hint="default"/>
                <w:highlight w:val="none"/>
                <w:lang w:val="zh-CN"/>
              </w:rPr>
            </w:pPr>
          </w:p>
        </w:tc>
        <w:tc>
          <w:tcPr>
            <w:tcW w:w="891" w:type="pct"/>
            <w:tcBorders>
              <w:tl2br w:val="nil"/>
              <w:tr2bl w:val="nil"/>
            </w:tcBorders>
            <w:noWrap w:val="0"/>
            <w:vAlign w:val="center"/>
          </w:tcPr>
          <w:p w14:paraId="0B561A84">
            <w:pPr>
              <w:pStyle w:val="58"/>
              <w:bidi w:val="0"/>
              <w:rPr>
                <w:rFonts w:hint="default"/>
                <w:highlight w:val="none"/>
                <w:lang w:val="en-US" w:eastAsia="zh-CN"/>
              </w:rPr>
            </w:pPr>
            <w:r>
              <w:rPr>
                <w:rFonts w:hint="default"/>
                <w:highlight w:val="none"/>
                <w:lang w:val="en-US" w:eastAsia="zh-CN"/>
              </w:rPr>
              <w:t>绿化</w:t>
            </w:r>
          </w:p>
        </w:tc>
        <w:tc>
          <w:tcPr>
            <w:tcW w:w="3436" w:type="pct"/>
            <w:tcBorders>
              <w:tl2br w:val="nil"/>
              <w:tr2bl w:val="nil"/>
            </w:tcBorders>
            <w:noWrap w:val="0"/>
            <w:vAlign w:val="center"/>
          </w:tcPr>
          <w:p w14:paraId="7F4B8F85">
            <w:pPr>
              <w:pStyle w:val="58"/>
              <w:bidi w:val="0"/>
              <w:rPr>
                <w:rFonts w:hint="default"/>
                <w:highlight w:val="none"/>
                <w:lang w:val="zh-CN"/>
              </w:rPr>
            </w:pPr>
            <w:r>
              <w:rPr>
                <w:rFonts w:hint="default"/>
                <w:highlight w:val="none"/>
                <w:lang w:val="zh-CN"/>
              </w:rPr>
              <w:t>加强厂区内绿化工程及厂界绿化防护带建设。</w:t>
            </w:r>
          </w:p>
        </w:tc>
      </w:tr>
    </w:tbl>
    <w:p w14:paraId="3342678E">
      <w:pPr>
        <w:pStyle w:val="6"/>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3.2.1主要构筑物</w:t>
      </w:r>
    </w:p>
    <w:p w14:paraId="2D4E03BF">
      <w:pPr>
        <w:rPr>
          <w:rFonts w:hint="default"/>
          <w:highlight w:val="none"/>
          <w:lang w:val="en-US" w:eastAsia="zh-CN"/>
        </w:rPr>
      </w:pPr>
      <w:r>
        <w:rPr>
          <w:rFonts w:hint="default"/>
          <w:highlight w:val="none"/>
          <w:lang w:val="en-US" w:eastAsia="zh-CN"/>
        </w:rPr>
        <w:t>本项目主要构筑物规格见表3.2-</w:t>
      </w:r>
      <w:r>
        <w:rPr>
          <w:rFonts w:hint="eastAsia"/>
          <w:highlight w:val="none"/>
          <w:lang w:val="en-US" w:eastAsia="zh-CN"/>
        </w:rPr>
        <w:t>4</w:t>
      </w:r>
      <w:r>
        <w:rPr>
          <w:rFonts w:hint="default"/>
          <w:highlight w:val="none"/>
          <w:lang w:val="en-US" w:eastAsia="zh-CN"/>
        </w:rPr>
        <w:t>。</w:t>
      </w:r>
    </w:p>
    <w:p w14:paraId="1BE389A9">
      <w:pPr>
        <w:widowControl/>
        <w:numPr>
          <w:ilvl w:val="0"/>
          <w:numId w:val="24"/>
        </w:numPr>
        <w:ind w:left="425" w:leftChars="0" w:hanging="425" w:firstLineChars="0"/>
        <w:jc w:val="center"/>
        <w:rPr>
          <w:rFonts w:hint="default" w:ascii="Times New Roman" w:hAnsi="Times New Roman" w:eastAsia="宋体" w:cs="Times New Roman"/>
          <w:b/>
          <w:color w:val="auto"/>
          <w:highlight w:val="none"/>
          <w:lang w:val="zh-CN"/>
        </w:rPr>
      </w:pPr>
      <w:r>
        <w:rPr>
          <w:rFonts w:hint="default" w:ascii="Times New Roman" w:hAnsi="Times New Roman" w:eastAsia="宋体" w:cs="Times New Roman"/>
          <w:b/>
          <w:color w:val="auto"/>
          <w:highlight w:val="none"/>
          <w:lang w:val="zh-CN"/>
        </w:rPr>
        <w:t>项目</w:t>
      </w:r>
      <w:r>
        <w:rPr>
          <w:rFonts w:hint="default" w:ascii="Times New Roman" w:hAnsi="Times New Roman" w:eastAsia="宋体" w:cs="Times New Roman"/>
          <w:b/>
          <w:color w:val="auto"/>
          <w:highlight w:val="none"/>
          <w:lang w:val="en-US" w:eastAsia="zh-CN"/>
        </w:rPr>
        <w:t>建构筑物</w:t>
      </w:r>
      <w:r>
        <w:rPr>
          <w:rFonts w:hint="default" w:ascii="Times New Roman" w:hAnsi="Times New Roman" w:eastAsia="宋体" w:cs="Times New Roman"/>
          <w:b/>
          <w:color w:val="auto"/>
          <w:highlight w:val="none"/>
          <w:lang w:val="zh-CN"/>
        </w:rPr>
        <w:t>一览表</w:t>
      </w:r>
    </w:p>
    <w:tbl>
      <w:tblPr>
        <w:tblStyle w:val="48"/>
        <w:tblW w:w="4996"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611"/>
        <w:gridCol w:w="1993"/>
        <w:gridCol w:w="3062"/>
        <w:gridCol w:w="745"/>
        <w:gridCol w:w="1227"/>
        <w:gridCol w:w="1643"/>
      </w:tblGrid>
      <w:tr w14:paraId="620FFF4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29" w:type="pct"/>
            <w:vAlign w:val="center"/>
          </w:tcPr>
          <w:p w14:paraId="7A861045">
            <w:pPr>
              <w:pStyle w:val="58"/>
              <w:bidi w:val="0"/>
              <w:spacing w:line="240" w:lineRule="auto"/>
              <w:rPr>
                <w:rFonts w:hint="default"/>
                <w:highlight w:val="none"/>
                <w:lang w:val="en-US" w:eastAsia="zh-CN"/>
              </w:rPr>
            </w:pPr>
            <w:r>
              <w:rPr>
                <w:rFonts w:hint="default"/>
                <w:highlight w:val="none"/>
                <w:lang w:val="en-US" w:eastAsia="zh-CN"/>
              </w:rPr>
              <w:t>序号</w:t>
            </w:r>
          </w:p>
        </w:tc>
        <w:tc>
          <w:tcPr>
            <w:tcW w:w="1073" w:type="pct"/>
            <w:vAlign w:val="center"/>
          </w:tcPr>
          <w:p w14:paraId="13FDCD0B">
            <w:pPr>
              <w:pStyle w:val="58"/>
              <w:bidi w:val="0"/>
              <w:spacing w:line="240" w:lineRule="auto"/>
              <w:rPr>
                <w:rFonts w:hint="default"/>
                <w:highlight w:val="none"/>
                <w:lang w:val="en-US" w:eastAsia="zh-CN"/>
              </w:rPr>
            </w:pPr>
            <w:r>
              <w:rPr>
                <w:rFonts w:hint="default"/>
                <w:highlight w:val="none"/>
                <w:lang w:val="en-US" w:eastAsia="zh-CN"/>
              </w:rPr>
              <w:t>建构筑物名称</w:t>
            </w:r>
          </w:p>
        </w:tc>
        <w:tc>
          <w:tcPr>
            <w:tcW w:w="1649" w:type="pct"/>
            <w:vAlign w:val="center"/>
          </w:tcPr>
          <w:p w14:paraId="79B6AF5E">
            <w:pPr>
              <w:pStyle w:val="58"/>
              <w:bidi w:val="0"/>
              <w:spacing w:line="240" w:lineRule="auto"/>
              <w:rPr>
                <w:rFonts w:hint="default"/>
                <w:highlight w:val="none"/>
                <w:lang w:val="en-US" w:eastAsia="zh-CN"/>
              </w:rPr>
            </w:pPr>
            <w:r>
              <w:rPr>
                <w:rFonts w:hint="default"/>
                <w:highlight w:val="none"/>
                <w:lang w:val="en-US" w:eastAsia="zh-CN"/>
              </w:rPr>
              <w:t>规格尺寸（m）/建筑面积（m</w:t>
            </w:r>
            <w:r>
              <w:rPr>
                <w:rFonts w:hint="default"/>
                <w:highlight w:val="none"/>
                <w:vertAlign w:val="superscript"/>
                <w:lang w:val="en-US" w:eastAsia="zh-CN"/>
              </w:rPr>
              <w:t>2</w:t>
            </w:r>
            <w:r>
              <w:rPr>
                <w:rFonts w:hint="default"/>
                <w:highlight w:val="none"/>
                <w:lang w:val="en-US" w:eastAsia="zh-CN"/>
              </w:rPr>
              <w:t>）</w:t>
            </w:r>
          </w:p>
        </w:tc>
        <w:tc>
          <w:tcPr>
            <w:tcW w:w="401" w:type="pct"/>
            <w:vAlign w:val="center"/>
          </w:tcPr>
          <w:p w14:paraId="03ECB203">
            <w:pPr>
              <w:pStyle w:val="58"/>
              <w:bidi w:val="0"/>
              <w:spacing w:line="240" w:lineRule="auto"/>
              <w:rPr>
                <w:rFonts w:hint="default"/>
                <w:highlight w:val="none"/>
                <w:lang w:val="en-US" w:eastAsia="zh-CN"/>
              </w:rPr>
            </w:pPr>
            <w:r>
              <w:rPr>
                <w:rFonts w:hint="default"/>
                <w:highlight w:val="none"/>
                <w:lang w:val="en-US" w:eastAsia="zh-CN"/>
              </w:rPr>
              <w:t>数量</w:t>
            </w:r>
          </w:p>
        </w:tc>
        <w:tc>
          <w:tcPr>
            <w:tcW w:w="661" w:type="pct"/>
            <w:vAlign w:val="center"/>
          </w:tcPr>
          <w:p w14:paraId="63242E00">
            <w:pPr>
              <w:pStyle w:val="58"/>
              <w:bidi w:val="0"/>
              <w:spacing w:line="240" w:lineRule="auto"/>
              <w:rPr>
                <w:rFonts w:hint="default"/>
                <w:highlight w:val="none"/>
                <w:lang w:val="en-US" w:eastAsia="zh-CN"/>
              </w:rPr>
            </w:pPr>
            <w:r>
              <w:rPr>
                <w:rFonts w:hint="default"/>
                <w:highlight w:val="none"/>
                <w:lang w:val="en-US" w:eastAsia="zh-CN"/>
              </w:rPr>
              <w:t>结构形式</w:t>
            </w:r>
          </w:p>
        </w:tc>
        <w:tc>
          <w:tcPr>
            <w:tcW w:w="885" w:type="pct"/>
            <w:vAlign w:val="center"/>
          </w:tcPr>
          <w:p w14:paraId="6FBB5056">
            <w:pPr>
              <w:pStyle w:val="58"/>
              <w:bidi w:val="0"/>
              <w:spacing w:line="240" w:lineRule="auto"/>
              <w:rPr>
                <w:rFonts w:hint="default"/>
                <w:highlight w:val="none"/>
                <w:lang w:val="en-US" w:eastAsia="zh-CN"/>
              </w:rPr>
            </w:pPr>
            <w:r>
              <w:rPr>
                <w:rFonts w:hint="default"/>
                <w:highlight w:val="none"/>
                <w:lang w:val="en-US" w:eastAsia="zh-CN"/>
              </w:rPr>
              <w:t>备注</w:t>
            </w:r>
          </w:p>
        </w:tc>
      </w:tr>
      <w:tr w14:paraId="5D6F75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29" w:type="pct"/>
            <w:vAlign w:val="center"/>
          </w:tcPr>
          <w:p w14:paraId="1039C2F8">
            <w:pPr>
              <w:pStyle w:val="58"/>
              <w:numPr>
                <w:ilvl w:val="0"/>
                <w:numId w:val="25"/>
              </w:numPr>
              <w:bidi w:val="0"/>
              <w:spacing w:line="240" w:lineRule="auto"/>
              <w:ind w:left="425" w:leftChars="0" w:hanging="425" w:firstLineChars="0"/>
              <w:rPr>
                <w:rFonts w:hint="default"/>
                <w:highlight w:val="none"/>
                <w:lang w:val="en-US" w:eastAsia="zh-CN"/>
              </w:rPr>
            </w:pPr>
          </w:p>
        </w:tc>
        <w:tc>
          <w:tcPr>
            <w:tcW w:w="1073" w:type="pct"/>
            <w:vAlign w:val="center"/>
          </w:tcPr>
          <w:p w14:paraId="5DC44F97">
            <w:pPr>
              <w:pStyle w:val="58"/>
              <w:bidi w:val="0"/>
              <w:spacing w:line="240" w:lineRule="auto"/>
              <w:rPr>
                <w:rFonts w:hint="default"/>
                <w:highlight w:val="none"/>
                <w:lang w:val="en-US" w:eastAsia="zh-CN"/>
              </w:rPr>
            </w:pPr>
            <w:r>
              <w:rPr>
                <w:rFonts w:hint="eastAsia"/>
                <w:highlight w:val="none"/>
                <w:lang w:val="en-US" w:eastAsia="zh-CN"/>
              </w:rPr>
              <w:t>格栅渠及调节池</w:t>
            </w:r>
          </w:p>
        </w:tc>
        <w:tc>
          <w:tcPr>
            <w:tcW w:w="1649" w:type="pct"/>
            <w:vAlign w:val="center"/>
          </w:tcPr>
          <w:p w14:paraId="67EB3DC0">
            <w:pPr>
              <w:pStyle w:val="58"/>
              <w:bidi w:val="0"/>
              <w:spacing w:line="240" w:lineRule="auto"/>
              <w:rPr>
                <w:rFonts w:hint="default"/>
                <w:highlight w:val="none"/>
                <w:lang w:val="zh-CN"/>
              </w:rPr>
            </w:pPr>
            <w:r>
              <w:rPr>
                <w:rFonts w:hint="default"/>
                <w:highlight w:val="none"/>
                <w:lang w:val="zh-CN"/>
              </w:rPr>
              <w:t>8.6m×9.7m×5.25m</w:t>
            </w:r>
          </w:p>
        </w:tc>
        <w:tc>
          <w:tcPr>
            <w:tcW w:w="401" w:type="pct"/>
            <w:vAlign w:val="center"/>
          </w:tcPr>
          <w:p w14:paraId="506FF8F3">
            <w:pPr>
              <w:pStyle w:val="58"/>
              <w:bidi w:val="0"/>
              <w:spacing w:line="240" w:lineRule="auto"/>
              <w:rPr>
                <w:rFonts w:hint="default"/>
                <w:highlight w:val="none"/>
                <w:lang w:val="en-US" w:eastAsia="zh-CN"/>
              </w:rPr>
            </w:pPr>
            <w:r>
              <w:rPr>
                <w:rFonts w:hint="default"/>
                <w:highlight w:val="none"/>
                <w:lang w:val="en-US" w:eastAsia="zh-CN"/>
              </w:rPr>
              <w:t>1</w:t>
            </w:r>
          </w:p>
        </w:tc>
        <w:tc>
          <w:tcPr>
            <w:tcW w:w="661" w:type="pct"/>
            <w:vAlign w:val="center"/>
          </w:tcPr>
          <w:p w14:paraId="2F7F621D">
            <w:pPr>
              <w:pStyle w:val="58"/>
              <w:bidi w:val="0"/>
              <w:spacing w:line="240" w:lineRule="auto"/>
              <w:rPr>
                <w:rFonts w:hint="default"/>
                <w:highlight w:val="none"/>
                <w:lang w:val="zh-CN"/>
              </w:rPr>
            </w:pPr>
            <w:r>
              <w:rPr>
                <w:rFonts w:hint="default"/>
                <w:highlight w:val="none"/>
                <w:lang w:val="zh-CN"/>
              </w:rPr>
              <w:t>钢砼</w:t>
            </w:r>
          </w:p>
        </w:tc>
        <w:tc>
          <w:tcPr>
            <w:tcW w:w="885" w:type="pct"/>
            <w:vAlign w:val="center"/>
          </w:tcPr>
          <w:p w14:paraId="1862F336">
            <w:pPr>
              <w:pStyle w:val="58"/>
              <w:bidi w:val="0"/>
              <w:spacing w:line="240" w:lineRule="auto"/>
              <w:rPr>
                <w:rFonts w:hint="eastAsia" w:eastAsia="宋体"/>
                <w:highlight w:val="none"/>
                <w:lang w:val="en-US" w:eastAsia="zh-CN"/>
              </w:rPr>
            </w:pPr>
            <w:r>
              <w:rPr>
                <w:rFonts w:hint="eastAsia"/>
                <w:highlight w:val="none"/>
                <w:lang w:val="en-US" w:eastAsia="zh-CN"/>
              </w:rPr>
              <w:t>地下结构</w:t>
            </w:r>
          </w:p>
        </w:tc>
      </w:tr>
      <w:tr w14:paraId="3B33E2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29" w:type="pct"/>
            <w:vAlign w:val="center"/>
          </w:tcPr>
          <w:p w14:paraId="32B88113">
            <w:pPr>
              <w:pStyle w:val="58"/>
              <w:numPr>
                <w:ilvl w:val="0"/>
                <w:numId w:val="25"/>
              </w:numPr>
              <w:bidi w:val="0"/>
              <w:spacing w:line="240" w:lineRule="auto"/>
              <w:ind w:left="425" w:leftChars="0" w:hanging="425" w:firstLineChars="0"/>
              <w:rPr>
                <w:rFonts w:hint="default"/>
                <w:highlight w:val="none"/>
                <w:lang w:val="zh-CN"/>
              </w:rPr>
            </w:pPr>
          </w:p>
        </w:tc>
        <w:tc>
          <w:tcPr>
            <w:tcW w:w="1073" w:type="pct"/>
            <w:vAlign w:val="center"/>
          </w:tcPr>
          <w:p w14:paraId="3547B04D">
            <w:pPr>
              <w:pStyle w:val="58"/>
              <w:bidi w:val="0"/>
              <w:spacing w:line="240" w:lineRule="auto"/>
              <w:rPr>
                <w:rFonts w:hint="default"/>
                <w:highlight w:val="none"/>
                <w:lang w:val="zh-CN"/>
              </w:rPr>
            </w:pPr>
            <w:r>
              <w:rPr>
                <w:rFonts w:hint="eastAsia"/>
                <w:highlight w:val="none"/>
                <w:lang w:val="en-US" w:eastAsia="zh-CN"/>
              </w:rPr>
              <w:t>生化处理辅助工房</w:t>
            </w:r>
          </w:p>
        </w:tc>
        <w:tc>
          <w:tcPr>
            <w:tcW w:w="1649" w:type="pct"/>
            <w:vAlign w:val="center"/>
          </w:tcPr>
          <w:p w14:paraId="02BB2DC8">
            <w:pPr>
              <w:pStyle w:val="58"/>
              <w:bidi w:val="0"/>
              <w:spacing w:line="240" w:lineRule="auto"/>
              <w:rPr>
                <w:rFonts w:hint="default"/>
                <w:highlight w:val="none"/>
                <w:lang w:val="zh-CN"/>
              </w:rPr>
            </w:pPr>
            <w:bookmarkStart w:id="138" w:name="OLE_LINK100"/>
            <w:r>
              <w:rPr>
                <w:rFonts w:hint="eastAsia"/>
                <w:highlight w:val="none"/>
                <w:lang w:val="en-US" w:eastAsia="zh-CN"/>
              </w:rPr>
              <w:t>12.5</w:t>
            </w:r>
            <w:r>
              <w:rPr>
                <w:rFonts w:hint="default"/>
                <w:highlight w:val="none"/>
                <w:lang w:val="zh-CN"/>
              </w:rPr>
              <w:t>m×</w:t>
            </w:r>
            <w:r>
              <w:rPr>
                <w:rFonts w:hint="eastAsia"/>
                <w:highlight w:val="none"/>
                <w:lang w:val="en-US" w:eastAsia="zh-CN"/>
              </w:rPr>
              <w:t>3.0</w:t>
            </w:r>
            <w:r>
              <w:rPr>
                <w:rFonts w:hint="default"/>
                <w:highlight w:val="none"/>
                <w:lang w:val="zh-CN"/>
              </w:rPr>
              <w:t>m×</w:t>
            </w:r>
            <w:r>
              <w:rPr>
                <w:rFonts w:hint="eastAsia"/>
                <w:highlight w:val="none"/>
                <w:lang w:val="en-US" w:eastAsia="zh-CN"/>
              </w:rPr>
              <w:t>0.5</w:t>
            </w:r>
            <w:r>
              <w:rPr>
                <w:rFonts w:hint="default"/>
                <w:highlight w:val="none"/>
                <w:lang w:val="zh-CN"/>
              </w:rPr>
              <w:t>m</w:t>
            </w:r>
            <w:bookmarkEnd w:id="138"/>
          </w:p>
        </w:tc>
        <w:tc>
          <w:tcPr>
            <w:tcW w:w="401" w:type="pct"/>
            <w:vAlign w:val="center"/>
          </w:tcPr>
          <w:p w14:paraId="7232A9C2">
            <w:pPr>
              <w:pStyle w:val="58"/>
              <w:bidi w:val="0"/>
              <w:spacing w:line="240" w:lineRule="auto"/>
              <w:rPr>
                <w:rFonts w:hint="default"/>
                <w:highlight w:val="none"/>
                <w:lang w:val="en-US" w:eastAsia="zh-CN"/>
              </w:rPr>
            </w:pPr>
            <w:r>
              <w:rPr>
                <w:rFonts w:hint="default"/>
                <w:highlight w:val="none"/>
                <w:lang w:val="en-US" w:eastAsia="zh-CN"/>
              </w:rPr>
              <w:t>1</w:t>
            </w:r>
          </w:p>
        </w:tc>
        <w:tc>
          <w:tcPr>
            <w:tcW w:w="661" w:type="pct"/>
            <w:vAlign w:val="center"/>
          </w:tcPr>
          <w:p w14:paraId="388C7247">
            <w:pPr>
              <w:pStyle w:val="58"/>
              <w:bidi w:val="0"/>
              <w:spacing w:line="240" w:lineRule="auto"/>
              <w:rPr>
                <w:rFonts w:hint="default"/>
                <w:highlight w:val="none"/>
                <w:lang w:val="zh-CN"/>
              </w:rPr>
            </w:pPr>
            <w:r>
              <w:rPr>
                <w:rFonts w:hint="default"/>
                <w:highlight w:val="none"/>
                <w:lang w:val="zh-CN"/>
              </w:rPr>
              <w:t>钢砼</w:t>
            </w:r>
          </w:p>
        </w:tc>
        <w:tc>
          <w:tcPr>
            <w:tcW w:w="885" w:type="pct"/>
            <w:vAlign w:val="center"/>
          </w:tcPr>
          <w:p w14:paraId="2A5D1997">
            <w:pPr>
              <w:pStyle w:val="58"/>
              <w:bidi w:val="0"/>
              <w:spacing w:line="240" w:lineRule="auto"/>
              <w:rPr>
                <w:rFonts w:hint="default" w:eastAsia="宋体"/>
                <w:highlight w:val="none"/>
                <w:lang w:val="en-US" w:eastAsia="zh-CN"/>
              </w:rPr>
            </w:pPr>
            <w:r>
              <w:rPr>
                <w:rFonts w:hint="eastAsia"/>
                <w:highlight w:val="none"/>
                <w:lang w:val="en-US" w:eastAsia="zh-CN"/>
              </w:rPr>
              <w:t>地上结构</w:t>
            </w:r>
          </w:p>
        </w:tc>
      </w:tr>
      <w:tr w14:paraId="2A6D084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29" w:type="pct"/>
            <w:vAlign w:val="center"/>
          </w:tcPr>
          <w:p w14:paraId="45A4AF6E">
            <w:pPr>
              <w:pStyle w:val="58"/>
              <w:numPr>
                <w:ilvl w:val="0"/>
                <w:numId w:val="0"/>
              </w:numPr>
              <w:bidi w:val="0"/>
              <w:spacing w:line="240" w:lineRule="auto"/>
              <w:ind w:leftChars="0"/>
              <w:jc w:val="center"/>
              <w:rPr>
                <w:rFonts w:hint="default"/>
                <w:highlight w:val="none"/>
                <w:lang w:val="zh-CN"/>
              </w:rPr>
            </w:pPr>
            <w:r>
              <w:rPr>
                <w:rFonts w:hint="eastAsia"/>
                <w:highlight w:val="none"/>
                <w:lang w:val="en-US" w:eastAsia="zh-CN"/>
              </w:rPr>
              <w:t>2.1</w:t>
            </w:r>
          </w:p>
        </w:tc>
        <w:tc>
          <w:tcPr>
            <w:tcW w:w="1073" w:type="pct"/>
            <w:vAlign w:val="center"/>
          </w:tcPr>
          <w:p w14:paraId="07D5E58E">
            <w:pPr>
              <w:pStyle w:val="58"/>
              <w:bidi w:val="0"/>
              <w:spacing w:line="240" w:lineRule="auto"/>
              <w:rPr>
                <w:rFonts w:hint="default" w:eastAsia="宋体"/>
                <w:highlight w:val="none"/>
                <w:lang w:val="en-US" w:eastAsia="zh-CN"/>
              </w:rPr>
            </w:pPr>
            <w:bookmarkStart w:id="139" w:name="OLE_LINK102"/>
            <w:r>
              <w:rPr>
                <w:rFonts w:hint="eastAsia"/>
                <w:highlight w:val="none"/>
                <w:lang w:val="en-US" w:eastAsia="zh-CN"/>
              </w:rPr>
              <w:t>A</w:t>
            </w:r>
            <w:r>
              <w:rPr>
                <w:rFonts w:hint="eastAsia"/>
                <w:highlight w:val="none"/>
                <w:vertAlign w:val="superscript"/>
                <w:lang w:val="en-US" w:eastAsia="zh-CN"/>
              </w:rPr>
              <w:t>2</w:t>
            </w:r>
            <w:r>
              <w:rPr>
                <w:rFonts w:hint="eastAsia"/>
                <w:highlight w:val="none"/>
                <w:lang w:val="en-US" w:eastAsia="zh-CN"/>
              </w:rPr>
              <w:t>O一体化设备</w:t>
            </w:r>
            <w:bookmarkEnd w:id="139"/>
          </w:p>
        </w:tc>
        <w:tc>
          <w:tcPr>
            <w:tcW w:w="1649" w:type="pct"/>
            <w:vAlign w:val="center"/>
          </w:tcPr>
          <w:p w14:paraId="77E52ECA">
            <w:pPr>
              <w:pStyle w:val="58"/>
              <w:bidi w:val="0"/>
              <w:spacing w:line="240" w:lineRule="auto"/>
              <w:rPr>
                <w:rFonts w:hint="eastAsia"/>
                <w:highlight w:val="none"/>
                <w:lang w:val="en-US" w:eastAsia="zh-CN"/>
              </w:rPr>
            </w:pPr>
            <w:r>
              <w:rPr>
                <w:rFonts w:hint="eastAsia"/>
                <w:highlight w:val="none"/>
                <w:lang w:val="en-US" w:eastAsia="zh-CN"/>
              </w:rPr>
              <w:t>12.5</w:t>
            </w:r>
            <w:r>
              <w:rPr>
                <w:rFonts w:hint="default"/>
                <w:highlight w:val="none"/>
                <w:lang w:val="zh-CN"/>
              </w:rPr>
              <w:t>m×</w:t>
            </w:r>
            <w:r>
              <w:rPr>
                <w:rFonts w:hint="eastAsia"/>
                <w:highlight w:val="none"/>
                <w:lang w:val="en-US" w:eastAsia="zh-CN"/>
              </w:rPr>
              <w:t>3.0</w:t>
            </w:r>
            <w:r>
              <w:rPr>
                <w:rFonts w:hint="default"/>
                <w:highlight w:val="none"/>
                <w:lang w:val="zh-CN"/>
              </w:rPr>
              <w:t>m×</w:t>
            </w:r>
            <w:r>
              <w:rPr>
                <w:rFonts w:hint="eastAsia"/>
                <w:highlight w:val="none"/>
                <w:lang w:val="en-US" w:eastAsia="zh-CN"/>
              </w:rPr>
              <w:t>3.0</w:t>
            </w:r>
            <w:r>
              <w:rPr>
                <w:rFonts w:hint="default"/>
                <w:highlight w:val="none"/>
                <w:lang w:val="zh-CN"/>
              </w:rPr>
              <w:t>m</w:t>
            </w:r>
          </w:p>
        </w:tc>
        <w:tc>
          <w:tcPr>
            <w:tcW w:w="401" w:type="pct"/>
            <w:vAlign w:val="center"/>
          </w:tcPr>
          <w:p w14:paraId="5400C408">
            <w:pPr>
              <w:pStyle w:val="58"/>
              <w:bidi w:val="0"/>
              <w:spacing w:line="240" w:lineRule="auto"/>
              <w:rPr>
                <w:rFonts w:hint="default"/>
                <w:highlight w:val="none"/>
                <w:lang w:val="en-US" w:eastAsia="zh-CN"/>
              </w:rPr>
            </w:pPr>
            <w:r>
              <w:rPr>
                <w:rFonts w:hint="eastAsia"/>
                <w:highlight w:val="none"/>
                <w:lang w:val="en-US" w:eastAsia="zh-CN"/>
              </w:rPr>
              <w:t>1</w:t>
            </w:r>
          </w:p>
        </w:tc>
        <w:tc>
          <w:tcPr>
            <w:tcW w:w="661" w:type="pct"/>
            <w:vAlign w:val="center"/>
          </w:tcPr>
          <w:p w14:paraId="6448E899">
            <w:pPr>
              <w:pStyle w:val="58"/>
              <w:bidi w:val="0"/>
              <w:spacing w:line="240" w:lineRule="auto"/>
              <w:rPr>
                <w:rFonts w:hint="eastAsia" w:eastAsia="宋体"/>
                <w:highlight w:val="none"/>
                <w:lang w:val="en-US" w:eastAsia="zh-CN"/>
              </w:rPr>
            </w:pPr>
            <w:r>
              <w:rPr>
                <w:rFonts w:hint="eastAsia"/>
                <w:highlight w:val="none"/>
                <w:lang w:val="en-US" w:eastAsia="zh-CN"/>
              </w:rPr>
              <w:t>钢砼</w:t>
            </w:r>
          </w:p>
        </w:tc>
        <w:tc>
          <w:tcPr>
            <w:tcW w:w="885" w:type="pct"/>
            <w:vAlign w:val="center"/>
          </w:tcPr>
          <w:p w14:paraId="050D779D">
            <w:pPr>
              <w:pStyle w:val="58"/>
              <w:bidi w:val="0"/>
              <w:spacing w:line="240" w:lineRule="auto"/>
              <w:rPr>
                <w:rFonts w:hint="default"/>
                <w:highlight w:val="none"/>
                <w:lang w:val="en-US" w:eastAsia="zh-CN"/>
              </w:rPr>
            </w:pPr>
            <w:r>
              <w:rPr>
                <w:rFonts w:hint="eastAsia"/>
                <w:highlight w:val="none"/>
                <w:lang w:val="en-US" w:eastAsia="zh-CN"/>
              </w:rPr>
              <w:t>地下结构</w:t>
            </w:r>
          </w:p>
        </w:tc>
      </w:tr>
      <w:tr w14:paraId="0F5E0D9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29" w:type="pct"/>
            <w:vAlign w:val="center"/>
          </w:tcPr>
          <w:p w14:paraId="542D1A12">
            <w:pPr>
              <w:pStyle w:val="58"/>
              <w:numPr>
                <w:ilvl w:val="0"/>
                <w:numId w:val="25"/>
              </w:numPr>
              <w:bidi w:val="0"/>
              <w:spacing w:line="240" w:lineRule="auto"/>
              <w:ind w:left="425" w:leftChars="0" w:hanging="425" w:firstLineChars="0"/>
              <w:rPr>
                <w:rFonts w:hint="default"/>
                <w:highlight w:val="none"/>
                <w:lang w:val="zh-CN"/>
              </w:rPr>
            </w:pPr>
          </w:p>
        </w:tc>
        <w:tc>
          <w:tcPr>
            <w:tcW w:w="1073" w:type="pct"/>
            <w:vAlign w:val="center"/>
          </w:tcPr>
          <w:p w14:paraId="7026C0E6">
            <w:pPr>
              <w:pStyle w:val="58"/>
              <w:bidi w:val="0"/>
              <w:spacing w:line="240" w:lineRule="auto"/>
              <w:rPr>
                <w:rFonts w:hint="default"/>
                <w:highlight w:val="none"/>
                <w:lang w:val="zh-CN" w:eastAsia="zh-CN"/>
              </w:rPr>
            </w:pPr>
            <w:r>
              <w:rPr>
                <w:rFonts w:hint="default"/>
                <w:highlight w:val="none"/>
                <w:lang w:val="en-US" w:eastAsia="zh-CN"/>
              </w:rPr>
              <w:t>混凝沉淀池</w:t>
            </w:r>
          </w:p>
        </w:tc>
        <w:tc>
          <w:tcPr>
            <w:tcW w:w="1649" w:type="pct"/>
            <w:vAlign w:val="center"/>
          </w:tcPr>
          <w:p w14:paraId="422F15A2">
            <w:pPr>
              <w:pStyle w:val="58"/>
              <w:bidi w:val="0"/>
              <w:spacing w:line="240" w:lineRule="auto"/>
              <w:rPr>
                <w:rFonts w:hint="default"/>
                <w:highlight w:val="none"/>
                <w:lang w:val="zh-CN"/>
              </w:rPr>
            </w:pPr>
            <w:r>
              <w:rPr>
                <w:rFonts w:hint="default"/>
                <w:highlight w:val="none"/>
                <w:lang w:val="zh-CN"/>
              </w:rPr>
              <w:t>4.9m×</w:t>
            </w:r>
            <w:r>
              <w:rPr>
                <w:rFonts w:hint="eastAsia"/>
                <w:highlight w:val="none"/>
                <w:lang w:val="en-US" w:eastAsia="zh-CN"/>
              </w:rPr>
              <w:t>4.55</w:t>
            </w:r>
            <w:r>
              <w:rPr>
                <w:rFonts w:hint="default"/>
                <w:highlight w:val="none"/>
                <w:lang w:val="zh-CN"/>
              </w:rPr>
              <w:t>m×5.25m</w:t>
            </w:r>
          </w:p>
        </w:tc>
        <w:tc>
          <w:tcPr>
            <w:tcW w:w="401" w:type="pct"/>
            <w:vAlign w:val="center"/>
          </w:tcPr>
          <w:p w14:paraId="5D705E40">
            <w:pPr>
              <w:pStyle w:val="58"/>
              <w:bidi w:val="0"/>
              <w:spacing w:line="240" w:lineRule="auto"/>
              <w:rPr>
                <w:rFonts w:hint="default"/>
                <w:highlight w:val="none"/>
                <w:lang w:val="en-US" w:eastAsia="zh-CN"/>
              </w:rPr>
            </w:pPr>
            <w:r>
              <w:rPr>
                <w:rFonts w:hint="default"/>
                <w:highlight w:val="none"/>
                <w:lang w:val="en-US" w:eastAsia="zh-CN"/>
              </w:rPr>
              <w:t>1</w:t>
            </w:r>
          </w:p>
        </w:tc>
        <w:tc>
          <w:tcPr>
            <w:tcW w:w="661" w:type="pct"/>
            <w:vAlign w:val="center"/>
          </w:tcPr>
          <w:p w14:paraId="45983D8D">
            <w:pPr>
              <w:pStyle w:val="58"/>
              <w:bidi w:val="0"/>
              <w:spacing w:line="240" w:lineRule="auto"/>
              <w:rPr>
                <w:rFonts w:hint="default"/>
                <w:highlight w:val="none"/>
                <w:lang w:val="zh-CN"/>
              </w:rPr>
            </w:pPr>
            <w:r>
              <w:rPr>
                <w:rFonts w:hint="default"/>
                <w:highlight w:val="none"/>
                <w:lang w:val="zh-CN"/>
              </w:rPr>
              <w:t>钢砼</w:t>
            </w:r>
          </w:p>
        </w:tc>
        <w:tc>
          <w:tcPr>
            <w:tcW w:w="885" w:type="pct"/>
            <w:vAlign w:val="center"/>
          </w:tcPr>
          <w:p w14:paraId="70FE4D1E">
            <w:pPr>
              <w:pStyle w:val="58"/>
              <w:bidi w:val="0"/>
              <w:spacing w:line="240" w:lineRule="auto"/>
              <w:rPr>
                <w:rFonts w:hint="eastAsia" w:eastAsia="宋体"/>
                <w:highlight w:val="none"/>
                <w:lang w:val="en-US" w:eastAsia="zh-CN"/>
              </w:rPr>
            </w:pPr>
            <w:r>
              <w:rPr>
                <w:rFonts w:hint="eastAsia"/>
                <w:highlight w:val="none"/>
                <w:lang w:val="en-US" w:eastAsia="zh-CN"/>
              </w:rPr>
              <w:t>地下结构</w:t>
            </w:r>
          </w:p>
        </w:tc>
      </w:tr>
      <w:tr w14:paraId="160EF6B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29" w:type="pct"/>
            <w:vAlign w:val="center"/>
          </w:tcPr>
          <w:p w14:paraId="7F7CAE4F">
            <w:pPr>
              <w:pStyle w:val="58"/>
              <w:numPr>
                <w:ilvl w:val="0"/>
                <w:numId w:val="25"/>
              </w:numPr>
              <w:bidi w:val="0"/>
              <w:spacing w:line="240" w:lineRule="auto"/>
              <w:ind w:left="425" w:leftChars="0" w:hanging="425" w:firstLineChars="0"/>
              <w:rPr>
                <w:rFonts w:hint="default"/>
                <w:highlight w:val="none"/>
                <w:lang w:val="zh-CN"/>
              </w:rPr>
            </w:pPr>
          </w:p>
        </w:tc>
        <w:tc>
          <w:tcPr>
            <w:tcW w:w="1073" w:type="pct"/>
            <w:vAlign w:val="center"/>
          </w:tcPr>
          <w:p w14:paraId="4754D6C5">
            <w:pPr>
              <w:pStyle w:val="58"/>
              <w:bidi w:val="0"/>
              <w:spacing w:line="240" w:lineRule="auto"/>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污泥池</w:t>
            </w:r>
          </w:p>
        </w:tc>
        <w:tc>
          <w:tcPr>
            <w:tcW w:w="1649" w:type="pct"/>
            <w:vAlign w:val="center"/>
          </w:tcPr>
          <w:p w14:paraId="008AE653">
            <w:pPr>
              <w:pStyle w:val="58"/>
              <w:bidi w:val="0"/>
              <w:spacing w:line="240" w:lineRule="auto"/>
              <w:rPr>
                <w:rFonts w:hint="default" w:ascii="Times New Roman" w:hAnsi="Times New Roman" w:eastAsia="宋体" w:cs="Times New Roman"/>
                <w:highlight w:val="none"/>
                <w:lang w:val="zh-CN" w:eastAsia="zh-CN"/>
              </w:rPr>
            </w:pPr>
            <w:r>
              <w:rPr>
                <w:rFonts w:hint="eastAsia" w:ascii="Times New Roman" w:hAnsi="Times New Roman" w:eastAsia="宋体" w:cs="Times New Roman"/>
                <w:highlight w:val="none"/>
                <w:lang w:val="en-US" w:eastAsia="zh-CN"/>
              </w:rPr>
              <w:t>4.9m×2.4m×5.25m</w:t>
            </w:r>
          </w:p>
        </w:tc>
        <w:tc>
          <w:tcPr>
            <w:tcW w:w="401" w:type="pct"/>
            <w:vAlign w:val="center"/>
          </w:tcPr>
          <w:p w14:paraId="7133ACCD">
            <w:pPr>
              <w:pStyle w:val="58"/>
              <w:bidi w:val="0"/>
              <w:spacing w:line="240" w:lineRule="auto"/>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1</w:t>
            </w:r>
          </w:p>
        </w:tc>
        <w:tc>
          <w:tcPr>
            <w:tcW w:w="661" w:type="pct"/>
            <w:vAlign w:val="center"/>
          </w:tcPr>
          <w:p w14:paraId="742CFA6D">
            <w:pPr>
              <w:pStyle w:val="58"/>
              <w:bidi w:val="0"/>
              <w:spacing w:line="240" w:lineRule="auto"/>
              <w:rPr>
                <w:rFonts w:hint="default" w:ascii="Times New Roman" w:hAnsi="Times New Roman" w:eastAsia="宋体" w:cs="Times New Roman"/>
                <w:highlight w:val="none"/>
                <w:lang w:val="zh-CN" w:eastAsia="zh-CN"/>
              </w:rPr>
            </w:pPr>
            <w:r>
              <w:rPr>
                <w:rFonts w:hint="eastAsia" w:ascii="Times New Roman" w:hAnsi="Times New Roman" w:eastAsia="宋体" w:cs="Times New Roman"/>
                <w:highlight w:val="none"/>
                <w:lang w:val="en-US" w:eastAsia="zh-CN"/>
              </w:rPr>
              <w:t>钢砼</w:t>
            </w:r>
          </w:p>
        </w:tc>
        <w:tc>
          <w:tcPr>
            <w:tcW w:w="885" w:type="pct"/>
            <w:vAlign w:val="center"/>
          </w:tcPr>
          <w:p w14:paraId="6C1B7276">
            <w:pPr>
              <w:pStyle w:val="58"/>
              <w:bidi w:val="0"/>
              <w:spacing w:line="240" w:lineRule="auto"/>
              <w:rPr>
                <w:rFonts w:hint="eastAsia" w:ascii="Times New Roman" w:hAnsi="Times New Roman" w:eastAsia="宋体" w:cs="Times New Roman"/>
                <w:highlight w:val="none"/>
                <w:lang w:val="en-US" w:eastAsia="zh-CN"/>
              </w:rPr>
            </w:pPr>
            <w:r>
              <w:rPr>
                <w:rFonts w:hint="eastAsia"/>
                <w:highlight w:val="none"/>
                <w:lang w:val="en-US" w:eastAsia="zh-CN"/>
              </w:rPr>
              <w:t>地下结构</w:t>
            </w:r>
          </w:p>
        </w:tc>
      </w:tr>
      <w:tr w14:paraId="4CD9E55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29" w:type="pct"/>
            <w:vAlign w:val="center"/>
          </w:tcPr>
          <w:p w14:paraId="4DB7C146">
            <w:pPr>
              <w:pStyle w:val="58"/>
              <w:numPr>
                <w:ilvl w:val="0"/>
                <w:numId w:val="25"/>
              </w:numPr>
              <w:bidi w:val="0"/>
              <w:spacing w:line="240" w:lineRule="auto"/>
              <w:ind w:left="425" w:leftChars="0" w:hanging="425" w:firstLineChars="0"/>
              <w:rPr>
                <w:rFonts w:hint="default"/>
                <w:highlight w:val="none"/>
                <w:lang w:val="zh-CN"/>
              </w:rPr>
            </w:pPr>
          </w:p>
        </w:tc>
        <w:tc>
          <w:tcPr>
            <w:tcW w:w="1073" w:type="pct"/>
            <w:vAlign w:val="center"/>
          </w:tcPr>
          <w:p w14:paraId="15D9576F">
            <w:pPr>
              <w:pStyle w:val="58"/>
              <w:bidi w:val="0"/>
              <w:spacing w:line="240" w:lineRule="auto"/>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消毒池</w:t>
            </w:r>
          </w:p>
        </w:tc>
        <w:tc>
          <w:tcPr>
            <w:tcW w:w="1649" w:type="pct"/>
            <w:vAlign w:val="center"/>
          </w:tcPr>
          <w:p w14:paraId="6282B7B1">
            <w:pPr>
              <w:pStyle w:val="58"/>
              <w:bidi w:val="0"/>
              <w:spacing w:line="240" w:lineRule="auto"/>
              <w:rPr>
                <w:rFonts w:hint="default" w:ascii="Times New Roman" w:hAnsi="Times New Roman" w:eastAsia="宋体" w:cs="Times New Roman"/>
                <w:highlight w:val="none"/>
                <w:lang w:val="zh-CN" w:eastAsia="zh-CN"/>
              </w:rPr>
            </w:pPr>
            <w:r>
              <w:rPr>
                <w:rFonts w:hint="eastAsia" w:ascii="Times New Roman" w:hAnsi="Times New Roman" w:eastAsia="宋体" w:cs="Times New Roman"/>
                <w:highlight w:val="none"/>
                <w:lang w:val="en-US" w:eastAsia="zh-CN"/>
              </w:rPr>
              <w:t>4.9m×3.1m×5.25m</w:t>
            </w:r>
          </w:p>
        </w:tc>
        <w:tc>
          <w:tcPr>
            <w:tcW w:w="401" w:type="pct"/>
            <w:vAlign w:val="center"/>
          </w:tcPr>
          <w:p w14:paraId="0D77A92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highlight w:val="none"/>
                <w:lang w:val="en-US" w:eastAsia="zh-CN"/>
              </w:rPr>
            </w:pPr>
            <w:r>
              <w:rPr>
                <w:rFonts w:hint="eastAsia"/>
                <w:highlight w:val="none"/>
                <w:lang w:val="en-US" w:eastAsia="zh-CN"/>
              </w:rPr>
              <w:t>1</w:t>
            </w:r>
          </w:p>
        </w:tc>
        <w:tc>
          <w:tcPr>
            <w:tcW w:w="661" w:type="pct"/>
            <w:vAlign w:val="center"/>
          </w:tcPr>
          <w:p w14:paraId="4360884C">
            <w:pPr>
              <w:pStyle w:val="58"/>
              <w:bidi w:val="0"/>
              <w:spacing w:line="240" w:lineRule="auto"/>
              <w:rPr>
                <w:rFonts w:hint="default" w:ascii="Times New Roman" w:hAnsi="Times New Roman" w:eastAsia="宋体" w:cs="Times New Roman"/>
                <w:highlight w:val="none"/>
                <w:lang w:val="zh-CN" w:eastAsia="zh-CN"/>
              </w:rPr>
            </w:pPr>
            <w:r>
              <w:rPr>
                <w:rFonts w:hint="default" w:ascii="Times New Roman" w:hAnsi="Times New Roman" w:eastAsia="宋体" w:cs="Times New Roman"/>
                <w:highlight w:val="none"/>
                <w:lang w:val="zh-CN" w:eastAsia="zh-CN"/>
              </w:rPr>
              <w:t>钢砼</w:t>
            </w:r>
          </w:p>
        </w:tc>
        <w:tc>
          <w:tcPr>
            <w:tcW w:w="885" w:type="pct"/>
            <w:vAlign w:val="center"/>
          </w:tcPr>
          <w:p w14:paraId="52642B74">
            <w:pPr>
              <w:pStyle w:val="58"/>
              <w:bidi w:val="0"/>
              <w:spacing w:line="240" w:lineRule="auto"/>
              <w:rPr>
                <w:rFonts w:hint="default" w:ascii="Times New Roman" w:hAnsi="Times New Roman" w:eastAsia="宋体" w:cs="Times New Roman"/>
                <w:highlight w:val="none"/>
                <w:lang w:val="en-US" w:eastAsia="zh-CN"/>
              </w:rPr>
            </w:pPr>
            <w:r>
              <w:rPr>
                <w:rFonts w:hint="eastAsia" w:cs="Times New Roman"/>
                <w:highlight w:val="none"/>
                <w:lang w:val="en-US" w:eastAsia="zh-CN"/>
              </w:rPr>
              <w:t xml:space="preserve">地下结构 </w:t>
            </w:r>
          </w:p>
        </w:tc>
      </w:tr>
      <w:tr w14:paraId="7BEFCAA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29" w:type="pct"/>
            <w:vAlign w:val="center"/>
          </w:tcPr>
          <w:p w14:paraId="6B76A10D">
            <w:pPr>
              <w:pStyle w:val="58"/>
              <w:numPr>
                <w:ilvl w:val="0"/>
                <w:numId w:val="25"/>
              </w:numPr>
              <w:bidi w:val="0"/>
              <w:spacing w:line="240" w:lineRule="auto"/>
              <w:ind w:left="425" w:leftChars="0" w:hanging="425" w:firstLineChars="0"/>
              <w:rPr>
                <w:rFonts w:hint="default"/>
                <w:highlight w:val="none"/>
                <w:lang w:val="zh-CN"/>
              </w:rPr>
            </w:pPr>
          </w:p>
        </w:tc>
        <w:tc>
          <w:tcPr>
            <w:tcW w:w="1073" w:type="pct"/>
            <w:vAlign w:val="center"/>
          </w:tcPr>
          <w:p w14:paraId="4B0333DD">
            <w:pPr>
              <w:pStyle w:val="58"/>
              <w:bidi w:val="0"/>
              <w:spacing w:line="240" w:lineRule="auto"/>
              <w:rPr>
                <w:rFonts w:hint="default"/>
                <w:highlight w:val="none"/>
                <w:lang w:val="zh-CN" w:eastAsia="zh-CN"/>
              </w:rPr>
            </w:pPr>
            <w:r>
              <w:rPr>
                <w:rFonts w:hint="eastAsia"/>
                <w:highlight w:val="none"/>
                <w:lang w:val="en-US" w:eastAsia="zh-CN"/>
              </w:rPr>
              <w:t>砂滤</w:t>
            </w:r>
            <w:r>
              <w:rPr>
                <w:rFonts w:hint="default"/>
                <w:highlight w:val="none"/>
                <w:lang w:val="en-US" w:eastAsia="zh-CN"/>
              </w:rPr>
              <w:t>设备</w:t>
            </w:r>
          </w:p>
        </w:tc>
        <w:tc>
          <w:tcPr>
            <w:tcW w:w="1649" w:type="pct"/>
            <w:vAlign w:val="center"/>
          </w:tcPr>
          <w:p w14:paraId="07EB7A55">
            <w:pPr>
              <w:pStyle w:val="58"/>
              <w:bidi w:val="0"/>
              <w:spacing w:line="240" w:lineRule="auto"/>
              <w:rPr>
                <w:rFonts w:hint="default" w:eastAsia="微软雅黑"/>
                <w:highlight w:val="none"/>
                <w:lang w:val="en-US" w:eastAsia="zh-CN"/>
              </w:rPr>
            </w:pPr>
            <w:r>
              <w:rPr>
                <w:rFonts w:hint="default" w:ascii="Times New Roman" w:hAnsi="Times New Roman" w:cs="Times New Roman" w:eastAsiaTheme="minorEastAsia"/>
                <w:highlight w:val="none"/>
                <w:lang w:val="zh-CN"/>
              </w:rPr>
              <w:t>∮</w:t>
            </w:r>
            <w:r>
              <w:rPr>
                <w:rFonts w:hint="default" w:ascii="Times New Roman" w:hAnsi="Times New Roman" w:cs="Times New Roman" w:eastAsiaTheme="minorEastAsia"/>
                <w:highlight w:val="none"/>
                <w:lang w:val="en-US" w:eastAsia="zh-CN"/>
              </w:rPr>
              <w:t>1500，高2.48m</w:t>
            </w:r>
          </w:p>
        </w:tc>
        <w:tc>
          <w:tcPr>
            <w:tcW w:w="401" w:type="pct"/>
            <w:vAlign w:val="center"/>
          </w:tcPr>
          <w:p w14:paraId="396E4013">
            <w:pPr>
              <w:pStyle w:val="58"/>
              <w:bidi w:val="0"/>
              <w:spacing w:line="240" w:lineRule="auto"/>
              <w:rPr>
                <w:rFonts w:hint="default"/>
                <w:highlight w:val="none"/>
                <w:lang w:val="en-US" w:eastAsia="zh-CN"/>
              </w:rPr>
            </w:pPr>
            <w:r>
              <w:rPr>
                <w:rFonts w:hint="default"/>
                <w:highlight w:val="none"/>
                <w:lang w:val="en-US" w:eastAsia="zh-CN"/>
              </w:rPr>
              <w:t>1</w:t>
            </w:r>
          </w:p>
        </w:tc>
        <w:tc>
          <w:tcPr>
            <w:tcW w:w="661" w:type="pct"/>
            <w:vAlign w:val="center"/>
          </w:tcPr>
          <w:p w14:paraId="4676A762">
            <w:pPr>
              <w:pStyle w:val="58"/>
              <w:bidi w:val="0"/>
              <w:spacing w:line="240" w:lineRule="auto"/>
              <w:rPr>
                <w:rFonts w:hint="default"/>
                <w:highlight w:val="none"/>
                <w:lang w:val="zh-CN"/>
              </w:rPr>
            </w:pPr>
            <w:r>
              <w:rPr>
                <w:rFonts w:hint="default"/>
                <w:highlight w:val="none"/>
                <w:lang w:val="zh-CN"/>
              </w:rPr>
              <w:t>钢砼</w:t>
            </w:r>
          </w:p>
        </w:tc>
        <w:tc>
          <w:tcPr>
            <w:tcW w:w="885" w:type="pct"/>
            <w:vAlign w:val="center"/>
          </w:tcPr>
          <w:p w14:paraId="030EB1A5">
            <w:pPr>
              <w:pStyle w:val="58"/>
              <w:bidi w:val="0"/>
              <w:spacing w:line="240" w:lineRule="auto"/>
              <w:rPr>
                <w:rFonts w:hint="eastAsia" w:eastAsia="宋体"/>
                <w:highlight w:val="none"/>
                <w:lang w:val="en-US" w:eastAsia="zh-CN"/>
              </w:rPr>
            </w:pPr>
            <w:r>
              <w:rPr>
                <w:rFonts w:hint="eastAsia"/>
                <w:highlight w:val="none"/>
                <w:lang w:val="en-US" w:eastAsia="zh-CN"/>
              </w:rPr>
              <w:t>地上结构</w:t>
            </w:r>
          </w:p>
        </w:tc>
      </w:tr>
      <w:tr w14:paraId="1666000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29" w:type="pct"/>
            <w:vAlign w:val="center"/>
          </w:tcPr>
          <w:p w14:paraId="589A6013">
            <w:pPr>
              <w:pStyle w:val="58"/>
              <w:numPr>
                <w:ilvl w:val="0"/>
                <w:numId w:val="25"/>
              </w:numPr>
              <w:bidi w:val="0"/>
              <w:spacing w:line="240" w:lineRule="auto"/>
              <w:ind w:left="425" w:leftChars="0" w:hanging="425" w:firstLineChars="0"/>
              <w:rPr>
                <w:rFonts w:hint="default"/>
                <w:highlight w:val="none"/>
                <w:lang w:val="zh-CN"/>
              </w:rPr>
            </w:pPr>
          </w:p>
        </w:tc>
        <w:tc>
          <w:tcPr>
            <w:tcW w:w="1073" w:type="pct"/>
            <w:vAlign w:val="center"/>
          </w:tcPr>
          <w:p w14:paraId="3179325E">
            <w:pPr>
              <w:pStyle w:val="58"/>
              <w:bidi w:val="0"/>
              <w:spacing w:line="240" w:lineRule="auto"/>
              <w:rPr>
                <w:rFonts w:hint="default"/>
                <w:highlight w:val="none"/>
                <w:lang w:val="zh-CN"/>
              </w:rPr>
            </w:pPr>
            <w:r>
              <w:rPr>
                <w:rFonts w:hint="default"/>
                <w:highlight w:val="none"/>
                <w:lang w:val="en-US" w:eastAsia="zh-CN"/>
              </w:rPr>
              <w:t>污泥脱水间</w:t>
            </w:r>
          </w:p>
        </w:tc>
        <w:tc>
          <w:tcPr>
            <w:tcW w:w="1649" w:type="pct"/>
            <w:vAlign w:val="center"/>
          </w:tcPr>
          <w:p w14:paraId="409F31DA">
            <w:pPr>
              <w:pStyle w:val="58"/>
              <w:bidi w:val="0"/>
              <w:spacing w:line="240" w:lineRule="auto"/>
              <w:rPr>
                <w:rFonts w:hint="default"/>
                <w:highlight w:val="none"/>
                <w:lang w:val="zh-CN"/>
              </w:rPr>
            </w:pPr>
            <w:r>
              <w:rPr>
                <w:rFonts w:hint="default"/>
                <w:highlight w:val="none"/>
                <w:lang w:val="en-US" w:eastAsia="zh-CN"/>
              </w:rPr>
              <w:t>4.5m</w:t>
            </w:r>
            <w:r>
              <w:rPr>
                <w:rFonts w:hint="default"/>
                <w:highlight w:val="none"/>
                <w:lang w:val="zh-CN"/>
              </w:rPr>
              <w:t>×</w:t>
            </w:r>
            <w:r>
              <w:rPr>
                <w:rFonts w:hint="default"/>
                <w:highlight w:val="none"/>
                <w:lang w:val="en-US" w:eastAsia="zh-CN"/>
              </w:rPr>
              <w:t>8</w:t>
            </w:r>
            <w:r>
              <w:rPr>
                <w:rFonts w:hint="default"/>
                <w:highlight w:val="none"/>
                <w:lang w:val="zh-CN"/>
              </w:rPr>
              <w:t>m×</w:t>
            </w:r>
            <w:r>
              <w:rPr>
                <w:rFonts w:hint="default"/>
                <w:highlight w:val="none"/>
                <w:lang w:val="en-US" w:eastAsia="zh-CN"/>
              </w:rPr>
              <w:t>4.6</w:t>
            </w:r>
            <w:r>
              <w:rPr>
                <w:rFonts w:hint="default"/>
                <w:highlight w:val="none"/>
                <w:lang w:val="zh-CN"/>
              </w:rPr>
              <w:t>m</w:t>
            </w:r>
          </w:p>
        </w:tc>
        <w:tc>
          <w:tcPr>
            <w:tcW w:w="401" w:type="pct"/>
            <w:vAlign w:val="center"/>
          </w:tcPr>
          <w:p w14:paraId="46426AE9">
            <w:pPr>
              <w:pStyle w:val="58"/>
              <w:bidi w:val="0"/>
              <w:spacing w:line="240" w:lineRule="auto"/>
              <w:rPr>
                <w:rFonts w:hint="default"/>
                <w:highlight w:val="none"/>
                <w:lang w:val="en-US" w:eastAsia="zh-CN"/>
              </w:rPr>
            </w:pPr>
            <w:r>
              <w:rPr>
                <w:rFonts w:hint="default"/>
                <w:highlight w:val="none"/>
                <w:lang w:val="en-US" w:eastAsia="zh-CN"/>
              </w:rPr>
              <w:t>1</w:t>
            </w:r>
          </w:p>
        </w:tc>
        <w:tc>
          <w:tcPr>
            <w:tcW w:w="661" w:type="pct"/>
            <w:vAlign w:val="center"/>
          </w:tcPr>
          <w:p w14:paraId="6CD683F6">
            <w:pPr>
              <w:pStyle w:val="58"/>
              <w:bidi w:val="0"/>
              <w:spacing w:line="240" w:lineRule="auto"/>
              <w:rPr>
                <w:rFonts w:hint="default"/>
                <w:highlight w:val="none"/>
                <w:lang w:val="zh-CN"/>
              </w:rPr>
            </w:pPr>
            <w:r>
              <w:rPr>
                <w:rFonts w:hint="eastAsia"/>
                <w:highlight w:val="none"/>
                <w:lang w:val="en-US" w:eastAsia="zh-CN"/>
              </w:rPr>
              <w:t>砖混</w:t>
            </w:r>
          </w:p>
        </w:tc>
        <w:tc>
          <w:tcPr>
            <w:tcW w:w="885" w:type="pct"/>
            <w:vAlign w:val="center"/>
          </w:tcPr>
          <w:p w14:paraId="44F69B9E">
            <w:pPr>
              <w:pStyle w:val="58"/>
              <w:bidi w:val="0"/>
              <w:spacing w:line="240" w:lineRule="auto"/>
              <w:jc w:val="center"/>
              <w:rPr>
                <w:rFonts w:hint="eastAsia" w:eastAsia="宋体"/>
                <w:highlight w:val="none"/>
                <w:lang w:val="en-US" w:eastAsia="zh-CN"/>
              </w:rPr>
            </w:pPr>
            <w:r>
              <w:rPr>
                <w:rFonts w:hint="eastAsia"/>
                <w:highlight w:val="none"/>
                <w:lang w:val="en-US" w:eastAsia="zh-CN"/>
              </w:rPr>
              <w:t>1F，地上结构</w:t>
            </w:r>
          </w:p>
        </w:tc>
      </w:tr>
      <w:tr w14:paraId="192891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29" w:type="pct"/>
            <w:vAlign w:val="center"/>
          </w:tcPr>
          <w:p w14:paraId="2F848982">
            <w:pPr>
              <w:pStyle w:val="58"/>
              <w:numPr>
                <w:ilvl w:val="0"/>
                <w:numId w:val="25"/>
              </w:numPr>
              <w:bidi w:val="0"/>
              <w:spacing w:line="240" w:lineRule="auto"/>
              <w:ind w:left="425" w:leftChars="0" w:hanging="425" w:firstLineChars="0"/>
              <w:rPr>
                <w:rFonts w:hint="default"/>
                <w:highlight w:val="none"/>
                <w:lang w:val="zh-CN"/>
              </w:rPr>
            </w:pPr>
          </w:p>
        </w:tc>
        <w:tc>
          <w:tcPr>
            <w:tcW w:w="1073" w:type="pct"/>
            <w:vAlign w:val="center"/>
          </w:tcPr>
          <w:p w14:paraId="6BFF67D9">
            <w:pPr>
              <w:pStyle w:val="58"/>
              <w:bidi w:val="0"/>
              <w:spacing w:line="240" w:lineRule="auto"/>
              <w:rPr>
                <w:rFonts w:hint="default"/>
                <w:highlight w:val="none"/>
                <w:lang w:val="en-US" w:eastAsia="zh-CN"/>
              </w:rPr>
            </w:pPr>
            <w:r>
              <w:rPr>
                <w:rFonts w:hint="default"/>
                <w:highlight w:val="none"/>
                <w:lang w:val="en-US" w:eastAsia="zh-CN"/>
              </w:rPr>
              <w:t>配电室</w:t>
            </w:r>
          </w:p>
        </w:tc>
        <w:tc>
          <w:tcPr>
            <w:tcW w:w="1649" w:type="pct"/>
            <w:vAlign w:val="center"/>
          </w:tcPr>
          <w:p w14:paraId="3EBD5932">
            <w:pPr>
              <w:pStyle w:val="58"/>
              <w:bidi w:val="0"/>
              <w:spacing w:line="240" w:lineRule="auto"/>
              <w:rPr>
                <w:rFonts w:hint="default"/>
                <w:highlight w:val="none"/>
                <w:lang w:val="zh-CN"/>
              </w:rPr>
            </w:pPr>
            <w:r>
              <w:rPr>
                <w:rFonts w:hint="default"/>
                <w:highlight w:val="none"/>
                <w:lang w:val="en-US" w:eastAsia="zh-CN"/>
              </w:rPr>
              <w:t>4.5m</w:t>
            </w:r>
            <w:r>
              <w:rPr>
                <w:rFonts w:hint="default"/>
                <w:highlight w:val="none"/>
                <w:lang w:val="zh-CN"/>
              </w:rPr>
              <w:t>×</w:t>
            </w:r>
            <w:r>
              <w:rPr>
                <w:rFonts w:hint="default"/>
                <w:highlight w:val="none"/>
                <w:lang w:val="en-US" w:eastAsia="zh-CN"/>
              </w:rPr>
              <w:t>2.5</w:t>
            </w:r>
            <w:r>
              <w:rPr>
                <w:rFonts w:hint="default"/>
                <w:highlight w:val="none"/>
                <w:lang w:val="zh-CN"/>
              </w:rPr>
              <w:t>m×</w:t>
            </w:r>
            <w:r>
              <w:rPr>
                <w:rFonts w:hint="default"/>
                <w:highlight w:val="none"/>
                <w:lang w:val="en-US" w:eastAsia="zh-CN"/>
              </w:rPr>
              <w:t>4.6</w:t>
            </w:r>
            <w:r>
              <w:rPr>
                <w:rFonts w:hint="default"/>
                <w:highlight w:val="none"/>
                <w:lang w:val="zh-CN"/>
              </w:rPr>
              <w:t>m</w:t>
            </w:r>
          </w:p>
        </w:tc>
        <w:tc>
          <w:tcPr>
            <w:tcW w:w="401" w:type="pct"/>
            <w:vAlign w:val="center"/>
          </w:tcPr>
          <w:p w14:paraId="287D6F8B">
            <w:pPr>
              <w:pStyle w:val="58"/>
              <w:bidi w:val="0"/>
              <w:spacing w:line="240" w:lineRule="auto"/>
              <w:rPr>
                <w:rFonts w:hint="default"/>
                <w:highlight w:val="none"/>
                <w:lang w:val="en-US" w:eastAsia="zh-CN"/>
              </w:rPr>
            </w:pPr>
            <w:r>
              <w:rPr>
                <w:rFonts w:hint="default"/>
                <w:highlight w:val="none"/>
                <w:lang w:val="en-US" w:eastAsia="zh-CN"/>
              </w:rPr>
              <w:t>1</w:t>
            </w:r>
          </w:p>
        </w:tc>
        <w:tc>
          <w:tcPr>
            <w:tcW w:w="661" w:type="pct"/>
            <w:vAlign w:val="center"/>
          </w:tcPr>
          <w:p w14:paraId="45B8818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zh-CN" w:eastAsia="zh-CN" w:bidi="ar-SA"/>
              </w:rPr>
            </w:pPr>
            <w:r>
              <w:rPr>
                <w:rFonts w:hint="eastAsia" w:ascii="Times New Roman" w:hAnsi="Times New Roman" w:eastAsia="宋体" w:cs="Times New Roman"/>
                <w:kern w:val="2"/>
                <w:sz w:val="21"/>
                <w:szCs w:val="21"/>
                <w:highlight w:val="none"/>
                <w:lang w:val="en-US" w:eastAsia="zh-CN" w:bidi="ar-SA"/>
              </w:rPr>
              <w:t>砖混</w:t>
            </w:r>
          </w:p>
        </w:tc>
        <w:tc>
          <w:tcPr>
            <w:tcW w:w="885" w:type="pct"/>
            <w:vAlign w:val="center"/>
          </w:tcPr>
          <w:p w14:paraId="5EEEF57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zh-CN" w:eastAsia="zh-CN" w:bidi="ar-SA"/>
              </w:rPr>
            </w:pPr>
            <w:r>
              <w:rPr>
                <w:rFonts w:hint="eastAsia" w:ascii="Times New Roman" w:hAnsi="Times New Roman" w:eastAsia="宋体" w:cs="Times New Roman"/>
                <w:kern w:val="2"/>
                <w:sz w:val="21"/>
                <w:szCs w:val="21"/>
                <w:highlight w:val="none"/>
                <w:lang w:val="en-US" w:eastAsia="zh-CN" w:bidi="ar-SA"/>
              </w:rPr>
              <w:t>1F，地上结构</w:t>
            </w:r>
          </w:p>
        </w:tc>
      </w:tr>
      <w:tr w14:paraId="56D0E99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29" w:type="pct"/>
            <w:vAlign w:val="center"/>
          </w:tcPr>
          <w:p w14:paraId="32D876F2">
            <w:pPr>
              <w:pStyle w:val="58"/>
              <w:numPr>
                <w:ilvl w:val="0"/>
                <w:numId w:val="25"/>
              </w:numPr>
              <w:bidi w:val="0"/>
              <w:spacing w:line="240" w:lineRule="auto"/>
              <w:ind w:left="425" w:leftChars="0" w:hanging="425" w:firstLineChars="0"/>
              <w:rPr>
                <w:rFonts w:hint="default"/>
                <w:highlight w:val="none"/>
                <w:lang w:val="zh-CN"/>
              </w:rPr>
            </w:pPr>
          </w:p>
        </w:tc>
        <w:tc>
          <w:tcPr>
            <w:tcW w:w="1073" w:type="pct"/>
            <w:vAlign w:val="center"/>
          </w:tcPr>
          <w:p w14:paraId="18340930">
            <w:pPr>
              <w:pStyle w:val="58"/>
              <w:bidi w:val="0"/>
              <w:spacing w:line="240" w:lineRule="auto"/>
              <w:rPr>
                <w:rFonts w:hint="default"/>
                <w:highlight w:val="none"/>
                <w:lang w:val="en-US" w:eastAsia="zh-CN"/>
              </w:rPr>
            </w:pPr>
            <w:r>
              <w:rPr>
                <w:rFonts w:hint="default"/>
                <w:highlight w:val="none"/>
                <w:lang w:val="en-US" w:eastAsia="zh-CN"/>
              </w:rPr>
              <w:t>鼓风机房</w:t>
            </w:r>
          </w:p>
        </w:tc>
        <w:tc>
          <w:tcPr>
            <w:tcW w:w="1649" w:type="pct"/>
            <w:vAlign w:val="center"/>
          </w:tcPr>
          <w:p w14:paraId="5140A330">
            <w:pPr>
              <w:pStyle w:val="58"/>
              <w:bidi w:val="0"/>
              <w:spacing w:line="240" w:lineRule="auto"/>
              <w:rPr>
                <w:rFonts w:hint="default"/>
                <w:highlight w:val="none"/>
                <w:lang w:val="zh-CN"/>
              </w:rPr>
            </w:pPr>
            <w:r>
              <w:rPr>
                <w:rFonts w:hint="default"/>
                <w:highlight w:val="none"/>
                <w:lang w:val="en-US" w:eastAsia="zh-CN"/>
              </w:rPr>
              <w:t>4.5m</w:t>
            </w:r>
            <w:r>
              <w:rPr>
                <w:rFonts w:hint="default"/>
                <w:highlight w:val="none"/>
                <w:lang w:val="zh-CN"/>
              </w:rPr>
              <w:t>×</w:t>
            </w:r>
            <w:r>
              <w:rPr>
                <w:rFonts w:hint="default"/>
                <w:highlight w:val="none"/>
                <w:lang w:val="en-US" w:eastAsia="zh-CN"/>
              </w:rPr>
              <w:t>3.95</w:t>
            </w:r>
            <w:r>
              <w:rPr>
                <w:rFonts w:hint="default"/>
                <w:highlight w:val="none"/>
                <w:lang w:val="zh-CN"/>
              </w:rPr>
              <w:t>m×</w:t>
            </w:r>
            <w:r>
              <w:rPr>
                <w:rFonts w:hint="default"/>
                <w:highlight w:val="none"/>
                <w:lang w:val="en-US" w:eastAsia="zh-CN"/>
              </w:rPr>
              <w:t>4.6</w:t>
            </w:r>
            <w:r>
              <w:rPr>
                <w:rFonts w:hint="default"/>
                <w:highlight w:val="none"/>
                <w:lang w:val="zh-CN"/>
              </w:rPr>
              <w:t>m</w:t>
            </w:r>
          </w:p>
        </w:tc>
        <w:tc>
          <w:tcPr>
            <w:tcW w:w="401" w:type="pct"/>
            <w:vAlign w:val="center"/>
          </w:tcPr>
          <w:p w14:paraId="5C220E13">
            <w:pPr>
              <w:pStyle w:val="58"/>
              <w:bidi w:val="0"/>
              <w:spacing w:line="240" w:lineRule="auto"/>
              <w:rPr>
                <w:rFonts w:hint="default"/>
                <w:highlight w:val="none"/>
                <w:lang w:val="en-US" w:eastAsia="zh-CN"/>
              </w:rPr>
            </w:pPr>
            <w:r>
              <w:rPr>
                <w:rFonts w:hint="default"/>
                <w:highlight w:val="none"/>
                <w:lang w:val="en-US" w:eastAsia="zh-CN"/>
              </w:rPr>
              <w:t>1</w:t>
            </w:r>
          </w:p>
        </w:tc>
        <w:tc>
          <w:tcPr>
            <w:tcW w:w="661" w:type="pct"/>
            <w:vAlign w:val="center"/>
          </w:tcPr>
          <w:p w14:paraId="61F06A0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zh-CN" w:eastAsia="zh-CN" w:bidi="ar-SA"/>
              </w:rPr>
            </w:pPr>
            <w:r>
              <w:rPr>
                <w:rFonts w:hint="eastAsia" w:ascii="Times New Roman" w:hAnsi="Times New Roman" w:eastAsia="宋体" w:cs="Times New Roman"/>
                <w:kern w:val="2"/>
                <w:sz w:val="21"/>
                <w:szCs w:val="21"/>
                <w:highlight w:val="none"/>
                <w:lang w:val="en-US" w:eastAsia="zh-CN" w:bidi="ar-SA"/>
              </w:rPr>
              <w:t>砖混</w:t>
            </w:r>
          </w:p>
        </w:tc>
        <w:tc>
          <w:tcPr>
            <w:tcW w:w="885" w:type="pct"/>
            <w:vAlign w:val="center"/>
          </w:tcPr>
          <w:p w14:paraId="12EFE3F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zh-CN" w:eastAsia="zh-CN" w:bidi="ar-SA"/>
              </w:rPr>
            </w:pPr>
            <w:r>
              <w:rPr>
                <w:rFonts w:hint="eastAsia" w:ascii="Times New Roman" w:hAnsi="Times New Roman" w:eastAsia="宋体" w:cs="Times New Roman"/>
                <w:kern w:val="2"/>
                <w:sz w:val="21"/>
                <w:szCs w:val="21"/>
                <w:highlight w:val="none"/>
                <w:lang w:val="en-US" w:eastAsia="zh-CN" w:bidi="ar-SA"/>
              </w:rPr>
              <w:t>1F，地上结构</w:t>
            </w:r>
          </w:p>
        </w:tc>
      </w:tr>
      <w:tr w14:paraId="51CF78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29" w:type="pct"/>
            <w:vAlign w:val="center"/>
          </w:tcPr>
          <w:p w14:paraId="0CBB1815">
            <w:pPr>
              <w:pStyle w:val="58"/>
              <w:numPr>
                <w:ilvl w:val="0"/>
                <w:numId w:val="25"/>
              </w:numPr>
              <w:bidi w:val="0"/>
              <w:spacing w:line="240" w:lineRule="auto"/>
              <w:ind w:left="425" w:leftChars="0" w:hanging="425" w:firstLineChars="0"/>
              <w:rPr>
                <w:rFonts w:hint="default"/>
                <w:highlight w:val="none"/>
                <w:lang w:val="zh-CN"/>
              </w:rPr>
            </w:pPr>
          </w:p>
        </w:tc>
        <w:tc>
          <w:tcPr>
            <w:tcW w:w="1073" w:type="pct"/>
            <w:vAlign w:val="center"/>
          </w:tcPr>
          <w:p w14:paraId="6462E9B9">
            <w:pPr>
              <w:pStyle w:val="58"/>
              <w:bidi w:val="0"/>
              <w:spacing w:line="240" w:lineRule="auto"/>
              <w:rPr>
                <w:rFonts w:hint="default"/>
                <w:highlight w:val="none"/>
                <w:lang w:val="en-US" w:eastAsia="zh-CN"/>
              </w:rPr>
            </w:pPr>
            <w:r>
              <w:rPr>
                <w:rFonts w:hint="default"/>
                <w:highlight w:val="none"/>
                <w:lang w:val="en-US" w:eastAsia="zh-CN"/>
              </w:rPr>
              <w:t>加药间</w:t>
            </w:r>
          </w:p>
        </w:tc>
        <w:tc>
          <w:tcPr>
            <w:tcW w:w="1649" w:type="pct"/>
            <w:vAlign w:val="center"/>
          </w:tcPr>
          <w:p w14:paraId="19251B2D">
            <w:pPr>
              <w:pStyle w:val="58"/>
              <w:bidi w:val="0"/>
              <w:spacing w:line="240" w:lineRule="auto"/>
              <w:rPr>
                <w:rFonts w:hint="default"/>
                <w:highlight w:val="none"/>
                <w:lang w:val="zh-CN"/>
              </w:rPr>
            </w:pPr>
            <w:bookmarkStart w:id="140" w:name="OLE_LINK103"/>
            <w:r>
              <w:rPr>
                <w:rFonts w:hint="default"/>
                <w:highlight w:val="none"/>
                <w:lang w:val="en-US" w:eastAsia="zh-CN"/>
              </w:rPr>
              <w:t>4.5m</w:t>
            </w:r>
            <w:r>
              <w:rPr>
                <w:rFonts w:hint="default"/>
                <w:highlight w:val="none"/>
                <w:lang w:val="zh-CN"/>
              </w:rPr>
              <w:t>×</w:t>
            </w:r>
            <w:r>
              <w:rPr>
                <w:rFonts w:hint="default"/>
                <w:highlight w:val="none"/>
                <w:lang w:val="en-US" w:eastAsia="zh-CN"/>
              </w:rPr>
              <w:t>4.6</w:t>
            </w:r>
            <w:r>
              <w:rPr>
                <w:rFonts w:hint="default"/>
                <w:highlight w:val="none"/>
                <w:lang w:val="zh-CN"/>
              </w:rPr>
              <w:t>m×</w:t>
            </w:r>
            <w:r>
              <w:rPr>
                <w:rFonts w:hint="default"/>
                <w:highlight w:val="none"/>
                <w:lang w:val="en-US" w:eastAsia="zh-CN"/>
              </w:rPr>
              <w:t>4.6</w:t>
            </w:r>
            <w:r>
              <w:rPr>
                <w:rFonts w:hint="default"/>
                <w:highlight w:val="none"/>
                <w:lang w:val="zh-CN"/>
              </w:rPr>
              <w:t>m</w:t>
            </w:r>
            <w:bookmarkEnd w:id="140"/>
          </w:p>
        </w:tc>
        <w:tc>
          <w:tcPr>
            <w:tcW w:w="401" w:type="pct"/>
            <w:vAlign w:val="center"/>
          </w:tcPr>
          <w:p w14:paraId="5787F0A2">
            <w:pPr>
              <w:pStyle w:val="58"/>
              <w:bidi w:val="0"/>
              <w:spacing w:line="240" w:lineRule="auto"/>
              <w:rPr>
                <w:rFonts w:hint="default"/>
                <w:highlight w:val="none"/>
                <w:lang w:val="en-US" w:eastAsia="zh-CN"/>
              </w:rPr>
            </w:pPr>
            <w:r>
              <w:rPr>
                <w:rFonts w:hint="default"/>
                <w:highlight w:val="none"/>
                <w:lang w:val="en-US" w:eastAsia="zh-CN"/>
              </w:rPr>
              <w:t>1</w:t>
            </w:r>
          </w:p>
        </w:tc>
        <w:tc>
          <w:tcPr>
            <w:tcW w:w="661" w:type="pct"/>
            <w:vAlign w:val="center"/>
          </w:tcPr>
          <w:p w14:paraId="6564B62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zh-CN" w:eastAsia="zh-CN" w:bidi="ar-SA"/>
              </w:rPr>
            </w:pPr>
            <w:r>
              <w:rPr>
                <w:rFonts w:hint="eastAsia" w:ascii="Times New Roman" w:hAnsi="Times New Roman" w:eastAsia="宋体" w:cs="Times New Roman"/>
                <w:kern w:val="2"/>
                <w:sz w:val="21"/>
                <w:szCs w:val="21"/>
                <w:highlight w:val="none"/>
                <w:lang w:val="en-US" w:eastAsia="zh-CN" w:bidi="ar-SA"/>
              </w:rPr>
              <w:t>砖混</w:t>
            </w:r>
          </w:p>
        </w:tc>
        <w:tc>
          <w:tcPr>
            <w:tcW w:w="885" w:type="pct"/>
            <w:vAlign w:val="center"/>
          </w:tcPr>
          <w:p w14:paraId="38D245D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zh-CN" w:eastAsia="zh-CN" w:bidi="ar-SA"/>
              </w:rPr>
            </w:pPr>
            <w:r>
              <w:rPr>
                <w:rFonts w:hint="eastAsia" w:ascii="Times New Roman" w:hAnsi="Times New Roman" w:eastAsia="宋体" w:cs="Times New Roman"/>
                <w:kern w:val="2"/>
                <w:sz w:val="21"/>
                <w:szCs w:val="21"/>
                <w:highlight w:val="none"/>
                <w:lang w:val="en-US" w:eastAsia="zh-CN" w:bidi="ar-SA"/>
              </w:rPr>
              <w:t>1F，地上结构</w:t>
            </w:r>
          </w:p>
        </w:tc>
      </w:tr>
      <w:tr w14:paraId="7AE286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29" w:type="pct"/>
            <w:vAlign w:val="center"/>
          </w:tcPr>
          <w:p w14:paraId="5A99160B">
            <w:pPr>
              <w:pStyle w:val="58"/>
              <w:numPr>
                <w:ilvl w:val="0"/>
                <w:numId w:val="25"/>
              </w:numPr>
              <w:bidi w:val="0"/>
              <w:spacing w:line="240" w:lineRule="auto"/>
              <w:ind w:left="425" w:leftChars="0" w:hanging="425" w:firstLineChars="0"/>
              <w:rPr>
                <w:rFonts w:hint="default"/>
                <w:highlight w:val="none"/>
                <w:lang w:val="en-US" w:eastAsia="zh-CN"/>
              </w:rPr>
            </w:pPr>
          </w:p>
        </w:tc>
        <w:tc>
          <w:tcPr>
            <w:tcW w:w="1073" w:type="pct"/>
            <w:vAlign w:val="center"/>
          </w:tcPr>
          <w:p w14:paraId="23347B41">
            <w:pPr>
              <w:pStyle w:val="58"/>
              <w:bidi w:val="0"/>
              <w:spacing w:line="240" w:lineRule="auto"/>
              <w:rPr>
                <w:rFonts w:hint="default"/>
                <w:highlight w:val="none"/>
                <w:lang w:val="en-US" w:eastAsia="zh-CN"/>
              </w:rPr>
            </w:pPr>
            <w:r>
              <w:rPr>
                <w:rFonts w:hint="eastAsia"/>
                <w:highlight w:val="none"/>
                <w:lang w:val="en-US" w:eastAsia="zh-CN"/>
              </w:rPr>
              <w:t>实验室</w:t>
            </w:r>
          </w:p>
        </w:tc>
        <w:tc>
          <w:tcPr>
            <w:tcW w:w="1649" w:type="pct"/>
            <w:vAlign w:val="center"/>
          </w:tcPr>
          <w:p w14:paraId="5685AD18">
            <w:pPr>
              <w:pStyle w:val="58"/>
              <w:bidi w:val="0"/>
              <w:spacing w:line="240" w:lineRule="auto"/>
              <w:rPr>
                <w:rFonts w:hint="default"/>
                <w:highlight w:val="none"/>
                <w:lang w:val="en-US" w:eastAsia="zh-CN"/>
              </w:rPr>
            </w:pPr>
            <w:r>
              <w:rPr>
                <w:rFonts w:hint="default"/>
                <w:highlight w:val="none"/>
                <w:lang w:val="en-US" w:eastAsia="zh-CN"/>
              </w:rPr>
              <w:t>4.5m</w:t>
            </w:r>
            <w:r>
              <w:rPr>
                <w:rFonts w:hint="default"/>
                <w:highlight w:val="none"/>
                <w:lang w:val="zh-CN"/>
              </w:rPr>
              <w:t>×</w:t>
            </w:r>
            <w:r>
              <w:rPr>
                <w:rFonts w:hint="eastAsia"/>
                <w:highlight w:val="none"/>
                <w:lang w:val="en-US" w:eastAsia="zh-CN"/>
              </w:rPr>
              <w:t>5</w:t>
            </w:r>
            <w:r>
              <w:rPr>
                <w:rFonts w:hint="default"/>
                <w:highlight w:val="none"/>
                <w:lang w:val="zh-CN"/>
              </w:rPr>
              <w:t>m×</w:t>
            </w:r>
            <w:r>
              <w:rPr>
                <w:rFonts w:hint="default"/>
                <w:highlight w:val="none"/>
                <w:lang w:val="en-US" w:eastAsia="zh-CN"/>
              </w:rPr>
              <w:t>4.6</w:t>
            </w:r>
            <w:r>
              <w:rPr>
                <w:rFonts w:hint="default"/>
                <w:highlight w:val="none"/>
                <w:lang w:val="zh-CN"/>
              </w:rPr>
              <w:t>m</w:t>
            </w:r>
          </w:p>
        </w:tc>
        <w:tc>
          <w:tcPr>
            <w:tcW w:w="401" w:type="pct"/>
            <w:vAlign w:val="center"/>
          </w:tcPr>
          <w:p w14:paraId="3FFE8926">
            <w:pPr>
              <w:pStyle w:val="58"/>
              <w:bidi w:val="0"/>
              <w:spacing w:line="240" w:lineRule="auto"/>
              <w:rPr>
                <w:highlight w:val="none"/>
              </w:rPr>
            </w:pPr>
            <w:r>
              <w:rPr>
                <w:rFonts w:hint="eastAsia"/>
                <w:highlight w:val="none"/>
                <w:lang w:val="en-US" w:eastAsia="zh-CN"/>
              </w:rPr>
              <w:t>1</w:t>
            </w:r>
          </w:p>
        </w:tc>
        <w:tc>
          <w:tcPr>
            <w:tcW w:w="661" w:type="pct"/>
            <w:vAlign w:val="center"/>
          </w:tcPr>
          <w:p w14:paraId="4685857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砖混</w:t>
            </w:r>
          </w:p>
        </w:tc>
        <w:tc>
          <w:tcPr>
            <w:tcW w:w="885" w:type="pct"/>
            <w:vAlign w:val="center"/>
          </w:tcPr>
          <w:p w14:paraId="17DAF9E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zh-CN" w:eastAsia="zh-CN" w:bidi="ar-SA"/>
              </w:rPr>
            </w:pPr>
            <w:r>
              <w:rPr>
                <w:rFonts w:hint="eastAsia" w:ascii="Times New Roman" w:hAnsi="Times New Roman" w:eastAsia="宋体" w:cs="Times New Roman"/>
                <w:kern w:val="2"/>
                <w:sz w:val="21"/>
                <w:szCs w:val="21"/>
                <w:highlight w:val="none"/>
                <w:lang w:val="en-US" w:eastAsia="zh-CN" w:bidi="ar-SA"/>
              </w:rPr>
              <w:t>1F，地上结构</w:t>
            </w:r>
          </w:p>
        </w:tc>
      </w:tr>
      <w:tr w14:paraId="1DA4573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29" w:type="pct"/>
            <w:vAlign w:val="center"/>
          </w:tcPr>
          <w:p w14:paraId="03DF9C4E">
            <w:pPr>
              <w:pStyle w:val="58"/>
              <w:numPr>
                <w:ilvl w:val="0"/>
                <w:numId w:val="25"/>
              </w:numPr>
              <w:bidi w:val="0"/>
              <w:spacing w:line="240" w:lineRule="auto"/>
              <w:ind w:left="425" w:leftChars="0" w:hanging="425" w:firstLineChars="0"/>
              <w:rPr>
                <w:rFonts w:hint="eastAsia"/>
                <w:highlight w:val="none"/>
                <w:lang w:val="en-US" w:eastAsia="zh-CN"/>
              </w:rPr>
            </w:pPr>
          </w:p>
        </w:tc>
        <w:tc>
          <w:tcPr>
            <w:tcW w:w="1073" w:type="pct"/>
            <w:vAlign w:val="center"/>
          </w:tcPr>
          <w:p w14:paraId="2FE2A093">
            <w:pPr>
              <w:pStyle w:val="58"/>
              <w:bidi w:val="0"/>
              <w:spacing w:line="240" w:lineRule="auto"/>
              <w:ind w:firstLine="0" w:firstLineChars="0"/>
              <w:rPr>
                <w:rFonts w:hint="eastAsia"/>
                <w:highlight w:val="none"/>
                <w:lang w:val="en-US" w:eastAsia="zh-CN"/>
              </w:rPr>
            </w:pPr>
            <w:r>
              <w:rPr>
                <w:rFonts w:hint="eastAsia" w:ascii="Times New Roman" w:hAnsi="Times New Roman" w:eastAsia="宋体" w:cs="Times New Roman"/>
                <w:highlight w:val="none"/>
                <w:lang w:val="en-US" w:eastAsia="zh-CN"/>
              </w:rPr>
              <w:t>危废间</w:t>
            </w:r>
          </w:p>
        </w:tc>
        <w:tc>
          <w:tcPr>
            <w:tcW w:w="1649" w:type="pct"/>
            <w:vAlign w:val="center"/>
          </w:tcPr>
          <w:p w14:paraId="289D5C08">
            <w:pPr>
              <w:pStyle w:val="58"/>
              <w:bidi w:val="0"/>
              <w:spacing w:line="240" w:lineRule="auto"/>
              <w:ind w:firstLine="0" w:firstLineChars="0"/>
              <w:rPr>
                <w:rFonts w:hint="eastAsia"/>
                <w:highlight w:val="none"/>
                <w:lang w:val="en-US" w:eastAsia="zh-CN"/>
              </w:rPr>
            </w:pPr>
            <w:r>
              <w:rPr>
                <w:rFonts w:hint="default"/>
                <w:highlight w:val="none"/>
                <w:lang w:val="en-US" w:eastAsia="zh-CN"/>
              </w:rPr>
              <w:t>4.5m</w:t>
            </w:r>
            <w:r>
              <w:rPr>
                <w:rFonts w:hint="default"/>
                <w:highlight w:val="none"/>
                <w:lang w:val="zh-CN"/>
              </w:rPr>
              <w:t>×</w:t>
            </w:r>
            <w:r>
              <w:rPr>
                <w:rFonts w:hint="eastAsia"/>
                <w:highlight w:val="none"/>
                <w:lang w:val="en-US" w:eastAsia="zh-CN"/>
              </w:rPr>
              <w:t>5</w:t>
            </w:r>
            <w:r>
              <w:rPr>
                <w:rFonts w:hint="default"/>
                <w:highlight w:val="none"/>
                <w:lang w:val="zh-CN"/>
              </w:rPr>
              <w:t>m×</w:t>
            </w:r>
            <w:r>
              <w:rPr>
                <w:rFonts w:hint="default"/>
                <w:highlight w:val="none"/>
                <w:lang w:val="en-US" w:eastAsia="zh-CN"/>
              </w:rPr>
              <w:t>4.6</w:t>
            </w:r>
            <w:r>
              <w:rPr>
                <w:rFonts w:hint="default"/>
                <w:highlight w:val="none"/>
                <w:lang w:val="zh-CN"/>
              </w:rPr>
              <w:t>m</w:t>
            </w:r>
          </w:p>
        </w:tc>
        <w:tc>
          <w:tcPr>
            <w:tcW w:w="401" w:type="pct"/>
            <w:vAlign w:val="center"/>
          </w:tcPr>
          <w:p w14:paraId="35BCCAEC">
            <w:pPr>
              <w:pStyle w:val="58"/>
              <w:bidi w:val="0"/>
              <w:spacing w:line="240" w:lineRule="auto"/>
              <w:ind w:firstLine="0" w:firstLineChars="0"/>
              <w:rPr>
                <w:rFonts w:hint="eastAsia"/>
                <w:highlight w:val="none"/>
                <w:lang w:val="en-US" w:eastAsia="zh-CN"/>
              </w:rPr>
            </w:pPr>
            <w:r>
              <w:rPr>
                <w:rFonts w:hint="eastAsia" w:ascii="Times New Roman" w:hAnsi="Times New Roman" w:eastAsia="宋体" w:cs="Times New Roman"/>
                <w:highlight w:val="none"/>
                <w:lang w:val="en-US" w:eastAsia="zh-CN"/>
              </w:rPr>
              <w:t>1</w:t>
            </w:r>
          </w:p>
        </w:tc>
        <w:tc>
          <w:tcPr>
            <w:tcW w:w="661" w:type="pct"/>
            <w:vAlign w:val="center"/>
          </w:tcPr>
          <w:p w14:paraId="186F9F7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砖混</w:t>
            </w:r>
          </w:p>
        </w:tc>
        <w:tc>
          <w:tcPr>
            <w:tcW w:w="885" w:type="pct"/>
            <w:vAlign w:val="center"/>
          </w:tcPr>
          <w:p w14:paraId="6646BBD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1F，地上结构</w:t>
            </w:r>
          </w:p>
        </w:tc>
      </w:tr>
      <w:tr w14:paraId="59CA33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29" w:type="pct"/>
            <w:vAlign w:val="center"/>
          </w:tcPr>
          <w:p w14:paraId="6D87355F">
            <w:pPr>
              <w:pStyle w:val="58"/>
              <w:numPr>
                <w:ilvl w:val="0"/>
                <w:numId w:val="25"/>
              </w:numPr>
              <w:bidi w:val="0"/>
              <w:spacing w:line="240" w:lineRule="auto"/>
              <w:ind w:left="425" w:leftChars="0" w:hanging="425" w:firstLineChars="0"/>
              <w:rPr>
                <w:rFonts w:hint="eastAsia"/>
                <w:highlight w:val="none"/>
                <w:lang w:val="en-US" w:eastAsia="zh-CN"/>
              </w:rPr>
            </w:pPr>
          </w:p>
        </w:tc>
        <w:tc>
          <w:tcPr>
            <w:tcW w:w="1073" w:type="pct"/>
            <w:vAlign w:val="center"/>
          </w:tcPr>
          <w:p w14:paraId="23D70F9C">
            <w:pPr>
              <w:pStyle w:val="58"/>
              <w:bidi w:val="0"/>
              <w:spacing w:line="240" w:lineRule="auto"/>
              <w:ind w:firstLine="0" w:firstLineChars="0"/>
              <w:rPr>
                <w:rFonts w:hint="default" w:ascii="Times New Roman" w:hAnsi="Times New Roman" w:eastAsia="宋体" w:cs="Times New Roman"/>
                <w:highlight w:val="none"/>
                <w:lang w:val="en-US" w:eastAsia="zh-CN"/>
              </w:rPr>
            </w:pPr>
            <w:r>
              <w:rPr>
                <w:rFonts w:hint="eastAsia" w:cs="Times New Roman"/>
                <w:highlight w:val="none"/>
                <w:lang w:val="en-US" w:eastAsia="zh-CN"/>
              </w:rPr>
              <w:t>在线监测室</w:t>
            </w:r>
          </w:p>
        </w:tc>
        <w:tc>
          <w:tcPr>
            <w:tcW w:w="1649" w:type="pct"/>
            <w:vAlign w:val="center"/>
          </w:tcPr>
          <w:p w14:paraId="443C28A0">
            <w:pPr>
              <w:pStyle w:val="58"/>
              <w:bidi w:val="0"/>
              <w:spacing w:line="240" w:lineRule="auto"/>
              <w:ind w:firstLine="0" w:firstLineChars="0"/>
              <w:rPr>
                <w:rFonts w:hint="eastAsia" w:ascii="Times New Roman" w:hAnsi="Times New Roman" w:eastAsia="宋体" w:cs="Times New Roman"/>
                <w:highlight w:val="none"/>
                <w:lang w:val="en-US" w:eastAsia="zh-CN"/>
              </w:rPr>
            </w:pPr>
            <w:r>
              <w:rPr>
                <w:rFonts w:hint="default"/>
                <w:highlight w:val="none"/>
                <w:lang w:val="en-US" w:eastAsia="zh-CN"/>
              </w:rPr>
              <w:t>4.5m</w:t>
            </w:r>
            <w:r>
              <w:rPr>
                <w:rFonts w:hint="default"/>
                <w:highlight w:val="none"/>
                <w:lang w:val="zh-CN"/>
              </w:rPr>
              <w:t>×</w:t>
            </w:r>
            <w:r>
              <w:rPr>
                <w:rFonts w:hint="eastAsia"/>
                <w:highlight w:val="none"/>
                <w:lang w:val="en-US" w:eastAsia="zh-CN"/>
              </w:rPr>
              <w:t>6.5</w:t>
            </w:r>
            <w:r>
              <w:rPr>
                <w:rFonts w:hint="default"/>
                <w:highlight w:val="none"/>
                <w:lang w:val="zh-CN"/>
              </w:rPr>
              <w:t>m×</w:t>
            </w:r>
            <w:r>
              <w:rPr>
                <w:rFonts w:hint="default"/>
                <w:highlight w:val="none"/>
                <w:lang w:val="en-US" w:eastAsia="zh-CN"/>
              </w:rPr>
              <w:t>4.6</w:t>
            </w:r>
            <w:r>
              <w:rPr>
                <w:rFonts w:hint="default"/>
                <w:highlight w:val="none"/>
                <w:lang w:val="zh-CN"/>
              </w:rPr>
              <w:t>m</w:t>
            </w:r>
          </w:p>
        </w:tc>
        <w:tc>
          <w:tcPr>
            <w:tcW w:w="401" w:type="pct"/>
            <w:vAlign w:val="center"/>
          </w:tcPr>
          <w:p w14:paraId="38B07D42">
            <w:pPr>
              <w:pStyle w:val="58"/>
              <w:bidi w:val="0"/>
              <w:spacing w:line="240" w:lineRule="auto"/>
              <w:ind w:firstLine="0" w:firstLineChars="0"/>
              <w:rPr>
                <w:rFonts w:hint="default" w:ascii="Times New Roman" w:hAnsi="Times New Roman" w:eastAsia="宋体" w:cs="Times New Roman"/>
                <w:highlight w:val="none"/>
                <w:lang w:val="en-US" w:eastAsia="zh-CN"/>
              </w:rPr>
            </w:pPr>
            <w:r>
              <w:rPr>
                <w:rFonts w:hint="eastAsia" w:cs="Times New Roman"/>
                <w:highlight w:val="none"/>
                <w:lang w:val="en-US" w:eastAsia="zh-CN"/>
              </w:rPr>
              <w:t>1</w:t>
            </w:r>
          </w:p>
        </w:tc>
        <w:tc>
          <w:tcPr>
            <w:tcW w:w="661" w:type="pct"/>
            <w:vAlign w:val="center"/>
          </w:tcPr>
          <w:p w14:paraId="730F82A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砖混</w:t>
            </w:r>
          </w:p>
        </w:tc>
        <w:tc>
          <w:tcPr>
            <w:tcW w:w="885" w:type="pct"/>
            <w:vAlign w:val="center"/>
          </w:tcPr>
          <w:p w14:paraId="5025A08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1F，地上结构</w:t>
            </w:r>
          </w:p>
        </w:tc>
      </w:tr>
      <w:tr w14:paraId="39B89A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29" w:type="pct"/>
            <w:vAlign w:val="center"/>
          </w:tcPr>
          <w:p w14:paraId="3A880E0E">
            <w:pPr>
              <w:pStyle w:val="58"/>
              <w:numPr>
                <w:ilvl w:val="0"/>
                <w:numId w:val="25"/>
              </w:numPr>
              <w:bidi w:val="0"/>
              <w:spacing w:line="240" w:lineRule="auto"/>
              <w:ind w:left="425" w:leftChars="0" w:hanging="425" w:firstLineChars="0"/>
              <w:rPr>
                <w:rFonts w:hint="eastAsia"/>
                <w:highlight w:val="none"/>
                <w:lang w:val="en-US" w:eastAsia="zh-CN"/>
              </w:rPr>
            </w:pPr>
          </w:p>
        </w:tc>
        <w:tc>
          <w:tcPr>
            <w:tcW w:w="1073" w:type="pct"/>
            <w:vAlign w:val="center"/>
          </w:tcPr>
          <w:p w14:paraId="6248512C">
            <w:pPr>
              <w:pStyle w:val="58"/>
              <w:bidi w:val="0"/>
              <w:spacing w:line="240" w:lineRule="auto"/>
              <w:ind w:firstLine="0" w:firstLineChars="0"/>
              <w:rPr>
                <w:rFonts w:hint="default" w:cs="Times New Roman"/>
                <w:highlight w:val="none"/>
                <w:lang w:val="en-US" w:eastAsia="zh-CN"/>
              </w:rPr>
            </w:pPr>
            <w:r>
              <w:rPr>
                <w:rFonts w:hint="eastAsia" w:cs="Times New Roman"/>
                <w:highlight w:val="none"/>
                <w:lang w:val="en-US" w:eastAsia="zh-CN"/>
              </w:rPr>
              <w:t>中水回用水池</w:t>
            </w:r>
          </w:p>
        </w:tc>
        <w:tc>
          <w:tcPr>
            <w:tcW w:w="1649" w:type="pct"/>
            <w:vAlign w:val="center"/>
          </w:tcPr>
          <w:p w14:paraId="435DC9E4">
            <w:pPr>
              <w:pStyle w:val="58"/>
              <w:bidi w:val="0"/>
              <w:spacing w:line="240" w:lineRule="auto"/>
              <w:ind w:firstLine="0" w:firstLineChars="0"/>
              <w:rPr>
                <w:rFonts w:hint="eastAsia" w:ascii="Times New Roman" w:hAnsi="Times New Roman" w:eastAsia="宋体" w:cs="Times New Roman"/>
                <w:highlight w:val="none"/>
                <w:lang w:val="en-US" w:eastAsia="zh-CN"/>
              </w:rPr>
            </w:pPr>
            <w:r>
              <w:rPr>
                <w:rFonts w:hint="eastAsia"/>
                <w:highlight w:val="none"/>
                <w:lang w:val="en-US" w:eastAsia="zh-CN"/>
              </w:rPr>
              <w:t>11.2</w:t>
            </w:r>
            <w:r>
              <w:rPr>
                <w:rFonts w:hint="default"/>
                <w:highlight w:val="none"/>
                <w:lang w:val="en-US" w:eastAsia="zh-CN"/>
              </w:rPr>
              <w:t>m×</w:t>
            </w:r>
            <w:r>
              <w:rPr>
                <w:rFonts w:hint="eastAsia"/>
                <w:highlight w:val="none"/>
                <w:lang w:val="en-US" w:eastAsia="zh-CN"/>
              </w:rPr>
              <w:t>11.2</w:t>
            </w:r>
            <w:r>
              <w:rPr>
                <w:rFonts w:hint="default"/>
                <w:highlight w:val="none"/>
                <w:lang w:val="en-US" w:eastAsia="zh-CN"/>
              </w:rPr>
              <w:t>m×5</w:t>
            </w:r>
            <w:r>
              <w:rPr>
                <w:rFonts w:hint="eastAsia"/>
                <w:highlight w:val="none"/>
                <w:lang w:val="en-US" w:eastAsia="zh-CN"/>
              </w:rPr>
              <w:t>.25</w:t>
            </w:r>
            <w:r>
              <w:rPr>
                <w:rFonts w:hint="default"/>
                <w:highlight w:val="none"/>
                <w:lang w:val="en-US" w:eastAsia="zh-CN"/>
              </w:rPr>
              <w:t>m</w:t>
            </w:r>
          </w:p>
        </w:tc>
        <w:tc>
          <w:tcPr>
            <w:tcW w:w="401" w:type="pct"/>
            <w:vAlign w:val="center"/>
          </w:tcPr>
          <w:p w14:paraId="25805605">
            <w:pPr>
              <w:pStyle w:val="58"/>
              <w:bidi w:val="0"/>
              <w:spacing w:line="240" w:lineRule="auto"/>
              <w:ind w:firstLine="0" w:firstLineChars="0"/>
              <w:rPr>
                <w:rFonts w:hint="default" w:ascii="Times New Roman" w:hAnsi="Times New Roman" w:eastAsia="宋体" w:cs="Times New Roman"/>
                <w:highlight w:val="none"/>
                <w:lang w:val="en-US" w:eastAsia="zh-CN"/>
              </w:rPr>
            </w:pPr>
            <w:r>
              <w:rPr>
                <w:rFonts w:hint="eastAsia" w:cs="Times New Roman"/>
                <w:highlight w:val="none"/>
                <w:lang w:val="en-US" w:eastAsia="zh-CN"/>
              </w:rPr>
              <w:t>1</w:t>
            </w:r>
          </w:p>
        </w:tc>
        <w:tc>
          <w:tcPr>
            <w:tcW w:w="661" w:type="pct"/>
            <w:vAlign w:val="center"/>
          </w:tcPr>
          <w:p w14:paraId="1EEB85E8">
            <w:pPr>
              <w:pStyle w:val="58"/>
              <w:bidi w:val="0"/>
              <w:spacing w:line="240" w:lineRule="auto"/>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钢砼</w:t>
            </w:r>
          </w:p>
        </w:tc>
        <w:tc>
          <w:tcPr>
            <w:tcW w:w="885" w:type="pct"/>
            <w:vAlign w:val="center"/>
          </w:tcPr>
          <w:p w14:paraId="1B14F3F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eastAsia" w:cs="Times New Roman"/>
                <w:kern w:val="2"/>
                <w:sz w:val="21"/>
                <w:szCs w:val="21"/>
                <w:highlight w:val="none"/>
                <w:lang w:val="en-US" w:eastAsia="zh-CN" w:bidi="ar-SA"/>
              </w:rPr>
              <w:t>地下结构</w:t>
            </w:r>
          </w:p>
        </w:tc>
      </w:tr>
    </w:tbl>
    <w:p w14:paraId="020E03A9">
      <w:pPr>
        <w:pStyle w:val="6"/>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color w:val="000000" w:themeColor="text1"/>
          <w:sz w:val="24"/>
          <w:szCs w:val="24"/>
          <w:highlight w:val="none"/>
          <w:lang w:val="zh-CN"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3.2.2总平面布置</w:t>
      </w:r>
    </w:p>
    <w:p w14:paraId="1CA7EF87">
      <w:pPr>
        <w:rPr>
          <w:rFonts w:hint="default"/>
          <w:highlight w:val="none"/>
          <w:lang w:val="en-US" w:eastAsia="zh-CN"/>
        </w:rPr>
      </w:pPr>
      <w:r>
        <w:rPr>
          <w:rFonts w:hint="default"/>
          <w:highlight w:val="none"/>
          <w:lang w:val="en-US" w:eastAsia="zh-CN"/>
        </w:rPr>
        <w:t>本项目总平面设计中按照区域功能、进出水方向和处理工艺要求，厂区</w:t>
      </w:r>
      <w:r>
        <w:rPr>
          <w:rFonts w:hint="eastAsia"/>
          <w:highlight w:val="none"/>
          <w:lang w:val="en-US" w:eastAsia="zh-CN"/>
        </w:rPr>
        <w:t>设置两个</w:t>
      </w:r>
      <w:r>
        <w:rPr>
          <w:rFonts w:hint="default"/>
          <w:highlight w:val="none"/>
          <w:lang w:val="en-US" w:eastAsia="zh-CN"/>
        </w:rPr>
        <w:t>出入口</w:t>
      </w:r>
      <w:r>
        <w:rPr>
          <w:rFonts w:hint="eastAsia"/>
          <w:highlight w:val="none"/>
          <w:lang w:val="en-US" w:eastAsia="zh-CN"/>
        </w:rPr>
        <w:t>，均</w:t>
      </w:r>
      <w:r>
        <w:rPr>
          <w:rFonts w:hint="default"/>
          <w:highlight w:val="none"/>
          <w:lang w:val="en-US" w:eastAsia="zh-CN"/>
        </w:rPr>
        <w:t>位于厂区东侧</w:t>
      </w:r>
      <w:r>
        <w:rPr>
          <w:rFonts w:hint="eastAsia"/>
          <w:highlight w:val="none"/>
          <w:lang w:val="en-US" w:eastAsia="zh-CN"/>
        </w:rPr>
        <w:t>，东侧靠北为主出入口，靠南为次出入口</w:t>
      </w:r>
      <w:r>
        <w:rPr>
          <w:rFonts w:hint="default"/>
          <w:highlight w:val="none"/>
          <w:lang w:val="en-US" w:eastAsia="zh-CN"/>
        </w:rPr>
        <w:t>。</w:t>
      </w:r>
      <w:r>
        <w:rPr>
          <w:rFonts w:hint="eastAsia"/>
          <w:highlight w:val="none"/>
          <w:lang w:val="en-US" w:eastAsia="zh-CN"/>
        </w:rPr>
        <w:t>主大门</w:t>
      </w:r>
      <w:r>
        <w:rPr>
          <w:rFonts w:hint="default"/>
          <w:highlight w:val="none"/>
          <w:lang w:val="en-US" w:eastAsia="zh-CN"/>
        </w:rPr>
        <w:t>北侧自东向西依次为现有工程、配套设施用房，配套设施用房中自东向西依次为鼓风机房、加药间、污泥脱水间、配电室。</w:t>
      </w:r>
      <w:r>
        <w:rPr>
          <w:rFonts w:hint="eastAsia"/>
          <w:highlight w:val="none"/>
          <w:lang w:val="en-US" w:eastAsia="zh-CN"/>
        </w:rPr>
        <w:t>主出入口</w:t>
      </w:r>
      <w:r>
        <w:rPr>
          <w:rFonts w:hint="default"/>
          <w:highlight w:val="none"/>
          <w:lang w:val="en-US" w:eastAsia="zh-CN"/>
        </w:rPr>
        <w:t>南侧</w:t>
      </w:r>
      <w:r>
        <w:rPr>
          <w:rFonts w:hint="eastAsia"/>
          <w:highlight w:val="none"/>
          <w:lang w:val="en-US" w:eastAsia="zh-CN"/>
        </w:rPr>
        <w:t>厂区中部</w:t>
      </w:r>
      <w:r>
        <w:rPr>
          <w:rFonts w:hint="default"/>
          <w:highlight w:val="none"/>
          <w:lang w:val="en-US" w:eastAsia="zh-CN"/>
        </w:rPr>
        <w:t>自东向西依次为</w:t>
      </w:r>
      <w:r>
        <w:rPr>
          <w:rFonts w:hint="eastAsia"/>
          <w:highlight w:val="none"/>
          <w:lang w:val="en-US" w:eastAsia="zh-CN"/>
        </w:rPr>
        <w:t>格栅渠及</w:t>
      </w:r>
      <w:r>
        <w:rPr>
          <w:rFonts w:hint="default"/>
          <w:highlight w:val="none"/>
          <w:lang w:val="en-US" w:eastAsia="zh-CN"/>
        </w:rPr>
        <w:t>调节池、生化处理辅助工房</w:t>
      </w:r>
      <w:r>
        <w:rPr>
          <w:rFonts w:hint="eastAsia"/>
          <w:highlight w:val="none"/>
          <w:lang w:val="en-US" w:eastAsia="zh-CN"/>
        </w:rPr>
        <w:t>（内设A</w:t>
      </w:r>
      <w:r>
        <w:rPr>
          <w:rFonts w:hint="eastAsia"/>
          <w:highlight w:val="none"/>
          <w:vertAlign w:val="superscript"/>
          <w:lang w:val="en-US" w:eastAsia="zh-CN"/>
        </w:rPr>
        <w:t>2</w:t>
      </w:r>
      <w:r>
        <w:rPr>
          <w:rFonts w:hint="eastAsia"/>
          <w:highlight w:val="none"/>
          <w:lang w:val="en-US" w:eastAsia="zh-CN"/>
        </w:rPr>
        <w:t>O</w:t>
      </w:r>
      <w:r>
        <w:rPr>
          <w:rFonts w:hint="default"/>
          <w:highlight w:val="none"/>
          <w:lang w:val="en-US" w:eastAsia="zh-CN"/>
        </w:rPr>
        <w:t>一体化设备</w:t>
      </w:r>
      <w:r>
        <w:rPr>
          <w:rFonts w:hint="eastAsia"/>
          <w:highlight w:val="none"/>
          <w:lang w:val="en-US" w:eastAsia="zh-CN"/>
        </w:rPr>
        <w:t>）和污泥池、</w:t>
      </w:r>
      <w:r>
        <w:rPr>
          <w:rFonts w:hint="default"/>
          <w:highlight w:val="none"/>
          <w:lang w:val="en-US" w:eastAsia="zh-CN"/>
        </w:rPr>
        <w:t>混凝沉淀池</w:t>
      </w:r>
      <w:r>
        <w:rPr>
          <w:rFonts w:hint="eastAsia"/>
          <w:highlight w:val="none"/>
          <w:lang w:val="en-US" w:eastAsia="zh-CN"/>
        </w:rPr>
        <w:t>及消毒池</w:t>
      </w:r>
      <w:r>
        <w:rPr>
          <w:rFonts w:hint="default"/>
          <w:highlight w:val="none"/>
          <w:lang w:val="en-US" w:eastAsia="zh-CN"/>
        </w:rPr>
        <w:t>。</w:t>
      </w:r>
      <w:r>
        <w:rPr>
          <w:rFonts w:hint="eastAsia"/>
          <w:highlight w:val="none"/>
          <w:lang w:val="en-US" w:eastAsia="zh-CN"/>
        </w:rPr>
        <w:t>污泥池、</w:t>
      </w:r>
      <w:r>
        <w:rPr>
          <w:rFonts w:hint="default"/>
          <w:highlight w:val="none"/>
          <w:lang w:val="en-US" w:eastAsia="zh-CN"/>
        </w:rPr>
        <w:t>混凝沉淀池</w:t>
      </w:r>
      <w:r>
        <w:rPr>
          <w:rFonts w:hint="eastAsia"/>
          <w:highlight w:val="none"/>
          <w:lang w:val="en-US" w:eastAsia="zh-CN"/>
        </w:rPr>
        <w:t>与消毒池自北向南依次排布。次出入口南侧自东向西依次为实验室、危废间、在线监测室及回用水池。</w:t>
      </w:r>
    </w:p>
    <w:p w14:paraId="25CC4520">
      <w:pPr>
        <w:rPr>
          <w:rFonts w:hint="default"/>
          <w:highlight w:val="none"/>
          <w:lang w:val="en-US" w:eastAsia="zh-CN"/>
        </w:rPr>
      </w:pPr>
      <w:r>
        <w:rPr>
          <w:rFonts w:hint="default"/>
          <w:highlight w:val="none"/>
          <w:lang w:val="en-US" w:eastAsia="zh-CN"/>
        </w:rPr>
        <w:t>厂内道路规划以方便使用为原则，围绕厂区及建、构筑物周边规划了环行车道，并设有通往各建、构筑物的支路。</w:t>
      </w:r>
    </w:p>
    <w:p w14:paraId="46FD44B4">
      <w:pPr>
        <w:rPr>
          <w:rFonts w:hint="default"/>
          <w:highlight w:val="none"/>
          <w:lang w:val="en-US" w:eastAsia="zh-CN"/>
        </w:rPr>
      </w:pPr>
      <w:r>
        <w:rPr>
          <w:rFonts w:hint="default"/>
          <w:highlight w:val="none"/>
          <w:lang w:val="en-US" w:eastAsia="zh-CN"/>
        </w:rPr>
        <w:t>综上，本项目平面布置合理</w:t>
      </w:r>
      <w:r>
        <w:rPr>
          <w:rFonts w:hint="eastAsia"/>
          <w:highlight w:val="none"/>
          <w:lang w:eastAsia="zh-CN"/>
        </w:rPr>
        <w:t>，</w:t>
      </w:r>
      <w:r>
        <w:rPr>
          <w:rFonts w:hint="eastAsia"/>
          <w:highlight w:val="none"/>
          <w:lang w:val="en-US" w:eastAsia="zh-CN"/>
        </w:rPr>
        <w:t>厂区平面布置图见附图2</w:t>
      </w:r>
      <w:r>
        <w:rPr>
          <w:rFonts w:hint="default"/>
          <w:highlight w:val="none"/>
          <w:lang w:val="en-US" w:eastAsia="zh-CN"/>
        </w:rPr>
        <w:t>。</w:t>
      </w:r>
    </w:p>
    <w:p w14:paraId="3185F52F">
      <w:pPr>
        <w:pStyle w:val="6"/>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3.2.3原辅材料</w:t>
      </w:r>
    </w:p>
    <w:p w14:paraId="24FD915B">
      <w:pPr>
        <w:rPr>
          <w:rFonts w:hint="default"/>
          <w:highlight w:val="none"/>
          <w:lang w:val="en-US" w:eastAsia="zh-CN"/>
        </w:rPr>
      </w:pPr>
      <w:r>
        <w:rPr>
          <w:rFonts w:hint="default"/>
          <w:highlight w:val="none"/>
          <w:lang w:val="en-US" w:eastAsia="zh-CN"/>
        </w:rPr>
        <w:t>本项目主要原辅材料及能耗供应见表3.2-</w:t>
      </w:r>
      <w:r>
        <w:rPr>
          <w:rFonts w:hint="eastAsia"/>
          <w:highlight w:val="none"/>
          <w:lang w:val="en-US" w:eastAsia="zh-CN"/>
        </w:rPr>
        <w:t>5</w:t>
      </w:r>
      <w:r>
        <w:rPr>
          <w:rFonts w:hint="default"/>
          <w:highlight w:val="none"/>
          <w:lang w:val="en-US" w:eastAsia="zh-CN"/>
        </w:rPr>
        <w:t>。</w:t>
      </w:r>
    </w:p>
    <w:p w14:paraId="3FD0D04B">
      <w:pPr>
        <w:widowControl/>
        <w:numPr>
          <w:ilvl w:val="0"/>
          <w:numId w:val="24"/>
        </w:numPr>
        <w:ind w:left="425" w:leftChars="0" w:hanging="425" w:firstLineChars="0"/>
        <w:jc w:val="center"/>
        <w:rPr>
          <w:rFonts w:hint="default" w:ascii="Times New Roman" w:hAnsi="Times New Roman" w:eastAsia="宋体" w:cs="Times New Roman"/>
          <w:b/>
          <w:color w:val="auto"/>
          <w:highlight w:val="none"/>
          <w:lang w:val="zh-CN"/>
        </w:rPr>
      </w:pPr>
      <w:r>
        <w:rPr>
          <w:rFonts w:hint="default" w:ascii="Times New Roman" w:hAnsi="Times New Roman" w:eastAsia="宋体" w:cs="Times New Roman"/>
          <w:b/>
          <w:color w:val="auto"/>
          <w:highlight w:val="none"/>
          <w:lang w:val="zh-CN"/>
        </w:rPr>
        <w:t>主要原辅材料及能源消耗</w:t>
      </w:r>
    </w:p>
    <w:tbl>
      <w:tblPr>
        <w:tblStyle w:val="88"/>
        <w:tblW w:w="9008" w:type="dxa"/>
        <w:tblInd w:w="8"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873"/>
        <w:gridCol w:w="1500"/>
        <w:gridCol w:w="816"/>
        <w:gridCol w:w="1003"/>
        <w:gridCol w:w="1155"/>
        <w:gridCol w:w="840"/>
        <w:gridCol w:w="2821"/>
      </w:tblGrid>
      <w:tr w14:paraId="4E177D8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20" w:hRule="atLeast"/>
        </w:trPr>
        <w:tc>
          <w:tcPr>
            <w:tcW w:w="873" w:type="dxa"/>
            <w:vAlign w:val="center"/>
          </w:tcPr>
          <w:p w14:paraId="5FE2030B">
            <w:pPr>
              <w:pStyle w:val="58"/>
              <w:bidi w:val="0"/>
              <w:rPr>
                <w:rFonts w:hint="default"/>
                <w:highlight w:val="none"/>
              </w:rPr>
            </w:pPr>
            <w:r>
              <w:rPr>
                <w:rFonts w:hint="default"/>
                <w:highlight w:val="none"/>
              </w:rPr>
              <w:t>类别</w:t>
            </w:r>
          </w:p>
        </w:tc>
        <w:tc>
          <w:tcPr>
            <w:tcW w:w="1500" w:type="dxa"/>
            <w:vAlign w:val="center"/>
          </w:tcPr>
          <w:p w14:paraId="4878EB6C">
            <w:pPr>
              <w:pStyle w:val="58"/>
              <w:bidi w:val="0"/>
              <w:rPr>
                <w:rFonts w:hint="default"/>
                <w:highlight w:val="none"/>
              </w:rPr>
            </w:pPr>
            <w:r>
              <w:rPr>
                <w:rFonts w:hint="default"/>
                <w:highlight w:val="none"/>
              </w:rPr>
              <w:t>名称</w:t>
            </w:r>
          </w:p>
        </w:tc>
        <w:tc>
          <w:tcPr>
            <w:tcW w:w="816" w:type="dxa"/>
            <w:vAlign w:val="center"/>
          </w:tcPr>
          <w:p w14:paraId="0075A38A">
            <w:pPr>
              <w:pStyle w:val="58"/>
              <w:bidi w:val="0"/>
              <w:rPr>
                <w:rFonts w:hint="default"/>
                <w:highlight w:val="none"/>
              </w:rPr>
            </w:pPr>
            <w:r>
              <w:rPr>
                <w:rFonts w:hint="default"/>
                <w:highlight w:val="none"/>
              </w:rPr>
              <w:t>单位</w:t>
            </w:r>
          </w:p>
        </w:tc>
        <w:tc>
          <w:tcPr>
            <w:tcW w:w="1003" w:type="dxa"/>
            <w:vAlign w:val="center"/>
          </w:tcPr>
          <w:p w14:paraId="646B9770">
            <w:pPr>
              <w:pStyle w:val="58"/>
              <w:bidi w:val="0"/>
              <w:rPr>
                <w:rFonts w:hint="default"/>
                <w:highlight w:val="none"/>
              </w:rPr>
            </w:pPr>
            <w:r>
              <w:rPr>
                <w:rFonts w:hint="default"/>
                <w:highlight w:val="none"/>
              </w:rPr>
              <w:t>数量</w:t>
            </w:r>
          </w:p>
        </w:tc>
        <w:tc>
          <w:tcPr>
            <w:tcW w:w="1155" w:type="dxa"/>
            <w:vAlign w:val="center"/>
          </w:tcPr>
          <w:p w14:paraId="064F840F">
            <w:pPr>
              <w:pStyle w:val="58"/>
              <w:bidi w:val="0"/>
              <w:rPr>
                <w:rFonts w:hint="default"/>
                <w:highlight w:val="none"/>
              </w:rPr>
            </w:pPr>
            <w:r>
              <w:rPr>
                <w:rFonts w:hint="default"/>
                <w:highlight w:val="none"/>
              </w:rPr>
              <w:t>来源</w:t>
            </w:r>
          </w:p>
        </w:tc>
        <w:tc>
          <w:tcPr>
            <w:tcW w:w="840" w:type="dxa"/>
            <w:vAlign w:val="center"/>
          </w:tcPr>
          <w:p w14:paraId="5A278DAF">
            <w:pPr>
              <w:pStyle w:val="58"/>
              <w:bidi w:val="0"/>
              <w:rPr>
                <w:rFonts w:hint="default"/>
                <w:highlight w:val="none"/>
              </w:rPr>
            </w:pPr>
            <w:r>
              <w:rPr>
                <w:rFonts w:hint="default"/>
                <w:highlight w:val="none"/>
              </w:rPr>
              <w:t>储量</w:t>
            </w:r>
          </w:p>
        </w:tc>
        <w:tc>
          <w:tcPr>
            <w:tcW w:w="2821" w:type="dxa"/>
            <w:vAlign w:val="center"/>
          </w:tcPr>
          <w:p w14:paraId="01E306B3">
            <w:pPr>
              <w:pStyle w:val="58"/>
              <w:bidi w:val="0"/>
              <w:rPr>
                <w:rFonts w:hint="default"/>
                <w:highlight w:val="none"/>
              </w:rPr>
            </w:pPr>
            <w:r>
              <w:rPr>
                <w:rFonts w:hint="eastAsia"/>
                <w:highlight w:val="none"/>
                <w:lang w:val="en-US" w:eastAsia="zh-CN"/>
              </w:rPr>
              <w:t>备注</w:t>
            </w:r>
          </w:p>
        </w:tc>
      </w:tr>
      <w:tr w14:paraId="5DC998F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02" w:hRule="atLeast"/>
        </w:trPr>
        <w:tc>
          <w:tcPr>
            <w:tcW w:w="873" w:type="dxa"/>
            <w:vMerge w:val="restart"/>
            <w:vAlign w:val="center"/>
          </w:tcPr>
          <w:p w14:paraId="46CA3501">
            <w:pPr>
              <w:pStyle w:val="58"/>
              <w:bidi w:val="0"/>
              <w:rPr>
                <w:rFonts w:hint="default"/>
                <w:highlight w:val="none"/>
              </w:rPr>
            </w:pPr>
            <w:bookmarkStart w:id="141" w:name="OLE_LINK53" w:colFirst="1" w:colLast="1"/>
            <w:r>
              <w:rPr>
                <w:rFonts w:hint="default"/>
                <w:highlight w:val="none"/>
              </w:rPr>
              <w:t>主要原辅材料</w:t>
            </w:r>
          </w:p>
        </w:tc>
        <w:tc>
          <w:tcPr>
            <w:tcW w:w="1500" w:type="dxa"/>
            <w:vAlign w:val="center"/>
          </w:tcPr>
          <w:p w14:paraId="2C2BB87C">
            <w:pPr>
              <w:pStyle w:val="58"/>
              <w:bidi w:val="0"/>
              <w:rPr>
                <w:rFonts w:hint="default"/>
                <w:highlight w:val="none"/>
              </w:rPr>
            </w:pPr>
            <w:r>
              <w:rPr>
                <w:rFonts w:hint="default"/>
                <w:highlight w:val="none"/>
              </w:rPr>
              <w:t>聚合氯化铝（PAC）</w:t>
            </w:r>
          </w:p>
        </w:tc>
        <w:tc>
          <w:tcPr>
            <w:tcW w:w="816" w:type="dxa"/>
            <w:vAlign w:val="center"/>
          </w:tcPr>
          <w:p w14:paraId="700BF0D2">
            <w:pPr>
              <w:pStyle w:val="58"/>
              <w:bidi w:val="0"/>
              <w:rPr>
                <w:rFonts w:hint="default"/>
                <w:highlight w:val="none"/>
              </w:rPr>
            </w:pPr>
            <w:r>
              <w:rPr>
                <w:rFonts w:hint="eastAsia"/>
                <w:highlight w:val="none"/>
                <w:lang w:val="en-US" w:eastAsia="zh-CN"/>
              </w:rPr>
              <w:t>t</w:t>
            </w:r>
            <w:r>
              <w:rPr>
                <w:rFonts w:hint="default"/>
                <w:highlight w:val="none"/>
              </w:rPr>
              <w:t>/a</w:t>
            </w:r>
          </w:p>
        </w:tc>
        <w:tc>
          <w:tcPr>
            <w:tcW w:w="1003" w:type="dxa"/>
            <w:vAlign w:val="center"/>
          </w:tcPr>
          <w:p w14:paraId="72BD13C8">
            <w:pPr>
              <w:pStyle w:val="58"/>
              <w:bidi w:val="0"/>
              <w:rPr>
                <w:rFonts w:hint="default"/>
                <w:highlight w:val="none"/>
              </w:rPr>
            </w:pPr>
            <w:r>
              <w:rPr>
                <w:rFonts w:hint="default"/>
                <w:highlight w:val="none"/>
                <w:lang w:val="en-US" w:eastAsia="zh-CN"/>
              </w:rPr>
              <w:t>87.6</w:t>
            </w:r>
          </w:p>
        </w:tc>
        <w:tc>
          <w:tcPr>
            <w:tcW w:w="1155" w:type="dxa"/>
            <w:vAlign w:val="center"/>
          </w:tcPr>
          <w:p w14:paraId="6338E785">
            <w:pPr>
              <w:pStyle w:val="58"/>
              <w:bidi w:val="0"/>
              <w:rPr>
                <w:rFonts w:hint="default"/>
                <w:highlight w:val="none"/>
              </w:rPr>
            </w:pPr>
            <w:r>
              <w:rPr>
                <w:rFonts w:hint="default"/>
                <w:highlight w:val="none"/>
              </w:rPr>
              <w:t>外购</w:t>
            </w:r>
          </w:p>
        </w:tc>
        <w:tc>
          <w:tcPr>
            <w:tcW w:w="840" w:type="dxa"/>
            <w:vAlign w:val="center"/>
          </w:tcPr>
          <w:p w14:paraId="611A252A">
            <w:pPr>
              <w:pStyle w:val="58"/>
              <w:bidi w:val="0"/>
              <w:rPr>
                <w:rFonts w:hint="default"/>
                <w:highlight w:val="none"/>
                <w:lang w:val="en-US" w:eastAsia="zh-CN"/>
              </w:rPr>
            </w:pPr>
            <w:r>
              <w:rPr>
                <w:rFonts w:hint="eastAsia"/>
                <w:highlight w:val="none"/>
                <w:lang w:val="en-US" w:eastAsia="zh-CN"/>
              </w:rPr>
              <w:t>10</w:t>
            </w:r>
          </w:p>
        </w:tc>
        <w:tc>
          <w:tcPr>
            <w:tcW w:w="2821" w:type="dxa"/>
            <w:vAlign w:val="center"/>
          </w:tcPr>
          <w:p w14:paraId="0E544C76">
            <w:pPr>
              <w:keepNext w:val="0"/>
              <w:keepLines w:val="0"/>
              <w:widowControl/>
              <w:suppressLineNumbers w:val="0"/>
              <w:ind w:left="0" w:leftChars="0" w:firstLine="0" w:firstLineChars="0"/>
              <w:jc w:val="left"/>
              <w:rPr>
                <w:rFonts w:hint="default"/>
                <w:sz w:val="21"/>
                <w:szCs w:val="21"/>
                <w:highlight w:val="none"/>
              </w:rPr>
            </w:pPr>
            <w:bookmarkStart w:id="142" w:name="OLE_LINK101"/>
            <w:r>
              <w:rPr>
                <w:rFonts w:hint="default" w:ascii="Times New Roman" w:hAnsi="Times New Roman" w:eastAsia="宋体" w:cs="Times New Roman"/>
                <w:kern w:val="2"/>
                <w:sz w:val="21"/>
                <w:szCs w:val="21"/>
                <w:highlight w:val="none"/>
                <w:lang w:val="en-US" w:eastAsia="zh-CN" w:bidi="ar-SA"/>
              </w:rPr>
              <w:t>25kg袋装</w:t>
            </w:r>
            <w:r>
              <w:rPr>
                <w:rFonts w:hint="eastAsia" w:ascii="Times New Roman" w:hAnsi="Times New Roman" w:cs="Times New Roman"/>
                <w:kern w:val="2"/>
                <w:sz w:val="21"/>
                <w:szCs w:val="21"/>
                <w:highlight w:val="none"/>
                <w:lang w:val="en-US" w:eastAsia="zh-CN" w:bidi="ar-SA"/>
              </w:rPr>
              <w:t>，粉状固体，储存加药间</w:t>
            </w:r>
            <w:r>
              <w:rPr>
                <w:rFonts w:hint="default"/>
                <w:sz w:val="21"/>
                <w:szCs w:val="21"/>
                <w:highlight w:val="none"/>
              </w:rPr>
              <w:t>，</w:t>
            </w:r>
            <w:r>
              <w:rPr>
                <w:rFonts w:hint="default"/>
                <w:sz w:val="21"/>
                <w:szCs w:val="21"/>
                <w:highlight w:val="none"/>
                <w:lang w:val="en-US" w:eastAsia="zh-CN"/>
              </w:rPr>
              <w:t>去除污水中悬浮物、金属离子</w:t>
            </w:r>
            <w:r>
              <w:rPr>
                <w:rFonts w:hint="eastAsia"/>
                <w:sz w:val="21"/>
                <w:szCs w:val="21"/>
                <w:highlight w:val="none"/>
                <w:lang w:val="en-US" w:eastAsia="zh-CN"/>
              </w:rPr>
              <w:t>，</w:t>
            </w:r>
            <w:bookmarkEnd w:id="142"/>
            <w:r>
              <w:rPr>
                <w:rFonts w:hint="default"/>
                <w:sz w:val="21"/>
                <w:szCs w:val="21"/>
                <w:highlight w:val="none"/>
                <w:lang w:val="en-US" w:eastAsia="zh-CN"/>
              </w:rPr>
              <w:t>0.24</w:t>
            </w:r>
            <w:r>
              <w:rPr>
                <w:rFonts w:hint="eastAsia"/>
                <w:sz w:val="21"/>
                <w:szCs w:val="21"/>
                <w:highlight w:val="none"/>
                <w:lang w:val="en-US" w:eastAsia="zh-CN"/>
              </w:rPr>
              <w:t>t</w:t>
            </w:r>
            <w:r>
              <w:rPr>
                <w:rFonts w:hint="default"/>
                <w:sz w:val="21"/>
                <w:szCs w:val="21"/>
                <w:highlight w:val="none"/>
              </w:rPr>
              <w:t>/d</w:t>
            </w:r>
          </w:p>
        </w:tc>
      </w:tr>
      <w:tr w14:paraId="372BFA4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13" w:hRule="atLeast"/>
        </w:trPr>
        <w:tc>
          <w:tcPr>
            <w:tcW w:w="873" w:type="dxa"/>
            <w:vMerge w:val="continue"/>
            <w:vAlign w:val="center"/>
          </w:tcPr>
          <w:p w14:paraId="3DB59C2D">
            <w:pPr>
              <w:pStyle w:val="58"/>
              <w:bidi w:val="0"/>
              <w:rPr>
                <w:rFonts w:hint="default"/>
                <w:highlight w:val="none"/>
              </w:rPr>
            </w:pPr>
          </w:p>
        </w:tc>
        <w:tc>
          <w:tcPr>
            <w:tcW w:w="1500" w:type="dxa"/>
            <w:vAlign w:val="center"/>
          </w:tcPr>
          <w:p w14:paraId="0D086A17">
            <w:pPr>
              <w:pStyle w:val="58"/>
              <w:bidi w:val="0"/>
              <w:rPr>
                <w:rFonts w:hint="default"/>
                <w:highlight w:val="none"/>
              </w:rPr>
            </w:pPr>
            <w:bookmarkStart w:id="143" w:name="OLE_LINK54"/>
            <w:r>
              <w:rPr>
                <w:rFonts w:hint="default"/>
                <w:highlight w:val="none"/>
              </w:rPr>
              <w:t>聚丙烯酰胺（PAM）</w:t>
            </w:r>
            <w:bookmarkEnd w:id="143"/>
          </w:p>
        </w:tc>
        <w:tc>
          <w:tcPr>
            <w:tcW w:w="816" w:type="dxa"/>
            <w:vAlign w:val="center"/>
          </w:tcPr>
          <w:p w14:paraId="537A7381">
            <w:pPr>
              <w:pStyle w:val="58"/>
              <w:bidi w:val="0"/>
              <w:rPr>
                <w:rFonts w:hint="default"/>
                <w:highlight w:val="none"/>
              </w:rPr>
            </w:pPr>
            <w:r>
              <w:rPr>
                <w:rFonts w:hint="default"/>
                <w:highlight w:val="none"/>
              </w:rPr>
              <w:t>t/a</w:t>
            </w:r>
          </w:p>
        </w:tc>
        <w:tc>
          <w:tcPr>
            <w:tcW w:w="1003" w:type="dxa"/>
            <w:vAlign w:val="center"/>
          </w:tcPr>
          <w:p w14:paraId="480CBE18">
            <w:pPr>
              <w:pStyle w:val="58"/>
              <w:bidi w:val="0"/>
              <w:rPr>
                <w:rFonts w:hint="default"/>
                <w:highlight w:val="none"/>
                <w:lang w:val="en-US" w:eastAsia="zh-CN"/>
              </w:rPr>
            </w:pPr>
            <w:r>
              <w:rPr>
                <w:rFonts w:hint="default"/>
                <w:highlight w:val="none"/>
                <w:lang w:val="en-US" w:eastAsia="zh-CN"/>
              </w:rPr>
              <w:t>8</w:t>
            </w:r>
            <w:r>
              <w:rPr>
                <w:rFonts w:hint="eastAsia"/>
                <w:highlight w:val="none"/>
                <w:lang w:val="en-US" w:eastAsia="zh-CN"/>
              </w:rPr>
              <w:t>.</w:t>
            </w:r>
            <w:r>
              <w:rPr>
                <w:rFonts w:hint="default"/>
                <w:highlight w:val="none"/>
                <w:lang w:val="en-US" w:eastAsia="zh-CN"/>
              </w:rPr>
              <w:t>76</w:t>
            </w:r>
          </w:p>
        </w:tc>
        <w:tc>
          <w:tcPr>
            <w:tcW w:w="1155" w:type="dxa"/>
            <w:vAlign w:val="center"/>
          </w:tcPr>
          <w:p w14:paraId="2C3AD124">
            <w:pPr>
              <w:pStyle w:val="58"/>
              <w:bidi w:val="0"/>
              <w:rPr>
                <w:rFonts w:hint="default"/>
                <w:highlight w:val="none"/>
              </w:rPr>
            </w:pPr>
            <w:r>
              <w:rPr>
                <w:rFonts w:hint="default"/>
                <w:highlight w:val="none"/>
              </w:rPr>
              <w:t>外购</w:t>
            </w:r>
          </w:p>
        </w:tc>
        <w:tc>
          <w:tcPr>
            <w:tcW w:w="840" w:type="dxa"/>
            <w:vAlign w:val="center"/>
          </w:tcPr>
          <w:p w14:paraId="2E17C62B">
            <w:pPr>
              <w:pStyle w:val="58"/>
              <w:bidi w:val="0"/>
              <w:rPr>
                <w:rFonts w:hint="default"/>
                <w:highlight w:val="none"/>
                <w:lang w:val="en-US" w:eastAsia="zh-CN"/>
              </w:rPr>
            </w:pPr>
            <w:r>
              <w:rPr>
                <w:rFonts w:hint="eastAsia"/>
                <w:highlight w:val="none"/>
                <w:lang w:val="en-US" w:eastAsia="zh-CN"/>
              </w:rPr>
              <w:t>10</w:t>
            </w:r>
          </w:p>
        </w:tc>
        <w:tc>
          <w:tcPr>
            <w:tcW w:w="2821" w:type="dxa"/>
            <w:vAlign w:val="center"/>
          </w:tcPr>
          <w:p w14:paraId="680A0DA3">
            <w:pPr>
              <w:pStyle w:val="58"/>
              <w:bidi w:val="0"/>
              <w:rPr>
                <w:rFonts w:hint="default"/>
                <w:highlight w:val="none"/>
                <w:lang w:eastAsia="zh-CN"/>
              </w:rPr>
            </w:pPr>
            <w:r>
              <w:rPr>
                <w:rFonts w:hint="default" w:ascii="Times New Roman" w:hAnsi="Times New Roman" w:eastAsia="宋体" w:cs="Times New Roman"/>
                <w:kern w:val="2"/>
                <w:sz w:val="21"/>
                <w:szCs w:val="21"/>
                <w:highlight w:val="none"/>
                <w:lang w:val="en-US" w:eastAsia="zh-CN" w:bidi="ar-SA"/>
              </w:rPr>
              <w:t>25kg袋装</w:t>
            </w:r>
            <w:r>
              <w:rPr>
                <w:rFonts w:hint="eastAsia" w:ascii="Times New Roman" w:hAnsi="Times New Roman" w:cs="Times New Roman"/>
                <w:kern w:val="2"/>
                <w:sz w:val="21"/>
                <w:szCs w:val="21"/>
                <w:highlight w:val="none"/>
                <w:lang w:val="en-US" w:eastAsia="zh-CN" w:bidi="ar-SA"/>
              </w:rPr>
              <w:t>，颗粒状固体，储存加药间</w:t>
            </w:r>
            <w:r>
              <w:rPr>
                <w:rFonts w:hint="default"/>
                <w:sz w:val="21"/>
                <w:szCs w:val="21"/>
                <w:highlight w:val="none"/>
              </w:rPr>
              <w:t>，</w:t>
            </w:r>
            <w:r>
              <w:rPr>
                <w:rFonts w:hint="default"/>
                <w:sz w:val="21"/>
                <w:szCs w:val="21"/>
                <w:highlight w:val="none"/>
                <w:lang w:val="en-US" w:eastAsia="zh-CN"/>
              </w:rPr>
              <w:t>去除污水中悬浮物、金属离子</w:t>
            </w:r>
            <w:r>
              <w:rPr>
                <w:rFonts w:hint="eastAsia"/>
                <w:sz w:val="21"/>
                <w:szCs w:val="21"/>
                <w:highlight w:val="none"/>
                <w:lang w:val="en-US" w:eastAsia="zh-CN"/>
              </w:rPr>
              <w:t>，</w:t>
            </w:r>
            <w:r>
              <w:rPr>
                <w:rFonts w:hint="default"/>
                <w:highlight w:val="none"/>
                <w:lang w:val="en-US" w:eastAsia="zh-CN"/>
              </w:rPr>
              <w:t>0.</w:t>
            </w:r>
            <w:r>
              <w:rPr>
                <w:rFonts w:hint="eastAsia"/>
                <w:highlight w:val="none"/>
                <w:lang w:val="en-US" w:eastAsia="zh-CN"/>
              </w:rPr>
              <w:t>0</w:t>
            </w:r>
            <w:r>
              <w:rPr>
                <w:rFonts w:hint="default"/>
                <w:highlight w:val="none"/>
                <w:lang w:val="en-US" w:eastAsia="zh-CN"/>
              </w:rPr>
              <w:t>24</w:t>
            </w:r>
            <w:r>
              <w:rPr>
                <w:rFonts w:hint="eastAsia"/>
                <w:highlight w:val="none"/>
                <w:lang w:val="en-US" w:eastAsia="zh-CN"/>
              </w:rPr>
              <w:t>t</w:t>
            </w:r>
            <w:r>
              <w:rPr>
                <w:rFonts w:hint="default"/>
                <w:highlight w:val="none"/>
              </w:rPr>
              <w:t>/d</w:t>
            </w:r>
          </w:p>
        </w:tc>
      </w:tr>
      <w:tr w14:paraId="1D48106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14" w:hRule="atLeast"/>
        </w:trPr>
        <w:tc>
          <w:tcPr>
            <w:tcW w:w="873" w:type="dxa"/>
            <w:vMerge w:val="continue"/>
            <w:vAlign w:val="center"/>
          </w:tcPr>
          <w:p w14:paraId="044DE2BE">
            <w:pPr>
              <w:pStyle w:val="58"/>
              <w:bidi w:val="0"/>
              <w:rPr>
                <w:rFonts w:hint="default"/>
                <w:highlight w:val="none"/>
              </w:rPr>
            </w:pPr>
          </w:p>
        </w:tc>
        <w:tc>
          <w:tcPr>
            <w:tcW w:w="1500" w:type="dxa"/>
            <w:vAlign w:val="center"/>
          </w:tcPr>
          <w:p w14:paraId="1E7801CB">
            <w:pPr>
              <w:pStyle w:val="58"/>
              <w:bidi w:val="0"/>
              <w:rPr>
                <w:rFonts w:hint="eastAsia" w:eastAsia="宋体"/>
                <w:highlight w:val="none"/>
                <w:lang w:val="en-US" w:eastAsia="zh-CN"/>
              </w:rPr>
            </w:pPr>
            <w:r>
              <w:rPr>
                <w:rFonts w:hint="eastAsia"/>
                <w:highlight w:val="none"/>
                <w:lang w:val="en-US" w:eastAsia="zh-CN"/>
              </w:rPr>
              <w:t>碳源</w:t>
            </w:r>
          </w:p>
        </w:tc>
        <w:tc>
          <w:tcPr>
            <w:tcW w:w="816" w:type="dxa"/>
            <w:vAlign w:val="center"/>
          </w:tcPr>
          <w:p w14:paraId="21945CA0">
            <w:pPr>
              <w:pStyle w:val="58"/>
              <w:bidi w:val="0"/>
              <w:rPr>
                <w:rFonts w:hint="default" w:eastAsia="宋体"/>
                <w:highlight w:val="none"/>
                <w:lang w:val="en-US" w:eastAsia="zh-CN"/>
              </w:rPr>
            </w:pPr>
            <w:r>
              <w:rPr>
                <w:rFonts w:hint="eastAsia"/>
                <w:highlight w:val="none"/>
                <w:lang w:val="en-US" w:eastAsia="zh-CN"/>
              </w:rPr>
              <w:t>t/a</w:t>
            </w:r>
          </w:p>
        </w:tc>
        <w:tc>
          <w:tcPr>
            <w:tcW w:w="1003" w:type="dxa"/>
            <w:vAlign w:val="center"/>
          </w:tcPr>
          <w:p w14:paraId="67DBEE34">
            <w:pPr>
              <w:pStyle w:val="58"/>
              <w:bidi w:val="0"/>
              <w:rPr>
                <w:rFonts w:hint="default"/>
                <w:highlight w:val="none"/>
                <w:lang w:val="en-US" w:eastAsia="zh-CN"/>
              </w:rPr>
            </w:pPr>
            <w:r>
              <w:rPr>
                <w:rFonts w:hint="eastAsia"/>
                <w:highlight w:val="none"/>
                <w:lang w:val="en-US" w:eastAsia="zh-CN"/>
              </w:rPr>
              <w:t>2</w:t>
            </w:r>
          </w:p>
        </w:tc>
        <w:tc>
          <w:tcPr>
            <w:tcW w:w="1155" w:type="dxa"/>
            <w:vAlign w:val="center"/>
          </w:tcPr>
          <w:p w14:paraId="2540F25A">
            <w:pPr>
              <w:pStyle w:val="58"/>
              <w:bidi w:val="0"/>
              <w:rPr>
                <w:rFonts w:hint="default"/>
                <w:highlight w:val="none"/>
              </w:rPr>
            </w:pPr>
            <w:r>
              <w:rPr>
                <w:rFonts w:hint="default"/>
                <w:highlight w:val="none"/>
              </w:rPr>
              <w:t>外购</w:t>
            </w:r>
          </w:p>
        </w:tc>
        <w:tc>
          <w:tcPr>
            <w:tcW w:w="840" w:type="dxa"/>
            <w:vAlign w:val="center"/>
          </w:tcPr>
          <w:p w14:paraId="6B2AA430">
            <w:pPr>
              <w:pStyle w:val="58"/>
              <w:bidi w:val="0"/>
              <w:rPr>
                <w:rFonts w:hint="default"/>
                <w:highlight w:val="none"/>
                <w:lang w:val="en-US" w:eastAsia="zh-CN"/>
              </w:rPr>
            </w:pPr>
            <w:r>
              <w:rPr>
                <w:rFonts w:hint="eastAsia"/>
                <w:highlight w:val="none"/>
                <w:lang w:val="en-US" w:eastAsia="zh-CN"/>
              </w:rPr>
              <w:t>2</w:t>
            </w:r>
          </w:p>
        </w:tc>
        <w:tc>
          <w:tcPr>
            <w:tcW w:w="2821" w:type="dxa"/>
            <w:vAlign w:val="center"/>
          </w:tcPr>
          <w:p w14:paraId="45D512F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eastAsia" w:ascii="宋体" w:hAnsi="宋体" w:eastAsia="宋体" w:cs="宋体"/>
                <w:color w:val="000000"/>
                <w:kern w:val="0"/>
                <w:sz w:val="23"/>
                <w:szCs w:val="23"/>
                <w:highlight w:val="none"/>
                <w:lang w:val="en-US" w:eastAsia="zh-CN" w:bidi="ar"/>
              </w:rPr>
              <w:t>30%乙酸钠；袋装，备用。</w:t>
            </w:r>
          </w:p>
        </w:tc>
      </w:tr>
      <w:tr w14:paraId="4532035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04" w:hRule="atLeast"/>
        </w:trPr>
        <w:tc>
          <w:tcPr>
            <w:tcW w:w="873" w:type="dxa"/>
            <w:vMerge w:val="continue"/>
            <w:vAlign w:val="center"/>
          </w:tcPr>
          <w:p w14:paraId="5718EFEE">
            <w:pPr>
              <w:pStyle w:val="58"/>
              <w:bidi w:val="0"/>
              <w:rPr>
                <w:rFonts w:hint="default"/>
                <w:highlight w:val="none"/>
              </w:rPr>
            </w:pPr>
          </w:p>
        </w:tc>
        <w:tc>
          <w:tcPr>
            <w:tcW w:w="1500" w:type="dxa"/>
            <w:vAlign w:val="center"/>
          </w:tcPr>
          <w:p w14:paraId="1A5998D2">
            <w:pPr>
              <w:pStyle w:val="58"/>
              <w:bidi w:val="0"/>
              <w:rPr>
                <w:rFonts w:hint="default"/>
                <w:highlight w:val="none"/>
              </w:rPr>
            </w:pPr>
            <w:bookmarkStart w:id="144" w:name="OLE_LINK55"/>
            <w:r>
              <w:rPr>
                <w:rFonts w:hint="default"/>
                <w:highlight w:val="none"/>
              </w:rPr>
              <w:t>次氯酸钠</w:t>
            </w:r>
            <w:bookmarkEnd w:id="144"/>
          </w:p>
        </w:tc>
        <w:tc>
          <w:tcPr>
            <w:tcW w:w="816" w:type="dxa"/>
            <w:vAlign w:val="center"/>
          </w:tcPr>
          <w:p w14:paraId="203237C1">
            <w:pPr>
              <w:pStyle w:val="58"/>
              <w:bidi w:val="0"/>
              <w:rPr>
                <w:rFonts w:hint="default"/>
                <w:highlight w:val="none"/>
              </w:rPr>
            </w:pPr>
            <w:r>
              <w:rPr>
                <w:rFonts w:hint="eastAsia"/>
                <w:highlight w:val="none"/>
                <w:lang w:val="en-US" w:eastAsia="zh-CN"/>
              </w:rPr>
              <w:t>t</w:t>
            </w:r>
            <w:r>
              <w:rPr>
                <w:rFonts w:hint="default"/>
                <w:highlight w:val="none"/>
              </w:rPr>
              <w:t>/a</w:t>
            </w:r>
          </w:p>
        </w:tc>
        <w:tc>
          <w:tcPr>
            <w:tcW w:w="1003" w:type="dxa"/>
            <w:vAlign w:val="center"/>
          </w:tcPr>
          <w:p w14:paraId="413BCAE3">
            <w:pPr>
              <w:pStyle w:val="58"/>
              <w:bidi w:val="0"/>
              <w:rPr>
                <w:rFonts w:hint="default"/>
                <w:highlight w:val="none"/>
                <w:lang w:val="en-US" w:eastAsia="zh-CN"/>
              </w:rPr>
            </w:pPr>
            <w:r>
              <w:rPr>
                <w:rFonts w:hint="default"/>
                <w:highlight w:val="none"/>
                <w:lang w:val="en-US" w:eastAsia="zh-CN"/>
              </w:rPr>
              <w:t>18.25</w:t>
            </w:r>
          </w:p>
        </w:tc>
        <w:tc>
          <w:tcPr>
            <w:tcW w:w="1155" w:type="dxa"/>
            <w:vAlign w:val="center"/>
          </w:tcPr>
          <w:p w14:paraId="29309B17">
            <w:pPr>
              <w:pStyle w:val="58"/>
              <w:bidi w:val="0"/>
              <w:rPr>
                <w:rFonts w:hint="default"/>
                <w:highlight w:val="none"/>
              </w:rPr>
            </w:pPr>
            <w:r>
              <w:rPr>
                <w:rFonts w:hint="default"/>
                <w:highlight w:val="none"/>
              </w:rPr>
              <w:t>外购</w:t>
            </w:r>
          </w:p>
        </w:tc>
        <w:tc>
          <w:tcPr>
            <w:tcW w:w="840" w:type="dxa"/>
            <w:vAlign w:val="center"/>
          </w:tcPr>
          <w:p w14:paraId="3F656217">
            <w:pPr>
              <w:pStyle w:val="58"/>
              <w:bidi w:val="0"/>
              <w:rPr>
                <w:rFonts w:hint="default"/>
                <w:highlight w:val="none"/>
                <w:lang w:val="en-US" w:eastAsia="zh-CN"/>
              </w:rPr>
            </w:pPr>
            <w:r>
              <w:rPr>
                <w:rFonts w:hint="eastAsia"/>
                <w:highlight w:val="none"/>
                <w:lang w:val="en-US" w:eastAsia="zh-CN"/>
              </w:rPr>
              <w:t>1</w:t>
            </w:r>
          </w:p>
        </w:tc>
        <w:tc>
          <w:tcPr>
            <w:tcW w:w="2821" w:type="dxa"/>
            <w:vAlign w:val="center"/>
          </w:tcPr>
          <w:p w14:paraId="396121F4">
            <w:pPr>
              <w:pStyle w:val="58"/>
              <w:bidi w:val="0"/>
              <w:rPr>
                <w:rFonts w:hint="default" w:eastAsia="宋体"/>
                <w:highlight w:val="none"/>
                <w:lang w:val="en-US" w:eastAsia="zh-CN"/>
              </w:rPr>
            </w:pPr>
            <w:r>
              <w:rPr>
                <w:rFonts w:hint="default"/>
                <w:highlight w:val="none"/>
              </w:rPr>
              <w:t>加</w:t>
            </w:r>
            <w:r>
              <w:rPr>
                <w:rFonts w:hint="eastAsia"/>
                <w:highlight w:val="none"/>
                <w:lang w:val="en-US" w:eastAsia="zh-CN"/>
              </w:rPr>
              <w:t>药</w:t>
            </w:r>
            <w:r>
              <w:rPr>
                <w:rFonts w:hint="default"/>
                <w:highlight w:val="none"/>
              </w:rPr>
              <w:t>间，</w:t>
            </w:r>
            <w:r>
              <w:rPr>
                <w:rFonts w:hint="default"/>
                <w:highlight w:val="none"/>
                <w:lang w:val="en-US" w:eastAsia="zh-CN"/>
              </w:rPr>
              <w:t>0.05</w:t>
            </w:r>
            <w:r>
              <w:rPr>
                <w:rFonts w:hint="eastAsia"/>
                <w:highlight w:val="none"/>
                <w:lang w:val="en-US" w:eastAsia="zh-CN"/>
              </w:rPr>
              <w:t>t</w:t>
            </w:r>
            <w:r>
              <w:rPr>
                <w:rFonts w:hint="default"/>
                <w:highlight w:val="none"/>
              </w:rPr>
              <w:t>/d，10%浓度</w:t>
            </w:r>
            <w:r>
              <w:rPr>
                <w:rFonts w:hint="eastAsia"/>
                <w:highlight w:val="none"/>
                <w:lang w:eastAsia="zh-CN"/>
              </w:rPr>
              <w:t>，</w:t>
            </w:r>
            <w:r>
              <w:rPr>
                <w:rFonts w:hint="eastAsia"/>
                <w:highlight w:val="none"/>
                <w:lang w:val="en-US" w:eastAsia="zh-CN"/>
              </w:rPr>
              <w:t>液态</w:t>
            </w:r>
          </w:p>
        </w:tc>
      </w:tr>
      <w:tr w14:paraId="6097951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04" w:hRule="atLeast"/>
        </w:trPr>
        <w:tc>
          <w:tcPr>
            <w:tcW w:w="873" w:type="dxa"/>
            <w:vMerge w:val="continue"/>
            <w:vAlign w:val="center"/>
          </w:tcPr>
          <w:p w14:paraId="28DE3DB6">
            <w:pPr>
              <w:pStyle w:val="58"/>
              <w:bidi w:val="0"/>
              <w:rPr>
                <w:rFonts w:hint="default"/>
                <w:highlight w:val="none"/>
              </w:rPr>
            </w:pPr>
          </w:p>
        </w:tc>
        <w:tc>
          <w:tcPr>
            <w:tcW w:w="1500" w:type="dxa"/>
            <w:vAlign w:val="center"/>
          </w:tcPr>
          <w:p w14:paraId="56776BC7">
            <w:pPr>
              <w:pStyle w:val="58"/>
              <w:bidi w:val="0"/>
              <w:rPr>
                <w:rFonts w:hint="default"/>
                <w:highlight w:val="none"/>
                <w:lang w:val="en-US" w:eastAsia="zh-CN"/>
              </w:rPr>
            </w:pPr>
            <w:bookmarkStart w:id="145" w:name="OLE_LINK56"/>
            <w:r>
              <w:rPr>
                <w:rFonts w:hint="default"/>
                <w:highlight w:val="none"/>
                <w:lang w:val="en-US" w:eastAsia="zh-CN"/>
              </w:rPr>
              <w:t>石英</w:t>
            </w:r>
            <w:r>
              <w:rPr>
                <w:rFonts w:hint="eastAsia"/>
                <w:highlight w:val="none"/>
                <w:lang w:val="en-US" w:eastAsia="zh-CN"/>
              </w:rPr>
              <w:t>砂滤</w:t>
            </w:r>
            <w:r>
              <w:rPr>
                <w:rFonts w:hint="default"/>
                <w:highlight w:val="none"/>
                <w:lang w:val="en-US" w:eastAsia="zh-CN"/>
              </w:rPr>
              <w:t>料</w:t>
            </w:r>
            <w:bookmarkEnd w:id="145"/>
          </w:p>
        </w:tc>
        <w:tc>
          <w:tcPr>
            <w:tcW w:w="816" w:type="dxa"/>
            <w:vAlign w:val="center"/>
          </w:tcPr>
          <w:p w14:paraId="61D72551">
            <w:pPr>
              <w:pStyle w:val="58"/>
              <w:bidi w:val="0"/>
              <w:rPr>
                <w:rFonts w:hint="default"/>
                <w:highlight w:val="none"/>
              </w:rPr>
            </w:pPr>
            <w:r>
              <w:rPr>
                <w:rFonts w:hint="default"/>
                <w:highlight w:val="none"/>
              </w:rPr>
              <w:t>t/a</w:t>
            </w:r>
          </w:p>
        </w:tc>
        <w:tc>
          <w:tcPr>
            <w:tcW w:w="1003" w:type="dxa"/>
            <w:vAlign w:val="center"/>
          </w:tcPr>
          <w:p w14:paraId="48013B03">
            <w:pPr>
              <w:pStyle w:val="58"/>
              <w:bidi w:val="0"/>
              <w:rPr>
                <w:rFonts w:hint="default"/>
                <w:highlight w:val="none"/>
                <w:lang w:val="en-US" w:eastAsia="zh-CN"/>
              </w:rPr>
            </w:pPr>
            <w:bookmarkStart w:id="146" w:name="OLE_LINK60"/>
            <w:r>
              <w:rPr>
                <w:rFonts w:hint="default"/>
                <w:highlight w:val="none"/>
                <w:lang w:val="en-US" w:eastAsia="zh-CN"/>
              </w:rPr>
              <w:t>1.8</w:t>
            </w:r>
            <w:bookmarkEnd w:id="146"/>
          </w:p>
        </w:tc>
        <w:tc>
          <w:tcPr>
            <w:tcW w:w="1155" w:type="dxa"/>
            <w:vAlign w:val="center"/>
          </w:tcPr>
          <w:p w14:paraId="2D020C3C">
            <w:pPr>
              <w:pStyle w:val="58"/>
              <w:bidi w:val="0"/>
              <w:rPr>
                <w:rFonts w:hint="default"/>
                <w:highlight w:val="none"/>
                <w:lang w:val="en-US" w:eastAsia="zh-CN"/>
              </w:rPr>
            </w:pPr>
            <w:r>
              <w:rPr>
                <w:rFonts w:hint="default"/>
                <w:highlight w:val="none"/>
                <w:lang w:val="en-US" w:eastAsia="zh-CN"/>
              </w:rPr>
              <w:t>外购</w:t>
            </w:r>
          </w:p>
        </w:tc>
        <w:tc>
          <w:tcPr>
            <w:tcW w:w="840" w:type="dxa"/>
            <w:vAlign w:val="center"/>
          </w:tcPr>
          <w:p w14:paraId="7FAE858C">
            <w:pPr>
              <w:pStyle w:val="58"/>
              <w:bidi w:val="0"/>
              <w:rPr>
                <w:rFonts w:hint="default"/>
                <w:highlight w:val="none"/>
                <w:lang w:val="en-US" w:eastAsia="zh-CN"/>
              </w:rPr>
            </w:pPr>
            <w:r>
              <w:rPr>
                <w:rFonts w:hint="default"/>
                <w:highlight w:val="none"/>
                <w:lang w:val="en-US" w:eastAsia="zh-CN"/>
              </w:rPr>
              <w:t>1.8</w:t>
            </w:r>
          </w:p>
        </w:tc>
        <w:tc>
          <w:tcPr>
            <w:tcW w:w="2821" w:type="dxa"/>
            <w:vAlign w:val="center"/>
          </w:tcPr>
          <w:p w14:paraId="781247A9">
            <w:pPr>
              <w:pStyle w:val="58"/>
              <w:bidi w:val="0"/>
              <w:rPr>
                <w:rFonts w:hint="default"/>
                <w:highlight w:val="none"/>
                <w:lang w:val="en-US" w:eastAsia="zh-CN"/>
              </w:rPr>
            </w:pPr>
            <w:r>
              <w:rPr>
                <w:rFonts w:hint="default"/>
                <w:highlight w:val="none"/>
                <w:lang w:val="en-US" w:eastAsia="zh-CN"/>
              </w:rPr>
              <w:t>粒径：1-2mm，5年更换一次</w:t>
            </w:r>
          </w:p>
        </w:tc>
      </w:tr>
      <w:tr w14:paraId="10E969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04" w:hRule="atLeast"/>
        </w:trPr>
        <w:tc>
          <w:tcPr>
            <w:tcW w:w="873" w:type="dxa"/>
            <w:vMerge w:val="continue"/>
            <w:vAlign w:val="center"/>
          </w:tcPr>
          <w:p w14:paraId="3536F499">
            <w:pPr>
              <w:pStyle w:val="58"/>
              <w:bidi w:val="0"/>
              <w:rPr>
                <w:rFonts w:hint="default"/>
                <w:highlight w:val="none"/>
              </w:rPr>
            </w:pPr>
          </w:p>
        </w:tc>
        <w:tc>
          <w:tcPr>
            <w:tcW w:w="1500" w:type="dxa"/>
            <w:vAlign w:val="center"/>
          </w:tcPr>
          <w:p w14:paraId="4DAF95C8">
            <w:pPr>
              <w:pStyle w:val="58"/>
              <w:bidi w:val="0"/>
              <w:rPr>
                <w:rFonts w:hint="default"/>
                <w:highlight w:val="none"/>
                <w:lang w:val="en-US" w:eastAsia="zh-CN"/>
              </w:rPr>
            </w:pPr>
            <w:r>
              <w:rPr>
                <w:rFonts w:hint="eastAsia"/>
                <w:highlight w:val="none"/>
                <w:lang w:val="en-US" w:eastAsia="zh-CN"/>
              </w:rPr>
              <w:t>润滑油</w:t>
            </w:r>
          </w:p>
        </w:tc>
        <w:tc>
          <w:tcPr>
            <w:tcW w:w="816" w:type="dxa"/>
            <w:vAlign w:val="center"/>
          </w:tcPr>
          <w:p w14:paraId="5C8D11F6">
            <w:pPr>
              <w:pStyle w:val="58"/>
              <w:bidi w:val="0"/>
              <w:ind w:firstLine="0" w:firstLineChars="0"/>
              <w:rPr>
                <w:rFonts w:hint="default"/>
                <w:highlight w:val="none"/>
              </w:rPr>
            </w:pPr>
            <w:r>
              <w:rPr>
                <w:rFonts w:hint="default"/>
                <w:highlight w:val="none"/>
              </w:rPr>
              <w:t>t/a</w:t>
            </w:r>
          </w:p>
        </w:tc>
        <w:tc>
          <w:tcPr>
            <w:tcW w:w="1003" w:type="dxa"/>
            <w:vAlign w:val="center"/>
          </w:tcPr>
          <w:p w14:paraId="71A2F56E">
            <w:pPr>
              <w:pStyle w:val="58"/>
              <w:bidi w:val="0"/>
              <w:ind w:firstLine="0" w:firstLineChars="0"/>
              <w:rPr>
                <w:rFonts w:hint="default"/>
                <w:highlight w:val="none"/>
                <w:lang w:val="en-US" w:eastAsia="zh-CN"/>
              </w:rPr>
            </w:pPr>
            <w:r>
              <w:rPr>
                <w:rFonts w:hint="eastAsia"/>
                <w:highlight w:val="none"/>
                <w:lang w:val="en-US" w:eastAsia="zh-CN"/>
              </w:rPr>
              <w:t>0.05</w:t>
            </w:r>
          </w:p>
        </w:tc>
        <w:tc>
          <w:tcPr>
            <w:tcW w:w="1155" w:type="dxa"/>
            <w:vAlign w:val="center"/>
          </w:tcPr>
          <w:p w14:paraId="4F3BDD58">
            <w:pPr>
              <w:pStyle w:val="58"/>
              <w:bidi w:val="0"/>
              <w:ind w:firstLine="0" w:firstLineChars="0"/>
              <w:rPr>
                <w:rFonts w:hint="default"/>
                <w:highlight w:val="none"/>
                <w:lang w:val="en-US" w:eastAsia="zh-CN"/>
              </w:rPr>
            </w:pPr>
            <w:r>
              <w:rPr>
                <w:rFonts w:hint="default"/>
                <w:highlight w:val="none"/>
                <w:lang w:val="en-US" w:eastAsia="zh-CN"/>
              </w:rPr>
              <w:t>外购</w:t>
            </w:r>
          </w:p>
        </w:tc>
        <w:tc>
          <w:tcPr>
            <w:tcW w:w="840" w:type="dxa"/>
            <w:vAlign w:val="center"/>
          </w:tcPr>
          <w:p w14:paraId="413AA161">
            <w:pPr>
              <w:pStyle w:val="58"/>
              <w:bidi w:val="0"/>
              <w:ind w:firstLine="0" w:firstLineChars="0"/>
              <w:rPr>
                <w:rFonts w:hint="default"/>
                <w:highlight w:val="none"/>
                <w:lang w:val="en-US" w:eastAsia="zh-CN"/>
              </w:rPr>
            </w:pPr>
            <w:r>
              <w:rPr>
                <w:rFonts w:hint="eastAsia"/>
                <w:highlight w:val="none"/>
                <w:lang w:val="en-US" w:eastAsia="zh-CN"/>
              </w:rPr>
              <w:t>0.05</w:t>
            </w:r>
          </w:p>
        </w:tc>
        <w:tc>
          <w:tcPr>
            <w:tcW w:w="2821" w:type="dxa"/>
            <w:vAlign w:val="center"/>
          </w:tcPr>
          <w:p w14:paraId="60891EC2">
            <w:pPr>
              <w:pStyle w:val="58"/>
              <w:bidi w:val="0"/>
              <w:rPr>
                <w:rFonts w:hint="default" w:eastAsia="宋体"/>
                <w:highlight w:val="none"/>
                <w:lang w:val="en-US" w:eastAsia="zh-CN"/>
              </w:rPr>
            </w:pPr>
            <w:r>
              <w:rPr>
                <w:rFonts w:hint="eastAsia"/>
                <w:highlight w:val="none"/>
                <w:lang w:val="en-US" w:eastAsia="zh-CN"/>
              </w:rPr>
              <w:t>5kg/桶</w:t>
            </w:r>
          </w:p>
        </w:tc>
      </w:tr>
      <w:tr w14:paraId="39FCB6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04" w:hRule="atLeast"/>
        </w:trPr>
        <w:tc>
          <w:tcPr>
            <w:tcW w:w="873" w:type="dxa"/>
            <w:vMerge w:val="continue"/>
            <w:vAlign w:val="center"/>
          </w:tcPr>
          <w:p w14:paraId="61F3DA35">
            <w:pPr>
              <w:pStyle w:val="58"/>
              <w:bidi w:val="0"/>
              <w:rPr>
                <w:rFonts w:hint="default"/>
                <w:highlight w:val="none"/>
              </w:rPr>
            </w:pPr>
          </w:p>
        </w:tc>
        <w:tc>
          <w:tcPr>
            <w:tcW w:w="1500" w:type="dxa"/>
            <w:vAlign w:val="center"/>
          </w:tcPr>
          <w:p w14:paraId="7DC0FA8C">
            <w:pPr>
              <w:pStyle w:val="58"/>
              <w:bidi w:val="0"/>
              <w:rPr>
                <w:rFonts w:hint="default"/>
                <w:highlight w:val="none"/>
                <w:lang w:val="en-US" w:eastAsia="zh-CN"/>
              </w:rPr>
            </w:pPr>
            <w:r>
              <w:rPr>
                <w:rFonts w:hint="eastAsia"/>
                <w:highlight w:val="none"/>
                <w:lang w:val="en-US" w:eastAsia="zh-CN"/>
              </w:rPr>
              <w:t>液压油</w:t>
            </w:r>
          </w:p>
        </w:tc>
        <w:tc>
          <w:tcPr>
            <w:tcW w:w="816" w:type="dxa"/>
            <w:vAlign w:val="center"/>
          </w:tcPr>
          <w:p w14:paraId="787FE8F7">
            <w:pPr>
              <w:pStyle w:val="58"/>
              <w:bidi w:val="0"/>
              <w:ind w:firstLine="0" w:firstLineChars="0"/>
              <w:rPr>
                <w:rFonts w:hint="default"/>
                <w:highlight w:val="none"/>
              </w:rPr>
            </w:pPr>
            <w:r>
              <w:rPr>
                <w:rFonts w:hint="default"/>
                <w:highlight w:val="none"/>
              </w:rPr>
              <w:t>t/a</w:t>
            </w:r>
          </w:p>
        </w:tc>
        <w:tc>
          <w:tcPr>
            <w:tcW w:w="1003" w:type="dxa"/>
            <w:vAlign w:val="center"/>
          </w:tcPr>
          <w:p w14:paraId="36785AC2">
            <w:pPr>
              <w:pStyle w:val="58"/>
              <w:bidi w:val="0"/>
              <w:ind w:firstLine="0" w:firstLineChars="0"/>
              <w:rPr>
                <w:rFonts w:hint="default"/>
                <w:highlight w:val="none"/>
                <w:lang w:val="en-US" w:eastAsia="zh-CN"/>
              </w:rPr>
            </w:pPr>
            <w:r>
              <w:rPr>
                <w:rFonts w:hint="eastAsia"/>
                <w:highlight w:val="none"/>
                <w:lang w:val="en-US" w:eastAsia="zh-CN"/>
              </w:rPr>
              <w:t>0.025</w:t>
            </w:r>
          </w:p>
        </w:tc>
        <w:tc>
          <w:tcPr>
            <w:tcW w:w="1155" w:type="dxa"/>
            <w:vAlign w:val="center"/>
          </w:tcPr>
          <w:p w14:paraId="3F7BF276">
            <w:pPr>
              <w:pStyle w:val="58"/>
              <w:bidi w:val="0"/>
              <w:ind w:firstLine="0" w:firstLineChars="0"/>
              <w:rPr>
                <w:rFonts w:hint="default"/>
                <w:highlight w:val="none"/>
                <w:lang w:val="en-US" w:eastAsia="zh-CN"/>
              </w:rPr>
            </w:pPr>
            <w:r>
              <w:rPr>
                <w:rFonts w:hint="default"/>
                <w:highlight w:val="none"/>
                <w:lang w:val="en-US" w:eastAsia="zh-CN"/>
              </w:rPr>
              <w:t>外购</w:t>
            </w:r>
          </w:p>
        </w:tc>
        <w:tc>
          <w:tcPr>
            <w:tcW w:w="840" w:type="dxa"/>
            <w:vAlign w:val="center"/>
          </w:tcPr>
          <w:p w14:paraId="43E7AAF4">
            <w:pPr>
              <w:pStyle w:val="58"/>
              <w:bidi w:val="0"/>
              <w:ind w:firstLine="0" w:firstLineChars="0"/>
              <w:rPr>
                <w:rFonts w:hint="default"/>
                <w:highlight w:val="none"/>
                <w:lang w:val="en-US" w:eastAsia="zh-CN"/>
              </w:rPr>
            </w:pPr>
            <w:r>
              <w:rPr>
                <w:rFonts w:hint="eastAsia"/>
                <w:highlight w:val="none"/>
                <w:lang w:val="en-US" w:eastAsia="zh-CN"/>
              </w:rPr>
              <w:t>0.025</w:t>
            </w:r>
          </w:p>
        </w:tc>
        <w:tc>
          <w:tcPr>
            <w:tcW w:w="2821" w:type="dxa"/>
            <w:vAlign w:val="center"/>
          </w:tcPr>
          <w:p w14:paraId="59FC40B7">
            <w:pPr>
              <w:pStyle w:val="58"/>
              <w:bidi w:val="0"/>
              <w:rPr>
                <w:rFonts w:hint="default"/>
                <w:highlight w:val="none"/>
                <w:lang w:val="en-US" w:eastAsia="zh-CN"/>
              </w:rPr>
            </w:pPr>
            <w:r>
              <w:rPr>
                <w:rFonts w:hint="eastAsia"/>
                <w:highlight w:val="none"/>
                <w:lang w:val="en-US" w:eastAsia="zh-CN"/>
              </w:rPr>
              <w:t>5</w:t>
            </w:r>
            <w:r>
              <w:rPr>
                <w:rFonts w:hint="default"/>
                <w:highlight w:val="none"/>
                <w:lang w:val="en-US" w:eastAsia="zh-CN"/>
              </w:rPr>
              <w:t>kg/桶</w:t>
            </w:r>
          </w:p>
        </w:tc>
      </w:tr>
      <w:bookmarkEnd w:id="141"/>
      <w:tr w14:paraId="4F0987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4" w:hRule="atLeast"/>
        </w:trPr>
        <w:tc>
          <w:tcPr>
            <w:tcW w:w="873" w:type="dxa"/>
            <w:vMerge w:val="restart"/>
            <w:vAlign w:val="center"/>
          </w:tcPr>
          <w:p w14:paraId="7D7C538E">
            <w:pPr>
              <w:pStyle w:val="58"/>
              <w:bidi w:val="0"/>
              <w:rPr>
                <w:rFonts w:hint="default"/>
                <w:highlight w:val="none"/>
              </w:rPr>
            </w:pPr>
            <w:r>
              <w:rPr>
                <w:rFonts w:hint="eastAsia"/>
                <w:highlight w:val="none"/>
                <w:lang w:eastAsia="zh-CN"/>
              </w:rPr>
              <w:t>实验室</w:t>
            </w:r>
            <w:r>
              <w:rPr>
                <w:rFonts w:hint="default"/>
                <w:highlight w:val="none"/>
              </w:rPr>
              <w:t>用药品</w:t>
            </w:r>
          </w:p>
        </w:tc>
        <w:tc>
          <w:tcPr>
            <w:tcW w:w="1500" w:type="dxa"/>
            <w:vAlign w:val="center"/>
          </w:tcPr>
          <w:p w14:paraId="0DAA8FC0">
            <w:pPr>
              <w:pStyle w:val="58"/>
              <w:bidi w:val="0"/>
              <w:rPr>
                <w:rFonts w:hint="default"/>
                <w:highlight w:val="none"/>
                <w:lang w:val="en-US" w:eastAsia="zh-CN"/>
              </w:rPr>
            </w:pPr>
            <w:bookmarkStart w:id="147" w:name="OLE_LINK57"/>
            <w:r>
              <w:rPr>
                <w:rFonts w:hint="default"/>
                <w:highlight w:val="none"/>
              </w:rPr>
              <w:t>硫酸</w:t>
            </w:r>
            <w:bookmarkEnd w:id="147"/>
          </w:p>
        </w:tc>
        <w:tc>
          <w:tcPr>
            <w:tcW w:w="816" w:type="dxa"/>
            <w:vAlign w:val="center"/>
          </w:tcPr>
          <w:p w14:paraId="2F47B114">
            <w:pPr>
              <w:pStyle w:val="58"/>
              <w:bidi w:val="0"/>
              <w:rPr>
                <w:rFonts w:hint="default"/>
                <w:highlight w:val="none"/>
                <w:lang w:val="en-US" w:eastAsia="zh-CN"/>
              </w:rPr>
            </w:pPr>
            <w:r>
              <w:rPr>
                <w:rFonts w:hint="default"/>
                <w:highlight w:val="none"/>
              </w:rPr>
              <w:t>t/a</w:t>
            </w:r>
          </w:p>
        </w:tc>
        <w:tc>
          <w:tcPr>
            <w:tcW w:w="1003" w:type="dxa"/>
            <w:vAlign w:val="center"/>
          </w:tcPr>
          <w:p w14:paraId="07904302">
            <w:pPr>
              <w:pStyle w:val="58"/>
              <w:bidi w:val="0"/>
              <w:rPr>
                <w:rFonts w:hint="default"/>
                <w:highlight w:val="none"/>
                <w:lang w:val="en-US" w:eastAsia="zh-CN"/>
              </w:rPr>
            </w:pPr>
            <w:bookmarkStart w:id="148" w:name="OLE_LINK61"/>
            <w:r>
              <w:rPr>
                <w:rFonts w:hint="default"/>
                <w:highlight w:val="none"/>
              </w:rPr>
              <w:t>0.0</w:t>
            </w:r>
            <w:r>
              <w:rPr>
                <w:rFonts w:hint="default"/>
                <w:highlight w:val="none"/>
                <w:lang w:val="en-US" w:eastAsia="zh-CN"/>
              </w:rPr>
              <w:t>0</w:t>
            </w:r>
            <w:r>
              <w:rPr>
                <w:rFonts w:hint="default"/>
                <w:highlight w:val="none"/>
              </w:rPr>
              <w:t>2</w:t>
            </w:r>
            <w:bookmarkEnd w:id="148"/>
          </w:p>
        </w:tc>
        <w:tc>
          <w:tcPr>
            <w:tcW w:w="1155" w:type="dxa"/>
            <w:vAlign w:val="center"/>
          </w:tcPr>
          <w:p w14:paraId="36E5E8A4">
            <w:pPr>
              <w:pStyle w:val="58"/>
              <w:bidi w:val="0"/>
              <w:rPr>
                <w:rFonts w:hint="default"/>
                <w:highlight w:val="none"/>
                <w:lang w:val="en-US" w:eastAsia="zh-CN"/>
              </w:rPr>
            </w:pPr>
            <w:r>
              <w:rPr>
                <w:rFonts w:hint="default"/>
                <w:highlight w:val="none"/>
              </w:rPr>
              <w:t>外购</w:t>
            </w:r>
          </w:p>
        </w:tc>
        <w:tc>
          <w:tcPr>
            <w:tcW w:w="840" w:type="dxa"/>
            <w:vAlign w:val="center"/>
          </w:tcPr>
          <w:p w14:paraId="46BF92F0">
            <w:pPr>
              <w:pStyle w:val="58"/>
              <w:bidi w:val="0"/>
              <w:rPr>
                <w:rFonts w:hint="default"/>
                <w:highlight w:val="none"/>
                <w:lang w:val="en-US" w:eastAsia="zh-CN"/>
              </w:rPr>
            </w:pPr>
            <w:r>
              <w:rPr>
                <w:rFonts w:hint="default"/>
                <w:highlight w:val="none"/>
              </w:rPr>
              <w:t>0.00</w:t>
            </w:r>
            <w:r>
              <w:rPr>
                <w:rFonts w:hint="default"/>
                <w:highlight w:val="none"/>
                <w:lang w:val="en-US" w:eastAsia="zh-CN"/>
              </w:rPr>
              <w:t>1</w:t>
            </w:r>
          </w:p>
        </w:tc>
        <w:tc>
          <w:tcPr>
            <w:tcW w:w="2821" w:type="dxa"/>
            <w:vAlign w:val="center"/>
          </w:tcPr>
          <w:p w14:paraId="0387F9AC">
            <w:pPr>
              <w:pStyle w:val="58"/>
              <w:bidi w:val="0"/>
              <w:rPr>
                <w:rFonts w:hint="default"/>
                <w:highlight w:val="none"/>
                <w:lang w:val="en-US" w:eastAsia="zh-CN"/>
              </w:rPr>
            </w:pPr>
            <w:r>
              <w:rPr>
                <w:rFonts w:hint="default"/>
                <w:highlight w:val="none"/>
              </w:rPr>
              <w:t>500mL/瓶，分析纯</w:t>
            </w:r>
          </w:p>
        </w:tc>
      </w:tr>
      <w:tr w14:paraId="7F3EC6F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3" w:hRule="atLeast"/>
        </w:trPr>
        <w:tc>
          <w:tcPr>
            <w:tcW w:w="873" w:type="dxa"/>
            <w:vMerge w:val="continue"/>
            <w:vAlign w:val="center"/>
          </w:tcPr>
          <w:p w14:paraId="6163AE86">
            <w:pPr>
              <w:pStyle w:val="58"/>
              <w:bidi w:val="0"/>
              <w:rPr>
                <w:rFonts w:hint="default"/>
                <w:highlight w:val="none"/>
              </w:rPr>
            </w:pPr>
          </w:p>
        </w:tc>
        <w:tc>
          <w:tcPr>
            <w:tcW w:w="1500" w:type="dxa"/>
            <w:vAlign w:val="center"/>
          </w:tcPr>
          <w:p w14:paraId="2432EA2F">
            <w:pPr>
              <w:pStyle w:val="58"/>
              <w:bidi w:val="0"/>
              <w:rPr>
                <w:rFonts w:hint="default"/>
                <w:highlight w:val="none"/>
                <w:lang w:val="en-US" w:eastAsia="zh-CN"/>
              </w:rPr>
            </w:pPr>
            <w:bookmarkStart w:id="149" w:name="OLE_LINK58"/>
            <w:r>
              <w:rPr>
                <w:rFonts w:hint="default"/>
                <w:highlight w:val="none"/>
              </w:rPr>
              <w:t>盐酸</w:t>
            </w:r>
            <w:bookmarkEnd w:id="149"/>
          </w:p>
        </w:tc>
        <w:tc>
          <w:tcPr>
            <w:tcW w:w="816" w:type="dxa"/>
            <w:vAlign w:val="center"/>
          </w:tcPr>
          <w:p w14:paraId="776A4A32">
            <w:pPr>
              <w:pStyle w:val="58"/>
              <w:bidi w:val="0"/>
              <w:rPr>
                <w:rFonts w:hint="default"/>
                <w:highlight w:val="none"/>
                <w:lang w:val="en-US" w:eastAsia="zh-CN"/>
              </w:rPr>
            </w:pPr>
            <w:r>
              <w:rPr>
                <w:rFonts w:hint="default"/>
                <w:highlight w:val="none"/>
              </w:rPr>
              <w:t>t/a</w:t>
            </w:r>
          </w:p>
        </w:tc>
        <w:tc>
          <w:tcPr>
            <w:tcW w:w="1003" w:type="dxa"/>
            <w:vAlign w:val="center"/>
          </w:tcPr>
          <w:p w14:paraId="7D4DFC4E">
            <w:pPr>
              <w:pStyle w:val="58"/>
              <w:bidi w:val="0"/>
              <w:rPr>
                <w:rFonts w:hint="default"/>
                <w:highlight w:val="none"/>
                <w:lang w:val="en-US" w:eastAsia="zh-CN"/>
              </w:rPr>
            </w:pPr>
            <w:bookmarkStart w:id="150" w:name="OLE_LINK62"/>
            <w:r>
              <w:rPr>
                <w:rFonts w:hint="default"/>
                <w:highlight w:val="none"/>
              </w:rPr>
              <w:t>0.0</w:t>
            </w:r>
            <w:r>
              <w:rPr>
                <w:rFonts w:hint="default"/>
                <w:highlight w:val="none"/>
                <w:lang w:val="en-US" w:eastAsia="zh-CN"/>
              </w:rPr>
              <w:t>0</w:t>
            </w:r>
            <w:r>
              <w:rPr>
                <w:rFonts w:hint="default"/>
                <w:highlight w:val="none"/>
              </w:rPr>
              <w:t>2</w:t>
            </w:r>
            <w:bookmarkEnd w:id="150"/>
          </w:p>
        </w:tc>
        <w:tc>
          <w:tcPr>
            <w:tcW w:w="1155" w:type="dxa"/>
            <w:vAlign w:val="center"/>
          </w:tcPr>
          <w:p w14:paraId="6E0D31B0">
            <w:pPr>
              <w:pStyle w:val="58"/>
              <w:bidi w:val="0"/>
              <w:rPr>
                <w:rFonts w:hint="default"/>
                <w:highlight w:val="none"/>
                <w:lang w:val="en-US" w:eastAsia="zh-CN"/>
              </w:rPr>
            </w:pPr>
            <w:r>
              <w:rPr>
                <w:rFonts w:hint="default"/>
                <w:highlight w:val="none"/>
              </w:rPr>
              <w:t>外购</w:t>
            </w:r>
          </w:p>
        </w:tc>
        <w:tc>
          <w:tcPr>
            <w:tcW w:w="840" w:type="dxa"/>
            <w:vAlign w:val="center"/>
          </w:tcPr>
          <w:p w14:paraId="7389201D">
            <w:pPr>
              <w:pStyle w:val="58"/>
              <w:bidi w:val="0"/>
              <w:rPr>
                <w:rFonts w:hint="default"/>
                <w:highlight w:val="none"/>
                <w:lang w:val="en-US" w:eastAsia="zh-CN"/>
              </w:rPr>
            </w:pPr>
            <w:r>
              <w:rPr>
                <w:rFonts w:hint="default"/>
                <w:highlight w:val="none"/>
              </w:rPr>
              <w:t>0.00</w:t>
            </w:r>
            <w:r>
              <w:rPr>
                <w:rFonts w:hint="default"/>
                <w:highlight w:val="none"/>
                <w:lang w:val="en-US" w:eastAsia="zh-CN"/>
              </w:rPr>
              <w:t>1</w:t>
            </w:r>
          </w:p>
        </w:tc>
        <w:tc>
          <w:tcPr>
            <w:tcW w:w="2821" w:type="dxa"/>
            <w:vAlign w:val="center"/>
          </w:tcPr>
          <w:p w14:paraId="3FA5633A">
            <w:pPr>
              <w:pStyle w:val="58"/>
              <w:bidi w:val="0"/>
              <w:rPr>
                <w:rFonts w:hint="default"/>
                <w:highlight w:val="none"/>
                <w:lang w:val="en-US" w:eastAsia="zh-CN"/>
              </w:rPr>
            </w:pPr>
            <w:r>
              <w:rPr>
                <w:rFonts w:hint="default"/>
                <w:highlight w:val="none"/>
              </w:rPr>
              <w:t>500mL/瓶，分析纯</w:t>
            </w:r>
          </w:p>
        </w:tc>
      </w:tr>
      <w:tr w14:paraId="37CDCD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4" w:hRule="atLeast"/>
        </w:trPr>
        <w:tc>
          <w:tcPr>
            <w:tcW w:w="873" w:type="dxa"/>
            <w:vMerge w:val="continue"/>
            <w:vAlign w:val="center"/>
          </w:tcPr>
          <w:p w14:paraId="1E59E99C">
            <w:pPr>
              <w:pStyle w:val="58"/>
              <w:bidi w:val="0"/>
              <w:rPr>
                <w:rFonts w:hint="default"/>
                <w:highlight w:val="none"/>
              </w:rPr>
            </w:pPr>
          </w:p>
        </w:tc>
        <w:tc>
          <w:tcPr>
            <w:tcW w:w="1500" w:type="dxa"/>
            <w:vAlign w:val="center"/>
          </w:tcPr>
          <w:p w14:paraId="1543046B">
            <w:pPr>
              <w:pStyle w:val="58"/>
              <w:bidi w:val="0"/>
              <w:rPr>
                <w:rFonts w:hint="default"/>
                <w:highlight w:val="none"/>
                <w:lang w:val="en-US" w:eastAsia="zh-CN"/>
              </w:rPr>
            </w:pPr>
            <w:bookmarkStart w:id="151" w:name="OLE_LINK59"/>
            <w:r>
              <w:rPr>
                <w:rFonts w:hint="default"/>
                <w:highlight w:val="none"/>
              </w:rPr>
              <w:t>氢氧化钠</w:t>
            </w:r>
            <w:bookmarkEnd w:id="151"/>
          </w:p>
        </w:tc>
        <w:tc>
          <w:tcPr>
            <w:tcW w:w="816" w:type="dxa"/>
            <w:vAlign w:val="center"/>
          </w:tcPr>
          <w:p w14:paraId="7433C1B6">
            <w:pPr>
              <w:pStyle w:val="58"/>
              <w:bidi w:val="0"/>
              <w:rPr>
                <w:rFonts w:hint="default"/>
                <w:highlight w:val="none"/>
                <w:lang w:val="en-US" w:eastAsia="zh-CN"/>
              </w:rPr>
            </w:pPr>
            <w:r>
              <w:rPr>
                <w:rFonts w:hint="default"/>
                <w:highlight w:val="none"/>
              </w:rPr>
              <w:t>t/a</w:t>
            </w:r>
          </w:p>
        </w:tc>
        <w:tc>
          <w:tcPr>
            <w:tcW w:w="1003" w:type="dxa"/>
            <w:vAlign w:val="center"/>
          </w:tcPr>
          <w:p w14:paraId="405C898F">
            <w:pPr>
              <w:pStyle w:val="58"/>
              <w:bidi w:val="0"/>
              <w:rPr>
                <w:rFonts w:hint="default"/>
                <w:highlight w:val="none"/>
                <w:lang w:val="en-US" w:eastAsia="zh-CN"/>
              </w:rPr>
            </w:pPr>
            <w:bookmarkStart w:id="152" w:name="OLE_LINK63"/>
            <w:r>
              <w:rPr>
                <w:rFonts w:hint="default"/>
                <w:highlight w:val="none"/>
              </w:rPr>
              <w:t>0.0</w:t>
            </w:r>
            <w:r>
              <w:rPr>
                <w:rFonts w:hint="default"/>
                <w:highlight w:val="none"/>
                <w:lang w:val="en-US" w:eastAsia="zh-CN"/>
              </w:rPr>
              <w:t>0</w:t>
            </w:r>
            <w:r>
              <w:rPr>
                <w:rFonts w:hint="default"/>
                <w:highlight w:val="none"/>
              </w:rPr>
              <w:t>5</w:t>
            </w:r>
            <w:bookmarkEnd w:id="152"/>
          </w:p>
        </w:tc>
        <w:tc>
          <w:tcPr>
            <w:tcW w:w="1155" w:type="dxa"/>
            <w:vAlign w:val="center"/>
          </w:tcPr>
          <w:p w14:paraId="6B27416D">
            <w:pPr>
              <w:pStyle w:val="58"/>
              <w:bidi w:val="0"/>
              <w:rPr>
                <w:rFonts w:hint="default"/>
                <w:highlight w:val="none"/>
                <w:lang w:val="en-US" w:eastAsia="zh-CN"/>
              </w:rPr>
            </w:pPr>
            <w:r>
              <w:rPr>
                <w:rFonts w:hint="default"/>
                <w:highlight w:val="none"/>
              </w:rPr>
              <w:t>外购</w:t>
            </w:r>
          </w:p>
        </w:tc>
        <w:tc>
          <w:tcPr>
            <w:tcW w:w="840" w:type="dxa"/>
            <w:vAlign w:val="center"/>
          </w:tcPr>
          <w:p w14:paraId="0396BD70">
            <w:pPr>
              <w:pStyle w:val="58"/>
              <w:bidi w:val="0"/>
              <w:rPr>
                <w:rFonts w:hint="default"/>
                <w:highlight w:val="none"/>
                <w:lang w:val="en-US" w:eastAsia="zh-CN"/>
              </w:rPr>
            </w:pPr>
            <w:r>
              <w:rPr>
                <w:rFonts w:hint="default"/>
                <w:highlight w:val="none"/>
              </w:rPr>
              <w:t>0.00</w:t>
            </w:r>
            <w:r>
              <w:rPr>
                <w:rFonts w:hint="default"/>
                <w:highlight w:val="none"/>
                <w:lang w:val="en-US" w:eastAsia="zh-CN"/>
              </w:rPr>
              <w:t>1</w:t>
            </w:r>
          </w:p>
        </w:tc>
        <w:tc>
          <w:tcPr>
            <w:tcW w:w="2821" w:type="dxa"/>
            <w:vAlign w:val="center"/>
          </w:tcPr>
          <w:p w14:paraId="71162324">
            <w:pPr>
              <w:pStyle w:val="58"/>
              <w:bidi w:val="0"/>
              <w:rPr>
                <w:rFonts w:hint="default"/>
                <w:highlight w:val="none"/>
                <w:lang w:val="en-US" w:eastAsia="zh-CN"/>
              </w:rPr>
            </w:pPr>
            <w:r>
              <w:rPr>
                <w:rFonts w:hint="default"/>
                <w:highlight w:val="none"/>
              </w:rPr>
              <w:t>500mL/瓶，分析纯</w:t>
            </w:r>
          </w:p>
        </w:tc>
      </w:tr>
      <w:tr w14:paraId="71EDFE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3" w:hRule="atLeast"/>
        </w:trPr>
        <w:tc>
          <w:tcPr>
            <w:tcW w:w="873" w:type="dxa"/>
            <w:vMerge w:val="restart"/>
            <w:vAlign w:val="center"/>
          </w:tcPr>
          <w:p w14:paraId="40310E15">
            <w:pPr>
              <w:pStyle w:val="58"/>
              <w:bidi w:val="0"/>
              <w:rPr>
                <w:rFonts w:hint="default"/>
                <w:highlight w:val="none"/>
              </w:rPr>
            </w:pPr>
            <w:r>
              <w:rPr>
                <w:rFonts w:hint="default"/>
                <w:highlight w:val="none"/>
              </w:rPr>
              <w:t>管道工程</w:t>
            </w:r>
          </w:p>
        </w:tc>
        <w:tc>
          <w:tcPr>
            <w:tcW w:w="1500" w:type="dxa"/>
            <w:vAlign w:val="center"/>
          </w:tcPr>
          <w:p w14:paraId="26213F6F">
            <w:pPr>
              <w:pStyle w:val="58"/>
              <w:bidi w:val="0"/>
              <w:rPr>
                <w:rFonts w:hint="default" w:eastAsia="宋体"/>
                <w:highlight w:val="none"/>
                <w:lang w:val="en-US" w:eastAsia="zh-CN"/>
              </w:rPr>
            </w:pPr>
            <w:r>
              <w:rPr>
                <w:rFonts w:hint="eastAsia"/>
                <w:highlight w:val="none"/>
                <w:lang w:val="en-US" w:eastAsia="zh-CN"/>
              </w:rPr>
              <w:t>UPVC</w:t>
            </w:r>
          </w:p>
        </w:tc>
        <w:tc>
          <w:tcPr>
            <w:tcW w:w="816" w:type="dxa"/>
            <w:vAlign w:val="center"/>
          </w:tcPr>
          <w:p w14:paraId="67D0345D">
            <w:pPr>
              <w:pStyle w:val="58"/>
              <w:bidi w:val="0"/>
              <w:rPr>
                <w:rFonts w:hint="default"/>
                <w:highlight w:val="none"/>
              </w:rPr>
            </w:pPr>
            <w:r>
              <w:rPr>
                <w:rFonts w:hint="default"/>
                <w:highlight w:val="none"/>
              </w:rPr>
              <w:t>m</w:t>
            </w:r>
          </w:p>
        </w:tc>
        <w:tc>
          <w:tcPr>
            <w:tcW w:w="1003" w:type="dxa"/>
            <w:vAlign w:val="center"/>
          </w:tcPr>
          <w:p w14:paraId="2B842646">
            <w:pPr>
              <w:pStyle w:val="58"/>
              <w:bidi w:val="0"/>
              <w:rPr>
                <w:rFonts w:hint="default" w:eastAsia="宋体"/>
                <w:highlight w:val="none"/>
                <w:lang w:val="en-US" w:eastAsia="zh-CN"/>
              </w:rPr>
            </w:pPr>
            <w:r>
              <w:rPr>
                <w:rFonts w:hint="eastAsia"/>
                <w:highlight w:val="none"/>
                <w:lang w:val="en-US" w:eastAsia="zh-CN"/>
              </w:rPr>
              <w:t>222</w:t>
            </w:r>
          </w:p>
        </w:tc>
        <w:tc>
          <w:tcPr>
            <w:tcW w:w="1155" w:type="dxa"/>
            <w:vAlign w:val="center"/>
          </w:tcPr>
          <w:p w14:paraId="6103E084">
            <w:pPr>
              <w:pStyle w:val="58"/>
              <w:bidi w:val="0"/>
              <w:rPr>
                <w:rFonts w:hint="default"/>
                <w:highlight w:val="none"/>
              </w:rPr>
            </w:pPr>
            <w:r>
              <w:rPr>
                <w:rFonts w:hint="default"/>
                <w:highlight w:val="none"/>
              </w:rPr>
              <w:t>外购</w:t>
            </w:r>
          </w:p>
        </w:tc>
        <w:tc>
          <w:tcPr>
            <w:tcW w:w="840" w:type="dxa"/>
            <w:vAlign w:val="center"/>
          </w:tcPr>
          <w:p w14:paraId="2A0AC8BB">
            <w:pPr>
              <w:pStyle w:val="58"/>
              <w:bidi w:val="0"/>
              <w:rPr>
                <w:rFonts w:hint="default"/>
                <w:highlight w:val="none"/>
              </w:rPr>
            </w:pPr>
            <w:r>
              <w:rPr>
                <w:rFonts w:hint="default"/>
                <w:highlight w:val="none"/>
              </w:rPr>
              <w:t>--</w:t>
            </w:r>
          </w:p>
        </w:tc>
        <w:tc>
          <w:tcPr>
            <w:tcW w:w="2821" w:type="dxa"/>
            <w:vAlign w:val="center"/>
          </w:tcPr>
          <w:p w14:paraId="2ED5F404">
            <w:pPr>
              <w:pStyle w:val="58"/>
              <w:bidi w:val="0"/>
              <w:rPr>
                <w:rFonts w:hint="default" w:eastAsia="宋体"/>
                <w:highlight w:val="none"/>
                <w:lang w:val="en-US" w:eastAsia="zh-CN"/>
              </w:rPr>
            </w:pPr>
            <w:r>
              <w:rPr>
                <w:rFonts w:hint="default"/>
                <w:highlight w:val="none"/>
              </w:rPr>
              <w:t>施工材料</w:t>
            </w:r>
          </w:p>
        </w:tc>
      </w:tr>
      <w:tr w14:paraId="4C3954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3" w:hRule="atLeast"/>
        </w:trPr>
        <w:tc>
          <w:tcPr>
            <w:tcW w:w="873" w:type="dxa"/>
            <w:vMerge w:val="continue"/>
            <w:vAlign w:val="center"/>
          </w:tcPr>
          <w:p w14:paraId="0F80F96F">
            <w:pPr>
              <w:pStyle w:val="58"/>
              <w:bidi w:val="0"/>
              <w:rPr>
                <w:rFonts w:hint="default"/>
                <w:highlight w:val="none"/>
              </w:rPr>
            </w:pPr>
          </w:p>
        </w:tc>
        <w:tc>
          <w:tcPr>
            <w:tcW w:w="1500" w:type="dxa"/>
            <w:vAlign w:val="center"/>
          </w:tcPr>
          <w:p w14:paraId="3A6FAF6B">
            <w:pPr>
              <w:pStyle w:val="58"/>
              <w:bidi w:val="0"/>
              <w:rPr>
                <w:rFonts w:hint="default" w:eastAsia="宋体"/>
                <w:highlight w:val="none"/>
                <w:lang w:val="en-US" w:eastAsia="zh-CN"/>
              </w:rPr>
            </w:pPr>
            <w:r>
              <w:rPr>
                <w:rFonts w:hint="eastAsia"/>
                <w:highlight w:val="none"/>
                <w:lang w:val="en-US" w:eastAsia="zh-CN"/>
              </w:rPr>
              <w:t>钢管（Q2358）</w:t>
            </w:r>
          </w:p>
        </w:tc>
        <w:tc>
          <w:tcPr>
            <w:tcW w:w="816" w:type="dxa"/>
            <w:vAlign w:val="center"/>
          </w:tcPr>
          <w:p w14:paraId="6683BB9B">
            <w:pPr>
              <w:pStyle w:val="58"/>
              <w:bidi w:val="0"/>
              <w:rPr>
                <w:rFonts w:hint="eastAsia" w:eastAsia="宋体"/>
                <w:highlight w:val="none"/>
                <w:lang w:val="en-US" w:eastAsia="zh-CN"/>
              </w:rPr>
            </w:pPr>
            <w:r>
              <w:rPr>
                <w:rFonts w:hint="eastAsia"/>
                <w:highlight w:val="none"/>
                <w:lang w:val="en-US" w:eastAsia="zh-CN"/>
              </w:rPr>
              <w:t>m</w:t>
            </w:r>
          </w:p>
        </w:tc>
        <w:tc>
          <w:tcPr>
            <w:tcW w:w="1003" w:type="dxa"/>
            <w:vAlign w:val="center"/>
          </w:tcPr>
          <w:p w14:paraId="22FADA2B">
            <w:pPr>
              <w:pStyle w:val="58"/>
              <w:bidi w:val="0"/>
              <w:rPr>
                <w:rFonts w:hint="default" w:eastAsia="宋体"/>
                <w:highlight w:val="none"/>
                <w:lang w:val="en-US" w:eastAsia="zh-CN"/>
              </w:rPr>
            </w:pPr>
            <w:r>
              <w:rPr>
                <w:rFonts w:hint="eastAsia"/>
                <w:highlight w:val="none"/>
                <w:lang w:val="en-US" w:eastAsia="zh-CN"/>
              </w:rPr>
              <w:t>101</w:t>
            </w:r>
          </w:p>
        </w:tc>
        <w:tc>
          <w:tcPr>
            <w:tcW w:w="1155" w:type="dxa"/>
            <w:vAlign w:val="center"/>
          </w:tcPr>
          <w:p w14:paraId="27DEA5F7">
            <w:pPr>
              <w:pStyle w:val="58"/>
              <w:bidi w:val="0"/>
              <w:rPr>
                <w:rFonts w:hint="default" w:eastAsia="宋体"/>
                <w:highlight w:val="none"/>
                <w:lang w:val="en-US" w:eastAsia="zh-CN"/>
              </w:rPr>
            </w:pPr>
            <w:r>
              <w:rPr>
                <w:rFonts w:hint="eastAsia"/>
                <w:highlight w:val="none"/>
                <w:lang w:val="en-US" w:eastAsia="zh-CN"/>
              </w:rPr>
              <w:t>外购</w:t>
            </w:r>
          </w:p>
        </w:tc>
        <w:tc>
          <w:tcPr>
            <w:tcW w:w="840" w:type="dxa"/>
            <w:vAlign w:val="center"/>
          </w:tcPr>
          <w:p w14:paraId="0051AA2E">
            <w:pPr>
              <w:pStyle w:val="58"/>
              <w:bidi w:val="0"/>
              <w:rPr>
                <w:rFonts w:hint="default"/>
                <w:highlight w:val="none"/>
              </w:rPr>
            </w:pPr>
            <w:r>
              <w:rPr>
                <w:rFonts w:hint="default"/>
                <w:highlight w:val="none"/>
              </w:rPr>
              <w:t>--</w:t>
            </w:r>
          </w:p>
        </w:tc>
        <w:tc>
          <w:tcPr>
            <w:tcW w:w="2821" w:type="dxa"/>
            <w:vAlign w:val="center"/>
          </w:tcPr>
          <w:p w14:paraId="2A6BDA7B">
            <w:pPr>
              <w:pStyle w:val="58"/>
              <w:bidi w:val="0"/>
              <w:rPr>
                <w:rFonts w:hint="default"/>
                <w:highlight w:val="none"/>
              </w:rPr>
            </w:pPr>
            <w:r>
              <w:rPr>
                <w:rFonts w:hint="default"/>
                <w:highlight w:val="none"/>
              </w:rPr>
              <w:t>施工材料</w:t>
            </w:r>
          </w:p>
        </w:tc>
      </w:tr>
      <w:tr w14:paraId="47E825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3" w:hRule="atLeast"/>
        </w:trPr>
        <w:tc>
          <w:tcPr>
            <w:tcW w:w="873" w:type="dxa"/>
            <w:vMerge w:val="continue"/>
            <w:vAlign w:val="center"/>
          </w:tcPr>
          <w:p w14:paraId="6E8823B5">
            <w:pPr>
              <w:pStyle w:val="58"/>
              <w:bidi w:val="0"/>
              <w:rPr>
                <w:rFonts w:hint="default"/>
                <w:highlight w:val="none"/>
              </w:rPr>
            </w:pPr>
          </w:p>
        </w:tc>
        <w:tc>
          <w:tcPr>
            <w:tcW w:w="1500" w:type="dxa"/>
            <w:vAlign w:val="center"/>
          </w:tcPr>
          <w:p w14:paraId="1450DFD5">
            <w:pPr>
              <w:pStyle w:val="58"/>
              <w:bidi w:val="0"/>
              <w:rPr>
                <w:rFonts w:hint="eastAsia" w:eastAsia="宋体"/>
                <w:highlight w:val="none"/>
                <w:lang w:val="en-US" w:eastAsia="zh-CN"/>
              </w:rPr>
            </w:pPr>
            <w:r>
              <w:rPr>
                <w:rFonts w:hint="eastAsia"/>
                <w:highlight w:val="none"/>
                <w:lang w:val="en-US" w:eastAsia="zh-CN"/>
              </w:rPr>
              <w:t>钢筋混凝土</w:t>
            </w:r>
            <w:r>
              <w:rPr>
                <w:rFonts w:hint="default"/>
                <w:highlight w:val="none"/>
              </w:rPr>
              <w:t>管</w:t>
            </w:r>
            <w:r>
              <w:rPr>
                <w:rFonts w:hint="eastAsia"/>
                <w:highlight w:val="none"/>
                <w:lang w:val="en-US" w:eastAsia="zh-CN"/>
              </w:rPr>
              <w:t>道</w:t>
            </w:r>
          </w:p>
        </w:tc>
        <w:tc>
          <w:tcPr>
            <w:tcW w:w="816" w:type="dxa"/>
            <w:vAlign w:val="center"/>
          </w:tcPr>
          <w:p w14:paraId="3773FB77">
            <w:pPr>
              <w:pStyle w:val="58"/>
              <w:bidi w:val="0"/>
              <w:rPr>
                <w:rFonts w:hint="default"/>
                <w:highlight w:val="none"/>
              </w:rPr>
            </w:pPr>
            <w:r>
              <w:rPr>
                <w:rFonts w:hint="default"/>
                <w:highlight w:val="none"/>
              </w:rPr>
              <w:t>m</w:t>
            </w:r>
          </w:p>
        </w:tc>
        <w:tc>
          <w:tcPr>
            <w:tcW w:w="1003" w:type="dxa"/>
            <w:vAlign w:val="center"/>
          </w:tcPr>
          <w:p w14:paraId="17E0E9C5">
            <w:pPr>
              <w:pStyle w:val="58"/>
              <w:bidi w:val="0"/>
              <w:rPr>
                <w:rFonts w:hint="default" w:eastAsia="宋体"/>
                <w:highlight w:val="none"/>
                <w:lang w:val="en-US" w:eastAsia="zh-CN"/>
              </w:rPr>
            </w:pPr>
            <w:r>
              <w:rPr>
                <w:rFonts w:hint="eastAsia"/>
                <w:highlight w:val="none"/>
                <w:lang w:val="en-US" w:eastAsia="zh-CN"/>
              </w:rPr>
              <w:t>51</w:t>
            </w:r>
          </w:p>
        </w:tc>
        <w:tc>
          <w:tcPr>
            <w:tcW w:w="1155" w:type="dxa"/>
            <w:vAlign w:val="center"/>
          </w:tcPr>
          <w:p w14:paraId="3888F1EC">
            <w:pPr>
              <w:pStyle w:val="58"/>
              <w:bidi w:val="0"/>
              <w:rPr>
                <w:rFonts w:hint="default"/>
                <w:highlight w:val="none"/>
              </w:rPr>
            </w:pPr>
            <w:r>
              <w:rPr>
                <w:rFonts w:hint="default"/>
                <w:highlight w:val="none"/>
              </w:rPr>
              <w:t>外购</w:t>
            </w:r>
          </w:p>
        </w:tc>
        <w:tc>
          <w:tcPr>
            <w:tcW w:w="840" w:type="dxa"/>
            <w:vAlign w:val="center"/>
          </w:tcPr>
          <w:p w14:paraId="4531B870">
            <w:pPr>
              <w:pStyle w:val="58"/>
              <w:bidi w:val="0"/>
              <w:rPr>
                <w:rFonts w:hint="default"/>
                <w:highlight w:val="none"/>
              </w:rPr>
            </w:pPr>
            <w:r>
              <w:rPr>
                <w:rFonts w:hint="default"/>
                <w:highlight w:val="none"/>
              </w:rPr>
              <w:t>--</w:t>
            </w:r>
          </w:p>
        </w:tc>
        <w:tc>
          <w:tcPr>
            <w:tcW w:w="2821" w:type="dxa"/>
            <w:vAlign w:val="center"/>
          </w:tcPr>
          <w:p w14:paraId="55E51697">
            <w:pPr>
              <w:pStyle w:val="58"/>
              <w:bidi w:val="0"/>
              <w:rPr>
                <w:rFonts w:hint="default"/>
                <w:highlight w:val="none"/>
              </w:rPr>
            </w:pPr>
            <w:r>
              <w:rPr>
                <w:rFonts w:hint="default"/>
                <w:highlight w:val="none"/>
              </w:rPr>
              <w:t>施工材料</w:t>
            </w:r>
          </w:p>
        </w:tc>
      </w:tr>
      <w:tr w14:paraId="5015B6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01" w:hRule="atLeast"/>
        </w:trPr>
        <w:tc>
          <w:tcPr>
            <w:tcW w:w="873" w:type="dxa"/>
            <w:vMerge w:val="restart"/>
            <w:vAlign w:val="center"/>
          </w:tcPr>
          <w:p w14:paraId="549C6A45">
            <w:pPr>
              <w:pStyle w:val="58"/>
              <w:bidi w:val="0"/>
              <w:rPr>
                <w:rFonts w:hint="default"/>
                <w:highlight w:val="none"/>
              </w:rPr>
            </w:pPr>
            <w:r>
              <w:rPr>
                <w:rFonts w:hint="default"/>
                <w:highlight w:val="none"/>
              </w:rPr>
              <w:t>能耗</w:t>
            </w:r>
          </w:p>
        </w:tc>
        <w:tc>
          <w:tcPr>
            <w:tcW w:w="1500" w:type="dxa"/>
            <w:vAlign w:val="center"/>
          </w:tcPr>
          <w:p w14:paraId="41835ECD">
            <w:pPr>
              <w:pStyle w:val="58"/>
              <w:bidi w:val="0"/>
              <w:rPr>
                <w:rFonts w:hint="default"/>
                <w:highlight w:val="none"/>
              </w:rPr>
            </w:pPr>
            <w:r>
              <w:rPr>
                <w:rFonts w:hint="default"/>
                <w:highlight w:val="none"/>
              </w:rPr>
              <w:t>新水</w:t>
            </w:r>
          </w:p>
        </w:tc>
        <w:tc>
          <w:tcPr>
            <w:tcW w:w="816" w:type="dxa"/>
            <w:vAlign w:val="center"/>
          </w:tcPr>
          <w:p w14:paraId="4274D31E">
            <w:pPr>
              <w:pStyle w:val="58"/>
              <w:bidi w:val="0"/>
              <w:rPr>
                <w:rFonts w:hint="default"/>
                <w:highlight w:val="none"/>
              </w:rPr>
            </w:pPr>
            <w:r>
              <w:rPr>
                <w:rFonts w:hint="default"/>
                <w:highlight w:val="none"/>
              </w:rPr>
              <w:t>m³/a</w:t>
            </w:r>
          </w:p>
        </w:tc>
        <w:tc>
          <w:tcPr>
            <w:tcW w:w="1003" w:type="dxa"/>
            <w:vAlign w:val="center"/>
          </w:tcPr>
          <w:p w14:paraId="36B0100B">
            <w:pPr>
              <w:pStyle w:val="58"/>
              <w:bidi w:val="0"/>
              <w:rPr>
                <w:rFonts w:hint="default"/>
                <w:highlight w:val="none"/>
                <w:lang w:val="en-US"/>
              </w:rPr>
            </w:pPr>
            <w:r>
              <w:rPr>
                <w:rFonts w:hint="eastAsia"/>
                <w:highlight w:val="none"/>
                <w:lang w:val="en-US" w:eastAsia="zh-CN"/>
              </w:rPr>
              <w:t>146</w:t>
            </w:r>
          </w:p>
        </w:tc>
        <w:tc>
          <w:tcPr>
            <w:tcW w:w="1155" w:type="dxa"/>
            <w:vAlign w:val="center"/>
          </w:tcPr>
          <w:p w14:paraId="5728E44C">
            <w:pPr>
              <w:pStyle w:val="58"/>
              <w:bidi w:val="0"/>
              <w:rPr>
                <w:rFonts w:hint="default"/>
                <w:highlight w:val="none"/>
              </w:rPr>
            </w:pPr>
            <w:r>
              <w:rPr>
                <w:rFonts w:hint="eastAsia"/>
                <w:highlight w:val="none"/>
                <w:lang w:val="en-US" w:eastAsia="zh-CN"/>
              </w:rPr>
              <w:t>园区</w:t>
            </w:r>
            <w:r>
              <w:rPr>
                <w:rFonts w:hint="default"/>
                <w:highlight w:val="none"/>
              </w:rPr>
              <w:t>供水管网</w:t>
            </w:r>
          </w:p>
        </w:tc>
        <w:tc>
          <w:tcPr>
            <w:tcW w:w="840" w:type="dxa"/>
            <w:vAlign w:val="center"/>
          </w:tcPr>
          <w:p w14:paraId="6533F82B">
            <w:pPr>
              <w:pStyle w:val="58"/>
              <w:bidi w:val="0"/>
              <w:rPr>
                <w:rFonts w:hint="default"/>
                <w:highlight w:val="none"/>
              </w:rPr>
            </w:pPr>
            <w:r>
              <w:rPr>
                <w:rFonts w:hint="default"/>
                <w:highlight w:val="none"/>
              </w:rPr>
              <w:t>--</w:t>
            </w:r>
          </w:p>
        </w:tc>
        <w:tc>
          <w:tcPr>
            <w:tcW w:w="2821" w:type="dxa"/>
            <w:vAlign w:val="center"/>
          </w:tcPr>
          <w:p w14:paraId="3D033599">
            <w:pPr>
              <w:pStyle w:val="58"/>
              <w:bidi w:val="0"/>
              <w:rPr>
                <w:rFonts w:hint="default"/>
                <w:highlight w:val="none"/>
              </w:rPr>
            </w:pPr>
            <w:r>
              <w:rPr>
                <w:rFonts w:hint="default"/>
                <w:highlight w:val="none"/>
              </w:rPr>
              <w:t>--</w:t>
            </w:r>
          </w:p>
        </w:tc>
      </w:tr>
      <w:tr w14:paraId="4C12864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3" w:hRule="atLeast"/>
        </w:trPr>
        <w:tc>
          <w:tcPr>
            <w:tcW w:w="873" w:type="dxa"/>
            <w:vMerge w:val="continue"/>
            <w:vAlign w:val="center"/>
          </w:tcPr>
          <w:p w14:paraId="3F9FD38C">
            <w:pPr>
              <w:pStyle w:val="58"/>
              <w:bidi w:val="0"/>
              <w:rPr>
                <w:rFonts w:hint="default"/>
                <w:highlight w:val="none"/>
              </w:rPr>
            </w:pPr>
          </w:p>
        </w:tc>
        <w:tc>
          <w:tcPr>
            <w:tcW w:w="1500" w:type="dxa"/>
            <w:vAlign w:val="center"/>
          </w:tcPr>
          <w:p w14:paraId="093C1A77">
            <w:pPr>
              <w:pStyle w:val="58"/>
              <w:bidi w:val="0"/>
              <w:rPr>
                <w:rFonts w:hint="default"/>
                <w:highlight w:val="none"/>
              </w:rPr>
            </w:pPr>
            <w:r>
              <w:rPr>
                <w:rFonts w:hint="default"/>
                <w:highlight w:val="none"/>
              </w:rPr>
              <w:t>电</w:t>
            </w:r>
          </w:p>
        </w:tc>
        <w:tc>
          <w:tcPr>
            <w:tcW w:w="816" w:type="dxa"/>
            <w:vAlign w:val="center"/>
          </w:tcPr>
          <w:p w14:paraId="3A75BA0D">
            <w:pPr>
              <w:pStyle w:val="58"/>
              <w:bidi w:val="0"/>
              <w:rPr>
                <w:rFonts w:hint="default"/>
                <w:highlight w:val="none"/>
              </w:rPr>
            </w:pPr>
            <w:r>
              <w:rPr>
                <w:rFonts w:hint="default"/>
                <w:highlight w:val="none"/>
              </w:rPr>
              <w:t>万kWh/a</w:t>
            </w:r>
          </w:p>
        </w:tc>
        <w:tc>
          <w:tcPr>
            <w:tcW w:w="1003" w:type="dxa"/>
            <w:vAlign w:val="center"/>
          </w:tcPr>
          <w:p w14:paraId="1C0E152D">
            <w:pPr>
              <w:pStyle w:val="58"/>
              <w:bidi w:val="0"/>
              <w:rPr>
                <w:rFonts w:hint="default"/>
                <w:highlight w:val="none"/>
                <w:lang w:val="en-US"/>
              </w:rPr>
            </w:pPr>
            <w:r>
              <w:rPr>
                <w:rFonts w:hint="eastAsia"/>
                <w:highlight w:val="none"/>
                <w:lang w:val="en-US" w:eastAsia="zh-CN"/>
              </w:rPr>
              <w:t>54.2</w:t>
            </w:r>
          </w:p>
        </w:tc>
        <w:tc>
          <w:tcPr>
            <w:tcW w:w="1155" w:type="dxa"/>
            <w:vAlign w:val="center"/>
          </w:tcPr>
          <w:p w14:paraId="70814441">
            <w:pPr>
              <w:pStyle w:val="58"/>
              <w:bidi w:val="0"/>
              <w:rPr>
                <w:rFonts w:hint="default"/>
                <w:highlight w:val="none"/>
              </w:rPr>
            </w:pPr>
            <w:r>
              <w:rPr>
                <w:rFonts w:hint="default"/>
                <w:highlight w:val="none"/>
              </w:rPr>
              <w:t>当地电网</w:t>
            </w:r>
          </w:p>
        </w:tc>
        <w:tc>
          <w:tcPr>
            <w:tcW w:w="840" w:type="dxa"/>
            <w:vAlign w:val="center"/>
          </w:tcPr>
          <w:p w14:paraId="3B1644B9">
            <w:pPr>
              <w:pStyle w:val="58"/>
              <w:bidi w:val="0"/>
              <w:rPr>
                <w:rFonts w:hint="default"/>
                <w:highlight w:val="none"/>
              </w:rPr>
            </w:pPr>
            <w:r>
              <w:rPr>
                <w:rFonts w:hint="default"/>
                <w:highlight w:val="none"/>
              </w:rPr>
              <w:t>--</w:t>
            </w:r>
          </w:p>
        </w:tc>
        <w:tc>
          <w:tcPr>
            <w:tcW w:w="2821" w:type="dxa"/>
            <w:vAlign w:val="center"/>
          </w:tcPr>
          <w:p w14:paraId="49F8AAFD">
            <w:pPr>
              <w:pStyle w:val="58"/>
              <w:bidi w:val="0"/>
              <w:rPr>
                <w:rFonts w:hint="default"/>
                <w:highlight w:val="none"/>
              </w:rPr>
            </w:pPr>
          </w:p>
        </w:tc>
      </w:tr>
    </w:tbl>
    <w:p w14:paraId="600711E5">
      <w:pPr>
        <w:rPr>
          <w:rFonts w:hint="default"/>
          <w:highlight w:val="none"/>
          <w:lang w:val="en-US" w:eastAsia="zh-CN"/>
        </w:rPr>
      </w:pPr>
      <w:r>
        <w:rPr>
          <w:rFonts w:hint="eastAsia"/>
          <w:highlight w:val="none"/>
          <w:lang w:val="en-US" w:eastAsia="zh-CN"/>
        </w:rPr>
        <w:t>各原辅材料理化性质如下</w:t>
      </w:r>
      <w:r>
        <w:rPr>
          <w:rFonts w:hint="default"/>
          <w:highlight w:val="none"/>
          <w:lang w:val="en-US" w:eastAsia="zh-CN"/>
        </w:rPr>
        <w:t>：</w:t>
      </w:r>
    </w:p>
    <w:p w14:paraId="5422A3C5">
      <w:pPr>
        <w:rPr>
          <w:rFonts w:hint="default"/>
          <w:highlight w:val="none"/>
          <w:lang w:val="en-US" w:eastAsia="zh-CN"/>
        </w:rPr>
      </w:pPr>
      <w:r>
        <w:rPr>
          <w:rFonts w:hint="default"/>
          <w:highlight w:val="none"/>
          <w:lang w:val="en-US" w:eastAsia="zh-CN"/>
        </w:rPr>
        <w:t>⑴聚合氯化铝（PAC）</w:t>
      </w:r>
    </w:p>
    <w:p w14:paraId="3CF97AF7">
      <w:pPr>
        <w:rPr>
          <w:rFonts w:hint="default"/>
          <w:highlight w:val="none"/>
          <w:lang w:val="en-US" w:eastAsia="zh-CN"/>
        </w:rPr>
      </w:pPr>
      <w:r>
        <w:rPr>
          <w:rFonts w:hint="default"/>
          <w:highlight w:val="none"/>
          <w:lang w:val="en-US" w:eastAsia="zh-CN"/>
        </w:rPr>
        <w:t>是一种无机高分子混凝剂，简称为聚铝，英文缩写为PAC，是由氢氧化铝粉与高纯盐酸经喷雾干燥加工而成的一种白色或乳白色奶粉状精细粉末，裸露在空气中极易融化。颜色呈黄色或淡黄色、深褐色、深灰色树脂状固体。该产品有较强的架桥吸附性能，在水解过程中，伴随发生凝聚，吸附和沉淀等物理化学过程。</w:t>
      </w:r>
    </w:p>
    <w:p w14:paraId="0889251E">
      <w:pPr>
        <w:rPr>
          <w:rFonts w:hint="default"/>
          <w:highlight w:val="none"/>
          <w:lang w:val="en-US" w:eastAsia="zh-CN"/>
        </w:rPr>
      </w:pPr>
      <w:r>
        <w:rPr>
          <w:rFonts w:hint="default"/>
          <w:highlight w:val="none"/>
          <w:lang w:val="en-US" w:eastAsia="zh-CN"/>
        </w:rPr>
        <w:t>毒害性：无详细的毒理学研究，但本品有腐蚀性，如不慎溅到皮肤上要立即用大量清水冲洗。</w:t>
      </w:r>
    </w:p>
    <w:p w14:paraId="0F4427EE">
      <w:pPr>
        <w:rPr>
          <w:rFonts w:hint="default"/>
          <w:highlight w:val="none"/>
          <w:lang w:val="en-US" w:eastAsia="zh-CN"/>
        </w:rPr>
      </w:pPr>
      <w:r>
        <w:rPr>
          <w:rFonts w:hint="default"/>
          <w:highlight w:val="none"/>
          <w:lang w:val="en-US" w:eastAsia="zh-CN"/>
        </w:rPr>
        <w:t>危险特性：本品对皮肤、粘膜有刺激作用。吸入高浓度可引起支气管炎，个别人可引起支气管哮喘。误服量大时，可引起口腔糜烂、胃炎、胃出血和粘膜坏死。慢性影响：长期接触可引起头痛、头晕、食欲减退、咳嗽、鼻塞、胸痛等症状。</w:t>
      </w:r>
    </w:p>
    <w:p w14:paraId="1A260A0B">
      <w:pPr>
        <w:rPr>
          <w:rFonts w:hint="default"/>
          <w:highlight w:val="none"/>
          <w:lang w:val="en-US" w:eastAsia="zh-CN"/>
        </w:rPr>
      </w:pPr>
      <w:r>
        <w:rPr>
          <w:rFonts w:hint="default"/>
          <w:highlight w:val="none"/>
          <w:lang w:val="en-US" w:eastAsia="zh-CN"/>
        </w:rPr>
        <w:t>⑵聚丙烯酰胺（PAM）</w:t>
      </w:r>
    </w:p>
    <w:p w14:paraId="2DEFB5DE">
      <w:pPr>
        <w:rPr>
          <w:rFonts w:hint="default"/>
          <w:highlight w:val="none"/>
          <w:lang w:val="en-US" w:eastAsia="zh-CN"/>
        </w:rPr>
      </w:pPr>
      <w:r>
        <w:rPr>
          <w:rFonts w:hint="default"/>
          <w:highlight w:val="none"/>
          <w:lang w:val="en-US" w:eastAsia="zh-CN"/>
        </w:rPr>
        <w:t>白色粉末或半透明颗粒，为水溶性高分子聚合物，不溶于大多数有机溶剂，具有良好的絮凝性。无臭、中性、溶于水，温度超过120℃时易分解。几乎不溶于一般溶剂(苯、甲苯、乙醇、乙醚、丙酮、酯类等)，仅在乙二醇、甘油、冰醋酸、甲酰胺、乳酸、丙烯酸等溶剂中能溶解1%左右。</w:t>
      </w:r>
    </w:p>
    <w:p w14:paraId="552BD10E">
      <w:pPr>
        <w:rPr>
          <w:rFonts w:hint="default"/>
          <w:highlight w:val="none"/>
          <w:lang w:val="en-US" w:eastAsia="zh-CN"/>
        </w:rPr>
      </w:pPr>
      <w:r>
        <w:rPr>
          <w:rFonts w:hint="default"/>
          <w:highlight w:val="none"/>
          <w:lang w:val="en-US" w:eastAsia="zh-CN"/>
        </w:rPr>
        <w:t>澄清净化、沉降促进、过滤促进聚丙烯酰胺分子中具有阳性基因(－CONH2)，能于分散于溶液中的悬浮粒子吸附和架桥，有着极强的絮凝作用。</w:t>
      </w:r>
    </w:p>
    <w:p w14:paraId="242AE075">
      <w:pPr>
        <w:rPr>
          <w:rFonts w:hint="default"/>
          <w:highlight w:val="none"/>
          <w:lang w:val="en-US" w:eastAsia="zh-CN"/>
        </w:rPr>
      </w:pPr>
      <w:r>
        <w:rPr>
          <w:rFonts w:hint="default"/>
          <w:highlight w:val="none"/>
          <w:lang w:val="en-US" w:eastAsia="zh-CN"/>
        </w:rPr>
        <w:t>毒害性：丙烯酰胺本身基本无毒，在进入人体后，绝大部分在短期内排出体外，很少被消化道吸收。多数商品也不刺激皮肤，只有某些水解体可能有残余碱，当反复、长期接触时会有刺激性。</w:t>
      </w:r>
    </w:p>
    <w:p w14:paraId="42D3EFC8">
      <w:pPr>
        <w:rPr>
          <w:rFonts w:hint="default"/>
          <w:highlight w:val="none"/>
          <w:lang w:val="en-US" w:eastAsia="zh-CN"/>
        </w:rPr>
      </w:pPr>
      <w:r>
        <w:rPr>
          <w:rFonts w:hint="default"/>
          <w:highlight w:val="none"/>
          <w:lang w:val="en-US" w:eastAsia="zh-CN"/>
        </w:rPr>
        <w:t>危险特性：PAM中残留的丙烯酰胺单体有毒，食品应用时要严格控制。单体丙烯酰胺为神经性致毒剂，对神经系统有损伤作用，中毒后表现出肌体无力，运动失调等症状。</w:t>
      </w:r>
    </w:p>
    <w:p w14:paraId="59E7FF70">
      <w:pPr>
        <w:rPr>
          <w:rFonts w:hint="eastAsia"/>
          <w:highlight w:val="none"/>
          <w:lang w:val="en-US" w:eastAsia="zh-CN"/>
        </w:rPr>
      </w:pPr>
      <w:r>
        <w:rPr>
          <w:rFonts w:hint="eastAsia"/>
          <w:highlight w:val="none"/>
          <w:lang w:val="en-US" w:eastAsia="zh-CN"/>
        </w:rPr>
        <w:fldChar w:fldCharType="begin"/>
      </w:r>
      <w:r>
        <w:rPr>
          <w:rFonts w:hint="eastAsia"/>
          <w:highlight w:val="none"/>
          <w:lang w:val="en-US" w:eastAsia="zh-CN"/>
        </w:rPr>
        <w:instrText xml:space="preserve"> = 3 \* GB2 \* MERGEFORMAT </w:instrText>
      </w:r>
      <w:r>
        <w:rPr>
          <w:rFonts w:hint="eastAsia"/>
          <w:highlight w:val="none"/>
          <w:lang w:val="en-US" w:eastAsia="zh-CN"/>
        </w:rPr>
        <w:fldChar w:fldCharType="separate"/>
      </w:r>
      <w:r>
        <w:rPr>
          <w:highlight w:val="none"/>
        </w:rPr>
        <w:t>⑶</w:t>
      </w:r>
      <w:r>
        <w:rPr>
          <w:rFonts w:hint="eastAsia"/>
          <w:highlight w:val="none"/>
          <w:lang w:val="en-US" w:eastAsia="zh-CN"/>
        </w:rPr>
        <w:fldChar w:fldCharType="end"/>
      </w:r>
      <w:r>
        <w:rPr>
          <w:rFonts w:hint="eastAsia"/>
          <w:highlight w:val="none"/>
          <w:lang w:val="en-US" w:eastAsia="zh-CN"/>
        </w:rPr>
        <w:t>碳源</w:t>
      </w:r>
    </w:p>
    <w:p w14:paraId="4F8B9980">
      <w:pPr>
        <w:jc w:val="both"/>
        <w:rPr>
          <w:rFonts w:hint="default"/>
          <w:highlight w:val="none"/>
          <w:lang w:val="en-US" w:eastAsia="zh-CN"/>
        </w:rPr>
      </w:pPr>
      <w:r>
        <w:rPr>
          <w:rFonts w:hint="eastAsia"/>
          <w:highlight w:val="none"/>
          <w:lang w:val="en-US" w:eastAsia="zh-CN"/>
        </w:rPr>
        <w:t>乙酸钠，也称为醋酸钠，是一种源自醋酸的钠盐，无色无味的结晶体，在空气中可被风化，可燃。易溶于水，微溶于乙醇，不溶于乙醚。123℃时失去结晶水。但是通常湿法制取的有醋酸的味道。水中发生水解，显碱性。可以作为补充碳源，利用缓冲溶液将反硝化过程中pH值的上升幅度控制在0.5范围内。反硝化菌可过量吸附CH</w:t>
      </w:r>
      <w:r>
        <w:rPr>
          <w:rFonts w:hint="eastAsia"/>
          <w:highlight w:val="none"/>
          <w:vertAlign w:val="subscript"/>
          <w:lang w:val="en-US" w:eastAsia="zh-CN"/>
        </w:rPr>
        <w:t>3</w:t>
      </w:r>
      <w:r>
        <w:rPr>
          <w:rFonts w:hint="eastAsia"/>
          <w:highlight w:val="none"/>
          <w:lang w:val="en-US" w:eastAsia="zh-CN"/>
        </w:rPr>
        <w:t>COONa，因此在以CH</w:t>
      </w:r>
      <w:r>
        <w:rPr>
          <w:rFonts w:hint="eastAsia"/>
          <w:highlight w:val="none"/>
          <w:vertAlign w:val="subscript"/>
          <w:lang w:val="en-US" w:eastAsia="zh-CN"/>
        </w:rPr>
        <w:t>3</w:t>
      </w:r>
      <w:r>
        <w:rPr>
          <w:rFonts w:hint="eastAsia"/>
          <w:highlight w:val="none"/>
          <w:lang w:val="en-US" w:eastAsia="zh-CN"/>
        </w:rPr>
        <w:t>COONa为外加碳源进行反硝化时，可将出水COD值也能维持在较低水平。</w:t>
      </w:r>
    </w:p>
    <w:p w14:paraId="5273385E">
      <w:pPr>
        <w:rPr>
          <w:rFonts w:hint="default"/>
          <w:highlight w:val="none"/>
          <w:lang w:val="en-US" w:eastAsia="zh-CN"/>
        </w:rPr>
      </w:pPr>
      <w:r>
        <w:rPr>
          <w:rFonts w:hint="eastAsia" w:ascii="宋体" w:hAnsi="宋体" w:eastAsia="宋体" w:cs="宋体"/>
          <w:color w:val="000000"/>
          <w:kern w:val="0"/>
          <w:sz w:val="25"/>
          <w:szCs w:val="25"/>
          <w:highlight w:val="green"/>
          <w:lang w:val="en-US" w:eastAsia="zh-CN" w:bidi="ar"/>
        </w:rPr>
        <w:fldChar w:fldCharType="begin"/>
      </w:r>
      <w:r>
        <w:rPr>
          <w:rFonts w:hint="eastAsia" w:ascii="宋体" w:hAnsi="宋体" w:eastAsia="宋体" w:cs="宋体"/>
          <w:color w:val="000000"/>
          <w:kern w:val="0"/>
          <w:sz w:val="25"/>
          <w:szCs w:val="25"/>
          <w:highlight w:val="green"/>
          <w:lang w:val="en-US" w:eastAsia="zh-CN" w:bidi="ar"/>
        </w:rPr>
        <w:instrText xml:space="preserve"> = 4 \* GB2 \* MERGEFORMAT </w:instrText>
      </w:r>
      <w:r>
        <w:rPr>
          <w:rFonts w:hint="eastAsia" w:ascii="宋体" w:hAnsi="宋体" w:eastAsia="宋体" w:cs="宋体"/>
          <w:color w:val="000000"/>
          <w:kern w:val="0"/>
          <w:sz w:val="25"/>
          <w:szCs w:val="25"/>
          <w:highlight w:val="green"/>
          <w:lang w:val="en-US" w:eastAsia="zh-CN" w:bidi="ar"/>
        </w:rPr>
        <w:fldChar w:fldCharType="separate"/>
      </w:r>
      <w:r>
        <w:t>⑷</w:t>
      </w:r>
      <w:r>
        <w:rPr>
          <w:rFonts w:hint="eastAsia" w:ascii="宋体" w:hAnsi="宋体" w:eastAsia="宋体" w:cs="宋体"/>
          <w:color w:val="000000"/>
          <w:kern w:val="0"/>
          <w:sz w:val="25"/>
          <w:szCs w:val="25"/>
          <w:highlight w:val="green"/>
          <w:lang w:val="en-US" w:eastAsia="zh-CN" w:bidi="ar"/>
        </w:rPr>
        <w:fldChar w:fldCharType="end"/>
      </w:r>
      <w:r>
        <w:rPr>
          <w:rFonts w:hint="default"/>
          <w:highlight w:val="none"/>
          <w:lang w:val="en-US" w:eastAsia="zh-CN"/>
        </w:rPr>
        <w:t>次氯酸钠</w:t>
      </w:r>
    </w:p>
    <w:p w14:paraId="46FFFA59">
      <w:pPr>
        <w:rPr>
          <w:rFonts w:hint="default"/>
          <w:highlight w:val="none"/>
          <w:lang w:val="en-US" w:eastAsia="zh-CN"/>
        </w:rPr>
      </w:pPr>
      <w:r>
        <w:rPr>
          <w:rFonts w:hint="default"/>
          <w:highlight w:val="none"/>
          <w:lang w:val="en-US" w:eastAsia="zh-CN"/>
        </w:rPr>
        <w:t>化学式为NaClO，微黄色（溶液）或白色粉末（固体），有似氯气的气味，不燃，具腐蚀性，可致人体灼伤，具有致敏性，不稳定，见光分解。</w:t>
      </w:r>
    </w:p>
    <w:p w14:paraId="6069790A">
      <w:pPr>
        <w:spacing w:line="18" w:lineRule="exact"/>
        <w:rPr>
          <w:rFonts w:hint="default" w:ascii="Times New Roman" w:hAnsi="Times New Roman" w:eastAsia="宋体" w:cs="Times New Roman"/>
          <w:highlight w:val="none"/>
        </w:rPr>
      </w:pPr>
    </w:p>
    <w:p w14:paraId="440D0BB3">
      <w:pPr>
        <w:pStyle w:val="6"/>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3.2.4设备清单</w:t>
      </w:r>
    </w:p>
    <w:p w14:paraId="2F332D4B">
      <w:pPr>
        <w:rPr>
          <w:rFonts w:hint="default"/>
          <w:highlight w:val="none"/>
          <w:lang w:val="en-US" w:eastAsia="zh-CN"/>
        </w:rPr>
      </w:pPr>
      <w:r>
        <w:rPr>
          <w:rFonts w:hint="default"/>
          <w:highlight w:val="none"/>
          <w:lang w:val="en-US" w:eastAsia="zh-CN"/>
        </w:rPr>
        <w:t>项目主要设备清单见表3.2-</w:t>
      </w:r>
      <w:r>
        <w:rPr>
          <w:rFonts w:hint="eastAsia"/>
          <w:highlight w:val="none"/>
          <w:lang w:val="en-US" w:eastAsia="zh-CN"/>
        </w:rPr>
        <w:t>6</w:t>
      </w:r>
      <w:r>
        <w:rPr>
          <w:rFonts w:hint="default"/>
          <w:highlight w:val="none"/>
          <w:lang w:val="en-US" w:eastAsia="zh-CN"/>
        </w:rPr>
        <w:t>。</w:t>
      </w:r>
    </w:p>
    <w:p w14:paraId="28B3E888">
      <w:pPr>
        <w:pStyle w:val="16"/>
        <w:rPr>
          <w:rFonts w:hint="default"/>
          <w:lang w:val="en-US" w:eastAsia="zh-CN"/>
        </w:rPr>
      </w:pPr>
    </w:p>
    <w:p w14:paraId="67F65DFE">
      <w:pPr>
        <w:widowControl/>
        <w:numPr>
          <w:ilvl w:val="0"/>
          <w:numId w:val="24"/>
        </w:numPr>
        <w:ind w:left="425" w:leftChars="0" w:hanging="425" w:firstLineChars="0"/>
        <w:jc w:val="center"/>
        <w:rPr>
          <w:rFonts w:hint="default" w:ascii="Times New Roman" w:hAnsi="Times New Roman" w:eastAsia="宋体" w:cs="Times New Roman"/>
          <w:b/>
          <w:color w:val="auto"/>
          <w:highlight w:val="none"/>
          <w:lang w:val="zh-CN"/>
        </w:rPr>
      </w:pPr>
      <w:r>
        <w:rPr>
          <w:rFonts w:hint="default" w:ascii="Times New Roman" w:hAnsi="Times New Roman" w:eastAsia="宋体" w:cs="Times New Roman"/>
          <w:b/>
          <w:color w:val="auto"/>
          <w:highlight w:val="none"/>
          <w:lang w:val="zh-CN"/>
        </w:rPr>
        <w:t>主要设备清单</w:t>
      </w:r>
    </w:p>
    <w:tbl>
      <w:tblPr>
        <w:tblStyle w:val="48"/>
        <w:tblW w:w="4996"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606"/>
        <w:gridCol w:w="1270"/>
        <w:gridCol w:w="4702"/>
        <w:gridCol w:w="633"/>
        <w:gridCol w:w="646"/>
        <w:gridCol w:w="1424"/>
      </w:tblGrid>
      <w:tr w14:paraId="1FC7508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1C91F04E">
            <w:pPr>
              <w:pStyle w:val="58"/>
              <w:bidi w:val="0"/>
              <w:rPr>
                <w:rFonts w:hint="default"/>
                <w:highlight w:val="none"/>
                <w:lang w:val="en-US" w:eastAsia="zh-CN"/>
              </w:rPr>
            </w:pPr>
            <w:r>
              <w:rPr>
                <w:rFonts w:hint="default"/>
                <w:highlight w:val="none"/>
                <w:lang w:val="en-US" w:eastAsia="zh-CN"/>
              </w:rPr>
              <w:t>序号</w:t>
            </w:r>
          </w:p>
        </w:tc>
        <w:tc>
          <w:tcPr>
            <w:tcW w:w="684" w:type="pct"/>
            <w:vAlign w:val="center"/>
          </w:tcPr>
          <w:p w14:paraId="0688942A">
            <w:pPr>
              <w:pStyle w:val="58"/>
              <w:bidi w:val="0"/>
              <w:rPr>
                <w:rFonts w:hint="default"/>
                <w:highlight w:val="none"/>
                <w:lang w:val="en-US" w:eastAsia="zh-CN"/>
              </w:rPr>
            </w:pPr>
            <w:r>
              <w:rPr>
                <w:rFonts w:hint="default"/>
                <w:highlight w:val="none"/>
                <w:lang w:val="en-US" w:eastAsia="zh-CN"/>
              </w:rPr>
              <w:t>设备</w:t>
            </w:r>
          </w:p>
        </w:tc>
        <w:tc>
          <w:tcPr>
            <w:tcW w:w="2533" w:type="pct"/>
            <w:vAlign w:val="center"/>
          </w:tcPr>
          <w:p w14:paraId="381B2E07">
            <w:pPr>
              <w:pStyle w:val="58"/>
              <w:bidi w:val="0"/>
              <w:rPr>
                <w:rFonts w:hint="default"/>
                <w:highlight w:val="none"/>
                <w:lang w:val="en-US" w:eastAsia="zh-CN"/>
              </w:rPr>
            </w:pPr>
            <w:r>
              <w:rPr>
                <w:rFonts w:hint="default"/>
                <w:highlight w:val="none"/>
                <w:lang w:val="en-US" w:eastAsia="zh-CN"/>
              </w:rPr>
              <w:t>规格或型号</w:t>
            </w:r>
          </w:p>
        </w:tc>
        <w:tc>
          <w:tcPr>
            <w:tcW w:w="341" w:type="pct"/>
            <w:vAlign w:val="center"/>
          </w:tcPr>
          <w:p w14:paraId="346A9CA1">
            <w:pPr>
              <w:pStyle w:val="58"/>
              <w:bidi w:val="0"/>
              <w:rPr>
                <w:rFonts w:hint="default"/>
                <w:highlight w:val="none"/>
                <w:lang w:val="en-US" w:eastAsia="zh-CN"/>
              </w:rPr>
            </w:pPr>
            <w:r>
              <w:rPr>
                <w:rFonts w:hint="default"/>
                <w:highlight w:val="none"/>
                <w:lang w:val="en-US" w:eastAsia="zh-CN"/>
              </w:rPr>
              <w:t>数量</w:t>
            </w:r>
          </w:p>
        </w:tc>
        <w:tc>
          <w:tcPr>
            <w:tcW w:w="348" w:type="pct"/>
            <w:vAlign w:val="center"/>
          </w:tcPr>
          <w:p w14:paraId="44F96978">
            <w:pPr>
              <w:pStyle w:val="58"/>
              <w:bidi w:val="0"/>
              <w:rPr>
                <w:rFonts w:hint="default"/>
                <w:highlight w:val="none"/>
                <w:lang w:val="en-US" w:eastAsia="zh-CN"/>
              </w:rPr>
            </w:pPr>
            <w:r>
              <w:rPr>
                <w:rFonts w:hint="default"/>
                <w:highlight w:val="none"/>
                <w:lang w:val="en-US" w:eastAsia="zh-CN"/>
              </w:rPr>
              <w:t>单位</w:t>
            </w:r>
          </w:p>
        </w:tc>
        <w:tc>
          <w:tcPr>
            <w:tcW w:w="766" w:type="pct"/>
            <w:vAlign w:val="center"/>
          </w:tcPr>
          <w:p w14:paraId="0041CEBC">
            <w:pPr>
              <w:pStyle w:val="58"/>
              <w:bidi w:val="0"/>
              <w:rPr>
                <w:rFonts w:hint="default"/>
                <w:highlight w:val="none"/>
                <w:lang w:val="en-US" w:eastAsia="zh-CN"/>
              </w:rPr>
            </w:pPr>
            <w:r>
              <w:rPr>
                <w:rFonts w:hint="default"/>
                <w:highlight w:val="none"/>
                <w:lang w:val="en-US" w:eastAsia="zh-CN"/>
              </w:rPr>
              <w:t>备注</w:t>
            </w:r>
          </w:p>
        </w:tc>
      </w:tr>
      <w:tr w14:paraId="60C296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000" w:type="pct"/>
            <w:gridSpan w:val="6"/>
            <w:vAlign w:val="center"/>
          </w:tcPr>
          <w:p w14:paraId="03EAF603">
            <w:pPr>
              <w:pStyle w:val="58"/>
              <w:bidi w:val="0"/>
              <w:rPr>
                <w:rFonts w:hint="default"/>
                <w:highlight w:val="none"/>
                <w:lang w:val="zh-CN"/>
              </w:rPr>
            </w:pPr>
            <w:r>
              <w:rPr>
                <w:rFonts w:hint="default"/>
                <w:highlight w:val="none"/>
                <w:lang w:val="en-US" w:eastAsia="zh-CN"/>
              </w:rPr>
              <w:t>1</w:t>
            </w:r>
            <w:r>
              <w:rPr>
                <w:rFonts w:hint="eastAsia"/>
                <w:highlight w:val="none"/>
                <w:lang w:val="en-US" w:eastAsia="zh-CN"/>
              </w:rPr>
              <w:t>格栅渠</w:t>
            </w:r>
          </w:p>
        </w:tc>
      </w:tr>
      <w:tr w14:paraId="316E29F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720A0F36">
            <w:pPr>
              <w:pStyle w:val="58"/>
              <w:bidi w:val="0"/>
              <w:rPr>
                <w:rFonts w:hint="default"/>
                <w:highlight w:val="none"/>
                <w:lang w:val="en-US" w:eastAsia="zh-CN"/>
              </w:rPr>
            </w:pPr>
            <w:r>
              <w:rPr>
                <w:rFonts w:hint="default"/>
                <w:highlight w:val="none"/>
                <w:lang w:val="en-US" w:eastAsia="zh-CN"/>
              </w:rPr>
              <w:t>1.1</w:t>
            </w:r>
          </w:p>
        </w:tc>
        <w:tc>
          <w:tcPr>
            <w:tcW w:w="684" w:type="pct"/>
            <w:vAlign w:val="center"/>
          </w:tcPr>
          <w:p w14:paraId="2607F92F">
            <w:pPr>
              <w:pStyle w:val="58"/>
              <w:bidi w:val="0"/>
              <w:rPr>
                <w:rFonts w:hint="default"/>
                <w:highlight w:val="none"/>
                <w:lang w:val="en-US" w:eastAsia="zh-CN"/>
              </w:rPr>
            </w:pPr>
            <w:r>
              <w:rPr>
                <w:rFonts w:hint="default"/>
                <w:highlight w:val="none"/>
                <w:lang w:val="en-US" w:eastAsia="zh-CN"/>
              </w:rPr>
              <w:t>粗格栅</w:t>
            </w:r>
          </w:p>
        </w:tc>
        <w:tc>
          <w:tcPr>
            <w:tcW w:w="2533" w:type="pct"/>
            <w:vAlign w:val="center"/>
          </w:tcPr>
          <w:p w14:paraId="28EB8FD2">
            <w:pPr>
              <w:pStyle w:val="58"/>
              <w:bidi w:val="0"/>
              <w:rPr>
                <w:rFonts w:hint="default"/>
                <w:highlight w:val="none"/>
                <w:lang w:val="zh-CN"/>
              </w:rPr>
            </w:pPr>
            <w:r>
              <w:rPr>
                <w:rFonts w:hint="default"/>
                <w:highlight w:val="none"/>
                <w:lang w:val="zh-CN"/>
              </w:rPr>
              <w:t>设备类型：回转式格机，型号：HG-800，材质：304，栅条间隙：10mm，栅宽：0.8m，渠宽：0.9m，渠深：5m，功率：0.75KW</w:t>
            </w:r>
          </w:p>
        </w:tc>
        <w:tc>
          <w:tcPr>
            <w:tcW w:w="341" w:type="pct"/>
            <w:vAlign w:val="center"/>
          </w:tcPr>
          <w:p w14:paraId="7423045C">
            <w:pPr>
              <w:pStyle w:val="58"/>
              <w:bidi w:val="0"/>
              <w:rPr>
                <w:rFonts w:hint="default"/>
                <w:highlight w:val="none"/>
                <w:lang w:val="en-US" w:eastAsia="zh-CN"/>
              </w:rPr>
            </w:pPr>
            <w:r>
              <w:rPr>
                <w:rFonts w:hint="default"/>
                <w:highlight w:val="none"/>
                <w:lang w:val="en-US" w:eastAsia="zh-CN"/>
              </w:rPr>
              <w:t>1</w:t>
            </w:r>
          </w:p>
        </w:tc>
        <w:tc>
          <w:tcPr>
            <w:tcW w:w="348" w:type="pct"/>
            <w:vAlign w:val="center"/>
          </w:tcPr>
          <w:p w14:paraId="6FFCB56D">
            <w:pPr>
              <w:pStyle w:val="58"/>
              <w:bidi w:val="0"/>
              <w:rPr>
                <w:rFonts w:hint="default"/>
                <w:highlight w:val="none"/>
                <w:lang w:val="en-US" w:eastAsia="zh-CN"/>
              </w:rPr>
            </w:pPr>
            <w:r>
              <w:rPr>
                <w:rFonts w:hint="default"/>
                <w:highlight w:val="none"/>
                <w:lang w:val="en-US" w:eastAsia="zh-CN"/>
              </w:rPr>
              <w:t>台</w:t>
            </w:r>
          </w:p>
        </w:tc>
        <w:tc>
          <w:tcPr>
            <w:tcW w:w="766" w:type="pct"/>
            <w:vAlign w:val="center"/>
          </w:tcPr>
          <w:p w14:paraId="4EB5BD53">
            <w:pPr>
              <w:pStyle w:val="58"/>
              <w:bidi w:val="0"/>
              <w:rPr>
                <w:rFonts w:hint="default"/>
                <w:highlight w:val="none"/>
                <w:lang w:val="zh-CN"/>
              </w:rPr>
            </w:pPr>
          </w:p>
        </w:tc>
      </w:tr>
      <w:tr w14:paraId="4639FE3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45B355E2">
            <w:pPr>
              <w:pStyle w:val="58"/>
              <w:bidi w:val="0"/>
              <w:rPr>
                <w:rFonts w:hint="default"/>
                <w:highlight w:val="none"/>
                <w:lang w:val="en-US" w:eastAsia="zh-CN"/>
              </w:rPr>
            </w:pPr>
            <w:r>
              <w:rPr>
                <w:rFonts w:hint="default"/>
                <w:highlight w:val="none"/>
                <w:lang w:val="en-US" w:eastAsia="zh-CN"/>
              </w:rPr>
              <w:t>1.2</w:t>
            </w:r>
          </w:p>
        </w:tc>
        <w:tc>
          <w:tcPr>
            <w:tcW w:w="684" w:type="pct"/>
            <w:vAlign w:val="center"/>
          </w:tcPr>
          <w:p w14:paraId="3DBD2BF2">
            <w:pPr>
              <w:pStyle w:val="58"/>
              <w:bidi w:val="0"/>
              <w:rPr>
                <w:rFonts w:hint="default"/>
                <w:highlight w:val="none"/>
                <w:lang w:val="en-US" w:eastAsia="zh-CN"/>
              </w:rPr>
            </w:pPr>
            <w:r>
              <w:rPr>
                <w:rFonts w:hint="default"/>
                <w:highlight w:val="none"/>
                <w:lang w:val="en-US" w:eastAsia="zh-CN"/>
              </w:rPr>
              <w:t>细格栅</w:t>
            </w:r>
          </w:p>
        </w:tc>
        <w:tc>
          <w:tcPr>
            <w:tcW w:w="2533" w:type="pct"/>
            <w:vAlign w:val="center"/>
          </w:tcPr>
          <w:p w14:paraId="77C80396">
            <w:pPr>
              <w:pStyle w:val="58"/>
              <w:bidi w:val="0"/>
              <w:rPr>
                <w:rFonts w:hint="default"/>
                <w:highlight w:val="none"/>
                <w:lang w:val="zh-CN"/>
              </w:rPr>
            </w:pPr>
            <w:r>
              <w:rPr>
                <w:rFonts w:hint="default"/>
                <w:highlight w:val="none"/>
                <w:lang w:val="zh-CN"/>
              </w:rPr>
              <w:t>设备类型：回转式格</w:t>
            </w:r>
            <w:r>
              <w:rPr>
                <w:rFonts w:hint="default"/>
                <w:highlight w:val="none"/>
                <w:lang w:val="en-US" w:eastAsia="zh-CN"/>
              </w:rPr>
              <w:t>机</w:t>
            </w:r>
            <w:r>
              <w:rPr>
                <w:rFonts w:hint="default"/>
                <w:highlight w:val="none"/>
                <w:lang w:val="zh-CN"/>
              </w:rPr>
              <w:t>，型号：HG-800，材质：304，栅条间隙：3mm，栅宽：0</w:t>
            </w:r>
            <w:r>
              <w:rPr>
                <w:rFonts w:hint="default"/>
                <w:highlight w:val="none"/>
                <w:lang w:val="en-US" w:eastAsia="zh-CN"/>
              </w:rPr>
              <w:t>.</w:t>
            </w:r>
            <w:r>
              <w:rPr>
                <w:rFonts w:hint="default"/>
                <w:highlight w:val="none"/>
                <w:lang w:val="zh-CN"/>
              </w:rPr>
              <w:t>8m，渠宽：0.9m，渠深：5m，功率：0.75KW</w:t>
            </w:r>
          </w:p>
        </w:tc>
        <w:tc>
          <w:tcPr>
            <w:tcW w:w="341" w:type="pct"/>
            <w:vAlign w:val="center"/>
          </w:tcPr>
          <w:p w14:paraId="70CF40CF">
            <w:pPr>
              <w:pStyle w:val="58"/>
              <w:bidi w:val="0"/>
              <w:rPr>
                <w:rFonts w:hint="default"/>
                <w:highlight w:val="none"/>
                <w:lang w:val="en-US" w:eastAsia="zh-CN"/>
              </w:rPr>
            </w:pPr>
            <w:r>
              <w:rPr>
                <w:rFonts w:hint="default"/>
                <w:highlight w:val="none"/>
                <w:lang w:val="en-US" w:eastAsia="zh-CN"/>
              </w:rPr>
              <w:t>1</w:t>
            </w:r>
          </w:p>
        </w:tc>
        <w:tc>
          <w:tcPr>
            <w:tcW w:w="348" w:type="pct"/>
            <w:vAlign w:val="center"/>
          </w:tcPr>
          <w:p w14:paraId="07612AC6">
            <w:pPr>
              <w:pStyle w:val="58"/>
              <w:bidi w:val="0"/>
              <w:rPr>
                <w:rFonts w:hint="default"/>
                <w:highlight w:val="none"/>
                <w:lang w:val="en-US" w:eastAsia="zh-CN"/>
              </w:rPr>
            </w:pPr>
            <w:r>
              <w:rPr>
                <w:rFonts w:hint="default"/>
                <w:highlight w:val="none"/>
                <w:lang w:val="en-US" w:eastAsia="zh-CN"/>
              </w:rPr>
              <w:t>台</w:t>
            </w:r>
          </w:p>
        </w:tc>
        <w:tc>
          <w:tcPr>
            <w:tcW w:w="766" w:type="pct"/>
            <w:vAlign w:val="center"/>
          </w:tcPr>
          <w:p w14:paraId="31D87A1F">
            <w:pPr>
              <w:pStyle w:val="58"/>
              <w:bidi w:val="0"/>
              <w:rPr>
                <w:rFonts w:hint="default"/>
                <w:highlight w:val="none"/>
                <w:lang w:val="zh-CN"/>
              </w:rPr>
            </w:pPr>
          </w:p>
        </w:tc>
      </w:tr>
      <w:tr w14:paraId="4056AD5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000" w:type="pct"/>
            <w:gridSpan w:val="6"/>
            <w:vAlign w:val="center"/>
          </w:tcPr>
          <w:p w14:paraId="7C0D6F3C">
            <w:pPr>
              <w:pStyle w:val="58"/>
              <w:bidi w:val="0"/>
              <w:rPr>
                <w:rFonts w:hint="default"/>
                <w:highlight w:val="none"/>
                <w:lang w:val="zh-CN"/>
              </w:rPr>
            </w:pPr>
            <w:r>
              <w:rPr>
                <w:rFonts w:hint="default"/>
                <w:highlight w:val="none"/>
                <w:lang w:val="en-US" w:eastAsia="zh-CN"/>
              </w:rPr>
              <w:t>2调节池</w:t>
            </w:r>
          </w:p>
        </w:tc>
      </w:tr>
      <w:tr w14:paraId="6DE34B3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0FD35FB4">
            <w:pPr>
              <w:pStyle w:val="58"/>
              <w:bidi w:val="0"/>
              <w:rPr>
                <w:rFonts w:hint="default"/>
                <w:lang w:val="en-US" w:eastAsia="zh-CN"/>
              </w:rPr>
            </w:pPr>
            <w:r>
              <w:rPr>
                <w:rFonts w:hint="default"/>
                <w:lang w:val="en-US" w:eastAsia="zh-CN"/>
              </w:rPr>
              <w:t>2.1</w:t>
            </w:r>
          </w:p>
        </w:tc>
        <w:tc>
          <w:tcPr>
            <w:tcW w:w="684" w:type="pct"/>
            <w:vAlign w:val="center"/>
          </w:tcPr>
          <w:p w14:paraId="5894EE2C">
            <w:pPr>
              <w:pStyle w:val="58"/>
              <w:bidi w:val="0"/>
              <w:rPr>
                <w:rFonts w:hint="default"/>
                <w:lang w:val="en-US" w:eastAsia="zh-CN"/>
              </w:rPr>
            </w:pPr>
            <w:bookmarkStart w:id="153" w:name="OLE_LINK16"/>
            <w:r>
              <w:rPr>
                <w:rFonts w:hint="default"/>
                <w:lang w:val="en-US" w:eastAsia="zh-CN"/>
              </w:rPr>
              <w:t>提升泵（潜污泵）</w:t>
            </w:r>
            <w:bookmarkEnd w:id="153"/>
          </w:p>
        </w:tc>
        <w:tc>
          <w:tcPr>
            <w:tcW w:w="2533" w:type="pct"/>
            <w:vAlign w:val="center"/>
          </w:tcPr>
          <w:p w14:paraId="34161E8B">
            <w:pPr>
              <w:pStyle w:val="58"/>
              <w:bidi w:val="0"/>
              <w:rPr>
                <w:rFonts w:hint="default"/>
                <w:lang w:val="en-US" w:eastAsia="zh-CN"/>
              </w:rPr>
            </w:pPr>
            <w:r>
              <w:rPr>
                <w:rFonts w:hint="default"/>
                <w:lang w:val="en-US" w:eastAsia="zh-CN"/>
              </w:rPr>
              <w:t>类型：潜污泵，型号：40WQ6-12-0.55，流量：3.5</w:t>
            </w:r>
            <w:r>
              <w:rPr>
                <w:rFonts w:hint="eastAsia"/>
                <w:lang w:val="en-US" w:eastAsia="zh-CN"/>
              </w:rPr>
              <w:t>m</w:t>
            </w:r>
            <w:r>
              <w:rPr>
                <w:rFonts w:hint="eastAsia"/>
                <w:vertAlign w:val="superscript"/>
                <w:lang w:val="en-US" w:eastAsia="zh-CN"/>
              </w:rPr>
              <w:t>3</w:t>
            </w:r>
            <w:r>
              <w:rPr>
                <w:rFonts w:hint="default"/>
                <w:lang w:val="en-US" w:eastAsia="zh-CN"/>
              </w:rPr>
              <w:t>/h，扬程：13m，功率：0.55kw，配套耦合装置</w:t>
            </w:r>
          </w:p>
        </w:tc>
        <w:tc>
          <w:tcPr>
            <w:tcW w:w="341" w:type="pct"/>
            <w:vAlign w:val="center"/>
          </w:tcPr>
          <w:p w14:paraId="1471F65F">
            <w:pPr>
              <w:pStyle w:val="58"/>
              <w:bidi w:val="0"/>
              <w:rPr>
                <w:rFonts w:hint="default"/>
                <w:lang w:val="en-US" w:eastAsia="zh-CN"/>
              </w:rPr>
            </w:pPr>
            <w:r>
              <w:rPr>
                <w:rFonts w:hint="default"/>
                <w:lang w:val="en-US" w:eastAsia="zh-CN"/>
              </w:rPr>
              <w:t>2</w:t>
            </w:r>
          </w:p>
        </w:tc>
        <w:tc>
          <w:tcPr>
            <w:tcW w:w="348" w:type="pct"/>
            <w:vAlign w:val="center"/>
          </w:tcPr>
          <w:p w14:paraId="2DD7A568">
            <w:pPr>
              <w:pStyle w:val="58"/>
              <w:bidi w:val="0"/>
              <w:rPr>
                <w:rFonts w:hint="default"/>
                <w:lang w:val="en-US" w:eastAsia="zh-CN"/>
              </w:rPr>
            </w:pPr>
            <w:r>
              <w:rPr>
                <w:rFonts w:hint="default"/>
                <w:lang w:val="en-US" w:eastAsia="zh-CN"/>
              </w:rPr>
              <w:t>台</w:t>
            </w:r>
          </w:p>
        </w:tc>
        <w:tc>
          <w:tcPr>
            <w:tcW w:w="766" w:type="pct"/>
            <w:vAlign w:val="center"/>
          </w:tcPr>
          <w:p w14:paraId="413EF385">
            <w:pPr>
              <w:pStyle w:val="58"/>
              <w:bidi w:val="0"/>
              <w:rPr>
                <w:rFonts w:hint="default"/>
                <w:lang w:val="zh-CN"/>
              </w:rPr>
            </w:pPr>
            <w:r>
              <w:rPr>
                <w:rFonts w:hint="default"/>
                <w:lang w:val="en-US" w:eastAsia="zh-CN"/>
              </w:rPr>
              <w:t>1用1备</w:t>
            </w:r>
          </w:p>
        </w:tc>
      </w:tr>
      <w:tr w14:paraId="482F8C3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3926DDC8">
            <w:pPr>
              <w:pStyle w:val="58"/>
              <w:bidi w:val="0"/>
              <w:rPr>
                <w:rFonts w:hint="default"/>
                <w:lang w:val="en-US" w:eastAsia="zh-CN"/>
              </w:rPr>
            </w:pPr>
            <w:r>
              <w:rPr>
                <w:rFonts w:hint="default"/>
                <w:lang w:val="en-US" w:eastAsia="zh-CN"/>
              </w:rPr>
              <w:t>2.2</w:t>
            </w:r>
          </w:p>
        </w:tc>
        <w:tc>
          <w:tcPr>
            <w:tcW w:w="684" w:type="pct"/>
            <w:vAlign w:val="center"/>
          </w:tcPr>
          <w:p w14:paraId="6EC34CD5">
            <w:pPr>
              <w:pStyle w:val="58"/>
              <w:bidi w:val="0"/>
              <w:rPr>
                <w:rFonts w:hint="default"/>
                <w:lang w:val="en-US" w:eastAsia="zh-CN"/>
              </w:rPr>
            </w:pPr>
            <w:r>
              <w:rPr>
                <w:rFonts w:hint="default"/>
                <w:lang w:val="en-US" w:eastAsia="zh-CN"/>
              </w:rPr>
              <w:t>提升泵（潜污泵）</w:t>
            </w:r>
          </w:p>
        </w:tc>
        <w:tc>
          <w:tcPr>
            <w:tcW w:w="2533" w:type="pct"/>
            <w:vAlign w:val="center"/>
          </w:tcPr>
          <w:p w14:paraId="6CB745D0">
            <w:pPr>
              <w:pStyle w:val="58"/>
              <w:bidi w:val="0"/>
              <w:rPr>
                <w:rFonts w:hint="default"/>
                <w:lang w:val="en-US" w:eastAsia="zh-CN"/>
              </w:rPr>
            </w:pPr>
            <w:r>
              <w:rPr>
                <w:rFonts w:hint="default"/>
                <w:lang w:val="en-US" w:eastAsia="zh-CN"/>
              </w:rPr>
              <w:t>类型：潜污泵，型号：50WQ10-16-1.1，流量：12.5</w:t>
            </w:r>
            <w:r>
              <w:rPr>
                <w:rFonts w:hint="eastAsia"/>
                <w:lang w:val="en-US" w:eastAsia="zh-CN"/>
              </w:rPr>
              <w:t>m</w:t>
            </w:r>
            <w:r>
              <w:rPr>
                <w:rFonts w:hint="eastAsia"/>
                <w:vertAlign w:val="superscript"/>
                <w:lang w:val="en-US" w:eastAsia="zh-CN"/>
              </w:rPr>
              <w:t>3</w:t>
            </w:r>
            <w:r>
              <w:rPr>
                <w:rFonts w:hint="default"/>
                <w:lang w:val="en-US" w:eastAsia="zh-CN"/>
              </w:rPr>
              <w:t>/h，扬程：13m，功率：1.1KW，配套耦合装置</w:t>
            </w:r>
          </w:p>
        </w:tc>
        <w:tc>
          <w:tcPr>
            <w:tcW w:w="341" w:type="pct"/>
            <w:vAlign w:val="center"/>
          </w:tcPr>
          <w:p w14:paraId="14D47144">
            <w:pPr>
              <w:pStyle w:val="58"/>
              <w:bidi w:val="0"/>
              <w:rPr>
                <w:rFonts w:hint="default"/>
                <w:lang w:val="en-US" w:eastAsia="zh-CN"/>
              </w:rPr>
            </w:pPr>
            <w:r>
              <w:rPr>
                <w:rFonts w:hint="default"/>
                <w:lang w:val="en-US" w:eastAsia="zh-CN"/>
              </w:rPr>
              <w:t>2</w:t>
            </w:r>
          </w:p>
        </w:tc>
        <w:tc>
          <w:tcPr>
            <w:tcW w:w="348" w:type="pct"/>
            <w:vAlign w:val="center"/>
          </w:tcPr>
          <w:p w14:paraId="1E331580">
            <w:pPr>
              <w:pStyle w:val="58"/>
              <w:bidi w:val="0"/>
              <w:rPr>
                <w:rFonts w:hint="default"/>
                <w:lang w:val="en-US" w:eastAsia="zh-CN"/>
              </w:rPr>
            </w:pPr>
            <w:r>
              <w:rPr>
                <w:rFonts w:hint="default"/>
                <w:lang w:val="en-US" w:eastAsia="zh-CN"/>
              </w:rPr>
              <w:t>台</w:t>
            </w:r>
          </w:p>
        </w:tc>
        <w:tc>
          <w:tcPr>
            <w:tcW w:w="766" w:type="pct"/>
            <w:vAlign w:val="center"/>
          </w:tcPr>
          <w:p w14:paraId="63AF0472">
            <w:pPr>
              <w:pStyle w:val="58"/>
              <w:bidi w:val="0"/>
              <w:rPr>
                <w:rFonts w:hint="default"/>
                <w:lang w:val="zh-CN"/>
              </w:rPr>
            </w:pPr>
            <w:r>
              <w:rPr>
                <w:rFonts w:hint="default"/>
                <w:lang w:val="en-US" w:eastAsia="zh-CN"/>
              </w:rPr>
              <w:t>1用1备</w:t>
            </w:r>
          </w:p>
        </w:tc>
      </w:tr>
      <w:tr w14:paraId="0A75EA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5B68661F">
            <w:pPr>
              <w:pStyle w:val="58"/>
              <w:bidi w:val="0"/>
              <w:rPr>
                <w:rFonts w:hint="default"/>
                <w:lang w:val="en-US" w:eastAsia="zh-CN"/>
              </w:rPr>
            </w:pPr>
            <w:r>
              <w:rPr>
                <w:rFonts w:hint="default"/>
                <w:lang w:val="en-US" w:eastAsia="zh-CN"/>
              </w:rPr>
              <w:t>2.3</w:t>
            </w:r>
          </w:p>
        </w:tc>
        <w:tc>
          <w:tcPr>
            <w:tcW w:w="684" w:type="pct"/>
            <w:vAlign w:val="center"/>
          </w:tcPr>
          <w:p w14:paraId="09C3621A">
            <w:pPr>
              <w:pStyle w:val="58"/>
              <w:bidi w:val="0"/>
              <w:rPr>
                <w:rFonts w:hint="default"/>
                <w:lang w:val="en-US" w:eastAsia="zh-CN"/>
              </w:rPr>
            </w:pPr>
            <w:bookmarkStart w:id="154" w:name="OLE_LINK17"/>
            <w:r>
              <w:rPr>
                <w:rFonts w:hint="default"/>
                <w:lang w:val="en-US" w:eastAsia="zh-CN"/>
              </w:rPr>
              <w:t>潜水推流搅拌器</w:t>
            </w:r>
            <w:bookmarkEnd w:id="154"/>
          </w:p>
        </w:tc>
        <w:tc>
          <w:tcPr>
            <w:tcW w:w="2533" w:type="pct"/>
            <w:vAlign w:val="center"/>
          </w:tcPr>
          <w:p w14:paraId="31745DEC">
            <w:pPr>
              <w:pStyle w:val="58"/>
              <w:bidi w:val="0"/>
              <w:rPr>
                <w:rFonts w:hint="default"/>
                <w:lang w:val="en-US" w:eastAsia="zh-CN"/>
              </w:rPr>
            </w:pPr>
            <w:r>
              <w:rPr>
                <w:rFonts w:hint="default"/>
                <w:lang w:val="en-US" w:eastAsia="zh-CN"/>
              </w:rPr>
              <w:t>类型：潜水搅拌机，型号：QJB1.5/6-260/3-980C，材质：铸铁，功率：1.5Kw，叶轮直径：260mm，叶轮转速：980r/min</w:t>
            </w:r>
          </w:p>
        </w:tc>
        <w:tc>
          <w:tcPr>
            <w:tcW w:w="341" w:type="pct"/>
            <w:vAlign w:val="center"/>
          </w:tcPr>
          <w:p w14:paraId="6D6AE559">
            <w:pPr>
              <w:pStyle w:val="58"/>
              <w:bidi w:val="0"/>
              <w:rPr>
                <w:rFonts w:hint="default"/>
                <w:lang w:val="en-US" w:eastAsia="zh-CN"/>
              </w:rPr>
            </w:pPr>
            <w:r>
              <w:rPr>
                <w:rFonts w:hint="default"/>
                <w:lang w:val="en-US" w:eastAsia="zh-CN"/>
              </w:rPr>
              <w:t>2</w:t>
            </w:r>
          </w:p>
        </w:tc>
        <w:tc>
          <w:tcPr>
            <w:tcW w:w="348" w:type="pct"/>
            <w:vAlign w:val="center"/>
          </w:tcPr>
          <w:p w14:paraId="1B4812D7">
            <w:pPr>
              <w:pStyle w:val="58"/>
              <w:bidi w:val="0"/>
              <w:rPr>
                <w:rFonts w:hint="default"/>
                <w:lang w:val="en-US" w:eastAsia="zh-CN"/>
              </w:rPr>
            </w:pPr>
            <w:r>
              <w:rPr>
                <w:rFonts w:hint="default"/>
                <w:lang w:val="en-US" w:eastAsia="zh-CN"/>
              </w:rPr>
              <w:t>台</w:t>
            </w:r>
          </w:p>
        </w:tc>
        <w:tc>
          <w:tcPr>
            <w:tcW w:w="766" w:type="pct"/>
            <w:vAlign w:val="center"/>
          </w:tcPr>
          <w:p w14:paraId="5B2612BF">
            <w:pPr>
              <w:pStyle w:val="58"/>
              <w:bidi w:val="0"/>
              <w:rPr>
                <w:rFonts w:hint="default"/>
                <w:lang w:val="zh-CN"/>
              </w:rPr>
            </w:pPr>
            <w:r>
              <w:rPr>
                <w:rFonts w:hint="default"/>
                <w:lang w:val="en-US" w:eastAsia="zh-CN"/>
              </w:rPr>
              <w:t>配套安装起吊装置</w:t>
            </w:r>
          </w:p>
        </w:tc>
      </w:tr>
      <w:tr w14:paraId="4D0554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000" w:type="pct"/>
            <w:gridSpan w:val="6"/>
            <w:vAlign w:val="center"/>
          </w:tcPr>
          <w:p w14:paraId="0207DCCE">
            <w:pPr>
              <w:pStyle w:val="58"/>
              <w:bidi w:val="0"/>
              <w:rPr>
                <w:rFonts w:hint="default"/>
                <w:lang w:val="zh-CN"/>
              </w:rPr>
            </w:pPr>
            <w:r>
              <w:rPr>
                <w:rFonts w:hint="default"/>
                <w:highlight w:val="none"/>
                <w:lang w:val="en-US" w:eastAsia="zh-CN"/>
              </w:rPr>
              <w:t>3</w:t>
            </w:r>
            <w:r>
              <w:rPr>
                <w:rFonts w:hint="eastAsia"/>
                <w:highlight w:val="none"/>
                <w:lang w:val="en-US" w:eastAsia="zh-CN"/>
              </w:rPr>
              <w:t>生化处理辅助工房</w:t>
            </w:r>
          </w:p>
        </w:tc>
      </w:tr>
      <w:tr w14:paraId="214F997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11FF8CF2">
            <w:pPr>
              <w:pStyle w:val="58"/>
              <w:bidi w:val="0"/>
              <w:rPr>
                <w:rFonts w:hint="default"/>
                <w:lang w:val="en-US" w:eastAsia="zh-CN"/>
              </w:rPr>
            </w:pPr>
            <w:bookmarkStart w:id="155" w:name="OLE_LINK19" w:colFirst="1" w:colLast="1"/>
            <w:r>
              <w:rPr>
                <w:rFonts w:hint="default"/>
                <w:lang w:val="en-US" w:eastAsia="zh-CN"/>
              </w:rPr>
              <w:t>3.1</w:t>
            </w:r>
          </w:p>
        </w:tc>
        <w:tc>
          <w:tcPr>
            <w:tcW w:w="684" w:type="pct"/>
            <w:vAlign w:val="center"/>
          </w:tcPr>
          <w:p w14:paraId="6EBC3385">
            <w:pPr>
              <w:pStyle w:val="58"/>
              <w:bidi w:val="0"/>
              <w:rPr>
                <w:rFonts w:hint="default"/>
                <w:lang w:val="en-US" w:eastAsia="zh-CN"/>
              </w:rPr>
            </w:pPr>
            <w:r>
              <w:rPr>
                <w:rFonts w:hint="eastAsia"/>
                <w:lang w:val="en-US" w:eastAsia="zh-CN"/>
              </w:rPr>
              <w:t>A</w:t>
            </w:r>
            <w:r>
              <w:rPr>
                <w:rFonts w:hint="eastAsia"/>
                <w:vertAlign w:val="superscript"/>
                <w:lang w:val="en-US" w:eastAsia="zh-CN"/>
              </w:rPr>
              <w:t>2</w:t>
            </w:r>
            <w:r>
              <w:rPr>
                <w:rFonts w:hint="eastAsia"/>
                <w:lang w:val="en-US" w:eastAsia="zh-CN"/>
              </w:rPr>
              <w:t>O</w:t>
            </w:r>
            <w:r>
              <w:rPr>
                <w:rFonts w:hint="default"/>
                <w:lang w:val="en-US" w:eastAsia="zh-CN"/>
              </w:rPr>
              <w:t>生化一体化设备</w:t>
            </w:r>
          </w:p>
        </w:tc>
        <w:tc>
          <w:tcPr>
            <w:tcW w:w="2533" w:type="pct"/>
            <w:vAlign w:val="center"/>
          </w:tcPr>
          <w:p w14:paraId="2F7FBBD9">
            <w:pPr>
              <w:pStyle w:val="58"/>
              <w:bidi w:val="0"/>
              <w:rPr>
                <w:rFonts w:hint="default"/>
                <w:lang w:val="zh-CN"/>
              </w:rPr>
            </w:pPr>
            <w:r>
              <w:rPr>
                <w:rFonts w:hint="default"/>
                <w:lang w:val="zh-CN"/>
              </w:rPr>
              <w:t>材质：碳钢防腐，处理量：230</w:t>
            </w:r>
            <w:r>
              <w:rPr>
                <w:rFonts w:hint="eastAsia"/>
                <w:lang w:val="zh-CN"/>
              </w:rPr>
              <w:t>m</w:t>
            </w:r>
            <w:r>
              <w:rPr>
                <w:rFonts w:hint="eastAsia"/>
                <w:vertAlign w:val="superscript"/>
                <w:lang w:val="zh-CN"/>
              </w:rPr>
              <w:t>3</w:t>
            </w:r>
            <w:r>
              <w:rPr>
                <w:rFonts w:hint="default"/>
                <w:lang w:val="zh-CN"/>
              </w:rPr>
              <w:t>/d功率：6.6Kw</w:t>
            </w:r>
            <w:r>
              <w:rPr>
                <w:rFonts w:hint="eastAsia"/>
                <w:lang w:val="zh-CN"/>
              </w:rPr>
              <w:t>，</w:t>
            </w:r>
            <w:r>
              <w:rPr>
                <w:rFonts w:hint="default"/>
                <w:lang w:val="zh-CN"/>
              </w:rPr>
              <w:t>12.5</w:t>
            </w:r>
            <w:r>
              <w:rPr>
                <w:rFonts w:hint="default"/>
                <w:lang w:val="en-US" w:eastAsia="zh-CN"/>
              </w:rPr>
              <w:t>m*</w:t>
            </w:r>
            <w:r>
              <w:rPr>
                <w:rFonts w:hint="default"/>
                <w:lang w:val="zh-CN"/>
              </w:rPr>
              <w:t>3</w:t>
            </w:r>
            <w:r>
              <w:rPr>
                <w:rFonts w:hint="default"/>
                <w:lang w:val="en-US" w:eastAsia="zh-CN"/>
              </w:rPr>
              <w:t>m*</w:t>
            </w:r>
            <w:r>
              <w:rPr>
                <w:rFonts w:hint="default"/>
                <w:lang w:val="zh-CN"/>
              </w:rPr>
              <w:t>3m</w:t>
            </w:r>
          </w:p>
        </w:tc>
        <w:tc>
          <w:tcPr>
            <w:tcW w:w="341" w:type="pct"/>
            <w:vAlign w:val="center"/>
          </w:tcPr>
          <w:p w14:paraId="1158E4C1">
            <w:pPr>
              <w:pStyle w:val="58"/>
              <w:bidi w:val="0"/>
              <w:rPr>
                <w:rFonts w:hint="default"/>
                <w:lang w:val="en-US" w:eastAsia="zh-CN"/>
              </w:rPr>
            </w:pPr>
            <w:r>
              <w:rPr>
                <w:rFonts w:hint="default"/>
                <w:lang w:val="en-US" w:eastAsia="zh-CN"/>
              </w:rPr>
              <w:t>1</w:t>
            </w:r>
          </w:p>
        </w:tc>
        <w:tc>
          <w:tcPr>
            <w:tcW w:w="348" w:type="pct"/>
            <w:vAlign w:val="center"/>
          </w:tcPr>
          <w:p w14:paraId="00BAB0D1">
            <w:pPr>
              <w:pStyle w:val="58"/>
              <w:bidi w:val="0"/>
              <w:rPr>
                <w:rFonts w:hint="default"/>
                <w:lang w:val="en-US" w:eastAsia="zh-CN"/>
              </w:rPr>
            </w:pPr>
            <w:r>
              <w:rPr>
                <w:rFonts w:hint="default"/>
                <w:lang w:val="en-US" w:eastAsia="zh-CN"/>
              </w:rPr>
              <w:t>台</w:t>
            </w:r>
          </w:p>
        </w:tc>
        <w:tc>
          <w:tcPr>
            <w:tcW w:w="766" w:type="pct"/>
            <w:vAlign w:val="center"/>
          </w:tcPr>
          <w:p w14:paraId="0FF3F046">
            <w:pPr>
              <w:pStyle w:val="58"/>
              <w:bidi w:val="0"/>
              <w:rPr>
                <w:rFonts w:hint="default"/>
                <w:lang w:val="zh-CN"/>
              </w:rPr>
            </w:pPr>
          </w:p>
        </w:tc>
      </w:tr>
      <w:tr w14:paraId="58E8CF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24F10380">
            <w:pPr>
              <w:pStyle w:val="58"/>
              <w:bidi w:val="0"/>
              <w:rPr>
                <w:rFonts w:hint="default"/>
                <w:lang w:val="en-US" w:eastAsia="zh-CN"/>
              </w:rPr>
            </w:pPr>
            <w:r>
              <w:rPr>
                <w:rFonts w:hint="default"/>
                <w:lang w:val="en-US" w:eastAsia="zh-CN"/>
              </w:rPr>
              <w:t>3.2</w:t>
            </w:r>
          </w:p>
        </w:tc>
        <w:tc>
          <w:tcPr>
            <w:tcW w:w="684" w:type="pct"/>
            <w:vAlign w:val="center"/>
          </w:tcPr>
          <w:p w14:paraId="67D11F73">
            <w:pPr>
              <w:pStyle w:val="58"/>
              <w:bidi w:val="0"/>
              <w:rPr>
                <w:rFonts w:hint="default"/>
                <w:lang w:val="en-US" w:eastAsia="zh-CN"/>
              </w:rPr>
            </w:pPr>
            <w:r>
              <w:rPr>
                <w:rFonts w:hint="default"/>
                <w:lang w:val="en-US" w:eastAsia="zh-CN"/>
              </w:rPr>
              <w:t>潜水搅拌器</w:t>
            </w:r>
          </w:p>
        </w:tc>
        <w:tc>
          <w:tcPr>
            <w:tcW w:w="2533" w:type="pct"/>
            <w:vAlign w:val="center"/>
          </w:tcPr>
          <w:p w14:paraId="0B848447">
            <w:pPr>
              <w:pStyle w:val="58"/>
              <w:bidi w:val="0"/>
              <w:rPr>
                <w:rFonts w:hint="default"/>
                <w:lang w:val="zh-CN"/>
              </w:rPr>
            </w:pPr>
            <w:r>
              <w:rPr>
                <w:rFonts w:hint="default"/>
                <w:lang w:val="zh-CN"/>
              </w:rPr>
              <w:t>型号：QJB0，37/6-220/-960，</w:t>
            </w:r>
          </w:p>
          <w:p w14:paraId="7C702942">
            <w:pPr>
              <w:pStyle w:val="58"/>
              <w:bidi w:val="0"/>
              <w:rPr>
                <w:rFonts w:hint="default"/>
                <w:lang w:val="zh-CN"/>
              </w:rPr>
            </w:pPr>
            <w:r>
              <w:rPr>
                <w:rFonts w:hint="default"/>
                <w:lang w:val="zh-CN"/>
              </w:rPr>
              <w:t>材质：304，配套304提升装置</w:t>
            </w:r>
          </w:p>
        </w:tc>
        <w:tc>
          <w:tcPr>
            <w:tcW w:w="341" w:type="pct"/>
            <w:vAlign w:val="center"/>
          </w:tcPr>
          <w:p w14:paraId="794B4875">
            <w:pPr>
              <w:pStyle w:val="58"/>
              <w:bidi w:val="0"/>
              <w:rPr>
                <w:rFonts w:hint="default"/>
                <w:lang w:val="en-US" w:eastAsia="zh-CN"/>
              </w:rPr>
            </w:pPr>
            <w:r>
              <w:rPr>
                <w:rFonts w:hint="default"/>
                <w:lang w:val="en-US" w:eastAsia="zh-CN"/>
              </w:rPr>
              <w:t>2</w:t>
            </w:r>
          </w:p>
        </w:tc>
        <w:tc>
          <w:tcPr>
            <w:tcW w:w="348" w:type="pct"/>
            <w:vAlign w:val="center"/>
          </w:tcPr>
          <w:p w14:paraId="19F497A7">
            <w:pPr>
              <w:pStyle w:val="58"/>
              <w:bidi w:val="0"/>
              <w:rPr>
                <w:rFonts w:hint="default"/>
                <w:lang w:val="en-US" w:eastAsia="zh-CN"/>
              </w:rPr>
            </w:pPr>
            <w:r>
              <w:rPr>
                <w:rFonts w:hint="default"/>
                <w:lang w:val="en-US" w:eastAsia="zh-CN"/>
              </w:rPr>
              <w:t>台</w:t>
            </w:r>
          </w:p>
        </w:tc>
        <w:tc>
          <w:tcPr>
            <w:tcW w:w="766" w:type="pct"/>
            <w:vAlign w:val="center"/>
          </w:tcPr>
          <w:p w14:paraId="745AF8FD">
            <w:pPr>
              <w:pStyle w:val="58"/>
              <w:bidi w:val="0"/>
              <w:rPr>
                <w:rFonts w:hint="default"/>
                <w:lang w:val="zh-CN"/>
              </w:rPr>
            </w:pPr>
          </w:p>
        </w:tc>
      </w:tr>
      <w:tr w14:paraId="0B9A419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4A2C6CCF">
            <w:pPr>
              <w:pStyle w:val="58"/>
              <w:bidi w:val="0"/>
              <w:rPr>
                <w:rFonts w:hint="default"/>
                <w:lang w:val="en-US" w:eastAsia="zh-CN"/>
              </w:rPr>
            </w:pPr>
            <w:r>
              <w:rPr>
                <w:rFonts w:hint="default"/>
                <w:lang w:val="en-US" w:eastAsia="zh-CN"/>
              </w:rPr>
              <w:t>3.3</w:t>
            </w:r>
          </w:p>
        </w:tc>
        <w:tc>
          <w:tcPr>
            <w:tcW w:w="684" w:type="pct"/>
            <w:vAlign w:val="center"/>
          </w:tcPr>
          <w:p w14:paraId="106D1CD7">
            <w:pPr>
              <w:pStyle w:val="58"/>
              <w:bidi w:val="0"/>
              <w:rPr>
                <w:rFonts w:hint="default"/>
                <w:lang w:val="en-US" w:eastAsia="zh-CN"/>
              </w:rPr>
            </w:pPr>
            <w:r>
              <w:rPr>
                <w:rFonts w:hint="default"/>
                <w:lang w:val="en-US" w:eastAsia="zh-CN"/>
              </w:rPr>
              <w:t>回流泵</w:t>
            </w:r>
          </w:p>
        </w:tc>
        <w:tc>
          <w:tcPr>
            <w:tcW w:w="2533" w:type="pct"/>
            <w:vAlign w:val="center"/>
          </w:tcPr>
          <w:p w14:paraId="725473D2">
            <w:pPr>
              <w:pStyle w:val="58"/>
              <w:bidi w:val="0"/>
              <w:rPr>
                <w:rFonts w:hint="default"/>
                <w:lang w:val="zh-CN"/>
              </w:rPr>
            </w:pPr>
            <w:r>
              <w:rPr>
                <w:rFonts w:hint="default"/>
                <w:lang w:val="zh-CN"/>
              </w:rPr>
              <w:t>类型：潜污泵型号：50WQ25-10-2.2(I)流量：25</w:t>
            </w:r>
            <w:r>
              <w:rPr>
                <w:rFonts w:hint="eastAsia"/>
                <w:lang w:val="zh-CN"/>
              </w:rPr>
              <w:t>m</w:t>
            </w:r>
            <w:r>
              <w:rPr>
                <w:rFonts w:hint="eastAsia"/>
                <w:vertAlign w:val="superscript"/>
                <w:lang w:val="zh-CN"/>
              </w:rPr>
              <w:t>3</w:t>
            </w:r>
            <w:r>
              <w:rPr>
                <w:rFonts w:hint="default"/>
                <w:lang w:val="zh-CN"/>
              </w:rPr>
              <w:t>/h，扬程：10kpa，功率：2.2Kw，材质：泵体铸铁</w:t>
            </w:r>
          </w:p>
        </w:tc>
        <w:tc>
          <w:tcPr>
            <w:tcW w:w="341" w:type="pct"/>
            <w:vAlign w:val="center"/>
          </w:tcPr>
          <w:p w14:paraId="19B9526B">
            <w:pPr>
              <w:pStyle w:val="58"/>
              <w:bidi w:val="0"/>
              <w:rPr>
                <w:rFonts w:hint="default"/>
                <w:lang w:val="en-US" w:eastAsia="zh-CN"/>
              </w:rPr>
            </w:pPr>
            <w:r>
              <w:rPr>
                <w:rFonts w:hint="default"/>
                <w:lang w:val="en-US" w:eastAsia="zh-CN"/>
              </w:rPr>
              <w:t>1</w:t>
            </w:r>
          </w:p>
        </w:tc>
        <w:tc>
          <w:tcPr>
            <w:tcW w:w="348" w:type="pct"/>
            <w:vAlign w:val="center"/>
          </w:tcPr>
          <w:p w14:paraId="55A75FA0">
            <w:pPr>
              <w:pStyle w:val="58"/>
              <w:bidi w:val="0"/>
              <w:rPr>
                <w:rFonts w:hint="default"/>
                <w:lang w:val="en-US" w:eastAsia="zh-CN"/>
              </w:rPr>
            </w:pPr>
            <w:r>
              <w:rPr>
                <w:rFonts w:hint="default"/>
                <w:lang w:val="en-US" w:eastAsia="zh-CN"/>
              </w:rPr>
              <w:t>台</w:t>
            </w:r>
          </w:p>
        </w:tc>
        <w:tc>
          <w:tcPr>
            <w:tcW w:w="766" w:type="pct"/>
            <w:vAlign w:val="center"/>
          </w:tcPr>
          <w:p w14:paraId="0649C312">
            <w:pPr>
              <w:pStyle w:val="58"/>
              <w:bidi w:val="0"/>
              <w:rPr>
                <w:rFonts w:hint="default"/>
                <w:lang w:val="zh-CN"/>
              </w:rPr>
            </w:pPr>
          </w:p>
        </w:tc>
      </w:tr>
      <w:bookmarkEnd w:id="155"/>
      <w:tr w14:paraId="4D351DE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000" w:type="pct"/>
            <w:gridSpan w:val="6"/>
            <w:vAlign w:val="center"/>
          </w:tcPr>
          <w:p w14:paraId="107612FA">
            <w:pPr>
              <w:pStyle w:val="58"/>
              <w:bidi w:val="0"/>
              <w:rPr>
                <w:rFonts w:hint="default"/>
                <w:lang w:val="zh-CN"/>
              </w:rPr>
            </w:pPr>
            <w:r>
              <w:rPr>
                <w:rFonts w:hint="default"/>
                <w:lang w:val="en-US" w:eastAsia="zh-CN"/>
              </w:rPr>
              <w:t>4</w:t>
            </w:r>
            <w:bookmarkStart w:id="156" w:name="OLE_LINK20"/>
            <w:r>
              <w:rPr>
                <w:rFonts w:hint="default"/>
                <w:lang w:val="en-US" w:eastAsia="zh-CN"/>
              </w:rPr>
              <w:t>混凝沉淀池</w:t>
            </w:r>
            <w:bookmarkEnd w:id="156"/>
          </w:p>
        </w:tc>
      </w:tr>
      <w:tr w14:paraId="21DE1F7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0690C349">
            <w:pPr>
              <w:pStyle w:val="58"/>
              <w:bidi w:val="0"/>
              <w:rPr>
                <w:rFonts w:hint="default"/>
                <w:lang w:val="en-US" w:eastAsia="zh-CN"/>
              </w:rPr>
            </w:pPr>
            <w:r>
              <w:rPr>
                <w:rFonts w:hint="default"/>
                <w:lang w:val="en-US" w:eastAsia="zh-CN"/>
              </w:rPr>
              <w:t>4.1</w:t>
            </w:r>
          </w:p>
        </w:tc>
        <w:tc>
          <w:tcPr>
            <w:tcW w:w="684" w:type="pct"/>
            <w:vAlign w:val="center"/>
          </w:tcPr>
          <w:p w14:paraId="1BBE498D">
            <w:pPr>
              <w:pStyle w:val="58"/>
              <w:bidi w:val="0"/>
              <w:rPr>
                <w:rFonts w:hint="default"/>
                <w:lang w:val="en-US" w:eastAsia="zh-CN"/>
              </w:rPr>
            </w:pPr>
            <w:bookmarkStart w:id="157" w:name="OLE_LINK21"/>
            <w:r>
              <w:rPr>
                <w:rFonts w:hint="default"/>
                <w:lang w:val="en-US" w:eastAsia="zh-CN"/>
              </w:rPr>
              <w:t>排泥泵</w:t>
            </w:r>
            <w:bookmarkEnd w:id="157"/>
          </w:p>
        </w:tc>
        <w:tc>
          <w:tcPr>
            <w:tcW w:w="2533" w:type="pct"/>
            <w:vAlign w:val="center"/>
          </w:tcPr>
          <w:p w14:paraId="5A5F88D0">
            <w:pPr>
              <w:pStyle w:val="58"/>
              <w:bidi w:val="0"/>
              <w:rPr>
                <w:rFonts w:hint="default"/>
                <w:lang w:val="zh-CN"/>
              </w:rPr>
            </w:pPr>
            <w:r>
              <w:rPr>
                <w:rFonts w:hint="default"/>
                <w:lang w:val="en-US" w:eastAsia="zh-CN"/>
              </w:rPr>
              <w:t>类型：自吸式无堵塞排污泵型号：ZW25-8-15流量：8</w:t>
            </w:r>
            <w:r>
              <w:rPr>
                <w:rFonts w:hint="eastAsia"/>
                <w:lang w:val="en-US" w:eastAsia="zh-CN"/>
              </w:rPr>
              <w:t>m</w:t>
            </w:r>
            <w:r>
              <w:rPr>
                <w:rFonts w:hint="eastAsia"/>
                <w:vertAlign w:val="superscript"/>
                <w:lang w:val="en-US" w:eastAsia="zh-CN"/>
              </w:rPr>
              <w:t>3</w:t>
            </w:r>
            <w:r>
              <w:rPr>
                <w:rFonts w:hint="default"/>
                <w:lang w:val="en-US" w:eastAsia="zh-CN"/>
              </w:rPr>
              <w:t>/h，扬程：15m，功率：1.5Kw，材质：泵体铸铁</w:t>
            </w:r>
          </w:p>
        </w:tc>
        <w:tc>
          <w:tcPr>
            <w:tcW w:w="341" w:type="pct"/>
            <w:vAlign w:val="center"/>
          </w:tcPr>
          <w:p w14:paraId="47A2E4AE">
            <w:pPr>
              <w:pStyle w:val="58"/>
              <w:bidi w:val="0"/>
              <w:rPr>
                <w:rFonts w:hint="default"/>
                <w:lang w:val="en-US" w:eastAsia="zh-CN"/>
              </w:rPr>
            </w:pPr>
            <w:r>
              <w:rPr>
                <w:rFonts w:hint="default"/>
                <w:lang w:val="en-US" w:eastAsia="zh-CN"/>
              </w:rPr>
              <w:t>2</w:t>
            </w:r>
          </w:p>
        </w:tc>
        <w:tc>
          <w:tcPr>
            <w:tcW w:w="348" w:type="pct"/>
            <w:vAlign w:val="center"/>
          </w:tcPr>
          <w:p w14:paraId="7BC0C5C4">
            <w:pPr>
              <w:pStyle w:val="58"/>
              <w:bidi w:val="0"/>
              <w:rPr>
                <w:rFonts w:hint="default"/>
                <w:lang w:val="en-US" w:eastAsia="zh-CN"/>
              </w:rPr>
            </w:pPr>
            <w:r>
              <w:rPr>
                <w:rFonts w:hint="default"/>
                <w:lang w:val="en-US" w:eastAsia="zh-CN"/>
              </w:rPr>
              <w:t>台</w:t>
            </w:r>
          </w:p>
        </w:tc>
        <w:tc>
          <w:tcPr>
            <w:tcW w:w="766" w:type="pct"/>
            <w:vAlign w:val="center"/>
          </w:tcPr>
          <w:p w14:paraId="56DE9B7E">
            <w:pPr>
              <w:pStyle w:val="58"/>
              <w:bidi w:val="0"/>
              <w:rPr>
                <w:rFonts w:hint="default"/>
                <w:lang w:val="zh-CN"/>
              </w:rPr>
            </w:pPr>
          </w:p>
        </w:tc>
      </w:tr>
      <w:tr w14:paraId="05BFAA2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000" w:type="pct"/>
            <w:gridSpan w:val="6"/>
            <w:vAlign w:val="center"/>
          </w:tcPr>
          <w:p w14:paraId="143A4EBE">
            <w:pPr>
              <w:pStyle w:val="58"/>
              <w:bidi w:val="0"/>
              <w:rPr>
                <w:rFonts w:hint="default"/>
                <w:lang w:val="zh-CN"/>
              </w:rPr>
            </w:pPr>
            <w:r>
              <w:rPr>
                <w:rFonts w:hint="default"/>
                <w:lang w:val="en-US" w:eastAsia="zh-CN"/>
              </w:rPr>
              <w:t>5</w:t>
            </w:r>
            <w:bookmarkStart w:id="158" w:name="OLE_LINK22"/>
            <w:r>
              <w:rPr>
                <w:rFonts w:hint="eastAsia"/>
                <w:vertAlign w:val="baseline"/>
                <w:lang w:val="en-US" w:eastAsia="zh-CN"/>
              </w:rPr>
              <w:t>砂滤</w:t>
            </w:r>
            <w:r>
              <w:rPr>
                <w:rFonts w:hint="default"/>
                <w:lang w:val="en-US" w:eastAsia="zh-CN"/>
              </w:rPr>
              <w:t>设备</w:t>
            </w:r>
            <w:bookmarkEnd w:id="158"/>
          </w:p>
        </w:tc>
      </w:tr>
      <w:tr w14:paraId="10B867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6ADA834E">
            <w:pPr>
              <w:pStyle w:val="58"/>
              <w:bidi w:val="0"/>
              <w:rPr>
                <w:rFonts w:hint="default"/>
                <w:lang w:val="en-US" w:eastAsia="zh-CN"/>
              </w:rPr>
            </w:pPr>
            <w:bookmarkStart w:id="159" w:name="OLE_LINK23" w:colFirst="1" w:colLast="1"/>
            <w:r>
              <w:rPr>
                <w:rFonts w:hint="default"/>
                <w:lang w:val="en-US" w:eastAsia="zh-CN"/>
              </w:rPr>
              <w:t>5.1</w:t>
            </w:r>
          </w:p>
        </w:tc>
        <w:tc>
          <w:tcPr>
            <w:tcW w:w="684" w:type="pct"/>
            <w:vAlign w:val="center"/>
          </w:tcPr>
          <w:p w14:paraId="7BE7C434">
            <w:pPr>
              <w:pStyle w:val="58"/>
              <w:bidi w:val="0"/>
              <w:rPr>
                <w:rFonts w:hint="default"/>
                <w:lang w:val="en-US" w:eastAsia="zh-CN"/>
              </w:rPr>
            </w:pPr>
            <w:r>
              <w:rPr>
                <w:rFonts w:hint="eastAsia"/>
                <w:lang w:val="en-US" w:eastAsia="zh-CN"/>
              </w:rPr>
              <w:t>砂滤</w:t>
            </w:r>
            <w:r>
              <w:rPr>
                <w:rFonts w:hint="default"/>
                <w:lang w:val="en-US" w:eastAsia="zh-CN"/>
              </w:rPr>
              <w:t>罐进水泵</w:t>
            </w:r>
          </w:p>
        </w:tc>
        <w:tc>
          <w:tcPr>
            <w:tcW w:w="2533" w:type="pct"/>
            <w:vAlign w:val="center"/>
          </w:tcPr>
          <w:p w14:paraId="504FB995">
            <w:pPr>
              <w:pStyle w:val="58"/>
              <w:bidi w:val="0"/>
              <w:rPr>
                <w:rFonts w:hint="default"/>
                <w:lang w:val="zh-CN"/>
              </w:rPr>
            </w:pPr>
            <w:r>
              <w:rPr>
                <w:rFonts w:hint="default"/>
                <w:lang w:val="zh-CN"/>
              </w:rPr>
              <w:t>潜水泵，50WQ/E20-14-1.5，Q=12</w:t>
            </w:r>
            <w:r>
              <w:rPr>
                <w:rFonts w:hint="eastAsia"/>
                <w:lang w:val="zh-CN"/>
              </w:rPr>
              <w:t>m</w:t>
            </w:r>
            <w:r>
              <w:rPr>
                <w:rFonts w:hint="eastAsia"/>
                <w:vertAlign w:val="superscript"/>
                <w:lang w:val="zh-CN"/>
              </w:rPr>
              <w:t>3</w:t>
            </w:r>
            <w:r>
              <w:rPr>
                <w:rFonts w:hint="default"/>
                <w:lang w:val="zh-CN"/>
              </w:rPr>
              <w:t>/h，H=15m，1.5Kw</w:t>
            </w:r>
          </w:p>
        </w:tc>
        <w:tc>
          <w:tcPr>
            <w:tcW w:w="341" w:type="pct"/>
            <w:vAlign w:val="center"/>
          </w:tcPr>
          <w:p w14:paraId="30F30ADE">
            <w:pPr>
              <w:pStyle w:val="58"/>
              <w:bidi w:val="0"/>
              <w:rPr>
                <w:rFonts w:hint="default"/>
                <w:lang w:val="en-US" w:eastAsia="zh-CN"/>
              </w:rPr>
            </w:pPr>
            <w:r>
              <w:rPr>
                <w:rFonts w:hint="default"/>
                <w:lang w:val="en-US" w:eastAsia="zh-CN"/>
              </w:rPr>
              <w:t>1</w:t>
            </w:r>
          </w:p>
        </w:tc>
        <w:tc>
          <w:tcPr>
            <w:tcW w:w="348" w:type="pct"/>
            <w:vAlign w:val="center"/>
          </w:tcPr>
          <w:p w14:paraId="5D65D082">
            <w:pPr>
              <w:pStyle w:val="58"/>
              <w:bidi w:val="0"/>
              <w:rPr>
                <w:rFonts w:hint="default"/>
                <w:lang w:val="en-US" w:eastAsia="zh-CN"/>
              </w:rPr>
            </w:pPr>
            <w:r>
              <w:rPr>
                <w:rFonts w:hint="default"/>
                <w:lang w:val="en-US" w:eastAsia="zh-CN"/>
              </w:rPr>
              <w:t>台</w:t>
            </w:r>
          </w:p>
        </w:tc>
        <w:tc>
          <w:tcPr>
            <w:tcW w:w="766" w:type="pct"/>
            <w:vAlign w:val="center"/>
          </w:tcPr>
          <w:p w14:paraId="278A3847">
            <w:pPr>
              <w:pStyle w:val="58"/>
              <w:bidi w:val="0"/>
              <w:rPr>
                <w:rFonts w:hint="default"/>
                <w:lang w:val="zh-CN"/>
              </w:rPr>
            </w:pPr>
          </w:p>
        </w:tc>
      </w:tr>
      <w:tr w14:paraId="62C5F9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00922116">
            <w:pPr>
              <w:pStyle w:val="58"/>
              <w:bidi w:val="0"/>
              <w:rPr>
                <w:rFonts w:hint="default"/>
                <w:lang w:val="en-US" w:eastAsia="zh-CN"/>
              </w:rPr>
            </w:pPr>
            <w:r>
              <w:rPr>
                <w:rFonts w:hint="default"/>
                <w:lang w:val="en-US" w:eastAsia="zh-CN"/>
              </w:rPr>
              <w:t>5.2</w:t>
            </w:r>
          </w:p>
        </w:tc>
        <w:tc>
          <w:tcPr>
            <w:tcW w:w="684" w:type="pct"/>
            <w:vAlign w:val="center"/>
          </w:tcPr>
          <w:p w14:paraId="060EA613">
            <w:pPr>
              <w:pStyle w:val="58"/>
              <w:bidi w:val="0"/>
              <w:rPr>
                <w:rFonts w:hint="default"/>
                <w:lang w:val="en-US" w:eastAsia="zh-CN"/>
              </w:rPr>
            </w:pPr>
            <w:r>
              <w:rPr>
                <w:rFonts w:hint="eastAsia"/>
                <w:lang w:val="en-US" w:eastAsia="zh-CN"/>
              </w:rPr>
              <w:t>砂滤</w:t>
            </w:r>
            <w:r>
              <w:rPr>
                <w:rFonts w:hint="default"/>
                <w:lang w:val="en-US" w:eastAsia="zh-CN"/>
              </w:rPr>
              <w:t>罐反洗泵</w:t>
            </w:r>
          </w:p>
        </w:tc>
        <w:tc>
          <w:tcPr>
            <w:tcW w:w="2533" w:type="pct"/>
            <w:vAlign w:val="center"/>
          </w:tcPr>
          <w:p w14:paraId="1A88B577">
            <w:pPr>
              <w:pStyle w:val="58"/>
              <w:bidi w:val="0"/>
              <w:rPr>
                <w:rFonts w:hint="default"/>
                <w:lang w:val="zh-CN"/>
              </w:rPr>
            </w:pPr>
            <w:r>
              <w:rPr>
                <w:rFonts w:hint="default"/>
                <w:lang w:val="zh-CN"/>
              </w:rPr>
              <w:t>潜水泵，50WQ/E30-14-2.2，Q=20</w:t>
            </w:r>
            <w:r>
              <w:rPr>
                <w:rFonts w:hint="eastAsia"/>
                <w:lang w:val="zh-CN"/>
              </w:rPr>
              <w:t>m</w:t>
            </w:r>
            <w:r>
              <w:rPr>
                <w:rFonts w:hint="eastAsia"/>
                <w:vertAlign w:val="superscript"/>
                <w:lang w:val="zh-CN"/>
              </w:rPr>
              <w:t>3</w:t>
            </w:r>
            <w:r>
              <w:rPr>
                <w:rFonts w:hint="default"/>
                <w:lang w:val="zh-CN"/>
              </w:rPr>
              <w:t>/h，H=15m，2.2Kw</w:t>
            </w:r>
          </w:p>
        </w:tc>
        <w:tc>
          <w:tcPr>
            <w:tcW w:w="341" w:type="pct"/>
            <w:vAlign w:val="center"/>
          </w:tcPr>
          <w:p w14:paraId="08BA2EA5">
            <w:pPr>
              <w:pStyle w:val="58"/>
              <w:bidi w:val="0"/>
              <w:rPr>
                <w:rFonts w:hint="default"/>
                <w:lang w:val="en-US" w:eastAsia="zh-CN"/>
              </w:rPr>
            </w:pPr>
            <w:r>
              <w:rPr>
                <w:rFonts w:hint="default"/>
                <w:lang w:val="en-US" w:eastAsia="zh-CN"/>
              </w:rPr>
              <w:t>1</w:t>
            </w:r>
          </w:p>
        </w:tc>
        <w:tc>
          <w:tcPr>
            <w:tcW w:w="348" w:type="pct"/>
            <w:vAlign w:val="center"/>
          </w:tcPr>
          <w:p w14:paraId="5D815838">
            <w:pPr>
              <w:pStyle w:val="58"/>
              <w:bidi w:val="0"/>
              <w:rPr>
                <w:rFonts w:hint="default"/>
                <w:lang w:val="en-US" w:eastAsia="zh-CN"/>
              </w:rPr>
            </w:pPr>
            <w:r>
              <w:rPr>
                <w:rFonts w:hint="default"/>
                <w:lang w:val="en-US" w:eastAsia="zh-CN"/>
              </w:rPr>
              <w:t>台</w:t>
            </w:r>
          </w:p>
        </w:tc>
        <w:tc>
          <w:tcPr>
            <w:tcW w:w="766" w:type="pct"/>
            <w:vAlign w:val="center"/>
          </w:tcPr>
          <w:p w14:paraId="7A6763ED">
            <w:pPr>
              <w:pStyle w:val="58"/>
              <w:bidi w:val="0"/>
              <w:rPr>
                <w:rFonts w:hint="default"/>
                <w:lang w:val="zh-CN"/>
              </w:rPr>
            </w:pPr>
          </w:p>
        </w:tc>
      </w:tr>
      <w:bookmarkEnd w:id="159"/>
      <w:tr w14:paraId="203C651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397B1E14">
            <w:pPr>
              <w:pStyle w:val="58"/>
              <w:bidi w:val="0"/>
              <w:rPr>
                <w:rFonts w:hint="default"/>
                <w:lang w:val="en-US" w:eastAsia="zh-CN"/>
              </w:rPr>
            </w:pPr>
            <w:r>
              <w:rPr>
                <w:rFonts w:hint="default"/>
                <w:lang w:val="en-US" w:eastAsia="zh-CN"/>
              </w:rPr>
              <w:t>5.3</w:t>
            </w:r>
          </w:p>
        </w:tc>
        <w:tc>
          <w:tcPr>
            <w:tcW w:w="684" w:type="pct"/>
            <w:vAlign w:val="center"/>
          </w:tcPr>
          <w:p w14:paraId="001EBB2F">
            <w:pPr>
              <w:pStyle w:val="58"/>
              <w:bidi w:val="0"/>
              <w:rPr>
                <w:rFonts w:hint="default"/>
                <w:lang w:val="en-US" w:eastAsia="zh-CN"/>
              </w:rPr>
            </w:pPr>
            <w:r>
              <w:rPr>
                <w:rFonts w:hint="eastAsia"/>
                <w:lang w:val="en-US" w:eastAsia="zh-CN"/>
              </w:rPr>
              <w:t>砂滤</w:t>
            </w:r>
            <w:r>
              <w:rPr>
                <w:rFonts w:hint="default"/>
                <w:lang w:val="en-US" w:eastAsia="zh-CN"/>
              </w:rPr>
              <w:t>罐</w:t>
            </w:r>
          </w:p>
        </w:tc>
        <w:tc>
          <w:tcPr>
            <w:tcW w:w="2533" w:type="pct"/>
            <w:vAlign w:val="center"/>
          </w:tcPr>
          <w:p w14:paraId="0160DAC1">
            <w:pPr>
              <w:pStyle w:val="58"/>
              <w:bidi w:val="0"/>
              <w:rPr>
                <w:rFonts w:hint="default"/>
                <w:lang w:val="en-US" w:eastAsia="zh-CN"/>
              </w:rPr>
            </w:pPr>
            <w:r>
              <w:rPr>
                <w:rFonts w:hint="default"/>
                <w:lang w:val="en-US" w:eastAsia="zh-CN"/>
              </w:rPr>
              <w:t>材质：碳钢防腐，处理量：230</w:t>
            </w:r>
            <w:r>
              <w:rPr>
                <w:rFonts w:hint="eastAsia"/>
                <w:lang w:val="en-US" w:eastAsia="zh-CN"/>
              </w:rPr>
              <w:t>m</w:t>
            </w:r>
            <w:r>
              <w:rPr>
                <w:rFonts w:hint="eastAsia"/>
                <w:vertAlign w:val="superscript"/>
                <w:lang w:val="en-US" w:eastAsia="zh-CN"/>
              </w:rPr>
              <w:t>3</w:t>
            </w:r>
            <w:r>
              <w:rPr>
                <w:rFonts w:hint="default"/>
                <w:lang w:val="en-US" w:eastAsia="zh-CN"/>
              </w:rPr>
              <w:t>/d，直径：1500mm</w:t>
            </w:r>
          </w:p>
        </w:tc>
        <w:tc>
          <w:tcPr>
            <w:tcW w:w="341" w:type="pct"/>
            <w:vAlign w:val="center"/>
          </w:tcPr>
          <w:p w14:paraId="42CA6CE7">
            <w:pPr>
              <w:pStyle w:val="58"/>
              <w:bidi w:val="0"/>
              <w:rPr>
                <w:rFonts w:hint="default"/>
                <w:lang w:val="en-US" w:eastAsia="zh-CN"/>
              </w:rPr>
            </w:pPr>
            <w:r>
              <w:rPr>
                <w:rFonts w:hint="default"/>
                <w:lang w:val="en-US" w:eastAsia="zh-CN"/>
              </w:rPr>
              <w:t>1</w:t>
            </w:r>
          </w:p>
        </w:tc>
        <w:tc>
          <w:tcPr>
            <w:tcW w:w="348" w:type="pct"/>
            <w:vAlign w:val="center"/>
          </w:tcPr>
          <w:p w14:paraId="3963DBC0">
            <w:pPr>
              <w:pStyle w:val="58"/>
              <w:bidi w:val="0"/>
              <w:rPr>
                <w:rFonts w:hint="default"/>
                <w:lang w:val="en-US" w:eastAsia="zh-CN"/>
              </w:rPr>
            </w:pPr>
            <w:r>
              <w:rPr>
                <w:rFonts w:hint="default"/>
                <w:lang w:val="en-US" w:eastAsia="zh-CN"/>
              </w:rPr>
              <w:t>套</w:t>
            </w:r>
          </w:p>
        </w:tc>
        <w:tc>
          <w:tcPr>
            <w:tcW w:w="766" w:type="pct"/>
            <w:vAlign w:val="center"/>
          </w:tcPr>
          <w:p w14:paraId="1137D833">
            <w:pPr>
              <w:pStyle w:val="58"/>
              <w:bidi w:val="0"/>
              <w:rPr>
                <w:rFonts w:hint="default"/>
                <w:lang w:val="zh-CN"/>
              </w:rPr>
            </w:pPr>
          </w:p>
        </w:tc>
      </w:tr>
      <w:tr w14:paraId="2179519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000" w:type="pct"/>
            <w:gridSpan w:val="6"/>
            <w:vAlign w:val="center"/>
          </w:tcPr>
          <w:p w14:paraId="5D6E4BFE">
            <w:pPr>
              <w:pStyle w:val="58"/>
              <w:bidi w:val="0"/>
              <w:rPr>
                <w:rFonts w:hint="default"/>
                <w:highlight w:val="none"/>
                <w:lang w:val="zh-CN"/>
              </w:rPr>
            </w:pPr>
            <w:r>
              <w:rPr>
                <w:rFonts w:hint="default"/>
                <w:highlight w:val="none"/>
                <w:lang w:val="en-US" w:eastAsia="zh-CN"/>
              </w:rPr>
              <w:t>6</w:t>
            </w:r>
            <w:r>
              <w:rPr>
                <w:rFonts w:hint="eastAsia"/>
                <w:highlight w:val="none"/>
                <w:lang w:val="en-US" w:eastAsia="zh-CN"/>
              </w:rPr>
              <w:t>回用水池</w:t>
            </w:r>
          </w:p>
        </w:tc>
      </w:tr>
      <w:tr w14:paraId="6F2A59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7B6AE4E6">
            <w:pPr>
              <w:pStyle w:val="58"/>
              <w:bidi w:val="0"/>
              <w:rPr>
                <w:rFonts w:hint="default"/>
                <w:highlight w:val="none"/>
                <w:lang w:val="en-US" w:eastAsia="zh-CN"/>
              </w:rPr>
            </w:pPr>
            <w:r>
              <w:rPr>
                <w:rFonts w:hint="default"/>
                <w:highlight w:val="none"/>
                <w:lang w:val="en-US" w:eastAsia="zh-CN"/>
              </w:rPr>
              <w:t>6.1</w:t>
            </w:r>
          </w:p>
        </w:tc>
        <w:tc>
          <w:tcPr>
            <w:tcW w:w="684" w:type="pct"/>
            <w:vAlign w:val="center"/>
          </w:tcPr>
          <w:p w14:paraId="6BFB53DC">
            <w:pPr>
              <w:pStyle w:val="58"/>
              <w:bidi w:val="0"/>
              <w:rPr>
                <w:rFonts w:hint="default"/>
                <w:highlight w:val="none"/>
                <w:lang w:val="en-US" w:eastAsia="zh-CN"/>
              </w:rPr>
            </w:pPr>
            <w:bookmarkStart w:id="160" w:name="OLE_LINK24"/>
            <w:r>
              <w:rPr>
                <w:rFonts w:hint="default"/>
                <w:highlight w:val="none"/>
                <w:lang w:val="en-US" w:eastAsia="zh-CN"/>
              </w:rPr>
              <w:t>潜污泵</w:t>
            </w:r>
            <w:bookmarkEnd w:id="160"/>
          </w:p>
        </w:tc>
        <w:tc>
          <w:tcPr>
            <w:tcW w:w="2533" w:type="pct"/>
            <w:vAlign w:val="center"/>
          </w:tcPr>
          <w:p w14:paraId="31A9C5AF">
            <w:pPr>
              <w:pStyle w:val="58"/>
              <w:bidi w:val="0"/>
              <w:rPr>
                <w:rFonts w:hint="default"/>
                <w:highlight w:val="none"/>
                <w:lang w:val="zh-CN"/>
              </w:rPr>
            </w:pPr>
            <w:r>
              <w:rPr>
                <w:rFonts w:hint="default"/>
                <w:highlight w:val="none"/>
                <w:lang w:val="zh-CN"/>
              </w:rPr>
              <w:t>型号JYWQ50-10-11-1200-1.1，Q=12</w:t>
            </w:r>
            <w:r>
              <w:rPr>
                <w:rFonts w:hint="eastAsia"/>
                <w:highlight w:val="none"/>
                <w:lang w:val="zh-CN"/>
              </w:rPr>
              <w:t>m</w:t>
            </w:r>
            <w:r>
              <w:rPr>
                <w:rFonts w:hint="eastAsia"/>
                <w:highlight w:val="none"/>
                <w:vertAlign w:val="superscript"/>
                <w:lang w:val="zh-CN"/>
              </w:rPr>
              <w:t>3</w:t>
            </w:r>
            <w:r>
              <w:rPr>
                <w:rFonts w:hint="default"/>
                <w:highlight w:val="none"/>
                <w:lang w:val="zh-CN"/>
              </w:rPr>
              <w:t>/h，H=9.2m，1.1Kw</w:t>
            </w:r>
          </w:p>
        </w:tc>
        <w:tc>
          <w:tcPr>
            <w:tcW w:w="341" w:type="pct"/>
            <w:vAlign w:val="center"/>
          </w:tcPr>
          <w:p w14:paraId="181508B6">
            <w:pPr>
              <w:pStyle w:val="58"/>
              <w:bidi w:val="0"/>
              <w:rPr>
                <w:rFonts w:hint="default"/>
                <w:highlight w:val="none"/>
                <w:lang w:val="en-US" w:eastAsia="zh-CN"/>
              </w:rPr>
            </w:pPr>
            <w:r>
              <w:rPr>
                <w:rFonts w:hint="default"/>
                <w:highlight w:val="none"/>
                <w:lang w:val="en-US" w:eastAsia="zh-CN"/>
              </w:rPr>
              <w:t>2</w:t>
            </w:r>
          </w:p>
        </w:tc>
        <w:tc>
          <w:tcPr>
            <w:tcW w:w="348" w:type="pct"/>
            <w:vAlign w:val="center"/>
          </w:tcPr>
          <w:p w14:paraId="257CD886">
            <w:pPr>
              <w:pStyle w:val="58"/>
              <w:bidi w:val="0"/>
              <w:rPr>
                <w:rFonts w:hint="default"/>
                <w:highlight w:val="none"/>
                <w:lang w:val="en-US" w:eastAsia="zh-CN"/>
              </w:rPr>
            </w:pPr>
            <w:r>
              <w:rPr>
                <w:rFonts w:hint="default"/>
                <w:highlight w:val="none"/>
                <w:lang w:val="en-US" w:eastAsia="zh-CN"/>
              </w:rPr>
              <w:t>台</w:t>
            </w:r>
          </w:p>
        </w:tc>
        <w:tc>
          <w:tcPr>
            <w:tcW w:w="766" w:type="pct"/>
            <w:vAlign w:val="center"/>
          </w:tcPr>
          <w:p w14:paraId="1FCCDBD0">
            <w:pPr>
              <w:pStyle w:val="58"/>
              <w:bidi w:val="0"/>
              <w:rPr>
                <w:rFonts w:hint="default"/>
                <w:highlight w:val="none"/>
                <w:lang w:val="en-US" w:eastAsia="zh-CN"/>
              </w:rPr>
            </w:pPr>
            <w:r>
              <w:rPr>
                <w:rFonts w:hint="default"/>
                <w:highlight w:val="none"/>
                <w:lang w:val="en-US" w:eastAsia="zh-CN"/>
              </w:rPr>
              <w:t>1用1备</w:t>
            </w:r>
          </w:p>
        </w:tc>
      </w:tr>
      <w:tr w14:paraId="7104382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000" w:type="pct"/>
            <w:gridSpan w:val="6"/>
            <w:vAlign w:val="center"/>
          </w:tcPr>
          <w:p w14:paraId="391571E1">
            <w:pPr>
              <w:pStyle w:val="58"/>
              <w:bidi w:val="0"/>
              <w:jc w:val="center"/>
              <w:rPr>
                <w:rFonts w:hint="default"/>
                <w:highlight w:val="none"/>
                <w:lang w:val="zh-CN"/>
              </w:rPr>
            </w:pPr>
            <w:r>
              <w:rPr>
                <w:rFonts w:hint="default"/>
                <w:highlight w:val="none"/>
                <w:lang w:val="en-US" w:eastAsia="zh-CN"/>
              </w:rPr>
              <w:t>7</w:t>
            </w:r>
            <w:r>
              <w:rPr>
                <w:rFonts w:hint="eastAsia"/>
                <w:highlight w:val="none"/>
                <w:lang w:val="en-US" w:eastAsia="zh-CN"/>
              </w:rPr>
              <w:t>实验室</w:t>
            </w:r>
          </w:p>
        </w:tc>
      </w:tr>
      <w:tr w14:paraId="1E95649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06BA6D3E">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highlight w:val="none"/>
                <w:lang w:val="en-US" w:eastAsia="zh-CN"/>
              </w:rPr>
            </w:pPr>
            <w:r>
              <w:rPr>
                <w:rFonts w:hint="default"/>
                <w:highlight w:val="none"/>
                <w:lang w:val="en-US" w:eastAsia="zh-CN"/>
              </w:rPr>
              <w:t>7.1</w:t>
            </w:r>
          </w:p>
        </w:tc>
        <w:tc>
          <w:tcPr>
            <w:tcW w:w="684" w:type="pct"/>
            <w:shd w:val="clear" w:color="auto" w:fill="auto"/>
            <w:vAlign w:val="center"/>
          </w:tcPr>
          <w:p w14:paraId="4F57B175">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pH计</w:t>
            </w:r>
          </w:p>
        </w:tc>
        <w:tc>
          <w:tcPr>
            <w:tcW w:w="2533" w:type="pct"/>
            <w:shd w:val="clear" w:color="auto" w:fill="auto"/>
            <w:vAlign w:val="center"/>
          </w:tcPr>
          <w:p w14:paraId="4386D2C8">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PHS-3C</w:t>
            </w:r>
          </w:p>
        </w:tc>
        <w:tc>
          <w:tcPr>
            <w:tcW w:w="341" w:type="pct"/>
            <w:shd w:val="clear" w:color="auto" w:fill="auto"/>
            <w:vAlign w:val="center"/>
          </w:tcPr>
          <w:p w14:paraId="1F2A1C56">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1</w:t>
            </w:r>
          </w:p>
        </w:tc>
        <w:tc>
          <w:tcPr>
            <w:tcW w:w="348" w:type="pct"/>
            <w:vAlign w:val="center"/>
          </w:tcPr>
          <w:p w14:paraId="0B72B5A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2"/>
                <w:sz w:val="21"/>
                <w:szCs w:val="21"/>
                <w:highlight w:val="none"/>
                <w:lang w:val="en-US" w:eastAsia="zh-CN" w:bidi="ar-SA"/>
              </w:rPr>
              <w:t>台</w:t>
            </w:r>
          </w:p>
        </w:tc>
        <w:tc>
          <w:tcPr>
            <w:tcW w:w="766" w:type="pct"/>
            <w:vAlign w:val="center"/>
          </w:tcPr>
          <w:p w14:paraId="6166F63A">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zh-CN" w:eastAsia="zh-CN" w:bidi="ar-SA"/>
              </w:rPr>
            </w:pPr>
          </w:p>
        </w:tc>
      </w:tr>
      <w:tr w14:paraId="0CA9AB7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3B77ED94">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highlight w:val="none"/>
                <w:lang w:val="en-US" w:eastAsia="zh-CN"/>
              </w:rPr>
            </w:pPr>
            <w:r>
              <w:rPr>
                <w:rFonts w:hint="eastAsia"/>
                <w:highlight w:val="none"/>
                <w:lang w:val="en-US" w:eastAsia="zh-CN"/>
              </w:rPr>
              <w:t>7.2</w:t>
            </w:r>
          </w:p>
        </w:tc>
        <w:tc>
          <w:tcPr>
            <w:tcW w:w="684" w:type="pct"/>
            <w:shd w:val="clear" w:color="auto" w:fill="auto"/>
            <w:vAlign w:val="center"/>
          </w:tcPr>
          <w:p w14:paraId="6D428EA9">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生化培养箱</w:t>
            </w:r>
          </w:p>
        </w:tc>
        <w:tc>
          <w:tcPr>
            <w:tcW w:w="2533" w:type="pct"/>
            <w:shd w:val="clear" w:color="auto" w:fill="auto"/>
            <w:vAlign w:val="center"/>
          </w:tcPr>
          <w:p w14:paraId="5766440D">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SHX250III</w:t>
            </w:r>
          </w:p>
        </w:tc>
        <w:tc>
          <w:tcPr>
            <w:tcW w:w="341" w:type="pct"/>
            <w:shd w:val="clear" w:color="auto" w:fill="auto"/>
            <w:vAlign w:val="center"/>
          </w:tcPr>
          <w:p w14:paraId="55F25258">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1</w:t>
            </w:r>
          </w:p>
        </w:tc>
        <w:tc>
          <w:tcPr>
            <w:tcW w:w="348" w:type="pct"/>
            <w:vAlign w:val="center"/>
          </w:tcPr>
          <w:p w14:paraId="327F95D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2"/>
                <w:sz w:val="21"/>
                <w:szCs w:val="21"/>
                <w:highlight w:val="none"/>
                <w:lang w:val="en-US" w:eastAsia="zh-CN" w:bidi="ar-SA"/>
              </w:rPr>
              <w:t>台</w:t>
            </w:r>
          </w:p>
        </w:tc>
        <w:tc>
          <w:tcPr>
            <w:tcW w:w="766" w:type="pct"/>
            <w:vAlign w:val="center"/>
          </w:tcPr>
          <w:p w14:paraId="5E59A775">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zh-CN" w:eastAsia="zh-CN" w:bidi="ar-SA"/>
              </w:rPr>
            </w:pPr>
          </w:p>
        </w:tc>
      </w:tr>
      <w:tr w14:paraId="3F3D43B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139C2D23">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highlight w:val="none"/>
                <w:lang w:val="en-US" w:eastAsia="zh-CN"/>
              </w:rPr>
            </w:pPr>
            <w:r>
              <w:rPr>
                <w:rFonts w:hint="eastAsia"/>
                <w:highlight w:val="none"/>
                <w:lang w:val="en-US" w:eastAsia="zh-CN"/>
              </w:rPr>
              <w:t>7.3</w:t>
            </w:r>
          </w:p>
        </w:tc>
        <w:tc>
          <w:tcPr>
            <w:tcW w:w="684" w:type="pct"/>
            <w:shd w:val="clear" w:color="auto" w:fill="auto"/>
            <w:vAlign w:val="center"/>
          </w:tcPr>
          <w:p w14:paraId="10E546C1">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双光束紫外分光光度计</w:t>
            </w:r>
          </w:p>
        </w:tc>
        <w:tc>
          <w:tcPr>
            <w:tcW w:w="2533" w:type="pct"/>
            <w:shd w:val="clear" w:color="auto" w:fill="auto"/>
            <w:vAlign w:val="center"/>
          </w:tcPr>
          <w:p w14:paraId="24871454">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UV756</w:t>
            </w:r>
          </w:p>
        </w:tc>
        <w:tc>
          <w:tcPr>
            <w:tcW w:w="341" w:type="pct"/>
            <w:shd w:val="clear" w:color="auto" w:fill="auto"/>
            <w:vAlign w:val="center"/>
          </w:tcPr>
          <w:p w14:paraId="241106BD">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1</w:t>
            </w:r>
          </w:p>
        </w:tc>
        <w:tc>
          <w:tcPr>
            <w:tcW w:w="348" w:type="pct"/>
            <w:vAlign w:val="center"/>
          </w:tcPr>
          <w:p w14:paraId="2F1A0B0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2"/>
                <w:sz w:val="21"/>
                <w:szCs w:val="21"/>
                <w:highlight w:val="none"/>
                <w:lang w:val="en-US" w:eastAsia="zh-CN" w:bidi="ar-SA"/>
              </w:rPr>
              <w:t>台</w:t>
            </w:r>
          </w:p>
        </w:tc>
        <w:tc>
          <w:tcPr>
            <w:tcW w:w="766" w:type="pct"/>
            <w:vAlign w:val="center"/>
          </w:tcPr>
          <w:p w14:paraId="1D9269C6">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zh-CN" w:eastAsia="zh-CN" w:bidi="ar-SA"/>
              </w:rPr>
            </w:pPr>
          </w:p>
        </w:tc>
      </w:tr>
      <w:tr w14:paraId="5F22396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23498C00">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highlight w:val="none"/>
                <w:lang w:val="en-US" w:eastAsia="zh-CN"/>
              </w:rPr>
            </w:pPr>
            <w:r>
              <w:rPr>
                <w:rFonts w:hint="eastAsia"/>
                <w:highlight w:val="none"/>
                <w:lang w:val="en-US" w:eastAsia="zh-CN"/>
              </w:rPr>
              <w:t>7.4</w:t>
            </w:r>
          </w:p>
        </w:tc>
        <w:tc>
          <w:tcPr>
            <w:tcW w:w="684" w:type="pct"/>
            <w:shd w:val="clear" w:color="auto" w:fill="auto"/>
            <w:vAlign w:val="center"/>
          </w:tcPr>
          <w:p w14:paraId="1FABC58B">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电子调温电热套</w:t>
            </w:r>
          </w:p>
        </w:tc>
        <w:tc>
          <w:tcPr>
            <w:tcW w:w="2533" w:type="pct"/>
            <w:shd w:val="clear" w:color="auto" w:fill="auto"/>
            <w:vAlign w:val="center"/>
          </w:tcPr>
          <w:p w14:paraId="64295AE9">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98-I-B</w:t>
            </w:r>
          </w:p>
        </w:tc>
        <w:tc>
          <w:tcPr>
            <w:tcW w:w="341" w:type="pct"/>
            <w:shd w:val="clear" w:color="auto" w:fill="auto"/>
            <w:vAlign w:val="center"/>
          </w:tcPr>
          <w:p w14:paraId="53B101FA">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1</w:t>
            </w:r>
          </w:p>
        </w:tc>
        <w:tc>
          <w:tcPr>
            <w:tcW w:w="348" w:type="pct"/>
            <w:vAlign w:val="center"/>
          </w:tcPr>
          <w:p w14:paraId="74AC1D6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2"/>
                <w:sz w:val="21"/>
                <w:szCs w:val="21"/>
                <w:highlight w:val="none"/>
                <w:lang w:val="en-US" w:eastAsia="zh-CN" w:bidi="ar-SA"/>
              </w:rPr>
              <w:t>台</w:t>
            </w:r>
          </w:p>
        </w:tc>
        <w:tc>
          <w:tcPr>
            <w:tcW w:w="766" w:type="pct"/>
            <w:vAlign w:val="center"/>
          </w:tcPr>
          <w:p w14:paraId="0C549343">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zh-CN" w:eastAsia="zh-CN" w:bidi="ar-SA"/>
              </w:rPr>
            </w:pPr>
          </w:p>
        </w:tc>
      </w:tr>
      <w:tr w14:paraId="20B2D5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7C6E1B39">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highlight w:val="none"/>
                <w:lang w:val="en-US" w:eastAsia="zh-CN"/>
              </w:rPr>
            </w:pPr>
            <w:r>
              <w:rPr>
                <w:rFonts w:hint="eastAsia"/>
                <w:highlight w:val="none"/>
                <w:lang w:val="en-US" w:eastAsia="zh-CN"/>
              </w:rPr>
              <w:t>7.5</w:t>
            </w:r>
          </w:p>
        </w:tc>
        <w:tc>
          <w:tcPr>
            <w:tcW w:w="684" w:type="pct"/>
            <w:shd w:val="clear" w:color="auto" w:fill="auto"/>
            <w:vAlign w:val="center"/>
          </w:tcPr>
          <w:p w14:paraId="4BE9DD59">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电子天平</w:t>
            </w:r>
          </w:p>
        </w:tc>
        <w:tc>
          <w:tcPr>
            <w:tcW w:w="2533" w:type="pct"/>
            <w:shd w:val="clear" w:color="auto" w:fill="auto"/>
            <w:vAlign w:val="center"/>
          </w:tcPr>
          <w:p w14:paraId="75D93727">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PTY-124/223</w:t>
            </w:r>
          </w:p>
        </w:tc>
        <w:tc>
          <w:tcPr>
            <w:tcW w:w="341" w:type="pct"/>
            <w:shd w:val="clear" w:color="auto" w:fill="auto"/>
            <w:vAlign w:val="center"/>
          </w:tcPr>
          <w:p w14:paraId="5683223C">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1</w:t>
            </w:r>
          </w:p>
        </w:tc>
        <w:tc>
          <w:tcPr>
            <w:tcW w:w="348" w:type="pct"/>
            <w:vAlign w:val="center"/>
          </w:tcPr>
          <w:p w14:paraId="36E2928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2"/>
                <w:sz w:val="21"/>
                <w:szCs w:val="21"/>
                <w:highlight w:val="none"/>
                <w:lang w:val="en-US" w:eastAsia="zh-CN" w:bidi="ar-SA"/>
              </w:rPr>
              <w:t>台</w:t>
            </w:r>
          </w:p>
        </w:tc>
        <w:tc>
          <w:tcPr>
            <w:tcW w:w="766" w:type="pct"/>
            <w:vAlign w:val="center"/>
          </w:tcPr>
          <w:p w14:paraId="6CE05F75">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zh-CN" w:eastAsia="zh-CN" w:bidi="ar-SA"/>
              </w:rPr>
            </w:pPr>
          </w:p>
        </w:tc>
      </w:tr>
      <w:tr w14:paraId="17CBD12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3C8057AF">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highlight w:val="none"/>
                <w:lang w:val="en-US" w:eastAsia="zh-CN"/>
              </w:rPr>
            </w:pPr>
            <w:r>
              <w:rPr>
                <w:rFonts w:hint="eastAsia"/>
                <w:highlight w:val="none"/>
                <w:lang w:val="en-US" w:eastAsia="zh-CN"/>
              </w:rPr>
              <w:t>7.6</w:t>
            </w:r>
          </w:p>
        </w:tc>
        <w:tc>
          <w:tcPr>
            <w:tcW w:w="684" w:type="pct"/>
            <w:shd w:val="clear" w:color="auto" w:fill="auto"/>
            <w:vAlign w:val="center"/>
          </w:tcPr>
          <w:p w14:paraId="7FDA8C9A">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手提式压力蒸汽灭菌器</w:t>
            </w:r>
          </w:p>
        </w:tc>
        <w:tc>
          <w:tcPr>
            <w:tcW w:w="2533" w:type="pct"/>
            <w:shd w:val="clear" w:color="auto" w:fill="auto"/>
            <w:vAlign w:val="center"/>
          </w:tcPr>
          <w:p w14:paraId="4CF92257">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YXQ-LS-18SI</w:t>
            </w:r>
          </w:p>
        </w:tc>
        <w:tc>
          <w:tcPr>
            <w:tcW w:w="341" w:type="pct"/>
            <w:shd w:val="clear" w:color="auto" w:fill="auto"/>
            <w:vAlign w:val="center"/>
          </w:tcPr>
          <w:p w14:paraId="3DF4749B">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1</w:t>
            </w:r>
          </w:p>
        </w:tc>
        <w:tc>
          <w:tcPr>
            <w:tcW w:w="348" w:type="pct"/>
            <w:vAlign w:val="center"/>
          </w:tcPr>
          <w:p w14:paraId="1EFB614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2"/>
                <w:sz w:val="21"/>
                <w:szCs w:val="21"/>
                <w:highlight w:val="none"/>
                <w:lang w:val="en-US" w:eastAsia="zh-CN" w:bidi="ar-SA"/>
              </w:rPr>
              <w:t>台</w:t>
            </w:r>
          </w:p>
        </w:tc>
        <w:tc>
          <w:tcPr>
            <w:tcW w:w="766" w:type="pct"/>
            <w:vAlign w:val="center"/>
          </w:tcPr>
          <w:p w14:paraId="2F125D23">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zh-CN" w:eastAsia="zh-CN" w:bidi="ar-SA"/>
              </w:rPr>
            </w:pPr>
          </w:p>
        </w:tc>
      </w:tr>
      <w:tr w14:paraId="233EA8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437EEE22">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highlight w:val="none"/>
                <w:lang w:val="en-US" w:eastAsia="zh-CN"/>
              </w:rPr>
            </w:pPr>
            <w:r>
              <w:rPr>
                <w:rFonts w:hint="eastAsia"/>
                <w:highlight w:val="none"/>
                <w:lang w:val="en-US" w:eastAsia="zh-CN"/>
              </w:rPr>
              <w:t>7.7</w:t>
            </w:r>
          </w:p>
        </w:tc>
        <w:tc>
          <w:tcPr>
            <w:tcW w:w="684" w:type="pct"/>
            <w:shd w:val="clear" w:color="auto" w:fill="auto"/>
            <w:vAlign w:val="center"/>
          </w:tcPr>
          <w:p w14:paraId="3C69893F">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加热磁力搅拌器</w:t>
            </w:r>
          </w:p>
        </w:tc>
        <w:tc>
          <w:tcPr>
            <w:tcW w:w="2533" w:type="pct"/>
            <w:shd w:val="clear" w:color="auto" w:fill="auto"/>
            <w:vAlign w:val="center"/>
          </w:tcPr>
          <w:p w14:paraId="231565C8">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SH-3</w:t>
            </w:r>
          </w:p>
        </w:tc>
        <w:tc>
          <w:tcPr>
            <w:tcW w:w="341" w:type="pct"/>
            <w:shd w:val="clear" w:color="auto" w:fill="auto"/>
            <w:vAlign w:val="center"/>
          </w:tcPr>
          <w:p w14:paraId="756808D3">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1</w:t>
            </w:r>
          </w:p>
        </w:tc>
        <w:tc>
          <w:tcPr>
            <w:tcW w:w="348" w:type="pct"/>
            <w:vAlign w:val="center"/>
          </w:tcPr>
          <w:p w14:paraId="42C5B86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2"/>
                <w:sz w:val="21"/>
                <w:szCs w:val="21"/>
                <w:highlight w:val="none"/>
                <w:lang w:val="en-US" w:eastAsia="zh-CN" w:bidi="ar-SA"/>
              </w:rPr>
              <w:t>台</w:t>
            </w:r>
          </w:p>
        </w:tc>
        <w:tc>
          <w:tcPr>
            <w:tcW w:w="766" w:type="pct"/>
            <w:vAlign w:val="center"/>
          </w:tcPr>
          <w:p w14:paraId="4D07AA2A">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zh-CN" w:eastAsia="zh-CN" w:bidi="ar-SA"/>
              </w:rPr>
            </w:pPr>
          </w:p>
        </w:tc>
      </w:tr>
      <w:tr w14:paraId="3CA11A5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21EB27F9">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highlight w:val="none"/>
                <w:lang w:val="en-US" w:eastAsia="zh-CN"/>
              </w:rPr>
            </w:pPr>
            <w:r>
              <w:rPr>
                <w:rFonts w:hint="eastAsia"/>
                <w:highlight w:val="none"/>
                <w:lang w:val="en-US" w:eastAsia="zh-CN"/>
              </w:rPr>
              <w:t>7.8</w:t>
            </w:r>
          </w:p>
        </w:tc>
        <w:tc>
          <w:tcPr>
            <w:tcW w:w="684" w:type="pct"/>
            <w:shd w:val="clear" w:color="auto" w:fill="auto"/>
            <w:vAlign w:val="center"/>
          </w:tcPr>
          <w:p w14:paraId="04B5FC14">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电热鼓风干燥箱</w:t>
            </w:r>
          </w:p>
        </w:tc>
        <w:tc>
          <w:tcPr>
            <w:tcW w:w="2533" w:type="pct"/>
            <w:shd w:val="clear" w:color="auto" w:fill="auto"/>
            <w:vAlign w:val="center"/>
          </w:tcPr>
          <w:p w14:paraId="4A158CEB">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101-1A</w:t>
            </w:r>
          </w:p>
        </w:tc>
        <w:tc>
          <w:tcPr>
            <w:tcW w:w="341" w:type="pct"/>
            <w:shd w:val="clear" w:color="auto" w:fill="auto"/>
            <w:vAlign w:val="center"/>
          </w:tcPr>
          <w:p w14:paraId="26FE5F95">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1</w:t>
            </w:r>
          </w:p>
        </w:tc>
        <w:tc>
          <w:tcPr>
            <w:tcW w:w="348" w:type="pct"/>
            <w:vAlign w:val="center"/>
          </w:tcPr>
          <w:p w14:paraId="55E6D7E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2"/>
                <w:sz w:val="21"/>
                <w:szCs w:val="21"/>
                <w:highlight w:val="none"/>
                <w:lang w:val="en-US" w:eastAsia="zh-CN" w:bidi="ar-SA"/>
              </w:rPr>
              <w:t>台</w:t>
            </w:r>
          </w:p>
        </w:tc>
        <w:tc>
          <w:tcPr>
            <w:tcW w:w="766" w:type="pct"/>
            <w:vAlign w:val="center"/>
          </w:tcPr>
          <w:p w14:paraId="6CD4FC4B">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zh-CN" w:eastAsia="zh-CN" w:bidi="ar-SA"/>
              </w:rPr>
            </w:pPr>
          </w:p>
        </w:tc>
      </w:tr>
      <w:tr w14:paraId="0FD7183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7896CA4D">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highlight w:val="none"/>
                <w:lang w:val="en-US" w:eastAsia="zh-CN"/>
              </w:rPr>
            </w:pPr>
            <w:r>
              <w:rPr>
                <w:rFonts w:hint="eastAsia"/>
                <w:highlight w:val="none"/>
                <w:lang w:val="en-US" w:eastAsia="zh-CN"/>
              </w:rPr>
              <w:t>7.9</w:t>
            </w:r>
          </w:p>
        </w:tc>
        <w:tc>
          <w:tcPr>
            <w:tcW w:w="684" w:type="pct"/>
            <w:shd w:val="clear" w:color="auto" w:fill="auto"/>
            <w:vAlign w:val="center"/>
          </w:tcPr>
          <w:p w14:paraId="6B976901">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低速离心机离子分析仪</w:t>
            </w:r>
          </w:p>
        </w:tc>
        <w:tc>
          <w:tcPr>
            <w:tcW w:w="2533" w:type="pct"/>
            <w:shd w:val="clear" w:color="auto" w:fill="auto"/>
            <w:vAlign w:val="center"/>
          </w:tcPr>
          <w:p w14:paraId="70F0F359">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TD4A</w:t>
            </w:r>
          </w:p>
        </w:tc>
        <w:tc>
          <w:tcPr>
            <w:tcW w:w="341" w:type="pct"/>
            <w:shd w:val="clear" w:color="auto" w:fill="auto"/>
            <w:vAlign w:val="center"/>
          </w:tcPr>
          <w:p w14:paraId="375EFB4C">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1</w:t>
            </w:r>
          </w:p>
        </w:tc>
        <w:tc>
          <w:tcPr>
            <w:tcW w:w="348" w:type="pct"/>
            <w:vAlign w:val="center"/>
          </w:tcPr>
          <w:p w14:paraId="57A2016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2"/>
                <w:sz w:val="21"/>
                <w:szCs w:val="21"/>
                <w:highlight w:val="none"/>
                <w:lang w:val="en-US" w:eastAsia="zh-CN" w:bidi="ar-SA"/>
              </w:rPr>
              <w:t>台</w:t>
            </w:r>
          </w:p>
        </w:tc>
        <w:tc>
          <w:tcPr>
            <w:tcW w:w="766" w:type="pct"/>
            <w:vAlign w:val="center"/>
          </w:tcPr>
          <w:p w14:paraId="1940700B">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zh-CN" w:eastAsia="zh-CN" w:bidi="ar-SA"/>
              </w:rPr>
            </w:pPr>
          </w:p>
        </w:tc>
      </w:tr>
      <w:tr w14:paraId="62BC5A1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18BDF1FE">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highlight w:val="none"/>
                <w:lang w:val="en-US" w:eastAsia="zh-CN"/>
              </w:rPr>
            </w:pPr>
            <w:r>
              <w:rPr>
                <w:rFonts w:hint="eastAsia"/>
                <w:highlight w:val="none"/>
                <w:lang w:val="en-US" w:eastAsia="zh-CN"/>
              </w:rPr>
              <w:t>7.10</w:t>
            </w:r>
          </w:p>
        </w:tc>
        <w:tc>
          <w:tcPr>
            <w:tcW w:w="684" w:type="pct"/>
            <w:shd w:val="clear" w:color="auto" w:fill="auto"/>
            <w:vAlign w:val="center"/>
          </w:tcPr>
          <w:p w14:paraId="098BD76F">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溶解氧仪</w:t>
            </w:r>
          </w:p>
        </w:tc>
        <w:tc>
          <w:tcPr>
            <w:tcW w:w="2533" w:type="pct"/>
            <w:shd w:val="clear" w:color="auto" w:fill="auto"/>
            <w:vAlign w:val="center"/>
          </w:tcPr>
          <w:p w14:paraId="4DFBE652">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HQ-30d</w:t>
            </w:r>
          </w:p>
        </w:tc>
        <w:tc>
          <w:tcPr>
            <w:tcW w:w="341" w:type="pct"/>
            <w:shd w:val="clear" w:color="auto" w:fill="auto"/>
            <w:vAlign w:val="center"/>
          </w:tcPr>
          <w:p w14:paraId="2C267261">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2</w:t>
            </w:r>
          </w:p>
        </w:tc>
        <w:tc>
          <w:tcPr>
            <w:tcW w:w="348" w:type="pct"/>
            <w:vAlign w:val="center"/>
          </w:tcPr>
          <w:p w14:paraId="157C2BB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2"/>
                <w:sz w:val="21"/>
                <w:szCs w:val="21"/>
                <w:highlight w:val="none"/>
                <w:lang w:val="en-US" w:eastAsia="zh-CN" w:bidi="ar-SA"/>
              </w:rPr>
              <w:t>台</w:t>
            </w:r>
          </w:p>
        </w:tc>
        <w:tc>
          <w:tcPr>
            <w:tcW w:w="766" w:type="pct"/>
            <w:vAlign w:val="center"/>
          </w:tcPr>
          <w:p w14:paraId="288D6AA9">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zh-CN" w:eastAsia="zh-CN" w:bidi="ar-SA"/>
              </w:rPr>
            </w:pPr>
          </w:p>
        </w:tc>
      </w:tr>
      <w:tr w14:paraId="04E9EE6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5D4F3DBD">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highlight w:val="none"/>
                <w:lang w:val="en-US" w:eastAsia="zh-CN"/>
              </w:rPr>
            </w:pPr>
            <w:r>
              <w:rPr>
                <w:rFonts w:hint="eastAsia"/>
                <w:highlight w:val="none"/>
                <w:lang w:val="en-US" w:eastAsia="zh-CN"/>
              </w:rPr>
              <w:t>7.11</w:t>
            </w:r>
          </w:p>
        </w:tc>
        <w:tc>
          <w:tcPr>
            <w:tcW w:w="684" w:type="pct"/>
            <w:shd w:val="clear" w:color="auto" w:fill="auto"/>
            <w:vAlign w:val="center"/>
          </w:tcPr>
          <w:p w14:paraId="286568D3">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箱式电阻炉</w:t>
            </w:r>
          </w:p>
        </w:tc>
        <w:tc>
          <w:tcPr>
            <w:tcW w:w="2533" w:type="pct"/>
            <w:shd w:val="clear" w:color="auto" w:fill="auto"/>
            <w:vAlign w:val="center"/>
          </w:tcPr>
          <w:p w14:paraId="04F20C15">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SX-4-10</w:t>
            </w:r>
          </w:p>
        </w:tc>
        <w:tc>
          <w:tcPr>
            <w:tcW w:w="341" w:type="pct"/>
            <w:shd w:val="clear" w:color="auto" w:fill="auto"/>
            <w:vAlign w:val="center"/>
          </w:tcPr>
          <w:p w14:paraId="11DD1D5C">
            <w:pPr>
              <w:pStyle w:val="5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1</w:t>
            </w:r>
          </w:p>
        </w:tc>
        <w:tc>
          <w:tcPr>
            <w:tcW w:w="348" w:type="pct"/>
            <w:vAlign w:val="center"/>
          </w:tcPr>
          <w:p w14:paraId="0E30562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2"/>
                <w:sz w:val="21"/>
                <w:szCs w:val="21"/>
                <w:highlight w:val="none"/>
                <w:lang w:val="en-US" w:eastAsia="zh-CN" w:bidi="ar-SA"/>
              </w:rPr>
              <w:t>台</w:t>
            </w:r>
          </w:p>
        </w:tc>
        <w:tc>
          <w:tcPr>
            <w:tcW w:w="766" w:type="pct"/>
            <w:vAlign w:val="center"/>
          </w:tcPr>
          <w:p w14:paraId="241D9851">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zh-CN" w:eastAsia="zh-CN" w:bidi="ar-SA"/>
              </w:rPr>
            </w:pPr>
          </w:p>
        </w:tc>
      </w:tr>
      <w:tr w14:paraId="2F78B7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000" w:type="pct"/>
            <w:gridSpan w:val="6"/>
            <w:vAlign w:val="center"/>
          </w:tcPr>
          <w:p w14:paraId="60C8F119">
            <w:pPr>
              <w:pStyle w:val="58"/>
              <w:bidi w:val="0"/>
              <w:rPr>
                <w:rFonts w:hint="default"/>
                <w:lang w:val="zh-CN"/>
              </w:rPr>
            </w:pPr>
            <w:r>
              <w:rPr>
                <w:rFonts w:hint="default"/>
                <w:lang w:val="en-US" w:eastAsia="zh-CN"/>
              </w:rPr>
              <w:t>8污泥脱水间</w:t>
            </w:r>
          </w:p>
        </w:tc>
      </w:tr>
      <w:tr w14:paraId="0C4A12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07A8855B">
            <w:pPr>
              <w:pStyle w:val="58"/>
              <w:bidi w:val="0"/>
              <w:rPr>
                <w:rFonts w:hint="default"/>
                <w:lang w:val="en-US" w:eastAsia="zh-CN"/>
              </w:rPr>
            </w:pPr>
            <w:r>
              <w:rPr>
                <w:rFonts w:hint="default"/>
                <w:lang w:val="en-US" w:eastAsia="zh-CN"/>
              </w:rPr>
              <w:t>8.1</w:t>
            </w:r>
          </w:p>
        </w:tc>
        <w:tc>
          <w:tcPr>
            <w:tcW w:w="684" w:type="pct"/>
            <w:vAlign w:val="center"/>
          </w:tcPr>
          <w:p w14:paraId="1F6B346C">
            <w:pPr>
              <w:pStyle w:val="58"/>
              <w:bidi w:val="0"/>
              <w:rPr>
                <w:rFonts w:hint="default"/>
                <w:lang w:val="en-US" w:eastAsia="zh-CN"/>
              </w:rPr>
            </w:pPr>
            <w:bookmarkStart w:id="161" w:name="OLE_LINK25"/>
            <w:r>
              <w:rPr>
                <w:rFonts w:hint="default"/>
                <w:lang w:val="en-US" w:eastAsia="zh-CN"/>
              </w:rPr>
              <w:t>叠螺污泥脱水机</w:t>
            </w:r>
            <w:bookmarkEnd w:id="161"/>
          </w:p>
        </w:tc>
        <w:tc>
          <w:tcPr>
            <w:tcW w:w="2533" w:type="pct"/>
            <w:vAlign w:val="center"/>
          </w:tcPr>
          <w:p w14:paraId="78A5CC85">
            <w:pPr>
              <w:pStyle w:val="58"/>
              <w:bidi w:val="0"/>
              <w:rPr>
                <w:rFonts w:hint="default"/>
                <w:lang w:val="en-US" w:eastAsia="zh-CN"/>
              </w:rPr>
            </w:pPr>
            <w:r>
              <w:rPr>
                <w:rFonts w:hint="default"/>
                <w:lang w:val="en-US" w:eastAsia="zh-CN"/>
              </w:rPr>
              <w:t>设计参数：HDL201，处理量1.2</w:t>
            </w:r>
            <w:r>
              <w:rPr>
                <w:rFonts w:hint="eastAsia"/>
                <w:lang w:val="en-US" w:eastAsia="zh-CN"/>
              </w:rPr>
              <w:t>m</w:t>
            </w:r>
            <w:r>
              <w:rPr>
                <w:rFonts w:hint="eastAsia"/>
                <w:vertAlign w:val="superscript"/>
                <w:lang w:val="en-US" w:eastAsia="zh-CN"/>
              </w:rPr>
              <w:t>3</w:t>
            </w:r>
            <w:r>
              <w:rPr>
                <w:rFonts w:hint="default"/>
                <w:lang w:val="en-US" w:eastAsia="zh-CN"/>
              </w:rPr>
              <w:t>/h，304材质，功率0.45KW</w:t>
            </w:r>
          </w:p>
        </w:tc>
        <w:tc>
          <w:tcPr>
            <w:tcW w:w="341" w:type="pct"/>
            <w:vAlign w:val="center"/>
          </w:tcPr>
          <w:p w14:paraId="082FB052">
            <w:pPr>
              <w:pStyle w:val="58"/>
              <w:bidi w:val="0"/>
              <w:rPr>
                <w:rFonts w:hint="default"/>
                <w:lang w:val="en-US" w:eastAsia="zh-CN"/>
              </w:rPr>
            </w:pPr>
            <w:r>
              <w:rPr>
                <w:rFonts w:hint="default"/>
                <w:lang w:val="en-US" w:eastAsia="zh-CN"/>
              </w:rPr>
              <w:t>1</w:t>
            </w:r>
          </w:p>
        </w:tc>
        <w:tc>
          <w:tcPr>
            <w:tcW w:w="348" w:type="pct"/>
            <w:vAlign w:val="center"/>
          </w:tcPr>
          <w:p w14:paraId="1314FCED">
            <w:pPr>
              <w:pStyle w:val="58"/>
              <w:bidi w:val="0"/>
              <w:rPr>
                <w:rFonts w:hint="default"/>
                <w:lang w:val="en-US" w:eastAsia="zh-CN"/>
              </w:rPr>
            </w:pPr>
            <w:r>
              <w:rPr>
                <w:rFonts w:hint="default"/>
                <w:lang w:val="en-US" w:eastAsia="zh-CN"/>
              </w:rPr>
              <w:t>套</w:t>
            </w:r>
          </w:p>
        </w:tc>
        <w:tc>
          <w:tcPr>
            <w:tcW w:w="766" w:type="pct"/>
            <w:vAlign w:val="center"/>
          </w:tcPr>
          <w:p w14:paraId="779F2220">
            <w:pPr>
              <w:pStyle w:val="58"/>
              <w:bidi w:val="0"/>
              <w:rPr>
                <w:rFonts w:hint="default"/>
                <w:lang w:val="zh-CN"/>
              </w:rPr>
            </w:pPr>
          </w:p>
        </w:tc>
      </w:tr>
      <w:tr w14:paraId="30E160B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000" w:type="pct"/>
            <w:gridSpan w:val="6"/>
            <w:vAlign w:val="center"/>
          </w:tcPr>
          <w:p w14:paraId="004BAC5E">
            <w:pPr>
              <w:pStyle w:val="58"/>
              <w:bidi w:val="0"/>
              <w:rPr>
                <w:rFonts w:hint="default"/>
                <w:lang w:val="en-US" w:eastAsia="zh-CN"/>
              </w:rPr>
            </w:pPr>
            <w:r>
              <w:rPr>
                <w:rFonts w:hint="default"/>
                <w:lang w:val="en-US" w:eastAsia="zh-CN"/>
              </w:rPr>
              <w:t>9污泥池</w:t>
            </w:r>
          </w:p>
        </w:tc>
      </w:tr>
      <w:tr w14:paraId="5EBA867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26C19D88">
            <w:pPr>
              <w:pStyle w:val="58"/>
              <w:bidi w:val="0"/>
              <w:rPr>
                <w:rFonts w:hint="default"/>
                <w:lang w:val="en-US" w:eastAsia="zh-CN"/>
              </w:rPr>
            </w:pPr>
            <w:bookmarkStart w:id="162" w:name="OLE_LINK26" w:colFirst="1" w:colLast="1"/>
            <w:r>
              <w:rPr>
                <w:rFonts w:hint="default"/>
                <w:lang w:val="en-US" w:eastAsia="zh-CN"/>
              </w:rPr>
              <w:t>9.1</w:t>
            </w:r>
          </w:p>
        </w:tc>
        <w:tc>
          <w:tcPr>
            <w:tcW w:w="684" w:type="pct"/>
            <w:vAlign w:val="center"/>
          </w:tcPr>
          <w:p w14:paraId="52F7CA05">
            <w:pPr>
              <w:pStyle w:val="58"/>
              <w:bidi w:val="0"/>
              <w:rPr>
                <w:rFonts w:hint="default"/>
                <w:lang w:val="en-US" w:eastAsia="zh-CN"/>
              </w:rPr>
            </w:pPr>
            <w:r>
              <w:rPr>
                <w:rFonts w:hint="default"/>
                <w:lang w:val="en-US" w:eastAsia="zh-CN"/>
              </w:rPr>
              <w:t>潜水推流搅拌器</w:t>
            </w:r>
          </w:p>
        </w:tc>
        <w:tc>
          <w:tcPr>
            <w:tcW w:w="2533" w:type="pct"/>
            <w:vAlign w:val="center"/>
          </w:tcPr>
          <w:p w14:paraId="09671EFA">
            <w:pPr>
              <w:pStyle w:val="58"/>
              <w:bidi w:val="0"/>
              <w:rPr>
                <w:rFonts w:hint="default"/>
                <w:lang w:val="en-US" w:eastAsia="zh-CN"/>
              </w:rPr>
            </w:pPr>
            <w:r>
              <w:rPr>
                <w:rFonts w:hint="default"/>
                <w:lang w:val="en-US" w:eastAsia="zh-CN"/>
              </w:rPr>
              <w:t>类型：潜水搅拌机，型号：QJB1.5/6-260/3-980C材质：铸铁，功率：1.5Kw，叶轮直径：260mm，叶轮转速：980r/min</w:t>
            </w:r>
          </w:p>
        </w:tc>
        <w:tc>
          <w:tcPr>
            <w:tcW w:w="341" w:type="pct"/>
            <w:vAlign w:val="center"/>
          </w:tcPr>
          <w:p w14:paraId="0D2DAFA4">
            <w:pPr>
              <w:pStyle w:val="58"/>
              <w:bidi w:val="0"/>
              <w:rPr>
                <w:rFonts w:hint="default"/>
                <w:lang w:val="en-US" w:eastAsia="zh-CN"/>
              </w:rPr>
            </w:pPr>
            <w:r>
              <w:rPr>
                <w:rFonts w:hint="default"/>
                <w:lang w:val="en-US" w:eastAsia="zh-CN"/>
              </w:rPr>
              <w:t>1</w:t>
            </w:r>
          </w:p>
        </w:tc>
        <w:tc>
          <w:tcPr>
            <w:tcW w:w="348" w:type="pct"/>
            <w:vAlign w:val="center"/>
          </w:tcPr>
          <w:p w14:paraId="1D3CA10A">
            <w:pPr>
              <w:pStyle w:val="58"/>
              <w:bidi w:val="0"/>
              <w:rPr>
                <w:rFonts w:hint="default"/>
                <w:lang w:val="en-US" w:eastAsia="zh-CN"/>
              </w:rPr>
            </w:pPr>
            <w:r>
              <w:rPr>
                <w:rFonts w:hint="default"/>
                <w:lang w:val="en-US" w:eastAsia="zh-CN"/>
              </w:rPr>
              <w:t>台</w:t>
            </w:r>
          </w:p>
        </w:tc>
        <w:tc>
          <w:tcPr>
            <w:tcW w:w="766" w:type="pct"/>
            <w:vAlign w:val="center"/>
          </w:tcPr>
          <w:p w14:paraId="59629F56">
            <w:pPr>
              <w:pStyle w:val="58"/>
              <w:bidi w:val="0"/>
              <w:rPr>
                <w:rFonts w:hint="default"/>
                <w:lang w:val="en-US" w:eastAsia="zh-CN"/>
              </w:rPr>
            </w:pPr>
          </w:p>
        </w:tc>
      </w:tr>
      <w:tr w14:paraId="3A64F17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56571F54">
            <w:pPr>
              <w:pStyle w:val="58"/>
              <w:bidi w:val="0"/>
              <w:rPr>
                <w:rFonts w:hint="default"/>
                <w:lang w:val="en-US" w:eastAsia="zh-CN"/>
              </w:rPr>
            </w:pPr>
            <w:r>
              <w:rPr>
                <w:rFonts w:hint="default"/>
                <w:lang w:val="en-US" w:eastAsia="zh-CN"/>
              </w:rPr>
              <w:t>9.2</w:t>
            </w:r>
          </w:p>
        </w:tc>
        <w:tc>
          <w:tcPr>
            <w:tcW w:w="684" w:type="pct"/>
            <w:vAlign w:val="center"/>
          </w:tcPr>
          <w:p w14:paraId="2DAEF613">
            <w:pPr>
              <w:pStyle w:val="58"/>
              <w:bidi w:val="0"/>
              <w:rPr>
                <w:rFonts w:hint="default"/>
                <w:lang w:val="en-US" w:eastAsia="zh-CN"/>
              </w:rPr>
            </w:pPr>
            <w:r>
              <w:rPr>
                <w:rFonts w:hint="default"/>
                <w:lang w:val="en-US" w:eastAsia="zh-CN"/>
              </w:rPr>
              <w:t>排泥泵</w:t>
            </w:r>
          </w:p>
        </w:tc>
        <w:tc>
          <w:tcPr>
            <w:tcW w:w="2533" w:type="pct"/>
            <w:vAlign w:val="center"/>
          </w:tcPr>
          <w:p w14:paraId="1FD84AD9">
            <w:pPr>
              <w:pStyle w:val="58"/>
              <w:bidi w:val="0"/>
              <w:rPr>
                <w:rFonts w:hint="default"/>
                <w:lang w:val="en-US" w:eastAsia="zh-CN"/>
              </w:rPr>
            </w:pPr>
            <w:r>
              <w:rPr>
                <w:rFonts w:hint="default"/>
                <w:lang w:val="en-US" w:eastAsia="zh-CN"/>
              </w:rPr>
              <w:t>类型：自吸式无堵塞排污泵型号：ZW25-8-15流量：8</w:t>
            </w:r>
            <w:r>
              <w:rPr>
                <w:rFonts w:hint="eastAsia"/>
                <w:lang w:val="en-US" w:eastAsia="zh-CN"/>
              </w:rPr>
              <w:t>m</w:t>
            </w:r>
            <w:r>
              <w:rPr>
                <w:rFonts w:hint="eastAsia"/>
                <w:vertAlign w:val="superscript"/>
                <w:lang w:val="en-US" w:eastAsia="zh-CN"/>
              </w:rPr>
              <w:t>3</w:t>
            </w:r>
            <w:r>
              <w:rPr>
                <w:rFonts w:hint="default"/>
                <w:lang w:val="en-US" w:eastAsia="zh-CN"/>
              </w:rPr>
              <w:t>/h，扬程：15m，功率：1.5Kw，材质：泵体铸铁</w:t>
            </w:r>
          </w:p>
        </w:tc>
        <w:tc>
          <w:tcPr>
            <w:tcW w:w="341" w:type="pct"/>
            <w:vAlign w:val="center"/>
          </w:tcPr>
          <w:p w14:paraId="0BA6DA1D">
            <w:pPr>
              <w:pStyle w:val="58"/>
              <w:bidi w:val="0"/>
              <w:rPr>
                <w:rFonts w:hint="default"/>
                <w:lang w:val="en-US" w:eastAsia="zh-CN"/>
              </w:rPr>
            </w:pPr>
            <w:r>
              <w:rPr>
                <w:rFonts w:hint="default"/>
                <w:lang w:val="en-US" w:eastAsia="zh-CN"/>
              </w:rPr>
              <w:t>1</w:t>
            </w:r>
          </w:p>
        </w:tc>
        <w:tc>
          <w:tcPr>
            <w:tcW w:w="348" w:type="pct"/>
            <w:vAlign w:val="center"/>
          </w:tcPr>
          <w:p w14:paraId="737F388D">
            <w:pPr>
              <w:pStyle w:val="58"/>
              <w:bidi w:val="0"/>
              <w:rPr>
                <w:rFonts w:hint="default"/>
                <w:lang w:val="en-US" w:eastAsia="zh-CN"/>
              </w:rPr>
            </w:pPr>
            <w:r>
              <w:rPr>
                <w:rFonts w:hint="default"/>
                <w:lang w:val="en-US" w:eastAsia="zh-CN"/>
              </w:rPr>
              <w:t>台</w:t>
            </w:r>
          </w:p>
        </w:tc>
        <w:tc>
          <w:tcPr>
            <w:tcW w:w="766" w:type="pct"/>
            <w:vAlign w:val="center"/>
          </w:tcPr>
          <w:p w14:paraId="50D3A68D">
            <w:pPr>
              <w:pStyle w:val="58"/>
              <w:bidi w:val="0"/>
              <w:rPr>
                <w:rFonts w:hint="default"/>
                <w:lang w:val="en-US" w:eastAsia="zh-CN"/>
              </w:rPr>
            </w:pPr>
          </w:p>
        </w:tc>
      </w:tr>
      <w:bookmarkEnd w:id="162"/>
      <w:tr w14:paraId="177E7CC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000" w:type="pct"/>
            <w:gridSpan w:val="6"/>
            <w:vAlign w:val="center"/>
          </w:tcPr>
          <w:p w14:paraId="53695FF4">
            <w:pPr>
              <w:pStyle w:val="58"/>
              <w:bidi w:val="0"/>
              <w:rPr>
                <w:rFonts w:hint="default"/>
                <w:lang w:val="zh-CN"/>
              </w:rPr>
            </w:pPr>
            <w:r>
              <w:rPr>
                <w:rFonts w:hint="default"/>
                <w:lang w:val="en-US" w:eastAsia="zh-CN"/>
              </w:rPr>
              <w:t>10配电室</w:t>
            </w:r>
          </w:p>
        </w:tc>
      </w:tr>
      <w:tr w14:paraId="3059E8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000" w:type="pct"/>
            <w:gridSpan w:val="6"/>
            <w:vAlign w:val="center"/>
          </w:tcPr>
          <w:p w14:paraId="1C410250">
            <w:pPr>
              <w:pStyle w:val="58"/>
              <w:bidi w:val="0"/>
              <w:rPr>
                <w:rFonts w:hint="default"/>
                <w:lang w:val="zh-CN"/>
              </w:rPr>
            </w:pPr>
            <w:r>
              <w:rPr>
                <w:rFonts w:hint="default"/>
                <w:lang w:val="en-US" w:eastAsia="zh-CN"/>
              </w:rPr>
              <w:t>11鼓风机房</w:t>
            </w:r>
          </w:p>
        </w:tc>
      </w:tr>
      <w:tr w14:paraId="41C6B0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17A71AC1">
            <w:pPr>
              <w:pStyle w:val="58"/>
              <w:bidi w:val="0"/>
              <w:rPr>
                <w:rFonts w:hint="default"/>
                <w:lang w:val="en-US" w:eastAsia="zh-CN"/>
              </w:rPr>
            </w:pPr>
            <w:r>
              <w:rPr>
                <w:rFonts w:hint="default"/>
                <w:lang w:val="en-US" w:eastAsia="zh-CN"/>
              </w:rPr>
              <w:t>11.1</w:t>
            </w:r>
          </w:p>
        </w:tc>
        <w:tc>
          <w:tcPr>
            <w:tcW w:w="684" w:type="pct"/>
            <w:vAlign w:val="center"/>
          </w:tcPr>
          <w:p w14:paraId="133F4CDF">
            <w:pPr>
              <w:pStyle w:val="58"/>
              <w:bidi w:val="0"/>
              <w:rPr>
                <w:rFonts w:hint="default"/>
                <w:lang w:val="en-US" w:eastAsia="zh-CN"/>
              </w:rPr>
            </w:pPr>
            <w:bookmarkStart w:id="163" w:name="OLE_LINK27"/>
            <w:r>
              <w:rPr>
                <w:rFonts w:hint="default"/>
                <w:lang w:val="en-US" w:eastAsia="zh-CN"/>
              </w:rPr>
              <w:t>罗茨鼓风机</w:t>
            </w:r>
            <w:bookmarkEnd w:id="163"/>
          </w:p>
        </w:tc>
        <w:tc>
          <w:tcPr>
            <w:tcW w:w="2533" w:type="pct"/>
            <w:vAlign w:val="center"/>
          </w:tcPr>
          <w:p w14:paraId="41A0C955">
            <w:pPr>
              <w:pStyle w:val="58"/>
              <w:bidi w:val="0"/>
              <w:rPr>
                <w:rFonts w:hint="default"/>
                <w:lang w:val="en-US" w:eastAsia="zh-CN"/>
              </w:rPr>
            </w:pPr>
            <w:r>
              <w:rPr>
                <w:rFonts w:hint="default"/>
                <w:lang w:val="zh-CN"/>
              </w:rPr>
              <w:t>型号：NSR-100，流量：3.57</w:t>
            </w:r>
            <w:r>
              <w:rPr>
                <w:rFonts w:hint="eastAsia"/>
                <w:lang w:val="zh-CN"/>
              </w:rPr>
              <w:t>m</w:t>
            </w:r>
            <w:r>
              <w:rPr>
                <w:rFonts w:hint="eastAsia"/>
                <w:vertAlign w:val="superscript"/>
                <w:lang w:val="zh-CN"/>
              </w:rPr>
              <w:t>3</w:t>
            </w:r>
            <w:r>
              <w:rPr>
                <w:rFonts w:hint="default"/>
                <w:lang w:val="zh-CN"/>
              </w:rPr>
              <w:t>/min，升压：44.1kpa功率：5.5KW</w:t>
            </w:r>
          </w:p>
        </w:tc>
        <w:tc>
          <w:tcPr>
            <w:tcW w:w="341" w:type="pct"/>
            <w:vAlign w:val="center"/>
          </w:tcPr>
          <w:p w14:paraId="3FA6AB04">
            <w:pPr>
              <w:pStyle w:val="58"/>
              <w:bidi w:val="0"/>
              <w:rPr>
                <w:rFonts w:hint="default"/>
                <w:lang w:val="en-US" w:eastAsia="zh-CN"/>
              </w:rPr>
            </w:pPr>
            <w:r>
              <w:rPr>
                <w:rFonts w:hint="default"/>
                <w:lang w:val="en-US" w:eastAsia="zh-CN"/>
              </w:rPr>
              <w:t>2</w:t>
            </w:r>
          </w:p>
        </w:tc>
        <w:tc>
          <w:tcPr>
            <w:tcW w:w="348" w:type="pct"/>
            <w:vAlign w:val="center"/>
          </w:tcPr>
          <w:p w14:paraId="0E6CAE2C">
            <w:pPr>
              <w:pStyle w:val="58"/>
              <w:bidi w:val="0"/>
              <w:rPr>
                <w:rFonts w:hint="default"/>
                <w:lang w:val="en-US" w:eastAsia="zh-CN"/>
              </w:rPr>
            </w:pPr>
            <w:r>
              <w:rPr>
                <w:rFonts w:hint="default"/>
                <w:lang w:val="en-US" w:eastAsia="zh-CN"/>
              </w:rPr>
              <w:t>台</w:t>
            </w:r>
          </w:p>
        </w:tc>
        <w:tc>
          <w:tcPr>
            <w:tcW w:w="766" w:type="pct"/>
            <w:vAlign w:val="center"/>
          </w:tcPr>
          <w:p w14:paraId="5A95D3B1">
            <w:pPr>
              <w:pStyle w:val="58"/>
              <w:bidi w:val="0"/>
              <w:rPr>
                <w:rFonts w:hint="default"/>
                <w:lang w:val="zh-CN"/>
              </w:rPr>
            </w:pPr>
            <w:r>
              <w:rPr>
                <w:rFonts w:hint="default"/>
                <w:lang w:val="zh-CN"/>
              </w:rPr>
              <w:t>1用1备，配套消音器。安全阀、压力表、单向阀、弹性接头等</w:t>
            </w:r>
          </w:p>
        </w:tc>
      </w:tr>
      <w:tr w14:paraId="33BBD9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000" w:type="pct"/>
            <w:gridSpan w:val="6"/>
            <w:vAlign w:val="center"/>
          </w:tcPr>
          <w:p w14:paraId="53BDDE5F">
            <w:pPr>
              <w:pStyle w:val="58"/>
              <w:bidi w:val="0"/>
              <w:rPr>
                <w:rFonts w:hint="default"/>
                <w:lang w:val="zh-CN"/>
              </w:rPr>
            </w:pPr>
            <w:r>
              <w:rPr>
                <w:rFonts w:hint="default"/>
                <w:lang w:val="en-US" w:eastAsia="zh-CN"/>
              </w:rPr>
              <w:t>12加药间</w:t>
            </w:r>
          </w:p>
        </w:tc>
      </w:tr>
      <w:tr w14:paraId="61BF2BF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3BF9D929">
            <w:pPr>
              <w:pStyle w:val="58"/>
              <w:bidi w:val="0"/>
              <w:rPr>
                <w:rFonts w:hint="default"/>
                <w:lang w:val="en-US" w:eastAsia="zh-CN"/>
              </w:rPr>
            </w:pPr>
            <w:r>
              <w:rPr>
                <w:rFonts w:hint="default"/>
                <w:lang w:val="en-US" w:eastAsia="zh-CN"/>
              </w:rPr>
              <w:t>12.1</w:t>
            </w:r>
          </w:p>
        </w:tc>
        <w:tc>
          <w:tcPr>
            <w:tcW w:w="684" w:type="pct"/>
            <w:vAlign w:val="center"/>
          </w:tcPr>
          <w:p w14:paraId="6DA01168">
            <w:pPr>
              <w:pStyle w:val="58"/>
              <w:bidi w:val="0"/>
              <w:rPr>
                <w:rFonts w:hint="default"/>
                <w:lang w:val="en-US" w:eastAsia="zh-CN"/>
              </w:rPr>
            </w:pPr>
            <w:r>
              <w:rPr>
                <w:rFonts w:hint="default"/>
                <w:lang w:val="en-US" w:eastAsia="zh-CN"/>
              </w:rPr>
              <w:t>PAC加药装置</w:t>
            </w:r>
          </w:p>
        </w:tc>
        <w:tc>
          <w:tcPr>
            <w:tcW w:w="2533" w:type="pct"/>
            <w:vAlign w:val="center"/>
          </w:tcPr>
          <w:p w14:paraId="3ABEECBD">
            <w:pPr>
              <w:pStyle w:val="58"/>
              <w:bidi w:val="0"/>
              <w:rPr>
                <w:rFonts w:hint="default"/>
                <w:lang w:val="en-US" w:eastAsia="zh-CN"/>
              </w:rPr>
            </w:pPr>
            <w:r>
              <w:rPr>
                <w:rFonts w:hint="default"/>
                <w:lang w:val="en-US" w:eastAsia="zh-CN"/>
              </w:rPr>
              <w:t>设计参数：PE加药桶容积1000L，加药泵1台，加药量10L/h，含搅拌、电控</w:t>
            </w:r>
          </w:p>
        </w:tc>
        <w:tc>
          <w:tcPr>
            <w:tcW w:w="341" w:type="pct"/>
            <w:vAlign w:val="center"/>
          </w:tcPr>
          <w:p w14:paraId="0E224543">
            <w:pPr>
              <w:pStyle w:val="58"/>
              <w:bidi w:val="0"/>
              <w:rPr>
                <w:rFonts w:hint="default"/>
                <w:lang w:val="en-US" w:eastAsia="zh-CN"/>
              </w:rPr>
            </w:pPr>
            <w:r>
              <w:rPr>
                <w:rFonts w:hint="default"/>
                <w:lang w:val="en-US" w:eastAsia="zh-CN"/>
              </w:rPr>
              <w:t>1</w:t>
            </w:r>
          </w:p>
        </w:tc>
        <w:tc>
          <w:tcPr>
            <w:tcW w:w="348" w:type="pct"/>
            <w:vAlign w:val="center"/>
          </w:tcPr>
          <w:p w14:paraId="7D7154EB">
            <w:pPr>
              <w:pStyle w:val="58"/>
              <w:bidi w:val="0"/>
              <w:rPr>
                <w:rFonts w:hint="default"/>
                <w:lang w:val="en-US" w:eastAsia="zh-CN"/>
              </w:rPr>
            </w:pPr>
            <w:r>
              <w:rPr>
                <w:rFonts w:hint="default"/>
                <w:lang w:val="en-US" w:eastAsia="zh-CN"/>
              </w:rPr>
              <w:t>套</w:t>
            </w:r>
          </w:p>
        </w:tc>
        <w:tc>
          <w:tcPr>
            <w:tcW w:w="766" w:type="pct"/>
            <w:vAlign w:val="center"/>
          </w:tcPr>
          <w:p w14:paraId="346584CB">
            <w:pPr>
              <w:pStyle w:val="58"/>
              <w:bidi w:val="0"/>
              <w:rPr>
                <w:rFonts w:hint="default"/>
                <w:lang w:val="zh-CN"/>
              </w:rPr>
            </w:pPr>
            <w:r>
              <w:rPr>
                <w:rFonts w:hint="default"/>
                <w:lang w:val="zh-CN"/>
              </w:rPr>
              <w:t>搅拌设备功率0.75Kw，加药泵功率0.37KW</w:t>
            </w:r>
          </w:p>
        </w:tc>
      </w:tr>
      <w:tr w14:paraId="177987E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0F6ACAB9">
            <w:pPr>
              <w:pStyle w:val="58"/>
              <w:bidi w:val="0"/>
              <w:rPr>
                <w:rFonts w:hint="default"/>
                <w:lang w:val="en-US" w:eastAsia="zh-CN"/>
              </w:rPr>
            </w:pPr>
            <w:r>
              <w:rPr>
                <w:rFonts w:hint="default"/>
                <w:lang w:val="en-US" w:eastAsia="zh-CN"/>
              </w:rPr>
              <w:t>12.2</w:t>
            </w:r>
          </w:p>
        </w:tc>
        <w:tc>
          <w:tcPr>
            <w:tcW w:w="684" w:type="pct"/>
            <w:vAlign w:val="center"/>
          </w:tcPr>
          <w:p w14:paraId="32AADACD">
            <w:pPr>
              <w:pStyle w:val="58"/>
              <w:bidi w:val="0"/>
              <w:rPr>
                <w:rFonts w:hint="default"/>
                <w:lang w:val="en-US" w:eastAsia="zh-CN"/>
              </w:rPr>
            </w:pPr>
            <w:r>
              <w:rPr>
                <w:rFonts w:hint="default"/>
                <w:lang w:val="en-US" w:eastAsia="zh-CN"/>
              </w:rPr>
              <w:t>PAM加药装置</w:t>
            </w:r>
          </w:p>
        </w:tc>
        <w:tc>
          <w:tcPr>
            <w:tcW w:w="2533" w:type="pct"/>
            <w:vAlign w:val="center"/>
          </w:tcPr>
          <w:p w14:paraId="5198FA63">
            <w:pPr>
              <w:pStyle w:val="58"/>
              <w:bidi w:val="0"/>
              <w:rPr>
                <w:rFonts w:hint="default"/>
                <w:lang w:val="en-US" w:eastAsia="zh-CN"/>
              </w:rPr>
            </w:pPr>
            <w:r>
              <w:rPr>
                <w:rFonts w:hint="default"/>
                <w:lang w:val="en-US" w:eastAsia="zh-CN"/>
              </w:rPr>
              <w:t>设计参数：PE加药桶容积1000L，加药泵1台，加药量10L/h，含搅拌。电控</w:t>
            </w:r>
          </w:p>
        </w:tc>
        <w:tc>
          <w:tcPr>
            <w:tcW w:w="341" w:type="pct"/>
            <w:vAlign w:val="center"/>
          </w:tcPr>
          <w:p w14:paraId="176F6BB0">
            <w:pPr>
              <w:pStyle w:val="58"/>
              <w:bidi w:val="0"/>
              <w:rPr>
                <w:rFonts w:hint="default"/>
                <w:lang w:val="en-US" w:eastAsia="zh-CN"/>
              </w:rPr>
            </w:pPr>
            <w:r>
              <w:rPr>
                <w:rFonts w:hint="default"/>
                <w:lang w:val="en-US" w:eastAsia="zh-CN"/>
              </w:rPr>
              <w:t>1</w:t>
            </w:r>
          </w:p>
        </w:tc>
        <w:tc>
          <w:tcPr>
            <w:tcW w:w="348" w:type="pct"/>
            <w:vAlign w:val="center"/>
          </w:tcPr>
          <w:p w14:paraId="3C18E72D">
            <w:pPr>
              <w:pStyle w:val="58"/>
              <w:bidi w:val="0"/>
              <w:rPr>
                <w:rFonts w:hint="default"/>
                <w:lang w:val="en-US" w:eastAsia="zh-CN"/>
              </w:rPr>
            </w:pPr>
            <w:r>
              <w:rPr>
                <w:rFonts w:hint="default"/>
                <w:lang w:val="en-US" w:eastAsia="zh-CN"/>
              </w:rPr>
              <w:t>套</w:t>
            </w:r>
          </w:p>
        </w:tc>
        <w:tc>
          <w:tcPr>
            <w:tcW w:w="766" w:type="pct"/>
            <w:vAlign w:val="center"/>
          </w:tcPr>
          <w:p w14:paraId="6F35D204">
            <w:pPr>
              <w:pStyle w:val="58"/>
              <w:bidi w:val="0"/>
              <w:rPr>
                <w:rFonts w:hint="default"/>
                <w:lang w:val="zh-CN"/>
              </w:rPr>
            </w:pPr>
            <w:r>
              <w:rPr>
                <w:rFonts w:hint="default"/>
                <w:lang w:val="zh-CN"/>
              </w:rPr>
              <w:t>搅拌设备功率0.75Kw，加药泵功率0.37KW</w:t>
            </w:r>
          </w:p>
        </w:tc>
      </w:tr>
      <w:tr w14:paraId="20D061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48A165EF">
            <w:pPr>
              <w:pStyle w:val="58"/>
              <w:bidi w:val="0"/>
              <w:rPr>
                <w:rFonts w:hint="default"/>
                <w:lang w:val="en-US" w:eastAsia="zh-CN"/>
              </w:rPr>
            </w:pPr>
            <w:r>
              <w:rPr>
                <w:rFonts w:hint="default"/>
                <w:lang w:val="en-US" w:eastAsia="zh-CN"/>
              </w:rPr>
              <w:t>12.3</w:t>
            </w:r>
          </w:p>
        </w:tc>
        <w:tc>
          <w:tcPr>
            <w:tcW w:w="684" w:type="pct"/>
            <w:vAlign w:val="center"/>
          </w:tcPr>
          <w:p w14:paraId="6DAAC77F">
            <w:pPr>
              <w:pStyle w:val="58"/>
              <w:bidi w:val="0"/>
              <w:rPr>
                <w:rFonts w:hint="default"/>
                <w:lang w:val="en-US" w:eastAsia="zh-CN"/>
              </w:rPr>
            </w:pPr>
            <w:r>
              <w:rPr>
                <w:rFonts w:hint="default"/>
                <w:lang w:val="en-US" w:eastAsia="zh-CN"/>
              </w:rPr>
              <w:t>次氯酸钠投加器</w:t>
            </w:r>
          </w:p>
        </w:tc>
        <w:tc>
          <w:tcPr>
            <w:tcW w:w="2533" w:type="pct"/>
            <w:vAlign w:val="center"/>
          </w:tcPr>
          <w:p w14:paraId="2A227261">
            <w:pPr>
              <w:pStyle w:val="58"/>
              <w:bidi w:val="0"/>
              <w:rPr>
                <w:rFonts w:hint="default"/>
                <w:lang w:val="en-US" w:eastAsia="zh-CN"/>
              </w:rPr>
            </w:pPr>
            <w:r>
              <w:rPr>
                <w:rFonts w:hint="default"/>
                <w:lang w:val="en-US" w:eastAsia="zh-CN"/>
              </w:rPr>
              <w:t>设计参数：投加量50g，发生量50g</w:t>
            </w:r>
          </w:p>
        </w:tc>
        <w:tc>
          <w:tcPr>
            <w:tcW w:w="341" w:type="pct"/>
            <w:vAlign w:val="center"/>
          </w:tcPr>
          <w:p w14:paraId="21E379DB">
            <w:pPr>
              <w:pStyle w:val="58"/>
              <w:bidi w:val="0"/>
              <w:rPr>
                <w:rFonts w:hint="default"/>
                <w:lang w:val="en-US" w:eastAsia="zh-CN"/>
              </w:rPr>
            </w:pPr>
            <w:r>
              <w:rPr>
                <w:rFonts w:hint="default"/>
                <w:lang w:val="en-US" w:eastAsia="zh-CN"/>
              </w:rPr>
              <w:t>1</w:t>
            </w:r>
          </w:p>
        </w:tc>
        <w:tc>
          <w:tcPr>
            <w:tcW w:w="348" w:type="pct"/>
            <w:vAlign w:val="center"/>
          </w:tcPr>
          <w:p w14:paraId="7E9F1FDD">
            <w:pPr>
              <w:pStyle w:val="58"/>
              <w:bidi w:val="0"/>
              <w:rPr>
                <w:rFonts w:hint="default"/>
                <w:lang w:val="en-US" w:eastAsia="zh-CN"/>
              </w:rPr>
            </w:pPr>
            <w:r>
              <w:rPr>
                <w:rFonts w:hint="default"/>
                <w:lang w:val="en-US" w:eastAsia="zh-CN"/>
              </w:rPr>
              <w:t>套</w:t>
            </w:r>
          </w:p>
        </w:tc>
        <w:tc>
          <w:tcPr>
            <w:tcW w:w="766" w:type="pct"/>
            <w:vAlign w:val="center"/>
          </w:tcPr>
          <w:p w14:paraId="46F98226">
            <w:pPr>
              <w:pStyle w:val="58"/>
              <w:bidi w:val="0"/>
              <w:rPr>
                <w:rFonts w:hint="default"/>
                <w:lang w:val="zh-CN"/>
              </w:rPr>
            </w:pPr>
          </w:p>
        </w:tc>
      </w:tr>
      <w:tr w14:paraId="7273D0A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000" w:type="pct"/>
            <w:gridSpan w:val="6"/>
            <w:vAlign w:val="center"/>
          </w:tcPr>
          <w:p w14:paraId="7F2A022B">
            <w:pPr>
              <w:pStyle w:val="58"/>
              <w:bidi w:val="0"/>
              <w:rPr>
                <w:rFonts w:hint="default"/>
                <w:lang w:val="en-US" w:eastAsia="zh-CN"/>
              </w:rPr>
            </w:pPr>
            <w:r>
              <w:rPr>
                <w:rFonts w:hint="default"/>
                <w:lang w:val="en-US" w:eastAsia="zh-CN"/>
              </w:rPr>
              <w:t>13除臭设备</w:t>
            </w:r>
          </w:p>
        </w:tc>
      </w:tr>
      <w:tr w14:paraId="1D7E109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2669BA98">
            <w:pPr>
              <w:pStyle w:val="58"/>
              <w:bidi w:val="0"/>
              <w:rPr>
                <w:rFonts w:hint="default"/>
                <w:lang w:val="en-US" w:eastAsia="zh-CN"/>
              </w:rPr>
            </w:pPr>
            <w:r>
              <w:rPr>
                <w:rFonts w:hint="default"/>
                <w:lang w:val="en-US" w:eastAsia="zh-CN"/>
              </w:rPr>
              <w:t>13.1</w:t>
            </w:r>
          </w:p>
        </w:tc>
        <w:tc>
          <w:tcPr>
            <w:tcW w:w="684" w:type="pct"/>
            <w:vAlign w:val="center"/>
          </w:tcPr>
          <w:p w14:paraId="2F205694">
            <w:pPr>
              <w:pStyle w:val="58"/>
              <w:bidi w:val="0"/>
              <w:rPr>
                <w:rFonts w:hint="default"/>
                <w:highlight w:val="none"/>
                <w:lang w:val="en-US" w:eastAsia="zh-CN"/>
              </w:rPr>
            </w:pPr>
            <w:r>
              <w:rPr>
                <w:rFonts w:hint="eastAsia"/>
                <w:highlight w:val="none"/>
                <w:lang w:val="en-US" w:eastAsia="zh-CN"/>
              </w:rPr>
              <w:t>除臭</w:t>
            </w:r>
            <w:r>
              <w:rPr>
                <w:rFonts w:hint="default"/>
                <w:highlight w:val="none"/>
                <w:lang w:val="en-US" w:eastAsia="zh-CN"/>
              </w:rPr>
              <w:t>风机</w:t>
            </w:r>
          </w:p>
        </w:tc>
        <w:tc>
          <w:tcPr>
            <w:tcW w:w="2533" w:type="pct"/>
            <w:vAlign w:val="center"/>
          </w:tcPr>
          <w:p w14:paraId="7EADE583">
            <w:pPr>
              <w:pStyle w:val="58"/>
              <w:bidi w:val="0"/>
              <w:rPr>
                <w:rFonts w:hint="default"/>
                <w:highlight w:val="none"/>
                <w:lang w:val="en-US" w:eastAsia="zh-CN"/>
              </w:rPr>
            </w:pPr>
            <w:r>
              <w:rPr>
                <w:rFonts w:hint="default"/>
                <w:highlight w:val="none"/>
                <w:lang w:val="en-US" w:eastAsia="zh-CN"/>
              </w:rPr>
              <w:t>GXT-3.2A，Q=5000</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/h，带电机2P，3Kw，碳钢材质</w:t>
            </w:r>
          </w:p>
        </w:tc>
        <w:tc>
          <w:tcPr>
            <w:tcW w:w="341" w:type="pct"/>
            <w:vAlign w:val="center"/>
          </w:tcPr>
          <w:p w14:paraId="50E5014E">
            <w:pPr>
              <w:pStyle w:val="58"/>
              <w:bidi w:val="0"/>
              <w:rPr>
                <w:rFonts w:hint="default"/>
                <w:lang w:val="en-US" w:eastAsia="zh-CN"/>
              </w:rPr>
            </w:pPr>
            <w:r>
              <w:rPr>
                <w:rFonts w:hint="default"/>
                <w:lang w:val="en-US" w:eastAsia="zh-CN"/>
              </w:rPr>
              <w:t>1</w:t>
            </w:r>
          </w:p>
        </w:tc>
        <w:tc>
          <w:tcPr>
            <w:tcW w:w="348" w:type="pct"/>
            <w:vAlign w:val="center"/>
          </w:tcPr>
          <w:p w14:paraId="0DFDF786">
            <w:pPr>
              <w:pStyle w:val="58"/>
              <w:bidi w:val="0"/>
              <w:rPr>
                <w:rFonts w:hint="default"/>
                <w:lang w:val="en-US" w:eastAsia="zh-CN"/>
              </w:rPr>
            </w:pPr>
            <w:r>
              <w:rPr>
                <w:rFonts w:hint="default"/>
                <w:lang w:val="en-US" w:eastAsia="zh-CN"/>
              </w:rPr>
              <w:t>台</w:t>
            </w:r>
          </w:p>
        </w:tc>
        <w:tc>
          <w:tcPr>
            <w:tcW w:w="766" w:type="pct"/>
            <w:vAlign w:val="center"/>
          </w:tcPr>
          <w:p w14:paraId="2C1054B9">
            <w:pPr>
              <w:pStyle w:val="58"/>
              <w:bidi w:val="0"/>
              <w:rPr>
                <w:rFonts w:hint="default"/>
                <w:lang w:val="zh-CN"/>
              </w:rPr>
            </w:pPr>
          </w:p>
        </w:tc>
      </w:tr>
      <w:tr w14:paraId="3257C38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14:paraId="4D0179EC">
            <w:pPr>
              <w:pStyle w:val="58"/>
              <w:bidi w:val="0"/>
              <w:rPr>
                <w:rFonts w:hint="default"/>
                <w:highlight w:val="none"/>
                <w:lang w:val="en-US" w:eastAsia="zh-CN"/>
              </w:rPr>
            </w:pPr>
            <w:r>
              <w:rPr>
                <w:rFonts w:hint="default"/>
                <w:highlight w:val="none"/>
                <w:lang w:val="en-US" w:eastAsia="zh-CN"/>
              </w:rPr>
              <w:t>13.2</w:t>
            </w:r>
          </w:p>
        </w:tc>
        <w:tc>
          <w:tcPr>
            <w:tcW w:w="684" w:type="pct"/>
            <w:vAlign w:val="center"/>
          </w:tcPr>
          <w:p w14:paraId="3D1115C4">
            <w:pPr>
              <w:pStyle w:val="58"/>
              <w:bidi w:val="0"/>
              <w:rPr>
                <w:rFonts w:hint="default"/>
                <w:highlight w:val="none"/>
                <w:lang w:val="en-US" w:eastAsia="zh-CN"/>
              </w:rPr>
            </w:pPr>
            <w:bookmarkStart w:id="164" w:name="OLE_LINK7"/>
            <w:r>
              <w:rPr>
                <w:rFonts w:hint="default"/>
                <w:highlight w:val="none"/>
                <w:lang w:val="en-US" w:eastAsia="zh-CN"/>
              </w:rPr>
              <w:t>等离子光电一体机</w:t>
            </w:r>
            <w:bookmarkEnd w:id="164"/>
          </w:p>
        </w:tc>
        <w:tc>
          <w:tcPr>
            <w:tcW w:w="2533" w:type="pct"/>
            <w:vAlign w:val="center"/>
          </w:tcPr>
          <w:p w14:paraId="50A4EE71">
            <w:pPr>
              <w:pStyle w:val="58"/>
              <w:bidi w:val="0"/>
              <w:rPr>
                <w:rFonts w:hint="default" w:eastAsia="宋体"/>
                <w:highlight w:val="none"/>
                <w:lang w:val="en-US" w:eastAsia="zh-CN"/>
              </w:rPr>
            </w:pPr>
            <w:r>
              <w:rPr>
                <w:rFonts w:hint="eastAsia"/>
                <w:highlight w:val="none"/>
                <w:lang w:val="en-US" w:eastAsia="zh-CN"/>
              </w:rPr>
              <w:t>5000m</w:t>
            </w:r>
            <w:r>
              <w:rPr>
                <w:rFonts w:hint="eastAsia"/>
                <w:highlight w:val="none"/>
                <w:vertAlign w:val="superscript"/>
                <w:lang w:val="en-US" w:eastAsia="zh-CN"/>
              </w:rPr>
              <w:t>3</w:t>
            </w:r>
            <w:r>
              <w:rPr>
                <w:rFonts w:hint="eastAsia"/>
                <w:highlight w:val="none"/>
                <w:lang w:val="en-US" w:eastAsia="zh-CN"/>
              </w:rPr>
              <w:t>/h</w:t>
            </w:r>
          </w:p>
        </w:tc>
        <w:tc>
          <w:tcPr>
            <w:tcW w:w="341" w:type="pct"/>
            <w:vAlign w:val="center"/>
          </w:tcPr>
          <w:p w14:paraId="5C8D5C02">
            <w:pPr>
              <w:pStyle w:val="58"/>
              <w:bidi w:val="0"/>
              <w:rPr>
                <w:rFonts w:hint="default"/>
                <w:highlight w:val="none"/>
                <w:lang w:val="en-US" w:eastAsia="zh-CN"/>
              </w:rPr>
            </w:pPr>
            <w:r>
              <w:rPr>
                <w:rFonts w:hint="default"/>
                <w:highlight w:val="none"/>
                <w:lang w:val="en-US" w:eastAsia="zh-CN"/>
              </w:rPr>
              <w:t>1</w:t>
            </w:r>
          </w:p>
        </w:tc>
        <w:tc>
          <w:tcPr>
            <w:tcW w:w="348" w:type="pct"/>
            <w:vAlign w:val="center"/>
          </w:tcPr>
          <w:p w14:paraId="5B61D7E2">
            <w:pPr>
              <w:pStyle w:val="58"/>
              <w:bidi w:val="0"/>
              <w:rPr>
                <w:rFonts w:hint="default"/>
                <w:highlight w:val="none"/>
                <w:lang w:val="en-US" w:eastAsia="zh-CN"/>
              </w:rPr>
            </w:pPr>
            <w:r>
              <w:rPr>
                <w:rFonts w:hint="default"/>
                <w:highlight w:val="none"/>
                <w:lang w:val="en-US" w:eastAsia="zh-CN"/>
              </w:rPr>
              <w:t>台</w:t>
            </w:r>
          </w:p>
        </w:tc>
        <w:tc>
          <w:tcPr>
            <w:tcW w:w="766" w:type="pct"/>
            <w:vAlign w:val="center"/>
          </w:tcPr>
          <w:p w14:paraId="4B4446BA">
            <w:pPr>
              <w:pStyle w:val="58"/>
              <w:bidi w:val="0"/>
              <w:rPr>
                <w:rFonts w:hint="default"/>
                <w:highlight w:val="none"/>
                <w:lang w:val="en-US" w:eastAsia="zh-CN"/>
              </w:rPr>
            </w:pPr>
            <w:r>
              <w:rPr>
                <w:rFonts w:hint="eastAsia"/>
                <w:highlight w:val="none"/>
                <w:lang w:val="en-US" w:eastAsia="zh-CN"/>
              </w:rPr>
              <w:t>自带除雾功能</w:t>
            </w:r>
          </w:p>
        </w:tc>
      </w:tr>
      <w:tr w14:paraId="4262FCC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000" w:type="pct"/>
            <w:gridSpan w:val="6"/>
            <w:vAlign w:val="center"/>
          </w:tcPr>
          <w:p w14:paraId="068A0AF3">
            <w:pPr>
              <w:pStyle w:val="58"/>
              <w:bidi w:val="0"/>
              <w:rPr>
                <w:rFonts w:hint="eastAsia"/>
                <w:highlight w:val="none"/>
                <w:lang w:val="en-US" w:eastAsia="zh-CN"/>
              </w:rPr>
            </w:pPr>
            <w:bookmarkStart w:id="165" w:name="_Toc390963087"/>
            <w:bookmarkStart w:id="166" w:name="_Toc390963088"/>
            <w:r>
              <w:rPr>
                <w:rFonts w:hint="eastAsia"/>
                <w:highlight w:val="none"/>
                <w:lang w:val="en-US" w:eastAsia="zh-CN"/>
              </w:rPr>
              <w:t>14在线监测室</w:t>
            </w:r>
          </w:p>
        </w:tc>
      </w:tr>
      <w:tr w14:paraId="064D7FD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shd w:val="clear" w:color="auto" w:fill="auto"/>
            <w:vAlign w:val="center"/>
          </w:tcPr>
          <w:p w14:paraId="717B7D93">
            <w:pPr>
              <w:pStyle w:val="58"/>
              <w:bidi w:val="0"/>
              <w:ind w:firstLine="0" w:firstLineChars="0"/>
              <w:jc w:val="center"/>
              <w:rPr>
                <w:rFonts w:hint="default" w:ascii="Times New Roman" w:hAnsi="Times New Roman" w:eastAsia="宋体" w:cs="Times New Roman"/>
                <w:kern w:val="2"/>
                <w:sz w:val="21"/>
                <w:szCs w:val="21"/>
                <w:highlight w:val="none"/>
                <w:lang w:val="en-US" w:eastAsia="zh-CN" w:bidi="ar-SA"/>
              </w:rPr>
            </w:pPr>
            <w:r>
              <w:rPr>
                <w:rFonts w:hint="eastAsia" w:cs="Times New Roman"/>
                <w:kern w:val="2"/>
                <w:sz w:val="21"/>
                <w:szCs w:val="21"/>
                <w:highlight w:val="none"/>
                <w:lang w:val="en-US" w:eastAsia="zh-CN" w:bidi="ar-SA"/>
              </w:rPr>
              <w:t>14.1</w:t>
            </w:r>
          </w:p>
        </w:tc>
        <w:tc>
          <w:tcPr>
            <w:tcW w:w="684" w:type="pct"/>
            <w:shd w:val="clear" w:color="auto" w:fill="auto"/>
            <w:vAlign w:val="center"/>
          </w:tcPr>
          <w:p w14:paraId="42B5E2CE">
            <w:pPr>
              <w:pStyle w:val="58"/>
              <w:bidi w:val="0"/>
              <w:ind w:firstLine="0" w:firstLineChars="0"/>
              <w:jc w:val="center"/>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COD在线监测仪</w:t>
            </w:r>
          </w:p>
        </w:tc>
        <w:tc>
          <w:tcPr>
            <w:tcW w:w="2533" w:type="pct"/>
            <w:shd w:val="clear" w:color="auto" w:fill="auto"/>
            <w:vAlign w:val="center"/>
          </w:tcPr>
          <w:p w14:paraId="48323B7C">
            <w:pPr>
              <w:pStyle w:val="58"/>
              <w:bidi w:val="0"/>
              <w:ind w:firstLine="0" w:firstLineChars="0"/>
              <w:jc w:val="center"/>
              <w:rPr>
                <w:rFonts w:hint="eastAsia" w:ascii="Times New Roman" w:hAnsi="Times New Roman" w:eastAsia="宋体" w:cs="Times New Roman"/>
                <w:kern w:val="2"/>
                <w:sz w:val="21"/>
                <w:szCs w:val="21"/>
                <w:highlight w:val="none"/>
                <w:lang w:val="en-US" w:eastAsia="zh-CN" w:bidi="ar-SA"/>
              </w:rPr>
            </w:pPr>
            <w:r>
              <w:rPr>
                <w:rFonts w:hint="default"/>
                <w:highlight w:val="none"/>
                <w:lang w:val="en-US" w:eastAsia="zh-CN"/>
              </w:rPr>
              <w:t>COD-1040 型</w:t>
            </w:r>
          </w:p>
        </w:tc>
        <w:tc>
          <w:tcPr>
            <w:tcW w:w="341" w:type="pct"/>
            <w:shd w:val="clear" w:color="auto" w:fill="auto"/>
            <w:vAlign w:val="center"/>
          </w:tcPr>
          <w:p w14:paraId="3680EFAB">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eastAsia"/>
                <w:highlight w:val="none"/>
                <w:lang w:val="en-US" w:eastAsia="zh-CN"/>
              </w:rPr>
              <w:t>1</w:t>
            </w:r>
          </w:p>
        </w:tc>
        <w:tc>
          <w:tcPr>
            <w:tcW w:w="348" w:type="pct"/>
            <w:shd w:val="clear" w:color="auto" w:fill="auto"/>
            <w:vAlign w:val="center"/>
          </w:tcPr>
          <w:p w14:paraId="36DF25C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4"/>
                <w:szCs w:val="24"/>
                <w:highlight w:val="none"/>
                <w:lang w:val="en-US" w:eastAsia="zh-CN" w:bidi="ar-SA"/>
              </w:rPr>
            </w:pPr>
            <w:r>
              <w:rPr>
                <w:rFonts w:hint="eastAsia"/>
                <w:highlight w:val="none"/>
                <w:lang w:val="en-US" w:eastAsia="zh-CN"/>
              </w:rPr>
              <w:t>台</w:t>
            </w:r>
          </w:p>
        </w:tc>
        <w:tc>
          <w:tcPr>
            <w:tcW w:w="766" w:type="pct"/>
            <w:shd w:val="clear" w:color="auto" w:fill="auto"/>
            <w:vAlign w:val="center"/>
          </w:tcPr>
          <w:p w14:paraId="34C2B9E3">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kern w:val="2"/>
                <w:sz w:val="21"/>
                <w:szCs w:val="21"/>
                <w:highlight w:val="none"/>
                <w:lang w:val="en-US" w:eastAsia="zh-CN" w:bidi="ar-SA"/>
              </w:rPr>
            </w:pPr>
            <w:r>
              <w:rPr>
                <w:rFonts w:hint="eastAsia"/>
                <w:highlight w:val="none"/>
                <w:lang w:val="en-US" w:eastAsia="zh-CN"/>
              </w:rPr>
              <w:t>进水在线监测</w:t>
            </w:r>
          </w:p>
        </w:tc>
      </w:tr>
      <w:tr w14:paraId="62278D6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shd w:val="clear" w:color="auto" w:fill="auto"/>
            <w:vAlign w:val="center"/>
          </w:tcPr>
          <w:p w14:paraId="1CB849E3">
            <w:pPr>
              <w:pStyle w:val="58"/>
              <w:bidi w:val="0"/>
              <w:ind w:firstLine="0" w:firstLineChars="0"/>
              <w:jc w:val="center"/>
              <w:rPr>
                <w:rFonts w:hint="default" w:ascii="Times New Roman" w:hAnsi="Times New Roman" w:eastAsia="宋体" w:cs="Times New Roman"/>
                <w:kern w:val="2"/>
                <w:sz w:val="21"/>
                <w:szCs w:val="21"/>
                <w:highlight w:val="none"/>
                <w:lang w:val="en-US" w:eastAsia="zh-CN" w:bidi="ar-SA"/>
              </w:rPr>
            </w:pPr>
            <w:r>
              <w:rPr>
                <w:rFonts w:hint="eastAsia"/>
                <w:highlight w:val="none"/>
                <w:lang w:val="en-US" w:eastAsia="zh-CN"/>
              </w:rPr>
              <w:t>14.2</w:t>
            </w:r>
          </w:p>
        </w:tc>
        <w:tc>
          <w:tcPr>
            <w:tcW w:w="684" w:type="pct"/>
            <w:shd w:val="clear" w:color="auto" w:fill="auto"/>
            <w:vAlign w:val="center"/>
          </w:tcPr>
          <w:p w14:paraId="716DE32F">
            <w:pPr>
              <w:pStyle w:val="58"/>
              <w:bidi w:val="0"/>
              <w:ind w:firstLine="0" w:firstLineChars="0"/>
              <w:jc w:val="center"/>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氨氮在线监 测仪</w:t>
            </w:r>
          </w:p>
        </w:tc>
        <w:tc>
          <w:tcPr>
            <w:tcW w:w="2533" w:type="pct"/>
            <w:shd w:val="clear" w:color="auto" w:fill="auto"/>
            <w:vAlign w:val="center"/>
          </w:tcPr>
          <w:p w14:paraId="22297573">
            <w:pPr>
              <w:pStyle w:val="58"/>
              <w:bidi w:val="0"/>
              <w:ind w:firstLine="0" w:firstLineChars="0"/>
              <w:jc w:val="center"/>
              <w:rPr>
                <w:rFonts w:hint="eastAsia" w:ascii="Times New Roman" w:hAnsi="Times New Roman" w:eastAsia="宋体" w:cs="Times New Roman"/>
                <w:kern w:val="2"/>
                <w:sz w:val="21"/>
                <w:szCs w:val="21"/>
                <w:highlight w:val="none"/>
                <w:lang w:val="en-US" w:eastAsia="zh-CN" w:bidi="ar-SA"/>
              </w:rPr>
            </w:pPr>
            <w:r>
              <w:rPr>
                <w:rFonts w:ascii="Times New Roman" w:hAnsi="Times New Roman" w:eastAsia="Times New Roman" w:cs="Times New Roman"/>
                <w:highlight w:val="none"/>
              </w:rPr>
              <w:t>NH</w:t>
            </w:r>
            <w:r>
              <w:rPr>
                <w:rFonts w:ascii="Times New Roman" w:hAnsi="Times New Roman" w:eastAsia="Times New Roman" w:cs="Times New Roman"/>
                <w:spacing w:val="6"/>
                <w:position w:val="-1"/>
                <w:sz w:val="13"/>
                <w:szCs w:val="13"/>
                <w:highlight w:val="none"/>
              </w:rPr>
              <w:t>3</w:t>
            </w:r>
            <w:r>
              <w:rPr>
                <w:rFonts w:ascii="Times New Roman" w:hAnsi="Times New Roman" w:eastAsia="Times New Roman" w:cs="Times New Roman"/>
                <w:spacing w:val="6"/>
                <w:highlight w:val="none"/>
              </w:rPr>
              <w:t>N-1040</w:t>
            </w:r>
            <w:r>
              <w:rPr>
                <w:rFonts w:ascii="Times New Roman" w:hAnsi="Times New Roman" w:eastAsia="Times New Roman" w:cs="Times New Roman"/>
                <w:spacing w:val="18"/>
                <w:w w:val="101"/>
                <w:highlight w:val="none"/>
              </w:rPr>
              <w:t xml:space="preserve"> </w:t>
            </w:r>
            <w:r>
              <w:rPr>
                <w:spacing w:val="6"/>
                <w:highlight w:val="none"/>
              </w:rPr>
              <w:t>型</w:t>
            </w:r>
          </w:p>
        </w:tc>
        <w:tc>
          <w:tcPr>
            <w:tcW w:w="341" w:type="pct"/>
            <w:shd w:val="clear" w:color="auto" w:fill="auto"/>
            <w:vAlign w:val="center"/>
          </w:tcPr>
          <w:p w14:paraId="04FC05E7">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eastAsia"/>
                <w:highlight w:val="none"/>
                <w:lang w:val="en-US" w:eastAsia="zh-CN"/>
              </w:rPr>
              <w:t>1</w:t>
            </w:r>
          </w:p>
        </w:tc>
        <w:tc>
          <w:tcPr>
            <w:tcW w:w="348" w:type="pct"/>
            <w:shd w:val="clear" w:color="auto" w:fill="auto"/>
            <w:vAlign w:val="center"/>
          </w:tcPr>
          <w:p w14:paraId="606F78B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4"/>
                <w:szCs w:val="24"/>
                <w:highlight w:val="none"/>
                <w:lang w:val="en-US" w:eastAsia="zh-CN" w:bidi="ar-SA"/>
              </w:rPr>
            </w:pPr>
            <w:r>
              <w:rPr>
                <w:rFonts w:hint="eastAsia"/>
                <w:highlight w:val="none"/>
                <w:lang w:val="en-US" w:eastAsia="zh-CN"/>
              </w:rPr>
              <w:t>台</w:t>
            </w:r>
          </w:p>
        </w:tc>
        <w:tc>
          <w:tcPr>
            <w:tcW w:w="766" w:type="pct"/>
            <w:shd w:val="clear" w:color="auto" w:fill="auto"/>
            <w:vAlign w:val="center"/>
          </w:tcPr>
          <w:p w14:paraId="6F997B7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进水在线监测</w:t>
            </w:r>
          </w:p>
        </w:tc>
      </w:tr>
      <w:tr w14:paraId="5E5539E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shd w:val="clear" w:color="auto" w:fill="auto"/>
            <w:vAlign w:val="center"/>
          </w:tcPr>
          <w:p w14:paraId="371C6190">
            <w:pPr>
              <w:pStyle w:val="58"/>
              <w:bidi w:val="0"/>
              <w:ind w:firstLine="0" w:firstLineChars="0"/>
              <w:jc w:val="center"/>
              <w:rPr>
                <w:rFonts w:hint="default" w:ascii="Times New Roman" w:hAnsi="Times New Roman" w:eastAsia="宋体" w:cs="Times New Roman"/>
                <w:kern w:val="2"/>
                <w:sz w:val="21"/>
                <w:szCs w:val="21"/>
                <w:highlight w:val="none"/>
                <w:lang w:val="en-US" w:eastAsia="zh-CN" w:bidi="ar-SA"/>
              </w:rPr>
            </w:pPr>
            <w:r>
              <w:rPr>
                <w:rFonts w:hint="eastAsia"/>
                <w:highlight w:val="none"/>
                <w:lang w:val="en-US" w:eastAsia="zh-CN"/>
              </w:rPr>
              <w:t>143</w:t>
            </w:r>
          </w:p>
        </w:tc>
        <w:tc>
          <w:tcPr>
            <w:tcW w:w="684" w:type="pct"/>
            <w:shd w:val="clear" w:color="auto" w:fill="auto"/>
            <w:vAlign w:val="center"/>
          </w:tcPr>
          <w:p w14:paraId="472364D1">
            <w:pPr>
              <w:pStyle w:val="58"/>
              <w:bidi w:val="0"/>
              <w:ind w:firstLine="0" w:firstLineChars="0"/>
              <w:jc w:val="center"/>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pH 在线监测 仪</w:t>
            </w:r>
          </w:p>
        </w:tc>
        <w:tc>
          <w:tcPr>
            <w:tcW w:w="2533" w:type="pct"/>
            <w:shd w:val="clear" w:color="auto" w:fill="auto"/>
            <w:vAlign w:val="center"/>
          </w:tcPr>
          <w:p w14:paraId="66F43DE5">
            <w:pPr>
              <w:pStyle w:val="58"/>
              <w:bidi w:val="0"/>
              <w:ind w:firstLine="0" w:firstLineChars="0"/>
              <w:jc w:val="center"/>
              <w:rPr>
                <w:rFonts w:hint="eastAsia" w:ascii="Times New Roman" w:hAnsi="Times New Roman" w:eastAsia="Times New Roman" w:cs="Times New Roman"/>
                <w:kern w:val="2"/>
                <w:sz w:val="21"/>
                <w:szCs w:val="21"/>
                <w:highlight w:val="none"/>
                <w:lang w:val="en-US" w:eastAsia="zh-CN" w:bidi="ar-SA"/>
              </w:rPr>
            </w:pPr>
            <w:r>
              <w:rPr>
                <w:rFonts w:hint="eastAsia" w:ascii="Times New Roman" w:hAnsi="Times New Roman" w:eastAsia="Times New Roman" w:cs="Times New Roman"/>
                <w:highlight w:val="none"/>
                <w:lang w:val="en-US" w:eastAsia="zh-CN"/>
              </w:rPr>
              <w:t>/</w:t>
            </w:r>
          </w:p>
        </w:tc>
        <w:tc>
          <w:tcPr>
            <w:tcW w:w="341" w:type="pct"/>
            <w:shd w:val="clear" w:color="auto" w:fill="auto"/>
            <w:vAlign w:val="center"/>
          </w:tcPr>
          <w:p w14:paraId="74785DBC">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eastAsia"/>
                <w:highlight w:val="none"/>
                <w:lang w:val="en-US" w:eastAsia="zh-CN"/>
              </w:rPr>
              <w:t>1</w:t>
            </w:r>
          </w:p>
        </w:tc>
        <w:tc>
          <w:tcPr>
            <w:tcW w:w="348" w:type="pct"/>
            <w:shd w:val="clear" w:color="auto" w:fill="auto"/>
            <w:vAlign w:val="center"/>
          </w:tcPr>
          <w:p w14:paraId="07ACFC0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4"/>
                <w:szCs w:val="24"/>
                <w:highlight w:val="none"/>
                <w:lang w:val="en-US" w:eastAsia="zh-CN" w:bidi="ar-SA"/>
              </w:rPr>
            </w:pPr>
            <w:r>
              <w:rPr>
                <w:rFonts w:hint="eastAsia"/>
                <w:highlight w:val="none"/>
                <w:lang w:val="en-US" w:eastAsia="zh-CN"/>
              </w:rPr>
              <w:t>台</w:t>
            </w:r>
          </w:p>
        </w:tc>
        <w:tc>
          <w:tcPr>
            <w:tcW w:w="766" w:type="pct"/>
            <w:shd w:val="clear" w:color="auto" w:fill="auto"/>
            <w:vAlign w:val="center"/>
          </w:tcPr>
          <w:p w14:paraId="130D988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kern w:val="2"/>
                <w:sz w:val="21"/>
                <w:szCs w:val="21"/>
                <w:highlight w:val="none"/>
                <w:lang w:val="en-US" w:eastAsia="zh-CN" w:bidi="ar-SA"/>
              </w:rPr>
            </w:pPr>
            <w:r>
              <w:rPr>
                <w:rFonts w:hint="eastAsia" w:cs="Times New Roman"/>
                <w:kern w:val="2"/>
                <w:sz w:val="21"/>
                <w:szCs w:val="21"/>
                <w:highlight w:val="none"/>
                <w:lang w:val="en-US" w:eastAsia="zh-CN" w:bidi="ar-SA"/>
              </w:rPr>
              <w:t>出</w:t>
            </w:r>
            <w:r>
              <w:rPr>
                <w:rFonts w:hint="eastAsia" w:ascii="Times New Roman" w:hAnsi="Times New Roman" w:eastAsia="宋体" w:cs="Times New Roman"/>
                <w:kern w:val="2"/>
                <w:sz w:val="21"/>
                <w:szCs w:val="21"/>
                <w:highlight w:val="none"/>
                <w:lang w:val="en-US" w:eastAsia="zh-CN" w:bidi="ar-SA"/>
              </w:rPr>
              <w:t>水在线监测</w:t>
            </w:r>
          </w:p>
        </w:tc>
      </w:tr>
      <w:tr w14:paraId="61FD869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shd w:val="clear" w:color="auto" w:fill="auto"/>
            <w:vAlign w:val="center"/>
          </w:tcPr>
          <w:p w14:paraId="2E013357">
            <w:pPr>
              <w:pStyle w:val="58"/>
              <w:bidi w:val="0"/>
              <w:ind w:firstLine="0" w:firstLineChars="0"/>
              <w:jc w:val="center"/>
              <w:rPr>
                <w:rFonts w:hint="default" w:ascii="Times New Roman" w:hAnsi="Times New Roman" w:eastAsia="宋体" w:cs="Times New Roman"/>
                <w:kern w:val="2"/>
                <w:sz w:val="21"/>
                <w:szCs w:val="21"/>
                <w:highlight w:val="none"/>
                <w:lang w:val="en-US" w:eastAsia="zh-CN" w:bidi="ar-SA"/>
              </w:rPr>
            </w:pPr>
            <w:r>
              <w:rPr>
                <w:rFonts w:hint="eastAsia"/>
                <w:highlight w:val="none"/>
                <w:lang w:val="en-US" w:eastAsia="zh-CN"/>
              </w:rPr>
              <w:t>14.4</w:t>
            </w:r>
          </w:p>
        </w:tc>
        <w:tc>
          <w:tcPr>
            <w:tcW w:w="684" w:type="pct"/>
            <w:shd w:val="clear" w:color="auto" w:fill="auto"/>
            <w:vAlign w:val="center"/>
          </w:tcPr>
          <w:p w14:paraId="58D4D2D9">
            <w:pPr>
              <w:pStyle w:val="58"/>
              <w:bidi w:val="0"/>
              <w:ind w:firstLine="0" w:firstLineChars="0"/>
              <w:jc w:val="center"/>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COD 在线监 测仪</w:t>
            </w:r>
          </w:p>
        </w:tc>
        <w:tc>
          <w:tcPr>
            <w:tcW w:w="2533" w:type="pct"/>
            <w:shd w:val="clear" w:color="auto" w:fill="auto"/>
            <w:vAlign w:val="center"/>
          </w:tcPr>
          <w:p w14:paraId="1FB99F9B">
            <w:pPr>
              <w:pStyle w:val="58"/>
              <w:bidi w:val="0"/>
              <w:ind w:firstLine="0" w:firstLineChars="0"/>
              <w:jc w:val="center"/>
              <w:rPr>
                <w:rFonts w:hint="eastAsia" w:ascii="Times New Roman" w:hAnsi="Times New Roman" w:eastAsia="Times New Roman" w:cs="Times New Roman"/>
                <w:kern w:val="2"/>
                <w:sz w:val="21"/>
                <w:szCs w:val="21"/>
                <w:highlight w:val="none"/>
                <w:lang w:val="en-US" w:eastAsia="zh-CN" w:bidi="ar-SA"/>
              </w:rPr>
            </w:pPr>
            <w:r>
              <w:rPr>
                <w:rFonts w:ascii="Times New Roman" w:hAnsi="Times New Roman" w:eastAsia="Times New Roman" w:cs="Times New Roman"/>
                <w:highlight w:val="none"/>
              </w:rPr>
              <w:t>COD-1040 型</w:t>
            </w:r>
          </w:p>
        </w:tc>
        <w:tc>
          <w:tcPr>
            <w:tcW w:w="341" w:type="pct"/>
            <w:shd w:val="clear" w:color="auto" w:fill="auto"/>
            <w:vAlign w:val="center"/>
          </w:tcPr>
          <w:p w14:paraId="43C2D5F2">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eastAsia"/>
                <w:highlight w:val="none"/>
                <w:lang w:val="en-US" w:eastAsia="zh-CN"/>
              </w:rPr>
              <w:t>1</w:t>
            </w:r>
          </w:p>
        </w:tc>
        <w:tc>
          <w:tcPr>
            <w:tcW w:w="348" w:type="pct"/>
            <w:shd w:val="clear" w:color="auto" w:fill="auto"/>
            <w:vAlign w:val="center"/>
          </w:tcPr>
          <w:p w14:paraId="51D3CF2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4"/>
                <w:szCs w:val="24"/>
                <w:highlight w:val="none"/>
                <w:lang w:val="en-US" w:eastAsia="zh-CN" w:bidi="ar-SA"/>
              </w:rPr>
            </w:pPr>
            <w:r>
              <w:rPr>
                <w:rFonts w:hint="eastAsia"/>
                <w:highlight w:val="none"/>
                <w:lang w:val="en-US" w:eastAsia="zh-CN"/>
              </w:rPr>
              <w:t>台</w:t>
            </w:r>
          </w:p>
        </w:tc>
        <w:tc>
          <w:tcPr>
            <w:tcW w:w="766" w:type="pct"/>
            <w:shd w:val="clear" w:color="auto" w:fill="auto"/>
            <w:vAlign w:val="center"/>
          </w:tcPr>
          <w:p w14:paraId="65A0789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kern w:val="2"/>
                <w:sz w:val="21"/>
                <w:szCs w:val="21"/>
                <w:highlight w:val="none"/>
                <w:lang w:val="en-US" w:eastAsia="zh-CN" w:bidi="ar-SA"/>
              </w:rPr>
            </w:pPr>
            <w:r>
              <w:rPr>
                <w:rFonts w:hint="eastAsia" w:cs="Times New Roman"/>
                <w:kern w:val="2"/>
                <w:sz w:val="21"/>
                <w:szCs w:val="21"/>
                <w:highlight w:val="none"/>
                <w:lang w:val="en-US" w:eastAsia="zh-CN" w:bidi="ar-SA"/>
              </w:rPr>
              <w:t>出</w:t>
            </w:r>
            <w:r>
              <w:rPr>
                <w:rFonts w:hint="eastAsia" w:ascii="Times New Roman" w:hAnsi="Times New Roman" w:eastAsia="宋体" w:cs="Times New Roman"/>
                <w:kern w:val="2"/>
                <w:sz w:val="21"/>
                <w:szCs w:val="21"/>
                <w:highlight w:val="none"/>
                <w:lang w:val="en-US" w:eastAsia="zh-CN" w:bidi="ar-SA"/>
              </w:rPr>
              <w:t>水在线监测</w:t>
            </w:r>
          </w:p>
        </w:tc>
      </w:tr>
      <w:tr w14:paraId="08E236B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shd w:val="clear" w:color="auto" w:fill="auto"/>
            <w:vAlign w:val="center"/>
          </w:tcPr>
          <w:p w14:paraId="2D07AD2B">
            <w:pPr>
              <w:pStyle w:val="58"/>
              <w:bidi w:val="0"/>
              <w:ind w:firstLine="0" w:firstLineChars="0"/>
              <w:jc w:val="center"/>
              <w:rPr>
                <w:rFonts w:hint="default" w:ascii="Times New Roman" w:hAnsi="Times New Roman" w:eastAsia="宋体" w:cs="Times New Roman"/>
                <w:kern w:val="2"/>
                <w:sz w:val="21"/>
                <w:szCs w:val="21"/>
                <w:highlight w:val="none"/>
                <w:lang w:val="en-US" w:eastAsia="zh-CN" w:bidi="ar-SA"/>
              </w:rPr>
            </w:pPr>
            <w:r>
              <w:rPr>
                <w:rFonts w:hint="eastAsia"/>
                <w:highlight w:val="none"/>
                <w:lang w:val="en-US" w:eastAsia="zh-CN"/>
              </w:rPr>
              <w:t>14.5</w:t>
            </w:r>
          </w:p>
        </w:tc>
        <w:tc>
          <w:tcPr>
            <w:tcW w:w="684" w:type="pct"/>
            <w:shd w:val="clear" w:color="auto" w:fill="auto"/>
            <w:vAlign w:val="center"/>
          </w:tcPr>
          <w:p w14:paraId="5422FC41">
            <w:pPr>
              <w:pStyle w:val="58"/>
              <w:bidi w:val="0"/>
              <w:ind w:firstLine="0" w:firstLineChars="0"/>
              <w:jc w:val="center"/>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氨氮在线监 测仪</w:t>
            </w:r>
          </w:p>
        </w:tc>
        <w:tc>
          <w:tcPr>
            <w:tcW w:w="2533" w:type="pct"/>
            <w:shd w:val="clear" w:color="auto" w:fill="auto"/>
            <w:vAlign w:val="center"/>
          </w:tcPr>
          <w:p w14:paraId="40D9A97B">
            <w:pPr>
              <w:pStyle w:val="58"/>
              <w:bidi w:val="0"/>
              <w:ind w:firstLine="0" w:firstLineChars="0"/>
              <w:jc w:val="center"/>
              <w:rPr>
                <w:rFonts w:hint="eastAsia" w:ascii="Times New Roman" w:hAnsi="Times New Roman" w:eastAsia="Times New Roman" w:cs="Times New Roman"/>
                <w:kern w:val="2"/>
                <w:sz w:val="21"/>
                <w:szCs w:val="21"/>
                <w:highlight w:val="none"/>
                <w:lang w:val="en-US" w:eastAsia="zh-CN" w:bidi="ar-SA"/>
              </w:rPr>
            </w:pPr>
            <w:r>
              <w:rPr>
                <w:rFonts w:ascii="Times New Roman" w:hAnsi="Times New Roman" w:eastAsia="Times New Roman" w:cs="Times New Roman"/>
                <w:highlight w:val="none"/>
              </w:rPr>
              <w:t>NH</w:t>
            </w:r>
            <w:r>
              <w:rPr>
                <w:rFonts w:ascii="Times New Roman" w:hAnsi="Times New Roman" w:eastAsia="Times New Roman" w:cs="Times New Roman"/>
                <w:highlight w:val="none"/>
                <w:vertAlign w:val="subscript"/>
              </w:rPr>
              <w:t>3</w:t>
            </w:r>
            <w:r>
              <w:rPr>
                <w:rFonts w:ascii="Times New Roman" w:hAnsi="Times New Roman" w:eastAsia="Times New Roman" w:cs="Times New Roman"/>
                <w:highlight w:val="none"/>
              </w:rPr>
              <w:t>N-1040 型</w:t>
            </w:r>
          </w:p>
        </w:tc>
        <w:tc>
          <w:tcPr>
            <w:tcW w:w="341" w:type="pct"/>
            <w:shd w:val="clear" w:color="auto" w:fill="auto"/>
            <w:vAlign w:val="center"/>
          </w:tcPr>
          <w:p w14:paraId="6737019D">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eastAsia"/>
                <w:highlight w:val="none"/>
                <w:lang w:val="en-US" w:eastAsia="zh-CN"/>
              </w:rPr>
              <w:t>1</w:t>
            </w:r>
          </w:p>
        </w:tc>
        <w:tc>
          <w:tcPr>
            <w:tcW w:w="348" w:type="pct"/>
            <w:shd w:val="clear" w:color="auto" w:fill="auto"/>
            <w:vAlign w:val="center"/>
          </w:tcPr>
          <w:p w14:paraId="3ABEED0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4"/>
                <w:szCs w:val="24"/>
                <w:highlight w:val="none"/>
                <w:lang w:val="en-US" w:eastAsia="zh-CN" w:bidi="ar-SA"/>
              </w:rPr>
            </w:pPr>
            <w:r>
              <w:rPr>
                <w:rFonts w:hint="eastAsia"/>
                <w:highlight w:val="none"/>
                <w:lang w:val="en-US" w:eastAsia="zh-CN"/>
              </w:rPr>
              <w:t>台</w:t>
            </w:r>
          </w:p>
        </w:tc>
        <w:tc>
          <w:tcPr>
            <w:tcW w:w="766" w:type="pct"/>
            <w:shd w:val="clear" w:color="auto" w:fill="auto"/>
            <w:vAlign w:val="center"/>
          </w:tcPr>
          <w:p w14:paraId="0B79D3A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kern w:val="2"/>
                <w:sz w:val="21"/>
                <w:szCs w:val="21"/>
                <w:highlight w:val="none"/>
                <w:lang w:val="en-US" w:eastAsia="zh-CN" w:bidi="ar-SA"/>
              </w:rPr>
            </w:pPr>
            <w:r>
              <w:rPr>
                <w:rFonts w:hint="eastAsia" w:cs="Times New Roman"/>
                <w:kern w:val="2"/>
                <w:sz w:val="21"/>
                <w:szCs w:val="21"/>
                <w:highlight w:val="none"/>
                <w:lang w:val="en-US" w:eastAsia="zh-CN" w:bidi="ar-SA"/>
              </w:rPr>
              <w:t>出</w:t>
            </w:r>
            <w:r>
              <w:rPr>
                <w:rFonts w:hint="eastAsia" w:ascii="Times New Roman" w:hAnsi="Times New Roman" w:eastAsia="宋体" w:cs="Times New Roman"/>
                <w:kern w:val="2"/>
                <w:sz w:val="21"/>
                <w:szCs w:val="21"/>
                <w:highlight w:val="none"/>
                <w:lang w:val="en-US" w:eastAsia="zh-CN" w:bidi="ar-SA"/>
              </w:rPr>
              <w:t>水在线监测</w:t>
            </w:r>
          </w:p>
        </w:tc>
      </w:tr>
      <w:tr w14:paraId="4B72ECD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shd w:val="clear" w:color="auto" w:fill="auto"/>
            <w:vAlign w:val="center"/>
          </w:tcPr>
          <w:p w14:paraId="31A87568">
            <w:pPr>
              <w:pStyle w:val="58"/>
              <w:bidi w:val="0"/>
              <w:ind w:firstLine="0" w:firstLineChars="0"/>
              <w:jc w:val="center"/>
              <w:rPr>
                <w:rFonts w:hint="default" w:ascii="Times New Roman" w:hAnsi="Times New Roman" w:eastAsia="宋体" w:cs="Times New Roman"/>
                <w:kern w:val="2"/>
                <w:sz w:val="21"/>
                <w:szCs w:val="21"/>
                <w:highlight w:val="none"/>
                <w:lang w:val="en-US" w:eastAsia="zh-CN" w:bidi="ar-SA"/>
              </w:rPr>
            </w:pPr>
            <w:r>
              <w:rPr>
                <w:rFonts w:hint="eastAsia"/>
                <w:highlight w:val="none"/>
                <w:lang w:val="en-US" w:eastAsia="zh-CN"/>
              </w:rPr>
              <w:t>14.6</w:t>
            </w:r>
          </w:p>
        </w:tc>
        <w:tc>
          <w:tcPr>
            <w:tcW w:w="684" w:type="pct"/>
            <w:shd w:val="clear" w:color="auto" w:fill="auto"/>
            <w:vAlign w:val="center"/>
          </w:tcPr>
          <w:p w14:paraId="75ADCE14">
            <w:pPr>
              <w:pStyle w:val="58"/>
              <w:bidi w:val="0"/>
              <w:ind w:firstLine="0" w:firstLineChars="0"/>
              <w:jc w:val="center"/>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总磷在线监 测仪</w:t>
            </w:r>
          </w:p>
        </w:tc>
        <w:tc>
          <w:tcPr>
            <w:tcW w:w="2533" w:type="pct"/>
            <w:shd w:val="clear" w:color="auto" w:fill="auto"/>
            <w:vAlign w:val="center"/>
          </w:tcPr>
          <w:p w14:paraId="63CEE19B">
            <w:pPr>
              <w:pStyle w:val="58"/>
              <w:bidi w:val="0"/>
              <w:ind w:firstLine="0" w:firstLineChars="0"/>
              <w:jc w:val="center"/>
              <w:rPr>
                <w:rFonts w:hint="eastAsia" w:ascii="Times New Roman" w:hAnsi="Times New Roman" w:eastAsia="Times New Roman" w:cs="Times New Roman"/>
                <w:kern w:val="2"/>
                <w:sz w:val="21"/>
                <w:szCs w:val="21"/>
                <w:highlight w:val="none"/>
                <w:lang w:val="en-US" w:eastAsia="zh-CN" w:bidi="ar-SA"/>
              </w:rPr>
            </w:pPr>
            <w:r>
              <w:rPr>
                <w:rFonts w:ascii="Times New Roman" w:hAnsi="Times New Roman" w:eastAsia="Times New Roman" w:cs="Times New Roman"/>
                <w:highlight w:val="none"/>
              </w:rPr>
              <w:t>TP-1040 型</w:t>
            </w:r>
          </w:p>
        </w:tc>
        <w:tc>
          <w:tcPr>
            <w:tcW w:w="341" w:type="pct"/>
            <w:shd w:val="clear" w:color="auto" w:fill="auto"/>
            <w:vAlign w:val="center"/>
          </w:tcPr>
          <w:p w14:paraId="5435DD43">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eastAsia"/>
                <w:highlight w:val="none"/>
                <w:lang w:val="en-US" w:eastAsia="zh-CN"/>
              </w:rPr>
              <w:t>1</w:t>
            </w:r>
          </w:p>
        </w:tc>
        <w:tc>
          <w:tcPr>
            <w:tcW w:w="348" w:type="pct"/>
            <w:shd w:val="clear" w:color="auto" w:fill="auto"/>
            <w:vAlign w:val="center"/>
          </w:tcPr>
          <w:p w14:paraId="4793FE9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4"/>
                <w:szCs w:val="24"/>
                <w:highlight w:val="none"/>
                <w:lang w:val="en-US" w:eastAsia="zh-CN" w:bidi="ar-SA"/>
              </w:rPr>
            </w:pPr>
            <w:r>
              <w:rPr>
                <w:rFonts w:hint="eastAsia"/>
                <w:highlight w:val="none"/>
                <w:lang w:val="en-US" w:eastAsia="zh-CN"/>
              </w:rPr>
              <w:t>台</w:t>
            </w:r>
          </w:p>
        </w:tc>
        <w:tc>
          <w:tcPr>
            <w:tcW w:w="766" w:type="pct"/>
            <w:shd w:val="clear" w:color="auto" w:fill="auto"/>
            <w:vAlign w:val="center"/>
          </w:tcPr>
          <w:p w14:paraId="3D5509B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kern w:val="2"/>
                <w:sz w:val="21"/>
                <w:szCs w:val="21"/>
                <w:highlight w:val="none"/>
                <w:lang w:val="en-US" w:eastAsia="zh-CN" w:bidi="ar-SA"/>
              </w:rPr>
            </w:pPr>
            <w:r>
              <w:rPr>
                <w:rFonts w:hint="eastAsia" w:cs="Times New Roman"/>
                <w:kern w:val="2"/>
                <w:sz w:val="21"/>
                <w:szCs w:val="21"/>
                <w:highlight w:val="none"/>
                <w:lang w:val="en-US" w:eastAsia="zh-CN" w:bidi="ar-SA"/>
              </w:rPr>
              <w:t>出</w:t>
            </w:r>
            <w:r>
              <w:rPr>
                <w:rFonts w:hint="eastAsia" w:ascii="Times New Roman" w:hAnsi="Times New Roman" w:eastAsia="宋体" w:cs="Times New Roman"/>
                <w:kern w:val="2"/>
                <w:sz w:val="21"/>
                <w:szCs w:val="21"/>
                <w:highlight w:val="none"/>
                <w:lang w:val="en-US" w:eastAsia="zh-CN" w:bidi="ar-SA"/>
              </w:rPr>
              <w:t>水在线监测</w:t>
            </w:r>
          </w:p>
        </w:tc>
      </w:tr>
      <w:tr w14:paraId="01A8924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7" w:type="pct"/>
            <w:shd w:val="clear" w:color="auto" w:fill="auto"/>
            <w:vAlign w:val="center"/>
          </w:tcPr>
          <w:p w14:paraId="3907B7CA">
            <w:pPr>
              <w:pStyle w:val="58"/>
              <w:bidi w:val="0"/>
              <w:ind w:firstLine="0" w:firstLineChars="0"/>
              <w:jc w:val="center"/>
              <w:rPr>
                <w:rFonts w:hint="default" w:ascii="Times New Roman" w:hAnsi="Times New Roman" w:eastAsia="宋体" w:cs="Times New Roman"/>
                <w:kern w:val="2"/>
                <w:sz w:val="21"/>
                <w:szCs w:val="21"/>
                <w:highlight w:val="none"/>
                <w:lang w:val="en-US" w:eastAsia="zh-CN" w:bidi="ar-SA"/>
              </w:rPr>
            </w:pPr>
            <w:r>
              <w:rPr>
                <w:rFonts w:hint="eastAsia"/>
                <w:highlight w:val="none"/>
                <w:lang w:val="en-US" w:eastAsia="zh-CN"/>
              </w:rPr>
              <w:t>14.7</w:t>
            </w:r>
          </w:p>
        </w:tc>
        <w:tc>
          <w:tcPr>
            <w:tcW w:w="684" w:type="pct"/>
            <w:shd w:val="clear" w:color="auto" w:fill="auto"/>
            <w:vAlign w:val="center"/>
          </w:tcPr>
          <w:p w14:paraId="56910196">
            <w:pPr>
              <w:pStyle w:val="58"/>
              <w:bidi w:val="0"/>
              <w:ind w:firstLine="0" w:firstLineChars="0"/>
              <w:jc w:val="center"/>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总氮在线监 测仪</w:t>
            </w:r>
          </w:p>
        </w:tc>
        <w:tc>
          <w:tcPr>
            <w:tcW w:w="2533" w:type="pct"/>
            <w:shd w:val="clear" w:color="auto" w:fill="auto"/>
            <w:vAlign w:val="center"/>
          </w:tcPr>
          <w:p w14:paraId="53C38135">
            <w:pPr>
              <w:pStyle w:val="58"/>
              <w:bidi w:val="0"/>
              <w:ind w:firstLine="0" w:firstLineChars="0"/>
              <w:jc w:val="center"/>
              <w:rPr>
                <w:rFonts w:hint="eastAsia" w:ascii="Times New Roman" w:hAnsi="Times New Roman" w:eastAsia="Times New Roman" w:cs="Times New Roman"/>
                <w:kern w:val="2"/>
                <w:sz w:val="21"/>
                <w:szCs w:val="21"/>
                <w:highlight w:val="none"/>
                <w:lang w:val="en-US" w:eastAsia="zh-CN" w:bidi="ar-SA"/>
              </w:rPr>
            </w:pPr>
            <w:r>
              <w:rPr>
                <w:rFonts w:ascii="Times New Roman" w:hAnsi="Times New Roman" w:eastAsia="Times New Roman" w:cs="Times New Roman"/>
                <w:highlight w:val="none"/>
              </w:rPr>
              <w:t>TN-1040 型</w:t>
            </w:r>
          </w:p>
        </w:tc>
        <w:tc>
          <w:tcPr>
            <w:tcW w:w="341" w:type="pct"/>
            <w:shd w:val="clear" w:color="auto" w:fill="auto"/>
            <w:vAlign w:val="center"/>
          </w:tcPr>
          <w:p w14:paraId="3B912C14">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eastAsia"/>
                <w:highlight w:val="none"/>
                <w:lang w:val="en-US" w:eastAsia="zh-CN"/>
              </w:rPr>
              <w:t>1</w:t>
            </w:r>
          </w:p>
        </w:tc>
        <w:tc>
          <w:tcPr>
            <w:tcW w:w="348" w:type="pct"/>
            <w:shd w:val="clear" w:color="auto" w:fill="auto"/>
            <w:vAlign w:val="center"/>
          </w:tcPr>
          <w:p w14:paraId="24712F3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4"/>
                <w:szCs w:val="24"/>
                <w:highlight w:val="none"/>
                <w:lang w:val="en-US" w:eastAsia="zh-CN" w:bidi="ar-SA"/>
              </w:rPr>
            </w:pPr>
            <w:r>
              <w:rPr>
                <w:rFonts w:hint="eastAsia"/>
                <w:highlight w:val="none"/>
                <w:lang w:val="en-US" w:eastAsia="zh-CN"/>
              </w:rPr>
              <w:t>台</w:t>
            </w:r>
          </w:p>
        </w:tc>
        <w:tc>
          <w:tcPr>
            <w:tcW w:w="766" w:type="pct"/>
            <w:shd w:val="clear" w:color="auto" w:fill="auto"/>
            <w:vAlign w:val="center"/>
          </w:tcPr>
          <w:p w14:paraId="2827CD3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kern w:val="2"/>
                <w:sz w:val="21"/>
                <w:szCs w:val="21"/>
                <w:highlight w:val="none"/>
                <w:lang w:val="en-US" w:eastAsia="zh-CN" w:bidi="ar-SA"/>
              </w:rPr>
            </w:pPr>
            <w:r>
              <w:rPr>
                <w:rFonts w:hint="eastAsia" w:cs="Times New Roman"/>
                <w:kern w:val="2"/>
                <w:sz w:val="21"/>
                <w:szCs w:val="21"/>
                <w:highlight w:val="none"/>
                <w:lang w:val="en-US" w:eastAsia="zh-CN" w:bidi="ar-SA"/>
              </w:rPr>
              <w:t>出</w:t>
            </w:r>
            <w:r>
              <w:rPr>
                <w:rFonts w:hint="eastAsia" w:ascii="Times New Roman" w:hAnsi="Times New Roman" w:eastAsia="宋体" w:cs="Times New Roman"/>
                <w:kern w:val="2"/>
                <w:sz w:val="21"/>
                <w:szCs w:val="21"/>
                <w:highlight w:val="none"/>
                <w:lang w:val="en-US" w:eastAsia="zh-CN" w:bidi="ar-SA"/>
              </w:rPr>
              <w:t>水在线监测</w:t>
            </w:r>
          </w:p>
        </w:tc>
      </w:tr>
    </w:tbl>
    <w:p w14:paraId="4F8270C8">
      <w:pPr>
        <w:pStyle w:val="6"/>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3.2.5公用辅助工程</w:t>
      </w:r>
      <w:bookmarkEnd w:id="165"/>
    </w:p>
    <w:p w14:paraId="4A5D6B27">
      <w:pPr>
        <w:rPr>
          <w:rFonts w:hint="default"/>
          <w:highlight w:val="none"/>
          <w:lang w:val="en-US" w:eastAsia="zh-CN"/>
        </w:rPr>
      </w:pPr>
      <w:r>
        <w:rPr>
          <w:rFonts w:hint="default"/>
        </w:rPr>
        <w:t>（1）</w:t>
      </w:r>
      <w:r>
        <w:rPr>
          <w:rFonts w:hint="default"/>
          <w:lang w:val="en-US" w:eastAsia="zh-CN"/>
        </w:rPr>
        <w:t>供水</w:t>
      </w:r>
    </w:p>
    <w:p w14:paraId="39E6788B">
      <w:pPr>
        <w:rPr>
          <w:rFonts w:hint="default"/>
          <w:highlight w:val="none"/>
          <w:lang w:val="en-US" w:eastAsia="zh-CN"/>
        </w:rPr>
      </w:pPr>
      <w:r>
        <w:rPr>
          <w:rFonts w:hint="default"/>
          <w:highlight w:val="none"/>
          <w:lang w:val="en-US" w:eastAsia="zh-CN"/>
        </w:rPr>
        <w:t>本项目新增</w:t>
      </w:r>
      <w:r>
        <w:rPr>
          <w:rFonts w:hint="eastAsia"/>
          <w:highlight w:val="none"/>
          <w:lang w:val="en-US" w:eastAsia="zh-CN"/>
        </w:rPr>
        <w:t>2名</w:t>
      </w:r>
      <w:r>
        <w:rPr>
          <w:rFonts w:hint="default"/>
          <w:highlight w:val="none"/>
          <w:lang w:val="en-US" w:eastAsia="zh-CN"/>
        </w:rPr>
        <w:t>职工，新增生活用水</w:t>
      </w:r>
      <w:r>
        <w:rPr>
          <w:rFonts w:hint="eastAsia"/>
          <w:highlight w:val="none"/>
          <w:lang w:val="en-US" w:eastAsia="zh-CN"/>
        </w:rPr>
        <w:t>0.2m</w:t>
      </w:r>
      <w:r>
        <w:rPr>
          <w:rFonts w:hint="eastAsia"/>
          <w:highlight w:val="none"/>
          <w:vertAlign w:val="superscript"/>
          <w:lang w:val="en-US" w:eastAsia="zh-CN"/>
        </w:rPr>
        <w:t>3</w:t>
      </w:r>
      <w:r>
        <w:rPr>
          <w:rFonts w:hint="eastAsia"/>
          <w:highlight w:val="none"/>
          <w:lang w:val="en-US" w:eastAsia="zh-CN"/>
        </w:rPr>
        <w:t>/d</w:t>
      </w:r>
      <w:r>
        <w:rPr>
          <w:rFonts w:hint="default"/>
          <w:highlight w:val="none"/>
          <w:lang w:val="en-US" w:eastAsia="zh-CN"/>
        </w:rPr>
        <w:t>。本次扩建增加叠螺污泥脱水机1台，新增用水主要为污泥脱水机</w:t>
      </w:r>
      <w:r>
        <w:rPr>
          <w:rFonts w:hint="eastAsia"/>
          <w:highlight w:val="none"/>
          <w:lang w:val="en-US" w:eastAsia="zh-CN"/>
        </w:rPr>
        <w:t>和污泥脱水间地面</w:t>
      </w:r>
      <w:r>
        <w:rPr>
          <w:rFonts w:hint="default"/>
          <w:highlight w:val="none"/>
          <w:lang w:val="en-US" w:eastAsia="zh-CN"/>
        </w:rPr>
        <w:t>冲洗用水、</w:t>
      </w:r>
      <w:r>
        <w:rPr>
          <w:rFonts w:hint="eastAsia"/>
          <w:highlight w:val="none"/>
          <w:lang w:val="en-US" w:eastAsia="zh-CN"/>
        </w:rPr>
        <w:t>PAM、PAC调配</w:t>
      </w:r>
      <w:r>
        <w:rPr>
          <w:rFonts w:hint="default"/>
          <w:highlight w:val="none"/>
          <w:lang w:val="en-US" w:eastAsia="zh-CN"/>
        </w:rPr>
        <w:t>用水，采用本厂处理后的中水。新增设备</w:t>
      </w:r>
      <w:r>
        <w:rPr>
          <w:rFonts w:hint="eastAsia"/>
          <w:highlight w:val="none"/>
          <w:lang w:val="en-US" w:eastAsia="zh-CN"/>
        </w:rPr>
        <w:t>和车间</w:t>
      </w:r>
      <w:r>
        <w:rPr>
          <w:rFonts w:hint="default"/>
          <w:highlight w:val="none"/>
          <w:lang w:val="en-US" w:eastAsia="zh-CN"/>
        </w:rPr>
        <w:t>冲洗用水量为8.5</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/d；新增</w:t>
      </w:r>
      <w:r>
        <w:rPr>
          <w:rFonts w:hint="eastAsia"/>
          <w:highlight w:val="none"/>
          <w:lang w:val="en-US" w:eastAsia="zh-CN"/>
        </w:rPr>
        <w:t>PAM、PAC调配</w:t>
      </w:r>
      <w:r>
        <w:rPr>
          <w:rFonts w:hint="default"/>
          <w:highlight w:val="none"/>
          <w:lang w:val="en-US" w:eastAsia="zh-CN"/>
        </w:rPr>
        <w:t>用水0.5</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/d。</w:t>
      </w:r>
      <w:r>
        <w:rPr>
          <w:rFonts w:hint="eastAsia"/>
          <w:highlight w:val="none"/>
          <w:lang w:val="en-US" w:eastAsia="zh-CN"/>
        </w:rPr>
        <w:t>本项目新建一个实验室，新增实验室用水0.2m</w:t>
      </w:r>
      <w:r>
        <w:rPr>
          <w:rFonts w:hint="eastAsia"/>
          <w:highlight w:val="none"/>
          <w:vertAlign w:val="superscript"/>
          <w:lang w:val="en-US" w:eastAsia="zh-CN"/>
        </w:rPr>
        <w:t>3</w:t>
      </w:r>
      <w:r>
        <w:rPr>
          <w:rFonts w:hint="eastAsia"/>
          <w:highlight w:val="none"/>
          <w:lang w:val="en-US" w:eastAsia="zh-CN"/>
        </w:rPr>
        <w:t>/d。</w:t>
      </w:r>
    </w:p>
    <w:p w14:paraId="1C26B524">
      <w:pPr>
        <w:rPr>
          <w:rFonts w:hint="default"/>
          <w:highlight w:val="none"/>
          <w:lang w:val="en-US" w:eastAsia="zh-CN"/>
        </w:rPr>
      </w:pPr>
      <w:r>
        <w:rPr>
          <w:rFonts w:hint="default"/>
          <w:highlight w:val="none"/>
          <w:lang w:val="en-US" w:eastAsia="zh-CN"/>
        </w:rPr>
        <w:t>（2）排水</w:t>
      </w:r>
    </w:p>
    <w:p w14:paraId="4B5805CC">
      <w:pPr>
        <w:rPr>
          <w:rFonts w:hint="eastAsia"/>
          <w:highlight w:val="none"/>
          <w:lang w:val="en-US" w:eastAsia="zh-CN"/>
        </w:rPr>
      </w:pPr>
      <w:r>
        <w:rPr>
          <w:rFonts w:hint="default"/>
          <w:highlight w:val="none"/>
          <w:lang w:val="en-US" w:eastAsia="zh-CN"/>
        </w:rPr>
        <w:t>新增</w:t>
      </w:r>
      <w:r>
        <w:rPr>
          <w:rFonts w:hint="eastAsia"/>
          <w:highlight w:val="none"/>
          <w:lang w:val="en-US" w:eastAsia="zh-CN"/>
        </w:rPr>
        <w:t>生活污水0.16m</w:t>
      </w:r>
      <w:r>
        <w:rPr>
          <w:rFonts w:hint="eastAsia"/>
          <w:highlight w:val="none"/>
          <w:vertAlign w:val="superscript"/>
          <w:lang w:val="en-US" w:eastAsia="zh-CN"/>
        </w:rPr>
        <w:t>3</w:t>
      </w:r>
      <w:r>
        <w:rPr>
          <w:rFonts w:hint="eastAsia"/>
          <w:highlight w:val="none"/>
          <w:lang w:val="en-US" w:eastAsia="zh-CN"/>
        </w:rPr>
        <w:t>/d，</w:t>
      </w:r>
      <w:r>
        <w:rPr>
          <w:rFonts w:hint="default"/>
          <w:highlight w:val="none"/>
          <w:lang w:val="en-US" w:eastAsia="zh-CN"/>
        </w:rPr>
        <w:t>设备</w:t>
      </w:r>
      <w:r>
        <w:rPr>
          <w:rFonts w:hint="eastAsia"/>
          <w:highlight w:val="none"/>
          <w:lang w:val="en-US" w:eastAsia="zh-CN"/>
        </w:rPr>
        <w:t>和车间地面</w:t>
      </w:r>
      <w:r>
        <w:rPr>
          <w:rFonts w:hint="default"/>
          <w:highlight w:val="none"/>
          <w:lang w:val="en-US" w:eastAsia="zh-CN"/>
        </w:rPr>
        <w:t>冲洗废水6.8</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/d，</w:t>
      </w:r>
      <w:r>
        <w:rPr>
          <w:rFonts w:hint="eastAsia"/>
          <w:highlight w:val="none"/>
          <w:lang w:val="en-US" w:eastAsia="zh-CN"/>
        </w:rPr>
        <w:t>实验室清洗废水0.16m</w:t>
      </w:r>
      <w:r>
        <w:rPr>
          <w:rFonts w:hint="eastAsia"/>
          <w:highlight w:val="none"/>
          <w:vertAlign w:val="superscript"/>
          <w:lang w:val="en-US" w:eastAsia="zh-CN"/>
        </w:rPr>
        <w:t>3</w:t>
      </w:r>
      <w:r>
        <w:rPr>
          <w:rFonts w:hint="eastAsia"/>
          <w:highlight w:val="none"/>
          <w:lang w:val="en-US" w:eastAsia="zh-CN"/>
        </w:rPr>
        <w:t>/d，</w:t>
      </w:r>
      <w:r>
        <w:rPr>
          <w:rFonts w:hint="default"/>
          <w:highlight w:val="none"/>
          <w:lang w:val="en-US" w:eastAsia="zh-CN"/>
        </w:rPr>
        <w:t>废水收集后排入厂内污水管，与排入</w:t>
      </w:r>
      <w:r>
        <w:rPr>
          <w:rFonts w:hint="eastAsia"/>
          <w:highlight w:val="none"/>
          <w:lang w:val="en-US" w:eastAsia="zh-CN"/>
        </w:rPr>
        <w:t>污水处理厂</w:t>
      </w:r>
      <w:r>
        <w:rPr>
          <w:rFonts w:hint="default"/>
          <w:highlight w:val="none"/>
          <w:lang w:val="en-US" w:eastAsia="zh-CN"/>
        </w:rPr>
        <w:t>的园区内企业生活污水和生产废水汇流至格栅井，再进入污水处理系统，</w:t>
      </w:r>
      <w:r>
        <w:rPr>
          <w:rFonts w:hint="eastAsia"/>
          <w:highlight w:val="none"/>
          <w:lang w:val="en-US" w:eastAsia="zh-CN"/>
        </w:rPr>
        <w:t>PAM、PAC调配</w:t>
      </w:r>
      <w:r>
        <w:rPr>
          <w:rFonts w:hint="default"/>
          <w:highlight w:val="none"/>
          <w:lang w:val="en-US" w:eastAsia="zh-CN"/>
        </w:rPr>
        <w:t>用水0.5m</w:t>
      </w:r>
      <w:r>
        <w:rPr>
          <w:rFonts w:hint="default"/>
          <w:highlight w:val="none"/>
          <w:vertAlign w:val="superscript"/>
          <w:lang w:val="en-US" w:eastAsia="zh-CN"/>
        </w:rPr>
        <w:t>3</w:t>
      </w:r>
      <w:r>
        <w:rPr>
          <w:rFonts w:hint="default"/>
          <w:highlight w:val="none"/>
          <w:lang w:val="en-US" w:eastAsia="zh-CN"/>
        </w:rPr>
        <w:t>/d</w:t>
      </w:r>
      <w:r>
        <w:rPr>
          <w:rFonts w:hint="eastAsia"/>
          <w:highlight w:val="none"/>
          <w:lang w:val="en-US" w:eastAsia="zh-CN"/>
        </w:rPr>
        <w:t>全部进入污水处理系统，</w:t>
      </w:r>
      <w:r>
        <w:rPr>
          <w:rFonts w:hint="default"/>
          <w:highlight w:val="none"/>
          <w:lang w:val="en-US" w:eastAsia="zh-CN"/>
        </w:rPr>
        <w:t>处理后废水首先回用于本厂设备</w:t>
      </w:r>
      <w:r>
        <w:rPr>
          <w:rFonts w:hint="eastAsia"/>
          <w:highlight w:val="none"/>
          <w:lang w:val="en-US" w:eastAsia="zh-CN"/>
        </w:rPr>
        <w:t>、车间等</w:t>
      </w:r>
      <w:r>
        <w:rPr>
          <w:rFonts w:hint="default"/>
          <w:highlight w:val="none"/>
          <w:lang w:val="en-US" w:eastAsia="zh-CN"/>
        </w:rPr>
        <w:t>冲洗和</w:t>
      </w:r>
      <w:r>
        <w:rPr>
          <w:rFonts w:hint="eastAsia"/>
          <w:highlight w:val="none"/>
          <w:lang w:val="en-US" w:eastAsia="zh-CN"/>
        </w:rPr>
        <w:t>PAM、PAC调配</w:t>
      </w:r>
      <w:r>
        <w:rPr>
          <w:rFonts w:hint="default"/>
          <w:highlight w:val="none"/>
          <w:lang w:val="en-US" w:eastAsia="zh-CN"/>
        </w:rPr>
        <w:t>，剩余部分</w:t>
      </w:r>
      <w:r>
        <w:rPr>
          <w:rFonts w:hint="eastAsia"/>
          <w:highlight w:val="none"/>
          <w:lang w:val="en-US" w:eastAsia="zh-CN"/>
        </w:rPr>
        <w:t>回用于园区绿化、道路喷洒及园区企业生产用水。</w:t>
      </w:r>
    </w:p>
    <w:p w14:paraId="0756F07F">
      <w:pPr>
        <w:keepNext w:val="0"/>
        <w:keepLines w:val="0"/>
        <w:pageBreakBefore w:val="0"/>
        <w:widowControl w:val="0"/>
        <w:numPr>
          <w:ilvl w:val="0"/>
          <w:numId w:val="0"/>
        </w:numPr>
        <w:kinsoku/>
        <w:wordWrap/>
        <w:overflowPunct/>
        <w:topLinePunct w:val="0"/>
        <w:autoSpaceDE/>
        <w:autoSpaceDN/>
        <w:bidi w:val="0"/>
        <w:adjustRightInd w:val="0"/>
        <w:snapToGrid w:val="0"/>
        <w:spacing w:line="480" w:lineRule="exact"/>
        <w:ind w:leftChars="0" w:firstLine="480" w:firstLineChars="200"/>
        <w:textAlignment w:val="auto"/>
        <w:rPr>
          <w:rFonts w:hint="eastAsia"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厂区生产用水</w:t>
      </w:r>
      <w:r>
        <w:rPr>
          <w:rFonts w:hint="eastAsia" w:cs="Times New Roman"/>
          <w:color w:val="000000" w:themeColor="text1"/>
          <w:sz w:val="24"/>
          <w:highlight w:val="none"/>
          <w:lang w:val="en-US" w:eastAsia="zh-CN"/>
          <w14:textFill>
            <w14:solidFill>
              <w14:schemeClr w14:val="tx1"/>
            </w14:solidFill>
          </w14:textFill>
        </w:rPr>
        <w:t>：厂区</w:t>
      </w:r>
      <w:r>
        <w:rPr>
          <w:rFonts w:hint="default"/>
          <w:highlight w:val="none"/>
          <w:lang w:val="en-US" w:eastAsia="zh-CN"/>
        </w:rPr>
        <w:t>设备</w:t>
      </w:r>
      <w:r>
        <w:rPr>
          <w:rFonts w:hint="eastAsia"/>
          <w:highlight w:val="none"/>
          <w:lang w:val="en-US" w:eastAsia="zh-CN"/>
        </w:rPr>
        <w:t>和车间</w:t>
      </w:r>
      <w:r>
        <w:rPr>
          <w:rFonts w:hint="default"/>
          <w:highlight w:val="none"/>
          <w:lang w:val="en-US" w:eastAsia="zh-CN"/>
        </w:rPr>
        <w:t>冲洗用水量为8.5</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/d</w:t>
      </w:r>
      <w:r>
        <w:rPr>
          <w:rFonts w:hint="eastAsia"/>
          <w:highlight w:val="none"/>
          <w:lang w:val="en-US" w:eastAsia="zh-CN"/>
        </w:rPr>
        <w:t>，PAM、PAC调配</w:t>
      </w:r>
      <w:r>
        <w:rPr>
          <w:rFonts w:hint="default"/>
          <w:highlight w:val="none"/>
          <w:lang w:val="en-US" w:eastAsia="zh-CN"/>
        </w:rPr>
        <w:t>用水0.5</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/d</w:t>
      </w:r>
      <w:r>
        <w:rPr>
          <w:rFonts w:hint="eastAsia"/>
          <w:highlight w:val="none"/>
          <w:lang w:val="en-US" w:eastAsia="zh-CN"/>
        </w:rPr>
        <w:t>，合计9m</w:t>
      </w:r>
      <w:r>
        <w:rPr>
          <w:rFonts w:hint="eastAsia"/>
          <w:highlight w:val="none"/>
          <w:vertAlign w:val="superscript"/>
          <w:lang w:val="en-US" w:eastAsia="zh-CN"/>
        </w:rPr>
        <w:t>3</w:t>
      </w:r>
      <w:r>
        <w:rPr>
          <w:rFonts w:hint="default"/>
          <w:highlight w:val="none"/>
          <w:lang w:val="en-US" w:eastAsia="zh-CN"/>
        </w:rPr>
        <w:t>/d</w:t>
      </w:r>
      <w:r>
        <w:rPr>
          <w:rFonts w:hint="eastAsia"/>
          <w:highlight w:val="none"/>
          <w:lang w:val="en-US" w:eastAsia="zh-CN"/>
        </w:rPr>
        <w:t>，使用本项目中水</w:t>
      </w:r>
      <w:r>
        <w:rPr>
          <w:rFonts w:hint="default"/>
          <w:highlight w:val="none"/>
          <w:lang w:val="en-US" w:eastAsia="zh-CN"/>
        </w:rPr>
        <w:t>。</w:t>
      </w:r>
    </w:p>
    <w:p w14:paraId="318B9D98">
      <w:pPr>
        <w:keepNext w:val="0"/>
        <w:keepLines w:val="0"/>
        <w:pageBreakBefore w:val="0"/>
        <w:widowControl w:val="0"/>
        <w:numPr>
          <w:ilvl w:val="0"/>
          <w:numId w:val="0"/>
        </w:numPr>
        <w:kinsoku/>
        <w:wordWrap/>
        <w:overflowPunct/>
        <w:topLinePunct w:val="0"/>
        <w:autoSpaceDE/>
        <w:autoSpaceDN/>
        <w:bidi w:val="0"/>
        <w:adjustRightInd w:val="0"/>
        <w:snapToGrid w:val="0"/>
        <w:spacing w:line="480" w:lineRule="exact"/>
        <w:ind w:leftChars="0" w:firstLine="480" w:firstLineChars="200"/>
        <w:textAlignment w:val="auto"/>
        <w:rPr>
          <w:rFonts w:hint="eastAsia" w:cs="Times New Roman"/>
          <w:color w:val="000000" w:themeColor="text1"/>
          <w:sz w:val="24"/>
          <w:highlight w:val="none"/>
          <w:lang w:val="en-US" w:eastAsia="zh-CN"/>
          <w14:textFill>
            <w14:solidFill>
              <w14:schemeClr w14:val="tx1"/>
            </w14:solidFill>
          </w14:textFill>
        </w:rPr>
      </w:pPr>
      <w:r>
        <w:rPr>
          <w:rFonts w:hint="eastAsia" w:cs="Times New Roman"/>
          <w:color w:val="000000" w:themeColor="text1"/>
          <w:sz w:val="24"/>
          <w:highlight w:val="none"/>
          <w:lang w:val="en-US" w:eastAsia="zh-CN"/>
          <w14:textFill>
            <w14:solidFill>
              <w14:schemeClr w14:val="tx1"/>
            </w14:solidFill>
          </w14:textFill>
        </w:rPr>
        <w:t>园区绿化用水：根据《曹妃甸区垦丰家居产业园控制性详细规划环境影响跟踪评价报告书》，园区绿地面积约36400m</w:t>
      </w:r>
      <w:r>
        <w:rPr>
          <w:rFonts w:hint="eastAsia" w:cs="Times New Roman"/>
          <w:color w:val="000000" w:themeColor="text1"/>
          <w:sz w:val="24"/>
          <w:highlight w:val="none"/>
          <w:vertAlign w:val="superscript"/>
          <w:lang w:val="en-US" w:eastAsia="zh-CN"/>
          <w14:textFill>
            <w14:solidFill>
              <w14:schemeClr w14:val="tx1"/>
            </w14:solidFill>
          </w14:textFill>
        </w:rPr>
        <w:t>2</w:t>
      </w:r>
      <w:r>
        <w:rPr>
          <w:rFonts w:hint="eastAsia" w:cs="Times New Roman"/>
          <w:color w:val="000000" w:themeColor="text1"/>
          <w:sz w:val="24"/>
          <w:highlight w:val="none"/>
          <w:vertAlign w:val="baseline"/>
          <w:lang w:val="en-US" w:eastAsia="zh-CN"/>
          <w14:textFill>
            <w14:solidFill>
              <w14:schemeClr w14:val="tx1"/>
            </w14:solidFill>
          </w14:textFill>
        </w:rPr>
        <w:t>（详见附图15）</w:t>
      </w:r>
      <w:r>
        <w:rPr>
          <w:rFonts w:hint="eastAsia" w:cs="Times New Roman"/>
          <w:color w:val="000000" w:themeColor="text1"/>
          <w:sz w:val="24"/>
          <w:highlight w:val="none"/>
          <w:lang w:val="en-US" w:eastAsia="zh-CN"/>
          <w14:textFill>
            <w14:solidFill>
              <w14:schemeClr w14:val="tx1"/>
            </w14:solidFill>
          </w14:textFill>
        </w:rPr>
        <w:t>，根据《河北省地方标准》(DB13/5450.1-2021)生活与服务业用水定额，唐山地区绿化用水系数为0.21m</w:t>
      </w:r>
      <w:r>
        <w:rPr>
          <w:rFonts w:hint="eastAsia" w:cs="Times New Roman"/>
          <w:color w:val="000000" w:themeColor="text1"/>
          <w:sz w:val="24"/>
          <w:highlight w:val="none"/>
          <w:vertAlign w:val="superscript"/>
          <w:lang w:val="en-US" w:eastAsia="zh-CN"/>
          <w14:textFill>
            <w14:solidFill>
              <w14:schemeClr w14:val="tx1"/>
            </w14:solidFill>
          </w14:textFill>
        </w:rPr>
        <w:t>3</w:t>
      </w:r>
      <w:r>
        <w:rPr>
          <w:rFonts w:hint="eastAsia" w:cs="Times New Roman"/>
          <w:color w:val="000000" w:themeColor="text1"/>
          <w:sz w:val="24"/>
          <w:highlight w:val="none"/>
          <w:lang w:val="en-US" w:eastAsia="zh-CN"/>
          <w14:textFill>
            <w14:solidFill>
              <w14:schemeClr w14:val="tx1"/>
            </w14:solidFill>
          </w14:textFill>
        </w:rPr>
        <w:t>/（m</w:t>
      </w:r>
      <w:r>
        <w:rPr>
          <w:rFonts w:hint="eastAsia" w:cs="Times New Roman"/>
          <w:color w:val="000000" w:themeColor="text1"/>
          <w:sz w:val="24"/>
          <w:highlight w:val="none"/>
          <w:vertAlign w:val="superscript"/>
          <w:lang w:val="en-US" w:eastAsia="zh-CN"/>
          <w14:textFill>
            <w14:solidFill>
              <w14:schemeClr w14:val="tx1"/>
            </w14:solidFill>
          </w14:textFill>
        </w:rPr>
        <w:t>2</w:t>
      </w:r>
      <w:r>
        <w:rPr>
          <w:rFonts w:hint="eastAsia" w:cs="Times New Roman"/>
          <w:color w:val="000000" w:themeColor="text1"/>
          <w:sz w:val="24"/>
          <w:highlight w:val="none"/>
          <w:lang w:val="en-US" w:eastAsia="zh-CN"/>
          <w14:textFill>
            <w14:solidFill>
              <w14:schemeClr w14:val="tx1"/>
            </w14:solidFill>
          </w14:textFill>
        </w:rPr>
        <w:t>·年），则绿化用水量为21m</w:t>
      </w:r>
      <w:r>
        <w:rPr>
          <w:rFonts w:hint="eastAsia" w:cs="Times New Roman"/>
          <w:color w:val="000000" w:themeColor="text1"/>
          <w:sz w:val="24"/>
          <w:highlight w:val="none"/>
          <w:vertAlign w:val="superscript"/>
          <w:lang w:val="en-US" w:eastAsia="zh-CN"/>
          <w14:textFill>
            <w14:solidFill>
              <w14:schemeClr w14:val="tx1"/>
            </w14:solidFill>
          </w14:textFill>
        </w:rPr>
        <w:t>3</w:t>
      </w:r>
      <w:r>
        <w:rPr>
          <w:rFonts w:hint="eastAsia" w:cs="Times New Roman"/>
          <w:color w:val="000000" w:themeColor="text1"/>
          <w:sz w:val="24"/>
          <w:highlight w:val="none"/>
          <w:lang w:val="en-US" w:eastAsia="zh-CN"/>
          <w14:textFill>
            <w14:solidFill>
              <w14:schemeClr w14:val="tx1"/>
            </w14:solidFill>
          </w14:textFill>
        </w:rPr>
        <w:t>/d(7644m</w:t>
      </w:r>
      <w:r>
        <w:rPr>
          <w:rFonts w:hint="eastAsia" w:cs="Times New Roman"/>
          <w:color w:val="000000" w:themeColor="text1"/>
          <w:sz w:val="24"/>
          <w:highlight w:val="none"/>
          <w:vertAlign w:val="superscript"/>
          <w:lang w:val="en-US" w:eastAsia="zh-CN"/>
          <w14:textFill>
            <w14:solidFill>
              <w14:schemeClr w14:val="tx1"/>
            </w14:solidFill>
          </w14:textFill>
        </w:rPr>
        <w:t>3</w:t>
      </w:r>
      <w:r>
        <w:rPr>
          <w:rFonts w:hint="eastAsia" w:cs="Times New Roman"/>
          <w:color w:val="000000" w:themeColor="text1"/>
          <w:sz w:val="24"/>
          <w:highlight w:val="none"/>
          <w:lang w:val="en-US" w:eastAsia="zh-CN"/>
          <w14:textFill>
            <w14:solidFill>
              <w14:schemeClr w14:val="tx1"/>
            </w14:solidFill>
          </w14:textFill>
        </w:rPr>
        <w:t>/a)。</w:t>
      </w:r>
    </w:p>
    <w:p w14:paraId="1A21D0BB">
      <w:pPr>
        <w:keepNext w:val="0"/>
        <w:keepLines w:val="0"/>
        <w:pageBreakBefore w:val="0"/>
        <w:widowControl w:val="0"/>
        <w:numPr>
          <w:ilvl w:val="0"/>
          <w:numId w:val="0"/>
        </w:numPr>
        <w:kinsoku/>
        <w:wordWrap/>
        <w:overflowPunct/>
        <w:topLinePunct w:val="0"/>
        <w:autoSpaceDE/>
        <w:autoSpaceDN/>
        <w:bidi w:val="0"/>
        <w:adjustRightInd w:val="0"/>
        <w:snapToGrid w:val="0"/>
        <w:spacing w:line="480" w:lineRule="exact"/>
        <w:ind w:leftChars="0" w:firstLine="480" w:firstLineChars="200"/>
        <w:textAlignment w:val="auto"/>
        <w:rPr>
          <w:rFonts w:hint="default" w:cs="Times New Roman"/>
          <w:color w:val="000000" w:themeColor="text1"/>
          <w:sz w:val="24"/>
          <w:highlight w:val="none"/>
          <w:lang w:val="en-US" w:eastAsia="zh-CN"/>
          <w14:textFill>
            <w14:solidFill>
              <w14:schemeClr w14:val="tx1"/>
            </w14:solidFill>
          </w14:textFill>
        </w:rPr>
      </w:pPr>
      <w:r>
        <w:rPr>
          <w:rFonts w:hint="eastAsia" w:cs="Times New Roman"/>
          <w:color w:val="000000" w:themeColor="text1"/>
          <w:sz w:val="24"/>
          <w:highlight w:val="none"/>
          <w:lang w:val="en-US" w:eastAsia="zh-CN"/>
          <w14:textFill>
            <w14:solidFill>
              <w14:schemeClr w14:val="tx1"/>
            </w14:solidFill>
          </w14:textFill>
        </w:rPr>
        <w:t>园区道路喷洒用水：根据《曹妃甸区垦丰家居产业园控制性详细规划环境影响跟踪评价报告书》，园区道路广场面积约94200m</w:t>
      </w:r>
      <w:r>
        <w:rPr>
          <w:rFonts w:hint="eastAsia" w:cs="Times New Roman"/>
          <w:color w:val="000000" w:themeColor="text1"/>
          <w:sz w:val="24"/>
          <w:highlight w:val="none"/>
          <w:vertAlign w:val="superscript"/>
          <w:lang w:val="en-US" w:eastAsia="zh-CN"/>
          <w14:textFill>
            <w14:solidFill>
              <w14:schemeClr w14:val="tx1"/>
            </w14:solidFill>
          </w14:textFill>
        </w:rPr>
        <w:t>2</w:t>
      </w:r>
      <w:r>
        <w:rPr>
          <w:rFonts w:hint="eastAsia" w:cs="Times New Roman"/>
          <w:color w:val="000000" w:themeColor="text1"/>
          <w:sz w:val="24"/>
          <w:highlight w:val="none"/>
          <w:lang w:val="en-US" w:eastAsia="zh-CN"/>
          <w14:textFill>
            <w14:solidFill>
              <w14:schemeClr w14:val="tx1"/>
            </w14:solidFill>
          </w14:textFill>
        </w:rPr>
        <w:t>（详见附图15），参考《民用建筑节水设计标准》(GB 50555-2010)水泥或沥青路面用水定额为0.20-0.50L/（m</w:t>
      </w:r>
      <w:r>
        <w:rPr>
          <w:rFonts w:hint="eastAsia" w:cs="Times New Roman"/>
          <w:color w:val="000000" w:themeColor="text1"/>
          <w:sz w:val="24"/>
          <w:highlight w:val="none"/>
          <w:vertAlign w:val="superscript"/>
          <w:lang w:val="en-US" w:eastAsia="zh-CN"/>
          <w14:textFill>
            <w14:solidFill>
              <w14:schemeClr w14:val="tx1"/>
            </w14:solidFill>
          </w14:textFill>
        </w:rPr>
        <w:t>2</w:t>
      </w:r>
      <w:r>
        <w:rPr>
          <w:rFonts w:hint="eastAsia" w:cs="Times New Roman"/>
          <w:color w:val="000000" w:themeColor="text1"/>
          <w:sz w:val="24"/>
          <w:highlight w:val="none"/>
          <w:lang w:val="en-US" w:eastAsia="zh-CN"/>
          <w14:textFill>
            <w14:solidFill>
              <w14:schemeClr w14:val="tx1"/>
            </w14:solidFill>
          </w14:textFill>
        </w:rPr>
        <w:t>·次），本项目取0.4L/（m</w:t>
      </w:r>
      <w:r>
        <w:rPr>
          <w:rFonts w:hint="eastAsia" w:cs="Times New Roman"/>
          <w:color w:val="000000" w:themeColor="text1"/>
          <w:sz w:val="24"/>
          <w:highlight w:val="none"/>
          <w:vertAlign w:val="superscript"/>
          <w:lang w:val="en-US" w:eastAsia="zh-CN"/>
          <w14:textFill>
            <w14:solidFill>
              <w14:schemeClr w14:val="tx1"/>
            </w14:solidFill>
          </w14:textFill>
        </w:rPr>
        <w:t>2</w:t>
      </w:r>
      <w:r>
        <w:rPr>
          <w:rFonts w:hint="eastAsia" w:cs="Times New Roman"/>
          <w:color w:val="000000" w:themeColor="text1"/>
          <w:sz w:val="24"/>
          <w:highlight w:val="none"/>
          <w:lang w:val="en-US" w:eastAsia="zh-CN"/>
          <w14:textFill>
            <w14:solidFill>
              <w14:schemeClr w14:val="tx1"/>
            </w14:solidFill>
          </w14:textFill>
        </w:rPr>
        <w:t>·次），一年道路洒水按300次计，则园区道路喷洒用水为31m</w:t>
      </w:r>
      <w:r>
        <w:rPr>
          <w:rFonts w:hint="eastAsia" w:cs="Times New Roman"/>
          <w:color w:val="000000" w:themeColor="text1"/>
          <w:sz w:val="24"/>
          <w:highlight w:val="none"/>
          <w:vertAlign w:val="superscript"/>
          <w:lang w:val="en-US" w:eastAsia="zh-CN"/>
          <w14:textFill>
            <w14:solidFill>
              <w14:schemeClr w14:val="tx1"/>
            </w14:solidFill>
          </w14:textFill>
        </w:rPr>
        <w:t>3</w:t>
      </w:r>
      <w:r>
        <w:rPr>
          <w:rFonts w:hint="eastAsia" w:cs="Times New Roman"/>
          <w:color w:val="000000" w:themeColor="text1"/>
          <w:sz w:val="24"/>
          <w:highlight w:val="none"/>
          <w:lang w:val="en-US" w:eastAsia="zh-CN"/>
          <w14:textFill>
            <w14:solidFill>
              <w14:schemeClr w14:val="tx1"/>
            </w14:solidFill>
          </w14:textFill>
        </w:rPr>
        <w:t>/d(11304m</w:t>
      </w:r>
      <w:r>
        <w:rPr>
          <w:rFonts w:hint="eastAsia" w:cs="Times New Roman"/>
          <w:color w:val="000000" w:themeColor="text1"/>
          <w:sz w:val="24"/>
          <w:highlight w:val="none"/>
          <w:vertAlign w:val="superscript"/>
          <w:lang w:val="en-US" w:eastAsia="zh-CN"/>
          <w14:textFill>
            <w14:solidFill>
              <w14:schemeClr w14:val="tx1"/>
            </w14:solidFill>
          </w14:textFill>
        </w:rPr>
        <w:t>3</w:t>
      </w:r>
      <w:r>
        <w:rPr>
          <w:rFonts w:hint="eastAsia" w:cs="Times New Roman"/>
          <w:color w:val="000000" w:themeColor="text1"/>
          <w:sz w:val="24"/>
          <w:highlight w:val="none"/>
          <w:lang w:val="en-US" w:eastAsia="zh-CN"/>
          <w14:textFill>
            <w14:solidFill>
              <w14:schemeClr w14:val="tx1"/>
            </w14:solidFill>
          </w14:textFill>
        </w:rPr>
        <w:t>/a)。</w:t>
      </w:r>
    </w:p>
    <w:p w14:paraId="3953F524">
      <w:pPr>
        <w:keepNext w:val="0"/>
        <w:keepLines w:val="0"/>
        <w:pageBreakBefore w:val="0"/>
        <w:widowControl w:val="0"/>
        <w:numPr>
          <w:ilvl w:val="0"/>
          <w:numId w:val="0"/>
        </w:numPr>
        <w:kinsoku/>
        <w:wordWrap/>
        <w:overflowPunct/>
        <w:topLinePunct w:val="0"/>
        <w:autoSpaceDE/>
        <w:autoSpaceDN/>
        <w:bidi w:val="0"/>
        <w:adjustRightInd w:val="0"/>
        <w:snapToGrid w:val="0"/>
        <w:spacing w:line="480" w:lineRule="exact"/>
        <w:ind w:leftChars="0" w:firstLine="480" w:firstLineChars="200"/>
        <w:textAlignment w:val="auto"/>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园区企业用水：目前园区可以利用中水的企业为本项目东侧</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金木美佳（唐山）科技有限公司</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经调查，金木美佳燃料加湿、制胶尾气喷淋系统补水、干燥尾气喷淋系统补水、热能中心冷渣、厂区绿化、厂内道路泼洒抑尘对水质要求不高，可以利用本项目中水，需水量约为174m3/d。本项目与金木美佳中间只隔一条经三路，此次设置中水回用水池和与金木美佳之间的中水回用管道并预留接口，将来可以回用于园区其他入驻的企业。</w:t>
      </w:r>
    </w:p>
    <w:p w14:paraId="295F8DEC">
      <w:pPr>
        <w:widowControl/>
        <w:numPr>
          <w:ilvl w:val="0"/>
          <w:numId w:val="24"/>
        </w:numPr>
        <w:ind w:left="425" w:leftChars="0" w:hanging="425" w:firstLineChars="0"/>
        <w:jc w:val="center"/>
        <w:rPr>
          <w:rFonts w:hint="default" w:ascii="Times New Roman" w:hAnsi="Times New Roman" w:eastAsia="宋体" w:cs="Times New Roman"/>
          <w:b/>
          <w:color w:val="auto"/>
          <w:highlight w:val="none"/>
          <w:lang w:val="zh-CN"/>
        </w:rPr>
      </w:pPr>
      <w:r>
        <w:rPr>
          <w:rFonts w:hint="default" w:ascii="Times New Roman" w:hAnsi="Times New Roman" w:eastAsia="宋体" w:cs="Times New Roman"/>
          <w:b/>
          <w:color w:val="auto"/>
          <w:highlight w:val="none"/>
          <w:lang w:val="zh-CN"/>
        </w:rPr>
        <w:t>扩建工程给排水平衡表</w:t>
      </w:r>
    </w:p>
    <w:p w14:paraId="4FC3F866">
      <w:pPr>
        <w:spacing w:line="15" w:lineRule="exact"/>
        <w:rPr>
          <w:rFonts w:hint="default" w:ascii="Times New Roman" w:hAnsi="Times New Roman" w:eastAsia="宋体" w:cs="Times New Roman"/>
          <w:highlight w:val="none"/>
        </w:rPr>
      </w:pPr>
    </w:p>
    <w:tbl>
      <w:tblPr>
        <w:tblStyle w:val="88"/>
        <w:tblW w:w="5259"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2123"/>
        <w:gridCol w:w="762"/>
        <w:gridCol w:w="742"/>
        <w:gridCol w:w="816"/>
        <w:gridCol w:w="784"/>
        <w:gridCol w:w="1068"/>
        <w:gridCol w:w="1068"/>
        <w:gridCol w:w="2210"/>
      </w:tblGrid>
      <w:tr w14:paraId="33FE3D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4" w:hRule="atLeast"/>
        </w:trPr>
        <w:tc>
          <w:tcPr>
            <w:tcW w:w="1108" w:type="pct"/>
            <w:vAlign w:val="center"/>
          </w:tcPr>
          <w:p w14:paraId="3604D1CA">
            <w:pPr>
              <w:pStyle w:val="58"/>
              <w:bidi w:val="0"/>
              <w:rPr>
                <w:rFonts w:hint="default"/>
                <w:highlight w:val="none"/>
                <w:lang w:val="en-US" w:eastAsia="zh-CN"/>
              </w:rPr>
            </w:pPr>
            <w:bookmarkStart w:id="167" w:name="OLE_LINK18"/>
            <w:r>
              <w:rPr>
                <w:rFonts w:hint="default"/>
                <w:highlight w:val="none"/>
                <w:lang w:val="en-US" w:eastAsia="zh-CN"/>
              </w:rPr>
              <w:t>用水环节</w:t>
            </w:r>
          </w:p>
        </w:tc>
        <w:tc>
          <w:tcPr>
            <w:tcW w:w="398" w:type="pct"/>
            <w:vAlign w:val="center"/>
          </w:tcPr>
          <w:p w14:paraId="64FA8B6F">
            <w:pPr>
              <w:pStyle w:val="58"/>
              <w:bidi w:val="0"/>
              <w:rPr>
                <w:rFonts w:hint="default"/>
                <w:highlight w:val="none"/>
                <w:lang w:val="en-US" w:eastAsia="zh-CN"/>
              </w:rPr>
            </w:pPr>
            <w:r>
              <w:rPr>
                <w:rFonts w:hint="default"/>
                <w:highlight w:val="none"/>
                <w:lang w:val="en-US" w:eastAsia="zh-CN"/>
              </w:rPr>
              <w:t>总用水量</w:t>
            </w:r>
          </w:p>
        </w:tc>
        <w:tc>
          <w:tcPr>
            <w:tcW w:w="387" w:type="pct"/>
            <w:vAlign w:val="center"/>
          </w:tcPr>
          <w:p w14:paraId="7A06FDA5">
            <w:pPr>
              <w:pStyle w:val="58"/>
              <w:bidi w:val="0"/>
              <w:rPr>
                <w:rFonts w:hint="default"/>
                <w:highlight w:val="none"/>
                <w:lang w:val="en-US" w:eastAsia="zh-CN"/>
              </w:rPr>
            </w:pPr>
            <w:r>
              <w:rPr>
                <w:rFonts w:hint="default"/>
                <w:highlight w:val="none"/>
                <w:lang w:val="en-US" w:eastAsia="zh-CN"/>
              </w:rPr>
              <w:t>新水用量</w:t>
            </w:r>
          </w:p>
        </w:tc>
        <w:tc>
          <w:tcPr>
            <w:tcW w:w="426" w:type="pct"/>
            <w:vAlign w:val="center"/>
          </w:tcPr>
          <w:p w14:paraId="60B45738">
            <w:pPr>
              <w:pStyle w:val="58"/>
              <w:bidi w:val="0"/>
              <w:rPr>
                <w:rFonts w:hint="default"/>
                <w:highlight w:val="none"/>
                <w:lang w:val="en-US" w:eastAsia="zh-CN"/>
              </w:rPr>
            </w:pPr>
            <w:r>
              <w:rPr>
                <w:rFonts w:hint="default"/>
                <w:highlight w:val="none"/>
                <w:lang w:val="en-US" w:eastAsia="zh-CN"/>
              </w:rPr>
              <w:t>循环水量</w:t>
            </w:r>
          </w:p>
        </w:tc>
        <w:tc>
          <w:tcPr>
            <w:tcW w:w="409" w:type="pct"/>
            <w:vAlign w:val="center"/>
          </w:tcPr>
          <w:p w14:paraId="4F1E70D6">
            <w:pPr>
              <w:pStyle w:val="58"/>
              <w:bidi w:val="0"/>
              <w:rPr>
                <w:rFonts w:hint="default"/>
                <w:highlight w:val="none"/>
                <w:lang w:val="en-US" w:eastAsia="zh-CN"/>
              </w:rPr>
            </w:pPr>
            <w:r>
              <w:rPr>
                <w:rFonts w:hint="default"/>
                <w:highlight w:val="none"/>
                <w:lang w:val="en-US" w:eastAsia="zh-CN"/>
              </w:rPr>
              <w:t>中水用量</w:t>
            </w:r>
          </w:p>
        </w:tc>
        <w:tc>
          <w:tcPr>
            <w:tcW w:w="557" w:type="pct"/>
            <w:vAlign w:val="center"/>
          </w:tcPr>
          <w:p w14:paraId="2617A45A">
            <w:pPr>
              <w:pStyle w:val="58"/>
              <w:bidi w:val="0"/>
              <w:rPr>
                <w:rFonts w:hint="default"/>
                <w:highlight w:val="none"/>
                <w:lang w:val="en-US" w:eastAsia="zh-CN"/>
              </w:rPr>
            </w:pPr>
            <w:r>
              <w:rPr>
                <w:rFonts w:hint="eastAsia"/>
                <w:highlight w:val="none"/>
                <w:lang w:val="en-US" w:eastAsia="zh-CN"/>
              </w:rPr>
              <w:t>损耗</w:t>
            </w:r>
          </w:p>
        </w:tc>
        <w:tc>
          <w:tcPr>
            <w:tcW w:w="557" w:type="pct"/>
            <w:vAlign w:val="center"/>
          </w:tcPr>
          <w:p w14:paraId="2EF41819">
            <w:pPr>
              <w:pStyle w:val="58"/>
              <w:bidi w:val="0"/>
              <w:rPr>
                <w:rFonts w:hint="default"/>
                <w:highlight w:val="none"/>
                <w:lang w:val="en-US" w:eastAsia="zh-CN"/>
              </w:rPr>
            </w:pPr>
            <w:r>
              <w:rPr>
                <w:rFonts w:hint="default"/>
                <w:highlight w:val="none"/>
                <w:lang w:val="en-US" w:eastAsia="zh-CN"/>
              </w:rPr>
              <w:t>排入</w:t>
            </w:r>
            <w:r>
              <w:rPr>
                <w:rFonts w:hint="eastAsia"/>
                <w:highlight w:val="none"/>
                <w:lang w:val="en-US" w:eastAsia="zh-CN"/>
              </w:rPr>
              <w:t>污水处理厂</w:t>
            </w:r>
          </w:p>
        </w:tc>
        <w:tc>
          <w:tcPr>
            <w:tcW w:w="1153" w:type="pct"/>
            <w:vAlign w:val="center"/>
          </w:tcPr>
          <w:p w14:paraId="5ABAF982">
            <w:pPr>
              <w:pStyle w:val="58"/>
              <w:bidi w:val="0"/>
              <w:rPr>
                <w:rFonts w:hint="default"/>
                <w:highlight w:val="none"/>
                <w:lang w:val="en-US" w:eastAsia="zh-CN"/>
              </w:rPr>
            </w:pPr>
            <w:r>
              <w:rPr>
                <w:rFonts w:hint="eastAsia"/>
                <w:highlight w:val="none"/>
                <w:lang w:val="en-US" w:eastAsia="zh-CN"/>
              </w:rPr>
              <w:t>去向</w:t>
            </w:r>
          </w:p>
        </w:tc>
      </w:tr>
      <w:tr w14:paraId="7DA7612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2" w:hRule="atLeast"/>
        </w:trPr>
        <w:tc>
          <w:tcPr>
            <w:tcW w:w="1108" w:type="pct"/>
            <w:vAlign w:val="center"/>
          </w:tcPr>
          <w:p w14:paraId="2348A98C">
            <w:pPr>
              <w:pStyle w:val="58"/>
              <w:bidi w:val="0"/>
              <w:rPr>
                <w:rFonts w:hint="default"/>
                <w:highlight w:val="none"/>
                <w:lang w:val="en-US" w:eastAsia="zh-CN"/>
              </w:rPr>
            </w:pPr>
            <w:r>
              <w:rPr>
                <w:rFonts w:hint="eastAsia"/>
                <w:highlight w:val="none"/>
                <w:lang w:val="en-US" w:eastAsia="zh-CN"/>
              </w:rPr>
              <w:t>PAM、PAC调配</w:t>
            </w:r>
            <w:r>
              <w:rPr>
                <w:rFonts w:hint="default"/>
                <w:highlight w:val="none"/>
                <w:lang w:val="en-US" w:eastAsia="zh-CN"/>
              </w:rPr>
              <w:t>用水</w:t>
            </w:r>
          </w:p>
        </w:tc>
        <w:tc>
          <w:tcPr>
            <w:tcW w:w="398" w:type="pct"/>
            <w:vAlign w:val="center"/>
          </w:tcPr>
          <w:p w14:paraId="6C0A7458">
            <w:pPr>
              <w:pStyle w:val="58"/>
              <w:bidi w:val="0"/>
              <w:rPr>
                <w:rFonts w:hint="default"/>
                <w:highlight w:val="none"/>
                <w:lang w:val="en-US" w:eastAsia="zh-CN"/>
              </w:rPr>
            </w:pPr>
            <w:r>
              <w:rPr>
                <w:rFonts w:hint="default"/>
                <w:highlight w:val="none"/>
                <w:lang w:val="en-US" w:eastAsia="zh-CN"/>
              </w:rPr>
              <w:t>0.5</w:t>
            </w:r>
          </w:p>
        </w:tc>
        <w:tc>
          <w:tcPr>
            <w:tcW w:w="387" w:type="pct"/>
            <w:vAlign w:val="center"/>
          </w:tcPr>
          <w:p w14:paraId="32225613">
            <w:pPr>
              <w:pStyle w:val="58"/>
              <w:bidi w:val="0"/>
              <w:rPr>
                <w:rFonts w:hint="default"/>
                <w:highlight w:val="none"/>
                <w:lang w:val="en-US" w:eastAsia="zh-CN"/>
              </w:rPr>
            </w:pPr>
            <w:r>
              <w:rPr>
                <w:rFonts w:hint="default"/>
                <w:highlight w:val="none"/>
                <w:lang w:val="en-US" w:eastAsia="zh-CN"/>
              </w:rPr>
              <w:t>0</w:t>
            </w:r>
          </w:p>
        </w:tc>
        <w:tc>
          <w:tcPr>
            <w:tcW w:w="426" w:type="pct"/>
            <w:vAlign w:val="center"/>
          </w:tcPr>
          <w:p w14:paraId="67ABAF26">
            <w:pPr>
              <w:pStyle w:val="58"/>
              <w:bidi w:val="0"/>
              <w:rPr>
                <w:rFonts w:hint="default"/>
                <w:highlight w:val="none"/>
                <w:lang w:val="en-US" w:eastAsia="zh-CN"/>
              </w:rPr>
            </w:pPr>
            <w:r>
              <w:rPr>
                <w:rFonts w:hint="default"/>
                <w:highlight w:val="none"/>
                <w:lang w:val="en-US" w:eastAsia="zh-CN"/>
              </w:rPr>
              <w:t>/</w:t>
            </w:r>
          </w:p>
        </w:tc>
        <w:tc>
          <w:tcPr>
            <w:tcW w:w="409" w:type="pct"/>
            <w:vAlign w:val="center"/>
          </w:tcPr>
          <w:p w14:paraId="06950621">
            <w:pPr>
              <w:pStyle w:val="58"/>
              <w:bidi w:val="0"/>
              <w:rPr>
                <w:rFonts w:hint="default"/>
                <w:highlight w:val="none"/>
                <w:lang w:val="en-US" w:eastAsia="zh-CN"/>
              </w:rPr>
            </w:pPr>
            <w:r>
              <w:rPr>
                <w:rFonts w:hint="default"/>
                <w:highlight w:val="none"/>
                <w:lang w:val="en-US" w:eastAsia="zh-CN"/>
              </w:rPr>
              <w:t>0.5</w:t>
            </w:r>
          </w:p>
        </w:tc>
        <w:tc>
          <w:tcPr>
            <w:tcW w:w="557" w:type="pct"/>
            <w:vAlign w:val="center"/>
          </w:tcPr>
          <w:p w14:paraId="464BC877">
            <w:pPr>
              <w:pStyle w:val="58"/>
              <w:bidi w:val="0"/>
              <w:rPr>
                <w:rFonts w:hint="default"/>
                <w:highlight w:val="none"/>
                <w:lang w:val="en-US" w:eastAsia="zh-CN"/>
              </w:rPr>
            </w:pPr>
            <w:r>
              <w:rPr>
                <w:rFonts w:hint="eastAsia"/>
                <w:highlight w:val="none"/>
                <w:lang w:val="en-US" w:eastAsia="zh-CN"/>
              </w:rPr>
              <w:t>0</w:t>
            </w:r>
          </w:p>
        </w:tc>
        <w:tc>
          <w:tcPr>
            <w:tcW w:w="557" w:type="pct"/>
            <w:vAlign w:val="center"/>
          </w:tcPr>
          <w:p w14:paraId="01DED1D6">
            <w:pPr>
              <w:pStyle w:val="58"/>
              <w:bidi w:val="0"/>
              <w:rPr>
                <w:rFonts w:hint="default"/>
                <w:highlight w:val="none"/>
                <w:lang w:val="en-US" w:eastAsia="zh-CN"/>
              </w:rPr>
            </w:pPr>
            <w:r>
              <w:rPr>
                <w:rFonts w:hint="default"/>
                <w:highlight w:val="none"/>
                <w:lang w:val="en-US" w:eastAsia="zh-CN"/>
              </w:rPr>
              <w:t>0.5</w:t>
            </w:r>
          </w:p>
        </w:tc>
        <w:tc>
          <w:tcPr>
            <w:tcW w:w="1153" w:type="pct"/>
            <w:vMerge w:val="restart"/>
            <w:vAlign w:val="center"/>
          </w:tcPr>
          <w:p w14:paraId="405DDA06">
            <w:pPr>
              <w:pStyle w:val="58"/>
              <w:bidi w:val="0"/>
              <w:rPr>
                <w:rFonts w:hint="default"/>
                <w:highlight w:val="none"/>
                <w:lang w:val="en-US" w:eastAsia="zh-CN"/>
              </w:rPr>
            </w:pPr>
            <w:r>
              <w:rPr>
                <w:rFonts w:hint="default"/>
                <w:highlight w:val="none"/>
                <w:lang w:val="en-US" w:eastAsia="zh-CN"/>
              </w:rPr>
              <w:t>全部进入污水处理系统</w:t>
            </w:r>
          </w:p>
        </w:tc>
      </w:tr>
      <w:tr w14:paraId="21DE74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2" w:hRule="atLeast"/>
        </w:trPr>
        <w:tc>
          <w:tcPr>
            <w:tcW w:w="1108" w:type="pct"/>
            <w:vAlign w:val="center"/>
          </w:tcPr>
          <w:p w14:paraId="453FF32C">
            <w:pPr>
              <w:pStyle w:val="58"/>
              <w:bidi w:val="0"/>
              <w:rPr>
                <w:rFonts w:hint="default"/>
                <w:highlight w:val="none"/>
                <w:lang w:val="en-US" w:eastAsia="zh-CN"/>
              </w:rPr>
            </w:pPr>
            <w:r>
              <w:rPr>
                <w:rFonts w:hint="default"/>
                <w:highlight w:val="none"/>
                <w:lang w:val="en-US" w:eastAsia="zh-CN"/>
              </w:rPr>
              <w:t>设备</w:t>
            </w:r>
            <w:r>
              <w:rPr>
                <w:rFonts w:hint="eastAsia"/>
                <w:highlight w:val="none"/>
                <w:lang w:val="en-US" w:eastAsia="zh-CN"/>
              </w:rPr>
              <w:t>、车间等</w:t>
            </w:r>
            <w:r>
              <w:rPr>
                <w:rFonts w:hint="default"/>
                <w:highlight w:val="none"/>
                <w:lang w:val="en-US" w:eastAsia="zh-CN"/>
              </w:rPr>
              <w:t>清洗</w:t>
            </w:r>
          </w:p>
        </w:tc>
        <w:tc>
          <w:tcPr>
            <w:tcW w:w="398" w:type="pct"/>
            <w:vAlign w:val="center"/>
          </w:tcPr>
          <w:p w14:paraId="2E5886EE">
            <w:pPr>
              <w:pStyle w:val="58"/>
              <w:bidi w:val="0"/>
              <w:rPr>
                <w:rFonts w:hint="default"/>
                <w:highlight w:val="none"/>
                <w:lang w:val="en-US" w:eastAsia="zh-CN"/>
              </w:rPr>
            </w:pPr>
            <w:r>
              <w:rPr>
                <w:rFonts w:hint="default"/>
                <w:highlight w:val="none"/>
                <w:lang w:val="en-US" w:eastAsia="zh-CN"/>
              </w:rPr>
              <w:t>8.5</w:t>
            </w:r>
          </w:p>
        </w:tc>
        <w:tc>
          <w:tcPr>
            <w:tcW w:w="387" w:type="pct"/>
            <w:vAlign w:val="center"/>
          </w:tcPr>
          <w:p w14:paraId="158AD4CE">
            <w:pPr>
              <w:pStyle w:val="58"/>
              <w:bidi w:val="0"/>
              <w:rPr>
                <w:rFonts w:hint="default"/>
                <w:highlight w:val="none"/>
                <w:lang w:val="en-US" w:eastAsia="zh-CN"/>
              </w:rPr>
            </w:pPr>
            <w:r>
              <w:rPr>
                <w:rFonts w:hint="default"/>
                <w:highlight w:val="none"/>
                <w:lang w:val="en-US" w:eastAsia="zh-CN"/>
              </w:rPr>
              <w:t>0</w:t>
            </w:r>
          </w:p>
        </w:tc>
        <w:tc>
          <w:tcPr>
            <w:tcW w:w="426" w:type="pct"/>
            <w:vAlign w:val="center"/>
          </w:tcPr>
          <w:p w14:paraId="3F460E97">
            <w:pPr>
              <w:pStyle w:val="58"/>
              <w:bidi w:val="0"/>
              <w:rPr>
                <w:rFonts w:hint="default"/>
                <w:highlight w:val="none"/>
                <w:lang w:val="en-US" w:eastAsia="zh-CN"/>
              </w:rPr>
            </w:pPr>
            <w:r>
              <w:rPr>
                <w:rFonts w:hint="default"/>
                <w:highlight w:val="none"/>
                <w:lang w:val="en-US" w:eastAsia="zh-CN"/>
              </w:rPr>
              <w:t>/</w:t>
            </w:r>
          </w:p>
        </w:tc>
        <w:tc>
          <w:tcPr>
            <w:tcW w:w="409" w:type="pct"/>
            <w:vAlign w:val="center"/>
          </w:tcPr>
          <w:p w14:paraId="3208CD6C">
            <w:pPr>
              <w:pStyle w:val="58"/>
              <w:bidi w:val="0"/>
              <w:rPr>
                <w:rFonts w:hint="default"/>
                <w:highlight w:val="none"/>
                <w:lang w:val="en-US" w:eastAsia="zh-CN"/>
              </w:rPr>
            </w:pPr>
            <w:r>
              <w:rPr>
                <w:rFonts w:hint="default"/>
                <w:highlight w:val="none"/>
                <w:lang w:val="en-US" w:eastAsia="zh-CN"/>
              </w:rPr>
              <w:t>8.5</w:t>
            </w:r>
          </w:p>
        </w:tc>
        <w:tc>
          <w:tcPr>
            <w:tcW w:w="557" w:type="pct"/>
            <w:vAlign w:val="center"/>
          </w:tcPr>
          <w:p w14:paraId="4148BCF7">
            <w:pPr>
              <w:pStyle w:val="58"/>
              <w:bidi w:val="0"/>
              <w:rPr>
                <w:rFonts w:hint="default"/>
                <w:highlight w:val="none"/>
                <w:lang w:val="en-US" w:eastAsia="zh-CN"/>
              </w:rPr>
            </w:pPr>
            <w:r>
              <w:rPr>
                <w:rFonts w:hint="eastAsia"/>
                <w:highlight w:val="none"/>
                <w:lang w:val="en-US" w:eastAsia="zh-CN"/>
              </w:rPr>
              <w:t>1.7</w:t>
            </w:r>
          </w:p>
        </w:tc>
        <w:tc>
          <w:tcPr>
            <w:tcW w:w="557" w:type="pct"/>
            <w:vAlign w:val="center"/>
          </w:tcPr>
          <w:p w14:paraId="68C5704A">
            <w:pPr>
              <w:pStyle w:val="58"/>
              <w:bidi w:val="0"/>
              <w:rPr>
                <w:rFonts w:hint="default"/>
                <w:highlight w:val="none"/>
                <w:lang w:val="en-US" w:eastAsia="zh-CN"/>
              </w:rPr>
            </w:pPr>
            <w:r>
              <w:rPr>
                <w:rFonts w:hint="default"/>
                <w:highlight w:val="none"/>
                <w:lang w:val="en-US" w:eastAsia="zh-CN"/>
              </w:rPr>
              <w:t>6.8</w:t>
            </w:r>
          </w:p>
        </w:tc>
        <w:tc>
          <w:tcPr>
            <w:tcW w:w="1153" w:type="pct"/>
            <w:vMerge w:val="continue"/>
            <w:vAlign w:val="center"/>
          </w:tcPr>
          <w:p w14:paraId="1AC69869">
            <w:pPr>
              <w:pStyle w:val="58"/>
              <w:bidi w:val="0"/>
              <w:rPr>
                <w:rFonts w:hint="default"/>
                <w:highlight w:val="none"/>
                <w:lang w:val="en-US" w:eastAsia="zh-CN"/>
              </w:rPr>
            </w:pPr>
          </w:p>
        </w:tc>
      </w:tr>
      <w:tr w14:paraId="028CF5B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2" w:hRule="atLeast"/>
        </w:trPr>
        <w:tc>
          <w:tcPr>
            <w:tcW w:w="1108" w:type="pct"/>
            <w:vAlign w:val="center"/>
          </w:tcPr>
          <w:p w14:paraId="6FF47FBE">
            <w:pPr>
              <w:pStyle w:val="58"/>
              <w:bidi w:val="0"/>
              <w:rPr>
                <w:rFonts w:hint="default"/>
                <w:highlight w:val="none"/>
                <w:lang w:val="en-US" w:eastAsia="zh-CN"/>
              </w:rPr>
            </w:pPr>
            <w:r>
              <w:rPr>
                <w:rFonts w:hint="eastAsia"/>
                <w:highlight w:val="none"/>
                <w:lang w:val="en-US" w:eastAsia="zh-CN"/>
              </w:rPr>
              <w:t>实验室用水</w:t>
            </w:r>
          </w:p>
        </w:tc>
        <w:tc>
          <w:tcPr>
            <w:tcW w:w="398" w:type="pct"/>
            <w:vAlign w:val="center"/>
          </w:tcPr>
          <w:p w14:paraId="29866EE9">
            <w:pPr>
              <w:pStyle w:val="58"/>
              <w:bidi w:val="0"/>
              <w:rPr>
                <w:rFonts w:hint="default"/>
                <w:highlight w:val="none"/>
                <w:lang w:val="en-US" w:eastAsia="zh-CN"/>
              </w:rPr>
            </w:pPr>
            <w:r>
              <w:rPr>
                <w:rFonts w:hint="eastAsia"/>
                <w:highlight w:val="none"/>
                <w:lang w:val="en-US" w:eastAsia="zh-CN"/>
              </w:rPr>
              <w:t>0.2</w:t>
            </w:r>
          </w:p>
        </w:tc>
        <w:tc>
          <w:tcPr>
            <w:tcW w:w="387" w:type="pct"/>
            <w:vAlign w:val="center"/>
          </w:tcPr>
          <w:p w14:paraId="2D9011EE">
            <w:pPr>
              <w:pStyle w:val="58"/>
              <w:bidi w:val="0"/>
              <w:rPr>
                <w:rFonts w:hint="default"/>
                <w:highlight w:val="none"/>
                <w:lang w:val="en-US" w:eastAsia="zh-CN"/>
              </w:rPr>
            </w:pPr>
            <w:r>
              <w:rPr>
                <w:rFonts w:hint="eastAsia"/>
                <w:highlight w:val="none"/>
                <w:lang w:val="en-US" w:eastAsia="zh-CN"/>
              </w:rPr>
              <w:t>0.2</w:t>
            </w:r>
          </w:p>
        </w:tc>
        <w:tc>
          <w:tcPr>
            <w:tcW w:w="426" w:type="pct"/>
            <w:vAlign w:val="center"/>
          </w:tcPr>
          <w:p w14:paraId="69DD6F90">
            <w:pPr>
              <w:pStyle w:val="58"/>
              <w:bidi w:val="0"/>
              <w:rPr>
                <w:rFonts w:hint="default"/>
                <w:highlight w:val="none"/>
                <w:lang w:val="en-US" w:eastAsia="zh-CN"/>
              </w:rPr>
            </w:pPr>
            <w:r>
              <w:rPr>
                <w:rFonts w:hint="eastAsia"/>
                <w:highlight w:val="none"/>
                <w:lang w:val="en-US" w:eastAsia="zh-CN"/>
              </w:rPr>
              <w:t>/</w:t>
            </w:r>
          </w:p>
        </w:tc>
        <w:tc>
          <w:tcPr>
            <w:tcW w:w="409" w:type="pct"/>
            <w:vAlign w:val="center"/>
          </w:tcPr>
          <w:p w14:paraId="11DF875B">
            <w:pPr>
              <w:pStyle w:val="58"/>
              <w:bidi w:val="0"/>
              <w:rPr>
                <w:rFonts w:hint="default"/>
                <w:highlight w:val="none"/>
                <w:lang w:val="en-US" w:eastAsia="zh-CN"/>
              </w:rPr>
            </w:pPr>
            <w:r>
              <w:rPr>
                <w:rFonts w:hint="eastAsia"/>
                <w:highlight w:val="none"/>
                <w:lang w:val="en-US" w:eastAsia="zh-CN"/>
              </w:rPr>
              <w:t>/</w:t>
            </w:r>
          </w:p>
        </w:tc>
        <w:tc>
          <w:tcPr>
            <w:tcW w:w="557" w:type="pct"/>
            <w:vAlign w:val="center"/>
          </w:tcPr>
          <w:p w14:paraId="12FC98D7">
            <w:pPr>
              <w:pStyle w:val="58"/>
              <w:bidi w:val="0"/>
              <w:rPr>
                <w:rFonts w:hint="default"/>
                <w:highlight w:val="none"/>
                <w:lang w:val="en-US" w:eastAsia="zh-CN"/>
              </w:rPr>
            </w:pPr>
            <w:r>
              <w:rPr>
                <w:rFonts w:hint="eastAsia"/>
                <w:highlight w:val="none"/>
                <w:lang w:val="en-US" w:eastAsia="zh-CN"/>
              </w:rPr>
              <w:t>0.04</w:t>
            </w:r>
          </w:p>
        </w:tc>
        <w:tc>
          <w:tcPr>
            <w:tcW w:w="557" w:type="pct"/>
            <w:vAlign w:val="center"/>
          </w:tcPr>
          <w:p w14:paraId="56FDFDD1">
            <w:pPr>
              <w:pStyle w:val="58"/>
              <w:bidi w:val="0"/>
              <w:rPr>
                <w:rFonts w:hint="default"/>
                <w:highlight w:val="none"/>
                <w:lang w:val="en-US" w:eastAsia="zh-CN"/>
              </w:rPr>
            </w:pPr>
            <w:r>
              <w:rPr>
                <w:rFonts w:hint="eastAsia"/>
                <w:highlight w:val="none"/>
                <w:lang w:val="en-US" w:eastAsia="zh-CN"/>
              </w:rPr>
              <w:t>0.16</w:t>
            </w:r>
          </w:p>
        </w:tc>
        <w:tc>
          <w:tcPr>
            <w:tcW w:w="1153" w:type="pct"/>
            <w:vMerge w:val="continue"/>
            <w:vAlign w:val="center"/>
          </w:tcPr>
          <w:p w14:paraId="2CBD9380">
            <w:pPr>
              <w:pStyle w:val="58"/>
              <w:bidi w:val="0"/>
              <w:rPr>
                <w:rFonts w:hint="default"/>
                <w:highlight w:val="none"/>
                <w:lang w:val="en-US" w:eastAsia="zh-CN"/>
              </w:rPr>
            </w:pPr>
          </w:p>
        </w:tc>
      </w:tr>
      <w:tr w14:paraId="606F70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2" w:hRule="atLeast"/>
        </w:trPr>
        <w:tc>
          <w:tcPr>
            <w:tcW w:w="1108" w:type="pct"/>
            <w:vAlign w:val="center"/>
          </w:tcPr>
          <w:p w14:paraId="30E7A28B">
            <w:pPr>
              <w:pStyle w:val="58"/>
              <w:bidi w:val="0"/>
              <w:rPr>
                <w:rFonts w:hint="default"/>
                <w:highlight w:val="none"/>
                <w:lang w:val="en-US" w:eastAsia="zh-CN"/>
              </w:rPr>
            </w:pPr>
            <w:r>
              <w:rPr>
                <w:rFonts w:hint="eastAsia"/>
                <w:highlight w:val="none"/>
                <w:lang w:val="en-US" w:eastAsia="zh-CN"/>
              </w:rPr>
              <w:t>厂区生活用水</w:t>
            </w:r>
          </w:p>
        </w:tc>
        <w:tc>
          <w:tcPr>
            <w:tcW w:w="398" w:type="pct"/>
            <w:vAlign w:val="center"/>
          </w:tcPr>
          <w:p w14:paraId="798BD5D9">
            <w:pPr>
              <w:pStyle w:val="58"/>
              <w:bidi w:val="0"/>
              <w:rPr>
                <w:rFonts w:hint="default"/>
                <w:highlight w:val="none"/>
                <w:lang w:val="en-US" w:eastAsia="zh-CN"/>
              </w:rPr>
            </w:pPr>
            <w:r>
              <w:rPr>
                <w:rFonts w:hint="eastAsia"/>
                <w:highlight w:val="none"/>
                <w:lang w:val="en-US" w:eastAsia="zh-CN"/>
              </w:rPr>
              <w:t>0.2</w:t>
            </w:r>
          </w:p>
        </w:tc>
        <w:tc>
          <w:tcPr>
            <w:tcW w:w="387" w:type="pct"/>
            <w:vAlign w:val="center"/>
          </w:tcPr>
          <w:p w14:paraId="2080BAA9">
            <w:pPr>
              <w:pStyle w:val="58"/>
              <w:bidi w:val="0"/>
              <w:rPr>
                <w:rFonts w:hint="default"/>
                <w:highlight w:val="none"/>
                <w:lang w:val="en-US" w:eastAsia="zh-CN"/>
              </w:rPr>
            </w:pPr>
            <w:r>
              <w:rPr>
                <w:rFonts w:hint="eastAsia"/>
                <w:highlight w:val="none"/>
                <w:lang w:val="en-US" w:eastAsia="zh-CN"/>
              </w:rPr>
              <w:t>0.2</w:t>
            </w:r>
          </w:p>
        </w:tc>
        <w:tc>
          <w:tcPr>
            <w:tcW w:w="426" w:type="pct"/>
            <w:vAlign w:val="center"/>
          </w:tcPr>
          <w:p w14:paraId="66A61896">
            <w:pPr>
              <w:pStyle w:val="58"/>
              <w:bidi w:val="0"/>
              <w:rPr>
                <w:rFonts w:hint="default"/>
                <w:highlight w:val="none"/>
                <w:lang w:val="en-US" w:eastAsia="zh-CN"/>
              </w:rPr>
            </w:pPr>
            <w:r>
              <w:rPr>
                <w:rFonts w:hint="eastAsia"/>
                <w:highlight w:val="none"/>
                <w:lang w:val="en-US" w:eastAsia="zh-CN"/>
              </w:rPr>
              <w:t>/</w:t>
            </w:r>
          </w:p>
        </w:tc>
        <w:tc>
          <w:tcPr>
            <w:tcW w:w="409" w:type="pct"/>
            <w:vAlign w:val="center"/>
          </w:tcPr>
          <w:p w14:paraId="4B6DFBD9">
            <w:pPr>
              <w:pStyle w:val="58"/>
              <w:bidi w:val="0"/>
              <w:rPr>
                <w:rFonts w:hint="default"/>
                <w:highlight w:val="none"/>
                <w:lang w:val="en-US" w:eastAsia="zh-CN"/>
              </w:rPr>
            </w:pPr>
            <w:r>
              <w:rPr>
                <w:rFonts w:hint="eastAsia"/>
                <w:highlight w:val="none"/>
                <w:lang w:val="en-US" w:eastAsia="zh-CN"/>
              </w:rPr>
              <w:t>/</w:t>
            </w:r>
          </w:p>
        </w:tc>
        <w:tc>
          <w:tcPr>
            <w:tcW w:w="557" w:type="pct"/>
            <w:vAlign w:val="center"/>
          </w:tcPr>
          <w:p w14:paraId="532D8F5D">
            <w:pPr>
              <w:pStyle w:val="58"/>
              <w:bidi w:val="0"/>
              <w:rPr>
                <w:rFonts w:hint="default"/>
                <w:highlight w:val="none"/>
                <w:lang w:val="en-US" w:eastAsia="zh-CN"/>
              </w:rPr>
            </w:pPr>
            <w:r>
              <w:rPr>
                <w:rFonts w:hint="eastAsia"/>
                <w:highlight w:val="none"/>
                <w:lang w:val="en-US" w:eastAsia="zh-CN"/>
              </w:rPr>
              <w:t>0.04</w:t>
            </w:r>
          </w:p>
        </w:tc>
        <w:tc>
          <w:tcPr>
            <w:tcW w:w="557" w:type="pct"/>
            <w:vAlign w:val="center"/>
          </w:tcPr>
          <w:p w14:paraId="3C348734">
            <w:pPr>
              <w:pStyle w:val="58"/>
              <w:bidi w:val="0"/>
              <w:rPr>
                <w:rFonts w:hint="default"/>
                <w:highlight w:val="none"/>
                <w:lang w:val="en-US" w:eastAsia="zh-CN"/>
              </w:rPr>
            </w:pPr>
            <w:r>
              <w:rPr>
                <w:rFonts w:hint="eastAsia"/>
                <w:highlight w:val="none"/>
                <w:lang w:val="en-US" w:eastAsia="zh-CN"/>
              </w:rPr>
              <w:t>0.16</w:t>
            </w:r>
          </w:p>
        </w:tc>
        <w:tc>
          <w:tcPr>
            <w:tcW w:w="1153" w:type="pct"/>
            <w:vMerge w:val="continue"/>
            <w:vAlign w:val="center"/>
          </w:tcPr>
          <w:p w14:paraId="27AC884E">
            <w:pPr>
              <w:pStyle w:val="58"/>
              <w:bidi w:val="0"/>
              <w:rPr>
                <w:rFonts w:hint="default"/>
                <w:highlight w:val="none"/>
                <w:lang w:val="en-US" w:eastAsia="zh-CN"/>
              </w:rPr>
            </w:pPr>
          </w:p>
        </w:tc>
      </w:tr>
      <w:tr w14:paraId="09C8340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66" w:hRule="atLeast"/>
        </w:trPr>
        <w:tc>
          <w:tcPr>
            <w:tcW w:w="1108" w:type="pct"/>
            <w:vAlign w:val="center"/>
          </w:tcPr>
          <w:p w14:paraId="1A9F50B2">
            <w:pPr>
              <w:pStyle w:val="58"/>
              <w:bidi w:val="0"/>
              <w:rPr>
                <w:rFonts w:hint="default"/>
                <w:highlight w:val="none"/>
                <w:lang w:val="en-US" w:eastAsia="zh-CN"/>
              </w:rPr>
            </w:pPr>
            <w:r>
              <w:rPr>
                <w:rFonts w:hint="default"/>
                <w:highlight w:val="none"/>
                <w:lang w:val="en-US" w:eastAsia="zh-CN"/>
              </w:rPr>
              <w:t>合计</w:t>
            </w:r>
          </w:p>
        </w:tc>
        <w:tc>
          <w:tcPr>
            <w:tcW w:w="398" w:type="pct"/>
            <w:vAlign w:val="center"/>
          </w:tcPr>
          <w:p w14:paraId="70428B01">
            <w:pPr>
              <w:pStyle w:val="58"/>
              <w:bidi w:val="0"/>
              <w:rPr>
                <w:rFonts w:hint="default"/>
                <w:highlight w:val="none"/>
                <w:lang w:val="en-US" w:eastAsia="zh-CN"/>
              </w:rPr>
            </w:pPr>
            <w:r>
              <w:rPr>
                <w:rFonts w:hint="default"/>
                <w:highlight w:val="none"/>
                <w:lang w:val="en-US" w:eastAsia="zh-CN"/>
              </w:rPr>
              <w:t>9.</w:t>
            </w:r>
            <w:r>
              <w:rPr>
                <w:rFonts w:hint="eastAsia"/>
                <w:highlight w:val="none"/>
                <w:lang w:val="en-US" w:eastAsia="zh-CN"/>
              </w:rPr>
              <w:t>4</w:t>
            </w:r>
          </w:p>
        </w:tc>
        <w:tc>
          <w:tcPr>
            <w:tcW w:w="387" w:type="pct"/>
            <w:vAlign w:val="center"/>
          </w:tcPr>
          <w:p w14:paraId="7A897CF7">
            <w:pPr>
              <w:pStyle w:val="58"/>
              <w:bidi w:val="0"/>
              <w:rPr>
                <w:rFonts w:hint="default"/>
                <w:highlight w:val="none"/>
                <w:lang w:val="en-US" w:eastAsia="zh-CN"/>
              </w:rPr>
            </w:pPr>
            <w:r>
              <w:rPr>
                <w:rFonts w:hint="default"/>
                <w:highlight w:val="none"/>
                <w:lang w:val="en-US" w:eastAsia="zh-CN"/>
              </w:rPr>
              <w:t>0</w:t>
            </w:r>
            <w:r>
              <w:rPr>
                <w:rFonts w:hint="eastAsia"/>
                <w:highlight w:val="none"/>
                <w:lang w:val="en-US" w:eastAsia="zh-CN"/>
              </w:rPr>
              <w:t>.4</w:t>
            </w:r>
          </w:p>
        </w:tc>
        <w:tc>
          <w:tcPr>
            <w:tcW w:w="426" w:type="pct"/>
            <w:vAlign w:val="center"/>
          </w:tcPr>
          <w:p w14:paraId="78C75B77">
            <w:pPr>
              <w:pStyle w:val="58"/>
              <w:bidi w:val="0"/>
              <w:rPr>
                <w:rFonts w:hint="default"/>
                <w:highlight w:val="none"/>
                <w:lang w:val="en-US" w:eastAsia="zh-CN"/>
              </w:rPr>
            </w:pPr>
            <w:r>
              <w:rPr>
                <w:rFonts w:hint="default"/>
                <w:highlight w:val="none"/>
                <w:lang w:val="en-US" w:eastAsia="zh-CN"/>
              </w:rPr>
              <w:t>/</w:t>
            </w:r>
          </w:p>
        </w:tc>
        <w:tc>
          <w:tcPr>
            <w:tcW w:w="409" w:type="pct"/>
            <w:vAlign w:val="center"/>
          </w:tcPr>
          <w:p w14:paraId="7E8BC233">
            <w:pPr>
              <w:pStyle w:val="58"/>
              <w:bidi w:val="0"/>
              <w:rPr>
                <w:rFonts w:hint="default"/>
                <w:highlight w:val="none"/>
                <w:lang w:val="en-US" w:eastAsia="zh-CN"/>
              </w:rPr>
            </w:pPr>
            <w:r>
              <w:rPr>
                <w:rFonts w:hint="default"/>
                <w:highlight w:val="none"/>
                <w:lang w:val="en-US" w:eastAsia="zh-CN"/>
              </w:rPr>
              <w:t>9.0</w:t>
            </w:r>
          </w:p>
        </w:tc>
        <w:tc>
          <w:tcPr>
            <w:tcW w:w="557" w:type="pct"/>
            <w:vAlign w:val="center"/>
          </w:tcPr>
          <w:p w14:paraId="3EF6ED5C">
            <w:pPr>
              <w:pStyle w:val="58"/>
              <w:bidi w:val="0"/>
              <w:rPr>
                <w:rFonts w:hint="default"/>
                <w:highlight w:val="none"/>
                <w:lang w:val="en-US" w:eastAsia="zh-CN"/>
              </w:rPr>
            </w:pPr>
            <w:r>
              <w:rPr>
                <w:rFonts w:hint="eastAsia"/>
                <w:highlight w:val="none"/>
                <w:lang w:val="en-US" w:eastAsia="zh-CN"/>
              </w:rPr>
              <w:t>1.78</w:t>
            </w:r>
          </w:p>
        </w:tc>
        <w:tc>
          <w:tcPr>
            <w:tcW w:w="557" w:type="pct"/>
            <w:vAlign w:val="center"/>
          </w:tcPr>
          <w:p w14:paraId="1367F102">
            <w:pPr>
              <w:pStyle w:val="58"/>
              <w:bidi w:val="0"/>
              <w:rPr>
                <w:rFonts w:hint="default"/>
                <w:highlight w:val="none"/>
                <w:lang w:val="en-US" w:eastAsia="zh-CN"/>
              </w:rPr>
            </w:pPr>
            <w:r>
              <w:rPr>
                <w:rFonts w:hint="eastAsia"/>
                <w:highlight w:val="none"/>
                <w:lang w:val="en-US" w:eastAsia="zh-CN"/>
              </w:rPr>
              <w:t>7.62</w:t>
            </w:r>
          </w:p>
        </w:tc>
        <w:tc>
          <w:tcPr>
            <w:tcW w:w="1153" w:type="pct"/>
            <w:vMerge w:val="continue"/>
            <w:vAlign w:val="center"/>
          </w:tcPr>
          <w:p w14:paraId="1A00993B">
            <w:pPr>
              <w:pStyle w:val="58"/>
              <w:bidi w:val="0"/>
              <w:rPr>
                <w:rFonts w:hint="default"/>
                <w:highlight w:val="none"/>
                <w:lang w:val="en-US" w:eastAsia="zh-CN"/>
              </w:rPr>
            </w:pPr>
          </w:p>
        </w:tc>
      </w:tr>
      <w:bookmarkEnd w:id="167"/>
    </w:tbl>
    <w:p w14:paraId="1F93C582">
      <w:pPr>
        <w:keepNext w:val="0"/>
        <w:keepLines w:val="0"/>
        <w:pageBreakBefore w:val="0"/>
        <w:widowControl w:val="0"/>
        <w:kinsoku/>
        <w:wordWrap/>
        <w:overflowPunct/>
        <w:topLinePunct w:val="0"/>
        <w:autoSpaceDE/>
        <w:autoSpaceDN/>
        <w:bidi w:val="0"/>
        <w:adjustRightInd/>
        <w:snapToGrid/>
        <w:spacing w:before="247" w:line="221" w:lineRule="auto"/>
        <w:ind w:firstLine="0" w:firstLineChars="0"/>
        <w:jc w:val="center"/>
        <w:textAlignment w:val="auto"/>
        <w:rPr>
          <w:rFonts w:hint="default" w:ascii="Times New Roman" w:hAnsi="Times New Roman" w:eastAsia="宋体" w:cs="Times New Roman"/>
          <w:b/>
          <w:bCs/>
          <w:spacing w:val="-2"/>
          <w:sz w:val="24"/>
          <w:szCs w:val="24"/>
          <w:highlight w:val="none"/>
        </w:rPr>
      </w:pPr>
      <w:r>
        <w:rPr>
          <w:rFonts w:hint="default" w:ascii="Times New Roman" w:hAnsi="Times New Roman" w:eastAsia="宋体" w:cs="Times New Roman"/>
          <w:b/>
          <w:bCs/>
          <w:spacing w:val="-2"/>
          <w:sz w:val="24"/>
          <w:szCs w:val="24"/>
          <w:highlight w:val="none"/>
        </w:rPr>
        <w:object>
          <v:shape id="_x0000_i1029" o:spt="75" type="#_x0000_t75" style="height:216.85pt;width:453.35pt;" o:ole="t" filled="f" o:preferrelative="t" stroked="f" coordsize="21600,21600">
            <v:path/>
            <v:fill on="f" focussize="0,0"/>
            <v:stroke on="f"/>
            <v:imagedata r:id="rId45" o:title=""/>
            <o:lock v:ext="edit" aspectratio="f"/>
            <w10:wrap type="none"/>
            <w10:anchorlock/>
          </v:shape>
          <o:OLEObject Type="Embed" ProgID="Visio.Drawing.11" ShapeID="_x0000_i1029" DrawAspect="Content" ObjectID="_1468075731" r:id="rId44">
            <o:LockedField>false</o:LockedField>
          </o:OLEObject>
        </w:object>
      </w:r>
      <w:r>
        <w:rPr>
          <w:rFonts w:hint="default" w:ascii="Times New Roman" w:hAnsi="Times New Roman" w:eastAsia="宋体" w:cs="Times New Roman"/>
          <w:b/>
          <w:bCs/>
          <w:spacing w:val="-2"/>
          <w:sz w:val="24"/>
          <w:szCs w:val="24"/>
          <w:highlight w:val="none"/>
        </w:rPr>
        <w:t>图3.2-</w:t>
      </w:r>
      <w:r>
        <w:rPr>
          <w:rFonts w:hint="default" w:ascii="Times New Roman" w:hAnsi="Times New Roman" w:eastAsia="宋体" w:cs="Times New Roman"/>
          <w:b/>
          <w:bCs/>
          <w:spacing w:val="-2"/>
          <w:sz w:val="24"/>
          <w:szCs w:val="24"/>
          <w:highlight w:val="none"/>
          <w:lang w:val="en-US" w:eastAsia="zh-CN"/>
        </w:rPr>
        <w:t>2</w:t>
      </w:r>
      <w:r>
        <w:rPr>
          <w:rFonts w:hint="default" w:ascii="Times New Roman" w:hAnsi="Times New Roman" w:eastAsia="宋体" w:cs="Times New Roman"/>
          <w:b/>
          <w:bCs/>
          <w:spacing w:val="-2"/>
          <w:sz w:val="24"/>
          <w:szCs w:val="24"/>
          <w:highlight w:val="none"/>
        </w:rPr>
        <w:t>扩建工程给排水平衡图单位：</w:t>
      </w:r>
      <w:r>
        <w:rPr>
          <w:rFonts w:hint="eastAsia" w:cs="Times New Roman"/>
          <w:b/>
          <w:bCs/>
          <w:spacing w:val="-2"/>
          <w:sz w:val="24"/>
          <w:szCs w:val="24"/>
          <w:highlight w:val="none"/>
          <w:lang w:eastAsia="zh-CN"/>
        </w:rPr>
        <w:t>m</w:t>
      </w:r>
      <w:r>
        <w:rPr>
          <w:rFonts w:hint="eastAsia" w:cs="Times New Roman"/>
          <w:b/>
          <w:bCs/>
          <w:spacing w:val="-2"/>
          <w:sz w:val="24"/>
          <w:szCs w:val="24"/>
          <w:highlight w:val="none"/>
          <w:vertAlign w:val="superscript"/>
          <w:lang w:eastAsia="zh-CN"/>
        </w:rPr>
        <w:t>3</w:t>
      </w:r>
      <w:r>
        <w:rPr>
          <w:rFonts w:hint="default" w:ascii="Times New Roman" w:hAnsi="Times New Roman" w:eastAsia="宋体" w:cs="Times New Roman"/>
          <w:b/>
          <w:bCs/>
          <w:spacing w:val="-2"/>
          <w:sz w:val="24"/>
          <w:szCs w:val="24"/>
          <w:highlight w:val="none"/>
        </w:rPr>
        <w:t>/d</w:t>
      </w:r>
    </w:p>
    <w:p w14:paraId="6767A205">
      <w:pPr>
        <w:widowControl/>
        <w:numPr>
          <w:ilvl w:val="0"/>
          <w:numId w:val="24"/>
        </w:numPr>
        <w:ind w:left="425" w:leftChars="0" w:hanging="425" w:firstLineChars="0"/>
        <w:jc w:val="center"/>
        <w:rPr>
          <w:rFonts w:hint="default" w:ascii="Times New Roman" w:hAnsi="Times New Roman" w:eastAsia="宋体" w:cs="Times New Roman"/>
          <w:b/>
          <w:color w:val="auto"/>
          <w:highlight w:val="none"/>
          <w:lang w:val="zh-CN"/>
        </w:rPr>
      </w:pPr>
      <w:r>
        <w:rPr>
          <w:rFonts w:hint="default" w:ascii="Times New Roman" w:hAnsi="Times New Roman" w:eastAsia="宋体" w:cs="Times New Roman"/>
          <w:b/>
          <w:color w:val="auto"/>
          <w:highlight w:val="none"/>
          <w:lang w:val="zh-CN"/>
        </w:rPr>
        <w:t>扩建</w:t>
      </w:r>
      <w:r>
        <w:rPr>
          <w:rFonts w:hint="default" w:ascii="Times New Roman" w:hAnsi="Times New Roman" w:eastAsia="宋体" w:cs="Times New Roman"/>
          <w:b/>
          <w:color w:val="auto"/>
          <w:highlight w:val="none"/>
          <w:lang w:val="en-US" w:eastAsia="zh-CN"/>
        </w:rPr>
        <w:t>后全厂</w:t>
      </w:r>
      <w:r>
        <w:rPr>
          <w:rFonts w:hint="default" w:ascii="Times New Roman" w:hAnsi="Times New Roman" w:eastAsia="宋体" w:cs="Times New Roman"/>
          <w:b/>
          <w:color w:val="auto"/>
          <w:highlight w:val="none"/>
          <w:lang w:val="zh-CN"/>
        </w:rPr>
        <w:t>给排水平衡表</w:t>
      </w:r>
    </w:p>
    <w:tbl>
      <w:tblPr>
        <w:tblStyle w:val="88"/>
        <w:tblW w:w="5259"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2123"/>
        <w:gridCol w:w="762"/>
        <w:gridCol w:w="742"/>
        <w:gridCol w:w="816"/>
        <w:gridCol w:w="784"/>
        <w:gridCol w:w="1068"/>
        <w:gridCol w:w="1068"/>
        <w:gridCol w:w="2210"/>
      </w:tblGrid>
      <w:tr w14:paraId="5748899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4" w:hRule="atLeast"/>
        </w:trPr>
        <w:tc>
          <w:tcPr>
            <w:tcW w:w="1108" w:type="pct"/>
            <w:vAlign w:val="center"/>
          </w:tcPr>
          <w:p w14:paraId="737F9F3F">
            <w:pPr>
              <w:pStyle w:val="58"/>
              <w:bidi w:val="0"/>
              <w:rPr>
                <w:rFonts w:hint="default"/>
                <w:highlight w:val="none"/>
                <w:lang w:val="en-US" w:eastAsia="zh-CN"/>
              </w:rPr>
            </w:pPr>
            <w:r>
              <w:rPr>
                <w:rFonts w:hint="default"/>
                <w:highlight w:val="none"/>
                <w:lang w:val="en-US" w:eastAsia="zh-CN"/>
              </w:rPr>
              <w:t>用水环节</w:t>
            </w:r>
          </w:p>
        </w:tc>
        <w:tc>
          <w:tcPr>
            <w:tcW w:w="398" w:type="pct"/>
            <w:vAlign w:val="center"/>
          </w:tcPr>
          <w:p w14:paraId="30448A71">
            <w:pPr>
              <w:pStyle w:val="58"/>
              <w:bidi w:val="0"/>
              <w:rPr>
                <w:rFonts w:hint="default"/>
                <w:highlight w:val="none"/>
                <w:lang w:val="en-US" w:eastAsia="zh-CN"/>
              </w:rPr>
            </w:pPr>
            <w:r>
              <w:rPr>
                <w:rFonts w:hint="default"/>
                <w:highlight w:val="none"/>
                <w:lang w:val="en-US" w:eastAsia="zh-CN"/>
              </w:rPr>
              <w:t>总用水量</w:t>
            </w:r>
          </w:p>
        </w:tc>
        <w:tc>
          <w:tcPr>
            <w:tcW w:w="387" w:type="pct"/>
            <w:vAlign w:val="center"/>
          </w:tcPr>
          <w:p w14:paraId="2B8B68F7">
            <w:pPr>
              <w:pStyle w:val="58"/>
              <w:bidi w:val="0"/>
              <w:rPr>
                <w:rFonts w:hint="default"/>
                <w:highlight w:val="none"/>
                <w:lang w:val="en-US" w:eastAsia="zh-CN"/>
              </w:rPr>
            </w:pPr>
            <w:r>
              <w:rPr>
                <w:rFonts w:hint="default"/>
                <w:highlight w:val="none"/>
                <w:lang w:val="en-US" w:eastAsia="zh-CN"/>
              </w:rPr>
              <w:t>新水用量</w:t>
            </w:r>
          </w:p>
        </w:tc>
        <w:tc>
          <w:tcPr>
            <w:tcW w:w="426" w:type="pct"/>
            <w:vAlign w:val="center"/>
          </w:tcPr>
          <w:p w14:paraId="7E7C9580">
            <w:pPr>
              <w:pStyle w:val="58"/>
              <w:bidi w:val="0"/>
              <w:rPr>
                <w:rFonts w:hint="default"/>
                <w:highlight w:val="none"/>
                <w:lang w:val="en-US" w:eastAsia="zh-CN"/>
              </w:rPr>
            </w:pPr>
            <w:r>
              <w:rPr>
                <w:rFonts w:hint="default"/>
                <w:highlight w:val="none"/>
                <w:lang w:val="en-US" w:eastAsia="zh-CN"/>
              </w:rPr>
              <w:t>循环水量</w:t>
            </w:r>
          </w:p>
        </w:tc>
        <w:tc>
          <w:tcPr>
            <w:tcW w:w="409" w:type="pct"/>
            <w:vAlign w:val="center"/>
          </w:tcPr>
          <w:p w14:paraId="01CF7A3E">
            <w:pPr>
              <w:pStyle w:val="58"/>
              <w:bidi w:val="0"/>
              <w:rPr>
                <w:rFonts w:hint="default"/>
                <w:highlight w:val="none"/>
                <w:lang w:val="en-US" w:eastAsia="zh-CN"/>
              </w:rPr>
            </w:pPr>
            <w:r>
              <w:rPr>
                <w:rFonts w:hint="default"/>
                <w:highlight w:val="none"/>
                <w:lang w:val="en-US" w:eastAsia="zh-CN"/>
              </w:rPr>
              <w:t>中水用量</w:t>
            </w:r>
          </w:p>
        </w:tc>
        <w:tc>
          <w:tcPr>
            <w:tcW w:w="557" w:type="pct"/>
            <w:vAlign w:val="center"/>
          </w:tcPr>
          <w:p w14:paraId="128C4CC2">
            <w:pPr>
              <w:pStyle w:val="58"/>
              <w:bidi w:val="0"/>
              <w:rPr>
                <w:rFonts w:hint="default"/>
                <w:highlight w:val="none"/>
                <w:lang w:val="en-US" w:eastAsia="zh-CN"/>
              </w:rPr>
            </w:pPr>
            <w:r>
              <w:rPr>
                <w:rFonts w:hint="eastAsia"/>
                <w:highlight w:val="none"/>
                <w:lang w:val="en-US" w:eastAsia="zh-CN"/>
              </w:rPr>
              <w:t>损耗</w:t>
            </w:r>
          </w:p>
        </w:tc>
        <w:tc>
          <w:tcPr>
            <w:tcW w:w="557" w:type="pct"/>
            <w:vAlign w:val="center"/>
          </w:tcPr>
          <w:p w14:paraId="411FC587">
            <w:pPr>
              <w:pStyle w:val="58"/>
              <w:bidi w:val="0"/>
              <w:rPr>
                <w:rFonts w:hint="default"/>
                <w:highlight w:val="none"/>
                <w:lang w:val="en-US" w:eastAsia="zh-CN"/>
              </w:rPr>
            </w:pPr>
            <w:r>
              <w:rPr>
                <w:rFonts w:hint="default"/>
                <w:highlight w:val="none"/>
                <w:lang w:val="en-US" w:eastAsia="zh-CN"/>
              </w:rPr>
              <w:t>排入</w:t>
            </w:r>
            <w:r>
              <w:rPr>
                <w:rFonts w:hint="eastAsia"/>
                <w:highlight w:val="none"/>
                <w:lang w:val="en-US" w:eastAsia="zh-CN"/>
              </w:rPr>
              <w:t>污水处理厂</w:t>
            </w:r>
          </w:p>
        </w:tc>
        <w:tc>
          <w:tcPr>
            <w:tcW w:w="1153" w:type="pct"/>
            <w:vAlign w:val="center"/>
          </w:tcPr>
          <w:p w14:paraId="60786632">
            <w:pPr>
              <w:pStyle w:val="58"/>
              <w:bidi w:val="0"/>
              <w:rPr>
                <w:rFonts w:hint="default"/>
                <w:highlight w:val="none"/>
                <w:lang w:val="en-US" w:eastAsia="zh-CN"/>
              </w:rPr>
            </w:pPr>
            <w:r>
              <w:rPr>
                <w:rFonts w:hint="eastAsia"/>
                <w:highlight w:val="none"/>
                <w:lang w:val="en-US" w:eastAsia="zh-CN"/>
              </w:rPr>
              <w:t>去向</w:t>
            </w:r>
          </w:p>
        </w:tc>
      </w:tr>
      <w:tr w14:paraId="2E2B2D7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2" w:hRule="atLeast"/>
        </w:trPr>
        <w:tc>
          <w:tcPr>
            <w:tcW w:w="1108" w:type="pct"/>
            <w:vAlign w:val="center"/>
          </w:tcPr>
          <w:p w14:paraId="3CF36541">
            <w:pPr>
              <w:pStyle w:val="58"/>
              <w:bidi w:val="0"/>
              <w:rPr>
                <w:rFonts w:hint="default"/>
                <w:highlight w:val="none"/>
                <w:lang w:val="en-US" w:eastAsia="zh-CN"/>
              </w:rPr>
            </w:pPr>
            <w:r>
              <w:rPr>
                <w:rFonts w:hint="eastAsia"/>
                <w:highlight w:val="none"/>
                <w:lang w:val="en-US" w:eastAsia="zh-CN"/>
              </w:rPr>
              <w:t>PAM、PAC调配</w:t>
            </w:r>
            <w:r>
              <w:rPr>
                <w:rFonts w:hint="default"/>
                <w:highlight w:val="none"/>
                <w:lang w:val="en-US" w:eastAsia="zh-CN"/>
              </w:rPr>
              <w:t>用水</w:t>
            </w:r>
          </w:p>
        </w:tc>
        <w:tc>
          <w:tcPr>
            <w:tcW w:w="398" w:type="pct"/>
            <w:vAlign w:val="center"/>
          </w:tcPr>
          <w:p w14:paraId="0D33A6DA">
            <w:pPr>
              <w:pStyle w:val="58"/>
              <w:bidi w:val="0"/>
              <w:rPr>
                <w:rFonts w:hint="default"/>
                <w:highlight w:val="none"/>
                <w:lang w:val="en-US" w:eastAsia="zh-CN"/>
              </w:rPr>
            </w:pPr>
            <w:r>
              <w:rPr>
                <w:rFonts w:hint="default"/>
                <w:highlight w:val="none"/>
                <w:lang w:val="en-US" w:eastAsia="zh-CN"/>
              </w:rPr>
              <w:t>0.5</w:t>
            </w:r>
          </w:p>
        </w:tc>
        <w:tc>
          <w:tcPr>
            <w:tcW w:w="387" w:type="pct"/>
            <w:vAlign w:val="center"/>
          </w:tcPr>
          <w:p w14:paraId="06F96FD2">
            <w:pPr>
              <w:pStyle w:val="58"/>
              <w:bidi w:val="0"/>
              <w:rPr>
                <w:rFonts w:hint="default"/>
                <w:highlight w:val="none"/>
                <w:lang w:val="en-US" w:eastAsia="zh-CN"/>
              </w:rPr>
            </w:pPr>
            <w:r>
              <w:rPr>
                <w:rFonts w:hint="default"/>
                <w:highlight w:val="none"/>
                <w:lang w:val="en-US" w:eastAsia="zh-CN"/>
              </w:rPr>
              <w:t>0</w:t>
            </w:r>
          </w:p>
        </w:tc>
        <w:tc>
          <w:tcPr>
            <w:tcW w:w="426" w:type="pct"/>
            <w:vAlign w:val="center"/>
          </w:tcPr>
          <w:p w14:paraId="75F84990">
            <w:pPr>
              <w:pStyle w:val="58"/>
              <w:bidi w:val="0"/>
              <w:rPr>
                <w:rFonts w:hint="default"/>
                <w:highlight w:val="none"/>
                <w:lang w:val="en-US" w:eastAsia="zh-CN"/>
              </w:rPr>
            </w:pPr>
            <w:r>
              <w:rPr>
                <w:rFonts w:hint="default"/>
                <w:highlight w:val="none"/>
                <w:lang w:val="en-US" w:eastAsia="zh-CN"/>
              </w:rPr>
              <w:t>/</w:t>
            </w:r>
          </w:p>
        </w:tc>
        <w:tc>
          <w:tcPr>
            <w:tcW w:w="409" w:type="pct"/>
            <w:vAlign w:val="center"/>
          </w:tcPr>
          <w:p w14:paraId="28C748DA">
            <w:pPr>
              <w:pStyle w:val="58"/>
              <w:bidi w:val="0"/>
              <w:rPr>
                <w:rFonts w:hint="default"/>
                <w:highlight w:val="none"/>
                <w:lang w:val="en-US" w:eastAsia="zh-CN"/>
              </w:rPr>
            </w:pPr>
            <w:r>
              <w:rPr>
                <w:rFonts w:hint="default"/>
                <w:highlight w:val="none"/>
                <w:lang w:val="en-US" w:eastAsia="zh-CN"/>
              </w:rPr>
              <w:t>0.5</w:t>
            </w:r>
          </w:p>
        </w:tc>
        <w:tc>
          <w:tcPr>
            <w:tcW w:w="557" w:type="pct"/>
            <w:vAlign w:val="center"/>
          </w:tcPr>
          <w:p w14:paraId="06C39021">
            <w:pPr>
              <w:pStyle w:val="58"/>
              <w:bidi w:val="0"/>
              <w:rPr>
                <w:rFonts w:hint="default"/>
                <w:highlight w:val="none"/>
                <w:lang w:val="en-US" w:eastAsia="zh-CN"/>
              </w:rPr>
            </w:pPr>
            <w:r>
              <w:rPr>
                <w:rFonts w:hint="eastAsia"/>
                <w:highlight w:val="none"/>
                <w:lang w:val="en-US" w:eastAsia="zh-CN"/>
              </w:rPr>
              <w:t>0</w:t>
            </w:r>
          </w:p>
        </w:tc>
        <w:tc>
          <w:tcPr>
            <w:tcW w:w="557" w:type="pct"/>
            <w:vAlign w:val="center"/>
          </w:tcPr>
          <w:p w14:paraId="19E7B043">
            <w:pPr>
              <w:pStyle w:val="58"/>
              <w:bidi w:val="0"/>
              <w:rPr>
                <w:rFonts w:hint="default"/>
                <w:highlight w:val="none"/>
                <w:lang w:val="en-US" w:eastAsia="zh-CN"/>
              </w:rPr>
            </w:pPr>
            <w:r>
              <w:rPr>
                <w:rFonts w:hint="default"/>
                <w:highlight w:val="none"/>
                <w:lang w:val="en-US" w:eastAsia="zh-CN"/>
              </w:rPr>
              <w:t>0.5</w:t>
            </w:r>
          </w:p>
        </w:tc>
        <w:tc>
          <w:tcPr>
            <w:tcW w:w="1153" w:type="pct"/>
            <w:vMerge w:val="restart"/>
            <w:vAlign w:val="center"/>
          </w:tcPr>
          <w:p w14:paraId="46D2954B">
            <w:pPr>
              <w:pStyle w:val="58"/>
              <w:bidi w:val="0"/>
              <w:rPr>
                <w:rFonts w:hint="default"/>
                <w:highlight w:val="none"/>
                <w:lang w:val="en-US" w:eastAsia="zh-CN"/>
              </w:rPr>
            </w:pPr>
            <w:r>
              <w:rPr>
                <w:rFonts w:hint="default"/>
                <w:highlight w:val="none"/>
                <w:lang w:val="en-US" w:eastAsia="zh-CN"/>
              </w:rPr>
              <w:t>全部进入污水处理系统</w:t>
            </w:r>
          </w:p>
        </w:tc>
      </w:tr>
      <w:tr w14:paraId="670943D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2" w:hRule="atLeast"/>
        </w:trPr>
        <w:tc>
          <w:tcPr>
            <w:tcW w:w="1108" w:type="pct"/>
            <w:vAlign w:val="center"/>
          </w:tcPr>
          <w:p w14:paraId="4EA8CC4A">
            <w:pPr>
              <w:pStyle w:val="58"/>
              <w:bidi w:val="0"/>
              <w:rPr>
                <w:rFonts w:hint="default"/>
                <w:highlight w:val="none"/>
                <w:lang w:val="en-US" w:eastAsia="zh-CN"/>
              </w:rPr>
            </w:pPr>
            <w:r>
              <w:rPr>
                <w:rFonts w:hint="default"/>
                <w:highlight w:val="none"/>
                <w:lang w:val="en-US" w:eastAsia="zh-CN"/>
              </w:rPr>
              <w:t>设备</w:t>
            </w:r>
            <w:r>
              <w:rPr>
                <w:rFonts w:hint="eastAsia"/>
                <w:highlight w:val="none"/>
                <w:lang w:val="en-US" w:eastAsia="zh-CN"/>
              </w:rPr>
              <w:t>、车间等</w:t>
            </w:r>
            <w:r>
              <w:rPr>
                <w:rFonts w:hint="default"/>
                <w:highlight w:val="none"/>
                <w:lang w:val="en-US" w:eastAsia="zh-CN"/>
              </w:rPr>
              <w:t>清洗</w:t>
            </w:r>
          </w:p>
        </w:tc>
        <w:tc>
          <w:tcPr>
            <w:tcW w:w="398" w:type="pct"/>
            <w:vAlign w:val="center"/>
          </w:tcPr>
          <w:p w14:paraId="714C9387">
            <w:pPr>
              <w:pStyle w:val="58"/>
              <w:bidi w:val="0"/>
              <w:rPr>
                <w:rFonts w:hint="default"/>
                <w:highlight w:val="none"/>
                <w:lang w:val="en-US" w:eastAsia="zh-CN"/>
              </w:rPr>
            </w:pPr>
            <w:r>
              <w:rPr>
                <w:rFonts w:hint="default"/>
                <w:highlight w:val="none"/>
                <w:lang w:val="en-US" w:eastAsia="zh-CN"/>
              </w:rPr>
              <w:t>8.5</w:t>
            </w:r>
          </w:p>
        </w:tc>
        <w:tc>
          <w:tcPr>
            <w:tcW w:w="387" w:type="pct"/>
            <w:vAlign w:val="center"/>
          </w:tcPr>
          <w:p w14:paraId="547BF0FC">
            <w:pPr>
              <w:pStyle w:val="58"/>
              <w:bidi w:val="0"/>
              <w:rPr>
                <w:rFonts w:hint="default"/>
                <w:highlight w:val="none"/>
                <w:lang w:val="en-US" w:eastAsia="zh-CN"/>
              </w:rPr>
            </w:pPr>
            <w:r>
              <w:rPr>
                <w:rFonts w:hint="default"/>
                <w:highlight w:val="none"/>
                <w:lang w:val="en-US" w:eastAsia="zh-CN"/>
              </w:rPr>
              <w:t>0</w:t>
            </w:r>
          </w:p>
        </w:tc>
        <w:tc>
          <w:tcPr>
            <w:tcW w:w="426" w:type="pct"/>
            <w:vAlign w:val="center"/>
          </w:tcPr>
          <w:p w14:paraId="5F1EE629">
            <w:pPr>
              <w:pStyle w:val="58"/>
              <w:bidi w:val="0"/>
              <w:rPr>
                <w:rFonts w:hint="default"/>
                <w:highlight w:val="none"/>
                <w:lang w:val="en-US" w:eastAsia="zh-CN"/>
              </w:rPr>
            </w:pPr>
            <w:r>
              <w:rPr>
                <w:rFonts w:hint="default"/>
                <w:highlight w:val="none"/>
                <w:lang w:val="en-US" w:eastAsia="zh-CN"/>
              </w:rPr>
              <w:t>/</w:t>
            </w:r>
          </w:p>
        </w:tc>
        <w:tc>
          <w:tcPr>
            <w:tcW w:w="409" w:type="pct"/>
            <w:vAlign w:val="center"/>
          </w:tcPr>
          <w:p w14:paraId="69A86A0D">
            <w:pPr>
              <w:pStyle w:val="58"/>
              <w:bidi w:val="0"/>
              <w:rPr>
                <w:rFonts w:hint="default"/>
                <w:highlight w:val="none"/>
                <w:lang w:val="en-US" w:eastAsia="zh-CN"/>
              </w:rPr>
            </w:pPr>
            <w:r>
              <w:rPr>
                <w:rFonts w:hint="default"/>
                <w:highlight w:val="none"/>
                <w:lang w:val="en-US" w:eastAsia="zh-CN"/>
              </w:rPr>
              <w:t>8.5</w:t>
            </w:r>
          </w:p>
        </w:tc>
        <w:tc>
          <w:tcPr>
            <w:tcW w:w="557" w:type="pct"/>
            <w:vAlign w:val="center"/>
          </w:tcPr>
          <w:p w14:paraId="303FB780">
            <w:pPr>
              <w:pStyle w:val="58"/>
              <w:bidi w:val="0"/>
              <w:rPr>
                <w:rFonts w:hint="default"/>
                <w:highlight w:val="none"/>
                <w:lang w:val="en-US" w:eastAsia="zh-CN"/>
              </w:rPr>
            </w:pPr>
            <w:r>
              <w:rPr>
                <w:rFonts w:hint="eastAsia"/>
                <w:highlight w:val="none"/>
                <w:lang w:val="en-US" w:eastAsia="zh-CN"/>
              </w:rPr>
              <w:t>1.7</w:t>
            </w:r>
          </w:p>
        </w:tc>
        <w:tc>
          <w:tcPr>
            <w:tcW w:w="557" w:type="pct"/>
            <w:vAlign w:val="center"/>
          </w:tcPr>
          <w:p w14:paraId="08841E2E">
            <w:pPr>
              <w:pStyle w:val="58"/>
              <w:bidi w:val="0"/>
              <w:rPr>
                <w:rFonts w:hint="default"/>
                <w:highlight w:val="none"/>
                <w:lang w:val="en-US" w:eastAsia="zh-CN"/>
              </w:rPr>
            </w:pPr>
            <w:r>
              <w:rPr>
                <w:rFonts w:hint="default"/>
                <w:highlight w:val="none"/>
                <w:lang w:val="en-US" w:eastAsia="zh-CN"/>
              </w:rPr>
              <w:t>6.8</w:t>
            </w:r>
          </w:p>
        </w:tc>
        <w:tc>
          <w:tcPr>
            <w:tcW w:w="1153" w:type="pct"/>
            <w:vMerge w:val="continue"/>
            <w:vAlign w:val="center"/>
          </w:tcPr>
          <w:p w14:paraId="7A0DD7A5">
            <w:pPr>
              <w:pStyle w:val="58"/>
              <w:bidi w:val="0"/>
              <w:rPr>
                <w:rFonts w:hint="default"/>
                <w:highlight w:val="none"/>
                <w:lang w:val="en-US" w:eastAsia="zh-CN"/>
              </w:rPr>
            </w:pPr>
          </w:p>
        </w:tc>
      </w:tr>
      <w:tr w14:paraId="25DE6C5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2" w:hRule="atLeast"/>
        </w:trPr>
        <w:tc>
          <w:tcPr>
            <w:tcW w:w="1108" w:type="pct"/>
            <w:vAlign w:val="center"/>
          </w:tcPr>
          <w:p w14:paraId="339100B4">
            <w:pPr>
              <w:pStyle w:val="58"/>
              <w:bidi w:val="0"/>
              <w:rPr>
                <w:rFonts w:hint="default"/>
                <w:highlight w:val="none"/>
                <w:lang w:val="en-US" w:eastAsia="zh-CN"/>
              </w:rPr>
            </w:pPr>
            <w:r>
              <w:rPr>
                <w:rFonts w:hint="eastAsia"/>
                <w:highlight w:val="none"/>
                <w:lang w:val="en-US" w:eastAsia="zh-CN"/>
              </w:rPr>
              <w:t>实验室用水</w:t>
            </w:r>
          </w:p>
        </w:tc>
        <w:tc>
          <w:tcPr>
            <w:tcW w:w="398" w:type="pct"/>
            <w:vAlign w:val="center"/>
          </w:tcPr>
          <w:p w14:paraId="2261984E">
            <w:pPr>
              <w:pStyle w:val="58"/>
              <w:bidi w:val="0"/>
              <w:rPr>
                <w:rFonts w:hint="default"/>
                <w:highlight w:val="none"/>
                <w:lang w:val="en-US" w:eastAsia="zh-CN"/>
              </w:rPr>
            </w:pPr>
            <w:r>
              <w:rPr>
                <w:rFonts w:hint="eastAsia"/>
                <w:highlight w:val="none"/>
                <w:lang w:val="en-US" w:eastAsia="zh-CN"/>
              </w:rPr>
              <w:t>0.2</w:t>
            </w:r>
          </w:p>
        </w:tc>
        <w:tc>
          <w:tcPr>
            <w:tcW w:w="387" w:type="pct"/>
            <w:vAlign w:val="center"/>
          </w:tcPr>
          <w:p w14:paraId="53B9254F">
            <w:pPr>
              <w:pStyle w:val="58"/>
              <w:bidi w:val="0"/>
              <w:rPr>
                <w:rFonts w:hint="default"/>
                <w:highlight w:val="none"/>
                <w:lang w:val="en-US" w:eastAsia="zh-CN"/>
              </w:rPr>
            </w:pPr>
            <w:r>
              <w:rPr>
                <w:rFonts w:hint="eastAsia"/>
                <w:highlight w:val="none"/>
                <w:lang w:val="en-US" w:eastAsia="zh-CN"/>
              </w:rPr>
              <w:t>0.2</w:t>
            </w:r>
          </w:p>
        </w:tc>
        <w:tc>
          <w:tcPr>
            <w:tcW w:w="426" w:type="pct"/>
            <w:vAlign w:val="center"/>
          </w:tcPr>
          <w:p w14:paraId="770FE7FD">
            <w:pPr>
              <w:pStyle w:val="58"/>
              <w:bidi w:val="0"/>
              <w:rPr>
                <w:rFonts w:hint="default"/>
                <w:highlight w:val="none"/>
                <w:lang w:val="en-US" w:eastAsia="zh-CN"/>
              </w:rPr>
            </w:pPr>
            <w:r>
              <w:rPr>
                <w:rFonts w:hint="eastAsia"/>
                <w:highlight w:val="none"/>
                <w:lang w:val="en-US" w:eastAsia="zh-CN"/>
              </w:rPr>
              <w:t>/</w:t>
            </w:r>
          </w:p>
        </w:tc>
        <w:tc>
          <w:tcPr>
            <w:tcW w:w="409" w:type="pct"/>
            <w:vAlign w:val="center"/>
          </w:tcPr>
          <w:p w14:paraId="6280125F">
            <w:pPr>
              <w:pStyle w:val="58"/>
              <w:bidi w:val="0"/>
              <w:rPr>
                <w:rFonts w:hint="default"/>
                <w:highlight w:val="none"/>
                <w:lang w:val="en-US" w:eastAsia="zh-CN"/>
              </w:rPr>
            </w:pPr>
            <w:r>
              <w:rPr>
                <w:rFonts w:hint="eastAsia"/>
                <w:highlight w:val="none"/>
                <w:lang w:val="en-US" w:eastAsia="zh-CN"/>
              </w:rPr>
              <w:t>/</w:t>
            </w:r>
          </w:p>
        </w:tc>
        <w:tc>
          <w:tcPr>
            <w:tcW w:w="557" w:type="pct"/>
            <w:vAlign w:val="center"/>
          </w:tcPr>
          <w:p w14:paraId="55C0347E">
            <w:pPr>
              <w:pStyle w:val="58"/>
              <w:bidi w:val="0"/>
              <w:rPr>
                <w:rFonts w:hint="default"/>
                <w:highlight w:val="none"/>
                <w:lang w:val="en-US" w:eastAsia="zh-CN"/>
              </w:rPr>
            </w:pPr>
            <w:r>
              <w:rPr>
                <w:rFonts w:hint="eastAsia"/>
                <w:highlight w:val="none"/>
                <w:lang w:val="en-US" w:eastAsia="zh-CN"/>
              </w:rPr>
              <w:t>0.04</w:t>
            </w:r>
          </w:p>
        </w:tc>
        <w:tc>
          <w:tcPr>
            <w:tcW w:w="557" w:type="pct"/>
            <w:vAlign w:val="center"/>
          </w:tcPr>
          <w:p w14:paraId="0E661655">
            <w:pPr>
              <w:pStyle w:val="58"/>
              <w:bidi w:val="0"/>
              <w:rPr>
                <w:rFonts w:hint="default"/>
                <w:highlight w:val="none"/>
                <w:lang w:val="en-US" w:eastAsia="zh-CN"/>
              </w:rPr>
            </w:pPr>
            <w:r>
              <w:rPr>
                <w:rFonts w:hint="eastAsia"/>
                <w:highlight w:val="none"/>
                <w:lang w:val="en-US" w:eastAsia="zh-CN"/>
              </w:rPr>
              <w:t>0.16</w:t>
            </w:r>
          </w:p>
        </w:tc>
        <w:tc>
          <w:tcPr>
            <w:tcW w:w="1153" w:type="pct"/>
            <w:vMerge w:val="continue"/>
            <w:vAlign w:val="center"/>
          </w:tcPr>
          <w:p w14:paraId="693B9B2C">
            <w:pPr>
              <w:pStyle w:val="58"/>
              <w:bidi w:val="0"/>
              <w:rPr>
                <w:rFonts w:hint="default"/>
                <w:highlight w:val="none"/>
                <w:lang w:val="en-US" w:eastAsia="zh-CN"/>
              </w:rPr>
            </w:pPr>
          </w:p>
        </w:tc>
      </w:tr>
      <w:tr w14:paraId="1D61AB9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2" w:hRule="atLeast"/>
        </w:trPr>
        <w:tc>
          <w:tcPr>
            <w:tcW w:w="1108" w:type="pct"/>
            <w:vAlign w:val="center"/>
          </w:tcPr>
          <w:p w14:paraId="56A3E387">
            <w:pPr>
              <w:pStyle w:val="58"/>
              <w:bidi w:val="0"/>
              <w:rPr>
                <w:rFonts w:hint="eastAsia"/>
                <w:highlight w:val="none"/>
                <w:lang w:val="en-US" w:eastAsia="zh-CN"/>
              </w:rPr>
            </w:pPr>
            <w:r>
              <w:rPr>
                <w:rFonts w:hint="eastAsia"/>
                <w:highlight w:val="none"/>
                <w:lang w:val="en-US" w:eastAsia="zh-CN"/>
              </w:rPr>
              <w:t>职工生活用水</w:t>
            </w:r>
          </w:p>
        </w:tc>
        <w:tc>
          <w:tcPr>
            <w:tcW w:w="398" w:type="pct"/>
            <w:vAlign w:val="center"/>
          </w:tcPr>
          <w:p w14:paraId="537B2B07">
            <w:pPr>
              <w:pStyle w:val="58"/>
              <w:bidi w:val="0"/>
              <w:rPr>
                <w:rFonts w:hint="default"/>
                <w:highlight w:val="none"/>
                <w:lang w:val="en-US" w:eastAsia="zh-CN"/>
              </w:rPr>
            </w:pPr>
            <w:r>
              <w:rPr>
                <w:rFonts w:hint="eastAsia"/>
                <w:highlight w:val="none"/>
                <w:lang w:val="en-US" w:eastAsia="zh-CN"/>
              </w:rPr>
              <w:t>0.5</w:t>
            </w:r>
          </w:p>
        </w:tc>
        <w:tc>
          <w:tcPr>
            <w:tcW w:w="387" w:type="pct"/>
            <w:vAlign w:val="center"/>
          </w:tcPr>
          <w:p w14:paraId="4ABF3E45">
            <w:pPr>
              <w:pStyle w:val="58"/>
              <w:bidi w:val="0"/>
              <w:rPr>
                <w:rFonts w:hint="default"/>
                <w:highlight w:val="none"/>
                <w:lang w:val="en-US" w:eastAsia="zh-CN"/>
              </w:rPr>
            </w:pPr>
            <w:r>
              <w:rPr>
                <w:rFonts w:hint="eastAsia"/>
                <w:highlight w:val="none"/>
                <w:lang w:val="en-US" w:eastAsia="zh-CN"/>
              </w:rPr>
              <w:t>0.5</w:t>
            </w:r>
          </w:p>
        </w:tc>
        <w:tc>
          <w:tcPr>
            <w:tcW w:w="426" w:type="pct"/>
            <w:vAlign w:val="center"/>
          </w:tcPr>
          <w:p w14:paraId="1D3D0BA2">
            <w:pPr>
              <w:pStyle w:val="58"/>
              <w:bidi w:val="0"/>
              <w:rPr>
                <w:rFonts w:hint="eastAsia"/>
                <w:highlight w:val="none"/>
                <w:lang w:val="en-US" w:eastAsia="zh-CN"/>
              </w:rPr>
            </w:pPr>
          </w:p>
        </w:tc>
        <w:tc>
          <w:tcPr>
            <w:tcW w:w="409" w:type="pct"/>
            <w:vAlign w:val="center"/>
          </w:tcPr>
          <w:p w14:paraId="484607B5">
            <w:pPr>
              <w:pStyle w:val="58"/>
              <w:bidi w:val="0"/>
              <w:rPr>
                <w:rFonts w:hint="eastAsia"/>
                <w:highlight w:val="none"/>
                <w:lang w:val="en-US" w:eastAsia="zh-CN"/>
              </w:rPr>
            </w:pPr>
            <w:r>
              <w:rPr>
                <w:rFonts w:hint="eastAsia"/>
                <w:highlight w:val="none"/>
                <w:lang w:val="en-US" w:eastAsia="zh-CN"/>
              </w:rPr>
              <w:t>0</w:t>
            </w:r>
          </w:p>
        </w:tc>
        <w:tc>
          <w:tcPr>
            <w:tcW w:w="557" w:type="pct"/>
            <w:vAlign w:val="center"/>
          </w:tcPr>
          <w:p w14:paraId="7751226D">
            <w:pPr>
              <w:pStyle w:val="58"/>
              <w:bidi w:val="0"/>
              <w:rPr>
                <w:rFonts w:hint="eastAsia"/>
                <w:highlight w:val="none"/>
                <w:lang w:val="en-US" w:eastAsia="zh-CN"/>
              </w:rPr>
            </w:pPr>
            <w:r>
              <w:rPr>
                <w:rFonts w:hint="eastAsia"/>
                <w:highlight w:val="none"/>
                <w:lang w:val="en-US" w:eastAsia="zh-CN"/>
              </w:rPr>
              <w:t>0.1</w:t>
            </w:r>
          </w:p>
        </w:tc>
        <w:tc>
          <w:tcPr>
            <w:tcW w:w="557" w:type="pct"/>
            <w:vAlign w:val="center"/>
          </w:tcPr>
          <w:p w14:paraId="0EC5C668">
            <w:pPr>
              <w:pStyle w:val="58"/>
              <w:bidi w:val="0"/>
              <w:rPr>
                <w:rFonts w:hint="default"/>
                <w:highlight w:val="none"/>
                <w:lang w:val="en-US" w:eastAsia="zh-CN"/>
              </w:rPr>
            </w:pPr>
            <w:r>
              <w:rPr>
                <w:rFonts w:hint="eastAsia"/>
                <w:highlight w:val="none"/>
                <w:lang w:val="en-US" w:eastAsia="zh-CN"/>
              </w:rPr>
              <w:t>0.4</w:t>
            </w:r>
          </w:p>
        </w:tc>
        <w:tc>
          <w:tcPr>
            <w:tcW w:w="1153" w:type="pct"/>
            <w:vMerge w:val="continue"/>
            <w:vAlign w:val="center"/>
          </w:tcPr>
          <w:p w14:paraId="0FC6A1B9">
            <w:pPr>
              <w:pStyle w:val="58"/>
              <w:bidi w:val="0"/>
              <w:rPr>
                <w:rFonts w:hint="default"/>
                <w:highlight w:val="none"/>
                <w:lang w:val="en-US" w:eastAsia="zh-CN"/>
              </w:rPr>
            </w:pPr>
          </w:p>
        </w:tc>
      </w:tr>
      <w:tr w14:paraId="4277C6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66" w:hRule="atLeast"/>
        </w:trPr>
        <w:tc>
          <w:tcPr>
            <w:tcW w:w="1108" w:type="pct"/>
            <w:vAlign w:val="center"/>
          </w:tcPr>
          <w:p w14:paraId="448FEFDF">
            <w:pPr>
              <w:pStyle w:val="58"/>
              <w:bidi w:val="0"/>
              <w:rPr>
                <w:rFonts w:hint="default"/>
                <w:highlight w:val="none"/>
                <w:lang w:val="en-US" w:eastAsia="zh-CN"/>
              </w:rPr>
            </w:pPr>
            <w:r>
              <w:rPr>
                <w:rFonts w:hint="default"/>
                <w:highlight w:val="none"/>
                <w:lang w:val="en-US" w:eastAsia="zh-CN"/>
              </w:rPr>
              <w:t>合计</w:t>
            </w:r>
          </w:p>
        </w:tc>
        <w:tc>
          <w:tcPr>
            <w:tcW w:w="398" w:type="pct"/>
            <w:vAlign w:val="center"/>
          </w:tcPr>
          <w:p w14:paraId="75D2DDAC">
            <w:pPr>
              <w:pStyle w:val="58"/>
              <w:bidi w:val="0"/>
              <w:rPr>
                <w:rFonts w:hint="default"/>
                <w:highlight w:val="none"/>
                <w:lang w:val="en-US" w:eastAsia="zh-CN"/>
              </w:rPr>
            </w:pPr>
            <w:r>
              <w:rPr>
                <w:rFonts w:hint="default"/>
                <w:highlight w:val="none"/>
                <w:lang w:val="en-US" w:eastAsia="zh-CN"/>
              </w:rPr>
              <w:t>9.</w:t>
            </w:r>
            <w:r>
              <w:rPr>
                <w:rFonts w:hint="eastAsia"/>
                <w:highlight w:val="none"/>
                <w:lang w:val="en-US" w:eastAsia="zh-CN"/>
              </w:rPr>
              <w:t>7</w:t>
            </w:r>
          </w:p>
        </w:tc>
        <w:tc>
          <w:tcPr>
            <w:tcW w:w="387" w:type="pct"/>
            <w:vAlign w:val="center"/>
          </w:tcPr>
          <w:p w14:paraId="4F867B21">
            <w:pPr>
              <w:pStyle w:val="58"/>
              <w:bidi w:val="0"/>
              <w:rPr>
                <w:rFonts w:hint="default"/>
                <w:highlight w:val="none"/>
                <w:lang w:val="en-US" w:eastAsia="zh-CN"/>
              </w:rPr>
            </w:pPr>
            <w:r>
              <w:rPr>
                <w:rFonts w:hint="default"/>
                <w:highlight w:val="none"/>
                <w:lang w:val="en-US" w:eastAsia="zh-CN"/>
              </w:rPr>
              <w:t>0</w:t>
            </w:r>
            <w:r>
              <w:rPr>
                <w:rFonts w:hint="eastAsia"/>
                <w:highlight w:val="none"/>
                <w:lang w:val="en-US" w:eastAsia="zh-CN"/>
              </w:rPr>
              <w:t>.7</w:t>
            </w:r>
          </w:p>
        </w:tc>
        <w:tc>
          <w:tcPr>
            <w:tcW w:w="426" w:type="pct"/>
            <w:vAlign w:val="center"/>
          </w:tcPr>
          <w:p w14:paraId="348F5D49">
            <w:pPr>
              <w:pStyle w:val="58"/>
              <w:bidi w:val="0"/>
              <w:rPr>
                <w:rFonts w:hint="default"/>
                <w:highlight w:val="none"/>
                <w:lang w:val="en-US" w:eastAsia="zh-CN"/>
              </w:rPr>
            </w:pPr>
            <w:r>
              <w:rPr>
                <w:rFonts w:hint="default"/>
                <w:highlight w:val="none"/>
                <w:lang w:val="en-US" w:eastAsia="zh-CN"/>
              </w:rPr>
              <w:t>/</w:t>
            </w:r>
          </w:p>
        </w:tc>
        <w:tc>
          <w:tcPr>
            <w:tcW w:w="409" w:type="pct"/>
            <w:vAlign w:val="center"/>
          </w:tcPr>
          <w:p w14:paraId="33EEBE10">
            <w:pPr>
              <w:pStyle w:val="58"/>
              <w:bidi w:val="0"/>
              <w:rPr>
                <w:rFonts w:hint="default"/>
                <w:highlight w:val="none"/>
                <w:lang w:val="en-US" w:eastAsia="zh-CN"/>
              </w:rPr>
            </w:pPr>
            <w:r>
              <w:rPr>
                <w:rFonts w:hint="default"/>
                <w:highlight w:val="none"/>
                <w:lang w:val="en-US" w:eastAsia="zh-CN"/>
              </w:rPr>
              <w:t>9.0</w:t>
            </w:r>
          </w:p>
        </w:tc>
        <w:tc>
          <w:tcPr>
            <w:tcW w:w="557" w:type="pct"/>
            <w:vAlign w:val="center"/>
          </w:tcPr>
          <w:p w14:paraId="38D54FE8">
            <w:pPr>
              <w:pStyle w:val="58"/>
              <w:bidi w:val="0"/>
              <w:rPr>
                <w:rFonts w:hint="default"/>
                <w:highlight w:val="none"/>
                <w:lang w:val="en-US" w:eastAsia="zh-CN"/>
              </w:rPr>
            </w:pPr>
            <w:r>
              <w:rPr>
                <w:rFonts w:hint="eastAsia"/>
                <w:highlight w:val="none"/>
                <w:lang w:val="en-US" w:eastAsia="zh-CN"/>
              </w:rPr>
              <w:t>1.84</w:t>
            </w:r>
          </w:p>
        </w:tc>
        <w:tc>
          <w:tcPr>
            <w:tcW w:w="557" w:type="pct"/>
            <w:vAlign w:val="center"/>
          </w:tcPr>
          <w:p w14:paraId="06E163AD">
            <w:pPr>
              <w:pStyle w:val="58"/>
              <w:bidi w:val="0"/>
              <w:rPr>
                <w:rFonts w:hint="default"/>
                <w:highlight w:val="none"/>
                <w:lang w:val="en-US" w:eastAsia="zh-CN"/>
              </w:rPr>
            </w:pPr>
            <w:r>
              <w:rPr>
                <w:rFonts w:hint="eastAsia"/>
                <w:highlight w:val="none"/>
                <w:lang w:val="en-US" w:eastAsia="zh-CN"/>
              </w:rPr>
              <w:t>7.86</w:t>
            </w:r>
          </w:p>
        </w:tc>
        <w:tc>
          <w:tcPr>
            <w:tcW w:w="1153" w:type="pct"/>
            <w:vMerge w:val="continue"/>
            <w:vAlign w:val="center"/>
          </w:tcPr>
          <w:p w14:paraId="3A7E9418">
            <w:pPr>
              <w:pStyle w:val="58"/>
              <w:bidi w:val="0"/>
              <w:rPr>
                <w:rFonts w:hint="default"/>
                <w:highlight w:val="none"/>
                <w:lang w:val="en-US" w:eastAsia="zh-CN"/>
              </w:rPr>
            </w:pPr>
          </w:p>
        </w:tc>
      </w:tr>
    </w:tbl>
    <w:p w14:paraId="49BB06CA">
      <w:pPr>
        <w:spacing w:line="15" w:lineRule="exact"/>
        <w:rPr>
          <w:rFonts w:hint="default" w:ascii="Times New Roman" w:hAnsi="Times New Roman" w:eastAsia="宋体" w:cs="Times New Roman"/>
          <w:highlight w:val="none"/>
        </w:rPr>
      </w:pPr>
    </w:p>
    <w:p w14:paraId="082A5962">
      <w:pPr>
        <w:keepNext w:val="0"/>
        <w:keepLines w:val="0"/>
        <w:pageBreakBefore w:val="0"/>
        <w:widowControl w:val="0"/>
        <w:tabs>
          <w:tab w:val="left" w:pos="654"/>
        </w:tabs>
        <w:kinsoku/>
        <w:wordWrap/>
        <w:overflowPunct/>
        <w:topLinePunct w:val="0"/>
        <w:autoSpaceDE/>
        <w:autoSpaceDN/>
        <w:bidi w:val="0"/>
        <w:adjustRightInd/>
        <w:snapToGrid/>
        <w:spacing w:line="240" w:lineRule="auto"/>
        <w:ind w:firstLine="0" w:firstLineChars="0"/>
        <w:jc w:val="center"/>
        <w:textAlignment w:val="auto"/>
        <w:rPr>
          <w:rFonts w:hint="default"/>
          <w:highlight w:val="none"/>
          <w:lang w:val="en-US" w:eastAsia="zh-CN"/>
        </w:rPr>
      </w:pPr>
    </w:p>
    <w:p w14:paraId="38D8011D">
      <w:pPr>
        <w:keepNext w:val="0"/>
        <w:keepLines w:val="0"/>
        <w:pageBreakBefore w:val="0"/>
        <w:widowControl w:val="0"/>
        <w:tabs>
          <w:tab w:val="left" w:pos="654"/>
        </w:tabs>
        <w:kinsoku/>
        <w:wordWrap/>
        <w:overflowPunct/>
        <w:topLinePunct w:val="0"/>
        <w:autoSpaceDE/>
        <w:autoSpaceDN/>
        <w:bidi w:val="0"/>
        <w:adjustRightInd/>
        <w:snapToGrid/>
        <w:spacing w:line="240" w:lineRule="auto"/>
        <w:ind w:firstLine="0" w:firstLineChars="0"/>
        <w:jc w:val="center"/>
        <w:textAlignment w:val="auto"/>
        <w:rPr>
          <w:rFonts w:hint="default"/>
          <w:highlight w:val="none"/>
          <w:lang w:val="en-US" w:eastAsia="zh-CN"/>
        </w:rPr>
      </w:pPr>
      <w:r>
        <w:rPr>
          <w:rFonts w:hint="default"/>
          <w:highlight w:val="none"/>
          <w:lang w:val="en-US" w:eastAsia="zh-CN"/>
        </w:rPr>
        <w:object>
          <v:shape id="_x0000_i1030" o:spt="75" type="#_x0000_t75" style="height:225.7pt;width:453.35pt;" o:ole="t" filled="f" o:preferrelative="t" stroked="f" coordsize="21600,21600">
            <v:path/>
            <v:fill on="f" focussize="0,0"/>
            <v:stroke on="f"/>
            <v:imagedata r:id="rId47" o:title=""/>
            <o:lock v:ext="edit" aspectratio="f"/>
            <w10:wrap type="none"/>
            <w10:anchorlock/>
          </v:shape>
          <o:OLEObject Type="Embed" ProgID="Visio.Drawing.11" ShapeID="_x0000_i1030" DrawAspect="Content" ObjectID="_1468075732" r:id="rId46">
            <o:LockedField>false</o:LockedField>
          </o:OLEObject>
        </w:object>
      </w:r>
    </w:p>
    <w:p w14:paraId="511064F3">
      <w:pPr>
        <w:spacing w:before="247" w:line="220" w:lineRule="auto"/>
        <w:jc w:val="center"/>
        <w:rPr>
          <w:rFonts w:hint="default" w:ascii="Times New Roman" w:hAnsi="Times New Roman" w:eastAsia="宋体" w:cs="Times New Roman"/>
          <w:sz w:val="24"/>
          <w:szCs w:val="24"/>
          <w:highlight w:val="none"/>
        </w:rPr>
      </w:pPr>
      <w:r>
        <w:rPr>
          <w:rFonts w:hint="default" w:ascii="Times New Roman" w:hAnsi="Times New Roman" w:eastAsia="宋体" w:cs="Times New Roman"/>
          <w:b/>
          <w:bCs/>
          <w:spacing w:val="-2"/>
          <w:sz w:val="24"/>
          <w:szCs w:val="24"/>
          <w:highlight w:val="none"/>
        </w:rPr>
        <w:t>图3.2-</w:t>
      </w:r>
      <w:r>
        <w:rPr>
          <w:rFonts w:hint="default" w:ascii="Times New Roman" w:hAnsi="Times New Roman" w:eastAsia="宋体" w:cs="Times New Roman"/>
          <w:b/>
          <w:bCs/>
          <w:spacing w:val="-2"/>
          <w:sz w:val="24"/>
          <w:szCs w:val="24"/>
          <w:highlight w:val="none"/>
          <w:lang w:val="en-US" w:eastAsia="zh-CN"/>
        </w:rPr>
        <w:t>3</w:t>
      </w:r>
      <w:r>
        <w:rPr>
          <w:rFonts w:hint="default" w:ascii="Times New Roman" w:hAnsi="Times New Roman" w:eastAsia="宋体" w:cs="Times New Roman"/>
          <w:b/>
          <w:bCs/>
          <w:spacing w:val="-2"/>
          <w:sz w:val="24"/>
          <w:szCs w:val="24"/>
          <w:highlight w:val="none"/>
        </w:rPr>
        <w:t>扩建</w:t>
      </w:r>
      <w:r>
        <w:rPr>
          <w:rFonts w:hint="default" w:ascii="Times New Roman" w:hAnsi="Times New Roman" w:eastAsia="宋体" w:cs="Times New Roman"/>
          <w:b/>
          <w:bCs/>
          <w:spacing w:val="-2"/>
          <w:sz w:val="24"/>
          <w:szCs w:val="24"/>
          <w:highlight w:val="none"/>
          <w:lang w:val="en-US" w:eastAsia="zh-CN"/>
        </w:rPr>
        <w:t>后全厂</w:t>
      </w:r>
      <w:r>
        <w:rPr>
          <w:rFonts w:hint="default" w:ascii="Times New Roman" w:hAnsi="Times New Roman" w:eastAsia="宋体" w:cs="Times New Roman"/>
          <w:b/>
          <w:bCs/>
          <w:spacing w:val="-2"/>
          <w:sz w:val="24"/>
          <w:szCs w:val="24"/>
          <w:highlight w:val="none"/>
        </w:rPr>
        <w:t>给排水平衡图单位：</w:t>
      </w:r>
      <w:r>
        <w:rPr>
          <w:rFonts w:hint="eastAsia" w:cs="Times New Roman"/>
          <w:b/>
          <w:bCs/>
          <w:spacing w:val="-2"/>
          <w:sz w:val="24"/>
          <w:szCs w:val="24"/>
          <w:highlight w:val="none"/>
          <w:lang w:eastAsia="zh-CN"/>
        </w:rPr>
        <w:t>m</w:t>
      </w:r>
      <w:r>
        <w:rPr>
          <w:rFonts w:hint="eastAsia" w:cs="Times New Roman"/>
          <w:b/>
          <w:bCs/>
          <w:spacing w:val="-2"/>
          <w:sz w:val="24"/>
          <w:szCs w:val="24"/>
          <w:highlight w:val="none"/>
          <w:vertAlign w:val="superscript"/>
          <w:lang w:eastAsia="zh-CN"/>
        </w:rPr>
        <w:t>3</w:t>
      </w:r>
      <w:r>
        <w:rPr>
          <w:rFonts w:hint="default" w:ascii="Times New Roman" w:hAnsi="Times New Roman" w:eastAsia="宋体" w:cs="Times New Roman"/>
          <w:b/>
          <w:bCs/>
          <w:spacing w:val="-2"/>
          <w:sz w:val="24"/>
          <w:szCs w:val="24"/>
          <w:highlight w:val="none"/>
        </w:rPr>
        <w:t>/d</w:t>
      </w:r>
    </w:p>
    <w:p w14:paraId="4E01865D">
      <w:pPr>
        <w:pStyle w:val="16"/>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object>
          <v:shape id="_x0000_i1031" o:spt="75" type="#_x0000_t75" style="height:117.75pt;width:441.75pt;" o:ole="t" filled="f" o:preferrelative="t" stroked="f" coordsize="21600,21600">
            <v:path/>
            <v:fill on="f" focussize="0,0"/>
            <v:stroke on="f"/>
            <v:imagedata r:id="rId49" o:title=""/>
            <o:lock v:ext="edit" aspectratio="f"/>
            <w10:wrap type="none"/>
            <w10:anchorlock/>
          </v:shape>
          <o:OLEObject Type="Embed" ProgID="Visio.Drawing.11" ShapeID="_x0000_i1031" DrawAspect="Content" ObjectID="_1468075733" r:id="rId48">
            <o:LockedField>false</o:LockedField>
          </o:OLEObject>
        </w:object>
      </w:r>
    </w:p>
    <w:p w14:paraId="4EF49EE3">
      <w:pPr>
        <w:numPr>
          <w:ilvl w:val="0"/>
          <w:numId w:val="26"/>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eastAsia"/>
          <w:b/>
          <w:bCs/>
          <w:lang w:val="en-US" w:eastAsia="zh-CN"/>
        </w:rPr>
        <w:t>扩建后</w:t>
      </w:r>
      <w:r>
        <w:rPr>
          <w:rFonts w:hint="eastAsia"/>
          <w:b/>
          <w:bCs/>
          <w:lang w:eastAsia="zh-CN"/>
        </w:rPr>
        <w:t>有洒水和绿化时的水量平衡</w:t>
      </w:r>
    </w:p>
    <w:p w14:paraId="5E34D837">
      <w:pPr>
        <w:pStyle w:val="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object>
          <v:shape id="_x0000_i1032" o:spt="75" type="#_x0000_t75" style="height:117.75pt;width:441.75pt;" o:ole="t" filled="f" o:preferrelative="t" stroked="f" coordsize="21600,21600">
            <v:path/>
            <v:fill on="f" focussize="0,0"/>
            <v:stroke on="f"/>
            <v:imagedata r:id="rId51" o:title=""/>
            <o:lock v:ext="edit" aspectratio="f"/>
            <w10:wrap type="none"/>
            <w10:anchorlock/>
          </v:shape>
          <o:OLEObject Type="Embed" ProgID="Visio.Drawing.11" ShapeID="_x0000_i1032" DrawAspect="Content" ObjectID="_1468075734" r:id="rId50">
            <o:LockedField>false</o:LockedField>
          </o:OLEObject>
        </w:object>
      </w:r>
    </w:p>
    <w:p w14:paraId="65E5595F">
      <w:pPr>
        <w:numPr>
          <w:ilvl w:val="0"/>
          <w:numId w:val="26"/>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eastAsia"/>
          <w:b/>
          <w:bCs/>
          <w:lang w:val="en-US" w:eastAsia="zh-CN"/>
        </w:rPr>
        <w:t>扩建后无</w:t>
      </w:r>
      <w:r>
        <w:rPr>
          <w:rFonts w:hint="eastAsia"/>
          <w:b/>
          <w:bCs/>
          <w:lang w:eastAsia="zh-CN"/>
        </w:rPr>
        <w:t>洒水和绿化时的水量平衡</w:t>
      </w:r>
    </w:p>
    <w:p w14:paraId="2807976A">
      <w:pPr>
        <w:rPr>
          <w:rFonts w:hint="default"/>
          <w:highlight w:val="none"/>
        </w:rPr>
      </w:pPr>
      <w:r>
        <w:rPr>
          <w:rFonts w:hint="default"/>
          <w:highlight w:val="none"/>
          <w:lang w:eastAsia="zh-CN"/>
        </w:rPr>
        <w:t>（</w:t>
      </w:r>
      <w:r>
        <w:rPr>
          <w:rFonts w:hint="default"/>
          <w:highlight w:val="none"/>
          <w:lang w:val="en-US" w:eastAsia="zh-CN"/>
        </w:rPr>
        <w:t>3</w:t>
      </w:r>
      <w:r>
        <w:rPr>
          <w:rFonts w:hint="default"/>
          <w:highlight w:val="none"/>
          <w:lang w:eastAsia="zh-CN"/>
        </w:rPr>
        <w:t>）</w:t>
      </w:r>
      <w:r>
        <w:rPr>
          <w:rFonts w:hint="default"/>
          <w:highlight w:val="none"/>
        </w:rPr>
        <w:t>供电</w:t>
      </w:r>
    </w:p>
    <w:p w14:paraId="506571B9">
      <w:pPr>
        <w:rPr>
          <w:rFonts w:hint="default"/>
          <w:highlight w:val="none"/>
        </w:rPr>
      </w:pPr>
      <w:bookmarkStart w:id="168" w:name="_Toc499462526"/>
      <w:bookmarkStart w:id="169" w:name="_Toc499351466"/>
      <w:bookmarkStart w:id="170" w:name="_Toc498876798"/>
      <w:bookmarkStart w:id="171" w:name="_Toc389681130"/>
      <w:bookmarkStart w:id="172" w:name="_Toc498880550"/>
      <w:bookmarkStart w:id="173" w:name="_Toc498880243"/>
      <w:r>
        <w:rPr>
          <w:rFonts w:hint="default"/>
          <w:highlight w:val="none"/>
          <w:lang w:val="en-US" w:eastAsia="zh-CN"/>
        </w:rPr>
        <w:t>本项目新增用电量48.2万kWh/a，由园区电网供给，</w:t>
      </w:r>
      <w:r>
        <w:rPr>
          <w:rFonts w:hint="default"/>
          <w:highlight w:val="none"/>
        </w:rPr>
        <w:t>可满足项目用电的需要。</w:t>
      </w:r>
    </w:p>
    <w:p w14:paraId="45919788">
      <w:pPr>
        <w:rPr>
          <w:rFonts w:hint="default"/>
          <w:highlight w:val="none"/>
          <w:lang w:eastAsia="zh-CN"/>
        </w:rPr>
      </w:pPr>
      <w:r>
        <w:rPr>
          <w:rFonts w:hint="default"/>
          <w:highlight w:val="none"/>
        </w:rPr>
        <w:t>（</w:t>
      </w:r>
      <w:r>
        <w:rPr>
          <w:rFonts w:hint="default"/>
          <w:highlight w:val="none"/>
          <w:lang w:val="en-US" w:eastAsia="zh-CN"/>
        </w:rPr>
        <w:t>4</w:t>
      </w:r>
      <w:r>
        <w:rPr>
          <w:rFonts w:hint="default"/>
          <w:highlight w:val="none"/>
        </w:rPr>
        <w:t>）</w:t>
      </w:r>
      <w:bookmarkEnd w:id="168"/>
      <w:bookmarkEnd w:id="169"/>
      <w:bookmarkEnd w:id="170"/>
      <w:bookmarkEnd w:id="171"/>
      <w:bookmarkEnd w:id="172"/>
      <w:bookmarkEnd w:id="173"/>
      <w:r>
        <w:rPr>
          <w:rFonts w:hint="default"/>
          <w:highlight w:val="none"/>
          <w:lang w:eastAsia="zh-CN"/>
        </w:rPr>
        <w:t>供热</w:t>
      </w:r>
    </w:p>
    <w:p w14:paraId="75A3EA08">
      <w:pPr>
        <w:rPr>
          <w:rFonts w:hint="default"/>
          <w:highlight w:val="none"/>
        </w:rPr>
      </w:pPr>
      <w:r>
        <w:rPr>
          <w:rFonts w:hint="default"/>
          <w:highlight w:val="none"/>
          <w:lang w:val="en-US" w:eastAsia="zh-CN"/>
        </w:rPr>
        <w:t>项目不设</w:t>
      </w:r>
      <w:r>
        <w:rPr>
          <w:rFonts w:hint="default"/>
          <w:highlight w:val="none"/>
          <w:lang w:eastAsia="zh-CN"/>
        </w:rPr>
        <w:t>办公室及宿舍，</w:t>
      </w:r>
      <w:r>
        <w:rPr>
          <w:rFonts w:hint="eastAsia"/>
          <w:highlight w:val="none"/>
          <w:lang w:val="en-US" w:eastAsia="zh-CN"/>
        </w:rPr>
        <w:t>加药间、实验室等办公区域</w:t>
      </w:r>
      <w:r>
        <w:rPr>
          <w:rFonts w:hint="default"/>
          <w:highlight w:val="none"/>
          <w:lang w:val="en-US" w:eastAsia="zh-CN"/>
        </w:rPr>
        <w:t>供热采用单体空调</w:t>
      </w:r>
      <w:r>
        <w:rPr>
          <w:rFonts w:hint="default"/>
          <w:highlight w:val="none"/>
        </w:rPr>
        <w:t>。</w:t>
      </w:r>
    </w:p>
    <w:bookmarkEnd w:id="166"/>
    <w:p w14:paraId="55535731">
      <w:pPr>
        <w:pStyle w:val="6"/>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bookmarkStart w:id="174" w:name="_Toc498880266"/>
      <w:bookmarkStart w:id="175" w:name="_Toc390963094"/>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3.2.</w:t>
      </w:r>
      <w:r>
        <w:rPr>
          <w:rFonts w:hint="eastAsia" w:cs="Times New Roman"/>
          <w:color w:val="000000" w:themeColor="text1"/>
          <w:sz w:val="24"/>
          <w:szCs w:val="24"/>
          <w:highlight w:val="none"/>
          <w:lang w:val="en-US" w:eastAsia="zh-CN"/>
          <w14:textFill>
            <w14:solidFill>
              <w14:schemeClr w14:val="tx1"/>
            </w14:solidFill>
          </w14:textFill>
        </w:rPr>
        <w:t>6</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生产工艺及</w:t>
      </w:r>
      <w:bookmarkEnd w:id="174"/>
      <w:bookmarkEnd w:id="175"/>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产污环节</w:t>
      </w:r>
    </w:p>
    <w:p w14:paraId="49C37174">
      <w:pPr>
        <w:rPr>
          <w:rFonts w:hint="default"/>
          <w:highlight w:val="none"/>
          <w:lang w:val="en-US" w:eastAsia="zh-CN"/>
        </w:rPr>
      </w:pPr>
      <w:bookmarkStart w:id="176" w:name="_Toc90423238"/>
      <w:bookmarkStart w:id="177" w:name="_Toc390963108"/>
      <w:r>
        <w:rPr>
          <w:rFonts w:hint="default"/>
          <w:highlight w:val="none"/>
          <w:lang w:val="en-US" w:eastAsia="zh-CN"/>
        </w:rPr>
        <w:t>根据项目设计方案，确定的工艺路线为：</w:t>
      </w:r>
    </w:p>
    <w:p w14:paraId="5965FDF6">
      <w:pPr>
        <w:rPr>
          <w:rFonts w:hint="default"/>
          <w:highlight w:val="none"/>
          <w:lang w:val="en-US" w:eastAsia="zh-CN"/>
        </w:rPr>
      </w:pPr>
      <w:r>
        <w:rPr>
          <w:rFonts w:hint="default"/>
          <w:highlight w:val="none"/>
          <w:lang w:val="en-US" w:eastAsia="zh-CN"/>
        </w:rPr>
        <w:t>预处理工艺：格栅+调节池；</w:t>
      </w:r>
    </w:p>
    <w:p w14:paraId="5D3DC373">
      <w:pPr>
        <w:rPr>
          <w:rFonts w:hint="default"/>
          <w:highlight w:val="none"/>
          <w:lang w:val="en-US" w:eastAsia="zh-CN"/>
        </w:rPr>
      </w:pPr>
      <w:r>
        <w:rPr>
          <w:rFonts w:hint="default"/>
          <w:highlight w:val="none"/>
          <w:lang w:val="en-US" w:eastAsia="zh-CN"/>
        </w:rPr>
        <w:t>二级污水处理工艺：</w:t>
      </w:r>
      <w:bookmarkStart w:id="178" w:name="OLE_LINK93"/>
      <w:r>
        <w:rPr>
          <w:rFonts w:hint="eastAsia"/>
          <w:highlight w:val="none"/>
          <w:lang w:val="en-US" w:eastAsia="zh-CN"/>
        </w:rPr>
        <w:t>A</w:t>
      </w:r>
      <w:r>
        <w:rPr>
          <w:rFonts w:hint="eastAsia"/>
          <w:highlight w:val="none"/>
          <w:vertAlign w:val="superscript"/>
          <w:lang w:val="en-US" w:eastAsia="zh-CN"/>
        </w:rPr>
        <w:t>2</w:t>
      </w:r>
      <w:r>
        <w:rPr>
          <w:rFonts w:hint="eastAsia"/>
          <w:highlight w:val="none"/>
          <w:lang w:val="en-US" w:eastAsia="zh-CN"/>
        </w:rPr>
        <w:t>O</w:t>
      </w:r>
      <w:r>
        <w:rPr>
          <w:rFonts w:hint="default"/>
          <w:highlight w:val="none"/>
          <w:lang w:val="en-US" w:eastAsia="zh-CN"/>
        </w:rPr>
        <w:t>一体化处理设备</w:t>
      </w:r>
      <w:bookmarkEnd w:id="178"/>
      <w:r>
        <w:rPr>
          <w:rFonts w:hint="default"/>
          <w:highlight w:val="none"/>
          <w:lang w:val="en-US" w:eastAsia="zh-CN"/>
        </w:rPr>
        <w:t>+混凝沉淀池；</w:t>
      </w:r>
    </w:p>
    <w:p w14:paraId="523C64C0">
      <w:pPr>
        <w:rPr>
          <w:rFonts w:hint="default"/>
          <w:highlight w:val="none"/>
          <w:lang w:val="en-US" w:eastAsia="zh-CN"/>
        </w:rPr>
      </w:pPr>
      <w:r>
        <w:rPr>
          <w:rFonts w:hint="default"/>
          <w:highlight w:val="none"/>
          <w:lang w:val="en-US" w:eastAsia="zh-CN"/>
        </w:rPr>
        <w:t>污水深度处理工艺：</w:t>
      </w:r>
      <w:r>
        <w:rPr>
          <w:rFonts w:hint="eastAsia"/>
          <w:highlight w:val="none"/>
          <w:lang w:val="en-US" w:eastAsia="zh-CN"/>
        </w:rPr>
        <w:t>砂滤</w:t>
      </w:r>
      <w:r>
        <w:rPr>
          <w:rFonts w:hint="default"/>
          <w:highlight w:val="none"/>
          <w:lang w:val="en-US" w:eastAsia="zh-CN"/>
        </w:rPr>
        <w:t>+</w:t>
      </w:r>
      <w:r>
        <w:rPr>
          <w:rFonts w:hint="eastAsia"/>
          <w:highlight w:val="none"/>
          <w:lang w:val="en-US" w:eastAsia="zh-CN"/>
        </w:rPr>
        <w:t>次氯酸钠消毒</w:t>
      </w:r>
      <w:r>
        <w:rPr>
          <w:rFonts w:hint="default"/>
          <w:highlight w:val="none"/>
          <w:lang w:val="en-US" w:eastAsia="zh-CN"/>
        </w:rPr>
        <w:t>；</w:t>
      </w:r>
    </w:p>
    <w:p w14:paraId="5DDBA515">
      <w:pPr>
        <w:rPr>
          <w:rFonts w:hint="default"/>
          <w:highlight w:val="none"/>
          <w:lang w:val="en-US" w:eastAsia="zh-CN"/>
        </w:rPr>
      </w:pPr>
      <w:r>
        <w:rPr>
          <w:rFonts w:hint="default"/>
          <w:highlight w:val="none"/>
          <w:lang w:val="en-US" w:eastAsia="zh-CN"/>
        </w:rPr>
        <w:t>污泥处理工艺：叠螺污泥脱水；</w:t>
      </w:r>
    </w:p>
    <w:p w14:paraId="67D5600E">
      <w:pPr>
        <w:rPr>
          <w:rFonts w:hint="default"/>
          <w:highlight w:val="none"/>
          <w:lang w:val="en-US" w:eastAsia="zh-CN"/>
        </w:rPr>
      </w:pPr>
      <w:r>
        <w:rPr>
          <w:rFonts w:hint="default"/>
          <w:highlight w:val="none"/>
          <w:lang w:val="en-US" w:eastAsia="zh-CN"/>
        </w:rPr>
        <w:t>消毒工艺：次氯酸钠消毒工艺；</w:t>
      </w:r>
    </w:p>
    <w:p w14:paraId="367AE5D3">
      <w:pPr>
        <w:rPr>
          <w:rFonts w:hint="default"/>
          <w:highlight w:val="none"/>
          <w:lang w:val="en-US" w:eastAsia="zh-CN"/>
        </w:rPr>
      </w:pPr>
      <w:r>
        <w:rPr>
          <w:rFonts w:hint="default"/>
          <w:highlight w:val="none"/>
          <w:lang w:val="en-US" w:eastAsia="zh-CN"/>
        </w:rPr>
        <w:t>除臭工艺：等离子光电除臭。</w:t>
      </w:r>
    </w:p>
    <w:p w14:paraId="07DF9C20">
      <w:pPr>
        <w:rPr>
          <w:rFonts w:hint="default"/>
          <w:highlight w:val="none"/>
          <w:lang w:val="en-US" w:eastAsia="zh-CN"/>
        </w:rPr>
      </w:pPr>
      <w:r>
        <w:rPr>
          <w:rFonts w:hint="default"/>
          <w:highlight w:val="none"/>
          <w:lang w:val="en-US" w:eastAsia="zh-CN"/>
        </w:rPr>
        <w:t>具体工艺介绍如下：</w:t>
      </w:r>
    </w:p>
    <w:p w14:paraId="18FFFF84">
      <w:pPr>
        <w:rPr>
          <w:rFonts w:hint="default"/>
          <w:highlight w:val="none"/>
          <w:lang w:val="en-US" w:eastAsia="zh-CN"/>
        </w:rPr>
      </w:pPr>
      <w:r>
        <w:rPr>
          <w:rFonts w:hint="default"/>
          <w:highlight w:val="none"/>
          <w:lang w:val="en-US" w:eastAsia="zh-CN"/>
        </w:rPr>
        <w:t>⑴格栅及调节池</w:t>
      </w:r>
    </w:p>
    <w:p w14:paraId="2CFC76AE">
      <w:pPr>
        <w:rPr>
          <w:rFonts w:hint="default"/>
          <w:highlight w:val="none"/>
          <w:lang w:val="en-US" w:eastAsia="zh-CN"/>
        </w:rPr>
      </w:pPr>
      <w:r>
        <w:rPr>
          <w:rFonts w:hint="default"/>
          <w:highlight w:val="none"/>
          <w:lang w:val="en-US" w:eastAsia="zh-CN"/>
        </w:rPr>
        <w:t>本项目污水通过厂外污水管网进入污水处理厂，在泵站之前设置粗格栅井，以拦截粗大的树枝木棍、布片、塑料制品等较大漂浮物，有效防止泵及其它处理构筑物的机械设备和管道被磨损或阻塞，使后续处理流程能顺利进行。</w:t>
      </w:r>
      <w:r>
        <w:rPr>
          <w:rFonts w:hint="eastAsia"/>
          <w:highlight w:val="none"/>
          <w:lang w:val="en-US" w:eastAsia="zh-CN"/>
        </w:rPr>
        <w:t>栅渣自动落入小车，运送至污泥脱水间一般固废暂存区暂存。</w:t>
      </w:r>
      <w:r>
        <w:rPr>
          <w:rFonts w:hint="default"/>
          <w:highlight w:val="none"/>
          <w:lang w:val="en-US" w:eastAsia="zh-CN"/>
        </w:rPr>
        <w:t>去除悬浮物后的污水经提升泵房送入细格栅，细格栅用以进一步截留污水中的悬浮物或漂浮物，减轻后续处理构筑物的负荷，并使之正常运行。本项目粗、细格栅与调节池组成合建式构筑物。污水经</w:t>
      </w:r>
      <w:r>
        <w:rPr>
          <w:rFonts w:hint="eastAsia"/>
          <w:highlight w:val="none"/>
          <w:lang w:val="en-US" w:eastAsia="zh-CN"/>
        </w:rPr>
        <w:t>格栅渠</w:t>
      </w:r>
      <w:r>
        <w:rPr>
          <w:rFonts w:hint="default"/>
          <w:highlight w:val="none"/>
          <w:lang w:val="en-US" w:eastAsia="zh-CN"/>
        </w:rPr>
        <w:t>后自流到调节池，污水在调节池中进行充分的混合，使水质水量得到均衡，使污水平稳进入生化处理工序。</w:t>
      </w:r>
      <w:r>
        <w:rPr>
          <w:rFonts w:hint="eastAsia"/>
          <w:highlight w:val="none"/>
          <w:lang w:val="en-US" w:eastAsia="zh-CN"/>
        </w:rPr>
        <w:t>调节池中的沉砂一年人工清理两次。通过小车运至污泥脱水间一般固废暂存区暂存，通过叠螺式脱水机脱水处理。均化后的污水从调节池经阀门控制分流进入现有工程集水池。</w:t>
      </w:r>
    </w:p>
    <w:p w14:paraId="6867F205">
      <w:pPr>
        <w:bidi w:val="0"/>
        <w:rPr>
          <w:rFonts w:hint="default"/>
          <w:b/>
          <w:bCs/>
          <w:highlight w:val="none"/>
          <w:lang w:val="en-US" w:eastAsia="zh-CN"/>
        </w:rPr>
      </w:pPr>
      <w:r>
        <w:rPr>
          <w:rFonts w:hint="default"/>
          <w:b/>
          <w:bCs/>
          <w:highlight w:val="none"/>
          <w:lang w:val="en-US" w:eastAsia="zh-CN"/>
        </w:rPr>
        <w:t>本工序污染物主要为粗格栅/细格栅、调节池产生的恶臭（G1），设备运行时产生的噪声（N1），粗格栅、细格栅处收集的栅渣（S1），调节池底部的沉砂（S</w:t>
      </w:r>
      <w:r>
        <w:rPr>
          <w:rFonts w:hint="eastAsia"/>
          <w:b/>
          <w:bCs/>
          <w:highlight w:val="none"/>
          <w:lang w:val="en-US" w:eastAsia="zh-CN"/>
        </w:rPr>
        <w:t>2</w:t>
      </w:r>
      <w:r>
        <w:rPr>
          <w:rFonts w:hint="default"/>
          <w:b/>
          <w:bCs/>
          <w:highlight w:val="none"/>
          <w:lang w:val="en-US" w:eastAsia="zh-CN"/>
        </w:rPr>
        <w:t>）。</w:t>
      </w:r>
    </w:p>
    <w:p w14:paraId="595F5E7D">
      <w:pPr>
        <w:bidi w:val="0"/>
        <w:ind w:firstLine="720"/>
        <w:rPr>
          <w:rFonts w:hint="default" w:ascii="Times New Roman" w:hAnsi="Times New Roman" w:eastAsia="宋体"/>
          <w:highlight w:val="none"/>
          <w:lang w:val="en-US" w:eastAsia="zh-CN"/>
        </w:rPr>
      </w:pPr>
      <w:r>
        <w:rPr>
          <w:rFonts w:hint="eastAsia" w:ascii="Times New Roman" w:hAnsi="Times New Roman" w:eastAsia="宋体"/>
          <w:highlight w:val="none"/>
          <w:lang w:val="en-US" w:eastAsia="zh-CN"/>
        </w:rPr>
        <w:t>(2)</w:t>
      </w:r>
      <w:r>
        <w:rPr>
          <w:rFonts w:hint="eastAsia"/>
          <w:highlight w:val="none"/>
          <w:lang w:val="en-US" w:eastAsia="zh-CN"/>
        </w:rPr>
        <w:t>A</w:t>
      </w:r>
      <w:r>
        <w:rPr>
          <w:rFonts w:hint="eastAsia"/>
          <w:highlight w:val="none"/>
          <w:vertAlign w:val="superscript"/>
          <w:lang w:val="en-US" w:eastAsia="zh-CN"/>
        </w:rPr>
        <w:t>2</w:t>
      </w:r>
      <w:r>
        <w:rPr>
          <w:rFonts w:hint="eastAsia"/>
          <w:highlight w:val="none"/>
          <w:lang w:val="en-US" w:eastAsia="zh-CN"/>
        </w:rPr>
        <w:t>O</w:t>
      </w:r>
      <w:r>
        <w:rPr>
          <w:rFonts w:hint="default" w:ascii="Times New Roman" w:hAnsi="Times New Roman" w:eastAsia="宋体"/>
          <w:highlight w:val="none"/>
          <w:lang w:val="en-US" w:eastAsia="zh-CN"/>
        </w:rPr>
        <w:t>一体化处理设备</w:t>
      </w:r>
    </w:p>
    <w:p w14:paraId="377981DA">
      <w:pPr>
        <w:bidi w:val="0"/>
        <w:rPr>
          <w:rFonts w:hint="default"/>
          <w:highlight w:val="none"/>
          <w:lang w:val="en-US" w:eastAsia="zh-CN"/>
        </w:rPr>
      </w:pPr>
      <w:r>
        <w:rPr>
          <w:rFonts w:hint="default"/>
          <w:highlight w:val="none"/>
          <w:lang w:val="en-US" w:eastAsia="zh-CN"/>
        </w:rPr>
        <w:t>A</w:t>
      </w:r>
      <w:r>
        <w:rPr>
          <w:rFonts w:hint="default"/>
          <w:highlight w:val="none"/>
          <w:vertAlign w:val="superscript"/>
          <w:lang w:val="en-US" w:eastAsia="zh-CN"/>
        </w:rPr>
        <w:t>2</w:t>
      </w:r>
      <w:r>
        <w:rPr>
          <w:rFonts w:hint="default"/>
          <w:highlight w:val="none"/>
          <w:lang w:val="en-US" w:eastAsia="zh-CN"/>
        </w:rPr>
        <w:t>O一体化处理设备包含缺氧池、厌氧池和好氧池三部分组成。污水进入到缺氧池，缺氧池所起到的作用一方面可分解有机污染物大部分复杂高分子物质，提高污水可生化系数。污水在缺氧池中停留，那些难以生化的高分子有机物大部分被分解为低分子易生化的有机物，且部分易生化的有机物在微生物共同作用下最终被转化为水、无机物和微生物污泥而在污水中去除。厌氧使污水中的难降解的有机物及其发色基团解体、被取代或裂解（降解），从而降低污水的色度，改善污水的可生化性，即使不能直接降低污水的色度，由于分子结构或发色基团已发生改变，也可使其在好氧条件下容易被降解并脱色。另一方面，反硝化菌大量存在缺氧池内，在缺氧条件下将硝酸盐、亚硝酸盐转化为氮气。</w:t>
      </w:r>
    </w:p>
    <w:p w14:paraId="4AE2DC48">
      <w:pPr>
        <w:bidi w:val="0"/>
        <w:rPr>
          <w:rFonts w:hint="default"/>
          <w:highlight w:val="none"/>
          <w:lang w:val="en-US" w:eastAsia="zh-CN"/>
        </w:rPr>
      </w:pPr>
      <w:r>
        <w:rPr>
          <w:rFonts w:hint="default"/>
          <w:highlight w:val="none"/>
          <w:lang w:val="en-US" w:eastAsia="zh-CN"/>
        </w:rPr>
        <w:t>缺氧池出水流入</w:t>
      </w:r>
      <w:r>
        <w:rPr>
          <w:rFonts w:hint="eastAsia"/>
          <w:highlight w:val="none"/>
          <w:lang w:val="en-US" w:eastAsia="zh-CN"/>
        </w:rPr>
        <w:t>好氧</w:t>
      </w:r>
      <w:r>
        <w:rPr>
          <w:rFonts w:hint="default"/>
          <w:highlight w:val="none"/>
          <w:lang w:val="en-US" w:eastAsia="zh-CN"/>
        </w:rPr>
        <w:t>池。在曝气机通气供氧下，好氧微生物将有机物质分解为CO</w:t>
      </w:r>
      <w:r>
        <w:rPr>
          <w:rFonts w:hint="default"/>
          <w:highlight w:val="none"/>
          <w:vertAlign w:val="subscript"/>
          <w:lang w:val="en-US" w:eastAsia="zh-CN"/>
        </w:rPr>
        <w:t>2</w:t>
      </w:r>
      <w:r>
        <w:rPr>
          <w:rFonts w:hint="default"/>
          <w:highlight w:val="none"/>
          <w:lang w:val="en-US" w:eastAsia="zh-CN"/>
        </w:rPr>
        <w:t>和水等无机物质，或合成为自身需要，进行新陈代谢。污水中有机污染物经好氧池生化处理后大部分得以去除。好氧池混合液用泵回流至活性污泥池进水口，提高污水的处理效果；处理水流入混凝沉淀池，泥水自然分离；沉于污泥斗中的污泥用污泥泵抽送回流至缺氧池进行再消化，剩余污泥用泵输送排至污泥池中待处理。</w:t>
      </w:r>
    </w:p>
    <w:p w14:paraId="33E8AE7F">
      <w:pPr>
        <w:bidi w:val="0"/>
        <w:rPr>
          <w:rFonts w:hint="default"/>
          <w:b/>
          <w:bCs/>
          <w:highlight w:val="none"/>
          <w:lang w:val="en-US" w:eastAsia="zh-CN"/>
        </w:rPr>
      </w:pPr>
      <w:r>
        <w:rPr>
          <w:rFonts w:hint="default"/>
          <w:b/>
          <w:bCs/>
          <w:highlight w:val="none"/>
        </w:rPr>
        <w:t>本工序污染物主要为</w:t>
      </w:r>
      <w:r>
        <w:rPr>
          <w:rFonts w:hint="eastAsia"/>
          <w:b/>
          <w:bCs/>
          <w:highlight w:val="none"/>
          <w:lang w:eastAsia="zh-CN"/>
        </w:rPr>
        <w:t>A</w:t>
      </w:r>
      <w:r>
        <w:rPr>
          <w:rFonts w:hint="eastAsia"/>
          <w:b/>
          <w:bCs/>
          <w:highlight w:val="none"/>
          <w:vertAlign w:val="superscript"/>
          <w:lang w:eastAsia="zh-CN"/>
        </w:rPr>
        <w:t>2</w:t>
      </w:r>
      <w:r>
        <w:rPr>
          <w:rFonts w:hint="eastAsia"/>
          <w:b/>
          <w:bCs/>
          <w:highlight w:val="none"/>
          <w:lang w:eastAsia="zh-CN"/>
        </w:rPr>
        <w:t>O</w:t>
      </w:r>
      <w:r>
        <w:rPr>
          <w:rFonts w:hint="default"/>
          <w:b/>
          <w:bCs/>
          <w:highlight w:val="none"/>
          <w:lang w:val="en-US" w:eastAsia="zh-CN"/>
        </w:rPr>
        <w:t>一体化处理设备</w:t>
      </w:r>
      <w:r>
        <w:rPr>
          <w:rFonts w:hint="default"/>
          <w:b/>
          <w:bCs/>
          <w:highlight w:val="none"/>
        </w:rPr>
        <w:t>产生的恶臭(G</w:t>
      </w:r>
      <w:r>
        <w:rPr>
          <w:rFonts w:hint="default"/>
          <w:b/>
          <w:bCs/>
          <w:highlight w:val="none"/>
          <w:lang w:val="en-US" w:eastAsia="zh-CN"/>
        </w:rPr>
        <w:t>2</w:t>
      </w:r>
      <w:r>
        <w:rPr>
          <w:rFonts w:hint="default"/>
          <w:b/>
          <w:bCs/>
          <w:highlight w:val="none"/>
        </w:rPr>
        <w:t>)及各池回流泵、鼓风机房风机等设备运行产生的噪声（N</w:t>
      </w:r>
      <w:r>
        <w:rPr>
          <w:rFonts w:hint="default"/>
          <w:b/>
          <w:bCs/>
          <w:highlight w:val="none"/>
          <w:lang w:val="en-US" w:eastAsia="zh-CN"/>
        </w:rPr>
        <w:t>2</w:t>
      </w:r>
      <w:r>
        <w:rPr>
          <w:rFonts w:hint="default"/>
          <w:b/>
          <w:bCs/>
          <w:highlight w:val="none"/>
        </w:rPr>
        <w:t>）、剩余污泥（S</w:t>
      </w:r>
      <w:r>
        <w:rPr>
          <w:rFonts w:hint="eastAsia"/>
          <w:b/>
          <w:bCs/>
          <w:highlight w:val="none"/>
          <w:lang w:val="en-US" w:eastAsia="zh-CN"/>
        </w:rPr>
        <w:t>3</w:t>
      </w:r>
      <w:r>
        <w:rPr>
          <w:rFonts w:hint="default"/>
          <w:b/>
          <w:bCs/>
          <w:highlight w:val="none"/>
        </w:rPr>
        <w:t>）。</w:t>
      </w:r>
    </w:p>
    <w:p w14:paraId="6D8725F6">
      <w:pPr>
        <w:numPr>
          <w:ilvl w:val="0"/>
          <w:numId w:val="0"/>
        </w:numPr>
        <w:bidi w:val="0"/>
        <w:ind w:firstLine="480" w:firstLineChars="200"/>
        <w:rPr>
          <w:rFonts w:hint="default"/>
          <w:highlight w:val="none"/>
          <w:lang w:val="en-US" w:eastAsia="zh-CN"/>
        </w:rPr>
      </w:pPr>
      <w:r>
        <w:rPr>
          <w:rFonts w:hint="default" w:ascii="Times New Roman" w:hAnsi="Times New Roman" w:eastAsia="宋体" w:cs="Times New Roman"/>
          <w:kern w:val="2"/>
          <w:sz w:val="24"/>
          <w:szCs w:val="24"/>
          <w:highlight w:val="none"/>
          <w:lang w:val="en-US" w:eastAsia="zh-CN" w:bidi="ar-SA"/>
        </w:rPr>
        <w:t>（</w:t>
      </w:r>
      <w:r>
        <w:rPr>
          <w:rFonts w:hint="eastAsia" w:cs="Times New Roman"/>
          <w:kern w:val="2"/>
          <w:sz w:val="24"/>
          <w:szCs w:val="24"/>
          <w:highlight w:val="none"/>
          <w:lang w:val="en-US" w:eastAsia="zh-CN" w:bidi="ar-SA"/>
        </w:rPr>
        <w:t>3</w:t>
      </w:r>
      <w:r>
        <w:rPr>
          <w:rFonts w:hint="default" w:ascii="Times New Roman" w:hAnsi="Times New Roman" w:eastAsia="宋体" w:cs="Times New Roman"/>
          <w:kern w:val="2"/>
          <w:sz w:val="24"/>
          <w:szCs w:val="24"/>
          <w:highlight w:val="none"/>
          <w:lang w:val="en-US" w:eastAsia="zh-CN" w:bidi="ar-SA"/>
        </w:rPr>
        <w:t>）</w:t>
      </w:r>
      <w:r>
        <w:rPr>
          <w:rFonts w:hint="default"/>
          <w:highlight w:val="none"/>
          <w:lang w:val="en-US" w:eastAsia="zh-CN"/>
        </w:rPr>
        <w:t>混凝沉淀池</w:t>
      </w:r>
    </w:p>
    <w:p w14:paraId="07D5103B">
      <w:pPr>
        <w:bidi w:val="0"/>
        <w:rPr>
          <w:rFonts w:hint="default"/>
          <w:highlight w:val="none"/>
          <w:lang w:val="en-US" w:eastAsia="zh-CN"/>
        </w:rPr>
      </w:pPr>
      <w:r>
        <w:rPr>
          <w:rFonts w:hint="default"/>
          <w:highlight w:val="none"/>
          <w:lang w:val="en-US" w:eastAsia="zh-CN"/>
        </w:rPr>
        <w:t>本工程的混合反应沉淀池采用混凝沉淀池。由于较合理地采用了水力搅拌、机械搅拌、加药助凝（池内加PAC和PAM）、污泥回流、斜管澄清、机械浓缩等技术，使该构筑物具有占地小、水流条件好、反应效率高、用药少、管理方便，尤其适用于低温低浊水深度处理的特点。有效减轻后续过滤单元的负荷，使滤池出水更稳定。混合区水力停留时间1.0min，反应区水力停留时间4.3min。</w:t>
      </w:r>
    </w:p>
    <w:p w14:paraId="5D2B8FD2">
      <w:pPr>
        <w:bidi w:val="0"/>
        <w:rPr>
          <w:rFonts w:hint="default"/>
          <w:highlight w:val="none"/>
        </w:rPr>
      </w:pPr>
      <w:r>
        <w:rPr>
          <w:rFonts w:hint="default"/>
          <w:b/>
          <w:bCs/>
          <w:highlight w:val="none"/>
        </w:rPr>
        <w:t>本工序污染物主要为</w:t>
      </w:r>
      <w:r>
        <w:rPr>
          <w:rFonts w:hint="default"/>
          <w:b/>
          <w:bCs/>
          <w:highlight w:val="none"/>
          <w:lang w:val="en-US" w:eastAsia="zh-CN"/>
        </w:rPr>
        <w:t>混凝</w:t>
      </w:r>
      <w:r>
        <w:rPr>
          <w:rFonts w:hint="default"/>
          <w:b/>
          <w:bCs/>
          <w:highlight w:val="none"/>
        </w:rPr>
        <w:t>沉淀池设备运行产生的噪声（N</w:t>
      </w:r>
      <w:r>
        <w:rPr>
          <w:rFonts w:hint="default"/>
          <w:b/>
          <w:bCs/>
          <w:highlight w:val="none"/>
          <w:lang w:val="en-US" w:eastAsia="zh-CN"/>
        </w:rPr>
        <w:t>3</w:t>
      </w:r>
      <w:r>
        <w:rPr>
          <w:rFonts w:hint="default"/>
          <w:b/>
          <w:bCs/>
          <w:highlight w:val="none"/>
        </w:rPr>
        <w:t>）、污泥（S</w:t>
      </w:r>
      <w:r>
        <w:rPr>
          <w:rFonts w:hint="eastAsia"/>
          <w:b/>
          <w:bCs/>
          <w:highlight w:val="none"/>
          <w:lang w:val="en-US" w:eastAsia="zh-CN"/>
        </w:rPr>
        <w:t>4</w:t>
      </w:r>
      <w:r>
        <w:rPr>
          <w:rFonts w:hint="default"/>
          <w:b/>
          <w:bCs/>
          <w:highlight w:val="none"/>
        </w:rPr>
        <w:t>）。</w:t>
      </w:r>
    </w:p>
    <w:p w14:paraId="066366AD">
      <w:pPr>
        <w:numPr>
          <w:ilvl w:val="0"/>
          <w:numId w:val="0"/>
        </w:numPr>
        <w:bidi w:val="0"/>
        <w:ind w:firstLine="480" w:firstLineChars="200"/>
        <w:rPr>
          <w:rFonts w:hint="default" w:ascii="Times New Roman" w:hAnsi="Times New Roman" w:eastAsia="宋体"/>
          <w:highlight w:val="none"/>
          <w:lang w:val="en-US" w:eastAsia="zh-CN"/>
        </w:rPr>
      </w:pPr>
      <w:r>
        <w:rPr>
          <w:rFonts w:hint="default" w:ascii="Times New Roman" w:hAnsi="Times New Roman" w:eastAsia="宋体" w:cs="Times New Roman"/>
          <w:kern w:val="2"/>
          <w:sz w:val="24"/>
          <w:szCs w:val="24"/>
          <w:highlight w:val="none"/>
          <w:lang w:val="en-US" w:eastAsia="zh-CN" w:bidi="ar-SA"/>
        </w:rPr>
        <w:t>（</w:t>
      </w:r>
      <w:r>
        <w:rPr>
          <w:rFonts w:hint="eastAsia" w:ascii="Times New Roman" w:hAnsi="Times New Roman" w:eastAsia="宋体" w:cs="Times New Roman"/>
          <w:kern w:val="2"/>
          <w:sz w:val="24"/>
          <w:szCs w:val="24"/>
          <w:highlight w:val="none"/>
          <w:lang w:val="en-US" w:eastAsia="zh-CN" w:bidi="ar-SA"/>
        </w:rPr>
        <w:t>4</w:t>
      </w:r>
      <w:r>
        <w:rPr>
          <w:rFonts w:hint="default" w:ascii="Times New Roman" w:hAnsi="Times New Roman" w:eastAsia="宋体" w:cs="Times New Roman"/>
          <w:kern w:val="2"/>
          <w:sz w:val="24"/>
          <w:szCs w:val="24"/>
          <w:highlight w:val="none"/>
          <w:lang w:val="en-US" w:eastAsia="zh-CN" w:bidi="ar-SA"/>
        </w:rPr>
        <w:t>）</w:t>
      </w:r>
      <w:r>
        <w:rPr>
          <w:rFonts w:hint="eastAsia"/>
          <w:highlight w:val="none"/>
          <w:lang w:val="en-US" w:eastAsia="zh-CN"/>
        </w:rPr>
        <w:t>砂滤</w:t>
      </w:r>
    </w:p>
    <w:p w14:paraId="48795FE5">
      <w:pPr>
        <w:bidi w:val="0"/>
        <w:rPr>
          <w:rFonts w:hint="default"/>
          <w:highlight w:val="none"/>
          <w:lang w:val="en-US" w:eastAsia="zh-CN"/>
        </w:rPr>
      </w:pPr>
      <w:r>
        <w:rPr>
          <w:rFonts w:hint="eastAsia"/>
          <w:highlight w:val="none"/>
          <w:lang w:val="en-US" w:eastAsia="zh-CN"/>
        </w:rPr>
        <w:t>混凝沉淀池</w:t>
      </w:r>
      <w:r>
        <w:rPr>
          <w:rFonts w:hint="default"/>
          <w:highlight w:val="none"/>
          <w:lang w:val="en-US" w:eastAsia="zh-CN"/>
        </w:rPr>
        <w:t>上清液</w:t>
      </w:r>
      <w:r>
        <w:rPr>
          <w:rFonts w:hint="eastAsia"/>
          <w:highlight w:val="none"/>
          <w:lang w:val="en-US" w:eastAsia="zh-CN"/>
        </w:rPr>
        <w:t>先进入消毒池第一个隔断，现有工程出水水池水通过管线进入消毒池第一个隔断，</w:t>
      </w:r>
      <w:r>
        <w:rPr>
          <w:rFonts w:hint="default"/>
          <w:highlight w:val="none"/>
          <w:lang w:val="en-US" w:eastAsia="zh-CN"/>
        </w:rPr>
        <w:t>用提升泵</w:t>
      </w:r>
      <w:r>
        <w:rPr>
          <w:rFonts w:hint="eastAsia"/>
          <w:highlight w:val="none"/>
          <w:lang w:val="en-US" w:eastAsia="zh-CN"/>
        </w:rPr>
        <w:t>将它们</w:t>
      </w:r>
      <w:r>
        <w:rPr>
          <w:rFonts w:hint="default"/>
          <w:highlight w:val="none"/>
          <w:lang w:val="en-US" w:eastAsia="zh-CN"/>
        </w:rPr>
        <w:t>提升至</w:t>
      </w:r>
      <w:r>
        <w:rPr>
          <w:rFonts w:hint="eastAsia"/>
          <w:highlight w:val="none"/>
          <w:lang w:val="en-US" w:eastAsia="zh-CN"/>
        </w:rPr>
        <w:t>砂滤</w:t>
      </w:r>
      <w:r>
        <w:rPr>
          <w:rFonts w:hint="default"/>
          <w:highlight w:val="none"/>
          <w:lang w:val="en-US" w:eastAsia="zh-CN"/>
        </w:rPr>
        <w:t>罐进一步去除杂质。</w:t>
      </w:r>
      <w:r>
        <w:rPr>
          <w:rFonts w:hint="eastAsia"/>
          <w:highlight w:val="none"/>
          <w:lang w:val="en-US" w:eastAsia="zh-CN"/>
        </w:rPr>
        <w:t>本项目采用活性砂滤工艺。砂滤后的出水泵入消毒池进一步处理。</w:t>
      </w:r>
    </w:p>
    <w:p w14:paraId="6913EAFA">
      <w:pPr>
        <w:bidi w:val="0"/>
        <w:rPr>
          <w:rFonts w:hint="default"/>
          <w:highlight w:val="none"/>
          <w:lang w:val="en-US" w:eastAsia="zh-CN"/>
        </w:rPr>
      </w:pPr>
      <w:r>
        <w:rPr>
          <w:rFonts w:hint="default"/>
          <w:b/>
          <w:bCs/>
          <w:highlight w:val="none"/>
        </w:rPr>
        <w:t>本工序污染物主要为设备运行产生的噪声（N</w:t>
      </w:r>
      <w:r>
        <w:rPr>
          <w:rFonts w:hint="default"/>
          <w:b/>
          <w:bCs/>
          <w:highlight w:val="none"/>
          <w:lang w:val="en-US" w:eastAsia="zh-CN"/>
        </w:rPr>
        <w:t>4</w:t>
      </w:r>
      <w:r>
        <w:rPr>
          <w:rFonts w:hint="default"/>
          <w:b/>
          <w:bCs/>
          <w:highlight w:val="none"/>
        </w:rPr>
        <w:t>）。</w:t>
      </w:r>
    </w:p>
    <w:p w14:paraId="6CB89C21">
      <w:pPr>
        <w:numPr>
          <w:ilvl w:val="0"/>
          <w:numId w:val="0"/>
        </w:numPr>
        <w:bidi w:val="0"/>
        <w:ind w:firstLine="480" w:firstLineChars="200"/>
        <w:rPr>
          <w:rFonts w:hint="default" w:ascii="Times New Roman" w:hAnsi="Times New Roman" w:eastAsia="宋体"/>
          <w:highlight w:val="none"/>
          <w:lang w:val="en-US" w:eastAsia="zh-CN"/>
        </w:rPr>
      </w:pPr>
      <w:r>
        <w:rPr>
          <w:rFonts w:hint="default" w:ascii="Times New Roman" w:hAnsi="Times New Roman" w:eastAsia="宋体" w:cs="Times New Roman"/>
          <w:kern w:val="2"/>
          <w:sz w:val="24"/>
          <w:szCs w:val="24"/>
          <w:highlight w:val="none"/>
          <w:lang w:val="en-US" w:eastAsia="zh-CN" w:bidi="ar-SA"/>
        </w:rPr>
        <w:t>（</w:t>
      </w:r>
      <w:r>
        <w:rPr>
          <w:rFonts w:hint="eastAsia" w:ascii="Times New Roman" w:hAnsi="Times New Roman" w:eastAsia="宋体" w:cs="Times New Roman"/>
          <w:kern w:val="2"/>
          <w:sz w:val="24"/>
          <w:szCs w:val="24"/>
          <w:highlight w:val="none"/>
          <w:lang w:val="en-US" w:eastAsia="zh-CN" w:bidi="ar-SA"/>
        </w:rPr>
        <w:t>5</w:t>
      </w:r>
      <w:r>
        <w:rPr>
          <w:rFonts w:hint="default" w:ascii="Times New Roman" w:hAnsi="Times New Roman" w:eastAsia="宋体" w:cs="Times New Roman"/>
          <w:kern w:val="2"/>
          <w:sz w:val="24"/>
          <w:szCs w:val="24"/>
          <w:highlight w:val="none"/>
          <w:lang w:val="en-US" w:eastAsia="zh-CN" w:bidi="ar-SA"/>
        </w:rPr>
        <w:t>）</w:t>
      </w:r>
      <w:r>
        <w:rPr>
          <w:rFonts w:hint="default" w:ascii="Times New Roman" w:hAnsi="Times New Roman" w:eastAsia="宋体"/>
          <w:highlight w:val="none"/>
          <w:lang w:val="en-US" w:eastAsia="zh-CN"/>
        </w:rPr>
        <w:t>消毒</w:t>
      </w:r>
    </w:p>
    <w:p w14:paraId="7894E8AA">
      <w:pPr>
        <w:keepNext w:val="0"/>
        <w:keepLines w:val="0"/>
        <w:widowControl/>
        <w:suppressLineNumbers w:val="0"/>
        <w:jc w:val="left"/>
        <w:rPr>
          <w:rFonts w:hint="default"/>
          <w:highlight w:val="none"/>
          <w:lang w:val="en-US" w:eastAsia="zh-CN"/>
        </w:rPr>
      </w:pPr>
      <w:r>
        <w:rPr>
          <w:rFonts w:hint="default"/>
          <w:highlight w:val="none"/>
          <w:lang w:val="en-US" w:eastAsia="zh-CN"/>
        </w:rPr>
        <w:t>本项目</w:t>
      </w:r>
      <w:r>
        <w:rPr>
          <w:rFonts w:hint="eastAsia"/>
          <w:highlight w:val="none"/>
          <w:lang w:val="en-US" w:eastAsia="zh-CN"/>
        </w:rPr>
        <w:t>砂滤</w:t>
      </w:r>
      <w:r>
        <w:rPr>
          <w:rFonts w:hint="default"/>
          <w:highlight w:val="none"/>
          <w:lang w:val="en-US" w:eastAsia="zh-CN"/>
        </w:rPr>
        <w:t>后的水泵入消毒池，消毒采用成品次氯酸钠消毒</w:t>
      </w:r>
      <w:r>
        <w:rPr>
          <w:rFonts w:hint="eastAsia"/>
          <w:highlight w:val="none"/>
          <w:lang w:eastAsia="zh-CN"/>
        </w:rPr>
        <w:t>，</w:t>
      </w:r>
      <w:r>
        <w:rPr>
          <w:rFonts w:hint="eastAsia"/>
          <w:highlight w:val="none"/>
          <w:lang w:val="en-US" w:eastAsia="zh-CN"/>
        </w:rPr>
        <w:t>在消毒池投加成品次氯酸钠，</w:t>
      </w:r>
      <w:r>
        <w:rPr>
          <w:rFonts w:ascii="宋体" w:hAnsi="宋体" w:eastAsia="宋体" w:cs="宋体"/>
          <w:spacing w:val="-3"/>
          <w:sz w:val="24"/>
          <w:szCs w:val="24"/>
          <w:highlight w:val="none"/>
        </w:rPr>
        <w:t>去除水中的大肠杆菌，出水首先经中水加压泵房加压出水，回用于</w:t>
      </w:r>
      <w:r>
        <w:rPr>
          <w:rFonts w:hint="eastAsia" w:ascii="宋体" w:hAnsi="宋体" w:eastAsia="宋体" w:cs="宋体"/>
          <w:spacing w:val="-3"/>
          <w:sz w:val="24"/>
          <w:szCs w:val="24"/>
          <w:highlight w:val="none"/>
        </w:rPr>
        <w:t>厂区生产用水，剩余污水回用于园区绿化、道路喷洒及园区企业生产用水。</w:t>
      </w:r>
    </w:p>
    <w:p w14:paraId="01A59CD7">
      <w:pPr>
        <w:bidi w:val="0"/>
        <w:rPr>
          <w:rFonts w:hint="default"/>
          <w:highlight w:val="none"/>
          <w:lang w:val="en-US" w:eastAsia="zh-CN"/>
        </w:rPr>
      </w:pPr>
      <w:r>
        <w:rPr>
          <w:rFonts w:hint="default"/>
          <w:highlight w:val="none"/>
          <w:lang w:val="en-US" w:eastAsia="zh-CN"/>
        </w:rPr>
        <w:t>污水处理工艺流程如下：</w:t>
      </w:r>
    </w:p>
    <w:p w14:paraId="57C4089C">
      <w:pPr>
        <w:pStyle w:val="80"/>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b w:val="0"/>
          <w:bCs/>
          <w:color w:val="000000" w:themeColor="text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highlight w:val="none"/>
          <w:lang w:val="en-US" w:eastAsia="zh-CN"/>
          <w14:textFill>
            <w14:solidFill>
              <w14:schemeClr w14:val="tx1"/>
            </w14:solidFill>
          </w14:textFill>
        </w:rPr>
        <w:object>
          <v:shape id="_x0000_i1033" o:spt="75" type="#_x0000_t75" style="height:300.6pt;width:453.6pt;" o:ole="t" filled="f" o:preferrelative="t" stroked="f" coordsize="21600,21600">
            <v:path/>
            <v:fill on="f" focussize="0,0"/>
            <v:stroke on="f"/>
            <v:imagedata r:id="rId53" o:title=""/>
            <o:lock v:ext="edit" aspectratio="f"/>
            <w10:wrap type="none"/>
            <w10:anchorlock/>
          </v:shape>
          <o:OLEObject Type="Embed" ProgID="Visio.Drawing.11" ShapeID="_x0000_i1033" DrawAspect="Content" ObjectID="_1468075735" r:id="rId52">
            <o:LockedField>false</o:LockedField>
          </o:OLEObject>
        </w:object>
      </w:r>
    </w:p>
    <w:p w14:paraId="678ABD51">
      <w:pPr>
        <w:pStyle w:val="80"/>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val="0"/>
          <w:color w:val="000000" w:themeColor="text1"/>
          <w:highlight w:val="none"/>
          <w:lang w:val="en-US" w:eastAsia="zh-CN"/>
          <w14:textFill>
            <w14:solidFill>
              <w14:schemeClr w14:val="tx1"/>
            </w14:solidFill>
          </w14:textFill>
        </w:rPr>
      </w:pPr>
      <w:r>
        <w:rPr>
          <w:rFonts w:hint="default" w:ascii="Times New Roman" w:hAnsi="Times New Roman" w:eastAsia="宋体" w:cs="Times New Roman"/>
          <w:b/>
          <w:bCs w:val="0"/>
          <w:color w:val="000000" w:themeColor="text1"/>
          <w:highlight w:val="none"/>
          <w:lang w:val="en-US" w:eastAsia="zh-CN"/>
          <w14:textFill>
            <w14:solidFill>
              <w14:schemeClr w14:val="tx1"/>
            </w14:solidFill>
          </w14:textFill>
        </w:rPr>
        <w:t>图3.2-4污水处理工艺流程及产排污节点图</w:t>
      </w:r>
    </w:p>
    <w:p w14:paraId="01D9B7F5">
      <w:pPr>
        <w:numPr>
          <w:ilvl w:val="0"/>
          <w:numId w:val="0"/>
        </w:numPr>
        <w:bidi w:val="0"/>
        <w:ind w:firstLine="480" w:firstLineChars="200"/>
        <w:rPr>
          <w:rFonts w:hint="default"/>
          <w:highlight w:val="none"/>
          <w:lang w:val="en-US" w:eastAsia="zh-CN"/>
        </w:rPr>
      </w:pPr>
      <w:r>
        <w:rPr>
          <w:rFonts w:hint="default" w:ascii="Times New Roman" w:hAnsi="Times New Roman" w:eastAsia="宋体" w:cs="Times New Roman"/>
          <w:kern w:val="2"/>
          <w:sz w:val="24"/>
          <w:szCs w:val="24"/>
          <w:highlight w:val="none"/>
          <w:lang w:val="en-US" w:eastAsia="zh-CN" w:bidi="ar-SA"/>
        </w:rPr>
        <w:t>（</w:t>
      </w:r>
      <w:r>
        <w:rPr>
          <w:rFonts w:hint="eastAsia" w:cs="Times New Roman"/>
          <w:kern w:val="2"/>
          <w:sz w:val="24"/>
          <w:szCs w:val="24"/>
          <w:highlight w:val="none"/>
          <w:lang w:val="en-US" w:eastAsia="zh-CN" w:bidi="ar-SA"/>
        </w:rPr>
        <w:t>6</w:t>
      </w:r>
      <w:r>
        <w:rPr>
          <w:rFonts w:hint="default" w:ascii="Times New Roman" w:hAnsi="Times New Roman" w:eastAsia="宋体" w:cs="Times New Roman"/>
          <w:kern w:val="2"/>
          <w:sz w:val="24"/>
          <w:szCs w:val="24"/>
          <w:highlight w:val="none"/>
          <w:lang w:val="en-US" w:eastAsia="zh-CN" w:bidi="ar-SA"/>
        </w:rPr>
        <w:t>）</w:t>
      </w:r>
      <w:r>
        <w:rPr>
          <w:rFonts w:hint="default"/>
          <w:highlight w:val="none"/>
          <w:lang w:val="en-US" w:eastAsia="zh-CN"/>
        </w:rPr>
        <w:t>污泥处理</w:t>
      </w:r>
    </w:p>
    <w:p w14:paraId="15E7B2C4">
      <w:pPr>
        <w:bidi w:val="0"/>
        <w:rPr>
          <w:rFonts w:hint="default"/>
          <w:highlight w:val="none"/>
          <w:lang w:val="en-US" w:eastAsia="zh-CN"/>
        </w:rPr>
      </w:pPr>
      <w:r>
        <w:rPr>
          <w:rFonts w:hint="default"/>
          <w:highlight w:val="none"/>
          <w:lang w:val="en-US" w:eastAsia="zh-CN"/>
        </w:rPr>
        <w:t>本项目污水处理厂处理对象为工业园区生活污水和工业污水，根据企业主要特征污染因子，污水处理厂进</w:t>
      </w:r>
      <w:r>
        <w:rPr>
          <w:rFonts w:hint="eastAsia"/>
          <w:highlight w:val="none"/>
          <w:lang w:val="en-US" w:eastAsia="zh-CN"/>
        </w:rPr>
        <w:t>水水质</w:t>
      </w:r>
      <w:r>
        <w:rPr>
          <w:rFonts w:hint="default"/>
          <w:highlight w:val="none"/>
          <w:lang w:val="en-US" w:eastAsia="zh-CN"/>
        </w:rPr>
        <w:t>与普通城市生活污水处理厂污染因子一致，污水处理厂所排放的污泥不属于危险废物。</w:t>
      </w:r>
    </w:p>
    <w:p w14:paraId="3ED52B6C">
      <w:pPr>
        <w:bidi w:val="0"/>
        <w:rPr>
          <w:rFonts w:hint="default"/>
          <w:highlight w:val="none"/>
          <w:lang w:val="en-US" w:eastAsia="zh-CN"/>
        </w:rPr>
      </w:pPr>
      <w:r>
        <w:rPr>
          <w:rFonts w:hint="default"/>
          <w:highlight w:val="none"/>
          <w:lang w:val="en-US" w:eastAsia="zh-CN"/>
        </w:rPr>
        <w:t>本项目污泥处理采用叠螺污泥脱水机进行脱水，叠螺污泥脱水机的主体是由固定环和游动环相互层叠，螺旋轴贯穿其中形成的过滤装置，可分为浓缩部和脱水部，能实现全自动运行。用泵将污泥打入脱水机，同时向脱水机内加入PAM絮凝剂进行污泥脱水，脱水后含水率可达60%以下，污泥由脱水机出口直接落入下方污泥运输车内</w:t>
      </w:r>
      <w:r>
        <w:rPr>
          <w:rFonts w:hint="eastAsia"/>
          <w:highlight w:val="none"/>
          <w:lang w:eastAsia="zh-CN"/>
        </w:rPr>
        <w:t>，</w:t>
      </w:r>
      <w:r>
        <w:rPr>
          <w:rFonts w:hint="eastAsia"/>
          <w:highlight w:val="none"/>
          <w:lang w:val="en-US" w:eastAsia="zh-CN"/>
        </w:rPr>
        <w:t>在污泥脱水间暂存，定期外运</w:t>
      </w:r>
      <w:r>
        <w:rPr>
          <w:rFonts w:hint="default"/>
          <w:highlight w:val="none"/>
          <w:lang w:val="en-US" w:eastAsia="zh-CN"/>
        </w:rPr>
        <w:t>。污泥设备、车间等需进行冲洗，冲洗废水进入厂区内污水</w:t>
      </w:r>
      <w:r>
        <w:rPr>
          <w:rFonts w:hint="eastAsia"/>
          <w:highlight w:val="none"/>
          <w:lang w:val="en-US" w:eastAsia="zh-CN"/>
        </w:rPr>
        <w:t>处理系统</w:t>
      </w:r>
      <w:r>
        <w:rPr>
          <w:rFonts w:hint="default"/>
          <w:highlight w:val="none"/>
          <w:lang w:val="en-US" w:eastAsia="zh-CN"/>
        </w:rPr>
        <w:t>进行处理；脱水后的污泥委托水泥厂协同处置。</w:t>
      </w:r>
    </w:p>
    <w:p w14:paraId="0012AE62">
      <w:pPr>
        <w:bidi w:val="0"/>
        <w:rPr>
          <w:rFonts w:hint="default"/>
          <w:b/>
          <w:bCs/>
          <w:highlight w:val="none"/>
        </w:rPr>
      </w:pPr>
      <w:r>
        <w:rPr>
          <w:rFonts w:hint="default"/>
          <w:b/>
          <w:bCs/>
          <w:highlight w:val="none"/>
        </w:rPr>
        <w:t>本工序污染物主要为污泥处理过程产生的恶臭(G</w:t>
      </w:r>
      <w:r>
        <w:rPr>
          <w:rFonts w:hint="eastAsia"/>
          <w:b/>
          <w:bCs/>
          <w:highlight w:val="none"/>
          <w:lang w:val="en-US" w:eastAsia="zh-CN"/>
        </w:rPr>
        <w:t>3</w:t>
      </w:r>
      <w:r>
        <w:rPr>
          <w:rFonts w:hint="eastAsia"/>
          <w:b/>
          <w:bCs/>
          <w:highlight w:val="none"/>
          <w:lang w:eastAsia="zh-CN"/>
        </w:rPr>
        <w:t>、</w:t>
      </w:r>
      <w:r>
        <w:rPr>
          <w:rFonts w:hint="eastAsia"/>
          <w:b/>
          <w:bCs/>
          <w:highlight w:val="none"/>
          <w:lang w:val="en-US" w:eastAsia="zh-CN"/>
        </w:rPr>
        <w:t>G4</w:t>
      </w:r>
      <w:r>
        <w:rPr>
          <w:rFonts w:hint="default"/>
          <w:b/>
          <w:bCs/>
          <w:highlight w:val="none"/>
        </w:rPr>
        <w:t>)、噪声（N</w:t>
      </w:r>
      <w:r>
        <w:rPr>
          <w:rFonts w:hint="default"/>
          <w:b/>
          <w:bCs/>
          <w:highlight w:val="none"/>
          <w:lang w:val="en-US" w:eastAsia="zh-CN"/>
        </w:rPr>
        <w:t>5</w:t>
      </w:r>
      <w:r>
        <w:rPr>
          <w:rFonts w:hint="eastAsia"/>
          <w:b/>
          <w:bCs/>
          <w:highlight w:val="none"/>
          <w:lang w:val="en-US" w:eastAsia="zh-CN"/>
        </w:rPr>
        <w:t>、N6</w:t>
      </w:r>
      <w:r>
        <w:rPr>
          <w:rFonts w:hint="default"/>
          <w:b/>
          <w:bCs/>
          <w:highlight w:val="none"/>
        </w:rPr>
        <w:t>）、冲洗废水（W2）</w:t>
      </w:r>
      <w:r>
        <w:rPr>
          <w:rFonts w:hint="eastAsia"/>
          <w:b/>
          <w:bCs/>
          <w:highlight w:val="none"/>
          <w:lang w:eastAsia="zh-CN"/>
        </w:rPr>
        <w:t>、</w:t>
      </w:r>
      <w:r>
        <w:rPr>
          <w:rFonts w:hint="eastAsia"/>
          <w:b/>
          <w:bCs/>
          <w:highlight w:val="none"/>
          <w:lang w:val="en-US" w:eastAsia="zh-CN"/>
        </w:rPr>
        <w:t>污泥（S6）</w:t>
      </w:r>
      <w:r>
        <w:rPr>
          <w:rFonts w:hint="default"/>
          <w:b/>
          <w:bCs/>
          <w:highlight w:val="none"/>
        </w:rPr>
        <w:t>，鼓风机房风机等设备运行产生的噪声（N</w:t>
      </w:r>
      <w:r>
        <w:rPr>
          <w:rFonts w:hint="eastAsia"/>
          <w:b/>
          <w:bCs/>
          <w:highlight w:val="none"/>
          <w:lang w:val="en-US" w:eastAsia="zh-CN"/>
        </w:rPr>
        <w:t>7</w:t>
      </w:r>
      <w:r>
        <w:rPr>
          <w:rFonts w:hint="default"/>
          <w:b/>
          <w:bCs/>
          <w:highlight w:val="none"/>
        </w:rPr>
        <w:t>）。</w:t>
      </w:r>
    </w:p>
    <w:p w14:paraId="31D48DF7">
      <w:pPr>
        <w:bidi w:val="0"/>
        <w:rPr>
          <w:rFonts w:hint="default"/>
          <w:highlight w:val="none"/>
          <w:lang w:val="en-US" w:eastAsia="zh-CN"/>
        </w:rPr>
      </w:pPr>
      <w:r>
        <w:rPr>
          <w:rFonts w:hint="default"/>
          <w:highlight w:val="none"/>
          <w:lang w:val="en-US" w:eastAsia="zh-CN"/>
        </w:rPr>
        <w:t>污泥处理工艺流程如下：</w:t>
      </w:r>
    </w:p>
    <w:p w14:paraId="4F592218">
      <w:pPr>
        <w:pStyle w:val="8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auto"/>
          <w:sz w:val="24"/>
          <w:szCs w:val="24"/>
          <w:highlight w:val="none"/>
        </w:rPr>
        <w:object>
          <v:shape id="_x0000_i1034" o:spt="75" type="#_x0000_t75" style="height:133.5pt;width:364.45pt;" o:ole="t" filled="f" o:preferrelative="t" stroked="f" coordsize="21600,21600">
            <v:path/>
            <v:fill on="f" focussize="0,0"/>
            <v:stroke on="f"/>
            <v:imagedata r:id="rId55" o:title=""/>
            <o:lock v:ext="edit" aspectratio="f"/>
            <w10:wrap type="none"/>
            <w10:anchorlock/>
          </v:shape>
          <o:OLEObject Type="Embed" ProgID="Visio.Drawing.11" ShapeID="_x0000_i1034" DrawAspect="Content" ObjectID="_1468075736" r:id="rId54">
            <o:LockedField>false</o:LockedField>
          </o:OLEObject>
        </w:object>
      </w:r>
    </w:p>
    <w:p w14:paraId="74A72E4D">
      <w:pPr>
        <w:pStyle w:val="80"/>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val="0"/>
          <w:color w:val="000000" w:themeColor="text1"/>
          <w:highlight w:val="none"/>
          <w:lang w:val="en-US" w:eastAsia="zh-CN"/>
          <w14:textFill>
            <w14:solidFill>
              <w14:schemeClr w14:val="tx1"/>
            </w14:solidFill>
          </w14:textFill>
        </w:rPr>
      </w:pPr>
      <w:r>
        <w:rPr>
          <w:rFonts w:hint="default" w:ascii="Times New Roman" w:hAnsi="Times New Roman" w:eastAsia="宋体" w:cs="Times New Roman"/>
          <w:b/>
          <w:bCs w:val="0"/>
          <w:color w:val="000000" w:themeColor="text1"/>
          <w:highlight w:val="none"/>
          <w:lang w:val="en-US" w:eastAsia="zh-CN"/>
          <w14:textFill>
            <w14:solidFill>
              <w14:schemeClr w14:val="tx1"/>
            </w14:solidFill>
          </w14:textFill>
        </w:rPr>
        <w:t>图3.2-5污泥处理工艺流程及产排污节点图</w:t>
      </w:r>
    </w:p>
    <w:p w14:paraId="23156E7B">
      <w:pPr>
        <w:bidi w:val="0"/>
        <w:rPr>
          <w:rFonts w:hint="default"/>
          <w:highlight w:val="none"/>
          <w:lang w:val="en-US" w:eastAsia="zh-CN"/>
        </w:rPr>
      </w:pPr>
      <w:r>
        <w:rPr>
          <w:rFonts w:hint="default"/>
          <w:highlight w:val="none"/>
          <w:lang w:val="en-US" w:eastAsia="zh-CN"/>
        </w:rPr>
        <w:t>（</w:t>
      </w:r>
      <w:r>
        <w:rPr>
          <w:rFonts w:hint="eastAsia"/>
          <w:highlight w:val="none"/>
          <w:lang w:val="en-US" w:eastAsia="zh-CN"/>
        </w:rPr>
        <w:t>7</w:t>
      </w:r>
      <w:r>
        <w:rPr>
          <w:rFonts w:hint="default"/>
          <w:highlight w:val="none"/>
          <w:lang w:val="en-US" w:eastAsia="zh-CN"/>
        </w:rPr>
        <w:t>）除臭工艺</w:t>
      </w:r>
    </w:p>
    <w:p w14:paraId="66FD855B">
      <w:pPr>
        <w:bidi w:val="0"/>
        <w:rPr>
          <w:rFonts w:hint="default"/>
          <w:highlight w:val="none"/>
          <w:lang w:val="en-US" w:eastAsia="zh-CN"/>
        </w:rPr>
      </w:pPr>
      <w:r>
        <w:rPr>
          <w:rFonts w:hint="default"/>
          <w:highlight w:val="none"/>
          <w:lang w:val="en-US" w:eastAsia="zh-CN"/>
        </w:rPr>
        <w:t>本项目产生恶臭的污染源采取措施：</w:t>
      </w:r>
      <w:r>
        <w:rPr>
          <w:rFonts w:hint="eastAsia"/>
          <w:highlight w:val="none"/>
          <w:lang w:val="en-US" w:eastAsia="zh-CN"/>
        </w:rPr>
        <w:t>格栅渠及</w:t>
      </w:r>
      <w:r>
        <w:rPr>
          <w:rFonts w:hint="default"/>
          <w:highlight w:val="none"/>
          <w:lang w:val="en-US" w:eastAsia="zh-CN"/>
        </w:rPr>
        <w:t>调节</w:t>
      </w:r>
      <w:r>
        <w:rPr>
          <w:rFonts w:hint="eastAsia"/>
          <w:highlight w:val="none"/>
          <w:lang w:val="en-US" w:eastAsia="zh-CN"/>
        </w:rPr>
        <w:t>池、</w:t>
      </w:r>
      <w:r>
        <w:rPr>
          <w:rFonts w:hint="default"/>
          <w:highlight w:val="none"/>
        </w:rPr>
        <w:t>污泥池进行加盖处理，</w:t>
      </w:r>
      <w:bookmarkStart w:id="179" w:name="OLE_LINK95"/>
      <w:r>
        <w:rPr>
          <w:rFonts w:hint="eastAsia"/>
          <w:highlight w:val="none"/>
          <w:lang w:val="en-US" w:eastAsia="zh-CN"/>
        </w:rPr>
        <w:t>A</w:t>
      </w:r>
      <w:r>
        <w:rPr>
          <w:rFonts w:hint="eastAsia"/>
          <w:highlight w:val="none"/>
          <w:vertAlign w:val="superscript"/>
          <w:lang w:val="en-US" w:eastAsia="zh-CN"/>
        </w:rPr>
        <w:t>2</w:t>
      </w:r>
      <w:r>
        <w:rPr>
          <w:rFonts w:hint="eastAsia"/>
          <w:highlight w:val="none"/>
          <w:lang w:val="en-US" w:eastAsia="zh-CN"/>
        </w:rPr>
        <w:t>O</w:t>
      </w:r>
      <w:r>
        <w:rPr>
          <w:rFonts w:hint="default"/>
          <w:highlight w:val="none"/>
          <w:lang w:val="en-US" w:eastAsia="zh-CN"/>
        </w:rPr>
        <w:t>一体化处理设备</w:t>
      </w:r>
      <w:bookmarkEnd w:id="179"/>
      <w:r>
        <w:rPr>
          <w:rFonts w:hint="eastAsia"/>
          <w:highlight w:val="none"/>
          <w:lang w:val="en-US" w:eastAsia="zh-CN"/>
        </w:rPr>
        <w:t>、</w:t>
      </w:r>
      <w:r>
        <w:rPr>
          <w:rFonts w:hint="default"/>
          <w:highlight w:val="none"/>
        </w:rPr>
        <w:t>污泥脱水机房密闭，废气经负压收集后通过管道引入</w:t>
      </w:r>
      <w:r>
        <w:rPr>
          <w:rFonts w:hint="default"/>
          <w:highlight w:val="none"/>
          <w:lang w:val="en-US" w:eastAsia="zh-CN"/>
        </w:rPr>
        <w:t>一套等离子光电一体机（风机风量5000</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/h）处理，处理后经15m高排气筒（DA001）排放。</w:t>
      </w:r>
    </w:p>
    <w:p w14:paraId="1D5D8DBD">
      <w:pPr>
        <w:pStyle w:val="134"/>
        <w:adjustRightInd w:val="0"/>
        <w:snapToGrid w:val="0"/>
        <w:spacing w:before="0" w:line="480" w:lineRule="exact"/>
        <w:ind w:firstLine="482"/>
        <w:rPr>
          <w:rFonts w:hint="default" w:ascii="Times New Roman" w:hAnsi="Times New Roman" w:eastAsia="宋体" w:cs="Times New Roman"/>
          <w:b/>
          <w:bCs/>
          <w:spacing w:val="1"/>
          <w:kern w:val="2"/>
          <w:sz w:val="24"/>
          <w:szCs w:val="24"/>
          <w:highlight w:val="none"/>
          <w:lang w:val="en-US" w:eastAsia="zh-CN" w:bidi="ar-SA"/>
        </w:rPr>
      </w:pPr>
      <w:r>
        <w:rPr>
          <w:rFonts w:hint="default" w:ascii="Times New Roman" w:hAnsi="Times New Roman" w:eastAsia="宋体" w:cs="Times New Roman"/>
          <w:b/>
          <w:bCs/>
          <w:spacing w:val="1"/>
          <w:kern w:val="2"/>
          <w:sz w:val="24"/>
          <w:szCs w:val="24"/>
          <w:highlight w:val="none"/>
          <w:lang w:val="en-US" w:eastAsia="zh-CN" w:bidi="ar-SA"/>
        </w:rPr>
        <w:t>本工序污染物主要为风机运行产生的噪声。</w:t>
      </w:r>
    </w:p>
    <w:p w14:paraId="405B1D7B">
      <w:pPr>
        <w:bidi w:val="0"/>
        <w:rPr>
          <w:rFonts w:hint="default"/>
          <w:highlight w:val="none"/>
          <w:lang w:val="en-US" w:eastAsia="zh-CN"/>
        </w:rPr>
      </w:pPr>
      <w:r>
        <w:rPr>
          <w:rFonts w:hint="default"/>
          <w:highlight w:val="none"/>
          <w:lang w:val="en-US" w:eastAsia="zh-CN"/>
        </w:rPr>
        <w:t>（</w:t>
      </w:r>
      <w:r>
        <w:rPr>
          <w:rFonts w:hint="eastAsia"/>
          <w:highlight w:val="none"/>
          <w:lang w:val="en-US" w:eastAsia="zh-CN"/>
        </w:rPr>
        <w:t>8</w:t>
      </w:r>
      <w:r>
        <w:rPr>
          <w:rFonts w:hint="default"/>
          <w:highlight w:val="none"/>
          <w:lang w:val="en-US" w:eastAsia="zh-CN"/>
        </w:rPr>
        <w:t>）</w:t>
      </w:r>
      <w:r>
        <w:rPr>
          <w:rFonts w:hint="eastAsia"/>
          <w:highlight w:val="none"/>
          <w:lang w:val="en-US" w:eastAsia="zh-CN"/>
        </w:rPr>
        <w:t>实验</w:t>
      </w:r>
    </w:p>
    <w:p w14:paraId="00554CCF">
      <w:pPr>
        <w:bidi w:val="0"/>
        <w:rPr>
          <w:rFonts w:hint="default"/>
          <w:highlight w:val="none"/>
          <w:lang w:val="en-US" w:eastAsia="zh-CN"/>
        </w:rPr>
      </w:pPr>
      <w:r>
        <w:rPr>
          <w:rFonts w:hint="default"/>
          <w:highlight w:val="none"/>
          <w:lang w:val="en-US" w:eastAsia="zh-CN"/>
        </w:rPr>
        <w:t>本项目在加药间内设一个</w:t>
      </w:r>
      <w:r>
        <w:rPr>
          <w:rFonts w:hint="eastAsia"/>
          <w:highlight w:val="none"/>
          <w:lang w:val="en-US" w:eastAsia="zh-CN"/>
        </w:rPr>
        <w:t>实验室</w:t>
      </w:r>
      <w:r>
        <w:rPr>
          <w:rFonts w:hint="default"/>
          <w:highlight w:val="none"/>
          <w:lang w:val="en-US" w:eastAsia="zh-CN"/>
        </w:rPr>
        <w:t>，主要负责日常水质</w:t>
      </w:r>
      <w:r>
        <w:rPr>
          <w:rFonts w:hint="eastAsia"/>
          <w:highlight w:val="none"/>
          <w:lang w:val="en-US" w:eastAsia="zh-CN"/>
        </w:rPr>
        <w:t>实</w:t>
      </w:r>
      <w:r>
        <w:rPr>
          <w:rFonts w:hint="default"/>
          <w:highlight w:val="none"/>
          <w:lang w:val="en-US" w:eastAsia="zh-CN"/>
        </w:rPr>
        <w:t>验及检测。监测项目及频率见表</w:t>
      </w:r>
      <w:r>
        <w:rPr>
          <w:rFonts w:hint="eastAsia"/>
          <w:highlight w:val="none"/>
          <w:lang w:val="en-US" w:eastAsia="zh-CN"/>
        </w:rPr>
        <w:t>3.2-9</w:t>
      </w:r>
      <w:r>
        <w:rPr>
          <w:rFonts w:hint="default"/>
          <w:highlight w:val="none"/>
          <w:lang w:val="en-US" w:eastAsia="zh-CN"/>
        </w:rPr>
        <w:t>。</w:t>
      </w:r>
    </w:p>
    <w:p w14:paraId="1FB8C6DA">
      <w:pPr>
        <w:widowControl/>
        <w:numPr>
          <w:ilvl w:val="0"/>
          <w:numId w:val="24"/>
        </w:numPr>
        <w:ind w:left="425" w:leftChars="0" w:hanging="425" w:firstLineChars="0"/>
        <w:jc w:val="center"/>
        <w:rPr>
          <w:rFonts w:hint="default" w:ascii="Times New Roman" w:hAnsi="Times New Roman" w:eastAsia="宋体" w:cs="Times New Roman"/>
          <w:b/>
          <w:color w:val="auto"/>
          <w:highlight w:val="none"/>
          <w:lang w:val="zh-CN"/>
        </w:rPr>
      </w:pPr>
      <w:r>
        <w:rPr>
          <w:rFonts w:hint="eastAsia" w:ascii="Times New Roman" w:hAnsi="Times New Roman" w:eastAsia="宋体" w:cs="Times New Roman"/>
          <w:b/>
          <w:color w:val="auto"/>
          <w:highlight w:val="none"/>
          <w:lang w:val="zh-CN"/>
        </w:rPr>
        <w:t>实验室</w:t>
      </w:r>
      <w:r>
        <w:rPr>
          <w:rFonts w:hint="default" w:ascii="Times New Roman" w:hAnsi="Times New Roman" w:eastAsia="宋体" w:cs="Times New Roman"/>
          <w:b/>
          <w:color w:val="auto"/>
          <w:highlight w:val="none"/>
          <w:lang w:val="zh-CN"/>
        </w:rPr>
        <w:t>监测项目及频率一览表</w:t>
      </w:r>
    </w:p>
    <w:tbl>
      <w:tblPr>
        <w:tblStyle w:val="47"/>
        <w:tblW w:w="4998"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321"/>
        <w:gridCol w:w="2321"/>
        <w:gridCol w:w="2321"/>
        <w:gridCol w:w="2321"/>
      </w:tblGrid>
      <w:tr w14:paraId="7FD6724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50" w:type="pct"/>
            <w:noWrap w:val="0"/>
            <w:vAlign w:val="center"/>
          </w:tcPr>
          <w:p w14:paraId="35A0959C">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监测项目</w:t>
            </w:r>
          </w:p>
        </w:tc>
        <w:tc>
          <w:tcPr>
            <w:tcW w:w="1250" w:type="pct"/>
            <w:noWrap w:val="0"/>
            <w:vAlign w:val="center"/>
          </w:tcPr>
          <w:p w14:paraId="7941C252">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测点布置</w:t>
            </w:r>
          </w:p>
        </w:tc>
        <w:tc>
          <w:tcPr>
            <w:tcW w:w="1250" w:type="pct"/>
            <w:noWrap w:val="0"/>
            <w:vAlign w:val="center"/>
          </w:tcPr>
          <w:p w14:paraId="35C40932">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监测频率</w:t>
            </w:r>
          </w:p>
        </w:tc>
        <w:tc>
          <w:tcPr>
            <w:tcW w:w="1250" w:type="pct"/>
            <w:noWrap w:val="0"/>
            <w:vAlign w:val="center"/>
          </w:tcPr>
          <w:p w14:paraId="596EFF38">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监测方法</w:t>
            </w:r>
          </w:p>
        </w:tc>
      </w:tr>
      <w:tr w14:paraId="335ACFB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50" w:type="pct"/>
            <w:noWrap w:val="0"/>
            <w:vAlign w:val="center"/>
          </w:tcPr>
          <w:p w14:paraId="61795FED">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流量</w:t>
            </w:r>
          </w:p>
        </w:tc>
        <w:tc>
          <w:tcPr>
            <w:tcW w:w="1250" w:type="pct"/>
            <w:noWrap w:val="0"/>
            <w:vAlign w:val="center"/>
          </w:tcPr>
          <w:p w14:paraId="05A12866">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进水电磁流量计井</w:t>
            </w:r>
          </w:p>
          <w:p w14:paraId="2DF88708">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出水明渠流量计</w:t>
            </w:r>
          </w:p>
        </w:tc>
        <w:tc>
          <w:tcPr>
            <w:tcW w:w="1250" w:type="pct"/>
            <w:noWrap w:val="0"/>
            <w:vAlign w:val="center"/>
          </w:tcPr>
          <w:p w14:paraId="2ABB0B5B">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即时</w:t>
            </w:r>
          </w:p>
        </w:tc>
        <w:tc>
          <w:tcPr>
            <w:tcW w:w="1250" w:type="pct"/>
            <w:noWrap w:val="0"/>
            <w:vAlign w:val="center"/>
          </w:tcPr>
          <w:p w14:paraId="7D59177B">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在线监控</w:t>
            </w:r>
          </w:p>
        </w:tc>
      </w:tr>
      <w:tr w14:paraId="162C78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50" w:type="pct"/>
            <w:noWrap w:val="0"/>
            <w:vAlign w:val="center"/>
          </w:tcPr>
          <w:p w14:paraId="2959AF13">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pH值</w:t>
            </w:r>
          </w:p>
        </w:tc>
        <w:tc>
          <w:tcPr>
            <w:tcW w:w="1250" w:type="pct"/>
            <w:noWrap w:val="0"/>
            <w:vAlign w:val="center"/>
          </w:tcPr>
          <w:p w14:paraId="625D4190">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细格栅后水渠</w:t>
            </w:r>
          </w:p>
          <w:p w14:paraId="2861933D">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lang w:val="en-US" w:eastAsia="zh-CN"/>
              </w:rPr>
              <w:t>次氯酸钠</w:t>
            </w:r>
            <w:r>
              <w:rPr>
                <w:rFonts w:hint="default" w:ascii="Times New Roman" w:hAnsi="Times New Roman" w:cs="Times New Roman" w:eastAsiaTheme="minorEastAsia"/>
                <w:sz w:val="21"/>
                <w:szCs w:val="21"/>
                <w:highlight w:val="none"/>
              </w:rPr>
              <w:t>消毒后</w:t>
            </w:r>
          </w:p>
        </w:tc>
        <w:tc>
          <w:tcPr>
            <w:tcW w:w="1250" w:type="pct"/>
            <w:noWrap w:val="0"/>
            <w:vAlign w:val="center"/>
          </w:tcPr>
          <w:p w14:paraId="6AEC0D01">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即时</w:t>
            </w:r>
          </w:p>
        </w:tc>
        <w:tc>
          <w:tcPr>
            <w:tcW w:w="1250" w:type="pct"/>
            <w:noWrap w:val="0"/>
            <w:vAlign w:val="center"/>
          </w:tcPr>
          <w:p w14:paraId="4655DB1E">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在线监控</w:t>
            </w:r>
          </w:p>
        </w:tc>
      </w:tr>
      <w:tr w14:paraId="1612185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50" w:type="pct"/>
            <w:noWrap w:val="0"/>
            <w:vAlign w:val="center"/>
          </w:tcPr>
          <w:p w14:paraId="248B64D8">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COD</w:t>
            </w:r>
          </w:p>
        </w:tc>
        <w:tc>
          <w:tcPr>
            <w:tcW w:w="1250" w:type="pct"/>
            <w:noWrap w:val="0"/>
            <w:vAlign w:val="center"/>
          </w:tcPr>
          <w:p w14:paraId="2DB6EB43">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细格栅后水渠</w:t>
            </w:r>
          </w:p>
          <w:p w14:paraId="1F58D893">
            <w:pPr>
              <w:pStyle w:val="58"/>
              <w:bidi w:val="0"/>
              <w:rPr>
                <w:rFonts w:hint="default" w:ascii="Times New Roman" w:hAnsi="Times New Roman" w:cs="Times New Roman" w:eastAsiaTheme="minorEastAsia"/>
                <w:sz w:val="21"/>
                <w:szCs w:val="21"/>
                <w:highlight w:val="none"/>
              </w:rPr>
            </w:pPr>
            <w:bookmarkStart w:id="180" w:name="OLE_LINK32"/>
            <w:r>
              <w:rPr>
                <w:rFonts w:hint="default" w:ascii="Times New Roman" w:hAnsi="Times New Roman" w:cs="Times New Roman" w:eastAsiaTheme="minorEastAsia"/>
                <w:sz w:val="21"/>
                <w:szCs w:val="21"/>
                <w:highlight w:val="none"/>
                <w:lang w:val="en-US" w:eastAsia="zh-CN"/>
              </w:rPr>
              <w:t>次氯酸钠</w:t>
            </w:r>
            <w:r>
              <w:rPr>
                <w:rFonts w:hint="default" w:ascii="Times New Roman" w:hAnsi="Times New Roman" w:cs="Times New Roman" w:eastAsiaTheme="minorEastAsia"/>
                <w:sz w:val="21"/>
                <w:szCs w:val="21"/>
                <w:highlight w:val="none"/>
              </w:rPr>
              <w:t>消毒后</w:t>
            </w:r>
            <w:bookmarkEnd w:id="180"/>
          </w:p>
        </w:tc>
        <w:tc>
          <w:tcPr>
            <w:tcW w:w="1250" w:type="pct"/>
            <w:noWrap w:val="0"/>
            <w:vAlign w:val="center"/>
          </w:tcPr>
          <w:p w14:paraId="2323AA4A">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即时</w:t>
            </w:r>
          </w:p>
        </w:tc>
        <w:tc>
          <w:tcPr>
            <w:tcW w:w="1250" w:type="pct"/>
            <w:noWrap w:val="0"/>
            <w:vAlign w:val="center"/>
          </w:tcPr>
          <w:p w14:paraId="692DF823">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在线监控</w:t>
            </w:r>
          </w:p>
        </w:tc>
      </w:tr>
      <w:tr w14:paraId="05EE46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50" w:type="pct"/>
            <w:noWrap w:val="0"/>
            <w:vAlign w:val="center"/>
          </w:tcPr>
          <w:p w14:paraId="33780E35">
            <w:pPr>
              <w:pStyle w:val="58"/>
              <w:bidi w:val="0"/>
              <w:rPr>
                <w:rFonts w:hint="default" w:ascii="Times New Roman" w:hAnsi="Times New Roman" w:cs="Times New Roman" w:eastAsiaTheme="minorEastAsia"/>
                <w:sz w:val="21"/>
                <w:szCs w:val="21"/>
                <w:highlight w:val="none"/>
                <w:lang w:eastAsia="zh-CN"/>
              </w:rPr>
            </w:pPr>
            <w:r>
              <w:rPr>
                <w:rFonts w:hint="default" w:ascii="Times New Roman" w:hAnsi="Times New Roman" w:cs="Times New Roman" w:eastAsiaTheme="minorEastAsia"/>
                <w:sz w:val="21"/>
                <w:szCs w:val="21"/>
                <w:highlight w:val="none"/>
                <w:lang w:eastAsia="zh-CN"/>
              </w:rPr>
              <w:t>BOD</w:t>
            </w:r>
            <w:r>
              <w:rPr>
                <w:rFonts w:hint="default" w:ascii="Times New Roman" w:hAnsi="Times New Roman" w:cs="Times New Roman" w:eastAsiaTheme="minorEastAsia"/>
                <w:sz w:val="21"/>
                <w:szCs w:val="21"/>
                <w:highlight w:val="none"/>
                <w:vertAlign w:val="subscript"/>
                <w:lang w:eastAsia="zh-CN"/>
              </w:rPr>
              <w:t>5</w:t>
            </w:r>
          </w:p>
        </w:tc>
        <w:tc>
          <w:tcPr>
            <w:tcW w:w="1250" w:type="pct"/>
            <w:noWrap w:val="0"/>
            <w:vAlign w:val="center"/>
          </w:tcPr>
          <w:p w14:paraId="1A38EB53">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细格栅后水渠</w:t>
            </w:r>
          </w:p>
          <w:p w14:paraId="34652670">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lang w:val="en-US" w:eastAsia="zh-CN"/>
              </w:rPr>
              <w:t>次氯酸钠</w:t>
            </w:r>
            <w:r>
              <w:rPr>
                <w:rFonts w:hint="default" w:ascii="Times New Roman" w:hAnsi="Times New Roman" w:cs="Times New Roman" w:eastAsiaTheme="minorEastAsia"/>
                <w:sz w:val="21"/>
                <w:szCs w:val="21"/>
                <w:highlight w:val="none"/>
              </w:rPr>
              <w:t>消毒后</w:t>
            </w:r>
          </w:p>
        </w:tc>
        <w:tc>
          <w:tcPr>
            <w:tcW w:w="1250" w:type="pct"/>
            <w:noWrap w:val="0"/>
            <w:vAlign w:val="center"/>
          </w:tcPr>
          <w:p w14:paraId="39770C4C">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≥1次/天</w:t>
            </w:r>
          </w:p>
        </w:tc>
        <w:tc>
          <w:tcPr>
            <w:tcW w:w="1250" w:type="pct"/>
            <w:noWrap w:val="0"/>
            <w:vAlign w:val="center"/>
          </w:tcPr>
          <w:p w14:paraId="12BF3741">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现场取样</w:t>
            </w:r>
          </w:p>
        </w:tc>
      </w:tr>
      <w:tr w14:paraId="427A5F5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50" w:type="pct"/>
            <w:noWrap w:val="0"/>
            <w:vAlign w:val="center"/>
          </w:tcPr>
          <w:p w14:paraId="0A3CD8D5">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DO</w:t>
            </w:r>
          </w:p>
        </w:tc>
        <w:tc>
          <w:tcPr>
            <w:tcW w:w="1250" w:type="pct"/>
            <w:noWrap w:val="0"/>
            <w:vAlign w:val="center"/>
          </w:tcPr>
          <w:p w14:paraId="4ED54BDA">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好氧池</w:t>
            </w:r>
          </w:p>
        </w:tc>
        <w:tc>
          <w:tcPr>
            <w:tcW w:w="1250" w:type="pct"/>
            <w:noWrap w:val="0"/>
            <w:vAlign w:val="center"/>
          </w:tcPr>
          <w:p w14:paraId="1F962DB3">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即时</w:t>
            </w:r>
          </w:p>
        </w:tc>
        <w:tc>
          <w:tcPr>
            <w:tcW w:w="1250" w:type="pct"/>
            <w:noWrap w:val="0"/>
            <w:vAlign w:val="center"/>
          </w:tcPr>
          <w:p w14:paraId="15F75B58">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在线监控</w:t>
            </w:r>
          </w:p>
        </w:tc>
      </w:tr>
      <w:tr w14:paraId="56F79A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50" w:type="pct"/>
            <w:noWrap w:val="0"/>
            <w:vAlign w:val="center"/>
          </w:tcPr>
          <w:p w14:paraId="77F65218">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SS</w:t>
            </w:r>
          </w:p>
        </w:tc>
        <w:tc>
          <w:tcPr>
            <w:tcW w:w="1250" w:type="pct"/>
            <w:noWrap w:val="0"/>
            <w:vAlign w:val="center"/>
          </w:tcPr>
          <w:p w14:paraId="7D4CC2A8">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细格栅后水渠</w:t>
            </w:r>
          </w:p>
          <w:p w14:paraId="2573E5C2">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lang w:val="en-US" w:eastAsia="zh-CN"/>
              </w:rPr>
              <w:t>次氯酸钠</w:t>
            </w:r>
            <w:r>
              <w:rPr>
                <w:rFonts w:hint="default" w:ascii="Times New Roman" w:hAnsi="Times New Roman" w:cs="Times New Roman" w:eastAsiaTheme="minorEastAsia"/>
                <w:sz w:val="21"/>
                <w:szCs w:val="21"/>
                <w:highlight w:val="none"/>
              </w:rPr>
              <w:t>消毒后</w:t>
            </w:r>
          </w:p>
        </w:tc>
        <w:tc>
          <w:tcPr>
            <w:tcW w:w="1250" w:type="pct"/>
            <w:noWrap w:val="0"/>
            <w:vAlign w:val="center"/>
          </w:tcPr>
          <w:p w14:paraId="3BBA56AF">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即时</w:t>
            </w:r>
          </w:p>
        </w:tc>
        <w:tc>
          <w:tcPr>
            <w:tcW w:w="1250" w:type="pct"/>
            <w:noWrap w:val="0"/>
            <w:vAlign w:val="center"/>
          </w:tcPr>
          <w:p w14:paraId="1BDA88A2">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现场取样</w:t>
            </w:r>
          </w:p>
        </w:tc>
      </w:tr>
      <w:tr w14:paraId="55D6903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50" w:type="pct"/>
            <w:noWrap w:val="0"/>
            <w:vAlign w:val="center"/>
          </w:tcPr>
          <w:p w14:paraId="059C140D">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lang w:eastAsia="zh-CN"/>
              </w:rPr>
              <w:t>NH</w:t>
            </w:r>
            <w:r>
              <w:rPr>
                <w:rFonts w:hint="default" w:ascii="Times New Roman" w:hAnsi="Times New Roman" w:cs="Times New Roman" w:eastAsiaTheme="minorEastAsia"/>
                <w:sz w:val="21"/>
                <w:szCs w:val="21"/>
                <w:highlight w:val="none"/>
                <w:vertAlign w:val="subscript"/>
                <w:lang w:eastAsia="zh-CN"/>
              </w:rPr>
              <w:t>3</w:t>
            </w:r>
            <w:r>
              <w:rPr>
                <w:rFonts w:hint="default" w:ascii="Times New Roman" w:hAnsi="Times New Roman" w:cs="Times New Roman" w:eastAsiaTheme="minorEastAsia"/>
                <w:sz w:val="21"/>
                <w:szCs w:val="21"/>
                <w:highlight w:val="none"/>
              </w:rPr>
              <w:t>-N</w:t>
            </w:r>
          </w:p>
        </w:tc>
        <w:tc>
          <w:tcPr>
            <w:tcW w:w="1250" w:type="pct"/>
            <w:noWrap w:val="0"/>
            <w:vAlign w:val="center"/>
          </w:tcPr>
          <w:p w14:paraId="3287BAC1">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细格栅后水渠</w:t>
            </w:r>
          </w:p>
          <w:p w14:paraId="0D5A054F">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lang w:val="en-US" w:eastAsia="zh-CN"/>
              </w:rPr>
              <w:t>次氯酸钠</w:t>
            </w:r>
            <w:r>
              <w:rPr>
                <w:rFonts w:hint="default" w:ascii="Times New Roman" w:hAnsi="Times New Roman" w:cs="Times New Roman" w:eastAsiaTheme="minorEastAsia"/>
                <w:sz w:val="21"/>
                <w:szCs w:val="21"/>
                <w:highlight w:val="none"/>
              </w:rPr>
              <w:t>消毒后</w:t>
            </w:r>
          </w:p>
        </w:tc>
        <w:tc>
          <w:tcPr>
            <w:tcW w:w="1250" w:type="pct"/>
            <w:noWrap w:val="0"/>
            <w:vAlign w:val="center"/>
          </w:tcPr>
          <w:p w14:paraId="487B057E">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即时</w:t>
            </w:r>
          </w:p>
        </w:tc>
        <w:tc>
          <w:tcPr>
            <w:tcW w:w="1250" w:type="pct"/>
            <w:noWrap w:val="0"/>
            <w:vAlign w:val="center"/>
          </w:tcPr>
          <w:p w14:paraId="3F83904B">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在线监控</w:t>
            </w:r>
          </w:p>
        </w:tc>
      </w:tr>
      <w:tr w14:paraId="482277E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50" w:type="pct"/>
            <w:noWrap w:val="0"/>
            <w:vAlign w:val="center"/>
          </w:tcPr>
          <w:p w14:paraId="28369E6E">
            <w:pPr>
              <w:pStyle w:val="58"/>
              <w:bidi w:val="0"/>
              <w:rPr>
                <w:rFonts w:hint="default" w:ascii="Times New Roman" w:hAnsi="Times New Roman" w:cs="Times New Roman" w:eastAsiaTheme="minorEastAsia"/>
                <w:sz w:val="21"/>
                <w:szCs w:val="21"/>
                <w:highlight w:val="none"/>
              </w:rPr>
            </w:pPr>
            <w:r>
              <w:rPr>
                <w:rFonts w:hint="eastAsia" w:cs="Times New Roman" w:eastAsiaTheme="minorEastAsia"/>
                <w:sz w:val="21"/>
                <w:szCs w:val="21"/>
                <w:highlight w:val="none"/>
                <w:lang w:val="en-US" w:eastAsia="zh-CN"/>
              </w:rPr>
              <w:t>粪</w:t>
            </w:r>
            <w:r>
              <w:rPr>
                <w:rFonts w:hint="default" w:ascii="Times New Roman" w:hAnsi="Times New Roman" w:cs="Times New Roman" w:eastAsiaTheme="minorEastAsia"/>
                <w:sz w:val="21"/>
                <w:szCs w:val="21"/>
                <w:highlight w:val="none"/>
              </w:rPr>
              <w:t>大肠菌群</w:t>
            </w:r>
          </w:p>
        </w:tc>
        <w:tc>
          <w:tcPr>
            <w:tcW w:w="1250" w:type="pct"/>
            <w:noWrap w:val="0"/>
            <w:vAlign w:val="center"/>
          </w:tcPr>
          <w:p w14:paraId="425278C7">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细格栅后水渠</w:t>
            </w:r>
          </w:p>
          <w:p w14:paraId="55F0F072">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lang w:val="en-US" w:eastAsia="zh-CN"/>
              </w:rPr>
              <w:t>次氯酸钠</w:t>
            </w:r>
            <w:r>
              <w:rPr>
                <w:rFonts w:hint="default" w:ascii="Times New Roman" w:hAnsi="Times New Roman" w:cs="Times New Roman" w:eastAsiaTheme="minorEastAsia"/>
                <w:sz w:val="21"/>
                <w:szCs w:val="21"/>
                <w:highlight w:val="none"/>
              </w:rPr>
              <w:t>消毒后</w:t>
            </w:r>
          </w:p>
        </w:tc>
        <w:tc>
          <w:tcPr>
            <w:tcW w:w="1250" w:type="pct"/>
            <w:noWrap w:val="0"/>
            <w:vAlign w:val="center"/>
          </w:tcPr>
          <w:p w14:paraId="6A3C0E67">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≥1次/天</w:t>
            </w:r>
          </w:p>
        </w:tc>
        <w:tc>
          <w:tcPr>
            <w:tcW w:w="1250" w:type="pct"/>
            <w:noWrap w:val="0"/>
            <w:vAlign w:val="center"/>
          </w:tcPr>
          <w:p w14:paraId="24729CDB">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现场取样</w:t>
            </w:r>
          </w:p>
        </w:tc>
      </w:tr>
      <w:tr w14:paraId="0A6290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50" w:type="pct"/>
            <w:noWrap w:val="0"/>
            <w:vAlign w:val="center"/>
          </w:tcPr>
          <w:p w14:paraId="57FE2AF6">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镜检微生物</w:t>
            </w:r>
          </w:p>
        </w:tc>
        <w:tc>
          <w:tcPr>
            <w:tcW w:w="1250" w:type="pct"/>
            <w:noWrap w:val="0"/>
            <w:vAlign w:val="center"/>
          </w:tcPr>
          <w:p w14:paraId="4B462150">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生化池</w:t>
            </w:r>
          </w:p>
        </w:tc>
        <w:tc>
          <w:tcPr>
            <w:tcW w:w="1250" w:type="pct"/>
            <w:noWrap w:val="0"/>
            <w:vAlign w:val="center"/>
          </w:tcPr>
          <w:p w14:paraId="133C1BDB">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≥1次/天</w:t>
            </w:r>
          </w:p>
        </w:tc>
        <w:tc>
          <w:tcPr>
            <w:tcW w:w="1250" w:type="pct"/>
            <w:noWrap w:val="0"/>
            <w:vAlign w:val="center"/>
          </w:tcPr>
          <w:p w14:paraId="5F533665">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现场取样</w:t>
            </w:r>
          </w:p>
        </w:tc>
      </w:tr>
    </w:tbl>
    <w:p w14:paraId="6C4D5659">
      <w:pPr>
        <w:bidi w:val="0"/>
        <w:rPr>
          <w:rFonts w:hint="default"/>
          <w:highlight w:val="none"/>
          <w:lang w:val="en-US" w:eastAsia="zh-CN"/>
        </w:rPr>
      </w:pPr>
      <w:r>
        <w:rPr>
          <w:rFonts w:hint="default"/>
          <w:b/>
          <w:bCs/>
          <w:highlight w:val="none"/>
        </w:rPr>
        <w:t>本工序污染物主要为</w:t>
      </w:r>
      <w:r>
        <w:rPr>
          <w:rFonts w:hint="eastAsia"/>
          <w:b/>
          <w:bCs/>
          <w:highlight w:val="none"/>
          <w:lang w:eastAsia="zh-CN"/>
        </w:rPr>
        <w:t>实验</w:t>
      </w:r>
      <w:r>
        <w:rPr>
          <w:rFonts w:hint="default"/>
          <w:b/>
          <w:bCs/>
          <w:highlight w:val="none"/>
        </w:rPr>
        <w:t>废水（W4）、</w:t>
      </w:r>
      <w:r>
        <w:rPr>
          <w:rFonts w:hint="default"/>
          <w:b/>
          <w:bCs/>
          <w:highlight w:val="none"/>
          <w:lang w:val="en-US" w:eastAsia="zh-CN"/>
        </w:rPr>
        <w:t>实验废液(</w:t>
      </w:r>
      <w:r>
        <w:rPr>
          <w:rFonts w:hint="eastAsia"/>
          <w:b/>
          <w:bCs/>
          <w:highlight w:val="none"/>
          <w:lang w:val="en-US" w:eastAsia="zh-CN"/>
        </w:rPr>
        <w:t>S7</w:t>
      </w:r>
      <w:r>
        <w:rPr>
          <w:rFonts w:hint="default"/>
          <w:b/>
          <w:bCs/>
          <w:highlight w:val="none"/>
          <w:lang w:val="en-US" w:eastAsia="zh-CN"/>
        </w:rPr>
        <w:t>)和废瓶（S</w:t>
      </w:r>
      <w:r>
        <w:rPr>
          <w:rFonts w:hint="eastAsia"/>
          <w:b/>
          <w:bCs/>
          <w:highlight w:val="none"/>
          <w:lang w:val="en-US" w:eastAsia="zh-CN"/>
        </w:rPr>
        <w:t>8</w:t>
      </w:r>
      <w:r>
        <w:rPr>
          <w:rFonts w:hint="default"/>
          <w:b/>
          <w:bCs/>
          <w:highlight w:val="none"/>
          <w:lang w:val="en-US" w:eastAsia="zh-CN"/>
        </w:rPr>
        <w:t>）</w:t>
      </w:r>
      <w:r>
        <w:rPr>
          <w:rFonts w:hint="default"/>
          <w:highlight w:val="none"/>
        </w:rPr>
        <w:t>。</w:t>
      </w:r>
    </w:p>
    <w:p w14:paraId="6FC23D1A">
      <w:pPr>
        <w:widowControl/>
        <w:numPr>
          <w:ilvl w:val="0"/>
          <w:numId w:val="24"/>
        </w:numPr>
        <w:ind w:left="425" w:leftChars="0" w:hanging="425" w:firstLineChars="0"/>
        <w:jc w:val="center"/>
        <w:rPr>
          <w:rFonts w:hint="default" w:ascii="Times New Roman" w:hAnsi="Times New Roman" w:eastAsia="宋体" w:cs="Times New Roman"/>
          <w:b/>
          <w:color w:val="auto"/>
          <w:highlight w:val="none"/>
          <w:lang w:val="zh-CN" w:eastAsia="zh-CN"/>
        </w:rPr>
      </w:pPr>
      <w:r>
        <w:rPr>
          <w:rFonts w:hint="default" w:ascii="Times New Roman" w:hAnsi="Times New Roman" w:eastAsia="宋体" w:cs="Times New Roman"/>
          <w:b/>
          <w:color w:val="auto"/>
          <w:highlight w:val="none"/>
          <w:lang w:val="en-US" w:eastAsia="zh-CN"/>
        </w:rPr>
        <w:t>本项目</w:t>
      </w:r>
      <w:r>
        <w:rPr>
          <w:rFonts w:hint="default" w:ascii="Times New Roman" w:hAnsi="Times New Roman" w:eastAsia="宋体" w:cs="Times New Roman"/>
          <w:b/>
          <w:color w:val="auto"/>
          <w:highlight w:val="none"/>
          <w:lang w:val="zh-CN" w:eastAsia="zh-CN"/>
        </w:rPr>
        <w:t>排污节点</w:t>
      </w:r>
      <w:r>
        <w:rPr>
          <w:rFonts w:hint="default" w:ascii="Times New Roman" w:hAnsi="Times New Roman" w:eastAsia="宋体" w:cs="Times New Roman"/>
          <w:b/>
          <w:color w:val="auto"/>
          <w:highlight w:val="none"/>
          <w:lang w:val="en-US" w:eastAsia="zh-CN"/>
        </w:rPr>
        <w:t>及治理措施</w:t>
      </w:r>
      <w:r>
        <w:rPr>
          <w:rFonts w:hint="default" w:ascii="Times New Roman" w:hAnsi="Times New Roman" w:eastAsia="宋体" w:cs="Times New Roman"/>
          <w:b/>
          <w:color w:val="auto"/>
          <w:highlight w:val="none"/>
          <w:lang w:val="zh-CN" w:eastAsia="zh-CN"/>
        </w:rPr>
        <w:t>一览表</w:t>
      </w:r>
    </w:p>
    <w:tbl>
      <w:tblPr>
        <w:tblStyle w:val="47"/>
        <w:tblW w:w="498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826"/>
        <w:gridCol w:w="1528"/>
        <w:gridCol w:w="1541"/>
        <w:gridCol w:w="5373"/>
      </w:tblGrid>
      <w:tr w14:paraId="11B1A56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1" w:hRule="atLeast"/>
          <w:jc w:val="center"/>
        </w:trPr>
        <w:tc>
          <w:tcPr>
            <w:tcW w:w="446" w:type="pct"/>
            <w:tcBorders>
              <w:tl2br w:val="nil"/>
              <w:tr2bl w:val="nil"/>
            </w:tcBorders>
            <w:noWrap w:val="0"/>
            <w:vAlign w:val="center"/>
          </w:tcPr>
          <w:p w14:paraId="5525324C">
            <w:pPr>
              <w:pStyle w:val="58"/>
              <w:bidi w:val="0"/>
              <w:rPr>
                <w:rFonts w:hint="default"/>
                <w:highlight w:val="none"/>
              </w:rPr>
            </w:pPr>
            <w:r>
              <w:rPr>
                <w:rFonts w:hint="default"/>
                <w:highlight w:val="none"/>
              </w:rPr>
              <w:t>污染因素</w:t>
            </w:r>
          </w:p>
        </w:tc>
        <w:tc>
          <w:tcPr>
            <w:tcW w:w="824" w:type="pct"/>
            <w:tcBorders>
              <w:tl2br w:val="nil"/>
              <w:tr2bl w:val="nil"/>
            </w:tcBorders>
            <w:noWrap w:val="0"/>
            <w:vAlign w:val="center"/>
          </w:tcPr>
          <w:p w14:paraId="0B4BBC9B">
            <w:pPr>
              <w:pStyle w:val="58"/>
              <w:bidi w:val="0"/>
              <w:rPr>
                <w:rFonts w:hint="default"/>
                <w:highlight w:val="none"/>
              </w:rPr>
            </w:pPr>
            <w:r>
              <w:rPr>
                <w:rFonts w:hint="default"/>
                <w:highlight w:val="none"/>
              </w:rPr>
              <w:t>污染工序</w:t>
            </w:r>
          </w:p>
        </w:tc>
        <w:tc>
          <w:tcPr>
            <w:tcW w:w="831" w:type="pct"/>
            <w:tcBorders>
              <w:tl2br w:val="nil"/>
              <w:tr2bl w:val="nil"/>
            </w:tcBorders>
            <w:noWrap w:val="0"/>
            <w:vAlign w:val="center"/>
          </w:tcPr>
          <w:p w14:paraId="7219C9B8">
            <w:pPr>
              <w:pStyle w:val="58"/>
              <w:bidi w:val="0"/>
              <w:rPr>
                <w:rFonts w:hint="default"/>
                <w:highlight w:val="none"/>
              </w:rPr>
            </w:pPr>
            <w:r>
              <w:rPr>
                <w:rFonts w:hint="default"/>
                <w:highlight w:val="none"/>
              </w:rPr>
              <w:t>污染物</w:t>
            </w:r>
          </w:p>
        </w:tc>
        <w:tc>
          <w:tcPr>
            <w:tcW w:w="2898" w:type="pct"/>
            <w:tcBorders>
              <w:tl2br w:val="nil"/>
              <w:tr2bl w:val="nil"/>
            </w:tcBorders>
            <w:noWrap w:val="0"/>
            <w:vAlign w:val="center"/>
          </w:tcPr>
          <w:p w14:paraId="48CAC169">
            <w:pPr>
              <w:pStyle w:val="58"/>
              <w:bidi w:val="0"/>
              <w:rPr>
                <w:rFonts w:hint="default"/>
                <w:highlight w:val="none"/>
              </w:rPr>
            </w:pPr>
            <w:r>
              <w:rPr>
                <w:rFonts w:hint="default"/>
                <w:highlight w:val="none"/>
              </w:rPr>
              <w:t>处理措施</w:t>
            </w:r>
          </w:p>
        </w:tc>
      </w:tr>
      <w:tr w14:paraId="1A9B8E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446" w:type="pct"/>
            <w:vMerge w:val="restart"/>
            <w:tcBorders>
              <w:tl2br w:val="nil"/>
              <w:tr2bl w:val="nil"/>
            </w:tcBorders>
            <w:noWrap w:val="0"/>
            <w:vAlign w:val="center"/>
          </w:tcPr>
          <w:p w14:paraId="290E0E43">
            <w:pPr>
              <w:pStyle w:val="58"/>
              <w:bidi w:val="0"/>
              <w:rPr>
                <w:rFonts w:hint="default"/>
                <w:highlight w:val="none"/>
                <w:lang w:eastAsia="zh-CN"/>
              </w:rPr>
            </w:pPr>
            <w:r>
              <w:rPr>
                <w:rFonts w:hint="default"/>
                <w:highlight w:val="none"/>
                <w:lang w:eastAsia="zh-CN"/>
              </w:rPr>
              <w:t>废气</w:t>
            </w:r>
          </w:p>
        </w:tc>
        <w:tc>
          <w:tcPr>
            <w:tcW w:w="824" w:type="pct"/>
            <w:tcBorders>
              <w:tl2br w:val="nil"/>
              <w:tr2bl w:val="nil"/>
            </w:tcBorders>
            <w:noWrap w:val="0"/>
            <w:vAlign w:val="center"/>
          </w:tcPr>
          <w:p w14:paraId="659CC45B">
            <w:pPr>
              <w:pStyle w:val="58"/>
              <w:bidi w:val="0"/>
              <w:rPr>
                <w:rFonts w:hint="default"/>
                <w:highlight w:val="none"/>
                <w:lang w:val="en-US" w:eastAsia="zh-CN"/>
              </w:rPr>
            </w:pPr>
            <w:r>
              <w:rPr>
                <w:rFonts w:hint="eastAsia"/>
                <w:highlight w:val="none"/>
                <w:lang w:val="en-US" w:eastAsia="zh-CN"/>
              </w:rPr>
              <w:t>格栅渠及</w:t>
            </w:r>
            <w:r>
              <w:rPr>
                <w:rFonts w:hint="default"/>
                <w:highlight w:val="none"/>
                <w:lang w:val="en-US" w:eastAsia="zh-CN"/>
              </w:rPr>
              <w:t>调节池</w:t>
            </w:r>
          </w:p>
        </w:tc>
        <w:tc>
          <w:tcPr>
            <w:tcW w:w="831" w:type="pct"/>
            <w:vMerge w:val="restart"/>
            <w:tcBorders>
              <w:tl2br w:val="nil"/>
              <w:tr2bl w:val="nil"/>
            </w:tcBorders>
            <w:noWrap w:val="0"/>
            <w:vAlign w:val="center"/>
          </w:tcPr>
          <w:p w14:paraId="34E61986">
            <w:pPr>
              <w:pStyle w:val="58"/>
              <w:bidi w:val="0"/>
              <w:rPr>
                <w:rFonts w:hint="default"/>
                <w:highlight w:val="none"/>
                <w:lang w:eastAsia="zh-CN"/>
              </w:rPr>
            </w:pPr>
            <w:r>
              <w:rPr>
                <w:rFonts w:hint="eastAsia"/>
                <w:highlight w:val="none"/>
                <w:lang w:eastAsia="zh-CN"/>
              </w:rPr>
              <w:t>NH</w:t>
            </w:r>
            <w:r>
              <w:rPr>
                <w:rFonts w:hint="eastAsia"/>
                <w:highlight w:val="none"/>
                <w:vertAlign w:val="subscript"/>
                <w:lang w:eastAsia="zh-CN"/>
              </w:rPr>
              <w:t>3</w:t>
            </w:r>
            <w:r>
              <w:rPr>
                <w:rFonts w:hint="default"/>
                <w:highlight w:val="none"/>
              </w:rPr>
              <w:t>、</w:t>
            </w:r>
            <w:r>
              <w:rPr>
                <w:rFonts w:hint="eastAsia"/>
                <w:highlight w:val="none"/>
                <w:lang w:eastAsia="zh-CN"/>
              </w:rPr>
              <w:t>H</w:t>
            </w:r>
            <w:r>
              <w:rPr>
                <w:rFonts w:hint="eastAsia"/>
                <w:highlight w:val="none"/>
                <w:vertAlign w:val="subscript"/>
                <w:lang w:eastAsia="zh-CN"/>
              </w:rPr>
              <w:t>2</w:t>
            </w:r>
            <w:r>
              <w:rPr>
                <w:rFonts w:hint="eastAsia"/>
                <w:highlight w:val="none"/>
                <w:lang w:eastAsia="zh-CN"/>
              </w:rPr>
              <w:t>S</w:t>
            </w:r>
            <w:r>
              <w:rPr>
                <w:rFonts w:hint="default"/>
                <w:highlight w:val="none"/>
              </w:rPr>
              <w:t>、臭气浓度</w:t>
            </w:r>
          </w:p>
        </w:tc>
        <w:tc>
          <w:tcPr>
            <w:tcW w:w="2898" w:type="pct"/>
            <w:vMerge w:val="restart"/>
            <w:tcBorders>
              <w:tl2br w:val="nil"/>
              <w:tr2bl w:val="nil"/>
            </w:tcBorders>
            <w:noWrap w:val="0"/>
            <w:vAlign w:val="center"/>
          </w:tcPr>
          <w:p w14:paraId="6E58265D">
            <w:pPr>
              <w:pStyle w:val="58"/>
              <w:bidi w:val="0"/>
              <w:rPr>
                <w:rFonts w:hint="default"/>
                <w:highlight w:val="none"/>
                <w:lang w:val="en-US" w:eastAsia="zh-CN"/>
              </w:rPr>
            </w:pPr>
            <w:bookmarkStart w:id="181" w:name="OLE_LINK92"/>
            <w:r>
              <w:rPr>
                <w:rFonts w:hint="eastAsia"/>
                <w:highlight w:val="none"/>
                <w:lang w:val="en-US" w:eastAsia="zh-CN"/>
              </w:rPr>
              <w:t>格栅渠及</w:t>
            </w:r>
            <w:r>
              <w:rPr>
                <w:rFonts w:hint="default"/>
                <w:highlight w:val="none"/>
                <w:lang w:val="en-US" w:eastAsia="zh-CN"/>
              </w:rPr>
              <w:t>调节池</w:t>
            </w:r>
            <w:r>
              <w:rPr>
                <w:rFonts w:hint="default"/>
                <w:highlight w:val="none"/>
              </w:rPr>
              <w:t>、污泥池进行加盖处理，</w:t>
            </w:r>
            <w:r>
              <w:rPr>
                <w:rFonts w:hint="eastAsia"/>
                <w:highlight w:val="none"/>
                <w:lang w:val="en-US" w:eastAsia="zh-CN"/>
              </w:rPr>
              <w:t>A</w:t>
            </w:r>
            <w:r>
              <w:rPr>
                <w:rFonts w:hint="eastAsia"/>
                <w:highlight w:val="none"/>
                <w:vertAlign w:val="superscript"/>
                <w:lang w:val="en-US" w:eastAsia="zh-CN"/>
              </w:rPr>
              <w:t>2</w:t>
            </w:r>
            <w:r>
              <w:rPr>
                <w:rFonts w:hint="eastAsia"/>
                <w:highlight w:val="none"/>
                <w:lang w:val="en-US" w:eastAsia="zh-CN"/>
              </w:rPr>
              <w:t>O</w:t>
            </w:r>
            <w:r>
              <w:rPr>
                <w:rFonts w:hint="default"/>
                <w:highlight w:val="none"/>
                <w:lang w:val="en-US" w:eastAsia="zh-CN"/>
              </w:rPr>
              <w:t>一体化处理设备</w:t>
            </w:r>
            <w:r>
              <w:rPr>
                <w:rFonts w:hint="eastAsia"/>
                <w:highlight w:val="none"/>
                <w:lang w:val="en-US" w:eastAsia="zh-CN"/>
              </w:rPr>
              <w:t>、</w:t>
            </w:r>
            <w:r>
              <w:rPr>
                <w:rFonts w:hint="default"/>
                <w:highlight w:val="none"/>
              </w:rPr>
              <w:t>污泥脱水机房密闭，废气经负压收集后通过管道引入</w:t>
            </w:r>
            <w:r>
              <w:rPr>
                <w:rFonts w:hint="default"/>
                <w:highlight w:val="none"/>
                <w:lang w:val="en-US" w:eastAsia="zh-CN"/>
              </w:rPr>
              <w:t>一套等离子光电一体机（风机风量5000</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/h）处理，处理后经15m高排气筒（DA001）排放。</w:t>
            </w:r>
            <w:bookmarkEnd w:id="181"/>
          </w:p>
        </w:tc>
      </w:tr>
      <w:tr w14:paraId="683D11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02" w:hRule="atLeast"/>
          <w:jc w:val="center"/>
        </w:trPr>
        <w:tc>
          <w:tcPr>
            <w:tcW w:w="446" w:type="pct"/>
            <w:vMerge w:val="continue"/>
            <w:tcBorders>
              <w:tl2br w:val="nil"/>
              <w:tr2bl w:val="nil"/>
            </w:tcBorders>
            <w:noWrap w:val="0"/>
            <w:vAlign w:val="center"/>
          </w:tcPr>
          <w:p w14:paraId="59B9C92C">
            <w:pPr>
              <w:pStyle w:val="58"/>
              <w:bidi w:val="0"/>
              <w:rPr>
                <w:rFonts w:hint="default"/>
                <w:highlight w:val="none"/>
                <w:lang w:eastAsia="zh-CN"/>
              </w:rPr>
            </w:pPr>
          </w:p>
        </w:tc>
        <w:tc>
          <w:tcPr>
            <w:tcW w:w="824" w:type="pct"/>
            <w:tcBorders>
              <w:tl2br w:val="nil"/>
              <w:tr2bl w:val="nil"/>
            </w:tcBorders>
            <w:noWrap w:val="0"/>
            <w:vAlign w:val="center"/>
          </w:tcPr>
          <w:p w14:paraId="42D03775">
            <w:pPr>
              <w:pStyle w:val="58"/>
              <w:bidi w:val="0"/>
              <w:rPr>
                <w:rFonts w:hint="default"/>
                <w:highlight w:val="none"/>
                <w:lang w:val="en-US" w:eastAsia="zh-CN"/>
              </w:rPr>
            </w:pPr>
            <w:r>
              <w:rPr>
                <w:rFonts w:hint="eastAsia"/>
                <w:highlight w:val="none"/>
                <w:lang w:val="en-US" w:eastAsia="zh-CN"/>
              </w:rPr>
              <w:t>A</w:t>
            </w:r>
            <w:r>
              <w:rPr>
                <w:rFonts w:hint="eastAsia"/>
                <w:highlight w:val="none"/>
                <w:vertAlign w:val="superscript"/>
                <w:lang w:val="en-US" w:eastAsia="zh-CN"/>
              </w:rPr>
              <w:t>2</w:t>
            </w:r>
            <w:r>
              <w:rPr>
                <w:rFonts w:hint="eastAsia"/>
                <w:highlight w:val="none"/>
                <w:lang w:val="en-US" w:eastAsia="zh-CN"/>
              </w:rPr>
              <w:t>O</w:t>
            </w:r>
            <w:r>
              <w:rPr>
                <w:rFonts w:hint="default"/>
                <w:highlight w:val="none"/>
                <w:lang w:val="en-US" w:eastAsia="zh-CN"/>
              </w:rPr>
              <w:t>一体化设备</w:t>
            </w:r>
          </w:p>
        </w:tc>
        <w:tc>
          <w:tcPr>
            <w:tcW w:w="831" w:type="pct"/>
            <w:vMerge w:val="continue"/>
            <w:tcBorders>
              <w:tl2br w:val="nil"/>
              <w:tr2bl w:val="nil"/>
            </w:tcBorders>
            <w:noWrap w:val="0"/>
            <w:vAlign w:val="center"/>
          </w:tcPr>
          <w:p w14:paraId="0BB2AE4F">
            <w:pPr>
              <w:pStyle w:val="58"/>
              <w:bidi w:val="0"/>
              <w:rPr>
                <w:rFonts w:hint="default"/>
                <w:highlight w:val="none"/>
                <w:lang w:eastAsia="zh-CN"/>
              </w:rPr>
            </w:pPr>
          </w:p>
        </w:tc>
        <w:tc>
          <w:tcPr>
            <w:tcW w:w="2898" w:type="pct"/>
            <w:vMerge w:val="continue"/>
            <w:tcBorders>
              <w:tl2br w:val="nil"/>
              <w:tr2bl w:val="nil"/>
            </w:tcBorders>
            <w:noWrap w:val="0"/>
            <w:vAlign w:val="center"/>
          </w:tcPr>
          <w:p w14:paraId="0B9D59D3">
            <w:pPr>
              <w:pStyle w:val="58"/>
              <w:bidi w:val="0"/>
              <w:rPr>
                <w:rFonts w:hint="default"/>
                <w:highlight w:val="none"/>
                <w:lang w:val="en-US" w:eastAsia="zh-CN"/>
              </w:rPr>
            </w:pPr>
          </w:p>
        </w:tc>
      </w:tr>
      <w:tr w14:paraId="1EB64A5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02" w:hRule="atLeast"/>
          <w:jc w:val="center"/>
        </w:trPr>
        <w:tc>
          <w:tcPr>
            <w:tcW w:w="446" w:type="pct"/>
            <w:vMerge w:val="continue"/>
            <w:tcBorders>
              <w:tl2br w:val="nil"/>
              <w:tr2bl w:val="nil"/>
            </w:tcBorders>
            <w:noWrap w:val="0"/>
            <w:vAlign w:val="center"/>
          </w:tcPr>
          <w:p w14:paraId="5B1AB658">
            <w:pPr>
              <w:pStyle w:val="58"/>
              <w:bidi w:val="0"/>
              <w:rPr>
                <w:rFonts w:hint="default"/>
                <w:highlight w:val="none"/>
                <w:lang w:eastAsia="zh-CN"/>
              </w:rPr>
            </w:pPr>
          </w:p>
        </w:tc>
        <w:tc>
          <w:tcPr>
            <w:tcW w:w="824" w:type="pct"/>
            <w:tcBorders>
              <w:tl2br w:val="nil"/>
              <w:tr2bl w:val="nil"/>
            </w:tcBorders>
            <w:noWrap w:val="0"/>
            <w:vAlign w:val="center"/>
          </w:tcPr>
          <w:p w14:paraId="547CBEA9">
            <w:pPr>
              <w:pStyle w:val="58"/>
              <w:bidi w:val="0"/>
              <w:rPr>
                <w:rFonts w:hint="eastAsia" w:eastAsia="宋体"/>
                <w:highlight w:val="none"/>
                <w:lang w:val="en-US" w:eastAsia="zh-CN"/>
              </w:rPr>
            </w:pPr>
            <w:r>
              <w:rPr>
                <w:rFonts w:hint="eastAsia"/>
                <w:highlight w:val="none"/>
                <w:lang w:val="en-US" w:eastAsia="zh-CN"/>
              </w:rPr>
              <w:t>污泥池</w:t>
            </w:r>
          </w:p>
        </w:tc>
        <w:tc>
          <w:tcPr>
            <w:tcW w:w="831" w:type="pct"/>
            <w:vMerge w:val="continue"/>
            <w:tcBorders>
              <w:tl2br w:val="nil"/>
              <w:tr2bl w:val="nil"/>
            </w:tcBorders>
            <w:noWrap w:val="0"/>
            <w:vAlign w:val="center"/>
          </w:tcPr>
          <w:p w14:paraId="595D2C92">
            <w:pPr>
              <w:pStyle w:val="58"/>
              <w:bidi w:val="0"/>
              <w:rPr>
                <w:rFonts w:hint="default"/>
                <w:highlight w:val="none"/>
                <w:lang w:eastAsia="zh-CN"/>
              </w:rPr>
            </w:pPr>
          </w:p>
        </w:tc>
        <w:tc>
          <w:tcPr>
            <w:tcW w:w="2898" w:type="pct"/>
            <w:vMerge w:val="continue"/>
            <w:tcBorders>
              <w:tl2br w:val="nil"/>
              <w:tr2bl w:val="nil"/>
            </w:tcBorders>
            <w:noWrap w:val="0"/>
            <w:vAlign w:val="center"/>
          </w:tcPr>
          <w:p w14:paraId="15610215">
            <w:pPr>
              <w:pStyle w:val="58"/>
              <w:bidi w:val="0"/>
              <w:rPr>
                <w:rFonts w:hint="default"/>
                <w:highlight w:val="none"/>
                <w:lang w:val="en-US" w:eastAsia="zh-CN"/>
              </w:rPr>
            </w:pPr>
          </w:p>
        </w:tc>
      </w:tr>
      <w:tr w14:paraId="5ED5A7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02" w:hRule="atLeast"/>
          <w:jc w:val="center"/>
        </w:trPr>
        <w:tc>
          <w:tcPr>
            <w:tcW w:w="446" w:type="pct"/>
            <w:vMerge w:val="continue"/>
            <w:tcBorders>
              <w:tl2br w:val="nil"/>
              <w:tr2bl w:val="nil"/>
            </w:tcBorders>
            <w:noWrap w:val="0"/>
            <w:vAlign w:val="center"/>
          </w:tcPr>
          <w:p w14:paraId="66C1C968">
            <w:pPr>
              <w:pStyle w:val="58"/>
              <w:bidi w:val="0"/>
              <w:rPr>
                <w:rFonts w:hint="default"/>
                <w:highlight w:val="none"/>
                <w:lang w:eastAsia="zh-CN"/>
              </w:rPr>
            </w:pPr>
          </w:p>
        </w:tc>
        <w:tc>
          <w:tcPr>
            <w:tcW w:w="824" w:type="pct"/>
            <w:tcBorders>
              <w:tl2br w:val="nil"/>
              <w:tr2bl w:val="nil"/>
            </w:tcBorders>
            <w:noWrap w:val="0"/>
            <w:vAlign w:val="center"/>
          </w:tcPr>
          <w:p w14:paraId="21A588EC">
            <w:pPr>
              <w:pStyle w:val="58"/>
              <w:bidi w:val="0"/>
              <w:rPr>
                <w:rFonts w:hint="default"/>
                <w:highlight w:val="none"/>
                <w:lang w:val="en-US" w:eastAsia="zh-CN"/>
              </w:rPr>
            </w:pPr>
            <w:r>
              <w:rPr>
                <w:rFonts w:hint="default"/>
                <w:highlight w:val="none"/>
                <w:lang w:val="en-US" w:eastAsia="zh-CN"/>
              </w:rPr>
              <w:t>污泥脱水间</w:t>
            </w:r>
          </w:p>
        </w:tc>
        <w:tc>
          <w:tcPr>
            <w:tcW w:w="831" w:type="pct"/>
            <w:vMerge w:val="continue"/>
            <w:tcBorders>
              <w:tl2br w:val="nil"/>
              <w:tr2bl w:val="nil"/>
            </w:tcBorders>
            <w:noWrap w:val="0"/>
            <w:vAlign w:val="center"/>
          </w:tcPr>
          <w:p w14:paraId="49280B57">
            <w:pPr>
              <w:pStyle w:val="58"/>
              <w:bidi w:val="0"/>
              <w:rPr>
                <w:rFonts w:hint="default"/>
                <w:highlight w:val="none"/>
                <w:lang w:eastAsia="zh-CN"/>
              </w:rPr>
            </w:pPr>
          </w:p>
        </w:tc>
        <w:tc>
          <w:tcPr>
            <w:tcW w:w="2898" w:type="pct"/>
            <w:vMerge w:val="continue"/>
            <w:tcBorders>
              <w:tl2br w:val="nil"/>
              <w:tr2bl w:val="nil"/>
            </w:tcBorders>
            <w:noWrap w:val="0"/>
            <w:vAlign w:val="center"/>
          </w:tcPr>
          <w:p w14:paraId="353B3280">
            <w:pPr>
              <w:pStyle w:val="58"/>
              <w:bidi w:val="0"/>
              <w:rPr>
                <w:rFonts w:hint="default"/>
                <w:highlight w:val="none"/>
                <w:lang w:val="en-US" w:eastAsia="zh-CN"/>
              </w:rPr>
            </w:pPr>
          </w:p>
        </w:tc>
      </w:tr>
      <w:tr w14:paraId="61B71CB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446" w:type="pct"/>
            <w:vMerge w:val="restart"/>
            <w:tcBorders>
              <w:tl2br w:val="nil"/>
              <w:tr2bl w:val="nil"/>
            </w:tcBorders>
            <w:noWrap w:val="0"/>
            <w:vAlign w:val="center"/>
          </w:tcPr>
          <w:p w14:paraId="75C8E42D">
            <w:pPr>
              <w:pStyle w:val="58"/>
              <w:bidi w:val="0"/>
              <w:rPr>
                <w:rFonts w:hint="default"/>
                <w:highlight w:val="none"/>
                <w:lang w:val="en-US" w:eastAsia="zh-CN"/>
              </w:rPr>
            </w:pPr>
            <w:r>
              <w:rPr>
                <w:rFonts w:hint="default"/>
                <w:highlight w:val="none"/>
                <w:lang w:val="en-US" w:eastAsia="zh-CN"/>
              </w:rPr>
              <w:t>废水</w:t>
            </w:r>
          </w:p>
        </w:tc>
        <w:tc>
          <w:tcPr>
            <w:tcW w:w="824" w:type="pct"/>
            <w:tcBorders>
              <w:tl2br w:val="nil"/>
              <w:tr2bl w:val="nil"/>
            </w:tcBorders>
            <w:noWrap w:val="0"/>
            <w:vAlign w:val="center"/>
          </w:tcPr>
          <w:p w14:paraId="142D89A8">
            <w:pPr>
              <w:pStyle w:val="58"/>
              <w:bidi w:val="0"/>
              <w:rPr>
                <w:rFonts w:hint="default"/>
                <w:highlight w:val="none"/>
                <w:lang w:val="en-US" w:eastAsia="zh-CN"/>
              </w:rPr>
            </w:pPr>
            <w:r>
              <w:rPr>
                <w:rFonts w:hint="eastAsia"/>
                <w:highlight w:val="none"/>
                <w:lang w:val="en-US" w:eastAsia="zh-CN"/>
              </w:rPr>
              <w:t>实验</w:t>
            </w:r>
            <w:r>
              <w:rPr>
                <w:rFonts w:hint="default"/>
                <w:highlight w:val="none"/>
                <w:lang w:val="en-US" w:eastAsia="zh-CN"/>
              </w:rPr>
              <w:t>废水、</w:t>
            </w:r>
            <w:r>
              <w:rPr>
                <w:rFonts w:hint="eastAsia"/>
                <w:highlight w:val="none"/>
                <w:lang w:val="en-US" w:eastAsia="zh-CN"/>
              </w:rPr>
              <w:t>设备和车间冲洗废水、PAM、PAC调配水、</w:t>
            </w:r>
            <w:r>
              <w:rPr>
                <w:rFonts w:hint="default"/>
                <w:highlight w:val="none"/>
                <w:lang w:val="en-US" w:eastAsia="zh-CN"/>
              </w:rPr>
              <w:t>生活污水等</w:t>
            </w:r>
          </w:p>
        </w:tc>
        <w:tc>
          <w:tcPr>
            <w:tcW w:w="831" w:type="pct"/>
            <w:vMerge w:val="restart"/>
            <w:tcBorders>
              <w:tl2br w:val="nil"/>
              <w:tr2bl w:val="nil"/>
            </w:tcBorders>
            <w:noWrap w:val="0"/>
            <w:vAlign w:val="center"/>
          </w:tcPr>
          <w:p w14:paraId="7C76045D">
            <w:pPr>
              <w:pStyle w:val="58"/>
              <w:bidi w:val="0"/>
              <w:rPr>
                <w:rFonts w:hint="default"/>
                <w:highlight w:val="none"/>
              </w:rPr>
            </w:pPr>
            <w:r>
              <w:rPr>
                <w:rFonts w:hint="default"/>
                <w:highlight w:val="none"/>
              </w:rPr>
              <w:t>pH、COD、</w:t>
            </w:r>
            <w:r>
              <w:rPr>
                <w:rFonts w:hint="eastAsia"/>
                <w:highlight w:val="none"/>
                <w:lang w:eastAsia="zh-CN"/>
              </w:rPr>
              <w:t>BOD</w:t>
            </w:r>
            <w:r>
              <w:rPr>
                <w:rFonts w:hint="eastAsia"/>
                <w:highlight w:val="none"/>
                <w:vertAlign w:val="subscript"/>
                <w:lang w:eastAsia="zh-CN"/>
              </w:rPr>
              <w:t>5</w:t>
            </w:r>
            <w:r>
              <w:rPr>
                <w:rFonts w:hint="default"/>
                <w:highlight w:val="none"/>
              </w:rPr>
              <w:t>、SS、氨氮、总氮、总磷</w:t>
            </w:r>
            <w:r>
              <w:rPr>
                <w:rFonts w:hint="eastAsia"/>
                <w:highlight w:val="none"/>
                <w:lang w:eastAsia="zh-CN"/>
              </w:rPr>
              <w:t>、动植物油、石油类</w:t>
            </w:r>
            <w:r>
              <w:rPr>
                <w:rFonts w:hint="default"/>
                <w:highlight w:val="none"/>
              </w:rPr>
              <w:t>等</w:t>
            </w:r>
          </w:p>
        </w:tc>
        <w:tc>
          <w:tcPr>
            <w:tcW w:w="2898" w:type="pct"/>
            <w:tcBorders>
              <w:tl2br w:val="nil"/>
              <w:tr2bl w:val="nil"/>
            </w:tcBorders>
            <w:noWrap w:val="0"/>
            <w:vAlign w:val="center"/>
          </w:tcPr>
          <w:p w14:paraId="1E67FA17">
            <w:pPr>
              <w:pStyle w:val="58"/>
              <w:bidi w:val="0"/>
              <w:rPr>
                <w:rFonts w:hint="default"/>
                <w:highlight w:val="none"/>
                <w:lang w:val="en-US" w:eastAsia="zh-CN"/>
              </w:rPr>
            </w:pPr>
            <w:r>
              <w:rPr>
                <w:rFonts w:hint="default"/>
                <w:highlight w:val="none"/>
              </w:rPr>
              <w:t>进污水处理系统</w:t>
            </w:r>
          </w:p>
        </w:tc>
      </w:tr>
      <w:tr w14:paraId="4409041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446" w:type="pct"/>
            <w:vMerge w:val="continue"/>
            <w:tcBorders>
              <w:tl2br w:val="nil"/>
              <w:tr2bl w:val="nil"/>
            </w:tcBorders>
            <w:noWrap w:val="0"/>
            <w:vAlign w:val="center"/>
          </w:tcPr>
          <w:p w14:paraId="151E6F01">
            <w:pPr>
              <w:pStyle w:val="58"/>
              <w:bidi w:val="0"/>
              <w:rPr>
                <w:rFonts w:hint="default"/>
                <w:highlight w:val="none"/>
                <w:lang w:val="en-US" w:eastAsia="zh-CN"/>
              </w:rPr>
            </w:pPr>
          </w:p>
        </w:tc>
        <w:tc>
          <w:tcPr>
            <w:tcW w:w="824" w:type="pct"/>
            <w:tcBorders>
              <w:tl2br w:val="nil"/>
              <w:tr2bl w:val="nil"/>
            </w:tcBorders>
            <w:noWrap w:val="0"/>
            <w:vAlign w:val="center"/>
          </w:tcPr>
          <w:p w14:paraId="3A2179B2">
            <w:pPr>
              <w:pStyle w:val="58"/>
              <w:bidi w:val="0"/>
              <w:rPr>
                <w:rFonts w:hint="default"/>
                <w:highlight w:val="none"/>
                <w:lang w:val="en-US" w:eastAsia="zh-CN"/>
              </w:rPr>
            </w:pPr>
            <w:bookmarkStart w:id="182" w:name="OLE_LINK39"/>
            <w:r>
              <w:rPr>
                <w:rFonts w:hint="default"/>
                <w:highlight w:val="none"/>
                <w:lang w:val="en-US" w:eastAsia="zh-CN"/>
              </w:rPr>
              <w:t>尾水</w:t>
            </w:r>
            <w:bookmarkEnd w:id="182"/>
          </w:p>
        </w:tc>
        <w:tc>
          <w:tcPr>
            <w:tcW w:w="831" w:type="pct"/>
            <w:vMerge w:val="continue"/>
            <w:tcBorders>
              <w:tl2br w:val="nil"/>
              <w:tr2bl w:val="nil"/>
            </w:tcBorders>
            <w:noWrap w:val="0"/>
            <w:vAlign w:val="center"/>
          </w:tcPr>
          <w:p w14:paraId="2AB7B26F">
            <w:pPr>
              <w:pStyle w:val="58"/>
              <w:bidi w:val="0"/>
              <w:rPr>
                <w:rFonts w:hint="default"/>
                <w:highlight w:val="none"/>
              </w:rPr>
            </w:pPr>
          </w:p>
        </w:tc>
        <w:tc>
          <w:tcPr>
            <w:tcW w:w="2898" w:type="pct"/>
            <w:tcBorders>
              <w:tl2br w:val="nil"/>
              <w:tr2bl w:val="nil"/>
            </w:tcBorders>
            <w:noWrap w:val="0"/>
            <w:vAlign w:val="center"/>
          </w:tcPr>
          <w:p w14:paraId="0A6B4EC1">
            <w:pPr>
              <w:pStyle w:val="58"/>
              <w:bidi w:val="0"/>
              <w:rPr>
                <w:rFonts w:hint="default"/>
                <w:highlight w:val="none"/>
                <w:lang w:val="en-US" w:eastAsia="zh-CN"/>
              </w:rPr>
            </w:pPr>
            <w:r>
              <w:rPr>
                <w:rFonts w:hint="default"/>
                <w:highlight w:val="none"/>
                <w:lang w:val="en-US" w:eastAsia="zh-CN"/>
              </w:rPr>
              <w:t>污水处理后</w:t>
            </w:r>
            <w:r>
              <w:rPr>
                <w:rFonts w:hint="eastAsia"/>
                <w:highlight w:val="none"/>
                <w:lang w:val="en-US" w:eastAsia="zh-CN"/>
              </w:rPr>
              <w:t>回用于厂区生产用水、园区绿化、道路喷洒及园区企业生产用水。</w:t>
            </w:r>
          </w:p>
        </w:tc>
      </w:tr>
      <w:tr w14:paraId="264B5F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446" w:type="pct"/>
            <w:tcBorders>
              <w:tl2br w:val="nil"/>
              <w:tr2bl w:val="nil"/>
            </w:tcBorders>
            <w:noWrap w:val="0"/>
            <w:vAlign w:val="center"/>
          </w:tcPr>
          <w:p w14:paraId="1B645119">
            <w:pPr>
              <w:pStyle w:val="58"/>
              <w:bidi w:val="0"/>
              <w:rPr>
                <w:rFonts w:hint="default"/>
                <w:highlight w:val="none"/>
              </w:rPr>
            </w:pPr>
            <w:r>
              <w:rPr>
                <w:rFonts w:hint="default"/>
                <w:highlight w:val="none"/>
              </w:rPr>
              <w:t>噪声</w:t>
            </w:r>
          </w:p>
        </w:tc>
        <w:tc>
          <w:tcPr>
            <w:tcW w:w="824" w:type="pct"/>
            <w:tcBorders>
              <w:tl2br w:val="nil"/>
              <w:tr2bl w:val="nil"/>
            </w:tcBorders>
            <w:noWrap w:val="0"/>
            <w:vAlign w:val="center"/>
          </w:tcPr>
          <w:p w14:paraId="159EFF5B">
            <w:pPr>
              <w:pStyle w:val="58"/>
              <w:bidi w:val="0"/>
              <w:rPr>
                <w:rFonts w:hint="default"/>
                <w:highlight w:val="none"/>
              </w:rPr>
            </w:pPr>
            <w:r>
              <w:rPr>
                <w:rFonts w:hint="default"/>
                <w:highlight w:val="none"/>
              </w:rPr>
              <w:t>生产设备</w:t>
            </w:r>
          </w:p>
        </w:tc>
        <w:tc>
          <w:tcPr>
            <w:tcW w:w="831" w:type="pct"/>
            <w:tcBorders>
              <w:tl2br w:val="nil"/>
              <w:tr2bl w:val="nil"/>
            </w:tcBorders>
            <w:noWrap w:val="0"/>
            <w:vAlign w:val="center"/>
          </w:tcPr>
          <w:p w14:paraId="71977323">
            <w:pPr>
              <w:pStyle w:val="58"/>
              <w:bidi w:val="0"/>
              <w:rPr>
                <w:rFonts w:hint="default"/>
                <w:highlight w:val="none"/>
              </w:rPr>
            </w:pPr>
            <w:r>
              <w:rPr>
                <w:rFonts w:hint="default"/>
                <w:highlight w:val="none"/>
              </w:rPr>
              <w:t>噪声</w:t>
            </w:r>
          </w:p>
        </w:tc>
        <w:tc>
          <w:tcPr>
            <w:tcW w:w="2898" w:type="pct"/>
            <w:tcBorders>
              <w:tl2br w:val="nil"/>
              <w:tr2bl w:val="nil"/>
            </w:tcBorders>
            <w:noWrap w:val="0"/>
            <w:vAlign w:val="center"/>
          </w:tcPr>
          <w:p w14:paraId="08624423">
            <w:pPr>
              <w:pStyle w:val="58"/>
              <w:bidi w:val="0"/>
              <w:rPr>
                <w:rFonts w:hint="default"/>
                <w:highlight w:val="none"/>
                <w:lang w:eastAsia="zh-CN"/>
              </w:rPr>
            </w:pPr>
            <w:r>
              <w:rPr>
                <w:rFonts w:hint="eastAsia"/>
                <w:highlight w:val="none"/>
                <w:lang w:val="en-US" w:eastAsia="zh-CN"/>
              </w:rPr>
              <w:t>选用</w:t>
            </w:r>
            <w:r>
              <w:rPr>
                <w:rFonts w:hint="default"/>
                <w:highlight w:val="none"/>
                <w:lang w:val="en-US" w:eastAsia="zh-CN"/>
              </w:rPr>
              <w:t>低噪声设备，池体加盖封闭、设备房封闭、距离衰减等措</w:t>
            </w:r>
            <w:r>
              <w:rPr>
                <w:rFonts w:hint="eastAsia"/>
                <w:highlight w:val="none"/>
                <w:lang w:val="en-US" w:eastAsia="zh-CN"/>
              </w:rPr>
              <w:t>施</w:t>
            </w:r>
            <w:r>
              <w:rPr>
                <w:rFonts w:hint="default"/>
                <w:highlight w:val="none"/>
                <w:lang w:eastAsia="zh-CN"/>
              </w:rPr>
              <w:t>。</w:t>
            </w:r>
          </w:p>
        </w:tc>
      </w:tr>
      <w:tr w14:paraId="660CA9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46" w:type="pct"/>
            <w:vMerge w:val="restart"/>
            <w:tcBorders>
              <w:tl2br w:val="nil"/>
              <w:tr2bl w:val="nil"/>
            </w:tcBorders>
            <w:noWrap w:val="0"/>
            <w:vAlign w:val="center"/>
          </w:tcPr>
          <w:p w14:paraId="7906CB43">
            <w:pPr>
              <w:pStyle w:val="58"/>
              <w:bidi w:val="0"/>
              <w:rPr>
                <w:rFonts w:hint="default"/>
                <w:highlight w:val="none"/>
              </w:rPr>
            </w:pPr>
            <w:r>
              <w:rPr>
                <w:rFonts w:hint="default"/>
                <w:highlight w:val="none"/>
                <w:lang w:val="en-US" w:eastAsia="zh-CN"/>
              </w:rPr>
              <w:t>一般固废</w:t>
            </w:r>
          </w:p>
        </w:tc>
        <w:tc>
          <w:tcPr>
            <w:tcW w:w="824" w:type="pct"/>
            <w:tcBorders>
              <w:tl2br w:val="nil"/>
              <w:tr2bl w:val="nil"/>
            </w:tcBorders>
            <w:noWrap w:val="0"/>
            <w:vAlign w:val="center"/>
          </w:tcPr>
          <w:p w14:paraId="24864A88">
            <w:pPr>
              <w:pStyle w:val="58"/>
              <w:bidi w:val="0"/>
              <w:rPr>
                <w:rFonts w:hint="default"/>
                <w:highlight w:val="none"/>
                <w:lang w:val="en-US" w:eastAsia="zh-CN"/>
              </w:rPr>
            </w:pPr>
            <w:bookmarkStart w:id="183" w:name="OLE_LINK34"/>
            <w:r>
              <w:rPr>
                <w:rFonts w:hint="default"/>
                <w:highlight w:val="none"/>
                <w:lang w:val="en-US" w:eastAsia="zh-CN"/>
              </w:rPr>
              <w:t>粗格栅、细格栅</w:t>
            </w:r>
            <w:bookmarkEnd w:id="183"/>
          </w:p>
        </w:tc>
        <w:tc>
          <w:tcPr>
            <w:tcW w:w="831" w:type="pct"/>
            <w:tcBorders>
              <w:tl2br w:val="nil"/>
              <w:tr2bl w:val="nil"/>
            </w:tcBorders>
            <w:noWrap w:val="0"/>
            <w:vAlign w:val="center"/>
          </w:tcPr>
          <w:p w14:paraId="59D8D73B">
            <w:pPr>
              <w:pStyle w:val="58"/>
              <w:bidi w:val="0"/>
              <w:rPr>
                <w:rFonts w:hint="default"/>
                <w:highlight w:val="none"/>
                <w:lang w:val="en-US" w:eastAsia="zh-CN"/>
              </w:rPr>
            </w:pPr>
            <w:r>
              <w:rPr>
                <w:rFonts w:hint="default"/>
                <w:highlight w:val="none"/>
                <w:lang w:val="en-US" w:eastAsia="zh-CN"/>
              </w:rPr>
              <w:t>栅渣</w:t>
            </w:r>
          </w:p>
        </w:tc>
        <w:tc>
          <w:tcPr>
            <w:tcW w:w="2898" w:type="pct"/>
            <w:vMerge w:val="restart"/>
            <w:tcBorders>
              <w:tl2br w:val="nil"/>
              <w:tr2bl w:val="nil"/>
            </w:tcBorders>
            <w:noWrap w:val="0"/>
            <w:vAlign w:val="center"/>
          </w:tcPr>
          <w:p w14:paraId="7C4FC0AF">
            <w:pPr>
              <w:pStyle w:val="58"/>
              <w:bidi w:val="0"/>
              <w:rPr>
                <w:rFonts w:hint="default"/>
                <w:highlight w:val="none"/>
                <w:lang w:val="en-US" w:eastAsia="zh-CN"/>
              </w:rPr>
            </w:pPr>
            <w:r>
              <w:rPr>
                <w:rFonts w:hint="eastAsia"/>
                <w:highlight w:val="none"/>
                <w:lang w:val="en-US" w:eastAsia="zh-CN"/>
              </w:rPr>
              <w:t>和污泥一同送水泥厂协同处置</w:t>
            </w:r>
          </w:p>
        </w:tc>
      </w:tr>
      <w:tr w14:paraId="213A8A0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46" w:type="pct"/>
            <w:vMerge w:val="continue"/>
            <w:tcBorders>
              <w:tl2br w:val="nil"/>
              <w:tr2bl w:val="nil"/>
            </w:tcBorders>
            <w:noWrap w:val="0"/>
            <w:vAlign w:val="center"/>
          </w:tcPr>
          <w:p w14:paraId="65A8A125">
            <w:pPr>
              <w:pStyle w:val="58"/>
              <w:bidi w:val="0"/>
              <w:rPr>
                <w:rFonts w:hint="default"/>
                <w:highlight w:val="none"/>
                <w:lang w:val="en-US" w:eastAsia="zh-CN"/>
              </w:rPr>
            </w:pPr>
          </w:p>
        </w:tc>
        <w:tc>
          <w:tcPr>
            <w:tcW w:w="824" w:type="pct"/>
            <w:tcBorders>
              <w:tl2br w:val="nil"/>
              <w:tr2bl w:val="nil"/>
            </w:tcBorders>
            <w:noWrap w:val="0"/>
            <w:vAlign w:val="center"/>
          </w:tcPr>
          <w:p w14:paraId="6CB9F323">
            <w:pPr>
              <w:pStyle w:val="58"/>
              <w:bidi w:val="0"/>
              <w:rPr>
                <w:rFonts w:hint="default"/>
                <w:highlight w:val="none"/>
                <w:lang w:val="en-US" w:eastAsia="zh-CN"/>
              </w:rPr>
            </w:pPr>
            <w:r>
              <w:rPr>
                <w:rFonts w:hint="default"/>
                <w:highlight w:val="none"/>
                <w:lang w:val="en-US" w:eastAsia="zh-CN"/>
              </w:rPr>
              <w:t>调节池</w:t>
            </w:r>
          </w:p>
        </w:tc>
        <w:tc>
          <w:tcPr>
            <w:tcW w:w="831" w:type="pct"/>
            <w:tcBorders>
              <w:tl2br w:val="nil"/>
              <w:tr2bl w:val="nil"/>
            </w:tcBorders>
            <w:noWrap w:val="0"/>
            <w:vAlign w:val="center"/>
          </w:tcPr>
          <w:p w14:paraId="3931D741">
            <w:pPr>
              <w:pStyle w:val="58"/>
              <w:bidi w:val="0"/>
              <w:rPr>
                <w:rFonts w:hint="default"/>
                <w:highlight w:val="none"/>
                <w:lang w:val="en-US" w:eastAsia="zh-CN"/>
              </w:rPr>
            </w:pPr>
            <w:r>
              <w:rPr>
                <w:rFonts w:hint="default"/>
                <w:highlight w:val="none"/>
                <w:lang w:val="en-US" w:eastAsia="zh-CN"/>
              </w:rPr>
              <w:t>沉砂</w:t>
            </w:r>
          </w:p>
        </w:tc>
        <w:tc>
          <w:tcPr>
            <w:tcW w:w="2898" w:type="pct"/>
            <w:vMerge w:val="continue"/>
            <w:tcBorders>
              <w:tl2br w:val="nil"/>
              <w:tr2bl w:val="nil"/>
            </w:tcBorders>
            <w:noWrap w:val="0"/>
            <w:vAlign w:val="center"/>
          </w:tcPr>
          <w:p w14:paraId="22B1160F">
            <w:pPr>
              <w:pStyle w:val="58"/>
              <w:bidi w:val="0"/>
              <w:rPr>
                <w:rFonts w:hint="default"/>
                <w:highlight w:val="none"/>
              </w:rPr>
            </w:pPr>
          </w:p>
        </w:tc>
      </w:tr>
      <w:tr w14:paraId="6AFC7C8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46" w:type="pct"/>
            <w:vMerge w:val="continue"/>
            <w:tcBorders>
              <w:tl2br w:val="nil"/>
              <w:tr2bl w:val="nil"/>
            </w:tcBorders>
            <w:noWrap w:val="0"/>
            <w:vAlign w:val="center"/>
          </w:tcPr>
          <w:p w14:paraId="046DC500">
            <w:pPr>
              <w:pStyle w:val="58"/>
              <w:bidi w:val="0"/>
              <w:rPr>
                <w:rFonts w:hint="default"/>
                <w:highlight w:val="none"/>
                <w:lang w:val="en-US" w:eastAsia="zh-CN"/>
              </w:rPr>
            </w:pPr>
          </w:p>
        </w:tc>
        <w:tc>
          <w:tcPr>
            <w:tcW w:w="824" w:type="pct"/>
            <w:tcBorders>
              <w:tl2br w:val="nil"/>
              <w:tr2bl w:val="nil"/>
            </w:tcBorders>
            <w:noWrap w:val="0"/>
            <w:vAlign w:val="center"/>
          </w:tcPr>
          <w:p w14:paraId="36AACC98">
            <w:pPr>
              <w:pStyle w:val="58"/>
              <w:bidi w:val="0"/>
              <w:rPr>
                <w:rFonts w:hint="default"/>
                <w:highlight w:val="none"/>
                <w:lang w:val="en-US" w:eastAsia="zh-CN"/>
              </w:rPr>
            </w:pPr>
            <w:r>
              <w:rPr>
                <w:rFonts w:hint="eastAsia"/>
                <w:highlight w:val="none"/>
                <w:lang w:val="en-US" w:eastAsia="zh-CN"/>
              </w:rPr>
              <w:t>A</w:t>
            </w:r>
            <w:r>
              <w:rPr>
                <w:rFonts w:hint="eastAsia"/>
                <w:highlight w:val="none"/>
                <w:vertAlign w:val="superscript"/>
                <w:lang w:val="en-US" w:eastAsia="zh-CN"/>
              </w:rPr>
              <w:t>2</w:t>
            </w:r>
            <w:r>
              <w:rPr>
                <w:rFonts w:hint="eastAsia"/>
                <w:highlight w:val="none"/>
                <w:lang w:val="en-US" w:eastAsia="zh-CN"/>
              </w:rPr>
              <w:t>O</w:t>
            </w:r>
            <w:r>
              <w:rPr>
                <w:rFonts w:hint="default"/>
                <w:highlight w:val="none"/>
                <w:lang w:val="en-US" w:eastAsia="zh-CN"/>
              </w:rPr>
              <w:t>一体化设备、</w:t>
            </w:r>
            <w:r>
              <w:rPr>
                <w:rFonts w:hint="eastAsia"/>
                <w:highlight w:val="none"/>
                <w:lang w:val="en-US" w:eastAsia="zh-CN"/>
              </w:rPr>
              <w:t>混凝沉淀池</w:t>
            </w:r>
            <w:r>
              <w:rPr>
                <w:rFonts w:hint="default"/>
                <w:highlight w:val="none"/>
                <w:lang w:val="en-US" w:eastAsia="zh-CN"/>
              </w:rPr>
              <w:t>、污泥脱水间等</w:t>
            </w:r>
          </w:p>
        </w:tc>
        <w:tc>
          <w:tcPr>
            <w:tcW w:w="831" w:type="pct"/>
            <w:tcBorders>
              <w:tl2br w:val="nil"/>
              <w:tr2bl w:val="nil"/>
            </w:tcBorders>
            <w:noWrap w:val="0"/>
            <w:vAlign w:val="center"/>
          </w:tcPr>
          <w:p w14:paraId="4209ACFF">
            <w:pPr>
              <w:pStyle w:val="58"/>
              <w:bidi w:val="0"/>
              <w:rPr>
                <w:rFonts w:hint="default"/>
                <w:highlight w:val="none"/>
                <w:lang w:val="en-US" w:eastAsia="zh-CN"/>
              </w:rPr>
            </w:pPr>
            <w:r>
              <w:rPr>
                <w:rFonts w:hint="default"/>
                <w:highlight w:val="none"/>
                <w:lang w:val="en-US" w:eastAsia="zh-CN"/>
              </w:rPr>
              <w:t>污泥</w:t>
            </w:r>
          </w:p>
        </w:tc>
        <w:tc>
          <w:tcPr>
            <w:tcW w:w="2898" w:type="pct"/>
            <w:tcBorders>
              <w:tl2br w:val="nil"/>
              <w:tr2bl w:val="nil"/>
            </w:tcBorders>
            <w:noWrap w:val="0"/>
            <w:vAlign w:val="center"/>
          </w:tcPr>
          <w:p w14:paraId="11C6D992">
            <w:pPr>
              <w:pStyle w:val="58"/>
              <w:bidi w:val="0"/>
              <w:rPr>
                <w:rFonts w:hint="default"/>
                <w:highlight w:val="none"/>
                <w:lang w:val="en-US" w:eastAsia="zh-CN"/>
              </w:rPr>
            </w:pPr>
            <w:r>
              <w:rPr>
                <w:rFonts w:hint="default"/>
                <w:highlight w:val="none"/>
                <w:lang w:val="en-US" w:eastAsia="zh-CN"/>
              </w:rPr>
              <w:t>对污泥进行浓缩、脱水处理（含水率60%）后外运</w:t>
            </w:r>
            <w:r>
              <w:rPr>
                <w:rFonts w:hint="eastAsia"/>
                <w:highlight w:val="none"/>
                <w:lang w:val="en-US" w:eastAsia="zh-CN"/>
              </w:rPr>
              <w:t>，</w:t>
            </w:r>
            <w:r>
              <w:rPr>
                <w:rFonts w:hint="default"/>
                <w:highlight w:val="none"/>
                <w:lang w:val="en-US" w:eastAsia="zh-CN"/>
              </w:rPr>
              <w:t>委托水泥厂协同处置。</w:t>
            </w:r>
          </w:p>
        </w:tc>
      </w:tr>
      <w:tr w14:paraId="631A948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46" w:type="pct"/>
            <w:vMerge w:val="continue"/>
            <w:tcBorders>
              <w:tl2br w:val="nil"/>
              <w:tr2bl w:val="nil"/>
            </w:tcBorders>
            <w:noWrap w:val="0"/>
            <w:vAlign w:val="center"/>
          </w:tcPr>
          <w:p w14:paraId="04F0FA49">
            <w:pPr>
              <w:pStyle w:val="58"/>
              <w:bidi w:val="0"/>
              <w:rPr>
                <w:rFonts w:hint="default"/>
                <w:highlight w:val="none"/>
                <w:lang w:val="en-US" w:eastAsia="zh-CN"/>
              </w:rPr>
            </w:pPr>
          </w:p>
        </w:tc>
        <w:tc>
          <w:tcPr>
            <w:tcW w:w="824" w:type="pct"/>
            <w:tcBorders>
              <w:tl2br w:val="nil"/>
              <w:tr2bl w:val="nil"/>
            </w:tcBorders>
            <w:noWrap w:val="0"/>
            <w:vAlign w:val="center"/>
          </w:tcPr>
          <w:p w14:paraId="5881CF06">
            <w:pPr>
              <w:pStyle w:val="58"/>
              <w:bidi w:val="0"/>
              <w:rPr>
                <w:rFonts w:hint="default"/>
                <w:highlight w:val="none"/>
                <w:lang w:val="en-US" w:eastAsia="zh-CN"/>
              </w:rPr>
            </w:pPr>
            <w:r>
              <w:rPr>
                <w:rFonts w:hint="eastAsia"/>
                <w:highlight w:val="none"/>
                <w:lang w:val="en-US" w:eastAsia="zh-CN"/>
              </w:rPr>
              <w:t>砂滤</w:t>
            </w:r>
            <w:r>
              <w:rPr>
                <w:rFonts w:hint="default"/>
                <w:highlight w:val="none"/>
                <w:lang w:val="en-US" w:eastAsia="zh-CN"/>
              </w:rPr>
              <w:t>罐</w:t>
            </w:r>
          </w:p>
        </w:tc>
        <w:tc>
          <w:tcPr>
            <w:tcW w:w="831" w:type="pct"/>
            <w:tcBorders>
              <w:tl2br w:val="nil"/>
              <w:tr2bl w:val="nil"/>
            </w:tcBorders>
            <w:noWrap w:val="0"/>
            <w:vAlign w:val="center"/>
          </w:tcPr>
          <w:p w14:paraId="00F2808B">
            <w:pPr>
              <w:pStyle w:val="58"/>
              <w:bidi w:val="0"/>
              <w:rPr>
                <w:rFonts w:hint="default"/>
                <w:highlight w:val="none"/>
                <w:lang w:val="en-US" w:eastAsia="zh-CN"/>
              </w:rPr>
            </w:pPr>
            <w:r>
              <w:rPr>
                <w:rFonts w:hint="default"/>
                <w:highlight w:val="none"/>
                <w:lang w:val="en-US" w:eastAsia="zh-CN"/>
              </w:rPr>
              <w:t>废石英砂</w:t>
            </w:r>
          </w:p>
        </w:tc>
        <w:tc>
          <w:tcPr>
            <w:tcW w:w="2898" w:type="pct"/>
            <w:tcBorders>
              <w:tl2br w:val="nil"/>
              <w:tr2bl w:val="nil"/>
            </w:tcBorders>
            <w:noWrap w:val="0"/>
            <w:vAlign w:val="center"/>
          </w:tcPr>
          <w:p w14:paraId="372CA518">
            <w:pPr>
              <w:pStyle w:val="58"/>
              <w:bidi w:val="0"/>
              <w:rPr>
                <w:rFonts w:hint="default"/>
                <w:highlight w:val="none"/>
                <w:lang w:val="en-US" w:eastAsia="zh-CN"/>
              </w:rPr>
            </w:pPr>
            <w:r>
              <w:rPr>
                <w:rFonts w:hint="default"/>
                <w:highlight w:val="none"/>
                <w:lang w:val="en-US" w:eastAsia="zh-CN"/>
              </w:rPr>
              <w:t>厂家回收，五年更换一次。</w:t>
            </w:r>
          </w:p>
        </w:tc>
      </w:tr>
      <w:tr w14:paraId="598F921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46" w:type="pct"/>
            <w:vMerge w:val="restart"/>
            <w:tcBorders>
              <w:tl2br w:val="nil"/>
              <w:tr2bl w:val="nil"/>
            </w:tcBorders>
            <w:noWrap w:val="0"/>
            <w:vAlign w:val="center"/>
          </w:tcPr>
          <w:p w14:paraId="47E7AF25">
            <w:pPr>
              <w:pStyle w:val="58"/>
              <w:bidi w:val="0"/>
              <w:rPr>
                <w:rFonts w:hint="default"/>
                <w:highlight w:val="none"/>
              </w:rPr>
            </w:pPr>
            <w:r>
              <w:rPr>
                <w:rFonts w:hint="default"/>
                <w:highlight w:val="none"/>
                <w:lang w:val="en-US" w:eastAsia="zh-CN"/>
              </w:rPr>
              <w:t>危险废物</w:t>
            </w:r>
          </w:p>
        </w:tc>
        <w:tc>
          <w:tcPr>
            <w:tcW w:w="824" w:type="pct"/>
            <w:vMerge w:val="restart"/>
            <w:tcBorders>
              <w:tl2br w:val="nil"/>
              <w:tr2bl w:val="nil"/>
            </w:tcBorders>
            <w:noWrap w:val="0"/>
            <w:vAlign w:val="center"/>
          </w:tcPr>
          <w:p w14:paraId="52B90557">
            <w:pPr>
              <w:pStyle w:val="58"/>
              <w:bidi w:val="0"/>
              <w:rPr>
                <w:rFonts w:hint="default"/>
                <w:highlight w:val="none"/>
                <w:lang w:val="en-US" w:eastAsia="zh-CN"/>
              </w:rPr>
            </w:pPr>
            <w:r>
              <w:rPr>
                <w:rFonts w:hint="default"/>
                <w:highlight w:val="none"/>
                <w:lang w:val="en-US" w:eastAsia="zh-CN"/>
              </w:rPr>
              <w:t>设备维护</w:t>
            </w:r>
          </w:p>
        </w:tc>
        <w:tc>
          <w:tcPr>
            <w:tcW w:w="831" w:type="pct"/>
            <w:tcBorders>
              <w:tl2br w:val="nil"/>
              <w:tr2bl w:val="nil"/>
            </w:tcBorders>
            <w:noWrap w:val="0"/>
            <w:vAlign w:val="center"/>
          </w:tcPr>
          <w:p w14:paraId="034CBD76">
            <w:pPr>
              <w:pStyle w:val="58"/>
              <w:bidi w:val="0"/>
              <w:rPr>
                <w:rFonts w:hint="default"/>
                <w:highlight w:val="none"/>
                <w:lang w:val="en-US" w:eastAsia="zh-CN"/>
              </w:rPr>
            </w:pPr>
            <w:r>
              <w:rPr>
                <w:rFonts w:hint="default"/>
                <w:highlight w:val="none"/>
                <w:lang w:val="en-US" w:eastAsia="zh-CN"/>
              </w:rPr>
              <w:t>废润滑油</w:t>
            </w:r>
          </w:p>
        </w:tc>
        <w:tc>
          <w:tcPr>
            <w:tcW w:w="2898" w:type="pct"/>
            <w:vMerge w:val="restart"/>
            <w:tcBorders>
              <w:tl2br w:val="nil"/>
              <w:tr2bl w:val="nil"/>
            </w:tcBorders>
            <w:noWrap w:val="0"/>
            <w:vAlign w:val="center"/>
          </w:tcPr>
          <w:p w14:paraId="628857DC">
            <w:pPr>
              <w:pStyle w:val="58"/>
              <w:bidi w:val="0"/>
              <w:rPr>
                <w:rFonts w:hint="default"/>
                <w:highlight w:val="none"/>
                <w:lang w:val="en-US" w:eastAsia="zh-CN"/>
              </w:rPr>
            </w:pPr>
            <w:r>
              <w:rPr>
                <w:rFonts w:hint="default"/>
                <w:highlight w:val="none"/>
                <w:lang w:val="en-US" w:eastAsia="zh-CN"/>
              </w:rPr>
              <w:t>密闭容器收集，暂存于危废间，定期交有资质单位处理</w:t>
            </w:r>
          </w:p>
        </w:tc>
      </w:tr>
      <w:tr w14:paraId="2C847A6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46" w:type="pct"/>
            <w:vMerge w:val="continue"/>
            <w:tcBorders>
              <w:tl2br w:val="nil"/>
              <w:tr2bl w:val="nil"/>
            </w:tcBorders>
            <w:noWrap w:val="0"/>
            <w:vAlign w:val="center"/>
          </w:tcPr>
          <w:p w14:paraId="4233C0B7">
            <w:pPr>
              <w:pStyle w:val="58"/>
              <w:bidi w:val="0"/>
              <w:rPr>
                <w:rFonts w:hint="default"/>
                <w:highlight w:val="none"/>
                <w:lang w:val="en-US" w:eastAsia="zh-CN"/>
              </w:rPr>
            </w:pPr>
          </w:p>
        </w:tc>
        <w:tc>
          <w:tcPr>
            <w:tcW w:w="824" w:type="pct"/>
            <w:vMerge w:val="continue"/>
            <w:tcBorders>
              <w:tl2br w:val="nil"/>
              <w:tr2bl w:val="nil"/>
            </w:tcBorders>
            <w:noWrap w:val="0"/>
            <w:vAlign w:val="center"/>
          </w:tcPr>
          <w:p w14:paraId="083E6456">
            <w:pPr>
              <w:pStyle w:val="58"/>
              <w:bidi w:val="0"/>
              <w:rPr>
                <w:rFonts w:hint="default"/>
                <w:highlight w:val="none"/>
                <w:lang w:val="en-US" w:eastAsia="zh-CN"/>
              </w:rPr>
            </w:pPr>
          </w:p>
        </w:tc>
        <w:tc>
          <w:tcPr>
            <w:tcW w:w="831" w:type="pct"/>
            <w:tcBorders>
              <w:tl2br w:val="nil"/>
              <w:tr2bl w:val="nil"/>
            </w:tcBorders>
            <w:noWrap w:val="0"/>
            <w:vAlign w:val="center"/>
          </w:tcPr>
          <w:p w14:paraId="1FFF760B">
            <w:pPr>
              <w:pStyle w:val="58"/>
              <w:bidi w:val="0"/>
              <w:rPr>
                <w:rFonts w:hint="default"/>
                <w:highlight w:val="none"/>
                <w:lang w:val="en-US" w:eastAsia="zh-CN"/>
              </w:rPr>
            </w:pPr>
            <w:r>
              <w:rPr>
                <w:rFonts w:hint="default"/>
                <w:highlight w:val="none"/>
                <w:lang w:val="en-US" w:eastAsia="zh-CN"/>
              </w:rPr>
              <w:t>废液压油</w:t>
            </w:r>
          </w:p>
        </w:tc>
        <w:tc>
          <w:tcPr>
            <w:tcW w:w="2898" w:type="pct"/>
            <w:vMerge w:val="continue"/>
            <w:tcBorders>
              <w:tl2br w:val="nil"/>
              <w:tr2bl w:val="nil"/>
            </w:tcBorders>
            <w:noWrap w:val="0"/>
            <w:vAlign w:val="center"/>
          </w:tcPr>
          <w:p w14:paraId="673F9182">
            <w:pPr>
              <w:pStyle w:val="58"/>
              <w:bidi w:val="0"/>
              <w:rPr>
                <w:rFonts w:hint="default"/>
                <w:highlight w:val="none"/>
                <w:lang w:val="en-US" w:eastAsia="zh-CN"/>
              </w:rPr>
            </w:pPr>
          </w:p>
        </w:tc>
      </w:tr>
      <w:tr w14:paraId="058B9A9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446" w:type="pct"/>
            <w:vMerge w:val="continue"/>
            <w:tcBorders>
              <w:tl2br w:val="nil"/>
              <w:tr2bl w:val="nil"/>
            </w:tcBorders>
            <w:noWrap w:val="0"/>
            <w:vAlign w:val="center"/>
          </w:tcPr>
          <w:p w14:paraId="6FF06BD4">
            <w:pPr>
              <w:pStyle w:val="58"/>
              <w:bidi w:val="0"/>
              <w:rPr>
                <w:rFonts w:hint="default"/>
                <w:highlight w:val="none"/>
              </w:rPr>
            </w:pPr>
          </w:p>
        </w:tc>
        <w:tc>
          <w:tcPr>
            <w:tcW w:w="824" w:type="pct"/>
            <w:vMerge w:val="continue"/>
            <w:tcBorders>
              <w:tl2br w:val="nil"/>
              <w:tr2bl w:val="nil"/>
            </w:tcBorders>
            <w:noWrap w:val="0"/>
            <w:vAlign w:val="center"/>
          </w:tcPr>
          <w:p w14:paraId="53F76BD1">
            <w:pPr>
              <w:pStyle w:val="58"/>
              <w:bidi w:val="0"/>
              <w:rPr>
                <w:rFonts w:hint="default"/>
                <w:highlight w:val="none"/>
                <w:lang w:val="en-US" w:eastAsia="zh-CN"/>
              </w:rPr>
            </w:pPr>
          </w:p>
        </w:tc>
        <w:tc>
          <w:tcPr>
            <w:tcW w:w="831" w:type="pct"/>
            <w:tcBorders>
              <w:tl2br w:val="nil"/>
              <w:tr2bl w:val="nil"/>
            </w:tcBorders>
            <w:noWrap w:val="0"/>
            <w:vAlign w:val="center"/>
          </w:tcPr>
          <w:p w14:paraId="7FCBCF1D">
            <w:pPr>
              <w:pStyle w:val="58"/>
              <w:bidi w:val="0"/>
              <w:rPr>
                <w:rFonts w:hint="default"/>
                <w:highlight w:val="none"/>
                <w:lang w:val="en-US" w:eastAsia="zh-CN"/>
              </w:rPr>
            </w:pPr>
            <w:r>
              <w:rPr>
                <w:rFonts w:hint="default"/>
                <w:highlight w:val="none"/>
                <w:lang w:val="en-US" w:eastAsia="zh-CN"/>
              </w:rPr>
              <w:t>废油桶</w:t>
            </w:r>
          </w:p>
        </w:tc>
        <w:tc>
          <w:tcPr>
            <w:tcW w:w="2898" w:type="pct"/>
            <w:vMerge w:val="continue"/>
            <w:tcBorders>
              <w:tl2br w:val="nil"/>
              <w:tr2bl w:val="nil"/>
            </w:tcBorders>
            <w:noWrap w:val="0"/>
            <w:vAlign w:val="center"/>
          </w:tcPr>
          <w:p w14:paraId="525416CE">
            <w:pPr>
              <w:pStyle w:val="58"/>
              <w:bidi w:val="0"/>
              <w:rPr>
                <w:rFonts w:hint="default"/>
                <w:highlight w:val="none"/>
                <w:lang w:val="en-US" w:eastAsia="zh-CN"/>
              </w:rPr>
            </w:pPr>
          </w:p>
        </w:tc>
      </w:tr>
      <w:tr w14:paraId="3BE9AAA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446" w:type="pct"/>
            <w:vMerge w:val="continue"/>
            <w:tcBorders>
              <w:tl2br w:val="nil"/>
              <w:tr2bl w:val="nil"/>
            </w:tcBorders>
            <w:noWrap w:val="0"/>
            <w:vAlign w:val="center"/>
          </w:tcPr>
          <w:p w14:paraId="30075EF7">
            <w:pPr>
              <w:pStyle w:val="58"/>
              <w:bidi w:val="0"/>
              <w:rPr>
                <w:rFonts w:hint="default"/>
                <w:highlight w:val="none"/>
              </w:rPr>
            </w:pPr>
          </w:p>
        </w:tc>
        <w:tc>
          <w:tcPr>
            <w:tcW w:w="1528" w:type="dxa"/>
            <w:tcBorders>
              <w:tl2br w:val="nil"/>
              <w:tr2bl w:val="nil"/>
            </w:tcBorders>
            <w:noWrap w:val="0"/>
            <w:vAlign w:val="center"/>
          </w:tcPr>
          <w:p w14:paraId="6AD653C3">
            <w:pPr>
              <w:pStyle w:val="58"/>
              <w:bidi w:val="0"/>
              <w:ind w:firstLine="0" w:firstLineChars="0"/>
              <w:rPr>
                <w:rFonts w:hint="default"/>
                <w:highlight w:val="none"/>
                <w:lang w:val="en-US" w:eastAsia="zh-CN"/>
              </w:rPr>
            </w:pPr>
            <w:r>
              <w:rPr>
                <w:rFonts w:hint="eastAsia"/>
                <w:highlight w:val="none"/>
                <w:lang w:val="en-US" w:eastAsia="zh-CN"/>
              </w:rPr>
              <w:t>等离子光电一体机</w:t>
            </w:r>
          </w:p>
        </w:tc>
        <w:tc>
          <w:tcPr>
            <w:tcW w:w="1541" w:type="dxa"/>
            <w:tcBorders>
              <w:tl2br w:val="nil"/>
              <w:tr2bl w:val="nil"/>
            </w:tcBorders>
            <w:noWrap w:val="0"/>
            <w:vAlign w:val="center"/>
          </w:tcPr>
          <w:p w14:paraId="3CCFADD3">
            <w:pPr>
              <w:pStyle w:val="58"/>
              <w:bidi w:val="0"/>
              <w:ind w:firstLine="0" w:firstLineChars="0"/>
              <w:rPr>
                <w:rFonts w:hint="default"/>
                <w:highlight w:val="none"/>
                <w:lang w:val="en-US" w:eastAsia="zh-CN"/>
              </w:rPr>
            </w:pPr>
            <w:r>
              <w:rPr>
                <w:rFonts w:hint="eastAsia"/>
                <w:highlight w:val="none"/>
                <w:lang w:val="en-US" w:eastAsia="zh-CN"/>
              </w:rPr>
              <w:t>废UV灯管</w:t>
            </w:r>
          </w:p>
        </w:tc>
        <w:tc>
          <w:tcPr>
            <w:tcW w:w="2898" w:type="pct"/>
            <w:vMerge w:val="continue"/>
            <w:tcBorders>
              <w:tl2br w:val="nil"/>
              <w:tr2bl w:val="nil"/>
            </w:tcBorders>
            <w:noWrap w:val="0"/>
            <w:vAlign w:val="center"/>
          </w:tcPr>
          <w:p w14:paraId="31C85728">
            <w:pPr>
              <w:pStyle w:val="58"/>
              <w:bidi w:val="0"/>
              <w:rPr>
                <w:rFonts w:hint="default"/>
                <w:highlight w:val="none"/>
                <w:lang w:val="en-US" w:eastAsia="zh-CN"/>
              </w:rPr>
            </w:pPr>
          </w:p>
        </w:tc>
      </w:tr>
      <w:tr w14:paraId="148B87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446" w:type="pct"/>
            <w:vMerge w:val="continue"/>
            <w:tcBorders>
              <w:tl2br w:val="nil"/>
              <w:tr2bl w:val="nil"/>
            </w:tcBorders>
            <w:noWrap w:val="0"/>
            <w:vAlign w:val="center"/>
          </w:tcPr>
          <w:p w14:paraId="232D8494">
            <w:pPr>
              <w:pStyle w:val="58"/>
              <w:bidi w:val="0"/>
              <w:rPr>
                <w:rFonts w:hint="default"/>
                <w:highlight w:val="none"/>
              </w:rPr>
            </w:pPr>
          </w:p>
        </w:tc>
        <w:tc>
          <w:tcPr>
            <w:tcW w:w="824" w:type="pct"/>
            <w:vMerge w:val="restart"/>
            <w:tcBorders>
              <w:tl2br w:val="nil"/>
              <w:tr2bl w:val="nil"/>
            </w:tcBorders>
            <w:noWrap w:val="0"/>
            <w:vAlign w:val="center"/>
          </w:tcPr>
          <w:p w14:paraId="23F27369">
            <w:pPr>
              <w:pStyle w:val="58"/>
              <w:bidi w:val="0"/>
              <w:rPr>
                <w:rFonts w:hint="default"/>
                <w:highlight w:val="none"/>
                <w:lang w:val="en-US" w:eastAsia="zh-CN"/>
              </w:rPr>
            </w:pPr>
            <w:bookmarkStart w:id="184" w:name="OLE_LINK35"/>
            <w:r>
              <w:rPr>
                <w:rFonts w:hint="eastAsia"/>
                <w:highlight w:val="none"/>
                <w:lang w:val="en-US" w:eastAsia="zh-CN"/>
              </w:rPr>
              <w:t>实验室</w:t>
            </w:r>
            <w:r>
              <w:rPr>
                <w:rFonts w:hint="default"/>
                <w:highlight w:val="none"/>
                <w:lang w:val="en-US" w:eastAsia="zh-CN"/>
              </w:rPr>
              <w:t>及在线监测设备</w:t>
            </w:r>
            <w:bookmarkEnd w:id="184"/>
          </w:p>
        </w:tc>
        <w:tc>
          <w:tcPr>
            <w:tcW w:w="831" w:type="pct"/>
            <w:tcBorders>
              <w:tl2br w:val="nil"/>
              <w:tr2bl w:val="nil"/>
            </w:tcBorders>
            <w:noWrap w:val="0"/>
            <w:vAlign w:val="center"/>
          </w:tcPr>
          <w:p w14:paraId="1313958E">
            <w:pPr>
              <w:pStyle w:val="58"/>
              <w:bidi w:val="0"/>
              <w:rPr>
                <w:rFonts w:hint="default"/>
                <w:highlight w:val="none"/>
                <w:lang w:val="en-US" w:eastAsia="zh-CN"/>
              </w:rPr>
            </w:pPr>
            <w:r>
              <w:rPr>
                <w:rFonts w:hint="eastAsia"/>
                <w:highlight w:val="none"/>
                <w:lang w:val="en-US" w:eastAsia="zh-CN"/>
              </w:rPr>
              <w:t>实验室废液</w:t>
            </w:r>
          </w:p>
        </w:tc>
        <w:tc>
          <w:tcPr>
            <w:tcW w:w="2898" w:type="pct"/>
            <w:vMerge w:val="continue"/>
            <w:tcBorders>
              <w:tl2br w:val="nil"/>
              <w:tr2bl w:val="nil"/>
            </w:tcBorders>
            <w:noWrap w:val="0"/>
            <w:vAlign w:val="center"/>
          </w:tcPr>
          <w:p w14:paraId="02CE7289">
            <w:pPr>
              <w:pStyle w:val="58"/>
              <w:bidi w:val="0"/>
              <w:rPr>
                <w:rFonts w:hint="default"/>
                <w:highlight w:val="none"/>
                <w:lang w:val="en-US" w:eastAsia="zh-CN"/>
              </w:rPr>
            </w:pPr>
          </w:p>
        </w:tc>
      </w:tr>
      <w:tr w14:paraId="7AEDCC3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446" w:type="pct"/>
            <w:vMerge w:val="continue"/>
            <w:tcBorders>
              <w:tl2br w:val="nil"/>
              <w:tr2bl w:val="nil"/>
            </w:tcBorders>
            <w:noWrap w:val="0"/>
            <w:vAlign w:val="center"/>
          </w:tcPr>
          <w:p w14:paraId="56C54E29">
            <w:pPr>
              <w:pStyle w:val="58"/>
              <w:bidi w:val="0"/>
              <w:rPr>
                <w:rFonts w:hint="default"/>
                <w:highlight w:val="none"/>
              </w:rPr>
            </w:pPr>
          </w:p>
        </w:tc>
        <w:tc>
          <w:tcPr>
            <w:tcW w:w="824" w:type="pct"/>
            <w:vMerge w:val="continue"/>
            <w:tcBorders>
              <w:tl2br w:val="nil"/>
              <w:tr2bl w:val="nil"/>
            </w:tcBorders>
            <w:noWrap w:val="0"/>
            <w:vAlign w:val="center"/>
          </w:tcPr>
          <w:p w14:paraId="64B240AC">
            <w:pPr>
              <w:pStyle w:val="58"/>
              <w:bidi w:val="0"/>
              <w:rPr>
                <w:rFonts w:hint="eastAsia"/>
                <w:highlight w:val="none"/>
                <w:lang w:val="en-US" w:eastAsia="zh-CN"/>
              </w:rPr>
            </w:pPr>
          </w:p>
        </w:tc>
        <w:tc>
          <w:tcPr>
            <w:tcW w:w="831" w:type="pct"/>
            <w:tcBorders>
              <w:tl2br w:val="nil"/>
              <w:tr2bl w:val="nil"/>
            </w:tcBorders>
            <w:noWrap w:val="0"/>
            <w:vAlign w:val="center"/>
          </w:tcPr>
          <w:p w14:paraId="01EA08D5">
            <w:pPr>
              <w:pStyle w:val="58"/>
              <w:bidi w:val="0"/>
              <w:rPr>
                <w:rFonts w:hint="default"/>
                <w:highlight w:val="none"/>
                <w:lang w:val="en-US" w:eastAsia="zh-CN"/>
              </w:rPr>
            </w:pPr>
            <w:r>
              <w:rPr>
                <w:rFonts w:hint="eastAsia"/>
                <w:highlight w:val="none"/>
                <w:lang w:val="en-US" w:eastAsia="zh-CN"/>
              </w:rPr>
              <w:t>在线监测废液</w:t>
            </w:r>
          </w:p>
        </w:tc>
        <w:tc>
          <w:tcPr>
            <w:tcW w:w="2898" w:type="pct"/>
            <w:vMerge w:val="continue"/>
            <w:tcBorders>
              <w:tl2br w:val="nil"/>
              <w:tr2bl w:val="nil"/>
            </w:tcBorders>
            <w:noWrap w:val="0"/>
            <w:vAlign w:val="center"/>
          </w:tcPr>
          <w:p w14:paraId="1B3DAEC1">
            <w:pPr>
              <w:pStyle w:val="58"/>
              <w:bidi w:val="0"/>
              <w:rPr>
                <w:rFonts w:hint="default"/>
                <w:highlight w:val="none"/>
                <w:lang w:val="en-US" w:eastAsia="zh-CN"/>
              </w:rPr>
            </w:pPr>
          </w:p>
        </w:tc>
      </w:tr>
      <w:tr w14:paraId="106573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446" w:type="pct"/>
            <w:vMerge w:val="continue"/>
            <w:tcBorders>
              <w:tl2br w:val="nil"/>
              <w:tr2bl w:val="nil"/>
            </w:tcBorders>
            <w:noWrap w:val="0"/>
            <w:vAlign w:val="center"/>
          </w:tcPr>
          <w:p w14:paraId="22BBDBF4">
            <w:pPr>
              <w:pStyle w:val="58"/>
              <w:bidi w:val="0"/>
              <w:rPr>
                <w:rFonts w:hint="default"/>
                <w:highlight w:val="none"/>
              </w:rPr>
            </w:pPr>
          </w:p>
        </w:tc>
        <w:tc>
          <w:tcPr>
            <w:tcW w:w="824" w:type="pct"/>
            <w:vMerge w:val="continue"/>
            <w:tcBorders>
              <w:tl2br w:val="nil"/>
              <w:tr2bl w:val="nil"/>
            </w:tcBorders>
            <w:noWrap w:val="0"/>
            <w:vAlign w:val="center"/>
          </w:tcPr>
          <w:p w14:paraId="30207B99">
            <w:pPr>
              <w:pStyle w:val="58"/>
              <w:bidi w:val="0"/>
              <w:rPr>
                <w:rFonts w:hint="default"/>
                <w:highlight w:val="none"/>
                <w:lang w:val="en-US" w:eastAsia="zh-CN"/>
              </w:rPr>
            </w:pPr>
          </w:p>
        </w:tc>
        <w:tc>
          <w:tcPr>
            <w:tcW w:w="831" w:type="pct"/>
            <w:tcBorders>
              <w:tl2br w:val="nil"/>
              <w:tr2bl w:val="nil"/>
            </w:tcBorders>
            <w:noWrap w:val="0"/>
            <w:vAlign w:val="center"/>
          </w:tcPr>
          <w:p w14:paraId="14E0860E">
            <w:pPr>
              <w:pStyle w:val="58"/>
              <w:bidi w:val="0"/>
              <w:rPr>
                <w:rFonts w:hint="default"/>
                <w:highlight w:val="none"/>
                <w:lang w:val="en-US" w:eastAsia="zh-CN"/>
              </w:rPr>
            </w:pPr>
            <w:r>
              <w:rPr>
                <w:rFonts w:hint="eastAsia"/>
                <w:highlight w:val="none"/>
                <w:lang w:val="en-US" w:eastAsia="zh-CN"/>
              </w:rPr>
              <w:t>实验室废试剂瓶</w:t>
            </w:r>
          </w:p>
        </w:tc>
        <w:tc>
          <w:tcPr>
            <w:tcW w:w="2898" w:type="pct"/>
            <w:vMerge w:val="continue"/>
            <w:tcBorders>
              <w:tl2br w:val="nil"/>
              <w:tr2bl w:val="nil"/>
            </w:tcBorders>
            <w:noWrap w:val="0"/>
            <w:vAlign w:val="center"/>
          </w:tcPr>
          <w:p w14:paraId="3738E52C">
            <w:pPr>
              <w:pStyle w:val="58"/>
              <w:bidi w:val="0"/>
              <w:rPr>
                <w:rFonts w:hint="default"/>
                <w:highlight w:val="none"/>
                <w:lang w:val="en-US" w:eastAsia="zh-CN"/>
              </w:rPr>
            </w:pPr>
          </w:p>
        </w:tc>
      </w:tr>
      <w:bookmarkEnd w:id="176"/>
    </w:tbl>
    <w:p w14:paraId="33DFFA58">
      <w:pPr>
        <w:pStyle w:val="7"/>
        <w:bidi w:val="0"/>
        <w:rPr>
          <w:rFonts w:hint="default" w:ascii="Times New Roman" w:hAnsi="Times New Roman" w:eastAsia="宋体" w:cs="Times New Roman"/>
          <w:color w:val="000000" w:themeColor="text1"/>
          <w:sz w:val="24"/>
          <w:szCs w:val="24"/>
          <w:highlight w:val="none"/>
          <w:lang w:val="zh-CN"/>
          <w14:textFill>
            <w14:solidFill>
              <w14:schemeClr w14:val="tx1"/>
            </w14:solidFill>
          </w14:textFill>
        </w:rPr>
      </w:pPr>
      <w:bookmarkStart w:id="185" w:name="_Toc10987"/>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lang w:val="zh-CN"/>
          <w14:textFill>
            <w14:solidFill>
              <w14:schemeClr w14:val="tx1"/>
            </w14:solidFill>
          </w14:textFill>
        </w:rPr>
        <w:t>主要污染源、污染物治理措施</w:t>
      </w:r>
      <w:bookmarkEnd w:id="177"/>
      <w:bookmarkEnd w:id="185"/>
      <w:bookmarkStart w:id="186" w:name="_Toc389681166"/>
      <w:bookmarkStart w:id="187" w:name="_Toc498880611"/>
      <w:bookmarkStart w:id="188" w:name="_Toc390963109"/>
    </w:p>
    <w:p w14:paraId="392ED461">
      <w:pPr>
        <w:pStyle w:val="6"/>
        <w:pageBreakBefore w:val="0"/>
        <w:widowControl w:val="0"/>
        <w:kinsoku/>
        <w:wordWrap/>
        <w:overflowPunct/>
        <w:topLinePunct w:val="0"/>
        <w:autoSpaceDE/>
        <w:autoSpaceDN/>
        <w:bidi w:val="0"/>
        <w:adjustRightInd/>
        <w:snapToGrid/>
        <w:spacing w:before="0" w:beforeLines="0" w:after="0" w:afterLines="0" w:line="480" w:lineRule="exact"/>
        <w:ind w:firstLine="0" w:firstLineChars="0"/>
        <w:textAlignment w:val="auto"/>
        <w:rPr>
          <w:rFonts w:hint="default" w:ascii="Times New Roman" w:hAnsi="Times New Roman" w:eastAsia="宋体" w:cs="Times New Roman"/>
          <w:color w:val="000000" w:themeColor="text1"/>
          <w:highlight w:val="none"/>
          <w:lang w:val="zh-CN"/>
          <w14:textFill>
            <w14:solidFill>
              <w14:schemeClr w14:val="tx1"/>
            </w14:solidFill>
          </w14:textFill>
        </w:rPr>
      </w:pPr>
      <w:r>
        <w:rPr>
          <w:rFonts w:hint="default" w:ascii="Times New Roman" w:hAnsi="Times New Roman" w:eastAsia="宋体" w:cs="Times New Roman"/>
          <w:color w:val="000000" w:themeColor="text1"/>
          <w:highlight w:val="none"/>
          <w:lang w:val="zh-CN"/>
          <w14:textFill>
            <w14:solidFill>
              <w14:schemeClr w14:val="tx1"/>
            </w14:solidFill>
          </w14:textFill>
        </w:rPr>
        <w:t>3.</w:t>
      </w:r>
      <w:r>
        <w:rPr>
          <w:rFonts w:hint="default" w:ascii="Times New Roman" w:hAnsi="Times New Roman" w:eastAsia="宋体" w:cs="Times New Roman"/>
          <w:color w:val="000000" w:themeColor="text1"/>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highlight w:val="none"/>
          <w:lang w:val="zh-CN"/>
          <w14:textFill>
            <w14:solidFill>
              <w14:schemeClr w14:val="tx1"/>
            </w14:solidFill>
          </w14:textFill>
        </w:rPr>
        <w:t>.1废气</w:t>
      </w:r>
      <w:bookmarkEnd w:id="186"/>
      <w:bookmarkEnd w:id="187"/>
      <w:bookmarkEnd w:id="188"/>
    </w:p>
    <w:p w14:paraId="440CAB73">
      <w:pPr>
        <w:pStyle w:val="8"/>
        <w:bidi w:val="0"/>
        <w:rPr>
          <w:rFonts w:hint="default"/>
          <w:highlight w:val="none"/>
        </w:rPr>
      </w:pPr>
      <w:bookmarkStart w:id="189" w:name="_Toc499462586"/>
      <w:bookmarkStart w:id="190" w:name="_Toc389680597"/>
      <w:bookmarkStart w:id="191" w:name="_Toc499189064"/>
      <w:bookmarkStart w:id="192" w:name="_Toc389681167"/>
      <w:bookmarkStart w:id="193" w:name="_Toc499351526"/>
      <w:bookmarkStart w:id="194" w:name="_Toc498880612"/>
      <w:bookmarkStart w:id="195" w:name="_Toc498876858"/>
      <w:r>
        <w:rPr>
          <w:rFonts w:hint="default"/>
          <w:highlight w:val="none"/>
        </w:rPr>
        <w:t>3.3.1.</w:t>
      </w:r>
      <w:r>
        <w:rPr>
          <w:rFonts w:hint="default"/>
          <w:highlight w:val="none"/>
          <w:lang w:val="en-US" w:eastAsia="zh-CN"/>
        </w:rPr>
        <w:t>1</w:t>
      </w:r>
      <w:r>
        <w:rPr>
          <w:rFonts w:hint="eastAsia"/>
          <w:highlight w:val="none"/>
          <w:lang w:val="en-US" w:eastAsia="zh-CN"/>
        </w:rPr>
        <w:t>有</w:t>
      </w:r>
      <w:r>
        <w:rPr>
          <w:rFonts w:hint="default"/>
          <w:highlight w:val="none"/>
        </w:rPr>
        <w:t>组织废气</w:t>
      </w:r>
    </w:p>
    <w:p w14:paraId="246B6898">
      <w:pPr>
        <w:bidi w:val="0"/>
        <w:rPr>
          <w:rFonts w:hint="default"/>
          <w:highlight w:val="none"/>
        </w:rPr>
      </w:pPr>
      <w:r>
        <w:rPr>
          <w:rFonts w:hint="default"/>
          <w:highlight w:val="none"/>
        </w:rPr>
        <w:t>（1）废气产生源分析</w:t>
      </w:r>
    </w:p>
    <w:p w14:paraId="7D9A72ED">
      <w:pPr>
        <w:bidi w:val="0"/>
        <w:rPr>
          <w:rFonts w:hint="default"/>
          <w:highlight w:val="none"/>
        </w:rPr>
      </w:pPr>
      <w:r>
        <w:rPr>
          <w:rFonts w:hint="default"/>
          <w:highlight w:val="none"/>
        </w:rPr>
        <w:t>污水处理厂的臭气主要来源于污水处理构筑物和污泥处理构筑物。早前，Frechen曾对德国100多家</w:t>
      </w:r>
      <w:r>
        <w:rPr>
          <w:rFonts w:hint="eastAsia"/>
          <w:highlight w:val="none"/>
          <w:lang w:eastAsia="zh-CN"/>
        </w:rPr>
        <w:t>污水处理厂</w:t>
      </w:r>
      <w:r>
        <w:rPr>
          <w:rFonts w:hint="default"/>
          <w:highlight w:val="none"/>
        </w:rPr>
        <w:t>的臭气源进行调查，结果表明臭气问题较严重的区域是进水区域和污泥处理区域。我国许多污水处理厂对自身生产过程中所产生的臭气也进行过检测，清华大学席劲瑛等对我国南方某城市污水处理厂的恶臭排放规律进行了考察和研究，发现厂区内主要的恶臭污染源包括粗格栅、曝气沉砂池和污泥脱水间。另外一些学者对北京清河污水处理厂对恶臭污染物进行了监测，结果表明污水处理厂恶臭发生源地主要是贮泥池、污泥池、污泥脱水机房以及</w:t>
      </w:r>
      <w:r>
        <w:rPr>
          <w:rFonts w:hint="eastAsia"/>
          <w:highlight w:val="none"/>
          <w:lang w:val="en-US" w:eastAsia="zh-CN"/>
        </w:rPr>
        <w:t>污水调节池</w:t>
      </w:r>
      <w:r>
        <w:rPr>
          <w:rFonts w:hint="default"/>
          <w:highlight w:val="none"/>
        </w:rPr>
        <w:t>和格栅处。</w:t>
      </w:r>
    </w:p>
    <w:p w14:paraId="0A77E8BD">
      <w:pPr>
        <w:bidi w:val="0"/>
        <w:rPr>
          <w:rFonts w:hint="default"/>
          <w:highlight w:val="none"/>
          <w:lang w:val="en-US" w:eastAsia="zh-CN"/>
        </w:rPr>
      </w:pPr>
      <w:r>
        <w:rPr>
          <w:rFonts w:hint="default"/>
          <w:highlight w:val="none"/>
        </w:rPr>
        <w:t>综上，本项目恶臭气体主要来自污水处理单元（格栅</w:t>
      </w:r>
      <w:r>
        <w:rPr>
          <w:rFonts w:hint="eastAsia"/>
          <w:highlight w:val="none"/>
          <w:lang w:val="en-US" w:eastAsia="zh-CN"/>
        </w:rPr>
        <w:t>渠及</w:t>
      </w:r>
      <w:r>
        <w:rPr>
          <w:rFonts w:hint="default"/>
          <w:highlight w:val="none"/>
        </w:rPr>
        <w:t>调节池、</w:t>
      </w:r>
      <w:r>
        <w:rPr>
          <w:rFonts w:hint="eastAsia"/>
          <w:highlight w:val="none"/>
          <w:lang w:val="en-US" w:eastAsia="zh-CN"/>
        </w:rPr>
        <w:t>A</w:t>
      </w:r>
      <w:r>
        <w:rPr>
          <w:rFonts w:hint="eastAsia"/>
          <w:highlight w:val="none"/>
          <w:vertAlign w:val="superscript"/>
          <w:lang w:val="en-US" w:eastAsia="zh-CN"/>
        </w:rPr>
        <w:t>2</w:t>
      </w:r>
      <w:r>
        <w:rPr>
          <w:rFonts w:hint="eastAsia"/>
          <w:highlight w:val="none"/>
          <w:lang w:val="en-US" w:eastAsia="zh-CN"/>
        </w:rPr>
        <w:t>O</w:t>
      </w:r>
      <w:r>
        <w:rPr>
          <w:rFonts w:hint="default"/>
          <w:highlight w:val="none"/>
          <w:lang w:val="en-US" w:eastAsia="zh-CN"/>
        </w:rPr>
        <w:t>一体化处理设备</w:t>
      </w:r>
      <w:r>
        <w:rPr>
          <w:rFonts w:hint="default"/>
          <w:highlight w:val="none"/>
        </w:rPr>
        <w:t>）、污泥处理单元（污泥池、污泥脱水</w:t>
      </w:r>
      <w:r>
        <w:rPr>
          <w:rFonts w:hint="default"/>
          <w:highlight w:val="none"/>
          <w:lang w:val="en-US" w:eastAsia="zh-CN"/>
        </w:rPr>
        <w:t>间</w:t>
      </w:r>
      <w:r>
        <w:rPr>
          <w:rFonts w:hint="default"/>
          <w:highlight w:val="none"/>
        </w:rPr>
        <w:t>）等。</w:t>
      </w:r>
    </w:p>
    <w:p w14:paraId="7B36D8FD">
      <w:pPr>
        <w:bidi w:val="0"/>
        <w:rPr>
          <w:rFonts w:hint="default"/>
          <w:highlight w:val="none"/>
        </w:rPr>
      </w:pPr>
      <w:r>
        <w:rPr>
          <w:rFonts w:hint="default"/>
          <w:highlight w:val="none"/>
        </w:rPr>
        <w:t>（2）废气成分分析</w:t>
      </w:r>
    </w:p>
    <w:p w14:paraId="40AF347D">
      <w:pPr>
        <w:bidi w:val="0"/>
        <w:rPr>
          <w:rFonts w:hint="default"/>
          <w:highlight w:val="none"/>
        </w:rPr>
      </w:pPr>
      <w:r>
        <w:rPr>
          <w:rFonts w:hint="default"/>
          <w:highlight w:val="none"/>
        </w:rPr>
        <w:t>根据《污水处理厂恶臭污染状况分析与评价》（郭静等发表于《中国给水排水》2002年18卷第2期）研究成果，污水处理厂恶臭是多种物质的混合物，有NH</w:t>
      </w:r>
      <w:r>
        <w:rPr>
          <w:rFonts w:hint="default"/>
          <w:highlight w:val="none"/>
          <w:vertAlign w:val="subscript"/>
        </w:rPr>
        <w:t>3</w:t>
      </w:r>
      <w:r>
        <w:rPr>
          <w:rFonts w:hint="default"/>
          <w:highlight w:val="none"/>
        </w:rPr>
        <w:t>、H</w:t>
      </w:r>
      <w:r>
        <w:rPr>
          <w:rFonts w:hint="default"/>
          <w:highlight w:val="none"/>
          <w:vertAlign w:val="subscript"/>
        </w:rPr>
        <w:t>2</w:t>
      </w:r>
      <w:r>
        <w:rPr>
          <w:rFonts w:hint="default"/>
          <w:highlight w:val="none"/>
        </w:rPr>
        <w:t>S、甲硫醇、甲硫醚、二甲硫醚、三甲胺、乙醛、苯乙烯等，最主要的是H</w:t>
      </w:r>
      <w:r>
        <w:rPr>
          <w:rFonts w:hint="default"/>
          <w:highlight w:val="none"/>
          <w:vertAlign w:val="subscript"/>
        </w:rPr>
        <w:t>2</w:t>
      </w:r>
      <w:r>
        <w:rPr>
          <w:rFonts w:hint="default"/>
          <w:highlight w:val="none"/>
        </w:rPr>
        <w:t>S和NH</w:t>
      </w:r>
      <w:r>
        <w:rPr>
          <w:rFonts w:hint="default"/>
          <w:highlight w:val="none"/>
          <w:vertAlign w:val="subscript"/>
        </w:rPr>
        <w:t>3</w:t>
      </w:r>
      <w:r>
        <w:rPr>
          <w:rFonts w:hint="default"/>
          <w:highlight w:val="none"/>
        </w:rPr>
        <w:t>。恶臭气体的产生量与污水水质、污水水力停留时间等因素有关，本项目源强采用类比的方法确定。综合同类污水处理厂类比调查资料，结合本污水处理厂特点，根据设计的构筑物表面积估算污水处理厂的废气源强。</w:t>
      </w:r>
    </w:p>
    <w:p w14:paraId="77FCA5E5">
      <w:pPr>
        <w:bidi w:val="0"/>
        <w:rPr>
          <w:rFonts w:hint="default"/>
          <w:highlight w:val="none"/>
        </w:rPr>
      </w:pPr>
      <w:r>
        <w:rPr>
          <w:rFonts w:hint="default"/>
          <w:highlight w:val="none"/>
        </w:rPr>
        <w:t>（3）废气产生量分析</w:t>
      </w:r>
    </w:p>
    <w:p w14:paraId="25BE1509">
      <w:pPr>
        <w:bidi w:val="0"/>
        <w:rPr>
          <w:rFonts w:hint="default"/>
          <w:highlight w:val="none"/>
        </w:rPr>
      </w:pPr>
      <w:r>
        <w:rPr>
          <w:rFonts w:hint="default"/>
          <w:highlight w:val="none"/>
        </w:rPr>
        <w:t>恶臭气体的产生量与污水水质、污水水力停留时间等因素有关，本项目源强采用类比的方法确定。综合同类污水处理厂类比调查资料，结合本污水处理厂特点，根据设计的构筑物表面积估算污水处理厂的废气源强。具体情况见表3</w:t>
      </w:r>
      <w:r>
        <w:rPr>
          <w:rFonts w:hint="eastAsia"/>
          <w:highlight w:val="none"/>
          <w:lang w:val="en-US" w:eastAsia="zh-CN"/>
        </w:rPr>
        <w:t>.3</w:t>
      </w:r>
      <w:r>
        <w:rPr>
          <w:rFonts w:hint="default"/>
          <w:highlight w:val="none"/>
        </w:rPr>
        <w:t>-1、3</w:t>
      </w:r>
      <w:r>
        <w:rPr>
          <w:rFonts w:hint="eastAsia"/>
          <w:highlight w:val="none"/>
          <w:lang w:val="en-US" w:eastAsia="zh-CN"/>
        </w:rPr>
        <w:t>.3</w:t>
      </w:r>
      <w:r>
        <w:rPr>
          <w:rFonts w:hint="default"/>
          <w:highlight w:val="none"/>
        </w:rPr>
        <w:t>-</w:t>
      </w:r>
      <w:r>
        <w:rPr>
          <w:rFonts w:hint="eastAsia"/>
          <w:highlight w:val="none"/>
          <w:lang w:val="en-US" w:eastAsia="zh-CN"/>
        </w:rPr>
        <w:t>2</w:t>
      </w:r>
      <w:r>
        <w:rPr>
          <w:rFonts w:hint="default"/>
          <w:highlight w:val="none"/>
        </w:rPr>
        <w:t>。</w:t>
      </w:r>
    </w:p>
    <w:p w14:paraId="37F57DA9">
      <w:pPr>
        <w:pStyle w:val="20"/>
        <w:numPr>
          <w:ilvl w:val="0"/>
          <w:numId w:val="27"/>
        </w:numPr>
        <w:spacing w:after="0" w:line="440" w:lineRule="exact"/>
        <w:ind w:left="425" w:leftChars="0" w:hanging="425" w:firstLineChars="0"/>
        <w:jc w:val="center"/>
        <w:rPr>
          <w:rFonts w:hint="default" w:ascii="Times New Roman" w:hAnsi="Times New Roman" w:eastAsia="宋体" w:cs="Times New Roman"/>
          <w:b/>
          <w:color w:val="000000"/>
          <w:sz w:val="24"/>
          <w:szCs w:val="24"/>
          <w:highlight w:val="none"/>
        </w:rPr>
      </w:pPr>
      <w:r>
        <w:rPr>
          <w:rFonts w:hint="default" w:ascii="Times New Roman" w:hAnsi="Times New Roman" w:eastAsia="宋体" w:cs="Times New Roman"/>
          <w:b/>
          <w:color w:val="000000"/>
          <w:sz w:val="24"/>
          <w:szCs w:val="24"/>
          <w:highlight w:val="none"/>
        </w:rPr>
        <w:t>恶臭气体污染物源强参数表</w:t>
      </w:r>
    </w:p>
    <w:tbl>
      <w:tblPr>
        <w:tblStyle w:val="47"/>
        <w:tblW w:w="4997"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459"/>
        <w:gridCol w:w="2691"/>
        <w:gridCol w:w="2566"/>
        <w:gridCol w:w="2566"/>
      </w:tblGrid>
      <w:tr w14:paraId="2D4462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9" w:hRule="atLeast"/>
        </w:trPr>
        <w:tc>
          <w:tcPr>
            <w:tcW w:w="2235" w:type="pct"/>
            <w:gridSpan w:val="2"/>
            <w:vMerge w:val="restart"/>
            <w:noWrap w:val="0"/>
            <w:vAlign w:val="center"/>
          </w:tcPr>
          <w:p w14:paraId="3144D3F1">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ajorEastAsia"/>
                <w:kern w:val="0"/>
                <w:sz w:val="21"/>
                <w:szCs w:val="21"/>
                <w:highlight w:val="none"/>
              </w:rPr>
            </w:pPr>
            <w:r>
              <w:rPr>
                <w:rFonts w:hint="default" w:ascii="Times New Roman" w:hAnsi="Times New Roman" w:cs="Times New Roman" w:eastAsiaTheme="majorEastAsia"/>
                <w:kern w:val="0"/>
                <w:sz w:val="21"/>
                <w:szCs w:val="21"/>
                <w:highlight w:val="none"/>
              </w:rPr>
              <w:t>构筑物</w:t>
            </w:r>
          </w:p>
        </w:tc>
        <w:tc>
          <w:tcPr>
            <w:tcW w:w="1382" w:type="pct"/>
            <w:noWrap w:val="0"/>
            <w:vAlign w:val="center"/>
          </w:tcPr>
          <w:p w14:paraId="7ED84F7A">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ajorEastAsia"/>
                <w:kern w:val="0"/>
                <w:sz w:val="21"/>
                <w:szCs w:val="21"/>
                <w:highlight w:val="none"/>
              </w:rPr>
            </w:pPr>
            <w:r>
              <w:rPr>
                <w:rFonts w:hint="default" w:ascii="Times New Roman" w:hAnsi="Times New Roman" w:cs="Times New Roman" w:eastAsiaTheme="majorEastAsia"/>
                <w:kern w:val="0"/>
                <w:sz w:val="21"/>
                <w:szCs w:val="21"/>
                <w:highlight w:val="none"/>
              </w:rPr>
              <w:t>NH</w:t>
            </w:r>
            <w:r>
              <w:rPr>
                <w:rFonts w:hint="default" w:ascii="Times New Roman" w:hAnsi="Times New Roman" w:cs="Times New Roman" w:eastAsiaTheme="majorEastAsia"/>
                <w:kern w:val="0"/>
                <w:sz w:val="21"/>
                <w:szCs w:val="21"/>
                <w:highlight w:val="none"/>
                <w:vertAlign w:val="subscript"/>
              </w:rPr>
              <w:t>3</w:t>
            </w:r>
          </w:p>
        </w:tc>
        <w:tc>
          <w:tcPr>
            <w:tcW w:w="1382" w:type="pct"/>
            <w:noWrap w:val="0"/>
            <w:vAlign w:val="center"/>
          </w:tcPr>
          <w:p w14:paraId="19F7E042">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ajorEastAsia"/>
                <w:kern w:val="0"/>
                <w:sz w:val="21"/>
                <w:szCs w:val="21"/>
                <w:highlight w:val="none"/>
              </w:rPr>
            </w:pPr>
            <w:r>
              <w:rPr>
                <w:rFonts w:hint="default" w:ascii="Times New Roman" w:hAnsi="Times New Roman" w:cs="Times New Roman" w:eastAsiaTheme="majorEastAsia"/>
                <w:sz w:val="21"/>
                <w:szCs w:val="21"/>
                <w:highlight w:val="none"/>
              </w:rPr>
              <w:t>H</w:t>
            </w:r>
            <w:r>
              <w:rPr>
                <w:rFonts w:hint="default" w:ascii="Times New Roman" w:hAnsi="Times New Roman" w:cs="Times New Roman" w:eastAsiaTheme="majorEastAsia"/>
                <w:sz w:val="21"/>
                <w:szCs w:val="21"/>
                <w:highlight w:val="none"/>
                <w:vertAlign w:val="subscript"/>
              </w:rPr>
              <w:t>2</w:t>
            </w:r>
            <w:r>
              <w:rPr>
                <w:rFonts w:hint="default" w:ascii="Times New Roman" w:hAnsi="Times New Roman" w:cs="Times New Roman" w:eastAsiaTheme="majorEastAsia"/>
                <w:sz w:val="21"/>
                <w:szCs w:val="21"/>
                <w:highlight w:val="none"/>
              </w:rPr>
              <w:t>S</w:t>
            </w:r>
          </w:p>
        </w:tc>
      </w:tr>
      <w:tr w14:paraId="09235DC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235" w:type="pct"/>
            <w:gridSpan w:val="2"/>
            <w:vMerge w:val="continue"/>
            <w:noWrap w:val="0"/>
            <w:vAlign w:val="center"/>
          </w:tcPr>
          <w:p w14:paraId="03D7E2AB">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ajorEastAsia"/>
                <w:kern w:val="0"/>
                <w:sz w:val="21"/>
                <w:szCs w:val="21"/>
                <w:highlight w:val="none"/>
              </w:rPr>
            </w:pPr>
          </w:p>
        </w:tc>
        <w:tc>
          <w:tcPr>
            <w:tcW w:w="1382" w:type="pct"/>
            <w:noWrap w:val="0"/>
            <w:vAlign w:val="center"/>
          </w:tcPr>
          <w:p w14:paraId="7BCEB54D">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ajorEastAsia"/>
                <w:kern w:val="0"/>
                <w:sz w:val="21"/>
                <w:szCs w:val="21"/>
                <w:highlight w:val="none"/>
              </w:rPr>
            </w:pPr>
            <w:r>
              <w:rPr>
                <w:rFonts w:hint="default" w:ascii="Times New Roman" w:hAnsi="Times New Roman" w:cs="Times New Roman" w:eastAsiaTheme="majorEastAsia"/>
                <w:kern w:val="0"/>
                <w:sz w:val="21"/>
                <w:szCs w:val="21"/>
                <w:highlight w:val="none"/>
              </w:rPr>
              <w:t>排放系数(mg/s.m</w:t>
            </w:r>
            <w:r>
              <w:rPr>
                <w:rFonts w:hint="default" w:ascii="Times New Roman" w:hAnsi="Times New Roman" w:cs="Times New Roman" w:eastAsiaTheme="majorEastAsia"/>
                <w:kern w:val="0"/>
                <w:sz w:val="21"/>
                <w:szCs w:val="21"/>
                <w:highlight w:val="none"/>
                <w:vertAlign w:val="superscript"/>
              </w:rPr>
              <w:t>2</w:t>
            </w:r>
            <w:r>
              <w:rPr>
                <w:rFonts w:hint="default" w:ascii="Times New Roman" w:hAnsi="Times New Roman" w:cs="Times New Roman" w:eastAsiaTheme="majorEastAsia"/>
                <w:kern w:val="0"/>
                <w:sz w:val="21"/>
                <w:szCs w:val="21"/>
                <w:highlight w:val="none"/>
              </w:rPr>
              <w:t>)</w:t>
            </w:r>
          </w:p>
        </w:tc>
        <w:tc>
          <w:tcPr>
            <w:tcW w:w="1382" w:type="pct"/>
            <w:noWrap w:val="0"/>
            <w:vAlign w:val="center"/>
          </w:tcPr>
          <w:p w14:paraId="712E11BC">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ajorEastAsia"/>
                <w:kern w:val="0"/>
                <w:sz w:val="21"/>
                <w:szCs w:val="21"/>
                <w:highlight w:val="none"/>
              </w:rPr>
            </w:pPr>
            <w:r>
              <w:rPr>
                <w:rFonts w:hint="default" w:ascii="Times New Roman" w:hAnsi="Times New Roman" w:cs="Times New Roman" w:eastAsiaTheme="majorEastAsia"/>
                <w:kern w:val="0"/>
                <w:sz w:val="21"/>
                <w:szCs w:val="21"/>
                <w:highlight w:val="none"/>
              </w:rPr>
              <w:t>排放系数(mg/s.m</w:t>
            </w:r>
            <w:r>
              <w:rPr>
                <w:rFonts w:hint="default" w:ascii="Times New Roman" w:hAnsi="Times New Roman" w:cs="Times New Roman" w:eastAsiaTheme="majorEastAsia"/>
                <w:kern w:val="0"/>
                <w:sz w:val="21"/>
                <w:szCs w:val="21"/>
                <w:highlight w:val="none"/>
                <w:vertAlign w:val="superscript"/>
              </w:rPr>
              <w:t>2</w:t>
            </w:r>
            <w:r>
              <w:rPr>
                <w:rFonts w:hint="default" w:ascii="Times New Roman" w:hAnsi="Times New Roman" w:cs="Times New Roman" w:eastAsiaTheme="majorEastAsia"/>
                <w:kern w:val="0"/>
                <w:sz w:val="21"/>
                <w:szCs w:val="21"/>
                <w:highlight w:val="none"/>
              </w:rPr>
              <w:t>)</w:t>
            </w:r>
          </w:p>
        </w:tc>
      </w:tr>
      <w:tr w14:paraId="1E2E74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786" w:type="pct"/>
            <w:noWrap w:val="0"/>
            <w:vAlign w:val="center"/>
          </w:tcPr>
          <w:p w14:paraId="600A26A7">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ajorEastAsia"/>
                <w:sz w:val="21"/>
                <w:szCs w:val="21"/>
                <w:highlight w:val="none"/>
              </w:rPr>
            </w:pPr>
            <w:r>
              <w:rPr>
                <w:rFonts w:hint="default" w:ascii="Times New Roman" w:hAnsi="Times New Roman" w:cs="Times New Roman" w:eastAsiaTheme="majorEastAsia"/>
                <w:kern w:val="0"/>
                <w:sz w:val="21"/>
                <w:szCs w:val="21"/>
                <w:highlight w:val="none"/>
              </w:rPr>
              <w:t>预处理工段</w:t>
            </w:r>
          </w:p>
        </w:tc>
        <w:tc>
          <w:tcPr>
            <w:tcW w:w="1448" w:type="pct"/>
            <w:noWrap w:val="0"/>
            <w:vAlign w:val="center"/>
          </w:tcPr>
          <w:p w14:paraId="18D245D6">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ajorEastAsia"/>
                <w:sz w:val="21"/>
                <w:szCs w:val="21"/>
                <w:highlight w:val="none"/>
                <w:lang w:val="en-US" w:eastAsia="zh-CN"/>
              </w:rPr>
            </w:pPr>
            <w:r>
              <w:rPr>
                <w:rFonts w:hint="default" w:ascii="Times New Roman" w:hAnsi="Times New Roman" w:cs="Times New Roman" w:eastAsiaTheme="majorEastAsia"/>
                <w:sz w:val="21"/>
                <w:szCs w:val="21"/>
                <w:highlight w:val="none"/>
              </w:rPr>
              <w:t>格栅</w:t>
            </w:r>
            <w:r>
              <w:rPr>
                <w:rFonts w:hint="default" w:ascii="Times New Roman" w:hAnsi="Times New Roman" w:cs="Times New Roman" w:eastAsiaTheme="majorEastAsia"/>
                <w:sz w:val="21"/>
                <w:szCs w:val="21"/>
                <w:highlight w:val="none"/>
                <w:lang w:val="en-US" w:eastAsia="zh-CN"/>
              </w:rPr>
              <w:t>渠</w:t>
            </w:r>
            <w:r>
              <w:rPr>
                <w:rFonts w:hint="default" w:ascii="Times New Roman" w:hAnsi="Times New Roman" w:cs="Times New Roman" w:eastAsiaTheme="majorEastAsia"/>
                <w:sz w:val="21"/>
                <w:szCs w:val="21"/>
                <w:highlight w:val="none"/>
              </w:rPr>
              <w:t>及进</w:t>
            </w:r>
            <w:r>
              <w:rPr>
                <w:rFonts w:hint="default" w:ascii="Times New Roman" w:hAnsi="Times New Roman" w:cs="Times New Roman" w:eastAsiaTheme="majorEastAsia"/>
                <w:sz w:val="21"/>
                <w:szCs w:val="21"/>
                <w:highlight w:val="none"/>
                <w:lang w:val="en-US" w:eastAsia="zh-CN"/>
              </w:rPr>
              <w:t>调节池</w:t>
            </w:r>
          </w:p>
        </w:tc>
        <w:tc>
          <w:tcPr>
            <w:tcW w:w="1382" w:type="pct"/>
            <w:noWrap w:val="0"/>
            <w:vAlign w:val="center"/>
          </w:tcPr>
          <w:p w14:paraId="7D45A1B2">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ajorEastAsia"/>
                <w:sz w:val="21"/>
                <w:szCs w:val="21"/>
                <w:highlight w:val="none"/>
              </w:rPr>
            </w:pPr>
            <w:r>
              <w:rPr>
                <w:rFonts w:hint="default" w:ascii="Times New Roman" w:hAnsi="Times New Roman" w:cs="Times New Roman" w:eastAsiaTheme="majorEastAsia"/>
                <w:sz w:val="21"/>
                <w:szCs w:val="21"/>
                <w:highlight w:val="none"/>
              </w:rPr>
              <w:t>0.30</w:t>
            </w:r>
          </w:p>
        </w:tc>
        <w:tc>
          <w:tcPr>
            <w:tcW w:w="1382" w:type="pct"/>
            <w:noWrap w:val="0"/>
            <w:vAlign w:val="center"/>
          </w:tcPr>
          <w:p w14:paraId="69C11A33">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ajorEastAsia"/>
                <w:sz w:val="21"/>
                <w:szCs w:val="21"/>
                <w:highlight w:val="none"/>
              </w:rPr>
            </w:pPr>
            <w:r>
              <w:rPr>
                <w:rFonts w:hint="eastAsia" w:ascii="Times New Roman" w:hAnsi="Times New Roman" w:cs="Times New Roman" w:eastAsiaTheme="majorEastAsia"/>
                <w:sz w:val="21"/>
                <w:szCs w:val="21"/>
                <w:highlight w:val="none"/>
              </w:rPr>
              <w:t>3×10</w:t>
            </w:r>
            <w:r>
              <w:rPr>
                <w:rFonts w:hint="eastAsia" w:ascii="Times New Roman" w:hAnsi="Times New Roman" w:cs="Times New Roman" w:eastAsiaTheme="majorEastAsia"/>
                <w:sz w:val="21"/>
                <w:szCs w:val="21"/>
                <w:highlight w:val="none"/>
                <w:vertAlign w:val="superscript"/>
              </w:rPr>
              <w:t>-3</w:t>
            </w:r>
          </w:p>
        </w:tc>
      </w:tr>
      <w:tr w14:paraId="4A0F424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1" w:hRule="atLeast"/>
        </w:trPr>
        <w:tc>
          <w:tcPr>
            <w:tcW w:w="786" w:type="pct"/>
            <w:noWrap w:val="0"/>
            <w:vAlign w:val="center"/>
          </w:tcPr>
          <w:p w14:paraId="11980DD5">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ajorEastAsia"/>
                <w:kern w:val="0"/>
                <w:sz w:val="21"/>
                <w:szCs w:val="21"/>
                <w:highlight w:val="none"/>
              </w:rPr>
            </w:pPr>
            <w:r>
              <w:rPr>
                <w:rFonts w:hint="default" w:ascii="Times New Roman" w:hAnsi="Times New Roman" w:cs="Times New Roman" w:eastAsiaTheme="majorEastAsia"/>
                <w:kern w:val="0"/>
                <w:sz w:val="21"/>
                <w:szCs w:val="21"/>
                <w:highlight w:val="none"/>
              </w:rPr>
              <w:t>二级生化处理工段</w:t>
            </w:r>
          </w:p>
        </w:tc>
        <w:tc>
          <w:tcPr>
            <w:tcW w:w="1448" w:type="pct"/>
            <w:noWrap w:val="0"/>
            <w:vAlign w:val="center"/>
          </w:tcPr>
          <w:p w14:paraId="4BFFE2AF">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ajorEastAsia"/>
                <w:sz w:val="21"/>
                <w:szCs w:val="21"/>
                <w:highlight w:val="none"/>
              </w:rPr>
            </w:pPr>
            <w:r>
              <w:rPr>
                <w:rFonts w:hint="default" w:ascii="Times New Roman" w:hAnsi="Times New Roman" w:cs="Times New Roman" w:eastAsiaTheme="majorEastAsia"/>
                <w:sz w:val="21"/>
                <w:szCs w:val="21"/>
                <w:highlight w:val="none"/>
              </w:rPr>
              <w:t>A</w:t>
            </w:r>
            <w:r>
              <w:rPr>
                <w:rFonts w:hint="default" w:ascii="Times New Roman" w:hAnsi="Times New Roman" w:cs="Times New Roman" w:eastAsiaTheme="majorEastAsia"/>
                <w:sz w:val="21"/>
                <w:szCs w:val="21"/>
                <w:highlight w:val="none"/>
                <w:vertAlign w:val="superscript"/>
                <w:lang w:val="en-US" w:eastAsia="zh-CN"/>
              </w:rPr>
              <w:t>2</w:t>
            </w:r>
            <w:r>
              <w:rPr>
                <w:rFonts w:hint="default" w:ascii="Times New Roman" w:hAnsi="Times New Roman" w:cs="Times New Roman" w:eastAsiaTheme="majorEastAsia"/>
                <w:sz w:val="21"/>
                <w:szCs w:val="21"/>
                <w:highlight w:val="none"/>
              </w:rPr>
              <w:t>O池</w:t>
            </w:r>
          </w:p>
        </w:tc>
        <w:tc>
          <w:tcPr>
            <w:tcW w:w="1382" w:type="pct"/>
            <w:noWrap w:val="0"/>
            <w:vAlign w:val="center"/>
          </w:tcPr>
          <w:p w14:paraId="213DFBF4">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ajorEastAsia"/>
                <w:sz w:val="21"/>
                <w:szCs w:val="21"/>
                <w:highlight w:val="none"/>
              </w:rPr>
            </w:pPr>
            <w:r>
              <w:rPr>
                <w:rFonts w:hint="default" w:ascii="Times New Roman" w:hAnsi="Times New Roman" w:cs="Times New Roman" w:eastAsiaTheme="majorEastAsia"/>
                <w:sz w:val="21"/>
                <w:szCs w:val="21"/>
                <w:highlight w:val="none"/>
              </w:rPr>
              <w:t>0.02</w:t>
            </w:r>
          </w:p>
        </w:tc>
        <w:tc>
          <w:tcPr>
            <w:tcW w:w="1382" w:type="pct"/>
            <w:noWrap w:val="0"/>
            <w:vAlign w:val="center"/>
          </w:tcPr>
          <w:p w14:paraId="5DE7B588">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ajorEastAsia"/>
                <w:sz w:val="21"/>
                <w:szCs w:val="21"/>
                <w:highlight w:val="none"/>
              </w:rPr>
            </w:pPr>
            <w:r>
              <w:rPr>
                <w:rFonts w:hint="eastAsia" w:ascii="Times New Roman" w:hAnsi="Times New Roman" w:cs="Times New Roman" w:eastAsiaTheme="majorEastAsia"/>
                <w:sz w:val="21"/>
                <w:szCs w:val="21"/>
                <w:highlight w:val="none"/>
              </w:rPr>
              <w:t>0.6×10</w:t>
            </w:r>
            <w:r>
              <w:rPr>
                <w:rFonts w:hint="eastAsia" w:ascii="Times New Roman" w:hAnsi="Times New Roman" w:cs="Times New Roman" w:eastAsiaTheme="majorEastAsia"/>
                <w:sz w:val="21"/>
                <w:szCs w:val="21"/>
                <w:highlight w:val="none"/>
                <w:vertAlign w:val="superscript"/>
              </w:rPr>
              <w:t>-3</w:t>
            </w:r>
          </w:p>
        </w:tc>
      </w:tr>
      <w:tr w14:paraId="6295D5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5" w:hRule="atLeast"/>
        </w:trPr>
        <w:tc>
          <w:tcPr>
            <w:tcW w:w="786" w:type="pct"/>
            <w:vMerge w:val="restart"/>
            <w:noWrap w:val="0"/>
            <w:vAlign w:val="center"/>
          </w:tcPr>
          <w:p w14:paraId="062FB966">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ajorEastAsia"/>
                <w:kern w:val="0"/>
                <w:sz w:val="21"/>
                <w:szCs w:val="21"/>
                <w:highlight w:val="none"/>
              </w:rPr>
            </w:pPr>
            <w:r>
              <w:rPr>
                <w:rFonts w:hint="default" w:ascii="Times New Roman" w:hAnsi="Times New Roman" w:cs="Times New Roman" w:eastAsiaTheme="majorEastAsia"/>
                <w:kern w:val="0"/>
                <w:sz w:val="21"/>
                <w:szCs w:val="21"/>
                <w:highlight w:val="none"/>
              </w:rPr>
              <w:t>污泥处理</w:t>
            </w:r>
          </w:p>
        </w:tc>
        <w:tc>
          <w:tcPr>
            <w:tcW w:w="1448" w:type="pct"/>
            <w:noWrap w:val="0"/>
            <w:vAlign w:val="center"/>
          </w:tcPr>
          <w:p w14:paraId="347C1EDF">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ajorEastAsia"/>
                <w:sz w:val="21"/>
                <w:szCs w:val="21"/>
                <w:highlight w:val="none"/>
              </w:rPr>
            </w:pPr>
            <w:r>
              <w:rPr>
                <w:rFonts w:hint="default" w:ascii="Times New Roman" w:hAnsi="Times New Roman" w:cs="Times New Roman" w:eastAsiaTheme="majorEastAsia"/>
                <w:sz w:val="21"/>
                <w:szCs w:val="21"/>
                <w:highlight w:val="none"/>
              </w:rPr>
              <w:t>污泥池</w:t>
            </w:r>
          </w:p>
        </w:tc>
        <w:tc>
          <w:tcPr>
            <w:tcW w:w="1382" w:type="pct"/>
            <w:noWrap w:val="0"/>
            <w:vAlign w:val="center"/>
          </w:tcPr>
          <w:p w14:paraId="7B91118B">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ajorEastAsia"/>
                <w:sz w:val="21"/>
                <w:szCs w:val="21"/>
                <w:highlight w:val="none"/>
              </w:rPr>
            </w:pPr>
            <w:r>
              <w:rPr>
                <w:rFonts w:hint="default" w:ascii="Times New Roman" w:hAnsi="Times New Roman" w:cs="Times New Roman" w:eastAsiaTheme="majorEastAsia"/>
                <w:sz w:val="21"/>
                <w:szCs w:val="21"/>
                <w:highlight w:val="none"/>
              </w:rPr>
              <w:t>0.10</w:t>
            </w:r>
          </w:p>
        </w:tc>
        <w:tc>
          <w:tcPr>
            <w:tcW w:w="1382" w:type="pct"/>
            <w:noWrap w:val="0"/>
            <w:vAlign w:val="center"/>
          </w:tcPr>
          <w:p w14:paraId="47962D12">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ajorEastAsia"/>
                <w:sz w:val="21"/>
                <w:szCs w:val="21"/>
                <w:highlight w:val="none"/>
              </w:rPr>
            </w:pPr>
            <w:r>
              <w:rPr>
                <w:rFonts w:hint="eastAsia" w:ascii="Times New Roman" w:hAnsi="Times New Roman" w:cs="Times New Roman" w:eastAsiaTheme="majorEastAsia"/>
                <w:sz w:val="21"/>
                <w:szCs w:val="21"/>
                <w:highlight w:val="none"/>
              </w:rPr>
              <w:t>1.6×10</w:t>
            </w:r>
            <w:r>
              <w:rPr>
                <w:rFonts w:hint="eastAsia" w:ascii="Times New Roman" w:hAnsi="Times New Roman" w:cs="Times New Roman" w:eastAsiaTheme="majorEastAsia"/>
                <w:sz w:val="21"/>
                <w:szCs w:val="21"/>
                <w:highlight w:val="none"/>
                <w:vertAlign w:val="superscript"/>
              </w:rPr>
              <w:t>-3</w:t>
            </w:r>
          </w:p>
        </w:tc>
      </w:tr>
      <w:tr w14:paraId="1A492DE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7" w:hRule="atLeast"/>
        </w:trPr>
        <w:tc>
          <w:tcPr>
            <w:tcW w:w="786" w:type="pct"/>
            <w:vMerge w:val="continue"/>
            <w:noWrap w:val="0"/>
            <w:vAlign w:val="center"/>
          </w:tcPr>
          <w:p w14:paraId="7C457599">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ajorEastAsia"/>
                <w:kern w:val="0"/>
                <w:sz w:val="21"/>
                <w:szCs w:val="21"/>
                <w:highlight w:val="none"/>
              </w:rPr>
            </w:pPr>
          </w:p>
        </w:tc>
        <w:tc>
          <w:tcPr>
            <w:tcW w:w="1448" w:type="pct"/>
            <w:noWrap w:val="0"/>
            <w:vAlign w:val="center"/>
          </w:tcPr>
          <w:p w14:paraId="4FA863D5">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ajorEastAsia"/>
                <w:sz w:val="21"/>
                <w:szCs w:val="21"/>
                <w:highlight w:val="none"/>
              </w:rPr>
            </w:pPr>
            <w:r>
              <w:rPr>
                <w:rFonts w:hint="default" w:ascii="Times New Roman" w:hAnsi="Times New Roman" w:cs="Times New Roman" w:eastAsiaTheme="majorEastAsia"/>
                <w:sz w:val="21"/>
                <w:szCs w:val="21"/>
                <w:highlight w:val="none"/>
              </w:rPr>
              <w:t>污泥脱水间</w:t>
            </w:r>
          </w:p>
        </w:tc>
        <w:tc>
          <w:tcPr>
            <w:tcW w:w="1382" w:type="pct"/>
            <w:noWrap w:val="0"/>
            <w:vAlign w:val="center"/>
          </w:tcPr>
          <w:p w14:paraId="37F0D426">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ajorEastAsia"/>
                <w:sz w:val="21"/>
                <w:szCs w:val="21"/>
                <w:highlight w:val="none"/>
              </w:rPr>
            </w:pPr>
            <w:r>
              <w:rPr>
                <w:rFonts w:hint="default" w:ascii="Times New Roman" w:hAnsi="Times New Roman" w:cs="Times New Roman" w:eastAsiaTheme="majorEastAsia"/>
                <w:sz w:val="21"/>
                <w:szCs w:val="21"/>
                <w:highlight w:val="none"/>
              </w:rPr>
              <w:t>0.10</w:t>
            </w:r>
          </w:p>
        </w:tc>
        <w:tc>
          <w:tcPr>
            <w:tcW w:w="1382" w:type="pct"/>
            <w:noWrap w:val="0"/>
            <w:vAlign w:val="center"/>
          </w:tcPr>
          <w:p w14:paraId="4EBC69D5">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ajorEastAsia"/>
                <w:sz w:val="21"/>
                <w:szCs w:val="21"/>
                <w:highlight w:val="none"/>
              </w:rPr>
            </w:pPr>
            <w:r>
              <w:rPr>
                <w:rFonts w:hint="eastAsia" w:ascii="Times New Roman" w:hAnsi="Times New Roman" w:cs="Times New Roman" w:eastAsiaTheme="majorEastAsia"/>
                <w:sz w:val="21"/>
                <w:szCs w:val="21"/>
                <w:highlight w:val="none"/>
              </w:rPr>
              <w:t>1.6×10</w:t>
            </w:r>
            <w:r>
              <w:rPr>
                <w:rFonts w:hint="eastAsia" w:ascii="Times New Roman" w:hAnsi="Times New Roman" w:cs="Times New Roman" w:eastAsiaTheme="majorEastAsia"/>
                <w:sz w:val="21"/>
                <w:szCs w:val="21"/>
                <w:highlight w:val="none"/>
                <w:vertAlign w:val="superscript"/>
              </w:rPr>
              <w:t>-3</w:t>
            </w:r>
          </w:p>
        </w:tc>
      </w:tr>
    </w:tbl>
    <w:p w14:paraId="4AB15C42">
      <w:pPr>
        <w:pStyle w:val="20"/>
        <w:numPr>
          <w:ilvl w:val="0"/>
          <w:numId w:val="27"/>
        </w:numPr>
        <w:spacing w:after="0" w:line="440" w:lineRule="exact"/>
        <w:ind w:left="425" w:leftChars="0" w:hanging="425" w:firstLineChars="0"/>
        <w:jc w:val="center"/>
        <w:rPr>
          <w:rFonts w:hint="eastAsia" w:ascii="Times New Roman" w:hAnsi="Times New Roman" w:eastAsia="宋体" w:cs="Times New Roman"/>
          <w:b/>
          <w:color w:val="000000"/>
          <w:sz w:val="24"/>
          <w:szCs w:val="24"/>
          <w:highlight w:val="none"/>
          <w:lang w:val="en-US" w:eastAsia="zh-CN"/>
        </w:rPr>
      </w:pPr>
      <w:r>
        <w:rPr>
          <w:rFonts w:hint="eastAsia" w:cs="Times New Roman"/>
          <w:b/>
          <w:color w:val="000000"/>
          <w:sz w:val="24"/>
          <w:szCs w:val="24"/>
          <w:highlight w:val="none"/>
          <w:lang w:val="en-US" w:eastAsia="zh-CN"/>
        </w:rPr>
        <w:t xml:space="preserve"> </w:t>
      </w:r>
      <w:r>
        <w:rPr>
          <w:rFonts w:hint="eastAsia" w:ascii="Times New Roman" w:hAnsi="Times New Roman" w:eastAsia="宋体" w:cs="Times New Roman"/>
          <w:b/>
          <w:color w:val="000000"/>
          <w:sz w:val="24"/>
          <w:szCs w:val="24"/>
          <w:highlight w:val="none"/>
          <w:lang w:val="en-US" w:eastAsia="zh-CN"/>
        </w:rPr>
        <w:t>本项目有组织废气产生一览表</w:t>
      </w:r>
    </w:p>
    <w:tbl>
      <w:tblPr>
        <w:tblStyle w:val="47"/>
        <w:tblW w:w="4996"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229"/>
        <w:gridCol w:w="2260"/>
        <w:gridCol w:w="1103"/>
        <w:gridCol w:w="1229"/>
        <w:gridCol w:w="1122"/>
        <w:gridCol w:w="1133"/>
        <w:gridCol w:w="1205"/>
      </w:tblGrid>
      <w:tr w14:paraId="1D39BF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1879" w:type="pct"/>
            <w:gridSpan w:val="2"/>
            <w:vMerge w:val="restart"/>
            <w:noWrap w:val="0"/>
            <w:vAlign w:val="center"/>
          </w:tcPr>
          <w:p w14:paraId="7850C18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14:textFill>
                  <w14:solidFill>
                    <w14:schemeClr w14:val="tx1"/>
                  </w14:solidFill>
                </w14:textFill>
              </w:rPr>
            </w:pPr>
            <w:bookmarkStart w:id="196" w:name="OLE_LINK109"/>
            <w:r>
              <w:rPr>
                <w:rFonts w:hint="eastAsia" w:ascii="Times New Roman" w:hAnsi="Times New Roman" w:eastAsia="宋体" w:cs="Times New Roman"/>
                <w:color w:val="000000" w:themeColor="text1"/>
                <w:sz w:val="21"/>
                <w:szCs w:val="21"/>
                <w:highlight w:val="none"/>
                <w14:textFill>
                  <w14:solidFill>
                    <w14:schemeClr w14:val="tx1"/>
                  </w14:solidFill>
                </w14:textFill>
              </w:rPr>
              <w:t>构筑物</w:t>
            </w:r>
          </w:p>
        </w:tc>
        <w:tc>
          <w:tcPr>
            <w:tcW w:w="594" w:type="pct"/>
            <w:vMerge w:val="restart"/>
            <w:noWrap w:val="0"/>
            <w:vAlign w:val="center"/>
          </w:tcPr>
          <w:p w14:paraId="6B39AF1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14:textFill>
                  <w14:solidFill>
                    <w14:schemeClr w14:val="tx1"/>
                  </w14:solidFill>
                </w14:textFill>
              </w:rPr>
              <w:t>面积m</w:t>
            </w:r>
            <w:r>
              <w:rPr>
                <w:rFonts w:hint="eastAsia" w:cs="Times New Roman"/>
                <w:color w:val="000000" w:themeColor="text1"/>
                <w:sz w:val="21"/>
                <w:szCs w:val="21"/>
                <w:highlight w:val="none"/>
                <w:vertAlign w:val="superscript"/>
                <w:lang w:val="en-US" w:eastAsia="zh-CN"/>
                <w14:textFill>
                  <w14:solidFill>
                    <w14:schemeClr w14:val="tx1"/>
                  </w14:solidFill>
                </w14:textFill>
              </w:rPr>
              <w:t>2</w:t>
            </w:r>
          </w:p>
        </w:tc>
        <w:tc>
          <w:tcPr>
            <w:tcW w:w="1266" w:type="pct"/>
            <w:gridSpan w:val="2"/>
            <w:noWrap w:val="0"/>
            <w:vAlign w:val="center"/>
          </w:tcPr>
          <w:p w14:paraId="5295203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NH</w:t>
            </w:r>
            <w:r>
              <w:rPr>
                <w:rFonts w:hint="default" w:ascii="Times New Roman" w:hAnsi="Times New Roman" w:eastAsia="宋体" w:cs="Times New Roman"/>
                <w:color w:val="000000" w:themeColor="text1"/>
                <w:sz w:val="21"/>
                <w:szCs w:val="21"/>
                <w:highlight w:val="none"/>
                <w:vertAlign w:val="subscript"/>
                <w14:textFill>
                  <w14:solidFill>
                    <w14:schemeClr w14:val="tx1"/>
                  </w14:solidFill>
                </w14:textFill>
              </w:rPr>
              <w:t>3</w:t>
            </w:r>
          </w:p>
        </w:tc>
        <w:tc>
          <w:tcPr>
            <w:tcW w:w="1259" w:type="pct"/>
            <w:gridSpan w:val="2"/>
            <w:noWrap w:val="0"/>
            <w:vAlign w:val="center"/>
          </w:tcPr>
          <w:p w14:paraId="31553AC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H</w:t>
            </w:r>
            <w:r>
              <w:rPr>
                <w:rFonts w:hint="default" w:ascii="Times New Roman" w:hAnsi="Times New Roman" w:eastAsia="宋体" w:cs="Times New Roman"/>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color w:val="000000" w:themeColor="text1"/>
                <w:sz w:val="21"/>
                <w:szCs w:val="21"/>
                <w:highlight w:val="none"/>
                <w14:textFill>
                  <w14:solidFill>
                    <w14:schemeClr w14:val="tx1"/>
                  </w14:solidFill>
                </w14:textFill>
              </w:rPr>
              <w:t>S</w:t>
            </w:r>
          </w:p>
        </w:tc>
      </w:tr>
      <w:tr w14:paraId="24F577C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1879" w:type="pct"/>
            <w:gridSpan w:val="2"/>
            <w:vMerge w:val="continue"/>
            <w:noWrap w:val="0"/>
            <w:vAlign w:val="center"/>
          </w:tcPr>
          <w:p w14:paraId="18A15DB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594" w:type="pct"/>
            <w:vMerge w:val="continue"/>
            <w:noWrap w:val="0"/>
            <w:vAlign w:val="center"/>
          </w:tcPr>
          <w:p w14:paraId="3DE0C2F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62" w:type="pct"/>
            <w:noWrap w:val="0"/>
            <w:vAlign w:val="center"/>
          </w:tcPr>
          <w:p w14:paraId="5FF9E0D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系数(mg/s</w:t>
            </w:r>
            <w:r>
              <w:rPr>
                <w:rFonts w:hint="eastAsia" w:cs="Times New Roman"/>
                <w:color w:val="000000" w:themeColor="text1"/>
                <w:sz w:val="21"/>
                <w:szCs w:val="21"/>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2</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p>
        </w:tc>
        <w:tc>
          <w:tcPr>
            <w:tcW w:w="604" w:type="pct"/>
            <w:noWrap w:val="0"/>
            <w:vAlign w:val="center"/>
          </w:tcPr>
          <w:p w14:paraId="2F873E2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14:textFill>
                  <w14:solidFill>
                    <w14:schemeClr w14:val="tx1"/>
                  </w14:solidFill>
                </w14:textFill>
              </w:rPr>
              <w:t>产生速率（kg/h）</w:t>
            </w:r>
          </w:p>
        </w:tc>
        <w:tc>
          <w:tcPr>
            <w:tcW w:w="610" w:type="pct"/>
            <w:noWrap w:val="0"/>
            <w:vAlign w:val="center"/>
          </w:tcPr>
          <w:p w14:paraId="1CC0A6C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系数(mg/s.m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2</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p>
        </w:tc>
        <w:tc>
          <w:tcPr>
            <w:tcW w:w="649" w:type="pct"/>
            <w:noWrap w:val="0"/>
            <w:vAlign w:val="center"/>
          </w:tcPr>
          <w:p w14:paraId="38F848B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14:textFill>
                  <w14:solidFill>
                    <w14:schemeClr w14:val="tx1"/>
                  </w14:solidFill>
                </w14:textFill>
              </w:rPr>
              <w:t>产生速率（kg/h）</w:t>
            </w:r>
          </w:p>
        </w:tc>
      </w:tr>
      <w:tr w14:paraId="1DA3268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662" w:type="pct"/>
            <w:noWrap w:val="0"/>
            <w:vAlign w:val="center"/>
          </w:tcPr>
          <w:p w14:paraId="58F450B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14:textFill>
                  <w14:solidFill>
                    <w14:schemeClr w14:val="tx1"/>
                  </w14:solidFill>
                </w14:textFill>
              </w:rPr>
              <w:t>预处理工段</w:t>
            </w:r>
          </w:p>
        </w:tc>
        <w:tc>
          <w:tcPr>
            <w:tcW w:w="1217" w:type="pct"/>
            <w:noWrap w:val="0"/>
            <w:vAlign w:val="center"/>
          </w:tcPr>
          <w:p w14:paraId="7FF4A18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14:textFill>
                  <w14:solidFill>
                    <w14:schemeClr w14:val="tx1"/>
                  </w14:solidFill>
                </w14:textFill>
              </w:rPr>
              <w:t>格栅</w:t>
            </w:r>
            <w:r>
              <w:rPr>
                <w:rFonts w:hint="eastAsia" w:cs="Times New Roman"/>
                <w:color w:val="000000" w:themeColor="text1"/>
                <w:sz w:val="21"/>
                <w:szCs w:val="21"/>
                <w:highlight w:val="none"/>
                <w:lang w:val="en-US" w:eastAsia="zh-CN"/>
                <w14:textFill>
                  <w14:solidFill>
                    <w14:schemeClr w14:val="tx1"/>
                  </w14:solidFill>
                </w14:textFill>
              </w:rPr>
              <w:t>渠</w:t>
            </w:r>
            <w:r>
              <w:rPr>
                <w:rFonts w:hint="eastAsia" w:ascii="Times New Roman" w:hAnsi="Times New Roman" w:eastAsia="宋体" w:cs="Times New Roman"/>
                <w:color w:val="000000" w:themeColor="text1"/>
                <w:sz w:val="21"/>
                <w:szCs w:val="21"/>
                <w:highlight w:val="none"/>
                <w14:textFill>
                  <w14:solidFill>
                    <w14:schemeClr w14:val="tx1"/>
                  </w14:solidFill>
                </w14:textFill>
              </w:rPr>
              <w:t>及</w:t>
            </w:r>
            <w:r>
              <w:rPr>
                <w:rFonts w:hint="eastAsia" w:cs="Times New Roman"/>
                <w:color w:val="000000" w:themeColor="text1"/>
                <w:sz w:val="21"/>
                <w:szCs w:val="21"/>
                <w:highlight w:val="none"/>
                <w:lang w:val="en-US" w:eastAsia="zh-CN"/>
                <w14:textFill>
                  <w14:solidFill>
                    <w14:schemeClr w14:val="tx1"/>
                  </w14:solidFill>
                </w14:textFill>
              </w:rPr>
              <w:t>调节池</w:t>
            </w:r>
          </w:p>
        </w:tc>
        <w:tc>
          <w:tcPr>
            <w:tcW w:w="1103" w:type="dxa"/>
            <w:noWrap w:val="0"/>
            <w:vAlign w:val="center"/>
          </w:tcPr>
          <w:p w14:paraId="0AEE28B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83.42</w:t>
            </w:r>
          </w:p>
        </w:tc>
        <w:tc>
          <w:tcPr>
            <w:tcW w:w="1229" w:type="dxa"/>
            <w:noWrap w:val="0"/>
            <w:vAlign w:val="center"/>
          </w:tcPr>
          <w:p w14:paraId="41A34C2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0.3</w:t>
            </w:r>
          </w:p>
        </w:tc>
        <w:tc>
          <w:tcPr>
            <w:tcW w:w="1122" w:type="dxa"/>
            <w:noWrap w:val="0"/>
            <w:vAlign w:val="center"/>
          </w:tcPr>
          <w:p w14:paraId="398E38C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 xml:space="preserve">0.0901 </w:t>
            </w:r>
          </w:p>
        </w:tc>
        <w:tc>
          <w:tcPr>
            <w:tcW w:w="1133" w:type="dxa"/>
            <w:noWrap w:val="0"/>
            <w:vAlign w:val="center"/>
          </w:tcPr>
          <w:p w14:paraId="4A49F3A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×10</w:t>
            </w:r>
            <w:r>
              <w:rPr>
                <w:rFonts w:hint="default" w:ascii="Times New Roman" w:hAnsi="Times New Roman" w:eastAsia="宋体" w:cs="Times New Roman"/>
                <w:color w:val="000000" w:themeColor="text1"/>
                <w:sz w:val="21"/>
                <w:szCs w:val="21"/>
                <w:highlight w:val="none"/>
                <w:vertAlign w:val="superscript"/>
                <w:lang w:val="en-US" w:eastAsia="zh-CN"/>
                <w14:textFill>
                  <w14:solidFill>
                    <w14:schemeClr w14:val="tx1"/>
                  </w14:solidFill>
                </w14:textFill>
              </w:rPr>
              <w:t>-3</w:t>
            </w:r>
          </w:p>
        </w:tc>
        <w:tc>
          <w:tcPr>
            <w:tcW w:w="1205" w:type="dxa"/>
            <w:noWrap w:val="0"/>
            <w:vAlign w:val="center"/>
          </w:tcPr>
          <w:p w14:paraId="6EE91C7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0.0009</w:t>
            </w:r>
          </w:p>
        </w:tc>
      </w:tr>
      <w:tr w14:paraId="33712A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8" w:hRule="atLeast"/>
        </w:trPr>
        <w:tc>
          <w:tcPr>
            <w:tcW w:w="662" w:type="pct"/>
            <w:noWrap w:val="0"/>
            <w:vAlign w:val="center"/>
          </w:tcPr>
          <w:p w14:paraId="6ADB617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14:textFill>
                  <w14:solidFill>
                    <w14:schemeClr w14:val="tx1"/>
                  </w14:solidFill>
                </w14:textFill>
              </w:rPr>
              <w:t>二级生化处理工段</w:t>
            </w:r>
          </w:p>
        </w:tc>
        <w:tc>
          <w:tcPr>
            <w:tcW w:w="1217" w:type="pct"/>
            <w:noWrap w:val="0"/>
            <w:vAlign w:val="center"/>
          </w:tcPr>
          <w:p w14:paraId="7826602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14:textFill>
                  <w14:solidFill>
                    <w14:schemeClr w14:val="tx1"/>
                  </w14:solidFill>
                </w14:textFill>
              </w:rPr>
              <w:t>A</w:t>
            </w:r>
            <w:r>
              <w:rPr>
                <w:rFonts w:hint="eastAsia" w:cs="Times New Roman"/>
                <w:color w:val="000000" w:themeColor="text1"/>
                <w:sz w:val="21"/>
                <w:szCs w:val="21"/>
                <w:highlight w:val="none"/>
                <w:vertAlign w:val="superscript"/>
                <w:lang w:val="en-US" w:eastAsia="zh-CN"/>
                <w14:textFill>
                  <w14:solidFill>
                    <w14:schemeClr w14:val="tx1"/>
                  </w14:solidFill>
                </w14:textFill>
              </w:rPr>
              <w:t>2</w:t>
            </w:r>
            <w:r>
              <w:rPr>
                <w:rFonts w:hint="eastAsia" w:ascii="Times New Roman" w:hAnsi="Times New Roman" w:eastAsia="宋体" w:cs="Times New Roman"/>
                <w:color w:val="000000" w:themeColor="text1"/>
                <w:sz w:val="21"/>
                <w:szCs w:val="21"/>
                <w:highlight w:val="none"/>
                <w14:textFill>
                  <w14:solidFill>
                    <w14:schemeClr w14:val="tx1"/>
                  </w14:solidFill>
                </w14:textFill>
              </w:rPr>
              <w:t>O池</w:t>
            </w:r>
          </w:p>
        </w:tc>
        <w:tc>
          <w:tcPr>
            <w:tcW w:w="1103" w:type="dxa"/>
            <w:noWrap w:val="0"/>
            <w:vAlign w:val="center"/>
          </w:tcPr>
          <w:p w14:paraId="65A89FD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37.5</w:t>
            </w:r>
          </w:p>
        </w:tc>
        <w:tc>
          <w:tcPr>
            <w:tcW w:w="1229" w:type="dxa"/>
            <w:noWrap w:val="0"/>
            <w:vAlign w:val="center"/>
          </w:tcPr>
          <w:p w14:paraId="5CB3B89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0.02</w:t>
            </w:r>
          </w:p>
        </w:tc>
        <w:tc>
          <w:tcPr>
            <w:tcW w:w="1122" w:type="dxa"/>
            <w:noWrap w:val="0"/>
            <w:vAlign w:val="center"/>
          </w:tcPr>
          <w:p w14:paraId="5EDE4F6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 xml:space="preserve">0.0027 </w:t>
            </w:r>
          </w:p>
        </w:tc>
        <w:tc>
          <w:tcPr>
            <w:tcW w:w="1133" w:type="dxa"/>
            <w:noWrap w:val="0"/>
            <w:vAlign w:val="center"/>
          </w:tcPr>
          <w:p w14:paraId="15708EC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w:t>
            </w:r>
            <w:r>
              <w:rPr>
                <w:rFonts w:hint="eastAsia" w:cs="Times New Roman"/>
                <w:color w:val="000000" w:themeColor="text1"/>
                <w:sz w:val="21"/>
                <w:szCs w:val="21"/>
                <w:highlight w:val="none"/>
                <w:lang w:val="en-US" w:eastAsia="zh-CN"/>
                <w14:textFill>
                  <w14:solidFill>
                    <w14:schemeClr w14:val="tx1"/>
                  </w14:solidFill>
                </w14:textFill>
              </w:rPr>
              <w:t>6</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×10</w:t>
            </w:r>
            <w:r>
              <w:rPr>
                <w:rFonts w:hint="default" w:ascii="Times New Roman" w:hAnsi="Times New Roman" w:eastAsia="宋体" w:cs="Times New Roman"/>
                <w:color w:val="000000" w:themeColor="text1"/>
                <w:sz w:val="21"/>
                <w:szCs w:val="21"/>
                <w:highlight w:val="none"/>
                <w:vertAlign w:val="superscript"/>
                <w:lang w:val="en-US" w:eastAsia="zh-CN"/>
                <w14:textFill>
                  <w14:solidFill>
                    <w14:schemeClr w14:val="tx1"/>
                  </w14:solidFill>
                </w14:textFill>
              </w:rPr>
              <w:t>-3</w:t>
            </w:r>
          </w:p>
        </w:tc>
        <w:tc>
          <w:tcPr>
            <w:tcW w:w="1205" w:type="dxa"/>
            <w:noWrap w:val="0"/>
            <w:vAlign w:val="center"/>
          </w:tcPr>
          <w:p w14:paraId="5EF0D88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0.0008</w:t>
            </w:r>
          </w:p>
        </w:tc>
      </w:tr>
      <w:tr w14:paraId="0FF7C24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662" w:type="pct"/>
            <w:vMerge w:val="restart"/>
            <w:noWrap w:val="0"/>
            <w:vAlign w:val="center"/>
          </w:tcPr>
          <w:p w14:paraId="5A499CB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14:textFill>
                  <w14:solidFill>
                    <w14:schemeClr w14:val="tx1"/>
                  </w14:solidFill>
                </w14:textFill>
              </w:rPr>
              <w:t>污泥处理</w:t>
            </w:r>
          </w:p>
        </w:tc>
        <w:tc>
          <w:tcPr>
            <w:tcW w:w="1217" w:type="pct"/>
            <w:noWrap w:val="0"/>
            <w:vAlign w:val="center"/>
          </w:tcPr>
          <w:p w14:paraId="0456591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14:textFill>
                  <w14:solidFill>
                    <w14:schemeClr w14:val="tx1"/>
                  </w14:solidFill>
                </w14:textFill>
              </w:rPr>
              <w:t>污泥池</w:t>
            </w:r>
          </w:p>
        </w:tc>
        <w:tc>
          <w:tcPr>
            <w:tcW w:w="1103" w:type="dxa"/>
            <w:noWrap w:val="0"/>
            <w:vAlign w:val="center"/>
          </w:tcPr>
          <w:p w14:paraId="708559A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11.76</w:t>
            </w:r>
          </w:p>
        </w:tc>
        <w:tc>
          <w:tcPr>
            <w:tcW w:w="1229" w:type="dxa"/>
            <w:noWrap w:val="0"/>
            <w:vAlign w:val="center"/>
          </w:tcPr>
          <w:p w14:paraId="42F18D6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0.1</w:t>
            </w:r>
          </w:p>
        </w:tc>
        <w:tc>
          <w:tcPr>
            <w:tcW w:w="1122" w:type="dxa"/>
            <w:noWrap w:val="0"/>
            <w:vAlign w:val="center"/>
          </w:tcPr>
          <w:p w14:paraId="7710388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 xml:space="preserve">0.0042 </w:t>
            </w:r>
          </w:p>
        </w:tc>
        <w:tc>
          <w:tcPr>
            <w:tcW w:w="1133" w:type="dxa"/>
            <w:noWrap w:val="0"/>
            <w:vAlign w:val="center"/>
          </w:tcPr>
          <w:p w14:paraId="1361522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w:t>
            </w:r>
            <w:r>
              <w:rPr>
                <w:rFonts w:hint="eastAsia" w:cs="Times New Roman"/>
                <w:color w:val="000000" w:themeColor="text1"/>
                <w:sz w:val="21"/>
                <w:szCs w:val="21"/>
                <w:highlight w:val="none"/>
                <w:lang w:val="en-US" w:eastAsia="zh-CN"/>
                <w14:textFill>
                  <w14:solidFill>
                    <w14:schemeClr w14:val="tx1"/>
                  </w14:solidFill>
                </w14:textFill>
              </w:rPr>
              <w:t>6</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×10</w:t>
            </w:r>
            <w:r>
              <w:rPr>
                <w:rFonts w:hint="default" w:ascii="Times New Roman" w:hAnsi="Times New Roman" w:eastAsia="宋体" w:cs="Times New Roman"/>
                <w:color w:val="000000" w:themeColor="text1"/>
                <w:sz w:val="21"/>
                <w:szCs w:val="21"/>
                <w:highlight w:val="none"/>
                <w:vertAlign w:val="superscript"/>
                <w:lang w:val="en-US" w:eastAsia="zh-CN"/>
                <w14:textFill>
                  <w14:solidFill>
                    <w14:schemeClr w14:val="tx1"/>
                  </w14:solidFill>
                </w14:textFill>
              </w:rPr>
              <w:t>-3</w:t>
            </w:r>
          </w:p>
        </w:tc>
        <w:tc>
          <w:tcPr>
            <w:tcW w:w="1205" w:type="dxa"/>
            <w:noWrap w:val="0"/>
            <w:vAlign w:val="center"/>
          </w:tcPr>
          <w:p w14:paraId="2A8003E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0.0001</w:t>
            </w:r>
          </w:p>
        </w:tc>
      </w:tr>
      <w:tr w14:paraId="25721E6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5" w:hRule="atLeast"/>
        </w:trPr>
        <w:tc>
          <w:tcPr>
            <w:tcW w:w="662" w:type="pct"/>
            <w:vMerge w:val="continue"/>
            <w:noWrap w:val="0"/>
            <w:vAlign w:val="center"/>
          </w:tcPr>
          <w:p w14:paraId="068478E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14:textFill>
                  <w14:solidFill>
                    <w14:schemeClr w14:val="tx1"/>
                  </w14:solidFill>
                </w14:textFill>
              </w:rPr>
            </w:pPr>
          </w:p>
        </w:tc>
        <w:tc>
          <w:tcPr>
            <w:tcW w:w="1217" w:type="pct"/>
            <w:noWrap w:val="0"/>
            <w:vAlign w:val="center"/>
          </w:tcPr>
          <w:p w14:paraId="03E5510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污泥脱水间</w:t>
            </w:r>
          </w:p>
        </w:tc>
        <w:tc>
          <w:tcPr>
            <w:tcW w:w="1103" w:type="dxa"/>
            <w:noWrap w:val="0"/>
            <w:vAlign w:val="center"/>
          </w:tcPr>
          <w:p w14:paraId="5A045AF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36</w:t>
            </w:r>
          </w:p>
        </w:tc>
        <w:tc>
          <w:tcPr>
            <w:tcW w:w="1229" w:type="dxa"/>
            <w:noWrap w:val="0"/>
            <w:vAlign w:val="center"/>
          </w:tcPr>
          <w:p w14:paraId="023911F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0.1</w:t>
            </w:r>
          </w:p>
        </w:tc>
        <w:tc>
          <w:tcPr>
            <w:tcW w:w="1122" w:type="dxa"/>
            <w:noWrap w:val="0"/>
            <w:vAlign w:val="center"/>
          </w:tcPr>
          <w:p w14:paraId="5AE70A5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 xml:space="preserve">0.0130 </w:t>
            </w:r>
          </w:p>
        </w:tc>
        <w:tc>
          <w:tcPr>
            <w:tcW w:w="1133" w:type="dxa"/>
            <w:noWrap w:val="0"/>
            <w:vAlign w:val="center"/>
          </w:tcPr>
          <w:p w14:paraId="6F6880B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w:t>
            </w:r>
            <w:r>
              <w:rPr>
                <w:rFonts w:hint="eastAsia" w:cs="Times New Roman"/>
                <w:color w:val="000000" w:themeColor="text1"/>
                <w:sz w:val="21"/>
                <w:szCs w:val="21"/>
                <w:highlight w:val="none"/>
                <w:lang w:val="en-US" w:eastAsia="zh-CN"/>
                <w14:textFill>
                  <w14:solidFill>
                    <w14:schemeClr w14:val="tx1"/>
                  </w14:solidFill>
                </w14:textFill>
              </w:rPr>
              <w:t>6</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×10</w:t>
            </w:r>
            <w:r>
              <w:rPr>
                <w:rFonts w:hint="default" w:ascii="Times New Roman" w:hAnsi="Times New Roman" w:eastAsia="宋体" w:cs="Times New Roman"/>
                <w:color w:val="000000" w:themeColor="text1"/>
                <w:sz w:val="21"/>
                <w:szCs w:val="21"/>
                <w:highlight w:val="none"/>
                <w:vertAlign w:val="superscript"/>
                <w:lang w:val="en-US" w:eastAsia="zh-CN"/>
                <w14:textFill>
                  <w14:solidFill>
                    <w14:schemeClr w14:val="tx1"/>
                  </w14:solidFill>
                </w14:textFill>
              </w:rPr>
              <w:t>-3</w:t>
            </w:r>
          </w:p>
        </w:tc>
        <w:tc>
          <w:tcPr>
            <w:tcW w:w="1205" w:type="dxa"/>
            <w:noWrap w:val="0"/>
            <w:vAlign w:val="center"/>
          </w:tcPr>
          <w:p w14:paraId="2812BBA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0.0002</w:t>
            </w:r>
          </w:p>
        </w:tc>
      </w:tr>
      <w:tr w14:paraId="6392AE8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1879" w:type="pct"/>
            <w:gridSpan w:val="2"/>
            <w:noWrap w:val="0"/>
            <w:vAlign w:val="center"/>
          </w:tcPr>
          <w:p w14:paraId="58D33E4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14:textFill>
                  <w14:solidFill>
                    <w14:schemeClr w14:val="tx1"/>
                  </w14:solidFill>
                </w14:textFill>
              </w:rPr>
              <w:t>合计</w:t>
            </w:r>
          </w:p>
        </w:tc>
        <w:tc>
          <w:tcPr>
            <w:tcW w:w="1103" w:type="dxa"/>
            <w:noWrap w:val="0"/>
            <w:vAlign w:val="center"/>
          </w:tcPr>
          <w:p w14:paraId="1FD4CB5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168.68</w:t>
            </w:r>
          </w:p>
        </w:tc>
        <w:tc>
          <w:tcPr>
            <w:tcW w:w="1229" w:type="dxa"/>
            <w:noWrap w:val="0"/>
            <w:vAlign w:val="center"/>
          </w:tcPr>
          <w:p w14:paraId="72D1C55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122" w:type="dxa"/>
            <w:noWrap w:val="0"/>
            <w:vAlign w:val="center"/>
          </w:tcPr>
          <w:p w14:paraId="1580A7E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 xml:space="preserve">0.11 </w:t>
            </w:r>
          </w:p>
        </w:tc>
        <w:tc>
          <w:tcPr>
            <w:tcW w:w="1133" w:type="dxa"/>
            <w:noWrap w:val="0"/>
            <w:vAlign w:val="center"/>
          </w:tcPr>
          <w:p w14:paraId="3C815D7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205" w:type="dxa"/>
            <w:noWrap w:val="0"/>
            <w:vAlign w:val="center"/>
          </w:tcPr>
          <w:p w14:paraId="1734186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0.00</w:t>
            </w:r>
            <w:r>
              <w:rPr>
                <w:rFonts w:hint="eastAsia" w:cs="Times New Roman"/>
                <w:color w:val="000000" w:themeColor="text1"/>
                <w:sz w:val="21"/>
                <w:szCs w:val="21"/>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 xml:space="preserve"> </w:t>
            </w:r>
          </w:p>
        </w:tc>
      </w:tr>
      <w:bookmarkEnd w:id="196"/>
    </w:tbl>
    <w:p w14:paraId="5BBEC815">
      <w:pPr>
        <w:bidi w:val="0"/>
        <w:rPr>
          <w:rFonts w:hint="default"/>
          <w:highlight w:val="none"/>
        </w:rPr>
      </w:pPr>
      <w:r>
        <w:rPr>
          <w:rFonts w:hint="default"/>
          <w:highlight w:val="none"/>
        </w:rPr>
        <w:t>由表看出，本项目经格栅渠及调节池、A</w:t>
      </w:r>
      <w:r>
        <w:rPr>
          <w:rFonts w:hint="default"/>
          <w:highlight w:val="none"/>
          <w:vertAlign w:val="superscript"/>
        </w:rPr>
        <w:t>2</w:t>
      </w:r>
      <w:r>
        <w:rPr>
          <w:rFonts w:hint="default"/>
          <w:highlight w:val="none"/>
        </w:rPr>
        <w:t>O一体化装置、污泥池、污泥脱水间等产生的恶臭气体中H</w:t>
      </w:r>
      <w:r>
        <w:rPr>
          <w:rFonts w:hint="default"/>
          <w:highlight w:val="none"/>
          <w:vertAlign w:val="subscript"/>
        </w:rPr>
        <w:t>2</w:t>
      </w:r>
      <w:r>
        <w:rPr>
          <w:rFonts w:hint="default"/>
          <w:highlight w:val="none"/>
        </w:rPr>
        <w:t>S、NH</w:t>
      </w:r>
      <w:r>
        <w:rPr>
          <w:rFonts w:hint="default"/>
          <w:highlight w:val="none"/>
          <w:vertAlign w:val="subscript"/>
        </w:rPr>
        <w:t>3</w:t>
      </w:r>
      <w:r>
        <w:rPr>
          <w:rFonts w:hint="default"/>
          <w:highlight w:val="none"/>
        </w:rPr>
        <w:t>产生速率分别为</w:t>
      </w:r>
      <w:r>
        <w:rPr>
          <w:rFonts w:hint="eastAsia"/>
          <w:highlight w:val="none"/>
          <w:lang w:eastAsia="zh-CN"/>
        </w:rPr>
        <w:t>0.002</w:t>
      </w:r>
      <w:r>
        <w:rPr>
          <w:rFonts w:hint="default"/>
          <w:highlight w:val="none"/>
        </w:rPr>
        <w:t>kg/h、0.11kg/h。</w:t>
      </w:r>
    </w:p>
    <w:p w14:paraId="76F63073">
      <w:pPr>
        <w:bidi w:val="0"/>
        <w:rPr>
          <w:rFonts w:hint="default"/>
          <w:highlight w:val="none"/>
        </w:rPr>
      </w:pPr>
      <w:r>
        <w:rPr>
          <w:rFonts w:hint="default"/>
          <w:highlight w:val="none"/>
        </w:rPr>
        <w:t>参阅《中国城市污水处理厂甲烷排放因子的研究》（中国人口·资源与环境，2015年第25卷，第4期）中的内容：“中国同一工艺污水处理厂影响CH</w:t>
      </w:r>
      <w:r>
        <w:rPr>
          <w:rFonts w:hint="default"/>
          <w:highlight w:val="none"/>
          <w:vertAlign w:val="subscript"/>
        </w:rPr>
        <w:t>4</w:t>
      </w:r>
      <w:r>
        <w:rPr>
          <w:rFonts w:hint="default"/>
          <w:highlight w:val="none"/>
        </w:rPr>
        <w:t>产生和排放的管理条件主要在于好氧曝气环节，而中国污水处理厂基本都能做到供氧充足，CH</w:t>
      </w:r>
      <w:r>
        <w:rPr>
          <w:rFonts w:hint="default"/>
          <w:highlight w:val="none"/>
          <w:vertAlign w:val="subscript"/>
        </w:rPr>
        <w:t>4</w:t>
      </w:r>
      <w:r>
        <w:rPr>
          <w:rFonts w:hint="default"/>
          <w:highlight w:val="none"/>
        </w:rPr>
        <w:t>释放量均较低，尽管A/O工艺、A/A/O工艺、A/O/O工艺等均存在厌氧或者缺氧环节，但其仅是其中的一个环节，且主要功能主要是用于除氮和除磷，其处理过程中CH</w:t>
      </w:r>
      <w:r>
        <w:rPr>
          <w:rFonts w:hint="default"/>
          <w:highlight w:val="none"/>
          <w:vertAlign w:val="subscript"/>
        </w:rPr>
        <w:t>4</w:t>
      </w:r>
      <w:r>
        <w:rPr>
          <w:rFonts w:hint="default"/>
          <w:highlight w:val="none"/>
        </w:rPr>
        <w:t>产生量与好氧相当，在A/A/O工艺的厌氧池环节虽然观测到冒泡，但无法检测到。实测及理论研究结果表明A/A/O工艺CH</w:t>
      </w:r>
      <w:r>
        <w:rPr>
          <w:rFonts w:hint="default"/>
          <w:highlight w:val="none"/>
          <w:vertAlign w:val="subscript"/>
        </w:rPr>
        <w:t>4</w:t>
      </w:r>
      <w:r>
        <w:rPr>
          <w:rFonts w:hint="default"/>
          <w:highlight w:val="none"/>
        </w:rPr>
        <w:t>排放因子位于一个很低的水平。实测结果显示，主要大型城市生活污水处理厂甲烷排放因子为0.003kgCH</w:t>
      </w:r>
      <w:r>
        <w:rPr>
          <w:rFonts w:hint="default"/>
          <w:highlight w:val="none"/>
          <w:vertAlign w:val="subscript"/>
        </w:rPr>
        <w:t>4</w:t>
      </w:r>
      <w:r>
        <w:rPr>
          <w:rFonts w:hint="default"/>
          <w:highlight w:val="none"/>
        </w:rPr>
        <w:t>/COD，小型城市生活污水处理厂甲烷排放因子为0.001kgCH</w:t>
      </w:r>
      <w:r>
        <w:rPr>
          <w:rFonts w:hint="default"/>
          <w:highlight w:val="none"/>
          <w:vertAlign w:val="subscript"/>
        </w:rPr>
        <w:t>4</w:t>
      </w:r>
      <w:r>
        <w:rPr>
          <w:rFonts w:hint="default"/>
          <w:highlight w:val="none"/>
        </w:rPr>
        <w:t>/COD，工业污水处理厂甲烷排放因子为0.16kgCH</w:t>
      </w:r>
      <w:r>
        <w:rPr>
          <w:rFonts w:hint="default"/>
          <w:highlight w:val="none"/>
          <w:vertAlign w:val="subscript"/>
        </w:rPr>
        <w:t>4</w:t>
      </w:r>
      <w:r>
        <w:rPr>
          <w:rFonts w:hint="default"/>
          <w:highlight w:val="none"/>
        </w:rPr>
        <w:t>/COD。”本项目污水处理厂进水包括生活污水及园区企业预处理达标后的生产废水，水质较为接近生活污水，采用A</w:t>
      </w:r>
      <w:r>
        <w:rPr>
          <w:rFonts w:hint="eastAsia"/>
          <w:highlight w:val="none"/>
          <w:vertAlign w:val="superscript"/>
          <w:lang w:val="en-US" w:eastAsia="zh-CN"/>
        </w:rPr>
        <w:t>2</w:t>
      </w:r>
      <w:r>
        <w:rPr>
          <w:rFonts w:hint="default"/>
          <w:highlight w:val="none"/>
        </w:rPr>
        <w:t>O工艺，CH</w:t>
      </w:r>
      <w:r>
        <w:rPr>
          <w:rFonts w:hint="default"/>
          <w:highlight w:val="none"/>
          <w:vertAlign w:val="subscript"/>
        </w:rPr>
        <w:t>4</w:t>
      </w:r>
      <w:r>
        <w:rPr>
          <w:rFonts w:hint="default"/>
          <w:highlight w:val="none"/>
        </w:rPr>
        <w:t>排放因子类比小型城市生活污水处理厂甲烷排放因子，COD进水350mg/L，出水50mg/L，则甲烷产生量为0.075kg/d（0.0002kg/h）。</w:t>
      </w:r>
    </w:p>
    <w:p w14:paraId="23CD5A8C">
      <w:pPr>
        <w:bidi w:val="0"/>
        <w:rPr>
          <w:rFonts w:hint="default"/>
          <w:highlight w:val="none"/>
        </w:rPr>
      </w:pPr>
      <w:r>
        <w:rPr>
          <w:rFonts w:hint="default"/>
          <w:highlight w:val="none"/>
        </w:rPr>
        <w:t>依据《城镇污水处理厂臭气处理技术规程》（CJJ/T243-2016），污水、污泥处理构筑物的臭气风量的计算应符合下列规定：</w:t>
      </w:r>
    </w:p>
    <w:p w14:paraId="2BAC7968">
      <w:pPr>
        <w:bidi w:val="0"/>
        <w:rPr>
          <w:rFonts w:hint="default"/>
          <w:highlight w:val="none"/>
        </w:rPr>
      </w:pPr>
      <w:r>
        <w:rPr>
          <w:rFonts w:hint="default"/>
          <w:highlight w:val="none"/>
        </w:rPr>
        <w:t>a、进水水泵吸水井或沉砂池的臭气风量可按单位水面面积臭气风量指标10</w:t>
      </w:r>
      <w:r>
        <w:rPr>
          <w:rFonts w:hint="eastAsia"/>
          <w:highlight w:val="none"/>
          <w:lang w:eastAsia="zh-CN"/>
        </w:rPr>
        <w:t>m</w:t>
      </w:r>
      <w:r>
        <w:rPr>
          <w:rFonts w:hint="eastAsia"/>
          <w:highlight w:val="none"/>
          <w:vertAlign w:val="superscript"/>
          <w:lang w:eastAsia="zh-CN"/>
        </w:rPr>
        <w:t>3</w:t>
      </w:r>
      <w:r>
        <w:rPr>
          <w:rFonts w:hint="default"/>
          <w:highlight w:val="none"/>
        </w:rPr>
        <w:t>/（m</w:t>
      </w:r>
      <w:r>
        <w:rPr>
          <w:rFonts w:hint="default"/>
          <w:highlight w:val="none"/>
          <w:vertAlign w:val="superscript"/>
        </w:rPr>
        <w:t>2</w:t>
      </w:r>
      <w:r>
        <w:rPr>
          <w:rFonts w:hint="default"/>
          <w:highlight w:val="none"/>
        </w:rPr>
        <w:t>·h）计算，并可增加1次/h~2次/h的空间换气量；</w:t>
      </w:r>
    </w:p>
    <w:p w14:paraId="0D11A154">
      <w:pPr>
        <w:bidi w:val="0"/>
        <w:rPr>
          <w:rFonts w:hint="default"/>
          <w:highlight w:val="none"/>
        </w:rPr>
      </w:pPr>
      <w:r>
        <w:rPr>
          <w:rFonts w:hint="default"/>
          <w:highlight w:val="none"/>
        </w:rPr>
        <w:t>b、初沉池或污泥浓缩池等构筑物臭气风量可按单位水面面积臭气风量指标3</w:t>
      </w:r>
      <w:r>
        <w:rPr>
          <w:rFonts w:hint="eastAsia"/>
          <w:highlight w:val="none"/>
          <w:lang w:eastAsia="zh-CN"/>
        </w:rPr>
        <w:t>m</w:t>
      </w:r>
      <w:r>
        <w:rPr>
          <w:rFonts w:hint="eastAsia"/>
          <w:highlight w:val="none"/>
          <w:vertAlign w:val="superscript"/>
          <w:lang w:eastAsia="zh-CN"/>
        </w:rPr>
        <w:t>3</w:t>
      </w:r>
      <w:r>
        <w:rPr>
          <w:rFonts w:hint="default"/>
          <w:highlight w:val="none"/>
        </w:rPr>
        <w:t>/（m</w:t>
      </w:r>
      <w:r>
        <w:rPr>
          <w:rFonts w:hint="default"/>
          <w:highlight w:val="none"/>
          <w:vertAlign w:val="superscript"/>
        </w:rPr>
        <w:t>2</w:t>
      </w:r>
      <w:r>
        <w:rPr>
          <w:rFonts w:hint="default"/>
          <w:highlight w:val="none"/>
        </w:rPr>
        <w:t>·h）计算，并可增加1次/h~2次/h的空间换气量。</w:t>
      </w:r>
    </w:p>
    <w:p w14:paraId="1EC6B31F">
      <w:pPr>
        <w:bidi w:val="0"/>
        <w:rPr>
          <w:rFonts w:hint="default"/>
          <w:highlight w:val="none"/>
        </w:rPr>
      </w:pPr>
      <w:r>
        <w:rPr>
          <w:rFonts w:hint="default"/>
          <w:highlight w:val="none"/>
        </w:rPr>
        <w:t>各构筑物收集气体量见表3.</w:t>
      </w:r>
      <w:r>
        <w:rPr>
          <w:rFonts w:hint="default"/>
          <w:highlight w:val="none"/>
          <w:lang w:val="en-US" w:eastAsia="zh-CN"/>
        </w:rPr>
        <w:t>3</w:t>
      </w:r>
      <w:r>
        <w:rPr>
          <w:rFonts w:hint="default"/>
          <w:highlight w:val="none"/>
        </w:rPr>
        <w:t>-</w:t>
      </w:r>
      <w:r>
        <w:rPr>
          <w:rFonts w:hint="eastAsia"/>
          <w:highlight w:val="none"/>
          <w:lang w:val="en-US" w:eastAsia="zh-CN"/>
        </w:rPr>
        <w:t>3</w:t>
      </w:r>
      <w:r>
        <w:rPr>
          <w:rFonts w:hint="default"/>
          <w:highlight w:val="none"/>
        </w:rPr>
        <w:t>。</w:t>
      </w:r>
    </w:p>
    <w:p w14:paraId="3833EAB5">
      <w:pPr>
        <w:pStyle w:val="20"/>
        <w:numPr>
          <w:ilvl w:val="0"/>
          <w:numId w:val="27"/>
        </w:numPr>
        <w:spacing w:after="0" w:line="440" w:lineRule="exact"/>
        <w:ind w:left="425" w:leftChars="0" w:hanging="425" w:firstLineChars="0"/>
        <w:jc w:val="center"/>
        <w:rPr>
          <w:rFonts w:hint="default" w:ascii="Times New Roman" w:hAnsi="Times New Roman" w:eastAsia="宋体" w:cs="Times New Roman"/>
          <w:b/>
          <w:color w:val="000000"/>
          <w:sz w:val="24"/>
          <w:szCs w:val="24"/>
          <w:highlight w:val="none"/>
        </w:rPr>
      </w:pPr>
      <w:r>
        <w:rPr>
          <w:rFonts w:hint="default" w:ascii="Times New Roman" w:hAnsi="Times New Roman" w:eastAsia="宋体" w:cs="Times New Roman"/>
          <w:b/>
          <w:color w:val="000000"/>
          <w:sz w:val="24"/>
          <w:szCs w:val="24"/>
          <w:highlight w:val="none"/>
        </w:rPr>
        <w:t>各构筑物收集气体量情况一览表</w:t>
      </w:r>
    </w:p>
    <w:tbl>
      <w:tblPr>
        <w:tblStyle w:val="47"/>
        <w:tblW w:w="499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28" w:type="dxa"/>
          <w:left w:w="0" w:type="dxa"/>
          <w:bottom w:w="28" w:type="dxa"/>
          <w:right w:w="0" w:type="dxa"/>
        </w:tblCellMar>
      </w:tblPr>
      <w:tblGrid>
        <w:gridCol w:w="1407"/>
        <w:gridCol w:w="661"/>
        <w:gridCol w:w="969"/>
        <w:gridCol w:w="1027"/>
        <w:gridCol w:w="1232"/>
        <w:gridCol w:w="880"/>
        <w:gridCol w:w="828"/>
        <w:gridCol w:w="1043"/>
        <w:gridCol w:w="1046"/>
      </w:tblGrid>
      <w:tr w14:paraId="4F0D99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0" w:type="dxa"/>
            <w:bottom w:w="28" w:type="dxa"/>
            <w:right w:w="0" w:type="dxa"/>
          </w:tblCellMar>
        </w:tblPrEx>
        <w:trPr>
          <w:trHeight w:val="409" w:hRule="atLeast"/>
          <w:jc w:val="center"/>
        </w:trPr>
        <w:tc>
          <w:tcPr>
            <w:tcW w:w="777" w:type="pct"/>
            <w:noWrap w:val="0"/>
            <w:vAlign w:val="center"/>
          </w:tcPr>
          <w:p w14:paraId="0F38FBAF">
            <w:pPr>
              <w:pStyle w:val="58"/>
              <w:bidi w:val="0"/>
              <w:rPr>
                <w:rFonts w:hint="default"/>
                <w:highlight w:val="none"/>
              </w:rPr>
            </w:pPr>
            <w:bookmarkStart w:id="197" w:name="OLE_LINK94"/>
            <w:r>
              <w:rPr>
                <w:rFonts w:hint="default"/>
                <w:highlight w:val="none"/>
              </w:rPr>
              <w:t>产臭单元</w:t>
            </w:r>
          </w:p>
        </w:tc>
        <w:tc>
          <w:tcPr>
            <w:tcW w:w="367" w:type="pct"/>
            <w:tcBorders>
              <w:right w:val="single" w:color="auto" w:sz="4" w:space="0"/>
            </w:tcBorders>
            <w:noWrap w:val="0"/>
            <w:vAlign w:val="center"/>
          </w:tcPr>
          <w:p w14:paraId="1AA57B19">
            <w:pPr>
              <w:pStyle w:val="58"/>
              <w:bidi w:val="0"/>
              <w:rPr>
                <w:rFonts w:hint="default"/>
                <w:highlight w:val="none"/>
              </w:rPr>
            </w:pPr>
            <w:r>
              <w:rPr>
                <w:rFonts w:hint="default"/>
                <w:highlight w:val="none"/>
              </w:rPr>
              <w:t>数量</w:t>
            </w:r>
          </w:p>
        </w:tc>
        <w:tc>
          <w:tcPr>
            <w:tcW w:w="536" w:type="pct"/>
            <w:tcBorders>
              <w:left w:val="single" w:color="auto" w:sz="4" w:space="0"/>
            </w:tcBorders>
            <w:noWrap w:val="0"/>
            <w:vAlign w:val="center"/>
          </w:tcPr>
          <w:p w14:paraId="43214D08">
            <w:pPr>
              <w:pStyle w:val="58"/>
              <w:bidi w:val="0"/>
              <w:rPr>
                <w:rFonts w:hint="default"/>
                <w:highlight w:val="none"/>
              </w:rPr>
            </w:pPr>
            <w:r>
              <w:rPr>
                <w:rFonts w:hint="default"/>
                <w:highlight w:val="none"/>
              </w:rPr>
              <w:t>除臭水面积（m</w:t>
            </w:r>
            <w:r>
              <w:rPr>
                <w:rFonts w:hint="default"/>
                <w:highlight w:val="none"/>
                <w:vertAlign w:val="superscript"/>
              </w:rPr>
              <w:t>2</w:t>
            </w:r>
            <w:r>
              <w:rPr>
                <w:rFonts w:hint="default"/>
                <w:highlight w:val="none"/>
              </w:rPr>
              <w:t>）</w:t>
            </w:r>
          </w:p>
        </w:tc>
        <w:tc>
          <w:tcPr>
            <w:tcW w:w="568" w:type="pct"/>
            <w:noWrap w:val="0"/>
            <w:vAlign w:val="center"/>
          </w:tcPr>
          <w:p w14:paraId="226DD616">
            <w:pPr>
              <w:pStyle w:val="58"/>
              <w:bidi w:val="0"/>
              <w:rPr>
                <w:rFonts w:hint="default"/>
                <w:highlight w:val="none"/>
              </w:rPr>
            </w:pPr>
            <w:r>
              <w:rPr>
                <w:rFonts w:hint="default"/>
                <w:highlight w:val="none"/>
              </w:rPr>
              <w:t>除臭空间容积（</w:t>
            </w:r>
            <w:r>
              <w:rPr>
                <w:rFonts w:hint="eastAsia"/>
                <w:highlight w:val="none"/>
                <w:lang w:eastAsia="zh-CN"/>
              </w:rPr>
              <w:t>m</w:t>
            </w:r>
            <w:r>
              <w:rPr>
                <w:rFonts w:hint="eastAsia"/>
                <w:highlight w:val="none"/>
                <w:vertAlign w:val="superscript"/>
                <w:lang w:eastAsia="zh-CN"/>
              </w:rPr>
              <w:t>3</w:t>
            </w:r>
            <w:r>
              <w:rPr>
                <w:rFonts w:hint="default"/>
                <w:highlight w:val="none"/>
              </w:rPr>
              <w:t>）</w:t>
            </w:r>
          </w:p>
        </w:tc>
        <w:tc>
          <w:tcPr>
            <w:tcW w:w="681" w:type="pct"/>
            <w:noWrap w:val="0"/>
            <w:vAlign w:val="center"/>
          </w:tcPr>
          <w:p w14:paraId="5F722D64">
            <w:pPr>
              <w:pStyle w:val="58"/>
              <w:bidi w:val="0"/>
              <w:rPr>
                <w:rFonts w:hint="default"/>
                <w:highlight w:val="none"/>
              </w:rPr>
            </w:pPr>
            <w:r>
              <w:rPr>
                <w:rFonts w:hint="default"/>
                <w:highlight w:val="none"/>
              </w:rPr>
              <w:t>按水面积换气指标（</w:t>
            </w:r>
            <w:r>
              <w:rPr>
                <w:rFonts w:hint="eastAsia"/>
                <w:highlight w:val="none"/>
                <w:lang w:eastAsia="zh-CN"/>
              </w:rPr>
              <w:t>m</w:t>
            </w:r>
            <w:r>
              <w:rPr>
                <w:rFonts w:hint="eastAsia"/>
                <w:highlight w:val="none"/>
                <w:vertAlign w:val="superscript"/>
                <w:lang w:eastAsia="zh-CN"/>
              </w:rPr>
              <w:t>3</w:t>
            </w:r>
            <w:r>
              <w:rPr>
                <w:rFonts w:hint="default"/>
                <w:highlight w:val="none"/>
              </w:rPr>
              <w:t>/h·m</w:t>
            </w:r>
            <w:r>
              <w:rPr>
                <w:rFonts w:hint="default"/>
                <w:highlight w:val="none"/>
                <w:vertAlign w:val="superscript"/>
              </w:rPr>
              <w:t>2</w:t>
            </w:r>
            <w:r>
              <w:rPr>
                <w:rFonts w:hint="default"/>
                <w:highlight w:val="none"/>
              </w:rPr>
              <w:t>）</w:t>
            </w:r>
          </w:p>
        </w:tc>
        <w:tc>
          <w:tcPr>
            <w:tcW w:w="487" w:type="pct"/>
            <w:tcBorders>
              <w:right w:val="single" w:color="auto" w:sz="4" w:space="0"/>
            </w:tcBorders>
            <w:noWrap w:val="0"/>
            <w:vAlign w:val="center"/>
          </w:tcPr>
          <w:p w14:paraId="55F5A12C">
            <w:pPr>
              <w:pStyle w:val="58"/>
              <w:bidi w:val="0"/>
              <w:rPr>
                <w:rFonts w:hint="default"/>
                <w:highlight w:val="none"/>
              </w:rPr>
            </w:pPr>
            <w:r>
              <w:rPr>
                <w:rFonts w:hint="default"/>
                <w:highlight w:val="none"/>
              </w:rPr>
              <w:t>换气次数</w:t>
            </w:r>
          </w:p>
          <w:p w14:paraId="51B5CC9E">
            <w:pPr>
              <w:pStyle w:val="58"/>
              <w:bidi w:val="0"/>
              <w:rPr>
                <w:rFonts w:hint="default"/>
                <w:highlight w:val="none"/>
              </w:rPr>
            </w:pPr>
            <w:r>
              <w:rPr>
                <w:rFonts w:hint="default"/>
                <w:highlight w:val="none"/>
              </w:rPr>
              <w:t>（次/h）</w:t>
            </w:r>
          </w:p>
        </w:tc>
        <w:tc>
          <w:tcPr>
            <w:tcW w:w="430" w:type="pct"/>
            <w:tcBorders>
              <w:left w:val="single" w:color="auto" w:sz="4" w:space="0"/>
            </w:tcBorders>
            <w:noWrap w:val="0"/>
            <w:vAlign w:val="center"/>
          </w:tcPr>
          <w:p w14:paraId="5ED09BB6">
            <w:pPr>
              <w:pStyle w:val="58"/>
              <w:bidi w:val="0"/>
              <w:rPr>
                <w:rFonts w:hint="default"/>
                <w:highlight w:val="none"/>
              </w:rPr>
            </w:pPr>
            <w:r>
              <w:rPr>
                <w:rFonts w:hint="default"/>
                <w:highlight w:val="none"/>
              </w:rPr>
              <w:t>曝气量（</w:t>
            </w:r>
            <w:r>
              <w:rPr>
                <w:rFonts w:hint="eastAsia"/>
                <w:highlight w:val="none"/>
                <w:lang w:eastAsia="zh-CN"/>
              </w:rPr>
              <w:t>m</w:t>
            </w:r>
            <w:r>
              <w:rPr>
                <w:rFonts w:hint="eastAsia"/>
                <w:highlight w:val="none"/>
                <w:vertAlign w:val="superscript"/>
                <w:lang w:eastAsia="zh-CN"/>
              </w:rPr>
              <w:t>3</w:t>
            </w:r>
            <w:r>
              <w:rPr>
                <w:rFonts w:hint="default"/>
                <w:highlight w:val="none"/>
              </w:rPr>
              <w:t>/h）</w:t>
            </w:r>
          </w:p>
        </w:tc>
        <w:tc>
          <w:tcPr>
            <w:tcW w:w="576" w:type="pct"/>
            <w:noWrap w:val="0"/>
            <w:vAlign w:val="center"/>
          </w:tcPr>
          <w:p w14:paraId="10017025">
            <w:pPr>
              <w:pStyle w:val="58"/>
              <w:bidi w:val="0"/>
              <w:rPr>
                <w:rFonts w:hint="default"/>
                <w:highlight w:val="none"/>
              </w:rPr>
            </w:pPr>
            <w:r>
              <w:rPr>
                <w:rFonts w:hint="default"/>
                <w:highlight w:val="none"/>
              </w:rPr>
              <w:t>计算除臭风量（</w:t>
            </w:r>
            <w:r>
              <w:rPr>
                <w:rFonts w:hint="eastAsia"/>
                <w:highlight w:val="none"/>
                <w:lang w:eastAsia="zh-CN"/>
              </w:rPr>
              <w:t>m</w:t>
            </w:r>
            <w:r>
              <w:rPr>
                <w:rFonts w:hint="eastAsia"/>
                <w:highlight w:val="none"/>
                <w:vertAlign w:val="superscript"/>
                <w:lang w:eastAsia="zh-CN"/>
              </w:rPr>
              <w:t>3</w:t>
            </w:r>
            <w:r>
              <w:rPr>
                <w:rFonts w:hint="default"/>
                <w:highlight w:val="none"/>
              </w:rPr>
              <w:t>/h）</w:t>
            </w:r>
          </w:p>
        </w:tc>
        <w:tc>
          <w:tcPr>
            <w:tcW w:w="574" w:type="pct"/>
            <w:noWrap w:val="0"/>
            <w:vAlign w:val="center"/>
          </w:tcPr>
          <w:p w14:paraId="4AFF7296">
            <w:pPr>
              <w:pStyle w:val="58"/>
              <w:bidi w:val="0"/>
              <w:rPr>
                <w:rFonts w:hint="default"/>
                <w:highlight w:val="none"/>
              </w:rPr>
            </w:pPr>
            <w:r>
              <w:rPr>
                <w:rFonts w:hint="default"/>
                <w:highlight w:val="none"/>
              </w:rPr>
              <w:t>设计风量（</w:t>
            </w:r>
            <w:r>
              <w:rPr>
                <w:rFonts w:hint="eastAsia"/>
                <w:highlight w:val="none"/>
                <w:lang w:eastAsia="zh-CN"/>
              </w:rPr>
              <w:t>m</w:t>
            </w:r>
            <w:r>
              <w:rPr>
                <w:rFonts w:hint="eastAsia"/>
                <w:highlight w:val="none"/>
                <w:vertAlign w:val="superscript"/>
                <w:lang w:eastAsia="zh-CN"/>
              </w:rPr>
              <w:t>3</w:t>
            </w:r>
            <w:r>
              <w:rPr>
                <w:rFonts w:hint="default"/>
                <w:highlight w:val="none"/>
              </w:rPr>
              <w:t>/h）</w:t>
            </w:r>
          </w:p>
        </w:tc>
      </w:tr>
      <w:tr w14:paraId="3EF998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0" w:type="dxa"/>
            <w:bottom w:w="28" w:type="dxa"/>
            <w:right w:w="0" w:type="dxa"/>
          </w:tblCellMar>
        </w:tblPrEx>
        <w:trPr>
          <w:trHeight w:val="403" w:hRule="atLeast"/>
          <w:jc w:val="center"/>
        </w:trPr>
        <w:tc>
          <w:tcPr>
            <w:tcW w:w="777" w:type="pct"/>
            <w:noWrap w:val="0"/>
            <w:vAlign w:val="center"/>
          </w:tcPr>
          <w:p w14:paraId="276EB2AA">
            <w:pPr>
              <w:pStyle w:val="58"/>
              <w:bidi w:val="0"/>
              <w:rPr>
                <w:rFonts w:hint="eastAsia" w:eastAsia="宋体"/>
                <w:highlight w:val="none"/>
                <w:lang w:eastAsia="zh-CN"/>
              </w:rPr>
            </w:pPr>
            <w:r>
              <w:rPr>
                <w:rFonts w:hint="eastAsia"/>
                <w:highlight w:val="none"/>
                <w:lang w:eastAsia="zh-CN"/>
              </w:rPr>
              <w:t>格栅渠及调节池</w:t>
            </w:r>
          </w:p>
        </w:tc>
        <w:tc>
          <w:tcPr>
            <w:tcW w:w="367" w:type="pct"/>
            <w:tcBorders>
              <w:right w:val="single" w:color="auto" w:sz="4" w:space="0"/>
            </w:tcBorders>
            <w:noWrap w:val="0"/>
            <w:vAlign w:val="center"/>
          </w:tcPr>
          <w:p w14:paraId="5BC48EEF">
            <w:pPr>
              <w:pStyle w:val="58"/>
              <w:bidi w:val="0"/>
              <w:rPr>
                <w:rFonts w:hint="default"/>
                <w:highlight w:val="none"/>
                <w:lang w:val="en-US" w:eastAsia="zh-CN"/>
              </w:rPr>
            </w:pPr>
            <w:r>
              <w:rPr>
                <w:rFonts w:hint="default"/>
                <w:highlight w:val="none"/>
                <w:lang w:val="en-US" w:eastAsia="zh-CN"/>
              </w:rPr>
              <w:t>1</w:t>
            </w:r>
          </w:p>
        </w:tc>
        <w:tc>
          <w:tcPr>
            <w:tcW w:w="536" w:type="pct"/>
            <w:tcBorders>
              <w:left w:val="single" w:color="auto" w:sz="4" w:space="0"/>
            </w:tcBorders>
            <w:noWrap w:val="0"/>
            <w:vAlign w:val="center"/>
          </w:tcPr>
          <w:p w14:paraId="1483FBE5">
            <w:pPr>
              <w:pStyle w:val="58"/>
              <w:bidi w:val="0"/>
              <w:rPr>
                <w:rFonts w:hint="default"/>
                <w:highlight w:val="none"/>
                <w:lang w:val="en-US" w:eastAsia="zh-CN"/>
              </w:rPr>
            </w:pPr>
            <w:r>
              <w:rPr>
                <w:rFonts w:hint="default"/>
                <w:highlight w:val="none"/>
                <w:lang w:val="en-US" w:eastAsia="zh-CN"/>
              </w:rPr>
              <w:t>83.42</w:t>
            </w:r>
          </w:p>
        </w:tc>
        <w:tc>
          <w:tcPr>
            <w:tcW w:w="568" w:type="pct"/>
            <w:noWrap w:val="0"/>
            <w:vAlign w:val="center"/>
          </w:tcPr>
          <w:p w14:paraId="5DB32EDA">
            <w:pPr>
              <w:pStyle w:val="58"/>
              <w:bidi w:val="0"/>
              <w:rPr>
                <w:rFonts w:hint="default"/>
                <w:highlight w:val="none"/>
                <w:lang w:val="en-US" w:eastAsia="zh-CN"/>
              </w:rPr>
            </w:pPr>
            <w:r>
              <w:rPr>
                <w:rFonts w:hint="default"/>
                <w:highlight w:val="none"/>
                <w:lang w:val="en-US" w:eastAsia="zh-CN"/>
              </w:rPr>
              <w:t>437.955</w:t>
            </w:r>
          </w:p>
        </w:tc>
        <w:tc>
          <w:tcPr>
            <w:tcW w:w="681" w:type="pct"/>
            <w:noWrap w:val="0"/>
            <w:vAlign w:val="center"/>
          </w:tcPr>
          <w:p w14:paraId="7EFD9779">
            <w:pPr>
              <w:pStyle w:val="58"/>
              <w:bidi w:val="0"/>
              <w:rPr>
                <w:rFonts w:hint="default"/>
                <w:highlight w:val="none"/>
                <w:lang w:val="en-US" w:eastAsia="zh-CN"/>
              </w:rPr>
            </w:pPr>
            <w:r>
              <w:rPr>
                <w:rFonts w:hint="default"/>
                <w:highlight w:val="none"/>
                <w:lang w:val="en-US" w:eastAsia="zh-CN"/>
              </w:rPr>
              <w:t>10</w:t>
            </w:r>
          </w:p>
        </w:tc>
        <w:tc>
          <w:tcPr>
            <w:tcW w:w="487" w:type="pct"/>
            <w:tcBorders>
              <w:right w:val="single" w:color="auto" w:sz="4" w:space="0"/>
            </w:tcBorders>
            <w:noWrap w:val="0"/>
            <w:vAlign w:val="center"/>
          </w:tcPr>
          <w:p w14:paraId="1A180985">
            <w:pPr>
              <w:pStyle w:val="58"/>
              <w:bidi w:val="0"/>
              <w:rPr>
                <w:rFonts w:hint="default"/>
                <w:highlight w:val="none"/>
                <w:lang w:val="en-US" w:eastAsia="zh-CN"/>
              </w:rPr>
            </w:pPr>
            <w:r>
              <w:rPr>
                <w:rFonts w:hint="default"/>
                <w:highlight w:val="none"/>
                <w:lang w:val="en-US" w:eastAsia="zh-CN"/>
              </w:rPr>
              <w:t>2</w:t>
            </w:r>
          </w:p>
        </w:tc>
        <w:tc>
          <w:tcPr>
            <w:tcW w:w="430" w:type="pct"/>
            <w:tcBorders>
              <w:left w:val="single" w:color="auto" w:sz="4" w:space="0"/>
            </w:tcBorders>
            <w:noWrap w:val="0"/>
            <w:vAlign w:val="center"/>
          </w:tcPr>
          <w:p w14:paraId="0E701155">
            <w:pPr>
              <w:pStyle w:val="58"/>
              <w:bidi w:val="0"/>
              <w:rPr>
                <w:rFonts w:hint="default"/>
                <w:highlight w:val="none"/>
                <w:lang w:val="en-US" w:eastAsia="zh-CN"/>
              </w:rPr>
            </w:pPr>
            <w:r>
              <w:rPr>
                <w:rFonts w:hint="default"/>
                <w:highlight w:val="none"/>
                <w:lang w:val="en-US" w:eastAsia="zh-CN"/>
              </w:rPr>
              <w:t>/</w:t>
            </w:r>
          </w:p>
        </w:tc>
        <w:tc>
          <w:tcPr>
            <w:tcW w:w="576" w:type="pct"/>
            <w:noWrap w:val="0"/>
            <w:vAlign w:val="center"/>
          </w:tcPr>
          <w:p w14:paraId="7FB38ED2">
            <w:pPr>
              <w:pStyle w:val="58"/>
              <w:bidi w:val="0"/>
              <w:rPr>
                <w:rFonts w:hint="default"/>
                <w:highlight w:val="none"/>
                <w:lang w:val="en-US" w:eastAsia="zh-CN"/>
              </w:rPr>
            </w:pPr>
            <w:r>
              <w:rPr>
                <w:rFonts w:hint="default"/>
                <w:highlight w:val="none"/>
                <w:lang w:val="en-US" w:eastAsia="zh-CN"/>
              </w:rPr>
              <w:t>1710</w:t>
            </w:r>
          </w:p>
        </w:tc>
        <w:tc>
          <w:tcPr>
            <w:tcW w:w="574" w:type="pct"/>
            <w:vMerge w:val="restart"/>
            <w:noWrap w:val="0"/>
            <w:vAlign w:val="center"/>
          </w:tcPr>
          <w:p w14:paraId="4C8BB1C5">
            <w:pPr>
              <w:pStyle w:val="58"/>
              <w:bidi w:val="0"/>
              <w:rPr>
                <w:rFonts w:hint="default"/>
                <w:highlight w:val="none"/>
                <w:lang w:val="en-US" w:eastAsia="zh-CN"/>
              </w:rPr>
            </w:pPr>
            <w:r>
              <w:rPr>
                <w:rFonts w:hint="default"/>
                <w:highlight w:val="none"/>
                <w:lang w:val="en-US" w:eastAsia="zh-CN"/>
              </w:rPr>
              <w:t>5000</w:t>
            </w:r>
          </w:p>
        </w:tc>
      </w:tr>
      <w:tr w14:paraId="4D6E67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0" w:type="dxa"/>
            <w:bottom w:w="28" w:type="dxa"/>
            <w:right w:w="0" w:type="dxa"/>
          </w:tblCellMar>
        </w:tblPrEx>
        <w:trPr>
          <w:trHeight w:val="403" w:hRule="atLeast"/>
          <w:jc w:val="center"/>
        </w:trPr>
        <w:tc>
          <w:tcPr>
            <w:tcW w:w="777" w:type="pct"/>
            <w:noWrap w:val="0"/>
            <w:vAlign w:val="center"/>
          </w:tcPr>
          <w:p w14:paraId="7E51E253">
            <w:pPr>
              <w:pStyle w:val="58"/>
              <w:bidi w:val="0"/>
              <w:rPr>
                <w:rFonts w:hint="default"/>
                <w:highlight w:val="none"/>
              </w:rPr>
            </w:pPr>
            <w:r>
              <w:rPr>
                <w:rFonts w:hint="eastAsia"/>
                <w:highlight w:val="none"/>
                <w:lang w:eastAsia="zh-CN"/>
              </w:rPr>
              <w:t>A</w:t>
            </w:r>
            <w:r>
              <w:rPr>
                <w:rFonts w:hint="eastAsia"/>
                <w:highlight w:val="none"/>
                <w:vertAlign w:val="superscript"/>
                <w:lang w:eastAsia="zh-CN"/>
              </w:rPr>
              <w:t>2</w:t>
            </w:r>
            <w:r>
              <w:rPr>
                <w:rFonts w:hint="eastAsia"/>
                <w:highlight w:val="none"/>
                <w:lang w:eastAsia="zh-CN"/>
              </w:rPr>
              <w:t>O</w:t>
            </w:r>
            <w:r>
              <w:rPr>
                <w:rFonts w:hint="default"/>
                <w:highlight w:val="none"/>
              </w:rPr>
              <w:t>池</w:t>
            </w:r>
          </w:p>
        </w:tc>
        <w:tc>
          <w:tcPr>
            <w:tcW w:w="367" w:type="pct"/>
            <w:tcBorders>
              <w:right w:val="single" w:color="auto" w:sz="4" w:space="0"/>
            </w:tcBorders>
            <w:noWrap w:val="0"/>
            <w:vAlign w:val="center"/>
          </w:tcPr>
          <w:p w14:paraId="2A58885B">
            <w:pPr>
              <w:pStyle w:val="58"/>
              <w:bidi w:val="0"/>
              <w:rPr>
                <w:rFonts w:hint="default"/>
                <w:highlight w:val="none"/>
                <w:lang w:val="en-US" w:eastAsia="zh-CN"/>
              </w:rPr>
            </w:pPr>
            <w:r>
              <w:rPr>
                <w:rFonts w:hint="default"/>
                <w:highlight w:val="none"/>
                <w:lang w:val="en-US" w:eastAsia="zh-CN"/>
              </w:rPr>
              <w:t>1</w:t>
            </w:r>
          </w:p>
        </w:tc>
        <w:tc>
          <w:tcPr>
            <w:tcW w:w="536" w:type="pct"/>
            <w:tcBorders>
              <w:left w:val="single" w:color="auto" w:sz="4" w:space="0"/>
            </w:tcBorders>
            <w:noWrap w:val="0"/>
            <w:vAlign w:val="center"/>
          </w:tcPr>
          <w:p w14:paraId="7A3066C2">
            <w:pPr>
              <w:pStyle w:val="58"/>
              <w:bidi w:val="0"/>
              <w:rPr>
                <w:rFonts w:hint="default"/>
                <w:highlight w:val="none"/>
                <w:lang w:val="en-US" w:eastAsia="zh-CN"/>
              </w:rPr>
            </w:pPr>
            <w:r>
              <w:rPr>
                <w:rFonts w:hint="default"/>
                <w:highlight w:val="none"/>
                <w:lang w:val="en-US" w:eastAsia="zh-CN"/>
              </w:rPr>
              <w:t>37.5</w:t>
            </w:r>
          </w:p>
        </w:tc>
        <w:tc>
          <w:tcPr>
            <w:tcW w:w="568" w:type="pct"/>
            <w:noWrap w:val="0"/>
            <w:vAlign w:val="center"/>
          </w:tcPr>
          <w:p w14:paraId="782709E7">
            <w:pPr>
              <w:pStyle w:val="58"/>
              <w:bidi w:val="0"/>
              <w:rPr>
                <w:rFonts w:hint="default"/>
                <w:highlight w:val="none"/>
                <w:lang w:val="en-US" w:eastAsia="zh-CN"/>
              </w:rPr>
            </w:pPr>
            <w:r>
              <w:rPr>
                <w:rFonts w:hint="default"/>
                <w:highlight w:val="none"/>
                <w:lang w:val="en-US" w:eastAsia="zh-CN"/>
              </w:rPr>
              <w:t>112.5</w:t>
            </w:r>
          </w:p>
        </w:tc>
        <w:tc>
          <w:tcPr>
            <w:tcW w:w="681" w:type="pct"/>
            <w:noWrap w:val="0"/>
            <w:vAlign w:val="center"/>
          </w:tcPr>
          <w:p w14:paraId="60028DA1">
            <w:pPr>
              <w:pStyle w:val="58"/>
              <w:bidi w:val="0"/>
              <w:rPr>
                <w:rFonts w:hint="default"/>
                <w:highlight w:val="none"/>
                <w:lang w:val="en-US" w:eastAsia="zh-CN"/>
              </w:rPr>
            </w:pPr>
            <w:r>
              <w:rPr>
                <w:rFonts w:hint="default"/>
                <w:highlight w:val="none"/>
              </w:rPr>
              <w:t>1</w:t>
            </w:r>
            <w:r>
              <w:rPr>
                <w:rFonts w:hint="default"/>
                <w:highlight w:val="none"/>
                <w:lang w:val="en-US" w:eastAsia="zh-CN"/>
              </w:rPr>
              <w:t>0</w:t>
            </w:r>
          </w:p>
        </w:tc>
        <w:tc>
          <w:tcPr>
            <w:tcW w:w="487" w:type="pct"/>
            <w:tcBorders>
              <w:right w:val="single" w:color="auto" w:sz="4" w:space="0"/>
            </w:tcBorders>
            <w:noWrap w:val="0"/>
            <w:vAlign w:val="center"/>
          </w:tcPr>
          <w:p w14:paraId="702E48F4">
            <w:pPr>
              <w:pStyle w:val="58"/>
              <w:bidi w:val="0"/>
              <w:rPr>
                <w:rFonts w:hint="default"/>
                <w:highlight w:val="none"/>
                <w:lang w:val="en-US" w:eastAsia="zh-CN"/>
              </w:rPr>
            </w:pPr>
            <w:r>
              <w:rPr>
                <w:rFonts w:hint="default"/>
                <w:highlight w:val="none"/>
                <w:lang w:val="en-US" w:eastAsia="zh-CN"/>
              </w:rPr>
              <w:t>2</w:t>
            </w:r>
          </w:p>
        </w:tc>
        <w:tc>
          <w:tcPr>
            <w:tcW w:w="430" w:type="pct"/>
            <w:tcBorders>
              <w:left w:val="single" w:color="auto" w:sz="4" w:space="0"/>
            </w:tcBorders>
            <w:noWrap w:val="0"/>
            <w:vAlign w:val="center"/>
          </w:tcPr>
          <w:p w14:paraId="1B7E38FF">
            <w:pPr>
              <w:pStyle w:val="58"/>
              <w:bidi w:val="0"/>
              <w:rPr>
                <w:rFonts w:hint="default"/>
                <w:highlight w:val="none"/>
                <w:lang w:val="en-US" w:eastAsia="zh-CN"/>
              </w:rPr>
            </w:pPr>
            <w:r>
              <w:rPr>
                <w:rFonts w:hint="default"/>
                <w:highlight w:val="none"/>
                <w:lang w:val="en-US" w:eastAsia="zh-CN"/>
              </w:rPr>
              <w:t>1200</w:t>
            </w:r>
          </w:p>
        </w:tc>
        <w:tc>
          <w:tcPr>
            <w:tcW w:w="576" w:type="pct"/>
            <w:noWrap w:val="0"/>
            <w:vAlign w:val="center"/>
          </w:tcPr>
          <w:p w14:paraId="272A1E0C">
            <w:pPr>
              <w:pStyle w:val="58"/>
              <w:bidi w:val="0"/>
              <w:rPr>
                <w:rFonts w:hint="default"/>
                <w:highlight w:val="none"/>
                <w:lang w:val="en-US" w:eastAsia="zh-CN"/>
              </w:rPr>
            </w:pPr>
            <w:r>
              <w:rPr>
                <w:rFonts w:hint="default"/>
                <w:highlight w:val="none"/>
                <w:lang w:val="en-US" w:eastAsia="zh-CN"/>
              </w:rPr>
              <w:t>1920</w:t>
            </w:r>
          </w:p>
        </w:tc>
        <w:tc>
          <w:tcPr>
            <w:tcW w:w="574" w:type="pct"/>
            <w:vMerge w:val="continue"/>
            <w:noWrap w:val="0"/>
            <w:vAlign w:val="center"/>
          </w:tcPr>
          <w:p w14:paraId="154B6F10">
            <w:pPr>
              <w:pStyle w:val="58"/>
              <w:bidi w:val="0"/>
              <w:rPr>
                <w:rFonts w:hint="default"/>
                <w:highlight w:val="none"/>
                <w:lang w:val="en-US" w:eastAsia="zh-CN"/>
              </w:rPr>
            </w:pPr>
          </w:p>
        </w:tc>
      </w:tr>
      <w:tr w14:paraId="4D1E4A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0" w:type="dxa"/>
            <w:bottom w:w="28" w:type="dxa"/>
            <w:right w:w="0" w:type="dxa"/>
          </w:tblCellMar>
        </w:tblPrEx>
        <w:trPr>
          <w:trHeight w:val="403" w:hRule="atLeast"/>
          <w:jc w:val="center"/>
        </w:trPr>
        <w:tc>
          <w:tcPr>
            <w:tcW w:w="777" w:type="pct"/>
            <w:noWrap w:val="0"/>
            <w:vAlign w:val="center"/>
          </w:tcPr>
          <w:p w14:paraId="57AE4626">
            <w:pPr>
              <w:pStyle w:val="58"/>
              <w:bidi w:val="0"/>
              <w:rPr>
                <w:rFonts w:hint="default"/>
                <w:highlight w:val="none"/>
                <w:lang w:val="en-US" w:eastAsia="zh-CN"/>
              </w:rPr>
            </w:pPr>
            <w:r>
              <w:rPr>
                <w:rFonts w:hint="default"/>
                <w:highlight w:val="none"/>
              </w:rPr>
              <w:t>污泥池</w:t>
            </w:r>
          </w:p>
        </w:tc>
        <w:tc>
          <w:tcPr>
            <w:tcW w:w="367" w:type="pct"/>
            <w:tcBorders>
              <w:right w:val="single" w:color="auto" w:sz="4" w:space="0"/>
            </w:tcBorders>
            <w:noWrap w:val="0"/>
            <w:vAlign w:val="center"/>
          </w:tcPr>
          <w:p w14:paraId="3C08E415">
            <w:pPr>
              <w:pStyle w:val="58"/>
              <w:bidi w:val="0"/>
              <w:rPr>
                <w:rFonts w:hint="default"/>
                <w:highlight w:val="none"/>
                <w:lang w:val="en-US" w:eastAsia="zh-CN"/>
              </w:rPr>
            </w:pPr>
            <w:r>
              <w:rPr>
                <w:rFonts w:hint="default"/>
                <w:highlight w:val="none"/>
                <w:lang w:val="en-US" w:eastAsia="zh-CN"/>
              </w:rPr>
              <w:t>1</w:t>
            </w:r>
          </w:p>
        </w:tc>
        <w:tc>
          <w:tcPr>
            <w:tcW w:w="536" w:type="pct"/>
            <w:tcBorders>
              <w:left w:val="single" w:color="auto" w:sz="4" w:space="0"/>
            </w:tcBorders>
            <w:noWrap w:val="0"/>
            <w:vAlign w:val="center"/>
          </w:tcPr>
          <w:p w14:paraId="61B94DCB">
            <w:pPr>
              <w:pStyle w:val="58"/>
              <w:bidi w:val="0"/>
              <w:rPr>
                <w:rFonts w:hint="default"/>
                <w:highlight w:val="none"/>
                <w:lang w:val="en-US" w:eastAsia="zh-CN"/>
              </w:rPr>
            </w:pPr>
            <w:r>
              <w:rPr>
                <w:rFonts w:hint="default"/>
                <w:highlight w:val="none"/>
                <w:lang w:val="en-US" w:eastAsia="zh-CN"/>
              </w:rPr>
              <w:t>11.76</w:t>
            </w:r>
          </w:p>
        </w:tc>
        <w:tc>
          <w:tcPr>
            <w:tcW w:w="568" w:type="pct"/>
            <w:noWrap w:val="0"/>
            <w:vAlign w:val="center"/>
          </w:tcPr>
          <w:p w14:paraId="55243342">
            <w:pPr>
              <w:pStyle w:val="58"/>
              <w:bidi w:val="0"/>
              <w:rPr>
                <w:rFonts w:hint="default"/>
                <w:highlight w:val="none"/>
                <w:lang w:val="en-US" w:eastAsia="zh-CN"/>
              </w:rPr>
            </w:pPr>
            <w:r>
              <w:rPr>
                <w:rFonts w:hint="default"/>
                <w:highlight w:val="none"/>
                <w:lang w:val="en-US" w:eastAsia="zh-CN"/>
              </w:rPr>
              <w:t>61.74</w:t>
            </w:r>
          </w:p>
        </w:tc>
        <w:tc>
          <w:tcPr>
            <w:tcW w:w="681" w:type="pct"/>
            <w:noWrap w:val="0"/>
            <w:vAlign w:val="center"/>
          </w:tcPr>
          <w:p w14:paraId="4BBAD91E">
            <w:pPr>
              <w:pStyle w:val="58"/>
              <w:bidi w:val="0"/>
              <w:rPr>
                <w:rFonts w:hint="default"/>
                <w:highlight w:val="none"/>
                <w:lang w:val="en-US" w:eastAsia="zh-CN"/>
              </w:rPr>
            </w:pPr>
            <w:r>
              <w:rPr>
                <w:rFonts w:hint="default"/>
                <w:highlight w:val="none"/>
                <w:lang w:val="en-US" w:eastAsia="zh-CN"/>
              </w:rPr>
              <w:t>3</w:t>
            </w:r>
          </w:p>
        </w:tc>
        <w:tc>
          <w:tcPr>
            <w:tcW w:w="487" w:type="pct"/>
            <w:tcBorders>
              <w:right w:val="single" w:color="auto" w:sz="4" w:space="0"/>
            </w:tcBorders>
            <w:noWrap w:val="0"/>
            <w:vAlign w:val="center"/>
          </w:tcPr>
          <w:p w14:paraId="1154E368">
            <w:pPr>
              <w:pStyle w:val="58"/>
              <w:bidi w:val="0"/>
              <w:rPr>
                <w:rFonts w:hint="default"/>
                <w:highlight w:val="none"/>
                <w:lang w:val="en-US" w:eastAsia="zh-CN"/>
              </w:rPr>
            </w:pPr>
            <w:r>
              <w:rPr>
                <w:rFonts w:hint="default"/>
                <w:highlight w:val="none"/>
                <w:lang w:val="en-US" w:eastAsia="zh-CN"/>
              </w:rPr>
              <w:t>2</w:t>
            </w:r>
          </w:p>
        </w:tc>
        <w:tc>
          <w:tcPr>
            <w:tcW w:w="430" w:type="pct"/>
            <w:tcBorders>
              <w:left w:val="single" w:color="auto" w:sz="4" w:space="0"/>
            </w:tcBorders>
            <w:noWrap w:val="0"/>
            <w:vAlign w:val="center"/>
          </w:tcPr>
          <w:p w14:paraId="5AE65FF6">
            <w:pPr>
              <w:pStyle w:val="58"/>
              <w:bidi w:val="0"/>
              <w:rPr>
                <w:rFonts w:hint="default"/>
                <w:highlight w:val="none"/>
                <w:lang w:val="en-US" w:eastAsia="zh-CN"/>
              </w:rPr>
            </w:pPr>
            <w:r>
              <w:rPr>
                <w:rFonts w:hint="default"/>
                <w:highlight w:val="none"/>
                <w:lang w:val="en-US" w:eastAsia="zh-CN"/>
              </w:rPr>
              <w:t>/</w:t>
            </w:r>
          </w:p>
        </w:tc>
        <w:tc>
          <w:tcPr>
            <w:tcW w:w="576" w:type="pct"/>
            <w:noWrap w:val="0"/>
            <w:vAlign w:val="center"/>
          </w:tcPr>
          <w:p w14:paraId="0E66E1ED">
            <w:pPr>
              <w:pStyle w:val="58"/>
              <w:bidi w:val="0"/>
              <w:rPr>
                <w:rFonts w:hint="default"/>
                <w:highlight w:val="none"/>
                <w:lang w:val="en-US" w:eastAsia="zh-CN"/>
              </w:rPr>
            </w:pPr>
            <w:r>
              <w:rPr>
                <w:rFonts w:hint="default"/>
                <w:highlight w:val="none"/>
                <w:lang w:val="en-US" w:eastAsia="zh-CN"/>
              </w:rPr>
              <w:t>159</w:t>
            </w:r>
          </w:p>
        </w:tc>
        <w:tc>
          <w:tcPr>
            <w:tcW w:w="574" w:type="pct"/>
            <w:vMerge w:val="continue"/>
            <w:noWrap w:val="0"/>
            <w:vAlign w:val="center"/>
          </w:tcPr>
          <w:p w14:paraId="72170635">
            <w:pPr>
              <w:pStyle w:val="58"/>
              <w:bidi w:val="0"/>
              <w:rPr>
                <w:rFonts w:hint="default"/>
                <w:highlight w:val="none"/>
              </w:rPr>
            </w:pPr>
          </w:p>
        </w:tc>
      </w:tr>
      <w:tr w14:paraId="068456A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0" w:type="dxa"/>
            <w:bottom w:w="28" w:type="dxa"/>
            <w:right w:w="0" w:type="dxa"/>
          </w:tblCellMar>
        </w:tblPrEx>
        <w:trPr>
          <w:trHeight w:val="403" w:hRule="atLeast"/>
          <w:jc w:val="center"/>
        </w:trPr>
        <w:tc>
          <w:tcPr>
            <w:tcW w:w="777" w:type="pct"/>
            <w:noWrap w:val="0"/>
            <w:vAlign w:val="center"/>
          </w:tcPr>
          <w:p w14:paraId="2F69DEAB">
            <w:pPr>
              <w:pStyle w:val="58"/>
              <w:bidi w:val="0"/>
              <w:rPr>
                <w:rFonts w:hint="default"/>
                <w:highlight w:val="none"/>
                <w:lang w:val="en-US" w:eastAsia="zh-CN"/>
              </w:rPr>
            </w:pPr>
            <w:r>
              <w:rPr>
                <w:rFonts w:hint="default"/>
                <w:highlight w:val="none"/>
              </w:rPr>
              <w:t>污泥</w:t>
            </w:r>
            <w:r>
              <w:rPr>
                <w:rFonts w:hint="default"/>
                <w:highlight w:val="none"/>
                <w:lang w:val="en-US" w:eastAsia="zh-CN"/>
              </w:rPr>
              <w:t>脱水间</w:t>
            </w:r>
          </w:p>
        </w:tc>
        <w:tc>
          <w:tcPr>
            <w:tcW w:w="367" w:type="pct"/>
            <w:tcBorders>
              <w:right w:val="single" w:color="auto" w:sz="4" w:space="0"/>
            </w:tcBorders>
            <w:noWrap w:val="0"/>
            <w:vAlign w:val="center"/>
          </w:tcPr>
          <w:p w14:paraId="467C0943">
            <w:pPr>
              <w:pStyle w:val="58"/>
              <w:bidi w:val="0"/>
              <w:rPr>
                <w:rFonts w:hint="default"/>
                <w:highlight w:val="none"/>
                <w:lang w:val="en-US" w:eastAsia="zh-CN"/>
              </w:rPr>
            </w:pPr>
            <w:r>
              <w:rPr>
                <w:rFonts w:hint="default"/>
                <w:highlight w:val="none"/>
                <w:lang w:val="en-US" w:eastAsia="zh-CN"/>
              </w:rPr>
              <w:t>1</w:t>
            </w:r>
          </w:p>
        </w:tc>
        <w:tc>
          <w:tcPr>
            <w:tcW w:w="536" w:type="pct"/>
            <w:tcBorders>
              <w:left w:val="single" w:color="auto" w:sz="4" w:space="0"/>
            </w:tcBorders>
            <w:noWrap w:val="0"/>
            <w:vAlign w:val="center"/>
          </w:tcPr>
          <w:p w14:paraId="6783CD47">
            <w:pPr>
              <w:pStyle w:val="58"/>
              <w:bidi w:val="0"/>
              <w:rPr>
                <w:rFonts w:hint="default"/>
                <w:highlight w:val="none"/>
                <w:lang w:val="en-US" w:eastAsia="zh-CN"/>
              </w:rPr>
            </w:pPr>
            <w:r>
              <w:rPr>
                <w:rFonts w:hint="default"/>
                <w:highlight w:val="none"/>
                <w:lang w:val="en-US" w:eastAsia="zh-CN"/>
              </w:rPr>
              <w:t>36</w:t>
            </w:r>
          </w:p>
        </w:tc>
        <w:tc>
          <w:tcPr>
            <w:tcW w:w="568" w:type="pct"/>
            <w:noWrap w:val="0"/>
            <w:vAlign w:val="center"/>
          </w:tcPr>
          <w:p w14:paraId="2F90F788">
            <w:pPr>
              <w:pStyle w:val="58"/>
              <w:bidi w:val="0"/>
              <w:rPr>
                <w:rFonts w:hint="default"/>
                <w:highlight w:val="none"/>
                <w:lang w:val="en-US" w:eastAsia="zh-CN"/>
              </w:rPr>
            </w:pPr>
            <w:r>
              <w:rPr>
                <w:rFonts w:hint="default"/>
                <w:highlight w:val="none"/>
                <w:lang w:val="en-US" w:eastAsia="zh-CN"/>
              </w:rPr>
              <w:t>165.6</w:t>
            </w:r>
          </w:p>
        </w:tc>
        <w:tc>
          <w:tcPr>
            <w:tcW w:w="681" w:type="pct"/>
            <w:noWrap w:val="0"/>
            <w:vAlign w:val="center"/>
          </w:tcPr>
          <w:p w14:paraId="2E1191D1">
            <w:pPr>
              <w:pStyle w:val="58"/>
              <w:bidi w:val="0"/>
              <w:rPr>
                <w:rFonts w:hint="default"/>
                <w:highlight w:val="none"/>
                <w:lang w:val="en-US" w:eastAsia="zh-CN"/>
              </w:rPr>
            </w:pPr>
            <w:r>
              <w:rPr>
                <w:rFonts w:hint="default"/>
                <w:highlight w:val="none"/>
                <w:lang w:val="en-US" w:eastAsia="zh-CN"/>
              </w:rPr>
              <w:t>3</w:t>
            </w:r>
          </w:p>
        </w:tc>
        <w:tc>
          <w:tcPr>
            <w:tcW w:w="487" w:type="pct"/>
            <w:tcBorders>
              <w:right w:val="single" w:color="auto" w:sz="4" w:space="0"/>
            </w:tcBorders>
            <w:noWrap w:val="0"/>
            <w:vAlign w:val="center"/>
          </w:tcPr>
          <w:p w14:paraId="44C1DE09">
            <w:pPr>
              <w:pStyle w:val="58"/>
              <w:bidi w:val="0"/>
              <w:rPr>
                <w:rFonts w:hint="default"/>
                <w:highlight w:val="none"/>
                <w:lang w:val="en-US" w:eastAsia="zh-CN"/>
              </w:rPr>
            </w:pPr>
            <w:r>
              <w:rPr>
                <w:rFonts w:hint="default"/>
                <w:highlight w:val="none"/>
                <w:lang w:val="en-US" w:eastAsia="zh-CN"/>
              </w:rPr>
              <w:t>2</w:t>
            </w:r>
          </w:p>
        </w:tc>
        <w:tc>
          <w:tcPr>
            <w:tcW w:w="430" w:type="pct"/>
            <w:tcBorders>
              <w:left w:val="single" w:color="auto" w:sz="4" w:space="0"/>
            </w:tcBorders>
            <w:noWrap w:val="0"/>
            <w:vAlign w:val="center"/>
          </w:tcPr>
          <w:p w14:paraId="1C56F6F1">
            <w:pPr>
              <w:pStyle w:val="58"/>
              <w:bidi w:val="0"/>
              <w:rPr>
                <w:rFonts w:hint="default"/>
                <w:highlight w:val="none"/>
                <w:lang w:val="en-US" w:eastAsia="zh-CN"/>
              </w:rPr>
            </w:pPr>
            <w:r>
              <w:rPr>
                <w:rFonts w:hint="default"/>
                <w:highlight w:val="none"/>
                <w:lang w:val="en-US" w:eastAsia="zh-CN"/>
              </w:rPr>
              <w:t>/</w:t>
            </w:r>
          </w:p>
        </w:tc>
        <w:tc>
          <w:tcPr>
            <w:tcW w:w="576" w:type="pct"/>
            <w:noWrap w:val="0"/>
            <w:vAlign w:val="center"/>
          </w:tcPr>
          <w:p w14:paraId="70C60921">
            <w:pPr>
              <w:pStyle w:val="58"/>
              <w:bidi w:val="0"/>
              <w:rPr>
                <w:rFonts w:hint="default"/>
                <w:highlight w:val="none"/>
                <w:lang w:val="en-US" w:eastAsia="zh-CN"/>
              </w:rPr>
            </w:pPr>
            <w:r>
              <w:rPr>
                <w:rFonts w:hint="default"/>
                <w:highlight w:val="none"/>
                <w:lang w:val="en-US" w:eastAsia="zh-CN"/>
              </w:rPr>
              <w:t>439</w:t>
            </w:r>
          </w:p>
        </w:tc>
        <w:tc>
          <w:tcPr>
            <w:tcW w:w="574" w:type="pct"/>
            <w:vMerge w:val="continue"/>
            <w:noWrap w:val="0"/>
            <w:vAlign w:val="center"/>
          </w:tcPr>
          <w:p w14:paraId="615C99AA">
            <w:pPr>
              <w:pStyle w:val="58"/>
              <w:bidi w:val="0"/>
              <w:rPr>
                <w:rFonts w:hint="default"/>
                <w:highlight w:val="none"/>
              </w:rPr>
            </w:pPr>
          </w:p>
        </w:tc>
      </w:tr>
      <w:tr w14:paraId="1170AF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0" w:type="dxa"/>
            <w:bottom w:w="28" w:type="dxa"/>
            <w:right w:w="0" w:type="dxa"/>
          </w:tblCellMar>
        </w:tblPrEx>
        <w:trPr>
          <w:trHeight w:val="403" w:hRule="atLeast"/>
          <w:jc w:val="center"/>
        </w:trPr>
        <w:tc>
          <w:tcPr>
            <w:tcW w:w="5000" w:type="pct"/>
            <w:gridSpan w:val="9"/>
            <w:noWrap w:val="0"/>
            <w:vAlign w:val="center"/>
          </w:tcPr>
          <w:p w14:paraId="64F19A13">
            <w:pPr>
              <w:pStyle w:val="58"/>
              <w:bidi w:val="0"/>
              <w:rPr>
                <w:rFonts w:hint="default"/>
                <w:highlight w:val="none"/>
              </w:rPr>
            </w:pPr>
            <w:r>
              <w:rPr>
                <w:rFonts w:hint="default"/>
                <w:highlight w:val="none"/>
              </w:rPr>
              <w:t>设计风量=（除臭水面积×按水面积换气指标</w:t>
            </w:r>
            <w:r>
              <w:rPr>
                <w:rFonts w:hint="default"/>
                <w:highlight w:val="none"/>
                <w:lang w:val="en-US" w:eastAsia="zh-CN"/>
              </w:rPr>
              <w:t>+</w:t>
            </w:r>
            <w:r>
              <w:rPr>
                <w:rFonts w:hint="default"/>
                <w:highlight w:val="none"/>
              </w:rPr>
              <w:t>除臭空间容积×换气次数+曝气量×1.1）×数量×（1.05～1.2）</w:t>
            </w:r>
          </w:p>
        </w:tc>
      </w:tr>
      <w:bookmarkEnd w:id="197"/>
    </w:tbl>
    <w:p w14:paraId="11488F09">
      <w:pPr>
        <w:pStyle w:val="20"/>
        <w:keepNext w:val="0"/>
        <w:keepLines w:val="0"/>
        <w:pageBreakBefore w:val="0"/>
        <w:widowControl w:val="0"/>
        <w:numPr>
          <w:ilvl w:val="0"/>
          <w:numId w:val="0"/>
        </w:numPr>
        <w:kinsoku/>
        <w:wordWrap/>
        <w:overflowPunct/>
        <w:topLinePunct w:val="0"/>
        <w:autoSpaceDE/>
        <w:autoSpaceDN/>
        <w:bidi w:val="0"/>
        <w:adjustRightInd/>
        <w:snapToGrid/>
        <w:spacing w:after="0" w:line="440" w:lineRule="exact"/>
        <w:ind w:leftChars="0" w:firstLine="480" w:firstLineChars="200"/>
        <w:jc w:val="both"/>
        <w:textAlignment w:val="auto"/>
        <w:rPr>
          <w:rFonts w:hint="default" w:ascii="Times New Roman" w:hAnsi="Times New Roman" w:eastAsia="宋体" w:cs="Times New Roman"/>
          <w:kern w:val="2"/>
          <w:sz w:val="24"/>
          <w:szCs w:val="24"/>
          <w:highlight w:val="none"/>
          <w:lang w:val="en-US" w:eastAsia="zh-CN" w:bidi="ar-SA"/>
        </w:rPr>
      </w:pPr>
      <w:r>
        <w:rPr>
          <w:rFonts w:hint="default" w:ascii="Times New Roman" w:hAnsi="Times New Roman" w:eastAsia="宋体" w:cs="Times New Roman"/>
          <w:kern w:val="2"/>
          <w:sz w:val="24"/>
          <w:szCs w:val="24"/>
          <w:highlight w:val="none"/>
          <w:lang w:val="en-US" w:eastAsia="zh-CN" w:bidi="ar-SA"/>
        </w:rPr>
        <w:t>本项目</w:t>
      </w:r>
      <w:r>
        <w:rPr>
          <w:rFonts w:hint="eastAsia" w:ascii="Times New Roman" w:hAnsi="Times New Roman" w:eastAsia="宋体" w:cs="Times New Roman"/>
          <w:kern w:val="2"/>
          <w:sz w:val="24"/>
          <w:szCs w:val="24"/>
          <w:highlight w:val="none"/>
          <w:lang w:val="en-US" w:eastAsia="zh-CN" w:bidi="ar-SA"/>
        </w:rPr>
        <w:t>格栅渠及</w:t>
      </w:r>
      <w:r>
        <w:rPr>
          <w:rFonts w:hint="default" w:ascii="Times New Roman" w:hAnsi="Times New Roman" w:eastAsia="宋体" w:cs="Times New Roman"/>
          <w:kern w:val="2"/>
          <w:sz w:val="24"/>
          <w:szCs w:val="24"/>
          <w:highlight w:val="none"/>
          <w:lang w:val="en-US" w:eastAsia="zh-CN" w:bidi="ar-SA"/>
        </w:rPr>
        <w:t>调节池、污泥池进行加盖处理，</w:t>
      </w:r>
      <w:r>
        <w:rPr>
          <w:rFonts w:hint="eastAsia" w:ascii="Times New Roman" w:hAnsi="Times New Roman" w:eastAsia="宋体" w:cs="Times New Roman"/>
          <w:kern w:val="2"/>
          <w:sz w:val="24"/>
          <w:szCs w:val="24"/>
          <w:highlight w:val="none"/>
          <w:lang w:val="en-US" w:eastAsia="zh-CN" w:bidi="ar-SA"/>
        </w:rPr>
        <w:t>A</w:t>
      </w:r>
      <w:r>
        <w:rPr>
          <w:rFonts w:hint="eastAsia" w:ascii="Times New Roman" w:hAnsi="Times New Roman" w:eastAsia="宋体" w:cs="Times New Roman"/>
          <w:kern w:val="2"/>
          <w:sz w:val="24"/>
          <w:szCs w:val="24"/>
          <w:highlight w:val="none"/>
          <w:vertAlign w:val="superscript"/>
          <w:lang w:val="en-US" w:eastAsia="zh-CN" w:bidi="ar-SA"/>
        </w:rPr>
        <w:t>2</w:t>
      </w:r>
      <w:r>
        <w:rPr>
          <w:rFonts w:hint="eastAsia" w:ascii="Times New Roman" w:hAnsi="Times New Roman" w:eastAsia="宋体" w:cs="Times New Roman"/>
          <w:kern w:val="2"/>
          <w:sz w:val="24"/>
          <w:szCs w:val="24"/>
          <w:highlight w:val="none"/>
          <w:lang w:val="en-US" w:eastAsia="zh-CN" w:bidi="ar-SA"/>
        </w:rPr>
        <w:t>O</w:t>
      </w:r>
      <w:r>
        <w:rPr>
          <w:rFonts w:hint="default" w:ascii="Times New Roman" w:hAnsi="Times New Roman" w:eastAsia="宋体" w:cs="Times New Roman"/>
          <w:kern w:val="2"/>
          <w:sz w:val="24"/>
          <w:szCs w:val="24"/>
          <w:highlight w:val="none"/>
          <w:lang w:val="en-US" w:eastAsia="zh-CN" w:bidi="ar-SA"/>
        </w:rPr>
        <w:t>一体化处理设备</w:t>
      </w:r>
      <w:r>
        <w:rPr>
          <w:rFonts w:hint="eastAsia" w:ascii="Times New Roman" w:hAnsi="Times New Roman" w:eastAsia="宋体" w:cs="Times New Roman"/>
          <w:kern w:val="2"/>
          <w:sz w:val="24"/>
          <w:szCs w:val="24"/>
          <w:highlight w:val="none"/>
          <w:lang w:val="en-US" w:eastAsia="zh-CN" w:bidi="ar-SA"/>
        </w:rPr>
        <w:t>、</w:t>
      </w:r>
      <w:r>
        <w:rPr>
          <w:rFonts w:hint="default" w:ascii="Times New Roman" w:hAnsi="Times New Roman" w:eastAsia="宋体" w:cs="Times New Roman"/>
          <w:kern w:val="2"/>
          <w:sz w:val="24"/>
          <w:szCs w:val="24"/>
          <w:highlight w:val="none"/>
          <w:lang w:val="en-US" w:eastAsia="zh-CN" w:bidi="ar-SA"/>
        </w:rPr>
        <w:t>污泥脱水机房密闭，废气经负压收集后通过管道引入一套等离子光电一体机（风机风量5000</w:t>
      </w:r>
      <w:r>
        <w:rPr>
          <w:rFonts w:hint="eastAsia" w:ascii="Times New Roman" w:hAnsi="Times New Roman" w:eastAsia="宋体" w:cs="Times New Roman"/>
          <w:kern w:val="2"/>
          <w:sz w:val="24"/>
          <w:szCs w:val="24"/>
          <w:highlight w:val="none"/>
          <w:lang w:val="en-US" w:eastAsia="zh-CN" w:bidi="ar-SA"/>
        </w:rPr>
        <w:t>m</w:t>
      </w:r>
      <w:r>
        <w:rPr>
          <w:rFonts w:hint="eastAsia" w:ascii="Times New Roman" w:hAnsi="Times New Roman" w:eastAsia="宋体" w:cs="Times New Roman"/>
          <w:kern w:val="2"/>
          <w:sz w:val="24"/>
          <w:szCs w:val="24"/>
          <w:highlight w:val="none"/>
          <w:vertAlign w:val="superscript"/>
          <w:lang w:val="en-US" w:eastAsia="zh-CN" w:bidi="ar-SA"/>
        </w:rPr>
        <w:t>3</w:t>
      </w:r>
      <w:r>
        <w:rPr>
          <w:rFonts w:hint="default" w:ascii="Times New Roman" w:hAnsi="Times New Roman" w:eastAsia="宋体" w:cs="Times New Roman"/>
          <w:kern w:val="2"/>
          <w:sz w:val="24"/>
          <w:szCs w:val="24"/>
          <w:highlight w:val="none"/>
          <w:lang w:val="en-US" w:eastAsia="zh-CN" w:bidi="ar-SA"/>
        </w:rPr>
        <w:t>/h）处理，处理后经15m高排气筒（DA001）排放。同时，在厂区内和厂界外设置绿化带进一步降低恶臭气体对环境的影响。</w:t>
      </w:r>
    </w:p>
    <w:p w14:paraId="02A378D4">
      <w:pPr>
        <w:bidi w:val="0"/>
        <w:rPr>
          <w:rFonts w:hint="default"/>
          <w:highlight w:val="none"/>
        </w:rPr>
      </w:pPr>
      <w:r>
        <w:rPr>
          <w:rFonts w:hint="default"/>
          <w:highlight w:val="none"/>
          <w:lang w:val="en-US" w:eastAsia="zh-CN"/>
        </w:rPr>
        <w:t>本项目除臭采用</w:t>
      </w:r>
      <w:r>
        <w:rPr>
          <w:rFonts w:hint="default"/>
          <w:highlight w:val="none"/>
        </w:rPr>
        <w:t>“</w:t>
      </w:r>
      <w:r>
        <w:rPr>
          <w:rFonts w:hint="default"/>
          <w:highlight w:val="none"/>
          <w:lang w:val="en-US" w:eastAsia="zh-CN"/>
        </w:rPr>
        <w:t>等离子光电一体机</w:t>
      </w:r>
      <w:r>
        <w:rPr>
          <w:rFonts w:hint="default"/>
          <w:highlight w:val="none"/>
        </w:rPr>
        <w:t>”</w:t>
      </w:r>
      <w:r>
        <w:rPr>
          <w:rFonts w:hint="default"/>
          <w:highlight w:val="none"/>
          <w:lang w:val="en-US" w:eastAsia="zh-CN"/>
        </w:rPr>
        <w:t>，等离子体技术是一个集物理学、化学、生物学和环境科学于一体的交叉综合性技术，该技术显著特点是对污染物兼具物理效应、化学效应和生物效应，且有能耗低、效率高、无二次污染等明显优点。</w:t>
      </w:r>
    </w:p>
    <w:p w14:paraId="081CFD41">
      <w:pPr>
        <w:bidi w:val="0"/>
        <w:rPr>
          <w:rFonts w:hint="default"/>
          <w:highlight w:val="none"/>
          <w:lang w:val="en-US" w:eastAsia="zh-CN"/>
        </w:rPr>
      </w:pPr>
      <w:r>
        <w:rPr>
          <w:rFonts w:hint="default"/>
          <w:highlight w:val="none"/>
          <w:lang w:val="en-US" w:eastAsia="zh-CN"/>
        </w:rPr>
        <w:t>本项目采用“等离子光电一体机”处理恶臭气体，乐亭投资集团有限公司汀流河镇镇级污水处理项目采用等离子光电一体机除臭，根据实际运行效果，该工艺对硫化氢、</w:t>
      </w:r>
      <w:r>
        <w:rPr>
          <w:rFonts w:hint="eastAsia"/>
          <w:highlight w:val="none"/>
          <w:lang w:val="en-US" w:eastAsia="zh-CN"/>
        </w:rPr>
        <w:t>NH</w:t>
      </w:r>
      <w:r>
        <w:rPr>
          <w:rFonts w:hint="eastAsia"/>
          <w:highlight w:val="none"/>
          <w:vertAlign w:val="subscript"/>
          <w:lang w:val="en-US" w:eastAsia="zh-CN"/>
        </w:rPr>
        <w:t>3</w:t>
      </w:r>
      <w:r>
        <w:rPr>
          <w:rFonts w:hint="default"/>
          <w:highlight w:val="none"/>
          <w:lang w:val="en-US" w:eastAsia="zh-CN"/>
        </w:rPr>
        <w:t>和恶臭浓度的去除效率均为90%以上，臭气处理系统运行稳定。本工程采用“等离子光电一体机”，</w:t>
      </w:r>
      <w:r>
        <w:rPr>
          <w:rFonts w:hint="eastAsia"/>
          <w:highlight w:val="none"/>
          <w:lang w:val="en-US" w:eastAsia="zh-CN"/>
        </w:rPr>
        <w:t>H</w:t>
      </w:r>
      <w:r>
        <w:rPr>
          <w:rFonts w:hint="eastAsia"/>
          <w:highlight w:val="none"/>
          <w:vertAlign w:val="subscript"/>
          <w:lang w:val="en-US" w:eastAsia="zh-CN"/>
        </w:rPr>
        <w:t>2</w:t>
      </w:r>
      <w:r>
        <w:rPr>
          <w:rFonts w:hint="eastAsia"/>
          <w:highlight w:val="none"/>
          <w:lang w:val="en-US" w:eastAsia="zh-CN"/>
        </w:rPr>
        <w:t>S</w:t>
      </w:r>
      <w:r>
        <w:rPr>
          <w:rFonts w:hint="default"/>
          <w:highlight w:val="none"/>
          <w:lang w:val="en-US" w:eastAsia="zh-CN"/>
        </w:rPr>
        <w:t>、</w:t>
      </w:r>
      <w:r>
        <w:rPr>
          <w:rFonts w:hint="eastAsia"/>
          <w:highlight w:val="none"/>
          <w:lang w:val="en-US" w:eastAsia="zh-CN"/>
        </w:rPr>
        <w:t>NH</w:t>
      </w:r>
      <w:r>
        <w:rPr>
          <w:rFonts w:hint="eastAsia"/>
          <w:highlight w:val="none"/>
          <w:vertAlign w:val="subscript"/>
          <w:lang w:val="en-US" w:eastAsia="zh-CN"/>
        </w:rPr>
        <w:t>3</w:t>
      </w:r>
      <w:r>
        <w:rPr>
          <w:rFonts w:hint="default"/>
          <w:highlight w:val="none"/>
          <w:lang w:val="en-US" w:eastAsia="zh-CN"/>
        </w:rPr>
        <w:t>的去除率均按85%考虑。</w:t>
      </w:r>
      <w:r>
        <w:rPr>
          <w:rFonts w:hint="default"/>
          <w:highlight w:val="none"/>
        </w:rPr>
        <w:t>根据《污水处理厂恶臭污染状况分析与评价》（郭静等发表于《中国给水排水》2002年18卷第2期）以及建设单位资料，同时参考其他</w:t>
      </w:r>
      <w:r>
        <w:rPr>
          <w:rFonts w:hint="eastAsia"/>
          <w:highlight w:val="none"/>
          <w:lang w:eastAsia="zh-CN"/>
        </w:rPr>
        <w:t>污水处理厂</w:t>
      </w:r>
      <w:r>
        <w:rPr>
          <w:rFonts w:hint="default"/>
          <w:highlight w:val="none"/>
        </w:rPr>
        <w:t>资料，污水处理厂各臭气排放设施密闭或加盖后的收集效率为96%</w:t>
      </w:r>
      <w:r>
        <w:rPr>
          <w:rFonts w:hint="default"/>
          <w:highlight w:val="none"/>
          <w:lang w:eastAsia="zh-CN"/>
        </w:rPr>
        <w:t>。</w:t>
      </w:r>
    </w:p>
    <w:p w14:paraId="752DDB8F">
      <w:pPr>
        <w:bidi w:val="0"/>
        <w:rPr>
          <w:rFonts w:hint="default"/>
          <w:highlight w:val="none"/>
          <w:lang w:val="en-US" w:eastAsia="zh-CN"/>
        </w:rPr>
      </w:pPr>
      <w:r>
        <w:rPr>
          <w:rFonts w:hint="default"/>
          <w:highlight w:val="none"/>
          <w:lang w:val="en-US" w:eastAsia="zh-CN"/>
        </w:rPr>
        <w:t>本项目污水各处理单元处理风量设计考虑集气面积、管路长度等，设计为5000</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/h，则恶臭气体经收集处理后，通过排气筒（DA001）排放的</w:t>
      </w:r>
      <w:r>
        <w:rPr>
          <w:rFonts w:hint="eastAsia"/>
          <w:highlight w:val="none"/>
          <w:lang w:val="en-US" w:eastAsia="zh-CN"/>
        </w:rPr>
        <w:t>H</w:t>
      </w:r>
      <w:r>
        <w:rPr>
          <w:rFonts w:hint="eastAsia"/>
          <w:highlight w:val="none"/>
          <w:vertAlign w:val="subscript"/>
          <w:lang w:val="en-US" w:eastAsia="zh-CN"/>
        </w:rPr>
        <w:t>2</w:t>
      </w:r>
      <w:r>
        <w:rPr>
          <w:rFonts w:hint="eastAsia"/>
          <w:highlight w:val="none"/>
          <w:lang w:val="en-US" w:eastAsia="zh-CN"/>
        </w:rPr>
        <w:t>S</w:t>
      </w:r>
      <w:r>
        <w:rPr>
          <w:rFonts w:hint="default"/>
          <w:highlight w:val="none"/>
          <w:lang w:val="en-US" w:eastAsia="zh-CN"/>
        </w:rPr>
        <w:t>、</w:t>
      </w:r>
      <w:r>
        <w:rPr>
          <w:rFonts w:hint="eastAsia"/>
          <w:highlight w:val="none"/>
          <w:lang w:val="en-US" w:eastAsia="zh-CN"/>
        </w:rPr>
        <w:t>NH</w:t>
      </w:r>
      <w:r>
        <w:rPr>
          <w:rFonts w:hint="eastAsia"/>
          <w:highlight w:val="none"/>
          <w:vertAlign w:val="subscript"/>
          <w:lang w:val="en-US" w:eastAsia="zh-CN"/>
        </w:rPr>
        <w:t>3</w:t>
      </w:r>
      <w:r>
        <w:rPr>
          <w:rFonts w:hint="default"/>
          <w:highlight w:val="none"/>
          <w:lang w:val="en-US" w:eastAsia="zh-CN"/>
        </w:rPr>
        <w:t>排放速率分别为</w:t>
      </w:r>
      <w:r>
        <w:rPr>
          <w:rFonts w:hint="eastAsia"/>
          <w:highlight w:val="none"/>
          <w:lang w:val="en-US" w:eastAsia="zh-CN"/>
        </w:rPr>
        <w:t>0.0003</w:t>
      </w:r>
      <w:r>
        <w:rPr>
          <w:rFonts w:hint="default"/>
          <w:highlight w:val="none"/>
          <w:lang w:val="en-US" w:eastAsia="zh-CN"/>
        </w:rPr>
        <w:t>kg/h、</w:t>
      </w:r>
      <w:r>
        <w:rPr>
          <w:rFonts w:hint="eastAsia"/>
          <w:highlight w:val="none"/>
          <w:lang w:val="en-US" w:eastAsia="zh-CN"/>
        </w:rPr>
        <w:t>0.0158</w:t>
      </w:r>
      <w:r>
        <w:rPr>
          <w:rFonts w:hint="default"/>
          <w:highlight w:val="none"/>
          <w:lang w:val="en-US" w:eastAsia="zh-CN"/>
        </w:rPr>
        <w:t>kg/h，符合《恶臭污染物排放标准》（GB14554-93）表2标准：排气筒高度15m时，氨排放速率限值4.9kg/h，硫化氢排放速率限值0.33kg/h，臭气浓度排放限值2000（无量纲）。</w:t>
      </w:r>
    </w:p>
    <w:p w14:paraId="11C1210E">
      <w:pPr>
        <w:pStyle w:val="8"/>
        <w:bidi w:val="0"/>
        <w:rPr>
          <w:rFonts w:hint="default" w:ascii="Times New Roman" w:hAnsi="Times New Roman" w:eastAsia="宋体" w:cs="Times New Roman"/>
          <w:sz w:val="24"/>
          <w:szCs w:val="24"/>
          <w:highlight w:val="none"/>
        </w:rPr>
      </w:pP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HYPERLINK "3.3.1.2"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b/>
          <w:bCs/>
          <w:spacing w:val="-1"/>
          <w:sz w:val="24"/>
          <w:szCs w:val="24"/>
          <w:highlight w:val="none"/>
        </w:rPr>
        <w:t>3.3.1.2</w:t>
      </w:r>
      <w:r>
        <w:rPr>
          <w:rFonts w:hint="default" w:ascii="Times New Roman" w:hAnsi="Times New Roman" w:eastAsia="宋体" w:cs="Times New Roman"/>
          <w:b/>
          <w:bCs/>
          <w:spacing w:val="-1"/>
          <w:sz w:val="24"/>
          <w:szCs w:val="24"/>
          <w:highlight w:val="none"/>
        </w:rPr>
        <w:fldChar w:fldCharType="end"/>
      </w:r>
      <w:r>
        <w:rPr>
          <w:rFonts w:hint="default" w:ascii="Times New Roman" w:hAnsi="Times New Roman" w:eastAsia="宋体" w:cs="Times New Roman"/>
          <w:b/>
          <w:bCs/>
          <w:spacing w:val="-1"/>
          <w:sz w:val="24"/>
          <w:szCs w:val="24"/>
          <w:highlight w:val="none"/>
        </w:rPr>
        <w:t>无组织废气</w:t>
      </w:r>
    </w:p>
    <w:p w14:paraId="73E123A2">
      <w:pPr>
        <w:bidi w:val="0"/>
        <w:rPr>
          <w:rFonts w:hint="default"/>
          <w:highlight w:val="none"/>
          <w:lang w:val="en-US" w:eastAsia="zh-CN"/>
        </w:rPr>
      </w:pPr>
      <w:r>
        <w:rPr>
          <w:rFonts w:hint="default"/>
          <w:highlight w:val="none"/>
          <w:lang w:val="en-US" w:eastAsia="zh-CN"/>
        </w:rPr>
        <w:t>采取封闭/加盖等措施后，仍有部分恶臭气体未被收集，以无组织的形式排入大气，无组织恶臭气体排放量按恶臭产生量的4%计，则恶臭污染物排放量分别为氨</w:t>
      </w:r>
      <w:r>
        <w:rPr>
          <w:rFonts w:hint="eastAsia"/>
          <w:highlight w:val="none"/>
          <w:lang w:val="en-US" w:eastAsia="zh-CN"/>
        </w:rPr>
        <w:t>0.0385t/a</w:t>
      </w:r>
      <w:r>
        <w:rPr>
          <w:rFonts w:hint="default"/>
          <w:highlight w:val="none"/>
          <w:lang w:val="en-US" w:eastAsia="zh-CN"/>
        </w:rPr>
        <w:t>、硫化氢</w:t>
      </w:r>
      <w:r>
        <w:rPr>
          <w:rFonts w:hint="eastAsia"/>
          <w:highlight w:val="none"/>
          <w:lang w:val="en-US" w:eastAsia="zh-CN"/>
        </w:rPr>
        <w:t>0.0007t/a</w:t>
      </w:r>
      <w:r>
        <w:rPr>
          <w:rFonts w:hint="default"/>
          <w:highlight w:val="none"/>
          <w:lang w:val="en-US" w:eastAsia="zh-CN"/>
        </w:rPr>
        <w:t>。</w:t>
      </w:r>
    </w:p>
    <w:p w14:paraId="6BE35433">
      <w:pPr>
        <w:spacing w:before="75" w:line="354" w:lineRule="auto"/>
        <w:ind w:left="9" w:right="183" w:firstLine="510"/>
        <w:jc w:val="both"/>
        <w:rPr>
          <w:rFonts w:hint="default" w:ascii="Times New Roman" w:hAnsi="Times New Roman" w:eastAsia="宋体" w:cs="Times New Roman"/>
          <w:sz w:val="24"/>
          <w:szCs w:val="24"/>
          <w:highlight w:val="none"/>
        </w:rPr>
      </w:pPr>
      <w:r>
        <w:rPr>
          <w:rFonts w:hint="default" w:ascii="Times New Roman" w:hAnsi="Times New Roman" w:eastAsia="宋体" w:cs="Times New Roman"/>
          <w:spacing w:val="-3"/>
          <w:sz w:val="24"/>
          <w:szCs w:val="24"/>
          <w:highlight w:val="none"/>
        </w:rPr>
        <w:t>甲烷主要产生于生物反应池，产生量为0.</w:t>
      </w:r>
      <w:r>
        <w:rPr>
          <w:rFonts w:hint="default" w:ascii="Times New Roman" w:hAnsi="Times New Roman" w:eastAsia="宋体" w:cs="Times New Roman"/>
          <w:spacing w:val="-3"/>
          <w:sz w:val="24"/>
          <w:szCs w:val="24"/>
          <w:highlight w:val="none"/>
          <w:lang w:val="en-US" w:eastAsia="zh-CN"/>
        </w:rPr>
        <w:t>0002</w:t>
      </w:r>
      <w:r>
        <w:rPr>
          <w:rFonts w:hint="default" w:ascii="Times New Roman" w:hAnsi="Times New Roman" w:eastAsia="宋体" w:cs="Times New Roman"/>
          <w:spacing w:val="-3"/>
          <w:sz w:val="24"/>
          <w:szCs w:val="24"/>
          <w:highlight w:val="none"/>
        </w:rPr>
        <w:t>kg/h，甲烷密度0.716kg/</w:t>
      </w:r>
      <w:r>
        <w:rPr>
          <w:rFonts w:hint="eastAsia" w:cs="Times New Roman"/>
          <w:spacing w:val="-3"/>
          <w:sz w:val="24"/>
          <w:szCs w:val="24"/>
          <w:highlight w:val="none"/>
          <w:lang w:eastAsia="zh-CN"/>
        </w:rPr>
        <w:t>m</w:t>
      </w:r>
      <w:r>
        <w:rPr>
          <w:rFonts w:hint="eastAsia" w:cs="Times New Roman"/>
          <w:spacing w:val="-3"/>
          <w:sz w:val="24"/>
          <w:szCs w:val="24"/>
          <w:highlight w:val="none"/>
          <w:vertAlign w:val="superscript"/>
          <w:lang w:eastAsia="zh-CN"/>
        </w:rPr>
        <w:t>3</w:t>
      </w:r>
      <w:r>
        <w:rPr>
          <w:rFonts w:hint="default" w:ascii="Times New Roman" w:hAnsi="Times New Roman" w:eastAsia="宋体" w:cs="Times New Roman"/>
          <w:spacing w:val="-3"/>
          <w:sz w:val="24"/>
          <w:szCs w:val="24"/>
          <w:highlight w:val="none"/>
        </w:rPr>
        <w:t>，生物反</w:t>
      </w:r>
      <w:r>
        <w:rPr>
          <w:rFonts w:hint="default" w:ascii="Times New Roman" w:hAnsi="Times New Roman" w:eastAsia="宋体" w:cs="Times New Roman"/>
          <w:spacing w:val="-1"/>
          <w:sz w:val="24"/>
          <w:szCs w:val="24"/>
          <w:highlight w:val="none"/>
        </w:rPr>
        <w:t>应池臭气产生量</w:t>
      </w:r>
      <w:r>
        <w:rPr>
          <w:rFonts w:hint="default" w:ascii="Times New Roman" w:hAnsi="Times New Roman" w:eastAsia="宋体" w:cs="Times New Roman"/>
          <w:spacing w:val="-1"/>
          <w:sz w:val="24"/>
          <w:szCs w:val="24"/>
          <w:highlight w:val="none"/>
          <w:lang w:val="en-US" w:eastAsia="zh-CN"/>
        </w:rPr>
        <w:t>1920</w:t>
      </w:r>
      <w:r>
        <w:rPr>
          <w:rFonts w:hint="eastAsia" w:cs="Times New Roman"/>
          <w:spacing w:val="-1"/>
          <w:sz w:val="24"/>
          <w:szCs w:val="24"/>
          <w:highlight w:val="none"/>
          <w:lang w:eastAsia="zh-CN"/>
        </w:rPr>
        <w:t>m</w:t>
      </w:r>
      <w:r>
        <w:rPr>
          <w:rFonts w:hint="eastAsia" w:cs="Times New Roman"/>
          <w:spacing w:val="-1"/>
          <w:sz w:val="24"/>
          <w:szCs w:val="24"/>
          <w:highlight w:val="none"/>
          <w:vertAlign w:val="superscript"/>
          <w:lang w:eastAsia="zh-CN"/>
        </w:rPr>
        <w:t>3</w:t>
      </w:r>
      <w:r>
        <w:rPr>
          <w:rFonts w:hint="default" w:ascii="Times New Roman" w:hAnsi="Times New Roman" w:eastAsia="宋体" w:cs="Times New Roman"/>
          <w:spacing w:val="-1"/>
          <w:sz w:val="24"/>
          <w:szCs w:val="24"/>
          <w:highlight w:val="none"/>
        </w:rPr>
        <w:t>/h，则甲烷的体积浓度为0.00</w:t>
      </w:r>
      <w:r>
        <w:rPr>
          <w:rFonts w:hint="default" w:ascii="Times New Roman" w:hAnsi="Times New Roman" w:eastAsia="宋体" w:cs="Times New Roman"/>
          <w:spacing w:val="-1"/>
          <w:sz w:val="24"/>
          <w:szCs w:val="24"/>
          <w:highlight w:val="none"/>
          <w:lang w:val="en-US" w:eastAsia="zh-CN"/>
        </w:rPr>
        <w:t>001</w:t>
      </w:r>
      <w:r>
        <w:rPr>
          <w:rFonts w:hint="default" w:ascii="Times New Roman" w:hAnsi="Times New Roman" w:eastAsia="宋体" w:cs="Times New Roman"/>
          <w:spacing w:val="-1"/>
          <w:sz w:val="24"/>
          <w:szCs w:val="24"/>
          <w:highlight w:val="none"/>
        </w:rPr>
        <w:t>%，满足《城镇污水处理厂</w:t>
      </w:r>
      <w:r>
        <w:rPr>
          <w:rFonts w:hint="default" w:ascii="Times New Roman" w:hAnsi="Times New Roman" w:eastAsia="宋体" w:cs="Times New Roman"/>
          <w:sz w:val="24"/>
          <w:szCs w:val="24"/>
          <w:highlight w:val="none"/>
        </w:rPr>
        <w:t>污染物排放标准》（GB18918-2002）表4要求</w:t>
      </w:r>
      <w:r>
        <w:rPr>
          <w:rFonts w:hint="default" w:ascii="Times New Roman" w:hAnsi="Times New Roman" w:eastAsia="宋体" w:cs="Times New Roman"/>
          <w:spacing w:val="-1"/>
          <w:sz w:val="24"/>
          <w:szCs w:val="24"/>
          <w:highlight w:val="none"/>
        </w:rPr>
        <w:t>：甲烷厂区最高体积浓度：1%。</w:t>
      </w:r>
    </w:p>
    <w:p w14:paraId="4D073015">
      <w:pPr>
        <w:bidi w:val="0"/>
        <w:rPr>
          <w:rFonts w:hint="default"/>
          <w:highlight w:val="none"/>
          <w:lang w:val="en-US" w:eastAsia="zh-CN"/>
        </w:rPr>
      </w:pPr>
      <w:r>
        <w:rPr>
          <w:rFonts w:hint="default"/>
          <w:highlight w:val="none"/>
          <w:lang w:val="en-US" w:eastAsia="zh-CN"/>
        </w:rPr>
        <w:t>为了进一步减少臭味物质对环境的影响，还应采取以下减缓措施：</w:t>
      </w:r>
    </w:p>
    <w:p w14:paraId="58D67EAD">
      <w:pPr>
        <w:bidi w:val="0"/>
        <w:rPr>
          <w:rFonts w:hint="default"/>
          <w:highlight w:val="none"/>
          <w:lang w:val="en-US" w:eastAsia="zh-CN"/>
        </w:rPr>
      </w:pPr>
      <w:r>
        <w:rPr>
          <w:rFonts w:hint="default"/>
          <w:highlight w:val="none"/>
          <w:lang w:val="en-US" w:eastAsia="zh-CN"/>
        </w:rPr>
        <w:t>①加强绿化。绿化工程对改善污水处理厂的环境质量十分重要，在已有绿化的基础上，最大限度做好厂区内及厂界四周的绿化，增加高大乔灌木的种植比例，如杨、槐、法桐等高大树种，可降低恶臭污染的影响程度。</w:t>
      </w:r>
    </w:p>
    <w:p w14:paraId="75A1384F">
      <w:pPr>
        <w:bidi w:val="0"/>
        <w:rPr>
          <w:rFonts w:hint="default"/>
          <w:highlight w:val="none"/>
          <w:lang w:val="en-US" w:eastAsia="zh-CN"/>
        </w:rPr>
      </w:pPr>
      <w:r>
        <w:rPr>
          <w:rFonts w:hint="default"/>
          <w:highlight w:val="none"/>
          <w:lang w:val="en-US" w:eastAsia="zh-CN"/>
        </w:rPr>
        <w:t>②加强管理。在污泥储存过程易发生不良气味，削减恶臭的主要办法是在污水处理厂的运行操作中加强管理，产生的剩余污泥及时清运，减少污泥存放时间。</w:t>
      </w:r>
    </w:p>
    <w:p w14:paraId="3DC06E63">
      <w:pPr>
        <w:bidi w:val="0"/>
        <w:rPr>
          <w:rFonts w:hint="default"/>
          <w:color w:val="auto"/>
          <w:highlight w:val="none"/>
          <w:lang w:val="en-US" w:eastAsia="zh-CN"/>
        </w:rPr>
      </w:pPr>
      <w:r>
        <w:rPr>
          <w:rFonts w:hint="default"/>
          <w:color w:val="auto"/>
          <w:highlight w:val="none"/>
          <w:lang w:val="en-US" w:eastAsia="zh-CN"/>
        </w:rPr>
        <w:t>采取上述措施后，恶臭污染物下风向最大落地浓度分别为：氨</w:t>
      </w:r>
      <w:r>
        <w:rPr>
          <w:rFonts w:hint="default"/>
          <w:color w:val="auto"/>
          <w:highlight w:val="none"/>
        </w:rPr>
        <w:t>0.1623</w:t>
      </w:r>
      <w:r>
        <w:rPr>
          <w:rFonts w:hint="default"/>
          <w:color w:val="auto"/>
          <w:highlight w:val="none"/>
          <w:lang w:val="en-US" w:eastAsia="zh-CN"/>
        </w:rPr>
        <w:t>mg/</w:t>
      </w:r>
      <w:r>
        <w:rPr>
          <w:rFonts w:hint="eastAsia"/>
          <w:color w:val="auto"/>
          <w:highlight w:val="none"/>
          <w:lang w:val="en-US" w:eastAsia="zh-CN"/>
        </w:rPr>
        <w:t>m</w:t>
      </w:r>
      <w:r>
        <w:rPr>
          <w:rFonts w:hint="eastAsia"/>
          <w:color w:val="auto"/>
          <w:highlight w:val="none"/>
          <w:vertAlign w:val="superscript"/>
          <w:lang w:val="en-US" w:eastAsia="zh-CN"/>
        </w:rPr>
        <w:t>3</w:t>
      </w:r>
      <w:r>
        <w:rPr>
          <w:rFonts w:hint="default"/>
          <w:color w:val="auto"/>
          <w:highlight w:val="none"/>
          <w:lang w:val="en-US" w:eastAsia="zh-CN"/>
        </w:rPr>
        <w:t>、硫化氢0.</w:t>
      </w:r>
      <w:r>
        <w:rPr>
          <w:rFonts w:hint="eastAsia"/>
          <w:color w:val="auto"/>
          <w:highlight w:val="none"/>
          <w:lang w:val="en-US" w:eastAsia="zh-CN"/>
        </w:rPr>
        <w:t>1528</w:t>
      </w:r>
      <w:r>
        <w:rPr>
          <w:rFonts w:hint="default"/>
          <w:color w:val="auto"/>
          <w:highlight w:val="none"/>
          <w:lang w:val="en-US" w:eastAsia="zh-CN"/>
        </w:rPr>
        <w:t>mg/</w:t>
      </w:r>
      <w:r>
        <w:rPr>
          <w:rFonts w:hint="eastAsia"/>
          <w:color w:val="auto"/>
          <w:highlight w:val="none"/>
          <w:lang w:val="en-US" w:eastAsia="zh-CN"/>
        </w:rPr>
        <w:t>m</w:t>
      </w:r>
      <w:r>
        <w:rPr>
          <w:rFonts w:hint="eastAsia"/>
          <w:color w:val="auto"/>
          <w:highlight w:val="none"/>
          <w:vertAlign w:val="superscript"/>
          <w:lang w:val="en-US" w:eastAsia="zh-CN"/>
        </w:rPr>
        <w:t>3</w:t>
      </w:r>
      <w:r>
        <w:rPr>
          <w:rFonts w:hint="default"/>
          <w:color w:val="auto"/>
          <w:highlight w:val="none"/>
          <w:lang w:val="en-US" w:eastAsia="zh-CN"/>
        </w:rPr>
        <w:t>、臭气浓度&lt;20（无量纲），满足《城镇污水处理厂污染物排放标准》（GB18918-2002）表4中厂界废气排放最高允许浓度要求：氨1.5mg/</w:t>
      </w:r>
      <w:r>
        <w:rPr>
          <w:rFonts w:hint="eastAsia"/>
          <w:color w:val="auto"/>
          <w:highlight w:val="none"/>
          <w:lang w:val="en-US" w:eastAsia="zh-CN"/>
        </w:rPr>
        <w:t>m</w:t>
      </w:r>
      <w:r>
        <w:rPr>
          <w:rFonts w:hint="eastAsia"/>
          <w:color w:val="auto"/>
          <w:highlight w:val="none"/>
          <w:vertAlign w:val="superscript"/>
          <w:lang w:val="en-US" w:eastAsia="zh-CN"/>
        </w:rPr>
        <w:t>3</w:t>
      </w:r>
      <w:r>
        <w:rPr>
          <w:rFonts w:hint="default"/>
          <w:color w:val="auto"/>
          <w:highlight w:val="none"/>
          <w:lang w:val="en-US" w:eastAsia="zh-CN"/>
        </w:rPr>
        <w:t>、硫化氢0.06mg/</w:t>
      </w:r>
      <w:r>
        <w:rPr>
          <w:rFonts w:hint="eastAsia"/>
          <w:color w:val="auto"/>
          <w:highlight w:val="none"/>
          <w:lang w:val="en-US" w:eastAsia="zh-CN"/>
        </w:rPr>
        <w:t>m</w:t>
      </w:r>
      <w:r>
        <w:rPr>
          <w:rFonts w:hint="eastAsia"/>
          <w:color w:val="auto"/>
          <w:highlight w:val="none"/>
          <w:vertAlign w:val="superscript"/>
          <w:lang w:val="en-US" w:eastAsia="zh-CN"/>
        </w:rPr>
        <w:t>3</w:t>
      </w:r>
      <w:r>
        <w:rPr>
          <w:rFonts w:hint="default"/>
          <w:color w:val="auto"/>
          <w:highlight w:val="none"/>
          <w:lang w:val="en-US" w:eastAsia="zh-CN"/>
        </w:rPr>
        <w:t>、臭气浓度&lt;20（无量纲）。</w:t>
      </w:r>
    </w:p>
    <w:p w14:paraId="06382375">
      <w:pPr>
        <w:bidi w:val="0"/>
        <w:rPr>
          <w:rFonts w:hint="default"/>
          <w:highlight w:val="none"/>
          <w:lang w:val="en-US" w:eastAsia="zh-CN"/>
        </w:rPr>
      </w:pPr>
      <w:r>
        <w:rPr>
          <w:rFonts w:hint="default"/>
          <w:highlight w:val="none"/>
          <w:lang w:val="en-US" w:eastAsia="zh-CN"/>
        </w:rPr>
        <w:t>恶臭气体无组织排放速率</w:t>
      </w:r>
      <w:r>
        <w:rPr>
          <w:rFonts w:hint="eastAsia"/>
          <w:highlight w:val="none"/>
          <w:lang w:val="en-US" w:eastAsia="zh-CN"/>
        </w:rPr>
        <w:t>H</w:t>
      </w:r>
      <w:r>
        <w:rPr>
          <w:rFonts w:hint="eastAsia"/>
          <w:highlight w:val="none"/>
          <w:vertAlign w:val="subscript"/>
          <w:lang w:val="en-US" w:eastAsia="zh-CN"/>
        </w:rPr>
        <w:t>2</w:t>
      </w:r>
      <w:r>
        <w:rPr>
          <w:rFonts w:hint="eastAsia"/>
          <w:highlight w:val="none"/>
          <w:lang w:val="en-US" w:eastAsia="zh-CN"/>
        </w:rPr>
        <w:t>S0.00008</w:t>
      </w:r>
      <w:r>
        <w:rPr>
          <w:rFonts w:hint="default"/>
          <w:highlight w:val="none"/>
          <w:lang w:val="en-US" w:eastAsia="zh-CN"/>
        </w:rPr>
        <w:t>kg/h、</w:t>
      </w:r>
      <w:r>
        <w:rPr>
          <w:rFonts w:hint="eastAsia"/>
          <w:highlight w:val="none"/>
          <w:lang w:val="en-US" w:eastAsia="zh-CN"/>
        </w:rPr>
        <w:t>NH</w:t>
      </w:r>
      <w:r>
        <w:rPr>
          <w:rFonts w:hint="eastAsia"/>
          <w:highlight w:val="none"/>
          <w:vertAlign w:val="subscript"/>
          <w:lang w:val="en-US" w:eastAsia="zh-CN"/>
        </w:rPr>
        <w:t>3</w:t>
      </w:r>
      <w:r>
        <w:rPr>
          <w:rFonts w:hint="eastAsia"/>
          <w:highlight w:val="none"/>
          <w:lang w:val="en-US" w:eastAsia="zh-CN"/>
        </w:rPr>
        <w:t>0.0044</w:t>
      </w:r>
      <w:r>
        <w:rPr>
          <w:rFonts w:hint="default"/>
          <w:highlight w:val="none"/>
          <w:lang w:val="en-US" w:eastAsia="zh-CN"/>
        </w:rPr>
        <w:t>kg/h，厂界</w:t>
      </w:r>
      <w:r>
        <w:rPr>
          <w:rFonts w:hint="eastAsia"/>
          <w:highlight w:val="none"/>
          <w:lang w:val="en-US" w:eastAsia="zh-CN"/>
        </w:rPr>
        <w:t>NH</w:t>
      </w:r>
      <w:r>
        <w:rPr>
          <w:rFonts w:hint="eastAsia"/>
          <w:highlight w:val="none"/>
          <w:vertAlign w:val="subscript"/>
          <w:lang w:val="en-US" w:eastAsia="zh-CN"/>
        </w:rPr>
        <w:t>3</w:t>
      </w:r>
      <w:r>
        <w:rPr>
          <w:rFonts w:hint="default"/>
          <w:highlight w:val="none"/>
          <w:lang w:val="en-US" w:eastAsia="zh-CN"/>
        </w:rPr>
        <w:t>、</w:t>
      </w:r>
      <w:r>
        <w:rPr>
          <w:rFonts w:hint="eastAsia"/>
          <w:highlight w:val="none"/>
          <w:lang w:val="en-US" w:eastAsia="zh-CN"/>
        </w:rPr>
        <w:t>H</w:t>
      </w:r>
      <w:r>
        <w:rPr>
          <w:rFonts w:hint="eastAsia"/>
          <w:highlight w:val="none"/>
          <w:vertAlign w:val="subscript"/>
          <w:lang w:val="en-US" w:eastAsia="zh-CN"/>
        </w:rPr>
        <w:t>2</w:t>
      </w:r>
      <w:r>
        <w:rPr>
          <w:rFonts w:hint="eastAsia"/>
          <w:highlight w:val="none"/>
          <w:lang w:val="en-US" w:eastAsia="zh-CN"/>
        </w:rPr>
        <w:t>S</w:t>
      </w:r>
      <w:r>
        <w:rPr>
          <w:rFonts w:hint="default"/>
          <w:highlight w:val="none"/>
          <w:lang w:val="en-US" w:eastAsia="zh-CN"/>
        </w:rPr>
        <w:t>排放满足《城镇污水处理厂污染物排放标准》（GB18918-2002）表4二级标准。</w:t>
      </w:r>
    </w:p>
    <w:p w14:paraId="0FBEB69E">
      <w:pPr>
        <w:bidi w:val="0"/>
        <w:rPr>
          <w:rFonts w:hint="default"/>
          <w:highlight w:val="none"/>
          <w:lang w:val="en-US" w:eastAsia="zh-CN"/>
        </w:rPr>
      </w:pPr>
      <w:r>
        <w:rPr>
          <w:rFonts w:hint="default"/>
          <w:highlight w:val="none"/>
          <w:lang w:val="en-US" w:eastAsia="zh-CN"/>
        </w:rPr>
        <w:t>本项目大气污染物产生及治理措施情况一览表见表3.3-4.</w:t>
      </w:r>
    </w:p>
    <w:p w14:paraId="3FFF2E82">
      <w:pPr>
        <w:pStyle w:val="20"/>
        <w:numPr>
          <w:ilvl w:val="0"/>
          <w:numId w:val="27"/>
        </w:numPr>
        <w:spacing w:after="0" w:line="440" w:lineRule="exact"/>
        <w:ind w:left="425" w:leftChars="0" w:hanging="425" w:firstLineChars="0"/>
        <w:jc w:val="center"/>
        <w:rPr>
          <w:rFonts w:hint="default" w:ascii="Times New Roman" w:hAnsi="Times New Roman" w:eastAsia="宋体" w:cs="Times New Roman"/>
          <w:b/>
          <w:color w:val="000000"/>
          <w:sz w:val="24"/>
          <w:szCs w:val="24"/>
          <w:highlight w:val="none"/>
        </w:rPr>
      </w:pPr>
      <w:r>
        <w:rPr>
          <w:rFonts w:hint="default" w:ascii="Times New Roman" w:hAnsi="Times New Roman" w:eastAsia="宋体" w:cs="Times New Roman"/>
          <w:b/>
          <w:color w:val="000000"/>
          <w:sz w:val="24"/>
          <w:szCs w:val="24"/>
          <w:highlight w:val="none"/>
        </w:rPr>
        <w:t>本项目废气产生和排放情况一览表</w:t>
      </w:r>
    </w:p>
    <w:tbl>
      <w:tblPr>
        <w:tblStyle w:val="4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
      <w:tblGrid>
        <w:gridCol w:w="311"/>
        <w:gridCol w:w="581"/>
        <w:gridCol w:w="845"/>
        <w:gridCol w:w="1037"/>
        <w:gridCol w:w="804"/>
        <w:gridCol w:w="818"/>
        <w:gridCol w:w="1080"/>
        <w:gridCol w:w="476"/>
        <w:gridCol w:w="577"/>
        <w:gridCol w:w="931"/>
        <w:gridCol w:w="863"/>
        <w:gridCol w:w="863"/>
      </w:tblGrid>
      <w:tr w14:paraId="0768A8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17" w:hRule="atLeast"/>
          <w:jc w:val="center"/>
        </w:trPr>
        <w:tc>
          <w:tcPr>
            <w:tcW w:w="169" w:type="pct"/>
            <w:vMerge w:val="restart"/>
            <w:noWrap w:val="0"/>
            <w:vAlign w:val="center"/>
          </w:tcPr>
          <w:p w14:paraId="08BF58B0">
            <w:pPr>
              <w:pStyle w:val="58"/>
              <w:bidi w:val="0"/>
              <w:rPr>
                <w:rFonts w:hint="default"/>
                <w:highlight w:val="none"/>
              </w:rPr>
            </w:pPr>
            <w:r>
              <w:rPr>
                <w:rFonts w:hint="default"/>
                <w:highlight w:val="none"/>
              </w:rPr>
              <w:t>污染物名称</w:t>
            </w:r>
          </w:p>
        </w:tc>
        <w:tc>
          <w:tcPr>
            <w:tcW w:w="316" w:type="pct"/>
            <w:vMerge w:val="restart"/>
            <w:noWrap w:val="0"/>
            <w:vAlign w:val="center"/>
          </w:tcPr>
          <w:p w14:paraId="105C2544">
            <w:pPr>
              <w:pStyle w:val="58"/>
              <w:bidi w:val="0"/>
              <w:rPr>
                <w:rFonts w:hint="default"/>
                <w:highlight w:val="none"/>
              </w:rPr>
            </w:pPr>
            <w:r>
              <w:rPr>
                <w:rFonts w:hint="default"/>
                <w:highlight w:val="none"/>
              </w:rPr>
              <w:t>污染因子</w:t>
            </w:r>
          </w:p>
        </w:tc>
        <w:tc>
          <w:tcPr>
            <w:tcW w:w="459" w:type="pct"/>
            <w:vMerge w:val="restart"/>
            <w:noWrap w:val="0"/>
            <w:vAlign w:val="center"/>
          </w:tcPr>
          <w:p w14:paraId="1CAD77AB">
            <w:pPr>
              <w:pStyle w:val="58"/>
              <w:bidi w:val="0"/>
              <w:rPr>
                <w:rFonts w:hint="default"/>
                <w:highlight w:val="none"/>
              </w:rPr>
            </w:pPr>
            <w:r>
              <w:rPr>
                <w:rFonts w:hint="default"/>
                <w:highlight w:val="none"/>
              </w:rPr>
              <w:t>废气量（m³/h）</w:t>
            </w:r>
          </w:p>
        </w:tc>
        <w:tc>
          <w:tcPr>
            <w:tcW w:w="1447" w:type="pct"/>
            <w:gridSpan w:val="3"/>
            <w:noWrap w:val="0"/>
            <w:vAlign w:val="center"/>
          </w:tcPr>
          <w:p w14:paraId="165A5476">
            <w:pPr>
              <w:pStyle w:val="58"/>
              <w:bidi w:val="0"/>
              <w:rPr>
                <w:rFonts w:hint="default"/>
                <w:highlight w:val="none"/>
              </w:rPr>
            </w:pPr>
            <w:r>
              <w:rPr>
                <w:rFonts w:hint="default"/>
                <w:highlight w:val="none"/>
              </w:rPr>
              <w:t>产生情况</w:t>
            </w:r>
          </w:p>
        </w:tc>
        <w:tc>
          <w:tcPr>
            <w:tcW w:w="587" w:type="pct"/>
            <w:vMerge w:val="restart"/>
            <w:noWrap w:val="0"/>
            <w:vAlign w:val="center"/>
          </w:tcPr>
          <w:p w14:paraId="67669794">
            <w:pPr>
              <w:pStyle w:val="58"/>
              <w:bidi w:val="0"/>
              <w:rPr>
                <w:rFonts w:hint="default"/>
                <w:highlight w:val="none"/>
              </w:rPr>
            </w:pPr>
            <w:r>
              <w:rPr>
                <w:rFonts w:hint="default"/>
                <w:highlight w:val="none"/>
              </w:rPr>
              <w:t>治理措施</w:t>
            </w:r>
          </w:p>
        </w:tc>
        <w:tc>
          <w:tcPr>
            <w:tcW w:w="259" w:type="pct"/>
            <w:vMerge w:val="restart"/>
            <w:noWrap w:val="0"/>
            <w:vAlign w:val="center"/>
          </w:tcPr>
          <w:p w14:paraId="3729D7B5">
            <w:pPr>
              <w:pStyle w:val="58"/>
              <w:bidi w:val="0"/>
              <w:rPr>
                <w:rFonts w:hint="default"/>
                <w:highlight w:val="none"/>
                <w:lang w:val="en-US" w:eastAsia="zh-CN"/>
              </w:rPr>
            </w:pPr>
            <w:r>
              <w:rPr>
                <w:rFonts w:hint="default"/>
                <w:highlight w:val="none"/>
                <w:lang w:val="en-US" w:eastAsia="zh-CN"/>
              </w:rPr>
              <w:t>收集效率</w:t>
            </w:r>
          </w:p>
        </w:tc>
        <w:tc>
          <w:tcPr>
            <w:tcW w:w="314" w:type="pct"/>
            <w:vMerge w:val="restart"/>
            <w:noWrap w:val="0"/>
            <w:vAlign w:val="center"/>
          </w:tcPr>
          <w:p w14:paraId="762D5A34">
            <w:pPr>
              <w:pStyle w:val="58"/>
              <w:bidi w:val="0"/>
              <w:rPr>
                <w:rFonts w:hint="default"/>
                <w:highlight w:val="none"/>
              </w:rPr>
            </w:pPr>
            <w:r>
              <w:rPr>
                <w:rFonts w:hint="default"/>
                <w:highlight w:val="none"/>
              </w:rPr>
              <w:t>处理效率</w:t>
            </w:r>
          </w:p>
        </w:tc>
        <w:tc>
          <w:tcPr>
            <w:tcW w:w="1446" w:type="pct"/>
            <w:gridSpan w:val="3"/>
            <w:noWrap w:val="0"/>
            <w:vAlign w:val="center"/>
          </w:tcPr>
          <w:p w14:paraId="0959AD66">
            <w:pPr>
              <w:pStyle w:val="58"/>
              <w:bidi w:val="0"/>
              <w:rPr>
                <w:rFonts w:hint="default"/>
                <w:highlight w:val="none"/>
              </w:rPr>
            </w:pPr>
            <w:r>
              <w:rPr>
                <w:rFonts w:hint="default"/>
                <w:highlight w:val="none"/>
              </w:rPr>
              <w:t>排放情况</w:t>
            </w:r>
          </w:p>
        </w:tc>
      </w:tr>
      <w:tr w14:paraId="5C7503C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17" w:hRule="atLeast"/>
          <w:jc w:val="center"/>
        </w:trPr>
        <w:tc>
          <w:tcPr>
            <w:tcW w:w="169" w:type="pct"/>
            <w:vMerge w:val="continue"/>
            <w:noWrap w:val="0"/>
            <w:vAlign w:val="center"/>
          </w:tcPr>
          <w:p w14:paraId="429D3022">
            <w:pPr>
              <w:pStyle w:val="58"/>
              <w:bidi w:val="0"/>
              <w:rPr>
                <w:rFonts w:hint="default"/>
                <w:highlight w:val="none"/>
              </w:rPr>
            </w:pPr>
          </w:p>
        </w:tc>
        <w:tc>
          <w:tcPr>
            <w:tcW w:w="316" w:type="pct"/>
            <w:vMerge w:val="continue"/>
            <w:noWrap w:val="0"/>
            <w:vAlign w:val="center"/>
          </w:tcPr>
          <w:p w14:paraId="47E00323">
            <w:pPr>
              <w:pStyle w:val="58"/>
              <w:bidi w:val="0"/>
              <w:rPr>
                <w:rFonts w:hint="default"/>
                <w:highlight w:val="none"/>
              </w:rPr>
            </w:pPr>
          </w:p>
        </w:tc>
        <w:tc>
          <w:tcPr>
            <w:tcW w:w="459" w:type="pct"/>
            <w:vMerge w:val="continue"/>
            <w:noWrap w:val="0"/>
            <w:vAlign w:val="center"/>
          </w:tcPr>
          <w:p w14:paraId="53DB450D">
            <w:pPr>
              <w:pStyle w:val="58"/>
              <w:bidi w:val="0"/>
              <w:rPr>
                <w:rFonts w:hint="default"/>
                <w:highlight w:val="none"/>
              </w:rPr>
            </w:pPr>
          </w:p>
        </w:tc>
        <w:tc>
          <w:tcPr>
            <w:tcW w:w="564" w:type="pct"/>
            <w:noWrap w:val="0"/>
            <w:vAlign w:val="center"/>
          </w:tcPr>
          <w:p w14:paraId="503E214F">
            <w:pPr>
              <w:pStyle w:val="58"/>
              <w:bidi w:val="0"/>
              <w:rPr>
                <w:rFonts w:hint="default"/>
                <w:highlight w:val="none"/>
              </w:rPr>
            </w:pPr>
            <w:r>
              <w:rPr>
                <w:rFonts w:hint="default"/>
                <w:highlight w:val="none"/>
              </w:rPr>
              <w:t>产生浓度</w:t>
            </w:r>
          </w:p>
          <w:p w14:paraId="1F511CE2">
            <w:pPr>
              <w:pStyle w:val="58"/>
              <w:bidi w:val="0"/>
              <w:rPr>
                <w:rFonts w:hint="default"/>
                <w:highlight w:val="none"/>
              </w:rPr>
            </w:pPr>
            <w:r>
              <w:rPr>
                <w:rFonts w:hint="default"/>
                <w:highlight w:val="none"/>
              </w:rPr>
              <w:t>（mg/m³）</w:t>
            </w:r>
          </w:p>
        </w:tc>
        <w:tc>
          <w:tcPr>
            <w:tcW w:w="437" w:type="pct"/>
            <w:noWrap w:val="0"/>
            <w:vAlign w:val="center"/>
          </w:tcPr>
          <w:p w14:paraId="0F34576D">
            <w:pPr>
              <w:pStyle w:val="58"/>
              <w:bidi w:val="0"/>
              <w:rPr>
                <w:rFonts w:hint="default"/>
                <w:highlight w:val="none"/>
                <w:lang w:val="en-US" w:eastAsia="zh-CN"/>
              </w:rPr>
            </w:pPr>
            <w:r>
              <w:rPr>
                <w:rFonts w:hint="default"/>
                <w:highlight w:val="none"/>
              </w:rPr>
              <w:t>产生</w:t>
            </w:r>
            <w:r>
              <w:rPr>
                <w:rFonts w:hint="default"/>
                <w:highlight w:val="none"/>
                <w:lang w:val="en-US" w:eastAsia="zh-CN"/>
              </w:rPr>
              <w:t>速率</w:t>
            </w:r>
          </w:p>
          <w:p w14:paraId="6B4A89E5">
            <w:pPr>
              <w:pStyle w:val="58"/>
              <w:bidi w:val="0"/>
              <w:rPr>
                <w:rFonts w:hint="default"/>
                <w:highlight w:val="none"/>
              </w:rPr>
            </w:pPr>
            <w:r>
              <w:rPr>
                <w:rFonts w:hint="default"/>
                <w:highlight w:val="none"/>
              </w:rPr>
              <w:t>（kg/h）</w:t>
            </w:r>
          </w:p>
        </w:tc>
        <w:tc>
          <w:tcPr>
            <w:tcW w:w="445" w:type="pct"/>
            <w:noWrap w:val="0"/>
            <w:vAlign w:val="center"/>
          </w:tcPr>
          <w:p w14:paraId="7C8ED182">
            <w:pPr>
              <w:pStyle w:val="58"/>
              <w:bidi w:val="0"/>
              <w:rPr>
                <w:rFonts w:hint="default"/>
                <w:highlight w:val="none"/>
                <w:lang w:val="en-US" w:eastAsia="zh-CN"/>
              </w:rPr>
            </w:pPr>
            <w:r>
              <w:rPr>
                <w:rFonts w:hint="default"/>
                <w:highlight w:val="none"/>
                <w:lang w:val="en-US" w:eastAsia="zh-CN"/>
              </w:rPr>
              <w:t>产生量（t/</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w:t>
            </w:r>
          </w:p>
        </w:tc>
        <w:tc>
          <w:tcPr>
            <w:tcW w:w="587" w:type="pct"/>
            <w:vMerge w:val="continue"/>
            <w:noWrap w:val="0"/>
            <w:vAlign w:val="center"/>
          </w:tcPr>
          <w:p w14:paraId="4F6C51C4">
            <w:pPr>
              <w:pStyle w:val="58"/>
              <w:bidi w:val="0"/>
              <w:rPr>
                <w:rFonts w:hint="default"/>
                <w:highlight w:val="none"/>
              </w:rPr>
            </w:pPr>
          </w:p>
        </w:tc>
        <w:tc>
          <w:tcPr>
            <w:tcW w:w="259" w:type="pct"/>
            <w:vMerge w:val="continue"/>
            <w:noWrap w:val="0"/>
            <w:vAlign w:val="center"/>
          </w:tcPr>
          <w:p w14:paraId="551B0924">
            <w:pPr>
              <w:pStyle w:val="58"/>
              <w:bidi w:val="0"/>
              <w:rPr>
                <w:rFonts w:hint="default"/>
                <w:highlight w:val="none"/>
              </w:rPr>
            </w:pPr>
          </w:p>
        </w:tc>
        <w:tc>
          <w:tcPr>
            <w:tcW w:w="314" w:type="pct"/>
            <w:vMerge w:val="continue"/>
            <w:noWrap w:val="0"/>
            <w:vAlign w:val="center"/>
          </w:tcPr>
          <w:p w14:paraId="194B8957">
            <w:pPr>
              <w:pStyle w:val="58"/>
              <w:bidi w:val="0"/>
              <w:rPr>
                <w:rFonts w:hint="default"/>
                <w:highlight w:val="none"/>
              </w:rPr>
            </w:pPr>
          </w:p>
        </w:tc>
        <w:tc>
          <w:tcPr>
            <w:tcW w:w="506" w:type="pct"/>
            <w:noWrap w:val="0"/>
            <w:vAlign w:val="center"/>
          </w:tcPr>
          <w:p w14:paraId="3FC43FC9">
            <w:pPr>
              <w:pStyle w:val="58"/>
              <w:bidi w:val="0"/>
              <w:rPr>
                <w:rFonts w:hint="default"/>
                <w:highlight w:val="none"/>
              </w:rPr>
            </w:pPr>
            <w:r>
              <w:rPr>
                <w:rFonts w:hint="default"/>
                <w:highlight w:val="none"/>
              </w:rPr>
              <w:t>排放浓</w:t>
            </w:r>
            <w:r>
              <w:rPr>
                <w:rFonts w:hint="default"/>
                <w:spacing w:val="-11"/>
                <w:sz w:val="21"/>
                <w:highlight w:val="none"/>
              </w:rPr>
              <w:t>（mg/m³）</w:t>
            </w:r>
          </w:p>
        </w:tc>
        <w:tc>
          <w:tcPr>
            <w:tcW w:w="469" w:type="pct"/>
            <w:noWrap w:val="0"/>
            <w:vAlign w:val="center"/>
          </w:tcPr>
          <w:p w14:paraId="4510EAA3">
            <w:pPr>
              <w:pStyle w:val="58"/>
              <w:bidi w:val="0"/>
              <w:rPr>
                <w:rFonts w:hint="default"/>
                <w:highlight w:val="none"/>
                <w:lang w:val="en-US" w:eastAsia="zh-CN"/>
              </w:rPr>
            </w:pPr>
            <w:r>
              <w:rPr>
                <w:rFonts w:hint="default"/>
                <w:highlight w:val="none"/>
                <w:lang w:val="en-US" w:eastAsia="zh-CN"/>
              </w:rPr>
              <w:t>排放速率（kg/h）</w:t>
            </w:r>
          </w:p>
        </w:tc>
        <w:tc>
          <w:tcPr>
            <w:tcW w:w="469" w:type="pct"/>
            <w:noWrap w:val="0"/>
            <w:vAlign w:val="center"/>
          </w:tcPr>
          <w:p w14:paraId="5F214AF1">
            <w:pPr>
              <w:pStyle w:val="58"/>
              <w:bidi w:val="0"/>
              <w:rPr>
                <w:rFonts w:hint="default"/>
                <w:highlight w:val="none"/>
              </w:rPr>
            </w:pPr>
            <w:r>
              <w:rPr>
                <w:rFonts w:hint="default"/>
                <w:highlight w:val="none"/>
              </w:rPr>
              <w:t>排放量</w:t>
            </w:r>
          </w:p>
          <w:p w14:paraId="0963142B">
            <w:pPr>
              <w:pStyle w:val="58"/>
              <w:bidi w:val="0"/>
              <w:rPr>
                <w:rFonts w:hint="default"/>
                <w:highlight w:val="none"/>
              </w:rPr>
            </w:pPr>
            <w:r>
              <w:rPr>
                <w:rFonts w:hint="default"/>
                <w:highlight w:val="none"/>
              </w:rPr>
              <w:t>（kg/h）</w:t>
            </w:r>
          </w:p>
        </w:tc>
      </w:tr>
      <w:tr w14:paraId="45E9D7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17" w:hRule="atLeast"/>
          <w:jc w:val="center"/>
        </w:trPr>
        <w:tc>
          <w:tcPr>
            <w:tcW w:w="169" w:type="pct"/>
            <w:vMerge w:val="restart"/>
            <w:noWrap w:val="0"/>
            <w:vAlign w:val="center"/>
          </w:tcPr>
          <w:p w14:paraId="3B45E19B">
            <w:pPr>
              <w:pStyle w:val="58"/>
              <w:bidi w:val="0"/>
              <w:rPr>
                <w:rFonts w:hint="default"/>
                <w:highlight w:val="none"/>
              </w:rPr>
            </w:pPr>
            <w:r>
              <w:rPr>
                <w:rFonts w:hint="default"/>
                <w:highlight w:val="none"/>
              </w:rPr>
              <w:t>有组织废气</w:t>
            </w:r>
          </w:p>
        </w:tc>
        <w:tc>
          <w:tcPr>
            <w:tcW w:w="316" w:type="pct"/>
            <w:noWrap w:val="0"/>
            <w:vAlign w:val="center"/>
          </w:tcPr>
          <w:p w14:paraId="501FE1B4">
            <w:pPr>
              <w:pStyle w:val="58"/>
              <w:bidi w:val="0"/>
              <w:rPr>
                <w:rFonts w:hint="eastAsia" w:eastAsia="宋体"/>
                <w:highlight w:val="none"/>
                <w:lang w:eastAsia="zh-CN"/>
              </w:rPr>
            </w:pPr>
            <w:r>
              <w:rPr>
                <w:rFonts w:hint="eastAsia"/>
                <w:highlight w:val="none"/>
                <w:lang w:eastAsia="zh-CN"/>
              </w:rPr>
              <w:t>H</w:t>
            </w:r>
            <w:r>
              <w:rPr>
                <w:rFonts w:hint="eastAsia"/>
                <w:highlight w:val="none"/>
                <w:vertAlign w:val="subscript"/>
                <w:lang w:eastAsia="zh-CN"/>
              </w:rPr>
              <w:t>2</w:t>
            </w:r>
            <w:r>
              <w:rPr>
                <w:rFonts w:hint="eastAsia"/>
                <w:highlight w:val="none"/>
                <w:lang w:eastAsia="zh-CN"/>
              </w:rPr>
              <w:t>S</w:t>
            </w:r>
          </w:p>
        </w:tc>
        <w:tc>
          <w:tcPr>
            <w:tcW w:w="459" w:type="pct"/>
            <w:vMerge w:val="restart"/>
            <w:noWrap w:val="0"/>
            <w:vAlign w:val="center"/>
          </w:tcPr>
          <w:p w14:paraId="7FC94AF8">
            <w:pPr>
              <w:pStyle w:val="58"/>
              <w:bidi w:val="0"/>
              <w:rPr>
                <w:rFonts w:hint="default"/>
                <w:highlight w:val="none"/>
              </w:rPr>
            </w:pPr>
            <w:r>
              <w:rPr>
                <w:rFonts w:hint="default"/>
                <w:highlight w:val="none"/>
                <w:lang w:val="en-US" w:eastAsia="zh-CN"/>
              </w:rPr>
              <w:t>5</w:t>
            </w:r>
            <w:r>
              <w:rPr>
                <w:rFonts w:hint="default"/>
                <w:highlight w:val="none"/>
              </w:rPr>
              <w:t>000</w:t>
            </w:r>
          </w:p>
        </w:tc>
        <w:tc>
          <w:tcPr>
            <w:tcW w:w="564" w:type="pct"/>
            <w:noWrap w:val="0"/>
            <w:vAlign w:val="center"/>
          </w:tcPr>
          <w:p w14:paraId="06330485">
            <w:pPr>
              <w:pStyle w:val="58"/>
              <w:bidi w:val="0"/>
              <w:rPr>
                <w:rFonts w:hint="default" w:eastAsia="宋体"/>
                <w:highlight w:val="none"/>
                <w:lang w:val="en-US" w:eastAsia="zh-CN"/>
              </w:rPr>
            </w:pPr>
            <w:r>
              <w:rPr>
                <w:rFonts w:hint="eastAsia"/>
                <w:highlight w:val="none"/>
                <w:lang w:val="en-US" w:eastAsia="zh-CN"/>
              </w:rPr>
              <w:t>0.4</w:t>
            </w:r>
          </w:p>
        </w:tc>
        <w:tc>
          <w:tcPr>
            <w:tcW w:w="437" w:type="pct"/>
            <w:noWrap w:val="0"/>
            <w:vAlign w:val="center"/>
          </w:tcPr>
          <w:p w14:paraId="06B3F75A">
            <w:pPr>
              <w:pStyle w:val="58"/>
              <w:bidi w:val="0"/>
              <w:rPr>
                <w:rFonts w:hint="default"/>
                <w:highlight w:val="none"/>
                <w:lang w:eastAsia="zh-CN"/>
              </w:rPr>
            </w:pPr>
            <w:r>
              <w:rPr>
                <w:rFonts w:hint="eastAsia"/>
                <w:highlight w:val="none"/>
                <w:lang w:eastAsia="zh-CN"/>
              </w:rPr>
              <w:t>0.002</w:t>
            </w:r>
          </w:p>
        </w:tc>
        <w:tc>
          <w:tcPr>
            <w:tcW w:w="445" w:type="pct"/>
            <w:noWrap w:val="0"/>
            <w:vAlign w:val="center"/>
          </w:tcPr>
          <w:p w14:paraId="335E1CE9">
            <w:pPr>
              <w:pStyle w:val="58"/>
              <w:bidi w:val="0"/>
              <w:rPr>
                <w:rFonts w:hint="default"/>
                <w:highlight w:val="none"/>
                <w:lang w:val="en-US" w:eastAsia="zh-CN"/>
              </w:rPr>
            </w:pPr>
            <w:r>
              <w:rPr>
                <w:rFonts w:hint="eastAsia"/>
                <w:highlight w:val="none"/>
                <w:lang w:val="en-US" w:eastAsia="zh-CN"/>
              </w:rPr>
              <w:t>0.018</w:t>
            </w:r>
          </w:p>
        </w:tc>
        <w:tc>
          <w:tcPr>
            <w:tcW w:w="587" w:type="pct"/>
            <w:vMerge w:val="restart"/>
            <w:noWrap w:val="0"/>
            <w:vAlign w:val="center"/>
          </w:tcPr>
          <w:p w14:paraId="71AB679A">
            <w:pPr>
              <w:pStyle w:val="58"/>
              <w:bidi w:val="0"/>
              <w:rPr>
                <w:rFonts w:hint="default"/>
                <w:highlight w:val="none"/>
              </w:rPr>
            </w:pPr>
            <w:r>
              <w:rPr>
                <w:rFonts w:hint="default"/>
                <w:highlight w:val="none"/>
                <w:lang w:val="en-US" w:eastAsia="zh-CN"/>
              </w:rPr>
              <w:t>等离子光电一体机</w:t>
            </w:r>
            <w:r>
              <w:rPr>
                <w:rFonts w:hint="default"/>
                <w:highlight w:val="none"/>
              </w:rPr>
              <w:t>+15m排气筒（</w:t>
            </w:r>
            <w:r>
              <w:rPr>
                <w:rFonts w:hint="default"/>
                <w:highlight w:val="none"/>
                <w:lang w:eastAsia="zh-CN"/>
              </w:rPr>
              <w:t>DA001</w:t>
            </w:r>
            <w:r>
              <w:rPr>
                <w:rFonts w:hint="default"/>
                <w:highlight w:val="none"/>
              </w:rPr>
              <w:t>）</w:t>
            </w:r>
          </w:p>
        </w:tc>
        <w:tc>
          <w:tcPr>
            <w:tcW w:w="259" w:type="pct"/>
            <w:vMerge w:val="restart"/>
            <w:noWrap w:val="0"/>
            <w:vAlign w:val="center"/>
          </w:tcPr>
          <w:p w14:paraId="3DE23173">
            <w:pPr>
              <w:pStyle w:val="58"/>
              <w:bidi w:val="0"/>
              <w:rPr>
                <w:rFonts w:hint="default"/>
                <w:highlight w:val="none"/>
                <w:lang w:val="en-US" w:eastAsia="zh-CN"/>
              </w:rPr>
            </w:pPr>
            <w:r>
              <w:rPr>
                <w:rFonts w:hint="default"/>
                <w:highlight w:val="none"/>
                <w:lang w:val="en-US" w:eastAsia="zh-CN"/>
              </w:rPr>
              <w:t>96%</w:t>
            </w:r>
          </w:p>
        </w:tc>
        <w:tc>
          <w:tcPr>
            <w:tcW w:w="314" w:type="pct"/>
            <w:noWrap w:val="0"/>
            <w:vAlign w:val="center"/>
          </w:tcPr>
          <w:p w14:paraId="3090D1C4">
            <w:pPr>
              <w:pStyle w:val="58"/>
              <w:bidi w:val="0"/>
              <w:rPr>
                <w:rFonts w:hint="default"/>
                <w:highlight w:val="none"/>
              </w:rPr>
            </w:pPr>
            <w:r>
              <w:rPr>
                <w:rFonts w:hint="default"/>
                <w:highlight w:val="none"/>
                <w:lang w:val="en-US" w:eastAsia="zh-CN"/>
              </w:rPr>
              <w:t>85</w:t>
            </w:r>
            <w:r>
              <w:rPr>
                <w:rFonts w:hint="default"/>
                <w:highlight w:val="none"/>
              </w:rPr>
              <w:t>%</w:t>
            </w:r>
          </w:p>
        </w:tc>
        <w:tc>
          <w:tcPr>
            <w:tcW w:w="506" w:type="pct"/>
            <w:noWrap w:val="0"/>
            <w:vAlign w:val="center"/>
          </w:tcPr>
          <w:p w14:paraId="706560FA">
            <w:pPr>
              <w:pStyle w:val="58"/>
              <w:bidi w:val="0"/>
              <w:rPr>
                <w:rFonts w:hint="default"/>
                <w:highlight w:val="none"/>
                <w:lang w:val="en-US" w:eastAsia="zh-CN"/>
              </w:rPr>
            </w:pPr>
            <w:r>
              <w:rPr>
                <w:rFonts w:hint="eastAsia"/>
                <w:highlight w:val="none"/>
                <w:lang w:val="en-US" w:eastAsia="zh-CN"/>
              </w:rPr>
              <w:t xml:space="preserve">0.0576 </w:t>
            </w:r>
          </w:p>
        </w:tc>
        <w:tc>
          <w:tcPr>
            <w:tcW w:w="469" w:type="pct"/>
            <w:noWrap w:val="0"/>
            <w:vAlign w:val="center"/>
          </w:tcPr>
          <w:p w14:paraId="50C62A8D">
            <w:pPr>
              <w:pStyle w:val="58"/>
              <w:bidi w:val="0"/>
              <w:rPr>
                <w:rFonts w:hint="default"/>
                <w:highlight w:val="none"/>
                <w:lang w:val="en-US" w:eastAsia="zh-CN"/>
              </w:rPr>
            </w:pPr>
            <w:r>
              <w:rPr>
                <w:rFonts w:hint="eastAsia"/>
                <w:highlight w:val="none"/>
                <w:lang w:val="en-US" w:eastAsia="zh-CN"/>
              </w:rPr>
              <w:t>0.0003</w:t>
            </w:r>
          </w:p>
        </w:tc>
        <w:tc>
          <w:tcPr>
            <w:tcW w:w="469" w:type="pct"/>
            <w:noWrap w:val="0"/>
            <w:vAlign w:val="center"/>
          </w:tcPr>
          <w:p w14:paraId="273E3DD6">
            <w:pPr>
              <w:pStyle w:val="58"/>
              <w:bidi w:val="0"/>
              <w:rPr>
                <w:rFonts w:hint="default"/>
                <w:highlight w:val="none"/>
                <w:lang w:val="en-US" w:eastAsia="zh-CN"/>
              </w:rPr>
            </w:pPr>
            <w:r>
              <w:rPr>
                <w:rFonts w:hint="eastAsia"/>
                <w:highlight w:val="none"/>
                <w:lang w:val="en-US" w:eastAsia="zh-CN"/>
              </w:rPr>
              <w:t>0.0025</w:t>
            </w:r>
          </w:p>
        </w:tc>
      </w:tr>
      <w:tr w14:paraId="528048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17" w:hRule="atLeast"/>
          <w:jc w:val="center"/>
        </w:trPr>
        <w:tc>
          <w:tcPr>
            <w:tcW w:w="169" w:type="pct"/>
            <w:vMerge w:val="continue"/>
            <w:noWrap w:val="0"/>
            <w:vAlign w:val="center"/>
          </w:tcPr>
          <w:p w14:paraId="45884208">
            <w:pPr>
              <w:pStyle w:val="58"/>
              <w:bidi w:val="0"/>
              <w:rPr>
                <w:rFonts w:hint="default"/>
                <w:highlight w:val="none"/>
              </w:rPr>
            </w:pPr>
          </w:p>
        </w:tc>
        <w:tc>
          <w:tcPr>
            <w:tcW w:w="316" w:type="pct"/>
            <w:noWrap w:val="0"/>
            <w:vAlign w:val="center"/>
          </w:tcPr>
          <w:p w14:paraId="23C0C984">
            <w:pPr>
              <w:pStyle w:val="58"/>
              <w:bidi w:val="0"/>
              <w:rPr>
                <w:rFonts w:hint="default"/>
                <w:highlight w:val="none"/>
                <w:lang w:eastAsia="zh-CN"/>
              </w:rPr>
            </w:pPr>
            <w:r>
              <w:rPr>
                <w:rFonts w:hint="eastAsia"/>
                <w:highlight w:val="none"/>
                <w:lang w:eastAsia="zh-CN"/>
              </w:rPr>
              <w:t>NH</w:t>
            </w:r>
            <w:r>
              <w:rPr>
                <w:rFonts w:hint="eastAsia"/>
                <w:highlight w:val="none"/>
                <w:vertAlign w:val="subscript"/>
                <w:lang w:eastAsia="zh-CN"/>
              </w:rPr>
              <w:t>3</w:t>
            </w:r>
          </w:p>
        </w:tc>
        <w:tc>
          <w:tcPr>
            <w:tcW w:w="459" w:type="pct"/>
            <w:vMerge w:val="continue"/>
            <w:noWrap w:val="0"/>
            <w:vAlign w:val="center"/>
          </w:tcPr>
          <w:p w14:paraId="3D65135B">
            <w:pPr>
              <w:pStyle w:val="58"/>
              <w:bidi w:val="0"/>
              <w:rPr>
                <w:rFonts w:hint="default"/>
                <w:highlight w:val="none"/>
              </w:rPr>
            </w:pPr>
          </w:p>
        </w:tc>
        <w:tc>
          <w:tcPr>
            <w:tcW w:w="564" w:type="pct"/>
            <w:noWrap w:val="0"/>
            <w:vAlign w:val="center"/>
          </w:tcPr>
          <w:p w14:paraId="2B777289">
            <w:pPr>
              <w:pStyle w:val="58"/>
              <w:bidi w:val="0"/>
              <w:rPr>
                <w:rFonts w:hint="eastAsia" w:eastAsia="宋体"/>
                <w:highlight w:val="none"/>
                <w:lang w:val="en-US" w:eastAsia="zh-CN"/>
              </w:rPr>
            </w:pPr>
            <w:r>
              <w:rPr>
                <w:rFonts w:hint="eastAsia"/>
                <w:highlight w:val="none"/>
                <w:lang w:val="en-US" w:eastAsia="zh-CN"/>
              </w:rPr>
              <w:t>2</w:t>
            </w:r>
            <w:r>
              <w:rPr>
                <w:rFonts w:hint="eastAsia"/>
                <w:highlight w:val="none"/>
                <w:lang w:eastAsia="zh-CN"/>
              </w:rPr>
              <w:t>2</w:t>
            </w:r>
          </w:p>
        </w:tc>
        <w:tc>
          <w:tcPr>
            <w:tcW w:w="437" w:type="pct"/>
            <w:noWrap w:val="0"/>
            <w:vAlign w:val="center"/>
          </w:tcPr>
          <w:p w14:paraId="5A9F2526">
            <w:pPr>
              <w:pStyle w:val="58"/>
              <w:bidi w:val="0"/>
              <w:rPr>
                <w:rFonts w:hint="default"/>
                <w:highlight w:val="none"/>
                <w:lang w:eastAsia="zh-CN"/>
              </w:rPr>
            </w:pPr>
            <w:r>
              <w:rPr>
                <w:rFonts w:hint="eastAsia"/>
                <w:highlight w:val="none"/>
                <w:lang w:eastAsia="zh-CN"/>
              </w:rPr>
              <w:t>0.11</w:t>
            </w:r>
          </w:p>
        </w:tc>
        <w:tc>
          <w:tcPr>
            <w:tcW w:w="445" w:type="pct"/>
            <w:noWrap w:val="0"/>
            <w:vAlign w:val="center"/>
          </w:tcPr>
          <w:p w14:paraId="70941600">
            <w:pPr>
              <w:pStyle w:val="58"/>
              <w:bidi w:val="0"/>
              <w:rPr>
                <w:rFonts w:hint="default"/>
                <w:highlight w:val="none"/>
                <w:lang w:val="en-US" w:eastAsia="zh-CN"/>
              </w:rPr>
            </w:pPr>
            <w:r>
              <w:rPr>
                <w:rFonts w:hint="eastAsia"/>
                <w:highlight w:val="none"/>
                <w:lang w:val="en-US" w:eastAsia="zh-CN"/>
              </w:rPr>
              <w:t>0.964</w:t>
            </w:r>
          </w:p>
        </w:tc>
        <w:tc>
          <w:tcPr>
            <w:tcW w:w="587" w:type="pct"/>
            <w:vMerge w:val="continue"/>
            <w:noWrap w:val="0"/>
            <w:vAlign w:val="center"/>
          </w:tcPr>
          <w:p w14:paraId="6BDB3E9A">
            <w:pPr>
              <w:pStyle w:val="58"/>
              <w:bidi w:val="0"/>
              <w:rPr>
                <w:rFonts w:hint="default"/>
                <w:highlight w:val="none"/>
              </w:rPr>
            </w:pPr>
          </w:p>
        </w:tc>
        <w:tc>
          <w:tcPr>
            <w:tcW w:w="259" w:type="pct"/>
            <w:vMerge w:val="continue"/>
            <w:noWrap w:val="0"/>
            <w:vAlign w:val="center"/>
          </w:tcPr>
          <w:p w14:paraId="5534752A">
            <w:pPr>
              <w:pStyle w:val="58"/>
              <w:bidi w:val="0"/>
              <w:rPr>
                <w:rFonts w:hint="default"/>
                <w:highlight w:val="none"/>
                <w:lang w:val="en-US" w:eastAsia="zh-CN"/>
              </w:rPr>
            </w:pPr>
          </w:p>
        </w:tc>
        <w:tc>
          <w:tcPr>
            <w:tcW w:w="314" w:type="pct"/>
            <w:noWrap w:val="0"/>
            <w:vAlign w:val="center"/>
          </w:tcPr>
          <w:p w14:paraId="5E6D5E5B">
            <w:pPr>
              <w:pStyle w:val="58"/>
              <w:bidi w:val="0"/>
              <w:rPr>
                <w:rFonts w:hint="default"/>
                <w:highlight w:val="none"/>
              </w:rPr>
            </w:pPr>
            <w:r>
              <w:rPr>
                <w:rFonts w:hint="default"/>
                <w:highlight w:val="none"/>
                <w:lang w:val="en-US" w:eastAsia="zh-CN"/>
              </w:rPr>
              <w:t>85</w:t>
            </w:r>
            <w:r>
              <w:rPr>
                <w:rFonts w:hint="default"/>
                <w:highlight w:val="none"/>
              </w:rPr>
              <w:t>%</w:t>
            </w:r>
          </w:p>
        </w:tc>
        <w:tc>
          <w:tcPr>
            <w:tcW w:w="506" w:type="pct"/>
            <w:noWrap w:val="0"/>
            <w:vAlign w:val="center"/>
          </w:tcPr>
          <w:p w14:paraId="4F506933">
            <w:pPr>
              <w:pStyle w:val="58"/>
              <w:bidi w:val="0"/>
              <w:rPr>
                <w:rFonts w:hint="default"/>
                <w:highlight w:val="none"/>
                <w:lang w:val="en-US" w:eastAsia="zh-CN"/>
              </w:rPr>
            </w:pPr>
            <w:r>
              <w:rPr>
                <w:rFonts w:hint="eastAsia"/>
                <w:highlight w:val="none"/>
                <w:lang w:val="en-US" w:eastAsia="zh-CN"/>
              </w:rPr>
              <w:t xml:space="preserve">3.1680 </w:t>
            </w:r>
          </w:p>
        </w:tc>
        <w:tc>
          <w:tcPr>
            <w:tcW w:w="469" w:type="pct"/>
            <w:noWrap w:val="0"/>
            <w:vAlign w:val="center"/>
          </w:tcPr>
          <w:p w14:paraId="7AAFBDFB">
            <w:pPr>
              <w:pStyle w:val="58"/>
              <w:bidi w:val="0"/>
              <w:rPr>
                <w:rFonts w:hint="default"/>
                <w:highlight w:val="none"/>
                <w:lang w:val="en-US" w:eastAsia="zh-CN"/>
              </w:rPr>
            </w:pPr>
            <w:r>
              <w:rPr>
                <w:rFonts w:hint="eastAsia"/>
                <w:highlight w:val="none"/>
                <w:lang w:val="en-US" w:eastAsia="zh-CN"/>
              </w:rPr>
              <w:t>0.0158</w:t>
            </w:r>
          </w:p>
        </w:tc>
        <w:tc>
          <w:tcPr>
            <w:tcW w:w="469" w:type="pct"/>
            <w:noWrap w:val="0"/>
            <w:vAlign w:val="center"/>
          </w:tcPr>
          <w:p w14:paraId="005F9D47">
            <w:pPr>
              <w:pStyle w:val="58"/>
              <w:bidi w:val="0"/>
              <w:rPr>
                <w:rFonts w:hint="default"/>
                <w:highlight w:val="none"/>
                <w:lang w:val="en-US" w:eastAsia="zh-CN"/>
              </w:rPr>
            </w:pPr>
            <w:r>
              <w:rPr>
                <w:rFonts w:hint="eastAsia"/>
                <w:highlight w:val="none"/>
                <w:lang w:val="en-US" w:eastAsia="zh-CN"/>
              </w:rPr>
              <w:t xml:space="preserve">0.1388 </w:t>
            </w:r>
          </w:p>
        </w:tc>
      </w:tr>
      <w:tr w14:paraId="5FEBB1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17" w:hRule="atLeast"/>
          <w:jc w:val="center"/>
        </w:trPr>
        <w:tc>
          <w:tcPr>
            <w:tcW w:w="169" w:type="pct"/>
            <w:vMerge w:val="continue"/>
            <w:noWrap w:val="0"/>
            <w:vAlign w:val="center"/>
          </w:tcPr>
          <w:p w14:paraId="3A1F47FB">
            <w:pPr>
              <w:pStyle w:val="58"/>
              <w:bidi w:val="0"/>
              <w:rPr>
                <w:rFonts w:hint="default"/>
                <w:highlight w:val="none"/>
              </w:rPr>
            </w:pPr>
          </w:p>
        </w:tc>
        <w:tc>
          <w:tcPr>
            <w:tcW w:w="316" w:type="pct"/>
            <w:noWrap w:val="0"/>
            <w:vAlign w:val="center"/>
          </w:tcPr>
          <w:p w14:paraId="70B291CF">
            <w:pPr>
              <w:pStyle w:val="58"/>
              <w:bidi w:val="0"/>
              <w:rPr>
                <w:rFonts w:hint="default"/>
                <w:highlight w:val="none"/>
              </w:rPr>
            </w:pPr>
            <w:r>
              <w:rPr>
                <w:rFonts w:hint="default"/>
                <w:highlight w:val="none"/>
              </w:rPr>
              <w:t>臭气浓度</w:t>
            </w:r>
          </w:p>
        </w:tc>
        <w:tc>
          <w:tcPr>
            <w:tcW w:w="459" w:type="pct"/>
            <w:vMerge w:val="continue"/>
            <w:noWrap w:val="0"/>
            <w:vAlign w:val="center"/>
          </w:tcPr>
          <w:p w14:paraId="1C078D94">
            <w:pPr>
              <w:pStyle w:val="58"/>
              <w:bidi w:val="0"/>
              <w:rPr>
                <w:rFonts w:hint="default"/>
                <w:highlight w:val="none"/>
              </w:rPr>
            </w:pPr>
          </w:p>
        </w:tc>
        <w:tc>
          <w:tcPr>
            <w:tcW w:w="1447" w:type="pct"/>
            <w:gridSpan w:val="3"/>
            <w:noWrap w:val="0"/>
            <w:vAlign w:val="center"/>
          </w:tcPr>
          <w:p w14:paraId="17DA4F20">
            <w:pPr>
              <w:pStyle w:val="58"/>
              <w:bidi w:val="0"/>
              <w:rPr>
                <w:rFonts w:hint="default"/>
                <w:highlight w:val="none"/>
              </w:rPr>
            </w:pPr>
            <w:r>
              <w:rPr>
                <w:rFonts w:hint="default"/>
                <w:highlight w:val="none"/>
              </w:rPr>
              <w:t>--</w:t>
            </w:r>
          </w:p>
        </w:tc>
        <w:tc>
          <w:tcPr>
            <w:tcW w:w="587" w:type="pct"/>
            <w:vMerge w:val="continue"/>
            <w:noWrap w:val="0"/>
            <w:vAlign w:val="center"/>
          </w:tcPr>
          <w:p w14:paraId="3BB1DEDC">
            <w:pPr>
              <w:pStyle w:val="58"/>
              <w:bidi w:val="0"/>
              <w:rPr>
                <w:rFonts w:hint="default"/>
                <w:highlight w:val="none"/>
              </w:rPr>
            </w:pPr>
          </w:p>
        </w:tc>
        <w:tc>
          <w:tcPr>
            <w:tcW w:w="259" w:type="pct"/>
            <w:noWrap w:val="0"/>
            <w:vAlign w:val="center"/>
          </w:tcPr>
          <w:p w14:paraId="6BB11A2D">
            <w:pPr>
              <w:pStyle w:val="58"/>
              <w:bidi w:val="0"/>
              <w:rPr>
                <w:rFonts w:hint="default"/>
                <w:highlight w:val="none"/>
                <w:lang w:val="en-US" w:eastAsia="zh-CN"/>
              </w:rPr>
            </w:pPr>
            <w:r>
              <w:rPr>
                <w:rFonts w:hint="default"/>
                <w:highlight w:val="none"/>
                <w:lang w:val="en-US" w:eastAsia="zh-CN"/>
              </w:rPr>
              <w:t>/</w:t>
            </w:r>
          </w:p>
        </w:tc>
        <w:tc>
          <w:tcPr>
            <w:tcW w:w="314" w:type="pct"/>
            <w:noWrap w:val="0"/>
            <w:vAlign w:val="center"/>
          </w:tcPr>
          <w:p w14:paraId="594A5A29">
            <w:pPr>
              <w:pStyle w:val="58"/>
              <w:bidi w:val="0"/>
              <w:rPr>
                <w:rFonts w:hint="default"/>
                <w:highlight w:val="none"/>
              </w:rPr>
            </w:pPr>
            <w:r>
              <w:rPr>
                <w:rFonts w:hint="default"/>
                <w:highlight w:val="none"/>
              </w:rPr>
              <w:t>/</w:t>
            </w:r>
          </w:p>
        </w:tc>
        <w:tc>
          <w:tcPr>
            <w:tcW w:w="1446" w:type="pct"/>
            <w:gridSpan w:val="3"/>
            <w:noWrap w:val="0"/>
            <w:vAlign w:val="center"/>
          </w:tcPr>
          <w:p w14:paraId="639DB92E">
            <w:pPr>
              <w:pStyle w:val="58"/>
              <w:bidi w:val="0"/>
              <w:rPr>
                <w:rFonts w:hint="default"/>
                <w:highlight w:val="none"/>
              </w:rPr>
            </w:pPr>
            <w:r>
              <w:rPr>
                <w:rFonts w:hint="default"/>
                <w:highlight w:val="none"/>
              </w:rPr>
              <w:t>≤2000（无量纲）</w:t>
            </w:r>
          </w:p>
        </w:tc>
      </w:tr>
      <w:tr w14:paraId="5E8F7B8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17" w:hRule="atLeast"/>
          <w:jc w:val="center"/>
        </w:trPr>
        <w:tc>
          <w:tcPr>
            <w:tcW w:w="169" w:type="pct"/>
            <w:vMerge w:val="restart"/>
            <w:noWrap w:val="0"/>
            <w:vAlign w:val="center"/>
          </w:tcPr>
          <w:p w14:paraId="4BECE8A1">
            <w:pPr>
              <w:pStyle w:val="58"/>
              <w:bidi w:val="0"/>
              <w:rPr>
                <w:rFonts w:hint="default"/>
                <w:highlight w:val="none"/>
              </w:rPr>
            </w:pPr>
            <w:r>
              <w:rPr>
                <w:rFonts w:hint="default"/>
                <w:highlight w:val="none"/>
              </w:rPr>
              <w:t>无组织废气</w:t>
            </w:r>
          </w:p>
        </w:tc>
        <w:tc>
          <w:tcPr>
            <w:tcW w:w="316" w:type="pct"/>
            <w:noWrap w:val="0"/>
            <w:vAlign w:val="center"/>
          </w:tcPr>
          <w:p w14:paraId="26EA3820">
            <w:pPr>
              <w:pStyle w:val="58"/>
              <w:bidi w:val="0"/>
              <w:rPr>
                <w:rFonts w:hint="eastAsia" w:eastAsia="宋体"/>
                <w:highlight w:val="none"/>
                <w:lang w:eastAsia="zh-CN"/>
              </w:rPr>
            </w:pPr>
            <w:r>
              <w:rPr>
                <w:rFonts w:hint="eastAsia"/>
                <w:highlight w:val="none"/>
                <w:lang w:eastAsia="zh-CN"/>
              </w:rPr>
              <w:t>H</w:t>
            </w:r>
            <w:r>
              <w:rPr>
                <w:rFonts w:hint="eastAsia"/>
                <w:highlight w:val="none"/>
                <w:vertAlign w:val="subscript"/>
                <w:lang w:eastAsia="zh-CN"/>
              </w:rPr>
              <w:t>2</w:t>
            </w:r>
            <w:r>
              <w:rPr>
                <w:rFonts w:hint="eastAsia"/>
                <w:highlight w:val="none"/>
                <w:lang w:eastAsia="zh-CN"/>
              </w:rPr>
              <w:t>S</w:t>
            </w:r>
          </w:p>
        </w:tc>
        <w:tc>
          <w:tcPr>
            <w:tcW w:w="459" w:type="pct"/>
            <w:vMerge w:val="restart"/>
            <w:noWrap w:val="0"/>
            <w:vAlign w:val="center"/>
          </w:tcPr>
          <w:p w14:paraId="33BE2097">
            <w:pPr>
              <w:pStyle w:val="58"/>
              <w:bidi w:val="0"/>
              <w:rPr>
                <w:rFonts w:hint="default"/>
                <w:highlight w:val="none"/>
              </w:rPr>
            </w:pPr>
            <w:r>
              <w:rPr>
                <w:rFonts w:hint="default"/>
                <w:highlight w:val="none"/>
              </w:rPr>
              <w:t>/</w:t>
            </w:r>
          </w:p>
        </w:tc>
        <w:tc>
          <w:tcPr>
            <w:tcW w:w="564" w:type="pct"/>
            <w:noWrap w:val="0"/>
            <w:vAlign w:val="center"/>
          </w:tcPr>
          <w:p w14:paraId="4DA65A06">
            <w:pPr>
              <w:pStyle w:val="58"/>
              <w:bidi w:val="0"/>
              <w:rPr>
                <w:rFonts w:hint="default"/>
                <w:highlight w:val="none"/>
              </w:rPr>
            </w:pPr>
            <w:r>
              <w:rPr>
                <w:rFonts w:hint="default"/>
                <w:highlight w:val="none"/>
              </w:rPr>
              <w:t>/</w:t>
            </w:r>
          </w:p>
        </w:tc>
        <w:tc>
          <w:tcPr>
            <w:tcW w:w="437" w:type="pct"/>
            <w:noWrap w:val="0"/>
            <w:vAlign w:val="center"/>
          </w:tcPr>
          <w:p w14:paraId="5D58B901">
            <w:pPr>
              <w:pStyle w:val="58"/>
              <w:bidi w:val="0"/>
              <w:rPr>
                <w:rFonts w:hint="default"/>
                <w:highlight w:val="none"/>
                <w:lang w:val="en-US" w:eastAsia="zh-CN"/>
              </w:rPr>
            </w:pPr>
            <w:r>
              <w:rPr>
                <w:rFonts w:hint="eastAsia"/>
                <w:highlight w:val="none"/>
                <w:lang w:val="en-US" w:eastAsia="zh-CN"/>
              </w:rPr>
              <w:t>0.00008</w:t>
            </w:r>
          </w:p>
        </w:tc>
        <w:tc>
          <w:tcPr>
            <w:tcW w:w="445" w:type="pct"/>
            <w:noWrap w:val="0"/>
            <w:vAlign w:val="center"/>
          </w:tcPr>
          <w:p w14:paraId="7B2B612F">
            <w:pPr>
              <w:pStyle w:val="58"/>
              <w:bidi w:val="0"/>
              <w:rPr>
                <w:rFonts w:hint="default"/>
                <w:highlight w:val="none"/>
                <w:lang w:val="en-US" w:eastAsia="zh-CN"/>
              </w:rPr>
            </w:pPr>
            <w:r>
              <w:rPr>
                <w:rFonts w:hint="eastAsia"/>
                <w:highlight w:val="none"/>
                <w:lang w:val="en-US" w:eastAsia="zh-CN"/>
              </w:rPr>
              <w:t>0.0007</w:t>
            </w:r>
          </w:p>
        </w:tc>
        <w:tc>
          <w:tcPr>
            <w:tcW w:w="587" w:type="pct"/>
            <w:vMerge w:val="restart"/>
            <w:noWrap w:val="0"/>
            <w:vAlign w:val="center"/>
          </w:tcPr>
          <w:p w14:paraId="43182ACD">
            <w:pPr>
              <w:pStyle w:val="58"/>
              <w:bidi w:val="0"/>
              <w:rPr>
                <w:rFonts w:hint="default"/>
                <w:highlight w:val="none"/>
              </w:rPr>
            </w:pPr>
            <w:r>
              <w:rPr>
                <w:rFonts w:hint="default"/>
                <w:highlight w:val="none"/>
              </w:rPr>
              <w:t>加强密闭、加强绿化</w:t>
            </w:r>
          </w:p>
        </w:tc>
        <w:tc>
          <w:tcPr>
            <w:tcW w:w="259" w:type="pct"/>
            <w:noWrap w:val="0"/>
            <w:vAlign w:val="center"/>
          </w:tcPr>
          <w:p w14:paraId="77B86F49">
            <w:pPr>
              <w:pStyle w:val="58"/>
              <w:bidi w:val="0"/>
              <w:rPr>
                <w:rFonts w:hint="default"/>
                <w:highlight w:val="none"/>
                <w:lang w:val="en-US" w:eastAsia="zh-CN"/>
              </w:rPr>
            </w:pPr>
            <w:r>
              <w:rPr>
                <w:rFonts w:hint="default"/>
                <w:highlight w:val="none"/>
                <w:lang w:val="en-US" w:eastAsia="zh-CN"/>
              </w:rPr>
              <w:t>/</w:t>
            </w:r>
          </w:p>
        </w:tc>
        <w:tc>
          <w:tcPr>
            <w:tcW w:w="314" w:type="pct"/>
            <w:noWrap w:val="0"/>
            <w:vAlign w:val="center"/>
          </w:tcPr>
          <w:p w14:paraId="30678D62">
            <w:pPr>
              <w:pStyle w:val="58"/>
              <w:bidi w:val="0"/>
              <w:rPr>
                <w:rFonts w:hint="default"/>
                <w:highlight w:val="none"/>
              </w:rPr>
            </w:pPr>
            <w:r>
              <w:rPr>
                <w:rFonts w:hint="default"/>
                <w:highlight w:val="none"/>
              </w:rPr>
              <w:t>/</w:t>
            </w:r>
          </w:p>
        </w:tc>
        <w:tc>
          <w:tcPr>
            <w:tcW w:w="506" w:type="pct"/>
            <w:noWrap w:val="0"/>
            <w:vAlign w:val="center"/>
          </w:tcPr>
          <w:p w14:paraId="1F1BC362">
            <w:pPr>
              <w:pStyle w:val="58"/>
              <w:bidi w:val="0"/>
              <w:rPr>
                <w:rFonts w:hint="default"/>
                <w:highlight w:val="none"/>
              </w:rPr>
            </w:pPr>
            <w:r>
              <w:rPr>
                <w:rFonts w:hint="default"/>
                <w:highlight w:val="none"/>
              </w:rPr>
              <w:t>/</w:t>
            </w:r>
          </w:p>
        </w:tc>
        <w:tc>
          <w:tcPr>
            <w:tcW w:w="469" w:type="pct"/>
            <w:noWrap w:val="0"/>
            <w:vAlign w:val="center"/>
          </w:tcPr>
          <w:p w14:paraId="6930712F">
            <w:pPr>
              <w:pStyle w:val="58"/>
              <w:bidi w:val="0"/>
              <w:rPr>
                <w:rFonts w:hint="default"/>
                <w:highlight w:val="none"/>
                <w:lang w:val="en-US" w:eastAsia="zh-CN"/>
              </w:rPr>
            </w:pPr>
            <w:r>
              <w:rPr>
                <w:rFonts w:hint="eastAsia"/>
                <w:highlight w:val="none"/>
                <w:lang w:val="en-US" w:eastAsia="zh-CN"/>
              </w:rPr>
              <w:t>0.00008</w:t>
            </w:r>
          </w:p>
        </w:tc>
        <w:tc>
          <w:tcPr>
            <w:tcW w:w="469" w:type="pct"/>
            <w:noWrap w:val="0"/>
            <w:vAlign w:val="center"/>
          </w:tcPr>
          <w:p w14:paraId="7443A9D7">
            <w:pPr>
              <w:pStyle w:val="58"/>
              <w:bidi w:val="0"/>
              <w:rPr>
                <w:rFonts w:hint="default"/>
                <w:highlight w:val="none"/>
                <w:lang w:val="en-US" w:eastAsia="zh-CN"/>
              </w:rPr>
            </w:pPr>
            <w:r>
              <w:rPr>
                <w:rFonts w:hint="eastAsia"/>
                <w:highlight w:val="none"/>
                <w:lang w:val="en-US" w:eastAsia="zh-CN"/>
              </w:rPr>
              <w:t>0.0007</w:t>
            </w:r>
          </w:p>
        </w:tc>
      </w:tr>
      <w:tr w14:paraId="659136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17" w:hRule="atLeast"/>
          <w:jc w:val="center"/>
        </w:trPr>
        <w:tc>
          <w:tcPr>
            <w:tcW w:w="169" w:type="pct"/>
            <w:vMerge w:val="continue"/>
            <w:noWrap w:val="0"/>
            <w:vAlign w:val="center"/>
          </w:tcPr>
          <w:p w14:paraId="6645AFA0">
            <w:pPr>
              <w:pStyle w:val="58"/>
              <w:bidi w:val="0"/>
              <w:rPr>
                <w:rFonts w:hint="default"/>
                <w:highlight w:val="none"/>
              </w:rPr>
            </w:pPr>
          </w:p>
        </w:tc>
        <w:tc>
          <w:tcPr>
            <w:tcW w:w="316" w:type="pct"/>
            <w:noWrap w:val="0"/>
            <w:vAlign w:val="center"/>
          </w:tcPr>
          <w:p w14:paraId="01912836">
            <w:pPr>
              <w:pStyle w:val="58"/>
              <w:bidi w:val="0"/>
              <w:rPr>
                <w:rFonts w:hint="default"/>
                <w:highlight w:val="none"/>
                <w:lang w:eastAsia="zh-CN"/>
              </w:rPr>
            </w:pPr>
            <w:r>
              <w:rPr>
                <w:rFonts w:hint="eastAsia"/>
                <w:highlight w:val="none"/>
                <w:lang w:eastAsia="zh-CN"/>
              </w:rPr>
              <w:t>NH</w:t>
            </w:r>
            <w:r>
              <w:rPr>
                <w:rFonts w:hint="eastAsia"/>
                <w:highlight w:val="none"/>
                <w:vertAlign w:val="subscript"/>
                <w:lang w:eastAsia="zh-CN"/>
              </w:rPr>
              <w:t>3</w:t>
            </w:r>
          </w:p>
        </w:tc>
        <w:tc>
          <w:tcPr>
            <w:tcW w:w="459" w:type="pct"/>
            <w:vMerge w:val="continue"/>
            <w:noWrap w:val="0"/>
            <w:vAlign w:val="center"/>
          </w:tcPr>
          <w:p w14:paraId="6F825C76">
            <w:pPr>
              <w:pStyle w:val="58"/>
              <w:bidi w:val="0"/>
              <w:rPr>
                <w:rFonts w:hint="default"/>
                <w:highlight w:val="none"/>
              </w:rPr>
            </w:pPr>
          </w:p>
        </w:tc>
        <w:tc>
          <w:tcPr>
            <w:tcW w:w="564" w:type="pct"/>
            <w:noWrap w:val="0"/>
            <w:vAlign w:val="center"/>
          </w:tcPr>
          <w:p w14:paraId="0B18ED2E">
            <w:pPr>
              <w:pStyle w:val="58"/>
              <w:bidi w:val="0"/>
              <w:rPr>
                <w:rFonts w:hint="default"/>
                <w:highlight w:val="none"/>
              </w:rPr>
            </w:pPr>
            <w:r>
              <w:rPr>
                <w:rFonts w:hint="default"/>
                <w:highlight w:val="none"/>
              </w:rPr>
              <w:t>/</w:t>
            </w:r>
          </w:p>
        </w:tc>
        <w:tc>
          <w:tcPr>
            <w:tcW w:w="437" w:type="pct"/>
            <w:noWrap w:val="0"/>
            <w:vAlign w:val="center"/>
          </w:tcPr>
          <w:p w14:paraId="260656EE">
            <w:pPr>
              <w:pStyle w:val="58"/>
              <w:bidi w:val="0"/>
              <w:rPr>
                <w:rFonts w:hint="default"/>
                <w:highlight w:val="none"/>
                <w:lang w:val="en-US" w:eastAsia="zh-CN"/>
              </w:rPr>
            </w:pPr>
            <w:r>
              <w:rPr>
                <w:rFonts w:hint="eastAsia"/>
                <w:highlight w:val="none"/>
                <w:lang w:val="en-US" w:eastAsia="zh-CN"/>
              </w:rPr>
              <w:t>0.0044</w:t>
            </w:r>
          </w:p>
        </w:tc>
        <w:tc>
          <w:tcPr>
            <w:tcW w:w="445" w:type="pct"/>
            <w:noWrap w:val="0"/>
            <w:vAlign w:val="center"/>
          </w:tcPr>
          <w:p w14:paraId="0AE3B20A">
            <w:pPr>
              <w:pStyle w:val="58"/>
              <w:bidi w:val="0"/>
              <w:rPr>
                <w:rFonts w:hint="default"/>
                <w:highlight w:val="none"/>
                <w:lang w:val="en-US" w:eastAsia="zh-CN"/>
              </w:rPr>
            </w:pPr>
            <w:r>
              <w:rPr>
                <w:rFonts w:hint="eastAsia"/>
                <w:highlight w:val="none"/>
                <w:lang w:val="en-US" w:eastAsia="zh-CN"/>
              </w:rPr>
              <w:t>0.0385</w:t>
            </w:r>
          </w:p>
        </w:tc>
        <w:tc>
          <w:tcPr>
            <w:tcW w:w="587" w:type="pct"/>
            <w:vMerge w:val="continue"/>
            <w:noWrap w:val="0"/>
            <w:vAlign w:val="center"/>
          </w:tcPr>
          <w:p w14:paraId="615E48FB">
            <w:pPr>
              <w:pStyle w:val="58"/>
              <w:bidi w:val="0"/>
              <w:rPr>
                <w:rFonts w:hint="default"/>
                <w:highlight w:val="none"/>
              </w:rPr>
            </w:pPr>
          </w:p>
        </w:tc>
        <w:tc>
          <w:tcPr>
            <w:tcW w:w="259" w:type="pct"/>
            <w:noWrap w:val="0"/>
            <w:vAlign w:val="center"/>
          </w:tcPr>
          <w:p w14:paraId="38CB039F">
            <w:pPr>
              <w:pStyle w:val="58"/>
              <w:bidi w:val="0"/>
              <w:rPr>
                <w:rFonts w:hint="default"/>
                <w:highlight w:val="none"/>
                <w:lang w:val="en-US" w:eastAsia="zh-CN"/>
              </w:rPr>
            </w:pPr>
            <w:r>
              <w:rPr>
                <w:rFonts w:hint="default"/>
                <w:highlight w:val="none"/>
                <w:lang w:val="en-US" w:eastAsia="zh-CN"/>
              </w:rPr>
              <w:t>/</w:t>
            </w:r>
          </w:p>
        </w:tc>
        <w:tc>
          <w:tcPr>
            <w:tcW w:w="314" w:type="pct"/>
            <w:noWrap w:val="0"/>
            <w:vAlign w:val="center"/>
          </w:tcPr>
          <w:p w14:paraId="03259206">
            <w:pPr>
              <w:pStyle w:val="58"/>
              <w:bidi w:val="0"/>
              <w:rPr>
                <w:rFonts w:hint="default"/>
                <w:highlight w:val="none"/>
              </w:rPr>
            </w:pPr>
            <w:r>
              <w:rPr>
                <w:rFonts w:hint="default"/>
                <w:highlight w:val="none"/>
              </w:rPr>
              <w:t>/</w:t>
            </w:r>
          </w:p>
        </w:tc>
        <w:tc>
          <w:tcPr>
            <w:tcW w:w="506" w:type="pct"/>
            <w:noWrap w:val="0"/>
            <w:vAlign w:val="center"/>
          </w:tcPr>
          <w:p w14:paraId="02477619">
            <w:pPr>
              <w:pStyle w:val="58"/>
              <w:bidi w:val="0"/>
              <w:rPr>
                <w:rFonts w:hint="default"/>
                <w:highlight w:val="none"/>
              </w:rPr>
            </w:pPr>
            <w:r>
              <w:rPr>
                <w:rFonts w:hint="default"/>
                <w:highlight w:val="none"/>
              </w:rPr>
              <w:t>/</w:t>
            </w:r>
          </w:p>
        </w:tc>
        <w:tc>
          <w:tcPr>
            <w:tcW w:w="469" w:type="pct"/>
            <w:noWrap w:val="0"/>
            <w:vAlign w:val="center"/>
          </w:tcPr>
          <w:p w14:paraId="6F864586">
            <w:pPr>
              <w:pStyle w:val="58"/>
              <w:bidi w:val="0"/>
              <w:rPr>
                <w:rFonts w:hint="default"/>
                <w:highlight w:val="none"/>
                <w:lang w:val="en-US" w:eastAsia="zh-CN"/>
              </w:rPr>
            </w:pPr>
            <w:r>
              <w:rPr>
                <w:rFonts w:hint="eastAsia"/>
                <w:highlight w:val="none"/>
                <w:lang w:val="en-US" w:eastAsia="zh-CN"/>
              </w:rPr>
              <w:t>0.0044</w:t>
            </w:r>
          </w:p>
        </w:tc>
        <w:tc>
          <w:tcPr>
            <w:tcW w:w="469" w:type="pct"/>
            <w:noWrap w:val="0"/>
            <w:vAlign w:val="center"/>
          </w:tcPr>
          <w:p w14:paraId="02AB9768">
            <w:pPr>
              <w:pStyle w:val="58"/>
              <w:bidi w:val="0"/>
              <w:rPr>
                <w:rFonts w:hint="default"/>
                <w:highlight w:val="none"/>
                <w:lang w:val="en-US" w:eastAsia="zh-CN"/>
              </w:rPr>
            </w:pPr>
            <w:r>
              <w:rPr>
                <w:rFonts w:hint="eastAsia"/>
                <w:highlight w:val="none"/>
                <w:lang w:val="en-US" w:eastAsia="zh-CN"/>
              </w:rPr>
              <w:t>0.0385</w:t>
            </w:r>
          </w:p>
        </w:tc>
      </w:tr>
      <w:tr w14:paraId="32E028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19" w:hRule="atLeast"/>
          <w:jc w:val="center"/>
        </w:trPr>
        <w:tc>
          <w:tcPr>
            <w:tcW w:w="169" w:type="pct"/>
            <w:vMerge w:val="continue"/>
            <w:noWrap w:val="0"/>
            <w:vAlign w:val="center"/>
          </w:tcPr>
          <w:p w14:paraId="3F1E7D85">
            <w:pPr>
              <w:pStyle w:val="58"/>
              <w:bidi w:val="0"/>
              <w:rPr>
                <w:rFonts w:hint="default"/>
                <w:highlight w:val="none"/>
              </w:rPr>
            </w:pPr>
          </w:p>
        </w:tc>
        <w:tc>
          <w:tcPr>
            <w:tcW w:w="316" w:type="pct"/>
            <w:noWrap w:val="0"/>
            <w:vAlign w:val="center"/>
          </w:tcPr>
          <w:p w14:paraId="51A899DA">
            <w:pPr>
              <w:pStyle w:val="58"/>
              <w:bidi w:val="0"/>
              <w:rPr>
                <w:rFonts w:hint="default"/>
                <w:highlight w:val="none"/>
              </w:rPr>
            </w:pPr>
            <w:r>
              <w:rPr>
                <w:rFonts w:hint="default"/>
                <w:highlight w:val="none"/>
              </w:rPr>
              <w:t>臭气浓度</w:t>
            </w:r>
          </w:p>
        </w:tc>
        <w:tc>
          <w:tcPr>
            <w:tcW w:w="459" w:type="pct"/>
            <w:vMerge w:val="continue"/>
            <w:noWrap w:val="0"/>
            <w:vAlign w:val="center"/>
          </w:tcPr>
          <w:p w14:paraId="7EB1B262">
            <w:pPr>
              <w:pStyle w:val="58"/>
              <w:bidi w:val="0"/>
              <w:rPr>
                <w:rFonts w:hint="default"/>
                <w:highlight w:val="none"/>
              </w:rPr>
            </w:pPr>
          </w:p>
        </w:tc>
        <w:tc>
          <w:tcPr>
            <w:tcW w:w="1447" w:type="pct"/>
            <w:gridSpan w:val="3"/>
            <w:noWrap w:val="0"/>
            <w:vAlign w:val="center"/>
          </w:tcPr>
          <w:p w14:paraId="7ED9BC03">
            <w:pPr>
              <w:pStyle w:val="58"/>
              <w:bidi w:val="0"/>
              <w:rPr>
                <w:rFonts w:hint="default"/>
                <w:highlight w:val="none"/>
              </w:rPr>
            </w:pPr>
            <w:r>
              <w:rPr>
                <w:rFonts w:hint="default"/>
                <w:highlight w:val="none"/>
              </w:rPr>
              <w:t>20（无量纲）</w:t>
            </w:r>
          </w:p>
        </w:tc>
        <w:tc>
          <w:tcPr>
            <w:tcW w:w="587" w:type="pct"/>
            <w:vMerge w:val="continue"/>
            <w:noWrap w:val="0"/>
            <w:vAlign w:val="center"/>
          </w:tcPr>
          <w:p w14:paraId="711738DF">
            <w:pPr>
              <w:pStyle w:val="58"/>
              <w:bidi w:val="0"/>
              <w:rPr>
                <w:rFonts w:hint="default"/>
                <w:highlight w:val="none"/>
              </w:rPr>
            </w:pPr>
          </w:p>
        </w:tc>
        <w:tc>
          <w:tcPr>
            <w:tcW w:w="259" w:type="pct"/>
            <w:noWrap w:val="0"/>
            <w:vAlign w:val="center"/>
          </w:tcPr>
          <w:p w14:paraId="65861DB5">
            <w:pPr>
              <w:pStyle w:val="58"/>
              <w:bidi w:val="0"/>
              <w:rPr>
                <w:rFonts w:hint="default"/>
                <w:highlight w:val="none"/>
                <w:lang w:val="en-US" w:eastAsia="zh-CN"/>
              </w:rPr>
            </w:pPr>
            <w:r>
              <w:rPr>
                <w:rFonts w:hint="default"/>
                <w:highlight w:val="none"/>
                <w:lang w:val="en-US" w:eastAsia="zh-CN"/>
              </w:rPr>
              <w:t>/</w:t>
            </w:r>
          </w:p>
        </w:tc>
        <w:tc>
          <w:tcPr>
            <w:tcW w:w="314" w:type="pct"/>
            <w:noWrap w:val="0"/>
            <w:vAlign w:val="center"/>
          </w:tcPr>
          <w:p w14:paraId="565F08BD">
            <w:pPr>
              <w:pStyle w:val="58"/>
              <w:bidi w:val="0"/>
              <w:rPr>
                <w:rFonts w:hint="default"/>
                <w:highlight w:val="none"/>
              </w:rPr>
            </w:pPr>
            <w:r>
              <w:rPr>
                <w:rFonts w:hint="default"/>
                <w:highlight w:val="none"/>
              </w:rPr>
              <w:t>/</w:t>
            </w:r>
          </w:p>
        </w:tc>
        <w:tc>
          <w:tcPr>
            <w:tcW w:w="1446" w:type="pct"/>
            <w:gridSpan w:val="3"/>
            <w:noWrap w:val="0"/>
            <w:vAlign w:val="center"/>
          </w:tcPr>
          <w:p w14:paraId="37BE9C26">
            <w:pPr>
              <w:pStyle w:val="58"/>
              <w:bidi w:val="0"/>
              <w:rPr>
                <w:rFonts w:hint="default"/>
                <w:highlight w:val="none"/>
              </w:rPr>
            </w:pPr>
            <w:r>
              <w:rPr>
                <w:rFonts w:hint="default"/>
                <w:highlight w:val="none"/>
              </w:rPr>
              <w:t>20（无量纲）</w:t>
            </w:r>
          </w:p>
        </w:tc>
      </w:tr>
      <w:bookmarkEnd w:id="189"/>
      <w:bookmarkEnd w:id="190"/>
      <w:bookmarkEnd w:id="191"/>
      <w:bookmarkEnd w:id="192"/>
      <w:bookmarkEnd w:id="193"/>
      <w:bookmarkEnd w:id="194"/>
      <w:bookmarkEnd w:id="195"/>
    </w:tbl>
    <w:p w14:paraId="038AC3B2">
      <w:pPr>
        <w:spacing w:line="480" w:lineRule="exact"/>
        <w:ind w:firstLine="360" w:firstLineChars="150"/>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bookmarkStart w:id="198" w:name="_Toc499462698"/>
      <w:bookmarkStart w:id="199" w:name="_Toc499189174"/>
      <w:bookmarkStart w:id="200" w:name="_Toc16918"/>
      <w:bookmarkStart w:id="201" w:name="_Toc499351654"/>
      <w:bookmarkStart w:id="202" w:name="_Toc498494559"/>
      <w:bookmarkStart w:id="203" w:name="_Toc498876876"/>
      <w:bookmarkStart w:id="204" w:name="_Toc498880630"/>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（5）大气污染源排放源强及治理措施情况综合统计</w:t>
      </w:r>
      <w:bookmarkEnd w:id="198"/>
      <w:bookmarkEnd w:id="199"/>
      <w:bookmarkEnd w:id="200"/>
      <w:bookmarkEnd w:id="201"/>
      <w:bookmarkEnd w:id="202"/>
      <w:bookmarkEnd w:id="203"/>
      <w:bookmarkEnd w:id="204"/>
    </w:p>
    <w:p w14:paraId="6666FA1D">
      <w:pPr>
        <w:pStyle w:val="20"/>
        <w:numPr>
          <w:ilvl w:val="0"/>
          <w:numId w:val="27"/>
        </w:numPr>
        <w:spacing w:after="0" w:line="440" w:lineRule="exact"/>
        <w:ind w:left="425" w:leftChars="0" w:hanging="425" w:firstLineChars="0"/>
        <w:jc w:val="center"/>
        <w:rPr>
          <w:rFonts w:hint="default" w:ascii="Times New Roman" w:hAnsi="Times New Roman" w:eastAsia="宋体" w:cs="Times New Roman"/>
          <w:b/>
          <w:color w:val="000000"/>
          <w:sz w:val="24"/>
          <w:szCs w:val="24"/>
          <w:highlight w:val="none"/>
          <w:lang w:eastAsia="zh-CN"/>
        </w:rPr>
      </w:pPr>
      <w:bookmarkStart w:id="205" w:name="_Toc390963110"/>
      <w:r>
        <w:rPr>
          <w:rFonts w:hint="default" w:ascii="Times New Roman" w:hAnsi="Times New Roman" w:eastAsia="宋体" w:cs="Times New Roman"/>
          <w:b/>
          <w:color w:val="000000"/>
          <w:sz w:val="24"/>
          <w:szCs w:val="24"/>
          <w:highlight w:val="none"/>
          <w:lang w:eastAsia="zh-CN"/>
        </w:rPr>
        <w:t>本项目废气污染源及其治理措施汇总表</w:t>
      </w:r>
    </w:p>
    <w:tbl>
      <w:tblPr>
        <w:tblStyle w:val="47"/>
        <w:tblW w:w="499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28" w:type="dxa"/>
          <w:bottom w:w="0" w:type="dxa"/>
          <w:right w:w="28" w:type="dxa"/>
        </w:tblCellMar>
      </w:tblPr>
      <w:tblGrid>
        <w:gridCol w:w="683"/>
        <w:gridCol w:w="793"/>
        <w:gridCol w:w="523"/>
        <w:gridCol w:w="492"/>
        <w:gridCol w:w="649"/>
        <w:gridCol w:w="693"/>
        <w:gridCol w:w="1232"/>
        <w:gridCol w:w="830"/>
        <w:gridCol w:w="830"/>
        <w:gridCol w:w="832"/>
        <w:gridCol w:w="982"/>
        <w:gridCol w:w="584"/>
      </w:tblGrid>
      <w:tr w14:paraId="6D319B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255" w:hRule="atLeast"/>
          <w:jc w:val="center"/>
        </w:trPr>
        <w:tc>
          <w:tcPr>
            <w:tcW w:w="379" w:type="pct"/>
            <w:vMerge w:val="restart"/>
            <w:tcBorders>
              <w:tl2br w:val="nil"/>
              <w:tr2bl w:val="nil"/>
            </w:tcBorders>
            <w:noWrap w:val="0"/>
            <w:vAlign w:val="center"/>
          </w:tcPr>
          <w:p w14:paraId="7D74879E">
            <w:pPr>
              <w:pStyle w:val="58"/>
              <w:bidi w:val="0"/>
              <w:rPr>
                <w:rFonts w:hint="default"/>
                <w:highlight w:val="none"/>
              </w:rPr>
            </w:pPr>
            <w:r>
              <w:rPr>
                <w:rFonts w:hint="default"/>
                <w:highlight w:val="none"/>
                <w:lang w:eastAsia="zh-CN"/>
              </w:rPr>
              <w:t>排气筒</w:t>
            </w:r>
            <w:r>
              <w:rPr>
                <w:rFonts w:hint="default"/>
                <w:highlight w:val="none"/>
              </w:rPr>
              <w:t>编号</w:t>
            </w:r>
          </w:p>
        </w:tc>
        <w:tc>
          <w:tcPr>
            <w:tcW w:w="439" w:type="pct"/>
            <w:vMerge w:val="restart"/>
            <w:tcBorders>
              <w:tl2br w:val="nil"/>
              <w:tr2bl w:val="nil"/>
            </w:tcBorders>
            <w:noWrap w:val="0"/>
            <w:vAlign w:val="center"/>
          </w:tcPr>
          <w:p w14:paraId="5D2188B7">
            <w:pPr>
              <w:pStyle w:val="58"/>
              <w:bidi w:val="0"/>
              <w:rPr>
                <w:rFonts w:hint="default"/>
                <w:highlight w:val="none"/>
              </w:rPr>
            </w:pPr>
            <w:r>
              <w:rPr>
                <w:rFonts w:hint="default"/>
                <w:highlight w:val="none"/>
              </w:rPr>
              <w:t>污染产生工序</w:t>
            </w:r>
          </w:p>
        </w:tc>
        <w:tc>
          <w:tcPr>
            <w:tcW w:w="291" w:type="pct"/>
            <w:vMerge w:val="restart"/>
            <w:tcBorders>
              <w:tl2br w:val="nil"/>
              <w:tr2bl w:val="nil"/>
            </w:tcBorders>
            <w:noWrap w:val="0"/>
            <w:vAlign w:val="center"/>
          </w:tcPr>
          <w:p w14:paraId="300D196B">
            <w:pPr>
              <w:pStyle w:val="58"/>
              <w:bidi w:val="0"/>
              <w:rPr>
                <w:rFonts w:hint="default"/>
                <w:highlight w:val="none"/>
              </w:rPr>
            </w:pPr>
            <w:r>
              <w:rPr>
                <w:rFonts w:hint="default"/>
                <w:highlight w:val="none"/>
              </w:rPr>
              <w:t>废气量</w:t>
            </w:r>
          </w:p>
          <w:p w14:paraId="2A6074AA">
            <w:pPr>
              <w:pStyle w:val="58"/>
              <w:bidi w:val="0"/>
              <w:rPr>
                <w:rFonts w:hint="default"/>
                <w:highlight w:val="none"/>
              </w:rPr>
            </w:pPr>
            <w:r>
              <w:rPr>
                <w:rFonts w:hint="eastAsia"/>
                <w:highlight w:val="none"/>
                <w:lang w:eastAsia="zh-CN"/>
              </w:rPr>
              <w:t>m</w:t>
            </w:r>
            <w:r>
              <w:rPr>
                <w:rFonts w:hint="eastAsia"/>
                <w:highlight w:val="none"/>
                <w:vertAlign w:val="superscript"/>
                <w:lang w:eastAsia="zh-CN"/>
              </w:rPr>
              <w:t>3</w:t>
            </w:r>
            <w:r>
              <w:rPr>
                <w:rFonts w:hint="default"/>
                <w:highlight w:val="none"/>
              </w:rPr>
              <w:t>/h</w:t>
            </w:r>
          </w:p>
        </w:tc>
        <w:tc>
          <w:tcPr>
            <w:tcW w:w="274" w:type="pct"/>
            <w:vMerge w:val="restart"/>
            <w:tcBorders>
              <w:tl2br w:val="nil"/>
              <w:tr2bl w:val="nil"/>
            </w:tcBorders>
            <w:noWrap w:val="0"/>
            <w:vAlign w:val="center"/>
          </w:tcPr>
          <w:p w14:paraId="0D035E30">
            <w:pPr>
              <w:pStyle w:val="58"/>
              <w:bidi w:val="0"/>
              <w:rPr>
                <w:rFonts w:hint="default"/>
                <w:highlight w:val="none"/>
              </w:rPr>
            </w:pPr>
            <w:r>
              <w:rPr>
                <w:rFonts w:hint="default"/>
                <w:highlight w:val="none"/>
              </w:rPr>
              <w:t>污染物</w:t>
            </w:r>
          </w:p>
        </w:tc>
        <w:tc>
          <w:tcPr>
            <w:tcW w:w="744" w:type="pct"/>
            <w:gridSpan w:val="2"/>
            <w:tcBorders>
              <w:tl2br w:val="nil"/>
              <w:tr2bl w:val="nil"/>
            </w:tcBorders>
            <w:noWrap w:val="0"/>
            <w:vAlign w:val="center"/>
          </w:tcPr>
          <w:p w14:paraId="2AEC24F5">
            <w:pPr>
              <w:pStyle w:val="58"/>
              <w:bidi w:val="0"/>
              <w:rPr>
                <w:rFonts w:hint="default"/>
                <w:highlight w:val="none"/>
              </w:rPr>
            </w:pPr>
            <w:r>
              <w:rPr>
                <w:rFonts w:hint="default"/>
                <w:highlight w:val="none"/>
              </w:rPr>
              <w:t>产生</w:t>
            </w:r>
            <w:r>
              <w:rPr>
                <w:rFonts w:hint="default"/>
                <w:highlight w:val="none"/>
                <w:lang w:eastAsia="zh-CN"/>
              </w:rPr>
              <w:t>情况</w:t>
            </w:r>
          </w:p>
        </w:tc>
        <w:tc>
          <w:tcPr>
            <w:tcW w:w="679" w:type="pct"/>
            <w:vMerge w:val="restart"/>
            <w:tcBorders>
              <w:tl2br w:val="nil"/>
              <w:tr2bl w:val="nil"/>
            </w:tcBorders>
            <w:noWrap w:val="0"/>
            <w:vAlign w:val="center"/>
          </w:tcPr>
          <w:p w14:paraId="263D192D">
            <w:pPr>
              <w:pStyle w:val="58"/>
              <w:bidi w:val="0"/>
              <w:rPr>
                <w:rFonts w:hint="default"/>
                <w:highlight w:val="none"/>
              </w:rPr>
            </w:pPr>
            <w:r>
              <w:rPr>
                <w:rFonts w:hint="default"/>
                <w:highlight w:val="none"/>
              </w:rPr>
              <w:t>治理措施</w:t>
            </w:r>
          </w:p>
        </w:tc>
        <w:tc>
          <w:tcPr>
            <w:tcW w:w="1378" w:type="pct"/>
            <w:gridSpan w:val="3"/>
            <w:tcBorders>
              <w:tl2br w:val="nil"/>
              <w:tr2bl w:val="nil"/>
            </w:tcBorders>
            <w:noWrap w:val="0"/>
            <w:vAlign w:val="center"/>
          </w:tcPr>
          <w:p w14:paraId="4172CF61">
            <w:pPr>
              <w:pStyle w:val="58"/>
              <w:bidi w:val="0"/>
              <w:rPr>
                <w:rFonts w:hint="default"/>
                <w:highlight w:val="none"/>
              </w:rPr>
            </w:pPr>
            <w:r>
              <w:rPr>
                <w:rFonts w:hint="default"/>
                <w:highlight w:val="none"/>
              </w:rPr>
              <w:t>排放</w:t>
            </w:r>
            <w:r>
              <w:rPr>
                <w:rFonts w:hint="default"/>
                <w:highlight w:val="none"/>
                <w:lang w:eastAsia="zh-CN"/>
              </w:rPr>
              <w:t>情况</w:t>
            </w:r>
          </w:p>
        </w:tc>
        <w:tc>
          <w:tcPr>
            <w:tcW w:w="488" w:type="pct"/>
            <w:vMerge w:val="restart"/>
            <w:tcBorders>
              <w:tl2br w:val="nil"/>
              <w:tr2bl w:val="nil"/>
            </w:tcBorders>
            <w:noWrap w:val="0"/>
            <w:vAlign w:val="center"/>
          </w:tcPr>
          <w:p w14:paraId="34271FD1">
            <w:pPr>
              <w:pStyle w:val="58"/>
              <w:bidi w:val="0"/>
              <w:rPr>
                <w:rFonts w:hint="default"/>
                <w:highlight w:val="none"/>
              </w:rPr>
            </w:pPr>
            <w:r>
              <w:rPr>
                <w:rFonts w:hint="default"/>
                <w:highlight w:val="none"/>
              </w:rPr>
              <w:t>执行标准</w:t>
            </w:r>
          </w:p>
        </w:tc>
        <w:tc>
          <w:tcPr>
            <w:tcW w:w="324" w:type="pct"/>
            <w:vMerge w:val="restart"/>
            <w:tcBorders>
              <w:tl2br w:val="nil"/>
              <w:tr2bl w:val="nil"/>
            </w:tcBorders>
            <w:noWrap w:val="0"/>
            <w:vAlign w:val="center"/>
          </w:tcPr>
          <w:p w14:paraId="2D37D338">
            <w:pPr>
              <w:pStyle w:val="58"/>
              <w:bidi w:val="0"/>
              <w:rPr>
                <w:rFonts w:hint="default"/>
                <w:highlight w:val="none"/>
              </w:rPr>
            </w:pPr>
            <w:r>
              <w:rPr>
                <w:rFonts w:hint="default"/>
                <w:highlight w:val="none"/>
              </w:rPr>
              <w:t>达标</w:t>
            </w:r>
          </w:p>
          <w:p w14:paraId="353244A4">
            <w:pPr>
              <w:pStyle w:val="58"/>
              <w:bidi w:val="0"/>
              <w:rPr>
                <w:rFonts w:hint="default"/>
                <w:highlight w:val="none"/>
              </w:rPr>
            </w:pPr>
            <w:r>
              <w:rPr>
                <w:rFonts w:hint="default"/>
                <w:highlight w:val="none"/>
              </w:rPr>
              <w:t>情况</w:t>
            </w:r>
          </w:p>
        </w:tc>
      </w:tr>
      <w:tr w14:paraId="7F456F8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379" w:type="pct"/>
            <w:vMerge w:val="continue"/>
            <w:tcBorders>
              <w:tl2br w:val="nil"/>
              <w:tr2bl w:val="nil"/>
            </w:tcBorders>
            <w:noWrap w:val="0"/>
            <w:vAlign w:val="center"/>
          </w:tcPr>
          <w:p w14:paraId="18E032B9">
            <w:pPr>
              <w:pStyle w:val="58"/>
              <w:bidi w:val="0"/>
              <w:rPr>
                <w:rFonts w:hint="default"/>
                <w:highlight w:val="none"/>
              </w:rPr>
            </w:pPr>
          </w:p>
        </w:tc>
        <w:tc>
          <w:tcPr>
            <w:tcW w:w="439" w:type="pct"/>
            <w:vMerge w:val="continue"/>
            <w:tcBorders>
              <w:tl2br w:val="nil"/>
              <w:tr2bl w:val="nil"/>
            </w:tcBorders>
            <w:noWrap w:val="0"/>
            <w:vAlign w:val="center"/>
          </w:tcPr>
          <w:p w14:paraId="0BA02EF0">
            <w:pPr>
              <w:pStyle w:val="58"/>
              <w:bidi w:val="0"/>
              <w:rPr>
                <w:rFonts w:hint="default"/>
                <w:highlight w:val="none"/>
              </w:rPr>
            </w:pPr>
          </w:p>
        </w:tc>
        <w:tc>
          <w:tcPr>
            <w:tcW w:w="291" w:type="pct"/>
            <w:vMerge w:val="continue"/>
            <w:tcBorders>
              <w:tl2br w:val="nil"/>
              <w:tr2bl w:val="nil"/>
            </w:tcBorders>
            <w:noWrap w:val="0"/>
            <w:vAlign w:val="center"/>
          </w:tcPr>
          <w:p w14:paraId="246E7470">
            <w:pPr>
              <w:pStyle w:val="58"/>
              <w:bidi w:val="0"/>
              <w:rPr>
                <w:rFonts w:hint="default"/>
                <w:highlight w:val="none"/>
              </w:rPr>
            </w:pPr>
          </w:p>
        </w:tc>
        <w:tc>
          <w:tcPr>
            <w:tcW w:w="274" w:type="pct"/>
            <w:vMerge w:val="continue"/>
            <w:tcBorders>
              <w:tl2br w:val="nil"/>
              <w:tr2bl w:val="nil"/>
            </w:tcBorders>
            <w:noWrap w:val="0"/>
            <w:vAlign w:val="center"/>
          </w:tcPr>
          <w:p w14:paraId="7302C519">
            <w:pPr>
              <w:pStyle w:val="58"/>
              <w:bidi w:val="0"/>
              <w:rPr>
                <w:rFonts w:hint="default"/>
                <w:highlight w:val="none"/>
              </w:rPr>
            </w:pPr>
          </w:p>
        </w:tc>
        <w:tc>
          <w:tcPr>
            <w:tcW w:w="360" w:type="pct"/>
            <w:tcBorders>
              <w:tl2br w:val="nil"/>
              <w:tr2bl w:val="nil"/>
            </w:tcBorders>
            <w:noWrap w:val="0"/>
            <w:vAlign w:val="center"/>
          </w:tcPr>
          <w:p w14:paraId="78491419">
            <w:pPr>
              <w:pStyle w:val="58"/>
              <w:bidi w:val="0"/>
              <w:rPr>
                <w:rFonts w:hint="default"/>
                <w:highlight w:val="none"/>
                <w:lang w:val="en-US" w:eastAsia="zh-CN"/>
              </w:rPr>
            </w:pPr>
            <w:r>
              <w:rPr>
                <w:rFonts w:hint="default"/>
                <w:highlight w:val="none"/>
              </w:rPr>
              <w:t>产生</w:t>
            </w:r>
            <w:r>
              <w:rPr>
                <w:rFonts w:hint="default"/>
                <w:highlight w:val="none"/>
                <w:lang w:eastAsia="zh-CN"/>
              </w:rPr>
              <w:t>速率</w:t>
            </w:r>
            <w:r>
              <w:rPr>
                <w:rFonts w:hint="default"/>
                <w:highlight w:val="none"/>
                <w:lang w:val="en-US" w:eastAsia="zh-CN"/>
              </w:rPr>
              <w:t>kg/h</w:t>
            </w:r>
          </w:p>
        </w:tc>
        <w:tc>
          <w:tcPr>
            <w:tcW w:w="383" w:type="pct"/>
            <w:tcBorders>
              <w:tl2br w:val="nil"/>
              <w:tr2bl w:val="nil"/>
            </w:tcBorders>
            <w:noWrap w:val="0"/>
            <w:vAlign w:val="center"/>
          </w:tcPr>
          <w:p w14:paraId="48999170">
            <w:pPr>
              <w:pStyle w:val="58"/>
              <w:bidi w:val="0"/>
              <w:rPr>
                <w:rFonts w:hint="default"/>
                <w:highlight w:val="none"/>
              </w:rPr>
            </w:pPr>
            <w:r>
              <w:rPr>
                <w:rFonts w:hint="default"/>
                <w:highlight w:val="none"/>
              </w:rPr>
              <w:t>产生</w:t>
            </w:r>
            <w:r>
              <w:rPr>
                <w:rFonts w:hint="default"/>
                <w:highlight w:val="none"/>
                <w:lang w:eastAsia="zh-CN"/>
              </w:rPr>
              <w:t>量</w:t>
            </w:r>
            <w:r>
              <w:rPr>
                <w:rFonts w:hint="default"/>
                <w:highlight w:val="none"/>
              </w:rPr>
              <w:t>t/a</w:t>
            </w:r>
          </w:p>
        </w:tc>
        <w:tc>
          <w:tcPr>
            <w:tcW w:w="679" w:type="pct"/>
            <w:vMerge w:val="continue"/>
            <w:tcBorders>
              <w:tl2br w:val="nil"/>
              <w:tr2bl w:val="nil"/>
            </w:tcBorders>
            <w:noWrap w:val="0"/>
            <w:vAlign w:val="center"/>
          </w:tcPr>
          <w:p w14:paraId="50A6DDB0">
            <w:pPr>
              <w:pStyle w:val="58"/>
              <w:bidi w:val="0"/>
              <w:rPr>
                <w:rFonts w:hint="default"/>
                <w:highlight w:val="none"/>
              </w:rPr>
            </w:pPr>
          </w:p>
        </w:tc>
        <w:tc>
          <w:tcPr>
            <w:tcW w:w="459" w:type="pct"/>
            <w:tcBorders>
              <w:tl2br w:val="nil"/>
              <w:tr2bl w:val="nil"/>
            </w:tcBorders>
            <w:noWrap w:val="0"/>
            <w:vAlign w:val="center"/>
          </w:tcPr>
          <w:p w14:paraId="781BF9FB">
            <w:pPr>
              <w:pStyle w:val="58"/>
              <w:bidi w:val="0"/>
              <w:rPr>
                <w:rFonts w:hint="default"/>
                <w:highlight w:val="none"/>
              </w:rPr>
            </w:pPr>
            <w:r>
              <w:rPr>
                <w:rFonts w:hint="default"/>
                <w:highlight w:val="none"/>
                <w:lang w:val="en-US" w:eastAsia="zh-CN"/>
              </w:rPr>
              <w:t>排放</w:t>
            </w:r>
            <w:r>
              <w:rPr>
                <w:rFonts w:hint="default"/>
                <w:highlight w:val="none"/>
              </w:rPr>
              <w:t>浓度</w:t>
            </w:r>
          </w:p>
          <w:p w14:paraId="52435A3C">
            <w:pPr>
              <w:pStyle w:val="58"/>
              <w:bidi w:val="0"/>
              <w:rPr>
                <w:rFonts w:hint="default"/>
                <w:highlight w:val="none"/>
                <w:lang w:eastAsia="zh-CN"/>
              </w:rPr>
            </w:pPr>
            <w:r>
              <w:rPr>
                <w:rFonts w:hint="default"/>
                <w:highlight w:val="none"/>
              </w:rPr>
              <w:t>mg/</w:t>
            </w:r>
            <w:r>
              <w:rPr>
                <w:rFonts w:hint="eastAsia"/>
                <w:highlight w:val="none"/>
                <w:lang w:eastAsia="zh-CN"/>
              </w:rPr>
              <w:t>m</w:t>
            </w:r>
            <w:r>
              <w:rPr>
                <w:rFonts w:hint="eastAsia"/>
                <w:highlight w:val="none"/>
                <w:vertAlign w:val="superscript"/>
                <w:lang w:eastAsia="zh-CN"/>
              </w:rPr>
              <w:t>3</w:t>
            </w:r>
          </w:p>
        </w:tc>
        <w:tc>
          <w:tcPr>
            <w:tcW w:w="459" w:type="pct"/>
            <w:tcBorders>
              <w:tl2br w:val="nil"/>
              <w:tr2bl w:val="nil"/>
            </w:tcBorders>
            <w:noWrap w:val="0"/>
            <w:vAlign w:val="center"/>
          </w:tcPr>
          <w:p w14:paraId="152260C4">
            <w:pPr>
              <w:pStyle w:val="58"/>
              <w:bidi w:val="0"/>
              <w:rPr>
                <w:rFonts w:hint="default"/>
                <w:highlight w:val="none"/>
                <w:lang w:eastAsia="zh-CN"/>
              </w:rPr>
            </w:pPr>
            <w:r>
              <w:rPr>
                <w:rFonts w:hint="default"/>
                <w:highlight w:val="none"/>
              </w:rPr>
              <w:t>排放</w:t>
            </w:r>
            <w:r>
              <w:rPr>
                <w:rFonts w:hint="default"/>
                <w:highlight w:val="none"/>
                <w:lang w:eastAsia="zh-CN"/>
              </w:rPr>
              <w:t>速率</w:t>
            </w:r>
          </w:p>
          <w:p w14:paraId="6A4E8272">
            <w:pPr>
              <w:pStyle w:val="58"/>
              <w:bidi w:val="0"/>
              <w:rPr>
                <w:rFonts w:hint="default"/>
                <w:highlight w:val="none"/>
                <w:lang w:val="en-US" w:eastAsia="zh-CN"/>
              </w:rPr>
            </w:pPr>
            <w:r>
              <w:rPr>
                <w:rFonts w:hint="default"/>
                <w:highlight w:val="none"/>
                <w:lang w:val="en-US" w:eastAsia="zh-CN"/>
              </w:rPr>
              <w:t>kg/h</w:t>
            </w:r>
          </w:p>
        </w:tc>
        <w:tc>
          <w:tcPr>
            <w:tcW w:w="460" w:type="pct"/>
            <w:tcBorders>
              <w:tl2br w:val="nil"/>
              <w:tr2bl w:val="nil"/>
            </w:tcBorders>
            <w:noWrap w:val="0"/>
            <w:vAlign w:val="center"/>
          </w:tcPr>
          <w:p w14:paraId="319B8D6B">
            <w:pPr>
              <w:pStyle w:val="58"/>
              <w:bidi w:val="0"/>
              <w:rPr>
                <w:rFonts w:hint="default"/>
                <w:highlight w:val="none"/>
              </w:rPr>
            </w:pPr>
            <w:r>
              <w:rPr>
                <w:rFonts w:hint="default"/>
                <w:highlight w:val="none"/>
              </w:rPr>
              <w:t>排放量</w:t>
            </w:r>
          </w:p>
          <w:p w14:paraId="1F94BC93">
            <w:pPr>
              <w:pStyle w:val="58"/>
              <w:bidi w:val="0"/>
              <w:rPr>
                <w:rFonts w:hint="default"/>
                <w:highlight w:val="none"/>
              </w:rPr>
            </w:pPr>
            <w:r>
              <w:rPr>
                <w:rFonts w:hint="default"/>
                <w:highlight w:val="none"/>
              </w:rPr>
              <w:t>t/a</w:t>
            </w:r>
          </w:p>
        </w:tc>
        <w:tc>
          <w:tcPr>
            <w:tcW w:w="488" w:type="pct"/>
            <w:vMerge w:val="continue"/>
            <w:tcBorders>
              <w:tl2br w:val="nil"/>
              <w:tr2bl w:val="nil"/>
            </w:tcBorders>
            <w:noWrap w:val="0"/>
            <w:vAlign w:val="center"/>
          </w:tcPr>
          <w:p w14:paraId="018239C3">
            <w:pPr>
              <w:pStyle w:val="58"/>
              <w:bidi w:val="0"/>
              <w:rPr>
                <w:rFonts w:hint="default"/>
                <w:highlight w:val="none"/>
              </w:rPr>
            </w:pPr>
          </w:p>
        </w:tc>
        <w:tc>
          <w:tcPr>
            <w:tcW w:w="324" w:type="pct"/>
            <w:vMerge w:val="continue"/>
            <w:tcBorders>
              <w:tl2br w:val="nil"/>
              <w:tr2bl w:val="nil"/>
            </w:tcBorders>
            <w:noWrap w:val="0"/>
            <w:vAlign w:val="center"/>
          </w:tcPr>
          <w:p w14:paraId="53999D62">
            <w:pPr>
              <w:pStyle w:val="58"/>
              <w:bidi w:val="0"/>
              <w:rPr>
                <w:rFonts w:hint="default"/>
                <w:highlight w:val="none"/>
              </w:rPr>
            </w:pPr>
          </w:p>
        </w:tc>
      </w:tr>
      <w:tr w14:paraId="052A988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6" w:hRule="atLeast"/>
          <w:jc w:val="center"/>
        </w:trPr>
        <w:tc>
          <w:tcPr>
            <w:tcW w:w="379" w:type="pct"/>
            <w:vMerge w:val="restart"/>
            <w:tcBorders>
              <w:tl2br w:val="nil"/>
              <w:tr2bl w:val="nil"/>
            </w:tcBorders>
            <w:noWrap w:val="0"/>
            <w:vAlign w:val="center"/>
          </w:tcPr>
          <w:p w14:paraId="3EA3AF22">
            <w:pPr>
              <w:pStyle w:val="58"/>
              <w:bidi w:val="0"/>
              <w:rPr>
                <w:rFonts w:hint="default"/>
                <w:highlight w:val="none"/>
                <w:lang w:val="en-US" w:eastAsia="zh-CN"/>
              </w:rPr>
            </w:pPr>
            <w:r>
              <w:rPr>
                <w:rFonts w:hint="default"/>
                <w:highlight w:val="none"/>
                <w:lang w:val="en-US" w:eastAsia="zh-CN"/>
              </w:rPr>
              <w:t>DA001</w:t>
            </w:r>
          </w:p>
        </w:tc>
        <w:tc>
          <w:tcPr>
            <w:tcW w:w="439" w:type="pct"/>
            <w:vMerge w:val="restart"/>
            <w:tcBorders>
              <w:tl2br w:val="nil"/>
              <w:tr2bl w:val="nil"/>
            </w:tcBorders>
            <w:noWrap w:val="0"/>
            <w:vAlign w:val="center"/>
          </w:tcPr>
          <w:p w14:paraId="165F1B1B">
            <w:pPr>
              <w:pStyle w:val="58"/>
              <w:bidi w:val="0"/>
              <w:rPr>
                <w:rFonts w:hint="default"/>
                <w:highlight w:val="none"/>
                <w:lang w:val="en-US" w:eastAsia="zh-CN"/>
              </w:rPr>
            </w:pPr>
            <w:r>
              <w:rPr>
                <w:rFonts w:hint="default"/>
                <w:highlight w:val="none"/>
                <w:lang w:eastAsia="zh-CN"/>
              </w:rPr>
              <w:t>除臭排气筒</w:t>
            </w:r>
          </w:p>
        </w:tc>
        <w:tc>
          <w:tcPr>
            <w:tcW w:w="291" w:type="pct"/>
            <w:vMerge w:val="restart"/>
            <w:tcBorders>
              <w:tl2br w:val="nil"/>
              <w:tr2bl w:val="nil"/>
            </w:tcBorders>
            <w:noWrap w:val="0"/>
            <w:vAlign w:val="center"/>
          </w:tcPr>
          <w:p w14:paraId="5D92CD14">
            <w:pPr>
              <w:pStyle w:val="58"/>
              <w:bidi w:val="0"/>
              <w:rPr>
                <w:rFonts w:hint="default"/>
                <w:highlight w:val="none"/>
                <w:lang w:val="en-US" w:eastAsia="zh-CN"/>
              </w:rPr>
            </w:pPr>
            <w:r>
              <w:rPr>
                <w:rFonts w:hint="default"/>
                <w:highlight w:val="none"/>
                <w:lang w:val="en-US" w:eastAsia="zh-CN"/>
              </w:rPr>
              <w:t>5000</w:t>
            </w:r>
          </w:p>
        </w:tc>
        <w:tc>
          <w:tcPr>
            <w:tcW w:w="274" w:type="pct"/>
            <w:tcBorders>
              <w:tl2br w:val="nil"/>
              <w:tr2bl w:val="nil"/>
            </w:tcBorders>
            <w:noWrap w:val="0"/>
            <w:vAlign w:val="center"/>
          </w:tcPr>
          <w:p w14:paraId="78F359A4">
            <w:pPr>
              <w:pStyle w:val="58"/>
              <w:bidi w:val="0"/>
              <w:rPr>
                <w:rFonts w:hint="eastAsia" w:eastAsia="宋体"/>
                <w:highlight w:val="none"/>
                <w:lang w:val="en-US" w:eastAsia="zh-CN"/>
              </w:rPr>
            </w:pPr>
            <w:r>
              <w:rPr>
                <w:rFonts w:hint="eastAsia"/>
                <w:highlight w:val="none"/>
                <w:lang w:eastAsia="zh-CN"/>
              </w:rPr>
              <w:t>H</w:t>
            </w:r>
            <w:r>
              <w:rPr>
                <w:rFonts w:hint="eastAsia"/>
                <w:highlight w:val="none"/>
                <w:vertAlign w:val="subscript"/>
                <w:lang w:eastAsia="zh-CN"/>
              </w:rPr>
              <w:t>2</w:t>
            </w:r>
            <w:r>
              <w:rPr>
                <w:rFonts w:hint="eastAsia"/>
                <w:highlight w:val="none"/>
                <w:lang w:eastAsia="zh-CN"/>
              </w:rPr>
              <w:t>S</w:t>
            </w:r>
          </w:p>
        </w:tc>
        <w:tc>
          <w:tcPr>
            <w:tcW w:w="360" w:type="pct"/>
            <w:tcBorders>
              <w:tl2br w:val="nil"/>
              <w:tr2bl w:val="nil"/>
            </w:tcBorders>
            <w:noWrap w:val="0"/>
            <w:vAlign w:val="center"/>
          </w:tcPr>
          <w:p w14:paraId="7D76C603">
            <w:pPr>
              <w:pStyle w:val="58"/>
              <w:bidi w:val="0"/>
              <w:rPr>
                <w:rFonts w:hint="default"/>
                <w:highlight w:val="none"/>
                <w:lang w:val="en-US" w:eastAsia="zh-CN"/>
              </w:rPr>
            </w:pPr>
            <w:r>
              <w:rPr>
                <w:rFonts w:hint="eastAsia"/>
                <w:highlight w:val="none"/>
                <w:lang w:eastAsia="zh-CN"/>
              </w:rPr>
              <w:t>0.002</w:t>
            </w:r>
          </w:p>
        </w:tc>
        <w:tc>
          <w:tcPr>
            <w:tcW w:w="383" w:type="pct"/>
            <w:tcBorders>
              <w:tl2br w:val="nil"/>
              <w:tr2bl w:val="nil"/>
            </w:tcBorders>
            <w:noWrap w:val="0"/>
            <w:vAlign w:val="center"/>
          </w:tcPr>
          <w:p w14:paraId="3DEAE831">
            <w:pPr>
              <w:pStyle w:val="58"/>
              <w:bidi w:val="0"/>
              <w:rPr>
                <w:rFonts w:hint="default"/>
                <w:highlight w:val="none"/>
                <w:lang w:val="en-US" w:eastAsia="zh-CN"/>
              </w:rPr>
            </w:pPr>
            <w:r>
              <w:rPr>
                <w:rFonts w:hint="eastAsia"/>
                <w:highlight w:val="none"/>
                <w:lang w:val="en-US" w:eastAsia="zh-CN"/>
              </w:rPr>
              <w:t xml:space="preserve">0.018 </w:t>
            </w:r>
          </w:p>
        </w:tc>
        <w:tc>
          <w:tcPr>
            <w:tcW w:w="679" w:type="pct"/>
            <w:vMerge w:val="restart"/>
            <w:tcBorders>
              <w:tl2br w:val="nil"/>
              <w:tr2bl w:val="nil"/>
            </w:tcBorders>
            <w:noWrap w:val="0"/>
            <w:vAlign w:val="center"/>
          </w:tcPr>
          <w:p w14:paraId="4138AFD4">
            <w:pPr>
              <w:pStyle w:val="58"/>
              <w:bidi w:val="0"/>
              <w:rPr>
                <w:rFonts w:hint="default"/>
                <w:highlight w:val="none"/>
                <w:lang w:val="en-US" w:eastAsia="zh-CN"/>
              </w:rPr>
            </w:pPr>
            <w:r>
              <w:rPr>
                <w:rFonts w:hint="default"/>
                <w:highlight w:val="none"/>
                <w:lang w:val="en-US" w:eastAsia="zh-CN"/>
              </w:rPr>
              <w:t>等离子光电一体机+15m排气筒（DA001）</w:t>
            </w:r>
          </w:p>
        </w:tc>
        <w:tc>
          <w:tcPr>
            <w:tcW w:w="459" w:type="pct"/>
            <w:tcBorders>
              <w:tl2br w:val="nil"/>
              <w:tr2bl w:val="nil"/>
            </w:tcBorders>
            <w:noWrap w:val="0"/>
            <w:vAlign w:val="center"/>
          </w:tcPr>
          <w:p w14:paraId="2E39A790">
            <w:pPr>
              <w:pStyle w:val="58"/>
              <w:bidi w:val="0"/>
              <w:rPr>
                <w:rFonts w:hint="default"/>
                <w:highlight w:val="none"/>
                <w:lang w:val="en-US" w:eastAsia="zh-CN"/>
              </w:rPr>
            </w:pPr>
            <w:r>
              <w:rPr>
                <w:rFonts w:hint="eastAsia"/>
                <w:highlight w:val="none"/>
                <w:lang w:val="en-US" w:eastAsia="zh-CN"/>
              </w:rPr>
              <w:t xml:space="preserve">0.0576 </w:t>
            </w:r>
          </w:p>
        </w:tc>
        <w:tc>
          <w:tcPr>
            <w:tcW w:w="459" w:type="pct"/>
            <w:tcBorders>
              <w:tl2br w:val="nil"/>
              <w:tr2bl w:val="nil"/>
            </w:tcBorders>
            <w:noWrap w:val="0"/>
            <w:vAlign w:val="center"/>
          </w:tcPr>
          <w:p w14:paraId="101825DE">
            <w:pPr>
              <w:pStyle w:val="58"/>
              <w:bidi w:val="0"/>
              <w:rPr>
                <w:rFonts w:hint="default"/>
                <w:highlight w:val="none"/>
                <w:lang w:val="en-US" w:eastAsia="zh-CN"/>
              </w:rPr>
            </w:pPr>
            <w:r>
              <w:rPr>
                <w:rFonts w:hint="eastAsia"/>
                <w:highlight w:val="none"/>
                <w:lang w:val="en-US" w:eastAsia="zh-CN"/>
              </w:rPr>
              <w:t>0.0003</w:t>
            </w:r>
          </w:p>
        </w:tc>
        <w:tc>
          <w:tcPr>
            <w:tcW w:w="460" w:type="pct"/>
            <w:tcBorders>
              <w:tl2br w:val="nil"/>
              <w:tr2bl w:val="nil"/>
            </w:tcBorders>
            <w:noWrap w:val="0"/>
            <w:vAlign w:val="center"/>
          </w:tcPr>
          <w:p w14:paraId="65DF4D69">
            <w:pPr>
              <w:pStyle w:val="58"/>
              <w:bidi w:val="0"/>
              <w:rPr>
                <w:rFonts w:hint="default"/>
                <w:highlight w:val="none"/>
                <w:lang w:val="en-US" w:eastAsia="zh-CN"/>
              </w:rPr>
            </w:pPr>
            <w:r>
              <w:rPr>
                <w:rFonts w:hint="eastAsia"/>
                <w:highlight w:val="none"/>
                <w:lang w:val="en-US" w:eastAsia="zh-CN"/>
              </w:rPr>
              <w:t>0.0025</w:t>
            </w:r>
          </w:p>
        </w:tc>
        <w:tc>
          <w:tcPr>
            <w:tcW w:w="488" w:type="pct"/>
            <w:tcBorders>
              <w:tl2br w:val="nil"/>
              <w:tr2bl w:val="nil"/>
            </w:tcBorders>
            <w:noWrap w:val="0"/>
            <w:vAlign w:val="center"/>
          </w:tcPr>
          <w:p w14:paraId="01240E8E">
            <w:pPr>
              <w:pStyle w:val="58"/>
              <w:bidi w:val="0"/>
              <w:rPr>
                <w:rFonts w:hint="default"/>
                <w:highlight w:val="none"/>
                <w:lang w:val="en-US" w:eastAsia="zh-CN"/>
              </w:rPr>
            </w:pPr>
            <w:r>
              <w:rPr>
                <w:rFonts w:hint="default"/>
                <w:highlight w:val="none"/>
                <w:lang w:val="en-US" w:eastAsia="zh-CN"/>
              </w:rPr>
              <w:t>0.33kg/h</w:t>
            </w:r>
          </w:p>
        </w:tc>
        <w:tc>
          <w:tcPr>
            <w:tcW w:w="324" w:type="pct"/>
            <w:tcBorders>
              <w:tl2br w:val="nil"/>
              <w:tr2bl w:val="nil"/>
            </w:tcBorders>
            <w:noWrap w:val="0"/>
            <w:vAlign w:val="center"/>
          </w:tcPr>
          <w:p w14:paraId="13DA1E8C">
            <w:pPr>
              <w:pStyle w:val="58"/>
              <w:bidi w:val="0"/>
              <w:rPr>
                <w:rFonts w:hint="default"/>
                <w:highlight w:val="none"/>
                <w:lang w:val="en-US" w:eastAsia="zh-CN"/>
              </w:rPr>
            </w:pPr>
            <w:r>
              <w:rPr>
                <w:rFonts w:hint="default"/>
                <w:highlight w:val="none"/>
              </w:rPr>
              <w:t>达标</w:t>
            </w:r>
            <w:r>
              <w:rPr>
                <w:rFonts w:hint="default"/>
                <w:highlight w:val="none"/>
                <w:lang w:eastAsia="zh-CN"/>
              </w:rPr>
              <w:t>排放</w:t>
            </w:r>
          </w:p>
        </w:tc>
      </w:tr>
      <w:tr w14:paraId="3B1A6C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6" w:hRule="atLeast"/>
          <w:jc w:val="center"/>
        </w:trPr>
        <w:tc>
          <w:tcPr>
            <w:tcW w:w="379" w:type="pct"/>
            <w:vMerge w:val="continue"/>
            <w:tcBorders>
              <w:tl2br w:val="nil"/>
              <w:tr2bl w:val="nil"/>
            </w:tcBorders>
            <w:noWrap w:val="0"/>
            <w:vAlign w:val="center"/>
          </w:tcPr>
          <w:p w14:paraId="01A787A5">
            <w:pPr>
              <w:pStyle w:val="58"/>
              <w:bidi w:val="0"/>
              <w:rPr>
                <w:rFonts w:hint="default"/>
                <w:highlight w:val="none"/>
                <w:lang w:val="en-US" w:eastAsia="zh-CN"/>
              </w:rPr>
            </w:pPr>
          </w:p>
        </w:tc>
        <w:tc>
          <w:tcPr>
            <w:tcW w:w="439" w:type="pct"/>
            <w:vMerge w:val="continue"/>
            <w:tcBorders>
              <w:tl2br w:val="nil"/>
              <w:tr2bl w:val="nil"/>
            </w:tcBorders>
            <w:noWrap w:val="0"/>
            <w:vAlign w:val="center"/>
          </w:tcPr>
          <w:p w14:paraId="613BE8C3">
            <w:pPr>
              <w:pStyle w:val="58"/>
              <w:bidi w:val="0"/>
              <w:rPr>
                <w:rFonts w:hint="default"/>
                <w:highlight w:val="none"/>
                <w:lang w:eastAsia="zh-CN"/>
              </w:rPr>
            </w:pPr>
          </w:p>
        </w:tc>
        <w:tc>
          <w:tcPr>
            <w:tcW w:w="291" w:type="pct"/>
            <w:vMerge w:val="continue"/>
            <w:tcBorders>
              <w:tl2br w:val="nil"/>
              <w:tr2bl w:val="nil"/>
            </w:tcBorders>
            <w:noWrap w:val="0"/>
            <w:vAlign w:val="center"/>
          </w:tcPr>
          <w:p w14:paraId="120EB2AF">
            <w:pPr>
              <w:pStyle w:val="58"/>
              <w:bidi w:val="0"/>
              <w:rPr>
                <w:rFonts w:hint="default"/>
                <w:highlight w:val="none"/>
                <w:lang w:val="en-US" w:eastAsia="zh-CN"/>
              </w:rPr>
            </w:pPr>
          </w:p>
        </w:tc>
        <w:tc>
          <w:tcPr>
            <w:tcW w:w="274" w:type="pct"/>
            <w:tcBorders>
              <w:tl2br w:val="nil"/>
              <w:tr2bl w:val="nil"/>
            </w:tcBorders>
            <w:noWrap w:val="0"/>
            <w:vAlign w:val="center"/>
          </w:tcPr>
          <w:p w14:paraId="3B92B793">
            <w:pPr>
              <w:pStyle w:val="58"/>
              <w:bidi w:val="0"/>
              <w:rPr>
                <w:rFonts w:hint="default"/>
                <w:highlight w:val="none"/>
                <w:lang w:val="en-US" w:eastAsia="zh-CN"/>
              </w:rPr>
            </w:pPr>
            <w:r>
              <w:rPr>
                <w:rFonts w:hint="eastAsia"/>
                <w:highlight w:val="none"/>
                <w:lang w:eastAsia="zh-CN"/>
              </w:rPr>
              <w:t>NH</w:t>
            </w:r>
            <w:r>
              <w:rPr>
                <w:rFonts w:hint="eastAsia"/>
                <w:highlight w:val="none"/>
                <w:vertAlign w:val="subscript"/>
                <w:lang w:eastAsia="zh-CN"/>
              </w:rPr>
              <w:t>3</w:t>
            </w:r>
          </w:p>
        </w:tc>
        <w:tc>
          <w:tcPr>
            <w:tcW w:w="360" w:type="pct"/>
            <w:tcBorders>
              <w:tl2br w:val="nil"/>
              <w:tr2bl w:val="nil"/>
            </w:tcBorders>
            <w:noWrap w:val="0"/>
            <w:vAlign w:val="center"/>
          </w:tcPr>
          <w:p w14:paraId="7A5DFB07">
            <w:pPr>
              <w:pStyle w:val="58"/>
              <w:bidi w:val="0"/>
              <w:rPr>
                <w:rFonts w:hint="default"/>
                <w:highlight w:val="none"/>
                <w:lang w:val="en-US" w:eastAsia="zh-CN"/>
              </w:rPr>
            </w:pPr>
            <w:r>
              <w:rPr>
                <w:rFonts w:hint="eastAsia"/>
                <w:highlight w:val="none"/>
                <w:lang w:eastAsia="zh-CN"/>
              </w:rPr>
              <w:t>0.11</w:t>
            </w:r>
          </w:p>
        </w:tc>
        <w:tc>
          <w:tcPr>
            <w:tcW w:w="383" w:type="pct"/>
            <w:tcBorders>
              <w:tl2br w:val="nil"/>
              <w:tr2bl w:val="nil"/>
            </w:tcBorders>
            <w:noWrap w:val="0"/>
            <w:vAlign w:val="center"/>
          </w:tcPr>
          <w:p w14:paraId="271CF03A">
            <w:pPr>
              <w:pStyle w:val="58"/>
              <w:bidi w:val="0"/>
              <w:rPr>
                <w:rFonts w:hint="default"/>
                <w:highlight w:val="none"/>
                <w:lang w:val="en-US" w:eastAsia="zh-CN"/>
              </w:rPr>
            </w:pPr>
            <w:r>
              <w:rPr>
                <w:rFonts w:hint="eastAsia"/>
                <w:highlight w:val="none"/>
                <w:lang w:val="en-US" w:eastAsia="zh-CN"/>
              </w:rPr>
              <w:t>0.964</w:t>
            </w:r>
          </w:p>
        </w:tc>
        <w:tc>
          <w:tcPr>
            <w:tcW w:w="679" w:type="pct"/>
            <w:vMerge w:val="continue"/>
            <w:tcBorders>
              <w:tl2br w:val="nil"/>
              <w:tr2bl w:val="nil"/>
            </w:tcBorders>
            <w:noWrap w:val="0"/>
            <w:vAlign w:val="center"/>
          </w:tcPr>
          <w:p w14:paraId="07EFD7DD">
            <w:pPr>
              <w:pStyle w:val="58"/>
              <w:bidi w:val="0"/>
              <w:rPr>
                <w:rFonts w:hint="default"/>
                <w:highlight w:val="none"/>
                <w:lang w:val="en-US" w:eastAsia="zh-CN"/>
              </w:rPr>
            </w:pPr>
          </w:p>
        </w:tc>
        <w:tc>
          <w:tcPr>
            <w:tcW w:w="459" w:type="pct"/>
            <w:tcBorders>
              <w:tl2br w:val="nil"/>
              <w:tr2bl w:val="nil"/>
            </w:tcBorders>
            <w:noWrap w:val="0"/>
            <w:vAlign w:val="center"/>
          </w:tcPr>
          <w:p w14:paraId="3DFC9FAF">
            <w:pPr>
              <w:pStyle w:val="58"/>
              <w:bidi w:val="0"/>
              <w:rPr>
                <w:rFonts w:hint="default"/>
                <w:highlight w:val="none"/>
                <w:lang w:val="en-US" w:eastAsia="zh-CN"/>
              </w:rPr>
            </w:pPr>
            <w:r>
              <w:rPr>
                <w:rFonts w:hint="eastAsia"/>
                <w:highlight w:val="none"/>
                <w:lang w:val="en-US" w:eastAsia="zh-CN"/>
              </w:rPr>
              <w:t xml:space="preserve">3.1680 </w:t>
            </w:r>
          </w:p>
        </w:tc>
        <w:tc>
          <w:tcPr>
            <w:tcW w:w="459" w:type="pct"/>
            <w:tcBorders>
              <w:tl2br w:val="nil"/>
              <w:tr2bl w:val="nil"/>
            </w:tcBorders>
            <w:noWrap w:val="0"/>
            <w:vAlign w:val="center"/>
          </w:tcPr>
          <w:p w14:paraId="6DD5A184">
            <w:pPr>
              <w:pStyle w:val="58"/>
              <w:bidi w:val="0"/>
              <w:rPr>
                <w:rFonts w:hint="default"/>
                <w:highlight w:val="none"/>
                <w:lang w:val="en-US" w:eastAsia="zh-CN"/>
              </w:rPr>
            </w:pPr>
            <w:r>
              <w:rPr>
                <w:rFonts w:hint="eastAsia"/>
                <w:highlight w:val="none"/>
                <w:lang w:val="en-US" w:eastAsia="zh-CN"/>
              </w:rPr>
              <w:t>0.0158</w:t>
            </w:r>
          </w:p>
        </w:tc>
        <w:tc>
          <w:tcPr>
            <w:tcW w:w="460" w:type="pct"/>
            <w:tcBorders>
              <w:tl2br w:val="nil"/>
              <w:tr2bl w:val="nil"/>
            </w:tcBorders>
            <w:noWrap w:val="0"/>
            <w:vAlign w:val="center"/>
          </w:tcPr>
          <w:p w14:paraId="1E32FC46">
            <w:pPr>
              <w:pStyle w:val="58"/>
              <w:bidi w:val="0"/>
              <w:rPr>
                <w:rFonts w:hint="default"/>
                <w:highlight w:val="none"/>
                <w:lang w:val="en-US" w:eastAsia="zh-CN"/>
              </w:rPr>
            </w:pPr>
            <w:r>
              <w:rPr>
                <w:rFonts w:hint="eastAsia"/>
                <w:highlight w:val="none"/>
                <w:lang w:val="en-US" w:eastAsia="zh-CN"/>
              </w:rPr>
              <w:t xml:space="preserve">0.1388 </w:t>
            </w:r>
          </w:p>
        </w:tc>
        <w:tc>
          <w:tcPr>
            <w:tcW w:w="488" w:type="pct"/>
            <w:tcBorders>
              <w:tl2br w:val="nil"/>
              <w:tr2bl w:val="nil"/>
            </w:tcBorders>
            <w:noWrap w:val="0"/>
            <w:vAlign w:val="center"/>
          </w:tcPr>
          <w:p w14:paraId="5E4DC0B9">
            <w:pPr>
              <w:pStyle w:val="58"/>
              <w:bidi w:val="0"/>
              <w:rPr>
                <w:rFonts w:hint="default"/>
                <w:highlight w:val="none"/>
                <w:lang w:val="en-US" w:eastAsia="zh-CN"/>
              </w:rPr>
            </w:pPr>
            <w:r>
              <w:rPr>
                <w:rFonts w:hint="default"/>
                <w:highlight w:val="none"/>
                <w:lang w:val="en-US" w:eastAsia="zh-CN"/>
              </w:rPr>
              <w:t>4.9kg/h</w:t>
            </w:r>
          </w:p>
        </w:tc>
        <w:tc>
          <w:tcPr>
            <w:tcW w:w="324" w:type="pct"/>
            <w:tcBorders>
              <w:tl2br w:val="nil"/>
              <w:tr2bl w:val="nil"/>
            </w:tcBorders>
            <w:noWrap w:val="0"/>
            <w:vAlign w:val="center"/>
          </w:tcPr>
          <w:p w14:paraId="046AB857">
            <w:pPr>
              <w:pStyle w:val="58"/>
              <w:bidi w:val="0"/>
              <w:rPr>
                <w:rFonts w:hint="default"/>
                <w:highlight w:val="none"/>
              </w:rPr>
            </w:pPr>
            <w:r>
              <w:rPr>
                <w:rFonts w:hint="default"/>
                <w:highlight w:val="none"/>
              </w:rPr>
              <w:t>达标</w:t>
            </w:r>
            <w:r>
              <w:rPr>
                <w:rFonts w:hint="default"/>
                <w:highlight w:val="none"/>
                <w:lang w:eastAsia="zh-CN"/>
              </w:rPr>
              <w:t>排放</w:t>
            </w:r>
          </w:p>
        </w:tc>
      </w:tr>
      <w:tr w14:paraId="0393DB4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6" w:hRule="atLeast"/>
          <w:jc w:val="center"/>
        </w:trPr>
        <w:tc>
          <w:tcPr>
            <w:tcW w:w="379" w:type="pct"/>
            <w:vMerge w:val="continue"/>
            <w:tcBorders>
              <w:tl2br w:val="nil"/>
              <w:tr2bl w:val="nil"/>
            </w:tcBorders>
            <w:noWrap w:val="0"/>
            <w:vAlign w:val="center"/>
          </w:tcPr>
          <w:p w14:paraId="32839ED9">
            <w:pPr>
              <w:pStyle w:val="58"/>
              <w:bidi w:val="0"/>
              <w:rPr>
                <w:rFonts w:hint="default"/>
                <w:highlight w:val="none"/>
                <w:lang w:val="en-US" w:eastAsia="zh-CN"/>
              </w:rPr>
            </w:pPr>
          </w:p>
        </w:tc>
        <w:tc>
          <w:tcPr>
            <w:tcW w:w="439" w:type="pct"/>
            <w:vMerge w:val="continue"/>
            <w:tcBorders>
              <w:tl2br w:val="nil"/>
              <w:tr2bl w:val="nil"/>
            </w:tcBorders>
            <w:noWrap w:val="0"/>
            <w:vAlign w:val="center"/>
          </w:tcPr>
          <w:p w14:paraId="678D8C0A">
            <w:pPr>
              <w:pStyle w:val="58"/>
              <w:bidi w:val="0"/>
              <w:rPr>
                <w:rFonts w:hint="default"/>
                <w:highlight w:val="none"/>
                <w:lang w:eastAsia="zh-CN"/>
              </w:rPr>
            </w:pPr>
          </w:p>
        </w:tc>
        <w:tc>
          <w:tcPr>
            <w:tcW w:w="291" w:type="pct"/>
            <w:vMerge w:val="continue"/>
            <w:tcBorders>
              <w:tl2br w:val="nil"/>
              <w:tr2bl w:val="nil"/>
            </w:tcBorders>
            <w:noWrap w:val="0"/>
            <w:vAlign w:val="center"/>
          </w:tcPr>
          <w:p w14:paraId="593FA133">
            <w:pPr>
              <w:pStyle w:val="58"/>
              <w:bidi w:val="0"/>
              <w:rPr>
                <w:rFonts w:hint="default"/>
                <w:highlight w:val="none"/>
                <w:lang w:val="en-US" w:eastAsia="zh-CN"/>
              </w:rPr>
            </w:pPr>
          </w:p>
        </w:tc>
        <w:tc>
          <w:tcPr>
            <w:tcW w:w="274" w:type="pct"/>
            <w:tcBorders>
              <w:tl2br w:val="nil"/>
              <w:tr2bl w:val="nil"/>
            </w:tcBorders>
            <w:noWrap w:val="0"/>
            <w:vAlign w:val="center"/>
          </w:tcPr>
          <w:p w14:paraId="10DFAC13">
            <w:pPr>
              <w:pStyle w:val="58"/>
              <w:bidi w:val="0"/>
              <w:rPr>
                <w:rFonts w:hint="default"/>
                <w:highlight w:val="none"/>
                <w:lang w:val="en-US" w:eastAsia="zh-CN"/>
              </w:rPr>
            </w:pPr>
            <w:r>
              <w:rPr>
                <w:rFonts w:hint="default"/>
                <w:highlight w:val="none"/>
              </w:rPr>
              <w:t>臭气浓度</w:t>
            </w:r>
          </w:p>
        </w:tc>
        <w:tc>
          <w:tcPr>
            <w:tcW w:w="360" w:type="pct"/>
            <w:tcBorders>
              <w:tl2br w:val="nil"/>
              <w:tr2bl w:val="nil"/>
            </w:tcBorders>
            <w:noWrap w:val="0"/>
            <w:vAlign w:val="center"/>
          </w:tcPr>
          <w:p w14:paraId="33B1AD47">
            <w:pPr>
              <w:pStyle w:val="58"/>
              <w:bidi w:val="0"/>
              <w:rPr>
                <w:rFonts w:hint="default"/>
                <w:highlight w:val="none"/>
                <w:lang w:val="en-US" w:eastAsia="zh-CN"/>
              </w:rPr>
            </w:pPr>
            <w:r>
              <w:rPr>
                <w:rFonts w:hint="default"/>
                <w:highlight w:val="none"/>
                <w:lang w:val="en-US" w:eastAsia="zh-CN"/>
              </w:rPr>
              <w:t>/</w:t>
            </w:r>
          </w:p>
        </w:tc>
        <w:tc>
          <w:tcPr>
            <w:tcW w:w="383" w:type="pct"/>
            <w:tcBorders>
              <w:tl2br w:val="nil"/>
              <w:tr2bl w:val="nil"/>
            </w:tcBorders>
            <w:noWrap w:val="0"/>
            <w:vAlign w:val="center"/>
          </w:tcPr>
          <w:p w14:paraId="2D24C19D">
            <w:pPr>
              <w:pStyle w:val="58"/>
              <w:bidi w:val="0"/>
              <w:rPr>
                <w:rFonts w:hint="default"/>
                <w:highlight w:val="none"/>
                <w:lang w:val="en-US" w:eastAsia="zh-CN"/>
              </w:rPr>
            </w:pPr>
            <w:r>
              <w:rPr>
                <w:rFonts w:hint="default"/>
                <w:highlight w:val="none"/>
                <w:lang w:val="en-US" w:eastAsia="zh-CN"/>
              </w:rPr>
              <w:t>/</w:t>
            </w:r>
          </w:p>
        </w:tc>
        <w:tc>
          <w:tcPr>
            <w:tcW w:w="679" w:type="pct"/>
            <w:vMerge w:val="continue"/>
            <w:tcBorders>
              <w:tl2br w:val="nil"/>
              <w:tr2bl w:val="nil"/>
            </w:tcBorders>
            <w:noWrap w:val="0"/>
            <w:vAlign w:val="center"/>
          </w:tcPr>
          <w:p w14:paraId="4756A67F">
            <w:pPr>
              <w:pStyle w:val="58"/>
              <w:bidi w:val="0"/>
              <w:rPr>
                <w:rFonts w:hint="default"/>
                <w:highlight w:val="none"/>
                <w:lang w:val="en-US" w:eastAsia="zh-CN"/>
              </w:rPr>
            </w:pPr>
          </w:p>
        </w:tc>
        <w:tc>
          <w:tcPr>
            <w:tcW w:w="1378" w:type="pct"/>
            <w:gridSpan w:val="3"/>
            <w:tcBorders>
              <w:tl2br w:val="nil"/>
              <w:tr2bl w:val="nil"/>
            </w:tcBorders>
            <w:noWrap w:val="0"/>
            <w:vAlign w:val="center"/>
          </w:tcPr>
          <w:p w14:paraId="7CA8C17A">
            <w:pPr>
              <w:pStyle w:val="58"/>
              <w:bidi w:val="0"/>
              <w:rPr>
                <w:rFonts w:hint="default"/>
                <w:highlight w:val="none"/>
                <w:lang w:val="en-US" w:eastAsia="zh-CN"/>
              </w:rPr>
            </w:pPr>
            <w:r>
              <w:rPr>
                <w:rFonts w:hint="default"/>
                <w:highlight w:val="none"/>
                <w:lang w:val="en-US" w:eastAsia="zh-CN"/>
              </w:rPr>
              <w:t>≤2000（无量纲）</w:t>
            </w:r>
          </w:p>
        </w:tc>
        <w:tc>
          <w:tcPr>
            <w:tcW w:w="488" w:type="pct"/>
            <w:tcBorders>
              <w:tl2br w:val="nil"/>
              <w:tr2bl w:val="nil"/>
            </w:tcBorders>
            <w:noWrap w:val="0"/>
            <w:vAlign w:val="center"/>
          </w:tcPr>
          <w:p w14:paraId="29471317">
            <w:pPr>
              <w:pStyle w:val="58"/>
              <w:bidi w:val="0"/>
              <w:rPr>
                <w:rFonts w:hint="default"/>
                <w:highlight w:val="none"/>
                <w:lang w:val="en-US" w:eastAsia="zh-CN"/>
              </w:rPr>
            </w:pPr>
            <w:r>
              <w:rPr>
                <w:rFonts w:hint="default"/>
                <w:highlight w:val="none"/>
                <w:lang w:val="en-US" w:eastAsia="zh-CN"/>
              </w:rPr>
              <w:t>2000（无量纲）</w:t>
            </w:r>
          </w:p>
        </w:tc>
        <w:tc>
          <w:tcPr>
            <w:tcW w:w="324" w:type="pct"/>
            <w:tcBorders>
              <w:tl2br w:val="nil"/>
              <w:tr2bl w:val="nil"/>
            </w:tcBorders>
            <w:noWrap w:val="0"/>
            <w:vAlign w:val="center"/>
          </w:tcPr>
          <w:p w14:paraId="7D3488AE">
            <w:pPr>
              <w:pStyle w:val="58"/>
              <w:bidi w:val="0"/>
              <w:rPr>
                <w:rFonts w:hint="default"/>
                <w:highlight w:val="none"/>
              </w:rPr>
            </w:pPr>
            <w:r>
              <w:rPr>
                <w:rFonts w:hint="default"/>
                <w:highlight w:val="none"/>
              </w:rPr>
              <w:t>达标</w:t>
            </w:r>
            <w:r>
              <w:rPr>
                <w:rFonts w:hint="default"/>
                <w:highlight w:val="none"/>
                <w:lang w:eastAsia="zh-CN"/>
              </w:rPr>
              <w:t>排放</w:t>
            </w:r>
          </w:p>
        </w:tc>
      </w:tr>
      <w:tr w14:paraId="442E060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90" w:hRule="atLeast"/>
          <w:jc w:val="center"/>
        </w:trPr>
        <w:tc>
          <w:tcPr>
            <w:tcW w:w="818" w:type="pct"/>
            <w:gridSpan w:val="2"/>
            <w:vMerge w:val="restart"/>
            <w:tcBorders>
              <w:tl2br w:val="nil"/>
              <w:tr2bl w:val="nil"/>
            </w:tcBorders>
            <w:noWrap w:val="0"/>
            <w:vAlign w:val="center"/>
          </w:tcPr>
          <w:p w14:paraId="4AC10BE0">
            <w:pPr>
              <w:pStyle w:val="58"/>
              <w:bidi w:val="0"/>
              <w:rPr>
                <w:rFonts w:hint="default"/>
                <w:highlight w:val="none"/>
                <w:lang w:val="en-US" w:eastAsia="zh-CN"/>
              </w:rPr>
            </w:pPr>
            <w:r>
              <w:rPr>
                <w:rFonts w:hint="default"/>
                <w:highlight w:val="none"/>
                <w:lang w:val="en-US" w:eastAsia="zh-CN"/>
              </w:rPr>
              <w:t>厂界/车间界</w:t>
            </w:r>
          </w:p>
        </w:tc>
        <w:tc>
          <w:tcPr>
            <w:tcW w:w="291" w:type="pct"/>
            <w:tcBorders>
              <w:tl2br w:val="nil"/>
              <w:tr2bl w:val="nil"/>
            </w:tcBorders>
            <w:noWrap w:val="0"/>
            <w:vAlign w:val="center"/>
          </w:tcPr>
          <w:p w14:paraId="232D8717">
            <w:pPr>
              <w:pStyle w:val="58"/>
              <w:bidi w:val="0"/>
              <w:rPr>
                <w:rFonts w:hint="default"/>
                <w:highlight w:val="none"/>
                <w:lang w:val="en-US" w:eastAsia="zh-CN"/>
              </w:rPr>
            </w:pPr>
            <w:r>
              <w:rPr>
                <w:rFonts w:hint="default"/>
                <w:highlight w:val="none"/>
                <w:lang w:val="en-US" w:eastAsia="zh-CN"/>
              </w:rPr>
              <w:t>/</w:t>
            </w:r>
          </w:p>
        </w:tc>
        <w:tc>
          <w:tcPr>
            <w:tcW w:w="274" w:type="pct"/>
            <w:tcBorders>
              <w:tl2br w:val="nil"/>
              <w:tr2bl w:val="nil"/>
            </w:tcBorders>
            <w:noWrap w:val="0"/>
            <w:vAlign w:val="center"/>
          </w:tcPr>
          <w:p w14:paraId="19B21550">
            <w:pPr>
              <w:pStyle w:val="58"/>
              <w:bidi w:val="0"/>
              <w:rPr>
                <w:rFonts w:hint="eastAsia" w:eastAsia="宋体"/>
                <w:highlight w:val="none"/>
                <w:lang w:val="en-US" w:eastAsia="zh-CN"/>
              </w:rPr>
            </w:pPr>
            <w:r>
              <w:rPr>
                <w:rFonts w:hint="eastAsia"/>
                <w:highlight w:val="none"/>
                <w:lang w:eastAsia="zh-CN"/>
              </w:rPr>
              <w:t>H</w:t>
            </w:r>
            <w:r>
              <w:rPr>
                <w:rFonts w:hint="eastAsia"/>
                <w:highlight w:val="none"/>
                <w:vertAlign w:val="subscript"/>
                <w:lang w:eastAsia="zh-CN"/>
              </w:rPr>
              <w:t>2</w:t>
            </w:r>
            <w:r>
              <w:rPr>
                <w:rFonts w:hint="eastAsia"/>
                <w:highlight w:val="none"/>
                <w:lang w:eastAsia="zh-CN"/>
              </w:rPr>
              <w:t>S</w:t>
            </w:r>
          </w:p>
        </w:tc>
        <w:tc>
          <w:tcPr>
            <w:tcW w:w="360" w:type="pct"/>
            <w:tcBorders>
              <w:tl2br w:val="nil"/>
              <w:tr2bl w:val="nil"/>
            </w:tcBorders>
            <w:noWrap w:val="0"/>
            <w:vAlign w:val="center"/>
          </w:tcPr>
          <w:p w14:paraId="737A057D">
            <w:pPr>
              <w:pStyle w:val="58"/>
              <w:bidi w:val="0"/>
              <w:rPr>
                <w:rFonts w:hint="default"/>
                <w:highlight w:val="none"/>
                <w:lang w:val="en-US" w:eastAsia="zh-CN"/>
              </w:rPr>
            </w:pPr>
            <w:r>
              <w:rPr>
                <w:rFonts w:hint="default"/>
                <w:highlight w:val="none"/>
                <w:lang w:val="en-US" w:eastAsia="zh-CN"/>
              </w:rPr>
              <w:t>/</w:t>
            </w:r>
          </w:p>
        </w:tc>
        <w:tc>
          <w:tcPr>
            <w:tcW w:w="383" w:type="pct"/>
            <w:tcBorders>
              <w:tl2br w:val="nil"/>
              <w:tr2bl w:val="nil"/>
            </w:tcBorders>
            <w:noWrap w:val="0"/>
            <w:vAlign w:val="center"/>
          </w:tcPr>
          <w:p w14:paraId="4B723105">
            <w:pPr>
              <w:pStyle w:val="58"/>
              <w:bidi w:val="0"/>
              <w:rPr>
                <w:rFonts w:hint="default"/>
                <w:highlight w:val="none"/>
                <w:lang w:val="en-US" w:eastAsia="zh-CN"/>
              </w:rPr>
            </w:pPr>
            <w:r>
              <w:rPr>
                <w:rFonts w:hint="eastAsia"/>
                <w:highlight w:val="none"/>
                <w:lang w:val="en-US" w:eastAsia="zh-CN"/>
              </w:rPr>
              <w:t>0.0007</w:t>
            </w:r>
          </w:p>
        </w:tc>
        <w:tc>
          <w:tcPr>
            <w:tcW w:w="679" w:type="pct"/>
            <w:vMerge w:val="restart"/>
            <w:tcBorders>
              <w:tl2br w:val="nil"/>
              <w:tr2bl w:val="nil"/>
            </w:tcBorders>
            <w:noWrap w:val="0"/>
            <w:vAlign w:val="center"/>
          </w:tcPr>
          <w:p w14:paraId="7A204C7C">
            <w:pPr>
              <w:pStyle w:val="58"/>
              <w:bidi w:val="0"/>
              <w:rPr>
                <w:rFonts w:hint="default"/>
                <w:highlight w:val="none"/>
                <w:lang w:val="en-US" w:eastAsia="zh-CN"/>
              </w:rPr>
            </w:pPr>
            <w:r>
              <w:rPr>
                <w:rFonts w:hint="default"/>
                <w:highlight w:val="none"/>
              </w:rPr>
              <w:t>加强密闭、加强绿化</w:t>
            </w:r>
          </w:p>
        </w:tc>
        <w:tc>
          <w:tcPr>
            <w:tcW w:w="459" w:type="pct"/>
            <w:tcBorders>
              <w:tl2br w:val="nil"/>
              <w:tr2bl w:val="nil"/>
            </w:tcBorders>
            <w:noWrap w:val="0"/>
            <w:vAlign w:val="center"/>
          </w:tcPr>
          <w:p w14:paraId="554C05BF">
            <w:pPr>
              <w:pStyle w:val="58"/>
              <w:bidi w:val="0"/>
              <w:rPr>
                <w:rFonts w:hint="default"/>
                <w:highlight w:val="none"/>
                <w:lang w:val="en-US" w:eastAsia="zh-CN"/>
              </w:rPr>
            </w:pPr>
            <w:r>
              <w:rPr>
                <w:rFonts w:hint="default"/>
                <w:highlight w:val="none"/>
              </w:rPr>
              <w:t>/</w:t>
            </w:r>
          </w:p>
        </w:tc>
        <w:tc>
          <w:tcPr>
            <w:tcW w:w="459" w:type="pct"/>
            <w:tcBorders>
              <w:tl2br w:val="nil"/>
              <w:tr2bl w:val="nil"/>
            </w:tcBorders>
            <w:noWrap w:val="0"/>
            <w:vAlign w:val="center"/>
          </w:tcPr>
          <w:p w14:paraId="7DBCF97E">
            <w:pPr>
              <w:pStyle w:val="58"/>
              <w:bidi w:val="0"/>
              <w:rPr>
                <w:rFonts w:hint="default"/>
                <w:highlight w:val="none"/>
                <w:lang w:val="en-US" w:eastAsia="zh-CN"/>
              </w:rPr>
            </w:pPr>
            <w:r>
              <w:rPr>
                <w:rFonts w:hint="eastAsia"/>
                <w:highlight w:val="none"/>
                <w:lang w:val="en-US" w:eastAsia="zh-CN"/>
              </w:rPr>
              <w:t>0.00008</w:t>
            </w:r>
          </w:p>
        </w:tc>
        <w:tc>
          <w:tcPr>
            <w:tcW w:w="460" w:type="pct"/>
            <w:tcBorders>
              <w:tl2br w:val="nil"/>
              <w:tr2bl w:val="nil"/>
            </w:tcBorders>
            <w:noWrap w:val="0"/>
            <w:vAlign w:val="center"/>
          </w:tcPr>
          <w:p w14:paraId="781F2387">
            <w:pPr>
              <w:pStyle w:val="58"/>
              <w:bidi w:val="0"/>
              <w:rPr>
                <w:rFonts w:hint="default"/>
                <w:highlight w:val="none"/>
                <w:lang w:val="en-US" w:eastAsia="zh-CN"/>
              </w:rPr>
            </w:pPr>
            <w:r>
              <w:rPr>
                <w:rFonts w:hint="eastAsia"/>
                <w:highlight w:val="none"/>
                <w:lang w:val="en-US" w:eastAsia="zh-CN"/>
              </w:rPr>
              <w:t>0.0007</w:t>
            </w:r>
          </w:p>
        </w:tc>
        <w:tc>
          <w:tcPr>
            <w:tcW w:w="488" w:type="pct"/>
            <w:tcBorders>
              <w:tl2br w:val="nil"/>
              <w:tr2bl w:val="nil"/>
            </w:tcBorders>
            <w:noWrap w:val="0"/>
            <w:vAlign w:val="center"/>
          </w:tcPr>
          <w:p w14:paraId="7EF70E5F">
            <w:pPr>
              <w:pStyle w:val="58"/>
              <w:bidi w:val="0"/>
              <w:rPr>
                <w:rFonts w:hint="default"/>
                <w:highlight w:val="none"/>
                <w:lang w:val="en-US" w:eastAsia="zh-CN"/>
              </w:rPr>
            </w:pPr>
            <w:r>
              <w:rPr>
                <w:rFonts w:hint="default"/>
                <w:highlight w:val="none"/>
                <w:lang w:val="en-US" w:eastAsia="zh-CN"/>
              </w:rPr>
              <w:t>0.06</w:t>
            </w:r>
            <w:r>
              <w:rPr>
                <w:rFonts w:hint="default"/>
                <w:highlight w:val="none"/>
              </w:rPr>
              <w:t>mg/</w:t>
            </w:r>
            <w:r>
              <w:rPr>
                <w:rFonts w:hint="eastAsia"/>
                <w:highlight w:val="none"/>
                <w:lang w:eastAsia="zh-CN"/>
              </w:rPr>
              <w:t>m</w:t>
            </w:r>
            <w:r>
              <w:rPr>
                <w:rFonts w:hint="eastAsia"/>
                <w:highlight w:val="none"/>
                <w:vertAlign w:val="superscript"/>
                <w:lang w:eastAsia="zh-CN"/>
              </w:rPr>
              <w:t>3</w:t>
            </w:r>
          </w:p>
        </w:tc>
        <w:tc>
          <w:tcPr>
            <w:tcW w:w="324" w:type="pct"/>
            <w:tcBorders>
              <w:tl2br w:val="nil"/>
              <w:tr2bl w:val="nil"/>
            </w:tcBorders>
            <w:noWrap w:val="0"/>
            <w:vAlign w:val="center"/>
          </w:tcPr>
          <w:p w14:paraId="6586F6ED">
            <w:pPr>
              <w:pStyle w:val="58"/>
              <w:bidi w:val="0"/>
              <w:rPr>
                <w:rFonts w:hint="default"/>
                <w:highlight w:val="none"/>
                <w:lang w:eastAsia="zh-CN"/>
              </w:rPr>
            </w:pPr>
            <w:r>
              <w:rPr>
                <w:rFonts w:hint="default"/>
                <w:highlight w:val="none"/>
              </w:rPr>
              <w:t>达标</w:t>
            </w:r>
            <w:r>
              <w:rPr>
                <w:rFonts w:hint="default"/>
                <w:highlight w:val="none"/>
                <w:lang w:eastAsia="zh-CN"/>
              </w:rPr>
              <w:t>排放</w:t>
            </w:r>
          </w:p>
        </w:tc>
      </w:tr>
      <w:tr w14:paraId="08F5FA8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818" w:type="pct"/>
            <w:gridSpan w:val="2"/>
            <w:vMerge w:val="continue"/>
            <w:tcBorders>
              <w:tl2br w:val="nil"/>
              <w:tr2bl w:val="nil"/>
            </w:tcBorders>
            <w:noWrap w:val="0"/>
            <w:vAlign w:val="center"/>
          </w:tcPr>
          <w:p w14:paraId="31DD0686">
            <w:pPr>
              <w:pStyle w:val="58"/>
              <w:bidi w:val="0"/>
              <w:rPr>
                <w:rFonts w:hint="default"/>
                <w:highlight w:val="none"/>
                <w:lang w:val="en-US" w:eastAsia="zh-CN"/>
              </w:rPr>
            </w:pPr>
          </w:p>
        </w:tc>
        <w:tc>
          <w:tcPr>
            <w:tcW w:w="291" w:type="pct"/>
            <w:tcBorders>
              <w:tl2br w:val="nil"/>
              <w:tr2bl w:val="nil"/>
            </w:tcBorders>
            <w:noWrap w:val="0"/>
            <w:vAlign w:val="center"/>
          </w:tcPr>
          <w:p w14:paraId="3D018A90">
            <w:pPr>
              <w:pStyle w:val="58"/>
              <w:bidi w:val="0"/>
              <w:rPr>
                <w:rFonts w:hint="default"/>
                <w:highlight w:val="none"/>
                <w:lang w:val="en-US" w:eastAsia="zh-CN"/>
              </w:rPr>
            </w:pPr>
            <w:r>
              <w:rPr>
                <w:rFonts w:hint="default"/>
                <w:highlight w:val="none"/>
                <w:lang w:val="en-US" w:eastAsia="zh-CN"/>
              </w:rPr>
              <w:t>/</w:t>
            </w:r>
          </w:p>
        </w:tc>
        <w:tc>
          <w:tcPr>
            <w:tcW w:w="274" w:type="pct"/>
            <w:tcBorders>
              <w:tl2br w:val="nil"/>
              <w:tr2bl w:val="nil"/>
            </w:tcBorders>
            <w:noWrap w:val="0"/>
            <w:vAlign w:val="center"/>
          </w:tcPr>
          <w:p w14:paraId="2D4BA9FA">
            <w:pPr>
              <w:pStyle w:val="58"/>
              <w:bidi w:val="0"/>
              <w:rPr>
                <w:rFonts w:hint="default"/>
                <w:highlight w:val="none"/>
                <w:lang w:val="en-US" w:eastAsia="zh-CN"/>
              </w:rPr>
            </w:pPr>
            <w:r>
              <w:rPr>
                <w:rFonts w:hint="eastAsia"/>
                <w:highlight w:val="none"/>
                <w:lang w:eastAsia="zh-CN"/>
              </w:rPr>
              <w:t>NH</w:t>
            </w:r>
            <w:r>
              <w:rPr>
                <w:rFonts w:hint="eastAsia"/>
                <w:highlight w:val="none"/>
                <w:vertAlign w:val="subscript"/>
                <w:lang w:eastAsia="zh-CN"/>
              </w:rPr>
              <w:t>3</w:t>
            </w:r>
          </w:p>
        </w:tc>
        <w:tc>
          <w:tcPr>
            <w:tcW w:w="360" w:type="pct"/>
            <w:tcBorders>
              <w:tl2br w:val="nil"/>
              <w:tr2bl w:val="nil"/>
            </w:tcBorders>
            <w:noWrap w:val="0"/>
            <w:vAlign w:val="center"/>
          </w:tcPr>
          <w:p w14:paraId="05786F63">
            <w:pPr>
              <w:pStyle w:val="58"/>
              <w:bidi w:val="0"/>
              <w:rPr>
                <w:rFonts w:hint="default"/>
                <w:highlight w:val="none"/>
                <w:lang w:val="en-US" w:eastAsia="zh-CN"/>
              </w:rPr>
            </w:pPr>
            <w:r>
              <w:rPr>
                <w:rFonts w:hint="default"/>
                <w:highlight w:val="none"/>
                <w:lang w:val="en-US" w:eastAsia="zh-CN"/>
              </w:rPr>
              <w:t>/</w:t>
            </w:r>
          </w:p>
        </w:tc>
        <w:tc>
          <w:tcPr>
            <w:tcW w:w="383" w:type="pct"/>
            <w:tcBorders>
              <w:tl2br w:val="nil"/>
              <w:tr2bl w:val="nil"/>
            </w:tcBorders>
            <w:noWrap w:val="0"/>
            <w:vAlign w:val="center"/>
          </w:tcPr>
          <w:p w14:paraId="72585D05">
            <w:pPr>
              <w:pStyle w:val="58"/>
              <w:bidi w:val="0"/>
              <w:rPr>
                <w:rFonts w:hint="default"/>
                <w:highlight w:val="none"/>
                <w:lang w:val="en-US" w:eastAsia="zh-CN"/>
              </w:rPr>
            </w:pPr>
            <w:r>
              <w:rPr>
                <w:rFonts w:hint="eastAsia"/>
                <w:highlight w:val="none"/>
                <w:lang w:val="en-US" w:eastAsia="zh-CN"/>
              </w:rPr>
              <w:t>0.0385</w:t>
            </w:r>
          </w:p>
        </w:tc>
        <w:tc>
          <w:tcPr>
            <w:tcW w:w="679" w:type="pct"/>
            <w:vMerge w:val="continue"/>
            <w:tcBorders>
              <w:tl2br w:val="nil"/>
              <w:tr2bl w:val="nil"/>
            </w:tcBorders>
            <w:noWrap w:val="0"/>
            <w:vAlign w:val="center"/>
          </w:tcPr>
          <w:p w14:paraId="470A42A4">
            <w:pPr>
              <w:pStyle w:val="58"/>
              <w:bidi w:val="0"/>
              <w:rPr>
                <w:rFonts w:hint="default"/>
                <w:highlight w:val="none"/>
                <w:lang w:val="en-US" w:eastAsia="zh-CN"/>
              </w:rPr>
            </w:pPr>
          </w:p>
        </w:tc>
        <w:tc>
          <w:tcPr>
            <w:tcW w:w="459" w:type="pct"/>
            <w:tcBorders>
              <w:tl2br w:val="nil"/>
              <w:tr2bl w:val="nil"/>
            </w:tcBorders>
            <w:noWrap w:val="0"/>
            <w:vAlign w:val="center"/>
          </w:tcPr>
          <w:p w14:paraId="4F769F3B">
            <w:pPr>
              <w:pStyle w:val="58"/>
              <w:bidi w:val="0"/>
              <w:rPr>
                <w:rFonts w:hint="default"/>
                <w:highlight w:val="none"/>
                <w:lang w:val="en-US" w:eastAsia="zh-CN"/>
              </w:rPr>
            </w:pPr>
            <w:r>
              <w:rPr>
                <w:rFonts w:hint="default"/>
                <w:highlight w:val="none"/>
              </w:rPr>
              <w:t>/</w:t>
            </w:r>
          </w:p>
        </w:tc>
        <w:tc>
          <w:tcPr>
            <w:tcW w:w="459" w:type="pct"/>
            <w:tcBorders>
              <w:tl2br w:val="nil"/>
              <w:tr2bl w:val="nil"/>
            </w:tcBorders>
            <w:noWrap w:val="0"/>
            <w:vAlign w:val="center"/>
          </w:tcPr>
          <w:p w14:paraId="48373C18">
            <w:pPr>
              <w:pStyle w:val="58"/>
              <w:bidi w:val="0"/>
              <w:rPr>
                <w:rFonts w:hint="default"/>
                <w:highlight w:val="none"/>
                <w:lang w:val="en-US" w:eastAsia="zh-CN"/>
              </w:rPr>
            </w:pPr>
            <w:r>
              <w:rPr>
                <w:rFonts w:hint="eastAsia"/>
                <w:highlight w:val="none"/>
                <w:lang w:val="en-US" w:eastAsia="zh-CN"/>
              </w:rPr>
              <w:t>0.0044</w:t>
            </w:r>
          </w:p>
        </w:tc>
        <w:tc>
          <w:tcPr>
            <w:tcW w:w="460" w:type="pct"/>
            <w:tcBorders>
              <w:tl2br w:val="nil"/>
              <w:tr2bl w:val="nil"/>
            </w:tcBorders>
            <w:noWrap w:val="0"/>
            <w:vAlign w:val="center"/>
          </w:tcPr>
          <w:p w14:paraId="17CA8472">
            <w:pPr>
              <w:pStyle w:val="58"/>
              <w:bidi w:val="0"/>
              <w:rPr>
                <w:rFonts w:hint="default"/>
                <w:highlight w:val="none"/>
                <w:lang w:val="en-US" w:eastAsia="zh-CN"/>
              </w:rPr>
            </w:pPr>
            <w:r>
              <w:rPr>
                <w:rFonts w:hint="eastAsia"/>
                <w:highlight w:val="none"/>
                <w:lang w:val="en-US" w:eastAsia="zh-CN"/>
              </w:rPr>
              <w:t>0.0385</w:t>
            </w:r>
          </w:p>
        </w:tc>
        <w:tc>
          <w:tcPr>
            <w:tcW w:w="488" w:type="pct"/>
            <w:tcBorders>
              <w:tl2br w:val="nil"/>
              <w:tr2bl w:val="nil"/>
            </w:tcBorders>
            <w:noWrap w:val="0"/>
            <w:vAlign w:val="center"/>
          </w:tcPr>
          <w:p w14:paraId="79C3342F">
            <w:pPr>
              <w:pStyle w:val="58"/>
              <w:bidi w:val="0"/>
              <w:rPr>
                <w:rFonts w:hint="default"/>
                <w:highlight w:val="none"/>
                <w:lang w:val="en-US" w:eastAsia="zh-CN"/>
              </w:rPr>
            </w:pPr>
            <w:r>
              <w:rPr>
                <w:rFonts w:hint="default"/>
                <w:highlight w:val="none"/>
                <w:lang w:val="en-US" w:eastAsia="zh-CN"/>
              </w:rPr>
              <w:t>1.</w:t>
            </w:r>
            <w:r>
              <w:rPr>
                <w:rFonts w:hint="eastAsia"/>
                <w:highlight w:val="none"/>
                <w:lang w:val="en-US" w:eastAsia="zh-CN"/>
              </w:rPr>
              <w:t>5</w:t>
            </w:r>
            <w:r>
              <w:rPr>
                <w:rFonts w:hint="default"/>
                <w:highlight w:val="none"/>
              </w:rPr>
              <w:t>mg/</w:t>
            </w:r>
            <w:r>
              <w:rPr>
                <w:rFonts w:hint="eastAsia"/>
                <w:highlight w:val="none"/>
                <w:lang w:eastAsia="zh-CN"/>
              </w:rPr>
              <w:t>m</w:t>
            </w:r>
            <w:r>
              <w:rPr>
                <w:rFonts w:hint="eastAsia"/>
                <w:highlight w:val="none"/>
                <w:vertAlign w:val="superscript"/>
                <w:lang w:eastAsia="zh-CN"/>
              </w:rPr>
              <w:t>3</w:t>
            </w:r>
          </w:p>
        </w:tc>
        <w:tc>
          <w:tcPr>
            <w:tcW w:w="324" w:type="pct"/>
            <w:tcBorders>
              <w:tl2br w:val="nil"/>
              <w:tr2bl w:val="nil"/>
            </w:tcBorders>
            <w:noWrap w:val="0"/>
            <w:vAlign w:val="center"/>
          </w:tcPr>
          <w:p w14:paraId="5CCC6F02">
            <w:pPr>
              <w:pStyle w:val="58"/>
              <w:bidi w:val="0"/>
              <w:rPr>
                <w:rFonts w:hint="default"/>
                <w:highlight w:val="none"/>
                <w:lang w:val="en-US" w:eastAsia="zh-CN"/>
              </w:rPr>
            </w:pPr>
            <w:r>
              <w:rPr>
                <w:rFonts w:hint="default"/>
                <w:highlight w:val="none"/>
              </w:rPr>
              <w:t>达标</w:t>
            </w:r>
            <w:r>
              <w:rPr>
                <w:rFonts w:hint="default"/>
                <w:highlight w:val="none"/>
                <w:lang w:eastAsia="zh-CN"/>
              </w:rPr>
              <w:t>排放</w:t>
            </w:r>
          </w:p>
        </w:tc>
      </w:tr>
      <w:tr w14:paraId="4E9B38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818" w:type="pct"/>
            <w:gridSpan w:val="2"/>
            <w:vMerge w:val="continue"/>
            <w:tcBorders>
              <w:tl2br w:val="nil"/>
              <w:tr2bl w:val="nil"/>
            </w:tcBorders>
            <w:noWrap w:val="0"/>
            <w:vAlign w:val="center"/>
          </w:tcPr>
          <w:p w14:paraId="7C9EEC6D">
            <w:pPr>
              <w:pStyle w:val="58"/>
              <w:bidi w:val="0"/>
              <w:rPr>
                <w:rFonts w:hint="default"/>
                <w:highlight w:val="none"/>
                <w:lang w:val="en-US" w:eastAsia="zh-CN"/>
              </w:rPr>
            </w:pPr>
          </w:p>
        </w:tc>
        <w:tc>
          <w:tcPr>
            <w:tcW w:w="291" w:type="pct"/>
            <w:tcBorders>
              <w:tl2br w:val="nil"/>
              <w:tr2bl w:val="nil"/>
            </w:tcBorders>
            <w:noWrap w:val="0"/>
            <w:vAlign w:val="center"/>
          </w:tcPr>
          <w:p w14:paraId="1DD4CC07">
            <w:pPr>
              <w:pStyle w:val="58"/>
              <w:bidi w:val="0"/>
              <w:rPr>
                <w:rFonts w:hint="default"/>
                <w:highlight w:val="none"/>
                <w:lang w:val="en-US" w:eastAsia="zh-CN"/>
              </w:rPr>
            </w:pPr>
            <w:r>
              <w:rPr>
                <w:rFonts w:hint="default"/>
                <w:highlight w:val="none"/>
                <w:lang w:val="en-US" w:eastAsia="zh-CN"/>
              </w:rPr>
              <w:t>/</w:t>
            </w:r>
          </w:p>
        </w:tc>
        <w:tc>
          <w:tcPr>
            <w:tcW w:w="274" w:type="pct"/>
            <w:tcBorders>
              <w:tl2br w:val="nil"/>
              <w:tr2bl w:val="nil"/>
            </w:tcBorders>
            <w:noWrap w:val="0"/>
            <w:vAlign w:val="center"/>
          </w:tcPr>
          <w:p w14:paraId="771DEF5F">
            <w:pPr>
              <w:pStyle w:val="58"/>
              <w:bidi w:val="0"/>
              <w:rPr>
                <w:rFonts w:hint="default"/>
                <w:highlight w:val="none"/>
                <w:lang w:val="en-US" w:eastAsia="zh-CN"/>
              </w:rPr>
            </w:pPr>
            <w:r>
              <w:rPr>
                <w:rFonts w:hint="default"/>
                <w:highlight w:val="none"/>
              </w:rPr>
              <w:t>臭气浓度</w:t>
            </w:r>
          </w:p>
        </w:tc>
        <w:tc>
          <w:tcPr>
            <w:tcW w:w="360" w:type="pct"/>
            <w:tcBorders>
              <w:tl2br w:val="nil"/>
              <w:tr2bl w:val="nil"/>
            </w:tcBorders>
            <w:noWrap w:val="0"/>
            <w:vAlign w:val="center"/>
          </w:tcPr>
          <w:p w14:paraId="6A7F9D97">
            <w:pPr>
              <w:pStyle w:val="58"/>
              <w:bidi w:val="0"/>
              <w:rPr>
                <w:rFonts w:hint="default"/>
                <w:highlight w:val="none"/>
                <w:lang w:val="en-US" w:eastAsia="zh-CN"/>
              </w:rPr>
            </w:pPr>
            <w:r>
              <w:rPr>
                <w:rFonts w:hint="default"/>
                <w:highlight w:val="none"/>
                <w:lang w:val="en-US" w:eastAsia="zh-CN"/>
              </w:rPr>
              <w:t>/</w:t>
            </w:r>
          </w:p>
        </w:tc>
        <w:tc>
          <w:tcPr>
            <w:tcW w:w="383" w:type="pct"/>
            <w:tcBorders>
              <w:tl2br w:val="nil"/>
              <w:tr2bl w:val="nil"/>
            </w:tcBorders>
            <w:noWrap w:val="0"/>
            <w:vAlign w:val="center"/>
          </w:tcPr>
          <w:p w14:paraId="634BB29E">
            <w:pPr>
              <w:pStyle w:val="58"/>
              <w:bidi w:val="0"/>
              <w:rPr>
                <w:rFonts w:hint="default"/>
                <w:highlight w:val="none"/>
                <w:lang w:val="en-US" w:eastAsia="zh-CN"/>
              </w:rPr>
            </w:pPr>
            <w:r>
              <w:rPr>
                <w:rFonts w:hint="default"/>
                <w:highlight w:val="none"/>
                <w:lang w:val="en-US" w:eastAsia="zh-CN"/>
              </w:rPr>
              <w:t>/</w:t>
            </w:r>
          </w:p>
        </w:tc>
        <w:tc>
          <w:tcPr>
            <w:tcW w:w="679" w:type="pct"/>
            <w:vMerge w:val="continue"/>
            <w:tcBorders>
              <w:tl2br w:val="nil"/>
              <w:tr2bl w:val="nil"/>
            </w:tcBorders>
            <w:noWrap w:val="0"/>
            <w:vAlign w:val="center"/>
          </w:tcPr>
          <w:p w14:paraId="174B2FBF">
            <w:pPr>
              <w:pStyle w:val="58"/>
              <w:bidi w:val="0"/>
              <w:rPr>
                <w:rFonts w:hint="default"/>
                <w:highlight w:val="none"/>
                <w:lang w:val="en-US" w:eastAsia="zh-CN"/>
              </w:rPr>
            </w:pPr>
          </w:p>
        </w:tc>
        <w:tc>
          <w:tcPr>
            <w:tcW w:w="1378" w:type="pct"/>
            <w:gridSpan w:val="3"/>
            <w:tcBorders>
              <w:tl2br w:val="nil"/>
              <w:tr2bl w:val="nil"/>
            </w:tcBorders>
            <w:noWrap w:val="0"/>
            <w:vAlign w:val="center"/>
          </w:tcPr>
          <w:p w14:paraId="08AAADEC">
            <w:pPr>
              <w:pStyle w:val="58"/>
              <w:bidi w:val="0"/>
              <w:rPr>
                <w:rFonts w:hint="default"/>
                <w:highlight w:val="none"/>
                <w:lang w:val="en-US" w:eastAsia="zh-CN"/>
              </w:rPr>
            </w:pPr>
            <w:r>
              <w:rPr>
                <w:rFonts w:hint="default"/>
                <w:highlight w:val="none"/>
              </w:rPr>
              <w:t>20（无量纲）</w:t>
            </w:r>
          </w:p>
        </w:tc>
        <w:tc>
          <w:tcPr>
            <w:tcW w:w="488" w:type="pct"/>
            <w:tcBorders>
              <w:tl2br w:val="nil"/>
              <w:tr2bl w:val="nil"/>
            </w:tcBorders>
            <w:noWrap w:val="0"/>
            <w:vAlign w:val="center"/>
          </w:tcPr>
          <w:p w14:paraId="2245CE7D">
            <w:pPr>
              <w:pStyle w:val="58"/>
              <w:bidi w:val="0"/>
              <w:rPr>
                <w:rFonts w:hint="default"/>
                <w:highlight w:val="none"/>
                <w:lang w:val="en-US" w:eastAsia="zh-CN"/>
              </w:rPr>
            </w:pPr>
            <w:r>
              <w:rPr>
                <w:rFonts w:hint="default"/>
                <w:highlight w:val="none"/>
              </w:rPr>
              <w:t>20（无量纲）</w:t>
            </w:r>
          </w:p>
        </w:tc>
        <w:tc>
          <w:tcPr>
            <w:tcW w:w="324" w:type="pct"/>
            <w:tcBorders>
              <w:tl2br w:val="nil"/>
              <w:tr2bl w:val="nil"/>
            </w:tcBorders>
            <w:noWrap w:val="0"/>
            <w:vAlign w:val="center"/>
          </w:tcPr>
          <w:p w14:paraId="139BA13C">
            <w:pPr>
              <w:pStyle w:val="58"/>
              <w:bidi w:val="0"/>
              <w:rPr>
                <w:rFonts w:hint="default"/>
                <w:highlight w:val="none"/>
              </w:rPr>
            </w:pPr>
            <w:r>
              <w:rPr>
                <w:rFonts w:hint="default"/>
                <w:highlight w:val="none"/>
              </w:rPr>
              <w:t>达标</w:t>
            </w:r>
            <w:r>
              <w:rPr>
                <w:rFonts w:hint="default"/>
                <w:highlight w:val="none"/>
                <w:lang w:eastAsia="zh-CN"/>
              </w:rPr>
              <w:t>排放</w:t>
            </w:r>
          </w:p>
        </w:tc>
      </w:tr>
    </w:tbl>
    <w:p w14:paraId="1F091353">
      <w:pPr>
        <w:pStyle w:val="6"/>
        <w:pageBreakBefore w:val="0"/>
        <w:widowControl w:val="0"/>
        <w:kinsoku/>
        <w:wordWrap/>
        <w:overflowPunct/>
        <w:topLinePunct w:val="0"/>
        <w:autoSpaceDE/>
        <w:autoSpaceDN/>
        <w:bidi w:val="0"/>
        <w:adjustRightInd/>
        <w:snapToGrid/>
        <w:spacing w:before="0" w:beforeLines="0" w:after="0" w:afterLines="0"/>
        <w:textAlignment w:val="auto"/>
        <w:rPr>
          <w:rFonts w:hint="default" w:ascii="Times New Roman" w:hAnsi="Times New Roman" w:eastAsia="宋体" w:cs="Times New Roman"/>
          <w:color w:val="000000" w:themeColor="text1"/>
          <w:highlight w:val="none"/>
          <w:lang w:val="zh-CN"/>
          <w14:textFill>
            <w14:solidFill>
              <w14:schemeClr w14:val="tx1"/>
            </w14:solidFill>
          </w14:textFill>
        </w:rPr>
      </w:pPr>
      <w:bookmarkStart w:id="206" w:name="_Toc498880632"/>
      <w:bookmarkStart w:id="207" w:name="_Toc390963111"/>
      <w:r>
        <w:rPr>
          <w:rFonts w:hint="default" w:ascii="Times New Roman" w:hAnsi="Times New Roman" w:eastAsia="宋体" w:cs="Times New Roman"/>
          <w:color w:val="000000" w:themeColor="text1"/>
          <w:highlight w:val="none"/>
          <w:lang w:val="zh-CN"/>
          <w14:textFill>
            <w14:solidFill>
              <w14:schemeClr w14:val="tx1"/>
            </w14:solidFill>
          </w14:textFill>
        </w:rPr>
        <w:t>3.</w:t>
      </w:r>
      <w:r>
        <w:rPr>
          <w:rFonts w:hint="default" w:ascii="Times New Roman" w:hAnsi="Times New Roman" w:eastAsia="宋体" w:cs="Times New Roman"/>
          <w:color w:val="000000" w:themeColor="text1"/>
          <w:highlight w:val="none"/>
          <w:lang w:val="en-US" w:eastAsia="zh-CN"/>
          <w14:textFill>
            <w14:solidFill>
              <w14:schemeClr w14:val="tx1"/>
            </w14:solidFill>
          </w14:textFill>
        </w:rPr>
        <w:t>3.2</w:t>
      </w:r>
      <w:r>
        <w:rPr>
          <w:rFonts w:hint="default" w:ascii="Times New Roman" w:hAnsi="Times New Roman" w:eastAsia="宋体" w:cs="Times New Roman"/>
          <w:color w:val="000000" w:themeColor="text1"/>
          <w:highlight w:val="none"/>
          <w:lang w:val="zh-CN"/>
          <w14:textFill>
            <w14:solidFill>
              <w14:schemeClr w14:val="tx1"/>
            </w14:solidFill>
          </w14:textFill>
        </w:rPr>
        <w:t>废水</w:t>
      </w:r>
      <w:bookmarkEnd w:id="206"/>
      <w:bookmarkEnd w:id="207"/>
    </w:p>
    <w:p w14:paraId="4CD0CC6B">
      <w:pPr>
        <w:pageBreakBefore w:val="0"/>
        <w:widowControl w:val="0"/>
        <w:kinsoku/>
        <w:wordWrap/>
        <w:overflowPunct/>
        <w:topLinePunct w:val="0"/>
        <w:bidi w:val="0"/>
        <w:spacing w:line="46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bookmarkStart w:id="208" w:name="_Toc498880631"/>
      <w:bookmarkStart w:id="209" w:name="_Toc498880633"/>
      <w:bookmarkStart w:id="210" w:name="_Toc390963112"/>
      <w:r>
        <w:rPr>
          <w:rFonts w:hint="default" w:ascii="Times New Roman" w:hAnsi="Times New Roman" w:eastAsia="宋体" w:cs="Times New Roman"/>
          <w:color w:val="auto"/>
          <w:kern w:val="2"/>
          <w:sz w:val="24"/>
          <w:szCs w:val="24"/>
          <w:highlight w:val="none"/>
          <w:lang w:val="en-US" w:eastAsia="zh-CN" w:bidi="ar-SA"/>
        </w:rPr>
        <w:t>本项目为污水集中处理项目，本项目扩建完成后，污水处理量由现有规模50</w:t>
      </w:r>
      <w:r>
        <w:rPr>
          <w:rFonts w:hint="eastAsia" w:cs="Times New Roman"/>
          <w:color w:val="auto"/>
          <w:kern w:val="2"/>
          <w:sz w:val="24"/>
          <w:szCs w:val="24"/>
          <w:highlight w:val="none"/>
          <w:lang w:val="en-US" w:eastAsia="zh-CN" w:bidi="ar-SA"/>
        </w:rPr>
        <w:t>m</w:t>
      </w:r>
      <w:r>
        <w:rPr>
          <w:rFonts w:hint="eastAsia" w:cs="Times New Roman"/>
          <w:color w:val="auto"/>
          <w:kern w:val="2"/>
          <w:sz w:val="24"/>
          <w:szCs w:val="24"/>
          <w:highlight w:val="none"/>
          <w:vertAlign w:val="superscript"/>
          <w:lang w:val="en-US" w:eastAsia="zh-CN" w:bidi="ar-SA"/>
        </w:rPr>
        <w:t>3</w:t>
      </w:r>
      <w:r>
        <w:rPr>
          <w:rFonts w:hint="default" w:ascii="Times New Roman" w:hAnsi="Times New Roman" w:eastAsia="宋体" w:cs="Times New Roman"/>
          <w:color w:val="auto"/>
          <w:kern w:val="2"/>
          <w:sz w:val="24"/>
          <w:szCs w:val="24"/>
          <w:highlight w:val="none"/>
          <w:lang w:val="en-US" w:eastAsia="zh-CN" w:bidi="ar-SA"/>
        </w:rPr>
        <w:t>/d增加至250</w:t>
      </w:r>
      <w:r>
        <w:rPr>
          <w:rFonts w:hint="eastAsia" w:cs="Times New Roman"/>
          <w:color w:val="auto"/>
          <w:kern w:val="2"/>
          <w:sz w:val="24"/>
          <w:szCs w:val="24"/>
          <w:highlight w:val="none"/>
          <w:lang w:val="en-US" w:eastAsia="zh-CN" w:bidi="ar-SA"/>
        </w:rPr>
        <w:t>m</w:t>
      </w:r>
      <w:r>
        <w:rPr>
          <w:rFonts w:hint="eastAsia" w:cs="Times New Roman"/>
          <w:color w:val="auto"/>
          <w:kern w:val="2"/>
          <w:sz w:val="24"/>
          <w:szCs w:val="24"/>
          <w:highlight w:val="none"/>
          <w:vertAlign w:val="superscript"/>
          <w:lang w:val="en-US" w:eastAsia="zh-CN" w:bidi="ar-SA"/>
        </w:rPr>
        <w:t>3</w:t>
      </w:r>
      <w:r>
        <w:rPr>
          <w:rFonts w:hint="default" w:ascii="Times New Roman" w:hAnsi="Times New Roman" w:eastAsia="宋体" w:cs="Times New Roman"/>
          <w:color w:val="auto"/>
          <w:kern w:val="2"/>
          <w:sz w:val="24"/>
          <w:szCs w:val="24"/>
          <w:highlight w:val="none"/>
          <w:lang w:val="en-US" w:eastAsia="zh-CN" w:bidi="ar-SA"/>
        </w:rPr>
        <w:t>/d。本项目在现有工程南侧新建一套污水处理系统，采用“格栅+调节池+</w:t>
      </w:r>
      <w:r>
        <w:rPr>
          <w:rFonts w:hint="eastAsia" w:cs="Times New Roman"/>
          <w:color w:val="auto"/>
          <w:kern w:val="2"/>
          <w:sz w:val="24"/>
          <w:szCs w:val="24"/>
          <w:highlight w:val="none"/>
          <w:lang w:val="en-US" w:eastAsia="zh-CN" w:bidi="ar-SA"/>
        </w:rPr>
        <w:t>A</w:t>
      </w:r>
      <w:r>
        <w:rPr>
          <w:rFonts w:hint="eastAsia" w:cs="Times New Roman"/>
          <w:color w:val="auto"/>
          <w:kern w:val="2"/>
          <w:sz w:val="24"/>
          <w:szCs w:val="24"/>
          <w:highlight w:val="none"/>
          <w:vertAlign w:val="superscript"/>
          <w:lang w:val="en-US" w:eastAsia="zh-CN" w:bidi="ar-SA"/>
        </w:rPr>
        <w:t>2</w:t>
      </w:r>
      <w:r>
        <w:rPr>
          <w:rFonts w:hint="eastAsia" w:cs="Times New Roman"/>
          <w:color w:val="auto"/>
          <w:kern w:val="2"/>
          <w:sz w:val="24"/>
          <w:szCs w:val="24"/>
          <w:highlight w:val="none"/>
          <w:lang w:val="en-US" w:eastAsia="zh-CN" w:bidi="ar-SA"/>
        </w:rPr>
        <w:t>O</w:t>
      </w:r>
      <w:r>
        <w:rPr>
          <w:rFonts w:hint="default" w:ascii="Times New Roman" w:hAnsi="Times New Roman" w:eastAsia="宋体" w:cs="Times New Roman"/>
          <w:color w:val="auto"/>
          <w:kern w:val="2"/>
          <w:sz w:val="24"/>
          <w:szCs w:val="24"/>
          <w:highlight w:val="none"/>
          <w:lang w:val="en-US" w:eastAsia="zh-CN" w:bidi="ar-SA"/>
        </w:rPr>
        <w:t>一体化处理设备+混凝沉淀池+</w:t>
      </w:r>
      <w:r>
        <w:rPr>
          <w:rFonts w:hint="eastAsia" w:cs="Times New Roman"/>
          <w:color w:val="auto"/>
          <w:kern w:val="2"/>
          <w:sz w:val="24"/>
          <w:szCs w:val="24"/>
          <w:highlight w:val="none"/>
          <w:vertAlign w:val="baseline"/>
          <w:lang w:val="en-US" w:eastAsia="zh-CN" w:bidi="ar-SA"/>
        </w:rPr>
        <w:t>砂滤</w:t>
      </w:r>
      <w:r>
        <w:rPr>
          <w:rFonts w:hint="default" w:ascii="Times New Roman" w:hAnsi="Times New Roman" w:eastAsia="宋体" w:cs="Times New Roman"/>
          <w:color w:val="auto"/>
          <w:kern w:val="2"/>
          <w:sz w:val="24"/>
          <w:szCs w:val="24"/>
          <w:highlight w:val="none"/>
          <w:lang w:val="en-US" w:eastAsia="zh-CN" w:bidi="ar-SA"/>
        </w:rPr>
        <w:t>+</w:t>
      </w:r>
      <w:r>
        <w:rPr>
          <w:rFonts w:hint="eastAsia" w:cs="Times New Roman"/>
          <w:color w:val="auto"/>
          <w:kern w:val="2"/>
          <w:sz w:val="24"/>
          <w:szCs w:val="24"/>
          <w:highlight w:val="none"/>
          <w:lang w:val="en-US" w:eastAsia="zh-CN" w:bidi="ar-SA"/>
        </w:rPr>
        <w:t>次氯酸钠消毒</w:t>
      </w:r>
      <w:r>
        <w:rPr>
          <w:rFonts w:hint="default" w:ascii="Times New Roman" w:hAnsi="Times New Roman" w:eastAsia="宋体" w:cs="Times New Roman"/>
          <w:color w:val="auto"/>
          <w:kern w:val="2"/>
          <w:sz w:val="24"/>
          <w:szCs w:val="24"/>
          <w:highlight w:val="none"/>
          <w:lang w:val="en-US" w:eastAsia="zh-CN" w:bidi="ar-SA"/>
        </w:rPr>
        <w:t>”的处理工艺进行处理，处理后水质满足《城镇污水处理厂污染物排放标准》（GB18918-2002）中表1一级A标准，同时满足</w:t>
      </w:r>
      <w:r>
        <w:rPr>
          <w:rFonts w:hint="default"/>
          <w:highlight w:val="none"/>
          <w:lang w:val="en-US" w:eastAsia="zh-CN"/>
        </w:rPr>
        <w:t>《城市污水再生利用  工业用水水质》（GB/T19923-2024）、《城市污水再生利用 城市杂用水水质》（GB/T18920-2020）、《城市污水再生利用 绿地灌溉水质》（GB/T25499-2010）标准限值。</w:t>
      </w:r>
      <w:r>
        <w:rPr>
          <w:rFonts w:hint="default" w:ascii="Times New Roman" w:hAnsi="Times New Roman" w:eastAsia="宋体" w:cs="Times New Roman"/>
          <w:color w:val="auto"/>
          <w:kern w:val="2"/>
          <w:sz w:val="24"/>
          <w:szCs w:val="24"/>
          <w:highlight w:val="none"/>
          <w:lang w:val="en-US" w:eastAsia="zh-CN" w:bidi="ar-SA"/>
        </w:rPr>
        <w:t>首先作为中水回用厂区生产用水，剩余污水回用于园区绿化、道路喷洒及园区企业生产用水。</w:t>
      </w:r>
    </w:p>
    <w:p w14:paraId="76C01400">
      <w:pPr>
        <w:pageBreakBefore w:val="0"/>
        <w:widowControl w:val="0"/>
        <w:kinsoku/>
        <w:wordWrap/>
        <w:overflowPunct/>
        <w:topLinePunct w:val="0"/>
        <w:bidi w:val="0"/>
        <w:spacing w:line="460" w:lineRule="exact"/>
        <w:ind w:firstLine="480" w:firstLineChars="200"/>
        <w:textAlignment w:val="auto"/>
        <w:rPr>
          <w:rFonts w:hint="default" w:ascii="Times New Roman" w:hAnsi="Times New Roman" w:eastAsia="宋体" w:cs="Times New Roman"/>
          <w:spacing w:val="-2"/>
          <w:sz w:val="24"/>
          <w:szCs w:val="24"/>
          <w:highlight w:val="none"/>
        </w:rPr>
      </w:pPr>
      <w:r>
        <w:rPr>
          <w:rFonts w:hint="default" w:ascii="Times New Roman" w:hAnsi="Times New Roman" w:eastAsia="宋体" w:cs="Times New Roman"/>
          <w:color w:val="auto"/>
          <w:kern w:val="2"/>
          <w:sz w:val="24"/>
          <w:szCs w:val="24"/>
          <w:highlight w:val="none"/>
          <w:lang w:val="en-US" w:eastAsia="zh-CN" w:bidi="ar-SA"/>
        </w:rPr>
        <w:t>本项目产生的废水主要为</w:t>
      </w:r>
      <w:r>
        <w:rPr>
          <w:rFonts w:hint="eastAsia" w:cs="Times New Roman"/>
          <w:color w:val="auto"/>
          <w:kern w:val="2"/>
          <w:sz w:val="24"/>
          <w:szCs w:val="24"/>
          <w:highlight w:val="none"/>
          <w:lang w:val="en-US" w:eastAsia="zh-CN" w:bidi="ar-SA"/>
        </w:rPr>
        <w:t>生活污水、</w:t>
      </w:r>
      <w:r>
        <w:rPr>
          <w:rFonts w:hint="default" w:ascii="Times New Roman" w:hAnsi="Times New Roman" w:eastAsia="宋体" w:cs="Times New Roman"/>
          <w:color w:val="auto"/>
          <w:kern w:val="2"/>
          <w:sz w:val="24"/>
          <w:szCs w:val="24"/>
          <w:highlight w:val="none"/>
          <w:lang w:val="en-US" w:eastAsia="zh-CN" w:bidi="ar-SA"/>
        </w:rPr>
        <w:t>设备</w:t>
      </w:r>
      <w:r>
        <w:rPr>
          <w:rFonts w:hint="eastAsia" w:cs="Times New Roman"/>
          <w:color w:val="auto"/>
          <w:kern w:val="2"/>
          <w:sz w:val="24"/>
          <w:szCs w:val="24"/>
          <w:highlight w:val="none"/>
          <w:lang w:val="en-US" w:eastAsia="zh-CN" w:bidi="ar-SA"/>
        </w:rPr>
        <w:t>及车间</w:t>
      </w:r>
      <w:r>
        <w:rPr>
          <w:rFonts w:hint="default" w:ascii="Times New Roman" w:hAnsi="Times New Roman" w:eastAsia="宋体" w:cs="Times New Roman"/>
          <w:color w:val="auto"/>
          <w:kern w:val="2"/>
          <w:sz w:val="24"/>
          <w:szCs w:val="24"/>
          <w:highlight w:val="none"/>
          <w:lang w:val="en-US" w:eastAsia="zh-CN" w:bidi="ar-SA"/>
        </w:rPr>
        <w:t>冲洗废水、</w:t>
      </w:r>
      <w:r>
        <w:rPr>
          <w:rFonts w:hint="eastAsia" w:cs="Times New Roman"/>
          <w:color w:val="auto"/>
          <w:kern w:val="2"/>
          <w:sz w:val="24"/>
          <w:szCs w:val="24"/>
          <w:highlight w:val="none"/>
          <w:lang w:val="en-US" w:eastAsia="zh-CN" w:bidi="ar-SA"/>
        </w:rPr>
        <w:t>PAM、PAC调配</w:t>
      </w:r>
      <w:r>
        <w:rPr>
          <w:rFonts w:hint="default" w:ascii="Times New Roman" w:hAnsi="Times New Roman" w:eastAsia="宋体" w:cs="Times New Roman"/>
          <w:color w:val="auto"/>
          <w:kern w:val="2"/>
          <w:sz w:val="24"/>
          <w:szCs w:val="24"/>
          <w:highlight w:val="none"/>
          <w:lang w:val="en-US" w:eastAsia="zh-CN" w:bidi="ar-SA"/>
        </w:rPr>
        <w:t>水</w:t>
      </w:r>
      <w:r>
        <w:rPr>
          <w:rFonts w:hint="eastAsia" w:cs="Times New Roman"/>
          <w:color w:val="auto"/>
          <w:kern w:val="2"/>
          <w:sz w:val="24"/>
          <w:szCs w:val="24"/>
          <w:highlight w:val="none"/>
          <w:lang w:val="en-US" w:eastAsia="zh-CN" w:bidi="ar-SA"/>
        </w:rPr>
        <w:t>、实验室</w:t>
      </w:r>
      <w:r>
        <w:rPr>
          <w:rFonts w:hint="eastAsia"/>
          <w:highlight w:val="none"/>
          <w:lang w:val="en-US" w:eastAsia="zh-CN"/>
        </w:rPr>
        <w:t>清洗</w:t>
      </w:r>
      <w:r>
        <w:rPr>
          <w:rFonts w:hint="eastAsia" w:cs="Times New Roman"/>
          <w:color w:val="auto"/>
          <w:kern w:val="2"/>
          <w:sz w:val="24"/>
          <w:szCs w:val="24"/>
          <w:highlight w:val="none"/>
          <w:lang w:val="en-US" w:eastAsia="zh-CN" w:bidi="ar-SA"/>
        </w:rPr>
        <w:t>废水</w:t>
      </w:r>
      <w:r>
        <w:rPr>
          <w:rFonts w:hint="default" w:ascii="Times New Roman" w:hAnsi="Times New Roman" w:eastAsia="宋体" w:cs="Times New Roman"/>
          <w:color w:val="auto"/>
          <w:kern w:val="2"/>
          <w:sz w:val="24"/>
          <w:szCs w:val="24"/>
          <w:highlight w:val="none"/>
          <w:lang w:val="en-US" w:eastAsia="zh-CN" w:bidi="ar-SA"/>
        </w:rPr>
        <w:t>，排入本厂污水处理系统进行处理。根据对纳污范围内各排污单位排水水质分析并结合同类项目自行监测报告可知，本项目所排放的污染物主要为COD、</w:t>
      </w:r>
      <w:r>
        <w:rPr>
          <w:rFonts w:hint="eastAsia" w:cs="Times New Roman"/>
          <w:color w:val="auto"/>
          <w:kern w:val="2"/>
          <w:sz w:val="24"/>
          <w:szCs w:val="24"/>
          <w:highlight w:val="none"/>
          <w:lang w:val="en-US" w:eastAsia="zh-CN" w:bidi="ar-SA"/>
        </w:rPr>
        <w:t>NH</w:t>
      </w:r>
      <w:r>
        <w:rPr>
          <w:rFonts w:hint="eastAsia" w:cs="Times New Roman"/>
          <w:color w:val="auto"/>
          <w:kern w:val="2"/>
          <w:sz w:val="24"/>
          <w:szCs w:val="24"/>
          <w:highlight w:val="none"/>
          <w:vertAlign w:val="subscript"/>
          <w:lang w:val="en-US" w:eastAsia="zh-CN" w:bidi="ar-SA"/>
        </w:rPr>
        <w:t>3</w:t>
      </w:r>
      <w:r>
        <w:rPr>
          <w:rFonts w:hint="default" w:ascii="Times New Roman" w:hAnsi="Times New Roman" w:eastAsia="宋体" w:cs="Times New Roman"/>
          <w:color w:val="auto"/>
          <w:kern w:val="2"/>
          <w:sz w:val="24"/>
          <w:szCs w:val="24"/>
          <w:highlight w:val="none"/>
          <w:lang w:val="en-US" w:eastAsia="zh-CN" w:bidi="ar-SA"/>
        </w:rPr>
        <w:t>-N、</w:t>
      </w:r>
      <w:r>
        <w:rPr>
          <w:rFonts w:hint="eastAsia" w:ascii="Times New Roman" w:hAnsi="Times New Roman" w:eastAsia="宋体" w:cs="Times New Roman"/>
          <w:color w:val="auto"/>
          <w:kern w:val="2"/>
          <w:sz w:val="24"/>
          <w:szCs w:val="24"/>
          <w:highlight w:val="none"/>
          <w:lang w:val="en-US" w:eastAsia="zh-CN" w:bidi="ar-SA"/>
        </w:rPr>
        <w:t>BOD</w:t>
      </w:r>
      <w:r>
        <w:rPr>
          <w:rFonts w:hint="eastAsia" w:ascii="Times New Roman" w:hAnsi="Times New Roman" w:eastAsia="宋体" w:cs="Times New Roman"/>
          <w:color w:val="auto"/>
          <w:kern w:val="2"/>
          <w:sz w:val="24"/>
          <w:szCs w:val="24"/>
          <w:highlight w:val="none"/>
          <w:vertAlign w:val="subscript"/>
          <w:lang w:val="en-US" w:eastAsia="zh-CN" w:bidi="ar-SA"/>
        </w:rPr>
        <w:t>5</w:t>
      </w:r>
      <w:r>
        <w:rPr>
          <w:rFonts w:hint="default" w:ascii="Times New Roman" w:hAnsi="Times New Roman" w:eastAsia="宋体" w:cs="Times New Roman"/>
          <w:color w:val="auto"/>
          <w:kern w:val="2"/>
          <w:sz w:val="24"/>
          <w:szCs w:val="24"/>
          <w:highlight w:val="none"/>
          <w:lang w:val="en-US" w:eastAsia="zh-CN" w:bidi="ar-SA"/>
        </w:rPr>
        <w:t>、SS、TN、TP、LAS、粪大肠菌群、动植物油。</w:t>
      </w:r>
    </w:p>
    <w:p w14:paraId="05517845">
      <w:pPr>
        <w:keepNext w:val="0"/>
        <w:keepLines w:val="0"/>
        <w:pageBreakBefore w:val="0"/>
        <w:widowControl w:val="0"/>
        <w:kinsoku/>
        <w:wordWrap/>
        <w:overflowPunct/>
        <w:topLinePunct w:val="0"/>
        <w:autoSpaceDE/>
        <w:autoSpaceDN/>
        <w:bidi w:val="0"/>
        <w:adjustRightInd/>
        <w:snapToGrid/>
        <w:spacing w:line="480" w:lineRule="exact"/>
        <w:ind w:left="0"/>
        <w:textAlignment w:val="auto"/>
        <w:rPr>
          <w:rFonts w:hint="default" w:ascii="Times New Roman" w:hAnsi="Times New Roman" w:eastAsia="宋体" w:cs="Times New Roman"/>
          <w:sz w:val="24"/>
          <w:szCs w:val="24"/>
          <w:highlight w:val="none"/>
        </w:rPr>
      </w:pPr>
      <w:r>
        <w:rPr>
          <w:rFonts w:hint="default" w:ascii="Times New Roman" w:hAnsi="Times New Roman" w:eastAsia="宋体" w:cs="Times New Roman"/>
          <w:spacing w:val="-2"/>
          <w:sz w:val="24"/>
          <w:szCs w:val="24"/>
          <w:highlight w:val="none"/>
        </w:rPr>
        <w:t>各污染物进水、出水浓度见表3.3-</w:t>
      </w:r>
      <w:r>
        <w:rPr>
          <w:rFonts w:hint="eastAsia" w:cs="Times New Roman"/>
          <w:spacing w:val="-2"/>
          <w:sz w:val="24"/>
          <w:szCs w:val="24"/>
          <w:highlight w:val="none"/>
          <w:lang w:val="en-US" w:eastAsia="zh-CN"/>
        </w:rPr>
        <w:t>6</w:t>
      </w:r>
      <w:r>
        <w:rPr>
          <w:rFonts w:hint="default" w:ascii="Times New Roman" w:hAnsi="Times New Roman" w:eastAsia="宋体" w:cs="Times New Roman"/>
          <w:spacing w:val="-2"/>
          <w:sz w:val="24"/>
          <w:szCs w:val="24"/>
          <w:highlight w:val="none"/>
        </w:rPr>
        <w:t>。</w:t>
      </w:r>
    </w:p>
    <w:p w14:paraId="550D9544">
      <w:pPr>
        <w:pStyle w:val="20"/>
        <w:numPr>
          <w:ilvl w:val="0"/>
          <w:numId w:val="27"/>
        </w:numPr>
        <w:spacing w:after="0" w:line="440" w:lineRule="exact"/>
        <w:ind w:left="425" w:leftChars="0" w:hanging="425" w:firstLineChars="0"/>
        <w:jc w:val="center"/>
        <w:rPr>
          <w:rFonts w:hint="default" w:ascii="Times New Roman" w:hAnsi="Times New Roman" w:eastAsia="宋体" w:cs="Times New Roman"/>
          <w:b/>
          <w:color w:val="000000"/>
          <w:sz w:val="24"/>
          <w:szCs w:val="24"/>
          <w:highlight w:val="none"/>
        </w:rPr>
      </w:pPr>
      <w:r>
        <w:rPr>
          <w:rFonts w:hint="default" w:ascii="Times New Roman" w:hAnsi="Times New Roman" w:eastAsia="宋体" w:cs="Times New Roman"/>
          <w:b/>
          <w:color w:val="000000"/>
          <w:sz w:val="24"/>
          <w:szCs w:val="24"/>
          <w:highlight w:val="none"/>
        </w:rPr>
        <w:t>废水污染源源强核算结果及治理措施一览表</w:t>
      </w:r>
    </w:p>
    <w:p w14:paraId="31FB7C55">
      <w:pPr>
        <w:spacing w:line="15" w:lineRule="exact"/>
        <w:rPr>
          <w:rFonts w:hint="default" w:ascii="Times New Roman" w:hAnsi="Times New Roman" w:eastAsia="宋体" w:cs="Times New Roman"/>
          <w:highlight w:val="none"/>
        </w:rPr>
      </w:pPr>
    </w:p>
    <w:tbl>
      <w:tblPr>
        <w:tblStyle w:val="88"/>
        <w:tblW w:w="4998"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414"/>
        <w:gridCol w:w="621"/>
        <w:gridCol w:w="702"/>
        <w:gridCol w:w="1025"/>
        <w:gridCol w:w="671"/>
        <w:gridCol w:w="616"/>
        <w:gridCol w:w="915"/>
        <w:gridCol w:w="676"/>
        <w:gridCol w:w="734"/>
        <w:gridCol w:w="738"/>
        <w:gridCol w:w="642"/>
        <w:gridCol w:w="581"/>
        <w:gridCol w:w="763"/>
      </w:tblGrid>
      <w:tr w14:paraId="6334058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trPr>
        <w:tc>
          <w:tcPr>
            <w:tcW w:w="240" w:type="pct"/>
            <w:vMerge w:val="restart"/>
            <w:vAlign w:val="center"/>
          </w:tcPr>
          <w:p w14:paraId="5C7EBFD6">
            <w:pPr>
              <w:pStyle w:val="58"/>
              <w:bidi w:val="0"/>
              <w:rPr>
                <w:rFonts w:hint="default"/>
                <w:highlight w:val="none"/>
                <w:lang w:eastAsia="zh-CN"/>
              </w:rPr>
            </w:pPr>
            <w:r>
              <w:rPr>
                <w:rFonts w:hint="default"/>
                <w:highlight w:val="none"/>
                <w:lang w:eastAsia="zh-CN"/>
              </w:rPr>
              <w:t>工序</w:t>
            </w:r>
          </w:p>
        </w:tc>
        <w:tc>
          <w:tcPr>
            <w:tcW w:w="354" w:type="pct"/>
            <w:vMerge w:val="restart"/>
            <w:vAlign w:val="center"/>
          </w:tcPr>
          <w:p w14:paraId="54A7E5AA">
            <w:pPr>
              <w:pStyle w:val="58"/>
              <w:bidi w:val="0"/>
              <w:rPr>
                <w:rFonts w:hint="default"/>
                <w:highlight w:val="none"/>
                <w:lang w:eastAsia="zh-CN"/>
              </w:rPr>
            </w:pPr>
            <w:r>
              <w:rPr>
                <w:rFonts w:hint="default"/>
                <w:highlight w:val="none"/>
                <w:lang w:eastAsia="zh-CN"/>
              </w:rPr>
              <w:t>污染物</w:t>
            </w:r>
          </w:p>
        </w:tc>
        <w:tc>
          <w:tcPr>
            <w:tcW w:w="1541" w:type="pct"/>
            <w:gridSpan w:val="4"/>
            <w:vAlign w:val="center"/>
          </w:tcPr>
          <w:p w14:paraId="1E09503F">
            <w:pPr>
              <w:pStyle w:val="58"/>
              <w:bidi w:val="0"/>
              <w:rPr>
                <w:rFonts w:hint="default"/>
                <w:highlight w:val="none"/>
                <w:lang w:eastAsia="zh-CN"/>
              </w:rPr>
            </w:pPr>
            <w:r>
              <w:rPr>
                <w:rFonts w:hint="default"/>
                <w:highlight w:val="none"/>
                <w:lang w:eastAsia="zh-CN"/>
              </w:rPr>
              <w:t>进入厂区污染物情况</w:t>
            </w:r>
          </w:p>
        </w:tc>
        <w:tc>
          <w:tcPr>
            <w:tcW w:w="899" w:type="pct"/>
            <w:gridSpan w:val="2"/>
            <w:vAlign w:val="center"/>
          </w:tcPr>
          <w:p w14:paraId="0D8FD86C">
            <w:pPr>
              <w:pStyle w:val="58"/>
              <w:bidi w:val="0"/>
              <w:rPr>
                <w:rFonts w:hint="default"/>
                <w:highlight w:val="none"/>
                <w:lang w:eastAsia="zh-CN"/>
              </w:rPr>
            </w:pPr>
            <w:r>
              <w:rPr>
                <w:rFonts w:hint="default"/>
                <w:highlight w:val="none"/>
                <w:lang w:eastAsia="zh-CN"/>
              </w:rPr>
              <w:t>治理措施</w:t>
            </w:r>
          </w:p>
        </w:tc>
        <w:tc>
          <w:tcPr>
            <w:tcW w:w="1531" w:type="pct"/>
            <w:gridSpan w:val="4"/>
            <w:vAlign w:val="center"/>
          </w:tcPr>
          <w:p w14:paraId="3A07600A">
            <w:pPr>
              <w:pStyle w:val="58"/>
              <w:bidi w:val="0"/>
              <w:rPr>
                <w:rFonts w:hint="default"/>
                <w:highlight w:val="none"/>
                <w:lang w:eastAsia="zh-CN"/>
              </w:rPr>
            </w:pPr>
            <w:r>
              <w:rPr>
                <w:rFonts w:hint="default"/>
                <w:highlight w:val="none"/>
                <w:lang w:eastAsia="zh-CN"/>
              </w:rPr>
              <w:t>污染物排放</w:t>
            </w:r>
          </w:p>
        </w:tc>
        <w:tc>
          <w:tcPr>
            <w:tcW w:w="432" w:type="pct"/>
            <w:vMerge w:val="restart"/>
            <w:vAlign w:val="center"/>
          </w:tcPr>
          <w:p w14:paraId="59C5FAAE">
            <w:pPr>
              <w:pStyle w:val="58"/>
              <w:bidi w:val="0"/>
              <w:rPr>
                <w:rFonts w:hint="default"/>
                <w:highlight w:val="none"/>
                <w:lang w:eastAsia="zh-CN"/>
              </w:rPr>
            </w:pPr>
            <w:r>
              <w:rPr>
                <w:rFonts w:hint="default"/>
                <w:highlight w:val="none"/>
                <w:lang w:eastAsia="zh-CN"/>
              </w:rPr>
              <w:t>标准值mg/L</w:t>
            </w:r>
          </w:p>
        </w:tc>
      </w:tr>
      <w:tr w14:paraId="202A9C5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trPr>
        <w:tc>
          <w:tcPr>
            <w:tcW w:w="240" w:type="pct"/>
            <w:vMerge w:val="continue"/>
            <w:vAlign w:val="center"/>
          </w:tcPr>
          <w:p w14:paraId="1AFA7161">
            <w:pPr>
              <w:pStyle w:val="58"/>
              <w:bidi w:val="0"/>
              <w:rPr>
                <w:rFonts w:hint="default"/>
                <w:highlight w:val="none"/>
                <w:lang w:eastAsia="zh-CN"/>
              </w:rPr>
            </w:pPr>
          </w:p>
        </w:tc>
        <w:tc>
          <w:tcPr>
            <w:tcW w:w="354" w:type="pct"/>
            <w:vMerge w:val="continue"/>
            <w:vAlign w:val="center"/>
          </w:tcPr>
          <w:p w14:paraId="31783CDC">
            <w:pPr>
              <w:pStyle w:val="58"/>
              <w:bidi w:val="0"/>
              <w:rPr>
                <w:rFonts w:hint="default"/>
                <w:highlight w:val="none"/>
                <w:lang w:eastAsia="zh-CN"/>
              </w:rPr>
            </w:pPr>
          </w:p>
        </w:tc>
        <w:tc>
          <w:tcPr>
            <w:tcW w:w="398" w:type="pct"/>
            <w:vMerge w:val="restart"/>
            <w:vAlign w:val="center"/>
          </w:tcPr>
          <w:p w14:paraId="55DAA9D4">
            <w:pPr>
              <w:pStyle w:val="58"/>
              <w:bidi w:val="0"/>
              <w:rPr>
                <w:rFonts w:hint="default"/>
                <w:highlight w:val="none"/>
                <w:lang w:eastAsia="zh-CN"/>
              </w:rPr>
            </w:pPr>
            <w:r>
              <w:rPr>
                <w:rFonts w:hint="default"/>
                <w:highlight w:val="none"/>
                <w:lang w:eastAsia="zh-CN"/>
              </w:rPr>
              <w:t>废水量（万</w:t>
            </w:r>
            <w:r>
              <w:rPr>
                <w:rFonts w:hint="eastAsia"/>
                <w:highlight w:val="none"/>
                <w:lang w:eastAsia="zh-CN"/>
              </w:rPr>
              <w:t>m</w:t>
            </w:r>
            <w:r>
              <w:rPr>
                <w:rFonts w:hint="eastAsia"/>
                <w:highlight w:val="none"/>
                <w:vertAlign w:val="superscript"/>
                <w:lang w:eastAsia="zh-CN"/>
              </w:rPr>
              <w:t>3</w:t>
            </w:r>
            <w:r>
              <w:rPr>
                <w:rFonts w:hint="default"/>
                <w:highlight w:val="none"/>
                <w:lang w:eastAsia="zh-CN"/>
              </w:rPr>
              <w:t>/a）</w:t>
            </w:r>
          </w:p>
        </w:tc>
        <w:tc>
          <w:tcPr>
            <w:tcW w:w="411" w:type="pct"/>
            <w:vMerge w:val="restart"/>
            <w:vAlign w:val="center"/>
          </w:tcPr>
          <w:p w14:paraId="27A6F955">
            <w:pPr>
              <w:pStyle w:val="58"/>
              <w:bidi w:val="0"/>
              <w:rPr>
                <w:rFonts w:hint="default"/>
                <w:highlight w:val="none"/>
                <w:lang w:eastAsia="zh-CN"/>
              </w:rPr>
            </w:pPr>
            <w:r>
              <w:rPr>
                <w:rFonts w:hint="default"/>
                <w:highlight w:val="none"/>
                <w:lang w:eastAsia="zh-CN"/>
              </w:rPr>
              <w:t>进水浓度(mg/L)</w:t>
            </w:r>
          </w:p>
        </w:tc>
        <w:tc>
          <w:tcPr>
            <w:tcW w:w="732" w:type="pct"/>
            <w:gridSpan w:val="2"/>
            <w:vAlign w:val="center"/>
          </w:tcPr>
          <w:p w14:paraId="2C2F6D29">
            <w:pPr>
              <w:pStyle w:val="58"/>
              <w:bidi w:val="0"/>
              <w:rPr>
                <w:rFonts w:hint="default"/>
                <w:highlight w:val="none"/>
                <w:lang w:eastAsia="zh-CN"/>
              </w:rPr>
            </w:pPr>
            <w:r>
              <w:rPr>
                <w:rFonts w:hint="default"/>
                <w:highlight w:val="none"/>
                <w:lang w:eastAsia="zh-CN"/>
              </w:rPr>
              <w:t>产生量（t/a）</w:t>
            </w:r>
          </w:p>
        </w:tc>
        <w:tc>
          <w:tcPr>
            <w:tcW w:w="515" w:type="pct"/>
            <w:vMerge w:val="restart"/>
            <w:vAlign w:val="center"/>
          </w:tcPr>
          <w:p w14:paraId="51F17856">
            <w:pPr>
              <w:pStyle w:val="58"/>
              <w:bidi w:val="0"/>
              <w:rPr>
                <w:rFonts w:hint="default"/>
                <w:highlight w:val="none"/>
                <w:lang w:eastAsia="zh-CN"/>
              </w:rPr>
            </w:pPr>
            <w:r>
              <w:rPr>
                <w:rFonts w:hint="default"/>
                <w:highlight w:val="none"/>
                <w:lang w:eastAsia="zh-CN"/>
              </w:rPr>
              <w:t>治理措施</w:t>
            </w:r>
          </w:p>
        </w:tc>
        <w:tc>
          <w:tcPr>
            <w:tcW w:w="384" w:type="pct"/>
            <w:vMerge w:val="restart"/>
            <w:vAlign w:val="center"/>
          </w:tcPr>
          <w:p w14:paraId="40D1578F">
            <w:pPr>
              <w:pStyle w:val="58"/>
              <w:bidi w:val="0"/>
              <w:rPr>
                <w:rFonts w:hint="default"/>
                <w:highlight w:val="none"/>
                <w:lang w:eastAsia="zh-CN"/>
              </w:rPr>
            </w:pPr>
            <w:r>
              <w:rPr>
                <w:rFonts w:hint="default"/>
                <w:highlight w:val="none"/>
                <w:lang w:eastAsia="zh-CN"/>
              </w:rPr>
              <w:t>综合处理效率</w:t>
            </w:r>
          </w:p>
        </w:tc>
        <w:tc>
          <w:tcPr>
            <w:tcW w:w="416" w:type="pct"/>
            <w:vMerge w:val="restart"/>
            <w:vAlign w:val="center"/>
          </w:tcPr>
          <w:p w14:paraId="482ABC2F">
            <w:pPr>
              <w:pStyle w:val="58"/>
              <w:bidi w:val="0"/>
              <w:rPr>
                <w:rFonts w:hint="default"/>
                <w:highlight w:val="none"/>
                <w:lang w:eastAsia="zh-CN"/>
              </w:rPr>
            </w:pPr>
            <w:r>
              <w:rPr>
                <w:rFonts w:hint="default"/>
                <w:highlight w:val="none"/>
                <w:lang w:eastAsia="zh-CN"/>
              </w:rPr>
              <w:t>排放废水量(万</w:t>
            </w:r>
            <w:r>
              <w:rPr>
                <w:rFonts w:hint="eastAsia"/>
                <w:highlight w:val="none"/>
                <w:lang w:eastAsia="zh-CN"/>
              </w:rPr>
              <w:t>m</w:t>
            </w:r>
            <w:r>
              <w:rPr>
                <w:rFonts w:hint="eastAsia"/>
                <w:highlight w:val="none"/>
                <w:vertAlign w:val="superscript"/>
                <w:lang w:eastAsia="zh-CN"/>
              </w:rPr>
              <w:t>3</w:t>
            </w:r>
            <w:r>
              <w:rPr>
                <w:rFonts w:hint="default"/>
                <w:highlight w:val="none"/>
                <w:lang w:eastAsia="zh-CN"/>
              </w:rPr>
              <w:t>/a)</w:t>
            </w:r>
          </w:p>
        </w:tc>
        <w:tc>
          <w:tcPr>
            <w:tcW w:w="418" w:type="pct"/>
            <w:vMerge w:val="restart"/>
            <w:vAlign w:val="center"/>
          </w:tcPr>
          <w:p w14:paraId="4AB79A97">
            <w:pPr>
              <w:pStyle w:val="58"/>
              <w:bidi w:val="0"/>
              <w:rPr>
                <w:rFonts w:hint="default"/>
                <w:highlight w:val="none"/>
                <w:lang w:eastAsia="zh-CN"/>
              </w:rPr>
            </w:pPr>
            <w:r>
              <w:rPr>
                <w:rFonts w:hint="default"/>
                <w:highlight w:val="none"/>
                <w:lang w:eastAsia="zh-CN"/>
              </w:rPr>
              <w:t>排放浓度(mg/L)</w:t>
            </w:r>
          </w:p>
        </w:tc>
        <w:tc>
          <w:tcPr>
            <w:tcW w:w="696" w:type="pct"/>
            <w:gridSpan w:val="2"/>
            <w:vAlign w:val="center"/>
          </w:tcPr>
          <w:p w14:paraId="2529E14E">
            <w:pPr>
              <w:pStyle w:val="58"/>
              <w:bidi w:val="0"/>
              <w:rPr>
                <w:rFonts w:hint="default"/>
                <w:highlight w:val="none"/>
                <w:lang w:eastAsia="zh-CN"/>
              </w:rPr>
            </w:pPr>
            <w:r>
              <w:rPr>
                <w:rFonts w:hint="default"/>
                <w:highlight w:val="none"/>
                <w:lang w:eastAsia="zh-CN"/>
              </w:rPr>
              <w:t>排放量(t/d)</w:t>
            </w:r>
          </w:p>
        </w:tc>
        <w:tc>
          <w:tcPr>
            <w:tcW w:w="432" w:type="pct"/>
            <w:vMerge w:val="continue"/>
            <w:vAlign w:val="center"/>
          </w:tcPr>
          <w:p w14:paraId="099141E3">
            <w:pPr>
              <w:pStyle w:val="58"/>
              <w:bidi w:val="0"/>
              <w:rPr>
                <w:rFonts w:hint="default"/>
                <w:highlight w:val="none"/>
                <w:lang w:eastAsia="zh-CN"/>
              </w:rPr>
            </w:pPr>
          </w:p>
        </w:tc>
      </w:tr>
      <w:tr w14:paraId="226F222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trPr>
        <w:tc>
          <w:tcPr>
            <w:tcW w:w="240" w:type="pct"/>
            <w:vMerge w:val="continue"/>
            <w:vAlign w:val="center"/>
          </w:tcPr>
          <w:p w14:paraId="36C27243">
            <w:pPr>
              <w:pStyle w:val="58"/>
              <w:bidi w:val="0"/>
              <w:rPr>
                <w:rFonts w:hint="default"/>
                <w:highlight w:val="none"/>
                <w:lang w:eastAsia="zh-CN"/>
              </w:rPr>
            </w:pPr>
          </w:p>
        </w:tc>
        <w:tc>
          <w:tcPr>
            <w:tcW w:w="354" w:type="pct"/>
            <w:vMerge w:val="continue"/>
            <w:vAlign w:val="center"/>
          </w:tcPr>
          <w:p w14:paraId="57B24A12">
            <w:pPr>
              <w:pStyle w:val="58"/>
              <w:bidi w:val="0"/>
              <w:rPr>
                <w:rFonts w:hint="default"/>
                <w:highlight w:val="none"/>
                <w:lang w:eastAsia="zh-CN"/>
              </w:rPr>
            </w:pPr>
          </w:p>
        </w:tc>
        <w:tc>
          <w:tcPr>
            <w:tcW w:w="398" w:type="pct"/>
            <w:vMerge w:val="continue"/>
            <w:vAlign w:val="center"/>
          </w:tcPr>
          <w:p w14:paraId="49BD183C">
            <w:pPr>
              <w:pStyle w:val="58"/>
              <w:bidi w:val="0"/>
              <w:rPr>
                <w:rFonts w:hint="default"/>
                <w:highlight w:val="none"/>
                <w:lang w:eastAsia="zh-CN"/>
              </w:rPr>
            </w:pPr>
          </w:p>
        </w:tc>
        <w:tc>
          <w:tcPr>
            <w:tcW w:w="411" w:type="pct"/>
            <w:vMerge w:val="continue"/>
            <w:vAlign w:val="center"/>
          </w:tcPr>
          <w:p w14:paraId="7E7748E5">
            <w:pPr>
              <w:pStyle w:val="58"/>
              <w:bidi w:val="0"/>
              <w:rPr>
                <w:rFonts w:hint="default"/>
                <w:highlight w:val="none"/>
                <w:lang w:eastAsia="zh-CN"/>
              </w:rPr>
            </w:pPr>
          </w:p>
        </w:tc>
        <w:tc>
          <w:tcPr>
            <w:tcW w:w="381" w:type="pct"/>
            <w:vAlign w:val="center"/>
          </w:tcPr>
          <w:p w14:paraId="51D64A1B">
            <w:pPr>
              <w:pStyle w:val="58"/>
              <w:bidi w:val="0"/>
              <w:rPr>
                <w:rFonts w:hint="default"/>
                <w:highlight w:val="none"/>
                <w:lang w:eastAsia="zh-CN"/>
              </w:rPr>
            </w:pPr>
            <w:r>
              <w:rPr>
                <w:rFonts w:hint="default"/>
                <w:highlight w:val="none"/>
                <w:lang w:eastAsia="zh-CN"/>
              </w:rPr>
              <w:t>本项目</w:t>
            </w:r>
          </w:p>
        </w:tc>
        <w:tc>
          <w:tcPr>
            <w:tcW w:w="350" w:type="pct"/>
            <w:vAlign w:val="center"/>
          </w:tcPr>
          <w:p w14:paraId="297D7F4B">
            <w:pPr>
              <w:pStyle w:val="58"/>
              <w:bidi w:val="0"/>
              <w:rPr>
                <w:rFonts w:hint="default"/>
                <w:highlight w:val="none"/>
                <w:lang w:eastAsia="zh-CN"/>
              </w:rPr>
            </w:pPr>
            <w:r>
              <w:rPr>
                <w:rFonts w:hint="default"/>
                <w:highlight w:val="none"/>
                <w:lang w:eastAsia="zh-CN"/>
              </w:rPr>
              <w:t>总工程</w:t>
            </w:r>
          </w:p>
        </w:tc>
        <w:tc>
          <w:tcPr>
            <w:tcW w:w="515" w:type="pct"/>
            <w:vMerge w:val="continue"/>
            <w:vAlign w:val="center"/>
          </w:tcPr>
          <w:p w14:paraId="66CBBC57">
            <w:pPr>
              <w:pStyle w:val="58"/>
              <w:bidi w:val="0"/>
              <w:rPr>
                <w:rFonts w:hint="default"/>
                <w:highlight w:val="none"/>
                <w:lang w:eastAsia="zh-CN"/>
              </w:rPr>
            </w:pPr>
          </w:p>
        </w:tc>
        <w:tc>
          <w:tcPr>
            <w:tcW w:w="384" w:type="pct"/>
            <w:vMerge w:val="continue"/>
            <w:vAlign w:val="center"/>
          </w:tcPr>
          <w:p w14:paraId="65CC03E9">
            <w:pPr>
              <w:pStyle w:val="58"/>
              <w:bidi w:val="0"/>
              <w:rPr>
                <w:rFonts w:hint="default"/>
                <w:highlight w:val="none"/>
                <w:lang w:eastAsia="zh-CN"/>
              </w:rPr>
            </w:pPr>
          </w:p>
        </w:tc>
        <w:tc>
          <w:tcPr>
            <w:tcW w:w="416" w:type="pct"/>
            <w:vMerge w:val="continue"/>
            <w:vAlign w:val="center"/>
          </w:tcPr>
          <w:p w14:paraId="736A2D1D">
            <w:pPr>
              <w:pStyle w:val="58"/>
              <w:bidi w:val="0"/>
              <w:rPr>
                <w:rFonts w:hint="default"/>
                <w:highlight w:val="none"/>
                <w:lang w:eastAsia="zh-CN"/>
              </w:rPr>
            </w:pPr>
          </w:p>
        </w:tc>
        <w:tc>
          <w:tcPr>
            <w:tcW w:w="418" w:type="pct"/>
            <w:vMerge w:val="continue"/>
            <w:vAlign w:val="center"/>
          </w:tcPr>
          <w:p w14:paraId="3A98D61C">
            <w:pPr>
              <w:pStyle w:val="58"/>
              <w:bidi w:val="0"/>
              <w:rPr>
                <w:rFonts w:hint="default"/>
                <w:highlight w:val="none"/>
                <w:lang w:eastAsia="zh-CN"/>
              </w:rPr>
            </w:pPr>
          </w:p>
        </w:tc>
        <w:tc>
          <w:tcPr>
            <w:tcW w:w="365" w:type="pct"/>
            <w:vAlign w:val="center"/>
          </w:tcPr>
          <w:p w14:paraId="1C9D1B74">
            <w:pPr>
              <w:pStyle w:val="58"/>
              <w:bidi w:val="0"/>
              <w:rPr>
                <w:rFonts w:hint="default"/>
                <w:highlight w:val="none"/>
                <w:lang w:eastAsia="zh-CN"/>
              </w:rPr>
            </w:pPr>
            <w:r>
              <w:rPr>
                <w:rFonts w:hint="default"/>
                <w:highlight w:val="none"/>
                <w:lang w:eastAsia="zh-CN"/>
              </w:rPr>
              <w:t>本项目</w:t>
            </w:r>
          </w:p>
        </w:tc>
        <w:tc>
          <w:tcPr>
            <w:tcW w:w="330" w:type="pct"/>
            <w:vAlign w:val="center"/>
          </w:tcPr>
          <w:p w14:paraId="5DE58B03">
            <w:pPr>
              <w:pStyle w:val="58"/>
              <w:bidi w:val="0"/>
              <w:rPr>
                <w:rFonts w:hint="default"/>
                <w:highlight w:val="none"/>
                <w:lang w:eastAsia="zh-CN"/>
              </w:rPr>
            </w:pPr>
            <w:r>
              <w:rPr>
                <w:rFonts w:hint="default"/>
                <w:highlight w:val="none"/>
                <w:lang w:eastAsia="zh-CN"/>
              </w:rPr>
              <w:t>总工程</w:t>
            </w:r>
          </w:p>
        </w:tc>
        <w:tc>
          <w:tcPr>
            <w:tcW w:w="432" w:type="pct"/>
            <w:vMerge w:val="continue"/>
            <w:vAlign w:val="center"/>
          </w:tcPr>
          <w:p w14:paraId="4DFF4B26">
            <w:pPr>
              <w:pStyle w:val="58"/>
              <w:bidi w:val="0"/>
              <w:rPr>
                <w:rFonts w:hint="default"/>
                <w:highlight w:val="none"/>
                <w:lang w:eastAsia="zh-CN"/>
              </w:rPr>
            </w:pPr>
          </w:p>
        </w:tc>
      </w:tr>
      <w:tr w14:paraId="3B1072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trPr>
        <w:tc>
          <w:tcPr>
            <w:tcW w:w="240" w:type="pct"/>
            <w:vMerge w:val="restart"/>
            <w:vAlign w:val="center"/>
          </w:tcPr>
          <w:p w14:paraId="539BAF84">
            <w:pPr>
              <w:pStyle w:val="58"/>
              <w:bidi w:val="0"/>
              <w:rPr>
                <w:rFonts w:hint="default"/>
                <w:highlight w:val="none"/>
                <w:lang w:eastAsia="zh-CN"/>
              </w:rPr>
            </w:pPr>
            <w:r>
              <w:rPr>
                <w:rFonts w:hint="default"/>
                <w:highlight w:val="none"/>
                <w:lang w:eastAsia="zh-CN"/>
              </w:rPr>
              <w:t>污水处理厂</w:t>
            </w:r>
          </w:p>
        </w:tc>
        <w:tc>
          <w:tcPr>
            <w:tcW w:w="354" w:type="pct"/>
            <w:vAlign w:val="center"/>
          </w:tcPr>
          <w:p w14:paraId="1DCBB50D">
            <w:pPr>
              <w:pStyle w:val="58"/>
              <w:bidi w:val="0"/>
              <w:rPr>
                <w:rFonts w:hint="default"/>
                <w:highlight w:val="none"/>
                <w:lang w:eastAsia="zh-CN"/>
              </w:rPr>
            </w:pPr>
            <w:r>
              <w:rPr>
                <w:rFonts w:hint="default"/>
                <w:highlight w:val="none"/>
                <w:lang w:eastAsia="zh-CN"/>
              </w:rPr>
              <w:t>COD</w:t>
            </w:r>
          </w:p>
        </w:tc>
        <w:tc>
          <w:tcPr>
            <w:tcW w:w="398" w:type="pct"/>
            <w:vMerge w:val="restart"/>
            <w:vAlign w:val="center"/>
          </w:tcPr>
          <w:p w14:paraId="78BC58AB">
            <w:pPr>
              <w:pStyle w:val="58"/>
              <w:bidi w:val="0"/>
              <w:rPr>
                <w:rFonts w:hint="default"/>
                <w:highlight w:val="none"/>
                <w:lang w:eastAsia="zh-CN"/>
              </w:rPr>
            </w:pPr>
            <w:r>
              <w:rPr>
                <w:rFonts w:hint="default"/>
                <w:highlight w:val="none"/>
                <w:lang w:eastAsia="zh-CN"/>
              </w:rPr>
              <w:t>7.3(总工程9.125)</w:t>
            </w:r>
          </w:p>
        </w:tc>
        <w:tc>
          <w:tcPr>
            <w:tcW w:w="411" w:type="pct"/>
            <w:vAlign w:val="center"/>
          </w:tcPr>
          <w:p w14:paraId="5431148C">
            <w:pPr>
              <w:pStyle w:val="58"/>
              <w:bidi w:val="0"/>
              <w:rPr>
                <w:rFonts w:hint="default"/>
                <w:highlight w:val="none"/>
                <w:lang w:val="en-US" w:eastAsia="zh-CN"/>
              </w:rPr>
            </w:pPr>
            <w:r>
              <w:rPr>
                <w:rFonts w:hint="default"/>
                <w:highlight w:val="none"/>
                <w:lang w:val="en-US" w:eastAsia="zh-CN"/>
              </w:rPr>
              <w:t>350</w:t>
            </w:r>
          </w:p>
        </w:tc>
        <w:tc>
          <w:tcPr>
            <w:tcW w:w="690" w:type="dxa"/>
            <w:vAlign w:val="center"/>
          </w:tcPr>
          <w:p w14:paraId="043ACC53">
            <w:pPr>
              <w:pStyle w:val="58"/>
              <w:bidi w:val="0"/>
              <w:rPr>
                <w:rFonts w:hint="default"/>
                <w:highlight w:val="none"/>
                <w:lang w:eastAsia="zh-CN"/>
              </w:rPr>
            </w:pPr>
            <w:r>
              <w:rPr>
                <w:rFonts w:hint="default"/>
                <w:highlight w:val="none"/>
                <w:lang w:val="en-US" w:eastAsia="zh-CN"/>
              </w:rPr>
              <w:t>25.55</w:t>
            </w:r>
          </w:p>
        </w:tc>
        <w:tc>
          <w:tcPr>
            <w:tcW w:w="652" w:type="dxa"/>
            <w:vAlign w:val="center"/>
          </w:tcPr>
          <w:p w14:paraId="662FD75A">
            <w:pPr>
              <w:pStyle w:val="58"/>
              <w:bidi w:val="0"/>
              <w:rPr>
                <w:rFonts w:hint="default"/>
                <w:highlight w:val="none"/>
                <w:lang w:eastAsia="zh-CN"/>
              </w:rPr>
            </w:pPr>
            <w:r>
              <w:rPr>
                <w:rFonts w:hint="default"/>
                <w:highlight w:val="none"/>
                <w:lang w:val="en-US" w:eastAsia="zh-CN"/>
              </w:rPr>
              <w:t>31.938</w:t>
            </w:r>
          </w:p>
        </w:tc>
        <w:tc>
          <w:tcPr>
            <w:tcW w:w="515" w:type="pct"/>
            <w:vMerge w:val="restart"/>
            <w:vAlign w:val="center"/>
          </w:tcPr>
          <w:p w14:paraId="503E24D4">
            <w:pPr>
              <w:pStyle w:val="58"/>
              <w:bidi w:val="0"/>
              <w:rPr>
                <w:rFonts w:hint="default"/>
                <w:highlight w:val="none"/>
                <w:lang w:val="en-US" w:eastAsia="zh-CN"/>
              </w:rPr>
            </w:pPr>
            <w:r>
              <w:rPr>
                <w:rFonts w:hint="default"/>
                <w:highlight w:val="none"/>
                <w:lang w:val="en-US" w:eastAsia="zh-CN"/>
              </w:rPr>
              <w:t>格栅+调节池+</w:t>
            </w:r>
            <w:r>
              <w:rPr>
                <w:rFonts w:hint="eastAsia"/>
                <w:highlight w:val="none"/>
                <w:lang w:val="en-US" w:eastAsia="zh-CN"/>
              </w:rPr>
              <w:t>A</w:t>
            </w:r>
            <w:r>
              <w:rPr>
                <w:rFonts w:hint="eastAsia"/>
                <w:highlight w:val="none"/>
                <w:vertAlign w:val="superscript"/>
                <w:lang w:val="en-US" w:eastAsia="zh-CN"/>
              </w:rPr>
              <w:t>2</w:t>
            </w:r>
            <w:r>
              <w:rPr>
                <w:rFonts w:hint="eastAsia"/>
                <w:highlight w:val="none"/>
                <w:lang w:val="en-US" w:eastAsia="zh-CN"/>
              </w:rPr>
              <w:t>O</w:t>
            </w:r>
            <w:r>
              <w:rPr>
                <w:rFonts w:hint="default"/>
                <w:highlight w:val="none"/>
                <w:lang w:val="en-US" w:eastAsia="zh-CN"/>
              </w:rPr>
              <w:t>一体化处理设备+混凝沉淀池+</w:t>
            </w:r>
            <w:r>
              <w:rPr>
                <w:rFonts w:hint="eastAsia"/>
                <w:highlight w:val="none"/>
                <w:vertAlign w:val="baseline"/>
                <w:lang w:val="en-US" w:eastAsia="zh-CN"/>
              </w:rPr>
              <w:t>砂滤</w:t>
            </w:r>
            <w:r>
              <w:rPr>
                <w:rFonts w:hint="default"/>
                <w:highlight w:val="none"/>
                <w:lang w:val="en-US" w:eastAsia="zh-CN"/>
              </w:rPr>
              <w:t>+</w:t>
            </w:r>
            <w:r>
              <w:rPr>
                <w:rFonts w:hint="eastAsia"/>
                <w:highlight w:val="none"/>
                <w:lang w:val="en-US" w:eastAsia="zh-CN"/>
              </w:rPr>
              <w:t>次</w:t>
            </w:r>
            <w:r>
              <w:rPr>
                <w:rFonts w:hint="eastAsia"/>
                <w:color w:val="auto"/>
                <w:highlight w:val="none"/>
                <w:lang w:val="en-US" w:eastAsia="zh-CN"/>
              </w:rPr>
              <w:t>氯酸钠消毒</w:t>
            </w:r>
            <w:r>
              <w:rPr>
                <w:rFonts w:hint="default"/>
                <w:color w:val="auto"/>
                <w:highlight w:val="none"/>
                <w:lang w:eastAsia="zh-CN"/>
              </w:rPr>
              <w:t>，作为中水回用</w:t>
            </w:r>
            <w:r>
              <w:rPr>
                <w:rFonts w:hint="eastAsia"/>
                <w:color w:val="auto"/>
                <w:highlight w:val="none"/>
                <w:lang w:val="en-US" w:eastAsia="zh-CN"/>
              </w:rPr>
              <w:t>于</w:t>
            </w:r>
            <w:r>
              <w:rPr>
                <w:rFonts w:hint="eastAsia"/>
                <w:color w:val="auto"/>
                <w:highlight w:val="none"/>
                <w:lang w:eastAsia="zh-CN"/>
              </w:rPr>
              <w:t>厂区生产用水、园区绿化、道路喷洒及园区企业生产用水</w:t>
            </w:r>
          </w:p>
        </w:tc>
        <w:tc>
          <w:tcPr>
            <w:tcW w:w="384" w:type="pct"/>
            <w:vAlign w:val="center"/>
          </w:tcPr>
          <w:p w14:paraId="13DBDDBC">
            <w:pPr>
              <w:pStyle w:val="58"/>
              <w:bidi w:val="0"/>
              <w:rPr>
                <w:rFonts w:hint="default"/>
                <w:highlight w:val="none"/>
                <w:lang w:eastAsia="zh-CN"/>
              </w:rPr>
            </w:pPr>
            <w:r>
              <w:rPr>
                <w:rFonts w:hint="default"/>
                <w:highlight w:val="none"/>
                <w:lang w:eastAsia="zh-CN"/>
              </w:rPr>
              <w:t>&gt;88.9%</w:t>
            </w:r>
          </w:p>
        </w:tc>
        <w:tc>
          <w:tcPr>
            <w:tcW w:w="416" w:type="pct"/>
            <w:vMerge w:val="restart"/>
            <w:vAlign w:val="center"/>
          </w:tcPr>
          <w:p w14:paraId="160F58B8">
            <w:pPr>
              <w:pStyle w:val="58"/>
              <w:bidi w:val="0"/>
              <w:rPr>
                <w:rFonts w:hint="default"/>
                <w:highlight w:val="none"/>
                <w:lang w:eastAsia="zh-CN"/>
              </w:rPr>
            </w:pPr>
            <w:r>
              <w:rPr>
                <w:rFonts w:hint="default"/>
                <w:highlight w:val="none"/>
                <w:lang w:val="en-US" w:eastAsia="zh-CN"/>
              </w:rPr>
              <w:t>6.91</w:t>
            </w:r>
            <w:r>
              <w:rPr>
                <w:rFonts w:hint="default"/>
                <w:highlight w:val="none"/>
                <w:lang w:eastAsia="zh-CN"/>
              </w:rPr>
              <w:t>(总工程</w:t>
            </w:r>
            <w:r>
              <w:rPr>
                <w:rFonts w:hint="default"/>
                <w:highlight w:val="none"/>
                <w:lang w:val="en-US" w:eastAsia="zh-CN"/>
              </w:rPr>
              <w:t>8.732</w:t>
            </w:r>
            <w:r>
              <w:rPr>
                <w:rFonts w:hint="default"/>
                <w:highlight w:val="none"/>
                <w:lang w:eastAsia="zh-CN"/>
              </w:rPr>
              <w:t>)</w:t>
            </w:r>
          </w:p>
        </w:tc>
        <w:tc>
          <w:tcPr>
            <w:tcW w:w="418" w:type="pct"/>
            <w:vAlign w:val="center"/>
          </w:tcPr>
          <w:p w14:paraId="0C8208F1">
            <w:pPr>
              <w:pStyle w:val="58"/>
              <w:bidi w:val="0"/>
              <w:rPr>
                <w:rFonts w:hint="default"/>
                <w:highlight w:val="none"/>
                <w:lang w:val="en-US" w:eastAsia="zh-CN"/>
              </w:rPr>
            </w:pPr>
            <w:r>
              <w:rPr>
                <w:rFonts w:hint="eastAsia"/>
                <w:highlight w:val="none"/>
                <w:lang w:val="en-US" w:eastAsia="zh-CN"/>
              </w:rPr>
              <w:t>38.92</w:t>
            </w:r>
          </w:p>
        </w:tc>
        <w:tc>
          <w:tcPr>
            <w:tcW w:w="665" w:type="dxa"/>
            <w:vAlign w:val="center"/>
          </w:tcPr>
          <w:p w14:paraId="7FB70D44">
            <w:pPr>
              <w:pStyle w:val="58"/>
              <w:bidi w:val="0"/>
              <w:rPr>
                <w:rFonts w:hint="default"/>
                <w:highlight w:val="none"/>
                <w:lang w:eastAsia="zh-CN"/>
              </w:rPr>
            </w:pPr>
            <w:r>
              <w:rPr>
                <w:rFonts w:hint="default"/>
                <w:highlight w:val="none"/>
                <w:lang w:val="en-US" w:eastAsia="zh-CN"/>
              </w:rPr>
              <w:t>2.69</w:t>
            </w:r>
          </w:p>
        </w:tc>
        <w:tc>
          <w:tcPr>
            <w:tcW w:w="601" w:type="dxa"/>
            <w:vAlign w:val="center"/>
          </w:tcPr>
          <w:p w14:paraId="5BC7C43A">
            <w:pPr>
              <w:pStyle w:val="58"/>
              <w:bidi w:val="0"/>
              <w:rPr>
                <w:rFonts w:hint="default"/>
                <w:highlight w:val="none"/>
                <w:lang w:eastAsia="zh-CN"/>
              </w:rPr>
            </w:pPr>
            <w:r>
              <w:rPr>
                <w:rFonts w:hint="default"/>
                <w:highlight w:val="none"/>
                <w:lang w:val="en-US" w:eastAsia="zh-CN"/>
              </w:rPr>
              <w:t>3.398</w:t>
            </w:r>
          </w:p>
        </w:tc>
        <w:tc>
          <w:tcPr>
            <w:tcW w:w="432" w:type="pct"/>
            <w:vAlign w:val="center"/>
          </w:tcPr>
          <w:p w14:paraId="54199DA2">
            <w:pPr>
              <w:pStyle w:val="58"/>
              <w:bidi w:val="0"/>
              <w:rPr>
                <w:rFonts w:hint="default"/>
                <w:highlight w:val="none"/>
                <w:lang w:eastAsia="zh-CN"/>
              </w:rPr>
            </w:pPr>
            <w:r>
              <w:rPr>
                <w:rFonts w:hint="default"/>
                <w:highlight w:val="none"/>
                <w:lang w:eastAsia="zh-CN"/>
              </w:rPr>
              <w:t>50</w:t>
            </w:r>
          </w:p>
        </w:tc>
      </w:tr>
      <w:tr w14:paraId="2DE4452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trPr>
        <w:tc>
          <w:tcPr>
            <w:tcW w:w="240" w:type="pct"/>
            <w:vMerge w:val="continue"/>
            <w:vAlign w:val="center"/>
          </w:tcPr>
          <w:p w14:paraId="54630E6D">
            <w:pPr>
              <w:pStyle w:val="58"/>
              <w:bidi w:val="0"/>
              <w:rPr>
                <w:rFonts w:hint="default"/>
                <w:highlight w:val="none"/>
                <w:lang w:eastAsia="zh-CN"/>
              </w:rPr>
            </w:pPr>
          </w:p>
        </w:tc>
        <w:tc>
          <w:tcPr>
            <w:tcW w:w="354" w:type="pct"/>
            <w:vAlign w:val="center"/>
          </w:tcPr>
          <w:p w14:paraId="05910466">
            <w:pPr>
              <w:pStyle w:val="58"/>
              <w:bidi w:val="0"/>
              <w:rPr>
                <w:rFonts w:hint="default"/>
                <w:highlight w:val="none"/>
                <w:lang w:eastAsia="zh-CN"/>
              </w:rPr>
            </w:pPr>
            <w:r>
              <w:rPr>
                <w:rFonts w:hint="eastAsia"/>
                <w:highlight w:val="none"/>
                <w:lang w:eastAsia="zh-CN"/>
              </w:rPr>
              <w:t>BOD</w:t>
            </w:r>
            <w:r>
              <w:rPr>
                <w:rFonts w:hint="eastAsia"/>
                <w:highlight w:val="none"/>
                <w:vertAlign w:val="subscript"/>
                <w:lang w:eastAsia="zh-CN"/>
              </w:rPr>
              <w:t>5</w:t>
            </w:r>
          </w:p>
        </w:tc>
        <w:tc>
          <w:tcPr>
            <w:tcW w:w="398" w:type="pct"/>
            <w:vMerge w:val="continue"/>
            <w:vAlign w:val="center"/>
          </w:tcPr>
          <w:p w14:paraId="17E9FB86">
            <w:pPr>
              <w:pStyle w:val="58"/>
              <w:bidi w:val="0"/>
              <w:rPr>
                <w:rFonts w:hint="default"/>
                <w:highlight w:val="none"/>
                <w:lang w:eastAsia="zh-CN"/>
              </w:rPr>
            </w:pPr>
          </w:p>
        </w:tc>
        <w:tc>
          <w:tcPr>
            <w:tcW w:w="411" w:type="pct"/>
            <w:vAlign w:val="center"/>
          </w:tcPr>
          <w:p w14:paraId="06B2A016">
            <w:pPr>
              <w:pStyle w:val="58"/>
              <w:bidi w:val="0"/>
              <w:rPr>
                <w:rFonts w:hint="default"/>
                <w:highlight w:val="none"/>
                <w:lang w:val="en-US" w:eastAsia="zh-CN"/>
              </w:rPr>
            </w:pPr>
            <w:r>
              <w:rPr>
                <w:rFonts w:hint="default"/>
                <w:highlight w:val="none"/>
                <w:lang w:val="en-US" w:eastAsia="zh-CN"/>
              </w:rPr>
              <w:t>150</w:t>
            </w:r>
          </w:p>
        </w:tc>
        <w:tc>
          <w:tcPr>
            <w:tcW w:w="690" w:type="dxa"/>
            <w:vAlign w:val="center"/>
          </w:tcPr>
          <w:p w14:paraId="4C7BB837">
            <w:pPr>
              <w:pStyle w:val="58"/>
              <w:bidi w:val="0"/>
              <w:rPr>
                <w:rFonts w:hint="default"/>
                <w:highlight w:val="none"/>
                <w:lang w:eastAsia="zh-CN"/>
              </w:rPr>
            </w:pPr>
            <w:r>
              <w:rPr>
                <w:rFonts w:hint="default"/>
                <w:highlight w:val="none"/>
                <w:lang w:val="en-US" w:eastAsia="zh-CN"/>
              </w:rPr>
              <w:t>10.95</w:t>
            </w:r>
          </w:p>
        </w:tc>
        <w:tc>
          <w:tcPr>
            <w:tcW w:w="652" w:type="dxa"/>
            <w:vAlign w:val="center"/>
          </w:tcPr>
          <w:p w14:paraId="675498CA">
            <w:pPr>
              <w:pStyle w:val="58"/>
              <w:bidi w:val="0"/>
              <w:rPr>
                <w:rFonts w:hint="default"/>
                <w:highlight w:val="none"/>
                <w:lang w:eastAsia="zh-CN"/>
              </w:rPr>
            </w:pPr>
            <w:r>
              <w:rPr>
                <w:rFonts w:hint="default"/>
                <w:highlight w:val="none"/>
                <w:lang w:val="en-US" w:eastAsia="zh-CN"/>
              </w:rPr>
              <w:t>13.688</w:t>
            </w:r>
          </w:p>
        </w:tc>
        <w:tc>
          <w:tcPr>
            <w:tcW w:w="515" w:type="pct"/>
            <w:vMerge w:val="continue"/>
            <w:vAlign w:val="center"/>
          </w:tcPr>
          <w:p w14:paraId="4B3164B1">
            <w:pPr>
              <w:pStyle w:val="58"/>
              <w:bidi w:val="0"/>
              <w:rPr>
                <w:rFonts w:hint="default"/>
                <w:highlight w:val="none"/>
                <w:lang w:eastAsia="zh-CN"/>
              </w:rPr>
            </w:pPr>
          </w:p>
        </w:tc>
        <w:tc>
          <w:tcPr>
            <w:tcW w:w="384" w:type="pct"/>
            <w:vAlign w:val="center"/>
          </w:tcPr>
          <w:p w14:paraId="4B35D587">
            <w:pPr>
              <w:pStyle w:val="58"/>
              <w:bidi w:val="0"/>
              <w:rPr>
                <w:rFonts w:hint="default"/>
                <w:highlight w:val="none"/>
                <w:lang w:eastAsia="zh-CN"/>
              </w:rPr>
            </w:pPr>
            <w:r>
              <w:rPr>
                <w:rFonts w:hint="default"/>
                <w:highlight w:val="none"/>
                <w:lang w:eastAsia="zh-CN"/>
              </w:rPr>
              <w:t>&gt;95%</w:t>
            </w:r>
          </w:p>
        </w:tc>
        <w:tc>
          <w:tcPr>
            <w:tcW w:w="416" w:type="pct"/>
            <w:vMerge w:val="continue"/>
            <w:vAlign w:val="center"/>
          </w:tcPr>
          <w:p w14:paraId="11599453">
            <w:pPr>
              <w:pStyle w:val="58"/>
              <w:bidi w:val="0"/>
              <w:rPr>
                <w:rFonts w:hint="default"/>
                <w:highlight w:val="none"/>
                <w:lang w:eastAsia="zh-CN"/>
              </w:rPr>
            </w:pPr>
          </w:p>
        </w:tc>
        <w:tc>
          <w:tcPr>
            <w:tcW w:w="418" w:type="pct"/>
            <w:vAlign w:val="center"/>
          </w:tcPr>
          <w:p w14:paraId="6F4B39B0">
            <w:pPr>
              <w:pStyle w:val="58"/>
              <w:bidi w:val="0"/>
              <w:rPr>
                <w:rFonts w:hint="default"/>
                <w:highlight w:val="none"/>
                <w:lang w:val="en-US" w:eastAsia="zh-CN"/>
              </w:rPr>
            </w:pPr>
            <w:r>
              <w:rPr>
                <w:rFonts w:hint="eastAsia"/>
                <w:highlight w:val="none"/>
                <w:lang w:val="en-US" w:eastAsia="zh-CN"/>
              </w:rPr>
              <w:t>4.998</w:t>
            </w:r>
          </w:p>
        </w:tc>
        <w:tc>
          <w:tcPr>
            <w:tcW w:w="665" w:type="dxa"/>
            <w:vAlign w:val="center"/>
          </w:tcPr>
          <w:p w14:paraId="730679BD">
            <w:pPr>
              <w:pStyle w:val="58"/>
              <w:bidi w:val="0"/>
              <w:rPr>
                <w:rFonts w:hint="default"/>
                <w:highlight w:val="none"/>
                <w:lang w:eastAsia="zh-CN"/>
              </w:rPr>
            </w:pPr>
            <w:r>
              <w:rPr>
                <w:rFonts w:hint="default"/>
                <w:highlight w:val="none"/>
                <w:lang w:val="en-US" w:eastAsia="zh-CN"/>
              </w:rPr>
              <w:t>0.35</w:t>
            </w:r>
          </w:p>
        </w:tc>
        <w:tc>
          <w:tcPr>
            <w:tcW w:w="601" w:type="dxa"/>
            <w:vAlign w:val="center"/>
          </w:tcPr>
          <w:p w14:paraId="3788B2BC">
            <w:pPr>
              <w:pStyle w:val="58"/>
              <w:bidi w:val="0"/>
              <w:rPr>
                <w:rFonts w:hint="default"/>
                <w:highlight w:val="none"/>
                <w:lang w:eastAsia="zh-CN"/>
              </w:rPr>
            </w:pPr>
            <w:r>
              <w:rPr>
                <w:rFonts w:hint="default"/>
                <w:highlight w:val="none"/>
                <w:lang w:val="en-US" w:eastAsia="zh-CN"/>
              </w:rPr>
              <w:t>0.436</w:t>
            </w:r>
          </w:p>
        </w:tc>
        <w:tc>
          <w:tcPr>
            <w:tcW w:w="432" w:type="pct"/>
            <w:vAlign w:val="center"/>
          </w:tcPr>
          <w:p w14:paraId="24DD8C5C">
            <w:pPr>
              <w:pStyle w:val="58"/>
              <w:bidi w:val="0"/>
              <w:rPr>
                <w:rFonts w:hint="default"/>
                <w:highlight w:val="none"/>
                <w:lang w:eastAsia="zh-CN"/>
              </w:rPr>
            </w:pPr>
            <w:r>
              <w:rPr>
                <w:rFonts w:hint="default"/>
                <w:highlight w:val="none"/>
                <w:lang w:eastAsia="zh-CN"/>
              </w:rPr>
              <w:t>10</w:t>
            </w:r>
          </w:p>
        </w:tc>
      </w:tr>
      <w:tr w14:paraId="017AD0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trPr>
        <w:tc>
          <w:tcPr>
            <w:tcW w:w="240" w:type="pct"/>
            <w:vMerge w:val="continue"/>
            <w:vAlign w:val="center"/>
          </w:tcPr>
          <w:p w14:paraId="5B6B33D6">
            <w:pPr>
              <w:pStyle w:val="58"/>
              <w:bidi w:val="0"/>
              <w:rPr>
                <w:rFonts w:hint="default"/>
                <w:highlight w:val="none"/>
                <w:lang w:eastAsia="zh-CN"/>
              </w:rPr>
            </w:pPr>
          </w:p>
        </w:tc>
        <w:tc>
          <w:tcPr>
            <w:tcW w:w="354" w:type="pct"/>
            <w:vAlign w:val="center"/>
          </w:tcPr>
          <w:p w14:paraId="6C3D58FA">
            <w:pPr>
              <w:pStyle w:val="58"/>
              <w:bidi w:val="0"/>
              <w:rPr>
                <w:rFonts w:hint="default"/>
                <w:highlight w:val="none"/>
                <w:lang w:eastAsia="zh-CN"/>
              </w:rPr>
            </w:pPr>
            <w:r>
              <w:rPr>
                <w:rFonts w:hint="default"/>
                <w:highlight w:val="none"/>
                <w:lang w:eastAsia="zh-CN"/>
              </w:rPr>
              <w:t>SS</w:t>
            </w:r>
          </w:p>
        </w:tc>
        <w:tc>
          <w:tcPr>
            <w:tcW w:w="398" w:type="pct"/>
            <w:vMerge w:val="continue"/>
            <w:vAlign w:val="center"/>
          </w:tcPr>
          <w:p w14:paraId="35705884">
            <w:pPr>
              <w:pStyle w:val="58"/>
              <w:bidi w:val="0"/>
              <w:rPr>
                <w:rFonts w:hint="default"/>
                <w:highlight w:val="none"/>
                <w:lang w:eastAsia="zh-CN"/>
              </w:rPr>
            </w:pPr>
          </w:p>
        </w:tc>
        <w:tc>
          <w:tcPr>
            <w:tcW w:w="411" w:type="pct"/>
            <w:vAlign w:val="center"/>
          </w:tcPr>
          <w:p w14:paraId="4B268C4A">
            <w:pPr>
              <w:pStyle w:val="58"/>
              <w:bidi w:val="0"/>
              <w:rPr>
                <w:rFonts w:hint="default"/>
                <w:highlight w:val="none"/>
                <w:lang w:val="en-US" w:eastAsia="zh-CN"/>
              </w:rPr>
            </w:pPr>
            <w:r>
              <w:rPr>
                <w:rFonts w:hint="default"/>
                <w:highlight w:val="none"/>
                <w:lang w:val="en-US" w:eastAsia="zh-CN"/>
              </w:rPr>
              <w:t>250</w:t>
            </w:r>
          </w:p>
        </w:tc>
        <w:tc>
          <w:tcPr>
            <w:tcW w:w="690" w:type="dxa"/>
            <w:vAlign w:val="center"/>
          </w:tcPr>
          <w:p w14:paraId="6B670FD0">
            <w:pPr>
              <w:pStyle w:val="58"/>
              <w:bidi w:val="0"/>
              <w:rPr>
                <w:rFonts w:hint="default"/>
                <w:highlight w:val="none"/>
                <w:lang w:eastAsia="zh-CN"/>
              </w:rPr>
            </w:pPr>
            <w:r>
              <w:rPr>
                <w:rFonts w:hint="default"/>
                <w:highlight w:val="none"/>
                <w:lang w:val="en-US" w:eastAsia="zh-CN"/>
              </w:rPr>
              <w:t>18.25</w:t>
            </w:r>
          </w:p>
        </w:tc>
        <w:tc>
          <w:tcPr>
            <w:tcW w:w="652" w:type="dxa"/>
            <w:vAlign w:val="center"/>
          </w:tcPr>
          <w:p w14:paraId="121EB61A">
            <w:pPr>
              <w:pStyle w:val="58"/>
              <w:bidi w:val="0"/>
              <w:rPr>
                <w:rFonts w:hint="default"/>
                <w:highlight w:val="none"/>
                <w:lang w:eastAsia="zh-CN"/>
              </w:rPr>
            </w:pPr>
            <w:r>
              <w:rPr>
                <w:rFonts w:hint="default"/>
                <w:highlight w:val="none"/>
                <w:lang w:val="en-US" w:eastAsia="zh-CN"/>
              </w:rPr>
              <w:t>22.813</w:t>
            </w:r>
          </w:p>
        </w:tc>
        <w:tc>
          <w:tcPr>
            <w:tcW w:w="515" w:type="pct"/>
            <w:vMerge w:val="continue"/>
            <w:vAlign w:val="center"/>
          </w:tcPr>
          <w:p w14:paraId="5F4EA0F2">
            <w:pPr>
              <w:pStyle w:val="58"/>
              <w:bidi w:val="0"/>
              <w:rPr>
                <w:rFonts w:hint="default"/>
                <w:highlight w:val="none"/>
                <w:lang w:eastAsia="zh-CN"/>
              </w:rPr>
            </w:pPr>
          </w:p>
        </w:tc>
        <w:tc>
          <w:tcPr>
            <w:tcW w:w="384" w:type="pct"/>
            <w:vAlign w:val="center"/>
          </w:tcPr>
          <w:p w14:paraId="41B7C20B">
            <w:pPr>
              <w:pStyle w:val="58"/>
              <w:bidi w:val="0"/>
              <w:rPr>
                <w:rFonts w:hint="default"/>
                <w:highlight w:val="none"/>
                <w:lang w:eastAsia="zh-CN"/>
              </w:rPr>
            </w:pPr>
            <w:r>
              <w:rPr>
                <w:rFonts w:hint="default"/>
                <w:highlight w:val="none"/>
                <w:lang w:eastAsia="zh-CN"/>
              </w:rPr>
              <w:t>&gt;96.7%</w:t>
            </w:r>
          </w:p>
        </w:tc>
        <w:tc>
          <w:tcPr>
            <w:tcW w:w="416" w:type="pct"/>
            <w:vMerge w:val="continue"/>
            <w:vAlign w:val="center"/>
          </w:tcPr>
          <w:p w14:paraId="46827C46">
            <w:pPr>
              <w:pStyle w:val="58"/>
              <w:bidi w:val="0"/>
              <w:rPr>
                <w:rFonts w:hint="default"/>
                <w:highlight w:val="none"/>
                <w:lang w:eastAsia="zh-CN"/>
              </w:rPr>
            </w:pPr>
          </w:p>
        </w:tc>
        <w:tc>
          <w:tcPr>
            <w:tcW w:w="418" w:type="pct"/>
            <w:vAlign w:val="center"/>
          </w:tcPr>
          <w:p w14:paraId="317751A9">
            <w:pPr>
              <w:pStyle w:val="58"/>
              <w:bidi w:val="0"/>
              <w:rPr>
                <w:rFonts w:hint="default"/>
                <w:highlight w:val="none"/>
                <w:lang w:val="en-US" w:eastAsia="zh-CN"/>
              </w:rPr>
            </w:pPr>
            <w:r>
              <w:rPr>
                <w:rFonts w:hint="eastAsia"/>
                <w:highlight w:val="none"/>
                <w:lang w:val="en-US" w:eastAsia="zh-CN"/>
              </w:rPr>
              <w:t>9.3375</w:t>
            </w:r>
          </w:p>
        </w:tc>
        <w:tc>
          <w:tcPr>
            <w:tcW w:w="665" w:type="dxa"/>
            <w:vAlign w:val="center"/>
          </w:tcPr>
          <w:p w14:paraId="7D1E33C1">
            <w:pPr>
              <w:pStyle w:val="58"/>
              <w:bidi w:val="0"/>
              <w:rPr>
                <w:rFonts w:hint="default"/>
                <w:highlight w:val="none"/>
                <w:lang w:eastAsia="zh-CN"/>
              </w:rPr>
            </w:pPr>
            <w:r>
              <w:rPr>
                <w:rFonts w:hint="default"/>
                <w:highlight w:val="none"/>
                <w:lang w:val="en-US" w:eastAsia="zh-CN"/>
              </w:rPr>
              <w:t>0.645</w:t>
            </w:r>
          </w:p>
        </w:tc>
        <w:tc>
          <w:tcPr>
            <w:tcW w:w="601" w:type="dxa"/>
            <w:vAlign w:val="center"/>
          </w:tcPr>
          <w:p w14:paraId="1E448111">
            <w:pPr>
              <w:pStyle w:val="58"/>
              <w:bidi w:val="0"/>
              <w:rPr>
                <w:rFonts w:hint="default"/>
                <w:highlight w:val="none"/>
                <w:lang w:eastAsia="zh-CN"/>
              </w:rPr>
            </w:pPr>
            <w:r>
              <w:rPr>
                <w:rFonts w:hint="default"/>
                <w:highlight w:val="none"/>
                <w:lang w:val="en-US" w:eastAsia="zh-CN"/>
              </w:rPr>
              <w:t>0.815</w:t>
            </w:r>
          </w:p>
        </w:tc>
        <w:tc>
          <w:tcPr>
            <w:tcW w:w="432" w:type="pct"/>
            <w:vAlign w:val="center"/>
          </w:tcPr>
          <w:p w14:paraId="59D8850E">
            <w:pPr>
              <w:pStyle w:val="58"/>
              <w:bidi w:val="0"/>
              <w:rPr>
                <w:rFonts w:hint="default"/>
                <w:highlight w:val="none"/>
                <w:lang w:eastAsia="zh-CN"/>
              </w:rPr>
            </w:pPr>
            <w:r>
              <w:rPr>
                <w:rFonts w:hint="default"/>
                <w:highlight w:val="none"/>
                <w:lang w:eastAsia="zh-CN"/>
              </w:rPr>
              <w:t>10</w:t>
            </w:r>
          </w:p>
        </w:tc>
      </w:tr>
      <w:tr w14:paraId="5E3752E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trPr>
        <w:tc>
          <w:tcPr>
            <w:tcW w:w="240" w:type="pct"/>
            <w:vMerge w:val="continue"/>
            <w:vAlign w:val="center"/>
          </w:tcPr>
          <w:p w14:paraId="0B5C7FD1">
            <w:pPr>
              <w:pStyle w:val="58"/>
              <w:bidi w:val="0"/>
              <w:rPr>
                <w:rFonts w:hint="default"/>
                <w:highlight w:val="none"/>
                <w:lang w:eastAsia="zh-CN"/>
              </w:rPr>
            </w:pPr>
          </w:p>
        </w:tc>
        <w:tc>
          <w:tcPr>
            <w:tcW w:w="354" w:type="pct"/>
            <w:vAlign w:val="center"/>
          </w:tcPr>
          <w:p w14:paraId="2F268503">
            <w:pPr>
              <w:pStyle w:val="58"/>
              <w:bidi w:val="0"/>
              <w:rPr>
                <w:rFonts w:hint="default"/>
                <w:highlight w:val="none"/>
                <w:lang w:eastAsia="zh-CN"/>
              </w:rPr>
            </w:pPr>
            <w:r>
              <w:rPr>
                <w:rFonts w:hint="default"/>
                <w:highlight w:val="none"/>
                <w:lang w:eastAsia="zh-CN"/>
              </w:rPr>
              <w:t>TN</w:t>
            </w:r>
          </w:p>
        </w:tc>
        <w:tc>
          <w:tcPr>
            <w:tcW w:w="398" w:type="pct"/>
            <w:vMerge w:val="continue"/>
            <w:vAlign w:val="center"/>
          </w:tcPr>
          <w:p w14:paraId="190A58B9">
            <w:pPr>
              <w:pStyle w:val="58"/>
              <w:bidi w:val="0"/>
              <w:rPr>
                <w:rFonts w:hint="default"/>
                <w:highlight w:val="none"/>
                <w:lang w:eastAsia="zh-CN"/>
              </w:rPr>
            </w:pPr>
          </w:p>
        </w:tc>
        <w:tc>
          <w:tcPr>
            <w:tcW w:w="411" w:type="pct"/>
            <w:vAlign w:val="center"/>
          </w:tcPr>
          <w:p w14:paraId="315C9473">
            <w:pPr>
              <w:pStyle w:val="58"/>
              <w:bidi w:val="0"/>
              <w:rPr>
                <w:rFonts w:hint="default"/>
                <w:highlight w:val="none"/>
                <w:lang w:val="en-US" w:eastAsia="zh-CN"/>
              </w:rPr>
            </w:pPr>
            <w:r>
              <w:rPr>
                <w:rFonts w:hint="default"/>
                <w:highlight w:val="none"/>
                <w:lang w:val="en-US" w:eastAsia="zh-CN"/>
              </w:rPr>
              <w:t>30</w:t>
            </w:r>
          </w:p>
        </w:tc>
        <w:tc>
          <w:tcPr>
            <w:tcW w:w="690" w:type="dxa"/>
            <w:vAlign w:val="center"/>
          </w:tcPr>
          <w:p w14:paraId="7E43E2F8">
            <w:pPr>
              <w:pStyle w:val="58"/>
              <w:bidi w:val="0"/>
              <w:rPr>
                <w:rFonts w:hint="default"/>
                <w:highlight w:val="none"/>
                <w:lang w:eastAsia="zh-CN"/>
              </w:rPr>
            </w:pPr>
            <w:r>
              <w:rPr>
                <w:rFonts w:hint="default"/>
                <w:highlight w:val="none"/>
                <w:lang w:val="en-US" w:eastAsia="zh-CN"/>
              </w:rPr>
              <w:t>2.19</w:t>
            </w:r>
          </w:p>
        </w:tc>
        <w:tc>
          <w:tcPr>
            <w:tcW w:w="652" w:type="dxa"/>
            <w:vAlign w:val="center"/>
          </w:tcPr>
          <w:p w14:paraId="2EF9B461">
            <w:pPr>
              <w:pStyle w:val="58"/>
              <w:bidi w:val="0"/>
              <w:rPr>
                <w:rFonts w:hint="default"/>
                <w:highlight w:val="none"/>
                <w:lang w:eastAsia="zh-CN"/>
              </w:rPr>
            </w:pPr>
            <w:r>
              <w:rPr>
                <w:rFonts w:hint="default"/>
                <w:highlight w:val="none"/>
                <w:lang w:val="en-US" w:eastAsia="zh-CN"/>
              </w:rPr>
              <w:t>2.738</w:t>
            </w:r>
          </w:p>
        </w:tc>
        <w:tc>
          <w:tcPr>
            <w:tcW w:w="515" w:type="pct"/>
            <w:vMerge w:val="continue"/>
            <w:vAlign w:val="center"/>
          </w:tcPr>
          <w:p w14:paraId="0B614680">
            <w:pPr>
              <w:pStyle w:val="58"/>
              <w:bidi w:val="0"/>
              <w:rPr>
                <w:rFonts w:hint="default"/>
                <w:highlight w:val="none"/>
                <w:lang w:eastAsia="zh-CN"/>
              </w:rPr>
            </w:pPr>
          </w:p>
        </w:tc>
        <w:tc>
          <w:tcPr>
            <w:tcW w:w="384" w:type="pct"/>
            <w:vAlign w:val="center"/>
          </w:tcPr>
          <w:p w14:paraId="1E22C809">
            <w:pPr>
              <w:pStyle w:val="58"/>
              <w:bidi w:val="0"/>
              <w:rPr>
                <w:rFonts w:hint="default"/>
                <w:highlight w:val="none"/>
                <w:lang w:eastAsia="zh-CN"/>
              </w:rPr>
            </w:pPr>
            <w:r>
              <w:rPr>
                <w:rFonts w:hint="default"/>
                <w:highlight w:val="none"/>
                <w:lang w:eastAsia="zh-CN"/>
              </w:rPr>
              <w:t>&gt;66.7%</w:t>
            </w:r>
          </w:p>
        </w:tc>
        <w:tc>
          <w:tcPr>
            <w:tcW w:w="416" w:type="pct"/>
            <w:vMerge w:val="continue"/>
            <w:vAlign w:val="center"/>
          </w:tcPr>
          <w:p w14:paraId="7EE1E192">
            <w:pPr>
              <w:pStyle w:val="58"/>
              <w:bidi w:val="0"/>
              <w:rPr>
                <w:rFonts w:hint="default"/>
                <w:highlight w:val="none"/>
                <w:lang w:eastAsia="zh-CN"/>
              </w:rPr>
            </w:pPr>
          </w:p>
        </w:tc>
        <w:tc>
          <w:tcPr>
            <w:tcW w:w="418" w:type="pct"/>
            <w:vAlign w:val="center"/>
          </w:tcPr>
          <w:p w14:paraId="2FA2D39E">
            <w:pPr>
              <w:pStyle w:val="58"/>
              <w:bidi w:val="0"/>
              <w:rPr>
                <w:rFonts w:hint="default"/>
                <w:highlight w:val="none"/>
                <w:lang w:val="en-US" w:eastAsia="zh-CN"/>
              </w:rPr>
            </w:pPr>
            <w:r>
              <w:rPr>
                <w:rFonts w:hint="eastAsia"/>
                <w:highlight w:val="none"/>
                <w:lang w:val="en-US" w:eastAsia="zh-CN"/>
              </w:rPr>
              <w:t>9.99</w:t>
            </w:r>
          </w:p>
        </w:tc>
        <w:tc>
          <w:tcPr>
            <w:tcW w:w="665" w:type="dxa"/>
            <w:vAlign w:val="center"/>
          </w:tcPr>
          <w:p w14:paraId="601FC729">
            <w:pPr>
              <w:pStyle w:val="58"/>
              <w:bidi w:val="0"/>
              <w:rPr>
                <w:rFonts w:hint="default"/>
                <w:highlight w:val="none"/>
                <w:lang w:eastAsia="zh-CN"/>
              </w:rPr>
            </w:pPr>
            <w:r>
              <w:rPr>
                <w:rFonts w:hint="default"/>
                <w:highlight w:val="none"/>
                <w:lang w:val="en-US" w:eastAsia="zh-CN"/>
              </w:rPr>
              <w:t>0.69</w:t>
            </w:r>
          </w:p>
        </w:tc>
        <w:tc>
          <w:tcPr>
            <w:tcW w:w="601" w:type="dxa"/>
            <w:vAlign w:val="center"/>
          </w:tcPr>
          <w:p w14:paraId="009F7650">
            <w:pPr>
              <w:pStyle w:val="58"/>
              <w:bidi w:val="0"/>
              <w:rPr>
                <w:rFonts w:hint="default"/>
                <w:highlight w:val="none"/>
                <w:lang w:eastAsia="zh-CN"/>
              </w:rPr>
            </w:pPr>
            <w:r>
              <w:rPr>
                <w:rFonts w:hint="default"/>
                <w:highlight w:val="none"/>
                <w:lang w:val="en-US" w:eastAsia="zh-CN"/>
              </w:rPr>
              <w:t>0.87</w:t>
            </w:r>
          </w:p>
        </w:tc>
        <w:tc>
          <w:tcPr>
            <w:tcW w:w="432" w:type="pct"/>
            <w:vAlign w:val="center"/>
          </w:tcPr>
          <w:p w14:paraId="44F8A917">
            <w:pPr>
              <w:pStyle w:val="58"/>
              <w:bidi w:val="0"/>
              <w:rPr>
                <w:rFonts w:hint="default"/>
                <w:highlight w:val="none"/>
                <w:lang w:eastAsia="zh-CN"/>
              </w:rPr>
            </w:pPr>
            <w:r>
              <w:rPr>
                <w:rFonts w:hint="default"/>
                <w:highlight w:val="none"/>
                <w:lang w:eastAsia="zh-CN"/>
              </w:rPr>
              <w:t>15</w:t>
            </w:r>
          </w:p>
        </w:tc>
      </w:tr>
      <w:tr w14:paraId="09A0C98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trPr>
        <w:tc>
          <w:tcPr>
            <w:tcW w:w="240" w:type="pct"/>
            <w:vMerge w:val="continue"/>
            <w:vAlign w:val="center"/>
          </w:tcPr>
          <w:p w14:paraId="2AC9E1ED">
            <w:pPr>
              <w:pStyle w:val="58"/>
              <w:bidi w:val="0"/>
              <w:rPr>
                <w:rFonts w:hint="default"/>
                <w:highlight w:val="none"/>
                <w:lang w:eastAsia="zh-CN"/>
              </w:rPr>
            </w:pPr>
          </w:p>
        </w:tc>
        <w:tc>
          <w:tcPr>
            <w:tcW w:w="354" w:type="pct"/>
            <w:vAlign w:val="center"/>
          </w:tcPr>
          <w:p w14:paraId="40712EAB">
            <w:pPr>
              <w:pStyle w:val="58"/>
              <w:bidi w:val="0"/>
              <w:rPr>
                <w:rFonts w:hint="default"/>
                <w:highlight w:val="none"/>
                <w:lang w:eastAsia="zh-CN"/>
              </w:rPr>
            </w:pPr>
            <w:r>
              <w:rPr>
                <w:rFonts w:hint="eastAsia"/>
                <w:highlight w:val="none"/>
                <w:lang w:eastAsia="zh-CN"/>
              </w:rPr>
              <w:t>NH</w:t>
            </w:r>
            <w:r>
              <w:rPr>
                <w:rFonts w:hint="eastAsia"/>
                <w:highlight w:val="none"/>
                <w:vertAlign w:val="subscript"/>
                <w:lang w:eastAsia="zh-CN"/>
              </w:rPr>
              <w:t>3</w:t>
            </w:r>
            <w:r>
              <w:rPr>
                <w:rFonts w:hint="default"/>
                <w:highlight w:val="none"/>
                <w:lang w:eastAsia="zh-CN"/>
              </w:rPr>
              <w:t>-N</w:t>
            </w:r>
          </w:p>
        </w:tc>
        <w:tc>
          <w:tcPr>
            <w:tcW w:w="398" w:type="pct"/>
            <w:vMerge w:val="continue"/>
            <w:vAlign w:val="center"/>
          </w:tcPr>
          <w:p w14:paraId="768145E0">
            <w:pPr>
              <w:pStyle w:val="58"/>
              <w:bidi w:val="0"/>
              <w:rPr>
                <w:rFonts w:hint="default"/>
                <w:highlight w:val="none"/>
                <w:lang w:eastAsia="zh-CN"/>
              </w:rPr>
            </w:pPr>
          </w:p>
        </w:tc>
        <w:tc>
          <w:tcPr>
            <w:tcW w:w="411" w:type="pct"/>
            <w:vAlign w:val="center"/>
          </w:tcPr>
          <w:p w14:paraId="770B6E44">
            <w:pPr>
              <w:pStyle w:val="58"/>
              <w:bidi w:val="0"/>
              <w:rPr>
                <w:rFonts w:hint="default"/>
                <w:highlight w:val="none"/>
                <w:lang w:eastAsia="zh-CN"/>
              </w:rPr>
            </w:pPr>
            <w:r>
              <w:rPr>
                <w:rFonts w:hint="default"/>
                <w:highlight w:val="none"/>
                <w:lang w:val="en-US" w:eastAsia="zh-CN"/>
              </w:rPr>
              <w:t>4</w:t>
            </w:r>
            <w:r>
              <w:rPr>
                <w:rFonts w:hint="default"/>
                <w:highlight w:val="none"/>
                <w:lang w:eastAsia="zh-CN"/>
              </w:rPr>
              <w:t>5</w:t>
            </w:r>
          </w:p>
        </w:tc>
        <w:tc>
          <w:tcPr>
            <w:tcW w:w="690" w:type="dxa"/>
            <w:vAlign w:val="center"/>
          </w:tcPr>
          <w:p w14:paraId="21515037">
            <w:pPr>
              <w:pStyle w:val="58"/>
              <w:bidi w:val="0"/>
              <w:rPr>
                <w:rFonts w:hint="default"/>
                <w:highlight w:val="none"/>
                <w:lang w:eastAsia="zh-CN"/>
              </w:rPr>
            </w:pPr>
            <w:r>
              <w:rPr>
                <w:rFonts w:hint="default"/>
                <w:highlight w:val="none"/>
                <w:lang w:val="en-US" w:eastAsia="zh-CN"/>
              </w:rPr>
              <w:t>3.285</w:t>
            </w:r>
          </w:p>
        </w:tc>
        <w:tc>
          <w:tcPr>
            <w:tcW w:w="652" w:type="dxa"/>
            <w:vAlign w:val="center"/>
          </w:tcPr>
          <w:p w14:paraId="778600F8">
            <w:pPr>
              <w:pStyle w:val="58"/>
              <w:bidi w:val="0"/>
              <w:rPr>
                <w:rFonts w:hint="default"/>
                <w:highlight w:val="none"/>
                <w:lang w:eastAsia="zh-CN"/>
              </w:rPr>
            </w:pPr>
            <w:r>
              <w:rPr>
                <w:rFonts w:hint="default"/>
                <w:highlight w:val="none"/>
                <w:lang w:val="en-US" w:eastAsia="zh-CN"/>
              </w:rPr>
              <w:t>4.106</w:t>
            </w:r>
          </w:p>
        </w:tc>
        <w:tc>
          <w:tcPr>
            <w:tcW w:w="515" w:type="pct"/>
            <w:vMerge w:val="continue"/>
            <w:vAlign w:val="center"/>
          </w:tcPr>
          <w:p w14:paraId="6B1E30D0">
            <w:pPr>
              <w:pStyle w:val="58"/>
              <w:bidi w:val="0"/>
              <w:rPr>
                <w:rFonts w:hint="default"/>
                <w:highlight w:val="none"/>
                <w:lang w:eastAsia="zh-CN"/>
              </w:rPr>
            </w:pPr>
          </w:p>
        </w:tc>
        <w:tc>
          <w:tcPr>
            <w:tcW w:w="384" w:type="pct"/>
            <w:vAlign w:val="center"/>
          </w:tcPr>
          <w:p w14:paraId="21839042">
            <w:pPr>
              <w:pStyle w:val="58"/>
              <w:bidi w:val="0"/>
              <w:rPr>
                <w:rFonts w:hint="default"/>
                <w:highlight w:val="none"/>
                <w:lang w:eastAsia="zh-CN"/>
              </w:rPr>
            </w:pPr>
            <w:r>
              <w:rPr>
                <w:rFonts w:hint="default"/>
                <w:highlight w:val="none"/>
                <w:lang w:eastAsia="zh-CN"/>
              </w:rPr>
              <w:t>&gt;8</w:t>
            </w:r>
            <w:r>
              <w:rPr>
                <w:rFonts w:hint="default"/>
                <w:highlight w:val="none"/>
                <w:lang w:val="en-US" w:eastAsia="zh-CN"/>
              </w:rPr>
              <w:t>9.5</w:t>
            </w:r>
            <w:r>
              <w:rPr>
                <w:rFonts w:hint="default"/>
                <w:highlight w:val="none"/>
                <w:lang w:eastAsia="zh-CN"/>
              </w:rPr>
              <w:t>%</w:t>
            </w:r>
          </w:p>
        </w:tc>
        <w:tc>
          <w:tcPr>
            <w:tcW w:w="416" w:type="pct"/>
            <w:vMerge w:val="continue"/>
            <w:vAlign w:val="center"/>
          </w:tcPr>
          <w:p w14:paraId="3D73C3F0">
            <w:pPr>
              <w:pStyle w:val="58"/>
              <w:bidi w:val="0"/>
              <w:rPr>
                <w:rFonts w:hint="default"/>
                <w:highlight w:val="none"/>
                <w:lang w:eastAsia="zh-CN"/>
              </w:rPr>
            </w:pPr>
          </w:p>
        </w:tc>
        <w:tc>
          <w:tcPr>
            <w:tcW w:w="418" w:type="pct"/>
            <w:vAlign w:val="center"/>
          </w:tcPr>
          <w:p w14:paraId="372CE0E2">
            <w:pPr>
              <w:pStyle w:val="58"/>
              <w:bidi w:val="0"/>
              <w:rPr>
                <w:rFonts w:hint="default"/>
                <w:highlight w:val="none"/>
                <w:lang w:val="en-US" w:eastAsia="zh-CN"/>
              </w:rPr>
            </w:pPr>
            <w:r>
              <w:rPr>
                <w:rFonts w:hint="eastAsia"/>
                <w:highlight w:val="none"/>
                <w:lang w:val="en-US" w:eastAsia="zh-CN"/>
              </w:rPr>
              <w:t>4.725</w:t>
            </w:r>
          </w:p>
        </w:tc>
        <w:tc>
          <w:tcPr>
            <w:tcW w:w="665" w:type="dxa"/>
            <w:vAlign w:val="center"/>
          </w:tcPr>
          <w:p w14:paraId="7609A0AA">
            <w:pPr>
              <w:pStyle w:val="58"/>
              <w:bidi w:val="0"/>
              <w:rPr>
                <w:rFonts w:hint="default"/>
                <w:highlight w:val="none"/>
                <w:lang w:eastAsia="zh-CN"/>
              </w:rPr>
            </w:pPr>
            <w:r>
              <w:rPr>
                <w:rFonts w:hint="default"/>
                <w:highlight w:val="none"/>
                <w:lang w:val="en-US" w:eastAsia="zh-CN"/>
              </w:rPr>
              <w:t>0.326</w:t>
            </w:r>
          </w:p>
        </w:tc>
        <w:tc>
          <w:tcPr>
            <w:tcW w:w="601" w:type="dxa"/>
            <w:vAlign w:val="center"/>
          </w:tcPr>
          <w:p w14:paraId="26DD2747">
            <w:pPr>
              <w:pStyle w:val="58"/>
              <w:bidi w:val="0"/>
              <w:rPr>
                <w:rFonts w:hint="default"/>
                <w:highlight w:val="none"/>
                <w:lang w:eastAsia="zh-CN"/>
              </w:rPr>
            </w:pPr>
            <w:r>
              <w:rPr>
                <w:rFonts w:hint="default"/>
                <w:highlight w:val="none"/>
                <w:lang w:val="en-US" w:eastAsia="zh-CN"/>
              </w:rPr>
              <w:t>0.413</w:t>
            </w:r>
          </w:p>
        </w:tc>
        <w:tc>
          <w:tcPr>
            <w:tcW w:w="432" w:type="pct"/>
            <w:vAlign w:val="center"/>
          </w:tcPr>
          <w:p w14:paraId="06A1653F">
            <w:pPr>
              <w:pStyle w:val="58"/>
              <w:bidi w:val="0"/>
              <w:rPr>
                <w:rFonts w:hint="default"/>
                <w:highlight w:val="none"/>
                <w:lang w:eastAsia="zh-CN"/>
              </w:rPr>
            </w:pPr>
            <w:r>
              <w:rPr>
                <w:rFonts w:hint="default"/>
                <w:highlight w:val="none"/>
                <w:lang w:eastAsia="zh-CN"/>
              </w:rPr>
              <w:t>5</w:t>
            </w:r>
          </w:p>
        </w:tc>
      </w:tr>
      <w:tr w14:paraId="1DCE37C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trPr>
        <w:tc>
          <w:tcPr>
            <w:tcW w:w="240" w:type="pct"/>
            <w:vMerge w:val="continue"/>
            <w:vAlign w:val="center"/>
          </w:tcPr>
          <w:p w14:paraId="05805922">
            <w:pPr>
              <w:pStyle w:val="58"/>
              <w:bidi w:val="0"/>
              <w:rPr>
                <w:rFonts w:hint="default"/>
                <w:highlight w:val="none"/>
                <w:lang w:eastAsia="zh-CN"/>
              </w:rPr>
            </w:pPr>
          </w:p>
        </w:tc>
        <w:tc>
          <w:tcPr>
            <w:tcW w:w="354" w:type="pct"/>
            <w:vAlign w:val="center"/>
          </w:tcPr>
          <w:p w14:paraId="7108F855">
            <w:pPr>
              <w:pStyle w:val="58"/>
              <w:bidi w:val="0"/>
              <w:rPr>
                <w:rFonts w:hint="default"/>
                <w:highlight w:val="none"/>
                <w:lang w:eastAsia="zh-CN"/>
              </w:rPr>
            </w:pPr>
            <w:r>
              <w:rPr>
                <w:rFonts w:hint="default"/>
                <w:highlight w:val="none"/>
                <w:lang w:eastAsia="zh-CN"/>
              </w:rPr>
              <w:t>TP</w:t>
            </w:r>
          </w:p>
        </w:tc>
        <w:tc>
          <w:tcPr>
            <w:tcW w:w="398" w:type="pct"/>
            <w:vMerge w:val="continue"/>
            <w:vAlign w:val="center"/>
          </w:tcPr>
          <w:p w14:paraId="497D9BC8">
            <w:pPr>
              <w:pStyle w:val="58"/>
              <w:bidi w:val="0"/>
              <w:rPr>
                <w:rFonts w:hint="default"/>
                <w:highlight w:val="none"/>
                <w:lang w:eastAsia="zh-CN"/>
              </w:rPr>
            </w:pPr>
          </w:p>
        </w:tc>
        <w:tc>
          <w:tcPr>
            <w:tcW w:w="411" w:type="pct"/>
            <w:vAlign w:val="center"/>
          </w:tcPr>
          <w:p w14:paraId="617789EF">
            <w:pPr>
              <w:pStyle w:val="58"/>
              <w:bidi w:val="0"/>
              <w:rPr>
                <w:rFonts w:hint="default"/>
                <w:highlight w:val="none"/>
                <w:lang w:eastAsia="zh-CN"/>
              </w:rPr>
            </w:pPr>
            <w:r>
              <w:rPr>
                <w:rFonts w:hint="default"/>
                <w:highlight w:val="none"/>
                <w:lang w:val="en-US" w:eastAsia="zh-CN"/>
              </w:rPr>
              <w:t>8</w:t>
            </w:r>
          </w:p>
        </w:tc>
        <w:tc>
          <w:tcPr>
            <w:tcW w:w="690" w:type="dxa"/>
            <w:vAlign w:val="center"/>
          </w:tcPr>
          <w:p w14:paraId="2B72688D">
            <w:pPr>
              <w:pStyle w:val="58"/>
              <w:bidi w:val="0"/>
              <w:rPr>
                <w:rFonts w:hint="default"/>
                <w:highlight w:val="none"/>
                <w:lang w:eastAsia="zh-CN"/>
              </w:rPr>
            </w:pPr>
            <w:r>
              <w:rPr>
                <w:rFonts w:hint="default"/>
                <w:highlight w:val="none"/>
                <w:lang w:val="en-US" w:eastAsia="zh-CN"/>
              </w:rPr>
              <w:t>0.584</w:t>
            </w:r>
          </w:p>
        </w:tc>
        <w:tc>
          <w:tcPr>
            <w:tcW w:w="652" w:type="dxa"/>
            <w:vAlign w:val="center"/>
          </w:tcPr>
          <w:p w14:paraId="118091C8">
            <w:pPr>
              <w:pStyle w:val="58"/>
              <w:bidi w:val="0"/>
              <w:rPr>
                <w:rFonts w:hint="default"/>
                <w:highlight w:val="none"/>
                <w:lang w:eastAsia="zh-CN"/>
              </w:rPr>
            </w:pPr>
            <w:r>
              <w:rPr>
                <w:rFonts w:hint="default"/>
                <w:highlight w:val="none"/>
                <w:lang w:val="en-US" w:eastAsia="zh-CN"/>
              </w:rPr>
              <w:t>0.73</w:t>
            </w:r>
          </w:p>
        </w:tc>
        <w:tc>
          <w:tcPr>
            <w:tcW w:w="515" w:type="pct"/>
            <w:vMerge w:val="continue"/>
            <w:vAlign w:val="center"/>
          </w:tcPr>
          <w:p w14:paraId="128263C7">
            <w:pPr>
              <w:pStyle w:val="58"/>
              <w:bidi w:val="0"/>
              <w:rPr>
                <w:rFonts w:hint="default"/>
                <w:highlight w:val="none"/>
                <w:lang w:eastAsia="zh-CN"/>
              </w:rPr>
            </w:pPr>
          </w:p>
        </w:tc>
        <w:tc>
          <w:tcPr>
            <w:tcW w:w="384" w:type="pct"/>
            <w:vAlign w:val="center"/>
          </w:tcPr>
          <w:p w14:paraId="6D56437F">
            <w:pPr>
              <w:pStyle w:val="58"/>
              <w:bidi w:val="0"/>
              <w:rPr>
                <w:rFonts w:hint="default"/>
                <w:highlight w:val="none"/>
                <w:lang w:eastAsia="zh-CN"/>
              </w:rPr>
            </w:pPr>
            <w:r>
              <w:rPr>
                <w:rFonts w:hint="default"/>
                <w:highlight w:val="none"/>
                <w:lang w:eastAsia="zh-CN"/>
              </w:rPr>
              <w:t>&gt;</w:t>
            </w:r>
            <w:r>
              <w:rPr>
                <w:rFonts w:hint="default"/>
                <w:highlight w:val="none"/>
                <w:lang w:val="en-US" w:eastAsia="zh-CN"/>
              </w:rPr>
              <w:t>95</w:t>
            </w:r>
            <w:r>
              <w:rPr>
                <w:rFonts w:hint="default"/>
                <w:highlight w:val="none"/>
                <w:lang w:eastAsia="zh-CN"/>
              </w:rPr>
              <w:t>%</w:t>
            </w:r>
          </w:p>
        </w:tc>
        <w:tc>
          <w:tcPr>
            <w:tcW w:w="416" w:type="pct"/>
            <w:vMerge w:val="continue"/>
            <w:vAlign w:val="center"/>
          </w:tcPr>
          <w:p w14:paraId="6F3B70E0">
            <w:pPr>
              <w:pStyle w:val="58"/>
              <w:bidi w:val="0"/>
              <w:rPr>
                <w:rFonts w:hint="default"/>
                <w:highlight w:val="none"/>
                <w:lang w:eastAsia="zh-CN"/>
              </w:rPr>
            </w:pPr>
          </w:p>
        </w:tc>
        <w:tc>
          <w:tcPr>
            <w:tcW w:w="418" w:type="pct"/>
            <w:vAlign w:val="center"/>
          </w:tcPr>
          <w:p w14:paraId="44F9894C">
            <w:pPr>
              <w:pStyle w:val="58"/>
              <w:bidi w:val="0"/>
              <w:rPr>
                <w:rFonts w:hint="default"/>
                <w:highlight w:val="none"/>
                <w:lang w:val="en-US" w:eastAsia="zh-CN"/>
              </w:rPr>
            </w:pPr>
            <w:r>
              <w:rPr>
                <w:rFonts w:hint="eastAsia"/>
                <w:highlight w:val="none"/>
                <w:lang w:val="en-US" w:eastAsia="zh-CN"/>
              </w:rPr>
              <w:t>0.3984</w:t>
            </w:r>
          </w:p>
        </w:tc>
        <w:tc>
          <w:tcPr>
            <w:tcW w:w="665" w:type="dxa"/>
            <w:vAlign w:val="center"/>
          </w:tcPr>
          <w:p w14:paraId="72F00E13">
            <w:pPr>
              <w:pStyle w:val="58"/>
              <w:bidi w:val="0"/>
              <w:rPr>
                <w:rFonts w:hint="default"/>
                <w:highlight w:val="none"/>
                <w:lang w:eastAsia="zh-CN"/>
              </w:rPr>
            </w:pPr>
            <w:r>
              <w:rPr>
                <w:rFonts w:hint="default"/>
                <w:highlight w:val="none"/>
                <w:lang w:val="en-US" w:eastAsia="zh-CN"/>
              </w:rPr>
              <w:t>0.028</w:t>
            </w:r>
          </w:p>
        </w:tc>
        <w:tc>
          <w:tcPr>
            <w:tcW w:w="601" w:type="dxa"/>
            <w:vAlign w:val="center"/>
          </w:tcPr>
          <w:p w14:paraId="52150F1E">
            <w:pPr>
              <w:pStyle w:val="58"/>
              <w:bidi w:val="0"/>
              <w:rPr>
                <w:rFonts w:hint="default"/>
                <w:highlight w:val="none"/>
                <w:lang w:eastAsia="zh-CN"/>
              </w:rPr>
            </w:pPr>
            <w:r>
              <w:rPr>
                <w:rFonts w:hint="default"/>
                <w:highlight w:val="none"/>
                <w:lang w:val="en-US" w:eastAsia="zh-CN"/>
              </w:rPr>
              <w:t>0.035</w:t>
            </w:r>
          </w:p>
        </w:tc>
        <w:tc>
          <w:tcPr>
            <w:tcW w:w="432" w:type="pct"/>
            <w:vAlign w:val="center"/>
          </w:tcPr>
          <w:p w14:paraId="0B0544BA">
            <w:pPr>
              <w:pStyle w:val="58"/>
              <w:bidi w:val="0"/>
              <w:rPr>
                <w:rFonts w:hint="default"/>
                <w:highlight w:val="none"/>
                <w:lang w:eastAsia="zh-CN"/>
              </w:rPr>
            </w:pPr>
            <w:r>
              <w:rPr>
                <w:rFonts w:hint="default"/>
                <w:highlight w:val="none"/>
                <w:lang w:eastAsia="zh-CN"/>
              </w:rPr>
              <w:t>0.5</w:t>
            </w:r>
          </w:p>
        </w:tc>
      </w:tr>
      <w:tr w14:paraId="5769DED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trPr>
        <w:tc>
          <w:tcPr>
            <w:tcW w:w="240" w:type="pct"/>
            <w:vMerge w:val="continue"/>
            <w:vAlign w:val="center"/>
          </w:tcPr>
          <w:p w14:paraId="58CF45E3">
            <w:pPr>
              <w:pStyle w:val="58"/>
              <w:bidi w:val="0"/>
              <w:rPr>
                <w:rFonts w:hint="default"/>
                <w:highlight w:val="none"/>
                <w:lang w:eastAsia="zh-CN"/>
              </w:rPr>
            </w:pPr>
          </w:p>
        </w:tc>
        <w:tc>
          <w:tcPr>
            <w:tcW w:w="354" w:type="pct"/>
            <w:vAlign w:val="center"/>
          </w:tcPr>
          <w:p w14:paraId="1C26F80F">
            <w:pPr>
              <w:pStyle w:val="58"/>
              <w:bidi w:val="0"/>
              <w:rPr>
                <w:rFonts w:hint="default"/>
                <w:highlight w:val="none"/>
                <w:lang w:eastAsia="zh-CN"/>
              </w:rPr>
            </w:pPr>
            <w:r>
              <w:rPr>
                <w:rFonts w:hint="default"/>
                <w:highlight w:val="none"/>
                <w:lang w:eastAsia="zh-CN"/>
              </w:rPr>
              <w:t>pH</w:t>
            </w:r>
          </w:p>
        </w:tc>
        <w:tc>
          <w:tcPr>
            <w:tcW w:w="398" w:type="pct"/>
            <w:vMerge w:val="continue"/>
            <w:vAlign w:val="center"/>
          </w:tcPr>
          <w:p w14:paraId="505FCB43">
            <w:pPr>
              <w:pStyle w:val="58"/>
              <w:bidi w:val="0"/>
              <w:rPr>
                <w:rFonts w:hint="default"/>
                <w:highlight w:val="none"/>
                <w:lang w:eastAsia="zh-CN"/>
              </w:rPr>
            </w:pPr>
          </w:p>
        </w:tc>
        <w:tc>
          <w:tcPr>
            <w:tcW w:w="411" w:type="pct"/>
            <w:vAlign w:val="center"/>
          </w:tcPr>
          <w:p w14:paraId="5C45AFAF">
            <w:pPr>
              <w:pStyle w:val="58"/>
              <w:bidi w:val="0"/>
              <w:rPr>
                <w:rFonts w:hint="default"/>
                <w:highlight w:val="none"/>
                <w:lang w:eastAsia="zh-CN"/>
              </w:rPr>
            </w:pPr>
            <w:r>
              <w:rPr>
                <w:rFonts w:hint="default"/>
                <w:highlight w:val="none"/>
                <w:lang w:eastAsia="zh-CN"/>
              </w:rPr>
              <w:t>6-9(无量纲)</w:t>
            </w:r>
          </w:p>
        </w:tc>
        <w:tc>
          <w:tcPr>
            <w:tcW w:w="690" w:type="dxa"/>
            <w:vAlign w:val="center"/>
          </w:tcPr>
          <w:p w14:paraId="6736F822">
            <w:pPr>
              <w:pStyle w:val="58"/>
              <w:bidi w:val="0"/>
              <w:rPr>
                <w:rFonts w:hint="default"/>
                <w:highlight w:val="none"/>
                <w:lang w:eastAsia="zh-CN"/>
              </w:rPr>
            </w:pPr>
            <w:r>
              <w:rPr>
                <w:rFonts w:hint="default"/>
                <w:highlight w:val="none"/>
                <w:lang w:val="en-US" w:eastAsia="zh-CN"/>
              </w:rPr>
              <w:t>/</w:t>
            </w:r>
          </w:p>
        </w:tc>
        <w:tc>
          <w:tcPr>
            <w:tcW w:w="652" w:type="dxa"/>
            <w:vAlign w:val="center"/>
          </w:tcPr>
          <w:p w14:paraId="5FE14620">
            <w:pPr>
              <w:pStyle w:val="58"/>
              <w:bidi w:val="0"/>
              <w:rPr>
                <w:rFonts w:hint="default"/>
                <w:highlight w:val="none"/>
                <w:lang w:eastAsia="zh-CN"/>
              </w:rPr>
            </w:pPr>
            <w:r>
              <w:rPr>
                <w:rFonts w:hint="default"/>
                <w:highlight w:val="none"/>
                <w:lang w:val="en-US" w:eastAsia="zh-CN"/>
              </w:rPr>
              <w:t>/</w:t>
            </w:r>
          </w:p>
        </w:tc>
        <w:tc>
          <w:tcPr>
            <w:tcW w:w="515" w:type="pct"/>
            <w:vMerge w:val="continue"/>
            <w:vAlign w:val="center"/>
          </w:tcPr>
          <w:p w14:paraId="670D6B57">
            <w:pPr>
              <w:pStyle w:val="58"/>
              <w:bidi w:val="0"/>
              <w:rPr>
                <w:rFonts w:hint="default"/>
                <w:highlight w:val="none"/>
                <w:lang w:eastAsia="zh-CN"/>
              </w:rPr>
            </w:pPr>
          </w:p>
        </w:tc>
        <w:tc>
          <w:tcPr>
            <w:tcW w:w="384" w:type="pct"/>
            <w:vAlign w:val="center"/>
          </w:tcPr>
          <w:p w14:paraId="1C35C04D">
            <w:pPr>
              <w:pStyle w:val="58"/>
              <w:bidi w:val="0"/>
              <w:rPr>
                <w:rFonts w:hint="default"/>
                <w:highlight w:val="none"/>
                <w:lang w:eastAsia="zh-CN"/>
              </w:rPr>
            </w:pPr>
            <w:r>
              <w:rPr>
                <w:rFonts w:hint="default"/>
                <w:highlight w:val="none"/>
                <w:lang w:eastAsia="zh-CN"/>
              </w:rPr>
              <w:t>——</w:t>
            </w:r>
          </w:p>
        </w:tc>
        <w:tc>
          <w:tcPr>
            <w:tcW w:w="416" w:type="pct"/>
            <w:vMerge w:val="continue"/>
            <w:vAlign w:val="center"/>
          </w:tcPr>
          <w:p w14:paraId="77E8FE79">
            <w:pPr>
              <w:pStyle w:val="58"/>
              <w:bidi w:val="0"/>
              <w:rPr>
                <w:rFonts w:hint="default"/>
                <w:highlight w:val="none"/>
                <w:lang w:eastAsia="zh-CN"/>
              </w:rPr>
            </w:pPr>
          </w:p>
        </w:tc>
        <w:tc>
          <w:tcPr>
            <w:tcW w:w="418" w:type="pct"/>
            <w:vAlign w:val="center"/>
          </w:tcPr>
          <w:p w14:paraId="3D2CE1E6">
            <w:pPr>
              <w:pStyle w:val="58"/>
              <w:bidi w:val="0"/>
              <w:rPr>
                <w:rFonts w:hint="default"/>
                <w:highlight w:val="none"/>
                <w:lang w:eastAsia="zh-CN"/>
              </w:rPr>
            </w:pPr>
            <w:r>
              <w:rPr>
                <w:rFonts w:hint="default"/>
                <w:highlight w:val="none"/>
                <w:lang w:eastAsia="zh-CN"/>
              </w:rPr>
              <w:t>6-9(无量纲)</w:t>
            </w:r>
          </w:p>
        </w:tc>
        <w:tc>
          <w:tcPr>
            <w:tcW w:w="665" w:type="dxa"/>
            <w:vAlign w:val="center"/>
          </w:tcPr>
          <w:p w14:paraId="7726D545">
            <w:pPr>
              <w:pStyle w:val="58"/>
              <w:bidi w:val="0"/>
              <w:rPr>
                <w:rFonts w:hint="default"/>
                <w:highlight w:val="none"/>
                <w:lang w:eastAsia="zh-CN"/>
              </w:rPr>
            </w:pPr>
            <w:r>
              <w:rPr>
                <w:rFonts w:hint="default"/>
                <w:highlight w:val="none"/>
                <w:lang w:val="en-US" w:eastAsia="zh-CN"/>
              </w:rPr>
              <w:t>/</w:t>
            </w:r>
          </w:p>
        </w:tc>
        <w:tc>
          <w:tcPr>
            <w:tcW w:w="601" w:type="dxa"/>
            <w:vAlign w:val="center"/>
          </w:tcPr>
          <w:p w14:paraId="27FF7BF4">
            <w:pPr>
              <w:pStyle w:val="58"/>
              <w:bidi w:val="0"/>
              <w:rPr>
                <w:rFonts w:hint="default"/>
                <w:highlight w:val="none"/>
                <w:lang w:eastAsia="zh-CN"/>
              </w:rPr>
            </w:pPr>
            <w:r>
              <w:rPr>
                <w:rFonts w:hint="default"/>
                <w:highlight w:val="none"/>
                <w:lang w:val="en-US" w:eastAsia="zh-CN"/>
              </w:rPr>
              <w:t>/</w:t>
            </w:r>
          </w:p>
        </w:tc>
        <w:tc>
          <w:tcPr>
            <w:tcW w:w="432" w:type="pct"/>
            <w:vAlign w:val="center"/>
          </w:tcPr>
          <w:p w14:paraId="21B44E08">
            <w:pPr>
              <w:pStyle w:val="58"/>
              <w:bidi w:val="0"/>
              <w:rPr>
                <w:rFonts w:hint="default"/>
                <w:highlight w:val="none"/>
                <w:lang w:eastAsia="zh-CN"/>
              </w:rPr>
            </w:pPr>
            <w:r>
              <w:rPr>
                <w:rFonts w:hint="default"/>
                <w:highlight w:val="none"/>
                <w:lang w:eastAsia="zh-CN"/>
              </w:rPr>
              <w:t>6-9(无量纲)</w:t>
            </w:r>
          </w:p>
        </w:tc>
      </w:tr>
      <w:tr w14:paraId="560E9AB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trPr>
        <w:tc>
          <w:tcPr>
            <w:tcW w:w="240" w:type="pct"/>
            <w:vMerge w:val="continue"/>
            <w:vAlign w:val="center"/>
          </w:tcPr>
          <w:p w14:paraId="417EB4BF">
            <w:pPr>
              <w:pStyle w:val="58"/>
              <w:bidi w:val="0"/>
              <w:rPr>
                <w:rFonts w:hint="default"/>
                <w:highlight w:val="none"/>
                <w:lang w:eastAsia="zh-CN"/>
              </w:rPr>
            </w:pPr>
          </w:p>
        </w:tc>
        <w:tc>
          <w:tcPr>
            <w:tcW w:w="354" w:type="pct"/>
            <w:vAlign w:val="center"/>
          </w:tcPr>
          <w:p w14:paraId="11F54808">
            <w:pPr>
              <w:pStyle w:val="58"/>
              <w:bidi w:val="0"/>
              <w:rPr>
                <w:rFonts w:hint="default"/>
                <w:highlight w:val="none"/>
                <w:lang w:eastAsia="zh-CN"/>
              </w:rPr>
            </w:pPr>
            <w:r>
              <w:rPr>
                <w:rFonts w:hint="default"/>
                <w:highlight w:val="none"/>
                <w:lang w:eastAsia="zh-CN"/>
              </w:rPr>
              <w:t>粪大肠菌群</w:t>
            </w:r>
          </w:p>
        </w:tc>
        <w:tc>
          <w:tcPr>
            <w:tcW w:w="398" w:type="pct"/>
            <w:vMerge w:val="continue"/>
            <w:vAlign w:val="center"/>
          </w:tcPr>
          <w:p w14:paraId="452F2E9D">
            <w:pPr>
              <w:pStyle w:val="58"/>
              <w:bidi w:val="0"/>
              <w:rPr>
                <w:rFonts w:hint="default"/>
                <w:highlight w:val="none"/>
                <w:lang w:eastAsia="zh-CN"/>
              </w:rPr>
            </w:pPr>
          </w:p>
        </w:tc>
        <w:tc>
          <w:tcPr>
            <w:tcW w:w="411" w:type="pct"/>
            <w:vAlign w:val="center"/>
          </w:tcPr>
          <w:p w14:paraId="3D08A116">
            <w:pPr>
              <w:pStyle w:val="58"/>
              <w:bidi w:val="0"/>
              <w:rPr>
                <w:rFonts w:hint="default"/>
                <w:highlight w:val="none"/>
                <w:lang w:eastAsia="zh-CN"/>
              </w:rPr>
            </w:pPr>
            <w:r>
              <w:rPr>
                <w:rFonts w:hint="default"/>
                <w:highlight w:val="none"/>
                <w:lang w:eastAsia="zh-CN"/>
              </w:rPr>
              <w:t>10000</w:t>
            </w:r>
            <w:r>
              <w:rPr>
                <w:rFonts w:hint="default"/>
                <w:highlight w:val="none"/>
                <w:lang w:val="en-US" w:eastAsia="zh-CN"/>
              </w:rPr>
              <w:t>00</w:t>
            </w:r>
            <w:r>
              <w:rPr>
                <w:rFonts w:hint="default"/>
                <w:highlight w:val="none"/>
                <w:lang w:eastAsia="zh-CN"/>
              </w:rPr>
              <w:t>(个/L)</w:t>
            </w:r>
          </w:p>
        </w:tc>
        <w:tc>
          <w:tcPr>
            <w:tcW w:w="690" w:type="dxa"/>
            <w:vAlign w:val="center"/>
          </w:tcPr>
          <w:p w14:paraId="224D7117">
            <w:pPr>
              <w:pStyle w:val="58"/>
              <w:bidi w:val="0"/>
              <w:rPr>
                <w:rFonts w:hint="default"/>
                <w:highlight w:val="none"/>
                <w:lang w:eastAsia="zh-CN"/>
              </w:rPr>
            </w:pPr>
            <w:r>
              <w:rPr>
                <w:rFonts w:hint="default"/>
                <w:highlight w:val="none"/>
                <w:lang w:val="en-US" w:eastAsia="zh-CN"/>
              </w:rPr>
              <w:t>/</w:t>
            </w:r>
          </w:p>
        </w:tc>
        <w:tc>
          <w:tcPr>
            <w:tcW w:w="652" w:type="dxa"/>
            <w:vAlign w:val="center"/>
          </w:tcPr>
          <w:p w14:paraId="5EBB8D10">
            <w:pPr>
              <w:pStyle w:val="58"/>
              <w:bidi w:val="0"/>
              <w:rPr>
                <w:rFonts w:hint="default"/>
                <w:highlight w:val="none"/>
                <w:lang w:eastAsia="zh-CN"/>
              </w:rPr>
            </w:pPr>
            <w:r>
              <w:rPr>
                <w:rFonts w:hint="default"/>
                <w:highlight w:val="none"/>
                <w:lang w:val="en-US" w:eastAsia="zh-CN"/>
              </w:rPr>
              <w:t>/</w:t>
            </w:r>
          </w:p>
        </w:tc>
        <w:tc>
          <w:tcPr>
            <w:tcW w:w="515" w:type="pct"/>
            <w:vMerge w:val="continue"/>
            <w:vAlign w:val="center"/>
          </w:tcPr>
          <w:p w14:paraId="5C46BCED">
            <w:pPr>
              <w:pStyle w:val="58"/>
              <w:bidi w:val="0"/>
              <w:rPr>
                <w:rFonts w:hint="default"/>
                <w:highlight w:val="none"/>
                <w:lang w:eastAsia="zh-CN"/>
              </w:rPr>
            </w:pPr>
          </w:p>
        </w:tc>
        <w:tc>
          <w:tcPr>
            <w:tcW w:w="384" w:type="pct"/>
            <w:vAlign w:val="center"/>
          </w:tcPr>
          <w:p w14:paraId="3B35CC64">
            <w:pPr>
              <w:pStyle w:val="58"/>
              <w:bidi w:val="0"/>
              <w:rPr>
                <w:rFonts w:hint="default"/>
                <w:highlight w:val="none"/>
                <w:lang w:eastAsia="zh-CN"/>
              </w:rPr>
            </w:pPr>
            <w:r>
              <w:rPr>
                <w:rFonts w:hint="default"/>
                <w:highlight w:val="none"/>
                <w:lang w:eastAsia="zh-CN"/>
              </w:rPr>
              <w:t>&gt;99%</w:t>
            </w:r>
          </w:p>
        </w:tc>
        <w:tc>
          <w:tcPr>
            <w:tcW w:w="416" w:type="pct"/>
            <w:vMerge w:val="continue"/>
            <w:vAlign w:val="center"/>
          </w:tcPr>
          <w:p w14:paraId="4F06BD15">
            <w:pPr>
              <w:pStyle w:val="58"/>
              <w:bidi w:val="0"/>
              <w:rPr>
                <w:rFonts w:hint="default"/>
                <w:highlight w:val="none"/>
                <w:lang w:eastAsia="zh-CN"/>
              </w:rPr>
            </w:pPr>
          </w:p>
        </w:tc>
        <w:tc>
          <w:tcPr>
            <w:tcW w:w="418" w:type="pct"/>
            <w:vAlign w:val="center"/>
          </w:tcPr>
          <w:p w14:paraId="7C9FC41B">
            <w:pPr>
              <w:pStyle w:val="58"/>
              <w:bidi w:val="0"/>
              <w:rPr>
                <w:rFonts w:hint="default"/>
                <w:highlight w:val="none"/>
                <w:lang w:val="en-US" w:eastAsia="zh-CN"/>
              </w:rPr>
            </w:pPr>
            <w:r>
              <w:rPr>
                <w:rFonts w:hint="eastAsia"/>
                <w:highlight w:val="none"/>
                <w:lang w:val="en-US" w:eastAsia="zh-CN"/>
              </w:rPr>
              <w:t>1000</w:t>
            </w:r>
          </w:p>
        </w:tc>
        <w:tc>
          <w:tcPr>
            <w:tcW w:w="665" w:type="dxa"/>
            <w:vAlign w:val="center"/>
          </w:tcPr>
          <w:p w14:paraId="3C043E21">
            <w:pPr>
              <w:pStyle w:val="58"/>
              <w:bidi w:val="0"/>
              <w:rPr>
                <w:rFonts w:hint="default"/>
                <w:highlight w:val="none"/>
                <w:lang w:eastAsia="zh-CN"/>
              </w:rPr>
            </w:pPr>
            <w:r>
              <w:rPr>
                <w:rFonts w:hint="default"/>
                <w:highlight w:val="none"/>
                <w:lang w:val="en-US" w:eastAsia="zh-CN"/>
              </w:rPr>
              <w:t>/</w:t>
            </w:r>
          </w:p>
        </w:tc>
        <w:tc>
          <w:tcPr>
            <w:tcW w:w="601" w:type="dxa"/>
            <w:vAlign w:val="center"/>
          </w:tcPr>
          <w:p w14:paraId="1AA31ECB">
            <w:pPr>
              <w:pStyle w:val="58"/>
              <w:bidi w:val="0"/>
              <w:rPr>
                <w:rFonts w:hint="default"/>
                <w:highlight w:val="none"/>
                <w:lang w:eastAsia="zh-CN"/>
              </w:rPr>
            </w:pPr>
            <w:r>
              <w:rPr>
                <w:rFonts w:hint="default"/>
                <w:highlight w:val="none"/>
                <w:lang w:val="en-US" w:eastAsia="zh-CN"/>
              </w:rPr>
              <w:t>/</w:t>
            </w:r>
          </w:p>
        </w:tc>
        <w:tc>
          <w:tcPr>
            <w:tcW w:w="432" w:type="pct"/>
            <w:vAlign w:val="center"/>
          </w:tcPr>
          <w:p w14:paraId="4363F3CC">
            <w:pPr>
              <w:pStyle w:val="58"/>
              <w:bidi w:val="0"/>
              <w:rPr>
                <w:rFonts w:hint="default"/>
                <w:highlight w:val="none"/>
                <w:lang w:eastAsia="zh-CN"/>
              </w:rPr>
            </w:pPr>
            <w:r>
              <w:rPr>
                <w:rFonts w:hint="default"/>
                <w:highlight w:val="none"/>
                <w:lang w:eastAsia="zh-CN"/>
              </w:rPr>
              <w:t>1000(个/L)</w:t>
            </w:r>
          </w:p>
        </w:tc>
      </w:tr>
      <w:tr w14:paraId="7AA7EC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trPr>
        <w:tc>
          <w:tcPr>
            <w:tcW w:w="240" w:type="pct"/>
            <w:vMerge w:val="continue"/>
            <w:vAlign w:val="center"/>
          </w:tcPr>
          <w:p w14:paraId="57821CE0">
            <w:pPr>
              <w:pStyle w:val="58"/>
              <w:bidi w:val="0"/>
              <w:rPr>
                <w:rFonts w:hint="default"/>
                <w:highlight w:val="none"/>
                <w:lang w:eastAsia="zh-CN"/>
              </w:rPr>
            </w:pPr>
          </w:p>
        </w:tc>
        <w:tc>
          <w:tcPr>
            <w:tcW w:w="354" w:type="pct"/>
            <w:vAlign w:val="center"/>
          </w:tcPr>
          <w:p w14:paraId="7897731F">
            <w:pPr>
              <w:pStyle w:val="58"/>
              <w:bidi w:val="0"/>
              <w:rPr>
                <w:rFonts w:hint="default"/>
                <w:highlight w:val="none"/>
                <w:lang w:eastAsia="zh-CN"/>
              </w:rPr>
            </w:pPr>
            <w:r>
              <w:rPr>
                <w:rFonts w:hint="default"/>
                <w:highlight w:val="none"/>
                <w:lang w:eastAsia="zh-CN"/>
              </w:rPr>
              <w:t>石油类</w:t>
            </w:r>
          </w:p>
        </w:tc>
        <w:tc>
          <w:tcPr>
            <w:tcW w:w="398" w:type="pct"/>
            <w:vMerge w:val="continue"/>
            <w:vAlign w:val="center"/>
          </w:tcPr>
          <w:p w14:paraId="2D49362A">
            <w:pPr>
              <w:pStyle w:val="58"/>
              <w:bidi w:val="0"/>
              <w:rPr>
                <w:rFonts w:hint="default"/>
                <w:highlight w:val="none"/>
                <w:lang w:eastAsia="zh-CN"/>
              </w:rPr>
            </w:pPr>
          </w:p>
        </w:tc>
        <w:tc>
          <w:tcPr>
            <w:tcW w:w="411" w:type="pct"/>
            <w:vAlign w:val="center"/>
          </w:tcPr>
          <w:p w14:paraId="794D8AD0">
            <w:pPr>
              <w:pStyle w:val="58"/>
              <w:bidi w:val="0"/>
              <w:rPr>
                <w:rFonts w:hint="default"/>
                <w:highlight w:val="none"/>
                <w:lang w:eastAsia="zh-CN"/>
              </w:rPr>
            </w:pPr>
            <w:r>
              <w:rPr>
                <w:rFonts w:hint="default"/>
                <w:highlight w:val="none"/>
                <w:lang w:eastAsia="zh-CN"/>
              </w:rPr>
              <w:t>0.19</w:t>
            </w:r>
          </w:p>
        </w:tc>
        <w:tc>
          <w:tcPr>
            <w:tcW w:w="690" w:type="dxa"/>
            <w:vAlign w:val="center"/>
          </w:tcPr>
          <w:p w14:paraId="3D87B2CD">
            <w:pPr>
              <w:pStyle w:val="58"/>
              <w:bidi w:val="0"/>
              <w:rPr>
                <w:rFonts w:hint="default"/>
                <w:highlight w:val="none"/>
                <w:lang w:eastAsia="zh-CN"/>
              </w:rPr>
            </w:pPr>
            <w:r>
              <w:rPr>
                <w:rFonts w:hint="default"/>
                <w:highlight w:val="none"/>
                <w:lang w:val="en-US" w:eastAsia="zh-CN"/>
              </w:rPr>
              <w:t>0.014</w:t>
            </w:r>
          </w:p>
        </w:tc>
        <w:tc>
          <w:tcPr>
            <w:tcW w:w="652" w:type="dxa"/>
            <w:vAlign w:val="center"/>
          </w:tcPr>
          <w:p w14:paraId="11E0EEAB">
            <w:pPr>
              <w:pStyle w:val="58"/>
              <w:bidi w:val="0"/>
              <w:rPr>
                <w:rFonts w:hint="default"/>
                <w:highlight w:val="none"/>
                <w:lang w:eastAsia="zh-CN"/>
              </w:rPr>
            </w:pPr>
            <w:r>
              <w:rPr>
                <w:rFonts w:hint="default"/>
                <w:highlight w:val="none"/>
                <w:lang w:val="en-US" w:eastAsia="zh-CN"/>
              </w:rPr>
              <w:t>0.017</w:t>
            </w:r>
          </w:p>
        </w:tc>
        <w:tc>
          <w:tcPr>
            <w:tcW w:w="515" w:type="pct"/>
            <w:vMerge w:val="continue"/>
            <w:vAlign w:val="center"/>
          </w:tcPr>
          <w:p w14:paraId="401A0169">
            <w:pPr>
              <w:pStyle w:val="58"/>
              <w:bidi w:val="0"/>
              <w:rPr>
                <w:rFonts w:hint="default"/>
                <w:highlight w:val="none"/>
                <w:lang w:eastAsia="zh-CN"/>
              </w:rPr>
            </w:pPr>
          </w:p>
        </w:tc>
        <w:tc>
          <w:tcPr>
            <w:tcW w:w="384" w:type="pct"/>
            <w:vAlign w:val="center"/>
          </w:tcPr>
          <w:p w14:paraId="1E5D6650">
            <w:pPr>
              <w:pStyle w:val="58"/>
              <w:bidi w:val="0"/>
              <w:rPr>
                <w:rFonts w:hint="default"/>
                <w:highlight w:val="none"/>
                <w:lang w:eastAsia="zh-CN"/>
              </w:rPr>
            </w:pPr>
            <w:r>
              <w:rPr>
                <w:rFonts w:hint="default"/>
                <w:highlight w:val="none"/>
                <w:lang w:eastAsia="zh-CN"/>
              </w:rPr>
              <w:t>&gt;70%</w:t>
            </w:r>
          </w:p>
        </w:tc>
        <w:tc>
          <w:tcPr>
            <w:tcW w:w="416" w:type="pct"/>
            <w:vMerge w:val="continue"/>
            <w:vAlign w:val="center"/>
          </w:tcPr>
          <w:p w14:paraId="5ABBE1E5">
            <w:pPr>
              <w:pStyle w:val="58"/>
              <w:bidi w:val="0"/>
              <w:rPr>
                <w:rFonts w:hint="default"/>
                <w:highlight w:val="none"/>
                <w:lang w:eastAsia="zh-CN"/>
              </w:rPr>
            </w:pPr>
          </w:p>
        </w:tc>
        <w:tc>
          <w:tcPr>
            <w:tcW w:w="418" w:type="pct"/>
            <w:vAlign w:val="center"/>
          </w:tcPr>
          <w:p w14:paraId="23949E0A">
            <w:pPr>
              <w:pStyle w:val="58"/>
              <w:bidi w:val="0"/>
              <w:rPr>
                <w:rFonts w:hint="default"/>
                <w:highlight w:val="none"/>
                <w:lang w:val="en-US" w:eastAsia="zh-CN"/>
              </w:rPr>
            </w:pPr>
            <w:r>
              <w:rPr>
                <w:rFonts w:hint="default"/>
                <w:highlight w:val="none"/>
                <w:lang w:eastAsia="zh-CN"/>
              </w:rPr>
              <w:t>0.0</w:t>
            </w:r>
            <w:r>
              <w:rPr>
                <w:rFonts w:hint="eastAsia"/>
                <w:highlight w:val="none"/>
                <w:lang w:val="en-US" w:eastAsia="zh-CN"/>
              </w:rPr>
              <w:t>57</w:t>
            </w:r>
          </w:p>
        </w:tc>
        <w:tc>
          <w:tcPr>
            <w:tcW w:w="665" w:type="dxa"/>
            <w:vAlign w:val="center"/>
          </w:tcPr>
          <w:p w14:paraId="4C654296">
            <w:pPr>
              <w:pStyle w:val="58"/>
              <w:bidi w:val="0"/>
              <w:rPr>
                <w:rFonts w:hint="default"/>
                <w:highlight w:val="none"/>
                <w:lang w:eastAsia="zh-CN"/>
              </w:rPr>
            </w:pPr>
            <w:r>
              <w:rPr>
                <w:rFonts w:hint="default"/>
                <w:highlight w:val="none"/>
                <w:lang w:val="en-US" w:eastAsia="zh-CN"/>
              </w:rPr>
              <w:t>0.004</w:t>
            </w:r>
          </w:p>
        </w:tc>
        <w:tc>
          <w:tcPr>
            <w:tcW w:w="601" w:type="dxa"/>
            <w:vAlign w:val="center"/>
          </w:tcPr>
          <w:p w14:paraId="1A590486">
            <w:pPr>
              <w:pStyle w:val="58"/>
              <w:bidi w:val="0"/>
              <w:rPr>
                <w:rFonts w:hint="default"/>
                <w:highlight w:val="none"/>
                <w:lang w:val="en-US" w:eastAsia="zh-CN"/>
              </w:rPr>
            </w:pPr>
            <w:r>
              <w:rPr>
                <w:rFonts w:hint="default"/>
                <w:highlight w:val="none"/>
                <w:lang w:val="en-US" w:eastAsia="zh-CN"/>
              </w:rPr>
              <w:t>0.005</w:t>
            </w:r>
          </w:p>
        </w:tc>
        <w:tc>
          <w:tcPr>
            <w:tcW w:w="432" w:type="pct"/>
            <w:vAlign w:val="center"/>
          </w:tcPr>
          <w:p w14:paraId="518DF2FF">
            <w:pPr>
              <w:pStyle w:val="58"/>
              <w:bidi w:val="0"/>
              <w:rPr>
                <w:rFonts w:hint="default"/>
                <w:highlight w:val="none"/>
                <w:lang w:eastAsia="zh-CN"/>
              </w:rPr>
            </w:pPr>
            <w:r>
              <w:rPr>
                <w:rFonts w:hint="default"/>
                <w:highlight w:val="none"/>
                <w:lang w:eastAsia="zh-CN"/>
              </w:rPr>
              <w:t>1.0</w:t>
            </w:r>
          </w:p>
        </w:tc>
      </w:tr>
      <w:tr w14:paraId="18AB02A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trPr>
        <w:tc>
          <w:tcPr>
            <w:tcW w:w="240" w:type="pct"/>
            <w:vMerge w:val="continue"/>
            <w:vAlign w:val="center"/>
          </w:tcPr>
          <w:p w14:paraId="5DDB5C77">
            <w:pPr>
              <w:pStyle w:val="58"/>
              <w:bidi w:val="0"/>
              <w:rPr>
                <w:rFonts w:hint="default"/>
                <w:highlight w:val="none"/>
                <w:lang w:eastAsia="zh-CN"/>
              </w:rPr>
            </w:pPr>
          </w:p>
        </w:tc>
        <w:tc>
          <w:tcPr>
            <w:tcW w:w="354" w:type="pct"/>
            <w:vAlign w:val="center"/>
          </w:tcPr>
          <w:p w14:paraId="70167833">
            <w:pPr>
              <w:pStyle w:val="58"/>
              <w:bidi w:val="0"/>
              <w:rPr>
                <w:rFonts w:hint="default"/>
                <w:highlight w:val="none"/>
                <w:lang w:eastAsia="zh-CN"/>
              </w:rPr>
            </w:pPr>
            <w:r>
              <w:rPr>
                <w:rFonts w:hint="default"/>
                <w:highlight w:val="none"/>
                <w:lang w:eastAsia="zh-CN"/>
              </w:rPr>
              <w:t>动植物油</w:t>
            </w:r>
          </w:p>
        </w:tc>
        <w:tc>
          <w:tcPr>
            <w:tcW w:w="398" w:type="pct"/>
            <w:vMerge w:val="continue"/>
            <w:vAlign w:val="center"/>
          </w:tcPr>
          <w:p w14:paraId="52AD4C65">
            <w:pPr>
              <w:pStyle w:val="58"/>
              <w:bidi w:val="0"/>
              <w:rPr>
                <w:rFonts w:hint="default"/>
                <w:highlight w:val="none"/>
                <w:lang w:eastAsia="zh-CN"/>
              </w:rPr>
            </w:pPr>
          </w:p>
        </w:tc>
        <w:tc>
          <w:tcPr>
            <w:tcW w:w="411" w:type="pct"/>
            <w:vAlign w:val="center"/>
          </w:tcPr>
          <w:p w14:paraId="7CE5FA64">
            <w:pPr>
              <w:pStyle w:val="58"/>
              <w:bidi w:val="0"/>
              <w:rPr>
                <w:rFonts w:hint="default"/>
                <w:highlight w:val="none"/>
                <w:lang w:eastAsia="zh-CN"/>
              </w:rPr>
            </w:pPr>
            <w:r>
              <w:rPr>
                <w:rFonts w:hint="default"/>
                <w:highlight w:val="none"/>
                <w:lang w:eastAsia="zh-CN"/>
              </w:rPr>
              <w:t>2.17</w:t>
            </w:r>
          </w:p>
        </w:tc>
        <w:tc>
          <w:tcPr>
            <w:tcW w:w="690" w:type="dxa"/>
            <w:vAlign w:val="center"/>
          </w:tcPr>
          <w:p w14:paraId="27F8B967">
            <w:pPr>
              <w:pStyle w:val="58"/>
              <w:bidi w:val="0"/>
              <w:rPr>
                <w:rFonts w:hint="default"/>
                <w:highlight w:val="none"/>
                <w:lang w:eastAsia="zh-CN"/>
              </w:rPr>
            </w:pPr>
            <w:r>
              <w:rPr>
                <w:rFonts w:hint="default"/>
                <w:highlight w:val="none"/>
                <w:lang w:val="en-US" w:eastAsia="zh-CN"/>
              </w:rPr>
              <w:t>0.158</w:t>
            </w:r>
          </w:p>
        </w:tc>
        <w:tc>
          <w:tcPr>
            <w:tcW w:w="652" w:type="dxa"/>
            <w:vAlign w:val="center"/>
          </w:tcPr>
          <w:p w14:paraId="6FF4F604">
            <w:pPr>
              <w:pStyle w:val="58"/>
              <w:bidi w:val="0"/>
              <w:rPr>
                <w:rFonts w:hint="default"/>
                <w:highlight w:val="none"/>
                <w:lang w:eastAsia="zh-CN"/>
              </w:rPr>
            </w:pPr>
            <w:r>
              <w:rPr>
                <w:rFonts w:hint="default"/>
                <w:highlight w:val="none"/>
                <w:lang w:val="en-US" w:eastAsia="zh-CN"/>
              </w:rPr>
              <w:t>0.198</w:t>
            </w:r>
          </w:p>
        </w:tc>
        <w:tc>
          <w:tcPr>
            <w:tcW w:w="515" w:type="pct"/>
            <w:vMerge w:val="continue"/>
            <w:vAlign w:val="center"/>
          </w:tcPr>
          <w:p w14:paraId="239B15D2">
            <w:pPr>
              <w:pStyle w:val="58"/>
              <w:bidi w:val="0"/>
              <w:rPr>
                <w:rFonts w:hint="default"/>
                <w:highlight w:val="none"/>
                <w:lang w:eastAsia="zh-CN"/>
              </w:rPr>
            </w:pPr>
          </w:p>
        </w:tc>
        <w:tc>
          <w:tcPr>
            <w:tcW w:w="384" w:type="pct"/>
            <w:vAlign w:val="center"/>
          </w:tcPr>
          <w:p w14:paraId="13B7F519">
            <w:pPr>
              <w:pStyle w:val="58"/>
              <w:bidi w:val="0"/>
              <w:rPr>
                <w:rFonts w:hint="default"/>
                <w:highlight w:val="none"/>
                <w:lang w:eastAsia="zh-CN"/>
              </w:rPr>
            </w:pPr>
            <w:r>
              <w:rPr>
                <w:rFonts w:hint="default"/>
                <w:highlight w:val="none"/>
                <w:lang w:eastAsia="zh-CN"/>
              </w:rPr>
              <w:t>&gt;80%</w:t>
            </w:r>
          </w:p>
        </w:tc>
        <w:tc>
          <w:tcPr>
            <w:tcW w:w="416" w:type="pct"/>
            <w:vMerge w:val="continue"/>
            <w:vAlign w:val="center"/>
          </w:tcPr>
          <w:p w14:paraId="5B112785">
            <w:pPr>
              <w:pStyle w:val="58"/>
              <w:bidi w:val="0"/>
              <w:rPr>
                <w:rFonts w:hint="default"/>
                <w:highlight w:val="none"/>
                <w:lang w:eastAsia="zh-CN"/>
              </w:rPr>
            </w:pPr>
          </w:p>
        </w:tc>
        <w:tc>
          <w:tcPr>
            <w:tcW w:w="418" w:type="pct"/>
            <w:vAlign w:val="center"/>
          </w:tcPr>
          <w:p w14:paraId="5A569699">
            <w:pPr>
              <w:pStyle w:val="58"/>
              <w:bidi w:val="0"/>
              <w:rPr>
                <w:rFonts w:hint="default"/>
                <w:highlight w:val="none"/>
                <w:lang w:val="en-US" w:eastAsia="zh-CN"/>
              </w:rPr>
            </w:pPr>
            <w:r>
              <w:rPr>
                <w:rFonts w:hint="default"/>
                <w:highlight w:val="none"/>
                <w:lang w:eastAsia="zh-CN"/>
              </w:rPr>
              <w:t>0.4</w:t>
            </w:r>
            <w:r>
              <w:rPr>
                <w:rFonts w:hint="eastAsia"/>
                <w:highlight w:val="none"/>
                <w:lang w:val="en-US" w:eastAsia="zh-CN"/>
              </w:rPr>
              <w:t>2966</w:t>
            </w:r>
          </w:p>
        </w:tc>
        <w:tc>
          <w:tcPr>
            <w:tcW w:w="665" w:type="dxa"/>
            <w:vAlign w:val="center"/>
          </w:tcPr>
          <w:p w14:paraId="326CD82E">
            <w:pPr>
              <w:pStyle w:val="58"/>
              <w:bidi w:val="0"/>
              <w:rPr>
                <w:rFonts w:hint="default"/>
                <w:highlight w:val="none"/>
                <w:lang w:val="en-US" w:eastAsia="zh-CN"/>
              </w:rPr>
            </w:pPr>
            <w:r>
              <w:rPr>
                <w:rFonts w:hint="default"/>
                <w:highlight w:val="none"/>
                <w:lang w:val="en-US" w:eastAsia="zh-CN"/>
              </w:rPr>
              <w:t>0.030</w:t>
            </w:r>
          </w:p>
        </w:tc>
        <w:tc>
          <w:tcPr>
            <w:tcW w:w="601" w:type="dxa"/>
            <w:vAlign w:val="center"/>
          </w:tcPr>
          <w:p w14:paraId="19F34AE6">
            <w:pPr>
              <w:pStyle w:val="58"/>
              <w:bidi w:val="0"/>
              <w:rPr>
                <w:rFonts w:hint="default"/>
                <w:highlight w:val="none"/>
                <w:lang w:eastAsia="zh-CN"/>
              </w:rPr>
            </w:pPr>
            <w:r>
              <w:rPr>
                <w:rFonts w:hint="default"/>
                <w:highlight w:val="none"/>
                <w:lang w:val="en-US" w:eastAsia="zh-CN"/>
              </w:rPr>
              <w:t>0.038</w:t>
            </w:r>
          </w:p>
        </w:tc>
        <w:tc>
          <w:tcPr>
            <w:tcW w:w="432" w:type="pct"/>
            <w:vAlign w:val="center"/>
          </w:tcPr>
          <w:p w14:paraId="3D8EC349">
            <w:pPr>
              <w:pStyle w:val="58"/>
              <w:bidi w:val="0"/>
              <w:rPr>
                <w:rFonts w:hint="default"/>
                <w:highlight w:val="none"/>
                <w:lang w:eastAsia="zh-CN"/>
              </w:rPr>
            </w:pPr>
            <w:r>
              <w:rPr>
                <w:rFonts w:hint="default"/>
                <w:highlight w:val="none"/>
                <w:lang w:eastAsia="zh-CN"/>
              </w:rPr>
              <w:t>1.0</w:t>
            </w:r>
          </w:p>
        </w:tc>
      </w:tr>
      <w:tr w14:paraId="69236E6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4" w:hRule="atLeast"/>
        </w:trPr>
        <w:tc>
          <w:tcPr>
            <w:tcW w:w="240" w:type="pct"/>
            <w:vMerge w:val="continue"/>
            <w:vAlign w:val="center"/>
          </w:tcPr>
          <w:p w14:paraId="110C4194">
            <w:pPr>
              <w:pStyle w:val="58"/>
              <w:bidi w:val="0"/>
              <w:rPr>
                <w:rFonts w:hint="default"/>
                <w:highlight w:val="none"/>
                <w:lang w:eastAsia="zh-CN"/>
              </w:rPr>
            </w:pPr>
          </w:p>
        </w:tc>
        <w:tc>
          <w:tcPr>
            <w:tcW w:w="354" w:type="pct"/>
            <w:vAlign w:val="center"/>
          </w:tcPr>
          <w:p w14:paraId="7637778A">
            <w:pPr>
              <w:pStyle w:val="58"/>
              <w:bidi w:val="0"/>
              <w:rPr>
                <w:rFonts w:hint="default"/>
                <w:highlight w:val="none"/>
                <w:lang w:eastAsia="zh-CN"/>
              </w:rPr>
            </w:pPr>
            <w:r>
              <w:rPr>
                <w:rFonts w:hint="default"/>
                <w:highlight w:val="none"/>
                <w:lang w:eastAsia="zh-CN"/>
              </w:rPr>
              <w:t>LAS</w:t>
            </w:r>
          </w:p>
        </w:tc>
        <w:tc>
          <w:tcPr>
            <w:tcW w:w="398" w:type="pct"/>
            <w:vMerge w:val="continue"/>
            <w:vAlign w:val="center"/>
          </w:tcPr>
          <w:p w14:paraId="295ECDBD">
            <w:pPr>
              <w:pStyle w:val="58"/>
              <w:bidi w:val="0"/>
              <w:rPr>
                <w:rFonts w:hint="default"/>
                <w:highlight w:val="none"/>
                <w:lang w:eastAsia="zh-CN"/>
              </w:rPr>
            </w:pPr>
          </w:p>
        </w:tc>
        <w:tc>
          <w:tcPr>
            <w:tcW w:w="411" w:type="pct"/>
            <w:vAlign w:val="center"/>
          </w:tcPr>
          <w:p w14:paraId="198A6CD0">
            <w:pPr>
              <w:pStyle w:val="58"/>
              <w:bidi w:val="0"/>
              <w:rPr>
                <w:rFonts w:hint="default"/>
                <w:highlight w:val="none"/>
                <w:lang w:eastAsia="zh-CN"/>
              </w:rPr>
            </w:pPr>
            <w:r>
              <w:rPr>
                <w:rFonts w:hint="default"/>
                <w:highlight w:val="none"/>
                <w:lang w:eastAsia="zh-CN"/>
              </w:rPr>
              <w:t>1.81</w:t>
            </w:r>
          </w:p>
        </w:tc>
        <w:tc>
          <w:tcPr>
            <w:tcW w:w="690" w:type="dxa"/>
            <w:vAlign w:val="center"/>
          </w:tcPr>
          <w:p w14:paraId="079CDEC1">
            <w:pPr>
              <w:pStyle w:val="58"/>
              <w:bidi w:val="0"/>
              <w:rPr>
                <w:rFonts w:hint="default"/>
                <w:highlight w:val="none"/>
                <w:lang w:eastAsia="zh-CN"/>
              </w:rPr>
            </w:pPr>
            <w:r>
              <w:rPr>
                <w:rFonts w:hint="default"/>
                <w:highlight w:val="none"/>
                <w:lang w:val="en-US" w:eastAsia="zh-CN"/>
              </w:rPr>
              <w:t>0.132</w:t>
            </w:r>
          </w:p>
        </w:tc>
        <w:tc>
          <w:tcPr>
            <w:tcW w:w="652" w:type="dxa"/>
            <w:vAlign w:val="center"/>
          </w:tcPr>
          <w:p w14:paraId="277C1733">
            <w:pPr>
              <w:pStyle w:val="58"/>
              <w:bidi w:val="0"/>
              <w:rPr>
                <w:rFonts w:hint="default"/>
                <w:highlight w:val="none"/>
                <w:lang w:eastAsia="zh-CN"/>
              </w:rPr>
            </w:pPr>
            <w:r>
              <w:rPr>
                <w:rFonts w:hint="default"/>
                <w:highlight w:val="none"/>
                <w:lang w:val="en-US" w:eastAsia="zh-CN"/>
              </w:rPr>
              <w:t>0.165</w:t>
            </w:r>
          </w:p>
        </w:tc>
        <w:tc>
          <w:tcPr>
            <w:tcW w:w="515" w:type="pct"/>
            <w:vMerge w:val="continue"/>
            <w:vAlign w:val="center"/>
          </w:tcPr>
          <w:p w14:paraId="321705BC">
            <w:pPr>
              <w:pStyle w:val="58"/>
              <w:bidi w:val="0"/>
              <w:rPr>
                <w:rFonts w:hint="default"/>
                <w:highlight w:val="none"/>
                <w:lang w:eastAsia="zh-CN"/>
              </w:rPr>
            </w:pPr>
          </w:p>
        </w:tc>
        <w:tc>
          <w:tcPr>
            <w:tcW w:w="384" w:type="pct"/>
            <w:vAlign w:val="center"/>
          </w:tcPr>
          <w:p w14:paraId="634A45AD">
            <w:pPr>
              <w:pStyle w:val="58"/>
              <w:bidi w:val="0"/>
              <w:rPr>
                <w:rFonts w:hint="default"/>
                <w:highlight w:val="none"/>
                <w:lang w:eastAsia="zh-CN"/>
              </w:rPr>
            </w:pPr>
            <w:r>
              <w:rPr>
                <w:rFonts w:hint="default"/>
                <w:highlight w:val="none"/>
                <w:lang w:eastAsia="zh-CN"/>
              </w:rPr>
              <w:t>&gt;75%</w:t>
            </w:r>
          </w:p>
        </w:tc>
        <w:tc>
          <w:tcPr>
            <w:tcW w:w="416" w:type="pct"/>
            <w:vMerge w:val="continue"/>
            <w:vAlign w:val="center"/>
          </w:tcPr>
          <w:p w14:paraId="7A038F61">
            <w:pPr>
              <w:pStyle w:val="58"/>
              <w:bidi w:val="0"/>
              <w:rPr>
                <w:rFonts w:hint="default"/>
                <w:highlight w:val="none"/>
                <w:lang w:eastAsia="zh-CN"/>
              </w:rPr>
            </w:pPr>
          </w:p>
        </w:tc>
        <w:tc>
          <w:tcPr>
            <w:tcW w:w="418" w:type="pct"/>
            <w:vAlign w:val="center"/>
          </w:tcPr>
          <w:p w14:paraId="7C0E66B1">
            <w:pPr>
              <w:pStyle w:val="58"/>
              <w:bidi w:val="0"/>
              <w:rPr>
                <w:rFonts w:hint="default"/>
                <w:highlight w:val="none"/>
                <w:lang w:val="en-US" w:eastAsia="zh-CN"/>
              </w:rPr>
            </w:pPr>
            <w:r>
              <w:rPr>
                <w:rFonts w:hint="default"/>
                <w:highlight w:val="none"/>
                <w:lang w:eastAsia="zh-CN"/>
              </w:rPr>
              <w:t>0.45</w:t>
            </w:r>
            <w:r>
              <w:rPr>
                <w:rFonts w:hint="eastAsia"/>
                <w:highlight w:val="none"/>
                <w:lang w:val="en-US" w:eastAsia="zh-CN"/>
              </w:rPr>
              <w:t>25</w:t>
            </w:r>
          </w:p>
        </w:tc>
        <w:tc>
          <w:tcPr>
            <w:tcW w:w="665" w:type="dxa"/>
            <w:vAlign w:val="center"/>
          </w:tcPr>
          <w:p w14:paraId="62F7CF95">
            <w:pPr>
              <w:pStyle w:val="58"/>
              <w:bidi w:val="0"/>
              <w:rPr>
                <w:rFonts w:hint="default"/>
                <w:highlight w:val="none"/>
                <w:lang w:eastAsia="zh-CN"/>
              </w:rPr>
            </w:pPr>
            <w:r>
              <w:rPr>
                <w:rFonts w:hint="default"/>
                <w:highlight w:val="none"/>
                <w:lang w:val="en-US" w:eastAsia="zh-CN"/>
              </w:rPr>
              <w:t>0.031</w:t>
            </w:r>
          </w:p>
        </w:tc>
        <w:tc>
          <w:tcPr>
            <w:tcW w:w="601" w:type="dxa"/>
            <w:vAlign w:val="center"/>
          </w:tcPr>
          <w:p w14:paraId="40842D2C">
            <w:pPr>
              <w:pStyle w:val="58"/>
              <w:bidi w:val="0"/>
              <w:rPr>
                <w:rFonts w:hint="default"/>
                <w:highlight w:val="none"/>
                <w:lang w:val="en-US" w:eastAsia="zh-CN"/>
              </w:rPr>
            </w:pPr>
            <w:r>
              <w:rPr>
                <w:rFonts w:hint="default"/>
                <w:highlight w:val="none"/>
                <w:lang w:val="en-US" w:eastAsia="zh-CN"/>
              </w:rPr>
              <w:t>0.040</w:t>
            </w:r>
          </w:p>
        </w:tc>
        <w:tc>
          <w:tcPr>
            <w:tcW w:w="432" w:type="pct"/>
            <w:vAlign w:val="center"/>
          </w:tcPr>
          <w:p w14:paraId="07E17CB0">
            <w:pPr>
              <w:pStyle w:val="58"/>
              <w:bidi w:val="0"/>
              <w:rPr>
                <w:rFonts w:hint="default"/>
                <w:highlight w:val="none"/>
                <w:lang w:eastAsia="zh-CN"/>
              </w:rPr>
            </w:pPr>
            <w:r>
              <w:rPr>
                <w:rFonts w:hint="default"/>
                <w:highlight w:val="none"/>
                <w:lang w:eastAsia="zh-CN"/>
              </w:rPr>
              <w:t>0.5</w:t>
            </w:r>
          </w:p>
        </w:tc>
      </w:tr>
    </w:tbl>
    <w:p w14:paraId="67AC712A">
      <w:pPr>
        <w:pStyle w:val="6"/>
        <w:pageBreakBefore w:val="0"/>
        <w:widowControl w:val="0"/>
        <w:kinsoku/>
        <w:wordWrap/>
        <w:overflowPunct/>
        <w:topLinePunct w:val="0"/>
        <w:bidi w:val="0"/>
        <w:spacing w:line="460" w:lineRule="exact"/>
        <w:textAlignment w:val="auto"/>
        <w:rPr>
          <w:rFonts w:hint="default" w:ascii="Times New Roman" w:hAnsi="Times New Roman" w:eastAsia="宋体" w:cs="Times New Roman"/>
          <w:color w:val="000000" w:themeColor="text1"/>
          <w:highlight w:val="none"/>
          <w:lang w:val="zh-CN"/>
          <w14:textFill>
            <w14:solidFill>
              <w14:schemeClr w14:val="tx1"/>
            </w14:solidFill>
          </w14:textFill>
        </w:rPr>
      </w:pPr>
      <w:r>
        <w:rPr>
          <w:rFonts w:hint="default" w:ascii="Times New Roman" w:hAnsi="Times New Roman" w:eastAsia="宋体" w:cs="Times New Roman"/>
          <w:color w:val="000000" w:themeColor="text1"/>
          <w:highlight w:val="none"/>
          <w:lang w:val="zh-CN"/>
          <w14:textFill>
            <w14:solidFill>
              <w14:schemeClr w14:val="tx1"/>
            </w14:solidFill>
          </w14:textFill>
        </w:rPr>
        <w:t>3.</w:t>
      </w:r>
      <w:r>
        <w:rPr>
          <w:rFonts w:hint="default" w:ascii="Times New Roman" w:hAnsi="Times New Roman" w:eastAsia="宋体" w:cs="Times New Roman"/>
          <w:color w:val="000000" w:themeColor="text1"/>
          <w:highlight w:val="none"/>
          <w:lang w:val="en-US" w:eastAsia="zh-CN"/>
          <w14:textFill>
            <w14:solidFill>
              <w14:schemeClr w14:val="tx1"/>
            </w14:solidFill>
          </w14:textFill>
        </w:rPr>
        <w:t>3.3</w:t>
      </w:r>
      <w:r>
        <w:rPr>
          <w:rFonts w:hint="default" w:ascii="Times New Roman" w:hAnsi="Times New Roman" w:eastAsia="宋体" w:cs="Times New Roman"/>
          <w:color w:val="000000" w:themeColor="text1"/>
          <w:highlight w:val="none"/>
          <w:lang w:val="zh-CN"/>
          <w14:textFill>
            <w14:solidFill>
              <w14:schemeClr w14:val="tx1"/>
            </w14:solidFill>
          </w14:textFill>
        </w:rPr>
        <w:t>噪声</w:t>
      </w:r>
      <w:bookmarkEnd w:id="208"/>
    </w:p>
    <w:p w14:paraId="4E6D20A1">
      <w:pPr>
        <w:bidi w:val="0"/>
        <w:rPr>
          <w:rFonts w:hint="default"/>
          <w:highlight w:val="none"/>
          <w:lang w:val="en-US" w:eastAsia="zh-CN"/>
        </w:rPr>
      </w:pPr>
      <w:r>
        <w:rPr>
          <w:rFonts w:hint="eastAsia"/>
          <w:highlight w:val="none"/>
          <w:lang w:val="en-US" w:eastAsia="zh-CN"/>
        </w:rPr>
        <w:t>本项目新增</w:t>
      </w:r>
      <w:r>
        <w:rPr>
          <w:rFonts w:hint="default"/>
          <w:highlight w:val="none"/>
          <w:lang w:eastAsia="zh-CN"/>
        </w:rPr>
        <w:t>噪声源主要为罗茨鼓风机、</w:t>
      </w:r>
      <w:r>
        <w:rPr>
          <w:rFonts w:hint="default"/>
          <w:highlight w:val="none"/>
          <w:lang w:val="en-US" w:eastAsia="zh-CN"/>
        </w:rPr>
        <w:t>提升泵</w:t>
      </w:r>
      <w:r>
        <w:rPr>
          <w:rFonts w:hint="default"/>
          <w:highlight w:val="none"/>
          <w:lang w:eastAsia="zh-CN"/>
        </w:rPr>
        <w:t>、</w:t>
      </w:r>
      <w:r>
        <w:rPr>
          <w:rFonts w:hint="default"/>
          <w:highlight w:val="none"/>
          <w:lang w:val="en-US" w:eastAsia="zh-CN"/>
        </w:rPr>
        <w:t>排泥泵</w:t>
      </w:r>
      <w:r>
        <w:rPr>
          <w:rFonts w:hint="default"/>
          <w:highlight w:val="none"/>
          <w:lang w:eastAsia="zh-CN"/>
        </w:rPr>
        <w:t>、</w:t>
      </w:r>
      <w:r>
        <w:rPr>
          <w:rFonts w:hint="default"/>
          <w:highlight w:val="none"/>
          <w:lang w:val="en-US" w:eastAsia="zh-CN"/>
        </w:rPr>
        <w:t>叠螺污泥脱水机</w:t>
      </w:r>
      <w:r>
        <w:rPr>
          <w:rFonts w:hint="default"/>
          <w:highlight w:val="none"/>
          <w:lang w:eastAsia="zh-CN"/>
        </w:rPr>
        <w:t>等设备运行时产生的噪声</w:t>
      </w:r>
      <w:r>
        <w:rPr>
          <w:rFonts w:hint="default"/>
          <w:highlight w:val="none"/>
          <w:lang w:val="en-US" w:eastAsia="zh-CN"/>
        </w:rPr>
        <w:t>，源强为</w:t>
      </w:r>
      <w:r>
        <w:rPr>
          <w:rFonts w:hint="eastAsia"/>
          <w:highlight w:val="none"/>
          <w:lang w:val="en-US" w:eastAsia="zh-CN"/>
        </w:rPr>
        <w:t>80</w:t>
      </w:r>
      <w:r>
        <w:rPr>
          <w:rFonts w:hint="default"/>
          <w:highlight w:val="none"/>
          <w:lang w:val="en-US" w:eastAsia="zh-CN"/>
        </w:rPr>
        <w:t>-110</w:t>
      </w:r>
      <w:r>
        <w:rPr>
          <w:rFonts w:hint="default"/>
          <w:highlight w:val="none"/>
        </w:rPr>
        <w:t>dB（A）</w:t>
      </w:r>
      <w:r>
        <w:rPr>
          <w:rFonts w:hint="default"/>
          <w:highlight w:val="none"/>
          <w:lang w:eastAsia="zh-CN"/>
        </w:rPr>
        <w:t>，</w:t>
      </w:r>
      <w:r>
        <w:rPr>
          <w:rFonts w:hint="default"/>
          <w:highlight w:val="none"/>
          <w:lang w:val="en-US" w:eastAsia="zh-CN"/>
        </w:rPr>
        <w:t>源强及治理措施见下表。</w:t>
      </w:r>
    </w:p>
    <w:p w14:paraId="41D62D46">
      <w:pPr>
        <w:pStyle w:val="20"/>
        <w:numPr>
          <w:ilvl w:val="0"/>
          <w:numId w:val="27"/>
        </w:numPr>
        <w:spacing w:after="0" w:line="440" w:lineRule="exact"/>
        <w:ind w:left="425" w:leftChars="0" w:hanging="425" w:firstLineChars="0"/>
        <w:jc w:val="center"/>
        <w:rPr>
          <w:rFonts w:hint="default" w:ascii="Times New Roman" w:hAnsi="Times New Roman" w:eastAsia="宋体" w:cs="Times New Roman"/>
          <w:b/>
          <w:color w:val="000000"/>
          <w:sz w:val="24"/>
          <w:szCs w:val="24"/>
          <w:highlight w:val="none"/>
        </w:rPr>
      </w:pPr>
      <w:r>
        <w:rPr>
          <w:rFonts w:hint="default" w:ascii="Times New Roman" w:hAnsi="Times New Roman" w:eastAsia="宋体" w:cs="Times New Roman"/>
          <w:b/>
          <w:color w:val="000000"/>
          <w:sz w:val="24"/>
          <w:szCs w:val="24"/>
          <w:highlight w:val="none"/>
          <w:lang w:val="en-US" w:eastAsia="zh-CN"/>
        </w:rPr>
        <w:t>项目</w:t>
      </w:r>
      <w:r>
        <w:rPr>
          <w:rFonts w:hint="default" w:ascii="Times New Roman" w:hAnsi="Times New Roman" w:eastAsia="宋体" w:cs="Times New Roman"/>
          <w:b/>
          <w:color w:val="000000"/>
          <w:sz w:val="24"/>
          <w:szCs w:val="24"/>
          <w:highlight w:val="none"/>
        </w:rPr>
        <w:t>主要噪声源强防治措施和降噪效果单位：dB（A）</w:t>
      </w:r>
    </w:p>
    <w:tbl>
      <w:tblPr>
        <w:tblStyle w:val="48"/>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591"/>
        <w:gridCol w:w="1578"/>
        <w:gridCol w:w="1623"/>
        <w:gridCol w:w="1336"/>
        <w:gridCol w:w="725"/>
        <w:gridCol w:w="1215"/>
        <w:gridCol w:w="2220"/>
      </w:tblGrid>
      <w:tr w14:paraId="2424C2C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14:paraId="2E1F06CE">
            <w:pPr>
              <w:pStyle w:val="58"/>
              <w:bidi w:val="0"/>
              <w:rPr>
                <w:rFonts w:hint="default"/>
                <w:highlight w:val="none"/>
              </w:rPr>
            </w:pPr>
            <w:r>
              <w:rPr>
                <w:rFonts w:hint="default"/>
                <w:highlight w:val="none"/>
              </w:rPr>
              <w:t>序号</w:t>
            </w:r>
          </w:p>
        </w:tc>
        <w:tc>
          <w:tcPr>
            <w:tcW w:w="0" w:type="auto"/>
            <w:vAlign w:val="center"/>
          </w:tcPr>
          <w:p w14:paraId="245F2F25">
            <w:pPr>
              <w:pStyle w:val="58"/>
              <w:bidi w:val="0"/>
              <w:rPr>
                <w:rFonts w:hint="default"/>
                <w:highlight w:val="none"/>
              </w:rPr>
            </w:pPr>
            <w:r>
              <w:rPr>
                <w:rFonts w:hint="default"/>
                <w:highlight w:val="none"/>
              </w:rPr>
              <w:t>噪声源</w:t>
            </w:r>
          </w:p>
        </w:tc>
        <w:tc>
          <w:tcPr>
            <w:tcW w:w="0" w:type="auto"/>
            <w:vAlign w:val="center"/>
          </w:tcPr>
          <w:p w14:paraId="79EBD599">
            <w:pPr>
              <w:pStyle w:val="58"/>
              <w:bidi w:val="0"/>
              <w:rPr>
                <w:rFonts w:hint="default"/>
                <w:highlight w:val="none"/>
              </w:rPr>
            </w:pPr>
            <w:r>
              <w:rPr>
                <w:rFonts w:hint="default"/>
                <w:highlight w:val="none"/>
              </w:rPr>
              <w:t>设备名称</w:t>
            </w:r>
          </w:p>
        </w:tc>
        <w:tc>
          <w:tcPr>
            <w:tcW w:w="0" w:type="auto"/>
            <w:vAlign w:val="center"/>
          </w:tcPr>
          <w:p w14:paraId="3533FED9">
            <w:pPr>
              <w:pStyle w:val="58"/>
              <w:bidi w:val="0"/>
              <w:rPr>
                <w:rFonts w:hint="default"/>
                <w:highlight w:val="none"/>
              </w:rPr>
            </w:pPr>
            <w:r>
              <w:rPr>
                <w:rFonts w:hint="default"/>
                <w:highlight w:val="none"/>
              </w:rPr>
              <w:t>数量</w:t>
            </w:r>
          </w:p>
        </w:tc>
        <w:tc>
          <w:tcPr>
            <w:tcW w:w="725" w:type="dxa"/>
            <w:vAlign w:val="center"/>
          </w:tcPr>
          <w:p w14:paraId="5F74E8CA">
            <w:pPr>
              <w:pStyle w:val="58"/>
              <w:bidi w:val="0"/>
              <w:rPr>
                <w:rFonts w:hint="default"/>
                <w:highlight w:val="none"/>
              </w:rPr>
            </w:pPr>
            <w:r>
              <w:rPr>
                <w:rFonts w:hint="default"/>
                <w:highlight w:val="none"/>
              </w:rPr>
              <w:t>工况</w:t>
            </w:r>
          </w:p>
        </w:tc>
        <w:tc>
          <w:tcPr>
            <w:tcW w:w="1215" w:type="dxa"/>
            <w:vAlign w:val="center"/>
          </w:tcPr>
          <w:p w14:paraId="70916E59">
            <w:pPr>
              <w:pStyle w:val="58"/>
              <w:bidi w:val="0"/>
              <w:rPr>
                <w:rFonts w:hint="default"/>
                <w:highlight w:val="none"/>
              </w:rPr>
            </w:pPr>
            <w:r>
              <w:rPr>
                <w:rFonts w:hint="default"/>
                <w:highlight w:val="none"/>
              </w:rPr>
              <w:t>噪声源强dB(A)</w:t>
            </w:r>
          </w:p>
        </w:tc>
        <w:tc>
          <w:tcPr>
            <w:tcW w:w="2220" w:type="dxa"/>
            <w:vAlign w:val="center"/>
          </w:tcPr>
          <w:p w14:paraId="24BA96D2">
            <w:pPr>
              <w:pStyle w:val="58"/>
              <w:bidi w:val="0"/>
              <w:rPr>
                <w:rFonts w:hint="default"/>
                <w:highlight w:val="none"/>
              </w:rPr>
            </w:pPr>
            <w:r>
              <w:rPr>
                <w:rFonts w:hint="default"/>
                <w:highlight w:val="none"/>
              </w:rPr>
              <w:t>治理措施</w:t>
            </w:r>
          </w:p>
        </w:tc>
      </w:tr>
      <w:tr w14:paraId="66B3524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14:paraId="6B5B4D61">
            <w:pPr>
              <w:pStyle w:val="58"/>
              <w:bidi w:val="0"/>
              <w:rPr>
                <w:rFonts w:hint="default"/>
                <w:highlight w:val="none"/>
                <w:lang w:val="en-US" w:eastAsia="zh-CN"/>
              </w:rPr>
            </w:pPr>
            <w:r>
              <w:rPr>
                <w:rFonts w:hint="eastAsia"/>
                <w:highlight w:val="none"/>
                <w:lang w:val="en-US" w:eastAsia="zh-CN"/>
              </w:rPr>
              <w:t>1</w:t>
            </w:r>
          </w:p>
        </w:tc>
        <w:tc>
          <w:tcPr>
            <w:tcW w:w="0" w:type="auto"/>
            <w:vAlign w:val="center"/>
          </w:tcPr>
          <w:p w14:paraId="46DB7444">
            <w:pPr>
              <w:pStyle w:val="58"/>
              <w:bidi w:val="0"/>
              <w:rPr>
                <w:rFonts w:hint="default"/>
                <w:highlight w:val="none"/>
                <w:lang w:val="en-US" w:eastAsia="zh-CN"/>
              </w:rPr>
            </w:pPr>
            <w:r>
              <w:rPr>
                <w:rFonts w:hint="default"/>
                <w:highlight w:val="none"/>
                <w:lang w:val="en-US" w:eastAsia="zh-CN"/>
              </w:rPr>
              <w:t>格栅</w:t>
            </w:r>
            <w:r>
              <w:rPr>
                <w:rFonts w:hint="eastAsia"/>
                <w:highlight w:val="none"/>
                <w:lang w:val="en-US" w:eastAsia="zh-CN"/>
              </w:rPr>
              <w:t>渠</w:t>
            </w:r>
            <w:r>
              <w:rPr>
                <w:rFonts w:hint="default"/>
                <w:highlight w:val="none"/>
                <w:lang w:val="en-US" w:eastAsia="zh-CN"/>
              </w:rPr>
              <w:t>及调节池</w:t>
            </w:r>
          </w:p>
        </w:tc>
        <w:tc>
          <w:tcPr>
            <w:tcW w:w="0" w:type="auto"/>
            <w:vAlign w:val="center"/>
          </w:tcPr>
          <w:p w14:paraId="6B9935BB">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提升泵（潜污泵）</w:t>
            </w:r>
          </w:p>
        </w:tc>
        <w:tc>
          <w:tcPr>
            <w:tcW w:w="0" w:type="auto"/>
            <w:vAlign w:val="center"/>
          </w:tcPr>
          <w:p w14:paraId="3DE92AE5">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rPr>
              <w:t>4</w:t>
            </w:r>
            <w:r>
              <w:rPr>
                <w:rFonts w:hint="default"/>
                <w:highlight w:val="none"/>
                <w:lang w:eastAsia="zh-CN"/>
              </w:rPr>
              <w:t>（</w:t>
            </w:r>
            <w:r>
              <w:rPr>
                <w:rFonts w:hint="default"/>
                <w:highlight w:val="none"/>
                <w:lang w:val="en-US" w:eastAsia="zh-CN"/>
              </w:rPr>
              <w:t>2用2备</w:t>
            </w:r>
            <w:r>
              <w:rPr>
                <w:rFonts w:hint="default"/>
                <w:highlight w:val="none"/>
                <w:lang w:eastAsia="zh-CN"/>
              </w:rPr>
              <w:t>）</w:t>
            </w:r>
          </w:p>
        </w:tc>
        <w:tc>
          <w:tcPr>
            <w:tcW w:w="725" w:type="dxa"/>
            <w:vAlign w:val="center"/>
          </w:tcPr>
          <w:p w14:paraId="51312DF8">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rPr>
              <w:t>连续</w:t>
            </w:r>
          </w:p>
        </w:tc>
        <w:tc>
          <w:tcPr>
            <w:tcW w:w="1215" w:type="dxa"/>
            <w:vAlign w:val="center"/>
          </w:tcPr>
          <w:p w14:paraId="2F6AB31F">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85</w:t>
            </w:r>
          </w:p>
        </w:tc>
        <w:tc>
          <w:tcPr>
            <w:tcW w:w="2220" w:type="dxa"/>
            <w:vAlign w:val="center"/>
          </w:tcPr>
          <w:p w14:paraId="4F2427F5">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地下</w:t>
            </w:r>
          </w:p>
        </w:tc>
      </w:tr>
      <w:tr w14:paraId="2BA344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91" w:type="dxa"/>
            <w:vAlign w:val="center"/>
          </w:tcPr>
          <w:p w14:paraId="0C8E2E2C">
            <w:pPr>
              <w:pStyle w:val="58"/>
              <w:bidi w:val="0"/>
              <w:ind w:firstLine="0" w:firstLineChars="0"/>
              <w:rPr>
                <w:rFonts w:hint="default"/>
                <w:highlight w:val="none"/>
                <w:lang w:val="en-US" w:eastAsia="zh-CN"/>
              </w:rPr>
            </w:pPr>
            <w:r>
              <w:rPr>
                <w:rFonts w:hint="default"/>
                <w:highlight w:val="none"/>
              </w:rPr>
              <w:t>2</w:t>
            </w:r>
          </w:p>
        </w:tc>
        <w:tc>
          <w:tcPr>
            <w:tcW w:w="0" w:type="auto"/>
            <w:vAlign w:val="center"/>
          </w:tcPr>
          <w:p w14:paraId="5D45117C">
            <w:pPr>
              <w:pStyle w:val="58"/>
              <w:bidi w:val="0"/>
              <w:rPr>
                <w:rFonts w:hint="default"/>
                <w:highlight w:val="none"/>
                <w:lang w:val="en-US" w:eastAsia="zh-CN"/>
              </w:rPr>
            </w:pPr>
            <w:r>
              <w:rPr>
                <w:rFonts w:hint="eastAsia"/>
                <w:highlight w:val="none"/>
                <w:lang w:val="en-US" w:eastAsia="zh-CN"/>
              </w:rPr>
              <w:t>生化处理辅助工房</w:t>
            </w:r>
          </w:p>
        </w:tc>
        <w:tc>
          <w:tcPr>
            <w:tcW w:w="0" w:type="auto"/>
            <w:vAlign w:val="center"/>
          </w:tcPr>
          <w:p w14:paraId="11913BB5">
            <w:pPr>
              <w:pStyle w:val="58"/>
              <w:bidi w:val="0"/>
              <w:rPr>
                <w:rFonts w:hint="default"/>
                <w:highlight w:val="none"/>
                <w:lang w:val="en-US" w:eastAsia="zh-CN"/>
              </w:rPr>
            </w:pPr>
            <w:r>
              <w:rPr>
                <w:rFonts w:hint="default"/>
                <w:highlight w:val="none"/>
                <w:lang w:val="en-US" w:eastAsia="zh-CN"/>
              </w:rPr>
              <w:t>回流泵</w:t>
            </w:r>
          </w:p>
        </w:tc>
        <w:tc>
          <w:tcPr>
            <w:tcW w:w="0" w:type="auto"/>
            <w:vAlign w:val="center"/>
          </w:tcPr>
          <w:p w14:paraId="6C7AACC5">
            <w:pPr>
              <w:pStyle w:val="58"/>
              <w:bidi w:val="0"/>
              <w:rPr>
                <w:rFonts w:hint="default"/>
                <w:highlight w:val="none"/>
                <w:lang w:val="en-US" w:eastAsia="zh-CN"/>
              </w:rPr>
            </w:pPr>
            <w:r>
              <w:rPr>
                <w:rFonts w:hint="default"/>
                <w:highlight w:val="none"/>
                <w:lang w:val="en-US" w:eastAsia="zh-CN"/>
              </w:rPr>
              <w:t>1</w:t>
            </w:r>
          </w:p>
        </w:tc>
        <w:tc>
          <w:tcPr>
            <w:tcW w:w="725" w:type="dxa"/>
            <w:vAlign w:val="center"/>
          </w:tcPr>
          <w:p w14:paraId="3E62FFAE">
            <w:pPr>
              <w:pStyle w:val="58"/>
              <w:bidi w:val="0"/>
              <w:rPr>
                <w:rFonts w:hint="default"/>
                <w:highlight w:val="none"/>
                <w:lang w:val="en-US" w:eastAsia="zh-CN"/>
              </w:rPr>
            </w:pPr>
            <w:r>
              <w:rPr>
                <w:rFonts w:hint="default"/>
                <w:highlight w:val="none"/>
              </w:rPr>
              <w:t>连续</w:t>
            </w:r>
          </w:p>
        </w:tc>
        <w:tc>
          <w:tcPr>
            <w:tcW w:w="1215" w:type="dxa"/>
            <w:vAlign w:val="center"/>
          </w:tcPr>
          <w:p w14:paraId="407C80A8">
            <w:pPr>
              <w:pStyle w:val="58"/>
              <w:bidi w:val="0"/>
              <w:rPr>
                <w:rFonts w:hint="default"/>
                <w:highlight w:val="none"/>
                <w:lang w:val="en-US" w:eastAsia="zh-CN"/>
              </w:rPr>
            </w:pPr>
            <w:r>
              <w:rPr>
                <w:rFonts w:hint="default"/>
                <w:highlight w:val="none"/>
              </w:rPr>
              <w:t>85</w:t>
            </w:r>
          </w:p>
        </w:tc>
        <w:tc>
          <w:tcPr>
            <w:tcW w:w="2220" w:type="dxa"/>
            <w:vAlign w:val="center"/>
          </w:tcPr>
          <w:p w14:paraId="5F4DD7A5">
            <w:pPr>
              <w:pStyle w:val="58"/>
              <w:bidi w:val="0"/>
              <w:rPr>
                <w:rFonts w:hint="default"/>
                <w:highlight w:val="none"/>
                <w:lang w:val="en-US" w:eastAsia="zh-CN"/>
              </w:rPr>
            </w:pPr>
            <w:r>
              <w:rPr>
                <w:rFonts w:hint="default"/>
                <w:highlight w:val="none"/>
              </w:rPr>
              <w:t>地下</w:t>
            </w:r>
          </w:p>
        </w:tc>
      </w:tr>
      <w:tr w14:paraId="5A546FD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91" w:type="dxa"/>
            <w:vAlign w:val="center"/>
          </w:tcPr>
          <w:p w14:paraId="650D0968">
            <w:pPr>
              <w:pStyle w:val="58"/>
              <w:bidi w:val="0"/>
              <w:ind w:firstLine="0" w:firstLineChars="0"/>
              <w:rPr>
                <w:rFonts w:hint="default"/>
                <w:highlight w:val="none"/>
                <w:lang w:val="en-US" w:eastAsia="zh-CN"/>
              </w:rPr>
            </w:pPr>
            <w:r>
              <w:rPr>
                <w:rFonts w:hint="default"/>
                <w:highlight w:val="none"/>
              </w:rPr>
              <w:t>3</w:t>
            </w:r>
          </w:p>
        </w:tc>
        <w:tc>
          <w:tcPr>
            <w:tcW w:w="0" w:type="auto"/>
            <w:vAlign w:val="center"/>
          </w:tcPr>
          <w:p w14:paraId="0F60F8C8">
            <w:pPr>
              <w:pStyle w:val="58"/>
              <w:bidi w:val="0"/>
              <w:rPr>
                <w:rFonts w:hint="default"/>
                <w:highlight w:val="none"/>
                <w:lang w:val="en-US" w:eastAsia="zh-CN"/>
              </w:rPr>
            </w:pPr>
            <w:r>
              <w:rPr>
                <w:rFonts w:hint="default"/>
                <w:highlight w:val="none"/>
                <w:lang w:val="en-US" w:eastAsia="zh-CN"/>
              </w:rPr>
              <w:t>混凝沉淀池</w:t>
            </w:r>
          </w:p>
        </w:tc>
        <w:tc>
          <w:tcPr>
            <w:tcW w:w="0" w:type="auto"/>
            <w:vAlign w:val="center"/>
          </w:tcPr>
          <w:p w14:paraId="360DCE36">
            <w:pPr>
              <w:pStyle w:val="58"/>
              <w:bidi w:val="0"/>
              <w:rPr>
                <w:rFonts w:hint="default"/>
                <w:highlight w:val="none"/>
                <w:lang w:val="en-US" w:eastAsia="zh-CN"/>
              </w:rPr>
            </w:pPr>
            <w:r>
              <w:rPr>
                <w:rFonts w:hint="default"/>
                <w:highlight w:val="none"/>
                <w:lang w:val="en-US" w:eastAsia="zh-CN"/>
              </w:rPr>
              <w:t>排泥泵</w:t>
            </w:r>
          </w:p>
        </w:tc>
        <w:tc>
          <w:tcPr>
            <w:tcW w:w="0" w:type="auto"/>
            <w:vAlign w:val="center"/>
          </w:tcPr>
          <w:p w14:paraId="29BA48FC">
            <w:pPr>
              <w:pStyle w:val="58"/>
              <w:bidi w:val="0"/>
              <w:rPr>
                <w:rFonts w:hint="default"/>
                <w:highlight w:val="none"/>
                <w:lang w:val="en-US" w:eastAsia="zh-CN"/>
              </w:rPr>
            </w:pPr>
            <w:r>
              <w:rPr>
                <w:rFonts w:hint="default"/>
                <w:highlight w:val="none"/>
                <w:lang w:val="en-US" w:eastAsia="zh-CN"/>
              </w:rPr>
              <w:t>2</w:t>
            </w:r>
          </w:p>
        </w:tc>
        <w:tc>
          <w:tcPr>
            <w:tcW w:w="725" w:type="dxa"/>
            <w:vAlign w:val="center"/>
          </w:tcPr>
          <w:p w14:paraId="2CDA0C77">
            <w:pPr>
              <w:pStyle w:val="58"/>
              <w:bidi w:val="0"/>
              <w:rPr>
                <w:rFonts w:hint="default"/>
                <w:highlight w:val="none"/>
                <w:lang w:val="en-US" w:eastAsia="zh-CN"/>
              </w:rPr>
            </w:pPr>
            <w:r>
              <w:rPr>
                <w:rFonts w:hint="default"/>
                <w:highlight w:val="none"/>
              </w:rPr>
              <w:t>连续</w:t>
            </w:r>
          </w:p>
        </w:tc>
        <w:tc>
          <w:tcPr>
            <w:tcW w:w="1215" w:type="dxa"/>
            <w:vAlign w:val="center"/>
          </w:tcPr>
          <w:p w14:paraId="6AB8723B">
            <w:pPr>
              <w:pStyle w:val="58"/>
              <w:bidi w:val="0"/>
              <w:rPr>
                <w:rFonts w:hint="default"/>
                <w:highlight w:val="none"/>
                <w:lang w:val="en-US" w:eastAsia="zh-CN"/>
              </w:rPr>
            </w:pPr>
            <w:r>
              <w:rPr>
                <w:rFonts w:hint="default"/>
                <w:highlight w:val="none"/>
              </w:rPr>
              <w:t>85</w:t>
            </w:r>
          </w:p>
        </w:tc>
        <w:tc>
          <w:tcPr>
            <w:tcW w:w="2220" w:type="dxa"/>
            <w:vAlign w:val="center"/>
          </w:tcPr>
          <w:p w14:paraId="63CDA141">
            <w:pPr>
              <w:pStyle w:val="58"/>
              <w:bidi w:val="0"/>
              <w:rPr>
                <w:rFonts w:hint="default"/>
                <w:highlight w:val="none"/>
                <w:lang w:val="en-US" w:eastAsia="zh-CN"/>
              </w:rPr>
            </w:pPr>
            <w:r>
              <w:rPr>
                <w:rFonts w:hint="default"/>
                <w:highlight w:val="none"/>
              </w:rPr>
              <w:t>地下</w:t>
            </w:r>
          </w:p>
        </w:tc>
      </w:tr>
      <w:tr w14:paraId="6C92230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91" w:type="dxa"/>
            <w:vMerge w:val="restart"/>
            <w:vAlign w:val="center"/>
          </w:tcPr>
          <w:p w14:paraId="1D7240E5">
            <w:pPr>
              <w:pStyle w:val="58"/>
              <w:bidi w:val="0"/>
              <w:ind w:firstLine="0" w:firstLineChars="0"/>
              <w:rPr>
                <w:rFonts w:hint="default"/>
                <w:highlight w:val="none"/>
                <w:lang w:val="en-US" w:eastAsia="zh-CN"/>
              </w:rPr>
            </w:pPr>
            <w:r>
              <w:rPr>
                <w:rFonts w:hint="default"/>
                <w:highlight w:val="none"/>
                <w:lang w:val="en-US" w:eastAsia="zh-CN"/>
              </w:rPr>
              <w:t>4</w:t>
            </w:r>
          </w:p>
        </w:tc>
        <w:tc>
          <w:tcPr>
            <w:tcW w:w="0" w:type="auto"/>
            <w:vMerge w:val="restart"/>
            <w:vAlign w:val="center"/>
          </w:tcPr>
          <w:p w14:paraId="17DE34D3">
            <w:pPr>
              <w:pStyle w:val="58"/>
              <w:bidi w:val="0"/>
              <w:rPr>
                <w:rFonts w:hint="default"/>
                <w:highlight w:val="none"/>
                <w:lang w:val="en-US" w:eastAsia="zh-CN"/>
              </w:rPr>
            </w:pPr>
            <w:r>
              <w:rPr>
                <w:rFonts w:hint="eastAsia"/>
                <w:highlight w:val="none"/>
                <w:vertAlign w:val="baseline"/>
                <w:lang w:val="en-US" w:eastAsia="zh-CN"/>
              </w:rPr>
              <w:t>砂滤</w:t>
            </w:r>
            <w:r>
              <w:rPr>
                <w:rFonts w:hint="default"/>
                <w:highlight w:val="none"/>
                <w:lang w:val="en-US" w:eastAsia="zh-CN"/>
              </w:rPr>
              <w:t>设备</w:t>
            </w:r>
          </w:p>
        </w:tc>
        <w:tc>
          <w:tcPr>
            <w:tcW w:w="0" w:type="auto"/>
            <w:vAlign w:val="center"/>
          </w:tcPr>
          <w:p w14:paraId="7C405705">
            <w:pPr>
              <w:pStyle w:val="58"/>
              <w:bidi w:val="0"/>
              <w:rPr>
                <w:rFonts w:hint="default"/>
                <w:highlight w:val="none"/>
                <w:lang w:val="en-US" w:eastAsia="zh-CN"/>
              </w:rPr>
            </w:pPr>
            <w:r>
              <w:rPr>
                <w:rFonts w:hint="eastAsia"/>
                <w:highlight w:val="none"/>
                <w:lang w:val="en-US" w:eastAsia="zh-CN"/>
              </w:rPr>
              <w:t>砂滤</w:t>
            </w:r>
            <w:r>
              <w:rPr>
                <w:rFonts w:hint="default"/>
                <w:highlight w:val="none"/>
                <w:lang w:val="en-US" w:eastAsia="zh-CN"/>
              </w:rPr>
              <w:t>罐进水泵</w:t>
            </w:r>
          </w:p>
        </w:tc>
        <w:tc>
          <w:tcPr>
            <w:tcW w:w="0" w:type="auto"/>
            <w:vAlign w:val="center"/>
          </w:tcPr>
          <w:p w14:paraId="05A9D79F">
            <w:pPr>
              <w:pStyle w:val="58"/>
              <w:bidi w:val="0"/>
              <w:rPr>
                <w:rFonts w:hint="default"/>
                <w:highlight w:val="none"/>
                <w:lang w:val="en-US" w:eastAsia="zh-CN"/>
              </w:rPr>
            </w:pPr>
            <w:r>
              <w:rPr>
                <w:rFonts w:hint="default"/>
                <w:highlight w:val="none"/>
                <w:lang w:val="en-US" w:eastAsia="zh-CN"/>
              </w:rPr>
              <w:t>1</w:t>
            </w:r>
          </w:p>
        </w:tc>
        <w:tc>
          <w:tcPr>
            <w:tcW w:w="725" w:type="dxa"/>
            <w:vAlign w:val="center"/>
          </w:tcPr>
          <w:p w14:paraId="40495D2E">
            <w:pPr>
              <w:pStyle w:val="58"/>
              <w:bidi w:val="0"/>
              <w:rPr>
                <w:rFonts w:hint="default"/>
                <w:highlight w:val="none"/>
                <w:lang w:val="en-US" w:eastAsia="zh-CN"/>
              </w:rPr>
            </w:pPr>
            <w:r>
              <w:rPr>
                <w:rFonts w:hint="default"/>
                <w:highlight w:val="none"/>
              </w:rPr>
              <w:t>连续</w:t>
            </w:r>
          </w:p>
        </w:tc>
        <w:tc>
          <w:tcPr>
            <w:tcW w:w="1215" w:type="dxa"/>
            <w:vAlign w:val="center"/>
          </w:tcPr>
          <w:p w14:paraId="3F1BAF69">
            <w:pPr>
              <w:pStyle w:val="58"/>
              <w:bidi w:val="0"/>
              <w:rPr>
                <w:rFonts w:hint="default"/>
                <w:highlight w:val="none"/>
                <w:lang w:val="en-US" w:eastAsia="zh-CN"/>
              </w:rPr>
            </w:pPr>
            <w:r>
              <w:rPr>
                <w:rFonts w:hint="default"/>
                <w:highlight w:val="none"/>
              </w:rPr>
              <w:t>85</w:t>
            </w:r>
          </w:p>
        </w:tc>
        <w:tc>
          <w:tcPr>
            <w:tcW w:w="2220" w:type="dxa"/>
            <w:vAlign w:val="center"/>
          </w:tcPr>
          <w:p w14:paraId="4849251B">
            <w:pPr>
              <w:pStyle w:val="58"/>
              <w:bidi w:val="0"/>
              <w:rPr>
                <w:rFonts w:hint="default"/>
                <w:highlight w:val="none"/>
                <w:lang w:val="en-US" w:eastAsia="zh-CN"/>
              </w:rPr>
            </w:pPr>
            <w:r>
              <w:rPr>
                <w:rFonts w:hint="default"/>
                <w:highlight w:val="none"/>
                <w:lang w:eastAsia="zh-CN"/>
              </w:rPr>
              <w:t>低噪声设备、</w:t>
            </w:r>
            <w:r>
              <w:rPr>
                <w:rFonts w:hint="eastAsia"/>
                <w:highlight w:val="none"/>
                <w:lang w:eastAsia="zh-CN"/>
              </w:rPr>
              <w:t>减振</w:t>
            </w:r>
          </w:p>
        </w:tc>
      </w:tr>
      <w:tr w14:paraId="194DA30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0" w:type="auto"/>
            <w:vMerge w:val="continue"/>
            <w:vAlign w:val="center"/>
          </w:tcPr>
          <w:p w14:paraId="5380B2B4">
            <w:pPr>
              <w:pStyle w:val="58"/>
              <w:bidi w:val="0"/>
              <w:rPr>
                <w:rFonts w:hint="default"/>
                <w:highlight w:val="none"/>
              </w:rPr>
            </w:pPr>
          </w:p>
        </w:tc>
        <w:tc>
          <w:tcPr>
            <w:tcW w:w="0" w:type="auto"/>
            <w:vMerge w:val="continue"/>
            <w:vAlign w:val="center"/>
          </w:tcPr>
          <w:p w14:paraId="678C12F9">
            <w:pPr>
              <w:pStyle w:val="58"/>
              <w:bidi w:val="0"/>
              <w:rPr>
                <w:rFonts w:hint="default"/>
                <w:highlight w:val="none"/>
              </w:rPr>
            </w:pPr>
          </w:p>
        </w:tc>
        <w:tc>
          <w:tcPr>
            <w:tcW w:w="0" w:type="auto"/>
            <w:vAlign w:val="center"/>
          </w:tcPr>
          <w:p w14:paraId="2C27D7BD">
            <w:pPr>
              <w:pStyle w:val="58"/>
              <w:bidi w:val="0"/>
              <w:rPr>
                <w:rFonts w:hint="default"/>
                <w:highlight w:val="none"/>
                <w:lang w:val="en-US" w:eastAsia="zh-CN"/>
              </w:rPr>
            </w:pPr>
            <w:r>
              <w:rPr>
                <w:rFonts w:hint="eastAsia"/>
                <w:highlight w:val="none"/>
                <w:lang w:val="en-US" w:eastAsia="zh-CN"/>
              </w:rPr>
              <w:t>砂滤</w:t>
            </w:r>
            <w:r>
              <w:rPr>
                <w:rFonts w:hint="default"/>
                <w:highlight w:val="none"/>
                <w:lang w:val="en-US" w:eastAsia="zh-CN"/>
              </w:rPr>
              <w:t>罐反洗泵</w:t>
            </w:r>
          </w:p>
        </w:tc>
        <w:tc>
          <w:tcPr>
            <w:tcW w:w="0" w:type="auto"/>
            <w:vAlign w:val="center"/>
          </w:tcPr>
          <w:p w14:paraId="0B06768E">
            <w:pPr>
              <w:pStyle w:val="58"/>
              <w:bidi w:val="0"/>
              <w:rPr>
                <w:rFonts w:hint="default"/>
                <w:highlight w:val="none"/>
                <w:lang w:val="en-US" w:eastAsia="zh-CN"/>
              </w:rPr>
            </w:pPr>
            <w:r>
              <w:rPr>
                <w:rFonts w:hint="default"/>
                <w:highlight w:val="none"/>
                <w:lang w:val="en-US" w:eastAsia="zh-CN"/>
              </w:rPr>
              <w:t>1</w:t>
            </w:r>
          </w:p>
        </w:tc>
        <w:tc>
          <w:tcPr>
            <w:tcW w:w="725" w:type="dxa"/>
            <w:vAlign w:val="center"/>
          </w:tcPr>
          <w:p w14:paraId="28855D12">
            <w:pPr>
              <w:pStyle w:val="58"/>
              <w:bidi w:val="0"/>
              <w:rPr>
                <w:rFonts w:hint="default"/>
                <w:highlight w:val="none"/>
                <w:lang w:val="en-US" w:eastAsia="zh-CN"/>
              </w:rPr>
            </w:pPr>
            <w:r>
              <w:rPr>
                <w:rFonts w:hint="default"/>
                <w:highlight w:val="none"/>
              </w:rPr>
              <w:t>连续</w:t>
            </w:r>
          </w:p>
        </w:tc>
        <w:tc>
          <w:tcPr>
            <w:tcW w:w="1215" w:type="dxa"/>
            <w:vAlign w:val="center"/>
          </w:tcPr>
          <w:p w14:paraId="1CBEFA73">
            <w:pPr>
              <w:pStyle w:val="58"/>
              <w:bidi w:val="0"/>
              <w:rPr>
                <w:rFonts w:hint="default"/>
                <w:highlight w:val="none"/>
                <w:lang w:val="en-US" w:eastAsia="zh-CN"/>
              </w:rPr>
            </w:pPr>
            <w:r>
              <w:rPr>
                <w:rFonts w:hint="default"/>
                <w:highlight w:val="none"/>
                <w:lang w:val="en-US" w:eastAsia="zh-CN"/>
              </w:rPr>
              <w:t>85</w:t>
            </w:r>
          </w:p>
        </w:tc>
        <w:tc>
          <w:tcPr>
            <w:tcW w:w="2220" w:type="dxa"/>
            <w:vAlign w:val="center"/>
          </w:tcPr>
          <w:p w14:paraId="3991B61E">
            <w:pPr>
              <w:pStyle w:val="58"/>
              <w:bidi w:val="0"/>
              <w:rPr>
                <w:rFonts w:hint="default"/>
                <w:highlight w:val="none"/>
                <w:lang w:val="en-US" w:eastAsia="zh-CN"/>
              </w:rPr>
            </w:pPr>
            <w:r>
              <w:rPr>
                <w:rFonts w:hint="default"/>
                <w:highlight w:val="none"/>
                <w:lang w:eastAsia="zh-CN"/>
              </w:rPr>
              <w:t>低噪声设备、</w:t>
            </w:r>
            <w:r>
              <w:rPr>
                <w:rFonts w:hint="eastAsia"/>
                <w:highlight w:val="none"/>
                <w:lang w:eastAsia="zh-CN"/>
              </w:rPr>
              <w:t>减振</w:t>
            </w:r>
          </w:p>
        </w:tc>
      </w:tr>
      <w:tr w14:paraId="6D62E34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91" w:type="dxa"/>
            <w:vAlign w:val="center"/>
          </w:tcPr>
          <w:p w14:paraId="7E9C0A20">
            <w:pPr>
              <w:pStyle w:val="58"/>
              <w:bidi w:val="0"/>
              <w:ind w:firstLine="0" w:firstLineChars="0"/>
              <w:rPr>
                <w:rFonts w:hint="default"/>
                <w:highlight w:val="none"/>
                <w:lang w:val="en-US" w:eastAsia="zh-CN"/>
              </w:rPr>
            </w:pPr>
            <w:r>
              <w:rPr>
                <w:rFonts w:hint="default"/>
                <w:highlight w:val="none"/>
                <w:lang w:val="en-US" w:eastAsia="zh-CN"/>
              </w:rPr>
              <w:t>5</w:t>
            </w:r>
          </w:p>
        </w:tc>
        <w:tc>
          <w:tcPr>
            <w:tcW w:w="0" w:type="auto"/>
            <w:vAlign w:val="center"/>
          </w:tcPr>
          <w:p w14:paraId="2D37D984">
            <w:pPr>
              <w:pStyle w:val="58"/>
              <w:bidi w:val="0"/>
              <w:rPr>
                <w:rFonts w:hint="default"/>
                <w:highlight w:val="none"/>
                <w:lang w:val="en-US" w:eastAsia="zh-CN"/>
              </w:rPr>
            </w:pPr>
            <w:r>
              <w:rPr>
                <w:rFonts w:hint="default"/>
                <w:highlight w:val="none"/>
                <w:lang w:val="en-US" w:eastAsia="zh-CN"/>
              </w:rPr>
              <w:t>泵站</w:t>
            </w:r>
          </w:p>
        </w:tc>
        <w:tc>
          <w:tcPr>
            <w:tcW w:w="0" w:type="auto"/>
            <w:vAlign w:val="center"/>
          </w:tcPr>
          <w:p w14:paraId="00A7B793">
            <w:pPr>
              <w:pStyle w:val="58"/>
              <w:bidi w:val="0"/>
              <w:rPr>
                <w:rFonts w:hint="default"/>
                <w:highlight w:val="none"/>
                <w:lang w:val="en-US" w:eastAsia="zh-CN"/>
              </w:rPr>
            </w:pPr>
            <w:r>
              <w:rPr>
                <w:rFonts w:hint="default"/>
                <w:highlight w:val="none"/>
                <w:lang w:val="en-US" w:eastAsia="zh-CN"/>
              </w:rPr>
              <w:t>潜污泵</w:t>
            </w:r>
          </w:p>
        </w:tc>
        <w:tc>
          <w:tcPr>
            <w:tcW w:w="0" w:type="auto"/>
            <w:vAlign w:val="center"/>
          </w:tcPr>
          <w:p w14:paraId="169E44E4">
            <w:pPr>
              <w:pStyle w:val="58"/>
              <w:bidi w:val="0"/>
              <w:rPr>
                <w:rFonts w:hint="default"/>
                <w:highlight w:val="none"/>
                <w:lang w:val="en-US" w:eastAsia="zh-CN"/>
              </w:rPr>
            </w:pPr>
            <w:r>
              <w:rPr>
                <w:rFonts w:hint="default"/>
                <w:highlight w:val="none"/>
                <w:lang w:val="en-US" w:eastAsia="zh-CN"/>
              </w:rPr>
              <w:t>2</w:t>
            </w:r>
            <w:r>
              <w:rPr>
                <w:rFonts w:hint="default"/>
                <w:highlight w:val="none"/>
              </w:rPr>
              <w:t>（</w:t>
            </w:r>
            <w:r>
              <w:rPr>
                <w:rFonts w:hint="default"/>
                <w:highlight w:val="none"/>
                <w:lang w:val="en-US" w:eastAsia="zh-CN"/>
              </w:rPr>
              <w:t>1</w:t>
            </w:r>
            <w:r>
              <w:rPr>
                <w:rFonts w:hint="default"/>
                <w:highlight w:val="none"/>
              </w:rPr>
              <w:t>用1备）</w:t>
            </w:r>
          </w:p>
        </w:tc>
        <w:tc>
          <w:tcPr>
            <w:tcW w:w="725" w:type="dxa"/>
            <w:vAlign w:val="center"/>
          </w:tcPr>
          <w:p w14:paraId="1872D71F">
            <w:pPr>
              <w:pStyle w:val="58"/>
              <w:bidi w:val="0"/>
              <w:rPr>
                <w:rFonts w:hint="default"/>
                <w:highlight w:val="none"/>
                <w:lang w:val="en-US" w:eastAsia="zh-CN"/>
              </w:rPr>
            </w:pPr>
            <w:r>
              <w:rPr>
                <w:rFonts w:hint="default"/>
                <w:highlight w:val="none"/>
                <w:lang w:val="en-US" w:eastAsia="zh-CN"/>
              </w:rPr>
              <w:t>连续</w:t>
            </w:r>
          </w:p>
        </w:tc>
        <w:tc>
          <w:tcPr>
            <w:tcW w:w="1215" w:type="dxa"/>
            <w:vAlign w:val="center"/>
          </w:tcPr>
          <w:p w14:paraId="2FE7D3E8">
            <w:pPr>
              <w:pStyle w:val="58"/>
              <w:bidi w:val="0"/>
              <w:rPr>
                <w:rFonts w:hint="default"/>
                <w:highlight w:val="none"/>
                <w:lang w:val="en-US" w:eastAsia="zh-CN"/>
              </w:rPr>
            </w:pPr>
            <w:r>
              <w:rPr>
                <w:rFonts w:hint="default"/>
                <w:highlight w:val="none"/>
              </w:rPr>
              <w:t>85</w:t>
            </w:r>
          </w:p>
        </w:tc>
        <w:tc>
          <w:tcPr>
            <w:tcW w:w="2220" w:type="dxa"/>
            <w:vAlign w:val="center"/>
          </w:tcPr>
          <w:p w14:paraId="15567F1C">
            <w:pPr>
              <w:pStyle w:val="58"/>
              <w:bidi w:val="0"/>
              <w:rPr>
                <w:rFonts w:hint="default"/>
                <w:highlight w:val="none"/>
                <w:lang w:val="en-US" w:eastAsia="zh-CN"/>
              </w:rPr>
            </w:pPr>
            <w:r>
              <w:rPr>
                <w:rFonts w:hint="default"/>
                <w:highlight w:val="none"/>
              </w:rPr>
              <w:t>地下</w:t>
            </w:r>
          </w:p>
        </w:tc>
      </w:tr>
      <w:tr w14:paraId="2CC4B38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91" w:type="dxa"/>
            <w:vAlign w:val="center"/>
          </w:tcPr>
          <w:p w14:paraId="2F690D87">
            <w:pPr>
              <w:pStyle w:val="58"/>
              <w:bidi w:val="0"/>
              <w:ind w:firstLine="0" w:firstLineChars="0"/>
              <w:rPr>
                <w:rFonts w:hint="default"/>
                <w:highlight w:val="none"/>
                <w:lang w:val="en-US" w:eastAsia="zh-CN"/>
              </w:rPr>
            </w:pPr>
            <w:r>
              <w:rPr>
                <w:rFonts w:hint="default"/>
                <w:highlight w:val="none"/>
                <w:lang w:val="en-US" w:eastAsia="zh-CN"/>
              </w:rPr>
              <w:t>6</w:t>
            </w:r>
          </w:p>
        </w:tc>
        <w:tc>
          <w:tcPr>
            <w:tcW w:w="0" w:type="auto"/>
            <w:vAlign w:val="center"/>
          </w:tcPr>
          <w:p w14:paraId="0FC1AC4C">
            <w:pPr>
              <w:pStyle w:val="58"/>
              <w:bidi w:val="0"/>
              <w:rPr>
                <w:rFonts w:hint="default"/>
                <w:highlight w:val="none"/>
              </w:rPr>
            </w:pPr>
            <w:r>
              <w:rPr>
                <w:rFonts w:hint="default"/>
                <w:highlight w:val="none"/>
                <w:lang w:val="en-US" w:eastAsia="zh-CN"/>
              </w:rPr>
              <w:t>污泥脱水间</w:t>
            </w:r>
          </w:p>
        </w:tc>
        <w:tc>
          <w:tcPr>
            <w:tcW w:w="0" w:type="auto"/>
            <w:vAlign w:val="center"/>
          </w:tcPr>
          <w:p w14:paraId="450BFA89">
            <w:pPr>
              <w:pStyle w:val="58"/>
              <w:bidi w:val="0"/>
              <w:rPr>
                <w:rFonts w:hint="default"/>
                <w:highlight w:val="none"/>
                <w:lang w:val="en-US" w:eastAsia="zh-CN"/>
              </w:rPr>
            </w:pPr>
            <w:r>
              <w:rPr>
                <w:rFonts w:hint="default"/>
                <w:highlight w:val="none"/>
                <w:lang w:val="en-US" w:eastAsia="zh-CN"/>
              </w:rPr>
              <w:t>叠螺污泥脱水机</w:t>
            </w:r>
          </w:p>
        </w:tc>
        <w:tc>
          <w:tcPr>
            <w:tcW w:w="0" w:type="auto"/>
            <w:vAlign w:val="center"/>
          </w:tcPr>
          <w:p w14:paraId="58BE9F3D">
            <w:pPr>
              <w:pStyle w:val="58"/>
              <w:bidi w:val="0"/>
              <w:rPr>
                <w:rFonts w:hint="default"/>
                <w:highlight w:val="none"/>
                <w:lang w:val="en-US" w:eastAsia="zh-CN"/>
              </w:rPr>
            </w:pPr>
            <w:r>
              <w:rPr>
                <w:rFonts w:hint="default"/>
                <w:highlight w:val="none"/>
                <w:lang w:val="en-US" w:eastAsia="zh-CN"/>
              </w:rPr>
              <w:t>1</w:t>
            </w:r>
          </w:p>
        </w:tc>
        <w:tc>
          <w:tcPr>
            <w:tcW w:w="725" w:type="dxa"/>
            <w:vAlign w:val="center"/>
          </w:tcPr>
          <w:p w14:paraId="69982758">
            <w:pPr>
              <w:pStyle w:val="58"/>
              <w:bidi w:val="0"/>
              <w:rPr>
                <w:rFonts w:hint="default"/>
                <w:highlight w:val="none"/>
                <w:lang w:val="en-US" w:eastAsia="zh-CN"/>
              </w:rPr>
            </w:pPr>
            <w:r>
              <w:rPr>
                <w:rFonts w:hint="default"/>
                <w:highlight w:val="none"/>
              </w:rPr>
              <w:t>间断</w:t>
            </w:r>
          </w:p>
        </w:tc>
        <w:tc>
          <w:tcPr>
            <w:tcW w:w="1215" w:type="dxa"/>
            <w:vAlign w:val="center"/>
          </w:tcPr>
          <w:p w14:paraId="56C29191">
            <w:pPr>
              <w:pStyle w:val="58"/>
              <w:bidi w:val="0"/>
              <w:rPr>
                <w:rFonts w:hint="default"/>
                <w:highlight w:val="none"/>
                <w:lang w:val="en-US" w:eastAsia="zh-CN"/>
              </w:rPr>
            </w:pPr>
            <w:r>
              <w:rPr>
                <w:rFonts w:hint="default"/>
                <w:highlight w:val="none"/>
              </w:rPr>
              <w:t>80</w:t>
            </w:r>
          </w:p>
        </w:tc>
        <w:tc>
          <w:tcPr>
            <w:tcW w:w="2220" w:type="dxa"/>
            <w:vAlign w:val="center"/>
          </w:tcPr>
          <w:p w14:paraId="6E136146">
            <w:pPr>
              <w:pStyle w:val="58"/>
              <w:bidi w:val="0"/>
              <w:rPr>
                <w:rFonts w:hint="default"/>
                <w:highlight w:val="none"/>
                <w:lang w:val="en-US" w:eastAsia="zh-CN"/>
              </w:rPr>
            </w:pPr>
            <w:r>
              <w:rPr>
                <w:rFonts w:hint="default"/>
                <w:highlight w:val="none"/>
                <w:lang w:val="en-US" w:eastAsia="zh-CN"/>
              </w:rPr>
              <w:t>隔声、</w:t>
            </w:r>
            <w:r>
              <w:rPr>
                <w:rFonts w:hint="eastAsia"/>
                <w:highlight w:val="none"/>
                <w:lang w:val="en-US" w:eastAsia="zh-CN"/>
              </w:rPr>
              <w:t>减振</w:t>
            </w:r>
          </w:p>
        </w:tc>
      </w:tr>
      <w:tr w14:paraId="32494E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91" w:type="dxa"/>
            <w:vAlign w:val="center"/>
          </w:tcPr>
          <w:p w14:paraId="64110C09">
            <w:pPr>
              <w:pStyle w:val="58"/>
              <w:bidi w:val="0"/>
              <w:ind w:firstLine="0" w:firstLineChars="0"/>
              <w:rPr>
                <w:rFonts w:hint="default"/>
                <w:highlight w:val="none"/>
                <w:lang w:val="en-US" w:eastAsia="zh-CN"/>
              </w:rPr>
            </w:pPr>
            <w:r>
              <w:rPr>
                <w:rFonts w:hint="default"/>
                <w:highlight w:val="none"/>
                <w:lang w:val="en-US" w:eastAsia="zh-CN"/>
              </w:rPr>
              <w:t>7</w:t>
            </w:r>
          </w:p>
        </w:tc>
        <w:tc>
          <w:tcPr>
            <w:tcW w:w="0" w:type="auto"/>
            <w:vAlign w:val="center"/>
          </w:tcPr>
          <w:p w14:paraId="71AB3AAE">
            <w:pPr>
              <w:pStyle w:val="58"/>
              <w:bidi w:val="0"/>
              <w:rPr>
                <w:rFonts w:hint="default"/>
                <w:highlight w:val="none"/>
                <w:lang w:val="en-US" w:eastAsia="zh-CN"/>
              </w:rPr>
            </w:pPr>
            <w:r>
              <w:rPr>
                <w:rFonts w:hint="eastAsia"/>
                <w:highlight w:val="none"/>
                <w:lang w:val="en-US" w:eastAsia="zh-CN"/>
              </w:rPr>
              <w:t>加药间</w:t>
            </w:r>
          </w:p>
        </w:tc>
        <w:tc>
          <w:tcPr>
            <w:tcW w:w="0" w:type="auto"/>
            <w:vAlign w:val="center"/>
          </w:tcPr>
          <w:p w14:paraId="0A70062F">
            <w:pPr>
              <w:pStyle w:val="58"/>
              <w:bidi w:val="0"/>
              <w:rPr>
                <w:rFonts w:hint="default"/>
                <w:highlight w:val="none"/>
                <w:lang w:val="en-US" w:eastAsia="zh-CN"/>
              </w:rPr>
            </w:pPr>
            <w:r>
              <w:rPr>
                <w:rFonts w:hint="eastAsia"/>
                <w:highlight w:val="none"/>
                <w:lang w:val="en-US" w:eastAsia="zh-CN"/>
              </w:rPr>
              <w:t>加药泵</w:t>
            </w:r>
          </w:p>
        </w:tc>
        <w:tc>
          <w:tcPr>
            <w:tcW w:w="0" w:type="auto"/>
            <w:vAlign w:val="center"/>
          </w:tcPr>
          <w:p w14:paraId="44B2C7F7">
            <w:pPr>
              <w:pStyle w:val="58"/>
              <w:bidi w:val="0"/>
              <w:rPr>
                <w:rFonts w:hint="default"/>
                <w:highlight w:val="none"/>
                <w:lang w:val="en-US" w:eastAsia="zh-CN"/>
              </w:rPr>
            </w:pPr>
            <w:r>
              <w:rPr>
                <w:rFonts w:hint="eastAsia"/>
                <w:highlight w:val="none"/>
                <w:lang w:val="en-US" w:eastAsia="zh-CN"/>
              </w:rPr>
              <w:t>2</w:t>
            </w:r>
          </w:p>
        </w:tc>
        <w:tc>
          <w:tcPr>
            <w:tcW w:w="725" w:type="dxa"/>
            <w:vAlign w:val="center"/>
          </w:tcPr>
          <w:p w14:paraId="0A12DC11">
            <w:pPr>
              <w:pStyle w:val="58"/>
              <w:bidi w:val="0"/>
              <w:rPr>
                <w:rFonts w:hint="eastAsia" w:eastAsia="宋体"/>
                <w:highlight w:val="none"/>
                <w:lang w:val="en-US" w:eastAsia="zh-CN"/>
              </w:rPr>
            </w:pPr>
            <w:r>
              <w:rPr>
                <w:rFonts w:hint="eastAsia"/>
                <w:highlight w:val="none"/>
                <w:lang w:val="en-US" w:eastAsia="zh-CN"/>
              </w:rPr>
              <w:t>间断</w:t>
            </w:r>
          </w:p>
        </w:tc>
        <w:tc>
          <w:tcPr>
            <w:tcW w:w="1215" w:type="dxa"/>
            <w:vAlign w:val="center"/>
          </w:tcPr>
          <w:p w14:paraId="30E1DA4D">
            <w:pPr>
              <w:pStyle w:val="58"/>
              <w:bidi w:val="0"/>
              <w:rPr>
                <w:rFonts w:hint="default" w:eastAsia="宋体"/>
                <w:highlight w:val="none"/>
                <w:lang w:val="en-US" w:eastAsia="zh-CN"/>
              </w:rPr>
            </w:pPr>
            <w:r>
              <w:rPr>
                <w:rFonts w:hint="eastAsia"/>
                <w:highlight w:val="none"/>
                <w:lang w:val="en-US" w:eastAsia="zh-CN"/>
              </w:rPr>
              <w:t>80</w:t>
            </w:r>
          </w:p>
        </w:tc>
        <w:tc>
          <w:tcPr>
            <w:tcW w:w="2220" w:type="dxa"/>
            <w:vAlign w:val="center"/>
          </w:tcPr>
          <w:p w14:paraId="216F211D">
            <w:pPr>
              <w:pStyle w:val="58"/>
              <w:bidi w:val="0"/>
              <w:rPr>
                <w:rFonts w:hint="default"/>
                <w:highlight w:val="none"/>
                <w:lang w:val="en-US" w:eastAsia="zh-CN"/>
              </w:rPr>
            </w:pPr>
            <w:r>
              <w:rPr>
                <w:rFonts w:hint="eastAsia"/>
                <w:highlight w:val="none"/>
                <w:lang w:val="en-US" w:eastAsia="zh-CN"/>
              </w:rPr>
              <w:t>厂房隔声、减振</w:t>
            </w:r>
          </w:p>
        </w:tc>
      </w:tr>
      <w:tr w14:paraId="11B4AC7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91" w:type="dxa"/>
            <w:vAlign w:val="center"/>
          </w:tcPr>
          <w:p w14:paraId="706EFF76">
            <w:pPr>
              <w:pStyle w:val="58"/>
              <w:bidi w:val="0"/>
              <w:ind w:firstLine="0" w:firstLineChars="0"/>
              <w:rPr>
                <w:rFonts w:hint="default"/>
                <w:highlight w:val="none"/>
                <w:lang w:val="en-US" w:eastAsia="zh-CN"/>
              </w:rPr>
            </w:pPr>
            <w:r>
              <w:rPr>
                <w:rFonts w:hint="default"/>
                <w:highlight w:val="none"/>
                <w:lang w:val="en-US" w:eastAsia="zh-CN"/>
              </w:rPr>
              <w:t>8</w:t>
            </w:r>
          </w:p>
        </w:tc>
        <w:tc>
          <w:tcPr>
            <w:tcW w:w="0" w:type="auto"/>
            <w:vAlign w:val="center"/>
          </w:tcPr>
          <w:p w14:paraId="0987BF7B">
            <w:pPr>
              <w:pStyle w:val="58"/>
              <w:bidi w:val="0"/>
              <w:rPr>
                <w:rFonts w:hint="default"/>
                <w:highlight w:val="none"/>
                <w:lang w:val="en-US" w:eastAsia="zh-CN"/>
              </w:rPr>
            </w:pPr>
            <w:r>
              <w:rPr>
                <w:rFonts w:hint="default"/>
                <w:highlight w:val="none"/>
                <w:lang w:val="en-US" w:eastAsia="zh-CN"/>
              </w:rPr>
              <w:t>污泥池</w:t>
            </w:r>
          </w:p>
        </w:tc>
        <w:tc>
          <w:tcPr>
            <w:tcW w:w="0" w:type="auto"/>
            <w:vAlign w:val="center"/>
          </w:tcPr>
          <w:p w14:paraId="4B58E58E">
            <w:pPr>
              <w:pStyle w:val="58"/>
              <w:bidi w:val="0"/>
              <w:rPr>
                <w:rFonts w:hint="default"/>
                <w:highlight w:val="none"/>
                <w:lang w:val="en-US" w:eastAsia="zh-CN"/>
              </w:rPr>
            </w:pPr>
            <w:r>
              <w:rPr>
                <w:rFonts w:hint="default"/>
                <w:highlight w:val="none"/>
                <w:lang w:val="en-US" w:eastAsia="zh-CN"/>
              </w:rPr>
              <w:t>排泥泵</w:t>
            </w:r>
          </w:p>
        </w:tc>
        <w:tc>
          <w:tcPr>
            <w:tcW w:w="0" w:type="auto"/>
            <w:vAlign w:val="center"/>
          </w:tcPr>
          <w:p w14:paraId="3E285981">
            <w:pPr>
              <w:pStyle w:val="58"/>
              <w:bidi w:val="0"/>
              <w:rPr>
                <w:rFonts w:hint="default"/>
                <w:highlight w:val="none"/>
                <w:lang w:val="en-US" w:eastAsia="zh-CN"/>
              </w:rPr>
            </w:pPr>
            <w:r>
              <w:rPr>
                <w:rFonts w:hint="default"/>
                <w:highlight w:val="none"/>
                <w:lang w:val="en-US" w:eastAsia="zh-CN"/>
              </w:rPr>
              <w:t>1</w:t>
            </w:r>
          </w:p>
        </w:tc>
        <w:tc>
          <w:tcPr>
            <w:tcW w:w="725" w:type="dxa"/>
            <w:vAlign w:val="center"/>
          </w:tcPr>
          <w:p w14:paraId="60F5D8B2">
            <w:pPr>
              <w:pStyle w:val="58"/>
              <w:bidi w:val="0"/>
              <w:rPr>
                <w:rFonts w:hint="default"/>
                <w:highlight w:val="none"/>
                <w:lang w:val="en-US" w:eastAsia="zh-CN"/>
              </w:rPr>
            </w:pPr>
            <w:r>
              <w:rPr>
                <w:rFonts w:hint="default"/>
                <w:highlight w:val="none"/>
              </w:rPr>
              <w:t>间断</w:t>
            </w:r>
          </w:p>
        </w:tc>
        <w:tc>
          <w:tcPr>
            <w:tcW w:w="1215" w:type="dxa"/>
            <w:vAlign w:val="center"/>
          </w:tcPr>
          <w:p w14:paraId="0EBB2296">
            <w:pPr>
              <w:pStyle w:val="58"/>
              <w:bidi w:val="0"/>
              <w:rPr>
                <w:rFonts w:hint="default"/>
                <w:highlight w:val="none"/>
                <w:lang w:val="en-US" w:eastAsia="zh-CN"/>
              </w:rPr>
            </w:pPr>
            <w:r>
              <w:rPr>
                <w:rFonts w:hint="default"/>
                <w:highlight w:val="none"/>
                <w:lang w:val="en-US" w:eastAsia="zh-CN"/>
              </w:rPr>
              <w:t>85</w:t>
            </w:r>
          </w:p>
        </w:tc>
        <w:tc>
          <w:tcPr>
            <w:tcW w:w="2220" w:type="dxa"/>
            <w:vAlign w:val="center"/>
          </w:tcPr>
          <w:p w14:paraId="5706BCA8">
            <w:pPr>
              <w:pStyle w:val="58"/>
              <w:bidi w:val="0"/>
              <w:rPr>
                <w:rFonts w:hint="eastAsia" w:eastAsia="宋体"/>
                <w:highlight w:val="none"/>
                <w:lang w:val="en-US" w:eastAsia="zh-CN"/>
              </w:rPr>
            </w:pPr>
            <w:r>
              <w:rPr>
                <w:rFonts w:hint="default"/>
                <w:highlight w:val="none"/>
                <w:lang w:val="en-US" w:eastAsia="zh-CN"/>
              </w:rPr>
              <w:t>地下，</w:t>
            </w:r>
            <w:r>
              <w:rPr>
                <w:rFonts w:hint="default"/>
                <w:highlight w:val="none"/>
              </w:rPr>
              <w:t>低噪声设备、</w:t>
            </w:r>
            <w:r>
              <w:rPr>
                <w:rFonts w:hint="eastAsia"/>
                <w:highlight w:val="none"/>
                <w:lang w:eastAsia="zh-CN"/>
              </w:rPr>
              <w:t>减振</w:t>
            </w:r>
          </w:p>
        </w:tc>
      </w:tr>
      <w:tr w14:paraId="5A31044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91" w:type="dxa"/>
            <w:vAlign w:val="center"/>
          </w:tcPr>
          <w:p w14:paraId="107670DC">
            <w:pPr>
              <w:pStyle w:val="58"/>
              <w:bidi w:val="0"/>
              <w:ind w:firstLine="0" w:firstLineChars="0"/>
              <w:rPr>
                <w:rFonts w:hint="default"/>
                <w:highlight w:val="none"/>
                <w:lang w:val="en-US" w:eastAsia="zh-CN"/>
              </w:rPr>
            </w:pPr>
            <w:r>
              <w:rPr>
                <w:rFonts w:hint="default"/>
                <w:highlight w:val="none"/>
                <w:lang w:val="en-US" w:eastAsia="zh-CN"/>
              </w:rPr>
              <w:t>9</w:t>
            </w:r>
          </w:p>
        </w:tc>
        <w:tc>
          <w:tcPr>
            <w:tcW w:w="0" w:type="auto"/>
            <w:vAlign w:val="center"/>
          </w:tcPr>
          <w:p w14:paraId="00A4DE7D">
            <w:pPr>
              <w:pStyle w:val="58"/>
              <w:bidi w:val="0"/>
              <w:rPr>
                <w:rFonts w:hint="default"/>
                <w:highlight w:val="none"/>
                <w:lang w:val="en-US" w:eastAsia="zh-CN"/>
              </w:rPr>
            </w:pPr>
            <w:r>
              <w:rPr>
                <w:rFonts w:hint="default"/>
                <w:highlight w:val="none"/>
                <w:lang w:val="en-US" w:eastAsia="zh-CN"/>
              </w:rPr>
              <w:t>鼓风机房</w:t>
            </w:r>
          </w:p>
        </w:tc>
        <w:tc>
          <w:tcPr>
            <w:tcW w:w="0" w:type="auto"/>
            <w:vAlign w:val="center"/>
          </w:tcPr>
          <w:p w14:paraId="4EAC7A74">
            <w:pPr>
              <w:pStyle w:val="58"/>
              <w:bidi w:val="0"/>
              <w:rPr>
                <w:rFonts w:hint="default"/>
                <w:highlight w:val="none"/>
                <w:lang w:val="en-US" w:eastAsia="zh-CN"/>
              </w:rPr>
            </w:pPr>
            <w:r>
              <w:rPr>
                <w:rFonts w:hint="default"/>
                <w:highlight w:val="none"/>
              </w:rPr>
              <w:t>罗茨鼓风机</w:t>
            </w:r>
          </w:p>
        </w:tc>
        <w:tc>
          <w:tcPr>
            <w:tcW w:w="0" w:type="auto"/>
            <w:vAlign w:val="center"/>
          </w:tcPr>
          <w:p w14:paraId="5D36CB3D">
            <w:pPr>
              <w:pStyle w:val="58"/>
              <w:bidi w:val="0"/>
              <w:rPr>
                <w:rFonts w:hint="default"/>
                <w:highlight w:val="none"/>
                <w:lang w:val="en-US" w:eastAsia="zh-CN"/>
              </w:rPr>
            </w:pPr>
            <w:r>
              <w:rPr>
                <w:rFonts w:hint="default"/>
                <w:highlight w:val="none"/>
                <w:lang w:val="en-US" w:eastAsia="zh-CN"/>
              </w:rPr>
              <w:t>2</w:t>
            </w:r>
            <w:r>
              <w:rPr>
                <w:rFonts w:hint="default"/>
                <w:highlight w:val="none"/>
              </w:rPr>
              <w:t>（</w:t>
            </w:r>
            <w:r>
              <w:rPr>
                <w:rFonts w:hint="default"/>
                <w:highlight w:val="none"/>
                <w:lang w:val="en-US" w:eastAsia="zh-CN"/>
              </w:rPr>
              <w:t>1</w:t>
            </w:r>
            <w:r>
              <w:rPr>
                <w:rFonts w:hint="default"/>
                <w:highlight w:val="none"/>
              </w:rPr>
              <w:t>用1备）</w:t>
            </w:r>
          </w:p>
        </w:tc>
        <w:tc>
          <w:tcPr>
            <w:tcW w:w="725" w:type="dxa"/>
            <w:vAlign w:val="center"/>
          </w:tcPr>
          <w:p w14:paraId="4A4DA8D2">
            <w:pPr>
              <w:pStyle w:val="58"/>
              <w:bidi w:val="0"/>
              <w:rPr>
                <w:rFonts w:hint="default"/>
                <w:highlight w:val="none"/>
                <w:lang w:val="en-US" w:eastAsia="zh-CN"/>
              </w:rPr>
            </w:pPr>
            <w:r>
              <w:rPr>
                <w:rFonts w:hint="default"/>
                <w:highlight w:val="none"/>
              </w:rPr>
              <w:t>连续</w:t>
            </w:r>
          </w:p>
        </w:tc>
        <w:tc>
          <w:tcPr>
            <w:tcW w:w="1215" w:type="dxa"/>
            <w:vAlign w:val="center"/>
          </w:tcPr>
          <w:p w14:paraId="2560742D">
            <w:pPr>
              <w:pStyle w:val="58"/>
              <w:bidi w:val="0"/>
              <w:rPr>
                <w:rFonts w:hint="default"/>
                <w:highlight w:val="none"/>
                <w:lang w:val="en-US" w:eastAsia="zh-CN"/>
              </w:rPr>
            </w:pPr>
            <w:r>
              <w:rPr>
                <w:rFonts w:hint="default"/>
                <w:highlight w:val="none"/>
              </w:rPr>
              <w:t>110</w:t>
            </w:r>
          </w:p>
        </w:tc>
        <w:tc>
          <w:tcPr>
            <w:tcW w:w="2220" w:type="dxa"/>
            <w:vAlign w:val="center"/>
          </w:tcPr>
          <w:p w14:paraId="43ADFCDC">
            <w:pPr>
              <w:pStyle w:val="58"/>
              <w:bidi w:val="0"/>
              <w:rPr>
                <w:rFonts w:hint="default"/>
                <w:highlight w:val="none"/>
                <w:lang w:val="en-US" w:eastAsia="zh-CN"/>
              </w:rPr>
            </w:pPr>
            <w:r>
              <w:rPr>
                <w:rFonts w:hint="eastAsia"/>
                <w:highlight w:val="none"/>
                <w:lang w:val="en-US" w:eastAsia="zh-CN"/>
              </w:rPr>
              <w:t>厂房隔声</w:t>
            </w:r>
            <w:r>
              <w:rPr>
                <w:rFonts w:hint="default"/>
                <w:highlight w:val="none"/>
              </w:rPr>
              <w:t>、风机房</w:t>
            </w:r>
          </w:p>
        </w:tc>
      </w:tr>
      <w:tr w14:paraId="32675A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91" w:type="dxa"/>
            <w:vAlign w:val="center"/>
          </w:tcPr>
          <w:p w14:paraId="2D1022DD">
            <w:pPr>
              <w:pStyle w:val="58"/>
              <w:bidi w:val="0"/>
              <w:ind w:firstLine="0" w:firstLineChars="0"/>
              <w:rPr>
                <w:rFonts w:hint="default"/>
                <w:highlight w:val="none"/>
                <w:lang w:val="en-US" w:eastAsia="zh-CN"/>
              </w:rPr>
            </w:pPr>
            <w:r>
              <w:rPr>
                <w:rFonts w:hint="default"/>
                <w:highlight w:val="none"/>
                <w:lang w:val="en-US" w:eastAsia="zh-CN"/>
              </w:rPr>
              <w:t>10</w:t>
            </w:r>
          </w:p>
        </w:tc>
        <w:tc>
          <w:tcPr>
            <w:tcW w:w="0" w:type="auto"/>
            <w:vAlign w:val="center"/>
          </w:tcPr>
          <w:p w14:paraId="17966131">
            <w:pPr>
              <w:pStyle w:val="58"/>
              <w:bidi w:val="0"/>
              <w:rPr>
                <w:rFonts w:hint="default"/>
                <w:highlight w:val="none"/>
                <w:lang w:val="en-US" w:eastAsia="zh-CN"/>
              </w:rPr>
            </w:pPr>
            <w:r>
              <w:rPr>
                <w:rFonts w:hint="default"/>
                <w:highlight w:val="none"/>
                <w:lang w:val="en-US" w:eastAsia="zh-CN"/>
              </w:rPr>
              <w:t>除臭设备</w:t>
            </w:r>
          </w:p>
        </w:tc>
        <w:tc>
          <w:tcPr>
            <w:tcW w:w="0" w:type="auto"/>
            <w:vAlign w:val="center"/>
          </w:tcPr>
          <w:p w14:paraId="29E5A5ED">
            <w:pPr>
              <w:pStyle w:val="58"/>
              <w:bidi w:val="0"/>
              <w:rPr>
                <w:rFonts w:hint="default"/>
                <w:highlight w:val="none"/>
                <w:lang w:val="en-US" w:eastAsia="zh-CN"/>
              </w:rPr>
            </w:pPr>
            <w:r>
              <w:rPr>
                <w:rFonts w:hint="default"/>
                <w:highlight w:val="none"/>
                <w:lang w:val="en-US" w:eastAsia="zh-CN"/>
              </w:rPr>
              <w:t>离心鼓风机</w:t>
            </w:r>
          </w:p>
        </w:tc>
        <w:tc>
          <w:tcPr>
            <w:tcW w:w="0" w:type="auto"/>
            <w:vAlign w:val="center"/>
          </w:tcPr>
          <w:p w14:paraId="612AE81D">
            <w:pPr>
              <w:pStyle w:val="58"/>
              <w:bidi w:val="0"/>
              <w:rPr>
                <w:rFonts w:hint="default"/>
                <w:highlight w:val="none"/>
                <w:lang w:val="en-US" w:eastAsia="zh-CN"/>
              </w:rPr>
            </w:pPr>
            <w:r>
              <w:rPr>
                <w:rFonts w:hint="default"/>
                <w:highlight w:val="none"/>
                <w:lang w:val="en-US" w:eastAsia="zh-CN"/>
              </w:rPr>
              <w:t>1</w:t>
            </w:r>
          </w:p>
        </w:tc>
        <w:tc>
          <w:tcPr>
            <w:tcW w:w="725" w:type="dxa"/>
            <w:vAlign w:val="center"/>
          </w:tcPr>
          <w:p w14:paraId="10ED40AB">
            <w:pPr>
              <w:pStyle w:val="58"/>
              <w:bidi w:val="0"/>
              <w:rPr>
                <w:rFonts w:hint="default"/>
                <w:highlight w:val="none"/>
                <w:lang w:val="en-US" w:eastAsia="zh-CN"/>
              </w:rPr>
            </w:pPr>
            <w:r>
              <w:rPr>
                <w:rFonts w:hint="default"/>
                <w:highlight w:val="none"/>
                <w:lang w:val="en-US" w:eastAsia="zh-CN"/>
              </w:rPr>
              <w:t>连续</w:t>
            </w:r>
          </w:p>
        </w:tc>
        <w:tc>
          <w:tcPr>
            <w:tcW w:w="1215" w:type="dxa"/>
            <w:vAlign w:val="center"/>
          </w:tcPr>
          <w:p w14:paraId="68D3BBA5">
            <w:pPr>
              <w:pStyle w:val="58"/>
              <w:bidi w:val="0"/>
              <w:rPr>
                <w:rFonts w:hint="default"/>
                <w:highlight w:val="none"/>
                <w:lang w:val="en-US" w:eastAsia="zh-CN"/>
              </w:rPr>
            </w:pPr>
            <w:r>
              <w:rPr>
                <w:rFonts w:hint="default"/>
                <w:highlight w:val="none"/>
                <w:lang w:val="en-US" w:eastAsia="zh-CN"/>
              </w:rPr>
              <w:t>90</w:t>
            </w:r>
          </w:p>
        </w:tc>
        <w:tc>
          <w:tcPr>
            <w:tcW w:w="2220" w:type="dxa"/>
            <w:vAlign w:val="center"/>
          </w:tcPr>
          <w:p w14:paraId="621BCCFA">
            <w:pPr>
              <w:pStyle w:val="58"/>
              <w:bidi w:val="0"/>
              <w:rPr>
                <w:rFonts w:hint="default"/>
                <w:highlight w:val="none"/>
              </w:rPr>
            </w:pPr>
            <w:r>
              <w:rPr>
                <w:rFonts w:hint="default"/>
                <w:highlight w:val="none"/>
              </w:rPr>
              <w:t>隔声、</w:t>
            </w:r>
            <w:r>
              <w:rPr>
                <w:rFonts w:hint="eastAsia"/>
                <w:highlight w:val="none"/>
                <w:lang w:eastAsia="zh-CN"/>
              </w:rPr>
              <w:t>减振</w:t>
            </w:r>
            <w:r>
              <w:rPr>
                <w:rFonts w:hint="default"/>
                <w:highlight w:val="none"/>
              </w:rPr>
              <w:t>、管道软连接</w:t>
            </w:r>
          </w:p>
        </w:tc>
      </w:tr>
      <w:bookmarkEnd w:id="209"/>
      <w:bookmarkEnd w:id="210"/>
    </w:tbl>
    <w:p w14:paraId="155B4F32">
      <w:pPr>
        <w:pStyle w:val="6"/>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color w:val="000000" w:themeColor="text1"/>
          <w:highlight w:val="none"/>
          <w:lang w:val="zh-CN"/>
          <w14:textFill>
            <w14:solidFill>
              <w14:schemeClr w14:val="tx1"/>
            </w14:solidFill>
          </w14:textFill>
        </w:rPr>
      </w:pPr>
      <w:r>
        <w:rPr>
          <w:rFonts w:hint="default" w:ascii="Times New Roman" w:hAnsi="Times New Roman" w:eastAsia="宋体" w:cs="Times New Roman"/>
          <w:color w:val="000000" w:themeColor="text1"/>
          <w:highlight w:val="none"/>
          <w:lang w:val="zh-CN"/>
          <w14:textFill>
            <w14:solidFill>
              <w14:schemeClr w14:val="tx1"/>
            </w14:solidFill>
          </w14:textFill>
        </w:rPr>
        <w:t>3.</w:t>
      </w:r>
      <w:r>
        <w:rPr>
          <w:rFonts w:hint="default" w:ascii="Times New Roman" w:hAnsi="Times New Roman" w:eastAsia="宋体" w:cs="Times New Roman"/>
          <w:color w:val="000000" w:themeColor="text1"/>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highlight w:val="none"/>
          <w:lang w:val="zh-CN"/>
          <w14:textFill>
            <w14:solidFill>
              <w14:schemeClr w14:val="tx1"/>
            </w14:solidFill>
          </w14:textFill>
        </w:rPr>
        <w:t>4固体废物</w:t>
      </w:r>
    </w:p>
    <w:p w14:paraId="4B4373B1">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本项目固废主要是污水处理过程中产生的栅渣、沉砂、污泥、</w:t>
      </w:r>
      <w:r>
        <w:rPr>
          <w:rFonts w:hint="eastAsia" w:cs="Times New Roman"/>
          <w:b w:val="0"/>
          <w:bCs w:val="0"/>
          <w:color w:val="000000" w:themeColor="text1"/>
          <w:sz w:val="24"/>
          <w:highlight w:val="none"/>
          <w:lang w:val="en-US" w:eastAsia="zh-CN"/>
          <w14:textFill>
            <w14:solidFill>
              <w14:schemeClr w14:val="tx1"/>
            </w14:solidFill>
          </w14:textFill>
        </w:rPr>
        <w:t>废石英砂、</w:t>
      </w: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废润滑油、废液压油和废油桶、</w:t>
      </w:r>
      <w:r>
        <w:rPr>
          <w:rFonts w:hint="eastAsia" w:cs="Times New Roman"/>
          <w:b w:val="0"/>
          <w:bCs w:val="0"/>
          <w:color w:val="000000" w:themeColor="text1"/>
          <w:sz w:val="24"/>
          <w:highlight w:val="none"/>
          <w:lang w:val="en-US" w:eastAsia="zh-CN"/>
          <w14:textFill>
            <w14:solidFill>
              <w14:schemeClr w14:val="tx1"/>
            </w14:solidFill>
          </w14:textFill>
        </w:rPr>
        <w:t>实验室</w:t>
      </w: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及在线监测废液、废试剂瓶</w:t>
      </w:r>
      <w:r>
        <w:rPr>
          <w:rFonts w:hint="eastAsia" w:cs="Times New Roman"/>
          <w:b w:val="0"/>
          <w:bCs w:val="0"/>
          <w:color w:val="000000" w:themeColor="text1"/>
          <w:sz w:val="24"/>
          <w:highlight w:val="none"/>
          <w:lang w:val="en-US" w:eastAsia="zh-CN"/>
          <w14:textFill>
            <w14:solidFill>
              <w14:schemeClr w14:val="tx1"/>
            </w14:solidFill>
          </w14:textFill>
        </w:rPr>
        <w:t>、生活垃圾</w:t>
      </w: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w:t>
      </w:r>
    </w:p>
    <w:p w14:paraId="47126325">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4"/>
          <w:highlight w:val="none"/>
          <w:lang w:val="en-US" w:eastAsia="zh-CN"/>
          <w14:textFill>
            <w14:solidFill>
              <w14:schemeClr w14:val="tx1"/>
            </w14:solidFill>
          </w14:textFill>
        </w:rPr>
        <w:t>(1)</w:t>
      </w: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一般固废</w:t>
      </w:r>
    </w:p>
    <w:p w14:paraId="677A2281">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80" w:firstLineChars="200"/>
        <w:jc w:val="both"/>
        <w:textAlignment w:val="auto"/>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①栅渣</w:t>
      </w:r>
    </w:p>
    <w:p w14:paraId="6AAD3E94">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both"/>
        <w:textAlignment w:val="auto"/>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在污水预处理阶段，由粗格栅和细格栅分离出栅渣，主要含有废弃塑料、纤维、果皮、菜叶、纸屑、毛发等各种生活垃圾。栅渣量按0.05</w:t>
      </w:r>
      <w:r>
        <w:rPr>
          <w:rFonts w:hint="eastAsia" w:ascii="Times New Roman" w:hAnsi="Times New Roman" w:cs="Times New Roman"/>
          <w:b w:val="0"/>
          <w:bCs w:val="0"/>
          <w:color w:val="000000" w:themeColor="text1"/>
          <w:sz w:val="24"/>
          <w:highlight w:val="none"/>
          <w:lang w:val="en-US" w:eastAsia="zh-CN"/>
          <w14:textFill>
            <w14:solidFill>
              <w14:schemeClr w14:val="tx1"/>
            </w14:solidFill>
          </w14:textFill>
        </w:rPr>
        <w:t>m</w:t>
      </w:r>
      <w:r>
        <w:rPr>
          <w:rFonts w:hint="default" w:ascii="Times New Roman" w:hAnsi="Times New Roman" w:cs="Times New Roman"/>
          <w:b w:val="0"/>
          <w:bCs w:val="0"/>
          <w:color w:val="000000" w:themeColor="text1"/>
          <w:sz w:val="24"/>
          <w:highlight w:val="none"/>
          <w:vertAlign w:val="superscript"/>
          <w:lang w:val="en-US" w:eastAsia="zh-CN"/>
          <w14:textFill>
            <w14:solidFill>
              <w14:schemeClr w14:val="tx1"/>
            </w14:solidFill>
          </w14:textFill>
        </w:rPr>
        <w:t>3</w:t>
      </w: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/1000</w:t>
      </w:r>
      <w:r>
        <w:rPr>
          <w:rFonts w:hint="eastAsia" w:ascii="Times New Roman" w:hAnsi="Times New Roman" w:cs="Times New Roman"/>
          <w:b w:val="0"/>
          <w:bCs w:val="0"/>
          <w:color w:val="000000" w:themeColor="text1"/>
          <w:sz w:val="24"/>
          <w:highlight w:val="none"/>
          <w:lang w:val="en-US" w:eastAsia="zh-CN"/>
          <w14:textFill>
            <w14:solidFill>
              <w14:schemeClr w14:val="tx1"/>
            </w14:solidFill>
          </w14:textFill>
        </w:rPr>
        <w:t>m</w:t>
      </w:r>
      <w:r>
        <w:rPr>
          <w:rFonts w:hint="default" w:ascii="Times New Roman" w:hAnsi="Times New Roman" w:cs="Times New Roman"/>
          <w:b w:val="0"/>
          <w:bCs w:val="0"/>
          <w:color w:val="000000" w:themeColor="text1"/>
          <w:sz w:val="24"/>
          <w:highlight w:val="none"/>
          <w:vertAlign w:val="superscript"/>
          <w:lang w:val="en-US" w:eastAsia="zh-CN"/>
          <w14:textFill>
            <w14:solidFill>
              <w14:schemeClr w14:val="tx1"/>
            </w14:solidFill>
          </w14:textFill>
        </w:rPr>
        <w:t>3</w:t>
      </w: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水计，含水率为60%左右，容重为960kg/</w:t>
      </w:r>
      <w:r>
        <w:rPr>
          <w:rFonts w:hint="eastAsia" w:cs="Times New Roman"/>
          <w:b w:val="0"/>
          <w:bCs w:val="0"/>
          <w:color w:val="000000" w:themeColor="text1"/>
          <w:sz w:val="24"/>
          <w:highlight w:val="none"/>
          <w:lang w:val="en-US" w:eastAsia="zh-CN"/>
          <w14:textFill>
            <w14:solidFill>
              <w14:schemeClr w14:val="tx1"/>
            </w14:solidFill>
          </w14:textFill>
        </w:rPr>
        <w:t>m</w:t>
      </w:r>
      <w:r>
        <w:rPr>
          <w:rFonts w:hint="eastAsia" w:cs="Times New Roman"/>
          <w:b w:val="0"/>
          <w:bCs w:val="0"/>
          <w:color w:val="000000" w:themeColor="text1"/>
          <w:sz w:val="24"/>
          <w:highlight w:val="none"/>
          <w:vertAlign w:val="superscript"/>
          <w:lang w:val="en-US" w:eastAsia="zh-CN"/>
          <w14:textFill>
            <w14:solidFill>
              <w14:schemeClr w14:val="tx1"/>
            </w14:solidFill>
          </w14:textFill>
        </w:rPr>
        <w:t>3</w:t>
      </w: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，则本项目栅渣总量为3.5t/a，为第Ⅰ类一般工业固体废物，栅渣自动、定时出渣，在出渣皮带末端下方设接料小车接收，接满后立即装车转运至垃圾处理场进行处理。</w:t>
      </w:r>
    </w:p>
    <w:p w14:paraId="1CB9C952">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②沉砂</w:t>
      </w:r>
    </w:p>
    <w:p w14:paraId="095E485C">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both"/>
        <w:textAlignment w:val="auto"/>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调节池分离出的固体废物主要为泥砂，沉砂量按0.03</w:t>
      </w:r>
      <w:r>
        <w:rPr>
          <w:rFonts w:hint="eastAsia" w:cs="Times New Roman"/>
          <w:b w:val="0"/>
          <w:bCs w:val="0"/>
          <w:color w:val="000000" w:themeColor="text1"/>
          <w:sz w:val="24"/>
          <w:highlight w:val="none"/>
          <w:lang w:val="en-US" w:eastAsia="zh-CN"/>
          <w14:textFill>
            <w14:solidFill>
              <w14:schemeClr w14:val="tx1"/>
            </w14:solidFill>
          </w14:textFill>
        </w:rPr>
        <w:t>m</w:t>
      </w:r>
      <w:r>
        <w:rPr>
          <w:rFonts w:hint="eastAsia" w:cs="Times New Roman"/>
          <w:b w:val="0"/>
          <w:bCs w:val="0"/>
          <w:color w:val="000000" w:themeColor="text1"/>
          <w:sz w:val="24"/>
          <w:highlight w:val="none"/>
          <w:vertAlign w:val="superscript"/>
          <w:lang w:val="en-US" w:eastAsia="zh-CN"/>
          <w14:textFill>
            <w14:solidFill>
              <w14:schemeClr w14:val="tx1"/>
            </w14:solidFill>
          </w14:textFill>
        </w:rPr>
        <w:t>3</w:t>
      </w: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/1000</w:t>
      </w:r>
      <w:r>
        <w:rPr>
          <w:rFonts w:hint="eastAsia" w:cs="Times New Roman"/>
          <w:b w:val="0"/>
          <w:bCs w:val="0"/>
          <w:color w:val="000000" w:themeColor="text1"/>
          <w:sz w:val="24"/>
          <w:highlight w:val="none"/>
          <w:lang w:val="en-US" w:eastAsia="zh-CN"/>
          <w14:textFill>
            <w14:solidFill>
              <w14:schemeClr w14:val="tx1"/>
            </w14:solidFill>
          </w14:textFill>
        </w:rPr>
        <w:t>m</w:t>
      </w:r>
      <w:r>
        <w:rPr>
          <w:rFonts w:hint="eastAsia" w:cs="Times New Roman"/>
          <w:b w:val="0"/>
          <w:bCs w:val="0"/>
          <w:color w:val="000000" w:themeColor="text1"/>
          <w:sz w:val="24"/>
          <w:highlight w:val="none"/>
          <w:vertAlign w:val="superscript"/>
          <w:lang w:val="en-US" w:eastAsia="zh-CN"/>
          <w14:textFill>
            <w14:solidFill>
              <w14:schemeClr w14:val="tx1"/>
            </w14:solidFill>
          </w14:textFill>
        </w:rPr>
        <w:t>3</w:t>
      </w: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水计，沉砂含水率为60%左右，容重为1500kg/</w:t>
      </w:r>
      <w:r>
        <w:rPr>
          <w:rFonts w:hint="eastAsia" w:cs="Times New Roman"/>
          <w:b w:val="0"/>
          <w:bCs w:val="0"/>
          <w:color w:val="000000" w:themeColor="text1"/>
          <w:sz w:val="24"/>
          <w:highlight w:val="none"/>
          <w:lang w:val="en-US" w:eastAsia="zh-CN"/>
          <w14:textFill>
            <w14:solidFill>
              <w14:schemeClr w14:val="tx1"/>
            </w14:solidFill>
          </w14:textFill>
        </w:rPr>
        <w:t>m</w:t>
      </w:r>
      <w:r>
        <w:rPr>
          <w:rFonts w:hint="eastAsia" w:cs="Times New Roman"/>
          <w:b w:val="0"/>
          <w:bCs w:val="0"/>
          <w:color w:val="000000" w:themeColor="text1"/>
          <w:sz w:val="24"/>
          <w:highlight w:val="none"/>
          <w:vertAlign w:val="superscript"/>
          <w:lang w:val="en-US" w:eastAsia="zh-CN"/>
          <w14:textFill>
            <w14:solidFill>
              <w14:schemeClr w14:val="tx1"/>
            </w14:solidFill>
          </w14:textFill>
        </w:rPr>
        <w:t>3</w:t>
      </w: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，本项目沉砂产生量为3.29t/a。为第Ⅰ类一般工业固体废物，由沉砂池自带砂水分离器出料口排出至接砂斗，转入转运车运至垃圾处理场进行处理。</w:t>
      </w:r>
    </w:p>
    <w:p w14:paraId="7A681189">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eastAsia" w:ascii="Times New Roman" w:hAnsi="Times New Roman" w:eastAsia="宋体" w:cs="Times New Roman"/>
          <w:b w:val="0"/>
          <w:bCs w:val="0"/>
          <w:color w:val="000000" w:themeColor="text1"/>
          <w:sz w:val="24"/>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4"/>
          <w:highlight w:val="none"/>
          <w:lang w:val="en-US" w:eastAsia="zh-CN"/>
          <w14:textFill>
            <w14:solidFill>
              <w14:schemeClr w14:val="tx1"/>
            </w14:solidFill>
          </w14:textFill>
        </w:rPr>
        <w:t>③废石英砂</w:t>
      </w:r>
    </w:p>
    <w:p w14:paraId="4C2531A9">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4"/>
          <w:highlight w:val="none"/>
          <w:lang w:val="en-US" w:eastAsia="zh-CN"/>
          <w14:textFill>
            <w14:solidFill>
              <w14:schemeClr w14:val="tx1"/>
            </w14:solidFill>
          </w14:textFill>
        </w:rPr>
        <w:t>砂滤罐设备维护过程中产生废石英砂2.65t/次，五年更换一次，由厂家回收。</w:t>
      </w:r>
    </w:p>
    <w:p w14:paraId="3B6B3A3C">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4"/>
          <w:highlight w:val="none"/>
          <w:lang w:val="en-US" w:eastAsia="zh-CN"/>
          <w14:textFill>
            <w14:solidFill>
              <w14:schemeClr w14:val="tx1"/>
            </w14:solidFill>
          </w14:textFill>
        </w:rPr>
        <w:t>④</w:t>
      </w: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污泥</w:t>
      </w:r>
    </w:p>
    <w:p w14:paraId="5333CBFF">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在污水生化处理后的沉淀处理阶段，产生大量的活性污泥，一部分回流，以维持反应池的污泥浓度，剩余活性污泥进入贮泥池贮存，未处理的污泥含水率可高达99%，需进行浓缩及脱水处理，以便于运输，本项目采用叠螺污泥脱水机对污泥进行脱水，脱水后的泥饼含水率通常&lt;60%，本项目脱水处理后的污泥量为</w:t>
      </w:r>
      <w:r>
        <w:rPr>
          <w:rFonts w:hint="eastAsia" w:cs="Times New Roman"/>
          <w:b w:val="0"/>
          <w:bCs w:val="0"/>
          <w:color w:val="000000" w:themeColor="text1"/>
          <w:sz w:val="24"/>
          <w:highlight w:val="none"/>
          <w:lang w:val="en-US" w:eastAsia="zh-CN"/>
          <w14:textFill>
            <w14:solidFill>
              <w14:schemeClr w14:val="tx1"/>
            </w14:solidFill>
          </w14:textFill>
        </w:rPr>
        <w:t>35</w:t>
      </w: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/a，类比</w:t>
      </w:r>
      <w:r>
        <w:rPr>
          <w:rFonts w:hint="eastAsia" w:ascii="Times New Roman" w:hAnsi="Times New Roman" w:eastAsia="宋体" w:cs="Times New Roman"/>
          <w:b w:val="0"/>
          <w:bCs w:val="0"/>
          <w:color w:val="000000" w:themeColor="text1"/>
          <w:sz w:val="24"/>
          <w:highlight w:val="none"/>
          <w:lang w:val="en-US" w:eastAsia="zh-CN"/>
          <w14:textFill>
            <w14:solidFill>
              <w14:schemeClr w14:val="tx1"/>
            </w14:solidFill>
          </w14:textFill>
        </w:rPr>
        <w:t>同类</w:t>
      </w: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项目实际鉴定结果，污泥为第Ⅰ类一般工业固体废物，外运至水泥厂进行处置。中远期如收水范围内企业排水水质发生较大的变化，如增加一类重金属等有毒有害物质排放，应对本项目污泥进行鉴定，根据鉴定结果对污泥做相应的处置。</w:t>
      </w:r>
    </w:p>
    <w:p w14:paraId="1CF482EB">
      <w:pPr>
        <w:pStyle w:val="20"/>
        <w:numPr>
          <w:ilvl w:val="0"/>
          <w:numId w:val="27"/>
        </w:numPr>
        <w:spacing w:after="0" w:line="440" w:lineRule="exact"/>
        <w:ind w:left="425" w:leftChars="0" w:hanging="425" w:firstLineChars="0"/>
        <w:jc w:val="center"/>
        <w:rPr>
          <w:rFonts w:hint="default" w:ascii="Times New Roman" w:hAnsi="Times New Roman" w:eastAsia="宋体" w:cs="Times New Roman"/>
          <w:b/>
          <w:color w:val="000000"/>
          <w:sz w:val="24"/>
          <w:szCs w:val="24"/>
          <w:highlight w:val="none"/>
        </w:rPr>
      </w:pPr>
      <w:r>
        <w:rPr>
          <w:rFonts w:hint="default" w:ascii="Times New Roman" w:hAnsi="Times New Roman" w:eastAsia="宋体" w:cs="Times New Roman"/>
          <w:b/>
          <w:color w:val="000000"/>
          <w:sz w:val="24"/>
          <w:szCs w:val="24"/>
          <w:highlight w:val="none"/>
        </w:rPr>
        <w:t>一般工业固体废物处置措施一览表</w:t>
      </w:r>
    </w:p>
    <w:tbl>
      <w:tblPr>
        <w:tblStyle w:val="88"/>
        <w:tblW w:w="5029"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522"/>
        <w:gridCol w:w="1364"/>
        <w:gridCol w:w="997"/>
        <w:gridCol w:w="1103"/>
        <w:gridCol w:w="654"/>
        <w:gridCol w:w="1547"/>
        <w:gridCol w:w="876"/>
        <w:gridCol w:w="2092"/>
      </w:tblGrid>
      <w:tr w14:paraId="0FE30C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285" w:type="pct"/>
            <w:vAlign w:val="center"/>
          </w:tcPr>
          <w:p w14:paraId="68CC24FF">
            <w:pPr>
              <w:pStyle w:val="58"/>
              <w:bidi w:val="0"/>
              <w:rPr>
                <w:rFonts w:hint="default"/>
                <w:highlight w:val="none"/>
              </w:rPr>
            </w:pPr>
            <w:r>
              <w:rPr>
                <w:rFonts w:hint="default"/>
                <w:highlight w:val="none"/>
              </w:rPr>
              <w:t>序号</w:t>
            </w:r>
          </w:p>
        </w:tc>
        <w:tc>
          <w:tcPr>
            <w:tcW w:w="744" w:type="pct"/>
            <w:vAlign w:val="center"/>
          </w:tcPr>
          <w:p w14:paraId="1101D7BA">
            <w:pPr>
              <w:pStyle w:val="58"/>
              <w:bidi w:val="0"/>
              <w:rPr>
                <w:rFonts w:hint="default"/>
                <w:highlight w:val="none"/>
              </w:rPr>
            </w:pPr>
            <w:r>
              <w:rPr>
                <w:rFonts w:hint="default"/>
                <w:highlight w:val="none"/>
              </w:rPr>
              <w:t>名称</w:t>
            </w:r>
          </w:p>
        </w:tc>
        <w:tc>
          <w:tcPr>
            <w:tcW w:w="544" w:type="pct"/>
            <w:vAlign w:val="center"/>
          </w:tcPr>
          <w:p w14:paraId="54C13D56">
            <w:pPr>
              <w:pStyle w:val="58"/>
              <w:bidi w:val="0"/>
              <w:rPr>
                <w:rFonts w:hint="default"/>
                <w:highlight w:val="none"/>
              </w:rPr>
            </w:pPr>
            <w:r>
              <w:rPr>
                <w:rFonts w:hint="default"/>
                <w:highlight w:val="none"/>
              </w:rPr>
              <w:t>来源</w:t>
            </w:r>
          </w:p>
        </w:tc>
        <w:tc>
          <w:tcPr>
            <w:tcW w:w="602" w:type="pct"/>
            <w:vAlign w:val="center"/>
          </w:tcPr>
          <w:p w14:paraId="5C7316C4">
            <w:pPr>
              <w:pStyle w:val="58"/>
              <w:bidi w:val="0"/>
              <w:rPr>
                <w:rFonts w:hint="default"/>
                <w:highlight w:val="none"/>
              </w:rPr>
            </w:pPr>
            <w:r>
              <w:rPr>
                <w:rFonts w:hint="default"/>
                <w:highlight w:val="none"/>
              </w:rPr>
              <w:t>本项目产生量t/a</w:t>
            </w:r>
          </w:p>
        </w:tc>
        <w:tc>
          <w:tcPr>
            <w:tcW w:w="357" w:type="pct"/>
            <w:vAlign w:val="center"/>
          </w:tcPr>
          <w:p w14:paraId="78035D83">
            <w:pPr>
              <w:pStyle w:val="58"/>
              <w:bidi w:val="0"/>
              <w:rPr>
                <w:rFonts w:hint="default"/>
                <w:highlight w:val="none"/>
              </w:rPr>
            </w:pPr>
            <w:r>
              <w:rPr>
                <w:rFonts w:hint="default"/>
                <w:highlight w:val="none"/>
              </w:rPr>
              <w:t>排放量t/a</w:t>
            </w:r>
          </w:p>
        </w:tc>
        <w:tc>
          <w:tcPr>
            <w:tcW w:w="844" w:type="pct"/>
            <w:vAlign w:val="center"/>
          </w:tcPr>
          <w:p w14:paraId="6A53F25B">
            <w:pPr>
              <w:pStyle w:val="58"/>
              <w:bidi w:val="0"/>
              <w:rPr>
                <w:rFonts w:hint="default"/>
                <w:highlight w:val="none"/>
              </w:rPr>
            </w:pPr>
            <w:r>
              <w:rPr>
                <w:rFonts w:hint="default"/>
                <w:highlight w:val="none"/>
              </w:rPr>
              <w:t>固废代码</w:t>
            </w:r>
          </w:p>
        </w:tc>
        <w:tc>
          <w:tcPr>
            <w:tcW w:w="478" w:type="pct"/>
            <w:vAlign w:val="center"/>
          </w:tcPr>
          <w:p w14:paraId="60A58A08">
            <w:pPr>
              <w:pStyle w:val="58"/>
              <w:bidi w:val="0"/>
              <w:rPr>
                <w:rFonts w:hint="default"/>
                <w:highlight w:val="none"/>
              </w:rPr>
            </w:pPr>
            <w:r>
              <w:rPr>
                <w:rFonts w:hint="default"/>
                <w:highlight w:val="none"/>
              </w:rPr>
              <w:t>类别</w:t>
            </w:r>
          </w:p>
        </w:tc>
        <w:tc>
          <w:tcPr>
            <w:tcW w:w="1141" w:type="pct"/>
            <w:vAlign w:val="center"/>
          </w:tcPr>
          <w:p w14:paraId="1CDFB075">
            <w:pPr>
              <w:pStyle w:val="58"/>
              <w:bidi w:val="0"/>
              <w:rPr>
                <w:rFonts w:hint="default"/>
                <w:highlight w:val="none"/>
              </w:rPr>
            </w:pPr>
            <w:r>
              <w:rPr>
                <w:rFonts w:hint="default"/>
                <w:highlight w:val="none"/>
              </w:rPr>
              <w:t>处置措施</w:t>
            </w:r>
          </w:p>
        </w:tc>
      </w:tr>
      <w:tr w14:paraId="64360C6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285" w:type="pct"/>
            <w:vAlign w:val="center"/>
          </w:tcPr>
          <w:p w14:paraId="172C86B3">
            <w:pPr>
              <w:pStyle w:val="58"/>
              <w:bidi w:val="0"/>
              <w:rPr>
                <w:rFonts w:hint="default"/>
                <w:highlight w:val="none"/>
              </w:rPr>
            </w:pPr>
            <w:r>
              <w:rPr>
                <w:rFonts w:hint="default"/>
                <w:highlight w:val="none"/>
              </w:rPr>
              <w:t>1</w:t>
            </w:r>
          </w:p>
        </w:tc>
        <w:tc>
          <w:tcPr>
            <w:tcW w:w="744" w:type="pct"/>
            <w:vAlign w:val="center"/>
          </w:tcPr>
          <w:p w14:paraId="0D0FA9BD">
            <w:pPr>
              <w:pStyle w:val="58"/>
              <w:bidi w:val="0"/>
              <w:rPr>
                <w:rFonts w:hint="default"/>
                <w:highlight w:val="none"/>
              </w:rPr>
            </w:pPr>
            <w:r>
              <w:rPr>
                <w:rFonts w:hint="default"/>
                <w:highlight w:val="none"/>
              </w:rPr>
              <w:t>栅渣</w:t>
            </w:r>
          </w:p>
        </w:tc>
        <w:tc>
          <w:tcPr>
            <w:tcW w:w="544" w:type="pct"/>
            <w:vAlign w:val="center"/>
          </w:tcPr>
          <w:p w14:paraId="0FAEC269">
            <w:pPr>
              <w:pStyle w:val="58"/>
              <w:bidi w:val="0"/>
              <w:rPr>
                <w:rFonts w:hint="default"/>
                <w:highlight w:val="none"/>
              </w:rPr>
            </w:pPr>
            <w:r>
              <w:rPr>
                <w:rFonts w:hint="default"/>
                <w:highlight w:val="none"/>
              </w:rPr>
              <w:t>格栅</w:t>
            </w:r>
          </w:p>
        </w:tc>
        <w:tc>
          <w:tcPr>
            <w:tcW w:w="602" w:type="pct"/>
            <w:vAlign w:val="center"/>
          </w:tcPr>
          <w:p w14:paraId="7529F333">
            <w:pPr>
              <w:pStyle w:val="58"/>
              <w:bidi w:val="0"/>
              <w:rPr>
                <w:rFonts w:hint="default"/>
                <w:highlight w:val="none"/>
                <w:lang w:val="en-US" w:eastAsia="zh-CN"/>
              </w:rPr>
            </w:pPr>
            <w:r>
              <w:rPr>
                <w:rFonts w:hint="default"/>
                <w:highlight w:val="none"/>
                <w:lang w:val="en-US" w:eastAsia="zh-CN"/>
              </w:rPr>
              <w:t>3.5</w:t>
            </w:r>
          </w:p>
        </w:tc>
        <w:tc>
          <w:tcPr>
            <w:tcW w:w="357" w:type="pct"/>
            <w:vAlign w:val="center"/>
          </w:tcPr>
          <w:p w14:paraId="52089CED">
            <w:pPr>
              <w:pStyle w:val="58"/>
              <w:bidi w:val="0"/>
              <w:rPr>
                <w:rFonts w:hint="default"/>
                <w:highlight w:val="none"/>
              </w:rPr>
            </w:pPr>
            <w:r>
              <w:rPr>
                <w:rFonts w:hint="default"/>
                <w:highlight w:val="none"/>
              </w:rPr>
              <w:t>0</w:t>
            </w:r>
          </w:p>
        </w:tc>
        <w:tc>
          <w:tcPr>
            <w:tcW w:w="844" w:type="pct"/>
            <w:vAlign w:val="center"/>
          </w:tcPr>
          <w:p w14:paraId="5E5B19AD">
            <w:pPr>
              <w:pStyle w:val="58"/>
              <w:bidi w:val="0"/>
              <w:rPr>
                <w:rFonts w:hint="default"/>
                <w:highlight w:val="none"/>
              </w:rPr>
            </w:pPr>
            <w:r>
              <w:rPr>
                <w:rFonts w:hint="default"/>
                <w:highlight w:val="none"/>
              </w:rPr>
              <w:t>046-002-99</w:t>
            </w:r>
          </w:p>
        </w:tc>
        <w:tc>
          <w:tcPr>
            <w:tcW w:w="478" w:type="pct"/>
            <w:vMerge w:val="restart"/>
            <w:vAlign w:val="center"/>
          </w:tcPr>
          <w:p w14:paraId="08C5D88F">
            <w:pPr>
              <w:pStyle w:val="58"/>
              <w:bidi w:val="0"/>
              <w:rPr>
                <w:rFonts w:hint="default"/>
                <w:highlight w:val="none"/>
              </w:rPr>
            </w:pPr>
            <w:r>
              <w:rPr>
                <w:rFonts w:hint="default"/>
                <w:highlight w:val="none"/>
              </w:rPr>
              <w:t>一般工业固体废物</w:t>
            </w:r>
          </w:p>
        </w:tc>
        <w:tc>
          <w:tcPr>
            <w:tcW w:w="1141" w:type="pct"/>
            <w:vMerge w:val="restart"/>
            <w:vAlign w:val="center"/>
          </w:tcPr>
          <w:p w14:paraId="6CE2BAD6">
            <w:pPr>
              <w:pStyle w:val="58"/>
              <w:bidi w:val="0"/>
              <w:rPr>
                <w:rFonts w:hint="default"/>
                <w:highlight w:val="none"/>
              </w:rPr>
            </w:pPr>
            <w:r>
              <w:rPr>
                <w:rFonts w:hint="default"/>
                <w:highlight w:val="none"/>
              </w:rPr>
              <w:t>委托</w:t>
            </w:r>
            <w:r>
              <w:rPr>
                <w:rFonts w:hint="default"/>
                <w:highlight w:val="none"/>
                <w:lang w:val="en-US" w:eastAsia="zh-CN"/>
              </w:rPr>
              <w:t>水泥厂协同</w:t>
            </w:r>
            <w:r>
              <w:rPr>
                <w:rFonts w:hint="default"/>
                <w:highlight w:val="none"/>
              </w:rPr>
              <w:t>处置</w:t>
            </w:r>
          </w:p>
        </w:tc>
      </w:tr>
      <w:tr w14:paraId="70EDB2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285" w:type="pct"/>
            <w:vAlign w:val="center"/>
          </w:tcPr>
          <w:p w14:paraId="1B040B71">
            <w:pPr>
              <w:pStyle w:val="58"/>
              <w:bidi w:val="0"/>
              <w:rPr>
                <w:rFonts w:hint="default"/>
                <w:highlight w:val="none"/>
              </w:rPr>
            </w:pPr>
            <w:r>
              <w:rPr>
                <w:rFonts w:hint="default"/>
                <w:highlight w:val="none"/>
              </w:rPr>
              <w:t>2</w:t>
            </w:r>
          </w:p>
        </w:tc>
        <w:tc>
          <w:tcPr>
            <w:tcW w:w="744" w:type="pct"/>
            <w:vAlign w:val="center"/>
          </w:tcPr>
          <w:p w14:paraId="63A436E3">
            <w:pPr>
              <w:pStyle w:val="58"/>
              <w:bidi w:val="0"/>
              <w:rPr>
                <w:rFonts w:hint="default"/>
                <w:highlight w:val="none"/>
              </w:rPr>
            </w:pPr>
            <w:r>
              <w:rPr>
                <w:rFonts w:hint="default"/>
                <w:highlight w:val="none"/>
              </w:rPr>
              <w:t>沉砂</w:t>
            </w:r>
          </w:p>
        </w:tc>
        <w:tc>
          <w:tcPr>
            <w:tcW w:w="544" w:type="pct"/>
            <w:vAlign w:val="center"/>
          </w:tcPr>
          <w:p w14:paraId="3CD2302B">
            <w:pPr>
              <w:pStyle w:val="58"/>
              <w:bidi w:val="0"/>
              <w:rPr>
                <w:rFonts w:hint="default"/>
                <w:highlight w:val="none"/>
              </w:rPr>
            </w:pPr>
            <w:r>
              <w:rPr>
                <w:rFonts w:hint="default"/>
                <w:highlight w:val="none"/>
              </w:rPr>
              <w:t>沉砂池</w:t>
            </w:r>
          </w:p>
        </w:tc>
        <w:tc>
          <w:tcPr>
            <w:tcW w:w="602" w:type="pct"/>
            <w:vAlign w:val="center"/>
          </w:tcPr>
          <w:p w14:paraId="08EB1FB7">
            <w:pPr>
              <w:pStyle w:val="58"/>
              <w:bidi w:val="0"/>
              <w:rPr>
                <w:rFonts w:hint="default"/>
                <w:highlight w:val="none"/>
                <w:lang w:val="en-US" w:eastAsia="zh-CN"/>
              </w:rPr>
            </w:pPr>
            <w:r>
              <w:rPr>
                <w:rFonts w:hint="default"/>
                <w:highlight w:val="none"/>
                <w:lang w:val="en-US" w:eastAsia="zh-CN"/>
              </w:rPr>
              <w:t>3.29</w:t>
            </w:r>
          </w:p>
        </w:tc>
        <w:tc>
          <w:tcPr>
            <w:tcW w:w="357" w:type="pct"/>
            <w:vAlign w:val="center"/>
          </w:tcPr>
          <w:p w14:paraId="006719C1">
            <w:pPr>
              <w:pStyle w:val="58"/>
              <w:bidi w:val="0"/>
              <w:rPr>
                <w:rFonts w:hint="default"/>
                <w:highlight w:val="none"/>
              </w:rPr>
            </w:pPr>
            <w:r>
              <w:rPr>
                <w:rFonts w:hint="default"/>
                <w:highlight w:val="none"/>
              </w:rPr>
              <w:t>0</w:t>
            </w:r>
          </w:p>
        </w:tc>
        <w:tc>
          <w:tcPr>
            <w:tcW w:w="844" w:type="pct"/>
            <w:vAlign w:val="center"/>
          </w:tcPr>
          <w:p w14:paraId="0B2509BC">
            <w:pPr>
              <w:pStyle w:val="58"/>
              <w:bidi w:val="0"/>
              <w:rPr>
                <w:rFonts w:hint="default"/>
                <w:highlight w:val="none"/>
              </w:rPr>
            </w:pPr>
            <w:r>
              <w:rPr>
                <w:rFonts w:hint="default"/>
                <w:highlight w:val="none"/>
              </w:rPr>
              <w:t>046-002-99</w:t>
            </w:r>
          </w:p>
        </w:tc>
        <w:tc>
          <w:tcPr>
            <w:tcW w:w="478" w:type="pct"/>
            <w:vMerge w:val="continue"/>
            <w:vAlign w:val="center"/>
          </w:tcPr>
          <w:p w14:paraId="702F0F44">
            <w:pPr>
              <w:pStyle w:val="58"/>
              <w:bidi w:val="0"/>
              <w:rPr>
                <w:rFonts w:hint="default"/>
                <w:highlight w:val="none"/>
              </w:rPr>
            </w:pPr>
          </w:p>
        </w:tc>
        <w:tc>
          <w:tcPr>
            <w:tcW w:w="1141" w:type="pct"/>
            <w:vMerge w:val="continue"/>
            <w:vAlign w:val="center"/>
          </w:tcPr>
          <w:p w14:paraId="6C38D0E5">
            <w:pPr>
              <w:pStyle w:val="58"/>
              <w:bidi w:val="0"/>
              <w:rPr>
                <w:rFonts w:hint="default"/>
                <w:highlight w:val="none"/>
              </w:rPr>
            </w:pPr>
          </w:p>
        </w:tc>
      </w:tr>
      <w:tr w14:paraId="38A1C3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285" w:type="pct"/>
            <w:vAlign w:val="center"/>
          </w:tcPr>
          <w:p w14:paraId="153508AE">
            <w:pPr>
              <w:pStyle w:val="58"/>
              <w:bidi w:val="0"/>
              <w:rPr>
                <w:rFonts w:hint="eastAsia" w:eastAsia="宋体"/>
                <w:highlight w:val="none"/>
                <w:lang w:val="en-US" w:eastAsia="zh-CN"/>
              </w:rPr>
            </w:pPr>
            <w:r>
              <w:rPr>
                <w:rFonts w:hint="eastAsia"/>
                <w:highlight w:val="none"/>
                <w:lang w:val="en-US" w:eastAsia="zh-CN"/>
              </w:rPr>
              <w:t>3</w:t>
            </w:r>
          </w:p>
        </w:tc>
        <w:tc>
          <w:tcPr>
            <w:tcW w:w="744" w:type="pct"/>
            <w:vAlign w:val="center"/>
          </w:tcPr>
          <w:p w14:paraId="642342F7">
            <w:pPr>
              <w:pStyle w:val="58"/>
              <w:bidi w:val="0"/>
              <w:rPr>
                <w:rFonts w:hint="default" w:eastAsia="宋体"/>
                <w:highlight w:val="none"/>
                <w:lang w:val="en-US" w:eastAsia="zh-CN"/>
              </w:rPr>
            </w:pPr>
            <w:r>
              <w:rPr>
                <w:rFonts w:hint="eastAsia"/>
                <w:highlight w:val="none"/>
                <w:lang w:val="en-US" w:eastAsia="zh-CN"/>
              </w:rPr>
              <w:t>废石英砂</w:t>
            </w:r>
          </w:p>
        </w:tc>
        <w:tc>
          <w:tcPr>
            <w:tcW w:w="544" w:type="pct"/>
            <w:vAlign w:val="center"/>
          </w:tcPr>
          <w:p w14:paraId="0D31D339">
            <w:pPr>
              <w:pStyle w:val="58"/>
              <w:bidi w:val="0"/>
              <w:rPr>
                <w:rFonts w:hint="eastAsia" w:eastAsia="宋体"/>
                <w:highlight w:val="none"/>
                <w:lang w:val="en-US" w:eastAsia="zh-CN"/>
              </w:rPr>
            </w:pPr>
            <w:r>
              <w:rPr>
                <w:rFonts w:hint="eastAsia"/>
                <w:highlight w:val="none"/>
                <w:lang w:val="en-US" w:eastAsia="zh-CN"/>
              </w:rPr>
              <w:t>砂滤罐</w:t>
            </w:r>
          </w:p>
        </w:tc>
        <w:tc>
          <w:tcPr>
            <w:tcW w:w="602" w:type="pct"/>
            <w:vAlign w:val="center"/>
          </w:tcPr>
          <w:p w14:paraId="07CD997D">
            <w:pPr>
              <w:pStyle w:val="58"/>
              <w:bidi w:val="0"/>
              <w:rPr>
                <w:rFonts w:hint="default"/>
                <w:highlight w:val="none"/>
                <w:lang w:val="en-US" w:eastAsia="zh-CN"/>
              </w:rPr>
            </w:pPr>
            <w:r>
              <w:rPr>
                <w:rFonts w:hint="eastAsia"/>
                <w:highlight w:val="none"/>
                <w:lang w:val="en-US" w:eastAsia="zh-CN"/>
              </w:rPr>
              <w:t>2.65</w:t>
            </w:r>
          </w:p>
        </w:tc>
        <w:tc>
          <w:tcPr>
            <w:tcW w:w="357" w:type="pct"/>
            <w:vAlign w:val="center"/>
          </w:tcPr>
          <w:p w14:paraId="2F35ABD2">
            <w:pPr>
              <w:pStyle w:val="58"/>
              <w:bidi w:val="0"/>
              <w:rPr>
                <w:rFonts w:hint="eastAsia" w:eastAsia="宋体"/>
                <w:highlight w:val="none"/>
                <w:lang w:val="en-US" w:eastAsia="zh-CN"/>
              </w:rPr>
            </w:pPr>
            <w:r>
              <w:rPr>
                <w:rFonts w:hint="eastAsia"/>
                <w:highlight w:val="none"/>
                <w:lang w:val="en-US" w:eastAsia="zh-CN"/>
              </w:rPr>
              <w:t>0</w:t>
            </w:r>
          </w:p>
        </w:tc>
        <w:tc>
          <w:tcPr>
            <w:tcW w:w="844" w:type="pct"/>
            <w:vAlign w:val="center"/>
          </w:tcPr>
          <w:p w14:paraId="222D96B7">
            <w:pPr>
              <w:pStyle w:val="58"/>
              <w:bidi w:val="0"/>
              <w:rPr>
                <w:rFonts w:hint="default" w:eastAsia="宋体"/>
                <w:highlight w:val="none"/>
                <w:lang w:val="en-US" w:eastAsia="zh-CN"/>
              </w:rPr>
            </w:pPr>
            <w:r>
              <w:rPr>
                <w:rFonts w:hint="eastAsia"/>
                <w:highlight w:val="none"/>
                <w:lang w:val="en-US" w:eastAsia="zh-CN"/>
              </w:rPr>
              <w:t>900-099-S59</w:t>
            </w:r>
          </w:p>
        </w:tc>
        <w:tc>
          <w:tcPr>
            <w:tcW w:w="478" w:type="pct"/>
            <w:vMerge w:val="continue"/>
            <w:vAlign w:val="center"/>
          </w:tcPr>
          <w:p w14:paraId="7ACE6832">
            <w:pPr>
              <w:pStyle w:val="58"/>
              <w:bidi w:val="0"/>
              <w:rPr>
                <w:rFonts w:hint="default"/>
                <w:highlight w:val="none"/>
              </w:rPr>
            </w:pPr>
          </w:p>
        </w:tc>
        <w:tc>
          <w:tcPr>
            <w:tcW w:w="1141" w:type="pct"/>
            <w:vAlign w:val="center"/>
          </w:tcPr>
          <w:p w14:paraId="32F8F0C8">
            <w:pPr>
              <w:pStyle w:val="58"/>
              <w:bidi w:val="0"/>
              <w:rPr>
                <w:rFonts w:hint="default" w:eastAsia="宋体"/>
                <w:highlight w:val="none"/>
                <w:lang w:val="en-US" w:eastAsia="zh-CN"/>
              </w:rPr>
            </w:pPr>
            <w:r>
              <w:rPr>
                <w:rFonts w:hint="eastAsia"/>
                <w:highlight w:val="none"/>
                <w:lang w:val="en-US" w:eastAsia="zh-CN"/>
              </w:rPr>
              <w:t>五年更换一次，厂家回收</w:t>
            </w:r>
          </w:p>
        </w:tc>
      </w:tr>
      <w:tr w14:paraId="2D641E0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285" w:type="pct"/>
            <w:vAlign w:val="center"/>
          </w:tcPr>
          <w:p w14:paraId="12894D0C">
            <w:pPr>
              <w:pStyle w:val="58"/>
              <w:bidi w:val="0"/>
              <w:rPr>
                <w:rFonts w:hint="eastAsia" w:eastAsia="宋体"/>
                <w:highlight w:val="none"/>
                <w:lang w:eastAsia="zh-CN"/>
              </w:rPr>
            </w:pPr>
            <w:r>
              <w:rPr>
                <w:rFonts w:hint="eastAsia"/>
                <w:highlight w:val="none"/>
                <w:lang w:val="en-US" w:eastAsia="zh-CN"/>
              </w:rPr>
              <w:t>4</w:t>
            </w:r>
          </w:p>
        </w:tc>
        <w:tc>
          <w:tcPr>
            <w:tcW w:w="744" w:type="pct"/>
            <w:vAlign w:val="center"/>
          </w:tcPr>
          <w:p w14:paraId="4872619B">
            <w:pPr>
              <w:pStyle w:val="58"/>
              <w:bidi w:val="0"/>
              <w:rPr>
                <w:rFonts w:hint="default"/>
                <w:highlight w:val="none"/>
              </w:rPr>
            </w:pPr>
            <w:r>
              <w:rPr>
                <w:rFonts w:hint="default"/>
                <w:highlight w:val="none"/>
              </w:rPr>
              <w:t>污泥</w:t>
            </w:r>
          </w:p>
        </w:tc>
        <w:tc>
          <w:tcPr>
            <w:tcW w:w="544" w:type="pct"/>
            <w:vAlign w:val="center"/>
          </w:tcPr>
          <w:p w14:paraId="51A3B497">
            <w:pPr>
              <w:pStyle w:val="58"/>
              <w:bidi w:val="0"/>
              <w:rPr>
                <w:rFonts w:hint="default"/>
                <w:highlight w:val="none"/>
                <w:lang w:eastAsia="zh-CN"/>
              </w:rPr>
            </w:pPr>
            <w:r>
              <w:rPr>
                <w:rFonts w:hint="eastAsia"/>
                <w:highlight w:val="none"/>
                <w:lang w:val="en-US" w:eastAsia="zh-CN"/>
              </w:rPr>
              <w:t>混凝沉淀池</w:t>
            </w:r>
          </w:p>
        </w:tc>
        <w:tc>
          <w:tcPr>
            <w:tcW w:w="602" w:type="pct"/>
            <w:vAlign w:val="center"/>
          </w:tcPr>
          <w:p w14:paraId="554C2E1D">
            <w:pPr>
              <w:pStyle w:val="58"/>
              <w:bidi w:val="0"/>
              <w:rPr>
                <w:rFonts w:hint="default"/>
                <w:highlight w:val="none"/>
                <w:lang w:val="en-US"/>
              </w:rPr>
            </w:pPr>
            <w:r>
              <w:rPr>
                <w:rFonts w:hint="eastAsia"/>
                <w:highlight w:val="none"/>
                <w:lang w:val="en-US" w:eastAsia="zh-CN"/>
              </w:rPr>
              <w:t>35</w:t>
            </w:r>
          </w:p>
        </w:tc>
        <w:tc>
          <w:tcPr>
            <w:tcW w:w="357" w:type="pct"/>
            <w:vAlign w:val="center"/>
          </w:tcPr>
          <w:p w14:paraId="251566DD">
            <w:pPr>
              <w:pStyle w:val="58"/>
              <w:bidi w:val="0"/>
              <w:rPr>
                <w:rFonts w:hint="default"/>
                <w:highlight w:val="none"/>
              </w:rPr>
            </w:pPr>
            <w:r>
              <w:rPr>
                <w:rFonts w:hint="default"/>
                <w:highlight w:val="none"/>
              </w:rPr>
              <w:t>0</w:t>
            </w:r>
          </w:p>
        </w:tc>
        <w:tc>
          <w:tcPr>
            <w:tcW w:w="844" w:type="pct"/>
            <w:vAlign w:val="center"/>
          </w:tcPr>
          <w:p w14:paraId="37E5CF1E">
            <w:pPr>
              <w:pStyle w:val="58"/>
              <w:bidi w:val="0"/>
              <w:rPr>
                <w:rFonts w:hint="default"/>
                <w:highlight w:val="none"/>
              </w:rPr>
            </w:pPr>
            <w:r>
              <w:rPr>
                <w:rFonts w:hint="default"/>
                <w:highlight w:val="none"/>
              </w:rPr>
              <w:t>046-002-62</w:t>
            </w:r>
          </w:p>
        </w:tc>
        <w:tc>
          <w:tcPr>
            <w:tcW w:w="478" w:type="pct"/>
            <w:vMerge w:val="continue"/>
            <w:vAlign w:val="center"/>
          </w:tcPr>
          <w:p w14:paraId="74678928">
            <w:pPr>
              <w:pStyle w:val="58"/>
              <w:bidi w:val="0"/>
              <w:rPr>
                <w:rFonts w:hint="default"/>
                <w:highlight w:val="none"/>
              </w:rPr>
            </w:pPr>
          </w:p>
        </w:tc>
        <w:tc>
          <w:tcPr>
            <w:tcW w:w="1141" w:type="pct"/>
            <w:vAlign w:val="center"/>
          </w:tcPr>
          <w:p w14:paraId="1925BD7A">
            <w:pPr>
              <w:pStyle w:val="58"/>
              <w:bidi w:val="0"/>
              <w:rPr>
                <w:rFonts w:hint="default"/>
                <w:highlight w:val="none"/>
              </w:rPr>
            </w:pPr>
            <w:r>
              <w:rPr>
                <w:rFonts w:hint="default"/>
                <w:highlight w:val="none"/>
              </w:rPr>
              <w:t>脱水后泥饼委托</w:t>
            </w:r>
            <w:r>
              <w:rPr>
                <w:rFonts w:hint="default"/>
                <w:highlight w:val="none"/>
                <w:lang w:val="en-US" w:eastAsia="zh-CN"/>
              </w:rPr>
              <w:t>水泥厂协同</w:t>
            </w:r>
            <w:r>
              <w:rPr>
                <w:rFonts w:hint="default"/>
                <w:highlight w:val="none"/>
              </w:rPr>
              <w:t>处置</w:t>
            </w:r>
          </w:p>
        </w:tc>
      </w:tr>
    </w:tbl>
    <w:p w14:paraId="3625F92C">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（2）危险废物</w:t>
      </w:r>
    </w:p>
    <w:p w14:paraId="753CF55D">
      <w:pPr>
        <w:keepNext w:val="0"/>
        <w:keepLines w:val="0"/>
        <w:pageBreakBefore w:val="0"/>
        <w:widowControl w:val="0"/>
        <w:kinsoku/>
        <w:wordWrap/>
        <w:overflowPunct/>
        <w:topLinePunct w:val="0"/>
        <w:autoSpaceDE/>
        <w:autoSpaceDN/>
        <w:bidi w:val="0"/>
        <w:adjustRightInd/>
        <w:snapToGrid/>
        <w:spacing w:line="480" w:lineRule="exact"/>
        <w:ind w:left="0"/>
        <w:textAlignment w:val="auto"/>
        <w:rPr>
          <w:rFonts w:hint="default" w:ascii="Times New Roman" w:hAnsi="Times New Roman" w:eastAsia="宋体" w:cs="Times New Roman"/>
          <w:sz w:val="24"/>
          <w:szCs w:val="24"/>
          <w:highlight w:val="none"/>
        </w:rPr>
      </w:pPr>
      <w:r>
        <w:rPr>
          <w:rFonts w:hint="default" w:ascii="Times New Roman" w:hAnsi="Times New Roman" w:eastAsia="宋体" w:cs="Times New Roman"/>
          <w:spacing w:val="-2"/>
          <w:sz w:val="24"/>
          <w:szCs w:val="24"/>
          <w:highlight w:val="none"/>
        </w:rPr>
        <w:t>①废矿物油类</w:t>
      </w:r>
    </w:p>
    <w:p w14:paraId="4B34EEDD">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both"/>
        <w:textAlignment w:val="auto"/>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泵类、鼓风机等设备维护和保养过程产生的废润滑油、废液压油、废油桶属于《国家危险废物名录（2021年版）》中规定的危险废物，危废类别“HW08”，废物代码分别为900-214-08、900-218-08、900-249-08，危险特性为毒性(Toxicity，T)、易燃性(Ignitability，I)，本项目废润滑油产生量0.0</w:t>
      </w:r>
      <w:r>
        <w:rPr>
          <w:rFonts w:hint="eastAsia" w:cs="Times New Roman"/>
          <w:b w:val="0"/>
          <w:bCs w:val="0"/>
          <w:color w:val="000000" w:themeColor="text1"/>
          <w:sz w:val="24"/>
          <w:highlight w:val="none"/>
          <w:lang w:val="en-US" w:eastAsia="zh-CN"/>
          <w14:textFill>
            <w14:solidFill>
              <w14:schemeClr w14:val="tx1"/>
            </w14:solidFill>
          </w14:textFill>
        </w:rPr>
        <w:t>1</w:t>
      </w: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t/a，废液压油产生量为0.0</w:t>
      </w:r>
      <w:r>
        <w:rPr>
          <w:rFonts w:hint="eastAsia" w:cs="Times New Roman"/>
          <w:b w:val="0"/>
          <w:bCs w:val="0"/>
          <w:color w:val="000000" w:themeColor="text1"/>
          <w:sz w:val="24"/>
          <w:highlight w:val="none"/>
          <w:lang w:val="en-US" w:eastAsia="zh-CN"/>
          <w14:textFill>
            <w14:solidFill>
              <w14:schemeClr w14:val="tx1"/>
            </w14:solidFill>
          </w14:textFill>
        </w:rPr>
        <w:t>2</w:t>
      </w: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/a，废油桶0.00</w:t>
      </w:r>
      <w:r>
        <w:rPr>
          <w:rFonts w:hint="eastAsia" w:cs="Times New Roman"/>
          <w:b w:val="0"/>
          <w:bCs w:val="0"/>
          <w:color w:val="000000" w:themeColor="text1"/>
          <w:sz w:val="24"/>
          <w:highlight w:val="none"/>
          <w:lang w:val="en-US" w:eastAsia="zh-CN"/>
          <w14:textFill>
            <w14:solidFill>
              <w14:schemeClr w14:val="tx1"/>
            </w14:solidFill>
          </w14:textFill>
        </w:rPr>
        <w:t>5</w:t>
      </w: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t/a。危险废物在产生处即用耐腐蚀容器收集，送危废间暂存，定期委托有资质单位处理。</w:t>
      </w:r>
    </w:p>
    <w:p w14:paraId="51D916D9">
      <w:pPr>
        <w:keepNext w:val="0"/>
        <w:keepLines w:val="0"/>
        <w:pageBreakBefore w:val="0"/>
        <w:widowControl w:val="0"/>
        <w:kinsoku/>
        <w:wordWrap/>
        <w:overflowPunct/>
        <w:topLinePunct w:val="0"/>
        <w:autoSpaceDE/>
        <w:autoSpaceDN/>
        <w:bidi w:val="0"/>
        <w:adjustRightInd/>
        <w:snapToGrid/>
        <w:spacing w:line="480" w:lineRule="exact"/>
        <w:ind w:left="0"/>
        <w:textAlignment w:val="auto"/>
        <w:rPr>
          <w:rFonts w:hint="default" w:ascii="Times New Roman" w:hAnsi="Times New Roman" w:eastAsia="宋体" w:cs="Times New Roman"/>
          <w:spacing w:val="-2"/>
          <w:sz w:val="24"/>
          <w:szCs w:val="24"/>
          <w:highlight w:val="none"/>
        </w:rPr>
      </w:pPr>
      <w:r>
        <w:rPr>
          <w:rFonts w:hint="default" w:ascii="Times New Roman" w:hAnsi="Times New Roman" w:eastAsia="宋体" w:cs="Times New Roman"/>
          <w:spacing w:val="-2"/>
          <w:sz w:val="24"/>
          <w:szCs w:val="24"/>
          <w:highlight w:val="none"/>
        </w:rPr>
        <w:t>②废化学试剂瓶、</w:t>
      </w:r>
      <w:r>
        <w:rPr>
          <w:rFonts w:hint="eastAsia" w:cs="Times New Roman"/>
          <w:spacing w:val="-2"/>
          <w:sz w:val="24"/>
          <w:szCs w:val="24"/>
          <w:highlight w:val="none"/>
          <w:lang w:eastAsia="zh-CN"/>
        </w:rPr>
        <w:t>实验室</w:t>
      </w:r>
      <w:r>
        <w:rPr>
          <w:rFonts w:hint="default" w:ascii="Times New Roman" w:hAnsi="Times New Roman" w:eastAsia="宋体" w:cs="Times New Roman"/>
          <w:spacing w:val="-2"/>
          <w:sz w:val="24"/>
          <w:szCs w:val="24"/>
          <w:highlight w:val="none"/>
        </w:rPr>
        <w:t>及在线监测废液</w:t>
      </w:r>
    </w:p>
    <w:p w14:paraId="3431AD2A">
      <w:pPr>
        <w:spacing w:before="188" w:line="349" w:lineRule="auto"/>
        <w:ind w:left="85" w:right="9" w:firstLine="484"/>
        <w:rPr>
          <w:rFonts w:hint="default" w:ascii="Times New Roman" w:hAnsi="Times New Roman" w:eastAsia="宋体" w:cs="Times New Roman"/>
          <w:sz w:val="24"/>
          <w:szCs w:val="24"/>
          <w:highlight w:val="none"/>
        </w:rPr>
      </w:pPr>
      <w:r>
        <w:rPr>
          <w:rFonts w:hint="default" w:ascii="Times New Roman" w:hAnsi="Times New Roman" w:eastAsia="宋体" w:cs="Times New Roman"/>
          <w:spacing w:val="-3"/>
          <w:sz w:val="24"/>
          <w:szCs w:val="24"/>
          <w:highlight w:val="none"/>
        </w:rPr>
        <w:t>项目运行过程产生的废化学试剂瓶、</w:t>
      </w:r>
      <w:r>
        <w:rPr>
          <w:rFonts w:hint="eastAsia" w:cs="Times New Roman"/>
          <w:spacing w:val="-3"/>
          <w:sz w:val="24"/>
          <w:szCs w:val="24"/>
          <w:highlight w:val="none"/>
          <w:lang w:eastAsia="zh-CN"/>
        </w:rPr>
        <w:t>实验室</w:t>
      </w:r>
      <w:r>
        <w:rPr>
          <w:rFonts w:hint="default" w:ascii="Times New Roman" w:hAnsi="Times New Roman" w:eastAsia="宋体" w:cs="Times New Roman"/>
          <w:spacing w:val="-3"/>
          <w:sz w:val="24"/>
          <w:szCs w:val="24"/>
          <w:highlight w:val="none"/>
        </w:rPr>
        <w:t>及在线监测废液属于《国家危险废物名录（2021年版</w:t>
      </w:r>
      <w:r>
        <w:rPr>
          <w:rFonts w:hint="default" w:ascii="Times New Roman" w:hAnsi="Times New Roman" w:eastAsia="宋体" w:cs="Times New Roman"/>
          <w:spacing w:val="-3"/>
          <w:sz w:val="24"/>
          <w:szCs w:val="24"/>
          <w:highlight w:val="none"/>
          <w:lang w:eastAsia="zh-CN"/>
        </w:rPr>
        <w:t>）</w:t>
      </w:r>
      <w:r>
        <w:rPr>
          <w:rFonts w:hint="default" w:ascii="Times New Roman" w:hAnsi="Times New Roman" w:eastAsia="宋体" w:cs="Times New Roman"/>
          <w:spacing w:val="-3"/>
          <w:sz w:val="24"/>
          <w:szCs w:val="24"/>
          <w:highlight w:val="none"/>
        </w:rPr>
        <w:t>》中规定的危险废物，危废类别“HW49”，废物代码为900-047-49，危</w:t>
      </w:r>
      <w:r>
        <w:rPr>
          <w:rFonts w:hint="default" w:ascii="Times New Roman" w:hAnsi="Times New Roman" w:eastAsia="宋体" w:cs="Times New Roman"/>
          <w:sz w:val="24"/>
          <w:szCs w:val="24"/>
          <w:highlight w:val="none"/>
        </w:rPr>
        <w:t>险特性为毒性（Toxicity,T）、腐蚀性（Corrosivity,C）、反应性（Reactivity,R）。本</w:t>
      </w:r>
      <w:r>
        <w:rPr>
          <w:rFonts w:hint="default" w:ascii="Times New Roman" w:hAnsi="Times New Roman" w:eastAsia="宋体" w:cs="Times New Roman"/>
          <w:spacing w:val="-3"/>
          <w:sz w:val="24"/>
          <w:szCs w:val="24"/>
          <w:highlight w:val="none"/>
        </w:rPr>
        <w:t>项目在线监测废液产生量0.</w:t>
      </w:r>
      <w:r>
        <w:rPr>
          <w:rFonts w:hint="eastAsia" w:cs="Times New Roman"/>
          <w:spacing w:val="-3"/>
          <w:sz w:val="24"/>
          <w:szCs w:val="24"/>
          <w:highlight w:val="none"/>
          <w:lang w:val="en-US" w:eastAsia="zh-CN"/>
        </w:rPr>
        <w:t>07</w:t>
      </w:r>
      <w:r>
        <w:rPr>
          <w:rFonts w:hint="default" w:ascii="Times New Roman" w:hAnsi="Times New Roman" w:eastAsia="宋体" w:cs="Times New Roman"/>
          <w:spacing w:val="-3"/>
          <w:sz w:val="24"/>
          <w:szCs w:val="24"/>
          <w:highlight w:val="none"/>
        </w:rPr>
        <w:t>t/a，</w:t>
      </w:r>
      <w:r>
        <w:rPr>
          <w:rFonts w:hint="eastAsia" w:cs="Times New Roman"/>
          <w:spacing w:val="-3"/>
          <w:sz w:val="24"/>
          <w:szCs w:val="24"/>
          <w:highlight w:val="none"/>
          <w:lang w:eastAsia="zh-CN"/>
        </w:rPr>
        <w:t>实验室</w:t>
      </w:r>
      <w:r>
        <w:rPr>
          <w:rFonts w:hint="default" w:ascii="Times New Roman" w:hAnsi="Times New Roman" w:eastAsia="宋体" w:cs="Times New Roman"/>
          <w:spacing w:val="-3"/>
          <w:sz w:val="24"/>
          <w:szCs w:val="24"/>
          <w:highlight w:val="none"/>
        </w:rPr>
        <w:t>废液产生量0.0</w:t>
      </w:r>
      <w:r>
        <w:rPr>
          <w:rFonts w:hint="eastAsia" w:cs="Times New Roman"/>
          <w:spacing w:val="-3"/>
          <w:sz w:val="24"/>
          <w:szCs w:val="24"/>
          <w:highlight w:val="none"/>
          <w:lang w:val="en-US" w:eastAsia="zh-CN"/>
        </w:rPr>
        <w:t>1</w:t>
      </w:r>
      <w:r>
        <w:rPr>
          <w:rFonts w:hint="default" w:ascii="Times New Roman" w:hAnsi="Times New Roman" w:eastAsia="宋体" w:cs="Times New Roman"/>
          <w:spacing w:val="-3"/>
          <w:sz w:val="24"/>
          <w:szCs w:val="24"/>
          <w:highlight w:val="none"/>
        </w:rPr>
        <w:t>t/a，废试剂瓶0.0</w:t>
      </w:r>
      <w:r>
        <w:rPr>
          <w:rFonts w:hint="eastAsia" w:cs="Times New Roman"/>
          <w:spacing w:val="-3"/>
          <w:sz w:val="24"/>
          <w:szCs w:val="24"/>
          <w:highlight w:val="none"/>
          <w:lang w:val="en-US" w:eastAsia="zh-CN"/>
        </w:rPr>
        <w:t>01t</w:t>
      </w:r>
      <w:r>
        <w:rPr>
          <w:rFonts w:hint="default" w:ascii="Times New Roman" w:hAnsi="Times New Roman" w:eastAsia="宋体" w:cs="Times New Roman"/>
          <w:spacing w:val="-3"/>
          <w:sz w:val="24"/>
          <w:szCs w:val="24"/>
          <w:highlight w:val="none"/>
        </w:rPr>
        <w:t>/a</w:t>
      </w:r>
      <w:r>
        <w:rPr>
          <w:rFonts w:hint="default" w:ascii="Times New Roman" w:hAnsi="Times New Roman" w:eastAsia="宋体" w:cs="Times New Roman"/>
          <w:spacing w:val="-2"/>
          <w:sz w:val="24"/>
          <w:szCs w:val="24"/>
          <w:highlight w:val="none"/>
        </w:rPr>
        <w:t>。</w:t>
      </w:r>
      <w:r>
        <w:rPr>
          <w:rFonts w:hint="default" w:ascii="Times New Roman" w:hAnsi="Times New Roman" w:eastAsia="宋体" w:cs="Times New Roman"/>
          <w:spacing w:val="-2"/>
          <w:sz w:val="24"/>
          <w:szCs w:val="24"/>
          <w:highlight w:val="none"/>
          <w:lang w:val="en-US" w:eastAsia="zh-CN"/>
        </w:rPr>
        <w:t>实</w:t>
      </w:r>
      <w:r>
        <w:rPr>
          <w:rFonts w:hint="default" w:ascii="Times New Roman" w:hAnsi="Times New Roman" w:eastAsia="宋体" w:cs="Times New Roman"/>
          <w:spacing w:val="-2"/>
          <w:sz w:val="24"/>
          <w:szCs w:val="24"/>
          <w:highlight w:val="none"/>
        </w:rPr>
        <w:t>验后的废液和实验器具清洗水应作为危险废物收</w:t>
      </w:r>
      <w:r>
        <w:rPr>
          <w:rFonts w:hint="default" w:ascii="Times New Roman" w:hAnsi="Times New Roman" w:eastAsia="宋体" w:cs="Times New Roman"/>
          <w:spacing w:val="-3"/>
          <w:sz w:val="24"/>
          <w:szCs w:val="24"/>
          <w:highlight w:val="none"/>
        </w:rPr>
        <w:t>集与专门的废液收集容器</w:t>
      </w:r>
      <w:r>
        <w:rPr>
          <w:rFonts w:hint="default" w:ascii="Times New Roman" w:hAnsi="Times New Roman" w:eastAsia="宋体" w:cs="Times New Roman"/>
          <w:spacing w:val="-1"/>
          <w:sz w:val="24"/>
          <w:szCs w:val="24"/>
          <w:highlight w:val="none"/>
        </w:rPr>
        <w:t>内，加盖封闭，送危废间暂存，不得混入其他废水排，定期委托有资质单</w:t>
      </w:r>
      <w:r>
        <w:rPr>
          <w:rFonts w:hint="default" w:ascii="Times New Roman" w:hAnsi="Times New Roman" w:eastAsia="宋体" w:cs="Times New Roman"/>
          <w:spacing w:val="-2"/>
          <w:sz w:val="24"/>
          <w:szCs w:val="24"/>
          <w:highlight w:val="none"/>
        </w:rPr>
        <w:t>位进行处置。</w:t>
      </w:r>
    </w:p>
    <w:p w14:paraId="1E418036">
      <w:pPr>
        <w:keepNext w:val="0"/>
        <w:keepLines w:val="0"/>
        <w:pageBreakBefore w:val="0"/>
        <w:widowControl w:val="0"/>
        <w:kinsoku/>
        <w:wordWrap/>
        <w:overflowPunct/>
        <w:topLinePunct w:val="0"/>
        <w:autoSpaceDE/>
        <w:autoSpaceDN/>
        <w:bidi w:val="0"/>
        <w:adjustRightInd/>
        <w:snapToGrid/>
        <w:spacing w:line="480" w:lineRule="exact"/>
        <w:ind w:left="0"/>
        <w:textAlignment w:val="auto"/>
        <w:rPr>
          <w:rFonts w:hint="eastAsia" w:cs="Times New Roman"/>
          <w:spacing w:val="-2"/>
          <w:sz w:val="24"/>
          <w:szCs w:val="24"/>
          <w:highlight w:val="none"/>
          <w:lang w:val="en-US" w:eastAsia="zh-CN"/>
        </w:rPr>
      </w:pPr>
      <w:r>
        <w:rPr>
          <w:rFonts w:hint="eastAsia" w:ascii="微软雅黑" w:hAnsi="微软雅黑" w:eastAsia="微软雅黑" w:cs="微软雅黑"/>
          <w:spacing w:val="-2"/>
          <w:sz w:val="24"/>
          <w:szCs w:val="24"/>
          <w:highlight w:val="none"/>
        </w:rPr>
        <w:t>③</w:t>
      </w:r>
      <w:r>
        <w:rPr>
          <w:rFonts w:hint="eastAsia" w:cs="Times New Roman"/>
          <w:spacing w:val="-2"/>
          <w:sz w:val="24"/>
          <w:szCs w:val="24"/>
          <w:highlight w:val="none"/>
          <w:lang w:val="en-US" w:eastAsia="zh-CN"/>
        </w:rPr>
        <w:t>等离子光电一体机更换下来的废UV灯管</w:t>
      </w:r>
    </w:p>
    <w:p w14:paraId="0461E80F">
      <w:pPr>
        <w:keepNext w:val="0"/>
        <w:keepLines w:val="0"/>
        <w:pageBreakBefore w:val="0"/>
        <w:widowControl w:val="0"/>
        <w:kinsoku/>
        <w:wordWrap/>
        <w:overflowPunct/>
        <w:topLinePunct w:val="0"/>
        <w:autoSpaceDE/>
        <w:autoSpaceDN/>
        <w:bidi w:val="0"/>
        <w:adjustRightInd/>
        <w:snapToGrid/>
        <w:spacing w:line="480" w:lineRule="exact"/>
        <w:ind w:left="0"/>
        <w:textAlignment w:val="auto"/>
        <w:rPr>
          <w:rFonts w:hint="default" w:ascii="Times New Roman" w:hAnsi="Times New Roman" w:eastAsia="宋体" w:cs="Times New Roman"/>
          <w:spacing w:val="-2"/>
          <w:sz w:val="24"/>
          <w:szCs w:val="24"/>
          <w:highlight w:val="none"/>
        </w:rPr>
      </w:pPr>
      <w:r>
        <w:rPr>
          <w:rFonts w:hint="eastAsia" w:cs="Times New Roman"/>
          <w:spacing w:val="-2"/>
          <w:sz w:val="24"/>
          <w:szCs w:val="24"/>
          <w:highlight w:val="none"/>
          <w:lang w:val="en-US" w:eastAsia="zh-CN"/>
        </w:rPr>
        <w:t>等离子光电一体机灯管使用寿命约为3年，灯管损坏需及时更换，废UV灯管产生量为0.009t/3a，</w:t>
      </w:r>
      <w:r>
        <w:rPr>
          <w:rFonts w:hint="default" w:ascii="Times New Roman" w:hAnsi="Times New Roman" w:eastAsia="宋体" w:cs="Times New Roman"/>
          <w:spacing w:val="-1"/>
          <w:sz w:val="24"/>
          <w:szCs w:val="24"/>
          <w:highlight w:val="none"/>
        </w:rPr>
        <w:t>送危废间暂存，定期委托有资质单</w:t>
      </w:r>
      <w:r>
        <w:rPr>
          <w:rFonts w:hint="default" w:ascii="Times New Roman" w:hAnsi="Times New Roman" w:eastAsia="宋体" w:cs="Times New Roman"/>
          <w:spacing w:val="-2"/>
          <w:sz w:val="24"/>
          <w:szCs w:val="24"/>
          <w:highlight w:val="none"/>
        </w:rPr>
        <w:t>位进行处置。</w:t>
      </w:r>
    </w:p>
    <w:p w14:paraId="2C7283BC">
      <w:pPr>
        <w:keepNext w:val="0"/>
        <w:keepLines w:val="0"/>
        <w:pageBreakBefore w:val="0"/>
        <w:widowControl w:val="0"/>
        <w:kinsoku/>
        <w:wordWrap/>
        <w:overflowPunct/>
        <w:topLinePunct w:val="0"/>
        <w:autoSpaceDE/>
        <w:autoSpaceDN/>
        <w:bidi w:val="0"/>
        <w:adjustRightInd/>
        <w:snapToGrid/>
        <w:spacing w:line="480" w:lineRule="exact"/>
        <w:ind w:left="0"/>
        <w:textAlignment w:val="auto"/>
        <w:rPr>
          <w:rFonts w:hint="default" w:ascii="Times New Roman" w:hAnsi="Times New Roman" w:eastAsia="宋体" w:cs="Times New Roman"/>
          <w:spacing w:val="-2"/>
          <w:sz w:val="24"/>
          <w:szCs w:val="24"/>
          <w:highlight w:val="none"/>
        </w:rPr>
      </w:pPr>
      <w:r>
        <w:rPr>
          <w:rFonts w:hint="default" w:ascii="Times New Roman" w:hAnsi="Times New Roman" w:eastAsia="宋体" w:cs="Times New Roman"/>
          <w:spacing w:val="-2"/>
          <w:sz w:val="24"/>
          <w:szCs w:val="24"/>
          <w:highlight w:val="none"/>
        </w:rPr>
        <w:t>危险废物汇总见表3.3-</w:t>
      </w:r>
      <w:r>
        <w:rPr>
          <w:rFonts w:hint="eastAsia" w:cs="Times New Roman"/>
          <w:spacing w:val="-2"/>
          <w:sz w:val="24"/>
          <w:szCs w:val="24"/>
          <w:highlight w:val="none"/>
          <w:lang w:val="en-US" w:eastAsia="zh-CN"/>
        </w:rPr>
        <w:t>9</w:t>
      </w:r>
      <w:r>
        <w:rPr>
          <w:rFonts w:hint="default" w:ascii="Times New Roman" w:hAnsi="Times New Roman" w:eastAsia="宋体" w:cs="Times New Roman"/>
          <w:spacing w:val="-2"/>
          <w:sz w:val="24"/>
          <w:szCs w:val="24"/>
          <w:highlight w:val="none"/>
        </w:rPr>
        <w:t>。</w:t>
      </w:r>
    </w:p>
    <w:p w14:paraId="00ADEF6D">
      <w:pPr>
        <w:pStyle w:val="20"/>
        <w:numPr>
          <w:ilvl w:val="0"/>
          <w:numId w:val="27"/>
        </w:numPr>
        <w:spacing w:after="0" w:line="440" w:lineRule="exact"/>
        <w:ind w:left="425" w:leftChars="0" w:hanging="425" w:firstLineChars="0"/>
        <w:jc w:val="center"/>
        <w:rPr>
          <w:rFonts w:hint="default" w:ascii="Times New Roman" w:hAnsi="Times New Roman" w:eastAsia="宋体" w:cs="Times New Roman"/>
          <w:b/>
          <w:color w:val="000000"/>
          <w:sz w:val="24"/>
          <w:szCs w:val="24"/>
          <w:highlight w:val="none"/>
        </w:rPr>
      </w:pPr>
      <w:r>
        <w:rPr>
          <w:rFonts w:hint="default" w:ascii="Times New Roman" w:hAnsi="Times New Roman" w:eastAsia="宋体" w:cs="Times New Roman"/>
          <w:b/>
          <w:color w:val="000000"/>
          <w:sz w:val="24"/>
          <w:szCs w:val="24"/>
          <w:highlight w:val="none"/>
        </w:rPr>
        <w:t>危险废物汇总表</w:t>
      </w:r>
    </w:p>
    <w:tbl>
      <w:tblPr>
        <w:tblStyle w:val="88"/>
        <w:tblW w:w="5013"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535"/>
        <w:gridCol w:w="603"/>
        <w:gridCol w:w="1071"/>
        <w:gridCol w:w="795"/>
        <w:gridCol w:w="1054"/>
        <w:gridCol w:w="5"/>
        <w:gridCol w:w="422"/>
        <w:gridCol w:w="1032"/>
        <w:gridCol w:w="1190"/>
        <w:gridCol w:w="609"/>
        <w:gridCol w:w="689"/>
        <w:gridCol w:w="1121"/>
      </w:tblGrid>
      <w:tr w14:paraId="5CF481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078" w:hRule="atLeast"/>
        </w:trPr>
        <w:tc>
          <w:tcPr>
            <w:tcW w:w="293" w:type="pct"/>
            <w:vAlign w:val="center"/>
          </w:tcPr>
          <w:p w14:paraId="063D3BC5">
            <w:pPr>
              <w:pStyle w:val="58"/>
              <w:bidi w:val="0"/>
              <w:rPr>
                <w:rFonts w:hint="default"/>
                <w:highlight w:val="none"/>
              </w:rPr>
            </w:pPr>
            <w:r>
              <w:rPr>
                <w:rFonts w:hint="default"/>
                <w:highlight w:val="none"/>
              </w:rPr>
              <w:t>危险废物名称</w:t>
            </w:r>
          </w:p>
        </w:tc>
        <w:tc>
          <w:tcPr>
            <w:tcW w:w="330" w:type="pct"/>
            <w:vAlign w:val="center"/>
          </w:tcPr>
          <w:p w14:paraId="1CDAC8DA">
            <w:pPr>
              <w:pStyle w:val="58"/>
              <w:bidi w:val="0"/>
              <w:rPr>
                <w:rFonts w:hint="default"/>
                <w:highlight w:val="none"/>
              </w:rPr>
            </w:pPr>
            <w:r>
              <w:rPr>
                <w:rFonts w:hint="default"/>
                <w:highlight w:val="none"/>
              </w:rPr>
              <w:t>危险废物类别</w:t>
            </w:r>
          </w:p>
        </w:tc>
        <w:tc>
          <w:tcPr>
            <w:tcW w:w="586" w:type="pct"/>
            <w:vAlign w:val="center"/>
          </w:tcPr>
          <w:p w14:paraId="217A59C5">
            <w:pPr>
              <w:pStyle w:val="58"/>
              <w:bidi w:val="0"/>
              <w:rPr>
                <w:rFonts w:hint="default"/>
                <w:highlight w:val="none"/>
              </w:rPr>
            </w:pPr>
            <w:r>
              <w:rPr>
                <w:rFonts w:hint="default"/>
                <w:highlight w:val="none"/>
              </w:rPr>
              <w:t>危险废物代码</w:t>
            </w:r>
          </w:p>
        </w:tc>
        <w:tc>
          <w:tcPr>
            <w:tcW w:w="435" w:type="pct"/>
            <w:vAlign w:val="center"/>
          </w:tcPr>
          <w:p w14:paraId="1FC612BA">
            <w:pPr>
              <w:pStyle w:val="58"/>
              <w:bidi w:val="0"/>
              <w:rPr>
                <w:rFonts w:hint="default"/>
                <w:highlight w:val="none"/>
              </w:rPr>
            </w:pPr>
            <w:r>
              <w:rPr>
                <w:rFonts w:hint="default"/>
                <w:highlight w:val="none"/>
              </w:rPr>
              <w:t>产生量t/a</w:t>
            </w:r>
          </w:p>
        </w:tc>
        <w:tc>
          <w:tcPr>
            <w:tcW w:w="580" w:type="pct"/>
            <w:gridSpan w:val="2"/>
            <w:vAlign w:val="center"/>
          </w:tcPr>
          <w:p w14:paraId="0CD94450">
            <w:pPr>
              <w:pStyle w:val="58"/>
              <w:bidi w:val="0"/>
              <w:rPr>
                <w:rFonts w:hint="default"/>
                <w:highlight w:val="none"/>
              </w:rPr>
            </w:pPr>
            <w:r>
              <w:rPr>
                <w:rFonts w:hint="default"/>
                <w:highlight w:val="none"/>
              </w:rPr>
              <w:t>产生工序及装置</w:t>
            </w:r>
          </w:p>
        </w:tc>
        <w:tc>
          <w:tcPr>
            <w:tcW w:w="231" w:type="pct"/>
            <w:vAlign w:val="center"/>
          </w:tcPr>
          <w:p w14:paraId="7A286A66">
            <w:pPr>
              <w:pStyle w:val="58"/>
              <w:bidi w:val="0"/>
              <w:rPr>
                <w:rFonts w:hint="default"/>
                <w:highlight w:val="none"/>
              </w:rPr>
            </w:pPr>
            <w:r>
              <w:rPr>
                <w:rFonts w:hint="default"/>
                <w:highlight w:val="none"/>
              </w:rPr>
              <w:t>形态</w:t>
            </w:r>
          </w:p>
        </w:tc>
        <w:tc>
          <w:tcPr>
            <w:tcW w:w="565" w:type="pct"/>
            <w:vAlign w:val="center"/>
          </w:tcPr>
          <w:p w14:paraId="1C00E7B2">
            <w:pPr>
              <w:pStyle w:val="58"/>
              <w:bidi w:val="0"/>
              <w:rPr>
                <w:rFonts w:hint="default"/>
                <w:highlight w:val="none"/>
              </w:rPr>
            </w:pPr>
            <w:r>
              <w:rPr>
                <w:rFonts w:hint="default"/>
                <w:highlight w:val="none"/>
              </w:rPr>
              <w:t>主要成分</w:t>
            </w:r>
          </w:p>
        </w:tc>
        <w:tc>
          <w:tcPr>
            <w:tcW w:w="651" w:type="pct"/>
            <w:vAlign w:val="center"/>
          </w:tcPr>
          <w:p w14:paraId="4DC07366">
            <w:pPr>
              <w:pStyle w:val="58"/>
              <w:bidi w:val="0"/>
              <w:rPr>
                <w:rFonts w:hint="default"/>
                <w:highlight w:val="none"/>
              </w:rPr>
            </w:pPr>
            <w:r>
              <w:rPr>
                <w:rFonts w:hint="default"/>
                <w:highlight w:val="none"/>
              </w:rPr>
              <w:t>有害成分</w:t>
            </w:r>
          </w:p>
        </w:tc>
        <w:tc>
          <w:tcPr>
            <w:tcW w:w="333" w:type="pct"/>
            <w:vAlign w:val="center"/>
          </w:tcPr>
          <w:p w14:paraId="15A4F95C">
            <w:pPr>
              <w:pStyle w:val="58"/>
              <w:bidi w:val="0"/>
              <w:rPr>
                <w:rFonts w:hint="default"/>
                <w:highlight w:val="none"/>
              </w:rPr>
            </w:pPr>
            <w:r>
              <w:rPr>
                <w:rFonts w:hint="default"/>
                <w:highlight w:val="none"/>
              </w:rPr>
              <w:t>产废周期</w:t>
            </w:r>
          </w:p>
        </w:tc>
        <w:tc>
          <w:tcPr>
            <w:tcW w:w="377" w:type="pct"/>
            <w:vAlign w:val="center"/>
          </w:tcPr>
          <w:p w14:paraId="4B9D35D7">
            <w:pPr>
              <w:pStyle w:val="58"/>
              <w:bidi w:val="0"/>
              <w:rPr>
                <w:rFonts w:hint="default"/>
                <w:highlight w:val="none"/>
              </w:rPr>
            </w:pPr>
            <w:r>
              <w:rPr>
                <w:rFonts w:hint="default"/>
                <w:highlight w:val="none"/>
              </w:rPr>
              <w:t>危险特性</w:t>
            </w:r>
          </w:p>
        </w:tc>
        <w:tc>
          <w:tcPr>
            <w:tcW w:w="613" w:type="pct"/>
            <w:vAlign w:val="center"/>
          </w:tcPr>
          <w:p w14:paraId="44369203">
            <w:pPr>
              <w:pStyle w:val="58"/>
              <w:bidi w:val="0"/>
              <w:rPr>
                <w:rFonts w:hint="default"/>
                <w:highlight w:val="none"/>
              </w:rPr>
            </w:pPr>
            <w:r>
              <w:rPr>
                <w:rFonts w:hint="default"/>
                <w:highlight w:val="none"/>
              </w:rPr>
              <w:t>污染防治措施</w:t>
            </w:r>
          </w:p>
        </w:tc>
      </w:tr>
      <w:tr w14:paraId="149192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6" w:hRule="atLeast"/>
        </w:trPr>
        <w:tc>
          <w:tcPr>
            <w:tcW w:w="293" w:type="pct"/>
            <w:vAlign w:val="center"/>
          </w:tcPr>
          <w:p w14:paraId="6D53A52D">
            <w:pPr>
              <w:pStyle w:val="58"/>
              <w:bidi w:val="0"/>
              <w:rPr>
                <w:rFonts w:hint="default"/>
                <w:highlight w:val="none"/>
              </w:rPr>
            </w:pPr>
            <w:bookmarkStart w:id="211" w:name="OLE_LINK64"/>
            <w:r>
              <w:rPr>
                <w:rFonts w:hint="default"/>
                <w:highlight w:val="none"/>
              </w:rPr>
              <w:t>废润滑油</w:t>
            </w:r>
            <w:bookmarkEnd w:id="211"/>
          </w:p>
        </w:tc>
        <w:tc>
          <w:tcPr>
            <w:tcW w:w="330" w:type="pct"/>
            <w:vMerge w:val="restart"/>
            <w:vAlign w:val="center"/>
          </w:tcPr>
          <w:p w14:paraId="44EFD2F4">
            <w:pPr>
              <w:pStyle w:val="58"/>
              <w:bidi w:val="0"/>
              <w:rPr>
                <w:rFonts w:hint="default"/>
                <w:highlight w:val="none"/>
              </w:rPr>
            </w:pPr>
            <w:r>
              <w:rPr>
                <w:rFonts w:hint="default"/>
                <w:highlight w:val="none"/>
              </w:rPr>
              <w:t>HW08</w:t>
            </w:r>
          </w:p>
        </w:tc>
        <w:tc>
          <w:tcPr>
            <w:tcW w:w="586" w:type="pct"/>
            <w:vAlign w:val="center"/>
          </w:tcPr>
          <w:p w14:paraId="77B82B7B">
            <w:pPr>
              <w:pStyle w:val="58"/>
              <w:bidi w:val="0"/>
              <w:rPr>
                <w:rFonts w:hint="default"/>
                <w:highlight w:val="none"/>
              </w:rPr>
            </w:pPr>
            <w:r>
              <w:rPr>
                <w:rFonts w:hint="default"/>
                <w:highlight w:val="none"/>
              </w:rPr>
              <w:t>900-214-08</w:t>
            </w:r>
          </w:p>
        </w:tc>
        <w:tc>
          <w:tcPr>
            <w:tcW w:w="435" w:type="pct"/>
            <w:vAlign w:val="center"/>
          </w:tcPr>
          <w:p w14:paraId="52C2B021">
            <w:pPr>
              <w:pStyle w:val="58"/>
              <w:bidi w:val="0"/>
              <w:rPr>
                <w:rFonts w:hint="default"/>
                <w:highlight w:val="none"/>
              </w:rPr>
            </w:pPr>
            <w:r>
              <w:rPr>
                <w:rFonts w:hint="default"/>
                <w:highlight w:val="none"/>
              </w:rPr>
              <w:t>0.0</w:t>
            </w:r>
            <w:r>
              <w:rPr>
                <w:rFonts w:hint="eastAsia"/>
                <w:highlight w:val="none"/>
                <w:lang w:val="en-US" w:eastAsia="zh-CN"/>
              </w:rPr>
              <w:t>1</w:t>
            </w:r>
          </w:p>
        </w:tc>
        <w:tc>
          <w:tcPr>
            <w:tcW w:w="577" w:type="pct"/>
            <w:vMerge w:val="restart"/>
            <w:vAlign w:val="center"/>
          </w:tcPr>
          <w:p w14:paraId="753EB926">
            <w:pPr>
              <w:pStyle w:val="58"/>
              <w:bidi w:val="0"/>
              <w:rPr>
                <w:rFonts w:hint="default"/>
                <w:highlight w:val="none"/>
              </w:rPr>
            </w:pPr>
            <w:r>
              <w:rPr>
                <w:rFonts w:hint="default"/>
                <w:highlight w:val="none"/>
              </w:rPr>
              <w:t>泵、</w:t>
            </w:r>
            <w:r>
              <w:rPr>
                <w:rFonts w:hint="default"/>
                <w:highlight w:val="none"/>
                <w:lang w:val="en-US" w:eastAsia="zh-CN"/>
              </w:rPr>
              <w:t>鼓风</w:t>
            </w:r>
            <w:r>
              <w:rPr>
                <w:rFonts w:hint="default"/>
                <w:highlight w:val="none"/>
              </w:rPr>
              <w:t>机等设备维护和保养</w:t>
            </w:r>
          </w:p>
        </w:tc>
        <w:tc>
          <w:tcPr>
            <w:tcW w:w="234" w:type="pct"/>
            <w:gridSpan w:val="2"/>
            <w:vAlign w:val="center"/>
          </w:tcPr>
          <w:p w14:paraId="18160AE1">
            <w:pPr>
              <w:pStyle w:val="58"/>
              <w:bidi w:val="0"/>
              <w:rPr>
                <w:rFonts w:hint="default"/>
                <w:highlight w:val="none"/>
              </w:rPr>
            </w:pPr>
            <w:r>
              <w:rPr>
                <w:rFonts w:hint="default"/>
                <w:highlight w:val="none"/>
              </w:rPr>
              <w:t>液</w:t>
            </w:r>
          </w:p>
        </w:tc>
        <w:tc>
          <w:tcPr>
            <w:tcW w:w="565" w:type="pct"/>
            <w:vAlign w:val="center"/>
          </w:tcPr>
          <w:p w14:paraId="0A2FC060">
            <w:pPr>
              <w:pStyle w:val="58"/>
              <w:bidi w:val="0"/>
              <w:rPr>
                <w:rFonts w:hint="default"/>
                <w:highlight w:val="none"/>
              </w:rPr>
            </w:pPr>
            <w:r>
              <w:rPr>
                <w:rFonts w:hint="default"/>
                <w:highlight w:val="none"/>
              </w:rPr>
              <w:t>烃类</w:t>
            </w:r>
          </w:p>
        </w:tc>
        <w:tc>
          <w:tcPr>
            <w:tcW w:w="651" w:type="pct"/>
            <w:vAlign w:val="center"/>
          </w:tcPr>
          <w:p w14:paraId="031764AE">
            <w:pPr>
              <w:pStyle w:val="58"/>
              <w:bidi w:val="0"/>
              <w:rPr>
                <w:rFonts w:hint="default"/>
                <w:highlight w:val="none"/>
              </w:rPr>
            </w:pPr>
            <w:r>
              <w:rPr>
                <w:rFonts w:hint="default"/>
                <w:highlight w:val="none"/>
              </w:rPr>
              <w:t>烃类</w:t>
            </w:r>
          </w:p>
        </w:tc>
        <w:tc>
          <w:tcPr>
            <w:tcW w:w="333" w:type="pct"/>
            <w:vAlign w:val="center"/>
          </w:tcPr>
          <w:p w14:paraId="0A18E5DA">
            <w:pPr>
              <w:pStyle w:val="58"/>
              <w:bidi w:val="0"/>
              <w:rPr>
                <w:rFonts w:hint="default"/>
                <w:highlight w:val="none"/>
              </w:rPr>
            </w:pPr>
            <w:r>
              <w:rPr>
                <w:rFonts w:hint="default"/>
                <w:highlight w:val="none"/>
              </w:rPr>
              <w:t>1年</w:t>
            </w:r>
          </w:p>
        </w:tc>
        <w:tc>
          <w:tcPr>
            <w:tcW w:w="377" w:type="pct"/>
            <w:vAlign w:val="center"/>
          </w:tcPr>
          <w:p w14:paraId="6FED7799">
            <w:pPr>
              <w:pStyle w:val="58"/>
              <w:bidi w:val="0"/>
              <w:rPr>
                <w:rFonts w:hint="default"/>
                <w:highlight w:val="none"/>
              </w:rPr>
            </w:pPr>
            <w:r>
              <w:rPr>
                <w:rFonts w:hint="default"/>
                <w:highlight w:val="none"/>
              </w:rPr>
              <w:t>T，I</w:t>
            </w:r>
          </w:p>
        </w:tc>
        <w:tc>
          <w:tcPr>
            <w:tcW w:w="613" w:type="pct"/>
            <w:vMerge w:val="restart"/>
            <w:vAlign w:val="center"/>
          </w:tcPr>
          <w:p w14:paraId="74A5C1B5">
            <w:pPr>
              <w:pStyle w:val="58"/>
              <w:bidi w:val="0"/>
              <w:rPr>
                <w:rFonts w:hint="default"/>
                <w:highlight w:val="none"/>
              </w:rPr>
            </w:pPr>
            <w:r>
              <w:rPr>
                <w:rFonts w:hint="default"/>
                <w:highlight w:val="none"/>
              </w:rPr>
              <w:t>专用密闭容器收集，暂存于危废间，定期委托有危废处理资质的单位进行处置</w:t>
            </w:r>
          </w:p>
        </w:tc>
      </w:tr>
      <w:tr w14:paraId="1FAD34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6" w:hRule="atLeast"/>
        </w:trPr>
        <w:tc>
          <w:tcPr>
            <w:tcW w:w="293" w:type="pct"/>
            <w:vAlign w:val="center"/>
          </w:tcPr>
          <w:p w14:paraId="2E97A10C">
            <w:pPr>
              <w:pStyle w:val="58"/>
              <w:bidi w:val="0"/>
              <w:rPr>
                <w:rFonts w:hint="default"/>
                <w:highlight w:val="none"/>
              </w:rPr>
            </w:pPr>
            <w:bookmarkStart w:id="212" w:name="OLE_LINK65"/>
            <w:r>
              <w:rPr>
                <w:rFonts w:hint="default"/>
                <w:highlight w:val="none"/>
              </w:rPr>
              <w:t>废液压油</w:t>
            </w:r>
            <w:bookmarkEnd w:id="212"/>
          </w:p>
        </w:tc>
        <w:tc>
          <w:tcPr>
            <w:tcW w:w="330" w:type="pct"/>
            <w:vMerge w:val="continue"/>
            <w:vAlign w:val="center"/>
          </w:tcPr>
          <w:p w14:paraId="30269E73">
            <w:pPr>
              <w:pStyle w:val="58"/>
              <w:bidi w:val="0"/>
              <w:rPr>
                <w:rFonts w:hint="default"/>
                <w:highlight w:val="none"/>
              </w:rPr>
            </w:pPr>
          </w:p>
        </w:tc>
        <w:tc>
          <w:tcPr>
            <w:tcW w:w="586" w:type="pct"/>
            <w:vAlign w:val="center"/>
          </w:tcPr>
          <w:p w14:paraId="7A9EF570">
            <w:pPr>
              <w:pStyle w:val="58"/>
              <w:bidi w:val="0"/>
              <w:rPr>
                <w:rFonts w:hint="default"/>
                <w:highlight w:val="none"/>
              </w:rPr>
            </w:pPr>
            <w:r>
              <w:rPr>
                <w:rFonts w:hint="default"/>
                <w:highlight w:val="none"/>
              </w:rPr>
              <w:t>900-218-08</w:t>
            </w:r>
          </w:p>
        </w:tc>
        <w:tc>
          <w:tcPr>
            <w:tcW w:w="435" w:type="pct"/>
            <w:vAlign w:val="center"/>
          </w:tcPr>
          <w:p w14:paraId="6C01601A">
            <w:pPr>
              <w:pStyle w:val="58"/>
              <w:bidi w:val="0"/>
              <w:rPr>
                <w:rFonts w:hint="eastAsia" w:eastAsia="宋体"/>
                <w:highlight w:val="none"/>
                <w:lang w:eastAsia="zh-CN"/>
              </w:rPr>
            </w:pPr>
            <w:r>
              <w:rPr>
                <w:rFonts w:hint="default"/>
                <w:highlight w:val="none"/>
              </w:rPr>
              <w:t>0.0</w:t>
            </w:r>
            <w:r>
              <w:rPr>
                <w:rFonts w:hint="eastAsia"/>
                <w:highlight w:val="none"/>
                <w:lang w:val="en-US" w:eastAsia="zh-CN"/>
              </w:rPr>
              <w:t>2</w:t>
            </w:r>
          </w:p>
        </w:tc>
        <w:tc>
          <w:tcPr>
            <w:tcW w:w="577" w:type="pct"/>
            <w:vMerge w:val="continue"/>
            <w:vAlign w:val="center"/>
          </w:tcPr>
          <w:p w14:paraId="78702B27">
            <w:pPr>
              <w:pStyle w:val="58"/>
              <w:bidi w:val="0"/>
              <w:rPr>
                <w:rFonts w:hint="default"/>
                <w:highlight w:val="none"/>
              </w:rPr>
            </w:pPr>
          </w:p>
        </w:tc>
        <w:tc>
          <w:tcPr>
            <w:tcW w:w="234" w:type="pct"/>
            <w:gridSpan w:val="2"/>
            <w:vAlign w:val="center"/>
          </w:tcPr>
          <w:p w14:paraId="1BA10E96">
            <w:pPr>
              <w:pStyle w:val="58"/>
              <w:bidi w:val="0"/>
              <w:rPr>
                <w:rFonts w:hint="default"/>
                <w:highlight w:val="none"/>
              </w:rPr>
            </w:pPr>
            <w:r>
              <w:rPr>
                <w:rFonts w:hint="default"/>
                <w:highlight w:val="none"/>
              </w:rPr>
              <w:t>液</w:t>
            </w:r>
          </w:p>
        </w:tc>
        <w:tc>
          <w:tcPr>
            <w:tcW w:w="565" w:type="pct"/>
            <w:vAlign w:val="center"/>
          </w:tcPr>
          <w:p w14:paraId="7B940322">
            <w:pPr>
              <w:pStyle w:val="58"/>
              <w:bidi w:val="0"/>
              <w:rPr>
                <w:rFonts w:hint="default"/>
                <w:highlight w:val="none"/>
              </w:rPr>
            </w:pPr>
            <w:r>
              <w:rPr>
                <w:rFonts w:hint="default"/>
                <w:highlight w:val="none"/>
              </w:rPr>
              <w:t>烃类</w:t>
            </w:r>
          </w:p>
        </w:tc>
        <w:tc>
          <w:tcPr>
            <w:tcW w:w="651" w:type="pct"/>
            <w:vAlign w:val="center"/>
          </w:tcPr>
          <w:p w14:paraId="7FF36257">
            <w:pPr>
              <w:pStyle w:val="58"/>
              <w:bidi w:val="0"/>
              <w:rPr>
                <w:rFonts w:hint="default"/>
                <w:highlight w:val="none"/>
              </w:rPr>
            </w:pPr>
            <w:r>
              <w:rPr>
                <w:rFonts w:hint="default"/>
                <w:highlight w:val="none"/>
              </w:rPr>
              <w:t>烃类</w:t>
            </w:r>
          </w:p>
        </w:tc>
        <w:tc>
          <w:tcPr>
            <w:tcW w:w="333" w:type="pct"/>
            <w:vAlign w:val="center"/>
          </w:tcPr>
          <w:p w14:paraId="3215FACA">
            <w:pPr>
              <w:pStyle w:val="58"/>
              <w:bidi w:val="0"/>
              <w:rPr>
                <w:rFonts w:hint="default"/>
                <w:highlight w:val="none"/>
              </w:rPr>
            </w:pPr>
            <w:r>
              <w:rPr>
                <w:rFonts w:hint="default"/>
                <w:highlight w:val="none"/>
              </w:rPr>
              <w:t>1年</w:t>
            </w:r>
          </w:p>
        </w:tc>
        <w:tc>
          <w:tcPr>
            <w:tcW w:w="377" w:type="pct"/>
            <w:vAlign w:val="center"/>
          </w:tcPr>
          <w:p w14:paraId="2DEA5B67">
            <w:pPr>
              <w:pStyle w:val="58"/>
              <w:bidi w:val="0"/>
              <w:rPr>
                <w:rFonts w:hint="default"/>
                <w:highlight w:val="none"/>
              </w:rPr>
            </w:pPr>
            <w:r>
              <w:rPr>
                <w:rFonts w:hint="default"/>
                <w:highlight w:val="none"/>
              </w:rPr>
              <w:t>T，I</w:t>
            </w:r>
          </w:p>
        </w:tc>
        <w:tc>
          <w:tcPr>
            <w:tcW w:w="613" w:type="pct"/>
            <w:vMerge w:val="continue"/>
            <w:vAlign w:val="center"/>
          </w:tcPr>
          <w:p w14:paraId="7575BBA1">
            <w:pPr>
              <w:pStyle w:val="58"/>
              <w:bidi w:val="0"/>
              <w:rPr>
                <w:rFonts w:hint="default"/>
                <w:highlight w:val="none"/>
              </w:rPr>
            </w:pPr>
          </w:p>
        </w:tc>
      </w:tr>
      <w:tr w14:paraId="7D9894D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566" w:hRule="atLeast"/>
        </w:trPr>
        <w:tc>
          <w:tcPr>
            <w:tcW w:w="293" w:type="pct"/>
            <w:vAlign w:val="center"/>
          </w:tcPr>
          <w:p w14:paraId="031FA830">
            <w:pPr>
              <w:pStyle w:val="58"/>
              <w:bidi w:val="0"/>
              <w:rPr>
                <w:rFonts w:hint="default"/>
                <w:highlight w:val="none"/>
              </w:rPr>
            </w:pPr>
            <w:bookmarkStart w:id="213" w:name="OLE_LINK66"/>
            <w:r>
              <w:rPr>
                <w:rFonts w:hint="default"/>
                <w:highlight w:val="none"/>
              </w:rPr>
              <w:t>废油桶</w:t>
            </w:r>
            <w:bookmarkEnd w:id="213"/>
          </w:p>
        </w:tc>
        <w:tc>
          <w:tcPr>
            <w:tcW w:w="330" w:type="pct"/>
            <w:vMerge w:val="continue"/>
            <w:vAlign w:val="center"/>
          </w:tcPr>
          <w:p w14:paraId="09520A16">
            <w:pPr>
              <w:pStyle w:val="58"/>
              <w:bidi w:val="0"/>
              <w:rPr>
                <w:rFonts w:hint="default"/>
                <w:highlight w:val="none"/>
              </w:rPr>
            </w:pPr>
          </w:p>
        </w:tc>
        <w:tc>
          <w:tcPr>
            <w:tcW w:w="586" w:type="pct"/>
            <w:vAlign w:val="center"/>
          </w:tcPr>
          <w:p w14:paraId="33B203F1">
            <w:pPr>
              <w:pStyle w:val="58"/>
              <w:bidi w:val="0"/>
              <w:rPr>
                <w:rFonts w:hint="default"/>
                <w:highlight w:val="none"/>
              </w:rPr>
            </w:pPr>
            <w:r>
              <w:rPr>
                <w:rFonts w:hint="default"/>
                <w:highlight w:val="none"/>
              </w:rPr>
              <w:t>900-249-08</w:t>
            </w:r>
          </w:p>
        </w:tc>
        <w:tc>
          <w:tcPr>
            <w:tcW w:w="435" w:type="pct"/>
            <w:vAlign w:val="center"/>
          </w:tcPr>
          <w:p w14:paraId="662025BF">
            <w:pPr>
              <w:pStyle w:val="58"/>
              <w:bidi w:val="0"/>
              <w:rPr>
                <w:rFonts w:hint="eastAsia" w:eastAsia="宋体"/>
                <w:highlight w:val="none"/>
                <w:lang w:eastAsia="zh-CN"/>
              </w:rPr>
            </w:pPr>
            <w:r>
              <w:rPr>
                <w:rFonts w:hint="default"/>
                <w:highlight w:val="none"/>
              </w:rPr>
              <w:t>0.00</w:t>
            </w:r>
            <w:r>
              <w:rPr>
                <w:rFonts w:hint="eastAsia"/>
                <w:highlight w:val="none"/>
                <w:lang w:val="en-US" w:eastAsia="zh-CN"/>
              </w:rPr>
              <w:t>5</w:t>
            </w:r>
          </w:p>
        </w:tc>
        <w:tc>
          <w:tcPr>
            <w:tcW w:w="577" w:type="pct"/>
            <w:vMerge w:val="continue"/>
            <w:vAlign w:val="center"/>
          </w:tcPr>
          <w:p w14:paraId="7CE63A8D">
            <w:pPr>
              <w:pStyle w:val="58"/>
              <w:bidi w:val="0"/>
              <w:rPr>
                <w:rFonts w:hint="default"/>
                <w:highlight w:val="none"/>
              </w:rPr>
            </w:pPr>
          </w:p>
        </w:tc>
        <w:tc>
          <w:tcPr>
            <w:tcW w:w="234" w:type="pct"/>
            <w:gridSpan w:val="2"/>
            <w:vAlign w:val="center"/>
          </w:tcPr>
          <w:p w14:paraId="7BA36464">
            <w:pPr>
              <w:pStyle w:val="58"/>
              <w:bidi w:val="0"/>
              <w:rPr>
                <w:rFonts w:hint="default"/>
                <w:highlight w:val="none"/>
              </w:rPr>
            </w:pPr>
            <w:r>
              <w:rPr>
                <w:rFonts w:hint="default"/>
                <w:highlight w:val="none"/>
              </w:rPr>
              <w:t>固</w:t>
            </w:r>
          </w:p>
        </w:tc>
        <w:tc>
          <w:tcPr>
            <w:tcW w:w="565" w:type="pct"/>
            <w:vAlign w:val="center"/>
          </w:tcPr>
          <w:p w14:paraId="41408AEB">
            <w:pPr>
              <w:pStyle w:val="58"/>
              <w:bidi w:val="0"/>
              <w:rPr>
                <w:rFonts w:hint="default"/>
                <w:highlight w:val="none"/>
              </w:rPr>
            </w:pPr>
            <w:r>
              <w:rPr>
                <w:rFonts w:hint="default"/>
                <w:highlight w:val="none"/>
              </w:rPr>
              <w:t>铁</w:t>
            </w:r>
          </w:p>
        </w:tc>
        <w:tc>
          <w:tcPr>
            <w:tcW w:w="651" w:type="pct"/>
            <w:vAlign w:val="center"/>
          </w:tcPr>
          <w:p w14:paraId="1F672FD7">
            <w:pPr>
              <w:pStyle w:val="58"/>
              <w:bidi w:val="0"/>
              <w:rPr>
                <w:rFonts w:hint="default"/>
                <w:highlight w:val="none"/>
              </w:rPr>
            </w:pPr>
            <w:r>
              <w:rPr>
                <w:rFonts w:hint="default"/>
                <w:highlight w:val="none"/>
              </w:rPr>
              <w:t>沾染的废矿物油</w:t>
            </w:r>
          </w:p>
        </w:tc>
        <w:tc>
          <w:tcPr>
            <w:tcW w:w="333" w:type="pct"/>
            <w:vAlign w:val="center"/>
          </w:tcPr>
          <w:p w14:paraId="11F8ED44">
            <w:pPr>
              <w:pStyle w:val="58"/>
              <w:bidi w:val="0"/>
              <w:rPr>
                <w:rFonts w:hint="default"/>
                <w:highlight w:val="none"/>
              </w:rPr>
            </w:pPr>
            <w:r>
              <w:rPr>
                <w:rFonts w:hint="default"/>
                <w:highlight w:val="none"/>
              </w:rPr>
              <w:t>1年</w:t>
            </w:r>
          </w:p>
        </w:tc>
        <w:tc>
          <w:tcPr>
            <w:tcW w:w="377" w:type="pct"/>
            <w:vAlign w:val="center"/>
          </w:tcPr>
          <w:p w14:paraId="0C6ABB50">
            <w:pPr>
              <w:pStyle w:val="58"/>
              <w:bidi w:val="0"/>
              <w:rPr>
                <w:rFonts w:hint="default"/>
                <w:highlight w:val="none"/>
              </w:rPr>
            </w:pPr>
            <w:r>
              <w:rPr>
                <w:rFonts w:hint="default"/>
                <w:highlight w:val="none"/>
              </w:rPr>
              <w:t>T，I</w:t>
            </w:r>
          </w:p>
        </w:tc>
        <w:tc>
          <w:tcPr>
            <w:tcW w:w="613" w:type="pct"/>
            <w:vMerge w:val="continue"/>
            <w:vAlign w:val="center"/>
          </w:tcPr>
          <w:p w14:paraId="07625CA1">
            <w:pPr>
              <w:pStyle w:val="58"/>
              <w:bidi w:val="0"/>
              <w:rPr>
                <w:rFonts w:hint="default"/>
                <w:highlight w:val="none"/>
              </w:rPr>
            </w:pPr>
          </w:p>
        </w:tc>
      </w:tr>
      <w:tr w14:paraId="60B6F8B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91" w:hRule="atLeast"/>
        </w:trPr>
        <w:tc>
          <w:tcPr>
            <w:tcW w:w="293" w:type="pct"/>
            <w:vAlign w:val="center"/>
          </w:tcPr>
          <w:p w14:paraId="0F1DE847">
            <w:pPr>
              <w:pStyle w:val="58"/>
              <w:bidi w:val="0"/>
              <w:rPr>
                <w:rFonts w:hint="default"/>
                <w:highlight w:val="none"/>
              </w:rPr>
            </w:pPr>
            <w:bookmarkStart w:id="214" w:name="OLE_LINK67"/>
            <w:r>
              <w:rPr>
                <w:rFonts w:hint="default"/>
                <w:highlight w:val="none"/>
              </w:rPr>
              <w:t>在线监测废液</w:t>
            </w:r>
            <w:bookmarkEnd w:id="214"/>
          </w:p>
        </w:tc>
        <w:tc>
          <w:tcPr>
            <w:tcW w:w="330" w:type="pct"/>
            <w:vMerge w:val="restart"/>
            <w:vAlign w:val="center"/>
          </w:tcPr>
          <w:p w14:paraId="20FE42C7">
            <w:pPr>
              <w:pStyle w:val="58"/>
              <w:bidi w:val="0"/>
              <w:rPr>
                <w:rFonts w:hint="default"/>
                <w:highlight w:val="none"/>
              </w:rPr>
            </w:pPr>
            <w:r>
              <w:rPr>
                <w:rFonts w:hint="default"/>
                <w:highlight w:val="none"/>
              </w:rPr>
              <w:t>HW49</w:t>
            </w:r>
          </w:p>
        </w:tc>
        <w:tc>
          <w:tcPr>
            <w:tcW w:w="586" w:type="pct"/>
            <w:vMerge w:val="restart"/>
            <w:vAlign w:val="center"/>
          </w:tcPr>
          <w:p w14:paraId="4AE7C88A">
            <w:pPr>
              <w:pStyle w:val="58"/>
              <w:bidi w:val="0"/>
              <w:rPr>
                <w:rFonts w:hint="default"/>
                <w:highlight w:val="none"/>
              </w:rPr>
            </w:pPr>
            <w:r>
              <w:rPr>
                <w:rFonts w:hint="default"/>
                <w:highlight w:val="none"/>
              </w:rPr>
              <w:t>900-047-49</w:t>
            </w:r>
          </w:p>
        </w:tc>
        <w:tc>
          <w:tcPr>
            <w:tcW w:w="435" w:type="pct"/>
            <w:vAlign w:val="center"/>
          </w:tcPr>
          <w:p w14:paraId="38CC6B1A">
            <w:pPr>
              <w:pStyle w:val="58"/>
              <w:bidi w:val="0"/>
              <w:rPr>
                <w:rFonts w:hint="default" w:eastAsia="宋体"/>
                <w:highlight w:val="none"/>
                <w:lang w:val="en-US" w:eastAsia="zh-CN"/>
              </w:rPr>
            </w:pPr>
            <w:r>
              <w:rPr>
                <w:rFonts w:hint="eastAsia"/>
                <w:highlight w:val="none"/>
                <w:lang w:val="en-US" w:eastAsia="zh-CN"/>
              </w:rPr>
              <w:t>0.07</w:t>
            </w:r>
          </w:p>
        </w:tc>
        <w:tc>
          <w:tcPr>
            <w:tcW w:w="577" w:type="pct"/>
            <w:vAlign w:val="center"/>
          </w:tcPr>
          <w:p w14:paraId="4FAD69BB">
            <w:pPr>
              <w:pStyle w:val="58"/>
              <w:bidi w:val="0"/>
              <w:rPr>
                <w:rFonts w:hint="default"/>
                <w:highlight w:val="none"/>
              </w:rPr>
            </w:pPr>
            <w:r>
              <w:rPr>
                <w:rFonts w:hint="default"/>
                <w:highlight w:val="none"/>
              </w:rPr>
              <w:t>在线监测设备</w:t>
            </w:r>
          </w:p>
        </w:tc>
        <w:tc>
          <w:tcPr>
            <w:tcW w:w="234" w:type="pct"/>
            <w:gridSpan w:val="2"/>
            <w:vAlign w:val="center"/>
          </w:tcPr>
          <w:p w14:paraId="25A33F57">
            <w:pPr>
              <w:pStyle w:val="58"/>
              <w:bidi w:val="0"/>
              <w:rPr>
                <w:rFonts w:hint="default"/>
                <w:highlight w:val="none"/>
              </w:rPr>
            </w:pPr>
            <w:r>
              <w:rPr>
                <w:rFonts w:hint="default"/>
                <w:highlight w:val="none"/>
              </w:rPr>
              <w:t>液</w:t>
            </w:r>
          </w:p>
        </w:tc>
        <w:tc>
          <w:tcPr>
            <w:tcW w:w="565" w:type="pct"/>
            <w:vAlign w:val="center"/>
          </w:tcPr>
          <w:p w14:paraId="14942BEB">
            <w:pPr>
              <w:pStyle w:val="58"/>
              <w:bidi w:val="0"/>
              <w:rPr>
                <w:rFonts w:hint="default"/>
                <w:highlight w:val="none"/>
              </w:rPr>
            </w:pPr>
            <w:r>
              <w:rPr>
                <w:rFonts w:hint="default"/>
                <w:highlight w:val="none"/>
              </w:rPr>
              <w:t>重铬酸钾、过硫酸钾等</w:t>
            </w:r>
          </w:p>
        </w:tc>
        <w:tc>
          <w:tcPr>
            <w:tcW w:w="651" w:type="pct"/>
            <w:vAlign w:val="center"/>
          </w:tcPr>
          <w:p w14:paraId="24296B21">
            <w:pPr>
              <w:pStyle w:val="58"/>
              <w:bidi w:val="0"/>
              <w:rPr>
                <w:rFonts w:hint="default"/>
                <w:highlight w:val="none"/>
              </w:rPr>
            </w:pPr>
            <w:r>
              <w:rPr>
                <w:rFonts w:hint="default"/>
                <w:highlight w:val="none"/>
              </w:rPr>
              <w:t>重铬酸钾、过硫酸钾等</w:t>
            </w:r>
          </w:p>
        </w:tc>
        <w:tc>
          <w:tcPr>
            <w:tcW w:w="333" w:type="pct"/>
            <w:vAlign w:val="center"/>
          </w:tcPr>
          <w:p w14:paraId="01659E7F">
            <w:pPr>
              <w:pStyle w:val="58"/>
              <w:bidi w:val="0"/>
              <w:rPr>
                <w:rFonts w:hint="default"/>
                <w:highlight w:val="none"/>
              </w:rPr>
            </w:pPr>
            <w:r>
              <w:rPr>
                <w:rFonts w:hint="default"/>
                <w:highlight w:val="none"/>
              </w:rPr>
              <w:t>1年</w:t>
            </w:r>
          </w:p>
        </w:tc>
        <w:tc>
          <w:tcPr>
            <w:tcW w:w="377" w:type="pct"/>
            <w:vAlign w:val="center"/>
          </w:tcPr>
          <w:p w14:paraId="102A6663">
            <w:pPr>
              <w:pStyle w:val="58"/>
              <w:bidi w:val="0"/>
              <w:rPr>
                <w:rFonts w:hint="default"/>
                <w:highlight w:val="none"/>
              </w:rPr>
            </w:pPr>
            <w:r>
              <w:rPr>
                <w:rFonts w:hint="default"/>
                <w:highlight w:val="none"/>
              </w:rPr>
              <w:t>T，C，R</w:t>
            </w:r>
          </w:p>
        </w:tc>
        <w:tc>
          <w:tcPr>
            <w:tcW w:w="613" w:type="pct"/>
            <w:vMerge w:val="continue"/>
            <w:vAlign w:val="center"/>
          </w:tcPr>
          <w:p w14:paraId="72B13CFD">
            <w:pPr>
              <w:pStyle w:val="58"/>
              <w:bidi w:val="0"/>
              <w:rPr>
                <w:rFonts w:hint="default"/>
                <w:highlight w:val="none"/>
              </w:rPr>
            </w:pPr>
          </w:p>
        </w:tc>
      </w:tr>
      <w:tr w14:paraId="33E41A2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919" w:hRule="atLeast"/>
        </w:trPr>
        <w:tc>
          <w:tcPr>
            <w:tcW w:w="293" w:type="pct"/>
            <w:vAlign w:val="center"/>
          </w:tcPr>
          <w:p w14:paraId="2BA12492">
            <w:pPr>
              <w:pStyle w:val="58"/>
              <w:bidi w:val="0"/>
              <w:rPr>
                <w:rFonts w:hint="default"/>
                <w:highlight w:val="none"/>
              </w:rPr>
            </w:pPr>
            <w:bookmarkStart w:id="215" w:name="OLE_LINK68"/>
            <w:r>
              <w:rPr>
                <w:rFonts w:hint="eastAsia"/>
                <w:highlight w:val="none"/>
                <w:lang w:eastAsia="zh-CN"/>
              </w:rPr>
              <w:t>实验室</w:t>
            </w:r>
            <w:r>
              <w:rPr>
                <w:rFonts w:hint="default"/>
                <w:highlight w:val="none"/>
              </w:rPr>
              <w:t>废液</w:t>
            </w:r>
            <w:bookmarkEnd w:id="215"/>
          </w:p>
        </w:tc>
        <w:tc>
          <w:tcPr>
            <w:tcW w:w="330" w:type="pct"/>
            <w:vMerge w:val="continue"/>
            <w:vAlign w:val="center"/>
          </w:tcPr>
          <w:p w14:paraId="543C15F4">
            <w:pPr>
              <w:pStyle w:val="58"/>
              <w:bidi w:val="0"/>
              <w:rPr>
                <w:rFonts w:hint="default"/>
                <w:highlight w:val="none"/>
              </w:rPr>
            </w:pPr>
          </w:p>
        </w:tc>
        <w:tc>
          <w:tcPr>
            <w:tcW w:w="586" w:type="pct"/>
            <w:vMerge w:val="continue"/>
            <w:vAlign w:val="center"/>
          </w:tcPr>
          <w:p w14:paraId="4FB9438A">
            <w:pPr>
              <w:pStyle w:val="58"/>
              <w:bidi w:val="0"/>
              <w:rPr>
                <w:rFonts w:hint="default"/>
                <w:highlight w:val="none"/>
              </w:rPr>
            </w:pPr>
          </w:p>
        </w:tc>
        <w:tc>
          <w:tcPr>
            <w:tcW w:w="435" w:type="pct"/>
            <w:vAlign w:val="center"/>
          </w:tcPr>
          <w:p w14:paraId="35E5F1B3">
            <w:pPr>
              <w:pStyle w:val="58"/>
              <w:bidi w:val="0"/>
              <w:rPr>
                <w:rFonts w:hint="default" w:eastAsia="宋体"/>
                <w:highlight w:val="none"/>
                <w:lang w:val="en-US" w:eastAsia="zh-CN"/>
              </w:rPr>
            </w:pPr>
            <w:r>
              <w:rPr>
                <w:rFonts w:hint="eastAsia"/>
                <w:highlight w:val="none"/>
                <w:lang w:val="en-US" w:eastAsia="zh-CN"/>
              </w:rPr>
              <w:t>0.01</w:t>
            </w:r>
          </w:p>
        </w:tc>
        <w:tc>
          <w:tcPr>
            <w:tcW w:w="577" w:type="pct"/>
            <w:vMerge w:val="restart"/>
            <w:vAlign w:val="center"/>
          </w:tcPr>
          <w:p w14:paraId="5BBD2332">
            <w:pPr>
              <w:pStyle w:val="58"/>
              <w:bidi w:val="0"/>
              <w:rPr>
                <w:rFonts w:hint="eastAsia" w:eastAsia="宋体"/>
                <w:highlight w:val="none"/>
                <w:lang w:eastAsia="zh-CN"/>
              </w:rPr>
            </w:pPr>
            <w:r>
              <w:rPr>
                <w:rFonts w:hint="eastAsia"/>
                <w:highlight w:val="none"/>
                <w:lang w:eastAsia="zh-CN"/>
              </w:rPr>
              <w:t>实验室</w:t>
            </w:r>
          </w:p>
        </w:tc>
        <w:tc>
          <w:tcPr>
            <w:tcW w:w="234" w:type="pct"/>
            <w:gridSpan w:val="2"/>
            <w:vAlign w:val="center"/>
          </w:tcPr>
          <w:p w14:paraId="5F6CF28B">
            <w:pPr>
              <w:pStyle w:val="58"/>
              <w:bidi w:val="0"/>
              <w:rPr>
                <w:rFonts w:hint="default"/>
                <w:highlight w:val="none"/>
              </w:rPr>
            </w:pPr>
            <w:r>
              <w:rPr>
                <w:rFonts w:hint="default"/>
                <w:highlight w:val="none"/>
              </w:rPr>
              <w:t>液</w:t>
            </w:r>
          </w:p>
        </w:tc>
        <w:tc>
          <w:tcPr>
            <w:tcW w:w="565" w:type="pct"/>
            <w:vAlign w:val="center"/>
          </w:tcPr>
          <w:p w14:paraId="27EEB00F">
            <w:pPr>
              <w:pStyle w:val="58"/>
              <w:bidi w:val="0"/>
              <w:rPr>
                <w:rFonts w:hint="default"/>
                <w:highlight w:val="none"/>
              </w:rPr>
            </w:pPr>
            <w:r>
              <w:rPr>
                <w:rFonts w:hint="default"/>
                <w:highlight w:val="none"/>
              </w:rPr>
              <w:t>重铬酸钾、硫酸、纳氏试剂（汞）等</w:t>
            </w:r>
          </w:p>
        </w:tc>
        <w:tc>
          <w:tcPr>
            <w:tcW w:w="651" w:type="pct"/>
            <w:vAlign w:val="center"/>
          </w:tcPr>
          <w:p w14:paraId="6C1984B6">
            <w:pPr>
              <w:pStyle w:val="58"/>
              <w:bidi w:val="0"/>
              <w:rPr>
                <w:rFonts w:hint="default"/>
                <w:highlight w:val="none"/>
              </w:rPr>
            </w:pPr>
            <w:r>
              <w:rPr>
                <w:rFonts w:hint="default"/>
                <w:highlight w:val="none"/>
              </w:rPr>
              <w:t>重铬酸钾、硫酸、汞等</w:t>
            </w:r>
          </w:p>
        </w:tc>
        <w:tc>
          <w:tcPr>
            <w:tcW w:w="333" w:type="pct"/>
            <w:vAlign w:val="center"/>
          </w:tcPr>
          <w:p w14:paraId="763ED663">
            <w:pPr>
              <w:pStyle w:val="58"/>
              <w:bidi w:val="0"/>
              <w:rPr>
                <w:rFonts w:hint="default"/>
                <w:highlight w:val="none"/>
              </w:rPr>
            </w:pPr>
            <w:r>
              <w:rPr>
                <w:rFonts w:hint="default"/>
                <w:highlight w:val="none"/>
              </w:rPr>
              <w:t>1年</w:t>
            </w:r>
          </w:p>
        </w:tc>
        <w:tc>
          <w:tcPr>
            <w:tcW w:w="377" w:type="pct"/>
            <w:vAlign w:val="center"/>
          </w:tcPr>
          <w:p w14:paraId="199BF4D1">
            <w:pPr>
              <w:pStyle w:val="58"/>
              <w:bidi w:val="0"/>
              <w:rPr>
                <w:rFonts w:hint="default"/>
                <w:highlight w:val="none"/>
              </w:rPr>
            </w:pPr>
            <w:r>
              <w:rPr>
                <w:rFonts w:hint="default"/>
                <w:highlight w:val="none"/>
              </w:rPr>
              <w:t>T，C，R</w:t>
            </w:r>
          </w:p>
        </w:tc>
        <w:tc>
          <w:tcPr>
            <w:tcW w:w="613" w:type="pct"/>
            <w:vMerge w:val="continue"/>
            <w:vAlign w:val="center"/>
          </w:tcPr>
          <w:p w14:paraId="56B6A2A1">
            <w:pPr>
              <w:pStyle w:val="58"/>
              <w:bidi w:val="0"/>
              <w:rPr>
                <w:rFonts w:hint="default"/>
                <w:highlight w:val="none"/>
              </w:rPr>
            </w:pPr>
          </w:p>
        </w:tc>
      </w:tr>
      <w:tr w14:paraId="2FCDF41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715" w:hRule="atLeast"/>
        </w:trPr>
        <w:tc>
          <w:tcPr>
            <w:tcW w:w="293" w:type="pct"/>
            <w:vAlign w:val="center"/>
          </w:tcPr>
          <w:p w14:paraId="66BAD3DE">
            <w:pPr>
              <w:pStyle w:val="58"/>
              <w:bidi w:val="0"/>
              <w:rPr>
                <w:rFonts w:hint="default"/>
                <w:highlight w:val="none"/>
              </w:rPr>
            </w:pPr>
            <w:bookmarkStart w:id="216" w:name="OLE_LINK69"/>
            <w:r>
              <w:rPr>
                <w:rFonts w:hint="default"/>
                <w:highlight w:val="none"/>
              </w:rPr>
              <w:t>废试剂瓶</w:t>
            </w:r>
            <w:bookmarkEnd w:id="216"/>
          </w:p>
        </w:tc>
        <w:tc>
          <w:tcPr>
            <w:tcW w:w="330" w:type="pct"/>
            <w:vMerge w:val="continue"/>
            <w:vAlign w:val="center"/>
          </w:tcPr>
          <w:p w14:paraId="677ED35E">
            <w:pPr>
              <w:pStyle w:val="58"/>
              <w:bidi w:val="0"/>
              <w:rPr>
                <w:rFonts w:hint="default"/>
                <w:highlight w:val="none"/>
              </w:rPr>
            </w:pPr>
          </w:p>
        </w:tc>
        <w:tc>
          <w:tcPr>
            <w:tcW w:w="586" w:type="pct"/>
            <w:vMerge w:val="continue"/>
            <w:vAlign w:val="center"/>
          </w:tcPr>
          <w:p w14:paraId="5AD77AA1">
            <w:pPr>
              <w:pStyle w:val="58"/>
              <w:bidi w:val="0"/>
              <w:rPr>
                <w:rFonts w:hint="default"/>
                <w:highlight w:val="none"/>
              </w:rPr>
            </w:pPr>
          </w:p>
        </w:tc>
        <w:tc>
          <w:tcPr>
            <w:tcW w:w="435" w:type="pct"/>
            <w:vAlign w:val="center"/>
          </w:tcPr>
          <w:p w14:paraId="3EA79807">
            <w:pPr>
              <w:pStyle w:val="58"/>
              <w:bidi w:val="0"/>
              <w:rPr>
                <w:rFonts w:hint="default" w:eastAsia="宋体"/>
                <w:highlight w:val="none"/>
                <w:lang w:val="en-US" w:eastAsia="zh-CN"/>
              </w:rPr>
            </w:pPr>
            <w:r>
              <w:rPr>
                <w:rFonts w:hint="eastAsia"/>
                <w:highlight w:val="none"/>
                <w:lang w:val="en-US" w:eastAsia="zh-CN"/>
              </w:rPr>
              <w:t>0.001</w:t>
            </w:r>
          </w:p>
        </w:tc>
        <w:tc>
          <w:tcPr>
            <w:tcW w:w="577" w:type="pct"/>
            <w:vMerge w:val="continue"/>
            <w:vAlign w:val="center"/>
          </w:tcPr>
          <w:p w14:paraId="12EB5550">
            <w:pPr>
              <w:pStyle w:val="58"/>
              <w:bidi w:val="0"/>
              <w:rPr>
                <w:rFonts w:hint="default"/>
                <w:highlight w:val="none"/>
              </w:rPr>
            </w:pPr>
          </w:p>
        </w:tc>
        <w:tc>
          <w:tcPr>
            <w:tcW w:w="234" w:type="pct"/>
            <w:gridSpan w:val="2"/>
            <w:vAlign w:val="center"/>
          </w:tcPr>
          <w:p w14:paraId="612AF92B">
            <w:pPr>
              <w:pStyle w:val="58"/>
              <w:bidi w:val="0"/>
              <w:rPr>
                <w:rFonts w:hint="default"/>
                <w:highlight w:val="none"/>
              </w:rPr>
            </w:pPr>
            <w:r>
              <w:rPr>
                <w:rFonts w:hint="default"/>
                <w:highlight w:val="none"/>
              </w:rPr>
              <w:t>固</w:t>
            </w:r>
          </w:p>
        </w:tc>
        <w:tc>
          <w:tcPr>
            <w:tcW w:w="565" w:type="pct"/>
            <w:vAlign w:val="center"/>
          </w:tcPr>
          <w:p w14:paraId="07681C4E">
            <w:pPr>
              <w:pStyle w:val="58"/>
              <w:bidi w:val="0"/>
              <w:rPr>
                <w:rFonts w:hint="default"/>
                <w:highlight w:val="none"/>
              </w:rPr>
            </w:pPr>
            <w:r>
              <w:rPr>
                <w:rFonts w:hint="default"/>
                <w:highlight w:val="none"/>
              </w:rPr>
              <w:t>玻璃/聚乙烯塑料</w:t>
            </w:r>
          </w:p>
        </w:tc>
        <w:tc>
          <w:tcPr>
            <w:tcW w:w="651" w:type="pct"/>
            <w:vAlign w:val="center"/>
          </w:tcPr>
          <w:p w14:paraId="2D9E1429">
            <w:pPr>
              <w:pStyle w:val="58"/>
              <w:bidi w:val="0"/>
              <w:rPr>
                <w:rFonts w:hint="default"/>
                <w:highlight w:val="none"/>
              </w:rPr>
            </w:pPr>
            <w:r>
              <w:rPr>
                <w:rFonts w:hint="default"/>
                <w:highlight w:val="none"/>
              </w:rPr>
              <w:t>沾染的硫酸、重铬酸钾、纳氏试剂等</w:t>
            </w:r>
          </w:p>
        </w:tc>
        <w:tc>
          <w:tcPr>
            <w:tcW w:w="333" w:type="pct"/>
            <w:vAlign w:val="center"/>
          </w:tcPr>
          <w:p w14:paraId="37A21899">
            <w:pPr>
              <w:pStyle w:val="58"/>
              <w:bidi w:val="0"/>
              <w:rPr>
                <w:rFonts w:hint="default"/>
                <w:highlight w:val="none"/>
              </w:rPr>
            </w:pPr>
            <w:r>
              <w:rPr>
                <w:rFonts w:hint="default"/>
                <w:highlight w:val="none"/>
              </w:rPr>
              <w:t>1年</w:t>
            </w:r>
          </w:p>
        </w:tc>
        <w:tc>
          <w:tcPr>
            <w:tcW w:w="377" w:type="pct"/>
            <w:vAlign w:val="center"/>
          </w:tcPr>
          <w:p w14:paraId="0199BA46">
            <w:pPr>
              <w:pStyle w:val="58"/>
              <w:bidi w:val="0"/>
              <w:rPr>
                <w:rFonts w:hint="default"/>
                <w:highlight w:val="none"/>
              </w:rPr>
            </w:pPr>
            <w:r>
              <w:rPr>
                <w:rFonts w:hint="default"/>
                <w:highlight w:val="none"/>
              </w:rPr>
              <w:t>T，C，R</w:t>
            </w:r>
          </w:p>
        </w:tc>
        <w:tc>
          <w:tcPr>
            <w:tcW w:w="613" w:type="pct"/>
            <w:vMerge w:val="continue"/>
            <w:vAlign w:val="center"/>
          </w:tcPr>
          <w:p w14:paraId="02AA8533">
            <w:pPr>
              <w:pStyle w:val="58"/>
              <w:bidi w:val="0"/>
              <w:rPr>
                <w:rFonts w:hint="default"/>
                <w:highlight w:val="none"/>
              </w:rPr>
            </w:pPr>
          </w:p>
        </w:tc>
      </w:tr>
      <w:tr w14:paraId="4179268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715" w:hRule="atLeast"/>
        </w:trPr>
        <w:tc>
          <w:tcPr>
            <w:tcW w:w="293" w:type="pct"/>
            <w:vAlign w:val="center"/>
          </w:tcPr>
          <w:p w14:paraId="160C1858">
            <w:pPr>
              <w:pStyle w:val="58"/>
              <w:keepNext w:val="0"/>
              <w:keepLines w:val="0"/>
              <w:pageBreakBefore w:val="0"/>
              <w:widowControl w:val="0"/>
              <w:kinsoku/>
              <w:wordWrap/>
              <w:overflowPunct/>
              <w:autoSpaceDE/>
              <w:autoSpaceDN/>
              <w:bidi w:val="0"/>
              <w:spacing w:line="240" w:lineRule="auto"/>
              <w:ind w:firstLine="0" w:firstLineChars="0"/>
              <w:textAlignment w:val="auto"/>
              <w:rPr>
                <w:rFonts w:hint="default"/>
                <w:highlight w:val="none"/>
              </w:rPr>
            </w:pPr>
            <w:r>
              <w:rPr>
                <w:rFonts w:hint="eastAsia"/>
                <w:highlight w:val="none"/>
                <w:lang w:val="en-US" w:eastAsia="zh-CN"/>
              </w:rPr>
              <w:t>废UV灯管</w:t>
            </w:r>
          </w:p>
        </w:tc>
        <w:tc>
          <w:tcPr>
            <w:tcW w:w="330" w:type="pct"/>
            <w:vAlign w:val="center"/>
          </w:tcPr>
          <w:p w14:paraId="42835415">
            <w:pPr>
              <w:keepNext w:val="0"/>
              <w:keepLines w:val="0"/>
              <w:pageBreakBefore w:val="0"/>
              <w:widowControl w:val="0"/>
              <w:kinsoku/>
              <w:wordWrap/>
              <w:overflowPunct/>
              <w:topLinePunct/>
              <w:autoSpaceDE/>
              <w:autoSpaceDN/>
              <w:bidi w:val="0"/>
              <w:adjustRightInd w:val="0"/>
              <w:snapToGrid w:val="0"/>
              <w:spacing w:line="240" w:lineRule="auto"/>
              <w:ind w:firstLine="0" w:firstLineChars="0"/>
              <w:jc w:val="center"/>
              <w:textAlignment w:val="auto"/>
              <w:rPr>
                <w:rFonts w:hint="default"/>
                <w:highlight w:val="none"/>
              </w:rPr>
            </w:pPr>
            <w:r>
              <w:rPr>
                <w:rFonts w:hint="default" w:ascii="Times New Roman" w:hAnsi="Times New Roman" w:eastAsia="宋体" w:cs="Times New Roman"/>
                <w:color w:val="auto"/>
                <w:sz w:val="21"/>
                <w:szCs w:val="21"/>
                <w:highlight w:val="none"/>
                <w:lang w:val="en-US" w:eastAsia="zh-CN"/>
              </w:rPr>
              <w:t>HW29</w:t>
            </w:r>
          </w:p>
        </w:tc>
        <w:tc>
          <w:tcPr>
            <w:tcW w:w="586" w:type="pct"/>
            <w:vAlign w:val="center"/>
          </w:tcPr>
          <w:p w14:paraId="26984C92">
            <w:pPr>
              <w:keepNext w:val="0"/>
              <w:keepLines w:val="0"/>
              <w:pageBreakBefore w:val="0"/>
              <w:widowControl w:val="0"/>
              <w:kinsoku/>
              <w:wordWrap/>
              <w:overflowPunct/>
              <w:topLinePunct/>
              <w:autoSpaceDE/>
              <w:autoSpaceDN/>
              <w:bidi w:val="0"/>
              <w:adjustRightInd w:val="0"/>
              <w:snapToGrid w:val="0"/>
              <w:spacing w:line="240" w:lineRule="auto"/>
              <w:ind w:firstLine="0" w:firstLineChars="0"/>
              <w:jc w:val="center"/>
              <w:textAlignment w:val="auto"/>
              <w:rPr>
                <w:rFonts w:hint="default"/>
                <w:highlight w:val="none"/>
              </w:rPr>
            </w:pPr>
            <w:r>
              <w:rPr>
                <w:rFonts w:hint="eastAsia" w:ascii="Times New Roman" w:hAnsi="Times New Roman" w:eastAsia="宋体" w:cs="Times New Roman"/>
                <w:color w:val="auto"/>
                <w:kern w:val="0"/>
                <w:sz w:val="21"/>
                <w:szCs w:val="21"/>
                <w:highlight w:val="none"/>
                <w:lang w:val="en-US" w:eastAsia="zh-CN"/>
              </w:rPr>
              <w:t>900-023-29</w:t>
            </w:r>
          </w:p>
        </w:tc>
        <w:tc>
          <w:tcPr>
            <w:tcW w:w="435" w:type="pct"/>
            <w:vAlign w:val="center"/>
          </w:tcPr>
          <w:p w14:paraId="6983368F">
            <w:pPr>
              <w:keepNext w:val="0"/>
              <w:keepLines w:val="0"/>
              <w:pageBreakBefore w:val="0"/>
              <w:widowControl w:val="0"/>
              <w:kinsoku/>
              <w:wordWrap/>
              <w:overflowPunct/>
              <w:topLinePunct/>
              <w:autoSpaceDE/>
              <w:autoSpaceDN/>
              <w:bidi w:val="0"/>
              <w:adjustRightInd w:val="0"/>
              <w:snapToGrid w:val="0"/>
              <w:spacing w:line="240" w:lineRule="auto"/>
              <w:ind w:firstLine="0" w:firstLineChars="0"/>
              <w:jc w:val="center"/>
              <w:textAlignment w:val="auto"/>
              <w:rPr>
                <w:rFonts w:hint="eastAsia"/>
                <w:highlight w:val="none"/>
                <w:lang w:val="en-US" w:eastAsia="zh-CN"/>
              </w:rPr>
            </w:pPr>
            <w:r>
              <w:rPr>
                <w:rFonts w:hint="eastAsia" w:cs="Times New Roman"/>
                <w:color w:val="auto"/>
                <w:kern w:val="0"/>
                <w:sz w:val="21"/>
                <w:szCs w:val="21"/>
                <w:highlight w:val="none"/>
                <w:lang w:val="en-US" w:eastAsia="zh-CN"/>
              </w:rPr>
              <w:t>0.009</w:t>
            </w:r>
          </w:p>
        </w:tc>
        <w:tc>
          <w:tcPr>
            <w:tcW w:w="577" w:type="pct"/>
            <w:vAlign w:val="center"/>
          </w:tcPr>
          <w:p w14:paraId="41266BAF">
            <w:pPr>
              <w:keepNext w:val="0"/>
              <w:keepLines w:val="0"/>
              <w:pageBreakBefore w:val="0"/>
              <w:widowControl w:val="0"/>
              <w:kinsoku/>
              <w:wordWrap/>
              <w:overflowPunct/>
              <w:topLinePunct/>
              <w:autoSpaceDE/>
              <w:autoSpaceDN/>
              <w:bidi w:val="0"/>
              <w:adjustRightInd w:val="0"/>
              <w:snapToGrid w:val="0"/>
              <w:spacing w:line="240" w:lineRule="auto"/>
              <w:ind w:firstLine="0" w:firstLineChars="0"/>
              <w:jc w:val="center"/>
              <w:textAlignment w:val="auto"/>
              <w:rPr>
                <w:rFonts w:hint="default"/>
                <w:highlight w:val="none"/>
              </w:rPr>
            </w:pPr>
            <w:r>
              <w:rPr>
                <w:rFonts w:hint="eastAsia" w:eastAsia="宋体" w:cs="Times New Roman"/>
                <w:color w:val="auto"/>
                <w:kern w:val="0"/>
                <w:sz w:val="21"/>
                <w:szCs w:val="21"/>
                <w:highlight w:val="none"/>
                <w:lang w:val="en-US" w:eastAsia="zh-CN"/>
              </w:rPr>
              <w:t>等离子光电一体机</w:t>
            </w:r>
            <w:r>
              <w:rPr>
                <w:rFonts w:hint="eastAsia" w:ascii="Times New Roman" w:hAnsi="Times New Roman" w:eastAsia="宋体" w:cs="Times New Roman"/>
                <w:color w:val="auto"/>
                <w:kern w:val="0"/>
                <w:sz w:val="21"/>
                <w:szCs w:val="21"/>
                <w:highlight w:val="none"/>
                <w:lang w:val="en-US" w:eastAsia="zh-CN"/>
              </w:rPr>
              <w:t>更换配件</w:t>
            </w:r>
          </w:p>
        </w:tc>
        <w:tc>
          <w:tcPr>
            <w:tcW w:w="234" w:type="pct"/>
            <w:gridSpan w:val="2"/>
            <w:vAlign w:val="center"/>
          </w:tcPr>
          <w:p w14:paraId="3B3EEB41">
            <w:pPr>
              <w:keepNext w:val="0"/>
              <w:keepLines w:val="0"/>
              <w:pageBreakBefore w:val="0"/>
              <w:widowControl w:val="0"/>
              <w:kinsoku/>
              <w:wordWrap/>
              <w:overflowPunct/>
              <w:topLinePunct/>
              <w:autoSpaceDE/>
              <w:autoSpaceDN/>
              <w:bidi w:val="0"/>
              <w:adjustRightInd w:val="0"/>
              <w:snapToGrid w:val="0"/>
              <w:spacing w:line="240" w:lineRule="auto"/>
              <w:ind w:firstLine="0" w:firstLineChars="0"/>
              <w:jc w:val="center"/>
              <w:textAlignment w:val="auto"/>
              <w:rPr>
                <w:rFonts w:hint="default"/>
                <w:highlight w:val="none"/>
              </w:rPr>
            </w:pPr>
            <w:r>
              <w:rPr>
                <w:rFonts w:hint="eastAsia" w:ascii="Times New Roman" w:hAnsi="Times New Roman" w:eastAsia="宋体" w:cs="Times New Roman"/>
                <w:color w:val="auto"/>
                <w:kern w:val="0"/>
                <w:sz w:val="21"/>
                <w:szCs w:val="21"/>
                <w:highlight w:val="none"/>
                <w:lang w:val="en-US" w:eastAsia="zh-CN"/>
              </w:rPr>
              <w:t>固态</w:t>
            </w:r>
          </w:p>
        </w:tc>
        <w:tc>
          <w:tcPr>
            <w:tcW w:w="565" w:type="pct"/>
            <w:vAlign w:val="center"/>
          </w:tcPr>
          <w:p w14:paraId="644058DB">
            <w:pPr>
              <w:keepNext w:val="0"/>
              <w:keepLines w:val="0"/>
              <w:pageBreakBefore w:val="0"/>
              <w:widowControl w:val="0"/>
              <w:kinsoku/>
              <w:wordWrap/>
              <w:overflowPunct/>
              <w:topLinePunct/>
              <w:autoSpaceDE/>
              <w:autoSpaceDN/>
              <w:bidi w:val="0"/>
              <w:adjustRightInd w:val="0"/>
              <w:snapToGrid w:val="0"/>
              <w:spacing w:line="240" w:lineRule="auto"/>
              <w:ind w:firstLine="0" w:firstLineChars="0"/>
              <w:jc w:val="center"/>
              <w:textAlignment w:val="auto"/>
              <w:rPr>
                <w:rFonts w:hint="default"/>
                <w:highlight w:val="none"/>
              </w:rPr>
            </w:pPr>
            <w:r>
              <w:rPr>
                <w:rFonts w:hint="eastAsia" w:ascii="Times New Roman" w:hAnsi="Times New Roman" w:eastAsia="宋体" w:cs="Times New Roman"/>
                <w:color w:val="auto"/>
                <w:kern w:val="0"/>
                <w:sz w:val="21"/>
                <w:szCs w:val="21"/>
                <w:highlight w:val="none"/>
                <w:lang w:val="en-US" w:eastAsia="zh-CN"/>
              </w:rPr>
              <w:t>含汞荧光灯管</w:t>
            </w:r>
          </w:p>
        </w:tc>
        <w:tc>
          <w:tcPr>
            <w:tcW w:w="651" w:type="pct"/>
            <w:vAlign w:val="center"/>
          </w:tcPr>
          <w:p w14:paraId="7B2A93AD">
            <w:pPr>
              <w:keepNext w:val="0"/>
              <w:keepLines w:val="0"/>
              <w:pageBreakBefore w:val="0"/>
              <w:widowControl w:val="0"/>
              <w:kinsoku/>
              <w:wordWrap/>
              <w:overflowPunct/>
              <w:topLinePunct/>
              <w:autoSpaceDE/>
              <w:autoSpaceDN/>
              <w:bidi w:val="0"/>
              <w:adjustRightInd w:val="0"/>
              <w:snapToGrid w:val="0"/>
              <w:spacing w:line="240" w:lineRule="auto"/>
              <w:ind w:firstLine="0" w:firstLineChars="0"/>
              <w:jc w:val="center"/>
              <w:textAlignment w:val="auto"/>
              <w:rPr>
                <w:rFonts w:hint="default"/>
                <w:highlight w:val="none"/>
              </w:rPr>
            </w:pPr>
            <w:r>
              <w:rPr>
                <w:rFonts w:hint="eastAsia" w:ascii="Times New Roman" w:hAnsi="Times New Roman" w:eastAsia="宋体" w:cs="Times New Roman"/>
                <w:color w:val="auto"/>
                <w:kern w:val="0"/>
                <w:sz w:val="21"/>
                <w:szCs w:val="21"/>
                <w:highlight w:val="none"/>
                <w:lang w:val="en-US" w:eastAsia="zh-CN"/>
              </w:rPr>
              <w:t>汞</w:t>
            </w:r>
          </w:p>
        </w:tc>
        <w:tc>
          <w:tcPr>
            <w:tcW w:w="333" w:type="pct"/>
            <w:vAlign w:val="center"/>
          </w:tcPr>
          <w:p w14:paraId="5EC462D1">
            <w:pPr>
              <w:keepNext w:val="0"/>
              <w:keepLines w:val="0"/>
              <w:pageBreakBefore w:val="0"/>
              <w:widowControl w:val="0"/>
              <w:kinsoku/>
              <w:wordWrap/>
              <w:overflowPunct/>
              <w:topLinePunct/>
              <w:autoSpaceDE/>
              <w:autoSpaceDN/>
              <w:bidi w:val="0"/>
              <w:adjustRightInd w:val="0"/>
              <w:snapToGrid w:val="0"/>
              <w:spacing w:line="240" w:lineRule="auto"/>
              <w:ind w:firstLine="0" w:firstLineChars="0"/>
              <w:jc w:val="center"/>
              <w:textAlignment w:val="auto"/>
              <w:rPr>
                <w:rFonts w:hint="default"/>
                <w:highlight w:val="none"/>
              </w:rPr>
            </w:pPr>
            <w:r>
              <w:rPr>
                <w:rFonts w:hint="eastAsia" w:ascii="Times New Roman" w:hAnsi="Times New Roman" w:eastAsia="宋体" w:cs="Times New Roman"/>
                <w:color w:val="auto"/>
                <w:kern w:val="0"/>
                <w:sz w:val="21"/>
                <w:szCs w:val="21"/>
                <w:highlight w:val="none"/>
                <w:lang w:val="en-US" w:eastAsia="zh-CN"/>
              </w:rPr>
              <w:t>三年</w:t>
            </w:r>
          </w:p>
        </w:tc>
        <w:tc>
          <w:tcPr>
            <w:tcW w:w="377" w:type="pct"/>
            <w:vAlign w:val="center"/>
          </w:tcPr>
          <w:p w14:paraId="64587CE5">
            <w:pPr>
              <w:keepNext w:val="0"/>
              <w:keepLines w:val="0"/>
              <w:pageBreakBefore w:val="0"/>
              <w:widowControl w:val="0"/>
              <w:kinsoku/>
              <w:wordWrap/>
              <w:overflowPunct/>
              <w:topLinePunct/>
              <w:autoSpaceDE/>
              <w:autoSpaceDN/>
              <w:bidi w:val="0"/>
              <w:adjustRightInd w:val="0"/>
              <w:snapToGrid w:val="0"/>
              <w:spacing w:line="240" w:lineRule="auto"/>
              <w:ind w:firstLine="0" w:firstLineChars="0"/>
              <w:jc w:val="center"/>
              <w:textAlignment w:val="auto"/>
              <w:rPr>
                <w:rFonts w:hint="default"/>
                <w:highlight w:val="none"/>
              </w:rPr>
            </w:pPr>
            <w:r>
              <w:rPr>
                <w:rFonts w:hint="eastAsia" w:eastAsia="宋体" w:cs="Times New Roman"/>
                <w:color w:val="auto"/>
                <w:kern w:val="0"/>
                <w:sz w:val="21"/>
                <w:szCs w:val="21"/>
                <w:highlight w:val="none"/>
                <w:lang w:val="en-US" w:eastAsia="zh-CN"/>
              </w:rPr>
              <w:t>T</w:t>
            </w:r>
          </w:p>
        </w:tc>
        <w:tc>
          <w:tcPr>
            <w:tcW w:w="613" w:type="pct"/>
            <w:vMerge w:val="continue"/>
            <w:vAlign w:val="center"/>
          </w:tcPr>
          <w:p w14:paraId="6BC77C8D">
            <w:pPr>
              <w:pStyle w:val="58"/>
              <w:bidi w:val="0"/>
              <w:rPr>
                <w:rFonts w:hint="default"/>
                <w:highlight w:val="none"/>
              </w:rPr>
            </w:pPr>
          </w:p>
        </w:tc>
      </w:tr>
    </w:tbl>
    <w:p w14:paraId="46918DBC">
      <w:pPr>
        <w:rPr>
          <w:rFonts w:hint="default"/>
          <w:highlight w:val="none"/>
        </w:rPr>
      </w:pPr>
      <w:r>
        <w:rPr>
          <w:rFonts w:hint="default"/>
          <w:highlight w:val="none"/>
        </w:rPr>
        <w:t>为防止危险废物在厂内临时存储过程中对环境产生污染影响，根据《危险废物贮存污染控制标准》(GB18597-20</w:t>
      </w:r>
      <w:r>
        <w:rPr>
          <w:rFonts w:hint="eastAsia"/>
          <w:highlight w:val="none"/>
          <w:lang w:val="en-US" w:eastAsia="zh-CN"/>
        </w:rPr>
        <w:t>23</w:t>
      </w:r>
      <w:r>
        <w:rPr>
          <w:rFonts w:hint="default"/>
          <w:highlight w:val="none"/>
        </w:rPr>
        <w:t>)中的相关内容，本项目拟采取以下措施：</w:t>
      </w:r>
    </w:p>
    <w:p w14:paraId="7F2FFF52">
      <w:pPr>
        <w:rPr>
          <w:rFonts w:hint="default"/>
          <w:highlight w:val="none"/>
          <w:lang w:val="en-US" w:eastAsia="zh-CN"/>
        </w:rPr>
      </w:pPr>
      <w:r>
        <w:rPr>
          <w:rFonts w:hint="default"/>
          <w:highlight w:val="none"/>
          <w:lang w:val="en-US" w:eastAsia="zh-CN"/>
        </w:rPr>
        <w:t>ⅰ危险废物的储存</w:t>
      </w:r>
    </w:p>
    <w:p w14:paraId="030A724E">
      <w:pPr>
        <w:rPr>
          <w:rFonts w:hint="default"/>
          <w:highlight w:val="none"/>
          <w:lang w:val="en-US" w:eastAsia="zh-CN"/>
        </w:rPr>
      </w:pPr>
      <w:r>
        <w:rPr>
          <w:rFonts w:hint="default"/>
          <w:highlight w:val="none"/>
          <w:lang w:val="en-US" w:eastAsia="zh-CN"/>
        </w:rPr>
        <w:t>须设置专门的危险废物储存设施进行储存，并设立危险废物标志；或委托具有专门危险废物储存的单位进行储存，储存期限不得超过国家规定。</w:t>
      </w:r>
    </w:p>
    <w:p w14:paraId="1908CBF3">
      <w:pPr>
        <w:rPr>
          <w:rFonts w:hint="default"/>
          <w:highlight w:val="none"/>
          <w:lang w:val="en-US" w:eastAsia="zh-CN"/>
        </w:rPr>
      </w:pPr>
      <w:r>
        <w:rPr>
          <w:rFonts w:hint="default"/>
          <w:highlight w:val="none"/>
          <w:lang w:val="en-US" w:eastAsia="zh-CN"/>
        </w:rPr>
        <w:t>装运危险废物的容器应根据危险废物的不同特性而设计，不得破损、变形、老化，能有效地防止渗透、扩散。装有危险废物的容器必须贴有标签。</w:t>
      </w:r>
    </w:p>
    <w:p w14:paraId="46CBDDF3">
      <w:pPr>
        <w:rPr>
          <w:rFonts w:hint="default"/>
          <w:highlight w:val="none"/>
        </w:rPr>
      </w:pPr>
      <w:r>
        <w:rPr>
          <w:rFonts w:hint="default"/>
          <w:highlight w:val="none"/>
        </w:rPr>
        <w:t>由专人对危废进行管理，并做好危险废物进出厂及处置情况的记录，记录上须注明危险废物的名称、来源、数量、特性和包装容器的类别、入库日期、存放库位、废物出库日期及接收单位名称等。</w:t>
      </w:r>
    </w:p>
    <w:p w14:paraId="1A770ADE">
      <w:pPr>
        <w:rPr>
          <w:rFonts w:hint="default"/>
          <w:highlight w:val="none"/>
          <w:lang w:val="en-US" w:eastAsia="zh-CN"/>
        </w:rPr>
      </w:pPr>
      <w:r>
        <w:rPr>
          <w:rFonts w:hint="default"/>
          <w:highlight w:val="none"/>
          <w:lang w:val="en-US" w:eastAsia="zh-CN"/>
        </w:rPr>
        <w:t>ⅱ危险废物的处理</w:t>
      </w:r>
    </w:p>
    <w:p w14:paraId="1DC74138">
      <w:pPr>
        <w:rPr>
          <w:rFonts w:hint="default"/>
          <w:highlight w:val="none"/>
        </w:rPr>
      </w:pPr>
      <w:r>
        <w:rPr>
          <w:rFonts w:hint="default"/>
          <w:highlight w:val="none"/>
        </w:rPr>
        <w:t>危险废物</w:t>
      </w:r>
      <w:r>
        <w:rPr>
          <w:rFonts w:hint="default"/>
          <w:highlight w:val="none"/>
          <w:lang w:val="zh-CN"/>
        </w:rPr>
        <w:t>定期交有资质单位处置，并签订危废处置协议。</w:t>
      </w:r>
    </w:p>
    <w:p w14:paraId="6A5EB845">
      <w:pPr>
        <w:rPr>
          <w:rFonts w:hint="default"/>
          <w:highlight w:val="none"/>
          <w:lang w:val="en-US" w:eastAsia="zh-CN"/>
        </w:rPr>
      </w:pPr>
      <w:r>
        <w:rPr>
          <w:rFonts w:hint="default"/>
          <w:highlight w:val="none"/>
          <w:lang w:eastAsia="zh-CN"/>
        </w:rPr>
        <w:t>本项目</w:t>
      </w:r>
      <w:r>
        <w:rPr>
          <w:rFonts w:hint="default"/>
          <w:highlight w:val="none"/>
          <w:lang w:val="en-US" w:eastAsia="zh-CN"/>
        </w:rPr>
        <w:t>厂内</w:t>
      </w:r>
      <w:r>
        <w:rPr>
          <w:rFonts w:hint="default"/>
          <w:highlight w:val="none"/>
          <w:lang w:eastAsia="zh-CN"/>
        </w:rPr>
        <w:t>建</w:t>
      </w:r>
      <w:r>
        <w:rPr>
          <w:rFonts w:hint="default"/>
          <w:highlight w:val="none"/>
        </w:rPr>
        <w:t>一座危险废物贮存间</w:t>
      </w:r>
      <w:r>
        <w:rPr>
          <w:rFonts w:hint="eastAsia"/>
          <w:highlight w:val="none"/>
          <w:lang w:val="en-US" w:eastAsia="zh-CN"/>
        </w:rPr>
        <w:t>22.5</w:t>
      </w:r>
      <w:r>
        <w:rPr>
          <w:rFonts w:hint="default"/>
          <w:highlight w:val="none"/>
        </w:rPr>
        <w:t>m</w:t>
      </w:r>
      <w:r>
        <w:rPr>
          <w:rFonts w:hint="default"/>
          <w:highlight w:val="none"/>
          <w:vertAlign w:val="superscript"/>
        </w:rPr>
        <w:t>2</w:t>
      </w:r>
      <w:r>
        <w:rPr>
          <w:rFonts w:hint="default"/>
          <w:highlight w:val="none"/>
        </w:rPr>
        <w:t>，</w:t>
      </w:r>
      <w:r>
        <w:rPr>
          <w:rFonts w:hint="default"/>
          <w:highlight w:val="none"/>
          <w:lang w:val="en-US" w:eastAsia="zh-CN"/>
        </w:rPr>
        <w:t>危废间地面及裙角</w:t>
      </w:r>
      <w:r>
        <w:rPr>
          <w:rFonts w:hint="eastAsia"/>
          <w:highlight w:val="none"/>
          <w:lang w:val="en-US" w:eastAsia="zh-CN"/>
        </w:rPr>
        <w:t>做</w:t>
      </w:r>
      <w:r>
        <w:rPr>
          <w:rFonts w:hint="default"/>
          <w:highlight w:val="none"/>
          <w:lang w:val="en-US" w:eastAsia="zh-CN"/>
        </w:rPr>
        <w:t>防渗防腐处理，防渗系数≤10</w:t>
      </w:r>
      <w:r>
        <w:rPr>
          <w:rFonts w:hint="default"/>
          <w:highlight w:val="none"/>
          <w:vertAlign w:val="superscript"/>
          <w:lang w:val="en-US" w:eastAsia="zh-CN"/>
        </w:rPr>
        <w:t>-</w:t>
      </w:r>
      <w:r>
        <w:rPr>
          <w:rFonts w:hint="eastAsia"/>
          <w:highlight w:val="none"/>
          <w:vertAlign w:val="superscript"/>
          <w:lang w:val="en-US" w:eastAsia="zh-CN"/>
        </w:rPr>
        <w:t>7</w:t>
      </w:r>
      <w:r>
        <w:rPr>
          <w:rFonts w:hint="default"/>
          <w:highlight w:val="none"/>
          <w:lang w:val="en-US" w:eastAsia="zh-CN"/>
        </w:rPr>
        <w:t>cm/s，</w:t>
      </w:r>
      <w:r>
        <w:rPr>
          <w:rFonts w:hint="default" w:ascii="Times New Roman" w:hAnsi="Times New Roman" w:eastAsia="宋体" w:cs="Times New Roman"/>
          <w:highlight w:val="none"/>
          <w:lang w:val="en-US" w:eastAsia="zh-CN"/>
        </w:rPr>
        <w:t>要求做到防风、防雨、防晒、防渗漏。在危废间外设立危险废物标志，</w:t>
      </w:r>
      <w:r>
        <w:rPr>
          <w:rFonts w:hint="default"/>
          <w:highlight w:val="none"/>
          <w:lang w:val="en-US" w:eastAsia="zh-CN"/>
        </w:rPr>
        <w:t>最后委托有资质的单位按照相关规定对危险废物进行处理，由专人对危废进行管理，并做好危险废物进出厂及处置情况的记录，记录上须注明危险废物的名称、来源、数量、特性和包装容器的类别、入库日期、存放库位、废物出库日期及接收单位名称等。</w:t>
      </w:r>
    </w:p>
    <w:p w14:paraId="76C3F852">
      <w:pPr>
        <w:rPr>
          <w:rFonts w:hint="default"/>
          <w:highlight w:val="none"/>
          <w:lang w:val="en-US" w:eastAsia="zh-CN"/>
        </w:rPr>
      </w:pPr>
      <w:r>
        <w:rPr>
          <w:rFonts w:hint="default"/>
          <w:highlight w:val="none"/>
          <w:lang w:val="en-US" w:eastAsia="zh-CN"/>
        </w:rPr>
        <w:t>危废暂存间内划定储存分区，各危险废物设置</w:t>
      </w:r>
      <w:r>
        <w:rPr>
          <w:rFonts w:hint="eastAsia"/>
          <w:highlight w:val="none"/>
          <w:lang w:val="en-US" w:eastAsia="zh-CN"/>
        </w:rPr>
        <w:t>隔</w:t>
      </w:r>
      <w:r>
        <w:rPr>
          <w:rFonts w:hint="default"/>
          <w:highlight w:val="none"/>
          <w:lang w:val="en-US" w:eastAsia="zh-CN"/>
        </w:rPr>
        <w:t>挡，分类储存。</w:t>
      </w:r>
    </w:p>
    <w:p w14:paraId="7BDA75F9">
      <w:pPr>
        <w:rPr>
          <w:rFonts w:hint="default"/>
          <w:highlight w:val="none"/>
          <w:lang w:val="en-US" w:eastAsia="zh-CN"/>
        </w:rPr>
      </w:pPr>
      <w:r>
        <w:rPr>
          <w:rFonts w:hint="default"/>
          <w:highlight w:val="none"/>
          <w:lang w:val="en-US" w:eastAsia="zh-CN"/>
        </w:rPr>
        <w:t>危险固体废物暂存间须设立危险物警示标志，由专人进行管理，并做好危险废物排放量及处置记录。</w:t>
      </w:r>
    </w:p>
    <w:p w14:paraId="58DCFA7A">
      <w:pPr>
        <w:rPr>
          <w:rFonts w:hint="default"/>
          <w:highlight w:val="none"/>
          <w:lang w:val="en-US" w:eastAsia="zh-CN"/>
        </w:rPr>
      </w:pPr>
      <w:r>
        <w:rPr>
          <w:rFonts w:hint="default"/>
          <w:highlight w:val="none"/>
          <w:lang w:val="en-US" w:eastAsia="zh-CN"/>
        </w:rPr>
        <w:t>同时，危险废物转移过程应按《危险废物转移联单管理办法》执行。</w:t>
      </w:r>
    </w:p>
    <w:p w14:paraId="32A9D792">
      <w:pPr>
        <w:rPr>
          <w:rFonts w:hint="default"/>
          <w:highlight w:val="none"/>
          <w:lang w:val="en-US" w:eastAsia="zh-CN"/>
        </w:rPr>
      </w:pPr>
      <w:r>
        <w:rPr>
          <w:rFonts w:hint="default"/>
          <w:highlight w:val="none"/>
          <w:lang w:val="en-US" w:eastAsia="zh-CN"/>
        </w:rPr>
        <w:t>（3）生活垃圾</w:t>
      </w:r>
    </w:p>
    <w:p w14:paraId="0912756C">
      <w:pPr>
        <w:rPr>
          <w:rFonts w:hint="default"/>
          <w:highlight w:val="none"/>
          <w:lang w:val="en-US" w:eastAsia="zh-CN"/>
        </w:rPr>
      </w:pPr>
      <w:r>
        <w:rPr>
          <w:rFonts w:hint="default"/>
          <w:highlight w:val="none"/>
          <w:lang w:val="en-US" w:eastAsia="zh-CN"/>
        </w:rPr>
        <w:t>本项目新增职工</w:t>
      </w:r>
      <w:r>
        <w:rPr>
          <w:rFonts w:hint="eastAsia"/>
          <w:highlight w:val="none"/>
          <w:lang w:val="en-US" w:eastAsia="zh-CN"/>
        </w:rPr>
        <w:t>2人</w:t>
      </w:r>
      <w:r>
        <w:rPr>
          <w:rFonts w:hint="default"/>
          <w:highlight w:val="none"/>
          <w:lang w:val="en-US" w:eastAsia="zh-CN"/>
        </w:rPr>
        <w:t>，因此新增生活垃圾</w:t>
      </w:r>
      <w:r>
        <w:rPr>
          <w:rFonts w:hint="eastAsia"/>
          <w:highlight w:val="none"/>
          <w:lang w:val="en-US" w:eastAsia="zh-CN"/>
        </w:rPr>
        <w:t>1kg/d(0.365t/a)</w:t>
      </w:r>
      <w:r>
        <w:rPr>
          <w:rFonts w:hint="default"/>
          <w:highlight w:val="none"/>
          <w:lang w:val="en-US" w:eastAsia="zh-CN"/>
        </w:rPr>
        <w:t>，分类收集，委托环卫部门统一处理。</w:t>
      </w:r>
    </w:p>
    <w:p w14:paraId="20A0EB36">
      <w:pPr>
        <w:keepNext w:val="0"/>
        <w:keepLines w:val="0"/>
        <w:pageBreakBefore w:val="0"/>
        <w:widowControl w:val="0"/>
        <w:kinsoku/>
        <w:wordWrap/>
        <w:overflowPunct/>
        <w:topLinePunct w:val="0"/>
        <w:autoSpaceDE/>
        <w:autoSpaceDN/>
        <w:bidi w:val="0"/>
        <w:adjustRightInd/>
        <w:snapToGrid/>
        <w:spacing w:line="480" w:lineRule="exact"/>
        <w:ind w:firstLine="468" w:firstLineChars="200"/>
        <w:jc w:val="left"/>
        <w:textAlignment w:val="auto"/>
        <w:rPr>
          <w:rFonts w:hint="default" w:ascii="Times New Roman" w:hAnsi="Times New Roman" w:eastAsia="宋体" w:cs="Times New Roman"/>
          <w:spacing w:val="-2"/>
          <w:sz w:val="24"/>
          <w:szCs w:val="24"/>
          <w:highlight w:val="none"/>
        </w:rPr>
      </w:pPr>
      <w:r>
        <w:rPr>
          <w:rFonts w:hint="default" w:ascii="Times New Roman" w:hAnsi="Times New Roman" w:eastAsia="宋体" w:cs="Times New Roman"/>
          <w:spacing w:val="-3"/>
          <w:sz w:val="24"/>
          <w:szCs w:val="24"/>
          <w:highlight w:val="none"/>
        </w:rPr>
        <w:t>综上所述，本项目一般工业固体废物、危险废物以及职工生活垃圾均可得到</w:t>
      </w:r>
      <w:r>
        <w:rPr>
          <w:rFonts w:hint="eastAsia" w:cs="Times New Roman"/>
          <w:spacing w:val="-3"/>
          <w:sz w:val="24"/>
          <w:szCs w:val="24"/>
          <w:highlight w:val="none"/>
          <w:lang w:eastAsia="zh-CN"/>
        </w:rPr>
        <w:t>合理地</w:t>
      </w:r>
      <w:r>
        <w:rPr>
          <w:rFonts w:hint="default" w:ascii="Times New Roman" w:hAnsi="Times New Roman" w:eastAsia="宋体" w:cs="Times New Roman"/>
          <w:spacing w:val="-2"/>
          <w:sz w:val="24"/>
          <w:szCs w:val="24"/>
          <w:highlight w:val="none"/>
        </w:rPr>
        <w:t>处置，对周围环境影响很小。</w:t>
      </w:r>
    </w:p>
    <w:p w14:paraId="7B46EDE7">
      <w:pPr>
        <w:pStyle w:val="6"/>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w:t>
      </w:r>
      <w:r>
        <w:rPr>
          <w:rFonts w:hint="eastAsia" w:cs="Times New Roman"/>
          <w:color w:val="000000" w:themeColor="text1"/>
          <w:sz w:val="24"/>
          <w:szCs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.5防渗</w:t>
      </w:r>
    </w:p>
    <w:p w14:paraId="6A1573D7">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both"/>
        <w:textAlignment w:val="auto"/>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根据《环境影响评价技术导则地下水环境》(HJ610-2016)，拟建工程污染防治分区情况如下：</w:t>
      </w:r>
    </w:p>
    <w:p w14:paraId="6743D20F">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both"/>
        <w:textAlignment w:val="auto"/>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pPr>
      <w:bookmarkStart w:id="217" w:name="OLE_LINK43"/>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⑴重点防渗区</w:t>
      </w:r>
    </w:p>
    <w:p w14:paraId="1802CE8E">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both"/>
        <w:textAlignment w:val="auto"/>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本项目重点防渗区主要包括危废间等。</w:t>
      </w:r>
    </w:p>
    <w:p w14:paraId="040B47EE">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both"/>
        <w:textAlignment w:val="auto"/>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危废间：最底层采用夯实黏土，地面底层为水泥砂浆，防渗层为2mm厚高密度聚乙烯防渗层，最后以抗渗混凝土做地面，表面无裂隙，渗透系数≤1×10</w:t>
      </w:r>
      <w:r>
        <w:rPr>
          <w:rFonts w:hint="default" w:ascii="Times New Roman" w:hAnsi="Times New Roman" w:eastAsia="宋体" w:cs="Times New Roman"/>
          <w:b w:val="0"/>
          <w:bCs w:val="0"/>
          <w:color w:val="000000" w:themeColor="text1"/>
          <w:sz w:val="24"/>
          <w:highlight w:val="none"/>
          <w:vertAlign w:val="superscript"/>
          <w:lang w:val="en-US" w:eastAsia="zh-CN"/>
          <w14:textFill>
            <w14:solidFill>
              <w14:schemeClr w14:val="tx1"/>
            </w14:solidFill>
          </w14:textFill>
        </w:rPr>
        <w:t>-10</w:t>
      </w: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cm/s。危废间内设围堰（高度为</w:t>
      </w:r>
      <w:r>
        <w:rPr>
          <w:rFonts w:hint="eastAsia" w:cs="Times New Roman"/>
          <w:b w:val="0"/>
          <w:bCs w:val="0"/>
          <w:color w:val="000000" w:themeColor="text1"/>
          <w:sz w:val="24"/>
          <w:highlight w:val="none"/>
          <w:lang w:val="en-US" w:eastAsia="zh-CN"/>
          <w14:textFill>
            <w14:solidFill>
              <w14:schemeClr w14:val="tx1"/>
            </w14:solidFill>
          </w14:textFill>
        </w:rPr>
        <w:t>2</w:t>
      </w: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0cm），围堰及裙体均涂刷玻璃钢进行防腐防渗。</w:t>
      </w:r>
    </w:p>
    <w:p w14:paraId="489F7EAC">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both"/>
        <w:textAlignment w:val="auto"/>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⑵一般防渗区</w:t>
      </w:r>
    </w:p>
    <w:p w14:paraId="175CF99C">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both"/>
        <w:textAlignment w:val="auto"/>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一般防渗区包括</w:t>
      </w:r>
      <w:r>
        <w:rPr>
          <w:rFonts w:hint="default" w:ascii="Times New Roman" w:hAnsi="Times New Roman" w:eastAsia="宋体" w:cs="Times New Roman"/>
          <w:spacing w:val="-9"/>
          <w:sz w:val="24"/>
          <w:szCs w:val="24"/>
          <w:highlight w:val="none"/>
        </w:rPr>
        <w:t>各污水处理构筑物池体、</w:t>
      </w:r>
      <w:r>
        <w:rPr>
          <w:rFonts w:hint="eastAsia"/>
          <w:highlight w:val="none"/>
          <w:lang w:val="en-US" w:eastAsia="zh-CN"/>
        </w:rPr>
        <w:t>污泥脱水间、</w:t>
      </w:r>
      <w:r>
        <w:rPr>
          <w:rFonts w:hint="default" w:ascii="Times New Roman" w:hAnsi="Times New Roman" w:eastAsia="宋体" w:cs="Times New Roman"/>
          <w:spacing w:val="-9"/>
          <w:sz w:val="24"/>
          <w:szCs w:val="24"/>
          <w:highlight w:val="none"/>
        </w:rPr>
        <w:t>泵房、</w:t>
      </w:r>
      <w:r>
        <w:rPr>
          <w:rFonts w:hint="default" w:ascii="Times New Roman" w:hAnsi="Times New Roman" w:eastAsia="宋体" w:cs="Times New Roman"/>
          <w:spacing w:val="-9"/>
          <w:sz w:val="24"/>
          <w:szCs w:val="24"/>
          <w:highlight w:val="none"/>
          <w:lang w:val="en-US" w:eastAsia="zh-CN"/>
        </w:rPr>
        <w:t>配电室</w:t>
      </w:r>
      <w:r>
        <w:rPr>
          <w:rFonts w:hint="default" w:ascii="Times New Roman" w:hAnsi="Times New Roman" w:eastAsia="宋体" w:cs="Times New Roman"/>
          <w:spacing w:val="-9"/>
          <w:sz w:val="24"/>
          <w:szCs w:val="24"/>
          <w:highlight w:val="none"/>
        </w:rPr>
        <w:t>、</w:t>
      </w:r>
      <w:r>
        <w:rPr>
          <w:rFonts w:hint="default" w:ascii="Times New Roman" w:hAnsi="Times New Roman" w:eastAsia="宋体" w:cs="Times New Roman"/>
          <w:spacing w:val="-9"/>
          <w:sz w:val="24"/>
          <w:szCs w:val="24"/>
          <w:highlight w:val="none"/>
          <w:lang w:val="en-US" w:eastAsia="zh-CN"/>
        </w:rPr>
        <w:t>加药间</w:t>
      </w:r>
      <w:r>
        <w:rPr>
          <w:rFonts w:hint="default" w:ascii="Times New Roman" w:hAnsi="Times New Roman" w:eastAsia="宋体" w:cs="Times New Roman"/>
          <w:spacing w:val="-10"/>
          <w:sz w:val="24"/>
          <w:szCs w:val="24"/>
          <w:highlight w:val="none"/>
        </w:rPr>
        <w:t>、</w:t>
      </w:r>
      <w:r>
        <w:rPr>
          <w:rFonts w:hint="default" w:ascii="Times New Roman" w:hAnsi="Times New Roman" w:eastAsia="宋体" w:cs="Times New Roman"/>
          <w:spacing w:val="-10"/>
          <w:sz w:val="24"/>
          <w:szCs w:val="24"/>
          <w:highlight w:val="none"/>
          <w:lang w:val="en-US" w:eastAsia="zh-CN"/>
        </w:rPr>
        <w:t>鼓风机房等</w:t>
      </w:r>
      <w:r>
        <w:rPr>
          <w:rFonts w:hint="default" w:ascii="Times New Roman" w:hAnsi="Times New Roman" w:eastAsia="宋体" w:cs="Times New Roman"/>
          <w:spacing w:val="-3"/>
          <w:sz w:val="24"/>
          <w:szCs w:val="24"/>
          <w:highlight w:val="none"/>
        </w:rPr>
        <w:t>区域</w:t>
      </w: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，要求基础进行防渗，防渗层等效1.5m厚的粘土层，地面采用抗渗混凝土硬化，渗透系数≤10</w:t>
      </w:r>
      <w:r>
        <w:rPr>
          <w:rFonts w:hint="default" w:ascii="Times New Roman" w:hAnsi="Times New Roman" w:eastAsia="宋体" w:cs="Times New Roman"/>
          <w:b w:val="0"/>
          <w:bCs w:val="0"/>
          <w:color w:val="000000" w:themeColor="text1"/>
          <w:sz w:val="24"/>
          <w:highlight w:val="none"/>
          <w:vertAlign w:val="superscript"/>
          <w:lang w:val="en-US" w:eastAsia="zh-CN"/>
          <w14:textFill>
            <w14:solidFill>
              <w14:schemeClr w14:val="tx1"/>
            </w14:solidFill>
          </w14:textFill>
        </w:rPr>
        <w:t>-7</w:t>
      </w: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cm/s。</w:t>
      </w:r>
    </w:p>
    <w:p w14:paraId="4B53F13F">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both"/>
        <w:textAlignment w:val="auto"/>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t>⑶简单防渗区</w:t>
      </w:r>
    </w:p>
    <w:p w14:paraId="69A1506B">
      <w:pPr>
        <w:rPr>
          <w:rFonts w:hint="default"/>
          <w:highlight w:val="none"/>
          <w:lang w:val="en-US" w:eastAsia="zh-CN"/>
        </w:rPr>
      </w:pPr>
      <w:r>
        <w:rPr>
          <w:rFonts w:hint="default"/>
          <w:highlight w:val="none"/>
          <w:lang w:val="en-US" w:eastAsia="zh-CN"/>
        </w:rPr>
        <w:t>指一般不会对地下水环境造成污染的区域，主要包括厂区除绿化区域以外地面等，该区域不做专门的防渗处理，地面一般硬化即可。</w:t>
      </w:r>
    </w:p>
    <w:bookmarkEnd w:id="217"/>
    <w:p w14:paraId="62B67232">
      <w:pPr>
        <w:pStyle w:val="7"/>
        <w:bidi w:val="0"/>
        <w:rPr>
          <w:rFonts w:hint="default"/>
          <w:highlight w:val="none"/>
        </w:rPr>
      </w:pPr>
      <w:bookmarkStart w:id="218" w:name="_Toc15152"/>
      <w:r>
        <w:rPr>
          <w:rFonts w:hint="default"/>
          <w:highlight w:val="none"/>
        </w:rPr>
        <w:t>3.</w:t>
      </w:r>
      <w:r>
        <w:rPr>
          <w:rFonts w:hint="default"/>
          <w:highlight w:val="none"/>
          <w:lang w:val="en-US" w:eastAsia="zh-CN"/>
        </w:rPr>
        <w:t>4</w:t>
      </w:r>
      <w:r>
        <w:rPr>
          <w:rFonts w:hint="default"/>
          <w:highlight w:val="none"/>
        </w:rPr>
        <w:t>非正常工况分析</w:t>
      </w:r>
      <w:bookmarkEnd w:id="218"/>
    </w:p>
    <w:bookmarkEnd w:id="205"/>
    <w:p w14:paraId="2E5BB07F">
      <w:pPr>
        <w:rPr>
          <w:rFonts w:hint="default"/>
          <w:highlight w:val="none"/>
          <w:lang w:val="en-US" w:eastAsia="zh-CN"/>
        </w:rPr>
      </w:pPr>
      <w:bookmarkStart w:id="219" w:name="_Toc390963177"/>
      <w:r>
        <w:rPr>
          <w:rFonts w:hint="default"/>
          <w:highlight w:val="none"/>
          <w:lang w:val="en-US" w:eastAsia="zh-CN"/>
        </w:rPr>
        <w:t>（1）非正常生产状况下废水污染源及防治措施</w:t>
      </w:r>
    </w:p>
    <w:p w14:paraId="3E500DFF">
      <w:pPr>
        <w:rPr>
          <w:rFonts w:hint="default"/>
          <w:highlight w:val="none"/>
        </w:rPr>
      </w:pPr>
      <w:r>
        <w:rPr>
          <w:rFonts w:hint="default"/>
          <w:highlight w:val="none"/>
        </w:rPr>
        <w:t>根据有关资料，一般污水处理厂运营期发生事故性排放的原因有以下几种：</w:t>
      </w:r>
    </w:p>
    <w:p w14:paraId="5CC258C7">
      <w:pPr>
        <w:rPr>
          <w:rFonts w:hint="default"/>
          <w:highlight w:val="none"/>
        </w:rPr>
      </w:pPr>
      <w:r>
        <w:rPr>
          <w:rFonts w:hint="default"/>
          <w:highlight w:val="none"/>
        </w:rPr>
        <w:t>①由于排水的不均匀性，导致进厂污水水量超过设计能力，污水停留时间较少，污染负荷去除率低于设计去除率；另外，进厂污水水质负荷变化，有毒物质浓度升高，也会导致污水处理厂去除率下降，尾水超标排放。</w:t>
      </w:r>
    </w:p>
    <w:p w14:paraId="54FB6FD5">
      <w:pPr>
        <w:rPr>
          <w:rFonts w:hint="default"/>
          <w:highlight w:val="none"/>
        </w:rPr>
      </w:pPr>
      <w:r>
        <w:rPr>
          <w:rFonts w:hint="default"/>
          <w:highlight w:val="none"/>
        </w:rPr>
        <w:t>②温度异常，尤其是冬季，温度低，可导致生化处理效率下降。</w:t>
      </w:r>
    </w:p>
    <w:p w14:paraId="689C0E09">
      <w:pPr>
        <w:rPr>
          <w:rFonts w:hint="default"/>
          <w:highlight w:val="none"/>
        </w:rPr>
      </w:pPr>
      <w:r>
        <w:rPr>
          <w:rFonts w:hint="default"/>
          <w:highlight w:val="none"/>
        </w:rPr>
        <w:t>③污水处理厂停电、机械故障，将导致事故性排放。</w:t>
      </w:r>
    </w:p>
    <w:p w14:paraId="2BCBF80E">
      <w:pPr>
        <w:rPr>
          <w:rFonts w:hint="default"/>
          <w:highlight w:val="none"/>
        </w:rPr>
      </w:pPr>
      <w:r>
        <w:rPr>
          <w:rFonts w:hint="default"/>
          <w:highlight w:val="none"/>
        </w:rPr>
        <w:t>④操作不当，污水处理系统运行不正常，使得生化效率下降，出现事故性排放。项目建成后一旦发生事故，所收集的污水将不能达标排放。若这时污水进入</w:t>
      </w:r>
      <w:r>
        <w:rPr>
          <w:rFonts w:hint="default"/>
          <w:highlight w:val="none"/>
          <w:lang w:val="en-US" w:eastAsia="zh-CN"/>
        </w:rPr>
        <w:t>沟渠</w:t>
      </w:r>
      <w:r>
        <w:rPr>
          <w:rFonts w:hint="default"/>
          <w:highlight w:val="none"/>
        </w:rPr>
        <w:t>会对</w:t>
      </w:r>
      <w:r>
        <w:rPr>
          <w:rFonts w:hint="default"/>
          <w:highlight w:val="none"/>
          <w:lang w:val="en-US" w:eastAsia="zh-CN"/>
        </w:rPr>
        <w:t>附近水体</w:t>
      </w:r>
      <w:r>
        <w:rPr>
          <w:rFonts w:hint="default"/>
          <w:highlight w:val="none"/>
        </w:rPr>
        <w:t>水质带来不利影响。本次评价废水非正常工况为所有设施全部不能正常运转，污水不经处理直接排入</w:t>
      </w:r>
      <w:r>
        <w:rPr>
          <w:rFonts w:hint="default"/>
          <w:highlight w:val="none"/>
          <w:lang w:val="en-US" w:eastAsia="zh-CN"/>
        </w:rPr>
        <w:t>附近沟渠</w:t>
      </w:r>
      <w:r>
        <w:rPr>
          <w:rFonts w:hint="default"/>
          <w:highlight w:val="none"/>
        </w:rPr>
        <w:t>的情况。按事故发生时间为1天计算，则污染物排放情况见下表。</w:t>
      </w:r>
    </w:p>
    <w:p w14:paraId="2BD01803">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sz w:val="24"/>
          <w:szCs w:val="24"/>
          <w:highlight w:val="none"/>
        </w:rPr>
      </w:pPr>
      <w:r>
        <w:rPr>
          <w:rFonts w:hint="default" w:ascii="Times New Roman" w:hAnsi="Times New Roman" w:eastAsia="宋体" w:cs="Times New Roman"/>
          <w:b/>
          <w:bCs/>
          <w:spacing w:val="-2"/>
          <w:sz w:val="24"/>
          <w:szCs w:val="24"/>
          <w:highlight w:val="none"/>
        </w:rPr>
        <w:t>表3.4-1非正常工况下废水排放情况一览表</w:t>
      </w:r>
    </w:p>
    <w:tbl>
      <w:tblPr>
        <w:tblStyle w:val="88"/>
        <w:tblW w:w="4998"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742"/>
        <w:gridCol w:w="1418"/>
        <w:gridCol w:w="1016"/>
        <w:gridCol w:w="1265"/>
        <w:gridCol w:w="1265"/>
        <w:gridCol w:w="1107"/>
        <w:gridCol w:w="1281"/>
      </w:tblGrid>
      <w:tr w14:paraId="1D11B7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57" w:type="pct"/>
            <w:tcBorders>
              <w:top w:val="single" w:color="000000" w:sz="10" w:space="0"/>
              <w:left w:val="single" w:color="000000" w:sz="10" w:space="0"/>
            </w:tcBorders>
            <w:vAlign w:val="top"/>
          </w:tcPr>
          <w:p w14:paraId="3F844293">
            <w:pPr>
              <w:pStyle w:val="58"/>
              <w:bidi w:val="0"/>
              <w:rPr>
                <w:rFonts w:hint="default"/>
                <w:highlight w:val="none"/>
              </w:rPr>
            </w:pPr>
            <w:r>
              <w:rPr>
                <w:rFonts w:hint="default"/>
                <w:highlight w:val="none"/>
              </w:rPr>
              <w:t>排放因子</w:t>
            </w:r>
          </w:p>
        </w:tc>
        <w:tc>
          <w:tcPr>
            <w:tcW w:w="779" w:type="pct"/>
            <w:tcBorders>
              <w:top w:val="single" w:color="000000" w:sz="10" w:space="0"/>
            </w:tcBorders>
            <w:vAlign w:val="top"/>
          </w:tcPr>
          <w:p w14:paraId="4F0FAD67">
            <w:pPr>
              <w:pStyle w:val="58"/>
              <w:bidi w:val="0"/>
              <w:rPr>
                <w:rFonts w:hint="default"/>
                <w:highlight w:val="none"/>
              </w:rPr>
            </w:pPr>
            <w:r>
              <w:rPr>
                <w:rFonts w:hint="default"/>
                <w:highlight w:val="none"/>
              </w:rPr>
              <w:t>COD</w:t>
            </w:r>
          </w:p>
        </w:tc>
        <w:tc>
          <w:tcPr>
            <w:tcW w:w="558" w:type="pct"/>
            <w:tcBorders>
              <w:top w:val="single" w:color="000000" w:sz="10" w:space="0"/>
            </w:tcBorders>
            <w:vAlign w:val="top"/>
          </w:tcPr>
          <w:p w14:paraId="14EF8DE9">
            <w:pPr>
              <w:pStyle w:val="58"/>
              <w:bidi w:val="0"/>
              <w:rPr>
                <w:rFonts w:hint="default"/>
                <w:highlight w:val="none"/>
                <w:lang w:eastAsia="zh-CN"/>
              </w:rPr>
            </w:pPr>
            <w:r>
              <w:rPr>
                <w:rFonts w:hint="eastAsia"/>
                <w:highlight w:val="none"/>
                <w:lang w:eastAsia="zh-CN"/>
              </w:rPr>
              <w:t>BOD</w:t>
            </w:r>
            <w:r>
              <w:rPr>
                <w:rFonts w:hint="eastAsia"/>
                <w:highlight w:val="none"/>
                <w:vertAlign w:val="subscript"/>
                <w:lang w:eastAsia="zh-CN"/>
              </w:rPr>
              <w:t>5</w:t>
            </w:r>
          </w:p>
        </w:tc>
        <w:tc>
          <w:tcPr>
            <w:tcW w:w="695" w:type="pct"/>
            <w:tcBorders>
              <w:top w:val="single" w:color="000000" w:sz="10" w:space="0"/>
            </w:tcBorders>
            <w:vAlign w:val="top"/>
          </w:tcPr>
          <w:p w14:paraId="6E54B6EE">
            <w:pPr>
              <w:pStyle w:val="58"/>
              <w:bidi w:val="0"/>
              <w:rPr>
                <w:rFonts w:hint="default"/>
                <w:highlight w:val="none"/>
              </w:rPr>
            </w:pPr>
            <w:r>
              <w:rPr>
                <w:rFonts w:hint="default"/>
                <w:highlight w:val="none"/>
              </w:rPr>
              <w:t>SS</w:t>
            </w:r>
          </w:p>
        </w:tc>
        <w:tc>
          <w:tcPr>
            <w:tcW w:w="695" w:type="pct"/>
            <w:tcBorders>
              <w:top w:val="single" w:color="000000" w:sz="10" w:space="0"/>
            </w:tcBorders>
            <w:vAlign w:val="top"/>
          </w:tcPr>
          <w:p w14:paraId="541B8B32">
            <w:pPr>
              <w:pStyle w:val="58"/>
              <w:bidi w:val="0"/>
              <w:rPr>
                <w:rFonts w:hint="default"/>
                <w:highlight w:val="none"/>
              </w:rPr>
            </w:pPr>
            <w:r>
              <w:rPr>
                <w:rFonts w:hint="default"/>
                <w:highlight w:val="none"/>
              </w:rPr>
              <w:t>TN</w:t>
            </w:r>
          </w:p>
        </w:tc>
        <w:tc>
          <w:tcPr>
            <w:tcW w:w="608" w:type="pct"/>
            <w:tcBorders>
              <w:top w:val="single" w:color="000000" w:sz="10" w:space="0"/>
            </w:tcBorders>
            <w:vAlign w:val="top"/>
          </w:tcPr>
          <w:p w14:paraId="007A9A9A">
            <w:pPr>
              <w:pStyle w:val="58"/>
              <w:bidi w:val="0"/>
              <w:rPr>
                <w:rFonts w:hint="default"/>
                <w:highlight w:val="none"/>
              </w:rPr>
            </w:pPr>
            <w:r>
              <w:rPr>
                <w:rFonts w:hint="default"/>
                <w:highlight w:val="none"/>
              </w:rPr>
              <w:t>氨氮</w:t>
            </w:r>
          </w:p>
        </w:tc>
        <w:tc>
          <w:tcPr>
            <w:tcW w:w="704" w:type="pct"/>
            <w:tcBorders>
              <w:top w:val="single" w:color="000000" w:sz="10" w:space="0"/>
              <w:right w:val="single" w:color="000000" w:sz="10" w:space="0"/>
            </w:tcBorders>
            <w:vAlign w:val="top"/>
          </w:tcPr>
          <w:p w14:paraId="47C8FB52">
            <w:pPr>
              <w:pStyle w:val="58"/>
              <w:bidi w:val="0"/>
              <w:rPr>
                <w:rFonts w:hint="default"/>
                <w:highlight w:val="none"/>
              </w:rPr>
            </w:pPr>
            <w:r>
              <w:rPr>
                <w:rFonts w:hint="default"/>
                <w:highlight w:val="none"/>
              </w:rPr>
              <w:t>TP</w:t>
            </w:r>
          </w:p>
        </w:tc>
      </w:tr>
      <w:tr w14:paraId="49E6E6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57" w:type="pct"/>
            <w:tcBorders>
              <w:left w:val="single" w:color="000000" w:sz="10" w:space="0"/>
            </w:tcBorders>
            <w:vAlign w:val="top"/>
          </w:tcPr>
          <w:p w14:paraId="471AF410">
            <w:pPr>
              <w:pStyle w:val="58"/>
              <w:bidi w:val="0"/>
              <w:rPr>
                <w:rFonts w:hint="default"/>
                <w:highlight w:val="none"/>
              </w:rPr>
            </w:pPr>
            <w:r>
              <w:rPr>
                <w:rFonts w:hint="default"/>
                <w:highlight w:val="none"/>
              </w:rPr>
              <w:t>浓度(mg/L)</w:t>
            </w:r>
          </w:p>
        </w:tc>
        <w:tc>
          <w:tcPr>
            <w:tcW w:w="779" w:type="pct"/>
            <w:vAlign w:val="top"/>
          </w:tcPr>
          <w:p w14:paraId="2AF49EFC">
            <w:pPr>
              <w:pStyle w:val="58"/>
              <w:bidi w:val="0"/>
              <w:rPr>
                <w:rFonts w:hint="default"/>
                <w:highlight w:val="none"/>
              </w:rPr>
            </w:pPr>
            <w:r>
              <w:rPr>
                <w:rFonts w:hint="default"/>
                <w:highlight w:val="none"/>
                <w:lang w:val="en-US" w:eastAsia="zh-CN"/>
              </w:rPr>
              <w:t>3</w:t>
            </w:r>
            <w:r>
              <w:rPr>
                <w:rFonts w:hint="default"/>
                <w:highlight w:val="none"/>
              </w:rPr>
              <w:t>50</w:t>
            </w:r>
          </w:p>
        </w:tc>
        <w:tc>
          <w:tcPr>
            <w:tcW w:w="558" w:type="pct"/>
            <w:vAlign w:val="top"/>
          </w:tcPr>
          <w:p w14:paraId="77606432">
            <w:pPr>
              <w:pStyle w:val="58"/>
              <w:bidi w:val="0"/>
              <w:rPr>
                <w:rFonts w:hint="default"/>
                <w:highlight w:val="none"/>
              </w:rPr>
            </w:pPr>
            <w:r>
              <w:rPr>
                <w:rFonts w:hint="default"/>
                <w:highlight w:val="none"/>
                <w:lang w:val="en-US" w:eastAsia="zh-CN"/>
              </w:rPr>
              <w:t>15</w:t>
            </w:r>
            <w:r>
              <w:rPr>
                <w:rFonts w:hint="default"/>
                <w:highlight w:val="none"/>
              </w:rPr>
              <w:t>0</w:t>
            </w:r>
          </w:p>
        </w:tc>
        <w:tc>
          <w:tcPr>
            <w:tcW w:w="695" w:type="pct"/>
            <w:vAlign w:val="top"/>
          </w:tcPr>
          <w:p w14:paraId="29CEC183">
            <w:pPr>
              <w:pStyle w:val="58"/>
              <w:bidi w:val="0"/>
              <w:rPr>
                <w:rFonts w:hint="default"/>
                <w:highlight w:val="none"/>
                <w:lang w:val="en-US" w:eastAsia="zh-CN"/>
              </w:rPr>
            </w:pPr>
            <w:r>
              <w:rPr>
                <w:rFonts w:hint="default"/>
                <w:highlight w:val="none"/>
                <w:lang w:val="en-US" w:eastAsia="zh-CN"/>
              </w:rPr>
              <w:t>250</w:t>
            </w:r>
          </w:p>
        </w:tc>
        <w:tc>
          <w:tcPr>
            <w:tcW w:w="695" w:type="pct"/>
            <w:vAlign w:val="top"/>
          </w:tcPr>
          <w:p w14:paraId="779D755B">
            <w:pPr>
              <w:pStyle w:val="58"/>
              <w:bidi w:val="0"/>
              <w:rPr>
                <w:rFonts w:hint="default"/>
                <w:highlight w:val="none"/>
                <w:lang w:val="en-US" w:eastAsia="zh-CN"/>
              </w:rPr>
            </w:pPr>
            <w:r>
              <w:rPr>
                <w:rFonts w:hint="default"/>
                <w:highlight w:val="none"/>
                <w:lang w:val="en-US" w:eastAsia="zh-CN"/>
              </w:rPr>
              <w:t>30</w:t>
            </w:r>
          </w:p>
        </w:tc>
        <w:tc>
          <w:tcPr>
            <w:tcW w:w="608" w:type="pct"/>
            <w:vAlign w:val="top"/>
          </w:tcPr>
          <w:p w14:paraId="579ECD07">
            <w:pPr>
              <w:pStyle w:val="58"/>
              <w:bidi w:val="0"/>
              <w:rPr>
                <w:rFonts w:hint="default"/>
                <w:highlight w:val="none"/>
              </w:rPr>
            </w:pPr>
            <w:r>
              <w:rPr>
                <w:rFonts w:hint="default"/>
                <w:highlight w:val="none"/>
                <w:lang w:val="en-US" w:eastAsia="zh-CN"/>
              </w:rPr>
              <w:t>4</w:t>
            </w:r>
            <w:r>
              <w:rPr>
                <w:rFonts w:hint="default"/>
                <w:highlight w:val="none"/>
              </w:rPr>
              <w:t>5</w:t>
            </w:r>
          </w:p>
        </w:tc>
        <w:tc>
          <w:tcPr>
            <w:tcW w:w="704" w:type="pct"/>
            <w:tcBorders>
              <w:right w:val="single" w:color="000000" w:sz="10" w:space="0"/>
            </w:tcBorders>
            <w:vAlign w:val="top"/>
          </w:tcPr>
          <w:p w14:paraId="343E1125">
            <w:pPr>
              <w:pStyle w:val="58"/>
              <w:bidi w:val="0"/>
              <w:rPr>
                <w:rFonts w:hint="default"/>
                <w:highlight w:val="none"/>
                <w:lang w:eastAsia="zh-CN"/>
              </w:rPr>
            </w:pPr>
            <w:r>
              <w:rPr>
                <w:rFonts w:hint="default"/>
                <w:highlight w:val="none"/>
                <w:lang w:val="en-US" w:eastAsia="zh-CN"/>
              </w:rPr>
              <w:t>8</w:t>
            </w:r>
          </w:p>
        </w:tc>
      </w:tr>
      <w:tr w14:paraId="223FBA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57" w:type="pct"/>
            <w:tcBorders>
              <w:left w:val="single" w:color="000000" w:sz="10" w:space="0"/>
            </w:tcBorders>
            <w:vAlign w:val="top"/>
          </w:tcPr>
          <w:p w14:paraId="196F6E88">
            <w:pPr>
              <w:pStyle w:val="58"/>
              <w:bidi w:val="0"/>
              <w:rPr>
                <w:rFonts w:hint="default"/>
                <w:highlight w:val="none"/>
              </w:rPr>
            </w:pPr>
            <w:r>
              <w:rPr>
                <w:rFonts w:hint="default"/>
                <w:highlight w:val="none"/>
              </w:rPr>
              <w:t>排放(t/次)</w:t>
            </w:r>
          </w:p>
        </w:tc>
        <w:tc>
          <w:tcPr>
            <w:tcW w:w="779" w:type="pct"/>
            <w:vAlign w:val="top"/>
          </w:tcPr>
          <w:p w14:paraId="75419512">
            <w:pPr>
              <w:pStyle w:val="58"/>
              <w:bidi w:val="0"/>
              <w:rPr>
                <w:rFonts w:hint="default"/>
                <w:highlight w:val="none"/>
              </w:rPr>
            </w:pPr>
            <w:r>
              <w:rPr>
                <w:rFonts w:hint="default"/>
                <w:highlight w:val="none"/>
                <w:lang w:val="en-US" w:eastAsia="zh-CN"/>
              </w:rPr>
              <w:t>0.0875</w:t>
            </w:r>
          </w:p>
        </w:tc>
        <w:tc>
          <w:tcPr>
            <w:tcW w:w="558" w:type="pct"/>
            <w:vAlign w:val="top"/>
          </w:tcPr>
          <w:p w14:paraId="42DEA6D3">
            <w:pPr>
              <w:pStyle w:val="58"/>
              <w:bidi w:val="0"/>
              <w:rPr>
                <w:rFonts w:hint="default"/>
                <w:highlight w:val="none"/>
              </w:rPr>
            </w:pPr>
            <w:r>
              <w:rPr>
                <w:rFonts w:hint="default"/>
                <w:highlight w:val="none"/>
                <w:lang w:val="en-US" w:eastAsia="zh-CN"/>
              </w:rPr>
              <w:t>0.0375</w:t>
            </w:r>
          </w:p>
        </w:tc>
        <w:tc>
          <w:tcPr>
            <w:tcW w:w="695" w:type="pct"/>
            <w:vAlign w:val="top"/>
          </w:tcPr>
          <w:p w14:paraId="2C6F3E19">
            <w:pPr>
              <w:pStyle w:val="58"/>
              <w:bidi w:val="0"/>
              <w:rPr>
                <w:rFonts w:hint="default"/>
                <w:highlight w:val="none"/>
              </w:rPr>
            </w:pPr>
            <w:r>
              <w:rPr>
                <w:rFonts w:hint="default"/>
                <w:highlight w:val="none"/>
                <w:lang w:val="en-US" w:eastAsia="zh-CN"/>
              </w:rPr>
              <w:t>0.0625</w:t>
            </w:r>
          </w:p>
        </w:tc>
        <w:tc>
          <w:tcPr>
            <w:tcW w:w="695" w:type="pct"/>
            <w:vAlign w:val="top"/>
          </w:tcPr>
          <w:p w14:paraId="51F76056">
            <w:pPr>
              <w:pStyle w:val="58"/>
              <w:bidi w:val="0"/>
              <w:rPr>
                <w:rFonts w:hint="default"/>
                <w:highlight w:val="none"/>
              </w:rPr>
            </w:pPr>
            <w:r>
              <w:rPr>
                <w:rFonts w:hint="default"/>
                <w:highlight w:val="none"/>
                <w:lang w:val="en-US" w:eastAsia="zh-CN"/>
              </w:rPr>
              <w:t>0.0075</w:t>
            </w:r>
          </w:p>
        </w:tc>
        <w:tc>
          <w:tcPr>
            <w:tcW w:w="608" w:type="pct"/>
            <w:vAlign w:val="top"/>
          </w:tcPr>
          <w:p w14:paraId="5735CE33">
            <w:pPr>
              <w:pStyle w:val="58"/>
              <w:bidi w:val="0"/>
              <w:rPr>
                <w:rFonts w:hint="default"/>
                <w:highlight w:val="none"/>
              </w:rPr>
            </w:pPr>
            <w:r>
              <w:rPr>
                <w:rFonts w:hint="default"/>
                <w:highlight w:val="none"/>
                <w:lang w:val="en-US" w:eastAsia="zh-CN"/>
              </w:rPr>
              <w:t>0.01125</w:t>
            </w:r>
          </w:p>
        </w:tc>
        <w:tc>
          <w:tcPr>
            <w:tcW w:w="704" w:type="pct"/>
            <w:tcBorders>
              <w:right w:val="single" w:color="000000" w:sz="10" w:space="0"/>
            </w:tcBorders>
            <w:vAlign w:val="top"/>
          </w:tcPr>
          <w:p w14:paraId="6044632B">
            <w:pPr>
              <w:pStyle w:val="58"/>
              <w:bidi w:val="0"/>
              <w:rPr>
                <w:rFonts w:hint="default"/>
                <w:highlight w:val="none"/>
              </w:rPr>
            </w:pPr>
            <w:r>
              <w:rPr>
                <w:rFonts w:hint="default"/>
                <w:highlight w:val="none"/>
                <w:lang w:val="en-US" w:eastAsia="zh-CN"/>
              </w:rPr>
              <w:t>0.002</w:t>
            </w:r>
          </w:p>
        </w:tc>
      </w:tr>
      <w:tr w14:paraId="4D9E33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57" w:type="pct"/>
            <w:tcBorders>
              <w:left w:val="single" w:color="000000" w:sz="10" w:space="0"/>
            </w:tcBorders>
            <w:vAlign w:val="top"/>
          </w:tcPr>
          <w:p w14:paraId="4C63DBA4">
            <w:pPr>
              <w:pStyle w:val="58"/>
              <w:bidi w:val="0"/>
              <w:rPr>
                <w:rFonts w:hint="default"/>
                <w:highlight w:val="none"/>
              </w:rPr>
            </w:pPr>
            <w:r>
              <w:rPr>
                <w:rFonts w:hint="default"/>
                <w:highlight w:val="none"/>
              </w:rPr>
              <w:t>排放因子</w:t>
            </w:r>
          </w:p>
        </w:tc>
        <w:tc>
          <w:tcPr>
            <w:tcW w:w="779" w:type="pct"/>
            <w:vAlign w:val="top"/>
          </w:tcPr>
          <w:p w14:paraId="3EF38918">
            <w:pPr>
              <w:pStyle w:val="58"/>
              <w:bidi w:val="0"/>
              <w:rPr>
                <w:rFonts w:hint="default"/>
                <w:highlight w:val="none"/>
              </w:rPr>
            </w:pPr>
            <w:r>
              <w:rPr>
                <w:rFonts w:hint="default"/>
                <w:highlight w:val="none"/>
              </w:rPr>
              <w:t>粪大肠菌群</w:t>
            </w:r>
          </w:p>
        </w:tc>
        <w:tc>
          <w:tcPr>
            <w:tcW w:w="558" w:type="pct"/>
            <w:vAlign w:val="top"/>
          </w:tcPr>
          <w:p w14:paraId="231A32BD">
            <w:pPr>
              <w:pStyle w:val="58"/>
              <w:bidi w:val="0"/>
              <w:rPr>
                <w:rFonts w:hint="default"/>
                <w:highlight w:val="none"/>
                <w:lang w:val="en-US" w:eastAsia="zh-CN"/>
              </w:rPr>
            </w:pPr>
            <w:r>
              <w:rPr>
                <w:rFonts w:hint="default"/>
                <w:highlight w:val="none"/>
              </w:rPr>
              <w:t>石油类</w:t>
            </w:r>
          </w:p>
        </w:tc>
        <w:tc>
          <w:tcPr>
            <w:tcW w:w="695" w:type="pct"/>
            <w:vAlign w:val="top"/>
          </w:tcPr>
          <w:p w14:paraId="45D9C76D">
            <w:pPr>
              <w:pStyle w:val="58"/>
              <w:bidi w:val="0"/>
              <w:rPr>
                <w:rFonts w:hint="default"/>
                <w:highlight w:val="none"/>
                <w:lang w:val="en-US" w:eastAsia="zh-CN"/>
              </w:rPr>
            </w:pPr>
            <w:r>
              <w:rPr>
                <w:rFonts w:hint="default"/>
                <w:highlight w:val="none"/>
              </w:rPr>
              <w:t>动植物油</w:t>
            </w:r>
          </w:p>
        </w:tc>
        <w:tc>
          <w:tcPr>
            <w:tcW w:w="695" w:type="pct"/>
            <w:vAlign w:val="top"/>
          </w:tcPr>
          <w:p w14:paraId="3D9DA5D2">
            <w:pPr>
              <w:pStyle w:val="58"/>
              <w:bidi w:val="0"/>
              <w:rPr>
                <w:rFonts w:hint="default"/>
                <w:highlight w:val="none"/>
                <w:lang w:val="en-US" w:eastAsia="zh-CN"/>
              </w:rPr>
            </w:pPr>
            <w:r>
              <w:rPr>
                <w:rFonts w:hint="default"/>
                <w:highlight w:val="none"/>
              </w:rPr>
              <w:t>LAS</w:t>
            </w:r>
          </w:p>
        </w:tc>
        <w:tc>
          <w:tcPr>
            <w:tcW w:w="608" w:type="pct"/>
            <w:vAlign w:val="top"/>
          </w:tcPr>
          <w:p w14:paraId="7B89A0F4">
            <w:pPr>
              <w:pStyle w:val="58"/>
              <w:bidi w:val="0"/>
              <w:rPr>
                <w:rFonts w:hint="default"/>
                <w:highlight w:val="none"/>
                <w:lang w:val="en-US" w:eastAsia="zh-CN"/>
              </w:rPr>
            </w:pPr>
            <w:r>
              <w:rPr>
                <w:rFonts w:hint="default"/>
                <w:highlight w:val="none"/>
              </w:rPr>
              <w:t>pH</w:t>
            </w:r>
          </w:p>
        </w:tc>
        <w:tc>
          <w:tcPr>
            <w:tcW w:w="704" w:type="pct"/>
            <w:tcBorders>
              <w:right w:val="single" w:color="000000" w:sz="10" w:space="0"/>
            </w:tcBorders>
            <w:vAlign w:val="top"/>
          </w:tcPr>
          <w:p w14:paraId="3544234C">
            <w:pPr>
              <w:pStyle w:val="58"/>
              <w:bidi w:val="0"/>
              <w:rPr>
                <w:rFonts w:hint="default"/>
                <w:highlight w:val="none"/>
              </w:rPr>
            </w:pPr>
          </w:p>
        </w:tc>
      </w:tr>
      <w:tr w14:paraId="5CBAAD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57" w:type="pct"/>
            <w:tcBorders>
              <w:left w:val="single" w:color="000000" w:sz="10" w:space="0"/>
            </w:tcBorders>
            <w:vAlign w:val="top"/>
          </w:tcPr>
          <w:p w14:paraId="5028FB9A">
            <w:pPr>
              <w:pStyle w:val="58"/>
              <w:bidi w:val="0"/>
              <w:rPr>
                <w:rFonts w:hint="default"/>
                <w:highlight w:val="none"/>
              </w:rPr>
            </w:pPr>
            <w:r>
              <w:rPr>
                <w:rFonts w:hint="default"/>
                <w:highlight w:val="none"/>
              </w:rPr>
              <w:t>浓度(mg/L)</w:t>
            </w:r>
          </w:p>
        </w:tc>
        <w:tc>
          <w:tcPr>
            <w:tcW w:w="779" w:type="pct"/>
            <w:vAlign w:val="top"/>
          </w:tcPr>
          <w:p w14:paraId="40886655">
            <w:pPr>
              <w:pStyle w:val="58"/>
              <w:bidi w:val="0"/>
              <w:rPr>
                <w:rFonts w:hint="default"/>
                <w:highlight w:val="none"/>
              </w:rPr>
            </w:pPr>
            <w:r>
              <w:rPr>
                <w:rFonts w:hint="default"/>
                <w:highlight w:val="none"/>
              </w:rPr>
              <w:t>10000</w:t>
            </w:r>
            <w:r>
              <w:rPr>
                <w:rFonts w:hint="default"/>
                <w:highlight w:val="none"/>
                <w:lang w:val="en-US" w:eastAsia="zh-CN"/>
              </w:rPr>
              <w:t>00</w:t>
            </w:r>
            <w:r>
              <w:rPr>
                <w:rFonts w:hint="default"/>
                <w:highlight w:val="none"/>
              </w:rPr>
              <w:t>（个/L）</w:t>
            </w:r>
          </w:p>
        </w:tc>
        <w:tc>
          <w:tcPr>
            <w:tcW w:w="558" w:type="pct"/>
            <w:vAlign w:val="top"/>
          </w:tcPr>
          <w:p w14:paraId="29313122">
            <w:pPr>
              <w:pStyle w:val="58"/>
              <w:bidi w:val="0"/>
              <w:rPr>
                <w:rFonts w:hint="default"/>
                <w:highlight w:val="none"/>
                <w:lang w:val="en-US" w:eastAsia="zh-CN"/>
              </w:rPr>
            </w:pPr>
            <w:r>
              <w:rPr>
                <w:rFonts w:hint="default"/>
                <w:highlight w:val="none"/>
              </w:rPr>
              <w:t>0.19</w:t>
            </w:r>
          </w:p>
        </w:tc>
        <w:tc>
          <w:tcPr>
            <w:tcW w:w="695" w:type="pct"/>
            <w:vAlign w:val="top"/>
          </w:tcPr>
          <w:p w14:paraId="5002AA4D">
            <w:pPr>
              <w:pStyle w:val="58"/>
              <w:bidi w:val="0"/>
              <w:rPr>
                <w:rFonts w:hint="default"/>
                <w:highlight w:val="none"/>
                <w:lang w:val="en-US" w:eastAsia="zh-CN"/>
              </w:rPr>
            </w:pPr>
            <w:r>
              <w:rPr>
                <w:rFonts w:hint="default"/>
                <w:highlight w:val="none"/>
              </w:rPr>
              <w:t>2.17</w:t>
            </w:r>
          </w:p>
        </w:tc>
        <w:tc>
          <w:tcPr>
            <w:tcW w:w="695" w:type="pct"/>
            <w:vAlign w:val="top"/>
          </w:tcPr>
          <w:p w14:paraId="47DBE689">
            <w:pPr>
              <w:pStyle w:val="58"/>
              <w:bidi w:val="0"/>
              <w:rPr>
                <w:rFonts w:hint="default"/>
                <w:highlight w:val="none"/>
                <w:lang w:val="en-US" w:eastAsia="zh-CN"/>
              </w:rPr>
            </w:pPr>
            <w:r>
              <w:rPr>
                <w:rFonts w:hint="default"/>
                <w:highlight w:val="none"/>
              </w:rPr>
              <w:t>1.81</w:t>
            </w:r>
          </w:p>
        </w:tc>
        <w:tc>
          <w:tcPr>
            <w:tcW w:w="608" w:type="pct"/>
            <w:vAlign w:val="top"/>
          </w:tcPr>
          <w:p w14:paraId="066ED58C">
            <w:pPr>
              <w:pStyle w:val="58"/>
              <w:bidi w:val="0"/>
              <w:rPr>
                <w:rFonts w:hint="default"/>
                <w:highlight w:val="none"/>
                <w:lang w:val="en-US" w:eastAsia="zh-CN"/>
              </w:rPr>
            </w:pPr>
            <w:r>
              <w:rPr>
                <w:rFonts w:hint="default"/>
                <w:highlight w:val="none"/>
              </w:rPr>
              <w:t>6-9</w:t>
            </w:r>
          </w:p>
        </w:tc>
        <w:tc>
          <w:tcPr>
            <w:tcW w:w="704" w:type="pct"/>
            <w:tcBorders>
              <w:right w:val="single" w:color="000000" w:sz="10" w:space="0"/>
            </w:tcBorders>
            <w:vAlign w:val="top"/>
          </w:tcPr>
          <w:p w14:paraId="3CC5975F">
            <w:pPr>
              <w:pStyle w:val="58"/>
              <w:bidi w:val="0"/>
              <w:rPr>
                <w:rFonts w:hint="default"/>
                <w:highlight w:val="none"/>
              </w:rPr>
            </w:pPr>
          </w:p>
        </w:tc>
      </w:tr>
      <w:tr w14:paraId="466CEA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57" w:type="pct"/>
            <w:tcBorders>
              <w:left w:val="single" w:color="000000" w:sz="10" w:space="0"/>
              <w:bottom w:val="single" w:color="000000" w:sz="10" w:space="0"/>
            </w:tcBorders>
            <w:vAlign w:val="top"/>
          </w:tcPr>
          <w:p w14:paraId="10845D08">
            <w:pPr>
              <w:pStyle w:val="58"/>
              <w:bidi w:val="0"/>
              <w:rPr>
                <w:rFonts w:hint="default"/>
                <w:highlight w:val="none"/>
              </w:rPr>
            </w:pPr>
            <w:r>
              <w:rPr>
                <w:rFonts w:hint="default"/>
                <w:highlight w:val="none"/>
              </w:rPr>
              <w:t>排放量(t/次)</w:t>
            </w:r>
          </w:p>
        </w:tc>
        <w:tc>
          <w:tcPr>
            <w:tcW w:w="779" w:type="pct"/>
            <w:tcBorders>
              <w:bottom w:val="single" w:color="000000" w:sz="10" w:space="0"/>
            </w:tcBorders>
            <w:vAlign w:val="top"/>
          </w:tcPr>
          <w:p w14:paraId="7D600679">
            <w:pPr>
              <w:pStyle w:val="58"/>
              <w:bidi w:val="0"/>
              <w:rPr>
                <w:rFonts w:hint="default"/>
                <w:highlight w:val="none"/>
              </w:rPr>
            </w:pPr>
            <w:r>
              <w:rPr>
                <w:rFonts w:hint="default"/>
                <w:highlight w:val="none"/>
              </w:rPr>
              <w:t>/</w:t>
            </w:r>
          </w:p>
        </w:tc>
        <w:tc>
          <w:tcPr>
            <w:tcW w:w="558" w:type="pct"/>
            <w:tcBorders>
              <w:bottom w:val="single" w:color="000000" w:sz="10" w:space="0"/>
            </w:tcBorders>
            <w:vAlign w:val="top"/>
          </w:tcPr>
          <w:p w14:paraId="0372D4CB">
            <w:pPr>
              <w:pStyle w:val="58"/>
              <w:bidi w:val="0"/>
              <w:rPr>
                <w:rFonts w:hint="default"/>
                <w:highlight w:val="none"/>
                <w:lang w:val="en-US" w:eastAsia="zh-CN"/>
              </w:rPr>
            </w:pPr>
            <w:r>
              <w:rPr>
                <w:rFonts w:hint="default"/>
                <w:highlight w:val="none"/>
                <w:lang w:val="en-US" w:eastAsia="zh-CN"/>
              </w:rPr>
              <w:t>0.0000475</w:t>
            </w:r>
          </w:p>
        </w:tc>
        <w:tc>
          <w:tcPr>
            <w:tcW w:w="695" w:type="pct"/>
            <w:tcBorders>
              <w:bottom w:val="single" w:color="000000" w:sz="10" w:space="0"/>
            </w:tcBorders>
            <w:vAlign w:val="top"/>
          </w:tcPr>
          <w:p w14:paraId="3567C62B">
            <w:pPr>
              <w:pStyle w:val="58"/>
              <w:bidi w:val="0"/>
              <w:rPr>
                <w:rFonts w:hint="default"/>
                <w:highlight w:val="none"/>
                <w:lang w:val="en-US" w:eastAsia="zh-CN"/>
              </w:rPr>
            </w:pPr>
            <w:r>
              <w:rPr>
                <w:rFonts w:hint="default"/>
                <w:highlight w:val="none"/>
                <w:lang w:val="en-US" w:eastAsia="zh-CN"/>
              </w:rPr>
              <w:t>0.0005425</w:t>
            </w:r>
          </w:p>
        </w:tc>
        <w:tc>
          <w:tcPr>
            <w:tcW w:w="695" w:type="pct"/>
            <w:tcBorders>
              <w:bottom w:val="single" w:color="000000" w:sz="10" w:space="0"/>
            </w:tcBorders>
            <w:vAlign w:val="top"/>
          </w:tcPr>
          <w:p w14:paraId="123CF4F1">
            <w:pPr>
              <w:pStyle w:val="58"/>
              <w:bidi w:val="0"/>
              <w:rPr>
                <w:rFonts w:hint="default"/>
                <w:highlight w:val="none"/>
                <w:lang w:val="en-US" w:eastAsia="zh-CN"/>
              </w:rPr>
            </w:pPr>
            <w:r>
              <w:rPr>
                <w:rFonts w:hint="default"/>
                <w:highlight w:val="none"/>
                <w:lang w:val="en-US" w:eastAsia="zh-CN"/>
              </w:rPr>
              <w:t>0.0004525</w:t>
            </w:r>
          </w:p>
        </w:tc>
        <w:tc>
          <w:tcPr>
            <w:tcW w:w="608" w:type="pct"/>
            <w:tcBorders>
              <w:bottom w:val="single" w:color="000000" w:sz="10" w:space="0"/>
            </w:tcBorders>
            <w:vAlign w:val="top"/>
          </w:tcPr>
          <w:p w14:paraId="2DEF00A0">
            <w:pPr>
              <w:pStyle w:val="58"/>
              <w:bidi w:val="0"/>
              <w:rPr>
                <w:rFonts w:hint="default"/>
                <w:highlight w:val="none"/>
                <w:lang w:val="en-US" w:eastAsia="zh-CN"/>
              </w:rPr>
            </w:pPr>
            <w:r>
              <w:rPr>
                <w:rFonts w:hint="default"/>
                <w:highlight w:val="none"/>
              </w:rPr>
              <w:t>/</w:t>
            </w:r>
          </w:p>
        </w:tc>
        <w:tc>
          <w:tcPr>
            <w:tcW w:w="704" w:type="pct"/>
            <w:tcBorders>
              <w:bottom w:val="single" w:color="000000" w:sz="10" w:space="0"/>
              <w:right w:val="single" w:color="000000" w:sz="10" w:space="0"/>
            </w:tcBorders>
            <w:vAlign w:val="top"/>
          </w:tcPr>
          <w:p w14:paraId="13F484BD">
            <w:pPr>
              <w:pStyle w:val="58"/>
              <w:bidi w:val="0"/>
              <w:rPr>
                <w:rFonts w:hint="default"/>
                <w:highlight w:val="none"/>
              </w:rPr>
            </w:pPr>
          </w:p>
        </w:tc>
      </w:tr>
    </w:tbl>
    <w:p w14:paraId="0E20D838">
      <w:pPr>
        <w:rPr>
          <w:rFonts w:hint="default"/>
          <w:highlight w:val="none"/>
        </w:rPr>
      </w:pPr>
      <w:r>
        <w:rPr>
          <w:rFonts w:hint="default"/>
          <w:highlight w:val="none"/>
        </w:rPr>
        <w:t>一旦发生非正常工况废水排放，污染物将会超标排放，为防止非正常工况废水排放对</w:t>
      </w:r>
      <w:r>
        <w:rPr>
          <w:rFonts w:hint="default"/>
          <w:highlight w:val="none"/>
          <w:lang w:val="en-US" w:eastAsia="zh-CN"/>
        </w:rPr>
        <w:t>附近水体</w:t>
      </w:r>
      <w:r>
        <w:rPr>
          <w:rFonts w:hint="default"/>
          <w:highlight w:val="none"/>
        </w:rPr>
        <w:t>产生污染，应采取以下措施：</w:t>
      </w:r>
    </w:p>
    <w:p w14:paraId="7677344D">
      <w:pPr>
        <w:rPr>
          <w:rFonts w:hint="default"/>
          <w:highlight w:val="none"/>
        </w:rPr>
      </w:pPr>
      <w:r>
        <w:rPr>
          <w:rFonts w:hint="default"/>
          <w:highlight w:val="none"/>
        </w:rPr>
        <w:t>A、非正常收水控制措施</w:t>
      </w:r>
    </w:p>
    <w:p w14:paraId="30EF9799">
      <w:pPr>
        <w:rPr>
          <w:rFonts w:hint="default"/>
          <w:highlight w:val="none"/>
        </w:rPr>
      </w:pPr>
      <w:r>
        <w:rPr>
          <w:rFonts w:hint="default"/>
          <w:highlight w:val="none"/>
        </w:rPr>
        <w:t>①污水处理厂与重要的污水排放企业之间，要有畅通的信息交流通道，建立企业的事故报告制度。加强监控和管理，专人负责污水在线监测数据的观察和统计，及时发现和处理问题，避免污水事故排放。一旦排水进入污水处理厂的企业发生事故，应要求企业在第一时间向污水处理厂报告事故的类型，估计事故源强，并关闭出水阀，停止将水送入污水处理厂，并立即报告有关部门，组织事故应急小组，查清事故原因，分工负责，协调处理事故。</w:t>
      </w:r>
    </w:p>
    <w:p w14:paraId="2C6AB2DC">
      <w:pPr>
        <w:rPr>
          <w:rFonts w:hint="default"/>
          <w:highlight w:val="none"/>
        </w:rPr>
      </w:pPr>
      <w:r>
        <w:rPr>
          <w:rFonts w:hint="default"/>
          <w:highlight w:val="none"/>
        </w:rPr>
        <w:t>②污水排放企业发生排水事故时，应调整生产，减少污水排放，并启动各企业的事故池，保证超出进水水质标准工业废水不进入污水处理厂。</w:t>
      </w:r>
    </w:p>
    <w:p w14:paraId="6E9776AF">
      <w:pPr>
        <w:rPr>
          <w:rFonts w:hint="default" w:ascii="Times New Roman" w:hAnsi="Times New Roman" w:eastAsia="宋体" w:cs="Times New Roman"/>
          <w:sz w:val="24"/>
          <w:szCs w:val="24"/>
          <w:highlight w:val="none"/>
        </w:rPr>
      </w:pPr>
      <w:r>
        <w:rPr>
          <w:rFonts w:hint="default" w:ascii="Times New Roman" w:hAnsi="Times New Roman" w:eastAsia="宋体" w:cs="Times New Roman"/>
          <w:spacing w:val="-3"/>
          <w:sz w:val="24"/>
          <w:szCs w:val="24"/>
          <w:highlight w:val="none"/>
        </w:rPr>
        <w:t>B、非正常排污污染防治措施</w:t>
      </w:r>
    </w:p>
    <w:p w14:paraId="0B315409">
      <w:pPr>
        <w:rPr>
          <w:rFonts w:hint="default" w:ascii="Times New Roman" w:hAnsi="Times New Roman" w:eastAsia="宋体" w:cs="Times New Roman"/>
          <w:sz w:val="24"/>
          <w:szCs w:val="24"/>
          <w:highlight w:val="none"/>
        </w:rPr>
      </w:pPr>
      <w:r>
        <w:rPr>
          <w:rFonts w:hint="default" w:ascii="Times New Roman" w:hAnsi="Times New Roman" w:eastAsia="宋体" w:cs="Times New Roman"/>
          <w:spacing w:val="-3"/>
          <w:sz w:val="24"/>
          <w:szCs w:val="24"/>
          <w:highlight w:val="none"/>
        </w:rPr>
        <w:t>采用双路供电，避免由于停电事故可能造成的非正常事故的发生；在主要水工建筑</w:t>
      </w:r>
      <w:r>
        <w:rPr>
          <w:rFonts w:hint="default" w:ascii="Times New Roman" w:hAnsi="Times New Roman" w:eastAsia="宋体" w:cs="Times New Roman"/>
          <w:spacing w:val="1"/>
          <w:sz w:val="24"/>
          <w:szCs w:val="24"/>
          <w:highlight w:val="none"/>
        </w:rPr>
        <w:t>物的容积上留有相应缓冲能力，并配有相应的设备(如回</w:t>
      </w:r>
      <w:r>
        <w:rPr>
          <w:rFonts w:hint="default" w:ascii="Times New Roman" w:hAnsi="Times New Roman" w:eastAsia="宋体" w:cs="Times New Roman"/>
          <w:sz w:val="24"/>
          <w:szCs w:val="24"/>
          <w:highlight w:val="none"/>
        </w:rPr>
        <w:t>流泵、回流管道、阀门及仪表</w:t>
      </w:r>
      <w:r>
        <w:rPr>
          <w:rFonts w:hint="default" w:ascii="Times New Roman" w:hAnsi="Times New Roman" w:eastAsia="宋体" w:cs="Times New Roman"/>
          <w:spacing w:val="1"/>
          <w:sz w:val="24"/>
          <w:szCs w:val="24"/>
          <w:highlight w:val="none"/>
        </w:rPr>
        <w:t>等)；选用优质设备，对污水处理厂各种机械电器、仪表等设备，必须选择质量优良、</w:t>
      </w:r>
      <w:r>
        <w:rPr>
          <w:rFonts w:hint="default" w:ascii="Times New Roman" w:hAnsi="Times New Roman" w:eastAsia="宋体" w:cs="Times New Roman"/>
          <w:spacing w:val="-2"/>
          <w:sz w:val="24"/>
          <w:szCs w:val="24"/>
          <w:highlight w:val="none"/>
        </w:rPr>
        <w:t>事故率低、便于维修的产品；水泵、污泥泵</w:t>
      </w:r>
      <w:r>
        <w:rPr>
          <w:rFonts w:hint="default" w:ascii="Times New Roman" w:hAnsi="Times New Roman" w:eastAsia="宋体" w:cs="Times New Roman"/>
          <w:spacing w:val="-3"/>
          <w:sz w:val="24"/>
          <w:szCs w:val="24"/>
          <w:highlight w:val="none"/>
        </w:rPr>
        <w:t>、风机等关键设备一用一备，易损部件要有</w:t>
      </w:r>
      <w:r>
        <w:rPr>
          <w:rFonts w:hint="default" w:ascii="Times New Roman" w:hAnsi="Times New Roman" w:eastAsia="宋体" w:cs="Times New Roman"/>
          <w:spacing w:val="-2"/>
          <w:sz w:val="24"/>
          <w:szCs w:val="24"/>
          <w:highlight w:val="none"/>
        </w:rPr>
        <w:t>备用件，在出现事故时能及时更换，定期巡</w:t>
      </w:r>
      <w:r>
        <w:rPr>
          <w:rFonts w:hint="default" w:ascii="Times New Roman" w:hAnsi="Times New Roman" w:eastAsia="宋体" w:cs="Times New Roman"/>
          <w:spacing w:val="-3"/>
          <w:sz w:val="24"/>
          <w:szCs w:val="24"/>
          <w:highlight w:val="none"/>
        </w:rPr>
        <w:t>检、调节、保养、维修，及时发现有可能引</w:t>
      </w:r>
      <w:r>
        <w:rPr>
          <w:rFonts w:hint="default" w:ascii="Times New Roman" w:hAnsi="Times New Roman" w:eastAsia="宋体" w:cs="Times New Roman"/>
          <w:spacing w:val="-2"/>
          <w:sz w:val="24"/>
          <w:szCs w:val="24"/>
          <w:highlight w:val="none"/>
        </w:rPr>
        <w:t>起事故的异常运行，消除事故隐患，使设备</w:t>
      </w:r>
      <w:r>
        <w:rPr>
          <w:rFonts w:hint="default" w:ascii="Times New Roman" w:hAnsi="Times New Roman" w:eastAsia="宋体" w:cs="Times New Roman"/>
          <w:spacing w:val="-3"/>
          <w:sz w:val="24"/>
          <w:szCs w:val="24"/>
          <w:highlight w:val="none"/>
        </w:rPr>
        <w:t>处于最佳工况，定期对管道进行检修，杜绝</w:t>
      </w:r>
      <w:r>
        <w:rPr>
          <w:rFonts w:hint="default" w:ascii="Times New Roman" w:hAnsi="Times New Roman" w:eastAsia="宋体" w:cs="Times New Roman"/>
          <w:spacing w:val="-6"/>
          <w:sz w:val="24"/>
          <w:szCs w:val="24"/>
          <w:highlight w:val="none"/>
        </w:rPr>
        <w:t>因管道老化、开裂等问题造成的污水外泄等</w:t>
      </w:r>
      <w:r>
        <w:rPr>
          <w:rFonts w:hint="default" w:ascii="Times New Roman" w:hAnsi="Times New Roman" w:eastAsia="宋体" w:cs="Times New Roman"/>
          <w:spacing w:val="-7"/>
          <w:sz w:val="24"/>
          <w:szCs w:val="24"/>
          <w:highlight w:val="none"/>
        </w:rPr>
        <w:t>现象发生；严格控制处理单元的水量、水质、</w:t>
      </w:r>
      <w:r>
        <w:rPr>
          <w:rFonts w:hint="default" w:ascii="Times New Roman" w:hAnsi="Times New Roman" w:eastAsia="宋体" w:cs="Times New Roman"/>
          <w:spacing w:val="-2"/>
          <w:sz w:val="24"/>
          <w:szCs w:val="24"/>
          <w:highlight w:val="none"/>
        </w:rPr>
        <w:t>停留时间、负荷强度等工艺参数，确保处理</w:t>
      </w:r>
      <w:r>
        <w:rPr>
          <w:rFonts w:hint="default" w:ascii="Times New Roman" w:hAnsi="Times New Roman" w:eastAsia="宋体" w:cs="Times New Roman"/>
          <w:spacing w:val="-3"/>
          <w:sz w:val="24"/>
          <w:szCs w:val="24"/>
          <w:highlight w:val="none"/>
        </w:rPr>
        <w:t>效果的稳定性，配备流量、水质自动分析监</w:t>
      </w:r>
      <w:r>
        <w:rPr>
          <w:rFonts w:hint="default" w:ascii="Times New Roman" w:hAnsi="Times New Roman" w:eastAsia="宋体" w:cs="Times New Roman"/>
          <w:spacing w:val="-2"/>
          <w:sz w:val="24"/>
          <w:szCs w:val="24"/>
          <w:highlight w:val="none"/>
        </w:rPr>
        <w:t>测仪器，定期取样检测；加强污水处理厂人</w:t>
      </w:r>
      <w:r>
        <w:rPr>
          <w:rFonts w:hint="default" w:ascii="Times New Roman" w:hAnsi="Times New Roman" w:eastAsia="宋体" w:cs="Times New Roman"/>
          <w:spacing w:val="-3"/>
          <w:sz w:val="24"/>
          <w:szCs w:val="24"/>
          <w:highlight w:val="none"/>
        </w:rPr>
        <w:t>员的理论和操作技能的培训；加强运行管理</w:t>
      </w:r>
      <w:r>
        <w:rPr>
          <w:rFonts w:hint="default" w:ascii="Times New Roman" w:hAnsi="Times New Roman" w:eastAsia="宋体" w:cs="Times New Roman"/>
          <w:spacing w:val="-4"/>
          <w:sz w:val="24"/>
          <w:szCs w:val="24"/>
          <w:highlight w:val="none"/>
        </w:rPr>
        <w:t>和进出水水质的监测工作，通过在进水及出水管路上设置的COD、氨氮、总磷、流量、</w:t>
      </w:r>
      <w:r>
        <w:rPr>
          <w:rFonts w:hint="default" w:ascii="Times New Roman" w:hAnsi="Times New Roman" w:eastAsia="宋体" w:cs="Times New Roman"/>
          <w:sz w:val="24"/>
          <w:szCs w:val="24"/>
          <w:highlight w:val="none"/>
        </w:rPr>
        <w:t>pH</w:t>
      </w:r>
      <w:r>
        <w:rPr>
          <w:rFonts w:hint="default" w:ascii="Times New Roman" w:hAnsi="Times New Roman" w:eastAsia="宋体" w:cs="Times New Roman"/>
          <w:spacing w:val="1"/>
          <w:sz w:val="24"/>
          <w:szCs w:val="24"/>
          <w:highlight w:val="none"/>
        </w:rPr>
        <w:t>等在线监测装置，将监测数据输入控制室内显示，指标超标报警，</w:t>
      </w:r>
      <w:r>
        <w:rPr>
          <w:rFonts w:hint="default" w:ascii="Times New Roman" w:hAnsi="Times New Roman" w:eastAsia="宋体" w:cs="Times New Roman"/>
          <w:sz w:val="24"/>
          <w:szCs w:val="24"/>
          <w:highlight w:val="none"/>
        </w:rPr>
        <w:t>未经处理达标的</w:t>
      </w:r>
      <w:r>
        <w:rPr>
          <w:rFonts w:hint="default" w:ascii="Times New Roman" w:hAnsi="Times New Roman" w:eastAsia="宋体" w:cs="Times New Roman"/>
          <w:spacing w:val="-2"/>
          <w:sz w:val="24"/>
          <w:szCs w:val="24"/>
          <w:highlight w:val="none"/>
        </w:rPr>
        <w:t>污水严禁外排；设计采用管壁加厚、稳管、</w:t>
      </w:r>
      <w:r>
        <w:rPr>
          <w:rFonts w:hint="default" w:ascii="Times New Roman" w:hAnsi="Times New Roman" w:eastAsia="宋体" w:cs="Times New Roman"/>
          <w:spacing w:val="-3"/>
          <w:sz w:val="24"/>
          <w:szCs w:val="24"/>
          <w:highlight w:val="none"/>
        </w:rPr>
        <w:t>防腐层加强的措施，并采用有效的水工防护</w:t>
      </w:r>
      <w:r>
        <w:rPr>
          <w:rFonts w:hint="default" w:ascii="Times New Roman" w:hAnsi="Times New Roman" w:eastAsia="宋体" w:cs="Times New Roman"/>
          <w:sz w:val="24"/>
          <w:szCs w:val="24"/>
          <w:highlight w:val="none"/>
        </w:rPr>
        <w:t>措施。</w:t>
      </w:r>
    </w:p>
    <w:p w14:paraId="45DC13D9">
      <w:pP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（2）非正常生产状况下废气污染源及防治措施</w:t>
      </w:r>
    </w:p>
    <w:p w14:paraId="14ED25B5">
      <w:pP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突发性故障造成的废气处理设备停止工作，处理效率失效，废气将不经处理直接排放。考虑最不利情况，本项目废气治理装置等离子光电一体机失效，废气未经处理排放，持续时间在1小时之内，发生频次为1次/年。排放源强如表3.4-2。</w:t>
      </w:r>
    </w:p>
    <w:p w14:paraId="28AE2E33">
      <w:pPr>
        <w:keepNext w:val="0"/>
        <w:keepLines w:val="0"/>
        <w:pageBreakBefore w:val="0"/>
        <w:widowControl w:val="0"/>
        <w:kinsoku/>
        <w:wordWrap/>
        <w:overflowPunct/>
        <w:topLinePunct w:val="0"/>
        <w:autoSpaceDE/>
        <w:autoSpaceDN/>
        <w:bidi w:val="0"/>
        <w:adjustRightInd/>
        <w:snapToGrid/>
        <w:spacing w:line="240" w:lineRule="auto"/>
        <w:ind w:left="0" w:firstLine="0"/>
        <w:jc w:val="center"/>
        <w:textAlignment w:val="auto"/>
        <w:rPr>
          <w:rFonts w:hint="default" w:ascii="Times New Roman" w:hAnsi="Times New Roman" w:eastAsia="宋体" w:cs="Times New Roman"/>
          <w:sz w:val="24"/>
          <w:szCs w:val="24"/>
          <w:highlight w:val="none"/>
        </w:rPr>
      </w:pPr>
      <w:r>
        <w:rPr>
          <w:rFonts w:hint="default" w:ascii="Times New Roman" w:hAnsi="Times New Roman" w:eastAsia="宋体" w:cs="Times New Roman"/>
          <w:b/>
          <w:bCs/>
          <w:spacing w:val="-2"/>
          <w:sz w:val="24"/>
          <w:szCs w:val="24"/>
          <w:highlight w:val="none"/>
        </w:rPr>
        <w:t>表3.4-2非正常工况废气排放源强</w:t>
      </w:r>
    </w:p>
    <w:tbl>
      <w:tblPr>
        <w:tblStyle w:val="88"/>
        <w:tblW w:w="4998" w:type="pct"/>
        <w:tblInd w:w="0" w:type="dxa"/>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autofit"/>
        <w:tblCellMar>
          <w:top w:w="0" w:type="dxa"/>
          <w:left w:w="0" w:type="dxa"/>
          <w:bottom w:w="0" w:type="dxa"/>
          <w:right w:w="0" w:type="dxa"/>
        </w:tblCellMar>
      </w:tblPr>
      <w:tblGrid>
        <w:gridCol w:w="1885"/>
        <w:gridCol w:w="827"/>
        <w:gridCol w:w="1116"/>
        <w:gridCol w:w="1504"/>
        <w:gridCol w:w="1307"/>
        <w:gridCol w:w="685"/>
        <w:gridCol w:w="595"/>
        <w:gridCol w:w="688"/>
        <w:gridCol w:w="491"/>
      </w:tblGrid>
      <w:tr w14:paraId="32A924E9">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PrEx>
        <w:trPr>
          <w:trHeight w:val="330" w:hRule="atLeast"/>
        </w:trPr>
        <w:tc>
          <w:tcPr>
            <w:tcW w:w="1035" w:type="pct"/>
            <w:vMerge w:val="restart"/>
            <w:tcBorders>
              <w:bottom w:val="nil"/>
            </w:tcBorders>
            <w:vAlign w:val="center"/>
          </w:tcPr>
          <w:p w14:paraId="48D46434">
            <w:pPr>
              <w:pStyle w:val="58"/>
              <w:bidi w:val="0"/>
              <w:rPr>
                <w:rFonts w:hint="default"/>
                <w:highlight w:val="none"/>
              </w:rPr>
            </w:pPr>
            <w:r>
              <w:rPr>
                <w:rFonts w:hint="default"/>
                <w:highlight w:val="none"/>
              </w:rPr>
              <w:t>污染源名称</w:t>
            </w:r>
          </w:p>
        </w:tc>
        <w:tc>
          <w:tcPr>
            <w:tcW w:w="454" w:type="pct"/>
            <w:vMerge w:val="restart"/>
            <w:tcBorders>
              <w:bottom w:val="nil"/>
            </w:tcBorders>
            <w:vAlign w:val="center"/>
          </w:tcPr>
          <w:p w14:paraId="1BC5E657">
            <w:pPr>
              <w:pStyle w:val="58"/>
              <w:bidi w:val="0"/>
              <w:rPr>
                <w:rFonts w:hint="default"/>
                <w:highlight w:val="none"/>
              </w:rPr>
            </w:pPr>
            <w:r>
              <w:rPr>
                <w:rFonts w:hint="default"/>
                <w:highlight w:val="none"/>
              </w:rPr>
              <w:t>废气量</w:t>
            </w:r>
            <w:r>
              <w:rPr>
                <w:rFonts w:hint="eastAsia"/>
                <w:highlight w:val="none"/>
                <w:lang w:eastAsia="zh-CN"/>
              </w:rPr>
              <w:t>m</w:t>
            </w:r>
            <w:r>
              <w:rPr>
                <w:rFonts w:hint="eastAsia"/>
                <w:highlight w:val="none"/>
                <w:vertAlign w:val="superscript"/>
                <w:lang w:eastAsia="zh-CN"/>
              </w:rPr>
              <w:t>3</w:t>
            </w:r>
            <w:r>
              <w:rPr>
                <w:rFonts w:hint="default"/>
                <w:highlight w:val="none"/>
              </w:rPr>
              <w:t>/h</w:t>
            </w:r>
          </w:p>
        </w:tc>
        <w:tc>
          <w:tcPr>
            <w:tcW w:w="613" w:type="pct"/>
            <w:vMerge w:val="restart"/>
            <w:tcBorders>
              <w:bottom w:val="nil"/>
            </w:tcBorders>
            <w:vAlign w:val="center"/>
          </w:tcPr>
          <w:p w14:paraId="1B3488D0">
            <w:pPr>
              <w:pStyle w:val="58"/>
              <w:bidi w:val="0"/>
              <w:rPr>
                <w:rFonts w:hint="default"/>
                <w:highlight w:val="none"/>
              </w:rPr>
            </w:pPr>
            <w:r>
              <w:rPr>
                <w:rFonts w:hint="default"/>
                <w:highlight w:val="none"/>
              </w:rPr>
              <w:t>污染物名称</w:t>
            </w:r>
          </w:p>
        </w:tc>
        <w:tc>
          <w:tcPr>
            <w:tcW w:w="1544" w:type="pct"/>
            <w:gridSpan w:val="2"/>
            <w:vAlign w:val="center"/>
          </w:tcPr>
          <w:p w14:paraId="1B75419F">
            <w:pPr>
              <w:pStyle w:val="58"/>
              <w:bidi w:val="0"/>
              <w:rPr>
                <w:rFonts w:hint="default"/>
                <w:highlight w:val="none"/>
              </w:rPr>
            </w:pPr>
            <w:r>
              <w:rPr>
                <w:rFonts w:hint="default"/>
                <w:highlight w:val="none"/>
              </w:rPr>
              <w:t>排放情况</w:t>
            </w:r>
          </w:p>
        </w:tc>
        <w:tc>
          <w:tcPr>
            <w:tcW w:w="1081" w:type="pct"/>
            <w:gridSpan w:val="3"/>
            <w:vAlign w:val="center"/>
          </w:tcPr>
          <w:p w14:paraId="67DDD7FA">
            <w:pPr>
              <w:pStyle w:val="58"/>
              <w:bidi w:val="0"/>
              <w:rPr>
                <w:rFonts w:hint="default"/>
                <w:highlight w:val="none"/>
              </w:rPr>
            </w:pPr>
            <w:r>
              <w:rPr>
                <w:rFonts w:hint="default"/>
                <w:highlight w:val="none"/>
              </w:rPr>
              <w:t>排放源参数</w:t>
            </w:r>
          </w:p>
        </w:tc>
        <w:tc>
          <w:tcPr>
            <w:tcW w:w="269" w:type="pct"/>
            <w:vMerge w:val="restart"/>
            <w:tcBorders>
              <w:bottom w:val="nil"/>
            </w:tcBorders>
            <w:vAlign w:val="center"/>
          </w:tcPr>
          <w:p w14:paraId="5F743445">
            <w:pPr>
              <w:pStyle w:val="58"/>
              <w:bidi w:val="0"/>
              <w:rPr>
                <w:rFonts w:hint="default"/>
                <w:highlight w:val="none"/>
              </w:rPr>
            </w:pPr>
            <w:r>
              <w:rPr>
                <w:rFonts w:hint="default"/>
                <w:highlight w:val="none"/>
              </w:rPr>
              <w:t>排放时间</w:t>
            </w:r>
          </w:p>
        </w:tc>
      </w:tr>
      <w:tr w14:paraId="0AD177E9">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640" w:hRule="atLeast"/>
        </w:trPr>
        <w:tc>
          <w:tcPr>
            <w:tcW w:w="1035" w:type="pct"/>
            <w:vMerge w:val="continue"/>
            <w:tcBorders>
              <w:top w:val="nil"/>
            </w:tcBorders>
            <w:vAlign w:val="center"/>
          </w:tcPr>
          <w:p w14:paraId="6A7C091B">
            <w:pPr>
              <w:pStyle w:val="58"/>
              <w:bidi w:val="0"/>
              <w:rPr>
                <w:rFonts w:hint="default"/>
                <w:highlight w:val="none"/>
              </w:rPr>
            </w:pPr>
          </w:p>
        </w:tc>
        <w:tc>
          <w:tcPr>
            <w:tcW w:w="454" w:type="pct"/>
            <w:vMerge w:val="continue"/>
            <w:tcBorders>
              <w:top w:val="nil"/>
            </w:tcBorders>
            <w:vAlign w:val="center"/>
          </w:tcPr>
          <w:p w14:paraId="39FEDDD5">
            <w:pPr>
              <w:pStyle w:val="58"/>
              <w:bidi w:val="0"/>
              <w:rPr>
                <w:rFonts w:hint="default"/>
                <w:highlight w:val="none"/>
              </w:rPr>
            </w:pPr>
          </w:p>
        </w:tc>
        <w:tc>
          <w:tcPr>
            <w:tcW w:w="613" w:type="pct"/>
            <w:vMerge w:val="continue"/>
            <w:tcBorders>
              <w:top w:val="nil"/>
            </w:tcBorders>
            <w:vAlign w:val="center"/>
          </w:tcPr>
          <w:p w14:paraId="43E17475">
            <w:pPr>
              <w:pStyle w:val="58"/>
              <w:bidi w:val="0"/>
              <w:rPr>
                <w:rFonts w:hint="default"/>
                <w:highlight w:val="none"/>
              </w:rPr>
            </w:pPr>
          </w:p>
        </w:tc>
        <w:tc>
          <w:tcPr>
            <w:tcW w:w="826" w:type="pct"/>
            <w:vAlign w:val="center"/>
          </w:tcPr>
          <w:p w14:paraId="0D21132F">
            <w:pPr>
              <w:pStyle w:val="58"/>
              <w:bidi w:val="0"/>
              <w:rPr>
                <w:rFonts w:hint="default"/>
                <w:highlight w:val="none"/>
                <w:lang w:eastAsia="zh-CN"/>
              </w:rPr>
            </w:pPr>
            <w:r>
              <w:rPr>
                <w:rFonts w:hint="default"/>
                <w:highlight w:val="none"/>
              </w:rPr>
              <w:t>排放浓度mg/</w:t>
            </w:r>
            <w:r>
              <w:rPr>
                <w:rFonts w:hint="eastAsia"/>
                <w:highlight w:val="none"/>
                <w:lang w:eastAsia="zh-CN"/>
              </w:rPr>
              <w:t>m</w:t>
            </w:r>
            <w:r>
              <w:rPr>
                <w:rFonts w:hint="eastAsia"/>
                <w:highlight w:val="none"/>
                <w:vertAlign w:val="superscript"/>
                <w:lang w:eastAsia="zh-CN"/>
              </w:rPr>
              <w:t>3</w:t>
            </w:r>
          </w:p>
        </w:tc>
        <w:tc>
          <w:tcPr>
            <w:tcW w:w="718" w:type="pct"/>
            <w:vAlign w:val="center"/>
          </w:tcPr>
          <w:p w14:paraId="7FCD02A9">
            <w:pPr>
              <w:pStyle w:val="58"/>
              <w:bidi w:val="0"/>
              <w:rPr>
                <w:rFonts w:hint="default"/>
                <w:highlight w:val="none"/>
              </w:rPr>
            </w:pPr>
            <w:r>
              <w:rPr>
                <w:rFonts w:hint="default"/>
                <w:highlight w:val="none"/>
              </w:rPr>
              <w:t>排放速率kg/h</w:t>
            </w:r>
          </w:p>
        </w:tc>
        <w:tc>
          <w:tcPr>
            <w:tcW w:w="376" w:type="pct"/>
            <w:vAlign w:val="center"/>
          </w:tcPr>
          <w:p w14:paraId="42E0D72E">
            <w:pPr>
              <w:pStyle w:val="58"/>
              <w:bidi w:val="0"/>
              <w:rPr>
                <w:rFonts w:hint="default"/>
                <w:highlight w:val="none"/>
              </w:rPr>
            </w:pPr>
            <w:r>
              <w:rPr>
                <w:rFonts w:hint="default"/>
                <w:highlight w:val="none"/>
              </w:rPr>
              <w:t>高度m</w:t>
            </w:r>
          </w:p>
        </w:tc>
        <w:tc>
          <w:tcPr>
            <w:tcW w:w="327" w:type="pct"/>
            <w:vAlign w:val="center"/>
          </w:tcPr>
          <w:p w14:paraId="6502F60D">
            <w:pPr>
              <w:pStyle w:val="58"/>
              <w:bidi w:val="0"/>
              <w:rPr>
                <w:rFonts w:hint="default"/>
                <w:highlight w:val="none"/>
              </w:rPr>
            </w:pPr>
            <w:r>
              <w:rPr>
                <w:rFonts w:hint="default"/>
                <w:highlight w:val="none"/>
              </w:rPr>
              <w:t>直径m</w:t>
            </w:r>
          </w:p>
        </w:tc>
        <w:tc>
          <w:tcPr>
            <w:tcW w:w="377" w:type="pct"/>
            <w:vAlign w:val="center"/>
          </w:tcPr>
          <w:p w14:paraId="24A6AC59">
            <w:pPr>
              <w:pStyle w:val="58"/>
              <w:bidi w:val="0"/>
              <w:rPr>
                <w:rFonts w:hint="default"/>
                <w:highlight w:val="none"/>
              </w:rPr>
            </w:pPr>
            <w:r>
              <w:rPr>
                <w:rFonts w:hint="default"/>
                <w:highlight w:val="none"/>
              </w:rPr>
              <w:t>温度℃</w:t>
            </w:r>
          </w:p>
        </w:tc>
        <w:tc>
          <w:tcPr>
            <w:tcW w:w="269" w:type="pct"/>
            <w:vMerge w:val="continue"/>
            <w:tcBorders>
              <w:top w:val="nil"/>
            </w:tcBorders>
            <w:vAlign w:val="center"/>
          </w:tcPr>
          <w:p w14:paraId="7B7EB307">
            <w:pPr>
              <w:pStyle w:val="58"/>
              <w:bidi w:val="0"/>
              <w:rPr>
                <w:rFonts w:hint="default"/>
                <w:highlight w:val="none"/>
              </w:rPr>
            </w:pPr>
          </w:p>
        </w:tc>
      </w:tr>
      <w:tr w14:paraId="4B00F29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441" w:hRule="atLeast"/>
        </w:trPr>
        <w:tc>
          <w:tcPr>
            <w:tcW w:w="1035" w:type="pct"/>
            <w:vMerge w:val="restart"/>
            <w:tcBorders>
              <w:bottom w:val="nil"/>
            </w:tcBorders>
            <w:vAlign w:val="center"/>
          </w:tcPr>
          <w:p w14:paraId="399C2CA5">
            <w:pPr>
              <w:pStyle w:val="58"/>
              <w:bidi w:val="0"/>
              <w:rPr>
                <w:rFonts w:hint="default"/>
                <w:highlight w:val="none"/>
              </w:rPr>
            </w:pPr>
            <w:r>
              <w:rPr>
                <w:rFonts w:hint="default"/>
                <w:highlight w:val="none"/>
              </w:rPr>
              <w:t>离子除臭装置排气筒（DA001）</w:t>
            </w:r>
          </w:p>
        </w:tc>
        <w:tc>
          <w:tcPr>
            <w:tcW w:w="454" w:type="pct"/>
            <w:vMerge w:val="restart"/>
            <w:tcBorders>
              <w:bottom w:val="nil"/>
            </w:tcBorders>
            <w:vAlign w:val="center"/>
          </w:tcPr>
          <w:p w14:paraId="718EEC7E">
            <w:pPr>
              <w:pStyle w:val="58"/>
              <w:bidi w:val="0"/>
              <w:rPr>
                <w:rFonts w:hint="default"/>
                <w:highlight w:val="none"/>
                <w:lang w:val="en-US" w:eastAsia="zh-CN"/>
              </w:rPr>
            </w:pPr>
            <w:r>
              <w:rPr>
                <w:rFonts w:hint="default"/>
                <w:highlight w:val="none"/>
                <w:lang w:val="en-US" w:eastAsia="zh-CN"/>
              </w:rPr>
              <w:t>5000</w:t>
            </w:r>
          </w:p>
        </w:tc>
        <w:tc>
          <w:tcPr>
            <w:tcW w:w="613" w:type="pct"/>
            <w:vAlign w:val="center"/>
          </w:tcPr>
          <w:p w14:paraId="3430512D">
            <w:pPr>
              <w:pStyle w:val="58"/>
              <w:bidi w:val="0"/>
              <w:rPr>
                <w:rFonts w:hint="eastAsia" w:eastAsia="宋体"/>
                <w:highlight w:val="none"/>
                <w:lang w:val="en-US" w:eastAsia="zh-CN"/>
              </w:rPr>
            </w:pPr>
            <w:r>
              <w:rPr>
                <w:rFonts w:hint="eastAsia"/>
                <w:highlight w:val="none"/>
                <w:lang w:eastAsia="zh-CN"/>
              </w:rPr>
              <w:t>H</w:t>
            </w:r>
            <w:r>
              <w:rPr>
                <w:rFonts w:hint="eastAsia"/>
                <w:highlight w:val="none"/>
                <w:vertAlign w:val="subscript"/>
                <w:lang w:eastAsia="zh-CN"/>
              </w:rPr>
              <w:t>2</w:t>
            </w:r>
            <w:r>
              <w:rPr>
                <w:rFonts w:hint="eastAsia"/>
                <w:highlight w:val="none"/>
                <w:lang w:eastAsia="zh-CN"/>
              </w:rPr>
              <w:t>S</w:t>
            </w:r>
          </w:p>
        </w:tc>
        <w:tc>
          <w:tcPr>
            <w:tcW w:w="826" w:type="pct"/>
            <w:vAlign w:val="center"/>
          </w:tcPr>
          <w:p w14:paraId="575BE471">
            <w:pPr>
              <w:pStyle w:val="58"/>
              <w:bidi w:val="0"/>
              <w:rPr>
                <w:rFonts w:hint="default"/>
                <w:highlight w:val="none"/>
                <w:lang w:val="en-US" w:eastAsia="zh-CN"/>
              </w:rPr>
            </w:pPr>
            <w:r>
              <w:rPr>
                <w:rFonts w:hint="eastAsia"/>
                <w:highlight w:val="none"/>
                <w:lang w:val="en-US" w:eastAsia="zh-CN"/>
              </w:rPr>
              <w:t>10.84</w:t>
            </w:r>
          </w:p>
        </w:tc>
        <w:tc>
          <w:tcPr>
            <w:tcW w:w="718" w:type="pct"/>
            <w:vAlign w:val="center"/>
          </w:tcPr>
          <w:p w14:paraId="68C8A7DC">
            <w:pPr>
              <w:pStyle w:val="58"/>
              <w:bidi w:val="0"/>
              <w:rPr>
                <w:rFonts w:hint="eastAsia" w:eastAsia="宋体"/>
                <w:highlight w:val="none"/>
                <w:lang w:eastAsia="zh-CN"/>
              </w:rPr>
            </w:pPr>
            <w:r>
              <w:rPr>
                <w:rFonts w:hint="eastAsia"/>
                <w:highlight w:val="none"/>
                <w:lang w:eastAsia="zh-CN"/>
              </w:rPr>
              <w:t>0.002</w:t>
            </w:r>
          </w:p>
        </w:tc>
        <w:tc>
          <w:tcPr>
            <w:tcW w:w="376" w:type="pct"/>
            <w:vMerge w:val="restart"/>
            <w:tcBorders>
              <w:bottom w:val="nil"/>
            </w:tcBorders>
            <w:vAlign w:val="center"/>
          </w:tcPr>
          <w:p w14:paraId="06B13D7B">
            <w:pPr>
              <w:pStyle w:val="58"/>
              <w:bidi w:val="0"/>
              <w:rPr>
                <w:rFonts w:hint="default"/>
                <w:highlight w:val="none"/>
              </w:rPr>
            </w:pPr>
            <w:r>
              <w:rPr>
                <w:rFonts w:hint="default"/>
                <w:highlight w:val="none"/>
              </w:rPr>
              <w:t>15</w:t>
            </w:r>
          </w:p>
        </w:tc>
        <w:tc>
          <w:tcPr>
            <w:tcW w:w="327" w:type="pct"/>
            <w:vMerge w:val="restart"/>
            <w:tcBorders>
              <w:bottom w:val="nil"/>
            </w:tcBorders>
            <w:vAlign w:val="center"/>
          </w:tcPr>
          <w:p w14:paraId="1FF71EC2">
            <w:pPr>
              <w:pStyle w:val="58"/>
              <w:bidi w:val="0"/>
              <w:rPr>
                <w:rFonts w:hint="default"/>
                <w:highlight w:val="none"/>
                <w:lang w:val="en-US" w:eastAsia="zh-CN"/>
              </w:rPr>
            </w:pPr>
            <w:r>
              <w:rPr>
                <w:rFonts w:hint="default"/>
                <w:highlight w:val="none"/>
              </w:rPr>
              <w:t>0.</w:t>
            </w:r>
            <w:r>
              <w:rPr>
                <w:rFonts w:hint="default"/>
                <w:highlight w:val="none"/>
                <w:lang w:val="en-US" w:eastAsia="zh-CN"/>
              </w:rPr>
              <w:t>32</w:t>
            </w:r>
          </w:p>
        </w:tc>
        <w:tc>
          <w:tcPr>
            <w:tcW w:w="377" w:type="pct"/>
            <w:vMerge w:val="restart"/>
            <w:tcBorders>
              <w:bottom w:val="nil"/>
            </w:tcBorders>
            <w:vAlign w:val="center"/>
          </w:tcPr>
          <w:p w14:paraId="2DDC091C">
            <w:pPr>
              <w:pStyle w:val="58"/>
              <w:bidi w:val="0"/>
              <w:rPr>
                <w:rFonts w:hint="default"/>
                <w:highlight w:val="none"/>
              </w:rPr>
            </w:pPr>
            <w:r>
              <w:rPr>
                <w:rFonts w:hint="default"/>
                <w:highlight w:val="none"/>
              </w:rPr>
              <w:t>20</w:t>
            </w:r>
          </w:p>
        </w:tc>
        <w:tc>
          <w:tcPr>
            <w:tcW w:w="269" w:type="pct"/>
            <w:vMerge w:val="restart"/>
            <w:tcBorders>
              <w:bottom w:val="nil"/>
            </w:tcBorders>
            <w:vAlign w:val="center"/>
          </w:tcPr>
          <w:p w14:paraId="7F2290A6">
            <w:pPr>
              <w:pStyle w:val="58"/>
              <w:bidi w:val="0"/>
              <w:rPr>
                <w:rFonts w:hint="default"/>
                <w:highlight w:val="none"/>
              </w:rPr>
            </w:pPr>
            <w:r>
              <w:rPr>
                <w:rFonts w:hint="default"/>
                <w:highlight w:val="none"/>
              </w:rPr>
              <w:t>1h</w:t>
            </w:r>
          </w:p>
        </w:tc>
      </w:tr>
      <w:tr w14:paraId="0E9205C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1035" w:type="pct"/>
            <w:vMerge w:val="continue"/>
            <w:tcBorders>
              <w:top w:val="nil"/>
              <w:bottom w:val="nil"/>
            </w:tcBorders>
            <w:vAlign w:val="center"/>
          </w:tcPr>
          <w:p w14:paraId="1803C374">
            <w:pPr>
              <w:pStyle w:val="58"/>
              <w:bidi w:val="0"/>
              <w:rPr>
                <w:rFonts w:hint="default"/>
                <w:highlight w:val="none"/>
              </w:rPr>
            </w:pPr>
          </w:p>
        </w:tc>
        <w:tc>
          <w:tcPr>
            <w:tcW w:w="454" w:type="pct"/>
            <w:vMerge w:val="continue"/>
            <w:tcBorders>
              <w:top w:val="nil"/>
              <w:bottom w:val="nil"/>
            </w:tcBorders>
            <w:vAlign w:val="center"/>
          </w:tcPr>
          <w:p w14:paraId="605096B2">
            <w:pPr>
              <w:pStyle w:val="58"/>
              <w:bidi w:val="0"/>
              <w:rPr>
                <w:rFonts w:hint="default"/>
                <w:highlight w:val="none"/>
              </w:rPr>
            </w:pPr>
          </w:p>
        </w:tc>
        <w:tc>
          <w:tcPr>
            <w:tcW w:w="613" w:type="pct"/>
            <w:tcBorders>
              <w:bottom w:val="single" w:color="000000" w:sz="2" w:space="0"/>
            </w:tcBorders>
            <w:vAlign w:val="center"/>
          </w:tcPr>
          <w:p w14:paraId="466A76E4">
            <w:pPr>
              <w:pStyle w:val="58"/>
              <w:bidi w:val="0"/>
              <w:rPr>
                <w:rFonts w:hint="default"/>
                <w:highlight w:val="none"/>
                <w:lang w:eastAsia="zh-CN"/>
              </w:rPr>
            </w:pPr>
            <w:r>
              <w:rPr>
                <w:rFonts w:hint="eastAsia"/>
                <w:highlight w:val="none"/>
                <w:lang w:val="en-US" w:eastAsia="zh-CN"/>
              </w:rPr>
              <w:t>NH</w:t>
            </w:r>
            <w:r>
              <w:rPr>
                <w:rFonts w:hint="eastAsia"/>
                <w:highlight w:val="none"/>
                <w:vertAlign w:val="subscript"/>
                <w:lang w:val="en-US" w:eastAsia="zh-CN"/>
              </w:rPr>
              <w:t>3</w:t>
            </w:r>
          </w:p>
        </w:tc>
        <w:tc>
          <w:tcPr>
            <w:tcW w:w="826" w:type="pct"/>
            <w:tcBorders>
              <w:bottom w:val="single" w:color="000000" w:sz="2" w:space="0"/>
            </w:tcBorders>
            <w:vAlign w:val="center"/>
          </w:tcPr>
          <w:p w14:paraId="41AACC35">
            <w:pPr>
              <w:pStyle w:val="58"/>
              <w:bidi w:val="0"/>
              <w:rPr>
                <w:rFonts w:hint="default"/>
                <w:highlight w:val="none"/>
                <w:lang w:val="en-US" w:eastAsia="zh-CN"/>
              </w:rPr>
            </w:pPr>
            <w:r>
              <w:rPr>
                <w:rFonts w:hint="eastAsia"/>
                <w:highlight w:val="none"/>
                <w:lang w:val="en-US" w:eastAsia="zh-CN"/>
              </w:rPr>
              <w:t>4.82</w:t>
            </w:r>
          </w:p>
        </w:tc>
        <w:tc>
          <w:tcPr>
            <w:tcW w:w="718" w:type="pct"/>
            <w:tcBorders>
              <w:bottom w:val="single" w:color="000000" w:sz="2" w:space="0"/>
            </w:tcBorders>
            <w:vAlign w:val="center"/>
          </w:tcPr>
          <w:p w14:paraId="456D949E">
            <w:pPr>
              <w:pStyle w:val="58"/>
              <w:bidi w:val="0"/>
              <w:rPr>
                <w:rFonts w:hint="default"/>
                <w:highlight w:val="none"/>
              </w:rPr>
            </w:pPr>
            <w:r>
              <w:rPr>
                <w:rFonts w:hint="eastAsia"/>
                <w:highlight w:val="none"/>
                <w:lang w:val="en-US" w:eastAsia="zh-CN"/>
              </w:rPr>
              <w:t>0.11</w:t>
            </w:r>
          </w:p>
        </w:tc>
        <w:tc>
          <w:tcPr>
            <w:tcW w:w="376" w:type="pct"/>
            <w:vMerge w:val="continue"/>
            <w:tcBorders>
              <w:top w:val="nil"/>
              <w:bottom w:val="nil"/>
            </w:tcBorders>
            <w:vAlign w:val="center"/>
          </w:tcPr>
          <w:p w14:paraId="6F08B8A7">
            <w:pPr>
              <w:pStyle w:val="58"/>
              <w:bidi w:val="0"/>
              <w:rPr>
                <w:rFonts w:hint="default"/>
                <w:highlight w:val="none"/>
              </w:rPr>
            </w:pPr>
          </w:p>
        </w:tc>
        <w:tc>
          <w:tcPr>
            <w:tcW w:w="327" w:type="pct"/>
            <w:vMerge w:val="continue"/>
            <w:tcBorders>
              <w:top w:val="nil"/>
              <w:bottom w:val="nil"/>
            </w:tcBorders>
            <w:vAlign w:val="center"/>
          </w:tcPr>
          <w:p w14:paraId="27B591B4">
            <w:pPr>
              <w:pStyle w:val="58"/>
              <w:bidi w:val="0"/>
              <w:rPr>
                <w:rFonts w:hint="default"/>
                <w:highlight w:val="none"/>
              </w:rPr>
            </w:pPr>
          </w:p>
        </w:tc>
        <w:tc>
          <w:tcPr>
            <w:tcW w:w="377" w:type="pct"/>
            <w:vMerge w:val="continue"/>
            <w:tcBorders>
              <w:top w:val="nil"/>
              <w:bottom w:val="nil"/>
            </w:tcBorders>
            <w:vAlign w:val="center"/>
          </w:tcPr>
          <w:p w14:paraId="611FED90">
            <w:pPr>
              <w:pStyle w:val="58"/>
              <w:bidi w:val="0"/>
              <w:rPr>
                <w:rFonts w:hint="default"/>
                <w:highlight w:val="none"/>
              </w:rPr>
            </w:pPr>
          </w:p>
        </w:tc>
        <w:tc>
          <w:tcPr>
            <w:tcW w:w="269" w:type="pct"/>
            <w:vMerge w:val="continue"/>
            <w:tcBorders>
              <w:top w:val="nil"/>
              <w:bottom w:val="nil"/>
            </w:tcBorders>
            <w:vAlign w:val="center"/>
          </w:tcPr>
          <w:p w14:paraId="2D0AF8D1">
            <w:pPr>
              <w:pStyle w:val="58"/>
              <w:bidi w:val="0"/>
              <w:rPr>
                <w:rFonts w:hint="default"/>
                <w:highlight w:val="none"/>
              </w:rPr>
            </w:pPr>
          </w:p>
        </w:tc>
      </w:tr>
      <w:tr w14:paraId="602C2B6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89" w:hRule="atLeast"/>
        </w:trPr>
        <w:tc>
          <w:tcPr>
            <w:tcW w:w="1035" w:type="pct"/>
            <w:vMerge w:val="continue"/>
            <w:tcBorders>
              <w:top w:val="nil"/>
            </w:tcBorders>
            <w:vAlign w:val="center"/>
          </w:tcPr>
          <w:p w14:paraId="3036076E">
            <w:pPr>
              <w:pStyle w:val="58"/>
              <w:bidi w:val="0"/>
              <w:rPr>
                <w:rFonts w:hint="default"/>
                <w:highlight w:val="none"/>
              </w:rPr>
            </w:pPr>
          </w:p>
        </w:tc>
        <w:tc>
          <w:tcPr>
            <w:tcW w:w="454" w:type="pct"/>
            <w:vMerge w:val="continue"/>
            <w:tcBorders>
              <w:top w:val="nil"/>
            </w:tcBorders>
            <w:vAlign w:val="center"/>
          </w:tcPr>
          <w:p w14:paraId="3BA41A26">
            <w:pPr>
              <w:pStyle w:val="58"/>
              <w:bidi w:val="0"/>
              <w:rPr>
                <w:rFonts w:hint="default"/>
                <w:highlight w:val="none"/>
              </w:rPr>
            </w:pPr>
          </w:p>
        </w:tc>
        <w:tc>
          <w:tcPr>
            <w:tcW w:w="613" w:type="pct"/>
            <w:tcBorders>
              <w:top w:val="single" w:color="000000" w:sz="2" w:space="0"/>
            </w:tcBorders>
            <w:vAlign w:val="center"/>
          </w:tcPr>
          <w:p w14:paraId="4373DBCC">
            <w:pPr>
              <w:pStyle w:val="58"/>
              <w:bidi w:val="0"/>
              <w:rPr>
                <w:rFonts w:hint="default"/>
                <w:highlight w:val="none"/>
              </w:rPr>
            </w:pPr>
            <w:r>
              <w:rPr>
                <w:rFonts w:hint="default"/>
                <w:highlight w:val="none"/>
              </w:rPr>
              <w:t>臭气浓度</w:t>
            </w:r>
          </w:p>
        </w:tc>
        <w:tc>
          <w:tcPr>
            <w:tcW w:w="826" w:type="pct"/>
            <w:tcBorders>
              <w:top w:val="single" w:color="000000" w:sz="2" w:space="0"/>
            </w:tcBorders>
            <w:vAlign w:val="center"/>
          </w:tcPr>
          <w:p w14:paraId="55C27268">
            <w:pPr>
              <w:pStyle w:val="58"/>
              <w:bidi w:val="0"/>
              <w:rPr>
                <w:rFonts w:hint="default"/>
                <w:highlight w:val="none"/>
              </w:rPr>
            </w:pPr>
            <w:r>
              <w:rPr>
                <w:rFonts w:hint="default"/>
                <w:highlight w:val="none"/>
                <w:lang w:val="en-US" w:eastAsia="zh-CN"/>
              </w:rPr>
              <w:t>2000</w:t>
            </w:r>
            <w:r>
              <w:rPr>
                <w:rFonts w:hint="default"/>
                <w:highlight w:val="none"/>
              </w:rPr>
              <w:t>（无量纲）</w:t>
            </w:r>
          </w:p>
        </w:tc>
        <w:tc>
          <w:tcPr>
            <w:tcW w:w="718" w:type="pct"/>
            <w:tcBorders>
              <w:top w:val="single" w:color="000000" w:sz="2" w:space="0"/>
            </w:tcBorders>
            <w:vAlign w:val="center"/>
          </w:tcPr>
          <w:p w14:paraId="429F95E1">
            <w:pPr>
              <w:pStyle w:val="58"/>
              <w:bidi w:val="0"/>
              <w:rPr>
                <w:rFonts w:hint="default"/>
                <w:highlight w:val="none"/>
              </w:rPr>
            </w:pPr>
            <w:r>
              <w:rPr>
                <w:rFonts w:hint="default"/>
                <w:highlight w:val="none"/>
              </w:rPr>
              <w:t>/</w:t>
            </w:r>
          </w:p>
        </w:tc>
        <w:tc>
          <w:tcPr>
            <w:tcW w:w="376" w:type="pct"/>
            <w:vMerge w:val="continue"/>
            <w:tcBorders>
              <w:top w:val="nil"/>
            </w:tcBorders>
            <w:vAlign w:val="center"/>
          </w:tcPr>
          <w:p w14:paraId="36CF2AEA">
            <w:pPr>
              <w:pStyle w:val="58"/>
              <w:bidi w:val="0"/>
              <w:rPr>
                <w:rFonts w:hint="default"/>
                <w:highlight w:val="none"/>
              </w:rPr>
            </w:pPr>
          </w:p>
        </w:tc>
        <w:tc>
          <w:tcPr>
            <w:tcW w:w="327" w:type="pct"/>
            <w:vMerge w:val="continue"/>
            <w:tcBorders>
              <w:top w:val="nil"/>
            </w:tcBorders>
            <w:vAlign w:val="center"/>
          </w:tcPr>
          <w:p w14:paraId="0AD6A1A6">
            <w:pPr>
              <w:pStyle w:val="58"/>
              <w:bidi w:val="0"/>
              <w:rPr>
                <w:rFonts w:hint="default"/>
                <w:highlight w:val="none"/>
              </w:rPr>
            </w:pPr>
          </w:p>
        </w:tc>
        <w:tc>
          <w:tcPr>
            <w:tcW w:w="377" w:type="pct"/>
            <w:vMerge w:val="continue"/>
            <w:tcBorders>
              <w:top w:val="nil"/>
            </w:tcBorders>
            <w:vAlign w:val="center"/>
          </w:tcPr>
          <w:p w14:paraId="4ABCBCBC">
            <w:pPr>
              <w:pStyle w:val="58"/>
              <w:bidi w:val="0"/>
              <w:rPr>
                <w:rFonts w:hint="default"/>
                <w:highlight w:val="none"/>
              </w:rPr>
            </w:pPr>
          </w:p>
        </w:tc>
        <w:tc>
          <w:tcPr>
            <w:tcW w:w="269" w:type="pct"/>
            <w:vMerge w:val="continue"/>
            <w:tcBorders>
              <w:top w:val="nil"/>
            </w:tcBorders>
            <w:vAlign w:val="center"/>
          </w:tcPr>
          <w:p w14:paraId="63FD30D8">
            <w:pPr>
              <w:pStyle w:val="58"/>
              <w:bidi w:val="0"/>
              <w:rPr>
                <w:rFonts w:hint="default"/>
                <w:highlight w:val="none"/>
              </w:rPr>
            </w:pPr>
          </w:p>
        </w:tc>
      </w:tr>
    </w:tbl>
    <w:p w14:paraId="388FD1C1">
      <w:pPr>
        <w:spacing w:before="178" w:line="356" w:lineRule="auto"/>
        <w:ind w:left="132" w:right="122" w:firstLine="481"/>
        <w:rPr>
          <w:rFonts w:hint="default" w:ascii="Times New Roman" w:hAnsi="Times New Roman" w:eastAsia="宋体" w:cs="Times New Roman"/>
          <w:sz w:val="24"/>
          <w:szCs w:val="24"/>
          <w:highlight w:val="none"/>
        </w:rPr>
      </w:pPr>
      <w:r>
        <w:rPr>
          <w:rFonts w:hint="default" w:ascii="Times New Roman" w:hAnsi="Times New Roman" w:eastAsia="宋体" w:cs="Times New Roman"/>
          <w:spacing w:val="-3"/>
          <w:sz w:val="24"/>
          <w:szCs w:val="24"/>
          <w:highlight w:val="none"/>
        </w:rPr>
        <w:t>为减少恶臭排放对周围环境产生影响，当环保设备突发故障时，应立即启动维修工</w:t>
      </w:r>
      <w:r>
        <w:rPr>
          <w:rFonts w:hint="default" w:ascii="Times New Roman" w:hAnsi="Times New Roman" w:eastAsia="宋体" w:cs="Times New Roman"/>
          <w:spacing w:val="-1"/>
          <w:sz w:val="24"/>
          <w:szCs w:val="24"/>
          <w:highlight w:val="none"/>
        </w:rPr>
        <w:t>作，以最快的速度恢复环保设备正常运行。</w:t>
      </w:r>
    </w:p>
    <w:bookmarkEnd w:id="219"/>
    <w:p w14:paraId="3C7259D6">
      <w:pPr>
        <w:pStyle w:val="7"/>
        <w:bidi w:val="0"/>
        <w:rPr>
          <w:rFonts w:hint="default"/>
          <w:highlight w:val="none"/>
        </w:rPr>
      </w:pPr>
      <w:bookmarkStart w:id="220" w:name="_Toc3665"/>
      <w:bookmarkStart w:id="221" w:name="_Toc497978871"/>
      <w:r>
        <w:rPr>
          <w:rFonts w:hint="default"/>
          <w:highlight w:val="none"/>
        </w:rPr>
        <w:t>3.</w:t>
      </w:r>
      <w:r>
        <w:rPr>
          <w:rFonts w:hint="default"/>
          <w:highlight w:val="none"/>
          <w:lang w:val="en-US" w:eastAsia="zh-CN"/>
        </w:rPr>
        <w:t>5</w:t>
      </w:r>
      <w:r>
        <w:rPr>
          <w:rFonts w:hint="default"/>
          <w:highlight w:val="none"/>
        </w:rPr>
        <w:t>清洁生产分析</w:t>
      </w:r>
      <w:bookmarkEnd w:id="220"/>
    </w:p>
    <w:p w14:paraId="4646190D">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清洁生产是一种全新的创造性的思想，该思想将整体预防的环境战略持续应用于生产过程、产品和服务等过程中，以增加生态效率和减少人类及环境的风险。《中华人民共和国清洁生产促进法》第二条指出，“本法所称清洁生产，是指不断采取改进设计、使用清洁的能源和原料、采用先进的工艺技术与设备、改善管理、综合利用等措施，从源头削减污染，提高资源利用效率，减少或者避免生产、服务和产品使用过程中污染物的产生和排放，以减轻或者消除对人类健康和环境的危害”。清洁生产是以综合预防污染为目的的环境战略，以节能、降耗、减污、增效为宗旨，是实现可持续发展的重要手段。</w:t>
      </w:r>
    </w:p>
    <w:p w14:paraId="598634EA">
      <w:pPr>
        <w:spacing w:line="480" w:lineRule="exact"/>
        <w:ind w:firstLine="480" w:firstLineChars="200"/>
        <w:jc w:val="both"/>
        <w:rPr>
          <w:rFonts w:hint="default" w:ascii="Times New Roman" w:hAnsi="Times New Roman" w:eastAsia="宋体" w:cs="Times New Roman"/>
          <w:sz w:val="24"/>
          <w:highlight w:val="none"/>
        </w:rPr>
      </w:pPr>
      <w:r>
        <w:rPr>
          <w:rFonts w:hint="default" w:ascii="Times New Roman" w:hAnsi="Times New Roman" w:eastAsia="宋体" w:cs="Times New Roman"/>
          <w:sz w:val="24"/>
          <w:highlight w:val="none"/>
        </w:rPr>
        <w:t>⑴污水处理工艺</w:t>
      </w:r>
    </w:p>
    <w:p w14:paraId="51A04059">
      <w:pPr>
        <w:spacing w:line="480" w:lineRule="exact"/>
        <w:ind w:firstLine="480" w:firstLineChars="200"/>
        <w:jc w:val="both"/>
        <w:rPr>
          <w:rFonts w:hint="default" w:ascii="Times New Roman" w:hAnsi="Times New Roman" w:eastAsia="宋体" w:cs="Times New Roman"/>
          <w:bCs/>
          <w:sz w:val="24"/>
          <w:highlight w:val="none"/>
        </w:rPr>
      </w:pPr>
      <w:r>
        <w:rPr>
          <w:rFonts w:hint="default" w:ascii="Times New Roman" w:hAnsi="Times New Roman" w:eastAsia="宋体" w:cs="Times New Roman"/>
          <w:sz w:val="24"/>
          <w:highlight w:val="none"/>
        </w:rPr>
        <w:t>本项目采用</w:t>
      </w:r>
      <w:r>
        <w:rPr>
          <w:rFonts w:hint="default" w:ascii="Times New Roman" w:hAnsi="Times New Roman" w:eastAsia="宋体" w:cs="Times New Roman"/>
          <w:bCs/>
          <w:sz w:val="24"/>
          <w:highlight w:val="none"/>
          <w:lang w:val="en-US" w:eastAsia="zh-CN"/>
        </w:rPr>
        <w:t>“格栅+调节池+</w:t>
      </w:r>
      <w:r>
        <w:rPr>
          <w:rFonts w:hint="eastAsia" w:cs="Times New Roman"/>
          <w:bCs/>
          <w:sz w:val="24"/>
          <w:highlight w:val="none"/>
          <w:lang w:val="en-US" w:eastAsia="zh-CN"/>
        </w:rPr>
        <w:t>A</w:t>
      </w:r>
      <w:r>
        <w:rPr>
          <w:rFonts w:hint="eastAsia" w:cs="Times New Roman"/>
          <w:bCs/>
          <w:sz w:val="24"/>
          <w:highlight w:val="none"/>
          <w:vertAlign w:val="superscript"/>
          <w:lang w:val="en-US" w:eastAsia="zh-CN"/>
        </w:rPr>
        <w:t>2</w:t>
      </w:r>
      <w:r>
        <w:rPr>
          <w:rFonts w:hint="eastAsia" w:cs="Times New Roman"/>
          <w:bCs/>
          <w:sz w:val="24"/>
          <w:highlight w:val="none"/>
          <w:lang w:val="en-US" w:eastAsia="zh-CN"/>
        </w:rPr>
        <w:t>O</w:t>
      </w:r>
      <w:r>
        <w:rPr>
          <w:rFonts w:hint="default" w:ascii="Times New Roman" w:hAnsi="Times New Roman" w:eastAsia="宋体" w:cs="Times New Roman"/>
          <w:bCs/>
          <w:sz w:val="24"/>
          <w:highlight w:val="none"/>
          <w:lang w:val="en-US" w:eastAsia="zh-CN"/>
        </w:rPr>
        <w:t>一体化处理设备+混凝沉淀池+</w:t>
      </w:r>
      <w:r>
        <w:rPr>
          <w:rFonts w:hint="eastAsia" w:cs="Times New Roman"/>
          <w:bCs/>
          <w:sz w:val="24"/>
          <w:highlight w:val="none"/>
          <w:vertAlign w:val="baseline"/>
          <w:lang w:val="en-US" w:eastAsia="zh-CN"/>
        </w:rPr>
        <w:t>砂滤</w:t>
      </w:r>
      <w:r>
        <w:rPr>
          <w:rFonts w:hint="default" w:ascii="Times New Roman" w:hAnsi="Times New Roman" w:eastAsia="宋体" w:cs="Times New Roman"/>
          <w:bCs/>
          <w:sz w:val="24"/>
          <w:highlight w:val="none"/>
          <w:lang w:val="en-US" w:eastAsia="zh-CN"/>
        </w:rPr>
        <w:t>+</w:t>
      </w:r>
      <w:r>
        <w:rPr>
          <w:rFonts w:hint="eastAsia" w:cs="Times New Roman"/>
          <w:bCs/>
          <w:sz w:val="24"/>
          <w:highlight w:val="none"/>
          <w:lang w:val="en-US" w:eastAsia="zh-CN"/>
        </w:rPr>
        <w:t>次氯酸钠消毒</w:t>
      </w:r>
      <w:r>
        <w:rPr>
          <w:rFonts w:hint="default" w:ascii="Times New Roman" w:hAnsi="Times New Roman" w:eastAsia="宋体" w:cs="Times New Roman"/>
          <w:bCs/>
          <w:sz w:val="24"/>
          <w:highlight w:val="none"/>
          <w:lang w:val="en-US" w:eastAsia="zh-CN"/>
        </w:rPr>
        <w:t>”</w:t>
      </w:r>
      <w:r>
        <w:rPr>
          <w:rFonts w:hint="default" w:ascii="Times New Roman" w:hAnsi="Times New Roman" w:eastAsia="宋体" w:cs="Times New Roman"/>
          <w:sz w:val="24"/>
          <w:highlight w:val="none"/>
        </w:rPr>
        <w:t>处理工艺，其特点是厌氧、缺氧和好氧三段功能明确，界线分明，工艺运转稳定可靠，除磷脱氮程度高，在对出水氮磷指标要求严格时，多采用这种方法。随着目前国家对污水处理的管理越发严格，出水标准的不断提高，国内较大规模的污水处理厂采用</w:t>
      </w:r>
      <w:r>
        <w:rPr>
          <w:rFonts w:hint="eastAsia" w:cs="Times New Roman"/>
          <w:sz w:val="24"/>
          <w:highlight w:val="none"/>
          <w:lang w:eastAsia="zh-CN"/>
        </w:rPr>
        <w:t>A</w:t>
      </w:r>
      <w:r>
        <w:rPr>
          <w:rFonts w:hint="eastAsia" w:cs="Times New Roman"/>
          <w:sz w:val="24"/>
          <w:highlight w:val="none"/>
          <w:vertAlign w:val="superscript"/>
          <w:lang w:eastAsia="zh-CN"/>
        </w:rPr>
        <w:t>2</w:t>
      </w:r>
      <w:r>
        <w:rPr>
          <w:rFonts w:hint="eastAsia" w:cs="Times New Roman"/>
          <w:sz w:val="24"/>
          <w:highlight w:val="none"/>
          <w:lang w:eastAsia="zh-CN"/>
        </w:rPr>
        <w:t>O</w:t>
      </w:r>
      <w:r>
        <w:rPr>
          <w:rFonts w:hint="default" w:ascii="Times New Roman" w:hAnsi="Times New Roman" w:eastAsia="宋体" w:cs="Times New Roman"/>
          <w:sz w:val="24"/>
          <w:highlight w:val="none"/>
        </w:rPr>
        <w:t>及其变形工艺的约占50%以上，</w:t>
      </w:r>
      <w:r>
        <w:rPr>
          <w:rFonts w:hint="eastAsia" w:cs="Times New Roman"/>
          <w:sz w:val="24"/>
          <w:highlight w:val="none"/>
          <w:lang w:eastAsia="zh-CN"/>
        </w:rPr>
        <w:t>A</w:t>
      </w:r>
      <w:r>
        <w:rPr>
          <w:rFonts w:hint="eastAsia" w:cs="Times New Roman"/>
          <w:sz w:val="24"/>
          <w:highlight w:val="none"/>
          <w:vertAlign w:val="superscript"/>
          <w:lang w:eastAsia="zh-CN"/>
        </w:rPr>
        <w:t>2</w:t>
      </w:r>
      <w:r>
        <w:rPr>
          <w:rFonts w:hint="eastAsia" w:cs="Times New Roman"/>
          <w:sz w:val="24"/>
          <w:highlight w:val="none"/>
          <w:lang w:eastAsia="zh-CN"/>
        </w:rPr>
        <w:t>O</w:t>
      </w:r>
      <w:r>
        <w:rPr>
          <w:rFonts w:hint="default" w:ascii="Times New Roman" w:hAnsi="Times New Roman" w:eastAsia="宋体" w:cs="Times New Roman"/>
          <w:sz w:val="24"/>
          <w:highlight w:val="none"/>
        </w:rPr>
        <w:t>工艺流程较为简洁，各个单体构筑物池型简单，单体内的设备较少，国内的建设运行管理经验极为丰富。</w:t>
      </w:r>
      <w:r>
        <w:rPr>
          <w:rFonts w:hint="eastAsia" w:cs="Times New Roman"/>
          <w:sz w:val="24"/>
          <w:highlight w:val="none"/>
          <w:lang w:eastAsia="zh-CN"/>
        </w:rPr>
        <w:t>A</w:t>
      </w:r>
      <w:r>
        <w:rPr>
          <w:rFonts w:hint="eastAsia" w:cs="Times New Roman"/>
          <w:sz w:val="24"/>
          <w:highlight w:val="none"/>
          <w:vertAlign w:val="superscript"/>
          <w:lang w:eastAsia="zh-CN"/>
        </w:rPr>
        <w:t>2</w:t>
      </w:r>
      <w:r>
        <w:rPr>
          <w:rFonts w:hint="eastAsia" w:cs="Times New Roman"/>
          <w:sz w:val="24"/>
          <w:highlight w:val="none"/>
          <w:lang w:eastAsia="zh-CN"/>
        </w:rPr>
        <w:t>O</w:t>
      </w:r>
      <w:r>
        <w:rPr>
          <w:rFonts w:hint="default" w:ascii="Times New Roman" w:hAnsi="Times New Roman" w:eastAsia="宋体" w:cs="Times New Roman"/>
          <w:sz w:val="24"/>
          <w:highlight w:val="none"/>
        </w:rPr>
        <w:t>工艺的突出优点是：出水水质更好，可以保证全面稳定达到</w:t>
      </w:r>
      <w:r>
        <w:rPr>
          <w:rFonts w:hint="default" w:ascii="Times New Roman" w:hAnsi="Times New Roman" w:eastAsia="宋体" w:cs="Times New Roman"/>
          <w:sz w:val="24"/>
          <w:highlight w:val="none"/>
          <w:lang w:val="en-US" w:eastAsia="zh-CN"/>
        </w:rPr>
        <w:t>一级A</w:t>
      </w:r>
      <w:r>
        <w:rPr>
          <w:rFonts w:hint="default" w:ascii="Times New Roman" w:hAnsi="Times New Roman" w:eastAsia="宋体" w:cs="Times New Roman"/>
          <w:sz w:val="24"/>
          <w:highlight w:val="none"/>
        </w:rPr>
        <w:t>标准；管理简便，设备维修量小运行成本较低。</w:t>
      </w:r>
    </w:p>
    <w:p w14:paraId="19DDA10D">
      <w:pPr>
        <w:spacing w:line="480" w:lineRule="exact"/>
        <w:ind w:firstLine="480" w:firstLineChars="200"/>
        <w:rPr>
          <w:rFonts w:hint="default" w:ascii="Times New Roman" w:hAnsi="Times New Roman" w:eastAsia="宋体" w:cs="Times New Roman"/>
          <w:sz w:val="24"/>
          <w:highlight w:val="none"/>
        </w:rPr>
      </w:pPr>
      <w:r>
        <w:rPr>
          <w:rFonts w:hint="default" w:ascii="Times New Roman" w:hAnsi="Times New Roman" w:eastAsia="宋体" w:cs="Times New Roman"/>
          <w:sz w:val="24"/>
          <w:highlight w:val="none"/>
        </w:rPr>
        <w:t>⑵技术装备</w:t>
      </w:r>
    </w:p>
    <w:p w14:paraId="4D0C8AF4">
      <w:pPr>
        <w:spacing w:line="480" w:lineRule="exact"/>
        <w:ind w:firstLine="480" w:firstLineChars="200"/>
        <w:rPr>
          <w:rFonts w:hint="default" w:ascii="Times New Roman" w:hAnsi="Times New Roman" w:eastAsia="宋体" w:cs="Times New Roman"/>
          <w:sz w:val="24"/>
          <w:highlight w:val="none"/>
        </w:rPr>
      </w:pPr>
      <w:r>
        <w:rPr>
          <w:rFonts w:hint="default" w:ascii="Times New Roman" w:hAnsi="Times New Roman" w:eastAsia="宋体" w:cs="Times New Roman"/>
          <w:sz w:val="24"/>
          <w:highlight w:val="none"/>
        </w:rPr>
        <w:t>根据本工程的实际情况及工艺要求，自控系统采用“集中监控、管理，分散控制”的集散型系统。整个系统主要分为污水厂监控和现场PLC。污水厂监控系统功能为：在厂级中央控制室内能对全厂的被控设备进行监测、控制，可对各子站的PLC的参数进行设定和修改。能与上一级监控系统进行通讯联络。本工程现场PLC采用目前在国内有成功运行经验的公司的PLC，该产品可靠性高、系统运行稳定、网络功能强。现场PLC的主要功能是：采集生产现场的各种数据，自动完成污水厂各工段设备的自动控制，完成对生产工艺设备的故障监测、故障报警。</w:t>
      </w:r>
    </w:p>
    <w:p w14:paraId="699E9E10">
      <w:pPr>
        <w:spacing w:line="480" w:lineRule="exact"/>
        <w:ind w:firstLine="480" w:firstLineChars="200"/>
        <w:rPr>
          <w:rFonts w:hint="default" w:ascii="Times New Roman" w:hAnsi="Times New Roman" w:eastAsia="宋体" w:cs="Times New Roman"/>
          <w:sz w:val="24"/>
          <w:highlight w:val="none"/>
        </w:rPr>
      </w:pPr>
      <w:r>
        <w:rPr>
          <w:rFonts w:hint="default" w:ascii="Times New Roman" w:hAnsi="Times New Roman" w:eastAsia="宋体" w:cs="Times New Roman"/>
          <w:sz w:val="24"/>
          <w:highlight w:val="none"/>
        </w:rPr>
        <w:t>本项目产生的恶臭经收集后，采用</w:t>
      </w:r>
      <w:r>
        <w:rPr>
          <w:rFonts w:hint="default" w:ascii="Times New Roman" w:hAnsi="Times New Roman" w:eastAsia="宋体" w:cs="Times New Roman"/>
          <w:sz w:val="24"/>
          <w:highlight w:val="none"/>
          <w:lang w:val="en-US" w:eastAsia="zh-CN"/>
        </w:rPr>
        <w:t>等离子光电一体机</w:t>
      </w:r>
      <w:r>
        <w:rPr>
          <w:rFonts w:hint="default" w:ascii="Times New Roman" w:hAnsi="Times New Roman" w:eastAsia="宋体" w:cs="Times New Roman"/>
          <w:sz w:val="24"/>
          <w:highlight w:val="none"/>
        </w:rPr>
        <w:t>进行处理。</w:t>
      </w:r>
      <w:r>
        <w:rPr>
          <w:rFonts w:hint="default" w:ascii="Times New Roman" w:hAnsi="Times New Roman" w:eastAsia="宋体" w:cs="Times New Roman"/>
          <w:sz w:val="24"/>
          <w:highlight w:val="none"/>
          <w:lang w:val="en-US" w:eastAsia="zh-CN"/>
        </w:rPr>
        <w:t>等离子光电一体机</w:t>
      </w:r>
      <w:r>
        <w:rPr>
          <w:rFonts w:hint="default" w:ascii="Times New Roman" w:hAnsi="Times New Roman" w:eastAsia="宋体" w:cs="Times New Roman"/>
          <w:sz w:val="24"/>
          <w:highlight w:val="none"/>
        </w:rPr>
        <w:t>的异味处理效果非常好，</w:t>
      </w:r>
      <w:r>
        <w:rPr>
          <w:rFonts w:hint="default" w:ascii="Times New Roman" w:hAnsi="Times New Roman" w:eastAsia="宋体" w:cs="Times New Roman"/>
          <w:sz w:val="24"/>
          <w:highlight w:val="none"/>
          <w:lang w:val="en-US" w:eastAsia="zh-CN"/>
        </w:rPr>
        <w:t>并且</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具有优秀的消毒杀菌之功效。技术高端，工艺简洁，开机后，即自行运转，受工况限制非常少，</w:t>
      </w:r>
      <w:r>
        <w:rPr>
          <w:rFonts w:hint="default" w:ascii="Times New Roman" w:hAnsi="Times New Roman" w:eastAsia="宋体" w:cs="Times New Roman"/>
          <w:sz w:val="24"/>
          <w:highlight w:val="none"/>
        </w:rPr>
        <w:t>易损部件少，系统维护管理工作非常简单，基本可以实现无人管理，工人只需巡视是否有机器发生故障。运行采用全自动控制，非常稳定。</w:t>
      </w:r>
    </w:p>
    <w:p w14:paraId="4BE6FD78">
      <w:pPr>
        <w:spacing w:line="480" w:lineRule="exact"/>
        <w:ind w:firstLine="480" w:firstLineChars="200"/>
        <w:rPr>
          <w:rFonts w:hint="default" w:ascii="Times New Roman" w:hAnsi="Times New Roman" w:eastAsia="宋体" w:cs="Times New Roman"/>
          <w:sz w:val="24"/>
          <w:highlight w:val="none"/>
        </w:rPr>
      </w:pPr>
      <w:r>
        <w:rPr>
          <w:rFonts w:hint="default" w:ascii="Times New Roman" w:hAnsi="Times New Roman" w:eastAsia="宋体" w:cs="Times New Roman"/>
          <w:sz w:val="24"/>
          <w:highlight w:val="none"/>
        </w:rPr>
        <w:t>以上分析表明，本工程设备自动化水平较高，基本实现现代化生产管理。</w:t>
      </w:r>
    </w:p>
    <w:p w14:paraId="1932994F">
      <w:pPr>
        <w:pStyle w:val="6"/>
        <w:rPr>
          <w:rFonts w:hint="default" w:ascii="Times New Roman" w:hAnsi="Times New Roman" w:eastAsia="宋体" w:cs="Times New Roman"/>
          <w:highlight w:val="none"/>
        </w:rPr>
      </w:pPr>
      <w:r>
        <w:rPr>
          <w:rFonts w:hint="default" w:ascii="Times New Roman" w:hAnsi="Times New Roman" w:eastAsia="宋体" w:cs="Times New Roman"/>
          <w:highlight w:val="none"/>
        </w:rPr>
        <w:t>3.</w:t>
      </w:r>
      <w:r>
        <w:rPr>
          <w:rFonts w:hint="default" w:ascii="Times New Roman" w:hAnsi="Times New Roman" w:eastAsia="宋体" w:cs="Times New Roman"/>
          <w:highlight w:val="none"/>
          <w:lang w:val="en-US" w:eastAsia="zh-CN"/>
        </w:rPr>
        <w:t>5</w:t>
      </w:r>
      <w:r>
        <w:rPr>
          <w:rFonts w:hint="default" w:ascii="Times New Roman" w:hAnsi="Times New Roman" w:eastAsia="宋体" w:cs="Times New Roman"/>
          <w:highlight w:val="none"/>
        </w:rPr>
        <w:t>.1节能降耗分析</w:t>
      </w:r>
    </w:p>
    <w:p w14:paraId="386A7370">
      <w:pPr>
        <w:spacing w:line="480" w:lineRule="exact"/>
        <w:ind w:firstLine="480" w:firstLineChars="200"/>
        <w:rPr>
          <w:rFonts w:hint="default" w:ascii="Times New Roman" w:hAnsi="Times New Roman" w:eastAsia="宋体" w:cs="Times New Roman"/>
          <w:sz w:val="24"/>
          <w:highlight w:val="none"/>
        </w:rPr>
      </w:pPr>
      <w:r>
        <w:rPr>
          <w:rFonts w:hint="default" w:ascii="Times New Roman" w:hAnsi="Times New Roman" w:eastAsia="宋体" w:cs="Times New Roman"/>
          <w:sz w:val="24"/>
          <w:highlight w:val="none"/>
        </w:rPr>
        <w:t>本工程不论在整体工程设计还是污水处理工艺设计中，节能降耗特点明显，主要表现在以下几个方面：</w:t>
      </w:r>
    </w:p>
    <w:p w14:paraId="0658CE21">
      <w:pPr>
        <w:spacing w:line="480" w:lineRule="exact"/>
        <w:ind w:firstLine="480" w:firstLineChars="200"/>
        <w:rPr>
          <w:rFonts w:hint="default" w:ascii="Times New Roman" w:hAnsi="Times New Roman" w:eastAsia="宋体" w:cs="Times New Roman"/>
          <w:sz w:val="24"/>
          <w:highlight w:val="none"/>
        </w:rPr>
      </w:pPr>
      <w:r>
        <w:rPr>
          <w:rFonts w:hint="default" w:ascii="Times New Roman" w:hAnsi="Times New Roman" w:eastAsia="宋体" w:cs="Times New Roman"/>
          <w:sz w:val="24"/>
          <w:highlight w:val="none"/>
        </w:rPr>
        <w:t>⑴污水处理各个处理构筑物的设计充分考虑水流状态，尽量降低构筑物内部的水头损失；通过厂区合理布局，使各污水处理设施巧妙衔接，大大减少水泵和污泥泵的使用，既节约了能源，又减小了各种泵产生的噪声影响。</w:t>
      </w:r>
    </w:p>
    <w:p w14:paraId="3C8416FE">
      <w:pPr>
        <w:spacing w:line="480" w:lineRule="exact"/>
        <w:ind w:firstLine="480" w:firstLineChars="200"/>
        <w:rPr>
          <w:rFonts w:hint="default" w:ascii="Times New Roman" w:hAnsi="Times New Roman" w:eastAsia="宋体" w:cs="Times New Roman"/>
          <w:sz w:val="24"/>
          <w:highlight w:val="none"/>
        </w:rPr>
      </w:pPr>
      <w:r>
        <w:rPr>
          <w:rFonts w:hint="default" w:ascii="Times New Roman" w:hAnsi="Times New Roman" w:eastAsia="宋体" w:cs="Times New Roman"/>
          <w:sz w:val="24"/>
          <w:highlight w:val="none"/>
        </w:rPr>
        <w:t>⑵本工程用电量最大的设备是提升水泵和鼓风机，对于设备的选型尽量选用效率高、能耗少的先进设备，以节省电耗，本项目选用的水泵、鼓风机等设备用电量较少。</w:t>
      </w:r>
    </w:p>
    <w:p w14:paraId="05BC2946">
      <w:pPr>
        <w:spacing w:line="480" w:lineRule="exact"/>
        <w:ind w:firstLine="480" w:firstLineChars="200"/>
        <w:rPr>
          <w:rFonts w:hint="default" w:ascii="Times New Roman" w:hAnsi="Times New Roman" w:eastAsia="宋体" w:cs="Times New Roman"/>
          <w:sz w:val="24"/>
          <w:highlight w:val="none"/>
        </w:rPr>
      </w:pPr>
      <w:r>
        <w:rPr>
          <w:rFonts w:hint="default" w:ascii="Times New Roman" w:hAnsi="Times New Roman" w:eastAsia="宋体" w:cs="Times New Roman"/>
          <w:sz w:val="24"/>
          <w:highlight w:val="none"/>
        </w:rPr>
        <w:t>⑶采用微孔曝气，在曝气过程中由于特定的溶解氧梯度提高了氧的吸收和传递效率，可以节约供氧量，起到节能的作用。</w:t>
      </w:r>
    </w:p>
    <w:p w14:paraId="7B586026">
      <w:pPr>
        <w:spacing w:line="480" w:lineRule="exact"/>
        <w:ind w:firstLine="480" w:firstLineChars="200"/>
        <w:rPr>
          <w:rFonts w:hint="default" w:ascii="Times New Roman" w:hAnsi="Times New Roman" w:eastAsia="宋体" w:cs="Times New Roman"/>
          <w:bCs/>
          <w:sz w:val="24"/>
          <w:highlight w:val="none"/>
        </w:rPr>
      </w:pPr>
      <w:r>
        <w:rPr>
          <w:rFonts w:hint="default" w:ascii="Times New Roman" w:hAnsi="Times New Roman" w:eastAsia="宋体" w:cs="Times New Roman"/>
          <w:sz w:val="24"/>
          <w:highlight w:val="none"/>
        </w:rPr>
        <w:t>⑷本项目经深度处理后的尾水符合《城镇污水处理厂污染物排放标准》（GB18918-2002）一级A标准，同时满足</w:t>
      </w:r>
      <w:r>
        <w:rPr>
          <w:rFonts w:hint="default" w:ascii="Times New Roman" w:hAnsi="Times New Roman" w:eastAsia="宋体" w:cs="Times New Roman"/>
          <w:sz w:val="24"/>
          <w:highlight w:val="none"/>
          <w:lang w:val="en-US" w:eastAsia="zh-CN"/>
        </w:rPr>
        <w:t>《城市污水再生利用 工业用水水质》（GB/T19923-2024）、《城市污水再生利用 城市杂用水水质》（GB/T18920-2020）</w:t>
      </w:r>
      <w:r>
        <w:rPr>
          <w:rFonts w:hint="eastAsia" w:cs="Times New Roman"/>
          <w:color w:val="auto"/>
          <w:sz w:val="21"/>
          <w:szCs w:val="21"/>
          <w:highlight w:val="none"/>
          <w:lang w:val="en-US" w:eastAsia="zh-CN"/>
        </w:rPr>
        <w:t>、</w:t>
      </w:r>
      <w:r>
        <w:rPr>
          <w:rFonts w:hint="eastAsia" w:ascii="Times New Roman" w:hAnsi="Times New Roman" w:eastAsia="宋体" w:cs="Times New Roman"/>
          <w:sz w:val="24"/>
          <w:highlight w:val="none"/>
          <w:lang w:val="en-US" w:eastAsia="zh-CN"/>
        </w:rPr>
        <w:t>《</w:t>
      </w:r>
      <w:r>
        <w:rPr>
          <w:rFonts w:hint="default" w:ascii="Times New Roman" w:hAnsi="Times New Roman" w:eastAsia="宋体" w:cs="Times New Roman"/>
          <w:sz w:val="24"/>
          <w:highlight w:val="none"/>
          <w:lang w:val="en-US" w:eastAsia="zh-CN"/>
        </w:rPr>
        <w:t>城市污水再生利用 绿地灌溉水质</w:t>
      </w:r>
      <w:r>
        <w:rPr>
          <w:rFonts w:hint="eastAsia" w:ascii="Times New Roman" w:hAnsi="Times New Roman" w:eastAsia="宋体" w:cs="Times New Roman"/>
          <w:sz w:val="24"/>
          <w:highlight w:val="none"/>
          <w:lang w:val="en-US" w:eastAsia="zh-CN"/>
        </w:rPr>
        <w:t>》（</w:t>
      </w:r>
      <w:r>
        <w:rPr>
          <w:rFonts w:hint="default" w:ascii="Times New Roman" w:hAnsi="Times New Roman" w:eastAsia="宋体" w:cs="Times New Roman"/>
          <w:sz w:val="24"/>
          <w:highlight w:val="none"/>
          <w:lang w:val="en-US" w:eastAsia="zh-CN"/>
        </w:rPr>
        <w:t>GB/T</w:t>
      </w:r>
      <w:r>
        <w:rPr>
          <w:rFonts w:hint="eastAsia" w:ascii="Times New Roman" w:hAnsi="Times New Roman" w:eastAsia="宋体" w:cs="Times New Roman"/>
          <w:sz w:val="24"/>
          <w:highlight w:val="none"/>
          <w:lang w:val="en-US" w:eastAsia="zh-CN"/>
        </w:rPr>
        <w:t>25499</w:t>
      </w:r>
      <w:r>
        <w:rPr>
          <w:rFonts w:hint="default" w:ascii="Times New Roman" w:hAnsi="Times New Roman" w:eastAsia="宋体" w:cs="Times New Roman"/>
          <w:sz w:val="24"/>
          <w:highlight w:val="none"/>
          <w:lang w:val="en-US" w:eastAsia="zh-CN"/>
        </w:rPr>
        <w:t>-</w:t>
      </w:r>
      <w:r>
        <w:rPr>
          <w:rFonts w:hint="eastAsia" w:ascii="Times New Roman" w:hAnsi="Times New Roman" w:eastAsia="宋体" w:cs="Times New Roman"/>
          <w:sz w:val="24"/>
          <w:highlight w:val="none"/>
          <w:lang w:val="en-US" w:eastAsia="zh-CN"/>
        </w:rPr>
        <w:t>2010）</w:t>
      </w:r>
      <w:r>
        <w:rPr>
          <w:rFonts w:hint="default" w:ascii="Times New Roman" w:hAnsi="Times New Roman" w:eastAsia="宋体" w:cs="Times New Roman"/>
          <w:sz w:val="24"/>
          <w:highlight w:val="none"/>
          <w:lang w:val="en-US" w:eastAsia="zh-CN"/>
        </w:rPr>
        <w:t>标准限值。首先作为中水回用厂区生产用水，剩余污水回用于园区绿化、道路喷洒及园区企业生产用水</w:t>
      </w:r>
      <w:r>
        <w:rPr>
          <w:rFonts w:hint="eastAsia" w:cs="Times New Roman"/>
          <w:sz w:val="24"/>
          <w:highlight w:val="none"/>
          <w:lang w:val="en-US" w:eastAsia="zh-CN"/>
        </w:rPr>
        <w:t>，</w:t>
      </w:r>
      <w:r>
        <w:rPr>
          <w:rFonts w:hint="default" w:ascii="Times New Roman" w:hAnsi="Times New Roman" w:eastAsia="宋体" w:cs="Times New Roman"/>
          <w:bCs/>
          <w:sz w:val="24"/>
          <w:highlight w:val="none"/>
          <w:lang w:val="en-US" w:eastAsia="zh-CN"/>
        </w:rPr>
        <w:t>不外排</w:t>
      </w:r>
      <w:r>
        <w:rPr>
          <w:rFonts w:hint="default" w:ascii="Times New Roman" w:hAnsi="Times New Roman" w:eastAsia="宋体" w:cs="Times New Roman"/>
          <w:bCs/>
          <w:sz w:val="24"/>
          <w:highlight w:val="none"/>
        </w:rPr>
        <w:t>，符合清洁生产的要求。</w:t>
      </w:r>
    </w:p>
    <w:p w14:paraId="641DBCCB">
      <w:pPr>
        <w:spacing w:line="480" w:lineRule="exact"/>
        <w:ind w:firstLine="480" w:firstLineChars="200"/>
        <w:rPr>
          <w:rFonts w:hint="default" w:ascii="Times New Roman" w:hAnsi="Times New Roman" w:eastAsia="宋体" w:cs="Times New Roman"/>
          <w:bCs/>
          <w:sz w:val="24"/>
          <w:highlight w:val="none"/>
        </w:rPr>
      </w:pPr>
      <w:r>
        <w:rPr>
          <w:rFonts w:hint="default" w:ascii="Times New Roman" w:hAnsi="Times New Roman" w:eastAsia="宋体" w:cs="Times New Roman"/>
          <w:sz w:val="24"/>
          <w:highlight w:val="none"/>
        </w:rPr>
        <w:t>⑸本项目</w:t>
      </w:r>
      <w:r>
        <w:rPr>
          <w:rFonts w:hint="eastAsia" w:cs="Times New Roman"/>
          <w:sz w:val="24"/>
          <w:highlight w:val="none"/>
          <w:lang w:eastAsia="zh-CN"/>
        </w:rPr>
        <w:t>加药间、实验室等办公区域</w:t>
      </w:r>
      <w:r>
        <w:rPr>
          <w:rFonts w:hint="default" w:ascii="Times New Roman" w:hAnsi="Times New Roman" w:eastAsia="宋体" w:cs="Times New Roman"/>
          <w:sz w:val="24"/>
          <w:highlight w:val="none"/>
        </w:rPr>
        <w:t>冬季采暖均</w:t>
      </w:r>
      <w:r>
        <w:rPr>
          <w:rFonts w:hint="default" w:ascii="Times New Roman" w:hAnsi="Times New Roman" w:eastAsia="宋体" w:cs="Times New Roman"/>
          <w:sz w:val="24"/>
          <w:highlight w:val="none"/>
          <w:lang w:val="en-US" w:eastAsia="zh-CN"/>
        </w:rPr>
        <w:t>采用空调</w:t>
      </w:r>
      <w:r>
        <w:rPr>
          <w:rFonts w:hint="default" w:ascii="Times New Roman" w:hAnsi="Times New Roman" w:eastAsia="宋体" w:cs="Times New Roman"/>
          <w:sz w:val="24"/>
          <w:highlight w:val="none"/>
        </w:rPr>
        <w:t>，符合</w:t>
      </w:r>
      <w:r>
        <w:rPr>
          <w:rFonts w:hint="default" w:ascii="Times New Roman" w:hAnsi="Times New Roman" w:eastAsia="宋体" w:cs="Times New Roman"/>
          <w:bCs/>
          <w:sz w:val="24"/>
          <w:highlight w:val="none"/>
        </w:rPr>
        <w:t>清洁生产的要求。</w:t>
      </w:r>
    </w:p>
    <w:p w14:paraId="37BB8F09">
      <w:pPr>
        <w:pStyle w:val="6"/>
        <w:rPr>
          <w:rFonts w:hint="default" w:ascii="Times New Roman" w:hAnsi="Times New Roman" w:eastAsia="宋体" w:cs="Times New Roman"/>
          <w:highlight w:val="none"/>
        </w:rPr>
      </w:pPr>
      <w:r>
        <w:rPr>
          <w:rFonts w:hint="default" w:ascii="Times New Roman" w:hAnsi="Times New Roman" w:eastAsia="宋体" w:cs="Times New Roman"/>
          <w:highlight w:val="none"/>
        </w:rPr>
        <w:t>3.</w:t>
      </w:r>
      <w:r>
        <w:rPr>
          <w:rFonts w:hint="default" w:ascii="Times New Roman" w:hAnsi="Times New Roman" w:eastAsia="宋体" w:cs="Times New Roman"/>
          <w:highlight w:val="none"/>
          <w:lang w:val="en-US" w:eastAsia="zh-CN"/>
        </w:rPr>
        <w:t>5</w:t>
      </w:r>
      <w:r>
        <w:rPr>
          <w:rFonts w:hint="default" w:ascii="Times New Roman" w:hAnsi="Times New Roman" w:eastAsia="宋体" w:cs="Times New Roman"/>
          <w:highlight w:val="none"/>
        </w:rPr>
        <w:t>.2清洁生产小结</w:t>
      </w:r>
    </w:p>
    <w:p w14:paraId="538BC02E">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sz w:val="24"/>
          <w:highlight w:val="none"/>
        </w:rPr>
        <w:t>综上所述，本项目采用先进的生产工艺和技术装备，可取得明显的节能效果，对污水进行了处理和资源化利用，有效控制了污水的排放，有利于保护环境和资源利用，从总体上来说拟建项目清洁生产水平处于</w:t>
      </w:r>
      <w:r>
        <w:rPr>
          <w:rFonts w:hint="default" w:ascii="Times New Roman" w:hAnsi="Times New Roman" w:eastAsia="宋体" w:cs="Times New Roman"/>
          <w:sz w:val="24"/>
          <w:highlight w:val="none"/>
          <w:lang w:val="en-US" w:eastAsia="zh-CN"/>
        </w:rPr>
        <w:t>同规模污水处理厂</w:t>
      </w:r>
      <w:r>
        <w:rPr>
          <w:rFonts w:hint="default" w:ascii="Times New Roman" w:hAnsi="Times New Roman" w:eastAsia="宋体" w:cs="Times New Roman"/>
          <w:sz w:val="24"/>
          <w:highlight w:val="none"/>
        </w:rPr>
        <w:t>国内先进水平。</w:t>
      </w:r>
    </w:p>
    <w:p w14:paraId="1AF60A14">
      <w:pPr>
        <w:pStyle w:val="7"/>
        <w:bidi w:val="0"/>
        <w:rPr>
          <w:rFonts w:hint="default"/>
          <w:highlight w:val="none"/>
        </w:rPr>
      </w:pPr>
      <w:bookmarkStart w:id="222" w:name="_Toc24720"/>
      <w:r>
        <w:rPr>
          <w:rFonts w:hint="default"/>
          <w:highlight w:val="none"/>
        </w:rPr>
        <w:t>3.</w:t>
      </w:r>
      <w:r>
        <w:rPr>
          <w:rFonts w:hint="default"/>
          <w:highlight w:val="none"/>
          <w:lang w:val="en-US" w:eastAsia="zh-CN"/>
        </w:rPr>
        <w:t>6</w:t>
      </w:r>
      <w:r>
        <w:rPr>
          <w:rFonts w:hint="default"/>
          <w:highlight w:val="none"/>
        </w:rPr>
        <w:t>总量控制</w:t>
      </w:r>
      <w:bookmarkEnd w:id="221"/>
      <w:bookmarkEnd w:id="222"/>
    </w:p>
    <w:p w14:paraId="269A63F2">
      <w:pPr>
        <w:spacing w:before="192" w:line="221" w:lineRule="auto"/>
        <w:ind w:left="126"/>
        <w:outlineLvl w:val="2"/>
        <w:rPr>
          <w:rFonts w:hint="default" w:ascii="Times New Roman" w:hAnsi="Times New Roman" w:eastAsia="宋体" w:cs="Times New Roman"/>
          <w:sz w:val="24"/>
          <w:szCs w:val="24"/>
          <w:highlight w:val="none"/>
        </w:rPr>
      </w:pPr>
      <w:r>
        <w:rPr>
          <w:rFonts w:hint="default" w:ascii="Times New Roman" w:hAnsi="Times New Roman" w:eastAsia="宋体" w:cs="Times New Roman"/>
          <w:b/>
          <w:bCs/>
          <w:spacing w:val="-2"/>
          <w:sz w:val="24"/>
          <w:szCs w:val="24"/>
          <w:highlight w:val="none"/>
        </w:rPr>
        <w:t>3.</w:t>
      </w:r>
      <w:r>
        <w:rPr>
          <w:rFonts w:hint="default" w:ascii="Times New Roman" w:hAnsi="Times New Roman" w:eastAsia="宋体" w:cs="Times New Roman"/>
          <w:b/>
          <w:bCs/>
          <w:spacing w:val="-2"/>
          <w:sz w:val="24"/>
          <w:szCs w:val="24"/>
          <w:highlight w:val="none"/>
          <w:lang w:val="en-US" w:eastAsia="zh-CN"/>
        </w:rPr>
        <w:t>6</w:t>
      </w:r>
      <w:r>
        <w:rPr>
          <w:rFonts w:hint="default" w:ascii="Times New Roman" w:hAnsi="Times New Roman" w:eastAsia="宋体" w:cs="Times New Roman"/>
          <w:b/>
          <w:bCs/>
          <w:spacing w:val="-2"/>
          <w:sz w:val="24"/>
          <w:szCs w:val="24"/>
          <w:highlight w:val="none"/>
        </w:rPr>
        <w:t>.1总量控制因子</w:t>
      </w:r>
    </w:p>
    <w:p w14:paraId="7F1C4536">
      <w:pPr>
        <w:bidi w:val="0"/>
        <w:rPr>
          <w:rFonts w:hint="default"/>
          <w:highlight w:val="none"/>
        </w:rPr>
      </w:pPr>
      <w:r>
        <w:rPr>
          <w:rFonts w:hint="default"/>
          <w:highlight w:val="none"/>
        </w:rPr>
        <w:t>根据全国主要污染物排放总量控制目标，结合本项目所在区域环境质量现状和工程外排污染物特征，确定以下污染物为排放总量控制因子：</w:t>
      </w:r>
    </w:p>
    <w:p w14:paraId="26B61922">
      <w:pPr>
        <w:bidi w:val="0"/>
        <w:rPr>
          <w:rFonts w:hint="default"/>
          <w:highlight w:val="none"/>
        </w:rPr>
      </w:pPr>
      <w:r>
        <w:rPr>
          <w:rFonts w:hint="default"/>
          <w:highlight w:val="none"/>
        </w:rPr>
        <w:t>废气：氨、硫化氢；</w:t>
      </w:r>
    </w:p>
    <w:p w14:paraId="2F116968">
      <w:pPr>
        <w:bidi w:val="0"/>
        <w:rPr>
          <w:rFonts w:hint="default"/>
          <w:highlight w:val="none"/>
        </w:rPr>
      </w:pPr>
      <w:r>
        <w:rPr>
          <w:rFonts w:hint="default"/>
          <w:highlight w:val="none"/>
        </w:rPr>
        <w:t>废水：COD、</w:t>
      </w:r>
      <w:r>
        <w:rPr>
          <w:rFonts w:hint="eastAsia"/>
          <w:highlight w:val="none"/>
          <w:lang w:eastAsia="zh-CN"/>
        </w:rPr>
        <w:t>NH</w:t>
      </w:r>
      <w:r>
        <w:rPr>
          <w:rFonts w:hint="eastAsia"/>
          <w:highlight w:val="none"/>
          <w:vertAlign w:val="subscript"/>
          <w:lang w:eastAsia="zh-CN"/>
        </w:rPr>
        <w:t>3</w:t>
      </w:r>
      <w:r>
        <w:rPr>
          <w:rFonts w:hint="default"/>
          <w:highlight w:val="none"/>
        </w:rPr>
        <w:t>-N、TN、TP。</w:t>
      </w:r>
    </w:p>
    <w:p w14:paraId="72B1727C">
      <w:pPr>
        <w:spacing w:before="194" w:line="221" w:lineRule="auto"/>
        <w:ind w:left="126"/>
        <w:outlineLvl w:val="2"/>
        <w:rPr>
          <w:rFonts w:hint="default" w:ascii="Times New Roman" w:hAnsi="Times New Roman" w:eastAsia="宋体" w:cs="Times New Roman"/>
          <w:sz w:val="24"/>
          <w:szCs w:val="24"/>
          <w:highlight w:val="none"/>
        </w:rPr>
      </w:pPr>
      <w:r>
        <w:rPr>
          <w:rFonts w:hint="default" w:ascii="Times New Roman" w:hAnsi="Times New Roman" w:eastAsia="宋体" w:cs="Times New Roman"/>
          <w:b/>
          <w:bCs/>
          <w:spacing w:val="-2"/>
          <w:sz w:val="24"/>
          <w:szCs w:val="24"/>
          <w:highlight w:val="none"/>
        </w:rPr>
        <w:t>3.</w:t>
      </w:r>
      <w:r>
        <w:rPr>
          <w:rFonts w:hint="default" w:ascii="Times New Roman" w:hAnsi="Times New Roman" w:eastAsia="宋体" w:cs="Times New Roman"/>
          <w:b/>
          <w:bCs/>
          <w:spacing w:val="-2"/>
          <w:sz w:val="24"/>
          <w:szCs w:val="24"/>
          <w:highlight w:val="none"/>
          <w:lang w:val="en-US" w:eastAsia="zh-CN"/>
        </w:rPr>
        <w:t>6</w:t>
      </w:r>
      <w:r>
        <w:rPr>
          <w:rFonts w:hint="default" w:ascii="Times New Roman" w:hAnsi="Times New Roman" w:eastAsia="宋体" w:cs="Times New Roman"/>
          <w:b/>
          <w:bCs/>
          <w:spacing w:val="-2"/>
          <w:sz w:val="24"/>
          <w:szCs w:val="24"/>
          <w:highlight w:val="none"/>
        </w:rPr>
        <w:t>.2主要污染物预测排放量</w:t>
      </w:r>
    </w:p>
    <w:p w14:paraId="1F93D356">
      <w:pPr>
        <w:spacing w:before="192" w:line="357" w:lineRule="auto"/>
        <w:ind w:left="130" w:right="122" w:firstLine="480"/>
        <w:rPr>
          <w:rFonts w:hint="default" w:ascii="Times New Roman" w:hAnsi="Times New Roman" w:eastAsia="宋体" w:cs="Times New Roman"/>
          <w:spacing w:val="-5"/>
          <w:sz w:val="24"/>
          <w:szCs w:val="24"/>
          <w:highlight w:val="none"/>
        </w:rPr>
      </w:pPr>
      <w:r>
        <w:rPr>
          <w:rFonts w:hint="default" w:ascii="Times New Roman" w:hAnsi="Times New Roman" w:eastAsia="宋体" w:cs="Times New Roman"/>
          <w:spacing w:val="-2"/>
          <w:sz w:val="24"/>
          <w:szCs w:val="24"/>
          <w:highlight w:val="none"/>
        </w:rPr>
        <w:t>根据3.3章节分析内容可知，本项目有组织废气、无组织废气预测排放量合计见下</w:t>
      </w:r>
      <w:r>
        <w:rPr>
          <w:rFonts w:hint="default" w:ascii="Times New Roman" w:hAnsi="Times New Roman" w:eastAsia="宋体" w:cs="Times New Roman"/>
          <w:spacing w:val="-5"/>
          <w:sz w:val="24"/>
          <w:szCs w:val="24"/>
          <w:highlight w:val="none"/>
        </w:rPr>
        <w:t>表。</w:t>
      </w:r>
    </w:p>
    <w:p w14:paraId="03F40847">
      <w:pPr>
        <w:spacing w:before="33" w:line="221" w:lineRule="auto"/>
        <w:ind w:left="2857"/>
        <w:rPr>
          <w:rFonts w:hint="default" w:ascii="Times New Roman" w:hAnsi="Times New Roman" w:eastAsia="宋体" w:cs="Times New Roman"/>
          <w:sz w:val="24"/>
          <w:szCs w:val="24"/>
          <w:highlight w:val="none"/>
        </w:rPr>
      </w:pPr>
      <w:r>
        <w:rPr>
          <w:rFonts w:hint="default" w:ascii="Times New Roman" w:hAnsi="Times New Roman" w:eastAsia="宋体" w:cs="Times New Roman"/>
          <w:b/>
          <w:bCs/>
          <w:spacing w:val="-2"/>
          <w:sz w:val="24"/>
          <w:szCs w:val="24"/>
          <w:highlight w:val="none"/>
        </w:rPr>
        <w:t>表3.</w:t>
      </w:r>
      <w:r>
        <w:rPr>
          <w:rFonts w:hint="default" w:ascii="Times New Roman" w:hAnsi="Times New Roman" w:eastAsia="宋体" w:cs="Times New Roman"/>
          <w:b/>
          <w:bCs/>
          <w:spacing w:val="-2"/>
          <w:sz w:val="24"/>
          <w:szCs w:val="24"/>
          <w:highlight w:val="none"/>
          <w:lang w:val="en-US" w:eastAsia="zh-CN"/>
        </w:rPr>
        <w:t>6</w:t>
      </w:r>
      <w:r>
        <w:rPr>
          <w:rFonts w:hint="default" w:ascii="Times New Roman" w:hAnsi="Times New Roman" w:eastAsia="宋体" w:cs="Times New Roman"/>
          <w:b/>
          <w:bCs/>
          <w:spacing w:val="-2"/>
          <w:sz w:val="24"/>
          <w:szCs w:val="24"/>
          <w:highlight w:val="none"/>
        </w:rPr>
        <w:t>-1污染物预测排放量一览表</w:t>
      </w:r>
    </w:p>
    <w:p w14:paraId="3B15C2FD">
      <w:pPr>
        <w:spacing w:line="15" w:lineRule="exact"/>
        <w:rPr>
          <w:rFonts w:hint="default" w:ascii="Times New Roman" w:hAnsi="Times New Roman" w:eastAsia="宋体" w:cs="Times New Roman"/>
          <w:highlight w:val="none"/>
        </w:rPr>
      </w:pPr>
    </w:p>
    <w:tbl>
      <w:tblPr>
        <w:tblStyle w:val="88"/>
        <w:tblW w:w="5010" w:type="pct"/>
        <w:tblInd w:w="0" w:type="dxa"/>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Layout w:type="autofit"/>
        <w:tblCellMar>
          <w:top w:w="0" w:type="dxa"/>
          <w:left w:w="0" w:type="dxa"/>
          <w:bottom w:w="0" w:type="dxa"/>
          <w:right w:w="0" w:type="dxa"/>
        </w:tblCellMar>
      </w:tblPr>
      <w:tblGrid>
        <w:gridCol w:w="1241"/>
        <w:gridCol w:w="1064"/>
        <w:gridCol w:w="1016"/>
        <w:gridCol w:w="1084"/>
        <w:gridCol w:w="1124"/>
        <w:gridCol w:w="907"/>
        <w:gridCol w:w="1073"/>
        <w:gridCol w:w="859"/>
        <w:gridCol w:w="752"/>
      </w:tblGrid>
      <w:tr w14:paraId="6952B1CB">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680" w:type="pct"/>
            <w:vMerge w:val="restart"/>
            <w:tcBorders>
              <w:bottom w:val="nil"/>
            </w:tcBorders>
            <w:vAlign w:val="center"/>
          </w:tcPr>
          <w:p w14:paraId="75388DE4">
            <w:pPr>
              <w:pStyle w:val="58"/>
              <w:bidi w:val="0"/>
              <w:jc w:val="center"/>
              <w:rPr>
                <w:rFonts w:hint="default"/>
                <w:highlight w:val="none"/>
              </w:rPr>
            </w:pPr>
            <w:r>
              <w:rPr>
                <w:rFonts w:hint="default"/>
                <w:highlight w:val="none"/>
              </w:rPr>
              <w:t>类别</w:t>
            </w:r>
          </w:p>
        </w:tc>
        <w:tc>
          <w:tcPr>
            <w:tcW w:w="2350" w:type="pct"/>
            <w:gridSpan w:val="4"/>
            <w:vAlign w:val="center"/>
          </w:tcPr>
          <w:p w14:paraId="5CD9C69D">
            <w:pPr>
              <w:pStyle w:val="58"/>
              <w:bidi w:val="0"/>
              <w:jc w:val="center"/>
              <w:rPr>
                <w:rFonts w:hint="default"/>
                <w:highlight w:val="none"/>
              </w:rPr>
            </w:pPr>
            <w:r>
              <w:rPr>
                <w:rFonts w:hint="default"/>
                <w:highlight w:val="none"/>
              </w:rPr>
              <w:t>废气</w:t>
            </w:r>
          </w:p>
        </w:tc>
        <w:tc>
          <w:tcPr>
            <w:tcW w:w="1968" w:type="pct"/>
            <w:gridSpan w:val="4"/>
            <w:vAlign w:val="center"/>
          </w:tcPr>
          <w:p w14:paraId="38925728">
            <w:pPr>
              <w:pStyle w:val="58"/>
              <w:bidi w:val="0"/>
              <w:jc w:val="center"/>
              <w:rPr>
                <w:rFonts w:hint="default"/>
                <w:highlight w:val="none"/>
              </w:rPr>
            </w:pPr>
            <w:r>
              <w:rPr>
                <w:rFonts w:hint="default"/>
                <w:highlight w:val="none"/>
              </w:rPr>
              <w:t>废水</w:t>
            </w:r>
          </w:p>
        </w:tc>
      </w:tr>
      <w:tr w14:paraId="0FB1E367">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680" w:type="pct"/>
            <w:vMerge w:val="continue"/>
            <w:tcBorders>
              <w:top w:val="nil"/>
            </w:tcBorders>
            <w:vAlign w:val="center"/>
          </w:tcPr>
          <w:p w14:paraId="2A975D09">
            <w:pPr>
              <w:pStyle w:val="58"/>
              <w:bidi w:val="0"/>
              <w:jc w:val="center"/>
              <w:rPr>
                <w:rFonts w:hint="default"/>
                <w:highlight w:val="none"/>
              </w:rPr>
            </w:pPr>
          </w:p>
        </w:tc>
        <w:tc>
          <w:tcPr>
            <w:tcW w:w="583" w:type="pct"/>
            <w:vAlign w:val="center"/>
          </w:tcPr>
          <w:p w14:paraId="03FDACD5">
            <w:pPr>
              <w:pStyle w:val="58"/>
              <w:bidi w:val="0"/>
              <w:jc w:val="center"/>
              <w:rPr>
                <w:rFonts w:hint="eastAsia" w:eastAsia="宋体"/>
                <w:highlight w:val="none"/>
                <w:lang w:eastAsia="zh-CN"/>
              </w:rPr>
            </w:pPr>
            <w:r>
              <w:rPr>
                <w:rFonts w:hint="eastAsia"/>
                <w:highlight w:val="none"/>
                <w:lang w:eastAsia="zh-CN"/>
              </w:rPr>
              <w:t>SO</w:t>
            </w:r>
            <w:r>
              <w:rPr>
                <w:rFonts w:hint="eastAsia"/>
                <w:highlight w:val="none"/>
                <w:vertAlign w:val="subscript"/>
                <w:lang w:eastAsia="zh-CN"/>
              </w:rPr>
              <w:t>2</w:t>
            </w:r>
          </w:p>
        </w:tc>
        <w:tc>
          <w:tcPr>
            <w:tcW w:w="557" w:type="pct"/>
            <w:vAlign w:val="center"/>
          </w:tcPr>
          <w:p w14:paraId="5A88421F">
            <w:pPr>
              <w:pStyle w:val="58"/>
              <w:bidi w:val="0"/>
              <w:jc w:val="center"/>
              <w:rPr>
                <w:rFonts w:hint="default"/>
                <w:highlight w:val="none"/>
              </w:rPr>
            </w:pPr>
            <w:r>
              <w:rPr>
                <w:rFonts w:hint="default"/>
                <w:highlight w:val="none"/>
              </w:rPr>
              <w:t>NOx</w:t>
            </w:r>
          </w:p>
        </w:tc>
        <w:tc>
          <w:tcPr>
            <w:tcW w:w="594" w:type="pct"/>
            <w:vAlign w:val="center"/>
          </w:tcPr>
          <w:p w14:paraId="57CA2F9F">
            <w:pPr>
              <w:pStyle w:val="58"/>
              <w:bidi w:val="0"/>
              <w:jc w:val="center"/>
              <w:rPr>
                <w:rFonts w:hint="default"/>
                <w:highlight w:val="none"/>
                <w:lang w:eastAsia="zh-CN"/>
              </w:rPr>
            </w:pPr>
            <w:r>
              <w:rPr>
                <w:rFonts w:hint="eastAsia"/>
                <w:highlight w:val="none"/>
                <w:lang w:eastAsia="zh-CN"/>
              </w:rPr>
              <w:t>NH</w:t>
            </w:r>
            <w:r>
              <w:rPr>
                <w:rFonts w:hint="eastAsia"/>
                <w:highlight w:val="none"/>
                <w:vertAlign w:val="subscript"/>
                <w:lang w:eastAsia="zh-CN"/>
              </w:rPr>
              <w:t>3</w:t>
            </w:r>
          </w:p>
        </w:tc>
        <w:tc>
          <w:tcPr>
            <w:tcW w:w="615" w:type="pct"/>
            <w:vAlign w:val="center"/>
          </w:tcPr>
          <w:p w14:paraId="1EDE9B19">
            <w:pPr>
              <w:pStyle w:val="58"/>
              <w:bidi w:val="0"/>
              <w:jc w:val="center"/>
              <w:rPr>
                <w:rFonts w:hint="eastAsia" w:eastAsia="宋体"/>
                <w:highlight w:val="none"/>
                <w:lang w:eastAsia="zh-CN"/>
              </w:rPr>
            </w:pPr>
            <w:r>
              <w:rPr>
                <w:rFonts w:hint="eastAsia"/>
                <w:highlight w:val="none"/>
                <w:lang w:eastAsia="zh-CN"/>
              </w:rPr>
              <w:t>H</w:t>
            </w:r>
            <w:r>
              <w:rPr>
                <w:rFonts w:hint="eastAsia"/>
                <w:highlight w:val="none"/>
                <w:vertAlign w:val="subscript"/>
                <w:lang w:eastAsia="zh-CN"/>
              </w:rPr>
              <w:t>2</w:t>
            </w:r>
            <w:r>
              <w:rPr>
                <w:rFonts w:hint="eastAsia"/>
                <w:highlight w:val="none"/>
                <w:lang w:eastAsia="zh-CN"/>
              </w:rPr>
              <w:t>S</w:t>
            </w:r>
          </w:p>
        </w:tc>
        <w:tc>
          <w:tcPr>
            <w:tcW w:w="497" w:type="pct"/>
            <w:vAlign w:val="center"/>
          </w:tcPr>
          <w:p w14:paraId="140E99DE">
            <w:pPr>
              <w:pStyle w:val="58"/>
              <w:bidi w:val="0"/>
              <w:jc w:val="center"/>
              <w:rPr>
                <w:rFonts w:hint="default"/>
                <w:highlight w:val="none"/>
              </w:rPr>
            </w:pPr>
            <w:r>
              <w:rPr>
                <w:rFonts w:hint="default"/>
                <w:highlight w:val="none"/>
              </w:rPr>
              <w:t>COD</w:t>
            </w:r>
          </w:p>
        </w:tc>
        <w:tc>
          <w:tcPr>
            <w:tcW w:w="588" w:type="pct"/>
            <w:vAlign w:val="center"/>
          </w:tcPr>
          <w:p w14:paraId="5A669A20">
            <w:pPr>
              <w:pStyle w:val="58"/>
              <w:bidi w:val="0"/>
              <w:jc w:val="center"/>
              <w:rPr>
                <w:rFonts w:hint="default"/>
                <w:highlight w:val="none"/>
              </w:rPr>
            </w:pPr>
            <w:r>
              <w:rPr>
                <w:rFonts w:hint="eastAsia"/>
                <w:highlight w:val="none"/>
                <w:lang w:eastAsia="zh-CN"/>
              </w:rPr>
              <w:t>NH</w:t>
            </w:r>
            <w:r>
              <w:rPr>
                <w:rFonts w:hint="eastAsia"/>
                <w:highlight w:val="none"/>
                <w:vertAlign w:val="subscript"/>
                <w:lang w:eastAsia="zh-CN"/>
              </w:rPr>
              <w:t>3</w:t>
            </w:r>
            <w:r>
              <w:rPr>
                <w:rFonts w:hint="default"/>
                <w:highlight w:val="none"/>
              </w:rPr>
              <w:t>-N</w:t>
            </w:r>
          </w:p>
        </w:tc>
        <w:tc>
          <w:tcPr>
            <w:tcW w:w="471" w:type="pct"/>
            <w:vAlign w:val="center"/>
          </w:tcPr>
          <w:p w14:paraId="21D37AE2">
            <w:pPr>
              <w:pStyle w:val="58"/>
              <w:bidi w:val="0"/>
              <w:jc w:val="center"/>
              <w:rPr>
                <w:rFonts w:hint="default"/>
                <w:highlight w:val="none"/>
              </w:rPr>
            </w:pPr>
            <w:r>
              <w:rPr>
                <w:rFonts w:hint="default"/>
                <w:highlight w:val="none"/>
              </w:rPr>
              <w:t>TN</w:t>
            </w:r>
          </w:p>
        </w:tc>
        <w:tc>
          <w:tcPr>
            <w:tcW w:w="412" w:type="pct"/>
            <w:vAlign w:val="center"/>
          </w:tcPr>
          <w:p w14:paraId="0C8D6634">
            <w:pPr>
              <w:pStyle w:val="58"/>
              <w:bidi w:val="0"/>
              <w:jc w:val="center"/>
              <w:rPr>
                <w:rFonts w:hint="default"/>
                <w:highlight w:val="none"/>
              </w:rPr>
            </w:pPr>
            <w:r>
              <w:rPr>
                <w:rFonts w:hint="default"/>
                <w:highlight w:val="none"/>
              </w:rPr>
              <w:t>TP</w:t>
            </w:r>
          </w:p>
        </w:tc>
      </w:tr>
      <w:tr w14:paraId="727A4A94">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680" w:type="pct"/>
            <w:vAlign w:val="center"/>
          </w:tcPr>
          <w:p w14:paraId="49356532">
            <w:pPr>
              <w:pStyle w:val="58"/>
              <w:bidi w:val="0"/>
              <w:jc w:val="center"/>
              <w:rPr>
                <w:rFonts w:hint="default"/>
                <w:highlight w:val="none"/>
              </w:rPr>
            </w:pPr>
            <w:r>
              <w:rPr>
                <w:rFonts w:hint="default"/>
                <w:highlight w:val="none"/>
              </w:rPr>
              <w:t>本项目</w:t>
            </w:r>
          </w:p>
        </w:tc>
        <w:tc>
          <w:tcPr>
            <w:tcW w:w="583" w:type="pct"/>
            <w:vAlign w:val="center"/>
          </w:tcPr>
          <w:p w14:paraId="5B396164">
            <w:pPr>
              <w:pStyle w:val="58"/>
              <w:bidi w:val="0"/>
              <w:jc w:val="center"/>
              <w:rPr>
                <w:rFonts w:hint="default"/>
                <w:highlight w:val="none"/>
              </w:rPr>
            </w:pPr>
            <w:r>
              <w:rPr>
                <w:rFonts w:hint="default"/>
                <w:highlight w:val="none"/>
              </w:rPr>
              <w:t>0</w:t>
            </w:r>
          </w:p>
        </w:tc>
        <w:tc>
          <w:tcPr>
            <w:tcW w:w="557" w:type="pct"/>
            <w:vAlign w:val="center"/>
          </w:tcPr>
          <w:p w14:paraId="6D513170">
            <w:pPr>
              <w:pStyle w:val="58"/>
              <w:bidi w:val="0"/>
              <w:jc w:val="center"/>
              <w:rPr>
                <w:rFonts w:hint="default"/>
                <w:highlight w:val="none"/>
              </w:rPr>
            </w:pPr>
            <w:r>
              <w:rPr>
                <w:rFonts w:hint="default"/>
                <w:highlight w:val="none"/>
              </w:rPr>
              <w:t>0</w:t>
            </w:r>
          </w:p>
        </w:tc>
        <w:tc>
          <w:tcPr>
            <w:tcW w:w="594" w:type="pct"/>
            <w:vAlign w:val="center"/>
          </w:tcPr>
          <w:p w14:paraId="46617B57">
            <w:pPr>
              <w:pStyle w:val="58"/>
              <w:bidi w:val="0"/>
              <w:jc w:val="center"/>
              <w:rPr>
                <w:rFonts w:hint="default"/>
                <w:highlight w:val="none"/>
                <w:lang w:val="en-US" w:eastAsia="zh-CN"/>
              </w:rPr>
            </w:pPr>
            <w:r>
              <w:rPr>
                <w:rFonts w:hint="eastAsia"/>
                <w:highlight w:val="none"/>
                <w:lang w:val="en-US" w:eastAsia="zh-CN"/>
              </w:rPr>
              <w:t>0.1773</w:t>
            </w:r>
          </w:p>
        </w:tc>
        <w:tc>
          <w:tcPr>
            <w:tcW w:w="615" w:type="pct"/>
            <w:vAlign w:val="center"/>
          </w:tcPr>
          <w:p w14:paraId="1941883D">
            <w:pPr>
              <w:pStyle w:val="58"/>
              <w:bidi w:val="0"/>
              <w:jc w:val="center"/>
              <w:rPr>
                <w:rFonts w:hint="default"/>
                <w:highlight w:val="none"/>
                <w:lang w:val="en-US" w:eastAsia="zh-CN"/>
              </w:rPr>
            </w:pPr>
            <w:r>
              <w:rPr>
                <w:rFonts w:hint="eastAsia"/>
                <w:highlight w:val="none"/>
                <w:lang w:val="en-US" w:eastAsia="zh-CN"/>
              </w:rPr>
              <w:t>0.0032</w:t>
            </w:r>
          </w:p>
        </w:tc>
        <w:tc>
          <w:tcPr>
            <w:tcW w:w="497" w:type="pct"/>
            <w:vAlign w:val="center"/>
          </w:tcPr>
          <w:p w14:paraId="4CC9B9C2">
            <w:pPr>
              <w:pStyle w:val="58"/>
              <w:bidi w:val="0"/>
              <w:jc w:val="center"/>
              <w:rPr>
                <w:rFonts w:hint="default"/>
                <w:highlight w:val="none"/>
                <w:lang w:val="en-US" w:eastAsia="zh-CN"/>
              </w:rPr>
            </w:pPr>
            <w:r>
              <w:rPr>
                <w:rFonts w:hint="default"/>
                <w:highlight w:val="none"/>
                <w:lang w:val="en-US" w:eastAsia="zh-CN"/>
              </w:rPr>
              <w:t>0</w:t>
            </w:r>
          </w:p>
        </w:tc>
        <w:tc>
          <w:tcPr>
            <w:tcW w:w="588" w:type="pct"/>
            <w:vAlign w:val="center"/>
          </w:tcPr>
          <w:p w14:paraId="30B49E1C">
            <w:pPr>
              <w:pStyle w:val="58"/>
              <w:bidi w:val="0"/>
              <w:jc w:val="center"/>
              <w:rPr>
                <w:rFonts w:hint="default"/>
                <w:highlight w:val="none"/>
                <w:lang w:val="en-US" w:eastAsia="zh-CN"/>
              </w:rPr>
            </w:pPr>
            <w:r>
              <w:rPr>
                <w:rFonts w:hint="default"/>
                <w:highlight w:val="none"/>
                <w:lang w:val="en-US" w:eastAsia="zh-CN"/>
              </w:rPr>
              <w:t>0</w:t>
            </w:r>
          </w:p>
        </w:tc>
        <w:tc>
          <w:tcPr>
            <w:tcW w:w="471" w:type="pct"/>
            <w:vAlign w:val="center"/>
          </w:tcPr>
          <w:p w14:paraId="1CC8ADEC">
            <w:pPr>
              <w:pStyle w:val="58"/>
              <w:bidi w:val="0"/>
              <w:jc w:val="center"/>
              <w:rPr>
                <w:rFonts w:hint="default"/>
                <w:highlight w:val="none"/>
                <w:lang w:val="en-US" w:eastAsia="zh-CN"/>
              </w:rPr>
            </w:pPr>
            <w:r>
              <w:rPr>
                <w:rFonts w:hint="default"/>
                <w:highlight w:val="none"/>
                <w:lang w:val="en-US" w:eastAsia="zh-CN"/>
              </w:rPr>
              <w:t>0</w:t>
            </w:r>
          </w:p>
        </w:tc>
        <w:tc>
          <w:tcPr>
            <w:tcW w:w="412" w:type="pct"/>
            <w:vAlign w:val="center"/>
          </w:tcPr>
          <w:p w14:paraId="0430B57C">
            <w:pPr>
              <w:pStyle w:val="58"/>
              <w:bidi w:val="0"/>
              <w:jc w:val="center"/>
              <w:rPr>
                <w:rFonts w:hint="default"/>
                <w:highlight w:val="none"/>
                <w:lang w:val="en-US" w:eastAsia="zh-CN"/>
              </w:rPr>
            </w:pPr>
            <w:r>
              <w:rPr>
                <w:rFonts w:hint="default"/>
                <w:highlight w:val="none"/>
                <w:lang w:val="en-US" w:eastAsia="zh-CN"/>
              </w:rPr>
              <w:t>0</w:t>
            </w:r>
          </w:p>
        </w:tc>
      </w:tr>
      <w:tr w14:paraId="720C3F4F">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680" w:type="pct"/>
            <w:vAlign w:val="center"/>
          </w:tcPr>
          <w:p w14:paraId="009FC9F4">
            <w:pPr>
              <w:pStyle w:val="58"/>
              <w:bidi w:val="0"/>
              <w:jc w:val="center"/>
              <w:rPr>
                <w:rFonts w:hint="default"/>
                <w:highlight w:val="none"/>
              </w:rPr>
            </w:pPr>
            <w:r>
              <w:rPr>
                <w:rFonts w:hint="default"/>
                <w:highlight w:val="none"/>
              </w:rPr>
              <w:t>总工程</w:t>
            </w:r>
          </w:p>
        </w:tc>
        <w:tc>
          <w:tcPr>
            <w:tcW w:w="583" w:type="pct"/>
            <w:vAlign w:val="center"/>
          </w:tcPr>
          <w:p w14:paraId="381D4F65">
            <w:pPr>
              <w:pStyle w:val="58"/>
              <w:bidi w:val="0"/>
              <w:jc w:val="center"/>
              <w:rPr>
                <w:rFonts w:hint="default"/>
                <w:highlight w:val="none"/>
              </w:rPr>
            </w:pPr>
            <w:r>
              <w:rPr>
                <w:rFonts w:hint="default"/>
                <w:highlight w:val="none"/>
              </w:rPr>
              <w:t>0</w:t>
            </w:r>
          </w:p>
        </w:tc>
        <w:tc>
          <w:tcPr>
            <w:tcW w:w="557" w:type="pct"/>
            <w:vAlign w:val="center"/>
          </w:tcPr>
          <w:p w14:paraId="7975009F">
            <w:pPr>
              <w:pStyle w:val="58"/>
              <w:bidi w:val="0"/>
              <w:jc w:val="center"/>
              <w:rPr>
                <w:rFonts w:hint="default"/>
                <w:highlight w:val="none"/>
              </w:rPr>
            </w:pPr>
            <w:r>
              <w:rPr>
                <w:rFonts w:hint="default"/>
                <w:highlight w:val="none"/>
              </w:rPr>
              <w:t>0</w:t>
            </w:r>
          </w:p>
        </w:tc>
        <w:tc>
          <w:tcPr>
            <w:tcW w:w="594" w:type="pct"/>
            <w:vAlign w:val="center"/>
          </w:tcPr>
          <w:p w14:paraId="6F761A73">
            <w:pPr>
              <w:pStyle w:val="58"/>
              <w:bidi w:val="0"/>
              <w:jc w:val="center"/>
              <w:rPr>
                <w:rFonts w:hint="default"/>
                <w:highlight w:val="none"/>
                <w:lang w:val="en-US" w:eastAsia="zh-CN"/>
              </w:rPr>
            </w:pPr>
            <w:r>
              <w:rPr>
                <w:rFonts w:hint="eastAsia"/>
                <w:highlight w:val="none"/>
                <w:lang w:val="en-US" w:eastAsia="zh-CN"/>
              </w:rPr>
              <w:t>0.1893</w:t>
            </w:r>
          </w:p>
        </w:tc>
        <w:tc>
          <w:tcPr>
            <w:tcW w:w="615" w:type="pct"/>
            <w:vAlign w:val="center"/>
          </w:tcPr>
          <w:p w14:paraId="2DFC10CF">
            <w:pPr>
              <w:pStyle w:val="58"/>
              <w:bidi w:val="0"/>
              <w:jc w:val="center"/>
              <w:rPr>
                <w:rFonts w:hint="default"/>
                <w:highlight w:val="none"/>
                <w:lang w:val="en-US" w:eastAsia="zh-CN"/>
              </w:rPr>
            </w:pPr>
            <w:r>
              <w:rPr>
                <w:rFonts w:hint="eastAsia"/>
                <w:highlight w:val="none"/>
                <w:lang w:val="en-US" w:eastAsia="zh-CN"/>
              </w:rPr>
              <w:t>0.0112</w:t>
            </w:r>
          </w:p>
        </w:tc>
        <w:tc>
          <w:tcPr>
            <w:tcW w:w="497" w:type="pct"/>
            <w:vAlign w:val="center"/>
          </w:tcPr>
          <w:p w14:paraId="695C387A">
            <w:pPr>
              <w:pStyle w:val="58"/>
              <w:bidi w:val="0"/>
              <w:jc w:val="center"/>
              <w:rPr>
                <w:rFonts w:hint="default"/>
                <w:highlight w:val="none"/>
                <w:lang w:val="en-US" w:eastAsia="zh-CN"/>
              </w:rPr>
            </w:pPr>
            <w:r>
              <w:rPr>
                <w:rFonts w:hint="default"/>
                <w:highlight w:val="none"/>
                <w:lang w:val="en-US" w:eastAsia="zh-CN"/>
              </w:rPr>
              <w:t>0</w:t>
            </w:r>
          </w:p>
        </w:tc>
        <w:tc>
          <w:tcPr>
            <w:tcW w:w="588" w:type="pct"/>
            <w:vAlign w:val="center"/>
          </w:tcPr>
          <w:p w14:paraId="7260456C">
            <w:pPr>
              <w:pStyle w:val="58"/>
              <w:bidi w:val="0"/>
              <w:jc w:val="center"/>
              <w:rPr>
                <w:rFonts w:hint="default"/>
                <w:highlight w:val="none"/>
                <w:lang w:val="en-US" w:eastAsia="zh-CN"/>
              </w:rPr>
            </w:pPr>
            <w:r>
              <w:rPr>
                <w:rFonts w:hint="default"/>
                <w:highlight w:val="none"/>
                <w:lang w:val="en-US" w:eastAsia="zh-CN"/>
              </w:rPr>
              <w:t>0</w:t>
            </w:r>
          </w:p>
        </w:tc>
        <w:tc>
          <w:tcPr>
            <w:tcW w:w="471" w:type="pct"/>
            <w:vAlign w:val="center"/>
          </w:tcPr>
          <w:p w14:paraId="5B8543A0">
            <w:pPr>
              <w:pStyle w:val="58"/>
              <w:bidi w:val="0"/>
              <w:jc w:val="center"/>
              <w:rPr>
                <w:rFonts w:hint="default"/>
                <w:highlight w:val="none"/>
                <w:lang w:val="en-US" w:eastAsia="zh-CN"/>
              </w:rPr>
            </w:pPr>
            <w:r>
              <w:rPr>
                <w:rFonts w:hint="default"/>
                <w:highlight w:val="none"/>
                <w:lang w:val="en-US" w:eastAsia="zh-CN"/>
              </w:rPr>
              <w:t>0</w:t>
            </w:r>
          </w:p>
        </w:tc>
        <w:tc>
          <w:tcPr>
            <w:tcW w:w="412" w:type="pct"/>
            <w:vAlign w:val="center"/>
          </w:tcPr>
          <w:p w14:paraId="1B20D86C">
            <w:pPr>
              <w:pStyle w:val="58"/>
              <w:bidi w:val="0"/>
              <w:jc w:val="center"/>
              <w:rPr>
                <w:rFonts w:hint="default"/>
                <w:highlight w:val="none"/>
                <w:lang w:val="en-US" w:eastAsia="zh-CN"/>
              </w:rPr>
            </w:pPr>
            <w:r>
              <w:rPr>
                <w:rFonts w:hint="default"/>
                <w:highlight w:val="none"/>
                <w:lang w:val="en-US" w:eastAsia="zh-CN"/>
              </w:rPr>
              <w:t>0</w:t>
            </w:r>
          </w:p>
        </w:tc>
      </w:tr>
    </w:tbl>
    <w:p w14:paraId="5E9CB9B2">
      <w:pPr>
        <w:spacing w:before="181" w:line="220" w:lineRule="auto"/>
        <w:ind w:left="126"/>
        <w:outlineLvl w:val="2"/>
        <w:rPr>
          <w:rFonts w:hint="default" w:ascii="Times New Roman" w:hAnsi="Times New Roman" w:eastAsia="宋体" w:cs="Times New Roman"/>
          <w:sz w:val="24"/>
          <w:szCs w:val="24"/>
          <w:highlight w:val="none"/>
        </w:rPr>
      </w:pPr>
      <w:r>
        <w:rPr>
          <w:rFonts w:hint="default" w:ascii="Times New Roman" w:hAnsi="Times New Roman" w:eastAsia="宋体" w:cs="Times New Roman"/>
          <w:b/>
          <w:bCs/>
          <w:spacing w:val="-2"/>
          <w:sz w:val="24"/>
          <w:szCs w:val="24"/>
          <w:highlight w:val="none"/>
        </w:rPr>
        <w:t>3.</w:t>
      </w:r>
      <w:r>
        <w:rPr>
          <w:rFonts w:hint="default" w:ascii="Times New Roman" w:hAnsi="Times New Roman" w:eastAsia="宋体" w:cs="Times New Roman"/>
          <w:b/>
          <w:bCs/>
          <w:spacing w:val="-2"/>
          <w:sz w:val="24"/>
          <w:szCs w:val="24"/>
          <w:highlight w:val="none"/>
          <w:lang w:val="en-US" w:eastAsia="zh-CN"/>
        </w:rPr>
        <w:t>6</w:t>
      </w:r>
      <w:r>
        <w:rPr>
          <w:rFonts w:hint="default" w:ascii="Times New Roman" w:hAnsi="Times New Roman" w:eastAsia="宋体" w:cs="Times New Roman"/>
          <w:b/>
          <w:bCs/>
          <w:spacing w:val="-2"/>
          <w:sz w:val="24"/>
          <w:szCs w:val="24"/>
          <w:highlight w:val="none"/>
        </w:rPr>
        <w:t>.3主要污染物总量控制指标核算</w:t>
      </w:r>
    </w:p>
    <w:p w14:paraId="2CB2FC7B">
      <w:pPr>
        <w:spacing w:before="177" w:line="220" w:lineRule="auto"/>
        <w:ind w:left="126"/>
        <w:outlineLvl w:val="3"/>
        <w:rPr>
          <w:rFonts w:hint="default" w:ascii="Times New Roman" w:hAnsi="Times New Roman" w:eastAsia="宋体" w:cs="Times New Roman"/>
          <w:sz w:val="24"/>
          <w:szCs w:val="24"/>
          <w:highlight w:val="none"/>
        </w:rPr>
      </w:pP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HYPERLINK "3.5.3.1"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b/>
          <w:bCs/>
          <w:spacing w:val="-2"/>
          <w:sz w:val="24"/>
          <w:szCs w:val="24"/>
          <w:highlight w:val="none"/>
        </w:rPr>
        <w:t>3.</w:t>
      </w:r>
      <w:r>
        <w:rPr>
          <w:rFonts w:hint="default" w:ascii="Times New Roman" w:hAnsi="Times New Roman" w:eastAsia="宋体" w:cs="Times New Roman"/>
          <w:b/>
          <w:bCs/>
          <w:spacing w:val="-2"/>
          <w:sz w:val="24"/>
          <w:szCs w:val="24"/>
          <w:highlight w:val="none"/>
          <w:lang w:val="en-US" w:eastAsia="zh-CN"/>
        </w:rPr>
        <w:t>6</w:t>
      </w:r>
      <w:r>
        <w:rPr>
          <w:rFonts w:hint="default" w:ascii="Times New Roman" w:hAnsi="Times New Roman" w:eastAsia="宋体" w:cs="Times New Roman"/>
          <w:b/>
          <w:bCs/>
          <w:spacing w:val="-2"/>
          <w:sz w:val="24"/>
          <w:szCs w:val="24"/>
          <w:highlight w:val="none"/>
        </w:rPr>
        <w:t>.3.1</w:t>
      </w:r>
      <w:r>
        <w:rPr>
          <w:rFonts w:hint="default" w:ascii="Times New Roman" w:hAnsi="Times New Roman" w:eastAsia="宋体" w:cs="Times New Roman"/>
          <w:b/>
          <w:bCs/>
          <w:spacing w:val="-2"/>
          <w:sz w:val="24"/>
          <w:szCs w:val="24"/>
          <w:highlight w:val="none"/>
        </w:rPr>
        <w:fldChar w:fldCharType="end"/>
      </w:r>
      <w:r>
        <w:rPr>
          <w:rFonts w:hint="default" w:ascii="Times New Roman" w:hAnsi="Times New Roman" w:eastAsia="宋体" w:cs="Times New Roman"/>
          <w:b/>
          <w:bCs/>
          <w:spacing w:val="-2"/>
          <w:sz w:val="24"/>
          <w:szCs w:val="24"/>
          <w:highlight w:val="none"/>
        </w:rPr>
        <w:t>废气污染物总量控制指标核算</w:t>
      </w:r>
    </w:p>
    <w:p w14:paraId="089B6317">
      <w:pPr>
        <w:bidi w:val="0"/>
        <w:rPr>
          <w:rFonts w:hint="default"/>
          <w:highlight w:val="none"/>
          <w:lang w:eastAsia="zh-CN"/>
        </w:rPr>
      </w:pPr>
      <w:r>
        <w:rPr>
          <w:rFonts w:hint="default"/>
          <w:highlight w:val="none"/>
        </w:rPr>
        <w:t>恶臭有组织排放执行《恶臭污染物排放标准》（GB14554-93）中排气筒高15m时恶臭污染物排放标准值要求，即：氨4.9kg/h，硫化氢0.33kg/h，考虑排放标准为速率值，不适宜采用标准核算法计算总量控制指标，建议本项目采用本评价预测排放量作为总量控制指标：</w:t>
      </w:r>
    </w:p>
    <w:p w14:paraId="08F578F5">
      <w:pPr>
        <w:bidi w:val="0"/>
        <w:rPr>
          <w:rFonts w:hint="default"/>
          <w:highlight w:val="none"/>
        </w:rPr>
      </w:pPr>
      <w:r>
        <w:rPr>
          <w:rFonts w:hint="default"/>
          <w:highlight w:val="none"/>
        </w:rPr>
        <w:t>氨：</w:t>
      </w:r>
      <w:r>
        <w:rPr>
          <w:rFonts w:hint="eastAsia"/>
          <w:highlight w:val="none"/>
          <w:lang w:val="en-US" w:eastAsia="zh-CN"/>
        </w:rPr>
        <w:t>0.1773</w:t>
      </w:r>
      <w:r>
        <w:rPr>
          <w:rFonts w:hint="default"/>
          <w:highlight w:val="none"/>
        </w:rPr>
        <w:t>t/a，硫化氢：0.0</w:t>
      </w:r>
      <w:r>
        <w:rPr>
          <w:rFonts w:hint="eastAsia"/>
          <w:highlight w:val="none"/>
          <w:lang w:val="en-US" w:eastAsia="zh-CN"/>
        </w:rPr>
        <w:t>032</w:t>
      </w:r>
      <w:r>
        <w:rPr>
          <w:rFonts w:hint="default"/>
          <w:highlight w:val="none"/>
        </w:rPr>
        <w:t>t/a。</w:t>
      </w:r>
    </w:p>
    <w:p w14:paraId="3AF04663">
      <w:pPr>
        <w:spacing w:before="154" w:line="220" w:lineRule="auto"/>
        <w:ind w:left="126"/>
        <w:outlineLvl w:val="3"/>
        <w:rPr>
          <w:rFonts w:hint="default" w:ascii="Times New Roman" w:hAnsi="Times New Roman" w:eastAsia="宋体" w:cs="Times New Roman"/>
          <w:sz w:val="24"/>
          <w:szCs w:val="24"/>
          <w:highlight w:val="none"/>
        </w:rPr>
      </w:pP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HYPERLINK "3.5.3.2"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b/>
          <w:bCs/>
          <w:spacing w:val="-2"/>
          <w:sz w:val="24"/>
          <w:szCs w:val="24"/>
          <w:highlight w:val="none"/>
        </w:rPr>
        <w:t>3.</w:t>
      </w:r>
      <w:r>
        <w:rPr>
          <w:rFonts w:hint="default" w:ascii="Times New Roman" w:hAnsi="Times New Roman" w:eastAsia="宋体" w:cs="Times New Roman"/>
          <w:b/>
          <w:bCs/>
          <w:spacing w:val="-2"/>
          <w:sz w:val="24"/>
          <w:szCs w:val="24"/>
          <w:highlight w:val="none"/>
          <w:lang w:val="en-US" w:eastAsia="zh-CN"/>
        </w:rPr>
        <w:t>6</w:t>
      </w:r>
      <w:r>
        <w:rPr>
          <w:rFonts w:hint="default" w:ascii="Times New Roman" w:hAnsi="Times New Roman" w:eastAsia="宋体" w:cs="Times New Roman"/>
          <w:b/>
          <w:bCs/>
          <w:spacing w:val="-2"/>
          <w:sz w:val="24"/>
          <w:szCs w:val="24"/>
          <w:highlight w:val="none"/>
        </w:rPr>
        <w:t>.3.2</w:t>
      </w:r>
      <w:r>
        <w:rPr>
          <w:rFonts w:hint="default" w:ascii="Times New Roman" w:hAnsi="Times New Roman" w:eastAsia="宋体" w:cs="Times New Roman"/>
          <w:b/>
          <w:bCs/>
          <w:spacing w:val="-2"/>
          <w:sz w:val="24"/>
          <w:szCs w:val="24"/>
          <w:highlight w:val="none"/>
        </w:rPr>
        <w:fldChar w:fldCharType="end"/>
      </w:r>
      <w:r>
        <w:rPr>
          <w:rFonts w:hint="default" w:ascii="Times New Roman" w:hAnsi="Times New Roman" w:eastAsia="宋体" w:cs="Times New Roman"/>
          <w:b/>
          <w:bCs/>
          <w:spacing w:val="-2"/>
          <w:sz w:val="24"/>
          <w:szCs w:val="24"/>
          <w:highlight w:val="none"/>
        </w:rPr>
        <w:t>废水污染物总量控制指标核算</w:t>
      </w:r>
    </w:p>
    <w:p w14:paraId="3D3B9AA1">
      <w:pPr>
        <w:rPr>
          <w:rFonts w:hint="default"/>
          <w:highlight w:val="none"/>
        </w:rPr>
      </w:pPr>
      <w:r>
        <w:rPr>
          <w:rFonts w:hint="default"/>
          <w:highlight w:val="none"/>
        </w:rPr>
        <w:t>按照《关于印发&lt;建设项目主要污染物排放总量指标审核及管理暂行办法&gt;的通知》（环发[2014]197号）及《关于进一步改革和优化建设项目主要污染物排放总量核定工作的通知》（冀环总[2014]283号）的要求核算，采用标准值核算污染物总量控制指标。</w:t>
      </w:r>
    </w:p>
    <w:p w14:paraId="3CB64452">
      <w:pPr>
        <w:bidi w:val="0"/>
        <w:rPr>
          <w:rFonts w:hint="default"/>
          <w:highlight w:val="none"/>
          <w:lang w:val="en-US" w:eastAsia="zh-CN"/>
        </w:rPr>
      </w:pPr>
      <w:r>
        <w:rPr>
          <w:rFonts w:hint="default"/>
          <w:highlight w:val="none"/>
        </w:rPr>
        <w:t>本项目</w:t>
      </w:r>
      <w:r>
        <w:rPr>
          <w:rFonts w:hint="default"/>
          <w:highlight w:val="none"/>
          <w:lang w:val="en-US" w:eastAsia="zh-CN"/>
        </w:rPr>
        <w:t>废水首先作为中水回用厂区生产用水，剩余污水</w:t>
      </w:r>
      <w:r>
        <w:rPr>
          <w:rFonts w:hint="eastAsia"/>
          <w:highlight w:val="none"/>
          <w:lang w:val="en-US" w:eastAsia="zh-CN"/>
        </w:rPr>
        <w:t>回用于园区绿化、道路喷洒及园区企业生产用水</w:t>
      </w:r>
      <w:r>
        <w:rPr>
          <w:rFonts w:hint="default"/>
          <w:highlight w:val="none"/>
          <w:lang w:val="en-US" w:eastAsia="zh-CN"/>
        </w:rPr>
        <w:t>，不外排，因此总量控制指标为：</w:t>
      </w:r>
      <w:r>
        <w:rPr>
          <w:rFonts w:hint="default"/>
          <w:highlight w:val="none"/>
        </w:rPr>
        <w:t>COD：</w:t>
      </w:r>
      <w:r>
        <w:rPr>
          <w:rFonts w:hint="default"/>
          <w:highlight w:val="none"/>
          <w:lang w:val="en-US" w:eastAsia="zh-CN"/>
        </w:rPr>
        <w:t>0</w:t>
      </w:r>
      <w:r>
        <w:rPr>
          <w:rFonts w:hint="default"/>
          <w:highlight w:val="none"/>
        </w:rPr>
        <w:t>t/a、氨氮：</w:t>
      </w:r>
      <w:r>
        <w:rPr>
          <w:rFonts w:hint="default"/>
          <w:highlight w:val="none"/>
          <w:lang w:val="en-US" w:eastAsia="zh-CN"/>
        </w:rPr>
        <w:t>0</w:t>
      </w:r>
      <w:r>
        <w:rPr>
          <w:rFonts w:hint="default"/>
          <w:highlight w:val="none"/>
        </w:rPr>
        <w:t>t/a。</w:t>
      </w:r>
    </w:p>
    <w:p w14:paraId="07871639">
      <w:pPr>
        <w:spacing w:before="180" w:line="221" w:lineRule="auto"/>
        <w:ind w:left="126"/>
        <w:outlineLvl w:val="3"/>
        <w:rPr>
          <w:rFonts w:hint="default" w:ascii="Times New Roman" w:hAnsi="Times New Roman" w:eastAsia="宋体" w:cs="Times New Roman"/>
          <w:sz w:val="24"/>
          <w:szCs w:val="24"/>
          <w:highlight w:val="none"/>
        </w:rPr>
      </w:pP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HYPERLINK "3.5.3.3"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b/>
          <w:bCs/>
          <w:spacing w:val="-2"/>
          <w:sz w:val="24"/>
          <w:szCs w:val="24"/>
          <w:highlight w:val="none"/>
        </w:rPr>
        <w:t>3.</w:t>
      </w:r>
      <w:r>
        <w:rPr>
          <w:rFonts w:hint="default" w:ascii="Times New Roman" w:hAnsi="Times New Roman" w:eastAsia="宋体" w:cs="Times New Roman"/>
          <w:b/>
          <w:bCs/>
          <w:spacing w:val="-2"/>
          <w:sz w:val="24"/>
          <w:szCs w:val="24"/>
          <w:highlight w:val="none"/>
          <w:lang w:val="en-US" w:eastAsia="zh-CN"/>
        </w:rPr>
        <w:t>6</w:t>
      </w:r>
      <w:r>
        <w:rPr>
          <w:rFonts w:hint="default" w:ascii="Times New Roman" w:hAnsi="Times New Roman" w:eastAsia="宋体" w:cs="Times New Roman"/>
          <w:b/>
          <w:bCs/>
          <w:spacing w:val="-2"/>
          <w:sz w:val="24"/>
          <w:szCs w:val="24"/>
          <w:highlight w:val="none"/>
        </w:rPr>
        <w:t>.3.3</w:t>
      </w:r>
      <w:r>
        <w:rPr>
          <w:rFonts w:hint="default" w:ascii="Times New Roman" w:hAnsi="Times New Roman" w:eastAsia="宋体" w:cs="Times New Roman"/>
          <w:b/>
          <w:bCs/>
          <w:spacing w:val="-2"/>
          <w:sz w:val="24"/>
          <w:szCs w:val="24"/>
          <w:highlight w:val="none"/>
        </w:rPr>
        <w:fldChar w:fldCharType="end"/>
      </w:r>
      <w:r>
        <w:rPr>
          <w:rFonts w:hint="default" w:ascii="Times New Roman" w:hAnsi="Times New Roman" w:eastAsia="宋体" w:cs="Times New Roman"/>
          <w:b/>
          <w:bCs/>
          <w:spacing w:val="-2"/>
          <w:sz w:val="24"/>
          <w:szCs w:val="24"/>
          <w:highlight w:val="none"/>
        </w:rPr>
        <w:t>污染物总量控制指标</w:t>
      </w:r>
    </w:p>
    <w:p w14:paraId="608238A0">
      <w:pPr>
        <w:bidi w:val="0"/>
        <w:rPr>
          <w:rFonts w:hint="default"/>
          <w:highlight w:val="none"/>
        </w:rPr>
      </w:pPr>
      <w:r>
        <w:rPr>
          <w:rFonts w:hint="default"/>
          <w:highlight w:val="none"/>
        </w:rPr>
        <w:t>根据上述分析，本项目主要污染物排放总量控制指标建议值见下表。</w:t>
      </w:r>
    </w:p>
    <w:p w14:paraId="47180433">
      <w:pPr>
        <w:spacing w:before="195" w:line="221" w:lineRule="auto"/>
        <w:ind w:left="2797"/>
        <w:rPr>
          <w:rFonts w:hint="default" w:ascii="Times New Roman" w:hAnsi="Times New Roman" w:eastAsia="宋体" w:cs="Times New Roman"/>
          <w:sz w:val="24"/>
          <w:szCs w:val="24"/>
          <w:highlight w:val="none"/>
        </w:rPr>
      </w:pPr>
      <w:r>
        <w:rPr>
          <w:rFonts w:hint="default" w:ascii="Times New Roman" w:hAnsi="Times New Roman" w:eastAsia="宋体" w:cs="Times New Roman"/>
          <w:b/>
          <w:bCs/>
          <w:spacing w:val="-2"/>
          <w:sz w:val="24"/>
          <w:szCs w:val="24"/>
          <w:highlight w:val="none"/>
        </w:rPr>
        <w:t>表3.</w:t>
      </w:r>
      <w:r>
        <w:rPr>
          <w:rFonts w:hint="default" w:ascii="Times New Roman" w:hAnsi="Times New Roman" w:eastAsia="宋体" w:cs="Times New Roman"/>
          <w:b/>
          <w:bCs/>
          <w:spacing w:val="-2"/>
          <w:sz w:val="24"/>
          <w:szCs w:val="24"/>
          <w:highlight w:val="none"/>
          <w:lang w:val="en-US" w:eastAsia="zh-CN"/>
        </w:rPr>
        <w:t>6</w:t>
      </w:r>
      <w:r>
        <w:rPr>
          <w:rFonts w:hint="default" w:ascii="Times New Roman" w:hAnsi="Times New Roman" w:eastAsia="宋体" w:cs="Times New Roman"/>
          <w:b/>
          <w:bCs/>
          <w:spacing w:val="-2"/>
          <w:sz w:val="24"/>
          <w:szCs w:val="24"/>
          <w:highlight w:val="none"/>
        </w:rPr>
        <w:t>-2总量控制建议指标一览表</w:t>
      </w:r>
    </w:p>
    <w:p w14:paraId="3D00DC2E">
      <w:pPr>
        <w:spacing w:line="14" w:lineRule="exact"/>
        <w:rPr>
          <w:rFonts w:hint="default" w:ascii="Times New Roman" w:hAnsi="Times New Roman" w:eastAsia="宋体" w:cs="Times New Roman"/>
          <w:highlight w:val="none"/>
        </w:rPr>
      </w:pPr>
    </w:p>
    <w:tbl>
      <w:tblPr>
        <w:tblStyle w:val="88"/>
        <w:tblW w:w="4998"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1236"/>
        <w:gridCol w:w="1059"/>
        <w:gridCol w:w="1014"/>
        <w:gridCol w:w="1079"/>
        <w:gridCol w:w="1127"/>
        <w:gridCol w:w="903"/>
        <w:gridCol w:w="1068"/>
        <w:gridCol w:w="857"/>
        <w:gridCol w:w="755"/>
      </w:tblGrid>
      <w:tr w14:paraId="61E217D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679" w:type="pct"/>
            <w:vMerge w:val="restart"/>
            <w:vAlign w:val="center"/>
          </w:tcPr>
          <w:p w14:paraId="030F2BDA">
            <w:pPr>
              <w:pStyle w:val="58"/>
              <w:bidi w:val="0"/>
              <w:jc w:val="center"/>
              <w:rPr>
                <w:rFonts w:hint="default"/>
                <w:highlight w:val="none"/>
              </w:rPr>
            </w:pPr>
            <w:r>
              <w:rPr>
                <w:rFonts w:hint="default"/>
                <w:highlight w:val="none"/>
              </w:rPr>
              <w:t>类别</w:t>
            </w:r>
          </w:p>
        </w:tc>
        <w:tc>
          <w:tcPr>
            <w:tcW w:w="2351" w:type="pct"/>
            <w:gridSpan w:val="4"/>
            <w:vAlign w:val="center"/>
          </w:tcPr>
          <w:p w14:paraId="26D4543A">
            <w:pPr>
              <w:pStyle w:val="58"/>
              <w:bidi w:val="0"/>
              <w:jc w:val="center"/>
              <w:rPr>
                <w:rFonts w:hint="default"/>
                <w:highlight w:val="none"/>
              </w:rPr>
            </w:pPr>
            <w:r>
              <w:rPr>
                <w:rFonts w:hint="default"/>
                <w:highlight w:val="none"/>
              </w:rPr>
              <w:t>废气</w:t>
            </w:r>
          </w:p>
        </w:tc>
        <w:tc>
          <w:tcPr>
            <w:tcW w:w="1969" w:type="pct"/>
            <w:gridSpan w:val="4"/>
            <w:vAlign w:val="center"/>
          </w:tcPr>
          <w:p w14:paraId="22326324">
            <w:pPr>
              <w:pStyle w:val="58"/>
              <w:bidi w:val="0"/>
              <w:jc w:val="center"/>
              <w:rPr>
                <w:rFonts w:hint="default"/>
                <w:highlight w:val="none"/>
              </w:rPr>
            </w:pPr>
            <w:r>
              <w:rPr>
                <w:rFonts w:hint="default"/>
                <w:highlight w:val="none"/>
              </w:rPr>
              <w:t>废水</w:t>
            </w:r>
          </w:p>
        </w:tc>
      </w:tr>
      <w:tr w14:paraId="0DD1DE3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679" w:type="pct"/>
            <w:vMerge w:val="continue"/>
            <w:vAlign w:val="center"/>
          </w:tcPr>
          <w:p w14:paraId="4AE7045D">
            <w:pPr>
              <w:pStyle w:val="58"/>
              <w:bidi w:val="0"/>
              <w:jc w:val="center"/>
              <w:rPr>
                <w:rFonts w:hint="default"/>
                <w:highlight w:val="none"/>
              </w:rPr>
            </w:pPr>
          </w:p>
        </w:tc>
        <w:tc>
          <w:tcPr>
            <w:tcW w:w="582" w:type="pct"/>
            <w:vAlign w:val="center"/>
          </w:tcPr>
          <w:p w14:paraId="57BC2321">
            <w:pPr>
              <w:pStyle w:val="58"/>
              <w:bidi w:val="0"/>
              <w:jc w:val="center"/>
              <w:rPr>
                <w:rFonts w:hint="default"/>
                <w:highlight w:val="none"/>
                <w:lang w:val="en-US" w:eastAsia="zh-CN"/>
              </w:rPr>
            </w:pPr>
            <w:r>
              <w:rPr>
                <w:rFonts w:hint="default"/>
                <w:highlight w:val="none"/>
                <w:lang w:eastAsia="zh-CN"/>
              </w:rPr>
              <w:t>SO</w:t>
            </w:r>
            <w:r>
              <w:rPr>
                <w:rFonts w:hint="eastAsia"/>
                <w:highlight w:val="none"/>
                <w:vertAlign w:val="subscript"/>
                <w:lang w:val="en-US" w:eastAsia="zh-CN"/>
              </w:rPr>
              <w:t>2</w:t>
            </w:r>
          </w:p>
        </w:tc>
        <w:tc>
          <w:tcPr>
            <w:tcW w:w="557" w:type="pct"/>
            <w:vAlign w:val="center"/>
          </w:tcPr>
          <w:p w14:paraId="2F2C9C6F">
            <w:pPr>
              <w:pStyle w:val="58"/>
              <w:bidi w:val="0"/>
              <w:jc w:val="center"/>
              <w:rPr>
                <w:rFonts w:hint="default"/>
                <w:highlight w:val="none"/>
              </w:rPr>
            </w:pPr>
            <w:r>
              <w:rPr>
                <w:rFonts w:hint="default"/>
                <w:highlight w:val="none"/>
              </w:rPr>
              <w:t>NOx</w:t>
            </w:r>
          </w:p>
        </w:tc>
        <w:tc>
          <w:tcPr>
            <w:tcW w:w="593" w:type="pct"/>
            <w:vAlign w:val="center"/>
          </w:tcPr>
          <w:p w14:paraId="1B874EC8">
            <w:pPr>
              <w:pStyle w:val="58"/>
              <w:bidi w:val="0"/>
              <w:jc w:val="center"/>
              <w:rPr>
                <w:rFonts w:hint="default"/>
                <w:highlight w:val="none"/>
                <w:lang w:eastAsia="zh-CN"/>
              </w:rPr>
            </w:pPr>
            <w:r>
              <w:rPr>
                <w:rFonts w:hint="eastAsia"/>
                <w:highlight w:val="none"/>
                <w:lang w:eastAsia="zh-CN"/>
              </w:rPr>
              <w:t>NH</w:t>
            </w:r>
            <w:r>
              <w:rPr>
                <w:rFonts w:hint="eastAsia"/>
                <w:highlight w:val="none"/>
                <w:vertAlign w:val="subscript"/>
                <w:lang w:eastAsia="zh-CN"/>
              </w:rPr>
              <w:t>3</w:t>
            </w:r>
          </w:p>
        </w:tc>
        <w:tc>
          <w:tcPr>
            <w:tcW w:w="617" w:type="pct"/>
            <w:vAlign w:val="center"/>
          </w:tcPr>
          <w:p w14:paraId="3122C6C1">
            <w:pPr>
              <w:pStyle w:val="58"/>
              <w:bidi w:val="0"/>
              <w:jc w:val="center"/>
              <w:rPr>
                <w:rFonts w:hint="default"/>
                <w:highlight w:val="none"/>
                <w:lang w:eastAsia="zh-CN"/>
              </w:rPr>
            </w:pPr>
            <w:r>
              <w:rPr>
                <w:rFonts w:hint="eastAsia"/>
                <w:highlight w:val="none"/>
                <w:lang w:eastAsia="zh-CN"/>
              </w:rPr>
              <w:t>H</w:t>
            </w:r>
            <w:r>
              <w:rPr>
                <w:rFonts w:hint="eastAsia"/>
                <w:highlight w:val="none"/>
                <w:vertAlign w:val="subscript"/>
                <w:lang w:eastAsia="zh-CN"/>
              </w:rPr>
              <w:t>2</w:t>
            </w:r>
            <w:r>
              <w:rPr>
                <w:rFonts w:hint="eastAsia"/>
                <w:highlight w:val="none"/>
                <w:lang w:eastAsia="zh-CN"/>
              </w:rPr>
              <w:t>S</w:t>
            </w:r>
          </w:p>
        </w:tc>
        <w:tc>
          <w:tcPr>
            <w:tcW w:w="496" w:type="pct"/>
            <w:vAlign w:val="center"/>
          </w:tcPr>
          <w:p w14:paraId="1720E118">
            <w:pPr>
              <w:pStyle w:val="58"/>
              <w:bidi w:val="0"/>
              <w:jc w:val="center"/>
              <w:rPr>
                <w:rFonts w:hint="default"/>
                <w:highlight w:val="none"/>
              </w:rPr>
            </w:pPr>
            <w:r>
              <w:rPr>
                <w:rFonts w:hint="default"/>
                <w:highlight w:val="none"/>
              </w:rPr>
              <w:t>COD</w:t>
            </w:r>
          </w:p>
        </w:tc>
        <w:tc>
          <w:tcPr>
            <w:tcW w:w="587" w:type="pct"/>
            <w:vAlign w:val="center"/>
          </w:tcPr>
          <w:p w14:paraId="253CFFA0">
            <w:pPr>
              <w:pStyle w:val="58"/>
              <w:bidi w:val="0"/>
              <w:jc w:val="center"/>
              <w:rPr>
                <w:rFonts w:hint="default"/>
                <w:highlight w:val="none"/>
              </w:rPr>
            </w:pPr>
            <w:r>
              <w:rPr>
                <w:rFonts w:hint="eastAsia"/>
                <w:highlight w:val="none"/>
                <w:lang w:eastAsia="zh-CN"/>
              </w:rPr>
              <w:t>NH</w:t>
            </w:r>
            <w:r>
              <w:rPr>
                <w:rFonts w:hint="eastAsia"/>
                <w:highlight w:val="none"/>
                <w:vertAlign w:val="subscript"/>
                <w:lang w:eastAsia="zh-CN"/>
              </w:rPr>
              <w:t>3</w:t>
            </w:r>
            <w:r>
              <w:rPr>
                <w:rFonts w:hint="default"/>
                <w:highlight w:val="none"/>
              </w:rPr>
              <w:t>-N</w:t>
            </w:r>
          </w:p>
        </w:tc>
        <w:tc>
          <w:tcPr>
            <w:tcW w:w="471" w:type="pct"/>
            <w:vAlign w:val="center"/>
          </w:tcPr>
          <w:p w14:paraId="3B840D35">
            <w:pPr>
              <w:pStyle w:val="58"/>
              <w:bidi w:val="0"/>
              <w:jc w:val="center"/>
              <w:rPr>
                <w:rFonts w:hint="default"/>
                <w:highlight w:val="none"/>
              </w:rPr>
            </w:pPr>
            <w:r>
              <w:rPr>
                <w:rFonts w:hint="default"/>
                <w:highlight w:val="none"/>
              </w:rPr>
              <w:t>TN</w:t>
            </w:r>
          </w:p>
        </w:tc>
        <w:tc>
          <w:tcPr>
            <w:tcW w:w="414" w:type="pct"/>
            <w:vAlign w:val="center"/>
          </w:tcPr>
          <w:p w14:paraId="326A323A">
            <w:pPr>
              <w:pStyle w:val="58"/>
              <w:bidi w:val="0"/>
              <w:jc w:val="center"/>
              <w:rPr>
                <w:rFonts w:hint="default"/>
                <w:highlight w:val="none"/>
              </w:rPr>
            </w:pPr>
            <w:r>
              <w:rPr>
                <w:rFonts w:hint="default"/>
                <w:highlight w:val="none"/>
              </w:rPr>
              <w:t>TP</w:t>
            </w:r>
          </w:p>
        </w:tc>
      </w:tr>
      <w:tr w14:paraId="0EC5201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679" w:type="pct"/>
            <w:vAlign w:val="center"/>
          </w:tcPr>
          <w:p w14:paraId="77896F2D">
            <w:pPr>
              <w:pStyle w:val="58"/>
              <w:bidi w:val="0"/>
              <w:jc w:val="center"/>
              <w:rPr>
                <w:rFonts w:hint="default"/>
                <w:highlight w:val="none"/>
              </w:rPr>
            </w:pPr>
            <w:r>
              <w:rPr>
                <w:rFonts w:hint="default"/>
                <w:highlight w:val="none"/>
              </w:rPr>
              <w:t>本项目</w:t>
            </w:r>
          </w:p>
        </w:tc>
        <w:tc>
          <w:tcPr>
            <w:tcW w:w="582" w:type="pct"/>
            <w:vAlign w:val="center"/>
          </w:tcPr>
          <w:p w14:paraId="745745E5">
            <w:pPr>
              <w:pStyle w:val="58"/>
              <w:bidi w:val="0"/>
              <w:jc w:val="center"/>
              <w:rPr>
                <w:rFonts w:hint="default"/>
                <w:highlight w:val="none"/>
              </w:rPr>
            </w:pPr>
            <w:r>
              <w:rPr>
                <w:rFonts w:hint="default"/>
                <w:highlight w:val="none"/>
              </w:rPr>
              <w:t>0</w:t>
            </w:r>
          </w:p>
        </w:tc>
        <w:tc>
          <w:tcPr>
            <w:tcW w:w="557" w:type="pct"/>
            <w:vAlign w:val="center"/>
          </w:tcPr>
          <w:p w14:paraId="7FC926AA">
            <w:pPr>
              <w:pStyle w:val="58"/>
              <w:bidi w:val="0"/>
              <w:jc w:val="center"/>
              <w:rPr>
                <w:rFonts w:hint="default"/>
                <w:highlight w:val="none"/>
              </w:rPr>
            </w:pPr>
            <w:r>
              <w:rPr>
                <w:rFonts w:hint="default"/>
                <w:highlight w:val="none"/>
              </w:rPr>
              <w:t>0</w:t>
            </w:r>
          </w:p>
        </w:tc>
        <w:tc>
          <w:tcPr>
            <w:tcW w:w="593" w:type="pct"/>
            <w:vAlign w:val="center"/>
          </w:tcPr>
          <w:p w14:paraId="7015B315">
            <w:pPr>
              <w:pStyle w:val="58"/>
              <w:bidi w:val="0"/>
              <w:jc w:val="center"/>
              <w:rPr>
                <w:rFonts w:hint="default"/>
                <w:highlight w:val="none"/>
                <w:lang w:val="en-US" w:eastAsia="zh-CN"/>
              </w:rPr>
            </w:pPr>
            <w:r>
              <w:rPr>
                <w:rFonts w:hint="eastAsia"/>
                <w:highlight w:val="none"/>
                <w:lang w:val="en-US" w:eastAsia="zh-CN"/>
              </w:rPr>
              <w:t>0.1773</w:t>
            </w:r>
          </w:p>
        </w:tc>
        <w:tc>
          <w:tcPr>
            <w:tcW w:w="617" w:type="pct"/>
            <w:vAlign w:val="center"/>
          </w:tcPr>
          <w:p w14:paraId="2C14BCC0">
            <w:pPr>
              <w:pStyle w:val="58"/>
              <w:bidi w:val="0"/>
              <w:jc w:val="center"/>
              <w:rPr>
                <w:rFonts w:hint="default"/>
                <w:highlight w:val="none"/>
                <w:lang w:val="en-US" w:eastAsia="zh-CN"/>
              </w:rPr>
            </w:pPr>
            <w:r>
              <w:rPr>
                <w:rFonts w:hint="eastAsia"/>
                <w:highlight w:val="none"/>
                <w:lang w:val="en-US" w:eastAsia="zh-CN"/>
              </w:rPr>
              <w:t>0.0032</w:t>
            </w:r>
          </w:p>
        </w:tc>
        <w:tc>
          <w:tcPr>
            <w:tcW w:w="496" w:type="pct"/>
            <w:vAlign w:val="center"/>
          </w:tcPr>
          <w:p w14:paraId="0EEF1638">
            <w:pPr>
              <w:pStyle w:val="58"/>
              <w:bidi w:val="0"/>
              <w:jc w:val="center"/>
              <w:rPr>
                <w:rFonts w:hint="default"/>
                <w:highlight w:val="none"/>
                <w:lang w:val="en-US" w:eastAsia="zh-CN"/>
              </w:rPr>
            </w:pPr>
            <w:r>
              <w:rPr>
                <w:rFonts w:hint="default"/>
                <w:highlight w:val="none"/>
                <w:lang w:val="en-US" w:eastAsia="zh-CN"/>
              </w:rPr>
              <w:t>0</w:t>
            </w:r>
          </w:p>
        </w:tc>
        <w:tc>
          <w:tcPr>
            <w:tcW w:w="587" w:type="pct"/>
            <w:vAlign w:val="center"/>
          </w:tcPr>
          <w:p w14:paraId="1E85B3D6">
            <w:pPr>
              <w:pStyle w:val="58"/>
              <w:bidi w:val="0"/>
              <w:jc w:val="center"/>
              <w:rPr>
                <w:rFonts w:hint="default"/>
                <w:highlight w:val="none"/>
                <w:lang w:val="en-US" w:eastAsia="zh-CN"/>
              </w:rPr>
            </w:pPr>
            <w:r>
              <w:rPr>
                <w:rFonts w:hint="default"/>
                <w:highlight w:val="none"/>
                <w:lang w:val="en-US" w:eastAsia="zh-CN"/>
              </w:rPr>
              <w:t>0</w:t>
            </w:r>
          </w:p>
        </w:tc>
        <w:tc>
          <w:tcPr>
            <w:tcW w:w="471" w:type="pct"/>
            <w:vAlign w:val="center"/>
          </w:tcPr>
          <w:p w14:paraId="57264E85">
            <w:pPr>
              <w:pStyle w:val="58"/>
              <w:bidi w:val="0"/>
              <w:jc w:val="center"/>
              <w:rPr>
                <w:rFonts w:hint="default"/>
                <w:highlight w:val="none"/>
                <w:lang w:val="en-US" w:eastAsia="zh-CN"/>
              </w:rPr>
            </w:pPr>
            <w:r>
              <w:rPr>
                <w:rFonts w:hint="default"/>
                <w:highlight w:val="none"/>
                <w:lang w:val="en-US" w:eastAsia="zh-CN"/>
              </w:rPr>
              <w:t>0</w:t>
            </w:r>
          </w:p>
        </w:tc>
        <w:tc>
          <w:tcPr>
            <w:tcW w:w="414" w:type="pct"/>
            <w:vAlign w:val="center"/>
          </w:tcPr>
          <w:p w14:paraId="659C3145">
            <w:pPr>
              <w:pStyle w:val="58"/>
              <w:bidi w:val="0"/>
              <w:jc w:val="center"/>
              <w:rPr>
                <w:rFonts w:hint="default"/>
                <w:highlight w:val="none"/>
                <w:lang w:val="en-US" w:eastAsia="zh-CN"/>
              </w:rPr>
            </w:pPr>
            <w:r>
              <w:rPr>
                <w:rFonts w:hint="default"/>
                <w:highlight w:val="none"/>
                <w:lang w:val="en-US" w:eastAsia="zh-CN"/>
              </w:rPr>
              <w:t>0</w:t>
            </w:r>
          </w:p>
        </w:tc>
      </w:tr>
      <w:tr w14:paraId="39D6CC8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679" w:type="pct"/>
            <w:vAlign w:val="center"/>
          </w:tcPr>
          <w:p w14:paraId="1296209F">
            <w:pPr>
              <w:pStyle w:val="58"/>
              <w:bidi w:val="0"/>
              <w:jc w:val="center"/>
              <w:rPr>
                <w:rFonts w:hint="default"/>
                <w:highlight w:val="none"/>
              </w:rPr>
            </w:pPr>
            <w:r>
              <w:rPr>
                <w:rFonts w:hint="default"/>
                <w:highlight w:val="none"/>
              </w:rPr>
              <w:t>总工程</w:t>
            </w:r>
          </w:p>
        </w:tc>
        <w:tc>
          <w:tcPr>
            <w:tcW w:w="582" w:type="pct"/>
            <w:vAlign w:val="center"/>
          </w:tcPr>
          <w:p w14:paraId="542765C4">
            <w:pPr>
              <w:pStyle w:val="58"/>
              <w:bidi w:val="0"/>
              <w:jc w:val="center"/>
              <w:rPr>
                <w:rFonts w:hint="default"/>
                <w:highlight w:val="none"/>
              </w:rPr>
            </w:pPr>
            <w:r>
              <w:rPr>
                <w:rFonts w:hint="default"/>
                <w:highlight w:val="none"/>
              </w:rPr>
              <w:t>0</w:t>
            </w:r>
          </w:p>
        </w:tc>
        <w:tc>
          <w:tcPr>
            <w:tcW w:w="557" w:type="pct"/>
            <w:vAlign w:val="center"/>
          </w:tcPr>
          <w:p w14:paraId="4EA39CEB">
            <w:pPr>
              <w:pStyle w:val="58"/>
              <w:bidi w:val="0"/>
              <w:jc w:val="center"/>
              <w:rPr>
                <w:rFonts w:hint="default"/>
                <w:highlight w:val="none"/>
              </w:rPr>
            </w:pPr>
            <w:r>
              <w:rPr>
                <w:rFonts w:hint="default"/>
                <w:highlight w:val="none"/>
              </w:rPr>
              <w:t>0</w:t>
            </w:r>
          </w:p>
        </w:tc>
        <w:tc>
          <w:tcPr>
            <w:tcW w:w="593" w:type="pct"/>
            <w:vAlign w:val="center"/>
          </w:tcPr>
          <w:p w14:paraId="59BC6D22">
            <w:pPr>
              <w:pStyle w:val="58"/>
              <w:bidi w:val="0"/>
              <w:jc w:val="center"/>
              <w:rPr>
                <w:rFonts w:hint="default"/>
                <w:highlight w:val="none"/>
                <w:lang w:val="en-US" w:eastAsia="zh-CN"/>
              </w:rPr>
            </w:pPr>
            <w:r>
              <w:rPr>
                <w:rFonts w:hint="eastAsia"/>
                <w:highlight w:val="none"/>
                <w:lang w:val="en-US" w:eastAsia="zh-CN"/>
              </w:rPr>
              <w:t>0.1893</w:t>
            </w:r>
          </w:p>
        </w:tc>
        <w:tc>
          <w:tcPr>
            <w:tcW w:w="617" w:type="pct"/>
            <w:vAlign w:val="center"/>
          </w:tcPr>
          <w:p w14:paraId="05B5F4C8">
            <w:pPr>
              <w:pStyle w:val="58"/>
              <w:bidi w:val="0"/>
              <w:jc w:val="center"/>
              <w:rPr>
                <w:rFonts w:hint="default"/>
                <w:highlight w:val="none"/>
                <w:lang w:val="en-US" w:eastAsia="zh-CN"/>
              </w:rPr>
            </w:pPr>
            <w:r>
              <w:rPr>
                <w:rFonts w:hint="eastAsia"/>
                <w:highlight w:val="none"/>
                <w:lang w:val="en-US" w:eastAsia="zh-CN"/>
              </w:rPr>
              <w:t>0.0112</w:t>
            </w:r>
          </w:p>
        </w:tc>
        <w:tc>
          <w:tcPr>
            <w:tcW w:w="496" w:type="pct"/>
            <w:vAlign w:val="center"/>
          </w:tcPr>
          <w:p w14:paraId="01B0CFA6">
            <w:pPr>
              <w:pStyle w:val="58"/>
              <w:bidi w:val="0"/>
              <w:jc w:val="center"/>
              <w:rPr>
                <w:rFonts w:hint="default"/>
                <w:highlight w:val="none"/>
              </w:rPr>
            </w:pPr>
            <w:r>
              <w:rPr>
                <w:rFonts w:hint="default"/>
                <w:highlight w:val="none"/>
                <w:lang w:val="en-US" w:eastAsia="zh-CN"/>
              </w:rPr>
              <w:t>0</w:t>
            </w:r>
          </w:p>
        </w:tc>
        <w:tc>
          <w:tcPr>
            <w:tcW w:w="587" w:type="pct"/>
            <w:vAlign w:val="center"/>
          </w:tcPr>
          <w:p w14:paraId="11F2655B">
            <w:pPr>
              <w:pStyle w:val="58"/>
              <w:bidi w:val="0"/>
              <w:jc w:val="center"/>
              <w:rPr>
                <w:rFonts w:hint="default"/>
                <w:highlight w:val="none"/>
              </w:rPr>
            </w:pPr>
            <w:r>
              <w:rPr>
                <w:rFonts w:hint="default"/>
                <w:highlight w:val="none"/>
                <w:lang w:val="en-US" w:eastAsia="zh-CN"/>
              </w:rPr>
              <w:t>0</w:t>
            </w:r>
          </w:p>
        </w:tc>
        <w:tc>
          <w:tcPr>
            <w:tcW w:w="471" w:type="pct"/>
            <w:vAlign w:val="center"/>
          </w:tcPr>
          <w:p w14:paraId="14C23084">
            <w:pPr>
              <w:pStyle w:val="58"/>
              <w:bidi w:val="0"/>
              <w:jc w:val="center"/>
              <w:rPr>
                <w:rFonts w:hint="default"/>
                <w:highlight w:val="none"/>
                <w:lang w:val="en-US" w:eastAsia="zh-CN"/>
              </w:rPr>
            </w:pPr>
            <w:r>
              <w:rPr>
                <w:rFonts w:hint="default"/>
                <w:highlight w:val="none"/>
                <w:lang w:val="en-US" w:eastAsia="zh-CN"/>
              </w:rPr>
              <w:t>0</w:t>
            </w:r>
          </w:p>
        </w:tc>
        <w:tc>
          <w:tcPr>
            <w:tcW w:w="414" w:type="pct"/>
            <w:vAlign w:val="center"/>
          </w:tcPr>
          <w:p w14:paraId="15AC322E">
            <w:pPr>
              <w:pStyle w:val="58"/>
              <w:bidi w:val="0"/>
              <w:jc w:val="center"/>
              <w:rPr>
                <w:rFonts w:hint="default"/>
                <w:highlight w:val="none"/>
                <w:lang w:val="en-US" w:eastAsia="zh-CN"/>
              </w:rPr>
            </w:pPr>
            <w:r>
              <w:rPr>
                <w:rFonts w:hint="default"/>
                <w:highlight w:val="none"/>
                <w:lang w:val="en-US" w:eastAsia="zh-CN"/>
              </w:rPr>
              <w:t>0</w:t>
            </w:r>
          </w:p>
        </w:tc>
      </w:tr>
    </w:tbl>
    <w:p w14:paraId="5B032843">
      <w:pPr>
        <w:bidi w:val="0"/>
        <w:rPr>
          <w:rFonts w:hint="default"/>
          <w:highlight w:val="none"/>
        </w:rPr>
      </w:pPr>
      <w:r>
        <w:rPr>
          <w:rFonts w:hint="default"/>
          <w:highlight w:val="none"/>
          <w:lang w:val="en-US" w:eastAsia="zh-CN"/>
        </w:rPr>
        <w:t>综上，建议本项目总量控制指标</w:t>
      </w:r>
      <w:r>
        <w:rPr>
          <w:rFonts w:hint="default"/>
          <w:highlight w:val="none"/>
        </w:rPr>
        <w:t>氨：</w:t>
      </w:r>
      <w:r>
        <w:rPr>
          <w:rFonts w:hint="eastAsia"/>
          <w:highlight w:val="none"/>
          <w:lang w:val="en-US" w:eastAsia="zh-CN"/>
        </w:rPr>
        <w:t>0.1773</w:t>
      </w:r>
      <w:r>
        <w:rPr>
          <w:rFonts w:hint="default"/>
          <w:highlight w:val="none"/>
        </w:rPr>
        <w:t>t/a，硫化氢：</w:t>
      </w:r>
      <w:r>
        <w:rPr>
          <w:rFonts w:hint="eastAsia"/>
          <w:highlight w:val="none"/>
          <w:lang w:val="en-US" w:eastAsia="zh-CN"/>
        </w:rPr>
        <w:t>0.0032</w:t>
      </w:r>
      <w:r>
        <w:rPr>
          <w:rFonts w:hint="default"/>
          <w:highlight w:val="none"/>
        </w:rPr>
        <w:t>t/a。</w:t>
      </w:r>
    </w:p>
    <w:p w14:paraId="75678EBD">
      <w:pPr>
        <w:pStyle w:val="7"/>
        <w:bidi w:val="0"/>
        <w:rPr>
          <w:rFonts w:hint="default"/>
          <w:highlight w:val="none"/>
        </w:rPr>
      </w:pPr>
      <w:bookmarkStart w:id="223" w:name="_Toc16540"/>
      <w:bookmarkStart w:id="224" w:name="_Toc22397"/>
      <w:r>
        <w:rPr>
          <w:rFonts w:hint="default"/>
          <w:highlight w:val="none"/>
        </w:rPr>
        <w:t>3.</w:t>
      </w:r>
      <w:r>
        <w:rPr>
          <w:rFonts w:hint="default"/>
          <w:highlight w:val="none"/>
          <w:lang w:val="en-US" w:eastAsia="zh-CN"/>
        </w:rPr>
        <w:t>7</w:t>
      </w:r>
      <w:r>
        <w:rPr>
          <w:rFonts w:hint="default"/>
          <w:highlight w:val="none"/>
        </w:rPr>
        <w:t>本项目实施前后污染物排放量、削减量和变化量“三本帐”</w:t>
      </w:r>
      <w:bookmarkEnd w:id="223"/>
      <w:bookmarkEnd w:id="224"/>
    </w:p>
    <w:p w14:paraId="35871EB9">
      <w:pPr>
        <w:keepNext w:val="0"/>
        <w:keepLines w:val="0"/>
        <w:pageBreakBefore w:val="0"/>
        <w:widowControl w:val="0"/>
        <w:kinsoku/>
        <w:wordWrap/>
        <w:overflowPunct/>
        <w:topLinePunct w:val="0"/>
        <w:bidi w:val="0"/>
        <w:snapToGrid/>
        <w:spacing w:line="480" w:lineRule="exact"/>
        <w:ind w:right="0" w:rightChars="0" w:firstLine="480" w:firstLineChars="200"/>
        <w:textAlignment w:val="auto"/>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本项目实施前后污染物排放量、削减量和变化量“三本帐”见表3.</w:t>
      </w:r>
      <w:r>
        <w:rPr>
          <w:rFonts w:hint="eastAsia" w:cs="Times New Roman"/>
          <w:color w:val="000000" w:themeColor="text1"/>
          <w:kern w:val="2"/>
          <w:sz w:val="24"/>
          <w:szCs w:val="24"/>
          <w:highlight w:val="none"/>
          <w:lang w:val="en-US" w:eastAsia="zh-CN" w:bidi="ar-SA"/>
          <w14:textFill>
            <w14:solidFill>
              <w14:schemeClr w14:val="tx1"/>
            </w14:solidFill>
          </w14:textFill>
        </w:rPr>
        <w:t>7</w:t>
      </w: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w:t>
      </w:r>
      <w:r>
        <w:rPr>
          <w:rFonts w:hint="eastAsia" w:cs="Times New Roman"/>
          <w:color w:val="000000" w:themeColor="text1"/>
          <w:kern w:val="2"/>
          <w:sz w:val="24"/>
          <w:szCs w:val="24"/>
          <w:highlight w:val="none"/>
          <w:lang w:val="en-US" w:eastAsia="zh-CN" w:bidi="ar-SA"/>
          <w14:textFill>
            <w14:solidFill>
              <w14:schemeClr w14:val="tx1"/>
            </w14:solidFill>
          </w14:textFill>
        </w:rPr>
        <w:t>1</w:t>
      </w: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w:t>
      </w:r>
    </w:p>
    <w:p w14:paraId="0CCCB169">
      <w:pPr>
        <w:keepNext w:val="0"/>
        <w:keepLines w:val="0"/>
        <w:pageBreakBefore w:val="0"/>
        <w:widowControl w:val="0"/>
        <w:kinsoku/>
        <w:wordWrap/>
        <w:overflowPunct/>
        <w:topLinePunct w:val="0"/>
        <w:autoSpaceDE w:val="0"/>
        <w:autoSpaceDN w:val="0"/>
        <w:bidi w:val="0"/>
        <w:adjustRightInd w:val="0"/>
        <w:snapToGrid/>
        <w:spacing w:line="480" w:lineRule="exact"/>
        <w:ind w:right="0" w:rightChars="0"/>
        <w:jc w:val="center"/>
        <w:textAlignment w:val="auto"/>
        <w:outlineLvl w:val="9"/>
        <w:rPr>
          <w:rFonts w:hint="default" w:ascii="Times New Roman" w:hAnsi="Times New Roman" w:eastAsia="宋体" w:cs="Times New Roman"/>
          <w:b/>
          <w:bCs/>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4"/>
          <w:szCs w:val="24"/>
          <w:highlight w:val="none"/>
          <w:lang w:val="en-US" w:eastAsia="zh-CN" w:bidi="ar-SA"/>
          <w14:textFill>
            <w14:solidFill>
              <w14:schemeClr w14:val="tx1"/>
            </w14:solidFill>
          </w14:textFill>
        </w:rPr>
        <w:t>表3.</w:t>
      </w:r>
      <w:r>
        <w:rPr>
          <w:rFonts w:hint="eastAsia" w:cs="Times New Roman"/>
          <w:b/>
          <w:bCs/>
          <w:color w:val="000000" w:themeColor="text1"/>
          <w:kern w:val="2"/>
          <w:sz w:val="24"/>
          <w:szCs w:val="24"/>
          <w:highlight w:val="none"/>
          <w:lang w:val="en-US" w:eastAsia="zh-CN" w:bidi="ar-SA"/>
          <w14:textFill>
            <w14:solidFill>
              <w14:schemeClr w14:val="tx1"/>
            </w14:solidFill>
          </w14:textFill>
        </w:rPr>
        <w:t>7</w:t>
      </w:r>
      <w:r>
        <w:rPr>
          <w:rFonts w:hint="default" w:ascii="Times New Roman" w:hAnsi="Times New Roman" w:eastAsia="宋体" w:cs="Times New Roman"/>
          <w:b/>
          <w:bCs/>
          <w:color w:val="000000" w:themeColor="text1"/>
          <w:kern w:val="2"/>
          <w:sz w:val="24"/>
          <w:szCs w:val="24"/>
          <w:highlight w:val="none"/>
          <w:lang w:val="en-US" w:eastAsia="zh-CN" w:bidi="ar-SA"/>
          <w14:textFill>
            <w14:solidFill>
              <w14:schemeClr w14:val="tx1"/>
            </w14:solidFill>
          </w14:textFill>
        </w:rPr>
        <w:t>-</w:t>
      </w:r>
      <w:r>
        <w:rPr>
          <w:rFonts w:hint="eastAsia" w:cs="Times New Roman"/>
          <w:b/>
          <w:bCs/>
          <w:color w:val="000000" w:themeColor="text1"/>
          <w:kern w:val="2"/>
          <w:sz w:val="24"/>
          <w:szCs w:val="24"/>
          <w:highlight w:val="none"/>
          <w:lang w:val="en-US" w:eastAsia="zh-CN" w:bidi="ar-SA"/>
          <w14:textFill>
            <w14:solidFill>
              <w14:schemeClr w14:val="tx1"/>
            </w14:solidFill>
          </w14:textFill>
        </w:rPr>
        <w:t>1</w:t>
      </w:r>
      <w:r>
        <w:rPr>
          <w:rFonts w:hint="default" w:ascii="Times New Roman" w:hAnsi="Times New Roman" w:eastAsia="宋体" w:cs="Times New Roman"/>
          <w:b/>
          <w:bCs/>
          <w:color w:val="000000" w:themeColor="text1"/>
          <w:kern w:val="2"/>
          <w:sz w:val="24"/>
          <w:szCs w:val="24"/>
          <w:highlight w:val="none"/>
          <w:lang w:val="en-US" w:eastAsia="zh-CN" w:bidi="ar-SA"/>
          <w14:textFill>
            <w14:solidFill>
              <w14:schemeClr w14:val="tx1"/>
            </w14:solidFill>
          </w14:textFill>
        </w:rPr>
        <w:t>项目实施前后污染物排放、削减量和变化量三本帐(t/a)</w:t>
      </w:r>
    </w:p>
    <w:tbl>
      <w:tblPr>
        <w:tblStyle w:val="88"/>
        <w:tblW w:w="5013" w:type="pct"/>
        <w:tblInd w:w="0" w:type="dxa"/>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Layout w:type="autofit"/>
        <w:tblCellMar>
          <w:top w:w="0" w:type="dxa"/>
          <w:left w:w="0" w:type="dxa"/>
          <w:bottom w:w="0" w:type="dxa"/>
          <w:right w:w="0" w:type="dxa"/>
        </w:tblCellMar>
      </w:tblPr>
      <w:tblGrid>
        <w:gridCol w:w="345"/>
        <w:gridCol w:w="1454"/>
        <w:gridCol w:w="733"/>
        <w:gridCol w:w="1136"/>
        <w:gridCol w:w="1235"/>
        <w:gridCol w:w="1255"/>
        <w:gridCol w:w="1551"/>
        <w:gridCol w:w="1417"/>
      </w:tblGrid>
      <w:tr w14:paraId="438DB727">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97" w:hRule="atLeast"/>
        </w:trPr>
        <w:tc>
          <w:tcPr>
            <w:tcW w:w="189" w:type="pct"/>
            <w:textDirection w:val="tbRlV"/>
            <w:vAlign w:val="center"/>
          </w:tcPr>
          <w:p w14:paraId="6048F879">
            <w:pPr>
              <w:pStyle w:val="58"/>
              <w:bidi w:val="0"/>
              <w:rPr>
                <w:rFonts w:hint="default"/>
                <w:highlight w:val="none"/>
              </w:rPr>
            </w:pPr>
            <w:r>
              <w:rPr>
                <w:rFonts w:hint="default"/>
                <w:highlight w:val="none"/>
              </w:rPr>
              <w:t>类别</w:t>
            </w:r>
          </w:p>
        </w:tc>
        <w:tc>
          <w:tcPr>
            <w:tcW w:w="796" w:type="pct"/>
            <w:vAlign w:val="center"/>
          </w:tcPr>
          <w:p w14:paraId="63D8CADB">
            <w:pPr>
              <w:pStyle w:val="58"/>
              <w:bidi w:val="0"/>
              <w:rPr>
                <w:rFonts w:hint="default"/>
                <w:highlight w:val="none"/>
              </w:rPr>
            </w:pPr>
            <w:r>
              <w:rPr>
                <w:rFonts w:hint="default"/>
                <w:highlight w:val="none"/>
              </w:rPr>
              <w:t>污染源</w:t>
            </w:r>
          </w:p>
        </w:tc>
        <w:tc>
          <w:tcPr>
            <w:tcW w:w="401" w:type="pct"/>
            <w:vAlign w:val="center"/>
          </w:tcPr>
          <w:p w14:paraId="691C9552">
            <w:pPr>
              <w:pStyle w:val="58"/>
              <w:bidi w:val="0"/>
              <w:rPr>
                <w:rFonts w:hint="default"/>
                <w:highlight w:val="none"/>
              </w:rPr>
            </w:pPr>
            <w:r>
              <w:rPr>
                <w:rFonts w:hint="default"/>
                <w:highlight w:val="none"/>
              </w:rPr>
              <w:t>污染物</w:t>
            </w:r>
          </w:p>
        </w:tc>
        <w:tc>
          <w:tcPr>
            <w:tcW w:w="622" w:type="pct"/>
            <w:vAlign w:val="center"/>
          </w:tcPr>
          <w:p w14:paraId="34BDE2F5">
            <w:pPr>
              <w:pStyle w:val="58"/>
              <w:bidi w:val="0"/>
              <w:rPr>
                <w:rFonts w:hint="default"/>
                <w:highlight w:val="none"/>
              </w:rPr>
            </w:pPr>
            <w:r>
              <w:rPr>
                <w:rFonts w:hint="default"/>
                <w:highlight w:val="none"/>
              </w:rPr>
              <w:t>现有工程排放量</w:t>
            </w:r>
          </w:p>
        </w:tc>
        <w:tc>
          <w:tcPr>
            <w:tcW w:w="676" w:type="pct"/>
            <w:vAlign w:val="center"/>
          </w:tcPr>
          <w:p w14:paraId="500DA34E">
            <w:pPr>
              <w:pStyle w:val="58"/>
              <w:bidi w:val="0"/>
              <w:rPr>
                <w:rFonts w:hint="default"/>
                <w:highlight w:val="none"/>
              </w:rPr>
            </w:pPr>
            <w:r>
              <w:rPr>
                <w:rFonts w:hint="default"/>
                <w:highlight w:val="none"/>
              </w:rPr>
              <w:t>扩建项目排放量</w:t>
            </w:r>
          </w:p>
        </w:tc>
        <w:tc>
          <w:tcPr>
            <w:tcW w:w="687" w:type="pct"/>
            <w:vAlign w:val="center"/>
          </w:tcPr>
          <w:p w14:paraId="5D2EC63B">
            <w:pPr>
              <w:pStyle w:val="58"/>
              <w:bidi w:val="0"/>
              <w:rPr>
                <w:rFonts w:hint="default"/>
                <w:highlight w:val="none"/>
              </w:rPr>
            </w:pPr>
            <w:r>
              <w:rPr>
                <w:rFonts w:hint="default"/>
                <w:highlight w:val="none"/>
              </w:rPr>
              <w:t>以新代老削减量</w:t>
            </w:r>
          </w:p>
        </w:tc>
        <w:tc>
          <w:tcPr>
            <w:tcW w:w="849" w:type="pct"/>
            <w:vAlign w:val="center"/>
          </w:tcPr>
          <w:p w14:paraId="11182678">
            <w:pPr>
              <w:pStyle w:val="58"/>
              <w:bidi w:val="0"/>
              <w:rPr>
                <w:rFonts w:hint="default"/>
                <w:highlight w:val="none"/>
              </w:rPr>
            </w:pPr>
            <w:r>
              <w:rPr>
                <w:rFonts w:hint="default"/>
                <w:highlight w:val="none"/>
              </w:rPr>
              <w:t>扩建后总工程排放量</w:t>
            </w:r>
          </w:p>
        </w:tc>
        <w:tc>
          <w:tcPr>
            <w:tcW w:w="775" w:type="pct"/>
            <w:vAlign w:val="center"/>
          </w:tcPr>
          <w:p w14:paraId="05C67E6B">
            <w:pPr>
              <w:pStyle w:val="58"/>
              <w:bidi w:val="0"/>
              <w:rPr>
                <w:rFonts w:hint="default"/>
                <w:highlight w:val="none"/>
              </w:rPr>
            </w:pPr>
            <w:r>
              <w:rPr>
                <w:rFonts w:hint="default"/>
                <w:highlight w:val="none"/>
              </w:rPr>
              <w:t>改扩建前后增减量</w:t>
            </w:r>
          </w:p>
        </w:tc>
      </w:tr>
      <w:tr w14:paraId="44D516A0">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97" w:hRule="atLeast"/>
        </w:trPr>
        <w:tc>
          <w:tcPr>
            <w:tcW w:w="189" w:type="pct"/>
            <w:vMerge w:val="restart"/>
            <w:tcBorders>
              <w:bottom w:val="nil"/>
            </w:tcBorders>
            <w:textDirection w:val="tbRlV"/>
            <w:vAlign w:val="center"/>
          </w:tcPr>
          <w:p w14:paraId="231A4F99">
            <w:pPr>
              <w:pStyle w:val="58"/>
              <w:bidi w:val="0"/>
              <w:rPr>
                <w:rFonts w:hint="default"/>
                <w:highlight w:val="none"/>
              </w:rPr>
            </w:pPr>
            <w:r>
              <w:rPr>
                <w:rFonts w:hint="default"/>
                <w:highlight w:val="none"/>
              </w:rPr>
              <w:t>废气</w:t>
            </w:r>
          </w:p>
        </w:tc>
        <w:tc>
          <w:tcPr>
            <w:tcW w:w="796" w:type="pct"/>
            <w:vMerge w:val="restart"/>
            <w:tcBorders>
              <w:bottom w:val="nil"/>
            </w:tcBorders>
            <w:vAlign w:val="center"/>
          </w:tcPr>
          <w:p w14:paraId="54B2D767">
            <w:pPr>
              <w:pStyle w:val="58"/>
              <w:bidi w:val="0"/>
              <w:rPr>
                <w:rFonts w:hint="default"/>
                <w:highlight w:val="none"/>
              </w:rPr>
            </w:pPr>
            <w:r>
              <w:rPr>
                <w:rFonts w:hint="default"/>
                <w:highlight w:val="none"/>
              </w:rPr>
              <w:t>污水处理及污泥处理</w:t>
            </w:r>
          </w:p>
        </w:tc>
        <w:tc>
          <w:tcPr>
            <w:tcW w:w="401" w:type="pct"/>
            <w:vAlign w:val="center"/>
          </w:tcPr>
          <w:p w14:paraId="12E5C40D">
            <w:pPr>
              <w:pStyle w:val="58"/>
              <w:bidi w:val="0"/>
              <w:rPr>
                <w:rFonts w:hint="default"/>
                <w:highlight w:val="none"/>
              </w:rPr>
            </w:pPr>
            <w:r>
              <w:rPr>
                <w:rFonts w:hint="default"/>
                <w:highlight w:val="none"/>
              </w:rPr>
              <w:t>氨</w:t>
            </w:r>
          </w:p>
        </w:tc>
        <w:tc>
          <w:tcPr>
            <w:tcW w:w="622" w:type="pct"/>
            <w:vAlign w:val="center"/>
          </w:tcPr>
          <w:p w14:paraId="0FA54E39">
            <w:pPr>
              <w:pStyle w:val="58"/>
              <w:bidi w:val="0"/>
              <w:rPr>
                <w:rFonts w:hint="default"/>
                <w:highlight w:val="none"/>
                <w:lang w:val="en-US" w:eastAsia="zh-CN"/>
              </w:rPr>
            </w:pPr>
            <w:r>
              <w:rPr>
                <w:rFonts w:hint="eastAsia"/>
                <w:highlight w:val="none"/>
                <w:lang w:val="en-US" w:eastAsia="zh-CN"/>
              </w:rPr>
              <w:t>0.012</w:t>
            </w:r>
          </w:p>
        </w:tc>
        <w:tc>
          <w:tcPr>
            <w:tcW w:w="676" w:type="pct"/>
            <w:vAlign w:val="center"/>
          </w:tcPr>
          <w:p w14:paraId="35B0C6FE">
            <w:pPr>
              <w:pStyle w:val="58"/>
              <w:bidi w:val="0"/>
              <w:rPr>
                <w:rFonts w:hint="default"/>
                <w:highlight w:val="none"/>
                <w:lang w:val="en-US" w:eastAsia="zh-CN"/>
              </w:rPr>
            </w:pPr>
            <w:r>
              <w:rPr>
                <w:rFonts w:hint="eastAsia"/>
                <w:highlight w:val="none"/>
                <w:lang w:val="en-US" w:eastAsia="zh-CN"/>
              </w:rPr>
              <w:t>0.1773</w:t>
            </w:r>
          </w:p>
        </w:tc>
        <w:tc>
          <w:tcPr>
            <w:tcW w:w="687" w:type="pct"/>
            <w:vAlign w:val="center"/>
          </w:tcPr>
          <w:p w14:paraId="696B026D">
            <w:pPr>
              <w:pStyle w:val="58"/>
              <w:bidi w:val="0"/>
              <w:rPr>
                <w:rFonts w:hint="eastAsia"/>
                <w:highlight w:val="none"/>
                <w:lang w:val="en-US" w:eastAsia="zh-CN"/>
              </w:rPr>
            </w:pPr>
            <w:r>
              <w:rPr>
                <w:rFonts w:hint="eastAsia"/>
                <w:highlight w:val="none"/>
                <w:lang w:val="en-US" w:eastAsia="zh-CN"/>
              </w:rPr>
              <w:t>0</w:t>
            </w:r>
          </w:p>
        </w:tc>
        <w:tc>
          <w:tcPr>
            <w:tcW w:w="849" w:type="pct"/>
            <w:vAlign w:val="center"/>
          </w:tcPr>
          <w:p w14:paraId="52AA8751">
            <w:pPr>
              <w:pStyle w:val="58"/>
              <w:bidi w:val="0"/>
              <w:rPr>
                <w:rFonts w:hint="default"/>
                <w:highlight w:val="none"/>
                <w:lang w:val="en-US" w:eastAsia="zh-CN"/>
              </w:rPr>
            </w:pPr>
            <w:r>
              <w:rPr>
                <w:rFonts w:hint="eastAsia"/>
                <w:highlight w:val="none"/>
                <w:lang w:val="en-US" w:eastAsia="zh-CN"/>
              </w:rPr>
              <w:t>0.1893</w:t>
            </w:r>
          </w:p>
        </w:tc>
        <w:tc>
          <w:tcPr>
            <w:tcW w:w="775" w:type="pct"/>
            <w:vAlign w:val="center"/>
          </w:tcPr>
          <w:p w14:paraId="18EC7E43">
            <w:pPr>
              <w:pStyle w:val="58"/>
              <w:bidi w:val="0"/>
              <w:rPr>
                <w:rFonts w:hint="default"/>
                <w:highlight w:val="none"/>
                <w:lang w:val="en-US" w:eastAsia="zh-CN"/>
              </w:rPr>
            </w:pPr>
            <w:r>
              <w:rPr>
                <w:rFonts w:hint="eastAsia"/>
                <w:highlight w:val="none"/>
                <w:lang w:val="en-US" w:eastAsia="zh-CN"/>
              </w:rPr>
              <w:t>+0.1773</w:t>
            </w:r>
          </w:p>
        </w:tc>
      </w:tr>
      <w:tr w14:paraId="330EF71F">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97" w:hRule="atLeast"/>
        </w:trPr>
        <w:tc>
          <w:tcPr>
            <w:tcW w:w="189" w:type="pct"/>
            <w:vMerge w:val="continue"/>
            <w:tcBorders>
              <w:top w:val="nil"/>
            </w:tcBorders>
            <w:textDirection w:val="tbRlV"/>
            <w:vAlign w:val="center"/>
          </w:tcPr>
          <w:p w14:paraId="15AFE138">
            <w:pPr>
              <w:pStyle w:val="58"/>
              <w:bidi w:val="0"/>
              <w:rPr>
                <w:rFonts w:hint="default"/>
                <w:highlight w:val="none"/>
              </w:rPr>
            </w:pPr>
          </w:p>
        </w:tc>
        <w:tc>
          <w:tcPr>
            <w:tcW w:w="796" w:type="pct"/>
            <w:vMerge w:val="continue"/>
            <w:tcBorders>
              <w:top w:val="nil"/>
            </w:tcBorders>
            <w:vAlign w:val="center"/>
          </w:tcPr>
          <w:p w14:paraId="4D07E889">
            <w:pPr>
              <w:pStyle w:val="58"/>
              <w:bidi w:val="0"/>
              <w:rPr>
                <w:rFonts w:hint="default"/>
                <w:highlight w:val="none"/>
              </w:rPr>
            </w:pPr>
          </w:p>
        </w:tc>
        <w:tc>
          <w:tcPr>
            <w:tcW w:w="401" w:type="pct"/>
            <w:vAlign w:val="center"/>
          </w:tcPr>
          <w:p w14:paraId="21E8FFD3">
            <w:pPr>
              <w:pStyle w:val="58"/>
              <w:bidi w:val="0"/>
              <w:rPr>
                <w:rFonts w:hint="default"/>
                <w:highlight w:val="none"/>
              </w:rPr>
            </w:pPr>
            <w:r>
              <w:rPr>
                <w:rFonts w:hint="default"/>
                <w:highlight w:val="none"/>
              </w:rPr>
              <w:t>硫化氢</w:t>
            </w:r>
          </w:p>
        </w:tc>
        <w:tc>
          <w:tcPr>
            <w:tcW w:w="622" w:type="pct"/>
            <w:vAlign w:val="center"/>
          </w:tcPr>
          <w:p w14:paraId="01D91754">
            <w:pPr>
              <w:pStyle w:val="58"/>
              <w:bidi w:val="0"/>
              <w:rPr>
                <w:rFonts w:hint="default"/>
                <w:highlight w:val="none"/>
                <w:lang w:val="en-US" w:eastAsia="zh-CN"/>
              </w:rPr>
            </w:pPr>
            <w:r>
              <w:rPr>
                <w:rFonts w:hint="eastAsia"/>
                <w:highlight w:val="none"/>
                <w:lang w:val="en-US" w:eastAsia="zh-CN"/>
              </w:rPr>
              <w:t>0.008</w:t>
            </w:r>
          </w:p>
        </w:tc>
        <w:tc>
          <w:tcPr>
            <w:tcW w:w="676" w:type="pct"/>
            <w:vAlign w:val="center"/>
          </w:tcPr>
          <w:p w14:paraId="367450AA">
            <w:pPr>
              <w:pStyle w:val="58"/>
              <w:bidi w:val="0"/>
              <w:rPr>
                <w:rFonts w:hint="default"/>
                <w:highlight w:val="none"/>
                <w:lang w:val="en-US" w:eastAsia="zh-CN"/>
              </w:rPr>
            </w:pPr>
            <w:r>
              <w:rPr>
                <w:rFonts w:hint="eastAsia"/>
                <w:highlight w:val="none"/>
                <w:lang w:val="en-US" w:eastAsia="zh-CN"/>
              </w:rPr>
              <w:t>0.0032</w:t>
            </w:r>
          </w:p>
        </w:tc>
        <w:tc>
          <w:tcPr>
            <w:tcW w:w="687" w:type="pct"/>
            <w:vAlign w:val="center"/>
          </w:tcPr>
          <w:p w14:paraId="6A408029">
            <w:pPr>
              <w:pStyle w:val="58"/>
              <w:bidi w:val="0"/>
              <w:rPr>
                <w:rFonts w:hint="eastAsia"/>
                <w:highlight w:val="none"/>
                <w:lang w:val="en-US" w:eastAsia="zh-CN"/>
              </w:rPr>
            </w:pPr>
            <w:r>
              <w:rPr>
                <w:rFonts w:hint="eastAsia"/>
                <w:highlight w:val="none"/>
                <w:lang w:val="en-US" w:eastAsia="zh-CN"/>
              </w:rPr>
              <w:t>0</w:t>
            </w:r>
          </w:p>
        </w:tc>
        <w:tc>
          <w:tcPr>
            <w:tcW w:w="849" w:type="pct"/>
            <w:vAlign w:val="center"/>
          </w:tcPr>
          <w:p w14:paraId="2F0B1CC0">
            <w:pPr>
              <w:pStyle w:val="58"/>
              <w:bidi w:val="0"/>
              <w:rPr>
                <w:rFonts w:hint="default"/>
                <w:highlight w:val="none"/>
                <w:lang w:val="en-US" w:eastAsia="zh-CN"/>
              </w:rPr>
            </w:pPr>
            <w:r>
              <w:rPr>
                <w:rFonts w:hint="eastAsia"/>
                <w:highlight w:val="none"/>
                <w:lang w:val="en-US" w:eastAsia="zh-CN"/>
              </w:rPr>
              <w:t>0.0112</w:t>
            </w:r>
          </w:p>
        </w:tc>
        <w:tc>
          <w:tcPr>
            <w:tcW w:w="775" w:type="pct"/>
            <w:vAlign w:val="center"/>
          </w:tcPr>
          <w:p w14:paraId="765850E3">
            <w:pPr>
              <w:pStyle w:val="58"/>
              <w:bidi w:val="0"/>
              <w:rPr>
                <w:rFonts w:hint="default"/>
                <w:highlight w:val="none"/>
                <w:lang w:val="en-US" w:eastAsia="zh-CN"/>
              </w:rPr>
            </w:pPr>
            <w:r>
              <w:rPr>
                <w:rFonts w:hint="eastAsia"/>
                <w:highlight w:val="none"/>
                <w:lang w:val="en-US" w:eastAsia="zh-CN"/>
              </w:rPr>
              <w:t>+0.0032</w:t>
            </w:r>
          </w:p>
        </w:tc>
      </w:tr>
      <w:tr w14:paraId="2600669C">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97" w:hRule="atLeast"/>
        </w:trPr>
        <w:tc>
          <w:tcPr>
            <w:tcW w:w="189" w:type="pct"/>
            <w:vMerge w:val="restart"/>
            <w:tcBorders>
              <w:bottom w:val="nil"/>
            </w:tcBorders>
            <w:textDirection w:val="tbRlV"/>
            <w:vAlign w:val="center"/>
          </w:tcPr>
          <w:p w14:paraId="75A3C9BA">
            <w:pPr>
              <w:pStyle w:val="58"/>
              <w:bidi w:val="0"/>
              <w:rPr>
                <w:rFonts w:hint="default"/>
                <w:highlight w:val="none"/>
                <w:lang w:val="en-US" w:eastAsia="zh-CN"/>
              </w:rPr>
            </w:pPr>
            <w:r>
              <w:rPr>
                <w:rFonts w:hint="eastAsia"/>
                <w:highlight w:val="none"/>
                <w:lang w:val="en-US" w:eastAsia="zh-CN"/>
              </w:rPr>
              <w:t>废水</w:t>
            </w:r>
          </w:p>
        </w:tc>
        <w:tc>
          <w:tcPr>
            <w:tcW w:w="796" w:type="pct"/>
            <w:vMerge w:val="restart"/>
            <w:tcBorders>
              <w:bottom w:val="nil"/>
            </w:tcBorders>
            <w:vAlign w:val="center"/>
          </w:tcPr>
          <w:p w14:paraId="6FEADB4D">
            <w:pPr>
              <w:pStyle w:val="58"/>
              <w:bidi w:val="0"/>
              <w:rPr>
                <w:rFonts w:hint="default"/>
                <w:highlight w:val="none"/>
              </w:rPr>
            </w:pPr>
            <w:r>
              <w:rPr>
                <w:rFonts w:hint="default"/>
                <w:highlight w:val="none"/>
              </w:rPr>
              <w:t>污水处理厂</w:t>
            </w:r>
          </w:p>
        </w:tc>
        <w:tc>
          <w:tcPr>
            <w:tcW w:w="401" w:type="pct"/>
            <w:vAlign w:val="center"/>
          </w:tcPr>
          <w:p w14:paraId="214964A4">
            <w:pPr>
              <w:pStyle w:val="58"/>
              <w:bidi w:val="0"/>
              <w:rPr>
                <w:rFonts w:hint="default"/>
                <w:highlight w:val="none"/>
                <w:lang w:val="en-US" w:eastAsia="zh-CN"/>
              </w:rPr>
            </w:pPr>
            <w:r>
              <w:rPr>
                <w:rFonts w:hint="default"/>
                <w:highlight w:val="none"/>
                <w:lang w:val="en-US" w:eastAsia="zh-CN"/>
              </w:rPr>
              <w:t>COD</w:t>
            </w:r>
          </w:p>
        </w:tc>
        <w:tc>
          <w:tcPr>
            <w:tcW w:w="622" w:type="pct"/>
            <w:vAlign w:val="center"/>
          </w:tcPr>
          <w:p w14:paraId="71B4D23B">
            <w:pPr>
              <w:pStyle w:val="58"/>
              <w:bidi w:val="0"/>
              <w:rPr>
                <w:rFonts w:hint="default"/>
                <w:highlight w:val="none"/>
                <w:lang w:val="en-US" w:eastAsia="zh-CN"/>
              </w:rPr>
            </w:pPr>
            <w:r>
              <w:rPr>
                <w:rFonts w:hint="eastAsia"/>
                <w:highlight w:val="none"/>
                <w:lang w:val="en-US" w:eastAsia="zh-CN"/>
              </w:rPr>
              <w:t>0</w:t>
            </w:r>
          </w:p>
        </w:tc>
        <w:tc>
          <w:tcPr>
            <w:tcW w:w="676" w:type="pct"/>
            <w:vAlign w:val="center"/>
          </w:tcPr>
          <w:p w14:paraId="5791A206">
            <w:pPr>
              <w:pStyle w:val="58"/>
              <w:bidi w:val="0"/>
              <w:rPr>
                <w:rFonts w:hint="default"/>
                <w:highlight w:val="none"/>
                <w:lang w:val="en-US" w:eastAsia="zh-CN"/>
              </w:rPr>
            </w:pPr>
            <w:r>
              <w:rPr>
                <w:rFonts w:hint="eastAsia"/>
                <w:highlight w:val="none"/>
                <w:lang w:val="en-US" w:eastAsia="zh-CN"/>
              </w:rPr>
              <w:t>0</w:t>
            </w:r>
          </w:p>
        </w:tc>
        <w:tc>
          <w:tcPr>
            <w:tcW w:w="687" w:type="pct"/>
            <w:vAlign w:val="center"/>
          </w:tcPr>
          <w:p w14:paraId="1823AAA6">
            <w:pPr>
              <w:pStyle w:val="58"/>
              <w:bidi w:val="0"/>
              <w:rPr>
                <w:rFonts w:hint="default"/>
                <w:highlight w:val="none"/>
                <w:lang w:val="en-US" w:eastAsia="zh-CN"/>
              </w:rPr>
            </w:pPr>
            <w:r>
              <w:rPr>
                <w:rFonts w:hint="default"/>
                <w:highlight w:val="none"/>
                <w:lang w:val="en-US" w:eastAsia="zh-CN"/>
              </w:rPr>
              <w:t>0</w:t>
            </w:r>
          </w:p>
        </w:tc>
        <w:tc>
          <w:tcPr>
            <w:tcW w:w="849" w:type="pct"/>
            <w:vAlign w:val="center"/>
          </w:tcPr>
          <w:p w14:paraId="3D519281">
            <w:pPr>
              <w:pStyle w:val="58"/>
              <w:bidi w:val="0"/>
              <w:rPr>
                <w:rFonts w:hint="default"/>
                <w:highlight w:val="none"/>
                <w:lang w:val="en-US" w:eastAsia="zh-CN"/>
              </w:rPr>
            </w:pPr>
            <w:r>
              <w:rPr>
                <w:rFonts w:hint="eastAsia"/>
                <w:highlight w:val="none"/>
                <w:lang w:val="en-US" w:eastAsia="zh-CN"/>
              </w:rPr>
              <w:t>0</w:t>
            </w:r>
          </w:p>
        </w:tc>
        <w:tc>
          <w:tcPr>
            <w:tcW w:w="775" w:type="pct"/>
            <w:vAlign w:val="center"/>
          </w:tcPr>
          <w:p w14:paraId="0EBB32BD">
            <w:pPr>
              <w:pStyle w:val="58"/>
              <w:bidi w:val="0"/>
              <w:rPr>
                <w:rFonts w:hint="default"/>
                <w:highlight w:val="none"/>
                <w:lang w:val="en-US" w:eastAsia="zh-CN"/>
              </w:rPr>
            </w:pPr>
            <w:r>
              <w:rPr>
                <w:rFonts w:hint="eastAsia"/>
                <w:highlight w:val="none"/>
                <w:lang w:val="en-US" w:eastAsia="zh-CN"/>
              </w:rPr>
              <w:t>0</w:t>
            </w:r>
          </w:p>
        </w:tc>
      </w:tr>
      <w:tr w14:paraId="4552DDF7">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97" w:hRule="atLeast"/>
        </w:trPr>
        <w:tc>
          <w:tcPr>
            <w:tcW w:w="189" w:type="pct"/>
            <w:vMerge w:val="continue"/>
            <w:tcBorders>
              <w:top w:val="nil"/>
              <w:bottom w:val="nil"/>
            </w:tcBorders>
            <w:textDirection w:val="tbRlV"/>
            <w:vAlign w:val="center"/>
          </w:tcPr>
          <w:p w14:paraId="439B42FF">
            <w:pPr>
              <w:pStyle w:val="58"/>
              <w:bidi w:val="0"/>
              <w:rPr>
                <w:rFonts w:hint="default"/>
                <w:highlight w:val="none"/>
              </w:rPr>
            </w:pPr>
          </w:p>
        </w:tc>
        <w:tc>
          <w:tcPr>
            <w:tcW w:w="796" w:type="pct"/>
            <w:vMerge w:val="continue"/>
            <w:tcBorders>
              <w:top w:val="nil"/>
              <w:bottom w:val="nil"/>
            </w:tcBorders>
            <w:vAlign w:val="center"/>
          </w:tcPr>
          <w:p w14:paraId="23A0F2A9">
            <w:pPr>
              <w:pStyle w:val="58"/>
              <w:bidi w:val="0"/>
              <w:rPr>
                <w:rFonts w:hint="default"/>
                <w:highlight w:val="none"/>
              </w:rPr>
            </w:pPr>
          </w:p>
        </w:tc>
        <w:tc>
          <w:tcPr>
            <w:tcW w:w="401" w:type="pct"/>
            <w:vAlign w:val="center"/>
          </w:tcPr>
          <w:p w14:paraId="000EA2CC">
            <w:pPr>
              <w:pStyle w:val="58"/>
              <w:bidi w:val="0"/>
              <w:rPr>
                <w:rFonts w:hint="default"/>
                <w:highlight w:val="none"/>
                <w:lang w:val="en-US" w:eastAsia="zh-CN"/>
              </w:rPr>
            </w:pPr>
            <w:r>
              <w:rPr>
                <w:rFonts w:hint="eastAsia"/>
                <w:highlight w:val="none"/>
                <w:lang w:val="en-US" w:eastAsia="zh-CN"/>
              </w:rPr>
              <w:t>NH</w:t>
            </w:r>
            <w:r>
              <w:rPr>
                <w:rFonts w:hint="eastAsia"/>
                <w:highlight w:val="none"/>
                <w:vertAlign w:val="subscript"/>
                <w:lang w:val="en-US" w:eastAsia="zh-CN"/>
              </w:rPr>
              <w:t>3</w:t>
            </w:r>
            <w:r>
              <w:rPr>
                <w:rFonts w:hint="default"/>
                <w:highlight w:val="none"/>
                <w:lang w:val="en-US" w:eastAsia="zh-CN"/>
              </w:rPr>
              <w:t>-N</w:t>
            </w:r>
          </w:p>
        </w:tc>
        <w:tc>
          <w:tcPr>
            <w:tcW w:w="622" w:type="pct"/>
            <w:vAlign w:val="center"/>
          </w:tcPr>
          <w:p w14:paraId="4953D1B0">
            <w:pPr>
              <w:pStyle w:val="58"/>
              <w:bidi w:val="0"/>
              <w:rPr>
                <w:rFonts w:hint="default"/>
                <w:highlight w:val="none"/>
                <w:lang w:val="en-US" w:eastAsia="zh-CN"/>
              </w:rPr>
            </w:pPr>
            <w:r>
              <w:rPr>
                <w:rFonts w:hint="eastAsia"/>
                <w:highlight w:val="none"/>
                <w:lang w:val="en-US" w:eastAsia="zh-CN"/>
              </w:rPr>
              <w:t>0</w:t>
            </w:r>
          </w:p>
        </w:tc>
        <w:tc>
          <w:tcPr>
            <w:tcW w:w="676" w:type="pct"/>
            <w:vAlign w:val="center"/>
          </w:tcPr>
          <w:p w14:paraId="2A9C3B57">
            <w:pPr>
              <w:pStyle w:val="58"/>
              <w:bidi w:val="0"/>
              <w:rPr>
                <w:rFonts w:hint="default"/>
                <w:highlight w:val="none"/>
                <w:lang w:val="en-US" w:eastAsia="zh-CN"/>
              </w:rPr>
            </w:pPr>
            <w:r>
              <w:rPr>
                <w:rFonts w:hint="eastAsia"/>
                <w:highlight w:val="none"/>
                <w:lang w:val="en-US" w:eastAsia="zh-CN"/>
              </w:rPr>
              <w:t>0</w:t>
            </w:r>
          </w:p>
        </w:tc>
        <w:tc>
          <w:tcPr>
            <w:tcW w:w="687" w:type="pct"/>
            <w:vAlign w:val="center"/>
          </w:tcPr>
          <w:p w14:paraId="690720D7">
            <w:pPr>
              <w:pStyle w:val="58"/>
              <w:bidi w:val="0"/>
              <w:rPr>
                <w:rFonts w:hint="default"/>
                <w:highlight w:val="none"/>
                <w:lang w:val="en-US" w:eastAsia="zh-CN"/>
              </w:rPr>
            </w:pPr>
            <w:r>
              <w:rPr>
                <w:rFonts w:hint="default"/>
                <w:highlight w:val="none"/>
                <w:lang w:val="en-US" w:eastAsia="zh-CN"/>
              </w:rPr>
              <w:t>0</w:t>
            </w:r>
          </w:p>
        </w:tc>
        <w:tc>
          <w:tcPr>
            <w:tcW w:w="849" w:type="pct"/>
            <w:vAlign w:val="center"/>
          </w:tcPr>
          <w:p w14:paraId="2EDD2947">
            <w:pPr>
              <w:pStyle w:val="58"/>
              <w:bidi w:val="0"/>
              <w:rPr>
                <w:rFonts w:hint="default"/>
                <w:highlight w:val="none"/>
                <w:lang w:val="en-US" w:eastAsia="zh-CN"/>
              </w:rPr>
            </w:pPr>
            <w:r>
              <w:rPr>
                <w:rFonts w:hint="eastAsia"/>
                <w:highlight w:val="none"/>
                <w:lang w:val="en-US" w:eastAsia="zh-CN"/>
              </w:rPr>
              <w:t>0</w:t>
            </w:r>
          </w:p>
        </w:tc>
        <w:tc>
          <w:tcPr>
            <w:tcW w:w="775" w:type="pct"/>
            <w:vAlign w:val="center"/>
          </w:tcPr>
          <w:p w14:paraId="192A6361">
            <w:pPr>
              <w:pStyle w:val="58"/>
              <w:bidi w:val="0"/>
              <w:rPr>
                <w:rFonts w:hint="default"/>
                <w:highlight w:val="none"/>
                <w:lang w:val="en-US" w:eastAsia="zh-CN"/>
              </w:rPr>
            </w:pPr>
            <w:r>
              <w:rPr>
                <w:rFonts w:hint="eastAsia"/>
                <w:highlight w:val="none"/>
                <w:lang w:val="en-US" w:eastAsia="zh-CN"/>
              </w:rPr>
              <w:t>0</w:t>
            </w:r>
          </w:p>
        </w:tc>
      </w:tr>
      <w:tr w14:paraId="15C97936">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97" w:hRule="atLeast"/>
        </w:trPr>
        <w:tc>
          <w:tcPr>
            <w:tcW w:w="189" w:type="pct"/>
            <w:vMerge w:val="continue"/>
            <w:tcBorders>
              <w:top w:val="nil"/>
              <w:bottom w:val="nil"/>
            </w:tcBorders>
            <w:textDirection w:val="tbRlV"/>
            <w:vAlign w:val="center"/>
          </w:tcPr>
          <w:p w14:paraId="0A4B480C">
            <w:pPr>
              <w:pStyle w:val="58"/>
              <w:bidi w:val="0"/>
              <w:rPr>
                <w:rFonts w:hint="default"/>
                <w:highlight w:val="none"/>
              </w:rPr>
            </w:pPr>
          </w:p>
        </w:tc>
        <w:tc>
          <w:tcPr>
            <w:tcW w:w="796" w:type="pct"/>
            <w:vMerge w:val="continue"/>
            <w:tcBorders>
              <w:top w:val="nil"/>
              <w:bottom w:val="nil"/>
            </w:tcBorders>
            <w:vAlign w:val="center"/>
          </w:tcPr>
          <w:p w14:paraId="1E84E4AC">
            <w:pPr>
              <w:pStyle w:val="58"/>
              <w:bidi w:val="0"/>
              <w:rPr>
                <w:rFonts w:hint="default"/>
                <w:highlight w:val="none"/>
              </w:rPr>
            </w:pPr>
          </w:p>
        </w:tc>
        <w:tc>
          <w:tcPr>
            <w:tcW w:w="401" w:type="pct"/>
            <w:vAlign w:val="center"/>
          </w:tcPr>
          <w:p w14:paraId="5CA658A5">
            <w:pPr>
              <w:pStyle w:val="58"/>
              <w:bidi w:val="0"/>
              <w:rPr>
                <w:rFonts w:hint="default"/>
                <w:highlight w:val="none"/>
                <w:lang w:val="en-US" w:eastAsia="zh-CN"/>
              </w:rPr>
            </w:pPr>
            <w:r>
              <w:rPr>
                <w:rFonts w:hint="default"/>
                <w:highlight w:val="none"/>
                <w:lang w:val="en-US" w:eastAsia="zh-CN"/>
              </w:rPr>
              <w:t>T</w:t>
            </w:r>
            <w:r>
              <w:rPr>
                <w:rFonts w:hint="eastAsia"/>
                <w:highlight w:val="none"/>
                <w:lang w:val="en-US" w:eastAsia="zh-CN"/>
              </w:rPr>
              <w:t>P</w:t>
            </w:r>
          </w:p>
        </w:tc>
        <w:tc>
          <w:tcPr>
            <w:tcW w:w="622" w:type="pct"/>
            <w:vAlign w:val="center"/>
          </w:tcPr>
          <w:p w14:paraId="6D2AD31D">
            <w:pPr>
              <w:pStyle w:val="58"/>
              <w:bidi w:val="0"/>
              <w:rPr>
                <w:rFonts w:hint="default"/>
                <w:highlight w:val="none"/>
                <w:lang w:val="en-US" w:eastAsia="zh-CN"/>
              </w:rPr>
            </w:pPr>
            <w:r>
              <w:rPr>
                <w:rFonts w:hint="eastAsia"/>
                <w:highlight w:val="none"/>
                <w:lang w:val="en-US" w:eastAsia="zh-CN"/>
              </w:rPr>
              <w:t>0</w:t>
            </w:r>
          </w:p>
        </w:tc>
        <w:tc>
          <w:tcPr>
            <w:tcW w:w="676" w:type="pct"/>
            <w:vAlign w:val="center"/>
          </w:tcPr>
          <w:p w14:paraId="20C402CE">
            <w:pPr>
              <w:pStyle w:val="58"/>
              <w:bidi w:val="0"/>
              <w:rPr>
                <w:rFonts w:hint="default"/>
                <w:highlight w:val="none"/>
                <w:lang w:val="en-US" w:eastAsia="zh-CN"/>
              </w:rPr>
            </w:pPr>
            <w:r>
              <w:rPr>
                <w:rFonts w:hint="eastAsia"/>
                <w:highlight w:val="none"/>
                <w:lang w:val="en-US" w:eastAsia="zh-CN"/>
              </w:rPr>
              <w:t>0</w:t>
            </w:r>
          </w:p>
        </w:tc>
        <w:tc>
          <w:tcPr>
            <w:tcW w:w="687" w:type="pct"/>
            <w:vAlign w:val="center"/>
          </w:tcPr>
          <w:p w14:paraId="378F64F2">
            <w:pPr>
              <w:pStyle w:val="58"/>
              <w:bidi w:val="0"/>
              <w:rPr>
                <w:rFonts w:hint="default"/>
                <w:highlight w:val="none"/>
                <w:lang w:val="en-US" w:eastAsia="zh-CN"/>
              </w:rPr>
            </w:pPr>
            <w:r>
              <w:rPr>
                <w:rFonts w:hint="default"/>
                <w:highlight w:val="none"/>
                <w:lang w:val="en-US" w:eastAsia="zh-CN"/>
              </w:rPr>
              <w:t>0</w:t>
            </w:r>
          </w:p>
        </w:tc>
        <w:tc>
          <w:tcPr>
            <w:tcW w:w="849" w:type="pct"/>
            <w:vAlign w:val="center"/>
          </w:tcPr>
          <w:p w14:paraId="578778DA">
            <w:pPr>
              <w:pStyle w:val="58"/>
              <w:bidi w:val="0"/>
              <w:rPr>
                <w:rFonts w:hint="default"/>
                <w:highlight w:val="none"/>
                <w:lang w:val="en-US" w:eastAsia="zh-CN"/>
              </w:rPr>
            </w:pPr>
            <w:r>
              <w:rPr>
                <w:rFonts w:hint="eastAsia"/>
                <w:highlight w:val="none"/>
                <w:lang w:val="en-US" w:eastAsia="zh-CN"/>
              </w:rPr>
              <w:t>0</w:t>
            </w:r>
          </w:p>
        </w:tc>
        <w:tc>
          <w:tcPr>
            <w:tcW w:w="775" w:type="pct"/>
            <w:vAlign w:val="center"/>
          </w:tcPr>
          <w:p w14:paraId="0D9B50ED">
            <w:pPr>
              <w:pStyle w:val="58"/>
              <w:bidi w:val="0"/>
              <w:rPr>
                <w:rFonts w:hint="default"/>
                <w:highlight w:val="none"/>
                <w:lang w:val="en-US" w:eastAsia="zh-CN"/>
              </w:rPr>
            </w:pPr>
            <w:r>
              <w:rPr>
                <w:rFonts w:hint="eastAsia"/>
                <w:highlight w:val="none"/>
                <w:lang w:val="en-US" w:eastAsia="zh-CN"/>
              </w:rPr>
              <w:t>0</w:t>
            </w:r>
          </w:p>
        </w:tc>
      </w:tr>
      <w:tr w14:paraId="333616DD">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97" w:hRule="atLeast"/>
        </w:trPr>
        <w:tc>
          <w:tcPr>
            <w:tcW w:w="189" w:type="pct"/>
            <w:vMerge w:val="continue"/>
            <w:tcBorders>
              <w:top w:val="nil"/>
            </w:tcBorders>
            <w:textDirection w:val="tbRlV"/>
            <w:vAlign w:val="center"/>
          </w:tcPr>
          <w:p w14:paraId="510945BD">
            <w:pPr>
              <w:pStyle w:val="58"/>
              <w:bidi w:val="0"/>
              <w:rPr>
                <w:rFonts w:hint="default"/>
                <w:highlight w:val="none"/>
              </w:rPr>
            </w:pPr>
          </w:p>
        </w:tc>
        <w:tc>
          <w:tcPr>
            <w:tcW w:w="796" w:type="pct"/>
            <w:vMerge w:val="continue"/>
            <w:tcBorders>
              <w:top w:val="nil"/>
            </w:tcBorders>
            <w:vAlign w:val="center"/>
          </w:tcPr>
          <w:p w14:paraId="30E383CF">
            <w:pPr>
              <w:pStyle w:val="58"/>
              <w:bidi w:val="0"/>
              <w:rPr>
                <w:rFonts w:hint="default"/>
                <w:highlight w:val="none"/>
              </w:rPr>
            </w:pPr>
          </w:p>
        </w:tc>
        <w:tc>
          <w:tcPr>
            <w:tcW w:w="401" w:type="pct"/>
            <w:vAlign w:val="center"/>
          </w:tcPr>
          <w:p w14:paraId="20D5669F">
            <w:pPr>
              <w:pStyle w:val="58"/>
              <w:bidi w:val="0"/>
              <w:rPr>
                <w:rFonts w:hint="eastAsia"/>
                <w:highlight w:val="none"/>
                <w:lang w:val="en-US" w:eastAsia="zh-CN"/>
              </w:rPr>
            </w:pPr>
            <w:r>
              <w:rPr>
                <w:rFonts w:hint="default"/>
                <w:highlight w:val="none"/>
                <w:lang w:val="en-US" w:eastAsia="zh-CN"/>
              </w:rPr>
              <w:t>T</w:t>
            </w:r>
            <w:r>
              <w:rPr>
                <w:rFonts w:hint="eastAsia"/>
                <w:highlight w:val="none"/>
                <w:lang w:val="en-US" w:eastAsia="zh-CN"/>
              </w:rPr>
              <w:t>N</w:t>
            </w:r>
          </w:p>
        </w:tc>
        <w:tc>
          <w:tcPr>
            <w:tcW w:w="622" w:type="pct"/>
            <w:vAlign w:val="center"/>
          </w:tcPr>
          <w:p w14:paraId="1D4ED98D">
            <w:pPr>
              <w:pStyle w:val="58"/>
              <w:bidi w:val="0"/>
              <w:rPr>
                <w:rFonts w:hint="default"/>
                <w:highlight w:val="none"/>
                <w:lang w:val="en-US" w:eastAsia="zh-CN"/>
              </w:rPr>
            </w:pPr>
            <w:r>
              <w:rPr>
                <w:rFonts w:hint="eastAsia"/>
                <w:highlight w:val="none"/>
                <w:lang w:val="en-US" w:eastAsia="zh-CN"/>
              </w:rPr>
              <w:t>0</w:t>
            </w:r>
          </w:p>
        </w:tc>
        <w:tc>
          <w:tcPr>
            <w:tcW w:w="676" w:type="pct"/>
            <w:vAlign w:val="center"/>
          </w:tcPr>
          <w:p w14:paraId="0E5A0A0C">
            <w:pPr>
              <w:pStyle w:val="58"/>
              <w:bidi w:val="0"/>
              <w:rPr>
                <w:rFonts w:hint="default"/>
                <w:highlight w:val="none"/>
                <w:lang w:val="en-US" w:eastAsia="zh-CN"/>
              </w:rPr>
            </w:pPr>
            <w:r>
              <w:rPr>
                <w:rFonts w:hint="eastAsia"/>
                <w:highlight w:val="none"/>
                <w:lang w:val="en-US" w:eastAsia="zh-CN"/>
              </w:rPr>
              <w:t>0</w:t>
            </w:r>
          </w:p>
        </w:tc>
        <w:tc>
          <w:tcPr>
            <w:tcW w:w="687" w:type="pct"/>
            <w:vAlign w:val="center"/>
          </w:tcPr>
          <w:p w14:paraId="4F396B01">
            <w:pPr>
              <w:pStyle w:val="58"/>
              <w:bidi w:val="0"/>
              <w:rPr>
                <w:rFonts w:hint="default"/>
                <w:highlight w:val="none"/>
                <w:lang w:val="en-US" w:eastAsia="zh-CN"/>
              </w:rPr>
            </w:pPr>
            <w:r>
              <w:rPr>
                <w:rFonts w:hint="default"/>
                <w:highlight w:val="none"/>
                <w:lang w:val="en-US" w:eastAsia="zh-CN"/>
              </w:rPr>
              <w:t>0</w:t>
            </w:r>
          </w:p>
        </w:tc>
        <w:tc>
          <w:tcPr>
            <w:tcW w:w="849" w:type="pct"/>
            <w:vAlign w:val="center"/>
          </w:tcPr>
          <w:p w14:paraId="26AFAF05">
            <w:pPr>
              <w:pStyle w:val="58"/>
              <w:bidi w:val="0"/>
              <w:rPr>
                <w:rFonts w:hint="default"/>
                <w:highlight w:val="none"/>
                <w:lang w:val="en-US" w:eastAsia="zh-CN"/>
              </w:rPr>
            </w:pPr>
            <w:r>
              <w:rPr>
                <w:rFonts w:hint="eastAsia"/>
                <w:highlight w:val="none"/>
                <w:lang w:val="en-US" w:eastAsia="zh-CN"/>
              </w:rPr>
              <w:t>0</w:t>
            </w:r>
          </w:p>
        </w:tc>
        <w:tc>
          <w:tcPr>
            <w:tcW w:w="775" w:type="pct"/>
            <w:vAlign w:val="center"/>
          </w:tcPr>
          <w:p w14:paraId="374746DF">
            <w:pPr>
              <w:pStyle w:val="58"/>
              <w:bidi w:val="0"/>
              <w:rPr>
                <w:rFonts w:hint="default"/>
                <w:highlight w:val="none"/>
                <w:lang w:val="en-US" w:eastAsia="zh-CN"/>
              </w:rPr>
            </w:pPr>
            <w:r>
              <w:rPr>
                <w:rFonts w:hint="eastAsia"/>
                <w:highlight w:val="none"/>
                <w:lang w:val="en-US" w:eastAsia="zh-CN"/>
              </w:rPr>
              <w:t>0</w:t>
            </w:r>
          </w:p>
        </w:tc>
      </w:tr>
    </w:tbl>
    <w:p w14:paraId="360B3BAF">
      <w:pPr>
        <w:pStyle w:val="21"/>
        <w:adjustRightInd w:val="0"/>
        <w:snapToGrid w:val="0"/>
        <w:spacing w:line="360" w:lineRule="exact"/>
        <w:ind w:left="0" w:leftChars="0" w:right="0" w:rightChars="0"/>
        <w:jc w:val="center"/>
        <w:rPr>
          <w:rStyle w:val="87"/>
          <w:rFonts w:hint="default" w:ascii="Times New Roman" w:hAnsi="Times New Roman" w:eastAsia="宋体" w:cs="Times New Roman"/>
          <w:color w:val="000000" w:themeColor="text1"/>
          <w:sz w:val="24"/>
          <w:szCs w:val="24"/>
          <w:highlight w:val="none"/>
          <w14:textFill>
            <w14:solidFill>
              <w14:schemeClr w14:val="tx1"/>
            </w14:solidFill>
          </w14:textFill>
        </w:rPr>
        <w:sectPr>
          <w:headerReference r:id="rId18" w:type="default"/>
          <w:footerReference r:id="rId19" w:type="default"/>
          <w:pgSz w:w="11906" w:h="16838"/>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bookmarkStart w:id="225" w:name="_Toc246763521"/>
      <w:bookmarkStart w:id="226" w:name="_Toc156613291"/>
    </w:p>
    <w:p w14:paraId="30C8DC16">
      <w:pPr>
        <w:pStyle w:val="5"/>
        <w:bidi w:val="0"/>
        <w:rPr>
          <w:rFonts w:hint="default" w:ascii="Times New Roman" w:hAnsi="Times New Roman" w:eastAsia="宋体" w:cs="Times New Roman"/>
          <w:b/>
          <w:color w:val="000000" w:themeColor="text1"/>
          <w:sz w:val="24"/>
          <w:szCs w:val="24"/>
          <w:highlight w:val="none"/>
          <w14:textFill>
            <w14:solidFill>
              <w14:schemeClr w14:val="tx1"/>
            </w14:solidFill>
          </w14:textFill>
        </w:rPr>
      </w:pPr>
      <w:bookmarkStart w:id="227" w:name="_Toc12048"/>
      <w:r>
        <w:rPr>
          <w:rStyle w:val="87"/>
          <w:rFonts w:hint="default" w:ascii="Times New Roman" w:hAnsi="Times New Roman" w:eastAsia="宋体" w:cs="Times New Roman"/>
          <w:b/>
          <w:color w:val="000000" w:themeColor="text1"/>
          <w:sz w:val="24"/>
          <w:szCs w:val="24"/>
          <w:highlight w:val="none"/>
          <w14:textFill>
            <w14:solidFill>
              <w14:schemeClr w14:val="tx1"/>
            </w14:solidFill>
          </w14:textFill>
        </w:rPr>
        <w:t>4环境现状调查与评价</w:t>
      </w:r>
      <w:bookmarkEnd w:id="227"/>
    </w:p>
    <w:p w14:paraId="2157DF0E">
      <w:pPr>
        <w:pStyle w:val="7"/>
        <w:bidi w:val="0"/>
        <w:rPr>
          <w:rFonts w:hint="default"/>
          <w:highlight w:val="none"/>
        </w:rPr>
      </w:pPr>
      <w:bookmarkStart w:id="228" w:name="_Toc246763522"/>
      <w:bookmarkStart w:id="229" w:name="_Toc286822083"/>
      <w:bookmarkStart w:id="230" w:name="_Toc16154"/>
      <w:bookmarkStart w:id="231" w:name="_Toc482193215"/>
      <w:bookmarkStart w:id="232" w:name="_Toc497978873"/>
      <w:bookmarkStart w:id="233" w:name="_Toc108256161"/>
      <w:bookmarkStart w:id="234" w:name="_Toc138391558"/>
      <w:bookmarkStart w:id="235" w:name="_Toc122771886"/>
      <w:bookmarkStart w:id="236" w:name="_Toc208392650"/>
      <w:bookmarkStart w:id="237" w:name="_Toc108250290"/>
      <w:bookmarkStart w:id="238" w:name="_Toc108256336"/>
      <w:bookmarkStart w:id="239" w:name="_Toc108256293"/>
      <w:r>
        <w:rPr>
          <w:rFonts w:hint="default"/>
          <w:highlight w:val="none"/>
        </w:rPr>
        <w:t>4.1自然环境概况</w:t>
      </w:r>
      <w:bookmarkEnd w:id="228"/>
      <w:bookmarkEnd w:id="229"/>
      <w:r>
        <w:rPr>
          <w:rFonts w:hint="default"/>
          <w:highlight w:val="none"/>
        </w:rPr>
        <w:t>调查</w:t>
      </w:r>
      <w:bookmarkEnd w:id="230"/>
      <w:bookmarkEnd w:id="231"/>
      <w:bookmarkEnd w:id="232"/>
    </w:p>
    <w:p w14:paraId="01EBB9C3">
      <w:pPr>
        <w:pStyle w:val="6"/>
        <w:pageBreakBefore w:val="0"/>
        <w:widowControl w:val="0"/>
        <w:kinsoku/>
        <w:wordWrap/>
        <w:overflowPunct/>
        <w:topLinePunct w:val="0"/>
        <w:autoSpaceDE/>
        <w:autoSpaceDN/>
        <w:bidi w:val="0"/>
        <w:adjustRightInd/>
        <w:spacing w:before="0" w:beforeLines="0" w:after="0" w:afterLines="0" w:line="480" w:lineRule="exac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bookmarkStart w:id="240" w:name="_Toc342315820"/>
      <w:r>
        <w:rPr>
          <w:rFonts w:hint="default" w:ascii="Times New Roman" w:hAnsi="Times New Roman" w:eastAsia="宋体" w:cs="Times New Roman"/>
          <w:color w:val="000000" w:themeColor="text1"/>
          <w:sz w:val="24"/>
          <w:szCs w:val="24"/>
          <w:highlight w:val="none"/>
          <w14:textFill>
            <w14:solidFill>
              <w14:schemeClr w14:val="tx1"/>
            </w14:solidFill>
          </w14:textFill>
        </w:rPr>
        <w:t>4.1.1地理位置</w:t>
      </w:r>
      <w:bookmarkEnd w:id="240"/>
    </w:p>
    <w:p w14:paraId="4929C08C">
      <w:pPr>
        <w:pageBreakBefore w:val="0"/>
        <w:widowControl w:val="0"/>
        <w:kinsoku/>
        <w:wordWrap/>
        <w:overflowPunct/>
        <w:topLinePunct w:val="0"/>
        <w:autoSpaceDE/>
        <w:autoSpaceDN/>
        <w:bidi w:val="0"/>
        <w:adjustRightInd/>
        <w:snapToGrid w:val="0"/>
        <w:spacing w:line="480" w:lineRule="exact"/>
        <w:ind w:firstLine="480" w:firstLineChars="200"/>
        <w:textAlignment w:val="auto"/>
        <w:rPr>
          <w:rFonts w:hint="default" w:ascii="Times New Roman" w:hAnsi="Times New Roman" w:eastAsia="宋体" w:cs="Times New Roman"/>
          <w:bCs/>
          <w:color w:val="000000" w:themeColor="text1"/>
          <w:sz w:val="24"/>
          <w:szCs w:val="20"/>
          <w:highlight w:val="none"/>
          <w14:textFill>
            <w14:solidFill>
              <w14:schemeClr w14:val="tx1"/>
            </w14:solidFill>
          </w14:textFill>
        </w:rPr>
      </w:pPr>
      <w:r>
        <w:rPr>
          <w:rFonts w:hint="default" w:ascii="Times New Roman" w:hAnsi="Times New Roman" w:eastAsia="宋体" w:cs="Times New Roman"/>
          <w:bCs/>
          <w:color w:val="000000" w:themeColor="text1"/>
          <w:sz w:val="24"/>
          <w:szCs w:val="20"/>
          <w:highlight w:val="none"/>
          <w14:textFill>
            <w14:solidFill>
              <w14:schemeClr w14:val="tx1"/>
            </w14:solidFill>
          </w14:textFill>
        </w:rPr>
        <w:t>曹妃甸区位于唐山市南部沿海，是一个呈东北、西南走向的带状沙岛，位于东经118°38’、北纬38°55’。曹妃甸区地处环京津经济圈核心位置，相距北京220km、天津140km；从海域看，距韩国仁川港400海里，距日本长崎680海里、神户935海里，是新建欧亚大陆桥的起点。</w:t>
      </w:r>
    </w:p>
    <w:p w14:paraId="610A8066">
      <w:pPr>
        <w:pageBreakBefore w:val="0"/>
        <w:widowControl w:val="0"/>
        <w:kinsoku/>
        <w:wordWrap/>
        <w:overflowPunct/>
        <w:topLinePunct w:val="0"/>
        <w:autoSpaceDE/>
        <w:autoSpaceDN/>
        <w:bidi w:val="0"/>
        <w:adjustRightInd/>
        <w:snapToGrid w:val="0"/>
        <w:spacing w:line="480" w:lineRule="exact"/>
        <w:ind w:firstLine="480" w:firstLineChars="200"/>
        <w:textAlignment w:val="auto"/>
        <w:rPr>
          <w:rFonts w:hint="default" w:ascii="Times New Roman" w:hAnsi="Times New Roman" w:eastAsia="宋体" w:cs="Times New Roman"/>
          <w:bCs/>
          <w:color w:val="000000" w:themeColor="text1"/>
          <w:sz w:val="24"/>
          <w:szCs w:val="20"/>
          <w:highlight w:val="none"/>
          <w14:textFill>
            <w14:solidFill>
              <w14:schemeClr w14:val="tx1"/>
            </w14:solidFill>
          </w14:textFill>
        </w:rPr>
      </w:pPr>
      <w:r>
        <w:rPr>
          <w:rFonts w:hint="default" w:ascii="Times New Roman" w:hAnsi="Times New Roman" w:eastAsia="宋体" w:cs="Times New Roman"/>
          <w:bCs/>
          <w:color w:val="000000" w:themeColor="text1"/>
          <w:sz w:val="24"/>
          <w:szCs w:val="20"/>
          <w:highlight w:val="none"/>
          <w14:textFill>
            <w14:solidFill>
              <w14:schemeClr w14:val="tx1"/>
            </w14:solidFill>
          </w14:textFill>
        </w:rPr>
        <w:t>垦丰家居产业园区属唐海县十一农场，2012年，国务院批准撤销唐海县，设立曹妃甸区，下辖唐海镇(原唐海县全境)、曹妃甸工业区、生态城、柳赞镇、滨海镇和南堡开发区。由此，十一农场归曹妃甸区唐海镇管辖。</w:t>
      </w:r>
    </w:p>
    <w:p w14:paraId="49833091">
      <w:pPr>
        <w:pageBreakBefore w:val="0"/>
        <w:widowControl w:val="0"/>
        <w:kinsoku/>
        <w:wordWrap/>
        <w:overflowPunct/>
        <w:topLinePunct w:val="0"/>
        <w:autoSpaceDE/>
        <w:autoSpaceDN/>
        <w:bidi w:val="0"/>
        <w:adjustRightInd/>
        <w:snapToGrid w:val="0"/>
        <w:spacing w:line="480" w:lineRule="exact"/>
        <w:ind w:firstLine="480" w:firstLineChars="200"/>
        <w:textAlignment w:val="auto"/>
        <w:rPr>
          <w:rFonts w:hint="default" w:ascii="Times New Roman" w:hAnsi="Times New Roman" w:eastAsia="宋体" w:cs="Times New Roman"/>
          <w:bCs/>
          <w:color w:val="000000" w:themeColor="text1"/>
          <w:sz w:val="24"/>
          <w:szCs w:val="20"/>
          <w:highlight w:val="none"/>
          <w14:textFill>
            <w14:solidFill>
              <w14:schemeClr w14:val="tx1"/>
            </w14:solidFill>
          </w14:textFill>
        </w:rPr>
      </w:pPr>
      <w:r>
        <w:rPr>
          <w:rFonts w:hint="default" w:ascii="Times New Roman" w:hAnsi="Times New Roman" w:eastAsia="宋体" w:cs="Times New Roman"/>
          <w:bCs/>
          <w:color w:val="000000" w:themeColor="text1"/>
          <w:sz w:val="24"/>
          <w:szCs w:val="20"/>
          <w:highlight w:val="none"/>
          <w14:textFill>
            <w14:solidFill>
              <w14:schemeClr w14:val="tx1"/>
            </w14:solidFill>
          </w14:textFill>
        </w:rPr>
        <w:t>项目位于曹妃甸区十一农场垦丰家居产业园</w:t>
      </w:r>
      <w:r>
        <w:rPr>
          <w:rFonts w:hint="eastAsia" w:cs="Times New Roman"/>
          <w:bCs/>
          <w:color w:val="000000" w:themeColor="text1"/>
          <w:sz w:val="24"/>
          <w:szCs w:val="20"/>
          <w:highlight w:val="none"/>
          <w:lang w:val="en-US" w:eastAsia="zh-CN"/>
          <w14:textFill>
            <w14:solidFill>
              <w14:schemeClr w14:val="tx1"/>
            </w14:solidFill>
          </w14:textFill>
        </w:rPr>
        <w:t>现有污水处理厂区内</w:t>
      </w:r>
      <w:r>
        <w:rPr>
          <w:rFonts w:hint="default" w:ascii="Times New Roman" w:hAnsi="Times New Roman" w:eastAsia="宋体" w:cs="Times New Roman"/>
          <w:bCs/>
          <w:color w:val="000000" w:themeColor="text1"/>
          <w:sz w:val="24"/>
          <w:szCs w:val="20"/>
          <w:highlight w:val="none"/>
          <w14:textFill>
            <w14:solidFill>
              <w14:schemeClr w14:val="tx1"/>
            </w14:solidFill>
          </w14:textFill>
        </w:rPr>
        <w:t>，中心地理坐标：</w:t>
      </w:r>
      <w:r>
        <w:rPr>
          <w:rFonts w:hint="default" w:ascii="Times New Roman" w:hAnsi="Times New Roman" w:eastAsia="宋体" w:cs="Times New Roman"/>
          <w:bCs/>
          <w:color w:val="000000" w:themeColor="text1"/>
          <w:sz w:val="24"/>
          <w:szCs w:val="20"/>
          <w:highlight w:val="none"/>
          <w:lang w:val="en-US" w:eastAsia="zh-CN"/>
          <w14:textFill>
            <w14:solidFill>
              <w14:schemeClr w14:val="tx1"/>
            </w14:solidFill>
          </w14:textFill>
        </w:rPr>
        <w:t>北纬39°15′58.796″，东经118°16′2.316″</w:t>
      </w:r>
      <w:r>
        <w:rPr>
          <w:rFonts w:hint="default" w:ascii="Times New Roman" w:hAnsi="Times New Roman" w:eastAsia="宋体" w:cs="Times New Roman"/>
          <w:bCs/>
          <w:color w:val="000000" w:themeColor="text1"/>
          <w:sz w:val="24"/>
          <w:szCs w:val="20"/>
          <w:highlight w:val="none"/>
          <w14:textFill>
            <w14:solidFill>
              <w14:schemeClr w14:val="tx1"/>
            </w14:solidFill>
          </w14:textFill>
        </w:rPr>
        <w:t>。</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本项目建设地点为曹妃甸区垦丰家居产业园区经三路西侧、纬二道北侧。厂区东侧隔经三路为</w:t>
      </w:r>
      <w:r>
        <w:rPr>
          <w:rFonts w:hint="eastAsia" w:cs="Times New Roman"/>
          <w:color w:val="000000" w:themeColor="text1"/>
          <w:sz w:val="24"/>
          <w:highlight w:val="none"/>
          <w:lang w:val="en-US" w:eastAsia="zh-CN"/>
          <w14:textFill>
            <w14:solidFill>
              <w14:schemeClr w14:val="tx1"/>
            </w14:solidFill>
          </w14:textFill>
        </w:rPr>
        <w:t>金木美佳（唐山）科技有限公司</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，南侧为</w:t>
      </w:r>
      <w:r>
        <w:rPr>
          <w:rFonts w:hint="eastAsia" w:cs="Times New Roman"/>
          <w:color w:val="000000" w:themeColor="text1"/>
          <w:sz w:val="24"/>
          <w:highlight w:val="none"/>
          <w:lang w:val="en-US" w:eastAsia="zh-CN"/>
          <w14:textFill>
            <w14:solidFill>
              <w14:schemeClr w14:val="tx1"/>
            </w14:solidFill>
          </w14:textFill>
        </w:rPr>
        <w:t>唐山市海鹭家具有限公司</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，西北侧为十一农场沟渠</w:t>
      </w:r>
      <w:r>
        <w:rPr>
          <w:rFonts w:hint="default" w:ascii="Times New Roman" w:hAnsi="Times New Roman" w:eastAsia="宋体" w:cs="Times New Roman"/>
          <w:bCs/>
          <w:color w:val="000000" w:themeColor="text1"/>
          <w:sz w:val="24"/>
          <w:szCs w:val="20"/>
          <w:highlight w:val="none"/>
          <w:lang w:eastAsia="zh-CN"/>
          <w14:textFill>
            <w14:solidFill>
              <w14:schemeClr w14:val="tx1"/>
            </w14:solidFill>
          </w14:textFill>
        </w:rPr>
        <w:t>。</w:t>
      </w:r>
      <w:r>
        <w:rPr>
          <w:rFonts w:hint="default" w:ascii="Times New Roman" w:hAnsi="Times New Roman" w:eastAsia="宋体" w:cs="Times New Roman"/>
          <w:bCs/>
          <w:color w:val="000000" w:themeColor="text1"/>
          <w:sz w:val="24"/>
          <w:szCs w:val="20"/>
          <w:highlight w:val="none"/>
          <w14:textFill>
            <w14:solidFill>
              <w14:schemeClr w14:val="tx1"/>
            </w14:solidFill>
          </w14:textFill>
        </w:rPr>
        <w:t>南距曹妃甸湿地和鸟类省级自然保护区</w:t>
      </w:r>
      <w:r>
        <w:rPr>
          <w:rFonts w:hint="default" w:ascii="Times New Roman" w:hAnsi="Times New Roman" w:eastAsia="宋体" w:cs="Times New Roman"/>
          <w:bCs/>
          <w:color w:val="000000" w:themeColor="text1"/>
          <w:sz w:val="24"/>
          <w:szCs w:val="20"/>
          <w:highlight w:val="none"/>
          <w:lang w:eastAsia="zh-CN"/>
          <w14:textFill>
            <w14:solidFill>
              <w14:schemeClr w14:val="tx1"/>
            </w14:solidFill>
          </w14:textFill>
        </w:rPr>
        <w:t>实验区</w:t>
      </w:r>
      <w:r>
        <w:rPr>
          <w:rFonts w:hint="default" w:ascii="Times New Roman" w:hAnsi="Times New Roman" w:eastAsia="宋体" w:cs="Times New Roman"/>
          <w:bCs/>
          <w:color w:val="000000" w:themeColor="text1"/>
          <w:sz w:val="24"/>
          <w:szCs w:val="20"/>
          <w:highlight w:val="none"/>
          <w:lang w:val="en-US" w:eastAsia="zh-CN"/>
          <w14:textFill>
            <w14:solidFill>
              <w14:schemeClr w14:val="tx1"/>
            </w14:solidFill>
          </w14:textFill>
        </w:rPr>
        <w:t>1276</w:t>
      </w:r>
      <w:r>
        <w:rPr>
          <w:rFonts w:hint="default" w:ascii="Times New Roman" w:hAnsi="Times New Roman" w:eastAsia="宋体" w:cs="Times New Roman"/>
          <w:bCs/>
          <w:color w:val="000000" w:themeColor="text1"/>
          <w:sz w:val="24"/>
          <w:szCs w:val="20"/>
          <w:highlight w:val="none"/>
          <w:lang w:eastAsia="zh-CN"/>
          <w14:textFill>
            <w14:solidFill>
              <w14:schemeClr w14:val="tx1"/>
            </w14:solidFill>
          </w14:textFill>
        </w:rPr>
        <w:t>m、缓冲区21</w:t>
      </w:r>
      <w:r>
        <w:rPr>
          <w:rFonts w:hint="default" w:ascii="Times New Roman" w:hAnsi="Times New Roman" w:eastAsia="宋体" w:cs="Times New Roman"/>
          <w:bCs/>
          <w:color w:val="000000" w:themeColor="text1"/>
          <w:sz w:val="24"/>
          <w:szCs w:val="20"/>
          <w:highlight w:val="none"/>
          <w:lang w:val="en-US" w:eastAsia="zh-CN"/>
          <w14:textFill>
            <w14:solidFill>
              <w14:schemeClr w14:val="tx1"/>
            </w14:solidFill>
          </w14:textFill>
        </w:rPr>
        <w:t>30</w:t>
      </w:r>
      <w:r>
        <w:rPr>
          <w:rFonts w:hint="default" w:ascii="Times New Roman" w:hAnsi="Times New Roman" w:eastAsia="宋体" w:cs="Times New Roman"/>
          <w:bCs/>
          <w:color w:val="000000" w:themeColor="text1"/>
          <w:sz w:val="24"/>
          <w:szCs w:val="20"/>
          <w:highlight w:val="none"/>
          <w:lang w:eastAsia="zh-CN"/>
          <w14:textFill>
            <w14:solidFill>
              <w14:schemeClr w14:val="tx1"/>
            </w14:solidFill>
          </w14:textFill>
        </w:rPr>
        <w:t>m、核心区2</w:t>
      </w:r>
      <w:r>
        <w:rPr>
          <w:rFonts w:hint="default" w:ascii="Times New Roman" w:hAnsi="Times New Roman" w:eastAsia="宋体" w:cs="Times New Roman"/>
          <w:bCs/>
          <w:color w:val="000000" w:themeColor="text1"/>
          <w:sz w:val="24"/>
          <w:szCs w:val="20"/>
          <w:highlight w:val="none"/>
          <w:lang w:val="en-US" w:eastAsia="zh-CN"/>
          <w14:textFill>
            <w14:solidFill>
              <w14:schemeClr w14:val="tx1"/>
            </w14:solidFill>
          </w14:textFill>
        </w:rPr>
        <w:t>54</w:t>
      </w:r>
      <w:r>
        <w:rPr>
          <w:rFonts w:hint="default" w:ascii="Times New Roman" w:hAnsi="Times New Roman" w:eastAsia="宋体" w:cs="Times New Roman"/>
          <w:bCs/>
          <w:color w:val="000000" w:themeColor="text1"/>
          <w:sz w:val="24"/>
          <w:szCs w:val="20"/>
          <w:highlight w:val="none"/>
          <w:lang w:eastAsia="zh-CN"/>
          <w14:textFill>
            <w14:solidFill>
              <w14:schemeClr w14:val="tx1"/>
            </w14:solidFill>
          </w14:textFill>
        </w:rPr>
        <w:t>0m</w:t>
      </w:r>
      <w:r>
        <w:rPr>
          <w:rFonts w:hint="default" w:ascii="Times New Roman" w:hAnsi="Times New Roman" w:eastAsia="宋体" w:cs="Times New Roman"/>
          <w:bCs/>
          <w:color w:val="000000" w:themeColor="text1"/>
          <w:sz w:val="24"/>
          <w:szCs w:val="20"/>
          <w:highlight w:val="none"/>
          <w14:textFill>
            <w14:solidFill>
              <w14:schemeClr w14:val="tx1"/>
            </w14:solidFill>
          </w14:textFill>
        </w:rPr>
        <w:t>，距离项目最近居民区为项目西侧</w:t>
      </w:r>
      <w:r>
        <w:rPr>
          <w:rFonts w:hint="eastAsia" w:ascii="Times New Roman" w:hAnsi="Times New Roman" w:eastAsia="宋体" w:cs="Times New Roman"/>
          <w:bCs/>
          <w:color w:val="000000" w:themeColor="text1"/>
          <w:sz w:val="24"/>
          <w:szCs w:val="20"/>
          <w:highlight w:val="none"/>
          <w:lang w:val="en-US" w:eastAsia="zh-CN"/>
          <w14:textFill>
            <w14:solidFill>
              <w14:schemeClr w14:val="tx1"/>
            </w14:solidFill>
          </w14:textFill>
        </w:rPr>
        <w:t>1576</w:t>
      </w:r>
      <w:r>
        <w:rPr>
          <w:rFonts w:hint="default" w:ascii="Times New Roman" w:hAnsi="Times New Roman" w:eastAsia="宋体" w:cs="Times New Roman"/>
          <w:bCs/>
          <w:color w:val="000000" w:themeColor="text1"/>
          <w:sz w:val="24"/>
          <w:szCs w:val="20"/>
          <w:highlight w:val="none"/>
          <w14:textFill>
            <w14:solidFill>
              <w14:schemeClr w14:val="tx1"/>
            </w14:solidFill>
          </w14:textFill>
        </w:rPr>
        <w:t>m处的</w:t>
      </w:r>
      <w:r>
        <w:rPr>
          <w:rFonts w:hint="eastAsia" w:cs="Times New Roman"/>
          <w:bCs/>
          <w:color w:val="000000" w:themeColor="text1"/>
          <w:sz w:val="24"/>
          <w:szCs w:val="20"/>
          <w:highlight w:val="none"/>
          <w:lang w:val="en-US" w:eastAsia="zh-CN"/>
          <w14:textFill>
            <w14:solidFill>
              <w14:schemeClr w14:val="tx1"/>
            </w14:solidFill>
          </w14:textFill>
        </w:rPr>
        <w:t>老王庄</w:t>
      </w:r>
      <w:r>
        <w:rPr>
          <w:rFonts w:hint="eastAsia" w:ascii="Times New Roman" w:hAnsi="Times New Roman" w:eastAsia="宋体" w:cs="Times New Roman"/>
          <w:bCs/>
          <w:color w:val="000000" w:themeColor="text1"/>
          <w:sz w:val="24"/>
          <w:szCs w:val="20"/>
          <w:highlight w:val="none"/>
          <w:lang w:val="en-US" w:eastAsia="zh-CN"/>
          <w14:textFill>
            <w14:solidFill>
              <w14:schemeClr w14:val="tx1"/>
            </w14:solidFill>
          </w14:textFill>
        </w:rPr>
        <w:t>东</w:t>
      </w:r>
      <w:r>
        <w:rPr>
          <w:rFonts w:hint="default" w:ascii="Times New Roman" w:hAnsi="Times New Roman" w:eastAsia="宋体" w:cs="Times New Roman"/>
          <w:bCs/>
          <w:color w:val="000000" w:themeColor="text1"/>
          <w:sz w:val="24"/>
          <w:szCs w:val="20"/>
          <w:highlight w:val="none"/>
          <w14:textFill>
            <w14:solidFill>
              <w14:schemeClr w14:val="tx1"/>
            </w14:solidFill>
          </w14:textFill>
        </w:rPr>
        <w:t>南街村。</w:t>
      </w:r>
    </w:p>
    <w:p w14:paraId="677C1BE6">
      <w:pPr>
        <w:pageBreakBefore w:val="0"/>
        <w:widowControl w:val="0"/>
        <w:kinsoku/>
        <w:wordWrap/>
        <w:overflowPunct/>
        <w:topLinePunct w:val="0"/>
        <w:bidi w:val="0"/>
        <w:snapToGrid w:val="0"/>
        <w:spacing w:line="480" w:lineRule="exact"/>
        <w:ind w:firstLine="480" w:firstLineChars="200"/>
        <w:textAlignment w:val="auto"/>
        <w:rPr>
          <w:rFonts w:hint="default" w:ascii="Times New Roman" w:hAnsi="Times New Roman" w:eastAsia="宋体" w:cs="Times New Roman"/>
          <w:snapToGrid w:val="0"/>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厂区地理位置见附图1，厂区平面布置及周边关系见附图</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sz w:val="24"/>
          <w:highlight w:val="none"/>
          <w14:textFill>
            <w14:solidFill>
              <w14:schemeClr w14:val="tx1"/>
            </w14:solidFill>
          </w14:textFill>
        </w:rPr>
        <w:t>。</w:t>
      </w:r>
    </w:p>
    <w:bookmarkEnd w:id="233"/>
    <w:bookmarkEnd w:id="234"/>
    <w:bookmarkEnd w:id="235"/>
    <w:bookmarkEnd w:id="236"/>
    <w:bookmarkEnd w:id="237"/>
    <w:bookmarkEnd w:id="238"/>
    <w:bookmarkEnd w:id="239"/>
    <w:p w14:paraId="03D3472A">
      <w:pPr>
        <w:pStyle w:val="6"/>
        <w:pageBreakBefore w:val="0"/>
        <w:widowControl w:val="0"/>
        <w:kinsoku/>
        <w:wordWrap/>
        <w:overflowPunct/>
        <w:topLinePunct w:val="0"/>
        <w:bidi w:val="0"/>
        <w:spacing w:line="480" w:lineRule="exact"/>
        <w:textAlignment w:val="auto"/>
        <w:rPr>
          <w:rFonts w:hint="default" w:ascii="Times New Roman" w:hAnsi="Times New Roman" w:eastAsia="宋体" w:cs="Times New Roman"/>
          <w:color w:val="000000" w:themeColor="text1"/>
          <w:highlight w:val="none"/>
          <w14:textFill>
            <w14:solidFill>
              <w14:schemeClr w14:val="tx1"/>
            </w14:solidFill>
          </w14:textFill>
        </w:rPr>
      </w:pPr>
      <w:bookmarkStart w:id="241" w:name="_Toc286822085"/>
      <w:bookmarkStart w:id="242" w:name="_Toc301529694"/>
      <w:r>
        <w:rPr>
          <w:rFonts w:hint="default" w:ascii="Times New Roman" w:hAnsi="Times New Roman" w:eastAsia="宋体" w:cs="Times New Roman"/>
          <w:color w:val="000000" w:themeColor="text1"/>
          <w:highlight w:val="none"/>
          <w14:textFill>
            <w14:solidFill>
              <w14:schemeClr w14:val="tx1"/>
            </w14:solidFill>
          </w14:textFill>
        </w:rPr>
        <w:t>4.1.2地形地貌</w:t>
      </w:r>
    </w:p>
    <w:p w14:paraId="2DFE0DEF">
      <w:pPr>
        <w:bidi w:val="0"/>
        <w:rPr>
          <w:rFonts w:hint="default"/>
          <w:highlight w:val="none"/>
        </w:rPr>
      </w:pPr>
      <w:r>
        <w:rPr>
          <w:rFonts w:hint="default"/>
          <w:highlight w:val="none"/>
        </w:rPr>
        <w:t>唐山市位于华北平原北部，属冀东平原的一部分，燕山山脉东端。北部和东北部多山，地势北高南低，海拔在300m~600m之间；中部为燕山山前平原，地势平坦，海拔50m以下；南部和西部为滨海盐碱地和洼地草泊，海拔15m以下。曹妃甸区位于滦河三角洲平原海岸，具有双重岸线的特征，其中内侧大陆岸线为沿滦河古三角洲前沿发育的冲、海积平原，本项目即在此地形范围内。</w:t>
      </w:r>
    </w:p>
    <w:p w14:paraId="26A76917">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color w:val="000000" w:themeColor="text1"/>
          <w:sz w:val="24"/>
          <w:szCs w:val="20"/>
          <w:highlight w:val="none"/>
          <w14:textFill>
            <w14:solidFill>
              <w14:schemeClr w14:val="tx1"/>
            </w14:solidFill>
          </w14:textFill>
        </w:rPr>
      </w:pPr>
      <w:r>
        <w:rPr>
          <w:rFonts w:hint="default" w:ascii="Times New Roman" w:hAnsi="Times New Roman" w:eastAsia="宋体" w:cs="Times New Roman"/>
          <w:color w:val="000000" w:themeColor="text1"/>
          <w:sz w:val="24"/>
          <w:szCs w:val="20"/>
          <w:highlight w:val="none"/>
          <w14:textFill>
            <w14:solidFill>
              <w14:schemeClr w14:val="tx1"/>
            </w14:solidFill>
          </w14:textFill>
        </w:rPr>
        <w:t>本项目厂址位于平原地带，区域地形平坦。</w:t>
      </w:r>
    </w:p>
    <w:p w14:paraId="3B8C02E5">
      <w:pPr>
        <w:pStyle w:val="6"/>
        <w:pageBreakBefore w:val="0"/>
        <w:widowControl w:val="0"/>
        <w:kinsoku/>
        <w:wordWrap/>
        <w:overflowPunct/>
        <w:topLinePunct w:val="0"/>
        <w:bidi w:val="0"/>
        <w:spacing w:line="480" w:lineRule="exact"/>
        <w:textAlignment w:val="auto"/>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4.1.3</w:t>
      </w:r>
      <w:r>
        <w:rPr>
          <w:rFonts w:hint="default" w:ascii="Times New Roman" w:hAnsi="Times New Roman" w:eastAsia="宋体" w:cs="Times New Roman"/>
          <w:color w:val="000000" w:themeColor="text1"/>
          <w:highlight w:val="none"/>
          <w:lang w:val="en-US" w:eastAsia="zh-CN"/>
          <w14:textFill>
            <w14:solidFill>
              <w14:schemeClr w14:val="tx1"/>
            </w14:solidFill>
          </w14:textFill>
        </w:rPr>
        <w:t>气候气象</w:t>
      </w:r>
    </w:p>
    <w:p w14:paraId="1A98181E">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唐山市曹妃甸区属沿海地区，气候特征属温带大陆性季风气候，夏季基本受副热带高压影响，炎热多雨，冬季受蒙古气团和来自西伯利亚的寒流影响，寒冷干燥。</w:t>
      </w:r>
    </w:p>
    <w:p w14:paraId="3A0F95FB">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受海洋气候影响，年平均风速较大，大风日数比内地平原多。根据曹妃甸气象站近20年(2002~2021年)气象统计资料，该区域主要气候气象特征见表</w:t>
      </w:r>
      <w:r>
        <w:rPr>
          <w:rFonts w:hint="eastAsia" w:cs="Times New Roman"/>
          <w:color w:val="000000" w:themeColor="text1"/>
          <w:sz w:val="24"/>
          <w:szCs w:val="20"/>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.1-1。</w:t>
      </w:r>
    </w:p>
    <w:p w14:paraId="14C7E670">
      <w:pPr>
        <w:numPr>
          <w:ilvl w:val="0"/>
          <w:numId w:val="28"/>
        </w:numPr>
        <w:spacing w:line="480" w:lineRule="exact"/>
        <w:ind w:left="425" w:leftChars="0" w:hanging="425" w:firstLineChars="0"/>
        <w:jc w:val="center"/>
        <w:rPr>
          <w:rFonts w:hint="default" w:ascii="Times New Roman" w:hAnsi="Times New Roman" w:eastAsia="宋体" w:cs="Times New Roman"/>
          <w:b/>
          <w:bCs/>
          <w:color w:val="000000" w:themeColor="text1"/>
          <w:sz w:val="24"/>
          <w:szCs w:val="20"/>
          <w:highlight w:val="none"/>
          <w:lang w:val="en-US" w:eastAsia="zh-CN"/>
          <w14:textFill>
            <w14:solidFill>
              <w14:schemeClr w14:val="tx1"/>
            </w14:solidFill>
          </w14:textFill>
        </w:rPr>
      </w:pPr>
      <w:r>
        <w:rPr>
          <w:rFonts w:hint="eastAsia" w:cs="Times New Roman"/>
          <w:b/>
          <w:bCs/>
          <w:color w:val="000000" w:themeColor="text1"/>
          <w:sz w:val="24"/>
          <w:szCs w:val="20"/>
          <w:highlight w:val="none"/>
          <w:lang w:val="en-US" w:eastAsia="zh-CN"/>
          <w14:textFill>
            <w14:solidFill>
              <w14:schemeClr w14:val="tx1"/>
            </w14:solidFill>
          </w14:textFill>
        </w:rPr>
        <w:t xml:space="preserve">  </w:t>
      </w:r>
      <w:r>
        <w:rPr>
          <w:rFonts w:hint="default" w:ascii="Times New Roman" w:hAnsi="Times New Roman" w:eastAsia="宋体" w:cs="Times New Roman"/>
          <w:b/>
          <w:bCs/>
          <w:color w:val="000000" w:themeColor="text1"/>
          <w:sz w:val="24"/>
          <w:szCs w:val="20"/>
          <w:highlight w:val="none"/>
          <w:lang w:val="en-US" w:eastAsia="zh-CN"/>
          <w14:textFill>
            <w14:solidFill>
              <w14:schemeClr w14:val="tx1"/>
            </w14:solidFill>
          </w14:textFill>
        </w:rPr>
        <w:t>主要气象特征一览表</w:t>
      </w:r>
    </w:p>
    <w:tbl>
      <w:tblPr>
        <w:tblStyle w:val="47"/>
        <w:tblW w:w="5013" w:type="pct"/>
        <w:tblInd w:w="0" w:type="dxa"/>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autofit"/>
        <w:tblCellMar>
          <w:top w:w="0" w:type="dxa"/>
          <w:left w:w="0" w:type="dxa"/>
          <w:bottom w:w="0" w:type="dxa"/>
          <w:right w:w="0" w:type="dxa"/>
        </w:tblCellMar>
      </w:tblPr>
      <w:tblGrid>
        <w:gridCol w:w="549"/>
        <w:gridCol w:w="1624"/>
        <w:gridCol w:w="837"/>
        <w:gridCol w:w="1348"/>
        <w:gridCol w:w="645"/>
        <w:gridCol w:w="2028"/>
        <w:gridCol w:w="935"/>
        <w:gridCol w:w="1160"/>
      </w:tblGrid>
      <w:tr w14:paraId="78051DE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453" w:hRule="atLeast"/>
        </w:trPr>
        <w:tc>
          <w:tcPr>
            <w:tcW w:w="301" w:type="pct"/>
            <w:noWrap w:val="0"/>
            <w:vAlign w:val="center"/>
          </w:tcPr>
          <w:p w14:paraId="412093E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序号</w:t>
            </w:r>
          </w:p>
        </w:tc>
        <w:tc>
          <w:tcPr>
            <w:tcW w:w="889" w:type="pct"/>
            <w:noWrap w:val="0"/>
            <w:vAlign w:val="center"/>
          </w:tcPr>
          <w:p w14:paraId="79326B3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项目</w:t>
            </w:r>
          </w:p>
        </w:tc>
        <w:tc>
          <w:tcPr>
            <w:tcW w:w="458" w:type="pct"/>
            <w:noWrap w:val="0"/>
            <w:vAlign w:val="center"/>
          </w:tcPr>
          <w:p w14:paraId="56AC92E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单位</w:t>
            </w:r>
          </w:p>
        </w:tc>
        <w:tc>
          <w:tcPr>
            <w:tcW w:w="738" w:type="pct"/>
            <w:noWrap w:val="0"/>
            <w:vAlign w:val="center"/>
          </w:tcPr>
          <w:p w14:paraId="0554138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数据</w:t>
            </w:r>
          </w:p>
        </w:tc>
        <w:tc>
          <w:tcPr>
            <w:tcW w:w="353" w:type="pct"/>
            <w:noWrap w:val="0"/>
            <w:vAlign w:val="center"/>
          </w:tcPr>
          <w:p w14:paraId="7A87054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序号</w:t>
            </w:r>
          </w:p>
        </w:tc>
        <w:tc>
          <w:tcPr>
            <w:tcW w:w="1110" w:type="pct"/>
            <w:noWrap w:val="0"/>
            <w:vAlign w:val="center"/>
          </w:tcPr>
          <w:p w14:paraId="4F3E027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项目</w:t>
            </w:r>
          </w:p>
        </w:tc>
        <w:tc>
          <w:tcPr>
            <w:tcW w:w="512" w:type="pct"/>
            <w:noWrap w:val="0"/>
            <w:vAlign w:val="center"/>
          </w:tcPr>
          <w:p w14:paraId="0B1144A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单位</w:t>
            </w:r>
          </w:p>
        </w:tc>
        <w:tc>
          <w:tcPr>
            <w:tcW w:w="635" w:type="pct"/>
            <w:noWrap w:val="0"/>
            <w:vAlign w:val="center"/>
          </w:tcPr>
          <w:p w14:paraId="57ECB78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数据</w:t>
            </w:r>
          </w:p>
        </w:tc>
      </w:tr>
      <w:tr w14:paraId="0F80822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488" w:hRule="atLeast"/>
        </w:trPr>
        <w:tc>
          <w:tcPr>
            <w:tcW w:w="301" w:type="pct"/>
            <w:noWrap w:val="0"/>
            <w:vAlign w:val="center"/>
          </w:tcPr>
          <w:p w14:paraId="7918572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1</w:t>
            </w:r>
          </w:p>
        </w:tc>
        <w:tc>
          <w:tcPr>
            <w:tcW w:w="889" w:type="pct"/>
            <w:noWrap w:val="0"/>
            <w:vAlign w:val="center"/>
          </w:tcPr>
          <w:p w14:paraId="3DD69FE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年平均风速</w:t>
            </w:r>
          </w:p>
        </w:tc>
        <w:tc>
          <w:tcPr>
            <w:tcW w:w="458" w:type="pct"/>
            <w:noWrap w:val="0"/>
            <w:vAlign w:val="center"/>
          </w:tcPr>
          <w:p w14:paraId="4CCD12D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m/s</w:t>
            </w:r>
          </w:p>
        </w:tc>
        <w:tc>
          <w:tcPr>
            <w:tcW w:w="738" w:type="pct"/>
            <w:noWrap w:val="0"/>
            <w:vAlign w:val="center"/>
          </w:tcPr>
          <w:p w14:paraId="35801AE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2.50</w:t>
            </w:r>
          </w:p>
        </w:tc>
        <w:tc>
          <w:tcPr>
            <w:tcW w:w="353" w:type="pct"/>
            <w:noWrap w:val="0"/>
            <w:vAlign w:val="center"/>
          </w:tcPr>
          <w:p w14:paraId="61F491A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7</w:t>
            </w:r>
          </w:p>
        </w:tc>
        <w:tc>
          <w:tcPr>
            <w:tcW w:w="1110" w:type="pct"/>
            <w:noWrap w:val="0"/>
            <w:vAlign w:val="center"/>
          </w:tcPr>
          <w:p w14:paraId="580D619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年平均降水量</w:t>
            </w:r>
          </w:p>
        </w:tc>
        <w:tc>
          <w:tcPr>
            <w:tcW w:w="512" w:type="pct"/>
            <w:noWrap w:val="0"/>
            <w:vAlign w:val="center"/>
          </w:tcPr>
          <w:p w14:paraId="0089D01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mm</w:t>
            </w:r>
          </w:p>
        </w:tc>
        <w:tc>
          <w:tcPr>
            <w:tcW w:w="635" w:type="pct"/>
            <w:noWrap w:val="0"/>
            <w:vAlign w:val="center"/>
          </w:tcPr>
          <w:p w14:paraId="0F82E21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566.5</w:t>
            </w:r>
          </w:p>
        </w:tc>
      </w:tr>
      <w:tr w14:paraId="022463AE">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487" w:hRule="atLeast"/>
        </w:trPr>
        <w:tc>
          <w:tcPr>
            <w:tcW w:w="301" w:type="pct"/>
            <w:noWrap w:val="0"/>
            <w:vAlign w:val="center"/>
          </w:tcPr>
          <w:p w14:paraId="7E8C89A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2</w:t>
            </w:r>
          </w:p>
        </w:tc>
        <w:tc>
          <w:tcPr>
            <w:tcW w:w="889" w:type="pct"/>
            <w:noWrap w:val="0"/>
            <w:vAlign w:val="center"/>
          </w:tcPr>
          <w:p w14:paraId="1FEE19E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年平均相对湿度</w:t>
            </w:r>
          </w:p>
        </w:tc>
        <w:tc>
          <w:tcPr>
            <w:tcW w:w="458" w:type="pct"/>
            <w:noWrap w:val="0"/>
            <w:vAlign w:val="center"/>
          </w:tcPr>
          <w:p w14:paraId="5C7F86D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w:t>
            </w:r>
          </w:p>
        </w:tc>
        <w:tc>
          <w:tcPr>
            <w:tcW w:w="738" w:type="pct"/>
            <w:noWrap w:val="0"/>
            <w:vAlign w:val="center"/>
          </w:tcPr>
          <w:p w14:paraId="0704873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65.4</w:t>
            </w:r>
          </w:p>
        </w:tc>
        <w:tc>
          <w:tcPr>
            <w:tcW w:w="353" w:type="pct"/>
            <w:noWrap w:val="0"/>
            <w:vAlign w:val="center"/>
          </w:tcPr>
          <w:p w14:paraId="11BA74E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8</w:t>
            </w:r>
          </w:p>
        </w:tc>
        <w:tc>
          <w:tcPr>
            <w:tcW w:w="1110" w:type="pct"/>
            <w:noWrap w:val="0"/>
            <w:vAlign w:val="center"/>
          </w:tcPr>
          <w:p w14:paraId="0C0760E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年最大降水量</w:t>
            </w:r>
          </w:p>
        </w:tc>
        <w:tc>
          <w:tcPr>
            <w:tcW w:w="512" w:type="pct"/>
            <w:noWrap w:val="0"/>
            <w:vAlign w:val="center"/>
          </w:tcPr>
          <w:p w14:paraId="51D99D0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mm</w:t>
            </w:r>
          </w:p>
        </w:tc>
        <w:tc>
          <w:tcPr>
            <w:tcW w:w="635" w:type="pct"/>
            <w:noWrap w:val="0"/>
            <w:vAlign w:val="center"/>
          </w:tcPr>
          <w:p w14:paraId="7F0FC85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878.2</w:t>
            </w:r>
          </w:p>
        </w:tc>
      </w:tr>
      <w:tr w14:paraId="0AA4BA6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488" w:hRule="atLeast"/>
        </w:trPr>
        <w:tc>
          <w:tcPr>
            <w:tcW w:w="301" w:type="pct"/>
            <w:noWrap w:val="0"/>
            <w:vAlign w:val="center"/>
          </w:tcPr>
          <w:p w14:paraId="0B8B37D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3</w:t>
            </w:r>
          </w:p>
        </w:tc>
        <w:tc>
          <w:tcPr>
            <w:tcW w:w="889" w:type="pct"/>
            <w:noWrap w:val="0"/>
            <w:vAlign w:val="center"/>
          </w:tcPr>
          <w:p w14:paraId="295A123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年平均气温</w:t>
            </w:r>
          </w:p>
        </w:tc>
        <w:tc>
          <w:tcPr>
            <w:tcW w:w="458" w:type="pct"/>
            <w:noWrap w:val="0"/>
            <w:vAlign w:val="center"/>
          </w:tcPr>
          <w:p w14:paraId="2846712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w:t>
            </w:r>
          </w:p>
        </w:tc>
        <w:tc>
          <w:tcPr>
            <w:tcW w:w="738" w:type="pct"/>
            <w:noWrap w:val="0"/>
            <w:vAlign w:val="center"/>
          </w:tcPr>
          <w:p w14:paraId="6B31307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12.33</w:t>
            </w:r>
          </w:p>
        </w:tc>
        <w:tc>
          <w:tcPr>
            <w:tcW w:w="353" w:type="pct"/>
            <w:noWrap w:val="0"/>
            <w:vAlign w:val="center"/>
          </w:tcPr>
          <w:p w14:paraId="6DE9DDE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9</w:t>
            </w:r>
          </w:p>
        </w:tc>
        <w:tc>
          <w:tcPr>
            <w:tcW w:w="1110" w:type="pct"/>
            <w:noWrap w:val="0"/>
            <w:vAlign w:val="center"/>
          </w:tcPr>
          <w:p w14:paraId="6914CC3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年日照时数</w:t>
            </w:r>
          </w:p>
        </w:tc>
        <w:tc>
          <w:tcPr>
            <w:tcW w:w="512" w:type="pct"/>
            <w:noWrap w:val="0"/>
            <w:vAlign w:val="center"/>
          </w:tcPr>
          <w:p w14:paraId="48123DF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h</w:t>
            </w:r>
          </w:p>
        </w:tc>
        <w:tc>
          <w:tcPr>
            <w:tcW w:w="635" w:type="pct"/>
            <w:noWrap w:val="0"/>
            <w:vAlign w:val="center"/>
          </w:tcPr>
          <w:p w14:paraId="29E3AD1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2543</w:t>
            </w:r>
          </w:p>
        </w:tc>
      </w:tr>
      <w:tr w14:paraId="09D111F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487" w:hRule="atLeast"/>
        </w:trPr>
        <w:tc>
          <w:tcPr>
            <w:tcW w:w="301" w:type="pct"/>
            <w:noWrap w:val="0"/>
            <w:vAlign w:val="center"/>
          </w:tcPr>
          <w:p w14:paraId="76EBEFB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4</w:t>
            </w:r>
          </w:p>
        </w:tc>
        <w:tc>
          <w:tcPr>
            <w:tcW w:w="889" w:type="pct"/>
            <w:noWrap w:val="0"/>
            <w:vAlign w:val="center"/>
          </w:tcPr>
          <w:p w14:paraId="2DC8C04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极端最高气温</w:t>
            </w:r>
          </w:p>
        </w:tc>
        <w:tc>
          <w:tcPr>
            <w:tcW w:w="458" w:type="pct"/>
            <w:noWrap w:val="0"/>
            <w:vAlign w:val="center"/>
          </w:tcPr>
          <w:p w14:paraId="69ACE08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w:t>
            </w:r>
          </w:p>
        </w:tc>
        <w:tc>
          <w:tcPr>
            <w:tcW w:w="738" w:type="pct"/>
            <w:noWrap w:val="0"/>
            <w:vAlign w:val="center"/>
          </w:tcPr>
          <w:p w14:paraId="4F42202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38.7</w:t>
            </w:r>
          </w:p>
        </w:tc>
        <w:tc>
          <w:tcPr>
            <w:tcW w:w="353" w:type="pct"/>
            <w:noWrap w:val="0"/>
            <w:vAlign w:val="center"/>
          </w:tcPr>
          <w:p w14:paraId="154F317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10</w:t>
            </w:r>
          </w:p>
        </w:tc>
        <w:tc>
          <w:tcPr>
            <w:tcW w:w="1110" w:type="pct"/>
            <w:noWrap w:val="0"/>
            <w:vAlign w:val="center"/>
          </w:tcPr>
          <w:p w14:paraId="422A45A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风频最大风向</w:t>
            </w:r>
          </w:p>
        </w:tc>
        <w:tc>
          <w:tcPr>
            <w:tcW w:w="512" w:type="pct"/>
            <w:noWrap w:val="0"/>
            <w:vAlign w:val="center"/>
          </w:tcPr>
          <w:p w14:paraId="7B9DC19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w:t>
            </w:r>
          </w:p>
        </w:tc>
        <w:tc>
          <w:tcPr>
            <w:tcW w:w="635" w:type="pct"/>
            <w:noWrap w:val="0"/>
            <w:vAlign w:val="center"/>
          </w:tcPr>
          <w:p w14:paraId="2BE3E56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SW</w:t>
            </w:r>
          </w:p>
        </w:tc>
      </w:tr>
      <w:tr w14:paraId="4D71EB27">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488" w:hRule="atLeast"/>
        </w:trPr>
        <w:tc>
          <w:tcPr>
            <w:tcW w:w="301" w:type="pct"/>
            <w:noWrap w:val="0"/>
            <w:vAlign w:val="center"/>
          </w:tcPr>
          <w:p w14:paraId="0FACBBE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5</w:t>
            </w:r>
          </w:p>
        </w:tc>
        <w:tc>
          <w:tcPr>
            <w:tcW w:w="889" w:type="pct"/>
            <w:noWrap w:val="0"/>
            <w:vAlign w:val="center"/>
          </w:tcPr>
          <w:p w14:paraId="64F1AF4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极端最低气温</w:t>
            </w:r>
          </w:p>
        </w:tc>
        <w:tc>
          <w:tcPr>
            <w:tcW w:w="458" w:type="pct"/>
            <w:noWrap w:val="0"/>
            <w:vAlign w:val="center"/>
          </w:tcPr>
          <w:p w14:paraId="0D876D3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w:t>
            </w:r>
          </w:p>
        </w:tc>
        <w:tc>
          <w:tcPr>
            <w:tcW w:w="738" w:type="pct"/>
            <w:noWrap w:val="0"/>
            <w:vAlign w:val="center"/>
          </w:tcPr>
          <w:p w14:paraId="2EE3F79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-22.8</w:t>
            </w:r>
          </w:p>
        </w:tc>
        <w:tc>
          <w:tcPr>
            <w:tcW w:w="353" w:type="pct"/>
            <w:noWrap w:val="0"/>
            <w:vAlign w:val="center"/>
          </w:tcPr>
          <w:p w14:paraId="7D9D720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11</w:t>
            </w:r>
          </w:p>
        </w:tc>
        <w:tc>
          <w:tcPr>
            <w:tcW w:w="1110" w:type="pct"/>
            <w:noWrap w:val="0"/>
            <w:vAlign w:val="center"/>
          </w:tcPr>
          <w:p w14:paraId="3760036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风频最大风向频率</w:t>
            </w:r>
          </w:p>
        </w:tc>
        <w:tc>
          <w:tcPr>
            <w:tcW w:w="512" w:type="pct"/>
            <w:noWrap w:val="0"/>
            <w:vAlign w:val="center"/>
          </w:tcPr>
          <w:p w14:paraId="0DAECB7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w:t>
            </w:r>
          </w:p>
        </w:tc>
        <w:tc>
          <w:tcPr>
            <w:tcW w:w="635" w:type="pct"/>
            <w:noWrap w:val="0"/>
            <w:vAlign w:val="center"/>
          </w:tcPr>
          <w:p w14:paraId="42C27C1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8.03</w:t>
            </w:r>
          </w:p>
        </w:tc>
      </w:tr>
      <w:tr w14:paraId="1D28ADD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507" w:hRule="atLeast"/>
        </w:trPr>
        <w:tc>
          <w:tcPr>
            <w:tcW w:w="301" w:type="pct"/>
            <w:noWrap w:val="0"/>
            <w:vAlign w:val="center"/>
          </w:tcPr>
          <w:p w14:paraId="1B3972E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6</w:t>
            </w:r>
          </w:p>
        </w:tc>
        <w:tc>
          <w:tcPr>
            <w:tcW w:w="889" w:type="pct"/>
            <w:noWrap w:val="0"/>
            <w:vAlign w:val="center"/>
          </w:tcPr>
          <w:p w14:paraId="5910919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年平均气压</w:t>
            </w:r>
          </w:p>
        </w:tc>
        <w:tc>
          <w:tcPr>
            <w:tcW w:w="458" w:type="pct"/>
            <w:noWrap w:val="0"/>
            <w:vAlign w:val="center"/>
          </w:tcPr>
          <w:p w14:paraId="64B5648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hPa</w:t>
            </w:r>
          </w:p>
        </w:tc>
        <w:tc>
          <w:tcPr>
            <w:tcW w:w="738" w:type="pct"/>
            <w:noWrap w:val="0"/>
            <w:vAlign w:val="center"/>
          </w:tcPr>
          <w:p w14:paraId="531BF0A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1016.5</w:t>
            </w:r>
          </w:p>
        </w:tc>
        <w:tc>
          <w:tcPr>
            <w:tcW w:w="353" w:type="pct"/>
            <w:noWrap w:val="0"/>
            <w:vAlign w:val="center"/>
          </w:tcPr>
          <w:p w14:paraId="7BFD97C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w:t>
            </w:r>
          </w:p>
        </w:tc>
        <w:tc>
          <w:tcPr>
            <w:tcW w:w="1110" w:type="pct"/>
            <w:noWrap w:val="0"/>
            <w:vAlign w:val="center"/>
          </w:tcPr>
          <w:p w14:paraId="75442F2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静风频率</w:t>
            </w:r>
          </w:p>
        </w:tc>
        <w:tc>
          <w:tcPr>
            <w:tcW w:w="512" w:type="pct"/>
            <w:noWrap w:val="0"/>
            <w:vAlign w:val="center"/>
          </w:tcPr>
          <w:p w14:paraId="2B86988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w:t>
            </w:r>
          </w:p>
        </w:tc>
        <w:tc>
          <w:tcPr>
            <w:tcW w:w="635" w:type="pct"/>
            <w:noWrap w:val="0"/>
            <w:vAlign w:val="center"/>
          </w:tcPr>
          <w:p w14:paraId="748CB0A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4.23</w:t>
            </w:r>
          </w:p>
        </w:tc>
      </w:tr>
    </w:tbl>
    <w:p w14:paraId="67655E55">
      <w:pPr>
        <w:pStyle w:val="6"/>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4.1.4</w:t>
      </w:r>
      <w:r>
        <w:rPr>
          <w:rFonts w:hint="default" w:ascii="Times New Roman" w:hAnsi="Times New Roman" w:eastAsia="宋体" w:cs="Times New Roman"/>
          <w:color w:val="000000" w:themeColor="text1"/>
          <w:spacing w:val="-4"/>
          <w:sz w:val="24"/>
          <w:szCs w:val="24"/>
          <w:highlight w:val="none"/>
          <w14:textFill>
            <w14:solidFill>
              <w14:schemeClr w14:val="tx1"/>
            </w14:solidFill>
          </w14:textFill>
        </w:rPr>
        <w:t>区域地质</w:t>
      </w:r>
    </w:p>
    <w:p w14:paraId="40985376">
      <w:pPr>
        <w:spacing w:line="480" w:lineRule="exact"/>
        <w:ind w:firstLine="482" w:firstLineChars="200"/>
        <w:outlineLvl w:val="3"/>
        <w:rPr>
          <w:rFonts w:hint="default" w:ascii="Times New Roman" w:hAnsi="Times New Roman" w:eastAsia="宋体" w:cs="Times New Roman"/>
          <w:b/>
          <w:bCs/>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0"/>
          <w:highlight w:val="none"/>
          <w:lang w:val="en-US" w:eastAsia="zh-CN"/>
          <w14:textFill>
            <w14:solidFill>
              <w14:schemeClr w14:val="tx1"/>
            </w14:solidFill>
          </w14:textFill>
        </w:rPr>
        <w:t>4.1.4.1</w:t>
      </w:r>
      <w:r>
        <w:rPr>
          <w:rFonts w:hint="default" w:ascii="Times New Roman" w:hAnsi="Times New Roman" w:eastAsia="宋体" w:cs="Times New Roman"/>
          <w:b/>
          <w:bCs/>
          <w:color w:val="000000" w:themeColor="text1"/>
          <w:sz w:val="24"/>
          <w:szCs w:val="20"/>
          <w:highlight w:val="none"/>
          <w14:textFill>
            <w14:solidFill>
              <w14:schemeClr w14:val="tx1"/>
            </w14:solidFill>
          </w14:textFill>
        </w:rPr>
        <w:t>地层</w:t>
      </w:r>
    </w:p>
    <w:p w14:paraId="05F095EC">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区域内地表均为第四系地层，厚度约为500m，其下为第三系(R)，基底为中生界(Mz)地层。第四系地层主要为海陆相交互沉积物，各层之间沉积连续，主要岩性为粘土、粉土、粉细砂、细砂、砂砾石及中、粗砂等。</w:t>
      </w:r>
    </w:p>
    <w:p w14:paraId="5110EF78">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区域内第四系地层由老到新分别为：下更新统(Q1)、中更新统(Q2)、上更新统(Q3)、全新统(Q4)。分述如下：</w:t>
      </w:r>
    </w:p>
    <w:p w14:paraId="4334AFD9">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(1)下更新统(Q1)</w:t>
      </w:r>
    </w:p>
    <w:p w14:paraId="4F657507">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为一套冲洪积及河湖相沉积物，呈棕褐、黄褐棕黄色，以粉质粘土、粘土为主，结构致密，富含钙质结核和铁锰质结核。砂层以中砂、细砂为主，分选中等，磨圆较差。底界深度约500m。</w:t>
      </w:r>
    </w:p>
    <w:p w14:paraId="5FAE2D46">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(2)中更新统(Q2)</w:t>
      </w:r>
    </w:p>
    <w:p w14:paraId="4963005A">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为一套冲洪积、河湖相为主的沉积物，颜色以黄褐、棕黄色为主，局部呈褐黄色。由粉质粘土、粉土夹细砂、中砂组成，含较多的分散核、钙核、铁锰结核、软体动物化石及碎片，见有明显的长石风化白点，砂层中偶见砾卵石，上段砂层中矿物成份石英颗粒占80%以上，石英珠状砂明显可见；下段砂层石英珠状砂消失，砂层中矿物成份长石、暗色矿物明显增加。底界埋深一般在300～400m。</w:t>
      </w:r>
    </w:p>
    <w:p w14:paraId="4035E974">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(3)上更新统(Q3)</w:t>
      </w:r>
    </w:p>
    <w:p w14:paraId="54D0E91E">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为一套冲积、洪积、冲积海积混合成因沉积物。由粉土、粉质粘土夹细砂、细粉砂、中砂组成。以灰、黄灰、褐灰、灰黄色为主，间呈褐黄、棕黄色。含有较丰富的软体、微体古生物化石及分散钙、钙质结核等，砂层中石英颗粒占80%以上，石英珠状砂明显可见，比较普遍夹有两个海相沉积层。底界埋深一般在120～160m。</w:t>
      </w:r>
    </w:p>
    <w:p w14:paraId="5D9DD116">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(4)全新统(Q4)</w:t>
      </w:r>
    </w:p>
    <w:p w14:paraId="46BF8231">
      <w:pPr>
        <w:spacing w:line="480" w:lineRule="exact"/>
        <w:ind w:firstLine="480" w:firstLineChars="200"/>
        <w:rPr>
          <w:rFonts w:hint="default" w:ascii="Times New Roman" w:hAnsi="Times New Roman" w:eastAsia="宋体" w:cs="Times New Roman"/>
          <w:color w:val="000000" w:themeColor="text1"/>
          <w:sz w:val="24"/>
          <w:szCs w:val="20"/>
          <w:highlight w:val="none"/>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为一套冲积为主夹湖沼、海相沉积物。由灰色、黄灰色为主的粉土、粉质粘土、粉细砂组成，夹有淤泥质层或海相层，结构疏松，含有较丰富的软体古生物化石，底层厚度一般13～21m。</w:t>
      </w:r>
    </w:p>
    <w:p w14:paraId="0A4CE0F7">
      <w:pPr>
        <w:spacing w:line="480" w:lineRule="exact"/>
        <w:ind w:firstLine="482" w:firstLineChars="200"/>
        <w:outlineLvl w:val="3"/>
        <w:rPr>
          <w:rFonts w:hint="default" w:ascii="Times New Roman" w:hAnsi="Times New Roman" w:eastAsia="宋体" w:cs="Times New Roman"/>
          <w:b/>
          <w:bCs/>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0"/>
          <w:highlight w:val="none"/>
          <w:lang w:val="en-US" w:eastAsia="zh-CN"/>
          <w14:textFill>
            <w14:solidFill>
              <w14:schemeClr w14:val="tx1"/>
            </w14:solidFill>
          </w14:textFill>
        </w:rPr>
        <w:t>4.1.4.2区域地质构造</w:t>
      </w:r>
    </w:p>
    <w:p w14:paraId="324245D7">
      <w:pPr>
        <w:rPr>
          <w:rFonts w:hint="default"/>
          <w:highlight w:val="none"/>
        </w:rPr>
      </w:pPr>
      <w:r>
        <w:rPr>
          <w:rFonts w:hint="default"/>
          <w:highlight w:val="none"/>
        </w:rPr>
        <w:t>本区位于华北断块区的东部，在长期复杂的构造演化中，大致经历了三个阶段：</w:t>
      </w:r>
    </w:p>
    <w:p w14:paraId="6A1B7D14">
      <w:pPr>
        <w:rPr>
          <w:rFonts w:hint="default"/>
          <w:highlight w:val="none"/>
        </w:rPr>
      </w:pPr>
      <w:r>
        <w:rPr>
          <w:rFonts w:hint="default"/>
          <w:highlight w:val="none"/>
        </w:rPr>
        <w:t>1、太古代至元古代地台结晶基底的形成、形变和固结阶段；</w:t>
      </w:r>
    </w:p>
    <w:p w14:paraId="479F8E13">
      <w:pPr>
        <w:rPr>
          <w:rFonts w:hint="default"/>
          <w:highlight w:val="none"/>
        </w:rPr>
      </w:pPr>
      <w:r>
        <w:rPr>
          <w:rFonts w:hint="default"/>
          <w:highlight w:val="none"/>
        </w:rPr>
        <w:t>2、中、晚元古代至古生代稳定地台盖层发育阶段；</w:t>
      </w:r>
    </w:p>
    <w:p w14:paraId="01A4007C">
      <w:pPr>
        <w:rPr>
          <w:rFonts w:hint="default"/>
          <w:highlight w:val="none"/>
        </w:rPr>
      </w:pPr>
      <w:r>
        <w:rPr>
          <w:rFonts w:hint="default"/>
          <w:highlight w:val="none"/>
        </w:rPr>
        <w:t>3、中、新生代地台解体，陆相盆地盖层形成阶段。</w:t>
      </w:r>
    </w:p>
    <w:p w14:paraId="0F68AC09">
      <w:pPr>
        <w:rPr>
          <w:rFonts w:hint="default"/>
          <w:highlight w:val="none"/>
        </w:rPr>
      </w:pPr>
      <w:r>
        <w:rPr>
          <w:rFonts w:hint="default"/>
          <w:highlight w:val="none"/>
        </w:rPr>
        <w:t>在区域地质构造上，本区位于黄骅坳陷北段南部及与埕宁隆起交接的地区，而且是北西西向张家口～北京～蓬莱断裂带延经的地区。黄骅坳陷和埕宁隆起分别是渤海湾盆地中的一级负向和正向构造单元。</w:t>
      </w:r>
    </w:p>
    <w:p w14:paraId="79474258">
      <w:pPr>
        <w:rPr>
          <w:rFonts w:hint="default"/>
          <w:highlight w:val="none"/>
        </w:rPr>
      </w:pPr>
      <w:r>
        <w:rPr>
          <w:rFonts w:hint="default"/>
          <w:highlight w:val="none"/>
        </w:rPr>
        <w:t>黄骅坳陷地处渤海湾盆地的中部、西、北北东向沧东断裂与沧县隆起相邻，东、北北东～北东向埕西断裂和埕宁隆起相接，北部、北东东向宁河～昌黎断裂同燕山隆起区相毗邻，总体呈北东向分布，具有由一系列北东～北东东向断裂左阶斜列往西南聚敛而向东北撕开的帚状结构。</w:t>
      </w:r>
    </w:p>
    <w:p w14:paraId="44053FFF">
      <w:pPr>
        <w:rPr>
          <w:rFonts w:hint="default"/>
          <w:highlight w:val="none"/>
        </w:rPr>
      </w:pPr>
      <w:r>
        <w:rPr>
          <w:rFonts w:hint="default"/>
          <w:highlight w:val="none"/>
        </w:rPr>
        <w:t>埕宁隆起北东向分布于渤海湾盆地的中部，陆地部分主要由埕小口凸起和宁津凸起组成，分隔了黄骅坳陷和济阳坳陷，它向北延伸入海到沙垒田凸起，分隔了黄骅坳陷和渤中坳陷。埕宁隆起在早第三纪时，南部基本隆起剥蚀而缺失沉积，北部被北西向埕北断裂和沙南断裂横切形成规模不大的埕北和沙南凹陷，堆积有厚2000m左右的下第三系，沙垒田凸起覆盖有较薄的东营组地层，自晚第三纪以来，埕宁隆起和两侧的坳陷一起同渤海湾盆地整体下沉，沉积了厚1000～1500m的上第三系和第四系地层。详见区域地质构造图</w:t>
      </w:r>
      <w:r>
        <w:rPr>
          <w:rFonts w:hint="default"/>
          <w:highlight w:val="none"/>
          <w:lang w:val="en-US" w:eastAsia="zh-CN"/>
        </w:rPr>
        <w:t>4.1-1</w:t>
      </w:r>
      <w:r>
        <w:rPr>
          <w:rFonts w:hint="default"/>
          <w:highlight w:val="none"/>
        </w:rPr>
        <w:t>。</w:t>
      </w:r>
    </w:p>
    <w:p w14:paraId="2B0992D3">
      <w:pPr>
        <w:spacing w:line="62" w:lineRule="exact"/>
        <w:rPr>
          <w:rFonts w:hint="default" w:ascii="Times New Roman" w:hAnsi="Times New Roman" w:eastAsia="宋体" w:cs="Times New Roman"/>
          <w:color w:val="000000" w:themeColor="text1"/>
          <w:highlight w:val="none"/>
          <w14:textFill>
            <w14:solidFill>
              <w14:schemeClr w14:val="tx1"/>
            </w14:solidFill>
          </w14:textFill>
        </w:rPr>
      </w:pPr>
    </w:p>
    <w:tbl>
      <w:tblPr>
        <w:tblStyle w:val="88"/>
        <w:tblW w:w="8317" w:type="dxa"/>
        <w:jc w:val="center"/>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Layout w:type="fixed"/>
        <w:tblCellMar>
          <w:top w:w="0" w:type="dxa"/>
          <w:left w:w="0" w:type="dxa"/>
          <w:bottom w:w="0" w:type="dxa"/>
          <w:right w:w="0" w:type="dxa"/>
        </w:tblCellMar>
      </w:tblPr>
      <w:tblGrid>
        <w:gridCol w:w="8317"/>
      </w:tblGrid>
      <w:tr w14:paraId="674F11BE">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0" w:type="dxa"/>
            <w:bottom w:w="0" w:type="dxa"/>
            <w:right w:w="0" w:type="dxa"/>
          </w:tblCellMar>
        </w:tblPrEx>
        <w:trPr>
          <w:trHeight w:val="5039" w:hRule="atLeast"/>
          <w:jc w:val="center"/>
        </w:trPr>
        <w:tc>
          <w:tcPr>
            <w:tcW w:w="8317" w:type="dxa"/>
            <w:noWrap w:val="0"/>
            <w:vAlign w:val="top"/>
          </w:tcPr>
          <w:tbl>
            <w:tblPr>
              <w:tblStyle w:val="88"/>
              <w:tblpPr w:leftFromText="180" w:rightFromText="180" w:vertAnchor="text" w:horzAnchor="page" w:tblpXSpec="center" w:tblpY="2436"/>
              <w:tblOverlap w:val="never"/>
              <w:tblW w:w="1537" w:type="dxa"/>
              <w:jc w:val="center"/>
              <w:tblBorders>
                <w:top w:val="single" w:color="FF0000" w:sz="6" w:space="0"/>
                <w:left w:val="single" w:color="FF0000" w:sz="6" w:space="0"/>
                <w:bottom w:val="single" w:color="FF0000" w:sz="6" w:space="0"/>
                <w:right w:val="single" w:color="FF0000" w:sz="6" w:space="0"/>
                <w:insideH w:val="none" w:color="auto" w:sz="0" w:space="0"/>
                <w:insideV w:val="none" w:color="auto" w:sz="0" w:space="0"/>
              </w:tblBorders>
              <w:tblLayout w:type="fixed"/>
              <w:tblCellMar>
                <w:top w:w="0" w:type="dxa"/>
                <w:left w:w="0" w:type="dxa"/>
                <w:bottom w:w="0" w:type="dxa"/>
                <w:right w:w="0" w:type="dxa"/>
              </w:tblCellMar>
            </w:tblPr>
            <w:tblGrid>
              <w:gridCol w:w="1537"/>
            </w:tblGrid>
            <w:tr w14:paraId="7CCC0132">
              <w:tblPrEx>
                <w:tblBorders>
                  <w:top w:val="single" w:color="FF0000" w:sz="6" w:space="0"/>
                  <w:left w:val="single" w:color="FF0000" w:sz="6" w:space="0"/>
                  <w:bottom w:val="single" w:color="FF0000" w:sz="6" w:space="0"/>
                  <w:right w:val="single" w:color="FF0000" w:sz="6" w:space="0"/>
                  <w:insideH w:val="none" w:color="auto" w:sz="0" w:space="0"/>
                  <w:insideV w:val="none" w:color="auto" w:sz="0" w:space="0"/>
                </w:tblBorders>
                <w:tblCellMar>
                  <w:top w:w="0" w:type="dxa"/>
                  <w:left w:w="0" w:type="dxa"/>
                  <w:bottom w:w="0" w:type="dxa"/>
                  <w:right w:w="0" w:type="dxa"/>
                </w:tblCellMar>
              </w:tblPrEx>
              <w:trPr>
                <w:trHeight w:val="724" w:hRule="atLeast"/>
                <w:jc w:val="center"/>
              </w:trPr>
              <w:tc>
                <w:tcPr>
                  <w:tcW w:w="1537" w:type="dxa"/>
                  <w:noWrap w:val="0"/>
                  <w:vAlign w:val="center"/>
                </w:tcPr>
                <w:p w14:paraId="4FC0871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本项目位置</w:t>
                  </w:r>
                </w:p>
              </w:tc>
            </w:tr>
          </w:tbl>
          <w:p w14:paraId="4519D97A">
            <w:pPr>
              <w:spacing w:before="4" w:line="5030" w:lineRule="exact"/>
              <w:ind w:left="0" w:leftChars="0" w:firstLine="0" w:firstLineChars="0"/>
              <w:jc w:val="both"/>
              <w:textAlignment w:val="center"/>
              <w:rPr>
                <w:rFonts w:hint="default" w:ascii="Times New Roman" w:hAnsi="Times New Roman" w:eastAsia="宋体" w:cs="Times New Roman"/>
                <w:color w:val="000000" w:themeColor="text1"/>
                <w:highlight w:val="none"/>
                <w14:textFill>
                  <w14:solidFill>
                    <w14:schemeClr w14:val="tx1"/>
                  </w14:solidFill>
                </w14:textFill>
              </w:rPr>
            </w:pPr>
            <w:r>
              <w:rPr>
                <w:rFonts w:hint="default"/>
                <w:highlight w:val="none"/>
              </w:rPr>
              <mc:AlternateContent>
                <mc:Choice Requires="wpg">
                  <w:drawing>
                    <wp:inline distT="0" distB="0" distL="114300" distR="114300">
                      <wp:extent cx="5268595" cy="3194685"/>
                      <wp:effectExtent l="0" t="0" r="8255" b="5715"/>
                      <wp:docPr id="13" name="组合 13"/>
                      <wp:cNvGraphicFramePr/>
                      <a:graphic xmlns:a="http://schemas.openxmlformats.org/drawingml/2006/main">
                        <a:graphicData uri="http://schemas.microsoft.com/office/word/2010/wordprocessingGroup">
                          <wpg:wgp>
                            <wpg:cNvGrpSpPr/>
                            <wpg:grpSpPr>
                              <a:xfrm>
                                <a:off x="0" y="0"/>
                                <a:ext cx="5268595" cy="3194685"/>
                                <a:chOff x="0" y="0"/>
                                <a:chExt cx="8297" cy="5031"/>
                              </a:xfrm>
                              <a:effectLst/>
                            </wpg:grpSpPr>
                            <pic:pic xmlns:pic="http://schemas.openxmlformats.org/drawingml/2006/picture">
                              <pic:nvPicPr>
                                <pic:cNvPr id="14" name="图片 3"/>
                                <pic:cNvPicPr>
                                  <a:picLocks noChangeAspect="1"/>
                                </pic:cNvPicPr>
                              </pic:nvPicPr>
                              <pic:blipFill>
                                <a:blip r:embed="rId56"/>
                                <a:stretch>
                                  <a:fillRect/>
                                </a:stretch>
                              </pic:blipFill>
                              <pic:spPr>
                                <a:xfrm>
                                  <a:off x="0" y="0"/>
                                  <a:ext cx="8297" cy="5031"/>
                                </a:xfrm>
                                <a:prstGeom prst="rect">
                                  <a:avLst/>
                                </a:prstGeom>
                                <a:noFill/>
                                <a:ln>
                                  <a:noFill/>
                                </a:ln>
                                <a:effectLst/>
                              </pic:spPr>
                            </pic:pic>
                            <pic:pic xmlns:pic="http://schemas.openxmlformats.org/drawingml/2006/picture">
                              <pic:nvPicPr>
                                <pic:cNvPr id="16" name="图片 4"/>
                                <pic:cNvPicPr>
                                  <a:picLocks noChangeAspect="1"/>
                                </pic:cNvPicPr>
                              </pic:nvPicPr>
                              <pic:blipFill>
                                <a:blip r:embed="rId57"/>
                                <a:stretch>
                                  <a:fillRect/>
                                </a:stretch>
                              </pic:blipFill>
                              <pic:spPr>
                                <a:xfrm>
                                  <a:off x="5425" y="1937"/>
                                  <a:ext cx="1538" cy="1551"/>
                                </a:xfrm>
                                <a:prstGeom prst="rect">
                                  <a:avLst/>
                                </a:prstGeom>
                                <a:noFill/>
                                <a:ln>
                                  <a:noFill/>
                                </a:ln>
                                <a:effectLst/>
                              </pic:spPr>
                            </pic:pic>
                            <wps:wsp>
                              <wps:cNvPr id="18" name="文本框 9"/>
                              <wps:cNvSpPr txBox="1"/>
                              <wps:spPr>
                                <a:xfrm>
                                  <a:off x="5398" y="20"/>
                                  <a:ext cx="2691" cy="3632"/>
                                </a:xfrm>
                                <a:prstGeom prst="rect">
                                  <a:avLst/>
                                </a:prstGeom>
                                <a:noFill/>
                                <a:ln>
                                  <a:noFill/>
                                </a:ln>
                                <a:effectLst/>
                              </wps:spPr>
                              <wps:txbx>
                                <w:txbxContent>
                                  <w:p w14:paraId="504D53D0">
                                    <w:pPr>
                                      <w:spacing w:before="20" w:line="998" w:lineRule="exact"/>
                                      <w:ind w:firstLine="2022"/>
                                      <w:textAlignment w:val="center"/>
                                    </w:pPr>
                                    <w:r>
                                      <w:drawing>
                                        <wp:inline distT="0" distB="0" distL="114300" distR="114300">
                                          <wp:extent cx="410845" cy="633730"/>
                                          <wp:effectExtent l="0" t="0" r="8255" b="13970"/>
                                          <wp:docPr id="19" name="图片 3"/>
                                          <wp:cNvGraphicFramePr/>
                                          <a:graphic xmlns:a="http://schemas.openxmlformats.org/drawingml/2006/main">
                                            <a:graphicData uri="http://schemas.openxmlformats.org/drawingml/2006/picture">
                                              <pic:pic xmlns:pic="http://schemas.openxmlformats.org/drawingml/2006/picture">
                                                <pic:nvPicPr>
                                                  <pic:cNvPr id="19" name="图片 3"/>
                                                  <pic:cNvPicPr/>
                                                </pic:nvPicPr>
                                                <pic:blipFill>
                                                  <a:blip r:embed="rId58"/>
                                                  <a:stretch>
                                                    <a:fillRect/>
                                                  </a:stretch>
                                                </pic:blipFill>
                                                <pic:spPr>
                                                  <a:xfrm>
                                                    <a:off x="0" y="0"/>
                                                    <a:ext cx="410845" cy="633730"/>
                                                  </a:xfrm>
                                                  <a:prstGeom prst="rect">
                                                    <a:avLst/>
                                                  </a:prstGeom>
                                                  <a:noFill/>
                                                  <a:ln>
                                                    <a:noFill/>
                                                  </a:ln>
                                                </pic:spPr>
                                              </pic:pic>
                                            </a:graphicData>
                                          </a:graphic>
                                        </wp:inline>
                                      </w:drawing>
                                    </w:r>
                                  </w:p>
                                  <w:p w14:paraId="70422782"/>
                                  <w:p w14:paraId="4BF4356F"/>
                                  <w:p w14:paraId="1A3FA0B6"/>
                                  <w:p w14:paraId="1E0912C7">
                                    <w:pPr>
                                      <w:spacing w:line="166" w:lineRule="exact"/>
                                    </w:pPr>
                                  </w:p>
                                  <w:p w14:paraId="4A0D6801">
                                    <w:pPr>
                                      <w:spacing w:line="947" w:lineRule="exact"/>
                                      <w:ind w:firstLine="811"/>
                                      <w:textAlignment w:val="center"/>
                                    </w:pPr>
                                  </w:p>
                                </w:txbxContent>
                              </wps:txbx>
                              <wps:bodyPr lIns="0" tIns="0" rIns="0" bIns="0" upright="1"/>
                            </wps:wsp>
                            <pic:pic xmlns:pic="http://schemas.openxmlformats.org/drawingml/2006/picture">
                              <pic:nvPicPr>
                                <pic:cNvPr id="26" name="图片 6"/>
                                <pic:cNvPicPr>
                                  <a:picLocks noChangeAspect="1"/>
                                </pic:cNvPicPr>
                              </pic:nvPicPr>
                              <pic:blipFill>
                                <a:blip r:embed="rId59"/>
                                <a:stretch>
                                  <a:fillRect/>
                                </a:stretch>
                              </pic:blipFill>
                              <pic:spPr>
                                <a:xfrm>
                                  <a:off x="3785" y="3186"/>
                                  <a:ext cx="66" cy="819"/>
                                </a:xfrm>
                                <a:prstGeom prst="rect">
                                  <a:avLst/>
                                </a:prstGeom>
                                <a:noFill/>
                                <a:ln>
                                  <a:noFill/>
                                </a:ln>
                                <a:effectLst/>
                              </pic:spPr>
                            </pic:pic>
                          </wpg:wgp>
                        </a:graphicData>
                      </a:graphic>
                    </wp:inline>
                  </w:drawing>
                </mc:Choice>
                <mc:Fallback>
                  <w:pict>
                    <v:group id="_x0000_s1026" o:spid="_x0000_s1026" o:spt="203" style="height:251.55pt;width:414.85pt;" coordsize="8297,5031" o:gfxdata="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A3J0dhxgAAACkCAAAZAAAAZHJzL19y&#10;ZWxzL2Uyb0RvYy54bWwucmVsc72RwWoCMRCG70LfIcy9m90ViohZLyJ4FfsAQzKbDW4mIYmlvr2B&#10;Uqgg9eZxZvi//4PZbL/9LL4oZRdYQde0IIh1MI6tgs/T/n0FIhdkg3NgUnClDNvhbbE50oylhvLk&#10;YhaVwlnBVEpcS5n1RB5zEyJxvYwheSx1TFZG1Ge0JPu2/ZDpLwOGO6Y4GAXpYJYgTtdYm5+zwzg6&#10;TbugL564PKiQztfuCsRkqSjwZBz+LJdNZAvysUP/Gof+P4fuNQ7dr4O8e/BwA1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">
                      <o:lock v:ext="edit" aspectratio="f"/>
                      <v:shape id="图片 3" o:spid="_x0000_s1026" o:spt="75" type="#_x0000_t75" style="position:absolute;left:0;top:0;height:5031;width:8297;" filled="f" o:preferrelative="t" stroked="f" coordsize="21600,21600" o:gfxdata="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NRqRjugAAANsA&#10;AAAPAAAAAAAAAAEAIAAAACIAAABkcnMvZG93bnJldi54bWxQSwECFAAUAAAACACHTuJAMy8FnjsA&#10;AAA5AAAAEAAAAAAAAAABACAAAAAJAQAAZHJzL3NoYXBleG1sLnhtbFBLBQYAAAAABgAGAFsBAACz&#10;AwAAAAA=&#10;">
                        <v:fill on="f" focussize="0,0"/>
                        <v:stroke on="f"/>
                        <v:imagedata r:id="rId56" o:title=""/>
                        <o:lock v:ext="edit" aspectratio="t"/>
                      </v:shape>
                      <v:shape id="图片 4" o:spid="_x0000_s1026" o:spt="75" type="#_x0000_t75" style="position:absolute;left:5425;top:1937;height:1551;width:1538;" filled="f" o:preferrelative="t" stroked="f" coordsize="21600,21600" o:gfxdata="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LO7/S5AAAA2wAA&#10;AA8AAAAAAAAAAQAgAAAAIgAAAGRycy9kb3ducmV2LnhtbFBLAQIUABQAAAAIAIdO4kAzLwWeOwAA&#10;ADkAAAAQAAAAAAAAAAEAIAAAAAgBAABkcnMvc2hhcGV4bWwueG1sUEsFBgAAAAAGAAYAWwEAALID&#10;AAAAAA==&#10;">
                        <v:fill on="f" focussize="0,0"/>
                        <v:stroke on="f"/>
                        <v:imagedata r:id="rId57" o:title=""/>
                        <o:lock v:ext="edit" aspectratio="t"/>
                      </v:shape>
                      <v:shape id="文本框 9" o:spid="_x0000_s1026" o:spt="202" type="#_x0000_t202" style="position:absolute;left:5398;top:20;height:3632;width:2691;" filled="f" stroked="f" coordsize="21600,21600" o:gfxdata="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Hz9v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504D53D0">
                              <w:pPr>
                                <w:spacing w:before="20" w:line="998" w:lineRule="exact"/>
                                <w:ind w:firstLine="2022"/>
                                <w:textAlignment w:val="center"/>
                              </w:pPr>
                              <w:r>
                                <w:drawing>
                                  <wp:inline distT="0" distB="0" distL="114300" distR="114300">
                                    <wp:extent cx="410845" cy="633730"/>
                                    <wp:effectExtent l="0" t="0" r="8255" b="13970"/>
                                    <wp:docPr id="19" name="图片 3"/>
                                    <wp:cNvGraphicFramePr/>
                                    <a:graphic xmlns:a="http://schemas.openxmlformats.org/drawingml/2006/main">
                                      <a:graphicData uri="http://schemas.openxmlformats.org/drawingml/2006/picture">
                                        <pic:pic xmlns:pic="http://schemas.openxmlformats.org/drawingml/2006/picture">
                                          <pic:nvPicPr>
                                            <pic:cNvPr id="19" name="图片 3"/>
                                            <pic:cNvPicPr/>
                                          </pic:nvPicPr>
                                          <pic:blipFill>
                                            <a:blip r:embed="rId58"/>
                                            <a:stretch>
                                              <a:fillRect/>
                                            </a:stretch>
                                          </pic:blipFill>
                                          <pic:spPr>
                                            <a:xfrm>
                                              <a:off x="0" y="0"/>
                                              <a:ext cx="410845" cy="633730"/>
                                            </a:xfrm>
                                            <a:prstGeom prst="rect">
                                              <a:avLst/>
                                            </a:prstGeom>
                                            <a:noFill/>
                                            <a:ln>
                                              <a:noFill/>
                                            </a:ln>
                                          </pic:spPr>
                                        </pic:pic>
                                      </a:graphicData>
                                    </a:graphic>
                                  </wp:inline>
                                </w:drawing>
                              </w:r>
                            </w:p>
                            <w:p w14:paraId="70422782"/>
                            <w:p w14:paraId="4BF4356F"/>
                            <w:p w14:paraId="1A3FA0B6"/>
                            <w:p w14:paraId="1E0912C7">
                              <w:pPr>
                                <w:spacing w:line="166" w:lineRule="exact"/>
                              </w:pPr>
                            </w:p>
                            <w:p w14:paraId="4A0D6801">
                              <w:pPr>
                                <w:spacing w:line="947" w:lineRule="exact"/>
                                <w:ind w:firstLine="811"/>
                                <w:textAlignment w:val="center"/>
                              </w:pPr>
                            </w:p>
                          </w:txbxContent>
                        </v:textbox>
                      </v:shape>
                      <v:shape id="图片 6" o:spid="_x0000_s1026" o:spt="75" type="#_x0000_t75" style="position:absolute;left:3785;top:3186;height:819;width:66;" filled="f" o:preferrelative="t" stroked="f" coordsize="21600,21600" o:gfxdata="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2MQ1r4A&#10;AADbAAAADwAAAAAAAAABACAAAAAiAAAAZHJzL2Rvd25yZXYueG1sUEsBAhQAFAAAAAgAh07iQDMv&#10;BZ47AAAAOQAAABAAAAAAAAAAAQAgAAAADQEAAGRycy9zaGFwZXhtbC54bWxQSwUGAAAAAAYABgBb&#10;AQAAtwMAAAAA&#10;">
                        <v:fill on="f" focussize="0,0"/>
                        <v:stroke on="f"/>
                        <v:imagedata r:id="rId59" o:title=""/>
                        <o:lock v:ext="edit" aspectratio="t"/>
                      </v:shape>
                      <w10:wrap type="none"/>
                      <w10:anchorlock/>
                    </v:group>
                  </w:pict>
                </mc:Fallback>
              </mc:AlternateContent>
            </w:r>
          </w:p>
        </w:tc>
      </w:tr>
    </w:tbl>
    <w:p w14:paraId="670EC657">
      <w:pPr>
        <w:numPr>
          <w:ilvl w:val="0"/>
          <w:numId w:val="29"/>
        </w:numPr>
        <w:spacing w:before="205" w:line="186" w:lineRule="auto"/>
        <w:ind w:left="425" w:leftChars="0" w:hanging="425"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pacing w:val="-4"/>
          <w:sz w:val="24"/>
          <w:szCs w:val="24"/>
          <w:highlight w:val="none"/>
          <w14:textFill>
            <w14:solidFill>
              <w14:schemeClr w14:val="tx1"/>
            </w14:solidFill>
          </w14:textFill>
        </w:rPr>
        <w:t>区域地质构造图</w:t>
      </w:r>
    </w:p>
    <w:p w14:paraId="09DF5AA3">
      <w:pPr>
        <w:keepNext w:val="0"/>
        <w:keepLines w:val="0"/>
        <w:pageBreakBefore w:val="0"/>
        <w:widowControl w:val="0"/>
        <w:kinsoku/>
        <w:wordWrap/>
        <w:overflowPunct/>
        <w:topLinePunct w:val="0"/>
        <w:autoSpaceDE/>
        <w:autoSpaceDN/>
        <w:bidi w:val="0"/>
        <w:adjustRightInd/>
        <w:snapToGrid/>
        <w:spacing w:before="78" w:line="480" w:lineRule="exact"/>
        <w:ind w:firstLine="34"/>
        <w:textAlignment w:val="auto"/>
        <w:outlineLvl w:val="2"/>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b/>
          <w:bCs/>
          <w:color w:val="000000" w:themeColor="text1"/>
          <w:spacing w:val="-2"/>
          <w:sz w:val="24"/>
          <w:szCs w:val="24"/>
          <w:highlight w:val="none"/>
          <w14:textFill>
            <w14:solidFill>
              <w14:schemeClr w14:val="tx1"/>
            </w14:solidFill>
          </w14:textFill>
        </w:rPr>
        <w:t>4.1.5水文地质</w:t>
      </w:r>
    </w:p>
    <w:p w14:paraId="29F2B112">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评价区所属的华北滨海平原区，地下水类型主要为第四系松散岩类孔隙水。根据开发区含水层岩性，地下水赋存条件及水动力特征，区内主要分为4个含水层组，及第Ⅰ、Ⅱ、Ⅲ、Ⅳ含水组，其中Ⅰ+Ⅱ含水组为第四系孔隙潜水，为浅层水；第Ⅲ和Ⅳ含水组为第四系承压水，为深层水。第Ⅲ含水层组埋深一般200m以下，是目前深层承压水主要开采层，第Ⅳ含水层组底界一般在400m以下。</w:t>
      </w:r>
    </w:p>
    <w:p w14:paraId="5F0D9362">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含水组</w:t>
      </w:r>
    </w:p>
    <w:p w14:paraId="20D7BEC5">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从区域上看，第四系松散岩类孔隙水按地下水埋藏条件可划分为浅层水和深层水，按地下水水力性质可划分为潜水和承压水。根据第四纪沉积物岩性及水文地质特征，将区域第四系含水层系自上而下划分为四个含水层组，即第Ⅰ、Ⅱ、Ⅲ、Ⅳ含水组，地质时代分别相当于Q4、Q3、Q2和Q1，各含水组在垂直方向上均有大于5m的粉土、粉质粘土或粘土相隔，无明显的水力联系。</w:t>
      </w:r>
    </w:p>
    <w:p w14:paraId="6A994AC3">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①第I含水层组</w:t>
      </w:r>
    </w:p>
    <w:p w14:paraId="3DAE1DF0">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在滨海平原水文地质区(Ⅱ)含水岩性以粉砂、细砂为主，厚度小于10m或10～20m，含水层之上和含水层之间，多为粉土层，单位涌水量小于2.5</w:t>
      </w:r>
      <w:r>
        <w:rPr>
          <w:rFonts w:hint="eastAsia" w:cs="Times New Roman"/>
          <w:color w:val="000000" w:themeColor="text1"/>
          <w:sz w:val="24"/>
          <w:szCs w:val="20"/>
          <w:highlight w:val="none"/>
          <w:lang w:val="en-US" w:eastAsia="zh-CN"/>
          <w14:textFill>
            <w14:solidFill>
              <w14:schemeClr w14:val="tx1"/>
            </w14:solidFill>
          </w14:textFill>
        </w:rPr>
        <w:t>m</w:t>
      </w:r>
      <w:r>
        <w:rPr>
          <w:rFonts w:hint="default" w:ascii="Times New Roman" w:hAnsi="Times New Roman" w:eastAsia="宋体" w:cs="Times New Roman"/>
          <w:color w:val="000000" w:themeColor="text1"/>
          <w:sz w:val="24"/>
          <w:szCs w:val="20"/>
          <w:highlight w:val="none"/>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/h・m。大气降水补给条件较好，但由于受潜水蒸发和海侵影响，其水质基本上为大于5gL的高矿化氯化钠型水。</w:t>
      </w:r>
    </w:p>
    <w:p w14:paraId="7110A5E9">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②第Ⅱ含水层组</w:t>
      </w:r>
    </w:p>
    <w:p w14:paraId="6748F83C">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在滨海平原水文地质区(Ⅱ)由于受晚更新世以来的海侵影响，海积层约占第Ⅱ含水层组厚度的1/3～1/4。含水层以薄层细砂、粉砂为主，含水层组之间多为粘</w:t>
      </w:r>
      <w:r>
        <w:rPr>
          <w:rFonts w:hint="eastAsia" w:cs="Times New Roman"/>
          <w:color w:val="000000" w:themeColor="text1"/>
          <w:sz w:val="24"/>
          <w:szCs w:val="20"/>
          <w:highlight w:val="none"/>
          <w:lang w:val="en-US" w:eastAsia="zh-CN"/>
          <w14:textFill>
            <w14:solidFill>
              <w14:schemeClr w14:val="tx1"/>
            </w14:solidFill>
          </w14:textFill>
        </w:rPr>
        <w:t>土</w:t>
      </w: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，透水性与富水性均弱，单位涌水量5～20</w:t>
      </w:r>
      <w:r>
        <w:rPr>
          <w:rFonts w:hint="eastAsia" w:cs="Times New Roman"/>
          <w:color w:val="000000" w:themeColor="text1"/>
          <w:sz w:val="24"/>
          <w:szCs w:val="20"/>
          <w:highlight w:val="none"/>
          <w:lang w:val="en-US" w:eastAsia="zh-CN"/>
          <w14:textFill>
            <w14:solidFill>
              <w14:schemeClr w14:val="tx1"/>
            </w14:solidFill>
          </w14:textFill>
        </w:rPr>
        <w:t>m</w:t>
      </w:r>
      <w:r>
        <w:rPr>
          <w:rFonts w:hint="default" w:ascii="Times New Roman" w:hAnsi="Times New Roman" w:eastAsia="宋体" w:cs="Times New Roman"/>
          <w:color w:val="000000" w:themeColor="text1"/>
          <w:sz w:val="24"/>
          <w:szCs w:val="20"/>
          <w:highlight w:val="none"/>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/h・m，补给条件很差，地下水径流缓慢，因此，该组大部分地下水为氯化物-钠型高矿化咸水。</w:t>
      </w:r>
    </w:p>
    <w:p w14:paraId="77F88B08">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③第Ⅲ含水层组</w:t>
      </w:r>
    </w:p>
    <w:p w14:paraId="617B0F15">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在滨海平原水文地质区(Ⅱ)含水层以细砂、粉砂为主，富水性、渗透性及补给条件较差，单位涌水量10～20</w:t>
      </w:r>
      <w:r>
        <w:rPr>
          <w:rFonts w:hint="eastAsia" w:cs="Times New Roman"/>
          <w:color w:val="000000" w:themeColor="text1"/>
          <w:sz w:val="24"/>
          <w:szCs w:val="20"/>
          <w:highlight w:val="none"/>
          <w:lang w:val="en-US" w:eastAsia="zh-CN"/>
          <w14:textFill>
            <w14:solidFill>
              <w14:schemeClr w14:val="tx1"/>
            </w14:solidFill>
          </w14:textFill>
        </w:rPr>
        <w:t>m</w:t>
      </w:r>
      <w:r>
        <w:rPr>
          <w:rFonts w:hint="default" w:ascii="Times New Roman" w:hAnsi="Times New Roman" w:eastAsia="宋体" w:cs="Times New Roman"/>
          <w:color w:val="000000" w:themeColor="text1"/>
          <w:sz w:val="24"/>
          <w:szCs w:val="20"/>
          <w:highlight w:val="none"/>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/h・m，局部小于10</w:t>
      </w:r>
      <w:bookmarkStart w:id="243" w:name="OLE_LINK85"/>
      <w:r>
        <w:rPr>
          <w:rFonts w:hint="eastAsia" w:cs="Times New Roman"/>
          <w:color w:val="000000" w:themeColor="text1"/>
          <w:sz w:val="24"/>
          <w:szCs w:val="20"/>
          <w:highlight w:val="none"/>
          <w:lang w:val="en-US" w:eastAsia="zh-CN"/>
          <w14:textFill>
            <w14:solidFill>
              <w14:schemeClr w14:val="tx1"/>
            </w14:solidFill>
          </w14:textFill>
        </w:rPr>
        <w:t>m</w:t>
      </w:r>
      <w:bookmarkEnd w:id="243"/>
      <w:r>
        <w:rPr>
          <w:rFonts w:hint="eastAsia" w:cs="Times New Roman"/>
          <w:color w:val="000000" w:themeColor="text1"/>
          <w:sz w:val="24"/>
          <w:szCs w:val="20"/>
          <w:highlight w:val="none"/>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/d。</w:t>
      </w:r>
    </w:p>
    <w:p w14:paraId="69125868">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④第Ⅳ含水层组</w:t>
      </w:r>
    </w:p>
    <w:p w14:paraId="1F402B1F">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在滨海平原水文地质区(Ⅱ)含水层以中细砂、细砂为主，由厚层粘土、粉质粘土与含水岩层交替沉积，风化与胶结程度较高，透水性与富水性均较弱。由于上覆层与含水层组之间为厚层粘土与粉质粘土，又远离补给区，故侧向径流微弱单位涌水量5～10</w:t>
      </w:r>
      <w:r>
        <w:rPr>
          <w:rFonts w:hint="eastAsia" w:cs="Times New Roman"/>
          <w:color w:val="000000" w:themeColor="text1"/>
          <w:sz w:val="24"/>
          <w:szCs w:val="20"/>
          <w:highlight w:val="none"/>
          <w:lang w:val="en-US" w:eastAsia="zh-CN"/>
          <w14:textFill>
            <w14:solidFill>
              <w14:schemeClr w14:val="tx1"/>
            </w14:solidFill>
          </w14:textFill>
        </w:rPr>
        <w:t>m</w:t>
      </w:r>
      <w:r>
        <w:rPr>
          <w:rFonts w:hint="default" w:ascii="Times New Roman" w:hAnsi="Times New Roman" w:eastAsia="宋体" w:cs="Times New Roman"/>
          <w:color w:val="000000" w:themeColor="text1"/>
          <w:sz w:val="24"/>
          <w:szCs w:val="20"/>
          <w:highlight w:val="none"/>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/h·m。</w:t>
      </w:r>
    </w:p>
    <w:p w14:paraId="2B296F34">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对于调查评价区而言，第1含水层组底界埋深约30m；第Ⅱ含水层组底界埋深150m；第Ⅲ含水层组底界埋深41m；第Ⅳ含水层组底界埋深则大于560m。</w:t>
      </w:r>
    </w:p>
    <w:p w14:paraId="66C0E2BD">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隔水层</w:t>
      </w:r>
    </w:p>
    <w:p w14:paraId="397C13F9">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第Ⅰ、Ⅱ、Ⅲ、Ⅳ含水组，各含水组在垂直方向上有大于5m的粉土、粉质粘土或粘土相隔，但Ⅰ、Ⅱ含水组之间的粉质黏土层不稳定，再加上含水层的混合利用、开采井深度不一，因而早已被开采所沟通，具有不同程度的水力联系。</w:t>
      </w:r>
    </w:p>
    <w:p w14:paraId="6D0EEE1D">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Ⅱ、Ⅲ含水组之间有一层粉质黏土层，厚度大于10m，稳定且连续，无明显水力联系，下部Ⅲ含水组为深层承压水含水组。</w:t>
      </w:r>
    </w:p>
    <w:p w14:paraId="752579E1">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地下水的补径排条件</w:t>
      </w:r>
    </w:p>
    <w:p w14:paraId="2B103459">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①地下水补给条件</w:t>
      </w:r>
    </w:p>
    <w:p w14:paraId="2CC5B2BC">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评价区第Ⅰ、Ⅱ含水组接受大气降水入渗补给、地下水侧向径流补给、河道渗漏补给及农田灌溉回归补给，以大气降水入渗与侧向径流补给为主，第Ⅲ含水组主要接受侧向径流补给和第Ⅱ含水组的越流补给。</w:t>
      </w:r>
    </w:p>
    <w:p w14:paraId="10DFD491">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②地下水径流条件</w:t>
      </w:r>
    </w:p>
    <w:p w14:paraId="1CF11F74">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评价区内区第Ⅰ、Ⅱ含水组的含水层颗粒较细，水位受海水潮汐影响，地下水以垂直运动为主，径流缓慢，流向由北向南。第Ⅲ含水组地下水流向受季节和人工开采影响而变化。</w:t>
      </w:r>
    </w:p>
    <w:p w14:paraId="5C14C09C">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③地下水排泄条件</w:t>
      </w:r>
    </w:p>
    <w:p w14:paraId="40F922E0">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评价区内区第Ⅰ、Ⅱ含水组地下水主要排泄方式为蒸发。第Ⅲ含水组地下水的排泄方式主要为生活开采、工农业生产开发用水及侧向径流排泄。</w:t>
      </w:r>
    </w:p>
    <w:p w14:paraId="1BBE030E">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包气带</w:t>
      </w:r>
    </w:p>
    <w:p w14:paraId="64E02D52">
      <w:pPr>
        <w:spacing w:line="480" w:lineRule="exact"/>
        <w:ind w:firstLine="480" w:firstLineChars="200"/>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评价区水文地质单元属滨海平原区，包气带岩性主要为粉质粘土。</w:t>
      </w:r>
    </w:p>
    <w:p w14:paraId="794BE68A">
      <w:pPr>
        <w:spacing w:line="480" w:lineRule="exact"/>
        <w:ind w:firstLine="480" w:firstLineChars="200"/>
        <w:rPr>
          <w:rFonts w:hint="default" w:ascii="Times New Roman" w:hAnsi="Times New Roman" w:eastAsia="宋体" w:cs="Times New Roman"/>
          <w:color w:val="000000" w:themeColor="text1"/>
          <w:sz w:val="21"/>
          <w:highlight w:val="none"/>
          <w14:textFill>
            <w14:solidFill>
              <w14:schemeClr w14:val="tx1"/>
            </w14:solidFill>
          </w14:textFill>
        </w:rPr>
      </w:pP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包气带特征为：表层为素填土，岩性以粘土为主，厚度0.9-1.6m；下层为1.1-1.5m的粉质粘土层。总体来说评价区地表高程起伏不大，浅层地下水水位埋深在0.38～2.87m之间，包气带厚度较薄，包气带岩性主要以粉质粘土为主，包气带渗透系数由评价区北部向渤海方向呈逐渐降低趋势，评价区渗透系数范围为2.63×10</w:t>
      </w:r>
      <w:r>
        <w:rPr>
          <w:rFonts w:hint="default" w:ascii="Times New Roman" w:hAnsi="Times New Roman" w:eastAsia="宋体" w:cs="Times New Roman"/>
          <w:color w:val="000000" w:themeColor="text1"/>
          <w:sz w:val="24"/>
          <w:szCs w:val="20"/>
          <w:highlight w:val="none"/>
          <w:vertAlign w:val="superscript"/>
          <w:lang w:val="en-US" w:eastAsia="zh-CN"/>
          <w14:textFill>
            <w14:solidFill>
              <w14:schemeClr w14:val="tx1"/>
            </w14:solidFill>
          </w14:textFill>
        </w:rPr>
        <w:t>-6</w:t>
      </w: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～1.15×10</w:t>
      </w:r>
      <w:r>
        <w:rPr>
          <w:rFonts w:hint="default" w:ascii="Times New Roman" w:hAnsi="Times New Roman" w:eastAsia="宋体" w:cs="Times New Roman"/>
          <w:color w:val="000000" w:themeColor="text1"/>
          <w:sz w:val="24"/>
          <w:szCs w:val="20"/>
          <w:highlight w:val="none"/>
          <w:vertAlign w:val="superscript"/>
          <w:lang w:val="en-US" w:eastAsia="zh-CN"/>
          <w14:textFill>
            <w14:solidFill>
              <w14:schemeClr w14:val="tx1"/>
            </w14:solidFill>
          </w14:textFill>
        </w:rPr>
        <w:t>-4</w:t>
      </w: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cm。</w:t>
      </w:r>
    </w:p>
    <w:p w14:paraId="62A30A6A">
      <w:pPr>
        <w:pStyle w:val="6"/>
        <w:pageBreakBefore w:val="0"/>
        <w:widowControl w:val="0"/>
        <w:kinsoku/>
        <w:wordWrap/>
        <w:overflowPunct/>
        <w:topLinePunct w:val="0"/>
        <w:autoSpaceDE/>
        <w:autoSpaceDN/>
        <w:bidi w:val="0"/>
        <w:adjustRightInd/>
        <w:snapToGrid/>
        <w:spacing w:line="480" w:lineRule="atLeas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4.1.6地表水</w:t>
      </w:r>
    </w:p>
    <w:p w14:paraId="177831DB">
      <w:pPr>
        <w:pageBreakBefore w:val="0"/>
        <w:widowControl w:val="0"/>
        <w:kinsoku/>
        <w:wordWrap/>
        <w:overflowPunct/>
        <w:topLinePunct w:val="0"/>
        <w:autoSpaceDE/>
        <w:autoSpaceDN/>
        <w:bidi w:val="0"/>
        <w:adjustRightInd/>
        <w:snapToGrid/>
        <w:spacing w:line="480" w:lineRule="atLeas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三排干属曹妃甸区总输水干渠一段，总输水干渠是于1956年人工开挖的一条输水干渠，起始于滦县岩山渠首，止于曹妃甸区西灌区分水闸，全长64.5km，自建成以来为曹妃甸种植业、养殖业发挥了巨大作用。</w:t>
      </w:r>
    </w:p>
    <w:p w14:paraId="1608F4FD">
      <w:pPr>
        <w:pageBreakBefore w:val="0"/>
        <w:widowControl w:val="0"/>
        <w:kinsoku/>
        <w:wordWrap/>
        <w:overflowPunct/>
        <w:topLinePunct w:val="0"/>
        <w:autoSpaceDE/>
        <w:autoSpaceDN/>
        <w:bidi w:val="0"/>
        <w:adjustRightInd/>
        <w:snapToGrid/>
        <w:spacing w:line="480" w:lineRule="atLeas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三排干位于规划园区的西侧，起自十一农场北部的五里坨北，沿十一农场边界在七农场西北入二排干，设计流量为2.42-9.93</w:t>
      </w:r>
      <w:r>
        <w:rPr>
          <w:rFonts w:hint="eastAsia" w:cs="Times New Roman"/>
          <w:color w:val="000000" w:themeColor="text1"/>
          <w:sz w:val="24"/>
          <w:szCs w:val="24"/>
          <w:highlight w:val="none"/>
          <w:lang w:val="en-US" w:eastAsia="zh-CN"/>
          <w14:textFill>
            <w14:solidFill>
              <w14:schemeClr w14:val="tx1"/>
            </w14:solidFill>
          </w14:textFill>
        </w:rPr>
        <w:t>m</w:t>
      </w:r>
      <w:r>
        <w:rPr>
          <w:rFonts w:hint="eastAsia" w:cs="Times New Roman"/>
          <w:color w:val="000000" w:themeColor="text1"/>
          <w:sz w:val="24"/>
          <w:szCs w:val="24"/>
          <w:highlight w:val="none"/>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/s，渠底宽6-8m，挖深1.7-2.0m。</w:t>
      </w:r>
    </w:p>
    <w:p w14:paraId="26E6EFF3">
      <w:pPr>
        <w:pStyle w:val="6"/>
        <w:pageBreakBefore w:val="0"/>
        <w:widowControl w:val="0"/>
        <w:kinsoku/>
        <w:wordWrap/>
        <w:overflowPunct/>
        <w:topLinePunct w:val="0"/>
        <w:autoSpaceDE/>
        <w:autoSpaceDN/>
        <w:bidi w:val="0"/>
        <w:adjustRightInd/>
        <w:snapToGrid/>
        <w:spacing w:line="480" w:lineRule="atLeas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4.1.</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7</w:t>
      </w:r>
      <w:r>
        <w:rPr>
          <w:rFonts w:hint="default" w:ascii="Times New Roman" w:hAnsi="Times New Roman" w:eastAsia="宋体" w:cs="Times New Roman"/>
          <w:color w:val="000000" w:themeColor="text1"/>
          <w:sz w:val="24"/>
          <w:szCs w:val="24"/>
          <w:highlight w:val="none"/>
          <w14:textFill>
            <w14:solidFill>
              <w14:schemeClr w14:val="tx1"/>
            </w14:solidFill>
          </w14:textFill>
        </w:rPr>
        <w:t>土壤与植被</w:t>
      </w:r>
    </w:p>
    <w:p w14:paraId="7E825970">
      <w:pPr>
        <w:pageBreakBefore w:val="0"/>
        <w:widowControl w:val="0"/>
        <w:kinsoku/>
        <w:wordWrap/>
        <w:overflowPunct/>
        <w:topLinePunct w:val="0"/>
        <w:autoSpaceDE/>
        <w:autoSpaceDN/>
        <w:bidi w:val="0"/>
        <w:adjustRightInd/>
        <w:snapToGrid/>
        <w:spacing w:line="480" w:lineRule="atLeas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曹妃甸区处于滨海地区，土壤主要有盐化沼泽土和滨海盐土亚类。土壤表层盐分略轻，心土、底土受地下水影响，盐分较重，土体含盐在1%左右，盐分组成为氯化物。项目建设区为海底吹填造地，土壤盐碱度20%以上，pH8.5～9.3。1/3的土壤为粒状沙土，1/3的土壤为泥状粘土，1/3的土壤为沙泥混合土，土壤贫瘠。土壤容重2.45g/c</w:t>
      </w:r>
      <w:r>
        <w:rPr>
          <w:rFonts w:hint="eastAsia" w:cs="Times New Roman"/>
          <w:color w:val="000000" w:themeColor="text1"/>
          <w:sz w:val="24"/>
          <w:szCs w:val="24"/>
          <w:highlight w:val="none"/>
          <w:lang w:eastAsia="zh-CN"/>
          <w14:textFill>
            <w14:solidFill>
              <w14:schemeClr w14:val="tx1"/>
            </w14:solidFill>
          </w14:textFill>
        </w:rPr>
        <w:t>m</w:t>
      </w:r>
      <w:r>
        <w:rPr>
          <w:rFonts w:hint="eastAsia" w:cs="Times New Roman"/>
          <w:color w:val="000000" w:themeColor="text1"/>
          <w:sz w:val="24"/>
          <w:szCs w:val="24"/>
          <w:highlight w:val="none"/>
          <w:vertAlign w:val="superscript"/>
          <w:lang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，土壤孔隙度11.90%。土壤含盐量1%～4%，土壤黏重，透气性差，水矿化度高达11.7～33.8g/L。</w:t>
      </w:r>
    </w:p>
    <w:p w14:paraId="52E36491">
      <w:pPr>
        <w:pageBreakBefore w:val="0"/>
        <w:widowControl w:val="0"/>
        <w:kinsoku/>
        <w:wordWrap/>
        <w:overflowPunct/>
        <w:topLinePunct w:val="0"/>
        <w:autoSpaceDE/>
        <w:autoSpaceDN/>
        <w:bidi w:val="0"/>
        <w:adjustRightInd/>
        <w:snapToGrid/>
        <w:spacing w:line="480" w:lineRule="atLeas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曹妃甸区属暖温带落叶阔叶林，根据植物群落组成和建群种的生活型，曹妃甸的主要植被为滨海盐生植被，主要植物有芦苇、柽柳、地肤、狗尾草和海蔓刺等原生植被。曹妃甸区道路两侧引进栽植了白蜡、龙柏、紫叶李、国槐、西府海棠、臭椿、垂柳、刺槐、侧柏、碧桃、龙爪槐、油松、白玉兰、悬铃木、紫叶小檗、女贞、大叶黄杨、木槿、紫穗槐、丁香、月季、大花萱草、鸢尾、白三叶、高羊茅等乔灌草。植被覆盖率较低，仅地势较高处有芦苇、柽柳等少量的植被。林草覆盖率20%左右。</w:t>
      </w:r>
    </w:p>
    <w:p w14:paraId="51DD5C7B">
      <w:pPr>
        <w:pStyle w:val="6"/>
        <w:pageBreakBefore w:val="0"/>
        <w:widowControl w:val="0"/>
        <w:kinsoku/>
        <w:wordWrap/>
        <w:overflowPunct/>
        <w:topLinePunct w:val="0"/>
        <w:autoSpaceDE/>
        <w:autoSpaceDN/>
        <w:bidi w:val="0"/>
        <w:adjustRightInd/>
        <w:snapToGrid/>
        <w:spacing w:line="480" w:lineRule="atLeast"/>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4.1.8曹妃甸湿地和鸟类省级自然保护区</w:t>
      </w:r>
    </w:p>
    <w:p w14:paraId="06F2123E">
      <w:pPr>
        <w:pageBreakBefore w:val="0"/>
        <w:widowControl w:val="0"/>
        <w:kinsoku/>
        <w:wordWrap/>
        <w:overflowPunct/>
        <w:topLinePunct w:val="0"/>
        <w:autoSpaceDE/>
        <w:autoSpaceDN/>
        <w:bidi w:val="0"/>
        <w:adjustRightInd/>
        <w:snapToGrid/>
        <w:spacing w:line="480" w:lineRule="atLeas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概况</w:t>
      </w:r>
    </w:p>
    <w:p w14:paraId="26642780">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both"/>
        <w:textAlignment w:val="auto"/>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曹妃甸湿地和鸟类省级自然保护区位于河北省曹妃甸区境内，地理坐标N39°09′24″-39°14′28″，E118°15′42″-118°23′24″，保护区北依沿海公路以南800米处，南与南堡盐场相邻，东至第四、第五农场、青林公路以西1500米，西以三排干为界。地处四农场、七农场和十一农场管理范围之内。于2005年9月经河北省人民政府研究同意建立。2007年9月经河北省人民政府研究同意成立保护区管理处，负责保护区建设管理工作。经过2012年9月规划范围的调整，保护区现有面积10081.41公顷，其中核心区3504公顷，占保护区总面积的34.76%，缓冲区1503公顷，占保护区总面积的14.91%，实验区5074公顷，占保护区总面积的50.33%，以海淡水湿地生态系统和国家I、Ⅱ级鸟类为主要保护对象。2015年3月，河北省人民政府将曹妃甸湿地列入河北省重要湿地。</w:t>
      </w:r>
    </w:p>
    <w:p w14:paraId="47870FA0">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曹妃甸湿地和鸟类省级自然保护区在渤海湾北部潮上带，具有芦苇、河流、水库、沟渠、水稻田、水产池塘等多种湿地类型。保护区生物资源十分丰富，分布有陆生野生脊椎动物331种，隶属于4纲26目64科，其中哺乳纲6目11科17种、鸟纲17目49科307种、两栖纲1目2科2种、爬行纲2目2科5种，同时还有众多的浮游动植物、底栖动物及贝类、虾、蟹等。保护区良好的湿地生境对保护湿地生物多样性发挥着决定性的作用。曹妃甸湿地是我国东部沿海候鸟南北迁徙，也是东亚-澳大利亚候鸟迁徙的重要驿站。</w:t>
      </w:r>
      <w:r>
        <w:rPr>
          <w:rFonts w:hint="default" w:ascii="Times New Roman" w:hAnsi="Times New Roman" w:eastAsia="宋体" w:cs="Times New Roman"/>
          <w:b w:val="0"/>
          <w:bCs w:val="0"/>
          <w:color w:val="000000" w:themeColor="text1"/>
          <w:sz w:val="24"/>
          <w:szCs w:val="24"/>
          <w:highlight w:val="none"/>
          <w:lang w:eastAsia="zh-CN"/>
          <w14:textFill>
            <w14:solidFill>
              <w14:schemeClr w14:val="tx1"/>
            </w14:solidFill>
          </w14:textFill>
        </w:rPr>
        <w:t>据</w:t>
      </w: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调查研究，曹妃甸湿地的白腰杓鹬、半璞鹬、红腹滨鹬、泽鹬、黑尾腃鹬、黑翅长脚鹬、环颈鸻、灰斑鸻等8</w:t>
      </w:r>
      <w:r>
        <w:rPr>
          <w:rFonts w:hint="default" w:ascii="Times New Roman" w:hAnsi="Times New Roman" w:eastAsia="宋体" w:cs="Times New Roman"/>
          <w:b w:val="0"/>
          <w:bCs w:val="0"/>
          <w:color w:val="000000" w:themeColor="text1"/>
          <w:sz w:val="24"/>
          <w:szCs w:val="24"/>
          <w:highlight w:val="none"/>
          <w:lang w:eastAsia="zh-CN"/>
          <w14:textFill>
            <w14:solidFill>
              <w14:schemeClr w14:val="tx1"/>
            </w14:solidFill>
          </w14:textFill>
        </w:rPr>
        <w:t>种</w:t>
      </w: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鸟类，达到“国际重要湿地”的标准。</w:t>
      </w:r>
    </w:p>
    <w:p w14:paraId="2D4BDB1B">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本项目位于曹妃甸湿地和鸟类省级自然保护区的北侧，厂区南距曹妃甸湿地和鸟类省级自然保护区</w:t>
      </w:r>
      <w:r>
        <w:rPr>
          <w:rFonts w:hint="default" w:ascii="Times New Roman" w:hAnsi="Times New Roman" w:eastAsia="宋体" w:cs="Times New Roman"/>
          <w:b w:val="0"/>
          <w:bCs w:val="0"/>
          <w:color w:val="000000" w:themeColor="text1"/>
          <w:sz w:val="24"/>
          <w:szCs w:val="24"/>
          <w:highlight w:val="none"/>
          <w:lang w:eastAsia="zh-CN"/>
          <w14:textFill>
            <w14:solidFill>
              <w14:schemeClr w14:val="tx1"/>
            </w14:solidFill>
          </w14:textFill>
        </w:rPr>
        <w:t>实验区</w:t>
      </w:r>
      <w:r>
        <w:rPr>
          <w:rFonts w:hint="eastAsia" w:cs="Times New Roman"/>
          <w:b w:val="0"/>
          <w:bCs w:val="0"/>
          <w:color w:val="000000" w:themeColor="text1"/>
          <w:sz w:val="24"/>
          <w:szCs w:val="24"/>
          <w:highlight w:val="none"/>
          <w:lang w:val="en-US" w:eastAsia="zh-CN"/>
          <w14:textFill>
            <w14:solidFill>
              <w14:schemeClr w14:val="tx1"/>
            </w14:solidFill>
          </w14:textFill>
        </w:rPr>
        <w:t>1276</w:t>
      </w:r>
      <w:r>
        <w:rPr>
          <w:rFonts w:hint="default" w:ascii="Times New Roman" w:hAnsi="Times New Roman" w:eastAsia="宋体" w:cs="Times New Roman"/>
          <w:b w:val="0"/>
          <w:bCs w:val="0"/>
          <w:color w:val="000000" w:themeColor="text1"/>
          <w:sz w:val="24"/>
          <w:szCs w:val="24"/>
          <w:highlight w:val="none"/>
          <w:lang w:eastAsia="zh-CN"/>
          <w14:textFill>
            <w14:solidFill>
              <w14:schemeClr w14:val="tx1"/>
            </w14:solidFill>
          </w14:textFill>
        </w:rPr>
        <w:t>m、缓冲区21</w:t>
      </w:r>
      <w:r>
        <w:rPr>
          <w:rFonts w:hint="eastAsia" w:cs="Times New Roman"/>
          <w:b w:val="0"/>
          <w:bCs w:val="0"/>
          <w:color w:val="000000" w:themeColor="text1"/>
          <w:sz w:val="24"/>
          <w:szCs w:val="24"/>
          <w:highlight w:val="none"/>
          <w:lang w:val="en-US" w:eastAsia="zh-CN"/>
          <w14:textFill>
            <w14:solidFill>
              <w14:schemeClr w14:val="tx1"/>
            </w14:solidFill>
          </w14:textFill>
        </w:rPr>
        <w:t>30</w:t>
      </w:r>
      <w:r>
        <w:rPr>
          <w:rFonts w:hint="default" w:ascii="Times New Roman" w:hAnsi="Times New Roman" w:eastAsia="宋体" w:cs="Times New Roman"/>
          <w:b w:val="0"/>
          <w:bCs w:val="0"/>
          <w:color w:val="000000" w:themeColor="text1"/>
          <w:sz w:val="24"/>
          <w:szCs w:val="24"/>
          <w:highlight w:val="none"/>
          <w:lang w:eastAsia="zh-CN"/>
          <w14:textFill>
            <w14:solidFill>
              <w14:schemeClr w14:val="tx1"/>
            </w14:solidFill>
          </w14:textFill>
        </w:rPr>
        <w:t>m、核心区</w:t>
      </w:r>
      <w:r>
        <w:rPr>
          <w:rFonts w:hint="eastAsia" w:cs="Times New Roman"/>
          <w:b w:val="0"/>
          <w:bCs w:val="0"/>
          <w:color w:val="000000" w:themeColor="text1"/>
          <w:sz w:val="24"/>
          <w:szCs w:val="24"/>
          <w:highlight w:val="none"/>
          <w:lang w:val="en-US" w:eastAsia="zh-CN"/>
          <w14:textFill>
            <w14:solidFill>
              <w14:schemeClr w14:val="tx1"/>
            </w14:solidFill>
          </w14:textFill>
        </w:rPr>
        <w:t>2540</w:t>
      </w:r>
      <w:r>
        <w:rPr>
          <w:rFonts w:hint="default" w:ascii="Times New Roman" w:hAnsi="Times New Roman" w:eastAsia="宋体" w:cs="Times New Roman"/>
          <w:b w:val="0"/>
          <w:bCs w:val="0"/>
          <w:color w:val="000000" w:themeColor="text1"/>
          <w:sz w:val="24"/>
          <w:szCs w:val="24"/>
          <w:highlight w:val="none"/>
          <w:lang w:eastAsia="zh-CN"/>
          <w14:textFill>
            <w14:solidFill>
              <w14:schemeClr w14:val="tx1"/>
            </w14:solidFill>
          </w14:textFill>
        </w:rPr>
        <w:t>m</w:t>
      </w: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，不在其各类保护区范围内。</w:t>
      </w:r>
    </w:p>
    <w:p w14:paraId="6B33876A">
      <w:pPr>
        <w:pageBreakBefore w:val="0"/>
        <w:widowControl w:val="0"/>
        <w:kinsoku/>
        <w:wordWrap/>
        <w:overflowPunct/>
        <w:topLinePunct w:val="0"/>
        <w:autoSpaceDE/>
        <w:autoSpaceDN/>
        <w:bidi w:val="0"/>
        <w:adjustRightInd/>
        <w:snapToGrid/>
        <w:spacing w:line="480" w:lineRule="atLeas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保护要求</w:t>
      </w:r>
    </w:p>
    <w:p w14:paraId="71690B03">
      <w:pPr>
        <w:pageBreakBefore w:val="0"/>
        <w:widowControl w:val="0"/>
        <w:kinsoku/>
        <w:wordWrap/>
        <w:overflowPunct/>
        <w:topLinePunct w:val="0"/>
        <w:autoSpaceDE/>
        <w:autoSpaceDN/>
        <w:bidi w:val="0"/>
        <w:adjustRightInd/>
        <w:snapToGrid/>
        <w:spacing w:line="480" w:lineRule="atLeas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①国家法律相关规定</w:t>
      </w:r>
    </w:p>
    <w:p w14:paraId="2F5510E6">
      <w:pPr>
        <w:pageBreakBefore w:val="0"/>
        <w:widowControl w:val="0"/>
        <w:kinsoku/>
        <w:wordWrap/>
        <w:overflowPunct/>
        <w:topLinePunct w:val="0"/>
        <w:autoSpaceDE/>
        <w:autoSpaceDN/>
        <w:bidi w:val="0"/>
        <w:adjustRightInd/>
        <w:snapToGrid/>
        <w:spacing w:line="480" w:lineRule="atLeas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根据《中华人民共和国自然保护区条例》，第十八条规定：自然保护区可以分为核心区、缓冲区和实验区。自然保护区内保存完好的天然状态的生态系统以及珍稀、濒危动植物的集中分布地，应当划为核心区，禁止任何单位和个人进入。核心区外围可以划定一定面积的缓冲区，只准进入从事科学研究观测活动。缓冲区外围划为实验区，可以进入从事科学试验、教学实习、参观考察、旅游以及驯化、繁殖珍稀、濒危野生动植物等活动。</w:t>
      </w:r>
    </w:p>
    <w:p w14:paraId="38CD73C3">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第三十二条规定：在自然保护区的核心区和缓冲区内，不得建设任何生产设施。在自然保护区的实验区内，不得建设污染环境、破坏资源或者景观的生产设施；建设其他项目，其污染物排放不得超过国家和地方规定的污染物排放标准。在自然保护区的实验区内已经建成的设施，其污染物排放超过国家和地方规定的排放标准的，应当限期治理；造成损害的，必须采取补救措施。在自然保护区的外围保护地带建设的项目，不得损害自然保护区内的环境质量；已造成损害的，应当限期治理。</w:t>
      </w:r>
    </w:p>
    <w:p w14:paraId="1638340A">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②曹妃甸区湿地和鸟类省级自然保护区相关规定</w:t>
      </w:r>
    </w:p>
    <w:p w14:paraId="78D7EBEF">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根据《曹妃甸区湿地和鸟类省级自然保护区管理办法》，该自然保护区划分为核心区、缓冲区和实验区。保护区内保存完好的天然状态的生态系统以及野生动植物的集中分布地为核心区；核心区外围为缓冲区；缓冲区外围为实验区。</w:t>
      </w:r>
    </w:p>
    <w:p w14:paraId="17378A82">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保护区的核心区未经批准禁止任何单位和个人进入。因科学研究确需进入时，应事先向曹妃甸湿地管理处提出申请并报曹妃甸区人民政府批准。在保护区内从事涉及保护对象的科研活动，必须事先向曹妃甸区湿地管理处提出书面申请，提交活动计划，经湿地管理处批准后方可进行。活动结束后，将其活动成果的副本提交曹妃甸区湿地管理处。在保护区的实验区内从事任何项目建设和生产必须符合保护区的总体规划和有关法律法规要求。须经曹妃甸区湿地管理处批准后按程序上报有关部门审批和实施。在保护区外围保护地带建设的项目，不得损害保护区内的环境质量和生态功能。</w:t>
      </w:r>
    </w:p>
    <w:bookmarkEnd w:id="225"/>
    <w:bookmarkEnd w:id="241"/>
    <w:bookmarkEnd w:id="242"/>
    <w:p w14:paraId="73713E20">
      <w:pPr>
        <w:pStyle w:val="6"/>
        <w:pageBreakBefore w:val="0"/>
        <w:widowControl w:val="0"/>
        <w:kinsoku/>
        <w:wordWrap/>
        <w:overflowPunct/>
        <w:topLinePunct w:val="0"/>
        <w:autoSpaceDE/>
        <w:autoSpaceDN/>
        <w:bidi w:val="0"/>
        <w:adjustRightInd/>
        <w:snapToGrid/>
        <w:spacing w:line="480" w:lineRule="atLeast"/>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bookmarkStart w:id="244" w:name="_Toc10037"/>
      <w:bookmarkStart w:id="245" w:name="_Toc16080"/>
      <w:bookmarkStart w:id="246" w:name="_Toc301529690"/>
      <w:bookmarkStart w:id="247" w:name="_Toc286822082"/>
      <w:bookmarkStart w:id="248" w:name="_Toc246763527"/>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4.1.</w:t>
      </w:r>
      <w:r>
        <w:rPr>
          <w:rFonts w:hint="eastAsia" w:cs="Times New Roman"/>
          <w:color w:val="000000" w:themeColor="text1"/>
          <w:sz w:val="24"/>
          <w:szCs w:val="24"/>
          <w:highlight w:val="none"/>
          <w:lang w:val="en-US" w:eastAsia="zh-CN"/>
          <w14:textFill>
            <w14:solidFill>
              <w14:schemeClr w14:val="tx1"/>
            </w14:solidFill>
          </w14:textFill>
        </w:rPr>
        <w:t>9沙区调查</w:t>
      </w:r>
    </w:p>
    <w:p w14:paraId="6A4420DA">
      <w:pPr>
        <w:rPr>
          <w:rFonts w:hint="default"/>
          <w:highlight w:val="none"/>
        </w:rPr>
      </w:pPr>
      <w:r>
        <w:rPr>
          <w:rFonts w:hint="default"/>
          <w:highlight w:val="none"/>
        </w:rPr>
        <w:t>本项目位于</w:t>
      </w:r>
      <w:r>
        <w:rPr>
          <w:rFonts w:hint="default"/>
          <w:highlight w:val="none"/>
          <w:lang w:val="en-US" w:eastAsia="zh-CN"/>
        </w:rPr>
        <w:t>唐山市曹妃甸区垦丰家居产业园区</w:t>
      </w:r>
      <w:r>
        <w:rPr>
          <w:rFonts w:hint="default"/>
          <w:highlight w:val="none"/>
        </w:rPr>
        <w:t>，根据《关于进一步做好沙区建设项目环境影响评价工作的通知》（冀环办字函[2023]326号），项目所在区域不涉及沙化区，项目距离最近的沙化区距离为</w:t>
      </w:r>
      <w:r>
        <w:rPr>
          <w:rFonts w:hint="eastAsia"/>
          <w:highlight w:val="none"/>
          <w:lang w:val="en-US" w:eastAsia="zh-CN"/>
        </w:rPr>
        <w:t>10.02k</w:t>
      </w:r>
      <w:r>
        <w:rPr>
          <w:rFonts w:hint="default"/>
          <w:highlight w:val="none"/>
        </w:rPr>
        <w:t>m。项目与沙化区位置关系图见附图1</w:t>
      </w:r>
      <w:r>
        <w:rPr>
          <w:rFonts w:hint="eastAsia"/>
          <w:highlight w:val="none"/>
          <w:lang w:val="en-US" w:eastAsia="zh-CN"/>
        </w:rPr>
        <w:t>6</w:t>
      </w:r>
      <w:r>
        <w:rPr>
          <w:rFonts w:hint="default"/>
          <w:highlight w:val="none"/>
        </w:rPr>
        <w:t>。</w:t>
      </w:r>
    </w:p>
    <w:p w14:paraId="6054710E">
      <w:pPr>
        <w:pStyle w:val="7"/>
        <w:bidi w:val="0"/>
        <w:rPr>
          <w:rFonts w:hint="default"/>
          <w:highlight w:val="none"/>
        </w:rPr>
      </w:pPr>
      <w:r>
        <w:rPr>
          <w:rFonts w:hint="default"/>
          <w:highlight w:val="none"/>
        </w:rPr>
        <w:t>4.</w:t>
      </w:r>
      <w:r>
        <w:rPr>
          <w:rFonts w:hint="default"/>
          <w:highlight w:val="none"/>
          <w:lang w:val="en-US" w:eastAsia="zh-CN"/>
        </w:rPr>
        <w:t>2区域污染源</w:t>
      </w:r>
      <w:r>
        <w:rPr>
          <w:rFonts w:hint="default"/>
          <w:highlight w:val="none"/>
        </w:rPr>
        <w:t>调查</w:t>
      </w:r>
      <w:bookmarkEnd w:id="244"/>
      <w:bookmarkEnd w:id="245"/>
    </w:p>
    <w:p w14:paraId="4A4E1C46">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4.2.1废水污染源调查</w:t>
      </w:r>
    </w:p>
    <w:p w14:paraId="746D5E91">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本项目地表水环境影响评价工作级别为三级B，根据《环境影响评价技术导则·地表水环境》(HJ/T2.3-2018)，不再开展区域污染源调查。</w:t>
      </w:r>
    </w:p>
    <w:p w14:paraId="4D5263B2">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4.2.2废气污染源调查</w:t>
      </w:r>
    </w:p>
    <w:p w14:paraId="0FF4D410">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lang w:eastAsia="zh-CN"/>
          <w14:textFill>
            <w14:solidFill>
              <w14:schemeClr w14:val="tx1"/>
            </w14:solidFill>
          </w14:textFill>
        </w:rPr>
        <w:t>本项目大气评价等级为二级，根据《环境影响评价技术导则大气环境》（HJ2.2-2018）中“7.污染源调查”中的相关要求：二级评价仅调查本项目新增污染源及拟被替代污染源（如有），无需调查已建、在建其他项目污染源。本项目废气污染物主要氨、硫化氢和臭气浓度，不属于重点污染物，无需进行区域污染源替代。</w:t>
      </w:r>
    </w:p>
    <w:bookmarkEnd w:id="246"/>
    <w:bookmarkEnd w:id="247"/>
    <w:bookmarkEnd w:id="248"/>
    <w:p w14:paraId="1B77953C">
      <w:pPr>
        <w:pStyle w:val="7"/>
        <w:bidi w:val="0"/>
        <w:rPr>
          <w:rFonts w:hint="default"/>
          <w:highlight w:val="none"/>
        </w:rPr>
      </w:pPr>
      <w:bookmarkStart w:id="249" w:name="_Toc17603"/>
      <w:bookmarkStart w:id="250" w:name="_Toc26348"/>
      <w:r>
        <w:rPr>
          <w:rFonts w:hint="default"/>
          <w:highlight w:val="none"/>
          <w:lang w:eastAsia="zh-CN"/>
        </w:rPr>
        <w:t>4.3</w:t>
      </w:r>
      <w:r>
        <w:rPr>
          <w:rFonts w:hint="default"/>
          <w:highlight w:val="none"/>
        </w:rPr>
        <w:t>环境质量现状调查与评价</w:t>
      </w:r>
      <w:bookmarkEnd w:id="249"/>
      <w:bookmarkEnd w:id="250"/>
    </w:p>
    <w:p w14:paraId="2167E041">
      <w:pPr>
        <w:keepNext w:val="0"/>
        <w:keepLines w:val="0"/>
        <w:pageBreakBefore w:val="0"/>
        <w:widowControl w:val="0"/>
        <w:kinsoku/>
        <w:wordWrap/>
        <w:overflowPunct/>
        <w:topLinePunct w:val="0"/>
        <w:autoSpaceDE/>
        <w:autoSpaceDN/>
        <w:bidi w:val="0"/>
        <w:adjustRightInd w:val="0"/>
        <w:snapToGrid w:val="0"/>
        <w:spacing w:line="480" w:lineRule="exact"/>
        <w:ind w:firstLine="504" w:firstLineChars="200"/>
        <w:textAlignment w:val="auto"/>
        <w:rPr>
          <w:rFonts w:hint="default" w:ascii="Times New Roman" w:hAnsi="Times New Roman" w:eastAsia="宋体" w:cs="Times New Roman"/>
          <w:color w:val="000000" w:themeColor="text1"/>
          <w:spacing w:val="6"/>
          <w:sz w:val="24"/>
          <w:szCs w:val="24"/>
          <w:highlight w:val="none"/>
          <w14:textFill>
            <w14:solidFill>
              <w14:schemeClr w14:val="tx1"/>
            </w14:solidFill>
          </w14:textFill>
        </w:rPr>
      </w:pPr>
      <w:bookmarkStart w:id="251" w:name="_Toc246763535"/>
      <w:r>
        <w:rPr>
          <w:rFonts w:hint="default" w:ascii="Times New Roman" w:hAnsi="Times New Roman" w:eastAsia="宋体" w:cs="Times New Roman"/>
          <w:color w:val="000000" w:themeColor="text1"/>
          <w:spacing w:val="6"/>
          <w:sz w:val="24"/>
          <w:szCs w:val="24"/>
          <w:highlight w:val="none"/>
          <w:lang w:val="en-US" w:eastAsia="zh-CN"/>
          <w14:textFill>
            <w14:solidFill>
              <w14:schemeClr w14:val="tx1"/>
            </w14:solidFill>
          </w14:textFill>
        </w:rPr>
        <w:t>本项目位于唐山市曹妃甸区垦丰家居产业园区，本项目所在区域环境空气质量达标判断采用唐山市生态环境局发布的202</w:t>
      </w:r>
      <w:r>
        <w:rPr>
          <w:rFonts w:hint="eastAsia" w:cs="Times New Roman"/>
          <w:color w:val="000000" w:themeColor="text1"/>
          <w:spacing w:val="6"/>
          <w:sz w:val="24"/>
          <w:szCs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pacing w:val="6"/>
          <w:sz w:val="24"/>
          <w:szCs w:val="24"/>
          <w:highlight w:val="none"/>
          <w:lang w:val="en-US" w:eastAsia="zh-CN"/>
          <w14:textFill>
            <w14:solidFill>
              <w14:schemeClr w14:val="tx1"/>
            </w14:solidFill>
          </w14:textFill>
        </w:rPr>
        <w:t>年唐山市环境状况公报；并委托监测单位对项目厂区及厂区上下游地下水环境质量、厂界声环境质量、厂区土壤环境质量进行现状调查及监测。</w:t>
      </w:r>
    </w:p>
    <w:p w14:paraId="18F92CE1">
      <w:pPr>
        <w:pStyle w:val="6"/>
        <w:pageBreakBefore w:val="0"/>
        <w:widowControl w:val="0"/>
        <w:kinsoku/>
        <w:wordWrap/>
        <w:overflowPunct/>
        <w:topLinePunct w:val="0"/>
        <w:autoSpaceDE/>
        <w:autoSpaceDN/>
        <w:bidi w:val="0"/>
        <w:spacing w:before="0" w:beforeLines="0" w:after="0" w:afterLines="0" w:line="480" w:lineRule="exact"/>
        <w:textAlignment w:val="auto"/>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lang w:eastAsia="zh-CN"/>
          <w14:textFill>
            <w14:solidFill>
              <w14:schemeClr w14:val="tx1"/>
            </w14:solidFill>
          </w14:textFill>
        </w:rPr>
        <w:t>4.3</w:t>
      </w:r>
      <w:r>
        <w:rPr>
          <w:rFonts w:hint="default" w:ascii="Times New Roman" w:hAnsi="Times New Roman" w:eastAsia="宋体" w:cs="Times New Roman"/>
          <w:color w:val="000000" w:themeColor="text1"/>
          <w:highlight w:val="none"/>
          <w14:textFill>
            <w14:solidFill>
              <w14:schemeClr w14:val="tx1"/>
            </w14:solidFill>
          </w14:textFill>
        </w:rPr>
        <w:t>.1大气环境质量</w:t>
      </w:r>
    </w:p>
    <w:p w14:paraId="2E0D013E">
      <w:pPr>
        <w:pStyle w:val="8"/>
        <w:pageBreakBefore w:val="0"/>
        <w:widowControl w:val="0"/>
        <w:kinsoku/>
        <w:wordWrap/>
        <w:overflowPunct/>
        <w:topLinePunct w:val="0"/>
        <w:autoSpaceDE/>
        <w:autoSpaceDN/>
        <w:bidi w:val="0"/>
        <w:spacing w:line="480" w:lineRule="exact"/>
        <w:textAlignment w:val="auto"/>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4.3.1.1基本污染物环境空气质量现状监测与评价</w:t>
      </w:r>
    </w:p>
    <w:p w14:paraId="0A957E72">
      <w:pPr>
        <w:bidi w:val="0"/>
        <w:rPr>
          <w:rFonts w:hint="default"/>
          <w:highlight w:val="none"/>
          <w:lang w:eastAsia="zh-CN"/>
        </w:rPr>
      </w:pPr>
      <w:r>
        <w:rPr>
          <w:rFonts w:hint="default"/>
          <w:highlight w:val="none"/>
        </w:rPr>
        <w:t>㈠</w:t>
      </w:r>
      <w:r>
        <w:rPr>
          <w:rFonts w:hint="default"/>
          <w:highlight w:val="none"/>
          <w:lang w:eastAsia="zh-CN"/>
        </w:rPr>
        <w:t>区域达标性判断</w:t>
      </w:r>
    </w:p>
    <w:p w14:paraId="757324DE">
      <w:pPr>
        <w:bidi w:val="0"/>
        <w:rPr>
          <w:rFonts w:hint="default"/>
          <w:highlight w:val="none"/>
        </w:rPr>
      </w:pPr>
      <w:r>
        <w:rPr>
          <w:rFonts w:hint="default"/>
          <w:highlight w:val="none"/>
        </w:rPr>
        <w:t>根据《20</w:t>
      </w:r>
      <w:r>
        <w:rPr>
          <w:rFonts w:hint="default"/>
          <w:highlight w:val="none"/>
          <w:lang w:val="en-US" w:eastAsia="zh-CN"/>
        </w:rPr>
        <w:t>23</w:t>
      </w:r>
      <w:r>
        <w:rPr>
          <w:rFonts w:hint="default"/>
          <w:highlight w:val="none"/>
        </w:rPr>
        <w:t>年唐山市</w:t>
      </w:r>
      <w:r>
        <w:rPr>
          <w:rFonts w:hint="default"/>
          <w:highlight w:val="none"/>
          <w:lang w:val="en-US" w:eastAsia="zh-CN"/>
        </w:rPr>
        <w:t>生态</w:t>
      </w:r>
      <w:r>
        <w:rPr>
          <w:rFonts w:hint="default"/>
          <w:highlight w:val="none"/>
        </w:rPr>
        <w:t>环境状况公报》，2023年全市优良天数249天，优良天数比例为68.2%。重度污染以上天数13天，</w:t>
      </w:r>
      <w:r>
        <w:rPr>
          <w:rFonts w:hint="default"/>
          <w:highlight w:val="none"/>
          <w:lang w:val="en-US" w:eastAsia="zh-CN"/>
        </w:rPr>
        <w:t>占</w:t>
      </w:r>
      <w:r>
        <w:rPr>
          <w:rFonts w:hint="default"/>
          <w:highlight w:val="none"/>
        </w:rPr>
        <w:t>比3.6%。全市空气质量综合指数4.65，排名全国168个重点监测城市倒26名，实现连续两年稳定退后26。</w:t>
      </w:r>
    </w:p>
    <w:p w14:paraId="7989796D">
      <w:pPr>
        <w:bidi w:val="0"/>
        <w:rPr>
          <w:rFonts w:hint="default"/>
          <w:highlight w:val="none"/>
        </w:rPr>
      </w:pPr>
      <w:r>
        <w:rPr>
          <w:rFonts w:hint="default"/>
          <w:highlight w:val="none"/>
          <w:lang w:val="en-US" w:eastAsia="zh-CN"/>
        </w:rPr>
        <w:t>2023年</w:t>
      </w:r>
      <w:r>
        <w:rPr>
          <w:rFonts w:hint="default"/>
          <w:highlight w:val="none"/>
        </w:rPr>
        <w:t>全市细颗粒物（</w:t>
      </w:r>
      <w:r>
        <w:rPr>
          <w:rFonts w:hint="eastAsia"/>
          <w:highlight w:val="none"/>
          <w:lang w:eastAsia="zh-CN"/>
        </w:rPr>
        <w:t>PM</w:t>
      </w:r>
      <w:r>
        <w:rPr>
          <w:rFonts w:hint="eastAsia"/>
          <w:highlight w:val="none"/>
          <w:vertAlign w:val="subscript"/>
          <w:lang w:eastAsia="zh-CN"/>
        </w:rPr>
        <w:t>2.5</w:t>
      </w:r>
      <w:r>
        <w:rPr>
          <w:rFonts w:hint="default"/>
          <w:highlight w:val="none"/>
        </w:rPr>
        <w:t>）年平均浓度为</w:t>
      </w:r>
      <w:r>
        <w:rPr>
          <w:rFonts w:hint="eastAsia"/>
          <w:highlight w:val="none"/>
          <w:lang w:val="en-US" w:eastAsia="zh-CN"/>
        </w:rPr>
        <w:t>4</w:t>
      </w:r>
      <w:r>
        <w:rPr>
          <w:rFonts w:hint="default"/>
          <w:highlight w:val="none"/>
          <w:lang w:val="en-US" w:eastAsia="zh-CN"/>
        </w:rPr>
        <w:t>0</w:t>
      </w:r>
      <w:r>
        <w:rPr>
          <w:rFonts w:hint="default"/>
          <w:highlight w:val="none"/>
        </w:rPr>
        <w:t>微克/立方米，可吸入颗粒物（</w:t>
      </w:r>
      <w:r>
        <w:rPr>
          <w:rFonts w:hint="eastAsia"/>
          <w:highlight w:val="none"/>
          <w:lang w:eastAsia="zh-CN"/>
        </w:rPr>
        <w:t>PM</w:t>
      </w:r>
      <w:r>
        <w:rPr>
          <w:rFonts w:hint="eastAsia"/>
          <w:highlight w:val="none"/>
          <w:vertAlign w:val="subscript"/>
          <w:lang w:eastAsia="zh-CN"/>
        </w:rPr>
        <w:t>10</w:t>
      </w:r>
      <w:r>
        <w:rPr>
          <w:rFonts w:hint="default"/>
          <w:highlight w:val="none"/>
        </w:rPr>
        <w:t>）年平均浓度为</w:t>
      </w:r>
      <w:r>
        <w:rPr>
          <w:rFonts w:hint="default"/>
          <w:highlight w:val="none"/>
          <w:lang w:val="en-US" w:eastAsia="zh-CN"/>
        </w:rPr>
        <w:t>74</w:t>
      </w:r>
      <w:r>
        <w:rPr>
          <w:rFonts w:hint="default"/>
          <w:highlight w:val="none"/>
        </w:rPr>
        <w:t>微克/立方米，二氧化硫（</w:t>
      </w:r>
      <w:r>
        <w:rPr>
          <w:rFonts w:hint="eastAsia"/>
          <w:highlight w:val="none"/>
          <w:lang w:eastAsia="zh-CN"/>
        </w:rPr>
        <w:t>SO</w:t>
      </w:r>
      <w:r>
        <w:rPr>
          <w:rFonts w:hint="eastAsia"/>
          <w:highlight w:val="none"/>
          <w:vertAlign w:val="subscript"/>
          <w:lang w:eastAsia="zh-CN"/>
        </w:rPr>
        <w:t>2</w:t>
      </w:r>
      <w:r>
        <w:rPr>
          <w:rFonts w:hint="default"/>
          <w:highlight w:val="none"/>
        </w:rPr>
        <w:t>）年平均浓度为</w:t>
      </w:r>
      <w:r>
        <w:rPr>
          <w:rFonts w:hint="default"/>
          <w:highlight w:val="none"/>
          <w:lang w:val="en-US" w:eastAsia="zh-CN"/>
        </w:rPr>
        <w:t>7</w:t>
      </w:r>
      <w:r>
        <w:rPr>
          <w:rFonts w:hint="default"/>
          <w:highlight w:val="none"/>
        </w:rPr>
        <w:t>微克/立方米，二氧化氮（</w:t>
      </w:r>
      <w:r>
        <w:rPr>
          <w:rFonts w:hint="eastAsia"/>
          <w:highlight w:val="none"/>
          <w:lang w:eastAsia="zh-CN"/>
        </w:rPr>
        <w:t>NO</w:t>
      </w:r>
      <w:r>
        <w:rPr>
          <w:rFonts w:hint="eastAsia"/>
          <w:highlight w:val="none"/>
          <w:vertAlign w:val="subscript"/>
          <w:lang w:eastAsia="zh-CN"/>
        </w:rPr>
        <w:t>2</w:t>
      </w:r>
      <w:r>
        <w:rPr>
          <w:rFonts w:hint="default"/>
          <w:highlight w:val="none"/>
        </w:rPr>
        <w:t>）年平均浓度为3</w:t>
      </w:r>
      <w:r>
        <w:rPr>
          <w:rFonts w:hint="default"/>
          <w:highlight w:val="none"/>
          <w:lang w:val="en-US" w:eastAsia="zh-CN"/>
        </w:rPr>
        <w:t>3</w:t>
      </w:r>
      <w:r>
        <w:rPr>
          <w:rFonts w:hint="default"/>
          <w:highlight w:val="none"/>
        </w:rPr>
        <w:t>微克/立方米，一氧化碳（CO）日均值第95百分位浓度平均为1.</w:t>
      </w:r>
      <w:r>
        <w:rPr>
          <w:rFonts w:hint="default"/>
          <w:highlight w:val="none"/>
          <w:lang w:val="en-US" w:eastAsia="zh-CN"/>
        </w:rPr>
        <w:t>5</w:t>
      </w:r>
      <w:r>
        <w:rPr>
          <w:rFonts w:hint="default"/>
          <w:highlight w:val="none"/>
        </w:rPr>
        <w:t>毫克/立方米，臭氧（</w:t>
      </w:r>
      <w:r>
        <w:rPr>
          <w:rFonts w:hint="eastAsia"/>
          <w:highlight w:val="none"/>
          <w:lang w:eastAsia="zh-CN"/>
        </w:rPr>
        <w:t>O</w:t>
      </w:r>
      <w:r>
        <w:rPr>
          <w:rFonts w:hint="eastAsia"/>
          <w:highlight w:val="none"/>
          <w:vertAlign w:val="subscript"/>
          <w:lang w:eastAsia="zh-CN"/>
        </w:rPr>
        <w:t>3</w:t>
      </w:r>
      <w:r>
        <w:rPr>
          <w:rFonts w:hint="default"/>
          <w:highlight w:val="none"/>
        </w:rPr>
        <w:t>）日最大8小时平均第90百分位浓度平均为1</w:t>
      </w:r>
      <w:r>
        <w:rPr>
          <w:rFonts w:hint="default"/>
          <w:highlight w:val="none"/>
          <w:lang w:val="en-US" w:eastAsia="zh-CN"/>
        </w:rPr>
        <w:t>81</w:t>
      </w:r>
      <w:r>
        <w:rPr>
          <w:rFonts w:hint="default"/>
          <w:highlight w:val="none"/>
        </w:rPr>
        <w:t>微克/立方米。</w:t>
      </w:r>
    </w:p>
    <w:p w14:paraId="5324DB34">
      <w:pPr>
        <w:keepNext w:val="0"/>
        <w:keepLines w:val="0"/>
        <w:pageBreakBefore w:val="0"/>
        <w:widowControl w:val="0"/>
        <w:numPr>
          <w:ilvl w:val="0"/>
          <w:numId w:val="30"/>
        </w:numPr>
        <w:kinsoku/>
        <w:wordWrap/>
        <w:overflowPunct/>
        <w:topLinePunct w:val="0"/>
        <w:autoSpaceDE w:val="0"/>
        <w:autoSpaceDN w:val="0"/>
        <w:bidi w:val="0"/>
        <w:adjustRightInd w:val="0"/>
        <w:snapToGrid/>
        <w:spacing w:line="500" w:lineRule="exact"/>
        <w:ind w:left="425" w:leftChars="0" w:hanging="425" w:firstLineChars="0"/>
        <w:jc w:val="center"/>
        <w:textAlignment w:val="auto"/>
        <w:rPr>
          <w:rFonts w:hint="default" w:ascii="Times New Roman" w:hAnsi="Times New Roman" w:eastAsia="宋体" w:cs="Times New Roman"/>
          <w:b/>
          <w:bCs w:val="0"/>
          <w:color w:val="000000" w:themeColor="text1"/>
          <w:sz w:val="25"/>
          <w:szCs w:val="25"/>
          <w:highlight w:val="none"/>
          <w:shd w:val="clear" w:color="auto" w:fill="auto"/>
          <w14:textFill>
            <w14:solidFill>
              <w14:schemeClr w14:val="tx1"/>
            </w14:solidFill>
          </w14:textFill>
        </w:rPr>
      </w:pPr>
      <w:r>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t>　2023</w:t>
      </w:r>
      <w:r>
        <w:rPr>
          <w:rFonts w:hint="default" w:ascii="Times New Roman" w:hAnsi="Times New Roman" w:eastAsia="宋体" w:cs="Times New Roman"/>
          <w:b/>
          <w:bCs w:val="0"/>
          <w:color w:val="000000" w:themeColor="text1"/>
          <w:sz w:val="25"/>
          <w:szCs w:val="25"/>
          <w:highlight w:val="none"/>
          <w:shd w:val="clear" w:color="auto" w:fill="auto"/>
          <w14:textFill>
            <w14:solidFill>
              <w14:schemeClr w14:val="tx1"/>
            </w14:solidFill>
          </w14:textFill>
        </w:rPr>
        <w:t>年唐山市环境空气质量年均浓度值情况一览表</w:t>
      </w:r>
    </w:p>
    <w:tbl>
      <w:tblPr>
        <w:tblStyle w:val="47"/>
        <w:tblW w:w="4991"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334"/>
        <w:gridCol w:w="1249"/>
        <w:gridCol w:w="1037"/>
        <w:gridCol w:w="1327"/>
        <w:gridCol w:w="1421"/>
        <w:gridCol w:w="926"/>
        <w:gridCol w:w="1793"/>
      </w:tblGrid>
      <w:tr w14:paraId="29442BE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87" w:hRule="atLeast"/>
          <w:tblHeader/>
          <w:jc w:val="center"/>
        </w:trPr>
        <w:tc>
          <w:tcPr>
            <w:tcW w:w="733" w:type="pct"/>
            <w:tcBorders>
              <w:tl2br w:val="nil"/>
              <w:tr2bl w:val="nil"/>
            </w:tcBorders>
            <w:noWrap w:val="0"/>
            <w:vAlign w:val="center"/>
          </w:tcPr>
          <w:p w14:paraId="0795D84B">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指标</w:t>
            </w:r>
          </w:p>
        </w:tc>
        <w:tc>
          <w:tcPr>
            <w:tcW w:w="687" w:type="pct"/>
            <w:tcBorders>
              <w:tl2br w:val="nil"/>
              <w:tr2bl w:val="nil"/>
            </w:tcBorders>
            <w:noWrap w:val="0"/>
            <w:vAlign w:val="center"/>
          </w:tcPr>
          <w:p w14:paraId="5EF6B9E3">
            <w:pPr>
              <w:pStyle w:val="58"/>
              <w:bidi w:val="0"/>
              <w:rPr>
                <w:rFonts w:hint="default" w:ascii="Times New Roman" w:hAnsi="Times New Roman" w:cs="Times New Roman" w:eastAsiaTheme="minorEastAsia"/>
                <w:sz w:val="21"/>
                <w:szCs w:val="21"/>
                <w:highlight w:val="none"/>
                <w:lang w:eastAsia="zh-CN"/>
              </w:rPr>
            </w:pPr>
            <w:r>
              <w:rPr>
                <w:rFonts w:hint="eastAsia" w:cs="Times New Roman" w:eastAsiaTheme="minorEastAsia"/>
                <w:sz w:val="21"/>
                <w:szCs w:val="21"/>
                <w:highlight w:val="none"/>
                <w:lang w:eastAsia="zh-CN"/>
              </w:rPr>
              <w:t>SO</w:t>
            </w:r>
            <w:r>
              <w:rPr>
                <w:rFonts w:hint="eastAsia" w:cs="Times New Roman" w:eastAsiaTheme="minorEastAsia"/>
                <w:sz w:val="21"/>
                <w:szCs w:val="21"/>
                <w:highlight w:val="none"/>
                <w:vertAlign w:val="subscript"/>
                <w:lang w:eastAsia="zh-CN"/>
              </w:rPr>
              <w:t>2</w:t>
            </w:r>
            <w:r>
              <w:rPr>
                <w:rFonts w:hint="default" w:ascii="Times New Roman" w:hAnsi="Times New Roman" w:cs="Times New Roman" w:eastAsiaTheme="minorEastAsia"/>
                <w:sz w:val="21"/>
                <w:szCs w:val="21"/>
                <w:highlight w:val="none"/>
              </w:rPr>
              <w:t>μg/</w:t>
            </w:r>
            <w:r>
              <w:rPr>
                <w:rFonts w:hint="eastAsia" w:cs="Times New Roman" w:eastAsiaTheme="minorEastAsia"/>
                <w:sz w:val="21"/>
                <w:szCs w:val="21"/>
                <w:highlight w:val="none"/>
                <w:lang w:eastAsia="zh-CN"/>
              </w:rPr>
              <w:t>m</w:t>
            </w:r>
            <w:r>
              <w:rPr>
                <w:rFonts w:hint="eastAsia" w:cs="Times New Roman" w:eastAsiaTheme="minorEastAsia"/>
                <w:sz w:val="21"/>
                <w:szCs w:val="21"/>
                <w:highlight w:val="none"/>
                <w:vertAlign w:val="superscript"/>
                <w:lang w:eastAsia="zh-CN"/>
              </w:rPr>
              <w:t>3</w:t>
            </w:r>
          </w:p>
        </w:tc>
        <w:tc>
          <w:tcPr>
            <w:tcW w:w="570" w:type="pct"/>
            <w:tcBorders>
              <w:tl2br w:val="nil"/>
              <w:tr2bl w:val="nil"/>
            </w:tcBorders>
            <w:noWrap w:val="0"/>
            <w:vAlign w:val="center"/>
          </w:tcPr>
          <w:p w14:paraId="61609EF4">
            <w:pPr>
              <w:pStyle w:val="58"/>
              <w:bidi w:val="0"/>
              <w:rPr>
                <w:rFonts w:hint="default" w:ascii="Times New Roman" w:hAnsi="Times New Roman" w:cs="Times New Roman" w:eastAsiaTheme="minorEastAsia"/>
                <w:sz w:val="21"/>
                <w:szCs w:val="21"/>
                <w:highlight w:val="none"/>
                <w:lang w:eastAsia="zh-CN"/>
              </w:rPr>
            </w:pPr>
            <w:r>
              <w:rPr>
                <w:rFonts w:hint="eastAsia" w:cs="Times New Roman" w:eastAsiaTheme="minorEastAsia"/>
                <w:sz w:val="21"/>
                <w:szCs w:val="21"/>
                <w:highlight w:val="none"/>
                <w:lang w:eastAsia="zh-CN"/>
              </w:rPr>
              <w:t>NO</w:t>
            </w:r>
            <w:r>
              <w:rPr>
                <w:rFonts w:hint="eastAsia" w:cs="Times New Roman" w:eastAsiaTheme="minorEastAsia"/>
                <w:sz w:val="21"/>
                <w:szCs w:val="21"/>
                <w:highlight w:val="none"/>
                <w:vertAlign w:val="subscript"/>
                <w:lang w:eastAsia="zh-CN"/>
              </w:rPr>
              <w:t>2</w:t>
            </w:r>
            <w:r>
              <w:rPr>
                <w:rFonts w:hint="default" w:ascii="Times New Roman" w:hAnsi="Times New Roman" w:cs="Times New Roman" w:eastAsiaTheme="minorEastAsia"/>
                <w:sz w:val="21"/>
                <w:szCs w:val="21"/>
                <w:highlight w:val="none"/>
              </w:rPr>
              <w:t>μg/</w:t>
            </w:r>
            <w:r>
              <w:rPr>
                <w:rFonts w:hint="eastAsia" w:cs="Times New Roman" w:eastAsiaTheme="minorEastAsia"/>
                <w:sz w:val="21"/>
                <w:szCs w:val="21"/>
                <w:highlight w:val="none"/>
                <w:lang w:eastAsia="zh-CN"/>
              </w:rPr>
              <w:t>m</w:t>
            </w:r>
            <w:r>
              <w:rPr>
                <w:rFonts w:hint="eastAsia" w:cs="Times New Roman" w:eastAsiaTheme="minorEastAsia"/>
                <w:sz w:val="21"/>
                <w:szCs w:val="21"/>
                <w:highlight w:val="none"/>
                <w:vertAlign w:val="superscript"/>
                <w:lang w:eastAsia="zh-CN"/>
              </w:rPr>
              <w:t>3</w:t>
            </w:r>
          </w:p>
        </w:tc>
        <w:tc>
          <w:tcPr>
            <w:tcW w:w="730" w:type="pct"/>
            <w:tcBorders>
              <w:tl2br w:val="nil"/>
              <w:tr2bl w:val="nil"/>
            </w:tcBorders>
            <w:noWrap w:val="0"/>
            <w:vAlign w:val="center"/>
          </w:tcPr>
          <w:p w14:paraId="1284D439">
            <w:pPr>
              <w:pStyle w:val="58"/>
              <w:bidi w:val="0"/>
              <w:rPr>
                <w:rFonts w:hint="default" w:ascii="Times New Roman" w:hAnsi="Times New Roman" w:cs="Times New Roman" w:eastAsiaTheme="minorEastAsia"/>
                <w:sz w:val="21"/>
                <w:szCs w:val="21"/>
                <w:highlight w:val="none"/>
                <w:lang w:eastAsia="zh-CN"/>
              </w:rPr>
            </w:pPr>
            <w:r>
              <w:rPr>
                <w:rFonts w:hint="eastAsia" w:cs="Times New Roman" w:eastAsiaTheme="minorEastAsia"/>
                <w:sz w:val="21"/>
                <w:szCs w:val="21"/>
                <w:highlight w:val="none"/>
                <w:lang w:eastAsia="zh-CN"/>
              </w:rPr>
              <w:t>PM</w:t>
            </w:r>
            <w:r>
              <w:rPr>
                <w:rFonts w:hint="eastAsia" w:cs="Times New Roman" w:eastAsiaTheme="minorEastAsia"/>
                <w:sz w:val="21"/>
                <w:szCs w:val="21"/>
                <w:highlight w:val="none"/>
                <w:vertAlign w:val="subscript"/>
                <w:lang w:eastAsia="zh-CN"/>
              </w:rPr>
              <w:t>10</w:t>
            </w:r>
            <w:r>
              <w:rPr>
                <w:rFonts w:hint="default" w:ascii="Times New Roman" w:hAnsi="Times New Roman" w:cs="Times New Roman" w:eastAsiaTheme="minorEastAsia"/>
                <w:sz w:val="21"/>
                <w:szCs w:val="21"/>
                <w:highlight w:val="none"/>
              </w:rPr>
              <w:t>μg/</w:t>
            </w:r>
            <w:r>
              <w:rPr>
                <w:rFonts w:hint="eastAsia" w:cs="Times New Roman" w:eastAsiaTheme="minorEastAsia"/>
                <w:sz w:val="21"/>
                <w:szCs w:val="21"/>
                <w:highlight w:val="none"/>
                <w:lang w:eastAsia="zh-CN"/>
              </w:rPr>
              <w:t>m</w:t>
            </w:r>
            <w:r>
              <w:rPr>
                <w:rFonts w:hint="eastAsia" w:cs="Times New Roman" w:eastAsiaTheme="minorEastAsia"/>
                <w:sz w:val="21"/>
                <w:szCs w:val="21"/>
                <w:highlight w:val="none"/>
                <w:vertAlign w:val="superscript"/>
                <w:lang w:eastAsia="zh-CN"/>
              </w:rPr>
              <w:t>3</w:t>
            </w:r>
          </w:p>
        </w:tc>
        <w:tc>
          <w:tcPr>
            <w:tcW w:w="782" w:type="pct"/>
            <w:tcBorders>
              <w:tl2br w:val="nil"/>
              <w:tr2bl w:val="nil"/>
            </w:tcBorders>
            <w:noWrap w:val="0"/>
            <w:vAlign w:val="center"/>
          </w:tcPr>
          <w:p w14:paraId="0A1CBFD2">
            <w:pPr>
              <w:pStyle w:val="58"/>
              <w:bidi w:val="0"/>
              <w:rPr>
                <w:rFonts w:hint="default" w:ascii="Times New Roman" w:hAnsi="Times New Roman" w:cs="Times New Roman" w:eastAsiaTheme="minorEastAsia"/>
                <w:sz w:val="21"/>
                <w:szCs w:val="21"/>
                <w:highlight w:val="none"/>
                <w:lang w:eastAsia="zh-CN"/>
              </w:rPr>
            </w:pPr>
            <w:r>
              <w:rPr>
                <w:rFonts w:hint="eastAsia" w:cs="Times New Roman" w:eastAsiaTheme="minorEastAsia"/>
                <w:sz w:val="21"/>
                <w:szCs w:val="21"/>
                <w:highlight w:val="none"/>
                <w:lang w:eastAsia="zh-CN"/>
              </w:rPr>
              <w:t>PM</w:t>
            </w:r>
            <w:r>
              <w:rPr>
                <w:rFonts w:hint="eastAsia" w:cs="Times New Roman" w:eastAsiaTheme="minorEastAsia"/>
                <w:sz w:val="21"/>
                <w:szCs w:val="21"/>
                <w:highlight w:val="none"/>
                <w:vertAlign w:val="subscript"/>
                <w:lang w:eastAsia="zh-CN"/>
              </w:rPr>
              <w:t>2.5</w:t>
            </w:r>
            <w:r>
              <w:rPr>
                <w:rFonts w:hint="default" w:ascii="Times New Roman" w:hAnsi="Times New Roman" w:cs="Times New Roman" w:eastAsiaTheme="minorEastAsia"/>
                <w:sz w:val="21"/>
                <w:szCs w:val="21"/>
                <w:highlight w:val="none"/>
              </w:rPr>
              <w:t>μg/</w:t>
            </w:r>
            <w:r>
              <w:rPr>
                <w:rFonts w:hint="eastAsia" w:cs="Times New Roman" w:eastAsiaTheme="minorEastAsia"/>
                <w:sz w:val="21"/>
                <w:szCs w:val="21"/>
                <w:highlight w:val="none"/>
                <w:lang w:eastAsia="zh-CN"/>
              </w:rPr>
              <w:t>m</w:t>
            </w:r>
            <w:r>
              <w:rPr>
                <w:rFonts w:hint="eastAsia" w:cs="Times New Roman" w:eastAsiaTheme="minorEastAsia"/>
                <w:sz w:val="21"/>
                <w:szCs w:val="21"/>
                <w:highlight w:val="none"/>
                <w:vertAlign w:val="superscript"/>
                <w:lang w:eastAsia="zh-CN"/>
              </w:rPr>
              <w:t>3</w:t>
            </w:r>
          </w:p>
        </w:tc>
        <w:tc>
          <w:tcPr>
            <w:tcW w:w="509" w:type="pct"/>
            <w:tcBorders>
              <w:tl2br w:val="nil"/>
              <w:tr2bl w:val="nil"/>
            </w:tcBorders>
            <w:noWrap w:val="0"/>
            <w:vAlign w:val="center"/>
          </w:tcPr>
          <w:p w14:paraId="56EA1D54">
            <w:pPr>
              <w:pStyle w:val="58"/>
              <w:bidi w:val="0"/>
              <w:rPr>
                <w:rFonts w:hint="default" w:ascii="Times New Roman" w:hAnsi="Times New Roman" w:cs="Times New Roman" w:eastAsiaTheme="minorEastAsia"/>
                <w:sz w:val="21"/>
                <w:szCs w:val="21"/>
                <w:highlight w:val="none"/>
                <w:lang w:eastAsia="zh-CN"/>
              </w:rPr>
            </w:pPr>
            <w:r>
              <w:rPr>
                <w:rFonts w:hint="default" w:ascii="Times New Roman" w:hAnsi="Times New Roman" w:cs="Times New Roman" w:eastAsiaTheme="minorEastAsia"/>
                <w:sz w:val="21"/>
                <w:szCs w:val="21"/>
                <w:highlight w:val="none"/>
              </w:rPr>
              <w:t>COμg/</w:t>
            </w:r>
            <w:r>
              <w:rPr>
                <w:rFonts w:hint="eastAsia" w:cs="Times New Roman" w:eastAsiaTheme="minorEastAsia"/>
                <w:sz w:val="21"/>
                <w:szCs w:val="21"/>
                <w:highlight w:val="none"/>
                <w:lang w:eastAsia="zh-CN"/>
              </w:rPr>
              <w:t>m</w:t>
            </w:r>
            <w:r>
              <w:rPr>
                <w:rFonts w:hint="eastAsia" w:cs="Times New Roman" w:eastAsiaTheme="minorEastAsia"/>
                <w:sz w:val="21"/>
                <w:szCs w:val="21"/>
                <w:highlight w:val="none"/>
                <w:vertAlign w:val="superscript"/>
                <w:lang w:eastAsia="zh-CN"/>
              </w:rPr>
              <w:t>3</w:t>
            </w:r>
          </w:p>
        </w:tc>
        <w:tc>
          <w:tcPr>
            <w:tcW w:w="986" w:type="pct"/>
            <w:tcBorders>
              <w:tl2br w:val="nil"/>
              <w:tr2bl w:val="nil"/>
            </w:tcBorders>
            <w:noWrap w:val="0"/>
            <w:vAlign w:val="center"/>
          </w:tcPr>
          <w:p w14:paraId="594371A8">
            <w:pPr>
              <w:pStyle w:val="58"/>
              <w:bidi w:val="0"/>
              <w:rPr>
                <w:rFonts w:hint="default" w:ascii="Times New Roman" w:hAnsi="Times New Roman" w:cs="Times New Roman" w:eastAsiaTheme="minorEastAsia"/>
                <w:sz w:val="21"/>
                <w:szCs w:val="21"/>
                <w:highlight w:val="none"/>
              </w:rPr>
            </w:pPr>
            <w:r>
              <w:rPr>
                <w:rFonts w:hint="eastAsia" w:cs="Times New Roman" w:eastAsiaTheme="minorEastAsia"/>
                <w:sz w:val="21"/>
                <w:szCs w:val="21"/>
                <w:highlight w:val="none"/>
                <w:lang w:eastAsia="zh-CN"/>
              </w:rPr>
              <w:t>O</w:t>
            </w:r>
            <w:r>
              <w:rPr>
                <w:rFonts w:hint="eastAsia" w:cs="Times New Roman" w:eastAsiaTheme="minorEastAsia"/>
                <w:sz w:val="21"/>
                <w:szCs w:val="21"/>
                <w:highlight w:val="none"/>
                <w:vertAlign w:val="subscript"/>
                <w:lang w:eastAsia="zh-CN"/>
              </w:rPr>
              <w:t>3</w:t>
            </w:r>
            <w:r>
              <w:rPr>
                <w:rFonts w:hint="default" w:ascii="Times New Roman" w:hAnsi="Times New Roman" w:cs="Times New Roman" w:eastAsiaTheme="minorEastAsia"/>
                <w:sz w:val="21"/>
                <w:szCs w:val="21"/>
                <w:highlight w:val="none"/>
              </w:rPr>
              <w:t>（μg/</w:t>
            </w:r>
            <w:r>
              <w:rPr>
                <w:rFonts w:hint="eastAsia" w:cs="Times New Roman" w:eastAsiaTheme="minorEastAsia"/>
                <w:sz w:val="21"/>
                <w:szCs w:val="21"/>
                <w:highlight w:val="none"/>
                <w:lang w:eastAsia="zh-CN"/>
              </w:rPr>
              <w:t>m</w:t>
            </w:r>
            <w:r>
              <w:rPr>
                <w:rFonts w:hint="eastAsia" w:cs="Times New Roman" w:eastAsiaTheme="minorEastAsia"/>
                <w:sz w:val="21"/>
                <w:szCs w:val="21"/>
                <w:highlight w:val="none"/>
                <w:vertAlign w:val="superscript"/>
                <w:lang w:eastAsia="zh-CN"/>
              </w:rPr>
              <w:t>3</w:t>
            </w:r>
            <w:r>
              <w:rPr>
                <w:rFonts w:hint="default" w:ascii="Times New Roman" w:hAnsi="Times New Roman" w:cs="Times New Roman" w:eastAsiaTheme="minorEastAsia"/>
                <w:sz w:val="21"/>
                <w:szCs w:val="21"/>
                <w:highlight w:val="none"/>
              </w:rPr>
              <w:t>）（日最大8小时平均）</w:t>
            </w:r>
          </w:p>
        </w:tc>
      </w:tr>
      <w:tr w14:paraId="3BEECFE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44" w:hRule="atLeast"/>
          <w:tblHeader/>
          <w:jc w:val="center"/>
        </w:trPr>
        <w:tc>
          <w:tcPr>
            <w:tcW w:w="733" w:type="pct"/>
            <w:tcBorders>
              <w:tl2br w:val="nil"/>
              <w:tr2bl w:val="nil"/>
            </w:tcBorders>
            <w:noWrap w:val="0"/>
            <w:vAlign w:val="center"/>
          </w:tcPr>
          <w:p w14:paraId="7C59C9EF">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lang w:val="en-US" w:eastAsia="zh-CN"/>
              </w:rPr>
              <w:t>2023</w:t>
            </w:r>
            <w:r>
              <w:rPr>
                <w:rFonts w:hint="default" w:ascii="Times New Roman" w:hAnsi="Times New Roman" w:cs="Times New Roman" w:eastAsiaTheme="minorEastAsia"/>
                <w:sz w:val="21"/>
                <w:szCs w:val="21"/>
                <w:highlight w:val="none"/>
              </w:rPr>
              <w:t>平均值</w:t>
            </w:r>
          </w:p>
        </w:tc>
        <w:tc>
          <w:tcPr>
            <w:tcW w:w="687" w:type="pct"/>
            <w:tcBorders>
              <w:tl2br w:val="nil"/>
              <w:tr2bl w:val="nil"/>
            </w:tcBorders>
            <w:noWrap w:val="0"/>
            <w:vAlign w:val="center"/>
          </w:tcPr>
          <w:p w14:paraId="4596588B">
            <w:pPr>
              <w:pStyle w:val="58"/>
              <w:bidi w:val="0"/>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lang w:val="en-US" w:eastAsia="zh-CN"/>
              </w:rPr>
              <w:t>7</w:t>
            </w:r>
          </w:p>
        </w:tc>
        <w:tc>
          <w:tcPr>
            <w:tcW w:w="570" w:type="pct"/>
            <w:tcBorders>
              <w:tl2br w:val="nil"/>
              <w:tr2bl w:val="nil"/>
            </w:tcBorders>
            <w:noWrap w:val="0"/>
            <w:vAlign w:val="center"/>
          </w:tcPr>
          <w:p w14:paraId="34697221">
            <w:pPr>
              <w:pStyle w:val="58"/>
              <w:bidi w:val="0"/>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lang w:val="en-US" w:eastAsia="zh-CN"/>
              </w:rPr>
              <w:t>33</w:t>
            </w:r>
          </w:p>
        </w:tc>
        <w:tc>
          <w:tcPr>
            <w:tcW w:w="730" w:type="pct"/>
            <w:tcBorders>
              <w:tl2br w:val="nil"/>
              <w:tr2bl w:val="nil"/>
            </w:tcBorders>
            <w:noWrap w:val="0"/>
            <w:vAlign w:val="center"/>
          </w:tcPr>
          <w:p w14:paraId="2753FEFF">
            <w:pPr>
              <w:pStyle w:val="58"/>
              <w:bidi w:val="0"/>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lang w:val="en-US" w:eastAsia="zh-CN"/>
              </w:rPr>
              <w:t>74</w:t>
            </w:r>
          </w:p>
        </w:tc>
        <w:tc>
          <w:tcPr>
            <w:tcW w:w="782" w:type="pct"/>
            <w:tcBorders>
              <w:tl2br w:val="nil"/>
              <w:tr2bl w:val="nil"/>
            </w:tcBorders>
            <w:noWrap w:val="0"/>
            <w:vAlign w:val="center"/>
          </w:tcPr>
          <w:p w14:paraId="263E20EA">
            <w:pPr>
              <w:pStyle w:val="58"/>
              <w:bidi w:val="0"/>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lang w:val="en-US" w:eastAsia="zh-CN"/>
              </w:rPr>
              <w:t>40</w:t>
            </w:r>
          </w:p>
        </w:tc>
        <w:tc>
          <w:tcPr>
            <w:tcW w:w="509" w:type="pct"/>
            <w:tcBorders>
              <w:tl2br w:val="nil"/>
              <w:tr2bl w:val="nil"/>
            </w:tcBorders>
            <w:noWrap w:val="0"/>
            <w:vAlign w:val="center"/>
          </w:tcPr>
          <w:p w14:paraId="0F3D61AE">
            <w:pPr>
              <w:pStyle w:val="58"/>
              <w:bidi w:val="0"/>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lang w:val="en-US" w:eastAsia="zh-CN"/>
              </w:rPr>
              <w:t>1500</w:t>
            </w:r>
          </w:p>
        </w:tc>
        <w:tc>
          <w:tcPr>
            <w:tcW w:w="986" w:type="pct"/>
            <w:tcBorders>
              <w:tl2br w:val="nil"/>
              <w:tr2bl w:val="nil"/>
            </w:tcBorders>
            <w:noWrap w:val="0"/>
            <w:vAlign w:val="center"/>
          </w:tcPr>
          <w:p w14:paraId="4D570CF4">
            <w:pPr>
              <w:pStyle w:val="58"/>
              <w:bidi w:val="0"/>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lang w:val="en-US" w:eastAsia="zh-CN"/>
              </w:rPr>
              <w:t>181</w:t>
            </w:r>
          </w:p>
        </w:tc>
      </w:tr>
      <w:tr w14:paraId="3D0D74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44" w:hRule="atLeast"/>
          <w:tblHeader/>
          <w:jc w:val="center"/>
        </w:trPr>
        <w:tc>
          <w:tcPr>
            <w:tcW w:w="733" w:type="pct"/>
            <w:tcBorders>
              <w:tl2br w:val="nil"/>
              <w:tr2bl w:val="nil"/>
            </w:tcBorders>
            <w:noWrap w:val="0"/>
            <w:vAlign w:val="center"/>
          </w:tcPr>
          <w:p w14:paraId="02E09C87">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年均值标准</w:t>
            </w:r>
          </w:p>
        </w:tc>
        <w:tc>
          <w:tcPr>
            <w:tcW w:w="687" w:type="pct"/>
            <w:tcBorders>
              <w:tl2br w:val="nil"/>
              <w:tr2bl w:val="nil"/>
            </w:tcBorders>
            <w:noWrap w:val="0"/>
            <w:vAlign w:val="center"/>
          </w:tcPr>
          <w:p w14:paraId="263D3BB6">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60</w:t>
            </w:r>
          </w:p>
        </w:tc>
        <w:tc>
          <w:tcPr>
            <w:tcW w:w="570" w:type="pct"/>
            <w:tcBorders>
              <w:tl2br w:val="nil"/>
              <w:tr2bl w:val="nil"/>
            </w:tcBorders>
            <w:noWrap w:val="0"/>
            <w:vAlign w:val="center"/>
          </w:tcPr>
          <w:p w14:paraId="44D294B1">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40</w:t>
            </w:r>
          </w:p>
        </w:tc>
        <w:tc>
          <w:tcPr>
            <w:tcW w:w="730" w:type="pct"/>
            <w:tcBorders>
              <w:tl2br w:val="nil"/>
              <w:tr2bl w:val="nil"/>
            </w:tcBorders>
            <w:noWrap w:val="0"/>
            <w:vAlign w:val="center"/>
          </w:tcPr>
          <w:p w14:paraId="67280128">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70</w:t>
            </w:r>
          </w:p>
        </w:tc>
        <w:tc>
          <w:tcPr>
            <w:tcW w:w="782" w:type="pct"/>
            <w:tcBorders>
              <w:tl2br w:val="nil"/>
              <w:tr2bl w:val="nil"/>
            </w:tcBorders>
            <w:noWrap w:val="0"/>
            <w:vAlign w:val="center"/>
          </w:tcPr>
          <w:p w14:paraId="3F398C5F">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35</w:t>
            </w:r>
          </w:p>
        </w:tc>
        <w:tc>
          <w:tcPr>
            <w:tcW w:w="509" w:type="pct"/>
            <w:tcBorders>
              <w:tl2br w:val="nil"/>
              <w:tr2bl w:val="nil"/>
            </w:tcBorders>
            <w:noWrap w:val="0"/>
            <w:vAlign w:val="center"/>
          </w:tcPr>
          <w:p w14:paraId="66C2D10C">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w:t>
            </w:r>
          </w:p>
        </w:tc>
        <w:tc>
          <w:tcPr>
            <w:tcW w:w="986" w:type="pct"/>
            <w:tcBorders>
              <w:tl2br w:val="nil"/>
              <w:tr2bl w:val="nil"/>
            </w:tcBorders>
            <w:noWrap w:val="0"/>
            <w:vAlign w:val="center"/>
          </w:tcPr>
          <w:p w14:paraId="75A32140">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w:t>
            </w:r>
          </w:p>
        </w:tc>
      </w:tr>
      <w:tr w14:paraId="78832C5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44" w:hRule="atLeast"/>
          <w:tblHeader/>
          <w:jc w:val="center"/>
        </w:trPr>
        <w:tc>
          <w:tcPr>
            <w:tcW w:w="733" w:type="pct"/>
            <w:tcBorders>
              <w:tl2br w:val="nil"/>
              <w:tr2bl w:val="nil"/>
            </w:tcBorders>
            <w:noWrap w:val="0"/>
            <w:vAlign w:val="center"/>
          </w:tcPr>
          <w:p w14:paraId="6B6A2B4E">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达标情况</w:t>
            </w:r>
          </w:p>
        </w:tc>
        <w:tc>
          <w:tcPr>
            <w:tcW w:w="687" w:type="pct"/>
            <w:tcBorders>
              <w:tl2br w:val="nil"/>
              <w:tr2bl w:val="nil"/>
            </w:tcBorders>
            <w:noWrap w:val="0"/>
            <w:vAlign w:val="center"/>
          </w:tcPr>
          <w:p w14:paraId="5DCC617B">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达标</w:t>
            </w:r>
          </w:p>
        </w:tc>
        <w:tc>
          <w:tcPr>
            <w:tcW w:w="570" w:type="pct"/>
            <w:tcBorders>
              <w:tl2br w:val="nil"/>
              <w:tr2bl w:val="nil"/>
            </w:tcBorders>
            <w:noWrap w:val="0"/>
            <w:vAlign w:val="center"/>
          </w:tcPr>
          <w:p w14:paraId="0F59EA1C">
            <w:pPr>
              <w:pStyle w:val="58"/>
              <w:bidi w:val="0"/>
              <w:rPr>
                <w:rFonts w:hint="default" w:ascii="Times New Roman" w:hAnsi="Times New Roman" w:cs="Times New Roman" w:eastAsiaTheme="minorEastAsia"/>
                <w:sz w:val="21"/>
                <w:szCs w:val="21"/>
                <w:highlight w:val="none"/>
                <w:lang w:eastAsia="zh-CN"/>
              </w:rPr>
            </w:pPr>
            <w:r>
              <w:rPr>
                <w:rFonts w:hint="default" w:ascii="Times New Roman" w:hAnsi="Times New Roman" w:cs="Times New Roman" w:eastAsiaTheme="minorEastAsia"/>
                <w:sz w:val="21"/>
                <w:szCs w:val="21"/>
                <w:highlight w:val="none"/>
                <w:lang w:val="en-US" w:eastAsia="zh-CN"/>
              </w:rPr>
              <w:t>达标</w:t>
            </w:r>
          </w:p>
        </w:tc>
        <w:tc>
          <w:tcPr>
            <w:tcW w:w="730" w:type="pct"/>
            <w:tcBorders>
              <w:tl2br w:val="nil"/>
              <w:tr2bl w:val="nil"/>
            </w:tcBorders>
            <w:noWrap w:val="0"/>
            <w:vAlign w:val="center"/>
          </w:tcPr>
          <w:p w14:paraId="0434C74D">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lang w:val="en-US" w:eastAsia="zh-CN"/>
              </w:rPr>
              <w:t>超标</w:t>
            </w:r>
          </w:p>
        </w:tc>
        <w:tc>
          <w:tcPr>
            <w:tcW w:w="782" w:type="pct"/>
            <w:tcBorders>
              <w:tl2br w:val="nil"/>
              <w:tr2bl w:val="nil"/>
            </w:tcBorders>
            <w:noWrap w:val="0"/>
            <w:vAlign w:val="center"/>
          </w:tcPr>
          <w:p w14:paraId="72DAAF22">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lang w:eastAsia="zh-CN"/>
              </w:rPr>
              <w:t>超标</w:t>
            </w:r>
          </w:p>
        </w:tc>
        <w:tc>
          <w:tcPr>
            <w:tcW w:w="509" w:type="pct"/>
            <w:tcBorders>
              <w:tl2br w:val="nil"/>
              <w:tr2bl w:val="nil"/>
            </w:tcBorders>
            <w:noWrap w:val="0"/>
            <w:vAlign w:val="center"/>
          </w:tcPr>
          <w:p w14:paraId="05BA5563">
            <w:pPr>
              <w:pStyle w:val="58"/>
              <w:bidi w:val="0"/>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rPr>
              <w:t>—</w:t>
            </w:r>
          </w:p>
        </w:tc>
        <w:tc>
          <w:tcPr>
            <w:tcW w:w="986" w:type="pct"/>
            <w:tcBorders>
              <w:tl2br w:val="nil"/>
              <w:tr2bl w:val="nil"/>
            </w:tcBorders>
            <w:noWrap w:val="0"/>
            <w:vAlign w:val="center"/>
          </w:tcPr>
          <w:p w14:paraId="621CB469">
            <w:pPr>
              <w:pStyle w:val="58"/>
              <w:bidi w:val="0"/>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rPr>
              <w:t>—</w:t>
            </w:r>
          </w:p>
        </w:tc>
      </w:tr>
      <w:tr w14:paraId="5558B5F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44" w:hRule="atLeast"/>
          <w:tblHeader/>
          <w:jc w:val="center"/>
        </w:trPr>
        <w:tc>
          <w:tcPr>
            <w:tcW w:w="733" w:type="pct"/>
            <w:tcBorders>
              <w:tl2br w:val="nil"/>
              <w:tr2bl w:val="nil"/>
            </w:tcBorders>
            <w:noWrap w:val="0"/>
            <w:vAlign w:val="center"/>
          </w:tcPr>
          <w:p w14:paraId="3F259FAF">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超标百分数</w:t>
            </w:r>
          </w:p>
        </w:tc>
        <w:tc>
          <w:tcPr>
            <w:tcW w:w="687" w:type="pct"/>
            <w:tcBorders>
              <w:tl2br w:val="nil"/>
              <w:tr2bl w:val="nil"/>
            </w:tcBorders>
            <w:noWrap w:val="0"/>
            <w:vAlign w:val="center"/>
          </w:tcPr>
          <w:p w14:paraId="21B7B148">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w:t>
            </w:r>
          </w:p>
        </w:tc>
        <w:tc>
          <w:tcPr>
            <w:tcW w:w="570" w:type="pct"/>
            <w:tcBorders>
              <w:tl2br w:val="nil"/>
              <w:tr2bl w:val="nil"/>
            </w:tcBorders>
            <w:noWrap w:val="0"/>
            <w:vAlign w:val="center"/>
          </w:tcPr>
          <w:p w14:paraId="7E51AE1B">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w:t>
            </w:r>
          </w:p>
        </w:tc>
        <w:tc>
          <w:tcPr>
            <w:tcW w:w="730" w:type="pct"/>
            <w:tcBorders>
              <w:tl2br w:val="nil"/>
              <w:tr2bl w:val="nil"/>
            </w:tcBorders>
            <w:noWrap w:val="0"/>
            <w:vAlign w:val="center"/>
          </w:tcPr>
          <w:p w14:paraId="0F5B039A">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w:t>
            </w:r>
          </w:p>
        </w:tc>
        <w:tc>
          <w:tcPr>
            <w:tcW w:w="782" w:type="pct"/>
            <w:tcBorders>
              <w:tl2br w:val="nil"/>
              <w:tr2bl w:val="nil"/>
            </w:tcBorders>
            <w:noWrap w:val="0"/>
            <w:vAlign w:val="center"/>
          </w:tcPr>
          <w:p w14:paraId="272BADFA">
            <w:pPr>
              <w:pStyle w:val="58"/>
              <w:bidi w:val="0"/>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lang w:val="en-US" w:eastAsia="zh-CN"/>
              </w:rPr>
              <w:t>14.2%</w:t>
            </w:r>
          </w:p>
        </w:tc>
        <w:tc>
          <w:tcPr>
            <w:tcW w:w="509" w:type="pct"/>
            <w:tcBorders>
              <w:tl2br w:val="nil"/>
              <w:tr2bl w:val="nil"/>
            </w:tcBorders>
            <w:noWrap w:val="0"/>
            <w:vAlign w:val="center"/>
          </w:tcPr>
          <w:p w14:paraId="594F58EA">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w:t>
            </w:r>
          </w:p>
        </w:tc>
        <w:tc>
          <w:tcPr>
            <w:tcW w:w="986" w:type="pct"/>
            <w:tcBorders>
              <w:tl2br w:val="nil"/>
              <w:tr2bl w:val="nil"/>
            </w:tcBorders>
            <w:noWrap w:val="0"/>
            <w:vAlign w:val="center"/>
          </w:tcPr>
          <w:p w14:paraId="59D212F7">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w:t>
            </w:r>
          </w:p>
        </w:tc>
      </w:tr>
      <w:tr w14:paraId="7D43E3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44" w:hRule="atLeast"/>
          <w:tblHeader/>
          <w:jc w:val="center"/>
        </w:trPr>
        <w:tc>
          <w:tcPr>
            <w:tcW w:w="733" w:type="pct"/>
            <w:tcBorders>
              <w:tl2br w:val="nil"/>
              <w:tr2bl w:val="nil"/>
            </w:tcBorders>
            <w:noWrap w:val="0"/>
            <w:vAlign w:val="center"/>
          </w:tcPr>
          <w:p w14:paraId="148135AB">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日均值标准</w:t>
            </w:r>
          </w:p>
        </w:tc>
        <w:tc>
          <w:tcPr>
            <w:tcW w:w="687" w:type="pct"/>
            <w:tcBorders>
              <w:tl2br w:val="nil"/>
              <w:tr2bl w:val="nil"/>
            </w:tcBorders>
            <w:noWrap w:val="0"/>
            <w:vAlign w:val="center"/>
          </w:tcPr>
          <w:p w14:paraId="5FD2B619">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150</w:t>
            </w:r>
          </w:p>
        </w:tc>
        <w:tc>
          <w:tcPr>
            <w:tcW w:w="570" w:type="pct"/>
            <w:tcBorders>
              <w:tl2br w:val="nil"/>
              <w:tr2bl w:val="nil"/>
            </w:tcBorders>
            <w:noWrap w:val="0"/>
            <w:vAlign w:val="center"/>
          </w:tcPr>
          <w:p w14:paraId="14101776">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80</w:t>
            </w:r>
          </w:p>
        </w:tc>
        <w:tc>
          <w:tcPr>
            <w:tcW w:w="730" w:type="pct"/>
            <w:tcBorders>
              <w:tl2br w:val="nil"/>
              <w:tr2bl w:val="nil"/>
            </w:tcBorders>
            <w:noWrap w:val="0"/>
            <w:vAlign w:val="center"/>
          </w:tcPr>
          <w:p w14:paraId="7A69648D">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150</w:t>
            </w:r>
          </w:p>
        </w:tc>
        <w:tc>
          <w:tcPr>
            <w:tcW w:w="782" w:type="pct"/>
            <w:tcBorders>
              <w:tl2br w:val="nil"/>
              <w:tr2bl w:val="nil"/>
            </w:tcBorders>
            <w:noWrap w:val="0"/>
            <w:vAlign w:val="center"/>
          </w:tcPr>
          <w:p w14:paraId="004B7985">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75</w:t>
            </w:r>
          </w:p>
        </w:tc>
        <w:tc>
          <w:tcPr>
            <w:tcW w:w="509" w:type="pct"/>
            <w:tcBorders>
              <w:tl2br w:val="nil"/>
              <w:tr2bl w:val="nil"/>
            </w:tcBorders>
            <w:noWrap w:val="0"/>
            <w:vAlign w:val="center"/>
          </w:tcPr>
          <w:p w14:paraId="3C7CF95E">
            <w:pPr>
              <w:pStyle w:val="58"/>
              <w:bidi w:val="0"/>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rPr>
              <w:t>4</w:t>
            </w:r>
            <w:r>
              <w:rPr>
                <w:rFonts w:hint="default" w:ascii="Times New Roman" w:hAnsi="Times New Roman" w:cs="Times New Roman" w:eastAsiaTheme="minorEastAsia"/>
                <w:sz w:val="21"/>
                <w:szCs w:val="21"/>
                <w:highlight w:val="none"/>
                <w:lang w:val="en-US" w:eastAsia="zh-CN"/>
              </w:rPr>
              <w:t>000</w:t>
            </w:r>
          </w:p>
        </w:tc>
        <w:tc>
          <w:tcPr>
            <w:tcW w:w="986" w:type="pct"/>
            <w:tcBorders>
              <w:tl2br w:val="nil"/>
              <w:tr2bl w:val="nil"/>
            </w:tcBorders>
            <w:noWrap w:val="0"/>
            <w:vAlign w:val="center"/>
          </w:tcPr>
          <w:p w14:paraId="73DA079F">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160</w:t>
            </w:r>
          </w:p>
        </w:tc>
      </w:tr>
      <w:tr w14:paraId="15D363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44" w:hRule="atLeast"/>
          <w:tblHeader/>
          <w:jc w:val="center"/>
        </w:trPr>
        <w:tc>
          <w:tcPr>
            <w:tcW w:w="733" w:type="pct"/>
            <w:tcBorders>
              <w:tl2br w:val="nil"/>
              <w:tr2bl w:val="nil"/>
            </w:tcBorders>
            <w:noWrap w:val="0"/>
            <w:vAlign w:val="center"/>
          </w:tcPr>
          <w:p w14:paraId="77DD1FFC">
            <w:pPr>
              <w:pStyle w:val="58"/>
              <w:bidi w:val="0"/>
              <w:rPr>
                <w:rFonts w:hint="default" w:ascii="Times New Roman" w:hAnsi="Times New Roman" w:cs="Times New Roman" w:eastAsiaTheme="minorEastAsia"/>
                <w:sz w:val="21"/>
                <w:szCs w:val="21"/>
                <w:highlight w:val="none"/>
                <w:lang w:eastAsia="zh-CN"/>
              </w:rPr>
            </w:pPr>
            <w:r>
              <w:rPr>
                <w:rFonts w:hint="default" w:ascii="Times New Roman" w:hAnsi="Times New Roman" w:cs="Times New Roman" w:eastAsiaTheme="minorEastAsia"/>
                <w:sz w:val="21"/>
                <w:szCs w:val="21"/>
                <w:highlight w:val="none"/>
                <w:lang w:eastAsia="zh-CN"/>
              </w:rPr>
              <w:t>达标情况</w:t>
            </w:r>
          </w:p>
        </w:tc>
        <w:tc>
          <w:tcPr>
            <w:tcW w:w="687" w:type="pct"/>
            <w:tcBorders>
              <w:tl2br w:val="nil"/>
              <w:tr2bl w:val="nil"/>
            </w:tcBorders>
            <w:noWrap w:val="0"/>
            <w:vAlign w:val="center"/>
          </w:tcPr>
          <w:p w14:paraId="67666562">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w:t>
            </w:r>
          </w:p>
        </w:tc>
        <w:tc>
          <w:tcPr>
            <w:tcW w:w="570" w:type="pct"/>
            <w:tcBorders>
              <w:tl2br w:val="nil"/>
              <w:tr2bl w:val="nil"/>
            </w:tcBorders>
            <w:noWrap w:val="0"/>
            <w:vAlign w:val="center"/>
          </w:tcPr>
          <w:p w14:paraId="7A83978E">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w:t>
            </w:r>
          </w:p>
        </w:tc>
        <w:tc>
          <w:tcPr>
            <w:tcW w:w="730" w:type="pct"/>
            <w:tcBorders>
              <w:tl2br w:val="nil"/>
              <w:tr2bl w:val="nil"/>
            </w:tcBorders>
            <w:noWrap w:val="0"/>
            <w:vAlign w:val="center"/>
          </w:tcPr>
          <w:p w14:paraId="155CD18C">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w:t>
            </w:r>
          </w:p>
        </w:tc>
        <w:tc>
          <w:tcPr>
            <w:tcW w:w="782" w:type="pct"/>
            <w:tcBorders>
              <w:tl2br w:val="nil"/>
              <w:tr2bl w:val="nil"/>
            </w:tcBorders>
            <w:noWrap w:val="0"/>
            <w:vAlign w:val="center"/>
          </w:tcPr>
          <w:p w14:paraId="11AB9A2C">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w:t>
            </w:r>
          </w:p>
        </w:tc>
        <w:tc>
          <w:tcPr>
            <w:tcW w:w="509" w:type="pct"/>
            <w:tcBorders>
              <w:tl2br w:val="nil"/>
              <w:tr2bl w:val="nil"/>
            </w:tcBorders>
            <w:noWrap w:val="0"/>
            <w:vAlign w:val="center"/>
          </w:tcPr>
          <w:p w14:paraId="64B69153">
            <w:pPr>
              <w:pStyle w:val="58"/>
              <w:bidi w:val="0"/>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lang w:eastAsia="zh-CN"/>
              </w:rPr>
              <w:t>达标</w:t>
            </w:r>
          </w:p>
        </w:tc>
        <w:tc>
          <w:tcPr>
            <w:tcW w:w="986" w:type="pct"/>
            <w:tcBorders>
              <w:tl2br w:val="nil"/>
              <w:tr2bl w:val="nil"/>
            </w:tcBorders>
            <w:noWrap w:val="0"/>
            <w:vAlign w:val="center"/>
          </w:tcPr>
          <w:p w14:paraId="7F205241">
            <w:pPr>
              <w:pStyle w:val="58"/>
              <w:bidi w:val="0"/>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lang w:eastAsia="zh-CN"/>
              </w:rPr>
              <w:t>超标</w:t>
            </w:r>
          </w:p>
        </w:tc>
      </w:tr>
      <w:tr w14:paraId="4B6B2D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77" w:hRule="atLeast"/>
          <w:tblHeader/>
          <w:jc w:val="center"/>
        </w:trPr>
        <w:tc>
          <w:tcPr>
            <w:tcW w:w="733" w:type="pct"/>
            <w:tcBorders>
              <w:tl2br w:val="nil"/>
              <w:tr2bl w:val="nil"/>
            </w:tcBorders>
            <w:noWrap w:val="0"/>
            <w:vAlign w:val="center"/>
          </w:tcPr>
          <w:p w14:paraId="55F278BE">
            <w:pPr>
              <w:pStyle w:val="58"/>
              <w:bidi w:val="0"/>
              <w:rPr>
                <w:rFonts w:hint="default" w:ascii="Times New Roman" w:hAnsi="Times New Roman" w:cs="Times New Roman" w:eastAsiaTheme="minorEastAsia"/>
                <w:sz w:val="21"/>
                <w:szCs w:val="21"/>
                <w:highlight w:val="none"/>
                <w:lang w:eastAsia="zh-CN"/>
              </w:rPr>
            </w:pPr>
            <w:r>
              <w:rPr>
                <w:rFonts w:hint="default" w:ascii="Times New Roman" w:hAnsi="Times New Roman" w:cs="Times New Roman" w:eastAsiaTheme="minorEastAsia"/>
                <w:sz w:val="21"/>
                <w:szCs w:val="21"/>
                <w:highlight w:val="none"/>
                <w:lang w:eastAsia="zh-CN"/>
              </w:rPr>
              <w:t>超标百分数</w:t>
            </w:r>
          </w:p>
        </w:tc>
        <w:tc>
          <w:tcPr>
            <w:tcW w:w="687" w:type="pct"/>
            <w:tcBorders>
              <w:tl2br w:val="nil"/>
              <w:tr2bl w:val="nil"/>
            </w:tcBorders>
            <w:noWrap w:val="0"/>
            <w:vAlign w:val="center"/>
          </w:tcPr>
          <w:p w14:paraId="62706176">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w:t>
            </w:r>
          </w:p>
        </w:tc>
        <w:tc>
          <w:tcPr>
            <w:tcW w:w="570" w:type="pct"/>
            <w:tcBorders>
              <w:tl2br w:val="nil"/>
              <w:tr2bl w:val="nil"/>
            </w:tcBorders>
            <w:noWrap w:val="0"/>
            <w:vAlign w:val="center"/>
          </w:tcPr>
          <w:p w14:paraId="5B16C1C4">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w:t>
            </w:r>
          </w:p>
        </w:tc>
        <w:tc>
          <w:tcPr>
            <w:tcW w:w="730" w:type="pct"/>
            <w:tcBorders>
              <w:tl2br w:val="nil"/>
              <w:tr2bl w:val="nil"/>
            </w:tcBorders>
            <w:noWrap w:val="0"/>
            <w:vAlign w:val="center"/>
          </w:tcPr>
          <w:p w14:paraId="507F8043">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w:t>
            </w:r>
          </w:p>
        </w:tc>
        <w:tc>
          <w:tcPr>
            <w:tcW w:w="782" w:type="pct"/>
            <w:tcBorders>
              <w:tl2br w:val="nil"/>
              <w:tr2bl w:val="nil"/>
            </w:tcBorders>
            <w:noWrap w:val="0"/>
            <w:vAlign w:val="center"/>
          </w:tcPr>
          <w:p w14:paraId="3ED733D3">
            <w:pPr>
              <w:pStyle w:val="58"/>
              <w:bidi w:val="0"/>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w:t>
            </w:r>
          </w:p>
        </w:tc>
        <w:tc>
          <w:tcPr>
            <w:tcW w:w="509" w:type="pct"/>
            <w:tcBorders>
              <w:tl2br w:val="nil"/>
              <w:tr2bl w:val="nil"/>
            </w:tcBorders>
            <w:noWrap w:val="0"/>
            <w:vAlign w:val="center"/>
          </w:tcPr>
          <w:p w14:paraId="48EEBCC1">
            <w:pPr>
              <w:pStyle w:val="58"/>
              <w:bidi w:val="0"/>
              <w:rPr>
                <w:rFonts w:hint="default" w:ascii="Times New Roman" w:hAnsi="Times New Roman" w:cs="Times New Roman" w:eastAsiaTheme="minorEastAsia"/>
                <w:sz w:val="21"/>
                <w:szCs w:val="21"/>
                <w:highlight w:val="none"/>
                <w:lang w:eastAsia="zh-CN"/>
              </w:rPr>
            </w:pPr>
            <w:r>
              <w:rPr>
                <w:rFonts w:hint="default" w:ascii="Times New Roman" w:hAnsi="Times New Roman" w:cs="Times New Roman" w:eastAsiaTheme="minorEastAsia"/>
                <w:sz w:val="21"/>
                <w:szCs w:val="21"/>
                <w:highlight w:val="none"/>
              </w:rPr>
              <w:t>—</w:t>
            </w:r>
          </w:p>
        </w:tc>
        <w:tc>
          <w:tcPr>
            <w:tcW w:w="986" w:type="pct"/>
            <w:tcBorders>
              <w:tl2br w:val="nil"/>
              <w:tr2bl w:val="nil"/>
            </w:tcBorders>
            <w:noWrap w:val="0"/>
            <w:vAlign w:val="center"/>
          </w:tcPr>
          <w:p w14:paraId="5C2EA97C">
            <w:pPr>
              <w:pStyle w:val="58"/>
              <w:bidi w:val="0"/>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lang w:val="en-US" w:eastAsia="zh-CN"/>
              </w:rPr>
              <w:t>13.1%</w:t>
            </w:r>
          </w:p>
        </w:tc>
      </w:tr>
    </w:tbl>
    <w:p w14:paraId="094D5826">
      <w:pPr>
        <w:bidi w:val="0"/>
        <w:rPr>
          <w:rFonts w:hint="default"/>
          <w:highlight w:val="none"/>
        </w:rPr>
      </w:pPr>
      <w:r>
        <w:rPr>
          <w:rFonts w:hint="default"/>
          <w:highlight w:val="none"/>
        </w:rPr>
        <w:t>由上表可知，项目所在区域一氧化碳年均浓度值、二氧化氮、二氧化硫年均浓度值满足空气质量标准要求；</w:t>
      </w:r>
      <w:r>
        <w:rPr>
          <w:rFonts w:hint="eastAsia"/>
          <w:highlight w:val="none"/>
          <w:lang w:eastAsia="zh-CN"/>
        </w:rPr>
        <w:t>PM</w:t>
      </w:r>
      <w:r>
        <w:rPr>
          <w:rFonts w:hint="eastAsia"/>
          <w:highlight w:val="none"/>
          <w:vertAlign w:val="subscript"/>
          <w:lang w:eastAsia="zh-CN"/>
        </w:rPr>
        <w:t>10</w:t>
      </w:r>
      <w:r>
        <w:rPr>
          <w:rFonts w:hint="default"/>
          <w:highlight w:val="none"/>
        </w:rPr>
        <w:t>、</w:t>
      </w:r>
      <w:r>
        <w:rPr>
          <w:rFonts w:hint="eastAsia"/>
          <w:highlight w:val="none"/>
          <w:lang w:eastAsia="zh-CN"/>
        </w:rPr>
        <w:t>PM</w:t>
      </w:r>
      <w:r>
        <w:rPr>
          <w:rFonts w:hint="eastAsia"/>
          <w:highlight w:val="none"/>
          <w:vertAlign w:val="subscript"/>
          <w:lang w:eastAsia="zh-CN"/>
        </w:rPr>
        <w:t>2.5</w:t>
      </w:r>
      <w:r>
        <w:rPr>
          <w:rFonts w:hint="default"/>
          <w:highlight w:val="none"/>
        </w:rPr>
        <w:t>年</w:t>
      </w:r>
      <w:r>
        <w:rPr>
          <w:rFonts w:hint="default"/>
          <w:highlight w:val="none"/>
          <w:lang w:eastAsia="zh-CN"/>
        </w:rPr>
        <w:t>均</w:t>
      </w:r>
      <w:r>
        <w:rPr>
          <w:rFonts w:hint="default"/>
          <w:highlight w:val="none"/>
        </w:rPr>
        <w:t>浓度、臭氧日最大8小时</w:t>
      </w:r>
      <w:r>
        <w:rPr>
          <w:rFonts w:hint="default"/>
          <w:highlight w:val="none"/>
          <w:lang w:eastAsia="zh-CN"/>
        </w:rPr>
        <w:t>平均</w:t>
      </w:r>
      <w:r>
        <w:rPr>
          <w:rFonts w:hint="default"/>
          <w:highlight w:val="none"/>
        </w:rPr>
        <w:t>浓度值超过环境质量标准要求，即项目所在区域为不达标区。</w:t>
      </w:r>
    </w:p>
    <w:p w14:paraId="532B0600">
      <w:pPr>
        <w:keepNext w:val="0"/>
        <w:keepLines w:val="0"/>
        <w:pageBreakBefore w:val="0"/>
        <w:widowControl w:val="0"/>
        <w:kinsoku/>
        <w:wordWrap/>
        <w:overflowPunct/>
        <w:topLinePunct w:val="0"/>
        <w:autoSpaceDE/>
        <w:autoSpaceDN/>
        <w:bidi w:val="0"/>
        <w:adjustRightInd w:val="0"/>
        <w:snapToGrid w:val="0"/>
        <w:spacing w:line="480" w:lineRule="exact"/>
        <w:ind w:rightChars="0" w:firstLine="468" w:firstLineChars="200"/>
        <w:textAlignment w:val="auto"/>
        <w:rPr>
          <w:rFonts w:hint="default" w:ascii="Times New Roman" w:hAnsi="Times New Roman" w:eastAsia="宋体" w:cs="Times New Roman"/>
          <w:color w:val="000000" w:themeColor="text1"/>
          <w:spacing w:val="-3"/>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pacing w:val="-3"/>
          <w:sz w:val="24"/>
          <w:szCs w:val="24"/>
          <w:highlight w:val="none"/>
          <w14:textFill>
            <w14:solidFill>
              <w14:schemeClr w14:val="tx1"/>
            </w14:solidFill>
          </w14:textFill>
        </w:rPr>
        <w:t>㈡</w:t>
      </w:r>
      <w:r>
        <w:rPr>
          <w:rFonts w:hint="default" w:ascii="Times New Roman" w:hAnsi="Times New Roman" w:eastAsia="宋体" w:cs="Times New Roman"/>
          <w:color w:val="000000" w:themeColor="text1"/>
          <w:spacing w:val="-3"/>
          <w:sz w:val="24"/>
          <w:szCs w:val="24"/>
          <w:highlight w:val="none"/>
          <w:lang w:eastAsia="zh-CN"/>
          <w14:textFill>
            <w14:solidFill>
              <w14:schemeClr w14:val="tx1"/>
            </w14:solidFill>
          </w14:textFill>
        </w:rPr>
        <w:t>区域环境质量状况</w:t>
      </w:r>
    </w:p>
    <w:p w14:paraId="56ED2B48">
      <w:pPr>
        <w:keepNext w:val="0"/>
        <w:keepLines w:val="0"/>
        <w:pageBreakBefore w:val="0"/>
        <w:widowControl w:val="0"/>
        <w:kinsoku/>
        <w:wordWrap/>
        <w:overflowPunct/>
        <w:topLinePunct w:val="0"/>
        <w:autoSpaceDE/>
        <w:autoSpaceDN/>
        <w:bidi w:val="0"/>
        <w:spacing w:line="480" w:lineRule="exact"/>
        <w:ind w:rightChars="0" w:firstLine="480" w:firstLineChars="200"/>
        <w:jc w:val="left"/>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按《环境影响评价技术导则大气环境》(HJ2.2-2018)相关规定，</w:t>
      </w:r>
      <w:r>
        <w:rPr>
          <w:rFonts w:hint="default" w:ascii="Times New Roman" w:hAnsi="Times New Roman" w:eastAsia="宋体" w:cs="Times New Roman"/>
          <w:color w:val="000000" w:themeColor="text1"/>
          <w:spacing w:val="4"/>
          <w:kern w:val="0"/>
          <w:sz w:val="24"/>
          <w:szCs w:val="24"/>
          <w:highlight w:val="none"/>
          <w14:textFill>
            <w14:solidFill>
              <w14:schemeClr w14:val="tx1"/>
            </w14:solidFill>
          </w14:textFill>
        </w:rPr>
        <w:t>本项目</w:t>
      </w:r>
      <w:r>
        <w:rPr>
          <w:rFonts w:hint="eastAsia" w:ascii="Times New Roman" w:hAnsi="Times New Roman" w:eastAsia="宋体" w:cs="Times New Roman"/>
          <w:color w:val="000000" w:themeColor="text1"/>
          <w:spacing w:val="4"/>
          <w:kern w:val="0"/>
          <w:sz w:val="24"/>
          <w:szCs w:val="24"/>
          <w:highlight w:val="none"/>
          <w:lang w:eastAsia="zh-CN"/>
          <w14:textFill>
            <w14:solidFill>
              <w14:schemeClr w14:val="tx1"/>
            </w14:solidFill>
          </w14:textFill>
        </w:rPr>
        <w:t>PM</w:t>
      </w:r>
      <w:r>
        <w:rPr>
          <w:rFonts w:hint="eastAsia" w:ascii="Times New Roman" w:hAnsi="Times New Roman" w:eastAsia="宋体" w:cs="Times New Roman"/>
          <w:color w:val="000000" w:themeColor="text1"/>
          <w:spacing w:val="4"/>
          <w:kern w:val="0"/>
          <w:sz w:val="24"/>
          <w:szCs w:val="24"/>
          <w:highlight w:val="none"/>
          <w:vertAlign w:val="subscript"/>
          <w:lang w:eastAsia="zh-CN"/>
          <w14:textFill>
            <w14:solidFill>
              <w14:schemeClr w14:val="tx1"/>
            </w14:solidFill>
          </w14:textFill>
        </w:rPr>
        <w:t>10</w:t>
      </w:r>
      <w:r>
        <w:rPr>
          <w:rFonts w:hint="default" w:ascii="Times New Roman" w:hAnsi="Times New Roman" w:eastAsia="宋体" w:cs="Times New Roman"/>
          <w:color w:val="000000" w:themeColor="text1"/>
          <w:spacing w:val="4"/>
          <w:kern w:val="0"/>
          <w:sz w:val="24"/>
          <w:szCs w:val="24"/>
          <w:highlight w:val="none"/>
          <w14:textFill>
            <w14:solidFill>
              <w14:schemeClr w14:val="tx1"/>
            </w14:solidFill>
          </w14:textFill>
        </w:rPr>
        <w:t>、</w:t>
      </w:r>
      <w:r>
        <w:rPr>
          <w:rFonts w:hint="eastAsia" w:ascii="Times New Roman" w:hAnsi="Times New Roman" w:eastAsia="宋体" w:cs="Times New Roman"/>
          <w:color w:val="000000" w:themeColor="text1"/>
          <w:spacing w:val="4"/>
          <w:kern w:val="0"/>
          <w:sz w:val="24"/>
          <w:szCs w:val="24"/>
          <w:highlight w:val="none"/>
          <w:lang w:eastAsia="zh-CN"/>
          <w14:textFill>
            <w14:solidFill>
              <w14:schemeClr w14:val="tx1"/>
            </w14:solidFill>
          </w14:textFill>
        </w:rPr>
        <w:t>PM</w:t>
      </w:r>
      <w:r>
        <w:rPr>
          <w:rFonts w:hint="eastAsia" w:ascii="Times New Roman" w:hAnsi="Times New Roman" w:eastAsia="宋体" w:cs="Times New Roman"/>
          <w:color w:val="000000" w:themeColor="text1"/>
          <w:spacing w:val="4"/>
          <w:kern w:val="0"/>
          <w:sz w:val="24"/>
          <w:szCs w:val="24"/>
          <w:highlight w:val="none"/>
          <w:vertAlign w:val="subscript"/>
          <w:lang w:eastAsia="zh-CN"/>
          <w14:textFill>
            <w14:solidFill>
              <w14:schemeClr w14:val="tx1"/>
            </w14:solidFill>
          </w14:textFill>
        </w:rPr>
        <w:t>2.5</w:t>
      </w:r>
      <w:r>
        <w:rPr>
          <w:rFonts w:hint="default" w:ascii="Times New Roman" w:hAnsi="Times New Roman" w:eastAsia="宋体" w:cs="Times New Roman"/>
          <w:color w:val="000000" w:themeColor="text1"/>
          <w:spacing w:val="4"/>
          <w:kern w:val="0"/>
          <w:sz w:val="24"/>
          <w:szCs w:val="24"/>
          <w:highlight w:val="none"/>
          <w14:textFill>
            <w14:solidFill>
              <w14:schemeClr w14:val="tx1"/>
            </w14:solidFill>
          </w14:textFill>
        </w:rPr>
        <w:t>、</w:t>
      </w:r>
      <w:r>
        <w:rPr>
          <w:rFonts w:hint="eastAsia" w:ascii="Times New Roman" w:hAnsi="Times New Roman" w:eastAsia="宋体" w:cs="Times New Roman"/>
          <w:color w:val="000000" w:themeColor="text1"/>
          <w:spacing w:val="4"/>
          <w:kern w:val="0"/>
          <w:sz w:val="24"/>
          <w:szCs w:val="24"/>
          <w:highlight w:val="none"/>
          <w:lang w:eastAsia="zh-CN"/>
          <w14:textFill>
            <w14:solidFill>
              <w14:schemeClr w14:val="tx1"/>
            </w14:solidFill>
          </w14:textFill>
        </w:rPr>
        <w:t>SO</w:t>
      </w:r>
      <w:r>
        <w:rPr>
          <w:rFonts w:hint="eastAsia" w:ascii="Times New Roman" w:hAnsi="Times New Roman" w:eastAsia="宋体" w:cs="Times New Roman"/>
          <w:color w:val="000000" w:themeColor="text1"/>
          <w:spacing w:val="4"/>
          <w:kern w:val="0"/>
          <w:sz w:val="24"/>
          <w:szCs w:val="24"/>
          <w:highlight w:val="none"/>
          <w:vertAlign w:val="subscript"/>
          <w:lang w:eastAsia="zh-CN"/>
          <w14:textFill>
            <w14:solidFill>
              <w14:schemeClr w14:val="tx1"/>
            </w14:solidFill>
          </w14:textFill>
        </w:rPr>
        <w:t>2</w:t>
      </w:r>
      <w:r>
        <w:rPr>
          <w:rFonts w:hint="default" w:ascii="Times New Roman" w:hAnsi="Times New Roman" w:eastAsia="宋体" w:cs="Times New Roman"/>
          <w:color w:val="000000" w:themeColor="text1"/>
          <w:spacing w:val="4"/>
          <w:kern w:val="0"/>
          <w:sz w:val="24"/>
          <w:szCs w:val="24"/>
          <w:highlight w:val="none"/>
          <w14:textFill>
            <w14:solidFill>
              <w14:schemeClr w14:val="tx1"/>
            </w14:solidFill>
          </w14:textFill>
        </w:rPr>
        <w:t>、</w:t>
      </w:r>
      <w:r>
        <w:rPr>
          <w:rFonts w:hint="eastAsia" w:ascii="Times New Roman" w:hAnsi="Times New Roman" w:eastAsia="宋体" w:cs="Times New Roman"/>
          <w:color w:val="000000" w:themeColor="text1"/>
          <w:spacing w:val="4"/>
          <w:kern w:val="0"/>
          <w:sz w:val="24"/>
          <w:szCs w:val="24"/>
          <w:highlight w:val="none"/>
          <w:lang w:eastAsia="zh-CN"/>
          <w14:textFill>
            <w14:solidFill>
              <w14:schemeClr w14:val="tx1"/>
            </w14:solidFill>
          </w14:textFill>
        </w:rPr>
        <w:t>NO</w:t>
      </w:r>
      <w:r>
        <w:rPr>
          <w:rFonts w:hint="eastAsia" w:ascii="Times New Roman" w:hAnsi="Times New Roman" w:eastAsia="宋体" w:cs="Times New Roman"/>
          <w:color w:val="000000" w:themeColor="text1"/>
          <w:spacing w:val="4"/>
          <w:kern w:val="0"/>
          <w:sz w:val="24"/>
          <w:szCs w:val="24"/>
          <w:highlight w:val="none"/>
          <w:vertAlign w:val="subscript"/>
          <w:lang w:eastAsia="zh-CN"/>
          <w14:textFill>
            <w14:solidFill>
              <w14:schemeClr w14:val="tx1"/>
            </w14:solidFill>
          </w14:textFill>
        </w:rPr>
        <w:t>2</w:t>
      </w:r>
      <w:r>
        <w:rPr>
          <w:rFonts w:hint="default" w:ascii="Times New Roman" w:hAnsi="Times New Roman" w:eastAsia="宋体" w:cs="Times New Roman"/>
          <w:color w:val="000000" w:themeColor="text1"/>
          <w:spacing w:val="4"/>
          <w:kern w:val="0"/>
          <w:sz w:val="24"/>
          <w:szCs w:val="24"/>
          <w:highlight w:val="none"/>
          <w14:textFill>
            <w14:solidFill>
              <w14:schemeClr w14:val="tx1"/>
            </w14:solidFill>
          </w14:textFill>
        </w:rPr>
        <w:t>、CO、</w:t>
      </w:r>
      <w:r>
        <w:rPr>
          <w:rFonts w:hint="eastAsia" w:ascii="Times New Roman" w:hAnsi="Times New Roman" w:eastAsia="宋体" w:cs="Times New Roman"/>
          <w:color w:val="000000" w:themeColor="text1"/>
          <w:spacing w:val="4"/>
          <w:kern w:val="0"/>
          <w:sz w:val="24"/>
          <w:szCs w:val="24"/>
          <w:highlight w:val="none"/>
          <w:lang w:eastAsia="zh-CN"/>
          <w14:textFill>
            <w14:solidFill>
              <w14:schemeClr w14:val="tx1"/>
            </w14:solidFill>
          </w14:textFill>
        </w:rPr>
        <w:t>O</w:t>
      </w:r>
      <w:r>
        <w:rPr>
          <w:rFonts w:hint="eastAsia" w:ascii="Times New Roman" w:hAnsi="Times New Roman" w:eastAsia="宋体" w:cs="Times New Roman"/>
          <w:color w:val="000000" w:themeColor="text1"/>
          <w:spacing w:val="4"/>
          <w:kern w:val="0"/>
          <w:sz w:val="24"/>
          <w:szCs w:val="24"/>
          <w:highlight w:val="none"/>
          <w:vertAlign w:val="subscript"/>
          <w:lang w:eastAsia="zh-CN"/>
          <w14:textFill>
            <w14:solidFill>
              <w14:schemeClr w14:val="tx1"/>
            </w14:solidFill>
          </w14:textFill>
        </w:rPr>
        <w:t>3</w:t>
      </w:r>
      <w:r>
        <w:rPr>
          <w:rFonts w:hint="default" w:ascii="Times New Roman" w:hAnsi="Times New Roman" w:eastAsia="宋体" w:cs="Times New Roman"/>
          <w:color w:val="000000" w:themeColor="text1"/>
          <w:spacing w:val="4"/>
          <w:kern w:val="0"/>
          <w:sz w:val="24"/>
          <w:szCs w:val="24"/>
          <w:highlight w:val="none"/>
          <w14:textFill>
            <w14:solidFill>
              <w14:schemeClr w14:val="tx1"/>
            </w14:solidFill>
          </w14:textFill>
        </w:rPr>
        <w:t>引用</w:t>
      </w:r>
      <w:r>
        <w:rPr>
          <w:rFonts w:hint="default" w:ascii="Times New Roman" w:hAnsi="Times New Roman" w:eastAsia="宋体" w:cs="Times New Roman"/>
          <w:color w:val="000000" w:themeColor="text1"/>
          <w:spacing w:val="6"/>
          <w:sz w:val="24"/>
          <w:szCs w:val="24"/>
          <w:highlight w:val="none"/>
          <w14:textFill>
            <w14:solidFill>
              <w14:schemeClr w14:val="tx1"/>
            </w14:solidFill>
          </w14:textFill>
        </w:rPr>
        <w:t>《</w:t>
      </w:r>
      <w:r>
        <w:rPr>
          <w:rFonts w:hint="default" w:ascii="Times New Roman" w:hAnsi="Times New Roman" w:eastAsia="宋体" w:cs="Times New Roman"/>
          <w:color w:val="000000" w:themeColor="text1"/>
          <w:spacing w:val="6"/>
          <w:sz w:val="24"/>
          <w:szCs w:val="24"/>
          <w:highlight w:val="none"/>
          <w:lang w:val="en-US" w:eastAsia="zh-CN"/>
          <w14:textFill>
            <w14:solidFill>
              <w14:schemeClr w14:val="tx1"/>
            </w14:solidFill>
          </w14:textFill>
        </w:rPr>
        <w:t>2023</w:t>
      </w:r>
      <w:r>
        <w:rPr>
          <w:rFonts w:hint="default" w:ascii="Times New Roman" w:hAnsi="Times New Roman" w:eastAsia="宋体" w:cs="Times New Roman"/>
          <w:color w:val="000000" w:themeColor="text1"/>
          <w:spacing w:val="6"/>
          <w:sz w:val="24"/>
          <w:szCs w:val="24"/>
          <w:highlight w:val="none"/>
          <w14:textFill>
            <w14:solidFill>
              <w14:schemeClr w14:val="tx1"/>
            </w14:solidFill>
          </w14:textFill>
        </w:rPr>
        <w:t>年唐山市环境状况公报》</w:t>
      </w:r>
      <w:r>
        <w:rPr>
          <w:rFonts w:hint="default" w:ascii="Times New Roman" w:hAnsi="Times New Roman" w:eastAsia="宋体" w:cs="Times New Roman"/>
          <w:color w:val="000000" w:themeColor="text1"/>
          <w:spacing w:val="4"/>
          <w:kern w:val="0"/>
          <w:sz w:val="24"/>
          <w:szCs w:val="24"/>
          <w:highlight w:val="none"/>
          <w:lang w:val="en-US" w:eastAsia="zh-CN"/>
          <w14:textFill>
            <w14:solidFill>
              <w14:schemeClr w14:val="tx1"/>
            </w14:solidFill>
          </w14:textFill>
        </w:rPr>
        <w:t>中曹妃甸区</w:t>
      </w:r>
      <w:r>
        <w:rPr>
          <w:rFonts w:hint="default" w:ascii="Times New Roman" w:hAnsi="Times New Roman" w:eastAsia="宋体" w:cs="Times New Roman"/>
          <w:color w:val="000000" w:themeColor="text1"/>
          <w:spacing w:val="4"/>
          <w:kern w:val="0"/>
          <w:sz w:val="24"/>
          <w:szCs w:val="24"/>
          <w:highlight w:val="none"/>
          <w14:textFill>
            <w14:solidFill>
              <w14:schemeClr w14:val="tx1"/>
            </w14:solidFill>
          </w14:textFill>
        </w:rPr>
        <w:t>的六项污染物浓度</w:t>
      </w:r>
      <w:r>
        <w:rPr>
          <w:rFonts w:hint="default" w:ascii="Times New Roman" w:hAnsi="Times New Roman" w:eastAsia="宋体" w:cs="Times New Roman"/>
          <w:color w:val="000000" w:themeColor="text1"/>
          <w:spacing w:val="4"/>
          <w:kern w:val="0"/>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结果见</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表4.3-2。</w:t>
      </w:r>
    </w:p>
    <w:p w14:paraId="28EF8689">
      <w:pPr>
        <w:keepNext w:val="0"/>
        <w:keepLines w:val="0"/>
        <w:pageBreakBefore w:val="0"/>
        <w:widowControl w:val="0"/>
        <w:numPr>
          <w:ilvl w:val="0"/>
          <w:numId w:val="30"/>
        </w:numPr>
        <w:kinsoku/>
        <w:wordWrap/>
        <w:overflowPunct/>
        <w:topLinePunct w:val="0"/>
        <w:autoSpaceDE w:val="0"/>
        <w:autoSpaceDN w:val="0"/>
        <w:bidi w:val="0"/>
        <w:adjustRightInd w:val="0"/>
        <w:snapToGrid/>
        <w:spacing w:line="500" w:lineRule="exact"/>
        <w:ind w:left="425" w:leftChars="0" w:hanging="425" w:firstLineChars="0"/>
        <w:jc w:val="center"/>
        <w:textAlignment w:val="auto"/>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pPr>
      <w:r>
        <w:rPr>
          <w:rFonts w:hint="eastAsia" w:cs="Times New Roman"/>
          <w:b/>
          <w:bCs w:val="0"/>
          <w:color w:val="000000" w:themeColor="text1"/>
          <w:sz w:val="25"/>
          <w:szCs w:val="25"/>
          <w:highlight w:val="none"/>
          <w:shd w:val="clear" w:color="auto" w:fill="auto"/>
          <w:lang w:val="en-US" w:eastAsia="zh-CN"/>
          <w14:textFill>
            <w14:solidFill>
              <w14:schemeClr w14:val="tx1"/>
            </w14:solidFill>
          </w14:textFill>
        </w:rPr>
        <w:t>曹妃甸区</w:t>
      </w:r>
      <w:r>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t>202</w:t>
      </w:r>
      <w:r>
        <w:rPr>
          <w:rFonts w:hint="eastAsia" w:cs="Times New Roman"/>
          <w:b/>
          <w:bCs w:val="0"/>
          <w:color w:val="000000" w:themeColor="text1"/>
          <w:sz w:val="25"/>
          <w:szCs w:val="25"/>
          <w:highlight w:val="none"/>
          <w:shd w:val="clear" w:color="auto" w:fill="auto"/>
          <w:lang w:val="en-US" w:eastAsia="zh-CN"/>
          <w14:textFill>
            <w14:solidFill>
              <w14:schemeClr w14:val="tx1"/>
            </w14:solidFill>
          </w14:textFill>
        </w:rPr>
        <w:t>3</w:t>
      </w:r>
      <w:r>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t>年常规污染物监测结果统计</w:t>
      </w:r>
    </w:p>
    <w:tbl>
      <w:tblPr>
        <w:tblStyle w:val="88"/>
        <w:tblW w:w="499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669"/>
        <w:gridCol w:w="2915"/>
        <w:gridCol w:w="1301"/>
        <w:gridCol w:w="1385"/>
        <w:gridCol w:w="1248"/>
        <w:gridCol w:w="820"/>
        <w:gridCol w:w="746"/>
      </w:tblGrid>
      <w:tr w14:paraId="3B7695E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68" w:type="pct"/>
            <w:tcBorders>
              <w:tl2br w:val="nil"/>
              <w:tr2bl w:val="nil"/>
            </w:tcBorders>
            <w:vAlign w:val="center"/>
          </w:tcPr>
          <w:p w14:paraId="0FB835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污染物</w:t>
            </w:r>
          </w:p>
        </w:tc>
        <w:tc>
          <w:tcPr>
            <w:tcW w:w="1604" w:type="pct"/>
            <w:tcBorders>
              <w:tl2br w:val="nil"/>
              <w:tr2bl w:val="nil"/>
            </w:tcBorders>
            <w:vAlign w:val="center"/>
          </w:tcPr>
          <w:p w14:paraId="35B24B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年评价指标</w:t>
            </w:r>
          </w:p>
        </w:tc>
        <w:tc>
          <w:tcPr>
            <w:tcW w:w="716" w:type="pct"/>
            <w:tcBorders>
              <w:tl2br w:val="nil"/>
              <w:tr2bl w:val="nil"/>
            </w:tcBorders>
            <w:vAlign w:val="center"/>
          </w:tcPr>
          <w:p w14:paraId="2AEC90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评价标准</w:t>
            </w:r>
          </w:p>
          <w:p w14:paraId="4761F1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(μg/</w:t>
            </w:r>
            <w:r>
              <w:rPr>
                <w:rFonts w:hint="eastAsia" w:cs="Times New Roman"/>
                <w:color w:val="000000" w:themeColor="text1"/>
                <w:sz w:val="21"/>
                <w:szCs w:val="21"/>
                <w:highlight w:val="none"/>
                <w:shd w:val="clear" w:color="auto" w:fill="auto"/>
                <w:lang w:eastAsia="zh-CN"/>
                <w14:textFill>
                  <w14:solidFill>
                    <w14:schemeClr w14:val="tx1"/>
                  </w14:solidFill>
                </w14:textFill>
              </w:rPr>
              <w:t>m</w:t>
            </w:r>
            <w:r>
              <w:rPr>
                <w:rFonts w:hint="eastAsia" w:cs="Times New Roman"/>
                <w:color w:val="000000" w:themeColor="text1"/>
                <w:sz w:val="21"/>
                <w:szCs w:val="21"/>
                <w:highlight w:val="none"/>
                <w:shd w:val="clear" w:color="auto" w:fill="auto"/>
                <w:vertAlign w:val="superscript"/>
                <w:lang w:eastAsia="zh-CN"/>
                <w14:textFill>
                  <w14:solidFill>
                    <w14:schemeClr w14:val="tx1"/>
                  </w14:solidFill>
                </w14:textFill>
              </w:rPr>
              <w:t>3</w:t>
            </w: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w:t>
            </w:r>
          </w:p>
        </w:tc>
        <w:tc>
          <w:tcPr>
            <w:tcW w:w="762" w:type="pct"/>
            <w:tcBorders>
              <w:tl2br w:val="nil"/>
              <w:tr2bl w:val="nil"/>
            </w:tcBorders>
            <w:vAlign w:val="center"/>
          </w:tcPr>
          <w:p w14:paraId="47539F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现状浓度</w:t>
            </w:r>
          </w:p>
          <w:p w14:paraId="38F56B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(μg/</w:t>
            </w:r>
            <w:r>
              <w:rPr>
                <w:rFonts w:hint="eastAsia" w:cs="Times New Roman"/>
                <w:color w:val="000000" w:themeColor="text1"/>
                <w:sz w:val="21"/>
                <w:szCs w:val="21"/>
                <w:highlight w:val="none"/>
                <w:shd w:val="clear" w:color="auto" w:fill="auto"/>
                <w:lang w:eastAsia="zh-CN"/>
                <w14:textFill>
                  <w14:solidFill>
                    <w14:schemeClr w14:val="tx1"/>
                  </w14:solidFill>
                </w14:textFill>
              </w:rPr>
              <w:t>m</w:t>
            </w:r>
            <w:r>
              <w:rPr>
                <w:rFonts w:hint="eastAsia" w:cs="Times New Roman"/>
                <w:color w:val="000000" w:themeColor="text1"/>
                <w:sz w:val="21"/>
                <w:szCs w:val="21"/>
                <w:highlight w:val="none"/>
                <w:shd w:val="clear" w:color="auto" w:fill="auto"/>
                <w:vertAlign w:val="superscript"/>
                <w:lang w:eastAsia="zh-CN"/>
                <w14:textFill>
                  <w14:solidFill>
                    <w14:schemeClr w14:val="tx1"/>
                  </w14:solidFill>
                </w14:textFill>
              </w:rPr>
              <w:t>3</w:t>
            </w: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w:t>
            </w:r>
          </w:p>
        </w:tc>
        <w:tc>
          <w:tcPr>
            <w:tcW w:w="686" w:type="pct"/>
            <w:tcBorders>
              <w:tl2br w:val="nil"/>
              <w:tr2bl w:val="nil"/>
            </w:tcBorders>
            <w:vAlign w:val="center"/>
          </w:tcPr>
          <w:p w14:paraId="648FAC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浓度占标</w:t>
            </w:r>
          </w:p>
          <w:p w14:paraId="317005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率(%)</w:t>
            </w:r>
          </w:p>
        </w:tc>
        <w:tc>
          <w:tcPr>
            <w:tcW w:w="451" w:type="pct"/>
            <w:tcBorders>
              <w:tl2br w:val="nil"/>
              <w:tr2bl w:val="nil"/>
            </w:tcBorders>
            <w:vAlign w:val="center"/>
          </w:tcPr>
          <w:p w14:paraId="619338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超标频</w:t>
            </w:r>
          </w:p>
          <w:p w14:paraId="1AF803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率(%)</w:t>
            </w:r>
          </w:p>
        </w:tc>
        <w:tc>
          <w:tcPr>
            <w:tcW w:w="410" w:type="pct"/>
            <w:tcBorders>
              <w:tl2br w:val="nil"/>
              <w:tr2bl w:val="nil"/>
            </w:tcBorders>
            <w:vAlign w:val="center"/>
          </w:tcPr>
          <w:p w14:paraId="0BA788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达标情况</w:t>
            </w:r>
          </w:p>
        </w:tc>
      </w:tr>
      <w:tr w14:paraId="766B921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68" w:type="pct"/>
            <w:tcBorders>
              <w:tl2br w:val="nil"/>
              <w:tr2bl w:val="nil"/>
            </w:tcBorders>
            <w:vAlign w:val="center"/>
          </w:tcPr>
          <w:p w14:paraId="0249CD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eastAsia" w:ascii="Times New Roman" w:hAnsi="Times New Roman" w:eastAsia="宋体" w:cs="Times New Roman"/>
                <w:color w:val="000000" w:themeColor="text1"/>
                <w:sz w:val="21"/>
                <w:szCs w:val="21"/>
                <w:highlight w:val="none"/>
                <w:shd w:val="clear" w:color="auto" w:fill="auto"/>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shd w:val="clear" w:color="auto" w:fill="auto"/>
                <w:lang w:eastAsia="zh-CN"/>
                <w14:textFill>
                  <w14:solidFill>
                    <w14:schemeClr w14:val="tx1"/>
                  </w14:solidFill>
                </w14:textFill>
              </w:rPr>
              <w:t>PM</w:t>
            </w:r>
            <w:r>
              <w:rPr>
                <w:rFonts w:hint="eastAsia" w:ascii="Times New Roman" w:hAnsi="Times New Roman" w:eastAsia="宋体" w:cs="Times New Roman"/>
                <w:color w:val="000000" w:themeColor="text1"/>
                <w:sz w:val="21"/>
                <w:szCs w:val="21"/>
                <w:highlight w:val="none"/>
                <w:shd w:val="clear" w:color="auto" w:fill="auto"/>
                <w:vertAlign w:val="subscript"/>
                <w:lang w:eastAsia="zh-CN"/>
                <w14:textFill>
                  <w14:solidFill>
                    <w14:schemeClr w14:val="tx1"/>
                  </w14:solidFill>
                </w14:textFill>
              </w:rPr>
              <w:t>10</w:t>
            </w:r>
          </w:p>
        </w:tc>
        <w:tc>
          <w:tcPr>
            <w:tcW w:w="1604" w:type="pct"/>
            <w:tcBorders>
              <w:tl2br w:val="nil"/>
              <w:tr2bl w:val="nil"/>
            </w:tcBorders>
            <w:vAlign w:val="center"/>
          </w:tcPr>
          <w:p w14:paraId="5D67B1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年平均</w:t>
            </w:r>
          </w:p>
        </w:tc>
        <w:tc>
          <w:tcPr>
            <w:tcW w:w="716" w:type="pct"/>
            <w:tcBorders>
              <w:tl2br w:val="nil"/>
              <w:tr2bl w:val="nil"/>
            </w:tcBorders>
            <w:vAlign w:val="center"/>
          </w:tcPr>
          <w:p w14:paraId="135297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70</w:t>
            </w:r>
          </w:p>
        </w:tc>
        <w:tc>
          <w:tcPr>
            <w:tcW w:w="762" w:type="pct"/>
            <w:tcBorders>
              <w:tl2br w:val="nil"/>
              <w:tr2bl w:val="nil"/>
            </w:tcBorders>
            <w:vAlign w:val="center"/>
          </w:tcPr>
          <w:p w14:paraId="3B5F31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lang w:val="en-US" w:eastAsia="zh-CN"/>
                <w14:textFill>
                  <w14:solidFill>
                    <w14:schemeClr w14:val="tx1"/>
                  </w14:solidFill>
                </w14:textFill>
              </w:rPr>
              <w:t>63</w:t>
            </w:r>
          </w:p>
        </w:tc>
        <w:tc>
          <w:tcPr>
            <w:tcW w:w="1325" w:type="dxa"/>
            <w:tcBorders>
              <w:tl2br w:val="nil"/>
              <w:tr2bl w:val="nil"/>
            </w:tcBorders>
            <w:vAlign w:val="center"/>
          </w:tcPr>
          <w:p w14:paraId="279764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lang w:val="en-US" w:eastAsia="zh-CN"/>
                <w14:textFill>
                  <w14:solidFill>
                    <w14:schemeClr w14:val="tx1"/>
                  </w14:solidFill>
                </w14:textFill>
              </w:rPr>
              <w:t>90</w:t>
            </w:r>
          </w:p>
        </w:tc>
        <w:tc>
          <w:tcPr>
            <w:tcW w:w="451" w:type="pct"/>
            <w:tcBorders>
              <w:tl2br w:val="nil"/>
              <w:tr2bl w:val="nil"/>
            </w:tcBorders>
            <w:vAlign w:val="center"/>
          </w:tcPr>
          <w:p w14:paraId="7480BC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w:t>
            </w:r>
          </w:p>
        </w:tc>
        <w:tc>
          <w:tcPr>
            <w:tcW w:w="410" w:type="pct"/>
            <w:tcBorders>
              <w:tl2br w:val="nil"/>
              <w:tr2bl w:val="nil"/>
            </w:tcBorders>
            <w:vAlign w:val="center"/>
          </w:tcPr>
          <w:p w14:paraId="7BBBC3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达标</w:t>
            </w:r>
          </w:p>
        </w:tc>
      </w:tr>
      <w:tr w14:paraId="18EAA73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68" w:type="pct"/>
            <w:tcBorders>
              <w:tl2br w:val="nil"/>
              <w:tr2bl w:val="nil"/>
            </w:tcBorders>
            <w:vAlign w:val="center"/>
          </w:tcPr>
          <w:p w14:paraId="25CFFE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eastAsia" w:ascii="Times New Roman" w:hAnsi="Times New Roman" w:eastAsia="宋体" w:cs="Times New Roman"/>
                <w:color w:val="000000" w:themeColor="text1"/>
                <w:sz w:val="21"/>
                <w:szCs w:val="21"/>
                <w:highlight w:val="none"/>
                <w:shd w:val="clear" w:color="auto" w:fill="auto"/>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shd w:val="clear" w:color="auto" w:fill="auto"/>
                <w:lang w:eastAsia="zh-CN"/>
                <w14:textFill>
                  <w14:solidFill>
                    <w14:schemeClr w14:val="tx1"/>
                  </w14:solidFill>
                </w14:textFill>
              </w:rPr>
              <w:t>PM</w:t>
            </w:r>
            <w:r>
              <w:rPr>
                <w:rFonts w:hint="eastAsia" w:ascii="Times New Roman" w:hAnsi="Times New Roman" w:eastAsia="宋体" w:cs="Times New Roman"/>
                <w:color w:val="000000" w:themeColor="text1"/>
                <w:sz w:val="21"/>
                <w:szCs w:val="21"/>
                <w:highlight w:val="none"/>
                <w:shd w:val="clear" w:color="auto" w:fill="auto"/>
                <w:vertAlign w:val="subscript"/>
                <w:lang w:eastAsia="zh-CN"/>
                <w14:textFill>
                  <w14:solidFill>
                    <w14:schemeClr w14:val="tx1"/>
                  </w14:solidFill>
                </w14:textFill>
              </w:rPr>
              <w:t>2.5</w:t>
            </w:r>
          </w:p>
        </w:tc>
        <w:tc>
          <w:tcPr>
            <w:tcW w:w="1604" w:type="pct"/>
            <w:tcBorders>
              <w:tl2br w:val="nil"/>
              <w:tr2bl w:val="nil"/>
            </w:tcBorders>
            <w:vAlign w:val="center"/>
          </w:tcPr>
          <w:p w14:paraId="4F6DFB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年平均</w:t>
            </w:r>
          </w:p>
        </w:tc>
        <w:tc>
          <w:tcPr>
            <w:tcW w:w="716" w:type="pct"/>
            <w:tcBorders>
              <w:tl2br w:val="nil"/>
              <w:tr2bl w:val="nil"/>
            </w:tcBorders>
            <w:vAlign w:val="center"/>
          </w:tcPr>
          <w:p w14:paraId="27016C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35</w:t>
            </w:r>
          </w:p>
        </w:tc>
        <w:tc>
          <w:tcPr>
            <w:tcW w:w="762" w:type="pct"/>
            <w:tcBorders>
              <w:tl2br w:val="nil"/>
              <w:tr2bl w:val="nil"/>
            </w:tcBorders>
            <w:vAlign w:val="center"/>
          </w:tcPr>
          <w:p w14:paraId="753D70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lang w:val="en-US" w:eastAsia="zh-CN"/>
                <w14:textFill>
                  <w14:solidFill>
                    <w14:schemeClr w14:val="tx1"/>
                  </w14:solidFill>
                </w14:textFill>
              </w:rPr>
              <w:t>36</w:t>
            </w:r>
          </w:p>
        </w:tc>
        <w:tc>
          <w:tcPr>
            <w:tcW w:w="1325" w:type="dxa"/>
            <w:tcBorders>
              <w:tl2br w:val="nil"/>
              <w:tr2bl w:val="nil"/>
            </w:tcBorders>
            <w:vAlign w:val="center"/>
          </w:tcPr>
          <w:p w14:paraId="35B534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lang w:val="en-US" w:eastAsia="zh-CN"/>
                <w14:textFill>
                  <w14:solidFill>
                    <w14:schemeClr w14:val="tx1"/>
                  </w14:solidFill>
                </w14:textFill>
              </w:rPr>
              <w:t>102.9</w:t>
            </w:r>
          </w:p>
        </w:tc>
        <w:tc>
          <w:tcPr>
            <w:tcW w:w="451" w:type="pct"/>
            <w:tcBorders>
              <w:tl2br w:val="nil"/>
              <w:tr2bl w:val="nil"/>
            </w:tcBorders>
            <w:vAlign w:val="center"/>
          </w:tcPr>
          <w:p w14:paraId="73BAD4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lang w:val="en-US" w:eastAsia="zh-CN"/>
                <w14:textFill>
                  <w14:solidFill>
                    <w14:schemeClr w14:val="tx1"/>
                  </w14:solidFill>
                </w14:textFill>
              </w:rPr>
              <w:t>2.9</w:t>
            </w:r>
          </w:p>
        </w:tc>
        <w:tc>
          <w:tcPr>
            <w:tcW w:w="410" w:type="pct"/>
            <w:tcBorders>
              <w:tl2br w:val="nil"/>
              <w:tr2bl w:val="nil"/>
            </w:tcBorders>
            <w:vAlign w:val="center"/>
          </w:tcPr>
          <w:p w14:paraId="4D6530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lang w:val="en-US" w:eastAsia="zh-CN"/>
                <w14:textFill>
                  <w14:solidFill>
                    <w14:schemeClr w14:val="tx1"/>
                  </w14:solidFill>
                </w14:textFill>
              </w:rPr>
              <w:t>超</w:t>
            </w: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标</w:t>
            </w:r>
          </w:p>
        </w:tc>
      </w:tr>
      <w:tr w14:paraId="13FAD0E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68" w:type="pct"/>
            <w:tcBorders>
              <w:tl2br w:val="nil"/>
              <w:tr2bl w:val="nil"/>
            </w:tcBorders>
            <w:vAlign w:val="center"/>
          </w:tcPr>
          <w:p w14:paraId="4AB516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eastAsia" w:ascii="Times New Roman" w:hAnsi="Times New Roman" w:eastAsia="宋体" w:cs="Times New Roman"/>
                <w:color w:val="000000" w:themeColor="text1"/>
                <w:sz w:val="21"/>
                <w:szCs w:val="21"/>
                <w:highlight w:val="none"/>
                <w:shd w:val="clear" w:color="auto" w:fill="auto"/>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shd w:val="clear" w:color="auto" w:fill="auto"/>
                <w:lang w:eastAsia="zh-CN"/>
                <w14:textFill>
                  <w14:solidFill>
                    <w14:schemeClr w14:val="tx1"/>
                  </w14:solidFill>
                </w14:textFill>
              </w:rPr>
              <w:t>SO</w:t>
            </w:r>
            <w:r>
              <w:rPr>
                <w:rFonts w:hint="eastAsia" w:ascii="Times New Roman" w:hAnsi="Times New Roman" w:eastAsia="宋体" w:cs="Times New Roman"/>
                <w:color w:val="000000" w:themeColor="text1"/>
                <w:sz w:val="21"/>
                <w:szCs w:val="21"/>
                <w:highlight w:val="none"/>
                <w:shd w:val="clear" w:color="auto" w:fill="auto"/>
                <w:vertAlign w:val="subscript"/>
                <w:lang w:eastAsia="zh-CN"/>
                <w14:textFill>
                  <w14:solidFill>
                    <w14:schemeClr w14:val="tx1"/>
                  </w14:solidFill>
                </w14:textFill>
              </w:rPr>
              <w:t>2</w:t>
            </w:r>
          </w:p>
        </w:tc>
        <w:tc>
          <w:tcPr>
            <w:tcW w:w="1604" w:type="pct"/>
            <w:tcBorders>
              <w:tl2br w:val="nil"/>
              <w:tr2bl w:val="nil"/>
            </w:tcBorders>
            <w:vAlign w:val="center"/>
          </w:tcPr>
          <w:p w14:paraId="399FDC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年平均</w:t>
            </w:r>
          </w:p>
        </w:tc>
        <w:tc>
          <w:tcPr>
            <w:tcW w:w="716" w:type="pct"/>
            <w:tcBorders>
              <w:tl2br w:val="nil"/>
              <w:tr2bl w:val="nil"/>
            </w:tcBorders>
            <w:vAlign w:val="center"/>
          </w:tcPr>
          <w:p w14:paraId="3137C9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60</w:t>
            </w:r>
          </w:p>
        </w:tc>
        <w:tc>
          <w:tcPr>
            <w:tcW w:w="762" w:type="pct"/>
            <w:tcBorders>
              <w:tl2br w:val="nil"/>
              <w:tr2bl w:val="nil"/>
            </w:tcBorders>
            <w:vAlign w:val="center"/>
          </w:tcPr>
          <w:p w14:paraId="15FB3F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lang w:val="en-US" w:eastAsia="zh-CN"/>
                <w14:textFill>
                  <w14:solidFill>
                    <w14:schemeClr w14:val="tx1"/>
                  </w14:solidFill>
                </w14:textFill>
              </w:rPr>
              <w:t>9</w:t>
            </w:r>
          </w:p>
        </w:tc>
        <w:tc>
          <w:tcPr>
            <w:tcW w:w="1325" w:type="dxa"/>
            <w:tcBorders>
              <w:tl2br w:val="nil"/>
              <w:tr2bl w:val="nil"/>
            </w:tcBorders>
            <w:vAlign w:val="center"/>
          </w:tcPr>
          <w:p w14:paraId="3455BE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lang w:val="en-US" w:eastAsia="zh-CN"/>
                <w14:textFill>
                  <w14:solidFill>
                    <w14:schemeClr w14:val="tx1"/>
                  </w14:solidFill>
                </w14:textFill>
              </w:rPr>
              <w:t>15</w:t>
            </w:r>
          </w:p>
        </w:tc>
        <w:tc>
          <w:tcPr>
            <w:tcW w:w="451" w:type="pct"/>
            <w:tcBorders>
              <w:tl2br w:val="nil"/>
              <w:tr2bl w:val="nil"/>
            </w:tcBorders>
            <w:vAlign w:val="center"/>
          </w:tcPr>
          <w:p w14:paraId="51A1CE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w:t>
            </w:r>
          </w:p>
        </w:tc>
        <w:tc>
          <w:tcPr>
            <w:tcW w:w="410" w:type="pct"/>
            <w:tcBorders>
              <w:tl2br w:val="nil"/>
              <w:tr2bl w:val="nil"/>
            </w:tcBorders>
            <w:vAlign w:val="center"/>
          </w:tcPr>
          <w:p w14:paraId="68CDD0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达标</w:t>
            </w:r>
          </w:p>
        </w:tc>
      </w:tr>
      <w:tr w14:paraId="1D74EE7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68" w:type="pct"/>
            <w:tcBorders>
              <w:tl2br w:val="nil"/>
              <w:tr2bl w:val="nil"/>
            </w:tcBorders>
            <w:vAlign w:val="center"/>
          </w:tcPr>
          <w:p w14:paraId="25C246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eastAsia" w:ascii="Times New Roman" w:hAnsi="Times New Roman" w:eastAsia="宋体" w:cs="Times New Roman"/>
                <w:color w:val="000000" w:themeColor="text1"/>
                <w:sz w:val="21"/>
                <w:szCs w:val="21"/>
                <w:highlight w:val="none"/>
                <w:shd w:val="clear" w:color="auto" w:fill="auto"/>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shd w:val="clear" w:color="auto" w:fill="auto"/>
                <w:lang w:eastAsia="zh-CN"/>
                <w14:textFill>
                  <w14:solidFill>
                    <w14:schemeClr w14:val="tx1"/>
                  </w14:solidFill>
                </w14:textFill>
              </w:rPr>
              <w:t>NO</w:t>
            </w:r>
            <w:r>
              <w:rPr>
                <w:rFonts w:hint="eastAsia" w:ascii="Times New Roman" w:hAnsi="Times New Roman" w:eastAsia="宋体" w:cs="Times New Roman"/>
                <w:color w:val="000000" w:themeColor="text1"/>
                <w:sz w:val="21"/>
                <w:szCs w:val="21"/>
                <w:highlight w:val="none"/>
                <w:shd w:val="clear" w:color="auto" w:fill="auto"/>
                <w:vertAlign w:val="subscript"/>
                <w:lang w:eastAsia="zh-CN"/>
                <w14:textFill>
                  <w14:solidFill>
                    <w14:schemeClr w14:val="tx1"/>
                  </w14:solidFill>
                </w14:textFill>
              </w:rPr>
              <w:t>2</w:t>
            </w:r>
          </w:p>
        </w:tc>
        <w:tc>
          <w:tcPr>
            <w:tcW w:w="1604" w:type="pct"/>
            <w:tcBorders>
              <w:tl2br w:val="nil"/>
              <w:tr2bl w:val="nil"/>
            </w:tcBorders>
            <w:vAlign w:val="center"/>
          </w:tcPr>
          <w:p w14:paraId="5C1248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年平均</w:t>
            </w:r>
          </w:p>
        </w:tc>
        <w:tc>
          <w:tcPr>
            <w:tcW w:w="716" w:type="pct"/>
            <w:tcBorders>
              <w:tl2br w:val="nil"/>
              <w:tr2bl w:val="nil"/>
            </w:tcBorders>
            <w:vAlign w:val="center"/>
          </w:tcPr>
          <w:p w14:paraId="7345B6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40</w:t>
            </w:r>
          </w:p>
        </w:tc>
        <w:tc>
          <w:tcPr>
            <w:tcW w:w="762" w:type="pct"/>
            <w:tcBorders>
              <w:tl2br w:val="nil"/>
              <w:tr2bl w:val="nil"/>
            </w:tcBorders>
            <w:vAlign w:val="center"/>
          </w:tcPr>
          <w:p w14:paraId="245B2D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lang w:val="en-US" w:eastAsia="zh-CN"/>
                <w14:textFill>
                  <w14:solidFill>
                    <w14:schemeClr w14:val="tx1"/>
                  </w14:solidFill>
                </w14:textFill>
              </w:rPr>
              <w:t>29</w:t>
            </w:r>
          </w:p>
        </w:tc>
        <w:tc>
          <w:tcPr>
            <w:tcW w:w="1325" w:type="dxa"/>
            <w:tcBorders>
              <w:tl2br w:val="nil"/>
              <w:tr2bl w:val="nil"/>
            </w:tcBorders>
            <w:vAlign w:val="center"/>
          </w:tcPr>
          <w:p w14:paraId="387E0D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lang w:val="en-US" w:eastAsia="zh-CN"/>
                <w14:textFill>
                  <w14:solidFill>
                    <w14:schemeClr w14:val="tx1"/>
                  </w14:solidFill>
                </w14:textFill>
              </w:rPr>
              <w:t>72.5</w:t>
            </w:r>
          </w:p>
        </w:tc>
        <w:tc>
          <w:tcPr>
            <w:tcW w:w="451" w:type="pct"/>
            <w:tcBorders>
              <w:tl2br w:val="nil"/>
              <w:tr2bl w:val="nil"/>
            </w:tcBorders>
            <w:vAlign w:val="center"/>
          </w:tcPr>
          <w:p w14:paraId="7A86D1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w:t>
            </w:r>
          </w:p>
        </w:tc>
        <w:tc>
          <w:tcPr>
            <w:tcW w:w="410" w:type="pct"/>
            <w:tcBorders>
              <w:tl2br w:val="nil"/>
              <w:tr2bl w:val="nil"/>
            </w:tcBorders>
            <w:vAlign w:val="center"/>
          </w:tcPr>
          <w:p w14:paraId="416A6A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达标</w:t>
            </w:r>
          </w:p>
        </w:tc>
      </w:tr>
      <w:tr w14:paraId="131A75E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68" w:type="pct"/>
            <w:tcBorders>
              <w:tl2br w:val="nil"/>
              <w:tr2bl w:val="nil"/>
            </w:tcBorders>
            <w:vAlign w:val="center"/>
          </w:tcPr>
          <w:p w14:paraId="4DDE38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CO</w:t>
            </w:r>
          </w:p>
        </w:tc>
        <w:tc>
          <w:tcPr>
            <w:tcW w:w="1604" w:type="pct"/>
            <w:tcBorders>
              <w:tl2br w:val="nil"/>
              <w:tr2bl w:val="nil"/>
            </w:tcBorders>
            <w:vAlign w:val="center"/>
          </w:tcPr>
          <w:p w14:paraId="099222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24小时平均第95百分位数</w:t>
            </w:r>
          </w:p>
        </w:tc>
        <w:tc>
          <w:tcPr>
            <w:tcW w:w="716" w:type="pct"/>
            <w:tcBorders>
              <w:tl2br w:val="nil"/>
              <w:tr2bl w:val="nil"/>
            </w:tcBorders>
            <w:vAlign w:val="center"/>
          </w:tcPr>
          <w:p w14:paraId="639F85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4000</w:t>
            </w:r>
          </w:p>
        </w:tc>
        <w:tc>
          <w:tcPr>
            <w:tcW w:w="762" w:type="pct"/>
            <w:tcBorders>
              <w:tl2br w:val="nil"/>
              <w:tr2bl w:val="nil"/>
            </w:tcBorders>
            <w:vAlign w:val="center"/>
          </w:tcPr>
          <w:p w14:paraId="1BEAF2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1</w:t>
            </w:r>
            <w:r>
              <w:rPr>
                <w:rFonts w:hint="default" w:ascii="Times New Roman" w:hAnsi="Times New Roman" w:eastAsia="宋体" w:cs="Times New Roman"/>
                <w:color w:val="000000" w:themeColor="text1"/>
                <w:sz w:val="21"/>
                <w:szCs w:val="21"/>
                <w:highlight w:val="none"/>
                <w:shd w:val="clear" w:color="auto" w:fill="auto"/>
                <w:lang w:val="en-US" w:eastAsia="zh-CN"/>
                <w14:textFill>
                  <w14:solidFill>
                    <w14:schemeClr w14:val="tx1"/>
                  </w14:solidFill>
                </w14:textFill>
              </w:rPr>
              <w:t>1</w:t>
            </w: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00</w:t>
            </w:r>
          </w:p>
        </w:tc>
        <w:tc>
          <w:tcPr>
            <w:tcW w:w="1325" w:type="dxa"/>
            <w:tcBorders>
              <w:tl2br w:val="nil"/>
              <w:tr2bl w:val="nil"/>
            </w:tcBorders>
            <w:vAlign w:val="center"/>
          </w:tcPr>
          <w:p w14:paraId="7048BA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lang w:val="en-US" w:eastAsia="zh-CN"/>
                <w14:textFill>
                  <w14:solidFill>
                    <w14:schemeClr w14:val="tx1"/>
                  </w14:solidFill>
                </w14:textFill>
              </w:rPr>
              <w:t>27.5</w:t>
            </w:r>
          </w:p>
        </w:tc>
        <w:tc>
          <w:tcPr>
            <w:tcW w:w="451" w:type="pct"/>
            <w:tcBorders>
              <w:tl2br w:val="nil"/>
              <w:tr2bl w:val="nil"/>
            </w:tcBorders>
            <w:vAlign w:val="center"/>
          </w:tcPr>
          <w:p w14:paraId="0860F5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w:t>
            </w:r>
          </w:p>
        </w:tc>
        <w:tc>
          <w:tcPr>
            <w:tcW w:w="410" w:type="pct"/>
            <w:tcBorders>
              <w:tl2br w:val="nil"/>
              <w:tr2bl w:val="nil"/>
            </w:tcBorders>
            <w:vAlign w:val="center"/>
          </w:tcPr>
          <w:p w14:paraId="3DE46D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达标</w:t>
            </w:r>
          </w:p>
        </w:tc>
      </w:tr>
      <w:tr w14:paraId="5186AF9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68" w:type="pct"/>
            <w:tcBorders>
              <w:tl2br w:val="nil"/>
              <w:tr2bl w:val="nil"/>
            </w:tcBorders>
            <w:vAlign w:val="center"/>
          </w:tcPr>
          <w:p w14:paraId="358301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eastAsia" w:ascii="Times New Roman" w:hAnsi="Times New Roman" w:eastAsia="宋体" w:cs="Times New Roman"/>
                <w:color w:val="000000" w:themeColor="text1"/>
                <w:sz w:val="21"/>
                <w:szCs w:val="21"/>
                <w:highlight w:val="none"/>
                <w:shd w:val="clear" w:color="auto" w:fill="auto"/>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shd w:val="clear" w:color="auto" w:fill="auto"/>
                <w:lang w:eastAsia="zh-CN"/>
                <w14:textFill>
                  <w14:solidFill>
                    <w14:schemeClr w14:val="tx1"/>
                  </w14:solidFill>
                </w14:textFill>
              </w:rPr>
              <w:t>O</w:t>
            </w:r>
            <w:r>
              <w:rPr>
                <w:rFonts w:hint="eastAsia" w:ascii="Times New Roman" w:hAnsi="Times New Roman" w:eastAsia="宋体" w:cs="Times New Roman"/>
                <w:color w:val="000000" w:themeColor="text1"/>
                <w:sz w:val="21"/>
                <w:szCs w:val="21"/>
                <w:highlight w:val="none"/>
                <w:shd w:val="clear" w:color="auto" w:fill="auto"/>
                <w:vertAlign w:val="subscript"/>
                <w:lang w:eastAsia="zh-CN"/>
                <w14:textFill>
                  <w14:solidFill>
                    <w14:schemeClr w14:val="tx1"/>
                  </w14:solidFill>
                </w14:textFill>
              </w:rPr>
              <w:t>3</w:t>
            </w:r>
          </w:p>
        </w:tc>
        <w:tc>
          <w:tcPr>
            <w:tcW w:w="1604" w:type="pct"/>
            <w:tcBorders>
              <w:tl2br w:val="nil"/>
              <w:tr2bl w:val="nil"/>
            </w:tcBorders>
            <w:vAlign w:val="center"/>
          </w:tcPr>
          <w:p w14:paraId="2FA2D0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最大8小时平均第90百分位数</w:t>
            </w:r>
          </w:p>
        </w:tc>
        <w:tc>
          <w:tcPr>
            <w:tcW w:w="716" w:type="pct"/>
            <w:tcBorders>
              <w:tl2br w:val="nil"/>
              <w:tr2bl w:val="nil"/>
            </w:tcBorders>
            <w:vAlign w:val="center"/>
          </w:tcPr>
          <w:p w14:paraId="2CFE2B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160</w:t>
            </w:r>
          </w:p>
        </w:tc>
        <w:tc>
          <w:tcPr>
            <w:tcW w:w="762" w:type="pct"/>
            <w:tcBorders>
              <w:tl2br w:val="nil"/>
              <w:tr2bl w:val="nil"/>
            </w:tcBorders>
            <w:vAlign w:val="center"/>
          </w:tcPr>
          <w:p w14:paraId="4465BB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lang w:val="en-US" w:eastAsia="zh-CN"/>
                <w14:textFill>
                  <w14:solidFill>
                    <w14:schemeClr w14:val="tx1"/>
                  </w14:solidFill>
                </w14:textFill>
              </w:rPr>
              <w:t>189</w:t>
            </w:r>
          </w:p>
        </w:tc>
        <w:tc>
          <w:tcPr>
            <w:tcW w:w="1325" w:type="dxa"/>
            <w:tcBorders>
              <w:tl2br w:val="nil"/>
              <w:tr2bl w:val="nil"/>
            </w:tcBorders>
            <w:vAlign w:val="center"/>
          </w:tcPr>
          <w:p w14:paraId="21F218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lang w:val="en-US" w:eastAsia="zh-CN"/>
                <w14:textFill>
                  <w14:solidFill>
                    <w14:schemeClr w14:val="tx1"/>
                  </w14:solidFill>
                </w14:textFill>
              </w:rPr>
              <w:t>118.1</w:t>
            </w:r>
          </w:p>
        </w:tc>
        <w:tc>
          <w:tcPr>
            <w:tcW w:w="451" w:type="pct"/>
            <w:tcBorders>
              <w:tl2br w:val="nil"/>
              <w:tr2bl w:val="nil"/>
            </w:tcBorders>
            <w:vAlign w:val="center"/>
          </w:tcPr>
          <w:p w14:paraId="4670C6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lang w:val="en-US" w:eastAsia="zh-CN"/>
                <w14:textFill>
                  <w14:solidFill>
                    <w14:schemeClr w14:val="tx1"/>
                  </w14:solidFill>
                </w14:textFill>
              </w:rPr>
              <w:t>18.1</w:t>
            </w:r>
          </w:p>
        </w:tc>
        <w:tc>
          <w:tcPr>
            <w:tcW w:w="410" w:type="pct"/>
            <w:tcBorders>
              <w:tl2br w:val="nil"/>
              <w:tr2bl w:val="nil"/>
            </w:tcBorders>
            <w:vAlign w:val="center"/>
          </w:tcPr>
          <w:p w14:paraId="1E744C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auto"/>
                <w14:textFill>
                  <w14:solidFill>
                    <w14:schemeClr w14:val="tx1"/>
                  </w14:solidFill>
                </w14:textFill>
              </w:rPr>
              <w:t>超标</w:t>
            </w:r>
          </w:p>
        </w:tc>
      </w:tr>
    </w:tbl>
    <w:p w14:paraId="51A063A4">
      <w:pPr>
        <w:bidi w:val="0"/>
        <w:rPr>
          <w:rFonts w:hint="default"/>
          <w:highlight w:val="none"/>
        </w:rPr>
      </w:pPr>
      <w:r>
        <w:rPr>
          <w:rFonts w:hint="default"/>
          <w:highlight w:val="none"/>
          <w:lang w:val="en-US" w:eastAsia="zh-CN"/>
        </w:rPr>
        <w:t>由上表可知，</w:t>
      </w:r>
      <w:r>
        <w:rPr>
          <w:rFonts w:hint="default"/>
          <w:highlight w:val="none"/>
        </w:rPr>
        <w:t>本区域环境空气质量</w:t>
      </w:r>
      <w:r>
        <w:rPr>
          <w:rFonts w:hint="eastAsia"/>
          <w:highlight w:val="none"/>
          <w:lang w:eastAsia="zh-CN"/>
        </w:rPr>
        <w:t>PM</w:t>
      </w:r>
      <w:r>
        <w:rPr>
          <w:rFonts w:hint="eastAsia"/>
          <w:highlight w:val="none"/>
          <w:vertAlign w:val="subscript"/>
          <w:lang w:eastAsia="zh-CN"/>
        </w:rPr>
        <w:t>2.5</w:t>
      </w:r>
      <w:r>
        <w:rPr>
          <w:rFonts w:hint="default"/>
          <w:highlight w:val="none"/>
        </w:rPr>
        <w:t>、</w:t>
      </w:r>
      <w:r>
        <w:rPr>
          <w:rFonts w:hint="eastAsia"/>
          <w:highlight w:val="none"/>
          <w:lang w:eastAsia="zh-CN"/>
        </w:rPr>
        <w:t>O</w:t>
      </w:r>
      <w:r>
        <w:rPr>
          <w:rFonts w:hint="eastAsia"/>
          <w:highlight w:val="none"/>
          <w:vertAlign w:val="subscript"/>
          <w:lang w:eastAsia="zh-CN"/>
        </w:rPr>
        <w:t>3</w:t>
      </w:r>
      <w:r>
        <w:rPr>
          <w:rFonts w:hint="default"/>
          <w:highlight w:val="none"/>
          <w:lang w:eastAsia="zh-CN"/>
        </w:rPr>
        <w:t>不</w:t>
      </w:r>
      <w:r>
        <w:rPr>
          <w:rFonts w:hint="default"/>
          <w:highlight w:val="none"/>
        </w:rPr>
        <w:t>能满足《环境空气质量标准》（GB3095-2012）及其修改单中二级标准要求。</w:t>
      </w:r>
    </w:p>
    <w:p w14:paraId="67A26BAB">
      <w:pPr>
        <w:pStyle w:val="8"/>
        <w:keepNext w:val="0"/>
        <w:keepLines w:val="0"/>
        <w:pageBreakBefore w:val="0"/>
        <w:widowControl w:val="0"/>
        <w:kinsoku/>
        <w:wordWrap/>
        <w:overflowPunct/>
        <w:topLinePunct w:val="0"/>
        <w:autoSpaceDE/>
        <w:autoSpaceDN/>
        <w:bidi w:val="0"/>
        <w:adjustRightInd/>
        <w:snapToGrid/>
        <w:spacing w:line="480" w:lineRule="exact"/>
        <w:ind w:left="0" w:leftChars="0" w:right="0" w:rightChars="0"/>
        <w:textAlignment w:val="auto"/>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4.3.1.2其他污染物</w:t>
      </w:r>
      <w:r>
        <w:rPr>
          <w:rFonts w:hint="default" w:ascii="Times New Roman" w:hAnsi="Times New Roman" w:eastAsia="宋体" w:cs="Times New Roman"/>
          <w:color w:val="000000" w:themeColor="text1"/>
          <w:highlight w:val="none"/>
          <w14:textFill>
            <w14:solidFill>
              <w14:schemeClr w14:val="tx1"/>
            </w14:solidFill>
          </w14:textFill>
        </w:rPr>
        <w:t>环境</w:t>
      </w:r>
      <w:r>
        <w:rPr>
          <w:rFonts w:hint="default" w:ascii="Times New Roman" w:hAnsi="Times New Roman" w:eastAsia="宋体" w:cs="Times New Roman"/>
          <w:color w:val="000000" w:themeColor="text1"/>
          <w:highlight w:val="none"/>
          <w:lang w:val="en-US" w:eastAsia="zh-CN"/>
          <w14:textFill>
            <w14:solidFill>
              <w14:schemeClr w14:val="tx1"/>
            </w14:solidFill>
          </w14:textFill>
        </w:rPr>
        <w:t>空气</w:t>
      </w:r>
      <w:r>
        <w:rPr>
          <w:rFonts w:hint="default" w:ascii="Times New Roman" w:hAnsi="Times New Roman" w:eastAsia="宋体" w:cs="Times New Roman"/>
          <w:color w:val="000000" w:themeColor="text1"/>
          <w:highlight w:val="none"/>
          <w14:textFill>
            <w14:solidFill>
              <w14:schemeClr w14:val="tx1"/>
            </w14:solidFill>
          </w14:textFill>
        </w:rPr>
        <w:t>质量现状监测与评价</w:t>
      </w:r>
      <w:bookmarkEnd w:id="251"/>
    </w:p>
    <w:p w14:paraId="44C39945">
      <w:pPr>
        <w:keepNext w:val="0"/>
        <w:keepLines w:val="0"/>
        <w:pageBreakBefore w:val="0"/>
        <w:widowControl w:val="0"/>
        <w:kinsoku/>
        <w:wordWrap/>
        <w:overflowPunct/>
        <w:topLinePunct w:val="0"/>
        <w:autoSpaceDE/>
        <w:autoSpaceDN/>
        <w:bidi w:val="0"/>
        <w:adjustRightInd/>
        <w:snapToGrid/>
        <w:spacing w:line="480" w:lineRule="exact"/>
        <w:ind w:left="0" w:leftChars="0" w:right="0" w:rightChars="0" w:firstLine="480" w:firstLineChars="200"/>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eastAsia="zh-CN"/>
          <w14:textFill>
            <w14:solidFill>
              <w14:schemeClr w14:val="tx1"/>
            </w14:solidFill>
          </w14:textFill>
        </w:rPr>
        <w:t>⑴</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环境空气质量监测内容</w:t>
      </w:r>
    </w:p>
    <w:p w14:paraId="5A9971BC">
      <w:pPr>
        <w:keepNext w:val="0"/>
        <w:keepLines w:val="0"/>
        <w:pageBreakBefore w:val="0"/>
        <w:widowControl w:val="0"/>
        <w:kinsoku/>
        <w:wordWrap/>
        <w:overflowPunct/>
        <w:topLinePunct w:val="0"/>
        <w:autoSpaceDE/>
        <w:autoSpaceDN/>
        <w:bidi w:val="0"/>
        <w:spacing w:line="500" w:lineRule="exact"/>
        <w:ind w:rightChars="0" w:firstLine="480" w:firstLineChars="200"/>
        <w:jc w:val="left"/>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本项目其他污染物主要为</w:t>
      </w:r>
      <w:r>
        <w:rPr>
          <w:rFonts w:hint="eastAsia" w:cs="Times New Roman"/>
          <w:color w:val="000000" w:themeColor="text1"/>
          <w:sz w:val="24"/>
          <w:highlight w:val="none"/>
          <w:lang w:val="en-US" w:eastAsia="zh-CN"/>
          <w14:textFill>
            <w14:solidFill>
              <w14:schemeClr w14:val="tx1"/>
            </w14:solidFill>
          </w14:textFill>
        </w:rPr>
        <w:t>NH</w:t>
      </w:r>
      <w:r>
        <w:rPr>
          <w:rFonts w:hint="eastAsia" w:cs="Times New Roman"/>
          <w:color w:val="000000" w:themeColor="text1"/>
          <w:sz w:val="24"/>
          <w:highlight w:val="none"/>
          <w:vertAlign w:val="subscript"/>
          <w:lang w:val="en-US" w:eastAsia="zh-CN"/>
          <w14:textFill>
            <w14:solidFill>
              <w14:schemeClr w14:val="tx1"/>
            </w14:solidFill>
          </w14:textFill>
        </w:rPr>
        <w:t>3</w:t>
      </w:r>
      <w:r>
        <w:rPr>
          <w:rFonts w:hint="default" w:ascii="Times New Roman" w:hAnsi="Times New Roman" w:eastAsia="宋体" w:cs="Times New Roman"/>
          <w:color w:val="000000" w:themeColor="text1"/>
          <w:sz w:val="24"/>
          <w:highlight w:val="none"/>
          <w:vertAlign w:val="subscript"/>
          <w:lang w:val="en-US" w:eastAsia="zh-CN"/>
          <w14:textFill>
            <w14:solidFill>
              <w14:schemeClr w14:val="tx1"/>
            </w14:solidFill>
          </w14:textFill>
        </w:rPr>
        <w:t>、</w:t>
      </w:r>
      <w:r>
        <w:rPr>
          <w:rFonts w:hint="eastAsia" w:cs="Times New Roman"/>
          <w:color w:val="000000" w:themeColor="text1"/>
          <w:sz w:val="24"/>
          <w:highlight w:val="none"/>
          <w:vertAlign w:val="baseline"/>
          <w:lang w:val="en-US" w:eastAsia="zh-CN"/>
          <w14:textFill>
            <w14:solidFill>
              <w14:schemeClr w14:val="tx1"/>
            </w14:solidFill>
          </w14:textFill>
        </w:rPr>
        <w:t>H</w:t>
      </w:r>
      <w:r>
        <w:rPr>
          <w:rFonts w:hint="eastAsia" w:cs="Times New Roman"/>
          <w:color w:val="000000" w:themeColor="text1"/>
          <w:sz w:val="24"/>
          <w:highlight w:val="none"/>
          <w:vertAlign w:val="subscript"/>
          <w:lang w:val="en-US" w:eastAsia="zh-CN"/>
          <w14:textFill>
            <w14:solidFill>
              <w14:schemeClr w14:val="tx1"/>
            </w14:solidFill>
          </w14:textFill>
        </w:rPr>
        <w:t>2</w:t>
      </w:r>
      <w:r>
        <w:rPr>
          <w:rFonts w:hint="eastAsia" w:cs="Times New Roman"/>
          <w:color w:val="000000" w:themeColor="text1"/>
          <w:sz w:val="24"/>
          <w:highlight w:val="none"/>
          <w:vertAlign w:val="baseline"/>
          <w:lang w:val="en-US" w:eastAsia="zh-CN"/>
          <w14:textFill>
            <w14:solidFill>
              <w14:schemeClr w14:val="tx1"/>
            </w14:solidFill>
          </w14:textFill>
        </w:rPr>
        <w:t>S</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w:t>
      </w:r>
    </w:p>
    <w:p w14:paraId="3B99114A">
      <w:pPr>
        <w:keepNext w:val="0"/>
        <w:keepLines w:val="0"/>
        <w:pageBreakBefore w:val="0"/>
        <w:widowControl w:val="0"/>
        <w:kinsoku/>
        <w:wordWrap/>
        <w:overflowPunct/>
        <w:topLinePunct w:val="0"/>
        <w:autoSpaceDE/>
        <w:autoSpaceDN/>
        <w:bidi w:val="0"/>
        <w:adjustRightInd/>
        <w:snapToGrid/>
        <w:spacing w:line="480" w:lineRule="exact"/>
        <w:ind w:left="0" w:leftChars="0" w:right="0" w:rightChars="0" w:firstLine="480" w:firstLineChars="200"/>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bookmarkStart w:id="252" w:name="OLE_LINK37"/>
      <w:r>
        <w:rPr>
          <w:rFonts w:hint="eastAsia" w:cs="Times New Roman"/>
          <w:color w:val="000000" w:themeColor="text1"/>
          <w:sz w:val="24"/>
          <w:highlight w:val="none"/>
          <w:lang w:val="en-US" w:eastAsia="zh-CN"/>
          <w14:textFill>
            <w14:solidFill>
              <w14:schemeClr w14:val="tx1"/>
            </w14:solidFill>
          </w14:textFill>
        </w:rPr>
        <w:t>NH</w:t>
      </w:r>
      <w:r>
        <w:rPr>
          <w:rFonts w:hint="eastAsia" w:cs="Times New Roman"/>
          <w:color w:val="000000" w:themeColor="text1"/>
          <w:sz w:val="24"/>
          <w:highlight w:val="none"/>
          <w:vertAlign w:val="subscript"/>
          <w:lang w:val="en-US" w:eastAsia="zh-CN"/>
          <w14:textFill>
            <w14:solidFill>
              <w14:schemeClr w14:val="tx1"/>
            </w14:solidFill>
          </w14:textFill>
        </w:rPr>
        <w:t>3</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w:t>
      </w:r>
      <w:r>
        <w:rPr>
          <w:rFonts w:hint="eastAsia" w:cs="Times New Roman"/>
          <w:color w:val="000000" w:themeColor="text1"/>
          <w:sz w:val="24"/>
          <w:highlight w:val="none"/>
          <w:lang w:val="en-US" w:eastAsia="zh-CN"/>
          <w14:textFill>
            <w14:solidFill>
              <w14:schemeClr w14:val="tx1"/>
            </w14:solidFill>
          </w14:textFill>
        </w:rPr>
        <w:t>H</w:t>
      </w:r>
      <w:r>
        <w:rPr>
          <w:rFonts w:hint="eastAsia" w:cs="Times New Roman"/>
          <w:color w:val="000000" w:themeColor="text1"/>
          <w:sz w:val="24"/>
          <w:highlight w:val="none"/>
          <w:vertAlign w:val="subscript"/>
          <w:lang w:val="en-US" w:eastAsia="zh-CN"/>
          <w14:textFill>
            <w14:solidFill>
              <w14:schemeClr w14:val="tx1"/>
            </w14:solidFill>
          </w14:textFill>
        </w:rPr>
        <w:t>2</w:t>
      </w:r>
      <w:r>
        <w:rPr>
          <w:rFonts w:hint="eastAsia" w:cs="Times New Roman"/>
          <w:color w:val="000000" w:themeColor="text1"/>
          <w:sz w:val="24"/>
          <w:highlight w:val="none"/>
          <w:lang w:val="en-US" w:eastAsia="zh-CN"/>
          <w14:textFill>
            <w14:solidFill>
              <w14:schemeClr w14:val="tx1"/>
            </w14:solidFill>
          </w14:textFill>
        </w:rPr>
        <w:t>S</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环境质量现状数据引用《曹妃甸区垦丰家居产业园控制性详细规划环境影响跟踪评价报告书》中数据，监测时间为2023年8月8日-2023年8月14日。</w:t>
      </w:r>
    </w:p>
    <w:bookmarkEnd w:id="252"/>
    <w:p w14:paraId="4052B546">
      <w:pPr>
        <w:keepNext w:val="0"/>
        <w:keepLines w:val="0"/>
        <w:pageBreakBefore w:val="0"/>
        <w:widowControl w:val="0"/>
        <w:kinsoku/>
        <w:wordWrap/>
        <w:overflowPunct/>
        <w:topLinePunct w:val="0"/>
        <w:autoSpaceDE/>
        <w:autoSpaceDN/>
        <w:bidi w:val="0"/>
        <w:adjustRightInd/>
        <w:snapToGrid/>
        <w:spacing w:line="480" w:lineRule="exact"/>
        <w:ind w:left="0" w:leftChars="0" w:right="0" w:rightChars="0" w:firstLine="480" w:firstLineChars="200"/>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根据</w:t>
      </w:r>
      <w:r>
        <w:rPr>
          <w:rFonts w:hint="default" w:ascii="Times New Roman" w:hAnsi="Times New Roman" w:eastAsia="宋体" w:cs="Times New Roman"/>
          <w:color w:val="000000" w:themeColor="text1"/>
          <w:sz w:val="24"/>
          <w:szCs w:val="24"/>
          <w:highlight w:val="none"/>
          <w14:textFill>
            <w14:solidFill>
              <w14:schemeClr w14:val="tx1"/>
            </w14:solidFill>
          </w14:textFill>
        </w:rPr>
        <w:t>《环境影响评价技术导则－大气环境》（</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HJ2.2-2018</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6.3.2监测布点：以近20年统计的当地主导风向为轴向，在厂址及主导风向下风向5km范围内设置1~2个监测点。</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项目所在地主导风向</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不明显</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监测点位（曹妃甸区垦丰家居产业园园区北侧区域）位于本项目东北侧962m，监测点位（曹妃甸湿地鸟类自然保护区实验区）位于本项目东南侧1985m，均小于5000m，满足</w:t>
      </w:r>
      <w:r>
        <w:rPr>
          <w:rFonts w:hint="default" w:ascii="Times New Roman" w:hAnsi="Times New Roman" w:eastAsia="宋体" w:cs="Times New Roman"/>
          <w:color w:val="000000" w:themeColor="text1"/>
          <w:sz w:val="24"/>
          <w:szCs w:val="24"/>
          <w:highlight w:val="none"/>
          <w14:textFill>
            <w14:solidFill>
              <w14:schemeClr w14:val="tx1"/>
            </w14:solidFill>
          </w14:textFill>
        </w:rPr>
        <w:t>《环境影响评价技术导则－大气环境》（</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HJ2.2-2018</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中要求</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w:t>
      </w:r>
    </w:p>
    <w:p w14:paraId="776685B0">
      <w:pPr>
        <w:keepNext w:val="0"/>
        <w:keepLines w:val="0"/>
        <w:pageBreakBefore w:val="0"/>
        <w:widowControl w:val="0"/>
        <w:kinsoku/>
        <w:wordWrap/>
        <w:overflowPunct/>
        <w:topLinePunct w:val="0"/>
        <w:autoSpaceDE/>
        <w:autoSpaceDN/>
        <w:bidi w:val="0"/>
        <w:adjustRightInd/>
        <w:snapToGrid/>
        <w:spacing w:line="480" w:lineRule="exact"/>
        <w:ind w:left="0" w:leftChars="0" w:right="0" w:rightChars="0" w:firstLine="480" w:firstLineChars="200"/>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监测位置、监测因子、监测频率见表4.3-3。</w:t>
      </w:r>
    </w:p>
    <w:p w14:paraId="6F13B428">
      <w:pPr>
        <w:pStyle w:val="2"/>
        <w:rPr>
          <w:rFonts w:hint="default"/>
          <w:lang w:val="en-US" w:eastAsia="zh-CN"/>
        </w:rPr>
      </w:pPr>
    </w:p>
    <w:p w14:paraId="70B63D78">
      <w:pPr>
        <w:keepNext w:val="0"/>
        <w:keepLines w:val="0"/>
        <w:pageBreakBefore w:val="0"/>
        <w:widowControl w:val="0"/>
        <w:numPr>
          <w:ilvl w:val="0"/>
          <w:numId w:val="30"/>
        </w:numPr>
        <w:kinsoku/>
        <w:wordWrap/>
        <w:overflowPunct/>
        <w:topLinePunct w:val="0"/>
        <w:autoSpaceDE w:val="0"/>
        <w:autoSpaceDN w:val="0"/>
        <w:bidi w:val="0"/>
        <w:adjustRightInd w:val="0"/>
        <w:snapToGrid/>
        <w:spacing w:line="500" w:lineRule="exact"/>
        <w:ind w:left="425" w:leftChars="0" w:hanging="425" w:firstLineChars="0"/>
        <w:jc w:val="center"/>
        <w:textAlignment w:val="auto"/>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pPr>
      <w:r>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t>环境空气质量现状监测内容一览表</w:t>
      </w:r>
    </w:p>
    <w:tbl>
      <w:tblPr>
        <w:tblStyle w:val="47"/>
        <w:tblW w:w="499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678"/>
        <w:gridCol w:w="1442"/>
        <w:gridCol w:w="1046"/>
        <w:gridCol w:w="3732"/>
        <w:gridCol w:w="1383"/>
      </w:tblGrid>
      <w:tr w14:paraId="7DA779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04" w:type="pct"/>
            <w:tcBorders>
              <w:tl2br w:val="nil"/>
              <w:tr2bl w:val="nil"/>
            </w:tcBorders>
            <w:noWrap w:val="0"/>
            <w:vAlign w:val="center"/>
          </w:tcPr>
          <w:p w14:paraId="417D2A6A">
            <w:pPr>
              <w:pStyle w:val="58"/>
              <w:bidi w:val="0"/>
              <w:rPr>
                <w:rFonts w:hint="default"/>
                <w:highlight w:val="none"/>
                <w:lang w:val="en-US" w:eastAsia="zh-CN"/>
              </w:rPr>
            </w:pPr>
            <w:r>
              <w:rPr>
                <w:rFonts w:hint="default"/>
                <w:highlight w:val="none"/>
                <w:lang w:val="en-US" w:eastAsia="zh-CN"/>
              </w:rPr>
              <w:t>监测点位</w:t>
            </w:r>
          </w:p>
        </w:tc>
        <w:tc>
          <w:tcPr>
            <w:tcW w:w="776" w:type="pct"/>
            <w:tcBorders>
              <w:tl2br w:val="nil"/>
              <w:tr2bl w:val="nil"/>
            </w:tcBorders>
            <w:noWrap w:val="0"/>
            <w:vAlign w:val="center"/>
          </w:tcPr>
          <w:p w14:paraId="0791555A">
            <w:pPr>
              <w:pStyle w:val="58"/>
              <w:bidi w:val="0"/>
              <w:rPr>
                <w:rFonts w:hint="default"/>
                <w:highlight w:val="none"/>
                <w:lang w:val="en-US" w:eastAsia="zh-CN"/>
              </w:rPr>
            </w:pPr>
            <w:r>
              <w:rPr>
                <w:rFonts w:hint="default"/>
                <w:highlight w:val="none"/>
                <w:lang w:val="en-US" w:eastAsia="zh-CN"/>
              </w:rPr>
              <w:t>相对于本项目方位及距离</w:t>
            </w:r>
          </w:p>
        </w:tc>
        <w:tc>
          <w:tcPr>
            <w:tcW w:w="563" w:type="pct"/>
            <w:tcBorders>
              <w:tl2br w:val="nil"/>
              <w:tr2bl w:val="nil"/>
            </w:tcBorders>
            <w:noWrap w:val="0"/>
            <w:vAlign w:val="center"/>
          </w:tcPr>
          <w:p w14:paraId="19A9A987">
            <w:pPr>
              <w:pStyle w:val="58"/>
              <w:bidi w:val="0"/>
              <w:rPr>
                <w:rFonts w:hint="default"/>
                <w:highlight w:val="none"/>
                <w:lang w:val="en-US" w:eastAsia="zh-CN"/>
              </w:rPr>
            </w:pPr>
            <w:r>
              <w:rPr>
                <w:rFonts w:hint="default"/>
                <w:highlight w:val="none"/>
                <w:lang w:val="en-US" w:eastAsia="zh-CN"/>
              </w:rPr>
              <w:t>监测因子</w:t>
            </w:r>
          </w:p>
        </w:tc>
        <w:tc>
          <w:tcPr>
            <w:tcW w:w="2010" w:type="pct"/>
            <w:tcBorders>
              <w:tl2br w:val="nil"/>
              <w:tr2bl w:val="nil"/>
            </w:tcBorders>
            <w:noWrap w:val="0"/>
            <w:vAlign w:val="center"/>
          </w:tcPr>
          <w:p w14:paraId="1C502713">
            <w:pPr>
              <w:pStyle w:val="58"/>
              <w:bidi w:val="0"/>
              <w:rPr>
                <w:rFonts w:hint="default"/>
                <w:highlight w:val="none"/>
                <w:lang w:val="en-US" w:eastAsia="zh-CN"/>
              </w:rPr>
            </w:pPr>
            <w:r>
              <w:rPr>
                <w:rFonts w:hint="default"/>
                <w:highlight w:val="none"/>
                <w:lang w:val="en-US" w:eastAsia="zh-CN"/>
              </w:rPr>
              <w:t>监测时间</w:t>
            </w:r>
          </w:p>
        </w:tc>
        <w:tc>
          <w:tcPr>
            <w:tcW w:w="745" w:type="pct"/>
            <w:tcBorders>
              <w:tl2br w:val="nil"/>
              <w:tr2bl w:val="nil"/>
            </w:tcBorders>
            <w:noWrap w:val="0"/>
            <w:vAlign w:val="center"/>
          </w:tcPr>
          <w:p w14:paraId="46A738F3">
            <w:pPr>
              <w:pStyle w:val="58"/>
              <w:bidi w:val="0"/>
              <w:rPr>
                <w:rFonts w:hint="default"/>
                <w:highlight w:val="none"/>
                <w:lang w:val="en-US" w:eastAsia="zh-CN"/>
              </w:rPr>
            </w:pPr>
            <w:r>
              <w:rPr>
                <w:rFonts w:hint="default"/>
                <w:highlight w:val="none"/>
                <w:lang w:val="en-US" w:eastAsia="zh-CN"/>
              </w:rPr>
              <w:t>监测频次</w:t>
            </w:r>
          </w:p>
        </w:tc>
      </w:tr>
      <w:tr w14:paraId="084D5BD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04" w:type="pct"/>
            <w:tcBorders>
              <w:tl2br w:val="nil"/>
              <w:tr2bl w:val="nil"/>
            </w:tcBorders>
            <w:noWrap w:val="0"/>
            <w:vAlign w:val="center"/>
          </w:tcPr>
          <w:p w14:paraId="7E97A79C">
            <w:pPr>
              <w:pStyle w:val="58"/>
              <w:bidi w:val="0"/>
              <w:rPr>
                <w:rFonts w:hint="default"/>
                <w:highlight w:val="none"/>
                <w:lang w:val="en-US" w:eastAsia="zh-CN"/>
              </w:rPr>
            </w:pPr>
            <w:r>
              <w:rPr>
                <w:rFonts w:hint="default"/>
                <w:highlight w:val="none"/>
                <w:lang w:val="en-US" w:eastAsia="zh-CN"/>
              </w:rPr>
              <w:t>曹妃甸区垦丰家居产业园园区北侧区域</w:t>
            </w:r>
          </w:p>
        </w:tc>
        <w:tc>
          <w:tcPr>
            <w:tcW w:w="776" w:type="pct"/>
            <w:tcBorders>
              <w:tl2br w:val="nil"/>
              <w:tr2bl w:val="nil"/>
            </w:tcBorders>
            <w:noWrap w:val="0"/>
            <w:vAlign w:val="center"/>
          </w:tcPr>
          <w:p w14:paraId="67A8B843">
            <w:pPr>
              <w:pStyle w:val="58"/>
              <w:bidi w:val="0"/>
              <w:rPr>
                <w:rFonts w:hint="default"/>
                <w:highlight w:val="none"/>
                <w:lang w:val="en-US" w:eastAsia="zh-CN"/>
              </w:rPr>
            </w:pPr>
            <w:r>
              <w:rPr>
                <w:rFonts w:hint="default"/>
                <w:highlight w:val="none"/>
                <w:lang w:val="en-US" w:eastAsia="zh-CN"/>
              </w:rPr>
              <w:t>NE962m</w:t>
            </w:r>
          </w:p>
        </w:tc>
        <w:tc>
          <w:tcPr>
            <w:tcW w:w="563" w:type="pct"/>
            <w:tcBorders>
              <w:tl2br w:val="nil"/>
              <w:tr2bl w:val="nil"/>
            </w:tcBorders>
            <w:noWrap w:val="0"/>
            <w:vAlign w:val="center"/>
          </w:tcPr>
          <w:p w14:paraId="63B960B4">
            <w:pPr>
              <w:pStyle w:val="58"/>
              <w:bidi w:val="0"/>
              <w:rPr>
                <w:rFonts w:hint="default"/>
                <w:highlight w:val="none"/>
                <w:lang w:val="en-US" w:eastAsia="zh-CN"/>
              </w:rPr>
            </w:pPr>
            <w:r>
              <w:rPr>
                <w:rFonts w:hint="eastAsia"/>
                <w:highlight w:val="none"/>
                <w:lang w:val="en-US" w:eastAsia="zh-CN"/>
              </w:rPr>
              <w:t>NH</w:t>
            </w:r>
            <w:r>
              <w:rPr>
                <w:rFonts w:hint="eastAsia"/>
                <w:highlight w:val="none"/>
                <w:vertAlign w:val="subscript"/>
                <w:lang w:val="en-US" w:eastAsia="zh-CN"/>
              </w:rPr>
              <w:t>3</w:t>
            </w:r>
            <w:r>
              <w:rPr>
                <w:rFonts w:hint="default"/>
                <w:highlight w:val="none"/>
                <w:lang w:val="en-US" w:eastAsia="zh-CN"/>
              </w:rPr>
              <w:t>、</w:t>
            </w:r>
            <w:r>
              <w:rPr>
                <w:rFonts w:hint="eastAsia"/>
                <w:highlight w:val="none"/>
                <w:lang w:val="en-US" w:eastAsia="zh-CN"/>
              </w:rPr>
              <w:t>H</w:t>
            </w:r>
            <w:r>
              <w:rPr>
                <w:rFonts w:hint="eastAsia"/>
                <w:highlight w:val="none"/>
                <w:vertAlign w:val="subscript"/>
                <w:lang w:val="en-US" w:eastAsia="zh-CN"/>
              </w:rPr>
              <w:t>2</w:t>
            </w:r>
            <w:r>
              <w:rPr>
                <w:rFonts w:hint="eastAsia"/>
                <w:highlight w:val="none"/>
                <w:lang w:val="en-US" w:eastAsia="zh-CN"/>
              </w:rPr>
              <w:t>S</w:t>
            </w:r>
          </w:p>
        </w:tc>
        <w:tc>
          <w:tcPr>
            <w:tcW w:w="2010" w:type="pct"/>
            <w:tcBorders>
              <w:tl2br w:val="nil"/>
              <w:tr2bl w:val="nil"/>
            </w:tcBorders>
            <w:noWrap w:val="0"/>
            <w:vAlign w:val="center"/>
          </w:tcPr>
          <w:p w14:paraId="5FCD3511">
            <w:pPr>
              <w:pStyle w:val="58"/>
              <w:bidi w:val="0"/>
              <w:rPr>
                <w:rFonts w:hint="default"/>
                <w:highlight w:val="none"/>
                <w:lang w:val="en-US" w:eastAsia="zh-CN"/>
              </w:rPr>
            </w:pPr>
            <w:r>
              <w:rPr>
                <w:rFonts w:hint="default"/>
                <w:highlight w:val="none"/>
                <w:lang w:val="en-US" w:eastAsia="zh-CN"/>
              </w:rPr>
              <w:t>2023年8月8日-2023年8月14日</w:t>
            </w:r>
          </w:p>
        </w:tc>
        <w:tc>
          <w:tcPr>
            <w:tcW w:w="745" w:type="pct"/>
            <w:tcBorders>
              <w:tl2br w:val="nil"/>
              <w:tr2bl w:val="nil"/>
            </w:tcBorders>
            <w:noWrap w:val="0"/>
            <w:vAlign w:val="center"/>
          </w:tcPr>
          <w:p w14:paraId="5C04FFD5">
            <w:pPr>
              <w:pStyle w:val="58"/>
              <w:bidi w:val="0"/>
              <w:rPr>
                <w:rFonts w:hint="default"/>
                <w:highlight w:val="none"/>
                <w:lang w:val="en-US" w:eastAsia="zh-CN"/>
              </w:rPr>
            </w:pPr>
            <w:r>
              <w:rPr>
                <w:rFonts w:hint="default"/>
                <w:highlight w:val="none"/>
                <w:lang w:val="en-US" w:eastAsia="zh-CN"/>
              </w:rPr>
              <w:t>1小时平均</w:t>
            </w:r>
          </w:p>
        </w:tc>
      </w:tr>
      <w:tr w14:paraId="34F8C1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04" w:type="pct"/>
            <w:tcBorders>
              <w:tl2br w:val="nil"/>
              <w:tr2bl w:val="nil"/>
            </w:tcBorders>
            <w:noWrap w:val="0"/>
            <w:vAlign w:val="center"/>
          </w:tcPr>
          <w:p w14:paraId="71D9E90A">
            <w:pPr>
              <w:pStyle w:val="58"/>
              <w:bidi w:val="0"/>
              <w:rPr>
                <w:rFonts w:hint="default"/>
                <w:highlight w:val="none"/>
                <w:lang w:val="en-US" w:eastAsia="zh-CN"/>
              </w:rPr>
            </w:pPr>
            <w:r>
              <w:rPr>
                <w:rFonts w:hint="default"/>
                <w:highlight w:val="none"/>
                <w:lang w:val="en-US" w:eastAsia="zh-CN"/>
              </w:rPr>
              <w:t>曹妃甸湿地鸟类自然保护区实验区</w:t>
            </w:r>
          </w:p>
        </w:tc>
        <w:tc>
          <w:tcPr>
            <w:tcW w:w="776" w:type="pct"/>
            <w:tcBorders>
              <w:tl2br w:val="nil"/>
              <w:tr2bl w:val="nil"/>
            </w:tcBorders>
            <w:noWrap w:val="0"/>
            <w:vAlign w:val="center"/>
          </w:tcPr>
          <w:p w14:paraId="1C6E7305">
            <w:pPr>
              <w:pStyle w:val="58"/>
              <w:bidi w:val="0"/>
              <w:rPr>
                <w:rFonts w:hint="default"/>
                <w:highlight w:val="none"/>
                <w:lang w:val="en-US" w:eastAsia="zh-CN"/>
              </w:rPr>
            </w:pPr>
            <w:r>
              <w:rPr>
                <w:rFonts w:hint="default"/>
                <w:highlight w:val="none"/>
                <w:lang w:val="en-US" w:eastAsia="zh-CN"/>
              </w:rPr>
              <w:t>SE1985m</w:t>
            </w:r>
          </w:p>
        </w:tc>
        <w:tc>
          <w:tcPr>
            <w:tcW w:w="563" w:type="pct"/>
            <w:tcBorders>
              <w:tl2br w:val="nil"/>
              <w:tr2bl w:val="nil"/>
            </w:tcBorders>
            <w:noWrap w:val="0"/>
            <w:vAlign w:val="center"/>
          </w:tcPr>
          <w:p w14:paraId="393A551B">
            <w:pPr>
              <w:pStyle w:val="58"/>
              <w:bidi w:val="0"/>
              <w:rPr>
                <w:rFonts w:hint="default"/>
                <w:highlight w:val="none"/>
                <w:lang w:val="en-US" w:eastAsia="zh-CN"/>
              </w:rPr>
            </w:pPr>
            <w:r>
              <w:rPr>
                <w:rFonts w:hint="eastAsia"/>
                <w:highlight w:val="none"/>
                <w:lang w:val="en-US" w:eastAsia="zh-CN"/>
              </w:rPr>
              <w:t>NH</w:t>
            </w:r>
            <w:r>
              <w:rPr>
                <w:rFonts w:hint="eastAsia"/>
                <w:highlight w:val="none"/>
                <w:vertAlign w:val="subscript"/>
                <w:lang w:val="en-US" w:eastAsia="zh-CN"/>
              </w:rPr>
              <w:t>3</w:t>
            </w:r>
            <w:r>
              <w:rPr>
                <w:rFonts w:hint="default"/>
                <w:highlight w:val="none"/>
                <w:lang w:val="en-US" w:eastAsia="zh-CN"/>
              </w:rPr>
              <w:t>、</w:t>
            </w:r>
            <w:r>
              <w:rPr>
                <w:rFonts w:hint="eastAsia"/>
                <w:highlight w:val="none"/>
                <w:lang w:val="en-US" w:eastAsia="zh-CN"/>
              </w:rPr>
              <w:t>H</w:t>
            </w:r>
            <w:r>
              <w:rPr>
                <w:rFonts w:hint="eastAsia"/>
                <w:highlight w:val="none"/>
                <w:vertAlign w:val="subscript"/>
                <w:lang w:val="en-US" w:eastAsia="zh-CN"/>
              </w:rPr>
              <w:t>2</w:t>
            </w:r>
            <w:r>
              <w:rPr>
                <w:rFonts w:hint="eastAsia"/>
                <w:highlight w:val="none"/>
                <w:lang w:val="en-US" w:eastAsia="zh-CN"/>
              </w:rPr>
              <w:t>S</w:t>
            </w:r>
          </w:p>
        </w:tc>
        <w:tc>
          <w:tcPr>
            <w:tcW w:w="2010" w:type="pct"/>
            <w:tcBorders>
              <w:tl2br w:val="nil"/>
              <w:tr2bl w:val="nil"/>
            </w:tcBorders>
            <w:noWrap w:val="0"/>
            <w:vAlign w:val="center"/>
          </w:tcPr>
          <w:p w14:paraId="5042DAEC">
            <w:pPr>
              <w:pStyle w:val="58"/>
              <w:bidi w:val="0"/>
              <w:rPr>
                <w:rFonts w:hint="default"/>
                <w:highlight w:val="none"/>
                <w:lang w:val="en-US" w:eastAsia="zh-CN"/>
              </w:rPr>
            </w:pPr>
            <w:r>
              <w:rPr>
                <w:rFonts w:hint="default"/>
                <w:highlight w:val="none"/>
                <w:lang w:val="en-US" w:eastAsia="zh-CN"/>
              </w:rPr>
              <w:t>2023年8月8日-2023年8月14日</w:t>
            </w:r>
          </w:p>
        </w:tc>
        <w:tc>
          <w:tcPr>
            <w:tcW w:w="745" w:type="pct"/>
            <w:tcBorders>
              <w:tl2br w:val="nil"/>
              <w:tr2bl w:val="nil"/>
            </w:tcBorders>
            <w:noWrap w:val="0"/>
            <w:vAlign w:val="center"/>
          </w:tcPr>
          <w:p w14:paraId="0663C76A">
            <w:pPr>
              <w:pStyle w:val="58"/>
              <w:bidi w:val="0"/>
              <w:rPr>
                <w:rFonts w:hint="default"/>
                <w:highlight w:val="none"/>
                <w:lang w:val="en-US" w:eastAsia="zh-CN"/>
              </w:rPr>
            </w:pPr>
            <w:r>
              <w:rPr>
                <w:rFonts w:hint="default"/>
                <w:highlight w:val="none"/>
                <w:lang w:val="en-US" w:eastAsia="zh-CN"/>
              </w:rPr>
              <w:t>1小时平均</w:t>
            </w:r>
          </w:p>
        </w:tc>
      </w:tr>
    </w:tbl>
    <w:p w14:paraId="46E4BA36">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⑵</w:t>
      </w:r>
      <w:r>
        <w:rPr>
          <w:rFonts w:hint="default" w:ascii="Times New Roman" w:hAnsi="Times New Roman" w:eastAsia="宋体" w:cs="Times New Roman"/>
          <w:color w:val="000000" w:themeColor="text1"/>
          <w:sz w:val="24"/>
          <w:szCs w:val="24"/>
          <w:highlight w:val="none"/>
          <w14:textFill>
            <w14:solidFill>
              <w14:schemeClr w14:val="tx1"/>
            </w14:solidFill>
          </w14:textFill>
        </w:rPr>
        <w:t>监测及分析方法</w:t>
      </w:r>
    </w:p>
    <w:p w14:paraId="17F0EB93">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监测采样方法按照《环境空气质量标准》（GB3095-2012）、《环境监测技术规范》和《空气及废气监测分析方法》中规定的方法进行</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p>
    <w:p w14:paraId="41942257">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⑶</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监测结果</w:t>
      </w:r>
      <w:r>
        <w:rPr>
          <w:rFonts w:hint="default" w:ascii="Times New Roman" w:hAnsi="Times New Roman" w:eastAsia="宋体" w:cs="Times New Roman"/>
          <w:color w:val="000000" w:themeColor="text1"/>
          <w:sz w:val="24"/>
          <w:szCs w:val="24"/>
          <w:highlight w:val="none"/>
          <w14:textFill>
            <w14:solidFill>
              <w14:schemeClr w14:val="tx1"/>
            </w14:solidFill>
          </w14:textFill>
        </w:rPr>
        <w:t>数据统计分析与评价</w:t>
      </w:r>
    </w:p>
    <w:p w14:paraId="4412CAFE">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评价方法：采用单因子污染指数法进行评价。</w:t>
      </w:r>
    </w:p>
    <w:p w14:paraId="6D7E89BA">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污染指数P</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i</w:t>
      </w:r>
      <w:r>
        <w:rPr>
          <w:rFonts w:hint="default" w:ascii="Times New Roman" w:hAnsi="Times New Roman" w:eastAsia="宋体" w:cs="Times New Roman"/>
          <w:color w:val="000000" w:themeColor="text1"/>
          <w:sz w:val="24"/>
          <w:szCs w:val="24"/>
          <w:highlight w:val="none"/>
          <w14:textFill>
            <w14:solidFill>
              <w14:schemeClr w14:val="tx1"/>
            </w14:solidFill>
          </w14:textFill>
        </w:rPr>
        <w:t>的定义如下：</w:t>
      </w:r>
    </w:p>
    <w:p w14:paraId="711187F3">
      <w:pPr>
        <w:keepNext w:val="0"/>
        <w:keepLines w:val="0"/>
        <w:pageBreakBefore w:val="0"/>
        <w:widowControl w:val="0"/>
        <w:kinsoku/>
        <w:wordWrap/>
        <w:overflowPunct/>
        <w:topLinePunct w:val="0"/>
        <w:autoSpaceDE/>
        <w:autoSpaceDN/>
        <w:bidi w:val="0"/>
        <w:adjustRightInd/>
        <w:snapToGrid/>
        <w:spacing w:line="480" w:lineRule="exact"/>
        <w:ind w:firstLine="1920" w:firstLineChars="8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P</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i</w:t>
      </w:r>
      <w:r>
        <w:rPr>
          <w:rFonts w:hint="default" w:ascii="Times New Roman" w:hAnsi="Times New Roman" w:eastAsia="宋体" w:cs="Times New Roman"/>
          <w:color w:val="000000" w:themeColor="text1"/>
          <w:sz w:val="24"/>
          <w:szCs w:val="24"/>
          <w:highlight w:val="none"/>
          <w14:textFill>
            <w14:solidFill>
              <w14:schemeClr w14:val="tx1"/>
            </w14:solidFill>
          </w14:textFill>
        </w:rPr>
        <w:t>=C</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i</w:t>
      </w:r>
      <w:r>
        <w:rPr>
          <w:rFonts w:hint="default" w:ascii="Times New Roman" w:hAnsi="Times New Roman" w:eastAsia="宋体" w:cs="Times New Roman"/>
          <w:color w:val="000000" w:themeColor="text1"/>
          <w:sz w:val="24"/>
          <w:szCs w:val="24"/>
          <w:highlight w:val="none"/>
          <w14:textFill>
            <w14:solidFill>
              <w14:schemeClr w14:val="tx1"/>
            </w14:solidFill>
          </w14:textFill>
        </w:rPr>
        <w:t>/C</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oi</w:t>
      </w:r>
    </w:p>
    <w:p w14:paraId="1AB088A4">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式中：P</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i</w:t>
      </w:r>
      <w:r>
        <w:rPr>
          <w:rFonts w:hint="default" w:ascii="Times New Roman" w:hAnsi="Times New Roman" w:eastAsia="宋体" w:cs="Times New Roman"/>
          <w:color w:val="000000" w:themeColor="text1"/>
          <w:sz w:val="24"/>
          <w:szCs w:val="24"/>
          <w:highlight w:val="none"/>
          <w14:textFill>
            <w14:solidFill>
              <w14:schemeClr w14:val="tx1"/>
            </w14:solidFill>
          </w14:textFill>
        </w:rPr>
        <w:t>―某污染物的标准指数；</w:t>
      </w:r>
    </w:p>
    <w:p w14:paraId="659A4168">
      <w:pPr>
        <w:keepNext w:val="0"/>
        <w:keepLines w:val="0"/>
        <w:pageBreakBefore w:val="0"/>
        <w:widowControl w:val="0"/>
        <w:kinsoku/>
        <w:wordWrap/>
        <w:overflowPunct/>
        <w:topLinePunct w:val="0"/>
        <w:autoSpaceDE/>
        <w:autoSpaceDN/>
        <w:bidi w:val="0"/>
        <w:adjustRightInd/>
        <w:snapToGrid/>
        <w:spacing w:line="480" w:lineRule="exact"/>
        <w:ind w:firstLine="1200" w:firstLineChars="5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C</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i</w:t>
      </w:r>
      <w:r>
        <w:rPr>
          <w:rFonts w:hint="default" w:ascii="Times New Roman" w:hAnsi="Times New Roman" w:eastAsia="宋体" w:cs="Times New Roman"/>
          <w:color w:val="000000" w:themeColor="text1"/>
          <w:sz w:val="24"/>
          <w:szCs w:val="24"/>
          <w:highlight w:val="none"/>
          <w14:textFill>
            <w14:solidFill>
              <w14:schemeClr w14:val="tx1"/>
            </w14:solidFill>
          </w14:textFill>
        </w:rPr>
        <w:t>―某污染因子现状监测浓度，mg/</w:t>
      </w:r>
      <w:r>
        <w:rPr>
          <w:rFonts w:hint="eastAsia" w:cs="Times New Roman"/>
          <w:color w:val="000000" w:themeColor="text1"/>
          <w:sz w:val="24"/>
          <w:szCs w:val="24"/>
          <w:highlight w:val="none"/>
          <w:lang w:eastAsia="zh-CN"/>
          <w14:textFill>
            <w14:solidFill>
              <w14:schemeClr w14:val="tx1"/>
            </w14:solidFill>
          </w14:textFill>
        </w:rPr>
        <w:t>m</w:t>
      </w:r>
      <w:r>
        <w:rPr>
          <w:rFonts w:hint="eastAsia" w:cs="Times New Roman"/>
          <w:color w:val="000000" w:themeColor="text1"/>
          <w:sz w:val="24"/>
          <w:szCs w:val="24"/>
          <w:highlight w:val="none"/>
          <w:vertAlign w:val="superscript"/>
          <w:lang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3708C03F">
      <w:pPr>
        <w:keepNext w:val="0"/>
        <w:keepLines w:val="0"/>
        <w:pageBreakBefore w:val="0"/>
        <w:widowControl w:val="0"/>
        <w:kinsoku/>
        <w:wordWrap/>
        <w:overflowPunct/>
        <w:topLinePunct w:val="0"/>
        <w:autoSpaceDE/>
        <w:autoSpaceDN/>
        <w:bidi w:val="0"/>
        <w:adjustRightInd/>
        <w:snapToGrid/>
        <w:spacing w:line="480" w:lineRule="exact"/>
        <w:ind w:firstLine="1200" w:firstLineChars="5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C</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oi</w:t>
      </w:r>
      <w:r>
        <w:rPr>
          <w:rFonts w:hint="default" w:ascii="Times New Roman" w:hAnsi="Times New Roman" w:eastAsia="宋体" w:cs="Times New Roman"/>
          <w:color w:val="000000" w:themeColor="text1"/>
          <w:sz w:val="24"/>
          <w:szCs w:val="24"/>
          <w:highlight w:val="none"/>
          <w14:textFill>
            <w14:solidFill>
              <w14:schemeClr w14:val="tx1"/>
            </w14:solidFill>
          </w14:textFill>
        </w:rPr>
        <w:t>―某污染因子的环境质量标准，mg/</w:t>
      </w:r>
      <w:r>
        <w:rPr>
          <w:rFonts w:hint="eastAsia" w:cs="Times New Roman"/>
          <w:color w:val="000000" w:themeColor="text1"/>
          <w:sz w:val="24"/>
          <w:szCs w:val="24"/>
          <w:highlight w:val="none"/>
          <w:lang w:eastAsia="zh-CN"/>
          <w14:textFill>
            <w14:solidFill>
              <w14:schemeClr w14:val="tx1"/>
            </w14:solidFill>
          </w14:textFill>
        </w:rPr>
        <w:t>m</w:t>
      </w:r>
      <w:r>
        <w:rPr>
          <w:rFonts w:hint="eastAsia" w:cs="Times New Roman"/>
          <w:color w:val="000000" w:themeColor="text1"/>
          <w:sz w:val="24"/>
          <w:szCs w:val="24"/>
          <w:highlight w:val="none"/>
          <w:vertAlign w:val="superscript"/>
          <w:lang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028A6677">
      <w:pPr>
        <w:keepNext w:val="0"/>
        <w:keepLines w:val="0"/>
        <w:pageBreakBefore w:val="0"/>
        <w:widowControl/>
        <w:suppressLineNumbers w:val="0"/>
        <w:kinsoku/>
        <w:wordWrap/>
        <w:overflowPunct/>
        <w:topLinePunct w:val="0"/>
        <w:autoSpaceDE/>
        <w:autoSpaceDN/>
        <w:bidi w:val="0"/>
        <w:adjustRightInd/>
        <w:snapToGrid/>
        <w:spacing w:line="480" w:lineRule="exact"/>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bookmarkStart w:id="253" w:name="_Toc246763537"/>
      <w:r>
        <w:rPr>
          <w:rFonts w:hint="default" w:ascii="Times New Roman" w:hAnsi="Times New Roman" w:eastAsia="宋体" w:cs="Times New Roman"/>
          <w:color w:val="000000" w:themeColor="text1"/>
          <w:sz w:val="24"/>
          <w:szCs w:val="24"/>
          <w:highlight w:val="none"/>
          <w14:textFill>
            <w14:solidFill>
              <w14:schemeClr w14:val="tx1"/>
            </w14:solidFill>
          </w14:textFill>
        </w:rPr>
        <w:t>评价标准：</w:t>
      </w:r>
      <w:r>
        <w:rPr>
          <w:rFonts w:hint="eastAsia" w:cs="Times New Roman"/>
          <w:color w:val="000000" w:themeColor="text1"/>
          <w:sz w:val="24"/>
          <w:szCs w:val="24"/>
          <w:highlight w:val="none"/>
          <w:lang w:val="en-US" w:eastAsia="zh-CN"/>
          <w14:textFill>
            <w14:solidFill>
              <w14:schemeClr w14:val="tx1"/>
            </w14:solidFill>
          </w14:textFill>
        </w:rPr>
        <w:t>NH</w:t>
      </w:r>
      <w:r>
        <w:rPr>
          <w:rFonts w:hint="eastAsia" w:cs="Times New Roman"/>
          <w:color w:val="000000" w:themeColor="text1"/>
          <w:sz w:val="24"/>
          <w:szCs w:val="24"/>
          <w:highlight w:val="none"/>
          <w:vertAlign w:val="sub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eastAsia" w:cs="Times New Roman"/>
          <w:color w:val="000000" w:themeColor="text1"/>
          <w:kern w:val="24"/>
          <w:sz w:val="24"/>
          <w:highlight w:val="none"/>
          <w:lang w:eastAsia="zh-CN"/>
          <w14:textFill>
            <w14:solidFill>
              <w14:schemeClr w14:val="tx1"/>
            </w14:solidFill>
          </w14:textFill>
        </w:rPr>
        <w:t>H</w:t>
      </w:r>
      <w:r>
        <w:rPr>
          <w:rFonts w:hint="eastAsia" w:cs="Times New Roman"/>
          <w:color w:val="000000" w:themeColor="text1"/>
          <w:kern w:val="24"/>
          <w:sz w:val="24"/>
          <w:highlight w:val="none"/>
          <w:vertAlign w:val="subscript"/>
          <w:lang w:eastAsia="zh-CN"/>
          <w14:textFill>
            <w14:solidFill>
              <w14:schemeClr w14:val="tx1"/>
            </w14:solidFill>
          </w14:textFill>
        </w:rPr>
        <w:t>2</w:t>
      </w:r>
      <w:r>
        <w:rPr>
          <w:rFonts w:hint="eastAsia" w:cs="Times New Roman"/>
          <w:color w:val="000000" w:themeColor="text1"/>
          <w:kern w:val="24"/>
          <w:sz w:val="24"/>
          <w:highlight w:val="none"/>
          <w:lang w:eastAsia="zh-CN"/>
          <w14:textFill>
            <w14:solidFill>
              <w14:schemeClr w14:val="tx1"/>
            </w14:solidFill>
          </w14:textFill>
        </w:rPr>
        <w:t>S</w:t>
      </w:r>
      <w:r>
        <w:rPr>
          <w:rFonts w:hint="default" w:ascii="Times New Roman" w:hAnsi="Times New Roman" w:eastAsia="宋体" w:cs="Times New Roman"/>
          <w:color w:val="000000" w:themeColor="text1"/>
          <w:sz w:val="24"/>
          <w:szCs w:val="24"/>
          <w:highlight w:val="none"/>
          <w14:textFill>
            <w14:solidFill>
              <w14:schemeClr w14:val="tx1"/>
            </w14:solidFill>
          </w14:textFill>
        </w:rPr>
        <w:t>采用《环境影响评价技术导则－大气环境》（</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HJ2.2-2018</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附录D其他污染物空气质量浓度参考限值要求</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18358785">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按上述方法对监测数据进行统计</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评价结果见表</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4.3-4</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0E1734A1">
      <w:pPr>
        <w:keepNext w:val="0"/>
        <w:keepLines w:val="0"/>
        <w:pageBreakBefore w:val="0"/>
        <w:widowControl w:val="0"/>
        <w:numPr>
          <w:ilvl w:val="0"/>
          <w:numId w:val="30"/>
        </w:numPr>
        <w:kinsoku/>
        <w:wordWrap/>
        <w:overflowPunct/>
        <w:topLinePunct w:val="0"/>
        <w:autoSpaceDE w:val="0"/>
        <w:autoSpaceDN w:val="0"/>
        <w:bidi w:val="0"/>
        <w:adjustRightInd w:val="0"/>
        <w:snapToGrid/>
        <w:spacing w:line="500" w:lineRule="exact"/>
        <w:ind w:left="425" w:leftChars="0" w:hanging="425" w:firstLineChars="0"/>
        <w:jc w:val="center"/>
        <w:textAlignment w:val="auto"/>
        <w:rPr>
          <w:rFonts w:hint="default" w:ascii="Times New Roman" w:hAnsi="Times New Roman" w:eastAsia="宋体" w:cs="Times New Roman"/>
          <w:b/>
          <w:bCs w:val="0"/>
          <w:color w:val="000000" w:themeColor="text1"/>
          <w:sz w:val="25"/>
          <w:szCs w:val="25"/>
          <w:highlight w:val="none"/>
          <w:shd w:val="clear" w:color="auto" w:fill="auto"/>
          <w14:textFill>
            <w14:solidFill>
              <w14:schemeClr w14:val="tx1"/>
            </w14:solidFill>
          </w14:textFill>
        </w:rPr>
      </w:pPr>
      <w:r>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t>监测因子浓度变化范围及标准指数统计结果一览表</w:t>
      </w:r>
    </w:p>
    <w:tbl>
      <w:tblPr>
        <w:tblStyle w:val="47"/>
        <w:tblW w:w="849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08"/>
        <w:gridCol w:w="1976"/>
        <w:gridCol w:w="1650"/>
        <w:gridCol w:w="1227"/>
        <w:gridCol w:w="1293"/>
        <w:gridCol w:w="1241"/>
      </w:tblGrid>
      <w:tr w14:paraId="4AAFE74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8" w:type="dxa"/>
            <w:tcBorders>
              <w:tl2br w:val="nil"/>
              <w:tr2bl w:val="nil"/>
            </w:tcBorders>
            <w:noWrap w:val="0"/>
            <w:vAlign w:val="center"/>
          </w:tcPr>
          <w:p w14:paraId="7B7D210F">
            <w:pPr>
              <w:pStyle w:val="58"/>
              <w:bidi w:val="0"/>
              <w:rPr>
                <w:rFonts w:hint="default"/>
                <w:highlight w:val="none"/>
                <w:lang w:eastAsia="zh-CN"/>
              </w:rPr>
            </w:pPr>
            <w:r>
              <w:rPr>
                <w:rFonts w:hint="default"/>
                <w:highlight w:val="none"/>
                <w:lang w:eastAsia="zh-CN"/>
              </w:rPr>
              <w:t>监测因子</w:t>
            </w:r>
          </w:p>
        </w:tc>
        <w:tc>
          <w:tcPr>
            <w:tcW w:w="1976" w:type="dxa"/>
            <w:tcBorders>
              <w:tl2br w:val="nil"/>
              <w:tr2bl w:val="nil"/>
            </w:tcBorders>
            <w:noWrap w:val="0"/>
            <w:vAlign w:val="center"/>
          </w:tcPr>
          <w:p w14:paraId="79D2C674">
            <w:pPr>
              <w:pStyle w:val="58"/>
              <w:bidi w:val="0"/>
              <w:rPr>
                <w:rFonts w:hint="default"/>
                <w:highlight w:val="none"/>
                <w:lang w:eastAsia="zh-CN"/>
              </w:rPr>
            </w:pPr>
            <w:r>
              <w:rPr>
                <w:rFonts w:hint="default"/>
                <w:highlight w:val="none"/>
                <w:lang w:eastAsia="zh-CN"/>
              </w:rPr>
              <w:t>监测点位</w:t>
            </w:r>
          </w:p>
        </w:tc>
        <w:tc>
          <w:tcPr>
            <w:tcW w:w="1650" w:type="dxa"/>
            <w:tcBorders>
              <w:tl2br w:val="nil"/>
              <w:tr2bl w:val="nil"/>
            </w:tcBorders>
            <w:noWrap w:val="0"/>
            <w:vAlign w:val="center"/>
          </w:tcPr>
          <w:p w14:paraId="1D83A883">
            <w:pPr>
              <w:pStyle w:val="58"/>
              <w:bidi w:val="0"/>
              <w:rPr>
                <w:rFonts w:hint="default"/>
                <w:highlight w:val="none"/>
                <w:lang w:eastAsia="zh-CN"/>
              </w:rPr>
            </w:pPr>
            <w:r>
              <w:rPr>
                <w:rFonts w:hint="default"/>
                <w:highlight w:val="none"/>
                <w:lang w:eastAsia="zh-CN"/>
              </w:rPr>
              <w:t>类别</w:t>
            </w:r>
          </w:p>
        </w:tc>
        <w:tc>
          <w:tcPr>
            <w:tcW w:w="1227" w:type="dxa"/>
            <w:tcBorders>
              <w:tl2br w:val="nil"/>
              <w:tr2bl w:val="nil"/>
            </w:tcBorders>
            <w:noWrap w:val="0"/>
            <w:vAlign w:val="center"/>
          </w:tcPr>
          <w:p w14:paraId="202B1F42">
            <w:pPr>
              <w:pStyle w:val="58"/>
              <w:bidi w:val="0"/>
              <w:rPr>
                <w:rFonts w:hint="default"/>
                <w:highlight w:val="none"/>
                <w:lang w:eastAsia="zh-CN"/>
              </w:rPr>
            </w:pPr>
            <w:r>
              <w:rPr>
                <w:rFonts w:hint="default"/>
                <w:highlight w:val="none"/>
                <w:lang w:eastAsia="zh-CN"/>
              </w:rPr>
              <w:t>监测结果（μ</w:t>
            </w:r>
            <w:r>
              <w:rPr>
                <w:rFonts w:hint="default"/>
                <w:highlight w:val="none"/>
                <w:lang w:val="en-US" w:eastAsia="zh-CN"/>
              </w:rPr>
              <w:t>g/</w:t>
            </w:r>
            <w:r>
              <w:rPr>
                <w:rFonts w:hint="eastAsia"/>
                <w:highlight w:val="none"/>
                <w:lang w:val="en-US" w:eastAsia="zh-CN"/>
              </w:rPr>
              <w:t>m</w:t>
            </w:r>
            <w:r>
              <w:rPr>
                <w:rFonts w:hint="eastAsia"/>
                <w:highlight w:val="none"/>
                <w:vertAlign w:val="superscript"/>
                <w:lang w:val="en-US" w:eastAsia="zh-CN"/>
              </w:rPr>
              <w:t>3</w:t>
            </w:r>
            <w:r>
              <w:rPr>
                <w:rFonts w:hint="default"/>
                <w:highlight w:val="none"/>
                <w:lang w:eastAsia="zh-CN"/>
              </w:rPr>
              <w:t>）</w:t>
            </w:r>
          </w:p>
        </w:tc>
        <w:tc>
          <w:tcPr>
            <w:tcW w:w="1293" w:type="dxa"/>
            <w:tcBorders>
              <w:tl2br w:val="nil"/>
              <w:tr2bl w:val="nil"/>
            </w:tcBorders>
            <w:noWrap w:val="0"/>
            <w:vAlign w:val="center"/>
          </w:tcPr>
          <w:p w14:paraId="6656C031">
            <w:pPr>
              <w:pStyle w:val="58"/>
              <w:bidi w:val="0"/>
              <w:rPr>
                <w:rFonts w:hint="default"/>
                <w:highlight w:val="none"/>
                <w:lang w:val="en-US" w:eastAsia="zh-CN"/>
              </w:rPr>
            </w:pPr>
            <w:r>
              <w:rPr>
                <w:rFonts w:hint="default"/>
                <w:highlight w:val="none"/>
                <w:lang w:val="en-US" w:eastAsia="zh-CN"/>
              </w:rPr>
              <w:t>标准值</w:t>
            </w:r>
            <w:r>
              <w:rPr>
                <w:rFonts w:hint="default"/>
                <w:highlight w:val="none"/>
                <w:lang w:eastAsia="zh-CN"/>
              </w:rPr>
              <w:t>（μ</w:t>
            </w:r>
            <w:r>
              <w:rPr>
                <w:rFonts w:hint="default"/>
                <w:highlight w:val="none"/>
                <w:lang w:val="en-US" w:eastAsia="zh-CN"/>
              </w:rPr>
              <w:t>g/</w:t>
            </w:r>
            <w:r>
              <w:rPr>
                <w:rFonts w:hint="eastAsia"/>
                <w:highlight w:val="none"/>
                <w:lang w:val="en-US" w:eastAsia="zh-CN"/>
              </w:rPr>
              <w:t>m</w:t>
            </w:r>
            <w:r>
              <w:rPr>
                <w:rFonts w:hint="eastAsia"/>
                <w:highlight w:val="none"/>
                <w:vertAlign w:val="superscript"/>
                <w:lang w:val="en-US" w:eastAsia="zh-CN"/>
              </w:rPr>
              <w:t>3</w:t>
            </w:r>
            <w:r>
              <w:rPr>
                <w:rFonts w:hint="default"/>
                <w:highlight w:val="none"/>
                <w:lang w:eastAsia="zh-CN"/>
              </w:rPr>
              <w:t>）</w:t>
            </w:r>
          </w:p>
        </w:tc>
        <w:tc>
          <w:tcPr>
            <w:tcW w:w="1241" w:type="dxa"/>
            <w:tcBorders>
              <w:tl2br w:val="nil"/>
              <w:tr2bl w:val="nil"/>
            </w:tcBorders>
            <w:noWrap w:val="0"/>
            <w:vAlign w:val="center"/>
          </w:tcPr>
          <w:p w14:paraId="3DCBA494">
            <w:pPr>
              <w:pStyle w:val="58"/>
              <w:bidi w:val="0"/>
              <w:rPr>
                <w:rFonts w:hint="default"/>
                <w:highlight w:val="none"/>
                <w:lang w:eastAsia="zh-CN"/>
              </w:rPr>
            </w:pPr>
            <w:r>
              <w:rPr>
                <w:rFonts w:hint="default"/>
                <w:highlight w:val="none"/>
                <w:lang w:eastAsia="zh-CN"/>
              </w:rPr>
              <w:t>标准指数</w:t>
            </w:r>
          </w:p>
        </w:tc>
      </w:tr>
      <w:tr w14:paraId="7D36655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8" w:type="dxa"/>
            <w:tcBorders>
              <w:tl2br w:val="nil"/>
              <w:tr2bl w:val="nil"/>
            </w:tcBorders>
            <w:noWrap w:val="0"/>
            <w:vAlign w:val="center"/>
          </w:tcPr>
          <w:p w14:paraId="47D9A2B0">
            <w:pPr>
              <w:pStyle w:val="58"/>
              <w:bidi w:val="0"/>
              <w:rPr>
                <w:rFonts w:hint="default"/>
                <w:highlight w:val="none"/>
                <w:lang w:val="en-US" w:eastAsia="zh-CN"/>
              </w:rPr>
            </w:pPr>
            <w:r>
              <w:rPr>
                <w:rFonts w:hint="eastAsia"/>
                <w:highlight w:val="none"/>
                <w:lang w:val="en-US" w:eastAsia="zh-CN"/>
              </w:rPr>
              <w:t>H</w:t>
            </w:r>
            <w:r>
              <w:rPr>
                <w:rFonts w:hint="eastAsia"/>
                <w:highlight w:val="none"/>
                <w:vertAlign w:val="subscript"/>
                <w:lang w:val="en-US" w:eastAsia="zh-CN"/>
              </w:rPr>
              <w:t>2</w:t>
            </w:r>
            <w:r>
              <w:rPr>
                <w:rFonts w:hint="eastAsia"/>
                <w:highlight w:val="none"/>
                <w:lang w:val="en-US" w:eastAsia="zh-CN"/>
              </w:rPr>
              <w:t>S</w:t>
            </w:r>
          </w:p>
        </w:tc>
        <w:tc>
          <w:tcPr>
            <w:tcW w:w="1976" w:type="dxa"/>
            <w:vMerge w:val="restart"/>
            <w:tcBorders>
              <w:tl2br w:val="nil"/>
              <w:tr2bl w:val="nil"/>
            </w:tcBorders>
            <w:noWrap w:val="0"/>
            <w:vAlign w:val="center"/>
          </w:tcPr>
          <w:p w14:paraId="5B0C78E5">
            <w:pPr>
              <w:pStyle w:val="58"/>
              <w:bidi w:val="0"/>
              <w:rPr>
                <w:rFonts w:hint="default"/>
                <w:highlight w:val="none"/>
                <w:lang w:eastAsia="zh-CN"/>
              </w:rPr>
            </w:pPr>
            <w:r>
              <w:rPr>
                <w:rFonts w:hint="default"/>
                <w:highlight w:val="none"/>
                <w:lang w:val="en-US" w:eastAsia="zh-CN"/>
              </w:rPr>
              <w:t>曹妃甸区垦丰家居产业园园区北侧区域</w:t>
            </w:r>
          </w:p>
        </w:tc>
        <w:tc>
          <w:tcPr>
            <w:tcW w:w="1650" w:type="dxa"/>
            <w:tcBorders>
              <w:tl2br w:val="nil"/>
              <w:tr2bl w:val="nil"/>
            </w:tcBorders>
            <w:noWrap w:val="0"/>
            <w:vAlign w:val="center"/>
          </w:tcPr>
          <w:p w14:paraId="460B7A80">
            <w:pPr>
              <w:pStyle w:val="58"/>
              <w:bidi w:val="0"/>
              <w:rPr>
                <w:rFonts w:hint="default"/>
                <w:highlight w:val="none"/>
                <w:lang w:eastAsia="zh-CN"/>
              </w:rPr>
            </w:pPr>
            <w:r>
              <w:rPr>
                <w:rFonts w:hint="default"/>
                <w:highlight w:val="none"/>
                <w:lang w:val="en-US" w:eastAsia="zh-CN"/>
              </w:rPr>
              <w:t>1小时平均</w:t>
            </w:r>
          </w:p>
        </w:tc>
        <w:tc>
          <w:tcPr>
            <w:tcW w:w="1227" w:type="dxa"/>
            <w:tcBorders>
              <w:tl2br w:val="nil"/>
              <w:tr2bl w:val="nil"/>
            </w:tcBorders>
            <w:noWrap w:val="0"/>
            <w:vAlign w:val="center"/>
          </w:tcPr>
          <w:p w14:paraId="5AE340AB">
            <w:pPr>
              <w:pStyle w:val="58"/>
              <w:bidi w:val="0"/>
              <w:rPr>
                <w:rFonts w:hint="default"/>
                <w:highlight w:val="none"/>
                <w:lang w:val="en-US" w:eastAsia="zh-CN"/>
              </w:rPr>
            </w:pPr>
            <w:r>
              <w:rPr>
                <w:rFonts w:hint="default"/>
                <w:highlight w:val="none"/>
                <w:lang w:val="en-US" w:eastAsia="zh-CN"/>
              </w:rPr>
              <w:t>7-9</w:t>
            </w:r>
          </w:p>
        </w:tc>
        <w:tc>
          <w:tcPr>
            <w:tcW w:w="1293" w:type="dxa"/>
            <w:tcBorders>
              <w:tl2br w:val="nil"/>
              <w:tr2bl w:val="nil"/>
            </w:tcBorders>
            <w:noWrap w:val="0"/>
            <w:vAlign w:val="center"/>
          </w:tcPr>
          <w:p w14:paraId="740A6988">
            <w:pPr>
              <w:pStyle w:val="58"/>
              <w:bidi w:val="0"/>
              <w:rPr>
                <w:rFonts w:hint="default"/>
                <w:highlight w:val="none"/>
                <w:lang w:val="en-US" w:eastAsia="zh-CN"/>
              </w:rPr>
            </w:pPr>
            <w:r>
              <w:rPr>
                <w:rFonts w:hint="default"/>
                <w:highlight w:val="none"/>
                <w:lang w:val="en-US" w:eastAsia="zh-CN"/>
              </w:rPr>
              <w:t>10</w:t>
            </w:r>
          </w:p>
        </w:tc>
        <w:tc>
          <w:tcPr>
            <w:tcW w:w="1241" w:type="dxa"/>
            <w:tcBorders>
              <w:tl2br w:val="nil"/>
              <w:tr2bl w:val="nil"/>
            </w:tcBorders>
            <w:noWrap w:val="0"/>
            <w:vAlign w:val="center"/>
          </w:tcPr>
          <w:p w14:paraId="655AAE7A">
            <w:pPr>
              <w:pStyle w:val="58"/>
              <w:bidi w:val="0"/>
              <w:rPr>
                <w:rFonts w:hint="default"/>
                <w:highlight w:val="none"/>
                <w:lang w:val="en-US" w:eastAsia="zh-CN"/>
              </w:rPr>
            </w:pPr>
            <w:r>
              <w:rPr>
                <w:rFonts w:hint="default"/>
                <w:highlight w:val="none"/>
                <w:lang w:val="en-US" w:eastAsia="zh-CN"/>
              </w:rPr>
              <w:t>0.700-0.900</w:t>
            </w:r>
          </w:p>
        </w:tc>
      </w:tr>
      <w:tr w14:paraId="762B518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8" w:type="dxa"/>
            <w:tcBorders>
              <w:tl2br w:val="nil"/>
              <w:tr2bl w:val="nil"/>
            </w:tcBorders>
            <w:noWrap w:val="0"/>
            <w:vAlign w:val="center"/>
          </w:tcPr>
          <w:p w14:paraId="41A3557E">
            <w:pPr>
              <w:pStyle w:val="58"/>
              <w:bidi w:val="0"/>
              <w:rPr>
                <w:rFonts w:hint="default"/>
                <w:highlight w:val="none"/>
                <w:lang w:val="en-US" w:eastAsia="zh-CN"/>
              </w:rPr>
            </w:pPr>
            <w:r>
              <w:rPr>
                <w:rFonts w:hint="eastAsia"/>
                <w:highlight w:val="none"/>
                <w:lang w:val="en-US" w:eastAsia="zh-CN"/>
              </w:rPr>
              <w:t>NH</w:t>
            </w:r>
            <w:r>
              <w:rPr>
                <w:rFonts w:hint="eastAsia"/>
                <w:highlight w:val="none"/>
                <w:vertAlign w:val="subscript"/>
                <w:lang w:val="en-US" w:eastAsia="zh-CN"/>
              </w:rPr>
              <w:t>3</w:t>
            </w:r>
          </w:p>
        </w:tc>
        <w:tc>
          <w:tcPr>
            <w:tcW w:w="1976" w:type="dxa"/>
            <w:vMerge w:val="continue"/>
            <w:tcBorders>
              <w:tl2br w:val="nil"/>
              <w:tr2bl w:val="nil"/>
            </w:tcBorders>
            <w:noWrap w:val="0"/>
            <w:vAlign w:val="center"/>
          </w:tcPr>
          <w:p w14:paraId="20CED5FF">
            <w:pPr>
              <w:pStyle w:val="58"/>
              <w:bidi w:val="0"/>
              <w:rPr>
                <w:rFonts w:hint="default"/>
                <w:highlight w:val="none"/>
                <w:lang w:val="en-US" w:eastAsia="zh-CN"/>
              </w:rPr>
            </w:pPr>
          </w:p>
        </w:tc>
        <w:tc>
          <w:tcPr>
            <w:tcW w:w="1650" w:type="dxa"/>
            <w:tcBorders>
              <w:tl2br w:val="nil"/>
              <w:tr2bl w:val="nil"/>
            </w:tcBorders>
            <w:noWrap w:val="0"/>
            <w:vAlign w:val="center"/>
          </w:tcPr>
          <w:p w14:paraId="53E82E3C">
            <w:pPr>
              <w:pStyle w:val="58"/>
              <w:bidi w:val="0"/>
              <w:rPr>
                <w:rFonts w:hint="default"/>
                <w:highlight w:val="none"/>
                <w:lang w:val="en-US" w:eastAsia="zh-CN"/>
              </w:rPr>
            </w:pPr>
            <w:r>
              <w:rPr>
                <w:rFonts w:hint="default"/>
                <w:highlight w:val="none"/>
                <w:lang w:val="en-US" w:eastAsia="zh-CN"/>
              </w:rPr>
              <w:t>1小时平均</w:t>
            </w:r>
          </w:p>
        </w:tc>
        <w:tc>
          <w:tcPr>
            <w:tcW w:w="1227" w:type="dxa"/>
            <w:tcBorders>
              <w:tl2br w:val="nil"/>
              <w:tr2bl w:val="nil"/>
            </w:tcBorders>
            <w:noWrap w:val="0"/>
            <w:vAlign w:val="center"/>
          </w:tcPr>
          <w:p w14:paraId="61BC7E90">
            <w:pPr>
              <w:pStyle w:val="58"/>
              <w:bidi w:val="0"/>
              <w:rPr>
                <w:rFonts w:hint="default"/>
                <w:highlight w:val="none"/>
                <w:lang w:val="en-US" w:eastAsia="zh-CN"/>
              </w:rPr>
            </w:pPr>
            <w:r>
              <w:rPr>
                <w:rFonts w:hint="default"/>
                <w:highlight w:val="none"/>
                <w:lang w:val="en-US" w:eastAsia="zh-CN"/>
              </w:rPr>
              <w:t>92-102</w:t>
            </w:r>
          </w:p>
        </w:tc>
        <w:tc>
          <w:tcPr>
            <w:tcW w:w="1293" w:type="dxa"/>
            <w:tcBorders>
              <w:tl2br w:val="nil"/>
              <w:tr2bl w:val="nil"/>
            </w:tcBorders>
            <w:noWrap w:val="0"/>
            <w:vAlign w:val="center"/>
          </w:tcPr>
          <w:p w14:paraId="6FAD8737">
            <w:pPr>
              <w:pStyle w:val="58"/>
              <w:bidi w:val="0"/>
              <w:rPr>
                <w:rFonts w:hint="default"/>
                <w:highlight w:val="none"/>
                <w:lang w:val="en-US" w:eastAsia="zh-CN"/>
              </w:rPr>
            </w:pPr>
            <w:r>
              <w:rPr>
                <w:rFonts w:hint="default"/>
                <w:highlight w:val="none"/>
                <w:lang w:val="en-US" w:eastAsia="zh-CN"/>
              </w:rPr>
              <w:t>200</w:t>
            </w:r>
          </w:p>
        </w:tc>
        <w:tc>
          <w:tcPr>
            <w:tcW w:w="1241" w:type="dxa"/>
            <w:tcBorders>
              <w:tl2br w:val="nil"/>
              <w:tr2bl w:val="nil"/>
            </w:tcBorders>
            <w:noWrap w:val="0"/>
            <w:vAlign w:val="center"/>
          </w:tcPr>
          <w:p w14:paraId="10CD02F3">
            <w:pPr>
              <w:pStyle w:val="58"/>
              <w:bidi w:val="0"/>
              <w:rPr>
                <w:rFonts w:hint="default"/>
                <w:highlight w:val="none"/>
                <w:lang w:val="en-US" w:eastAsia="zh-CN"/>
              </w:rPr>
            </w:pPr>
            <w:r>
              <w:rPr>
                <w:rFonts w:hint="default"/>
                <w:highlight w:val="none"/>
                <w:lang w:val="en-US" w:eastAsia="zh-CN"/>
              </w:rPr>
              <w:t>0.46-0.51</w:t>
            </w:r>
          </w:p>
        </w:tc>
      </w:tr>
      <w:tr w14:paraId="507C0CA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8" w:type="dxa"/>
            <w:tcBorders>
              <w:tl2br w:val="nil"/>
              <w:tr2bl w:val="nil"/>
            </w:tcBorders>
            <w:noWrap w:val="0"/>
            <w:vAlign w:val="center"/>
          </w:tcPr>
          <w:p w14:paraId="0166C286">
            <w:pPr>
              <w:pStyle w:val="58"/>
              <w:bidi w:val="0"/>
              <w:rPr>
                <w:rFonts w:hint="default"/>
                <w:highlight w:val="none"/>
                <w:lang w:val="en-US" w:eastAsia="zh-CN"/>
              </w:rPr>
            </w:pPr>
            <w:r>
              <w:rPr>
                <w:rFonts w:hint="eastAsia"/>
                <w:highlight w:val="none"/>
                <w:lang w:val="en-US" w:eastAsia="zh-CN"/>
              </w:rPr>
              <w:t>H</w:t>
            </w:r>
            <w:r>
              <w:rPr>
                <w:rFonts w:hint="eastAsia"/>
                <w:highlight w:val="none"/>
                <w:vertAlign w:val="subscript"/>
                <w:lang w:val="en-US" w:eastAsia="zh-CN"/>
              </w:rPr>
              <w:t>2</w:t>
            </w:r>
            <w:r>
              <w:rPr>
                <w:rFonts w:hint="eastAsia"/>
                <w:highlight w:val="none"/>
                <w:lang w:val="en-US" w:eastAsia="zh-CN"/>
              </w:rPr>
              <w:t>S</w:t>
            </w:r>
          </w:p>
        </w:tc>
        <w:tc>
          <w:tcPr>
            <w:tcW w:w="1976" w:type="dxa"/>
            <w:vMerge w:val="restart"/>
            <w:tcBorders>
              <w:tl2br w:val="nil"/>
              <w:tr2bl w:val="nil"/>
            </w:tcBorders>
            <w:noWrap w:val="0"/>
            <w:vAlign w:val="center"/>
          </w:tcPr>
          <w:p w14:paraId="3E98EFC5">
            <w:pPr>
              <w:pStyle w:val="58"/>
              <w:bidi w:val="0"/>
              <w:rPr>
                <w:rFonts w:hint="default"/>
                <w:highlight w:val="none"/>
                <w:lang w:val="en-US" w:eastAsia="zh-CN"/>
              </w:rPr>
            </w:pPr>
            <w:r>
              <w:rPr>
                <w:rFonts w:hint="default"/>
                <w:highlight w:val="none"/>
                <w:lang w:val="en-US" w:eastAsia="zh-CN"/>
              </w:rPr>
              <w:t>曹妃甸湿地鸟类自然保护区实验区</w:t>
            </w:r>
          </w:p>
        </w:tc>
        <w:tc>
          <w:tcPr>
            <w:tcW w:w="1650" w:type="dxa"/>
            <w:tcBorders>
              <w:tl2br w:val="nil"/>
              <w:tr2bl w:val="nil"/>
            </w:tcBorders>
            <w:noWrap w:val="0"/>
            <w:vAlign w:val="center"/>
          </w:tcPr>
          <w:p w14:paraId="55555048">
            <w:pPr>
              <w:pStyle w:val="58"/>
              <w:bidi w:val="0"/>
              <w:rPr>
                <w:rFonts w:hint="default"/>
                <w:highlight w:val="none"/>
                <w:lang w:val="en-US" w:eastAsia="zh-CN"/>
              </w:rPr>
            </w:pPr>
            <w:r>
              <w:rPr>
                <w:rFonts w:hint="default"/>
                <w:highlight w:val="none"/>
                <w:lang w:val="en-US" w:eastAsia="zh-CN"/>
              </w:rPr>
              <w:t>1小时平均</w:t>
            </w:r>
          </w:p>
        </w:tc>
        <w:tc>
          <w:tcPr>
            <w:tcW w:w="1227" w:type="dxa"/>
            <w:tcBorders>
              <w:tl2br w:val="nil"/>
              <w:tr2bl w:val="nil"/>
            </w:tcBorders>
            <w:noWrap w:val="0"/>
            <w:vAlign w:val="center"/>
          </w:tcPr>
          <w:p w14:paraId="15145992">
            <w:pPr>
              <w:pStyle w:val="58"/>
              <w:bidi w:val="0"/>
              <w:rPr>
                <w:rFonts w:hint="default"/>
                <w:highlight w:val="none"/>
                <w:lang w:val="en-US" w:eastAsia="zh-CN"/>
              </w:rPr>
            </w:pPr>
            <w:r>
              <w:rPr>
                <w:rFonts w:hint="default"/>
                <w:highlight w:val="none"/>
                <w:lang w:val="en-US" w:eastAsia="zh-CN"/>
              </w:rPr>
              <w:t>7-9</w:t>
            </w:r>
          </w:p>
        </w:tc>
        <w:tc>
          <w:tcPr>
            <w:tcW w:w="1293" w:type="dxa"/>
            <w:tcBorders>
              <w:tl2br w:val="nil"/>
              <w:tr2bl w:val="nil"/>
            </w:tcBorders>
            <w:noWrap w:val="0"/>
            <w:vAlign w:val="center"/>
          </w:tcPr>
          <w:p w14:paraId="6EE8AE3F">
            <w:pPr>
              <w:pStyle w:val="58"/>
              <w:bidi w:val="0"/>
              <w:rPr>
                <w:rFonts w:hint="default"/>
                <w:highlight w:val="none"/>
                <w:lang w:val="en-US" w:eastAsia="zh-CN"/>
              </w:rPr>
            </w:pPr>
            <w:r>
              <w:rPr>
                <w:rFonts w:hint="default"/>
                <w:highlight w:val="none"/>
                <w:lang w:val="en-US" w:eastAsia="zh-CN"/>
              </w:rPr>
              <w:t>10</w:t>
            </w:r>
          </w:p>
        </w:tc>
        <w:tc>
          <w:tcPr>
            <w:tcW w:w="1241" w:type="dxa"/>
            <w:tcBorders>
              <w:tl2br w:val="nil"/>
              <w:tr2bl w:val="nil"/>
            </w:tcBorders>
            <w:noWrap w:val="0"/>
            <w:vAlign w:val="center"/>
          </w:tcPr>
          <w:p w14:paraId="1102FD80">
            <w:pPr>
              <w:pStyle w:val="58"/>
              <w:bidi w:val="0"/>
              <w:rPr>
                <w:rFonts w:hint="default"/>
                <w:highlight w:val="none"/>
                <w:lang w:val="en-US" w:eastAsia="zh-CN"/>
              </w:rPr>
            </w:pPr>
            <w:r>
              <w:rPr>
                <w:rFonts w:hint="default"/>
                <w:highlight w:val="none"/>
                <w:lang w:val="en-US" w:eastAsia="zh-CN"/>
              </w:rPr>
              <w:t>0.700-0.900</w:t>
            </w:r>
          </w:p>
        </w:tc>
      </w:tr>
      <w:tr w14:paraId="63CA01F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8" w:type="dxa"/>
            <w:tcBorders>
              <w:tl2br w:val="nil"/>
              <w:tr2bl w:val="nil"/>
            </w:tcBorders>
            <w:noWrap w:val="0"/>
            <w:vAlign w:val="center"/>
          </w:tcPr>
          <w:p w14:paraId="3EF96725">
            <w:pPr>
              <w:pStyle w:val="58"/>
              <w:bidi w:val="0"/>
              <w:rPr>
                <w:rFonts w:hint="default"/>
                <w:highlight w:val="none"/>
                <w:lang w:val="en-US" w:eastAsia="zh-CN"/>
              </w:rPr>
            </w:pPr>
            <w:r>
              <w:rPr>
                <w:rFonts w:hint="eastAsia"/>
                <w:highlight w:val="none"/>
                <w:lang w:val="en-US" w:eastAsia="zh-CN"/>
              </w:rPr>
              <w:t>NH</w:t>
            </w:r>
            <w:r>
              <w:rPr>
                <w:rFonts w:hint="eastAsia"/>
                <w:highlight w:val="none"/>
                <w:vertAlign w:val="subscript"/>
                <w:lang w:val="en-US" w:eastAsia="zh-CN"/>
              </w:rPr>
              <w:t>3</w:t>
            </w:r>
          </w:p>
        </w:tc>
        <w:tc>
          <w:tcPr>
            <w:tcW w:w="1976" w:type="dxa"/>
            <w:vMerge w:val="continue"/>
            <w:tcBorders>
              <w:tl2br w:val="nil"/>
              <w:tr2bl w:val="nil"/>
            </w:tcBorders>
            <w:noWrap w:val="0"/>
            <w:vAlign w:val="center"/>
          </w:tcPr>
          <w:p w14:paraId="7F78F417">
            <w:pPr>
              <w:pStyle w:val="58"/>
              <w:bidi w:val="0"/>
              <w:rPr>
                <w:rFonts w:hint="default"/>
                <w:highlight w:val="none"/>
                <w:lang w:val="en-US" w:eastAsia="zh-CN"/>
              </w:rPr>
            </w:pPr>
          </w:p>
        </w:tc>
        <w:tc>
          <w:tcPr>
            <w:tcW w:w="1650" w:type="dxa"/>
            <w:tcBorders>
              <w:tl2br w:val="nil"/>
              <w:tr2bl w:val="nil"/>
            </w:tcBorders>
            <w:noWrap w:val="0"/>
            <w:vAlign w:val="center"/>
          </w:tcPr>
          <w:p w14:paraId="6BB237A3">
            <w:pPr>
              <w:pStyle w:val="58"/>
              <w:bidi w:val="0"/>
              <w:rPr>
                <w:rFonts w:hint="default"/>
                <w:highlight w:val="none"/>
                <w:lang w:val="en-US" w:eastAsia="zh-CN"/>
              </w:rPr>
            </w:pPr>
            <w:r>
              <w:rPr>
                <w:rFonts w:hint="default"/>
                <w:highlight w:val="none"/>
                <w:lang w:val="en-US" w:eastAsia="zh-CN"/>
              </w:rPr>
              <w:t>1小时平均</w:t>
            </w:r>
          </w:p>
        </w:tc>
        <w:tc>
          <w:tcPr>
            <w:tcW w:w="1227" w:type="dxa"/>
            <w:tcBorders>
              <w:tl2br w:val="nil"/>
              <w:tr2bl w:val="nil"/>
            </w:tcBorders>
            <w:noWrap w:val="0"/>
            <w:vAlign w:val="center"/>
          </w:tcPr>
          <w:p w14:paraId="13CE6781">
            <w:pPr>
              <w:pStyle w:val="58"/>
              <w:bidi w:val="0"/>
              <w:rPr>
                <w:rFonts w:hint="default"/>
                <w:highlight w:val="none"/>
                <w:lang w:val="en-US" w:eastAsia="zh-CN"/>
              </w:rPr>
            </w:pPr>
            <w:r>
              <w:rPr>
                <w:rFonts w:hint="default"/>
                <w:highlight w:val="none"/>
                <w:lang w:val="en-US" w:eastAsia="zh-CN"/>
              </w:rPr>
              <w:t>97-116</w:t>
            </w:r>
          </w:p>
        </w:tc>
        <w:tc>
          <w:tcPr>
            <w:tcW w:w="1293" w:type="dxa"/>
            <w:tcBorders>
              <w:tl2br w:val="nil"/>
              <w:tr2bl w:val="nil"/>
            </w:tcBorders>
            <w:noWrap w:val="0"/>
            <w:vAlign w:val="center"/>
          </w:tcPr>
          <w:p w14:paraId="21C9356B">
            <w:pPr>
              <w:pStyle w:val="58"/>
              <w:bidi w:val="0"/>
              <w:rPr>
                <w:rFonts w:hint="default"/>
                <w:highlight w:val="none"/>
                <w:lang w:val="en-US" w:eastAsia="zh-CN"/>
              </w:rPr>
            </w:pPr>
            <w:r>
              <w:rPr>
                <w:rFonts w:hint="default"/>
                <w:highlight w:val="none"/>
                <w:lang w:val="en-US" w:eastAsia="zh-CN"/>
              </w:rPr>
              <w:t>200</w:t>
            </w:r>
          </w:p>
        </w:tc>
        <w:tc>
          <w:tcPr>
            <w:tcW w:w="1241" w:type="dxa"/>
            <w:tcBorders>
              <w:tl2br w:val="nil"/>
              <w:tr2bl w:val="nil"/>
            </w:tcBorders>
            <w:noWrap w:val="0"/>
            <w:vAlign w:val="center"/>
          </w:tcPr>
          <w:p w14:paraId="4C95FEBF">
            <w:pPr>
              <w:pStyle w:val="58"/>
              <w:bidi w:val="0"/>
              <w:rPr>
                <w:rFonts w:hint="default"/>
                <w:highlight w:val="none"/>
                <w:lang w:val="en-US" w:eastAsia="zh-CN"/>
              </w:rPr>
            </w:pPr>
            <w:r>
              <w:rPr>
                <w:rFonts w:hint="default"/>
                <w:highlight w:val="none"/>
                <w:lang w:val="en-US" w:eastAsia="zh-CN"/>
              </w:rPr>
              <w:t>0.485-0.580</w:t>
            </w:r>
          </w:p>
        </w:tc>
      </w:tr>
    </w:tbl>
    <w:p w14:paraId="12F3EC7D">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由上表可知，</w:t>
      </w:r>
      <w:r>
        <w:rPr>
          <w:rFonts w:hint="eastAsia" w:cs="Times New Roman"/>
          <w:color w:val="000000" w:themeColor="text1"/>
          <w:sz w:val="24"/>
          <w:szCs w:val="24"/>
          <w:highlight w:val="none"/>
          <w:lang w:val="en-US" w:eastAsia="zh-CN"/>
          <w14:textFill>
            <w14:solidFill>
              <w14:schemeClr w14:val="tx1"/>
            </w14:solidFill>
          </w14:textFill>
        </w:rPr>
        <w:t>NH</w:t>
      </w:r>
      <w:r>
        <w:rPr>
          <w:rFonts w:hint="eastAsia" w:cs="Times New Roman"/>
          <w:color w:val="000000" w:themeColor="text1"/>
          <w:sz w:val="24"/>
          <w:szCs w:val="24"/>
          <w:highlight w:val="none"/>
          <w:vertAlign w:val="sub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eastAsia" w:cs="Times New Roman"/>
          <w:color w:val="000000" w:themeColor="text1"/>
          <w:kern w:val="24"/>
          <w:sz w:val="24"/>
          <w:highlight w:val="none"/>
          <w:lang w:eastAsia="zh-CN"/>
          <w14:textFill>
            <w14:solidFill>
              <w14:schemeClr w14:val="tx1"/>
            </w14:solidFill>
          </w14:textFill>
        </w:rPr>
        <w:t>H</w:t>
      </w:r>
      <w:r>
        <w:rPr>
          <w:rFonts w:hint="eastAsia" w:cs="Times New Roman"/>
          <w:color w:val="000000" w:themeColor="text1"/>
          <w:kern w:val="24"/>
          <w:sz w:val="24"/>
          <w:highlight w:val="none"/>
          <w:vertAlign w:val="subscript"/>
          <w:lang w:eastAsia="zh-CN"/>
          <w14:textFill>
            <w14:solidFill>
              <w14:schemeClr w14:val="tx1"/>
            </w14:solidFill>
          </w14:textFill>
        </w:rPr>
        <w:t>2</w:t>
      </w:r>
      <w:r>
        <w:rPr>
          <w:rFonts w:hint="eastAsia" w:cs="Times New Roman"/>
          <w:color w:val="000000" w:themeColor="text1"/>
          <w:kern w:val="24"/>
          <w:sz w:val="24"/>
          <w:highlight w:val="none"/>
          <w:lang w:eastAsia="zh-CN"/>
          <w14:textFill>
            <w14:solidFill>
              <w14:schemeClr w14:val="tx1"/>
            </w14:solidFill>
          </w14:textFill>
        </w:rPr>
        <w:t>S</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的1小时平均浓度满足</w:t>
      </w:r>
      <w:r>
        <w:rPr>
          <w:rFonts w:hint="default" w:ascii="Times New Roman" w:hAnsi="Times New Roman" w:eastAsia="宋体" w:cs="Times New Roman"/>
          <w:color w:val="000000" w:themeColor="text1"/>
          <w:sz w:val="24"/>
          <w:szCs w:val="24"/>
          <w:highlight w:val="none"/>
          <w14:textFill>
            <w14:solidFill>
              <w14:schemeClr w14:val="tx1"/>
            </w14:solidFill>
          </w14:textFill>
        </w:rPr>
        <w:t>《环境影响评价技术导则－大气环境》（</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HJ2.2-2018</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附录D其他污染物空气质量浓度参考限值要求。</w:t>
      </w:r>
    </w:p>
    <w:p w14:paraId="369F2D31">
      <w:pPr>
        <w:pStyle w:val="6"/>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4.3</w:t>
      </w:r>
      <w:r>
        <w:rPr>
          <w:rFonts w:hint="default" w:ascii="Times New Roman" w:hAnsi="Times New Roman" w:eastAsia="宋体" w:cs="Times New Roman"/>
          <w:color w:val="000000" w:themeColor="text1"/>
          <w:sz w:val="24"/>
          <w:szCs w:val="24"/>
          <w:highlight w:val="none"/>
          <w14:textFill>
            <w14:solidFill>
              <w14:schemeClr w14:val="tx1"/>
            </w14:solidFill>
          </w14:textFill>
        </w:rPr>
        <w:t>.2声环境质量现状监测与评价</w:t>
      </w:r>
      <w:bookmarkEnd w:id="253"/>
    </w:p>
    <w:p w14:paraId="495617BC">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bCs/>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本项目委托河北正联环保科技有限公司对项目所在地</w:t>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厂界进行了监测</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，监测时间为2024年5月28日。</w:t>
      </w:r>
    </w:p>
    <w:p w14:paraId="7166D1BC">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bCs/>
          <w:color w:val="000000" w:themeColor="text1"/>
          <w:sz w:val="24"/>
          <w:szCs w:val="24"/>
          <w:highlight w:val="none"/>
          <w:lang w:eastAsia="zh-CN"/>
          <w14:textFill>
            <w14:solidFill>
              <w14:schemeClr w14:val="tx1"/>
            </w14:solidFill>
          </w14:textFill>
        </w:rPr>
        <w:t>⑴</w:t>
      </w:r>
      <w:r>
        <w:rPr>
          <w:rFonts w:hint="default" w:ascii="Times New Roman" w:hAnsi="Times New Roman" w:eastAsia="宋体" w:cs="Times New Roman"/>
          <w:color w:val="000000" w:themeColor="text1"/>
          <w:sz w:val="24"/>
          <w:szCs w:val="24"/>
          <w:highlight w:val="none"/>
          <w14:textFill>
            <w14:solidFill>
              <w14:schemeClr w14:val="tx1"/>
            </w14:solidFill>
          </w14:textFill>
        </w:rPr>
        <w:t>监测点布设</w:t>
      </w:r>
    </w:p>
    <w:p w14:paraId="59B0619A">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在本项目厂界东侧、南侧、西侧、北侧各设置一个监测点，共4个</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65B77322">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bCs/>
          <w:color w:val="000000" w:themeColor="text1"/>
          <w:sz w:val="24"/>
          <w:szCs w:val="24"/>
          <w:highlight w:val="none"/>
          <w:lang w:eastAsia="zh-CN"/>
          <w14:textFill>
            <w14:solidFill>
              <w14:schemeClr w14:val="tx1"/>
            </w14:solidFill>
          </w14:textFill>
        </w:rPr>
        <w:t>⑵</w:t>
      </w:r>
      <w:r>
        <w:rPr>
          <w:rFonts w:hint="default" w:ascii="Times New Roman" w:hAnsi="Times New Roman" w:eastAsia="宋体" w:cs="Times New Roman"/>
          <w:color w:val="000000" w:themeColor="text1"/>
          <w:sz w:val="24"/>
          <w:szCs w:val="24"/>
          <w:highlight w:val="none"/>
          <w14:textFill>
            <w14:solidFill>
              <w14:schemeClr w14:val="tx1"/>
            </w14:solidFill>
          </w14:textFill>
        </w:rPr>
        <w:t>监测因子</w:t>
      </w:r>
    </w:p>
    <w:p w14:paraId="032F28C4">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等效连续A声级：Leq</w:t>
      </w:r>
      <w:r>
        <w:rPr>
          <w:rFonts w:hint="default" w:ascii="Times New Roman" w:hAnsi="Times New Roman" w:eastAsia="宋体" w:cs="Times New Roman"/>
          <w:color w:val="000000" w:themeColor="text1"/>
          <w:sz w:val="24"/>
          <w:szCs w:val="24"/>
          <w:highlight w:val="none"/>
          <w:vertAlign w:val="baseline"/>
          <w14:textFill>
            <w14:solidFill>
              <w14:schemeClr w14:val="tx1"/>
            </w14:solidFill>
          </w14:textFill>
        </w:rPr>
        <w:t>（A）</w:t>
      </w:r>
    </w:p>
    <w:p w14:paraId="3554D70F">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bCs/>
          <w:color w:val="000000" w:themeColor="text1"/>
          <w:sz w:val="24"/>
          <w:szCs w:val="24"/>
          <w:highlight w:val="none"/>
          <w:lang w:eastAsia="zh-CN"/>
          <w14:textFill>
            <w14:solidFill>
              <w14:schemeClr w14:val="tx1"/>
            </w14:solidFill>
          </w14:textFill>
        </w:rPr>
        <w:t>⑶</w:t>
      </w:r>
      <w:r>
        <w:rPr>
          <w:rFonts w:hint="default" w:ascii="Times New Roman" w:hAnsi="Times New Roman" w:eastAsia="宋体" w:cs="Times New Roman"/>
          <w:color w:val="000000" w:themeColor="text1"/>
          <w:sz w:val="24"/>
          <w:szCs w:val="24"/>
          <w:highlight w:val="none"/>
          <w14:textFill>
            <w14:solidFill>
              <w14:schemeClr w14:val="tx1"/>
            </w14:solidFill>
          </w14:textFill>
        </w:rPr>
        <w:t>监测时间及频率</w:t>
      </w:r>
    </w:p>
    <w:p w14:paraId="6E3F5549">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监测时间为</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2024年5月28日</w:t>
      </w:r>
      <w:r>
        <w:rPr>
          <w:rFonts w:hint="default" w:ascii="Times New Roman" w:hAnsi="Times New Roman" w:eastAsia="宋体" w:cs="Times New Roman"/>
          <w:color w:val="000000" w:themeColor="text1"/>
          <w:sz w:val="24"/>
          <w:szCs w:val="24"/>
          <w:highlight w:val="none"/>
          <w14:textFill>
            <w14:solidFill>
              <w14:schemeClr w14:val="tx1"/>
            </w14:solidFill>
          </w14:textFill>
        </w:rPr>
        <w:t>，昼、夜各一次。</w:t>
      </w:r>
    </w:p>
    <w:p w14:paraId="7B8BFE81">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bCs/>
          <w:color w:val="000000" w:themeColor="text1"/>
          <w:sz w:val="24"/>
          <w:szCs w:val="24"/>
          <w:highlight w:val="none"/>
          <w:lang w:eastAsia="zh-CN"/>
          <w14:textFill>
            <w14:solidFill>
              <w14:schemeClr w14:val="tx1"/>
            </w14:solidFill>
          </w14:textFill>
        </w:rPr>
        <w:t>⑷</w:t>
      </w:r>
      <w:r>
        <w:rPr>
          <w:rFonts w:hint="default" w:ascii="Times New Roman" w:hAnsi="Times New Roman" w:eastAsia="宋体" w:cs="Times New Roman"/>
          <w:color w:val="000000" w:themeColor="text1"/>
          <w:sz w:val="24"/>
          <w:szCs w:val="24"/>
          <w:highlight w:val="none"/>
          <w14:textFill>
            <w14:solidFill>
              <w14:schemeClr w14:val="tx1"/>
            </w14:solidFill>
          </w14:textFill>
        </w:rPr>
        <w:t>监测方法</w:t>
      </w:r>
    </w:p>
    <w:p w14:paraId="4FC98AA9">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按照《声环境质量标准》(GB3096—2008)的规定进行。</w:t>
      </w:r>
    </w:p>
    <w:p w14:paraId="0D3C238E">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bCs/>
          <w:color w:val="000000" w:themeColor="text1"/>
          <w:sz w:val="24"/>
          <w:szCs w:val="24"/>
          <w:highlight w:val="none"/>
          <w:lang w:eastAsia="zh-CN"/>
          <w14:textFill>
            <w14:solidFill>
              <w14:schemeClr w14:val="tx1"/>
            </w14:solidFill>
          </w14:textFill>
        </w:rPr>
        <w:t>⑸</w:t>
      </w:r>
      <w:r>
        <w:rPr>
          <w:rFonts w:hint="default" w:ascii="Times New Roman" w:hAnsi="Times New Roman" w:eastAsia="宋体" w:cs="Times New Roman"/>
          <w:color w:val="000000" w:themeColor="text1"/>
          <w:sz w:val="24"/>
          <w:szCs w:val="24"/>
          <w:highlight w:val="none"/>
          <w14:textFill>
            <w14:solidFill>
              <w14:schemeClr w14:val="tx1"/>
            </w14:solidFill>
          </w14:textFill>
        </w:rPr>
        <w:t>评价方法</w:t>
      </w:r>
    </w:p>
    <w:p w14:paraId="348E80DF">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采用等效声级与相应标准值比较的方法进行。</w:t>
      </w:r>
    </w:p>
    <w:p w14:paraId="4AC18779">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bCs/>
          <w:color w:val="000000" w:themeColor="text1"/>
          <w:sz w:val="24"/>
          <w:szCs w:val="24"/>
          <w:highlight w:val="none"/>
          <w:lang w:eastAsia="zh-CN"/>
          <w14:textFill>
            <w14:solidFill>
              <w14:schemeClr w14:val="tx1"/>
            </w14:solidFill>
          </w14:textFill>
        </w:rPr>
        <w:t>⑹</w:t>
      </w:r>
      <w:r>
        <w:rPr>
          <w:rFonts w:hint="default" w:ascii="Times New Roman" w:hAnsi="Times New Roman" w:eastAsia="宋体" w:cs="Times New Roman"/>
          <w:color w:val="000000" w:themeColor="text1"/>
          <w:sz w:val="24"/>
          <w:szCs w:val="24"/>
          <w:highlight w:val="none"/>
          <w14:textFill>
            <w14:solidFill>
              <w14:schemeClr w14:val="tx1"/>
            </w14:solidFill>
          </w14:textFill>
        </w:rPr>
        <w:t>评价标准</w:t>
      </w:r>
    </w:p>
    <w:p w14:paraId="68888636">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厂界噪声《声环境质量标准》(GB3096-2008)</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3类</w:t>
      </w:r>
      <w:r>
        <w:rPr>
          <w:rFonts w:hint="default" w:ascii="Times New Roman" w:hAnsi="Times New Roman" w:eastAsia="宋体" w:cs="Times New Roman"/>
          <w:color w:val="000000" w:themeColor="text1"/>
          <w:sz w:val="24"/>
          <w:szCs w:val="24"/>
          <w:highlight w:val="none"/>
          <w14:textFill>
            <w14:solidFill>
              <w14:schemeClr w14:val="tx1"/>
            </w14:solidFill>
          </w14:textFill>
        </w:rPr>
        <w:t>标准。</w:t>
      </w:r>
    </w:p>
    <w:p w14:paraId="241466DA">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bCs/>
          <w:color w:val="000000" w:themeColor="text1"/>
          <w:sz w:val="24"/>
          <w:szCs w:val="24"/>
          <w:highlight w:val="none"/>
          <w:lang w:eastAsia="zh-CN"/>
          <w14:textFill>
            <w14:solidFill>
              <w14:schemeClr w14:val="tx1"/>
            </w14:solidFill>
          </w14:textFill>
        </w:rPr>
        <w:t>⑺</w:t>
      </w:r>
      <w:r>
        <w:rPr>
          <w:rFonts w:hint="default" w:ascii="Times New Roman" w:hAnsi="Times New Roman" w:eastAsia="宋体" w:cs="Times New Roman"/>
          <w:color w:val="000000" w:themeColor="text1"/>
          <w:sz w:val="24"/>
          <w:szCs w:val="24"/>
          <w:highlight w:val="none"/>
          <w14:textFill>
            <w14:solidFill>
              <w14:schemeClr w14:val="tx1"/>
            </w14:solidFill>
          </w14:textFill>
        </w:rPr>
        <w:t>评价结果</w:t>
      </w:r>
    </w:p>
    <w:p w14:paraId="60E077CA">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声环境质量现状监测及评价结果见表</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4.3</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158423E2">
      <w:pPr>
        <w:keepNext w:val="0"/>
        <w:keepLines w:val="0"/>
        <w:pageBreakBefore w:val="0"/>
        <w:widowControl w:val="0"/>
        <w:numPr>
          <w:ilvl w:val="0"/>
          <w:numId w:val="30"/>
        </w:numPr>
        <w:kinsoku/>
        <w:wordWrap/>
        <w:overflowPunct/>
        <w:topLinePunct w:val="0"/>
        <w:autoSpaceDE w:val="0"/>
        <w:autoSpaceDN w:val="0"/>
        <w:bidi w:val="0"/>
        <w:adjustRightInd w:val="0"/>
        <w:snapToGrid/>
        <w:spacing w:line="500" w:lineRule="exact"/>
        <w:ind w:left="425" w:leftChars="0" w:hanging="425" w:firstLineChars="0"/>
        <w:jc w:val="center"/>
        <w:textAlignment w:val="auto"/>
        <w:rPr>
          <w:rFonts w:hint="default" w:ascii="Times New Roman" w:hAnsi="Times New Roman" w:eastAsia="宋体" w:cs="Times New Roman"/>
          <w:b/>
          <w:bCs w:val="0"/>
          <w:color w:val="000000" w:themeColor="text1"/>
          <w:sz w:val="25"/>
          <w:szCs w:val="25"/>
          <w:highlight w:val="none"/>
          <w:shd w:val="clear" w:color="auto" w:fill="auto"/>
          <w14:textFill>
            <w14:solidFill>
              <w14:schemeClr w14:val="tx1"/>
            </w14:solidFill>
          </w14:textFill>
        </w:rPr>
      </w:pPr>
      <w:r>
        <w:rPr>
          <w:rFonts w:hint="default" w:ascii="Times New Roman" w:hAnsi="Times New Roman" w:eastAsia="宋体" w:cs="Times New Roman"/>
          <w:b/>
          <w:bCs w:val="0"/>
          <w:color w:val="000000" w:themeColor="text1"/>
          <w:sz w:val="25"/>
          <w:szCs w:val="25"/>
          <w:highlight w:val="none"/>
          <w:shd w:val="clear" w:color="auto" w:fill="auto"/>
          <w14:textFill>
            <w14:solidFill>
              <w14:schemeClr w14:val="tx1"/>
            </w14:solidFill>
          </w14:textFill>
        </w:rPr>
        <w:t>声环境质量现状监测及评价结果一览表单位：dB(A)</w:t>
      </w:r>
    </w:p>
    <w:tbl>
      <w:tblPr>
        <w:tblStyle w:val="47"/>
        <w:tblW w:w="498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485"/>
        <w:gridCol w:w="1481"/>
        <w:gridCol w:w="1524"/>
        <w:gridCol w:w="1526"/>
        <w:gridCol w:w="1624"/>
        <w:gridCol w:w="1628"/>
      </w:tblGrid>
      <w:tr w14:paraId="3CD3D31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01" w:type="pct"/>
            <w:vMerge w:val="restart"/>
            <w:tcBorders>
              <w:tl2br w:val="nil"/>
              <w:tr2bl w:val="nil"/>
            </w:tcBorders>
            <w:noWrap w:val="0"/>
            <w:vAlign w:val="center"/>
          </w:tcPr>
          <w:p w14:paraId="0C40618C">
            <w:pPr>
              <w:pStyle w:val="58"/>
              <w:bidi w:val="0"/>
              <w:rPr>
                <w:rFonts w:hint="default"/>
                <w:highlight w:val="none"/>
                <w:lang w:eastAsia="zh-CN"/>
              </w:rPr>
            </w:pPr>
            <w:r>
              <w:rPr>
                <w:rFonts w:hint="default"/>
                <w:highlight w:val="none"/>
                <w:lang w:eastAsia="zh-CN"/>
              </w:rPr>
              <w:t>监测日期</w:t>
            </w:r>
          </w:p>
        </w:tc>
        <w:tc>
          <w:tcPr>
            <w:tcW w:w="799" w:type="pct"/>
            <w:vMerge w:val="restart"/>
            <w:tcBorders>
              <w:tl2br w:val="nil"/>
              <w:tr2bl w:val="nil"/>
            </w:tcBorders>
            <w:noWrap w:val="0"/>
            <w:vAlign w:val="center"/>
          </w:tcPr>
          <w:p w14:paraId="45C54D43">
            <w:pPr>
              <w:pStyle w:val="58"/>
              <w:bidi w:val="0"/>
              <w:rPr>
                <w:rFonts w:hint="default"/>
                <w:highlight w:val="none"/>
                <w:lang w:eastAsia="zh-CN"/>
              </w:rPr>
            </w:pPr>
            <w:r>
              <w:rPr>
                <w:rFonts w:hint="default"/>
                <w:highlight w:val="none"/>
              </w:rPr>
              <w:t>监测</w:t>
            </w:r>
            <w:r>
              <w:rPr>
                <w:rFonts w:hint="default"/>
                <w:highlight w:val="none"/>
                <w:lang w:eastAsia="zh-CN"/>
              </w:rPr>
              <w:t>时段</w:t>
            </w:r>
          </w:p>
        </w:tc>
        <w:tc>
          <w:tcPr>
            <w:tcW w:w="3399" w:type="pct"/>
            <w:gridSpan w:val="4"/>
            <w:tcBorders>
              <w:tl2br w:val="nil"/>
              <w:tr2bl w:val="nil"/>
            </w:tcBorders>
            <w:noWrap w:val="0"/>
            <w:vAlign w:val="center"/>
          </w:tcPr>
          <w:p w14:paraId="50DC2C36">
            <w:pPr>
              <w:pStyle w:val="58"/>
              <w:bidi w:val="0"/>
              <w:rPr>
                <w:rFonts w:hint="default"/>
                <w:highlight w:val="none"/>
                <w:lang w:eastAsia="zh-CN"/>
              </w:rPr>
            </w:pPr>
            <w:r>
              <w:rPr>
                <w:rFonts w:hint="default"/>
                <w:highlight w:val="none"/>
                <w:lang w:eastAsia="zh-CN"/>
              </w:rPr>
              <w:t>监测值（</w:t>
            </w:r>
            <w:r>
              <w:rPr>
                <w:rFonts w:hint="default"/>
                <w:highlight w:val="none"/>
                <w:lang w:val="en-US" w:eastAsia="zh-CN"/>
              </w:rPr>
              <w:t>dB（A）</w:t>
            </w:r>
          </w:p>
        </w:tc>
      </w:tr>
      <w:tr w14:paraId="2CDD769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01" w:type="pct"/>
            <w:vMerge w:val="continue"/>
            <w:tcBorders>
              <w:tl2br w:val="nil"/>
              <w:tr2bl w:val="nil"/>
            </w:tcBorders>
            <w:noWrap w:val="0"/>
            <w:vAlign w:val="center"/>
          </w:tcPr>
          <w:p w14:paraId="70567D2E">
            <w:pPr>
              <w:pStyle w:val="58"/>
              <w:bidi w:val="0"/>
              <w:rPr>
                <w:rFonts w:hint="default"/>
                <w:highlight w:val="none"/>
                <w:lang w:eastAsia="zh-CN"/>
              </w:rPr>
            </w:pPr>
          </w:p>
        </w:tc>
        <w:tc>
          <w:tcPr>
            <w:tcW w:w="799" w:type="pct"/>
            <w:vMerge w:val="continue"/>
            <w:tcBorders>
              <w:tl2br w:val="nil"/>
              <w:tr2bl w:val="nil"/>
            </w:tcBorders>
            <w:noWrap w:val="0"/>
            <w:vAlign w:val="center"/>
          </w:tcPr>
          <w:p w14:paraId="1805DB27">
            <w:pPr>
              <w:pStyle w:val="58"/>
              <w:bidi w:val="0"/>
              <w:rPr>
                <w:rFonts w:hint="default"/>
                <w:highlight w:val="none"/>
                <w:lang w:eastAsia="zh-CN"/>
              </w:rPr>
            </w:pPr>
          </w:p>
        </w:tc>
        <w:tc>
          <w:tcPr>
            <w:tcW w:w="822" w:type="pct"/>
            <w:tcBorders>
              <w:tl2br w:val="nil"/>
              <w:tr2bl w:val="nil"/>
            </w:tcBorders>
            <w:noWrap w:val="0"/>
            <w:vAlign w:val="center"/>
          </w:tcPr>
          <w:p w14:paraId="0F1D2CC9">
            <w:pPr>
              <w:pStyle w:val="58"/>
              <w:bidi w:val="0"/>
              <w:rPr>
                <w:rFonts w:hint="default"/>
                <w:highlight w:val="none"/>
              </w:rPr>
            </w:pPr>
            <w:r>
              <w:rPr>
                <w:rFonts w:hint="default"/>
                <w:highlight w:val="none"/>
                <w:lang w:val="en-US" w:eastAsia="zh-CN"/>
              </w:rPr>
              <w:t>西</w:t>
            </w:r>
            <w:r>
              <w:rPr>
                <w:rFonts w:hint="default"/>
                <w:highlight w:val="none"/>
              </w:rPr>
              <w:t>厂界</w:t>
            </w:r>
          </w:p>
        </w:tc>
        <w:tc>
          <w:tcPr>
            <w:tcW w:w="823" w:type="pct"/>
            <w:tcBorders>
              <w:tl2br w:val="nil"/>
              <w:tr2bl w:val="nil"/>
            </w:tcBorders>
            <w:noWrap w:val="0"/>
            <w:vAlign w:val="center"/>
          </w:tcPr>
          <w:p w14:paraId="3E15D8BB">
            <w:pPr>
              <w:pStyle w:val="58"/>
              <w:bidi w:val="0"/>
              <w:rPr>
                <w:rFonts w:hint="default"/>
                <w:highlight w:val="none"/>
                <w:lang w:val="en-US" w:eastAsia="zh-CN"/>
              </w:rPr>
            </w:pPr>
            <w:r>
              <w:rPr>
                <w:rFonts w:hint="default"/>
                <w:highlight w:val="none"/>
                <w:lang w:val="en-US" w:eastAsia="zh-CN"/>
              </w:rPr>
              <w:t>南厂界</w:t>
            </w:r>
          </w:p>
        </w:tc>
        <w:tc>
          <w:tcPr>
            <w:tcW w:w="876" w:type="pct"/>
            <w:tcBorders>
              <w:tl2br w:val="nil"/>
              <w:tr2bl w:val="nil"/>
            </w:tcBorders>
            <w:noWrap w:val="0"/>
            <w:vAlign w:val="center"/>
          </w:tcPr>
          <w:p w14:paraId="04969B09">
            <w:pPr>
              <w:pStyle w:val="58"/>
              <w:bidi w:val="0"/>
              <w:rPr>
                <w:rFonts w:hint="default"/>
                <w:highlight w:val="none"/>
              </w:rPr>
            </w:pPr>
            <w:r>
              <w:rPr>
                <w:rFonts w:hint="default"/>
                <w:highlight w:val="none"/>
                <w:lang w:val="en-US" w:eastAsia="zh-CN"/>
              </w:rPr>
              <w:t>东</w:t>
            </w:r>
            <w:r>
              <w:rPr>
                <w:rFonts w:hint="default"/>
                <w:highlight w:val="none"/>
              </w:rPr>
              <w:t>厂界</w:t>
            </w:r>
          </w:p>
        </w:tc>
        <w:tc>
          <w:tcPr>
            <w:tcW w:w="878" w:type="pct"/>
            <w:tcBorders>
              <w:tl2br w:val="nil"/>
              <w:tr2bl w:val="nil"/>
            </w:tcBorders>
            <w:noWrap w:val="0"/>
            <w:vAlign w:val="center"/>
          </w:tcPr>
          <w:p w14:paraId="0100D6DF">
            <w:pPr>
              <w:pStyle w:val="58"/>
              <w:bidi w:val="0"/>
              <w:rPr>
                <w:rFonts w:hint="default"/>
                <w:highlight w:val="none"/>
                <w:lang w:val="en-US" w:eastAsia="zh-CN"/>
              </w:rPr>
            </w:pPr>
            <w:r>
              <w:rPr>
                <w:rFonts w:hint="default"/>
                <w:highlight w:val="none"/>
              </w:rPr>
              <w:t>北厂界</w:t>
            </w:r>
          </w:p>
        </w:tc>
      </w:tr>
      <w:tr w14:paraId="6483C5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01" w:type="pct"/>
            <w:vMerge w:val="restart"/>
            <w:tcBorders>
              <w:tl2br w:val="nil"/>
              <w:tr2bl w:val="nil"/>
            </w:tcBorders>
            <w:noWrap w:val="0"/>
            <w:vAlign w:val="center"/>
          </w:tcPr>
          <w:p w14:paraId="64E0DA25">
            <w:pPr>
              <w:pStyle w:val="58"/>
              <w:bidi w:val="0"/>
              <w:rPr>
                <w:rFonts w:hint="default"/>
                <w:highlight w:val="none"/>
                <w:lang w:val="en-US" w:eastAsia="zh-CN"/>
              </w:rPr>
            </w:pPr>
            <w:r>
              <w:rPr>
                <w:rFonts w:hint="default"/>
                <w:highlight w:val="none"/>
                <w:lang w:val="en-US" w:eastAsia="zh-CN"/>
              </w:rPr>
              <w:t>2023.5.28</w:t>
            </w:r>
          </w:p>
        </w:tc>
        <w:tc>
          <w:tcPr>
            <w:tcW w:w="799" w:type="pct"/>
            <w:tcBorders>
              <w:tl2br w:val="nil"/>
              <w:tr2bl w:val="nil"/>
            </w:tcBorders>
            <w:noWrap w:val="0"/>
            <w:vAlign w:val="center"/>
          </w:tcPr>
          <w:p w14:paraId="0651CB0C">
            <w:pPr>
              <w:pStyle w:val="58"/>
              <w:bidi w:val="0"/>
              <w:rPr>
                <w:rFonts w:hint="default"/>
                <w:highlight w:val="none"/>
              </w:rPr>
            </w:pPr>
            <w:r>
              <w:rPr>
                <w:rFonts w:hint="default"/>
                <w:highlight w:val="none"/>
              </w:rPr>
              <w:t>昼间</w:t>
            </w:r>
          </w:p>
        </w:tc>
        <w:tc>
          <w:tcPr>
            <w:tcW w:w="822" w:type="pct"/>
            <w:tcBorders>
              <w:tl2br w:val="nil"/>
              <w:tr2bl w:val="nil"/>
            </w:tcBorders>
            <w:noWrap w:val="0"/>
            <w:vAlign w:val="center"/>
          </w:tcPr>
          <w:p w14:paraId="2EA8CC02">
            <w:pPr>
              <w:pStyle w:val="58"/>
              <w:bidi w:val="0"/>
              <w:rPr>
                <w:rFonts w:hint="default"/>
                <w:highlight w:val="none"/>
                <w:lang w:val="en-US" w:eastAsia="zh-CN"/>
              </w:rPr>
            </w:pPr>
            <w:r>
              <w:rPr>
                <w:rFonts w:hint="default"/>
                <w:highlight w:val="none"/>
                <w:lang w:val="en-US" w:eastAsia="zh-CN"/>
              </w:rPr>
              <w:t>60</w:t>
            </w:r>
          </w:p>
        </w:tc>
        <w:tc>
          <w:tcPr>
            <w:tcW w:w="823" w:type="pct"/>
            <w:tcBorders>
              <w:tl2br w:val="nil"/>
              <w:tr2bl w:val="nil"/>
            </w:tcBorders>
            <w:noWrap w:val="0"/>
            <w:vAlign w:val="center"/>
          </w:tcPr>
          <w:p w14:paraId="57980DB6">
            <w:pPr>
              <w:pStyle w:val="58"/>
              <w:bidi w:val="0"/>
              <w:rPr>
                <w:rFonts w:hint="default"/>
                <w:highlight w:val="none"/>
                <w:lang w:val="en-US" w:eastAsia="zh-CN"/>
              </w:rPr>
            </w:pPr>
            <w:r>
              <w:rPr>
                <w:rFonts w:hint="default"/>
                <w:highlight w:val="none"/>
                <w:lang w:val="en-US" w:eastAsia="zh-CN"/>
              </w:rPr>
              <w:t>55</w:t>
            </w:r>
          </w:p>
        </w:tc>
        <w:tc>
          <w:tcPr>
            <w:tcW w:w="876" w:type="pct"/>
            <w:tcBorders>
              <w:tl2br w:val="nil"/>
              <w:tr2bl w:val="nil"/>
            </w:tcBorders>
            <w:noWrap w:val="0"/>
            <w:vAlign w:val="center"/>
          </w:tcPr>
          <w:p w14:paraId="3E716238">
            <w:pPr>
              <w:pStyle w:val="58"/>
              <w:bidi w:val="0"/>
              <w:rPr>
                <w:rFonts w:hint="default"/>
                <w:highlight w:val="none"/>
                <w:lang w:val="en-US" w:eastAsia="zh-CN"/>
              </w:rPr>
            </w:pPr>
            <w:r>
              <w:rPr>
                <w:rFonts w:hint="default"/>
                <w:highlight w:val="none"/>
                <w:lang w:val="en-US" w:eastAsia="zh-CN"/>
              </w:rPr>
              <w:t>48</w:t>
            </w:r>
          </w:p>
        </w:tc>
        <w:tc>
          <w:tcPr>
            <w:tcW w:w="878" w:type="pct"/>
            <w:tcBorders>
              <w:tl2br w:val="nil"/>
              <w:tr2bl w:val="nil"/>
            </w:tcBorders>
            <w:noWrap w:val="0"/>
            <w:vAlign w:val="center"/>
          </w:tcPr>
          <w:p w14:paraId="606CDB66">
            <w:pPr>
              <w:pStyle w:val="58"/>
              <w:bidi w:val="0"/>
              <w:rPr>
                <w:rFonts w:hint="default"/>
                <w:highlight w:val="none"/>
                <w:lang w:val="en-US" w:eastAsia="zh-CN"/>
              </w:rPr>
            </w:pPr>
            <w:r>
              <w:rPr>
                <w:rFonts w:hint="default"/>
                <w:highlight w:val="none"/>
                <w:lang w:val="en-US" w:eastAsia="zh-CN"/>
              </w:rPr>
              <w:t>50</w:t>
            </w:r>
          </w:p>
        </w:tc>
      </w:tr>
      <w:tr w14:paraId="22B703F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01" w:type="pct"/>
            <w:vMerge w:val="continue"/>
            <w:tcBorders>
              <w:tl2br w:val="nil"/>
              <w:tr2bl w:val="nil"/>
            </w:tcBorders>
            <w:noWrap w:val="0"/>
            <w:vAlign w:val="center"/>
          </w:tcPr>
          <w:p w14:paraId="6B703F42">
            <w:pPr>
              <w:pStyle w:val="58"/>
              <w:bidi w:val="0"/>
              <w:rPr>
                <w:rFonts w:hint="default"/>
                <w:highlight w:val="none"/>
                <w:lang w:val="en-US" w:eastAsia="zh-CN"/>
              </w:rPr>
            </w:pPr>
          </w:p>
        </w:tc>
        <w:tc>
          <w:tcPr>
            <w:tcW w:w="799" w:type="pct"/>
            <w:tcBorders>
              <w:tl2br w:val="nil"/>
              <w:tr2bl w:val="nil"/>
            </w:tcBorders>
            <w:noWrap w:val="0"/>
            <w:vAlign w:val="center"/>
          </w:tcPr>
          <w:p w14:paraId="58096539">
            <w:pPr>
              <w:pStyle w:val="58"/>
              <w:bidi w:val="0"/>
              <w:rPr>
                <w:rFonts w:hint="default"/>
                <w:highlight w:val="none"/>
              </w:rPr>
            </w:pPr>
            <w:r>
              <w:rPr>
                <w:rFonts w:hint="default"/>
                <w:highlight w:val="none"/>
              </w:rPr>
              <w:t>夜间</w:t>
            </w:r>
          </w:p>
        </w:tc>
        <w:tc>
          <w:tcPr>
            <w:tcW w:w="822" w:type="pct"/>
            <w:tcBorders>
              <w:tl2br w:val="nil"/>
              <w:tr2bl w:val="nil"/>
            </w:tcBorders>
            <w:noWrap w:val="0"/>
            <w:vAlign w:val="center"/>
          </w:tcPr>
          <w:p w14:paraId="2AD9870F">
            <w:pPr>
              <w:pStyle w:val="58"/>
              <w:bidi w:val="0"/>
              <w:rPr>
                <w:rFonts w:hint="default"/>
                <w:highlight w:val="none"/>
                <w:lang w:val="en-US" w:eastAsia="zh-CN"/>
              </w:rPr>
            </w:pPr>
            <w:r>
              <w:rPr>
                <w:rFonts w:hint="default"/>
                <w:highlight w:val="none"/>
                <w:lang w:val="en-US" w:eastAsia="zh-CN"/>
              </w:rPr>
              <w:t>48</w:t>
            </w:r>
          </w:p>
        </w:tc>
        <w:tc>
          <w:tcPr>
            <w:tcW w:w="823" w:type="pct"/>
            <w:tcBorders>
              <w:tl2br w:val="nil"/>
              <w:tr2bl w:val="nil"/>
            </w:tcBorders>
            <w:noWrap w:val="0"/>
            <w:vAlign w:val="center"/>
          </w:tcPr>
          <w:p w14:paraId="74373169">
            <w:pPr>
              <w:pStyle w:val="58"/>
              <w:bidi w:val="0"/>
              <w:rPr>
                <w:rFonts w:hint="default"/>
                <w:highlight w:val="none"/>
                <w:lang w:val="en-US" w:eastAsia="zh-CN"/>
              </w:rPr>
            </w:pPr>
            <w:r>
              <w:rPr>
                <w:rFonts w:hint="default"/>
                <w:highlight w:val="none"/>
                <w:lang w:val="en-US" w:eastAsia="zh-CN"/>
              </w:rPr>
              <w:t>51</w:t>
            </w:r>
          </w:p>
        </w:tc>
        <w:tc>
          <w:tcPr>
            <w:tcW w:w="876" w:type="pct"/>
            <w:tcBorders>
              <w:tl2br w:val="nil"/>
              <w:tr2bl w:val="nil"/>
            </w:tcBorders>
            <w:noWrap w:val="0"/>
            <w:vAlign w:val="center"/>
          </w:tcPr>
          <w:p w14:paraId="61235ED3">
            <w:pPr>
              <w:pStyle w:val="58"/>
              <w:bidi w:val="0"/>
              <w:rPr>
                <w:rFonts w:hint="default"/>
                <w:highlight w:val="none"/>
                <w:lang w:val="en-US" w:eastAsia="zh-CN"/>
              </w:rPr>
            </w:pPr>
            <w:r>
              <w:rPr>
                <w:rFonts w:hint="default"/>
                <w:highlight w:val="none"/>
                <w:lang w:val="en-US" w:eastAsia="zh-CN"/>
              </w:rPr>
              <w:t>50</w:t>
            </w:r>
          </w:p>
        </w:tc>
        <w:tc>
          <w:tcPr>
            <w:tcW w:w="878" w:type="pct"/>
            <w:tcBorders>
              <w:tl2br w:val="nil"/>
              <w:tr2bl w:val="nil"/>
            </w:tcBorders>
            <w:noWrap w:val="0"/>
            <w:vAlign w:val="center"/>
          </w:tcPr>
          <w:p w14:paraId="0468C74E">
            <w:pPr>
              <w:pStyle w:val="58"/>
              <w:bidi w:val="0"/>
              <w:rPr>
                <w:rFonts w:hint="default"/>
                <w:highlight w:val="none"/>
                <w:lang w:val="en-US" w:eastAsia="zh-CN"/>
              </w:rPr>
            </w:pPr>
            <w:r>
              <w:rPr>
                <w:rFonts w:hint="default"/>
                <w:highlight w:val="none"/>
                <w:lang w:val="en-US" w:eastAsia="zh-CN"/>
              </w:rPr>
              <w:t>49</w:t>
            </w:r>
          </w:p>
        </w:tc>
      </w:tr>
    </w:tbl>
    <w:p w14:paraId="2B69BDEF">
      <w:pPr>
        <w:bidi w:val="0"/>
        <w:rPr>
          <w:rFonts w:hint="default"/>
          <w:highlight w:val="none"/>
        </w:rPr>
      </w:pPr>
      <w:r>
        <w:rPr>
          <w:rFonts w:hint="default"/>
          <w:highlight w:val="none"/>
        </w:rPr>
        <w:t>由表</w:t>
      </w:r>
      <w:r>
        <w:rPr>
          <w:rFonts w:hint="default"/>
          <w:highlight w:val="none"/>
          <w:lang w:eastAsia="zh-CN"/>
        </w:rPr>
        <w:t>4.3</w:t>
      </w:r>
      <w:r>
        <w:rPr>
          <w:rFonts w:hint="default"/>
          <w:highlight w:val="none"/>
          <w:lang w:val="en-US" w:eastAsia="zh-CN"/>
        </w:rPr>
        <w:t>-5</w:t>
      </w:r>
      <w:r>
        <w:rPr>
          <w:rFonts w:hint="default"/>
          <w:highlight w:val="none"/>
        </w:rPr>
        <w:t>分析可知，厂界环境噪声监测值</w:t>
      </w:r>
      <w:r>
        <w:rPr>
          <w:rFonts w:hint="default"/>
          <w:highlight w:val="none"/>
          <w:lang w:eastAsia="zh-CN"/>
        </w:rPr>
        <w:t>昼间</w:t>
      </w:r>
      <w:r>
        <w:rPr>
          <w:rFonts w:hint="default"/>
          <w:highlight w:val="none"/>
        </w:rPr>
        <w:t>为</w:t>
      </w:r>
      <w:r>
        <w:rPr>
          <w:rFonts w:hint="default"/>
          <w:highlight w:val="none"/>
          <w:lang w:val="en-US" w:eastAsia="zh-CN"/>
        </w:rPr>
        <w:t>48</w:t>
      </w:r>
      <w:r>
        <w:rPr>
          <w:rFonts w:hint="default"/>
          <w:highlight w:val="none"/>
        </w:rPr>
        <w:t>～</w:t>
      </w:r>
      <w:r>
        <w:rPr>
          <w:rFonts w:hint="default"/>
          <w:highlight w:val="none"/>
          <w:lang w:val="en-US" w:eastAsia="zh-CN"/>
        </w:rPr>
        <w:t>60</w:t>
      </w:r>
      <w:r>
        <w:rPr>
          <w:rFonts w:hint="default"/>
          <w:highlight w:val="none"/>
        </w:rPr>
        <w:t>dB(A)，</w:t>
      </w:r>
      <w:r>
        <w:rPr>
          <w:rFonts w:hint="default"/>
          <w:highlight w:val="none"/>
          <w:lang w:eastAsia="zh-CN"/>
        </w:rPr>
        <w:t>夜间为</w:t>
      </w:r>
      <w:r>
        <w:rPr>
          <w:rFonts w:hint="default"/>
          <w:highlight w:val="none"/>
          <w:lang w:val="en-US" w:eastAsia="zh-CN"/>
        </w:rPr>
        <w:t>48</w:t>
      </w:r>
      <w:r>
        <w:rPr>
          <w:rFonts w:hint="default"/>
          <w:highlight w:val="none"/>
        </w:rPr>
        <w:t>～</w:t>
      </w:r>
      <w:r>
        <w:rPr>
          <w:rFonts w:hint="default"/>
          <w:highlight w:val="none"/>
          <w:lang w:val="en-US" w:eastAsia="zh-CN"/>
        </w:rPr>
        <w:t>51</w:t>
      </w:r>
      <w:r>
        <w:rPr>
          <w:rFonts w:hint="default"/>
          <w:highlight w:val="none"/>
        </w:rPr>
        <w:t>dB(A)，均满足《声环境质量标准》(GB3096-2008)</w:t>
      </w:r>
      <w:r>
        <w:rPr>
          <w:rFonts w:hint="default"/>
          <w:highlight w:val="none"/>
          <w:lang w:eastAsia="zh-CN"/>
        </w:rPr>
        <w:t>3类区</w:t>
      </w:r>
      <w:r>
        <w:rPr>
          <w:rFonts w:hint="default"/>
          <w:highlight w:val="none"/>
        </w:rPr>
        <w:t>标准要求。</w:t>
      </w:r>
    </w:p>
    <w:p w14:paraId="694ED711">
      <w:pPr>
        <w:pStyle w:val="6"/>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bookmarkStart w:id="254" w:name="_Toc246763536"/>
      <w:bookmarkStart w:id="255" w:name="_Toc248303061"/>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4.3</w:t>
      </w:r>
      <w:r>
        <w:rPr>
          <w:rFonts w:hint="default" w:ascii="Times New Roman" w:hAnsi="Times New Roman" w:eastAsia="宋体" w:cs="Times New Roman"/>
          <w:color w:val="000000" w:themeColor="text1"/>
          <w:sz w:val="24"/>
          <w:szCs w:val="24"/>
          <w:highlight w:val="none"/>
          <w14:textFill>
            <w14:solidFill>
              <w14:schemeClr w14:val="tx1"/>
            </w14:solidFill>
          </w14:textFill>
        </w:rPr>
        <w:t>.3地下水质量现状监测与评价</w:t>
      </w:r>
      <w:bookmarkEnd w:id="254"/>
      <w:bookmarkEnd w:id="255"/>
    </w:p>
    <w:p w14:paraId="58114BDF">
      <w:pPr>
        <w:bidi w:val="0"/>
        <w:rPr>
          <w:rFonts w:hint="default"/>
          <w:highlight w:val="none"/>
        </w:rPr>
      </w:pPr>
      <w:r>
        <w:rPr>
          <w:rFonts w:hint="default"/>
          <w:highlight w:val="none"/>
        </w:rPr>
        <w:t>1、监测点位设置：</w:t>
      </w:r>
    </w:p>
    <w:p w14:paraId="1E4BD9B8">
      <w:pPr>
        <w:bidi w:val="0"/>
        <w:rPr>
          <w:rFonts w:hint="default"/>
          <w:highlight w:val="none"/>
        </w:rPr>
        <w:sectPr>
          <w:headerReference r:id="rId20" w:type="default"/>
          <w:footerReference r:id="rId21" w:type="default"/>
          <w:pgSz w:w="11906" w:h="16838"/>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r>
        <w:rPr>
          <w:rFonts w:hint="default"/>
          <w:highlight w:val="none"/>
        </w:rPr>
        <w:t>根据《环境影响评价技术导则--地下水环境》（HJ610-2016）</w:t>
      </w:r>
      <w:r>
        <w:rPr>
          <w:rFonts w:hint="default"/>
          <w:highlight w:val="none"/>
          <w:lang w:eastAsia="zh-CN"/>
        </w:rPr>
        <w:t>，</w:t>
      </w:r>
      <w:r>
        <w:rPr>
          <w:rFonts w:hint="default"/>
          <w:highlight w:val="none"/>
          <w:lang w:val="en-US" w:eastAsia="zh-CN"/>
        </w:rPr>
        <w:t>委托河北正联环保科技有限公司对项目所在地地下水进行补充监测（1个潜水点位），监测时间为2024年5月28日。引用《曹妃甸区垦丰家居产业园控制性详细规划环境影响跟踪评价报告书》中6个地下水监测点位数据（5个潜水点位和1个承压水点位）和金木美佳（唐山）科技有限公司《年产18万立方米LSB薄型刨花板项目环境影响评价报告书》（2022年4月30日）中1个潜水监测数据和2个承压水监测数据。监测点位设置见下表</w:t>
      </w:r>
      <w:r>
        <w:rPr>
          <w:rFonts w:hint="default"/>
          <w:highlight w:val="none"/>
        </w:rPr>
        <w:t>。</w:t>
      </w:r>
    </w:p>
    <w:p w14:paraId="299818EC">
      <w:pPr>
        <w:keepNext w:val="0"/>
        <w:keepLines w:val="0"/>
        <w:pageBreakBefore w:val="0"/>
        <w:widowControl w:val="0"/>
        <w:numPr>
          <w:ilvl w:val="0"/>
          <w:numId w:val="30"/>
        </w:numPr>
        <w:kinsoku/>
        <w:wordWrap/>
        <w:overflowPunct/>
        <w:topLinePunct w:val="0"/>
        <w:autoSpaceDE w:val="0"/>
        <w:autoSpaceDN w:val="0"/>
        <w:bidi w:val="0"/>
        <w:adjustRightInd w:val="0"/>
        <w:snapToGrid/>
        <w:spacing w:line="500" w:lineRule="exact"/>
        <w:ind w:left="425" w:leftChars="0" w:hanging="425" w:firstLineChars="0"/>
        <w:jc w:val="center"/>
        <w:textAlignment w:val="auto"/>
        <w:rPr>
          <w:rFonts w:hint="default" w:ascii="Times New Roman" w:hAnsi="Times New Roman" w:eastAsia="宋体" w:cs="Times New Roman"/>
          <w:b/>
          <w:bCs w:val="0"/>
          <w:color w:val="000000" w:themeColor="text1"/>
          <w:sz w:val="25"/>
          <w:szCs w:val="25"/>
          <w:highlight w:val="none"/>
          <w:shd w:val="clear" w:color="auto" w:fill="auto"/>
          <w14:textFill>
            <w14:solidFill>
              <w14:schemeClr w14:val="tx1"/>
            </w14:solidFill>
          </w14:textFill>
        </w:rPr>
      </w:pPr>
      <w:r>
        <w:rPr>
          <w:rFonts w:hint="default" w:ascii="Times New Roman" w:hAnsi="Times New Roman" w:eastAsia="宋体" w:cs="Times New Roman"/>
          <w:b/>
          <w:bCs w:val="0"/>
          <w:color w:val="000000" w:themeColor="text1"/>
          <w:sz w:val="25"/>
          <w:szCs w:val="25"/>
          <w:highlight w:val="none"/>
          <w:shd w:val="clear" w:color="auto" w:fill="auto"/>
          <w14:textFill>
            <w14:solidFill>
              <w14:schemeClr w14:val="tx1"/>
            </w14:solidFill>
          </w14:textFill>
        </w:rPr>
        <w:t>地下水环境质量现状监测点设置一览表</w:t>
      </w:r>
    </w:p>
    <w:tbl>
      <w:tblPr>
        <w:tblStyle w:val="47"/>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17"/>
        <w:gridCol w:w="2471"/>
        <w:gridCol w:w="1203"/>
        <w:gridCol w:w="972"/>
        <w:gridCol w:w="3338"/>
        <w:gridCol w:w="1200"/>
        <w:gridCol w:w="1485"/>
        <w:gridCol w:w="2589"/>
      </w:tblGrid>
      <w:tr w14:paraId="006C5EC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74" w:hRule="atLeast"/>
          <w:jc w:val="center"/>
        </w:trPr>
        <w:tc>
          <w:tcPr>
            <w:tcW w:w="617" w:type="dxa"/>
            <w:tcBorders>
              <w:tl2br w:val="nil"/>
              <w:tr2bl w:val="nil"/>
            </w:tcBorders>
            <w:noWrap w:val="0"/>
            <w:vAlign w:val="center"/>
          </w:tcPr>
          <w:p w14:paraId="202BA8C7">
            <w:pPr>
              <w:pStyle w:val="58"/>
              <w:bidi w:val="0"/>
              <w:rPr>
                <w:rFonts w:hint="default"/>
                <w:highlight w:val="none"/>
                <w:lang w:eastAsia="zh-CN"/>
              </w:rPr>
            </w:pPr>
            <w:r>
              <w:rPr>
                <w:rFonts w:hint="default"/>
                <w:highlight w:val="none"/>
                <w:lang w:eastAsia="zh-CN"/>
              </w:rPr>
              <w:t>序号</w:t>
            </w:r>
          </w:p>
        </w:tc>
        <w:tc>
          <w:tcPr>
            <w:tcW w:w="2471" w:type="dxa"/>
            <w:tcBorders>
              <w:tl2br w:val="nil"/>
              <w:tr2bl w:val="nil"/>
            </w:tcBorders>
            <w:noWrap w:val="0"/>
            <w:vAlign w:val="center"/>
          </w:tcPr>
          <w:p w14:paraId="2FED9980">
            <w:pPr>
              <w:pStyle w:val="58"/>
              <w:bidi w:val="0"/>
              <w:rPr>
                <w:rFonts w:hint="default"/>
                <w:highlight w:val="none"/>
                <w:lang w:val="en-US" w:eastAsia="zh-CN"/>
              </w:rPr>
            </w:pPr>
            <w:r>
              <w:rPr>
                <w:rFonts w:hint="default"/>
                <w:highlight w:val="none"/>
                <w:lang w:val="en-US" w:eastAsia="zh-CN"/>
              </w:rPr>
              <w:t>监测点</w:t>
            </w:r>
          </w:p>
        </w:tc>
        <w:tc>
          <w:tcPr>
            <w:tcW w:w="1203" w:type="dxa"/>
            <w:tcBorders>
              <w:tl2br w:val="nil"/>
              <w:tr2bl w:val="nil"/>
            </w:tcBorders>
            <w:noWrap w:val="0"/>
            <w:vAlign w:val="center"/>
          </w:tcPr>
          <w:p w14:paraId="3E7BE67A">
            <w:pPr>
              <w:pStyle w:val="58"/>
              <w:bidi w:val="0"/>
              <w:rPr>
                <w:rFonts w:hint="default"/>
                <w:highlight w:val="none"/>
                <w:lang w:val="en-US" w:eastAsia="zh-CN"/>
              </w:rPr>
            </w:pPr>
            <w:r>
              <w:rPr>
                <w:rFonts w:hint="default"/>
                <w:highlight w:val="none"/>
                <w:lang w:val="en-US" w:eastAsia="zh-CN"/>
              </w:rPr>
              <w:t>方位</w:t>
            </w:r>
          </w:p>
        </w:tc>
        <w:tc>
          <w:tcPr>
            <w:tcW w:w="972" w:type="dxa"/>
            <w:tcBorders>
              <w:tl2br w:val="nil"/>
              <w:tr2bl w:val="nil"/>
            </w:tcBorders>
            <w:noWrap w:val="0"/>
            <w:vAlign w:val="center"/>
          </w:tcPr>
          <w:p w14:paraId="3BD06277">
            <w:pPr>
              <w:pStyle w:val="58"/>
              <w:bidi w:val="0"/>
              <w:rPr>
                <w:rFonts w:hint="default"/>
                <w:highlight w:val="none"/>
                <w:lang w:val="en-US" w:eastAsia="zh-CN"/>
              </w:rPr>
            </w:pPr>
            <w:r>
              <w:rPr>
                <w:rFonts w:hint="default"/>
                <w:highlight w:val="none"/>
                <w:lang w:val="en-US" w:eastAsia="zh-CN"/>
              </w:rPr>
              <w:t>功能</w:t>
            </w:r>
          </w:p>
        </w:tc>
        <w:tc>
          <w:tcPr>
            <w:tcW w:w="3338" w:type="dxa"/>
            <w:tcBorders>
              <w:tl2br w:val="nil"/>
              <w:tr2bl w:val="nil"/>
            </w:tcBorders>
            <w:noWrap w:val="0"/>
            <w:vAlign w:val="center"/>
          </w:tcPr>
          <w:p w14:paraId="6B0D1FAC">
            <w:pPr>
              <w:pStyle w:val="58"/>
              <w:bidi w:val="0"/>
              <w:rPr>
                <w:rFonts w:hint="default"/>
                <w:highlight w:val="none"/>
                <w:lang w:val="en-US" w:eastAsia="zh-CN"/>
              </w:rPr>
            </w:pPr>
            <w:r>
              <w:rPr>
                <w:rFonts w:hint="default"/>
                <w:highlight w:val="none"/>
                <w:lang w:val="en-US" w:eastAsia="zh-CN"/>
              </w:rPr>
              <w:t>监测因子</w:t>
            </w:r>
          </w:p>
        </w:tc>
        <w:tc>
          <w:tcPr>
            <w:tcW w:w="1200" w:type="dxa"/>
            <w:tcBorders>
              <w:tl2br w:val="nil"/>
              <w:tr2bl w:val="nil"/>
            </w:tcBorders>
            <w:noWrap w:val="0"/>
            <w:vAlign w:val="center"/>
          </w:tcPr>
          <w:p w14:paraId="3F4FC2B7">
            <w:pPr>
              <w:pStyle w:val="58"/>
              <w:bidi w:val="0"/>
              <w:rPr>
                <w:rFonts w:hint="default"/>
                <w:highlight w:val="none"/>
                <w:lang w:val="en-US" w:eastAsia="zh-CN"/>
              </w:rPr>
            </w:pPr>
            <w:r>
              <w:rPr>
                <w:rFonts w:hint="default"/>
                <w:highlight w:val="none"/>
                <w:lang w:val="en-US" w:eastAsia="zh-CN"/>
              </w:rPr>
              <w:t>井深m</w:t>
            </w:r>
          </w:p>
        </w:tc>
        <w:tc>
          <w:tcPr>
            <w:tcW w:w="1485" w:type="dxa"/>
            <w:tcBorders>
              <w:tl2br w:val="nil"/>
              <w:tr2bl w:val="nil"/>
            </w:tcBorders>
            <w:noWrap w:val="0"/>
            <w:vAlign w:val="center"/>
          </w:tcPr>
          <w:p w14:paraId="0E962CC1">
            <w:pPr>
              <w:pStyle w:val="58"/>
              <w:bidi w:val="0"/>
              <w:rPr>
                <w:rFonts w:hint="default"/>
                <w:highlight w:val="none"/>
                <w:lang w:val="en-US" w:eastAsia="zh-CN"/>
              </w:rPr>
            </w:pPr>
            <w:r>
              <w:rPr>
                <w:rFonts w:hint="default"/>
                <w:highlight w:val="none"/>
                <w:lang w:val="en-US" w:eastAsia="zh-CN"/>
              </w:rPr>
              <w:t>项目</w:t>
            </w:r>
          </w:p>
        </w:tc>
        <w:tc>
          <w:tcPr>
            <w:tcW w:w="2589" w:type="dxa"/>
            <w:tcBorders>
              <w:tl2br w:val="nil"/>
              <w:tr2bl w:val="nil"/>
            </w:tcBorders>
            <w:noWrap w:val="0"/>
            <w:vAlign w:val="center"/>
          </w:tcPr>
          <w:p w14:paraId="02B7CA60">
            <w:pPr>
              <w:pStyle w:val="58"/>
              <w:bidi w:val="0"/>
              <w:rPr>
                <w:rFonts w:hint="default"/>
                <w:highlight w:val="none"/>
                <w:lang w:val="en-US" w:eastAsia="zh-CN"/>
              </w:rPr>
            </w:pPr>
            <w:r>
              <w:rPr>
                <w:rFonts w:hint="default"/>
                <w:highlight w:val="none"/>
                <w:lang w:val="en-US" w:eastAsia="zh-CN"/>
              </w:rPr>
              <w:t>备注</w:t>
            </w:r>
          </w:p>
        </w:tc>
      </w:tr>
      <w:tr w14:paraId="11E7B9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617" w:type="dxa"/>
            <w:tcBorders>
              <w:tl2br w:val="nil"/>
              <w:tr2bl w:val="nil"/>
            </w:tcBorders>
            <w:noWrap w:val="0"/>
            <w:vAlign w:val="center"/>
          </w:tcPr>
          <w:p w14:paraId="1B42C998">
            <w:pPr>
              <w:pStyle w:val="58"/>
              <w:bidi w:val="0"/>
              <w:rPr>
                <w:rFonts w:hint="default"/>
                <w:highlight w:val="none"/>
                <w:lang w:val="en-US" w:eastAsia="zh-CN"/>
              </w:rPr>
            </w:pPr>
            <w:bookmarkStart w:id="256" w:name="OLE_LINK1" w:colFirst="1" w:colLast="1"/>
            <w:r>
              <w:rPr>
                <w:rFonts w:hint="default"/>
                <w:highlight w:val="none"/>
                <w:lang w:val="en-US" w:eastAsia="zh-CN"/>
              </w:rPr>
              <w:t>1</w:t>
            </w:r>
          </w:p>
        </w:tc>
        <w:tc>
          <w:tcPr>
            <w:tcW w:w="2471" w:type="dxa"/>
            <w:tcBorders>
              <w:tl2br w:val="nil"/>
              <w:tr2bl w:val="nil"/>
            </w:tcBorders>
            <w:noWrap w:val="0"/>
            <w:vAlign w:val="center"/>
          </w:tcPr>
          <w:p w14:paraId="00A52A2F">
            <w:pPr>
              <w:pStyle w:val="58"/>
              <w:bidi w:val="0"/>
              <w:rPr>
                <w:rFonts w:hint="default"/>
                <w:highlight w:val="none"/>
                <w:lang w:val="en-US" w:eastAsia="zh-CN"/>
              </w:rPr>
            </w:pPr>
            <w:r>
              <w:rPr>
                <w:rFonts w:hint="default"/>
                <w:highlight w:val="none"/>
                <w:lang w:val="en-US" w:eastAsia="zh-CN"/>
              </w:rPr>
              <w:t>项目东北侧</w:t>
            </w:r>
          </w:p>
          <w:p w14:paraId="2F876490">
            <w:pPr>
              <w:pStyle w:val="58"/>
              <w:bidi w:val="0"/>
              <w:rPr>
                <w:rFonts w:hint="default"/>
                <w:highlight w:val="none"/>
                <w:lang w:val="en-US" w:eastAsia="zh-CN"/>
              </w:rPr>
            </w:pPr>
            <w:r>
              <w:rPr>
                <w:rFonts w:hint="default"/>
                <w:highlight w:val="none"/>
                <w:lang w:val="en-US" w:eastAsia="zh-CN"/>
              </w:rPr>
              <w:t>（园区北侧）</w:t>
            </w:r>
          </w:p>
        </w:tc>
        <w:tc>
          <w:tcPr>
            <w:tcW w:w="1203" w:type="dxa"/>
            <w:tcBorders>
              <w:tl2br w:val="nil"/>
              <w:tr2bl w:val="nil"/>
            </w:tcBorders>
            <w:noWrap w:val="0"/>
            <w:vAlign w:val="center"/>
          </w:tcPr>
          <w:p w14:paraId="1B551F1A">
            <w:pPr>
              <w:pStyle w:val="58"/>
              <w:bidi w:val="0"/>
              <w:rPr>
                <w:rFonts w:hint="default"/>
                <w:highlight w:val="none"/>
                <w:lang w:val="en-US" w:eastAsia="zh-CN"/>
              </w:rPr>
            </w:pPr>
            <w:r>
              <w:rPr>
                <w:rFonts w:hint="default"/>
                <w:highlight w:val="none"/>
                <w:lang w:val="en-US" w:eastAsia="zh-CN"/>
              </w:rPr>
              <w:t>NE580m</w:t>
            </w:r>
          </w:p>
        </w:tc>
        <w:tc>
          <w:tcPr>
            <w:tcW w:w="972" w:type="dxa"/>
            <w:tcBorders>
              <w:tl2br w:val="nil"/>
              <w:tr2bl w:val="nil"/>
            </w:tcBorders>
            <w:noWrap w:val="0"/>
            <w:vAlign w:val="center"/>
          </w:tcPr>
          <w:p w14:paraId="341B19C8">
            <w:pPr>
              <w:pStyle w:val="58"/>
              <w:bidi w:val="0"/>
              <w:rPr>
                <w:rFonts w:hint="default"/>
                <w:highlight w:val="none"/>
                <w:lang w:val="en-US" w:eastAsia="zh-CN"/>
              </w:rPr>
            </w:pPr>
            <w:r>
              <w:rPr>
                <w:rFonts w:hint="eastAsia"/>
                <w:highlight w:val="none"/>
                <w:lang w:val="en-US" w:eastAsia="zh-CN"/>
              </w:rPr>
              <w:t>对照井</w:t>
            </w:r>
          </w:p>
        </w:tc>
        <w:tc>
          <w:tcPr>
            <w:tcW w:w="3338" w:type="dxa"/>
            <w:vMerge w:val="restart"/>
            <w:tcBorders>
              <w:tl2br w:val="nil"/>
              <w:tr2bl w:val="nil"/>
            </w:tcBorders>
            <w:noWrap w:val="0"/>
            <w:vAlign w:val="center"/>
          </w:tcPr>
          <w:p w14:paraId="3CAA991F">
            <w:pPr>
              <w:pStyle w:val="58"/>
              <w:bidi w:val="0"/>
              <w:rPr>
                <w:rFonts w:hint="default"/>
                <w:highlight w:val="none"/>
                <w:lang w:val="en-US" w:eastAsia="zh-CN"/>
              </w:rPr>
            </w:pPr>
            <w:r>
              <w:rPr>
                <w:rFonts w:hint="default"/>
                <w:highlight w:val="none"/>
              </w:rPr>
              <w:t>pH值、碱度、总硬度、溶解性总固体、高锰酸盐指数、氟化物、氯化物、硫酸盐、硝酸盐氮、氨氮、亚硝酸盐氮、挥发酚类、氰化物、铬（六价）、砷、汞、钾、钠、钙、镁、铁、锰、铅、镉、总大肠菌群、菌落总数、石油类</w:t>
            </w:r>
          </w:p>
        </w:tc>
        <w:tc>
          <w:tcPr>
            <w:tcW w:w="1200" w:type="dxa"/>
            <w:tcBorders>
              <w:tl2br w:val="nil"/>
              <w:tr2bl w:val="nil"/>
            </w:tcBorders>
            <w:noWrap w:val="0"/>
            <w:vAlign w:val="center"/>
          </w:tcPr>
          <w:p w14:paraId="603EAA5C">
            <w:pPr>
              <w:pStyle w:val="58"/>
              <w:bidi w:val="0"/>
              <w:rPr>
                <w:rFonts w:hint="default"/>
                <w:highlight w:val="none"/>
                <w:lang w:val="en-US" w:eastAsia="zh-CN"/>
              </w:rPr>
            </w:pPr>
            <w:r>
              <w:rPr>
                <w:rFonts w:hint="default"/>
                <w:highlight w:val="none"/>
                <w:lang w:val="en-US" w:eastAsia="zh-CN"/>
              </w:rPr>
              <w:t>10</w:t>
            </w:r>
          </w:p>
        </w:tc>
        <w:tc>
          <w:tcPr>
            <w:tcW w:w="1485" w:type="dxa"/>
            <w:tcBorders>
              <w:tl2br w:val="nil"/>
              <w:tr2bl w:val="nil"/>
            </w:tcBorders>
            <w:noWrap w:val="0"/>
            <w:vAlign w:val="center"/>
          </w:tcPr>
          <w:p w14:paraId="3F1A266C">
            <w:pPr>
              <w:pStyle w:val="58"/>
              <w:bidi w:val="0"/>
              <w:rPr>
                <w:rFonts w:hint="default"/>
                <w:highlight w:val="none"/>
                <w:lang w:val="en-US" w:eastAsia="zh-CN"/>
              </w:rPr>
            </w:pPr>
            <w:r>
              <w:rPr>
                <w:rFonts w:hint="default"/>
                <w:highlight w:val="none"/>
                <w:lang w:val="en-US" w:eastAsia="zh-CN"/>
              </w:rPr>
              <w:t>潜水</w:t>
            </w:r>
          </w:p>
        </w:tc>
        <w:tc>
          <w:tcPr>
            <w:tcW w:w="2589" w:type="dxa"/>
            <w:tcBorders>
              <w:tl2br w:val="nil"/>
              <w:tr2bl w:val="nil"/>
            </w:tcBorders>
            <w:noWrap w:val="0"/>
            <w:vAlign w:val="center"/>
          </w:tcPr>
          <w:p w14:paraId="1DF427EE">
            <w:pPr>
              <w:pStyle w:val="58"/>
              <w:bidi w:val="0"/>
              <w:rPr>
                <w:rFonts w:hint="default"/>
                <w:highlight w:val="none"/>
                <w:lang w:val="en-US" w:eastAsia="zh-CN"/>
              </w:rPr>
            </w:pPr>
            <w:r>
              <w:rPr>
                <w:rFonts w:hint="default"/>
                <w:highlight w:val="none"/>
                <w:lang w:val="en-US" w:eastAsia="zh-CN"/>
              </w:rPr>
              <w:t>引用</w:t>
            </w:r>
          </w:p>
        </w:tc>
      </w:tr>
      <w:tr w14:paraId="07D7DB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72" w:hRule="atLeast"/>
          <w:jc w:val="center"/>
        </w:trPr>
        <w:tc>
          <w:tcPr>
            <w:tcW w:w="617" w:type="dxa"/>
            <w:tcBorders>
              <w:tl2br w:val="nil"/>
              <w:tr2bl w:val="nil"/>
            </w:tcBorders>
            <w:noWrap w:val="0"/>
            <w:vAlign w:val="center"/>
          </w:tcPr>
          <w:p w14:paraId="70018725">
            <w:pPr>
              <w:pStyle w:val="58"/>
              <w:bidi w:val="0"/>
              <w:rPr>
                <w:rFonts w:hint="default"/>
                <w:highlight w:val="none"/>
                <w:lang w:val="en-US" w:eastAsia="zh-CN"/>
              </w:rPr>
            </w:pPr>
            <w:r>
              <w:rPr>
                <w:rFonts w:hint="default"/>
                <w:highlight w:val="none"/>
                <w:lang w:val="en-US" w:eastAsia="zh-CN"/>
              </w:rPr>
              <w:t>2</w:t>
            </w:r>
          </w:p>
        </w:tc>
        <w:tc>
          <w:tcPr>
            <w:tcW w:w="2471" w:type="dxa"/>
            <w:tcBorders>
              <w:tl2br w:val="nil"/>
              <w:tr2bl w:val="nil"/>
            </w:tcBorders>
            <w:noWrap w:val="0"/>
            <w:vAlign w:val="center"/>
          </w:tcPr>
          <w:p w14:paraId="662B01AC">
            <w:pPr>
              <w:pStyle w:val="58"/>
              <w:bidi w:val="0"/>
              <w:rPr>
                <w:rFonts w:hint="default"/>
                <w:highlight w:val="none"/>
                <w:lang w:val="en-US" w:eastAsia="zh-CN"/>
              </w:rPr>
            </w:pPr>
            <w:r>
              <w:rPr>
                <w:rFonts w:hint="default"/>
                <w:highlight w:val="none"/>
                <w:lang w:val="en-US" w:eastAsia="zh-CN"/>
              </w:rPr>
              <w:t>项目东北侧</w:t>
            </w:r>
          </w:p>
          <w:p w14:paraId="2DD11640">
            <w:pPr>
              <w:pStyle w:val="58"/>
              <w:bidi w:val="0"/>
              <w:rPr>
                <w:rFonts w:hint="default"/>
                <w:highlight w:val="none"/>
                <w:lang w:val="en-US" w:eastAsia="zh-CN"/>
              </w:rPr>
            </w:pPr>
            <w:r>
              <w:rPr>
                <w:rFonts w:hint="default"/>
                <w:highlight w:val="none"/>
                <w:lang w:val="en-US" w:eastAsia="zh-CN"/>
              </w:rPr>
              <w:t>（园区东侧）</w:t>
            </w:r>
          </w:p>
        </w:tc>
        <w:tc>
          <w:tcPr>
            <w:tcW w:w="1203" w:type="dxa"/>
            <w:tcBorders>
              <w:tl2br w:val="nil"/>
              <w:tr2bl w:val="nil"/>
            </w:tcBorders>
            <w:noWrap w:val="0"/>
            <w:vAlign w:val="center"/>
          </w:tcPr>
          <w:p w14:paraId="471735DE">
            <w:pPr>
              <w:pStyle w:val="58"/>
              <w:bidi w:val="0"/>
              <w:rPr>
                <w:rFonts w:hint="default"/>
                <w:highlight w:val="none"/>
                <w:lang w:val="en-US" w:eastAsia="zh-CN"/>
              </w:rPr>
            </w:pPr>
            <w:r>
              <w:rPr>
                <w:rFonts w:hint="default"/>
                <w:highlight w:val="none"/>
                <w:lang w:val="en-US" w:eastAsia="zh-CN"/>
              </w:rPr>
              <w:t>NE1728m</w:t>
            </w:r>
          </w:p>
        </w:tc>
        <w:tc>
          <w:tcPr>
            <w:tcW w:w="972" w:type="dxa"/>
            <w:tcBorders>
              <w:tl2br w:val="nil"/>
              <w:tr2bl w:val="nil"/>
            </w:tcBorders>
            <w:noWrap w:val="0"/>
            <w:vAlign w:val="center"/>
          </w:tcPr>
          <w:p w14:paraId="1B7061E4">
            <w:pPr>
              <w:pStyle w:val="58"/>
              <w:bidi w:val="0"/>
              <w:spacing w:line="240" w:lineRule="auto"/>
              <w:jc w:val="center"/>
              <w:rPr>
                <w:rFonts w:hint="default"/>
                <w:highlight w:val="none"/>
                <w:lang w:val="en-US" w:eastAsia="zh-CN"/>
              </w:rPr>
            </w:pPr>
            <w:r>
              <w:rPr>
                <w:rFonts w:hint="eastAsia"/>
                <w:highlight w:val="none"/>
                <w:lang w:val="en-US" w:eastAsia="zh-CN"/>
              </w:rPr>
              <w:t>监测井</w:t>
            </w:r>
          </w:p>
        </w:tc>
        <w:tc>
          <w:tcPr>
            <w:tcW w:w="3338" w:type="dxa"/>
            <w:vMerge w:val="continue"/>
            <w:tcBorders>
              <w:tl2br w:val="nil"/>
              <w:tr2bl w:val="nil"/>
            </w:tcBorders>
            <w:noWrap w:val="0"/>
            <w:vAlign w:val="center"/>
          </w:tcPr>
          <w:p w14:paraId="6CC60711">
            <w:pPr>
              <w:pStyle w:val="58"/>
              <w:bidi w:val="0"/>
              <w:rPr>
                <w:rFonts w:hint="default"/>
                <w:highlight w:val="none"/>
              </w:rPr>
            </w:pPr>
          </w:p>
        </w:tc>
        <w:tc>
          <w:tcPr>
            <w:tcW w:w="1200" w:type="dxa"/>
            <w:tcBorders>
              <w:tl2br w:val="nil"/>
              <w:tr2bl w:val="nil"/>
            </w:tcBorders>
            <w:noWrap w:val="0"/>
            <w:vAlign w:val="center"/>
          </w:tcPr>
          <w:p w14:paraId="25D0DB29">
            <w:pPr>
              <w:pStyle w:val="58"/>
              <w:bidi w:val="0"/>
              <w:rPr>
                <w:rFonts w:hint="default"/>
                <w:highlight w:val="none"/>
                <w:lang w:val="en-US" w:eastAsia="zh-CN"/>
              </w:rPr>
            </w:pPr>
            <w:r>
              <w:rPr>
                <w:rFonts w:hint="default"/>
                <w:highlight w:val="none"/>
                <w:lang w:val="en-US" w:eastAsia="zh-CN"/>
              </w:rPr>
              <w:t>10</w:t>
            </w:r>
          </w:p>
        </w:tc>
        <w:tc>
          <w:tcPr>
            <w:tcW w:w="1485" w:type="dxa"/>
            <w:tcBorders>
              <w:tl2br w:val="nil"/>
              <w:tr2bl w:val="nil"/>
            </w:tcBorders>
            <w:noWrap w:val="0"/>
            <w:vAlign w:val="center"/>
          </w:tcPr>
          <w:p w14:paraId="41311F20">
            <w:pPr>
              <w:pStyle w:val="58"/>
              <w:bidi w:val="0"/>
              <w:rPr>
                <w:rFonts w:hint="default"/>
                <w:highlight w:val="none"/>
                <w:lang w:val="en-US" w:eastAsia="zh-CN"/>
              </w:rPr>
            </w:pPr>
            <w:r>
              <w:rPr>
                <w:rFonts w:hint="default"/>
                <w:highlight w:val="none"/>
                <w:lang w:val="en-US" w:eastAsia="zh-CN"/>
              </w:rPr>
              <w:t>潜水</w:t>
            </w:r>
          </w:p>
        </w:tc>
        <w:tc>
          <w:tcPr>
            <w:tcW w:w="2589" w:type="dxa"/>
            <w:tcBorders>
              <w:tl2br w:val="nil"/>
              <w:tr2bl w:val="nil"/>
            </w:tcBorders>
            <w:noWrap w:val="0"/>
            <w:vAlign w:val="center"/>
          </w:tcPr>
          <w:p w14:paraId="04DB4303">
            <w:pPr>
              <w:pStyle w:val="58"/>
              <w:bidi w:val="0"/>
              <w:rPr>
                <w:rFonts w:hint="default"/>
                <w:highlight w:val="none"/>
                <w:lang w:val="en-US" w:eastAsia="zh-CN"/>
              </w:rPr>
            </w:pPr>
            <w:r>
              <w:rPr>
                <w:rFonts w:hint="default"/>
                <w:highlight w:val="none"/>
                <w:lang w:val="en-US" w:eastAsia="zh-CN"/>
              </w:rPr>
              <w:t>引用</w:t>
            </w:r>
          </w:p>
        </w:tc>
      </w:tr>
      <w:tr w14:paraId="4825AA8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617" w:type="dxa"/>
            <w:tcBorders>
              <w:tl2br w:val="nil"/>
              <w:tr2bl w:val="nil"/>
            </w:tcBorders>
            <w:noWrap w:val="0"/>
            <w:vAlign w:val="center"/>
          </w:tcPr>
          <w:p w14:paraId="1E50B6FC">
            <w:pPr>
              <w:pStyle w:val="58"/>
              <w:bidi w:val="0"/>
              <w:rPr>
                <w:rFonts w:hint="default"/>
                <w:highlight w:val="none"/>
                <w:lang w:val="en-US" w:eastAsia="zh-CN"/>
              </w:rPr>
            </w:pPr>
            <w:r>
              <w:rPr>
                <w:rFonts w:hint="default"/>
                <w:highlight w:val="none"/>
                <w:lang w:val="en-US" w:eastAsia="zh-CN"/>
              </w:rPr>
              <w:t>3</w:t>
            </w:r>
          </w:p>
        </w:tc>
        <w:tc>
          <w:tcPr>
            <w:tcW w:w="2471" w:type="dxa"/>
            <w:tcBorders>
              <w:tl2br w:val="nil"/>
              <w:tr2bl w:val="nil"/>
            </w:tcBorders>
            <w:noWrap w:val="0"/>
            <w:vAlign w:val="center"/>
          </w:tcPr>
          <w:p w14:paraId="1C046A70">
            <w:pPr>
              <w:pStyle w:val="58"/>
              <w:bidi w:val="0"/>
              <w:rPr>
                <w:rFonts w:hint="default"/>
                <w:highlight w:val="none"/>
                <w:lang w:val="en-US" w:eastAsia="zh-CN"/>
              </w:rPr>
            </w:pPr>
            <w:r>
              <w:rPr>
                <w:rFonts w:hint="default"/>
                <w:highlight w:val="none"/>
                <w:lang w:val="en-US" w:eastAsia="zh-CN"/>
              </w:rPr>
              <w:t>项目东南侧</w:t>
            </w:r>
          </w:p>
          <w:p w14:paraId="199DF207">
            <w:pPr>
              <w:pStyle w:val="58"/>
              <w:bidi w:val="0"/>
              <w:rPr>
                <w:rFonts w:hint="default"/>
                <w:highlight w:val="none"/>
                <w:lang w:val="en-US" w:eastAsia="zh-CN"/>
              </w:rPr>
            </w:pPr>
            <w:r>
              <w:rPr>
                <w:rFonts w:hint="default"/>
                <w:highlight w:val="none"/>
                <w:lang w:val="en-US" w:eastAsia="zh-CN"/>
              </w:rPr>
              <w:t>（园区南侧）</w:t>
            </w:r>
          </w:p>
        </w:tc>
        <w:tc>
          <w:tcPr>
            <w:tcW w:w="1203" w:type="dxa"/>
            <w:tcBorders>
              <w:tl2br w:val="nil"/>
              <w:tr2bl w:val="nil"/>
            </w:tcBorders>
            <w:noWrap w:val="0"/>
            <w:vAlign w:val="center"/>
          </w:tcPr>
          <w:p w14:paraId="08A6E21C">
            <w:pPr>
              <w:pStyle w:val="58"/>
              <w:bidi w:val="0"/>
              <w:rPr>
                <w:rFonts w:hint="default"/>
                <w:highlight w:val="none"/>
                <w:lang w:val="en-US" w:eastAsia="zh-CN"/>
              </w:rPr>
            </w:pPr>
            <w:r>
              <w:rPr>
                <w:rFonts w:hint="default"/>
                <w:highlight w:val="none"/>
                <w:lang w:val="en-US" w:eastAsia="zh-CN"/>
              </w:rPr>
              <w:t>SE1594m</w:t>
            </w:r>
          </w:p>
        </w:tc>
        <w:tc>
          <w:tcPr>
            <w:tcW w:w="972" w:type="dxa"/>
            <w:tcBorders>
              <w:tl2br w:val="nil"/>
              <w:tr2bl w:val="nil"/>
            </w:tcBorders>
            <w:noWrap w:val="0"/>
            <w:vAlign w:val="center"/>
          </w:tcPr>
          <w:p w14:paraId="54FB30E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2"/>
                <w:sz w:val="21"/>
                <w:szCs w:val="21"/>
                <w:highlight w:val="none"/>
                <w:lang w:val="en-US" w:eastAsia="zh-CN" w:bidi="ar-SA"/>
              </w:rPr>
              <w:t>监测井</w:t>
            </w:r>
          </w:p>
        </w:tc>
        <w:tc>
          <w:tcPr>
            <w:tcW w:w="3338" w:type="dxa"/>
            <w:vMerge w:val="continue"/>
            <w:tcBorders>
              <w:tl2br w:val="nil"/>
              <w:tr2bl w:val="nil"/>
            </w:tcBorders>
            <w:noWrap w:val="0"/>
            <w:vAlign w:val="center"/>
          </w:tcPr>
          <w:p w14:paraId="0620E30A">
            <w:pPr>
              <w:pStyle w:val="58"/>
              <w:bidi w:val="0"/>
              <w:rPr>
                <w:rFonts w:hint="default"/>
                <w:highlight w:val="none"/>
              </w:rPr>
            </w:pPr>
          </w:p>
        </w:tc>
        <w:tc>
          <w:tcPr>
            <w:tcW w:w="1200" w:type="dxa"/>
            <w:tcBorders>
              <w:tl2br w:val="nil"/>
              <w:tr2bl w:val="nil"/>
            </w:tcBorders>
            <w:noWrap w:val="0"/>
            <w:vAlign w:val="center"/>
          </w:tcPr>
          <w:p w14:paraId="27BE502E">
            <w:pPr>
              <w:pStyle w:val="58"/>
              <w:bidi w:val="0"/>
              <w:rPr>
                <w:rFonts w:hint="default"/>
                <w:highlight w:val="none"/>
                <w:lang w:val="en-US" w:eastAsia="zh-CN"/>
              </w:rPr>
            </w:pPr>
            <w:r>
              <w:rPr>
                <w:rFonts w:hint="default"/>
                <w:highlight w:val="none"/>
                <w:lang w:val="en-US" w:eastAsia="zh-CN"/>
              </w:rPr>
              <w:t>10</w:t>
            </w:r>
          </w:p>
        </w:tc>
        <w:tc>
          <w:tcPr>
            <w:tcW w:w="1485" w:type="dxa"/>
            <w:tcBorders>
              <w:tl2br w:val="nil"/>
              <w:tr2bl w:val="nil"/>
            </w:tcBorders>
            <w:noWrap w:val="0"/>
            <w:vAlign w:val="center"/>
          </w:tcPr>
          <w:p w14:paraId="5FE5E294">
            <w:pPr>
              <w:pStyle w:val="58"/>
              <w:bidi w:val="0"/>
              <w:rPr>
                <w:rFonts w:hint="default"/>
                <w:highlight w:val="none"/>
                <w:lang w:val="en-US" w:eastAsia="zh-CN"/>
              </w:rPr>
            </w:pPr>
            <w:r>
              <w:rPr>
                <w:rFonts w:hint="default"/>
                <w:highlight w:val="none"/>
                <w:lang w:val="en-US" w:eastAsia="zh-CN"/>
              </w:rPr>
              <w:t>潜水</w:t>
            </w:r>
          </w:p>
        </w:tc>
        <w:tc>
          <w:tcPr>
            <w:tcW w:w="2589" w:type="dxa"/>
            <w:tcBorders>
              <w:tl2br w:val="nil"/>
              <w:tr2bl w:val="nil"/>
            </w:tcBorders>
            <w:noWrap w:val="0"/>
            <w:vAlign w:val="center"/>
          </w:tcPr>
          <w:p w14:paraId="34C0F05A">
            <w:pPr>
              <w:pStyle w:val="58"/>
              <w:bidi w:val="0"/>
              <w:rPr>
                <w:rFonts w:hint="default"/>
                <w:highlight w:val="none"/>
                <w:lang w:val="en-US" w:eastAsia="zh-CN"/>
              </w:rPr>
            </w:pPr>
            <w:r>
              <w:rPr>
                <w:rFonts w:hint="default"/>
                <w:highlight w:val="none"/>
                <w:lang w:val="en-US" w:eastAsia="zh-CN"/>
              </w:rPr>
              <w:t>引用</w:t>
            </w:r>
          </w:p>
        </w:tc>
      </w:tr>
      <w:tr w14:paraId="3E9A04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617" w:type="dxa"/>
            <w:tcBorders>
              <w:tl2br w:val="nil"/>
              <w:tr2bl w:val="nil"/>
            </w:tcBorders>
            <w:noWrap w:val="0"/>
            <w:vAlign w:val="center"/>
          </w:tcPr>
          <w:p w14:paraId="47DBCC78">
            <w:pPr>
              <w:pStyle w:val="58"/>
              <w:bidi w:val="0"/>
              <w:rPr>
                <w:rFonts w:hint="default"/>
                <w:highlight w:val="none"/>
                <w:lang w:val="en-US" w:eastAsia="zh-CN"/>
              </w:rPr>
            </w:pPr>
            <w:r>
              <w:rPr>
                <w:rFonts w:hint="default"/>
                <w:highlight w:val="none"/>
                <w:lang w:val="en-US" w:eastAsia="zh-CN"/>
              </w:rPr>
              <w:t>4</w:t>
            </w:r>
          </w:p>
        </w:tc>
        <w:tc>
          <w:tcPr>
            <w:tcW w:w="2471" w:type="dxa"/>
            <w:tcBorders>
              <w:tl2br w:val="nil"/>
              <w:tr2bl w:val="nil"/>
            </w:tcBorders>
            <w:noWrap w:val="0"/>
            <w:vAlign w:val="center"/>
          </w:tcPr>
          <w:p w14:paraId="3D9A6977">
            <w:pPr>
              <w:pStyle w:val="58"/>
              <w:bidi w:val="0"/>
              <w:rPr>
                <w:rFonts w:hint="default"/>
                <w:highlight w:val="none"/>
                <w:lang w:val="en-US" w:eastAsia="zh-CN"/>
              </w:rPr>
            </w:pPr>
            <w:r>
              <w:rPr>
                <w:rFonts w:hint="default"/>
                <w:highlight w:val="none"/>
                <w:lang w:val="en-US" w:eastAsia="zh-CN"/>
              </w:rPr>
              <w:t>项目东侧</w:t>
            </w:r>
          </w:p>
          <w:p w14:paraId="5A280BA0">
            <w:pPr>
              <w:pStyle w:val="58"/>
              <w:bidi w:val="0"/>
              <w:rPr>
                <w:rFonts w:hint="default"/>
                <w:highlight w:val="none"/>
                <w:lang w:val="en-US" w:eastAsia="zh-CN"/>
              </w:rPr>
            </w:pPr>
            <w:r>
              <w:rPr>
                <w:rFonts w:hint="default"/>
                <w:highlight w:val="none"/>
                <w:lang w:val="en-US" w:eastAsia="zh-CN"/>
              </w:rPr>
              <w:t>（园区内空地区域）</w:t>
            </w:r>
          </w:p>
        </w:tc>
        <w:tc>
          <w:tcPr>
            <w:tcW w:w="1203" w:type="dxa"/>
            <w:tcBorders>
              <w:tl2br w:val="nil"/>
              <w:tr2bl w:val="nil"/>
            </w:tcBorders>
            <w:noWrap w:val="0"/>
            <w:vAlign w:val="center"/>
          </w:tcPr>
          <w:p w14:paraId="2BE92F55">
            <w:pPr>
              <w:pStyle w:val="58"/>
              <w:bidi w:val="0"/>
              <w:rPr>
                <w:rFonts w:hint="default"/>
                <w:highlight w:val="none"/>
                <w:lang w:val="en-US" w:eastAsia="zh-CN"/>
              </w:rPr>
            </w:pPr>
            <w:r>
              <w:rPr>
                <w:rFonts w:hint="default"/>
                <w:highlight w:val="none"/>
                <w:lang w:val="en-US" w:eastAsia="zh-CN"/>
              </w:rPr>
              <w:t>E293m</w:t>
            </w:r>
          </w:p>
        </w:tc>
        <w:tc>
          <w:tcPr>
            <w:tcW w:w="972" w:type="dxa"/>
            <w:tcBorders>
              <w:tl2br w:val="nil"/>
              <w:tr2bl w:val="nil"/>
            </w:tcBorders>
            <w:noWrap w:val="0"/>
            <w:vAlign w:val="center"/>
          </w:tcPr>
          <w:p w14:paraId="560938A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监测井</w:t>
            </w:r>
          </w:p>
        </w:tc>
        <w:tc>
          <w:tcPr>
            <w:tcW w:w="3338" w:type="dxa"/>
            <w:vMerge w:val="continue"/>
            <w:tcBorders>
              <w:tl2br w:val="nil"/>
              <w:tr2bl w:val="nil"/>
            </w:tcBorders>
            <w:noWrap w:val="0"/>
            <w:vAlign w:val="center"/>
          </w:tcPr>
          <w:p w14:paraId="7A96BF5E">
            <w:pPr>
              <w:pStyle w:val="58"/>
              <w:bidi w:val="0"/>
              <w:rPr>
                <w:rFonts w:hint="default"/>
                <w:highlight w:val="none"/>
              </w:rPr>
            </w:pPr>
          </w:p>
        </w:tc>
        <w:tc>
          <w:tcPr>
            <w:tcW w:w="1200" w:type="dxa"/>
            <w:tcBorders>
              <w:tl2br w:val="nil"/>
              <w:tr2bl w:val="nil"/>
            </w:tcBorders>
            <w:noWrap w:val="0"/>
            <w:vAlign w:val="center"/>
          </w:tcPr>
          <w:p w14:paraId="2E5F9D0E">
            <w:pPr>
              <w:pStyle w:val="58"/>
              <w:bidi w:val="0"/>
              <w:rPr>
                <w:rFonts w:hint="default"/>
                <w:highlight w:val="none"/>
                <w:lang w:val="en-US" w:eastAsia="zh-CN"/>
              </w:rPr>
            </w:pPr>
            <w:r>
              <w:rPr>
                <w:rFonts w:hint="default"/>
                <w:highlight w:val="none"/>
                <w:lang w:val="en-US" w:eastAsia="zh-CN"/>
              </w:rPr>
              <w:t>10</w:t>
            </w:r>
          </w:p>
        </w:tc>
        <w:tc>
          <w:tcPr>
            <w:tcW w:w="1485" w:type="dxa"/>
            <w:tcBorders>
              <w:tl2br w:val="nil"/>
              <w:tr2bl w:val="nil"/>
            </w:tcBorders>
            <w:noWrap w:val="0"/>
            <w:vAlign w:val="center"/>
          </w:tcPr>
          <w:p w14:paraId="3BE0323C">
            <w:pPr>
              <w:pStyle w:val="58"/>
              <w:bidi w:val="0"/>
              <w:rPr>
                <w:rFonts w:hint="default"/>
                <w:highlight w:val="none"/>
                <w:lang w:val="en-US" w:eastAsia="zh-CN"/>
              </w:rPr>
            </w:pPr>
            <w:r>
              <w:rPr>
                <w:rFonts w:hint="default"/>
                <w:highlight w:val="none"/>
                <w:lang w:val="en-US" w:eastAsia="zh-CN"/>
              </w:rPr>
              <w:t>潜水</w:t>
            </w:r>
          </w:p>
        </w:tc>
        <w:tc>
          <w:tcPr>
            <w:tcW w:w="2589" w:type="dxa"/>
            <w:tcBorders>
              <w:tl2br w:val="nil"/>
              <w:tr2bl w:val="nil"/>
            </w:tcBorders>
            <w:noWrap w:val="0"/>
            <w:vAlign w:val="center"/>
          </w:tcPr>
          <w:p w14:paraId="5074755E">
            <w:pPr>
              <w:pStyle w:val="58"/>
              <w:bidi w:val="0"/>
              <w:rPr>
                <w:rFonts w:hint="default"/>
                <w:highlight w:val="none"/>
                <w:lang w:eastAsia="zh-CN"/>
              </w:rPr>
            </w:pPr>
            <w:r>
              <w:rPr>
                <w:rFonts w:hint="default"/>
                <w:highlight w:val="none"/>
                <w:lang w:val="en-US" w:eastAsia="zh-CN"/>
              </w:rPr>
              <w:t>引用</w:t>
            </w:r>
          </w:p>
        </w:tc>
      </w:tr>
      <w:tr w14:paraId="1542D17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617" w:type="dxa"/>
            <w:tcBorders>
              <w:tl2br w:val="nil"/>
              <w:tr2bl w:val="nil"/>
            </w:tcBorders>
            <w:noWrap w:val="0"/>
            <w:vAlign w:val="center"/>
          </w:tcPr>
          <w:p w14:paraId="52BB836E">
            <w:pPr>
              <w:pStyle w:val="58"/>
              <w:bidi w:val="0"/>
              <w:rPr>
                <w:rFonts w:hint="default"/>
                <w:highlight w:val="none"/>
                <w:lang w:val="en-US" w:eastAsia="zh-CN"/>
              </w:rPr>
            </w:pPr>
            <w:r>
              <w:rPr>
                <w:rFonts w:hint="default"/>
                <w:highlight w:val="none"/>
                <w:lang w:val="en-US" w:eastAsia="zh-CN"/>
              </w:rPr>
              <w:t>5</w:t>
            </w:r>
          </w:p>
        </w:tc>
        <w:tc>
          <w:tcPr>
            <w:tcW w:w="2471" w:type="dxa"/>
            <w:tcBorders>
              <w:tl2br w:val="nil"/>
              <w:tr2bl w:val="nil"/>
            </w:tcBorders>
            <w:noWrap w:val="0"/>
            <w:vAlign w:val="center"/>
          </w:tcPr>
          <w:p w14:paraId="0C6A78CF">
            <w:pPr>
              <w:pStyle w:val="58"/>
              <w:bidi w:val="0"/>
              <w:rPr>
                <w:rFonts w:hint="default"/>
                <w:highlight w:val="none"/>
                <w:lang w:val="en-US" w:eastAsia="zh-CN"/>
              </w:rPr>
            </w:pPr>
            <w:r>
              <w:rPr>
                <w:rFonts w:hint="default"/>
                <w:highlight w:val="none"/>
                <w:lang w:val="en-US" w:eastAsia="zh-CN"/>
              </w:rPr>
              <w:t>项目东南侧</w:t>
            </w:r>
          </w:p>
          <w:p w14:paraId="611ACC0F">
            <w:pPr>
              <w:pStyle w:val="58"/>
              <w:bidi w:val="0"/>
              <w:rPr>
                <w:rFonts w:hint="default"/>
                <w:highlight w:val="none"/>
                <w:lang w:val="en-US" w:eastAsia="zh-CN"/>
              </w:rPr>
            </w:pPr>
            <w:r>
              <w:rPr>
                <w:rFonts w:hint="default"/>
                <w:highlight w:val="none"/>
                <w:lang w:val="en-US" w:eastAsia="zh-CN"/>
              </w:rPr>
              <w:t>（园区内南侧企业附近）</w:t>
            </w:r>
          </w:p>
        </w:tc>
        <w:tc>
          <w:tcPr>
            <w:tcW w:w="1203" w:type="dxa"/>
            <w:tcBorders>
              <w:tl2br w:val="nil"/>
              <w:tr2bl w:val="nil"/>
            </w:tcBorders>
            <w:noWrap w:val="0"/>
            <w:vAlign w:val="center"/>
          </w:tcPr>
          <w:p w14:paraId="4278E398">
            <w:pPr>
              <w:pStyle w:val="58"/>
              <w:bidi w:val="0"/>
              <w:rPr>
                <w:rFonts w:hint="default"/>
                <w:highlight w:val="none"/>
                <w:lang w:val="en-US" w:eastAsia="zh-CN"/>
              </w:rPr>
            </w:pPr>
            <w:r>
              <w:rPr>
                <w:rFonts w:hint="default"/>
                <w:highlight w:val="none"/>
                <w:lang w:val="en-US" w:eastAsia="zh-CN"/>
              </w:rPr>
              <w:t>SE478m</w:t>
            </w:r>
          </w:p>
        </w:tc>
        <w:tc>
          <w:tcPr>
            <w:tcW w:w="972" w:type="dxa"/>
            <w:tcBorders>
              <w:tl2br w:val="nil"/>
              <w:tr2bl w:val="nil"/>
            </w:tcBorders>
            <w:noWrap w:val="0"/>
            <w:vAlign w:val="center"/>
          </w:tcPr>
          <w:p w14:paraId="281E323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监测井</w:t>
            </w:r>
          </w:p>
        </w:tc>
        <w:tc>
          <w:tcPr>
            <w:tcW w:w="3338" w:type="dxa"/>
            <w:vMerge w:val="continue"/>
            <w:tcBorders>
              <w:tl2br w:val="nil"/>
              <w:tr2bl w:val="nil"/>
            </w:tcBorders>
            <w:noWrap w:val="0"/>
            <w:vAlign w:val="center"/>
          </w:tcPr>
          <w:p w14:paraId="3B35859F">
            <w:pPr>
              <w:pStyle w:val="58"/>
              <w:bidi w:val="0"/>
              <w:rPr>
                <w:rFonts w:hint="default"/>
                <w:highlight w:val="none"/>
              </w:rPr>
            </w:pPr>
          </w:p>
        </w:tc>
        <w:tc>
          <w:tcPr>
            <w:tcW w:w="1200" w:type="dxa"/>
            <w:tcBorders>
              <w:tl2br w:val="nil"/>
              <w:tr2bl w:val="nil"/>
            </w:tcBorders>
            <w:noWrap w:val="0"/>
            <w:vAlign w:val="center"/>
          </w:tcPr>
          <w:p w14:paraId="402E6613">
            <w:pPr>
              <w:pStyle w:val="58"/>
              <w:bidi w:val="0"/>
              <w:rPr>
                <w:rFonts w:hint="default"/>
                <w:highlight w:val="none"/>
                <w:lang w:val="en-US" w:eastAsia="zh-CN"/>
              </w:rPr>
            </w:pPr>
            <w:r>
              <w:rPr>
                <w:rFonts w:hint="default"/>
                <w:highlight w:val="none"/>
                <w:lang w:val="en-US" w:eastAsia="zh-CN"/>
              </w:rPr>
              <w:t>10</w:t>
            </w:r>
          </w:p>
        </w:tc>
        <w:tc>
          <w:tcPr>
            <w:tcW w:w="1485" w:type="dxa"/>
            <w:tcBorders>
              <w:tl2br w:val="nil"/>
              <w:tr2bl w:val="nil"/>
            </w:tcBorders>
            <w:noWrap w:val="0"/>
            <w:vAlign w:val="center"/>
          </w:tcPr>
          <w:p w14:paraId="589A14BF">
            <w:pPr>
              <w:pStyle w:val="58"/>
              <w:bidi w:val="0"/>
              <w:rPr>
                <w:rFonts w:hint="default"/>
                <w:highlight w:val="none"/>
                <w:lang w:val="en-US" w:eastAsia="zh-CN"/>
              </w:rPr>
            </w:pPr>
            <w:r>
              <w:rPr>
                <w:rFonts w:hint="default"/>
                <w:highlight w:val="none"/>
                <w:lang w:val="en-US" w:eastAsia="zh-CN"/>
              </w:rPr>
              <w:t>潜水</w:t>
            </w:r>
          </w:p>
        </w:tc>
        <w:tc>
          <w:tcPr>
            <w:tcW w:w="2589" w:type="dxa"/>
            <w:tcBorders>
              <w:tl2br w:val="nil"/>
              <w:tr2bl w:val="nil"/>
            </w:tcBorders>
            <w:noWrap w:val="0"/>
            <w:vAlign w:val="center"/>
          </w:tcPr>
          <w:p w14:paraId="5998499C">
            <w:pPr>
              <w:pStyle w:val="58"/>
              <w:bidi w:val="0"/>
              <w:rPr>
                <w:rFonts w:hint="default"/>
                <w:highlight w:val="none"/>
                <w:lang w:val="en-US" w:eastAsia="zh-CN"/>
              </w:rPr>
            </w:pPr>
            <w:r>
              <w:rPr>
                <w:rFonts w:hint="default"/>
                <w:highlight w:val="none"/>
                <w:lang w:val="en-US" w:eastAsia="zh-CN"/>
              </w:rPr>
              <w:t>引用</w:t>
            </w:r>
          </w:p>
        </w:tc>
      </w:tr>
      <w:tr w14:paraId="3FE5D8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617" w:type="dxa"/>
            <w:tcBorders>
              <w:tl2br w:val="nil"/>
              <w:tr2bl w:val="nil"/>
            </w:tcBorders>
            <w:noWrap w:val="0"/>
            <w:vAlign w:val="center"/>
          </w:tcPr>
          <w:p w14:paraId="7C2F3D22">
            <w:pPr>
              <w:pStyle w:val="58"/>
              <w:bidi w:val="0"/>
              <w:rPr>
                <w:rFonts w:hint="default"/>
                <w:highlight w:val="none"/>
                <w:lang w:val="en-US" w:eastAsia="zh-CN"/>
              </w:rPr>
            </w:pPr>
            <w:r>
              <w:rPr>
                <w:rFonts w:hint="default"/>
                <w:highlight w:val="none"/>
                <w:lang w:val="en-US" w:eastAsia="zh-CN"/>
              </w:rPr>
              <w:t>6</w:t>
            </w:r>
          </w:p>
        </w:tc>
        <w:tc>
          <w:tcPr>
            <w:tcW w:w="2471" w:type="dxa"/>
            <w:tcBorders>
              <w:tl2br w:val="nil"/>
              <w:tr2bl w:val="nil"/>
            </w:tcBorders>
            <w:noWrap w:val="0"/>
            <w:vAlign w:val="center"/>
          </w:tcPr>
          <w:p w14:paraId="5B9A209A">
            <w:pPr>
              <w:pStyle w:val="58"/>
              <w:bidi w:val="0"/>
              <w:rPr>
                <w:rFonts w:hint="default"/>
                <w:highlight w:val="none"/>
                <w:lang w:val="en-US" w:eastAsia="zh-CN"/>
              </w:rPr>
            </w:pPr>
            <w:r>
              <w:rPr>
                <w:rFonts w:hint="default"/>
                <w:highlight w:val="none"/>
                <w:lang w:val="en-US" w:eastAsia="zh-CN"/>
              </w:rPr>
              <w:t>项目东南侧</w:t>
            </w:r>
          </w:p>
          <w:p w14:paraId="0E2793BB">
            <w:pPr>
              <w:pStyle w:val="58"/>
              <w:bidi w:val="0"/>
              <w:rPr>
                <w:rFonts w:hint="default"/>
                <w:highlight w:val="none"/>
                <w:lang w:val="en-US" w:eastAsia="zh-CN"/>
              </w:rPr>
            </w:pPr>
            <w:r>
              <w:rPr>
                <w:rFonts w:hint="default"/>
                <w:highlight w:val="none"/>
                <w:lang w:val="en-US" w:eastAsia="zh-CN"/>
              </w:rPr>
              <w:t>（园区内深水井）</w:t>
            </w:r>
          </w:p>
        </w:tc>
        <w:tc>
          <w:tcPr>
            <w:tcW w:w="1203" w:type="dxa"/>
            <w:tcBorders>
              <w:tl2br w:val="nil"/>
              <w:tr2bl w:val="nil"/>
            </w:tcBorders>
            <w:noWrap w:val="0"/>
            <w:vAlign w:val="center"/>
          </w:tcPr>
          <w:p w14:paraId="64EEE2D0">
            <w:pPr>
              <w:pStyle w:val="58"/>
              <w:bidi w:val="0"/>
              <w:rPr>
                <w:rFonts w:hint="default"/>
                <w:highlight w:val="none"/>
                <w:lang w:val="en-US" w:eastAsia="zh-CN"/>
              </w:rPr>
            </w:pPr>
            <w:r>
              <w:rPr>
                <w:rFonts w:hint="default"/>
                <w:highlight w:val="none"/>
                <w:lang w:val="en-US" w:eastAsia="zh-CN"/>
              </w:rPr>
              <w:t>SE358m</w:t>
            </w:r>
          </w:p>
        </w:tc>
        <w:tc>
          <w:tcPr>
            <w:tcW w:w="972" w:type="dxa"/>
            <w:tcBorders>
              <w:tl2br w:val="nil"/>
              <w:tr2bl w:val="nil"/>
            </w:tcBorders>
            <w:noWrap w:val="0"/>
            <w:vAlign w:val="center"/>
          </w:tcPr>
          <w:p w14:paraId="286CEEF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监测井</w:t>
            </w:r>
          </w:p>
        </w:tc>
        <w:tc>
          <w:tcPr>
            <w:tcW w:w="3338" w:type="dxa"/>
            <w:vMerge w:val="continue"/>
            <w:tcBorders>
              <w:tl2br w:val="nil"/>
              <w:tr2bl w:val="nil"/>
            </w:tcBorders>
            <w:noWrap w:val="0"/>
            <w:vAlign w:val="center"/>
          </w:tcPr>
          <w:p w14:paraId="20D27881">
            <w:pPr>
              <w:pStyle w:val="58"/>
              <w:bidi w:val="0"/>
              <w:rPr>
                <w:rFonts w:hint="default"/>
                <w:highlight w:val="none"/>
              </w:rPr>
            </w:pPr>
          </w:p>
        </w:tc>
        <w:tc>
          <w:tcPr>
            <w:tcW w:w="1200" w:type="dxa"/>
            <w:tcBorders>
              <w:tl2br w:val="nil"/>
              <w:tr2bl w:val="nil"/>
            </w:tcBorders>
            <w:noWrap w:val="0"/>
            <w:vAlign w:val="center"/>
          </w:tcPr>
          <w:p w14:paraId="73A09780">
            <w:pPr>
              <w:pStyle w:val="58"/>
              <w:bidi w:val="0"/>
              <w:rPr>
                <w:rFonts w:hint="default"/>
                <w:highlight w:val="none"/>
                <w:lang w:val="en-US" w:eastAsia="zh-CN"/>
              </w:rPr>
            </w:pPr>
            <w:r>
              <w:rPr>
                <w:rFonts w:hint="default"/>
                <w:highlight w:val="none"/>
                <w:lang w:val="en-US" w:eastAsia="zh-CN"/>
              </w:rPr>
              <w:t>275</w:t>
            </w:r>
          </w:p>
        </w:tc>
        <w:tc>
          <w:tcPr>
            <w:tcW w:w="1485" w:type="dxa"/>
            <w:tcBorders>
              <w:tl2br w:val="nil"/>
              <w:tr2bl w:val="nil"/>
            </w:tcBorders>
            <w:noWrap w:val="0"/>
            <w:vAlign w:val="center"/>
          </w:tcPr>
          <w:p w14:paraId="5979292A">
            <w:pPr>
              <w:pStyle w:val="58"/>
              <w:bidi w:val="0"/>
              <w:rPr>
                <w:rFonts w:hint="default"/>
                <w:highlight w:val="none"/>
                <w:lang w:val="en-US" w:eastAsia="zh-CN"/>
              </w:rPr>
            </w:pPr>
            <w:r>
              <w:rPr>
                <w:rFonts w:hint="default"/>
                <w:highlight w:val="none"/>
                <w:lang w:val="en-US" w:eastAsia="zh-CN"/>
              </w:rPr>
              <w:t>承压水</w:t>
            </w:r>
          </w:p>
        </w:tc>
        <w:tc>
          <w:tcPr>
            <w:tcW w:w="2589" w:type="dxa"/>
            <w:tcBorders>
              <w:tl2br w:val="nil"/>
              <w:tr2bl w:val="nil"/>
            </w:tcBorders>
            <w:noWrap w:val="0"/>
            <w:vAlign w:val="center"/>
          </w:tcPr>
          <w:p w14:paraId="7625BAAE">
            <w:pPr>
              <w:pStyle w:val="58"/>
              <w:bidi w:val="0"/>
              <w:rPr>
                <w:rFonts w:hint="default"/>
                <w:highlight w:val="none"/>
                <w:lang w:val="en-US" w:eastAsia="zh-CN"/>
              </w:rPr>
            </w:pPr>
            <w:r>
              <w:rPr>
                <w:rFonts w:hint="default"/>
                <w:highlight w:val="none"/>
                <w:lang w:val="en-US" w:eastAsia="zh-CN"/>
              </w:rPr>
              <w:t>引用</w:t>
            </w:r>
          </w:p>
        </w:tc>
      </w:tr>
      <w:tr w14:paraId="179D388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617" w:type="dxa"/>
            <w:tcBorders>
              <w:tl2br w:val="nil"/>
              <w:tr2bl w:val="nil"/>
            </w:tcBorders>
            <w:noWrap w:val="0"/>
            <w:vAlign w:val="center"/>
          </w:tcPr>
          <w:p w14:paraId="7B52E37A">
            <w:pPr>
              <w:pStyle w:val="58"/>
              <w:bidi w:val="0"/>
              <w:rPr>
                <w:rFonts w:hint="default"/>
                <w:highlight w:val="none"/>
                <w:lang w:val="en-US" w:eastAsia="zh-CN"/>
              </w:rPr>
            </w:pPr>
            <w:r>
              <w:rPr>
                <w:rFonts w:hint="default"/>
                <w:highlight w:val="none"/>
                <w:lang w:val="en-US" w:eastAsia="zh-CN"/>
              </w:rPr>
              <w:t>7</w:t>
            </w:r>
          </w:p>
        </w:tc>
        <w:tc>
          <w:tcPr>
            <w:tcW w:w="2471" w:type="dxa"/>
            <w:tcBorders>
              <w:tl2br w:val="nil"/>
              <w:tr2bl w:val="nil"/>
            </w:tcBorders>
            <w:noWrap w:val="0"/>
            <w:vAlign w:val="center"/>
          </w:tcPr>
          <w:p w14:paraId="6BEADFD3">
            <w:pPr>
              <w:pStyle w:val="58"/>
              <w:bidi w:val="0"/>
              <w:rPr>
                <w:rFonts w:hint="default"/>
                <w:highlight w:val="none"/>
                <w:lang w:val="en-US" w:eastAsia="zh-CN"/>
              </w:rPr>
            </w:pPr>
            <w:r>
              <w:rPr>
                <w:rFonts w:hint="default"/>
                <w:highlight w:val="none"/>
                <w:lang w:val="en-US" w:eastAsia="zh-CN"/>
              </w:rPr>
              <w:t>项目占地范围内</w:t>
            </w:r>
          </w:p>
        </w:tc>
        <w:tc>
          <w:tcPr>
            <w:tcW w:w="1203" w:type="dxa"/>
            <w:tcBorders>
              <w:tl2br w:val="nil"/>
              <w:tr2bl w:val="nil"/>
            </w:tcBorders>
            <w:noWrap w:val="0"/>
            <w:vAlign w:val="center"/>
          </w:tcPr>
          <w:p w14:paraId="4A81346A">
            <w:pPr>
              <w:pStyle w:val="58"/>
              <w:bidi w:val="0"/>
              <w:rPr>
                <w:rFonts w:hint="default"/>
                <w:highlight w:val="none"/>
                <w:lang w:val="en-US" w:eastAsia="zh-CN"/>
              </w:rPr>
            </w:pPr>
            <w:r>
              <w:rPr>
                <w:rFonts w:hint="default"/>
                <w:highlight w:val="none"/>
                <w:lang w:val="en-US" w:eastAsia="zh-CN"/>
              </w:rPr>
              <w:t>/</w:t>
            </w:r>
          </w:p>
        </w:tc>
        <w:tc>
          <w:tcPr>
            <w:tcW w:w="972" w:type="dxa"/>
            <w:tcBorders>
              <w:tl2br w:val="nil"/>
              <w:tr2bl w:val="nil"/>
            </w:tcBorders>
            <w:noWrap w:val="0"/>
            <w:vAlign w:val="center"/>
          </w:tcPr>
          <w:p w14:paraId="2514FBF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监测井</w:t>
            </w:r>
          </w:p>
        </w:tc>
        <w:tc>
          <w:tcPr>
            <w:tcW w:w="3338" w:type="dxa"/>
            <w:vMerge w:val="continue"/>
            <w:tcBorders>
              <w:tl2br w:val="nil"/>
              <w:tr2bl w:val="nil"/>
            </w:tcBorders>
            <w:noWrap w:val="0"/>
            <w:vAlign w:val="center"/>
          </w:tcPr>
          <w:p w14:paraId="67E47183">
            <w:pPr>
              <w:pStyle w:val="58"/>
              <w:bidi w:val="0"/>
              <w:rPr>
                <w:rFonts w:hint="default"/>
                <w:highlight w:val="none"/>
              </w:rPr>
            </w:pPr>
          </w:p>
        </w:tc>
        <w:tc>
          <w:tcPr>
            <w:tcW w:w="1200" w:type="dxa"/>
            <w:tcBorders>
              <w:tl2br w:val="nil"/>
              <w:tr2bl w:val="nil"/>
            </w:tcBorders>
            <w:noWrap w:val="0"/>
            <w:vAlign w:val="center"/>
          </w:tcPr>
          <w:p w14:paraId="4B09E9E9">
            <w:pPr>
              <w:pStyle w:val="58"/>
              <w:bidi w:val="0"/>
              <w:rPr>
                <w:rFonts w:hint="default"/>
                <w:highlight w:val="none"/>
                <w:lang w:val="en-US" w:eastAsia="zh-CN"/>
              </w:rPr>
            </w:pPr>
            <w:r>
              <w:rPr>
                <w:rFonts w:hint="default"/>
                <w:highlight w:val="none"/>
                <w:lang w:val="en-US" w:eastAsia="zh-CN"/>
              </w:rPr>
              <w:t>10</w:t>
            </w:r>
          </w:p>
        </w:tc>
        <w:tc>
          <w:tcPr>
            <w:tcW w:w="1485" w:type="dxa"/>
            <w:tcBorders>
              <w:tl2br w:val="nil"/>
              <w:tr2bl w:val="nil"/>
            </w:tcBorders>
            <w:noWrap w:val="0"/>
            <w:vAlign w:val="center"/>
          </w:tcPr>
          <w:p w14:paraId="7E254F62">
            <w:pPr>
              <w:pStyle w:val="58"/>
              <w:bidi w:val="0"/>
              <w:rPr>
                <w:rFonts w:hint="default"/>
                <w:highlight w:val="none"/>
                <w:lang w:val="en-US" w:eastAsia="zh-CN"/>
              </w:rPr>
            </w:pPr>
            <w:r>
              <w:rPr>
                <w:rFonts w:hint="default"/>
                <w:highlight w:val="none"/>
                <w:lang w:val="en-US" w:eastAsia="zh-CN"/>
              </w:rPr>
              <w:t>潜水</w:t>
            </w:r>
          </w:p>
        </w:tc>
        <w:tc>
          <w:tcPr>
            <w:tcW w:w="2589" w:type="dxa"/>
            <w:tcBorders>
              <w:tl2br w:val="nil"/>
              <w:tr2bl w:val="nil"/>
            </w:tcBorders>
            <w:noWrap w:val="0"/>
            <w:vAlign w:val="center"/>
          </w:tcPr>
          <w:p w14:paraId="309806C0">
            <w:pPr>
              <w:pStyle w:val="58"/>
              <w:bidi w:val="0"/>
              <w:rPr>
                <w:rFonts w:hint="default"/>
                <w:highlight w:val="none"/>
                <w:lang w:val="en-US" w:eastAsia="zh-CN"/>
              </w:rPr>
            </w:pPr>
            <w:r>
              <w:rPr>
                <w:rFonts w:hint="default"/>
                <w:highlight w:val="none"/>
                <w:lang w:val="en-US" w:eastAsia="zh-CN"/>
              </w:rPr>
              <w:t>监测</w:t>
            </w:r>
          </w:p>
        </w:tc>
      </w:tr>
      <w:tr w14:paraId="2EAC2FB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617" w:type="dxa"/>
            <w:tcBorders>
              <w:tl2br w:val="nil"/>
              <w:tr2bl w:val="nil"/>
            </w:tcBorders>
            <w:noWrap w:val="0"/>
            <w:vAlign w:val="center"/>
          </w:tcPr>
          <w:p w14:paraId="5AB195C8">
            <w:pPr>
              <w:pStyle w:val="58"/>
              <w:bidi w:val="0"/>
              <w:rPr>
                <w:rFonts w:hint="default"/>
                <w:highlight w:val="none"/>
                <w:lang w:val="en-US" w:eastAsia="zh-CN"/>
              </w:rPr>
            </w:pPr>
            <w:r>
              <w:rPr>
                <w:rFonts w:hint="default"/>
                <w:highlight w:val="none"/>
                <w:lang w:val="en-US" w:eastAsia="zh-CN"/>
              </w:rPr>
              <w:t>8</w:t>
            </w:r>
          </w:p>
        </w:tc>
        <w:tc>
          <w:tcPr>
            <w:tcW w:w="2471" w:type="dxa"/>
            <w:tcBorders>
              <w:tl2br w:val="nil"/>
              <w:tr2bl w:val="nil"/>
            </w:tcBorders>
            <w:noWrap w:val="0"/>
            <w:vAlign w:val="center"/>
          </w:tcPr>
          <w:p w14:paraId="6D1E752C">
            <w:pPr>
              <w:pStyle w:val="58"/>
              <w:bidi w:val="0"/>
              <w:rPr>
                <w:rFonts w:hint="default"/>
                <w:highlight w:val="none"/>
                <w:lang w:val="en-US" w:eastAsia="zh-CN"/>
              </w:rPr>
            </w:pPr>
            <w:r>
              <w:rPr>
                <w:rFonts w:hint="default"/>
                <w:highlight w:val="none"/>
                <w:lang w:val="en-US" w:eastAsia="zh-CN"/>
              </w:rPr>
              <w:t>项目西北侧</w:t>
            </w:r>
          </w:p>
          <w:p w14:paraId="5B374342">
            <w:pPr>
              <w:pStyle w:val="58"/>
              <w:bidi w:val="0"/>
              <w:rPr>
                <w:rFonts w:hint="default"/>
                <w:highlight w:val="none"/>
                <w:lang w:val="en-US" w:eastAsia="zh-CN"/>
              </w:rPr>
            </w:pPr>
            <w:r>
              <w:rPr>
                <w:rFonts w:hint="default"/>
                <w:highlight w:val="none"/>
                <w:lang w:val="en-US" w:eastAsia="zh-CN"/>
              </w:rPr>
              <w:t>（金木美佳西侧Q4#）</w:t>
            </w:r>
          </w:p>
        </w:tc>
        <w:tc>
          <w:tcPr>
            <w:tcW w:w="1203" w:type="dxa"/>
            <w:tcBorders>
              <w:tl2br w:val="nil"/>
              <w:tr2bl w:val="nil"/>
            </w:tcBorders>
            <w:noWrap w:val="0"/>
            <w:vAlign w:val="center"/>
          </w:tcPr>
          <w:p w14:paraId="7EBA925B">
            <w:pPr>
              <w:pStyle w:val="58"/>
              <w:bidi w:val="0"/>
              <w:rPr>
                <w:rFonts w:hint="default"/>
                <w:highlight w:val="none"/>
                <w:lang w:val="en-US" w:eastAsia="zh-CN"/>
              </w:rPr>
            </w:pPr>
            <w:r>
              <w:rPr>
                <w:rFonts w:hint="default"/>
                <w:highlight w:val="none"/>
                <w:lang w:val="en-US" w:eastAsia="zh-CN"/>
              </w:rPr>
              <w:t>NW1755m</w:t>
            </w:r>
          </w:p>
        </w:tc>
        <w:tc>
          <w:tcPr>
            <w:tcW w:w="972" w:type="dxa"/>
            <w:tcBorders>
              <w:tl2br w:val="nil"/>
              <w:tr2bl w:val="nil"/>
            </w:tcBorders>
            <w:noWrap w:val="0"/>
            <w:vAlign w:val="center"/>
          </w:tcPr>
          <w:p w14:paraId="67EF792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监测井</w:t>
            </w:r>
          </w:p>
        </w:tc>
        <w:tc>
          <w:tcPr>
            <w:tcW w:w="3338" w:type="dxa"/>
            <w:vMerge w:val="continue"/>
            <w:tcBorders>
              <w:tl2br w:val="nil"/>
              <w:tr2bl w:val="nil"/>
            </w:tcBorders>
            <w:noWrap w:val="0"/>
            <w:vAlign w:val="center"/>
          </w:tcPr>
          <w:p w14:paraId="7CA382DA">
            <w:pPr>
              <w:pStyle w:val="58"/>
              <w:bidi w:val="0"/>
              <w:rPr>
                <w:rFonts w:hint="default"/>
                <w:highlight w:val="none"/>
              </w:rPr>
            </w:pPr>
          </w:p>
        </w:tc>
        <w:tc>
          <w:tcPr>
            <w:tcW w:w="1200" w:type="dxa"/>
            <w:tcBorders>
              <w:tl2br w:val="nil"/>
              <w:tr2bl w:val="nil"/>
            </w:tcBorders>
            <w:noWrap w:val="0"/>
            <w:vAlign w:val="center"/>
          </w:tcPr>
          <w:p w14:paraId="114D069D">
            <w:pPr>
              <w:pStyle w:val="58"/>
              <w:bidi w:val="0"/>
              <w:rPr>
                <w:rFonts w:hint="default"/>
                <w:highlight w:val="none"/>
                <w:lang w:val="en-US" w:eastAsia="zh-CN"/>
              </w:rPr>
            </w:pPr>
            <w:r>
              <w:rPr>
                <w:rFonts w:hint="default"/>
                <w:highlight w:val="none"/>
                <w:lang w:val="en-US" w:eastAsia="zh-CN"/>
              </w:rPr>
              <w:t>10</w:t>
            </w:r>
          </w:p>
        </w:tc>
        <w:tc>
          <w:tcPr>
            <w:tcW w:w="1485" w:type="dxa"/>
            <w:tcBorders>
              <w:tl2br w:val="nil"/>
              <w:tr2bl w:val="nil"/>
            </w:tcBorders>
            <w:noWrap w:val="0"/>
            <w:vAlign w:val="center"/>
          </w:tcPr>
          <w:p w14:paraId="4703E891">
            <w:pPr>
              <w:pStyle w:val="58"/>
              <w:bidi w:val="0"/>
              <w:rPr>
                <w:rFonts w:hint="default"/>
                <w:highlight w:val="none"/>
                <w:lang w:val="en-US" w:eastAsia="zh-CN"/>
              </w:rPr>
            </w:pPr>
            <w:r>
              <w:rPr>
                <w:rFonts w:hint="default"/>
                <w:highlight w:val="none"/>
                <w:lang w:val="en-US" w:eastAsia="zh-CN"/>
              </w:rPr>
              <w:t>潜水</w:t>
            </w:r>
          </w:p>
        </w:tc>
        <w:tc>
          <w:tcPr>
            <w:tcW w:w="2589" w:type="dxa"/>
            <w:tcBorders>
              <w:tl2br w:val="nil"/>
              <w:tr2bl w:val="nil"/>
            </w:tcBorders>
            <w:noWrap w:val="0"/>
            <w:vAlign w:val="center"/>
          </w:tcPr>
          <w:p w14:paraId="0169C730">
            <w:pPr>
              <w:pStyle w:val="58"/>
              <w:bidi w:val="0"/>
              <w:rPr>
                <w:rFonts w:hint="default"/>
                <w:highlight w:val="none"/>
                <w:lang w:val="en-US" w:eastAsia="zh-CN"/>
              </w:rPr>
            </w:pPr>
            <w:r>
              <w:rPr>
                <w:rFonts w:hint="default"/>
                <w:highlight w:val="none"/>
                <w:lang w:val="en-US" w:eastAsia="zh-CN"/>
              </w:rPr>
              <w:t>引用</w:t>
            </w:r>
          </w:p>
        </w:tc>
      </w:tr>
      <w:tr w14:paraId="20138D9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617" w:type="dxa"/>
            <w:tcBorders>
              <w:tl2br w:val="nil"/>
              <w:tr2bl w:val="nil"/>
            </w:tcBorders>
            <w:noWrap w:val="0"/>
            <w:vAlign w:val="center"/>
          </w:tcPr>
          <w:p w14:paraId="1380991F">
            <w:pPr>
              <w:pStyle w:val="58"/>
              <w:bidi w:val="0"/>
              <w:rPr>
                <w:rFonts w:hint="default"/>
                <w:highlight w:val="none"/>
                <w:lang w:val="en-US" w:eastAsia="zh-CN"/>
              </w:rPr>
            </w:pPr>
            <w:r>
              <w:rPr>
                <w:rFonts w:hint="default"/>
                <w:highlight w:val="none"/>
                <w:lang w:val="en-US" w:eastAsia="zh-CN"/>
              </w:rPr>
              <w:t>9</w:t>
            </w:r>
          </w:p>
        </w:tc>
        <w:tc>
          <w:tcPr>
            <w:tcW w:w="2471" w:type="dxa"/>
            <w:tcBorders>
              <w:tl2br w:val="nil"/>
              <w:tr2bl w:val="nil"/>
            </w:tcBorders>
            <w:noWrap w:val="0"/>
            <w:vAlign w:val="center"/>
          </w:tcPr>
          <w:p w14:paraId="5478DB3F">
            <w:pPr>
              <w:pStyle w:val="58"/>
              <w:bidi w:val="0"/>
              <w:rPr>
                <w:rFonts w:hint="default"/>
                <w:highlight w:val="none"/>
                <w:lang w:val="en-US" w:eastAsia="zh-CN"/>
              </w:rPr>
            </w:pPr>
            <w:r>
              <w:rPr>
                <w:rFonts w:hint="default"/>
                <w:highlight w:val="none"/>
                <w:lang w:val="en-US" w:eastAsia="zh-CN"/>
              </w:rPr>
              <w:t>项目</w:t>
            </w:r>
            <w:r>
              <w:rPr>
                <w:rFonts w:hint="eastAsia"/>
                <w:highlight w:val="none"/>
                <w:lang w:val="en-US" w:eastAsia="zh-CN"/>
              </w:rPr>
              <w:t>东</w:t>
            </w:r>
            <w:r>
              <w:rPr>
                <w:rFonts w:hint="default"/>
                <w:highlight w:val="none"/>
                <w:lang w:val="en-US" w:eastAsia="zh-CN"/>
              </w:rPr>
              <w:t>北侧</w:t>
            </w:r>
          </w:p>
          <w:p w14:paraId="175F141D">
            <w:pPr>
              <w:pStyle w:val="58"/>
              <w:bidi w:val="0"/>
              <w:rPr>
                <w:rFonts w:hint="default"/>
                <w:highlight w:val="none"/>
                <w:lang w:val="en-US" w:eastAsia="zh-CN"/>
              </w:rPr>
            </w:pPr>
            <w:r>
              <w:rPr>
                <w:rFonts w:hint="default"/>
                <w:highlight w:val="none"/>
                <w:lang w:val="en-US" w:eastAsia="zh-CN"/>
              </w:rPr>
              <w:t>（金木美佳北侧C1#）</w:t>
            </w:r>
          </w:p>
        </w:tc>
        <w:tc>
          <w:tcPr>
            <w:tcW w:w="1203" w:type="dxa"/>
            <w:tcBorders>
              <w:tl2br w:val="nil"/>
              <w:tr2bl w:val="nil"/>
            </w:tcBorders>
            <w:noWrap w:val="0"/>
            <w:vAlign w:val="center"/>
          </w:tcPr>
          <w:p w14:paraId="4352D8E8">
            <w:pPr>
              <w:pStyle w:val="58"/>
              <w:bidi w:val="0"/>
              <w:rPr>
                <w:rFonts w:hint="default"/>
                <w:highlight w:val="none"/>
                <w:lang w:val="en-US" w:eastAsia="zh-CN"/>
              </w:rPr>
            </w:pPr>
            <w:r>
              <w:rPr>
                <w:rFonts w:hint="default"/>
                <w:highlight w:val="none"/>
                <w:lang w:val="en-US" w:eastAsia="zh-CN"/>
              </w:rPr>
              <w:t>N</w:t>
            </w:r>
            <w:r>
              <w:rPr>
                <w:rFonts w:hint="eastAsia"/>
                <w:highlight w:val="none"/>
                <w:lang w:val="en-US" w:eastAsia="zh-CN"/>
              </w:rPr>
              <w:t>E</w:t>
            </w:r>
            <w:r>
              <w:rPr>
                <w:rFonts w:hint="default"/>
                <w:highlight w:val="none"/>
                <w:lang w:val="en-US" w:eastAsia="zh-CN"/>
              </w:rPr>
              <w:t>1080m</w:t>
            </w:r>
          </w:p>
        </w:tc>
        <w:tc>
          <w:tcPr>
            <w:tcW w:w="972" w:type="dxa"/>
            <w:tcBorders>
              <w:tl2br w:val="nil"/>
              <w:tr2bl w:val="nil"/>
            </w:tcBorders>
            <w:noWrap w:val="0"/>
            <w:vAlign w:val="center"/>
          </w:tcPr>
          <w:p w14:paraId="5797031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监测井</w:t>
            </w:r>
          </w:p>
        </w:tc>
        <w:tc>
          <w:tcPr>
            <w:tcW w:w="3338" w:type="dxa"/>
            <w:vMerge w:val="continue"/>
            <w:tcBorders>
              <w:tl2br w:val="nil"/>
              <w:tr2bl w:val="nil"/>
            </w:tcBorders>
            <w:noWrap w:val="0"/>
            <w:vAlign w:val="center"/>
          </w:tcPr>
          <w:p w14:paraId="39B54888">
            <w:pPr>
              <w:pStyle w:val="58"/>
              <w:bidi w:val="0"/>
              <w:rPr>
                <w:rFonts w:hint="default"/>
                <w:highlight w:val="none"/>
              </w:rPr>
            </w:pPr>
          </w:p>
        </w:tc>
        <w:tc>
          <w:tcPr>
            <w:tcW w:w="1200" w:type="dxa"/>
            <w:tcBorders>
              <w:tl2br w:val="nil"/>
              <w:tr2bl w:val="nil"/>
            </w:tcBorders>
            <w:noWrap w:val="0"/>
            <w:vAlign w:val="center"/>
          </w:tcPr>
          <w:p w14:paraId="1924E492">
            <w:pPr>
              <w:pStyle w:val="58"/>
              <w:bidi w:val="0"/>
              <w:rPr>
                <w:rFonts w:hint="default"/>
                <w:highlight w:val="none"/>
                <w:lang w:val="en-US" w:eastAsia="zh-CN"/>
              </w:rPr>
            </w:pPr>
            <w:r>
              <w:rPr>
                <w:rFonts w:hint="default"/>
                <w:highlight w:val="none"/>
                <w:lang w:val="en-US" w:eastAsia="zh-CN"/>
              </w:rPr>
              <w:t>283</w:t>
            </w:r>
          </w:p>
        </w:tc>
        <w:tc>
          <w:tcPr>
            <w:tcW w:w="1485" w:type="dxa"/>
            <w:tcBorders>
              <w:tl2br w:val="nil"/>
              <w:tr2bl w:val="nil"/>
            </w:tcBorders>
            <w:noWrap w:val="0"/>
            <w:vAlign w:val="center"/>
          </w:tcPr>
          <w:p w14:paraId="2233450C">
            <w:pPr>
              <w:pStyle w:val="58"/>
              <w:bidi w:val="0"/>
              <w:rPr>
                <w:rFonts w:hint="default"/>
                <w:highlight w:val="none"/>
                <w:lang w:val="en-US" w:eastAsia="zh-CN"/>
              </w:rPr>
            </w:pPr>
            <w:r>
              <w:rPr>
                <w:rFonts w:hint="default"/>
                <w:highlight w:val="none"/>
                <w:lang w:val="en-US" w:eastAsia="zh-CN"/>
              </w:rPr>
              <w:t>承压水</w:t>
            </w:r>
          </w:p>
        </w:tc>
        <w:tc>
          <w:tcPr>
            <w:tcW w:w="2589" w:type="dxa"/>
            <w:tcBorders>
              <w:tl2br w:val="nil"/>
              <w:tr2bl w:val="nil"/>
            </w:tcBorders>
            <w:noWrap w:val="0"/>
            <w:vAlign w:val="center"/>
          </w:tcPr>
          <w:p w14:paraId="20E145A2">
            <w:pPr>
              <w:pStyle w:val="58"/>
              <w:bidi w:val="0"/>
              <w:rPr>
                <w:rFonts w:hint="default"/>
                <w:highlight w:val="none"/>
                <w:lang w:val="en-US" w:eastAsia="zh-CN"/>
              </w:rPr>
            </w:pPr>
            <w:r>
              <w:rPr>
                <w:rFonts w:hint="default"/>
                <w:highlight w:val="none"/>
                <w:lang w:val="en-US" w:eastAsia="zh-CN"/>
              </w:rPr>
              <w:t>引用</w:t>
            </w:r>
          </w:p>
        </w:tc>
      </w:tr>
      <w:tr w14:paraId="21E6855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617" w:type="dxa"/>
            <w:tcBorders>
              <w:tl2br w:val="nil"/>
              <w:tr2bl w:val="nil"/>
            </w:tcBorders>
            <w:noWrap w:val="0"/>
            <w:vAlign w:val="center"/>
          </w:tcPr>
          <w:p w14:paraId="7340BEAF">
            <w:pPr>
              <w:pStyle w:val="58"/>
              <w:bidi w:val="0"/>
              <w:rPr>
                <w:rFonts w:hint="default"/>
                <w:highlight w:val="none"/>
                <w:lang w:val="en-US" w:eastAsia="zh-CN"/>
              </w:rPr>
            </w:pPr>
            <w:r>
              <w:rPr>
                <w:rFonts w:hint="default"/>
                <w:highlight w:val="none"/>
                <w:lang w:val="en-US" w:eastAsia="zh-CN"/>
              </w:rPr>
              <w:t>10</w:t>
            </w:r>
          </w:p>
        </w:tc>
        <w:tc>
          <w:tcPr>
            <w:tcW w:w="2471" w:type="dxa"/>
            <w:tcBorders>
              <w:tl2br w:val="nil"/>
              <w:tr2bl w:val="nil"/>
            </w:tcBorders>
            <w:noWrap w:val="0"/>
            <w:vAlign w:val="center"/>
          </w:tcPr>
          <w:p w14:paraId="1F082870">
            <w:pPr>
              <w:pStyle w:val="58"/>
              <w:bidi w:val="0"/>
              <w:rPr>
                <w:rFonts w:hint="default"/>
                <w:highlight w:val="none"/>
                <w:lang w:val="en-US" w:eastAsia="zh-CN"/>
              </w:rPr>
            </w:pPr>
            <w:r>
              <w:rPr>
                <w:rFonts w:hint="default"/>
                <w:highlight w:val="none"/>
                <w:lang w:val="en-US" w:eastAsia="zh-CN"/>
              </w:rPr>
              <w:t>项目东南侧</w:t>
            </w:r>
          </w:p>
          <w:p w14:paraId="3A96F604">
            <w:pPr>
              <w:pStyle w:val="58"/>
              <w:bidi w:val="0"/>
              <w:rPr>
                <w:rFonts w:hint="default"/>
                <w:highlight w:val="none"/>
                <w:lang w:val="en-US" w:eastAsia="zh-CN"/>
              </w:rPr>
            </w:pPr>
            <w:r>
              <w:rPr>
                <w:rFonts w:hint="default"/>
                <w:highlight w:val="none"/>
                <w:lang w:val="en-US" w:eastAsia="zh-CN"/>
              </w:rPr>
              <w:t>（金木美佳东南侧C4#）</w:t>
            </w:r>
          </w:p>
        </w:tc>
        <w:tc>
          <w:tcPr>
            <w:tcW w:w="1203" w:type="dxa"/>
            <w:tcBorders>
              <w:tl2br w:val="nil"/>
              <w:tr2bl w:val="nil"/>
            </w:tcBorders>
            <w:noWrap w:val="0"/>
            <w:vAlign w:val="center"/>
          </w:tcPr>
          <w:p w14:paraId="60D5D542">
            <w:pPr>
              <w:pStyle w:val="58"/>
              <w:bidi w:val="0"/>
              <w:rPr>
                <w:rFonts w:hint="default"/>
                <w:highlight w:val="none"/>
                <w:lang w:val="en-US" w:eastAsia="zh-CN"/>
              </w:rPr>
            </w:pPr>
            <w:r>
              <w:rPr>
                <w:rFonts w:hint="default"/>
                <w:highlight w:val="none"/>
                <w:lang w:val="en-US" w:eastAsia="zh-CN"/>
              </w:rPr>
              <w:t>SE1321m</w:t>
            </w:r>
          </w:p>
        </w:tc>
        <w:tc>
          <w:tcPr>
            <w:tcW w:w="972" w:type="dxa"/>
            <w:tcBorders>
              <w:tl2br w:val="nil"/>
              <w:tr2bl w:val="nil"/>
            </w:tcBorders>
            <w:noWrap w:val="0"/>
            <w:vAlign w:val="center"/>
          </w:tcPr>
          <w:p w14:paraId="34C69D7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监测井</w:t>
            </w:r>
          </w:p>
        </w:tc>
        <w:tc>
          <w:tcPr>
            <w:tcW w:w="3338" w:type="dxa"/>
            <w:vMerge w:val="continue"/>
            <w:tcBorders>
              <w:tl2br w:val="nil"/>
              <w:tr2bl w:val="nil"/>
            </w:tcBorders>
            <w:noWrap w:val="0"/>
            <w:vAlign w:val="center"/>
          </w:tcPr>
          <w:p w14:paraId="003D6EA5">
            <w:pPr>
              <w:pStyle w:val="58"/>
              <w:bidi w:val="0"/>
              <w:rPr>
                <w:rFonts w:hint="default"/>
                <w:highlight w:val="none"/>
              </w:rPr>
            </w:pPr>
          </w:p>
        </w:tc>
        <w:tc>
          <w:tcPr>
            <w:tcW w:w="1200" w:type="dxa"/>
            <w:tcBorders>
              <w:tl2br w:val="nil"/>
              <w:tr2bl w:val="nil"/>
            </w:tcBorders>
            <w:noWrap w:val="0"/>
            <w:vAlign w:val="center"/>
          </w:tcPr>
          <w:p w14:paraId="409F2CBF">
            <w:pPr>
              <w:pStyle w:val="58"/>
              <w:bidi w:val="0"/>
              <w:rPr>
                <w:rFonts w:hint="default"/>
                <w:highlight w:val="none"/>
                <w:lang w:val="en-US" w:eastAsia="zh-CN"/>
              </w:rPr>
            </w:pPr>
            <w:r>
              <w:rPr>
                <w:rFonts w:hint="default"/>
                <w:highlight w:val="none"/>
                <w:lang w:val="en-US" w:eastAsia="zh-CN"/>
              </w:rPr>
              <w:t>274</w:t>
            </w:r>
          </w:p>
        </w:tc>
        <w:tc>
          <w:tcPr>
            <w:tcW w:w="1485" w:type="dxa"/>
            <w:tcBorders>
              <w:tl2br w:val="nil"/>
              <w:tr2bl w:val="nil"/>
            </w:tcBorders>
            <w:noWrap w:val="0"/>
            <w:vAlign w:val="center"/>
          </w:tcPr>
          <w:p w14:paraId="6C660866">
            <w:pPr>
              <w:pStyle w:val="58"/>
              <w:bidi w:val="0"/>
              <w:rPr>
                <w:rFonts w:hint="default"/>
                <w:highlight w:val="none"/>
                <w:lang w:val="en-US" w:eastAsia="zh-CN"/>
              </w:rPr>
            </w:pPr>
            <w:r>
              <w:rPr>
                <w:rFonts w:hint="default"/>
                <w:highlight w:val="none"/>
                <w:lang w:val="en-US" w:eastAsia="zh-CN"/>
              </w:rPr>
              <w:t>承压水</w:t>
            </w:r>
          </w:p>
        </w:tc>
        <w:tc>
          <w:tcPr>
            <w:tcW w:w="2589" w:type="dxa"/>
            <w:tcBorders>
              <w:tl2br w:val="nil"/>
              <w:tr2bl w:val="nil"/>
            </w:tcBorders>
            <w:noWrap w:val="0"/>
            <w:vAlign w:val="center"/>
          </w:tcPr>
          <w:p w14:paraId="24B02392">
            <w:pPr>
              <w:pStyle w:val="58"/>
              <w:bidi w:val="0"/>
              <w:rPr>
                <w:rFonts w:hint="default"/>
                <w:highlight w:val="none"/>
                <w:lang w:val="en-US" w:eastAsia="zh-CN"/>
              </w:rPr>
            </w:pPr>
            <w:r>
              <w:rPr>
                <w:rFonts w:hint="default"/>
                <w:highlight w:val="none"/>
                <w:lang w:val="en-US" w:eastAsia="zh-CN"/>
              </w:rPr>
              <w:t>引用</w:t>
            </w:r>
          </w:p>
        </w:tc>
      </w:tr>
      <w:bookmarkEnd w:id="256"/>
    </w:tbl>
    <w:p w14:paraId="219BCEB1">
      <w:pPr>
        <w:pStyle w:val="21"/>
        <w:keepNext w:val="0"/>
        <w:keepLines w:val="0"/>
        <w:pageBreakBefore w:val="0"/>
        <w:widowControl w:val="0"/>
        <w:kinsoku/>
        <w:wordWrap/>
        <w:overflowPunct/>
        <w:topLinePunct w:val="0"/>
        <w:autoSpaceDE/>
        <w:autoSpaceDN/>
        <w:bidi w:val="0"/>
        <w:adjustRightInd/>
        <w:snapToGrid/>
        <w:spacing w:line="480" w:lineRule="exact"/>
        <w:ind w:left="0" w:leftChars="0" w:right="0" w:rightChars="0"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sectPr>
          <w:pgSz w:w="16838" w:h="11906" w:orient="landscape"/>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p>
    <w:p w14:paraId="4BFDEACC">
      <w:pPr>
        <w:bidi w:val="0"/>
        <w:rPr>
          <w:rFonts w:hint="default"/>
          <w:highlight w:val="none"/>
          <w:lang w:val="en-US" w:eastAsia="zh-CN"/>
        </w:rPr>
      </w:pPr>
      <w:r>
        <w:rPr>
          <w:rFonts w:hint="default"/>
          <w:highlight w:val="none"/>
          <w:lang w:val="en-US" w:eastAsia="zh-CN"/>
        </w:rPr>
        <w:t>2、检测方法及检出限</w:t>
      </w:r>
    </w:p>
    <w:p w14:paraId="3A4D79B8">
      <w:pPr>
        <w:bidi w:val="0"/>
        <w:rPr>
          <w:rFonts w:hint="default"/>
          <w:highlight w:val="none"/>
          <w:lang w:val="en-US" w:eastAsia="zh-CN"/>
        </w:rPr>
      </w:pPr>
      <w:r>
        <w:rPr>
          <w:rFonts w:hint="default"/>
          <w:highlight w:val="none"/>
          <w:lang w:val="en-US" w:eastAsia="zh-CN"/>
        </w:rPr>
        <w:t>地下水监测方法及检出限见表4.3-7。</w:t>
      </w:r>
    </w:p>
    <w:p w14:paraId="06EB6EA8">
      <w:pPr>
        <w:keepNext w:val="0"/>
        <w:keepLines w:val="0"/>
        <w:pageBreakBefore w:val="0"/>
        <w:widowControl w:val="0"/>
        <w:numPr>
          <w:ilvl w:val="0"/>
          <w:numId w:val="30"/>
        </w:numPr>
        <w:kinsoku/>
        <w:wordWrap/>
        <w:overflowPunct/>
        <w:topLinePunct w:val="0"/>
        <w:autoSpaceDE w:val="0"/>
        <w:autoSpaceDN w:val="0"/>
        <w:bidi w:val="0"/>
        <w:adjustRightInd w:val="0"/>
        <w:snapToGrid/>
        <w:spacing w:line="500" w:lineRule="exact"/>
        <w:ind w:left="425" w:leftChars="0" w:hanging="425" w:firstLineChars="0"/>
        <w:jc w:val="center"/>
        <w:textAlignment w:val="auto"/>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pPr>
      <w:r>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t>地下水监测方法及检出限一览表</w:t>
      </w:r>
    </w:p>
    <w:tbl>
      <w:tblPr>
        <w:tblStyle w:val="47"/>
        <w:tblW w:w="470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2"/>
        <w:gridCol w:w="1540"/>
        <w:gridCol w:w="2978"/>
        <w:gridCol w:w="2403"/>
        <w:gridCol w:w="1092"/>
      </w:tblGrid>
      <w:tr w14:paraId="3EAE5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4C5F4268">
            <w:pPr>
              <w:pStyle w:val="58"/>
              <w:bidi w:val="0"/>
              <w:rPr>
                <w:rFonts w:hint="default"/>
                <w:highlight w:val="none"/>
                <w:lang w:val="en-US" w:eastAsia="zh-CN"/>
              </w:rPr>
            </w:pPr>
            <w:r>
              <w:rPr>
                <w:rFonts w:hint="default"/>
                <w:highlight w:val="none"/>
                <w:lang w:val="en-US" w:eastAsia="zh-CN"/>
              </w:rPr>
              <w:t>序号</w:t>
            </w:r>
          </w:p>
        </w:tc>
        <w:tc>
          <w:tcPr>
            <w:tcW w:w="881" w:type="pct"/>
            <w:noWrap w:val="0"/>
            <w:vAlign w:val="center"/>
          </w:tcPr>
          <w:p w14:paraId="12A07CD3">
            <w:pPr>
              <w:pStyle w:val="58"/>
              <w:bidi w:val="0"/>
              <w:rPr>
                <w:rFonts w:hint="default"/>
                <w:highlight w:val="none"/>
                <w:lang w:val="en-US" w:eastAsia="zh-CN"/>
              </w:rPr>
            </w:pPr>
            <w:r>
              <w:rPr>
                <w:rFonts w:hint="default"/>
                <w:highlight w:val="none"/>
                <w:lang w:val="en-US" w:eastAsia="zh-CN"/>
              </w:rPr>
              <w:t>检测项目</w:t>
            </w:r>
          </w:p>
        </w:tc>
        <w:tc>
          <w:tcPr>
            <w:tcW w:w="1704" w:type="pct"/>
            <w:noWrap w:val="0"/>
            <w:vAlign w:val="center"/>
          </w:tcPr>
          <w:p w14:paraId="34EE74A8">
            <w:pPr>
              <w:pStyle w:val="58"/>
              <w:bidi w:val="0"/>
              <w:rPr>
                <w:rFonts w:hint="default"/>
                <w:highlight w:val="none"/>
                <w:lang w:val="en-US" w:eastAsia="zh-CN"/>
              </w:rPr>
            </w:pPr>
            <w:r>
              <w:rPr>
                <w:rFonts w:hint="default"/>
                <w:highlight w:val="none"/>
                <w:lang w:val="en-US" w:eastAsia="zh-CN"/>
              </w:rPr>
              <w:t>分析方法及国标代号</w:t>
            </w:r>
          </w:p>
        </w:tc>
        <w:tc>
          <w:tcPr>
            <w:tcW w:w="1375" w:type="pct"/>
            <w:noWrap w:val="0"/>
            <w:vAlign w:val="center"/>
          </w:tcPr>
          <w:p w14:paraId="4EE73BD7">
            <w:pPr>
              <w:pStyle w:val="58"/>
              <w:bidi w:val="0"/>
              <w:rPr>
                <w:rFonts w:hint="default"/>
                <w:highlight w:val="none"/>
                <w:lang w:val="en-US" w:eastAsia="zh-CN"/>
              </w:rPr>
            </w:pPr>
            <w:r>
              <w:rPr>
                <w:rFonts w:hint="default"/>
                <w:highlight w:val="none"/>
                <w:lang w:eastAsia="zh-CN"/>
              </w:rPr>
              <w:t>仪器名称、</w:t>
            </w:r>
            <w:r>
              <w:rPr>
                <w:rFonts w:hint="default"/>
                <w:highlight w:val="none"/>
                <w:lang w:val="en-US" w:eastAsia="zh-CN"/>
              </w:rPr>
              <w:t>型号、</w:t>
            </w:r>
            <w:r>
              <w:rPr>
                <w:rFonts w:hint="default"/>
                <w:highlight w:val="none"/>
                <w:lang w:eastAsia="zh-CN"/>
              </w:rPr>
              <w:t>编号</w:t>
            </w:r>
          </w:p>
        </w:tc>
        <w:tc>
          <w:tcPr>
            <w:tcW w:w="625" w:type="pct"/>
            <w:noWrap w:val="0"/>
            <w:vAlign w:val="center"/>
          </w:tcPr>
          <w:p w14:paraId="612EFB5D">
            <w:pPr>
              <w:pStyle w:val="58"/>
              <w:bidi w:val="0"/>
              <w:rPr>
                <w:rFonts w:hint="default"/>
                <w:highlight w:val="none"/>
                <w:lang w:val="en-US" w:eastAsia="zh-CN"/>
              </w:rPr>
            </w:pPr>
            <w:r>
              <w:rPr>
                <w:rFonts w:hint="default"/>
                <w:highlight w:val="none"/>
                <w:lang w:val="en-US" w:eastAsia="zh-CN"/>
              </w:rPr>
              <w:t>检出限</w:t>
            </w:r>
          </w:p>
        </w:tc>
      </w:tr>
      <w:tr w14:paraId="4A7B4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34F90B3E">
            <w:pPr>
              <w:pStyle w:val="58"/>
              <w:bidi w:val="0"/>
              <w:rPr>
                <w:rFonts w:hint="default"/>
                <w:highlight w:val="none"/>
                <w:lang w:val="en-US" w:eastAsia="zh-CN"/>
              </w:rPr>
            </w:pPr>
            <w:r>
              <w:rPr>
                <w:rFonts w:hint="default"/>
                <w:highlight w:val="none"/>
              </w:rPr>
              <w:t>1</w:t>
            </w:r>
          </w:p>
        </w:tc>
        <w:tc>
          <w:tcPr>
            <w:tcW w:w="881" w:type="pct"/>
            <w:noWrap w:val="0"/>
            <w:vAlign w:val="center"/>
          </w:tcPr>
          <w:p w14:paraId="53D5A357">
            <w:pPr>
              <w:pStyle w:val="58"/>
              <w:bidi w:val="0"/>
              <w:rPr>
                <w:rFonts w:hint="default"/>
                <w:highlight w:val="none"/>
                <w:lang w:val="en-US" w:eastAsia="zh-CN"/>
              </w:rPr>
            </w:pPr>
            <w:r>
              <w:rPr>
                <w:rFonts w:hint="default"/>
                <w:highlight w:val="none"/>
                <w:lang w:val="en-US" w:eastAsia="zh-CN"/>
              </w:rPr>
              <w:t>pH值</w:t>
            </w:r>
          </w:p>
        </w:tc>
        <w:tc>
          <w:tcPr>
            <w:tcW w:w="1704" w:type="pct"/>
            <w:noWrap w:val="0"/>
            <w:vAlign w:val="center"/>
          </w:tcPr>
          <w:p w14:paraId="5F60FAA6">
            <w:pPr>
              <w:pStyle w:val="58"/>
              <w:bidi w:val="0"/>
              <w:rPr>
                <w:rFonts w:hint="default"/>
                <w:highlight w:val="none"/>
                <w:lang w:val="en-US" w:eastAsia="zh-CN"/>
              </w:rPr>
            </w:pPr>
            <w:r>
              <w:rPr>
                <w:rFonts w:hint="default"/>
                <w:highlight w:val="none"/>
                <w:lang w:val="en-US" w:eastAsia="zh-CN"/>
              </w:rPr>
              <w:t>《水质pH值的测定电极法》HJ1147-2020</w:t>
            </w:r>
          </w:p>
        </w:tc>
        <w:tc>
          <w:tcPr>
            <w:tcW w:w="1375" w:type="pct"/>
            <w:noWrap w:val="0"/>
            <w:vAlign w:val="center"/>
          </w:tcPr>
          <w:p w14:paraId="35B0B4C5">
            <w:pPr>
              <w:pStyle w:val="58"/>
              <w:bidi w:val="0"/>
              <w:rPr>
                <w:rFonts w:hint="default"/>
                <w:highlight w:val="none"/>
                <w:lang w:val="en-US" w:eastAsia="zh-CN"/>
              </w:rPr>
            </w:pPr>
            <w:r>
              <w:rPr>
                <w:rFonts w:hint="default"/>
                <w:highlight w:val="none"/>
                <w:lang w:val="en-US" w:eastAsia="zh-CN"/>
              </w:rPr>
              <w:t>便携式PH计PHBJ-260（025）</w:t>
            </w:r>
          </w:p>
        </w:tc>
        <w:tc>
          <w:tcPr>
            <w:tcW w:w="625" w:type="pct"/>
            <w:noWrap w:val="0"/>
            <w:vAlign w:val="center"/>
          </w:tcPr>
          <w:p w14:paraId="744376DC">
            <w:pPr>
              <w:pStyle w:val="58"/>
              <w:bidi w:val="0"/>
              <w:rPr>
                <w:rFonts w:hint="default"/>
                <w:highlight w:val="none"/>
                <w:lang w:val="en-US" w:eastAsia="zh-CN"/>
              </w:rPr>
            </w:pPr>
            <w:r>
              <w:rPr>
                <w:rFonts w:hint="default"/>
                <w:highlight w:val="none"/>
                <w:lang w:val="en-US" w:eastAsia="zh-CN"/>
              </w:rPr>
              <w:t>-</w:t>
            </w:r>
          </w:p>
        </w:tc>
      </w:tr>
      <w:tr w14:paraId="47580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55559985">
            <w:pPr>
              <w:pStyle w:val="58"/>
              <w:bidi w:val="0"/>
              <w:rPr>
                <w:rFonts w:hint="default"/>
                <w:highlight w:val="none"/>
                <w:lang w:val="en-US" w:eastAsia="zh-CN"/>
              </w:rPr>
            </w:pPr>
            <w:r>
              <w:rPr>
                <w:rFonts w:hint="default"/>
                <w:highlight w:val="none"/>
              </w:rPr>
              <w:t>2</w:t>
            </w:r>
          </w:p>
        </w:tc>
        <w:tc>
          <w:tcPr>
            <w:tcW w:w="881" w:type="pct"/>
            <w:noWrap w:val="0"/>
            <w:vAlign w:val="center"/>
          </w:tcPr>
          <w:p w14:paraId="5AA1C402">
            <w:pPr>
              <w:pStyle w:val="58"/>
              <w:bidi w:val="0"/>
              <w:rPr>
                <w:rFonts w:hint="default"/>
                <w:highlight w:val="none"/>
                <w:lang w:val="en-US" w:eastAsia="zh-CN"/>
              </w:rPr>
            </w:pPr>
            <w:r>
              <w:rPr>
                <w:rFonts w:hint="default"/>
                <w:highlight w:val="none"/>
                <w:lang w:val="en-US" w:eastAsia="zh-CN"/>
              </w:rPr>
              <w:t>碱度</w:t>
            </w:r>
          </w:p>
        </w:tc>
        <w:tc>
          <w:tcPr>
            <w:tcW w:w="1704" w:type="pct"/>
            <w:noWrap w:val="0"/>
            <w:vAlign w:val="center"/>
          </w:tcPr>
          <w:p w14:paraId="6C0022F1">
            <w:pPr>
              <w:pStyle w:val="58"/>
              <w:bidi w:val="0"/>
              <w:rPr>
                <w:rFonts w:hint="default"/>
                <w:highlight w:val="none"/>
                <w:lang w:val="en-US" w:eastAsia="zh-CN"/>
              </w:rPr>
            </w:pPr>
            <w:r>
              <w:rPr>
                <w:rFonts w:hint="default"/>
                <w:highlight w:val="none"/>
                <w:lang w:val="en-US" w:eastAsia="zh-CN"/>
              </w:rPr>
              <w:t>《水和废水监测分析方法》（第四版增补版）3.1.12.1酸碱指示剂滴定法</w:t>
            </w:r>
          </w:p>
        </w:tc>
        <w:tc>
          <w:tcPr>
            <w:tcW w:w="1375" w:type="pct"/>
            <w:noWrap w:val="0"/>
            <w:vAlign w:val="center"/>
          </w:tcPr>
          <w:p w14:paraId="3D60EA4B">
            <w:pPr>
              <w:pStyle w:val="58"/>
              <w:bidi w:val="0"/>
              <w:rPr>
                <w:rFonts w:hint="default"/>
                <w:highlight w:val="none"/>
                <w:lang w:val="en-US" w:eastAsia="zh-CN"/>
              </w:rPr>
            </w:pPr>
            <w:r>
              <w:rPr>
                <w:rFonts w:hint="default"/>
                <w:highlight w:val="none"/>
                <w:lang w:val="en-US" w:eastAsia="zh-CN"/>
              </w:rPr>
              <w:t>具塞滴定管50mL/A（YQ020）</w:t>
            </w:r>
          </w:p>
        </w:tc>
        <w:tc>
          <w:tcPr>
            <w:tcW w:w="625" w:type="pct"/>
            <w:noWrap w:val="0"/>
            <w:vAlign w:val="center"/>
          </w:tcPr>
          <w:p w14:paraId="690E6539">
            <w:pPr>
              <w:pStyle w:val="58"/>
              <w:bidi w:val="0"/>
              <w:rPr>
                <w:rFonts w:hint="default"/>
                <w:highlight w:val="none"/>
                <w:lang w:val="en-US" w:eastAsia="zh-CN"/>
              </w:rPr>
            </w:pPr>
            <w:r>
              <w:rPr>
                <w:rFonts w:hint="default"/>
                <w:highlight w:val="none"/>
                <w:lang w:val="en-US" w:eastAsia="zh-CN"/>
              </w:rPr>
              <w:t>-</w:t>
            </w:r>
          </w:p>
        </w:tc>
      </w:tr>
      <w:tr w14:paraId="4A87C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6CF793EF">
            <w:pPr>
              <w:pStyle w:val="58"/>
              <w:bidi w:val="0"/>
              <w:rPr>
                <w:rFonts w:hint="default"/>
                <w:highlight w:val="none"/>
                <w:lang w:val="en-US" w:eastAsia="zh-CN"/>
              </w:rPr>
            </w:pPr>
            <w:r>
              <w:rPr>
                <w:rFonts w:hint="default"/>
                <w:highlight w:val="none"/>
              </w:rPr>
              <w:t>3</w:t>
            </w:r>
          </w:p>
        </w:tc>
        <w:tc>
          <w:tcPr>
            <w:tcW w:w="881" w:type="pct"/>
            <w:noWrap w:val="0"/>
            <w:vAlign w:val="center"/>
          </w:tcPr>
          <w:p w14:paraId="1688F2B9">
            <w:pPr>
              <w:pStyle w:val="58"/>
              <w:bidi w:val="0"/>
              <w:rPr>
                <w:rFonts w:hint="default"/>
                <w:highlight w:val="none"/>
                <w:lang w:val="en-US" w:eastAsia="zh-CN"/>
              </w:rPr>
            </w:pPr>
            <w:r>
              <w:rPr>
                <w:rFonts w:hint="default"/>
                <w:highlight w:val="none"/>
                <w:lang w:val="en-US" w:eastAsia="zh-CN"/>
              </w:rPr>
              <w:t>总硬度（以碳酸钙计）</w:t>
            </w:r>
          </w:p>
        </w:tc>
        <w:tc>
          <w:tcPr>
            <w:tcW w:w="1704" w:type="pct"/>
            <w:noWrap w:val="0"/>
            <w:vAlign w:val="center"/>
          </w:tcPr>
          <w:p w14:paraId="036414F4">
            <w:pPr>
              <w:pStyle w:val="58"/>
              <w:bidi w:val="0"/>
              <w:rPr>
                <w:rFonts w:hint="default"/>
                <w:highlight w:val="none"/>
                <w:lang w:val="en-US" w:eastAsia="zh-CN"/>
              </w:rPr>
            </w:pPr>
            <w:r>
              <w:rPr>
                <w:rFonts w:hint="default"/>
                <w:highlight w:val="none"/>
                <w:lang w:val="en-US" w:eastAsia="zh-CN"/>
              </w:rPr>
              <w:t>《水质钙和镁总量的测定EDTA滴定法》GB/T7477-1987</w:t>
            </w:r>
          </w:p>
        </w:tc>
        <w:tc>
          <w:tcPr>
            <w:tcW w:w="1375" w:type="pct"/>
            <w:noWrap w:val="0"/>
            <w:vAlign w:val="center"/>
          </w:tcPr>
          <w:p w14:paraId="5ACB7BEC">
            <w:pPr>
              <w:pStyle w:val="58"/>
              <w:bidi w:val="0"/>
              <w:rPr>
                <w:rFonts w:hint="default"/>
                <w:highlight w:val="none"/>
                <w:lang w:val="en-US" w:eastAsia="zh-CN"/>
              </w:rPr>
            </w:pPr>
            <w:r>
              <w:rPr>
                <w:rFonts w:hint="default"/>
                <w:highlight w:val="none"/>
                <w:lang w:val="en-US" w:eastAsia="zh-CN"/>
              </w:rPr>
              <w:t>具塞滴定管50mL/A（YQ019）</w:t>
            </w:r>
          </w:p>
        </w:tc>
        <w:tc>
          <w:tcPr>
            <w:tcW w:w="625" w:type="pct"/>
            <w:noWrap w:val="0"/>
            <w:vAlign w:val="center"/>
          </w:tcPr>
          <w:p w14:paraId="65A6E434">
            <w:pPr>
              <w:pStyle w:val="58"/>
              <w:bidi w:val="0"/>
              <w:rPr>
                <w:rFonts w:hint="default"/>
                <w:highlight w:val="none"/>
                <w:lang w:val="en-US" w:eastAsia="zh-CN"/>
              </w:rPr>
            </w:pPr>
            <w:r>
              <w:rPr>
                <w:rFonts w:hint="default"/>
                <w:highlight w:val="none"/>
                <w:lang w:val="en-US" w:eastAsia="zh-CN"/>
              </w:rPr>
              <w:t>1.0mg/L①</w:t>
            </w:r>
          </w:p>
        </w:tc>
      </w:tr>
      <w:tr w14:paraId="4F64D3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29B87B3B">
            <w:pPr>
              <w:pStyle w:val="58"/>
              <w:bidi w:val="0"/>
              <w:rPr>
                <w:rFonts w:hint="default"/>
                <w:highlight w:val="none"/>
                <w:lang w:val="en-US" w:eastAsia="zh-CN"/>
              </w:rPr>
            </w:pPr>
            <w:r>
              <w:rPr>
                <w:rFonts w:hint="default"/>
                <w:highlight w:val="none"/>
              </w:rPr>
              <w:t>4</w:t>
            </w:r>
          </w:p>
        </w:tc>
        <w:tc>
          <w:tcPr>
            <w:tcW w:w="881" w:type="pct"/>
            <w:noWrap w:val="0"/>
            <w:vAlign w:val="center"/>
          </w:tcPr>
          <w:p w14:paraId="6F6751EA">
            <w:pPr>
              <w:pStyle w:val="58"/>
              <w:bidi w:val="0"/>
              <w:rPr>
                <w:rFonts w:hint="default"/>
                <w:highlight w:val="none"/>
                <w:lang w:val="en-US" w:eastAsia="zh-CN"/>
              </w:rPr>
            </w:pPr>
            <w:r>
              <w:rPr>
                <w:rFonts w:hint="default"/>
                <w:highlight w:val="none"/>
                <w:lang w:val="en-US" w:eastAsia="zh-CN"/>
              </w:rPr>
              <w:t>溶解性总固体</w:t>
            </w:r>
          </w:p>
        </w:tc>
        <w:tc>
          <w:tcPr>
            <w:tcW w:w="1704" w:type="pct"/>
            <w:noWrap w:val="0"/>
            <w:vAlign w:val="center"/>
          </w:tcPr>
          <w:p w14:paraId="288DDF89">
            <w:pPr>
              <w:pStyle w:val="58"/>
              <w:bidi w:val="0"/>
              <w:rPr>
                <w:rFonts w:hint="default"/>
                <w:highlight w:val="none"/>
                <w:lang w:val="en-US" w:eastAsia="zh-CN"/>
              </w:rPr>
            </w:pPr>
            <w:r>
              <w:rPr>
                <w:rFonts w:hint="default"/>
                <w:highlight w:val="none"/>
                <w:lang w:val="en-US" w:eastAsia="zh-CN"/>
              </w:rPr>
              <w:t>《生活饮用水标准检验方法第4部分：感官性状和物理指标》GB/T5750.4-202311.1称量法</w:t>
            </w:r>
          </w:p>
        </w:tc>
        <w:tc>
          <w:tcPr>
            <w:tcW w:w="1375" w:type="pct"/>
            <w:noWrap w:val="0"/>
            <w:vAlign w:val="center"/>
          </w:tcPr>
          <w:p w14:paraId="6A0E48DE">
            <w:pPr>
              <w:pStyle w:val="58"/>
              <w:bidi w:val="0"/>
              <w:rPr>
                <w:rFonts w:hint="default"/>
                <w:highlight w:val="none"/>
                <w:lang w:val="en-US" w:eastAsia="zh-CN"/>
              </w:rPr>
            </w:pPr>
            <w:r>
              <w:rPr>
                <w:rFonts w:hint="default"/>
                <w:highlight w:val="none"/>
                <w:lang w:val="en-US" w:eastAsia="zh-CN"/>
              </w:rPr>
              <w:t>电热鼓风干燥箱101-0A(005)、ExplorerTM天平（万分之一）AX224ZH/E(007)、电热恒温水浴锅（四孔）DZKW-S-4(114)</w:t>
            </w:r>
          </w:p>
        </w:tc>
        <w:tc>
          <w:tcPr>
            <w:tcW w:w="625" w:type="pct"/>
            <w:noWrap w:val="0"/>
            <w:vAlign w:val="center"/>
          </w:tcPr>
          <w:p w14:paraId="3E0ABA93">
            <w:pPr>
              <w:pStyle w:val="58"/>
              <w:bidi w:val="0"/>
              <w:rPr>
                <w:rFonts w:hint="default"/>
                <w:highlight w:val="none"/>
                <w:lang w:val="en-US" w:eastAsia="zh-CN"/>
              </w:rPr>
            </w:pPr>
            <w:r>
              <w:rPr>
                <w:rFonts w:hint="default"/>
                <w:highlight w:val="none"/>
                <w:lang w:val="en-US" w:eastAsia="zh-CN"/>
              </w:rPr>
              <w:t>-</w:t>
            </w:r>
          </w:p>
        </w:tc>
      </w:tr>
      <w:tr w14:paraId="1B1F4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0AD52C2E">
            <w:pPr>
              <w:pStyle w:val="58"/>
              <w:bidi w:val="0"/>
              <w:rPr>
                <w:rFonts w:hint="default"/>
                <w:highlight w:val="none"/>
                <w:lang w:val="en-US" w:eastAsia="zh-CN"/>
              </w:rPr>
            </w:pPr>
            <w:r>
              <w:rPr>
                <w:rFonts w:hint="default"/>
                <w:highlight w:val="none"/>
              </w:rPr>
              <w:t>5</w:t>
            </w:r>
          </w:p>
        </w:tc>
        <w:tc>
          <w:tcPr>
            <w:tcW w:w="881" w:type="pct"/>
            <w:noWrap w:val="0"/>
            <w:vAlign w:val="center"/>
          </w:tcPr>
          <w:p w14:paraId="69D3DA3C">
            <w:pPr>
              <w:pStyle w:val="58"/>
              <w:bidi w:val="0"/>
              <w:rPr>
                <w:rFonts w:hint="default"/>
                <w:highlight w:val="none"/>
                <w:lang w:val="en-US" w:eastAsia="zh-CN"/>
              </w:rPr>
            </w:pPr>
            <w:r>
              <w:rPr>
                <w:rFonts w:hint="default"/>
                <w:highlight w:val="none"/>
                <w:lang w:val="en-US" w:eastAsia="zh-CN"/>
              </w:rPr>
              <w:t>高锰酸盐指数</w:t>
            </w:r>
          </w:p>
        </w:tc>
        <w:tc>
          <w:tcPr>
            <w:tcW w:w="1704" w:type="pct"/>
            <w:noWrap w:val="0"/>
            <w:vAlign w:val="center"/>
          </w:tcPr>
          <w:p w14:paraId="43A387B5">
            <w:pPr>
              <w:pStyle w:val="58"/>
              <w:bidi w:val="0"/>
              <w:rPr>
                <w:rFonts w:hint="default"/>
                <w:highlight w:val="none"/>
                <w:lang w:val="en-US" w:eastAsia="zh-CN"/>
              </w:rPr>
            </w:pPr>
            <w:r>
              <w:rPr>
                <w:rFonts w:hint="default"/>
                <w:highlight w:val="none"/>
                <w:lang w:val="en-US" w:eastAsia="zh-CN"/>
              </w:rPr>
              <w:t>《水质高锰酸盐指数的测定》GB/T11892-1989</w:t>
            </w:r>
          </w:p>
        </w:tc>
        <w:tc>
          <w:tcPr>
            <w:tcW w:w="1375" w:type="pct"/>
            <w:noWrap w:val="0"/>
            <w:vAlign w:val="center"/>
          </w:tcPr>
          <w:p w14:paraId="18A81872">
            <w:pPr>
              <w:pStyle w:val="58"/>
              <w:bidi w:val="0"/>
              <w:rPr>
                <w:rFonts w:hint="default"/>
                <w:highlight w:val="none"/>
                <w:lang w:val="en-US" w:eastAsia="zh-CN"/>
              </w:rPr>
            </w:pPr>
            <w:r>
              <w:rPr>
                <w:rFonts w:hint="default"/>
                <w:highlight w:val="none"/>
                <w:lang w:val="en-US" w:eastAsia="zh-CN"/>
              </w:rPr>
              <w:t>具塞滴定管50mL/A（YQ017）</w:t>
            </w:r>
          </w:p>
        </w:tc>
        <w:tc>
          <w:tcPr>
            <w:tcW w:w="625" w:type="pct"/>
            <w:noWrap w:val="0"/>
            <w:vAlign w:val="center"/>
          </w:tcPr>
          <w:p w14:paraId="0EF28337">
            <w:pPr>
              <w:pStyle w:val="58"/>
              <w:bidi w:val="0"/>
              <w:rPr>
                <w:rFonts w:hint="default"/>
                <w:highlight w:val="none"/>
                <w:lang w:val="en-US" w:eastAsia="zh-CN"/>
              </w:rPr>
            </w:pPr>
            <w:r>
              <w:rPr>
                <w:rFonts w:hint="default"/>
                <w:highlight w:val="none"/>
                <w:lang w:val="en-US" w:eastAsia="zh-CN"/>
              </w:rPr>
              <w:t>-</w:t>
            </w:r>
          </w:p>
        </w:tc>
      </w:tr>
      <w:tr w14:paraId="58D71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0FE85CE4">
            <w:pPr>
              <w:pStyle w:val="58"/>
              <w:bidi w:val="0"/>
              <w:rPr>
                <w:rFonts w:hint="default"/>
                <w:highlight w:val="none"/>
                <w:lang w:val="en-US" w:eastAsia="zh-CN"/>
              </w:rPr>
            </w:pPr>
            <w:r>
              <w:rPr>
                <w:rFonts w:hint="default"/>
                <w:highlight w:val="none"/>
              </w:rPr>
              <w:t>6</w:t>
            </w:r>
          </w:p>
        </w:tc>
        <w:tc>
          <w:tcPr>
            <w:tcW w:w="881" w:type="pct"/>
            <w:noWrap w:val="0"/>
            <w:vAlign w:val="center"/>
          </w:tcPr>
          <w:p w14:paraId="309C3742">
            <w:pPr>
              <w:pStyle w:val="58"/>
              <w:bidi w:val="0"/>
              <w:rPr>
                <w:rFonts w:hint="default"/>
                <w:highlight w:val="none"/>
                <w:lang w:val="en-US" w:eastAsia="zh-CN"/>
              </w:rPr>
            </w:pPr>
            <w:r>
              <w:rPr>
                <w:rFonts w:hint="default"/>
                <w:highlight w:val="none"/>
                <w:lang w:val="en-US" w:eastAsia="zh-CN"/>
              </w:rPr>
              <w:t>氟化物</w:t>
            </w:r>
          </w:p>
        </w:tc>
        <w:tc>
          <w:tcPr>
            <w:tcW w:w="1704" w:type="pct"/>
            <w:noWrap w:val="0"/>
            <w:vAlign w:val="center"/>
          </w:tcPr>
          <w:p w14:paraId="50FB4E4C">
            <w:pPr>
              <w:pStyle w:val="58"/>
              <w:bidi w:val="0"/>
              <w:rPr>
                <w:rFonts w:hint="default"/>
                <w:highlight w:val="none"/>
                <w:lang w:val="en-US" w:eastAsia="zh-CN"/>
              </w:rPr>
            </w:pPr>
            <w:r>
              <w:rPr>
                <w:rFonts w:hint="default"/>
                <w:highlight w:val="none"/>
                <w:lang w:val="en-US" w:eastAsia="zh-CN"/>
              </w:rPr>
              <w:t>《水质氟化物的测定离子选择电极法》</w:t>
            </w:r>
          </w:p>
          <w:p w14:paraId="12F45C78">
            <w:pPr>
              <w:pStyle w:val="58"/>
              <w:bidi w:val="0"/>
              <w:rPr>
                <w:rFonts w:hint="default"/>
                <w:highlight w:val="none"/>
                <w:lang w:val="en-US" w:eastAsia="zh-CN"/>
              </w:rPr>
            </w:pPr>
            <w:r>
              <w:rPr>
                <w:rFonts w:hint="default"/>
                <w:highlight w:val="none"/>
                <w:lang w:val="en-US" w:eastAsia="zh-CN"/>
              </w:rPr>
              <w:t>GB/T7484-1987</w:t>
            </w:r>
          </w:p>
        </w:tc>
        <w:tc>
          <w:tcPr>
            <w:tcW w:w="1375" w:type="pct"/>
            <w:noWrap w:val="0"/>
            <w:vAlign w:val="center"/>
          </w:tcPr>
          <w:p w14:paraId="03502BDF">
            <w:pPr>
              <w:pStyle w:val="58"/>
              <w:bidi w:val="0"/>
              <w:rPr>
                <w:rFonts w:hint="default"/>
                <w:highlight w:val="none"/>
                <w:lang w:val="en-US" w:eastAsia="zh-CN"/>
              </w:rPr>
            </w:pPr>
            <w:r>
              <w:rPr>
                <w:rFonts w:hint="default"/>
                <w:highlight w:val="none"/>
                <w:lang w:val="en-US" w:eastAsia="zh-CN"/>
              </w:rPr>
              <w:t>离子计PXSJ-216(027)</w:t>
            </w:r>
          </w:p>
        </w:tc>
        <w:tc>
          <w:tcPr>
            <w:tcW w:w="625" w:type="pct"/>
            <w:noWrap w:val="0"/>
            <w:vAlign w:val="center"/>
          </w:tcPr>
          <w:p w14:paraId="73C35A06">
            <w:pPr>
              <w:pStyle w:val="58"/>
              <w:bidi w:val="0"/>
              <w:rPr>
                <w:rFonts w:hint="default"/>
                <w:highlight w:val="none"/>
                <w:lang w:val="en-US" w:eastAsia="zh-CN"/>
              </w:rPr>
            </w:pPr>
            <w:r>
              <w:rPr>
                <w:rFonts w:hint="default"/>
                <w:highlight w:val="none"/>
                <w:lang w:val="en-US" w:eastAsia="zh-CN"/>
              </w:rPr>
              <w:t>0.05</w:t>
            </w:r>
          </w:p>
          <w:p w14:paraId="718345FC">
            <w:pPr>
              <w:pStyle w:val="58"/>
              <w:bidi w:val="0"/>
              <w:rPr>
                <w:rFonts w:hint="default"/>
                <w:highlight w:val="none"/>
                <w:lang w:val="en-US" w:eastAsia="zh-CN"/>
              </w:rPr>
            </w:pPr>
            <w:r>
              <w:rPr>
                <w:rFonts w:hint="default"/>
                <w:highlight w:val="none"/>
                <w:lang w:val="en-US" w:eastAsia="zh-CN"/>
              </w:rPr>
              <w:t>mg/L①</w:t>
            </w:r>
          </w:p>
        </w:tc>
      </w:tr>
      <w:tr w14:paraId="09F17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1E80EB33">
            <w:pPr>
              <w:pStyle w:val="58"/>
              <w:bidi w:val="0"/>
              <w:rPr>
                <w:rFonts w:hint="default"/>
                <w:highlight w:val="none"/>
                <w:lang w:val="en-US" w:eastAsia="zh-CN"/>
              </w:rPr>
            </w:pPr>
            <w:r>
              <w:rPr>
                <w:rFonts w:hint="default"/>
                <w:highlight w:val="none"/>
              </w:rPr>
              <w:t>7</w:t>
            </w:r>
          </w:p>
        </w:tc>
        <w:tc>
          <w:tcPr>
            <w:tcW w:w="881" w:type="pct"/>
            <w:noWrap w:val="0"/>
            <w:vAlign w:val="center"/>
          </w:tcPr>
          <w:p w14:paraId="0896D38D">
            <w:pPr>
              <w:pStyle w:val="58"/>
              <w:bidi w:val="0"/>
              <w:rPr>
                <w:rFonts w:hint="default"/>
                <w:highlight w:val="none"/>
                <w:lang w:val="en-US" w:eastAsia="zh-CN"/>
              </w:rPr>
            </w:pPr>
            <w:r>
              <w:rPr>
                <w:rFonts w:hint="default"/>
                <w:highlight w:val="none"/>
                <w:lang w:val="en-US" w:eastAsia="zh-CN"/>
              </w:rPr>
              <w:t>氯化物</w:t>
            </w:r>
          </w:p>
        </w:tc>
        <w:tc>
          <w:tcPr>
            <w:tcW w:w="1704" w:type="pct"/>
            <w:noWrap w:val="0"/>
            <w:vAlign w:val="center"/>
          </w:tcPr>
          <w:p w14:paraId="375F1D92">
            <w:pPr>
              <w:pStyle w:val="58"/>
              <w:bidi w:val="0"/>
              <w:rPr>
                <w:rFonts w:hint="default"/>
                <w:highlight w:val="none"/>
                <w:lang w:val="en-US" w:eastAsia="zh-CN"/>
              </w:rPr>
            </w:pPr>
            <w:r>
              <w:rPr>
                <w:rFonts w:hint="default"/>
                <w:highlight w:val="none"/>
                <w:lang w:val="en-US" w:eastAsia="zh-CN"/>
              </w:rPr>
              <w:t>《生活饮用水标准检验方法第5部分：无机非金属指标》GB/T5750.5-20235.1硝酸银容量法</w:t>
            </w:r>
          </w:p>
        </w:tc>
        <w:tc>
          <w:tcPr>
            <w:tcW w:w="1375" w:type="pct"/>
            <w:noWrap w:val="0"/>
            <w:vAlign w:val="center"/>
          </w:tcPr>
          <w:p w14:paraId="5D033BAD">
            <w:pPr>
              <w:pStyle w:val="58"/>
              <w:bidi w:val="0"/>
              <w:rPr>
                <w:rFonts w:hint="default"/>
                <w:highlight w:val="none"/>
                <w:lang w:val="en-US" w:eastAsia="zh-CN"/>
              </w:rPr>
            </w:pPr>
            <w:r>
              <w:rPr>
                <w:rFonts w:hint="default"/>
                <w:highlight w:val="none"/>
                <w:lang w:val="en-US" w:eastAsia="zh-CN"/>
              </w:rPr>
              <w:t>具塞滴定管25mL/A(YQ042)</w:t>
            </w:r>
          </w:p>
        </w:tc>
        <w:tc>
          <w:tcPr>
            <w:tcW w:w="625" w:type="pct"/>
            <w:noWrap w:val="0"/>
            <w:vAlign w:val="center"/>
          </w:tcPr>
          <w:p w14:paraId="31EA746A">
            <w:pPr>
              <w:pStyle w:val="58"/>
              <w:bidi w:val="0"/>
              <w:rPr>
                <w:rFonts w:hint="default"/>
                <w:highlight w:val="none"/>
                <w:lang w:val="en-US" w:eastAsia="zh-CN"/>
              </w:rPr>
            </w:pPr>
            <w:r>
              <w:rPr>
                <w:rFonts w:hint="default"/>
                <w:highlight w:val="none"/>
                <w:lang w:val="en-US" w:eastAsia="zh-CN"/>
              </w:rPr>
              <w:t>-</w:t>
            </w:r>
          </w:p>
        </w:tc>
      </w:tr>
      <w:tr w14:paraId="4B427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47EFC795">
            <w:pPr>
              <w:pStyle w:val="58"/>
              <w:bidi w:val="0"/>
              <w:rPr>
                <w:rFonts w:hint="default"/>
                <w:highlight w:val="none"/>
                <w:lang w:val="en-US" w:eastAsia="zh-CN"/>
              </w:rPr>
            </w:pPr>
            <w:r>
              <w:rPr>
                <w:rFonts w:hint="default"/>
                <w:highlight w:val="none"/>
              </w:rPr>
              <w:t>8</w:t>
            </w:r>
          </w:p>
        </w:tc>
        <w:tc>
          <w:tcPr>
            <w:tcW w:w="881" w:type="pct"/>
            <w:noWrap w:val="0"/>
            <w:vAlign w:val="center"/>
          </w:tcPr>
          <w:p w14:paraId="7F3DFF13">
            <w:pPr>
              <w:pStyle w:val="58"/>
              <w:bidi w:val="0"/>
              <w:rPr>
                <w:rFonts w:hint="default"/>
                <w:highlight w:val="none"/>
                <w:lang w:val="en-US" w:eastAsia="zh-CN"/>
              </w:rPr>
            </w:pPr>
            <w:r>
              <w:rPr>
                <w:rFonts w:hint="default"/>
                <w:highlight w:val="none"/>
                <w:lang w:val="en-US" w:eastAsia="zh-CN"/>
              </w:rPr>
              <w:t>硫酸盐</w:t>
            </w:r>
          </w:p>
        </w:tc>
        <w:tc>
          <w:tcPr>
            <w:tcW w:w="1704" w:type="pct"/>
            <w:noWrap w:val="0"/>
            <w:vAlign w:val="center"/>
          </w:tcPr>
          <w:p w14:paraId="28E0F7EF">
            <w:pPr>
              <w:pStyle w:val="58"/>
              <w:bidi w:val="0"/>
              <w:rPr>
                <w:rFonts w:hint="default"/>
                <w:highlight w:val="none"/>
                <w:lang w:val="en-US" w:eastAsia="zh-CN"/>
              </w:rPr>
            </w:pPr>
            <w:r>
              <w:rPr>
                <w:rFonts w:hint="default"/>
                <w:highlight w:val="none"/>
                <w:lang w:val="en-US" w:eastAsia="zh-CN"/>
              </w:rPr>
              <w:t>《水质硫酸盐的测定铬酸钡分光光度法（试行）》</w:t>
            </w:r>
          </w:p>
          <w:p w14:paraId="7155903C">
            <w:pPr>
              <w:pStyle w:val="58"/>
              <w:bidi w:val="0"/>
              <w:rPr>
                <w:rFonts w:hint="default"/>
                <w:highlight w:val="none"/>
                <w:lang w:val="en-US" w:eastAsia="zh-CN"/>
              </w:rPr>
            </w:pPr>
            <w:r>
              <w:rPr>
                <w:rFonts w:hint="default"/>
                <w:highlight w:val="none"/>
                <w:lang w:val="en-US" w:eastAsia="zh-CN"/>
              </w:rPr>
              <w:t>HJ/T342-2007</w:t>
            </w:r>
          </w:p>
        </w:tc>
        <w:tc>
          <w:tcPr>
            <w:tcW w:w="1375" w:type="pct"/>
            <w:noWrap w:val="0"/>
            <w:vAlign w:val="center"/>
          </w:tcPr>
          <w:p w14:paraId="6AC2381B">
            <w:pPr>
              <w:pStyle w:val="58"/>
              <w:bidi w:val="0"/>
              <w:rPr>
                <w:rFonts w:hint="default"/>
                <w:highlight w:val="none"/>
                <w:lang w:val="en-US" w:eastAsia="zh-CN"/>
              </w:rPr>
            </w:pPr>
            <w:r>
              <w:rPr>
                <w:rFonts w:hint="default"/>
                <w:highlight w:val="none"/>
                <w:lang w:val="en-US" w:eastAsia="zh-CN"/>
              </w:rPr>
              <w:t>可见光分光光度计722N(019)</w:t>
            </w:r>
          </w:p>
        </w:tc>
        <w:tc>
          <w:tcPr>
            <w:tcW w:w="625" w:type="pct"/>
            <w:noWrap w:val="0"/>
            <w:vAlign w:val="center"/>
          </w:tcPr>
          <w:p w14:paraId="5A8E8145">
            <w:pPr>
              <w:pStyle w:val="58"/>
              <w:bidi w:val="0"/>
              <w:rPr>
                <w:rFonts w:hint="default"/>
                <w:highlight w:val="none"/>
                <w:lang w:val="en-US" w:eastAsia="zh-CN"/>
              </w:rPr>
            </w:pPr>
            <w:r>
              <w:rPr>
                <w:rFonts w:hint="default"/>
                <w:highlight w:val="none"/>
                <w:lang w:val="en-US" w:eastAsia="zh-CN"/>
              </w:rPr>
              <w:t>-</w:t>
            </w:r>
          </w:p>
        </w:tc>
      </w:tr>
      <w:tr w14:paraId="60A7A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0A63E43B">
            <w:pPr>
              <w:pStyle w:val="58"/>
              <w:bidi w:val="0"/>
              <w:rPr>
                <w:rFonts w:hint="default"/>
                <w:highlight w:val="none"/>
                <w:lang w:val="en-US" w:eastAsia="zh-CN"/>
              </w:rPr>
            </w:pPr>
            <w:r>
              <w:rPr>
                <w:rFonts w:hint="default"/>
                <w:highlight w:val="none"/>
              </w:rPr>
              <w:t>9</w:t>
            </w:r>
          </w:p>
        </w:tc>
        <w:tc>
          <w:tcPr>
            <w:tcW w:w="881" w:type="pct"/>
            <w:noWrap w:val="0"/>
            <w:vAlign w:val="center"/>
          </w:tcPr>
          <w:p w14:paraId="5D12B2D6">
            <w:pPr>
              <w:pStyle w:val="58"/>
              <w:bidi w:val="0"/>
              <w:rPr>
                <w:rFonts w:hint="default"/>
                <w:highlight w:val="none"/>
                <w:lang w:val="en-US" w:eastAsia="zh-CN"/>
              </w:rPr>
            </w:pPr>
            <w:r>
              <w:rPr>
                <w:rFonts w:hint="default"/>
                <w:highlight w:val="none"/>
                <w:lang w:val="en-US" w:eastAsia="zh-CN"/>
              </w:rPr>
              <w:t>硝酸盐氮</w:t>
            </w:r>
          </w:p>
        </w:tc>
        <w:tc>
          <w:tcPr>
            <w:tcW w:w="1704" w:type="pct"/>
            <w:noWrap w:val="0"/>
            <w:vAlign w:val="center"/>
          </w:tcPr>
          <w:p w14:paraId="4A11FB79">
            <w:pPr>
              <w:pStyle w:val="58"/>
              <w:bidi w:val="0"/>
              <w:rPr>
                <w:rFonts w:hint="default"/>
                <w:highlight w:val="none"/>
                <w:lang w:val="en-US" w:eastAsia="zh-CN"/>
              </w:rPr>
            </w:pPr>
            <w:r>
              <w:rPr>
                <w:rFonts w:hint="default"/>
                <w:highlight w:val="none"/>
                <w:lang w:val="en-US" w:eastAsia="zh-CN"/>
              </w:rPr>
              <w:t>《水质硝酸盐氮的测定紫外分光光度法（试行）》</w:t>
            </w:r>
          </w:p>
          <w:p w14:paraId="0AA15B60">
            <w:pPr>
              <w:pStyle w:val="58"/>
              <w:bidi w:val="0"/>
              <w:rPr>
                <w:rFonts w:hint="default"/>
                <w:highlight w:val="none"/>
                <w:lang w:val="en-US" w:eastAsia="zh-CN"/>
              </w:rPr>
            </w:pPr>
            <w:r>
              <w:rPr>
                <w:rFonts w:hint="default"/>
                <w:highlight w:val="none"/>
                <w:lang w:val="en-US" w:eastAsia="zh-CN"/>
              </w:rPr>
              <w:t>HJ/T346-2007</w:t>
            </w:r>
          </w:p>
        </w:tc>
        <w:tc>
          <w:tcPr>
            <w:tcW w:w="1375" w:type="pct"/>
            <w:noWrap w:val="0"/>
            <w:vAlign w:val="center"/>
          </w:tcPr>
          <w:p w14:paraId="3DB03397">
            <w:pPr>
              <w:pStyle w:val="58"/>
              <w:bidi w:val="0"/>
              <w:rPr>
                <w:rFonts w:hint="default"/>
                <w:highlight w:val="none"/>
                <w:lang w:val="en-US" w:eastAsia="zh-CN"/>
              </w:rPr>
            </w:pPr>
            <w:r>
              <w:rPr>
                <w:rFonts w:hint="default"/>
                <w:highlight w:val="none"/>
                <w:lang w:val="en-US" w:eastAsia="zh-CN"/>
              </w:rPr>
              <w:t>紫外可见分光光度计UV756(100)</w:t>
            </w:r>
          </w:p>
        </w:tc>
        <w:tc>
          <w:tcPr>
            <w:tcW w:w="625" w:type="pct"/>
            <w:noWrap w:val="0"/>
            <w:vAlign w:val="center"/>
          </w:tcPr>
          <w:p w14:paraId="1761FCE4">
            <w:pPr>
              <w:pStyle w:val="58"/>
              <w:bidi w:val="0"/>
              <w:rPr>
                <w:rFonts w:hint="default"/>
                <w:highlight w:val="none"/>
                <w:lang w:val="en-US" w:eastAsia="zh-CN"/>
              </w:rPr>
            </w:pPr>
            <w:r>
              <w:rPr>
                <w:rFonts w:hint="default"/>
                <w:highlight w:val="none"/>
                <w:lang w:val="en-US" w:eastAsia="zh-CN"/>
              </w:rPr>
              <w:t>0.08</w:t>
            </w:r>
          </w:p>
          <w:p w14:paraId="33157A73">
            <w:pPr>
              <w:pStyle w:val="58"/>
              <w:bidi w:val="0"/>
              <w:rPr>
                <w:rFonts w:hint="default"/>
                <w:highlight w:val="none"/>
                <w:lang w:val="en-US" w:eastAsia="zh-CN"/>
              </w:rPr>
            </w:pPr>
            <w:r>
              <w:rPr>
                <w:rFonts w:hint="default"/>
                <w:highlight w:val="none"/>
                <w:lang w:val="en-US" w:eastAsia="zh-CN"/>
              </w:rPr>
              <w:t>mg/L①</w:t>
            </w:r>
          </w:p>
        </w:tc>
      </w:tr>
      <w:tr w14:paraId="5239A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681806CB">
            <w:pPr>
              <w:pStyle w:val="58"/>
              <w:bidi w:val="0"/>
              <w:rPr>
                <w:rFonts w:hint="default"/>
                <w:highlight w:val="none"/>
                <w:lang w:val="en-US" w:eastAsia="zh-CN"/>
              </w:rPr>
            </w:pPr>
            <w:r>
              <w:rPr>
                <w:rFonts w:hint="default"/>
                <w:highlight w:val="none"/>
              </w:rPr>
              <w:t>10</w:t>
            </w:r>
          </w:p>
        </w:tc>
        <w:tc>
          <w:tcPr>
            <w:tcW w:w="881" w:type="pct"/>
            <w:noWrap w:val="0"/>
            <w:vAlign w:val="center"/>
          </w:tcPr>
          <w:p w14:paraId="77D2A3A5">
            <w:pPr>
              <w:pStyle w:val="58"/>
              <w:bidi w:val="0"/>
              <w:rPr>
                <w:rFonts w:hint="default"/>
                <w:highlight w:val="none"/>
                <w:lang w:val="en-US" w:eastAsia="zh-CN"/>
              </w:rPr>
            </w:pPr>
            <w:r>
              <w:rPr>
                <w:rFonts w:hint="default"/>
                <w:highlight w:val="none"/>
                <w:lang w:val="en-US" w:eastAsia="zh-CN"/>
              </w:rPr>
              <w:t>氨氮</w:t>
            </w:r>
          </w:p>
        </w:tc>
        <w:tc>
          <w:tcPr>
            <w:tcW w:w="1704" w:type="pct"/>
            <w:noWrap w:val="0"/>
            <w:vAlign w:val="center"/>
          </w:tcPr>
          <w:p w14:paraId="6E7D7019">
            <w:pPr>
              <w:pStyle w:val="58"/>
              <w:bidi w:val="0"/>
              <w:rPr>
                <w:rFonts w:hint="default"/>
                <w:highlight w:val="none"/>
                <w:lang w:val="en-US" w:eastAsia="zh-CN"/>
              </w:rPr>
            </w:pPr>
            <w:r>
              <w:rPr>
                <w:rFonts w:hint="default"/>
                <w:highlight w:val="none"/>
                <w:lang w:val="en-US" w:eastAsia="zh-CN"/>
              </w:rPr>
              <w:t>《水质氨氮的测定纳氏试剂分光光度法》HJ535-2009</w:t>
            </w:r>
          </w:p>
        </w:tc>
        <w:tc>
          <w:tcPr>
            <w:tcW w:w="1375" w:type="pct"/>
            <w:noWrap w:val="0"/>
            <w:vAlign w:val="center"/>
          </w:tcPr>
          <w:p w14:paraId="7F0BD017">
            <w:pPr>
              <w:pStyle w:val="58"/>
              <w:bidi w:val="0"/>
              <w:rPr>
                <w:rFonts w:hint="default"/>
                <w:highlight w:val="none"/>
                <w:lang w:val="en-US" w:eastAsia="zh-CN"/>
              </w:rPr>
            </w:pPr>
            <w:r>
              <w:rPr>
                <w:rFonts w:hint="default"/>
                <w:highlight w:val="none"/>
                <w:lang w:val="en-US" w:eastAsia="zh-CN"/>
              </w:rPr>
              <w:t>可见光分光光度计722N(019)</w:t>
            </w:r>
          </w:p>
        </w:tc>
        <w:tc>
          <w:tcPr>
            <w:tcW w:w="625" w:type="pct"/>
            <w:noWrap w:val="0"/>
            <w:vAlign w:val="center"/>
          </w:tcPr>
          <w:p w14:paraId="0F6AB260">
            <w:pPr>
              <w:pStyle w:val="58"/>
              <w:bidi w:val="0"/>
              <w:rPr>
                <w:rFonts w:hint="default"/>
                <w:highlight w:val="none"/>
                <w:lang w:val="en-US" w:eastAsia="zh-CN"/>
              </w:rPr>
            </w:pPr>
            <w:r>
              <w:rPr>
                <w:rFonts w:hint="default"/>
                <w:highlight w:val="none"/>
                <w:lang w:val="en-US" w:eastAsia="zh-CN"/>
              </w:rPr>
              <w:t>0.025</w:t>
            </w:r>
          </w:p>
          <w:p w14:paraId="56353E2F">
            <w:pPr>
              <w:pStyle w:val="58"/>
              <w:bidi w:val="0"/>
              <w:rPr>
                <w:rFonts w:hint="default"/>
                <w:highlight w:val="none"/>
                <w:lang w:val="en-US" w:eastAsia="zh-CN"/>
              </w:rPr>
            </w:pPr>
            <w:r>
              <w:rPr>
                <w:rFonts w:hint="default"/>
                <w:highlight w:val="none"/>
                <w:lang w:val="en-US" w:eastAsia="zh-CN"/>
              </w:rPr>
              <w:t>mg/L</w:t>
            </w:r>
          </w:p>
        </w:tc>
      </w:tr>
      <w:tr w14:paraId="7618A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53D69868">
            <w:pPr>
              <w:pStyle w:val="58"/>
              <w:bidi w:val="0"/>
              <w:rPr>
                <w:rFonts w:hint="default"/>
                <w:highlight w:val="none"/>
                <w:lang w:val="en-US" w:eastAsia="zh-CN"/>
              </w:rPr>
            </w:pPr>
            <w:r>
              <w:rPr>
                <w:rFonts w:hint="default"/>
                <w:highlight w:val="none"/>
              </w:rPr>
              <w:t>11</w:t>
            </w:r>
          </w:p>
        </w:tc>
        <w:tc>
          <w:tcPr>
            <w:tcW w:w="881" w:type="pct"/>
            <w:noWrap w:val="0"/>
            <w:vAlign w:val="center"/>
          </w:tcPr>
          <w:p w14:paraId="70FE692A">
            <w:pPr>
              <w:pStyle w:val="58"/>
              <w:bidi w:val="0"/>
              <w:rPr>
                <w:rFonts w:hint="default"/>
                <w:highlight w:val="none"/>
                <w:lang w:val="en-US" w:eastAsia="zh-CN"/>
              </w:rPr>
            </w:pPr>
            <w:r>
              <w:rPr>
                <w:rFonts w:hint="default"/>
                <w:highlight w:val="none"/>
                <w:lang w:val="en-US" w:eastAsia="zh-CN"/>
              </w:rPr>
              <w:t>亚硝酸盐氮</w:t>
            </w:r>
          </w:p>
        </w:tc>
        <w:tc>
          <w:tcPr>
            <w:tcW w:w="1704" w:type="pct"/>
            <w:noWrap w:val="0"/>
            <w:vAlign w:val="center"/>
          </w:tcPr>
          <w:p w14:paraId="4560300A">
            <w:pPr>
              <w:pStyle w:val="58"/>
              <w:bidi w:val="0"/>
              <w:rPr>
                <w:rFonts w:hint="default"/>
                <w:highlight w:val="none"/>
                <w:lang w:val="en-US" w:eastAsia="zh-CN"/>
              </w:rPr>
            </w:pPr>
            <w:r>
              <w:rPr>
                <w:rFonts w:hint="default"/>
                <w:highlight w:val="none"/>
                <w:lang w:val="en-US" w:eastAsia="zh-CN"/>
              </w:rPr>
              <w:t>《水质亚硝酸盐氮的测定分光光度法》</w:t>
            </w:r>
          </w:p>
          <w:p w14:paraId="0A3D001F">
            <w:pPr>
              <w:pStyle w:val="58"/>
              <w:bidi w:val="0"/>
              <w:rPr>
                <w:rFonts w:hint="default"/>
                <w:highlight w:val="none"/>
                <w:lang w:val="en-US" w:eastAsia="zh-CN"/>
              </w:rPr>
            </w:pPr>
            <w:r>
              <w:rPr>
                <w:rFonts w:hint="default"/>
                <w:highlight w:val="none"/>
                <w:lang w:val="en-US" w:eastAsia="zh-CN"/>
              </w:rPr>
              <w:t>GB/T7493-1987</w:t>
            </w:r>
          </w:p>
        </w:tc>
        <w:tc>
          <w:tcPr>
            <w:tcW w:w="1375" w:type="pct"/>
            <w:noWrap w:val="0"/>
            <w:vAlign w:val="center"/>
          </w:tcPr>
          <w:p w14:paraId="75B37686">
            <w:pPr>
              <w:pStyle w:val="58"/>
              <w:bidi w:val="0"/>
              <w:rPr>
                <w:rFonts w:hint="default"/>
                <w:highlight w:val="none"/>
                <w:lang w:val="en-US" w:eastAsia="zh-CN"/>
              </w:rPr>
            </w:pPr>
            <w:r>
              <w:rPr>
                <w:rFonts w:hint="default"/>
                <w:highlight w:val="none"/>
                <w:lang w:val="en-US" w:eastAsia="zh-CN"/>
              </w:rPr>
              <w:t>可见光分光光度计722N(019)</w:t>
            </w:r>
          </w:p>
        </w:tc>
        <w:tc>
          <w:tcPr>
            <w:tcW w:w="625" w:type="pct"/>
            <w:noWrap w:val="0"/>
            <w:vAlign w:val="center"/>
          </w:tcPr>
          <w:p w14:paraId="44F639FC">
            <w:pPr>
              <w:pStyle w:val="58"/>
              <w:bidi w:val="0"/>
              <w:rPr>
                <w:rFonts w:hint="default"/>
                <w:highlight w:val="none"/>
                <w:lang w:val="en-US" w:eastAsia="zh-CN"/>
              </w:rPr>
            </w:pPr>
            <w:r>
              <w:rPr>
                <w:rFonts w:hint="default"/>
                <w:highlight w:val="none"/>
                <w:lang w:val="en-US" w:eastAsia="zh-CN"/>
              </w:rPr>
              <w:t>0.003</w:t>
            </w:r>
          </w:p>
          <w:p w14:paraId="6F4C432C">
            <w:pPr>
              <w:pStyle w:val="58"/>
              <w:bidi w:val="0"/>
              <w:rPr>
                <w:rFonts w:hint="default"/>
                <w:highlight w:val="none"/>
                <w:lang w:val="en-US" w:eastAsia="zh-CN"/>
              </w:rPr>
            </w:pPr>
            <w:r>
              <w:rPr>
                <w:rFonts w:hint="default"/>
                <w:highlight w:val="none"/>
                <w:lang w:val="en-US" w:eastAsia="zh-CN"/>
              </w:rPr>
              <w:t>mg/L①</w:t>
            </w:r>
          </w:p>
        </w:tc>
      </w:tr>
      <w:tr w14:paraId="69A1C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4216CFC2">
            <w:pPr>
              <w:pStyle w:val="58"/>
              <w:bidi w:val="0"/>
              <w:rPr>
                <w:rFonts w:hint="default"/>
                <w:highlight w:val="none"/>
                <w:lang w:val="en-US" w:eastAsia="zh-CN"/>
              </w:rPr>
            </w:pPr>
            <w:r>
              <w:rPr>
                <w:rFonts w:hint="default"/>
                <w:highlight w:val="none"/>
              </w:rPr>
              <w:t>12</w:t>
            </w:r>
          </w:p>
        </w:tc>
        <w:tc>
          <w:tcPr>
            <w:tcW w:w="881" w:type="pct"/>
            <w:noWrap w:val="0"/>
            <w:vAlign w:val="center"/>
          </w:tcPr>
          <w:p w14:paraId="25673934">
            <w:pPr>
              <w:pStyle w:val="58"/>
              <w:bidi w:val="0"/>
              <w:rPr>
                <w:rFonts w:hint="default"/>
                <w:highlight w:val="none"/>
                <w:lang w:val="en-US" w:eastAsia="zh-CN"/>
              </w:rPr>
            </w:pPr>
            <w:r>
              <w:rPr>
                <w:rFonts w:hint="default"/>
                <w:highlight w:val="none"/>
                <w:lang w:val="en-US" w:eastAsia="zh-CN"/>
              </w:rPr>
              <w:t>挥发酚类</w:t>
            </w:r>
          </w:p>
          <w:p w14:paraId="33C15888">
            <w:pPr>
              <w:pStyle w:val="58"/>
              <w:bidi w:val="0"/>
              <w:rPr>
                <w:rFonts w:hint="default"/>
                <w:highlight w:val="none"/>
                <w:lang w:val="en-US" w:eastAsia="zh-CN"/>
              </w:rPr>
            </w:pPr>
            <w:r>
              <w:rPr>
                <w:rFonts w:hint="default"/>
                <w:highlight w:val="none"/>
                <w:lang w:val="en-US" w:eastAsia="zh-CN"/>
              </w:rPr>
              <w:t>(以苯酚计)</w:t>
            </w:r>
          </w:p>
        </w:tc>
        <w:tc>
          <w:tcPr>
            <w:tcW w:w="1704" w:type="pct"/>
            <w:noWrap w:val="0"/>
            <w:vAlign w:val="center"/>
          </w:tcPr>
          <w:p w14:paraId="00A61C85">
            <w:pPr>
              <w:pStyle w:val="58"/>
              <w:bidi w:val="0"/>
              <w:rPr>
                <w:rFonts w:hint="default"/>
                <w:highlight w:val="none"/>
                <w:lang w:val="en-US" w:eastAsia="zh-CN"/>
              </w:rPr>
            </w:pPr>
            <w:r>
              <w:rPr>
                <w:rFonts w:hint="default"/>
                <w:highlight w:val="none"/>
                <w:lang w:val="en-US" w:eastAsia="zh-CN"/>
              </w:rPr>
              <w:t>《水质挥发酚的测定4-氨基安替比林分光光度法》</w:t>
            </w:r>
          </w:p>
          <w:p w14:paraId="1501C702">
            <w:pPr>
              <w:pStyle w:val="58"/>
              <w:bidi w:val="0"/>
              <w:rPr>
                <w:rFonts w:hint="default"/>
                <w:highlight w:val="none"/>
                <w:lang w:val="en-US" w:eastAsia="zh-CN"/>
              </w:rPr>
            </w:pPr>
            <w:r>
              <w:rPr>
                <w:rFonts w:hint="default"/>
                <w:highlight w:val="none"/>
                <w:lang w:val="en-US" w:eastAsia="zh-CN"/>
              </w:rPr>
              <w:t>HJ503-2009</w:t>
            </w:r>
          </w:p>
        </w:tc>
        <w:tc>
          <w:tcPr>
            <w:tcW w:w="1375" w:type="pct"/>
            <w:noWrap w:val="0"/>
            <w:vAlign w:val="center"/>
          </w:tcPr>
          <w:p w14:paraId="03891222">
            <w:pPr>
              <w:pStyle w:val="58"/>
              <w:bidi w:val="0"/>
              <w:rPr>
                <w:rFonts w:hint="default"/>
                <w:highlight w:val="none"/>
                <w:lang w:val="en-US" w:eastAsia="zh-CN"/>
              </w:rPr>
            </w:pPr>
            <w:r>
              <w:rPr>
                <w:rFonts w:hint="default"/>
                <w:highlight w:val="none"/>
                <w:lang w:val="en-US" w:eastAsia="zh-CN"/>
              </w:rPr>
              <w:t>紫外可见分光光度计UV756(018)</w:t>
            </w:r>
          </w:p>
        </w:tc>
        <w:tc>
          <w:tcPr>
            <w:tcW w:w="625" w:type="pct"/>
            <w:noWrap w:val="0"/>
            <w:vAlign w:val="center"/>
          </w:tcPr>
          <w:p w14:paraId="2F711389">
            <w:pPr>
              <w:pStyle w:val="58"/>
              <w:bidi w:val="0"/>
              <w:rPr>
                <w:rFonts w:hint="default"/>
                <w:highlight w:val="none"/>
                <w:lang w:val="en-US" w:eastAsia="zh-CN"/>
              </w:rPr>
            </w:pPr>
            <w:r>
              <w:rPr>
                <w:rFonts w:hint="default"/>
                <w:highlight w:val="none"/>
                <w:lang w:val="en-US" w:eastAsia="zh-CN"/>
              </w:rPr>
              <w:t>0.0003</w:t>
            </w:r>
          </w:p>
          <w:p w14:paraId="482EC0B4">
            <w:pPr>
              <w:pStyle w:val="58"/>
              <w:bidi w:val="0"/>
              <w:rPr>
                <w:rFonts w:hint="default"/>
                <w:highlight w:val="none"/>
                <w:lang w:val="en-US" w:eastAsia="zh-CN"/>
              </w:rPr>
            </w:pPr>
            <w:r>
              <w:rPr>
                <w:rFonts w:hint="default"/>
                <w:highlight w:val="none"/>
                <w:lang w:val="en-US" w:eastAsia="zh-CN"/>
              </w:rPr>
              <w:t>mg/L</w:t>
            </w:r>
          </w:p>
        </w:tc>
      </w:tr>
      <w:tr w14:paraId="461482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3297C410">
            <w:pPr>
              <w:pStyle w:val="58"/>
              <w:bidi w:val="0"/>
              <w:rPr>
                <w:rFonts w:hint="default"/>
                <w:highlight w:val="none"/>
                <w:lang w:val="en-US" w:eastAsia="zh-CN"/>
              </w:rPr>
            </w:pPr>
            <w:r>
              <w:rPr>
                <w:rFonts w:hint="default"/>
                <w:highlight w:val="none"/>
              </w:rPr>
              <w:t>13</w:t>
            </w:r>
          </w:p>
        </w:tc>
        <w:tc>
          <w:tcPr>
            <w:tcW w:w="881" w:type="pct"/>
            <w:noWrap w:val="0"/>
            <w:vAlign w:val="center"/>
          </w:tcPr>
          <w:p w14:paraId="672681B8">
            <w:pPr>
              <w:pStyle w:val="58"/>
              <w:bidi w:val="0"/>
              <w:rPr>
                <w:rFonts w:hint="default"/>
                <w:highlight w:val="none"/>
                <w:lang w:val="en-US" w:eastAsia="zh-CN"/>
              </w:rPr>
            </w:pPr>
            <w:r>
              <w:rPr>
                <w:rFonts w:hint="default"/>
                <w:highlight w:val="none"/>
                <w:lang w:val="en-US" w:eastAsia="zh-CN"/>
              </w:rPr>
              <w:t>氰化物</w:t>
            </w:r>
          </w:p>
          <w:p w14:paraId="60DAB34E">
            <w:pPr>
              <w:pStyle w:val="58"/>
              <w:bidi w:val="0"/>
              <w:rPr>
                <w:rFonts w:hint="default"/>
                <w:highlight w:val="none"/>
                <w:lang w:val="en-US" w:eastAsia="zh-CN"/>
              </w:rPr>
            </w:pPr>
            <w:r>
              <w:rPr>
                <w:rFonts w:hint="default"/>
                <w:highlight w:val="none"/>
                <w:lang w:val="en-US" w:eastAsia="zh-CN"/>
              </w:rPr>
              <w:t>（以CN-计）</w:t>
            </w:r>
          </w:p>
        </w:tc>
        <w:tc>
          <w:tcPr>
            <w:tcW w:w="1704" w:type="pct"/>
            <w:noWrap w:val="0"/>
            <w:vAlign w:val="center"/>
          </w:tcPr>
          <w:p w14:paraId="0FB0B65F">
            <w:pPr>
              <w:pStyle w:val="58"/>
              <w:bidi w:val="0"/>
              <w:rPr>
                <w:rFonts w:hint="default"/>
                <w:highlight w:val="none"/>
                <w:lang w:val="en-US" w:eastAsia="zh-CN"/>
              </w:rPr>
            </w:pPr>
            <w:r>
              <w:rPr>
                <w:rFonts w:hint="default"/>
                <w:highlight w:val="none"/>
                <w:lang w:val="en-US" w:eastAsia="zh-CN"/>
              </w:rPr>
              <w:t>《生活饮用水标准检验方法第5部分：无机非金属指标》GB/T5750.5-20237.1异烟酸-吡唑啉酮分光光度法</w:t>
            </w:r>
          </w:p>
        </w:tc>
        <w:tc>
          <w:tcPr>
            <w:tcW w:w="1375" w:type="pct"/>
            <w:noWrap w:val="0"/>
            <w:vAlign w:val="center"/>
          </w:tcPr>
          <w:p w14:paraId="70243619">
            <w:pPr>
              <w:pStyle w:val="58"/>
              <w:bidi w:val="0"/>
              <w:rPr>
                <w:rFonts w:hint="default"/>
                <w:highlight w:val="none"/>
                <w:lang w:val="en-US" w:eastAsia="zh-CN"/>
              </w:rPr>
            </w:pPr>
            <w:r>
              <w:rPr>
                <w:rFonts w:hint="default"/>
                <w:highlight w:val="none"/>
                <w:lang w:val="en-US" w:eastAsia="zh-CN"/>
              </w:rPr>
              <w:t>可见光分光光度计722N(019)</w:t>
            </w:r>
          </w:p>
        </w:tc>
        <w:tc>
          <w:tcPr>
            <w:tcW w:w="625" w:type="pct"/>
            <w:noWrap w:val="0"/>
            <w:vAlign w:val="center"/>
          </w:tcPr>
          <w:p w14:paraId="2B854426">
            <w:pPr>
              <w:pStyle w:val="58"/>
              <w:bidi w:val="0"/>
              <w:rPr>
                <w:rFonts w:hint="default"/>
                <w:highlight w:val="none"/>
                <w:lang w:val="en-US" w:eastAsia="zh-CN"/>
              </w:rPr>
            </w:pPr>
            <w:r>
              <w:rPr>
                <w:rFonts w:hint="default"/>
                <w:highlight w:val="none"/>
                <w:lang w:val="en-US" w:eastAsia="zh-CN"/>
              </w:rPr>
              <w:t>0.002</w:t>
            </w:r>
          </w:p>
          <w:p w14:paraId="5FD3A79B">
            <w:pPr>
              <w:pStyle w:val="58"/>
              <w:bidi w:val="0"/>
              <w:rPr>
                <w:rFonts w:hint="default"/>
                <w:highlight w:val="none"/>
                <w:lang w:val="en-US" w:eastAsia="zh-CN"/>
              </w:rPr>
            </w:pPr>
            <w:r>
              <w:rPr>
                <w:rFonts w:hint="default"/>
                <w:highlight w:val="none"/>
                <w:lang w:val="en-US" w:eastAsia="zh-CN"/>
              </w:rPr>
              <w:t>mg/L①</w:t>
            </w:r>
          </w:p>
        </w:tc>
      </w:tr>
      <w:tr w14:paraId="21D58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329B224D">
            <w:pPr>
              <w:pStyle w:val="58"/>
              <w:bidi w:val="0"/>
              <w:rPr>
                <w:rFonts w:hint="default"/>
                <w:highlight w:val="none"/>
                <w:lang w:val="en-US" w:eastAsia="zh-CN"/>
              </w:rPr>
            </w:pPr>
            <w:r>
              <w:rPr>
                <w:rFonts w:hint="default"/>
                <w:highlight w:val="none"/>
              </w:rPr>
              <w:t>14</w:t>
            </w:r>
          </w:p>
        </w:tc>
        <w:tc>
          <w:tcPr>
            <w:tcW w:w="881" w:type="pct"/>
            <w:noWrap w:val="0"/>
            <w:vAlign w:val="center"/>
          </w:tcPr>
          <w:p w14:paraId="1A38BCA9">
            <w:pPr>
              <w:pStyle w:val="58"/>
              <w:bidi w:val="0"/>
              <w:rPr>
                <w:rFonts w:hint="default"/>
                <w:highlight w:val="none"/>
                <w:lang w:val="en-US" w:eastAsia="zh-CN"/>
              </w:rPr>
            </w:pPr>
            <w:r>
              <w:rPr>
                <w:rFonts w:hint="default"/>
                <w:highlight w:val="none"/>
                <w:lang w:val="en-US" w:eastAsia="zh-CN"/>
              </w:rPr>
              <w:t>铬（六价）</w:t>
            </w:r>
          </w:p>
        </w:tc>
        <w:tc>
          <w:tcPr>
            <w:tcW w:w="1704" w:type="pct"/>
            <w:noWrap w:val="0"/>
            <w:vAlign w:val="center"/>
          </w:tcPr>
          <w:p w14:paraId="6C16A6D9">
            <w:pPr>
              <w:pStyle w:val="58"/>
              <w:bidi w:val="0"/>
              <w:rPr>
                <w:rFonts w:hint="default"/>
                <w:highlight w:val="none"/>
                <w:lang w:val="en-US" w:eastAsia="zh-CN"/>
              </w:rPr>
            </w:pPr>
            <w:r>
              <w:rPr>
                <w:rFonts w:hint="default"/>
                <w:highlight w:val="none"/>
                <w:lang w:val="en-US" w:eastAsia="zh-CN"/>
              </w:rPr>
              <w:t>《生活饮用水标准检验方法第6部分：金属和类金属指标》GB/T5750.6-202313.1二苯碳酰二肼分光光度法</w:t>
            </w:r>
          </w:p>
        </w:tc>
        <w:tc>
          <w:tcPr>
            <w:tcW w:w="1375" w:type="pct"/>
            <w:noWrap w:val="0"/>
            <w:vAlign w:val="center"/>
          </w:tcPr>
          <w:p w14:paraId="1620A00D">
            <w:pPr>
              <w:pStyle w:val="58"/>
              <w:bidi w:val="0"/>
              <w:rPr>
                <w:rFonts w:hint="default"/>
                <w:highlight w:val="none"/>
                <w:lang w:val="en-US" w:eastAsia="zh-CN"/>
              </w:rPr>
            </w:pPr>
            <w:r>
              <w:rPr>
                <w:rFonts w:hint="default"/>
                <w:highlight w:val="none"/>
                <w:lang w:val="en-US" w:eastAsia="zh-CN"/>
              </w:rPr>
              <w:t>可见光分光光度计722N(019)</w:t>
            </w:r>
          </w:p>
        </w:tc>
        <w:tc>
          <w:tcPr>
            <w:tcW w:w="625" w:type="pct"/>
            <w:noWrap w:val="0"/>
            <w:vAlign w:val="center"/>
          </w:tcPr>
          <w:p w14:paraId="6D930BF2">
            <w:pPr>
              <w:pStyle w:val="58"/>
              <w:bidi w:val="0"/>
              <w:rPr>
                <w:rFonts w:hint="default"/>
                <w:highlight w:val="none"/>
                <w:lang w:val="en-US" w:eastAsia="zh-CN"/>
              </w:rPr>
            </w:pPr>
            <w:r>
              <w:rPr>
                <w:rFonts w:hint="default"/>
                <w:highlight w:val="none"/>
                <w:lang w:val="en-US" w:eastAsia="zh-CN"/>
              </w:rPr>
              <w:t>0.004</w:t>
            </w:r>
          </w:p>
          <w:p w14:paraId="07977185">
            <w:pPr>
              <w:pStyle w:val="58"/>
              <w:bidi w:val="0"/>
              <w:rPr>
                <w:rFonts w:hint="default"/>
                <w:highlight w:val="none"/>
                <w:lang w:val="en-US" w:eastAsia="zh-CN"/>
              </w:rPr>
            </w:pPr>
            <w:r>
              <w:rPr>
                <w:rFonts w:hint="default"/>
                <w:highlight w:val="none"/>
                <w:lang w:val="en-US" w:eastAsia="zh-CN"/>
              </w:rPr>
              <w:t>mg/L①</w:t>
            </w:r>
          </w:p>
        </w:tc>
      </w:tr>
      <w:tr w14:paraId="1DB8D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51A39088">
            <w:pPr>
              <w:pStyle w:val="58"/>
              <w:bidi w:val="0"/>
              <w:rPr>
                <w:rFonts w:hint="default"/>
                <w:highlight w:val="none"/>
                <w:lang w:val="en-US" w:eastAsia="zh-CN"/>
              </w:rPr>
            </w:pPr>
            <w:r>
              <w:rPr>
                <w:rFonts w:hint="default"/>
                <w:highlight w:val="none"/>
              </w:rPr>
              <w:t>15</w:t>
            </w:r>
          </w:p>
        </w:tc>
        <w:tc>
          <w:tcPr>
            <w:tcW w:w="881" w:type="pct"/>
            <w:noWrap w:val="0"/>
            <w:vAlign w:val="center"/>
          </w:tcPr>
          <w:p w14:paraId="5263D90A">
            <w:pPr>
              <w:pStyle w:val="58"/>
              <w:bidi w:val="0"/>
              <w:rPr>
                <w:rFonts w:hint="default"/>
                <w:highlight w:val="none"/>
                <w:lang w:val="en-US" w:eastAsia="zh-CN"/>
              </w:rPr>
            </w:pPr>
            <w:r>
              <w:rPr>
                <w:rFonts w:hint="default"/>
                <w:highlight w:val="none"/>
                <w:lang w:val="en-US" w:eastAsia="zh-CN"/>
              </w:rPr>
              <w:t>砷</w:t>
            </w:r>
          </w:p>
        </w:tc>
        <w:tc>
          <w:tcPr>
            <w:tcW w:w="1704" w:type="pct"/>
            <w:noWrap w:val="0"/>
            <w:vAlign w:val="center"/>
          </w:tcPr>
          <w:p w14:paraId="51FAA35D">
            <w:pPr>
              <w:pStyle w:val="58"/>
              <w:bidi w:val="0"/>
              <w:rPr>
                <w:rFonts w:hint="default"/>
                <w:highlight w:val="none"/>
                <w:lang w:val="en-US" w:eastAsia="zh-CN"/>
              </w:rPr>
            </w:pPr>
            <w:r>
              <w:rPr>
                <w:rFonts w:hint="default"/>
                <w:highlight w:val="none"/>
                <w:lang w:val="en-US" w:eastAsia="zh-CN"/>
              </w:rPr>
              <w:t>《水质汞、砷、硒、铋和锑的测定原子荧光法》</w:t>
            </w:r>
          </w:p>
          <w:p w14:paraId="33F8AB8B">
            <w:pPr>
              <w:pStyle w:val="58"/>
              <w:bidi w:val="0"/>
              <w:rPr>
                <w:rFonts w:hint="default"/>
                <w:highlight w:val="none"/>
                <w:lang w:val="en-US" w:eastAsia="zh-CN"/>
              </w:rPr>
            </w:pPr>
            <w:r>
              <w:rPr>
                <w:rFonts w:hint="default"/>
                <w:highlight w:val="none"/>
                <w:lang w:val="en-US" w:eastAsia="zh-CN"/>
              </w:rPr>
              <w:t>HJ694-2014</w:t>
            </w:r>
          </w:p>
        </w:tc>
        <w:tc>
          <w:tcPr>
            <w:tcW w:w="1375" w:type="pct"/>
            <w:noWrap w:val="0"/>
            <w:vAlign w:val="center"/>
          </w:tcPr>
          <w:p w14:paraId="61744062">
            <w:pPr>
              <w:pStyle w:val="58"/>
              <w:bidi w:val="0"/>
              <w:rPr>
                <w:rFonts w:hint="default"/>
                <w:highlight w:val="none"/>
                <w:lang w:val="en-US" w:eastAsia="zh-CN"/>
              </w:rPr>
            </w:pPr>
            <w:r>
              <w:rPr>
                <w:rFonts w:hint="default"/>
                <w:highlight w:val="none"/>
                <w:lang w:val="en-US" w:eastAsia="zh-CN"/>
              </w:rPr>
              <w:t>原子荧光光谱仪SK-2003A(013)</w:t>
            </w:r>
          </w:p>
        </w:tc>
        <w:tc>
          <w:tcPr>
            <w:tcW w:w="625" w:type="pct"/>
            <w:noWrap w:val="0"/>
            <w:vAlign w:val="center"/>
          </w:tcPr>
          <w:p w14:paraId="42AA254B">
            <w:pPr>
              <w:pStyle w:val="58"/>
              <w:bidi w:val="0"/>
              <w:rPr>
                <w:rFonts w:hint="default"/>
                <w:highlight w:val="none"/>
                <w:lang w:val="en-US" w:eastAsia="zh-CN"/>
              </w:rPr>
            </w:pPr>
            <w:r>
              <w:rPr>
                <w:rFonts w:hint="default"/>
                <w:highlight w:val="none"/>
                <w:lang w:val="en-US" w:eastAsia="zh-CN"/>
              </w:rPr>
              <w:t>0.3μg/L</w:t>
            </w:r>
          </w:p>
        </w:tc>
      </w:tr>
      <w:tr w14:paraId="6ABBD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49C03140">
            <w:pPr>
              <w:pStyle w:val="58"/>
              <w:bidi w:val="0"/>
              <w:rPr>
                <w:rFonts w:hint="default"/>
                <w:highlight w:val="none"/>
                <w:lang w:val="en-US" w:eastAsia="zh-CN"/>
              </w:rPr>
            </w:pPr>
            <w:r>
              <w:rPr>
                <w:rFonts w:hint="default"/>
                <w:highlight w:val="none"/>
              </w:rPr>
              <w:t>16</w:t>
            </w:r>
          </w:p>
        </w:tc>
        <w:tc>
          <w:tcPr>
            <w:tcW w:w="881" w:type="pct"/>
            <w:noWrap w:val="0"/>
            <w:vAlign w:val="center"/>
          </w:tcPr>
          <w:p w14:paraId="58768309">
            <w:pPr>
              <w:pStyle w:val="58"/>
              <w:bidi w:val="0"/>
              <w:rPr>
                <w:rFonts w:hint="default"/>
                <w:highlight w:val="none"/>
                <w:lang w:val="en-US" w:eastAsia="zh-CN"/>
              </w:rPr>
            </w:pPr>
            <w:r>
              <w:rPr>
                <w:rFonts w:hint="default"/>
                <w:highlight w:val="none"/>
                <w:lang w:val="en-US" w:eastAsia="zh-CN"/>
              </w:rPr>
              <w:t>汞</w:t>
            </w:r>
          </w:p>
        </w:tc>
        <w:tc>
          <w:tcPr>
            <w:tcW w:w="1704" w:type="pct"/>
            <w:noWrap w:val="0"/>
            <w:vAlign w:val="center"/>
          </w:tcPr>
          <w:p w14:paraId="20BFFCE2">
            <w:pPr>
              <w:pStyle w:val="58"/>
              <w:bidi w:val="0"/>
              <w:rPr>
                <w:rFonts w:hint="default"/>
                <w:highlight w:val="none"/>
                <w:lang w:val="en-US" w:eastAsia="zh-CN"/>
              </w:rPr>
            </w:pPr>
            <w:r>
              <w:rPr>
                <w:rFonts w:hint="default"/>
                <w:highlight w:val="none"/>
                <w:lang w:val="en-US" w:eastAsia="zh-CN"/>
              </w:rPr>
              <w:t>《水质汞、砷、硒、铋和锑的测定原子荧光法》</w:t>
            </w:r>
          </w:p>
          <w:p w14:paraId="10CA503A">
            <w:pPr>
              <w:pStyle w:val="58"/>
              <w:bidi w:val="0"/>
              <w:rPr>
                <w:rFonts w:hint="default"/>
                <w:highlight w:val="none"/>
                <w:lang w:val="en-US" w:eastAsia="zh-CN"/>
              </w:rPr>
            </w:pPr>
            <w:r>
              <w:rPr>
                <w:rFonts w:hint="default"/>
                <w:highlight w:val="none"/>
                <w:lang w:val="en-US" w:eastAsia="zh-CN"/>
              </w:rPr>
              <w:t>HJ694-2014</w:t>
            </w:r>
          </w:p>
        </w:tc>
        <w:tc>
          <w:tcPr>
            <w:tcW w:w="1375" w:type="pct"/>
            <w:noWrap w:val="0"/>
            <w:vAlign w:val="center"/>
          </w:tcPr>
          <w:p w14:paraId="426A515C">
            <w:pPr>
              <w:pStyle w:val="58"/>
              <w:bidi w:val="0"/>
              <w:rPr>
                <w:rFonts w:hint="default"/>
                <w:highlight w:val="none"/>
                <w:lang w:val="en-US" w:eastAsia="zh-CN"/>
              </w:rPr>
            </w:pPr>
            <w:r>
              <w:rPr>
                <w:rFonts w:hint="default"/>
                <w:highlight w:val="none"/>
                <w:lang w:val="en-US" w:eastAsia="zh-CN"/>
              </w:rPr>
              <w:t>原子荧光光谱仪SK-2003A(013)</w:t>
            </w:r>
          </w:p>
        </w:tc>
        <w:tc>
          <w:tcPr>
            <w:tcW w:w="625" w:type="pct"/>
            <w:noWrap w:val="0"/>
            <w:vAlign w:val="center"/>
          </w:tcPr>
          <w:p w14:paraId="54910450">
            <w:pPr>
              <w:pStyle w:val="58"/>
              <w:bidi w:val="0"/>
              <w:rPr>
                <w:rFonts w:hint="default"/>
                <w:highlight w:val="none"/>
                <w:lang w:val="en-US" w:eastAsia="zh-CN"/>
              </w:rPr>
            </w:pPr>
            <w:r>
              <w:rPr>
                <w:rFonts w:hint="default"/>
                <w:highlight w:val="none"/>
                <w:lang w:val="en-US" w:eastAsia="zh-CN"/>
              </w:rPr>
              <w:t>0.04μg/L</w:t>
            </w:r>
          </w:p>
        </w:tc>
      </w:tr>
      <w:tr w14:paraId="31F41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12BEFDE0">
            <w:pPr>
              <w:pStyle w:val="58"/>
              <w:bidi w:val="0"/>
              <w:rPr>
                <w:rFonts w:hint="default"/>
                <w:highlight w:val="none"/>
                <w:lang w:val="en-US" w:eastAsia="zh-CN"/>
              </w:rPr>
            </w:pPr>
            <w:r>
              <w:rPr>
                <w:rFonts w:hint="default"/>
                <w:highlight w:val="none"/>
              </w:rPr>
              <w:t>17</w:t>
            </w:r>
          </w:p>
        </w:tc>
        <w:tc>
          <w:tcPr>
            <w:tcW w:w="881" w:type="pct"/>
            <w:noWrap w:val="0"/>
            <w:vAlign w:val="center"/>
          </w:tcPr>
          <w:p w14:paraId="1DF085AD">
            <w:pPr>
              <w:pStyle w:val="58"/>
              <w:bidi w:val="0"/>
              <w:rPr>
                <w:rFonts w:hint="default"/>
                <w:highlight w:val="none"/>
                <w:lang w:val="en-US" w:eastAsia="zh-CN"/>
              </w:rPr>
            </w:pPr>
            <w:r>
              <w:rPr>
                <w:rFonts w:hint="default"/>
                <w:highlight w:val="none"/>
                <w:lang w:val="en-US" w:eastAsia="zh-CN"/>
              </w:rPr>
              <w:t>钾</w:t>
            </w:r>
          </w:p>
        </w:tc>
        <w:tc>
          <w:tcPr>
            <w:tcW w:w="1704" w:type="pct"/>
            <w:noWrap w:val="0"/>
            <w:vAlign w:val="center"/>
          </w:tcPr>
          <w:p w14:paraId="24DC4E97">
            <w:pPr>
              <w:pStyle w:val="58"/>
              <w:bidi w:val="0"/>
              <w:rPr>
                <w:rFonts w:hint="default"/>
                <w:highlight w:val="none"/>
                <w:lang w:val="en-US" w:eastAsia="zh-CN"/>
              </w:rPr>
            </w:pPr>
            <w:r>
              <w:rPr>
                <w:rFonts w:hint="default"/>
                <w:highlight w:val="none"/>
                <w:lang w:val="en-US" w:eastAsia="zh-CN"/>
              </w:rPr>
              <w:t>《水质钾和钠的测定火焰原子吸收分光光度法》</w:t>
            </w:r>
          </w:p>
          <w:p w14:paraId="78E551C6">
            <w:pPr>
              <w:pStyle w:val="58"/>
              <w:bidi w:val="0"/>
              <w:rPr>
                <w:rFonts w:hint="default"/>
                <w:highlight w:val="none"/>
                <w:lang w:val="en-US" w:eastAsia="zh-CN"/>
              </w:rPr>
            </w:pPr>
            <w:r>
              <w:rPr>
                <w:rFonts w:hint="default"/>
                <w:highlight w:val="none"/>
                <w:lang w:val="en-US" w:eastAsia="zh-CN"/>
              </w:rPr>
              <w:t>GB/T11904-1989</w:t>
            </w:r>
          </w:p>
        </w:tc>
        <w:tc>
          <w:tcPr>
            <w:tcW w:w="1375" w:type="pct"/>
            <w:noWrap w:val="0"/>
            <w:vAlign w:val="center"/>
          </w:tcPr>
          <w:p w14:paraId="627B2101">
            <w:pPr>
              <w:pStyle w:val="58"/>
              <w:bidi w:val="0"/>
              <w:rPr>
                <w:rFonts w:hint="default"/>
                <w:highlight w:val="none"/>
                <w:lang w:val="en-US" w:eastAsia="zh-CN"/>
              </w:rPr>
            </w:pPr>
            <w:r>
              <w:rPr>
                <w:rFonts w:hint="default"/>
                <w:highlight w:val="none"/>
                <w:lang w:val="en-US" w:eastAsia="zh-CN"/>
              </w:rPr>
              <w:t>原子吸收分光光度计TAS-990AFG(014)</w:t>
            </w:r>
          </w:p>
        </w:tc>
        <w:tc>
          <w:tcPr>
            <w:tcW w:w="625" w:type="pct"/>
            <w:noWrap w:val="0"/>
            <w:vAlign w:val="center"/>
          </w:tcPr>
          <w:p w14:paraId="7840ED84">
            <w:pPr>
              <w:pStyle w:val="58"/>
              <w:bidi w:val="0"/>
              <w:rPr>
                <w:rFonts w:hint="default"/>
                <w:highlight w:val="none"/>
                <w:lang w:val="en-US" w:eastAsia="zh-CN"/>
              </w:rPr>
            </w:pPr>
            <w:r>
              <w:rPr>
                <w:rFonts w:hint="default"/>
                <w:highlight w:val="none"/>
                <w:lang w:val="en-US" w:eastAsia="zh-CN"/>
              </w:rPr>
              <w:t>-</w:t>
            </w:r>
          </w:p>
        </w:tc>
      </w:tr>
      <w:tr w14:paraId="17403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44E36B3B">
            <w:pPr>
              <w:pStyle w:val="58"/>
              <w:bidi w:val="0"/>
              <w:rPr>
                <w:rFonts w:hint="default"/>
                <w:highlight w:val="none"/>
                <w:lang w:val="en-US" w:eastAsia="zh-CN"/>
              </w:rPr>
            </w:pPr>
            <w:r>
              <w:rPr>
                <w:rFonts w:hint="default"/>
                <w:highlight w:val="none"/>
              </w:rPr>
              <w:t>18</w:t>
            </w:r>
          </w:p>
        </w:tc>
        <w:tc>
          <w:tcPr>
            <w:tcW w:w="881" w:type="pct"/>
            <w:noWrap w:val="0"/>
            <w:vAlign w:val="center"/>
          </w:tcPr>
          <w:p w14:paraId="37957303">
            <w:pPr>
              <w:pStyle w:val="58"/>
              <w:bidi w:val="0"/>
              <w:rPr>
                <w:rFonts w:hint="default"/>
                <w:highlight w:val="none"/>
                <w:lang w:val="en-US" w:eastAsia="zh-CN"/>
              </w:rPr>
            </w:pPr>
            <w:r>
              <w:rPr>
                <w:rFonts w:hint="default"/>
                <w:highlight w:val="none"/>
                <w:lang w:val="en-US" w:eastAsia="zh-CN"/>
              </w:rPr>
              <w:t>钠</w:t>
            </w:r>
          </w:p>
        </w:tc>
        <w:tc>
          <w:tcPr>
            <w:tcW w:w="1704" w:type="pct"/>
            <w:noWrap w:val="0"/>
            <w:vAlign w:val="center"/>
          </w:tcPr>
          <w:p w14:paraId="6C376479">
            <w:pPr>
              <w:pStyle w:val="58"/>
              <w:bidi w:val="0"/>
              <w:rPr>
                <w:rFonts w:hint="default"/>
                <w:highlight w:val="none"/>
                <w:lang w:val="en-US" w:eastAsia="zh-CN"/>
              </w:rPr>
            </w:pPr>
            <w:r>
              <w:rPr>
                <w:rFonts w:hint="default"/>
                <w:highlight w:val="none"/>
                <w:lang w:val="en-US" w:eastAsia="zh-CN"/>
              </w:rPr>
              <w:t>《水质钾和钠的测定火焰原子吸收分光光度法》</w:t>
            </w:r>
          </w:p>
          <w:p w14:paraId="16F594A3">
            <w:pPr>
              <w:pStyle w:val="58"/>
              <w:bidi w:val="0"/>
              <w:rPr>
                <w:rFonts w:hint="default"/>
                <w:highlight w:val="none"/>
                <w:lang w:val="en-US" w:eastAsia="zh-CN"/>
              </w:rPr>
            </w:pPr>
            <w:r>
              <w:rPr>
                <w:rFonts w:hint="default"/>
                <w:highlight w:val="none"/>
                <w:lang w:val="en-US" w:eastAsia="zh-CN"/>
              </w:rPr>
              <w:t>GB/T11904-1989</w:t>
            </w:r>
          </w:p>
        </w:tc>
        <w:tc>
          <w:tcPr>
            <w:tcW w:w="1375" w:type="pct"/>
            <w:noWrap w:val="0"/>
            <w:vAlign w:val="center"/>
          </w:tcPr>
          <w:p w14:paraId="35EA5EE1">
            <w:pPr>
              <w:pStyle w:val="58"/>
              <w:bidi w:val="0"/>
              <w:rPr>
                <w:rFonts w:hint="default"/>
                <w:highlight w:val="none"/>
                <w:lang w:val="en-US" w:eastAsia="zh-CN"/>
              </w:rPr>
            </w:pPr>
            <w:r>
              <w:rPr>
                <w:rFonts w:hint="default"/>
                <w:highlight w:val="none"/>
                <w:lang w:val="en-US" w:eastAsia="zh-CN"/>
              </w:rPr>
              <w:t>原子吸收分光光度计TAS-990AFG(014)</w:t>
            </w:r>
          </w:p>
        </w:tc>
        <w:tc>
          <w:tcPr>
            <w:tcW w:w="625" w:type="pct"/>
            <w:noWrap w:val="0"/>
            <w:vAlign w:val="center"/>
          </w:tcPr>
          <w:p w14:paraId="4C94E7D8">
            <w:pPr>
              <w:pStyle w:val="58"/>
              <w:bidi w:val="0"/>
              <w:rPr>
                <w:rFonts w:hint="default"/>
                <w:highlight w:val="none"/>
                <w:lang w:val="en-US" w:eastAsia="zh-CN"/>
              </w:rPr>
            </w:pPr>
            <w:r>
              <w:rPr>
                <w:rFonts w:hint="default"/>
                <w:highlight w:val="none"/>
                <w:lang w:val="en-US" w:eastAsia="zh-CN"/>
              </w:rPr>
              <w:t>-</w:t>
            </w:r>
          </w:p>
        </w:tc>
      </w:tr>
      <w:tr w14:paraId="6025F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298BE2A9">
            <w:pPr>
              <w:pStyle w:val="58"/>
              <w:bidi w:val="0"/>
              <w:rPr>
                <w:rFonts w:hint="default"/>
                <w:highlight w:val="none"/>
                <w:lang w:val="en-US" w:eastAsia="zh-CN"/>
              </w:rPr>
            </w:pPr>
            <w:r>
              <w:rPr>
                <w:rFonts w:hint="default"/>
                <w:highlight w:val="none"/>
              </w:rPr>
              <w:t>19</w:t>
            </w:r>
          </w:p>
        </w:tc>
        <w:tc>
          <w:tcPr>
            <w:tcW w:w="881" w:type="pct"/>
            <w:noWrap w:val="0"/>
            <w:vAlign w:val="center"/>
          </w:tcPr>
          <w:p w14:paraId="515AEB20">
            <w:pPr>
              <w:pStyle w:val="58"/>
              <w:bidi w:val="0"/>
              <w:rPr>
                <w:rFonts w:hint="default"/>
                <w:highlight w:val="none"/>
                <w:lang w:val="en-US" w:eastAsia="zh-CN"/>
              </w:rPr>
            </w:pPr>
            <w:r>
              <w:rPr>
                <w:rFonts w:hint="default"/>
                <w:highlight w:val="none"/>
                <w:lang w:val="en-US" w:eastAsia="zh-CN"/>
              </w:rPr>
              <w:t>钙</w:t>
            </w:r>
          </w:p>
        </w:tc>
        <w:tc>
          <w:tcPr>
            <w:tcW w:w="1704" w:type="pct"/>
            <w:noWrap w:val="0"/>
            <w:vAlign w:val="center"/>
          </w:tcPr>
          <w:p w14:paraId="60C9A400">
            <w:pPr>
              <w:pStyle w:val="58"/>
              <w:bidi w:val="0"/>
              <w:rPr>
                <w:rFonts w:hint="default"/>
                <w:highlight w:val="none"/>
                <w:lang w:val="en-US" w:eastAsia="zh-CN"/>
              </w:rPr>
            </w:pPr>
            <w:r>
              <w:rPr>
                <w:rFonts w:hint="default"/>
                <w:highlight w:val="none"/>
                <w:lang w:val="en-US" w:eastAsia="zh-CN"/>
              </w:rPr>
              <w:t>《水质钙和镁的测定原子吸收分光光度法》</w:t>
            </w:r>
          </w:p>
          <w:p w14:paraId="57ECAF50">
            <w:pPr>
              <w:pStyle w:val="58"/>
              <w:bidi w:val="0"/>
              <w:rPr>
                <w:rFonts w:hint="default"/>
                <w:highlight w:val="none"/>
                <w:lang w:val="en-US" w:eastAsia="zh-CN"/>
              </w:rPr>
            </w:pPr>
            <w:r>
              <w:rPr>
                <w:rFonts w:hint="default"/>
                <w:highlight w:val="none"/>
                <w:lang w:val="en-US" w:eastAsia="zh-CN"/>
              </w:rPr>
              <w:t>GB/T11905-1989</w:t>
            </w:r>
          </w:p>
        </w:tc>
        <w:tc>
          <w:tcPr>
            <w:tcW w:w="1375" w:type="pct"/>
            <w:noWrap w:val="0"/>
            <w:vAlign w:val="center"/>
          </w:tcPr>
          <w:p w14:paraId="695EF6C0">
            <w:pPr>
              <w:pStyle w:val="58"/>
              <w:bidi w:val="0"/>
              <w:rPr>
                <w:rFonts w:hint="default"/>
                <w:highlight w:val="none"/>
                <w:lang w:val="en-US" w:eastAsia="zh-CN"/>
              </w:rPr>
            </w:pPr>
            <w:r>
              <w:rPr>
                <w:rFonts w:hint="default"/>
                <w:highlight w:val="none"/>
                <w:lang w:val="en-US" w:eastAsia="zh-CN"/>
              </w:rPr>
              <w:t>原子吸收分光光度计TAS-990AFG(014)</w:t>
            </w:r>
          </w:p>
        </w:tc>
        <w:tc>
          <w:tcPr>
            <w:tcW w:w="625" w:type="pct"/>
            <w:noWrap w:val="0"/>
            <w:vAlign w:val="center"/>
          </w:tcPr>
          <w:p w14:paraId="771B7B9E">
            <w:pPr>
              <w:pStyle w:val="58"/>
              <w:bidi w:val="0"/>
              <w:rPr>
                <w:rFonts w:hint="default"/>
                <w:highlight w:val="none"/>
                <w:lang w:val="en-US" w:eastAsia="zh-CN"/>
              </w:rPr>
            </w:pPr>
            <w:r>
              <w:rPr>
                <w:rFonts w:hint="default"/>
                <w:highlight w:val="none"/>
                <w:lang w:val="en-US" w:eastAsia="zh-CN"/>
              </w:rPr>
              <w:t>0.02</w:t>
            </w:r>
          </w:p>
          <w:p w14:paraId="0B3D6AA3">
            <w:pPr>
              <w:pStyle w:val="58"/>
              <w:bidi w:val="0"/>
              <w:rPr>
                <w:rFonts w:hint="default"/>
                <w:highlight w:val="none"/>
                <w:lang w:val="en-US" w:eastAsia="zh-CN"/>
              </w:rPr>
            </w:pPr>
            <w:r>
              <w:rPr>
                <w:rFonts w:hint="default"/>
                <w:highlight w:val="none"/>
                <w:lang w:val="en-US" w:eastAsia="zh-CN"/>
              </w:rPr>
              <w:t>mg/L①</w:t>
            </w:r>
          </w:p>
        </w:tc>
      </w:tr>
      <w:tr w14:paraId="792B4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72D81E5C">
            <w:pPr>
              <w:pStyle w:val="58"/>
              <w:bidi w:val="0"/>
              <w:rPr>
                <w:rFonts w:hint="default"/>
                <w:highlight w:val="none"/>
                <w:lang w:val="en-US" w:eastAsia="zh-CN"/>
              </w:rPr>
            </w:pPr>
            <w:r>
              <w:rPr>
                <w:rFonts w:hint="default"/>
                <w:highlight w:val="none"/>
              </w:rPr>
              <w:t>20</w:t>
            </w:r>
          </w:p>
        </w:tc>
        <w:tc>
          <w:tcPr>
            <w:tcW w:w="881" w:type="pct"/>
            <w:noWrap w:val="0"/>
            <w:vAlign w:val="center"/>
          </w:tcPr>
          <w:p w14:paraId="65F7405C">
            <w:pPr>
              <w:pStyle w:val="58"/>
              <w:bidi w:val="0"/>
              <w:rPr>
                <w:rFonts w:hint="default"/>
                <w:highlight w:val="none"/>
                <w:lang w:val="en-US" w:eastAsia="zh-CN"/>
              </w:rPr>
            </w:pPr>
            <w:r>
              <w:rPr>
                <w:rFonts w:hint="default"/>
                <w:highlight w:val="none"/>
                <w:lang w:val="en-US" w:eastAsia="zh-CN"/>
              </w:rPr>
              <w:t>镁</w:t>
            </w:r>
          </w:p>
        </w:tc>
        <w:tc>
          <w:tcPr>
            <w:tcW w:w="1704" w:type="pct"/>
            <w:noWrap w:val="0"/>
            <w:vAlign w:val="center"/>
          </w:tcPr>
          <w:p w14:paraId="1F4CA65D">
            <w:pPr>
              <w:pStyle w:val="58"/>
              <w:bidi w:val="0"/>
              <w:rPr>
                <w:rFonts w:hint="default"/>
                <w:highlight w:val="none"/>
                <w:lang w:val="en-US" w:eastAsia="zh-CN"/>
              </w:rPr>
            </w:pPr>
            <w:r>
              <w:rPr>
                <w:rFonts w:hint="default"/>
                <w:highlight w:val="none"/>
                <w:lang w:val="en-US" w:eastAsia="zh-CN"/>
              </w:rPr>
              <w:t>《水质钙和镁的测定原子吸收分光光度法》</w:t>
            </w:r>
          </w:p>
          <w:p w14:paraId="06303B89">
            <w:pPr>
              <w:pStyle w:val="58"/>
              <w:bidi w:val="0"/>
              <w:rPr>
                <w:rFonts w:hint="default"/>
                <w:highlight w:val="none"/>
                <w:lang w:val="en-US" w:eastAsia="zh-CN"/>
              </w:rPr>
            </w:pPr>
            <w:r>
              <w:rPr>
                <w:rFonts w:hint="default"/>
                <w:highlight w:val="none"/>
                <w:lang w:val="en-US" w:eastAsia="zh-CN"/>
              </w:rPr>
              <w:t>GB/T11905-1989</w:t>
            </w:r>
          </w:p>
        </w:tc>
        <w:tc>
          <w:tcPr>
            <w:tcW w:w="1375" w:type="pct"/>
            <w:noWrap w:val="0"/>
            <w:vAlign w:val="center"/>
          </w:tcPr>
          <w:p w14:paraId="77EE37C4">
            <w:pPr>
              <w:pStyle w:val="58"/>
              <w:bidi w:val="0"/>
              <w:rPr>
                <w:rFonts w:hint="default"/>
                <w:highlight w:val="none"/>
                <w:lang w:val="en-US" w:eastAsia="zh-CN"/>
              </w:rPr>
            </w:pPr>
            <w:r>
              <w:rPr>
                <w:rFonts w:hint="default"/>
                <w:highlight w:val="none"/>
                <w:lang w:val="en-US" w:eastAsia="zh-CN"/>
              </w:rPr>
              <w:t>原子吸收分光光度计TAS-990AFG(014)</w:t>
            </w:r>
          </w:p>
        </w:tc>
        <w:tc>
          <w:tcPr>
            <w:tcW w:w="625" w:type="pct"/>
            <w:noWrap w:val="0"/>
            <w:vAlign w:val="center"/>
          </w:tcPr>
          <w:p w14:paraId="75D9CD1F">
            <w:pPr>
              <w:pStyle w:val="58"/>
              <w:bidi w:val="0"/>
              <w:rPr>
                <w:rFonts w:hint="default"/>
                <w:highlight w:val="none"/>
                <w:lang w:val="en-US" w:eastAsia="zh-CN"/>
              </w:rPr>
            </w:pPr>
            <w:r>
              <w:rPr>
                <w:rFonts w:hint="default"/>
                <w:highlight w:val="none"/>
                <w:lang w:val="en-US" w:eastAsia="zh-CN"/>
              </w:rPr>
              <w:t>0.002</w:t>
            </w:r>
          </w:p>
          <w:p w14:paraId="2AA477B9">
            <w:pPr>
              <w:pStyle w:val="58"/>
              <w:bidi w:val="0"/>
              <w:rPr>
                <w:rFonts w:hint="default"/>
                <w:highlight w:val="none"/>
                <w:lang w:val="en-US" w:eastAsia="zh-CN"/>
              </w:rPr>
            </w:pPr>
            <w:r>
              <w:rPr>
                <w:rFonts w:hint="default"/>
                <w:highlight w:val="none"/>
                <w:lang w:val="en-US" w:eastAsia="zh-CN"/>
              </w:rPr>
              <w:t>mg/L①</w:t>
            </w:r>
          </w:p>
        </w:tc>
      </w:tr>
      <w:tr w14:paraId="164087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236B40DC">
            <w:pPr>
              <w:pStyle w:val="58"/>
              <w:bidi w:val="0"/>
              <w:rPr>
                <w:rFonts w:hint="default"/>
                <w:highlight w:val="none"/>
                <w:lang w:val="en-US" w:eastAsia="zh-CN"/>
              </w:rPr>
            </w:pPr>
            <w:r>
              <w:rPr>
                <w:rFonts w:hint="default"/>
                <w:highlight w:val="none"/>
              </w:rPr>
              <w:t>21</w:t>
            </w:r>
          </w:p>
        </w:tc>
        <w:tc>
          <w:tcPr>
            <w:tcW w:w="881" w:type="pct"/>
            <w:noWrap w:val="0"/>
            <w:vAlign w:val="center"/>
          </w:tcPr>
          <w:p w14:paraId="7F03F009">
            <w:pPr>
              <w:pStyle w:val="58"/>
              <w:bidi w:val="0"/>
              <w:rPr>
                <w:rFonts w:hint="default"/>
                <w:highlight w:val="none"/>
                <w:lang w:val="en-US" w:eastAsia="zh-CN"/>
              </w:rPr>
            </w:pPr>
            <w:r>
              <w:rPr>
                <w:rFonts w:hint="default"/>
                <w:highlight w:val="none"/>
                <w:lang w:val="en-US" w:eastAsia="zh-CN"/>
              </w:rPr>
              <w:t>铁</w:t>
            </w:r>
          </w:p>
        </w:tc>
        <w:tc>
          <w:tcPr>
            <w:tcW w:w="1704" w:type="pct"/>
            <w:noWrap w:val="0"/>
            <w:vAlign w:val="center"/>
          </w:tcPr>
          <w:p w14:paraId="0BF3AA82">
            <w:pPr>
              <w:pStyle w:val="58"/>
              <w:bidi w:val="0"/>
              <w:rPr>
                <w:rFonts w:hint="default"/>
                <w:highlight w:val="none"/>
                <w:lang w:val="en-US" w:eastAsia="zh-CN"/>
              </w:rPr>
            </w:pPr>
            <w:r>
              <w:rPr>
                <w:rFonts w:hint="default"/>
                <w:highlight w:val="none"/>
                <w:lang w:val="en-US" w:eastAsia="zh-CN"/>
              </w:rPr>
              <w:t>《水质铁、锰的测定火焰原子吸收分光光度法》</w:t>
            </w:r>
          </w:p>
          <w:p w14:paraId="60EA2FF6">
            <w:pPr>
              <w:pStyle w:val="58"/>
              <w:bidi w:val="0"/>
              <w:rPr>
                <w:rFonts w:hint="default"/>
                <w:highlight w:val="none"/>
                <w:lang w:val="en-US" w:eastAsia="zh-CN"/>
              </w:rPr>
            </w:pPr>
            <w:r>
              <w:rPr>
                <w:rFonts w:hint="default"/>
                <w:highlight w:val="none"/>
                <w:lang w:val="en-US" w:eastAsia="zh-CN"/>
              </w:rPr>
              <w:t>GB/T11911-1989</w:t>
            </w:r>
          </w:p>
        </w:tc>
        <w:tc>
          <w:tcPr>
            <w:tcW w:w="1375" w:type="pct"/>
            <w:noWrap w:val="0"/>
            <w:vAlign w:val="center"/>
          </w:tcPr>
          <w:p w14:paraId="4B1F0DA6">
            <w:pPr>
              <w:pStyle w:val="58"/>
              <w:bidi w:val="0"/>
              <w:rPr>
                <w:rFonts w:hint="default"/>
                <w:highlight w:val="none"/>
                <w:lang w:val="en-US" w:eastAsia="zh-CN"/>
              </w:rPr>
            </w:pPr>
            <w:r>
              <w:rPr>
                <w:rFonts w:hint="default"/>
                <w:highlight w:val="none"/>
                <w:lang w:val="en-US" w:eastAsia="zh-CN"/>
              </w:rPr>
              <w:t>原子吸收分光光度计TAS-990AFG(014)</w:t>
            </w:r>
          </w:p>
        </w:tc>
        <w:tc>
          <w:tcPr>
            <w:tcW w:w="625" w:type="pct"/>
            <w:noWrap w:val="0"/>
            <w:vAlign w:val="center"/>
          </w:tcPr>
          <w:p w14:paraId="3167511F">
            <w:pPr>
              <w:pStyle w:val="58"/>
              <w:bidi w:val="0"/>
              <w:rPr>
                <w:rFonts w:hint="default"/>
                <w:highlight w:val="none"/>
                <w:lang w:val="en-US" w:eastAsia="zh-CN"/>
              </w:rPr>
            </w:pPr>
            <w:r>
              <w:rPr>
                <w:rFonts w:hint="default"/>
                <w:highlight w:val="none"/>
                <w:lang w:val="en-US" w:eastAsia="zh-CN"/>
              </w:rPr>
              <w:t>0.03mg/L</w:t>
            </w:r>
          </w:p>
        </w:tc>
      </w:tr>
      <w:tr w14:paraId="2D43F4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7190546D">
            <w:pPr>
              <w:pStyle w:val="58"/>
              <w:bidi w:val="0"/>
              <w:rPr>
                <w:rFonts w:hint="default"/>
                <w:highlight w:val="none"/>
                <w:lang w:val="en-US" w:eastAsia="zh-CN"/>
              </w:rPr>
            </w:pPr>
            <w:r>
              <w:rPr>
                <w:rFonts w:hint="default"/>
                <w:highlight w:val="none"/>
              </w:rPr>
              <w:t>22</w:t>
            </w:r>
          </w:p>
        </w:tc>
        <w:tc>
          <w:tcPr>
            <w:tcW w:w="881" w:type="pct"/>
            <w:noWrap w:val="0"/>
            <w:vAlign w:val="center"/>
          </w:tcPr>
          <w:p w14:paraId="2200C50E">
            <w:pPr>
              <w:pStyle w:val="58"/>
              <w:bidi w:val="0"/>
              <w:rPr>
                <w:rFonts w:hint="default"/>
                <w:highlight w:val="none"/>
                <w:lang w:val="en-US" w:eastAsia="zh-CN"/>
              </w:rPr>
            </w:pPr>
            <w:r>
              <w:rPr>
                <w:rFonts w:hint="default"/>
                <w:highlight w:val="none"/>
                <w:lang w:val="en-US" w:eastAsia="zh-CN"/>
              </w:rPr>
              <w:t>锰</w:t>
            </w:r>
          </w:p>
        </w:tc>
        <w:tc>
          <w:tcPr>
            <w:tcW w:w="1704" w:type="pct"/>
            <w:noWrap w:val="0"/>
            <w:vAlign w:val="center"/>
          </w:tcPr>
          <w:p w14:paraId="55886A89">
            <w:pPr>
              <w:pStyle w:val="58"/>
              <w:bidi w:val="0"/>
              <w:rPr>
                <w:rFonts w:hint="default"/>
                <w:highlight w:val="none"/>
                <w:lang w:val="en-US" w:eastAsia="zh-CN"/>
              </w:rPr>
            </w:pPr>
            <w:r>
              <w:rPr>
                <w:rFonts w:hint="default"/>
                <w:highlight w:val="none"/>
                <w:lang w:val="en-US" w:eastAsia="zh-CN"/>
              </w:rPr>
              <w:t>《水质铁、锰的测定火焰原子吸收分光光度法》</w:t>
            </w:r>
          </w:p>
          <w:p w14:paraId="720C7FDE">
            <w:pPr>
              <w:pStyle w:val="58"/>
              <w:bidi w:val="0"/>
              <w:rPr>
                <w:rFonts w:hint="default"/>
                <w:highlight w:val="none"/>
                <w:lang w:val="en-US" w:eastAsia="zh-CN"/>
              </w:rPr>
            </w:pPr>
            <w:r>
              <w:rPr>
                <w:rFonts w:hint="default"/>
                <w:highlight w:val="none"/>
                <w:lang w:val="en-US" w:eastAsia="zh-CN"/>
              </w:rPr>
              <w:t>GB/T11911-1989</w:t>
            </w:r>
          </w:p>
        </w:tc>
        <w:tc>
          <w:tcPr>
            <w:tcW w:w="1375" w:type="pct"/>
            <w:noWrap w:val="0"/>
            <w:vAlign w:val="center"/>
          </w:tcPr>
          <w:p w14:paraId="637A3160">
            <w:pPr>
              <w:pStyle w:val="58"/>
              <w:bidi w:val="0"/>
              <w:rPr>
                <w:rFonts w:hint="default"/>
                <w:highlight w:val="none"/>
                <w:lang w:val="en-US" w:eastAsia="zh-CN"/>
              </w:rPr>
            </w:pPr>
            <w:r>
              <w:rPr>
                <w:rFonts w:hint="default"/>
                <w:highlight w:val="none"/>
                <w:lang w:val="en-US" w:eastAsia="zh-CN"/>
              </w:rPr>
              <w:t>原子吸收分光光度计TAS-990AFG(014)</w:t>
            </w:r>
          </w:p>
        </w:tc>
        <w:tc>
          <w:tcPr>
            <w:tcW w:w="625" w:type="pct"/>
            <w:noWrap w:val="0"/>
            <w:vAlign w:val="center"/>
          </w:tcPr>
          <w:p w14:paraId="47EB44FD">
            <w:pPr>
              <w:pStyle w:val="58"/>
              <w:bidi w:val="0"/>
              <w:rPr>
                <w:rFonts w:hint="default"/>
                <w:highlight w:val="none"/>
                <w:lang w:val="en-US" w:eastAsia="zh-CN"/>
              </w:rPr>
            </w:pPr>
            <w:r>
              <w:rPr>
                <w:rFonts w:hint="default"/>
                <w:highlight w:val="none"/>
                <w:lang w:val="en-US" w:eastAsia="zh-CN"/>
              </w:rPr>
              <w:t>0.01mg/L</w:t>
            </w:r>
          </w:p>
        </w:tc>
      </w:tr>
      <w:tr w14:paraId="4621E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0D668CF5">
            <w:pPr>
              <w:pStyle w:val="58"/>
              <w:bidi w:val="0"/>
              <w:rPr>
                <w:rFonts w:hint="default"/>
                <w:highlight w:val="none"/>
                <w:lang w:val="en-US" w:eastAsia="zh-CN"/>
              </w:rPr>
            </w:pPr>
            <w:r>
              <w:rPr>
                <w:rFonts w:hint="default"/>
                <w:highlight w:val="none"/>
              </w:rPr>
              <w:t>23</w:t>
            </w:r>
          </w:p>
        </w:tc>
        <w:tc>
          <w:tcPr>
            <w:tcW w:w="881" w:type="pct"/>
            <w:noWrap w:val="0"/>
            <w:vAlign w:val="center"/>
          </w:tcPr>
          <w:p w14:paraId="51CA87C4">
            <w:pPr>
              <w:pStyle w:val="58"/>
              <w:bidi w:val="0"/>
              <w:rPr>
                <w:rFonts w:hint="default"/>
                <w:highlight w:val="none"/>
                <w:lang w:val="en-US" w:eastAsia="zh-CN"/>
              </w:rPr>
            </w:pPr>
            <w:r>
              <w:rPr>
                <w:rFonts w:hint="default"/>
                <w:highlight w:val="none"/>
                <w:lang w:val="en-US" w:eastAsia="zh-CN"/>
              </w:rPr>
              <w:t>铅</w:t>
            </w:r>
          </w:p>
        </w:tc>
        <w:tc>
          <w:tcPr>
            <w:tcW w:w="1704" w:type="pct"/>
            <w:noWrap w:val="0"/>
            <w:vAlign w:val="center"/>
          </w:tcPr>
          <w:p w14:paraId="66D64BF9">
            <w:pPr>
              <w:pStyle w:val="58"/>
              <w:bidi w:val="0"/>
              <w:rPr>
                <w:rFonts w:hint="default"/>
                <w:highlight w:val="none"/>
                <w:lang w:val="en-US" w:eastAsia="zh-CN"/>
              </w:rPr>
            </w:pPr>
            <w:r>
              <w:rPr>
                <w:rFonts w:hint="default"/>
                <w:highlight w:val="none"/>
                <w:lang w:val="en-US" w:eastAsia="zh-CN"/>
              </w:rPr>
              <w:t>《水质铜、锌、铅、镉的测定原子吸收分光光度法》GB/T7475-1987</w:t>
            </w:r>
          </w:p>
        </w:tc>
        <w:tc>
          <w:tcPr>
            <w:tcW w:w="1375" w:type="pct"/>
            <w:noWrap w:val="0"/>
            <w:vAlign w:val="center"/>
          </w:tcPr>
          <w:p w14:paraId="70C16ACB">
            <w:pPr>
              <w:pStyle w:val="58"/>
              <w:bidi w:val="0"/>
              <w:rPr>
                <w:rFonts w:hint="default"/>
                <w:highlight w:val="none"/>
                <w:lang w:val="en-US" w:eastAsia="zh-CN"/>
              </w:rPr>
            </w:pPr>
            <w:r>
              <w:rPr>
                <w:rFonts w:hint="default"/>
                <w:highlight w:val="none"/>
                <w:lang w:val="en-US" w:eastAsia="zh-CN"/>
              </w:rPr>
              <w:t>原子吸收分光光度计TAS-990AFG(014)</w:t>
            </w:r>
          </w:p>
        </w:tc>
        <w:tc>
          <w:tcPr>
            <w:tcW w:w="625" w:type="pct"/>
            <w:noWrap w:val="0"/>
            <w:vAlign w:val="center"/>
          </w:tcPr>
          <w:p w14:paraId="3673E905">
            <w:pPr>
              <w:pStyle w:val="58"/>
              <w:bidi w:val="0"/>
              <w:rPr>
                <w:rFonts w:hint="default"/>
                <w:highlight w:val="none"/>
                <w:lang w:val="en-US" w:eastAsia="zh-CN"/>
              </w:rPr>
            </w:pPr>
            <w:r>
              <w:rPr>
                <w:rFonts w:hint="default"/>
                <w:highlight w:val="none"/>
                <w:lang w:val="en-US" w:eastAsia="zh-CN"/>
              </w:rPr>
              <w:t>-</w:t>
            </w:r>
          </w:p>
        </w:tc>
      </w:tr>
      <w:tr w14:paraId="2B5F6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09C215C2">
            <w:pPr>
              <w:pStyle w:val="58"/>
              <w:bidi w:val="0"/>
              <w:rPr>
                <w:rFonts w:hint="default"/>
                <w:highlight w:val="none"/>
                <w:lang w:val="en-US" w:eastAsia="zh-CN"/>
              </w:rPr>
            </w:pPr>
            <w:r>
              <w:rPr>
                <w:rFonts w:hint="default"/>
                <w:highlight w:val="none"/>
              </w:rPr>
              <w:t>24</w:t>
            </w:r>
          </w:p>
        </w:tc>
        <w:tc>
          <w:tcPr>
            <w:tcW w:w="881" w:type="pct"/>
            <w:noWrap w:val="0"/>
            <w:vAlign w:val="center"/>
          </w:tcPr>
          <w:p w14:paraId="41F71037">
            <w:pPr>
              <w:pStyle w:val="58"/>
              <w:bidi w:val="0"/>
              <w:rPr>
                <w:rFonts w:hint="default"/>
                <w:highlight w:val="none"/>
                <w:lang w:val="en-US" w:eastAsia="zh-CN"/>
              </w:rPr>
            </w:pPr>
            <w:r>
              <w:rPr>
                <w:rFonts w:hint="default"/>
                <w:highlight w:val="none"/>
                <w:lang w:val="en-US" w:eastAsia="zh-CN"/>
              </w:rPr>
              <w:t>镉</w:t>
            </w:r>
          </w:p>
        </w:tc>
        <w:tc>
          <w:tcPr>
            <w:tcW w:w="1704" w:type="pct"/>
            <w:noWrap w:val="0"/>
            <w:vAlign w:val="center"/>
          </w:tcPr>
          <w:p w14:paraId="657F843F">
            <w:pPr>
              <w:pStyle w:val="58"/>
              <w:bidi w:val="0"/>
              <w:rPr>
                <w:rFonts w:hint="default"/>
                <w:highlight w:val="none"/>
                <w:lang w:val="en-US" w:eastAsia="zh-CN"/>
              </w:rPr>
            </w:pPr>
            <w:r>
              <w:rPr>
                <w:rFonts w:hint="default"/>
                <w:highlight w:val="none"/>
                <w:lang w:val="en-US" w:eastAsia="zh-CN"/>
              </w:rPr>
              <w:t>《水质铜、锌、铅、镉的测定原子吸收分光光度法》GB/T7475-1987</w:t>
            </w:r>
          </w:p>
        </w:tc>
        <w:tc>
          <w:tcPr>
            <w:tcW w:w="1375" w:type="pct"/>
            <w:noWrap w:val="0"/>
            <w:vAlign w:val="center"/>
          </w:tcPr>
          <w:p w14:paraId="4ACF6F75">
            <w:pPr>
              <w:pStyle w:val="58"/>
              <w:bidi w:val="0"/>
              <w:rPr>
                <w:rFonts w:hint="default"/>
                <w:highlight w:val="none"/>
                <w:lang w:val="en-US" w:eastAsia="zh-CN"/>
              </w:rPr>
            </w:pPr>
            <w:r>
              <w:rPr>
                <w:rFonts w:hint="default"/>
                <w:highlight w:val="none"/>
                <w:lang w:val="en-US" w:eastAsia="zh-CN"/>
              </w:rPr>
              <w:t>原子吸收分光光度计TAS-990AFG(014)</w:t>
            </w:r>
          </w:p>
        </w:tc>
        <w:tc>
          <w:tcPr>
            <w:tcW w:w="625" w:type="pct"/>
            <w:noWrap w:val="0"/>
            <w:vAlign w:val="center"/>
          </w:tcPr>
          <w:p w14:paraId="0D93F1F2">
            <w:pPr>
              <w:pStyle w:val="58"/>
              <w:bidi w:val="0"/>
              <w:rPr>
                <w:rFonts w:hint="default"/>
                <w:highlight w:val="none"/>
                <w:lang w:val="en-US" w:eastAsia="zh-CN"/>
              </w:rPr>
            </w:pPr>
            <w:r>
              <w:rPr>
                <w:rFonts w:hint="default"/>
                <w:highlight w:val="none"/>
                <w:lang w:val="en-US" w:eastAsia="zh-CN"/>
              </w:rPr>
              <w:t>-</w:t>
            </w:r>
          </w:p>
        </w:tc>
      </w:tr>
      <w:tr w14:paraId="1F713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0727F5A4">
            <w:pPr>
              <w:pStyle w:val="58"/>
              <w:bidi w:val="0"/>
              <w:rPr>
                <w:rFonts w:hint="default"/>
                <w:highlight w:val="none"/>
                <w:lang w:val="en-US" w:eastAsia="zh-CN"/>
              </w:rPr>
            </w:pPr>
            <w:r>
              <w:rPr>
                <w:rFonts w:hint="default"/>
                <w:highlight w:val="none"/>
              </w:rPr>
              <w:t>25</w:t>
            </w:r>
          </w:p>
        </w:tc>
        <w:tc>
          <w:tcPr>
            <w:tcW w:w="881" w:type="pct"/>
            <w:noWrap w:val="0"/>
            <w:vAlign w:val="center"/>
          </w:tcPr>
          <w:p w14:paraId="4436F94E">
            <w:pPr>
              <w:pStyle w:val="58"/>
              <w:bidi w:val="0"/>
              <w:rPr>
                <w:rFonts w:hint="default"/>
                <w:highlight w:val="none"/>
                <w:lang w:val="en-US" w:eastAsia="zh-CN"/>
              </w:rPr>
            </w:pPr>
            <w:r>
              <w:rPr>
                <w:rFonts w:hint="default"/>
                <w:highlight w:val="none"/>
                <w:lang w:val="en-US" w:eastAsia="zh-CN"/>
              </w:rPr>
              <w:t>总大肠菌群（15管法）</w:t>
            </w:r>
          </w:p>
        </w:tc>
        <w:tc>
          <w:tcPr>
            <w:tcW w:w="1704" w:type="pct"/>
            <w:noWrap w:val="0"/>
            <w:vAlign w:val="center"/>
          </w:tcPr>
          <w:p w14:paraId="3F7E41A6">
            <w:pPr>
              <w:pStyle w:val="58"/>
              <w:bidi w:val="0"/>
              <w:rPr>
                <w:rFonts w:hint="default"/>
                <w:highlight w:val="none"/>
                <w:lang w:val="en-US" w:eastAsia="zh-CN"/>
              </w:rPr>
            </w:pPr>
            <w:r>
              <w:rPr>
                <w:rFonts w:hint="default"/>
                <w:highlight w:val="none"/>
                <w:lang w:val="en-US" w:eastAsia="zh-CN"/>
              </w:rPr>
              <w:t>《生活饮用水标准检验方法第12部分：微生物指标》GB/T5750.12-20235.1多管发酵法</w:t>
            </w:r>
          </w:p>
        </w:tc>
        <w:tc>
          <w:tcPr>
            <w:tcW w:w="1375" w:type="pct"/>
            <w:noWrap w:val="0"/>
            <w:vAlign w:val="center"/>
          </w:tcPr>
          <w:p w14:paraId="5009D6F3">
            <w:pPr>
              <w:pStyle w:val="58"/>
              <w:bidi w:val="0"/>
              <w:rPr>
                <w:rFonts w:hint="default"/>
                <w:highlight w:val="none"/>
                <w:lang w:val="en-US" w:eastAsia="zh-CN"/>
              </w:rPr>
            </w:pPr>
            <w:r>
              <w:rPr>
                <w:rFonts w:hint="default"/>
                <w:highlight w:val="none"/>
                <w:lang w:val="en-US" w:eastAsia="zh-CN"/>
              </w:rPr>
              <w:t>生化培养箱</w:t>
            </w:r>
          </w:p>
          <w:p w14:paraId="225D5646">
            <w:pPr>
              <w:pStyle w:val="58"/>
              <w:bidi w:val="0"/>
              <w:rPr>
                <w:rFonts w:hint="default"/>
                <w:highlight w:val="none"/>
                <w:lang w:val="en-US" w:eastAsia="zh-CN"/>
              </w:rPr>
            </w:pPr>
            <w:r>
              <w:rPr>
                <w:rFonts w:hint="default"/>
                <w:highlight w:val="none"/>
                <w:lang w:val="en-US" w:eastAsia="zh-CN"/>
              </w:rPr>
              <w:t>SPX-150BⅢ(004)、</w:t>
            </w:r>
          </w:p>
          <w:p w14:paraId="21FAD84B">
            <w:pPr>
              <w:pStyle w:val="58"/>
              <w:bidi w:val="0"/>
              <w:rPr>
                <w:rFonts w:hint="default"/>
                <w:highlight w:val="none"/>
                <w:lang w:val="en-US" w:eastAsia="zh-CN"/>
              </w:rPr>
            </w:pPr>
            <w:r>
              <w:rPr>
                <w:rFonts w:hint="default"/>
                <w:highlight w:val="none"/>
                <w:lang w:val="en-US" w:eastAsia="zh-CN"/>
              </w:rPr>
              <w:t>立式压力蒸汽灭菌锅LS-100LD(180)</w:t>
            </w:r>
          </w:p>
        </w:tc>
        <w:tc>
          <w:tcPr>
            <w:tcW w:w="625" w:type="pct"/>
            <w:noWrap w:val="0"/>
            <w:vAlign w:val="center"/>
          </w:tcPr>
          <w:p w14:paraId="63A95F50">
            <w:pPr>
              <w:pStyle w:val="58"/>
              <w:bidi w:val="0"/>
              <w:rPr>
                <w:rFonts w:hint="default"/>
                <w:highlight w:val="none"/>
                <w:lang w:val="en-US" w:eastAsia="zh-CN"/>
              </w:rPr>
            </w:pPr>
            <w:r>
              <w:rPr>
                <w:rFonts w:hint="default"/>
                <w:highlight w:val="none"/>
                <w:lang w:val="en-US" w:eastAsia="zh-CN"/>
              </w:rPr>
              <w:t>-</w:t>
            </w:r>
          </w:p>
        </w:tc>
      </w:tr>
      <w:tr w14:paraId="45DC7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766D24A4">
            <w:pPr>
              <w:pStyle w:val="58"/>
              <w:bidi w:val="0"/>
              <w:rPr>
                <w:rFonts w:hint="default"/>
                <w:highlight w:val="none"/>
                <w:lang w:val="en-US" w:eastAsia="zh-CN"/>
              </w:rPr>
            </w:pPr>
            <w:r>
              <w:rPr>
                <w:rFonts w:hint="default"/>
                <w:highlight w:val="none"/>
              </w:rPr>
              <w:t>26</w:t>
            </w:r>
          </w:p>
        </w:tc>
        <w:tc>
          <w:tcPr>
            <w:tcW w:w="881" w:type="pct"/>
            <w:noWrap w:val="0"/>
            <w:vAlign w:val="center"/>
          </w:tcPr>
          <w:p w14:paraId="67670EAC">
            <w:pPr>
              <w:pStyle w:val="58"/>
              <w:bidi w:val="0"/>
              <w:rPr>
                <w:rFonts w:hint="default"/>
                <w:highlight w:val="none"/>
                <w:lang w:val="en-US" w:eastAsia="zh-CN"/>
              </w:rPr>
            </w:pPr>
            <w:r>
              <w:rPr>
                <w:rFonts w:hint="default"/>
                <w:highlight w:val="none"/>
                <w:lang w:val="en-US" w:eastAsia="zh-CN"/>
              </w:rPr>
              <w:t>菌落总数</w:t>
            </w:r>
          </w:p>
        </w:tc>
        <w:tc>
          <w:tcPr>
            <w:tcW w:w="1704" w:type="pct"/>
            <w:noWrap w:val="0"/>
            <w:vAlign w:val="center"/>
          </w:tcPr>
          <w:p w14:paraId="22B0001A">
            <w:pPr>
              <w:pStyle w:val="58"/>
              <w:bidi w:val="0"/>
              <w:rPr>
                <w:rFonts w:hint="default"/>
                <w:highlight w:val="none"/>
                <w:lang w:val="en-US" w:eastAsia="zh-CN"/>
              </w:rPr>
            </w:pPr>
            <w:r>
              <w:rPr>
                <w:rFonts w:hint="default"/>
                <w:highlight w:val="none"/>
                <w:lang w:val="en-US" w:eastAsia="zh-CN"/>
              </w:rPr>
              <w:t>《水质细菌总数的测定平皿计数法》HJ1000-2018</w:t>
            </w:r>
          </w:p>
        </w:tc>
        <w:tc>
          <w:tcPr>
            <w:tcW w:w="1375" w:type="pct"/>
            <w:noWrap w:val="0"/>
            <w:vAlign w:val="center"/>
          </w:tcPr>
          <w:p w14:paraId="1D63E885">
            <w:pPr>
              <w:pStyle w:val="58"/>
              <w:bidi w:val="0"/>
              <w:rPr>
                <w:rFonts w:hint="default"/>
                <w:highlight w:val="none"/>
                <w:lang w:val="en-US" w:eastAsia="zh-CN"/>
              </w:rPr>
            </w:pPr>
            <w:r>
              <w:rPr>
                <w:rFonts w:hint="default"/>
                <w:highlight w:val="none"/>
                <w:lang w:val="en-US" w:eastAsia="zh-CN"/>
              </w:rPr>
              <w:t>生化培养箱</w:t>
            </w:r>
          </w:p>
          <w:p w14:paraId="637AC99C">
            <w:pPr>
              <w:pStyle w:val="58"/>
              <w:bidi w:val="0"/>
              <w:rPr>
                <w:rFonts w:hint="default"/>
                <w:highlight w:val="none"/>
                <w:lang w:val="en-US" w:eastAsia="zh-CN"/>
              </w:rPr>
            </w:pPr>
            <w:r>
              <w:rPr>
                <w:rFonts w:hint="default"/>
                <w:highlight w:val="none"/>
                <w:lang w:val="en-US" w:eastAsia="zh-CN"/>
              </w:rPr>
              <w:t>SPX-150BⅢ(004)、</w:t>
            </w:r>
          </w:p>
          <w:p w14:paraId="11BB6D72">
            <w:pPr>
              <w:pStyle w:val="58"/>
              <w:bidi w:val="0"/>
              <w:rPr>
                <w:rFonts w:hint="default"/>
                <w:highlight w:val="none"/>
                <w:lang w:val="en-US" w:eastAsia="zh-CN"/>
              </w:rPr>
            </w:pPr>
            <w:r>
              <w:rPr>
                <w:rFonts w:hint="default"/>
                <w:highlight w:val="none"/>
                <w:lang w:val="en-US" w:eastAsia="zh-CN"/>
              </w:rPr>
              <w:t>立式压力蒸汽灭菌锅LS-100LD(180)</w:t>
            </w:r>
          </w:p>
        </w:tc>
        <w:tc>
          <w:tcPr>
            <w:tcW w:w="625" w:type="pct"/>
            <w:noWrap w:val="0"/>
            <w:vAlign w:val="center"/>
          </w:tcPr>
          <w:p w14:paraId="4B891F5E">
            <w:pPr>
              <w:pStyle w:val="58"/>
              <w:bidi w:val="0"/>
              <w:rPr>
                <w:rFonts w:hint="default"/>
                <w:highlight w:val="none"/>
                <w:lang w:val="en-US" w:eastAsia="zh-CN"/>
              </w:rPr>
            </w:pPr>
            <w:r>
              <w:rPr>
                <w:rFonts w:hint="default"/>
                <w:highlight w:val="none"/>
                <w:lang w:val="en-US" w:eastAsia="zh-CN"/>
              </w:rPr>
              <w:t>-</w:t>
            </w:r>
          </w:p>
        </w:tc>
      </w:tr>
      <w:tr w14:paraId="0AACE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13" w:type="pct"/>
            <w:noWrap w:val="0"/>
            <w:vAlign w:val="center"/>
          </w:tcPr>
          <w:p w14:paraId="53C02C97">
            <w:pPr>
              <w:pStyle w:val="58"/>
              <w:bidi w:val="0"/>
              <w:rPr>
                <w:rFonts w:hint="default"/>
                <w:highlight w:val="none"/>
                <w:lang w:val="en-US" w:eastAsia="zh-CN"/>
              </w:rPr>
            </w:pPr>
            <w:r>
              <w:rPr>
                <w:rFonts w:hint="default"/>
                <w:highlight w:val="none"/>
              </w:rPr>
              <w:t>27</w:t>
            </w:r>
          </w:p>
        </w:tc>
        <w:tc>
          <w:tcPr>
            <w:tcW w:w="881" w:type="pct"/>
            <w:noWrap w:val="0"/>
            <w:vAlign w:val="center"/>
          </w:tcPr>
          <w:p w14:paraId="54AD8E80">
            <w:pPr>
              <w:pStyle w:val="58"/>
              <w:bidi w:val="0"/>
              <w:rPr>
                <w:rFonts w:hint="default"/>
                <w:highlight w:val="none"/>
                <w:lang w:val="en-US" w:eastAsia="zh-CN"/>
              </w:rPr>
            </w:pPr>
            <w:r>
              <w:rPr>
                <w:rFonts w:hint="default"/>
                <w:highlight w:val="none"/>
                <w:lang w:val="en-US" w:eastAsia="zh-CN"/>
              </w:rPr>
              <w:t>石油类</w:t>
            </w:r>
          </w:p>
        </w:tc>
        <w:tc>
          <w:tcPr>
            <w:tcW w:w="1704" w:type="pct"/>
            <w:noWrap w:val="0"/>
            <w:vAlign w:val="center"/>
          </w:tcPr>
          <w:p w14:paraId="6A0D1B35">
            <w:pPr>
              <w:pStyle w:val="58"/>
              <w:bidi w:val="0"/>
              <w:rPr>
                <w:rFonts w:hint="default"/>
                <w:highlight w:val="none"/>
                <w:lang w:val="en-US" w:eastAsia="zh-CN"/>
              </w:rPr>
            </w:pPr>
            <w:r>
              <w:rPr>
                <w:rFonts w:hint="default"/>
                <w:highlight w:val="none"/>
                <w:lang w:val="en-US" w:eastAsia="zh-CN"/>
              </w:rPr>
              <w:t>《水质石油类的测定紫外分光光度法（试行）》HJ970-2018</w:t>
            </w:r>
          </w:p>
        </w:tc>
        <w:tc>
          <w:tcPr>
            <w:tcW w:w="1375" w:type="pct"/>
            <w:noWrap w:val="0"/>
            <w:vAlign w:val="center"/>
          </w:tcPr>
          <w:p w14:paraId="2CFAB511">
            <w:pPr>
              <w:pStyle w:val="58"/>
              <w:bidi w:val="0"/>
              <w:rPr>
                <w:rFonts w:hint="default"/>
                <w:highlight w:val="none"/>
                <w:lang w:val="en-US" w:eastAsia="zh-CN"/>
              </w:rPr>
            </w:pPr>
            <w:r>
              <w:rPr>
                <w:rFonts w:hint="default"/>
                <w:highlight w:val="none"/>
                <w:lang w:val="en-US" w:eastAsia="zh-CN"/>
              </w:rPr>
              <w:t>紫外可见分光光度计UV756(018)</w:t>
            </w:r>
          </w:p>
        </w:tc>
        <w:tc>
          <w:tcPr>
            <w:tcW w:w="625" w:type="pct"/>
            <w:noWrap w:val="0"/>
            <w:vAlign w:val="center"/>
          </w:tcPr>
          <w:p w14:paraId="4107CB35">
            <w:pPr>
              <w:pStyle w:val="58"/>
              <w:bidi w:val="0"/>
              <w:rPr>
                <w:rFonts w:hint="default"/>
                <w:highlight w:val="none"/>
                <w:lang w:val="en-US" w:eastAsia="zh-CN"/>
              </w:rPr>
            </w:pPr>
            <w:r>
              <w:rPr>
                <w:rFonts w:hint="default"/>
                <w:highlight w:val="none"/>
                <w:lang w:val="en-US" w:eastAsia="zh-CN"/>
              </w:rPr>
              <w:t>0.01mg/L</w:t>
            </w:r>
          </w:p>
        </w:tc>
      </w:tr>
      <w:tr w14:paraId="7BAD1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294" w:type="pct"/>
            <w:gridSpan w:val="2"/>
            <w:noWrap w:val="0"/>
            <w:vAlign w:val="center"/>
          </w:tcPr>
          <w:p w14:paraId="7C03C98F">
            <w:pPr>
              <w:pStyle w:val="58"/>
              <w:bidi w:val="0"/>
              <w:rPr>
                <w:rFonts w:hint="default"/>
                <w:highlight w:val="none"/>
                <w:lang w:val="en-US" w:eastAsia="zh-CN"/>
              </w:rPr>
            </w:pPr>
            <w:r>
              <w:rPr>
                <w:rFonts w:hint="default"/>
                <w:highlight w:val="none"/>
                <w:lang w:val="en-US" w:eastAsia="zh-CN"/>
              </w:rPr>
              <w:t>备注</w:t>
            </w:r>
          </w:p>
        </w:tc>
        <w:tc>
          <w:tcPr>
            <w:tcW w:w="3705" w:type="pct"/>
            <w:gridSpan w:val="3"/>
            <w:noWrap w:val="0"/>
            <w:vAlign w:val="center"/>
          </w:tcPr>
          <w:p w14:paraId="24502871">
            <w:pPr>
              <w:pStyle w:val="58"/>
              <w:bidi w:val="0"/>
              <w:rPr>
                <w:rFonts w:hint="default"/>
                <w:highlight w:val="none"/>
                <w:lang w:val="en-US" w:eastAsia="zh-CN"/>
              </w:rPr>
            </w:pPr>
            <w:r>
              <w:rPr>
                <w:rFonts w:hint="default"/>
                <w:highlight w:val="none"/>
                <w:lang w:val="en-US" w:eastAsia="zh-CN"/>
              </w:rPr>
              <w:t>①为最低检测质量浓度或最低检出浓度</w:t>
            </w:r>
          </w:p>
        </w:tc>
      </w:tr>
    </w:tbl>
    <w:p w14:paraId="5ECDAD2A">
      <w:pPr>
        <w:bidi w:val="0"/>
        <w:rPr>
          <w:rFonts w:hint="default"/>
          <w:highlight w:val="none"/>
          <w:lang w:val="en-US" w:eastAsia="zh-CN"/>
        </w:rPr>
      </w:pPr>
      <w:r>
        <w:rPr>
          <w:rFonts w:hint="default"/>
          <w:highlight w:val="none"/>
          <w:lang w:val="en-US" w:eastAsia="zh-CN"/>
        </w:rPr>
        <w:t>3、监测及评价结果</w:t>
      </w:r>
    </w:p>
    <w:p w14:paraId="19B333FD">
      <w:pPr>
        <w:bidi w:val="0"/>
        <w:rPr>
          <w:rFonts w:hint="default"/>
          <w:highlight w:val="none"/>
        </w:rPr>
      </w:pPr>
      <w:r>
        <w:rPr>
          <w:rFonts w:hint="default"/>
          <w:highlight w:val="none"/>
        </w:rPr>
        <w:t>⑴地下水质量现状监测结果</w:t>
      </w:r>
    </w:p>
    <w:p w14:paraId="3757CB07">
      <w:pPr>
        <w:bidi w:val="0"/>
        <w:rPr>
          <w:rFonts w:hint="default"/>
          <w:highlight w:val="none"/>
          <w:lang w:val="en-US" w:eastAsia="zh-CN"/>
        </w:rPr>
        <w:sectPr>
          <w:pgSz w:w="11906" w:h="16838"/>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r>
        <w:rPr>
          <w:rFonts w:hint="default"/>
          <w:highlight w:val="none"/>
          <w:lang w:val="en-US" w:eastAsia="zh-CN"/>
        </w:rPr>
        <w:t>地下水水质监测结果见表4.3-8，评价结果见表4.3-9</w:t>
      </w:r>
    </w:p>
    <w:p w14:paraId="4692E513">
      <w:pPr>
        <w:keepNext w:val="0"/>
        <w:keepLines w:val="0"/>
        <w:pageBreakBefore w:val="0"/>
        <w:widowControl w:val="0"/>
        <w:numPr>
          <w:ilvl w:val="0"/>
          <w:numId w:val="30"/>
        </w:numPr>
        <w:kinsoku/>
        <w:wordWrap/>
        <w:overflowPunct/>
        <w:topLinePunct w:val="0"/>
        <w:autoSpaceDE w:val="0"/>
        <w:autoSpaceDN w:val="0"/>
        <w:bidi w:val="0"/>
        <w:adjustRightInd w:val="0"/>
        <w:snapToGrid/>
        <w:spacing w:line="500" w:lineRule="exact"/>
        <w:ind w:left="425" w:leftChars="0" w:hanging="425" w:firstLineChars="0"/>
        <w:jc w:val="center"/>
        <w:textAlignment w:val="auto"/>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pPr>
      <w:r>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t>地下水水质监测结果</w:t>
      </w:r>
    </w:p>
    <w:tbl>
      <w:tblPr>
        <w:tblStyle w:val="47"/>
        <w:tblW w:w="4991"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409"/>
        <w:gridCol w:w="1357"/>
        <w:gridCol w:w="901"/>
        <w:gridCol w:w="1035"/>
        <w:gridCol w:w="1049"/>
        <w:gridCol w:w="1049"/>
        <w:gridCol w:w="1049"/>
        <w:gridCol w:w="1049"/>
        <w:gridCol w:w="1049"/>
        <w:gridCol w:w="1049"/>
        <w:gridCol w:w="1049"/>
        <w:gridCol w:w="1049"/>
        <w:gridCol w:w="1049"/>
        <w:gridCol w:w="1054"/>
      </w:tblGrid>
      <w:tr w14:paraId="3FCB191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949" w:hRule="atLeast"/>
          <w:jc w:val="center"/>
        </w:trPr>
        <w:tc>
          <w:tcPr>
            <w:tcW w:w="144" w:type="pct"/>
            <w:vMerge w:val="restart"/>
            <w:tcBorders>
              <w:tl2br w:val="nil"/>
              <w:tr2bl w:val="nil"/>
            </w:tcBorders>
            <w:shd w:val="clear" w:color="auto" w:fill="auto"/>
            <w:vAlign w:val="center"/>
          </w:tcPr>
          <w:p w14:paraId="6C6251A9">
            <w:pPr>
              <w:pStyle w:val="58"/>
              <w:bidi w:val="0"/>
              <w:rPr>
                <w:rFonts w:hint="default"/>
                <w:highlight w:val="none"/>
                <w:lang w:val="en-US" w:eastAsia="zh-CN"/>
              </w:rPr>
            </w:pPr>
            <w:bookmarkStart w:id="257" w:name="OLE_LINK78" w:colFirst="4" w:colLast="10"/>
            <w:bookmarkStart w:id="258" w:name="OLE_LINK8"/>
            <w:r>
              <w:rPr>
                <w:rFonts w:hint="default"/>
                <w:highlight w:val="none"/>
                <w:lang w:val="en-US" w:eastAsia="zh-CN"/>
              </w:rPr>
              <w:t>序号</w:t>
            </w:r>
          </w:p>
        </w:tc>
        <w:tc>
          <w:tcPr>
            <w:tcW w:w="477" w:type="pct"/>
            <w:vMerge w:val="restart"/>
            <w:tcBorders>
              <w:tl2br w:val="nil"/>
              <w:tr2bl w:val="nil"/>
            </w:tcBorders>
            <w:shd w:val="clear" w:color="auto" w:fill="auto"/>
            <w:vAlign w:val="center"/>
          </w:tcPr>
          <w:p w14:paraId="364805F9">
            <w:pPr>
              <w:pStyle w:val="58"/>
              <w:bidi w:val="0"/>
              <w:rPr>
                <w:rFonts w:hint="default"/>
                <w:highlight w:val="none"/>
                <w:lang w:val="en-US" w:eastAsia="zh-CN"/>
              </w:rPr>
            </w:pPr>
            <w:r>
              <w:rPr>
                <w:rFonts w:hint="default"/>
                <w:highlight w:val="none"/>
                <w:lang w:val="en-US" w:eastAsia="zh-CN"/>
              </w:rPr>
              <w:t>检测项目</w:t>
            </w:r>
          </w:p>
        </w:tc>
        <w:tc>
          <w:tcPr>
            <w:tcW w:w="317" w:type="pct"/>
            <w:vMerge w:val="restart"/>
            <w:tcBorders>
              <w:tl2br w:val="nil"/>
              <w:tr2bl w:val="nil"/>
            </w:tcBorders>
            <w:shd w:val="clear" w:color="auto" w:fill="auto"/>
            <w:vAlign w:val="center"/>
          </w:tcPr>
          <w:p w14:paraId="12F89AA1">
            <w:pPr>
              <w:pStyle w:val="58"/>
              <w:bidi w:val="0"/>
              <w:rPr>
                <w:rFonts w:hint="default"/>
                <w:highlight w:val="none"/>
                <w:lang w:val="en-US" w:eastAsia="zh-CN"/>
              </w:rPr>
            </w:pPr>
            <w:r>
              <w:rPr>
                <w:rFonts w:hint="default"/>
                <w:highlight w:val="none"/>
                <w:lang w:val="en-US" w:eastAsia="zh-CN"/>
              </w:rPr>
              <w:t>单位</w:t>
            </w:r>
          </w:p>
        </w:tc>
        <w:tc>
          <w:tcPr>
            <w:tcW w:w="364" w:type="pct"/>
            <w:vMerge w:val="restart"/>
            <w:tcBorders>
              <w:tl2br w:val="nil"/>
              <w:tr2bl w:val="nil"/>
            </w:tcBorders>
            <w:shd w:val="clear" w:color="auto" w:fill="auto"/>
            <w:vAlign w:val="center"/>
          </w:tcPr>
          <w:p w14:paraId="035AA58F">
            <w:pPr>
              <w:pStyle w:val="58"/>
              <w:bidi w:val="0"/>
              <w:rPr>
                <w:rFonts w:hint="default"/>
                <w:highlight w:val="none"/>
                <w:lang w:val="en-US" w:eastAsia="zh-CN"/>
              </w:rPr>
            </w:pPr>
            <w:r>
              <w:rPr>
                <w:rFonts w:hint="default"/>
                <w:highlight w:val="none"/>
                <w:lang w:val="en-US" w:eastAsia="zh-CN"/>
              </w:rPr>
              <w:t>标准值</w:t>
            </w:r>
          </w:p>
        </w:tc>
        <w:tc>
          <w:tcPr>
            <w:tcW w:w="2586" w:type="pct"/>
            <w:gridSpan w:val="7"/>
            <w:tcBorders>
              <w:tl2br w:val="nil"/>
              <w:tr2bl w:val="nil"/>
            </w:tcBorders>
            <w:shd w:val="clear" w:color="auto" w:fill="auto"/>
            <w:vAlign w:val="center"/>
          </w:tcPr>
          <w:p w14:paraId="116876EB">
            <w:pPr>
              <w:pStyle w:val="58"/>
              <w:bidi w:val="0"/>
              <w:rPr>
                <w:rFonts w:hint="default"/>
                <w:highlight w:val="none"/>
                <w:lang w:val="en-US" w:eastAsia="zh-CN"/>
              </w:rPr>
            </w:pPr>
            <w:r>
              <w:rPr>
                <w:rFonts w:hint="eastAsia"/>
                <w:highlight w:val="none"/>
                <w:lang w:val="en-US" w:eastAsia="zh-CN"/>
              </w:rPr>
              <w:t>潜水井</w:t>
            </w:r>
          </w:p>
        </w:tc>
        <w:tc>
          <w:tcPr>
            <w:tcW w:w="1110" w:type="pct"/>
            <w:gridSpan w:val="3"/>
            <w:tcBorders>
              <w:tl2br w:val="nil"/>
              <w:tr2bl w:val="nil"/>
            </w:tcBorders>
            <w:shd w:val="clear" w:color="auto" w:fill="auto"/>
            <w:vAlign w:val="center"/>
          </w:tcPr>
          <w:p w14:paraId="4D4E9CBE">
            <w:pPr>
              <w:pStyle w:val="58"/>
              <w:bidi w:val="0"/>
              <w:rPr>
                <w:rFonts w:hint="default"/>
                <w:highlight w:val="none"/>
                <w:lang w:val="en-US" w:eastAsia="zh-CN"/>
              </w:rPr>
            </w:pPr>
            <w:r>
              <w:rPr>
                <w:rFonts w:hint="default"/>
                <w:highlight w:val="none"/>
                <w:lang w:val="en-US" w:eastAsia="zh-CN"/>
              </w:rPr>
              <w:t>承压水井</w:t>
            </w:r>
          </w:p>
        </w:tc>
      </w:tr>
      <w:bookmarkEnd w:id="257"/>
      <w:tr w14:paraId="0B9C226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949" w:hRule="atLeast"/>
          <w:jc w:val="center"/>
        </w:trPr>
        <w:tc>
          <w:tcPr>
            <w:tcW w:w="144" w:type="pct"/>
            <w:vMerge w:val="continue"/>
            <w:tcBorders>
              <w:tl2br w:val="nil"/>
              <w:tr2bl w:val="nil"/>
            </w:tcBorders>
            <w:shd w:val="clear" w:color="auto" w:fill="auto"/>
            <w:vAlign w:val="center"/>
          </w:tcPr>
          <w:p w14:paraId="53406ED9">
            <w:pPr>
              <w:pStyle w:val="58"/>
              <w:bidi w:val="0"/>
              <w:rPr>
                <w:highlight w:val="none"/>
              </w:rPr>
            </w:pPr>
          </w:p>
        </w:tc>
        <w:tc>
          <w:tcPr>
            <w:tcW w:w="477" w:type="pct"/>
            <w:vMerge w:val="continue"/>
            <w:tcBorders>
              <w:tl2br w:val="nil"/>
              <w:tr2bl w:val="nil"/>
            </w:tcBorders>
            <w:shd w:val="clear" w:color="auto" w:fill="auto"/>
            <w:vAlign w:val="center"/>
          </w:tcPr>
          <w:p w14:paraId="4CE41A94">
            <w:pPr>
              <w:pStyle w:val="58"/>
              <w:bidi w:val="0"/>
              <w:rPr>
                <w:highlight w:val="none"/>
              </w:rPr>
            </w:pPr>
          </w:p>
        </w:tc>
        <w:tc>
          <w:tcPr>
            <w:tcW w:w="317" w:type="pct"/>
            <w:vMerge w:val="continue"/>
            <w:tcBorders>
              <w:tl2br w:val="nil"/>
              <w:tr2bl w:val="nil"/>
            </w:tcBorders>
            <w:shd w:val="clear" w:color="auto" w:fill="auto"/>
            <w:vAlign w:val="center"/>
          </w:tcPr>
          <w:p w14:paraId="0F74C717">
            <w:pPr>
              <w:pStyle w:val="58"/>
              <w:bidi w:val="0"/>
              <w:rPr>
                <w:highlight w:val="none"/>
              </w:rPr>
            </w:pPr>
          </w:p>
        </w:tc>
        <w:tc>
          <w:tcPr>
            <w:tcW w:w="364" w:type="pct"/>
            <w:vMerge w:val="continue"/>
            <w:tcBorders>
              <w:tl2br w:val="nil"/>
              <w:tr2bl w:val="nil"/>
            </w:tcBorders>
            <w:shd w:val="clear" w:color="auto" w:fill="auto"/>
            <w:vAlign w:val="center"/>
          </w:tcPr>
          <w:p w14:paraId="0CB3D8A4">
            <w:pPr>
              <w:pStyle w:val="58"/>
              <w:bidi w:val="0"/>
              <w:rPr>
                <w:highlight w:val="none"/>
              </w:rPr>
            </w:pPr>
          </w:p>
        </w:tc>
        <w:tc>
          <w:tcPr>
            <w:tcW w:w="369" w:type="pct"/>
            <w:tcBorders>
              <w:tl2br w:val="nil"/>
              <w:tr2bl w:val="nil"/>
            </w:tcBorders>
            <w:shd w:val="clear" w:color="auto" w:fill="auto"/>
            <w:vAlign w:val="center"/>
          </w:tcPr>
          <w:p w14:paraId="295AAA5A">
            <w:pPr>
              <w:pStyle w:val="58"/>
              <w:bidi w:val="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项目东北侧NE580m</w:t>
            </w:r>
          </w:p>
        </w:tc>
        <w:tc>
          <w:tcPr>
            <w:tcW w:w="369" w:type="pct"/>
            <w:tcBorders>
              <w:tl2br w:val="nil"/>
              <w:tr2bl w:val="nil"/>
            </w:tcBorders>
            <w:shd w:val="clear" w:color="auto" w:fill="auto"/>
            <w:vAlign w:val="center"/>
          </w:tcPr>
          <w:p w14:paraId="205991CC">
            <w:pPr>
              <w:pStyle w:val="58"/>
              <w:bidi w:val="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项目东北侧NE1728m</w:t>
            </w:r>
          </w:p>
        </w:tc>
        <w:tc>
          <w:tcPr>
            <w:tcW w:w="369" w:type="pct"/>
            <w:tcBorders>
              <w:tl2br w:val="nil"/>
              <w:tr2bl w:val="nil"/>
            </w:tcBorders>
            <w:shd w:val="clear" w:color="auto" w:fill="auto"/>
            <w:vAlign w:val="center"/>
          </w:tcPr>
          <w:p w14:paraId="2F2434F7">
            <w:pPr>
              <w:pStyle w:val="58"/>
              <w:bidi w:val="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项目东南侧SE1594m</w:t>
            </w:r>
          </w:p>
        </w:tc>
        <w:tc>
          <w:tcPr>
            <w:tcW w:w="369" w:type="pct"/>
            <w:tcBorders>
              <w:tl2br w:val="nil"/>
              <w:tr2bl w:val="nil"/>
            </w:tcBorders>
            <w:shd w:val="clear" w:color="auto" w:fill="auto"/>
            <w:vAlign w:val="center"/>
          </w:tcPr>
          <w:p w14:paraId="42883940">
            <w:pPr>
              <w:pStyle w:val="58"/>
              <w:bidi w:val="0"/>
              <w:rPr>
                <w:rFonts w:hint="default"/>
                <w:highlight w:val="none"/>
                <w:lang w:val="en-US" w:eastAsia="zh-CN"/>
              </w:rPr>
            </w:pPr>
            <w:r>
              <w:rPr>
                <w:rFonts w:hint="default"/>
                <w:highlight w:val="none"/>
                <w:lang w:val="en-US" w:eastAsia="zh-CN"/>
              </w:rPr>
              <w:t>项目东侧</w:t>
            </w:r>
          </w:p>
          <w:p w14:paraId="71FAFD5D">
            <w:pPr>
              <w:pStyle w:val="58"/>
              <w:bidi w:val="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E293m</w:t>
            </w:r>
          </w:p>
        </w:tc>
        <w:tc>
          <w:tcPr>
            <w:tcW w:w="369" w:type="pct"/>
            <w:tcBorders>
              <w:tl2br w:val="nil"/>
              <w:tr2bl w:val="nil"/>
            </w:tcBorders>
            <w:shd w:val="clear" w:color="auto" w:fill="auto"/>
            <w:vAlign w:val="center"/>
          </w:tcPr>
          <w:p w14:paraId="3A669F51">
            <w:pPr>
              <w:pStyle w:val="58"/>
              <w:bidi w:val="0"/>
              <w:rPr>
                <w:rFonts w:hint="default"/>
                <w:highlight w:val="none"/>
                <w:lang w:val="en-US" w:eastAsia="zh-CN"/>
              </w:rPr>
            </w:pPr>
            <w:r>
              <w:rPr>
                <w:rFonts w:hint="default"/>
                <w:highlight w:val="none"/>
                <w:lang w:val="en-US" w:eastAsia="zh-CN"/>
              </w:rPr>
              <w:t>项目东南侧</w:t>
            </w:r>
          </w:p>
          <w:p w14:paraId="10090495">
            <w:pPr>
              <w:pStyle w:val="58"/>
              <w:bidi w:val="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SE478m</w:t>
            </w:r>
          </w:p>
        </w:tc>
        <w:tc>
          <w:tcPr>
            <w:tcW w:w="369" w:type="pct"/>
            <w:tcBorders>
              <w:tl2br w:val="nil"/>
              <w:tr2bl w:val="nil"/>
            </w:tcBorders>
            <w:shd w:val="clear" w:color="auto" w:fill="auto"/>
            <w:vAlign w:val="center"/>
          </w:tcPr>
          <w:p w14:paraId="69C6764D">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项目占地范围内</w:t>
            </w:r>
          </w:p>
        </w:tc>
        <w:tc>
          <w:tcPr>
            <w:tcW w:w="369" w:type="pct"/>
            <w:tcBorders>
              <w:tl2br w:val="nil"/>
              <w:tr2bl w:val="nil"/>
            </w:tcBorders>
            <w:shd w:val="clear" w:color="auto" w:fill="auto"/>
            <w:vAlign w:val="center"/>
          </w:tcPr>
          <w:p w14:paraId="54DAC189">
            <w:pPr>
              <w:pStyle w:val="58"/>
              <w:bidi w:val="0"/>
              <w:rPr>
                <w:rFonts w:hint="default"/>
                <w:highlight w:val="none"/>
                <w:lang w:val="en-US" w:eastAsia="zh-CN"/>
              </w:rPr>
            </w:pPr>
            <w:r>
              <w:rPr>
                <w:rFonts w:hint="default"/>
                <w:highlight w:val="none"/>
                <w:lang w:val="en-US" w:eastAsia="zh-CN"/>
              </w:rPr>
              <w:t>项目西北侧</w:t>
            </w:r>
          </w:p>
          <w:p w14:paraId="42E16095">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NW1755m</w:t>
            </w:r>
          </w:p>
        </w:tc>
        <w:tc>
          <w:tcPr>
            <w:tcW w:w="369" w:type="pct"/>
            <w:tcBorders>
              <w:tl2br w:val="nil"/>
              <w:tr2bl w:val="nil"/>
            </w:tcBorders>
            <w:shd w:val="clear" w:color="auto" w:fill="auto"/>
            <w:vAlign w:val="center"/>
          </w:tcPr>
          <w:p w14:paraId="0EE90AF3">
            <w:pPr>
              <w:pStyle w:val="58"/>
              <w:bidi w:val="0"/>
              <w:rPr>
                <w:rFonts w:hint="default"/>
                <w:highlight w:val="none"/>
                <w:lang w:val="en-US" w:eastAsia="zh-CN"/>
              </w:rPr>
            </w:pPr>
            <w:r>
              <w:rPr>
                <w:rFonts w:hint="default"/>
                <w:highlight w:val="none"/>
                <w:lang w:val="en-US" w:eastAsia="zh-CN"/>
              </w:rPr>
              <w:t>项目东南侧</w:t>
            </w:r>
          </w:p>
          <w:p w14:paraId="4F56C00B">
            <w:pPr>
              <w:pStyle w:val="58"/>
              <w:bidi w:val="0"/>
              <w:rPr>
                <w:rFonts w:hint="default"/>
                <w:highlight w:val="none"/>
                <w:lang w:val="en-US" w:eastAsia="zh-CN"/>
              </w:rPr>
            </w:pPr>
            <w:r>
              <w:rPr>
                <w:rFonts w:hint="default"/>
                <w:highlight w:val="none"/>
                <w:lang w:val="en-US" w:eastAsia="zh-CN"/>
              </w:rPr>
              <w:t>SE358m</w:t>
            </w:r>
          </w:p>
        </w:tc>
        <w:tc>
          <w:tcPr>
            <w:tcW w:w="369" w:type="pct"/>
            <w:tcBorders>
              <w:tl2br w:val="nil"/>
              <w:tr2bl w:val="nil"/>
            </w:tcBorders>
            <w:shd w:val="clear" w:color="auto" w:fill="auto"/>
            <w:vAlign w:val="center"/>
          </w:tcPr>
          <w:p w14:paraId="4AA2FF65">
            <w:pPr>
              <w:pStyle w:val="58"/>
              <w:bidi w:val="0"/>
              <w:rPr>
                <w:rFonts w:hint="default"/>
                <w:highlight w:val="none"/>
                <w:lang w:val="en-US" w:eastAsia="zh-CN"/>
              </w:rPr>
            </w:pPr>
            <w:r>
              <w:rPr>
                <w:rFonts w:hint="default"/>
                <w:highlight w:val="none"/>
                <w:lang w:val="en-US" w:eastAsia="zh-CN"/>
              </w:rPr>
              <w:t>项目东北侧N</w:t>
            </w:r>
            <w:r>
              <w:rPr>
                <w:rFonts w:hint="eastAsia"/>
                <w:highlight w:val="none"/>
                <w:lang w:val="en-US" w:eastAsia="zh-CN"/>
              </w:rPr>
              <w:t>E</w:t>
            </w:r>
            <w:r>
              <w:rPr>
                <w:rFonts w:hint="default"/>
                <w:highlight w:val="none"/>
                <w:lang w:val="en-US" w:eastAsia="zh-CN"/>
              </w:rPr>
              <w:t>1080m</w:t>
            </w:r>
          </w:p>
        </w:tc>
        <w:tc>
          <w:tcPr>
            <w:tcW w:w="371" w:type="pct"/>
            <w:tcBorders>
              <w:tl2br w:val="nil"/>
              <w:tr2bl w:val="nil"/>
            </w:tcBorders>
            <w:shd w:val="clear" w:color="auto" w:fill="auto"/>
            <w:vAlign w:val="center"/>
          </w:tcPr>
          <w:p w14:paraId="7481844D">
            <w:pPr>
              <w:pStyle w:val="58"/>
              <w:bidi w:val="0"/>
              <w:rPr>
                <w:rFonts w:hint="default"/>
                <w:highlight w:val="none"/>
                <w:lang w:val="en-US" w:eastAsia="zh-CN"/>
              </w:rPr>
            </w:pPr>
            <w:r>
              <w:rPr>
                <w:rFonts w:hint="default"/>
                <w:highlight w:val="none"/>
                <w:lang w:val="en-US" w:eastAsia="zh-CN"/>
              </w:rPr>
              <w:t>项目东南侧SE1321m</w:t>
            </w:r>
          </w:p>
        </w:tc>
      </w:tr>
      <w:tr w14:paraId="28CC551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49F1649F">
            <w:pPr>
              <w:pStyle w:val="58"/>
              <w:numPr>
                <w:ilvl w:val="0"/>
                <w:numId w:val="31"/>
              </w:numPr>
              <w:bidi w:val="0"/>
              <w:ind w:left="425" w:leftChars="0" w:hanging="425" w:firstLineChars="0"/>
              <w:rPr>
                <w:rFonts w:hint="default"/>
                <w:highlight w:val="none"/>
              </w:rPr>
            </w:pPr>
            <w:bookmarkStart w:id="259" w:name="OLE_LINK4" w:colFirst="1" w:colLast="3"/>
          </w:p>
        </w:tc>
        <w:tc>
          <w:tcPr>
            <w:tcW w:w="477" w:type="pct"/>
            <w:tcBorders>
              <w:tl2br w:val="nil"/>
              <w:tr2bl w:val="nil"/>
            </w:tcBorders>
            <w:shd w:val="clear" w:color="auto" w:fill="auto"/>
            <w:vAlign w:val="center"/>
          </w:tcPr>
          <w:p w14:paraId="6AD87682">
            <w:pPr>
              <w:pStyle w:val="58"/>
              <w:bidi w:val="0"/>
              <w:rPr>
                <w:rFonts w:hint="default"/>
                <w:highlight w:val="none"/>
                <w:lang w:val="en-US" w:eastAsia="zh-CN"/>
              </w:rPr>
            </w:pPr>
            <w:r>
              <w:rPr>
                <w:rFonts w:hint="default"/>
                <w:highlight w:val="none"/>
                <w:lang w:val="en-US" w:eastAsia="zh-CN"/>
              </w:rPr>
              <w:t>pH值</w:t>
            </w:r>
          </w:p>
        </w:tc>
        <w:tc>
          <w:tcPr>
            <w:tcW w:w="317" w:type="pct"/>
            <w:tcBorders>
              <w:tl2br w:val="nil"/>
              <w:tr2bl w:val="nil"/>
            </w:tcBorders>
            <w:shd w:val="clear" w:color="auto" w:fill="auto"/>
            <w:vAlign w:val="center"/>
          </w:tcPr>
          <w:p w14:paraId="0AD70F93">
            <w:pPr>
              <w:pStyle w:val="58"/>
              <w:bidi w:val="0"/>
              <w:rPr>
                <w:rFonts w:hint="default"/>
                <w:highlight w:val="none"/>
                <w:lang w:val="en-US" w:eastAsia="zh-CN"/>
              </w:rPr>
            </w:pPr>
            <w:r>
              <w:rPr>
                <w:rFonts w:hint="default"/>
                <w:highlight w:val="none"/>
                <w:lang w:val="en-US" w:eastAsia="zh-CN"/>
              </w:rPr>
              <w:t>无量纲</w:t>
            </w:r>
          </w:p>
        </w:tc>
        <w:tc>
          <w:tcPr>
            <w:tcW w:w="364" w:type="pct"/>
            <w:tcBorders>
              <w:tl2br w:val="nil"/>
              <w:tr2bl w:val="nil"/>
            </w:tcBorders>
            <w:shd w:val="clear" w:color="auto" w:fill="auto"/>
            <w:noWrap/>
            <w:vAlign w:val="center"/>
          </w:tcPr>
          <w:p w14:paraId="7719A99B">
            <w:pPr>
              <w:pStyle w:val="58"/>
              <w:bidi w:val="0"/>
              <w:rPr>
                <w:rFonts w:hint="default"/>
                <w:highlight w:val="none"/>
              </w:rPr>
            </w:pPr>
            <w:r>
              <w:rPr>
                <w:rFonts w:hint="default"/>
                <w:highlight w:val="none"/>
                <w:lang w:val="en-US" w:eastAsia="zh-CN"/>
              </w:rPr>
              <w:t>6.5～8.5</w:t>
            </w:r>
          </w:p>
        </w:tc>
        <w:tc>
          <w:tcPr>
            <w:tcW w:w="369" w:type="pct"/>
            <w:tcBorders>
              <w:tl2br w:val="nil"/>
              <w:tr2bl w:val="nil"/>
            </w:tcBorders>
            <w:shd w:val="clear" w:color="auto" w:fill="auto"/>
            <w:vAlign w:val="center"/>
          </w:tcPr>
          <w:p w14:paraId="13675B4A">
            <w:pPr>
              <w:pStyle w:val="58"/>
              <w:bidi w:val="0"/>
              <w:rPr>
                <w:rFonts w:hint="default"/>
                <w:highlight w:val="none"/>
                <w:lang w:val="en-US"/>
              </w:rPr>
            </w:pPr>
            <w:r>
              <w:rPr>
                <w:rFonts w:hint="default"/>
                <w:highlight w:val="none"/>
                <w:lang w:val="en-US" w:eastAsia="zh-CN"/>
              </w:rPr>
              <w:t>7.4</w:t>
            </w:r>
          </w:p>
        </w:tc>
        <w:tc>
          <w:tcPr>
            <w:tcW w:w="369" w:type="pct"/>
            <w:tcBorders>
              <w:tl2br w:val="nil"/>
              <w:tr2bl w:val="nil"/>
            </w:tcBorders>
            <w:shd w:val="clear" w:color="auto" w:fill="auto"/>
            <w:vAlign w:val="center"/>
          </w:tcPr>
          <w:p w14:paraId="1BE6F0A1">
            <w:pPr>
              <w:pStyle w:val="58"/>
              <w:bidi w:val="0"/>
              <w:rPr>
                <w:rFonts w:hint="default"/>
                <w:highlight w:val="none"/>
                <w:lang w:val="en-US" w:eastAsia="zh-CN"/>
              </w:rPr>
            </w:pPr>
            <w:r>
              <w:rPr>
                <w:rFonts w:hint="default"/>
                <w:highlight w:val="none"/>
                <w:lang w:val="en-US" w:eastAsia="zh-CN"/>
              </w:rPr>
              <w:t>7.3</w:t>
            </w:r>
          </w:p>
        </w:tc>
        <w:tc>
          <w:tcPr>
            <w:tcW w:w="369" w:type="pct"/>
            <w:tcBorders>
              <w:tl2br w:val="nil"/>
              <w:tr2bl w:val="nil"/>
            </w:tcBorders>
            <w:shd w:val="clear" w:color="auto" w:fill="auto"/>
            <w:vAlign w:val="center"/>
          </w:tcPr>
          <w:p w14:paraId="738B8C3B">
            <w:pPr>
              <w:pStyle w:val="58"/>
              <w:bidi w:val="0"/>
              <w:rPr>
                <w:rFonts w:hint="default"/>
                <w:highlight w:val="none"/>
                <w:lang w:val="en-US" w:eastAsia="zh-CN"/>
              </w:rPr>
            </w:pPr>
            <w:r>
              <w:rPr>
                <w:rFonts w:hint="default"/>
                <w:highlight w:val="none"/>
                <w:lang w:val="en-US" w:eastAsia="zh-CN"/>
              </w:rPr>
              <w:t>6.9</w:t>
            </w:r>
          </w:p>
        </w:tc>
        <w:tc>
          <w:tcPr>
            <w:tcW w:w="369" w:type="pct"/>
            <w:tcBorders>
              <w:tl2br w:val="nil"/>
              <w:tr2bl w:val="nil"/>
            </w:tcBorders>
            <w:shd w:val="clear" w:color="auto" w:fill="auto"/>
            <w:vAlign w:val="center"/>
          </w:tcPr>
          <w:p w14:paraId="5EA8F567">
            <w:pPr>
              <w:pStyle w:val="58"/>
              <w:bidi w:val="0"/>
              <w:rPr>
                <w:rFonts w:hint="default"/>
                <w:highlight w:val="none"/>
                <w:lang w:val="en-US" w:eastAsia="zh-CN"/>
              </w:rPr>
            </w:pPr>
            <w:r>
              <w:rPr>
                <w:rFonts w:hint="default"/>
                <w:highlight w:val="none"/>
                <w:lang w:val="en-US" w:eastAsia="zh-CN"/>
              </w:rPr>
              <w:t>7.1</w:t>
            </w:r>
          </w:p>
        </w:tc>
        <w:tc>
          <w:tcPr>
            <w:tcW w:w="369" w:type="pct"/>
            <w:tcBorders>
              <w:tl2br w:val="nil"/>
              <w:tr2bl w:val="nil"/>
            </w:tcBorders>
            <w:shd w:val="clear" w:color="auto" w:fill="auto"/>
            <w:vAlign w:val="center"/>
          </w:tcPr>
          <w:p w14:paraId="545BA29D">
            <w:pPr>
              <w:pStyle w:val="58"/>
              <w:bidi w:val="0"/>
              <w:rPr>
                <w:rFonts w:hint="default"/>
                <w:highlight w:val="none"/>
                <w:lang w:val="en-US" w:eastAsia="zh-CN"/>
              </w:rPr>
            </w:pPr>
            <w:r>
              <w:rPr>
                <w:rFonts w:hint="default"/>
                <w:highlight w:val="none"/>
                <w:lang w:val="en-US" w:eastAsia="zh-CN"/>
              </w:rPr>
              <w:t>7.0</w:t>
            </w:r>
          </w:p>
        </w:tc>
        <w:tc>
          <w:tcPr>
            <w:tcW w:w="369" w:type="pct"/>
            <w:tcBorders>
              <w:tl2br w:val="nil"/>
              <w:tr2bl w:val="nil"/>
            </w:tcBorders>
            <w:shd w:val="clear" w:color="auto" w:fill="auto"/>
            <w:vAlign w:val="center"/>
          </w:tcPr>
          <w:p w14:paraId="50226369">
            <w:pPr>
              <w:pStyle w:val="58"/>
              <w:bidi w:val="0"/>
              <w:rPr>
                <w:rFonts w:hint="default"/>
                <w:highlight w:val="none"/>
                <w:lang w:val="en-US" w:eastAsia="zh-CN"/>
              </w:rPr>
            </w:pPr>
            <w:r>
              <w:rPr>
                <w:rFonts w:hint="default"/>
                <w:highlight w:val="none"/>
                <w:lang w:val="en-US" w:eastAsia="zh-CN"/>
              </w:rPr>
              <w:t>7.1</w:t>
            </w:r>
          </w:p>
        </w:tc>
        <w:tc>
          <w:tcPr>
            <w:tcW w:w="369" w:type="pct"/>
            <w:tcBorders>
              <w:tl2br w:val="nil"/>
              <w:tr2bl w:val="nil"/>
            </w:tcBorders>
            <w:shd w:val="clear" w:color="auto" w:fill="auto"/>
            <w:vAlign w:val="center"/>
          </w:tcPr>
          <w:p w14:paraId="048DB2DD">
            <w:pPr>
              <w:pStyle w:val="58"/>
              <w:bidi w:val="0"/>
              <w:rPr>
                <w:rFonts w:hint="default"/>
                <w:highlight w:val="none"/>
                <w:lang w:val="en-US" w:eastAsia="zh-CN"/>
              </w:rPr>
            </w:pPr>
            <w:r>
              <w:rPr>
                <w:rFonts w:hint="default"/>
                <w:highlight w:val="none"/>
                <w:lang w:val="en-US" w:eastAsia="zh-CN"/>
              </w:rPr>
              <w:t>7.4</w:t>
            </w:r>
          </w:p>
        </w:tc>
        <w:tc>
          <w:tcPr>
            <w:tcW w:w="369" w:type="pct"/>
            <w:tcBorders>
              <w:tl2br w:val="nil"/>
              <w:tr2bl w:val="nil"/>
            </w:tcBorders>
            <w:shd w:val="clear" w:color="auto" w:fill="auto"/>
            <w:vAlign w:val="center"/>
          </w:tcPr>
          <w:p w14:paraId="2F724FF5">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6.9</w:t>
            </w:r>
          </w:p>
        </w:tc>
        <w:tc>
          <w:tcPr>
            <w:tcW w:w="369" w:type="pct"/>
            <w:tcBorders>
              <w:tl2br w:val="nil"/>
              <w:tr2bl w:val="nil"/>
            </w:tcBorders>
            <w:shd w:val="clear" w:color="auto" w:fill="auto"/>
            <w:vAlign w:val="center"/>
          </w:tcPr>
          <w:p w14:paraId="6133DA3F">
            <w:pPr>
              <w:pStyle w:val="58"/>
              <w:bidi w:val="0"/>
              <w:rPr>
                <w:rFonts w:hint="default"/>
                <w:highlight w:val="none"/>
                <w:lang w:val="en-US" w:eastAsia="zh-CN"/>
              </w:rPr>
            </w:pPr>
            <w:r>
              <w:rPr>
                <w:rFonts w:hint="default"/>
                <w:highlight w:val="none"/>
                <w:lang w:val="en-US" w:eastAsia="zh-CN"/>
              </w:rPr>
              <w:t>7.2</w:t>
            </w:r>
          </w:p>
        </w:tc>
        <w:tc>
          <w:tcPr>
            <w:tcW w:w="371" w:type="pct"/>
            <w:tcBorders>
              <w:tl2br w:val="nil"/>
              <w:tr2bl w:val="nil"/>
            </w:tcBorders>
            <w:shd w:val="clear" w:color="auto" w:fill="auto"/>
            <w:vAlign w:val="center"/>
          </w:tcPr>
          <w:p w14:paraId="5FB9BEC0">
            <w:pPr>
              <w:pStyle w:val="58"/>
              <w:bidi w:val="0"/>
              <w:rPr>
                <w:rFonts w:hint="default"/>
                <w:highlight w:val="none"/>
                <w:lang w:val="en-US" w:eastAsia="zh-CN"/>
              </w:rPr>
            </w:pPr>
            <w:r>
              <w:rPr>
                <w:rFonts w:hint="default"/>
                <w:highlight w:val="none"/>
                <w:lang w:val="en-US" w:eastAsia="zh-CN"/>
              </w:rPr>
              <w:t>7.4</w:t>
            </w:r>
          </w:p>
        </w:tc>
      </w:tr>
      <w:tr w14:paraId="5592748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532A6FF6">
            <w:pPr>
              <w:pStyle w:val="58"/>
              <w:numPr>
                <w:ilvl w:val="0"/>
                <w:numId w:val="31"/>
              </w:numPr>
              <w:bidi w:val="0"/>
              <w:ind w:left="425" w:leftChars="0" w:hanging="425" w:firstLineChars="0"/>
              <w:rPr>
                <w:rFonts w:hint="default"/>
                <w:highlight w:val="none"/>
              </w:rPr>
            </w:pPr>
          </w:p>
        </w:tc>
        <w:tc>
          <w:tcPr>
            <w:tcW w:w="477" w:type="pct"/>
            <w:tcBorders>
              <w:tl2br w:val="nil"/>
              <w:tr2bl w:val="nil"/>
            </w:tcBorders>
            <w:shd w:val="clear" w:color="auto" w:fill="auto"/>
            <w:vAlign w:val="center"/>
          </w:tcPr>
          <w:p w14:paraId="3AFB6657">
            <w:pPr>
              <w:pStyle w:val="58"/>
              <w:bidi w:val="0"/>
              <w:rPr>
                <w:rFonts w:hint="default"/>
                <w:highlight w:val="none"/>
                <w:lang w:val="en-US" w:eastAsia="zh-CN"/>
              </w:rPr>
            </w:pPr>
            <w:r>
              <w:rPr>
                <w:rFonts w:hint="default"/>
                <w:highlight w:val="none"/>
                <w:lang w:val="en-US" w:eastAsia="zh-CN"/>
              </w:rPr>
              <w:t>总硬度</w:t>
            </w:r>
          </w:p>
        </w:tc>
        <w:tc>
          <w:tcPr>
            <w:tcW w:w="317" w:type="pct"/>
            <w:tcBorders>
              <w:tl2br w:val="nil"/>
              <w:tr2bl w:val="nil"/>
            </w:tcBorders>
            <w:shd w:val="clear" w:color="auto" w:fill="auto"/>
            <w:vAlign w:val="center"/>
          </w:tcPr>
          <w:p w14:paraId="27D433C8">
            <w:pPr>
              <w:pStyle w:val="58"/>
              <w:bidi w:val="0"/>
              <w:rPr>
                <w:rFonts w:hint="default"/>
                <w:highlight w:val="none"/>
                <w:lang w:val="en-US" w:eastAsia="zh-CN"/>
              </w:rPr>
            </w:pPr>
            <w:r>
              <w:rPr>
                <w:rFonts w:hint="default"/>
                <w:highlight w:val="none"/>
                <w:lang w:val="en-US" w:eastAsia="zh-CN"/>
              </w:rPr>
              <w:t>mg/L</w:t>
            </w:r>
          </w:p>
        </w:tc>
        <w:tc>
          <w:tcPr>
            <w:tcW w:w="364" w:type="pct"/>
            <w:tcBorders>
              <w:tl2br w:val="nil"/>
              <w:tr2bl w:val="nil"/>
            </w:tcBorders>
            <w:shd w:val="clear" w:color="auto" w:fill="auto"/>
            <w:noWrap/>
            <w:vAlign w:val="center"/>
          </w:tcPr>
          <w:p w14:paraId="2873AD16">
            <w:pPr>
              <w:pStyle w:val="58"/>
              <w:bidi w:val="0"/>
              <w:rPr>
                <w:rFonts w:hint="default"/>
                <w:highlight w:val="none"/>
              </w:rPr>
            </w:pPr>
            <w:r>
              <w:rPr>
                <w:rFonts w:hint="default"/>
                <w:highlight w:val="none"/>
                <w:lang w:val="en-US" w:eastAsia="zh-CN"/>
              </w:rPr>
              <w:t>450</w:t>
            </w:r>
          </w:p>
        </w:tc>
        <w:tc>
          <w:tcPr>
            <w:tcW w:w="369" w:type="pct"/>
            <w:tcBorders>
              <w:tl2br w:val="nil"/>
              <w:tr2bl w:val="nil"/>
            </w:tcBorders>
            <w:shd w:val="clear" w:color="auto" w:fill="auto"/>
            <w:vAlign w:val="center"/>
          </w:tcPr>
          <w:p w14:paraId="36831EB8">
            <w:pPr>
              <w:pStyle w:val="58"/>
              <w:bidi w:val="0"/>
              <w:rPr>
                <w:rFonts w:hint="default"/>
                <w:highlight w:val="none"/>
                <w:lang w:val="en-US" w:eastAsia="zh-CN"/>
              </w:rPr>
            </w:pPr>
            <w:r>
              <w:rPr>
                <w:rFonts w:hint="default"/>
                <w:highlight w:val="none"/>
                <w:lang w:val="en-US" w:eastAsia="zh-CN"/>
              </w:rPr>
              <w:t>1380</w:t>
            </w:r>
          </w:p>
        </w:tc>
        <w:tc>
          <w:tcPr>
            <w:tcW w:w="369" w:type="pct"/>
            <w:tcBorders>
              <w:tl2br w:val="nil"/>
              <w:tr2bl w:val="nil"/>
            </w:tcBorders>
            <w:shd w:val="clear" w:color="auto" w:fill="auto"/>
            <w:vAlign w:val="center"/>
          </w:tcPr>
          <w:p w14:paraId="452D4EC3">
            <w:pPr>
              <w:pStyle w:val="58"/>
              <w:bidi w:val="0"/>
              <w:rPr>
                <w:rFonts w:hint="default"/>
                <w:highlight w:val="none"/>
                <w:lang w:val="en-US" w:eastAsia="zh-CN"/>
              </w:rPr>
            </w:pPr>
            <w:r>
              <w:rPr>
                <w:rFonts w:hint="default"/>
                <w:highlight w:val="none"/>
                <w:lang w:val="en-US" w:eastAsia="zh-CN"/>
              </w:rPr>
              <w:t>1480</w:t>
            </w:r>
          </w:p>
        </w:tc>
        <w:tc>
          <w:tcPr>
            <w:tcW w:w="369" w:type="pct"/>
            <w:tcBorders>
              <w:tl2br w:val="nil"/>
              <w:tr2bl w:val="nil"/>
            </w:tcBorders>
            <w:shd w:val="clear" w:color="auto" w:fill="auto"/>
            <w:vAlign w:val="center"/>
          </w:tcPr>
          <w:p w14:paraId="52781A10">
            <w:pPr>
              <w:pStyle w:val="58"/>
              <w:bidi w:val="0"/>
              <w:rPr>
                <w:rFonts w:hint="default"/>
                <w:highlight w:val="none"/>
                <w:lang w:val="en-US" w:eastAsia="zh-CN"/>
              </w:rPr>
            </w:pPr>
            <w:r>
              <w:rPr>
                <w:rFonts w:hint="default"/>
                <w:highlight w:val="none"/>
                <w:lang w:val="en-US" w:eastAsia="zh-CN"/>
              </w:rPr>
              <w:t>1500</w:t>
            </w:r>
          </w:p>
        </w:tc>
        <w:tc>
          <w:tcPr>
            <w:tcW w:w="369" w:type="pct"/>
            <w:tcBorders>
              <w:tl2br w:val="nil"/>
              <w:tr2bl w:val="nil"/>
            </w:tcBorders>
            <w:shd w:val="clear" w:color="auto" w:fill="auto"/>
            <w:vAlign w:val="center"/>
          </w:tcPr>
          <w:p w14:paraId="37BABE6C">
            <w:pPr>
              <w:pStyle w:val="58"/>
              <w:bidi w:val="0"/>
              <w:rPr>
                <w:rFonts w:hint="default"/>
                <w:highlight w:val="none"/>
                <w:lang w:val="en-US" w:eastAsia="zh-CN"/>
              </w:rPr>
            </w:pPr>
            <w:r>
              <w:rPr>
                <w:rFonts w:hint="default"/>
                <w:highlight w:val="none"/>
                <w:lang w:val="en-US" w:eastAsia="zh-CN"/>
              </w:rPr>
              <w:t>1520</w:t>
            </w:r>
          </w:p>
        </w:tc>
        <w:tc>
          <w:tcPr>
            <w:tcW w:w="369" w:type="pct"/>
            <w:tcBorders>
              <w:tl2br w:val="nil"/>
              <w:tr2bl w:val="nil"/>
            </w:tcBorders>
            <w:shd w:val="clear" w:color="auto" w:fill="auto"/>
            <w:vAlign w:val="center"/>
          </w:tcPr>
          <w:p w14:paraId="789412DE">
            <w:pPr>
              <w:pStyle w:val="58"/>
              <w:bidi w:val="0"/>
              <w:rPr>
                <w:rFonts w:hint="default"/>
                <w:highlight w:val="none"/>
                <w:lang w:val="en-US" w:eastAsia="zh-CN"/>
              </w:rPr>
            </w:pPr>
            <w:r>
              <w:rPr>
                <w:rFonts w:hint="default"/>
                <w:highlight w:val="none"/>
                <w:lang w:val="en-US" w:eastAsia="zh-CN"/>
              </w:rPr>
              <w:t>1400</w:t>
            </w:r>
          </w:p>
        </w:tc>
        <w:tc>
          <w:tcPr>
            <w:tcW w:w="369" w:type="pct"/>
            <w:tcBorders>
              <w:tl2br w:val="nil"/>
              <w:tr2bl w:val="nil"/>
            </w:tcBorders>
            <w:shd w:val="clear" w:color="auto" w:fill="auto"/>
            <w:vAlign w:val="center"/>
          </w:tcPr>
          <w:p w14:paraId="32B782E2">
            <w:pPr>
              <w:pStyle w:val="58"/>
              <w:bidi w:val="0"/>
              <w:rPr>
                <w:rFonts w:hint="default"/>
                <w:highlight w:val="none"/>
                <w:lang w:val="en-US" w:eastAsia="zh-CN"/>
              </w:rPr>
            </w:pPr>
            <w:r>
              <w:rPr>
                <w:rFonts w:hint="default"/>
                <w:highlight w:val="none"/>
                <w:lang w:val="en-US" w:eastAsia="zh-CN"/>
              </w:rPr>
              <w:t>1460</w:t>
            </w:r>
          </w:p>
        </w:tc>
        <w:tc>
          <w:tcPr>
            <w:tcW w:w="369" w:type="pct"/>
            <w:tcBorders>
              <w:tl2br w:val="nil"/>
              <w:tr2bl w:val="nil"/>
            </w:tcBorders>
            <w:shd w:val="clear" w:color="auto" w:fill="auto"/>
            <w:vAlign w:val="center"/>
          </w:tcPr>
          <w:p w14:paraId="017CA917">
            <w:pPr>
              <w:pStyle w:val="58"/>
              <w:bidi w:val="0"/>
              <w:rPr>
                <w:rFonts w:hint="default"/>
                <w:highlight w:val="none"/>
                <w:lang w:val="en-US" w:eastAsia="zh-CN"/>
              </w:rPr>
            </w:pPr>
            <w:r>
              <w:rPr>
                <w:rFonts w:hint="default"/>
                <w:highlight w:val="none"/>
                <w:lang w:val="en-US" w:eastAsia="zh-CN"/>
              </w:rPr>
              <w:t>351</w:t>
            </w:r>
          </w:p>
        </w:tc>
        <w:tc>
          <w:tcPr>
            <w:tcW w:w="369" w:type="pct"/>
            <w:tcBorders>
              <w:tl2br w:val="nil"/>
              <w:tr2bl w:val="nil"/>
            </w:tcBorders>
            <w:shd w:val="clear" w:color="auto" w:fill="auto"/>
            <w:vAlign w:val="center"/>
          </w:tcPr>
          <w:p w14:paraId="55D8CFB9">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108</w:t>
            </w:r>
          </w:p>
        </w:tc>
        <w:tc>
          <w:tcPr>
            <w:tcW w:w="369" w:type="pct"/>
            <w:tcBorders>
              <w:tl2br w:val="nil"/>
              <w:tr2bl w:val="nil"/>
            </w:tcBorders>
            <w:shd w:val="clear" w:color="auto" w:fill="auto"/>
            <w:vAlign w:val="center"/>
          </w:tcPr>
          <w:p w14:paraId="52F8A3B2">
            <w:pPr>
              <w:pStyle w:val="58"/>
              <w:bidi w:val="0"/>
              <w:rPr>
                <w:rFonts w:hint="default"/>
                <w:highlight w:val="none"/>
                <w:lang w:val="en-US" w:eastAsia="zh-CN"/>
              </w:rPr>
            </w:pPr>
            <w:r>
              <w:rPr>
                <w:rFonts w:hint="default"/>
                <w:highlight w:val="none"/>
                <w:lang w:val="en-US" w:eastAsia="zh-CN"/>
              </w:rPr>
              <w:t>225</w:t>
            </w:r>
          </w:p>
        </w:tc>
        <w:tc>
          <w:tcPr>
            <w:tcW w:w="371" w:type="pct"/>
            <w:tcBorders>
              <w:tl2br w:val="nil"/>
              <w:tr2bl w:val="nil"/>
            </w:tcBorders>
            <w:shd w:val="clear" w:color="auto" w:fill="auto"/>
            <w:vAlign w:val="center"/>
          </w:tcPr>
          <w:p w14:paraId="255ED492">
            <w:pPr>
              <w:pStyle w:val="58"/>
              <w:bidi w:val="0"/>
              <w:rPr>
                <w:rFonts w:hint="default"/>
                <w:highlight w:val="none"/>
                <w:lang w:val="en-US" w:eastAsia="zh-CN"/>
              </w:rPr>
            </w:pPr>
            <w:r>
              <w:rPr>
                <w:rFonts w:hint="default"/>
                <w:highlight w:val="none"/>
                <w:lang w:val="en-US" w:eastAsia="zh-CN"/>
              </w:rPr>
              <w:t>262</w:t>
            </w:r>
          </w:p>
        </w:tc>
      </w:tr>
      <w:tr w14:paraId="588E26B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1DC35AFD">
            <w:pPr>
              <w:pStyle w:val="58"/>
              <w:numPr>
                <w:ilvl w:val="0"/>
                <w:numId w:val="31"/>
              </w:numPr>
              <w:bidi w:val="0"/>
              <w:ind w:left="425" w:leftChars="0" w:hanging="425" w:firstLineChars="0"/>
              <w:rPr>
                <w:rFonts w:hint="default"/>
                <w:highlight w:val="none"/>
              </w:rPr>
            </w:pPr>
          </w:p>
        </w:tc>
        <w:tc>
          <w:tcPr>
            <w:tcW w:w="477" w:type="pct"/>
            <w:tcBorders>
              <w:tl2br w:val="nil"/>
              <w:tr2bl w:val="nil"/>
            </w:tcBorders>
            <w:shd w:val="clear" w:color="auto" w:fill="auto"/>
            <w:vAlign w:val="center"/>
          </w:tcPr>
          <w:p w14:paraId="7AD6BCC8">
            <w:pPr>
              <w:pStyle w:val="58"/>
              <w:bidi w:val="0"/>
              <w:rPr>
                <w:rFonts w:hint="default"/>
                <w:highlight w:val="none"/>
                <w:lang w:val="en-US" w:eastAsia="zh-CN"/>
              </w:rPr>
            </w:pPr>
            <w:r>
              <w:rPr>
                <w:rFonts w:hint="default"/>
                <w:highlight w:val="none"/>
                <w:lang w:val="en-US" w:eastAsia="zh-CN"/>
              </w:rPr>
              <w:t>溶解性总固体</w:t>
            </w:r>
          </w:p>
        </w:tc>
        <w:tc>
          <w:tcPr>
            <w:tcW w:w="317" w:type="pct"/>
            <w:tcBorders>
              <w:tl2br w:val="nil"/>
              <w:tr2bl w:val="nil"/>
            </w:tcBorders>
            <w:shd w:val="clear" w:color="auto" w:fill="auto"/>
            <w:vAlign w:val="center"/>
          </w:tcPr>
          <w:p w14:paraId="1AE5884E">
            <w:pPr>
              <w:pStyle w:val="58"/>
              <w:bidi w:val="0"/>
              <w:rPr>
                <w:rFonts w:hint="default"/>
                <w:highlight w:val="none"/>
                <w:lang w:val="en-US" w:eastAsia="zh-CN"/>
              </w:rPr>
            </w:pPr>
            <w:r>
              <w:rPr>
                <w:rFonts w:hint="default"/>
                <w:highlight w:val="none"/>
                <w:lang w:val="en-US" w:eastAsia="zh-CN"/>
              </w:rPr>
              <w:t>mg/L</w:t>
            </w:r>
          </w:p>
        </w:tc>
        <w:tc>
          <w:tcPr>
            <w:tcW w:w="364" w:type="pct"/>
            <w:tcBorders>
              <w:tl2br w:val="nil"/>
              <w:tr2bl w:val="nil"/>
            </w:tcBorders>
            <w:shd w:val="clear" w:color="auto" w:fill="auto"/>
            <w:noWrap/>
            <w:vAlign w:val="center"/>
          </w:tcPr>
          <w:p w14:paraId="2DCF227F">
            <w:pPr>
              <w:pStyle w:val="58"/>
              <w:bidi w:val="0"/>
              <w:rPr>
                <w:rFonts w:hint="default"/>
                <w:highlight w:val="none"/>
                <w:lang w:val="en-US"/>
              </w:rPr>
            </w:pPr>
            <w:r>
              <w:rPr>
                <w:rFonts w:hint="default"/>
                <w:highlight w:val="none"/>
                <w:lang w:val="en-US" w:eastAsia="zh-CN"/>
              </w:rPr>
              <w:t>1000</w:t>
            </w:r>
          </w:p>
        </w:tc>
        <w:tc>
          <w:tcPr>
            <w:tcW w:w="369" w:type="pct"/>
            <w:tcBorders>
              <w:tl2br w:val="nil"/>
              <w:tr2bl w:val="nil"/>
            </w:tcBorders>
            <w:shd w:val="clear" w:color="auto" w:fill="auto"/>
            <w:vAlign w:val="center"/>
          </w:tcPr>
          <w:p w14:paraId="0C5C878A">
            <w:pPr>
              <w:pStyle w:val="58"/>
              <w:bidi w:val="0"/>
              <w:rPr>
                <w:rFonts w:hint="default"/>
                <w:highlight w:val="none"/>
                <w:lang w:val="en-US" w:eastAsia="zh-CN"/>
              </w:rPr>
            </w:pPr>
            <w:r>
              <w:rPr>
                <w:rFonts w:hint="default"/>
                <w:highlight w:val="none"/>
                <w:lang w:val="en-US" w:eastAsia="zh-CN"/>
              </w:rPr>
              <w:t>2070</w:t>
            </w:r>
          </w:p>
        </w:tc>
        <w:tc>
          <w:tcPr>
            <w:tcW w:w="369" w:type="pct"/>
            <w:tcBorders>
              <w:tl2br w:val="nil"/>
              <w:tr2bl w:val="nil"/>
            </w:tcBorders>
            <w:shd w:val="clear" w:color="auto" w:fill="auto"/>
            <w:vAlign w:val="center"/>
          </w:tcPr>
          <w:p w14:paraId="187B842A">
            <w:pPr>
              <w:pStyle w:val="58"/>
              <w:bidi w:val="0"/>
              <w:rPr>
                <w:rFonts w:hint="default"/>
                <w:highlight w:val="none"/>
                <w:lang w:val="en-US" w:eastAsia="zh-CN"/>
              </w:rPr>
            </w:pPr>
            <w:r>
              <w:rPr>
                <w:rFonts w:hint="default"/>
                <w:highlight w:val="none"/>
                <w:lang w:val="en-US" w:eastAsia="zh-CN"/>
              </w:rPr>
              <w:t>1990</w:t>
            </w:r>
          </w:p>
        </w:tc>
        <w:tc>
          <w:tcPr>
            <w:tcW w:w="369" w:type="pct"/>
            <w:tcBorders>
              <w:tl2br w:val="nil"/>
              <w:tr2bl w:val="nil"/>
            </w:tcBorders>
            <w:shd w:val="clear" w:color="auto" w:fill="auto"/>
            <w:vAlign w:val="center"/>
          </w:tcPr>
          <w:p w14:paraId="3A1FA18A">
            <w:pPr>
              <w:pStyle w:val="58"/>
              <w:bidi w:val="0"/>
              <w:rPr>
                <w:rFonts w:hint="default"/>
                <w:highlight w:val="none"/>
                <w:lang w:val="en-US" w:eastAsia="zh-CN"/>
              </w:rPr>
            </w:pPr>
            <w:r>
              <w:rPr>
                <w:rFonts w:hint="default"/>
                <w:highlight w:val="none"/>
                <w:lang w:val="en-US" w:eastAsia="zh-CN"/>
              </w:rPr>
              <w:t>1940</w:t>
            </w:r>
          </w:p>
        </w:tc>
        <w:tc>
          <w:tcPr>
            <w:tcW w:w="369" w:type="pct"/>
            <w:tcBorders>
              <w:tl2br w:val="nil"/>
              <w:tr2bl w:val="nil"/>
            </w:tcBorders>
            <w:shd w:val="clear" w:color="auto" w:fill="auto"/>
            <w:vAlign w:val="center"/>
          </w:tcPr>
          <w:p w14:paraId="5368A367">
            <w:pPr>
              <w:pStyle w:val="58"/>
              <w:bidi w:val="0"/>
              <w:rPr>
                <w:rFonts w:hint="default"/>
                <w:highlight w:val="none"/>
                <w:lang w:val="en-US" w:eastAsia="zh-CN"/>
              </w:rPr>
            </w:pPr>
            <w:r>
              <w:rPr>
                <w:rFonts w:hint="default"/>
                <w:highlight w:val="none"/>
                <w:lang w:val="en-US" w:eastAsia="zh-CN"/>
              </w:rPr>
              <w:t>1990</w:t>
            </w:r>
          </w:p>
        </w:tc>
        <w:tc>
          <w:tcPr>
            <w:tcW w:w="369" w:type="pct"/>
            <w:tcBorders>
              <w:tl2br w:val="nil"/>
              <w:tr2bl w:val="nil"/>
            </w:tcBorders>
            <w:shd w:val="clear" w:color="auto" w:fill="auto"/>
            <w:vAlign w:val="center"/>
          </w:tcPr>
          <w:p w14:paraId="77F9441D">
            <w:pPr>
              <w:pStyle w:val="58"/>
              <w:bidi w:val="0"/>
              <w:rPr>
                <w:rFonts w:hint="default"/>
                <w:highlight w:val="none"/>
                <w:lang w:val="en-US" w:eastAsia="zh-CN"/>
              </w:rPr>
            </w:pPr>
            <w:r>
              <w:rPr>
                <w:rFonts w:hint="default"/>
                <w:highlight w:val="none"/>
                <w:lang w:val="en-US" w:eastAsia="zh-CN"/>
              </w:rPr>
              <w:t>2000</w:t>
            </w:r>
          </w:p>
        </w:tc>
        <w:tc>
          <w:tcPr>
            <w:tcW w:w="369" w:type="pct"/>
            <w:tcBorders>
              <w:tl2br w:val="nil"/>
              <w:tr2bl w:val="nil"/>
            </w:tcBorders>
            <w:shd w:val="clear" w:color="auto" w:fill="auto"/>
            <w:vAlign w:val="center"/>
          </w:tcPr>
          <w:p w14:paraId="698A9764">
            <w:pPr>
              <w:pStyle w:val="58"/>
              <w:bidi w:val="0"/>
              <w:rPr>
                <w:rFonts w:hint="default"/>
                <w:highlight w:val="none"/>
                <w:lang w:val="en-US" w:eastAsia="zh-CN"/>
              </w:rPr>
            </w:pPr>
            <w:r>
              <w:rPr>
                <w:rFonts w:hint="default"/>
                <w:highlight w:val="none"/>
                <w:lang w:val="en-US" w:eastAsia="zh-CN"/>
              </w:rPr>
              <w:t>2080</w:t>
            </w:r>
          </w:p>
        </w:tc>
        <w:tc>
          <w:tcPr>
            <w:tcW w:w="369" w:type="pct"/>
            <w:tcBorders>
              <w:tl2br w:val="nil"/>
              <w:tr2bl w:val="nil"/>
            </w:tcBorders>
            <w:shd w:val="clear" w:color="auto" w:fill="auto"/>
            <w:vAlign w:val="center"/>
          </w:tcPr>
          <w:p w14:paraId="3FA184C1">
            <w:pPr>
              <w:pStyle w:val="58"/>
              <w:bidi w:val="0"/>
              <w:rPr>
                <w:rFonts w:hint="default"/>
                <w:highlight w:val="none"/>
                <w:lang w:val="en-US" w:eastAsia="zh-CN"/>
              </w:rPr>
            </w:pPr>
            <w:r>
              <w:rPr>
                <w:rFonts w:hint="default"/>
                <w:highlight w:val="none"/>
                <w:lang w:val="en-US" w:eastAsia="zh-CN"/>
              </w:rPr>
              <w:t>696</w:t>
            </w:r>
          </w:p>
        </w:tc>
        <w:tc>
          <w:tcPr>
            <w:tcW w:w="369" w:type="pct"/>
            <w:tcBorders>
              <w:tl2br w:val="nil"/>
              <w:tr2bl w:val="nil"/>
            </w:tcBorders>
            <w:shd w:val="clear" w:color="auto" w:fill="auto"/>
            <w:vAlign w:val="center"/>
          </w:tcPr>
          <w:p w14:paraId="0CD33B7B">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284</w:t>
            </w:r>
          </w:p>
        </w:tc>
        <w:tc>
          <w:tcPr>
            <w:tcW w:w="369" w:type="pct"/>
            <w:tcBorders>
              <w:tl2br w:val="nil"/>
              <w:tr2bl w:val="nil"/>
            </w:tcBorders>
            <w:shd w:val="clear" w:color="auto" w:fill="auto"/>
            <w:vAlign w:val="center"/>
          </w:tcPr>
          <w:p w14:paraId="2072254D">
            <w:pPr>
              <w:pStyle w:val="58"/>
              <w:bidi w:val="0"/>
              <w:rPr>
                <w:rFonts w:hint="default"/>
                <w:highlight w:val="none"/>
                <w:lang w:val="en-US" w:eastAsia="zh-CN"/>
              </w:rPr>
            </w:pPr>
            <w:r>
              <w:rPr>
                <w:rFonts w:hint="default"/>
                <w:highlight w:val="none"/>
                <w:lang w:val="en-US" w:eastAsia="zh-CN"/>
              </w:rPr>
              <w:t>458</w:t>
            </w:r>
          </w:p>
        </w:tc>
        <w:tc>
          <w:tcPr>
            <w:tcW w:w="371" w:type="pct"/>
            <w:tcBorders>
              <w:tl2br w:val="nil"/>
              <w:tr2bl w:val="nil"/>
            </w:tcBorders>
            <w:shd w:val="clear" w:color="auto" w:fill="auto"/>
            <w:vAlign w:val="center"/>
          </w:tcPr>
          <w:p w14:paraId="67647BE4">
            <w:pPr>
              <w:pStyle w:val="58"/>
              <w:bidi w:val="0"/>
              <w:rPr>
                <w:rFonts w:hint="default"/>
                <w:highlight w:val="none"/>
                <w:lang w:val="en-US" w:eastAsia="zh-CN"/>
              </w:rPr>
            </w:pPr>
            <w:r>
              <w:rPr>
                <w:rFonts w:hint="default"/>
                <w:highlight w:val="none"/>
                <w:lang w:val="en-US" w:eastAsia="zh-CN"/>
              </w:rPr>
              <w:t>547</w:t>
            </w:r>
          </w:p>
        </w:tc>
      </w:tr>
      <w:tr w14:paraId="458130F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75ABB30E">
            <w:pPr>
              <w:pStyle w:val="58"/>
              <w:numPr>
                <w:ilvl w:val="0"/>
                <w:numId w:val="31"/>
              </w:numPr>
              <w:bidi w:val="0"/>
              <w:ind w:left="425" w:leftChars="0" w:hanging="425" w:firstLineChars="0"/>
              <w:rPr>
                <w:rFonts w:hint="default"/>
                <w:highlight w:val="none"/>
              </w:rPr>
            </w:pPr>
          </w:p>
        </w:tc>
        <w:tc>
          <w:tcPr>
            <w:tcW w:w="477" w:type="pct"/>
            <w:tcBorders>
              <w:tl2br w:val="nil"/>
              <w:tr2bl w:val="nil"/>
            </w:tcBorders>
            <w:shd w:val="clear" w:color="auto" w:fill="auto"/>
            <w:vAlign w:val="center"/>
          </w:tcPr>
          <w:p w14:paraId="6593432C">
            <w:pPr>
              <w:pStyle w:val="58"/>
              <w:bidi w:val="0"/>
              <w:rPr>
                <w:rFonts w:hint="default"/>
                <w:highlight w:val="none"/>
                <w:lang w:val="en-US" w:eastAsia="zh-CN"/>
              </w:rPr>
            </w:pPr>
            <w:r>
              <w:rPr>
                <w:rFonts w:hint="default"/>
                <w:highlight w:val="none"/>
                <w:lang w:val="en-US" w:eastAsia="zh-CN"/>
              </w:rPr>
              <w:t>高锰酸盐指数</w:t>
            </w:r>
          </w:p>
        </w:tc>
        <w:tc>
          <w:tcPr>
            <w:tcW w:w="317" w:type="pct"/>
            <w:tcBorders>
              <w:tl2br w:val="nil"/>
              <w:tr2bl w:val="nil"/>
            </w:tcBorders>
            <w:shd w:val="clear" w:color="auto" w:fill="auto"/>
            <w:vAlign w:val="center"/>
          </w:tcPr>
          <w:p w14:paraId="10295D0C">
            <w:pPr>
              <w:pStyle w:val="58"/>
              <w:bidi w:val="0"/>
              <w:rPr>
                <w:rFonts w:hint="default"/>
                <w:highlight w:val="none"/>
                <w:lang w:val="en-US" w:eastAsia="zh-CN"/>
              </w:rPr>
            </w:pPr>
            <w:r>
              <w:rPr>
                <w:rFonts w:hint="default"/>
                <w:highlight w:val="none"/>
                <w:lang w:val="en-US" w:eastAsia="zh-CN"/>
              </w:rPr>
              <w:t>mg/L</w:t>
            </w:r>
          </w:p>
        </w:tc>
        <w:tc>
          <w:tcPr>
            <w:tcW w:w="364" w:type="pct"/>
            <w:tcBorders>
              <w:tl2br w:val="nil"/>
              <w:tr2bl w:val="nil"/>
            </w:tcBorders>
            <w:shd w:val="clear" w:color="auto" w:fill="auto"/>
            <w:noWrap/>
            <w:vAlign w:val="center"/>
          </w:tcPr>
          <w:p w14:paraId="0F9ED282">
            <w:pPr>
              <w:pStyle w:val="58"/>
              <w:bidi w:val="0"/>
              <w:rPr>
                <w:rFonts w:hint="default"/>
                <w:highlight w:val="none"/>
                <w:lang w:val="en-US" w:eastAsia="zh-CN"/>
              </w:rPr>
            </w:pPr>
            <w:r>
              <w:rPr>
                <w:rFonts w:hint="default"/>
                <w:highlight w:val="none"/>
                <w:lang w:val="en-US" w:eastAsia="zh-CN"/>
              </w:rPr>
              <w:t>3.0</w:t>
            </w:r>
          </w:p>
        </w:tc>
        <w:tc>
          <w:tcPr>
            <w:tcW w:w="369" w:type="pct"/>
            <w:tcBorders>
              <w:tl2br w:val="nil"/>
              <w:tr2bl w:val="nil"/>
            </w:tcBorders>
            <w:shd w:val="clear" w:color="auto" w:fill="auto"/>
            <w:vAlign w:val="center"/>
          </w:tcPr>
          <w:p w14:paraId="68676F15">
            <w:pPr>
              <w:pStyle w:val="58"/>
              <w:bidi w:val="0"/>
              <w:rPr>
                <w:rFonts w:hint="default"/>
                <w:highlight w:val="none"/>
                <w:lang w:val="en-US"/>
              </w:rPr>
            </w:pPr>
            <w:r>
              <w:rPr>
                <w:rFonts w:hint="default"/>
                <w:highlight w:val="none"/>
                <w:lang w:val="en-US" w:eastAsia="zh-CN"/>
              </w:rPr>
              <w:t>11.4</w:t>
            </w:r>
          </w:p>
        </w:tc>
        <w:tc>
          <w:tcPr>
            <w:tcW w:w="369" w:type="pct"/>
            <w:tcBorders>
              <w:tl2br w:val="nil"/>
              <w:tr2bl w:val="nil"/>
            </w:tcBorders>
            <w:shd w:val="clear" w:color="auto" w:fill="auto"/>
            <w:vAlign w:val="center"/>
          </w:tcPr>
          <w:p w14:paraId="37184EE6">
            <w:pPr>
              <w:pStyle w:val="58"/>
              <w:bidi w:val="0"/>
              <w:rPr>
                <w:rFonts w:hint="default"/>
                <w:highlight w:val="none"/>
                <w:lang w:val="en-US" w:eastAsia="zh-CN"/>
              </w:rPr>
            </w:pPr>
            <w:r>
              <w:rPr>
                <w:rFonts w:hint="default"/>
                <w:highlight w:val="none"/>
                <w:lang w:val="en-US" w:eastAsia="zh-CN"/>
              </w:rPr>
              <w:t>17.6</w:t>
            </w:r>
          </w:p>
        </w:tc>
        <w:tc>
          <w:tcPr>
            <w:tcW w:w="369" w:type="pct"/>
            <w:tcBorders>
              <w:tl2br w:val="nil"/>
              <w:tr2bl w:val="nil"/>
            </w:tcBorders>
            <w:shd w:val="clear" w:color="auto" w:fill="auto"/>
            <w:vAlign w:val="center"/>
          </w:tcPr>
          <w:p w14:paraId="51B4DBBB">
            <w:pPr>
              <w:pStyle w:val="58"/>
              <w:bidi w:val="0"/>
              <w:rPr>
                <w:rFonts w:hint="default"/>
                <w:highlight w:val="none"/>
                <w:lang w:val="en-US" w:eastAsia="zh-CN"/>
              </w:rPr>
            </w:pPr>
            <w:r>
              <w:rPr>
                <w:rFonts w:hint="default"/>
                <w:highlight w:val="none"/>
                <w:lang w:val="en-US" w:eastAsia="zh-CN"/>
              </w:rPr>
              <w:t>11.6</w:t>
            </w:r>
          </w:p>
        </w:tc>
        <w:tc>
          <w:tcPr>
            <w:tcW w:w="369" w:type="pct"/>
            <w:tcBorders>
              <w:tl2br w:val="nil"/>
              <w:tr2bl w:val="nil"/>
            </w:tcBorders>
            <w:shd w:val="clear" w:color="auto" w:fill="auto"/>
            <w:vAlign w:val="center"/>
          </w:tcPr>
          <w:p w14:paraId="69531AAB">
            <w:pPr>
              <w:pStyle w:val="58"/>
              <w:bidi w:val="0"/>
              <w:rPr>
                <w:rFonts w:hint="default"/>
                <w:highlight w:val="none"/>
                <w:lang w:val="en-US" w:eastAsia="zh-CN"/>
              </w:rPr>
            </w:pPr>
            <w:r>
              <w:rPr>
                <w:rFonts w:hint="default"/>
                <w:highlight w:val="none"/>
                <w:lang w:val="en-US" w:eastAsia="zh-CN"/>
              </w:rPr>
              <w:t>11.2</w:t>
            </w:r>
          </w:p>
        </w:tc>
        <w:tc>
          <w:tcPr>
            <w:tcW w:w="369" w:type="pct"/>
            <w:tcBorders>
              <w:tl2br w:val="nil"/>
              <w:tr2bl w:val="nil"/>
            </w:tcBorders>
            <w:shd w:val="clear" w:color="auto" w:fill="auto"/>
            <w:vAlign w:val="center"/>
          </w:tcPr>
          <w:p w14:paraId="6A738EB1">
            <w:pPr>
              <w:pStyle w:val="58"/>
              <w:bidi w:val="0"/>
              <w:rPr>
                <w:rFonts w:hint="default"/>
                <w:highlight w:val="none"/>
                <w:lang w:val="en-US" w:eastAsia="zh-CN"/>
              </w:rPr>
            </w:pPr>
            <w:r>
              <w:rPr>
                <w:rFonts w:hint="default"/>
                <w:highlight w:val="none"/>
                <w:lang w:val="en-US" w:eastAsia="zh-CN"/>
              </w:rPr>
              <w:t>11.4</w:t>
            </w:r>
          </w:p>
        </w:tc>
        <w:tc>
          <w:tcPr>
            <w:tcW w:w="369" w:type="pct"/>
            <w:tcBorders>
              <w:tl2br w:val="nil"/>
              <w:tr2bl w:val="nil"/>
            </w:tcBorders>
            <w:shd w:val="clear" w:color="auto" w:fill="auto"/>
            <w:vAlign w:val="center"/>
          </w:tcPr>
          <w:p w14:paraId="588C506D">
            <w:pPr>
              <w:pStyle w:val="58"/>
              <w:bidi w:val="0"/>
              <w:rPr>
                <w:rFonts w:hint="default"/>
                <w:highlight w:val="none"/>
                <w:lang w:val="en-US" w:eastAsia="zh-CN"/>
              </w:rPr>
            </w:pPr>
            <w:r>
              <w:rPr>
                <w:rFonts w:hint="default"/>
                <w:highlight w:val="none"/>
                <w:lang w:val="en-US" w:eastAsia="zh-CN"/>
              </w:rPr>
              <w:t>6.5</w:t>
            </w:r>
          </w:p>
        </w:tc>
        <w:tc>
          <w:tcPr>
            <w:tcW w:w="369" w:type="pct"/>
            <w:tcBorders>
              <w:tl2br w:val="nil"/>
              <w:tr2bl w:val="nil"/>
            </w:tcBorders>
            <w:shd w:val="clear" w:color="auto" w:fill="auto"/>
            <w:vAlign w:val="center"/>
          </w:tcPr>
          <w:p w14:paraId="5E905B97">
            <w:pPr>
              <w:pStyle w:val="58"/>
              <w:bidi w:val="0"/>
              <w:rPr>
                <w:rFonts w:hint="default"/>
                <w:highlight w:val="none"/>
                <w:lang w:val="en-US" w:eastAsia="zh-CN"/>
              </w:rPr>
            </w:pPr>
            <w:r>
              <w:rPr>
                <w:rFonts w:hint="default"/>
                <w:highlight w:val="none"/>
                <w:lang w:val="en-US" w:eastAsia="zh-CN"/>
              </w:rPr>
              <w:t>5.8</w:t>
            </w:r>
          </w:p>
        </w:tc>
        <w:tc>
          <w:tcPr>
            <w:tcW w:w="369" w:type="pct"/>
            <w:tcBorders>
              <w:tl2br w:val="nil"/>
              <w:tr2bl w:val="nil"/>
            </w:tcBorders>
            <w:shd w:val="clear" w:color="auto" w:fill="auto"/>
            <w:vAlign w:val="center"/>
          </w:tcPr>
          <w:p w14:paraId="6CFC0BAE">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1.17</w:t>
            </w:r>
          </w:p>
        </w:tc>
        <w:tc>
          <w:tcPr>
            <w:tcW w:w="369" w:type="pct"/>
            <w:tcBorders>
              <w:tl2br w:val="nil"/>
              <w:tr2bl w:val="nil"/>
            </w:tcBorders>
            <w:shd w:val="clear" w:color="auto" w:fill="auto"/>
            <w:vAlign w:val="center"/>
          </w:tcPr>
          <w:p w14:paraId="1577C90F">
            <w:pPr>
              <w:pStyle w:val="58"/>
              <w:bidi w:val="0"/>
              <w:rPr>
                <w:rFonts w:hint="default"/>
                <w:highlight w:val="none"/>
                <w:lang w:val="en-US" w:eastAsia="zh-CN"/>
              </w:rPr>
            </w:pPr>
            <w:r>
              <w:rPr>
                <w:rFonts w:hint="default"/>
                <w:highlight w:val="none"/>
                <w:lang w:val="en-US" w:eastAsia="zh-CN"/>
              </w:rPr>
              <w:t>0.8</w:t>
            </w:r>
          </w:p>
        </w:tc>
        <w:tc>
          <w:tcPr>
            <w:tcW w:w="371" w:type="pct"/>
            <w:tcBorders>
              <w:tl2br w:val="nil"/>
              <w:tr2bl w:val="nil"/>
            </w:tcBorders>
            <w:shd w:val="clear" w:color="auto" w:fill="auto"/>
            <w:vAlign w:val="center"/>
          </w:tcPr>
          <w:p w14:paraId="51DDCAE6">
            <w:pPr>
              <w:pStyle w:val="58"/>
              <w:bidi w:val="0"/>
              <w:rPr>
                <w:rFonts w:hint="default"/>
                <w:highlight w:val="none"/>
                <w:lang w:val="en-US" w:eastAsia="zh-CN"/>
              </w:rPr>
            </w:pPr>
            <w:r>
              <w:rPr>
                <w:rFonts w:hint="default"/>
                <w:highlight w:val="none"/>
                <w:lang w:val="en-US" w:eastAsia="zh-CN"/>
              </w:rPr>
              <w:t>1.8</w:t>
            </w:r>
          </w:p>
        </w:tc>
      </w:tr>
      <w:tr w14:paraId="6074FDA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7D74905B">
            <w:pPr>
              <w:pStyle w:val="58"/>
              <w:numPr>
                <w:ilvl w:val="0"/>
                <w:numId w:val="31"/>
              </w:numPr>
              <w:bidi w:val="0"/>
              <w:ind w:left="425" w:leftChars="0" w:hanging="425" w:firstLineChars="0"/>
              <w:rPr>
                <w:rFonts w:hint="default"/>
                <w:highlight w:val="none"/>
              </w:rPr>
            </w:pPr>
          </w:p>
        </w:tc>
        <w:tc>
          <w:tcPr>
            <w:tcW w:w="477" w:type="pct"/>
            <w:tcBorders>
              <w:tl2br w:val="nil"/>
              <w:tr2bl w:val="nil"/>
            </w:tcBorders>
            <w:shd w:val="clear" w:color="auto" w:fill="auto"/>
            <w:vAlign w:val="center"/>
          </w:tcPr>
          <w:p w14:paraId="760A408B">
            <w:pPr>
              <w:pStyle w:val="58"/>
              <w:bidi w:val="0"/>
              <w:rPr>
                <w:rFonts w:hint="default"/>
                <w:highlight w:val="none"/>
                <w:lang w:val="en-US" w:eastAsia="zh-CN"/>
              </w:rPr>
            </w:pPr>
            <w:r>
              <w:rPr>
                <w:rFonts w:hint="default"/>
                <w:highlight w:val="none"/>
                <w:lang w:val="en-US" w:eastAsia="zh-CN"/>
              </w:rPr>
              <w:t>氟化物</w:t>
            </w:r>
          </w:p>
        </w:tc>
        <w:tc>
          <w:tcPr>
            <w:tcW w:w="317" w:type="pct"/>
            <w:tcBorders>
              <w:tl2br w:val="nil"/>
              <w:tr2bl w:val="nil"/>
            </w:tcBorders>
            <w:shd w:val="clear" w:color="auto" w:fill="auto"/>
            <w:vAlign w:val="center"/>
          </w:tcPr>
          <w:p w14:paraId="701AFDD8">
            <w:pPr>
              <w:pStyle w:val="58"/>
              <w:bidi w:val="0"/>
              <w:rPr>
                <w:rFonts w:hint="default"/>
                <w:highlight w:val="none"/>
                <w:lang w:val="en-US" w:eastAsia="zh-CN"/>
              </w:rPr>
            </w:pPr>
            <w:r>
              <w:rPr>
                <w:rFonts w:hint="default"/>
                <w:highlight w:val="none"/>
                <w:lang w:val="en-US" w:eastAsia="zh-CN"/>
              </w:rPr>
              <w:t>mg/L</w:t>
            </w:r>
          </w:p>
        </w:tc>
        <w:tc>
          <w:tcPr>
            <w:tcW w:w="364" w:type="pct"/>
            <w:tcBorders>
              <w:tl2br w:val="nil"/>
              <w:tr2bl w:val="nil"/>
            </w:tcBorders>
            <w:shd w:val="clear" w:color="auto" w:fill="auto"/>
            <w:noWrap/>
            <w:vAlign w:val="center"/>
          </w:tcPr>
          <w:p w14:paraId="44D0D28C">
            <w:pPr>
              <w:pStyle w:val="58"/>
              <w:bidi w:val="0"/>
              <w:rPr>
                <w:rFonts w:hint="default"/>
                <w:highlight w:val="none"/>
                <w:lang w:val="en-US" w:eastAsia="zh-CN"/>
              </w:rPr>
            </w:pPr>
            <w:r>
              <w:rPr>
                <w:rFonts w:hint="default"/>
                <w:highlight w:val="none"/>
                <w:lang w:val="en-US" w:eastAsia="zh-CN"/>
              </w:rPr>
              <w:t>1.0</w:t>
            </w:r>
          </w:p>
        </w:tc>
        <w:tc>
          <w:tcPr>
            <w:tcW w:w="369" w:type="pct"/>
            <w:tcBorders>
              <w:tl2br w:val="nil"/>
              <w:tr2bl w:val="nil"/>
            </w:tcBorders>
            <w:shd w:val="clear" w:color="auto" w:fill="auto"/>
            <w:vAlign w:val="center"/>
          </w:tcPr>
          <w:p w14:paraId="5D062FB7">
            <w:pPr>
              <w:pStyle w:val="58"/>
              <w:bidi w:val="0"/>
              <w:rPr>
                <w:rFonts w:hint="default"/>
                <w:highlight w:val="none"/>
                <w:lang w:val="en-US"/>
              </w:rPr>
            </w:pPr>
            <w:r>
              <w:rPr>
                <w:rFonts w:hint="default"/>
                <w:highlight w:val="none"/>
                <w:lang w:val="en-US" w:eastAsia="zh-CN"/>
              </w:rPr>
              <w:t>0.44</w:t>
            </w:r>
          </w:p>
        </w:tc>
        <w:tc>
          <w:tcPr>
            <w:tcW w:w="369" w:type="pct"/>
            <w:tcBorders>
              <w:tl2br w:val="nil"/>
              <w:tr2bl w:val="nil"/>
            </w:tcBorders>
            <w:shd w:val="clear" w:color="auto" w:fill="auto"/>
            <w:vAlign w:val="center"/>
          </w:tcPr>
          <w:p w14:paraId="0B13EB31">
            <w:pPr>
              <w:pStyle w:val="58"/>
              <w:bidi w:val="0"/>
              <w:rPr>
                <w:rFonts w:hint="default"/>
                <w:highlight w:val="none"/>
                <w:lang w:val="en-US" w:eastAsia="zh-CN"/>
              </w:rPr>
            </w:pPr>
            <w:r>
              <w:rPr>
                <w:rFonts w:hint="default"/>
                <w:highlight w:val="none"/>
                <w:lang w:val="en-US" w:eastAsia="zh-CN"/>
              </w:rPr>
              <w:t>0.47</w:t>
            </w:r>
          </w:p>
        </w:tc>
        <w:tc>
          <w:tcPr>
            <w:tcW w:w="369" w:type="pct"/>
            <w:tcBorders>
              <w:tl2br w:val="nil"/>
              <w:tr2bl w:val="nil"/>
            </w:tcBorders>
            <w:shd w:val="clear" w:color="auto" w:fill="auto"/>
            <w:vAlign w:val="center"/>
          </w:tcPr>
          <w:p w14:paraId="460AD7F3">
            <w:pPr>
              <w:pStyle w:val="58"/>
              <w:bidi w:val="0"/>
              <w:rPr>
                <w:rFonts w:hint="default"/>
                <w:highlight w:val="none"/>
                <w:lang w:val="en-US" w:eastAsia="zh-CN"/>
              </w:rPr>
            </w:pPr>
            <w:r>
              <w:rPr>
                <w:rFonts w:hint="default"/>
                <w:highlight w:val="none"/>
                <w:lang w:val="en-US" w:eastAsia="zh-CN"/>
              </w:rPr>
              <w:t>0.44</w:t>
            </w:r>
          </w:p>
        </w:tc>
        <w:tc>
          <w:tcPr>
            <w:tcW w:w="369" w:type="pct"/>
            <w:tcBorders>
              <w:tl2br w:val="nil"/>
              <w:tr2bl w:val="nil"/>
            </w:tcBorders>
            <w:shd w:val="clear" w:color="auto" w:fill="auto"/>
            <w:vAlign w:val="center"/>
          </w:tcPr>
          <w:p w14:paraId="64A0FA6D">
            <w:pPr>
              <w:pStyle w:val="58"/>
              <w:bidi w:val="0"/>
              <w:rPr>
                <w:rFonts w:hint="default"/>
                <w:highlight w:val="none"/>
                <w:lang w:val="en-US" w:eastAsia="zh-CN"/>
              </w:rPr>
            </w:pPr>
            <w:r>
              <w:rPr>
                <w:rFonts w:hint="default"/>
                <w:highlight w:val="none"/>
                <w:lang w:val="en-US" w:eastAsia="zh-CN"/>
              </w:rPr>
              <w:t>0.45</w:t>
            </w:r>
          </w:p>
        </w:tc>
        <w:tc>
          <w:tcPr>
            <w:tcW w:w="369" w:type="pct"/>
            <w:tcBorders>
              <w:tl2br w:val="nil"/>
              <w:tr2bl w:val="nil"/>
            </w:tcBorders>
            <w:shd w:val="clear" w:color="auto" w:fill="auto"/>
            <w:vAlign w:val="center"/>
          </w:tcPr>
          <w:p w14:paraId="34615944">
            <w:pPr>
              <w:pStyle w:val="58"/>
              <w:bidi w:val="0"/>
              <w:rPr>
                <w:rFonts w:hint="default"/>
                <w:highlight w:val="none"/>
                <w:lang w:val="en-US" w:eastAsia="zh-CN"/>
              </w:rPr>
            </w:pPr>
            <w:r>
              <w:rPr>
                <w:rFonts w:hint="default"/>
                <w:highlight w:val="none"/>
                <w:lang w:val="en-US" w:eastAsia="zh-CN"/>
              </w:rPr>
              <w:t>0.39</w:t>
            </w:r>
          </w:p>
        </w:tc>
        <w:tc>
          <w:tcPr>
            <w:tcW w:w="369" w:type="pct"/>
            <w:tcBorders>
              <w:tl2br w:val="nil"/>
              <w:tr2bl w:val="nil"/>
            </w:tcBorders>
            <w:shd w:val="clear" w:color="auto" w:fill="auto"/>
            <w:vAlign w:val="center"/>
          </w:tcPr>
          <w:p w14:paraId="42DF69BD">
            <w:pPr>
              <w:pStyle w:val="58"/>
              <w:bidi w:val="0"/>
              <w:rPr>
                <w:rFonts w:hint="default"/>
                <w:highlight w:val="none"/>
                <w:lang w:val="en-US" w:eastAsia="zh-CN"/>
              </w:rPr>
            </w:pPr>
            <w:r>
              <w:rPr>
                <w:rFonts w:hint="default"/>
                <w:highlight w:val="none"/>
                <w:lang w:val="en-US" w:eastAsia="zh-CN"/>
              </w:rPr>
              <w:t>0.46</w:t>
            </w:r>
          </w:p>
        </w:tc>
        <w:tc>
          <w:tcPr>
            <w:tcW w:w="369" w:type="pct"/>
            <w:tcBorders>
              <w:tl2br w:val="nil"/>
              <w:tr2bl w:val="nil"/>
            </w:tcBorders>
            <w:shd w:val="clear" w:color="auto" w:fill="auto"/>
            <w:vAlign w:val="center"/>
          </w:tcPr>
          <w:p w14:paraId="56502B30">
            <w:pPr>
              <w:pStyle w:val="58"/>
              <w:bidi w:val="0"/>
              <w:rPr>
                <w:rFonts w:hint="default"/>
                <w:highlight w:val="none"/>
                <w:lang w:val="en-US" w:eastAsia="zh-CN"/>
              </w:rPr>
            </w:pPr>
            <w:r>
              <w:rPr>
                <w:rFonts w:hint="default"/>
                <w:highlight w:val="none"/>
                <w:lang w:val="en-US" w:eastAsia="zh-CN"/>
              </w:rPr>
              <w:t>0.382</w:t>
            </w:r>
          </w:p>
        </w:tc>
        <w:tc>
          <w:tcPr>
            <w:tcW w:w="369" w:type="pct"/>
            <w:tcBorders>
              <w:tl2br w:val="nil"/>
              <w:tr2bl w:val="nil"/>
            </w:tcBorders>
            <w:shd w:val="clear" w:color="auto" w:fill="auto"/>
            <w:vAlign w:val="center"/>
          </w:tcPr>
          <w:p w14:paraId="6412DAA1">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0.96</w:t>
            </w:r>
          </w:p>
        </w:tc>
        <w:tc>
          <w:tcPr>
            <w:tcW w:w="369" w:type="pct"/>
            <w:tcBorders>
              <w:tl2br w:val="nil"/>
              <w:tr2bl w:val="nil"/>
            </w:tcBorders>
            <w:shd w:val="clear" w:color="auto" w:fill="auto"/>
            <w:vAlign w:val="center"/>
          </w:tcPr>
          <w:p w14:paraId="72669CF7">
            <w:pPr>
              <w:pStyle w:val="58"/>
              <w:bidi w:val="0"/>
              <w:rPr>
                <w:rFonts w:hint="default"/>
                <w:highlight w:val="none"/>
                <w:lang w:val="en-US" w:eastAsia="zh-CN"/>
              </w:rPr>
            </w:pPr>
            <w:r>
              <w:rPr>
                <w:rFonts w:hint="default"/>
                <w:highlight w:val="none"/>
                <w:lang w:val="en-US" w:eastAsia="zh-CN"/>
              </w:rPr>
              <w:t>0.014</w:t>
            </w:r>
          </w:p>
        </w:tc>
        <w:tc>
          <w:tcPr>
            <w:tcW w:w="371" w:type="pct"/>
            <w:tcBorders>
              <w:tl2br w:val="nil"/>
              <w:tr2bl w:val="nil"/>
            </w:tcBorders>
            <w:shd w:val="clear" w:color="auto" w:fill="auto"/>
            <w:vAlign w:val="center"/>
          </w:tcPr>
          <w:p w14:paraId="0ED39558">
            <w:pPr>
              <w:pStyle w:val="58"/>
              <w:bidi w:val="0"/>
              <w:rPr>
                <w:rFonts w:hint="default"/>
                <w:highlight w:val="none"/>
                <w:lang w:val="en-US" w:eastAsia="zh-CN"/>
              </w:rPr>
            </w:pPr>
            <w:r>
              <w:rPr>
                <w:rFonts w:hint="default"/>
                <w:highlight w:val="none"/>
                <w:lang w:val="en-US" w:eastAsia="zh-CN"/>
              </w:rPr>
              <w:t>0.079</w:t>
            </w:r>
          </w:p>
        </w:tc>
      </w:tr>
      <w:tr w14:paraId="308E663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3F4678B7">
            <w:pPr>
              <w:pStyle w:val="58"/>
              <w:numPr>
                <w:ilvl w:val="0"/>
                <w:numId w:val="31"/>
              </w:numPr>
              <w:bidi w:val="0"/>
              <w:ind w:left="425" w:leftChars="0" w:hanging="425" w:firstLineChars="0"/>
              <w:rPr>
                <w:rFonts w:hint="default"/>
                <w:highlight w:val="none"/>
              </w:rPr>
            </w:pPr>
          </w:p>
        </w:tc>
        <w:tc>
          <w:tcPr>
            <w:tcW w:w="477" w:type="pct"/>
            <w:tcBorders>
              <w:tl2br w:val="nil"/>
              <w:tr2bl w:val="nil"/>
            </w:tcBorders>
            <w:shd w:val="clear" w:color="auto" w:fill="auto"/>
            <w:vAlign w:val="center"/>
          </w:tcPr>
          <w:p w14:paraId="27DCFA24">
            <w:pPr>
              <w:pStyle w:val="58"/>
              <w:bidi w:val="0"/>
              <w:rPr>
                <w:rFonts w:hint="default"/>
                <w:highlight w:val="none"/>
                <w:lang w:val="en-US" w:eastAsia="zh-CN"/>
              </w:rPr>
            </w:pPr>
            <w:r>
              <w:rPr>
                <w:rFonts w:hint="default"/>
                <w:highlight w:val="none"/>
                <w:lang w:val="en-US" w:eastAsia="zh-CN"/>
              </w:rPr>
              <w:t>氯化物</w:t>
            </w:r>
          </w:p>
        </w:tc>
        <w:tc>
          <w:tcPr>
            <w:tcW w:w="317" w:type="pct"/>
            <w:tcBorders>
              <w:tl2br w:val="nil"/>
              <w:tr2bl w:val="nil"/>
            </w:tcBorders>
            <w:shd w:val="clear" w:color="auto" w:fill="auto"/>
            <w:vAlign w:val="center"/>
          </w:tcPr>
          <w:p w14:paraId="5DADD639">
            <w:pPr>
              <w:pStyle w:val="58"/>
              <w:bidi w:val="0"/>
              <w:rPr>
                <w:rFonts w:hint="default"/>
                <w:highlight w:val="none"/>
                <w:lang w:val="en-US" w:eastAsia="zh-CN"/>
              </w:rPr>
            </w:pPr>
            <w:r>
              <w:rPr>
                <w:rFonts w:hint="default"/>
                <w:highlight w:val="none"/>
                <w:lang w:val="en-US" w:eastAsia="zh-CN"/>
              </w:rPr>
              <w:t>mg/L</w:t>
            </w:r>
          </w:p>
        </w:tc>
        <w:tc>
          <w:tcPr>
            <w:tcW w:w="364" w:type="pct"/>
            <w:tcBorders>
              <w:tl2br w:val="nil"/>
              <w:tr2bl w:val="nil"/>
            </w:tcBorders>
            <w:shd w:val="clear" w:color="auto" w:fill="auto"/>
            <w:noWrap/>
            <w:vAlign w:val="center"/>
          </w:tcPr>
          <w:p w14:paraId="4D698BDE">
            <w:pPr>
              <w:pStyle w:val="58"/>
              <w:bidi w:val="0"/>
              <w:rPr>
                <w:rFonts w:hint="default"/>
                <w:highlight w:val="none"/>
                <w:lang w:val="en-US" w:eastAsia="zh-CN"/>
              </w:rPr>
            </w:pPr>
            <w:r>
              <w:rPr>
                <w:rFonts w:hint="default"/>
                <w:highlight w:val="none"/>
                <w:lang w:val="en-US" w:eastAsia="zh-CN"/>
              </w:rPr>
              <w:t>250</w:t>
            </w:r>
          </w:p>
        </w:tc>
        <w:tc>
          <w:tcPr>
            <w:tcW w:w="369" w:type="pct"/>
            <w:tcBorders>
              <w:tl2br w:val="nil"/>
              <w:tr2bl w:val="nil"/>
            </w:tcBorders>
            <w:shd w:val="clear" w:color="auto" w:fill="auto"/>
            <w:vAlign w:val="center"/>
          </w:tcPr>
          <w:p w14:paraId="0FFA84AB">
            <w:pPr>
              <w:pStyle w:val="58"/>
              <w:bidi w:val="0"/>
              <w:rPr>
                <w:rFonts w:hint="default"/>
                <w:highlight w:val="none"/>
                <w:lang w:val="en-US"/>
              </w:rPr>
            </w:pPr>
            <w:r>
              <w:rPr>
                <w:rFonts w:hint="default"/>
                <w:highlight w:val="none"/>
                <w:lang w:val="en-US" w:eastAsia="zh-CN"/>
              </w:rPr>
              <w:t>611</w:t>
            </w:r>
          </w:p>
        </w:tc>
        <w:tc>
          <w:tcPr>
            <w:tcW w:w="369" w:type="pct"/>
            <w:tcBorders>
              <w:tl2br w:val="nil"/>
              <w:tr2bl w:val="nil"/>
            </w:tcBorders>
            <w:shd w:val="clear" w:color="auto" w:fill="auto"/>
            <w:vAlign w:val="center"/>
          </w:tcPr>
          <w:p w14:paraId="7BCF7EF5">
            <w:pPr>
              <w:pStyle w:val="58"/>
              <w:bidi w:val="0"/>
              <w:rPr>
                <w:rFonts w:hint="default"/>
                <w:highlight w:val="none"/>
                <w:lang w:val="en-US" w:eastAsia="zh-CN"/>
              </w:rPr>
            </w:pPr>
            <w:r>
              <w:rPr>
                <w:rFonts w:hint="default"/>
                <w:highlight w:val="none"/>
                <w:lang w:val="en-US" w:eastAsia="zh-CN"/>
              </w:rPr>
              <w:t>683</w:t>
            </w:r>
          </w:p>
        </w:tc>
        <w:tc>
          <w:tcPr>
            <w:tcW w:w="369" w:type="pct"/>
            <w:tcBorders>
              <w:tl2br w:val="nil"/>
              <w:tr2bl w:val="nil"/>
            </w:tcBorders>
            <w:shd w:val="clear" w:color="auto" w:fill="auto"/>
            <w:vAlign w:val="center"/>
          </w:tcPr>
          <w:p w14:paraId="15A9FD67">
            <w:pPr>
              <w:pStyle w:val="58"/>
              <w:bidi w:val="0"/>
              <w:rPr>
                <w:rFonts w:hint="default"/>
                <w:highlight w:val="none"/>
                <w:lang w:val="en-US" w:eastAsia="zh-CN"/>
              </w:rPr>
            </w:pPr>
            <w:r>
              <w:rPr>
                <w:rFonts w:hint="default"/>
                <w:highlight w:val="none"/>
                <w:lang w:val="en-US" w:eastAsia="zh-CN"/>
              </w:rPr>
              <w:t>672</w:t>
            </w:r>
          </w:p>
        </w:tc>
        <w:tc>
          <w:tcPr>
            <w:tcW w:w="369" w:type="pct"/>
            <w:tcBorders>
              <w:tl2br w:val="nil"/>
              <w:tr2bl w:val="nil"/>
            </w:tcBorders>
            <w:shd w:val="clear" w:color="auto" w:fill="auto"/>
            <w:vAlign w:val="center"/>
          </w:tcPr>
          <w:p w14:paraId="2F341092">
            <w:pPr>
              <w:pStyle w:val="58"/>
              <w:bidi w:val="0"/>
              <w:rPr>
                <w:rFonts w:hint="default"/>
                <w:highlight w:val="none"/>
                <w:lang w:val="en-US" w:eastAsia="zh-CN"/>
              </w:rPr>
            </w:pPr>
            <w:r>
              <w:rPr>
                <w:rFonts w:hint="default"/>
                <w:highlight w:val="none"/>
                <w:lang w:val="en-US" w:eastAsia="zh-CN"/>
              </w:rPr>
              <w:t>628</w:t>
            </w:r>
          </w:p>
        </w:tc>
        <w:tc>
          <w:tcPr>
            <w:tcW w:w="369" w:type="pct"/>
            <w:tcBorders>
              <w:tl2br w:val="nil"/>
              <w:tr2bl w:val="nil"/>
            </w:tcBorders>
            <w:shd w:val="clear" w:color="auto" w:fill="auto"/>
            <w:vAlign w:val="center"/>
          </w:tcPr>
          <w:p w14:paraId="75EC418C">
            <w:pPr>
              <w:pStyle w:val="58"/>
              <w:bidi w:val="0"/>
              <w:rPr>
                <w:rFonts w:hint="default"/>
                <w:highlight w:val="none"/>
                <w:lang w:val="en-US" w:eastAsia="zh-CN"/>
              </w:rPr>
            </w:pPr>
            <w:r>
              <w:rPr>
                <w:rFonts w:hint="default"/>
                <w:highlight w:val="none"/>
                <w:lang w:val="en-US" w:eastAsia="zh-CN"/>
              </w:rPr>
              <w:t>655</w:t>
            </w:r>
          </w:p>
        </w:tc>
        <w:tc>
          <w:tcPr>
            <w:tcW w:w="369" w:type="pct"/>
            <w:tcBorders>
              <w:tl2br w:val="nil"/>
              <w:tr2bl w:val="nil"/>
            </w:tcBorders>
            <w:shd w:val="clear" w:color="auto" w:fill="auto"/>
            <w:vAlign w:val="center"/>
          </w:tcPr>
          <w:p w14:paraId="473296AA">
            <w:pPr>
              <w:pStyle w:val="58"/>
              <w:bidi w:val="0"/>
              <w:rPr>
                <w:rFonts w:hint="default"/>
                <w:highlight w:val="none"/>
                <w:lang w:val="en-US" w:eastAsia="zh-CN"/>
              </w:rPr>
            </w:pPr>
            <w:r>
              <w:rPr>
                <w:rFonts w:hint="default"/>
                <w:highlight w:val="none"/>
                <w:lang w:val="en-US" w:eastAsia="zh-CN"/>
              </w:rPr>
              <w:t>560</w:t>
            </w:r>
          </w:p>
        </w:tc>
        <w:tc>
          <w:tcPr>
            <w:tcW w:w="369" w:type="pct"/>
            <w:tcBorders>
              <w:tl2br w:val="nil"/>
              <w:tr2bl w:val="nil"/>
            </w:tcBorders>
            <w:shd w:val="clear" w:color="auto" w:fill="auto"/>
            <w:vAlign w:val="center"/>
          </w:tcPr>
          <w:p w14:paraId="6BA758F0">
            <w:pPr>
              <w:pStyle w:val="58"/>
              <w:bidi w:val="0"/>
              <w:rPr>
                <w:rFonts w:hint="default"/>
                <w:highlight w:val="none"/>
                <w:lang w:val="en-US" w:eastAsia="zh-CN"/>
              </w:rPr>
            </w:pPr>
            <w:r>
              <w:rPr>
                <w:rFonts w:hint="default"/>
                <w:highlight w:val="none"/>
                <w:lang w:val="en-US" w:eastAsia="zh-CN"/>
              </w:rPr>
              <w:t>708</w:t>
            </w:r>
          </w:p>
        </w:tc>
        <w:tc>
          <w:tcPr>
            <w:tcW w:w="369" w:type="pct"/>
            <w:tcBorders>
              <w:tl2br w:val="nil"/>
              <w:tr2bl w:val="nil"/>
            </w:tcBorders>
            <w:shd w:val="clear" w:color="auto" w:fill="auto"/>
            <w:vAlign w:val="center"/>
          </w:tcPr>
          <w:p w14:paraId="3BDECD3C">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36</w:t>
            </w:r>
          </w:p>
        </w:tc>
        <w:tc>
          <w:tcPr>
            <w:tcW w:w="369" w:type="pct"/>
            <w:tcBorders>
              <w:tl2br w:val="nil"/>
              <w:tr2bl w:val="nil"/>
            </w:tcBorders>
            <w:shd w:val="clear" w:color="auto" w:fill="auto"/>
            <w:vAlign w:val="center"/>
          </w:tcPr>
          <w:p w14:paraId="26E7E078">
            <w:pPr>
              <w:pStyle w:val="58"/>
              <w:bidi w:val="0"/>
              <w:rPr>
                <w:rFonts w:hint="default"/>
                <w:highlight w:val="none"/>
                <w:lang w:val="en-US" w:eastAsia="zh-CN"/>
              </w:rPr>
            </w:pPr>
            <w:r>
              <w:rPr>
                <w:rFonts w:hint="default"/>
                <w:highlight w:val="none"/>
                <w:lang w:val="en-US" w:eastAsia="zh-CN"/>
              </w:rPr>
              <w:t>82.8</w:t>
            </w:r>
          </w:p>
        </w:tc>
        <w:tc>
          <w:tcPr>
            <w:tcW w:w="371" w:type="pct"/>
            <w:tcBorders>
              <w:tl2br w:val="nil"/>
              <w:tr2bl w:val="nil"/>
            </w:tcBorders>
            <w:shd w:val="clear" w:color="auto" w:fill="auto"/>
            <w:vAlign w:val="center"/>
          </w:tcPr>
          <w:p w14:paraId="022E4E7D">
            <w:pPr>
              <w:pStyle w:val="58"/>
              <w:bidi w:val="0"/>
              <w:rPr>
                <w:rFonts w:hint="default"/>
                <w:highlight w:val="none"/>
                <w:lang w:val="en-US" w:eastAsia="zh-CN"/>
              </w:rPr>
            </w:pPr>
            <w:r>
              <w:rPr>
                <w:rFonts w:hint="default"/>
                <w:highlight w:val="none"/>
                <w:lang w:val="en-US" w:eastAsia="zh-CN"/>
              </w:rPr>
              <w:t>99.9</w:t>
            </w:r>
          </w:p>
        </w:tc>
      </w:tr>
      <w:tr w14:paraId="49EB8E6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4EEEE071">
            <w:pPr>
              <w:pStyle w:val="58"/>
              <w:numPr>
                <w:ilvl w:val="0"/>
                <w:numId w:val="31"/>
              </w:numPr>
              <w:bidi w:val="0"/>
              <w:ind w:left="425" w:leftChars="0" w:hanging="425" w:firstLineChars="0"/>
              <w:rPr>
                <w:rFonts w:hint="default"/>
                <w:highlight w:val="none"/>
              </w:rPr>
            </w:pPr>
          </w:p>
        </w:tc>
        <w:tc>
          <w:tcPr>
            <w:tcW w:w="477" w:type="pct"/>
            <w:tcBorders>
              <w:tl2br w:val="nil"/>
              <w:tr2bl w:val="nil"/>
            </w:tcBorders>
            <w:shd w:val="clear" w:color="auto" w:fill="auto"/>
            <w:vAlign w:val="center"/>
          </w:tcPr>
          <w:p w14:paraId="749700F3">
            <w:pPr>
              <w:pStyle w:val="58"/>
              <w:bidi w:val="0"/>
              <w:rPr>
                <w:rFonts w:hint="default"/>
                <w:highlight w:val="none"/>
                <w:lang w:val="en-US" w:eastAsia="zh-CN"/>
              </w:rPr>
            </w:pPr>
            <w:r>
              <w:rPr>
                <w:rFonts w:hint="default"/>
                <w:highlight w:val="none"/>
                <w:lang w:val="en-US" w:eastAsia="zh-CN"/>
              </w:rPr>
              <w:t>硫酸盐</w:t>
            </w:r>
          </w:p>
        </w:tc>
        <w:tc>
          <w:tcPr>
            <w:tcW w:w="317" w:type="pct"/>
            <w:tcBorders>
              <w:tl2br w:val="nil"/>
              <w:tr2bl w:val="nil"/>
            </w:tcBorders>
            <w:shd w:val="clear" w:color="auto" w:fill="auto"/>
            <w:vAlign w:val="center"/>
          </w:tcPr>
          <w:p w14:paraId="06AAF9FA">
            <w:pPr>
              <w:pStyle w:val="58"/>
              <w:bidi w:val="0"/>
              <w:rPr>
                <w:rFonts w:hint="default"/>
                <w:highlight w:val="none"/>
                <w:lang w:val="en-US" w:eastAsia="zh-CN"/>
              </w:rPr>
            </w:pPr>
            <w:r>
              <w:rPr>
                <w:rFonts w:hint="default"/>
                <w:highlight w:val="none"/>
                <w:lang w:val="en-US" w:eastAsia="zh-CN"/>
              </w:rPr>
              <w:t>mg/L</w:t>
            </w:r>
          </w:p>
        </w:tc>
        <w:tc>
          <w:tcPr>
            <w:tcW w:w="364" w:type="pct"/>
            <w:tcBorders>
              <w:tl2br w:val="nil"/>
              <w:tr2bl w:val="nil"/>
            </w:tcBorders>
            <w:shd w:val="clear" w:color="auto" w:fill="auto"/>
            <w:vAlign w:val="center"/>
          </w:tcPr>
          <w:p w14:paraId="0FC10EFF">
            <w:pPr>
              <w:pStyle w:val="58"/>
              <w:bidi w:val="0"/>
              <w:rPr>
                <w:rFonts w:hint="default"/>
                <w:highlight w:val="none"/>
                <w:lang w:val="en-US" w:eastAsia="zh-CN"/>
              </w:rPr>
            </w:pPr>
            <w:r>
              <w:rPr>
                <w:rFonts w:hint="default"/>
                <w:highlight w:val="none"/>
                <w:lang w:val="en-US" w:eastAsia="zh-CN"/>
              </w:rPr>
              <w:t>250</w:t>
            </w:r>
          </w:p>
        </w:tc>
        <w:tc>
          <w:tcPr>
            <w:tcW w:w="369" w:type="pct"/>
            <w:tcBorders>
              <w:tl2br w:val="nil"/>
              <w:tr2bl w:val="nil"/>
            </w:tcBorders>
            <w:shd w:val="clear" w:color="auto" w:fill="auto"/>
            <w:vAlign w:val="center"/>
          </w:tcPr>
          <w:p w14:paraId="7D2DF22A">
            <w:pPr>
              <w:pStyle w:val="58"/>
              <w:bidi w:val="0"/>
              <w:rPr>
                <w:rFonts w:hint="default"/>
                <w:highlight w:val="none"/>
                <w:lang w:val="en-US"/>
              </w:rPr>
            </w:pPr>
            <w:r>
              <w:rPr>
                <w:rFonts w:hint="default"/>
                <w:highlight w:val="none"/>
                <w:lang w:val="en-US" w:eastAsia="zh-CN"/>
              </w:rPr>
              <w:t>421</w:t>
            </w:r>
          </w:p>
        </w:tc>
        <w:tc>
          <w:tcPr>
            <w:tcW w:w="369" w:type="pct"/>
            <w:tcBorders>
              <w:tl2br w:val="nil"/>
              <w:tr2bl w:val="nil"/>
            </w:tcBorders>
            <w:shd w:val="clear" w:color="auto" w:fill="auto"/>
            <w:vAlign w:val="center"/>
          </w:tcPr>
          <w:p w14:paraId="661AAEF2">
            <w:pPr>
              <w:pStyle w:val="58"/>
              <w:bidi w:val="0"/>
              <w:rPr>
                <w:rFonts w:hint="default"/>
                <w:highlight w:val="none"/>
                <w:lang w:val="en-US" w:eastAsia="zh-CN"/>
              </w:rPr>
            </w:pPr>
            <w:r>
              <w:rPr>
                <w:rFonts w:hint="default"/>
                <w:highlight w:val="none"/>
                <w:lang w:val="en-US" w:eastAsia="zh-CN"/>
              </w:rPr>
              <w:t>450</w:t>
            </w:r>
          </w:p>
        </w:tc>
        <w:tc>
          <w:tcPr>
            <w:tcW w:w="369" w:type="pct"/>
            <w:tcBorders>
              <w:tl2br w:val="nil"/>
              <w:tr2bl w:val="nil"/>
            </w:tcBorders>
            <w:shd w:val="clear" w:color="auto" w:fill="auto"/>
            <w:vAlign w:val="center"/>
          </w:tcPr>
          <w:p w14:paraId="0FE2BA30">
            <w:pPr>
              <w:pStyle w:val="58"/>
              <w:bidi w:val="0"/>
              <w:rPr>
                <w:rFonts w:hint="default"/>
                <w:highlight w:val="none"/>
                <w:lang w:val="en-US" w:eastAsia="zh-CN"/>
              </w:rPr>
            </w:pPr>
            <w:r>
              <w:rPr>
                <w:rFonts w:hint="default"/>
                <w:highlight w:val="none"/>
                <w:lang w:val="en-US" w:eastAsia="zh-CN"/>
              </w:rPr>
              <w:t>408</w:t>
            </w:r>
          </w:p>
        </w:tc>
        <w:tc>
          <w:tcPr>
            <w:tcW w:w="369" w:type="pct"/>
            <w:tcBorders>
              <w:tl2br w:val="nil"/>
              <w:tr2bl w:val="nil"/>
            </w:tcBorders>
            <w:shd w:val="clear" w:color="auto" w:fill="auto"/>
            <w:vAlign w:val="center"/>
          </w:tcPr>
          <w:p w14:paraId="7615C203">
            <w:pPr>
              <w:pStyle w:val="58"/>
              <w:bidi w:val="0"/>
              <w:rPr>
                <w:rFonts w:hint="default"/>
                <w:highlight w:val="none"/>
                <w:lang w:val="en-US" w:eastAsia="zh-CN"/>
              </w:rPr>
            </w:pPr>
            <w:r>
              <w:rPr>
                <w:rFonts w:hint="default"/>
                <w:highlight w:val="none"/>
                <w:lang w:val="en-US" w:eastAsia="zh-CN"/>
              </w:rPr>
              <w:t>391</w:t>
            </w:r>
          </w:p>
        </w:tc>
        <w:tc>
          <w:tcPr>
            <w:tcW w:w="369" w:type="pct"/>
            <w:tcBorders>
              <w:tl2br w:val="nil"/>
              <w:tr2bl w:val="nil"/>
            </w:tcBorders>
            <w:shd w:val="clear" w:color="auto" w:fill="auto"/>
            <w:vAlign w:val="center"/>
          </w:tcPr>
          <w:p w14:paraId="519BB721">
            <w:pPr>
              <w:pStyle w:val="58"/>
              <w:bidi w:val="0"/>
              <w:rPr>
                <w:rFonts w:hint="default"/>
                <w:highlight w:val="none"/>
                <w:lang w:val="en-US" w:eastAsia="zh-CN"/>
              </w:rPr>
            </w:pPr>
            <w:r>
              <w:rPr>
                <w:rFonts w:hint="default"/>
                <w:highlight w:val="none"/>
                <w:lang w:val="en-US" w:eastAsia="zh-CN"/>
              </w:rPr>
              <w:t>466</w:t>
            </w:r>
          </w:p>
        </w:tc>
        <w:tc>
          <w:tcPr>
            <w:tcW w:w="369" w:type="pct"/>
            <w:tcBorders>
              <w:tl2br w:val="nil"/>
              <w:tr2bl w:val="nil"/>
            </w:tcBorders>
            <w:shd w:val="clear" w:color="auto" w:fill="auto"/>
            <w:vAlign w:val="center"/>
          </w:tcPr>
          <w:p w14:paraId="698FA2DF">
            <w:pPr>
              <w:pStyle w:val="58"/>
              <w:bidi w:val="0"/>
              <w:rPr>
                <w:rFonts w:hint="default"/>
                <w:highlight w:val="none"/>
                <w:lang w:val="en-US" w:eastAsia="zh-CN"/>
              </w:rPr>
            </w:pPr>
            <w:r>
              <w:rPr>
                <w:rFonts w:hint="default"/>
                <w:highlight w:val="none"/>
                <w:lang w:val="en-US" w:eastAsia="zh-CN"/>
              </w:rPr>
              <w:t>246</w:t>
            </w:r>
          </w:p>
        </w:tc>
        <w:tc>
          <w:tcPr>
            <w:tcW w:w="369" w:type="pct"/>
            <w:tcBorders>
              <w:tl2br w:val="nil"/>
              <w:tr2bl w:val="nil"/>
            </w:tcBorders>
            <w:shd w:val="clear" w:color="auto" w:fill="auto"/>
            <w:vAlign w:val="center"/>
          </w:tcPr>
          <w:p w14:paraId="54289E6A">
            <w:pPr>
              <w:pStyle w:val="58"/>
              <w:bidi w:val="0"/>
              <w:rPr>
                <w:rFonts w:hint="default"/>
                <w:highlight w:val="none"/>
                <w:lang w:val="en-US" w:eastAsia="zh-CN"/>
              </w:rPr>
            </w:pPr>
            <w:r>
              <w:rPr>
                <w:rFonts w:hint="default"/>
                <w:highlight w:val="none"/>
                <w:lang w:val="en-US" w:eastAsia="zh-CN"/>
              </w:rPr>
              <w:t>572</w:t>
            </w:r>
          </w:p>
        </w:tc>
        <w:tc>
          <w:tcPr>
            <w:tcW w:w="369" w:type="pct"/>
            <w:tcBorders>
              <w:tl2br w:val="nil"/>
              <w:tr2bl w:val="nil"/>
            </w:tcBorders>
            <w:shd w:val="clear" w:color="auto" w:fill="auto"/>
            <w:vAlign w:val="center"/>
          </w:tcPr>
          <w:p w14:paraId="0E2318F2">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133</w:t>
            </w:r>
          </w:p>
        </w:tc>
        <w:tc>
          <w:tcPr>
            <w:tcW w:w="369" w:type="pct"/>
            <w:tcBorders>
              <w:tl2br w:val="nil"/>
              <w:tr2bl w:val="nil"/>
            </w:tcBorders>
            <w:shd w:val="clear" w:color="auto" w:fill="auto"/>
            <w:vAlign w:val="center"/>
          </w:tcPr>
          <w:p w14:paraId="5708FA81">
            <w:pPr>
              <w:pStyle w:val="58"/>
              <w:bidi w:val="0"/>
              <w:rPr>
                <w:rFonts w:hint="default"/>
                <w:highlight w:val="none"/>
                <w:lang w:val="en-US" w:eastAsia="zh-CN"/>
              </w:rPr>
            </w:pPr>
            <w:r>
              <w:rPr>
                <w:rFonts w:hint="default"/>
                <w:highlight w:val="none"/>
                <w:lang w:val="en-US" w:eastAsia="zh-CN"/>
              </w:rPr>
              <w:t>81.1</w:t>
            </w:r>
          </w:p>
        </w:tc>
        <w:tc>
          <w:tcPr>
            <w:tcW w:w="371" w:type="pct"/>
            <w:tcBorders>
              <w:tl2br w:val="nil"/>
              <w:tr2bl w:val="nil"/>
            </w:tcBorders>
            <w:shd w:val="clear" w:color="auto" w:fill="auto"/>
            <w:vAlign w:val="center"/>
          </w:tcPr>
          <w:p w14:paraId="569FC9F9">
            <w:pPr>
              <w:pStyle w:val="58"/>
              <w:bidi w:val="0"/>
              <w:rPr>
                <w:rFonts w:hint="default"/>
                <w:highlight w:val="none"/>
                <w:lang w:val="en-US" w:eastAsia="zh-CN"/>
              </w:rPr>
            </w:pPr>
            <w:r>
              <w:rPr>
                <w:rFonts w:hint="default"/>
                <w:highlight w:val="none"/>
                <w:lang w:val="en-US" w:eastAsia="zh-CN"/>
              </w:rPr>
              <w:t>100</w:t>
            </w:r>
          </w:p>
        </w:tc>
      </w:tr>
      <w:tr w14:paraId="0E8D40B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6AC111E2">
            <w:pPr>
              <w:pStyle w:val="58"/>
              <w:numPr>
                <w:ilvl w:val="0"/>
                <w:numId w:val="31"/>
              </w:numPr>
              <w:bidi w:val="0"/>
              <w:ind w:left="425" w:leftChars="0" w:hanging="425" w:firstLineChars="0"/>
              <w:rPr>
                <w:rFonts w:hint="default"/>
                <w:highlight w:val="none"/>
              </w:rPr>
            </w:pPr>
          </w:p>
        </w:tc>
        <w:tc>
          <w:tcPr>
            <w:tcW w:w="477" w:type="pct"/>
            <w:tcBorders>
              <w:tl2br w:val="nil"/>
              <w:tr2bl w:val="nil"/>
            </w:tcBorders>
            <w:shd w:val="clear" w:color="auto" w:fill="auto"/>
            <w:vAlign w:val="center"/>
          </w:tcPr>
          <w:p w14:paraId="75B76201">
            <w:pPr>
              <w:pStyle w:val="58"/>
              <w:bidi w:val="0"/>
              <w:rPr>
                <w:rFonts w:hint="default"/>
                <w:highlight w:val="none"/>
                <w:lang w:val="en-US" w:eastAsia="zh-CN"/>
              </w:rPr>
            </w:pPr>
            <w:r>
              <w:rPr>
                <w:rFonts w:hint="default"/>
                <w:highlight w:val="none"/>
                <w:lang w:val="en-US" w:eastAsia="zh-CN"/>
              </w:rPr>
              <w:t>硝酸盐氮</w:t>
            </w:r>
          </w:p>
        </w:tc>
        <w:tc>
          <w:tcPr>
            <w:tcW w:w="317" w:type="pct"/>
            <w:tcBorders>
              <w:tl2br w:val="nil"/>
              <w:tr2bl w:val="nil"/>
            </w:tcBorders>
            <w:shd w:val="clear" w:color="auto" w:fill="auto"/>
            <w:vAlign w:val="center"/>
          </w:tcPr>
          <w:p w14:paraId="759EF8C5">
            <w:pPr>
              <w:pStyle w:val="58"/>
              <w:bidi w:val="0"/>
              <w:rPr>
                <w:rFonts w:hint="default"/>
                <w:highlight w:val="none"/>
                <w:lang w:val="en-US" w:eastAsia="zh-CN"/>
              </w:rPr>
            </w:pPr>
            <w:r>
              <w:rPr>
                <w:rFonts w:hint="default"/>
                <w:highlight w:val="none"/>
                <w:lang w:val="en-US" w:eastAsia="zh-CN"/>
              </w:rPr>
              <w:t>mg/L</w:t>
            </w:r>
          </w:p>
        </w:tc>
        <w:tc>
          <w:tcPr>
            <w:tcW w:w="364" w:type="pct"/>
            <w:tcBorders>
              <w:tl2br w:val="nil"/>
              <w:tr2bl w:val="nil"/>
            </w:tcBorders>
            <w:shd w:val="clear" w:color="auto" w:fill="auto"/>
            <w:noWrap/>
            <w:vAlign w:val="center"/>
          </w:tcPr>
          <w:p w14:paraId="6C60EDDE">
            <w:pPr>
              <w:pStyle w:val="58"/>
              <w:bidi w:val="0"/>
              <w:rPr>
                <w:rFonts w:hint="default"/>
                <w:highlight w:val="none"/>
                <w:lang w:val="en-US" w:eastAsia="zh-CN"/>
              </w:rPr>
            </w:pPr>
            <w:r>
              <w:rPr>
                <w:rFonts w:hint="default"/>
                <w:highlight w:val="none"/>
                <w:lang w:val="en-US" w:eastAsia="zh-CN"/>
              </w:rPr>
              <w:t>20</w:t>
            </w:r>
          </w:p>
        </w:tc>
        <w:tc>
          <w:tcPr>
            <w:tcW w:w="369" w:type="pct"/>
            <w:tcBorders>
              <w:tl2br w:val="nil"/>
              <w:tr2bl w:val="nil"/>
            </w:tcBorders>
            <w:shd w:val="clear" w:color="auto" w:fill="auto"/>
            <w:vAlign w:val="center"/>
          </w:tcPr>
          <w:p w14:paraId="0D053BD5">
            <w:pPr>
              <w:pStyle w:val="58"/>
              <w:bidi w:val="0"/>
              <w:rPr>
                <w:rFonts w:hint="default"/>
                <w:highlight w:val="none"/>
                <w:lang w:val="en-US"/>
              </w:rPr>
            </w:pPr>
            <w:r>
              <w:rPr>
                <w:rFonts w:hint="default"/>
                <w:highlight w:val="none"/>
                <w:lang w:val="en-US" w:eastAsia="zh-CN"/>
              </w:rPr>
              <w:t>1.4</w:t>
            </w:r>
          </w:p>
        </w:tc>
        <w:tc>
          <w:tcPr>
            <w:tcW w:w="369" w:type="pct"/>
            <w:tcBorders>
              <w:tl2br w:val="nil"/>
              <w:tr2bl w:val="nil"/>
            </w:tcBorders>
            <w:shd w:val="clear" w:color="auto" w:fill="auto"/>
            <w:vAlign w:val="center"/>
          </w:tcPr>
          <w:p w14:paraId="3887394D">
            <w:pPr>
              <w:pStyle w:val="58"/>
              <w:bidi w:val="0"/>
              <w:rPr>
                <w:rFonts w:hint="default"/>
                <w:highlight w:val="none"/>
                <w:lang w:val="en-US" w:eastAsia="zh-CN"/>
              </w:rPr>
            </w:pPr>
            <w:r>
              <w:rPr>
                <w:rFonts w:hint="default"/>
                <w:highlight w:val="none"/>
                <w:lang w:val="en-US" w:eastAsia="zh-CN"/>
              </w:rPr>
              <w:t>1.4</w:t>
            </w:r>
          </w:p>
        </w:tc>
        <w:tc>
          <w:tcPr>
            <w:tcW w:w="369" w:type="pct"/>
            <w:tcBorders>
              <w:tl2br w:val="nil"/>
              <w:tr2bl w:val="nil"/>
            </w:tcBorders>
            <w:shd w:val="clear" w:color="auto" w:fill="auto"/>
            <w:vAlign w:val="center"/>
          </w:tcPr>
          <w:p w14:paraId="1D1217D4">
            <w:pPr>
              <w:pStyle w:val="58"/>
              <w:bidi w:val="0"/>
              <w:rPr>
                <w:rFonts w:hint="default"/>
                <w:highlight w:val="none"/>
                <w:lang w:val="en-US" w:eastAsia="zh-CN"/>
              </w:rPr>
            </w:pPr>
            <w:r>
              <w:rPr>
                <w:rFonts w:hint="default"/>
                <w:highlight w:val="none"/>
                <w:lang w:val="en-US" w:eastAsia="zh-CN"/>
              </w:rPr>
              <w:t>1.5</w:t>
            </w:r>
          </w:p>
        </w:tc>
        <w:tc>
          <w:tcPr>
            <w:tcW w:w="369" w:type="pct"/>
            <w:tcBorders>
              <w:tl2br w:val="nil"/>
              <w:tr2bl w:val="nil"/>
            </w:tcBorders>
            <w:shd w:val="clear" w:color="auto" w:fill="auto"/>
            <w:vAlign w:val="center"/>
          </w:tcPr>
          <w:p w14:paraId="71FF7371">
            <w:pPr>
              <w:pStyle w:val="58"/>
              <w:bidi w:val="0"/>
              <w:rPr>
                <w:rFonts w:hint="default"/>
                <w:highlight w:val="none"/>
                <w:lang w:val="en-US" w:eastAsia="zh-CN"/>
              </w:rPr>
            </w:pPr>
            <w:r>
              <w:rPr>
                <w:rFonts w:hint="default"/>
                <w:highlight w:val="none"/>
                <w:lang w:val="en-US" w:eastAsia="zh-CN"/>
              </w:rPr>
              <w:t>1.4</w:t>
            </w:r>
          </w:p>
        </w:tc>
        <w:tc>
          <w:tcPr>
            <w:tcW w:w="369" w:type="pct"/>
            <w:tcBorders>
              <w:tl2br w:val="nil"/>
              <w:tr2bl w:val="nil"/>
            </w:tcBorders>
            <w:shd w:val="clear" w:color="auto" w:fill="auto"/>
            <w:vAlign w:val="center"/>
          </w:tcPr>
          <w:p w14:paraId="35BFA1DC">
            <w:pPr>
              <w:pStyle w:val="58"/>
              <w:bidi w:val="0"/>
              <w:rPr>
                <w:rFonts w:hint="default"/>
                <w:highlight w:val="none"/>
                <w:lang w:val="en-US" w:eastAsia="zh-CN"/>
              </w:rPr>
            </w:pPr>
            <w:r>
              <w:rPr>
                <w:rFonts w:hint="default"/>
                <w:highlight w:val="none"/>
                <w:lang w:val="en-US" w:eastAsia="zh-CN"/>
              </w:rPr>
              <w:t>1.5</w:t>
            </w:r>
          </w:p>
        </w:tc>
        <w:tc>
          <w:tcPr>
            <w:tcW w:w="369" w:type="pct"/>
            <w:tcBorders>
              <w:tl2br w:val="nil"/>
              <w:tr2bl w:val="nil"/>
            </w:tcBorders>
            <w:shd w:val="clear" w:color="auto" w:fill="auto"/>
            <w:vAlign w:val="center"/>
          </w:tcPr>
          <w:p w14:paraId="45A424E7">
            <w:pPr>
              <w:pStyle w:val="58"/>
              <w:bidi w:val="0"/>
              <w:rPr>
                <w:rFonts w:hint="default"/>
                <w:highlight w:val="none"/>
                <w:lang w:val="en-US" w:eastAsia="zh-CN"/>
              </w:rPr>
            </w:pPr>
            <w:r>
              <w:rPr>
                <w:rFonts w:hint="default"/>
                <w:highlight w:val="none"/>
                <w:lang w:val="en-US" w:eastAsia="zh-CN"/>
              </w:rPr>
              <w:t>0.77</w:t>
            </w:r>
          </w:p>
        </w:tc>
        <w:tc>
          <w:tcPr>
            <w:tcW w:w="369" w:type="pct"/>
            <w:tcBorders>
              <w:tl2br w:val="nil"/>
              <w:tr2bl w:val="nil"/>
            </w:tcBorders>
            <w:shd w:val="clear" w:color="auto" w:fill="auto"/>
            <w:vAlign w:val="center"/>
          </w:tcPr>
          <w:p w14:paraId="73B4B1D2">
            <w:pPr>
              <w:pStyle w:val="58"/>
              <w:bidi w:val="0"/>
              <w:rPr>
                <w:rFonts w:hint="default"/>
                <w:highlight w:val="none"/>
                <w:lang w:val="en-US" w:eastAsia="zh-CN"/>
              </w:rPr>
            </w:pPr>
            <w:r>
              <w:rPr>
                <w:rFonts w:hint="default"/>
                <w:highlight w:val="none"/>
                <w:lang w:val="en-US" w:eastAsia="zh-CN"/>
              </w:rPr>
              <w:t>2.85</w:t>
            </w:r>
          </w:p>
        </w:tc>
        <w:tc>
          <w:tcPr>
            <w:tcW w:w="369" w:type="pct"/>
            <w:tcBorders>
              <w:tl2br w:val="nil"/>
              <w:tr2bl w:val="nil"/>
            </w:tcBorders>
            <w:shd w:val="clear" w:color="auto" w:fill="auto"/>
            <w:vAlign w:val="center"/>
          </w:tcPr>
          <w:p w14:paraId="0D0575E8">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0.7</w:t>
            </w:r>
          </w:p>
        </w:tc>
        <w:tc>
          <w:tcPr>
            <w:tcW w:w="369" w:type="pct"/>
            <w:tcBorders>
              <w:tl2br w:val="nil"/>
              <w:tr2bl w:val="nil"/>
            </w:tcBorders>
            <w:shd w:val="clear" w:color="auto" w:fill="auto"/>
            <w:vAlign w:val="center"/>
          </w:tcPr>
          <w:p w14:paraId="093ECAE7">
            <w:pPr>
              <w:pStyle w:val="58"/>
              <w:bidi w:val="0"/>
              <w:rPr>
                <w:rFonts w:hint="default"/>
                <w:highlight w:val="none"/>
                <w:lang w:val="en-US" w:eastAsia="zh-CN"/>
              </w:rPr>
            </w:pPr>
            <w:r>
              <w:rPr>
                <w:rFonts w:hint="default"/>
                <w:highlight w:val="none"/>
                <w:lang w:val="en-US" w:eastAsia="zh-CN"/>
              </w:rPr>
              <w:t>0.016</w:t>
            </w:r>
          </w:p>
        </w:tc>
        <w:tc>
          <w:tcPr>
            <w:tcW w:w="371" w:type="pct"/>
            <w:tcBorders>
              <w:tl2br w:val="nil"/>
              <w:tr2bl w:val="nil"/>
            </w:tcBorders>
            <w:shd w:val="clear" w:color="auto" w:fill="auto"/>
            <w:vAlign w:val="center"/>
          </w:tcPr>
          <w:p w14:paraId="07402ACE">
            <w:pPr>
              <w:pStyle w:val="58"/>
              <w:bidi w:val="0"/>
              <w:rPr>
                <w:rFonts w:hint="default"/>
                <w:highlight w:val="none"/>
                <w:lang w:val="en-US" w:eastAsia="zh-CN"/>
              </w:rPr>
            </w:pPr>
            <w:r>
              <w:rPr>
                <w:rFonts w:hint="default"/>
                <w:highlight w:val="none"/>
                <w:lang w:val="en-US" w:eastAsia="zh-CN"/>
              </w:rPr>
              <w:t>0.044</w:t>
            </w:r>
          </w:p>
        </w:tc>
      </w:tr>
      <w:tr w14:paraId="52924C0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7C05AF7E">
            <w:pPr>
              <w:pStyle w:val="58"/>
              <w:numPr>
                <w:ilvl w:val="0"/>
                <w:numId w:val="31"/>
              </w:numPr>
              <w:bidi w:val="0"/>
              <w:ind w:left="425" w:leftChars="0" w:hanging="425" w:firstLineChars="0"/>
              <w:rPr>
                <w:rFonts w:hint="default"/>
                <w:highlight w:val="none"/>
              </w:rPr>
            </w:pPr>
          </w:p>
        </w:tc>
        <w:tc>
          <w:tcPr>
            <w:tcW w:w="477" w:type="pct"/>
            <w:tcBorders>
              <w:tl2br w:val="nil"/>
              <w:tr2bl w:val="nil"/>
            </w:tcBorders>
            <w:shd w:val="clear" w:color="auto" w:fill="auto"/>
            <w:vAlign w:val="center"/>
          </w:tcPr>
          <w:p w14:paraId="1C01CEC5">
            <w:pPr>
              <w:pStyle w:val="58"/>
              <w:bidi w:val="0"/>
              <w:rPr>
                <w:rFonts w:hint="default"/>
                <w:highlight w:val="none"/>
                <w:lang w:val="en-US" w:eastAsia="zh-CN"/>
              </w:rPr>
            </w:pPr>
            <w:r>
              <w:rPr>
                <w:rFonts w:hint="default"/>
                <w:highlight w:val="none"/>
                <w:lang w:val="en-US" w:eastAsia="zh-CN"/>
              </w:rPr>
              <w:t>氨氮</w:t>
            </w:r>
          </w:p>
        </w:tc>
        <w:tc>
          <w:tcPr>
            <w:tcW w:w="317" w:type="pct"/>
            <w:tcBorders>
              <w:tl2br w:val="nil"/>
              <w:tr2bl w:val="nil"/>
            </w:tcBorders>
            <w:shd w:val="clear" w:color="auto" w:fill="auto"/>
            <w:vAlign w:val="center"/>
          </w:tcPr>
          <w:p w14:paraId="5C4A431C">
            <w:pPr>
              <w:pStyle w:val="58"/>
              <w:bidi w:val="0"/>
              <w:rPr>
                <w:rFonts w:hint="default"/>
                <w:highlight w:val="none"/>
                <w:lang w:val="en-US" w:eastAsia="zh-CN"/>
              </w:rPr>
            </w:pPr>
            <w:r>
              <w:rPr>
                <w:rFonts w:hint="default"/>
                <w:highlight w:val="none"/>
                <w:lang w:val="en-US" w:eastAsia="zh-CN"/>
              </w:rPr>
              <w:t>mg/L</w:t>
            </w:r>
          </w:p>
        </w:tc>
        <w:tc>
          <w:tcPr>
            <w:tcW w:w="364" w:type="pct"/>
            <w:tcBorders>
              <w:tl2br w:val="nil"/>
              <w:tr2bl w:val="nil"/>
            </w:tcBorders>
            <w:shd w:val="clear" w:color="auto" w:fill="auto"/>
            <w:noWrap/>
            <w:vAlign w:val="center"/>
          </w:tcPr>
          <w:p w14:paraId="655A0FE4">
            <w:pPr>
              <w:pStyle w:val="58"/>
              <w:bidi w:val="0"/>
              <w:rPr>
                <w:rFonts w:hint="default"/>
                <w:highlight w:val="none"/>
                <w:lang w:val="en-US"/>
              </w:rPr>
            </w:pPr>
            <w:r>
              <w:rPr>
                <w:rFonts w:hint="default"/>
                <w:highlight w:val="none"/>
                <w:lang w:val="en-US" w:eastAsia="zh-CN"/>
              </w:rPr>
              <w:t>0.5</w:t>
            </w:r>
          </w:p>
        </w:tc>
        <w:tc>
          <w:tcPr>
            <w:tcW w:w="369" w:type="pct"/>
            <w:tcBorders>
              <w:tl2br w:val="nil"/>
              <w:tr2bl w:val="nil"/>
            </w:tcBorders>
            <w:shd w:val="clear" w:color="auto" w:fill="auto"/>
            <w:vAlign w:val="center"/>
          </w:tcPr>
          <w:p w14:paraId="3553CD3C">
            <w:pPr>
              <w:pStyle w:val="58"/>
              <w:bidi w:val="0"/>
              <w:rPr>
                <w:rFonts w:hint="default"/>
                <w:highlight w:val="none"/>
                <w:lang w:val="en-US"/>
              </w:rPr>
            </w:pPr>
            <w:r>
              <w:rPr>
                <w:rFonts w:hint="default"/>
                <w:highlight w:val="none"/>
                <w:lang w:val="en-US" w:eastAsia="zh-CN"/>
              </w:rPr>
              <w:t>0.432</w:t>
            </w:r>
          </w:p>
        </w:tc>
        <w:tc>
          <w:tcPr>
            <w:tcW w:w="369" w:type="pct"/>
            <w:tcBorders>
              <w:tl2br w:val="nil"/>
              <w:tr2bl w:val="nil"/>
            </w:tcBorders>
            <w:shd w:val="clear" w:color="auto" w:fill="auto"/>
            <w:vAlign w:val="center"/>
          </w:tcPr>
          <w:p w14:paraId="4DF0E6A3">
            <w:pPr>
              <w:pStyle w:val="58"/>
              <w:bidi w:val="0"/>
              <w:rPr>
                <w:rFonts w:hint="default"/>
                <w:highlight w:val="none"/>
                <w:lang w:val="en-US" w:eastAsia="zh-CN"/>
              </w:rPr>
            </w:pPr>
            <w:r>
              <w:rPr>
                <w:rFonts w:hint="default"/>
                <w:highlight w:val="none"/>
                <w:lang w:val="en-US" w:eastAsia="zh-CN"/>
              </w:rPr>
              <w:t>0.443</w:t>
            </w:r>
          </w:p>
        </w:tc>
        <w:tc>
          <w:tcPr>
            <w:tcW w:w="369" w:type="pct"/>
            <w:tcBorders>
              <w:tl2br w:val="nil"/>
              <w:tr2bl w:val="nil"/>
            </w:tcBorders>
            <w:shd w:val="clear" w:color="auto" w:fill="auto"/>
            <w:vAlign w:val="center"/>
          </w:tcPr>
          <w:p w14:paraId="719E983C">
            <w:pPr>
              <w:pStyle w:val="58"/>
              <w:bidi w:val="0"/>
              <w:rPr>
                <w:rFonts w:hint="default"/>
                <w:highlight w:val="none"/>
                <w:lang w:val="en-US" w:eastAsia="zh-CN"/>
              </w:rPr>
            </w:pPr>
            <w:r>
              <w:rPr>
                <w:rFonts w:hint="default"/>
                <w:highlight w:val="none"/>
                <w:lang w:val="en-US" w:eastAsia="zh-CN"/>
              </w:rPr>
              <w:t>0.451</w:t>
            </w:r>
          </w:p>
        </w:tc>
        <w:tc>
          <w:tcPr>
            <w:tcW w:w="369" w:type="pct"/>
            <w:tcBorders>
              <w:tl2br w:val="nil"/>
              <w:tr2bl w:val="nil"/>
            </w:tcBorders>
            <w:shd w:val="clear" w:color="auto" w:fill="auto"/>
            <w:vAlign w:val="center"/>
          </w:tcPr>
          <w:p w14:paraId="28449022">
            <w:pPr>
              <w:pStyle w:val="58"/>
              <w:bidi w:val="0"/>
              <w:rPr>
                <w:rFonts w:hint="default"/>
                <w:highlight w:val="none"/>
                <w:lang w:val="en-US" w:eastAsia="zh-CN"/>
              </w:rPr>
            </w:pPr>
            <w:r>
              <w:rPr>
                <w:rFonts w:hint="default"/>
                <w:highlight w:val="none"/>
                <w:lang w:val="en-US" w:eastAsia="zh-CN"/>
              </w:rPr>
              <w:t>0.413</w:t>
            </w:r>
          </w:p>
        </w:tc>
        <w:tc>
          <w:tcPr>
            <w:tcW w:w="369" w:type="pct"/>
            <w:tcBorders>
              <w:tl2br w:val="nil"/>
              <w:tr2bl w:val="nil"/>
            </w:tcBorders>
            <w:shd w:val="clear" w:color="auto" w:fill="auto"/>
            <w:vAlign w:val="center"/>
          </w:tcPr>
          <w:p w14:paraId="283CB8CE">
            <w:pPr>
              <w:pStyle w:val="58"/>
              <w:bidi w:val="0"/>
              <w:rPr>
                <w:rFonts w:hint="default"/>
                <w:highlight w:val="none"/>
                <w:lang w:val="en-US" w:eastAsia="zh-CN"/>
              </w:rPr>
            </w:pPr>
            <w:r>
              <w:rPr>
                <w:rFonts w:hint="default"/>
                <w:highlight w:val="none"/>
                <w:lang w:val="en-US" w:eastAsia="zh-CN"/>
              </w:rPr>
              <w:t>0.424</w:t>
            </w:r>
          </w:p>
        </w:tc>
        <w:tc>
          <w:tcPr>
            <w:tcW w:w="369" w:type="pct"/>
            <w:tcBorders>
              <w:tl2br w:val="nil"/>
              <w:tr2bl w:val="nil"/>
            </w:tcBorders>
            <w:shd w:val="clear" w:color="auto" w:fill="auto"/>
            <w:vAlign w:val="center"/>
          </w:tcPr>
          <w:p w14:paraId="5AE9EB9C">
            <w:pPr>
              <w:pStyle w:val="58"/>
              <w:bidi w:val="0"/>
              <w:rPr>
                <w:rFonts w:hint="default"/>
                <w:highlight w:val="none"/>
                <w:lang w:val="en-US" w:eastAsia="zh-CN"/>
              </w:rPr>
            </w:pPr>
            <w:r>
              <w:rPr>
                <w:rFonts w:hint="default"/>
                <w:highlight w:val="none"/>
                <w:lang w:val="en-US" w:eastAsia="zh-CN"/>
              </w:rPr>
              <w:t>0.480</w:t>
            </w:r>
          </w:p>
        </w:tc>
        <w:tc>
          <w:tcPr>
            <w:tcW w:w="369" w:type="pct"/>
            <w:tcBorders>
              <w:tl2br w:val="nil"/>
              <w:tr2bl w:val="nil"/>
            </w:tcBorders>
            <w:shd w:val="clear" w:color="auto" w:fill="auto"/>
            <w:vAlign w:val="center"/>
          </w:tcPr>
          <w:p w14:paraId="57F397F2">
            <w:pPr>
              <w:pStyle w:val="58"/>
              <w:bidi w:val="0"/>
              <w:rPr>
                <w:rFonts w:hint="default"/>
                <w:highlight w:val="none"/>
                <w:lang w:val="en-US" w:eastAsia="zh-CN"/>
              </w:rPr>
            </w:pPr>
            <w:r>
              <w:rPr>
                <w:rFonts w:hint="default"/>
                <w:highlight w:val="none"/>
                <w:lang w:val="en-US" w:eastAsia="zh-CN"/>
              </w:rPr>
              <w:t>0.409</w:t>
            </w:r>
          </w:p>
        </w:tc>
        <w:tc>
          <w:tcPr>
            <w:tcW w:w="369" w:type="pct"/>
            <w:tcBorders>
              <w:tl2br w:val="nil"/>
              <w:tr2bl w:val="nil"/>
            </w:tcBorders>
            <w:shd w:val="clear" w:color="auto" w:fill="auto"/>
            <w:vAlign w:val="center"/>
          </w:tcPr>
          <w:p w14:paraId="0A7D201B">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0.160</w:t>
            </w:r>
          </w:p>
        </w:tc>
        <w:tc>
          <w:tcPr>
            <w:tcW w:w="369" w:type="pct"/>
            <w:tcBorders>
              <w:tl2br w:val="nil"/>
              <w:tr2bl w:val="nil"/>
            </w:tcBorders>
            <w:shd w:val="clear" w:color="auto" w:fill="auto"/>
            <w:vAlign w:val="center"/>
          </w:tcPr>
          <w:p w14:paraId="7214D28A">
            <w:pPr>
              <w:pStyle w:val="58"/>
              <w:bidi w:val="0"/>
              <w:rPr>
                <w:rFonts w:hint="default"/>
                <w:highlight w:val="none"/>
                <w:lang w:val="en-US" w:eastAsia="zh-CN"/>
              </w:rPr>
            </w:pPr>
            <w:r>
              <w:rPr>
                <w:rFonts w:hint="default"/>
                <w:highlight w:val="none"/>
                <w:lang w:val="en-US" w:eastAsia="zh-CN"/>
              </w:rPr>
              <w:t>0.204</w:t>
            </w:r>
          </w:p>
        </w:tc>
        <w:tc>
          <w:tcPr>
            <w:tcW w:w="371" w:type="pct"/>
            <w:tcBorders>
              <w:tl2br w:val="nil"/>
              <w:tr2bl w:val="nil"/>
            </w:tcBorders>
            <w:shd w:val="clear" w:color="auto" w:fill="auto"/>
            <w:vAlign w:val="center"/>
          </w:tcPr>
          <w:p w14:paraId="4F7D4B8B">
            <w:pPr>
              <w:pStyle w:val="58"/>
              <w:bidi w:val="0"/>
              <w:rPr>
                <w:rFonts w:hint="default"/>
                <w:highlight w:val="none"/>
                <w:lang w:val="en-US" w:eastAsia="zh-CN"/>
              </w:rPr>
            </w:pPr>
            <w:r>
              <w:rPr>
                <w:rFonts w:hint="default"/>
                <w:highlight w:val="none"/>
                <w:lang w:val="en-US" w:eastAsia="zh-CN"/>
              </w:rPr>
              <w:t>0.274</w:t>
            </w:r>
          </w:p>
        </w:tc>
      </w:tr>
      <w:tr w14:paraId="249D5D7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472523F7">
            <w:pPr>
              <w:pStyle w:val="58"/>
              <w:numPr>
                <w:ilvl w:val="0"/>
                <w:numId w:val="31"/>
              </w:numPr>
              <w:bidi w:val="0"/>
              <w:ind w:left="425" w:leftChars="0" w:hanging="425" w:firstLineChars="0"/>
              <w:rPr>
                <w:rFonts w:hint="default"/>
                <w:highlight w:val="none"/>
              </w:rPr>
            </w:pPr>
          </w:p>
        </w:tc>
        <w:tc>
          <w:tcPr>
            <w:tcW w:w="477" w:type="pct"/>
            <w:tcBorders>
              <w:tl2br w:val="nil"/>
              <w:tr2bl w:val="nil"/>
            </w:tcBorders>
            <w:shd w:val="clear" w:color="auto" w:fill="auto"/>
            <w:vAlign w:val="center"/>
          </w:tcPr>
          <w:p w14:paraId="370E23EA">
            <w:pPr>
              <w:pStyle w:val="58"/>
              <w:bidi w:val="0"/>
              <w:rPr>
                <w:rFonts w:hint="default"/>
                <w:highlight w:val="none"/>
                <w:lang w:val="en-US" w:eastAsia="zh-CN"/>
              </w:rPr>
            </w:pPr>
            <w:r>
              <w:rPr>
                <w:rFonts w:hint="default"/>
                <w:highlight w:val="none"/>
                <w:lang w:val="en-US" w:eastAsia="zh-CN"/>
              </w:rPr>
              <w:t>亚硝酸盐氮</w:t>
            </w:r>
          </w:p>
        </w:tc>
        <w:tc>
          <w:tcPr>
            <w:tcW w:w="317" w:type="pct"/>
            <w:tcBorders>
              <w:tl2br w:val="nil"/>
              <w:tr2bl w:val="nil"/>
            </w:tcBorders>
            <w:shd w:val="clear" w:color="auto" w:fill="auto"/>
            <w:vAlign w:val="center"/>
          </w:tcPr>
          <w:p w14:paraId="4BCF8545">
            <w:pPr>
              <w:pStyle w:val="58"/>
              <w:bidi w:val="0"/>
              <w:rPr>
                <w:rFonts w:hint="default"/>
                <w:highlight w:val="none"/>
                <w:lang w:val="en-US" w:eastAsia="zh-CN"/>
              </w:rPr>
            </w:pPr>
            <w:r>
              <w:rPr>
                <w:rFonts w:hint="default"/>
                <w:highlight w:val="none"/>
                <w:lang w:val="en-US" w:eastAsia="zh-CN"/>
              </w:rPr>
              <w:t>mg/L</w:t>
            </w:r>
          </w:p>
        </w:tc>
        <w:tc>
          <w:tcPr>
            <w:tcW w:w="364" w:type="pct"/>
            <w:tcBorders>
              <w:tl2br w:val="nil"/>
              <w:tr2bl w:val="nil"/>
            </w:tcBorders>
            <w:shd w:val="clear" w:color="auto" w:fill="auto"/>
            <w:noWrap/>
            <w:vAlign w:val="center"/>
          </w:tcPr>
          <w:p w14:paraId="16B86696">
            <w:pPr>
              <w:pStyle w:val="58"/>
              <w:bidi w:val="0"/>
              <w:rPr>
                <w:rFonts w:hint="default"/>
                <w:highlight w:val="none"/>
                <w:lang w:val="en-US" w:eastAsia="zh-CN"/>
              </w:rPr>
            </w:pPr>
            <w:r>
              <w:rPr>
                <w:rFonts w:hint="default"/>
                <w:highlight w:val="none"/>
                <w:lang w:val="en-US" w:eastAsia="zh-CN"/>
              </w:rPr>
              <w:t>1.0</w:t>
            </w:r>
          </w:p>
        </w:tc>
        <w:tc>
          <w:tcPr>
            <w:tcW w:w="369" w:type="pct"/>
            <w:tcBorders>
              <w:tl2br w:val="nil"/>
              <w:tr2bl w:val="nil"/>
            </w:tcBorders>
            <w:shd w:val="clear" w:color="auto" w:fill="auto"/>
            <w:vAlign w:val="center"/>
          </w:tcPr>
          <w:p w14:paraId="68766C50">
            <w:pPr>
              <w:pStyle w:val="58"/>
              <w:bidi w:val="0"/>
              <w:rPr>
                <w:rFonts w:hint="default"/>
                <w:highlight w:val="none"/>
                <w:lang w:val="en-US"/>
              </w:rPr>
            </w:pPr>
            <w:r>
              <w:rPr>
                <w:rFonts w:hint="default"/>
                <w:highlight w:val="none"/>
                <w:lang w:val="en-US" w:eastAsia="zh-CN"/>
              </w:rPr>
              <w:t>0.026</w:t>
            </w:r>
          </w:p>
        </w:tc>
        <w:tc>
          <w:tcPr>
            <w:tcW w:w="369" w:type="pct"/>
            <w:tcBorders>
              <w:tl2br w:val="nil"/>
              <w:tr2bl w:val="nil"/>
            </w:tcBorders>
            <w:shd w:val="clear" w:color="auto" w:fill="auto"/>
            <w:vAlign w:val="center"/>
          </w:tcPr>
          <w:p w14:paraId="0B2F74B9">
            <w:pPr>
              <w:pStyle w:val="58"/>
              <w:bidi w:val="0"/>
              <w:rPr>
                <w:rFonts w:hint="default"/>
                <w:highlight w:val="none"/>
                <w:lang w:val="en-US" w:eastAsia="zh-CN"/>
              </w:rPr>
            </w:pPr>
            <w:r>
              <w:rPr>
                <w:rFonts w:hint="default"/>
                <w:highlight w:val="none"/>
                <w:lang w:val="en-US" w:eastAsia="zh-CN"/>
              </w:rPr>
              <w:t>0.024</w:t>
            </w:r>
          </w:p>
        </w:tc>
        <w:tc>
          <w:tcPr>
            <w:tcW w:w="369" w:type="pct"/>
            <w:tcBorders>
              <w:tl2br w:val="nil"/>
              <w:tr2bl w:val="nil"/>
            </w:tcBorders>
            <w:shd w:val="clear" w:color="auto" w:fill="auto"/>
            <w:vAlign w:val="center"/>
          </w:tcPr>
          <w:p w14:paraId="7697C1EB">
            <w:pPr>
              <w:pStyle w:val="58"/>
              <w:bidi w:val="0"/>
              <w:rPr>
                <w:rFonts w:hint="default"/>
                <w:highlight w:val="none"/>
                <w:lang w:val="en-US" w:eastAsia="zh-CN"/>
              </w:rPr>
            </w:pPr>
            <w:r>
              <w:rPr>
                <w:rFonts w:hint="default"/>
                <w:highlight w:val="none"/>
                <w:lang w:val="en-US" w:eastAsia="zh-CN"/>
              </w:rPr>
              <w:t>0.023</w:t>
            </w:r>
          </w:p>
        </w:tc>
        <w:tc>
          <w:tcPr>
            <w:tcW w:w="369" w:type="pct"/>
            <w:tcBorders>
              <w:tl2br w:val="nil"/>
              <w:tr2bl w:val="nil"/>
            </w:tcBorders>
            <w:shd w:val="clear" w:color="auto" w:fill="auto"/>
            <w:vAlign w:val="center"/>
          </w:tcPr>
          <w:p w14:paraId="2231FBE8">
            <w:pPr>
              <w:pStyle w:val="58"/>
              <w:bidi w:val="0"/>
              <w:rPr>
                <w:rFonts w:hint="default"/>
                <w:highlight w:val="none"/>
                <w:lang w:val="en-US" w:eastAsia="zh-CN"/>
              </w:rPr>
            </w:pPr>
            <w:r>
              <w:rPr>
                <w:rFonts w:hint="default"/>
                <w:highlight w:val="none"/>
                <w:lang w:val="en-US" w:eastAsia="zh-CN"/>
              </w:rPr>
              <w:t>0.028</w:t>
            </w:r>
          </w:p>
        </w:tc>
        <w:tc>
          <w:tcPr>
            <w:tcW w:w="369" w:type="pct"/>
            <w:tcBorders>
              <w:tl2br w:val="nil"/>
              <w:tr2bl w:val="nil"/>
            </w:tcBorders>
            <w:shd w:val="clear" w:color="auto" w:fill="auto"/>
            <w:vAlign w:val="center"/>
          </w:tcPr>
          <w:p w14:paraId="1C98A129">
            <w:pPr>
              <w:pStyle w:val="58"/>
              <w:bidi w:val="0"/>
              <w:rPr>
                <w:rFonts w:hint="default"/>
                <w:highlight w:val="none"/>
                <w:lang w:val="en-US" w:eastAsia="zh-CN"/>
              </w:rPr>
            </w:pPr>
            <w:r>
              <w:rPr>
                <w:rFonts w:hint="default"/>
                <w:highlight w:val="none"/>
                <w:lang w:val="en-US" w:eastAsia="zh-CN"/>
              </w:rPr>
              <w:t>0.025</w:t>
            </w:r>
          </w:p>
        </w:tc>
        <w:tc>
          <w:tcPr>
            <w:tcW w:w="369" w:type="pct"/>
            <w:tcBorders>
              <w:tl2br w:val="nil"/>
              <w:tr2bl w:val="nil"/>
            </w:tcBorders>
            <w:shd w:val="clear" w:color="auto" w:fill="auto"/>
            <w:vAlign w:val="center"/>
          </w:tcPr>
          <w:p w14:paraId="7896BA76">
            <w:pPr>
              <w:pStyle w:val="58"/>
              <w:bidi w:val="0"/>
              <w:rPr>
                <w:rFonts w:hint="default"/>
                <w:highlight w:val="none"/>
                <w:lang w:val="en-US" w:eastAsia="zh-CN"/>
              </w:rPr>
            </w:pPr>
            <w:r>
              <w:rPr>
                <w:rFonts w:hint="default"/>
                <w:highlight w:val="none"/>
                <w:lang w:val="en-US" w:eastAsia="zh-CN"/>
              </w:rPr>
              <w:t>0.037</w:t>
            </w:r>
          </w:p>
        </w:tc>
        <w:tc>
          <w:tcPr>
            <w:tcW w:w="369" w:type="pct"/>
            <w:tcBorders>
              <w:tl2br w:val="nil"/>
              <w:tr2bl w:val="nil"/>
            </w:tcBorders>
            <w:shd w:val="clear" w:color="auto" w:fill="auto"/>
            <w:vAlign w:val="center"/>
          </w:tcPr>
          <w:p w14:paraId="40A0274C">
            <w:pPr>
              <w:pStyle w:val="58"/>
              <w:bidi w:val="0"/>
              <w:rPr>
                <w:rFonts w:hint="default"/>
                <w:highlight w:val="none"/>
                <w:lang w:val="en-US" w:eastAsia="zh-CN"/>
              </w:rPr>
            </w:pPr>
            <w:r>
              <w:rPr>
                <w:rFonts w:hint="default"/>
                <w:highlight w:val="none"/>
                <w:lang w:val="en-US" w:eastAsia="zh-CN"/>
              </w:rPr>
              <w:t>0.048</w:t>
            </w:r>
          </w:p>
        </w:tc>
        <w:tc>
          <w:tcPr>
            <w:tcW w:w="369" w:type="pct"/>
            <w:tcBorders>
              <w:tl2br w:val="nil"/>
              <w:tr2bl w:val="nil"/>
            </w:tcBorders>
            <w:shd w:val="clear" w:color="auto" w:fill="auto"/>
            <w:vAlign w:val="center"/>
          </w:tcPr>
          <w:p w14:paraId="62CD92CA">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0.014</w:t>
            </w:r>
          </w:p>
        </w:tc>
        <w:tc>
          <w:tcPr>
            <w:tcW w:w="369" w:type="pct"/>
            <w:tcBorders>
              <w:tl2br w:val="nil"/>
              <w:tr2bl w:val="nil"/>
            </w:tcBorders>
            <w:shd w:val="clear" w:color="auto" w:fill="auto"/>
            <w:vAlign w:val="center"/>
          </w:tcPr>
          <w:p w14:paraId="7B666CAD">
            <w:pPr>
              <w:pStyle w:val="58"/>
              <w:bidi w:val="0"/>
              <w:rPr>
                <w:rFonts w:hint="default"/>
                <w:highlight w:val="none"/>
                <w:lang w:val="en-US" w:eastAsia="zh-CN"/>
              </w:rPr>
            </w:pPr>
            <w:r>
              <w:rPr>
                <w:rFonts w:hint="default"/>
                <w:highlight w:val="none"/>
                <w:lang w:val="en-US" w:eastAsia="zh-CN"/>
              </w:rPr>
              <w:t>0.012</w:t>
            </w:r>
          </w:p>
        </w:tc>
        <w:tc>
          <w:tcPr>
            <w:tcW w:w="371" w:type="pct"/>
            <w:tcBorders>
              <w:tl2br w:val="nil"/>
              <w:tr2bl w:val="nil"/>
            </w:tcBorders>
            <w:shd w:val="clear" w:color="auto" w:fill="auto"/>
            <w:vAlign w:val="center"/>
          </w:tcPr>
          <w:p w14:paraId="2A0D50A1">
            <w:pPr>
              <w:pStyle w:val="58"/>
              <w:bidi w:val="0"/>
              <w:rPr>
                <w:rFonts w:hint="default"/>
                <w:highlight w:val="none"/>
                <w:lang w:val="en-US" w:eastAsia="zh-CN"/>
              </w:rPr>
            </w:pPr>
            <w:r>
              <w:rPr>
                <w:rFonts w:hint="default"/>
                <w:highlight w:val="none"/>
                <w:lang w:val="en-US" w:eastAsia="zh-CN"/>
              </w:rPr>
              <w:t>0.016</w:t>
            </w:r>
          </w:p>
        </w:tc>
      </w:tr>
      <w:tr w14:paraId="39F17BF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6751297A">
            <w:pPr>
              <w:pStyle w:val="58"/>
              <w:numPr>
                <w:ilvl w:val="0"/>
                <w:numId w:val="31"/>
              </w:numPr>
              <w:bidi w:val="0"/>
              <w:ind w:left="425" w:leftChars="0" w:hanging="425" w:firstLineChars="0"/>
              <w:rPr>
                <w:rFonts w:hint="default"/>
                <w:highlight w:val="none"/>
              </w:rPr>
            </w:pPr>
          </w:p>
        </w:tc>
        <w:tc>
          <w:tcPr>
            <w:tcW w:w="477" w:type="pct"/>
            <w:tcBorders>
              <w:tl2br w:val="nil"/>
              <w:tr2bl w:val="nil"/>
            </w:tcBorders>
            <w:shd w:val="clear" w:color="auto" w:fill="auto"/>
            <w:vAlign w:val="center"/>
          </w:tcPr>
          <w:p w14:paraId="470F10D5">
            <w:pPr>
              <w:pStyle w:val="58"/>
              <w:bidi w:val="0"/>
              <w:rPr>
                <w:rFonts w:hint="default"/>
                <w:highlight w:val="none"/>
                <w:lang w:val="en-US" w:eastAsia="zh-CN"/>
              </w:rPr>
            </w:pPr>
            <w:r>
              <w:rPr>
                <w:rFonts w:hint="default"/>
                <w:highlight w:val="none"/>
                <w:lang w:val="en-US" w:eastAsia="zh-CN"/>
              </w:rPr>
              <w:t>挥发酚类</w:t>
            </w:r>
          </w:p>
          <w:p w14:paraId="29DB5960">
            <w:pPr>
              <w:pStyle w:val="58"/>
              <w:bidi w:val="0"/>
              <w:rPr>
                <w:rFonts w:hint="default"/>
                <w:highlight w:val="none"/>
                <w:lang w:val="en-US" w:eastAsia="zh-CN"/>
              </w:rPr>
            </w:pPr>
            <w:r>
              <w:rPr>
                <w:rFonts w:hint="default"/>
                <w:highlight w:val="none"/>
                <w:lang w:val="en-US" w:eastAsia="zh-CN"/>
              </w:rPr>
              <w:t>(以苯酚计)</w:t>
            </w:r>
          </w:p>
        </w:tc>
        <w:tc>
          <w:tcPr>
            <w:tcW w:w="317" w:type="pct"/>
            <w:tcBorders>
              <w:tl2br w:val="nil"/>
              <w:tr2bl w:val="nil"/>
            </w:tcBorders>
            <w:shd w:val="clear" w:color="auto" w:fill="auto"/>
            <w:vAlign w:val="center"/>
          </w:tcPr>
          <w:p w14:paraId="6514DEE1">
            <w:pPr>
              <w:pStyle w:val="58"/>
              <w:bidi w:val="0"/>
              <w:rPr>
                <w:rFonts w:hint="default"/>
                <w:highlight w:val="none"/>
                <w:lang w:val="en-US" w:eastAsia="zh-CN"/>
              </w:rPr>
            </w:pPr>
            <w:r>
              <w:rPr>
                <w:rFonts w:hint="default"/>
                <w:highlight w:val="none"/>
                <w:lang w:val="en-US" w:eastAsia="zh-CN"/>
              </w:rPr>
              <w:t>mg/L</w:t>
            </w:r>
          </w:p>
        </w:tc>
        <w:tc>
          <w:tcPr>
            <w:tcW w:w="364" w:type="pct"/>
            <w:tcBorders>
              <w:tl2br w:val="nil"/>
              <w:tr2bl w:val="nil"/>
            </w:tcBorders>
            <w:shd w:val="clear" w:color="auto" w:fill="auto"/>
            <w:noWrap/>
            <w:vAlign w:val="center"/>
          </w:tcPr>
          <w:p w14:paraId="1161DE2F">
            <w:pPr>
              <w:pStyle w:val="58"/>
              <w:bidi w:val="0"/>
              <w:rPr>
                <w:rFonts w:hint="default"/>
                <w:highlight w:val="none"/>
                <w:lang w:val="en-US" w:eastAsia="zh-CN"/>
              </w:rPr>
            </w:pPr>
            <w:r>
              <w:rPr>
                <w:rFonts w:hint="default"/>
                <w:highlight w:val="none"/>
                <w:lang w:val="en-US" w:eastAsia="zh-CN"/>
              </w:rPr>
              <w:t>0.002</w:t>
            </w:r>
          </w:p>
        </w:tc>
        <w:tc>
          <w:tcPr>
            <w:tcW w:w="369" w:type="pct"/>
            <w:tcBorders>
              <w:tl2br w:val="nil"/>
              <w:tr2bl w:val="nil"/>
            </w:tcBorders>
            <w:shd w:val="clear" w:color="auto" w:fill="auto"/>
            <w:vAlign w:val="center"/>
          </w:tcPr>
          <w:p w14:paraId="3775E95E">
            <w:pPr>
              <w:pStyle w:val="58"/>
              <w:bidi w:val="0"/>
              <w:rPr>
                <w:rFonts w:hint="default"/>
                <w:highlight w:val="none"/>
                <w:lang w:val="en-US"/>
              </w:rPr>
            </w:pPr>
            <w:r>
              <w:rPr>
                <w:rFonts w:hint="default"/>
                <w:highlight w:val="none"/>
                <w:lang w:val="en-US" w:eastAsia="zh-CN"/>
              </w:rPr>
              <w:t>0.0016</w:t>
            </w:r>
          </w:p>
        </w:tc>
        <w:tc>
          <w:tcPr>
            <w:tcW w:w="369" w:type="pct"/>
            <w:tcBorders>
              <w:tl2br w:val="nil"/>
              <w:tr2bl w:val="nil"/>
            </w:tcBorders>
            <w:shd w:val="clear" w:color="auto" w:fill="auto"/>
            <w:vAlign w:val="center"/>
          </w:tcPr>
          <w:p w14:paraId="6A7C6409">
            <w:pPr>
              <w:pStyle w:val="58"/>
              <w:bidi w:val="0"/>
              <w:rPr>
                <w:rFonts w:hint="default"/>
                <w:highlight w:val="none"/>
                <w:lang w:val="en-US" w:eastAsia="zh-CN"/>
              </w:rPr>
            </w:pPr>
            <w:r>
              <w:rPr>
                <w:rFonts w:hint="default"/>
                <w:highlight w:val="none"/>
                <w:lang w:val="en-US" w:eastAsia="zh-CN"/>
              </w:rPr>
              <w:t>0.0016</w:t>
            </w:r>
          </w:p>
        </w:tc>
        <w:tc>
          <w:tcPr>
            <w:tcW w:w="369" w:type="pct"/>
            <w:tcBorders>
              <w:tl2br w:val="nil"/>
              <w:tr2bl w:val="nil"/>
            </w:tcBorders>
            <w:shd w:val="clear" w:color="auto" w:fill="auto"/>
            <w:vAlign w:val="center"/>
          </w:tcPr>
          <w:p w14:paraId="6969D33A">
            <w:pPr>
              <w:pStyle w:val="58"/>
              <w:bidi w:val="0"/>
              <w:rPr>
                <w:rFonts w:hint="default"/>
                <w:highlight w:val="none"/>
                <w:lang w:val="en-US" w:eastAsia="zh-CN"/>
              </w:rPr>
            </w:pPr>
            <w:r>
              <w:rPr>
                <w:rFonts w:hint="default"/>
                <w:highlight w:val="none"/>
                <w:lang w:val="en-US" w:eastAsia="zh-CN"/>
              </w:rPr>
              <w:t>0.0014</w:t>
            </w:r>
          </w:p>
        </w:tc>
        <w:tc>
          <w:tcPr>
            <w:tcW w:w="369" w:type="pct"/>
            <w:tcBorders>
              <w:tl2br w:val="nil"/>
              <w:tr2bl w:val="nil"/>
            </w:tcBorders>
            <w:shd w:val="clear" w:color="auto" w:fill="auto"/>
            <w:vAlign w:val="center"/>
          </w:tcPr>
          <w:p w14:paraId="5E60EE0A">
            <w:pPr>
              <w:pStyle w:val="58"/>
              <w:bidi w:val="0"/>
              <w:rPr>
                <w:rFonts w:hint="default"/>
                <w:highlight w:val="none"/>
                <w:lang w:val="en-US" w:eastAsia="zh-CN"/>
              </w:rPr>
            </w:pPr>
            <w:r>
              <w:rPr>
                <w:rFonts w:hint="default"/>
                <w:highlight w:val="none"/>
                <w:lang w:val="en-US" w:eastAsia="zh-CN"/>
              </w:rPr>
              <w:t>0.0015</w:t>
            </w:r>
          </w:p>
        </w:tc>
        <w:tc>
          <w:tcPr>
            <w:tcW w:w="369" w:type="pct"/>
            <w:tcBorders>
              <w:tl2br w:val="nil"/>
              <w:tr2bl w:val="nil"/>
            </w:tcBorders>
            <w:shd w:val="clear" w:color="auto" w:fill="auto"/>
            <w:vAlign w:val="center"/>
          </w:tcPr>
          <w:p w14:paraId="78678376">
            <w:pPr>
              <w:pStyle w:val="58"/>
              <w:bidi w:val="0"/>
              <w:rPr>
                <w:rFonts w:hint="default"/>
                <w:highlight w:val="none"/>
                <w:lang w:val="en-US" w:eastAsia="zh-CN"/>
              </w:rPr>
            </w:pPr>
            <w:r>
              <w:rPr>
                <w:rFonts w:hint="default"/>
                <w:highlight w:val="none"/>
                <w:lang w:val="en-US" w:eastAsia="zh-CN"/>
              </w:rPr>
              <w:t>0.0014</w:t>
            </w:r>
          </w:p>
        </w:tc>
        <w:tc>
          <w:tcPr>
            <w:tcW w:w="369" w:type="pct"/>
            <w:tcBorders>
              <w:tl2br w:val="nil"/>
              <w:tr2bl w:val="nil"/>
            </w:tcBorders>
            <w:shd w:val="clear" w:color="auto" w:fill="auto"/>
            <w:vAlign w:val="center"/>
          </w:tcPr>
          <w:p w14:paraId="08227DDA">
            <w:pPr>
              <w:pStyle w:val="58"/>
              <w:bidi w:val="0"/>
              <w:rPr>
                <w:rFonts w:hint="default"/>
                <w:highlight w:val="none"/>
                <w:lang w:val="en-US" w:eastAsia="zh-CN"/>
              </w:rPr>
            </w:pPr>
            <w:r>
              <w:rPr>
                <w:rFonts w:hint="default"/>
                <w:highlight w:val="none"/>
                <w:lang w:val="en-US" w:eastAsia="zh-CN"/>
              </w:rPr>
              <w:t>0.0018</w:t>
            </w:r>
          </w:p>
        </w:tc>
        <w:tc>
          <w:tcPr>
            <w:tcW w:w="369" w:type="pct"/>
            <w:tcBorders>
              <w:tl2br w:val="nil"/>
              <w:tr2bl w:val="nil"/>
            </w:tcBorders>
            <w:shd w:val="clear" w:color="auto" w:fill="auto"/>
            <w:vAlign w:val="center"/>
          </w:tcPr>
          <w:p w14:paraId="01B7A46A">
            <w:pPr>
              <w:pStyle w:val="58"/>
              <w:bidi w:val="0"/>
              <w:rPr>
                <w:rFonts w:hint="default"/>
                <w:highlight w:val="none"/>
                <w:lang w:val="en-US" w:eastAsia="zh-CN"/>
              </w:rPr>
            </w:pPr>
            <w:r>
              <w:rPr>
                <w:rFonts w:hint="default"/>
                <w:highlight w:val="none"/>
                <w:lang w:val="en-US" w:eastAsia="zh-CN"/>
              </w:rPr>
              <w:t>0.0012</w:t>
            </w:r>
          </w:p>
        </w:tc>
        <w:tc>
          <w:tcPr>
            <w:tcW w:w="369" w:type="pct"/>
            <w:tcBorders>
              <w:tl2br w:val="nil"/>
              <w:tr2bl w:val="nil"/>
            </w:tcBorders>
            <w:shd w:val="clear" w:color="auto" w:fill="auto"/>
            <w:vAlign w:val="center"/>
          </w:tcPr>
          <w:p w14:paraId="0C8293B8">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0.0006</w:t>
            </w:r>
          </w:p>
        </w:tc>
        <w:tc>
          <w:tcPr>
            <w:tcW w:w="369" w:type="pct"/>
            <w:tcBorders>
              <w:tl2br w:val="nil"/>
              <w:tr2bl w:val="nil"/>
            </w:tcBorders>
            <w:shd w:val="clear" w:color="auto" w:fill="auto"/>
            <w:vAlign w:val="center"/>
          </w:tcPr>
          <w:p w14:paraId="1464CB21">
            <w:pPr>
              <w:pStyle w:val="58"/>
              <w:bidi w:val="0"/>
              <w:rPr>
                <w:rFonts w:hint="default"/>
                <w:highlight w:val="none"/>
                <w:lang w:val="en-US" w:eastAsia="zh-CN"/>
              </w:rPr>
            </w:pPr>
            <w:r>
              <w:rPr>
                <w:rFonts w:hint="default"/>
                <w:highlight w:val="none"/>
                <w:lang w:val="en-US" w:eastAsia="zh-CN"/>
              </w:rPr>
              <w:t>0.0011</w:t>
            </w:r>
          </w:p>
        </w:tc>
        <w:tc>
          <w:tcPr>
            <w:tcW w:w="371" w:type="pct"/>
            <w:tcBorders>
              <w:tl2br w:val="nil"/>
              <w:tr2bl w:val="nil"/>
            </w:tcBorders>
            <w:shd w:val="clear" w:color="auto" w:fill="auto"/>
            <w:vAlign w:val="center"/>
          </w:tcPr>
          <w:p w14:paraId="28EA352E">
            <w:pPr>
              <w:pStyle w:val="58"/>
              <w:bidi w:val="0"/>
              <w:rPr>
                <w:rFonts w:hint="default"/>
                <w:highlight w:val="none"/>
                <w:lang w:val="en-US" w:eastAsia="zh-CN"/>
              </w:rPr>
            </w:pPr>
            <w:r>
              <w:rPr>
                <w:rFonts w:hint="default"/>
                <w:highlight w:val="none"/>
                <w:lang w:val="en-US" w:eastAsia="zh-CN"/>
              </w:rPr>
              <w:t>0.0004</w:t>
            </w:r>
          </w:p>
        </w:tc>
      </w:tr>
      <w:tr w14:paraId="5336C10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2BDEA212">
            <w:pPr>
              <w:pStyle w:val="58"/>
              <w:numPr>
                <w:ilvl w:val="0"/>
                <w:numId w:val="31"/>
              </w:numPr>
              <w:bidi w:val="0"/>
              <w:ind w:left="425" w:leftChars="0" w:hanging="425" w:firstLineChars="0"/>
              <w:rPr>
                <w:rFonts w:hint="default"/>
                <w:highlight w:val="none"/>
              </w:rPr>
            </w:pPr>
          </w:p>
        </w:tc>
        <w:tc>
          <w:tcPr>
            <w:tcW w:w="477" w:type="pct"/>
            <w:tcBorders>
              <w:tl2br w:val="nil"/>
              <w:tr2bl w:val="nil"/>
            </w:tcBorders>
            <w:shd w:val="clear" w:color="auto" w:fill="auto"/>
            <w:vAlign w:val="center"/>
          </w:tcPr>
          <w:p w14:paraId="2E53228A">
            <w:pPr>
              <w:pStyle w:val="58"/>
              <w:bidi w:val="0"/>
              <w:rPr>
                <w:rFonts w:hint="default"/>
                <w:highlight w:val="none"/>
                <w:lang w:val="en-US" w:eastAsia="zh-CN"/>
              </w:rPr>
            </w:pPr>
            <w:r>
              <w:rPr>
                <w:rFonts w:hint="default"/>
                <w:highlight w:val="none"/>
                <w:lang w:val="en-US" w:eastAsia="zh-CN"/>
              </w:rPr>
              <w:t>氰化物</w:t>
            </w:r>
          </w:p>
          <w:p w14:paraId="017AA24C">
            <w:pPr>
              <w:pStyle w:val="58"/>
              <w:bidi w:val="0"/>
              <w:rPr>
                <w:rFonts w:hint="default"/>
                <w:highlight w:val="none"/>
                <w:lang w:val="en-US" w:eastAsia="zh-CN"/>
              </w:rPr>
            </w:pPr>
            <w:r>
              <w:rPr>
                <w:rFonts w:hint="default"/>
                <w:highlight w:val="none"/>
                <w:lang w:val="en-US" w:eastAsia="zh-CN"/>
              </w:rPr>
              <w:t>（以CN-计）</w:t>
            </w:r>
          </w:p>
        </w:tc>
        <w:tc>
          <w:tcPr>
            <w:tcW w:w="317" w:type="pct"/>
            <w:tcBorders>
              <w:tl2br w:val="nil"/>
              <w:tr2bl w:val="nil"/>
            </w:tcBorders>
            <w:shd w:val="clear" w:color="auto" w:fill="auto"/>
            <w:vAlign w:val="center"/>
          </w:tcPr>
          <w:p w14:paraId="37F38ECE">
            <w:pPr>
              <w:pStyle w:val="58"/>
              <w:bidi w:val="0"/>
              <w:rPr>
                <w:rFonts w:hint="default"/>
                <w:highlight w:val="none"/>
                <w:lang w:val="en-US" w:eastAsia="zh-CN"/>
              </w:rPr>
            </w:pPr>
            <w:r>
              <w:rPr>
                <w:rFonts w:hint="default"/>
                <w:highlight w:val="none"/>
                <w:lang w:val="en-US" w:eastAsia="zh-CN"/>
              </w:rPr>
              <w:t>mg/L</w:t>
            </w:r>
          </w:p>
        </w:tc>
        <w:tc>
          <w:tcPr>
            <w:tcW w:w="364" w:type="pct"/>
            <w:tcBorders>
              <w:tl2br w:val="nil"/>
              <w:tr2bl w:val="nil"/>
            </w:tcBorders>
            <w:shd w:val="clear" w:color="auto" w:fill="auto"/>
            <w:noWrap/>
            <w:vAlign w:val="center"/>
          </w:tcPr>
          <w:p w14:paraId="3AB4DC77">
            <w:pPr>
              <w:pStyle w:val="58"/>
              <w:bidi w:val="0"/>
              <w:rPr>
                <w:rFonts w:hint="default"/>
                <w:highlight w:val="none"/>
                <w:lang w:val="en-US" w:eastAsia="zh-CN"/>
              </w:rPr>
            </w:pPr>
            <w:r>
              <w:rPr>
                <w:rFonts w:hint="default"/>
                <w:highlight w:val="none"/>
                <w:lang w:val="en-US" w:eastAsia="zh-CN"/>
              </w:rPr>
              <w:t>0.05</w:t>
            </w:r>
          </w:p>
        </w:tc>
        <w:tc>
          <w:tcPr>
            <w:tcW w:w="369" w:type="pct"/>
            <w:tcBorders>
              <w:tl2br w:val="nil"/>
              <w:tr2bl w:val="nil"/>
            </w:tcBorders>
            <w:shd w:val="clear" w:color="auto" w:fill="auto"/>
            <w:vAlign w:val="center"/>
          </w:tcPr>
          <w:p w14:paraId="3328E28F">
            <w:pPr>
              <w:pStyle w:val="58"/>
              <w:bidi w:val="0"/>
              <w:rPr>
                <w:rFonts w:hint="default"/>
                <w:highlight w:val="none"/>
              </w:rPr>
            </w:pPr>
            <w:r>
              <w:rPr>
                <w:rFonts w:hint="default"/>
                <w:highlight w:val="none"/>
                <w:lang w:val="en-US" w:eastAsia="zh-CN"/>
              </w:rPr>
              <w:t>ND</w:t>
            </w:r>
          </w:p>
        </w:tc>
        <w:tc>
          <w:tcPr>
            <w:tcW w:w="369" w:type="pct"/>
            <w:tcBorders>
              <w:tl2br w:val="nil"/>
              <w:tr2bl w:val="nil"/>
            </w:tcBorders>
            <w:shd w:val="clear" w:color="auto" w:fill="auto"/>
            <w:vAlign w:val="center"/>
          </w:tcPr>
          <w:p w14:paraId="2602E1E7">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74FAE2E5">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5A621FE2">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6222EE1D">
            <w:pPr>
              <w:pStyle w:val="58"/>
              <w:bidi w:val="0"/>
              <w:rPr>
                <w:rFonts w:hint="default"/>
                <w:highlight w:val="none"/>
              </w:rPr>
            </w:pPr>
            <w:r>
              <w:rPr>
                <w:rFonts w:hint="default"/>
                <w:highlight w:val="none"/>
                <w:lang w:val="en-US" w:eastAsia="zh-CN"/>
              </w:rPr>
              <w:t>ND</w:t>
            </w:r>
          </w:p>
        </w:tc>
        <w:tc>
          <w:tcPr>
            <w:tcW w:w="369" w:type="pct"/>
            <w:tcBorders>
              <w:tl2br w:val="nil"/>
              <w:tr2bl w:val="nil"/>
            </w:tcBorders>
            <w:shd w:val="clear" w:color="auto" w:fill="auto"/>
            <w:vAlign w:val="center"/>
          </w:tcPr>
          <w:p w14:paraId="2FD1D434">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63EDEF7C">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2D791458">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ND</w:t>
            </w:r>
          </w:p>
        </w:tc>
        <w:tc>
          <w:tcPr>
            <w:tcW w:w="369" w:type="pct"/>
            <w:tcBorders>
              <w:tl2br w:val="nil"/>
              <w:tr2bl w:val="nil"/>
            </w:tcBorders>
            <w:shd w:val="clear" w:color="auto" w:fill="auto"/>
            <w:vAlign w:val="center"/>
          </w:tcPr>
          <w:p w14:paraId="46E966C5">
            <w:pPr>
              <w:pStyle w:val="58"/>
              <w:bidi w:val="0"/>
              <w:rPr>
                <w:rFonts w:hint="default"/>
                <w:highlight w:val="none"/>
                <w:lang w:val="en-US" w:eastAsia="zh-CN"/>
              </w:rPr>
            </w:pPr>
            <w:r>
              <w:rPr>
                <w:rFonts w:hint="default"/>
                <w:highlight w:val="none"/>
                <w:lang w:val="en-US" w:eastAsia="zh-CN"/>
              </w:rPr>
              <w:t>ND</w:t>
            </w:r>
          </w:p>
        </w:tc>
        <w:tc>
          <w:tcPr>
            <w:tcW w:w="371" w:type="pct"/>
            <w:tcBorders>
              <w:tl2br w:val="nil"/>
              <w:tr2bl w:val="nil"/>
            </w:tcBorders>
            <w:shd w:val="clear" w:color="auto" w:fill="auto"/>
            <w:vAlign w:val="center"/>
          </w:tcPr>
          <w:p w14:paraId="7464C8FF">
            <w:pPr>
              <w:pStyle w:val="58"/>
              <w:bidi w:val="0"/>
              <w:rPr>
                <w:rFonts w:hint="default"/>
                <w:highlight w:val="none"/>
                <w:lang w:val="en-US" w:eastAsia="zh-CN"/>
              </w:rPr>
            </w:pPr>
            <w:r>
              <w:rPr>
                <w:rFonts w:hint="default"/>
                <w:highlight w:val="none"/>
                <w:lang w:val="en-US" w:eastAsia="zh-CN"/>
              </w:rPr>
              <w:t>ND</w:t>
            </w:r>
          </w:p>
        </w:tc>
      </w:tr>
      <w:tr w14:paraId="63E1BCB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28E23F1F">
            <w:pPr>
              <w:pStyle w:val="58"/>
              <w:numPr>
                <w:ilvl w:val="0"/>
                <w:numId w:val="31"/>
              </w:numPr>
              <w:bidi w:val="0"/>
              <w:ind w:left="425" w:leftChars="0" w:hanging="425" w:firstLineChars="0"/>
              <w:rPr>
                <w:rFonts w:hint="default"/>
                <w:highlight w:val="none"/>
              </w:rPr>
            </w:pPr>
          </w:p>
        </w:tc>
        <w:tc>
          <w:tcPr>
            <w:tcW w:w="477" w:type="pct"/>
            <w:tcBorders>
              <w:tl2br w:val="nil"/>
              <w:tr2bl w:val="nil"/>
            </w:tcBorders>
            <w:shd w:val="clear" w:color="auto" w:fill="auto"/>
            <w:vAlign w:val="center"/>
          </w:tcPr>
          <w:p w14:paraId="2FFAEF3F">
            <w:pPr>
              <w:pStyle w:val="58"/>
              <w:bidi w:val="0"/>
              <w:rPr>
                <w:rFonts w:hint="default"/>
                <w:highlight w:val="none"/>
                <w:lang w:val="en-US" w:eastAsia="zh-CN"/>
              </w:rPr>
            </w:pPr>
            <w:r>
              <w:rPr>
                <w:rFonts w:hint="default"/>
                <w:highlight w:val="none"/>
                <w:lang w:val="en-US" w:eastAsia="zh-CN"/>
              </w:rPr>
              <w:t>铬（六价）</w:t>
            </w:r>
          </w:p>
        </w:tc>
        <w:tc>
          <w:tcPr>
            <w:tcW w:w="317" w:type="pct"/>
            <w:tcBorders>
              <w:tl2br w:val="nil"/>
              <w:tr2bl w:val="nil"/>
            </w:tcBorders>
            <w:shd w:val="clear" w:color="auto" w:fill="auto"/>
            <w:vAlign w:val="center"/>
          </w:tcPr>
          <w:p w14:paraId="4940270F">
            <w:pPr>
              <w:pStyle w:val="58"/>
              <w:bidi w:val="0"/>
              <w:rPr>
                <w:rFonts w:hint="default"/>
                <w:highlight w:val="none"/>
                <w:lang w:val="en-US" w:eastAsia="zh-CN"/>
              </w:rPr>
            </w:pPr>
            <w:r>
              <w:rPr>
                <w:rFonts w:hint="default"/>
                <w:highlight w:val="none"/>
                <w:lang w:val="en-US" w:eastAsia="zh-CN"/>
              </w:rPr>
              <w:t>mg/L</w:t>
            </w:r>
          </w:p>
        </w:tc>
        <w:tc>
          <w:tcPr>
            <w:tcW w:w="364" w:type="pct"/>
            <w:tcBorders>
              <w:tl2br w:val="nil"/>
              <w:tr2bl w:val="nil"/>
            </w:tcBorders>
            <w:shd w:val="clear" w:color="auto" w:fill="auto"/>
            <w:noWrap/>
            <w:vAlign w:val="center"/>
          </w:tcPr>
          <w:p w14:paraId="12B92FA2">
            <w:pPr>
              <w:pStyle w:val="58"/>
              <w:bidi w:val="0"/>
              <w:rPr>
                <w:rFonts w:hint="default"/>
                <w:highlight w:val="none"/>
                <w:lang w:val="en-US" w:eastAsia="zh-CN"/>
              </w:rPr>
            </w:pPr>
            <w:r>
              <w:rPr>
                <w:rFonts w:hint="default"/>
                <w:highlight w:val="none"/>
                <w:lang w:val="en-US" w:eastAsia="zh-CN"/>
              </w:rPr>
              <w:t>0.05</w:t>
            </w:r>
          </w:p>
        </w:tc>
        <w:tc>
          <w:tcPr>
            <w:tcW w:w="369" w:type="pct"/>
            <w:tcBorders>
              <w:tl2br w:val="nil"/>
              <w:tr2bl w:val="nil"/>
            </w:tcBorders>
            <w:shd w:val="clear" w:color="auto" w:fill="auto"/>
            <w:vAlign w:val="center"/>
          </w:tcPr>
          <w:p w14:paraId="6388281C">
            <w:pPr>
              <w:pStyle w:val="58"/>
              <w:bidi w:val="0"/>
              <w:rPr>
                <w:rFonts w:hint="default"/>
                <w:highlight w:val="none"/>
              </w:rPr>
            </w:pPr>
            <w:r>
              <w:rPr>
                <w:rFonts w:hint="default"/>
                <w:highlight w:val="none"/>
                <w:lang w:val="en-US" w:eastAsia="zh-CN"/>
              </w:rPr>
              <w:t>ND</w:t>
            </w:r>
          </w:p>
        </w:tc>
        <w:tc>
          <w:tcPr>
            <w:tcW w:w="369" w:type="pct"/>
            <w:tcBorders>
              <w:tl2br w:val="nil"/>
              <w:tr2bl w:val="nil"/>
            </w:tcBorders>
            <w:shd w:val="clear" w:color="auto" w:fill="auto"/>
            <w:vAlign w:val="center"/>
          </w:tcPr>
          <w:p w14:paraId="157E9A21">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17467371">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2072C74E">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352185F3">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420A951B">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0CA363A9">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6E9486AE">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ND</w:t>
            </w:r>
          </w:p>
        </w:tc>
        <w:tc>
          <w:tcPr>
            <w:tcW w:w="369" w:type="pct"/>
            <w:tcBorders>
              <w:tl2br w:val="nil"/>
              <w:tr2bl w:val="nil"/>
            </w:tcBorders>
            <w:shd w:val="clear" w:color="auto" w:fill="auto"/>
            <w:vAlign w:val="center"/>
          </w:tcPr>
          <w:p w14:paraId="47E1E0C6">
            <w:pPr>
              <w:pStyle w:val="58"/>
              <w:bidi w:val="0"/>
              <w:rPr>
                <w:rFonts w:hint="default"/>
                <w:highlight w:val="none"/>
                <w:lang w:val="en-US" w:eastAsia="zh-CN"/>
              </w:rPr>
            </w:pPr>
            <w:r>
              <w:rPr>
                <w:rFonts w:hint="default"/>
                <w:highlight w:val="none"/>
                <w:lang w:val="en-US" w:eastAsia="zh-CN"/>
              </w:rPr>
              <w:t>ND</w:t>
            </w:r>
          </w:p>
        </w:tc>
        <w:tc>
          <w:tcPr>
            <w:tcW w:w="371" w:type="pct"/>
            <w:tcBorders>
              <w:tl2br w:val="nil"/>
              <w:tr2bl w:val="nil"/>
            </w:tcBorders>
            <w:shd w:val="clear" w:color="auto" w:fill="auto"/>
            <w:vAlign w:val="center"/>
          </w:tcPr>
          <w:p w14:paraId="5C7F0298">
            <w:pPr>
              <w:pStyle w:val="58"/>
              <w:bidi w:val="0"/>
              <w:rPr>
                <w:rFonts w:hint="default"/>
                <w:highlight w:val="none"/>
                <w:lang w:val="en-US" w:eastAsia="zh-CN"/>
              </w:rPr>
            </w:pPr>
            <w:r>
              <w:rPr>
                <w:rFonts w:hint="default"/>
                <w:highlight w:val="none"/>
                <w:lang w:val="en-US" w:eastAsia="zh-CN"/>
              </w:rPr>
              <w:t>ND</w:t>
            </w:r>
          </w:p>
        </w:tc>
      </w:tr>
      <w:tr w14:paraId="10AD401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1CB234C2">
            <w:pPr>
              <w:pStyle w:val="58"/>
              <w:numPr>
                <w:ilvl w:val="0"/>
                <w:numId w:val="31"/>
              </w:numPr>
              <w:bidi w:val="0"/>
              <w:ind w:left="425" w:leftChars="0" w:hanging="425" w:firstLineChars="0"/>
              <w:rPr>
                <w:rFonts w:hint="default"/>
                <w:highlight w:val="none"/>
              </w:rPr>
            </w:pPr>
          </w:p>
        </w:tc>
        <w:tc>
          <w:tcPr>
            <w:tcW w:w="477" w:type="pct"/>
            <w:tcBorders>
              <w:tl2br w:val="nil"/>
              <w:tr2bl w:val="nil"/>
            </w:tcBorders>
            <w:shd w:val="clear" w:color="auto" w:fill="auto"/>
            <w:vAlign w:val="center"/>
          </w:tcPr>
          <w:p w14:paraId="58D2C3BB">
            <w:pPr>
              <w:pStyle w:val="58"/>
              <w:bidi w:val="0"/>
              <w:rPr>
                <w:rFonts w:hint="default"/>
                <w:highlight w:val="none"/>
                <w:lang w:val="en-US" w:eastAsia="zh-CN"/>
              </w:rPr>
            </w:pPr>
            <w:r>
              <w:rPr>
                <w:rFonts w:hint="default"/>
                <w:highlight w:val="none"/>
                <w:lang w:val="en-US" w:eastAsia="zh-CN"/>
              </w:rPr>
              <w:t>砷</w:t>
            </w:r>
          </w:p>
        </w:tc>
        <w:tc>
          <w:tcPr>
            <w:tcW w:w="317" w:type="pct"/>
            <w:tcBorders>
              <w:tl2br w:val="nil"/>
              <w:tr2bl w:val="nil"/>
            </w:tcBorders>
            <w:shd w:val="clear" w:color="auto" w:fill="auto"/>
            <w:vAlign w:val="center"/>
          </w:tcPr>
          <w:p w14:paraId="576F9388">
            <w:pPr>
              <w:pStyle w:val="58"/>
              <w:bidi w:val="0"/>
              <w:rPr>
                <w:rFonts w:hint="default"/>
                <w:highlight w:val="none"/>
                <w:lang w:val="en-US" w:eastAsia="zh-CN"/>
              </w:rPr>
            </w:pPr>
            <w:r>
              <w:rPr>
                <w:rFonts w:hint="default"/>
                <w:highlight w:val="none"/>
                <w:lang w:val="en-US" w:eastAsia="zh-CN"/>
              </w:rPr>
              <w:t>mg/L</w:t>
            </w:r>
          </w:p>
        </w:tc>
        <w:tc>
          <w:tcPr>
            <w:tcW w:w="364" w:type="pct"/>
            <w:tcBorders>
              <w:tl2br w:val="nil"/>
              <w:tr2bl w:val="nil"/>
            </w:tcBorders>
            <w:shd w:val="clear" w:color="auto" w:fill="auto"/>
            <w:noWrap/>
            <w:vAlign w:val="center"/>
          </w:tcPr>
          <w:p w14:paraId="01A4C283">
            <w:pPr>
              <w:pStyle w:val="58"/>
              <w:bidi w:val="0"/>
              <w:rPr>
                <w:rFonts w:hint="default"/>
                <w:highlight w:val="none"/>
                <w:lang w:val="en-US"/>
              </w:rPr>
            </w:pPr>
            <w:r>
              <w:rPr>
                <w:rFonts w:hint="default"/>
                <w:highlight w:val="none"/>
                <w:lang w:val="en-US" w:eastAsia="zh-CN"/>
              </w:rPr>
              <w:t>0.01</w:t>
            </w:r>
          </w:p>
        </w:tc>
        <w:tc>
          <w:tcPr>
            <w:tcW w:w="369" w:type="pct"/>
            <w:tcBorders>
              <w:tl2br w:val="nil"/>
              <w:tr2bl w:val="nil"/>
            </w:tcBorders>
            <w:shd w:val="clear" w:color="auto" w:fill="auto"/>
            <w:vAlign w:val="center"/>
          </w:tcPr>
          <w:p w14:paraId="5E6A5341">
            <w:pPr>
              <w:pStyle w:val="58"/>
              <w:bidi w:val="0"/>
              <w:rPr>
                <w:rFonts w:hint="default"/>
                <w:highlight w:val="none"/>
              </w:rPr>
            </w:pPr>
            <w:r>
              <w:rPr>
                <w:rFonts w:hint="default"/>
                <w:highlight w:val="none"/>
                <w:lang w:val="en-US" w:eastAsia="zh-CN"/>
              </w:rPr>
              <w:t>5.9×10</w:t>
            </w:r>
            <w:r>
              <w:rPr>
                <w:rFonts w:hint="default"/>
                <w:highlight w:val="none"/>
                <w:vertAlign w:val="superscript"/>
                <w:lang w:val="en-US" w:eastAsia="zh-CN"/>
              </w:rPr>
              <w:t>-3</w:t>
            </w:r>
          </w:p>
        </w:tc>
        <w:tc>
          <w:tcPr>
            <w:tcW w:w="369" w:type="pct"/>
            <w:tcBorders>
              <w:tl2br w:val="nil"/>
              <w:tr2bl w:val="nil"/>
            </w:tcBorders>
            <w:shd w:val="clear" w:color="auto" w:fill="auto"/>
            <w:vAlign w:val="center"/>
          </w:tcPr>
          <w:p w14:paraId="06195F5E">
            <w:pPr>
              <w:pStyle w:val="58"/>
              <w:bidi w:val="0"/>
              <w:rPr>
                <w:rFonts w:hint="default"/>
                <w:highlight w:val="none"/>
                <w:lang w:val="en-US" w:eastAsia="zh-CN"/>
              </w:rPr>
            </w:pPr>
            <w:r>
              <w:rPr>
                <w:rFonts w:hint="default"/>
                <w:highlight w:val="none"/>
                <w:lang w:val="en-US" w:eastAsia="zh-CN"/>
              </w:rPr>
              <w:t>6.0×10</w:t>
            </w:r>
            <w:r>
              <w:rPr>
                <w:rFonts w:hint="default"/>
                <w:highlight w:val="none"/>
                <w:vertAlign w:val="superscript"/>
                <w:lang w:val="en-US" w:eastAsia="zh-CN"/>
              </w:rPr>
              <w:t>-3</w:t>
            </w:r>
          </w:p>
        </w:tc>
        <w:tc>
          <w:tcPr>
            <w:tcW w:w="369" w:type="pct"/>
            <w:tcBorders>
              <w:tl2br w:val="nil"/>
              <w:tr2bl w:val="nil"/>
            </w:tcBorders>
            <w:shd w:val="clear" w:color="auto" w:fill="auto"/>
            <w:vAlign w:val="center"/>
          </w:tcPr>
          <w:p w14:paraId="5A4F5330">
            <w:pPr>
              <w:pStyle w:val="58"/>
              <w:bidi w:val="0"/>
              <w:rPr>
                <w:rFonts w:hint="default"/>
                <w:highlight w:val="none"/>
                <w:lang w:val="en-US" w:eastAsia="zh-CN"/>
              </w:rPr>
            </w:pPr>
            <w:r>
              <w:rPr>
                <w:rFonts w:hint="default"/>
                <w:highlight w:val="none"/>
                <w:lang w:val="en-US" w:eastAsia="zh-CN"/>
              </w:rPr>
              <w:t>6.3×10</w:t>
            </w:r>
            <w:r>
              <w:rPr>
                <w:rFonts w:hint="default"/>
                <w:highlight w:val="none"/>
                <w:vertAlign w:val="superscript"/>
                <w:lang w:val="en-US" w:eastAsia="zh-CN"/>
              </w:rPr>
              <w:t>-3</w:t>
            </w:r>
          </w:p>
        </w:tc>
        <w:tc>
          <w:tcPr>
            <w:tcW w:w="369" w:type="pct"/>
            <w:tcBorders>
              <w:tl2br w:val="nil"/>
              <w:tr2bl w:val="nil"/>
            </w:tcBorders>
            <w:shd w:val="clear" w:color="auto" w:fill="auto"/>
            <w:vAlign w:val="center"/>
          </w:tcPr>
          <w:p w14:paraId="09CB1883">
            <w:pPr>
              <w:pStyle w:val="58"/>
              <w:bidi w:val="0"/>
              <w:rPr>
                <w:rFonts w:hint="default"/>
                <w:highlight w:val="none"/>
                <w:lang w:val="en-US" w:eastAsia="zh-CN"/>
              </w:rPr>
            </w:pPr>
            <w:r>
              <w:rPr>
                <w:rFonts w:hint="default"/>
                <w:highlight w:val="none"/>
                <w:lang w:val="en-US" w:eastAsia="zh-CN"/>
              </w:rPr>
              <w:t>6.2×10</w:t>
            </w:r>
            <w:r>
              <w:rPr>
                <w:rFonts w:hint="default"/>
                <w:highlight w:val="none"/>
                <w:vertAlign w:val="superscript"/>
                <w:lang w:val="en-US" w:eastAsia="zh-CN"/>
              </w:rPr>
              <w:t>-3</w:t>
            </w:r>
          </w:p>
        </w:tc>
        <w:tc>
          <w:tcPr>
            <w:tcW w:w="369" w:type="pct"/>
            <w:tcBorders>
              <w:tl2br w:val="nil"/>
              <w:tr2bl w:val="nil"/>
            </w:tcBorders>
            <w:shd w:val="clear" w:color="auto" w:fill="auto"/>
            <w:vAlign w:val="center"/>
          </w:tcPr>
          <w:p w14:paraId="56F04D1F">
            <w:pPr>
              <w:pStyle w:val="58"/>
              <w:bidi w:val="0"/>
              <w:rPr>
                <w:rFonts w:hint="default"/>
                <w:highlight w:val="none"/>
              </w:rPr>
            </w:pPr>
            <w:r>
              <w:rPr>
                <w:rFonts w:hint="default"/>
                <w:highlight w:val="none"/>
                <w:lang w:val="en-US" w:eastAsia="zh-CN"/>
              </w:rPr>
              <w:t>6.0×10</w:t>
            </w:r>
            <w:r>
              <w:rPr>
                <w:rFonts w:hint="default"/>
                <w:highlight w:val="none"/>
                <w:vertAlign w:val="superscript"/>
                <w:lang w:val="en-US" w:eastAsia="zh-CN"/>
              </w:rPr>
              <w:t>-3</w:t>
            </w:r>
          </w:p>
        </w:tc>
        <w:tc>
          <w:tcPr>
            <w:tcW w:w="369" w:type="pct"/>
            <w:tcBorders>
              <w:tl2br w:val="nil"/>
              <w:tr2bl w:val="nil"/>
            </w:tcBorders>
            <w:shd w:val="clear" w:color="auto" w:fill="auto"/>
            <w:vAlign w:val="center"/>
          </w:tcPr>
          <w:p w14:paraId="6469CB17">
            <w:pPr>
              <w:pStyle w:val="58"/>
              <w:bidi w:val="0"/>
              <w:rPr>
                <w:rFonts w:hint="default"/>
                <w:highlight w:val="none"/>
                <w:lang w:val="en-US" w:eastAsia="zh-CN"/>
              </w:rPr>
            </w:pPr>
            <w:r>
              <w:rPr>
                <w:rFonts w:hint="default"/>
                <w:highlight w:val="none"/>
                <w:lang w:val="en-US" w:eastAsia="zh-CN"/>
              </w:rPr>
              <w:t>8.3×10</w:t>
            </w:r>
            <w:r>
              <w:rPr>
                <w:rFonts w:hint="default"/>
                <w:highlight w:val="none"/>
                <w:vertAlign w:val="superscript"/>
                <w:lang w:val="en-US" w:eastAsia="zh-CN"/>
              </w:rPr>
              <w:t>-3</w:t>
            </w:r>
          </w:p>
        </w:tc>
        <w:tc>
          <w:tcPr>
            <w:tcW w:w="369" w:type="pct"/>
            <w:tcBorders>
              <w:tl2br w:val="nil"/>
              <w:tr2bl w:val="nil"/>
            </w:tcBorders>
            <w:shd w:val="clear" w:color="auto" w:fill="auto"/>
            <w:vAlign w:val="center"/>
          </w:tcPr>
          <w:p w14:paraId="669499B7">
            <w:pPr>
              <w:pStyle w:val="58"/>
              <w:bidi w:val="0"/>
              <w:rPr>
                <w:rFonts w:hint="default"/>
                <w:highlight w:val="none"/>
                <w:lang w:val="en-US" w:eastAsia="zh-CN"/>
              </w:rPr>
            </w:pPr>
            <w:r>
              <w:rPr>
                <w:rFonts w:hint="default"/>
                <w:highlight w:val="none"/>
                <w:lang w:val="en-US" w:eastAsia="zh-CN"/>
              </w:rPr>
              <w:t>2.4×10</w:t>
            </w:r>
            <w:r>
              <w:rPr>
                <w:rFonts w:hint="default"/>
                <w:highlight w:val="none"/>
                <w:vertAlign w:val="superscript"/>
                <w:lang w:val="en-US" w:eastAsia="zh-CN"/>
              </w:rPr>
              <w:t>-3</w:t>
            </w:r>
          </w:p>
        </w:tc>
        <w:tc>
          <w:tcPr>
            <w:tcW w:w="369" w:type="pct"/>
            <w:tcBorders>
              <w:tl2br w:val="nil"/>
              <w:tr2bl w:val="nil"/>
            </w:tcBorders>
            <w:shd w:val="clear" w:color="auto" w:fill="auto"/>
            <w:vAlign w:val="center"/>
          </w:tcPr>
          <w:p w14:paraId="4975088D">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3.0×10</w:t>
            </w:r>
            <w:r>
              <w:rPr>
                <w:rFonts w:hint="default"/>
                <w:highlight w:val="none"/>
                <w:vertAlign w:val="superscript"/>
                <w:lang w:val="en-US" w:eastAsia="zh-CN"/>
              </w:rPr>
              <w:t>-3</w:t>
            </w:r>
          </w:p>
        </w:tc>
        <w:tc>
          <w:tcPr>
            <w:tcW w:w="369" w:type="pct"/>
            <w:tcBorders>
              <w:tl2br w:val="nil"/>
              <w:tr2bl w:val="nil"/>
            </w:tcBorders>
            <w:shd w:val="clear" w:color="auto" w:fill="auto"/>
            <w:vAlign w:val="center"/>
          </w:tcPr>
          <w:p w14:paraId="17C81740">
            <w:pPr>
              <w:pStyle w:val="58"/>
              <w:bidi w:val="0"/>
              <w:rPr>
                <w:rFonts w:hint="default"/>
                <w:highlight w:val="none"/>
              </w:rPr>
            </w:pPr>
            <w:r>
              <w:rPr>
                <w:rFonts w:hint="default"/>
                <w:highlight w:val="none"/>
                <w:lang w:val="en-US" w:eastAsia="zh-CN"/>
              </w:rPr>
              <w:t>ND</w:t>
            </w:r>
          </w:p>
        </w:tc>
        <w:tc>
          <w:tcPr>
            <w:tcW w:w="371" w:type="pct"/>
            <w:tcBorders>
              <w:tl2br w:val="nil"/>
              <w:tr2bl w:val="nil"/>
            </w:tcBorders>
            <w:shd w:val="clear" w:color="auto" w:fill="auto"/>
            <w:vAlign w:val="center"/>
          </w:tcPr>
          <w:p w14:paraId="2D79892D">
            <w:pPr>
              <w:pStyle w:val="58"/>
              <w:bidi w:val="0"/>
              <w:rPr>
                <w:rFonts w:hint="default"/>
                <w:highlight w:val="none"/>
              </w:rPr>
            </w:pPr>
            <w:r>
              <w:rPr>
                <w:rFonts w:hint="default"/>
                <w:highlight w:val="none"/>
                <w:lang w:val="en-US" w:eastAsia="zh-CN"/>
              </w:rPr>
              <w:t>ND</w:t>
            </w:r>
          </w:p>
        </w:tc>
      </w:tr>
      <w:tr w14:paraId="775E153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0A4287A2">
            <w:pPr>
              <w:pStyle w:val="58"/>
              <w:numPr>
                <w:ilvl w:val="0"/>
                <w:numId w:val="31"/>
              </w:numPr>
              <w:bidi w:val="0"/>
              <w:ind w:left="425" w:leftChars="0" w:hanging="425" w:firstLineChars="0"/>
              <w:rPr>
                <w:rFonts w:hint="default"/>
                <w:highlight w:val="none"/>
              </w:rPr>
            </w:pPr>
          </w:p>
        </w:tc>
        <w:tc>
          <w:tcPr>
            <w:tcW w:w="477" w:type="pct"/>
            <w:tcBorders>
              <w:tl2br w:val="nil"/>
              <w:tr2bl w:val="nil"/>
            </w:tcBorders>
            <w:shd w:val="clear" w:color="auto" w:fill="auto"/>
            <w:vAlign w:val="center"/>
          </w:tcPr>
          <w:p w14:paraId="3EAC0293">
            <w:pPr>
              <w:pStyle w:val="58"/>
              <w:bidi w:val="0"/>
              <w:rPr>
                <w:rFonts w:hint="default"/>
                <w:highlight w:val="none"/>
                <w:lang w:val="en-US" w:eastAsia="zh-CN"/>
              </w:rPr>
            </w:pPr>
            <w:r>
              <w:rPr>
                <w:rFonts w:hint="default"/>
                <w:highlight w:val="none"/>
                <w:lang w:val="en-US" w:eastAsia="zh-CN"/>
              </w:rPr>
              <w:t>汞</w:t>
            </w:r>
          </w:p>
        </w:tc>
        <w:tc>
          <w:tcPr>
            <w:tcW w:w="317" w:type="pct"/>
            <w:tcBorders>
              <w:tl2br w:val="nil"/>
              <w:tr2bl w:val="nil"/>
            </w:tcBorders>
            <w:shd w:val="clear" w:color="auto" w:fill="auto"/>
            <w:vAlign w:val="center"/>
          </w:tcPr>
          <w:p w14:paraId="6C8056EA">
            <w:pPr>
              <w:pStyle w:val="58"/>
              <w:bidi w:val="0"/>
              <w:rPr>
                <w:rFonts w:hint="default"/>
                <w:highlight w:val="none"/>
                <w:lang w:val="en-US" w:eastAsia="zh-CN"/>
              </w:rPr>
            </w:pPr>
            <w:r>
              <w:rPr>
                <w:rFonts w:hint="default"/>
                <w:highlight w:val="none"/>
                <w:lang w:val="en-US" w:eastAsia="zh-CN"/>
              </w:rPr>
              <w:t>mg/L</w:t>
            </w:r>
          </w:p>
        </w:tc>
        <w:tc>
          <w:tcPr>
            <w:tcW w:w="364" w:type="pct"/>
            <w:tcBorders>
              <w:tl2br w:val="nil"/>
              <w:tr2bl w:val="nil"/>
            </w:tcBorders>
            <w:shd w:val="clear" w:color="auto" w:fill="auto"/>
            <w:noWrap/>
            <w:vAlign w:val="center"/>
          </w:tcPr>
          <w:p w14:paraId="3AF40475">
            <w:pPr>
              <w:pStyle w:val="58"/>
              <w:bidi w:val="0"/>
              <w:rPr>
                <w:rFonts w:hint="default"/>
                <w:highlight w:val="none"/>
              </w:rPr>
            </w:pPr>
            <w:r>
              <w:rPr>
                <w:rFonts w:hint="default"/>
                <w:highlight w:val="none"/>
                <w:lang w:val="en-US" w:eastAsia="zh-CN"/>
              </w:rPr>
              <w:t>0.001</w:t>
            </w:r>
          </w:p>
        </w:tc>
        <w:tc>
          <w:tcPr>
            <w:tcW w:w="369" w:type="pct"/>
            <w:tcBorders>
              <w:tl2br w:val="nil"/>
              <w:tr2bl w:val="nil"/>
            </w:tcBorders>
            <w:shd w:val="clear" w:color="auto" w:fill="auto"/>
            <w:vAlign w:val="center"/>
          </w:tcPr>
          <w:p w14:paraId="56D5B6E0">
            <w:pPr>
              <w:pStyle w:val="58"/>
              <w:bidi w:val="0"/>
              <w:rPr>
                <w:rFonts w:hint="default"/>
                <w:highlight w:val="none"/>
              </w:rPr>
            </w:pPr>
            <w:r>
              <w:rPr>
                <w:rFonts w:hint="default"/>
                <w:highlight w:val="none"/>
                <w:lang w:val="en-US" w:eastAsia="zh-CN"/>
              </w:rPr>
              <w:t>ND</w:t>
            </w:r>
          </w:p>
        </w:tc>
        <w:tc>
          <w:tcPr>
            <w:tcW w:w="369" w:type="pct"/>
            <w:tcBorders>
              <w:tl2br w:val="nil"/>
              <w:tr2bl w:val="nil"/>
            </w:tcBorders>
            <w:shd w:val="clear" w:color="auto" w:fill="auto"/>
            <w:vAlign w:val="center"/>
          </w:tcPr>
          <w:p w14:paraId="13FF7EE5">
            <w:pPr>
              <w:pStyle w:val="58"/>
              <w:bidi w:val="0"/>
              <w:rPr>
                <w:rFonts w:hint="default"/>
                <w:highlight w:val="none"/>
                <w:lang w:val="en-US" w:eastAsia="zh-CN"/>
              </w:rPr>
            </w:pPr>
            <w:r>
              <w:rPr>
                <w:rFonts w:hint="default"/>
                <w:highlight w:val="none"/>
                <w:lang w:val="en-US" w:eastAsia="zh-CN"/>
              </w:rPr>
              <w:t>5×10</w:t>
            </w:r>
            <w:r>
              <w:rPr>
                <w:rFonts w:hint="default"/>
                <w:highlight w:val="none"/>
                <w:vertAlign w:val="superscript"/>
                <w:lang w:val="en-US" w:eastAsia="zh-CN"/>
              </w:rPr>
              <w:t>-5</w:t>
            </w:r>
          </w:p>
        </w:tc>
        <w:tc>
          <w:tcPr>
            <w:tcW w:w="369" w:type="pct"/>
            <w:tcBorders>
              <w:tl2br w:val="nil"/>
              <w:tr2bl w:val="nil"/>
            </w:tcBorders>
            <w:shd w:val="clear" w:color="auto" w:fill="auto"/>
            <w:vAlign w:val="center"/>
          </w:tcPr>
          <w:p w14:paraId="325467C8">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76DC037A">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7BD37890">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34062426">
            <w:pPr>
              <w:pStyle w:val="58"/>
              <w:bidi w:val="0"/>
              <w:rPr>
                <w:rFonts w:hint="default"/>
                <w:highlight w:val="none"/>
                <w:lang w:val="en-US" w:eastAsia="zh-CN"/>
              </w:rPr>
            </w:pPr>
            <w:r>
              <w:rPr>
                <w:rFonts w:hint="default"/>
                <w:highlight w:val="none"/>
                <w:lang w:val="en-US" w:eastAsia="zh-CN"/>
              </w:rPr>
              <w:t>0.81×10</w:t>
            </w:r>
            <w:r>
              <w:rPr>
                <w:rFonts w:hint="default"/>
                <w:highlight w:val="none"/>
                <w:vertAlign w:val="superscript"/>
                <w:lang w:val="en-US" w:eastAsia="zh-CN"/>
              </w:rPr>
              <w:t>-3</w:t>
            </w:r>
          </w:p>
        </w:tc>
        <w:tc>
          <w:tcPr>
            <w:tcW w:w="369" w:type="pct"/>
            <w:tcBorders>
              <w:tl2br w:val="nil"/>
              <w:tr2bl w:val="nil"/>
            </w:tcBorders>
            <w:shd w:val="clear" w:color="auto" w:fill="auto"/>
            <w:vAlign w:val="center"/>
          </w:tcPr>
          <w:p w14:paraId="7B403DBB">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4BB6506A">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4×10</w:t>
            </w:r>
            <w:r>
              <w:rPr>
                <w:rFonts w:hint="default"/>
                <w:highlight w:val="none"/>
                <w:vertAlign w:val="superscript"/>
                <w:lang w:val="en-US" w:eastAsia="zh-CN"/>
              </w:rPr>
              <w:t>-5</w:t>
            </w:r>
          </w:p>
        </w:tc>
        <w:tc>
          <w:tcPr>
            <w:tcW w:w="369" w:type="pct"/>
            <w:tcBorders>
              <w:tl2br w:val="nil"/>
              <w:tr2bl w:val="nil"/>
            </w:tcBorders>
            <w:shd w:val="clear" w:color="auto" w:fill="auto"/>
            <w:vAlign w:val="center"/>
          </w:tcPr>
          <w:p w14:paraId="2D411143">
            <w:pPr>
              <w:pStyle w:val="58"/>
              <w:bidi w:val="0"/>
              <w:rPr>
                <w:rFonts w:hint="default"/>
                <w:highlight w:val="none"/>
                <w:lang w:val="en-US" w:eastAsia="zh-CN"/>
              </w:rPr>
            </w:pPr>
            <w:r>
              <w:rPr>
                <w:rFonts w:hint="default"/>
                <w:highlight w:val="none"/>
                <w:lang w:val="en-US" w:eastAsia="zh-CN"/>
              </w:rPr>
              <w:t>ND</w:t>
            </w:r>
          </w:p>
        </w:tc>
        <w:tc>
          <w:tcPr>
            <w:tcW w:w="371" w:type="pct"/>
            <w:tcBorders>
              <w:tl2br w:val="nil"/>
              <w:tr2bl w:val="nil"/>
            </w:tcBorders>
            <w:shd w:val="clear" w:color="auto" w:fill="auto"/>
            <w:vAlign w:val="center"/>
          </w:tcPr>
          <w:p w14:paraId="77C27178">
            <w:pPr>
              <w:pStyle w:val="58"/>
              <w:bidi w:val="0"/>
              <w:rPr>
                <w:rFonts w:hint="default"/>
                <w:highlight w:val="none"/>
                <w:lang w:val="en-US" w:eastAsia="zh-CN"/>
              </w:rPr>
            </w:pPr>
            <w:r>
              <w:rPr>
                <w:rFonts w:hint="default"/>
                <w:highlight w:val="none"/>
                <w:lang w:val="en-US" w:eastAsia="zh-CN"/>
              </w:rPr>
              <w:t>ND</w:t>
            </w:r>
          </w:p>
        </w:tc>
      </w:tr>
      <w:tr w14:paraId="4EBE3D7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19E2B615">
            <w:pPr>
              <w:pStyle w:val="58"/>
              <w:numPr>
                <w:ilvl w:val="0"/>
                <w:numId w:val="31"/>
              </w:numPr>
              <w:bidi w:val="0"/>
              <w:ind w:left="425" w:leftChars="0" w:hanging="425" w:firstLineChars="0"/>
              <w:rPr>
                <w:rFonts w:hint="default"/>
                <w:highlight w:val="none"/>
              </w:rPr>
            </w:pPr>
          </w:p>
        </w:tc>
        <w:tc>
          <w:tcPr>
            <w:tcW w:w="477" w:type="pct"/>
            <w:tcBorders>
              <w:tl2br w:val="nil"/>
              <w:tr2bl w:val="nil"/>
            </w:tcBorders>
            <w:shd w:val="clear" w:color="auto" w:fill="auto"/>
            <w:vAlign w:val="center"/>
          </w:tcPr>
          <w:p w14:paraId="589779E3">
            <w:pPr>
              <w:pStyle w:val="58"/>
              <w:bidi w:val="0"/>
              <w:rPr>
                <w:rFonts w:hint="default"/>
                <w:highlight w:val="none"/>
                <w:lang w:val="en-US" w:eastAsia="zh-CN"/>
              </w:rPr>
            </w:pPr>
            <w:r>
              <w:rPr>
                <w:rFonts w:hint="default"/>
                <w:highlight w:val="none"/>
                <w:lang w:val="en-US" w:eastAsia="zh-CN"/>
              </w:rPr>
              <w:t>铁</w:t>
            </w:r>
          </w:p>
        </w:tc>
        <w:tc>
          <w:tcPr>
            <w:tcW w:w="317" w:type="pct"/>
            <w:tcBorders>
              <w:tl2br w:val="nil"/>
              <w:tr2bl w:val="nil"/>
            </w:tcBorders>
            <w:shd w:val="clear" w:color="auto" w:fill="auto"/>
            <w:vAlign w:val="center"/>
          </w:tcPr>
          <w:p w14:paraId="2A38FD05">
            <w:pPr>
              <w:pStyle w:val="58"/>
              <w:bidi w:val="0"/>
              <w:rPr>
                <w:rFonts w:hint="default"/>
                <w:highlight w:val="none"/>
                <w:lang w:val="en-US" w:eastAsia="zh-CN"/>
              </w:rPr>
            </w:pPr>
            <w:r>
              <w:rPr>
                <w:rFonts w:hint="default"/>
                <w:highlight w:val="none"/>
                <w:lang w:val="en-US" w:eastAsia="zh-CN"/>
              </w:rPr>
              <w:t>mg/L</w:t>
            </w:r>
          </w:p>
        </w:tc>
        <w:tc>
          <w:tcPr>
            <w:tcW w:w="364" w:type="pct"/>
            <w:tcBorders>
              <w:tl2br w:val="nil"/>
              <w:tr2bl w:val="nil"/>
            </w:tcBorders>
            <w:shd w:val="clear" w:color="auto" w:fill="auto"/>
            <w:vAlign w:val="center"/>
          </w:tcPr>
          <w:p w14:paraId="6495C7CF">
            <w:pPr>
              <w:pStyle w:val="58"/>
              <w:bidi w:val="0"/>
              <w:rPr>
                <w:rFonts w:hint="default"/>
                <w:highlight w:val="none"/>
                <w:lang w:val="en-US"/>
              </w:rPr>
            </w:pPr>
            <w:r>
              <w:rPr>
                <w:rFonts w:hint="default"/>
                <w:highlight w:val="none"/>
                <w:lang w:val="en-US" w:eastAsia="zh-CN"/>
              </w:rPr>
              <w:t>0.3</w:t>
            </w:r>
          </w:p>
        </w:tc>
        <w:tc>
          <w:tcPr>
            <w:tcW w:w="369" w:type="pct"/>
            <w:tcBorders>
              <w:tl2br w:val="nil"/>
              <w:tr2bl w:val="nil"/>
            </w:tcBorders>
            <w:shd w:val="clear" w:color="auto" w:fill="auto"/>
            <w:vAlign w:val="center"/>
          </w:tcPr>
          <w:p w14:paraId="6D2F36E9">
            <w:pPr>
              <w:pStyle w:val="58"/>
              <w:bidi w:val="0"/>
              <w:rPr>
                <w:rFonts w:hint="default"/>
                <w:highlight w:val="none"/>
              </w:rPr>
            </w:pPr>
            <w:r>
              <w:rPr>
                <w:rFonts w:hint="default"/>
                <w:highlight w:val="none"/>
                <w:lang w:val="en-US" w:eastAsia="zh-CN"/>
              </w:rPr>
              <w:t>ND</w:t>
            </w:r>
          </w:p>
        </w:tc>
        <w:tc>
          <w:tcPr>
            <w:tcW w:w="369" w:type="pct"/>
            <w:tcBorders>
              <w:tl2br w:val="nil"/>
              <w:tr2bl w:val="nil"/>
            </w:tcBorders>
            <w:shd w:val="clear" w:color="auto" w:fill="auto"/>
            <w:vAlign w:val="center"/>
          </w:tcPr>
          <w:p w14:paraId="3E396031">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2505677B">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2DA349A7">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5152A59B">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0E24F316">
            <w:pPr>
              <w:pStyle w:val="58"/>
              <w:bidi w:val="0"/>
              <w:rPr>
                <w:rFonts w:hint="default"/>
                <w:highlight w:val="none"/>
                <w:lang w:val="en-US" w:eastAsia="zh-CN"/>
              </w:rPr>
            </w:pPr>
            <w:r>
              <w:rPr>
                <w:rFonts w:hint="default"/>
                <w:highlight w:val="none"/>
              </w:rPr>
              <w:t>ND</w:t>
            </w:r>
          </w:p>
        </w:tc>
        <w:tc>
          <w:tcPr>
            <w:tcW w:w="369" w:type="pct"/>
            <w:tcBorders>
              <w:tl2br w:val="nil"/>
              <w:tr2bl w:val="nil"/>
            </w:tcBorders>
            <w:shd w:val="clear" w:color="auto" w:fill="auto"/>
            <w:vAlign w:val="center"/>
          </w:tcPr>
          <w:p w14:paraId="61B3998A">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4DF99922">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ND</w:t>
            </w:r>
          </w:p>
        </w:tc>
        <w:tc>
          <w:tcPr>
            <w:tcW w:w="369" w:type="pct"/>
            <w:tcBorders>
              <w:tl2br w:val="nil"/>
              <w:tr2bl w:val="nil"/>
            </w:tcBorders>
            <w:shd w:val="clear" w:color="auto" w:fill="auto"/>
            <w:vAlign w:val="center"/>
          </w:tcPr>
          <w:p w14:paraId="685F72C2">
            <w:pPr>
              <w:pStyle w:val="58"/>
              <w:bidi w:val="0"/>
              <w:rPr>
                <w:rFonts w:hint="default"/>
                <w:highlight w:val="none"/>
                <w:lang w:val="en-US" w:eastAsia="zh-CN"/>
              </w:rPr>
            </w:pPr>
            <w:r>
              <w:rPr>
                <w:rFonts w:hint="default"/>
                <w:highlight w:val="none"/>
                <w:lang w:val="en-US" w:eastAsia="zh-CN"/>
              </w:rPr>
              <w:t>ND</w:t>
            </w:r>
          </w:p>
        </w:tc>
        <w:tc>
          <w:tcPr>
            <w:tcW w:w="371" w:type="pct"/>
            <w:tcBorders>
              <w:tl2br w:val="nil"/>
              <w:tr2bl w:val="nil"/>
            </w:tcBorders>
            <w:shd w:val="clear" w:color="auto" w:fill="auto"/>
            <w:vAlign w:val="center"/>
          </w:tcPr>
          <w:p w14:paraId="371D7A90">
            <w:pPr>
              <w:pStyle w:val="58"/>
              <w:bidi w:val="0"/>
              <w:rPr>
                <w:rFonts w:hint="default"/>
                <w:highlight w:val="none"/>
                <w:lang w:val="en-US" w:eastAsia="zh-CN"/>
              </w:rPr>
            </w:pPr>
            <w:r>
              <w:rPr>
                <w:rFonts w:hint="default"/>
                <w:highlight w:val="none"/>
                <w:lang w:val="en-US" w:eastAsia="zh-CN"/>
              </w:rPr>
              <w:t>ND</w:t>
            </w:r>
          </w:p>
        </w:tc>
      </w:tr>
      <w:tr w14:paraId="531883D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1BF4C08C">
            <w:pPr>
              <w:pStyle w:val="58"/>
              <w:numPr>
                <w:ilvl w:val="0"/>
                <w:numId w:val="31"/>
              </w:numPr>
              <w:bidi w:val="0"/>
              <w:ind w:left="425" w:leftChars="0" w:hanging="425" w:firstLineChars="0"/>
              <w:rPr>
                <w:rFonts w:hint="default"/>
                <w:highlight w:val="none"/>
              </w:rPr>
            </w:pPr>
          </w:p>
        </w:tc>
        <w:tc>
          <w:tcPr>
            <w:tcW w:w="477" w:type="pct"/>
            <w:tcBorders>
              <w:tl2br w:val="nil"/>
              <w:tr2bl w:val="nil"/>
            </w:tcBorders>
            <w:shd w:val="clear" w:color="auto" w:fill="auto"/>
            <w:vAlign w:val="center"/>
          </w:tcPr>
          <w:p w14:paraId="2094B2DB">
            <w:pPr>
              <w:pStyle w:val="58"/>
              <w:bidi w:val="0"/>
              <w:rPr>
                <w:rFonts w:hint="default"/>
                <w:highlight w:val="none"/>
                <w:lang w:val="en-US" w:eastAsia="zh-CN"/>
              </w:rPr>
            </w:pPr>
            <w:r>
              <w:rPr>
                <w:rFonts w:hint="default"/>
                <w:highlight w:val="none"/>
                <w:lang w:val="en-US" w:eastAsia="zh-CN"/>
              </w:rPr>
              <w:t>锰</w:t>
            </w:r>
          </w:p>
        </w:tc>
        <w:tc>
          <w:tcPr>
            <w:tcW w:w="317" w:type="pct"/>
            <w:tcBorders>
              <w:tl2br w:val="nil"/>
              <w:tr2bl w:val="nil"/>
            </w:tcBorders>
            <w:shd w:val="clear" w:color="auto" w:fill="auto"/>
            <w:vAlign w:val="center"/>
          </w:tcPr>
          <w:p w14:paraId="13CAFC7E">
            <w:pPr>
              <w:pStyle w:val="58"/>
              <w:bidi w:val="0"/>
              <w:rPr>
                <w:rFonts w:hint="default"/>
                <w:highlight w:val="none"/>
                <w:lang w:val="en-US" w:eastAsia="zh-CN"/>
              </w:rPr>
            </w:pPr>
            <w:r>
              <w:rPr>
                <w:rFonts w:hint="default"/>
                <w:highlight w:val="none"/>
                <w:lang w:val="en-US" w:eastAsia="zh-CN"/>
              </w:rPr>
              <w:t>mg/L</w:t>
            </w:r>
          </w:p>
        </w:tc>
        <w:tc>
          <w:tcPr>
            <w:tcW w:w="364" w:type="pct"/>
            <w:tcBorders>
              <w:tl2br w:val="nil"/>
              <w:tr2bl w:val="nil"/>
            </w:tcBorders>
            <w:shd w:val="clear" w:color="auto" w:fill="auto"/>
            <w:vAlign w:val="center"/>
          </w:tcPr>
          <w:p w14:paraId="2F469E41">
            <w:pPr>
              <w:pStyle w:val="58"/>
              <w:bidi w:val="0"/>
              <w:rPr>
                <w:rFonts w:hint="default"/>
                <w:highlight w:val="none"/>
                <w:lang w:val="en-US"/>
              </w:rPr>
            </w:pPr>
            <w:r>
              <w:rPr>
                <w:rFonts w:hint="default"/>
                <w:highlight w:val="none"/>
                <w:lang w:val="en-US" w:eastAsia="zh-CN"/>
              </w:rPr>
              <w:t>0.10</w:t>
            </w:r>
          </w:p>
        </w:tc>
        <w:tc>
          <w:tcPr>
            <w:tcW w:w="369" w:type="pct"/>
            <w:tcBorders>
              <w:tl2br w:val="nil"/>
              <w:tr2bl w:val="nil"/>
            </w:tcBorders>
            <w:shd w:val="clear" w:color="auto" w:fill="auto"/>
            <w:vAlign w:val="center"/>
          </w:tcPr>
          <w:p w14:paraId="08A0DEC2">
            <w:pPr>
              <w:pStyle w:val="58"/>
              <w:bidi w:val="0"/>
              <w:rPr>
                <w:rFonts w:hint="default"/>
                <w:highlight w:val="none"/>
                <w:lang w:val="en-US"/>
              </w:rPr>
            </w:pPr>
            <w:r>
              <w:rPr>
                <w:rFonts w:hint="default"/>
                <w:highlight w:val="none"/>
                <w:lang w:val="en-US" w:eastAsia="zh-CN"/>
              </w:rPr>
              <w:t>ND</w:t>
            </w:r>
          </w:p>
        </w:tc>
        <w:tc>
          <w:tcPr>
            <w:tcW w:w="369" w:type="pct"/>
            <w:tcBorders>
              <w:tl2br w:val="nil"/>
              <w:tr2bl w:val="nil"/>
            </w:tcBorders>
            <w:shd w:val="clear" w:color="auto" w:fill="auto"/>
            <w:vAlign w:val="center"/>
          </w:tcPr>
          <w:p w14:paraId="15309B2C">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78570B75">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77A0397C">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4264BAB9">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246C0AA5">
            <w:pPr>
              <w:pStyle w:val="58"/>
              <w:bidi w:val="0"/>
              <w:rPr>
                <w:rFonts w:hint="default"/>
                <w:highlight w:val="none"/>
                <w:lang w:val="en-US" w:eastAsia="zh-CN"/>
              </w:rPr>
            </w:pPr>
            <w:r>
              <w:rPr>
                <w:rFonts w:hint="default"/>
                <w:highlight w:val="none"/>
              </w:rPr>
              <w:t>ND</w:t>
            </w:r>
          </w:p>
        </w:tc>
        <w:tc>
          <w:tcPr>
            <w:tcW w:w="369" w:type="pct"/>
            <w:tcBorders>
              <w:tl2br w:val="nil"/>
              <w:tr2bl w:val="nil"/>
            </w:tcBorders>
            <w:shd w:val="clear" w:color="auto" w:fill="auto"/>
            <w:vAlign w:val="center"/>
          </w:tcPr>
          <w:p w14:paraId="4E6C7EFD">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1F31C636">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ND</w:t>
            </w:r>
          </w:p>
        </w:tc>
        <w:tc>
          <w:tcPr>
            <w:tcW w:w="369" w:type="pct"/>
            <w:tcBorders>
              <w:tl2br w:val="nil"/>
              <w:tr2bl w:val="nil"/>
            </w:tcBorders>
            <w:shd w:val="clear" w:color="auto" w:fill="auto"/>
            <w:vAlign w:val="center"/>
          </w:tcPr>
          <w:p w14:paraId="406F0024">
            <w:pPr>
              <w:pStyle w:val="58"/>
              <w:bidi w:val="0"/>
              <w:rPr>
                <w:rFonts w:hint="default"/>
                <w:highlight w:val="none"/>
                <w:lang w:val="en-US" w:eastAsia="zh-CN"/>
              </w:rPr>
            </w:pPr>
            <w:r>
              <w:rPr>
                <w:rFonts w:hint="default"/>
                <w:highlight w:val="none"/>
                <w:lang w:val="en-US" w:eastAsia="zh-CN"/>
              </w:rPr>
              <w:t>ND</w:t>
            </w:r>
          </w:p>
        </w:tc>
        <w:tc>
          <w:tcPr>
            <w:tcW w:w="371" w:type="pct"/>
            <w:tcBorders>
              <w:tl2br w:val="nil"/>
              <w:tr2bl w:val="nil"/>
            </w:tcBorders>
            <w:shd w:val="clear" w:color="auto" w:fill="auto"/>
            <w:vAlign w:val="center"/>
          </w:tcPr>
          <w:p w14:paraId="6822EA34">
            <w:pPr>
              <w:pStyle w:val="58"/>
              <w:bidi w:val="0"/>
              <w:rPr>
                <w:rFonts w:hint="default"/>
                <w:highlight w:val="none"/>
                <w:lang w:val="en-US" w:eastAsia="zh-CN"/>
              </w:rPr>
            </w:pPr>
            <w:r>
              <w:rPr>
                <w:rFonts w:hint="default"/>
                <w:highlight w:val="none"/>
                <w:lang w:val="en-US" w:eastAsia="zh-CN"/>
              </w:rPr>
              <w:t>ND</w:t>
            </w:r>
          </w:p>
        </w:tc>
      </w:tr>
      <w:tr w14:paraId="7644073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7FB3D43E">
            <w:pPr>
              <w:pStyle w:val="58"/>
              <w:numPr>
                <w:ilvl w:val="0"/>
                <w:numId w:val="31"/>
              </w:numPr>
              <w:bidi w:val="0"/>
              <w:ind w:left="425" w:leftChars="0" w:hanging="425" w:firstLineChars="0"/>
              <w:rPr>
                <w:rFonts w:hint="default"/>
                <w:highlight w:val="none"/>
              </w:rPr>
            </w:pPr>
          </w:p>
        </w:tc>
        <w:tc>
          <w:tcPr>
            <w:tcW w:w="477" w:type="pct"/>
            <w:tcBorders>
              <w:tl2br w:val="nil"/>
              <w:tr2bl w:val="nil"/>
            </w:tcBorders>
            <w:shd w:val="clear" w:color="auto" w:fill="auto"/>
            <w:vAlign w:val="center"/>
          </w:tcPr>
          <w:p w14:paraId="51061FF1">
            <w:pPr>
              <w:pStyle w:val="58"/>
              <w:bidi w:val="0"/>
              <w:rPr>
                <w:rFonts w:hint="default"/>
                <w:highlight w:val="none"/>
                <w:lang w:val="en-US" w:eastAsia="zh-CN"/>
              </w:rPr>
            </w:pPr>
            <w:r>
              <w:rPr>
                <w:rFonts w:hint="default"/>
                <w:highlight w:val="none"/>
                <w:lang w:val="en-US" w:eastAsia="zh-CN"/>
              </w:rPr>
              <w:t>铅</w:t>
            </w:r>
          </w:p>
        </w:tc>
        <w:tc>
          <w:tcPr>
            <w:tcW w:w="317" w:type="pct"/>
            <w:tcBorders>
              <w:tl2br w:val="nil"/>
              <w:tr2bl w:val="nil"/>
            </w:tcBorders>
            <w:shd w:val="clear" w:color="auto" w:fill="auto"/>
            <w:vAlign w:val="center"/>
          </w:tcPr>
          <w:p w14:paraId="4048CF23">
            <w:pPr>
              <w:pStyle w:val="58"/>
              <w:bidi w:val="0"/>
              <w:rPr>
                <w:rFonts w:hint="default"/>
                <w:highlight w:val="none"/>
                <w:lang w:val="en-US" w:eastAsia="zh-CN"/>
              </w:rPr>
            </w:pPr>
            <w:r>
              <w:rPr>
                <w:rFonts w:hint="default"/>
                <w:highlight w:val="none"/>
                <w:lang w:val="en-US" w:eastAsia="zh-CN"/>
              </w:rPr>
              <w:t>mg/L</w:t>
            </w:r>
          </w:p>
        </w:tc>
        <w:tc>
          <w:tcPr>
            <w:tcW w:w="364" w:type="pct"/>
            <w:tcBorders>
              <w:tl2br w:val="nil"/>
              <w:tr2bl w:val="nil"/>
            </w:tcBorders>
            <w:shd w:val="clear" w:color="auto" w:fill="auto"/>
            <w:vAlign w:val="center"/>
          </w:tcPr>
          <w:p w14:paraId="5098C34D">
            <w:pPr>
              <w:pStyle w:val="58"/>
              <w:bidi w:val="0"/>
              <w:rPr>
                <w:rFonts w:hint="default"/>
                <w:highlight w:val="none"/>
                <w:lang w:val="en-US"/>
              </w:rPr>
            </w:pPr>
            <w:r>
              <w:rPr>
                <w:rFonts w:hint="default"/>
                <w:highlight w:val="none"/>
                <w:lang w:val="en-US" w:eastAsia="zh-CN"/>
              </w:rPr>
              <w:t>0.01</w:t>
            </w:r>
          </w:p>
        </w:tc>
        <w:tc>
          <w:tcPr>
            <w:tcW w:w="369" w:type="pct"/>
            <w:tcBorders>
              <w:tl2br w:val="nil"/>
              <w:tr2bl w:val="nil"/>
            </w:tcBorders>
            <w:shd w:val="clear" w:color="auto" w:fill="auto"/>
            <w:vAlign w:val="center"/>
          </w:tcPr>
          <w:p w14:paraId="6B8E8428">
            <w:pPr>
              <w:pStyle w:val="58"/>
              <w:bidi w:val="0"/>
              <w:rPr>
                <w:rFonts w:hint="default"/>
                <w:highlight w:val="none"/>
                <w:lang w:val="en-US"/>
              </w:rPr>
            </w:pPr>
            <w:r>
              <w:rPr>
                <w:rFonts w:hint="default"/>
                <w:highlight w:val="none"/>
                <w:lang w:val="en-US" w:eastAsia="zh-CN"/>
              </w:rPr>
              <w:t>ND</w:t>
            </w:r>
          </w:p>
        </w:tc>
        <w:tc>
          <w:tcPr>
            <w:tcW w:w="369" w:type="pct"/>
            <w:tcBorders>
              <w:tl2br w:val="nil"/>
              <w:tr2bl w:val="nil"/>
            </w:tcBorders>
            <w:shd w:val="clear" w:color="auto" w:fill="auto"/>
            <w:vAlign w:val="center"/>
          </w:tcPr>
          <w:p w14:paraId="5D306563">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4B5BC675">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6A7D291E">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0B44AE94">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40521619">
            <w:pPr>
              <w:pStyle w:val="58"/>
              <w:bidi w:val="0"/>
              <w:rPr>
                <w:rFonts w:hint="default"/>
                <w:highlight w:val="none"/>
                <w:lang w:val="en-US" w:eastAsia="zh-CN"/>
              </w:rPr>
            </w:pPr>
            <w:r>
              <w:rPr>
                <w:rFonts w:hint="default"/>
                <w:highlight w:val="none"/>
              </w:rPr>
              <w:t>ND</w:t>
            </w:r>
          </w:p>
        </w:tc>
        <w:tc>
          <w:tcPr>
            <w:tcW w:w="369" w:type="pct"/>
            <w:tcBorders>
              <w:tl2br w:val="nil"/>
              <w:tr2bl w:val="nil"/>
            </w:tcBorders>
            <w:shd w:val="clear" w:color="auto" w:fill="auto"/>
            <w:vAlign w:val="center"/>
          </w:tcPr>
          <w:p w14:paraId="1E75814F">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521C1C7F">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ND</w:t>
            </w:r>
          </w:p>
        </w:tc>
        <w:tc>
          <w:tcPr>
            <w:tcW w:w="369" w:type="pct"/>
            <w:tcBorders>
              <w:tl2br w:val="nil"/>
              <w:tr2bl w:val="nil"/>
            </w:tcBorders>
            <w:shd w:val="clear" w:color="auto" w:fill="auto"/>
            <w:vAlign w:val="center"/>
          </w:tcPr>
          <w:p w14:paraId="5C4F3DDE">
            <w:pPr>
              <w:pStyle w:val="58"/>
              <w:bidi w:val="0"/>
              <w:rPr>
                <w:rFonts w:hint="default"/>
                <w:highlight w:val="none"/>
                <w:lang w:val="en-US" w:eastAsia="zh-CN"/>
              </w:rPr>
            </w:pPr>
            <w:r>
              <w:rPr>
                <w:rFonts w:hint="default"/>
                <w:highlight w:val="none"/>
                <w:lang w:val="en-US" w:eastAsia="zh-CN"/>
              </w:rPr>
              <w:t>ND</w:t>
            </w:r>
          </w:p>
        </w:tc>
        <w:tc>
          <w:tcPr>
            <w:tcW w:w="371" w:type="pct"/>
            <w:tcBorders>
              <w:tl2br w:val="nil"/>
              <w:tr2bl w:val="nil"/>
            </w:tcBorders>
            <w:shd w:val="clear" w:color="auto" w:fill="auto"/>
            <w:vAlign w:val="center"/>
          </w:tcPr>
          <w:p w14:paraId="07855045">
            <w:pPr>
              <w:pStyle w:val="58"/>
              <w:bidi w:val="0"/>
              <w:rPr>
                <w:rFonts w:hint="default"/>
                <w:highlight w:val="none"/>
                <w:lang w:val="en-US" w:eastAsia="zh-CN"/>
              </w:rPr>
            </w:pPr>
            <w:r>
              <w:rPr>
                <w:rFonts w:hint="default"/>
                <w:highlight w:val="none"/>
                <w:lang w:val="en-US" w:eastAsia="zh-CN"/>
              </w:rPr>
              <w:t>ND</w:t>
            </w:r>
          </w:p>
        </w:tc>
      </w:tr>
      <w:tr w14:paraId="608578F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17D922C3">
            <w:pPr>
              <w:pStyle w:val="58"/>
              <w:numPr>
                <w:ilvl w:val="0"/>
                <w:numId w:val="31"/>
              </w:numPr>
              <w:bidi w:val="0"/>
              <w:ind w:left="425" w:leftChars="0" w:hanging="425" w:firstLineChars="0"/>
              <w:rPr>
                <w:rFonts w:hint="default"/>
                <w:highlight w:val="none"/>
              </w:rPr>
            </w:pPr>
          </w:p>
        </w:tc>
        <w:tc>
          <w:tcPr>
            <w:tcW w:w="477" w:type="pct"/>
            <w:tcBorders>
              <w:tl2br w:val="nil"/>
              <w:tr2bl w:val="nil"/>
            </w:tcBorders>
            <w:shd w:val="clear" w:color="auto" w:fill="auto"/>
            <w:vAlign w:val="center"/>
          </w:tcPr>
          <w:p w14:paraId="6D9B21D5">
            <w:pPr>
              <w:pStyle w:val="58"/>
              <w:bidi w:val="0"/>
              <w:rPr>
                <w:rFonts w:hint="default"/>
                <w:highlight w:val="none"/>
                <w:lang w:val="en-US" w:eastAsia="zh-CN"/>
              </w:rPr>
            </w:pPr>
            <w:r>
              <w:rPr>
                <w:rFonts w:hint="default"/>
                <w:highlight w:val="none"/>
                <w:lang w:val="en-US" w:eastAsia="zh-CN"/>
              </w:rPr>
              <w:t>镉</w:t>
            </w:r>
          </w:p>
        </w:tc>
        <w:tc>
          <w:tcPr>
            <w:tcW w:w="317" w:type="pct"/>
            <w:tcBorders>
              <w:tl2br w:val="nil"/>
              <w:tr2bl w:val="nil"/>
            </w:tcBorders>
            <w:shd w:val="clear" w:color="auto" w:fill="auto"/>
            <w:vAlign w:val="center"/>
          </w:tcPr>
          <w:p w14:paraId="42993B53">
            <w:pPr>
              <w:pStyle w:val="58"/>
              <w:bidi w:val="0"/>
              <w:rPr>
                <w:rFonts w:hint="default"/>
                <w:highlight w:val="none"/>
                <w:lang w:val="en-US" w:eastAsia="zh-CN"/>
              </w:rPr>
            </w:pPr>
            <w:r>
              <w:rPr>
                <w:rFonts w:hint="default"/>
                <w:highlight w:val="none"/>
                <w:lang w:val="en-US" w:eastAsia="zh-CN"/>
              </w:rPr>
              <w:t>mg/L</w:t>
            </w:r>
          </w:p>
        </w:tc>
        <w:tc>
          <w:tcPr>
            <w:tcW w:w="364" w:type="pct"/>
            <w:tcBorders>
              <w:tl2br w:val="nil"/>
              <w:tr2bl w:val="nil"/>
            </w:tcBorders>
            <w:shd w:val="clear" w:color="auto" w:fill="auto"/>
            <w:vAlign w:val="center"/>
          </w:tcPr>
          <w:p w14:paraId="1F0F346B">
            <w:pPr>
              <w:pStyle w:val="58"/>
              <w:bidi w:val="0"/>
              <w:rPr>
                <w:rFonts w:hint="default"/>
                <w:highlight w:val="none"/>
                <w:lang w:val="en-US"/>
              </w:rPr>
            </w:pPr>
            <w:r>
              <w:rPr>
                <w:rFonts w:hint="default"/>
                <w:highlight w:val="none"/>
                <w:lang w:val="en-US" w:eastAsia="zh-CN"/>
              </w:rPr>
              <w:t>0.05</w:t>
            </w:r>
          </w:p>
        </w:tc>
        <w:tc>
          <w:tcPr>
            <w:tcW w:w="369" w:type="pct"/>
            <w:tcBorders>
              <w:tl2br w:val="nil"/>
              <w:tr2bl w:val="nil"/>
            </w:tcBorders>
            <w:shd w:val="clear" w:color="auto" w:fill="auto"/>
            <w:vAlign w:val="center"/>
          </w:tcPr>
          <w:p w14:paraId="65933E46">
            <w:pPr>
              <w:pStyle w:val="58"/>
              <w:bidi w:val="0"/>
              <w:rPr>
                <w:rFonts w:hint="default"/>
                <w:highlight w:val="none"/>
                <w:lang w:val="en-US"/>
              </w:rPr>
            </w:pPr>
            <w:r>
              <w:rPr>
                <w:rFonts w:hint="default"/>
                <w:highlight w:val="none"/>
                <w:lang w:val="en-US" w:eastAsia="zh-CN"/>
              </w:rPr>
              <w:t>ND</w:t>
            </w:r>
          </w:p>
        </w:tc>
        <w:tc>
          <w:tcPr>
            <w:tcW w:w="369" w:type="pct"/>
            <w:tcBorders>
              <w:tl2br w:val="nil"/>
              <w:tr2bl w:val="nil"/>
            </w:tcBorders>
            <w:shd w:val="clear" w:color="auto" w:fill="auto"/>
            <w:vAlign w:val="center"/>
          </w:tcPr>
          <w:p w14:paraId="419EF59F">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667DF34F">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0995433A">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25BFBF84">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65170F23">
            <w:pPr>
              <w:pStyle w:val="58"/>
              <w:bidi w:val="0"/>
              <w:rPr>
                <w:rFonts w:hint="default"/>
                <w:highlight w:val="none"/>
                <w:lang w:val="en-US" w:eastAsia="zh-CN"/>
              </w:rPr>
            </w:pPr>
            <w:r>
              <w:rPr>
                <w:rFonts w:hint="default"/>
                <w:highlight w:val="none"/>
              </w:rPr>
              <w:t>ND</w:t>
            </w:r>
          </w:p>
        </w:tc>
        <w:tc>
          <w:tcPr>
            <w:tcW w:w="369" w:type="pct"/>
            <w:tcBorders>
              <w:tl2br w:val="nil"/>
              <w:tr2bl w:val="nil"/>
            </w:tcBorders>
            <w:shd w:val="clear" w:color="auto" w:fill="auto"/>
            <w:vAlign w:val="center"/>
          </w:tcPr>
          <w:p w14:paraId="27EB3025">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582970AA">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ND</w:t>
            </w:r>
          </w:p>
        </w:tc>
        <w:tc>
          <w:tcPr>
            <w:tcW w:w="369" w:type="pct"/>
            <w:tcBorders>
              <w:tl2br w:val="nil"/>
              <w:tr2bl w:val="nil"/>
            </w:tcBorders>
            <w:shd w:val="clear" w:color="auto" w:fill="auto"/>
            <w:vAlign w:val="center"/>
          </w:tcPr>
          <w:p w14:paraId="0DAF6682">
            <w:pPr>
              <w:pStyle w:val="58"/>
              <w:bidi w:val="0"/>
              <w:rPr>
                <w:rFonts w:hint="default"/>
                <w:highlight w:val="none"/>
                <w:lang w:val="en-US" w:eastAsia="zh-CN"/>
              </w:rPr>
            </w:pPr>
            <w:r>
              <w:rPr>
                <w:rFonts w:hint="default"/>
                <w:highlight w:val="none"/>
                <w:lang w:val="en-US" w:eastAsia="zh-CN"/>
              </w:rPr>
              <w:t>ND</w:t>
            </w:r>
          </w:p>
        </w:tc>
        <w:tc>
          <w:tcPr>
            <w:tcW w:w="371" w:type="pct"/>
            <w:tcBorders>
              <w:tl2br w:val="nil"/>
              <w:tr2bl w:val="nil"/>
            </w:tcBorders>
            <w:shd w:val="clear" w:color="auto" w:fill="auto"/>
            <w:vAlign w:val="center"/>
          </w:tcPr>
          <w:p w14:paraId="63A1D3CD">
            <w:pPr>
              <w:pStyle w:val="58"/>
              <w:bidi w:val="0"/>
              <w:rPr>
                <w:rFonts w:hint="default"/>
                <w:highlight w:val="none"/>
                <w:lang w:val="en-US" w:eastAsia="zh-CN"/>
              </w:rPr>
            </w:pPr>
            <w:r>
              <w:rPr>
                <w:rFonts w:hint="default"/>
                <w:highlight w:val="none"/>
                <w:lang w:val="en-US" w:eastAsia="zh-CN"/>
              </w:rPr>
              <w:t>ND</w:t>
            </w:r>
          </w:p>
        </w:tc>
      </w:tr>
      <w:tr w14:paraId="099112D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3B6F7BBC">
            <w:pPr>
              <w:pStyle w:val="58"/>
              <w:numPr>
                <w:ilvl w:val="0"/>
                <w:numId w:val="31"/>
              </w:numPr>
              <w:bidi w:val="0"/>
              <w:ind w:left="425" w:leftChars="0" w:hanging="425" w:firstLineChars="0"/>
              <w:rPr>
                <w:rFonts w:hint="default"/>
                <w:highlight w:val="none"/>
              </w:rPr>
            </w:pPr>
          </w:p>
        </w:tc>
        <w:tc>
          <w:tcPr>
            <w:tcW w:w="477" w:type="pct"/>
            <w:tcBorders>
              <w:tl2br w:val="nil"/>
              <w:tr2bl w:val="nil"/>
            </w:tcBorders>
            <w:shd w:val="clear" w:color="auto" w:fill="auto"/>
            <w:vAlign w:val="center"/>
          </w:tcPr>
          <w:p w14:paraId="50A91E4A">
            <w:pPr>
              <w:pStyle w:val="58"/>
              <w:bidi w:val="0"/>
              <w:rPr>
                <w:rFonts w:hint="default"/>
                <w:highlight w:val="none"/>
                <w:lang w:val="en-US" w:eastAsia="zh-CN"/>
              </w:rPr>
            </w:pPr>
            <w:r>
              <w:rPr>
                <w:rFonts w:hint="default"/>
                <w:highlight w:val="none"/>
                <w:lang w:val="en-US" w:eastAsia="zh-CN"/>
              </w:rPr>
              <w:t>总大肠菌群</w:t>
            </w:r>
          </w:p>
          <w:p w14:paraId="485C399B">
            <w:pPr>
              <w:pStyle w:val="58"/>
              <w:bidi w:val="0"/>
              <w:rPr>
                <w:rFonts w:hint="default"/>
                <w:highlight w:val="none"/>
                <w:lang w:val="en-US" w:eastAsia="zh-CN"/>
              </w:rPr>
            </w:pPr>
            <w:r>
              <w:rPr>
                <w:rFonts w:hint="default"/>
                <w:highlight w:val="none"/>
                <w:lang w:val="en-US" w:eastAsia="zh-CN"/>
              </w:rPr>
              <w:t>（15管法）</w:t>
            </w:r>
          </w:p>
        </w:tc>
        <w:tc>
          <w:tcPr>
            <w:tcW w:w="317" w:type="pct"/>
            <w:tcBorders>
              <w:tl2br w:val="nil"/>
              <w:tr2bl w:val="nil"/>
            </w:tcBorders>
            <w:shd w:val="clear" w:color="auto" w:fill="auto"/>
            <w:vAlign w:val="center"/>
          </w:tcPr>
          <w:p w14:paraId="7F5F0787">
            <w:pPr>
              <w:pStyle w:val="58"/>
              <w:bidi w:val="0"/>
              <w:rPr>
                <w:rFonts w:hint="default"/>
                <w:highlight w:val="none"/>
                <w:lang w:val="en-US" w:eastAsia="zh-CN"/>
              </w:rPr>
            </w:pPr>
            <w:r>
              <w:rPr>
                <w:rFonts w:hint="default"/>
                <w:highlight w:val="none"/>
                <w:lang w:val="en-US" w:eastAsia="zh-CN"/>
              </w:rPr>
              <w:t>MPN/100mL</w:t>
            </w:r>
          </w:p>
        </w:tc>
        <w:tc>
          <w:tcPr>
            <w:tcW w:w="364" w:type="pct"/>
            <w:tcBorders>
              <w:tl2br w:val="nil"/>
              <w:tr2bl w:val="nil"/>
            </w:tcBorders>
            <w:shd w:val="clear" w:color="auto" w:fill="auto"/>
            <w:vAlign w:val="center"/>
          </w:tcPr>
          <w:p w14:paraId="59212633">
            <w:pPr>
              <w:pStyle w:val="58"/>
              <w:bidi w:val="0"/>
              <w:rPr>
                <w:rFonts w:hint="default"/>
                <w:highlight w:val="none"/>
                <w:lang w:val="en-US"/>
              </w:rPr>
            </w:pPr>
            <w:r>
              <w:rPr>
                <w:rFonts w:hint="default"/>
                <w:highlight w:val="none"/>
                <w:lang w:val="en-US" w:eastAsia="zh-CN"/>
              </w:rPr>
              <w:t>3.0</w:t>
            </w:r>
          </w:p>
        </w:tc>
        <w:tc>
          <w:tcPr>
            <w:tcW w:w="369" w:type="pct"/>
            <w:tcBorders>
              <w:tl2br w:val="nil"/>
              <w:tr2bl w:val="nil"/>
            </w:tcBorders>
            <w:shd w:val="clear" w:color="auto" w:fill="auto"/>
            <w:vAlign w:val="center"/>
          </w:tcPr>
          <w:p w14:paraId="4D8BA162">
            <w:pPr>
              <w:pStyle w:val="58"/>
              <w:bidi w:val="0"/>
              <w:rPr>
                <w:rFonts w:hint="default"/>
                <w:highlight w:val="none"/>
                <w:lang w:val="en-US"/>
              </w:rPr>
            </w:pPr>
            <w:r>
              <w:rPr>
                <w:rFonts w:hint="default"/>
                <w:highlight w:val="none"/>
                <w:lang w:val="en-US" w:eastAsia="zh-CN"/>
              </w:rPr>
              <w:t>ND</w:t>
            </w:r>
          </w:p>
        </w:tc>
        <w:tc>
          <w:tcPr>
            <w:tcW w:w="369" w:type="pct"/>
            <w:tcBorders>
              <w:tl2br w:val="nil"/>
              <w:tr2bl w:val="nil"/>
            </w:tcBorders>
            <w:shd w:val="clear" w:color="auto" w:fill="auto"/>
            <w:vAlign w:val="center"/>
          </w:tcPr>
          <w:p w14:paraId="2791961D">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737D2072">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00ABF3A1">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7D041328">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0E53B9F8">
            <w:pPr>
              <w:pStyle w:val="58"/>
              <w:bidi w:val="0"/>
              <w:rPr>
                <w:rFonts w:hint="default"/>
                <w:highlight w:val="none"/>
                <w:lang w:val="en-US" w:eastAsia="zh-CN"/>
              </w:rPr>
            </w:pPr>
            <w:r>
              <w:rPr>
                <w:rFonts w:hint="default"/>
                <w:highlight w:val="none"/>
              </w:rPr>
              <w:t>ND</w:t>
            </w:r>
          </w:p>
        </w:tc>
        <w:tc>
          <w:tcPr>
            <w:tcW w:w="369" w:type="pct"/>
            <w:tcBorders>
              <w:tl2br w:val="nil"/>
              <w:tr2bl w:val="nil"/>
            </w:tcBorders>
            <w:shd w:val="clear" w:color="auto" w:fill="auto"/>
            <w:vAlign w:val="center"/>
          </w:tcPr>
          <w:p w14:paraId="36AD879A">
            <w:pPr>
              <w:pStyle w:val="58"/>
              <w:bidi w:val="0"/>
              <w:rPr>
                <w:rFonts w:hint="default"/>
                <w:highlight w:val="none"/>
                <w:lang w:val="en-US" w:eastAsia="zh-CN"/>
              </w:rPr>
            </w:pPr>
            <w:r>
              <w:rPr>
                <w:rFonts w:hint="default"/>
                <w:highlight w:val="none"/>
                <w:lang w:val="en-US" w:eastAsia="zh-CN"/>
              </w:rPr>
              <w:t>ND</w:t>
            </w:r>
          </w:p>
        </w:tc>
        <w:tc>
          <w:tcPr>
            <w:tcW w:w="369" w:type="pct"/>
            <w:tcBorders>
              <w:tl2br w:val="nil"/>
              <w:tr2bl w:val="nil"/>
            </w:tcBorders>
            <w:shd w:val="clear" w:color="auto" w:fill="auto"/>
            <w:vAlign w:val="center"/>
          </w:tcPr>
          <w:p w14:paraId="0331A6E7">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ND</w:t>
            </w:r>
          </w:p>
        </w:tc>
        <w:tc>
          <w:tcPr>
            <w:tcW w:w="369" w:type="pct"/>
            <w:tcBorders>
              <w:tl2br w:val="nil"/>
              <w:tr2bl w:val="nil"/>
            </w:tcBorders>
            <w:shd w:val="clear" w:color="auto" w:fill="auto"/>
            <w:vAlign w:val="center"/>
          </w:tcPr>
          <w:p w14:paraId="3AC084A0">
            <w:pPr>
              <w:pStyle w:val="58"/>
              <w:bidi w:val="0"/>
              <w:rPr>
                <w:rFonts w:hint="default"/>
                <w:highlight w:val="none"/>
                <w:lang w:val="en-US" w:eastAsia="zh-CN"/>
              </w:rPr>
            </w:pPr>
            <w:r>
              <w:rPr>
                <w:rFonts w:hint="default"/>
                <w:highlight w:val="none"/>
                <w:lang w:val="en-US" w:eastAsia="zh-CN"/>
              </w:rPr>
              <w:t>ND</w:t>
            </w:r>
          </w:p>
        </w:tc>
        <w:tc>
          <w:tcPr>
            <w:tcW w:w="371" w:type="pct"/>
            <w:tcBorders>
              <w:tl2br w:val="nil"/>
              <w:tr2bl w:val="nil"/>
            </w:tcBorders>
            <w:shd w:val="clear" w:color="auto" w:fill="auto"/>
            <w:vAlign w:val="center"/>
          </w:tcPr>
          <w:p w14:paraId="30395C49">
            <w:pPr>
              <w:pStyle w:val="58"/>
              <w:bidi w:val="0"/>
              <w:rPr>
                <w:rFonts w:hint="default"/>
                <w:highlight w:val="none"/>
                <w:lang w:val="en-US" w:eastAsia="zh-CN"/>
              </w:rPr>
            </w:pPr>
            <w:r>
              <w:rPr>
                <w:rFonts w:hint="default"/>
                <w:highlight w:val="none"/>
                <w:lang w:val="en-US" w:eastAsia="zh-CN"/>
              </w:rPr>
              <w:t>ND</w:t>
            </w:r>
          </w:p>
        </w:tc>
      </w:tr>
      <w:tr w14:paraId="721ACF1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6C24AE44">
            <w:pPr>
              <w:pStyle w:val="58"/>
              <w:numPr>
                <w:ilvl w:val="0"/>
                <w:numId w:val="31"/>
              </w:numPr>
              <w:bidi w:val="0"/>
              <w:ind w:left="425" w:leftChars="0" w:hanging="425" w:firstLineChars="0"/>
              <w:rPr>
                <w:rFonts w:hint="default"/>
                <w:highlight w:val="none"/>
              </w:rPr>
            </w:pPr>
          </w:p>
        </w:tc>
        <w:tc>
          <w:tcPr>
            <w:tcW w:w="477" w:type="pct"/>
            <w:tcBorders>
              <w:tl2br w:val="nil"/>
              <w:tr2bl w:val="nil"/>
            </w:tcBorders>
            <w:shd w:val="clear" w:color="auto" w:fill="auto"/>
            <w:vAlign w:val="center"/>
          </w:tcPr>
          <w:p w14:paraId="0BEA79CE">
            <w:pPr>
              <w:pStyle w:val="58"/>
              <w:bidi w:val="0"/>
              <w:rPr>
                <w:rFonts w:hint="default"/>
                <w:highlight w:val="none"/>
                <w:lang w:val="en-US" w:eastAsia="zh-CN"/>
              </w:rPr>
            </w:pPr>
            <w:r>
              <w:rPr>
                <w:rFonts w:hint="default"/>
                <w:highlight w:val="none"/>
                <w:lang w:val="en-US" w:eastAsia="zh-CN"/>
              </w:rPr>
              <w:t>菌落总数</w:t>
            </w:r>
          </w:p>
        </w:tc>
        <w:tc>
          <w:tcPr>
            <w:tcW w:w="317" w:type="pct"/>
            <w:tcBorders>
              <w:tl2br w:val="nil"/>
              <w:tr2bl w:val="nil"/>
            </w:tcBorders>
            <w:shd w:val="clear" w:color="auto" w:fill="auto"/>
            <w:vAlign w:val="center"/>
          </w:tcPr>
          <w:p w14:paraId="67B6C6F8">
            <w:pPr>
              <w:pStyle w:val="58"/>
              <w:bidi w:val="0"/>
              <w:rPr>
                <w:rFonts w:hint="default"/>
                <w:highlight w:val="none"/>
                <w:lang w:val="en-US" w:eastAsia="zh-CN"/>
              </w:rPr>
            </w:pPr>
            <w:r>
              <w:rPr>
                <w:rFonts w:hint="default"/>
                <w:highlight w:val="none"/>
                <w:lang w:val="en-US" w:eastAsia="zh-CN"/>
              </w:rPr>
              <w:t>CFU/mL</w:t>
            </w:r>
          </w:p>
        </w:tc>
        <w:tc>
          <w:tcPr>
            <w:tcW w:w="364" w:type="pct"/>
            <w:tcBorders>
              <w:tl2br w:val="nil"/>
              <w:tr2bl w:val="nil"/>
            </w:tcBorders>
            <w:shd w:val="clear" w:color="auto" w:fill="auto"/>
            <w:vAlign w:val="center"/>
          </w:tcPr>
          <w:p w14:paraId="3E1A8CE8">
            <w:pPr>
              <w:pStyle w:val="58"/>
              <w:bidi w:val="0"/>
              <w:rPr>
                <w:rFonts w:hint="default"/>
                <w:highlight w:val="none"/>
                <w:lang w:val="en-US"/>
              </w:rPr>
            </w:pPr>
            <w:r>
              <w:rPr>
                <w:rFonts w:hint="default"/>
                <w:highlight w:val="none"/>
                <w:lang w:val="en-US" w:eastAsia="zh-CN"/>
              </w:rPr>
              <w:t>100</w:t>
            </w:r>
          </w:p>
        </w:tc>
        <w:tc>
          <w:tcPr>
            <w:tcW w:w="369" w:type="pct"/>
            <w:tcBorders>
              <w:tl2br w:val="nil"/>
              <w:tr2bl w:val="nil"/>
            </w:tcBorders>
            <w:shd w:val="clear" w:color="auto" w:fill="auto"/>
            <w:vAlign w:val="center"/>
          </w:tcPr>
          <w:p w14:paraId="77B0185D">
            <w:pPr>
              <w:pStyle w:val="58"/>
              <w:bidi w:val="0"/>
              <w:rPr>
                <w:rFonts w:hint="default"/>
                <w:highlight w:val="none"/>
                <w:lang w:val="en-US"/>
              </w:rPr>
            </w:pPr>
            <w:r>
              <w:rPr>
                <w:rFonts w:hint="default"/>
                <w:highlight w:val="none"/>
                <w:lang w:val="en-US" w:eastAsia="zh-CN"/>
              </w:rPr>
              <w:t>33</w:t>
            </w:r>
          </w:p>
        </w:tc>
        <w:tc>
          <w:tcPr>
            <w:tcW w:w="369" w:type="pct"/>
            <w:tcBorders>
              <w:tl2br w:val="nil"/>
              <w:tr2bl w:val="nil"/>
            </w:tcBorders>
            <w:shd w:val="clear" w:color="auto" w:fill="auto"/>
            <w:vAlign w:val="center"/>
          </w:tcPr>
          <w:p w14:paraId="4F1AD2C9">
            <w:pPr>
              <w:pStyle w:val="58"/>
              <w:bidi w:val="0"/>
              <w:rPr>
                <w:rFonts w:hint="default"/>
                <w:highlight w:val="none"/>
                <w:lang w:val="en-US" w:eastAsia="zh-CN"/>
              </w:rPr>
            </w:pPr>
            <w:r>
              <w:rPr>
                <w:rFonts w:hint="default"/>
                <w:highlight w:val="none"/>
                <w:lang w:val="en-US" w:eastAsia="zh-CN"/>
              </w:rPr>
              <w:t>37</w:t>
            </w:r>
          </w:p>
        </w:tc>
        <w:tc>
          <w:tcPr>
            <w:tcW w:w="369" w:type="pct"/>
            <w:tcBorders>
              <w:tl2br w:val="nil"/>
              <w:tr2bl w:val="nil"/>
            </w:tcBorders>
            <w:shd w:val="clear" w:color="auto" w:fill="auto"/>
            <w:vAlign w:val="center"/>
          </w:tcPr>
          <w:p w14:paraId="24B96A83">
            <w:pPr>
              <w:pStyle w:val="58"/>
              <w:bidi w:val="0"/>
              <w:rPr>
                <w:rFonts w:hint="default"/>
                <w:highlight w:val="none"/>
                <w:lang w:val="en-US" w:eastAsia="zh-CN"/>
              </w:rPr>
            </w:pPr>
            <w:r>
              <w:rPr>
                <w:rFonts w:hint="default"/>
                <w:highlight w:val="none"/>
                <w:lang w:val="en-US" w:eastAsia="zh-CN"/>
              </w:rPr>
              <w:t>30</w:t>
            </w:r>
          </w:p>
        </w:tc>
        <w:tc>
          <w:tcPr>
            <w:tcW w:w="369" w:type="pct"/>
            <w:tcBorders>
              <w:tl2br w:val="nil"/>
              <w:tr2bl w:val="nil"/>
            </w:tcBorders>
            <w:shd w:val="clear" w:color="auto" w:fill="auto"/>
            <w:vAlign w:val="center"/>
          </w:tcPr>
          <w:p w14:paraId="4FAAEC02">
            <w:pPr>
              <w:pStyle w:val="58"/>
              <w:bidi w:val="0"/>
              <w:rPr>
                <w:rFonts w:hint="default"/>
                <w:highlight w:val="none"/>
                <w:lang w:val="en-US" w:eastAsia="zh-CN"/>
              </w:rPr>
            </w:pPr>
            <w:r>
              <w:rPr>
                <w:rFonts w:hint="default"/>
                <w:highlight w:val="none"/>
                <w:lang w:val="en-US" w:eastAsia="zh-CN"/>
              </w:rPr>
              <w:t>30</w:t>
            </w:r>
          </w:p>
        </w:tc>
        <w:tc>
          <w:tcPr>
            <w:tcW w:w="369" w:type="pct"/>
            <w:tcBorders>
              <w:tl2br w:val="nil"/>
              <w:tr2bl w:val="nil"/>
            </w:tcBorders>
            <w:shd w:val="clear" w:color="auto" w:fill="auto"/>
            <w:vAlign w:val="center"/>
          </w:tcPr>
          <w:p w14:paraId="14DA5DC6">
            <w:pPr>
              <w:pStyle w:val="58"/>
              <w:bidi w:val="0"/>
              <w:rPr>
                <w:rFonts w:hint="default"/>
                <w:highlight w:val="none"/>
                <w:lang w:val="en-US" w:eastAsia="zh-CN"/>
              </w:rPr>
            </w:pPr>
            <w:r>
              <w:rPr>
                <w:rFonts w:hint="default"/>
                <w:highlight w:val="none"/>
                <w:lang w:val="en-US" w:eastAsia="zh-CN"/>
              </w:rPr>
              <w:t>38</w:t>
            </w:r>
          </w:p>
        </w:tc>
        <w:tc>
          <w:tcPr>
            <w:tcW w:w="369" w:type="pct"/>
            <w:tcBorders>
              <w:tl2br w:val="nil"/>
              <w:tr2bl w:val="nil"/>
            </w:tcBorders>
            <w:shd w:val="clear" w:color="auto" w:fill="auto"/>
            <w:vAlign w:val="center"/>
          </w:tcPr>
          <w:p w14:paraId="2DC03B08">
            <w:pPr>
              <w:pStyle w:val="58"/>
              <w:bidi w:val="0"/>
              <w:rPr>
                <w:rFonts w:hint="default"/>
                <w:highlight w:val="none"/>
                <w:lang w:val="en-US" w:eastAsia="zh-CN"/>
              </w:rPr>
            </w:pPr>
            <w:r>
              <w:rPr>
                <w:rFonts w:hint="default"/>
                <w:highlight w:val="none"/>
                <w:lang w:val="en-US" w:eastAsia="zh-CN"/>
              </w:rPr>
              <w:t>31</w:t>
            </w:r>
          </w:p>
        </w:tc>
        <w:tc>
          <w:tcPr>
            <w:tcW w:w="369" w:type="pct"/>
            <w:tcBorders>
              <w:tl2br w:val="nil"/>
              <w:tr2bl w:val="nil"/>
            </w:tcBorders>
            <w:shd w:val="clear" w:color="auto" w:fill="auto"/>
            <w:vAlign w:val="center"/>
          </w:tcPr>
          <w:p w14:paraId="1D983E26">
            <w:pPr>
              <w:pStyle w:val="58"/>
              <w:bidi w:val="0"/>
              <w:rPr>
                <w:rFonts w:hint="default"/>
                <w:highlight w:val="none"/>
                <w:lang w:val="en-US" w:eastAsia="zh-CN"/>
              </w:rPr>
            </w:pPr>
            <w:r>
              <w:rPr>
                <w:rFonts w:hint="default"/>
                <w:highlight w:val="none"/>
                <w:lang w:val="en-US" w:eastAsia="zh-CN"/>
              </w:rPr>
              <w:t>58</w:t>
            </w:r>
          </w:p>
        </w:tc>
        <w:tc>
          <w:tcPr>
            <w:tcW w:w="369" w:type="pct"/>
            <w:tcBorders>
              <w:tl2br w:val="nil"/>
              <w:tr2bl w:val="nil"/>
            </w:tcBorders>
            <w:shd w:val="clear" w:color="auto" w:fill="auto"/>
            <w:vAlign w:val="center"/>
          </w:tcPr>
          <w:p w14:paraId="20AC5CB8">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32</w:t>
            </w:r>
          </w:p>
        </w:tc>
        <w:tc>
          <w:tcPr>
            <w:tcW w:w="369" w:type="pct"/>
            <w:tcBorders>
              <w:tl2br w:val="nil"/>
              <w:tr2bl w:val="nil"/>
            </w:tcBorders>
            <w:shd w:val="clear" w:color="auto" w:fill="auto"/>
            <w:vAlign w:val="center"/>
          </w:tcPr>
          <w:p w14:paraId="5AEA77F6">
            <w:pPr>
              <w:pStyle w:val="58"/>
              <w:bidi w:val="0"/>
              <w:rPr>
                <w:rFonts w:hint="default"/>
                <w:highlight w:val="none"/>
                <w:lang w:val="en-US" w:eastAsia="zh-CN"/>
              </w:rPr>
            </w:pPr>
            <w:r>
              <w:rPr>
                <w:rFonts w:hint="default"/>
                <w:highlight w:val="none"/>
                <w:lang w:val="en-US" w:eastAsia="zh-CN"/>
              </w:rPr>
              <w:t>29</w:t>
            </w:r>
          </w:p>
        </w:tc>
        <w:tc>
          <w:tcPr>
            <w:tcW w:w="371" w:type="pct"/>
            <w:tcBorders>
              <w:tl2br w:val="nil"/>
              <w:tr2bl w:val="nil"/>
            </w:tcBorders>
            <w:shd w:val="clear" w:color="auto" w:fill="auto"/>
            <w:vAlign w:val="center"/>
          </w:tcPr>
          <w:p w14:paraId="4A111D93">
            <w:pPr>
              <w:pStyle w:val="58"/>
              <w:bidi w:val="0"/>
              <w:rPr>
                <w:rFonts w:hint="default"/>
                <w:highlight w:val="none"/>
                <w:lang w:val="en-US" w:eastAsia="zh-CN"/>
              </w:rPr>
            </w:pPr>
            <w:r>
              <w:rPr>
                <w:rFonts w:hint="default"/>
                <w:highlight w:val="none"/>
                <w:lang w:val="en-US" w:eastAsia="zh-CN"/>
              </w:rPr>
              <w:t>36</w:t>
            </w:r>
          </w:p>
        </w:tc>
      </w:tr>
      <w:tr w14:paraId="6C9C5AC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416FE8D6">
            <w:pPr>
              <w:pStyle w:val="58"/>
              <w:numPr>
                <w:ilvl w:val="0"/>
                <w:numId w:val="31"/>
              </w:numPr>
              <w:bidi w:val="0"/>
              <w:ind w:left="425" w:leftChars="0" w:hanging="425" w:firstLineChars="0"/>
              <w:rPr>
                <w:rFonts w:hint="default"/>
                <w:highlight w:val="none"/>
              </w:rPr>
            </w:pPr>
          </w:p>
        </w:tc>
        <w:tc>
          <w:tcPr>
            <w:tcW w:w="477" w:type="pct"/>
            <w:tcBorders>
              <w:tl2br w:val="nil"/>
              <w:tr2bl w:val="nil"/>
            </w:tcBorders>
            <w:shd w:val="clear" w:color="auto" w:fill="auto"/>
            <w:vAlign w:val="center"/>
          </w:tcPr>
          <w:p w14:paraId="546504C9">
            <w:pPr>
              <w:pStyle w:val="58"/>
              <w:bidi w:val="0"/>
              <w:rPr>
                <w:rFonts w:hint="default"/>
                <w:highlight w:val="none"/>
                <w:lang w:val="en-US" w:eastAsia="zh-CN"/>
              </w:rPr>
            </w:pPr>
            <w:r>
              <w:rPr>
                <w:rFonts w:hint="default"/>
                <w:highlight w:val="none"/>
                <w:lang w:val="en-US" w:eastAsia="zh-CN"/>
              </w:rPr>
              <w:t>钾</w:t>
            </w:r>
          </w:p>
        </w:tc>
        <w:tc>
          <w:tcPr>
            <w:tcW w:w="317" w:type="pct"/>
            <w:tcBorders>
              <w:tl2br w:val="nil"/>
              <w:tr2bl w:val="nil"/>
            </w:tcBorders>
            <w:shd w:val="clear" w:color="auto" w:fill="auto"/>
            <w:vAlign w:val="center"/>
          </w:tcPr>
          <w:p w14:paraId="09C0CF0C">
            <w:pPr>
              <w:pStyle w:val="58"/>
              <w:bidi w:val="0"/>
              <w:rPr>
                <w:rFonts w:hint="default"/>
                <w:highlight w:val="none"/>
                <w:lang w:val="en-US" w:eastAsia="zh-CN"/>
              </w:rPr>
            </w:pPr>
            <w:r>
              <w:rPr>
                <w:rFonts w:hint="default"/>
                <w:highlight w:val="none"/>
                <w:lang w:val="en-US" w:eastAsia="zh-CN"/>
              </w:rPr>
              <w:t>mg/L</w:t>
            </w:r>
          </w:p>
        </w:tc>
        <w:tc>
          <w:tcPr>
            <w:tcW w:w="364" w:type="pct"/>
            <w:tcBorders>
              <w:tl2br w:val="nil"/>
              <w:tr2bl w:val="nil"/>
            </w:tcBorders>
            <w:shd w:val="clear" w:color="auto" w:fill="auto"/>
            <w:vAlign w:val="center"/>
          </w:tcPr>
          <w:p w14:paraId="4A31A322">
            <w:pPr>
              <w:pStyle w:val="58"/>
              <w:bidi w:val="0"/>
              <w:rPr>
                <w:rFonts w:hint="default"/>
                <w:highlight w:val="none"/>
                <w:lang w:val="en-US" w:eastAsia="zh-CN"/>
              </w:rPr>
            </w:pPr>
            <w:r>
              <w:rPr>
                <w:rFonts w:hint="default"/>
                <w:highlight w:val="none"/>
                <w:lang w:val="en-US" w:eastAsia="zh-CN"/>
              </w:rPr>
              <w:t>/</w:t>
            </w:r>
          </w:p>
        </w:tc>
        <w:tc>
          <w:tcPr>
            <w:tcW w:w="369" w:type="pct"/>
            <w:tcBorders>
              <w:tl2br w:val="nil"/>
              <w:tr2bl w:val="nil"/>
            </w:tcBorders>
            <w:shd w:val="clear" w:color="auto" w:fill="auto"/>
            <w:vAlign w:val="center"/>
          </w:tcPr>
          <w:p w14:paraId="68DB3404">
            <w:pPr>
              <w:pStyle w:val="58"/>
              <w:bidi w:val="0"/>
              <w:rPr>
                <w:rFonts w:hint="default"/>
                <w:highlight w:val="none"/>
                <w:lang w:val="en-US" w:eastAsia="zh-CN"/>
              </w:rPr>
            </w:pPr>
            <w:r>
              <w:rPr>
                <w:rFonts w:hint="default"/>
                <w:highlight w:val="none"/>
                <w:lang w:val="en-US" w:eastAsia="zh-CN"/>
              </w:rPr>
              <w:t>12.0</w:t>
            </w:r>
          </w:p>
        </w:tc>
        <w:tc>
          <w:tcPr>
            <w:tcW w:w="369" w:type="pct"/>
            <w:tcBorders>
              <w:tl2br w:val="nil"/>
              <w:tr2bl w:val="nil"/>
            </w:tcBorders>
            <w:shd w:val="clear" w:color="auto" w:fill="auto"/>
            <w:vAlign w:val="center"/>
          </w:tcPr>
          <w:p w14:paraId="402997BA">
            <w:pPr>
              <w:pStyle w:val="58"/>
              <w:bidi w:val="0"/>
              <w:rPr>
                <w:rFonts w:hint="default"/>
                <w:highlight w:val="none"/>
                <w:lang w:val="en-US" w:eastAsia="zh-CN"/>
              </w:rPr>
            </w:pPr>
            <w:r>
              <w:rPr>
                <w:rFonts w:hint="default"/>
                <w:highlight w:val="none"/>
                <w:lang w:val="en-US" w:eastAsia="zh-CN"/>
              </w:rPr>
              <w:t>17.1</w:t>
            </w:r>
          </w:p>
        </w:tc>
        <w:tc>
          <w:tcPr>
            <w:tcW w:w="369" w:type="pct"/>
            <w:tcBorders>
              <w:tl2br w:val="nil"/>
              <w:tr2bl w:val="nil"/>
            </w:tcBorders>
            <w:shd w:val="clear" w:color="auto" w:fill="auto"/>
            <w:vAlign w:val="center"/>
          </w:tcPr>
          <w:p w14:paraId="4DC84FAF">
            <w:pPr>
              <w:pStyle w:val="58"/>
              <w:bidi w:val="0"/>
              <w:rPr>
                <w:rFonts w:hint="default"/>
                <w:highlight w:val="none"/>
                <w:lang w:val="en-US" w:eastAsia="zh-CN"/>
              </w:rPr>
            </w:pPr>
            <w:r>
              <w:rPr>
                <w:rFonts w:hint="default"/>
                <w:highlight w:val="none"/>
                <w:lang w:val="en-US" w:eastAsia="zh-CN"/>
              </w:rPr>
              <w:t>17.4</w:t>
            </w:r>
          </w:p>
        </w:tc>
        <w:tc>
          <w:tcPr>
            <w:tcW w:w="369" w:type="pct"/>
            <w:tcBorders>
              <w:tl2br w:val="nil"/>
              <w:tr2bl w:val="nil"/>
            </w:tcBorders>
            <w:shd w:val="clear" w:color="auto" w:fill="auto"/>
            <w:vAlign w:val="center"/>
          </w:tcPr>
          <w:p w14:paraId="250255B8">
            <w:pPr>
              <w:pStyle w:val="58"/>
              <w:bidi w:val="0"/>
              <w:rPr>
                <w:rFonts w:hint="default"/>
                <w:highlight w:val="none"/>
                <w:lang w:val="en-US" w:eastAsia="zh-CN"/>
              </w:rPr>
            </w:pPr>
            <w:r>
              <w:rPr>
                <w:rFonts w:hint="default"/>
                <w:highlight w:val="none"/>
                <w:lang w:val="en-US" w:eastAsia="zh-CN"/>
              </w:rPr>
              <w:t>17.3</w:t>
            </w:r>
          </w:p>
        </w:tc>
        <w:tc>
          <w:tcPr>
            <w:tcW w:w="369" w:type="pct"/>
            <w:tcBorders>
              <w:tl2br w:val="nil"/>
              <w:tr2bl w:val="nil"/>
            </w:tcBorders>
            <w:shd w:val="clear" w:color="auto" w:fill="auto"/>
            <w:vAlign w:val="center"/>
          </w:tcPr>
          <w:p w14:paraId="43D9FED2">
            <w:pPr>
              <w:pStyle w:val="58"/>
              <w:bidi w:val="0"/>
              <w:rPr>
                <w:rFonts w:hint="default"/>
                <w:highlight w:val="none"/>
                <w:lang w:val="en-US" w:eastAsia="zh-CN"/>
              </w:rPr>
            </w:pPr>
            <w:r>
              <w:rPr>
                <w:rFonts w:hint="default"/>
                <w:highlight w:val="none"/>
                <w:lang w:val="en-US" w:eastAsia="zh-CN"/>
              </w:rPr>
              <w:t>17.1</w:t>
            </w:r>
          </w:p>
        </w:tc>
        <w:tc>
          <w:tcPr>
            <w:tcW w:w="369" w:type="pct"/>
            <w:tcBorders>
              <w:tl2br w:val="nil"/>
              <w:tr2bl w:val="nil"/>
            </w:tcBorders>
            <w:shd w:val="clear" w:color="auto" w:fill="auto"/>
            <w:vAlign w:val="center"/>
          </w:tcPr>
          <w:p w14:paraId="3CC0FE71">
            <w:pPr>
              <w:pStyle w:val="58"/>
              <w:bidi w:val="0"/>
              <w:rPr>
                <w:rFonts w:hint="default"/>
                <w:highlight w:val="none"/>
                <w:lang w:val="en-US" w:eastAsia="zh-CN"/>
              </w:rPr>
            </w:pPr>
            <w:r>
              <w:rPr>
                <w:rFonts w:hint="default"/>
                <w:highlight w:val="none"/>
                <w:lang w:val="en-US" w:eastAsia="zh-CN"/>
              </w:rPr>
              <w:t>44.0</w:t>
            </w:r>
          </w:p>
        </w:tc>
        <w:tc>
          <w:tcPr>
            <w:tcW w:w="369" w:type="pct"/>
            <w:tcBorders>
              <w:tl2br w:val="nil"/>
              <w:tr2bl w:val="nil"/>
            </w:tcBorders>
            <w:shd w:val="clear" w:color="auto" w:fill="auto"/>
            <w:vAlign w:val="center"/>
          </w:tcPr>
          <w:p w14:paraId="13974BE5">
            <w:pPr>
              <w:pStyle w:val="58"/>
              <w:bidi w:val="0"/>
              <w:rPr>
                <w:rFonts w:hint="default"/>
                <w:highlight w:val="none"/>
                <w:lang w:val="en-US" w:eastAsia="zh-CN"/>
              </w:rPr>
            </w:pPr>
            <w:r>
              <w:rPr>
                <w:rFonts w:hint="default"/>
                <w:highlight w:val="none"/>
                <w:lang w:val="en-US" w:eastAsia="zh-CN"/>
              </w:rPr>
              <w:t>13.8</w:t>
            </w:r>
          </w:p>
        </w:tc>
        <w:tc>
          <w:tcPr>
            <w:tcW w:w="369" w:type="pct"/>
            <w:tcBorders>
              <w:tl2br w:val="nil"/>
              <w:tr2bl w:val="nil"/>
            </w:tcBorders>
            <w:shd w:val="clear" w:color="auto" w:fill="auto"/>
            <w:vAlign w:val="center"/>
          </w:tcPr>
          <w:p w14:paraId="00C3E04B">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ND</w:t>
            </w:r>
          </w:p>
        </w:tc>
        <w:tc>
          <w:tcPr>
            <w:tcW w:w="369" w:type="pct"/>
            <w:tcBorders>
              <w:tl2br w:val="nil"/>
              <w:tr2bl w:val="nil"/>
            </w:tcBorders>
            <w:shd w:val="clear" w:color="auto" w:fill="auto"/>
            <w:vAlign w:val="center"/>
          </w:tcPr>
          <w:p w14:paraId="1EE354D4">
            <w:pPr>
              <w:pStyle w:val="58"/>
              <w:bidi w:val="0"/>
              <w:rPr>
                <w:rFonts w:hint="default"/>
                <w:highlight w:val="none"/>
                <w:lang w:val="en-US" w:eastAsia="zh-CN"/>
              </w:rPr>
            </w:pPr>
            <w:r>
              <w:rPr>
                <w:rFonts w:hint="default"/>
                <w:highlight w:val="none"/>
                <w:lang w:val="en-US" w:eastAsia="zh-CN"/>
              </w:rPr>
              <w:t>1.59</w:t>
            </w:r>
          </w:p>
        </w:tc>
        <w:tc>
          <w:tcPr>
            <w:tcW w:w="371" w:type="pct"/>
            <w:tcBorders>
              <w:tl2br w:val="nil"/>
              <w:tr2bl w:val="nil"/>
            </w:tcBorders>
            <w:shd w:val="clear" w:color="auto" w:fill="auto"/>
            <w:vAlign w:val="center"/>
          </w:tcPr>
          <w:p w14:paraId="69BA2DE1">
            <w:pPr>
              <w:pStyle w:val="58"/>
              <w:bidi w:val="0"/>
              <w:rPr>
                <w:rFonts w:hint="default"/>
                <w:highlight w:val="none"/>
                <w:lang w:val="en-US" w:eastAsia="zh-CN"/>
              </w:rPr>
            </w:pPr>
            <w:r>
              <w:rPr>
                <w:rFonts w:hint="default"/>
                <w:highlight w:val="none"/>
                <w:lang w:val="en-US" w:eastAsia="zh-CN"/>
              </w:rPr>
              <w:t>3.56</w:t>
            </w:r>
          </w:p>
        </w:tc>
      </w:tr>
      <w:tr w14:paraId="1B1E4F3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14DD3C2B">
            <w:pPr>
              <w:pStyle w:val="58"/>
              <w:numPr>
                <w:ilvl w:val="0"/>
                <w:numId w:val="31"/>
              </w:numPr>
              <w:bidi w:val="0"/>
              <w:ind w:left="425" w:leftChars="0" w:hanging="425" w:firstLineChars="0"/>
              <w:rPr>
                <w:rFonts w:hint="default"/>
                <w:highlight w:val="none"/>
              </w:rPr>
            </w:pPr>
          </w:p>
        </w:tc>
        <w:tc>
          <w:tcPr>
            <w:tcW w:w="477" w:type="pct"/>
            <w:tcBorders>
              <w:tl2br w:val="nil"/>
              <w:tr2bl w:val="nil"/>
            </w:tcBorders>
            <w:shd w:val="clear" w:color="auto" w:fill="auto"/>
            <w:vAlign w:val="center"/>
          </w:tcPr>
          <w:p w14:paraId="5466EDAC">
            <w:pPr>
              <w:pStyle w:val="58"/>
              <w:bidi w:val="0"/>
              <w:rPr>
                <w:rFonts w:hint="default"/>
                <w:highlight w:val="none"/>
                <w:lang w:val="en-US" w:eastAsia="zh-CN"/>
              </w:rPr>
            </w:pPr>
            <w:r>
              <w:rPr>
                <w:rFonts w:hint="default"/>
                <w:highlight w:val="none"/>
                <w:lang w:val="en-US" w:eastAsia="zh-CN"/>
              </w:rPr>
              <w:t>钠</w:t>
            </w:r>
          </w:p>
        </w:tc>
        <w:tc>
          <w:tcPr>
            <w:tcW w:w="317" w:type="pct"/>
            <w:tcBorders>
              <w:tl2br w:val="nil"/>
              <w:tr2bl w:val="nil"/>
            </w:tcBorders>
            <w:shd w:val="clear" w:color="auto" w:fill="auto"/>
            <w:vAlign w:val="center"/>
          </w:tcPr>
          <w:p w14:paraId="4C9F3686">
            <w:pPr>
              <w:pStyle w:val="58"/>
              <w:bidi w:val="0"/>
              <w:rPr>
                <w:rFonts w:hint="default"/>
                <w:highlight w:val="none"/>
                <w:lang w:val="en-US" w:eastAsia="zh-CN"/>
              </w:rPr>
            </w:pPr>
            <w:r>
              <w:rPr>
                <w:rFonts w:hint="default"/>
                <w:highlight w:val="none"/>
                <w:lang w:val="en-US" w:eastAsia="zh-CN"/>
              </w:rPr>
              <w:t>mg/L</w:t>
            </w:r>
          </w:p>
        </w:tc>
        <w:tc>
          <w:tcPr>
            <w:tcW w:w="364" w:type="pct"/>
            <w:tcBorders>
              <w:tl2br w:val="nil"/>
              <w:tr2bl w:val="nil"/>
            </w:tcBorders>
            <w:shd w:val="clear" w:color="auto" w:fill="auto"/>
            <w:vAlign w:val="center"/>
          </w:tcPr>
          <w:p w14:paraId="736127E7">
            <w:pPr>
              <w:pStyle w:val="58"/>
              <w:bidi w:val="0"/>
              <w:rPr>
                <w:rFonts w:hint="default"/>
                <w:highlight w:val="none"/>
                <w:lang w:val="en-US" w:eastAsia="zh-CN"/>
              </w:rPr>
            </w:pPr>
            <w:r>
              <w:rPr>
                <w:rFonts w:hint="default"/>
                <w:highlight w:val="none"/>
                <w:lang w:val="en-US" w:eastAsia="zh-CN"/>
              </w:rPr>
              <w:t>/</w:t>
            </w:r>
          </w:p>
        </w:tc>
        <w:tc>
          <w:tcPr>
            <w:tcW w:w="369" w:type="pct"/>
            <w:tcBorders>
              <w:tl2br w:val="nil"/>
              <w:tr2bl w:val="nil"/>
            </w:tcBorders>
            <w:shd w:val="clear" w:color="auto" w:fill="auto"/>
            <w:vAlign w:val="center"/>
          </w:tcPr>
          <w:p w14:paraId="135704C2">
            <w:pPr>
              <w:pStyle w:val="58"/>
              <w:bidi w:val="0"/>
              <w:rPr>
                <w:rFonts w:hint="default"/>
                <w:highlight w:val="none"/>
                <w:lang w:val="en-US" w:eastAsia="zh-CN"/>
              </w:rPr>
            </w:pPr>
            <w:r>
              <w:rPr>
                <w:rFonts w:hint="default"/>
                <w:highlight w:val="none"/>
                <w:lang w:val="en-US" w:eastAsia="zh-CN"/>
              </w:rPr>
              <w:t>62.5</w:t>
            </w:r>
          </w:p>
        </w:tc>
        <w:tc>
          <w:tcPr>
            <w:tcW w:w="369" w:type="pct"/>
            <w:tcBorders>
              <w:tl2br w:val="nil"/>
              <w:tr2bl w:val="nil"/>
            </w:tcBorders>
            <w:shd w:val="clear" w:color="auto" w:fill="auto"/>
            <w:vAlign w:val="center"/>
          </w:tcPr>
          <w:p w14:paraId="6CAD4FBA">
            <w:pPr>
              <w:pStyle w:val="58"/>
              <w:bidi w:val="0"/>
              <w:rPr>
                <w:rFonts w:hint="default"/>
                <w:highlight w:val="none"/>
                <w:lang w:val="en-US" w:eastAsia="zh-CN"/>
              </w:rPr>
            </w:pPr>
            <w:r>
              <w:rPr>
                <w:rFonts w:hint="default"/>
                <w:highlight w:val="none"/>
                <w:lang w:val="en-US" w:eastAsia="zh-CN"/>
              </w:rPr>
              <w:t>62.8</w:t>
            </w:r>
          </w:p>
        </w:tc>
        <w:tc>
          <w:tcPr>
            <w:tcW w:w="369" w:type="pct"/>
            <w:tcBorders>
              <w:tl2br w:val="nil"/>
              <w:tr2bl w:val="nil"/>
            </w:tcBorders>
            <w:shd w:val="clear" w:color="auto" w:fill="auto"/>
            <w:vAlign w:val="center"/>
          </w:tcPr>
          <w:p w14:paraId="59EF6A99">
            <w:pPr>
              <w:pStyle w:val="58"/>
              <w:bidi w:val="0"/>
              <w:rPr>
                <w:rFonts w:hint="default"/>
                <w:highlight w:val="none"/>
                <w:lang w:val="en-US" w:eastAsia="zh-CN"/>
              </w:rPr>
            </w:pPr>
            <w:r>
              <w:rPr>
                <w:rFonts w:hint="default"/>
                <w:highlight w:val="none"/>
                <w:lang w:val="en-US" w:eastAsia="zh-CN"/>
              </w:rPr>
              <w:t>81.6</w:t>
            </w:r>
          </w:p>
        </w:tc>
        <w:tc>
          <w:tcPr>
            <w:tcW w:w="369" w:type="pct"/>
            <w:tcBorders>
              <w:tl2br w:val="nil"/>
              <w:tr2bl w:val="nil"/>
            </w:tcBorders>
            <w:shd w:val="clear" w:color="auto" w:fill="auto"/>
            <w:vAlign w:val="center"/>
          </w:tcPr>
          <w:p w14:paraId="5D685E89">
            <w:pPr>
              <w:pStyle w:val="58"/>
              <w:bidi w:val="0"/>
              <w:rPr>
                <w:rFonts w:hint="default"/>
                <w:highlight w:val="none"/>
                <w:lang w:val="en-US" w:eastAsia="zh-CN"/>
              </w:rPr>
            </w:pPr>
            <w:r>
              <w:rPr>
                <w:rFonts w:hint="default"/>
                <w:highlight w:val="none"/>
                <w:lang w:val="en-US" w:eastAsia="zh-CN"/>
              </w:rPr>
              <w:t>61.8</w:t>
            </w:r>
          </w:p>
        </w:tc>
        <w:tc>
          <w:tcPr>
            <w:tcW w:w="369" w:type="pct"/>
            <w:tcBorders>
              <w:tl2br w:val="nil"/>
              <w:tr2bl w:val="nil"/>
            </w:tcBorders>
            <w:shd w:val="clear" w:color="auto" w:fill="auto"/>
            <w:vAlign w:val="center"/>
          </w:tcPr>
          <w:p w14:paraId="41608FB1">
            <w:pPr>
              <w:pStyle w:val="58"/>
              <w:bidi w:val="0"/>
              <w:rPr>
                <w:rFonts w:hint="default"/>
                <w:highlight w:val="none"/>
                <w:lang w:val="en-US" w:eastAsia="zh-CN"/>
              </w:rPr>
            </w:pPr>
            <w:r>
              <w:rPr>
                <w:rFonts w:hint="default"/>
                <w:highlight w:val="none"/>
                <w:lang w:val="en-US" w:eastAsia="zh-CN"/>
              </w:rPr>
              <w:t>77.8</w:t>
            </w:r>
          </w:p>
        </w:tc>
        <w:tc>
          <w:tcPr>
            <w:tcW w:w="369" w:type="pct"/>
            <w:tcBorders>
              <w:tl2br w:val="nil"/>
              <w:tr2bl w:val="nil"/>
            </w:tcBorders>
            <w:shd w:val="clear" w:color="auto" w:fill="auto"/>
            <w:vAlign w:val="center"/>
          </w:tcPr>
          <w:p w14:paraId="1F88E62F">
            <w:pPr>
              <w:pStyle w:val="58"/>
              <w:bidi w:val="0"/>
              <w:rPr>
                <w:rFonts w:hint="default"/>
                <w:highlight w:val="none"/>
                <w:lang w:val="en-US" w:eastAsia="zh-CN"/>
              </w:rPr>
            </w:pPr>
            <w:r>
              <w:rPr>
                <w:rFonts w:hint="default"/>
                <w:highlight w:val="none"/>
                <w:lang w:val="en-US" w:eastAsia="zh-CN"/>
              </w:rPr>
              <w:t>151</w:t>
            </w:r>
          </w:p>
        </w:tc>
        <w:tc>
          <w:tcPr>
            <w:tcW w:w="369" w:type="pct"/>
            <w:tcBorders>
              <w:tl2br w:val="nil"/>
              <w:tr2bl w:val="nil"/>
            </w:tcBorders>
            <w:shd w:val="clear" w:color="auto" w:fill="auto"/>
            <w:vAlign w:val="center"/>
          </w:tcPr>
          <w:p w14:paraId="7B302B39">
            <w:pPr>
              <w:pStyle w:val="58"/>
              <w:bidi w:val="0"/>
              <w:rPr>
                <w:rFonts w:hint="default"/>
                <w:highlight w:val="none"/>
                <w:lang w:val="en-US" w:eastAsia="zh-CN"/>
              </w:rPr>
            </w:pPr>
            <w:r>
              <w:rPr>
                <w:rFonts w:hint="default"/>
                <w:highlight w:val="none"/>
                <w:lang w:val="en-US" w:eastAsia="zh-CN"/>
              </w:rPr>
              <w:t>71.4</w:t>
            </w:r>
          </w:p>
        </w:tc>
        <w:tc>
          <w:tcPr>
            <w:tcW w:w="369" w:type="pct"/>
            <w:tcBorders>
              <w:tl2br w:val="nil"/>
              <w:tr2bl w:val="nil"/>
            </w:tcBorders>
            <w:shd w:val="clear" w:color="auto" w:fill="auto"/>
            <w:vAlign w:val="center"/>
          </w:tcPr>
          <w:p w14:paraId="287F897C">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39.2</w:t>
            </w:r>
          </w:p>
        </w:tc>
        <w:tc>
          <w:tcPr>
            <w:tcW w:w="369" w:type="pct"/>
            <w:tcBorders>
              <w:tl2br w:val="nil"/>
              <w:tr2bl w:val="nil"/>
            </w:tcBorders>
            <w:shd w:val="clear" w:color="auto" w:fill="auto"/>
            <w:vAlign w:val="center"/>
          </w:tcPr>
          <w:p w14:paraId="1ACBC9F2">
            <w:pPr>
              <w:pStyle w:val="58"/>
              <w:bidi w:val="0"/>
              <w:rPr>
                <w:rFonts w:hint="default"/>
                <w:highlight w:val="none"/>
                <w:lang w:val="en-US" w:eastAsia="zh-CN"/>
              </w:rPr>
            </w:pPr>
            <w:r>
              <w:rPr>
                <w:rFonts w:hint="default"/>
                <w:highlight w:val="none"/>
                <w:lang w:val="en-US" w:eastAsia="zh-CN"/>
              </w:rPr>
              <w:t>27.7</w:t>
            </w:r>
          </w:p>
        </w:tc>
        <w:tc>
          <w:tcPr>
            <w:tcW w:w="371" w:type="pct"/>
            <w:tcBorders>
              <w:tl2br w:val="nil"/>
              <w:tr2bl w:val="nil"/>
            </w:tcBorders>
            <w:shd w:val="clear" w:color="auto" w:fill="auto"/>
            <w:vAlign w:val="center"/>
          </w:tcPr>
          <w:p w14:paraId="786B1F8A">
            <w:pPr>
              <w:pStyle w:val="58"/>
              <w:bidi w:val="0"/>
              <w:rPr>
                <w:rFonts w:hint="default"/>
                <w:highlight w:val="none"/>
                <w:lang w:val="en-US" w:eastAsia="zh-CN"/>
              </w:rPr>
            </w:pPr>
            <w:r>
              <w:rPr>
                <w:rFonts w:hint="default"/>
                <w:highlight w:val="none"/>
                <w:lang w:val="en-US" w:eastAsia="zh-CN"/>
              </w:rPr>
              <w:t>36.6</w:t>
            </w:r>
          </w:p>
        </w:tc>
      </w:tr>
      <w:tr w14:paraId="7E38BD2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6294A748">
            <w:pPr>
              <w:pStyle w:val="58"/>
              <w:numPr>
                <w:ilvl w:val="0"/>
                <w:numId w:val="31"/>
              </w:numPr>
              <w:bidi w:val="0"/>
              <w:ind w:left="425" w:leftChars="0" w:hanging="425" w:firstLineChars="0"/>
              <w:rPr>
                <w:rFonts w:hint="default"/>
                <w:highlight w:val="none"/>
              </w:rPr>
            </w:pPr>
          </w:p>
        </w:tc>
        <w:tc>
          <w:tcPr>
            <w:tcW w:w="477" w:type="pct"/>
            <w:tcBorders>
              <w:tl2br w:val="nil"/>
              <w:tr2bl w:val="nil"/>
            </w:tcBorders>
            <w:shd w:val="clear" w:color="auto" w:fill="auto"/>
            <w:vAlign w:val="center"/>
          </w:tcPr>
          <w:p w14:paraId="5B75F5F7">
            <w:pPr>
              <w:pStyle w:val="58"/>
              <w:bidi w:val="0"/>
              <w:rPr>
                <w:rFonts w:hint="default"/>
                <w:highlight w:val="none"/>
                <w:lang w:val="en-US" w:eastAsia="zh-CN"/>
              </w:rPr>
            </w:pPr>
            <w:r>
              <w:rPr>
                <w:rFonts w:hint="default"/>
                <w:highlight w:val="none"/>
                <w:lang w:val="en-US" w:eastAsia="zh-CN"/>
              </w:rPr>
              <w:t>钙</w:t>
            </w:r>
          </w:p>
        </w:tc>
        <w:tc>
          <w:tcPr>
            <w:tcW w:w="317" w:type="pct"/>
            <w:tcBorders>
              <w:tl2br w:val="nil"/>
              <w:tr2bl w:val="nil"/>
            </w:tcBorders>
            <w:shd w:val="clear" w:color="auto" w:fill="auto"/>
            <w:vAlign w:val="center"/>
          </w:tcPr>
          <w:p w14:paraId="7C07D15B">
            <w:pPr>
              <w:pStyle w:val="58"/>
              <w:bidi w:val="0"/>
              <w:rPr>
                <w:rFonts w:hint="default"/>
                <w:highlight w:val="none"/>
                <w:lang w:val="en-US" w:eastAsia="zh-CN"/>
              </w:rPr>
            </w:pPr>
            <w:r>
              <w:rPr>
                <w:rFonts w:hint="default"/>
                <w:highlight w:val="none"/>
                <w:lang w:val="en-US" w:eastAsia="zh-CN"/>
              </w:rPr>
              <w:t>mg/L</w:t>
            </w:r>
          </w:p>
        </w:tc>
        <w:tc>
          <w:tcPr>
            <w:tcW w:w="364" w:type="pct"/>
            <w:tcBorders>
              <w:tl2br w:val="nil"/>
              <w:tr2bl w:val="nil"/>
            </w:tcBorders>
            <w:shd w:val="clear" w:color="auto" w:fill="auto"/>
            <w:vAlign w:val="center"/>
          </w:tcPr>
          <w:p w14:paraId="7D87589D">
            <w:pPr>
              <w:pStyle w:val="58"/>
              <w:bidi w:val="0"/>
              <w:rPr>
                <w:rFonts w:hint="default"/>
                <w:highlight w:val="none"/>
                <w:lang w:val="en-US" w:eastAsia="zh-CN"/>
              </w:rPr>
            </w:pPr>
            <w:r>
              <w:rPr>
                <w:rFonts w:hint="default"/>
                <w:highlight w:val="none"/>
                <w:lang w:val="en-US" w:eastAsia="zh-CN"/>
              </w:rPr>
              <w:t>/</w:t>
            </w:r>
          </w:p>
        </w:tc>
        <w:tc>
          <w:tcPr>
            <w:tcW w:w="369" w:type="pct"/>
            <w:tcBorders>
              <w:tl2br w:val="nil"/>
              <w:tr2bl w:val="nil"/>
            </w:tcBorders>
            <w:shd w:val="clear" w:color="auto" w:fill="auto"/>
            <w:vAlign w:val="center"/>
          </w:tcPr>
          <w:p w14:paraId="087BF15A">
            <w:pPr>
              <w:pStyle w:val="58"/>
              <w:bidi w:val="0"/>
              <w:rPr>
                <w:rFonts w:hint="default"/>
                <w:highlight w:val="none"/>
                <w:lang w:val="en-US" w:eastAsia="zh-CN"/>
              </w:rPr>
            </w:pPr>
            <w:r>
              <w:rPr>
                <w:rFonts w:hint="default"/>
                <w:highlight w:val="none"/>
                <w:lang w:val="en-US" w:eastAsia="zh-CN"/>
              </w:rPr>
              <w:t>68.8</w:t>
            </w:r>
          </w:p>
        </w:tc>
        <w:tc>
          <w:tcPr>
            <w:tcW w:w="369" w:type="pct"/>
            <w:tcBorders>
              <w:tl2br w:val="nil"/>
              <w:tr2bl w:val="nil"/>
            </w:tcBorders>
            <w:shd w:val="clear" w:color="auto" w:fill="auto"/>
            <w:vAlign w:val="center"/>
          </w:tcPr>
          <w:p w14:paraId="3E4FC4F3">
            <w:pPr>
              <w:pStyle w:val="58"/>
              <w:bidi w:val="0"/>
              <w:rPr>
                <w:rFonts w:hint="default"/>
                <w:highlight w:val="none"/>
                <w:lang w:val="en-US" w:eastAsia="zh-CN"/>
              </w:rPr>
            </w:pPr>
            <w:r>
              <w:rPr>
                <w:rFonts w:hint="default"/>
                <w:highlight w:val="none"/>
                <w:lang w:val="en-US" w:eastAsia="zh-CN"/>
              </w:rPr>
              <w:t>77.0</w:t>
            </w:r>
          </w:p>
        </w:tc>
        <w:tc>
          <w:tcPr>
            <w:tcW w:w="369" w:type="pct"/>
            <w:tcBorders>
              <w:tl2br w:val="nil"/>
              <w:tr2bl w:val="nil"/>
            </w:tcBorders>
            <w:shd w:val="clear" w:color="auto" w:fill="auto"/>
            <w:vAlign w:val="center"/>
          </w:tcPr>
          <w:p w14:paraId="76FD4843">
            <w:pPr>
              <w:pStyle w:val="58"/>
              <w:bidi w:val="0"/>
              <w:rPr>
                <w:rFonts w:hint="default"/>
                <w:highlight w:val="none"/>
                <w:lang w:val="en-US" w:eastAsia="zh-CN"/>
              </w:rPr>
            </w:pPr>
            <w:r>
              <w:rPr>
                <w:rFonts w:hint="default"/>
                <w:highlight w:val="none"/>
                <w:lang w:val="en-US" w:eastAsia="zh-CN"/>
              </w:rPr>
              <w:t>103</w:t>
            </w:r>
          </w:p>
        </w:tc>
        <w:tc>
          <w:tcPr>
            <w:tcW w:w="369" w:type="pct"/>
            <w:tcBorders>
              <w:tl2br w:val="nil"/>
              <w:tr2bl w:val="nil"/>
            </w:tcBorders>
            <w:shd w:val="clear" w:color="auto" w:fill="auto"/>
            <w:vAlign w:val="center"/>
          </w:tcPr>
          <w:p w14:paraId="1AD0A0E9">
            <w:pPr>
              <w:pStyle w:val="58"/>
              <w:bidi w:val="0"/>
              <w:rPr>
                <w:rFonts w:hint="default"/>
                <w:highlight w:val="none"/>
                <w:lang w:val="en-US" w:eastAsia="zh-CN"/>
              </w:rPr>
            </w:pPr>
            <w:r>
              <w:rPr>
                <w:rFonts w:hint="default"/>
                <w:highlight w:val="none"/>
                <w:lang w:val="en-US" w:eastAsia="zh-CN"/>
              </w:rPr>
              <w:t>196</w:t>
            </w:r>
          </w:p>
        </w:tc>
        <w:tc>
          <w:tcPr>
            <w:tcW w:w="369" w:type="pct"/>
            <w:tcBorders>
              <w:tl2br w:val="nil"/>
              <w:tr2bl w:val="nil"/>
            </w:tcBorders>
            <w:shd w:val="clear" w:color="auto" w:fill="auto"/>
            <w:vAlign w:val="center"/>
          </w:tcPr>
          <w:p w14:paraId="1BB8CB2D">
            <w:pPr>
              <w:pStyle w:val="58"/>
              <w:bidi w:val="0"/>
              <w:rPr>
                <w:rFonts w:hint="default"/>
                <w:highlight w:val="none"/>
                <w:lang w:val="en-US" w:eastAsia="zh-CN"/>
              </w:rPr>
            </w:pPr>
            <w:r>
              <w:rPr>
                <w:rFonts w:hint="default"/>
                <w:highlight w:val="none"/>
                <w:lang w:val="en-US" w:eastAsia="zh-CN"/>
              </w:rPr>
              <w:t>190</w:t>
            </w:r>
          </w:p>
        </w:tc>
        <w:tc>
          <w:tcPr>
            <w:tcW w:w="369" w:type="pct"/>
            <w:tcBorders>
              <w:tl2br w:val="nil"/>
              <w:tr2bl w:val="nil"/>
            </w:tcBorders>
            <w:shd w:val="clear" w:color="auto" w:fill="auto"/>
            <w:vAlign w:val="center"/>
          </w:tcPr>
          <w:p w14:paraId="5AFB462F">
            <w:pPr>
              <w:pStyle w:val="58"/>
              <w:bidi w:val="0"/>
              <w:rPr>
                <w:rFonts w:hint="default"/>
                <w:highlight w:val="none"/>
                <w:lang w:val="en-US" w:eastAsia="zh-CN"/>
              </w:rPr>
            </w:pPr>
            <w:r>
              <w:rPr>
                <w:rFonts w:hint="default"/>
                <w:highlight w:val="none"/>
                <w:lang w:val="en-US" w:eastAsia="zh-CN"/>
              </w:rPr>
              <w:t>205</w:t>
            </w:r>
          </w:p>
        </w:tc>
        <w:tc>
          <w:tcPr>
            <w:tcW w:w="369" w:type="pct"/>
            <w:tcBorders>
              <w:tl2br w:val="nil"/>
              <w:tr2bl w:val="nil"/>
            </w:tcBorders>
            <w:shd w:val="clear" w:color="auto" w:fill="auto"/>
            <w:vAlign w:val="center"/>
          </w:tcPr>
          <w:p w14:paraId="7BEC1C12">
            <w:pPr>
              <w:pStyle w:val="58"/>
              <w:bidi w:val="0"/>
              <w:rPr>
                <w:rFonts w:hint="default"/>
                <w:highlight w:val="none"/>
                <w:lang w:val="en-US" w:eastAsia="zh-CN"/>
              </w:rPr>
            </w:pPr>
            <w:r>
              <w:rPr>
                <w:rFonts w:hint="default"/>
                <w:highlight w:val="none"/>
                <w:lang w:val="en-US" w:eastAsia="zh-CN"/>
              </w:rPr>
              <w:t>254</w:t>
            </w:r>
          </w:p>
        </w:tc>
        <w:tc>
          <w:tcPr>
            <w:tcW w:w="369" w:type="pct"/>
            <w:tcBorders>
              <w:tl2br w:val="nil"/>
              <w:tr2bl w:val="nil"/>
            </w:tcBorders>
            <w:shd w:val="clear" w:color="auto" w:fill="auto"/>
            <w:vAlign w:val="center"/>
          </w:tcPr>
          <w:p w14:paraId="597F047F">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35.1</w:t>
            </w:r>
          </w:p>
        </w:tc>
        <w:tc>
          <w:tcPr>
            <w:tcW w:w="369" w:type="pct"/>
            <w:tcBorders>
              <w:tl2br w:val="nil"/>
              <w:tr2bl w:val="nil"/>
            </w:tcBorders>
            <w:shd w:val="clear" w:color="auto" w:fill="auto"/>
            <w:vAlign w:val="center"/>
          </w:tcPr>
          <w:p w14:paraId="745127C4">
            <w:pPr>
              <w:pStyle w:val="58"/>
              <w:bidi w:val="0"/>
              <w:rPr>
                <w:rFonts w:hint="default"/>
                <w:highlight w:val="none"/>
                <w:lang w:val="en-US" w:eastAsia="zh-CN"/>
              </w:rPr>
            </w:pPr>
            <w:r>
              <w:rPr>
                <w:rFonts w:hint="default"/>
                <w:highlight w:val="none"/>
                <w:lang w:val="en-US" w:eastAsia="zh-CN"/>
              </w:rPr>
              <w:t>164</w:t>
            </w:r>
          </w:p>
        </w:tc>
        <w:tc>
          <w:tcPr>
            <w:tcW w:w="371" w:type="pct"/>
            <w:tcBorders>
              <w:tl2br w:val="nil"/>
              <w:tr2bl w:val="nil"/>
            </w:tcBorders>
            <w:shd w:val="clear" w:color="auto" w:fill="auto"/>
            <w:vAlign w:val="center"/>
          </w:tcPr>
          <w:p w14:paraId="72337239">
            <w:pPr>
              <w:pStyle w:val="58"/>
              <w:bidi w:val="0"/>
              <w:rPr>
                <w:rFonts w:hint="default"/>
                <w:highlight w:val="none"/>
                <w:lang w:val="en-US" w:eastAsia="zh-CN"/>
              </w:rPr>
            </w:pPr>
            <w:r>
              <w:rPr>
                <w:rFonts w:hint="default"/>
                <w:highlight w:val="none"/>
                <w:lang w:val="en-US" w:eastAsia="zh-CN"/>
              </w:rPr>
              <w:t>194</w:t>
            </w:r>
          </w:p>
        </w:tc>
      </w:tr>
      <w:tr w14:paraId="199E291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416CF8CF">
            <w:pPr>
              <w:pStyle w:val="58"/>
              <w:numPr>
                <w:ilvl w:val="0"/>
                <w:numId w:val="31"/>
              </w:numPr>
              <w:bidi w:val="0"/>
              <w:ind w:left="425" w:leftChars="0" w:hanging="425" w:firstLineChars="0"/>
              <w:rPr>
                <w:rFonts w:hint="default"/>
                <w:highlight w:val="none"/>
              </w:rPr>
            </w:pPr>
          </w:p>
        </w:tc>
        <w:tc>
          <w:tcPr>
            <w:tcW w:w="477" w:type="pct"/>
            <w:tcBorders>
              <w:tl2br w:val="nil"/>
              <w:tr2bl w:val="nil"/>
            </w:tcBorders>
            <w:shd w:val="clear" w:color="auto" w:fill="auto"/>
            <w:vAlign w:val="center"/>
          </w:tcPr>
          <w:p w14:paraId="4D46F600">
            <w:pPr>
              <w:pStyle w:val="58"/>
              <w:bidi w:val="0"/>
              <w:rPr>
                <w:rFonts w:hint="default"/>
                <w:highlight w:val="none"/>
                <w:lang w:val="en-US" w:eastAsia="zh-CN"/>
              </w:rPr>
            </w:pPr>
            <w:r>
              <w:rPr>
                <w:rFonts w:hint="default"/>
                <w:highlight w:val="none"/>
                <w:lang w:val="en-US" w:eastAsia="zh-CN"/>
              </w:rPr>
              <w:t>镁</w:t>
            </w:r>
          </w:p>
        </w:tc>
        <w:tc>
          <w:tcPr>
            <w:tcW w:w="317" w:type="pct"/>
            <w:tcBorders>
              <w:tl2br w:val="nil"/>
              <w:tr2bl w:val="nil"/>
            </w:tcBorders>
            <w:shd w:val="clear" w:color="auto" w:fill="auto"/>
            <w:vAlign w:val="center"/>
          </w:tcPr>
          <w:p w14:paraId="3B52AB49">
            <w:pPr>
              <w:pStyle w:val="58"/>
              <w:bidi w:val="0"/>
              <w:rPr>
                <w:rFonts w:hint="default"/>
                <w:highlight w:val="none"/>
                <w:lang w:val="en-US" w:eastAsia="zh-CN"/>
              </w:rPr>
            </w:pPr>
            <w:r>
              <w:rPr>
                <w:rFonts w:hint="default"/>
                <w:highlight w:val="none"/>
                <w:lang w:val="en-US" w:eastAsia="zh-CN"/>
              </w:rPr>
              <w:t>mg/L</w:t>
            </w:r>
          </w:p>
        </w:tc>
        <w:tc>
          <w:tcPr>
            <w:tcW w:w="364" w:type="pct"/>
            <w:tcBorders>
              <w:tl2br w:val="nil"/>
              <w:tr2bl w:val="nil"/>
            </w:tcBorders>
            <w:shd w:val="clear" w:color="auto" w:fill="auto"/>
            <w:vAlign w:val="center"/>
          </w:tcPr>
          <w:p w14:paraId="0DE2008F">
            <w:pPr>
              <w:pStyle w:val="58"/>
              <w:bidi w:val="0"/>
              <w:rPr>
                <w:rFonts w:hint="default"/>
                <w:highlight w:val="none"/>
                <w:lang w:val="en-US" w:eastAsia="zh-CN"/>
              </w:rPr>
            </w:pPr>
            <w:r>
              <w:rPr>
                <w:rFonts w:hint="default"/>
                <w:highlight w:val="none"/>
                <w:lang w:val="en-US" w:eastAsia="zh-CN"/>
              </w:rPr>
              <w:t>/</w:t>
            </w:r>
          </w:p>
        </w:tc>
        <w:tc>
          <w:tcPr>
            <w:tcW w:w="369" w:type="pct"/>
            <w:tcBorders>
              <w:tl2br w:val="nil"/>
              <w:tr2bl w:val="nil"/>
            </w:tcBorders>
            <w:shd w:val="clear" w:color="auto" w:fill="auto"/>
            <w:vAlign w:val="center"/>
          </w:tcPr>
          <w:p w14:paraId="55C84EAA">
            <w:pPr>
              <w:pStyle w:val="58"/>
              <w:bidi w:val="0"/>
              <w:rPr>
                <w:rFonts w:hint="default"/>
                <w:highlight w:val="none"/>
                <w:lang w:val="en-US" w:eastAsia="zh-CN"/>
              </w:rPr>
            </w:pPr>
            <w:r>
              <w:rPr>
                <w:rFonts w:hint="default"/>
                <w:highlight w:val="none"/>
                <w:lang w:val="en-US" w:eastAsia="zh-CN"/>
              </w:rPr>
              <w:t>305</w:t>
            </w:r>
          </w:p>
        </w:tc>
        <w:tc>
          <w:tcPr>
            <w:tcW w:w="369" w:type="pct"/>
            <w:tcBorders>
              <w:tl2br w:val="nil"/>
              <w:tr2bl w:val="nil"/>
            </w:tcBorders>
            <w:shd w:val="clear" w:color="auto" w:fill="auto"/>
            <w:vAlign w:val="center"/>
          </w:tcPr>
          <w:p w14:paraId="7C860DA3">
            <w:pPr>
              <w:pStyle w:val="58"/>
              <w:bidi w:val="0"/>
              <w:rPr>
                <w:rFonts w:hint="default"/>
                <w:highlight w:val="none"/>
                <w:lang w:val="en-US" w:eastAsia="zh-CN"/>
              </w:rPr>
            </w:pPr>
            <w:r>
              <w:rPr>
                <w:rFonts w:hint="default"/>
                <w:highlight w:val="none"/>
                <w:lang w:val="en-US" w:eastAsia="zh-CN"/>
              </w:rPr>
              <w:t>302</w:t>
            </w:r>
          </w:p>
        </w:tc>
        <w:tc>
          <w:tcPr>
            <w:tcW w:w="369" w:type="pct"/>
            <w:tcBorders>
              <w:tl2br w:val="nil"/>
              <w:tr2bl w:val="nil"/>
            </w:tcBorders>
            <w:shd w:val="clear" w:color="auto" w:fill="auto"/>
            <w:vAlign w:val="center"/>
          </w:tcPr>
          <w:p w14:paraId="4E653446">
            <w:pPr>
              <w:pStyle w:val="58"/>
              <w:bidi w:val="0"/>
              <w:rPr>
                <w:rFonts w:hint="default"/>
                <w:highlight w:val="none"/>
                <w:lang w:val="en-US" w:eastAsia="zh-CN"/>
              </w:rPr>
            </w:pPr>
            <w:r>
              <w:rPr>
                <w:rFonts w:hint="default"/>
                <w:highlight w:val="none"/>
                <w:lang w:val="en-US" w:eastAsia="zh-CN"/>
              </w:rPr>
              <w:t>298</w:t>
            </w:r>
          </w:p>
        </w:tc>
        <w:tc>
          <w:tcPr>
            <w:tcW w:w="369" w:type="pct"/>
            <w:tcBorders>
              <w:tl2br w:val="nil"/>
              <w:tr2bl w:val="nil"/>
            </w:tcBorders>
            <w:shd w:val="clear" w:color="auto" w:fill="auto"/>
            <w:vAlign w:val="center"/>
          </w:tcPr>
          <w:p w14:paraId="16DF99FD">
            <w:pPr>
              <w:pStyle w:val="58"/>
              <w:bidi w:val="0"/>
              <w:rPr>
                <w:rFonts w:hint="default"/>
                <w:highlight w:val="none"/>
                <w:lang w:val="en-US" w:eastAsia="zh-CN"/>
              </w:rPr>
            </w:pPr>
            <w:r>
              <w:rPr>
                <w:rFonts w:hint="default"/>
                <w:highlight w:val="none"/>
                <w:lang w:val="en-US" w:eastAsia="zh-CN"/>
              </w:rPr>
              <w:t>244</w:t>
            </w:r>
          </w:p>
        </w:tc>
        <w:tc>
          <w:tcPr>
            <w:tcW w:w="369" w:type="pct"/>
            <w:tcBorders>
              <w:tl2br w:val="nil"/>
              <w:tr2bl w:val="nil"/>
            </w:tcBorders>
            <w:shd w:val="clear" w:color="auto" w:fill="auto"/>
            <w:vAlign w:val="center"/>
          </w:tcPr>
          <w:p w14:paraId="4597C3D0">
            <w:pPr>
              <w:pStyle w:val="58"/>
              <w:bidi w:val="0"/>
              <w:rPr>
                <w:rFonts w:hint="default"/>
                <w:highlight w:val="none"/>
                <w:lang w:val="en-US" w:eastAsia="zh-CN"/>
              </w:rPr>
            </w:pPr>
            <w:r>
              <w:rPr>
                <w:rFonts w:hint="default"/>
                <w:highlight w:val="none"/>
                <w:lang w:val="en-US" w:eastAsia="zh-CN"/>
              </w:rPr>
              <w:t>245</w:t>
            </w:r>
          </w:p>
        </w:tc>
        <w:tc>
          <w:tcPr>
            <w:tcW w:w="369" w:type="pct"/>
            <w:tcBorders>
              <w:tl2br w:val="nil"/>
              <w:tr2bl w:val="nil"/>
            </w:tcBorders>
            <w:shd w:val="clear" w:color="auto" w:fill="auto"/>
            <w:vAlign w:val="center"/>
          </w:tcPr>
          <w:p w14:paraId="725FEE0D">
            <w:pPr>
              <w:pStyle w:val="58"/>
              <w:bidi w:val="0"/>
              <w:rPr>
                <w:rFonts w:hint="default"/>
                <w:highlight w:val="none"/>
                <w:lang w:val="en-US" w:eastAsia="zh-CN"/>
              </w:rPr>
            </w:pPr>
            <w:r>
              <w:rPr>
                <w:rFonts w:hint="default"/>
                <w:highlight w:val="none"/>
                <w:lang w:val="en-US" w:eastAsia="zh-CN"/>
              </w:rPr>
              <w:t>238</w:t>
            </w:r>
          </w:p>
        </w:tc>
        <w:tc>
          <w:tcPr>
            <w:tcW w:w="369" w:type="pct"/>
            <w:tcBorders>
              <w:tl2br w:val="nil"/>
              <w:tr2bl w:val="nil"/>
            </w:tcBorders>
            <w:shd w:val="clear" w:color="auto" w:fill="auto"/>
            <w:vAlign w:val="center"/>
          </w:tcPr>
          <w:p w14:paraId="39932FED">
            <w:pPr>
              <w:pStyle w:val="58"/>
              <w:bidi w:val="0"/>
              <w:rPr>
                <w:rFonts w:hint="default"/>
                <w:highlight w:val="none"/>
                <w:lang w:val="en-US" w:eastAsia="zh-CN"/>
              </w:rPr>
            </w:pPr>
            <w:r>
              <w:rPr>
                <w:rFonts w:hint="default"/>
                <w:highlight w:val="none"/>
                <w:lang w:val="en-US" w:eastAsia="zh-CN"/>
              </w:rPr>
              <w:t>78.3</w:t>
            </w:r>
          </w:p>
        </w:tc>
        <w:tc>
          <w:tcPr>
            <w:tcW w:w="369" w:type="pct"/>
            <w:tcBorders>
              <w:tl2br w:val="nil"/>
              <w:tr2bl w:val="nil"/>
            </w:tcBorders>
            <w:shd w:val="clear" w:color="auto" w:fill="auto"/>
            <w:vAlign w:val="center"/>
          </w:tcPr>
          <w:p w14:paraId="31F53427">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2.45</w:t>
            </w:r>
          </w:p>
        </w:tc>
        <w:tc>
          <w:tcPr>
            <w:tcW w:w="369" w:type="pct"/>
            <w:tcBorders>
              <w:tl2br w:val="nil"/>
              <w:tr2bl w:val="nil"/>
            </w:tcBorders>
            <w:shd w:val="clear" w:color="auto" w:fill="auto"/>
            <w:vAlign w:val="center"/>
          </w:tcPr>
          <w:p w14:paraId="22D9F7CE">
            <w:pPr>
              <w:pStyle w:val="58"/>
              <w:bidi w:val="0"/>
              <w:rPr>
                <w:rFonts w:hint="default"/>
                <w:highlight w:val="none"/>
                <w:lang w:val="en-US" w:eastAsia="zh-CN"/>
              </w:rPr>
            </w:pPr>
            <w:r>
              <w:rPr>
                <w:rFonts w:hint="default"/>
                <w:highlight w:val="none"/>
                <w:lang w:val="en-US" w:eastAsia="zh-CN"/>
              </w:rPr>
              <w:t>40.8</w:t>
            </w:r>
          </w:p>
        </w:tc>
        <w:tc>
          <w:tcPr>
            <w:tcW w:w="371" w:type="pct"/>
            <w:tcBorders>
              <w:tl2br w:val="nil"/>
              <w:tr2bl w:val="nil"/>
            </w:tcBorders>
            <w:shd w:val="clear" w:color="auto" w:fill="auto"/>
            <w:vAlign w:val="center"/>
          </w:tcPr>
          <w:p w14:paraId="7E43EACB">
            <w:pPr>
              <w:pStyle w:val="58"/>
              <w:bidi w:val="0"/>
              <w:rPr>
                <w:rFonts w:hint="default"/>
                <w:highlight w:val="none"/>
                <w:lang w:val="en-US" w:eastAsia="zh-CN"/>
              </w:rPr>
            </w:pPr>
            <w:r>
              <w:rPr>
                <w:rFonts w:hint="default"/>
                <w:highlight w:val="none"/>
                <w:lang w:val="en-US" w:eastAsia="zh-CN"/>
              </w:rPr>
              <w:t>51.4</w:t>
            </w:r>
          </w:p>
        </w:tc>
      </w:tr>
      <w:tr w14:paraId="6E3A10F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2355E7A3">
            <w:pPr>
              <w:pStyle w:val="58"/>
              <w:numPr>
                <w:ilvl w:val="0"/>
                <w:numId w:val="31"/>
              </w:numPr>
              <w:bidi w:val="0"/>
              <w:ind w:left="425" w:leftChars="0" w:hanging="425" w:firstLineChars="0"/>
              <w:rPr>
                <w:rFonts w:hint="default"/>
                <w:highlight w:val="none"/>
              </w:rPr>
            </w:pPr>
          </w:p>
        </w:tc>
        <w:tc>
          <w:tcPr>
            <w:tcW w:w="477" w:type="pct"/>
            <w:tcBorders>
              <w:tl2br w:val="nil"/>
              <w:tr2bl w:val="nil"/>
            </w:tcBorders>
            <w:shd w:val="clear" w:color="auto" w:fill="auto"/>
            <w:vAlign w:val="center"/>
          </w:tcPr>
          <w:p w14:paraId="0457628C">
            <w:pPr>
              <w:pStyle w:val="58"/>
              <w:bidi w:val="0"/>
              <w:rPr>
                <w:rFonts w:hint="default"/>
                <w:highlight w:val="none"/>
                <w:lang w:val="en-US" w:eastAsia="zh-CN"/>
              </w:rPr>
            </w:pPr>
            <w:r>
              <w:rPr>
                <w:rFonts w:hint="default"/>
                <w:highlight w:val="none"/>
                <w:lang w:val="en-US" w:eastAsia="zh-CN"/>
              </w:rPr>
              <w:t>C</w:t>
            </w:r>
            <w:r>
              <w:rPr>
                <w:rFonts w:hint="eastAsia"/>
                <w:highlight w:val="none"/>
                <w:lang w:val="en-US" w:eastAsia="zh-CN"/>
              </w:rPr>
              <w:t>O</w:t>
            </w:r>
            <w:r>
              <w:rPr>
                <w:rFonts w:hint="eastAsia"/>
                <w:highlight w:val="none"/>
                <w:vertAlign w:val="subscript"/>
                <w:lang w:val="en-US" w:eastAsia="zh-CN"/>
              </w:rPr>
              <w:t>3</w:t>
            </w:r>
            <w:r>
              <w:rPr>
                <w:rFonts w:hint="default"/>
                <w:highlight w:val="none"/>
                <w:vertAlign w:val="superscript"/>
                <w:lang w:val="en-US" w:eastAsia="zh-CN"/>
              </w:rPr>
              <w:t>2-</w:t>
            </w:r>
          </w:p>
        </w:tc>
        <w:tc>
          <w:tcPr>
            <w:tcW w:w="317" w:type="pct"/>
            <w:tcBorders>
              <w:tl2br w:val="nil"/>
              <w:tr2bl w:val="nil"/>
            </w:tcBorders>
            <w:shd w:val="clear" w:color="auto" w:fill="auto"/>
            <w:vAlign w:val="center"/>
          </w:tcPr>
          <w:p w14:paraId="7D898218">
            <w:pPr>
              <w:pStyle w:val="58"/>
              <w:bidi w:val="0"/>
              <w:rPr>
                <w:rFonts w:hint="default"/>
                <w:highlight w:val="none"/>
                <w:lang w:val="en-US" w:eastAsia="zh-CN"/>
              </w:rPr>
            </w:pPr>
            <w:r>
              <w:rPr>
                <w:rFonts w:hint="default"/>
                <w:highlight w:val="none"/>
                <w:lang w:val="en-US" w:eastAsia="zh-CN"/>
              </w:rPr>
              <w:t>mg/L</w:t>
            </w:r>
          </w:p>
        </w:tc>
        <w:tc>
          <w:tcPr>
            <w:tcW w:w="364" w:type="pct"/>
            <w:tcBorders>
              <w:tl2br w:val="nil"/>
              <w:tr2bl w:val="nil"/>
            </w:tcBorders>
            <w:shd w:val="clear" w:color="auto" w:fill="auto"/>
            <w:vAlign w:val="center"/>
          </w:tcPr>
          <w:p w14:paraId="5CCCDBBA">
            <w:pPr>
              <w:pStyle w:val="58"/>
              <w:bidi w:val="0"/>
              <w:rPr>
                <w:rFonts w:hint="default"/>
                <w:highlight w:val="none"/>
                <w:lang w:val="en-US" w:eastAsia="zh-CN"/>
              </w:rPr>
            </w:pPr>
            <w:r>
              <w:rPr>
                <w:rFonts w:hint="default"/>
                <w:highlight w:val="none"/>
                <w:lang w:val="en-US" w:eastAsia="zh-CN"/>
              </w:rPr>
              <w:t>/</w:t>
            </w:r>
          </w:p>
        </w:tc>
        <w:tc>
          <w:tcPr>
            <w:tcW w:w="369" w:type="pct"/>
            <w:tcBorders>
              <w:tl2br w:val="nil"/>
              <w:tr2bl w:val="nil"/>
            </w:tcBorders>
            <w:shd w:val="clear" w:color="auto" w:fill="auto"/>
            <w:vAlign w:val="center"/>
          </w:tcPr>
          <w:p w14:paraId="154F81DD">
            <w:pPr>
              <w:pStyle w:val="58"/>
              <w:bidi w:val="0"/>
              <w:rPr>
                <w:rFonts w:hint="default"/>
                <w:highlight w:val="none"/>
                <w:lang w:val="en-US" w:eastAsia="zh-CN"/>
              </w:rPr>
            </w:pPr>
            <w:r>
              <w:rPr>
                <w:rFonts w:hint="default"/>
                <w:highlight w:val="none"/>
                <w:lang w:val="en-US" w:eastAsia="zh-CN"/>
              </w:rPr>
              <w:t>0</w:t>
            </w:r>
          </w:p>
        </w:tc>
        <w:tc>
          <w:tcPr>
            <w:tcW w:w="369" w:type="pct"/>
            <w:tcBorders>
              <w:tl2br w:val="nil"/>
              <w:tr2bl w:val="nil"/>
            </w:tcBorders>
            <w:shd w:val="clear" w:color="auto" w:fill="auto"/>
            <w:vAlign w:val="center"/>
          </w:tcPr>
          <w:p w14:paraId="42D477AF">
            <w:pPr>
              <w:pStyle w:val="58"/>
              <w:bidi w:val="0"/>
              <w:rPr>
                <w:rFonts w:hint="default"/>
                <w:highlight w:val="none"/>
                <w:lang w:val="en-US" w:eastAsia="zh-CN"/>
              </w:rPr>
            </w:pPr>
            <w:r>
              <w:rPr>
                <w:rFonts w:hint="default"/>
                <w:highlight w:val="none"/>
                <w:lang w:val="en-US" w:eastAsia="zh-CN"/>
              </w:rPr>
              <w:t>0</w:t>
            </w:r>
          </w:p>
        </w:tc>
        <w:tc>
          <w:tcPr>
            <w:tcW w:w="369" w:type="pct"/>
            <w:tcBorders>
              <w:tl2br w:val="nil"/>
              <w:tr2bl w:val="nil"/>
            </w:tcBorders>
            <w:shd w:val="clear" w:color="auto" w:fill="auto"/>
            <w:vAlign w:val="center"/>
          </w:tcPr>
          <w:p w14:paraId="653E7460">
            <w:pPr>
              <w:pStyle w:val="58"/>
              <w:bidi w:val="0"/>
              <w:rPr>
                <w:rFonts w:hint="default"/>
                <w:highlight w:val="none"/>
                <w:lang w:val="en-US" w:eastAsia="zh-CN"/>
              </w:rPr>
            </w:pPr>
            <w:r>
              <w:rPr>
                <w:rFonts w:hint="default"/>
                <w:highlight w:val="none"/>
                <w:lang w:val="en-US" w:eastAsia="zh-CN"/>
              </w:rPr>
              <w:t>0</w:t>
            </w:r>
          </w:p>
        </w:tc>
        <w:tc>
          <w:tcPr>
            <w:tcW w:w="369" w:type="pct"/>
            <w:tcBorders>
              <w:tl2br w:val="nil"/>
              <w:tr2bl w:val="nil"/>
            </w:tcBorders>
            <w:shd w:val="clear" w:color="auto" w:fill="auto"/>
            <w:vAlign w:val="center"/>
          </w:tcPr>
          <w:p w14:paraId="1DFC77F7">
            <w:pPr>
              <w:pStyle w:val="58"/>
              <w:bidi w:val="0"/>
              <w:rPr>
                <w:rFonts w:hint="default"/>
                <w:highlight w:val="none"/>
                <w:lang w:val="en-US" w:eastAsia="zh-CN"/>
              </w:rPr>
            </w:pPr>
            <w:r>
              <w:rPr>
                <w:rFonts w:hint="default"/>
                <w:highlight w:val="none"/>
                <w:lang w:val="en-US" w:eastAsia="zh-CN"/>
              </w:rPr>
              <w:t>0</w:t>
            </w:r>
          </w:p>
        </w:tc>
        <w:tc>
          <w:tcPr>
            <w:tcW w:w="369" w:type="pct"/>
            <w:tcBorders>
              <w:tl2br w:val="nil"/>
              <w:tr2bl w:val="nil"/>
            </w:tcBorders>
            <w:shd w:val="clear" w:color="auto" w:fill="auto"/>
            <w:vAlign w:val="center"/>
          </w:tcPr>
          <w:p w14:paraId="465F19CA">
            <w:pPr>
              <w:pStyle w:val="58"/>
              <w:bidi w:val="0"/>
              <w:rPr>
                <w:rFonts w:hint="default"/>
                <w:highlight w:val="none"/>
                <w:lang w:val="en-US" w:eastAsia="zh-CN"/>
              </w:rPr>
            </w:pPr>
            <w:r>
              <w:rPr>
                <w:rFonts w:hint="default"/>
                <w:highlight w:val="none"/>
                <w:lang w:val="en-US" w:eastAsia="zh-CN"/>
              </w:rPr>
              <w:t>0</w:t>
            </w:r>
          </w:p>
        </w:tc>
        <w:tc>
          <w:tcPr>
            <w:tcW w:w="369" w:type="pct"/>
            <w:tcBorders>
              <w:tl2br w:val="nil"/>
              <w:tr2bl w:val="nil"/>
            </w:tcBorders>
            <w:shd w:val="clear" w:color="auto" w:fill="auto"/>
            <w:vAlign w:val="center"/>
          </w:tcPr>
          <w:p w14:paraId="4B705858">
            <w:pPr>
              <w:pStyle w:val="58"/>
              <w:bidi w:val="0"/>
              <w:rPr>
                <w:rFonts w:hint="default"/>
                <w:highlight w:val="none"/>
                <w:lang w:val="en-US" w:eastAsia="zh-CN"/>
              </w:rPr>
            </w:pPr>
            <w:r>
              <w:rPr>
                <w:rFonts w:hint="default"/>
                <w:highlight w:val="none"/>
                <w:lang w:val="en-US" w:eastAsia="zh-CN"/>
              </w:rPr>
              <w:t>0</w:t>
            </w:r>
          </w:p>
        </w:tc>
        <w:tc>
          <w:tcPr>
            <w:tcW w:w="369" w:type="pct"/>
            <w:tcBorders>
              <w:tl2br w:val="nil"/>
              <w:tr2bl w:val="nil"/>
            </w:tcBorders>
            <w:shd w:val="clear" w:color="auto" w:fill="auto"/>
            <w:vAlign w:val="center"/>
          </w:tcPr>
          <w:p w14:paraId="2AB4EC4F">
            <w:pPr>
              <w:pStyle w:val="58"/>
              <w:bidi w:val="0"/>
              <w:rPr>
                <w:rFonts w:hint="default"/>
                <w:highlight w:val="none"/>
                <w:lang w:val="en-US" w:eastAsia="zh-CN"/>
              </w:rPr>
            </w:pPr>
            <w:r>
              <w:rPr>
                <w:rFonts w:hint="default"/>
                <w:highlight w:val="none"/>
                <w:lang w:val="en-US" w:eastAsia="zh-CN"/>
              </w:rPr>
              <w:t>0</w:t>
            </w:r>
          </w:p>
        </w:tc>
        <w:tc>
          <w:tcPr>
            <w:tcW w:w="369" w:type="pct"/>
            <w:tcBorders>
              <w:tl2br w:val="nil"/>
              <w:tr2bl w:val="nil"/>
            </w:tcBorders>
            <w:shd w:val="clear" w:color="auto" w:fill="auto"/>
            <w:vAlign w:val="center"/>
          </w:tcPr>
          <w:p w14:paraId="1E9EF9C5">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0</w:t>
            </w:r>
          </w:p>
        </w:tc>
        <w:tc>
          <w:tcPr>
            <w:tcW w:w="369" w:type="pct"/>
            <w:tcBorders>
              <w:tl2br w:val="nil"/>
              <w:tr2bl w:val="nil"/>
            </w:tcBorders>
            <w:shd w:val="clear" w:color="auto" w:fill="auto"/>
            <w:vAlign w:val="center"/>
          </w:tcPr>
          <w:p w14:paraId="25208F87">
            <w:pPr>
              <w:pStyle w:val="58"/>
              <w:bidi w:val="0"/>
              <w:rPr>
                <w:rFonts w:hint="default"/>
                <w:highlight w:val="none"/>
                <w:lang w:val="en-US" w:eastAsia="zh-CN"/>
              </w:rPr>
            </w:pPr>
            <w:r>
              <w:rPr>
                <w:rFonts w:hint="default"/>
                <w:highlight w:val="none"/>
                <w:lang w:val="en-US" w:eastAsia="zh-CN"/>
              </w:rPr>
              <w:t>0</w:t>
            </w:r>
          </w:p>
        </w:tc>
        <w:tc>
          <w:tcPr>
            <w:tcW w:w="371" w:type="pct"/>
            <w:tcBorders>
              <w:tl2br w:val="nil"/>
              <w:tr2bl w:val="nil"/>
            </w:tcBorders>
            <w:shd w:val="clear" w:color="auto" w:fill="auto"/>
            <w:vAlign w:val="center"/>
          </w:tcPr>
          <w:p w14:paraId="44DC9051">
            <w:pPr>
              <w:pStyle w:val="58"/>
              <w:bidi w:val="0"/>
              <w:rPr>
                <w:rFonts w:hint="default"/>
                <w:highlight w:val="none"/>
                <w:lang w:val="en-US" w:eastAsia="zh-CN"/>
              </w:rPr>
            </w:pPr>
            <w:r>
              <w:rPr>
                <w:rFonts w:hint="default"/>
                <w:highlight w:val="none"/>
                <w:lang w:val="en-US" w:eastAsia="zh-CN"/>
              </w:rPr>
              <w:t>0</w:t>
            </w:r>
          </w:p>
        </w:tc>
      </w:tr>
      <w:tr w14:paraId="15400AC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11F143AA">
            <w:pPr>
              <w:pStyle w:val="58"/>
              <w:numPr>
                <w:ilvl w:val="0"/>
                <w:numId w:val="31"/>
              </w:numPr>
              <w:bidi w:val="0"/>
              <w:ind w:left="425" w:leftChars="0" w:hanging="425" w:firstLineChars="0"/>
              <w:rPr>
                <w:rFonts w:hint="default"/>
                <w:highlight w:val="none"/>
              </w:rPr>
            </w:pPr>
          </w:p>
        </w:tc>
        <w:tc>
          <w:tcPr>
            <w:tcW w:w="477" w:type="pct"/>
            <w:tcBorders>
              <w:tl2br w:val="nil"/>
              <w:tr2bl w:val="nil"/>
            </w:tcBorders>
            <w:shd w:val="clear" w:color="auto" w:fill="auto"/>
            <w:vAlign w:val="center"/>
          </w:tcPr>
          <w:p w14:paraId="678C1E21">
            <w:pPr>
              <w:pStyle w:val="58"/>
              <w:bidi w:val="0"/>
              <w:rPr>
                <w:rFonts w:hint="default"/>
                <w:highlight w:val="none"/>
                <w:lang w:val="en-US" w:eastAsia="zh-CN"/>
              </w:rPr>
            </w:pPr>
            <w:r>
              <w:rPr>
                <w:rFonts w:hint="default"/>
                <w:highlight w:val="none"/>
                <w:lang w:val="en-US" w:eastAsia="zh-CN"/>
              </w:rPr>
              <w:t>HC</w:t>
            </w:r>
            <w:r>
              <w:rPr>
                <w:rFonts w:hint="eastAsia"/>
                <w:highlight w:val="none"/>
                <w:lang w:val="en-US" w:eastAsia="zh-CN"/>
              </w:rPr>
              <w:t>O</w:t>
            </w:r>
            <w:r>
              <w:rPr>
                <w:rFonts w:hint="eastAsia"/>
                <w:highlight w:val="none"/>
                <w:vertAlign w:val="subscript"/>
                <w:lang w:val="en-US" w:eastAsia="zh-CN"/>
              </w:rPr>
              <w:t>3</w:t>
            </w:r>
            <w:r>
              <w:rPr>
                <w:rFonts w:hint="default"/>
                <w:highlight w:val="none"/>
                <w:vertAlign w:val="superscript"/>
                <w:lang w:val="en-US" w:eastAsia="zh-CN"/>
              </w:rPr>
              <w:t>-</w:t>
            </w:r>
          </w:p>
        </w:tc>
        <w:tc>
          <w:tcPr>
            <w:tcW w:w="317" w:type="pct"/>
            <w:tcBorders>
              <w:tl2br w:val="nil"/>
              <w:tr2bl w:val="nil"/>
            </w:tcBorders>
            <w:shd w:val="clear" w:color="auto" w:fill="auto"/>
            <w:vAlign w:val="center"/>
          </w:tcPr>
          <w:p w14:paraId="24AABF6D">
            <w:pPr>
              <w:pStyle w:val="58"/>
              <w:bidi w:val="0"/>
              <w:rPr>
                <w:rFonts w:hint="default"/>
                <w:highlight w:val="none"/>
                <w:lang w:val="en-US" w:eastAsia="zh-CN"/>
              </w:rPr>
            </w:pPr>
            <w:r>
              <w:rPr>
                <w:rFonts w:hint="default"/>
                <w:highlight w:val="none"/>
                <w:lang w:val="en-US" w:eastAsia="zh-CN"/>
              </w:rPr>
              <w:t>mg/L</w:t>
            </w:r>
          </w:p>
        </w:tc>
        <w:tc>
          <w:tcPr>
            <w:tcW w:w="364" w:type="pct"/>
            <w:tcBorders>
              <w:tl2br w:val="nil"/>
              <w:tr2bl w:val="nil"/>
            </w:tcBorders>
            <w:shd w:val="clear" w:color="auto" w:fill="auto"/>
            <w:vAlign w:val="center"/>
          </w:tcPr>
          <w:p w14:paraId="53D8EAD5">
            <w:pPr>
              <w:pStyle w:val="58"/>
              <w:bidi w:val="0"/>
              <w:rPr>
                <w:rFonts w:hint="default"/>
                <w:highlight w:val="none"/>
                <w:lang w:val="en-US" w:eastAsia="zh-CN"/>
              </w:rPr>
            </w:pPr>
            <w:r>
              <w:rPr>
                <w:rFonts w:hint="default"/>
                <w:highlight w:val="none"/>
                <w:lang w:val="en-US" w:eastAsia="zh-CN"/>
              </w:rPr>
              <w:t>/</w:t>
            </w:r>
          </w:p>
        </w:tc>
        <w:tc>
          <w:tcPr>
            <w:tcW w:w="369" w:type="pct"/>
            <w:tcBorders>
              <w:tl2br w:val="nil"/>
              <w:tr2bl w:val="nil"/>
            </w:tcBorders>
            <w:shd w:val="clear" w:color="auto" w:fill="auto"/>
            <w:vAlign w:val="center"/>
          </w:tcPr>
          <w:p w14:paraId="3C002E6C">
            <w:pPr>
              <w:pStyle w:val="58"/>
              <w:bidi w:val="0"/>
              <w:rPr>
                <w:rFonts w:hint="default"/>
                <w:highlight w:val="none"/>
                <w:lang w:val="en-US" w:eastAsia="zh-CN"/>
              </w:rPr>
            </w:pPr>
            <w:r>
              <w:rPr>
                <w:rFonts w:hint="default"/>
                <w:highlight w:val="none"/>
                <w:lang w:val="en-US" w:eastAsia="zh-CN"/>
              </w:rPr>
              <w:t>341</w:t>
            </w:r>
          </w:p>
        </w:tc>
        <w:tc>
          <w:tcPr>
            <w:tcW w:w="369" w:type="pct"/>
            <w:tcBorders>
              <w:tl2br w:val="nil"/>
              <w:tr2bl w:val="nil"/>
            </w:tcBorders>
            <w:shd w:val="clear" w:color="auto" w:fill="auto"/>
            <w:vAlign w:val="center"/>
          </w:tcPr>
          <w:p w14:paraId="3830EE56">
            <w:pPr>
              <w:pStyle w:val="58"/>
              <w:bidi w:val="0"/>
              <w:rPr>
                <w:rFonts w:hint="default"/>
                <w:highlight w:val="none"/>
                <w:lang w:val="en-US" w:eastAsia="zh-CN"/>
              </w:rPr>
            </w:pPr>
            <w:r>
              <w:rPr>
                <w:rFonts w:hint="default"/>
                <w:highlight w:val="none"/>
                <w:lang w:val="en-US" w:eastAsia="zh-CN"/>
              </w:rPr>
              <w:t>311</w:t>
            </w:r>
          </w:p>
        </w:tc>
        <w:tc>
          <w:tcPr>
            <w:tcW w:w="369" w:type="pct"/>
            <w:tcBorders>
              <w:tl2br w:val="nil"/>
              <w:tr2bl w:val="nil"/>
            </w:tcBorders>
            <w:shd w:val="clear" w:color="auto" w:fill="auto"/>
            <w:vAlign w:val="center"/>
          </w:tcPr>
          <w:p w14:paraId="6231C97D">
            <w:pPr>
              <w:pStyle w:val="58"/>
              <w:bidi w:val="0"/>
              <w:rPr>
                <w:rFonts w:hint="default"/>
                <w:highlight w:val="none"/>
                <w:lang w:val="en-US" w:eastAsia="zh-CN"/>
              </w:rPr>
            </w:pPr>
            <w:r>
              <w:rPr>
                <w:rFonts w:hint="default"/>
                <w:highlight w:val="none"/>
                <w:lang w:val="en-US" w:eastAsia="zh-CN"/>
              </w:rPr>
              <w:t>324</w:t>
            </w:r>
          </w:p>
        </w:tc>
        <w:tc>
          <w:tcPr>
            <w:tcW w:w="369" w:type="pct"/>
            <w:tcBorders>
              <w:tl2br w:val="nil"/>
              <w:tr2bl w:val="nil"/>
            </w:tcBorders>
            <w:shd w:val="clear" w:color="auto" w:fill="auto"/>
            <w:vAlign w:val="center"/>
          </w:tcPr>
          <w:p w14:paraId="3718D557">
            <w:pPr>
              <w:pStyle w:val="58"/>
              <w:bidi w:val="0"/>
              <w:rPr>
                <w:rFonts w:hint="default"/>
                <w:highlight w:val="none"/>
                <w:lang w:val="en-US" w:eastAsia="zh-CN"/>
              </w:rPr>
            </w:pPr>
            <w:r>
              <w:rPr>
                <w:rFonts w:hint="default"/>
                <w:highlight w:val="none"/>
                <w:lang w:val="en-US" w:eastAsia="zh-CN"/>
              </w:rPr>
              <w:t>340</w:t>
            </w:r>
          </w:p>
        </w:tc>
        <w:tc>
          <w:tcPr>
            <w:tcW w:w="369" w:type="pct"/>
            <w:tcBorders>
              <w:tl2br w:val="nil"/>
              <w:tr2bl w:val="nil"/>
            </w:tcBorders>
            <w:shd w:val="clear" w:color="auto" w:fill="auto"/>
            <w:vAlign w:val="center"/>
          </w:tcPr>
          <w:p w14:paraId="6EC25C76">
            <w:pPr>
              <w:pStyle w:val="58"/>
              <w:bidi w:val="0"/>
              <w:rPr>
                <w:rFonts w:hint="default"/>
                <w:highlight w:val="none"/>
                <w:lang w:val="en-US" w:eastAsia="zh-CN"/>
              </w:rPr>
            </w:pPr>
            <w:r>
              <w:rPr>
                <w:rFonts w:hint="default"/>
                <w:highlight w:val="none"/>
                <w:lang w:val="en-US" w:eastAsia="zh-CN"/>
              </w:rPr>
              <w:t>286</w:t>
            </w:r>
          </w:p>
        </w:tc>
        <w:tc>
          <w:tcPr>
            <w:tcW w:w="369" w:type="pct"/>
            <w:tcBorders>
              <w:tl2br w:val="nil"/>
              <w:tr2bl w:val="nil"/>
            </w:tcBorders>
            <w:shd w:val="clear" w:color="auto" w:fill="auto"/>
            <w:vAlign w:val="center"/>
          </w:tcPr>
          <w:p w14:paraId="149D6FAB">
            <w:pPr>
              <w:pStyle w:val="58"/>
              <w:bidi w:val="0"/>
              <w:rPr>
                <w:rFonts w:hint="default"/>
                <w:highlight w:val="none"/>
                <w:lang w:val="en-US" w:eastAsia="zh-CN"/>
              </w:rPr>
            </w:pPr>
            <w:r>
              <w:rPr>
                <w:rFonts w:hint="default"/>
                <w:highlight w:val="none"/>
                <w:lang w:val="en-US" w:eastAsia="zh-CN"/>
              </w:rPr>
              <w:t>767</w:t>
            </w:r>
          </w:p>
        </w:tc>
        <w:tc>
          <w:tcPr>
            <w:tcW w:w="369" w:type="pct"/>
            <w:tcBorders>
              <w:tl2br w:val="nil"/>
              <w:tr2bl w:val="nil"/>
            </w:tcBorders>
            <w:shd w:val="clear" w:color="auto" w:fill="auto"/>
            <w:vAlign w:val="center"/>
          </w:tcPr>
          <w:p w14:paraId="0D4F1B0C">
            <w:pPr>
              <w:pStyle w:val="58"/>
              <w:bidi w:val="0"/>
              <w:rPr>
                <w:rFonts w:hint="default"/>
                <w:highlight w:val="none"/>
                <w:lang w:val="en-US" w:eastAsia="zh-CN"/>
              </w:rPr>
            </w:pPr>
            <w:r>
              <w:rPr>
                <w:rFonts w:hint="default"/>
                <w:highlight w:val="none"/>
                <w:lang w:val="en-US" w:eastAsia="zh-CN"/>
              </w:rPr>
              <w:t>22.4</w:t>
            </w:r>
          </w:p>
        </w:tc>
        <w:tc>
          <w:tcPr>
            <w:tcW w:w="369" w:type="pct"/>
            <w:tcBorders>
              <w:tl2br w:val="nil"/>
              <w:tr2bl w:val="nil"/>
            </w:tcBorders>
            <w:shd w:val="clear" w:color="auto" w:fill="auto"/>
            <w:vAlign w:val="center"/>
          </w:tcPr>
          <w:p w14:paraId="052F322E">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40.0</w:t>
            </w:r>
          </w:p>
        </w:tc>
        <w:tc>
          <w:tcPr>
            <w:tcW w:w="369" w:type="pct"/>
            <w:tcBorders>
              <w:tl2br w:val="nil"/>
              <w:tr2bl w:val="nil"/>
            </w:tcBorders>
            <w:shd w:val="clear" w:color="auto" w:fill="auto"/>
            <w:vAlign w:val="center"/>
          </w:tcPr>
          <w:p w14:paraId="3B310B8B">
            <w:pPr>
              <w:pStyle w:val="58"/>
              <w:bidi w:val="0"/>
              <w:rPr>
                <w:rFonts w:hint="default"/>
                <w:highlight w:val="none"/>
                <w:lang w:val="en-US" w:eastAsia="zh-CN"/>
              </w:rPr>
            </w:pPr>
            <w:r>
              <w:rPr>
                <w:rFonts w:hint="default"/>
                <w:highlight w:val="none"/>
                <w:lang w:val="en-US" w:eastAsia="zh-CN"/>
              </w:rPr>
              <w:t>12.3</w:t>
            </w:r>
          </w:p>
        </w:tc>
        <w:tc>
          <w:tcPr>
            <w:tcW w:w="371" w:type="pct"/>
            <w:tcBorders>
              <w:tl2br w:val="nil"/>
              <w:tr2bl w:val="nil"/>
            </w:tcBorders>
            <w:shd w:val="clear" w:color="auto" w:fill="auto"/>
            <w:vAlign w:val="center"/>
          </w:tcPr>
          <w:p w14:paraId="6A495D53">
            <w:pPr>
              <w:pStyle w:val="58"/>
              <w:bidi w:val="0"/>
              <w:rPr>
                <w:rFonts w:hint="default"/>
                <w:highlight w:val="none"/>
                <w:lang w:val="en-US" w:eastAsia="zh-CN"/>
              </w:rPr>
            </w:pPr>
            <w:r>
              <w:rPr>
                <w:rFonts w:hint="default"/>
                <w:highlight w:val="none"/>
                <w:lang w:val="en-US" w:eastAsia="zh-CN"/>
              </w:rPr>
              <w:t>14.6</w:t>
            </w:r>
          </w:p>
        </w:tc>
      </w:tr>
      <w:tr w14:paraId="1124A76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44" w:type="pct"/>
            <w:tcBorders>
              <w:tl2br w:val="nil"/>
              <w:tr2bl w:val="nil"/>
            </w:tcBorders>
            <w:shd w:val="clear" w:color="auto" w:fill="auto"/>
            <w:vAlign w:val="center"/>
          </w:tcPr>
          <w:p w14:paraId="691A07CF">
            <w:pPr>
              <w:pStyle w:val="58"/>
              <w:numPr>
                <w:ilvl w:val="0"/>
                <w:numId w:val="31"/>
              </w:numPr>
              <w:bidi w:val="0"/>
              <w:ind w:left="425" w:leftChars="0" w:hanging="425" w:firstLineChars="0"/>
              <w:rPr>
                <w:rFonts w:hint="default"/>
                <w:highlight w:val="none"/>
              </w:rPr>
            </w:pPr>
          </w:p>
        </w:tc>
        <w:tc>
          <w:tcPr>
            <w:tcW w:w="477" w:type="pct"/>
            <w:tcBorders>
              <w:tl2br w:val="nil"/>
              <w:tr2bl w:val="nil"/>
            </w:tcBorders>
            <w:shd w:val="clear" w:color="auto" w:fill="auto"/>
            <w:vAlign w:val="center"/>
          </w:tcPr>
          <w:p w14:paraId="1AB3DEB5">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石油类</w:t>
            </w:r>
          </w:p>
        </w:tc>
        <w:tc>
          <w:tcPr>
            <w:tcW w:w="317" w:type="pct"/>
            <w:tcBorders>
              <w:tl2br w:val="nil"/>
              <w:tr2bl w:val="nil"/>
            </w:tcBorders>
            <w:shd w:val="clear" w:color="auto" w:fill="auto"/>
            <w:vAlign w:val="center"/>
          </w:tcPr>
          <w:p w14:paraId="6FEFD931">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mg/L</w:t>
            </w:r>
          </w:p>
        </w:tc>
        <w:tc>
          <w:tcPr>
            <w:tcW w:w="364" w:type="pct"/>
            <w:tcBorders>
              <w:tl2br w:val="nil"/>
              <w:tr2bl w:val="nil"/>
            </w:tcBorders>
            <w:shd w:val="clear" w:color="auto" w:fill="auto"/>
            <w:vAlign w:val="center"/>
          </w:tcPr>
          <w:p w14:paraId="469EE477">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0.05</w:t>
            </w:r>
          </w:p>
        </w:tc>
        <w:tc>
          <w:tcPr>
            <w:tcW w:w="369" w:type="pct"/>
            <w:tcBorders>
              <w:tl2br w:val="nil"/>
              <w:tr2bl w:val="nil"/>
            </w:tcBorders>
            <w:shd w:val="clear" w:color="auto" w:fill="auto"/>
            <w:vAlign w:val="center"/>
          </w:tcPr>
          <w:p w14:paraId="3AC3F0B6">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0.03</w:t>
            </w:r>
          </w:p>
        </w:tc>
        <w:tc>
          <w:tcPr>
            <w:tcW w:w="369" w:type="pct"/>
            <w:tcBorders>
              <w:tl2br w:val="nil"/>
              <w:tr2bl w:val="nil"/>
            </w:tcBorders>
            <w:shd w:val="clear" w:color="auto" w:fill="auto"/>
            <w:vAlign w:val="center"/>
          </w:tcPr>
          <w:p w14:paraId="47FB77A6">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0.04</w:t>
            </w:r>
          </w:p>
        </w:tc>
        <w:tc>
          <w:tcPr>
            <w:tcW w:w="369" w:type="pct"/>
            <w:tcBorders>
              <w:tl2br w:val="nil"/>
              <w:tr2bl w:val="nil"/>
            </w:tcBorders>
            <w:shd w:val="clear" w:color="auto" w:fill="auto"/>
            <w:vAlign w:val="center"/>
          </w:tcPr>
          <w:p w14:paraId="0399469D">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0.04</w:t>
            </w:r>
          </w:p>
        </w:tc>
        <w:tc>
          <w:tcPr>
            <w:tcW w:w="369" w:type="pct"/>
            <w:tcBorders>
              <w:tl2br w:val="nil"/>
              <w:tr2bl w:val="nil"/>
            </w:tcBorders>
            <w:shd w:val="clear" w:color="auto" w:fill="auto"/>
            <w:vAlign w:val="center"/>
          </w:tcPr>
          <w:p w14:paraId="0FE441AB">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0.04</w:t>
            </w:r>
          </w:p>
        </w:tc>
        <w:tc>
          <w:tcPr>
            <w:tcW w:w="369" w:type="pct"/>
            <w:tcBorders>
              <w:tl2br w:val="nil"/>
              <w:tr2bl w:val="nil"/>
            </w:tcBorders>
            <w:shd w:val="clear" w:color="auto" w:fill="auto"/>
            <w:vAlign w:val="center"/>
          </w:tcPr>
          <w:p w14:paraId="03279A49">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0.03</w:t>
            </w:r>
          </w:p>
        </w:tc>
        <w:tc>
          <w:tcPr>
            <w:tcW w:w="369" w:type="pct"/>
            <w:tcBorders>
              <w:tl2br w:val="nil"/>
              <w:tr2bl w:val="nil"/>
            </w:tcBorders>
            <w:shd w:val="clear" w:color="auto" w:fill="auto"/>
            <w:vAlign w:val="center"/>
          </w:tcPr>
          <w:p w14:paraId="1E8017B7">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0.03</w:t>
            </w:r>
          </w:p>
        </w:tc>
        <w:tc>
          <w:tcPr>
            <w:tcW w:w="369" w:type="pct"/>
            <w:tcBorders>
              <w:tl2br w:val="nil"/>
              <w:tr2bl w:val="nil"/>
            </w:tcBorders>
            <w:shd w:val="clear" w:color="auto" w:fill="auto"/>
            <w:vAlign w:val="center"/>
          </w:tcPr>
          <w:p w14:paraId="26C7F3CB">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0.02</w:t>
            </w:r>
          </w:p>
        </w:tc>
        <w:tc>
          <w:tcPr>
            <w:tcW w:w="369" w:type="pct"/>
            <w:tcBorders>
              <w:tl2br w:val="nil"/>
              <w:tr2bl w:val="nil"/>
            </w:tcBorders>
            <w:shd w:val="clear" w:color="auto" w:fill="auto"/>
            <w:vAlign w:val="center"/>
          </w:tcPr>
          <w:p w14:paraId="42EC4906">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0.04</w:t>
            </w:r>
          </w:p>
        </w:tc>
        <w:tc>
          <w:tcPr>
            <w:tcW w:w="369" w:type="pct"/>
            <w:tcBorders>
              <w:tl2br w:val="nil"/>
              <w:tr2bl w:val="nil"/>
            </w:tcBorders>
            <w:shd w:val="clear" w:color="auto" w:fill="auto"/>
            <w:vAlign w:val="center"/>
          </w:tcPr>
          <w:p w14:paraId="5EE415E1">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ND</w:t>
            </w:r>
          </w:p>
        </w:tc>
        <w:tc>
          <w:tcPr>
            <w:tcW w:w="371" w:type="pct"/>
            <w:tcBorders>
              <w:tl2br w:val="nil"/>
              <w:tr2bl w:val="nil"/>
            </w:tcBorders>
            <w:shd w:val="clear" w:color="auto" w:fill="auto"/>
            <w:vAlign w:val="center"/>
          </w:tcPr>
          <w:p w14:paraId="10F693AE">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0.01</w:t>
            </w:r>
          </w:p>
        </w:tc>
      </w:tr>
      <w:bookmarkEnd w:id="258"/>
      <w:bookmarkEnd w:id="259"/>
    </w:tbl>
    <w:p w14:paraId="53E0D874">
      <w:pPr>
        <w:rPr>
          <w:rFonts w:hint="default" w:ascii="Times New Roman" w:hAnsi="Times New Roman" w:eastAsia="宋体" w:cs="Times New Roman"/>
          <w:highlight w:val="none"/>
        </w:rPr>
        <w:sectPr>
          <w:pgSz w:w="16838" w:h="11906" w:orient="landscape"/>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p>
    <w:p w14:paraId="6D67017E">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⑵评价方法</w:t>
      </w:r>
    </w:p>
    <w:p w14:paraId="1FC3F627">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采用单因子标准指数法，计算公式为：</w:t>
      </w:r>
    </w:p>
    <w:p w14:paraId="595B16C5">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center"/>
        <w:textAlignment w:val="auto"/>
        <w:rPr>
          <w:rFonts w:hint="default" w:ascii="Times New Roman" w:hAnsi="Times New Roman" w:eastAsia="宋体" w:cs="Times New Roman"/>
          <w:color w:val="000000" w:themeColor="text1"/>
          <w:position w:val="-30"/>
          <w:sz w:val="24"/>
          <w:highlight w:val="none"/>
          <w14:textFill>
            <w14:solidFill>
              <w14:schemeClr w14:val="tx1"/>
            </w14:solidFill>
          </w14:textFill>
        </w:rPr>
      </w:pPr>
      <w:r>
        <w:rPr>
          <w:rFonts w:hint="default" w:ascii="Times New Roman" w:hAnsi="Times New Roman" w:eastAsia="宋体" w:cs="Times New Roman"/>
          <w:color w:val="000000" w:themeColor="text1"/>
          <w:position w:val="-30"/>
          <w:sz w:val="24"/>
          <w:highlight w:val="none"/>
          <w14:textFill>
            <w14:solidFill>
              <w14:schemeClr w14:val="tx1"/>
            </w14:solidFill>
          </w14:textFill>
        </w:rPr>
        <w:object>
          <v:shape id="_x0000_i1035" o:spt="75" type="#_x0000_t75" style="height:42.25pt;width:42.95pt;" o:ole="t" filled="f" o:preferrelative="t" stroked="f" coordsize="21600,21600">
            <v:path/>
            <v:fill on="f" focussize="0,0"/>
            <v:stroke on="f"/>
            <v:imagedata r:id="rId61" o:title=""/>
            <o:lock v:ext="edit" aspectratio="t"/>
            <w10:wrap type="none"/>
            <w10:anchorlock/>
          </v:shape>
          <o:OLEObject Type="Embed" ProgID="Equation.3" ShapeID="_x0000_i1035" DrawAspect="Content" ObjectID="_1468075737" r:id="rId60">
            <o:LockedField>false</o:LockedField>
          </o:OLEObject>
        </w:object>
      </w:r>
    </w:p>
    <w:p w14:paraId="1C9582EF">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式中：P</w:t>
      </w:r>
      <w:r>
        <w:rPr>
          <w:rFonts w:hint="default" w:ascii="Times New Roman" w:hAnsi="Times New Roman" w:eastAsia="宋体" w:cs="Times New Roman"/>
          <w:color w:val="000000" w:themeColor="text1"/>
          <w:sz w:val="24"/>
          <w:highlight w:val="none"/>
          <w:vertAlign w:val="subscript"/>
          <w14:textFill>
            <w14:solidFill>
              <w14:schemeClr w14:val="tx1"/>
            </w14:solidFill>
          </w14:textFill>
        </w:rPr>
        <w:t>i</w:t>
      </w:r>
      <w:r>
        <w:rPr>
          <w:rFonts w:hint="default" w:ascii="Times New Roman" w:hAnsi="Times New Roman" w:eastAsia="宋体" w:cs="Times New Roman"/>
          <w:color w:val="000000" w:themeColor="text1"/>
          <w:sz w:val="24"/>
          <w:highlight w:val="none"/>
          <w14:textFill>
            <w14:solidFill>
              <w14:schemeClr w14:val="tx1"/>
            </w14:solidFill>
          </w14:textFill>
        </w:rPr>
        <w:t>——i因子标准指数；</w:t>
      </w:r>
    </w:p>
    <w:p w14:paraId="7CD0F279">
      <w:pPr>
        <w:keepNext w:val="0"/>
        <w:keepLines w:val="0"/>
        <w:pageBreakBefore w:val="0"/>
        <w:widowControl w:val="0"/>
        <w:kinsoku/>
        <w:wordWrap/>
        <w:overflowPunct/>
        <w:topLinePunct w:val="0"/>
        <w:autoSpaceDE/>
        <w:autoSpaceDN/>
        <w:bidi w:val="0"/>
        <w:adjustRightInd/>
        <w:snapToGrid/>
        <w:spacing w:line="500" w:lineRule="exact"/>
        <w:ind w:firstLine="1200" w:firstLineChars="5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C</w:t>
      </w:r>
      <w:r>
        <w:rPr>
          <w:rFonts w:hint="default" w:ascii="Times New Roman" w:hAnsi="Times New Roman" w:eastAsia="宋体" w:cs="Times New Roman"/>
          <w:color w:val="000000" w:themeColor="text1"/>
          <w:sz w:val="24"/>
          <w:highlight w:val="none"/>
          <w:vertAlign w:val="subscript"/>
          <w14:textFill>
            <w14:solidFill>
              <w14:schemeClr w14:val="tx1"/>
            </w14:solidFill>
          </w14:textFill>
        </w:rPr>
        <w:t>i</w:t>
      </w:r>
      <w:r>
        <w:rPr>
          <w:rFonts w:hint="default" w:ascii="Times New Roman" w:hAnsi="Times New Roman" w:eastAsia="宋体" w:cs="Times New Roman"/>
          <w:color w:val="000000" w:themeColor="text1"/>
          <w:sz w:val="24"/>
          <w:highlight w:val="none"/>
          <w14:textFill>
            <w14:solidFill>
              <w14:schemeClr w14:val="tx1"/>
            </w14:solidFill>
          </w14:textFill>
        </w:rPr>
        <w:t>——i因子监测浓度，mg/L；</w:t>
      </w:r>
    </w:p>
    <w:p w14:paraId="46134E64">
      <w:pPr>
        <w:keepNext w:val="0"/>
        <w:keepLines w:val="0"/>
        <w:pageBreakBefore w:val="0"/>
        <w:widowControl w:val="0"/>
        <w:kinsoku/>
        <w:wordWrap/>
        <w:overflowPunct/>
        <w:topLinePunct w:val="0"/>
        <w:autoSpaceDE/>
        <w:autoSpaceDN/>
        <w:bidi w:val="0"/>
        <w:adjustRightInd/>
        <w:snapToGrid/>
        <w:spacing w:line="500" w:lineRule="exact"/>
        <w:ind w:firstLine="1200" w:firstLineChars="5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C</w:t>
      </w:r>
      <w:r>
        <w:rPr>
          <w:rFonts w:hint="default" w:ascii="Times New Roman" w:hAnsi="Times New Roman" w:eastAsia="宋体" w:cs="Times New Roman"/>
          <w:color w:val="000000" w:themeColor="text1"/>
          <w:sz w:val="24"/>
          <w:highlight w:val="none"/>
          <w:vertAlign w:val="subscript"/>
          <w14:textFill>
            <w14:solidFill>
              <w14:schemeClr w14:val="tx1"/>
            </w14:solidFill>
          </w14:textFill>
        </w:rPr>
        <w:t>Oi</w:t>
      </w:r>
      <w:r>
        <w:rPr>
          <w:rFonts w:hint="default" w:ascii="Times New Roman" w:hAnsi="Times New Roman" w:eastAsia="宋体" w:cs="Times New Roman"/>
          <w:color w:val="000000" w:themeColor="text1"/>
          <w:sz w:val="24"/>
          <w:highlight w:val="none"/>
          <w14:textFill>
            <w14:solidFill>
              <w14:schemeClr w14:val="tx1"/>
            </w14:solidFill>
          </w14:textFill>
        </w:rPr>
        <w:t>——i因子质量标准，mg/L。</w:t>
      </w:r>
    </w:p>
    <w:p w14:paraId="3FAEAD44">
      <w:pPr>
        <w:keepNext w:val="0"/>
        <w:keepLines w:val="0"/>
        <w:pageBreakBefore w:val="0"/>
        <w:widowControl w:val="0"/>
        <w:kinsoku/>
        <w:wordWrap/>
        <w:overflowPunct/>
        <w:topLinePunct w:val="0"/>
        <w:autoSpaceDE/>
        <w:autoSpaceDN/>
        <w:bidi w:val="0"/>
        <w:adjustRightInd/>
        <w:snapToGrid/>
        <w:spacing w:line="500" w:lineRule="exact"/>
        <w:ind w:firstLine="527"/>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对于pH值，评价公式为：</w:t>
      </w:r>
    </w:p>
    <w:p w14:paraId="4E0B0299">
      <w:pPr>
        <w:keepNext w:val="0"/>
        <w:keepLines w:val="0"/>
        <w:pageBreakBefore w:val="0"/>
        <w:widowControl w:val="0"/>
        <w:kinsoku/>
        <w:wordWrap/>
        <w:overflowPunct/>
        <w:topLinePunct w:val="0"/>
        <w:autoSpaceDE/>
        <w:autoSpaceDN/>
        <w:bidi w:val="0"/>
        <w:adjustRightInd/>
        <w:snapToGrid/>
        <w:spacing w:line="500" w:lineRule="exact"/>
        <w:ind w:firstLine="527"/>
        <w:jc w:val="center"/>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bookmarkStart w:id="260" w:name="_Toc23810_WPSOffice_Level1"/>
      <w:r>
        <w:rPr>
          <w:rFonts w:hint="default" w:ascii="Times New Roman" w:hAnsi="Times New Roman" w:eastAsia="宋体" w:cs="Times New Roman"/>
          <w:color w:val="000000" w:themeColor="text1"/>
          <w:sz w:val="24"/>
          <w:highlight w:val="none"/>
          <w14:textFill>
            <w14:solidFill>
              <w14:schemeClr w14:val="tx1"/>
            </w14:solidFill>
          </w14:textFill>
        </w:rPr>
        <w:t>S</w:t>
      </w:r>
      <w:r>
        <w:rPr>
          <w:rFonts w:hint="default" w:ascii="Times New Roman" w:hAnsi="Times New Roman" w:eastAsia="宋体" w:cs="Times New Roman"/>
          <w:color w:val="000000" w:themeColor="text1"/>
          <w:sz w:val="24"/>
          <w:highlight w:val="none"/>
          <w:vertAlign w:val="subscript"/>
          <w14:textFill>
            <w14:solidFill>
              <w14:schemeClr w14:val="tx1"/>
            </w14:solidFill>
          </w14:textFill>
        </w:rPr>
        <w:t>pH,i</w:t>
      </w:r>
      <w:r>
        <w:rPr>
          <w:rFonts w:hint="default" w:ascii="Times New Roman" w:hAnsi="Times New Roman" w:eastAsia="宋体" w:cs="Times New Roman"/>
          <w:color w:val="000000" w:themeColor="text1"/>
          <w:sz w:val="24"/>
          <w:highlight w:val="none"/>
          <w14:textFill>
            <w14:solidFill>
              <w14:schemeClr w14:val="tx1"/>
            </w14:solidFill>
          </w14:textFill>
        </w:rPr>
        <w:t>=(7.0-pH</w:t>
      </w:r>
      <w:r>
        <w:rPr>
          <w:rFonts w:hint="default" w:ascii="Times New Roman" w:hAnsi="Times New Roman" w:eastAsia="宋体" w:cs="Times New Roman"/>
          <w:color w:val="000000" w:themeColor="text1"/>
          <w:sz w:val="24"/>
          <w:highlight w:val="none"/>
          <w:vertAlign w:val="subscript"/>
          <w14:textFill>
            <w14:solidFill>
              <w14:schemeClr w14:val="tx1"/>
            </w14:solidFill>
          </w14:textFill>
        </w:rPr>
        <w:t>i</w:t>
      </w:r>
      <w:r>
        <w:rPr>
          <w:rFonts w:hint="default" w:ascii="Times New Roman" w:hAnsi="Times New Roman" w:eastAsia="宋体" w:cs="Times New Roman"/>
          <w:color w:val="000000" w:themeColor="text1"/>
          <w:sz w:val="24"/>
          <w:highlight w:val="none"/>
          <w14:textFill>
            <w14:solidFill>
              <w14:schemeClr w14:val="tx1"/>
            </w14:solidFill>
          </w14:textFill>
        </w:rPr>
        <w:t>)/(7.0-pH</w:t>
      </w:r>
      <w:r>
        <w:rPr>
          <w:rFonts w:hint="default" w:ascii="Times New Roman" w:hAnsi="Times New Roman" w:eastAsia="宋体" w:cs="Times New Roman"/>
          <w:color w:val="000000" w:themeColor="text1"/>
          <w:sz w:val="24"/>
          <w:highlight w:val="none"/>
          <w:vertAlign w:val="subscript"/>
          <w14:textFill>
            <w14:solidFill>
              <w14:schemeClr w14:val="tx1"/>
            </w14:solidFill>
          </w14:textFill>
        </w:rPr>
        <w:t>smin</w:t>
      </w:r>
      <w:r>
        <w:rPr>
          <w:rFonts w:hint="default" w:ascii="Times New Roman" w:hAnsi="Times New Roman" w:eastAsia="宋体" w:cs="Times New Roman"/>
          <w:color w:val="000000" w:themeColor="text1"/>
          <w:sz w:val="24"/>
          <w:highlight w:val="none"/>
          <w14:textFill>
            <w14:solidFill>
              <w14:schemeClr w14:val="tx1"/>
            </w14:solidFill>
          </w14:textFill>
        </w:rPr>
        <w:t>)(pH</w:t>
      </w:r>
      <w:r>
        <w:rPr>
          <w:rFonts w:hint="default" w:ascii="Times New Roman" w:hAnsi="Times New Roman" w:eastAsia="宋体" w:cs="Times New Roman"/>
          <w:color w:val="000000" w:themeColor="text1"/>
          <w:sz w:val="24"/>
          <w:highlight w:val="none"/>
          <w:vertAlign w:val="subscript"/>
          <w14:textFill>
            <w14:solidFill>
              <w14:schemeClr w14:val="tx1"/>
            </w14:solidFill>
          </w14:textFill>
        </w:rPr>
        <w:t>i</w:t>
      </w:r>
      <w:r>
        <w:rPr>
          <w:rFonts w:hint="default" w:ascii="Times New Roman" w:hAnsi="Times New Roman" w:eastAsia="宋体" w:cs="Times New Roman"/>
          <w:color w:val="000000" w:themeColor="text1"/>
          <w:sz w:val="24"/>
          <w:highlight w:val="none"/>
          <w14:textFill>
            <w14:solidFill>
              <w14:schemeClr w14:val="tx1"/>
            </w14:solidFill>
          </w14:textFill>
        </w:rPr>
        <w:t>≤7.0)</w:t>
      </w:r>
      <w:bookmarkEnd w:id="260"/>
    </w:p>
    <w:p w14:paraId="765DC634">
      <w:pPr>
        <w:keepNext w:val="0"/>
        <w:keepLines w:val="0"/>
        <w:pageBreakBefore w:val="0"/>
        <w:widowControl w:val="0"/>
        <w:kinsoku/>
        <w:wordWrap/>
        <w:overflowPunct/>
        <w:topLinePunct w:val="0"/>
        <w:autoSpaceDE/>
        <w:autoSpaceDN/>
        <w:bidi w:val="0"/>
        <w:adjustRightInd/>
        <w:snapToGrid/>
        <w:spacing w:line="500" w:lineRule="exact"/>
        <w:ind w:firstLine="527"/>
        <w:jc w:val="center"/>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bookmarkStart w:id="261" w:name="_Toc6119_WPSOffice_Level1"/>
      <w:r>
        <w:rPr>
          <w:rFonts w:hint="default" w:ascii="Times New Roman" w:hAnsi="Times New Roman" w:eastAsia="宋体" w:cs="Times New Roman"/>
          <w:color w:val="000000" w:themeColor="text1"/>
          <w:sz w:val="24"/>
          <w:highlight w:val="none"/>
          <w14:textFill>
            <w14:solidFill>
              <w14:schemeClr w14:val="tx1"/>
            </w14:solidFill>
          </w14:textFill>
        </w:rPr>
        <w:t>S</w:t>
      </w:r>
      <w:r>
        <w:rPr>
          <w:rFonts w:hint="default" w:ascii="Times New Roman" w:hAnsi="Times New Roman" w:eastAsia="宋体" w:cs="Times New Roman"/>
          <w:color w:val="000000" w:themeColor="text1"/>
          <w:sz w:val="24"/>
          <w:highlight w:val="none"/>
          <w:vertAlign w:val="subscript"/>
          <w14:textFill>
            <w14:solidFill>
              <w14:schemeClr w14:val="tx1"/>
            </w14:solidFill>
          </w14:textFill>
        </w:rPr>
        <w:t>pH,i</w:t>
      </w:r>
      <w:r>
        <w:rPr>
          <w:rFonts w:hint="default" w:ascii="Times New Roman" w:hAnsi="Times New Roman" w:eastAsia="宋体" w:cs="Times New Roman"/>
          <w:color w:val="000000" w:themeColor="text1"/>
          <w:sz w:val="24"/>
          <w:highlight w:val="none"/>
          <w14:textFill>
            <w14:solidFill>
              <w14:schemeClr w14:val="tx1"/>
            </w14:solidFill>
          </w14:textFill>
        </w:rPr>
        <w:t>=(pH</w:t>
      </w:r>
      <w:r>
        <w:rPr>
          <w:rFonts w:hint="default" w:ascii="Times New Roman" w:hAnsi="Times New Roman" w:eastAsia="宋体" w:cs="Times New Roman"/>
          <w:color w:val="000000" w:themeColor="text1"/>
          <w:sz w:val="24"/>
          <w:highlight w:val="none"/>
          <w:vertAlign w:val="subscript"/>
          <w14:textFill>
            <w14:solidFill>
              <w14:schemeClr w14:val="tx1"/>
            </w14:solidFill>
          </w14:textFill>
        </w:rPr>
        <w:t>i</w:t>
      </w:r>
      <w:r>
        <w:rPr>
          <w:rFonts w:hint="default" w:ascii="Times New Roman" w:hAnsi="Times New Roman" w:eastAsia="宋体" w:cs="Times New Roman"/>
          <w:color w:val="000000" w:themeColor="text1"/>
          <w:sz w:val="24"/>
          <w:highlight w:val="none"/>
          <w14:textFill>
            <w14:solidFill>
              <w14:schemeClr w14:val="tx1"/>
            </w14:solidFill>
          </w14:textFill>
        </w:rPr>
        <w:t>-7.0)/(pH</w:t>
      </w:r>
      <w:r>
        <w:rPr>
          <w:rFonts w:hint="default" w:ascii="Times New Roman" w:hAnsi="Times New Roman" w:eastAsia="宋体" w:cs="Times New Roman"/>
          <w:color w:val="000000" w:themeColor="text1"/>
          <w:sz w:val="24"/>
          <w:highlight w:val="none"/>
          <w:vertAlign w:val="subscript"/>
          <w14:textFill>
            <w14:solidFill>
              <w14:schemeClr w14:val="tx1"/>
            </w14:solidFill>
          </w14:textFill>
        </w:rPr>
        <w:t>smax</w:t>
      </w:r>
      <w:r>
        <w:rPr>
          <w:rFonts w:hint="default" w:ascii="Times New Roman" w:hAnsi="Times New Roman" w:eastAsia="宋体" w:cs="Times New Roman"/>
          <w:color w:val="000000" w:themeColor="text1"/>
          <w:sz w:val="24"/>
          <w:highlight w:val="none"/>
          <w14:textFill>
            <w14:solidFill>
              <w14:schemeClr w14:val="tx1"/>
            </w14:solidFill>
          </w14:textFill>
        </w:rPr>
        <w:t>-7.0)(pH</w:t>
      </w:r>
      <w:r>
        <w:rPr>
          <w:rFonts w:hint="default" w:ascii="Times New Roman" w:hAnsi="Times New Roman" w:eastAsia="宋体" w:cs="Times New Roman"/>
          <w:color w:val="000000" w:themeColor="text1"/>
          <w:sz w:val="24"/>
          <w:highlight w:val="none"/>
          <w:vertAlign w:val="subscript"/>
          <w14:textFill>
            <w14:solidFill>
              <w14:schemeClr w14:val="tx1"/>
            </w14:solidFill>
          </w14:textFill>
        </w:rPr>
        <w:t>i</w:t>
      </w:r>
      <w:r>
        <w:rPr>
          <w:rFonts w:hint="default" w:ascii="Times New Roman" w:hAnsi="Times New Roman" w:eastAsia="宋体" w:cs="Times New Roman"/>
          <w:color w:val="000000" w:themeColor="text1"/>
          <w:sz w:val="24"/>
          <w:highlight w:val="none"/>
          <w14:textFill>
            <w14:solidFill>
              <w14:schemeClr w14:val="tx1"/>
            </w14:solidFill>
          </w14:textFill>
        </w:rPr>
        <w:t>&gt;7.0)</w:t>
      </w:r>
      <w:bookmarkEnd w:id="261"/>
    </w:p>
    <w:p w14:paraId="4B69426C">
      <w:pPr>
        <w:keepNext w:val="0"/>
        <w:keepLines w:val="0"/>
        <w:pageBreakBefore w:val="0"/>
        <w:widowControl w:val="0"/>
        <w:kinsoku/>
        <w:wordWrap/>
        <w:overflowPunct/>
        <w:topLinePunct w:val="0"/>
        <w:autoSpaceDE/>
        <w:autoSpaceDN/>
        <w:bidi w:val="0"/>
        <w:adjustRightInd/>
        <w:snapToGrid/>
        <w:spacing w:line="500" w:lineRule="exact"/>
        <w:ind w:firstLine="527"/>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式中：S</w:t>
      </w:r>
      <w:r>
        <w:rPr>
          <w:rFonts w:hint="default" w:ascii="Times New Roman" w:hAnsi="Times New Roman" w:eastAsia="宋体" w:cs="Times New Roman"/>
          <w:color w:val="000000" w:themeColor="text1"/>
          <w:sz w:val="24"/>
          <w:highlight w:val="none"/>
          <w:vertAlign w:val="subscript"/>
          <w14:textFill>
            <w14:solidFill>
              <w14:schemeClr w14:val="tx1"/>
            </w14:solidFill>
          </w14:textFill>
        </w:rPr>
        <w:t>ph,i</w:t>
      </w:r>
      <w:r>
        <w:rPr>
          <w:rFonts w:hint="default" w:ascii="Times New Roman" w:hAnsi="Times New Roman" w:eastAsia="宋体" w:cs="Times New Roman"/>
          <w:color w:val="000000" w:themeColor="text1"/>
          <w:sz w:val="24"/>
          <w:highlight w:val="none"/>
          <w14:textFill>
            <w14:solidFill>
              <w14:schemeClr w14:val="tx1"/>
            </w14:solidFill>
          </w14:textFill>
        </w:rPr>
        <w:t>——i监测点的pH评价指数；</w:t>
      </w:r>
    </w:p>
    <w:p w14:paraId="1017CE02">
      <w:pPr>
        <w:keepNext w:val="0"/>
        <w:keepLines w:val="0"/>
        <w:pageBreakBefore w:val="0"/>
        <w:widowControl w:val="0"/>
        <w:kinsoku/>
        <w:wordWrap/>
        <w:overflowPunct/>
        <w:topLinePunct w:val="0"/>
        <w:autoSpaceDE/>
        <w:autoSpaceDN/>
        <w:bidi w:val="0"/>
        <w:adjustRightInd/>
        <w:snapToGrid/>
        <w:spacing w:line="500" w:lineRule="exact"/>
        <w:ind w:firstLine="1317"/>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pH</w:t>
      </w:r>
      <w:r>
        <w:rPr>
          <w:rFonts w:hint="default" w:ascii="Times New Roman" w:hAnsi="Times New Roman" w:eastAsia="宋体" w:cs="Times New Roman"/>
          <w:color w:val="000000" w:themeColor="text1"/>
          <w:sz w:val="24"/>
          <w:highlight w:val="none"/>
          <w:vertAlign w:val="subscript"/>
          <w14:textFill>
            <w14:solidFill>
              <w14:schemeClr w14:val="tx1"/>
            </w14:solidFill>
          </w14:textFill>
        </w:rPr>
        <w:t>i</w:t>
      </w:r>
      <w:r>
        <w:rPr>
          <w:rFonts w:hint="default" w:ascii="Times New Roman" w:hAnsi="Times New Roman" w:eastAsia="宋体" w:cs="Times New Roman"/>
          <w:color w:val="000000" w:themeColor="text1"/>
          <w:sz w:val="24"/>
          <w:highlight w:val="none"/>
          <w14:textFill>
            <w14:solidFill>
              <w14:schemeClr w14:val="tx1"/>
            </w14:solidFill>
          </w14:textFill>
        </w:rPr>
        <w:t>——i监测点的水样pH监测值；</w:t>
      </w:r>
    </w:p>
    <w:p w14:paraId="3B533C31">
      <w:pPr>
        <w:keepNext w:val="0"/>
        <w:keepLines w:val="0"/>
        <w:pageBreakBefore w:val="0"/>
        <w:widowControl w:val="0"/>
        <w:kinsoku/>
        <w:wordWrap/>
        <w:overflowPunct/>
        <w:topLinePunct w:val="0"/>
        <w:autoSpaceDE/>
        <w:autoSpaceDN/>
        <w:bidi w:val="0"/>
        <w:adjustRightInd/>
        <w:snapToGrid/>
        <w:spacing w:line="500" w:lineRule="exact"/>
        <w:ind w:firstLine="1317"/>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pH</w:t>
      </w:r>
      <w:r>
        <w:rPr>
          <w:rFonts w:hint="default" w:ascii="Times New Roman" w:hAnsi="Times New Roman" w:eastAsia="宋体" w:cs="Times New Roman"/>
          <w:color w:val="000000" w:themeColor="text1"/>
          <w:sz w:val="24"/>
          <w:highlight w:val="none"/>
          <w:vertAlign w:val="subscript"/>
          <w14:textFill>
            <w14:solidFill>
              <w14:schemeClr w14:val="tx1"/>
            </w14:solidFill>
          </w14:textFill>
        </w:rPr>
        <w:t>smin</w:t>
      </w:r>
      <w:r>
        <w:rPr>
          <w:rFonts w:hint="default" w:ascii="Times New Roman" w:hAnsi="Times New Roman" w:eastAsia="宋体" w:cs="Times New Roman"/>
          <w:color w:val="000000" w:themeColor="text1"/>
          <w:sz w:val="24"/>
          <w:highlight w:val="none"/>
          <w14:textFill>
            <w14:solidFill>
              <w14:schemeClr w14:val="tx1"/>
            </w14:solidFill>
          </w14:textFill>
        </w:rPr>
        <w:t>——评价标准值的下限值；</w:t>
      </w:r>
    </w:p>
    <w:p w14:paraId="19524788">
      <w:pPr>
        <w:keepNext w:val="0"/>
        <w:keepLines w:val="0"/>
        <w:pageBreakBefore w:val="0"/>
        <w:widowControl w:val="0"/>
        <w:kinsoku/>
        <w:wordWrap/>
        <w:overflowPunct/>
        <w:topLinePunct w:val="0"/>
        <w:autoSpaceDE/>
        <w:autoSpaceDN/>
        <w:bidi w:val="0"/>
        <w:adjustRightInd/>
        <w:snapToGrid/>
        <w:spacing w:line="500" w:lineRule="exact"/>
        <w:ind w:firstLine="1317"/>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pH</w:t>
      </w:r>
      <w:r>
        <w:rPr>
          <w:rFonts w:hint="default" w:ascii="Times New Roman" w:hAnsi="Times New Roman" w:eastAsia="宋体" w:cs="Times New Roman"/>
          <w:color w:val="000000" w:themeColor="text1"/>
          <w:sz w:val="24"/>
          <w:highlight w:val="none"/>
          <w:vertAlign w:val="subscript"/>
          <w14:textFill>
            <w14:solidFill>
              <w14:schemeClr w14:val="tx1"/>
            </w14:solidFill>
          </w14:textFill>
        </w:rPr>
        <w:t>smax</w:t>
      </w:r>
      <w:r>
        <w:rPr>
          <w:rFonts w:hint="default" w:ascii="Times New Roman" w:hAnsi="Times New Roman" w:eastAsia="宋体" w:cs="Times New Roman"/>
          <w:color w:val="000000" w:themeColor="text1"/>
          <w:sz w:val="24"/>
          <w:highlight w:val="none"/>
          <w14:textFill>
            <w14:solidFill>
              <w14:schemeClr w14:val="tx1"/>
            </w14:solidFill>
          </w14:textFill>
        </w:rPr>
        <w:t>——评价标准值的上限值。</w:t>
      </w:r>
    </w:p>
    <w:p w14:paraId="48B828DB">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⑶评价标准</w:t>
      </w:r>
    </w:p>
    <w:p w14:paraId="3B04FEDC">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采用《地下水质量标准》(GB/T14848—2017)中III类标准进行</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石油类参照执行</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《地表水环境质量标准》（GB3838-2002）中Ⅲ类</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p>
    <w:p w14:paraId="74C1BA2B">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sectPr>
          <w:type w:val="continuous"/>
          <w:pgSz w:w="11906" w:h="16838"/>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⑷评价结果</w:t>
      </w:r>
    </w:p>
    <w:p w14:paraId="0DE7999B">
      <w:pPr>
        <w:keepNext w:val="0"/>
        <w:keepLines w:val="0"/>
        <w:pageBreakBefore w:val="0"/>
        <w:widowControl w:val="0"/>
        <w:numPr>
          <w:ilvl w:val="0"/>
          <w:numId w:val="30"/>
        </w:numPr>
        <w:kinsoku/>
        <w:wordWrap/>
        <w:overflowPunct/>
        <w:topLinePunct w:val="0"/>
        <w:autoSpaceDE w:val="0"/>
        <w:autoSpaceDN w:val="0"/>
        <w:bidi w:val="0"/>
        <w:adjustRightInd w:val="0"/>
        <w:snapToGrid/>
        <w:spacing w:line="500" w:lineRule="exact"/>
        <w:ind w:left="425" w:leftChars="0" w:hanging="425" w:firstLineChars="0"/>
        <w:jc w:val="center"/>
        <w:textAlignment w:val="auto"/>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pPr>
      <w:r>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t>地下水水质评价结果</w:t>
      </w:r>
    </w:p>
    <w:tbl>
      <w:tblPr>
        <w:tblStyle w:val="47"/>
        <w:tblW w:w="4996"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autofit"/>
        <w:tblCellMar>
          <w:top w:w="0" w:type="dxa"/>
          <w:left w:w="108" w:type="dxa"/>
          <w:bottom w:w="0" w:type="dxa"/>
          <w:right w:w="108" w:type="dxa"/>
        </w:tblCellMar>
      </w:tblPr>
      <w:tblGrid>
        <w:gridCol w:w="443"/>
        <w:gridCol w:w="947"/>
        <w:gridCol w:w="1268"/>
        <w:gridCol w:w="1393"/>
        <w:gridCol w:w="1350"/>
        <w:gridCol w:w="1075"/>
        <w:gridCol w:w="1222"/>
        <w:gridCol w:w="1186"/>
        <w:gridCol w:w="1510"/>
        <w:gridCol w:w="1222"/>
        <w:gridCol w:w="1237"/>
        <w:gridCol w:w="1356"/>
      </w:tblGrid>
      <w:tr w14:paraId="6FA6438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790" w:hRule="atLeast"/>
        </w:trPr>
        <w:tc>
          <w:tcPr>
            <w:tcW w:w="156" w:type="pct"/>
            <w:vMerge w:val="restart"/>
            <w:tcBorders>
              <w:tl2br w:val="nil"/>
              <w:tr2bl w:val="nil"/>
            </w:tcBorders>
            <w:shd w:val="clear" w:color="auto" w:fill="auto"/>
            <w:vAlign w:val="center"/>
          </w:tcPr>
          <w:p w14:paraId="27DEFD46">
            <w:pPr>
              <w:pStyle w:val="58"/>
              <w:bidi w:val="0"/>
              <w:rPr>
                <w:rFonts w:hint="default"/>
                <w:highlight w:val="none"/>
                <w:lang w:val="en-US" w:eastAsia="zh-CN"/>
              </w:rPr>
            </w:pPr>
            <w:bookmarkStart w:id="262" w:name="OLE_LINK77" w:colFirst="2" w:colLast="7"/>
            <w:r>
              <w:rPr>
                <w:rFonts w:hint="default"/>
                <w:highlight w:val="none"/>
                <w:lang w:val="en-US" w:eastAsia="zh-CN"/>
              </w:rPr>
              <w:t>序号</w:t>
            </w:r>
          </w:p>
        </w:tc>
        <w:tc>
          <w:tcPr>
            <w:tcW w:w="333" w:type="pct"/>
            <w:vMerge w:val="restart"/>
            <w:tcBorders>
              <w:tl2br w:val="nil"/>
              <w:tr2bl w:val="nil"/>
            </w:tcBorders>
            <w:shd w:val="clear" w:color="auto" w:fill="auto"/>
            <w:vAlign w:val="center"/>
          </w:tcPr>
          <w:p w14:paraId="5E9AEE8C">
            <w:pPr>
              <w:pStyle w:val="58"/>
              <w:bidi w:val="0"/>
              <w:rPr>
                <w:rFonts w:hint="default"/>
                <w:highlight w:val="none"/>
                <w:lang w:val="en-US" w:eastAsia="zh-CN"/>
              </w:rPr>
            </w:pPr>
            <w:r>
              <w:rPr>
                <w:rFonts w:hint="default"/>
                <w:highlight w:val="none"/>
                <w:lang w:val="en-US" w:eastAsia="zh-CN"/>
              </w:rPr>
              <w:t>检测项目</w:t>
            </w:r>
          </w:p>
        </w:tc>
        <w:tc>
          <w:tcPr>
            <w:tcW w:w="3167" w:type="pct"/>
            <w:gridSpan w:val="7"/>
            <w:tcBorders>
              <w:tl2br w:val="nil"/>
              <w:tr2bl w:val="nil"/>
            </w:tcBorders>
            <w:shd w:val="clear" w:color="auto" w:fill="auto"/>
            <w:vAlign w:val="center"/>
          </w:tcPr>
          <w:p w14:paraId="061DD0A1">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eastAsia"/>
                <w:highlight w:val="none"/>
                <w:lang w:val="en-US" w:eastAsia="zh-CN"/>
              </w:rPr>
              <w:t>潜水井</w:t>
            </w:r>
          </w:p>
        </w:tc>
        <w:tc>
          <w:tcPr>
            <w:tcW w:w="1342" w:type="pct"/>
            <w:gridSpan w:val="3"/>
            <w:tcBorders>
              <w:tl2br w:val="nil"/>
              <w:tr2bl w:val="nil"/>
            </w:tcBorders>
            <w:shd w:val="clear" w:color="auto" w:fill="auto"/>
            <w:vAlign w:val="center"/>
          </w:tcPr>
          <w:p w14:paraId="7D02BCBD">
            <w:pPr>
              <w:pStyle w:val="58"/>
              <w:bidi w:val="0"/>
              <w:rPr>
                <w:rFonts w:hint="default"/>
                <w:highlight w:val="none"/>
                <w:lang w:val="en-US" w:eastAsia="zh-CN"/>
              </w:rPr>
            </w:pPr>
            <w:r>
              <w:rPr>
                <w:rFonts w:hint="eastAsia"/>
                <w:highlight w:val="none"/>
                <w:lang w:val="en-US" w:eastAsia="zh-CN"/>
              </w:rPr>
              <w:t>承压水井</w:t>
            </w:r>
          </w:p>
        </w:tc>
      </w:tr>
      <w:bookmarkEnd w:id="262"/>
      <w:tr w14:paraId="45AA72D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790" w:hRule="atLeast"/>
        </w:trPr>
        <w:tc>
          <w:tcPr>
            <w:tcW w:w="156" w:type="pct"/>
            <w:vMerge w:val="continue"/>
            <w:tcBorders>
              <w:tl2br w:val="nil"/>
              <w:tr2bl w:val="nil"/>
            </w:tcBorders>
            <w:shd w:val="clear" w:color="auto" w:fill="auto"/>
            <w:vAlign w:val="center"/>
          </w:tcPr>
          <w:p w14:paraId="217924DB">
            <w:pPr>
              <w:pStyle w:val="58"/>
              <w:bidi w:val="0"/>
              <w:ind w:firstLine="0" w:firstLineChars="0"/>
              <w:rPr>
                <w:highlight w:val="none"/>
              </w:rPr>
            </w:pPr>
          </w:p>
        </w:tc>
        <w:tc>
          <w:tcPr>
            <w:tcW w:w="333" w:type="pct"/>
            <w:vMerge w:val="continue"/>
            <w:tcBorders>
              <w:tl2br w:val="nil"/>
              <w:tr2bl w:val="nil"/>
            </w:tcBorders>
            <w:shd w:val="clear" w:color="auto" w:fill="auto"/>
            <w:vAlign w:val="center"/>
          </w:tcPr>
          <w:p w14:paraId="369BF3E2">
            <w:pPr>
              <w:pStyle w:val="58"/>
              <w:bidi w:val="0"/>
              <w:ind w:firstLine="0" w:firstLineChars="0"/>
              <w:rPr>
                <w:highlight w:val="none"/>
              </w:rPr>
            </w:pPr>
          </w:p>
        </w:tc>
        <w:tc>
          <w:tcPr>
            <w:tcW w:w="446" w:type="pct"/>
            <w:tcBorders>
              <w:tl2br w:val="nil"/>
              <w:tr2bl w:val="nil"/>
            </w:tcBorders>
            <w:shd w:val="clear" w:color="auto" w:fill="auto"/>
            <w:vAlign w:val="center"/>
          </w:tcPr>
          <w:p w14:paraId="2A35CFC4">
            <w:pPr>
              <w:pStyle w:val="58"/>
              <w:bidi w:val="0"/>
              <w:rPr>
                <w:rFonts w:hint="default"/>
                <w:highlight w:val="none"/>
                <w:lang w:val="en-US" w:eastAsia="zh-CN"/>
              </w:rPr>
            </w:pPr>
            <w:r>
              <w:rPr>
                <w:rFonts w:hint="default"/>
                <w:highlight w:val="none"/>
                <w:lang w:val="en-US" w:eastAsia="zh-CN"/>
              </w:rPr>
              <w:t>项目东北侧NE580m</w:t>
            </w:r>
          </w:p>
        </w:tc>
        <w:tc>
          <w:tcPr>
            <w:tcW w:w="490" w:type="pct"/>
            <w:tcBorders>
              <w:tl2br w:val="nil"/>
              <w:tr2bl w:val="nil"/>
            </w:tcBorders>
            <w:shd w:val="clear" w:color="auto" w:fill="auto"/>
            <w:vAlign w:val="center"/>
          </w:tcPr>
          <w:p w14:paraId="4D1E0388">
            <w:pPr>
              <w:pStyle w:val="58"/>
              <w:bidi w:val="0"/>
              <w:rPr>
                <w:rFonts w:hint="default"/>
                <w:highlight w:val="none"/>
                <w:lang w:val="en-US" w:eastAsia="zh-CN"/>
              </w:rPr>
            </w:pPr>
            <w:r>
              <w:rPr>
                <w:rFonts w:hint="default"/>
                <w:highlight w:val="none"/>
                <w:lang w:val="en-US" w:eastAsia="zh-CN"/>
              </w:rPr>
              <w:t>项目东北侧NE1728m</w:t>
            </w:r>
          </w:p>
        </w:tc>
        <w:tc>
          <w:tcPr>
            <w:tcW w:w="475" w:type="pct"/>
            <w:tcBorders>
              <w:tl2br w:val="nil"/>
              <w:tr2bl w:val="nil"/>
            </w:tcBorders>
            <w:shd w:val="clear" w:color="auto" w:fill="auto"/>
            <w:vAlign w:val="center"/>
          </w:tcPr>
          <w:p w14:paraId="7E2139C9">
            <w:pPr>
              <w:pStyle w:val="58"/>
              <w:bidi w:val="0"/>
              <w:rPr>
                <w:rFonts w:hint="default"/>
                <w:highlight w:val="none"/>
                <w:lang w:val="en-US" w:eastAsia="zh-CN"/>
              </w:rPr>
            </w:pPr>
            <w:r>
              <w:rPr>
                <w:rFonts w:hint="default"/>
                <w:highlight w:val="none"/>
                <w:lang w:val="en-US" w:eastAsia="zh-CN"/>
              </w:rPr>
              <w:t>项目东南侧SE1594m</w:t>
            </w:r>
          </w:p>
        </w:tc>
        <w:tc>
          <w:tcPr>
            <w:tcW w:w="378" w:type="pct"/>
            <w:tcBorders>
              <w:tl2br w:val="nil"/>
              <w:tr2bl w:val="nil"/>
            </w:tcBorders>
            <w:shd w:val="clear" w:color="auto" w:fill="auto"/>
            <w:vAlign w:val="center"/>
          </w:tcPr>
          <w:p w14:paraId="6D32AC07">
            <w:pPr>
              <w:pStyle w:val="58"/>
              <w:bidi w:val="0"/>
              <w:rPr>
                <w:rFonts w:hint="default"/>
                <w:highlight w:val="none"/>
                <w:lang w:val="en-US" w:eastAsia="zh-CN"/>
              </w:rPr>
            </w:pPr>
            <w:r>
              <w:rPr>
                <w:rFonts w:hint="default"/>
                <w:highlight w:val="none"/>
                <w:lang w:val="en-US" w:eastAsia="zh-CN"/>
              </w:rPr>
              <w:t>项目东侧</w:t>
            </w:r>
          </w:p>
          <w:p w14:paraId="1A7897E9">
            <w:pPr>
              <w:pStyle w:val="58"/>
              <w:bidi w:val="0"/>
              <w:rPr>
                <w:rFonts w:hint="default"/>
                <w:highlight w:val="none"/>
                <w:lang w:val="en-US" w:eastAsia="zh-CN"/>
              </w:rPr>
            </w:pPr>
            <w:r>
              <w:rPr>
                <w:rFonts w:hint="default"/>
                <w:highlight w:val="none"/>
                <w:lang w:val="en-US" w:eastAsia="zh-CN"/>
              </w:rPr>
              <w:t>E293m</w:t>
            </w:r>
          </w:p>
        </w:tc>
        <w:tc>
          <w:tcPr>
            <w:tcW w:w="430" w:type="pct"/>
            <w:tcBorders>
              <w:tl2br w:val="nil"/>
              <w:tr2bl w:val="nil"/>
            </w:tcBorders>
            <w:shd w:val="clear" w:color="auto" w:fill="auto"/>
            <w:vAlign w:val="center"/>
          </w:tcPr>
          <w:p w14:paraId="5E4773C2">
            <w:pPr>
              <w:pStyle w:val="58"/>
              <w:bidi w:val="0"/>
              <w:rPr>
                <w:rFonts w:hint="default"/>
                <w:highlight w:val="none"/>
                <w:lang w:val="en-US" w:eastAsia="zh-CN"/>
              </w:rPr>
            </w:pPr>
            <w:r>
              <w:rPr>
                <w:rFonts w:hint="default"/>
                <w:highlight w:val="none"/>
                <w:lang w:val="en-US" w:eastAsia="zh-CN"/>
              </w:rPr>
              <w:t>项目东南侧</w:t>
            </w:r>
          </w:p>
          <w:p w14:paraId="0C9CC341">
            <w:pPr>
              <w:pStyle w:val="58"/>
              <w:bidi w:val="0"/>
              <w:rPr>
                <w:rFonts w:hint="default"/>
                <w:highlight w:val="none"/>
                <w:lang w:val="en-US" w:eastAsia="zh-CN"/>
              </w:rPr>
            </w:pPr>
            <w:r>
              <w:rPr>
                <w:rFonts w:hint="default"/>
                <w:highlight w:val="none"/>
                <w:lang w:val="en-US" w:eastAsia="zh-CN"/>
              </w:rPr>
              <w:t>SE478m</w:t>
            </w:r>
          </w:p>
        </w:tc>
        <w:tc>
          <w:tcPr>
            <w:tcW w:w="417" w:type="pct"/>
            <w:tcBorders>
              <w:tl2br w:val="nil"/>
              <w:tr2bl w:val="nil"/>
            </w:tcBorders>
            <w:shd w:val="clear" w:color="auto" w:fill="auto"/>
            <w:vAlign w:val="center"/>
          </w:tcPr>
          <w:p w14:paraId="51C66859">
            <w:pPr>
              <w:pStyle w:val="58"/>
              <w:bidi w:val="0"/>
              <w:ind w:firstLine="0" w:firstLineChars="0"/>
              <w:rPr>
                <w:rFonts w:hint="default"/>
                <w:highlight w:val="none"/>
                <w:lang w:val="en-US" w:eastAsia="zh-CN"/>
              </w:rPr>
            </w:pPr>
            <w:r>
              <w:rPr>
                <w:rFonts w:hint="default"/>
                <w:highlight w:val="none"/>
                <w:lang w:val="en-US" w:eastAsia="zh-CN"/>
              </w:rPr>
              <w:t>项目占地范围内</w:t>
            </w:r>
          </w:p>
        </w:tc>
        <w:tc>
          <w:tcPr>
            <w:tcW w:w="529" w:type="pct"/>
            <w:tcBorders>
              <w:tl2br w:val="nil"/>
              <w:tr2bl w:val="nil"/>
            </w:tcBorders>
            <w:shd w:val="clear" w:color="auto" w:fill="auto"/>
            <w:vAlign w:val="center"/>
          </w:tcPr>
          <w:p w14:paraId="3FBDFCD2">
            <w:pPr>
              <w:pStyle w:val="58"/>
              <w:bidi w:val="0"/>
              <w:ind w:firstLine="0" w:firstLineChars="0"/>
              <w:rPr>
                <w:rFonts w:hint="default"/>
                <w:highlight w:val="none"/>
                <w:lang w:val="en-US" w:eastAsia="zh-CN"/>
              </w:rPr>
            </w:pPr>
            <w:r>
              <w:rPr>
                <w:rFonts w:hint="default"/>
                <w:highlight w:val="none"/>
                <w:lang w:val="en-US" w:eastAsia="zh-CN"/>
              </w:rPr>
              <w:t>项目西北侧</w:t>
            </w:r>
          </w:p>
          <w:p w14:paraId="21B7E04C">
            <w:pPr>
              <w:pStyle w:val="58"/>
              <w:bidi w:val="0"/>
              <w:ind w:firstLine="0" w:firstLineChars="0"/>
              <w:rPr>
                <w:rFonts w:hint="default"/>
                <w:highlight w:val="none"/>
                <w:lang w:val="en-US" w:eastAsia="zh-CN"/>
              </w:rPr>
            </w:pPr>
            <w:r>
              <w:rPr>
                <w:rFonts w:hint="default"/>
                <w:highlight w:val="none"/>
                <w:lang w:val="en-US" w:eastAsia="zh-CN"/>
              </w:rPr>
              <w:t>NW1755m</w:t>
            </w:r>
          </w:p>
        </w:tc>
        <w:tc>
          <w:tcPr>
            <w:tcW w:w="430" w:type="pct"/>
            <w:tcBorders>
              <w:tl2br w:val="nil"/>
              <w:tr2bl w:val="nil"/>
            </w:tcBorders>
            <w:shd w:val="clear" w:color="auto" w:fill="auto"/>
            <w:vAlign w:val="center"/>
          </w:tcPr>
          <w:p w14:paraId="4931305C">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项目东南侧SE358m</w:t>
            </w:r>
          </w:p>
        </w:tc>
        <w:tc>
          <w:tcPr>
            <w:tcW w:w="435" w:type="pct"/>
            <w:tcBorders>
              <w:tl2br w:val="nil"/>
              <w:tr2bl w:val="nil"/>
            </w:tcBorders>
            <w:shd w:val="clear" w:color="auto" w:fill="auto"/>
            <w:vAlign w:val="center"/>
          </w:tcPr>
          <w:p w14:paraId="77B6B5B5">
            <w:pPr>
              <w:pStyle w:val="58"/>
              <w:bidi w:val="0"/>
              <w:rPr>
                <w:rFonts w:hint="default" w:ascii="Times New Roman" w:hAnsi="Times New Roman"/>
                <w:highlight w:val="none"/>
                <w:lang w:val="en-US" w:eastAsia="zh-CN"/>
              </w:rPr>
            </w:pPr>
            <w:r>
              <w:rPr>
                <w:rFonts w:hint="default"/>
                <w:highlight w:val="none"/>
                <w:lang w:val="en-US" w:eastAsia="zh-CN"/>
              </w:rPr>
              <w:t>项目东北侧N</w:t>
            </w:r>
            <w:r>
              <w:rPr>
                <w:rFonts w:hint="eastAsia"/>
                <w:highlight w:val="none"/>
                <w:lang w:val="en-US" w:eastAsia="zh-CN"/>
              </w:rPr>
              <w:t>E</w:t>
            </w:r>
            <w:r>
              <w:rPr>
                <w:rFonts w:hint="default"/>
                <w:highlight w:val="none"/>
                <w:lang w:val="en-US" w:eastAsia="zh-CN"/>
              </w:rPr>
              <w:t>1080m</w:t>
            </w:r>
          </w:p>
        </w:tc>
        <w:tc>
          <w:tcPr>
            <w:tcW w:w="477" w:type="pct"/>
            <w:tcBorders>
              <w:tl2br w:val="nil"/>
              <w:tr2bl w:val="nil"/>
            </w:tcBorders>
            <w:shd w:val="clear" w:color="auto" w:fill="auto"/>
            <w:vAlign w:val="center"/>
          </w:tcPr>
          <w:p w14:paraId="6EF91A4B">
            <w:pPr>
              <w:pStyle w:val="58"/>
              <w:bidi w:val="0"/>
              <w:rPr>
                <w:rFonts w:hint="default" w:ascii="Times New Roman" w:hAnsi="Times New Roman"/>
                <w:highlight w:val="none"/>
                <w:lang w:val="en-US" w:eastAsia="zh-CN"/>
              </w:rPr>
            </w:pPr>
            <w:r>
              <w:rPr>
                <w:rFonts w:hint="default"/>
                <w:highlight w:val="none"/>
                <w:lang w:val="en-US" w:eastAsia="zh-CN"/>
              </w:rPr>
              <w:t>项目东南侧SE1321m</w:t>
            </w:r>
          </w:p>
        </w:tc>
      </w:tr>
      <w:tr w14:paraId="00765AF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38C640DD">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439819BD">
            <w:pPr>
              <w:pStyle w:val="58"/>
              <w:bidi w:val="0"/>
              <w:rPr>
                <w:rFonts w:hint="default"/>
                <w:highlight w:val="none"/>
                <w:lang w:val="en-US" w:eastAsia="zh-CN"/>
              </w:rPr>
            </w:pPr>
            <w:r>
              <w:rPr>
                <w:rFonts w:hint="default"/>
                <w:highlight w:val="none"/>
                <w:lang w:val="en-US" w:eastAsia="zh-CN"/>
              </w:rPr>
              <w:t>pH值</w:t>
            </w:r>
          </w:p>
        </w:tc>
        <w:tc>
          <w:tcPr>
            <w:tcW w:w="446" w:type="pct"/>
            <w:tcBorders>
              <w:tl2br w:val="nil"/>
              <w:tr2bl w:val="nil"/>
            </w:tcBorders>
            <w:shd w:val="clear" w:color="auto" w:fill="auto"/>
            <w:vAlign w:val="center"/>
          </w:tcPr>
          <w:p w14:paraId="454C8A76">
            <w:pPr>
              <w:pStyle w:val="58"/>
              <w:bidi w:val="0"/>
              <w:rPr>
                <w:rFonts w:hint="default"/>
                <w:highlight w:val="none"/>
                <w:lang w:val="en-US" w:eastAsia="zh-CN"/>
              </w:rPr>
            </w:pPr>
            <w:r>
              <w:rPr>
                <w:rFonts w:hint="default"/>
                <w:highlight w:val="none"/>
                <w:lang w:val="en-US" w:eastAsia="zh-CN"/>
              </w:rPr>
              <w:t>0.27</w:t>
            </w:r>
          </w:p>
        </w:tc>
        <w:tc>
          <w:tcPr>
            <w:tcW w:w="490" w:type="pct"/>
            <w:tcBorders>
              <w:tl2br w:val="nil"/>
              <w:tr2bl w:val="nil"/>
            </w:tcBorders>
            <w:shd w:val="clear" w:color="auto" w:fill="auto"/>
            <w:vAlign w:val="center"/>
          </w:tcPr>
          <w:p w14:paraId="39F9C270">
            <w:pPr>
              <w:pStyle w:val="58"/>
              <w:bidi w:val="0"/>
              <w:rPr>
                <w:rFonts w:hint="default"/>
                <w:highlight w:val="none"/>
                <w:lang w:val="en-US" w:eastAsia="zh-CN"/>
              </w:rPr>
            </w:pPr>
            <w:r>
              <w:rPr>
                <w:rFonts w:hint="default"/>
                <w:highlight w:val="none"/>
                <w:lang w:val="en-US" w:eastAsia="zh-CN"/>
              </w:rPr>
              <w:t>0.20</w:t>
            </w:r>
          </w:p>
        </w:tc>
        <w:tc>
          <w:tcPr>
            <w:tcW w:w="475" w:type="pct"/>
            <w:tcBorders>
              <w:tl2br w:val="nil"/>
              <w:tr2bl w:val="nil"/>
            </w:tcBorders>
            <w:shd w:val="clear" w:color="auto" w:fill="auto"/>
            <w:vAlign w:val="center"/>
          </w:tcPr>
          <w:p w14:paraId="5DAECDA7">
            <w:pPr>
              <w:pStyle w:val="58"/>
              <w:bidi w:val="0"/>
              <w:rPr>
                <w:rFonts w:hint="default"/>
                <w:highlight w:val="none"/>
                <w:lang w:val="en-US" w:eastAsia="zh-CN"/>
              </w:rPr>
            </w:pPr>
            <w:r>
              <w:rPr>
                <w:rFonts w:hint="default"/>
                <w:highlight w:val="none"/>
                <w:lang w:val="en-US" w:eastAsia="zh-CN"/>
              </w:rPr>
              <w:t>0.20</w:t>
            </w:r>
          </w:p>
        </w:tc>
        <w:tc>
          <w:tcPr>
            <w:tcW w:w="378" w:type="pct"/>
            <w:tcBorders>
              <w:tl2br w:val="nil"/>
              <w:tr2bl w:val="nil"/>
            </w:tcBorders>
            <w:shd w:val="clear" w:color="auto" w:fill="auto"/>
            <w:vAlign w:val="center"/>
          </w:tcPr>
          <w:p w14:paraId="74FDF9E7">
            <w:pPr>
              <w:pStyle w:val="58"/>
              <w:bidi w:val="0"/>
              <w:rPr>
                <w:rFonts w:hint="default"/>
                <w:highlight w:val="none"/>
                <w:lang w:val="en-US" w:eastAsia="zh-CN"/>
              </w:rPr>
            </w:pPr>
            <w:r>
              <w:rPr>
                <w:rFonts w:hint="default"/>
                <w:highlight w:val="none"/>
                <w:lang w:val="en-US" w:eastAsia="zh-CN"/>
              </w:rPr>
              <w:t>0.07</w:t>
            </w:r>
          </w:p>
        </w:tc>
        <w:tc>
          <w:tcPr>
            <w:tcW w:w="430" w:type="pct"/>
            <w:tcBorders>
              <w:tl2br w:val="nil"/>
              <w:tr2bl w:val="nil"/>
            </w:tcBorders>
            <w:shd w:val="clear" w:color="auto" w:fill="auto"/>
            <w:vAlign w:val="center"/>
          </w:tcPr>
          <w:p w14:paraId="14145F1B">
            <w:pPr>
              <w:pStyle w:val="58"/>
              <w:bidi w:val="0"/>
              <w:rPr>
                <w:rFonts w:hint="default"/>
                <w:highlight w:val="none"/>
                <w:lang w:val="en-US" w:eastAsia="zh-CN"/>
              </w:rPr>
            </w:pPr>
            <w:r>
              <w:rPr>
                <w:rFonts w:hint="default"/>
                <w:highlight w:val="none"/>
                <w:lang w:val="en-US" w:eastAsia="zh-CN"/>
              </w:rPr>
              <w:t>0</w:t>
            </w:r>
          </w:p>
        </w:tc>
        <w:tc>
          <w:tcPr>
            <w:tcW w:w="417" w:type="pct"/>
            <w:tcBorders>
              <w:tl2br w:val="nil"/>
              <w:tr2bl w:val="nil"/>
            </w:tcBorders>
            <w:shd w:val="clear" w:color="auto" w:fill="auto"/>
            <w:vAlign w:val="center"/>
          </w:tcPr>
          <w:p w14:paraId="79A625FE">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0.07</w:t>
            </w:r>
          </w:p>
        </w:tc>
        <w:tc>
          <w:tcPr>
            <w:tcW w:w="529" w:type="pct"/>
            <w:tcBorders>
              <w:tl2br w:val="nil"/>
              <w:tr2bl w:val="nil"/>
            </w:tcBorders>
            <w:shd w:val="clear" w:color="auto" w:fill="auto"/>
            <w:vAlign w:val="center"/>
          </w:tcPr>
          <w:p w14:paraId="127F42E0">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0.27</w:t>
            </w:r>
          </w:p>
        </w:tc>
        <w:tc>
          <w:tcPr>
            <w:tcW w:w="430" w:type="pct"/>
            <w:tcBorders>
              <w:tl2br w:val="nil"/>
              <w:tr2bl w:val="nil"/>
            </w:tcBorders>
            <w:shd w:val="clear" w:color="auto" w:fill="auto"/>
            <w:vAlign w:val="center"/>
          </w:tcPr>
          <w:p w14:paraId="0C00F5C9">
            <w:pPr>
              <w:pStyle w:val="58"/>
              <w:bidi w:val="0"/>
              <w:rPr>
                <w:rFonts w:hint="default"/>
                <w:highlight w:val="none"/>
                <w:lang w:val="en-US" w:eastAsia="zh-CN"/>
              </w:rPr>
            </w:pPr>
            <w:r>
              <w:rPr>
                <w:rFonts w:hint="default"/>
                <w:highlight w:val="none"/>
                <w:lang w:val="en-US" w:eastAsia="zh-CN"/>
              </w:rPr>
              <w:t>0.20</w:t>
            </w:r>
          </w:p>
        </w:tc>
        <w:tc>
          <w:tcPr>
            <w:tcW w:w="435" w:type="pct"/>
            <w:tcBorders>
              <w:tl2br w:val="nil"/>
              <w:tr2bl w:val="nil"/>
            </w:tcBorders>
            <w:shd w:val="clear" w:color="auto" w:fill="auto"/>
            <w:vAlign w:val="center"/>
          </w:tcPr>
          <w:p w14:paraId="2E505DC9">
            <w:pPr>
              <w:pStyle w:val="58"/>
              <w:bidi w:val="0"/>
              <w:rPr>
                <w:rFonts w:hint="default"/>
                <w:highlight w:val="none"/>
                <w:lang w:val="en-US" w:eastAsia="zh-CN"/>
              </w:rPr>
            </w:pPr>
            <w:r>
              <w:rPr>
                <w:rFonts w:hint="default"/>
                <w:highlight w:val="none"/>
                <w:lang w:val="en-US" w:eastAsia="zh-CN"/>
              </w:rPr>
              <w:t>0.13</w:t>
            </w:r>
          </w:p>
        </w:tc>
        <w:tc>
          <w:tcPr>
            <w:tcW w:w="477" w:type="pct"/>
            <w:tcBorders>
              <w:tl2br w:val="nil"/>
              <w:tr2bl w:val="nil"/>
            </w:tcBorders>
            <w:shd w:val="clear" w:color="auto" w:fill="auto"/>
            <w:vAlign w:val="center"/>
          </w:tcPr>
          <w:p w14:paraId="243ABA3E">
            <w:pPr>
              <w:pStyle w:val="58"/>
              <w:bidi w:val="0"/>
              <w:rPr>
                <w:rFonts w:hint="default"/>
                <w:highlight w:val="none"/>
                <w:lang w:val="en-US" w:eastAsia="zh-CN"/>
              </w:rPr>
            </w:pPr>
            <w:r>
              <w:rPr>
                <w:rFonts w:hint="default"/>
                <w:highlight w:val="none"/>
                <w:lang w:val="en-US" w:eastAsia="zh-CN"/>
              </w:rPr>
              <w:t>0.27</w:t>
            </w:r>
          </w:p>
        </w:tc>
      </w:tr>
      <w:tr w14:paraId="622EB40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25F6CB5A">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64473BAE">
            <w:pPr>
              <w:pStyle w:val="58"/>
              <w:bidi w:val="0"/>
              <w:rPr>
                <w:rFonts w:hint="default"/>
                <w:highlight w:val="none"/>
                <w:lang w:val="en-US" w:eastAsia="zh-CN"/>
              </w:rPr>
            </w:pPr>
            <w:r>
              <w:rPr>
                <w:rFonts w:hint="default"/>
                <w:highlight w:val="none"/>
                <w:lang w:val="en-US" w:eastAsia="zh-CN"/>
              </w:rPr>
              <w:t>总硬度</w:t>
            </w:r>
          </w:p>
        </w:tc>
        <w:tc>
          <w:tcPr>
            <w:tcW w:w="446" w:type="pct"/>
            <w:tcBorders>
              <w:tl2br w:val="nil"/>
              <w:tr2bl w:val="nil"/>
            </w:tcBorders>
            <w:shd w:val="clear" w:color="auto" w:fill="auto"/>
            <w:vAlign w:val="center"/>
          </w:tcPr>
          <w:p w14:paraId="790EE884">
            <w:pPr>
              <w:pStyle w:val="58"/>
              <w:bidi w:val="0"/>
              <w:rPr>
                <w:rFonts w:hint="default"/>
                <w:highlight w:val="none"/>
                <w:lang w:val="en-US" w:eastAsia="zh-CN"/>
              </w:rPr>
            </w:pPr>
            <w:r>
              <w:rPr>
                <w:rFonts w:hint="default"/>
                <w:highlight w:val="none"/>
                <w:lang w:val="en-US" w:eastAsia="zh-CN"/>
              </w:rPr>
              <w:t>3.067</w:t>
            </w:r>
          </w:p>
        </w:tc>
        <w:tc>
          <w:tcPr>
            <w:tcW w:w="490" w:type="pct"/>
            <w:tcBorders>
              <w:tl2br w:val="nil"/>
              <w:tr2bl w:val="nil"/>
            </w:tcBorders>
            <w:shd w:val="clear" w:color="auto" w:fill="auto"/>
            <w:vAlign w:val="center"/>
          </w:tcPr>
          <w:p w14:paraId="5B773505">
            <w:pPr>
              <w:pStyle w:val="58"/>
              <w:bidi w:val="0"/>
              <w:rPr>
                <w:rFonts w:hint="default"/>
                <w:highlight w:val="none"/>
                <w:lang w:val="en-US" w:eastAsia="zh-CN"/>
              </w:rPr>
            </w:pPr>
            <w:r>
              <w:rPr>
                <w:rFonts w:hint="default"/>
                <w:highlight w:val="none"/>
                <w:lang w:val="en-US" w:eastAsia="zh-CN"/>
              </w:rPr>
              <w:t>3.289</w:t>
            </w:r>
          </w:p>
        </w:tc>
        <w:tc>
          <w:tcPr>
            <w:tcW w:w="475" w:type="pct"/>
            <w:tcBorders>
              <w:tl2br w:val="nil"/>
              <w:tr2bl w:val="nil"/>
            </w:tcBorders>
            <w:shd w:val="clear" w:color="auto" w:fill="auto"/>
            <w:vAlign w:val="center"/>
          </w:tcPr>
          <w:p w14:paraId="3CC99977">
            <w:pPr>
              <w:pStyle w:val="58"/>
              <w:bidi w:val="0"/>
              <w:rPr>
                <w:rFonts w:hint="default"/>
                <w:highlight w:val="none"/>
                <w:lang w:val="en-US" w:eastAsia="zh-CN"/>
              </w:rPr>
            </w:pPr>
            <w:r>
              <w:rPr>
                <w:rFonts w:hint="default"/>
                <w:highlight w:val="none"/>
                <w:lang w:val="en-US" w:eastAsia="zh-CN"/>
              </w:rPr>
              <w:t>3.333</w:t>
            </w:r>
          </w:p>
        </w:tc>
        <w:tc>
          <w:tcPr>
            <w:tcW w:w="378" w:type="pct"/>
            <w:tcBorders>
              <w:tl2br w:val="nil"/>
              <w:tr2bl w:val="nil"/>
            </w:tcBorders>
            <w:shd w:val="clear" w:color="auto" w:fill="auto"/>
            <w:vAlign w:val="center"/>
          </w:tcPr>
          <w:p w14:paraId="3EBDA63D">
            <w:pPr>
              <w:pStyle w:val="58"/>
              <w:bidi w:val="0"/>
              <w:rPr>
                <w:rFonts w:hint="default"/>
                <w:highlight w:val="none"/>
                <w:lang w:val="en-US" w:eastAsia="zh-CN"/>
              </w:rPr>
            </w:pPr>
            <w:r>
              <w:rPr>
                <w:rFonts w:hint="default"/>
                <w:highlight w:val="none"/>
                <w:lang w:val="en-US" w:eastAsia="zh-CN"/>
              </w:rPr>
              <w:t>3.378</w:t>
            </w:r>
          </w:p>
        </w:tc>
        <w:tc>
          <w:tcPr>
            <w:tcW w:w="430" w:type="pct"/>
            <w:tcBorders>
              <w:tl2br w:val="nil"/>
              <w:tr2bl w:val="nil"/>
            </w:tcBorders>
            <w:shd w:val="clear" w:color="auto" w:fill="auto"/>
            <w:vAlign w:val="center"/>
          </w:tcPr>
          <w:p w14:paraId="7BBB9BCA">
            <w:pPr>
              <w:pStyle w:val="58"/>
              <w:bidi w:val="0"/>
              <w:rPr>
                <w:rFonts w:hint="default"/>
                <w:highlight w:val="none"/>
                <w:lang w:val="en-US" w:eastAsia="zh-CN"/>
              </w:rPr>
            </w:pPr>
            <w:r>
              <w:rPr>
                <w:rFonts w:hint="default"/>
                <w:highlight w:val="none"/>
                <w:lang w:val="en-US" w:eastAsia="zh-CN"/>
              </w:rPr>
              <w:t>3.111</w:t>
            </w:r>
          </w:p>
        </w:tc>
        <w:tc>
          <w:tcPr>
            <w:tcW w:w="417" w:type="pct"/>
            <w:tcBorders>
              <w:tl2br w:val="nil"/>
              <w:tr2bl w:val="nil"/>
            </w:tcBorders>
            <w:shd w:val="clear" w:color="auto" w:fill="auto"/>
            <w:vAlign w:val="center"/>
          </w:tcPr>
          <w:p w14:paraId="5E0CF2B0">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3.244</w:t>
            </w:r>
          </w:p>
        </w:tc>
        <w:tc>
          <w:tcPr>
            <w:tcW w:w="529" w:type="pct"/>
            <w:tcBorders>
              <w:tl2br w:val="nil"/>
              <w:tr2bl w:val="nil"/>
            </w:tcBorders>
            <w:shd w:val="clear" w:color="auto" w:fill="auto"/>
            <w:vAlign w:val="center"/>
          </w:tcPr>
          <w:p w14:paraId="1AF762F5">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0.780</w:t>
            </w:r>
          </w:p>
        </w:tc>
        <w:tc>
          <w:tcPr>
            <w:tcW w:w="430" w:type="pct"/>
            <w:tcBorders>
              <w:tl2br w:val="nil"/>
              <w:tr2bl w:val="nil"/>
            </w:tcBorders>
            <w:shd w:val="clear" w:color="auto" w:fill="auto"/>
            <w:vAlign w:val="center"/>
          </w:tcPr>
          <w:p w14:paraId="0835FBD3">
            <w:pPr>
              <w:pStyle w:val="58"/>
              <w:bidi w:val="0"/>
              <w:rPr>
                <w:rFonts w:hint="default"/>
                <w:highlight w:val="none"/>
                <w:lang w:val="en-US" w:eastAsia="zh-CN"/>
              </w:rPr>
            </w:pPr>
            <w:r>
              <w:rPr>
                <w:rFonts w:hint="default"/>
                <w:highlight w:val="none"/>
                <w:lang w:val="en-US" w:eastAsia="zh-CN"/>
              </w:rPr>
              <w:t>0.240</w:t>
            </w:r>
          </w:p>
        </w:tc>
        <w:tc>
          <w:tcPr>
            <w:tcW w:w="435" w:type="pct"/>
            <w:tcBorders>
              <w:tl2br w:val="nil"/>
              <w:tr2bl w:val="nil"/>
            </w:tcBorders>
            <w:shd w:val="clear" w:color="auto" w:fill="auto"/>
            <w:vAlign w:val="center"/>
          </w:tcPr>
          <w:p w14:paraId="73781A2D">
            <w:pPr>
              <w:pStyle w:val="58"/>
              <w:bidi w:val="0"/>
              <w:rPr>
                <w:rFonts w:hint="default"/>
                <w:highlight w:val="none"/>
                <w:lang w:val="en-US" w:eastAsia="zh-CN"/>
              </w:rPr>
            </w:pPr>
            <w:r>
              <w:rPr>
                <w:rFonts w:hint="default"/>
                <w:highlight w:val="none"/>
                <w:lang w:val="en-US" w:eastAsia="zh-CN"/>
              </w:rPr>
              <w:t>0.500</w:t>
            </w:r>
          </w:p>
        </w:tc>
        <w:tc>
          <w:tcPr>
            <w:tcW w:w="477" w:type="pct"/>
            <w:tcBorders>
              <w:tl2br w:val="nil"/>
              <w:tr2bl w:val="nil"/>
            </w:tcBorders>
            <w:shd w:val="clear" w:color="auto" w:fill="auto"/>
            <w:vAlign w:val="center"/>
          </w:tcPr>
          <w:p w14:paraId="011E1F35">
            <w:pPr>
              <w:pStyle w:val="58"/>
              <w:bidi w:val="0"/>
              <w:rPr>
                <w:rFonts w:hint="default"/>
                <w:highlight w:val="none"/>
                <w:lang w:val="en-US" w:eastAsia="zh-CN"/>
              </w:rPr>
            </w:pPr>
            <w:r>
              <w:rPr>
                <w:rFonts w:hint="default"/>
                <w:highlight w:val="none"/>
                <w:lang w:val="en-US" w:eastAsia="zh-CN"/>
              </w:rPr>
              <w:t>0.582</w:t>
            </w:r>
          </w:p>
        </w:tc>
      </w:tr>
      <w:tr w14:paraId="74AE5A4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2C976E6E">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2163DA50">
            <w:pPr>
              <w:pStyle w:val="58"/>
              <w:bidi w:val="0"/>
              <w:rPr>
                <w:rFonts w:hint="default"/>
                <w:highlight w:val="none"/>
                <w:lang w:val="en-US" w:eastAsia="zh-CN"/>
              </w:rPr>
            </w:pPr>
            <w:r>
              <w:rPr>
                <w:rFonts w:hint="default"/>
                <w:highlight w:val="none"/>
                <w:lang w:val="en-US" w:eastAsia="zh-CN"/>
              </w:rPr>
              <w:t>溶解性总固体</w:t>
            </w:r>
          </w:p>
        </w:tc>
        <w:tc>
          <w:tcPr>
            <w:tcW w:w="446" w:type="pct"/>
            <w:tcBorders>
              <w:tl2br w:val="nil"/>
              <w:tr2bl w:val="nil"/>
            </w:tcBorders>
            <w:shd w:val="clear" w:color="auto" w:fill="auto"/>
            <w:vAlign w:val="center"/>
          </w:tcPr>
          <w:p w14:paraId="780A1372">
            <w:pPr>
              <w:pStyle w:val="58"/>
              <w:bidi w:val="0"/>
              <w:rPr>
                <w:rFonts w:hint="default"/>
                <w:highlight w:val="none"/>
                <w:lang w:val="en-US" w:eastAsia="zh-CN"/>
              </w:rPr>
            </w:pPr>
            <w:r>
              <w:rPr>
                <w:rFonts w:hint="default"/>
                <w:highlight w:val="none"/>
                <w:lang w:val="en-US" w:eastAsia="zh-CN"/>
              </w:rPr>
              <w:t>2.070</w:t>
            </w:r>
          </w:p>
        </w:tc>
        <w:tc>
          <w:tcPr>
            <w:tcW w:w="490" w:type="pct"/>
            <w:tcBorders>
              <w:tl2br w:val="nil"/>
              <w:tr2bl w:val="nil"/>
            </w:tcBorders>
            <w:shd w:val="clear" w:color="auto" w:fill="auto"/>
            <w:vAlign w:val="center"/>
          </w:tcPr>
          <w:p w14:paraId="4C4CE30F">
            <w:pPr>
              <w:pStyle w:val="58"/>
              <w:bidi w:val="0"/>
              <w:rPr>
                <w:rFonts w:hint="default"/>
                <w:highlight w:val="none"/>
                <w:lang w:val="en-US" w:eastAsia="zh-CN"/>
              </w:rPr>
            </w:pPr>
            <w:r>
              <w:rPr>
                <w:rFonts w:hint="default"/>
                <w:highlight w:val="none"/>
                <w:lang w:val="en-US" w:eastAsia="zh-CN"/>
              </w:rPr>
              <w:t>1.990</w:t>
            </w:r>
          </w:p>
        </w:tc>
        <w:tc>
          <w:tcPr>
            <w:tcW w:w="475" w:type="pct"/>
            <w:tcBorders>
              <w:tl2br w:val="nil"/>
              <w:tr2bl w:val="nil"/>
            </w:tcBorders>
            <w:shd w:val="clear" w:color="auto" w:fill="auto"/>
            <w:vAlign w:val="center"/>
          </w:tcPr>
          <w:p w14:paraId="22585783">
            <w:pPr>
              <w:pStyle w:val="58"/>
              <w:bidi w:val="0"/>
              <w:rPr>
                <w:rFonts w:hint="default"/>
                <w:highlight w:val="none"/>
                <w:lang w:val="en-US" w:eastAsia="zh-CN"/>
              </w:rPr>
            </w:pPr>
            <w:r>
              <w:rPr>
                <w:rFonts w:hint="default"/>
                <w:highlight w:val="none"/>
                <w:lang w:val="en-US" w:eastAsia="zh-CN"/>
              </w:rPr>
              <w:t>1.940</w:t>
            </w:r>
          </w:p>
        </w:tc>
        <w:tc>
          <w:tcPr>
            <w:tcW w:w="378" w:type="pct"/>
            <w:tcBorders>
              <w:tl2br w:val="nil"/>
              <w:tr2bl w:val="nil"/>
            </w:tcBorders>
            <w:shd w:val="clear" w:color="auto" w:fill="auto"/>
            <w:vAlign w:val="center"/>
          </w:tcPr>
          <w:p w14:paraId="5DD287DB">
            <w:pPr>
              <w:pStyle w:val="58"/>
              <w:bidi w:val="0"/>
              <w:rPr>
                <w:rFonts w:hint="default"/>
                <w:highlight w:val="none"/>
                <w:lang w:val="en-US" w:eastAsia="zh-CN"/>
              </w:rPr>
            </w:pPr>
            <w:r>
              <w:rPr>
                <w:rFonts w:hint="default"/>
                <w:highlight w:val="none"/>
                <w:lang w:val="en-US" w:eastAsia="zh-CN"/>
              </w:rPr>
              <w:t>1.990</w:t>
            </w:r>
          </w:p>
        </w:tc>
        <w:tc>
          <w:tcPr>
            <w:tcW w:w="430" w:type="pct"/>
            <w:tcBorders>
              <w:tl2br w:val="nil"/>
              <w:tr2bl w:val="nil"/>
            </w:tcBorders>
            <w:shd w:val="clear" w:color="auto" w:fill="auto"/>
            <w:vAlign w:val="center"/>
          </w:tcPr>
          <w:p w14:paraId="0B55915F">
            <w:pPr>
              <w:pStyle w:val="58"/>
              <w:bidi w:val="0"/>
              <w:rPr>
                <w:rFonts w:hint="default"/>
                <w:highlight w:val="none"/>
                <w:lang w:val="en-US" w:eastAsia="zh-CN"/>
              </w:rPr>
            </w:pPr>
            <w:r>
              <w:rPr>
                <w:rFonts w:hint="default"/>
                <w:highlight w:val="none"/>
                <w:lang w:val="en-US" w:eastAsia="zh-CN"/>
              </w:rPr>
              <w:t>2.000</w:t>
            </w:r>
          </w:p>
        </w:tc>
        <w:tc>
          <w:tcPr>
            <w:tcW w:w="417" w:type="pct"/>
            <w:tcBorders>
              <w:tl2br w:val="nil"/>
              <w:tr2bl w:val="nil"/>
            </w:tcBorders>
            <w:shd w:val="clear" w:color="auto" w:fill="auto"/>
            <w:vAlign w:val="center"/>
          </w:tcPr>
          <w:p w14:paraId="328323AC">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未检出</w:t>
            </w:r>
          </w:p>
        </w:tc>
        <w:tc>
          <w:tcPr>
            <w:tcW w:w="529" w:type="pct"/>
            <w:tcBorders>
              <w:tl2br w:val="nil"/>
              <w:tr2bl w:val="nil"/>
            </w:tcBorders>
            <w:shd w:val="clear" w:color="auto" w:fill="auto"/>
            <w:vAlign w:val="center"/>
          </w:tcPr>
          <w:p w14:paraId="2D07B923">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0.696</w:t>
            </w:r>
          </w:p>
        </w:tc>
        <w:tc>
          <w:tcPr>
            <w:tcW w:w="430" w:type="pct"/>
            <w:tcBorders>
              <w:tl2br w:val="nil"/>
              <w:tr2bl w:val="nil"/>
            </w:tcBorders>
            <w:shd w:val="clear" w:color="auto" w:fill="auto"/>
            <w:vAlign w:val="center"/>
          </w:tcPr>
          <w:p w14:paraId="171F4E95">
            <w:pPr>
              <w:pStyle w:val="58"/>
              <w:bidi w:val="0"/>
              <w:rPr>
                <w:rFonts w:hint="default"/>
                <w:highlight w:val="none"/>
                <w:lang w:val="en-US" w:eastAsia="zh-CN"/>
              </w:rPr>
            </w:pPr>
            <w:r>
              <w:rPr>
                <w:rFonts w:hint="default"/>
                <w:highlight w:val="none"/>
                <w:lang w:val="en-US" w:eastAsia="zh-CN"/>
              </w:rPr>
              <w:t>0.284</w:t>
            </w:r>
          </w:p>
        </w:tc>
        <w:tc>
          <w:tcPr>
            <w:tcW w:w="435" w:type="pct"/>
            <w:tcBorders>
              <w:tl2br w:val="nil"/>
              <w:tr2bl w:val="nil"/>
            </w:tcBorders>
            <w:shd w:val="clear" w:color="auto" w:fill="auto"/>
            <w:vAlign w:val="center"/>
          </w:tcPr>
          <w:p w14:paraId="6BC21C68">
            <w:pPr>
              <w:pStyle w:val="58"/>
              <w:bidi w:val="0"/>
              <w:rPr>
                <w:rFonts w:hint="default"/>
                <w:highlight w:val="none"/>
                <w:lang w:val="en-US" w:eastAsia="zh-CN"/>
              </w:rPr>
            </w:pPr>
            <w:r>
              <w:rPr>
                <w:rFonts w:hint="default"/>
                <w:highlight w:val="none"/>
                <w:lang w:val="en-US" w:eastAsia="zh-CN"/>
              </w:rPr>
              <w:t>0.458</w:t>
            </w:r>
          </w:p>
        </w:tc>
        <w:tc>
          <w:tcPr>
            <w:tcW w:w="477" w:type="pct"/>
            <w:tcBorders>
              <w:tl2br w:val="nil"/>
              <w:tr2bl w:val="nil"/>
            </w:tcBorders>
            <w:shd w:val="clear" w:color="auto" w:fill="auto"/>
            <w:vAlign w:val="center"/>
          </w:tcPr>
          <w:p w14:paraId="33E4A5CC">
            <w:pPr>
              <w:pStyle w:val="58"/>
              <w:bidi w:val="0"/>
              <w:rPr>
                <w:rFonts w:hint="default"/>
                <w:highlight w:val="none"/>
                <w:lang w:val="en-US" w:eastAsia="zh-CN"/>
              </w:rPr>
            </w:pPr>
            <w:r>
              <w:rPr>
                <w:rFonts w:hint="default"/>
                <w:highlight w:val="none"/>
                <w:lang w:val="en-US" w:eastAsia="zh-CN"/>
              </w:rPr>
              <w:t>0.547</w:t>
            </w:r>
          </w:p>
        </w:tc>
      </w:tr>
      <w:tr w14:paraId="388B400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750EA124">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2D2C3518">
            <w:pPr>
              <w:pStyle w:val="58"/>
              <w:bidi w:val="0"/>
              <w:rPr>
                <w:rFonts w:hint="default"/>
                <w:highlight w:val="none"/>
                <w:lang w:val="en-US" w:eastAsia="zh-CN"/>
              </w:rPr>
            </w:pPr>
            <w:r>
              <w:rPr>
                <w:rFonts w:hint="default"/>
                <w:highlight w:val="none"/>
                <w:lang w:val="en-US" w:eastAsia="zh-CN"/>
              </w:rPr>
              <w:t>高锰酸盐指数</w:t>
            </w:r>
          </w:p>
        </w:tc>
        <w:tc>
          <w:tcPr>
            <w:tcW w:w="446" w:type="pct"/>
            <w:tcBorders>
              <w:tl2br w:val="nil"/>
              <w:tr2bl w:val="nil"/>
            </w:tcBorders>
            <w:shd w:val="clear" w:color="auto" w:fill="auto"/>
            <w:vAlign w:val="center"/>
          </w:tcPr>
          <w:p w14:paraId="1058E69E">
            <w:pPr>
              <w:pStyle w:val="58"/>
              <w:bidi w:val="0"/>
              <w:rPr>
                <w:rFonts w:hint="default"/>
                <w:highlight w:val="none"/>
                <w:lang w:val="en-US" w:eastAsia="zh-CN"/>
              </w:rPr>
            </w:pPr>
            <w:r>
              <w:rPr>
                <w:rFonts w:hint="default"/>
                <w:highlight w:val="none"/>
                <w:lang w:val="en-US" w:eastAsia="zh-CN"/>
              </w:rPr>
              <w:t>3.800</w:t>
            </w:r>
          </w:p>
        </w:tc>
        <w:tc>
          <w:tcPr>
            <w:tcW w:w="490" w:type="pct"/>
            <w:tcBorders>
              <w:tl2br w:val="nil"/>
              <w:tr2bl w:val="nil"/>
            </w:tcBorders>
            <w:shd w:val="clear" w:color="auto" w:fill="auto"/>
            <w:vAlign w:val="center"/>
          </w:tcPr>
          <w:p w14:paraId="412C4F00">
            <w:pPr>
              <w:pStyle w:val="58"/>
              <w:bidi w:val="0"/>
              <w:rPr>
                <w:rFonts w:hint="default"/>
                <w:highlight w:val="none"/>
                <w:lang w:val="en-US" w:eastAsia="zh-CN"/>
              </w:rPr>
            </w:pPr>
            <w:r>
              <w:rPr>
                <w:rFonts w:hint="default"/>
                <w:highlight w:val="none"/>
                <w:lang w:val="en-US" w:eastAsia="zh-CN"/>
              </w:rPr>
              <w:t>5.867</w:t>
            </w:r>
          </w:p>
        </w:tc>
        <w:tc>
          <w:tcPr>
            <w:tcW w:w="475" w:type="pct"/>
            <w:tcBorders>
              <w:tl2br w:val="nil"/>
              <w:tr2bl w:val="nil"/>
            </w:tcBorders>
            <w:shd w:val="clear" w:color="auto" w:fill="auto"/>
            <w:vAlign w:val="center"/>
          </w:tcPr>
          <w:p w14:paraId="3390797F">
            <w:pPr>
              <w:pStyle w:val="58"/>
              <w:bidi w:val="0"/>
              <w:rPr>
                <w:rFonts w:hint="default"/>
                <w:highlight w:val="none"/>
                <w:lang w:val="en-US" w:eastAsia="zh-CN"/>
              </w:rPr>
            </w:pPr>
            <w:r>
              <w:rPr>
                <w:rFonts w:hint="default"/>
                <w:highlight w:val="none"/>
                <w:lang w:val="en-US" w:eastAsia="zh-CN"/>
              </w:rPr>
              <w:t>3.867</w:t>
            </w:r>
          </w:p>
        </w:tc>
        <w:tc>
          <w:tcPr>
            <w:tcW w:w="378" w:type="pct"/>
            <w:tcBorders>
              <w:tl2br w:val="nil"/>
              <w:tr2bl w:val="nil"/>
            </w:tcBorders>
            <w:shd w:val="clear" w:color="auto" w:fill="auto"/>
            <w:vAlign w:val="center"/>
          </w:tcPr>
          <w:p w14:paraId="57EB5CF8">
            <w:pPr>
              <w:pStyle w:val="58"/>
              <w:bidi w:val="0"/>
              <w:rPr>
                <w:rFonts w:hint="default"/>
                <w:highlight w:val="none"/>
                <w:lang w:val="en-US" w:eastAsia="zh-CN"/>
              </w:rPr>
            </w:pPr>
            <w:r>
              <w:rPr>
                <w:rFonts w:hint="default"/>
                <w:highlight w:val="none"/>
                <w:lang w:val="en-US" w:eastAsia="zh-CN"/>
              </w:rPr>
              <w:t>3.733</w:t>
            </w:r>
          </w:p>
        </w:tc>
        <w:tc>
          <w:tcPr>
            <w:tcW w:w="430" w:type="pct"/>
            <w:tcBorders>
              <w:tl2br w:val="nil"/>
              <w:tr2bl w:val="nil"/>
            </w:tcBorders>
            <w:shd w:val="clear" w:color="auto" w:fill="auto"/>
            <w:vAlign w:val="center"/>
          </w:tcPr>
          <w:p w14:paraId="6A873081">
            <w:pPr>
              <w:pStyle w:val="58"/>
              <w:bidi w:val="0"/>
              <w:rPr>
                <w:rFonts w:hint="default"/>
                <w:highlight w:val="none"/>
                <w:lang w:val="en-US" w:eastAsia="zh-CN"/>
              </w:rPr>
            </w:pPr>
            <w:r>
              <w:rPr>
                <w:rFonts w:hint="default"/>
                <w:highlight w:val="none"/>
                <w:lang w:val="en-US" w:eastAsia="zh-CN"/>
              </w:rPr>
              <w:t>3.800</w:t>
            </w:r>
          </w:p>
        </w:tc>
        <w:tc>
          <w:tcPr>
            <w:tcW w:w="417" w:type="pct"/>
            <w:tcBorders>
              <w:tl2br w:val="nil"/>
              <w:tr2bl w:val="nil"/>
            </w:tcBorders>
            <w:shd w:val="clear" w:color="auto" w:fill="auto"/>
            <w:vAlign w:val="center"/>
          </w:tcPr>
          <w:p w14:paraId="58E9FC2E">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2.167</w:t>
            </w:r>
          </w:p>
        </w:tc>
        <w:tc>
          <w:tcPr>
            <w:tcW w:w="529" w:type="pct"/>
            <w:tcBorders>
              <w:tl2br w:val="nil"/>
              <w:tr2bl w:val="nil"/>
            </w:tcBorders>
            <w:shd w:val="clear" w:color="auto" w:fill="auto"/>
            <w:vAlign w:val="center"/>
          </w:tcPr>
          <w:p w14:paraId="5A91CDA4">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1.933</w:t>
            </w:r>
          </w:p>
        </w:tc>
        <w:tc>
          <w:tcPr>
            <w:tcW w:w="430" w:type="pct"/>
            <w:tcBorders>
              <w:tl2br w:val="nil"/>
              <w:tr2bl w:val="nil"/>
            </w:tcBorders>
            <w:shd w:val="clear" w:color="auto" w:fill="auto"/>
            <w:vAlign w:val="center"/>
          </w:tcPr>
          <w:p w14:paraId="4656A062">
            <w:pPr>
              <w:pStyle w:val="58"/>
              <w:bidi w:val="0"/>
              <w:rPr>
                <w:rFonts w:hint="default"/>
                <w:highlight w:val="none"/>
                <w:lang w:val="en-US" w:eastAsia="zh-CN"/>
              </w:rPr>
            </w:pPr>
            <w:r>
              <w:rPr>
                <w:rFonts w:hint="default"/>
                <w:highlight w:val="none"/>
                <w:lang w:val="en-US" w:eastAsia="zh-CN"/>
              </w:rPr>
              <w:t>0.390</w:t>
            </w:r>
          </w:p>
        </w:tc>
        <w:tc>
          <w:tcPr>
            <w:tcW w:w="435" w:type="pct"/>
            <w:tcBorders>
              <w:tl2br w:val="nil"/>
              <w:tr2bl w:val="nil"/>
            </w:tcBorders>
            <w:shd w:val="clear" w:color="auto" w:fill="auto"/>
            <w:vAlign w:val="center"/>
          </w:tcPr>
          <w:p w14:paraId="0FD2B4DC">
            <w:pPr>
              <w:pStyle w:val="58"/>
              <w:bidi w:val="0"/>
              <w:rPr>
                <w:rFonts w:hint="default"/>
                <w:highlight w:val="none"/>
                <w:lang w:val="en-US" w:eastAsia="zh-CN"/>
              </w:rPr>
            </w:pPr>
            <w:r>
              <w:rPr>
                <w:rFonts w:hint="default"/>
                <w:highlight w:val="none"/>
                <w:lang w:val="en-US" w:eastAsia="zh-CN"/>
              </w:rPr>
              <w:t>0.267</w:t>
            </w:r>
          </w:p>
        </w:tc>
        <w:tc>
          <w:tcPr>
            <w:tcW w:w="477" w:type="pct"/>
            <w:tcBorders>
              <w:tl2br w:val="nil"/>
              <w:tr2bl w:val="nil"/>
            </w:tcBorders>
            <w:shd w:val="clear" w:color="auto" w:fill="auto"/>
            <w:vAlign w:val="center"/>
          </w:tcPr>
          <w:p w14:paraId="50AE4AA6">
            <w:pPr>
              <w:pStyle w:val="58"/>
              <w:bidi w:val="0"/>
              <w:rPr>
                <w:rFonts w:hint="default"/>
                <w:highlight w:val="none"/>
                <w:lang w:val="en-US" w:eastAsia="zh-CN"/>
              </w:rPr>
            </w:pPr>
            <w:r>
              <w:rPr>
                <w:rFonts w:hint="default"/>
                <w:highlight w:val="none"/>
                <w:lang w:val="en-US" w:eastAsia="zh-CN"/>
              </w:rPr>
              <w:t>0.600</w:t>
            </w:r>
          </w:p>
        </w:tc>
      </w:tr>
      <w:tr w14:paraId="7F20406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2DADA760">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45EFAB9E">
            <w:pPr>
              <w:pStyle w:val="58"/>
              <w:bidi w:val="0"/>
              <w:rPr>
                <w:rFonts w:hint="default"/>
                <w:highlight w:val="none"/>
                <w:lang w:val="en-US" w:eastAsia="zh-CN"/>
              </w:rPr>
            </w:pPr>
            <w:r>
              <w:rPr>
                <w:rFonts w:hint="default"/>
                <w:highlight w:val="none"/>
                <w:lang w:val="en-US" w:eastAsia="zh-CN"/>
              </w:rPr>
              <w:t>氟化物</w:t>
            </w:r>
          </w:p>
        </w:tc>
        <w:tc>
          <w:tcPr>
            <w:tcW w:w="446" w:type="pct"/>
            <w:tcBorders>
              <w:tl2br w:val="nil"/>
              <w:tr2bl w:val="nil"/>
            </w:tcBorders>
            <w:shd w:val="clear" w:color="auto" w:fill="auto"/>
            <w:vAlign w:val="center"/>
          </w:tcPr>
          <w:p w14:paraId="6F51A15E">
            <w:pPr>
              <w:pStyle w:val="58"/>
              <w:bidi w:val="0"/>
              <w:rPr>
                <w:rFonts w:hint="default"/>
                <w:highlight w:val="none"/>
                <w:lang w:val="en-US" w:eastAsia="zh-CN"/>
              </w:rPr>
            </w:pPr>
            <w:r>
              <w:rPr>
                <w:rFonts w:hint="default"/>
                <w:highlight w:val="none"/>
                <w:lang w:val="en-US" w:eastAsia="zh-CN"/>
              </w:rPr>
              <w:t>0.440</w:t>
            </w:r>
          </w:p>
        </w:tc>
        <w:tc>
          <w:tcPr>
            <w:tcW w:w="490" w:type="pct"/>
            <w:tcBorders>
              <w:tl2br w:val="nil"/>
              <w:tr2bl w:val="nil"/>
            </w:tcBorders>
            <w:shd w:val="clear" w:color="auto" w:fill="auto"/>
            <w:vAlign w:val="center"/>
          </w:tcPr>
          <w:p w14:paraId="3E5C94CB">
            <w:pPr>
              <w:pStyle w:val="58"/>
              <w:bidi w:val="0"/>
              <w:rPr>
                <w:rFonts w:hint="default"/>
                <w:highlight w:val="none"/>
                <w:lang w:val="en-US" w:eastAsia="zh-CN"/>
              </w:rPr>
            </w:pPr>
            <w:r>
              <w:rPr>
                <w:rFonts w:hint="default"/>
                <w:highlight w:val="none"/>
                <w:lang w:val="en-US" w:eastAsia="zh-CN"/>
              </w:rPr>
              <w:t>0.470</w:t>
            </w:r>
          </w:p>
        </w:tc>
        <w:tc>
          <w:tcPr>
            <w:tcW w:w="475" w:type="pct"/>
            <w:tcBorders>
              <w:tl2br w:val="nil"/>
              <w:tr2bl w:val="nil"/>
            </w:tcBorders>
            <w:shd w:val="clear" w:color="auto" w:fill="auto"/>
            <w:vAlign w:val="center"/>
          </w:tcPr>
          <w:p w14:paraId="3390FE78">
            <w:pPr>
              <w:pStyle w:val="58"/>
              <w:bidi w:val="0"/>
              <w:rPr>
                <w:rFonts w:hint="default"/>
                <w:highlight w:val="none"/>
                <w:lang w:val="en-US" w:eastAsia="zh-CN"/>
              </w:rPr>
            </w:pPr>
            <w:r>
              <w:rPr>
                <w:rFonts w:hint="default"/>
                <w:highlight w:val="none"/>
                <w:lang w:val="en-US" w:eastAsia="zh-CN"/>
              </w:rPr>
              <w:t>0.440</w:t>
            </w:r>
          </w:p>
        </w:tc>
        <w:tc>
          <w:tcPr>
            <w:tcW w:w="378" w:type="pct"/>
            <w:tcBorders>
              <w:tl2br w:val="nil"/>
              <w:tr2bl w:val="nil"/>
            </w:tcBorders>
            <w:shd w:val="clear" w:color="auto" w:fill="auto"/>
            <w:vAlign w:val="center"/>
          </w:tcPr>
          <w:p w14:paraId="4ACB0802">
            <w:pPr>
              <w:pStyle w:val="58"/>
              <w:bidi w:val="0"/>
              <w:rPr>
                <w:rFonts w:hint="default"/>
                <w:highlight w:val="none"/>
                <w:lang w:val="en-US" w:eastAsia="zh-CN"/>
              </w:rPr>
            </w:pPr>
            <w:r>
              <w:rPr>
                <w:rFonts w:hint="default"/>
                <w:highlight w:val="none"/>
                <w:lang w:val="en-US" w:eastAsia="zh-CN"/>
              </w:rPr>
              <w:t>0.450</w:t>
            </w:r>
          </w:p>
        </w:tc>
        <w:tc>
          <w:tcPr>
            <w:tcW w:w="430" w:type="pct"/>
            <w:tcBorders>
              <w:tl2br w:val="nil"/>
              <w:tr2bl w:val="nil"/>
            </w:tcBorders>
            <w:shd w:val="clear" w:color="auto" w:fill="auto"/>
            <w:vAlign w:val="center"/>
          </w:tcPr>
          <w:p w14:paraId="4A455E5C">
            <w:pPr>
              <w:pStyle w:val="58"/>
              <w:bidi w:val="0"/>
              <w:rPr>
                <w:rFonts w:hint="default"/>
                <w:highlight w:val="none"/>
                <w:lang w:val="en-US" w:eastAsia="zh-CN"/>
              </w:rPr>
            </w:pPr>
            <w:r>
              <w:rPr>
                <w:rFonts w:hint="default"/>
                <w:highlight w:val="none"/>
                <w:lang w:val="en-US" w:eastAsia="zh-CN"/>
              </w:rPr>
              <w:t>0.390</w:t>
            </w:r>
          </w:p>
        </w:tc>
        <w:tc>
          <w:tcPr>
            <w:tcW w:w="417" w:type="pct"/>
            <w:tcBorders>
              <w:tl2br w:val="nil"/>
              <w:tr2bl w:val="nil"/>
            </w:tcBorders>
            <w:shd w:val="clear" w:color="auto" w:fill="auto"/>
            <w:vAlign w:val="center"/>
          </w:tcPr>
          <w:p w14:paraId="0116063F">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0.460</w:t>
            </w:r>
          </w:p>
        </w:tc>
        <w:tc>
          <w:tcPr>
            <w:tcW w:w="529" w:type="pct"/>
            <w:tcBorders>
              <w:tl2br w:val="nil"/>
              <w:tr2bl w:val="nil"/>
            </w:tcBorders>
            <w:shd w:val="clear" w:color="auto" w:fill="auto"/>
            <w:vAlign w:val="center"/>
          </w:tcPr>
          <w:p w14:paraId="3640E3DA">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0.382</w:t>
            </w:r>
          </w:p>
        </w:tc>
        <w:tc>
          <w:tcPr>
            <w:tcW w:w="430" w:type="pct"/>
            <w:tcBorders>
              <w:tl2br w:val="nil"/>
              <w:tr2bl w:val="nil"/>
            </w:tcBorders>
            <w:shd w:val="clear" w:color="auto" w:fill="auto"/>
            <w:vAlign w:val="center"/>
          </w:tcPr>
          <w:p w14:paraId="7D5272B2">
            <w:pPr>
              <w:pStyle w:val="58"/>
              <w:bidi w:val="0"/>
              <w:rPr>
                <w:rFonts w:hint="default"/>
                <w:highlight w:val="none"/>
                <w:lang w:val="en-US" w:eastAsia="zh-CN"/>
              </w:rPr>
            </w:pPr>
            <w:r>
              <w:rPr>
                <w:rFonts w:hint="default"/>
                <w:highlight w:val="none"/>
                <w:lang w:val="en-US" w:eastAsia="zh-CN"/>
              </w:rPr>
              <w:t>0.960</w:t>
            </w:r>
          </w:p>
        </w:tc>
        <w:tc>
          <w:tcPr>
            <w:tcW w:w="435" w:type="pct"/>
            <w:tcBorders>
              <w:tl2br w:val="nil"/>
              <w:tr2bl w:val="nil"/>
            </w:tcBorders>
            <w:shd w:val="clear" w:color="auto" w:fill="auto"/>
            <w:vAlign w:val="center"/>
          </w:tcPr>
          <w:p w14:paraId="230C47E0">
            <w:pPr>
              <w:pStyle w:val="58"/>
              <w:bidi w:val="0"/>
              <w:rPr>
                <w:rFonts w:hint="default"/>
                <w:highlight w:val="none"/>
                <w:lang w:val="en-US" w:eastAsia="zh-CN"/>
              </w:rPr>
            </w:pPr>
            <w:r>
              <w:rPr>
                <w:rFonts w:hint="default"/>
                <w:highlight w:val="none"/>
                <w:lang w:val="en-US" w:eastAsia="zh-CN"/>
              </w:rPr>
              <w:t>0.014</w:t>
            </w:r>
          </w:p>
        </w:tc>
        <w:tc>
          <w:tcPr>
            <w:tcW w:w="477" w:type="pct"/>
            <w:tcBorders>
              <w:tl2br w:val="nil"/>
              <w:tr2bl w:val="nil"/>
            </w:tcBorders>
            <w:shd w:val="clear" w:color="auto" w:fill="auto"/>
            <w:vAlign w:val="center"/>
          </w:tcPr>
          <w:p w14:paraId="36456F99">
            <w:pPr>
              <w:pStyle w:val="58"/>
              <w:bidi w:val="0"/>
              <w:rPr>
                <w:rFonts w:hint="default"/>
                <w:highlight w:val="none"/>
                <w:lang w:val="en-US" w:eastAsia="zh-CN"/>
              </w:rPr>
            </w:pPr>
            <w:r>
              <w:rPr>
                <w:rFonts w:hint="default"/>
                <w:highlight w:val="none"/>
                <w:lang w:val="en-US" w:eastAsia="zh-CN"/>
              </w:rPr>
              <w:t>0.079</w:t>
            </w:r>
          </w:p>
        </w:tc>
      </w:tr>
      <w:tr w14:paraId="388CC8A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20C9FD86">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2819A480">
            <w:pPr>
              <w:pStyle w:val="58"/>
              <w:bidi w:val="0"/>
              <w:rPr>
                <w:rFonts w:hint="default"/>
                <w:highlight w:val="none"/>
                <w:lang w:val="en-US" w:eastAsia="zh-CN"/>
              </w:rPr>
            </w:pPr>
            <w:r>
              <w:rPr>
                <w:rFonts w:hint="default"/>
                <w:highlight w:val="none"/>
                <w:lang w:val="en-US" w:eastAsia="zh-CN"/>
              </w:rPr>
              <w:t>氯化物</w:t>
            </w:r>
          </w:p>
        </w:tc>
        <w:tc>
          <w:tcPr>
            <w:tcW w:w="446" w:type="pct"/>
            <w:tcBorders>
              <w:tl2br w:val="nil"/>
              <w:tr2bl w:val="nil"/>
            </w:tcBorders>
            <w:shd w:val="clear" w:color="auto" w:fill="auto"/>
            <w:vAlign w:val="center"/>
          </w:tcPr>
          <w:p w14:paraId="6695BB52">
            <w:pPr>
              <w:pStyle w:val="58"/>
              <w:bidi w:val="0"/>
              <w:rPr>
                <w:rFonts w:hint="default"/>
                <w:highlight w:val="none"/>
                <w:lang w:val="en-US" w:eastAsia="zh-CN"/>
              </w:rPr>
            </w:pPr>
            <w:r>
              <w:rPr>
                <w:rFonts w:hint="default"/>
                <w:highlight w:val="none"/>
                <w:lang w:val="en-US" w:eastAsia="zh-CN"/>
              </w:rPr>
              <w:t>2.444</w:t>
            </w:r>
          </w:p>
        </w:tc>
        <w:tc>
          <w:tcPr>
            <w:tcW w:w="490" w:type="pct"/>
            <w:tcBorders>
              <w:tl2br w:val="nil"/>
              <w:tr2bl w:val="nil"/>
            </w:tcBorders>
            <w:shd w:val="clear" w:color="auto" w:fill="auto"/>
            <w:vAlign w:val="center"/>
          </w:tcPr>
          <w:p w14:paraId="3B796178">
            <w:pPr>
              <w:pStyle w:val="58"/>
              <w:bidi w:val="0"/>
              <w:rPr>
                <w:rFonts w:hint="default"/>
                <w:highlight w:val="none"/>
                <w:lang w:val="en-US" w:eastAsia="zh-CN"/>
              </w:rPr>
            </w:pPr>
            <w:r>
              <w:rPr>
                <w:rFonts w:hint="default"/>
                <w:highlight w:val="none"/>
                <w:lang w:val="en-US" w:eastAsia="zh-CN"/>
              </w:rPr>
              <w:t>2.732</w:t>
            </w:r>
          </w:p>
        </w:tc>
        <w:tc>
          <w:tcPr>
            <w:tcW w:w="475" w:type="pct"/>
            <w:tcBorders>
              <w:tl2br w:val="nil"/>
              <w:tr2bl w:val="nil"/>
            </w:tcBorders>
            <w:shd w:val="clear" w:color="auto" w:fill="auto"/>
            <w:vAlign w:val="center"/>
          </w:tcPr>
          <w:p w14:paraId="3089BAEF">
            <w:pPr>
              <w:pStyle w:val="58"/>
              <w:bidi w:val="0"/>
              <w:rPr>
                <w:rFonts w:hint="default"/>
                <w:highlight w:val="none"/>
                <w:lang w:val="en-US" w:eastAsia="zh-CN"/>
              </w:rPr>
            </w:pPr>
            <w:r>
              <w:rPr>
                <w:rFonts w:hint="default"/>
                <w:highlight w:val="none"/>
                <w:lang w:val="en-US" w:eastAsia="zh-CN"/>
              </w:rPr>
              <w:t>2.688</w:t>
            </w:r>
          </w:p>
        </w:tc>
        <w:tc>
          <w:tcPr>
            <w:tcW w:w="378" w:type="pct"/>
            <w:tcBorders>
              <w:tl2br w:val="nil"/>
              <w:tr2bl w:val="nil"/>
            </w:tcBorders>
            <w:shd w:val="clear" w:color="auto" w:fill="auto"/>
            <w:vAlign w:val="center"/>
          </w:tcPr>
          <w:p w14:paraId="3B729892">
            <w:pPr>
              <w:pStyle w:val="58"/>
              <w:bidi w:val="0"/>
              <w:rPr>
                <w:rFonts w:hint="default"/>
                <w:highlight w:val="none"/>
                <w:lang w:val="en-US" w:eastAsia="zh-CN"/>
              </w:rPr>
            </w:pPr>
            <w:r>
              <w:rPr>
                <w:rFonts w:hint="default"/>
                <w:highlight w:val="none"/>
                <w:lang w:val="en-US" w:eastAsia="zh-CN"/>
              </w:rPr>
              <w:t>2.512</w:t>
            </w:r>
          </w:p>
        </w:tc>
        <w:tc>
          <w:tcPr>
            <w:tcW w:w="430" w:type="pct"/>
            <w:tcBorders>
              <w:tl2br w:val="nil"/>
              <w:tr2bl w:val="nil"/>
            </w:tcBorders>
            <w:shd w:val="clear" w:color="auto" w:fill="auto"/>
            <w:vAlign w:val="center"/>
          </w:tcPr>
          <w:p w14:paraId="382D8FB3">
            <w:pPr>
              <w:pStyle w:val="58"/>
              <w:bidi w:val="0"/>
              <w:rPr>
                <w:rFonts w:hint="default"/>
                <w:highlight w:val="none"/>
                <w:lang w:val="en-US" w:eastAsia="zh-CN"/>
              </w:rPr>
            </w:pPr>
            <w:r>
              <w:rPr>
                <w:rFonts w:hint="default"/>
                <w:highlight w:val="none"/>
                <w:lang w:val="en-US" w:eastAsia="zh-CN"/>
              </w:rPr>
              <w:t>2.620</w:t>
            </w:r>
          </w:p>
        </w:tc>
        <w:tc>
          <w:tcPr>
            <w:tcW w:w="417" w:type="pct"/>
            <w:tcBorders>
              <w:tl2br w:val="nil"/>
              <w:tr2bl w:val="nil"/>
            </w:tcBorders>
            <w:shd w:val="clear" w:color="auto" w:fill="auto"/>
            <w:vAlign w:val="center"/>
          </w:tcPr>
          <w:p w14:paraId="4238B7D6">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2.240</w:t>
            </w:r>
          </w:p>
        </w:tc>
        <w:tc>
          <w:tcPr>
            <w:tcW w:w="529" w:type="pct"/>
            <w:tcBorders>
              <w:tl2br w:val="nil"/>
              <w:tr2bl w:val="nil"/>
            </w:tcBorders>
            <w:shd w:val="clear" w:color="auto" w:fill="auto"/>
            <w:vAlign w:val="center"/>
          </w:tcPr>
          <w:p w14:paraId="07E3FE45">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2.832</w:t>
            </w:r>
          </w:p>
        </w:tc>
        <w:tc>
          <w:tcPr>
            <w:tcW w:w="430" w:type="pct"/>
            <w:tcBorders>
              <w:tl2br w:val="nil"/>
              <w:tr2bl w:val="nil"/>
            </w:tcBorders>
            <w:shd w:val="clear" w:color="auto" w:fill="auto"/>
            <w:vAlign w:val="center"/>
          </w:tcPr>
          <w:p w14:paraId="5433675B">
            <w:pPr>
              <w:pStyle w:val="58"/>
              <w:bidi w:val="0"/>
              <w:rPr>
                <w:rFonts w:hint="default"/>
                <w:highlight w:val="none"/>
                <w:lang w:val="en-US" w:eastAsia="zh-CN"/>
              </w:rPr>
            </w:pPr>
            <w:r>
              <w:rPr>
                <w:rFonts w:hint="default"/>
                <w:highlight w:val="none"/>
                <w:lang w:val="en-US" w:eastAsia="zh-CN"/>
              </w:rPr>
              <w:t>0.144</w:t>
            </w:r>
          </w:p>
        </w:tc>
        <w:tc>
          <w:tcPr>
            <w:tcW w:w="435" w:type="pct"/>
            <w:tcBorders>
              <w:tl2br w:val="nil"/>
              <w:tr2bl w:val="nil"/>
            </w:tcBorders>
            <w:shd w:val="clear" w:color="auto" w:fill="auto"/>
            <w:vAlign w:val="center"/>
          </w:tcPr>
          <w:p w14:paraId="720FD2B5">
            <w:pPr>
              <w:pStyle w:val="58"/>
              <w:bidi w:val="0"/>
              <w:rPr>
                <w:rFonts w:hint="default"/>
                <w:highlight w:val="none"/>
                <w:lang w:val="en-US" w:eastAsia="zh-CN"/>
              </w:rPr>
            </w:pPr>
            <w:r>
              <w:rPr>
                <w:rFonts w:hint="default"/>
                <w:highlight w:val="none"/>
                <w:lang w:val="en-US" w:eastAsia="zh-CN"/>
              </w:rPr>
              <w:t>0.331</w:t>
            </w:r>
          </w:p>
        </w:tc>
        <w:tc>
          <w:tcPr>
            <w:tcW w:w="477" w:type="pct"/>
            <w:tcBorders>
              <w:tl2br w:val="nil"/>
              <w:tr2bl w:val="nil"/>
            </w:tcBorders>
            <w:shd w:val="clear" w:color="auto" w:fill="auto"/>
            <w:vAlign w:val="center"/>
          </w:tcPr>
          <w:p w14:paraId="5E879160">
            <w:pPr>
              <w:pStyle w:val="58"/>
              <w:bidi w:val="0"/>
              <w:rPr>
                <w:rFonts w:hint="default"/>
                <w:highlight w:val="none"/>
                <w:lang w:val="en-US" w:eastAsia="zh-CN"/>
              </w:rPr>
            </w:pPr>
            <w:r>
              <w:rPr>
                <w:rFonts w:hint="default"/>
                <w:highlight w:val="none"/>
                <w:lang w:val="en-US" w:eastAsia="zh-CN"/>
              </w:rPr>
              <w:t>0.400</w:t>
            </w:r>
          </w:p>
        </w:tc>
      </w:tr>
      <w:tr w14:paraId="03D0B6D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57EE66D4">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2DE435ED">
            <w:pPr>
              <w:pStyle w:val="58"/>
              <w:bidi w:val="0"/>
              <w:rPr>
                <w:rFonts w:hint="default"/>
                <w:highlight w:val="none"/>
                <w:lang w:val="en-US" w:eastAsia="zh-CN"/>
              </w:rPr>
            </w:pPr>
            <w:r>
              <w:rPr>
                <w:rFonts w:hint="default"/>
                <w:highlight w:val="none"/>
                <w:lang w:val="en-US" w:eastAsia="zh-CN"/>
              </w:rPr>
              <w:t>硫酸盐</w:t>
            </w:r>
          </w:p>
        </w:tc>
        <w:tc>
          <w:tcPr>
            <w:tcW w:w="446" w:type="pct"/>
            <w:tcBorders>
              <w:tl2br w:val="nil"/>
              <w:tr2bl w:val="nil"/>
            </w:tcBorders>
            <w:shd w:val="clear" w:color="auto" w:fill="auto"/>
            <w:vAlign w:val="center"/>
          </w:tcPr>
          <w:p w14:paraId="10811B78">
            <w:pPr>
              <w:pStyle w:val="58"/>
              <w:bidi w:val="0"/>
              <w:rPr>
                <w:rFonts w:hint="default"/>
                <w:highlight w:val="none"/>
                <w:lang w:val="en-US" w:eastAsia="zh-CN"/>
              </w:rPr>
            </w:pPr>
            <w:r>
              <w:rPr>
                <w:rFonts w:hint="default"/>
                <w:highlight w:val="none"/>
                <w:lang w:val="en-US" w:eastAsia="zh-CN"/>
              </w:rPr>
              <w:t>1.684</w:t>
            </w:r>
          </w:p>
        </w:tc>
        <w:tc>
          <w:tcPr>
            <w:tcW w:w="490" w:type="pct"/>
            <w:tcBorders>
              <w:tl2br w:val="nil"/>
              <w:tr2bl w:val="nil"/>
            </w:tcBorders>
            <w:shd w:val="clear" w:color="auto" w:fill="auto"/>
            <w:vAlign w:val="center"/>
          </w:tcPr>
          <w:p w14:paraId="192CAD87">
            <w:pPr>
              <w:pStyle w:val="58"/>
              <w:bidi w:val="0"/>
              <w:rPr>
                <w:rFonts w:hint="default"/>
                <w:highlight w:val="none"/>
                <w:lang w:val="en-US" w:eastAsia="zh-CN"/>
              </w:rPr>
            </w:pPr>
            <w:r>
              <w:rPr>
                <w:rFonts w:hint="default"/>
                <w:highlight w:val="none"/>
                <w:lang w:val="en-US" w:eastAsia="zh-CN"/>
              </w:rPr>
              <w:t>1.800</w:t>
            </w:r>
          </w:p>
        </w:tc>
        <w:tc>
          <w:tcPr>
            <w:tcW w:w="475" w:type="pct"/>
            <w:tcBorders>
              <w:tl2br w:val="nil"/>
              <w:tr2bl w:val="nil"/>
            </w:tcBorders>
            <w:shd w:val="clear" w:color="auto" w:fill="auto"/>
            <w:vAlign w:val="center"/>
          </w:tcPr>
          <w:p w14:paraId="61522297">
            <w:pPr>
              <w:pStyle w:val="58"/>
              <w:bidi w:val="0"/>
              <w:rPr>
                <w:rFonts w:hint="default"/>
                <w:highlight w:val="none"/>
                <w:lang w:val="en-US" w:eastAsia="zh-CN"/>
              </w:rPr>
            </w:pPr>
            <w:r>
              <w:rPr>
                <w:rFonts w:hint="default"/>
                <w:highlight w:val="none"/>
                <w:lang w:val="en-US" w:eastAsia="zh-CN"/>
              </w:rPr>
              <w:t>1.632</w:t>
            </w:r>
          </w:p>
        </w:tc>
        <w:tc>
          <w:tcPr>
            <w:tcW w:w="378" w:type="pct"/>
            <w:tcBorders>
              <w:tl2br w:val="nil"/>
              <w:tr2bl w:val="nil"/>
            </w:tcBorders>
            <w:shd w:val="clear" w:color="auto" w:fill="auto"/>
            <w:vAlign w:val="center"/>
          </w:tcPr>
          <w:p w14:paraId="3165A739">
            <w:pPr>
              <w:pStyle w:val="58"/>
              <w:bidi w:val="0"/>
              <w:rPr>
                <w:rFonts w:hint="default"/>
                <w:highlight w:val="none"/>
                <w:lang w:val="en-US" w:eastAsia="zh-CN"/>
              </w:rPr>
            </w:pPr>
            <w:r>
              <w:rPr>
                <w:rFonts w:hint="default"/>
                <w:highlight w:val="none"/>
                <w:lang w:val="en-US" w:eastAsia="zh-CN"/>
              </w:rPr>
              <w:t>1.564</w:t>
            </w:r>
          </w:p>
        </w:tc>
        <w:tc>
          <w:tcPr>
            <w:tcW w:w="430" w:type="pct"/>
            <w:tcBorders>
              <w:tl2br w:val="nil"/>
              <w:tr2bl w:val="nil"/>
            </w:tcBorders>
            <w:shd w:val="clear" w:color="auto" w:fill="auto"/>
            <w:vAlign w:val="center"/>
          </w:tcPr>
          <w:p w14:paraId="0DDDD4EF">
            <w:pPr>
              <w:pStyle w:val="58"/>
              <w:bidi w:val="0"/>
              <w:rPr>
                <w:rFonts w:hint="default"/>
                <w:highlight w:val="none"/>
                <w:lang w:val="en-US" w:eastAsia="zh-CN"/>
              </w:rPr>
            </w:pPr>
            <w:r>
              <w:rPr>
                <w:rFonts w:hint="default"/>
                <w:highlight w:val="none"/>
                <w:lang w:val="en-US" w:eastAsia="zh-CN"/>
              </w:rPr>
              <w:t>1.864</w:t>
            </w:r>
          </w:p>
        </w:tc>
        <w:tc>
          <w:tcPr>
            <w:tcW w:w="417" w:type="pct"/>
            <w:tcBorders>
              <w:tl2br w:val="nil"/>
              <w:tr2bl w:val="nil"/>
            </w:tcBorders>
            <w:shd w:val="clear" w:color="auto" w:fill="auto"/>
            <w:vAlign w:val="center"/>
          </w:tcPr>
          <w:p w14:paraId="26955F28">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0.980</w:t>
            </w:r>
          </w:p>
        </w:tc>
        <w:tc>
          <w:tcPr>
            <w:tcW w:w="529" w:type="pct"/>
            <w:tcBorders>
              <w:tl2br w:val="nil"/>
              <w:tr2bl w:val="nil"/>
            </w:tcBorders>
            <w:shd w:val="clear" w:color="auto" w:fill="auto"/>
            <w:vAlign w:val="center"/>
          </w:tcPr>
          <w:p w14:paraId="7434EB6B">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2.288</w:t>
            </w:r>
          </w:p>
        </w:tc>
        <w:tc>
          <w:tcPr>
            <w:tcW w:w="430" w:type="pct"/>
            <w:tcBorders>
              <w:tl2br w:val="nil"/>
              <w:tr2bl w:val="nil"/>
            </w:tcBorders>
            <w:shd w:val="clear" w:color="auto" w:fill="auto"/>
            <w:vAlign w:val="center"/>
          </w:tcPr>
          <w:p w14:paraId="603AF539">
            <w:pPr>
              <w:pStyle w:val="58"/>
              <w:bidi w:val="0"/>
              <w:rPr>
                <w:rFonts w:hint="default"/>
                <w:highlight w:val="none"/>
                <w:lang w:val="en-US" w:eastAsia="zh-CN"/>
              </w:rPr>
            </w:pPr>
            <w:r>
              <w:rPr>
                <w:rFonts w:hint="default"/>
                <w:highlight w:val="none"/>
                <w:lang w:val="en-US" w:eastAsia="zh-CN"/>
              </w:rPr>
              <w:t>0.532</w:t>
            </w:r>
          </w:p>
        </w:tc>
        <w:tc>
          <w:tcPr>
            <w:tcW w:w="435" w:type="pct"/>
            <w:tcBorders>
              <w:tl2br w:val="nil"/>
              <w:tr2bl w:val="nil"/>
            </w:tcBorders>
            <w:shd w:val="clear" w:color="auto" w:fill="auto"/>
            <w:vAlign w:val="center"/>
          </w:tcPr>
          <w:p w14:paraId="6393DDF9">
            <w:pPr>
              <w:pStyle w:val="58"/>
              <w:bidi w:val="0"/>
              <w:rPr>
                <w:rFonts w:hint="default"/>
                <w:highlight w:val="none"/>
                <w:lang w:val="en-US" w:eastAsia="zh-CN"/>
              </w:rPr>
            </w:pPr>
            <w:r>
              <w:rPr>
                <w:rFonts w:hint="default"/>
                <w:highlight w:val="none"/>
                <w:lang w:val="en-US" w:eastAsia="zh-CN"/>
              </w:rPr>
              <w:t>0.324</w:t>
            </w:r>
          </w:p>
        </w:tc>
        <w:tc>
          <w:tcPr>
            <w:tcW w:w="477" w:type="pct"/>
            <w:tcBorders>
              <w:tl2br w:val="nil"/>
              <w:tr2bl w:val="nil"/>
            </w:tcBorders>
            <w:shd w:val="clear" w:color="auto" w:fill="auto"/>
            <w:vAlign w:val="center"/>
          </w:tcPr>
          <w:p w14:paraId="6011C04B">
            <w:pPr>
              <w:pStyle w:val="58"/>
              <w:bidi w:val="0"/>
              <w:rPr>
                <w:rFonts w:hint="default"/>
                <w:highlight w:val="none"/>
                <w:lang w:val="en-US" w:eastAsia="zh-CN"/>
              </w:rPr>
            </w:pPr>
            <w:r>
              <w:rPr>
                <w:rFonts w:hint="default"/>
                <w:highlight w:val="none"/>
                <w:lang w:val="en-US" w:eastAsia="zh-CN"/>
              </w:rPr>
              <w:t>0.400</w:t>
            </w:r>
          </w:p>
        </w:tc>
      </w:tr>
      <w:tr w14:paraId="48A477F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460F0D41">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1A60B72F">
            <w:pPr>
              <w:pStyle w:val="58"/>
              <w:bidi w:val="0"/>
              <w:rPr>
                <w:rFonts w:hint="default"/>
                <w:highlight w:val="none"/>
                <w:lang w:val="en-US" w:eastAsia="zh-CN"/>
              </w:rPr>
            </w:pPr>
            <w:r>
              <w:rPr>
                <w:rFonts w:hint="default"/>
                <w:highlight w:val="none"/>
                <w:lang w:val="en-US" w:eastAsia="zh-CN"/>
              </w:rPr>
              <w:t>硝酸盐氮</w:t>
            </w:r>
          </w:p>
        </w:tc>
        <w:tc>
          <w:tcPr>
            <w:tcW w:w="446" w:type="pct"/>
            <w:tcBorders>
              <w:tl2br w:val="nil"/>
              <w:tr2bl w:val="nil"/>
            </w:tcBorders>
            <w:shd w:val="clear" w:color="auto" w:fill="auto"/>
            <w:vAlign w:val="center"/>
          </w:tcPr>
          <w:p w14:paraId="0C2AA636">
            <w:pPr>
              <w:pStyle w:val="58"/>
              <w:bidi w:val="0"/>
              <w:rPr>
                <w:rFonts w:hint="default"/>
                <w:highlight w:val="none"/>
                <w:lang w:val="en-US" w:eastAsia="zh-CN"/>
              </w:rPr>
            </w:pPr>
            <w:r>
              <w:rPr>
                <w:rFonts w:hint="default"/>
                <w:highlight w:val="none"/>
                <w:lang w:val="en-US" w:eastAsia="zh-CN"/>
              </w:rPr>
              <w:t>0.070</w:t>
            </w:r>
          </w:p>
        </w:tc>
        <w:tc>
          <w:tcPr>
            <w:tcW w:w="490" w:type="pct"/>
            <w:tcBorders>
              <w:tl2br w:val="nil"/>
              <w:tr2bl w:val="nil"/>
            </w:tcBorders>
            <w:shd w:val="clear" w:color="auto" w:fill="auto"/>
            <w:vAlign w:val="center"/>
          </w:tcPr>
          <w:p w14:paraId="6B54676C">
            <w:pPr>
              <w:pStyle w:val="58"/>
              <w:bidi w:val="0"/>
              <w:rPr>
                <w:rFonts w:hint="default"/>
                <w:highlight w:val="none"/>
                <w:lang w:val="en-US" w:eastAsia="zh-CN"/>
              </w:rPr>
            </w:pPr>
            <w:r>
              <w:rPr>
                <w:rFonts w:hint="default"/>
                <w:highlight w:val="none"/>
                <w:lang w:val="en-US" w:eastAsia="zh-CN"/>
              </w:rPr>
              <w:t>0.070</w:t>
            </w:r>
          </w:p>
        </w:tc>
        <w:tc>
          <w:tcPr>
            <w:tcW w:w="475" w:type="pct"/>
            <w:tcBorders>
              <w:tl2br w:val="nil"/>
              <w:tr2bl w:val="nil"/>
            </w:tcBorders>
            <w:shd w:val="clear" w:color="auto" w:fill="auto"/>
            <w:vAlign w:val="center"/>
          </w:tcPr>
          <w:p w14:paraId="644CF862">
            <w:pPr>
              <w:pStyle w:val="58"/>
              <w:bidi w:val="0"/>
              <w:rPr>
                <w:rFonts w:hint="default"/>
                <w:highlight w:val="none"/>
                <w:lang w:val="en-US" w:eastAsia="zh-CN"/>
              </w:rPr>
            </w:pPr>
            <w:r>
              <w:rPr>
                <w:rFonts w:hint="default"/>
                <w:highlight w:val="none"/>
                <w:lang w:val="en-US" w:eastAsia="zh-CN"/>
              </w:rPr>
              <w:t>0.075</w:t>
            </w:r>
          </w:p>
        </w:tc>
        <w:tc>
          <w:tcPr>
            <w:tcW w:w="378" w:type="pct"/>
            <w:tcBorders>
              <w:tl2br w:val="nil"/>
              <w:tr2bl w:val="nil"/>
            </w:tcBorders>
            <w:shd w:val="clear" w:color="auto" w:fill="auto"/>
            <w:vAlign w:val="center"/>
          </w:tcPr>
          <w:p w14:paraId="62D13085">
            <w:pPr>
              <w:pStyle w:val="58"/>
              <w:bidi w:val="0"/>
              <w:rPr>
                <w:rFonts w:hint="default"/>
                <w:highlight w:val="none"/>
                <w:lang w:val="en-US" w:eastAsia="zh-CN"/>
              </w:rPr>
            </w:pPr>
            <w:r>
              <w:rPr>
                <w:rFonts w:hint="default"/>
                <w:highlight w:val="none"/>
                <w:lang w:val="en-US" w:eastAsia="zh-CN"/>
              </w:rPr>
              <w:t>0.070</w:t>
            </w:r>
          </w:p>
        </w:tc>
        <w:tc>
          <w:tcPr>
            <w:tcW w:w="430" w:type="pct"/>
            <w:tcBorders>
              <w:tl2br w:val="nil"/>
              <w:tr2bl w:val="nil"/>
            </w:tcBorders>
            <w:shd w:val="clear" w:color="auto" w:fill="auto"/>
            <w:vAlign w:val="center"/>
          </w:tcPr>
          <w:p w14:paraId="1C0EE9A9">
            <w:pPr>
              <w:pStyle w:val="58"/>
              <w:bidi w:val="0"/>
              <w:rPr>
                <w:rFonts w:hint="default"/>
                <w:highlight w:val="none"/>
                <w:lang w:val="en-US" w:eastAsia="zh-CN"/>
              </w:rPr>
            </w:pPr>
            <w:r>
              <w:rPr>
                <w:rFonts w:hint="default"/>
                <w:highlight w:val="none"/>
                <w:lang w:val="en-US" w:eastAsia="zh-CN"/>
              </w:rPr>
              <w:t>0.075</w:t>
            </w:r>
          </w:p>
        </w:tc>
        <w:tc>
          <w:tcPr>
            <w:tcW w:w="417" w:type="pct"/>
            <w:tcBorders>
              <w:tl2br w:val="nil"/>
              <w:tr2bl w:val="nil"/>
            </w:tcBorders>
            <w:shd w:val="clear" w:color="auto" w:fill="auto"/>
            <w:vAlign w:val="center"/>
          </w:tcPr>
          <w:p w14:paraId="3F63E186">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0.039</w:t>
            </w:r>
          </w:p>
        </w:tc>
        <w:tc>
          <w:tcPr>
            <w:tcW w:w="529" w:type="pct"/>
            <w:tcBorders>
              <w:tl2br w:val="nil"/>
              <w:tr2bl w:val="nil"/>
            </w:tcBorders>
            <w:shd w:val="clear" w:color="auto" w:fill="auto"/>
            <w:vAlign w:val="center"/>
          </w:tcPr>
          <w:p w14:paraId="5891FF28">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0.143</w:t>
            </w:r>
          </w:p>
        </w:tc>
        <w:tc>
          <w:tcPr>
            <w:tcW w:w="430" w:type="pct"/>
            <w:tcBorders>
              <w:tl2br w:val="nil"/>
              <w:tr2bl w:val="nil"/>
            </w:tcBorders>
            <w:shd w:val="clear" w:color="auto" w:fill="auto"/>
            <w:vAlign w:val="center"/>
          </w:tcPr>
          <w:p w14:paraId="634A6BE2">
            <w:pPr>
              <w:pStyle w:val="58"/>
              <w:bidi w:val="0"/>
              <w:rPr>
                <w:rFonts w:hint="default"/>
                <w:highlight w:val="none"/>
                <w:lang w:val="en-US" w:eastAsia="zh-CN"/>
              </w:rPr>
            </w:pPr>
            <w:r>
              <w:rPr>
                <w:rFonts w:hint="default"/>
                <w:highlight w:val="none"/>
                <w:lang w:val="en-US" w:eastAsia="zh-CN"/>
              </w:rPr>
              <w:t>0.035</w:t>
            </w:r>
          </w:p>
        </w:tc>
        <w:tc>
          <w:tcPr>
            <w:tcW w:w="435" w:type="pct"/>
            <w:tcBorders>
              <w:tl2br w:val="nil"/>
              <w:tr2bl w:val="nil"/>
            </w:tcBorders>
            <w:shd w:val="clear" w:color="auto" w:fill="auto"/>
            <w:vAlign w:val="center"/>
          </w:tcPr>
          <w:p w14:paraId="10E1DEA8">
            <w:pPr>
              <w:pStyle w:val="58"/>
              <w:bidi w:val="0"/>
              <w:rPr>
                <w:rFonts w:hint="default"/>
                <w:highlight w:val="none"/>
                <w:lang w:val="en-US" w:eastAsia="zh-CN"/>
              </w:rPr>
            </w:pPr>
            <w:r>
              <w:rPr>
                <w:rFonts w:hint="default"/>
                <w:highlight w:val="none"/>
                <w:lang w:val="en-US" w:eastAsia="zh-CN"/>
              </w:rPr>
              <w:t>0.001</w:t>
            </w:r>
          </w:p>
        </w:tc>
        <w:tc>
          <w:tcPr>
            <w:tcW w:w="477" w:type="pct"/>
            <w:tcBorders>
              <w:tl2br w:val="nil"/>
              <w:tr2bl w:val="nil"/>
            </w:tcBorders>
            <w:shd w:val="clear" w:color="auto" w:fill="auto"/>
            <w:vAlign w:val="center"/>
          </w:tcPr>
          <w:p w14:paraId="12240C5B">
            <w:pPr>
              <w:pStyle w:val="58"/>
              <w:bidi w:val="0"/>
              <w:rPr>
                <w:rFonts w:hint="default"/>
                <w:highlight w:val="none"/>
                <w:lang w:val="en-US" w:eastAsia="zh-CN"/>
              </w:rPr>
            </w:pPr>
            <w:r>
              <w:rPr>
                <w:rFonts w:hint="default"/>
                <w:highlight w:val="none"/>
                <w:lang w:val="en-US" w:eastAsia="zh-CN"/>
              </w:rPr>
              <w:t>0.002</w:t>
            </w:r>
          </w:p>
        </w:tc>
      </w:tr>
      <w:tr w14:paraId="6BEDDEB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29ED273C">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722C3D55">
            <w:pPr>
              <w:pStyle w:val="58"/>
              <w:bidi w:val="0"/>
              <w:rPr>
                <w:rFonts w:hint="default"/>
                <w:highlight w:val="none"/>
                <w:lang w:val="en-US" w:eastAsia="zh-CN"/>
              </w:rPr>
            </w:pPr>
            <w:r>
              <w:rPr>
                <w:rFonts w:hint="default"/>
                <w:highlight w:val="none"/>
                <w:lang w:val="en-US" w:eastAsia="zh-CN"/>
              </w:rPr>
              <w:t>氨氮</w:t>
            </w:r>
          </w:p>
        </w:tc>
        <w:tc>
          <w:tcPr>
            <w:tcW w:w="446" w:type="pct"/>
            <w:tcBorders>
              <w:tl2br w:val="nil"/>
              <w:tr2bl w:val="nil"/>
            </w:tcBorders>
            <w:shd w:val="clear" w:color="auto" w:fill="auto"/>
            <w:vAlign w:val="center"/>
          </w:tcPr>
          <w:p w14:paraId="412CE8A1">
            <w:pPr>
              <w:pStyle w:val="58"/>
              <w:bidi w:val="0"/>
              <w:rPr>
                <w:rFonts w:hint="default"/>
                <w:highlight w:val="none"/>
                <w:lang w:val="en-US" w:eastAsia="zh-CN"/>
              </w:rPr>
            </w:pPr>
            <w:r>
              <w:rPr>
                <w:rFonts w:hint="default"/>
                <w:highlight w:val="none"/>
                <w:lang w:val="en-US" w:eastAsia="zh-CN"/>
              </w:rPr>
              <w:t>0.864</w:t>
            </w:r>
          </w:p>
        </w:tc>
        <w:tc>
          <w:tcPr>
            <w:tcW w:w="490" w:type="pct"/>
            <w:tcBorders>
              <w:tl2br w:val="nil"/>
              <w:tr2bl w:val="nil"/>
            </w:tcBorders>
            <w:shd w:val="clear" w:color="auto" w:fill="auto"/>
            <w:vAlign w:val="center"/>
          </w:tcPr>
          <w:p w14:paraId="21654350">
            <w:pPr>
              <w:pStyle w:val="58"/>
              <w:bidi w:val="0"/>
              <w:rPr>
                <w:rFonts w:hint="default"/>
                <w:highlight w:val="none"/>
                <w:lang w:val="en-US" w:eastAsia="zh-CN"/>
              </w:rPr>
            </w:pPr>
            <w:r>
              <w:rPr>
                <w:rFonts w:hint="default"/>
                <w:highlight w:val="none"/>
                <w:lang w:val="en-US" w:eastAsia="zh-CN"/>
              </w:rPr>
              <w:t>0.886</w:t>
            </w:r>
          </w:p>
        </w:tc>
        <w:tc>
          <w:tcPr>
            <w:tcW w:w="475" w:type="pct"/>
            <w:tcBorders>
              <w:tl2br w:val="nil"/>
              <w:tr2bl w:val="nil"/>
            </w:tcBorders>
            <w:shd w:val="clear" w:color="auto" w:fill="auto"/>
            <w:vAlign w:val="center"/>
          </w:tcPr>
          <w:p w14:paraId="1A1D391F">
            <w:pPr>
              <w:pStyle w:val="58"/>
              <w:bidi w:val="0"/>
              <w:rPr>
                <w:rFonts w:hint="default"/>
                <w:highlight w:val="none"/>
                <w:lang w:val="en-US" w:eastAsia="zh-CN"/>
              </w:rPr>
            </w:pPr>
            <w:r>
              <w:rPr>
                <w:rFonts w:hint="default"/>
                <w:highlight w:val="none"/>
                <w:lang w:val="en-US" w:eastAsia="zh-CN"/>
              </w:rPr>
              <w:t>0.902</w:t>
            </w:r>
          </w:p>
        </w:tc>
        <w:tc>
          <w:tcPr>
            <w:tcW w:w="378" w:type="pct"/>
            <w:tcBorders>
              <w:tl2br w:val="nil"/>
              <w:tr2bl w:val="nil"/>
            </w:tcBorders>
            <w:shd w:val="clear" w:color="auto" w:fill="auto"/>
            <w:vAlign w:val="center"/>
          </w:tcPr>
          <w:p w14:paraId="56600074">
            <w:pPr>
              <w:pStyle w:val="58"/>
              <w:bidi w:val="0"/>
              <w:rPr>
                <w:rFonts w:hint="default"/>
                <w:highlight w:val="none"/>
                <w:lang w:val="en-US" w:eastAsia="zh-CN"/>
              </w:rPr>
            </w:pPr>
            <w:r>
              <w:rPr>
                <w:rFonts w:hint="default"/>
                <w:highlight w:val="none"/>
                <w:lang w:val="en-US" w:eastAsia="zh-CN"/>
              </w:rPr>
              <w:t>0.826</w:t>
            </w:r>
          </w:p>
        </w:tc>
        <w:tc>
          <w:tcPr>
            <w:tcW w:w="430" w:type="pct"/>
            <w:tcBorders>
              <w:tl2br w:val="nil"/>
              <w:tr2bl w:val="nil"/>
            </w:tcBorders>
            <w:shd w:val="clear" w:color="auto" w:fill="auto"/>
            <w:vAlign w:val="center"/>
          </w:tcPr>
          <w:p w14:paraId="2AC3AE41">
            <w:pPr>
              <w:pStyle w:val="58"/>
              <w:bidi w:val="0"/>
              <w:rPr>
                <w:rFonts w:hint="default"/>
                <w:highlight w:val="none"/>
                <w:lang w:val="en-US" w:eastAsia="zh-CN"/>
              </w:rPr>
            </w:pPr>
            <w:r>
              <w:rPr>
                <w:rFonts w:hint="default"/>
                <w:highlight w:val="none"/>
                <w:lang w:val="en-US" w:eastAsia="zh-CN"/>
              </w:rPr>
              <w:t>0.848</w:t>
            </w:r>
          </w:p>
        </w:tc>
        <w:tc>
          <w:tcPr>
            <w:tcW w:w="417" w:type="pct"/>
            <w:tcBorders>
              <w:tl2br w:val="nil"/>
              <w:tr2bl w:val="nil"/>
            </w:tcBorders>
            <w:shd w:val="clear" w:color="auto" w:fill="auto"/>
            <w:vAlign w:val="center"/>
          </w:tcPr>
          <w:p w14:paraId="5BA9E8F3">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0.960</w:t>
            </w:r>
          </w:p>
        </w:tc>
        <w:tc>
          <w:tcPr>
            <w:tcW w:w="529" w:type="pct"/>
            <w:tcBorders>
              <w:tl2br w:val="nil"/>
              <w:tr2bl w:val="nil"/>
            </w:tcBorders>
            <w:shd w:val="clear" w:color="auto" w:fill="auto"/>
            <w:vAlign w:val="center"/>
          </w:tcPr>
          <w:p w14:paraId="76C81B8D">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0.818</w:t>
            </w:r>
          </w:p>
        </w:tc>
        <w:tc>
          <w:tcPr>
            <w:tcW w:w="430" w:type="pct"/>
            <w:tcBorders>
              <w:tl2br w:val="nil"/>
              <w:tr2bl w:val="nil"/>
            </w:tcBorders>
            <w:shd w:val="clear" w:color="auto" w:fill="auto"/>
            <w:vAlign w:val="center"/>
          </w:tcPr>
          <w:p w14:paraId="0AC4CCCD">
            <w:pPr>
              <w:pStyle w:val="58"/>
              <w:bidi w:val="0"/>
              <w:rPr>
                <w:rFonts w:hint="default"/>
                <w:highlight w:val="none"/>
                <w:lang w:val="en-US" w:eastAsia="zh-CN"/>
              </w:rPr>
            </w:pPr>
            <w:r>
              <w:rPr>
                <w:rFonts w:hint="default"/>
                <w:highlight w:val="none"/>
                <w:lang w:val="en-US" w:eastAsia="zh-CN"/>
              </w:rPr>
              <w:t>0.320</w:t>
            </w:r>
          </w:p>
        </w:tc>
        <w:tc>
          <w:tcPr>
            <w:tcW w:w="435" w:type="pct"/>
            <w:tcBorders>
              <w:tl2br w:val="nil"/>
              <w:tr2bl w:val="nil"/>
            </w:tcBorders>
            <w:shd w:val="clear" w:color="auto" w:fill="auto"/>
            <w:vAlign w:val="center"/>
          </w:tcPr>
          <w:p w14:paraId="01FE8A10">
            <w:pPr>
              <w:pStyle w:val="58"/>
              <w:bidi w:val="0"/>
              <w:rPr>
                <w:rFonts w:hint="default"/>
                <w:highlight w:val="none"/>
                <w:lang w:val="en-US" w:eastAsia="zh-CN"/>
              </w:rPr>
            </w:pPr>
            <w:r>
              <w:rPr>
                <w:rFonts w:hint="default"/>
                <w:highlight w:val="none"/>
                <w:lang w:val="en-US" w:eastAsia="zh-CN"/>
              </w:rPr>
              <w:t>0.408</w:t>
            </w:r>
          </w:p>
        </w:tc>
        <w:tc>
          <w:tcPr>
            <w:tcW w:w="477" w:type="pct"/>
            <w:tcBorders>
              <w:tl2br w:val="nil"/>
              <w:tr2bl w:val="nil"/>
            </w:tcBorders>
            <w:shd w:val="clear" w:color="auto" w:fill="auto"/>
            <w:vAlign w:val="center"/>
          </w:tcPr>
          <w:p w14:paraId="28E167E9">
            <w:pPr>
              <w:pStyle w:val="58"/>
              <w:bidi w:val="0"/>
              <w:rPr>
                <w:rFonts w:hint="default"/>
                <w:highlight w:val="none"/>
                <w:lang w:val="en-US" w:eastAsia="zh-CN"/>
              </w:rPr>
            </w:pPr>
            <w:r>
              <w:rPr>
                <w:rFonts w:hint="default"/>
                <w:highlight w:val="none"/>
                <w:lang w:val="en-US" w:eastAsia="zh-CN"/>
              </w:rPr>
              <w:t>0.548</w:t>
            </w:r>
          </w:p>
        </w:tc>
      </w:tr>
      <w:tr w14:paraId="2907881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22745F4A">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7D873262">
            <w:pPr>
              <w:pStyle w:val="58"/>
              <w:bidi w:val="0"/>
              <w:rPr>
                <w:rFonts w:hint="default"/>
                <w:highlight w:val="none"/>
                <w:lang w:val="en-US" w:eastAsia="zh-CN"/>
              </w:rPr>
            </w:pPr>
            <w:r>
              <w:rPr>
                <w:rFonts w:hint="default"/>
                <w:highlight w:val="none"/>
                <w:lang w:val="en-US" w:eastAsia="zh-CN"/>
              </w:rPr>
              <w:t>亚硝酸盐氮</w:t>
            </w:r>
          </w:p>
        </w:tc>
        <w:tc>
          <w:tcPr>
            <w:tcW w:w="446" w:type="pct"/>
            <w:tcBorders>
              <w:tl2br w:val="nil"/>
              <w:tr2bl w:val="nil"/>
            </w:tcBorders>
            <w:shd w:val="clear" w:color="auto" w:fill="auto"/>
            <w:vAlign w:val="center"/>
          </w:tcPr>
          <w:p w14:paraId="0323C89F">
            <w:pPr>
              <w:pStyle w:val="58"/>
              <w:bidi w:val="0"/>
              <w:rPr>
                <w:rFonts w:hint="default"/>
                <w:highlight w:val="none"/>
                <w:lang w:val="en-US" w:eastAsia="zh-CN"/>
              </w:rPr>
            </w:pPr>
            <w:r>
              <w:rPr>
                <w:rFonts w:hint="default"/>
                <w:highlight w:val="none"/>
                <w:lang w:val="en-US" w:eastAsia="zh-CN"/>
              </w:rPr>
              <w:t>0.017</w:t>
            </w:r>
          </w:p>
        </w:tc>
        <w:tc>
          <w:tcPr>
            <w:tcW w:w="490" w:type="pct"/>
            <w:tcBorders>
              <w:tl2br w:val="nil"/>
              <w:tr2bl w:val="nil"/>
            </w:tcBorders>
            <w:shd w:val="clear" w:color="auto" w:fill="auto"/>
            <w:vAlign w:val="center"/>
          </w:tcPr>
          <w:p w14:paraId="5074B8EA">
            <w:pPr>
              <w:pStyle w:val="58"/>
              <w:bidi w:val="0"/>
              <w:rPr>
                <w:rFonts w:hint="default"/>
                <w:highlight w:val="none"/>
                <w:lang w:val="en-US" w:eastAsia="zh-CN"/>
              </w:rPr>
            </w:pPr>
            <w:r>
              <w:rPr>
                <w:rFonts w:hint="default"/>
                <w:highlight w:val="none"/>
                <w:lang w:val="en-US" w:eastAsia="zh-CN"/>
              </w:rPr>
              <w:t>0.017</w:t>
            </w:r>
          </w:p>
        </w:tc>
        <w:tc>
          <w:tcPr>
            <w:tcW w:w="475" w:type="pct"/>
            <w:tcBorders>
              <w:tl2br w:val="nil"/>
              <w:tr2bl w:val="nil"/>
            </w:tcBorders>
            <w:shd w:val="clear" w:color="auto" w:fill="auto"/>
            <w:vAlign w:val="center"/>
          </w:tcPr>
          <w:p w14:paraId="1E81D563">
            <w:pPr>
              <w:pStyle w:val="58"/>
              <w:bidi w:val="0"/>
              <w:rPr>
                <w:rFonts w:hint="default"/>
                <w:highlight w:val="none"/>
                <w:lang w:val="en-US" w:eastAsia="zh-CN"/>
              </w:rPr>
            </w:pPr>
            <w:r>
              <w:rPr>
                <w:rFonts w:hint="default"/>
                <w:highlight w:val="none"/>
                <w:lang w:val="en-US" w:eastAsia="zh-CN"/>
              </w:rPr>
              <w:t>0.016</w:t>
            </w:r>
          </w:p>
        </w:tc>
        <w:tc>
          <w:tcPr>
            <w:tcW w:w="378" w:type="pct"/>
            <w:tcBorders>
              <w:tl2br w:val="nil"/>
              <w:tr2bl w:val="nil"/>
            </w:tcBorders>
            <w:shd w:val="clear" w:color="auto" w:fill="auto"/>
            <w:vAlign w:val="center"/>
          </w:tcPr>
          <w:p w14:paraId="1EC9FBF3">
            <w:pPr>
              <w:pStyle w:val="58"/>
              <w:bidi w:val="0"/>
              <w:rPr>
                <w:rFonts w:hint="default"/>
                <w:highlight w:val="none"/>
                <w:lang w:val="en-US" w:eastAsia="zh-CN"/>
              </w:rPr>
            </w:pPr>
            <w:r>
              <w:rPr>
                <w:rFonts w:hint="default"/>
                <w:highlight w:val="none"/>
                <w:lang w:val="en-US" w:eastAsia="zh-CN"/>
              </w:rPr>
              <w:t>0.018</w:t>
            </w:r>
          </w:p>
        </w:tc>
        <w:tc>
          <w:tcPr>
            <w:tcW w:w="430" w:type="pct"/>
            <w:tcBorders>
              <w:tl2br w:val="nil"/>
              <w:tr2bl w:val="nil"/>
            </w:tcBorders>
            <w:shd w:val="clear" w:color="auto" w:fill="auto"/>
            <w:vAlign w:val="center"/>
          </w:tcPr>
          <w:p w14:paraId="0DF04DE6">
            <w:pPr>
              <w:pStyle w:val="58"/>
              <w:bidi w:val="0"/>
              <w:rPr>
                <w:rFonts w:hint="default"/>
                <w:highlight w:val="none"/>
                <w:lang w:val="en-US" w:eastAsia="zh-CN"/>
              </w:rPr>
            </w:pPr>
            <w:r>
              <w:rPr>
                <w:rFonts w:hint="default"/>
                <w:highlight w:val="none"/>
                <w:lang w:val="en-US" w:eastAsia="zh-CN"/>
              </w:rPr>
              <w:t>0.014</w:t>
            </w:r>
          </w:p>
        </w:tc>
        <w:tc>
          <w:tcPr>
            <w:tcW w:w="417" w:type="pct"/>
            <w:tcBorders>
              <w:tl2br w:val="nil"/>
              <w:tr2bl w:val="nil"/>
            </w:tcBorders>
            <w:shd w:val="clear" w:color="auto" w:fill="auto"/>
            <w:vAlign w:val="center"/>
          </w:tcPr>
          <w:p w14:paraId="630B58EE">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未检出</w:t>
            </w:r>
          </w:p>
        </w:tc>
        <w:tc>
          <w:tcPr>
            <w:tcW w:w="529" w:type="pct"/>
            <w:tcBorders>
              <w:tl2br w:val="nil"/>
              <w:tr2bl w:val="nil"/>
            </w:tcBorders>
            <w:shd w:val="clear" w:color="auto" w:fill="auto"/>
            <w:vAlign w:val="center"/>
          </w:tcPr>
          <w:p w14:paraId="12508E8B">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0.048</w:t>
            </w:r>
          </w:p>
        </w:tc>
        <w:tc>
          <w:tcPr>
            <w:tcW w:w="430" w:type="pct"/>
            <w:tcBorders>
              <w:tl2br w:val="nil"/>
              <w:tr2bl w:val="nil"/>
            </w:tcBorders>
            <w:shd w:val="clear" w:color="auto" w:fill="auto"/>
            <w:vAlign w:val="center"/>
          </w:tcPr>
          <w:p w14:paraId="44F3450D">
            <w:pPr>
              <w:pStyle w:val="58"/>
              <w:bidi w:val="0"/>
              <w:rPr>
                <w:rFonts w:hint="default"/>
                <w:highlight w:val="none"/>
                <w:lang w:val="en-US" w:eastAsia="zh-CN"/>
              </w:rPr>
            </w:pPr>
            <w:r>
              <w:rPr>
                <w:rFonts w:hint="default"/>
                <w:highlight w:val="none"/>
                <w:lang w:val="en-US" w:eastAsia="zh-CN"/>
              </w:rPr>
              <w:t>0.015</w:t>
            </w:r>
          </w:p>
        </w:tc>
        <w:tc>
          <w:tcPr>
            <w:tcW w:w="435" w:type="pct"/>
            <w:tcBorders>
              <w:tl2br w:val="nil"/>
              <w:tr2bl w:val="nil"/>
            </w:tcBorders>
            <w:shd w:val="clear" w:color="auto" w:fill="auto"/>
            <w:vAlign w:val="center"/>
          </w:tcPr>
          <w:p w14:paraId="5F23DE8A">
            <w:pPr>
              <w:pStyle w:val="58"/>
              <w:bidi w:val="0"/>
              <w:rPr>
                <w:rFonts w:hint="default"/>
                <w:highlight w:val="none"/>
                <w:lang w:val="en-US" w:eastAsia="zh-CN"/>
              </w:rPr>
            </w:pPr>
            <w:r>
              <w:rPr>
                <w:rFonts w:hint="default"/>
                <w:highlight w:val="none"/>
                <w:lang w:val="en-US" w:eastAsia="zh-CN"/>
              </w:rPr>
              <w:t>0.012</w:t>
            </w:r>
          </w:p>
        </w:tc>
        <w:tc>
          <w:tcPr>
            <w:tcW w:w="477" w:type="pct"/>
            <w:tcBorders>
              <w:tl2br w:val="nil"/>
              <w:tr2bl w:val="nil"/>
            </w:tcBorders>
            <w:shd w:val="clear" w:color="auto" w:fill="auto"/>
            <w:vAlign w:val="center"/>
          </w:tcPr>
          <w:p w14:paraId="103CCBD4">
            <w:pPr>
              <w:pStyle w:val="58"/>
              <w:bidi w:val="0"/>
              <w:rPr>
                <w:rFonts w:hint="default"/>
                <w:highlight w:val="none"/>
                <w:lang w:val="en-US" w:eastAsia="zh-CN"/>
              </w:rPr>
            </w:pPr>
            <w:r>
              <w:rPr>
                <w:rFonts w:hint="default"/>
                <w:highlight w:val="none"/>
                <w:lang w:val="en-US" w:eastAsia="zh-CN"/>
              </w:rPr>
              <w:t>0.016</w:t>
            </w:r>
          </w:p>
        </w:tc>
      </w:tr>
      <w:tr w14:paraId="7C4FE53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66B364A5">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6005E8A9">
            <w:pPr>
              <w:pStyle w:val="58"/>
              <w:bidi w:val="0"/>
              <w:rPr>
                <w:rFonts w:hint="default"/>
                <w:highlight w:val="none"/>
                <w:lang w:val="en-US" w:eastAsia="zh-CN"/>
              </w:rPr>
            </w:pPr>
            <w:r>
              <w:rPr>
                <w:rFonts w:hint="default"/>
                <w:highlight w:val="none"/>
                <w:lang w:val="en-US" w:eastAsia="zh-CN"/>
              </w:rPr>
              <w:t>挥发酚类</w:t>
            </w:r>
          </w:p>
          <w:p w14:paraId="030D1B1B">
            <w:pPr>
              <w:pStyle w:val="58"/>
              <w:bidi w:val="0"/>
              <w:rPr>
                <w:rFonts w:hint="default"/>
                <w:highlight w:val="none"/>
                <w:lang w:val="en-US" w:eastAsia="zh-CN"/>
              </w:rPr>
            </w:pPr>
            <w:r>
              <w:rPr>
                <w:rFonts w:hint="default"/>
                <w:highlight w:val="none"/>
                <w:lang w:val="en-US" w:eastAsia="zh-CN"/>
              </w:rPr>
              <w:t>(以苯酚计)</w:t>
            </w:r>
          </w:p>
        </w:tc>
        <w:tc>
          <w:tcPr>
            <w:tcW w:w="446" w:type="pct"/>
            <w:tcBorders>
              <w:tl2br w:val="nil"/>
              <w:tr2bl w:val="nil"/>
            </w:tcBorders>
            <w:shd w:val="clear" w:color="auto" w:fill="auto"/>
            <w:vAlign w:val="center"/>
          </w:tcPr>
          <w:p w14:paraId="24999F61">
            <w:pPr>
              <w:pStyle w:val="58"/>
              <w:bidi w:val="0"/>
              <w:rPr>
                <w:rFonts w:hint="default"/>
                <w:highlight w:val="none"/>
                <w:lang w:val="en-US" w:eastAsia="zh-CN"/>
              </w:rPr>
            </w:pPr>
            <w:r>
              <w:rPr>
                <w:rFonts w:hint="default"/>
                <w:highlight w:val="none"/>
                <w:lang w:val="en-US" w:eastAsia="zh-CN"/>
              </w:rPr>
              <w:t>0.800</w:t>
            </w:r>
          </w:p>
        </w:tc>
        <w:tc>
          <w:tcPr>
            <w:tcW w:w="490" w:type="pct"/>
            <w:tcBorders>
              <w:tl2br w:val="nil"/>
              <w:tr2bl w:val="nil"/>
            </w:tcBorders>
            <w:shd w:val="clear" w:color="auto" w:fill="auto"/>
            <w:vAlign w:val="center"/>
          </w:tcPr>
          <w:p w14:paraId="5737637F">
            <w:pPr>
              <w:pStyle w:val="58"/>
              <w:bidi w:val="0"/>
              <w:rPr>
                <w:rFonts w:hint="default"/>
                <w:highlight w:val="none"/>
                <w:lang w:val="en-US" w:eastAsia="zh-CN"/>
              </w:rPr>
            </w:pPr>
            <w:r>
              <w:rPr>
                <w:rFonts w:hint="default"/>
                <w:highlight w:val="none"/>
                <w:lang w:val="en-US" w:eastAsia="zh-CN"/>
              </w:rPr>
              <w:t>0.800</w:t>
            </w:r>
          </w:p>
        </w:tc>
        <w:tc>
          <w:tcPr>
            <w:tcW w:w="475" w:type="pct"/>
            <w:tcBorders>
              <w:tl2br w:val="nil"/>
              <w:tr2bl w:val="nil"/>
            </w:tcBorders>
            <w:shd w:val="clear" w:color="auto" w:fill="auto"/>
            <w:vAlign w:val="center"/>
          </w:tcPr>
          <w:p w14:paraId="51F0BA72">
            <w:pPr>
              <w:pStyle w:val="58"/>
              <w:bidi w:val="0"/>
              <w:rPr>
                <w:rFonts w:hint="default"/>
                <w:highlight w:val="none"/>
                <w:lang w:val="en-US" w:eastAsia="zh-CN"/>
              </w:rPr>
            </w:pPr>
            <w:r>
              <w:rPr>
                <w:rFonts w:hint="default"/>
                <w:highlight w:val="none"/>
                <w:lang w:val="en-US" w:eastAsia="zh-CN"/>
              </w:rPr>
              <w:t>0.700</w:t>
            </w:r>
          </w:p>
        </w:tc>
        <w:tc>
          <w:tcPr>
            <w:tcW w:w="378" w:type="pct"/>
            <w:tcBorders>
              <w:tl2br w:val="nil"/>
              <w:tr2bl w:val="nil"/>
            </w:tcBorders>
            <w:shd w:val="clear" w:color="auto" w:fill="auto"/>
            <w:vAlign w:val="center"/>
          </w:tcPr>
          <w:p w14:paraId="3A283CA1">
            <w:pPr>
              <w:pStyle w:val="58"/>
              <w:bidi w:val="0"/>
              <w:rPr>
                <w:rFonts w:hint="default"/>
                <w:highlight w:val="none"/>
                <w:lang w:val="en-US" w:eastAsia="zh-CN"/>
              </w:rPr>
            </w:pPr>
            <w:r>
              <w:rPr>
                <w:rFonts w:hint="default"/>
                <w:highlight w:val="none"/>
                <w:lang w:val="en-US" w:eastAsia="zh-CN"/>
              </w:rPr>
              <w:t>0.750</w:t>
            </w:r>
          </w:p>
        </w:tc>
        <w:tc>
          <w:tcPr>
            <w:tcW w:w="430" w:type="pct"/>
            <w:tcBorders>
              <w:tl2br w:val="nil"/>
              <w:tr2bl w:val="nil"/>
            </w:tcBorders>
            <w:shd w:val="clear" w:color="auto" w:fill="auto"/>
            <w:vAlign w:val="center"/>
          </w:tcPr>
          <w:p w14:paraId="649D0F50">
            <w:pPr>
              <w:pStyle w:val="58"/>
              <w:bidi w:val="0"/>
              <w:rPr>
                <w:rFonts w:hint="default"/>
                <w:highlight w:val="none"/>
                <w:lang w:val="en-US" w:eastAsia="zh-CN"/>
              </w:rPr>
            </w:pPr>
            <w:r>
              <w:rPr>
                <w:rFonts w:hint="default"/>
                <w:highlight w:val="none"/>
                <w:lang w:val="en-US" w:eastAsia="zh-CN"/>
              </w:rPr>
              <w:t>0.700</w:t>
            </w:r>
          </w:p>
        </w:tc>
        <w:tc>
          <w:tcPr>
            <w:tcW w:w="417" w:type="pct"/>
            <w:tcBorders>
              <w:tl2br w:val="nil"/>
              <w:tr2bl w:val="nil"/>
            </w:tcBorders>
            <w:shd w:val="clear" w:color="auto" w:fill="auto"/>
            <w:vAlign w:val="center"/>
          </w:tcPr>
          <w:p w14:paraId="51D7E142">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0.900</w:t>
            </w:r>
          </w:p>
        </w:tc>
        <w:tc>
          <w:tcPr>
            <w:tcW w:w="529" w:type="pct"/>
            <w:tcBorders>
              <w:tl2br w:val="nil"/>
              <w:tr2bl w:val="nil"/>
            </w:tcBorders>
            <w:shd w:val="clear" w:color="auto" w:fill="auto"/>
            <w:vAlign w:val="center"/>
          </w:tcPr>
          <w:p w14:paraId="35C28084">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0.600</w:t>
            </w:r>
          </w:p>
        </w:tc>
        <w:tc>
          <w:tcPr>
            <w:tcW w:w="430" w:type="pct"/>
            <w:tcBorders>
              <w:tl2br w:val="nil"/>
              <w:tr2bl w:val="nil"/>
            </w:tcBorders>
            <w:shd w:val="clear" w:color="auto" w:fill="auto"/>
            <w:vAlign w:val="center"/>
          </w:tcPr>
          <w:p w14:paraId="0B49B127">
            <w:pPr>
              <w:pStyle w:val="58"/>
              <w:bidi w:val="0"/>
              <w:rPr>
                <w:rFonts w:hint="default"/>
                <w:highlight w:val="none"/>
                <w:lang w:val="en-US" w:eastAsia="zh-CN"/>
              </w:rPr>
            </w:pPr>
            <w:r>
              <w:rPr>
                <w:rFonts w:hint="default"/>
                <w:highlight w:val="none"/>
                <w:lang w:val="en-US" w:eastAsia="zh-CN"/>
              </w:rPr>
              <w:t>0.300</w:t>
            </w:r>
          </w:p>
        </w:tc>
        <w:tc>
          <w:tcPr>
            <w:tcW w:w="435" w:type="pct"/>
            <w:tcBorders>
              <w:tl2br w:val="nil"/>
              <w:tr2bl w:val="nil"/>
            </w:tcBorders>
            <w:shd w:val="clear" w:color="auto" w:fill="auto"/>
            <w:vAlign w:val="center"/>
          </w:tcPr>
          <w:p w14:paraId="694817B6">
            <w:pPr>
              <w:pStyle w:val="58"/>
              <w:bidi w:val="0"/>
              <w:rPr>
                <w:rFonts w:hint="default"/>
                <w:highlight w:val="none"/>
                <w:lang w:val="en-US" w:eastAsia="zh-CN"/>
              </w:rPr>
            </w:pPr>
            <w:r>
              <w:rPr>
                <w:rFonts w:hint="default"/>
                <w:highlight w:val="none"/>
                <w:lang w:val="en-US" w:eastAsia="zh-CN"/>
              </w:rPr>
              <w:t>0.550</w:t>
            </w:r>
          </w:p>
        </w:tc>
        <w:tc>
          <w:tcPr>
            <w:tcW w:w="477" w:type="pct"/>
            <w:tcBorders>
              <w:tl2br w:val="nil"/>
              <w:tr2bl w:val="nil"/>
            </w:tcBorders>
            <w:shd w:val="clear" w:color="auto" w:fill="auto"/>
            <w:vAlign w:val="center"/>
          </w:tcPr>
          <w:p w14:paraId="439A1463">
            <w:pPr>
              <w:pStyle w:val="58"/>
              <w:bidi w:val="0"/>
              <w:rPr>
                <w:rFonts w:hint="default"/>
                <w:highlight w:val="none"/>
                <w:lang w:val="en-US" w:eastAsia="zh-CN"/>
              </w:rPr>
            </w:pPr>
            <w:r>
              <w:rPr>
                <w:rFonts w:hint="default"/>
                <w:highlight w:val="none"/>
                <w:lang w:val="en-US" w:eastAsia="zh-CN"/>
              </w:rPr>
              <w:t>0.200</w:t>
            </w:r>
          </w:p>
        </w:tc>
      </w:tr>
      <w:tr w14:paraId="51C85CE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1501F822">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6A53A7F9">
            <w:pPr>
              <w:pStyle w:val="58"/>
              <w:bidi w:val="0"/>
              <w:rPr>
                <w:rFonts w:hint="default"/>
                <w:highlight w:val="none"/>
                <w:lang w:val="en-US" w:eastAsia="zh-CN"/>
              </w:rPr>
            </w:pPr>
            <w:r>
              <w:rPr>
                <w:rFonts w:hint="default"/>
                <w:highlight w:val="none"/>
                <w:lang w:val="en-US" w:eastAsia="zh-CN"/>
              </w:rPr>
              <w:t>氰化物</w:t>
            </w:r>
          </w:p>
          <w:p w14:paraId="012D7605">
            <w:pPr>
              <w:pStyle w:val="58"/>
              <w:bidi w:val="0"/>
              <w:rPr>
                <w:rFonts w:hint="default"/>
                <w:highlight w:val="none"/>
                <w:lang w:val="en-US" w:eastAsia="zh-CN"/>
              </w:rPr>
            </w:pPr>
            <w:r>
              <w:rPr>
                <w:rFonts w:hint="default"/>
                <w:highlight w:val="none"/>
                <w:lang w:val="en-US" w:eastAsia="zh-CN"/>
              </w:rPr>
              <w:t>（以CN-计）</w:t>
            </w:r>
          </w:p>
        </w:tc>
        <w:tc>
          <w:tcPr>
            <w:tcW w:w="446" w:type="pct"/>
            <w:tcBorders>
              <w:tl2br w:val="nil"/>
              <w:tr2bl w:val="nil"/>
            </w:tcBorders>
            <w:shd w:val="clear" w:color="auto" w:fill="auto"/>
            <w:vAlign w:val="center"/>
          </w:tcPr>
          <w:p w14:paraId="237BC693">
            <w:pPr>
              <w:pStyle w:val="58"/>
              <w:bidi w:val="0"/>
              <w:rPr>
                <w:rFonts w:hint="default"/>
                <w:highlight w:val="none"/>
                <w:lang w:val="en-US" w:eastAsia="zh-CN"/>
              </w:rPr>
            </w:pPr>
            <w:r>
              <w:rPr>
                <w:rFonts w:hint="default"/>
                <w:highlight w:val="none"/>
                <w:lang w:val="en-US" w:eastAsia="zh-CN"/>
              </w:rPr>
              <w:t>未检出</w:t>
            </w:r>
          </w:p>
        </w:tc>
        <w:tc>
          <w:tcPr>
            <w:tcW w:w="490" w:type="pct"/>
            <w:tcBorders>
              <w:tl2br w:val="nil"/>
              <w:tr2bl w:val="nil"/>
            </w:tcBorders>
            <w:shd w:val="clear" w:color="auto" w:fill="auto"/>
            <w:vAlign w:val="center"/>
          </w:tcPr>
          <w:p w14:paraId="6528F7EA">
            <w:pPr>
              <w:pStyle w:val="58"/>
              <w:bidi w:val="0"/>
              <w:rPr>
                <w:rFonts w:hint="default"/>
                <w:highlight w:val="none"/>
                <w:lang w:val="en-US" w:eastAsia="zh-CN"/>
              </w:rPr>
            </w:pPr>
            <w:r>
              <w:rPr>
                <w:rFonts w:hint="default"/>
                <w:highlight w:val="none"/>
                <w:lang w:val="en-US" w:eastAsia="zh-CN"/>
              </w:rPr>
              <w:t>未检出</w:t>
            </w:r>
          </w:p>
        </w:tc>
        <w:tc>
          <w:tcPr>
            <w:tcW w:w="475" w:type="pct"/>
            <w:tcBorders>
              <w:tl2br w:val="nil"/>
              <w:tr2bl w:val="nil"/>
            </w:tcBorders>
            <w:shd w:val="clear" w:color="auto" w:fill="auto"/>
            <w:vAlign w:val="center"/>
          </w:tcPr>
          <w:p w14:paraId="582C1123">
            <w:pPr>
              <w:pStyle w:val="58"/>
              <w:bidi w:val="0"/>
              <w:rPr>
                <w:rFonts w:hint="default"/>
                <w:highlight w:val="none"/>
                <w:lang w:val="en-US" w:eastAsia="zh-CN"/>
              </w:rPr>
            </w:pPr>
            <w:r>
              <w:rPr>
                <w:rFonts w:hint="default"/>
                <w:highlight w:val="none"/>
                <w:lang w:val="en-US" w:eastAsia="zh-CN"/>
              </w:rPr>
              <w:t>未检出</w:t>
            </w:r>
          </w:p>
        </w:tc>
        <w:tc>
          <w:tcPr>
            <w:tcW w:w="378" w:type="pct"/>
            <w:tcBorders>
              <w:tl2br w:val="nil"/>
              <w:tr2bl w:val="nil"/>
            </w:tcBorders>
            <w:shd w:val="clear" w:color="auto" w:fill="auto"/>
            <w:vAlign w:val="center"/>
          </w:tcPr>
          <w:p w14:paraId="4602BBE0">
            <w:pPr>
              <w:pStyle w:val="58"/>
              <w:bidi w:val="0"/>
              <w:rPr>
                <w:rFonts w:hint="default"/>
                <w:highlight w:val="none"/>
                <w:lang w:val="en-US" w:eastAsia="zh-CN"/>
              </w:rPr>
            </w:pPr>
            <w:r>
              <w:rPr>
                <w:rFonts w:hint="default"/>
                <w:highlight w:val="none"/>
                <w:lang w:val="en-US" w:eastAsia="zh-CN"/>
              </w:rPr>
              <w:t>未检出</w:t>
            </w:r>
          </w:p>
        </w:tc>
        <w:tc>
          <w:tcPr>
            <w:tcW w:w="430" w:type="pct"/>
            <w:tcBorders>
              <w:tl2br w:val="nil"/>
              <w:tr2bl w:val="nil"/>
            </w:tcBorders>
            <w:shd w:val="clear" w:color="auto" w:fill="auto"/>
            <w:vAlign w:val="center"/>
          </w:tcPr>
          <w:p w14:paraId="1467CE59">
            <w:pPr>
              <w:pStyle w:val="58"/>
              <w:bidi w:val="0"/>
              <w:rPr>
                <w:rFonts w:hint="default"/>
                <w:highlight w:val="none"/>
                <w:lang w:val="en-US" w:eastAsia="zh-CN"/>
              </w:rPr>
            </w:pPr>
            <w:r>
              <w:rPr>
                <w:rFonts w:hint="default"/>
                <w:highlight w:val="none"/>
                <w:lang w:val="en-US" w:eastAsia="zh-CN"/>
              </w:rPr>
              <w:t>未检出</w:t>
            </w:r>
          </w:p>
        </w:tc>
        <w:tc>
          <w:tcPr>
            <w:tcW w:w="417" w:type="pct"/>
            <w:tcBorders>
              <w:tl2br w:val="nil"/>
              <w:tr2bl w:val="nil"/>
            </w:tcBorders>
            <w:shd w:val="clear" w:color="auto" w:fill="auto"/>
            <w:vAlign w:val="center"/>
          </w:tcPr>
          <w:p w14:paraId="61A1166B">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未检出</w:t>
            </w:r>
          </w:p>
        </w:tc>
        <w:tc>
          <w:tcPr>
            <w:tcW w:w="529" w:type="pct"/>
            <w:tcBorders>
              <w:tl2br w:val="nil"/>
              <w:tr2bl w:val="nil"/>
            </w:tcBorders>
            <w:shd w:val="clear" w:color="auto" w:fill="auto"/>
            <w:vAlign w:val="center"/>
          </w:tcPr>
          <w:p w14:paraId="5E0AE811">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未检出</w:t>
            </w:r>
          </w:p>
        </w:tc>
        <w:tc>
          <w:tcPr>
            <w:tcW w:w="430" w:type="pct"/>
            <w:tcBorders>
              <w:tl2br w:val="nil"/>
              <w:tr2bl w:val="nil"/>
            </w:tcBorders>
            <w:shd w:val="clear" w:color="auto" w:fill="auto"/>
            <w:vAlign w:val="center"/>
          </w:tcPr>
          <w:p w14:paraId="3F711272">
            <w:pPr>
              <w:pStyle w:val="58"/>
              <w:bidi w:val="0"/>
              <w:rPr>
                <w:rFonts w:hint="default"/>
                <w:highlight w:val="none"/>
                <w:lang w:val="en-US" w:eastAsia="zh-CN"/>
              </w:rPr>
            </w:pPr>
            <w:r>
              <w:rPr>
                <w:rFonts w:hint="default"/>
                <w:highlight w:val="none"/>
                <w:lang w:val="en-US" w:eastAsia="zh-CN"/>
              </w:rPr>
              <w:t>未检出</w:t>
            </w:r>
          </w:p>
        </w:tc>
        <w:tc>
          <w:tcPr>
            <w:tcW w:w="435" w:type="pct"/>
            <w:tcBorders>
              <w:tl2br w:val="nil"/>
              <w:tr2bl w:val="nil"/>
            </w:tcBorders>
            <w:shd w:val="clear" w:color="auto" w:fill="auto"/>
            <w:vAlign w:val="center"/>
          </w:tcPr>
          <w:p w14:paraId="44723D99">
            <w:pPr>
              <w:pStyle w:val="58"/>
              <w:bidi w:val="0"/>
              <w:rPr>
                <w:rFonts w:hint="default"/>
                <w:highlight w:val="none"/>
                <w:lang w:val="en-US" w:eastAsia="zh-CN"/>
              </w:rPr>
            </w:pPr>
            <w:r>
              <w:rPr>
                <w:rFonts w:hint="default"/>
                <w:highlight w:val="none"/>
                <w:lang w:val="en-US" w:eastAsia="zh-CN"/>
              </w:rPr>
              <w:t>未检出</w:t>
            </w:r>
          </w:p>
        </w:tc>
        <w:tc>
          <w:tcPr>
            <w:tcW w:w="477" w:type="pct"/>
            <w:tcBorders>
              <w:tl2br w:val="nil"/>
              <w:tr2bl w:val="nil"/>
            </w:tcBorders>
            <w:shd w:val="clear" w:color="auto" w:fill="auto"/>
            <w:vAlign w:val="center"/>
          </w:tcPr>
          <w:p w14:paraId="120AD203">
            <w:pPr>
              <w:pStyle w:val="58"/>
              <w:bidi w:val="0"/>
              <w:rPr>
                <w:rFonts w:hint="default"/>
                <w:highlight w:val="none"/>
                <w:lang w:val="en-US" w:eastAsia="zh-CN"/>
              </w:rPr>
            </w:pPr>
            <w:r>
              <w:rPr>
                <w:rFonts w:hint="default"/>
                <w:highlight w:val="none"/>
                <w:lang w:val="en-US" w:eastAsia="zh-CN"/>
              </w:rPr>
              <w:t>未检出</w:t>
            </w:r>
          </w:p>
        </w:tc>
      </w:tr>
      <w:tr w14:paraId="0140474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40132981">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7DB696C0">
            <w:pPr>
              <w:pStyle w:val="58"/>
              <w:bidi w:val="0"/>
              <w:rPr>
                <w:rFonts w:hint="default"/>
                <w:highlight w:val="none"/>
                <w:lang w:val="en-US" w:eastAsia="zh-CN"/>
              </w:rPr>
            </w:pPr>
            <w:r>
              <w:rPr>
                <w:rFonts w:hint="default"/>
                <w:highlight w:val="none"/>
                <w:lang w:val="en-US" w:eastAsia="zh-CN"/>
              </w:rPr>
              <w:t>铬（六价）</w:t>
            </w:r>
          </w:p>
        </w:tc>
        <w:tc>
          <w:tcPr>
            <w:tcW w:w="446" w:type="pct"/>
            <w:tcBorders>
              <w:tl2br w:val="nil"/>
              <w:tr2bl w:val="nil"/>
            </w:tcBorders>
            <w:shd w:val="clear" w:color="auto" w:fill="auto"/>
            <w:vAlign w:val="center"/>
          </w:tcPr>
          <w:p w14:paraId="4B6C6023">
            <w:pPr>
              <w:pStyle w:val="58"/>
              <w:bidi w:val="0"/>
              <w:rPr>
                <w:rFonts w:hint="default"/>
                <w:highlight w:val="none"/>
                <w:lang w:val="en-US" w:eastAsia="zh-CN"/>
              </w:rPr>
            </w:pPr>
            <w:r>
              <w:rPr>
                <w:rFonts w:hint="default"/>
                <w:highlight w:val="none"/>
                <w:lang w:val="en-US" w:eastAsia="zh-CN"/>
              </w:rPr>
              <w:t>未检出</w:t>
            </w:r>
          </w:p>
        </w:tc>
        <w:tc>
          <w:tcPr>
            <w:tcW w:w="490" w:type="pct"/>
            <w:tcBorders>
              <w:tl2br w:val="nil"/>
              <w:tr2bl w:val="nil"/>
            </w:tcBorders>
            <w:shd w:val="clear" w:color="auto" w:fill="auto"/>
            <w:vAlign w:val="center"/>
          </w:tcPr>
          <w:p w14:paraId="5FE38006">
            <w:pPr>
              <w:pStyle w:val="58"/>
              <w:bidi w:val="0"/>
              <w:rPr>
                <w:rFonts w:hint="default"/>
                <w:highlight w:val="none"/>
                <w:lang w:val="en-US" w:eastAsia="zh-CN"/>
              </w:rPr>
            </w:pPr>
            <w:r>
              <w:rPr>
                <w:rFonts w:hint="default"/>
                <w:highlight w:val="none"/>
                <w:lang w:val="en-US" w:eastAsia="zh-CN"/>
              </w:rPr>
              <w:t>未检出</w:t>
            </w:r>
          </w:p>
        </w:tc>
        <w:tc>
          <w:tcPr>
            <w:tcW w:w="475" w:type="pct"/>
            <w:tcBorders>
              <w:tl2br w:val="nil"/>
              <w:tr2bl w:val="nil"/>
            </w:tcBorders>
            <w:shd w:val="clear" w:color="auto" w:fill="auto"/>
            <w:vAlign w:val="center"/>
          </w:tcPr>
          <w:p w14:paraId="513B54C5">
            <w:pPr>
              <w:pStyle w:val="58"/>
              <w:bidi w:val="0"/>
              <w:rPr>
                <w:rFonts w:hint="default"/>
                <w:highlight w:val="none"/>
                <w:lang w:val="en-US" w:eastAsia="zh-CN"/>
              </w:rPr>
            </w:pPr>
            <w:r>
              <w:rPr>
                <w:rFonts w:hint="default"/>
                <w:highlight w:val="none"/>
                <w:lang w:val="en-US" w:eastAsia="zh-CN"/>
              </w:rPr>
              <w:t>未检出</w:t>
            </w:r>
          </w:p>
        </w:tc>
        <w:tc>
          <w:tcPr>
            <w:tcW w:w="378" w:type="pct"/>
            <w:tcBorders>
              <w:tl2br w:val="nil"/>
              <w:tr2bl w:val="nil"/>
            </w:tcBorders>
            <w:shd w:val="clear" w:color="auto" w:fill="auto"/>
            <w:vAlign w:val="center"/>
          </w:tcPr>
          <w:p w14:paraId="7877F752">
            <w:pPr>
              <w:pStyle w:val="58"/>
              <w:bidi w:val="0"/>
              <w:rPr>
                <w:rFonts w:hint="default"/>
                <w:highlight w:val="none"/>
                <w:lang w:val="en-US" w:eastAsia="zh-CN"/>
              </w:rPr>
            </w:pPr>
            <w:r>
              <w:rPr>
                <w:rFonts w:hint="default"/>
                <w:highlight w:val="none"/>
                <w:lang w:val="en-US" w:eastAsia="zh-CN"/>
              </w:rPr>
              <w:t>未检出</w:t>
            </w:r>
          </w:p>
        </w:tc>
        <w:tc>
          <w:tcPr>
            <w:tcW w:w="430" w:type="pct"/>
            <w:tcBorders>
              <w:tl2br w:val="nil"/>
              <w:tr2bl w:val="nil"/>
            </w:tcBorders>
            <w:shd w:val="clear" w:color="auto" w:fill="auto"/>
            <w:vAlign w:val="center"/>
          </w:tcPr>
          <w:p w14:paraId="364D7DC2">
            <w:pPr>
              <w:pStyle w:val="58"/>
              <w:bidi w:val="0"/>
              <w:rPr>
                <w:rFonts w:hint="default"/>
                <w:highlight w:val="none"/>
                <w:lang w:val="en-US" w:eastAsia="zh-CN"/>
              </w:rPr>
            </w:pPr>
            <w:r>
              <w:rPr>
                <w:rFonts w:hint="default"/>
                <w:highlight w:val="none"/>
                <w:lang w:val="en-US" w:eastAsia="zh-CN"/>
              </w:rPr>
              <w:t>未检出</w:t>
            </w:r>
          </w:p>
        </w:tc>
        <w:tc>
          <w:tcPr>
            <w:tcW w:w="417" w:type="pct"/>
            <w:tcBorders>
              <w:tl2br w:val="nil"/>
              <w:tr2bl w:val="nil"/>
            </w:tcBorders>
            <w:shd w:val="clear" w:color="auto" w:fill="auto"/>
            <w:vAlign w:val="center"/>
          </w:tcPr>
          <w:p w14:paraId="4DB4647F">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未检出</w:t>
            </w:r>
          </w:p>
        </w:tc>
        <w:tc>
          <w:tcPr>
            <w:tcW w:w="529" w:type="pct"/>
            <w:tcBorders>
              <w:tl2br w:val="nil"/>
              <w:tr2bl w:val="nil"/>
            </w:tcBorders>
            <w:shd w:val="clear" w:color="auto" w:fill="auto"/>
            <w:vAlign w:val="center"/>
          </w:tcPr>
          <w:p w14:paraId="50F83CCF">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未检出</w:t>
            </w:r>
          </w:p>
        </w:tc>
        <w:tc>
          <w:tcPr>
            <w:tcW w:w="430" w:type="pct"/>
            <w:tcBorders>
              <w:tl2br w:val="nil"/>
              <w:tr2bl w:val="nil"/>
            </w:tcBorders>
            <w:shd w:val="clear" w:color="auto" w:fill="auto"/>
            <w:vAlign w:val="center"/>
          </w:tcPr>
          <w:p w14:paraId="2873765B">
            <w:pPr>
              <w:pStyle w:val="58"/>
              <w:bidi w:val="0"/>
              <w:rPr>
                <w:rFonts w:hint="default"/>
                <w:highlight w:val="none"/>
                <w:lang w:val="en-US" w:eastAsia="zh-CN"/>
              </w:rPr>
            </w:pPr>
            <w:r>
              <w:rPr>
                <w:rFonts w:hint="default"/>
                <w:highlight w:val="none"/>
                <w:lang w:val="en-US" w:eastAsia="zh-CN"/>
              </w:rPr>
              <w:t>未检出</w:t>
            </w:r>
          </w:p>
        </w:tc>
        <w:tc>
          <w:tcPr>
            <w:tcW w:w="435" w:type="pct"/>
            <w:tcBorders>
              <w:tl2br w:val="nil"/>
              <w:tr2bl w:val="nil"/>
            </w:tcBorders>
            <w:shd w:val="clear" w:color="auto" w:fill="auto"/>
            <w:vAlign w:val="center"/>
          </w:tcPr>
          <w:p w14:paraId="4F8960DC">
            <w:pPr>
              <w:pStyle w:val="58"/>
              <w:bidi w:val="0"/>
              <w:rPr>
                <w:rFonts w:hint="default"/>
                <w:highlight w:val="none"/>
                <w:lang w:val="en-US" w:eastAsia="zh-CN"/>
              </w:rPr>
            </w:pPr>
            <w:r>
              <w:rPr>
                <w:rFonts w:hint="default"/>
                <w:highlight w:val="none"/>
                <w:lang w:val="en-US" w:eastAsia="zh-CN"/>
              </w:rPr>
              <w:t>未检出</w:t>
            </w:r>
          </w:p>
        </w:tc>
        <w:tc>
          <w:tcPr>
            <w:tcW w:w="477" w:type="pct"/>
            <w:tcBorders>
              <w:tl2br w:val="nil"/>
              <w:tr2bl w:val="nil"/>
            </w:tcBorders>
            <w:shd w:val="clear" w:color="auto" w:fill="auto"/>
            <w:vAlign w:val="center"/>
          </w:tcPr>
          <w:p w14:paraId="6219433C">
            <w:pPr>
              <w:pStyle w:val="58"/>
              <w:bidi w:val="0"/>
              <w:rPr>
                <w:rFonts w:hint="default"/>
                <w:highlight w:val="none"/>
                <w:lang w:val="en-US" w:eastAsia="zh-CN"/>
              </w:rPr>
            </w:pPr>
            <w:r>
              <w:rPr>
                <w:rFonts w:hint="default"/>
                <w:highlight w:val="none"/>
                <w:lang w:val="en-US" w:eastAsia="zh-CN"/>
              </w:rPr>
              <w:t>未检出</w:t>
            </w:r>
          </w:p>
        </w:tc>
      </w:tr>
      <w:tr w14:paraId="4784BF7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45C058AC">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3C4DEA8B">
            <w:pPr>
              <w:pStyle w:val="58"/>
              <w:bidi w:val="0"/>
              <w:rPr>
                <w:rFonts w:hint="default"/>
                <w:highlight w:val="none"/>
                <w:lang w:val="en-US" w:eastAsia="zh-CN"/>
              </w:rPr>
            </w:pPr>
            <w:r>
              <w:rPr>
                <w:rFonts w:hint="default"/>
                <w:highlight w:val="none"/>
                <w:lang w:val="en-US" w:eastAsia="zh-CN"/>
              </w:rPr>
              <w:t>砷</w:t>
            </w:r>
          </w:p>
        </w:tc>
        <w:tc>
          <w:tcPr>
            <w:tcW w:w="446" w:type="pct"/>
            <w:tcBorders>
              <w:tl2br w:val="nil"/>
              <w:tr2bl w:val="nil"/>
            </w:tcBorders>
            <w:shd w:val="clear" w:color="auto" w:fill="auto"/>
            <w:vAlign w:val="center"/>
          </w:tcPr>
          <w:p w14:paraId="5660B3FA">
            <w:pPr>
              <w:pStyle w:val="58"/>
              <w:bidi w:val="0"/>
              <w:rPr>
                <w:rFonts w:hint="default"/>
                <w:highlight w:val="none"/>
                <w:lang w:val="en-US" w:eastAsia="zh-CN"/>
              </w:rPr>
            </w:pPr>
            <w:r>
              <w:rPr>
                <w:rFonts w:hint="default"/>
                <w:highlight w:val="none"/>
                <w:lang w:val="en-US" w:eastAsia="zh-CN"/>
              </w:rPr>
              <w:t>0.590</w:t>
            </w:r>
          </w:p>
        </w:tc>
        <w:tc>
          <w:tcPr>
            <w:tcW w:w="490" w:type="pct"/>
            <w:tcBorders>
              <w:tl2br w:val="nil"/>
              <w:tr2bl w:val="nil"/>
            </w:tcBorders>
            <w:shd w:val="clear" w:color="auto" w:fill="auto"/>
            <w:vAlign w:val="center"/>
          </w:tcPr>
          <w:p w14:paraId="1D7C0089">
            <w:pPr>
              <w:pStyle w:val="58"/>
              <w:bidi w:val="0"/>
              <w:rPr>
                <w:rFonts w:hint="default"/>
                <w:highlight w:val="none"/>
                <w:lang w:val="en-US" w:eastAsia="zh-CN"/>
              </w:rPr>
            </w:pPr>
            <w:r>
              <w:rPr>
                <w:rFonts w:hint="default"/>
                <w:highlight w:val="none"/>
                <w:lang w:val="en-US" w:eastAsia="zh-CN"/>
              </w:rPr>
              <w:t>0.600</w:t>
            </w:r>
          </w:p>
        </w:tc>
        <w:tc>
          <w:tcPr>
            <w:tcW w:w="475" w:type="pct"/>
            <w:tcBorders>
              <w:tl2br w:val="nil"/>
              <w:tr2bl w:val="nil"/>
            </w:tcBorders>
            <w:shd w:val="clear" w:color="auto" w:fill="auto"/>
            <w:vAlign w:val="center"/>
          </w:tcPr>
          <w:p w14:paraId="64F98746">
            <w:pPr>
              <w:pStyle w:val="58"/>
              <w:bidi w:val="0"/>
              <w:rPr>
                <w:rFonts w:hint="default"/>
                <w:highlight w:val="none"/>
                <w:lang w:val="en-US" w:eastAsia="zh-CN"/>
              </w:rPr>
            </w:pPr>
            <w:r>
              <w:rPr>
                <w:rFonts w:hint="default"/>
                <w:highlight w:val="none"/>
                <w:lang w:val="en-US" w:eastAsia="zh-CN"/>
              </w:rPr>
              <w:t>0.630</w:t>
            </w:r>
          </w:p>
        </w:tc>
        <w:tc>
          <w:tcPr>
            <w:tcW w:w="378" w:type="pct"/>
            <w:tcBorders>
              <w:tl2br w:val="nil"/>
              <w:tr2bl w:val="nil"/>
            </w:tcBorders>
            <w:shd w:val="clear" w:color="auto" w:fill="auto"/>
            <w:vAlign w:val="center"/>
          </w:tcPr>
          <w:p w14:paraId="567B785B">
            <w:pPr>
              <w:pStyle w:val="58"/>
              <w:bidi w:val="0"/>
              <w:rPr>
                <w:rFonts w:hint="default"/>
                <w:highlight w:val="none"/>
                <w:lang w:val="en-US" w:eastAsia="zh-CN"/>
              </w:rPr>
            </w:pPr>
            <w:r>
              <w:rPr>
                <w:rFonts w:hint="default"/>
                <w:highlight w:val="none"/>
                <w:lang w:val="en-US" w:eastAsia="zh-CN"/>
              </w:rPr>
              <w:t>0.620</w:t>
            </w:r>
          </w:p>
        </w:tc>
        <w:tc>
          <w:tcPr>
            <w:tcW w:w="430" w:type="pct"/>
            <w:tcBorders>
              <w:tl2br w:val="nil"/>
              <w:tr2bl w:val="nil"/>
            </w:tcBorders>
            <w:shd w:val="clear" w:color="auto" w:fill="auto"/>
            <w:vAlign w:val="center"/>
          </w:tcPr>
          <w:p w14:paraId="70CA33CE">
            <w:pPr>
              <w:pStyle w:val="58"/>
              <w:bidi w:val="0"/>
              <w:rPr>
                <w:rFonts w:hint="default"/>
                <w:highlight w:val="none"/>
                <w:lang w:val="en-US" w:eastAsia="zh-CN"/>
              </w:rPr>
            </w:pPr>
            <w:r>
              <w:rPr>
                <w:rFonts w:hint="default"/>
                <w:highlight w:val="none"/>
                <w:lang w:val="en-US" w:eastAsia="zh-CN"/>
              </w:rPr>
              <w:t>0.600</w:t>
            </w:r>
          </w:p>
        </w:tc>
        <w:tc>
          <w:tcPr>
            <w:tcW w:w="417" w:type="pct"/>
            <w:tcBorders>
              <w:tl2br w:val="nil"/>
              <w:tr2bl w:val="nil"/>
            </w:tcBorders>
            <w:shd w:val="clear" w:color="auto" w:fill="auto"/>
            <w:vAlign w:val="center"/>
          </w:tcPr>
          <w:p w14:paraId="5B0A3728">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0.830</w:t>
            </w:r>
          </w:p>
        </w:tc>
        <w:tc>
          <w:tcPr>
            <w:tcW w:w="529" w:type="pct"/>
            <w:tcBorders>
              <w:tl2br w:val="nil"/>
              <w:tr2bl w:val="nil"/>
            </w:tcBorders>
            <w:shd w:val="clear" w:color="auto" w:fill="auto"/>
            <w:vAlign w:val="center"/>
          </w:tcPr>
          <w:p w14:paraId="7C8C836C">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0.240</w:t>
            </w:r>
          </w:p>
        </w:tc>
        <w:tc>
          <w:tcPr>
            <w:tcW w:w="430" w:type="pct"/>
            <w:tcBorders>
              <w:tl2br w:val="nil"/>
              <w:tr2bl w:val="nil"/>
            </w:tcBorders>
            <w:shd w:val="clear" w:color="auto" w:fill="auto"/>
            <w:vAlign w:val="center"/>
          </w:tcPr>
          <w:p w14:paraId="2A15297C">
            <w:pPr>
              <w:pStyle w:val="58"/>
              <w:bidi w:val="0"/>
              <w:rPr>
                <w:rFonts w:hint="default"/>
                <w:highlight w:val="none"/>
                <w:lang w:val="en-US" w:eastAsia="zh-CN"/>
              </w:rPr>
            </w:pPr>
            <w:r>
              <w:rPr>
                <w:rFonts w:hint="default"/>
                <w:highlight w:val="none"/>
                <w:lang w:val="en-US" w:eastAsia="zh-CN"/>
              </w:rPr>
              <w:t>0.300</w:t>
            </w:r>
          </w:p>
        </w:tc>
        <w:tc>
          <w:tcPr>
            <w:tcW w:w="435" w:type="pct"/>
            <w:tcBorders>
              <w:tl2br w:val="nil"/>
              <w:tr2bl w:val="nil"/>
            </w:tcBorders>
            <w:shd w:val="clear" w:color="auto" w:fill="auto"/>
            <w:vAlign w:val="center"/>
          </w:tcPr>
          <w:p w14:paraId="4788655C">
            <w:pPr>
              <w:pStyle w:val="58"/>
              <w:bidi w:val="0"/>
              <w:rPr>
                <w:rFonts w:hint="default"/>
                <w:highlight w:val="none"/>
                <w:lang w:val="en-US" w:eastAsia="zh-CN"/>
              </w:rPr>
            </w:pPr>
            <w:r>
              <w:rPr>
                <w:rFonts w:hint="default"/>
                <w:highlight w:val="none"/>
                <w:lang w:val="en-US" w:eastAsia="zh-CN"/>
              </w:rPr>
              <w:t>未检出</w:t>
            </w:r>
          </w:p>
        </w:tc>
        <w:tc>
          <w:tcPr>
            <w:tcW w:w="477" w:type="pct"/>
            <w:tcBorders>
              <w:tl2br w:val="nil"/>
              <w:tr2bl w:val="nil"/>
            </w:tcBorders>
            <w:shd w:val="clear" w:color="auto" w:fill="auto"/>
            <w:vAlign w:val="center"/>
          </w:tcPr>
          <w:p w14:paraId="24492CBC">
            <w:pPr>
              <w:pStyle w:val="58"/>
              <w:bidi w:val="0"/>
              <w:rPr>
                <w:rFonts w:hint="default"/>
                <w:highlight w:val="none"/>
                <w:lang w:val="en-US" w:eastAsia="zh-CN"/>
              </w:rPr>
            </w:pPr>
            <w:r>
              <w:rPr>
                <w:rFonts w:hint="default"/>
                <w:highlight w:val="none"/>
                <w:lang w:val="en-US" w:eastAsia="zh-CN"/>
              </w:rPr>
              <w:t>未检出</w:t>
            </w:r>
          </w:p>
        </w:tc>
      </w:tr>
      <w:tr w14:paraId="7CA9305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6F61A73D">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3C56B95B">
            <w:pPr>
              <w:pStyle w:val="58"/>
              <w:bidi w:val="0"/>
              <w:rPr>
                <w:rFonts w:hint="default"/>
                <w:highlight w:val="none"/>
                <w:lang w:val="en-US" w:eastAsia="zh-CN"/>
              </w:rPr>
            </w:pPr>
            <w:r>
              <w:rPr>
                <w:rFonts w:hint="default"/>
                <w:highlight w:val="none"/>
                <w:lang w:val="en-US" w:eastAsia="zh-CN"/>
              </w:rPr>
              <w:t>汞</w:t>
            </w:r>
          </w:p>
        </w:tc>
        <w:tc>
          <w:tcPr>
            <w:tcW w:w="446" w:type="pct"/>
            <w:tcBorders>
              <w:tl2br w:val="nil"/>
              <w:tr2bl w:val="nil"/>
            </w:tcBorders>
            <w:shd w:val="clear" w:color="auto" w:fill="auto"/>
            <w:vAlign w:val="center"/>
          </w:tcPr>
          <w:p w14:paraId="49E8B24D">
            <w:pPr>
              <w:pStyle w:val="58"/>
              <w:bidi w:val="0"/>
              <w:rPr>
                <w:rFonts w:hint="default"/>
                <w:highlight w:val="none"/>
                <w:lang w:val="en-US" w:eastAsia="zh-CN"/>
              </w:rPr>
            </w:pPr>
            <w:r>
              <w:rPr>
                <w:rFonts w:hint="default"/>
                <w:highlight w:val="none"/>
                <w:lang w:val="en-US" w:eastAsia="zh-CN"/>
              </w:rPr>
              <w:t>未检出</w:t>
            </w:r>
          </w:p>
        </w:tc>
        <w:tc>
          <w:tcPr>
            <w:tcW w:w="490" w:type="pct"/>
            <w:tcBorders>
              <w:tl2br w:val="nil"/>
              <w:tr2bl w:val="nil"/>
            </w:tcBorders>
            <w:shd w:val="clear" w:color="auto" w:fill="auto"/>
            <w:vAlign w:val="center"/>
          </w:tcPr>
          <w:p w14:paraId="4546A0DB">
            <w:pPr>
              <w:pStyle w:val="58"/>
              <w:bidi w:val="0"/>
              <w:rPr>
                <w:rFonts w:hint="default"/>
                <w:highlight w:val="none"/>
                <w:lang w:val="en-US" w:eastAsia="zh-CN"/>
              </w:rPr>
            </w:pPr>
            <w:r>
              <w:rPr>
                <w:rFonts w:hint="default"/>
                <w:highlight w:val="none"/>
                <w:lang w:val="en-US" w:eastAsia="zh-CN"/>
              </w:rPr>
              <w:t>0.05</w:t>
            </w:r>
          </w:p>
        </w:tc>
        <w:tc>
          <w:tcPr>
            <w:tcW w:w="475" w:type="pct"/>
            <w:tcBorders>
              <w:tl2br w:val="nil"/>
              <w:tr2bl w:val="nil"/>
            </w:tcBorders>
            <w:shd w:val="clear" w:color="auto" w:fill="auto"/>
            <w:vAlign w:val="center"/>
          </w:tcPr>
          <w:p w14:paraId="5DAA4C3E">
            <w:pPr>
              <w:pStyle w:val="58"/>
              <w:bidi w:val="0"/>
              <w:rPr>
                <w:rFonts w:hint="default"/>
                <w:highlight w:val="none"/>
                <w:lang w:val="en-US" w:eastAsia="zh-CN"/>
              </w:rPr>
            </w:pPr>
            <w:r>
              <w:rPr>
                <w:rFonts w:hint="default"/>
                <w:highlight w:val="none"/>
                <w:lang w:val="en-US" w:eastAsia="zh-CN"/>
              </w:rPr>
              <w:t>未检出</w:t>
            </w:r>
          </w:p>
        </w:tc>
        <w:tc>
          <w:tcPr>
            <w:tcW w:w="378" w:type="pct"/>
            <w:tcBorders>
              <w:tl2br w:val="nil"/>
              <w:tr2bl w:val="nil"/>
            </w:tcBorders>
            <w:shd w:val="clear" w:color="auto" w:fill="auto"/>
            <w:vAlign w:val="center"/>
          </w:tcPr>
          <w:p w14:paraId="0574CF0E">
            <w:pPr>
              <w:pStyle w:val="58"/>
              <w:bidi w:val="0"/>
              <w:rPr>
                <w:rFonts w:hint="default"/>
                <w:highlight w:val="none"/>
                <w:lang w:val="en-US" w:eastAsia="zh-CN"/>
              </w:rPr>
            </w:pPr>
            <w:r>
              <w:rPr>
                <w:rFonts w:hint="default"/>
                <w:highlight w:val="none"/>
                <w:lang w:val="en-US" w:eastAsia="zh-CN"/>
              </w:rPr>
              <w:t>未检出</w:t>
            </w:r>
          </w:p>
        </w:tc>
        <w:tc>
          <w:tcPr>
            <w:tcW w:w="430" w:type="pct"/>
            <w:tcBorders>
              <w:tl2br w:val="nil"/>
              <w:tr2bl w:val="nil"/>
            </w:tcBorders>
            <w:shd w:val="clear" w:color="auto" w:fill="auto"/>
            <w:vAlign w:val="center"/>
          </w:tcPr>
          <w:p w14:paraId="5621A275">
            <w:pPr>
              <w:pStyle w:val="58"/>
              <w:bidi w:val="0"/>
              <w:rPr>
                <w:rFonts w:hint="default"/>
                <w:highlight w:val="none"/>
                <w:lang w:val="en-US" w:eastAsia="zh-CN"/>
              </w:rPr>
            </w:pPr>
            <w:r>
              <w:rPr>
                <w:rFonts w:hint="default"/>
                <w:highlight w:val="none"/>
                <w:lang w:val="en-US" w:eastAsia="zh-CN"/>
              </w:rPr>
              <w:t>未检出</w:t>
            </w:r>
          </w:p>
        </w:tc>
        <w:tc>
          <w:tcPr>
            <w:tcW w:w="417" w:type="pct"/>
            <w:tcBorders>
              <w:tl2br w:val="nil"/>
              <w:tr2bl w:val="nil"/>
            </w:tcBorders>
            <w:shd w:val="clear" w:color="auto" w:fill="auto"/>
            <w:vAlign w:val="center"/>
          </w:tcPr>
          <w:p w14:paraId="27E1661C">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0.00081</w:t>
            </w:r>
          </w:p>
        </w:tc>
        <w:tc>
          <w:tcPr>
            <w:tcW w:w="529" w:type="pct"/>
            <w:tcBorders>
              <w:tl2br w:val="nil"/>
              <w:tr2bl w:val="nil"/>
            </w:tcBorders>
            <w:shd w:val="clear" w:color="auto" w:fill="auto"/>
            <w:vAlign w:val="center"/>
          </w:tcPr>
          <w:p w14:paraId="66B88481">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未检出</w:t>
            </w:r>
          </w:p>
        </w:tc>
        <w:tc>
          <w:tcPr>
            <w:tcW w:w="430" w:type="pct"/>
            <w:tcBorders>
              <w:tl2br w:val="nil"/>
              <w:tr2bl w:val="nil"/>
            </w:tcBorders>
            <w:shd w:val="clear" w:color="auto" w:fill="auto"/>
            <w:vAlign w:val="center"/>
          </w:tcPr>
          <w:p w14:paraId="7E475461">
            <w:pPr>
              <w:pStyle w:val="58"/>
              <w:bidi w:val="0"/>
              <w:rPr>
                <w:rFonts w:hint="default"/>
                <w:highlight w:val="none"/>
                <w:lang w:val="en-US" w:eastAsia="zh-CN"/>
              </w:rPr>
            </w:pPr>
            <w:r>
              <w:rPr>
                <w:rFonts w:hint="default"/>
                <w:highlight w:val="none"/>
                <w:lang w:val="en-US" w:eastAsia="zh-CN"/>
              </w:rPr>
              <w:t>0.04</w:t>
            </w:r>
          </w:p>
        </w:tc>
        <w:tc>
          <w:tcPr>
            <w:tcW w:w="435" w:type="pct"/>
            <w:tcBorders>
              <w:tl2br w:val="nil"/>
              <w:tr2bl w:val="nil"/>
            </w:tcBorders>
            <w:shd w:val="clear" w:color="auto" w:fill="auto"/>
            <w:vAlign w:val="center"/>
          </w:tcPr>
          <w:p w14:paraId="27B1E047">
            <w:pPr>
              <w:pStyle w:val="58"/>
              <w:bidi w:val="0"/>
              <w:rPr>
                <w:rFonts w:hint="default"/>
                <w:highlight w:val="none"/>
                <w:lang w:val="en-US" w:eastAsia="zh-CN"/>
              </w:rPr>
            </w:pPr>
            <w:r>
              <w:rPr>
                <w:rFonts w:hint="default"/>
                <w:highlight w:val="none"/>
                <w:lang w:val="en-US" w:eastAsia="zh-CN"/>
              </w:rPr>
              <w:t>未检出</w:t>
            </w:r>
          </w:p>
        </w:tc>
        <w:tc>
          <w:tcPr>
            <w:tcW w:w="477" w:type="pct"/>
            <w:tcBorders>
              <w:tl2br w:val="nil"/>
              <w:tr2bl w:val="nil"/>
            </w:tcBorders>
            <w:shd w:val="clear" w:color="auto" w:fill="auto"/>
            <w:vAlign w:val="center"/>
          </w:tcPr>
          <w:p w14:paraId="66A7F100">
            <w:pPr>
              <w:pStyle w:val="58"/>
              <w:bidi w:val="0"/>
              <w:rPr>
                <w:rFonts w:hint="default"/>
                <w:highlight w:val="none"/>
                <w:lang w:val="en-US" w:eastAsia="zh-CN"/>
              </w:rPr>
            </w:pPr>
            <w:r>
              <w:rPr>
                <w:rFonts w:hint="default"/>
                <w:highlight w:val="none"/>
                <w:lang w:val="en-US" w:eastAsia="zh-CN"/>
              </w:rPr>
              <w:t>未检出</w:t>
            </w:r>
          </w:p>
        </w:tc>
      </w:tr>
      <w:tr w14:paraId="4E96B21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6B5EA9ED">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16D17A2A">
            <w:pPr>
              <w:pStyle w:val="58"/>
              <w:bidi w:val="0"/>
              <w:rPr>
                <w:rFonts w:hint="default"/>
                <w:highlight w:val="none"/>
                <w:lang w:val="en-US" w:eastAsia="zh-CN"/>
              </w:rPr>
            </w:pPr>
            <w:r>
              <w:rPr>
                <w:rFonts w:hint="default"/>
                <w:highlight w:val="none"/>
                <w:lang w:val="en-US" w:eastAsia="zh-CN"/>
              </w:rPr>
              <w:t>铁</w:t>
            </w:r>
          </w:p>
        </w:tc>
        <w:tc>
          <w:tcPr>
            <w:tcW w:w="446" w:type="pct"/>
            <w:tcBorders>
              <w:tl2br w:val="nil"/>
              <w:tr2bl w:val="nil"/>
            </w:tcBorders>
            <w:shd w:val="clear" w:color="auto" w:fill="auto"/>
            <w:vAlign w:val="center"/>
          </w:tcPr>
          <w:p w14:paraId="7FC96D1B">
            <w:pPr>
              <w:pStyle w:val="58"/>
              <w:bidi w:val="0"/>
              <w:rPr>
                <w:rFonts w:hint="default"/>
                <w:highlight w:val="none"/>
                <w:lang w:val="en-US" w:eastAsia="zh-CN"/>
              </w:rPr>
            </w:pPr>
            <w:r>
              <w:rPr>
                <w:rFonts w:hint="default"/>
                <w:highlight w:val="none"/>
                <w:lang w:val="en-US" w:eastAsia="zh-CN"/>
              </w:rPr>
              <w:t>未检出</w:t>
            </w:r>
          </w:p>
        </w:tc>
        <w:tc>
          <w:tcPr>
            <w:tcW w:w="490" w:type="pct"/>
            <w:tcBorders>
              <w:tl2br w:val="nil"/>
              <w:tr2bl w:val="nil"/>
            </w:tcBorders>
            <w:shd w:val="clear" w:color="auto" w:fill="auto"/>
            <w:vAlign w:val="center"/>
          </w:tcPr>
          <w:p w14:paraId="34E5059C">
            <w:pPr>
              <w:pStyle w:val="58"/>
              <w:bidi w:val="0"/>
              <w:rPr>
                <w:rFonts w:hint="default"/>
                <w:highlight w:val="none"/>
                <w:lang w:val="en-US" w:eastAsia="zh-CN"/>
              </w:rPr>
            </w:pPr>
            <w:r>
              <w:rPr>
                <w:rFonts w:hint="default"/>
                <w:highlight w:val="none"/>
                <w:lang w:val="en-US" w:eastAsia="zh-CN"/>
              </w:rPr>
              <w:t>未检出</w:t>
            </w:r>
          </w:p>
        </w:tc>
        <w:tc>
          <w:tcPr>
            <w:tcW w:w="475" w:type="pct"/>
            <w:tcBorders>
              <w:tl2br w:val="nil"/>
              <w:tr2bl w:val="nil"/>
            </w:tcBorders>
            <w:shd w:val="clear" w:color="auto" w:fill="auto"/>
            <w:vAlign w:val="center"/>
          </w:tcPr>
          <w:p w14:paraId="65436D19">
            <w:pPr>
              <w:pStyle w:val="58"/>
              <w:bidi w:val="0"/>
              <w:rPr>
                <w:rFonts w:hint="default"/>
                <w:highlight w:val="none"/>
                <w:lang w:val="en-US" w:eastAsia="zh-CN"/>
              </w:rPr>
            </w:pPr>
            <w:r>
              <w:rPr>
                <w:rFonts w:hint="default"/>
                <w:highlight w:val="none"/>
                <w:lang w:val="en-US" w:eastAsia="zh-CN"/>
              </w:rPr>
              <w:t>未检出</w:t>
            </w:r>
          </w:p>
        </w:tc>
        <w:tc>
          <w:tcPr>
            <w:tcW w:w="378" w:type="pct"/>
            <w:tcBorders>
              <w:tl2br w:val="nil"/>
              <w:tr2bl w:val="nil"/>
            </w:tcBorders>
            <w:shd w:val="clear" w:color="auto" w:fill="auto"/>
            <w:vAlign w:val="center"/>
          </w:tcPr>
          <w:p w14:paraId="5D872808">
            <w:pPr>
              <w:pStyle w:val="58"/>
              <w:bidi w:val="0"/>
              <w:rPr>
                <w:rFonts w:hint="default"/>
                <w:highlight w:val="none"/>
                <w:lang w:val="en-US" w:eastAsia="zh-CN"/>
              </w:rPr>
            </w:pPr>
            <w:r>
              <w:rPr>
                <w:rFonts w:hint="default"/>
                <w:highlight w:val="none"/>
                <w:lang w:val="en-US" w:eastAsia="zh-CN"/>
              </w:rPr>
              <w:t>未检出</w:t>
            </w:r>
          </w:p>
        </w:tc>
        <w:tc>
          <w:tcPr>
            <w:tcW w:w="430" w:type="pct"/>
            <w:tcBorders>
              <w:tl2br w:val="nil"/>
              <w:tr2bl w:val="nil"/>
            </w:tcBorders>
            <w:shd w:val="clear" w:color="auto" w:fill="auto"/>
            <w:vAlign w:val="center"/>
          </w:tcPr>
          <w:p w14:paraId="02DB6449">
            <w:pPr>
              <w:pStyle w:val="58"/>
              <w:bidi w:val="0"/>
              <w:rPr>
                <w:rFonts w:hint="default"/>
                <w:highlight w:val="none"/>
                <w:lang w:val="en-US" w:eastAsia="zh-CN"/>
              </w:rPr>
            </w:pPr>
            <w:r>
              <w:rPr>
                <w:rFonts w:hint="default"/>
                <w:highlight w:val="none"/>
                <w:lang w:val="en-US" w:eastAsia="zh-CN"/>
              </w:rPr>
              <w:t>未检出</w:t>
            </w:r>
          </w:p>
        </w:tc>
        <w:tc>
          <w:tcPr>
            <w:tcW w:w="417" w:type="pct"/>
            <w:tcBorders>
              <w:tl2br w:val="nil"/>
              <w:tr2bl w:val="nil"/>
            </w:tcBorders>
            <w:shd w:val="clear" w:color="auto" w:fill="auto"/>
            <w:vAlign w:val="center"/>
          </w:tcPr>
          <w:p w14:paraId="037A6B43">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未检出</w:t>
            </w:r>
          </w:p>
        </w:tc>
        <w:tc>
          <w:tcPr>
            <w:tcW w:w="529" w:type="pct"/>
            <w:tcBorders>
              <w:tl2br w:val="nil"/>
              <w:tr2bl w:val="nil"/>
            </w:tcBorders>
            <w:shd w:val="clear" w:color="auto" w:fill="auto"/>
            <w:vAlign w:val="center"/>
          </w:tcPr>
          <w:p w14:paraId="3490534A">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未检出</w:t>
            </w:r>
          </w:p>
        </w:tc>
        <w:tc>
          <w:tcPr>
            <w:tcW w:w="430" w:type="pct"/>
            <w:tcBorders>
              <w:tl2br w:val="nil"/>
              <w:tr2bl w:val="nil"/>
            </w:tcBorders>
            <w:shd w:val="clear" w:color="auto" w:fill="auto"/>
            <w:vAlign w:val="center"/>
          </w:tcPr>
          <w:p w14:paraId="242353DE">
            <w:pPr>
              <w:pStyle w:val="58"/>
              <w:bidi w:val="0"/>
              <w:rPr>
                <w:rFonts w:hint="default"/>
                <w:highlight w:val="none"/>
                <w:lang w:val="en-US" w:eastAsia="zh-CN"/>
              </w:rPr>
            </w:pPr>
            <w:r>
              <w:rPr>
                <w:rFonts w:hint="default"/>
                <w:highlight w:val="none"/>
                <w:lang w:val="en-US" w:eastAsia="zh-CN"/>
              </w:rPr>
              <w:t>未检出</w:t>
            </w:r>
          </w:p>
        </w:tc>
        <w:tc>
          <w:tcPr>
            <w:tcW w:w="435" w:type="pct"/>
            <w:tcBorders>
              <w:tl2br w:val="nil"/>
              <w:tr2bl w:val="nil"/>
            </w:tcBorders>
            <w:shd w:val="clear" w:color="auto" w:fill="auto"/>
            <w:vAlign w:val="center"/>
          </w:tcPr>
          <w:p w14:paraId="5433F611">
            <w:pPr>
              <w:pStyle w:val="58"/>
              <w:bidi w:val="0"/>
              <w:rPr>
                <w:rFonts w:hint="default"/>
                <w:highlight w:val="none"/>
                <w:lang w:val="en-US" w:eastAsia="zh-CN"/>
              </w:rPr>
            </w:pPr>
            <w:r>
              <w:rPr>
                <w:rFonts w:hint="default"/>
                <w:highlight w:val="none"/>
                <w:lang w:val="en-US" w:eastAsia="zh-CN"/>
              </w:rPr>
              <w:t>未检出</w:t>
            </w:r>
          </w:p>
        </w:tc>
        <w:tc>
          <w:tcPr>
            <w:tcW w:w="477" w:type="pct"/>
            <w:tcBorders>
              <w:tl2br w:val="nil"/>
              <w:tr2bl w:val="nil"/>
            </w:tcBorders>
            <w:shd w:val="clear" w:color="auto" w:fill="auto"/>
            <w:vAlign w:val="center"/>
          </w:tcPr>
          <w:p w14:paraId="49DA0773">
            <w:pPr>
              <w:pStyle w:val="58"/>
              <w:bidi w:val="0"/>
              <w:rPr>
                <w:rFonts w:hint="default"/>
                <w:highlight w:val="none"/>
                <w:lang w:val="en-US" w:eastAsia="zh-CN"/>
              </w:rPr>
            </w:pPr>
            <w:r>
              <w:rPr>
                <w:rFonts w:hint="default"/>
                <w:highlight w:val="none"/>
                <w:lang w:val="en-US" w:eastAsia="zh-CN"/>
              </w:rPr>
              <w:t>未检出</w:t>
            </w:r>
          </w:p>
        </w:tc>
      </w:tr>
      <w:tr w14:paraId="67EB462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77C0DB09">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1C3E9EA9">
            <w:pPr>
              <w:pStyle w:val="58"/>
              <w:bidi w:val="0"/>
              <w:rPr>
                <w:rFonts w:hint="default"/>
                <w:highlight w:val="none"/>
                <w:lang w:val="en-US" w:eastAsia="zh-CN"/>
              </w:rPr>
            </w:pPr>
            <w:r>
              <w:rPr>
                <w:rFonts w:hint="default"/>
                <w:highlight w:val="none"/>
                <w:lang w:val="en-US" w:eastAsia="zh-CN"/>
              </w:rPr>
              <w:t>锰</w:t>
            </w:r>
          </w:p>
        </w:tc>
        <w:tc>
          <w:tcPr>
            <w:tcW w:w="446" w:type="pct"/>
            <w:tcBorders>
              <w:tl2br w:val="nil"/>
              <w:tr2bl w:val="nil"/>
            </w:tcBorders>
            <w:shd w:val="clear" w:color="auto" w:fill="auto"/>
            <w:vAlign w:val="center"/>
          </w:tcPr>
          <w:p w14:paraId="291CED02">
            <w:pPr>
              <w:pStyle w:val="58"/>
              <w:bidi w:val="0"/>
              <w:rPr>
                <w:rFonts w:hint="default"/>
                <w:highlight w:val="none"/>
                <w:lang w:val="en-US" w:eastAsia="zh-CN"/>
              </w:rPr>
            </w:pPr>
            <w:r>
              <w:rPr>
                <w:rFonts w:hint="default"/>
                <w:highlight w:val="none"/>
                <w:lang w:val="en-US" w:eastAsia="zh-CN"/>
              </w:rPr>
              <w:t>未检出</w:t>
            </w:r>
          </w:p>
        </w:tc>
        <w:tc>
          <w:tcPr>
            <w:tcW w:w="490" w:type="pct"/>
            <w:tcBorders>
              <w:tl2br w:val="nil"/>
              <w:tr2bl w:val="nil"/>
            </w:tcBorders>
            <w:shd w:val="clear" w:color="auto" w:fill="auto"/>
            <w:vAlign w:val="center"/>
          </w:tcPr>
          <w:p w14:paraId="5F622FF2">
            <w:pPr>
              <w:pStyle w:val="58"/>
              <w:bidi w:val="0"/>
              <w:rPr>
                <w:rFonts w:hint="default"/>
                <w:highlight w:val="none"/>
                <w:lang w:val="en-US" w:eastAsia="zh-CN"/>
              </w:rPr>
            </w:pPr>
            <w:r>
              <w:rPr>
                <w:rFonts w:hint="default"/>
                <w:highlight w:val="none"/>
                <w:lang w:val="en-US" w:eastAsia="zh-CN"/>
              </w:rPr>
              <w:t>未检出</w:t>
            </w:r>
          </w:p>
        </w:tc>
        <w:tc>
          <w:tcPr>
            <w:tcW w:w="475" w:type="pct"/>
            <w:tcBorders>
              <w:tl2br w:val="nil"/>
              <w:tr2bl w:val="nil"/>
            </w:tcBorders>
            <w:shd w:val="clear" w:color="auto" w:fill="auto"/>
            <w:vAlign w:val="center"/>
          </w:tcPr>
          <w:p w14:paraId="346A121A">
            <w:pPr>
              <w:pStyle w:val="58"/>
              <w:bidi w:val="0"/>
              <w:rPr>
                <w:rFonts w:hint="default"/>
                <w:highlight w:val="none"/>
                <w:lang w:val="en-US" w:eastAsia="zh-CN"/>
              </w:rPr>
            </w:pPr>
            <w:r>
              <w:rPr>
                <w:rFonts w:hint="default"/>
                <w:highlight w:val="none"/>
                <w:lang w:val="en-US" w:eastAsia="zh-CN"/>
              </w:rPr>
              <w:t>未检出</w:t>
            </w:r>
          </w:p>
        </w:tc>
        <w:tc>
          <w:tcPr>
            <w:tcW w:w="378" w:type="pct"/>
            <w:tcBorders>
              <w:tl2br w:val="nil"/>
              <w:tr2bl w:val="nil"/>
            </w:tcBorders>
            <w:shd w:val="clear" w:color="auto" w:fill="auto"/>
            <w:vAlign w:val="center"/>
          </w:tcPr>
          <w:p w14:paraId="614D58E0">
            <w:pPr>
              <w:pStyle w:val="58"/>
              <w:bidi w:val="0"/>
              <w:rPr>
                <w:rFonts w:hint="default"/>
                <w:highlight w:val="none"/>
                <w:lang w:val="en-US" w:eastAsia="zh-CN"/>
              </w:rPr>
            </w:pPr>
            <w:r>
              <w:rPr>
                <w:rFonts w:hint="default"/>
                <w:highlight w:val="none"/>
                <w:lang w:val="en-US" w:eastAsia="zh-CN"/>
              </w:rPr>
              <w:t>未检出</w:t>
            </w:r>
          </w:p>
        </w:tc>
        <w:tc>
          <w:tcPr>
            <w:tcW w:w="430" w:type="pct"/>
            <w:tcBorders>
              <w:tl2br w:val="nil"/>
              <w:tr2bl w:val="nil"/>
            </w:tcBorders>
            <w:shd w:val="clear" w:color="auto" w:fill="auto"/>
            <w:vAlign w:val="center"/>
          </w:tcPr>
          <w:p w14:paraId="593FD27A">
            <w:pPr>
              <w:pStyle w:val="58"/>
              <w:bidi w:val="0"/>
              <w:rPr>
                <w:rFonts w:hint="default"/>
                <w:highlight w:val="none"/>
                <w:lang w:val="en-US" w:eastAsia="zh-CN"/>
              </w:rPr>
            </w:pPr>
            <w:r>
              <w:rPr>
                <w:rFonts w:hint="default"/>
                <w:highlight w:val="none"/>
                <w:lang w:val="en-US" w:eastAsia="zh-CN"/>
              </w:rPr>
              <w:t>未检出</w:t>
            </w:r>
          </w:p>
        </w:tc>
        <w:tc>
          <w:tcPr>
            <w:tcW w:w="417" w:type="pct"/>
            <w:tcBorders>
              <w:tl2br w:val="nil"/>
              <w:tr2bl w:val="nil"/>
            </w:tcBorders>
            <w:shd w:val="clear" w:color="auto" w:fill="auto"/>
            <w:vAlign w:val="center"/>
          </w:tcPr>
          <w:p w14:paraId="6C745B1E">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未检出</w:t>
            </w:r>
          </w:p>
        </w:tc>
        <w:tc>
          <w:tcPr>
            <w:tcW w:w="529" w:type="pct"/>
            <w:tcBorders>
              <w:tl2br w:val="nil"/>
              <w:tr2bl w:val="nil"/>
            </w:tcBorders>
            <w:shd w:val="clear" w:color="auto" w:fill="auto"/>
            <w:vAlign w:val="center"/>
          </w:tcPr>
          <w:p w14:paraId="2CB1A651">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未检出</w:t>
            </w:r>
          </w:p>
        </w:tc>
        <w:tc>
          <w:tcPr>
            <w:tcW w:w="430" w:type="pct"/>
            <w:tcBorders>
              <w:tl2br w:val="nil"/>
              <w:tr2bl w:val="nil"/>
            </w:tcBorders>
            <w:shd w:val="clear" w:color="auto" w:fill="auto"/>
            <w:vAlign w:val="center"/>
          </w:tcPr>
          <w:p w14:paraId="0BB9A189">
            <w:pPr>
              <w:pStyle w:val="58"/>
              <w:bidi w:val="0"/>
              <w:rPr>
                <w:rFonts w:hint="default"/>
                <w:highlight w:val="none"/>
                <w:lang w:val="en-US" w:eastAsia="zh-CN"/>
              </w:rPr>
            </w:pPr>
            <w:r>
              <w:rPr>
                <w:rFonts w:hint="default"/>
                <w:highlight w:val="none"/>
                <w:lang w:val="en-US" w:eastAsia="zh-CN"/>
              </w:rPr>
              <w:t>未检出</w:t>
            </w:r>
          </w:p>
        </w:tc>
        <w:tc>
          <w:tcPr>
            <w:tcW w:w="435" w:type="pct"/>
            <w:tcBorders>
              <w:tl2br w:val="nil"/>
              <w:tr2bl w:val="nil"/>
            </w:tcBorders>
            <w:shd w:val="clear" w:color="auto" w:fill="auto"/>
            <w:vAlign w:val="center"/>
          </w:tcPr>
          <w:p w14:paraId="09C6895A">
            <w:pPr>
              <w:pStyle w:val="58"/>
              <w:bidi w:val="0"/>
              <w:rPr>
                <w:rFonts w:hint="default"/>
                <w:highlight w:val="none"/>
                <w:lang w:val="en-US" w:eastAsia="zh-CN"/>
              </w:rPr>
            </w:pPr>
            <w:r>
              <w:rPr>
                <w:rFonts w:hint="default"/>
                <w:highlight w:val="none"/>
                <w:lang w:val="en-US" w:eastAsia="zh-CN"/>
              </w:rPr>
              <w:t>未检出</w:t>
            </w:r>
          </w:p>
        </w:tc>
        <w:tc>
          <w:tcPr>
            <w:tcW w:w="477" w:type="pct"/>
            <w:tcBorders>
              <w:tl2br w:val="nil"/>
              <w:tr2bl w:val="nil"/>
            </w:tcBorders>
            <w:shd w:val="clear" w:color="auto" w:fill="auto"/>
            <w:vAlign w:val="center"/>
          </w:tcPr>
          <w:p w14:paraId="2E94A7EB">
            <w:pPr>
              <w:pStyle w:val="58"/>
              <w:bidi w:val="0"/>
              <w:rPr>
                <w:rFonts w:hint="default"/>
                <w:highlight w:val="none"/>
                <w:lang w:val="en-US" w:eastAsia="zh-CN"/>
              </w:rPr>
            </w:pPr>
            <w:r>
              <w:rPr>
                <w:rFonts w:hint="default"/>
                <w:highlight w:val="none"/>
                <w:lang w:val="en-US" w:eastAsia="zh-CN"/>
              </w:rPr>
              <w:t>未检出</w:t>
            </w:r>
          </w:p>
        </w:tc>
      </w:tr>
      <w:tr w14:paraId="1FFF201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185277AD">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11F83AC4">
            <w:pPr>
              <w:pStyle w:val="58"/>
              <w:bidi w:val="0"/>
              <w:rPr>
                <w:rFonts w:hint="default"/>
                <w:highlight w:val="none"/>
                <w:lang w:val="en-US" w:eastAsia="zh-CN"/>
              </w:rPr>
            </w:pPr>
            <w:r>
              <w:rPr>
                <w:rFonts w:hint="default"/>
                <w:highlight w:val="none"/>
                <w:lang w:val="en-US" w:eastAsia="zh-CN"/>
              </w:rPr>
              <w:t>铅</w:t>
            </w:r>
          </w:p>
        </w:tc>
        <w:tc>
          <w:tcPr>
            <w:tcW w:w="446" w:type="pct"/>
            <w:tcBorders>
              <w:tl2br w:val="nil"/>
              <w:tr2bl w:val="nil"/>
            </w:tcBorders>
            <w:shd w:val="clear" w:color="auto" w:fill="auto"/>
            <w:vAlign w:val="center"/>
          </w:tcPr>
          <w:p w14:paraId="76700B17">
            <w:pPr>
              <w:pStyle w:val="58"/>
              <w:bidi w:val="0"/>
              <w:rPr>
                <w:rFonts w:hint="default"/>
                <w:highlight w:val="none"/>
                <w:lang w:val="en-US" w:eastAsia="zh-CN"/>
              </w:rPr>
            </w:pPr>
            <w:r>
              <w:rPr>
                <w:rFonts w:hint="default"/>
                <w:highlight w:val="none"/>
                <w:lang w:val="en-US" w:eastAsia="zh-CN"/>
              </w:rPr>
              <w:t>未检出</w:t>
            </w:r>
          </w:p>
        </w:tc>
        <w:tc>
          <w:tcPr>
            <w:tcW w:w="490" w:type="pct"/>
            <w:tcBorders>
              <w:tl2br w:val="nil"/>
              <w:tr2bl w:val="nil"/>
            </w:tcBorders>
            <w:shd w:val="clear" w:color="auto" w:fill="auto"/>
            <w:vAlign w:val="center"/>
          </w:tcPr>
          <w:p w14:paraId="55583B13">
            <w:pPr>
              <w:pStyle w:val="58"/>
              <w:bidi w:val="0"/>
              <w:rPr>
                <w:rFonts w:hint="default"/>
                <w:highlight w:val="none"/>
                <w:lang w:val="en-US" w:eastAsia="zh-CN"/>
              </w:rPr>
            </w:pPr>
            <w:r>
              <w:rPr>
                <w:rFonts w:hint="default"/>
                <w:highlight w:val="none"/>
                <w:lang w:val="en-US" w:eastAsia="zh-CN"/>
              </w:rPr>
              <w:t>未检出</w:t>
            </w:r>
          </w:p>
        </w:tc>
        <w:tc>
          <w:tcPr>
            <w:tcW w:w="475" w:type="pct"/>
            <w:tcBorders>
              <w:tl2br w:val="nil"/>
              <w:tr2bl w:val="nil"/>
            </w:tcBorders>
            <w:shd w:val="clear" w:color="auto" w:fill="auto"/>
            <w:vAlign w:val="center"/>
          </w:tcPr>
          <w:p w14:paraId="1EF22705">
            <w:pPr>
              <w:pStyle w:val="58"/>
              <w:bidi w:val="0"/>
              <w:rPr>
                <w:rFonts w:hint="default"/>
                <w:highlight w:val="none"/>
                <w:lang w:val="en-US" w:eastAsia="zh-CN"/>
              </w:rPr>
            </w:pPr>
            <w:r>
              <w:rPr>
                <w:rFonts w:hint="default"/>
                <w:highlight w:val="none"/>
                <w:lang w:val="en-US" w:eastAsia="zh-CN"/>
              </w:rPr>
              <w:t>未检出</w:t>
            </w:r>
          </w:p>
        </w:tc>
        <w:tc>
          <w:tcPr>
            <w:tcW w:w="378" w:type="pct"/>
            <w:tcBorders>
              <w:tl2br w:val="nil"/>
              <w:tr2bl w:val="nil"/>
            </w:tcBorders>
            <w:shd w:val="clear" w:color="auto" w:fill="auto"/>
            <w:vAlign w:val="center"/>
          </w:tcPr>
          <w:p w14:paraId="028019E1">
            <w:pPr>
              <w:pStyle w:val="58"/>
              <w:bidi w:val="0"/>
              <w:rPr>
                <w:rFonts w:hint="default"/>
                <w:highlight w:val="none"/>
                <w:lang w:val="en-US" w:eastAsia="zh-CN"/>
              </w:rPr>
            </w:pPr>
            <w:r>
              <w:rPr>
                <w:rFonts w:hint="default"/>
                <w:highlight w:val="none"/>
                <w:lang w:val="en-US" w:eastAsia="zh-CN"/>
              </w:rPr>
              <w:t>未检出</w:t>
            </w:r>
          </w:p>
        </w:tc>
        <w:tc>
          <w:tcPr>
            <w:tcW w:w="430" w:type="pct"/>
            <w:tcBorders>
              <w:tl2br w:val="nil"/>
              <w:tr2bl w:val="nil"/>
            </w:tcBorders>
            <w:shd w:val="clear" w:color="auto" w:fill="auto"/>
            <w:vAlign w:val="center"/>
          </w:tcPr>
          <w:p w14:paraId="53A9C2DE">
            <w:pPr>
              <w:pStyle w:val="58"/>
              <w:bidi w:val="0"/>
              <w:rPr>
                <w:rFonts w:hint="default"/>
                <w:highlight w:val="none"/>
                <w:lang w:val="en-US" w:eastAsia="zh-CN"/>
              </w:rPr>
            </w:pPr>
            <w:r>
              <w:rPr>
                <w:rFonts w:hint="default"/>
                <w:highlight w:val="none"/>
                <w:lang w:val="en-US" w:eastAsia="zh-CN"/>
              </w:rPr>
              <w:t>未检出</w:t>
            </w:r>
          </w:p>
        </w:tc>
        <w:tc>
          <w:tcPr>
            <w:tcW w:w="417" w:type="pct"/>
            <w:tcBorders>
              <w:tl2br w:val="nil"/>
              <w:tr2bl w:val="nil"/>
            </w:tcBorders>
            <w:shd w:val="clear" w:color="auto" w:fill="auto"/>
            <w:vAlign w:val="center"/>
          </w:tcPr>
          <w:p w14:paraId="4B6BDCBA">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未检出</w:t>
            </w:r>
          </w:p>
        </w:tc>
        <w:tc>
          <w:tcPr>
            <w:tcW w:w="529" w:type="pct"/>
            <w:tcBorders>
              <w:tl2br w:val="nil"/>
              <w:tr2bl w:val="nil"/>
            </w:tcBorders>
            <w:shd w:val="clear" w:color="auto" w:fill="auto"/>
            <w:vAlign w:val="center"/>
          </w:tcPr>
          <w:p w14:paraId="7B7AF86E">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未检出</w:t>
            </w:r>
          </w:p>
        </w:tc>
        <w:tc>
          <w:tcPr>
            <w:tcW w:w="430" w:type="pct"/>
            <w:tcBorders>
              <w:tl2br w:val="nil"/>
              <w:tr2bl w:val="nil"/>
            </w:tcBorders>
            <w:shd w:val="clear" w:color="auto" w:fill="auto"/>
            <w:vAlign w:val="center"/>
          </w:tcPr>
          <w:p w14:paraId="58E54B95">
            <w:pPr>
              <w:pStyle w:val="58"/>
              <w:bidi w:val="0"/>
              <w:rPr>
                <w:rFonts w:hint="default"/>
                <w:highlight w:val="none"/>
                <w:lang w:val="en-US" w:eastAsia="zh-CN"/>
              </w:rPr>
            </w:pPr>
            <w:r>
              <w:rPr>
                <w:rFonts w:hint="default"/>
                <w:highlight w:val="none"/>
                <w:lang w:val="en-US" w:eastAsia="zh-CN"/>
              </w:rPr>
              <w:t>未检出</w:t>
            </w:r>
          </w:p>
        </w:tc>
        <w:tc>
          <w:tcPr>
            <w:tcW w:w="435" w:type="pct"/>
            <w:tcBorders>
              <w:tl2br w:val="nil"/>
              <w:tr2bl w:val="nil"/>
            </w:tcBorders>
            <w:shd w:val="clear" w:color="auto" w:fill="auto"/>
            <w:vAlign w:val="center"/>
          </w:tcPr>
          <w:p w14:paraId="6F9089A1">
            <w:pPr>
              <w:pStyle w:val="58"/>
              <w:bidi w:val="0"/>
              <w:rPr>
                <w:rFonts w:hint="default"/>
                <w:highlight w:val="none"/>
                <w:lang w:val="en-US" w:eastAsia="zh-CN"/>
              </w:rPr>
            </w:pPr>
            <w:r>
              <w:rPr>
                <w:rFonts w:hint="default"/>
                <w:highlight w:val="none"/>
                <w:lang w:val="en-US" w:eastAsia="zh-CN"/>
              </w:rPr>
              <w:t>未检出</w:t>
            </w:r>
          </w:p>
        </w:tc>
        <w:tc>
          <w:tcPr>
            <w:tcW w:w="477" w:type="pct"/>
            <w:tcBorders>
              <w:tl2br w:val="nil"/>
              <w:tr2bl w:val="nil"/>
            </w:tcBorders>
            <w:shd w:val="clear" w:color="auto" w:fill="auto"/>
            <w:vAlign w:val="center"/>
          </w:tcPr>
          <w:p w14:paraId="15786AFC">
            <w:pPr>
              <w:pStyle w:val="58"/>
              <w:bidi w:val="0"/>
              <w:rPr>
                <w:rFonts w:hint="default"/>
                <w:highlight w:val="none"/>
                <w:lang w:val="en-US" w:eastAsia="zh-CN"/>
              </w:rPr>
            </w:pPr>
            <w:r>
              <w:rPr>
                <w:rFonts w:hint="default"/>
                <w:highlight w:val="none"/>
                <w:lang w:val="en-US" w:eastAsia="zh-CN"/>
              </w:rPr>
              <w:t>未检出</w:t>
            </w:r>
          </w:p>
        </w:tc>
      </w:tr>
      <w:tr w14:paraId="6F2924B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66CF2327">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642120F9">
            <w:pPr>
              <w:pStyle w:val="58"/>
              <w:bidi w:val="0"/>
              <w:rPr>
                <w:rFonts w:hint="default"/>
                <w:highlight w:val="none"/>
                <w:lang w:val="en-US" w:eastAsia="zh-CN"/>
              </w:rPr>
            </w:pPr>
            <w:r>
              <w:rPr>
                <w:rFonts w:hint="default"/>
                <w:highlight w:val="none"/>
                <w:lang w:val="en-US" w:eastAsia="zh-CN"/>
              </w:rPr>
              <w:t>镉</w:t>
            </w:r>
          </w:p>
        </w:tc>
        <w:tc>
          <w:tcPr>
            <w:tcW w:w="446" w:type="pct"/>
            <w:tcBorders>
              <w:tl2br w:val="nil"/>
              <w:tr2bl w:val="nil"/>
            </w:tcBorders>
            <w:shd w:val="clear" w:color="auto" w:fill="auto"/>
            <w:vAlign w:val="center"/>
          </w:tcPr>
          <w:p w14:paraId="2FC64D30">
            <w:pPr>
              <w:pStyle w:val="58"/>
              <w:bidi w:val="0"/>
              <w:rPr>
                <w:rFonts w:hint="default"/>
                <w:highlight w:val="none"/>
                <w:lang w:val="en-US" w:eastAsia="zh-CN"/>
              </w:rPr>
            </w:pPr>
            <w:r>
              <w:rPr>
                <w:rFonts w:hint="default"/>
                <w:highlight w:val="none"/>
                <w:lang w:val="en-US" w:eastAsia="zh-CN"/>
              </w:rPr>
              <w:t>未检出</w:t>
            </w:r>
          </w:p>
        </w:tc>
        <w:tc>
          <w:tcPr>
            <w:tcW w:w="490" w:type="pct"/>
            <w:tcBorders>
              <w:tl2br w:val="nil"/>
              <w:tr2bl w:val="nil"/>
            </w:tcBorders>
            <w:shd w:val="clear" w:color="auto" w:fill="auto"/>
            <w:vAlign w:val="center"/>
          </w:tcPr>
          <w:p w14:paraId="618198E9">
            <w:pPr>
              <w:pStyle w:val="58"/>
              <w:bidi w:val="0"/>
              <w:rPr>
                <w:rFonts w:hint="default"/>
                <w:highlight w:val="none"/>
                <w:lang w:val="en-US" w:eastAsia="zh-CN"/>
              </w:rPr>
            </w:pPr>
            <w:r>
              <w:rPr>
                <w:rFonts w:hint="default"/>
                <w:highlight w:val="none"/>
                <w:lang w:val="en-US" w:eastAsia="zh-CN"/>
              </w:rPr>
              <w:t>未检出</w:t>
            </w:r>
          </w:p>
        </w:tc>
        <w:tc>
          <w:tcPr>
            <w:tcW w:w="475" w:type="pct"/>
            <w:tcBorders>
              <w:tl2br w:val="nil"/>
              <w:tr2bl w:val="nil"/>
            </w:tcBorders>
            <w:shd w:val="clear" w:color="auto" w:fill="auto"/>
            <w:vAlign w:val="center"/>
          </w:tcPr>
          <w:p w14:paraId="712FBBE8">
            <w:pPr>
              <w:pStyle w:val="58"/>
              <w:bidi w:val="0"/>
              <w:rPr>
                <w:rFonts w:hint="default"/>
                <w:highlight w:val="none"/>
                <w:lang w:val="en-US" w:eastAsia="zh-CN"/>
              </w:rPr>
            </w:pPr>
            <w:r>
              <w:rPr>
                <w:rFonts w:hint="default"/>
                <w:highlight w:val="none"/>
                <w:lang w:val="en-US" w:eastAsia="zh-CN"/>
              </w:rPr>
              <w:t>未检出</w:t>
            </w:r>
          </w:p>
        </w:tc>
        <w:tc>
          <w:tcPr>
            <w:tcW w:w="378" w:type="pct"/>
            <w:tcBorders>
              <w:tl2br w:val="nil"/>
              <w:tr2bl w:val="nil"/>
            </w:tcBorders>
            <w:shd w:val="clear" w:color="auto" w:fill="auto"/>
            <w:vAlign w:val="center"/>
          </w:tcPr>
          <w:p w14:paraId="257DC565">
            <w:pPr>
              <w:pStyle w:val="58"/>
              <w:bidi w:val="0"/>
              <w:rPr>
                <w:rFonts w:hint="default"/>
                <w:highlight w:val="none"/>
                <w:lang w:val="en-US" w:eastAsia="zh-CN"/>
              </w:rPr>
            </w:pPr>
            <w:r>
              <w:rPr>
                <w:rFonts w:hint="default"/>
                <w:highlight w:val="none"/>
                <w:lang w:val="en-US" w:eastAsia="zh-CN"/>
              </w:rPr>
              <w:t>未检出</w:t>
            </w:r>
          </w:p>
        </w:tc>
        <w:tc>
          <w:tcPr>
            <w:tcW w:w="430" w:type="pct"/>
            <w:tcBorders>
              <w:tl2br w:val="nil"/>
              <w:tr2bl w:val="nil"/>
            </w:tcBorders>
            <w:shd w:val="clear" w:color="auto" w:fill="auto"/>
            <w:vAlign w:val="center"/>
          </w:tcPr>
          <w:p w14:paraId="4CCC648F">
            <w:pPr>
              <w:pStyle w:val="58"/>
              <w:bidi w:val="0"/>
              <w:rPr>
                <w:rFonts w:hint="default"/>
                <w:highlight w:val="none"/>
                <w:lang w:val="en-US" w:eastAsia="zh-CN"/>
              </w:rPr>
            </w:pPr>
            <w:r>
              <w:rPr>
                <w:rFonts w:hint="default"/>
                <w:highlight w:val="none"/>
                <w:lang w:val="en-US" w:eastAsia="zh-CN"/>
              </w:rPr>
              <w:t>未检出</w:t>
            </w:r>
          </w:p>
        </w:tc>
        <w:tc>
          <w:tcPr>
            <w:tcW w:w="417" w:type="pct"/>
            <w:tcBorders>
              <w:tl2br w:val="nil"/>
              <w:tr2bl w:val="nil"/>
            </w:tcBorders>
            <w:shd w:val="clear" w:color="auto" w:fill="auto"/>
            <w:vAlign w:val="center"/>
          </w:tcPr>
          <w:p w14:paraId="4C1E4048">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未检出</w:t>
            </w:r>
          </w:p>
        </w:tc>
        <w:tc>
          <w:tcPr>
            <w:tcW w:w="529" w:type="pct"/>
            <w:tcBorders>
              <w:tl2br w:val="nil"/>
              <w:tr2bl w:val="nil"/>
            </w:tcBorders>
            <w:shd w:val="clear" w:color="auto" w:fill="auto"/>
            <w:vAlign w:val="center"/>
          </w:tcPr>
          <w:p w14:paraId="1E69820C">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未检出</w:t>
            </w:r>
          </w:p>
        </w:tc>
        <w:tc>
          <w:tcPr>
            <w:tcW w:w="430" w:type="pct"/>
            <w:tcBorders>
              <w:tl2br w:val="nil"/>
              <w:tr2bl w:val="nil"/>
            </w:tcBorders>
            <w:shd w:val="clear" w:color="auto" w:fill="auto"/>
            <w:vAlign w:val="center"/>
          </w:tcPr>
          <w:p w14:paraId="28D11B38">
            <w:pPr>
              <w:pStyle w:val="58"/>
              <w:bidi w:val="0"/>
              <w:rPr>
                <w:rFonts w:hint="default"/>
                <w:highlight w:val="none"/>
                <w:lang w:val="en-US" w:eastAsia="zh-CN"/>
              </w:rPr>
            </w:pPr>
            <w:r>
              <w:rPr>
                <w:rFonts w:hint="default"/>
                <w:highlight w:val="none"/>
                <w:lang w:val="en-US" w:eastAsia="zh-CN"/>
              </w:rPr>
              <w:t>未检出</w:t>
            </w:r>
          </w:p>
        </w:tc>
        <w:tc>
          <w:tcPr>
            <w:tcW w:w="435" w:type="pct"/>
            <w:tcBorders>
              <w:tl2br w:val="nil"/>
              <w:tr2bl w:val="nil"/>
            </w:tcBorders>
            <w:shd w:val="clear" w:color="auto" w:fill="auto"/>
            <w:vAlign w:val="center"/>
          </w:tcPr>
          <w:p w14:paraId="4625563A">
            <w:pPr>
              <w:pStyle w:val="58"/>
              <w:bidi w:val="0"/>
              <w:rPr>
                <w:rFonts w:hint="default"/>
                <w:highlight w:val="none"/>
                <w:lang w:val="en-US" w:eastAsia="zh-CN"/>
              </w:rPr>
            </w:pPr>
            <w:r>
              <w:rPr>
                <w:rFonts w:hint="default"/>
                <w:highlight w:val="none"/>
                <w:lang w:val="en-US" w:eastAsia="zh-CN"/>
              </w:rPr>
              <w:t>未检出</w:t>
            </w:r>
          </w:p>
        </w:tc>
        <w:tc>
          <w:tcPr>
            <w:tcW w:w="477" w:type="pct"/>
            <w:tcBorders>
              <w:tl2br w:val="nil"/>
              <w:tr2bl w:val="nil"/>
            </w:tcBorders>
            <w:shd w:val="clear" w:color="auto" w:fill="auto"/>
            <w:vAlign w:val="center"/>
          </w:tcPr>
          <w:p w14:paraId="0889966E">
            <w:pPr>
              <w:pStyle w:val="58"/>
              <w:bidi w:val="0"/>
              <w:rPr>
                <w:rFonts w:hint="default"/>
                <w:highlight w:val="none"/>
                <w:lang w:val="en-US" w:eastAsia="zh-CN"/>
              </w:rPr>
            </w:pPr>
            <w:r>
              <w:rPr>
                <w:rFonts w:hint="default"/>
                <w:highlight w:val="none"/>
                <w:lang w:val="en-US" w:eastAsia="zh-CN"/>
              </w:rPr>
              <w:t>未检出</w:t>
            </w:r>
          </w:p>
        </w:tc>
      </w:tr>
      <w:tr w14:paraId="42071D4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61D5DC2F">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581CBC95">
            <w:pPr>
              <w:pStyle w:val="58"/>
              <w:bidi w:val="0"/>
              <w:rPr>
                <w:rFonts w:hint="default"/>
                <w:highlight w:val="none"/>
                <w:lang w:val="en-US" w:eastAsia="zh-CN"/>
              </w:rPr>
            </w:pPr>
            <w:r>
              <w:rPr>
                <w:rFonts w:hint="default"/>
                <w:highlight w:val="none"/>
                <w:lang w:val="en-US" w:eastAsia="zh-CN"/>
              </w:rPr>
              <w:t>总大肠菌群</w:t>
            </w:r>
          </w:p>
          <w:p w14:paraId="07205719">
            <w:pPr>
              <w:pStyle w:val="58"/>
              <w:bidi w:val="0"/>
              <w:rPr>
                <w:rFonts w:hint="default"/>
                <w:highlight w:val="none"/>
                <w:lang w:val="en-US" w:eastAsia="zh-CN"/>
              </w:rPr>
            </w:pPr>
            <w:r>
              <w:rPr>
                <w:rFonts w:hint="default"/>
                <w:highlight w:val="none"/>
                <w:lang w:val="en-US" w:eastAsia="zh-CN"/>
              </w:rPr>
              <w:t>（15管法）</w:t>
            </w:r>
          </w:p>
        </w:tc>
        <w:tc>
          <w:tcPr>
            <w:tcW w:w="446" w:type="pct"/>
            <w:tcBorders>
              <w:tl2br w:val="nil"/>
              <w:tr2bl w:val="nil"/>
            </w:tcBorders>
            <w:shd w:val="clear" w:color="auto" w:fill="auto"/>
            <w:vAlign w:val="center"/>
          </w:tcPr>
          <w:p w14:paraId="7A0936A3">
            <w:pPr>
              <w:pStyle w:val="58"/>
              <w:bidi w:val="0"/>
              <w:rPr>
                <w:rFonts w:hint="default"/>
                <w:highlight w:val="none"/>
                <w:lang w:val="en-US" w:eastAsia="zh-CN"/>
              </w:rPr>
            </w:pPr>
            <w:r>
              <w:rPr>
                <w:rFonts w:hint="default"/>
                <w:highlight w:val="none"/>
                <w:lang w:val="en-US" w:eastAsia="zh-CN"/>
              </w:rPr>
              <w:t>未检出</w:t>
            </w:r>
          </w:p>
        </w:tc>
        <w:tc>
          <w:tcPr>
            <w:tcW w:w="490" w:type="pct"/>
            <w:tcBorders>
              <w:tl2br w:val="nil"/>
              <w:tr2bl w:val="nil"/>
            </w:tcBorders>
            <w:shd w:val="clear" w:color="auto" w:fill="auto"/>
            <w:vAlign w:val="center"/>
          </w:tcPr>
          <w:p w14:paraId="6A0A1076">
            <w:pPr>
              <w:pStyle w:val="58"/>
              <w:bidi w:val="0"/>
              <w:rPr>
                <w:rFonts w:hint="default"/>
                <w:highlight w:val="none"/>
                <w:lang w:val="en-US" w:eastAsia="zh-CN"/>
              </w:rPr>
            </w:pPr>
            <w:r>
              <w:rPr>
                <w:rFonts w:hint="default"/>
                <w:highlight w:val="none"/>
                <w:lang w:val="en-US" w:eastAsia="zh-CN"/>
              </w:rPr>
              <w:t>未检出</w:t>
            </w:r>
          </w:p>
        </w:tc>
        <w:tc>
          <w:tcPr>
            <w:tcW w:w="475" w:type="pct"/>
            <w:tcBorders>
              <w:tl2br w:val="nil"/>
              <w:tr2bl w:val="nil"/>
            </w:tcBorders>
            <w:shd w:val="clear" w:color="auto" w:fill="auto"/>
            <w:vAlign w:val="center"/>
          </w:tcPr>
          <w:p w14:paraId="24AB7C76">
            <w:pPr>
              <w:pStyle w:val="58"/>
              <w:bidi w:val="0"/>
              <w:rPr>
                <w:rFonts w:hint="default"/>
                <w:highlight w:val="none"/>
                <w:lang w:val="en-US" w:eastAsia="zh-CN"/>
              </w:rPr>
            </w:pPr>
            <w:r>
              <w:rPr>
                <w:rFonts w:hint="default"/>
                <w:highlight w:val="none"/>
                <w:lang w:val="en-US" w:eastAsia="zh-CN"/>
              </w:rPr>
              <w:t>未检出</w:t>
            </w:r>
          </w:p>
        </w:tc>
        <w:tc>
          <w:tcPr>
            <w:tcW w:w="378" w:type="pct"/>
            <w:tcBorders>
              <w:tl2br w:val="nil"/>
              <w:tr2bl w:val="nil"/>
            </w:tcBorders>
            <w:shd w:val="clear" w:color="auto" w:fill="auto"/>
            <w:vAlign w:val="center"/>
          </w:tcPr>
          <w:p w14:paraId="24F1F135">
            <w:pPr>
              <w:pStyle w:val="58"/>
              <w:bidi w:val="0"/>
              <w:rPr>
                <w:rFonts w:hint="default"/>
                <w:highlight w:val="none"/>
                <w:lang w:val="en-US" w:eastAsia="zh-CN"/>
              </w:rPr>
            </w:pPr>
            <w:r>
              <w:rPr>
                <w:rFonts w:hint="default"/>
                <w:highlight w:val="none"/>
                <w:lang w:val="en-US" w:eastAsia="zh-CN"/>
              </w:rPr>
              <w:t>未检出</w:t>
            </w:r>
          </w:p>
        </w:tc>
        <w:tc>
          <w:tcPr>
            <w:tcW w:w="430" w:type="pct"/>
            <w:tcBorders>
              <w:tl2br w:val="nil"/>
              <w:tr2bl w:val="nil"/>
            </w:tcBorders>
            <w:shd w:val="clear" w:color="auto" w:fill="auto"/>
            <w:vAlign w:val="center"/>
          </w:tcPr>
          <w:p w14:paraId="46760FAF">
            <w:pPr>
              <w:pStyle w:val="58"/>
              <w:bidi w:val="0"/>
              <w:rPr>
                <w:rFonts w:hint="default"/>
                <w:highlight w:val="none"/>
                <w:lang w:val="en-US" w:eastAsia="zh-CN"/>
              </w:rPr>
            </w:pPr>
            <w:r>
              <w:rPr>
                <w:rFonts w:hint="default"/>
                <w:highlight w:val="none"/>
                <w:lang w:val="en-US" w:eastAsia="zh-CN"/>
              </w:rPr>
              <w:t>未检出</w:t>
            </w:r>
          </w:p>
        </w:tc>
        <w:tc>
          <w:tcPr>
            <w:tcW w:w="417" w:type="pct"/>
            <w:tcBorders>
              <w:tl2br w:val="nil"/>
              <w:tr2bl w:val="nil"/>
            </w:tcBorders>
            <w:shd w:val="clear" w:color="auto" w:fill="auto"/>
            <w:vAlign w:val="center"/>
          </w:tcPr>
          <w:p w14:paraId="5B09E992">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未检出</w:t>
            </w:r>
          </w:p>
        </w:tc>
        <w:tc>
          <w:tcPr>
            <w:tcW w:w="529" w:type="pct"/>
            <w:tcBorders>
              <w:tl2br w:val="nil"/>
              <w:tr2bl w:val="nil"/>
            </w:tcBorders>
            <w:shd w:val="clear" w:color="auto" w:fill="auto"/>
            <w:vAlign w:val="center"/>
          </w:tcPr>
          <w:p w14:paraId="3E606D36">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未检出</w:t>
            </w:r>
          </w:p>
        </w:tc>
        <w:tc>
          <w:tcPr>
            <w:tcW w:w="430" w:type="pct"/>
            <w:tcBorders>
              <w:tl2br w:val="nil"/>
              <w:tr2bl w:val="nil"/>
            </w:tcBorders>
            <w:shd w:val="clear" w:color="auto" w:fill="auto"/>
            <w:vAlign w:val="center"/>
          </w:tcPr>
          <w:p w14:paraId="5F53B078">
            <w:pPr>
              <w:pStyle w:val="58"/>
              <w:bidi w:val="0"/>
              <w:rPr>
                <w:rFonts w:hint="default"/>
                <w:highlight w:val="none"/>
                <w:lang w:val="en-US" w:eastAsia="zh-CN"/>
              </w:rPr>
            </w:pPr>
            <w:r>
              <w:rPr>
                <w:rFonts w:hint="default"/>
                <w:highlight w:val="none"/>
                <w:lang w:val="en-US" w:eastAsia="zh-CN"/>
              </w:rPr>
              <w:t>未检出</w:t>
            </w:r>
          </w:p>
        </w:tc>
        <w:tc>
          <w:tcPr>
            <w:tcW w:w="435" w:type="pct"/>
            <w:tcBorders>
              <w:tl2br w:val="nil"/>
              <w:tr2bl w:val="nil"/>
            </w:tcBorders>
            <w:shd w:val="clear" w:color="auto" w:fill="auto"/>
            <w:vAlign w:val="center"/>
          </w:tcPr>
          <w:p w14:paraId="4111AFA5">
            <w:pPr>
              <w:pStyle w:val="58"/>
              <w:bidi w:val="0"/>
              <w:rPr>
                <w:rFonts w:hint="default"/>
                <w:highlight w:val="none"/>
                <w:lang w:val="en-US" w:eastAsia="zh-CN"/>
              </w:rPr>
            </w:pPr>
            <w:r>
              <w:rPr>
                <w:rFonts w:hint="default"/>
                <w:highlight w:val="none"/>
                <w:lang w:val="en-US" w:eastAsia="zh-CN"/>
              </w:rPr>
              <w:t>未检出</w:t>
            </w:r>
          </w:p>
        </w:tc>
        <w:tc>
          <w:tcPr>
            <w:tcW w:w="477" w:type="pct"/>
            <w:tcBorders>
              <w:tl2br w:val="nil"/>
              <w:tr2bl w:val="nil"/>
            </w:tcBorders>
            <w:shd w:val="clear" w:color="auto" w:fill="auto"/>
            <w:vAlign w:val="center"/>
          </w:tcPr>
          <w:p w14:paraId="518591C8">
            <w:pPr>
              <w:pStyle w:val="58"/>
              <w:bidi w:val="0"/>
              <w:rPr>
                <w:rFonts w:hint="default"/>
                <w:highlight w:val="none"/>
                <w:lang w:val="en-US" w:eastAsia="zh-CN"/>
              </w:rPr>
            </w:pPr>
            <w:r>
              <w:rPr>
                <w:rFonts w:hint="default"/>
                <w:highlight w:val="none"/>
                <w:lang w:val="en-US" w:eastAsia="zh-CN"/>
              </w:rPr>
              <w:t>未检出</w:t>
            </w:r>
          </w:p>
        </w:tc>
      </w:tr>
      <w:tr w14:paraId="4453DFD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61861F8B">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7FAC8EFD">
            <w:pPr>
              <w:pStyle w:val="58"/>
              <w:bidi w:val="0"/>
              <w:rPr>
                <w:rFonts w:hint="default"/>
                <w:highlight w:val="none"/>
                <w:lang w:val="en-US" w:eastAsia="zh-CN"/>
              </w:rPr>
            </w:pPr>
            <w:r>
              <w:rPr>
                <w:rFonts w:hint="default"/>
                <w:highlight w:val="none"/>
                <w:lang w:val="en-US" w:eastAsia="zh-CN"/>
              </w:rPr>
              <w:t>菌落总数</w:t>
            </w:r>
          </w:p>
        </w:tc>
        <w:tc>
          <w:tcPr>
            <w:tcW w:w="446" w:type="pct"/>
            <w:tcBorders>
              <w:tl2br w:val="nil"/>
              <w:tr2bl w:val="nil"/>
            </w:tcBorders>
            <w:shd w:val="clear" w:color="auto" w:fill="auto"/>
            <w:vAlign w:val="center"/>
          </w:tcPr>
          <w:p w14:paraId="488FA845">
            <w:pPr>
              <w:pStyle w:val="58"/>
              <w:bidi w:val="0"/>
              <w:rPr>
                <w:rFonts w:hint="default"/>
                <w:highlight w:val="none"/>
                <w:lang w:val="en-US" w:eastAsia="zh-CN"/>
              </w:rPr>
            </w:pPr>
            <w:r>
              <w:rPr>
                <w:rFonts w:hint="default"/>
                <w:highlight w:val="none"/>
                <w:lang w:val="en-US" w:eastAsia="zh-CN"/>
              </w:rPr>
              <w:t>0.330</w:t>
            </w:r>
          </w:p>
        </w:tc>
        <w:tc>
          <w:tcPr>
            <w:tcW w:w="490" w:type="pct"/>
            <w:tcBorders>
              <w:tl2br w:val="nil"/>
              <w:tr2bl w:val="nil"/>
            </w:tcBorders>
            <w:shd w:val="clear" w:color="auto" w:fill="auto"/>
            <w:vAlign w:val="center"/>
          </w:tcPr>
          <w:p w14:paraId="79E9E7D0">
            <w:pPr>
              <w:pStyle w:val="58"/>
              <w:bidi w:val="0"/>
              <w:rPr>
                <w:rFonts w:hint="default"/>
                <w:highlight w:val="none"/>
                <w:lang w:val="en-US" w:eastAsia="zh-CN"/>
              </w:rPr>
            </w:pPr>
            <w:r>
              <w:rPr>
                <w:rFonts w:hint="default"/>
                <w:highlight w:val="none"/>
                <w:lang w:val="en-US" w:eastAsia="zh-CN"/>
              </w:rPr>
              <w:t>0.370</w:t>
            </w:r>
          </w:p>
        </w:tc>
        <w:tc>
          <w:tcPr>
            <w:tcW w:w="475" w:type="pct"/>
            <w:tcBorders>
              <w:tl2br w:val="nil"/>
              <w:tr2bl w:val="nil"/>
            </w:tcBorders>
            <w:shd w:val="clear" w:color="auto" w:fill="auto"/>
            <w:vAlign w:val="center"/>
          </w:tcPr>
          <w:p w14:paraId="62E38CAD">
            <w:pPr>
              <w:pStyle w:val="58"/>
              <w:bidi w:val="0"/>
              <w:rPr>
                <w:rFonts w:hint="default"/>
                <w:highlight w:val="none"/>
                <w:lang w:val="en-US" w:eastAsia="zh-CN"/>
              </w:rPr>
            </w:pPr>
            <w:r>
              <w:rPr>
                <w:rFonts w:hint="default"/>
                <w:highlight w:val="none"/>
                <w:lang w:val="en-US" w:eastAsia="zh-CN"/>
              </w:rPr>
              <w:t>0.300</w:t>
            </w:r>
          </w:p>
        </w:tc>
        <w:tc>
          <w:tcPr>
            <w:tcW w:w="378" w:type="pct"/>
            <w:tcBorders>
              <w:tl2br w:val="nil"/>
              <w:tr2bl w:val="nil"/>
            </w:tcBorders>
            <w:shd w:val="clear" w:color="auto" w:fill="auto"/>
            <w:vAlign w:val="center"/>
          </w:tcPr>
          <w:p w14:paraId="7BBDED0B">
            <w:pPr>
              <w:pStyle w:val="58"/>
              <w:bidi w:val="0"/>
              <w:rPr>
                <w:rFonts w:hint="default"/>
                <w:highlight w:val="none"/>
                <w:lang w:val="en-US" w:eastAsia="zh-CN"/>
              </w:rPr>
            </w:pPr>
            <w:r>
              <w:rPr>
                <w:rFonts w:hint="default"/>
                <w:highlight w:val="none"/>
                <w:lang w:val="en-US" w:eastAsia="zh-CN"/>
              </w:rPr>
              <w:t>0.300</w:t>
            </w:r>
          </w:p>
        </w:tc>
        <w:tc>
          <w:tcPr>
            <w:tcW w:w="430" w:type="pct"/>
            <w:tcBorders>
              <w:tl2br w:val="nil"/>
              <w:tr2bl w:val="nil"/>
            </w:tcBorders>
            <w:shd w:val="clear" w:color="auto" w:fill="auto"/>
            <w:vAlign w:val="center"/>
          </w:tcPr>
          <w:p w14:paraId="793944B4">
            <w:pPr>
              <w:pStyle w:val="58"/>
              <w:bidi w:val="0"/>
              <w:rPr>
                <w:rFonts w:hint="default"/>
                <w:highlight w:val="none"/>
                <w:lang w:val="en-US" w:eastAsia="zh-CN"/>
              </w:rPr>
            </w:pPr>
            <w:r>
              <w:rPr>
                <w:rFonts w:hint="default"/>
                <w:highlight w:val="none"/>
                <w:lang w:val="en-US" w:eastAsia="zh-CN"/>
              </w:rPr>
              <w:t>0.380</w:t>
            </w:r>
          </w:p>
        </w:tc>
        <w:tc>
          <w:tcPr>
            <w:tcW w:w="417" w:type="pct"/>
            <w:tcBorders>
              <w:tl2br w:val="nil"/>
              <w:tr2bl w:val="nil"/>
            </w:tcBorders>
            <w:shd w:val="clear" w:color="auto" w:fill="auto"/>
            <w:vAlign w:val="center"/>
          </w:tcPr>
          <w:p w14:paraId="41DFE53A">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0.310</w:t>
            </w:r>
          </w:p>
        </w:tc>
        <w:tc>
          <w:tcPr>
            <w:tcW w:w="529" w:type="pct"/>
            <w:tcBorders>
              <w:tl2br w:val="nil"/>
              <w:tr2bl w:val="nil"/>
            </w:tcBorders>
            <w:shd w:val="clear" w:color="auto" w:fill="auto"/>
            <w:vAlign w:val="center"/>
          </w:tcPr>
          <w:p w14:paraId="74A3146C">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0.580</w:t>
            </w:r>
          </w:p>
        </w:tc>
        <w:tc>
          <w:tcPr>
            <w:tcW w:w="430" w:type="pct"/>
            <w:tcBorders>
              <w:tl2br w:val="nil"/>
              <w:tr2bl w:val="nil"/>
            </w:tcBorders>
            <w:shd w:val="clear" w:color="auto" w:fill="auto"/>
            <w:vAlign w:val="center"/>
          </w:tcPr>
          <w:p w14:paraId="6185AD34">
            <w:pPr>
              <w:pStyle w:val="58"/>
              <w:bidi w:val="0"/>
              <w:rPr>
                <w:rFonts w:hint="default"/>
                <w:highlight w:val="none"/>
                <w:lang w:val="en-US" w:eastAsia="zh-CN"/>
              </w:rPr>
            </w:pPr>
            <w:r>
              <w:rPr>
                <w:rFonts w:hint="default"/>
                <w:highlight w:val="none"/>
                <w:lang w:val="en-US" w:eastAsia="zh-CN"/>
              </w:rPr>
              <w:t>0.320</w:t>
            </w:r>
          </w:p>
        </w:tc>
        <w:tc>
          <w:tcPr>
            <w:tcW w:w="435" w:type="pct"/>
            <w:tcBorders>
              <w:tl2br w:val="nil"/>
              <w:tr2bl w:val="nil"/>
            </w:tcBorders>
            <w:shd w:val="clear" w:color="auto" w:fill="auto"/>
            <w:vAlign w:val="center"/>
          </w:tcPr>
          <w:p w14:paraId="7A523B95">
            <w:pPr>
              <w:pStyle w:val="58"/>
              <w:bidi w:val="0"/>
              <w:rPr>
                <w:rFonts w:hint="default"/>
                <w:highlight w:val="none"/>
                <w:lang w:val="en-US" w:eastAsia="zh-CN"/>
              </w:rPr>
            </w:pPr>
            <w:r>
              <w:rPr>
                <w:rFonts w:hint="default"/>
                <w:highlight w:val="none"/>
                <w:lang w:val="en-US" w:eastAsia="zh-CN"/>
              </w:rPr>
              <w:t>0.290</w:t>
            </w:r>
          </w:p>
        </w:tc>
        <w:tc>
          <w:tcPr>
            <w:tcW w:w="477" w:type="pct"/>
            <w:tcBorders>
              <w:tl2br w:val="nil"/>
              <w:tr2bl w:val="nil"/>
            </w:tcBorders>
            <w:shd w:val="clear" w:color="auto" w:fill="auto"/>
            <w:vAlign w:val="center"/>
          </w:tcPr>
          <w:p w14:paraId="5C89D1A1">
            <w:pPr>
              <w:pStyle w:val="58"/>
              <w:bidi w:val="0"/>
              <w:rPr>
                <w:rFonts w:hint="default"/>
                <w:highlight w:val="none"/>
                <w:lang w:val="en-US" w:eastAsia="zh-CN"/>
              </w:rPr>
            </w:pPr>
            <w:r>
              <w:rPr>
                <w:rFonts w:hint="default"/>
                <w:highlight w:val="none"/>
                <w:lang w:val="en-US" w:eastAsia="zh-CN"/>
              </w:rPr>
              <w:t>0.360</w:t>
            </w:r>
          </w:p>
        </w:tc>
      </w:tr>
      <w:tr w14:paraId="747B512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4F144394">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6BAA6ECF">
            <w:pPr>
              <w:pStyle w:val="58"/>
              <w:bidi w:val="0"/>
              <w:rPr>
                <w:rFonts w:hint="default"/>
                <w:highlight w:val="none"/>
                <w:lang w:val="en-US" w:eastAsia="zh-CN"/>
              </w:rPr>
            </w:pPr>
            <w:r>
              <w:rPr>
                <w:rFonts w:hint="default"/>
                <w:highlight w:val="none"/>
                <w:lang w:val="en-US" w:eastAsia="zh-CN"/>
              </w:rPr>
              <w:t>钠</w:t>
            </w:r>
          </w:p>
        </w:tc>
        <w:tc>
          <w:tcPr>
            <w:tcW w:w="446" w:type="pct"/>
            <w:tcBorders>
              <w:tl2br w:val="nil"/>
              <w:tr2bl w:val="nil"/>
            </w:tcBorders>
            <w:shd w:val="clear" w:color="auto" w:fill="auto"/>
            <w:vAlign w:val="center"/>
          </w:tcPr>
          <w:p w14:paraId="77F46A41">
            <w:pPr>
              <w:pStyle w:val="58"/>
              <w:bidi w:val="0"/>
              <w:rPr>
                <w:rFonts w:hint="default"/>
                <w:highlight w:val="none"/>
                <w:lang w:val="en-US" w:eastAsia="zh-CN"/>
              </w:rPr>
            </w:pPr>
            <w:r>
              <w:rPr>
                <w:rFonts w:hint="default"/>
                <w:highlight w:val="none"/>
                <w:lang w:val="en-US" w:eastAsia="zh-CN"/>
              </w:rPr>
              <w:t>/</w:t>
            </w:r>
          </w:p>
        </w:tc>
        <w:tc>
          <w:tcPr>
            <w:tcW w:w="490" w:type="pct"/>
            <w:tcBorders>
              <w:tl2br w:val="nil"/>
              <w:tr2bl w:val="nil"/>
            </w:tcBorders>
            <w:shd w:val="clear" w:color="auto" w:fill="auto"/>
            <w:vAlign w:val="center"/>
          </w:tcPr>
          <w:p w14:paraId="0529B9D0">
            <w:pPr>
              <w:pStyle w:val="58"/>
              <w:bidi w:val="0"/>
              <w:rPr>
                <w:rFonts w:hint="default"/>
                <w:highlight w:val="none"/>
                <w:lang w:val="en-US" w:eastAsia="zh-CN"/>
              </w:rPr>
            </w:pPr>
            <w:r>
              <w:rPr>
                <w:rFonts w:hint="default"/>
                <w:highlight w:val="none"/>
                <w:lang w:val="en-US" w:eastAsia="zh-CN"/>
              </w:rPr>
              <w:t>/</w:t>
            </w:r>
          </w:p>
        </w:tc>
        <w:tc>
          <w:tcPr>
            <w:tcW w:w="475" w:type="pct"/>
            <w:tcBorders>
              <w:tl2br w:val="nil"/>
              <w:tr2bl w:val="nil"/>
            </w:tcBorders>
            <w:shd w:val="clear" w:color="auto" w:fill="auto"/>
            <w:vAlign w:val="center"/>
          </w:tcPr>
          <w:p w14:paraId="5DFD92F7">
            <w:pPr>
              <w:pStyle w:val="58"/>
              <w:bidi w:val="0"/>
              <w:rPr>
                <w:rFonts w:hint="default"/>
                <w:highlight w:val="none"/>
                <w:lang w:val="en-US" w:eastAsia="zh-CN"/>
              </w:rPr>
            </w:pPr>
            <w:r>
              <w:rPr>
                <w:rFonts w:hint="default"/>
                <w:highlight w:val="none"/>
                <w:lang w:val="en-US" w:eastAsia="zh-CN"/>
              </w:rPr>
              <w:t>/</w:t>
            </w:r>
          </w:p>
        </w:tc>
        <w:tc>
          <w:tcPr>
            <w:tcW w:w="378" w:type="pct"/>
            <w:tcBorders>
              <w:tl2br w:val="nil"/>
              <w:tr2bl w:val="nil"/>
            </w:tcBorders>
            <w:shd w:val="clear" w:color="auto" w:fill="auto"/>
            <w:vAlign w:val="center"/>
          </w:tcPr>
          <w:p w14:paraId="3C68E53D">
            <w:pPr>
              <w:pStyle w:val="58"/>
              <w:bidi w:val="0"/>
              <w:rPr>
                <w:rFonts w:hint="default"/>
                <w:highlight w:val="none"/>
                <w:lang w:val="en-US" w:eastAsia="zh-CN"/>
              </w:rPr>
            </w:pPr>
            <w:r>
              <w:rPr>
                <w:rFonts w:hint="default"/>
                <w:highlight w:val="none"/>
                <w:lang w:val="en-US" w:eastAsia="zh-CN"/>
              </w:rPr>
              <w:t>/</w:t>
            </w:r>
          </w:p>
        </w:tc>
        <w:tc>
          <w:tcPr>
            <w:tcW w:w="430" w:type="pct"/>
            <w:tcBorders>
              <w:tl2br w:val="nil"/>
              <w:tr2bl w:val="nil"/>
            </w:tcBorders>
            <w:shd w:val="clear" w:color="auto" w:fill="auto"/>
            <w:vAlign w:val="center"/>
          </w:tcPr>
          <w:p w14:paraId="16431B86">
            <w:pPr>
              <w:pStyle w:val="58"/>
              <w:bidi w:val="0"/>
              <w:rPr>
                <w:rFonts w:hint="default"/>
                <w:highlight w:val="none"/>
                <w:lang w:val="en-US" w:eastAsia="zh-CN"/>
              </w:rPr>
            </w:pPr>
            <w:r>
              <w:rPr>
                <w:rFonts w:hint="default"/>
                <w:highlight w:val="none"/>
                <w:lang w:val="en-US" w:eastAsia="zh-CN"/>
              </w:rPr>
              <w:t>/</w:t>
            </w:r>
          </w:p>
        </w:tc>
        <w:tc>
          <w:tcPr>
            <w:tcW w:w="417" w:type="pct"/>
            <w:tcBorders>
              <w:tl2br w:val="nil"/>
              <w:tr2bl w:val="nil"/>
            </w:tcBorders>
            <w:shd w:val="clear" w:color="auto" w:fill="auto"/>
            <w:vAlign w:val="center"/>
          </w:tcPr>
          <w:p w14:paraId="52328C24">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w:t>
            </w:r>
          </w:p>
        </w:tc>
        <w:tc>
          <w:tcPr>
            <w:tcW w:w="529" w:type="pct"/>
            <w:tcBorders>
              <w:tl2br w:val="nil"/>
              <w:tr2bl w:val="nil"/>
            </w:tcBorders>
            <w:shd w:val="clear" w:color="auto" w:fill="auto"/>
            <w:vAlign w:val="center"/>
          </w:tcPr>
          <w:p w14:paraId="7B45F446">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w:t>
            </w:r>
          </w:p>
        </w:tc>
        <w:tc>
          <w:tcPr>
            <w:tcW w:w="430" w:type="pct"/>
            <w:tcBorders>
              <w:tl2br w:val="nil"/>
              <w:tr2bl w:val="nil"/>
            </w:tcBorders>
            <w:shd w:val="clear" w:color="auto" w:fill="auto"/>
            <w:vAlign w:val="center"/>
          </w:tcPr>
          <w:p w14:paraId="46A1D4CF">
            <w:pPr>
              <w:pStyle w:val="58"/>
              <w:bidi w:val="0"/>
              <w:rPr>
                <w:rFonts w:hint="default"/>
                <w:highlight w:val="none"/>
                <w:lang w:val="en-US" w:eastAsia="zh-CN"/>
              </w:rPr>
            </w:pPr>
            <w:r>
              <w:rPr>
                <w:rFonts w:hint="default"/>
                <w:highlight w:val="none"/>
                <w:lang w:val="en-US" w:eastAsia="zh-CN"/>
              </w:rPr>
              <w:t>/</w:t>
            </w:r>
          </w:p>
        </w:tc>
        <w:tc>
          <w:tcPr>
            <w:tcW w:w="435" w:type="pct"/>
            <w:tcBorders>
              <w:tl2br w:val="nil"/>
              <w:tr2bl w:val="nil"/>
            </w:tcBorders>
            <w:shd w:val="clear" w:color="auto" w:fill="auto"/>
            <w:vAlign w:val="center"/>
          </w:tcPr>
          <w:p w14:paraId="438858BF">
            <w:pPr>
              <w:pStyle w:val="58"/>
              <w:bidi w:val="0"/>
              <w:rPr>
                <w:rFonts w:hint="default"/>
                <w:highlight w:val="none"/>
                <w:lang w:val="en-US" w:eastAsia="zh-CN"/>
              </w:rPr>
            </w:pPr>
            <w:r>
              <w:rPr>
                <w:rFonts w:hint="default"/>
                <w:highlight w:val="none"/>
                <w:lang w:val="en-US" w:eastAsia="zh-CN"/>
              </w:rPr>
              <w:t>/</w:t>
            </w:r>
          </w:p>
        </w:tc>
        <w:tc>
          <w:tcPr>
            <w:tcW w:w="477" w:type="pct"/>
            <w:tcBorders>
              <w:tl2br w:val="nil"/>
              <w:tr2bl w:val="nil"/>
            </w:tcBorders>
            <w:shd w:val="clear" w:color="auto" w:fill="auto"/>
            <w:vAlign w:val="center"/>
          </w:tcPr>
          <w:p w14:paraId="149AF1E5">
            <w:pPr>
              <w:pStyle w:val="58"/>
              <w:bidi w:val="0"/>
              <w:rPr>
                <w:rFonts w:hint="default"/>
                <w:highlight w:val="none"/>
                <w:lang w:val="en-US" w:eastAsia="zh-CN"/>
              </w:rPr>
            </w:pPr>
            <w:r>
              <w:rPr>
                <w:rFonts w:hint="default"/>
                <w:highlight w:val="none"/>
                <w:lang w:val="en-US" w:eastAsia="zh-CN"/>
              </w:rPr>
              <w:t>/</w:t>
            </w:r>
          </w:p>
        </w:tc>
      </w:tr>
      <w:tr w14:paraId="1973A6D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2539C716">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634ADA8E">
            <w:pPr>
              <w:pStyle w:val="58"/>
              <w:bidi w:val="0"/>
              <w:rPr>
                <w:rFonts w:hint="default"/>
                <w:highlight w:val="none"/>
                <w:lang w:val="en-US" w:eastAsia="zh-CN"/>
              </w:rPr>
            </w:pPr>
            <w:r>
              <w:rPr>
                <w:rFonts w:hint="default"/>
                <w:highlight w:val="none"/>
                <w:lang w:val="en-US" w:eastAsia="zh-CN"/>
              </w:rPr>
              <w:t>钾</w:t>
            </w:r>
          </w:p>
        </w:tc>
        <w:tc>
          <w:tcPr>
            <w:tcW w:w="446" w:type="pct"/>
            <w:tcBorders>
              <w:tl2br w:val="nil"/>
              <w:tr2bl w:val="nil"/>
            </w:tcBorders>
            <w:shd w:val="clear" w:color="auto" w:fill="auto"/>
            <w:vAlign w:val="center"/>
          </w:tcPr>
          <w:p w14:paraId="65CAE7AD">
            <w:pPr>
              <w:pStyle w:val="58"/>
              <w:bidi w:val="0"/>
              <w:rPr>
                <w:rFonts w:hint="default"/>
                <w:highlight w:val="none"/>
                <w:lang w:val="en-US" w:eastAsia="zh-CN"/>
              </w:rPr>
            </w:pPr>
            <w:r>
              <w:rPr>
                <w:rFonts w:hint="default"/>
                <w:highlight w:val="none"/>
                <w:lang w:val="en-US" w:eastAsia="zh-CN"/>
              </w:rPr>
              <w:t>/</w:t>
            </w:r>
          </w:p>
        </w:tc>
        <w:tc>
          <w:tcPr>
            <w:tcW w:w="490" w:type="pct"/>
            <w:tcBorders>
              <w:tl2br w:val="nil"/>
              <w:tr2bl w:val="nil"/>
            </w:tcBorders>
            <w:shd w:val="clear" w:color="auto" w:fill="auto"/>
            <w:vAlign w:val="center"/>
          </w:tcPr>
          <w:p w14:paraId="25C99301">
            <w:pPr>
              <w:pStyle w:val="58"/>
              <w:bidi w:val="0"/>
              <w:rPr>
                <w:rFonts w:hint="default"/>
                <w:highlight w:val="none"/>
                <w:lang w:val="en-US" w:eastAsia="zh-CN"/>
              </w:rPr>
            </w:pPr>
            <w:r>
              <w:rPr>
                <w:rFonts w:hint="default"/>
                <w:highlight w:val="none"/>
                <w:lang w:val="en-US" w:eastAsia="zh-CN"/>
              </w:rPr>
              <w:t>/</w:t>
            </w:r>
          </w:p>
        </w:tc>
        <w:tc>
          <w:tcPr>
            <w:tcW w:w="475" w:type="pct"/>
            <w:tcBorders>
              <w:tl2br w:val="nil"/>
              <w:tr2bl w:val="nil"/>
            </w:tcBorders>
            <w:shd w:val="clear" w:color="auto" w:fill="auto"/>
            <w:vAlign w:val="center"/>
          </w:tcPr>
          <w:p w14:paraId="0EEE44E8">
            <w:pPr>
              <w:pStyle w:val="58"/>
              <w:bidi w:val="0"/>
              <w:rPr>
                <w:rFonts w:hint="default"/>
                <w:highlight w:val="none"/>
                <w:lang w:val="en-US" w:eastAsia="zh-CN"/>
              </w:rPr>
            </w:pPr>
            <w:r>
              <w:rPr>
                <w:rFonts w:hint="default"/>
                <w:highlight w:val="none"/>
                <w:lang w:val="en-US" w:eastAsia="zh-CN"/>
              </w:rPr>
              <w:t>/</w:t>
            </w:r>
          </w:p>
        </w:tc>
        <w:tc>
          <w:tcPr>
            <w:tcW w:w="378" w:type="pct"/>
            <w:tcBorders>
              <w:tl2br w:val="nil"/>
              <w:tr2bl w:val="nil"/>
            </w:tcBorders>
            <w:shd w:val="clear" w:color="auto" w:fill="auto"/>
            <w:vAlign w:val="center"/>
          </w:tcPr>
          <w:p w14:paraId="0F256EFF">
            <w:pPr>
              <w:pStyle w:val="58"/>
              <w:bidi w:val="0"/>
              <w:rPr>
                <w:rFonts w:hint="default"/>
                <w:highlight w:val="none"/>
                <w:lang w:val="en-US" w:eastAsia="zh-CN"/>
              </w:rPr>
            </w:pPr>
            <w:r>
              <w:rPr>
                <w:rFonts w:hint="default"/>
                <w:highlight w:val="none"/>
                <w:lang w:val="en-US" w:eastAsia="zh-CN"/>
              </w:rPr>
              <w:t>/</w:t>
            </w:r>
          </w:p>
        </w:tc>
        <w:tc>
          <w:tcPr>
            <w:tcW w:w="430" w:type="pct"/>
            <w:tcBorders>
              <w:tl2br w:val="nil"/>
              <w:tr2bl w:val="nil"/>
            </w:tcBorders>
            <w:shd w:val="clear" w:color="auto" w:fill="auto"/>
            <w:vAlign w:val="center"/>
          </w:tcPr>
          <w:p w14:paraId="76374A0F">
            <w:pPr>
              <w:pStyle w:val="58"/>
              <w:bidi w:val="0"/>
              <w:rPr>
                <w:rFonts w:hint="default"/>
                <w:highlight w:val="none"/>
                <w:lang w:val="en-US" w:eastAsia="zh-CN"/>
              </w:rPr>
            </w:pPr>
            <w:r>
              <w:rPr>
                <w:rFonts w:hint="default"/>
                <w:highlight w:val="none"/>
                <w:lang w:val="en-US" w:eastAsia="zh-CN"/>
              </w:rPr>
              <w:t>/</w:t>
            </w:r>
          </w:p>
        </w:tc>
        <w:tc>
          <w:tcPr>
            <w:tcW w:w="417" w:type="pct"/>
            <w:tcBorders>
              <w:tl2br w:val="nil"/>
              <w:tr2bl w:val="nil"/>
            </w:tcBorders>
            <w:shd w:val="clear" w:color="auto" w:fill="auto"/>
            <w:vAlign w:val="center"/>
          </w:tcPr>
          <w:p w14:paraId="14D6316A">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w:t>
            </w:r>
          </w:p>
        </w:tc>
        <w:tc>
          <w:tcPr>
            <w:tcW w:w="529" w:type="pct"/>
            <w:tcBorders>
              <w:tl2br w:val="nil"/>
              <w:tr2bl w:val="nil"/>
            </w:tcBorders>
            <w:shd w:val="clear" w:color="auto" w:fill="auto"/>
            <w:vAlign w:val="center"/>
          </w:tcPr>
          <w:p w14:paraId="5169009F">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w:t>
            </w:r>
          </w:p>
        </w:tc>
        <w:tc>
          <w:tcPr>
            <w:tcW w:w="430" w:type="pct"/>
            <w:tcBorders>
              <w:tl2br w:val="nil"/>
              <w:tr2bl w:val="nil"/>
            </w:tcBorders>
            <w:shd w:val="clear" w:color="auto" w:fill="auto"/>
            <w:vAlign w:val="center"/>
          </w:tcPr>
          <w:p w14:paraId="09F1A63B">
            <w:pPr>
              <w:pStyle w:val="58"/>
              <w:bidi w:val="0"/>
              <w:rPr>
                <w:rFonts w:hint="default"/>
                <w:highlight w:val="none"/>
                <w:lang w:val="en-US" w:eastAsia="zh-CN"/>
              </w:rPr>
            </w:pPr>
            <w:r>
              <w:rPr>
                <w:rFonts w:hint="default"/>
                <w:highlight w:val="none"/>
                <w:lang w:val="en-US" w:eastAsia="zh-CN"/>
              </w:rPr>
              <w:t>/</w:t>
            </w:r>
          </w:p>
        </w:tc>
        <w:tc>
          <w:tcPr>
            <w:tcW w:w="435" w:type="pct"/>
            <w:tcBorders>
              <w:tl2br w:val="nil"/>
              <w:tr2bl w:val="nil"/>
            </w:tcBorders>
            <w:shd w:val="clear" w:color="auto" w:fill="auto"/>
            <w:vAlign w:val="center"/>
          </w:tcPr>
          <w:p w14:paraId="6E9C1747">
            <w:pPr>
              <w:pStyle w:val="58"/>
              <w:bidi w:val="0"/>
              <w:rPr>
                <w:rFonts w:hint="default"/>
                <w:highlight w:val="none"/>
                <w:lang w:val="en-US" w:eastAsia="zh-CN"/>
              </w:rPr>
            </w:pPr>
            <w:r>
              <w:rPr>
                <w:rFonts w:hint="default"/>
                <w:highlight w:val="none"/>
                <w:lang w:val="en-US" w:eastAsia="zh-CN"/>
              </w:rPr>
              <w:t>/</w:t>
            </w:r>
          </w:p>
        </w:tc>
        <w:tc>
          <w:tcPr>
            <w:tcW w:w="477" w:type="pct"/>
            <w:tcBorders>
              <w:tl2br w:val="nil"/>
              <w:tr2bl w:val="nil"/>
            </w:tcBorders>
            <w:shd w:val="clear" w:color="auto" w:fill="auto"/>
            <w:vAlign w:val="center"/>
          </w:tcPr>
          <w:p w14:paraId="326C1AFB">
            <w:pPr>
              <w:pStyle w:val="58"/>
              <w:bidi w:val="0"/>
              <w:rPr>
                <w:rFonts w:hint="default"/>
                <w:highlight w:val="none"/>
                <w:lang w:val="en-US" w:eastAsia="zh-CN"/>
              </w:rPr>
            </w:pPr>
            <w:r>
              <w:rPr>
                <w:rFonts w:hint="default"/>
                <w:highlight w:val="none"/>
                <w:lang w:val="en-US" w:eastAsia="zh-CN"/>
              </w:rPr>
              <w:t>/</w:t>
            </w:r>
          </w:p>
        </w:tc>
      </w:tr>
      <w:tr w14:paraId="380FCD7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55F1B13F">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1C5C3BE1">
            <w:pPr>
              <w:pStyle w:val="58"/>
              <w:bidi w:val="0"/>
              <w:rPr>
                <w:rFonts w:hint="default"/>
                <w:highlight w:val="none"/>
                <w:lang w:val="en-US" w:eastAsia="zh-CN"/>
              </w:rPr>
            </w:pPr>
            <w:r>
              <w:rPr>
                <w:rFonts w:hint="default"/>
                <w:highlight w:val="none"/>
                <w:lang w:val="en-US" w:eastAsia="zh-CN"/>
              </w:rPr>
              <w:t>钙</w:t>
            </w:r>
          </w:p>
        </w:tc>
        <w:tc>
          <w:tcPr>
            <w:tcW w:w="446" w:type="pct"/>
            <w:tcBorders>
              <w:tl2br w:val="nil"/>
              <w:tr2bl w:val="nil"/>
            </w:tcBorders>
            <w:shd w:val="clear" w:color="auto" w:fill="auto"/>
            <w:vAlign w:val="center"/>
          </w:tcPr>
          <w:p w14:paraId="628901F1">
            <w:pPr>
              <w:pStyle w:val="58"/>
              <w:bidi w:val="0"/>
              <w:rPr>
                <w:rFonts w:hint="default"/>
                <w:highlight w:val="none"/>
                <w:lang w:val="en-US" w:eastAsia="zh-CN"/>
              </w:rPr>
            </w:pPr>
            <w:r>
              <w:rPr>
                <w:rFonts w:hint="default"/>
                <w:highlight w:val="none"/>
                <w:lang w:val="en-US" w:eastAsia="zh-CN"/>
              </w:rPr>
              <w:t>/</w:t>
            </w:r>
          </w:p>
        </w:tc>
        <w:tc>
          <w:tcPr>
            <w:tcW w:w="490" w:type="pct"/>
            <w:tcBorders>
              <w:tl2br w:val="nil"/>
              <w:tr2bl w:val="nil"/>
            </w:tcBorders>
            <w:shd w:val="clear" w:color="auto" w:fill="auto"/>
            <w:vAlign w:val="center"/>
          </w:tcPr>
          <w:p w14:paraId="01D59EFB">
            <w:pPr>
              <w:pStyle w:val="58"/>
              <w:bidi w:val="0"/>
              <w:rPr>
                <w:rFonts w:hint="default"/>
                <w:highlight w:val="none"/>
                <w:lang w:val="en-US" w:eastAsia="zh-CN"/>
              </w:rPr>
            </w:pPr>
            <w:r>
              <w:rPr>
                <w:rFonts w:hint="default"/>
                <w:highlight w:val="none"/>
                <w:lang w:val="en-US" w:eastAsia="zh-CN"/>
              </w:rPr>
              <w:t>/</w:t>
            </w:r>
          </w:p>
        </w:tc>
        <w:tc>
          <w:tcPr>
            <w:tcW w:w="475" w:type="pct"/>
            <w:tcBorders>
              <w:tl2br w:val="nil"/>
              <w:tr2bl w:val="nil"/>
            </w:tcBorders>
            <w:shd w:val="clear" w:color="auto" w:fill="auto"/>
            <w:vAlign w:val="center"/>
          </w:tcPr>
          <w:p w14:paraId="558EC907">
            <w:pPr>
              <w:pStyle w:val="58"/>
              <w:bidi w:val="0"/>
              <w:rPr>
                <w:rFonts w:hint="default"/>
                <w:highlight w:val="none"/>
                <w:lang w:val="en-US" w:eastAsia="zh-CN"/>
              </w:rPr>
            </w:pPr>
            <w:r>
              <w:rPr>
                <w:rFonts w:hint="default"/>
                <w:highlight w:val="none"/>
                <w:lang w:val="en-US" w:eastAsia="zh-CN"/>
              </w:rPr>
              <w:t>/</w:t>
            </w:r>
          </w:p>
        </w:tc>
        <w:tc>
          <w:tcPr>
            <w:tcW w:w="378" w:type="pct"/>
            <w:tcBorders>
              <w:tl2br w:val="nil"/>
              <w:tr2bl w:val="nil"/>
            </w:tcBorders>
            <w:shd w:val="clear" w:color="auto" w:fill="auto"/>
            <w:vAlign w:val="center"/>
          </w:tcPr>
          <w:p w14:paraId="0145F947">
            <w:pPr>
              <w:pStyle w:val="58"/>
              <w:bidi w:val="0"/>
              <w:rPr>
                <w:rFonts w:hint="default"/>
                <w:highlight w:val="none"/>
                <w:lang w:val="en-US" w:eastAsia="zh-CN"/>
              </w:rPr>
            </w:pPr>
            <w:r>
              <w:rPr>
                <w:rFonts w:hint="default"/>
                <w:highlight w:val="none"/>
                <w:lang w:val="en-US" w:eastAsia="zh-CN"/>
              </w:rPr>
              <w:t>/</w:t>
            </w:r>
          </w:p>
        </w:tc>
        <w:tc>
          <w:tcPr>
            <w:tcW w:w="430" w:type="pct"/>
            <w:tcBorders>
              <w:tl2br w:val="nil"/>
              <w:tr2bl w:val="nil"/>
            </w:tcBorders>
            <w:shd w:val="clear" w:color="auto" w:fill="auto"/>
            <w:vAlign w:val="center"/>
          </w:tcPr>
          <w:p w14:paraId="571AFB0C">
            <w:pPr>
              <w:pStyle w:val="58"/>
              <w:bidi w:val="0"/>
              <w:rPr>
                <w:rFonts w:hint="default"/>
                <w:highlight w:val="none"/>
                <w:lang w:val="en-US" w:eastAsia="zh-CN"/>
              </w:rPr>
            </w:pPr>
            <w:r>
              <w:rPr>
                <w:rFonts w:hint="default"/>
                <w:highlight w:val="none"/>
                <w:lang w:val="en-US" w:eastAsia="zh-CN"/>
              </w:rPr>
              <w:t>/</w:t>
            </w:r>
          </w:p>
        </w:tc>
        <w:tc>
          <w:tcPr>
            <w:tcW w:w="417" w:type="pct"/>
            <w:tcBorders>
              <w:tl2br w:val="nil"/>
              <w:tr2bl w:val="nil"/>
            </w:tcBorders>
            <w:shd w:val="clear" w:color="auto" w:fill="auto"/>
            <w:vAlign w:val="center"/>
          </w:tcPr>
          <w:p w14:paraId="6D94EC69">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w:t>
            </w:r>
          </w:p>
        </w:tc>
        <w:tc>
          <w:tcPr>
            <w:tcW w:w="529" w:type="pct"/>
            <w:tcBorders>
              <w:tl2br w:val="nil"/>
              <w:tr2bl w:val="nil"/>
            </w:tcBorders>
            <w:shd w:val="clear" w:color="auto" w:fill="auto"/>
            <w:vAlign w:val="center"/>
          </w:tcPr>
          <w:p w14:paraId="4FC110F4">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w:t>
            </w:r>
          </w:p>
        </w:tc>
        <w:tc>
          <w:tcPr>
            <w:tcW w:w="430" w:type="pct"/>
            <w:tcBorders>
              <w:tl2br w:val="nil"/>
              <w:tr2bl w:val="nil"/>
            </w:tcBorders>
            <w:shd w:val="clear" w:color="auto" w:fill="auto"/>
            <w:vAlign w:val="center"/>
          </w:tcPr>
          <w:p w14:paraId="1C2E6889">
            <w:pPr>
              <w:pStyle w:val="58"/>
              <w:bidi w:val="0"/>
              <w:rPr>
                <w:rFonts w:hint="default"/>
                <w:highlight w:val="none"/>
                <w:lang w:val="en-US" w:eastAsia="zh-CN"/>
              </w:rPr>
            </w:pPr>
            <w:r>
              <w:rPr>
                <w:rFonts w:hint="default"/>
                <w:highlight w:val="none"/>
                <w:lang w:val="en-US" w:eastAsia="zh-CN"/>
              </w:rPr>
              <w:t>/</w:t>
            </w:r>
          </w:p>
        </w:tc>
        <w:tc>
          <w:tcPr>
            <w:tcW w:w="435" w:type="pct"/>
            <w:tcBorders>
              <w:tl2br w:val="nil"/>
              <w:tr2bl w:val="nil"/>
            </w:tcBorders>
            <w:shd w:val="clear" w:color="auto" w:fill="auto"/>
            <w:vAlign w:val="center"/>
          </w:tcPr>
          <w:p w14:paraId="475FDC4C">
            <w:pPr>
              <w:pStyle w:val="58"/>
              <w:bidi w:val="0"/>
              <w:rPr>
                <w:rFonts w:hint="default"/>
                <w:highlight w:val="none"/>
                <w:lang w:val="en-US" w:eastAsia="zh-CN"/>
              </w:rPr>
            </w:pPr>
            <w:r>
              <w:rPr>
                <w:rFonts w:hint="default"/>
                <w:highlight w:val="none"/>
                <w:lang w:val="en-US" w:eastAsia="zh-CN"/>
              </w:rPr>
              <w:t>/</w:t>
            </w:r>
          </w:p>
        </w:tc>
        <w:tc>
          <w:tcPr>
            <w:tcW w:w="477" w:type="pct"/>
            <w:tcBorders>
              <w:tl2br w:val="nil"/>
              <w:tr2bl w:val="nil"/>
            </w:tcBorders>
            <w:shd w:val="clear" w:color="auto" w:fill="auto"/>
            <w:vAlign w:val="center"/>
          </w:tcPr>
          <w:p w14:paraId="34D9FD0C">
            <w:pPr>
              <w:pStyle w:val="58"/>
              <w:bidi w:val="0"/>
              <w:rPr>
                <w:rFonts w:hint="default"/>
                <w:highlight w:val="none"/>
                <w:lang w:val="en-US" w:eastAsia="zh-CN"/>
              </w:rPr>
            </w:pPr>
            <w:r>
              <w:rPr>
                <w:rFonts w:hint="default"/>
                <w:highlight w:val="none"/>
                <w:lang w:val="en-US" w:eastAsia="zh-CN"/>
              </w:rPr>
              <w:t>/</w:t>
            </w:r>
          </w:p>
        </w:tc>
      </w:tr>
      <w:tr w14:paraId="5D640EB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2724870F">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01A33BC5">
            <w:pPr>
              <w:pStyle w:val="58"/>
              <w:bidi w:val="0"/>
              <w:rPr>
                <w:rFonts w:hint="default"/>
                <w:highlight w:val="none"/>
                <w:lang w:val="en-US" w:eastAsia="zh-CN"/>
              </w:rPr>
            </w:pPr>
            <w:r>
              <w:rPr>
                <w:rFonts w:hint="default"/>
                <w:highlight w:val="none"/>
                <w:lang w:val="en-US" w:eastAsia="zh-CN"/>
              </w:rPr>
              <w:t>镁</w:t>
            </w:r>
          </w:p>
        </w:tc>
        <w:tc>
          <w:tcPr>
            <w:tcW w:w="446" w:type="pct"/>
            <w:tcBorders>
              <w:tl2br w:val="nil"/>
              <w:tr2bl w:val="nil"/>
            </w:tcBorders>
            <w:shd w:val="clear" w:color="auto" w:fill="auto"/>
            <w:vAlign w:val="center"/>
          </w:tcPr>
          <w:p w14:paraId="4412362A">
            <w:pPr>
              <w:pStyle w:val="58"/>
              <w:bidi w:val="0"/>
              <w:rPr>
                <w:rFonts w:hint="default"/>
                <w:highlight w:val="none"/>
                <w:lang w:val="en-US" w:eastAsia="zh-CN"/>
              </w:rPr>
            </w:pPr>
            <w:r>
              <w:rPr>
                <w:rFonts w:hint="default"/>
                <w:highlight w:val="none"/>
                <w:lang w:val="en-US" w:eastAsia="zh-CN"/>
              </w:rPr>
              <w:t>/</w:t>
            </w:r>
          </w:p>
        </w:tc>
        <w:tc>
          <w:tcPr>
            <w:tcW w:w="490" w:type="pct"/>
            <w:tcBorders>
              <w:tl2br w:val="nil"/>
              <w:tr2bl w:val="nil"/>
            </w:tcBorders>
            <w:shd w:val="clear" w:color="auto" w:fill="auto"/>
            <w:vAlign w:val="center"/>
          </w:tcPr>
          <w:p w14:paraId="633A8524">
            <w:pPr>
              <w:pStyle w:val="58"/>
              <w:bidi w:val="0"/>
              <w:rPr>
                <w:rFonts w:hint="default"/>
                <w:highlight w:val="none"/>
                <w:lang w:val="en-US" w:eastAsia="zh-CN"/>
              </w:rPr>
            </w:pPr>
            <w:r>
              <w:rPr>
                <w:rFonts w:hint="default"/>
                <w:highlight w:val="none"/>
                <w:lang w:val="en-US" w:eastAsia="zh-CN"/>
              </w:rPr>
              <w:t>/</w:t>
            </w:r>
          </w:p>
        </w:tc>
        <w:tc>
          <w:tcPr>
            <w:tcW w:w="475" w:type="pct"/>
            <w:tcBorders>
              <w:tl2br w:val="nil"/>
              <w:tr2bl w:val="nil"/>
            </w:tcBorders>
            <w:shd w:val="clear" w:color="auto" w:fill="auto"/>
            <w:vAlign w:val="center"/>
          </w:tcPr>
          <w:p w14:paraId="09137BDC">
            <w:pPr>
              <w:pStyle w:val="58"/>
              <w:bidi w:val="0"/>
              <w:rPr>
                <w:rFonts w:hint="default"/>
                <w:highlight w:val="none"/>
                <w:lang w:val="en-US" w:eastAsia="zh-CN"/>
              </w:rPr>
            </w:pPr>
            <w:r>
              <w:rPr>
                <w:rFonts w:hint="default"/>
                <w:highlight w:val="none"/>
                <w:lang w:val="en-US" w:eastAsia="zh-CN"/>
              </w:rPr>
              <w:t>/</w:t>
            </w:r>
          </w:p>
        </w:tc>
        <w:tc>
          <w:tcPr>
            <w:tcW w:w="378" w:type="pct"/>
            <w:tcBorders>
              <w:tl2br w:val="nil"/>
              <w:tr2bl w:val="nil"/>
            </w:tcBorders>
            <w:shd w:val="clear" w:color="auto" w:fill="auto"/>
            <w:vAlign w:val="center"/>
          </w:tcPr>
          <w:p w14:paraId="2B7BA9AA">
            <w:pPr>
              <w:pStyle w:val="58"/>
              <w:bidi w:val="0"/>
              <w:rPr>
                <w:rFonts w:hint="default"/>
                <w:highlight w:val="none"/>
                <w:lang w:val="en-US" w:eastAsia="zh-CN"/>
              </w:rPr>
            </w:pPr>
            <w:r>
              <w:rPr>
                <w:rFonts w:hint="default"/>
                <w:highlight w:val="none"/>
                <w:lang w:val="en-US" w:eastAsia="zh-CN"/>
              </w:rPr>
              <w:t>/</w:t>
            </w:r>
          </w:p>
        </w:tc>
        <w:tc>
          <w:tcPr>
            <w:tcW w:w="430" w:type="pct"/>
            <w:tcBorders>
              <w:tl2br w:val="nil"/>
              <w:tr2bl w:val="nil"/>
            </w:tcBorders>
            <w:shd w:val="clear" w:color="auto" w:fill="auto"/>
            <w:vAlign w:val="center"/>
          </w:tcPr>
          <w:p w14:paraId="6A9EE1AF">
            <w:pPr>
              <w:pStyle w:val="58"/>
              <w:bidi w:val="0"/>
              <w:rPr>
                <w:rFonts w:hint="default"/>
                <w:highlight w:val="none"/>
                <w:lang w:val="en-US" w:eastAsia="zh-CN"/>
              </w:rPr>
            </w:pPr>
            <w:r>
              <w:rPr>
                <w:rFonts w:hint="default"/>
                <w:highlight w:val="none"/>
                <w:lang w:val="en-US" w:eastAsia="zh-CN"/>
              </w:rPr>
              <w:t>/</w:t>
            </w:r>
          </w:p>
        </w:tc>
        <w:tc>
          <w:tcPr>
            <w:tcW w:w="417" w:type="pct"/>
            <w:tcBorders>
              <w:tl2br w:val="nil"/>
              <w:tr2bl w:val="nil"/>
            </w:tcBorders>
            <w:shd w:val="clear" w:color="auto" w:fill="auto"/>
            <w:vAlign w:val="center"/>
          </w:tcPr>
          <w:p w14:paraId="0B34B78C">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w:t>
            </w:r>
          </w:p>
        </w:tc>
        <w:tc>
          <w:tcPr>
            <w:tcW w:w="529" w:type="pct"/>
            <w:tcBorders>
              <w:tl2br w:val="nil"/>
              <w:tr2bl w:val="nil"/>
            </w:tcBorders>
            <w:shd w:val="clear" w:color="auto" w:fill="auto"/>
            <w:vAlign w:val="center"/>
          </w:tcPr>
          <w:p w14:paraId="1F445A69">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w:t>
            </w:r>
          </w:p>
        </w:tc>
        <w:tc>
          <w:tcPr>
            <w:tcW w:w="430" w:type="pct"/>
            <w:tcBorders>
              <w:tl2br w:val="nil"/>
              <w:tr2bl w:val="nil"/>
            </w:tcBorders>
            <w:shd w:val="clear" w:color="auto" w:fill="auto"/>
            <w:vAlign w:val="center"/>
          </w:tcPr>
          <w:p w14:paraId="181FB0D3">
            <w:pPr>
              <w:pStyle w:val="58"/>
              <w:bidi w:val="0"/>
              <w:rPr>
                <w:rFonts w:hint="default"/>
                <w:highlight w:val="none"/>
                <w:lang w:val="en-US" w:eastAsia="zh-CN"/>
              </w:rPr>
            </w:pPr>
            <w:r>
              <w:rPr>
                <w:rFonts w:hint="default"/>
                <w:highlight w:val="none"/>
                <w:lang w:val="en-US" w:eastAsia="zh-CN"/>
              </w:rPr>
              <w:t>/</w:t>
            </w:r>
          </w:p>
        </w:tc>
        <w:tc>
          <w:tcPr>
            <w:tcW w:w="435" w:type="pct"/>
            <w:tcBorders>
              <w:tl2br w:val="nil"/>
              <w:tr2bl w:val="nil"/>
            </w:tcBorders>
            <w:shd w:val="clear" w:color="auto" w:fill="auto"/>
            <w:vAlign w:val="center"/>
          </w:tcPr>
          <w:p w14:paraId="07BCB6FC">
            <w:pPr>
              <w:pStyle w:val="58"/>
              <w:bidi w:val="0"/>
              <w:rPr>
                <w:rFonts w:hint="default"/>
                <w:highlight w:val="none"/>
                <w:lang w:val="en-US" w:eastAsia="zh-CN"/>
              </w:rPr>
            </w:pPr>
            <w:r>
              <w:rPr>
                <w:rFonts w:hint="default"/>
                <w:highlight w:val="none"/>
                <w:lang w:val="en-US" w:eastAsia="zh-CN"/>
              </w:rPr>
              <w:t>/</w:t>
            </w:r>
          </w:p>
        </w:tc>
        <w:tc>
          <w:tcPr>
            <w:tcW w:w="477" w:type="pct"/>
            <w:tcBorders>
              <w:tl2br w:val="nil"/>
              <w:tr2bl w:val="nil"/>
            </w:tcBorders>
            <w:shd w:val="clear" w:color="auto" w:fill="auto"/>
            <w:vAlign w:val="center"/>
          </w:tcPr>
          <w:p w14:paraId="709BF8CD">
            <w:pPr>
              <w:pStyle w:val="58"/>
              <w:bidi w:val="0"/>
              <w:rPr>
                <w:rFonts w:hint="default"/>
                <w:highlight w:val="none"/>
                <w:lang w:val="en-US" w:eastAsia="zh-CN"/>
              </w:rPr>
            </w:pPr>
            <w:r>
              <w:rPr>
                <w:rFonts w:hint="default"/>
                <w:highlight w:val="none"/>
                <w:lang w:val="en-US" w:eastAsia="zh-CN"/>
              </w:rPr>
              <w:t>/</w:t>
            </w:r>
          </w:p>
        </w:tc>
      </w:tr>
      <w:tr w14:paraId="4A8A941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7BFB78C6">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49581D6C">
            <w:pPr>
              <w:pStyle w:val="58"/>
              <w:bidi w:val="0"/>
              <w:rPr>
                <w:rFonts w:hint="default"/>
                <w:highlight w:val="none"/>
                <w:lang w:val="en-US" w:eastAsia="zh-CN"/>
              </w:rPr>
            </w:pPr>
            <w:r>
              <w:rPr>
                <w:rFonts w:hint="default"/>
                <w:highlight w:val="none"/>
                <w:lang w:val="en-US" w:eastAsia="zh-CN"/>
              </w:rPr>
              <w:t>碳酸根</w:t>
            </w:r>
          </w:p>
        </w:tc>
        <w:tc>
          <w:tcPr>
            <w:tcW w:w="446" w:type="pct"/>
            <w:tcBorders>
              <w:tl2br w:val="nil"/>
              <w:tr2bl w:val="nil"/>
            </w:tcBorders>
            <w:shd w:val="clear" w:color="auto" w:fill="auto"/>
            <w:vAlign w:val="center"/>
          </w:tcPr>
          <w:p w14:paraId="43015910">
            <w:pPr>
              <w:pStyle w:val="58"/>
              <w:bidi w:val="0"/>
              <w:rPr>
                <w:rFonts w:hint="default"/>
                <w:highlight w:val="none"/>
                <w:lang w:val="en-US" w:eastAsia="zh-CN"/>
              </w:rPr>
            </w:pPr>
            <w:r>
              <w:rPr>
                <w:rFonts w:hint="default"/>
                <w:highlight w:val="none"/>
                <w:lang w:val="en-US" w:eastAsia="zh-CN"/>
              </w:rPr>
              <w:t>/</w:t>
            </w:r>
          </w:p>
        </w:tc>
        <w:tc>
          <w:tcPr>
            <w:tcW w:w="490" w:type="pct"/>
            <w:tcBorders>
              <w:tl2br w:val="nil"/>
              <w:tr2bl w:val="nil"/>
            </w:tcBorders>
            <w:shd w:val="clear" w:color="auto" w:fill="auto"/>
            <w:vAlign w:val="center"/>
          </w:tcPr>
          <w:p w14:paraId="21562D2C">
            <w:pPr>
              <w:pStyle w:val="58"/>
              <w:bidi w:val="0"/>
              <w:rPr>
                <w:rFonts w:hint="default"/>
                <w:highlight w:val="none"/>
                <w:lang w:val="en-US" w:eastAsia="zh-CN"/>
              </w:rPr>
            </w:pPr>
            <w:r>
              <w:rPr>
                <w:rFonts w:hint="default"/>
                <w:highlight w:val="none"/>
                <w:lang w:val="en-US" w:eastAsia="zh-CN"/>
              </w:rPr>
              <w:t>/</w:t>
            </w:r>
          </w:p>
        </w:tc>
        <w:tc>
          <w:tcPr>
            <w:tcW w:w="475" w:type="pct"/>
            <w:tcBorders>
              <w:tl2br w:val="nil"/>
              <w:tr2bl w:val="nil"/>
            </w:tcBorders>
            <w:shd w:val="clear" w:color="auto" w:fill="auto"/>
            <w:vAlign w:val="center"/>
          </w:tcPr>
          <w:p w14:paraId="01108591">
            <w:pPr>
              <w:pStyle w:val="58"/>
              <w:bidi w:val="0"/>
              <w:rPr>
                <w:rFonts w:hint="default"/>
                <w:highlight w:val="none"/>
                <w:lang w:val="en-US" w:eastAsia="zh-CN"/>
              </w:rPr>
            </w:pPr>
            <w:r>
              <w:rPr>
                <w:rFonts w:hint="default"/>
                <w:highlight w:val="none"/>
                <w:lang w:val="en-US" w:eastAsia="zh-CN"/>
              </w:rPr>
              <w:t>/</w:t>
            </w:r>
          </w:p>
        </w:tc>
        <w:tc>
          <w:tcPr>
            <w:tcW w:w="378" w:type="pct"/>
            <w:tcBorders>
              <w:tl2br w:val="nil"/>
              <w:tr2bl w:val="nil"/>
            </w:tcBorders>
            <w:shd w:val="clear" w:color="auto" w:fill="auto"/>
            <w:vAlign w:val="center"/>
          </w:tcPr>
          <w:p w14:paraId="2CC9068A">
            <w:pPr>
              <w:pStyle w:val="58"/>
              <w:bidi w:val="0"/>
              <w:rPr>
                <w:rFonts w:hint="default"/>
                <w:highlight w:val="none"/>
                <w:lang w:val="en-US" w:eastAsia="zh-CN"/>
              </w:rPr>
            </w:pPr>
            <w:r>
              <w:rPr>
                <w:rFonts w:hint="default"/>
                <w:highlight w:val="none"/>
                <w:lang w:val="en-US" w:eastAsia="zh-CN"/>
              </w:rPr>
              <w:t>/</w:t>
            </w:r>
          </w:p>
        </w:tc>
        <w:tc>
          <w:tcPr>
            <w:tcW w:w="430" w:type="pct"/>
            <w:tcBorders>
              <w:tl2br w:val="nil"/>
              <w:tr2bl w:val="nil"/>
            </w:tcBorders>
            <w:shd w:val="clear" w:color="auto" w:fill="auto"/>
            <w:vAlign w:val="center"/>
          </w:tcPr>
          <w:p w14:paraId="53A4D15C">
            <w:pPr>
              <w:pStyle w:val="58"/>
              <w:bidi w:val="0"/>
              <w:rPr>
                <w:rFonts w:hint="default"/>
                <w:highlight w:val="none"/>
                <w:lang w:val="en-US" w:eastAsia="zh-CN"/>
              </w:rPr>
            </w:pPr>
            <w:r>
              <w:rPr>
                <w:rFonts w:hint="default"/>
                <w:highlight w:val="none"/>
                <w:lang w:val="en-US" w:eastAsia="zh-CN"/>
              </w:rPr>
              <w:t>/</w:t>
            </w:r>
          </w:p>
        </w:tc>
        <w:tc>
          <w:tcPr>
            <w:tcW w:w="417" w:type="pct"/>
            <w:tcBorders>
              <w:tl2br w:val="nil"/>
              <w:tr2bl w:val="nil"/>
            </w:tcBorders>
            <w:shd w:val="clear" w:color="auto" w:fill="auto"/>
            <w:vAlign w:val="center"/>
          </w:tcPr>
          <w:p w14:paraId="409BC49B">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w:t>
            </w:r>
          </w:p>
        </w:tc>
        <w:tc>
          <w:tcPr>
            <w:tcW w:w="529" w:type="pct"/>
            <w:tcBorders>
              <w:tl2br w:val="nil"/>
              <w:tr2bl w:val="nil"/>
            </w:tcBorders>
            <w:shd w:val="clear" w:color="auto" w:fill="auto"/>
            <w:vAlign w:val="center"/>
          </w:tcPr>
          <w:p w14:paraId="2D355037">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w:t>
            </w:r>
          </w:p>
        </w:tc>
        <w:tc>
          <w:tcPr>
            <w:tcW w:w="430" w:type="pct"/>
            <w:tcBorders>
              <w:tl2br w:val="nil"/>
              <w:tr2bl w:val="nil"/>
            </w:tcBorders>
            <w:shd w:val="clear" w:color="auto" w:fill="auto"/>
            <w:vAlign w:val="center"/>
          </w:tcPr>
          <w:p w14:paraId="28C99716">
            <w:pPr>
              <w:pStyle w:val="58"/>
              <w:bidi w:val="0"/>
              <w:rPr>
                <w:rFonts w:hint="default"/>
                <w:highlight w:val="none"/>
                <w:lang w:val="en-US" w:eastAsia="zh-CN"/>
              </w:rPr>
            </w:pPr>
            <w:r>
              <w:rPr>
                <w:rFonts w:hint="default"/>
                <w:highlight w:val="none"/>
                <w:lang w:val="en-US" w:eastAsia="zh-CN"/>
              </w:rPr>
              <w:t>/</w:t>
            </w:r>
          </w:p>
        </w:tc>
        <w:tc>
          <w:tcPr>
            <w:tcW w:w="435" w:type="pct"/>
            <w:tcBorders>
              <w:tl2br w:val="nil"/>
              <w:tr2bl w:val="nil"/>
            </w:tcBorders>
            <w:shd w:val="clear" w:color="auto" w:fill="auto"/>
            <w:vAlign w:val="center"/>
          </w:tcPr>
          <w:p w14:paraId="0D4DE7B3">
            <w:pPr>
              <w:pStyle w:val="58"/>
              <w:bidi w:val="0"/>
              <w:rPr>
                <w:rFonts w:hint="default"/>
                <w:highlight w:val="none"/>
                <w:lang w:val="en-US" w:eastAsia="zh-CN"/>
              </w:rPr>
            </w:pPr>
            <w:r>
              <w:rPr>
                <w:rFonts w:hint="default"/>
                <w:highlight w:val="none"/>
                <w:lang w:val="en-US" w:eastAsia="zh-CN"/>
              </w:rPr>
              <w:t>/</w:t>
            </w:r>
          </w:p>
        </w:tc>
        <w:tc>
          <w:tcPr>
            <w:tcW w:w="477" w:type="pct"/>
            <w:tcBorders>
              <w:tl2br w:val="nil"/>
              <w:tr2bl w:val="nil"/>
            </w:tcBorders>
            <w:shd w:val="clear" w:color="auto" w:fill="auto"/>
            <w:vAlign w:val="center"/>
          </w:tcPr>
          <w:p w14:paraId="53765316">
            <w:pPr>
              <w:pStyle w:val="58"/>
              <w:bidi w:val="0"/>
              <w:rPr>
                <w:rFonts w:hint="default"/>
                <w:highlight w:val="none"/>
                <w:lang w:val="en-US" w:eastAsia="zh-CN"/>
              </w:rPr>
            </w:pPr>
            <w:r>
              <w:rPr>
                <w:rFonts w:hint="default"/>
                <w:highlight w:val="none"/>
                <w:lang w:val="en-US" w:eastAsia="zh-CN"/>
              </w:rPr>
              <w:t>/</w:t>
            </w:r>
          </w:p>
        </w:tc>
      </w:tr>
      <w:tr w14:paraId="2C18DE6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0EEE6DB1">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52219A66">
            <w:pPr>
              <w:pStyle w:val="58"/>
              <w:bidi w:val="0"/>
              <w:rPr>
                <w:rFonts w:hint="default"/>
                <w:highlight w:val="none"/>
                <w:lang w:val="en-US" w:eastAsia="zh-CN"/>
              </w:rPr>
            </w:pPr>
            <w:r>
              <w:rPr>
                <w:rFonts w:hint="default"/>
                <w:highlight w:val="none"/>
                <w:lang w:val="en-US" w:eastAsia="zh-CN"/>
              </w:rPr>
              <w:t>重碳酸根</w:t>
            </w:r>
          </w:p>
        </w:tc>
        <w:tc>
          <w:tcPr>
            <w:tcW w:w="446" w:type="pct"/>
            <w:tcBorders>
              <w:tl2br w:val="nil"/>
              <w:tr2bl w:val="nil"/>
            </w:tcBorders>
            <w:shd w:val="clear" w:color="auto" w:fill="auto"/>
            <w:vAlign w:val="center"/>
          </w:tcPr>
          <w:p w14:paraId="193621FB">
            <w:pPr>
              <w:pStyle w:val="58"/>
              <w:bidi w:val="0"/>
              <w:rPr>
                <w:rFonts w:hint="default"/>
                <w:highlight w:val="none"/>
                <w:lang w:val="en-US" w:eastAsia="zh-CN"/>
              </w:rPr>
            </w:pPr>
            <w:r>
              <w:rPr>
                <w:rFonts w:hint="default"/>
                <w:highlight w:val="none"/>
                <w:lang w:val="en-US" w:eastAsia="zh-CN"/>
              </w:rPr>
              <w:t>/</w:t>
            </w:r>
          </w:p>
        </w:tc>
        <w:tc>
          <w:tcPr>
            <w:tcW w:w="490" w:type="pct"/>
            <w:tcBorders>
              <w:tl2br w:val="nil"/>
              <w:tr2bl w:val="nil"/>
            </w:tcBorders>
            <w:shd w:val="clear" w:color="auto" w:fill="auto"/>
            <w:vAlign w:val="center"/>
          </w:tcPr>
          <w:p w14:paraId="263AD755">
            <w:pPr>
              <w:pStyle w:val="58"/>
              <w:bidi w:val="0"/>
              <w:rPr>
                <w:rFonts w:hint="default"/>
                <w:highlight w:val="none"/>
                <w:lang w:val="en-US" w:eastAsia="zh-CN"/>
              </w:rPr>
            </w:pPr>
            <w:r>
              <w:rPr>
                <w:rFonts w:hint="default"/>
                <w:highlight w:val="none"/>
                <w:lang w:val="en-US" w:eastAsia="zh-CN"/>
              </w:rPr>
              <w:t>/</w:t>
            </w:r>
          </w:p>
        </w:tc>
        <w:tc>
          <w:tcPr>
            <w:tcW w:w="475" w:type="pct"/>
            <w:tcBorders>
              <w:tl2br w:val="nil"/>
              <w:tr2bl w:val="nil"/>
            </w:tcBorders>
            <w:shd w:val="clear" w:color="auto" w:fill="auto"/>
            <w:vAlign w:val="center"/>
          </w:tcPr>
          <w:p w14:paraId="19094990">
            <w:pPr>
              <w:pStyle w:val="58"/>
              <w:bidi w:val="0"/>
              <w:rPr>
                <w:rFonts w:hint="default"/>
                <w:highlight w:val="none"/>
                <w:lang w:val="en-US" w:eastAsia="zh-CN"/>
              </w:rPr>
            </w:pPr>
            <w:r>
              <w:rPr>
                <w:rFonts w:hint="default"/>
                <w:highlight w:val="none"/>
                <w:lang w:val="en-US" w:eastAsia="zh-CN"/>
              </w:rPr>
              <w:t>/</w:t>
            </w:r>
          </w:p>
        </w:tc>
        <w:tc>
          <w:tcPr>
            <w:tcW w:w="378" w:type="pct"/>
            <w:tcBorders>
              <w:tl2br w:val="nil"/>
              <w:tr2bl w:val="nil"/>
            </w:tcBorders>
            <w:shd w:val="clear" w:color="auto" w:fill="auto"/>
            <w:vAlign w:val="center"/>
          </w:tcPr>
          <w:p w14:paraId="21DE80FD">
            <w:pPr>
              <w:pStyle w:val="58"/>
              <w:bidi w:val="0"/>
              <w:rPr>
                <w:rFonts w:hint="default"/>
                <w:highlight w:val="none"/>
                <w:lang w:val="en-US" w:eastAsia="zh-CN"/>
              </w:rPr>
            </w:pPr>
            <w:r>
              <w:rPr>
                <w:rFonts w:hint="default"/>
                <w:highlight w:val="none"/>
                <w:lang w:val="en-US" w:eastAsia="zh-CN"/>
              </w:rPr>
              <w:t>/</w:t>
            </w:r>
          </w:p>
        </w:tc>
        <w:tc>
          <w:tcPr>
            <w:tcW w:w="430" w:type="pct"/>
            <w:tcBorders>
              <w:tl2br w:val="nil"/>
              <w:tr2bl w:val="nil"/>
            </w:tcBorders>
            <w:shd w:val="clear" w:color="auto" w:fill="auto"/>
            <w:vAlign w:val="center"/>
          </w:tcPr>
          <w:p w14:paraId="51FE0687">
            <w:pPr>
              <w:pStyle w:val="58"/>
              <w:bidi w:val="0"/>
              <w:rPr>
                <w:rFonts w:hint="default"/>
                <w:highlight w:val="none"/>
                <w:lang w:val="en-US" w:eastAsia="zh-CN"/>
              </w:rPr>
            </w:pPr>
            <w:r>
              <w:rPr>
                <w:rFonts w:hint="default"/>
                <w:highlight w:val="none"/>
                <w:lang w:val="en-US" w:eastAsia="zh-CN"/>
              </w:rPr>
              <w:t>/</w:t>
            </w:r>
          </w:p>
        </w:tc>
        <w:tc>
          <w:tcPr>
            <w:tcW w:w="417" w:type="pct"/>
            <w:tcBorders>
              <w:tl2br w:val="nil"/>
              <w:tr2bl w:val="nil"/>
            </w:tcBorders>
            <w:shd w:val="clear" w:color="auto" w:fill="auto"/>
            <w:vAlign w:val="center"/>
          </w:tcPr>
          <w:p w14:paraId="3EBD2134">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w:t>
            </w:r>
          </w:p>
        </w:tc>
        <w:tc>
          <w:tcPr>
            <w:tcW w:w="529" w:type="pct"/>
            <w:tcBorders>
              <w:tl2br w:val="nil"/>
              <w:tr2bl w:val="nil"/>
            </w:tcBorders>
            <w:shd w:val="clear" w:color="auto" w:fill="auto"/>
            <w:vAlign w:val="center"/>
          </w:tcPr>
          <w:p w14:paraId="72EE9EC6">
            <w:pPr>
              <w:pStyle w:val="58"/>
              <w:bidi w:val="0"/>
              <w:ind w:firstLine="0" w:firstLineChars="0"/>
              <w:rPr>
                <w:rFonts w:hint="default" w:ascii="Times New Roman" w:hAnsi="Times New Roman" w:eastAsia="宋体" w:cs="Times New Roman"/>
                <w:kern w:val="2"/>
                <w:sz w:val="21"/>
                <w:szCs w:val="21"/>
                <w:highlight w:val="none"/>
                <w:lang w:val="en-US" w:eastAsia="zh-CN" w:bidi="ar-SA"/>
              </w:rPr>
            </w:pPr>
            <w:r>
              <w:rPr>
                <w:rFonts w:hint="default"/>
                <w:highlight w:val="none"/>
                <w:lang w:val="en-US" w:eastAsia="zh-CN"/>
              </w:rPr>
              <w:t>/</w:t>
            </w:r>
          </w:p>
        </w:tc>
        <w:tc>
          <w:tcPr>
            <w:tcW w:w="430" w:type="pct"/>
            <w:tcBorders>
              <w:tl2br w:val="nil"/>
              <w:tr2bl w:val="nil"/>
            </w:tcBorders>
            <w:shd w:val="clear" w:color="auto" w:fill="auto"/>
            <w:vAlign w:val="center"/>
          </w:tcPr>
          <w:p w14:paraId="53E78813">
            <w:pPr>
              <w:pStyle w:val="58"/>
              <w:bidi w:val="0"/>
              <w:rPr>
                <w:rFonts w:hint="default"/>
                <w:highlight w:val="none"/>
                <w:lang w:val="en-US" w:eastAsia="zh-CN"/>
              </w:rPr>
            </w:pPr>
            <w:r>
              <w:rPr>
                <w:rFonts w:hint="default"/>
                <w:highlight w:val="none"/>
                <w:lang w:val="en-US" w:eastAsia="zh-CN"/>
              </w:rPr>
              <w:t>/</w:t>
            </w:r>
          </w:p>
        </w:tc>
        <w:tc>
          <w:tcPr>
            <w:tcW w:w="435" w:type="pct"/>
            <w:tcBorders>
              <w:tl2br w:val="nil"/>
              <w:tr2bl w:val="nil"/>
            </w:tcBorders>
            <w:shd w:val="clear" w:color="auto" w:fill="auto"/>
            <w:vAlign w:val="center"/>
          </w:tcPr>
          <w:p w14:paraId="043AB006">
            <w:pPr>
              <w:pStyle w:val="58"/>
              <w:bidi w:val="0"/>
              <w:rPr>
                <w:rFonts w:hint="default"/>
                <w:highlight w:val="none"/>
                <w:lang w:val="en-US" w:eastAsia="zh-CN"/>
              </w:rPr>
            </w:pPr>
            <w:r>
              <w:rPr>
                <w:rFonts w:hint="default"/>
                <w:highlight w:val="none"/>
                <w:lang w:val="en-US" w:eastAsia="zh-CN"/>
              </w:rPr>
              <w:t>/</w:t>
            </w:r>
          </w:p>
        </w:tc>
        <w:tc>
          <w:tcPr>
            <w:tcW w:w="477" w:type="pct"/>
            <w:tcBorders>
              <w:tl2br w:val="nil"/>
              <w:tr2bl w:val="nil"/>
            </w:tcBorders>
            <w:shd w:val="clear" w:color="auto" w:fill="auto"/>
            <w:vAlign w:val="center"/>
          </w:tcPr>
          <w:p w14:paraId="601CD299">
            <w:pPr>
              <w:pStyle w:val="58"/>
              <w:bidi w:val="0"/>
              <w:rPr>
                <w:rFonts w:hint="default"/>
                <w:highlight w:val="none"/>
                <w:lang w:val="en-US" w:eastAsia="zh-CN"/>
              </w:rPr>
            </w:pPr>
            <w:r>
              <w:rPr>
                <w:rFonts w:hint="default"/>
                <w:highlight w:val="none"/>
                <w:lang w:val="en-US" w:eastAsia="zh-CN"/>
              </w:rPr>
              <w:t>/</w:t>
            </w:r>
          </w:p>
        </w:tc>
      </w:tr>
      <w:tr w14:paraId="4988D2F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156" w:type="pct"/>
            <w:tcBorders>
              <w:tl2br w:val="nil"/>
              <w:tr2bl w:val="nil"/>
            </w:tcBorders>
            <w:shd w:val="clear" w:color="auto" w:fill="auto"/>
            <w:vAlign w:val="center"/>
          </w:tcPr>
          <w:p w14:paraId="58D11118">
            <w:pPr>
              <w:pStyle w:val="58"/>
              <w:numPr>
                <w:ilvl w:val="0"/>
                <w:numId w:val="32"/>
              </w:numPr>
              <w:bidi w:val="0"/>
              <w:ind w:left="425" w:leftChars="0" w:hanging="425" w:firstLineChars="0"/>
              <w:rPr>
                <w:rFonts w:hint="default"/>
                <w:highlight w:val="none"/>
              </w:rPr>
            </w:pPr>
          </w:p>
        </w:tc>
        <w:tc>
          <w:tcPr>
            <w:tcW w:w="333" w:type="pct"/>
            <w:tcBorders>
              <w:tl2br w:val="nil"/>
              <w:tr2bl w:val="nil"/>
            </w:tcBorders>
            <w:shd w:val="clear" w:color="auto" w:fill="auto"/>
            <w:vAlign w:val="center"/>
          </w:tcPr>
          <w:p w14:paraId="268C284E">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石油类</w:t>
            </w:r>
          </w:p>
        </w:tc>
        <w:tc>
          <w:tcPr>
            <w:tcW w:w="446" w:type="pct"/>
            <w:tcBorders>
              <w:tl2br w:val="nil"/>
              <w:tr2bl w:val="nil"/>
            </w:tcBorders>
            <w:shd w:val="clear" w:color="auto" w:fill="auto"/>
            <w:vAlign w:val="center"/>
          </w:tcPr>
          <w:p w14:paraId="583AF194">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0.600</w:t>
            </w:r>
          </w:p>
        </w:tc>
        <w:tc>
          <w:tcPr>
            <w:tcW w:w="490" w:type="pct"/>
            <w:tcBorders>
              <w:tl2br w:val="nil"/>
              <w:tr2bl w:val="nil"/>
            </w:tcBorders>
            <w:shd w:val="clear" w:color="auto" w:fill="auto"/>
            <w:vAlign w:val="center"/>
          </w:tcPr>
          <w:p w14:paraId="6E039B36">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0.800</w:t>
            </w:r>
          </w:p>
        </w:tc>
        <w:tc>
          <w:tcPr>
            <w:tcW w:w="475" w:type="pct"/>
            <w:tcBorders>
              <w:tl2br w:val="nil"/>
              <w:tr2bl w:val="nil"/>
            </w:tcBorders>
            <w:shd w:val="clear" w:color="auto" w:fill="auto"/>
            <w:vAlign w:val="center"/>
          </w:tcPr>
          <w:p w14:paraId="5CE9F798">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0.800</w:t>
            </w:r>
          </w:p>
        </w:tc>
        <w:tc>
          <w:tcPr>
            <w:tcW w:w="378" w:type="pct"/>
            <w:tcBorders>
              <w:tl2br w:val="nil"/>
              <w:tr2bl w:val="nil"/>
            </w:tcBorders>
            <w:shd w:val="clear" w:color="auto" w:fill="auto"/>
            <w:vAlign w:val="center"/>
          </w:tcPr>
          <w:p w14:paraId="7AC35E9E">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0.800</w:t>
            </w:r>
          </w:p>
        </w:tc>
        <w:tc>
          <w:tcPr>
            <w:tcW w:w="430" w:type="pct"/>
            <w:tcBorders>
              <w:tl2br w:val="nil"/>
              <w:tr2bl w:val="nil"/>
            </w:tcBorders>
            <w:shd w:val="clear" w:color="auto" w:fill="auto"/>
            <w:vAlign w:val="center"/>
          </w:tcPr>
          <w:p w14:paraId="38428F40">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0.600</w:t>
            </w:r>
          </w:p>
        </w:tc>
        <w:tc>
          <w:tcPr>
            <w:tcW w:w="417" w:type="pct"/>
            <w:tcBorders>
              <w:tl2br w:val="nil"/>
              <w:tr2bl w:val="nil"/>
            </w:tcBorders>
            <w:shd w:val="clear" w:color="auto" w:fill="auto"/>
            <w:vAlign w:val="center"/>
          </w:tcPr>
          <w:p w14:paraId="02B98D54">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0.600</w:t>
            </w:r>
          </w:p>
        </w:tc>
        <w:tc>
          <w:tcPr>
            <w:tcW w:w="529" w:type="pct"/>
            <w:tcBorders>
              <w:tl2br w:val="nil"/>
              <w:tr2bl w:val="nil"/>
            </w:tcBorders>
            <w:shd w:val="clear" w:color="auto" w:fill="auto"/>
            <w:vAlign w:val="center"/>
          </w:tcPr>
          <w:p w14:paraId="29389389">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0.400</w:t>
            </w:r>
          </w:p>
        </w:tc>
        <w:tc>
          <w:tcPr>
            <w:tcW w:w="430" w:type="pct"/>
            <w:tcBorders>
              <w:tl2br w:val="nil"/>
              <w:tr2bl w:val="nil"/>
            </w:tcBorders>
            <w:shd w:val="clear" w:color="auto" w:fill="auto"/>
            <w:vAlign w:val="center"/>
          </w:tcPr>
          <w:p w14:paraId="51A30922">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0.800</w:t>
            </w:r>
          </w:p>
        </w:tc>
        <w:tc>
          <w:tcPr>
            <w:tcW w:w="435" w:type="pct"/>
            <w:tcBorders>
              <w:tl2br w:val="nil"/>
              <w:tr2bl w:val="nil"/>
            </w:tcBorders>
            <w:shd w:val="clear" w:color="auto" w:fill="auto"/>
            <w:vAlign w:val="center"/>
          </w:tcPr>
          <w:p w14:paraId="1DD0E3C4">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未检出</w:t>
            </w:r>
          </w:p>
        </w:tc>
        <w:tc>
          <w:tcPr>
            <w:tcW w:w="477" w:type="pct"/>
            <w:tcBorders>
              <w:tl2br w:val="nil"/>
              <w:tr2bl w:val="nil"/>
            </w:tcBorders>
            <w:shd w:val="clear" w:color="auto" w:fill="auto"/>
            <w:vAlign w:val="center"/>
          </w:tcPr>
          <w:p w14:paraId="4225CCC4">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0.200</w:t>
            </w:r>
          </w:p>
        </w:tc>
      </w:tr>
    </w:tbl>
    <w:p w14:paraId="3E732131">
      <w:pPr>
        <w:pStyle w:val="21"/>
        <w:keepNext w:val="0"/>
        <w:keepLines w:val="0"/>
        <w:pageBreakBefore w:val="0"/>
        <w:widowControl w:val="0"/>
        <w:kinsoku/>
        <w:wordWrap/>
        <w:overflowPunct/>
        <w:topLinePunct w:val="0"/>
        <w:autoSpaceDE/>
        <w:autoSpaceDN/>
        <w:bidi w:val="0"/>
        <w:adjustRightInd/>
        <w:snapToGrid/>
        <w:spacing w:line="480" w:lineRule="exact"/>
        <w:ind w:left="0" w:leftChars="0" w:right="0" w:rightChars="0" w:firstLine="0" w:firstLineChars="0"/>
        <w:jc w:val="both"/>
        <w:textAlignment w:val="auto"/>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p>
    <w:p w14:paraId="57856295">
      <w:pPr>
        <w:rPr>
          <w:rFonts w:hint="default"/>
          <w:highlight w:val="none"/>
          <w:lang w:val="en-US" w:eastAsia="zh-CN"/>
        </w:rPr>
      </w:pPr>
    </w:p>
    <w:p w14:paraId="4C8398BF">
      <w:pPr>
        <w:pStyle w:val="21"/>
        <w:keepNext w:val="0"/>
        <w:keepLines w:val="0"/>
        <w:pageBreakBefore w:val="0"/>
        <w:widowControl w:val="0"/>
        <w:kinsoku/>
        <w:wordWrap/>
        <w:overflowPunct/>
        <w:topLinePunct w:val="0"/>
        <w:autoSpaceDE/>
        <w:autoSpaceDN/>
        <w:bidi w:val="0"/>
        <w:adjustRightInd/>
        <w:snapToGrid/>
        <w:spacing w:line="480" w:lineRule="exact"/>
        <w:ind w:left="0" w:leftChars="0" w:right="0" w:rightChars="0" w:firstLine="480" w:firstLineChars="200"/>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sectPr>
          <w:pgSz w:w="16838" w:h="11906" w:orient="landscape"/>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p>
    <w:p w14:paraId="58934FA0">
      <w:pPr>
        <w:pStyle w:val="21"/>
        <w:keepNext w:val="0"/>
        <w:keepLines w:val="0"/>
        <w:pageBreakBefore w:val="0"/>
        <w:widowControl w:val="0"/>
        <w:kinsoku/>
        <w:wordWrap/>
        <w:overflowPunct/>
        <w:topLinePunct w:val="0"/>
        <w:autoSpaceDE/>
        <w:autoSpaceDN/>
        <w:bidi w:val="0"/>
        <w:adjustRightInd/>
        <w:snapToGrid/>
        <w:spacing w:line="480" w:lineRule="exact"/>
        <w:ind w:left="0" w:leftChars="0" w:right="0" w:rightChars="0" w:firstLine="480" w:firstLineChars="200"/>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⑸监测结果统计分析</w:t>
      </w:r>
    </w:p>
    <w:p w14:paraId="0094AD23">
      <w:pPr>
        <w:bidi w:val="0"/>
        <w:rPr>
          <w:rFonts w:hint="default"/>
          <w:highlight w:val="none"/>
          <w:lang w:val="en-US" w:eastAsia="zh-CN"/>
        </w:rPr>
      </w:pPr>
      <w:r>
        <w:rPr>
          <w:rFonts w:hint="default"/>
          <w:highlight w:val="none"/>
          <w:lang w:val="en-US" w:eastAsia="zh-CN"/>
        </w:rPr>
        <w:t>潜水监测井各监测因子最大值、最小值、均值、标准差、检出率和超标率见表4.3-10。</w:t>
      </w:r>
    </w:p>
    <w:p w14:paraId="08F00736">
      <w:pPr>
        <w:keepNext w:val="0"/>
        <w:keepLines w:val="0"/>
        <w:pageBreakBefore w:val="0"/>
        <w:widowControl w:val="0"/>
        <w:numPr>
          <w:ilvl w:val="0"/>
          <w:numId w:val="30"/>
        </w:numPr>
        <w:kinsoku/>
        <w:wordWrap/>
        <w:overflowPunct/>
        <w:topLinePunct w:val="0"/>
        <w:autoSpaceDE w:val="0"/>
        <w:autoSpaceDN w:val="0"/>
        <w:bidi w:val="0"/>
        <w:adjustRightInd w:val="0"/>
        <w:snapToGrid/>
        <w:spacing w:line="500" w:lineRule="exact"/>
        <w:ind w:left="425" w:leftChars="0" w:hanging="425" w:firstLineChars="0"/>
        <w:jc w:val="center"/>
        <w:textAlignment w:val="auto"/>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pPr>
      <w:r>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t>地下水(潜水)监测统计分析结果一览表</w:t>
      </w:r>
    </w:p>
    <w:tbl>
      <w:tblPr>
        <w:tblStyle w:val="47"/>
        <w:tblW w:w="4994"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autofit"/>
        <w:tblCellMar>
          <w:top w:w="0" w:type="dxa"/>
          <w:left w:w="108" w:type="dxa"/>
          <w:bottom w:w="0" w:type="dxa"/>
          <w:right w:w="108" w:type="dxa"/>
        </w:tblCellMar>
      </w:tblPr>
      <w:tblGrid>
        <w:gridCol w:w="728"/>
        <w:gridCol w:w="1459"/>
        <w:gridCol w:w="1458"/>
        <w:gridCol w:w="1246"/>
        <w:gridCol w:w="1026"/>
        <w:gridCol w:w="921"/>
        <w:gridCol w:w="969"/>
        <w:gridCol w:w="735"/>
        <w:gridCol w:w="735"/>
      </w:tblGrid>
      <w:tr w14:paraId="0ACF6C5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2AC1A718">
            <w:pPr>
              <w:pStyle w:val="58"/>
              <w:bidi w:val="0"/>
              <w:rPr>
                <w:rFonts w:hint="default"/>
                <w:highlight w:val="none"/>
              </w:rPr>
            </w:pPr>
            <w:r>
              <w:rPr>
                <w:rFonts w:hint="default"/>
                <w:highlight w:val="none"/>
                <w:lang w:val="en-US" w:eastAsia="zh-CN"/>
              </w:rPr>
              <w:t>序号</w:t>
            </w:r>
          </w:p>
        </w:tc>
        <w:tc>
          <w:tcPr>
            <w:tcW w:w="800" w:type="pct"/>
            <w:tcBorders>
              <w:tl2br w:val="nil"/>
              <w:tr2bl w:val="nil"/>
            </w:tcBorders>
            <w:shd w:val="clear" w:color="auto" w:fill="auto"/>
            <w:vAlign w:val="center"/>
          </w:tcPr>
          <w:p w14:paraId="5EE8A50E">
            <w:pPr>
              <w:pStyle w:val="58"/>
              <w:bidi w:val="0"/>
              <w:rPr>
                <w:rFonts w:hint="default"/>
                <w:highlight w:val="none"/>
              </w:rPr>
            </w:pPr>
            <w:r>
              <w:rPr>
                <w:rFonts w:hint="default"/>
                <w:highlight w:val="none"/>
                <w:lang w:val="en-US" w:eastAsia="zh-CN"/>
              </w:rPr>
              <w:t>检测项目</w:t>
            </w:r>
          </w:p>
        </w:tc>
        <w:tc>
          <w:tcPr>
            <w:tcW w:w="799" w:type="pct"/>
            <w:tcBorders>
              <w:tl2br w:val="nil"/>
              <w:tr2bl w:val="nil"/>
            </w:tcBorders>
            <w:shd w:val="clear" w:color="auto" w:fill="auto"/>
            <w:vAlign w:val="center"/>
          </w:tcPr>
          <w:p w14:paraId="7B00B530">
            <w:pPr>
              <w:pStyle w:val="58"/>
              <w:bidi w:val="0"/>
              <w:rPr>
                <w:rFonts w:hint="default"/>
                <w:highlight w:val="none"/>
                <w:lang w:val="en-US" w:eastAsia="zh-CN"/>
              </w:rPr>
            </w:pPr>
            <w:r>
              <w:rPr>
                <w:rFonts w:hint="default"/>
                <w:highlight w:val="none"/>
                <w:lang w:val="en-US" w:eastAsia="zh-CN"/>
              </w:rPr>
              <w:t>单位</w:t>
            </w:r>
          </w:p>
        </w:tc>
        <w:tc>
          <w:tcPr>
            <w:tcW w:w="685" w:type="pct"/>
            <w:tcBorders>
              <w:tl2br w:val="nil"/>
              <w:tr2bl w:val="nil"/>
            </w:tcBorders>
            <w:shd w:val="clear" w:color="auto" w:fill="auto"/>
            <w:vAlign w:val="center"/>
          </w:tcPr>
          <w:p w14:paraId="03D5DA3E">
            <w:pPr>
              <w:pStyle w:val="58"/>
              <w:bidi w:val="0"/>
              <w:rPr>
                <w:rFonts w:hint="default"/>
                <w:highlight w:val="none"/>
                <w:lang w:val="en-US" w:eastAsia="zh-CN"/>
              </w:rPr>
            </w:pPr>
            <w:r>
              <w:rPr>
                <w:rFonts w:hint="default"/>
                <w:highlight w:val="none"/>
                <w:lang w:val="en-US" w:eastAsia="zh-CN"/>
              </w:rPr>
              <w:t>标准值</w:t>
            </w:r>
          </w:p>
        </w:tc>
        <w:tc>
          <w:tcPr>
            <w:tcW w:w="475" w:type="pct"/>
            <w:tcBorders>
              <w:tl2br w:val="nil"/>
              <w:tr2bl w:val="nil"/>
            </w:tcBorders>
            <w:shd w:val="clear" w:color="auto" w:fill="auto"/>
            <w:vAlign w:val="center"/>
          </w:tcPr>
          <w:p w14:paraId="70E5D84E">
            <w:pPr>
              <w:pStyle w:val="58"/>
              <w:bidi w:val="0"/>
              <w:rPr>
                <w:rFonts w:hint="default"/>
                <w:highlight w:val="none"/>
              </w:rPr>
            </w:pPr>
            <w:r>
              <w:rPr>
                <w:rFonts w:hint="default"/>
                <w:highlight w:val="none"/>
                <w:lang w:val="en-US" w:eastAsia="zh-CN"/>
              </w:rPr>
              <w:t>最大值</w:t>
            </w:r>
          </w:p>
        </w:tc>
        <w:tc>
          <w:tcPr>
            <w:tcW w:w="475" w:type="pct"/>
            <w:tcBorders>
              <w:tl2br w:val="nil"/>
              <w:tr2bl w:val="nil"/>
            </w:tcBorders>
            <w:shd w:val="clear" w:color="auto" w:fill="auto"/>
            <w:vAlign w:val="center"/>
          </w:tcPr>
          <w:p w14:paraId="3620215B">
            <w:pPr>
              <w:pStyle w:val="58"/>
              <w:bidi w:val="0"/>
              <w:rPr>
                <w:rFonts w:hint="default"/>
                <w:highlight w:val="none"/>
              </w:rPr>
            </w:pPr>
            <w:r>
              <w:rPr>
                <w:rFonts w:hint="default"/>
                <w:highlight w:val="none"/>
                <w:lang w:val="en-US" w:eastAsia="zh-CN"/>
              </w:rPr>
              <w:t>最小值</w:t>
            </w:r>
          </w:p>
        </w:tc>
        <w:tc>
          <w:tcPr>
            <w:tcW w:w="536" w:type="pct"/>
            <w:tcBorders>
              <w:tl2br w:val="nil"/>
              <w:tr2bl w:val="nil"/>
            </w:tcBorders>
            <w:shd w:val="clear" w:color="auto" w:fill="auto"/>
            <w:vAlign w:val="center"/>
          </w:tcPr>
          <w:p w14:paraId="2F476EBB">
            <w:pPr>
              <w:pStyle w:val="58"/>
              <w:bidi w:val="0"/>
              <w:rPr>
                <w:rFonts w:hint="default"/>
                <w:highlight w:val="none"/>
              </w:rPr>
            </w:pPr>
            <w:r>
              <w:rPr>
                <w:rFonts w:hint="default"/>
                <w:highlight w:val="none"/>
                <w:lang w:val="en-US" w:eastAsia="zh-CN"/>
              </w:rPr>
              <w:t>均值</w:t>
            </w:r>
          </w:p>
        </w:tc>
        <w:tc>
          <w:tcPr>
            <w:tcW w:w="410" w:type="pct"/>
            <w:tcBorders>
              <w:tl2br w:val="nil"/>
              <w:tr2bl w:val="nil"/>
            </w:tcBorders>
            <w:shd w:val="clear" w:color="auto" w:fill="auto"/>
            <w:vAlign w:val="center"/>
          </w:tcPr>
          <w:p w14:paraId="0B8F2330">
            <w:pPr>
              <w:pStyle w:val="58"/>
              <w:bidi w:val="0"/>
              <w:rPr>
                <w:rFonts w:hint="default"/>
                <w:highlight w:val="none"/>
                <w:lang w:val="en-US"/>
              </w:rPr>
            </w:pPr>
            <w:r>
              <w:rPr>
                <w:rFonts w:hint="default"/>
                <w:highlight w:val="none"/>
                <w:lang w:val="en-US" w:eastAsia="zh-CN"/>
              </w:rPr>
              <w:t>检出率%</w:t>
            </w:r>
          </w:p>
        </w:tc>
        <w:tc>
          <w:tcPr>
            <w:tcW w:w="410" w:type="pct"/>
            <w:tcBorders>
              <w:tl2br w:val="nil"/>
              <w:tr2bl w:val="nil"/>
            </w:tcBorders>
            <w:shd w:val="clear" w:color="auto" w:fill="auto"/>
            <w:vAlign w:val="center"/>
          </w:tcPr>
          <w:p w14:paraId="47AEE48F">
            <w:pPr>
              <w:pStyle w:val="58"/>
              <w:bidi w:val="0"/>
              <w:rPr>
                <w:rFonts w:hint="default"/>
                <w:highlight w:val="none"/>
                <w:lang w:val="en-US"/>
              </w:rPr>
            </w:pPr>
            <w:r>
              <w:rPr>
                <w:rFonts w:hint="default"/>
                <w:highlight w:val="none"/>
                <w:lang w:val="en-US" w:eastAsia="zh-CN"/>
              </w:rPr>
              <w:t>超标率%</w:t>
            </w:r>
          </w:p>
        </w:tc>
      </w:tr>
      <w:tr w14:paraId="3A3B78F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4FB528C9">
            <w:pPr>
              <w:pStyle w:val="58"/>
              <w:bidi w:val="0"/>
              <w:rPr>
                <w:rFonts w:hint="default"/>
                <w:highlight w:val="none"/>
              </w:rPr>
            </w:pPr>
            <w:r>
              <w:rPr>
                <w:rFonts w:hint="default"/>
                <w:highlight w:val="none"/>
                <w:lang w:val="en-US" w:eastAsia="zh-CN"/>
              </w:rPr>
              <w:t>1</w:t>
            </w:r>
          </w:p>
        </w:tc>
        <w:tc>
          <w:tcPr>
            <w:tcW w:w="800" w:type="pct"/>
            <w:tcBorders>
              <w:tl2br w:val="nil"/>
              <w:tr2bl w:val="nil"/>
            </w:tcBorders>
            <w:shd w:val="clear" w:color="auto" w:fill="auto"/>
            <w:vAlign w:val="center"/>
          </w:tcPr>
          <w:p w14:paraId="56E087D5">
            <w:pPr>
              <w:pStyle w:val="58"/>
              <w:bidi w:val="0"/>
              <w:rPr>
                <w:rFonts w:hint="default"/>
                <w:highlight w:val="none"/>
                <w:lang w:val="en-US" w:eastAsia="zh-CN"/>
              </w:rPr>
            </w:pPr>
            <w:r>
              <w:rPr>
                <w:rFonts w:hint="default"/>
                <w:highlight w:val="none"/>
                <w:lang w:val="en-US" w:eastAsia="zh-CN"/>
              </w:rPr>
              <w:t>pH值</w:t>
            </w:r>
          </w:p>
        </w:tc>
        <w:tc>
          <w:tcPr>
            <w:tcW w:w="799" w:type="pct"/>
            <w:tcBorders>
              <w:tl2br w:val="nil"/>
              <w:tr2bl w:val="nil"/>
            </w:tcBorders>
            <w:shd w:val="clear" w:color="auto" w:fill="auto"/>
            <w:noWrap/>
            <w:vAlign w:val="center"/>
          </w:tcPr>
          <w:p w14:paraId="0F8413A7">
            <w:pPr>
              <w:pStyle w:val="58"/>
              <w:bidi w:val="0"/>
              <w:rPr>
                <w:rFonts w:hint="default"/>
                <w:highlight w:val="none"/>
                <w:lang w:val="en-US" w:eastAsia="zh-CN"/>
              </w:rPr>
            </w:pPr>
            <w:r>
              <w:rPr>
                <w:rFonts w:hint="default"/>
                <w:highlight w:val="none"/>
                <w:lang w:val="en-US" w:eastAsia="zh-CN"/>
              </w:rPr>
              <w:t>无量纲</w:t>
            </w:r>
          </w:p>
        </w:tc>
        <w:tc>
          <w:tcPr>
            <w:tcW w:w="685" w:type="pct"/>
            <w:tcBorders>
              <w:tl2br w:val="nil"/>
              <w:tr2bl w:val="nil"/>
            </w:tcBorders>
            <w:shd w:val="clear" w:color="auto" w:fill="auto"/>
            <w:noWrap/>
            <w:vAlign w:val="center"/>
          </w:tcPr>
          <w:p w14:paraId="56559BA1">
            <w:pPr>
              <w:pStyle w:val="58"/>
              <w:bidi w:val="0"/>
              <w:rPr>
                <w:rFonts w:hint="default"/>
                <w:highlight w:val="none"/>
                <w:lang w:val="en-US" w:eastAsia="zh-CN"/>
              </w:rPr>
            </w:pPr>
            <w:r>
              <w:rPr>
                <w:rFonts w:hint="default"/>
                <w:highlight w:val="none"/>
                <w:lang w:val="en-US" w:eastAsia="zh-CN"/>
              </w:rPr>
              <w:t>6.5～8.5</w:t>
            </w:r>
          </w:p>
        </w:tc>
        <w:tc>
          <w:tcPr>
            <w:tcW w:w="475" w:type="pct"/>
            <w:tcBorders>
              <w:tl2br w:val="nil"/>
              <w:tr2bl w:val="nil"/>
            </w:tcBorders>
            <w:shd w:val="clear" w:color="auto" w:fill="auto"/>
            <w:noWrap/>
            <w:vAlign w:val="center"/>
          </w:tcPr>
          <w:p w14:paraId="431EB2E3">
            <w:pPr>
              <w:pStyle w:val="58"/>
              <w:bidi w:val="0"/>
              <w:rPr>
                <w:rFonts w:hint="default"/>
                <w:highlight w:val="none"/>
                <w:lang w:val="en-US" w:eastAsia="zh-CN"/>
              </w:rPr>
            </w:pPr>
            <w:r>
              <w:rPr>
                <w:rFonts w:hint="default"/>
                <w:highlight w:val="none"/>
                <w:lang w:val="en-US" w:eastAsia="zh-CN"/>
              </w:rPr>
              <w:t>7.4</w:t>
            </w:r>
          </w:p>
        </w:tc>
        <w:tc>
          <w:tcPr>
            <w:tcW w:w="475" w:type="pct"/>
            <w:tcBorders>
              <w:tl2br w:val="nil"/>
              <w:tr2bl w:val="nil"/>
            </w:tcBorders>
            <w:shd w:val="clear" w:color="auto" w:fill="auto"/>
            <w:noWrap/>
            <w:vAlign w:val="center"/>
          </w:tcPr>
          <w:p w14:paraId="4D05569C">
            <w:pPr>
              <w:pStyle w:val="58"/>
              <w:bidi w:val="0"/>
              <w:rPr>
                <w:rFonts w:hint="default"/>
                <w:highlight w:val="none"/>
                <w:lang w:val="en-US" w:eastAsia="zh-CN"/>
              </w:rPr>
            </w:pPr>
            <w:r>
              <w:rPr>
                <w:rFonts w:hint="default"/>
                <w:highlight w:val="none"/>
                <w:lang w:val="en-US" w:eastAsia="zh-CN"/>
              </w:rPr>
              <w:t>6.9</w:t>
            </w:r>
          </w:p>
        </w:tc>
        <w:tc>
          <w:tcPr>
            <w:tcW w:w="536" w:type="pct"/>
            <w:tcBorders>
              <w:tl2br w:val="nil"/>
              <w:tr2bl w:val="nil"/>
            </w:tcBorders>
            <w:shd w:val="clear" w:color="auto" w:fill="auto"/>
            <w:noWrap/>
            <w:vAlign w:val="center"/>
          </w:tcPr>
          <w:p w14:paraId="6564F04C">
            <w:pPr>
              <w:pStyle w:val="58"/>
              <w:bidi w:val="0"/>
              <w:rPr>
                <w:rFonts w:hint="default"/>
                <w:highlight w:val="none"/>
                <w:lang w:val="en-US" w:eastAsia="zh-CN"/>
              </w:rPr>
            </w:pPr>
            <w:r>
              <w:rPr>
                <w:rFonts w:hint="default"/>
                <w:highlight w:val="none"/>
                <w:lang w:val="en-US" w:eastAsia="zh-CN"/>
              </w:rPr>
              <w:t>7.2</w:t>
            </w:r>
          </w:p>
        </w:tc>
        <w:tc>
          <w:tcPr>
            <w:tcW w:w="410" w:type="pct"/>
            <w:tcBorders>
              <w:tl2br w:val="nil"/>
              <w:tr2bl w:val="nil"/>
            </w:tcBorders>
            <w:shd w:val="clear" w:color="auto" w:fill="auto"/>
            <w:noWrap/>
            <w:vAlign w:val="center"/>
          </w:tcPr>
          <w:p w14:paraId="022209DC">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05244713">
            <w:pPr>
              <w:pStyle w:val="58"/>
              <w:bidi w:val="0"/>
              <w:rPr>
                <w:rFonts w:hint="default"/>
                <w:highlight w:val="none"/>
                <w:lang w:val="en-US" w:eastAsia="zh-CN"/>
              </w:rPr>
            </w:pPr>
            <w:r>
              <w:rPr>
                <w:rFonts w:hint="default"/>
                <w:highlight w:val="none"/>
                <w:lang w:val="en-US" w:eastAsia="zh-CN"/>
              </w:rPr>
              <w:t>0</w:t>
            </w:r>
          </w:p>
        </w:tc>
      </w:tr>
      <w:tr w14:paraId="5B89DA6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71A1B4EC">
            <w:pPr>
              <w:pStyle w:val="58"/>
              <w:bidi w:val="0"/>
              <w:rPr>
                <w:rFonts w:hint="default"/>
                <w:highlight w:val="none"/>
              </w:rPr>
            </w:pPr>
            <w:r>
              <w:rPr>
                <w:rFonts w:hint="default"/>
                <w:highlight w:val="none"/>
                <w:lang w:val="en-US" w:eastAsia="zh-CN"/>
              </w:rPr>
              <w:t>2</w:t>
            </w:r>
          </w:p>
        </w:tc>
        <w:tc>
          <w:tcPr>
            <w:tcW w:w="800" w:type="pct"/>
            <w:tcBorders>
              <w:tl2br w:val="nil"/>
              <w:tr2bl w:val="nil"/>
            </w:tcBorders>
            <w:shd w:val="clear" w:color="auto" w:fill="auto"/>
            <w:vAlign w:val="center"/>
          </w:tcPr>
          <w:p w14:paraId="02902F9E">
            <w:pPr>
              <w:pStyle w:val="58"/>
              <w:bidi w:val="0"/>
              <w:rPr>
                <w:rFonts w:hint="default"/>
                <w:highlight w:val="none"/>
                <w:lang w:val="en-US" w:eastAsia="zh-CN"/>
              </w:rPr>
            </w:pPr>
            <w:r>
              <w:rPr>
                <w:rFonts w:hint="default"/>
                <w:highlight w:val="none"/>
                <w:lang w:val="en-US" w:eastAsia="zh-CN"/>
              </w:rPr>
              <w:t>总硬度</w:t>
            </w:r>
          </w:p>
        </w:tc>
        <w:tc>
          <w:tcPr>
            <w:tcW w:w="799" w:type="pct"/>
            <w:tcBorders>
              <w:tl2br w:val="nil"/>
              <w:tr2bl w:val="nil"/>
            </w:tcBorders>
            <w:shd w:val="clear" w:color="auto" w:fill="auto"/>
            <w:noWrap/>
            <w:vAlign w:val="center"/>
          </w:tcPr>
          <w:p w14:paraId="0E95E879">
            <w:pPr>
              <w:pStyle w:val="58"/>
              <w:bidi w:val="0"/>
              <w:rPr>
                <w:rFonts w:hint="default"/>
                <w:highlight w:val="none"/>
                <w:lang w:val="en-US" w:eastAsia="zh-CN"/>
              </w:rPr>
            </w:pPr>
            <w:r>
              <w:rPr>
                <w:rFonts w:hint="default"/>
                <w:highlight w:val="none"/>
                <w:lang w:val="en-US" w:eastAsia="zh-CN"/>
              </w:rPr>
              <w:t>mg/L</w:t>
            </w:r>
          </w:p>
        </w:tc>
        <w:tc>
          <w:tcPr>
            <w:tcW w:w="685" w:type="pct"/>
            <w:tcBorders>
              <w:tl2br w:val="nil"/>
              <w:tr2bl w:val="nil"/>
            </w:tcBorders>
            <w:shd w:val="clear" w:color="auto" w:fill="auto"/>
            <w:noWrap/>
            <w:vAlign w:val="center"/>
          </w:tcPr>
          <w:p w14:paraId="5DCA5AEB">
            <w:pPr>
              <w:pStyle w:val="58"/>
              <w:bidi w:val="0"/>
              <w:rPr>
                <w:rFonts w:hint="default"/>
                <w:highlight w:val="none"/>
                <w:lang w:val="en-US" w:eastAsia="zh-CN"/>
              </w:rPr>
            </w:pPr>
            <w:r>
              <w:rPr>
                <w:rFonts w:hint="default"/>
                <w:highlight w:val="none"/>
                <w:lang w:val="en-US" w:eastAsia="zh-CN"/>
              </w:rPr>
              <w:t>450</w:t>
            </w:r>
          </w:p>
        </w:tc>
        <w:tc>
          <w:tcPr>
            <w:tcW w:w="475" w:type="pct"/>
            <w:tcBorders>
              <w:tl2br w:val="nil"/>
              <w:tr2bl w:val="nil"/>
            </w:tcBorders>
            <w:shd w:val="clear" w:color="auto" w:fill="auto"/>
            <w:noWrap/>
            <w:vAlign w:val="center"/>
          </w:tcPr>
          <w:p w14:paraId="59AC4626">
            <w:pPr>
              <w:pStyle w:val="58"/>
              <w:bidi w:val="0"/>
              <w:rPr>
                <w:rFonts w:hint="default"/>
                <w:highlight w:val="none"/>
                <w:lang w:val="en-US" w:eastAsia="zh-CN"/>
              </w:rPr>
            </w:pPr>
            <w:r>
              <w:rPr>
                <w:rFonts w:hint="default"/>
                <w:highlight w:val="none"/>
                <w:lang w:val="en-US" w:eastAsia="zh-CN"/>
              </w:rPr>
              <w:t>1520</w:t>
            </w:r>
          </w:p>
        </w:tc>
        <w:tc>
          <w:tcPr>
            <w:tcW w:w="475" w:type="pct"/>
            <w:tcBorders>
              <w:tl2br w:val="nil"/>
              <w:tr2bl w:val="nil"/>
            </w:tcBorders>
            <w:shd w:val="clear" w:color="auto" w:fill="auto"/>
            <w:noWrap/>
            <w:vAlign w:val="center"/>
          </w:tcPr>
          <w:p w14:paraId="572FC323">
            <w:pPr>
              <w:pStyle w:val="58"/>
              <w:bidi w:val="0"/>
              <w:rPr>
                <w:rFonts w:hint="default"/>
                <w:highlight w:val="none"/>
                <w:lang w:val="en-US" w:eastAsia="zh-CN"/>
              </w:rPr>
            </w:pPr>
            <w:r>
              <w:rPr>
                <w:rFonts w:hint="default"/>
                <w:highlight w:val="none"/>
                <w:lang w:val="en-US" w:eastAsia="zh-CN"/>
              </w:rPr>
              <w:t>351</w:t>
            </w:r>
          </w:p>
        </w:tc>
        <w:tc>
          <w:tcPr>
            <w:tcW w:w="536" w:type="pct"/>
            <w:tcBorders>
              <w:tl2br w:val="nil"/>
              <w:tr2bl w:val="nil"/>
            </w:tcBorders>
            <w:shd w:val="clear" w:color="auto" w:fill="auto"/>
            <w:noWrap/>
            <w:vAlign w:val="center"/>
          </w:tcPr>
          <w:p w14:paraId="52DB3111">
            <w:pPr>
              <w:pStyle w:val="58"/>
              <w:bidi w:val="0"/>
              <w:rPr>
                <w:rFonts w:hint="default"/>
                <w:highlight w:val="none"/>
                <w:lang w:val="en-US" w:eastAsia="zh-CN"/>
              </w:rPr>
            </w:pPr>
            <w:r>
              <w:rPr>
                <w:rFonts w:hint="default"/>
                <w:highlight w:val="none"/>
                <w:lang w:val="en-US" w:eastAsia="zh-CN"/>
              </w:rPr>
              <w:t>1299</w:t>
            </w:r>
          </w:p>
        </w:tc>
        <w:tc>
          <w:tcPr>
            <w:tcW w:w="410" w:type="pct"/>
            <w:tcBorders>
              <w:tl2br w:val="nil"/>
              <w:tr2bl w:val="nil"/>
            </w:tcBorders>
            <w:shd w:val="clear" w:color="auto" w:fill="auto"/>
            <w:noWrap/>
            <w:vAlign w:val="center"/>
          </w:tcPr>
          <w:p w14:paraId="7D713207">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4D1B0820">
            <w:pPr>
              <w:pStyle w:val="58"/>
              <w:bidi w:val="0"/>
              <w:rPr>
                <w:rFonts w:hint="default"/>
                <w:highlight w:val="none"/>
                <w:lang w:val="en-US" w:eastAsia="zh-CN"/>
              </w:rPr>
            </w:pPr>
            <w:r>
              <w:rPr>
                <w:rFonts w:hint="default"/>
                <w:highlight w:val="none"/>
                <w:lang w:val="en-US" w:eastAsia="zh-CN"/>
              </w:rPr>
              <w:t>85.7</w:t>
            </w:r>
          </w:p>
        </w:tc>
      </w:tr>
      <w:tr w14:paraId="79D0497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02F952E0">
            <w:pPr>
              <w:pStyle w:val="58"/>
              <w:bidi w:val="0"/>
              <w:rPr>
                <w:rFonts w:hint="default"/>
                <w:highlight w:val="none"/>
              </w:rPr>
            </w:pPr>
            <w:r>
              <w:rPr>
                <w:rFonts w:hint="default"/>
                <w:highlight w:val="none"/>
                <w:lang w:val="en-US" w:eastAsia="zh-CN"/>
              </w:rPr>
              <w:t>3</w:t>
            </w:r>
          </w:p>
        </w:tc>
        <w:tc>
          <w:tcPr>
            <w:tcW w:w="800" w:type="pct"/>
            <w:tcBorders>
              <w:tl2br w:val="nil"/>
              <w:tr2bl w:val="nil"/>
            </w:tcBorders>
            <w:shd w:val="clear" w:color="auto" w:fill="auto"/>
            <w:vAlign w:val="center"/>
          </w:tcPr>
          <w:p w14:paraId="0C6ED343">
            <w:pPr>
              <w:pStyle w:val="58"/>
              <w:bidi w:val="0"/>
              <w:rPr>
                <w:rFonts w:hint="default"/>
                <w:highlight w:val="none"/>
                <w:lang w:val="en-US" w:eastAsia="zh-CN"/>
              </w:rPr>
            </w:pPr>
            <w:r>
              <w:rPr>
                <w:rFonts w:hint="default"/>
                <w:highlight w:val="none"/>
                <w:lang w:val="en-US" w:eastAsia="zh-CN"/>
              </w:rPr>
              <w:t>溶解性总固体</w:t>
            </w:r>
          </w:p>
        </w:tc>
        <w:tc>
          <w:tcPr>
            <w:tcW w:w="799" w:type="pct"/>
            <w:tcBorders>
              <w:tl2br w:val="nil"/>
              <w:tr2bl w:val="nil"/>
            </w:tcBorders>
            <w:shd w:val="clear" w:color="auto" w:fill="auto"/>
            <w:noWrap/>
            <w:vAlign w:val="center"/>
          </w:tcPr>
          <w:p w14:paraId="759C0CD3">
            <w:pPr>
              <w:pStyle w:val="58"/>
              <w:bidi w:val="0"/>
              <w:rPr>
                <w:rFonts w:hint="default"/>
                <w:highlight w:val="none"/>
                <w:lang w:val="en-US" w:eastAsia="zh-CN"/>
              </w:rPr>
            </w:pPr>
            <w:r>
              <w:rPr>
                <w:rFonts w:hint="default"/>
                <w:highlight w:val="none"/>
                <w:lang w:val="en-US" w:eastAsia="zh-CN"/>
              </w:rPr>
              <w:t>mg/L</w:t>
            </w:r>
          </w:p>
        </w:tc>
        <w:tc>
          <w:tcPr>
            <w:tcW w:w="685" w:type="pct"/>
            <w:tcBorders>
              <w:tl2br w:val="nil"/>
              <w:tr2bl w:val="nil"/>
            </w:tcBorders>
            <w:shd w:val="clear" w:color="auto" w:fill="auto"/>
            <w:noWrap/>
            <w:vAlign w:val="center"/>
          </w:tcPr>
          <w:p w14:paraId="71FAE244">
            <w:pPr>
              <w:pStyle w:val="58"/>
              <w:bidi w:val="0"/>
              <w:rPr>
                <w:rFonts w:hint="default"/>
                <w:highlight w:val="none"/>
                <w:lang w:val="en-US" w:eastAsia="zh-CN"/>
              </w:rPr>
            </w:pPr>
            <w:r>
              <w:rPr>
                <w:rFonts w:hint="default"/>
                <w:highlight w:val="none"/>
                <w:lang w:val="en-US" w:eastAsia="zh-CN"/>
              </w:rPr>
              <w:t>1000</w:t>
            </w:r>
          </w:p>
        </w:tc>
        <w:tc>
          <w:tcPr>
            <w:tcW w:w="475" w:type="pct"/>
            <w:tcBorders>
              <w:tl2br w:val="nil"/>
              <w:tr2bl w:val="nil"/>
            </w:tcBorders>
            <w:shd w:val="clear" w:color="auto" w:fill="auto"/>
            <w:noWrap/>
            <w:vAlign w:val="center"/>
          </w:tcPr>
          <w:p w14:paraId="4FBB8F89">
            <w:pPr>
              <w:pStyle w:val="58"/>
              <w:bidi w:val="0"/>
              <w:rPr>
                <w:rFonts w:hint="default"/>
                <w:highlight w:val="none"/>
                <w:lang w:val="en-US" w:eastAsia="zh-CN"/>
              </w:rPr>
            </w:pPr>
            <w:r>
              <w:rPr>
                <w:rFonts w:hint="default"/>
                <w:highlight w:val="none"/>
                <w:lang w:val="en-US" w:eastAsia="zh-CN"/>
              </w:rPr>
              <w:t>2080</w:t>
            </w:r>
          </w:p>
        </w:tc>
        <w:tc>
          <w:tcPr>
            <w:tcW w:w="475" w:type="pct"/>
            <w:tcBorders>
              <w:tl2br w:val="nil"/>
              <w:tr2bl w:val="nil"/>
            </w:tcBorders>
            <w:shd w:val="clear" w:color="auto" w:fill="auto"/>
            <w:noWrap/>
            <w:vAlign w:val="center"/>
          </w:tcPr>
          <w:p w14:paraId="56062225">
            <w:pPr>
              <w:pStyle w:val="58"/>
              <w:bidi w:val="0"/>
              <w:rPr>
                <w:rFonts w:hint="default"/>
                <w:highlight w:val="none"/>
                <w:lang w:val="en-US" w:eastAsia="zh-CN"/>
              </w:rPr>
            </w:pPr>
            <w:r>
              <w:rPr>
                <w:rFonts w:hint="default"/>
                <w:highlight w:val="none"/>
                <w:lang w:val="en-US" w:eastAsia="zh-CN"/>
              </w:rPr>
              <w:t>696</w:t>
            </w:r>
          </w:p>
        </w:tc>
        <w:tc>
          <w:tcPr>
            <w:tcW w:w="536" w:type="pct"/>
            <w:tcBorders>
              <w:tl2br w:val="nil"/>
              <w:tr2bl w:val="nil"/>
            </w:tcBorders>
            <w:shd w:val="clear" w:color="auto" w:fill="auto"/>
            <w:noWrap/>
            <w:vAlign w:val="center"/>
          </w:tcPr>
          <w:p w14:paraId="54447374">
            <w:pPr>
              <w:pStyle w:val="58"/>
              <w:bidi w:val="0"/>
              <w:rPr>
                <w:rFonts w:hint="default"/>
                <w:highlight w:val="none"/>
                <w:lang w:val="en-US" w:eastAsia="zh-CN"/>
              </w:rPr>
            </w:pPr>
            <w:r>
              <w:rPr>
                <w:rFonts w:hint="default"/>
                <w:highlight w:val="none"/>
                <w:lang w:val="en-US" w:eastAsia="zh-CN"/>
              </w:rPr>
              <w:t>1824</w:t>
            </w:r>
          </w:p>
        </w:tc>
        <w:tc>
          <w:tcPr>
            <w:tcW w:w="410" w:type="pct"/>
            <w:tcBorders>
              <w:tl2br w:val="nil"/>
              <w:tr2bl w:val="nil"/>
            </w:tcBorders>
            <w:shd w:val="clear" w:color="auto" w:fill="auto"/>
            <w:noWrap/>
            <w:vAlign w:val="center"/>
          </w:tcPr>
          <w:p w14:paraId="2DAA3BFE">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1E1868FE">
            <w:pPr>
              <w:pStyle w:val="58"/>
              <w:bidi w:val="0"/>
              <w:rPr>
                <w:rFonts w:hint="default"/>
                <w:highlight w:val="none"/>
                <w:lang w:val="en-US" w:eastAsia="zh-CN"/>
              </w:rPr>
            </w:pPr>
            <w:r>
              <w:rPr>
                <w:rFonts w:hint="default"/>
                <w:highlight w:val="none"/>
                <w:lang w:val="en-US" w:eastAsia="zh-CN"/>
              </w:rPr>
              <w:t>85.7</w:t>
            </w:r>
          </w:p>
        </w:tc>
      </w:tr>
      <w:tr w14:paraId="568EEB3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4C7DAC57">
            <w:pPr>
              <w:pStyle w:val="58"/>
              <w:bidi w:val="0"/>
              <w:rPr>
                <w:rFonts w:hint="default"/>
                <w:highlight w:val="none"/>
              </w:rPr>
            </w:pPr>
            <w:r>
              <w:rPr>
                <w:rFonts w:hint="default"/>
                <w:highlight w:val="none"/>
                <w:lang w:val="en-US" w:eastAsia="zh-CN"/>
              </w:rPr>
              <w:t>4</w:t>
            </w:r>
          </w:p>
        </w:tc>
        <w:tc>
          <w:tcPr>
            <w:tcW w:w="800" w:type="pct"/>
            <w:tcBorders>
              <w:tl2br w:val="nil"/>
              <w:tr2bl w:val="nil"/>
            </w:tcBorders>
            <w:shd w:val="clear" w:color="auto" w:fill="auto"/>
            <w:vAlign w:val="center"/>
          </w:tcPr>
          <w:p w14:paraId="409B07AF">
            <w:pPr>
              <w:pStyle w:val="58"/>
              <w:bidi w:val="0"/>
              <w:rPr>
                <w:rFonts w:hint="default"/>
                <w:highlight w:val="none"/>
                <w:lang w:val="en-US" w:eastAsia="zh-CN"/>
              </w:rPr>
            </w:pPr>
            <w:r>
              <w:rPr>
                <w:rFonts w:hint="default"/>
                <w:highlight w:val="none"/>
                <w:lang w:val="en-US" w:eastAsia="zh-CN"/>
              </w:rPr>
              <w:t>高锰酸盐指数</w:t>
            </w:r>
          </w:p>
        </w:tc>
        <w:tc>
          <w:tcPr>
            <w:tcW w:w="799" w:type="pct"/>
            <w:tcBorders>
              <w:tl2br w:val="nil"/>
              <w:tr2bl w:val="nil"/>
            </w:tcBorders>
            <w:shd w:val="clear" w:color="auto" w:fill="auto"/>
            <w:noWrap/>
            <w:vAlign w:val="center"/>
          </w:tcPr>
          <w:p w14:paraId="47FDB041">
            <w:pPr>
              <w:pStyle w:val="58"/>
              <w:bidi w:val="0"/>
              <w:rPr>
                <w:rFonts w:hint="default"/>
                <w:highlight w:val="none"/>
                <w:lang w:val="en-US" w:eastAsia="zh-CN"/>
              </w:rPr>
            </w:pPr>
            <w:r>
              <w:rPr>
                <w:rFonts w:hint="default"/>
                <w:highlight w:val="none"/>
                <w:lang w:val="en-US" w:eastAsia="zh-CN"/>
              </w:rPr>
              <w:t>mg/L</w:t>
            </w:r>
          </w:p>
        </w:tc>
        <w:tc>
          <w:tcPr>
            <w:tcW w:w="685" w:type="pct"/>
            <w:tcBorders>
              <w:tl2br w:val="nil"/>
              <w:tr2bl w:val="nil"/>
            </w:tcBorders>
            <w:shd w:val="clear" w:color="auto" w:fill="auto"/>
            <w:noWrap/>
            <w:vAlign w:val="center"/>
          </w:tcPr>
          <w:p w14:paraId="77F0BF28">
            <w:pPr>
              <w:pStyle w:val="58"/>
              <w:bidi w:val="0"/>
              <w:rPr>
                <w:rFonts w:hint="default"/>
                <w:highlight w:val="none"/>
                <w:lang w:val="en-US" w:eastAsia="zh-CN"/>
              </w:rPr>
            </w:pPr>
            <w:r>
              <w:rPr>
                <w:rFonts w:hint="default"/>
                <w:highlight w:val="none"/>
                <w:lang w:val="en-US" w:eastAsia="zh-CN"/>
              </w:rPr>
              <w:t>3.0</w:t>
            </w:r>
          </w:p>
        </w:tc>
        <w:tc>
          <w:tcPr>
            <w:tcW w:w="475" w:type="pct"/>
            <w:tcBorders>
              <w:tl2br w:val="nil"/>
              <w:tr2bl w:val="nil"/>
            </w:tcBorders>
            <w:shd w:val="clear" w:color="auto" w:fill="auto"/>
            <w:noWrap/>
            <w:vAlign w:val="center"/>
          </w:tcPr>
          <w:p w14:paraId="00D3BBE6">
            <w:pPr>
              <w:pStyle w:val="58"/>
              <w:bidi w:val="0"/>
              <w:rPr>
                <w:rFonts w:hint="default"/>
                <w:highlight w:val="none"/>
                <w:lang w:val="en-US" w:eastAsia="zh-CN"/>
              </w:rPr>
            </w:pPr>
            <w:r>
              <w:rPr>
                <w:rFonts w:hint="default"/>
                <w:highlight w:val="none"/>
                <w:lang w:val="en-US" w:eastAsia="zh-CN"/>
              </w:rPr>
              <w:t>17.6</w:t>
            </w:r>
          </w:p>
        </w:tc>
        <w:tc>
          <w:tcPr>
            <w:tcW w:w="475" w:type="pct"/>
            <w:tcBorders>
              <w:tl2br w:val="nil"/>
              <w:tr2bl w:val="nil"/>
            </w:tcBorders>
            <w:shd w:val="clear" w:color="auto" w:fill="auto"/>
            <w:noWrap/>
            <w:vAlign w:val="center"/>
          </w:tcPr>
          <w:p w14:paraId="565A13DA">
            <w:pPr>
              <w:pStyle w:val="58"/>
              <w:bidi w:val="0"/>
              <w:rPr>
                <w:rFonts w:hint="default"/>
                <w:highlight w:val="none"/>
                <w:lang w:val="en-US" w:eastAsia="zh-CN"/>
              </w:rPr>
            </w:pPr>
            <w:r>
              <w:rPr>
                <w:rFonts w:hint="default"/>
                <w:highlight w:val="none"/>
                <w:lang w:val="en-US" w:eastAsia="zh-CN"/>
              </w:rPr>
              <w:t>5.8</w:t>
            </w:r>
          </w:p>
        </w:tc>
        <w:tc>
          <w:tcPr>
            <w:tcW w:w="536" w:type="pct"/>
            <w:tcBorders>
              <w:tl2br w:val="nil"/>
              <w:tr2bl w:val="nil"/>
            </w:tcBorders>
            <w:shd w:val="clear" w:color="auto" w:fill="auto"/>
            <w:noWrap/>
            <w:vAlign w:val="center"/>
          </w:tcPr>
          <w:p w14:paraId="614F61E3">
            <w:pPr>
              <w:pStyle w:val="58"/>
              <w:bidi w:val="0"/>
              <w:rPr>
                <w:rFonts w:hint="default"/>
                <w:highlight w:val="none"/>
                <w:lang w:val="en-US" w:eastAsia="zh-CN"/>
              </w:rPr>
            </w:pPr>
            <w:r>
              <w:rPr>
                <w:rFonts w:hint="default"/>
                <w:highlight w:val="none"/>
                <w:lang w:val="en-US" w:eastAsia="zh-CN"/>
              </w:rPr>
              <w:t>10.8</w:t>
            </w:r>
          </w:p>
        </w:tc>
        <w:tc>
          <w:tcPr>
            <w:tcW w:w="410" w:type="pct"/>
            <w:tcBorders>
              <w:tl2br w:val="nil"/>
              <w:tr2bl w:val="nil"/>
            </w:tcBorders>
            <w:shd w:val="clear" w:color="auto" w:fill="auto"/>
            <w:noWrap/>
            <w:vAlign w:val="center"/>
          </w:tcPr>
          <w:p w14:paraId="22F791D3">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19635EC2">
            <w:pPr>
              <w:pStyle w:val="58"/>
              <w:bidi w:val="0"/>
              <w:rPr>
                <w:rFonts w:hint="default"/>
                <w:highlight w:val="none"/>
                <w:lang w:val="en-US" w:eastAsia="zh-CN"/>
              </w:rPr>
            </w:pPr>
            <w:r>
              <w:rPr>
                <w:rFonts w:hint="default"/>
                <w:highlight w:val="none"/>
                <w:lang w:val="en-US" w:eastAsia="zh-CN"/>
              </w:rPr>
              <w:t>100</w:t>
            </w:r>
          </w:p>
        </w:tc>
      </w:tr>
      <w:tr w14:paraId="33EABAD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4C582682">
            <w:pPr>
              <w:pStyle w:val="58"/>
              <w:bidi w:val="0"/>
              <w:rPr>
                <w:rFonts w:hint="default"/>
                <w:highlight w:val="none"/>
              </w:rPr>
            </w:pPr>
            <w:r>
              <w:rPr>
                <w:rFonts w:hint="default"/>
                <w:highlight w:val="none"/>
                <w:lang w:val="en-US" w:eastAsia="zh-CN"/>
              </w:rPr>
              <w:t>5</w:t>
            </w:r>
          </w:p>
        </w:tc>
        <w:tc>
          <w:tcPr>
            <w:tcW w:w="800" w:type="pct"/>
            <w:tcBorders>
              <w:tl2br w:val="nil"/>
              <w:tr2bl w:val="nil"/>
            </w:tcBorders>
            <w:shd w:val="clear" w:color="auto" w:fill="auto"/>
            <w:vAlign w:val="center"/>
          </w:tcPr>
          <w:p w14:paraId="4B785004">
            <w:pPr>
              <w:pStyle w:val="58"/>
              <w:bidi w:val="0"/>
              <w:rPr>
                <w:rFonts w:hint="default"/>
                <w:highlight w:val="none"/>
                <w:lang w:val="en-US" w:eastAsia="zh-CN"/>
              </w:rPr>
            </w:pPr>
            <w:r>
              <w:rPr>
                <w:rFonts w:hint="default"/>
                <w:highlight w:val="none"/>
                <w:lang w:val="en-US" w:eastAsia="zh-CN"/>
              </w:rPr>
              <w:t>氟化物</w:t>
            </w:r>
          </w:p>
        </w:tc>
        <w:tc>
          <w:tcPr>
            <w:tcW w:w="799" w:type="pct"/>
            <w:tcBorders>
              <w:tl2br w:val="nil"/>
              <w:tr2bl w:val="nil"/>
            </w:tcBorders>
            <w:shd w:val="clear" w:color="auto" w:fill="auto"/>
            <w:noWrap/>
            <w:vAlign w:val="center"/>
          </w:tcPr>
          <w:p w14:paraId="17D91ED5">
            <w:pPr>
              <w:pStyle w:val="58"/>
              <w:bidi w:val="0"/>
              <w:rPr>
                <w:rFonts w:hint="default"/>
                <w:highlight w:val="none"/>
                <w:lang w:val="en-US" w:eastAsia="zh-CN"/>
              </w:rPr>
            </w:pPr>
            <w:r>
              <w:rPr>
                <w:rFonts w:hint="default"/>
                <w:highlight w:val="none"/>
                <w:lang w:val="en-US" w:eastAsia="zh-CN"/>
              </w:rPr>
              <w:t>mg/L</w:t>
            </w:r>
          </w:p>
        </w:tc>
        <w:tc>
          <w:tcPr>
            <w:tcW w:w="685" w:type="pct"/>
            <w:tcBorders>
              <w:tl2br w:val="nil"/>
              <w:tr2bl w:val="nil"/>
            </w:tcBorders>
            <w:shd w:val="clear" w:color="auto" w:fill="auto"/>
            <w:noWrap/>
            <w:vAlign w:val="center"/>
          </w:tcPr>
          <w:p w14:paraId="41664BAD">
            <w:pPr>
              <w:pStyle w:val="58"/>
              <w:bidi w:val="0"/>
              <w:rPr>
                <w:rFonts w:hint="default"/>
                <w:highlight w:val="none"/>
                <w:lang w:val="en-US" w:eastAsia="zh-CN"/>
              </w:rPr>
            </w:pPr>
            <w:r>
              <w:rPr>
                <w:rFonts w:hint="default"/>
                <w:highlight w:val="none"/>
                <w:lang w:val="en-US" w:eastAsia="zh-CN"/>
              </w:rPr>
              <w:t>1.0</w:t>
            </w:r>
          </w:p>
        </w:tc>
        <w:tc>
          <w:tcPr>
            <w:tcW w:w="475" w:type="pct"/>
            <w:tcBorders>
              <w:tl2br w:val="nil"/>
              <w:tr2bl w:val="nil"/>
            </w:tcBorders>
            <w:shd w:val="clear" w:color="auto" w:fill="auto"/>
            <w:noWrap/>
            <w:vAlign w:val="center"/>
          </w:tcPr>
          <w:p w14:paraId="38FC2996">
            <w:pPr>
              <w:pStyle w:val="58"/>
              <w:bidi w:val="0"/>
              <w:rPr>
                <w:rFonts w:hint="default"/>
                <w:highlight w:val="none"/>
                <w:lang w:val="en-US" w:eastAsia="zh-CN"/>
              </w:rPr>
            </w:pPr>
            <w:r>
              <w:rPr>
                <w:rFonts w:hint="default"/>
                <w:highlight w:val="none"/>
                <w:lang w:val="en-US" w:eastAsia="zh-CN"/>
              </w:rPr>
              <w:t>0.47</w:t>
            </w:r>
          </w:p>
        </w:tc>
        <w:tc>
          <w:tcPr>
            <w:tcW w:w="475" w:type="pct"/>
            <w:tcBorders>
              <w:tl2br w:val="nil"/>
              <w:tr2bl w:val="nil"/>
            </w:tcBorders>
            <w:shd w:val="clear" w:color="auto" w:fill="auto"/>
            <w:noWrap/>
            <w:vAlign w:val="center"/>
          </w:tcPr>
          <w:p w14:paraId="493CFF29">
            <w:pPr>
              <w:pStyle w:val="58"/>
              <w:bidi w:val="0"/>
              <w:rPr>
                <w:rFonts w:hint="default"/>
                <w:highlight w:val="none"/>
                <w:lang w:val="en-US" w:eastAsia="zh-CN"/>
              </w:rPr>
            </w:pPr>
            <w:r>
              <w:rPr>
                <w:rFonts w:hint="default"/>
                <w:highlight w:val="none"/>
                <w:lang w:val="en-US" w:eastAsia="zh-CN"/>
              </w:rPr>
              <w:t>0.382</w:t>
            </w:r>
          </w:p>
        </w:tc>
        <w:tc>
          <w:tcPr>
            <w:tcW w:w="536" w:type="pct"/>
            <w:tcBorders>
              <w:tl2br w:val="nil"/>
              <w:tr2bl w:val="nil"/>
            </w:tcBorders>
            <w:shd w:val="clear" w:color="auto" w:fill="auto"/>
            <w:noWrap/>
            <w:vAlign w:val="center"/>
          </w:tcPr>
          <w:p w14:paraId="1A29E90C">
            <w:pPr>
              <w:pStyle w:val="58"/>
              <w:bidi w:val="0"/>
              <w:rPr>
                <w:rFonts w:hint="default"/>
                <w:highlight w:val="none"/>
                <w:lang w:val="en-US" w:eastAsia="zh-CN"/>
              </w:rPr>
            </w:pPr>
            <w:r>
              <w:rPr>
                <w:rFonts w:hint="default"/>
                <w:highlight w:val="none"/>
                <w:lang w:val="en-US" w:eastAsia="zh-CN"/>
              </w:rPr>
              <w:t>0.433</w:t>
            </w:r>
          </w:p>
        </w:tc>
        <w:tc>
          <w:tcPr>
            <w:tcW w:w="410" w:type="pct"/>
            <w:tcBorders>
              <w:tl2br w:val="nil"/>
              <w:tr2bl w:val="nil"/>
            </w:tcBorders>
            <w:shd w:val="clear" w:color="auto" w:fill="auto"/>
            <w:noWrap/>
            <w:vAlign w:val="center"/>
          </w:tcPr>
          <w:p w14:paraId="1461532A">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202FE5CB">
            <w:pPr>
              <w:pStyle w:val="58"/>
              <w:bidi w:val="0"/>
              <w:rPr>
                <w:rFonts w:hint="default"/>
                <w:highlight w:val="none"/>
                <w:lang w:val="en-US" w:eastAsia="zh-CN"/>
              </w:rPr>
            </w:pPr>
            <w:r>
              <w:rPr>
                <w:rFonts w:hint="default"/>
                <w:highlight w:val="none"/>
                <w:lang w:val="en-US" w:eastAsia="zh-CN"/>
              </w:rPr>
              <w:t>0</w:t>
            </w:r>
          </w:p>
        </w:tc>
      </w:tr>
      <w:tr w14:paraId="586DB1C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489410FF">
            <w:pPr>
              <w:pStyle w:val="58"/>
              <w:bidi w:val="0"/>
              <w:rPr>
                <w:rFonts w:hint="default"/>
                <w:highlight w:val="none"/>
              </w:rPr>
            </w:pPr>
            <w:r>
              <w:rPr>
                <w:rFonts w:hint="default"/>
                <w:highlight w:val="none"/>
                <w:lang w:val="en-US" w:eastAsia="zh-CN"/>
              </w:rPr>
              <w:t>6</w:t>
            </w:r>
          </w:p>
        </w:tc>
        <w:tc>
          <w:tcPr>
            <w:tcW w:w="800" w:type="pct"/>
            <w:tcBorders>
              <w:tl2br w:val="nil"/>
              <w:tr2bl w:val="nil"/>
            </w:tcBorders>
            <w:shd w:val="clear" w:color="auto" w:fill="auto"/>
            <w:vAlign w:val="center"/>
          </w:tcPr>
          <w:p w14:paraId="32174F6D">
            <w:pPr>
              <w:pStyle w:val="58"/>
              <w:bidi w:val="0"/>
              <w:rPr>
                <w:rFonts w:hint="default"/>
                <w:highlight w:val="none"/>
                <w:lang w:val="en-US" w:eastAsia="zh-CN"/>
              </w:rPr>
            </w:pPr>
            <w:r>
              <w:rPr>
                <w:rFonts w:hint="default"/>
                <w:highlight w:val="none"/>
                <w:lang w:val="en-US" w:eastAsia="zh-CN"/>
              </w:rPr>
              <w:t>氯化物</w:t>
            </w:r>
          </w:p>
        </w:tc>
        <w:tc>
          <w:tcPr>
            <w:tcW w:w="799" w:type="pct"/>
            <w:tcBorders>
              <w:tl2br w:val="nil"/>
              <w:tr2bl w:val="nil"/>
            </w:tcBorders>
            <w:shd w:val="clear" w:color="auto" w:fill="auto"/>
            <w:noWrap/>
            <w:vAlign w:val="center"/>
          </w:tcPr>
          <w:p w14:paraId="352BA585">
            <w:pPr>
              <w:pStyle w:val="58"/>
              <w:bidi w:val="0"/>
              <w:rPr>
                <w:rFonts w:hint="default"/>
                <w:highlight w:val="none"/>
                <w:lang w:val="en-US" w:eastAsia="zh-CN"/>
              </w:rPr>
            </w:pPr>
            <w:r>
              <w:rPr>
                <w:rFonts w:hint="default"/>
                <w:highlight w:val="none"/>
                <w:lang w:val="en-US" w:eastAsia="zh-CN"/>
              </w:rPr>
              <w:t>mg/L</w:t>
            </w:r>
          </w:p>
        </w:tc>
        <w:tc>
          <w:tcPr>
            <w:tcW w:w="685" w:type="pct"/>
            <w:tcBorders>
              <w:tl2br w:val="nil"/>
              <w:tr2bl w:val="nil"/>
            </w:tcBorders>
            <w:shd w:val="clear" w:color="auto" w:fill="auto"/>
            <w:noWrap/>
            <w:vAlign w:val="center"/>
          </w:tcPr>
          <w:p w14:paraId="55C5D791">
            <w:pPr>
              <w:pStyle w:val="58"/>
              <w:bidi w:val="0"/>
              <w:rPr>
                <w:rFonts w:hint="default"/>
                <w:highlight w:val="none"/>
                <w:lang w:val="en-US" w:eastAsia="zh-CN"/>
              </w:rPr>
            </w:pPr>
            <w:r>
              <w:rPr>
                <w:rFonts w:hint="default"/>
                <w:highlight w:val="none"/>
                <w:lang w:val="en-US" w:eastAsia="zh-CN"/>
              </w:rPr>
              <w:t>250</w:t>
            </w:r>
          </w:p>
        </w:tc>
        <w:tc>
          <w:tcPr>
            <w:tcW w:w="475" w:type="pct"/>
            <w:tcBorders>
              <w:tl2br w:val="nil"/>
              <w:tr2bl w:val="nil"/>
            </w:tcBorders>
            <w:shd w:val="clear" w:color="auto" w:fill="auto"/>
            <w:noWrap/>
            <w:vAlign w:val="center"/>
          </w:tcPr>
          <w:p w14:paraId="5B0F7117">
            <w:pPr>
              <w:pStyle w:val="58"/>
              <w:bidi w:val="0"/>
              <w:rPr>
                <w:rFonts w:hint="default"/>
                <w:highlight w:val="none"/>
                <w:lang w:val="en-US" w:eastAsia="zh-CN"/>
              </w:rPr>
            </w:pPr>
            <w:r>
              <w:rPr>
                <w:rFonts w:hint="default"/>
                <w:highlight w:val="none"/>
                <w:lang w:val="en-US" w:eastAsia="zh-CN"/>
              </w:rPr>
              <w:t>708</w:t>
            </w:r>
          </w:p>
        </w:tc>
        <w:tc>
          <w:tcPr>
            <w:tcW w:w="475" w:type="pct"/>
            <w:tcBorders>
              <w:tl2br w:val="nil"/>
              <w:tr2bl w:val="nil"/>
            </w:tcBorders>
            <w:shd w:val="clear" w:color="auto" w:fill="auto"/>
            <w:noWrap/>
            <w:vAlign w:val="center"/>
          </w:tcPr>
          <w:p w14:paraId="6F27EE33">
            <w:pPr>
              <w:pStyle w:val="58"/>
              <w:bidi w:val="0"/>
              <w:rPr>
                <w:rFonts w:hint="default"/>
                <w:highlight w:val="none"/>
                <w:lang w:val="en-US" w:eastAsia="zh-CN"/>
              </w:rPr>
            </w:pPr>
            <w:r>
              <w:rPr>
                <w:rFonts w:hint="default"/>
                <w:highlight w:val="none"/>
                <w:lang w:val="en-US" w:eastAsia="zh-CN"/>
              </w:rPr>
              <w:t>560</w:t>
            </w:r>
          </w:p>
        </w:tc>
        <w:tc>
          <w:tcPr>
            <w:tcW w:w="536" w:type="pct"/>
            <w:tcBorders>
              <w:tl2br w:val="nil"/>
              <w:tr2bl w:val="nil"/>
            </w:tcBorders>
            <w:shd w:val="clear" w:color="auto" w:fill="auto"/>
            <w:noWrap/>
            <w:vAlign w:val="center"/>
          </w:tcPr>
          <w:p w14:paraId="23D60AAB">
            <w:pPr>
              <w:pStyle w:val="58"/>
              <w:bidi w:val="0"/>
              <w:rPr>
                <w:rFonts w:hint="default"/>
                <w:highlight w:val="none"/>
                <w:lang w:val="en-US" w:eastAsia="zh-CN"/>
              </w:rPr>
            </w:pPr>
            <w:r>
              <w:rPr>
                <w:rFonts w:hint="default"/>
                <w:highlight w:val="none"/>
                <w:lang w:val="en-US" w:eastAsia="zh-CN"/>
              </w:rPr>
              <w:t>645</w:t>
            </w:r>
          </w:p>
        </w:tc>
        <w:tc>
          <w:tcPr>
            <w:tcW w:w="410" w:type="pct"/>
            <w:tcBorders>
              <w:tl2br w:val="nil"/>
              <w:tr2bl w:val="nil"/>
            </w:tcBorders>
            <w:shd w:val="clear" w:color="auto" w:fill="auto"/>
            <w:noWrap/>
            <w:vAlign w:val="center"/>
          </w:tcPr>
          <w:p w14:paraId="4E806837">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777E3F21">
            <w:pPr>
              <w:pStyle w:val="58"/>
              <w:bidi w:val="0"/>
              <w:rPr>
                <w:rFonts w:hint="default"/>
                <w:highlight w:val="none"/>
                <w:lang w:val="en-US" w:eastAsia="zh-CN"/>
              </w:rPr>
            </w:pPr>
            <w:r>
              <w:rPr>
                <w:rFonts w:hint="default"/>
                <w:highlight w:val="none"/>
                <w:lang w:val="en-US" w:eastAsia="zh-CN"/>
              </w:rPr>
              <w:t>100</w:t>
            </w:r>
          </w:p>
        </w:tc>
      </w:tr>
      <w:tr w14:paraId="0827BF1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6888F5C8">
            <w:pPr>
              <w:pStyle w:val="58"/>
              <w:bidi w:val="0"/>
              <w:rPr>
                <w:rFonts w:hint="default"/>
                <w:highlight w:val="none"/>
              </w:rPr>
            </w:pPr>
            <w:r>
              <w:rPr>
                <w:rFonts w:hint="default"/>
                <w:highlight w:val="none"/>
                <w:lang w:val="en-US" w:eastAsia="zh-CN"/>
              </w:rPr>
              <w:t>7</w:t>
            </w:r>
          </w:p>
        </w:tc>
        <w:tc>
          <w:tcPr>
            <w:tcW w:w="800" w:type="pct"/>
            <w:tcBorders>
              <w:tl2br w:val="nil"/>
              <w:tr2bl w:val="nil"/>
            </w:tcBorders>
            <w:shd w:val="clear" w:color="auto" w:fill="auto"/>
            <w:vAlign w:val="center"/>
          </w:tcPr>
          <w:p w14:paraId="4DC8819B">
            <w:pPr>
              <w:pStyle w:val="58"/>
              <w:bidi w:val="0"/>
              <w:rPr>
                <w:rFonts w:hint="default"/>
                <w:highlight w:val="none"/>
                <w:lang w:val="en-US" w:eastAsia="zh-CN"/>
              </w:rPr>
            </w:pPr>
            <w:r>
              <w:rPr>
                <w:rFonts w:hint="default"/>
                <w:highlight w:val="none"/>
                <w:lang w:val="en-US" w:eastAsia="zh-CN"/>
              </w:rPr>
              <w:t>硫酸盐</w:t>
            </w:r>
          </w:p>
        </w:tc>
        <w:tc>
          <w:tcPr>
            <w:tcW w:w="799" w:type="pct"/>
            <w:tcBorders>
              <w:tl2br w:val="nil"/>
              <w:tr2bl w:val="nil"/>
            </w:tcBorders>
            <w:shd w:val="clear" w:color="auto" w:fill="auto"/>
            <w:noWrap/>
            <w:vAlign w:val="center"/>
          </w:tcPr>
          <w:p w14:paraId="1CA9F2D1">
            <w:pPr>
              <w:pStyle w:val="58"/>
              <w:bidi w:val="0"/>
              <w:rPr>
                <w:rFonts w:hint="default"/>
                <w:highlight w:val="none"/>
                <w:lang w:val="en-US" w:eastAsia="zh-CN"/>
              </w:rPr>
            </w:pPr>
            <w:r>
              <w:rPr>
                <w:rFonts w:hint="default"/>
                <w:highlight w:val="none"/>
                <w:lang w:val="en-US" w:eastAsia="zh-CN"/>
              </w:rPr>
              <w:t>mg/L</w:t>
            </w:r>
          </w:p>
        </w:tc>
        <w:tc>
          <w:tcPr>
            <w:tcW w:w="685" w:type="pct"/>
            <w:tcBorders>
              <w:tl2br w:val="nil"/>
              <w:tr2bl w:val="nil"/>
            </w:tcBorders>
            <w:shd w:val="clear" w:color="auto" w:fill="auto"/>
            <w:noWrap/>
            <w:vAlign w:val="center"/>
          </w:tcPr>
          <w:p w14:paraId="65197058">
            <w:pPr>
              <w:pStyle w:val="58"/>
              <w:bidi w:val="0"/>
              <w:rPr>
                <w:rFonts w:hint="default"/>
                <w:highlight w:val="none"/>
                <w:lang w:val="en-US" w:eastAsia="zh-CN"/>
              </w:rPr>
            </w:pPr>
            <w:r>
              <w:rPr>
                <w:rFonts w:hint="default"/>
                <w:highlight w:val="none"/>
                <w:lang w:val="en-US" w:eastAsia="zh-CN"/>
              </w:rPr>
              <w:t>250</w:t>
            </w:r>
          </w:p>
        </w:tc>
        <w:tc>
          <w:tcPr>
            <w:tcW w:w="475" w:type="pct"/>
            <w:tcBorders>
              <w:tl2br w:val="nil"/>
              <w:tr2bl w:val="nil"/>
            </w:tcBorders>
            <w:shd w:val="clear" w:color="auto" w:fill="auto"/>
            <w:noWrap/>
            <w:vAlign w:val="center"/>
          </w:tcPr>
          <w:p w14:paraId="524CB516">
            <w:pPr>
              <w:pStyle w:val="58"/>
              <w:bidi w:val="0"/>
              <w:rPr>
                <w:rFonts w:hint="default"/>
                <w:highlight w:val="none"/>
                <w:lang w:val="en-US" w:eastAsia="zh-CN"/>
              </w:rPr>
            </w:pPr>
            <w:r>
              <w:rPr>
                <w:rFonts w:hint="default"/>
                <w:highlight w:val="none"/>
                <w:lang w:val="en-US" w:eastAsia="zh-CN"/>
              </w:rPr>
              <w:t>572</w:t>
            </w:r>
          </w:p>
        </w:tc>
        <w:tc>
          <w:tcPr>
            <w:tcW w:w="475" w:type="pct"/>
            <w:tcBorders>
              <w:tl2br w:val="nil"/>
              <w:tr2bl w:val="nil"/>
            </w:tcBorders>
            <w:shd w:val="clear" w:color="auto" w:fill="auto"/>
            <w:noWrap/>
            <w:vAlign w:val="center"/>
          </w:tcPr>
          <w:p w14:paraId="494D3AFC">
            <w:pPr>
              <w:pStyle w:val="58"/>
              <w:bidi w:val="0"/>
              <w:rPr>
                <w:rFonts w:hint="default"/>
                <w:highlight w:val="none"/>
                <w:lang w:val="en-US" w:eastAsia="zh-CN"/>
              </w:rPr>
            </w:pPr>
            <w:r>
              <w:rPr>
                <w:rFonts w:hint="default"/>
                <w:highlight w:val="none"/>
                <w:lang w:val="en-US" w:eastAsia="zh-CN"/>
              </w:rPr>
              <w:t>246</w:t>
            </w:r>
          </w:p>
        </w:tc>
        <w:tc>
          <w:tcPr>
            <w:tcW w:w="536" w:type="pct"/>
            <w:tcBorders>
              <w:tl2br w:val="nil"/>
              <w:tr2bl w:val="nil"/>
            </w:tcBorders>
            <w:shd w:val="clear" w:color="auto" w:fill="auto"/>
            <w:noWrap/>
            <w:vAlign w:val="center"/>
          </w:tcPr>
          <w:p w14:paraId="454A1853">
            <w:pPr>
              <w:pStyle w:val="58"/>
              <w:bidi w:val="0"/>
              <w:rPr>
                <w:rFonts w:hint="default"/>
                <w:highlight w:val="none"/>
                <w:lang w:val="en-US" w:eastAsia="zh-CN"/>
              </w:rPr>
            </w:pPr>
            <w:r>
              <w:rPr>
                <w:rFonts w:hint="default"/>
                <w:highlight w:val="none"/>
                <w:lang w:val="en-US" w:eastAsia="zh-CN"/>
              </w:rPr>
              <w:t>422</w:t>
            </w:r>
          </w:p>
        </w:tc>
        <w:tc>
          <w:tcPr>
            <w:tcW w:w="410" w:type="pct"/>
            <w:tcBorders>
              <w:tl2br w:val="nil"/>
              <w:tr2bl w:val="nil"/>
            </w:tcBorders>
            <w:shd w:val="clear" w:color="auto" w:fill="auto"/>
            <w:noWrap/>
            <w:vAlign w:val="center"/>
          </w:tcPr>
          <w:p w14:paraId="1D7DC1FD">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27CCAEF8">
            <w:pPr>
              <w:pStyle w:val="58"/>
              <w:bidi w:val="0"/>
              <w:rPr>
                <w:rFonts w:hint="default"/>
                <w:highlight w:val="none"/>
                <w:lang w:val="en-US" w:eastAsia="zh-CN"/>
              </w:rPr>
            </w:pPr>
            <w:r>
              <w:rPr>
                <w:rFonts w:hint="default"/>
                <w:highlight w:val="none"/>
                <w:lang w:val="en-US" w:eastAsia="zh-CN"/>
              </w:rPr>
              <w:t>85.7</w:t>
            </w:r>
          </w:p>
        </w:tc>
      </w:tr>
      <w:tr w14:paraId="41FA45C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5230CCD0">
            <w:pPr>
              <w:pStyle w:val="58"/>
              <w:bidi w:val="0"/>
              <w:rPr>
                <w:rFonts w:hint="default"/>
                <w:highlight w:val="none"/>
              </w:rPr>
            </w:pPr>
            <w:r>
              <w:rPr>
                <w:rFonts w:hint="default"/>
                <w:highlight w:val="none"/>
                <w:lang w:val="en-US" w:eastAsia="zh-CN"/>
              </w:rPr>
              <w:t>8</w:t>
            </w:r>
          </w:p>
        </w:tc>
        <w:tc>
          <w:tcPr>
            <w:tcW w:w="800" w:type="pct"/>
            <w:tcBorders>
              <w:tl2br w:val="nil"/>
              <w:tr2bl w:val="nil"/>
            </w:tcBorders>
            <w:shd w:val="clear" w:color="auto" w:fill="auto"/>
            <w:vAlign w:val="center"/>
          </w:tcPr>
          <w:p w14:paraId="221FEA5E">
            <w:pPr>
              <w:pStyle w:val="58"/>
              <w:bidi w:val="0"/>
              <w:rPr>
                <w:rFonts w:hint="default"/>
                <w:highlight w:val="none"/>
                <w:lang w:val="en-US" w:eastAsia="zh-CN"/>
              </w:rPr>
            </w:pPr>
            <w:r>
              <w:rPr>
                <w:rFonts w:hint="default"/>
                <w:highlight w:val="none"/>
                <w:lang w:val="en-US" w:eastAsia="zh-CN"/>
              </w:rPr>
              <w:t>硝酸盐氮</w:t>
            </w:r>
          </w:p>
        </w:tc>
        <w:tc>
          <w:tcPr>
            <w:tcW w:w="799" w:type="pct"/>
            <w:tcBorders>
              <w:tl2br w:val="nil"/>
              <w:tr2bl w:val="nil"/>
            </w:tcBorders>
            <w:shd w:val="clear" w:color="auto" w:fill="auto"/>
            <w:noWrap/>
            <w:vAlign w:val="center"/>
          </w:tcPr>
          <w:p w14:paraId="61F1A20C">
            <w:pPr>
              <w:pStyle w:val="58"/>
              <w:bidi w:val="0"/>
              <w:rPr>
                <w:rFonts w:hint="default"/>
                <w:highlight w:val="none"/>
                <w:lang w:val="en-US" w:eastAsia="zh-CN"/>
              </w:rPr>
            </w:pPr>
            <w:r>
              <w:rPr>
                <w:rFonts w:hint="default"/>
                <w:highlight w:val="none"/>
                <w:lang w:val="en-US" w:eastAsia="zh-CN"/>
              </w:rPr>
              <w:t>mg/L</w:t>
            </w:r>
          </w:p>
        </w:tc>
        <w:tc>
          <w:tcPr>
            <w:tcW w:w="685" w:type="pct"/>
            <w:tcBorders>
              <w:tl2br w:val="nil"/>
              <w:tr2bl w:val="nil"/>
            </w:tcBorders>
            <w:shd w:val="clear" w:color="auto" w:fill="auto"/>
            <w:noWrap/>
            <w:vAlign w:val="center"/>
          </w:tcPr>
          <w:p w14:paraId="293935A4">
            <w:pPr>
              <w:pStyle w:val="58"/>
              <w:bidi w:val="0"/>
              <w:rPr>
                <w:rFonts w:hint="default"/>
                <w:highlight w:val="none"/>
                <w:lang w:val="en-US" w:eastAsia="zh-CN"/>
              </w:rPr>
            </w:pPr>
            <w:r>
              <w:rPr>
                <w:rFonts w:hint="default"/>
                <w:highlight w:val="none"/>
                <w:lang w:val="en-US" w:eastAsia="zh-CN"/>
              </w:rPr>
              <w:t>20</w:t>
            </w:r>
          </w:p>
        </w:tc>
        <w:tc>
          <w:tcPr>
            <w:tcW w:w="475" w:type="pct"/>
            <w:tcBorders>
              <w:tl2br w:val="nil"/>
              <w:tr2bl w:val="nil"/>
            </w:tcBorders>
            <w:shd w:val="clear" w:color="auto" w:fill="auto"/>
            <w:noWrap/>
            <w:vAlign w:val="center"/>
          </w:tcPr>
          <w:p w14:paraId="6E877085">
            <w:pPr>
              <w:pStyle w:val="58"/>
              <w:bidi w:val="0"/>
              <w:rPr>
                <w:rFonts w:hint="default"/>
                <w:highlight w:val="none"/>
                <w:lang w:val="en-US" w:eastAsia="zh-CN"/>
              </w:rPr>
            </w:pPr>
            <w:r>
              <w:rPr>
                <w:rFonts w:hint="default"/>
                <w:highlight w:val="none"/>
                <w:lang w:val="en-US" w:eastAsia="zh-CN"/>
              </w:rPr>
              <w:t>2.85</w:t>
            </w:r>
          </w:p>
        </w:tc>
        <w:tc>
          <w:tcPr>
            <w:tcW w:w="475" w:type="pct"/>
            <w:tcBorders>
              <w:tl2br w:val="nil"/>
              <w:tr2bl w:val="nil"/>
            </w:tcBorders>
            <w:shd w:val="clear" w:color="auto" w:fill="auto"/>
            <w:noWrap/>
            <w:vAlign w:val="center"/>
          </w:tcPr>
          <w:p w14:paraId="55389C3B">
            <w:pPr>
              <w:pStyle w:val="58"/>
              <w:bidi w:val="0"/>
              <w:rPr>
                <w:rFonts w:hint="default"/>
                <w:highlight w:val="none"/>
                <w:lang w:val="en-US" w:eastAsia="zh-CN"/>
              </w:rPr>
            </w:pPr>
            <w:r>
              <w:rPr>
                <w:rFonts w:hint="default"/>
                <w:highlight w:val="none"/>
                <w:lang w:val="en-US" w:eastAsia="zh-CN"/>
              </w:rPr>
              <w:t>0.77</w:t>
            </w:r>
          </w:p>
        </w:tc>
        <w:tc>
          <w:tcPr>
            <w:tcW w:w="536" w:type="pct"/>
            <w:tcBorders>
              <w:tl2br w:val="nil"/>
              <w:tr2bl w:val="nil"/>
            </w:tcBorders>
            <w:shd w:val="clear" w:color="auto" w:fill="auto"/>
            <w:noWrap/>
            <w:vAlign w:val="center"/>
          </w:tcPr>
          <w:p w14:paraId="2C47F662">
            <w:pPr>
              <w:pStyle w:val="58"/>
              <w:bidi w:val="0"/>
              <w:rPr>
                <w:rFonts w:hint="default"/>
                <w:highlight w:val="none"/>
                <w:lang w:val="en-US" w:eastAsia="zh-CN"/>
              </w:rPr>
            </w:pPr>
            <w:r>
              <w:rPr>
                <w:rFonts w:hint="default"/>
                <w:highlight w:val="none"/>
                <w:lang w:val="en-US" w:eastAsia="zh-CN"/>
              </w:rPr>
              <w:t>1.55</w:t>
            </w:r>
          </w:p>
        </w:tc>
        <w:tc>
          <w:tcPr>
            <w:tcW w:w="410" w:type="pct"/>
            <w:tcBorders>
              <w:tl2br w:val="nil"/>
              <w:tr2bl w:val="nil"/>
            </w:tcBorders>
            <w:shd w:val="clear" w:color="auto" w:fill="auto"/>
            <w:noWrap/>
            <w:vAlign w:val="center"/>
          </w:tcPr>
          <w:p w14:paraId="43E256F4">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5ED2DACA">
            <w:pPr>
              <w:pStyle w:val="58"/>
              <w:bidi w:val="0"/>
              <w:rPr>
                <w:rFonts w:hint="default"/>
                <w:highlight w:val="none"/>
                <w:lang w:val="en-US" w:eastAsia="zh-CN"/>
              </w:rPr>
            </w:pPr>
            <w:r>
              <w:rPr>
                <w:rFonts w:hint="default"/>
                <w:highlight w:val="none"/>
                <w:lang w:val="en-US" w:eastAsia="zh-CN"/>
              </w:rPr>
              <w:t>0</w:t>
            </w:r>
          </w:p>
        </w:tc>
      </w:tr>
      <w:tr w14:paraId="3E17A93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0260E043">
            <w:pPr>
              <w:pStyle w:val="58"/>
              <w:bidi w:val="0"/>
              <w:rPr>
                <w:rFonts w:hint="default"/>
                <w:highlight w:val="none"/>
              </w:rPr>
            </w:pPr>
            <w:r>
              <w:rPr>
                <w:rFonts w:hint="default"/>
                <w:highlight w:val="none"/>
                <w:lang w:val="en-US" w:eastAsia="zh-CN"/>
              </w:rPr>
              <w:t>9</w:t>
            </w:r>
          </w:p>
        </w:tc>
        <w:tc>
          <w:tcPr>
            <w:tcW w:w="800" w:type="pct"/>
            <w:tcBorders>
              <w:tl2br w:val="nil"/>
              <w:tr2bl w:val="nil"/>
            </w:tcBorders>
            <w:shd w:val="clear" w:color="auto" w:fill="auto"/>
            <w:vAlign w:val="center"/>
          </w:tcPr>
          <w:p w14:paraId="7F11EA66">
            <w:pPr>
              <w:pStyle w:val="58"/>
              <w:bidi w:val="0"/>
              <w:rPr>
                <w:rFonts w:hint="default"/>
                <w:highlight w:val="none"/>
                <w:lang w:val="en-US" w:eastAsia="zh-CN"/>
              </w:rPr>
            </w:pPr>
            <w:r>
              <w:rPr>
                <w:rFonts w:hint="default"/>
                <w:highlight w:val="none"/>
                <w:lang w:val="en-US" w:eastAsia="zh-CN"/>
              </w:rPr>
              <w:t>氨氮</w:t>
            </w:r>
          </w:p>
        </w:tc>
        <w:tc>
          <w:tcPr>
            <w:tcW w:w="799" w:type="pct"/>
            <w:tcBorders>
              <w:tl2br w:val="nil"/>
              <w:tr2bl w:val="nil"/>
            </w:tcBorders>
            <w:shd w:val="clear" w:color="auto" w:fill="auto"/>
            <w:vAlign w:val="center"/>
          </w:tcPr>
          <w:p w14:paraId="2722E7DC">
            <w:pPr>
              <w:pStyle w:val="58"/>
              <w:bidi w:val="0"/>
              <w:rPr>
                <w:rFonts w:hint="default"/>
                <w:highlight w:val="none"/>
                <w:lang w:val="en-US" w:eastAsia="zh-CN"/>
              </w:rPr>
            </w:pPr>
            <w:r>
              <w:rPr>
                <w:rFonts w:hint="default"/>
                <w:highlight w:val="none"/>
                <w:lang w:val="en-US" w:eastAsia="zh-CN"/>
              </w:rPr>
              <w:t>mg/L</w:t>
            </w:r>
          </w:p>
        </w:tc>
        <w:tc>
          <w:tcPr>
            <w:tcW w:w="685" w:type="pct"/>
            <w:tcBorders>
              <w:tl2br w:val="nil"/>
              <w:tr2bl w:val="nil"/>
            </w:tcBorders>
            <w:shd w:val="clear" w:color="auto" w:fill="auto"/>
            <w:noWrap/>
            <w:vAlign w:val="center"/>
          </w:tcPr>
          <w:p w14:paraId="1DC0B322">
            <w:pPr>
              <w:pStyle w:val="58"/>
              <w:bidi w:val="0"/>
              <w:rPr>
                <w:rFonts w:hint="default"/>
                <w:highlight w:val="none"/>
                <w:lang w:val="en-US" w:eastAsia="zh-CN"/>
              </w:rPr>
            </w:pPr>
            <w:r>
              <w:rPr>
                <w:rFonts w:hint="default"/>
                <w:highlight w:val="none"/>
                <w:lang w:val="en-US" w:eastAsia="zh-CN"/>
              </w:rPr>
              <w:t>0.5</w:t>
            </w:r>
          </w:p>
        </w:tc>
        <w:tc>
          <w:tcPr>
            <w:tcW w:w="475" w:type="pct"/>
            <w:tcBorders>
              <w:tl2br w:val="nil"/>
              <w:tr2bl w:val="nil"/>
            </w:tcBorders>
            <w:shd w:val="clear" w:color="auto" w:fill="auto"/>
            <w:noWrap/>
            <w:vAlign w:val="center"/>
          </w:tcPr>
          <w:p w14:paraId="306C0AC5">
            <w:pPr>
              <w:pStyle w:val="58"/>
              <w:bidi w:val="0"/>
              <w:rPr>
                <w:rFonts w:hint="default"/>
                <w:highlight w:val="none"/>
                <w:lang w:val="en-US" w:eastAsia="zh-CN"/>
              </w:rPr>
            </w:pPr>
            <w:r>
              <w:rPr>
                <w:rFonts w:hint="default"/>
                <w:highlight w:val="none"/>
                <w:lang w:val="en-US" w:eastAsia="zh-CN"/>
              </w:rPr>
              <w:t>0.48</w:t>
            </w:r>
          </w:p>
        </w:tc>
        <w:tc>
          <w:tcPr>
            <w:tcW w:w="475" w:type="pct"/>
            <w:tcBorders>
              <w:tl2br w:val="nil"/>
              <w:tr2bl w:val="nil"/>
            </w:tcBorders>
            <w:shd w:val="clear" w:color="auto" w:fill="auto"/>
            <w:noWrap/>
            <w:vAlign w:val="center"/>
          </w:tcPr>
          <w:p w14:paraId="3C56D454">
            <w:pPr>
              <w:pStyle w:val="58"/>
              <w:bidi w:val="0"/>
              <w:rPr>
                <w:rFonts w:hint="default"/>
                <w:highlight w:val="none"/>
                <w:lang w:val="en-US" w:eastAsia="zh-CN"/>
              </w:rPr>
            </w:pPr>
            <w:r>
              <w:rPr>
                <w:rFonts w:hint="default"/>
                <w:highlight w:val="none"/>
                <w:lang w:val="en-US" w:eastAsia="zh-CN"/>
              </w:rPr>
              <w:t>0.409</w:t>
            </w:r>
          </w:p>
        </w:tc>
        <w:tc>
          <w:tcPr>
            <w:tcW w:w="536" w:type="pct"/>
            <w:tcBorders>
              <w:tl2br w:val="nil"/>
              <w:tr2bl w:val="nil"/>
            </w:tcBorders>
            <w:shd w:val="clear" w:color="auto" w:fill="auto"/>
            <w:noWrap/>
            <w:vAlign w:val="center"/>
          </w:tcPr>
          <w:p w14:paraId="44B07681">
            <w:pPr>
              <w:pStyle w:val="58"/>
              <w:bidi w:val="0"/>
              <w:rPr>
                <w:rFonts w:hint="default"/>
                <w:highlight w:val="none"/>
                <w:lang w:val="en-US" w:eastAsia="zh-CN"/>
              </w:rPr>
            </w:pPr>
            <w:r>
              <w:rPr>
                <w:rFonts w:hint="default"/>
                <w:highlight w:val="none"/>
                <w:lang w:val="en-US" w:eastAsia="zh-CN"/>
              </w:rPr>
              <w:t>0.436</w:t>
            </w:r>
          </w:p>
        </w:tc>
        <w:tc>
          <w:tcPr>
            <w:tcW w:w="410" w:type="pct"/>
            <w:tcBorders>
              <w:tl2br w:val="nil"/>
              <w:tr2bl w:val="nil"/>
            </w:tcBorders>
            <w:shd w:val="clear" w:color="auto" w:fill="auto"/>
            <w:noWrap/>
            <w:vAlign w:val="center"/>
          </w:tcPr>
          <w:p w14:paraId="6EC3C322">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26DAA5EF">
            <w:pPr>
              <w:pStyle w:val="58"/>
              <w:bidi w:val="0"/>
              <w:rPr>
                <w:rFonts w:hint="default"/>
                <w:highlight w:val="none"/>
                <w:lang w:val="en-US" w:eastAsia="zh-CN"/>
              </w:rPr>
            </w:pPr>
            <w:r>
              <w:rPr>
                <w:rFonts w:hint="default"/>
                <w:highlight w:val="none"/>
                <w:lang w:val="en-US" w:eastAsia="zh-CN"/>
              </w:rPr>
              <w:t>0</w:t>
            </w:r>
          </w:p>
        </w:tc>
      </w:tr>
      <w:tr w14:paraId="68EB556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043711DC">
            <w:pPr>
              <w:pStyle w:val="58"/>
              <w:bidi w:val="0"/>
              <w:rPr>
                <w:rFonts w:hint="default"/>
                <w:highlight w:val="none"/>
              </w:rPr>
            </w:pPr>
            <w:r>
              <w:rPr>
                <w:rFonts w:hint="default"/>
                <w:highlight w:val="none"/>
                <w:lang w:val="en-US" w:eastAsia="zh-CN"/>
              </w:rPr>
              <w:t>10</w:t>
            </w:r>
          </w:p>
        </w:tc>
        <w:tc>
          <w:tcPr>
            <w:tcW w:w="800" w:type="pct"/>
            <w:tcBorders>
              <w:tl2br w:val="nil"/>
              <w:tr2bl w:val="nil"/>
            </w:tcBorders>
            <w:shd w:val="clear" w:color="auto" w:fill="auto"/>
            <w:vAlign w:val="center"/>
          </w:tcPr>
          <w:p w14:paraId="6CCEFD55">
            <w:pPr>
              <w:pStyle w:val="58"/>
              <w:bidi w:val="0"/>
              <w:rPr>
                <w:rFonts w:hint="default"/>
                <w:highlight w:val="none"/>
                <w:lang w:val="en-US" w:eastAsia="zh-CN"/>
              </w:rPr>
            </w:pPr>
            <w:r>
              <w:rPr>
                <w:rFonts w:hint="default"/>
                <w:highlight w:val="none"/>
                <w:lang w:val="en-US" w:eastAsia="zh-CN"/>
              </w:rPr>
              <w:t>亚硝酸盐氮</w:t>
            </w:r>
          </w:p>
        </w:tc>
        <w:tc>
          <w:tcPr>
            <w:tcW w:w="799" w:type="pct"/>
            <w:tcBorders>
              <w:tl2br w:val="nil"/>
              <w:tr2bl w:val="nil"/>
            </w:tcBorders>
            <w:shd w:val="clear" w:color="auto" w:fill="auto"/>
            <w:noWrap/>
            <w:vAlign w:val="center"/>
          </w:tcPr>
          <w:p w14:paraId="292CB202">
            <w:pPr>
              <w:pStyle w:val="58"/>
              <w:bidi w:val="0"/>
              <w:rPr>
                <w:rFonts w:hint="default"/>
                <w:highlight w:val="none"/>
                <w:lang w:val="en-US" w:eastAsia="zh-CN"/>
              </w:rPr>
            </w:pPr>
            <w:r>
              <w:rPr>
                <w:rFonts w:hint="default"/>
                <w:highlight w:val="none"/>
                <w:lang w:val="en-US" w:eastAsia="zh-CN"/>
              </w:rPr>
              <w:t>mg/L</w:t>
            </w:r>
          </w:p>
        </w:tc>
        <w:tc>
          <w:tcPr>
            <w:tcW w:w="685" w:type="pct"/>
            <w:tcBorders>
              <w:tl2br w:val="nil"/>
              <w:tr2bl w:val="nil"/>
            </w:tcBorders>
            <w:shd w:val="clear" w:color="auto" w:fill="auto"/>
            <w:noWrap/>
            <w:vAlign w:val="center"/>
          </w:tcPr>
          <w:p w14:paraId="0B97405A">
            <w:pPr>
              <w:pStyle w:val="58"/>
              <w:bidi w:val="0"/>
              <w:rPr>
                <w:rFonts w:hint="default"/>
                <w:highlight w:val="none"/>
                <w:lang w:val="en-US" w:eastAsia="zh-CN"/>
              </w:rPr>
            </w:pPr>
            <w:r>
              <w:rPr>
                <w:rFonts w:hint="default"/>
                <w:highlight w:val="none"/>
                <w:lang w:val="en-US" w:eastAsia="zh-CN"/>
              </w:rPr>
              <w:t>1.0</w:t>
            </w:r>
          </w:p>
        </w:tc>
        <w:tc>
          <w:tcPr>
            <w:tcW w:w="475" w:type="pct"/>
            <w:tcBorders>
              <w:tl2br w:val="nil"/>
              <w:tr2bl w:val="nil"/>
            </w:tcBorders>
            <w:shd w:val="clear" w:color="auto" w:fill="auto"/>
            <w:noWrap/>
            <w:vAlign w:val="center"/>
          </w:tcPr>
          <w:p w14:paraId="7DEFB061">
            <w:pPr>
              <w:pStyle w:val="58"/>
              <w:bidi w:val="0"/>
              <w:rPr>
                <w:rFonts w:hint="default"/>
                <w:highlight w:val="none"/>
                <w:lang w:val="en-US" w:eastAsia="zh-CN"/>
              </w:rPr>
            </w:pPr>
            <w:r>
              <w:rPr>
                <w:rFonts w:hint="default"/>
                <w:highlight w:val="none"/>
                <w:lang w:val="en-US" w:eastAsia="zh-CN"/>
              </w:rPr>
              <w:t>0.048</w:t>
            </w:r>
          </w:p>
        </w:tc>
        <w:tc>
          <w:tcPr>
            <w:tcW w:w="475" w:type="pct"/>
            <w:tcBorders>
              <w:tl2br w:val="nil"/>
              <w:tr2bl w:val="nil"/>
            </w:tcBorders>
            <w:shd w:val="clear" w:color="auto" w:fill="auto"/>
            <w:noWrap/>
            <w:vAlign w:val="center"/>
          </w:tcPr>
          <w:p w14:paraId="58109B51">
            <w:pPr>
              <w:pStyle w:val="58"/>
              <w:bidi w:val="0"/>
              <w:rPr>
                <w:rFonts w:hint="default"/>
                <w:highlight w:val="none"/>
                <w:lang w:val="en-US" w:eastAsia="zh-CN"/>
              </w:rPr>
            </w:pPr>
            <w:r>
              <w:rPr>
                <w:rFonts w:hint="default"/>
                <w:highlight w:val="none"/>
                <w:lang w:val="en-US" w:eastAsia="zh-CN"/>
              </w:rPr>
              <w:t>0.023</w:t>
            </w:r>
          </w:p>
        </w:tc>
        <w:tc>
          <w:tcPr>
            <w:tcW w:w="536" w:type="pct"/>
            <w:tcBorders>
              <w:tl2br w:val="nil"/>
              <w:tr2bl w:val="nil"/>
            </w:tcBorders>
            <w:shd w:val="clear" w:color="auto" w:fill="auto"/>
            <w:noWrap/>
            <w:vAlign w:val="center"/>
          </w:tcPr>
          <w:p w14:paraId="73F2E813">
            <w:pPr>
              <w:pStyle w:val="58"/>
              <w:bidi w:val="0"/>
              <w:rPr>
                <w:rFonts w:hint="default"/>
                <w:highlight w:val="none"/>
                <w:lang w:val="en-US" w:eastAsia="zh-CN"/>
              </w:rPr>
            </w:pPr>
            <w:r>
              <w:rPr>
                <w:rFonts w:hint="default"/>
                <w:highlight w:val="none"/>
                <w:lang w:val="en-US" w:eastAsia="zh-CN"/>
              </w:rPr>
              <w:t>0.03</w:t>
            </w:r>
          </w:p>
        </w:tc>
        <w:tc>
          <w:tcPr>
            <w:tcW w:w="410" w:type="pct"/>
            <w:tcBorders>
              <w:tl2br w:val="nil"/>
              <w:tr2bl w:val="nil"/>
            </w:tcBorders>
            <w:shd w:val="clear" w:color="auto" w:fill="auto"/>
            <w:noWrap/>
            <w:vAlign w:val="center"/>
          </w:tcPr>
          <w:p w14:paraId="0FAB7307">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3A82867A">
            <w:pPr>
              <w:pStyle w:val="58"/>
              <w:bidi w:val="0"/>
              <w:rPr>
                <w:rFonts w:hint="default"/>
                <w:highlight w:val="none"/>
                <w:lang w:val="en-US" w:eastAsia="zh-CN"/>
              </w:rPr>
            </w:pPr>
            <w:r>
              <w:rPr>
                <w:rFonts w:hint="default"/>
                <w:highlight w:val="none"/>
                <w:lang w:val="en-US" w:eastAsia="zh-CN"/>
              </w:rPr>
              <w:t>0</w:t>
            </w:r>
          </w:p>
        </w:tc>
      </w:tr>
      <w:tr w14:paraId="7A0043C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41C45FD4">
            <w:pPr>
              <w:pStyle w:val="58"/>
              <w:bidi w:val="0"/>
              <w:rPr>
                <w:rFonts w:hint="default"/>
                <w:highlight w:val="none"/>
              </w:rPr>
            </w:pPr>
            <w:r>
              <w:rPr>
                <w:rFonts w:hint="default"/>
                <w:highlight w:val="none"/>
                <w:lang w:val="en-US" w:eastAsia="zh-CN"/>
              </w:rPr>
              <w:t>11</w:t>
            </w:r>
          </w:p>
        </w:tc>
        <w:tc>
          <w:tcPr>
            <w:tcW w:w="800" w:type="pct"/>
            <w:tcBorders>
              <w:tl2br w:val="nil"/>
              <w:tr2bl w:val="nil"/>
            </w:tcBorders>
            <w:shd w:val="clear" w:color="auto" w:fill="auto"/>
            <w:vAlign w:val="center"/>
          </w:tcPr>
          <w:p w14:paraId="41277E7C">
            <w:pPr>
              <w:pStyle w:val="58"/>
              <w:bidi w:val="0"/>
              <w:rPr>
                <w:rFonts w:hint="default"/>
                <w:highlight w:val="none"/>
                <w:lang w:val="en-US" w:eastAsia="zh-CN"/>
              </w:rPr>
            </w:pPr>
            <w:r>
              <w:rPr>
                <w:rFonts w:hint="default"/>
                <w:highlight w:val="none"/>
                <w:lang w:val="en-US" w:eastAsia="zh-CN"/>
              </w:rPr>
              <w:t>挥发酚类</w:t>
            </w:r>
          </w:p>
          <w:p w14:paraId="56DA403D">
            <w:pPr>
              <w:pStyle w:val="58"/>
              <w:bidi w:val="0"/>
              <w:rPr>
                <w:rFonts w:hint="default"/>
                <w:highlight w:val="none"/>
                <w:lang w:val="en-US" w:eastAsia="zh-CN"/>
              </w:rPr>
            </w:pPr>
            <w:r>
              <w:rPr>
                <w:rFonts w:hint="default"/>
                <w:highlight w:val="none"/>
                <w:lang w:val="en-US" w:eastAsia="zh-CN"/>
              </w:rPr>
              <w:t>(以苯酚计)</w:t>
            </w:r>
          </w:p>
        </w:tc>
        <w:tc>
          <w:tcPr>
            <w:tcW w:w="799" w:type="pct"/>
            <w:tcBorders>
              <w:tl2br w:val="nil"/>
              <w:tr2bl w:val="nil"/>
            </w:tcBorders>
            <w:shd w:val="clear" w:color="auto" w:fill="auto"/>
            <w:noWrap/>
            <w:vAlign w:val="center"/>
          </w:tcPr>
          <w:p w14:paraId="5F3DBFCA">
            <w:pPr>
              <w:pStyle w:val="58"/>
              <w:bidi w:val="0"/>
              <w:rPr>
                <w:rFonts w:hint="default"/>
                <w:highlight w:val="none"/>
                <w:lang w:val="en-US" w:eastAsia="zh-CN"/>
              </w:rPr>
            </w:pPr>
            <w:r>
              <w:rPr>
                <w:rFonts w:hint="default"/>
                <w:highlight w:val="none"/>
                <w:lang w:val="en-US" w:eastAsia="zh-CN"/>
              </w:rPr>
              <w:t>mg/L</w:t>
            </w:r>
          </w:p>
        </w:tc>
        <w:tc>
          <w:tcPr>
            <w:tcW w:w="685" w:type="pct"/>
            <w:tcBorders>
              <w:tl2br w:val="nil"/>
              <w:tr2bl w:val="nil"/>
            </w:tcBorders>
            <w:shd w:val="clear" w:color="auto" w:fill="auto"/>
            <w:noWrap/>
            <w:vAlign w:val="center"/>
          </w:tcPr>
          <w:p w14:paraId="28E3EFC9">
            <w:pPr>
              <w:pStyle w:val="58"/>
              <w:bidi w:val="0"/>
              <w:rPr>
                <w:rFonts w:hint="default"/>
                <w:highlight w:val="none"/>
                <w:lang w:val="en-US" w:eastAsia="zh-CN"/>
              </w:rPr>
            </w:pPr>
            <w:r>
              <w:rPr>
                <w:rFonts w:hint="default"/>
                <w:highlight w:val="none"/>
                <w:lang w:val="en-US" w:eastAsia="zh-CN"/>
              </w:rPr>
              <w:t>0.002</w:t>
            </w:r>
          </w:p>
        </w:tc>
        <w:tc>
          <w:tcPr>
            <w:tcW w:w="475" w:type="pct"/>
            <w:tcBorders>
              <w:tl2br w:val="nil"/>
              <w:tr2bl w:val="nil"/>
            </w:tcBorders>
            <w:shd w:val="clear" w:color="auto" w:fill="auto"/>
            <w:noWrap/>
            <w:vAlign w:val="center"/>
          </w:tcPr>
          <w:p w14:paraId="77293970">
            <w:pPr>
              <w:pStyle w:val="58"/>
              <w:bidi w:val="0"/>
              <w:rPr>
                <w:rFonts w:hint="default"/>
                <w:highlight w:val="none"/>
                <w:lang w:val="en-US" w:eastAsia="zh-CN"/>
              </w:rPr>
            </w:pPr>
            <w:r>
              <w:rPr>
                <w:rFonts w:hint="default"/>
                <w:highlight w:val="none"/>
                <w:lang w:val="en-US" w:eastAsia="zh-CN"/>
              </w:rPr>
              <w:t>0.0018</w:t>
            </w:r>
          </w:p>
        </w:tc>
        <w:tc>
          <w:tcPr>
            <w:tcW w:w="475" w:type="pct"/>
            <w:tcBorders>
              <w:tl2br w:val="nil"/>
              <w:tr2bl w:val="nil"/>
            </w:tcBorders>
            <w:shd w:val="clear" w:color="auto" w:fill="auto"/>
            <w:noWrap/>
            <w:vAlign w:val="center"/>
          </w:tcPr>
          <w:p w14:paraId="28A06538">
            <w:pPr>
              <w:pStyle w:val="58"/>
              <w:bidi w:val="0"/>
              <w:rPr>
                <w:rFonts w:hint="default"/>
                <w:highlight w:val="none"/>
                <w:lang w:val="en-US" w:eastAsia="zh-CN"/>
              </w:rPr>
            </w:pPr>
            <w:r>
              <w:rPr>
                <w:rFonts w:hint="default"/>
                <w:highlight w:val="none"/>
                <w:lang w:val="en-US" w:eastAsia="zh-CN"/>
              </w:rPr>
              <w:t>0.0012</w:t>
            </w:r>
          </w:p>
        </w:tc>
        <w:tc>
          <w:tcPr>
            <w:tcW w:w="536" w:type="pct"/>
            <w:tcBorders>
              <w:tl2br w:val="nil"/>
              <w:tr2bl w:val="nil"/>
            </w:tcBorders>
            <w:shd w:val="clear" w:color="auto" w:fill="auto"/>
            <w:noWrap/>
            <w:vAlign w:val="center"/>
          </w:tcPr>
          <w:p w14:paraId="72E62DA4">
            <w:pPr>
              <w:pStyle w:val="58"/>
              <w:bidi w:val="0"/>
              <w:rPr>
                <w:rFonts w:hint="default"/>
                <w:highlight w:val="none"/>
                <w:lang w:val="en-US" w:eastAsia="zh-CN"/>
              </w:rPr>
            </w:pPr>
            <w:r>
              <w:rPr>
                <w:rFonts w:hint="default"/>
                <w:highlight w:val="none"/>
                <w:lang w:val="en-US" w:eastAsia="zh-CN"/>
              </w:rPr>
              <w:t>0.0015</w:t>
            </w:r>
          </w:p>
        </w:tc>
        <w:tc>
          <w:tcPr>
            <w:tcW w:w="410" w:type="pct"/>
            <w:tcBorders>
              <w:tl2br w:val="nil"/>
              <w:tr2bl w:val="nil"/>
            </w:tcBorders>
            <w:shd w:val="clear" w:color="auto" w:fill="auto"/>
            <w:noWrap/>
            <w:vAlign w:val="center"/>
          </w:tcPr>
          <w:p w14:paraId="1075BCCD">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000D0B11">
            <w:pPr>
              <w:pStyle w:val="58"/>
              <w:bidi w:val="0"/>
              <w:rPr>
                <w:rFonts w:hint="default"/>
                <w:highlight w:val="none"/>
                <w:lang w:val="en-US" w:eastAsia="zh-CN"/>
              </w:rPr>
            </w:pPr>
            <w:r>
              <w:rPr>
                <w:rFonts w:hint="default"/>
                <w:highlight w:val="none"/>
                <w:lang w:val="en-US" w:eastAsia="zh-CN"/>
              </w:rPr>
              <w:t>0</w:t>
            </w:r>
          </w:p>
        </w:tc>
      </w:tr>
      <w:tr w14:paraId="465C048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2220F1FA">
            <w:pPr>
              <w:pStyle w:val="58"/>
              <w:bidi w:val="0"/>
              <w:rPr>
                <w:rFonts w:hint="default"/>
                <w:highlight w:val="none"/>
              </w:rPr>
            </w:pPr>
            <w:bookmarkStart w:id="263" w:name="OLE_LINK9" w:colFirst="4" w:colLast="6"/>
            <w:r>
              <w:rPr>
                <w:rFonts w:hint="default"/>
                <w:highlight w:val="none"/>
                <w:lang w:val="en-US" w:eastAsia="zh-CN"/>
              </w:rPr>
              <w:t>12</w:t>
            </w:r>
          </w:p>
        </w:tc>
        <w:tc>
          <w:tcPr>
            <w:tcW w:w="800" w:type="pct"/>
            <w:tcBorders>
              <w:tl2br w:val="nil"/>
              <w:tr2bl w:val="nil"/>
            </w:tcBorders>
            <w:shd w:val="clear" w:color="auto" w:fill="auto"/>
            <w:vAlign w:val="center"/>
          </w:tcPr>
          <w:p w14:paraId="3B4BF033">
            <w:pPr>
              <w:pStyle w:val="58"/>
              <w:bidi w:val="0"/>
              <w:rPr>
                <w:rFonts w:hint="default"/>
                <w:highlight w:val="none"/>
                <w:lang w:val="en-US" w:eastAsia="zh-CN"/>
              </w:rPr>
            </w:pPr>
            <w:r>
              <w:rPr>
                <w:rFonts w:hint="default"/>
                <w:highlight w:val="none"/>
                <w:lang w:val="en-US" w:eastAsia="zh-CN"/>
              </w:rPr>
              <w:t>氰化物</w:t>
            </w:r>
          </w:p>
          <w:p w14:paraId="08667612">
            <w:pPr>
              <w:pStyle w:val="58"/>
              <w:bidi w:val="0"/>
              <w:rPr>
                <w:rFonts w:hint="default"/>
                <w:highlight w:val="none"/>
                <w:lang w:val="en-US" w:eastAsia="zh-CN"/>
              </w:rPr>
            </w:pPr>
            <w:r>
              <w:rPr>
                <w:rFonts w:hint="default"/>
                <w:highlight w:val="none"/>
                <w:lang w:val="en-US" w:eastAsia="zh-CN"/>
              </w:rPr>
              <w:t>（以CN-计）</w:t>
            </w:r>
          </w:p>
        </w:tc>
        <w:tc>
          <w:tcPr>
            <w:tcW w:w="799" w:type="pct"/>
            <w:tcBorders>
              <w:tl2br w:val="nil"/>
              <w:tr2bl w:val="nil"/>
            </w:tcBorders>
            <w:shd w:val="clear" w:color="auto" w:fill="auto"/>
            <w:noWrap/>
            <w:vAlign w:val="center"/>
          </w:tcPr>
          <w:p w14:paraId="24ED9E4E">
            <w:pPr>
              <w:pStyle w:val="58"/>
              <w:bidi w:val="0"/>
              <w:rPr>
                <w:rFonts w:hint="default"/>
                <w:highlight w:val="none"/>
                <w:lang w:val="en-US" w:eastAsia="zh-CN"/>
              </w:rPr>
            </w:pPr>
            <w:r>
              <w:rPr>
                <w:rFonts w:hint="default"/>
                <w:highlight w:val="none"/>
                <w:lang w:val="en-US" w:eastAsia="zh-CN"/>
              </w:rPr>
              <w:t>mg/L</w:t>
            </w:r>
          </w:p>
        </w:tc>
        <w:tc>
          <w:tcPr>
            <w:tcW w:w="685" w:type="pct"/>
            <w:tcBorders>
              <w:tl2br w:val="nil"/>
              <w:tr2bl w:val="nil"/>
            </w:tcBorders>
            <w:shd w:val="clear" w:color="auto" w:fill="auto"/>
            <w:noWrap/>
            <w:vAlign w:val="center"/>
          </w:tcPr>
          <w:p w14:paraId="6E92467C">
            <w:pPr>
              <w:pStyle w:val="58"/>
              <w:bidi w:val="0"/>
              <w:rPr>
                <w:rFonts w:hint="default"/>
                <w:highlight w:val="none"/>
                <w:lang w:val="en-US" w:eastAsia="zh-CN"/>
              </w:rPr>
            </w:pPr>
            <w:r>
              <w:rPr>
                <w:rFonts w:hint="default"/>
                <w:highlight w:val="none"/>
                <w:lang w:val="en-US" w:eastAsia="zh-CN"/>
              </w:rPr>
              <w:t>0.05</w:t>
            </w:r>
          </w:p>
        </w:tc>
        <w:tc>
          <w:tcPr>
            <w:tcW w:w="475" w:type="pct"/>
            <w:tcBorders>
              <w:tl2br w:val="nil"/>
              <w:tr2bl w:val="nil"/>
            </w:tcBorders>
            <w:shd w:val="clear" w:color="auto" w:fill="auto"/>
            <w:noWrap/>
            <w:vAlign w:val="center"/>
          </w:tcPr>
          <w:p w14:paraId="32868BED">
            <w:pPr>
              <w:pStyle w:val="58"/>
              <w:bidi w:val="0"/>
              <w:rPr>
                <w:rFonts w:hint="default"/>
                <w:highlight w:val="none"/>
                <w:lang w:val="en-US" w:eastAsia="zh-CN"/>
              </w:rPr>
            </w:pPr>
            <w:r>
              <w:rPr>
                <w:rFonts w:hint="default"/>
                <w:highlight w:val="none"/>
                <w:lang w:val="en-US" w:eastAsia="zh-CN"/>
              </w:rPr>
              <w:t>ND</w:t>
            </w:r>
          </w:p>
        </w:tc>
        <w:tc>
          <w:tcPr>
            <w:tcW w:w="475" w:type="pct"/>
            <w:tcBorders>
              <w:tl2br w:val="nil"/>
              <w:tr2bl w:val="nil"/>
            </w:tcBorders>
            <w:shd w:val="clear" w:color="auto" w:fill="auto"/>
            <w:noWrap/>
            <w:vAlign w:val="center"/>
          </w:tcPr>
          <w:p w14:paraId="673A6A9C">
            <w:pPr>
              <w:pStyle w:val="58"/>
              <w:bidi w:val="0"/>
              <w:rPr>
                <w:rFonts w:hint="default"/>
                <w:highlight w:val="none"/>
                <w:lang w:val="en-US" w:eastAsia="zh-CN"/>
              </w:rPr>
            </w:pPr>
            <w:r>
              <w:rPr>
                <w:rFonts w:hint="default"/>
                <w:highlight w:val="none"/>
                <w:lang w:val="en-US" w:eastAsia="zh-CN"/>
              </w:rPr>
              <w:t>ND</w:t>
            </w:r>
          </w:p>
        </w:tc>
        <w:tc>
          <w:tcPr>
            <w:tcW w:w="536" w:type="pct"/>
            <w:tcBorders>
              <w:tl2br w:val="nil"/>
              <w:tr2bl w:val="nil"/>
            </w:tcBorders>
            <w:shd w:val="clear" w:color="auto" w:fill="auto"/>
            <w:noWrap/>
            <w:vAlign w:val="center"/>
          </w:tcPr>
          <w:p w14:paraId="00E4212A">
            <w:pPr>
              <w:pStyle w:val="58"/>
              <w:bidi w:val="0"/>
              <w:rPr>
                <w:rFonts w:hint="default"/>
                <w:highlight w:val="none"/>
                <w:lang w:val="en-US" w:eastAsia="zh-CN"/>
              </w:rPr>
            </w:pPr>
            <w:r>
              <w:rPr>
                <w:rFonts w:hint="default"/>
                <w:highlight w:val="none"/>
                <w:lang w:val="en-US" w:eastAsia="zh-CN"/>
              </w:rPr>
              <w:t>ND</w:t>
            </w:r>
          </w:p>
        </w:tc>
        <w:tc>
          <w:tcPr>
            <w:tcW w:w="410" w:type="pct"/>
            <w:tcBorders>
              <w:tl2br w:val="nil"/>
              <w:tr2bl w:val="nil"/>
            </w:tcBorders>
            <w:shd w:val="clear" w:color="auto" w:fill="auto"/>
            <w:noWrap/>
            <w:vAlign w:val="center"/>
          </w:tcPr>
          <w:p w14:paraId="3052BA47">
            <w:pPr>
              <w:pStyle w:val="58"/>
              <w:bidi w:val="0"/>
              <w:rPr>
                <w:rFonts w:hint="default"/>
                <w:highlight w:val="none"/>
                <w:lang w:val="en-US" w:eastAsia="zh-CN"/>
              </w:rPr>
            </w:pPr>
            <w:r>
              <w:rPr>
                <w:rFonts w:hint="default"/>
                <w:highlight w:val="none"/>
                <w:lang w:val="en-US" w:eastAsia="zh-CN"/>
              </w:rPr>
              <w:t>0</w:t>
            </w:r>
          </w:p>
        </w:tc>
        <w:tc>
          <w:tcPr>
            <w:tcW w:w="410" w:type="pct"/>
            <w:tcBorders>
              <w:tl2br w:val="nil"/>
              <w:tr2bl w:val="nil"/>
            </w:tcBorders>
            <w:shd w:val="clear" w:color="auto" w:fill="auto"/>
            <w:noWrap/>
            <w:vAlign w:val="center"/>
          </w:tcPr>
          <w:p w14:paraId="0F9F75D4">
            <w:pPr>
              <w:pStyle w:val="58"/>
              <w:bidi w:val="0"/>
              <w:rPr>
                <w:rFonts w:hint="default"/>
                <w:highlight w:val="none"/>
                <w:lang w:val="en-US" w:eastAsia="zh-CN"/>
              </w:rPr>
            </w:pPr>
            <w:r>
              <w:rPr>
                <w:rFonts w:hint="default"/>
                <w:highlight w:val="none"/>
                <w:lang w:val="en-US" w:eastAsia="zh-CN"/>
              </w:rPr>
              <w:t>0</w:t>
            </w:r>
          </w:p>
        </w:tc>
      </w:tr>
      <w:tr w14:paraId="1D573EA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28A436F2">
            <w:pPr>
              <w:pStyle w:val="58"/>
              <w:bidi w:val="0"/>
              <w:rPr>
                <w:rFonts w:hint="default"/>
                <w:highlight w:val="none"/>
              </w:rPr>
            </w:pPr>
            <w:r>
              <w:rPr>
                <w:rFonts w:hint="default"/>
                <w:highlight w:val="none"/>
                <w:lang w:val="en-US" w:eastAsia="zh-CN"/>
              </w:rPr>
              <w:t>13</w:t>
            </w:r>
          </w:p>
        </w:tc>
        <w:tc>
          <w:tcPr>
            <w:tcW w:w="800" w:type="pct"/>
            <w:tcBorders>
              <w:tl2br w:val="nil"/>
              <w:tr2bl w:val="nil"/>
            </w:tcBorders>
            <w:shd w:val="clear" w:color="auto" w:fill="auto"/>
            <w:vAlign w:val="center"/>
          </w:tcPr>
          <w:p w14:paraId="386BC6A9">
            <w:pPr>
              <w:pStyle w:val="58"/>
              <w:bidi w:val="0"/>
              <w:rPr>
                <w:rFonts w:hint="default"/>
                <w:highlight w:val="none"/>
                <w:lang w:val="en-US" w:eastAsia="zh-CN"/>
              </w:rPr>
            </w:pPr>
            <w:r>
              <w:rPr>
                <w:rFonts w:hint="default"/>
                <w:highlight w:val="none"/>
                <w:lang w:val="en-US" w:eastAsia="zh-CN"/>
              </w:rPr>
              <w:t>铬（六价）</w:t>
            </w:r>
          </w:p>
        </w:tc>
        <w:tc>
          <w:tcPr>
            <w:tcW w:w="799" w:type="pct"/>
            <w:tcBorders>
              <w:tl2br w:val="nil"/>
              <w:tr2bl w:val="nil"/>
            </w:tcBorders>
            <w:shd w:val="clear" w:color="auto" w:fill="auto"/>
            <w:noWrap/>
            <w:vAlign w:val="center"/>
          </w:tcPr>
          <w:p w14:paraId="4AA1CB49">
            <w:pPr>
              <w:pStyle w:val="58"/>
              <w:bidi w:val="0"/>
              <w:rPr>
                <w:rFonts w:hint="default"/>
                <w:highlight w:val="none"/>
                <w:lang w:val="en-US" w:eastAsia="zh-CN"/>
              </w:rPr>
            </w:pPr>
            <w:r>
              <w:rPr>
                <w:rFonts w:hint="default"/>
                <w:highlight w:val="none"/>
                <w:lang w:val="en-US" w:eastAsia="zh-CN"/>
              </w:rPr>
              <w:t>mg/L</w:t>
            </w:r>
          </w:p>
        </w:tc>
        <w:tc>
          <w:tcPr>
            <w:tcW w:w="685" w:type="pct"/>
            <w:tcBorders>
              <w:tl2br w:val="nil"/>
              <w:tr2bl w:val="nil"/>
            </w:tcBorders>
            <w:shd w:val="clear" w:color="auto" w:fill="auto"/>
            <w:noWrap/>
            <w:vAlign w:val="center"/>
          </w:tcPr>
          <w:p w14:paraId="515C5EBF">
            <w:pPr>
              <w:pStyle w:val="58"/>
              <w:bidi w:val="0"/>
              <w:rPr>
                <w:rFonts w:hint="default"/>
                <w:highlight w:val="none"/>
                <w:lang w:val="en-US" w:eastAsia="zh-CN"/>
              </w:rPr>
            </w:pPr>
            <w:r>
              <w:rPr>
                <w:rFonts w:hint="default"/>
                <w:highlight w:val="none"/>
                <w:lang w:val="en-US" w:eastAsia="zh-CN"/>
              </w:rPr>
              <w:t>0.05</w:t>
            </w:r>
          </w:p>
        </w:tc>
        <w:tc>
          <w:tcPr>
            <w:tcW w:w="475" w:type="pct"/>
            <w:tcBorders>
              <w:tl2br w:val="nil"/>
              <w:tr2bl w:val="nil"/>
            </w:tcBorders>
            <w:shd w:val="clear" w:color="auto" w:fill="auto"/>
            <w:noWrap/>
            <w:vAlign w:val="center"/>
          </w:tcPr>
          <w:p w14:paraId="3D977EAF">
            <w:pPr>
              <w:pStyle w:val="58"/>
              <w:bidi w:val="0"/>
              <w:rPr>
                <w:rFonts w:hint="default"/>
                <w:highlight w:val="none"/>
                <w:lang w:val="en-US" w:eastAsia="zh-CN"/>
              </w:rPr>
            </w:pPr>
            <w:r>
              <w:rPr>
                <w:rFonts w:hint="default"/>
                <w:highlight w:val="none"/>
                <w:lang w:val="en-US" w:eastAsia="zh-CN"/>
              </w:rPr>
              <w:t>ND</w:t>
            </w:r>
          </w:p>
        </w:tc>
        <w:tc>
          <w:tcPr>
            <w:tcW w:w="475" w:type="pct"/>
            <w:tcBorders>
              <w:tl2br w:val="nil"/>
              <w:tr2bl w:val="nil"/>
            </w:tcBorders>
            <w:shd w:val="clear" w:color="auto" w:fill="auto"/>
            <w:noWrap/>
            <w:vAlign w:val="center"/>
          </w:tcPr>
          <w:p w14:paraId="4AB862E0">
            <w:pPr>
              <w:pStyle w:val="58"/>
              <w:bidi w:val="0"/>
              <w:rPr>
                <w:rFonts w:hint="default"/>
                <w:highlight w:val="none"/>
                <w:lang w:val="en-US" w:eastAsia="zh-CN"/>
              </w:rPr>
            </w:pPr>
            <w:r>
              <w:rPr>
                <w:rFonts w:hint="default"/>
                <w:highlight w:val="none"/>
                <w:lang w:val="en-US" w:eastAsia="zh-CN"/>
              </w:rPr>
              <w:t>ND</w:t>
            </w:r>
          </w:p>
        </w:tc>
        <w:tc>
          <w:tcPr>
            <w:tcW w:w="536" w:type="pct"/>
            <w:tcBorders>
              <w:tl2br w:val="nil"/>
              <w:tr2bl w:val="nil"/>
            </w:tcBorders>
            <w:shd w:val="clear" w:color="auto" w:fill="auto"/>
            <w:noWrap/>
            <w:vAlign w:val="center"/>
          </w:tcPr>
          <w:p w14:paraId="2278EBF9">
            <w:pPr>
              <w:pStyle w:val="58"/>
              <w:bidi w:val="0"/>
              <w:rPr>
                <w:rFonts w:hint="default"/>
                <w:highlight w:val="none"/>
                <w:lang w:val="en-US" w:eastAsia="zh-CN"/>
              </w:rPr>
            </w:pPr>
            <w:r>
              <w:rPr>
                <w:rFonts w:hint="default"/>
                <w:highlight w:val="none"/>
                <w:lang w:val="en-US" w:eastAsia="zh-CN"/>
              </w:rPr>
              <w:t>ND</w:t>
            </w:r>
          </w:p>
        </w:tc>
        <w:tc>
          <w:tcPr>
            <w:tcW w:w="410" w:type="pct"/>
            <w:tcBorders>
              <w:tl2br w:val="nil"/>
              <w:tr2bl w:val="nil"/>
            </w:tcBorders>
            <w:shd w:val="clear" w:color="auto" w:fill="auto"/>
            <w:noWrap/>
            <w:vAlign w:val="center"/>
          </w:tcPr>
          <w:p w14:paraId="179167EC">
            <w:pPr>
              <w:pStyle w:val="58"/>
              <w:bidi w:val="0"/>
              <w:rPr>
                <w:rFonts w:hint="default"/>
                <w:highlight w:val="none"/>
                <w:lang w:val="en-US" w:eastAsia="zh-CN"/>
              </w:rPr>
            </w:pPr>
            <w:r>
              <w:rPr>
                <w:rFonts w:hint="default"/>
                <w:highlight w:val="none"/>
                <w:lang w:val="en-US" w:eastAsia="zh-CN"/>
              </w:rPr>
              <w:t>0</w:t>
            </w:r>
          </w:p>
        </w:tc>
        <w:tc>
          <w:tcPr>
            <w:tcW w:w="410" w:type="pct"/>
            <w:tcBorders>
              <w:tl2br w:val="nil"/>
              <w:tr2bl w:val="nil"/>
            </w:tcBorders>
            <w:shd w:val="clear" w:color="auto" w:fill="auto"/>
            <w:noWrap/>
            <w:vAlign w:val="center"/>
          </w:tcPr>
          <w:p w14:paraId="4F2A40FD">
            <w:pPr>
              <w:pStyle w:val="58"/>
              <w:bidi w:val="0"/>
              <w:rPr>
                <w:rFonts w:hint="default"/>
                <w:highlight w:val="none"/>
                <w:lang w:val="en-US" w:eastAsia="zh-CN"/>
              </w:rPr>
            </w:pPr>
            <w:r>
              <w:rPr>
                <w:rFonts w:hint="default"/>
                <w:highlight w:val="none"/>
                <w:lang w:val="en-US" w:eastAsia="zh-CN"/>
              </w:rPr>
              <w:t>0</w:t>
            </w:r>
          </w:p>
        </w:tc>
      </w:tr>
      <w:tr w14:paraId="705D332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5D1F73D9">
            <w:pPr>
              <w:pStyle w:val="58"/>
              <w:bidi w:val="0"/>
              <w:rPr>
                <w:rFonts w:hint="default"/>
                <w:highlight w:val="none"/>
              </w:rPr>
            </w:pPr>
            <w:r>
              <w:rPr>
                <w:rFonts w:hint="default"/>
                <w:highlight w:val="none"/>
                <w:lang w:val="en-US" w:eastAsia="zh-CN"/>
              </w:rPr>
              <w:t>14</w:t>
            </w:r>
          </w:p>
        </w:tc>
        <w:tc>
          <w:tcPr>
            <w:tcW w:w="800" w:type="pct"/>
            <w:tcBorders>
              <w:tl2br w:val="nil"/>
              <w:tr2bl w:val="nil"/>
            </w:tcBorders>
            <w:shd w:val="clear" w:color="auto" w:fill="auto"/>
            <w:vAlign w:val="center"/>
          </w:tcPr>
          <w:p w14:paraId="6DA91326">
            <w:pPr>
              <w:pStyle w:val="58"/>
              <w:bidi w:val="0"/>
              <w:rPr>
                <w:rFonts w:hint="default"/>
                <w:highlight w:val="none"/>
                <w:lang w:val="en-US" w:eastAsia="zh-CN"/>
              </w:rPr>
            </w:pPr>
            <w:r>
              <w:rPr>
                <w:rFonts w:hint="default"/>
                <w:highlight w:val="none"/>
                <w:lang w:val="en-US" w:eastAsia="zh-CN"/>
              </w:rPr>
              <w:t>砷</w:t>
            </w:r>
          </w:p>
        </w:tc>
        <w:tc>
          <w:tcPr>
            <w:tcW w:w="799" w:type="pct"/>
            <w:tcBorders>
              <w:tl2br w:val="nil"/>
              <w:tr2bl w:val="nil"/>
            </w:tcBorders>
            <w:shd w:val="clear" w:color="auto" w:fill="auto"/>
            <w:noWrap/>
            <w:vAlign w:val="center"/>
          </w:tcPr>
          <w:p w14:paraId="0578CF55">
            <w:pPr>
              <w:pStyle w:val="58"/>
              <w:bidi w:val="0"/>
              <w:rPr>
                <w:rFonts w:hint="default"/>
                <w:highlight w:val="none"/>
                <w:lang w:val="en-US" w:eastAsia="zh-CN"/>
              </w:rPr>
            </w:pPr>
            <w:r>
              <w:rPr>
                <w:rFonts w:hint="default"/>
                <w:highlight w:val="none"/>
                <w:lang w:val="en-US" w:eastAsia="zh-CN"/>
              </w:rPr>
              <w:t>mg/L</w:t>
            </w:r>
          </w:p>
        </w:tc>
        <w:tc>
          <w:tcPr>
            <w:tcW w:w="685" w:type="pct"/>
            <w:tcBorders>
              <w:tl2br w:val="nil"/>
              <w:tr2bl w:val="nil"/>
            </w:tcBorders>
            <w:shd w:val="clear" w:color="auto" w:fill="auto"/>
            <w:noWrap/>
            <w:vAlign w:val="center"/>
          </w:tcPr>
          <w:p w14:paraId="47047A16">
            <w:pPr>
              <w:pStyle w:val="58"/>
              <w:bidi w:val="0"/>
              <w:rPr>
                <w:rFonts w:hint="default"/>
                <w:highlight w:val="none"/>
                <w:lang w:val="en-US" w:eastAsia="zh-CN"/>
              </w:rPr>
            </w:pPr>
            <w:r>
              <w:rPr>
                <w:rFonts w:hint="default"/>
                <w:highlight w:val="none"/>
                <w:lang w:val="en-US" w:eastAsia="zh-CN"/>
              </w:rPr>
              <w:t>0.01</w:t>
            </w:r>
          </w:p>
        </w:tc>
        <w:tc>
          <w:tcPr>
            <w:tcW w:w="475" w:type="pct"/>
            <w:tcBorders>
              <w:tl2br w:val="nil"/>
              <w:tr2bl w:val="nil"/>
            </w:tcBorders>
            <w:shd w:val="clear" w:color="auto" w:fill="auto"/>
            <w:noWrap/>
            <w:vAlign w:val="center"/>
          </w:tcPr>
          <w:p w14:paraId="06AF60DF">
            <w:pPr>
              <w:pStyle w:val="58"/>
              <w:bidi w:val="0"/>
              <w:rPr>
                <w:rFonts w:hint="default"/>
                <w:highlight w:val="none"/>
                <w:lang w:val="en-US" w:eastAsia="zh-CN"/>
              </w:rPr>
            </w:pPr>
            <w:r>
              <w:rPr>
                <w:rFonts w:hint="default"/>
                <w:highlight w:val="none"/>
                <w:lang w:val="en-US" w:eastAsia="zh-CN"/>
              </w:rPr>
              <w:t>8.3×10</w:t>
            </w:r>
            <w:r>
              <w:rPr>
                <w:rFonts w:hint="default"/>
                <w:highlight w:val="none"/>
                <w:vertAlign w:val="superscript"/>
                <w:lang w:val="en-US" w:eastAsia="zh-CN"/>
              </w:rPr>
              <w:t>-3</w:t>
            </w:r>
          </w:p>
        </w:tc>
        <w:tc>
          <w:tcPr>
            <w:tcW w:w="475" w:type="pct"/>
            <w:tcBorders>
              <w:tl2br w:val="nil"/>
              <w:tr2bl w:val="nil"/>
            </w:tcBorders>
            <w:shd w:val="clear" w:color="auto" w:fill="auto"/>
            <w:noWrap/>
            <w:vAlign w:val="center"/>
          </w:tcPr>
          <w:p w14:paraId="7EFE6CC6">
            <w:pPr>
              <w:pStyle w:val="58"/>
              <w:bidi w:val="0"/>
              <w:rPr>
                <w:rFonts w:hint="default"/>
                <w:highlight w:val="none"/>
                <w:lang w:val="en-US" w:eastAsia="zh-CN"/>
              </w:rPr>
            </w:pPr>
            <w:r>
              <w:rPr>
                <w:rFonts w:hint="default"/>
                <w:highlight w:val="none"/>
                <w:lang w:val="en-US" w:eastAsia="zh-CN"/>
              </w:rPr>
              <w:t>2.4×10</w:t>
            </w:r>
            <w:r>
              <w:rPr>
                <w:rFonts w:hint="default"/>
                <w:highlight w:val="none"/>
                <w:vertAlign w:val="superscript"/>
                <w:lang w:val="en-US" w:eastAsia="zh-CN"/>
              </w:rPr>
              <w:t>-3</w:t>
            </w:r>
          </w:p>
        </w:tc>
        <w:tc>
          <w:tcPr>
            <w:tcW w:w="536" w:type="pct"/>
            <w:tcBorders>
              <w:tl2br w:val="nil"/>
              <w:tr2bl w:val="nil"/>
            </w:tcBorders>
            <w:shd w:val="clear" w:color="auto" w:fill="auto"/>
            <w:noWrap/>
            <w:vAlign w:val="center"/>
          </w:tcPr>
          <w:p w14:paraId="682EBA58">
            <w:pPr>
              <w:pStyle w:val="58"/>
              <w:bidi w:val="0"/>
              <w:rPr>
                <w:rFonts w:hint="default"/>
                <w:highlight w:val="none"/>
                <w:lang w:val="en-US" w:eastAsia="zh-CN"/>
              </w:rPr>
            </w:pPr>
            <w:r>
              <w:rPr>
                <w:rFonts w:hint="default"/>
                <w:highlight w:val="none"/>
                <w:lang w:val="en-US" w:eastAsia="zh-CN"/>
              </w:rPr>
              <w:t>5.9×10</w:t>
            </w:r>
            <w:r>
              <w:rPr>
                <w:rFonts w:hint="default"/>
                <w:highlight w:val="none"/>
                <w:vertAlign w:val="superscript"/>
                <w:lang w:val="en-US" w:eastAsia="zh-CN"/>
              </w:rPr>
              <w:t>-3</w:t>
            </w:r>
          </w:p>
        </w:tc>
        <w:tc>
          <w:tcPr>
            <w:tcW w:w="410" w:type="pct"/>
            <w:tcBorders>
              <w:tl2br w:val="nil"/>
              <w:tr2bl w:val="nil"/>
            </w:tcBorders>
            <w:shd w:val="clear" w:color="auto" w:fill="auto"/>
            <w:noWrap/>
            <w:vAlign w:val="center"/>
          </w:tcPr>
          <w:p w14:paraId="69639611">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05654DE4">
            <w:pPr>
              <w:pStyle w:val="58"/>
              <w:bidi w:val="0"/>
              <w:rPr>
                <w:rFonts w:hint="default"/>
                <w:highlight w:val="none"/>
                <w:lang w:val="en-US" w:eastAsia="zh-CN"/>
              </w:rPr>
            </w:pPr>
            <w:r>
              <w:rPr>
                <w:rFonts w:hint="default"/>
                <w:highlight w:val="none"/>
                <w:lang w:val="en-US" w:eastAsia="zh-CN"/>
              </w:rPr>
              <w:t>0</w:t>
            </w:r>
          </w:p>
        </w:tc>
      </w:tr>
      <w:tr w14:paraId="3E10CE3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3AAB8AC1">
            <w:pPr>
              <w:pStyle w:val="58"/>
              <w:bidi w:val="0"/>
              <w:rPr>
                <w:rFonts w:hint="default"/>
                <w:highlight w:val="none"/>
              </w:rPr>
            </w:pPr>
            <w:r>
              <w:rPr>
                <w:rFonts w:hint="default"/>
                <w:highlight w:val="none"/>
                <w:lang w:val="en-US" w:eastAsia="zh-CN"/>
              </w:rPr>
              <w:t>15</w:t>
            </w:r>
          </w:p>
        </w:tc>
        <w:tc>
          <w:tcPr>
            <w:tcW w:w="800" w:type="pct"/>
            <w:tcBorders>
              <w:tl2br w:val="nil"/>
              <w:tr2bl w:val="nil"/>
            </w:tcBorders>
            <w:shd w:val="clear" w:color="auto" w:fill="auto"/>
            <w:vAlign w:val="center"/>
          </w:tcPr>
          <w:p w14:paraId="789E8106">
            <w:pPr>
              <w:pStyle w:val="58"/>
              <w:bidi w:val="0"/>
              <w:rPr>
                <w:rFonts w:hint="default"/>
                <w:highlight w:val="none"/>
                <w:lang w:val="en-US" w:eastAsia="zh-CN"/>
              </w:rPr>
            </w:pPr>
            <w:r>
              <w:rPr>
                <w:rFonts w:hint="default"/>
                <w:highlight w:val="none"/>
                <w:lang w:val="en-US" w:eastAsia="zh-CN"/>
              </w:rPr>
              <w:t>汞</w:t>
            </w:r>
          </w:p>
        </w:tc>
        <w:tc>
          <w:tcPr>
            <w:tcW w:w="799" w:type="pct"/>
            <w:tcBorders>
              <w:tl2br w:val="nil"/>
              <w:tr2bl w:val="nil"/>
            </w:tcBorders>
            <w:shd w:val="clear" w:color="auto" w:fill="auto"/>
            <w:noWrap/>
            <w:vAlign w:val="center"/>
          </w:tcPr>
          <w:p w14:paraId="60589F5E">
            <w:pPr>
              <w:pStyle w:val="58"/>
              <w:bidi w:val="0"/>
              <w:rPr>
                <w:rFonts w:hint="default"/>
                <w:highlight w:val="none"/>
                <w:lang w:val="en-US" w:eastAsia="zh-CN"/>
              </w:rPr>
            </w:pPr>
            <w:r>
              <w:rPr>
                <w:rFonts w:hint="default"/>
                <w:highlight w:val="none"/>
                <w:lang w:val="en-US" w:eastAsia="zh-CN"/>
              </w:rPr>
              <w:t>mg/L</w:t>
            </w:r>
          </w:p>
        </w:tc>
        <w:tc>
          <w:tcPr>
            <w:tcW w:w="685" w:type="pct"/>
            <w:tcBorders>
              <w:tl2br w:val="nil"/>
              <w:tr2bl w:val="nil"/>
            </w:tcBorders>
            <w:shd w:val="clear" w:color="auto" w:fill="auto"/>
            <w:noWrap/>
            <w:vAlign w:val="center"/>
          </w:tcPr>
          <w:p w14:paraId="6D30A68F">
            <w:pPr>
              <w:pStyle w:val="58"/>
              <w:bidi w:val="0"/>
              <w:rPr>
                <w:rFonts w:hint="default"/>
                <w:highlight w:val="none"/>
                <w:lang w:val="en-US" w:eastAsia="zh-CN"/>
              </w:rPr>
            </w:pPr>
            <w:r>
              <w:rPr>
                <w:rFonts w:hint="default"/>
                <w:highlight w:val="none"/>
                <w:lang w:val="en-US" w:eastAsia="zh-CN"/>
              </w:rPr>
              <w:t>0.001</w:t>
            </w:r>
          </w:p>
        </w:tc>
        <w:tc>
          <w:tcPr>
            <w:tcW w:w="475" w:type="pct"/>
            <w:tcBorders>
              <w:tl2br w:val="nil"/>
              <w:tr2bl w:val="nil"/>
            </w:tcBorders>
            <w:shd w:val="clear" w:color="auto" w:fill="auto"/>
            <w:noWrap/>
            <w:vAlign w:val="center"/>
          </w:tcPr>
          <w:p w14:paraId="5EAB633B">
            <w:pPr>
              <w:pStyle w:val="58"/>
              <w:bidi w:val="0"/>
              <w:rPr>
                <w:rFonts w:hint="default"/>
                <w:highlight w:val="none"/>
                <w:lang w:val="en-US" w:eastAsia="zh-CN"/>
              </w:rPr>
            </w:pPr>
            <w:r>
              <w:rPr>
                <w:rFonts w:hint="default"/>
                <w:highlight w:val="none"/>
                <w:lang w:val="en-US" w:eastAsia="zh-CN"/>
              </w:rPr>
              <w:t>0.81×10</w:t>
            </w:r>
            <w:r>
              <w:rPr>
                <w:rFonts w:hint="default"/>
                <w:highlight w:val="none"/>
                <w:vertAlign w:val="superscript"/>
                <w:lang w:val="en-US" w:eastAsia="zh-CN"/>
              </w:rPr>
              <w:t>-3</w:t>
            </w:r>
          </w:p>
        </w:tc>
        <w:tc>
          <w:tcPr>
            <w:tcW w:w="475" w:type="pct"/>
            <w:tcBorders>
              <w:tl2br w:val="nil"/>
              <w:tr2bl w:val="nil"/>
            </w:tcBorders>
            <w:shd w:val="clear" w:color="auto" w:fill="auto"/>
            <w:noWrap/>
            <w:vAlign w:val="center"/>
          </w:tcPr>
          <w:p w14:paraId="29CC3B91">
            <w:pPr>
              <w:pStyle w:val="58"/>
              <w:bidi w:val="0"/>
              <w:rPr>
                <w:rFonts w:hint="default"/>
                <w:highlight w:val="none"/>
                <w:lang w:val="en-US" w:eastAsia="zh-CN"/>
              </w:rPr>
            </w:pPr>
            <w:r>
              <w:rPr>
                <w:rFonts w:hint="default"/>
                <w:highlight w:val="none"/>
                <w:lang w:val="en-US" w:eastAsia="zh-CN"/>
              </w:rPr>
              <w:t>ND</w:t>
            </w:r>
          </w:p>
        </w:tc>
        <w:tc>
          <w:tcPr>
            <w:tcW w:w="536" w:type="pct"/>
            <w:tcBorders>
              <w:tl2br w:val="nil"/>
              <w:tr2bl w:val="nil"/>
            </w:tcBorders>
            <w:shd w:val="clear" w:color="auto" w:fill="auto"/>
            <w:noWrap/>
            <w:vAlign w:val="center"/>
          </w:tcPr>
          <w:p w14:paraId="340BD503">
            <w:pPr>
              <w:pStyle w:val="58"/>
              <w:bidi w:val="0"/>
              <w:rPr>
                <w:rFonts w:hint="default"/>
                <w:highlight w:val="none"/>
                <w:lang w:val="en-US" w:eastAsia="zh-CN"/>
              </w:rPr>
            </w:pPr>
            <w:r>
              <w:rPr>
                <w:rFonts w:hint="default"/>
                <w:highlight w:val="none"/>
                <w:lang w:val="en-US" w:eastAsia="zh-CN"/>
              </w:rPr>
              <w:t>1.2×10</w:t>
            </w:r>
            <w:r>
              <w:rPr>
                <w:rFonts w:hint="default"/>
                <w:highlight w:val="none"/>
                <w:vertAlign w:val="superscript"/>
                <w:lang w:val="en-US" w:eastAsia="zh-CN"/>
              </w:rPr>
              <w:t>-4</w:t>
            </w:r>
          </w:p>
        </w:tc>
        <w:tc>
          <w:tcPr>
            <w:tcW w:w="410" w:type="pct"/>
            <w:tcBorders>
              <w:tl2br w:val="nil"/>
              <w:tr2bl w:val="nil"/>
            </w:tcBorders>
            <w:shd w:val="clear" w:color="auto" w:fill="auto"/>
            <w:noWrap/>
            <w:vAlign w:val="center"/>
          </w:tcPr>
          <w:p w14:paraId="41BB24FD">
            <w:pPr>
              <w:pStyle w:val="58"/>
              <w:bidi w:val="0"/>
              <w:rPr>
                <w:rFonts w:hint="default"/>
                <w:highlight w:val="none"/>
                <w:lang w:val="en-US" w:eastAsia="zh-CN"/>
              </w:rPr>
            </w:pPr>
            <w:r>
              <w:rPr>
                <w:rFonts w:hint="default"/>
                <w:highlight w:val="none"/>
                <w:lang w:val="en-US" w:eastAsia="zh-CN"/>
              </w:rPr>
              <w:t>28.6</w:t>
            </w:r>
          </w:p>
        </w:tc>
        <w:tc>
          <w:tcPr>
            <w:tcW w:w="410" w:type="pct"/>
            <w:tcBorders>
              <w:tl2br w:val="nil"/>
              <w:tr2bl w:val="nil"/>
            </w:tcBorders>
            <w:shd w:val="clear" w:color="auto" w:fill="auto"/>
            <w:noWrap/>
            <w:vAlign w:val="center"/>
          </w:tcPr>
          <w:p w14:paraId="523CBB7A">
            <w:pPr>
              <w:pStyle w:val="58"/>
              <w:bidi w:val="0"/>
              <w:rPr>
                <w:rFonts w:hint="default"/>
                <w:highlight w:val="none"/>
                <w:lang w:val="en-US" w:eastAsia="zh-CN"/>
              </w:rPr>
            </w:pPr>
            <w:r>
              <w:rPr>
                <w:rFonts w:hint="default"/>
                <w:highlight w:val="none"/>
                <w:lang w:val="en-US" w:eastAsia="zh-CN"/>
              </w:rPr>
              <w:t>0</w:t>
            </w:r>
          </w:p>
        </w:tc>
      </w:tr>
      <w:tr w14:paraId="1735D4E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0B546401">
            <w:pPr>
              <w:pStyle w:val="58"/>
              <w:bidi w:val="0"/>
              <w:rPr>
                <w:rFonts w:hint="default"/>
                <w:highlight w:val="none"/>
              </w:rPr>
            </w:pPr>
            <w:r>
              <w:rPr>
                <w:rFonts w:hint="default"/>
                <w:highlight w:val="none"/>
                <w:lang w:val="en-US" w:eastAsia="zh-CN"/>
              </w:rPr>
              <w:t>16</w:t>
            </w:r>
          </w:p>
        </w:tc>
        <w:tc>
          <w:tcPr>
            <w:tcW w:w="800" w:type="pct"/>
            <w:tcBorders>
              <w:tl2br w:val="nil"/>
              <w:tr2bl w:val="nil"/>
            </w:tcBorders>
            <w:shd w:val="clear" w:color="auto" w:fill="auto"/>
            <w:vAlign w:val="center"/>
          </w:tcPr>
          <w:p w14:paraId="161BFFDF">
            <w:pPr>
              <w:pStyle w:val="58"/>
              <w:bidi w:val="0"/>
              <w:rPr>
                <w:rFonts w:hint="default"/>
                <w:highlight w:val="none"/>
                <w:lang w:val="en-US" w:eastAsia="zh-CN"/>
              </w:rPr>
            </w:pPr>
            <w:r>
              <w:rPr>
                <w:rFonts w:hint="default"/>
                <w:highlight w:val="none"/>
                <w:lang w:val="en-US" w:eastAsia="zh-CN"/>
              </w:rPr>
              <w:t>铁</w:t>
            </w:r>
          </w:p>
        </w:tc>
        <w:tc>
          <w:tcPr>
            <w:tcW w:w="799" w:type="pct"/>
            <w:tcBorders>
              <w:tl2br w:val="nil"/>
              <w:tr2bl w:val="nil"/>
            </w:tcBorders>
            <w:shd w:val="clear" w:color="auto" w:fill="auto"/>
            <w:noWrap/>
            <w:vAlign w:val="center"/>
          </w:tcPr>
          <w:p w14:paraId="2112048B">
            <w:pPr>
              <w:pStyle w:val="58"/>
              <w:bidi w:val="0"/>
              <w:rPr>
                <w:rFonts w:hint="default"/>
                <w:highlight w:val="none"/>
                <w:lang w:val="en-US" w:eastAsia="zh-CN"/>
              </w:rPr>
            </w:pPr>
            <w:r>
              <w:rPr>
                <w:rFonts w:hint="default"/>
                <w:highlight w:val="none"/>
                <w:lang w:val="en-US" w:eastAsia="zh-CN"/>
              </w:rPr>
              <w:t>mg/L</w:t>
            </w:r>
          </w:p>
        </w:tc>
        <w:tc>
          <w:tcPr>
            <w:tcW w:w="685" w:type="pct"/>
            <w:tcBorders>
              <w:tl2br w:val="nil"/>
              <w:tr2bl w:val="nil"/>
            </w:tcBorders>
            <w:shd w:val="clear" w:color="auto" w:fill="auto"/>
            <w:noWrap/>
            <w:vAlign w:val="center"/>
          </w:tcPr>
          <w:p w14:paraId="04DC8AEF">
            <w:pPr>
              <w:pStyle w:val="58"/>
              <w:bidi w:val="0"/>
              <w:rPr>
                <w:rFonts w:hint="default"/>
                <w:highlight w:val="none"/>
                <w:lang w:val="en-US" w:eastAsia="zh-CN"/>
              </w:rPr>
            </w:pPr>
            <w:r>
              <w:rPr>
                <w:rFonts w:hint="default"/>
                <w:highlight w:val="none"/>
                <w:lang w:val="en-US" w:eastAsia="zh-CN"/>
              </w:rPr>
              <w:t>0.3</w:t>
            </w:r>
          </w:p>
        </w:tc>
        <w:tc>
          <w:tcPr>
            <w:tcW w:w="475" w:type="pct"/>
            <w:tcBorders>
              <w:tl2br w:val="nil"/>
              <w:tr2bl w:val="nil"/>
            </w:tcBorders>
            <w:shd w:val="clear" w:color="auto" w:fill="auto"/>
            <w:noWrap/>
            <w:vAlign w:val="center"/>
          </w:tcPr>
          <w:p w14:paraId="43DA2081">
            <w:pPr>
              <w:pStyle w:val="58"/>
              <w:bidi w:val="0"/>
              <w:rPr>
                <w:rFonts w:hint="default"/>
                <w:highlight w:val="none"/>
                <w:lang w:val="en-US" w:eastAsia="zh-CN"/>
              </w:rPr>
            </w:pPr>
            <w:bookmarkStart w:id="264" w:name="OLE_LINK11"/>
            <w:r>
              <w:rPr>
                <w:rFonts w:hint="default"/>
                <w:highlight w:val="none"/>
                <w:lang w:val="en-US" w:eastAsia="zh-CN"/>
              </w:rPr>
              <w:t>ND</w:t>
            </w:r>
            <w:bookmarkEnd w:id="264"/>
          </w:p>
        </w:tc>
        <w:tc>
          <w:tcPr>
            <w:tcW w:w="475" w:type="pct"/>
            <w:tcBorders>
              <w:tl2br w:val="nil"/>
              <w:tr2bl w:val="nil"/>
            </w:tcBorders>
            <w:shd w:val="clear" w:color="auto" w:fill="auto"/>
            <w:noWrap/>
            <w:vAlign w:val="center"/>
          </w:tcPr>
          <w:p w14:paraId="2247B978">
            <w:pPr>
              <w:pStyle w:val="58"/>
              <w:bidi w:val="0"/>
              <w:rPr>
                <w:rFonts w:hint="default"/>
                <w:highlight w:val="none"/>
                <w:lang w:val="en-US" w:eastAsia="zh-CN"/>
              </w:rPr>
            </w:pPr>
            <w:r>
              <w:rPr>
                <w:rFonts w:hint="default"/>
                <w:highlight w:val="none"/>
                <w:lang w:val="en-US" w:eastAsia="zh-CN"/>
              </w:rPr>
              <w:t>ND</w:t>
            </w:r>
          </w:p>
        </w:tc>
        <w:tc>
          <w:tcPr>
            <w:tcW w:w="536" w:type="pct"/>
            <w:tcBorders>
              <w:tl2br w:val="nil"/>
              <w:tr2bl w:val="nil"/>
            </w:tcBorders>
            <w:shd w:val="clear" w:color="auto" w:fill="auto"/>
            <w:noWrap/>
            <w:vAlign w:val="center"/>
          </w:tcPr>
          <w:p w14:paraId="46CA282D">
            <w:pPr>
              <w:pStyle w:val="58"/>
              <w:bidi w:val="0"/>
              <w:rPr>
                <w:rFonts w:hint="default"/>
                <w:highlight w:val="none"/>
                <w:lang w:val="en-US" w:eastAsia="zh-CN"/>
              </w:rPr>
            </w:pPr>
            <w:r>
              <w:rPr>
                <w:rFonts w:hint="default"/>
                <w:highlight w:val="none"/>
                <w:lang w:val="en-US" w:eastAsia="zh-CN"/>
              </w:rPr>
              <w:t>ND</w:t>
            </w:r>
          </w:p>
        </w:tc>
        <w:tc>
          <w:tcPr>
            <w:tcW w:w="410" w:type="pct"/>
            <w:tcBorders>
              <w:tl2br w:val="nil"/>
              <w:tr2bl w:val="nil"/>
            </w:tcBorders>
            <w:shd w:val="clear" w:color="auto" w:fill="auto"/>
            <w:noWrap/>
            <w:vAlign w:val="center"/>
          </w:tcPr>
          <w:p w14:paraId="649C5FED">
            <w:pPr>
              <w:pStyle w:val="58"/>
              <w:bidi w:val="0"/>
              <w:rPr>
                <w:rFonts w:hint="default"/>
                <w:highlight w:val="none"/>
                <w:lang w:val="en-US" w:eastAsia="zh-CN"/>
              </w:rPr>
            </w:pPr>
            <w:r>
              <w:rPr>
                <w:rFonts w:hint="default"/>
                <w:highlight w:val="none"/>
                <w:lang w:val="en-US" w:eastAsia="zh-CN"/>
              </w:rPr>
              <w:t>0</w:t>
            </w:r>
          </w:p>
        </w:tc>
        <w:tc>
          <w:tcPr>
            <w:tcW w:w="410" w:type="pct"/>
            <w:tcBorders>
              <w:tl2br w:val="nil"/>
              <w:tr2bl w:val="nil"/>
            </w:tcBorders>
            <w:shd w:val="clear" w:color="auto" w:fill="auto"/>
            <w:noWrap/>
            <w:vAlign w:val="center"/>
          </w:tcPr>
          <w:p w14:paraId="2742F29B">
            <w:pPr>
              <w:pStyle w:val="58"/>
              <w:bidi w:val="0"/>
              <w:rPr>
                <w:rFonts w:hint="default"/>
                <w:highlight w:val="none"/>
                <w:lang w:val="en-US" w:eastAsia="zh-CN"/>
              </w:rPr>
            </w:pPr>
            <w:r>
              <w:rPr>
                <w:rFonts w:hint="default"/>
                <w:highlight w:val="none"/>
                <w:lang w:val="en-US" w:eastAsia="zh-CN"/>
              </w:rPr>
              <w:t>0</w:t>
            </w:r>
          </w:p>
        </w:tc>
      </w:tr>
      <w:bookmarkEnd w:id="263"/>
      <w:tr w14:paraId="2273958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2912E4BE">
            <w:pPr>
              <w:pStyle w:val="58"/>
              <w:bidi w:val="0"/>
              <w:rPr>
                <w:rFonts w:hint="default"/>
                <w:highlight w:val="none"/>
              </w:rPr>
            </w:pPr>
            <w:r>
              <w:rPr>
                <w:rFonts w:hint="default"/>
                <w:highlight w:val="none"/>
                <w:lang w:val="en-US" w:eastAsia="zh-CN"/>
              </w:rPr>
              <w:t>17</w:t>
            </w:r>
          </w:p>
        </w:tc>
        <w:tc>
          <w:tcPr>
            <w:tcW w:w="800" w:type="pct"/>
            <w:tcBorders>
              <w:tl2br w:val="nil"/>
              <w:tr2bl w:val="nil"/>
            </w:tcBorders>
            <w:shd w:val="clear" w:color="auto" w:fill="auto"/>
            <w:vAlign w:val="center"/>
          </w:tcPr>
          <w:p w14:paraId="4C3D542F">
            <w:pPr>
              <w:pStyle w:val="58"/>
              <w:bidi w:val="0"/>
              <w:rPr>
                <w:rFonts w:hint="default"/>
                <w:highlight w:val="none"/>
                <w:lang w:val="en-US" w:eastAsia="zh-CN"/>
              </w:rPr>
            </w:pPr>
            <w:r>
              <w:rPr>
                <w:rFonts w:hint="default"/>
                <w:highlight w:val="none"/>
                <w:lang w:val="en-US" w:eastAsia="zh-CN"/>
              </w:rPr>
              <w:t>锰</w:t>
            </w:r>
          </w:p>
        </w:tc>
        <w:tc>
          <w:tcPr>
            <w:tcW w:w="799" w:type="pct"/>
            <w:tcBorders>
              <w:tl2br w:val="nil"/>
              <w:tr2bl w:val="nil"/>
            </w:tcBorders>
            <w:shd w:val="clear" w:color="auto" w:fill="auto"/>
            <w:noWrap/>
            <w:vAlign w:val="center"/>
          </w:tcPr>
          <w:p w14:paraId="0FB37D4C">
            <w:pPr>
              <w:pStyle w:val="58"/>
              <w:bidi w:val="0"/>
              <w:rPr>
                <w:rFonts w:hint="default"/>
                <w:highlight w:val="none"/>
                <w:lang w:val="en-US" w:eastAsia="zh-CN"/>
              </w:rPr>
            </w:pPr>
            <w:r>
              <w:rPr>
                <w:rFonts w:hint="default"/>
                <w:highlight w:val="none"/>
                <w:lang w:val="en-US" w:eastAsia="zh-CN"/>
              </w:rPr>
              <w:t>mg/L</w:t>
            </w:r>
          </w:p>
        </w:tc>
        <w:tc>
          <w:tcPr>
            <w:tcW w:w="685" w:type="pct"/>
            <w:tcBorders>
              <w:tl2br w:val="nil"/>
              <w:tr2bl w:val="nil"/>
            </w:tcBorders>
            <w:shd w:val="clear" w:color="auto" w:fill="auto"/>
            <w:noWrap/>
            <w:vAlign w:val="center"/>
          </w:tcPr>
          <w:p w14:paraId="4DA999CC">
            <w:pPr>
              <w:pStyle w:val="58"/>
              <w:bidi w:val="0"/>
              <w:rPr>
                <w:rFonts w:hint="default"/>
                <w:highlight w:val="none"/>
                <w:lang w:val="en-US" w:eastAsia="zh-CN"/>
              </w:rPr>
            </w:pPr>
            <w:r>
              <w:rPr>
                <w:rFonts w:hint="default"/>
                <w:highlight w:val="none"/>
                <w:lang w:val="en-US" w:eastAsia="zh-CN"/>
              </w:rPr>
              <w:t>0.10</w:t>
            </w:r>
          </w:p>
        </w:tc>
        <w:tc>
          <w:tcPr>
            <w:tcW w:w="475" w:type="pct"/>
            <w:tcBorders>
              <w:tl2br w:val="nil"/>
              <w:tr2bl w:val="nil"/>
            </w:tcBorders>
            <w:shd w:val="clear" w:color="auto" w:fill="auto"/>
            <w:noWrap/>
            <w:vAlign w:val="center"/>
          </w:tcPr>
          <w:p w14:paraId="31FE5544">
            <w:pPr>
              <w:pStyle w:val="58"/>
              <w:bidi w:val="0"/>
              <w:rPr>
                <w:rFonts w:hint="default"/>
                <w:highlight w:val="none"/>
                <w:lang w:val="en-US" w:eastAsia="zh-CN"/>
              </w:rPr>
            </w:pPr>
            <w:r>
              <w:rPr>
                <w:rFonts w:hint="default"/>
                <w:highlight w:val="none"/>
                <w:lang w:val="en-US" w:eastAsia="zh-CN"/>
              </w:rPr>
              <w:t>ND</w:t>
            </w:r>
          </w:p>
        </w:tc>
        <w:tc>
          <w:tcPr>
            <w:tcW w:w="475" w:type="pct"/>
            <w:tcBorders>
              <w:tl2br w:val="nil"/>
              <w:tr2bl w:val="nil"/>
            </w:tcBorders>
            <w:shd w:val="clear" w:color="auto" w:fill="auto"/>
            <w:noWrap/>
            <w:vAlign w:val="center"/>
          </w:tcPr>
          <w:p w14:paraId="15405D33">
            <w:pPr>
              <w:pStyle w:val="58"/>
              <w:bidi w:val="0"/>
              <w:rPr>
                <w:rFonts w:hint="default"/>
                <w:highlight w:val="none"/>
                <w:lang w:val="en-US" w:eastAsia="zh-CN"/>
              </w:rPr>
            </w:pPr>
            <w:r>
              <w:rPr>
                <w:rFonts w:hint="default"/>
                <w:highlight w:val="none"/>
                <w:lang w:val="en-US" w:eastAsia="zh-CN"/>
              </w:rPr>
              <w:t>ND</w:t>
            </w:r>
          </w:p>
        </w:tc>
        <w:tc>
          <w:tcPr>
            <w:tcW w:w="536" w:type="pct"/>
            <w:tcBorders>
              <w:tl2br w:val="nil"/>
              <w:tr2bl w:val="nil"/>
            </w:tcBorders>
            <w:shd w:val="clear" w:color="auto" w:fill="auto"/>
            <w:noWrap/>
            <w:vAlign w:val="center"/>
          </w:tcPr>
          <w:p w14:paraId="2BA43311">
            <w:pPr>
              <w:pStyle w:val="58"/>
              <w:bidi w:val="0"/>
              <w:rPr>
                <w:rFonts w:hint="default"/>
                <w:highlight w:val="none"/>
                <w:lang w:val="en-US" w:eastAsia="zh-CN"/>
              </w:rPr>
            </w:pPr>
            <w:r>
              <w:rPr>
                <w:rFonts w:hint="default"/>
                <w:highlight w:val="none"/>
                <w:lang w:val="en-US" w:eastAsia="zh-CN"/>
              </w:rPr>
              <w:t>ND</w:t>
            </w:r>
          </w:p>
        </w:tc>
        <w:tc>
          <w:tcPr>
            <w:tcW w:w="410" w:type="pct"/>
            <w:tcBorders>
              <w:tl2br w:val="nil"/>
              <w:tr2bl w:val="nil"/>
            </w:tcBorders>
            <w:shd w:val="clear" w:color="auto" w:fill="auto"/>
            <w:noWrap/>
            <w:vAlign w:val="center"/>
          </w:tcPr>
          <w:p w14:paraId="05F59DAF">
            <w:pPr>
              <w:pStyle w:val="58"/>
              <w:bidi w:val="0"/>
              <w:rPr>
                <w:rFonts w:hint="default"/>
                <w:highlight w:val="none"/>
                <w:lang w:val="en-US" w:eastAsia="zh-CN"/>
              </w:rPr>
            </w:pPr>
            <w:r>
              <w:rPr>
                <w:rFonts w:hint="default"/>
                <w:highlight w:val="none"/>
                <w:lang w:val="en-US" w:eastAsia="zh-CN"/>
              </w:rPr>
              <w:t>0</w:t>
            </w:r>
          </w:p>
        </w:tc>
        <w:tc>
          <w:tcPr>
            <w:tcW w:w="410" w:type="pct"/>
            <w:tcBorders>
              <w:tl2br w:val="nil"/>
              <w:tr2bl w:val="nil"/>
            </w:tcBorders>
            <w:shd w:val="clear" w:color="auto" w:fill="auto"/>
            <w:noWrap/>
            <w:vAlign w:val="center"/>
          </w:tcPr>
          <w:p w14:paraId="48D82196">
            <w:pPr>
              <w:pStyle w:val="58"/>
              <w:bidi w:val="0"/>
              <w:rPr>
                <w:rFonts w:hint="default"/>
                <w:highlight w:val="none"/>
                <w:lang w:val="en-US" w:eastAsia="zh-CN"/>
              </w:rPr>
            </w:pPr>
            <w:r>
              <w:rPr>
                <w:rFonts w:hint="default"/>
                <w:highlight w:val="none"/>
                <w:lang w:val="en-US" w:eastAsia="zh-CN"/>
              </w:rPr>
              <w:t>0</w:t>
            </w:r>
          </w:p>
        </w:tc>
      </w:tr>
      <w:tr w14:paraId="5F18C1B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659574F8">
            <w:pPr>
              <w:pStyle w:val="58"/>
              <w:bidi w:val="0"/>
              <w:rPr>
                <w:rFonts w:hint="default"/>
                <w:highlight w:val="none"/>
              </w:rPr>
            </w:pPr>
            <w:bookmarkStart w:id="265" w:name="OLE_LINK10" w:colFirst="4" w:colLast="6"/>
            <w:r>
              <w:rPr>
                <w:rFonts w:hint="default"/>
                <w:highlight w:val="none"/>
                <w:lang w:val="en-US" w:eastAsia="zh-CN"/>
              </w:rPr>
              <w:t>18</w:t>
            </w:r>
          </w:p>
        </w:tc>
        <w:tc>
          <w:tcPr>
            <w:tcW w:w="800" w:type="pct"/>
            <w:tcBorders>
              <w:tl2br w:val="nil"/>
              <w:tr2bl w:val="nil"/>
            </w:tcBorders>
            <w:shd w:val="clear" w:color="auto" w:fill="auto"/>
            <w:vAlign w:val="center"/>
          </w:tcPr>
          <w:p w14:paraId="001DA407">
            <w:pPr>
              <w:pStyle w:val="58"/>
              <w:bidi w:val="0"/>
              <w:rPr>
                <w:rFonts w:hint="default"/>
                <w:highlight w:val="none"/>
                <w:lang w:val="en-US" w:eastAsia="zh-CN"/>
              </w:rPr>
            </w:pPr>
            <w:r>
              <w:rPr>
                <w:rFonts w:hint="default"/>
                <w:highlight w:val="none"/>
                <w:lang w:val="en-US" w:eastAsia="zh-CN"/>
              </w:rPr>
              <w:t>铅</w:t>
            </w:r>
          </w:p>
        </w:tc>
        <w:tc>
          <w:tcPr>
            <w:tcW w:w="799" w:type="pct"/>
            <w:tcBorders>
              <w:tl2br w:val="nil"/>
              <w:tr2bl w:val="nil"/>
            </w:tcBorders>
            <w:shd w:val="clear" w:color="auto" w:fill="auto"/>
            <w:vAlign w:val="center"/>
          </w:tcPr>
          <w:p w14:paraId="55252B83">
            <w:pPr>
              <w:pStyle w:val="58"/>
              <w:bidi w:val="0"/>
              <w:rPr>
                <w:rFonts w:hint="default"/>
                <w:highlight w:val="none"/>
                <w:lang w:val="en-US" w:eastAsia="zh-CN"/>
              </w:rPr>
            </w:pPr>
            <w:r>
              <w:rPr>
                <w:rFonts w:hint="default"/>
                <w:highlight w:val="none"/>
                <w:lang w:val="en-US" w:eastAsia="zh-CN"/>
              </w:rPr>
              <w:t>mg/L</w:t>
            </w:r>
          </w:p>
        </w:tc>
        <w:tc>
          <w:tcPr>
            <w:tcW w:w="685" w:type="pct"/>
            <w:tcBorders>
              <w:tl2br w:val="nil"/>
              <w:tr2bl w:val="nil"/>
            </w:tcBorders>
            <w:shd w:val="clear" w:color="auto" w:fill="auto"/>
            <w:noWrap/>
            <w:vAlign w:val="center"/>
          </w:tcPr>
          <w:p w14:paraId="4416DEF6">
            <w:pPr>
              <w:pStyle w:val="58"/>
              <w:bidi w:val="0"/>
              <w:rPr>
                <w:rFonts w:hint="default"/>
                <w:highlight w:val="none"/>
                <w:lang w:val="en-US" w:eastAsia="zh-CN"/>
              </w:rPr>
            </w:pPr>
            <w:r>
              <w:rPr>
                <w:rFonts w:hint="default"/>
                <w:highlight w:val="none"/>
                <w:lang w:val="en-US" w:eastAsia="zh-CN"/>
              </w:rPr>
              <w:t>0.01</w:t>
            </w:r>
          </w:p>
        </w:tc>
        <w:tc>
          <w:tcPr>
            <w:tcW w:w="475" w:type="pct"/>
            <w:tcBorders>
              <w:tl2br w:val="nil"/>
              <w:tr2bl w:val="nil"/>
            </w:tcBorders>
            <w:shd w:val="clear" w:color="auto" w:fill="auto"/>
            <w:noWrap/>
            <w:vAlign w:val="center"/>
          </w:tcPr>
          <w:p w14:paraId="1BF0C529">
            <w:pPr>
              <w:pStyle w:val="58"/>
              <w:bidi w:val="0"/>
              <w:rPr>
                <w:rFonts w:hint="default"/>
                <w:highlight w:val="none"/>
                <w:lang w:val="en-US" w:eastAsia="zh-CN"/>
              </w:rPr>
            </w:pPr>
            <w:r>
              <w:rPr>
                <w:rFonts w:hint="default"/>
                <w:highlight w:val="none"/>
                <w:lang w:val="en-US" w:eastAsia="zh-CN"/>
              </w:rPr>
              <w:t>ND</w:t>
            </w:r>
          </w:p>
        </w:tc>
        <w:tc>
          <w:tcPr>
            <w:tcW w:w="475" w:type="pct"/>
            <w:tcBorders>
              <w:tl2br w:val="nil"/>
              <w:tr2bl w:val="nil"/>
            </w:tcBorders>
            <w:shd w:val="clear" w:color="auto" w:fill="auto"/>
            <w:noWrap/>
            <w:vAlign w:val="center"/>
          </w:tcPr>
          <w:p w14:paraId="7360F29B">
            <w:pPr>
              <w:pStyle w:val="58"/>
              <w:bidi w:val="0"/>
              <w:rPr>
                <w:rFonts w:hint="default"/>
                <w:highlight w:val="none"/>
                <w:lang w:val="en-US" w:eastAsia="zh-CN"/>
              </w:rPr>
            </w:pPr>
            <w:r>
              <w:rPr>
                <w:rFonts w:hint="default"/>
                <w:highlight w:val="none"/>
                <w:lang w:val="en-US" w:eastAsia="zh-CN"/>
              </w:rPr>
              <w:t>ND</w:t>
            </w:r>
          </w:p>
        </w:tc>
        <w:tc>
          <w:tcPr>
            <w:tcW w:w="536" w:type="pct"/>
            <w:tcBorders>
              <w:tl2br w:val="nil"/>
              <w:tr2bl w:val="nil"/>
            </w:tcBorders>
            <w:shd w:val="clear" w:color="auto" w:fill="auto"/>
            <w:noWrap/>
            <w:vAlign w:val="center"/>
          </w:tcPr>
          <w:p w14:paraId="36125902">
            <w:pPr>
              <w:pStyle w:val="58"/>
              <w:bidi w:val="0"/>
              <w:rPr>
                <w:rFonts w:hint="default"/>
                <w:highlight w:val="none"/>
                <w:lang w:val="en-US" w:eastAsia="zh-CN"/>
              </w:rPr>
            </w:pPr>
            <w:r>
              <w:rPr>
                <w:rFonts w:hint="default"/>
                <w:highlight w:val="none"/>
                <w:lang w:val="en-US" w:eastAsia="zh-CN"/>
              </w:rPr>
              <w:t>ND</w:t>
            </w:r>
          </w:p>
        </w:tc>
        <w:tc>
          <w:tcPr>
            <w:tcW w:w="410" w:type="pct"/>
            <w:tcBorders>
              <w:tl2br w:val="nil"/>
              <w:tr2bl w:val="nil"/>
            </w:tcBorders>
            <w:shd w:val="clear" w:color="auto" w:fill="auto"/>
            <w:noWrap/>
            <w:vAlign w:val="center"/>
          </w:tcPr>
          <w:p w14:paraId="4B0B526C">
            <w:pPr>
              <w:pStyle w:val="58"/>
              <w:bidi w:val="0"/>
              <w:rPr>
                <w:rFonts w:hint="default"/>
                <w:highlight w:val="none"/>
                <w:lang w:val="en-US" w:eastAsia="zh-CN"/>
              </w:rPr>
            </w:pPr>
            <w:r>
              <w:rPr>
                <w:rFonts w:hint="default"/>
                <w:highlight w:val="none"/>
                <w:lang w:val="en-US" w:eastAsia="zh-CN"/>
              </w:rPr>
              <w:t>0</w:t>
            </w:r>
          </w:p>
        </w:tc>
        <w:tc>
          <w:tcPr>
            <w:tcW w:w="410" w:type="pct"/>
            <w:tcBorders>
              <w:tl2br w:val="nil"/>
              <w:tr2bl w:val="nil"/>
            </w:tcBorders>
            <w:shd w:val="clear" w:color="auto" w:fill="auto"/>
            <w:noWrap/>
            <w:vAlign w:val="center"/>
          </w:tcPr>
          <w:p w14:paraId="49BC012B">
            <w:pPr>
              <w:pStyle w:val="58"/>
              <w:bidi w:val="0"/>
              <w:rPr>
                <w:rFonts w:hint="default"/>
                <w:highlight w:val="none"/>
                <w:lang w:val="en-US" w:eastAsia="zh-CN"/>
              </w:rPr>
            </w:pPr>
            <w:r>
              <w:rPr>
                <w:rFonts w:hint="default"/>
                <w:highlight w:val="none"/>
                <w:lang w:val="en-US" w:eastAsia="zh-CN"/>
              </w:rPr>
              <w:t>0</w:t>
            </w:r>
          </w:p>
        </w:tc>
      </w:tr>
      <w:tr w14:paraId="6025633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2D058130">
            <w:pPr>
              <w:pStyle w:val="58"/>
              <w:bidi w:val="0"/>
              <w:rPr>
                <w:rFonts w:hint="default"/>
                <w:highlight w:val="none"/>
              </w:rPr>
            </w:pPr>
            <w:r>
              <w:rPr>
                <w:rFonts w:hint="default"/>
                <w:highlight w:val="none"/>
                <w:lang w:val="en-US" w:eastAsia="zh-CN"/>
              </w:rPr>
              <w:t>19</w:t>
            </w:r>
          </w:p>
        </w:tc>
        <w:tc>
          <w:tcPr>
            <w:tcW w:w="800" w:type="pct"/>
            <w:tcBorders>
              <w:tl2br w:val="nil"/>
              <w:tr2bl w:val="nil"/>
            </w:tcBorders>
            <w:shd w:val="clear" w:color="auto" w:fill="auto"/>
            <w:vAlign w:val="center"/>
          </w:tcPr>
          <w:p w14:paraId="2B001EC5">
            <w:pPr>
              <w:pStyle w:val="58"/>
              <w:bidi w:val="0"/>
              <w:rPr>
                <w:rFonts w:hint="default"/>
                <w:highlight w:val="none"/>
                <w:lang w:val="en-US" w:eastAsia="zh-CN"/>
              </w:rPr>
            </w:pPr>
            <w:r>
              <w:rPr>
                <w:rFonts w:hint="default"/>
                <w:highlight w:val="none"/>
                <w:lang w:val="en-US" w:eastAsia="zh-CN"/>
              </w:rPr>
              <w:t>镉</w:t>
            </w:r>
          </w:p>
        </w:tc>
        <w:tc>
          <w:tcPr>
            <w:tcW w:w="799" w:type="pct"/>
            <w:tcBorders>
              <w:tl2br w:val="nil"/>
              <w:tr2bl w:val="nil"/>
            </w:tcBorders>
            <w:shd w:val="clear" w:color="auto" w:fill="auto"/>
            <w:vAlign w:val="center"/>
          </w:tcPr>
          <w:p w14:paraId="53ED369A">
            <w:pPr>
              <w:pStyle w:val="58"/>
              <w:bidi w:val="0"/>
              <w:rPr>
                <w:rFonts w:hint="default"/>
                <w:highlight w:val="none"/>
                <w:lang w:val="en-US" w:eastAsia="zh-CN"/>
              </w:rPr>
            </w:pPr>
            <w:r>
              <w:rPr>
                <w:rFonts w:hint="default"/>
                <w:highlight w:val="none"/>
                <w:lang w:val="en-US" w:eastAsia="zh-CN"/>
              </w:rPr>
              <w:t>mg/L</w:t>
            </w:r>
          </w:p>
        </w:tc>
        <w:tc>
          <w:tcPr>
            <w:tcW w:w="685" w:type="pct"/>
            <w:tcBorders>
              <w:tl2br w:val="nil"/>
              <w:tr2bl w:val="nil"/>
            </w:tcBorders>
            <w:shd w:val="clear" w:color="auto" w:fill="auto"/>
            <w:noWrap/>
            <w:vAlign w:val="center"/>
          </w:tcPr>
          <w:p w14:paraId="0EF68CCC">
            <w:pPr>
              <w:pStyle w:val="58"/>
              <w:bidi w:val="0"/>
              <w:rPr>
                <w:rFonts w:hint="default"/>
                <w:highlight w:val="none"/>
                <w:lang w:val="en-US" w:eastAsia="zh-CN"/>
              </w:rPr>
            </w:pPr>
            <w:r>
              <w:rPr>
                <w:rFonts w:hint="default"/>
                <w:highlight w:val="none"/>
                <w:lang w:val="en-US" w:eastAsia="zh-CN"/>
              </w:rPr>
              <w:t>0.05</w:t>
            </w:r>
          </w:p>
        </w:tc>
        <w:tc>
          <w:tcPr>
            <w:tcW w:w="475" w:type="pct"/>
            <w:tcBorders>
              <w:tl2br w:val="nil"/>
              <w:tr2bl w:val="nil"/>
            </w:tcBorders>
            <w:shd w:val="clear" w:color="auto" w:fill="auto"/>
            <w:noWrap/>
            <w:vAlign w:val="center"/>
          </w:tcPr>
          <w:p w14:paraId="65F93C48">
            <w:pPr>
              <w:pStyle w:val="58"/>
              <w:bidi w:val="0"/>
              <w:rPr>
                <w:rFonts w:hint="default"/>
                <w:highlight w:val="none"/>
                <w:lang w:val="en-US" w:eastAsia="zh-CN"/>
              </w:rPr>
            </w:pPr>
            <w:r>
              <w:rPr>
                <w:rFonts w:hint="default"/>
                <w:highlight w:val="none"/>
                <w:lang w:val="en-US" w:eastAsia="zh-CN"/>
              </w:rPr>
              <w:t>ND</w:t>
            </w:r>
          </w:p>
        </w:tc>
        <w:tc>
          <w:tcPr>
            <w:tcW w:w="475" w:type="pct"/>
            <w:tcBorders>
              <w:tl2br w:val="nil"/>
              <w:tr2bl w:val="nil"/>
            </w:tcBorders>
            <w:shd w:val="clear" w:color="auto" w:fill="auto"/>
            <w:noWrap/>
            <w:vAlign w:val="center"/>
          </w:tcPr>
          <w:p w14:paraId="56B18AB2">
            <w:pPr>
              <w:pStyle w:val="58"/>
              <w:bidi w:val="0"/>
              <w:rPr>
                <w:rFonts w:hint="default"/>
                <w:highlight w:val="none"/>
                <w:lang w:val="en-US" w:eastAsia="zh-CN"/>
              </w:rPr>
            </w:pPr>
            <w:r>
              <w:rPr>
                <w:rFonts w:hint="default"/>
                <w:highlight w:val="none"/>
                <w:lang w:val="en-US" w:eastAsia="zh-CN"/>
              </w:rPr>
              <w:t>ND</w:t>
            </w:r>
          </w:p>
        </w:tc>
        <w:tc>
          <w:tcPr>
            <w:tcW w:w="536" w:type="pct"/>
            <w:tcBorders>
              <w:tl2br w:val="nil"/>
              <w:tr2bl w:val="nil"/>
            </w:tcBorders>
            <w:shd w:val="clear" w:color="auto" w:fill="auto"/>
            <w:noWrap/>
            <w:vAlign w:val="center"/>
          </w:tcPr>
          <w:p w14:paraId="4CCB69AC">
            <w:pPr>
              <w:pStyle w:val="58"/>
              <w:bidi w:val="0"/>
              <w:rPr>
                <w:rFonts w:hint="default"/>
                <w:highlight w:val="none"/>
                <w:lang w:val="en-US" w:eastAsia="zh-CN"/>
              </w:rPr>
            </w:pPr>
            <w:r>
              <w:rPr>
                <w:rFonts w:hint="default"/>
                <w:highlight w:val="none"/>
                <w:lang w:val="en-US" w:eastAsia="zh-CN"/>
              </w:rPr>
              <w:t>ND</w:t>
            </w:r>
          </w:p>
        </w:tc>
        <w:tc>
          <w:tcPr>
            <w:tcW w:w="410" w:type="pct"/>
            <w:tcBorders>
              <w:tl2br w:val="nil"/>
              <w:tr2bl w:val="nil"/>
            </w:tcBorders>
            <w:shd w:val="clear" w:color="auto" w:fill="auto"/>
            <w:noWrap/>
            <w:vAlign w:val="center"/>
          </w:tcPr>
          <w:p w14:paraId="20F22993">
            <w:pPr>
              <w:pStyle w:val="58"/>
              <w:bidi w:val="0"/>
              <w:rPr>
                <w:rFonts w:hint="default"/>
                <w:highlight w:val="none"/>
                <w:lang w:val="en-US" w:eastAsia="zh-CN"/>
              </w:rPr>
            </w:pPr>
            <w:r>
              <w:rPr>
                <w:rFonts w:hint="default"/>
                <w:highlight w:val="none"/>
                <w:lang w:val="en-US" w:eastAsia="zh-CN"/>
              </w:rPr>
              <w:t>0</w:t>
            </w:r>
          </w:p>
        </w:tc>
        <w:tc>
          <w:tcPr>
            <w:tcW w:w="410" w:type="pct"/>
            <w:tcBorders>
              <w:tl2br w:val="nil"/>
              <w:tr2bl w:val="nil"/>
            </w:tcBorders>
            <w:shd w:val="clear" w:color="auto" w:fill="auto"/>
            <w:noWrap/>
            <w:vAlign w:val="center"/>
          </w:tcPr>
          <w:p w14:paraId="51BC77B7">
            <w:pPr>
              <w:pStyle w:val="58"/>
              <w:bidi w:val="0"/>
              <w:rPr>
                <w:rFonts w:hint="default"/>
                <w:highlight w:val="none"/>
                <w:lang w:val="en-US" w:eastAsia="zh-CN"/>
              </w:rPr>
            </w:pPr>
            <w:r>
              <w:rPr>
                <w:rFonts w:hint="default"/>
                <w:highlight w:val="none"/>
                <w:lang w:val="en-US" w:eastAsia="zh-CN"/>
              </w:rPr>
              <w:t>0</w:t>
            </w:r>
          </w:p>
        </w:tc>
      </w:tr>
      <w:tr w14:paraId="5BD01BE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06F7D931">
            <w:pPr>
              <w:pStyle w:val="58"/>
              <w:bidi w:val="0"/>
              <w:rPr>
                <w:rFonts w:hint="default"/>
                <w:highlight w:val="none"/>
              </w:rPr>
            </w:pPr>
            <w:r>
              <w:rPr>
                <w:rFonts w:hint="default"/>
                <w:highlight w:val="none"/>
                <w:lang w:val="en-US" w:eastAsia="zh-CN"/>
              </w:rPr>
              <w:t>20</w:t>
            </w:r>
          </w:p>
        </w:tc>
        <w:tc>
          <w:tcPr>
            <w:tcW w:w="800" w:type="pct"/>
            <w:tcBorders>
              <w:tl2br w:val="nil"/>
              <w:tr2bl w:val="nil"/>
            </w:tcBorders>
            <w:shd w:val="clear" w:color="auto" w:fill="auto"/>
            <w:vAlign w:val="center"/>
          </w:tcPr>
          <w:p w14:paraId="60BD7E44">
            <w:pPr>
              <w:pStyle w:val="58"/>
              <w:bidi w:val="0"/>
              <w:rPr>
                <w:rFonts w:hint="default"/>
                <w:highlight w:val="none"/>
                <w:lang w:val="en-US" w:eastAsia="zh-CN"/>
              </w:rPr>
            </w:pPr>
            <w:r>
              <w:rPr>
                <w:rFonts w:hint="default"/>
                <w:highlight w:val="none"/>
                <w:lang w:val="en-US" w:eastAsia="zh-CN"/>
              </w:rPr>
              <w:t>总大肠菌群</w:t>
            </w:r>
          </w:p>
          <w:p w14:paraId="68E3A859">
            <w:pPr>
              <w:pStyle w:val="58"/>
              <w:bidi w:val="0"/>
              <w:rPr>
                <w:rFonts w:hint="default"/>
                <w:highlight w:val="none"/>
                <w:lang w:val="en-US" w:eastAsia="zh-CN"/>
              </w:rPr>
            </w:pPr>
            <w:r>
              <w:rPr>
                <w:rFonts w:hint="default"/>
                <w:highlight w:val="none"/>
                <w:lang w:val="en-US" w:eastAsia="zh-CN"/>
              </w:rPr>
              <w:t>（15管法）</w:t>
            </w:r>
          </w:p>
        </w:tc>
        <w:tc>
          <w:tcPr>
            <w:tcW w:w="799" w:type="pct"/>
            <w:tcBorders>
              <w:tl2br w:val="nil"/>
              <w:tr2bl w:val="nil"/>
            </w:tcBorders>
            <w:shd w:val="clear" w:color="auto" w:fill="auto"/>
            <w:vAlign w:val="center"/>
          </w:tcPr>
          <w:p w14:paraId="0FB2F56F">
            <w:pPr>
              <w:pStyle w:val="58"/>
              <w:bidi w:val="0"/>
              <w:rPr>
                <w:rFonts w:hint="default"/>
                <w:highlight w:val="none"/>
                <w:lang w:val="en-US" w:eastAsia="zh-CN"/>
              </w:rPr>
            </w:pPr>
            <w:r>
              <w:rPr>
                <w:rFonts w:hint="default"/>
                <w:highlight w:val="none"/>
                <w:lang w:val="en-US" w:eastAsia="zh-CN"/>
              </w:rPr>
              <w:t>MPN/100mL</w:t>
            </w:r>
          </w:p>
        </w:tc>
        <w:tc>
          <w:tcPr>
            <w:tcW w:w="685" w:type="pct"/>
            <w:tcBorders>
              <w:tl2br w:val="nil"/>
              <w:tr2bl w:val="nil"/>
            </w:tcBorders>
            <w:shd w:val="clear" w:color="auto" w:fill="auto"/>
            <w:noWrap/>
            <w:vAlign w:val="center"/>
          </w:tcPr>
          <w:p w14:paraId="59D3C91A">
            <w:pPr>
              <w:pStyle w:val="58"/>
              <w:bidi w:val="0"/>
              <w:rPr>
                <w:rFonts w:hint="default"/>
                <w:highlight w:val="none"/>
                <w:lang w:val="en-US" w:eastAsia="zh-CN"/>
              </w:rPr>
            </w:pPr>
            <w:r>
              <w:rPr>
                <w:rFonts w:hint="default"/>
                <w:highlight w:val="none"/>
                <w:lang w:val="en-US" w:eastAsia="zh-CN"/>
              </w:rPr>
              <w:t>3.0</w:t>
            </w:r>
          </w:p>
        </w:tc>
        <w:tc>
          <w:tcPr>
            <w:tcW w:w="475" w:type="pct"/>
            <w:tcBorders>
              <w:tl2br w:val="nil"/>
              <w:tr2bl w:val="nil"/>
            </w:tcBorders>
            <w:shd w:val="clear" w:color="auto" w:fill="auto"/>
            <w:noWrap/>
            <w:vAlign w:val="center"/>
          </w:tcPr>
          <w:p w14:paraId="7EAB335C">
            <w:pPr>
              <w:pStyle w:val="58"/>
              <w:bidi w:val="0"/>
              <w:rPr>
                <w:rFonts w:hint="default"/>
                <w:highlight w:val="none"/>
                <w:lang w:val="en-US" w:eastAsia="zh-CN"/>
              </w:rPr>
            </w:pPr>
            <w:r>
              <w:rPr>
                <w:rFonts w:hint="default"/>
                <w:highlight w:val="none"/>
                <w:lang w:val="en-US" w:eastAsia="zh-CN"/>
              </w:rPr>
              <w:t>ND</w:t>
            </w:r>
          </w:p>
        </w:tc>
        <w:tc>
          <w:tcPr>
            <w:tcW w:w="475" w:type="pct"/>
            <w:tcBorders>
              <w:tl2br w:val="nil"/>
              <w:tr2bl w:val="nil"/>
            </w:tcBorders>
            <w:shd w:val="clear" w:color="auto" w:fill="auto"/>
            <w:noWrap/>
            <w:vAlign w:val="center"/>
          </w:tcPr>
          <w:p w14:paraId="25D9F464">
            <w:pPr>
              <w:pStyle w:val="58"/>
              <w:bidi w:val="0"/>
              <w:rPr>
                <w:rFonts w:hint="default"/>
                <w:highlight w:val="none"/>
                <w:lang w:val="en-US" w:eastAsia="zh-CN"/>
              </w:rPr>
            </w:pPr>
            <w:r>
              <w:rPr>
                <w:rFonts w:hint="default"/>
                <w:highlight w:val="none"/>
                <w:lang w:val="en-US" w:eastAsia="zh-CN"/>
              </w:rPr>
              <w:t>ND</w:t>
            </w:r>
          </w:p>
        </w:tc>
        <w:tc>
          <w:tcPr>
            <w:tcW w:w="536" w:type="pct"/>
            <w:tcBorders>
              <w:tl2br w:val="nil"/>
              <w:tr2bl w:val="nil"/>
            </w:tcBorders>
            <w:shd w:val="clear" w:color="auto" w:fill="auto"/>
            <w:noWrap/>
            <w:vAlign w:val="center"/>
          </w:tcPr>
          <w:p w14:paraId="19216B97">
            <w:pPr>
              <w:pStyle w:val="58"/>
              <w:bidi w:val="0"/>
              <w:rPr>
                <w:rFonts w:hint="default"/>
                <w:highlight w:val="none"/>
                <w:lang w:val="en-US" w:eastAsia="zh-CN"/>
              </w:rPr>
            </w:pPr>
            <w:r>
              <w:rPr>
                <w:rFonts w:hint="default"/>
                <w:highlight w:val="none"/>
                <w:lang w:val="en-US" w:eastAsia="zh-CN"/>
              </w:rPr>
              <w:t>ND</w:t>
            </w:r>
          </w:p>
        </w:tc>
        <w:tc>
          <w:tcPr>
            <w:tcW w:w="410" w:type="pct"/>
            <w:tcBorders>
              <w:tl2br w:val="nil"/>
              <w:tr2bl w:val="nil"/>
            </w:tcBorders>
            <w:shd w:val="clear" w:color="auto" w:fill="auto"/>
            <w:noWrap/>
            <w:vAlign w:val="center"/>
          </w:tcPr>
          <w:p w14:paraId="6F7B2ECC">
            <w:pPr>
              <w:pStyle w:val="58"/>
              <w:bidi w:val="0"/>
              <w:rPr>
                <w:rFonts w:hint="default"/>
                <w:highlight w:val="none"/>
                <w:lang w:val="en-US" w:eastAsia="zh-CN"/>
              </w:rPr>
            </w:pPr>
            <w:r>
              <w:rPr>
                <w:rFonts w:hint="default"/>
                <w:highlight w:val="none"/>
                <w:lang w:val="en-US" w:eastAsia="zh-CN"/>
              </w:rPr>
              <w:t>0</w:t>
            </w:r>
          </w:p>
        </w:tc>
        <w:tc>
          <w:tcPr>
            <w:tcW w:w="410" w:type="pct"/>
            <w:tcBorders>
              <w:tl2br w:val="nil"/>
              <w:tr2bl w:val="nil"/>
            </w:tcBorders>
            <w:shd w:val="clear" w:color="auto" w:fill="auto"/>
            <w:noWrap/>
            <w:vAlign w:val="center"/>
          </w:tcPr>
          <w:p w14:paraId="56BE5BBF">
            <w:pPr>
              <w:pStyle w:val="58"/>
              <w:bidi w:val="0"/>
              <w:rPr>
                <w:rFonts w:hint="default"/>
                <w:highlight w:val="none"/>
                <w:lang w:val="en-US" w:eastAsia="zh-CN"/>
              </w:rPr>
            </w:pPr>
            <w:r>
              <w:rPr>
                <w:rFonts w:hint="default"/>
                <w:highlight w:val="none"/>
                <w:lang w:val="en-US" w:eastAsia="zh-CN"/>
              </w:rPr>
              <w:t>0</w:t>
            </w:r>
          </w:p>
        </w:tc>
      </w:tr>
      <w:bookmarkEnd w:id="265"/>
      <w:tr w14:paraId="74CAE1C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411CF176">
            <w:pPr>
              <w:pStyle w:val="58"/>
              <w:bidi w:val="0"/>
              <w:rPr>
                <w:rFonts w:hint="default"/>
                <w:highlight w:val="none"/>
              </w:rPr>
            </w:pPr>
            <w:r>
              <w:rPr>
                <w:rFonts w:hint="default"/>
                <w:highlight w:val="none"/>
                <w:lang w:val="en-US" w:eastAsia="zh-CN"/>
              </w:rPr>
              <w:t>21</w:t>
            </w:r>
          </w:p>
        </w:tc>
        <w:tc>
          <w:tcPr>
            <w:tcW w:w="800" w:type="pct"/>
            <w:tcBorders>
              <w:tl2br w:val="nil"/>
              <w:tr2bl w:val="nil"/>
            </w:tcBorders>
            <w:shd w:val="clear" w:color="auto" w:fill="auto"/>
            <w:vAlign w:val="center"/>
          </w:tcPr>
          <w:p w14:paraId="43D116E6">
            <w:pPr>
              <w:pStyle w:val="58"/>
              <w:bidi w:val="0"/>
              <w:rPr>
                <w:rFonts w:hint="default"/>
                <w:highlight w:val="none"/>
                <w:lang w:val="en-US" w:eastAsia="zh-CN"/>
              </w:rPr>
            </w:pPr>
            <w:r>
              <w:rPr>
                <w:rFonts w:hint="default"/>
                <w:highlight w:val="none"/>
                <w:lang w:val="en-US" w:eastAsia="zh-CN"/>
              </w:rPr>
              <w:t>菌落总数</w:t>
            </w:r>
          </w:p>
        </w:tc>
        <w:tc>
          <w:tcPr>
            <w:tcW w:w="799" w:type="pct"/>
            <w:tcBorders>
              <w:tl2br w:val="nil"/>
              <w:tr2bl w:val="nil"/>
            </w:tcBorders>
            <w:shd w:val="clear" w:color="auto" w:fill="auto"/>
            <w:vAlign w:val="center"/>
          </w:tcPr>
          <w:p w14:paraId="525CDF7A">
            <w:pPr>
              <w:pStyle w:val="58"/>
              <w:bidi w:val="0"/>
              <w:rPr>
                <w:rFonts w:hint="default"/>
                <w:highlight w:val="none"/>
                <w:lang w:val="en-US" w:eastAsia="zh-CN"/>
              </w:rPr>
            </w:pPr>
            <w:r>
              <w:rPr>
                <w:rFonts w:hint="default"/>
                <w:highlight w:val="none"/>
                <w:lang w:val="en-US" w:eastAsia="zh-CN"/>
              </w:rPr>
              <w:t>CFU/mL</w:t>
            </w:r>
          </w:p>
        </w:tc>
        <w:tc>
          <w:tcPr>
            <w:tcW w:w="685" w:type="pct"/>
            <w:tcBorders>
              <w:tl2br w:val="nil"/>
              <w:tr2bl w:val="nil"/>
            </w:tcBorders>
            <w:shd w:val="clear" w:color="auto" w:fill="auto"/>
            <w:noWrap/>
            <w:vAlign w:val="center"/>
          </w:tcPr>
          <w:p w14:paraId="33CB3391">
            <w:pPr>
              <w:pStyle w:val="58"/>
              <w:bidi w:val="0"/>
              <w:rPr>
                <w:rFonts w:hint="default"/>
                <w:highlight w:val="none"/>
                <w:lang w:val="en-US" w:eastAsia="zh-CN"/>
              </w:rPr>
            </w:pPr>
            <w:r>
              <w:rPr>
                <w:rFonts w:hint="default"/>
                <w:highlight w:val="none"/>
                <w:lang w:val="en-US" w:eastAsia="zh-CN"/>
              </w:rPr>
              <w:t>100</w:t>
            </w:r>
          </w:p>
        </w:tc>
        <w:tc>
          <w:tcPr>
            <w:tcW w:w="475" w:type="pct"/>
            <w:tcBorders>
              <w:tl2br w:val="nil"/>
              <w:tr2bl w:val="nil"/>
            </w:tcBorders>
            <w:shd w:val="clear" w:color="auto" w:fill="auto"/>
            <w:noWrap/>
            <w:vAlign w:val="center"/>
          </w:tcPr>
          <w:p w14:paraId="75B2805C">
            <w:pPr>
              <w:pStyle w:val="58"/>
              <w:bidi w:val="0"/>
              <w:rPr>
                <w:rFonts w:hint="default"/>
                <w:highlight w:val="none"/>
                <w:lang w:val="en-US" w:eastAsia="zh-CN"/>
              </w:rPr>
            </w:pPr>
            <w:r>
              <w:rPr>
                <w:rFonts w:hint="default"/>
                <w:highlight w:val="none"/>
                <w:lang w:val="en-US" w:eastAsia="zh-CN"/>
              </w:rPr>
              <w:t>58</w:t>
            </w:r>
          </w:p>
        </w:tc>
        <w:tc>
          <w:tcPr>
            <w:tcW w:w="475" w:type="pct"/>
            <w:tcBorders>
              <w:tl2br w:val="nil"/>
              <w:tr2bl w:val="nil"/>
            </w:tcBorders>
            <w:shd w:val="clear" w:color="auto" w:fill="auto"/>
            <w:noWrap/>
            <w:vAlign w:val="center"/>
          </w:tcPr>
          <w:p w14:paraId="3891D876">
            <w:pPr>
              <w:pStyle w:val="58"/>
              <w:bidi w:val="0"/>
              <w:rPr>
                <w:rFonts w:hint="default"/>
                <w:highlight w:val="none"/>
                <w:lang w:val="en-US" w:eastAsia="zh-CN"/>
              </w:rPr>
            </w:pPr>
            <w:r>
              <w:rPr>
                <w:rFonts w:hint="default"/>
                <w:highlight w:val="none"/>
                <w:lang w:val="en-US" w:eastAsia="zh-CN"/>
              </w:rPr>
              <w:t>30</w:t>
            </w:r>
          </w:p>
        </w:tc>
        <w:tc>
          <w:tcPr>
            <w:tcW w:w="536" w:type="pct"/>
            <w:tcBorders>
              <w:tl2br w:val="nil"/>
              <w:tr2bl w:val="nil"/>
            </w:tcBorders>
            <w:shd w:val="clear" w:color="auto" w:fill="auto"/>
            <w:noWrap/>
            <w:vAlign w:val="center"/>
          </w:tcPr>
          <w:p w14:paraId="1FC3E363">
            <w:pPr>
              <w:pStyle w:val="58"/>
              <w:bidi w:val="0"/>
              <w:rPr>
                <w:rFonts w:hint="default"/>
                <w:highlight w:val="none"/>
                <w:lang w:val="en-US" w:eastAsia="zh-CN"/>
              </w:rPr>
            </w:pPr>
            <w:r>
              <w:rPr>
                <w:rFonts w:hint="default"/>
                <w:highlight w:val="none"/>
                <w:lang w:val="en-US" w:eastAsia="zh-CN"/>
              </w:rPr>
              <w:t>37</w:t>
            </w:r>
          </w:p>
        </w:tc>
        <w:tc>
          <w:tcPr>
            <w:tcW w:w="410" w:type="pct"/>
            <w:tcBorders>
              <w:tl2br w:val="nil"/>
              <w:tr2bl w:val="nil"/>
            </w:tcBorders>
            <w:shd w:val="clear" w:color="auto" w:fill="auto"/>
            <w:noWrap/>
            <w:vAlign w:val="center"/>
          </w:tcPr>
          <w:p w14:paraId="5C4AD60E">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6E4A7937">
            <w:pPr>
              <w:pStyle w:val="58"/>
              <w:bidi w:val="0"/>
              <w:rPr>
                <w:rFonts w:hint="default"/>
                <w:highlight w:val="none"/>
                <w:lang w:val="en-US" w:eastAsia="zh-CN"/>
              </w:rPr>
            </w:pPr>
            <w:r>
              <w:rPr>
                <w:rFonts w:hint="default"/>
                <w:highlight w:val="none"/>
                <w:lang w:val="en-US" w:eastAsia="zh-CN"/>
              </w:rPr>
              <w:t>0</w:t>
            </w:r>
          </w:p>
        </w:tc>
      </w:tr>
      <w:tr w14:paraId="0E33563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147048E0">
            <w:pPr>
              <w:pStyle w:val="58"/>
              <w:bidi w:val="0"/>
              <w:rPr>
                <w:rFonts w:hint="default"/>
                <w:highlight w:val="none"/>
              </w:rPr>
            </w:pPr>
            <w:r>
              <w:rPr>
                <w:rFonts w:hint="default"/>
                <w:highlight w:val="none"/>
                <w:lang w:val="en-US" w:eastAsia="zh-CN"/>
              </w:rPr>
              <w:t>22</w:t>
            </w:r>
          </w:p>
        </w:tc>
        <w:tc>
          <w:tcPr>
            <w:tcW w:w="800" w:type="pct"/>
            <w:tcBorders>
              <w:tl2br w:val="nil"/>
              <w:tr2bl w:val="nil"/>
            </w:tcBorders>
            <w:shd w:val="clear" w:color="auto" w:fill="auto"/>
            <w:vAlign w:val="center"/>
          </w:tcPr>
          <w:p w14:paraId="7EE39395">
            <w:pPr>
              <w:pStyle w:val="58"/>
              <w:bidi w:val="0"/>
              <w:rPr>
                <w:rFonts w:hint="default"/>
                <w:highlight w:val="none"/>
                <w:lang w:val="en-US" w:eastAsia="zh-CN"/>
              </w:rPr>
            </w:pPr>
            <w:r>
              <w:rPr>
                <w:rFonts w:hint="default"/>
                <w:highlight w:val="none"/>
                <w:lang w:val="en-US" w:eastAsia="zh-CN"/>
              </w:rPr>
              <w:t>石油类</w:t>
            </w:r>
          </w:p>
        </w:tc>
        <w:tc>
          <w:tcPr>
            <w:tcW w:w="799" w:type="pct"/>
            <w:tcBorders>
              <w:tl2br w:val="nil"/>
              <w:tr2bl w:val="nil"/>
            </w:tcBorders>
            <w:shd w:val="clear" w:color="auto" w:fill="auto"/>
            <w:vAlign w:val="center"/>
          </w:tcPr>
          <w:p w14:paraId="7B9EE8FF">
            <w:pPr>
              <w:pStyle w:val="58"/>
              <w:bidi w:val="0"/>
              <w:rPr>
                <w:rFonts w:hint="default"/>
                <w:highlight w:val="none"/>
                <w:lang w:val="en-US" w:eastAsia="zh-CN"/>
              </w:rPr>
            </w:pPr>
            <w:r>
              <w:rPr>
                <w:rFonts w:hint="default"/>
                <w:highlight w:val="none"/>
                <w:lang w:val="en-US" w:eastAsia="zh-CN"/>
              </w:rPr>
              <w:t>mg/L</w:t>
            </w:r>
          </w:p>
        </w:tc>
        <w:tc>
          <w:tcPr>
            <w:tcW w:w="685" w:type="pct"/>
            <w:tcBorders>
              <w:tl2br w:val="nil"/>
              <w:tr2bl w:val="nil"/>
            </w:tcBorders>
            <w:shd w:val="clear" w:color="auto" w:fill="auto"/>
            <w:noWrap/>
            <w:vAlign w:val="center"/>
          </w:tcPr>
          <w:p w14:paraId="272D7E80">
            <w:pPr>
              <w:pStyle w:val="58"/>
              <w:bidi w:val="0"/>
              <w:rPr>
                <w:rFonts w:hint="default"/>
                <w:highlight w:val="none"/>
                <w:lang w:val="en-US" w:eastAsia="zh-CN"/>
              </w:rPr>
            </w:pPr>
            <w:r>
              <w:rPr>
                <w:rFonts w:hint="default"/>
                <w:highlight w:val="none"/>
                <w:lang w:val="en-US" w:eastAsia="zh-CN"/>
              </w:rPr>
              <w:t>0.05</w:t>
            </w:r>
          </w:p>
        </w:tc>
        <w:tc>
          <w:tcPr>
            <w:tcW w:w="475" w:type="pct"/>
            <w:tcBorders>
              <w:tl2br w:val="nil"/>
              <w:tr2bl w:val="nil"/>
            </w:tcBorders>
            <w:shd w:val="clear" w:color="auto" w:fill="auto"/>
            <w:noWrap/>
            <w:vAlign w:val="center"/>
          </w:tcPr>
          <w:p w14:paraId="2C3D886E">
            <w:pPr>
              <w:pStyle w:val="58"/>
              <w:bidi w:val="0"/>
              <w:rPr>
                <w:rFonts w:hint="default"/>
                <w:highlight w:val="none"/>
                <w:lang w:val="en-US" w:eastAsia="zh-CN"/>
              </w:rPr>
            </w:pPr>
            <w:r>
              <w:rPr>
                <w:rFonts w:hint="default"/>
                <w:highlight w:val="none"/>
                <w:lang w:val="en-US" w:eastAsia="zh-CN"/>
              </w:rPr>
              <w:t>0.04</w:t>
            </w:r>
          </w:p>
        </w:tc>
        <w:tc>
          <w:tcPr>
            <w:tcW w:w="475" w:type="pct"/>
            <w:tcBorders>
              <w:tl2br w:val="nil"/>
              <w:tr2bl w:val="nil"/>
            </w:tcBorders>
            <w:shd w:val="clear" w:color="auto" w:fill="auto"/>
            <w:noWrap/>
            <w:vAlign w:val="center"/>
          </w:tcPr>
          <w:p w14:paraId="0E753676">
            <w:pPr>
              <w:pStyle w:val="58"/>
              <w:bidi w:val="0"/>
              <w:rPr>
                <w:rFonts w:hint="default"/>
                <w:highlight w:val="none"/>
                <w:lang w:val="en-US" w:eastAsia="zh-CN"/>
              </w:rPr>
            </w:pPr>
            <w:r>
              <w:rPr>
                <w:rFonts w:hint="default"/>
                <w:highlight w:val="none"/>
                <w:lang w:val="en-US" w:eastAsia="zh-CN"/>
              </w:rPr>
              <w:t>0.02</w:t>
            </w:r>
          </w:p>
        </w:tc>
        <w:tc>
          <w:tcPr>
            <w:tcW w:w="536" w:type="pct"/>
            <w:tcBorders>
              <w:tl2br w:val="nil"/>
              <w:tr2bl w:val="nil"/>
            </w:tcBorders>
            <w:shd w:val="clear" w:color="auto" w:fill="auto"/>
            <w:noWrap/>
            <w:vAlign w:val="center"/>
          </w:tcPr>
          <w:p w14:paraId="20A7313D">
            <w:pPr>
              <w:pStyle w:val="58"/>
              <w:bidi w:val="0"/>
              <w:rPr>
                <w:rFonts w:hint="default"/>
                <w:highlight w:val="none"/>
                <w:lang w:val="en-US" w:eastAsia="zh-CN"/>
              </w:rPr>
            </w:pPr>
            <w:r>
              <w:rPr>
                <w:rFonts w:hint="default"/>
                <w:highlight w:val="none"/>
                <w:lang w:val="en-US" w:eastAsia="zh-CN"/>
              </w:rPr>
              <w:t>0.03</w:t>
            </w:r>
          </w:p>
        </w:tc>
        <w:tc>
          <w:tcPr>
            <w:tcW w:w="410" w:type="pct"/>
            <w:tcBorders>
              <w:tl2br w:val="nil"/>
              <w:tr2bl w:val="nil"/>
            </w:tcBorders>
            <w:shd w:val="clear" w:color="auto" w:fill="auto"/>
            <w:noWrap/>
            <w:vAlign w:val="center"/>
          </w:tcPr>
          <w:p w14:paraId="371D785D">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6E576478">
            <w:pPr>
              <w:pStyle w:val="58"/>
              <w:bidi w:val="0"/>
              <w:rPr>
                <w:rFonts w:hint="default"/>
                <w:highlight w:val="none"/>
                <w:lang w:val="en-US" w:eastAsia="zh-CN"/>
              </w:rPr>
            </w:pPr>
            <w:r>
              <w:rPr>
                <w:rFonts w:hint="default"/>
                <w:highlight w:val="none"/>
                <w:lang w:val="en-US" w:eastAsia="zh-CN"/>
              </w:rPr>
              <w:t>0</w:t>
            </w:r>
          </w:p>
        </w:tc>
      </w:tr>
      <w:tr w14:paraId="63EEF02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1AA12B89">
            <w:pPr>
              <w:pStyle w:val="58"/>
              <w:bidi w:val="0"/>
              <w:rPr>
                <w:rFonts w:hint="default"/>
                <w:highlight w:val="none"/>
              </w:rPr>
            </w:pPr>
            <w:r>
              <w:rPr>
                <w:rFonts w:hint="default"/>
                <w:highlight w:val="none"/>
                <w:lang w:val="en-US" w:eastAsia="zh-CN"/>
              </w:rPr>
              <w:t>23</w:t>
            </w:r>
          </w:p>
        </w:tc>
        <w:tc>
          <w:tcPr>
            <w:tcW w:w="800" w:type="pct"/>
            <w:tcBorders>
              <w:tl2br w:val="nil"/>
              <w:tr2bl w:val="nil"/>
            </w:tcBorders>
            <w:shd w:val="clear" w:color="auto" w:fill="auto"/>
            <w:vAlign w:val="center"/>
          </w:tcPr>
          <w:p w14:paraId="18368D6C">
            <w:pPr>
              <w:pStyle w:val="58"/>
              <w:bidi w:val="0"/>
              <w:rPr>
                <w:rFonts w:hint="default"/>
                <w:highlight w:val="none"/>
              </w:rPr>
            </w:pPr>
            <w:r>
              <w:rPr>
                <w:rFonts w:hint="default"/>
                <w:highlight w:val="none"/>
                <w:lang w:val="en-US" w:eastAsia="zh-CN"/>
              </w:rPr>
              <w:t>钠</w:t>
            </w:r>
          </w:p>
        </w:tc>
        <w:tc>
          <w:tcPr>
            <w:tcW w:w="799" w:type="pct"/>
            <w:tcBorders>
              <w:tl2br w:val="nil"/>
              <w:tr2bl w:val="nil"/>
            </w:tcBorders>
            <w:shd w:val="clear" w:color="auto" w:fill="auto"/>
            <w:vAlign w:val="center"/>
          </w:tcPr>
          <w:p w14:paraId="481D3C81">
            <w:pPr>
              <w:pStyle w:val="58"/>
              <w:bidi w:val="0"/>
              <w:rPr>
                <w:rFonts w:hint="default"/>
                <w:highlight w:val="none"/>
                <w:lang w:val="en-US" w:eastAsia="zh-CN"/>
              </w:rPr>
            </w:pPr>
            <w:r>
              <w:rPr>
                <w:rFonts w:hint="default"/>
                <w:highlight w:val="none"/>
                <w:lang w:val="en-US" w:eastAsia="zh-CN"/>
              </w:rPr>
              <w:t>mg/L</w:t>
            </w:r>
          </w:p>
        </w:tc>
        <w:tc>
          <w:tcPr>
            <w:tcW w:w="685" w:type="pct"/>
            <w:tcBorders>
              <w:tl2br w:val="nil"/>
              <w:tr2bl w:val="nil"/>
            </w:tcBorders>
            <w:shd w:val="clear" w:color="auto" w:fill="auto"/>
            <w:noWrap/>
            <w:vAlign w:val="center"/>
          </w:tcPr>
          <w:p w14:paraId="186299AB">
            <w:pPr>
              <w:pStyle w:val="58"/>
              <w:bidi w:val="0"/>
              <w:rPr>
                <w:rFonts w:hint="default"/>
                <w:highlight w:val="none"/>
                <w:lang w:val="en-US" w:eastAsia="zh-CN"/>
              </w:rPr>
            </w:pPr>
            <w:r>
              <w:rPr>
                <w:rFonts w:hint="default"/>
                <w:highlight w:val="none"/>
                <w:lang w:val="en-US" w:eastAsia="zh-CN"/>
              </w:rPr>
              <w:t>200</w:t>
            </w:r>
          </w:p>
        </w:tc>
        <w:tc>
          <w:tcPr>
            <w:tcW w:w="475" w:type="pct"/>
            <w:tcBorders>
              <w:tl2br w:val="nil"/>
              <w:tr2bl w:val="nil"/>
            </w:tcBorders>
            <w:shd w:val="clear" w:color="auto" w:fill="auto"/>
            <w:noWrap/>
            <w:vAlign w:val="center"/>
          </w:tcPr>
          <w:p w14:paraId="040757E9">
            <w:pPr>
              <w:pStyle w:val="58"/>
              <w:bidi w:val="0"/>
              <w:rPr>
                <w:rFonts w:hint="default"/>
                <w:highlight w:val="none"/>
                <w:lang w:val="en-US" w:eastAsia="zh-CN"/>
              </w:rPr>
            </w:pPr>
            <w:r>
              <w:rPr>
                <w:rFonts w:hint="default"/>
                <w:highlight w:val="none"/>
                <w:lang w:val="en-US" w:eastAsia="zh-CN"/>
              </w:rPr>
              <w:t>44</w:t>
            </w:r>
          </w:p>
        </w:tc>
        <w:tc>
          <w:tcPr>
            <w:tcW w:w="475" w:type="pct"/>
            <w:tcBorders>
              <w:tl2br w:val="nil"/>
              <w:tr2bl w:val="nil"/>
            </w:tcBorders>
            <w:shd w:val="clear" w:color="auto" w:fill="auto"/>
            <w:noWrap/>
            <w:vAlign w:val="center"/>
          </w:tcPr>
          <w:p w14:paraId="0266C5CD">
            <w:pPr>
              <w:pStyle w:val="58"/>
              <w:bidi w:val="0"/>
              <w:rPr>
                <w:rFonts w:hint="default"/>
                <w:highlight w:val="none"/>
                <w:lang w:val="en-US" w:eastAsia="zh-CN"/>
              </w:rPr>
            </w:pPr>
            <w:r>
              <w:rPr>
                <w:rFonts w:hint="default"/>
                <w:highlight w:val="none"/>
                <w:lang w:val="en-US" w:eastAsia="zh-CN"/>
              </w:rPr>
              <w:t>12</w:t>
            </w:r>
          </w:p>
        </w:tc>
        <w:tc>
          <w:tcPr>
            <w:tcW w:w="536" w:type="pct"/>
            <w:tcBorders>
              <w:tl2br w:val="nil"/>
              <w:tr2bl w:val="nil"/>
            </w:tcBorders>
            <w:shd w:val="clear" w:color="auto" w:fill="auto"/>
            <w:noWrap/>
            <w:vAlign w:val="center"/>
          </w:tcPr>
          <w:p w14:paraId="7D2AB332">
            <w:pPr>
              <w:pStyle w:val="58"/>
              <w:bidi w:val="0"/>
              <w:rPr>
                <w:rFonts w:hint="default"/>
                <w:highlight w:val="none"/>
                <w:lang w:val="en-US" w:eastAsia="zh-CN"/>
              </w:rPr>
            </w:pPr>
            <w:r>
              <w:rPr>
                <w:rFonts w:hint="default"/>
                <w:highlight w:val="none"/>
                <w:lang w:val="en-US" w:eastAsia="zh-CN"/>
              </w:rPr>
              <w:t>20</w:t>
            </w:r>
          </w:p>
        </w:tc>
        <w:tc>
          <w:tcPr>
            <w:tcW w:w="410" w:type="pct"/>
            <w:tcBorders>
              <w:tl2br w:val="nil"/>
              <w:tr2bl w:val="nil"/>
            </w:tcBorders>
            <w:shd w:val="clear" w:color="auto" w:fill="auto"/>
            <w:noWrap/>
            <w:vAlign w:val="center"/>
          </w:tcPr>
          <w:p w14:paraId="7F6A72FD">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5F39D30A">
            <w:pPr>
              <w:pStyle w:val="58"/>
              <w:bidi w:val="0"/>
              <w:rPr>
                <w:rFonts w:hint="default"/>
                <w:highlight w:val="none"/>
                <w:lang w:val="en-US" w:eastAsia="zh-CN"/>
              </w:rPr>
            </w:pPr>
            <w:r>
              <w:rPr>
                <w:rFonts w:hint="default"/>
                <w:highlight w:val="none"/>
                <w:lang w:val="en-US" w:eastAsia="zh-CN"/>
              </w:rPr>
              <w:t>0</w:t>
            </w:r>
          </w:p>
        </w:tc>
      </w:tr>
      <w:tr w14:paraId="60C25A8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0BE5A08B">
            <w:pPr>
              <w:pStyle w:val="58"/>
              <w:bidi w:val="0"/>
              <w:rPr>
                <w:rFonts w:hint="default"/>
                <w:highlight w:val="none"/>
              </w:rPr>
            </w:pPr>
            <w:r>
              <w:rPr>
                <w:rFonts w:hint="default"/>
                <w:highlight w:val="none"/>
                <w:lang w:val="en-US" w:eastAsia="zh-CN"/>
              </w:rPr>
              <w:t>24</w:t>
            </w:r>
          </w:p>
        </w:tc>
        <w:tc>
          <w:tcPr>
            <w:tcW w:w="800" w:type="pct"/>
            <w:tcBorders>
              <w:tl2br w:val="nil"/>
              <w:tr2bl w:val="nil"/>
            </w:tcBorders>
            <w:shd w:val="clear" w:color="auto" w:fill="auto"/>
            <w:vAlign w:val="center"/>
          </w:tcPr>
          <w:p w14:paraId="2A7B369C">
            <w:pPr>
              <w:pStyle w:val="58"/>
              <w:bidi w:val="0"/>
              <w:rPr>
                <w:rFonts w:hint="default"/>
                <w:highlight w:val="none"/>
              </w:rPr>
            </w:pPr>
            <w:r>
              <w:rPr>
                <w:rFonts w:hint="default"/>
                <w:highlight w:val="none"/>
                <w:lang w:val="en-US" w:eastAsia="zh-CN"/>
              </w:rPr>
              <w:t>钾</w:t>
            </w:r>
          </w:p>
        </w:tc>
        <w:tc>
          <w:tcPr>
            <w:tcW w:w="799" w:type="pct"/>
            <w:tcBorders>
              <w:tl2br w:val="nil"/>
              <w:tr2bl w:val="nil"/>
            </w:tcBorders>
            <w:shd w:val="clear" w:color="auto" w:fill="auto"/>
            <w:vAlign w:val="center"/>
          </w:tcPr>
          <w:p w14:paraId="6BD17CA8">
            <w:pPr>
              <w:pStyle w:val="58"/>
              <w:bidi w:val="0"/>
              <w:rPr>
                <w:rFonts w:hint="default"/>
                <w:highlight w:val="none"/>
                <w:lang w:val="en-US" w:eastAsia="zh-CN"/>
              </w:rPr>
            </w:pPr>
            <w:r>
              <w:rPr>
                <w:rFonts w:hint="default"/>
                <w:highlight w:val="none"/>
                <w:lang w:val="en-US" w:eastAsia="zh-CN"/>
              </w:rPr>
              <w:t>mg/L</w:t>
            </w:r>
          </w:p>
        </w:tc>
        <w:tc>
          <w:tcPr>
            <w:tcW w:w="685" w:type="pct"/>
            <w:tcBorders>
              <w:tl2br w:val="nil"/>
              <w:tr2bl w:val="nil"/>
            </w:tcBorders>
            <w:shd w:val="clear" w:color="auto" w:fill="auto"/>
            <w:noWrap/>
            <w:vAlign w:val="center"/>
          </w:tcPr>
          <w:p w14:paraId="55AB21F3">
            <w:pPr>
              <w:pStyle w:val="58"/>
              <w:bidi w:val="0"/>
              <w:rPr>
                <w:rFonts w:hint="default"/>
                <w:highlight w:val="none"/>
                <w:lang w:val="en-US" w:eastAsia="zh-CN"/>
              </w:rPr>
            </w:pPr>
            <w:r>
              <w:rPr>
                <w:rFonts w:hint="default"/>
                <w:highlight w:val="none"/>
                <w:lang w:val="en-US" w:eastAsia="zh-CN"/>
              </w:rPr>
              <w:t>/</w:t>
            </w:r>
          </w:p>
        </w:tc>
        <w:tc>
          <w:tcPr>
            <w:tcW w:w="475" w:type="pct"/>
            <w:tcBorders>
              <w:tl2br w:val="nil"/>
              <w:tr2bl w:val="nil"/>
            </w:tcBorders>
            <w:shd w:val="clear" w:color="auto" w:fill="auto"/>
            <w:noWrap/>
            <w:vAlign w:val="center"/>
          </w:tcPr>
          <w:p w14:paraId="5A18E1E1">
            <w:pPr>
              <w:pStyle w:val="58"/>
              <w:bidi w:val="0"/>
              <w:rPr>
                <w:rFonts w:hint="default"/>
                <w:highlight w:val="none"/>
                <w:lang w:val="en-US" w:eastAsia="zh-CN"/>
              </w:rPr>
            </w:pPr>
            <w:r>
              <w:rPr>
                <w:rFonts w:hint="default"/>
                <w:highlight w:val="none"/>
                <w:lang w:val="en-US" w:eastAsia="zh-CN"/>
              </w:rPr>
              <w:t>151</w:t>
            </w:r>
          </w:p>
        </w:tc>
        <w:tc>
          <w:tcPr>
            <w:tcW w:w="475" w:type="pct"/>
            <w:tcBorders>
              <w:tl2br w:val="nil"/>
              <w:tr2bl w:val="nil"/>
            </w:tcBorders>
            <w:shd w:val="clear" w:color="auto" w:fill="auto"/>
            <w:noWrap/>
            <w:vAlign w:val="center"/>
          </w:tcPr>
          <w:p w14:paraId="160BCE4C">
            <w:pPr>
              <w:pStyle w:val="58"/>
              <w:bidi w:val="0"/>
              <w:rPr>
                <w:rFonts w:hint="default"/>
                <w:highlight w:val="none"/>
                <w:lang w:val="en-US" w:eastAsia="zh-CN"/>
              </w:rPr>
            </w:pPr>
            <w:r>
              <w:rPr>
                <w:rFonts w:hint="default"/>
                <w:highlight w:val="none"/>
                <w:lang w:val="en-US" w:eastAsia="zh-CN"/>
              </w:rPr>
              <w:t>61.8</w:t>
            </w:r>
          </w:p>
        </w:tc>
        <w:tc>
          <w:tcPr>
            <w:tcW w:w="536" w:type="pct"/>
            <w:tcBorders>
              <w:tl2br w:val="nil"/>
              <w:tr2bl w:val="nil"/>
            </w:tcBorders>
            <w:shd w:val="clear" w:color="auto" w:fill="auto"/>
            <w:noWrap/>
            <w:vAlign w:val="center"/>
          </w:tcPr>
          <w:p w14:paraId="1EE25048">
            <w:pPr>
              <w:pStyle w:val="58"/>
              <w:bidi w:val="0"/>
              <w:rPr>
                <w:rFonts w:hint="default"/>
                <w:highlight w:val="none"/>
                <w:lang w:val="en-US" w:eastAsia="zh-CN"/>
              </w:rPr>
            </w:pPr>
            <w:r>
              <w:rPr>
                <w:rFonts w:hint="default"/>
                <w:highlight w:val="none"/>
                <w:lang w:val="en-US" w:eastAsia="zh-CN"/>
              </w:rPr>
              <w:t>81.3</w:t>
            </w:r>
          </w:p>
        </w:tc>
        <w:tc>
          <w:tcPr>
            <w:tcW w:w="410" w:type="pct"/>
            <w:tcBorders>
              <w:tl2br w:val="nil"/>
              <w:tr2bl w:val="nil"/>
            </w:tcBorders>
            <w:shd w:val="clear" w:color="auto" w:fill="auto"/>
            <w:noWrap/>
            <w:vAlign w:val="center"/>
          </w:tcPr>
          <w:p w14:paraId="6B809CD2">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69E07D83">
            <w:pPr>
              <w:pStyle w:val="58"/>
              <w:bidi w:val="0"/>
              <w:rPr>
                <w:rFonts w:hint="default"/>
                <w:highlight w:val="none"/>
                <w:lang w:val="en-US" w:eastAsia="zh-CN"/>
              </w:rPr>
            </w:pPr>
            <w:r>
              <w:rPr>
                <w:rFonts w:hint="default"/>
                <w:highlight w:val="none"/>
                <w:lang w:val="en-US" w:eastAsia="zh-CN"/>
              </w:rPr>
              <w:t>/</w:t>
            </w:r>
          </w:p>
        </w:tc>
      </w:tr>
      <w:tr w14:paraId="1E2C834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09A048FE">
            <w:pPr>
              <w:pStyle w:val="58"/>
              <w:bidi w:val="0"/>
              <w:rPr>
                <w:rFonts w:hint="default"/>
                <w:highlight w:val="none"/>
              </w:rPr>
            </w:pPr>
            <w:r>
              <w:rPr>
                <w:rFonts w:hint="default"/>
                <w:highlight w:val="none"/>
                <w:lang w:val="en-US" w:eastAsia="zh-CN"/>
              </w:rPr>
              <w:t>25</w:t>
            </w:r>
          </w:p>
        </w:tc>
        <w:tc>
          <w:tcPr>
            <w:tcW w:w="800" w:type="pct"/>
            <w:tcBorders>
              <w:tl2br w:val="nil"/>
              <w:tr2bl w:val="nil"/>
            </w:tcBorders>
            <w:shd w:val="clear" w:color="auto" w:fill="auto"/>
            <w:vAlign w:val="center"/>
          </w:tcPr>
          <w:p w14:paraId="393C1FCB">
            <w:pPr>
              <w:pStyle w:val="58"/>
              <w:bidi w:val="0"/>
              <w:rPr>
                <w:rFonts w:hint="default"/>
                <w:highlight w:val="none"/>
              </w:rPr>
            </w:pPr>
            <w:r>
              <w:rPr>
                <w:rFonts w:hint="default"/>
                <w:highlight w:val="none"/>
                <w:lang w:val="en-US" w:eastAsia="zh-CN"/>
              </w:rPr>
              <w:t>钙</w:t>
            </w:r>
          </w:p>
        </w:tc>
        <w:tc>
          <w:tcPr>
            <w:tcW w:w="799" w:type="pct"/>
            <w:tcBorders>
              <w:tl2br w:val="nil"/>
              <w:tr2bl w:val="nil"/>
            </w:tcBorders>
            <w:shd w:val="clear" w:color="auto" w:fill="auto"/>
            <w:vAlign w:val="center"/>
          </w:tcPr>
          <w:p w14:paraId="03270A9A">
            <w:pPr>
              <w:pStyle w:val="58"/>
              <w:bidi w:val="0"/>
              <w:rPr>
                <w:rFonts w:hint="default"/>
                <w:highlight w:val="none"/>
                <w:lang w:val="en-US" w:eastAsia="zh-CN"/>
              </w:rPr>
            </w:pPr>
            <w:r>
              <w:rPr>
                <w:rFonts w:hint="default"/>
                <w:highlight w:val="none"/>
                <w:lang w:val="en-US" w:eastAsia="zh-CN"/>
              </w:rPr>
              <w:t>mg/L</w:t>
            </w:r>
          </w:p>
        </w:tc>
        <w:tc>
          <w:tcPr>
            <w:tcW w:w="685" w:type="pct"/>
            <w:tcBorders>
              <w:tl2br w:val="nil"/>
              <w:tr2bl w:val="nil"/>
            </w:tcBorders>
            <w:shd w:val="clear" w:color="auto" w:fill="auto"/>
            <w:noWrap/>
            <w:vAlign w:val="center"/>
          </w:tcPr>
          <w:p w14:paraId="4308D067">
            <w:pPr>
              <w:pStyle w:val="58"/>
              <w:bidi w:val="0"/>
              <w:rPr>
                <w:rFonts w:hint="default"/>
                <w:highlight w:val="none"/>
                <w:lang w:val="en-US" w:eastAsia="zh-CN"/>
              </w:rPr>
            </w:pPr>
            <w:r>
              <w:rPr>
                <w:rFonts w:hint="default"/>
                <w:highlight w:val="none"/>
                <w:lang w:val="en-US" w:eastAsia="zh-CN"/>
              </w:rPr>
              <w:t>/</w:t>
            </w:r>
          </w:p>
        </w:tc>
        <w:tc>
          <w:tcPr>
            <w:tcW w:w="475" w:type="pct"/>
            <w:tcBorders>
              <w:tl2br w:val="nil"/>
              <w:tr2bl w:val="nil"/>
            </w:tcBorders>
            <w:shd w:val="clear" w:color="auto" w:fill="auto"/>
            <w:noWrap/>
            <w:vAlign w:val="center"/>
          </w:tcPr>
          <w:p w14:paraId="72D2F709">
            <w:pPr>
              <w:pStyle w:val="58"/>
              <w:bidi w:val="0"/>
              <w:rPr>
                <w:rFonts w:hint="default"/>
                <w:highlight w:val="none"/>
                <w:lang w:val="en-US" w:eastAsia="zh-CN"/>
              </w:rPr>
            </w:pPr>
            <w:r>
              <w:rPr>
                <w:rFonts w:hint="default"/>
                <w:highlight w:val="none"/>
                <w:lang w:val="en-US" w:eastAsia="zh-CN"/>
              </w:rPr>
              <w:t>254</w:t>
            </w:r>
          </w:p>
        </w:tc>
        <w:tc>
          <w:tcPr>
            <w:tcW w:w="475" w:type="pct"/>
            <w:tcBorders>
              <w:tl2br w:val="nil"/>
              <w:tr2bl w:val="nil"/>
            </w:tcBorders>
            <w:shd w:val="clear" w:color="auto" w:fill="auto"/>
            <w:noWrap/>
            <w:vAlign w:val="center"/>
          </w:tcPr>
          <w:p w14:paraId="772A5122">
            <w:pPr>
              <w:pStyle w:val="58"/>
              <w:bidi w:val="0"/>
              <w:rPr>
                <w:rFonts w:hint="default"/>
                <w:highlight w:val="none"/>
                <w:lang w:val="en-US" w:eastAsia="zh-CN"/>
              </w:rPr>
            </w:pPr>
            <w:r>
              <w:rPr>
                <w:rFonts w:hint="default"/>
                <w:highlight w:val="none"/>
                <w:lang w:val="en-US" w:eastAsia="zh-CN"/>
              </w:rPr>
              <w:t>68.8</w:t>
            </w:r>
          </w:p>
        </w:tc>
        <w:tc>
          <w:tcPr>
            <w:tcW w:w="536" w:type="pct"/>
            <w:tcBorders>
              <w:tl2br w:val="nil"/>
              <w:tr2bl w:val="nil"/>
            </w:tcBorders>
            <w:shd w:val="clear" w:color="auto" w:fill="auto"/>
            <w:noWrap/>
            <w:vAlign w:val="center"/>
          </w:tcPr>
          <w:p w14:paraId="5AD3069E">
            <w:pPr>
              <w:pStyle w:val="58"/>
              <w:bidi w:val="0"/>
              <w:rPr>
                <w:rFonts w:hint="default"/>
                <w:highlight w:val="none"/>
                <w:lang w:val="en-US" w:eastAsia="zh-CN"/>
              </w:rPr>
            </w:pPr>
            <w:r>
              <w:rPr>
                <w:rFonts w:hint="default"/>
                <w:highlight w:val="none"/>
                <w:lang w:val="en-US" w:eastAsia="zh-CN"/>
              </w:rPr>
              <w:t>156.3</w:t>
            </w:r>
          </w:p>
        </w:tc>
        <w:tc>
          <w:tcPr>
            <w:tcW w:w="410" w:type="pct"/>
            <w:tcBorders>
              <w:tl2br w:val="nil"/>
              <w:tr2bl w:val="nil"/>
            </w:tcBorders>
            <w:shd w:val="clear" w:color="auto" w:fill="auto"/>
            <w:noWrap/>
            <w:vAlign w:val="center"/>
          </w:tcPr>
          <w:p w14:paraId="41E96C81">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472E764E">
            <w:pPr>
              <w:pStyle w:val="58"/>
              <w:bidi w:val="0"/>
              <w:rPr>
                <w:rFonts w:hint="default"/>
                <w:highlight w:val="none"/>
                <w:lang w:val="en-US" w:eastAsia="zh-CN"/>
              </w:rPr>
            </w:pPr>
            <w:r>
              <w:rPr>
                <w:rFonts w:hint="default"/>
                <w:highlight w:val="none"/>
                <w:lang w:val="en-US" w:eastAsia="zh-CN"/>
              </w:rPr>
              <w:t>/</w:t>
            </w:r>
          </w:p>
        </w:tc>
      </w:tr>
      <w:tr w14:paraId="47AFE2E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2F516BD6">
            <w:pPr>
              <w:pStyle w:val="58"/>
              <w:bidi w:val="0"/>
              <w:rPr>
                <w:rFonts w:hint="default"/>
                <w:highlight w:val="none"/>
              </w:rPr>
            </w:pPr>
            <w:r>
              <w:rPr>
                <w:rFonts w:hint="default"/>
                <w:highlight w:val="none"/>
                <w:lang w:val="en-US" w:eastAsia="zh-CN"/>
              </w:rPr>
              <w:t>26</w:t>
            </w:r>
          </w:p>
        </w:tc>
        <w:tc>
          <w:tcPr>
            <w:tcW w:w="800" w:type="pct"/>
            <w:tcBorders>
              <w:tl2br w:val="nil"/>
              <w:tr2bl w:val="nil"/>
            </w:tcBorders>
            <w:shd w:val="clear" w:color="auto" w:fill="auto"/>
            <w:vAlign w:val="center"/>
          </w:tcPr>
          <w:p w14:paraId="5DDD4344">
            <w:pPr>
              <w:pStyle w:val="58"/>
              <w:bidi w:val="0"/>
              <w:rPr>
                <w:rFonts w:hint="default"/>
                <w:highlight w:val="none"/>
              </w:rPr>
            </w:pPr>
            <w:r>
              <w:rPr>
                <w:rFonts w:hint="default"/>
                <w:highlight w:val="none"/>
                <w:lang w:val="en-US" w:eastAsia="zh-CN"/>
              </w:rPr>
              <w:t>镁</w:t>
            </w:r>
          </w:p>
        </w:tc>
        <w:tc>
          <w:tcPr>
            <w:tcW w:w="799" w:type="pct"/>
            <w:tcBorders>
              <w:tl2br w:val="nil"/>
              <w:tr2bl w:val="nil"/>
            </w:tcBorders>
            <w:shd w:val="clear" w:color="auto" w:fill="auto"/>
            <w:vAlign w:val="center"/>
          </w:tcPr>
          <w:p w14:paraId="056AD0A4">
            <w:pPr>
              <w:pStyle w:val="58"/>
              <w:bidi w:val="0"/>
              <w:rPr>
                <w:rFonts w:hint="default"/>
                <w:highlight w:val="none"/>
                <w:lang w:val="en-US" w:eastAsia="zh-CN"/>
              </w:rPr>
            </w:pPr>
            <w:r>
              <w:rPr>
                <w:rFonts w:hint="default"/>
                <w:highlight w:val="none"/>
                <w:lang w:val="en-US" w:eastAsia="zh-CN"/>
              </w:rPr>
              <w:t>mg/L</w:t>
            </w:r>
          </w:p>
        </w:tc>
        <w:tc>
          <w:tcPr>
            <w:tcW w:w="685" w:type="pct"/>
            <w:tcBorders>
              <w:tl2br w:val="nil"/>
              <w:tr2bl w:val="nil"/>
            </w:tcBorders>
            <w:shd w:val="clear" w:color="auto" w:fill="auto"/>
            <w:noWrap/>
            <w:vAlign w:val="center"/>
          </w:tcPr>
          <w:p w14:paraId="079FAA84">
            <w:pPr>
              <w:pStyle w:val="58"/>
              <w:bidi w:val="0"/>
              <w:rPr>
                <w:rFonts w:hint="default"/>
                <w:highlight w:val="none"/>
                <w:lang w:val="en-US" w:eastAsia="zh-CN"/>
              </w:rPr>
            </w:pPr>
            <w:r>
              <w:rPr>
                <w:rFonts w:hint="default"/>
                <w:highlight w:val="none"/>
                <w:lang w:val="en-US" w:eastAsia="zh-CN"/>
              </w:rPr>
              <w:t>/</w:t>
            </w:r>
          </w:p>
        </w:tc>
        <w:tc>
          <w:tcPr>
            <w:tcW w:w="475" w:type="pct"/>
            <w:tcBorders>
              <w:tl2br w:val="nil"/>
              <w:tr2bl w:val="nil"/>
            </w:tcBorders>
            <w:shd w:val="clear" w:color="auto" w:fill="auto"/>
            <w:noWrap/>
            <w:vAlign w:val="center"/>
          </w:tcPr>
          <w:p w14:paraId="67AACF6F">
            <w:pPr>
              <w:pStyle w:val="58"/>
              <w:bidi w:val="0"/>
              <w:rPr>
                <w:rFonts w:hint="default"/>
                <w:highlight w:val="none"/>
                <w:lang w:val="en-US" w:eastAsia="zh-CN"/>
              </w:rPr>
            </w:pPr>
            <w:r>
              <w:rPr>
                <w:rFonts w:hint="default"/>
                <w:highlight w:val="none"/>
                <w:lang w:val="en-US" w:eastAsia="zh-CN"/>
              </w:rPr>
              <w:t>305</w:t>
            </w:r>
          </w:p>
        </w:tc>
        <w:tc>
          <w:tcPr>
            <w:tcW w:w="475" w:type="pct"/>
            <w:tcBorders>
              <w:tl2br w:val="nil"/>
              <w:tr2bl w:val="nil"/>
            </w:tcBorders>
            <w:shd w:val="clear" w:color="auto" w:fill="auto"/>
            <w:noWrap/>
            <w:vAlign w:val="center"/>
          </w:tcPr>
          <w:p w14:paraId="06A5C377">
            <w:pPr>
              <w:pStyle w:val="58"/>
              <w:bidi w:val="0"/>
              <w:rPr>
                <w:rFonts w:hint="default"/>
                <w:highlight w:val="none"/>
                <w:lang w:val="en-US" w:eastAsia="zh-CN"/>
              </w:rPr>
            </w:pPr>
            <w:r>
              <w:rPr>
                <w:rFonts w:hint="default"/>
                <w:highlight w:val="none"/>
                <w:lang w:val="en-US" w:eastAsia="zh-CN"/>
              </w:rPr>
              <w:t>78.3</w:t>
            </w:r>
          </w:p>
        </w:tc>
        <w:tc>
          <w:tcPr>
            <w:tcW w:w="536" w:type="pct"/>
            <w:tcBorders>
              <w:tl2br w:val="nil"/>
              <w:tr2bl w:val="nil"/>
            </w:tcBorders>
            <w:shd w:val="clear" w:color="auto" w:fill="auto"/>
            <w:noWrap/>
            <w:vAlign w:val="center"/>
          </w:tcPr>
          <w:p w14:paraId="6DBEF24E">
            <w:pPr>
              <w:pStyle w:val="58"/>
              <w:bidi w:val="0"/>
              <w:rPr>
                <w:rFonts w:hint="default"/>
                <w:highlight w:val="none"/>
                <w:lang w:val="en-US" w:eastAsia="zh-CN"/>
              </w:rPr>
            </w:pPr>
            <w:r>
              <w:rPr>
                <w:rFonts w:hint="default"/>
                <w:highlight w:val="none"/>
                <w:lang w:val="en-US" w:eastAsia="zh-CN"/>
              </w:rPr>
              <w:t>244.37</w:t>
            </w:r>
          </w:p>
        </w:tc>
        <w:tc>
          <w:tcPr>
            <w:tcW w:w="410" w:type="pct"/>
            <w:tcBorders>
              <w:tl2br w:val="nil"/>
              <w:tr2bl w:val="nil"/>
            </w:tcBorders>
            <w:shd w:val="clear" w:color="auto" w:fill="auto"/>
            <w:noWrap/>
            <w:vAlign w:val="center"/>
          </w:tcPr>
          <w:p w14:paraId="1CA422B5">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1AE03A27">
            <w:pPr>
              <w:pStyle w:val="58"/>
              <w:bidi w:val="0"/>
              <w:rPr>
                <w:rFonts w:hint="default"/>
                <w:highlight w:val="none"/>
                <w:lang w:val="en-US" w:eastAsia="zh-CN"/>
              </w:rPr>
            </w:pPr>
            <w:r>
              <w:rPr>
                <w:rFonts w:hint="default"/>
                <w:highlight w:val="none"/>
                <w:lang w:val="en-US" w:eastAsia="zh-CN"/>
              </w:rPr>
              <w:t>/</w:t>
            </w:r>
          </w:p>
        </w:tc>
      </w:tr>
      <w:tr w14:paraId="6D438C5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00569EE3">
            <w:pPr>
              <w:pStyle w:val="58"/>
              <w:bidi w:val="0"/>
              <w:rPr>
                <w:rFonts w:hint="default"/>
                <w:highlight w:val="none"/>
              </w:rPr>
            </w:pPr>
            <w:r>
              <w:rPr>
                <w:rFonts w:hint="default"/>
                <w:highlight w:val="none"/>
                <w:lang w:val="en-US" w:eastAsia="zh-CN"/>
              </w:rPr>
              <w:t>27</w:t>
            </w:r>
          </w:p>
        </w:tc>
        <w:tc>
          <w:tcPr>
            <w:tcW w:w="800" w:type="pct"/>
            <w:tcBorders>
              <w:tl2br w:val="nil"/>
              <w:tr2bl w:val="nil"/>
            </w:tcBorders>
            <w:shd w:val="clear" w:color="auto" w:fill="auto"/>
            <w:vAlign w:val="center"/>
          </w:tcPr>
          <w:p w14:paraId="7CE786B5">
            <w:pPr>
              <w:pStyle w:val="58"/>
              <w:bidi w:val="0"/>
              <w:rPr>
                <w:rFonts w:hint="default"/>
                <w:highlight w:val="none"/>
              </w:rPr>
            </w:pPr>
            <w:r>
              <w:rPr>
                <w:rFonts w:hint="default"/>
                <w:highlight w:val="none"/>
                <w:lang w:val="en-US" w:eastAsia="zh-CN"/>
              </w:rPr>
              <w:t>碳酸根</w:t>
            </w:r>
          </w:p>
        </w:tc>
        <w:tc>
          <w:tcPr>
            <w:tcW w:w="799" w:type="pct"/>
            <w:tcBorders>
              <w:tl2br w:val="nil"/>
              <w:tr2bl w:val="nil"/>
            </w:tcBorders>
            <w:shd w:val="clear" w:color="auto" w:fill="auto"/>
            <w:vAlign w:val="center"/>
          </w:tcPr>
          <w:p w14:paraId="7FF66D53">
            <w:pPr>
              <w:pStyle w:val="58"/>
              <w:bidi w:val="0"/>
              <w:rPr>
                <w:rFonts w:hint="default"/>
                <w:highlight w:val="none"/>
                <w:lang w:val="en-US" w:eastAsia="zh-CN"/>
              </w:rPr>
            </w:pPr>
            <w:r>
              <w:rPr>
                <w:rFonts w:hint="default"/>
                <w:highlight w:val="none"/>
                <w:lang w:val="en-US" w:eastAsia="zh-CN"/>
              </w:rPr>
              <w:t>mg/L</w:t>
            </w:r>
          </w:p>
        </w:tc>
        <w:tc>
          <w:tcPr>
            <w:tcW w:w="685" w:type="pct"/>
            <w:tcBorders>
              <w:tl2br w:val="nil"/>
              <w:tr2bl w:val="nil"/>
            </w:tcBorders>
            <w:shd w:val="clear" w:color="auto" w:fill="auto"/>
            <w:noWrap/>
            <w:vAlign w:val="center"/>
          </w:tcPr>
          <w:p w14:paraId="736B6E4F">
            <w:pPr>
              <w:pStyle w:val="58"/>
              <w:bidi w:val="0"/>
              <w:rPr>
                <w:rFonts w:hint="default"/>
                <w:highlight w:val="none"/>
                <w:lang w:val="en-US" w:eastAsia="zh-CN"/>
              </w:rPr>
            </w:pPr>
            <w:r>
              <w:rPr>
                <w:rFonts w:hint="default"/>
                <w:highlight w:val="none"/>
                <w:lang w:val="en-US" w:eastAsia="zh-CN"/>
              </w:rPr>
              <w:t>/</w:t>
            </w:r>
          </w:p>
        </w:tc>
        <w:tc>
          <w:tcPr>
            <w:tcW w:w="475" w:type="pct"/>
            <w:tcBorders>
              <w:tl2br w:val="nil"/>
              <w:tr2bl w:val="nil"/>
            </w:tcBorders>
            <w:shd w:val="clear" w:color="auto" w:fill="auto"/>
            <w:noWrap/>
            <w:vAlign w:val="center"/>
          </w:tcPr>
          <w:p w14:paraId="7FA7A108">
            <w:pPr>
              <w:pStyle w:val="58"/>
              <w:bidi w:val="0"/>
              <w:rPr>
                <w:rFonts w:hint="default"/>
                <w:highlight w:val="none"/>
                <w:lang w:val="en-US" w:eastAsia="zh-CN"/>
              </w:rPr>
            </w:pPr>
            <w:r>
              <w:rPr>
                <w:rFonts w:hint="default"/>
                <w:highlight w:val="none"/>
                <w:lang w:val="en-US" w:eastAsia="zh-CN"/>
              </w:rPr>
              <w:t>ND</w:t>
            </w:r>
          </w:p>
        </w:tc>
        <w:tc>
          <w:tcPr>
            <w:tcW w:w="475" w:type="pct"/>
            <w:tcBorders>
              <w:tl2br w:val="nil"/>
              <w:tr2bl w:val="nil"/>
            </w:tcBorders>
            <w:shd w:val="clear" w:color="auto" w:fill="auto"/>
            <w:noWrap/>
            <w:vAlign w:val="center"/>
          </w:tcPr>
          <w:p w14:paraId="166E3545">
            <w:pPr>
              <w:pStyle w:val="58"/>
              <w:bidi w:val="0"/>
              <w:rPr>
                <w:rFonts w:hint="default"/>
                <w:highlight w:val="none"/>
                <w:lang w:val="en-US" w:eastAsia="zh-CN"/>
              </w:rPr>
            </w:pPr>
            <w:r>
              <w:rPr>
                <w:rFonts w:hint="default"/>
                <w:highlight w:val="none"/>
                <w:lang w:val="en-US" w:eastAsia="zh-CN"/>
              </w:rPr>
              <w:t>ND</w:t>
            </w:r>
          </w:p>
        </w:tc>
        <w:tc>
          <w:tcPr>
            <w:tcW w:w="536" w:type="pct"/>
            <w:tcBorders>
              <w:tl2br w:val="nil"/>
              <w:tr2bl w:val="nil"/>
            </w:tcBorders>
            <w:shd w:val="clear" w:color="auto" w:fill="auto"/>
            <w:noWrap/>
            <w:vAlign w:val="center"/>
          </w:tcPr>
          <w:p w14:paraId="01D3FBF4">
            <w:pPr>
              <w:pStyle w:val="58"/>
              <w:bidi w:val="0"/>
              <w:rPr>
                <w:rFonts w:hint="default"/>
                <w:highlight w:val="none"/>
                <w:lang w:val="en-US" w:eastAsia="zh-CN"/>
              </w:rPr>
            </w:pPr>
            <w:r>
              <w:rPr>
                <w:rFonts w:hint="default"/>
                <w:highlight w:val="none"/>
                <w:lang w:val="en-US" w:eastAsia="zh-CN"/>
              </w:rPr>
              <w:t>ND</w:t>
            </w:r>
          </w:p>
        </w:tc>
        <w:tc>
          <w:tcPr>
            <w:tcW w:w="410" w:type="pct"/>
            <w:tcBorders>
              <w:tl2br w:val="nil"/>
              <w:tr2bl w:val="nil"/>
            </w:tcBorders>
            <w:shd w:val="clear" w:color="auto" w:fill="auto"/>
            <w:noWrap/>
            <w:vAlign w:val="center"/>
          </w:tcPr>
          <w:p w14:paraId="1F5B7CB3">
            <w:pPr>
              <w:pStyle w:val="58"/>
              <w:bidi w:val="0"/>
              <w:rPr>
                <w:rFonts w:hint="default"/>
                <w:highlight w:val="none"/>
                <w:lang w:val="en-US" w:eastAsia="zh-CN"/>
              </w:rPr>
            </w:pPr>
            <w:r>
              <w:rPr>
                <w:rFonts w:hint="default"/>
                <w:highlight w:val="none"/>
                <w:lang w:val="en-US" w:eastAsia="zh-CN"/>
              </w:rPr>
              <w:t>0</w:t>
            </w:r>
          </w:p>
        </w:tc>
        <w:tc>
          <w:tcPr>
            <w:tcW w:w="410" w:type="pct"/>
            <w:tcBorders>
              <w:tl2br w:val="nil"/>
              <w:tr2bl w:val="nil"/>
            </w:tcBorders>
            <w:shd w:val="clear" w:color="auto" w:fill="auto"/>
            <w:noWrap/>
            <w:vAlign w:val="center"/>
          </w:tcPr>
          <w:p w14:paraId="2165BE8A">
            <w:pPr>
              <w:pStyle w:val="58"/>
              <w:bidi w:val="0"/>
              <w:rPr>
                <w:rFonts w:hint="default"/>
                <w:highlight w:val="none"/>
                <w:lang w:val="en-US" w:eastAsia="zh-CN"/>
              </w:rPr>
            </w:pPr>
            <w:r>
              <w:rPr>
                <w:rFonts w:hint="default"/>
                <w:highlight w:val="none"/>
                <w:lang w:val="en-US" w:eastAsia="zh-CN"/>
              </w:rPr>
              <w:t>/</w:t>
            </w:r>
          </w:p>
        </w:tc>
      </w:tr>
      <w:tr w14:paraId="040CD5E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06" w:type="pct"/>
            <w:tcBorders>
              <w:tl2br w:val="nil"/>
              <w:tr2bl w:val="nil"/>
            </w:tcBorders>
            <w:shd w:val="clear" w:color="auto" w:fill="auto"/>
            <w:vAlign w:val="center"/>
          </w:tcPr>
          <w:p w14:paraId="49314EB4">
            <w:pPr>
              <w:pStyle w:val="58"/>
              <w:bidi w:val="0"/>
              <w:rPr>
                <w:rFonts w:hint="default"/>
                <w:highlight w:val="none"/>
              </w:rPr>
            </w:pPr>
            <w:r>
              <w:rPr>
                <w:rFonts w:hint="default"/>
                <w:highlight w:val="none"/>
                <w:lang w:val="en-US" w:eastAsia="zh-CN"/>
              </w:rPr>
              <w:t>28</w:t>
            </w:r>
          </w:p>
        </w:tc>
        <w:tc>
          <w:tcPr>
            <w:tcW w:w="800" w:type="pct"/>
            <w:tcBorders>
              <w:tl2br w:val="nil"/>
              <w:tr2bl w:val="nil"/>
            </w:tcBorders>
            <w:shd w:val="clear" w:color="auto" w:fill="auto"/>
            <w:vAlign w:val="center"/>
          </w:tcPr>
          <w:p w14:paraId="2321DA20">
            <w:pPr>
              <w:pStyle w:val="58"/>
              <w:bidi w:val="0"/>
              <w:rPr>
                <w:rFonts w:hint="default"/>
                <w:highlight w:val="none"/>
              </w:rPr>
            </w:pPr>
            <w:r>
              <w:rPr>
                <w:rFonts w:hint="default"/>
                <w:highlight w:val="none"/>
                <w:lang w:val="en-US" w:eastAsia="zh-CN"/>
              </w:rPr>
              <w:t>重碳酸根</w:t>
            </w:r>
          </w:p>
        </w:tc>
        <w:tc>
          <w:tcPr>
            <w:tcW w:w="799" w:type="pct"/>
            <w:tcBorders>
              <w:tl2br w:val="nil"/>
              <w:tr2bl w:val="nil"/>
            </w:tcBorders>
            <w:shd w:val="clear" w:color="auto" w:fill="auto"/>
            <w:vAlign w:val="center"/>
          </w:tcPr>
          <w:p w14:paraId="079E2799">
            <w:pPr>
              <w:pStyle w:val="58"/>
              <w:bidi w:val="0"/>
              <w:rPr>
                <w:rFonts w:hint="default"/>
                <w:highlight w:val="none"/>
                <w:lang w:val="en-US" w:eastAsia="zh-CN"/>
              </w:rPr>
            </w:pPr>
            <w:r>
              <w:rPr>
                <w:rFonts w:hint="default"/>
                <w:highlight w:val="none"/>
                <w:lang w:val="en-US" w:eastAsia="zh-CN"/>
              </w:rPr>
              <w:t>mg/L</w:t>
            </w:r>
          </w:p>
        </w:tc>
        <w:tc>
          <w:tcPr>
            <w:tcW w:w="685" w:type="pct"/>
            <w:tcBorders>
              <w:tl2br w:val="nil"/>
              <w:tr2bl w:val="nil"/>
            </w:tcBorders>
            <w:shd w:val="clear" w:color="auto" w:fill="auto"/>
            <w:noWrap/>
            <w:vAlign w:val="center"/>
          </w:tcPr>
          <w:p w14:paraId="099186B6">
            <w:pPr>
              <w:pStyle w:val="58"/>
              <w:bidi w:val="0"/>
              <w:rPr>
                <w:rFonts w:hint="default"/>
                <w:highlight w:val="none"/>
                <w:lang w:val="en-US" w:eastAsia="zh-CN"/>
              </w:rPr>
            </w:pPr>
            <w:r>
              <w:rPr>
                <w:rFonts w:hint="default"/>
                <w:highlight w:val="none"/>
                <w:lang w:val="en-US" w:eastAsia="zh-CN"/>
              </w:rPr>
              <w:t>/</w:t>
            </w:r>
          </w:p>
        </w:tc>
        <w:tc>
          <w:tcPr>
            <w:tcW w:w="475" w:type="pct"/>
            <w:tcBorders>
              <w:tl2br w:val="nil"/>
              <w:tr2bl w:val="nil"/>
            </w:tcBorders>
            <w:shd w:val="clear" w:color="auto" w:fill="auto"/>
            <w:noWrap/>
            <w:vAlign w:val="center"/>
          </w:tcPr>
          <w:p w14:paraId="630763DC">
            <w:pPr>
              <w:pStyle w:val="58"/>
              <w:bidi w:val="0"/>
              <w:rPr>
                <w:rFonts w:hint="default"/>
                <w:highlight w:val="none"/>
                <w:lang w:val="en-US" w:eastAsia="zh-CN"/>
              </w:rPr>
            </w:pPr>
            <w:r>
              <w:rPr>
                <w:rFonts w:hint="default"/>
                <w:highlight w:val="none"/>
                <w:lang w:val="en-US" w:eastAsia="zh-CN"/>
              </w:rPr>
              <w:t>767</w:t>
            </w:r>
          </w:p>
        </w:tc>
        <w:tc>
          <w:tcPr>
            <w:tcW w:w="475" w:type="pct"/>
            <w:tcBorders>
              <w:tl2br w:val="nil"/>
              <w:tr2bl w:val="nil"/>
            </w:tcBorders>
            <w:shd w:val="clear" w:color="auto" w:fill="auto"/>
            <w:noWrap/>
            <w:vAlign w:val="center"/>
          </w:tcPr>
          <w:p w14:paraId="29066DD1">
            <w:pPr>
              <w:pStyle w:val="58"/>
              <w:bidi w:val="0"/>
              <w:rPr>
                <w:rFonts w:hint="default"/>
                <w:highlight w:val="none"/>
                <w:lang w:val="en-US" w:eastAsia="zh-CN"/>
              </w:rPr>
            </w:pPr>
            <w:r>
              <w:rPr>
                <w:rFonts w:hint="default"/>
                <w:highlight w:val="none"/>
                <w:lang w:val="en-US" w:eastAsia="zh-CN"/>
              </w:rPr>
              <w:t>22.4</w:t>
            </w:r>
          </w:p>
        </w:tc>
        <w:tc>
          <w:tcPr>
            <w:tcW w:w="536" w:type="pct"/>
            <w:tcBorders>
              <w:tl2br w:val="nil"/>
              <w:tr2bl w:val="nil"/>
            </w:tcBorders>
            <w:shd w:val="clear" w:color="auto" w:fill="auto"/>
            <w:noWrap/>
            <w:vAlign w:val="center"/>
          </w:tcPr>
          <w:p w14:paraId="281ABC92">
            <w:pPr>
              <w:pStyle w:val="58"/>
              <w:bidi w:val="0"/>
              <w:rPr>
                <w:rFonts w:hint="default"/>
                <w:highlight w:val="none"/>
                <w:lang w:val="en-US" w:eastAsia="zh-CN"/>
              </w:rPr>
            </w:pPr>
            <w:r>
              <w:rPr>
                <w:rFonts w:hint="default"/>
                <w:highlight w:val="none"/>
                <w:lang w:val="en-US" w:eastAsia="zh-CN"/>
              </w:rPr>
              <w:t>341.67</w:t>
            </w:r>
          </w:p>
        </w:tc>
        <w:tc>
          <w:tcPr>
            <w:tcW w:w="410" w:type="pct"/>
            <w:tcBorders>
              <w:tl2br w:val="nil"/>
              <w:tr2bl w:val="nil"/>
            </w:tcBorders>
            <w:shd w:val="clear" w:color="auto" w:fill="auto"/>
            <w:noWrap/>
            <w:vAlign w:val="center"/>
          </w:tcPr>
          <w:p w14:paraId="6344B47B">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7B430EFC">
            <w:pPr>
              <w:pStyle w:val="58"/>
              <w:bidi w:val="0"/>
              <w:rPr>
                <w:rFonts w:hint="default"/>
                <w:highlight w:val="none"/>
                <w:lang w:val="en-US" w:eastAsia="zh-CN"/>
              </w:rPr>
            </w:pPr>
            <w:r>
              <w:rPr>
                <w:rFonts w:hint="default"/>
                <w:highlight w:val="none"/>
                <w:lang w:val="en-US" w:eastAsia="zh-CN"/>
              </w:rPr>
              <w:t>/</w:t>
            </w:r>
          </w:p>
        </w:tc>
      </w:tr>
    </w:tbl>
    <w:p w14:paraId="652B8C18">
      <w:pPr>
        <w:bidi w:val="0"/>
        <w:rPr>
          <w:rFonts w:hint="default"/>
          <w:highlight w:val="none"/>
          <w:lang w:val="en-US" w:eastAsia="zh-CN"/>
        </w:rPr>
      </w:pPr>
      <w:r>
        <w:rPr>
          <w:rFonts w:hint="default"/>
          <w:highlight w:val="none"/>
          <w:lang w:val="en-US" w:eastAsia="zh-CN"/>
        </w:rPr>
        <w:t>地下水环境质量现状监测结果表明：评价区域内各监测点中，潜水监测因子中总硬度、溶解性总固体、氯化物、硫酸盐、高锰酸盐指数不满足《地下水质量标准》（GB/T14848-2017）中Ⅲ类标准。分析其原因，是由于开发区所在区域受海水侵蚀，潜水与海水之间存在密切的联系，因此，潜水地下水多为苦咸水导致多个因子超标。</w:t>
      </w:r>
    </w:p>
    <w:p w14:paraId="4B473FCA">
      <w:pPr>
        <w:keepNext w:val="0"/>
        <w:keepLines w:val="0"/>
        <w:pageBreakBefore w:val="0"/>
        <w:widowControl w:val="0"/>
        <w:numPr>
          <w:ilvl w:val="0"/>
          <w:numId w:val="30"/>
        </w:numPr>
        <w:kinsoku/>
        <w:wordWrap/>
        <w:overflowPunct/>
        <w:topLinePunct w:val="0"/>
        <w:autoSpaceDE w:val="0"/>
        <w:autoSpaceDN w:val="0"/>
        <w:bidi w:val="0"/>
        <w:adjustRightInd w:val="0"/>
        <w:snapToGrid/>
        <w:spacing w:line="500" w:lineRule="exact"/>
        <w:ind w:left="425" w:leftChars="0" w:hanging="425" w:firstLineChars="0"/>
        <w:jc w:val="center"/>
        <w:textAlignment w:val="auto"/>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pPr>
      <w:r>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t>地下水(承压水)监测统计分析结果一览表</w:t>
      </w:r>
    </w:p>
    <w:tbl>
      <w:tblPr>
        <w:tblStyle w:val="47"/>
        <w:tblW w:w="4993"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autofit"/>
        <w:tblCellMar>
          <w:top w:w="0" w:type="dxa"/>
          <w:left w:w="108" w:type="dxa"/>
          <w:bottom w:w="0" w:type="dxa"/>
          <w:right w:w="108" w:type="dxa"/>
        </w:tblCellMar>
      </w:tblPr>
      <w:tblGrid>
        <w:gridCol w:w="678"/>
        <w:gridCol w:w="1411"/>
        <w:gridCol w:w="1409"/>
        <w:gridCol w:w="1196"/>
        <w:gridCol w:w="982"/>
        <w:gridCol w:w="869"/>
        <w:gridCol w:w="1232"/>
        <w:gridCol w:w="749"/>
        <w:gridCol w:w="749"/>
      </w:tblGrid>
      <w:tr w14:paraId="187DF0F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5307BA3A">
            <w:pPr>
              <w:pStyle w:val="58"/>
              <w:bidi w:val="0"/>
              <w:rPr>
                <w:rFonts w:hint="default"/>
                <w:highlight w:val="none"/>
              </w:rPr>
            </w:pPr>
            <w:r>
              <w:rPr>
                <w:rFonts w:hint="default"/>
                <w:highlight w:val="none"/>
                <w:lang w:val="en-US" w:eastAsia="zh-CN"/>
              </w:rPr>
              <w:t>序号</w:t>
            </w:r>
          </w:p>
        </w:tc>
        <w:tc>
          <w:tcPr>
            <w:tcW w:w="767" w:type="pct"/>
            <w:tcBorders>
              <w:tl2br w:val="nil"/>
              <w:tr2bl w:val="nil"/>
            </w:tcBorders>
            <w:shd w:val="clear" w:color="auto" w:fill="auto"/>
            <w:vAlign w:val="center"/>
          </w:tcPr>
          <w:p w14:paraId="60AA2CEB">
            <w:pPr>
              <w:pStyle w:val="58"/>
              <w:bidi w:val="0"/>
              <w:rPr>
                <w:rFonts w:hint="default"/>
                <w:highlight w:val="none"/>
              </w:rPr>
            </w:pPr>
            <w:r>
              <w:rPr>
                <w:rFonts w:hint="default"/>
                <w:highlight w:val="none"/>
                <w:lang w:val="en-US" w:eastAsia="zh-CN"/>
              </w:rPr>
              <w:t>检测项目</w:t>
            </w:r>
          </w:p>
        </w:tc>
        <w:tc>
          <w:tcPr>
            <w:tcW w:w="766" w:type="pct"/>
            <w:tcBorders>
              <w:tl2br w:val="nil"/>
              <w:tr2bl w:val="nil"/>
            </w:tcBorders>
            <w:shd w:val="clear" w:color="auto" w:fill="auto"/>
            <w:vAlign w:val="center"/>
          </w:tcPr>
          <w:p w14:paraId="6BCE1918">
            <w:pPr>
              <w:pStyle w:val="58"/>
              <w:bidi w:val="0"/>
              <w:rPr>
                <w:rFonts w:hint="default"/>
                <w:highlight w:val="none"/>
                <w:lang w:val="en-US" w:eastAsia="zh-CN"/>
              </w:rPr>
            </w:pPr>
            <w:r>
              <w:rPr>
                <w:rFonts w:hint="default"/>
                <w:highlight w:val="none"/>
                <w:lang w:val="en-US" w:eastAsia="zh-CN"/>
              </w:rPr>
              <w:t>单位</w:t>
            </w:r>
          </w:p>
        </w:tc>
        <w:tc>
          <w:tcPr>
            <w:tcW w:w="651" w:type="pct"/>
            <w:tcBorders>
              <w:tl2br w:val="nil"/>
              <w:tr2bl w:val="nil"/>
            </w:tcBorders>
            <w:shd w:val="clear" w:color="auto" w:fill="auto"/>
            <w:vAlign w:val="center"/>
          </w:tcPr>
          <w:p w14:paraId="60429719">
            <w:pPr>
              <w:pStyle w:val="58"/>
              <w:bidi w:val="0"/>
              <w:rPr>
                <w:rFonts w:hint="default"/>
                <w:highlight w:val="none"/>
                <w:lang w:val="en-US" w:eastAsia="zh-CN"/>
              </w:rPr>
            </w:pPr>
            <w:r>
              <w:rPr>
                <w:rFonts w:hint="default"/>
                <w:highlight w:val="none"/>
                <w:lang w:val="en-US" w:eastAsia="zh-CN"/>
              </w:rPr>
              <w:t>标准值</w:t>
            </w:r>
          </w:p>
        </w:tc>
        <w:tc>
          <w:tcPr>
            <w:tcW w:w="475" w:type="pct"/>
            <w:tcBorders>
              <w:tl2br w:val="nil"/>
              <w:tr2bl w:val="nil"/>
            </w:tcBorders>
            <w:shd w:val="clear" w:color="auto" w:fill="auto"/>
            <w:vAlign w:val="center"/>
          </w:tcPr>
          <w:p w14:paraId="1F3C0451">
            <w:pPr>
              <w:pStyle w:val="58"/>
              <w:bidi w:val="0"/>
              <w:rPr>
                <w:rFonts w:hint="default"/>
                <w:highlight w:val="none"/>
              </w:rPr>
            </w:pPr>
            <w:r>
              <w:rPr>
                <w:rFonts w:hint="default"/>
                <w:highlight w:val="none"/>
                <w:lang w:val="en-US" w:eastAsia="zh-CN"/>
              </w:rPr>
              <w:t>最大值</w:t>
            </w:r>
          </w:p>
        </w:tc>
        <w:tc>
          <w:tcPr>
            <w:tcW w:w="475" w:type="pct"/>
            <w:tcBorders>
              <w:tl2br w:val="nil"/>
              <w:tr2bl w:val="nil"/>
            </w:tcBorders>
            <w:shd w:val="clear" w:color="auto" w:fill="auto"/>
            <w:vAlign w:val="center"/>
          </w:tcPr>
          <w:p w14:paraId="0E98EB7F">
            <w:pPr>
              <w:pStyle w:val="58"/>
              <w:bidi w:val="0"/>
              <w:rPr>
                <w:rFonts w:hint="default"/>
                <w:highlight w:val="none"/>
              </w:rPr>
            </w:pPr>
            <w:r>
              <w:rPr>
                <w:rFonts w:hint="default"/>
                <w:highlight w:val="none"/>
                <w:lang w:val="en-US" w:eastAsia="zh-CN"/>
              </w:rPr>
              <w:t>最小值</w:t>
            </w:r>
          </w:p>
        </w:tc>
        <w:tc>
          <w:tcPr>
            <w:tcW w:w="670" w:type="pct"/>
            <w:tcBorders>
              <w:tl2br w:val="nil"/>
              <w:tr2bl w:val="nil"/>
            </w:tcBorders>
            <w:shd w:val="clear" w:color="auto" w:fill="auto"/>
            <w:vAlign w:val="center"/>
          </w:tcPr>
          <w:p w14:paraId="4370CC5F">
            <w:pPr>
              <w:pStyle w:val="58"/>
              <w:bidi w:val="0"/>
              <w:rPr>
                <w:rFonts w:hint="default"/>
                <w:highlight w:val="none"/>
              </w:rPr>
            </w:pPr>
            <w:r>
              <w:rPr>
                <w:rFonts w:hint="default"/>
                <w:highlight w:val="none"/>
                <w:lang w:val="en-US" w:eastAsia="zh-CN"/>
              </w:rPr>
              <w:t>均值</w:t>
            </w:r>
          </w:p>
        </w:tc>
        <w:tc>
          <w:tcPr>
            <w:tcW w:w="410" w:type="pct"/>
            <w:tcBorders>
              <w:tl2br w:val="nil"/>
              <w:tr2bl w:val="nil"/>
            </w:tcBorders>
            <w:shd w:val="clear" w:color="auto" w:fill="auto"/>
            <w:vAlign w:val="center"/>
          </w:tcPr>
          <w:p w14:paraId="33ABBD59">
            <w:pPr>
              <w:pStyle w:val="58"/>
              <w:bidi w:val="0"/>
              <w:rPr>
                <w:rFonts w:hint="default"/>
                <w:highlight w:val="none"/>
                <w:lang w:val="en-US"/>
              </w:rPr>
            </w:pPr>
            <w:r>
              <w:rPr>
                <w:rFonts w:hint="default"/>
                <w:highlight w:val="none"/>
                <w:lang w:val="en-US" w:eastAsia="zh-CN"/>
              </w:rPr>
              <w:t>检出率%</w:t>
            </w:r>
          </w:p>
        </w:tc>
        <w:tc>
          <w:tcPr>
            <w:tcW w:w="410" w:type="pct"/>
            <w:tcBorders>
              <w:tl2br w:val="nil"/>
              <w:tr2bl w:val="nil"/>
            </w:tcBorders>
            <w:shd w:val="clear" w:color="auto" w:fill="auto"/>
            <w:vAlign w:val="center"/>
          </w:tcPr>
          <w:p w14:paraId="2F920448">
            <w:pPr>
              <w:pStyle w:val="58"/>
              <w:bidi w:val="0"/>
              <w:rPr>
                <w:rFonts w:hint="default"/>
                <w:highlight w:val="none"/>
                <w:lang w:val="en-US"/>
              </w:rPr>
            </w:pPr>
            <w:r>
              <w:rPr>
                <w:rFonts w:hint="default"/>
                <w:highlight w:val="none"/>
                <w:lang w:val="en-US" w:eastAsia="zh-CN"/>
              </w:rPr>
              <w:t>超标率%</w:t>
            </w:r>
          </w:p>
        </w:tc>
      </w:tr>
      <w:tr w14:paraId="3F3EE84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38F1E353">
            <w:pPr>
              <w:pStyle w:val="58"/>
              <w:bidi w:val="0"/>
              <w:rPr>
                <w:rFonts w:hint="default"/>
                <w:highlight w:val="none"/>
              </w:rPr>
            </w:pPr>
            <w:r>
              <w:rPr>
                <w:rFonts w:hint="default"/>
                <w:highlight w:val="none"/>
                <w:lang w:val="en-US" w:eastAsia="zh-CN"/>
              </w:rPr>
              <w:t>1</w:t>
            </w:r>
          </w:p>
        </w:tc>
        <w:tc>
          <w:tcPr>
            <w:tcW w:w="767" w:type="pct"/>
            <w:tcBorders>
              <w:tl2br w:val="nil"/>
              <w:tr2bl w:val="nil"/>
            </w:tcBorders>
            <w:shd w:val="clear" w:color="auto" w:fill="auto"/>
            <w:vAlign w:val="center"/>
          </w:tcPr>
          <w:p w14:paraId="4E67FB88">
            <w:pPr>
              <w:pStyle w:val="58"/>
              <w:bidi w:val="0"/>
              <w:rPr>
                <w:rFonts w:hint="default"/>
                <w:highlight w:val="none"/>
                <w:lang w:val="en-US" w:eastAsia="zh-CN"/>
              </w:rPr>
            </w:pPr>
            <w:r>
              <w:rPr>
                <w:rFonts w:hint="default"/>
                <w:highlight w:val="none"/>
                <w:lang w:val="en-US" w:eastAsia="zh-CN"/>
              </w:rPr>
              <w:t>pH值</w:t>
            </w:r>
          </w:p>
        </w:tc>
        <w:tc>
          <w:tcPr>
            <w:tcW w:w="766" w:type="pct"/>
            <w:tcBorders>
              <w:tl2br w:val="nil"/>
              <w:tr2bl w:val="nil"/>
            </w:tcBorders>
            <w:shd w:val="clear" w:color="auto" w:fill="auto"/>
            <w:noWrap/>
            <w:vAlign w:val="center"/>
          </w:tcPr>
          <w:p w14:paraId="08D98BC1">
            <w:pPr>
              <w:pStyle w:val="58"/>
              <w:bidi w:val="0"/>
              <w:rPr>
                <w:rFonts w:hint="default"/>
                <w:highlight w:val="none"/>
                <w:lang w:val="en-US" w:eastAsia="zh-CN"/>
              </w:rPr>
            </w:pPr>
            <w:r>
              <w:rPr>
                <w:rFonts w:hint="default"/>
                <w:highlight w:val="none"/>
                <w:lang w:val="en-US" w:eastAsia="zh-CN"/>
              </w:rPr>
              <w:t>无量纲</w:t>
            </w:r>
          </w:p>
        </w:tc>
        <w:tc>
          <w:tcPr>
            <w:tcW w:w="651" w:type="pct"/>
            <w:tcBorders>
              <w:tl2br w:val="nil"/>
              <w:tr2bl w:val="nil"/>
            </w:tcBorders>
            <w:shd w:val="clear" w:color="auto" w:fill="auto"/>
            <w:noWrap/>
            <w:vAlign w:val="center"/>
          </w:tcPr>
          <w:p w14:paraId="2754F93C">
            <w:pPr>
              <w:pStyle w:val="58"/>
              <w:bidi w:val="0"/>
              <w:rPr>
                <w:rFonts w:hint="default"/>
                <w:highlight w:val="none"/>
                <w:lang w:val="en-US" w:eastAsia="zh-CN"/>
              </w:rPr>
            </w:pPr>
            <w:r>
              <w:rPr>
                <w:rFonts w:hint="default"/>
                <w:highlight w:val="none"/>
                <w:lang w:val="en-US" w:eastAsia="zh-CN"/>
              </w:rPr>
              <w:t>6.5～8.5</w:t>
            </w:r>
          </w:p>
        </w:tc>
        <w:tc>
          <w:tcPr>
            <w:tcW w:w="475" w:type="pct"/>
            <w:tcBorders>
              <w:tl2br w:val="nil"/>
              <w:tr2bl w:val="nil"/>
            </w:tcBorders>
            <w:shd w:val="clear" w:color="auto" w:fill="auto"/>
            <w:noWrap/>
            <w:vAlign w:val="center"/>
          </w:tcPr>
          <w:p w14:paraId="0EB0F22C">
            <w:pPr>
              <w:pStyle w:val="58"/>
              <w:bidi w:val="0"/>
              <w:rPr>
                <w:rFonts w:hint="default"/>
                <w:highlight w:val="none"/>
                <w:lang w:val="en-US" w:eastAsia="zh-CN"/>
              </w:rPr>
            </w:pPr>
            <w:r>
              <w:rPr>
                <w:rFonts w:hint="default"/>
                <w:highlight w:val="none"/>
                <w:lang w:val="en-US" w:eastAsia="zh-CN"/>
              </w:rPr>
              <w:t>7.4</w:t>
            </w:r>
          </w:p>
        </w:tc>
        <w:tc>
          <w:tcPr>
            <w:tcW w:w="475" w:type="pct"/>
            <w:tcBorders>
              <w:tl2br w:val="nil"/>
              <w:tr2bl w:val="nil"/>
            </w:tcBorders>
            <w:shd w:val="clear" w:color="auto" w:fill="auto"/>
            <w:noWrap/>
            <w:vAlign w:val="center"/>
          </w:tcPr>
          <w:p w14:paraId="56DD1055">
            <w:pPr>
              <w:pStyle w:val="58"/>
              <w:bidi w:val="0"/>
              <w:rPr>
                <w:rFonts w:hint="default"/>
                <w:highlight w:val="none"/>
                <w:lang w:val="en-US" w:eastAsia="zh-CN"/>
              </w:rPr>
            </w:pPr>
            <w:r>
              <w:rPr>
                <w:rFonts w:hint="default"/>
                <w:highlight w:val="none"/>
                <w:lang w:val="en-US" w:eastAsia="zh-CN"/>
              </w:rPr>
              <w:t>6.9</w:t>
            </w:r>
          </w:p>
        </w:tc>
        <w:tc>
          <w:tcPr>
            <w:tcW w:w="670" w:type="pct"/>
            <w:tcBorders>
              <w:tl2br w:val="nil"/>
              <w:tr2bl w:val="nil"/>
            </w:tcBorders>
            <w:shd w:val="clear" w:color="auto" w:fill="auto"/>
            <w:noWrap/>
            <w:vAlign w:val="center"/>
          </w:tcPr>
          <w:p w14:paraId="3B3340BB">
            <w:pPr>
              <w:pStyle w:val="58"/>
              <w:bidi w:val="0"/>
              <w:rPr>
                <w:rFonts w:hint="default"/>
                <w:highlight w:val="none"/>
                <w:lang w:val="en-US" w:eastAsia="zh-CN"/>
              </w:rPr>
            </w:pPr>
            <w:r>
              <w:rPr>
                <w:rFonts w:hint="default"/>
                <w:highlight w:val="none"/>
                <w:lang w:val="en-US" w:eastAsia="zh-CN"/>
              </w:rPr>
              <w:t>7.2</w:t>
            </w:r>
          </w:p>
        </w:tc>
        <w:tc>
          <w:tcPr>
            <w:tcW w:w="410" w:type="pct"/>
            <w:tcBorders>
              <w:tl2br w:val="nil"/>
              <w:tr2bl w:val="nil"/>
            </w:tcBorders>
            <w:shd w:val="clear" w:color="auto" w:fill="auto"/>
            <w:noWrap/>
            <w:vAlign w:val="center"/>
          </w:tcPr>
          <w:p w14:paraId="71AA5E77">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47A7A94A">
            <w:pPr>
              <w:pStyle w:val="58"/>
              <w:bidi w:val="0"/>
              <w:rPr>
                <w:rFonts w:hint="default"/>
                <w:highlight w:val="none"/>
                <w:lang w:val="en-US" w:eastAsia="zh-CN"/>
              </w:rPr>
            </w:pPr>
            <w:r>
              <w:rPr>
                <w:rFonts w:hint="default"/>
                <w:highlight w:val="none"/>
                <w:lang w:val="en-US" w:eastAsia="zh-CN"/>
              </w:rPr>
              <w:t>0</w:t>
            </w:r>
          </w:p>
        </w:tc>
      </w:tr>
      <w:tr w14:paraId="44B1F79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2C4D8CD9">
            <w:pPr>
              <w:pStyle w:val="58"/>
              <w:bidi w:val="0"/>
              <w:rPr>
                <w:rFonts w:hint="default"/>
                <w:highlight w:val="none"/>
              </w:rPr>
            </w:pPr>
            <w:r>
              <w:rPr>
                <w:rFonts w:hint="default"/>
                <w:highlight w:val="none"/>
                <w:lang w:val="en-US" w:eastAsia="zh-CN"/>
              </w:rPr>
              <w:t>2</w:t>
            </w:r>
          </w:p>
        </w:tc>
        <w:tc>
          <w:tcPr>
            <w:tcW w:w="767" w:type="pct"/>
            <w:tcBorders>
              <w:tl2br w:val="nil"/>
              <w:tr2bl w:val="nil"/>
            </w:tcBorders>
            <w:shd w:val="clear" w:color="auto" w:fill="auto"/>
            <w:vAlign w:val="center"/>
          </w:tcPr>
          <w:p w14:paraId="491F2021">
            <w:pPr>
              <w:pStyle w:val="58"/>
              <w:bidi w:val="0"/>
              <w:rPr>
                <w:rFonts w:hint="default"/>
                <w:highlight w:val="none"/>
                <w:lang w:val="en-US" w:eastAsia="zh-CN"/>
              </w:rPr>
            </w:pPr>
            <w:r>
              <w:rPr>
                <w:rFonts w:hint="default"/>
                <w:highlight w:val="none"/>
                <w:lang w:val="en-US" w:eastAsia="zh-CN"/>
              </w:rPr>
              <w:t>总硬度</w:t>
            </w:r>
          </w:p>
        </w:tc>
        <w:tc>
          <w:tcPr>
            <w:tcW w:w="766" w:type="pct"/>
            <w:tcBorders>
              <w:tl2br w:val="nil"/>
              <w:tr2bl w:val="nil"/>
            </w:tcBorders>
            <w:shd w:val="clear" w:color="auto" w:fill="auto"/>
            <w:noWrap/>
            <w:vAlign w:val="center"/>
          </w:tcPr>
          <w:p w14:paraId="2114776E">
            <w:pPr>
              <w:pStyle w:val="58"/>
              <w:bidi w:val="0"/>
              <w:rPr>
                <w:rFonts w:hint="default"/>
                <w:highlight w:val="none"/>
                <w:lang w:val="en-US" w:eastAsia="zh-CN"/>
              </w:rPr>
            </w:pPr>
            <w:r>
              <w:rPr>
                <w:rFonts w:hint="default"/>
                <w:highlight w:val="none"/>
                <w:lang w:val="en-US" w:eastAsia="zh-CN"/>
              </w:rPr>
              <w:t>mg/L</w:t>
            </w:r>
          </w:p>
        </w:tc>
        <w:tc>
          <w:tcPr>
            <w:tcW w:w="651" w:type="pct"/>
            <w:tcBorders>
              <w:tl2br w:val="nil"/>
              <w:tr2bl w:val="nil"/>
            </w:tcBorders>
            <w:shd w:val="clear" w:color="auto" w:fill="auto"/>
            <w:noWrap/>
            <w:vAlign w:val="center"/>
          </w:tcPr>
          <w:p w14:paraId="3DEA09B4">
            <w:pPr>
              <w:pStyle w:val="58"/>
              <w:bidi w:val="0"/>
              <w:rPr>
                <w:rFonts w:hint="default"/>
                <w:highlight w:val="none"/>
                <w:lang w:val="en-US" w:eastAsia="zh-CN"/>
              </w:rPr>
            </w:pPr>
            <w:r>
              <w:rPr>
                <w:rFonts w:hint="default"/>
                <w:highlight w:val="none"/>
                <w:lang w:val="en-US" w:eastAsia="zh-CN"/>
              </w:rPr>
              <w:t>450</w:t>
            </w:r>
          </w:p>
        </w:tc>
        <w:tc>
          <w:tcPr>
            <w:tcW w:w="475" w:type="pct"/>
            <w:tcBorders>
              <w:tl2br w:val="nil"/>
              <w:tr2bl w:val="nil"/>
            </w:tcBorders>
            <w:shd w:val="clear" w:color="auto" w:fill="auto"/>
            <w:noWrap/>
            <w:vAlign w:val="center"/>
          </w:tcPr>
          <w:p w14:paraId="4AF78060">
            <w:pPr>
              <w:pStyle w:val="58"/>
              <w:bidi w:val="0"/>
              <w:rPr>
                <w:rFonts w:hint="default"/>
                <w:highlight w:val="none"/>
                <w:lang w:val="en-US" w:eastAsia="zh-CN"/>
              </w:rPr>
            </w:pPr>
            <w:r>
              <w:rPr>
                <w:rFonts w:hint="default"/>
                <w:highlight w:val="none"/>
                <w:lang w:val="en-US" w:eastAsia="zh-CN"/>
              </w:rPr>
              <w:t>262</w:t>
            </w:r>
          </w:p>
        </w:tc>
        <w:tc>
          <w:tcPr>
            <w:tcW w:w="475" w:type="pct"/>
            <w:tcBorders>
              <w:tl2br w:val="nil"/>
              <w:tr2bl w:val="nil"/>
            </w:tcBorders>
            <w:shd w:val="clear" w:color="auto" w:fill="auto"/>
            <w:noWrap/>
            <w:vAlign w:val="center"/>
          </w:tcPr>
          <w:p w14:paraId="5C0BB9E4">
            <w:pPr>
              <w:pStyle w:val="58"/>
              <w:bidi w:val="0"/>
              <w:rPr>
                <w:rFonts w:hint="default"/>
                <w:highlight w:val="none"/>
                <w:lang w:val="en-US" w:eastAsia="zh-CN"/>
              </w:rPr>
            </w:pPr>
            <w:r>
              <w:rPr>
                <w:rFonts w:hint="default"/>
                <w:highlight w:val="none"/>
                <w:lang w:val="en-US" w:eastAsia="zh-CN"/>
              </w:rPr>
              <w:t>108</w:t>
            </w:r>
          </w:p>
        </w:tc>
        <w:tc>
          <w:tcPr>
            <w:tcW w:w="670" w:type="pct"/>
            <w:tcBorders>
              <w:tl2br w:val="nil"/>
              <w:tr2bl w:val="nil"/>
            </w:tcBorders>
            <w:shd w:val="clear" w:color="auto" w:fill="auto"/>
            <w:noWrap/>
            <w:vAlign w:val="center"/>
          </w:tcPr>
          <w:p w14:paraId="2EEFD759">
            <w:pPr>
              <w:pStyle w:val="58"/>
              <w:bidi w:val="0"/>
              <w:rPr>
                <w:rFonts w:hint="default"/>
                <w:highlight w:val="none"/>
                <w:lang w:val="en-US" w:eastAsia="zh-CN"/>
              </w:rPr>
            </w:pPr>
            <w:r>
              <w:rPr>
                <w:rFonts w:hint="default"/>
                <w:highlight w:val="none"/>
                <w:lang w:val="en-US" w:eastAsia="zh-CN"/>
              </w:rPr>
              <w:t>198</w:t>
            </w:r>
          </w:p>
        </w:tc>
        <w:tc>
          <w:tcPr>
            <w:tcW w:w="410" w:type="pct"/>
            <w:tcBorders>
              <w:tl2br w:val="nil"/>
              <w:tr2bl w:val="nil"/>
            </w:tcBorders>
            <w:shd w:val="clear" w:color="auto" w:fill="auto"/>
            <w:noWrap/>
            <w:vAlign w:val="center"/>
          </w:tcPr>
          <w:p w14:paraId="24DFAB4C">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32961A2E">
            <w:pPr>
              <w:pStyle w:val="58"/>
              <w:bidi w:val="0"/>
              <w:rPr>
                <w:rFonts w:hint="default"/>
                <w:highlight w:val="none"/>
                <w:lang w:val="en-US" w:eastAsia="zh-CN"/>
              </w:rPr>
            </w:pPr>
            <w:r>
              <w:rPr>
                <w:rFonts w:hint="default"/>
                <w:highlight w:val="none"/>
                <w:lang w:val="en-US" w:eastAsia="zh-CN"/>
              </w:rPr>
              <w:t>0</w:t>
            </w:r>
          </w:p>
        </w:tc>
      </w:tr>
      <w:tr w14:paraId="39115BA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5048565D">
            <w:pPr>
              <w:pStyle w:val="58"/>
              <w:bidi w:val="0"/>
              <w:rPr>
                <w:rFonts w:hint="default"/>
                <w:highlight w:val="none"/>
              </w:rPr>
            </w:pPr>
            <w:r>
              <w:rPr>
                <w:rFonts w:hint="default"/>
                <w:highlight w:val="none"/>
                <w:lang w:val="en-US" w:eastAsia="zh-CN"/>
              </w:rPr>
              <w:t>3</w:t>
            </w:r>
          </w:p>
        </w:tc>
        <w:tc>
          <w:tcPr>
            <w:tcW w:w="767" w:type="pct"/>
            <w:tcBorders>
              <w:tl2br w:val="nil"/>
              <w:tr2bl w:val="nil"/>
            </w:tcBorders>
            <w:shd w:val="clear" w:color="auto" w:fill="auto"/>
            <w:vAlign w:val="center"/>
          </w:tcPr>
          <w:p w14:paraId="0A1CC2E8">
            <w:pPr>
              <w:pStyle w:val="58"/>
              <w:bidi w:val="0"/>
              <w:rPr>
                <w:rFonts w:hint="default"/>
                <w:highlight w:val="none"/>
                <w:lang w:val="en-US" w:eastAsia="zh-CN"/>
              </w:rPr>
            </w:pPr>
            <w:r>
              <w:rPr>
                <w:rFonts w:hint="default"/>
                <w:highlight w:val="none"/>
                <w:lang w:val="en-US" w:eastAsia="zh-CN"/>
              </w:rPr>
              <w:t>溶解性总固体</w:t>
            </w:r>
          </w:p>
        </w:tc>
        <w:tc>
          <w:tcPr>
            <w:tcW w:w="766" w:type="pct"/>
            <w:tcBorders>
              <w:tl2br w:val="nil"/>
              <w:tr2bl w:val="nil"/>
            </w:tcBorders>
            <w:shd w:val="clear" w:color="auto" w:fill="auto"/>
            <w:noWrap/>
            <w:vAlign w:val="center"/>
          </w:tcPr>
          <w:p w14:paraId="6DFB61AE">
            <w:pPr>
              <w:pStyle w:val="58"/>
              <w:bidi w:val="0"/>
              <w:rPr>
                <w:rFonts w:hint="default"/>
                <w:highlight w:val="none"/>
                <w:lang w:val="en-US" w:eastAsia="zh-CN"/>
              </w:rPr>
            </w:pPr>
            <w:r>
              <w:rPr>
                <w:rFonts w:hint="default"/>
                <w:highlight w:val="none"/>
                <w:lang w:val="en-US" w:eastAsia="zh-CN"/>
              </w:rPr>
              <w:t>mg/L</w:t>
            </w:r>
          </w:p>
        </w:tc>
        <w:tc>
          <w:tcPr>
            <w:tcW w:w="651" w:type="pct"/>
            <w:tcBorders>
              <w:tl2br w:val="nil"/>
              <w:tr2bl w:val="nil"/>
            </w:tcBorders>
            <w:shd w:val="clear" w:color="auto" w:fill="auto"/>
            <w:noWrap/>
            <w:vAlign w:val="center"/>
          </w:tcPr>
          <w:p w14:paraId="27EBDC5A">
            <w:pPr>
              <w:pStyle w:val="58"/>
              <w:bidi w:val="0"/>
              <w:rPr>
                <w:rFonts w:hint="default"/>
                <w:highlight w:val="none"/>
                <w:lang w:val="en-US" w:eastAsia="zh-CN"/>
              </w:rPr>
            </w:pPr>
            <w:r>
              <w:rPr>
                <w:rFonts w:hint="default"/>
                <w:highlight w:val="none"/>
                <w:lang w:val="en-US" w:eastAsia="zh-CN"/>
              </w:rPr>
              <w:t>1000</w:t>
            </w:r>
          </w:p>
        </w:tc>
        <w:tc>
          <w:tcPr>
            <w:tcW w:w="475" w:type="pct"/>
            <w:tcBorders>
              <w:tl2br w:val="nil"/>
              <w:tr2bl w:val="nil"/>
            </w:tcBorders>
            <w:shd w:val="clear" w:color="auto" w:fill="auto"/>
            <w:noWrap/>
            <w:vAlign w:val="center"/>
          </w:tcPr>
          <w:p w14:paraId="0D8E5D14">
            <w:pPr>
              <w:pStyle w:val="58"/>
              <w:bidi w:val="0"/>
              <w:rPr>
                <w:rFonts w:hint="default"/>
                <w:highlight w:val="none"/>
                <w:lang w:val="en-US" w:eastAsia="zh-CN"/>
              </w:rPr>
            </w:pPr>
            <w:r>
              <w:rPr>
                <w:rFonts w:hint="default"/>
                <w:highlight w:val="none"/>
                <w:lang w:val="en-US" w:eastAsia="zh-CN"/>
              </w:rPr>
              <w:t>547</w:t>
            </w:r>
          </w:p>
        </w:tc>
        <w:tc>
          <w:tcPr>
            <w:tcW w:w="475" w:type="pct"/>
            <w:tcBorders>
              <w:tl2br w:val="nil"/>
              <w:tr2bl w:val="nil"/>
            </w:tcBorders>
            <w:shd w:val="clear" w:color="auto" w:fill="auto"/>
            <w:noWrap/>
            <w:vAlign w:val="center"/>
          </w:tcPr>
          <w:p w14:paraId="1A06109F">
            <w:pPr>
              <w:pStyle w:val="58"/>
              <w:bidi w:val="0"/>
              <w:rPr>
                <w:rFonts w:hint="default"/>
                <w:highlight w:val="none"/>
                <w:lang w:val="en-US" w:eastAsia="zh-CN"/>
              </w:rPr>
            </w:pPr>
            <w:r>
              <w:rPr>
                <w:rFonts w:hint="default"/>
                <w:highlight w:val="none"/>
                <w:lang w:val="en-US" w:eastAsia="zh-CN"/>
              </w:rPr>
              <w:t>284</w:t>
            </w:r>
          </w:p>
        </w:tc>
        <w:tc>
          <w:tcPr>
            <w:tcW w:w="670" w:type="pct"/>
            <w:tcBorders>
              <w:tl2br w:val="nil"/>
              <w:tr2bl w:val="nil"/>
            </w:tcBorders>
            <w:shd w:val="clear" w:color="auto" w:fill="auto"/>
            <w:noWrap/>
            <w:vAlign w:val="center"/>
          </w:tcPr>
          <w:p w14:paraId="743F230F">
            <w:pPr>
              <w:pStyle w:val="58"/>
              <w:bidi w:val="0"/>
              <w:rPr>
                <w:rFonts w:hint="default"/>
                <w:highlight w:val="none"/>
                <w:lang w:val="en-US" w:eastAsia="zh-CN"/>
              </w:rPr>
            </w:pPr>
            <w:r>
              <w:rPr>
                <w:rFonts w:hint="default"/>
                <w:highlight w:val="none"/>
                <w:lang w:val="en-US" w:eastAsia="zh-CN"/>
              </w:rPr>
              <w:t>430</w:t>
            </w:r>
          </w:p>
        </w:tc>
        <w:tc>
          <w:tcPr>
            <w:tcW w:w="410" w:type="pct"/>
            <w:tcBorders>
              <w:tl2br w:val="nil"/>
              <w:tr2bl w:val="nil"/>
            </w:tcBorders>
            <w:shd w:val="clear" w:color="auto" w:fill="auto"/>
            <w:noWrap/>
            <w:vAlign w:val="center"/>
          </w:tcPr>
          <w:p w14:paraId="1B2622B5">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4F0D06EB">
            <w:pPr>
              <w:pStyle w:val="58"/>
              <w:bidi w:val="0"/>
              <w:rPr>
                <w:rFonts w:hint="default"/>
                <w:highlight w:val="none"/>
                <w:lang w:val="en-US" w:eastAsia="zh-CN"/>
              </w:rPr>
            </w:pPr>
            <w:r>
              <w:rPr>
                <w:rFonts w:hint="default"/>
                <w:highlight w:val="none"/>
                <w:lang w:val="en-US" w:eastAsia="zh-CN"/>
              </w:rPr>
              <w:t>0</w:t>
            </w:r>
          </w:p>
        </w:tc>
      </w:tr>
      <w:tr w14:paraId="5680C88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32B8E3C0">
            <w:pPr>
              <w:pStyle w:val="58"/>
              <w:bidi w:val="0"/>
              <w:rPr>
                <w:rFonts w:hint="default"/>
                <w:highlight w:val="none"/>
              </w:rPr>
            </w:pPr>
            <w:r>
              <w:rPr>
                <w:rFonts w:hint="default"/>
                <w:highlight w:val="none"/>
                <w:lang w:val="en-US" w:eastAsia="zh-CN"/>
              </w:rPr>
              <w:t>4</w:t>
            </w:r>
          </w:p>
        </w:tc>
        <w:tc>
          <w:tcPr>
            <w:tcW w:w="767" w:type="pct"/>
            <w:tcBorders>
              <w:tl2br w:val="nil"/>
              <w:tr2bl w:val="nil"/>
            </w:tcBorders>
            <w:shd w:val="clear" w:color="auto" w:fill="auto"/>
            <w:vAlign w:val="center"/>
          </w:tcPr>
          <w:p w14:paraId="0CA33B17">
            <w:pPr>
              <w:pStyle w:val="58"/>
              <w:bidi w:val="0"/>
              <w:rPr>
                <w:rFonts w:hint="default"/>
                <w:highlight w:val="none"/>
                <w:lang w:val="en-US" w:eastAsia="zh-CN"/>
              </w:rPr>
            </w:pPr>
            <w:r>
              <w:rPr>
                <w:rFonts w:hint="default"/>
                <w:highlight w:val="none"/>
                <w:lang w:val="en-US" w:eastAsia="zh-CN"/>
              </w:rPr>
              <w:t>高锰酸盐指数</w:t>
            </w:r>
          </w:p>
        </w:tc>
        <w:tc>
          <w:tcPr>
            <w:tcW w:w="766" w:type="pct"/>
            <w:tcBorders>
              <w:tl2br w:val="nil"/>
              <w:tr2bl w:val="nil"/>
            </w:tcBorders>
            <w:shd w:val="clear" w:color="auto" w:fill="auto"/>
            <w:noWrap/>
            <w:vAlign w:val="center"/>
          </w:tcPr>
          <w:p w14:paraId="7731BEC4">
            <w:pPr>
              <w:pStyle w:val="58"/>
              <w:bidi w:val="0"/>
              <w:rPr>
                <w:rFonts w:hint="default"/>
                <w:highlight w:val="none"/>
                <w:lang w:val="en-US" w:eastAsia="zh-CN"/>
              </w:rPr>
            </w:pPr>
            <w:r>
              <w:rPr>
                <w:rFonts w:hint="default"/>
                <w:highlight w:val="none"/>
                <w:lang w:val="en-US" w:eastAsia="zh-CN"/>
              </w:rPr>
              <w:t>mg/L</w:t>
            </w:r>
          </w:p>
        </w:tc>
        <w:tc>
          <w:tcPr>
            <w:tcW w:w="651" w:type="pct"/>
            <w:tcBorders>
              <w:tl2br w:val="nil"/>
              <w:tr2bl w:val="nil"/>
            </w:tcBorders>
            <w:shd w:val="clear" w:color="auto" w:fill="auto"/>
            <w:noWrap/>
            <w:vAlign w:val="center"/>
          </w:tcPr>
          <w:p w14:paraId="6560BB5D">
            <w:pPr>
              <w:pStyle w:val="58"/>
              <w:bidi w:val="0"/>
              <w:rPr>
                <w:rFonts w:hint="default"/>
                <w:highlight w:val="none"/>
                <w:lang w:val="en-US" w:eastAsia="zh-CN"/>
              </w:rPr>
            </w:pPr>
            <w:r>
              <w:rPr>
                <w:rFonts w:hint="default"/>
                <w:highlight w:val="none"/>
                <w:lang w:val="en-US" w:eastAsia="zh-CN"/>
              </w:rPr>
              <w:t>3.0</w:t>
            </w:r>
          </w:p>
        </w:tc>
        <w:tc>
          <w:tcPr>
            <w:tcW w:w="475" w:type="pct"/>
            <w:tcBorders>
              <w:tl2br w:val="nil"/>
              <w:tr2bl w:val="nil"/>
            </w:tcBorders>
            <w:shd w:val="clear" w:color="auto" w:fill="auto"/>
            <w:noWrap/>
            <w:vAlign w:val="center"/>
          </w:tcPr>
          <w:p w14:paraId="45F5C4CE">
            <w:pPr>
              <w:pStyle w:val="58"/>
              <w:bidi w:val="0"/>
              <w:rPr>
                <w:rFonts w:hint="default"/>
                <w:highlight w:val="none"/>
                <w:lang w:val="en-US" w:eastAsia="zh-CN"/>
              </w:rPr>
            </w:pPr>
            <w:r>
              <w:rPr>
                <w:rFonts w:hint="default"/>
                <w:highlight w:val="none"/>
                <w:lang w:val="en-US" w:eastAsia="zh-CN"/>
              </w:rPr>
              <w:t>1.8</w:t>
            </w:r>
          </w:p>
        </w:tc>
        <w:tc>
          <w:tcPr>
            <w:tcW w:w="475" w:type="pct"/>
            <w:tcBorders>
              <w:tl2br w:val="nil"/>
              <w:tr2bl w:val="nil"/>
            </w:tcBorders>
            <w:shd w:val="clear" w:color="auto" w:fill="auto"/>
            <w:noWrap/>
            <w:vAlign w:val="center"/>
          </w:tcPr>
          <w:p w14:paraId="7034BA67">
            <w:pPr>
              <w:pStyle w:val="58"/>
              <w:bidi w:val="0"/>
              <w:rPr>
                <w:rFonts w:hint="default"/>
                <w:highlight w:val="none"/>
                <w:lang w:val="en-US" w:eastAsia="zh-CN"/>
              </w:rPr>
            </w:pPr>
            <w:r>
              <w:rPr>
                <w:rFonts w:hint="default"/>
                <w:highlight w:val="none"/>
                <w:lang w:val="en-US" w:eastAsia="zh-CN"/>
              </w:rPr>
              <w:t>0.8</w:t>
            </w:r>
          </w:p>
        </w:tc>
        <w:tc>
          <w:tcPr>
            <w:tcW w:w="670" w:type="pct"/>
            <w:tcBorders>
              <w:tl2br w:val="nil"/>
              <w:tr2bl w:val="nil"/>
            </w:tcBorders>
            <w:shd w:val="clear" w:color="auto" w:fill="auto"/>
            <w:noWrap/>
            <w:vAlign w:val="center"/>
          </w:tcPr>
          <w:p w14:paraId="632B4AE2">
            <w:pPr>
              <w:pStyle w:val="58"/>
              <w:bidi w:val="0"/>
              <w:rPr>
                <w:rFonts w:hint="default"/>
                <w:highlight w:val="none"/>
                <w:lang w:val="en-US" w:eastAsia="zh-CN"/>
              </w:rPr>
            </w:pPr>
            <w:r>
              <w:rPr>
                <w:rFonts w:hint="default"/>
                <w:highlight w:val="none"/>
                <w:lang w:val="en-US" w:eastAsia="zh-CN"/>
              </w:rPr>
              <w:t>1.3</w:t>
            </w:r>
          </w:p>
        </w:tc>
        <w:tc>
          <w:tcPr>
            <w:tcW w:w="410" w:type="pct"/>
            <w:tcBorders>
              <w:tl2br w:val="nil"/>
              <w:tr2bl w:val="nil"/>
            </w:tcBorders>
            <w:shd w:val="clear" w:color="auto" w:fill="auto"/>
            <w:noWrap/>
            <w:vAlign w:val="center"/>
          </w:tcPr>
          <w:p w14:paraId="79E0A58E">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2B034D4B">
            <w:pPr>
              <w:pStyle w:val="58"/>
              <w:bidi w:val="0"/>
              <w:rPr>
                <w:rFonts w:hint="default"/>
                <w:highlight w:val="none"/>
                <w:lang w:val="en-US" w:eastAsia="zh-CN"/>
              </w:rPr>
            </w:pPr>
            <w:r>
              <w:rPr>
                <w:rFonts w:hint="default"/>
                <w:highlight w:val="none"/>
                <w:lang w:val="en-US" w:eastAsia="zh-CN"/>
              </w:rPr>
              <w:t>0</w:t>
            </w:r>
          </w:p>
        </w:tc>
      </w:tr>
      <w:tr w14:paraId="7E9CC97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5E273C7A">
            <w:pPr>
              <w:pStyle w:val="58"/>
              <w:bidi w:val="0"/>
              <w:rPr>
                <w:rFonts w:hint="default"/>
                <w:highlight w:val="none"/>
              </w:rPr>
            </w:pPr>
            <w:r>
              <w:rPr>
                <w:rFonts w:hint="default"/>
                <w:highlight w:val="none"/>
                <w:lang w:val="en-US" w:eastAsia="zh-CN"/>
              </w:rPr>
              <w:t>5</w:t>
            </w:r>
          </w:p>
        </w:tc>
        <w:tc>
          <w:tcPr>
            <w:tcW w:w="767" w:type="pct"/>
            <w:tcBorders>
              <w:tl2br w:val="nil"/>
              <w:tr2bl w:val="nil"/>
            </w:tcBorders>
            <w:shd w:val="clear" w:color="auto" w:fill="auto"/>
            <w:vAlign w:val="center"/>
          </w:tcPr>
          <w:p w14:paraId="616DB070">
            <w:pPr>
              <w:pStyle w:val="58"/>
              <w:bidi w:val="0"/>
              <w:rPr>
                <w:rFonts w:hint="default"/>
                <w:highlight w:val="none"/>
                <w:lang w:val="en-US" w:eastAsia="zh-CN"/>
              </w:rPr>
            </w:pPr>
            <w:r>
              <w:rPr>
                <w:rFonts w:hint="default"/>
                <w:highlight w:val="none"/>
                <w:lang w:val="en-US" w:eastAsia="zh-CN"/>
              </w:rPr>
              <w:t>氟化物</w:t>
            </w:r>
          </w:p>
        </w:tc>
        <w:tc>
          <w:tcPr>
            <w:tcW w:w="766" w:type="pct"/>
            <w:tcBorders>
              <w:tl2br w:val="nil"/>
              <w:tr2bl w:val="nil"/>
            </w:tcBorders>
            <w:shd w:val="clear" w:color="auto" w:fill="auto"/>
            <w:noWrap/>
            <w:vAlign w:val="center"/>
          </w:tcPr>
          <w:p w14:paraId="0D7D3438">
            <w:pPr>
              <w:pStyle w:val="58"/>
              <w:bidi w:val="0"/>
              <w:rPr>
                <w:rFonts w:hint="default"/>
                <w:highlight w:val="none"/>
                <w:lang w:val="en-US" w:eastAsia="zh-CN"/>
              </w:rPr>
            </w:pPr>
            <w:r>
              <w:rPr>
                <w:rFonts w:hint="default"/>
                <w:highlight w:val="none"/>
                <w:lang w:val="en-US" w:eastAsia="zh-CN"/>
              </w:rPr>
              <w:t>mg/L</w:t>
            </w:r>
          </w:p>
        </w:tc>
        <w:tc>
          <w:tcPr>
            <w:tcW w:w="651" w:type="pct"/>
            <w:tcBorders>
              <w:tl2br w:val="nil"/>
              <w:tr2bl w:val="nil"/>
            </w:tcBorders>
            <w:shd w:val="clear" w:color="auto" w:fill="auto"/>
            <w:noWrap/>
            <w:vAlign w:val="center"/>
          </w:tcPr>
          <w:p w14:paraId="36B086C2">
            <w:pPr>
              <w:pStyle w:val="58"/>
              <w:bidi w:val="0"/>
              <w:rPr>
                <w:rFonts w:hint="default"/>
                <w:highlight w:val="none"/>
                <w:lang w:val="en-US" w:eastAsia="zh-CN"/>
              </w:rPr>
            </w:pPr>
            <w:r>
              <w:rPr>
                <w:rFonts w:hint="default"/>
                <w:highlight w:val="none"/>
                <w:lang w:val="en-US" w:eastAsia="zh-CN"/>
              </w:rPr>
              <w:t>1.0</w:t>
            </w:r>
          </w:p>
        </w:tc>
        <w:tc>
          <w:tcPr>
            <w:tcW w:w="475" w:type="pct"/>
            <w:tcBorders>
              <w:tl2br w:val="nil"/>
              <w:tr2bl w:val="nil"/>
            </w:tcBorders>
            <w:shd w:val="clear" w:color="auto" w:fill="auto"/>
            <w:noWrap/>
            <w:vAlign w:val="center"/>
          </w:tcPr>
          <w:p w14:paraId="5B418622">
            <w:pPr>
              <w:pStyle w:val="58"/>
              <w:bidi w:val="0"/>
              <w:rPr>
                <w:rFonts w:hint="default"/>
                <w:highlight w:val="none"/>
                <w:lang w:val="en-US" w:eastAsia="zh-CN"/>
              </w:rPr>
            </w:pPr>
            <w:r>
              <w:rPr>
                <w:rFonts w:hint="default"/>
                <w:highlight w:val="none"/>
                <w:lang w:val="en-US" w:eastAsia="zh-CN"/>
              </w:rPr>
              <w:t>0.96</w:t>
            </w:r>
          </w:p>
        </w:tc>
        <w:tc>
          <w:tcPr>
            <w:tcW w:w="475" w:type="pct"/>
            <w:tcBorders>
              <w:tl2br w:val="nil"/>
              <w:tr2bl w:val="nil"/>
            </w:tcBorders>
            <w:shd w:val="clear" w:color="auto" w:fill="auto"/>
            <w:noWrap/>
            <w:vAlign w:val="center"/>
          </w:tcPr>
          <w:p w14:paraId="4F6C2524">
            <w:pPr>
              <w:pStyle w:val="58"/>
              <w:bidi w:val="0"/>
              <w:rPr>
                <w:rFonts w:hint="default"/>
                <w:highlight w:val="none"/>
                <w:lang w:val="en-US" w:eastAsia="zh-CN"/>
              </w:rPr>
            </w:pPr>
            <w:r>
              <w:rPr>
                <w:rFonts w:hint="default"/>
                <w:highlight w:val="none"/>
                <w:lang w:val="en-US" w:eastAsia="zh-CN"/>
              </w:rPr>
              <w:t>0.014</w:t>
            </w:r>
          </w:p>
        </w:tc>
        <w:tc>
          <w:tcPr>
            <w:tcW w:w="670" w:type="pct"/>
            <w:tcBorders>
              <w:tl2br w:val="nil"/>
              <w:tr2bl w:val="nil"/>
            </w:tcBorders>
            <w:shd w:val="clear" w:color="auto" w:fill="auto"/>
            <w:noWrap/>
            <w:vAlign w:val="center"/>
          </w:tcPr>
          <w:p w14:paraId="3B6A6301">
            <w:pPr>
              <w:pStyle w:val="58"/>
              <w:bidi w:val="0"/>
              <w:rPr>
                <w:rFonts w:hint="default"/>
                <w:highlight w:val="none"/>
                <w:lang w:val="en-US" w:eastAsia="zh-CN"/>
              </w:rPr>
            </w:pPr>
            <w:r>
              <w:rPr>
                <w:rFonts w:hint="default"/>
                <w:highlight w:val="none"/>
                <w:lang w:val="en-US" w:eastAsia="zh-CN"/>
              </w:rPr>
              <w:t>0.351</w:t>
            </w:r>
          </w:p>
        </w:tc>
        <w:tc>
          <w:tcPr>
            <w:tcW w:w="410" w:type="pct"/>
            <w:tcBorders>
              <w:tl2br w:val="nil"/>
              <w:tr2bl w:val="nil"/>
            </w:tcBorders>
            <w:shd w:val="clear" w:color="auto" w:fill="auto"/>
            <w:noWrap/>
            <w:vAlign w:val="center"/>
          </w:tcPr>
          <w:p w14:paraId="331DA426">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40B355FA">
            <w:pPr>
              <w:pStyle w:val="58"/>
              <w:bidi w:val="0"/>
              <w:rPr>
                <w:rFonts w:hint="default"/>
                <w:highlight w:val="none"/>
                <w:lang w:val="en-US" w:eastAsia="zh-CN"/>
              </w:rPr>
            </w:pPr>
            <w:r>
              <w:rPr>
                <w:rFonts w:hint="default"/>
                <w:highlight w:val="none"/>
                <w:lang w:val="en-US" w:eastAsia="zh-CN"/>
              </w:rPr>
              <w:t>0</w:t>
            </w:r>
          </w:p>
        </w:tc>
      </w:tr>
      <w:tr w14:paraId="166A1EA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2D102855">
            <w:pPr>
              <w:pStyle w:val="58"/>
              <w:bidi w:val="0"/>
              <w:rPr>
                <w:rFonts w:hint="default"/>
                <w:highlight w:val="none"/>
              </w:rPr>
            </w:pPr>
            <w:r>
              <w:rPr>
                <w:rFonts w:hint="default"/>
                <w:highlight w:val="none"/>
                <w:lang w:val="en-US" w:eastAsia="zh-CN"/>
              </w:rPr>
              <w:t>6</w:t>
            </w:r>
          </w:p>
        </w:tc>
        <w:tc>
          <w:tcPr>
            <w:tcW w:w="767" w:type="pct"/>
            <w:tcBorders>
              <w:tl2br w:val="nil"/>
              <w:tr2bl w:val="nil"/>
            </w:tcBorders>
            <w:shd w:val="clear" w:color="auto" w:fill="auto"/>
            <w:vAlign w:val="center"/>
          </w:tcPr>
          <w:p w14:paraId="385409AA">
            <w:pPr>
              <w:pStyle w:val="58"/>
              <w:bidi w:val="0"/>
              <w:rPr>
                <w:rFonts w:hint="default"/>
                <w:highlight w:val="none"/>
                <w:lang w:val="en-US" w:eastAsia="zh-CN"/>
              </w:rPr>
            </w:pPr>
            <w:r>
              <w:rPr>
                <w:rFonts w:hint="default"/>
                <w:highlight w:val="none"/>
                <w:lang w:val="en-US" w:eastAsia="zh-CN"/>
              </w:rPr>
              <w:t>氯化物</w:t>
            </w:r>
          </w:p>
        </w:tc>
        <w:tc>
          <w:tcPr>
            <w:tcW w:w="766" w:type="pct"/>
            <w:tcBorders>
              <w:tl2br w:val="nil"/>
              <w:tr2bl w:val="nil"/>
            </w:tcBorders>
            <w:shd w:val="clear" w:color="auto" w:fill="auto"/>
            <w:noWrap/>
            <w:vAlign w:val="center"/>
          </w:tcPr>
          <w:p w14:paraId="4ECA1787">
            <w:pPr>
              <w:pStyle w:val="58"/>
              <w:bidi w:val="0"/>
              <w:rPr>
                <w:rFonts w:hint="default"/>
                <w:highlight w:val="none"/>
                <w:lang w:val="en-US" w:eastAsia="zh-CN"/>
              </w:rPr>
            </w:pPr>
            <w:r>
              <w:rPr>
                <w:rFonts w:hint="default"/>
                <w:highlight w:val="none"/>
                <w:lang w:val="en-US" w:eastAsia="zh-CN"/>
              </w:rPr>
              <w:t>mg/L</w:t>
            </w:r>
          </w:p>
        </w:tc>
        <w:tc>
          <w:tcPr>
            <w:tcW w:w="651" w:type="pct"/>
            <w:tcBorders>
              <w:tl2br w:val="nil"/>
              <w:tr2bl w:val="nil"/>
            </w:tcBorders>
            <w:shd w:val="clear" w:color="auto" w:fill="auto"/>
            <w:noWrap/>
            <w:vAlign w:val="center"/>
          </w:tcPr>
          <w:p w14:paraId="6E38BA12">
            <w:pPr>
              <w:pStyle w:val="58"/>
              <w:bidi w:val="0"/>
              <w:rPr>
                <w:rFonts w:hint="default"/>
                <w:highlight w:val="none"/>
                <w:lang w:val="en-US" w:eastAsia="zh-CN"/>
              </w:rPr>
            </w:pPr>
            <w:r>
              <w:rPr>
                <w:rFonts w:hint="default"/>
                <w:highlight w:val="none"/>
                <w:lang w:val="en-US" w:eastAsia="zh-CN"/>
              </w:rPr>
              <w:t>250</w:t>
            </w:r>
          </w:p>
        </w:tc>
        <w:tc>
          <w:tcPr>
            <w:tcW w:w="475" w:type="pct"/>
            <w:tcBorders>
              <w:tl2br w:val="nil"/>
              <w:tr2bl w:val="nil"/>
            </w:tcBorders>
            <w:shd w:val="clear" w:color="auto" w:fill="auto"/>
            <w:noWrap/>
            <w:vAlign w:val="center"/>
          </w:tcPr>
          <w:p w14:paraId="0181168B">
            <w:pPr>
              <w:pStyle w:val="58"/>
              <w:bidi w:val="0"/>
              <w:rPr>
                <w:rFonts w:hint="default"/>
                <w:highlight w:val="none"/>
                <w:lang w:val="en-US" w:eastAsia="zh-CN"/>
              </w:rPr>
            </w:pPr>
            <w:r>
              <w:rPr>
                <w:rFonts w:hint="default"/>
                <w:highlight w:val="none"/>
                <w:lang w:val="en-US" w:eastAsia="zh-CN"/>
              </w:rPr>
              <w:t>99.9</w:t>
            </w:r>
          </w:p>
        </w:tc>
        <w:tc>
          <w:tcPr>
            <w:tcW w:w="475" w:type="pct"/>
            <w:tcBorders>
              <w:tl2br w:val="nil"/>
              <w:tr2bl w:val="nil"/>
            </w:tcBorders>
            <w:shd w:val="clear" w:color="auto" w:fill="auto"/>
            <w:noWrap/>
            <w:vAlign w:val="center"/>
          </w:tcPr>
          <w:p w14:paraId="09A27914">
            <w:pPr>
              <w:pStyle w:val="58"/>
              <w:bidi w:val="0"/>
              <w:rPr>
                <w:rFonts w:hint="default"/>
                <w:highlight w:val="none"/>
                <w:lang w:val="en-US" w:eastAsia="zh-CN"/>
              </w:rPr>
            </w:pPr>
            <w:r>
              <w:rPr>
                <w:rFonts w:hint="default"/>
                <w:highlight w:val="none"/>
                <w:lang w:val="en-US" w:eastAsia="zh-CN"/>
              </w:rPr>
              <w:t>36</w:t>
            </w:r>
          </w:p>
        </w:tc>
        <w:tc>
          <w:tcPr>
            <w:tcW w:w="670" w:type="pct"/>
            <w:tcBorders>
              <w:tl2br w:val="nil"/>
              <w:tr2bl w:val="nil"/>
            </w:tcBorders>
            <w:shd w:val="clear" w:color="auto" w:fill="auto"/>
            <w:noWrap/>
            <w:vAlign w:val="center"/>
          </w:tcPr>
          <w:p w14:paraId="6C96BDF6">
            <w:pPr>
              <w:pStyle w:val="58"/>
              <w:bidi w:val="0"/>
              <w:rPr>
                <w:rFonts w:hint="default"/>
                <w:highlight w:val="none"/>
                <w:lang w:val="en-US" w:eastAsia="zh-CN"/>
              </w:rPr>
            </w:pPr>
            <w:r>
              <w:rPr>
                <w:rFonts w:hint="default"/>
                <w:highlight w:val="none"/>
                <w:lang w:val="en-US" w:eastAsia="zh-CN"/>
              </w:rPr>
              <w:t>72.9</w:t>
            </w:r>
          </w:p>
        </w:tc>
        <w:tc>
          <w:tcPr>
            <w:tcW w:w="410" w:type="pct"/>
            <w:tcBorders>
              <w:tl2br w:val="nil"/>
              <w:tr2bl w:val="nil"/>
            </w:tcBorders>
            <w:shd w:val="clear" w:color="auto" w:fill="auto"/>
            <w:noWrap/>
            <w:vAlign w:val="center"/>
          </w:tcPr>
          <w:p w14:paraId="51E1E3EC">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53001667">
            <w:pPr>
              <w:pStyle w:val="58"/>
              <w:bidi w:val="0"/>
              <w:rPr>
                <w:rFonts w:hint="default"/>
                <w:highlight w:val="none"/>
                <w:lang w:val="en-US" w:eastAsia="zh-CN"/>
              </w:rPr>
            </w:pPr>
            <w:r>
              <w:rPr>
                <w:rFonts w:hint="default"/>
                <w:highlight w:val="none"/>
                <w:lang w:val="en-US" w:eastAsia="zh-CN"/>
              </w:rPr>
              <w:t>0</w:t>
            </w:r>
          </w:p>
        </w:tc>
      </w:tr>
      <w:tr w14:paraId="0E077CD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5E392266">
            <w:pPr>
              <w:pStyle w:val="58"/>
              <w:bidi w:val="0"/>
              <w:rPr>
                <w:rFonts w:hint="default"/>
                <w:highlight w:val="none"/>
              </w:rPr>
            </w:pPr>
            <w:r>
              <w:rPr>
                <w:rFonts w:hint="default"/>
                <w:highlight w:val="none"/>
                <w:lang w:val="en-US" w:eastAsia="zh-CN"/>
              </w:rPr>
              <w:t>7</w:t>
            </w:r>
          </w:p>
        </w:tc>
        <w:tc>
          <w:tcPr>
            <w:tcW w:w="767" w:type="pct"/>
            <w:tcBorders>
              <w:tl2br w:val="nil"/>
              <w:tr2bl w:val="nil"/>
            </w:tcBorders>
            <w:shd w:val="clear" w:color="auto" w:fill="auto"/>
            <w:vAlign w:val="center"/>
          </w:tcPr>
          <w:p w14:paraId="3C7C808D">
            <w:pPr>
              <w:pStyle w:val="58"/>
              <w:bidi w:val="0"/>
              <w:rPr>
                <w:rFonts w:hint="default"/>
                <w:highlight w:val="none"/>
                <w:lang w:val="en-US" w:eastAsia="zh-CN"/>
              </w:rPr>
            </w:pPr>
            <w:r>
              <w:rPr>
                <w:rFonts w:hint="default"/>
                <w:highlight w:val="none"/>
                <w:lang w:val="en-US" w:eastAsia="zh-CN"/>
              </w:rPr>
              <w:t>硫酸盐</w:t>
            </w:r>
          </w:p>
        </w:tc>
        <w:tc>
          <w:tcPr>
            <w:tcW w:w="766" w:type="pct"/>
            <w:tcBorders>
              <w:tl2br w:val="nil"/>
              <w:tr2bl w:val="nil"/>
            </w:tcBorders>
            <w:shd w:val="clear" w:color="auto" w:fill="auto"/>
            <w:noWrap/>
            <w:vAlign w:val="center"/>
          </w:tcPr>
          <w:p w14:paraId="056AECA7">
            <w:pPr>
              <w:pStyle w:val="58"/>
              <w:bidi w:val="0"/>
              <w:rPr>
                <w:rFonts w:hint="default"/>
                <w:highlight w:val="none"/>
                <w:lang w:val="en-US" w:eastAsia="zh-CN"/>
              </w:rPr>
            </w:pPr>
            <w:r>
              <w:rPr>
                <w:rFonts w:hint="default"/>
                <w:highlight w:val="none"/>
                <w:lang w:val="en-US" w:eastAsia="zh-CN"/>
              </w:rPr>
              <w:t>mg/L</w:t>
            </w:r>
          </w:p>
        </w:tc>
        <w:tc>
          <w:tcPr>
            <w:tcW w:w="651" w:type="pct"/>
            <w:tcBorders>
              <w:tl2br w:val="nil"/>
              <w:tr2bl w:val="nil"/>
            </w:tcBorders>
            <w:shd w:val="clear" w:color="auto" w:fill="auto"/>
            <w:noWrap/>
            <w:vAlign w:val="center"/>
          </w:tcPr>
          <w:p w14:paraId="4D18968D">
            <w:pPr>
              <w:pStyle w:val="58"/>
              <w:bidi w:val="0"/>
              <w:rPr>
                <w:rFonts w:hint="default"/>
                <w:highlight w:val="none"/>
                <w:lang w:val="en-US" w:eastAsia="zh-CN"/>
              </w:rPr>
            </w:pPr>
            <w:r>
              <w:rPr>
                <w:rFonts w:hint="default"/>
                <w:highlight w:val="none"/>
                <w:lang w:val="en-US" w:eastAsia="zh-CN"/>
              </w:rPr>
              <w:t>250</w:t>
            </w:r>
          </w:p>
        </w:tc>
        <w:tc>
          <w:tcPr>
            <w:tcW w:w="475" w:type="pct"/>
            <w:tcBorders>
              <w:tl2br w:val="nil"/>
              <w:tr2bl w:val="nil"/>
            </w:tcBorders>
            <w:shd w:val="clear" w:color="auto" w:fill="auto"/>
            <w:noWrap/>
            <w:vAlign w:val="center"/>
          </w:tcPr>
          <w:p w14:paraId="7B3CA7D3">
            <w:pPr>
              <w:pStyle w:val="58"/>
              <w:bidi w:val="0"/>
              <w:rPr>
                <w:rFonts w:hint="default"/>
                <w:highlight w:val="none"/>
                <w:lang w:val="en-US" w:eastAsia="zh-CN"/>
              </w:rPr>
            </w:pPr>
            <w:r>
              <w:rPr>
                <w:rFonts w:hint="default"/>
                <w:highlight w:val="none"/>
                <w:lang w:val="en-US" w:eastAsia="zh-CN"/>
              </w:rPr>
              <w:t>133</w:t>
            </w:r>
          </w:p>
        </w:tc>
        <w:tc>
          <w:tcPr>
            <w:tcW w:w="475" w:type="pct"/>
            <w:tcBorders>
              <w:tl2br w:val="nil"/>
              <w:tr2bl w:val="nil"/>
            </w:tcBorders>
            <w:shd w:val="clear" w:color="auto" w:fill="auto"/>
            <w:noWrap/>
            <w:vAlign w:val="center"/>
          </w:tcPr>
          <w:p w14:paraId="2CAFEF60">
            <w:pPr>
              <w:pStyle w:val="58"/>
              <w:bidi w:val="0"/>
              <w:rPr>
                <w:rFonts w:hint="default"/>
                <w:highlight w:val="none"/>
                <w:lang w:val="en-US" w:eastAsia="zh-CN"/>
              </w:rPr>
            </w:pPr>
            <w:r>
              <w:rPr>
                <w:rFonts w:hint="default"/>
                <w:highlight w:val="none"/>
                <w:lang w:val="en-US" w:eastAsia="zh-CN"/>
              </w:rPr>
              <w:t>81.1</w:t>
            </w:r>
          </w:p>
        </w:tc>
        <w:tc>
          <w:tcPr>
            <w:tcW w:w="670" w:type="pct"/>
            <w:tcBorders>
              <w:tl2br w:val="nil"/>
              <w:tr2bl w:val="nil"/>
            </w:tcBorders>
            <w:shd w:val="clear" w:color="auto" w:fill="auto"/>
            <w:noWrap/>
            <w:vAlign w:val="center"/>
          </w:tcPr>
          <w:p w14:paraId="1B93D213">
            <w:pPr>
              <w:pStyle w:val="58"/>
              <w:bidi w:val="0"/>
              <w:rPr>
                <w:rFonts w:hint="default"/>
                <w:highlight w:val="none"/>
                <w:lang w:val="en-US" w:eastAsia="zh-CN"/>
              </w:rPr>
            </w:pPr>
            <w:r>
              <w:rPr>
                <w:rFonts w:hint="default"/>
                <w:highlight w:val="none"/>
                <w:lang w:val="en-US" w:eastAsia="zh-CN"/>
              </w:rPr>
              <w:t>104.7</w:t>
            </w:r>
          </w:p>
        </w:tc>
        <w:tc>
          <w:tcPr>
            <w:tcW w:w="410" w:type="pct"/>
            <w:tcBorders>
              <w:tl2br w:val="nil"/>
              <w:tr2bl w:val="nil"/>
            </w:tcBorders>
            <w:shd w:val="clear" w:color="auto" w:fill="auto"/>
            <w:noWrap/>
            <w:vAlign w:val="center"/>
          </w:tcPr>
          <w:p w14:paraId="2ECE7774">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0499669E">
            <w:pPr>
              <w:pStyle w:val="58"/>
              <w:bidi w:val="0"/>
              <w:rPr>
                <w:rFonts w:hint="default"/>
                <w:highlight w:val="none"/>
                <w:lang w:val="en-US" w:eastAsia="zh-CN"/>
              </w:rPr>
            </w:pPr>
            <w:r>
              <w:rPr>
                <w:rFonts w:hint="default"/>
                <w:highlight w:val="none"/>
                <w:lang w:val="en-US" w:eastAsia="zh-CN"/>
              </w:rPr>
              <w:t>0</w:t>
            </w:r>
          </w:p>
        </w:tc>
      </w:tr>
      <w:tr w14:paraId="38573AF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472FEAC0">
            <w:pPr>
              <w:pStyle w:val="58"/>
              <w:bidi w:val="0"/>
              <w:rPr>
                <w:rFonts w:hint="default"/>
                <w:highlight w:val="none"/>
              </w:rPr>
            </w:pPr>
            <w:r>
              <w:rPr>
                <w:rFonts w:hint="default"/>
                <w:highlight w:val="none"/>
                <w:lang w:val="en-US" w:eastAsia="zh-CN"/>
              </w:rPr>
              <w:t>8</w:t>
            </w:r>
          </w:p>
        </w:tc>
        <w:tc>
          <w:tcPr>
            <w:tcW w:w="767" w:type="pct"/>
            <w:tcBorders>
              <w:tl2br w:val="nil"/>
              <w:tr2bl w:val="nil"/>
            </w:tcBorders>
            <w:shd w:val="clear" w:color="auto" w:fill="auto"/>
            <w:vAlign w:val="center"/>
          </w:tcPr>
          <w:p w14:paraId="2C018FB3">
            <w:pPr>
              <w:pStyle w:val="58"/>
              <w:bidi w:val="0"/>
              <w:rPr>
                <w:rFonts w:hint="default"/>
                <w:highlight w:val="none"/>
                <w:lang w:val="en-US" w:eastAsia="zh-CN"/>
              </w:rPr>
            </w:pPr>
            <w:r>
              <w:rPr>
                <w:rFonts w:hint="default"/>
                <w:highlight w:val="none"/>
                <w:lang w:val="en-US" w:eastAsia="zh-CN"/>
              </w:rPr>
              <w:t>硝酸盐氮</w:t>
            </w:r>
          </w:p>
        </w:tc>
        <w:tc>
          <w:tcPr>
            <w:tcW w:w="766" w:type="pct"/>
            <w:tcBorders>
              <w:tl2br w:val="nil"/>
              <w:tr2bl w:val="nil"/>
            </w:tcBorders>
            <w:shd w:val="clear" w:color="auto" w:fill="auto"/>
            <w:noWrap/>
            <w:vAlign w:val="center"/>
          </w:tcPr>
          <w:p w14:paraId="67653FFA">
            <w:pPr>
              <w:pStyle w:val="58"/>
              <w:bidi w:val="0"/>
              <w:rPr>
                <w:rFonts w:hint="default"/>
                <w:highlight w:val="none"/>
                <w:lang w:val="en-US" w:eastAsia="zh-CN"/>
              </w:rPr>
            </w:pPr>
            <w:r>
              <w:rPr>
                <w:rFonts w:hint="default"/>
                <w:highlight w:val="none"/>
                <w:lang w:val="en-US" w:eastAsia="zh-CN"/>
              </w:rPr>
              <w:t>mg/L</w:t>
            </w:r>
          </w:p>
        </w:tc>
        <w:tc>
          <w:tcPr>
            <w:tcW w:w="651" w:type="pct"/>
            <w:tcBorders>
              <w:tl2br w:val="nil"/>
              <w:tr2bl w:val="nil"/>
            </w:tcBorders>
            <w:shd w:val="clear" w:color="auto" w:fill="auto"/>
            <w:noWrap/>
            <w:vAlign w:val="center"/>
          </w:tcPr>
          <w:p w14:paraId="10528B09">
            <w:pPr>
              <w:pStyle w:val="58"/>
              <w:bidi w:val="0"/>
              <w:rPr>
                <w:rFonts w:hint="default"/>
                <w:highlight w:val="none"/>
                <w:lang w:val="en-US" w:eastAsia="zh-CN"/>
              </w:rPr>
            </w:pPr>
            <w:r>
              <w:rPr>
                <w:rFonts w:hint="default"/>
                <w:highlight w:val="none"/>
                <w:lang w:val="en-US" w:eastAsia="zh-CN"/>
              </w:rPr>
              <w:t>20</w:t>
            </w:r>
          </w:p>
        </w:tc>
        <w:tc>
          <w:tcPr>
            <w:tcW w:w="475" w:type="pct"/>
            <w:tcBorders>
              <w:tl2br w:val="nil"/>
              <w:tr2bl w:val="nil"/>
            </w:tcBorders>
            <w:shd w:val="clear" w:color="auto" w:fill="auto"/>
            <w:noWrap/>
            <w:vAlign w:val="center"/>
          </w:tcPr>
          <w:p w14:paraId="55D90DC3">
            <w:pPr>
              <w:pStyle w:val="58"/>
              <w:bidi w:val="0"/>
              <w:rPr>
                <w:rFonts w:hint="default"/>
                <w:highlight w:val="none"/>
                <w:lang w:val="en-US" w:eastAsia="zh-CN"/>
              </w:rPr>
            </w:pPr>
            <w:r>
              <w:rPr>
                <w:rFonts w:hint="default"/>
                <w:highlight w:val="none"/>
                <w:lang w:val="en-US" w:eastAsia="zh-CN"/>
              </w:rPr>
              <w:t>0.7</w:t>
            </w:r>
          </w:p>
        </w:tc>
        <w:tc>
          <w:tcPr>
            <w:tcW w:w="475" w:type="pct"/>
            <w:tcBorders>
              <w:tl2br w:val="nil"/>
              <w:tr2bl w:val="nil"/>
            </w:tcBorders>
            <w:shd w:val="clear" w:color="auto" w:fill="auto"/>
            <w:noWrap/>
            <w:vAlign w:val="center"/>
          </w:tcPr>
          <w:p w14:paraId="1434A88D">
            <w:pPr>
              <w:pStyle w:val="58"/>
              <w:bidi w:val="0"/>
              <w:rPr>
                <w:rFonts w:hint="default"/>
                <w:highlight w:val="none"/>
                <w:lang w:val="en-US" w:eastAsia="zh-CN"/>
              </w:rPr>
            </w:pPr>
            <w:r>
              <w:rPr>
                <w:rFonts w:hint="default"/>
                <w:highlight w:val="none"/>
                <w:lang w:val="en-US" w:eastAsia="zh-CN"/>
              </w:rPr>
              <w:t>0.016</w:t>
            </w:r>
          </w:p>
        </w:tc>
        <w:tc>
          <w:tcPr>
            <w:tcW w:w="670" w:type="pct"/>
            <w:tcBorders>
              <w:tl2br w:val="nil"/>
              <w:tr2bl w:val="nil"/>
            </w:tcBorders>
            <w:shd w:val="clear" w:color="auto" w:fill="auto"/>
            <w:noWrap/>
            <w:vAlign w:val="center"/>
          </w:tcPr>
          <w:p w14:paraId="6673850D">
            <w:pPr>
              <w:pStyle w:val="58"/>
              <w:bidi w:val="0"/>
              <w:rPr>
                <w:rFonts w:hint="default"/>
                <w:highlight w:val="none"/>
                <w:lang w:val="en-US" w:eastAsia="zh-CN"/>
              </w:rPr>
            </w:pPr>
            <w:r>
              <w:rPr>
                <w:rFonts w:hint="default"/>
                <w:highlight w:val="none"/>
                <w:lang w:val="en-US" w:eastAsia="zh-CN"/>
              </w:rPr>
              <w:t>0.253</w:t>
            </w:r>
          </w:p>
        </w:tc>
        <w:tc>
          <w:tcPr>
            <w:tcW w:w="410" w:type="pct"/>
            <w:tcBorders>
              <w:tl2br w:val="nil"/>
              <w:tr2bl w:val="nil"/>
            </w:tcBorders>
            <w:shd w:val="clear" w:color="auto" w:fill="auto"/>
            <w:noWrap/>
            <w:vAlign w:val="center"/>
          </w:tcPr>
          <w:p w14:paraId="532C29C9">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3161745B">
            <w:pPr>
              <w:pStyle w:val="58"/>
              <w:bidi w:val="0"/>
              <w:rPr>
                <w:rFonts w:hint="default"/>
                <w:highlight w:val="none"/>
                <w:lang w:val="en-US" w:eastAsia="zh-CN"/>
              </w:rPr>
            </w:pPr>
            <w:r>
              <w:rPr>
                <w:rFonts w:hint="default"/>
                <w:highlight w:val="none"/>
                <w:lang w:val="en-US" w:eastAsia="zh-CN"/>
              </w:rPr>
              <w:t>0</w:t>
            </w:r>
          </w:p>
        </w:tc>
      </w:tr>
      <w:tr w14:paraId="7F316B8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237332AD">
            <w:pPr>
              <w:pStyle w:val="58"/>
              <w:bidi w:val="0"/>
              <w:rPr>
                <w:rFonts w:hint="default"/>
                <w:highlight w:val="none"/>
              </w:rPr>
            </w:pPr>
            <w:r>
              <w:rPr>
                <w:rFonts w:hint="default"/>
                <w:highlight w:val="none"/>
                <w:lang w:val="en-US" w:eastAsia="zh-CN"/>
              </w:rPr>
              <w:t>9</w:t>
            </w:r>
          </w:p>
        </w:tc>
        <w:tc>
          <w:tcPr>
            <w:tcW w:w="767" w:type="pct"/>
            <w:tcBorders>
              <w:tl2br w:val="nil"/>
              <w:tr2bl w:val="nil"/>
            </w:tcBorders>
            <w:shd w:val="clear" w:color="auto" w:fill="auto"/>
            <w:vAlign w:val="center"/>
          </w:tcPr>
          <w:p w14:paraId="3A60E121">
            <w:pPr>
              <w:pStyle w:val="58"/>
              <w:bidi w:val="0"/>
              <w:rPr>
                <w:rFonts w:hint="default"/>
                <w:highlight w:val="none"/>
                <w:lang w:val="en-US" w:eastAsia="zh-CN"/>
              </w:rPr>
            </w:pPr>
            <w:r>
              <w:rPr>
                <w:rFonts w:hint="default"/>
                <w:highlight w:val="none"/>
                <w:lang w:val="en-US" w:eastAsia="zh-CN"/>
              </w:rPr>
              <w:t>氨氮</w:t>
            </w:r>
          </w:p>
        </w:tc>
        <w:tc>
          <w:tcPr>
            <w:tcW w:w="766" w:type="pct"/>
            <w:tcBorders>
              <w:tl2br w:val="nil"/>
              <w:tr2bl w:val="nil"/>
            </w:tcBorders>
            <w:shd w:val="clear" w:color="auto" w:fill="auto"/>
            <w:vAlign w:val="center"/>
          </w:tcPr>
          <w:p w14:paraId="18328C8C">
            <w:pPr>
              <w:pStyle w:val="58"/>
              <w:bidi w:val="0"/>
              <w:rPr>
                <w:rFonts w:hint="default"/>
                <w:highlight w:val="none"/>
                <w:lang w:val="en-US" w:eastAsia="zh-CN"/>
              </w:rPr>
            </w:pPr>
            <w:r>
              <w:rPr>
                <w:rFonts w:hint="default"/>
                <w:highlight w:val="none"/>
                <w:lang w:val="en-US" w:eastAsia="zh-CN"/>
              </w:rPr>
              <w:t>mg/L</w:t>
            </w:r>
          </w:p>
        </w:tc>
        <w:tc>
          <w:tcPr>
            <w:tcW w:w="651" w:type="pct"/>
            <w:tcBorders>
              <w:tl2br w:val="nil"/>
              <w:tr2bl w:val="nil"/>
            </w:tcBorders>
            <w:shd w:val="clear" w:color="auto" w:fill="auto"/>
            <w:noWrap/>
            <w:vAlign w:val="center"/>
          </w:tcPr>
          <w:p w14:paraId="4A49CE0B">
            <w:pPr>
              <w:pStyle w:val="58"/>
              <w:bidi w:val="0"/>
              <w:rPr>
                <w:rFonts w:hint="default"/>
                <w:highlight w:val="none"/>
                <w:lang w:val="en-US" w:eastAsia="zh-CN"/>
              </w:rPr>
            </w:pPr>
            <w:r>
              <w:rPr>
                <w:rFonts w:hint="default"/>
                <w:highlight w:val="none"/>
                <w:lang w:val="en-US" w:eastAsia="zh-CN"/>
              </w:rPr>
              <w:t>0.5</w:t>
            </w:r>
          </w:p>
        </w:tc>
        <w:tc>
          <w:tcPr>
            <w:tcW w:w="475" w:type="pct"/>
            <w:tcBorders>
              <w:tl2br w:val="nil"/>
              <w:tr2bl w:val="nil"/>
            </w:tcBorders>
            <w:shd w:val="clear" w:color="auto" w:fill="auto"/>
            <w:noWrap/>
            <w:vAlign w:val="center"/>
          </w:tcPr>
          <w:p w14:paraId="0E0E5474">
            <w:pPr>
              <w:pStyle w:val="58"/>
              <w:bidi w:val="0"/>
              <w:rPr>
                <w:rFonts w:hint="default"/>
                <w:highlight w:val="none"/>
                <w:lang w:val="en-US" w:eastAsia="zh-CN"/>
              </w:rPr>
            </w:pPr>
            <w:r>
              <w:rPr>
                <w:rFonts w:hint="default"/>
                <w:highlight w:val="none"/>
                <w:lang w:val="en-US" w:eastAsia="zh-CN"/>
              </w:rPr>
              <w:t>0.274</w:t>
            </w:r>
          </w:p>
        </w:tc>
        <w:tc>
          <w:tcPr>
            <w:tcW w:w="475" w:type="pct"/>
            <w:tcBorders>
              <w:tl2br w:val="nil"/>
              <w:tr2bl w:val="nil"/>
            </w:tcBorders>
            <w:shd w:val="clear" w:color="auto" w:fill="auto"/>
            <w:noWrap/>
            <w:vAlign w:val="center"/>
          </w:tcPr>
          <w:p w14:paraId="482CF6C6">
            <w:pPr>
              <w:pStyle w:val="58"/>
              <w:bidi w:val="0"/>
              <w:rPr>
                <w:rFonts w:hint="default"/>
                <w:highlight w:val="none"/>
                <w:lang w:val="en-US" w:eastAsia="zh-CN"/>
              </w:rPr>
            </w:pPr>
            <w:r>
              <w:rPr>
                <w:rFonts w:hint="default"/>
                <w:highlight w:val="none"/>
                <w:lang w:val="en-US" w:eastAsia="zh-CN"/>
              </w:rPr>
              <w:t>0.16</w:t>
            </w:r>
          </w:p>
        </w:tc>
        <w:tc>
          <w:tcPr>
            <w:tcW w:w="670" w:type="pct"/>
            <w:tcBorders>
              <w:tl2br w:val="nil"/>
              <w:tr2bl w:val="nil"/>
            </w:tcBorders>
            <w:shd w:val="clear" w:color="auto" w:fill="auto"/>
            <w:noWrap/>
            <w:vAlign w:val="center"/>
          </w:tcPr>
          <w:p w14:paraId="6E860CEE">
            <w:pPr>
              <w:pStyle w:val="58"/>
              <w:bidi w:val="0"/>
              <w:rPr>
                <w:rFonts w:hint="default"/>
                <w:highlight w:val="none"/>
                <w:lang w:val="en-US" w:eastAsia="zh-CN"/>
              </w:rPr>
            </w:pPr>
            <w:r>
              <w:rPr>
                <w:rFonts w:hint="default"/>
                <w:highlight w:val="none"/>
                <w:lang w:val="en-US" w:eastAsia="zh-CN"/>
              </w:rPr>
              <w:t>0.213</w:t>
            </w:r>
          </w:p>
        </w:tc>
        <w:tc>
          <w:tcPr>
            <w:tcW w:w="410" w:type="pct"/>
            <w:tcBorders>
              <w:tl2br w:val="nil"/>
              <w:tr2bl w:val="nil"/>
            </w:tcBorders>
            <w:shd w:val="clear" w:color="auto" w:fill="auto"/>
            <w:noWrap/>
            <w:vAlign w:val="center"/>
          </w:tcPr>
          <w:p w14:paraId="7F2B0C66">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0B395253">
            <w:pPr>
              <w:pStyle w:val="58"/>
              <w:bidi w:val="0"/>
              <w:rPr>
                <w:rFonts w:hint="default"/>
                <w:highlight w:val="none"/>
                <w:lang w:val="en-US" w:eastAsia="zh-CN"/>
              </w:rPr>
            </w:pPr>
            <w:r>
              <w:rPr>
                <w:rFonts w:hint="default"/>
                <w:highlight w:val="none"/>
                <w:lang w:val="en-US" w:eastAsia="zh-CN"/>
              </w:rPr>
              <w:t>0</w:t>
            </w:r>
          </w:p>
        </w:tc>
      </w:tr>
      <w:tr w14:paraId="404AA9B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75176ECB">
            <w:pPr>
              <w:pStyle w:val="58"/>
              <w:bidi w:val="0"/>
              <w:rPr>
                <w:rFonts w:hint="default"/>
                <w:highlight w:val="none"/>
              </w:rPr>
            </w:pPr>
            <w:r>
              <w:rPr>
                <w:rFonts w:hint="default"/>
                <w:highlight w:val="none"/>
                <w:lang w:val="en-US" w:eastAsia="zh-CN"/>
              </w:rPr>
              <w:t>10</w:t>
            </w:r>
          </w:p>
        </w:tc>
        <w:tc>
          <w:tcPr>
            <w:tcW w:w="767" w:type="pct"/>
            <w:tcBorders>
              <w:tl2br w:val="nil"/>
              <w:tr2bl w:val="nil"/>
            </w:tcBorders>
            <w:shd w:val="clear" w:color="auto" w:fill="auto"/>
            <w:vAlign w:val="center"/>
          </w:tcPr>
          <w:p w14:paraId="791A58A3">
            <w:pPr>
              <w:pStyle w:val="58"/>
              <w:bidi w:val="0"/>
              <w:rPr>
                <w:rFonts w:hint="default"/>
                <w:highlight w:val="none"/>
                <w:lang w:val="en-US" w:eastAsia="zh-CN"/>
              </w:rPr>
            </w:pPr>
            <w:r>
              <w:rPr>
                <w:rFonts w:hint="default"/>
                <w:highlight w:val="none"/>
                <w:lang w:val="en-US" w:eastAsia="zh-CN"/>
              </w:rPr>
              <w:t>亚硝酸盐氮</w:t>
            </w:r>
          </w:p>
        </w:tc>
        <w:tc>
          <w:tcPr>
            <w:tcW w:w="766" w:type="pct"/>
            <w:tcBorders>
              <w:tl2br w:val="nil"/>
              <w:tr2bl w:val="nil"/>
            </w:tcBorders>
            <w:shd w:val="clear" w:color="auto" w:fill="auto"/>
            <w:noWrap/>
            <w:vAlign w:val="center"/>
          </w:tcPr>
          <w:p w14:paraId="1DDA49E0">
            <w:pPr>
              <w:pStyle w:val="58"/>
              <w:bidi w:val="0"/>
              <w:rPr>
                <w:rFonts w:hint="default"/>
                <w:highlight w:val="none"/>
                <w:lang w:val="en-US" w:eastAsia="zh-CN"/>
              </w:rPr>
            </w:pPr>
            <w:r>
              <w:rPr>
                <w:rFonts w:hint="default"/>
                <w:highlight w:val="none"/>
                <w:lang w:val="en-US" w:eastAsia="zh-CN"/>
              </w:rPr>
              <w:t>mg/L</w:t>
            </w:r>
          </w:p>
        </w:tc>
        <w:tc>
          <w:tcPr>
            <w:tcW w:w="651" w:type="pct"/>
            <w:tcBorders>
              <w:tl2br w:val="nil"/>
              <w:tr2bl w:val="nil"/>
            </w:tcBorders>
            <w:shd w:val="clear" w:color="auto" w:fill="auto"/>
            <w:noWrap/>
            <w:vAlign w:val="center"/>
          </w:tcPr>
          <w:p w14:paraId="2AF5706F">
            <w:pPr>
              <w:pStyle w:val="58"/>
              <w:bidi w:val="0"/>
              <w:rPr>
                <w:rFonts w:hint="default"/>
                <w:highlight w:val="none"/>
                <w:lang w:val="en-US" w:eastAsia="zh-CN"/>
              </w:rPr>
            </w:pPr>
            <w:r>
              <w:rPr>
                <w:rFonts w:hint="default"/>
                <w:highlight w:val="none"/>
                <w:lang w:val="en-US" w:eastAsia="zh-CN"/>
              </w:rPr>
              <w:t>1.0</w:t>
            </w:r>
          </w:p>
        </w:tc>
        <w:tc>
          <w:tcPr>
            <w:tcW w:w="475" w:type="pct"/>
            <w:tcBorders>
              <w:tl2br w:val="nil"/>
              <w:tr2bl w:val="nil"/>
            </w:tcBorders>
            <w:shd w:val="clear" w:color="auto" w:fill="auto"/>
            <w:noWrap/>
            <w:vAlign w:val="center"/>
          </w:tcPr>
          <w:p w14:paraId="63E678B5">
            <w:pPr>
              <w:pStyle w:val="58"/>
              <w:bidi w:val="0"/>
              <w:rPr>
                <w:rFonts w:hint="default"/>
                <w:highlight w:val="none"/>
                <w:lang w:val="en-US" w:eastAsia="zh-CN"/>
              </w:rPr>
            </w:pPr>
            <w:r>
              <w:rPr>
                <w:rFonts w:hint="default"/>
                <w:highlight w:val="none"/>
                <w:lang w:val="en-US" w:eastAsia="zh-CN"/>
              </w:rPr>
              <w:t>0.016</w:t>
            </w:r>
          </w:p>
        </w:tc>
        <w:tc>
          <w:tcPr>
            <w:tcW w:w="475" w:type="pct"/>
            <w:tcBorders>
              <w:tl2br w:val="nil"/>
              <w:tr2bl w:val="nil"/>
            </w:tcBorders>
            <w:shd w:val="clear" w:color="auto" w:fill="auto"/>
            <w:noWrap/>
            <w:vAlign w:val="center"/>
          </w:tcPr>
          <w:p w14:paraId="2C8E9228">
            <w:pPr>
              <w:pStyle w:val="58"/>
              <w:bidi w:val="0"/>
              <w:rPr>
                <w:rFonts w:hint="default"/>
                <w:highlight w:val="none"/>
                <w:lang w:val="en-US" w:eastAsia="zh-CN"/>
              </w:rPr>
            </w:pPr>
            <w:r>
              <w:rPr>
                <w:rFonts w:hint="default"/>
                <w:highlight w:val="none"/>
                <w:lang w:val="en-US" w:eastAsia="zh-CN"/>
              </w:rPr>
              <w:t>0.012</w:t>
            </w:r>
          </w:p>
        </w:tc>
        <w:tc>
          <w:tcPr>
            <w:tcW w:w="670" w:type="pct"/>
            <w:tcBorders>
              <w:tl2br w:val="nil"/>
              <w:tr2bl w:val="nil"/>
            </w:tcBorders>
            <w:shd w:val="clear" w:color="auto" w:fill="auto"/>
            <w:noWrap/>
            <w:vAlign w:val="center"/>
          </w:tcPr>
          <w:p w14:paraId="486B252D">
            <w:pPr>
              <w:pStyle w:val="58"/>
              <w:bidi w:val="0"/>
              <w:rPr>
                <w:rFonts w:hint="default"/>
                <w:highlight w:val="none"/>
                <w:lang w:val="en-US" w:eastAsia="zh-CN"/>
              </w:rPr>
            </w:pPr>
            <w:r>
              <w:rPr>
                <w:rFonts w:hint="default"/>
                <w:highlight w:val="none"/>
                <w:lang w:val="en-US" w:eastAsia="zh-CN"/>
              </w:rPr>
              <w:t>0.014</w:t>
            </w:r>
          </w:p>
        </w:tc>
        <w:tc>
          <w:tcPr>
            <w:tcW w:w="410" w:type="pct"/>
            <w:tcBorders>
              <w:tl2br w:val="nil"/>
              <w:tr2bl w:val="nil"/>
            </w:tcBorders>
            <w:shd w:val="clear" w:color="auto" w:fill="auto"/>
            <w:noWrap/>
            <w:vAlign w:val="center"/>
          </w:tcPr>
          <w:p w14:paraId="025D73EA">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5805BA9C">
            <w:pPr>
              <w:pStyle w:val="58"/>
              <w:bidi w:val="0"/>
              <w:rPr>
                <w:rFonts w:hint="default"/>
                <w:highlight w:val="none"/>
                <w:lang w:val="en-US" w:eastAsia="zh-CN"/>
              </w:rPr>
            </w:pPr>
            <w:r>
              <w:rPr>
                <w:rFonts w:hint="default"/>
                <w:highlight w:val="none"/>
                <w:lang w:val="en-US" w:eastAsia="zh-CN"/>
              </w:rPr>
              <w:t>0</w:t>
            </w:r>
          </w:p>
        </w:tc>
      </w:tr>
      <w:tr w14:paraId="776C168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37ED9CA9">
            <w:pPr>
              <w:pStyle w:val="58"/>
              <w:bidi w:val="0"/>
              <w:rPr>
                <w:rFonts w:hint="default"/>
                <w:highlight w:val="none"/>
              </w:rPr>
            </w:pPr>
            <w:r>
              <w:rPr>
                <w:rFonts w:hint="default"/>
                <w:highlight w:val="none"/>
                <w:lang w:val="en-US" w:eastAsia="zh-CN"/>
              </w:rPr>
              <w:t>11</w:t>
            </w:r>
          </w:p>
        </w:tc>
        <w:tc>
          <w:tcPr>
            <w:tcW w:w="767" w:type="pct"/>
            <w:tcBorders>
              <w:tl2br w:val="nil"/>
              <w:tr2bl w:val="nil"/>
            </w:tcBorders>
            <w:shd w:val="clear" w:color="auto" w:fill="auto"/>
            <w:vAlign w:val="center"/>
          </w:tcPr>
          <w:p w14:paraId="45CAFA89">
            <w:pPr>
              <w:pStyle w:val="58"/>
              <w:bidi w:val="0"/>
              <w:rPr>
                <w:rFonts w:hint="default"/>
                <w:highlight w:val="none"/>
                <w:lang w:val="en-US" w:eastAsia="zh-CN"/>
              </w:rPr>
            </w:pPr>
            <w:r>
              <w:rPr>
                <w:rFonts w:hint="default"/>
                <w:highlight w:val="none"/>
                <w:lang w:val="en-US" w:eastAsia="zh-CN"/>
              </w:rPr>
              <w:t>挥发酚类</w:t>
            </w:r>
          </w:p>
          <w:p w14:paraId="0E7216E7">
            <w:pPr>
              <w:pStyle w:val="58"/>
              <w:bidi w:val="0"/>
              <w:rPr>
                <w:rFonts w:hint="default"/>
                <w:highlight w:val="none"/>
                <w:lang w:val="en-US" w:eastAsia="zh-CN"/>
              </w:rPr>
            </w:pPr>
            <w:r>
              <w:rPr>
                <w:rFonts w:hint="default"/>
                <w:highlight w:val="none"/>
                <w:lang w:val="en-US" w:eastAsia="zh-CN"/>
              </w:rPr>
              <w:t>(以苯酚计)</w:t>
            </w:r>
          </w:p>
        </w:tc>
        <w:tc>
          <w:tcPr>
            <w:tcW w:w="766" w:type="pct"/>
            <w:tcBorders>
              <w:tl2br w:val="nil"/>
              <w:tr2bl w:val="nil"/>
            </w:tcBorders>
            <w:shd w:val="clear" w:color="auto" w:fill="auto"/>
            <w:noWrap/>
            <w:vAlign w:val="center"/>
          </w:tcPr>
          <w:p w14:paraId="3BCB774B">
            <w:pPr>
              <w:pStyle w:val="58"/>
              <w:bidi w:val="0"/>
              <w:rPr>
                <w:rFonts w:hint="default"/>
                <w:highlight w:val="none"/>
                <w:lang w:val="en-US" w:eastAsia="zh-CN"/>
              </w:rPr>
            </w:pPr>
            <w:r>
              <w:rPr>
                <w:rFonts w:hint="default"/>
                <w:highlight w:val="none"/>
                <w:lang w:val="en-US" w:eastAsia="zh-CN"/>
              </w:rPr>
              <w:t>mg/L</w:t>
            </w:r>
          </w:p>
        </w:tc>
        <w:tc>
          <w:tcPr>
            <w:tcW w:w="651" w:type="pct"/>
            <w:tcBorders>
              <w:tl2br w:val="nil"/>
              <w:tr2bl w:val="nil"/>
            </w:tcBorders>
            <w:shd w:val="clear" w:color="auto" w:fill="auto"/>
            <w:noWrap/>
            <w:vAlign w:val="center"/>
          </w:tcPr>
          <w:p w14:paraId="54FA490B">
            <w:pPr>
              <w:pStyle w:val="58"/>
              <w:bidi w:val="0"/>
              <w:rPr>
                <w:rFonts w:hint="default"/>
                <w:highlight w:val="none"/>
                <w:lang w:val="en-US" w:eastAsia="zh-CN"/>
              </w:rPr>
            </w:pPr>
            <w:r>
              <w:rPr>
                <w:rFonts w:hint="default"/>
                <w:highlight w:val="none"/>
                <w:lang w:val="en-US" w:eastAsia="zh-CN"/>
              </w:rPr>
              <w:t>0.002</w:t>
            </w:r>
          </w:p>
        </w:tc>
        <w:tc>
          <w:tcPr>
            <w:tcW w:w="475" w:type="pct"/>
            <w:tcBorders>
              <w:tl2br w:val="nil"/>
              <w:tr2bl w:val="nil"/>
            </w:tcBorders>
            <w:shd w:val="clear" w:color="auto" w:fill="auto"/>
            <w:noWrap/>
            <w:vAlign w:val="center"/>
          </w:tcPr>
          <w:p w14:paraId="6E402FA4">
            <w:pPr>
              <w:pStyle w:val="58"/>
              <w:bidi w:val="0"/>
              <w:rPr>
                <w:rFonts w:hint="default"/>
                <w:highlight w:val="none"/>
                <w:lang w:val="en-US" w:eastAsia="zh-CN"/>
              </w:rPr>
            </w:pPr>
            <w:r>
              <w:rPr>
                <w:rFonts w:hint="default"/>
                <w:highlight w:val="none"/>
                <w:lang w:val="en-US" w:eastAsia="zh-CN"/>
              </w:rPr>
              <w:t>0.0011</w:t>
            </w:r>
          </w:p>
        </w:tc>
        <w:tc>
          <w:tcPr>
            <w:tcW w:w="475" w:type="pct"/>
            <w:tcBorders>
              <w:tl2br w:val="nil"/>
              <w:tr2bl w:val="nil"/>
            </w:tcBorders>
            <w:shd w:val="clear" w:color="auto" w:fill="auto"/>
            <w:noWrap/>
            <w:vAlign w:val="center"/>
          </w:tcPr>
          <w:p w14:paraId="01D4DDFA">
            <w:pPr>
              <w:pStyle w:val="58"/>
              <w:bidi w:val="0"/>
              <w:rPr>
                <w:rFonts w:hint="default"/>
                <w:highlight w:val="none"/>
                <w:lang w:val="en-US" w:eastAsia="zh-CN"/>
              </w:rPr>
            </w:pPr>
            <w:r>
              <w:rPr>
                <w:rFonts w:hint="default"/>
                <w:highlight w:val="none"/>
                <w:lang w:val="en-US" w:eastAsia="zh-CN"/>
              </w:rPr>
              <w:t>0.0004</w:t>
            </w:r>
          </w:p>
        </w:tc>
        <w:tc>
          <w:tcPr>
            <w:tcW w:w="670" w:type="pct"/>
            <w:tcBorders>
              <w:tl2br w:val="nil"/>
              <w:tr2bl w:val="nil"/>
            </w:tcBorders>
            <w:shd w:val="clear" w:color="auto" w:fill="auto"/>
            <w:noWrap/>
            <w:vAlign w:val="center"/>
          </w:tcPr>
          <w:p w14:paraId="23DB0281">
            <w:pPr>
              <w:pStyle w:val="58"/>
              <w:bidi w:val="0"/>
              <w:rPr>
                <w:rFonts w:hint="default"/>
                <w:highlight w:val="none"/>
                <w:lang w:val="en-US" w:eastAsia="zh-CN"/>
              </w:rPr>
            </w:pPr>
            <w:r>
              <w:rPr>
                <w:rFonts w:hint="default"/>
                <w:highlight w:val="none"/>
                <w:lang w:val="en-US" w:eastAsia="zh-CN"/>
              </w:rPr>
              <w:t>0.0007</w:t>
            </w:r>
          </w:p>
        </w:tc>
        <w:tc>
          <w:tcPr>
            <w:tcW w:w="410" w:type="pct"/>
            <w:tcBorders>
              <w:tl2br w:val="nil"/>
              <w:tr2bl w:val="nil"/>
            </w:tcBorders>
            <w:shd w:val="clear" w:color="auto" w:fill="auto"/>
            <w:noWrap/>
            <w:vAlign w:val="center"/>
          </w:tcPr>
          <w:p w14:paraId="6BC7610B">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6E7EBB36">
            <w:pPr>
              <w:pStyle w:val="58"/>
              <w:bidi w:val="0"/>
              <w:rPr>
                <w:rFonts w:hint="default"/>
                <w:highlight w:val="none"/>
                <w:lang w:val="en-US" w:eastAsia="zh-CN"/>
              </w:rPr>
            </w:pPr>
            <w:r>
              <w:rPr>
                <w:rFonts w:hint="default"/>
                <w:highlight w:val="none"/>
                <w:lang w:val="en-US" w:eastAsia="zh-CN"/>
              </w:rPr>
              <w:t>0</w:t>
            </w:r>
          </w:p>
        </w:tc>
      </w:tr>
      <w:tr w14:paraId="2541A03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6C648A1F">
            <w:pPr>
              <w:pStyle w:val="58"/>
              <w:bidi w:val="0"/>
              <w:rPr>
                <w:rFonts w:hint="default"/>
                <w:highlight w:val="none"/>
              </w:rPr>
            </w:pPr>
            <w:r>
              <w:rPr>
                <w:rFonts w:hint="default"/>
                <w:highlight w:val="none"/>
                <w:lang w:val="en-US" w:eastAsia="zh-CN"/>
              </w:rPr>
              <w:t>12</w:t>
            </w:r>
          </w:p>
        </w:tc>
        <w:tc>
          <w:tcPr>
            <w:tcW w:w="767" w:type="pct"/>
            <w:tcBorders>
              <w:tl2br w:val="nil"/>
              <w:tr2bl w:val="nil"/>
            </w:tcBorders>
            <w:shd w:val="clear" w:color="auto" w:fill="auto"/>
            <w:vAlign w:val="center"/>
          </w:tcPr>
          <w:p w14:paraId="5CE4FDE4">
            <w:pPr>
              <w:pStyle w:val="58"/>
              <w:bidi w:val="0"/>
              <w:rPr>
                <w:rFonts w:hint="default"/>
                <w:highlight w:val="none"/>
                <w:lang w:val="en-US" w:eastAsia="zh-CN"/>
              </w:rPr>
            </w:pPr>
            <w:r>
              <w:rPr>
                <w:rFonts w:hint="default"/>
                <w:highlight w:val="none"/>
                <w:lang w:val="en-US" w:eastAsia="zh-CN"/>
              </w:rPr>
              <w:t>氰化物</w:t>
            </w:r>
          </w:p>
          <w:p w14:paraId="1DE45F5F">
            <w:pPr>
              <w:pStyle w:val="58"/>
              <w:bidi w:val="0"/>
              <w:rPr>
                <w:rFonts w:hint="default"/>
                <w:highlight w:val="none"/>
                <w:lang w:val="en-US" w:eastAsia="zh-CN"/>
              </w:rPr>
            </w:pPr>
            <w:r>
              <w:rPr>
                <w:rFonts w:hint="default"/>
                <w:highlight w:val="none"/>
                <w:lang w:val="en-US" w:eastAsia="zh-CN"/>
              </w:rPr>
              <w:t>（以CN-计）</w:t>
            </w:r>
          </w:p>
        </w:tc>
        <w:tc>
          <w:tcPr>
            <w:tcW w:w="766" w:type="pct"/>
            <w:tcBorders>
              <w:tl2br w:val="nil"/>
              <w:tr2bl w:val="nil"/>
            </w:tcBorders>
            <w:shd w:val="clear" w:color="auto" w:fill="auto"/>
            <w:noWrap/>
            <w:vAlign w:val="center"/>
          </w:tcPr>
          <w:p w14:paraId="2D30FD0C">
            <w:pPr>
              <w:pStyle w:val="58"/>
              <w:bidi w:val="0"/>
              <w:rPr>
                <w:rFonts w:hint="default"/>
                <w:highlight w:val="none"/>
                <w:lang w:val="en-US" w:eastAsia="zh-CN"/>
              </w:rPr>
            </w:pPr>
            <w:r>
              <w:rPr>
                <w:rFonts w:hint="default"/>
                <w:highlight w:val="none"/>
                <w:lang w:val="en-US" w:eastAsia="zh-CN"/>
              </w:rPr>
              <w:t>mg/L</w:t>
            </w:r>
          </w:p>
        </w:tc>
        <w:tc>
          <w:tcPr>
            <w:tcW w:w="651" w:type="pct"/>
            <w:tcBorders>
              <w:tl2br w:val="nil"/>
              <w:tr2bl w:val="nil"/>
            </w:tcBorders>
            <w:shd w:val="clear" w:color="auto" w:fill="auto"/>
            <w:noWrap/>
            <w:vAlign w:val="center"/>
          </w:tcPr>
          <w:p w14:paraId="09ECE1A6">
            <w:pPr>
              <w:pStyle w:val="58"/>
              <w:bidi w:val="0"/>
              <w:rPr>
                <w:rFonts w:hint="default"/>
                <w:highlight w:val="none"/>
                <w:lang w:val="en-US" w:eastAsia="zh-CN"/>
              </w:rPr>
            </w:pPr>
            <w:r>
              <w:rPr>
                <w:rFonts w:hint="default"/>
                <w:highlight w:val="none"/>
                <w:lang w:val="en-US" w:eastAsia="zh-CN"/>
              </w:rPr>
              <w:t>0.05</w:t>
            </w:r>
          </w:p>
        </w:tc>
        <w:tc>
          <w:tcPr>
            <w:tcW w:w="475" w:type="pct"/>
            <w:tcBorders>
              <w:tl2br w:val="nil"/>
              <w:tr2bl w:val="nil"/>
            </w:tcBorders>
            <w:shd w:val="clear" w:color="auto" w:fill="auto"/>
            <w:noWrap/>
            <w:vAlign w:val="center"/>
          </w:tcPr>
          <w:p w14:paraId="312D6D25">
            <w:pPr>
              <w:pStyle w:val="58"/>
              <w:bidi w:val="0"/>
              <w:rPr>
                <w:rFonts w:hint="default"/>
                <w:highlight w:val="none"/>
                <w:lang w:val="en-US" w:eastAsia="zh-CN"/>
              </w:rPr>
            </w:pPr>
            <w:r>
              <w:rPr>
                <w:rFonts w:hint="default"/>
                <w:highlight w:val="none"/>
                <w:lang w:val="en-US" w:eastAsia="zh-CN"/>
              </w:rPr>
              <w:t>ND</w:t>
            </w:r>
          </w:p>
        </w:tc>
        <w:tc>
          <w:tcPr>
            <w:tcW w:w="475" w:type="pct"/>
            <w:tcBorders>
              <w:tl2br w:val="nil"/>
              <w:tr2bl w:val="nil"/>
            </w:tcBorders>
            <w:shd w:val="clear" w:color="auto" w:fill="auto"/>
            <w:noWrap/>
            <w:vAlign w:val="center"/>
          </w:tcPr>
          <w:p w14:paraId="7F15E6ED">
            <w:pPr>
              <w:pStyle w:val="58"/>
              <w:bidi w:val="0"/>
              <w:rPr>
                <w:rFonts w:hint="default"/>
                <w:highlight w:val="none"/>
                <w:lang w:val="en-US" w:eastAsia="zh-CN"/>
              </w:rPr>
            </w:pPr>
            <w:r>
              <w:rPr>
                <w:rFonts w:hint="default"/>
                <w:highlight w:val="none"/>
                <w:lang w:val="en-US" w:eastAsia="zh-CN"/>
              </w:rPr>
              <w:t>ND</w:t>
            </w:r>
          </w:p>
        </w:tc>
        <w:tc>
          <w:tcPr>
            <w:tcW w:w="670" w:type="pct"/>
            <w:tcBorders>
              <w:tl2br w:val="nil"/>
              <w:tr2bl w:val="nil"/>
            </w:tcBorders>
            <w:shd w:val="clear" w:color="auto" w:fill="auto"/>
            <w:noWrap/>
            <w:vAlign w:val="center"/>
          </w:tcPr>
          <w:p w14:paraId="6092AE6C">
            <w:pPr>
              <w:pStyle w:val="58"/>
              <w:bidi w:val="0"/>
              <w:rPr>
                <w:rFonts w:hint="default"/>
                <w:highlight w:val="none"/>
                <w:lang w:val="en-US" w:eastAsia="zh-CN"/>
              </w:rPr>
            </w:pPr>
            <w:r>
              <w:rPr>
                <w:rFonts w:hint="default"/>
                <w:highlight w:val="none"/>
                <w:lang w:val="en-US" w:eastAsia="zh-CN"/>
              </w:rPr>
              <w:t>ND</w:t>
            </w:r>
          </w:p>
        </w:tc>
        <w:tc>
          <w:tcPr>
            <w:tcW w:w="410" w:type="pct"/>
            <w:tcBorders>
              <w:tl2br w:val="nil"/>
              <w:tr2bl w:val="nil"/>
            </w:tcBorders>
            <w:shd w:val="clear" w:color="auto" w:fill="auto"/>
            <w:noWrap/>
            <w:vAlign w:val="center"/>
          </w:tcPr>
          <w:p w14:paraId="30AF8948">
            <w:pPr>
              <w:pStyle w:val="58"/>
              <w:bidi w:val="0"/>
              <w:rPr>
                <w:rFonts w:hint="default"/>
                <w:highlight w:val="none"/>
                <w:lang w:val="en-US" w:eastAsia="zh-CN"/>
              </w:rPr>
            </w:pPr>
            <w:r>
              <w:rPr>
                <w:rFonts w:hint="default"/>
                <w:highlight w:val="none"/>
                <w:lang w:val="en-US" w:eastAsia="zh-CN"/>
              </w:rPr>
              <w:t>0</w:t>
            </w:r>
          </w:p>
        </w:tc>
        <w:tc>
          <w:tcPr>
            <w:tcW w:w="410" w:type="pct"/>
            <w:tcBorders>
              <w:tl2br w:val="nil"/>
              <w:tr2bl w:val="nil"/>
            </w:tcBorders>
            <w:shd w:val="clear" w:color="auto" w:fill="auto"/>
            <w:noWrap/>
            <w:vAlign w:val="center"/>
          </w:tcPr>
          <w:p w14:paraId="6AF0E13A">
            <w:pPr>
              <w:pStyle w:val="58"/>
              <w:bidi w:val="0"/>
              <w:rPr>
                <w:rFonts w:hint="default"/>
                <w:highlight w:val="none"/>
                <w:lang w:val="en-US" w:eastAsia="zh-CN"/>
              </w:rPr>
            </w:pPr>
            <w:r>
              <w:rPr>
                <w:rFonts w:hint="default"/>
                <w:highlight w:val="none"/>
                <w:lang w:val="en-US" w:eastAsia="zh-CN"/>
              </w:rPr>
              <w:t>0</w:t>
            </w:r>
          </w:p>
        </w:tc>
      </w:tr>
      <w:tr w14:paraId="6BAF67F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61F23396">
            <w:pPr>
              <w:pStyle w:val="58"/>
              <w:bidi w:val="0"/>
              <w:rPr>
                <w:rFonts w:hint="default"/>
                <w:highlight w:val="none"/>
              </w:rPr>
            </w:pPr>
            <w:r>
              <w:rPr>
                <w:rFonts w:hint="default"/>
                <w:highlight w:val="none"/>
                <w:lang w:val="en-US" w:eastAsia="zh-CN"/>
              </w:rPr>
              <w:t>13</w:t>
            </w:r>
          </w:p>
        </w:tc>
        <w:tc>
          <w:tcPr>
            <w:tcW w:w="767" w:type="pct"/>
            <w:tcBorders>
              <w:tl2br w:val="nil"/>
              <w:tr2bl w:val="nil"/>
            </w:tcBorders>
            <w:shd w:val="clear" w:color="auto" w:fill="auto"/>
            <w:vAlign w:val="center"/>
          </w:tcPr>
          <w:p w14:paraId="09C3D39D">
            <w:pPr>
              <w:pStyle w:val="58"/>
              <w:bidi w:val="0"/>
              <w:rPr>
                <w:rFonts w:hint="default"/>
                <w:highlight w:val="none"/>
                <w:lang w:val="en-US" w:eastAsia="zh-CN"/>
              </w:rPr>
            </w:pPr>
            <w:r>
              <w:rPr>
                <w:rFonts w:hint="default"/>
                <w:highlight w:val="none"/>
                <w:lang w:val="en-US" w:eastAsia="zh-CN"/>
              </w:rPr>
              <w:t>铬（六价）</w:t>
            </w:r>
          </w:p>
        </w:tc>
        <w:tc>
          <w:tcPr>
            <w:tcW w:w="766" w:type="pct"/>
            <w:tcBorders>
              <w:tl2br w:val="nil"/>
              <w:tr2bl w:val="nil"/>
            </w:tcBorders>
            <w:shd w:val="clear" w:color="auto" w:fill="auto"/>
            <w:noWrap/>
            <w:vAlign w:val="center"/>
          </w:tcPr>
          <w:p w14:paraId="2E590E8B">
            <w:pPr>
              <w:pStyle w:val="58"/>
              <w:bidi w:val="0"/>
              <w:rPr>
                <w:rFonts w:hint="default"/>
                <w:highlight w:val="none"/>
                <w:lang w:val="en-US" w:eastAsia="zh-CN"/>
              </w:rPr>
            </w:pPr>
            <w:r>
              <w:rPr>
                <w:rFonts w:hint="default"/>
                <w:highlight w:val="none"/>
                <w:lang w:val="en-US" w:eastAsia="zh-CN"/>
              </w:rPr>
              <w:t>mg/L</w:t>
            </w:r>
          </w:p>
        </w:tc>
        <w:tc>
          <w:tcPr>
            <w:tcW w:w="651" w:type="pct"/>
            <w:tcBorders>
              <w:tl2br w:val="nil"/>
              <w:tr2bl w:val="nil"/>
            </w:tcBorders>
            <w:shd w:val="clear" w:color="auto" w:fill="auto"/>
            <w:noWrap/>
            <w:vAlign w:val="center"/>
          </w:tcPr>
          <w:p w14:paraId="384A6AC5">
            <w:pPr>
              <w:pStyle w:val="58"/>
              <w:bidi w:val="0"/>
              <w:rPr>
                <w:rFonts w:hint="default"/>
                <w:highlight w:val="none"/>
                <w:lang w:val="en-US" w:eastAsia="zh-CN"/>
              </w:rPr>
            </w:pPr>
            <w:r>
              <w:rPr>
                <w:rFonts w:hint="default"/>
                <w:highlight w:val="none"/>
                <w:lang w:val="en-US" w:eastAsia="zh-CN"/>
              </w:rPr>
              <w:t>0.05</w:t>
            </w:r>
          </w:p>
        </w:tc>
        <w:tc>
          <w:tcPr>
            <w:tcW w:w="475" w:type="pct"/>
            <w:tcBorders>
              <w:tl2br w:val="nil"/>
              <w:tr2bl w:val="nil"/>
            </w:tcBorders>
            <w:shd w:val="clear" w:color="auto" w:fill="auto"/>
            <w:noWrap/>
            <w:vAlign w:val="center"/>
          </w:tcPr>
          <w:p w14:paraId="51E67250">
            <w:pPr>
              <w:pStyle w:val="58"/>
              <w:bidi w:val="0"/>
              <w:rPr>
                <w:rFonts w:hint="default"/>
                <w:highlight w:val="none"/>
                <w:lang w:val="en-US" w:eastAsia="zh-CN"/>
              </w:rPr>
            </w:pPr>
            <w:r>
              <w:rPr>
                <w:rFonts w:hint="default"/>
                <w:highlight w:val="none"/>
                <w:lang w:val="en-US" w:eastAsia="zh-CN"/>
              </w:rPr>
              <w:t>ND</w:t>
            </w:r>
          </w:p>
        </w:tc>
        <w:tc>
          <w:tcPr>
            <w:tcW w:w="475" w:type="pct"/>
            <w:tcBorders>
              <w:tl2br w:val="nil"/>
              <w:tr2bl w:val="nil"/>
            </w:tcBorders>
            <w:shd w:val="clear" w:color="auto" w:fill="auto"/>
            <w:noWrap/>
            <w:vAlign w:val="center"/>
          </w:tcPr>
          <w:p w14:paraId="2D656A63">
            <w:pPr>
              <w:pStyle w:val="58"/>
              <w:bidi w:val="0"/>
              <w:rPr>
                <w:rFonts w:hint="default"/>
                <w:highlight w:val="none"/>
                <w:lang w:val="en-US" w:eastAsia="zh-CN"/>
              </w:rPr>
            </w:pPr>
            <w:r>
              <w:rPr>
                <w:rFonts w:hint="default"/>
                <w:highlight w:val="none"/>
                <w:lang w:val="en-US" w:eastAsia="zh-CN"/>
              </w:rPr>
              <w:t>ND</w:t>
            </w:r>
          </w:p>
        </w:tc>
        <w:tc>
          <w:tcPr>
            <w:tcW w:w="670" w:type="pct"/>
            <w:tcBorders>
              <w:tl2br w:val="nil"/>
              <w:tr2bl w:val="nil"/>
            </w:tcBorders>
            <w:shd w:val="clear" w:color="auto" w:fill="auto"/>
            <w:noWrap/>
            <w:vAlign w:val="center"/>
          </w:tcPr>
          <w:p w14:paraId="65A964C4">
            <w:pPr>
              <w:pStyle w:val="58"/>
              <w:bidi w:val="0"/>
              <w:rPr>
                <w:rFonts w:hint="default"/>
                <w:highlight w:val="none"/>
                <w:lang w:val="en-US" w:eastAsia="zh-CN"/>
              </w:rPr>
            </w:pPr>
            <w:r>
              <w:rPr>
                <w:rFonts w:hint="default"/>
                <w:highlight w:val="none"/>
                <w:lang w:val="en-US" w:eastAsia="zh-CN"/>
              </w:rPr>
              <w:t>ND</w:t>
            </w:r>
          </w:p>
        </w:tc>
        <w:tc>
          <w:tcPr>
            <w:tcW w:w="410" w:type="pct"/>
            <w:tcBorders>
              <w:tl2br w:val="nil"/>
              <w:tr2bl w:val="nil"/>
            </w:tcBorders>
            <w:shd w:val="clear" w:color="auto" w:fill="auto"/>
            <w:noWrap/>
            <w:vAlign w:val="center"/>
          </w:tcPr>
          <w:p w14:paraId="59DD2328">
            <w:pPr>
              <w:pStyle w:val="58"/>
              <w:bidi w:val="0"/>
              <w:rPr>
                <w:rFonts w:hint="default"/>
                <w:highlight w:val="none"/>
                <w:lang w:val="en-US" w:eastAsia="zh-CN"/>
              </w:rPr>
            </w:pPr>
            <w:r>
              <w:rPr>
                <w:rFonts w:hint="default"/>
                <w:highlight w:val="none"/>
                <w:lang w:val="en-US" w:eastAsia="zh-CN"/>
              </w:rPr>
              <w:t>0</w:t>
            </w:r>
          </w:p>
        </w:tc>
        <w:tc>
          <w:tcPr>
            <w:tcW w:w="410" w:type="pct"/>
            <w:tcBorders>
              <w:tl2br w:val="nil"/>
              <w:tr2bl w:val="nil"/>
            </w:tcBorders>
            <w:shd w:val="clear" w:color="auto" w:fill="auto"/>
            <w:noWrap/>
            <w:vAlign w:val="center"/>
          </w:tcPr>
          <w:p w14:paraId="7835E6BE">
            <w:pPr>
              <w:pStyle w:val="58"/>
              <w:bidi w:val="0"/>
              <w:rPr>
                <w:rFonts w:hint="default"/>
                <w:highlight w:val="none"/>
                <w:lang w:val="en-US" w:eastAsia="zh-CN"/>
              </w:rPr>
            </w:pPr>
            <w:r>
              <w:rPr>
                <w:rFonts w:hint="default"/>
                <w:highlight w:val="none"/>
                <w:lang w:val="en-US" w:eastAsia="zh-CN"/>
              </w:rPr>
              <w:t>0</w:t>
            </w:r>
          </w:p>
        </w:tc>
      </w:tr>
      <w:tr w14:paraId="06664A0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64857E95">
            <w:pPr>
              <w:pStyle w:val="58"/>
              <w:bidi w:val="0"/>
              <w:rPr>
                <w:rFonts w:hint="default"/>
                <w:highlight w:val="none"/>
              </w:rPr>
            </w:pPr>
            <w:r>
              <w:rPr>
                <w:rFonts w:hint="default"/>
                <w:highlight w:val="none"/>
                <w:lang w:val="en-US" w:eastAsia="zh-CN"/>
              </w:rPr>
              <w:t>14</w:t>
            </w:r>
          </w:p>
        </w:tc>
        <w:tc>
          <w:tcPr>
            <w:tcW w:w="767" w:type="pct"/>
            <w:tcBorders>
              <w:tl2br w:val="nil"/>
              <w:tr2bl w:val="nil"/>
            </w:tcBorders>
            <w:shd w:val="clear" w:color="auto" w:fill="auto"/>
            <w:vAlign w:val="center"/>
          </w:tcPr>
          <w:p w14:paraId="2EA68A9A">
            <w:pPr>
              <w:pStyle w:val="58"/>
              <w:bidi w:val="0"/>
              <w:rPr>
                <w:rFonts w:hint="default"/>
                <w:highlight w:val="none"/>
                <w:lang w:val="en-US" w:eastAsia="zh-CN"/>
              </w:rPr>
            </w:pPr>
            <w:r>
              <w:rPr>
                <w:rFonts w:hint="default"/>
                <w:highlight w:val="none"/>
                <w:lang w:val="en-US" w:eastAsia="zh-CN"/>
              </w:rPr>
              <w:t>砷</w:t>
            </w:r>
          </w:p>
        </w:tc>
        <w:tc>
          <w:tcPr>
            <w:tcW w:w="766" w:type="pct"/>
            <w:tcBorders>
              <w:tl2br w:val="nil"/>
              <w:tr2bl w:val="nil"/>
            </w:tcBorders>
            <w:shd w:val="clear" w:color="auto" w:fill="auto"/>
            <w:noWrap/>
            <w:vAlign w:val="center"/>
          </w:tcPr>
          <w:p w14:paraId="31B3718A">
            <w:pPr>
              <w:pStyle w:val="58"/>
              <w:bidi w:val="0"/>
              <w:rPr>
                <w:rFonts w:hint="default"/>
                <w:highlight w:val="none"/>
                <w:lang w:val="en-US" w:eastAsia="zh-CN"/>
              </w:rPr>
            </w:pPr>
            <w:r>
              <w:rPr>
                <w:rFonts w:hint="default"/>
                <w:highlight w:val="none"/>
                <w:lang w:val="en-US" w:eastAsia="zh-CN"/>
              </w:rPr>
              <w:t>mg/L</w:t>
            </w:r>
          </w:p>
        </w:tc>
        <w:tc>
          <w:tcPr>
            <w:tcW w:w="651" w:type="pct"/>
            <w:tcBorders>
              <w:tl2br w:val="nil"/>
              <w:tr2bl w:val="nil"/>
            </w:tcBorders>
            <w:shd w:val="clear" w:color="auto" w:fill="auto"/>
            <w:noWrap/>
            <w:vAlign w:val="center"/>
          </w:tcPr>
          <w:p w14:paraId="3993F229">
            <w:pPr>
              <w:pStyle w:val="58"/>
              <w:bidi w:val="0"/>
              <w:rPr>
                <w:rFonts w:hint="default"/>
                <w:highlight w:val="none"/>
                <w:lang w:val="en-US" w:eastAsia="zh-CN"/>
              </w:rPr>
            </w:pPr>
            <w:r>
              <w:rPr>
                <w:rFonts w:hint="default"/>
                <w:highlight w:val="none"/>
                <w:lang w:val="en-US" w:eastAsia="zh-CN"/>
              </w:rPr>
              <w:t>0.01</w:t>
            </w:r>
          </w:p>
        </w:tc>
        <w:tc>
          <w:tcPr>
            <w:tcW w:w="475" w:type="pct"/>
            <w:tcBorders>
              <w:tl2br w:val="nil"/>
              <w:tr2bl w:val="nil"/>
            </w:tcBorders>
            <w:shd w:val="clear" w:color="auto" w:fill="auto"/>
            <w:noWrap/>
            <w:vAlign w:val="center"/>
          </w:tcPr>
          <w:p w14:paraId="50474DF7">
            <w:pPr>
              <w:pStyle w:val="58"/>
              <w:bidi w:val="0"/>
              <w:rPr>
                <w:rFonts w:hint="default"/>
                <w:highlight w:val="none"/>
                <w:lang w:val="en-US" w:eastAsia="zh-CN"/>
              </w:rPr>
            </w:pPr>
            <w:r>
              <w:rPr>
                <w:rFonts w:hint="default"/>
                <w:highlight w:val="none"/>
                <w:lang w:val="en-US" w:eastAsia="zh-CN"/>
              </w:rPr>
              <w:t>3.0×10-3</w:t>
            </w:r>
          </w:p>
        </w:tc>
        <w:tc>
          <w:tcPr>
            <w:tcW w:w="475" w:type="pct"/>
            <w:tcBorders>
              <w:tl2br w:val="nil"/>
              <w:tr2bl w:val="nil"/>
            </w:tcBorders>
            <w:shd w:val="clear" w:color="auto" w:fill="auto"/>
            <w:noWrap/>
            <w:vAlign w:val="center"/>
          </w:tcPr>
          <w:p w14:paraId="3E326BDE">
            <w:pPr>
              <w:pStyle w:val="58"/>
              <w:bidi w:val="0"/>
              <w:rPr>
                <w:rFonts w:hint="default"/>
                <w:highlight w:val="none"/>
                <w:lang w:val="en-US" w:eastAsia="zh-CN"/>
              </w:rPr>
            </w:pPr>
            <w:r>
              <w:rPr>
                <w:rFonts w:hint="default"/>
                <w:highlight w:val="none"/>
                <w:lang w:val="en-US" w:eastAsia="zh-CN"/>
              </w:rPr>
              <w:t>ND</w:t>
            </w:r>
          </w:p>
        </w:tc>
        <w:tc>
          <w:tcPr>
            <w:tcW w:w="670" w:type="pct"/>
            <w:tcBorders>
              <w:tl2br w:val="nil"/>
              <w:tr2bl w:val="nil"/>
            </w:tcBorders>
            <w:shd w:val="clear" w:color="auto" w:fill="auto"/>
            <w:noWrap/>
            <w:vAlign w:val="center"/>
          </w:tcPr>
          <w:p w14:paraId="50D08BA5">
            <w:pPr>
              <w:pStyle w:val="58"/>
              <w:bidi w:val="0"/>
              <w:rPr>
                <w:rFonts w:hint="default"/>
                <w:highlight w:val="none"/>
                <w:lang w:val="en-US" w:eastAsia="zh-CN"/>
              </w:rPr>
            </w:pPr>
            <w:r>
              <w:rPr>
                <w:rFonts w:hint="default"/>
                <w:highlight w:val="none"/>
                <w:lang w:val="en-US" w:eastAsia="zh-CN"/>
              </w:rPr>
              <w:t>1.0×10-3</w:t>
            </w:r>
          </w:p>
        </w:tc>
        <w:tc>
          <w:tcPr>
            <w:tcW w:w="410" w:type="pct"/>
            <w:tcBorders>
              <w:tl2br w:val="nil"/>
              <w:tr2bl w:val="nil"/>
            </w:tcBorders>
            <w:shd w:val="clear" w:color="auto" w:fill="auto"/>
            <w:noWrap/>
            <w:vAlign w:val="center"/>
          </w:tcPr>
          <w:p w14:paraId="237642A7">
            <w:pPr>
              <w:pStyle w:val="58"/>
              <w:bidi w:val="0"/>
              <w:rPr>
                <w:rFonts w:hint="default"/>
                <w:highlight w:val="none"/>
                <w:lang w:val="en-US" w:eastAsia="zh-CN"/>
              </w:rPr>
            </w:pPr>
            <w:r>
              <w:rPr>
                <w:rFonts w:hint="default"/>
                <w:highlight w:val="none"/>
                <w:lang w:val="en-US" w:eastAsia="zh-CN"/>
              </w:rPr>
              <w:t>33.3</w:t>
            </w:r>
          </w:p>
        </w:tc>
        <w:tc>
          <w:tcPr>
            <w:tcW w:w="410" w:type="pct"/>
            <w:tcBorders>
              <w:tl2br w:val="nil"/>
              <w:tr2bl w:val="nil"/>
            </w:tcBorders>
            <w:shd w:val="clear" w:color="auto" w:fill="auto"/>
            <w:noWrap/>
            <w:vAlign w:val="center"/>
          </w:tcPr>
          <w:p w14:paraId="6C761170">
            <w:pPr>
              <w:pStyle w:val="58"/>
              <w:bidi w:val="0"/>
              <w:rPr>
                <w:rFonts w:hint="default"/>
                <w:highlight w:val="none"/>
                <w:lang w:val="en-US" w:eastAsia="zh-CN"/>
              </w:rPr>
            </w:pPr>
            <w:r>
              <w:rPr>
                <w:rFonts w:hint="default"/>
                <w:highlight w:val="none"/>
                <w:lang w:val="en-US" w:eastAsia="zh-CN"/>
              </w:rPr>
              <w:t>0</w:t>
            </w:r>
          </w:p>
        </w:tc>
      </w:tr>
      <w:tr w14:paraId="2278444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574388E9">
            <w:pPr>
              <w:pStyle w:val="58"/>
              <w:bidi w:val="0"/>
              <w:rPr>
                <w:rFonts w:hint="default"/>
                <w:highlight w:val="none"/>
              </w:rPr>
            </w:pPr>
            <w:r>
              <w:rPr>
                <w:rFonts w:hint="default"/>
                <w:highlight w:val="none"/>
                <w:lang w:val="en-US" w:eastAsia="zh-CN"/>
              </w:rPr>
              <w:t>15</w:t>
            </w:r>
          </w:p>
        </w:tc>
        <w:tc>
          <w:tcPr>
            <w:tcW w:w="767" w:type="pct"/>
            <w:tcBorders>
              <w:tl2br w:val="nil"/>
              <w:tr2bl w:val="nil"/>
            </w:tcBorders>
            <w:shd w:val="clear" w:color="auto" w:fill="auto"/>
            <w:vAlign w:val="center"/>
          </w:tcPr>
          <w:p w14:paraId="1EE51AE7">
            <w:pPr>
              <w:pStyle w:val="58"/>
              <w:bidi w:val="0"/>
              <w:rPr>
                <w:rFonts w:hint="default"/>
                <w:highlight w:val="none"/>
                <w:lang w:val="en-US" w:eastAsia="zh-CN"/>
              </w:rPr>
            </w:pPr>
            <w:r>
              <w:rPr>
                <w:rFonts w:hint="default"/>
                <w:highlight w:val="none"/>
                <w:lang w:val="en-US" w:eastAsia="zh-CN"/>
              </w:rPr>
              <w:t>汞</w:t>
            </w:r>
          </w:p>
        </w:tc>
        <w:tc>
          <w:tcPr>
            <w:tcW w:w="766" w:type="pct"/>
            <w:tcBorders>
              <w:tl2br w:val="nil"/>
              <w:tr2bl w:val="nil"/>
            </w:tcBorders>
            <w:shd w:val="clear" w:color="auto" w:fill="auto"/>
            <w:noWrap/>
            <w:vAlign w:val="center"/>
          </w:tcPr>
          <w:p w14:paraId="266618BD">
            <w:pPr>
              <w:pStyle w:val="58"/>
              <w:bidi w:val="0"/>
              <w:rPr>
                <w:rFonts w:hint="default"/>
                <w:highlight w:val="none"/>
                <w:lang w:val="en-US" w:eastAsia="zh-CN"/>
              </w:rPr>
            </w:pPr>
            <w:r>
              <w:rPr>
                <w:rFonts w:hint="default"/>
                <w:highlight w:val="none"/>
                <w:lang w:val="en-US" w:eastAsia="zh-CN"/>
              </w:rPr>
              <w:t>mg/L</w:t>
            </w:r>
          </w:p>
        </w:tc>
        <w:tc>
          <w:tcPr>
            <w:tcW w:w="651" w:type="pct"/>
            <w:tcBorders>
              <w:tl2br w:val="nil"/>
              <w:tr2bl w:val="nil"/>
            </w:tcBorders>
            <w:shd w:val="clear" w:color="auto" w:fill="auto"/>
            <w:noWrap/>
            <w:vAlign w:val="center"/>
          </w:tcPr>
          <w:p w14:paraId="20F34F5A">
            <w:pPr>
              <w:pStyle w:val="58"/>
              <w:bidi w:val="0"/>
              <w:rPr>
                <w:rFonts w:hint="default"/>
                <w:highlight w:val="none"/>
                <w:lang w:val="en-US" w:eastAsia="zh-CN"/>
              </w:rPr>
            </w:pPr>
            <w:r>
              <w:rPr>
                <w:rFonts w:hint="default"/>
                <w:highlight w:val="none"/>
                <w:lang w:val="en-US" w:eastAsia="zh-CN"/>
              </w:rPr>
              <w:t>0.001</w:t>
            </w:r>
          </w:p>
        </w:tc>
        <w:tc>
          <w:tcPr>
            <w:tcW w:w="475" w:type="pct"/>
            <w:tcBorders>
              <w:tl2br w:val="nil"/>
              <w:tr2bl w:val="nil"/>
            </w:tcBorders>
            <w:shd w:val="clear" w:color="auto" w:fill="auto"/>
            <w:noWrap/>
            <w:vAlign w:val="center"/>
          </w:tcPr>
          <w:p w14:paraId="67DF7A8A">
            <w:pPr>
              <w:pStyle w:val="58"/>
              <w:bidi w:val="0"/>
              <w:rPr>
                <w:rFonts w:hint="default"/>
                <w:highlight w:val="none"/>
                <w:lang w:val="en-US" w:eastAsia="zh-CN"/>
              </w:rPr>
            </w:pPr>
            <w:r>
              <w:rPr>
                <w:rFonts w:hint="default"/>
                <w:highlight w:val="none"/>
                <w:lang w:val="en-US" w:eastAsia="zh-CN"/>
              </w:rPr>
              <w:t>4×10-5</w:t>
            </w:r>
          </w:p>
        </w:tc>
        <w:tc>
          <w:tcPr>
            <w:tcW w:w="475" w:type="pct"/>
            <w:tcBorders>
              <w:tl2br w:val="nil"/>
              <w:tr2bl w:val="nil"/>
            </w:tcBorders>
            <w:shd w:val="clear" w:color="auto" w:fill="auto"/>
            <w:noWrap/>
            <w:vAlign w:val="center"/>
          </w:tcPr>
          <w:p w14:paraId="4C69B322">
            <w:pPr>
              <w:pStyle w:val="58"/>
              <w:bidi w:val="0"/>
              <w:rPr>
                <w:rFonts w:hint="default"/>
                <w:highlight w:val="none"/>
                <w:lang w:val="en-US" w:eastAsia="zh-CN"/>
              </w:rPr>
            </w:pPr>
            <w:r>
              <w:rPr>
                <w:rFonts w:hint="default"/>
                <w:highlight w:val="none"/>
                <w:lang w:val="en-US" w:eastAsia="zh-CN"/>
              </w:rPr>
              <w:t>ND</w:t>
            </w:r>
          </w:p>
        </w:tc>
        <w:tc>
          <w:tcPr>
            <w:tcW w:w="670" w:type="pct"/>
            <w:tcBorders>
              <w:tl2br w:val="nil"/>
              <w:tr2bl w:val="nil"/>
            </w:tcBorders>
            <w:shd w:val="clear" w:color="auto" w:fill="auto"/>
            <w:noWrap/>
            <w:vAlign w:val="center"/>
          </w:tcPr>
          <w:p w14:paraId="74787264">
            <w:pPr>
              <w:pStyle w:val="58"/>
              <w:bidi w:val="0"/>
              <w:rPr>
                <w:rFonts w:hint="default"/>
                <w:highlight w:val="none"/>
                <w:lang w:val="en-US" w:eastAsia="zh-CN"/>
              </w:rPr>
            </w:pPr>
            <w:r>
              <w:rPr>
                <w:rFonts w:hint="default"/>
                <w:highlight w:val="none"/>
                <w:lang w:val="en-US" w:eastAsia="zh-CN"/>
              </w:rPr>
              <w:t>1.3×10-5</w:t>
            </w:r>
          </w:p>
        </w:tc>
        <w:tc>
          <w:tcPr>
            <w:tcW w:w="410" w:type="pct"/>
            <w:tcBorders>
              <w:tl2br w:val="nil"/>
              <w:tr2bl w:val="nil"/>
            </w:tcBorders>
            <w:shd w:val="clear" w:color="auto" w:fill="auto"/>
            <w:noWrap/>
            <w:vAlign w:val="center"/>
          </w:tcPr>
          <w:p w14:paraId="061D45F8">
            <w:pPr>
              <w:pStyle w:val="58"/>
              <w:bidi w:val="0"/>
              <w:rPr>
                <w:rFonts w:hint="default"/>
                <w:highlight w:val="none"/>
                <w:lang w:val="en-US" w:eastAsia="zh-CN"/>
              </w:rPr>
            </w:pPr>
            <w:r>
              <w:rPr>
                <w:rFonts w:hint="default"/>
                <w:highlight w:val="none"/>
                <w:lang w:val="en-US" w:eastAsia="zh-CN"/>
              </w:rPr>
              <w:t>33.3</w:t>
            </w:r>
          </w:p>
        </w:tc>
        <w:tc>
          <w:tcPr>
            <w:tcW w:w="410" w:type="pct"/>
            <w:tcBorders>
              <w:tl2br w:val="nil"/>
              <w:tr2bl w:val="nil"/>
            </w:tcBorders>
            <w:shd w:val="clear" w:color="auto" w:fill="auto"/>
            <w:noWrap/>
            <w:vAlign w:val="center"/>
          </w:tcPr>
          <w:p w14:paraId="5586C863">
            <w:pPr>
              <w:pStyle w:val="58"/>
              <w:bidi w:val="0"/>
              <w:rPr>
                <w:rFonts w:hint="default"/>
                <w:highlight w:val="none"/>
                <w:lang w:val="en-US" w:eastAsia="zh-CN"/>
              </w:rPr>
            </w:pPr>
            <w:r>
              <w:rPr>
                <w:rFonts w:hint="default"/>
                <w:highlight w:val="none"/>
                <w:lang w:val="en-US" w:eastAsia="zh-CN"/>
              </w:rPr>
              <w:t>0</w:t>
            </w:r>
          </w:p>
        </w:tc>
      </w:tr>
      <w:tr w14:paraId="28F71D1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49C3DC14">
            <w:pPr>
              <w:pStyle w:val="58"/>
              <w:bidi w:val="0"/>
              <w:rPr>
                <w:rFonts w:hint="default"/>
                <w:highlight w:val="none"/>
              </w:rPr>
            </w:pPr>
            <w:r>
              <w:rPr>
                <w:rFonts w:hint="default"/>
                <w:highlight w:val="none"/>
                <w:lang w:val="en-US" w:eastAsia="zh-CN"/>
              </w:rPr>
              <w:t>16</w:t>
            </w:r>
          </w:p>
        </w:tc>
        <w:tc>
          <w:tcPr>
            <w:tcW w:w="767" w:type="pct"/>
            <w:tcBorders>
              <w:tl2br w:val="nil"/>
              <w:tr2bl w:val="nil"/>
            </w:tcBorders>
            <w:shd w:val="clear" w:color="auto" w:fill="auto"/>
            <w:vAlign w:val="center"/>
          </w:tcPr>
          <w:p w14:paraId="598514F9">
            <w:pPr>
              <w:pStyle w:val="58"/>
              <w:bidi w:val="0"/>
              <w:rPr>
                <w:rFonts w:hint="default"/>
                <w:highlight w:val="none"/>
                <w:lang w:val="en-US" w:eastAsia="zh-CN"/>
              </w:rPr>
            </w:pPr>
            <w:r>
              <w:rPr>
                <w:rFonts w:hint="default"/>
                <w:highlight w:val="none"/>
                <w:lang w:val="en-US" w:eastAsia="zh-CN"/>
              </w:rPr>
              <w:t>铁</w:t>
            </w:r>
          </w:p>
        </w:tc>
        <w:tc>
          <w:tcPr>
            <w:tcW w:w="766" w:type="pct"/>
            <w:tcBorders>
              <w:tl2br w:val="nil"/>
              <w:tr2bl w:val="nil"/>
            </w:tcBorders>
            <w:shd w:val="clear" w:color="auto" w:fill="auto"/>
            <w:noWrap/>
            <w:vAlign w:val="center"/>
          </w:tcPr>
          <w:p w14:paraId="0D7EF340">
            <w:pPr>
              <w:pStyle w:val="58"/>
              <w:bidi w:val="0"/>
              <w:rPr>
                <w:rFonts w:hint="default"/>
                <w:highlight w:val="none"/>
                <w:lang w:val="en-US" w:eastAsia="zh-CN"/>
              </w:rPr>
            </w:pPr>
            <w:r>
              <w:rPr>
                <w:rFonts w:hint="default"/>
                <w:highlight w:val="none"/>
                <w:lang w:val="en-US" w:eastAsia="zh-CN"/>
              </w:rPr>
              <w:t>mg/L</w:t>
            </w:r>
          </w:p>
        </w:tc>
        <w:tc>
          <w:tcPr>
            <w:tcW w:w="651" w:type="pct"/>
            <w:tcBorders>
              <w:tl2br w:val="nil"/>
              <w:tr2bl w:val="nil"/>
            </w:tcBorders>
            <w:shd w:val="clear" w:color="auto" w:fill="auto"/>
            <w:noWrap/>
            <w:vAlign w:val="center"/>
          </w:tcPr>
          <w:p w14:paraId="09508EAA">
            <w:pPr>
              <w:pStyle w:val="58"/>
              <w:bidi w:val="0"/>
              <w:rPr>
                <w:rFonts w:hint="default"/>
                <w:highlight w:val="none"/>
                <w:lang w:val="en-US" w:eastAsia="zh-CN"/>
              </w:rPr>
            </w:pPr>
            <w:r>
              <w:rPr>
                <w:rFonts w:hint="default"/>
                <w:highlight w:val="none"/>
                <w:lang w:val="en-US" w:eastAsia="zh-CN"/>
              </w:rPr>
              <w:t>0.3</w:t>
            </w:r>
          </w:p>
        </w:tc>
        <w:tc>
          <w:tcPr>
            <w:tcW w:w="475" w:type="pct"/>
            <w:tcBorders>
              <w:tl2br w:val="nil"/>
              <w:tr2bl w:val="nil"/>
            </w:tcBorders>
            <w:shd w:val="clear" w:color="auto" w:fill="auto"/>
            <w:noWrap/>
            <w:vAlign w:val="center"/>
          </w:tcPr>
          <w:p w14:paraId="2421235F">
            <w:pPr>
              <w:pStyle w:val="58"/>
              <w:bidi w:val="0"/>
              <w:rPr>
                <w:rFonts w:hint="default"/>
                <w:highlight w:val="none"/>
                <w:lang w:val="en-US" w:eastAsia="zh-CN"/>
              </w:rPr>
            </w:pPr>
            <w:r>
              <w:rPr>
                <w:rFonts w:hint="default"/>
                <w:highlight w:val="none"/>
                <w:lang w:val="en-US" w:eastAsia="zh-CN"/>
              </w:rPr>
              <w:t>ND</w:t>
            </w:r>
          </w:p>
        </w:tc>
        <w:tc>
          <w:tcPr>
            <w:tcW w:w="475" w:type="pct"/>
            <w:tcBorders>
              <w:tl2br w:val="nil"/>
              <w:tr2bl w:val="nil"/>
            </w:tcBorders>
            <w:shd w:val="clear" w:color="auto" w:fill="auto"/>
            <w:noWrap/>
            <w:vAlign w:val="center"/>
          </w:tcPr>
          <w:p w14:paraId="0D841D09">
            <w:pPr>
              <w:pStyle w:val="58"/>
              <w:bidi w:val="0"/>
              <w:rPr>
                <w:rFonts w:hint="default"/>
                <w:highlight w:val="none"/>
                <w:lang w:val="en-US" w:eastAsia="zh-CN"/>
              </w:rPr>
            </w:pPr>
            <w:r>
              <w:rPr>
                <w:rFonts w:hint="default"/>
                <w:highlight w:val="none"/>
                <w:lang w:val="en-US" w:eastAsia="zh-CN"/>
              </w:rPr>
              <w:t>ND</w:t>
            </w:r>
          </w:p>
        </w:tc>
        <w:tc>
          <w:tcPr>
            <w:tcW w:w="670" w:type="pct"/>
            <w:tcBorders>
              <w:tl2br w:val="nil"/>
              <w:tr2bl w:val="nil"/>
            </w:tcBorders>
            <w:shd w:val="clear" w:color="auto" w:fill="auto"/>
            <w:noWrap/>
            <w:vAlign w:val="center"/>
          </w:tcPr>
          <w:p w14:paraId="388171B9">
            <w:pPr>
              <w:pStyle w:val="58"/>
              <w:bidi w:val="0"/>
              <w:rPr>
                <w:rFonts w:hint="default"/>
                <w:highlight w:val="none"/>
                <w:lang w:val="en-US" w:eastAsia="zh-CN"/>
              </w:rPr>
            </w:pPr>
            <w:r>
              <w:rPr>
                <w:rFonts w:hint="default"/>
                <w:highlight w:val="none"/>
                <w:lang w:val="en-US" w:eastAsia="zh-CN"/>
              </w:rPr>
              <w:t>ND</w:t>
            </w:r>
          </w:p>
        </w:tc>
        <w:tc>
          <w:tcPr>
            <w:tcW w:w="410" w:type="pct"/>
            <w:tcBorders>
              <w:tl2br w:val="nil"/>
              <w:tr2bl w:val="nil"/>
            </w:tcBorders>
            <w:shd w:val="clear" w:color="auto" w:fill="auto"/>
            <w:noWrap/>
            <w:vAlign w:val="center"/>
          </w:tcPr>
          <w:p w14:paraId="14526737">
            <w:pPr>
              <w:pStyle w:val="58"/>
              <w:bidi w:val="0"/>
              <w:rPr>
                <w:rFonts w:hint="default"/>
                <w:highlight w:val="none"/>
                <w:lang w:val="en-US" w:eastAsia="zh-CN"/>
              </w:rPr>
            </w:pPr>
            <w:r>
              <w:rPr>
                <w:rFonts w:hint="default"/>
                <w:highlight w:val="none"/>
                <w:lang w:val="en-US" w:eastAsia="zh-CN"/>
              </w:rPr>
              <w:t>0</w:t>
            </w:r>
          </w:p>
        </w:tc>
        <w:tc>
          <w:tcPr>
            <w:tcW w:w="410" w:type="pct"/>
            <w:tcBorders>
              <w:tl2br w:val="nil"/>
              <w:tr2bl w:val="nil"/>
            </w:tcBorders>
            <w:shd w:val="clear" w:color="auto" w:fill="auto"/>
            <w:noWrap/>
            <w:vAlign w:val="center"/>
          </w:tcPr>
          <w:p w14:paraId="5AE8AA1C">
            <w:pPr>
              <w:pStyle w:val="58"/>
              <w:bidi w:val="0"/>
              <w:rPr>
                <w:rFonts w:hint="default"/>
                <w:highlight w:val="none"/>
                <w:lang w:val="en-US" w:eastAsia="zh-CN"/>
              </w:rPr>
            </w:pPr>
            <w:r>
              <w:rPr>
                <w:rFonts w:hint="default"/>
                <w:highlight w:val="none"/>
                <w:lang w:val="en-US" w:eastAsia="zh-CN"/>
              </w:rPr>
              <w:t>0</w:t>
            </w:r>
          </w:p>
        </w:tc>
      </w:tr>
      <w:tr w14:paraId="7A670D5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27DD9D7B">
            <w:pPr>
              <w:pStyle w:val="58"/>
              <w:bidi w:val="0"/>
              <w:rPr>
                <w:rFonts w:hint="default"/>
                <w:highlight w:val="none"/>
              </w:rPr>
            </w:pPr>
            <w:r>
              <w:rPr>
                <w:rFonts w:hint="default"/>
                <w:highlight w:val="none"/>
                <w:lang w:val="en-US" w:eastAsia="zh-CN"/>
              </w:rPr>
              <w:t>17</w:t>
            </w:r>
          </w:p>
        </w:tc>
        <w:tc>
          <w:tcPr>
            <w:tcW w:w="767" w:type="pct"/>
            <w:tcBorders>
              <w:tl2br w:val="nil"/>
              <w:tr2bl w:val="nil"/>
            </w:tcBorders>
            <w:shd w:val="clear" w:color="auto" w:fill="auto"/>
            <w:vAlign w:val="center"/>
          </w:tcPr>
          <w:p w14:paraId="37C38B31">
            <w:pPr>
              <w:pStyle w:val="58"/>
              <w:bidi w:val="0"/>
              <w:rPr>
                <w:rFonts w:hint="default"/>
                <w:highlight w:val="none"/>
                <w:lang w:val="en-US" w:eastAsia="zh-CN"/>
              </w:rPr>
            </w:pPr>
            <w:r>
              <w:rPr>
                <w:rFonts w:hint="default"/>
                <w:highlight w:val="none"/>
                <w:lang w:val="en-US" w:eastAsia="zh-CN"/>
              </w:rPr>
              <w:t>锰</w:t>
            </w:r>
          </w:p>
        </w:tc>
        <w:tc>
          <w:tcPr>
            <w:tcW w:w="766" w:type="pct"/>
            <w:tcBorders>
              <w:tl2br w:val="nil"/>
              <w:tr2bl w:val="nil"/>
            </w:tcBorders>
            <w:shd w:val="clear" w:color="auto" w:fill="auto"/>
            <w:noWrap/>
            <w:vAlign w:val="center"/>
          </w:tcPr>
          <w:p w14:paraId="792E1C88">
            <w:pPr>
              <w:pStyle w:val="58"/>
              <w:bidi w:val="0"/>
              <w:rPr>
                <w:rFonts w:hint="default"/>
                <w:highlight w:val="none"/>
                <w:lang w:val="en-US" w:eastAsia="zh-CN"/>
              </w:rPr>
            </w:pPr>
            <w:r>
              <w:rPr>
                <w:rFonts w:hint="default"/>
                <w:highlight w:val="none"/>
                <w:lang w:val="en-US" w:eastAsia="zh-CN"/>
              </w:rPr>
              <w:t>mg/L</w:t>
            </w:r>
          </w:p>
        </w:tc>
        <w:tc>
          <w:tcPr>
            <w:tcW w:w="651" w:type="pct"/>
            <w:tcBorders>
              <w:tl2br w:val="nil"/>
              <w:tr2bl w:val="nil"/>
            </w:tcBorders>
            <w:shd w:val="clear" w:color="auto" w:fill="auto"/>
            <w:noWrap/>
            <w:vAlign w:val="center"/>
          </w:tcPr>
          <w:p w14:paraId="33B19E03">
            <w:pPr>
              <w:pStyle w:val="58"/>
              <w:bidi w:val="0"/>
              <w:rPr>
                <w:rFonts w:hint="default"/>
                <w:highlight w:val="none"/>
                <w:lang w:val="en-US" w:eastAsia="zh-CN"/>
              </w:rPr>
            </w:pPr>
            <w:r>
              <w:rPr>
                <w:rFonts w:hint="default"/>
                <w:highlight w:val="none"/>
                <w:lang w:val="en-US" w:eastAsia="zh-CN"/>
              </w:rPr>
              <w:t>0.10</w:t>
            </w:r>
          </w:p>
        </w:tc>
        <w:tc>
          <w:tcPr>
            <w:tcW w:w="475" w:type="pct"/>
            <w:tcBorders>
              <w:tl2br w:val="nil"/>
              <w:tr2bl w:val="nil"/>
            </w:tcBorders>
            <w:shd w:val="clear" w:color="auto" w:fill="auto"/>
            <w:noWrap/>
            <w:vAlign w:val="center"/>
          </w:tcPr>
          <w:p w14:paraId="5E0C2590">
            <w:pPr>
              <w:pStyle w:val="58"/>
              <w:bidi w:val="0"/>
              <w:rPr>
                <w:rFonts w:hint="default"/>
                <w:highlight w:val="none"/>
                <w:lang w:val="en-US" w:eastAsia="zh-CN"/>
              </w:rPr>
            </w:pPr>
            <w:r>
              <w:rPr>
                <w:rFonts w:hint="default"/>
                <w:highlight w:val="none"/>
                <w:lang w:val="en-US" w:eastAsia="zh-CN"/>
              </w:rPr>
              <w:t>ND</w:t>
            </w:r>
          </w:p>
        </w:tc>
        <w:tc>
          <w:tcPr>
            <w:tcW w:w="475" w:type="pct"/>
            <w:tcBorders>
              <w:tl2br w:val="nil"/>
              <w:tr2bl w:val="nil"/>
            </w:tcBorders>
            <w:shd w:val="clear" w:color="auto" w:fill="auto"/>
            <w:noWrap/>
            <w:vAlign w:val="center"/>
          </w:tcPr>
          <w:p w14:paraId="08510D44">
            <w:pPr>
              <w:pStyle w:val="58"/>
              <w:bidi w:val="0"/>
              <w:rPr>
                <w:rFonts w:hint="default"/>
                <w:highlight w:val="none"/>
                <w:lang w:val="en-US" w:eastAsia="zh-CN"/>
              </w:rPr>
            </w:pPr>
            <w:r>
              <w:rPr>
                <w:rFonts w:hint="default"/>
                <w:highlight w:val="none"/>
                <w:lang w:val="en-US" w:eastAsia="zh-CN"/>
              </w:rPr>
              <w:t>ND</w:t>
            </w:r>
          </w:p>
        </w:tc>
        <w:tc>
          <w:tcPr>
            <w:tcW w:w="670" w:type="pct"/>
            <w:tcBorders>
              <w:tl2br w:val="nil"/>
              <w:tr2bl w:val="nil"/>
            </w:tcBorders>
            <w:shd w:val="clear" w:color="auto" w:fill="auto"/>
            <w:noWrap/>
            <w:vAlign w:val="center"/>
          </w:tcPr>
          <w:p w14:paraId="353D2F27">
            <w:pPr>
              <w:pStyle w:val="58"/>
              <w:bidi w:val="0"/>
              <w:rPr>
                <w:rFonts w:hint="default"/>
                <w:highlight w:val="none"/>
                <w:lang w:val="en-US" w:eastAsia="zh-CN"/>
              </w:rPr>
            </w:pPr>
            <w:r>
              <w:rPr>
                <w:rFonts w:hint="default"/>
                <w:highlight w:val="none"/>
                <w:lang w:val="en-US" w:eastAsia="zh-CN"/>
              </w:rPr>
              <w:t>ND</w:t>
            </w:r>
          </w:p>
        </w:tc>
        <w:tc>
          <w:tcPr>
            <w:tcW w:w="410" w:type="pct"/>
            <w:tcBorders>
              <w:tl2br w:val="nil"/>
              <w:tr2bl w:val="nil"/>
            </w:tcBorders>
            <w:shd w:val="clear" w:color="auto" w:fill="auto"/>
            <w:noWrap/>
            <w:vAlign w:val="center"/>
          </w:tcPr>
          <w:p w14:paraId="6DD42A72">
            <w:pPr>
              <w:pStyle w:val="58"/>
              <w:bidi w:val="0"/>
              <w:rPr>
                <w:rFonts w:hint="default"/>
                <w:highlight w:val="none"/>
                <w:lang w:val="en-US" w:eastAsia="zh-CN"/>
              </w:rPr>
            </w:pPr>
            <w:r>
              <w:rPr>
                <w:rFonts w:hint="default"/>
                <w:highlight w:val="none"/>
                <w:lang w:val="en-US" w:eastAsia="zh-CN"/>
              </w:rPr>
              <w:t>0</w:t>
            </w:r>
          </w:p>
        </w:tc>
        <w:tc>
          <w:tcPr>
            <w:tcW w:w="410" w:type="pct"/>
            <w:tcBorders>
              <w:tl2br w:val="nil"/>
              <w:tr2bl w:val="nil"/>
            </w:tcBorders>
            <w:shd w:val="clear" w:color="auto" w:fill="auto"/>
            <w:noWrap/>
            <w:vAlign w:val="center"/>
          </w:tcPr>
          <w:p w14:paraId="7ADB4FE1">
            <w:pPr>
              <w:pStyle w:val="58"/>
              <w:bidi w:val="0"/>
              <w:rPr>
                <w:rFonts w:hint="default"/>
                <w:highlight w:val="none"/>
                <w:lang w:val="en-US" w:eastAsia="zh-CN"/>
              </w:rPr>
            </w:pPr>
            <w:r>
              <w:rPr>
                <w:rFonts w:hint="default"/>
                <w:highlight w:val="none"/>
                <w:lang w:val="en-US" w:eastAsia="zh-CN"/>
              </w:rPr>
              <w:t>0</w:t>
            </w:r>
          </w:p>
        </w:tc>
      </w:tr>
      <w:tr w14:paraId="34D482F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514807CA">
            <w:pPr>
              <w:pStyle w:val="58"/>
              <w:bidi w:val="0"/>
              <w:rPr>
                <w:rFonts w:hint="default"/>
                <w:highlight w:val="none"/>
              </w:rPr>
            </w:pPr>
            <w:r>
              <w:rPr>
                <w:rFonts w:hint="default"/>
                <w:highlight w:val="none"/>
                <w:lang w:val="en-US" w:eastAsia="zh-CN"/>
              </w:rPr>
              <w:t>18</w:t>
            </w:r>
          </w:p>
        </w:tc>
        <w:tc>
          <w:tcPr>
            <w:tcW w:w="767" w:type="pct"/>
            <w:tcBorders>
              <w:tl2br w:val="nil"/>
              <w:tr2bl w:val="nil"/>
            </w:tcBorders>
            <w:shd w:val="clear" w:color="auto" w:fill="auto"/>
            <w:vAlign w:val="center"/>
          </w:tcPr>
          <w:p w14:paraId="6EBDCAF8">
            <w:pPr>
              <w:pStyle w:val="58"/>
              <w:bidi w:val="0"/>
              <w:rPr>
                <w:rFonts w:hint="default"/>
                <w:highlight w:val="none"/>
                <w:lang w:val="en-US" w:eastAsia="zh-CN"/>
              </w:rPr>
            </w:pPr>
            <w:r>
              <w:rPr>
                <w:rFonts w:hint="default"/>
                <w:highlight w:val="none"/>
                <w:lang w:val="en-US" w:eastAsia="zh-CN"/>
              </w:rPr>
              <w:t>铅</w:t>
            </w:r>
          </w:p>
        </w:tc>
        <w:tc>
          <w:tcPr>
            <w:tcW w:w="766" w:type="pct"/>
            <w:tcBorders>
              <w:tl2br w:val="nil"/>
              <w:tr2bl w:val="nil"/>
            </w:tcBorders>
            <w:shd w:val="clear" w:color="auto" w:fill="auto"/>
            <w:vAlign w:val="center"/>
          </w:tcPr>
          <w:p w14:paraId="489B1852">
            <w:pPr>
              <w:pStyle w:val="58"/>
              <w:bidi w:val="0"/>
              <w:rPr>
                <w:rFonts w:hint="default"/>
                <w:highlight w:val="none"/>
                <w:lang w:val="en-US" w:eastAsia="zh-CN"/>
              </w:rPr>
            </w:pPr>
            <w:r>
              <w:rPr>
                <w:rFonts w:hint="default"/>
                <w:highlight w:val="none"/>
                <w:lang w:val="en-US" w:eastAsia="zh-CN"/>
              </w:rPr>
              <w:t>mg/L</w:t>
            </w:r>
          </w:p>
        </w:tc>
        <w:tc>
          <w:tcPr>
            <w:tcW w:w="651" w:type="pct"/>
            <w:tcBorders>
              <w:tl2br w:val="nil"/>
              <w:tr2bl w:val="nil"/>
            </w:tcBorders>
            <w:shd w:val="clear" w:color="auto" w:fill="auto"/>
            <w:noWrap/>
            <w:vAlign w:val="center"/>
          </w:tcPr>
          <w:p w14:paraId="0AEA0CCA">
            <w:pPr>
              <w:pStyle w:val="58"/>
              <w:bidi w:val="0"/>
              <w:rPr>
                <w:rFonts w:hint="default"/>
                <w:highlight w:val="none"/>
                <w:lang w:val="en-US" w:eastAsia="zh-CN"/>
              </w:rPr>
            </w:pPr>
            <w:r>
              <w:rPr>
                <w:rFonts w:hint="default"/>
                <w:highlight w:val="none"/>
                <w:lang w:val="en-US" w:eastAsia="zh-CN"/>
              </w:rPr>
              <w:t>0.01</w:t>
            </w:r>
          </w:p>
        </w:tc>
        <w:tc>
          <w:tcPr>
            <w:tcW w:w="475" w:type="pct"/>
            <w:tcBorders>
              <w:tl2br w:val="nil"/>
              <w:tr2bl w:val="nil"/>
            </w:tcBorders>
            <w:shd w:val="clear" w:color="auto" w:fill="auto"/>
            <w:noWrap/>
            <w:vAlign w:val="center"/>
          </w:tcPr>
          <w:p w14:paraId="06EBF00A">
            <w:pPr>
              <w:pStyle w:val="58"/>
              <w:bidi w:val="0"/>
              <w:rPr>
                <w:rFonts w:hint="default"/>
                <w:highlight w:val="none"/>
                <w:lang w:val="en-US" w:eastAsia="zh-CN"/>
              </w:rPr>
            </w:pPr>
            <w:r>
              <w:rPr>
                <w:rFonts w:hint="default"/>
                <w:highlight w:val="none"/>
                <w:lang w:val="en-US" w:eastAsia="zh-CN"/>
              </w:rPr>
              <w:t>ND</w:t>
            </w:r>
          </w:p>
        </w:tc>
        <w:tc>
          <w:tcPr>
            <w:tcW w:w="475" w:type="pct"/>
            <w:tcBorders>
              <w:tl2br w:val="nil"/>
              <w:tr2bl w:val="nil"/>
            </w:tcBorders>
            <w:shd w:val="clear" w:color="auto" w:fill="auto"/>
            <w:noWrap/>
            <w:vAlign w:val="center"/>
          </w:tcPr>
          <w:p w14:paraId="224BD1A6">
            <w:pPr>
              <w:pStyle w:val="58"/>
              <w:bidi w:val="0"/>
              <w:rPr>
                <w:rFonts w:hint="default"/>
                <w:highlight w:val="none"/>
                <w:lang w:val="en-US" w:eastAsia="zh-CN"/>
              </w:rPr>
            </w:pPr>
            <w:r>
              <w:rPr>
                <w:rFonts w:hint="default"/>
                <w:highlight w:val="none"/>
                <w:lang w:val="en-US" w:eastAsia="zh-CN"/>
              </w:rPr>
              <w:t>ND</w:t>
            </w:r>
          </w:p>
        </w:tc>
        <w:tc>
          <w:tcPr>
            <w:tcW w:w="670" w:type="pct"/>
            <w:tcBorders>
              <w:tl2br w:val="nil"/>
              <w:tr2bl w:val="nil"/>
            </w:tcBorders>
            <w:shd w:val="clear" w:color="auto" w:fill="auto"/>
            <w:noWrap/>
            <w:vAlign w:val="center"/>
          </w:tcPr>
          <w:p w14:paraId="6D43AE22">
            <w:pPr>
              <w:pStyle w:val="58"/>
              <w:bidi w:val="0"/>
              <w:rPr>
                <w:rFonts w:hint="default"/>
                <w:highlight w:val="none"/>
                <w:lang w:val="en-US" w:eastAsia="zh-CN"/>
              </w:rPr>
            </w:pPr>
            <w:r>
              <w:rPr>
                <w:rFonts w:hint="default"/>
                <w:highlight w:val="none"/>
                <w:lang w:val="en-US" w:eastAsia="zh-CN"/>
              </w:rPr>
              <w:t>ND</w:t>
            </w:r>
          </w:p>
        </w:tc>
        <w:tc>
          <w:tcPr>
            <w:tcW w:w="410" w:type="pct"/>
            <w:tcBorders>
              <w:tl2br w:val="nil"/>
              <w:tr2bl w:val="nil"/>
            </w:tcBorders>
            <w:shd w:val="clear" w:color="auto" w:fill="auto"/>
            <w:noWrap/>
            <w:vAlign w:val="center"/>
          </w:tcPr>
          <w:p w14:paraId="3A8C8123">
            <w:pPr>
              <w:pStyle w:val="58"/>
              <w:bidi w:val="0"/>
              <w:rPr>
                <w:rFonts w:hint="default"/>
                <w:highlight w:val="none"/>
                <w:lang w:val="en-US" w:eastAsia="zh-CN"/>
              </w:rPr>
            </w:pPr>
            <w:r>
              <w:rPr>
                <w:rFonts w:hint="default"/>
                <w:highlight w:val="none"/>
                <w:lang w:val="en-US" w:eastAsia="zh-CN"/>
              </w:rPr>
              <w:t>0</w:t>
            </w:r>
          </w:p>
        </w:tc>
        <w:tc>
          <w:tcPr>
            <w:tcW w:w="410" w:type="pct"/>
            <w:tcBorders>
              <w:tl2br w:val="nil"/>
              <w:tr2bl w:val="nil"/>
            </w:tcBorders>
            <w:shd w:val="clear" w:color="auto" w:fill="auto"/>
            <w:noWrap/>
            <w:vAlign w:val="center"/>
          </w:tcPr>
          <w:p w14:paraId="532A4219">
            <w:pPr>
              <w:pStyle w:val="58"/>
              <w:bidi w:val="0"/>
              <w:rPr>
                <w:rFonts w:hint="default"/>
                <w:highlight w:val="none"/>
                <w:lang w:val="en-US" w:eastAsia="zh-CN"/>
              </w:rPr>
            </w:pPr>
            <w:r>
              <w:rPr>
                <w:rFonts w:hint="default"/>
                <w:highlight w:val="none"/>
                <w:lang w:val="en-US" w:eastAsia="zh-CN"/>
              </w:rPr>
              <w:t>0</w:t>
            </w:r>
          </w:p>
        </w:tc>
      </w:tr>
      <w:tr w14:paraId="2720853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6E0A9B54">
            <w:pPr>
              <w:pStyle w:val="58"/>
              <w:bidi w:val="0"/>
              <w:rPr>
                <w:rFonts w:hint="default"/>
                <w:highlight w:val="none"/>
              </w:rPr>
            </w:pPr>
            <w:r>
              <w:rPr>
                <w:rFonts w:hint="default"/>
                <w:highlight w:val="none"/>
                <w:lang w:val="en-US" w:eastAsia="zh-CN"/>
              </w:rPr>
              <w:t>19</w:t>
            </w:r>
          </w:p>
        </w:tc>
        <w:tc>
          <w:tcPr>
            <w:tcW w:w="767" w:type="pct"/>
            <w:tcBorders>
              <w:tl2br w:val="nil"/>
              <w:tr2bl w:val="nil"/>
            </w:tcBorders>
            <w:shd w:val="clear" w:color="auto" w:fill="auto"/>
            <w:vAlign w:val="center"/>
          </w:tcPr>
          <w:p w14:paraId="592A83DD">
            <w:pPr>
              <w:pStyle w:val="58"/>
              <w:bidi w:val="0"/>
              <w:rPr>
                <w:rFonts w:hint="default"/>
                <w:highlight w:val="none"/>
                <w:lang w:val="en-US" w:eastAsia="zh-CN"/>
              </w:rPr>
            </w:pPr>
            <w:r>
              <w:rPr>
                <w:rFonts w:hint="default"/>
                <w:highlight w:val="none"/>
                <w:lang w:val="en-US" w:eastAsia="zh-CN"/>
              </w:rPr>
              <w:t>镉</w:t>
            </w:r>
          </w:p>
        </w:tc>
        <w:tc>
          <w:tcPr>
            <w:tcW w:w="766" w:type="pct"/>
            <w:tcBorders>
              <w:tl2br w:val="nil"/>
              <w:tr2bl w:val="nil"/>
            </w:tcBorders>
            <w:shd w:val="clear" w:color="auto" w:fill="auto"/>
            <w:vAlign w:val="center"/>
          </w:tcPr>
          <w:p w14:paraId="3502F75C">
            <w:pPr>
              <w:pStyle w:val="58"/>
              <w:bidi w:val="0"/>
              <w:rPr>
                <w:rFonts w:hint="default"/>
                <w:highlight w:val="none"/>
                <w:lang w:val="en-US" w:eastAsia="zh-CN"/>
              </w:rPr>
            </w:pPr>
            <w:r>
              <w:rPr>
                <w:rFonts w:hint="default"/>
                <w:highlight w:val="none"/>
                <w:lang w:val="en-US" w:eastAsia="zh-CN"/>
              </w:rPr>
              <w:t>mg/L</w:t>
            </w:r>
          </w:p>
        </w:tc>
        <w:tc>
          <w:tcPr>
            <w:tcW w:w="651" w:type="pct"/>
            <w:tcBorders>
              <w:tl2br w:val="nil"/>
              <w:tr2bl w:val="nil"/>
            </w:tcBorders>
            <w:shd w:val="clear" w:color="auto" w:fill="auto"/>
            <w:noWrap/>
            <w:vAlign w:val="center"/>
          </w:tcPr>
          <w:p w14:paraId="7D2319FE">
            <w:pPr>
              <w:pStyle w:val="58"/>
              <w:bidi w:val="0"/>
              <w:rPr>
                <w:rFonts w:hint="default"/>
                <w:highlight w:val="none"/>
                <w:lang w:val="en-US" w:eastAsia="zh-CN"/>
              </w:rPr>
            </w:pPr>
            <w:r>
              <w:rPr>
                <w:rFonts w:hint="default"/>
                <w:highlight w:val="none"/>
                <w:lang w:val="en-US" w:eastAsia="zh-CN"/>
              </w:rPr>
              <w:t>0.05</w:t>
            </w:r>
          </w:p>
        </w:tc>
        <w:tc>
          <w:tcPr>
            <w:tcW w:w="475" w:type="pct"/>
            <w:tcBorders>
              <w:tl2br w:val="nil"/>
              <w:tr2bl w:val="nil"/>
            </w:tcBorders>
            <w:shd w:val="clear" w:color="auto" w:fill="auto"/>
            <w:noWrap/>
            <w:vAlign w:val="center"/>
          </w:tcPr>
          <w:p w14:paraId="63137DFF">
            <w:pPr>
              <w:pStyle w:val="58"/>
              <w:bidi w:val="0"/>
              <w:rPr>
                <w:rFonts w:hint="default"/>
                <w:highlight w:val="none"/>
                <w:lang w:val="en-US" w:eastAsia="zh-CN"/>
              </w:rPr>
            </w:pPr>
            <w:r>
              <w:rPr>
                <w:rFonts w:hint="default"/>
                <w:highlight w:val="none"/>
                <w:lang w:val="en-US" w:eastAsia="zh-CN"/>
              </w:rPr>
              <w:t>ND</w:t>
            </w:r>
          </w:p>
        </w:tc>
        <w:tc>
          <w:tcPr>
            <w:tcW w:w="475" w:type="pct"/>
            <w:tcBorders>
              <w:tl2br w:val="nil"/>
              <w:tr2bl w:val="nil"/>
            </w:tcBorders>
            <w:shd w:val="clear" w:color="auto" w:fill="auto"/>
            <w:noWrap/>
            <w:vAlign w:val="center"/>
          </w:tcPr>
          <w:p w14:paraId="7A2ACAEA">
            <w:pPr>
              <w:pStyle w:val="58"/>
              <w:bidi w:val="0"/>
              <w:rPr>
                <w:rFonts w:hint="default"/>
                <w:highlight w:val="none"/>
                <w:lang w:val="en-US" w:eastAsia="zh-CN"/>
              </w:rPr>
            </w:pPr>
            <w:r>
              <w:rPr>
                <w:rFonts w:hint="default"/>
                <w:highlight w:val="none"/>
                <w:lang w:val="en-US" w:eastAsia="zh-CN"/>
              </w:rPr>
              <w:t>ND</w:t>
            </w:r>
          </w:p>
        </w:tc>
        <w:tc>
          <w:tcPr>
            <w:tcW w:w="670" w:type="pct"/>
            <w:tcBorders>
              <w:tl2br w:val="nil"/>
              <w:tr2bl w:val="nil"/>
            </w:tcBorders>
            <w:shd w:val="clear" w:color="auto" w:fill="auto"/>
            <w:noWrap/>
            <w:vAlign w:val="center"/>
          </w:tcPr>
          <w:p w14:paraId="1003E7E8">
            <w:pPr>
              <w:pStyle w:val="58"/>
              <w:bidi w:val="0"/>
              <w:rPr>
                <w:rFonts w:hint="default"/>
                <w:highlight w:val="none"/>
                <w:lang w:val="en-US" w:eastAsia="zh-CN"/>
              </w:rPr>
            </w:pPr>
            <w:r>
              <w:rPr>
                <w:rFonts w:hint="default"/>
                <w:highlight w:val="none"/>
                <w:lang w:val="en-US" w:eastAsia="zh-CN"/>
              </w:rPr>
              <w:t>ND</w:t>
            </w:r>
          </w:p>
        </w:tc>
        <w:tc>
          <w:tcPr>
            <w:tcW w:w="410" w:type="pct"/>
            <w:tcBorders>
              <w:tl2br w:val="nil"/>
              <w:tr2bl w:val="nil"/>
            </w:tcBorders>
            <w:shd w:val="clear" w:color="auto" w:fill="auto"/>
            <w:noWrap/>
            <w:vAlign w:val="center"/>
          </w:tcPr>
          <w:p w14:paraId="101F904E">
            <w:pPr>
              <w:pStyle w:val="58"/>
              <w:bidi w:val="0"/>
              <w:rPr>
                <w:rFonts w:hint="default"/>
                <w:highlight w:val="none"/>
                <w:lang w:val="en-US" w:eastAsia="zh-CN"/>
              </w:rPr>
            </w:pPr>
            <w:r>
              <w:rPr>
                <w:rFonts w:hint="default"/>
                <w:highlight w:val="none"/>
                <w:lang w:val="en-US" w:eastAsia="zh-CN"/>
              </w:rPr>
              <w:t>0</w:t>
            </w:r>
          </w:p>
        </w:tc>
        <w:tc>
          <w:tcPr>
            <w:tcW w:w="410" w:type="pct"/>
            <w:tcBorders>
              <w:tl2br w:val="nil"/>
              <w:tr2bl w:val="nil"/>
            </w:tcBorders>
            <w:shd w:val="clear" w:color="auto" w:fill="auto"/>
            <w:noWrap/>
            <w:vAlign w:val="center"/>
          </w:tcPr>
          <w:p w14:paraId="121DCDE2">
            <w:pPr>
              <w:pStyle w:val="58"/>
              <w:bidi w:val="0"/>
              <w:rPr>
                <w:rFonts w:hint="default"/>
                <w:highlight w:val="none"/>
                <w:lang w:val="en-US" w:eastAsia="zh-CN"/>
              </w:rPr>
            </w:pPr>
            <w:r>
              <w:rPr>
                <w:rFonts w:hint="default"/>
                <w:highlight w:val="none"/>
                <w:lang w:val="en-US" w:eastAsia="zh-CN"/>
              </w:rPr>
              <w:t>0</w:t>
            </w:r>
          </w:p>
        </w:tc>
      </w:tr>
      <w:tr w14:paraId="2F40A09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19534A41">
            <w:pPr>
              <w:pStyle w:val="58"/>
              <w:bidi w:val="0"/>
              <w:rPr>
                <w:rFonts w:hint="default"/>
                <w:highlight w:val="none"/>
              </w:rPr>
            </w:pPr>
            <w:r>
              <w:rPr>
                <w:rFonts w:hint="default"/>
                <w:highlight w:val="none"/>
                <w:lang w:val="en-US" w:eastAsia="zh-CN"/>
              </w:rPr>
              <w:t>20</w:t>
            </w:r>
          </w:p>
        </w:tc>
        <w:tc>
          <w:tcPr>
            <w:tcW w:w="767" w:type="pct"/>
            <w:tcBorders>
              <w:tl2br w:val="nil"/>
              <w:tr2bl w:val="nil"/>
            </w:tcBorders>
            <w:shd w:val="clear" w:color="auto" w:fill="auto"/>
            <w:vAlign w:val="center"/>
          </w:tcPr>
          <w:p w14:paraId="77D02868">
            <w:pPr>
              <w:pStyle w:val="58"/>
              <w:bidi w:val="0"/>
              <w:rPr>
                <w:rFonts w:hint="default"/>
                <w:highlight w:val="none"/>
                <w:lang w:val="en-US" w:eastAsia="zh-CN"/>
              </w:rPr>
            </w:pPr>
            <w:r>
              <w:rPr>
                <w:rFonts w:hint="default"/>
                <w:highlight w:val="none"/>
                <w:lang w:val="en-US" w:eastAsia="zh-CN"/>
              </w:rPr>
              <w:t>总大肠菌群</w:t>
            </w:r>
          </w:p>
          <w:p w14:paraId="0F5A3F79">
            <w:pPr>
              <w:pStyle w:val="58"/>
              <w:bidi w:val="0"/>
              <w:rPr>
                <w:rFonts w:hint="default"/>
                <w:highlight w:val="none"/>
                <w:lang w:val="en-US" w:eastAsia="zh-CN"/>
              </w:rPr>
            </w:pPr>
            <w:r>
              <w:rPr>
                <w:rFonts w:hint="default"/>
                <w:highlight w:val="none"/>
                <w:lang w:val="en-US" w:eastAsia="zh-CN"/>
              </w:rPr>
              <w:t>（15管法）</w:t>
            </w:r>
          </w:p>
        </w:tc>
        <w:tc>
          <w:tcPr>
            <w:tcW w:w="766" w:type="pct"/>
            <w:tcBorders>
              <w:tl2br w:val="nil"/>
              <w:tr2bl w:val="nil"/>
            </w:tcBorders>
            <w:shd w:val="clear" w:color="auto" w:fill="auto"/>
            <w:vAlign w:val="center"/>
          </w:tcPr>
          <w:p w14:paraId="74940472">
            <w:pPr>
              <w:pStyle w:val="58"/>
              <w:bidi w:val="0"/>
              <w:rPr>
                <w:rFonts w:hint="default"/>
                <w:highlight w:val="none"/>
                <w:lang w:val="en-US" w:eastAsia="zh-CN"/>
              </w:rPr>
            </w:pPr>
            <w:r>
              <w:rPr>
                <w:rFonts w:hint="default"/>
                <w:highlight w:val="none"/>
                <w:lang w:val="en-US" w:eastAsia="zh-CN"/>
              </w:rPr>
              <w:t>MPN/100mL</w:t>
            </w:r>
          </w:p>
        </w:tc>
        <w:tc>
          <w:tcPr>
            <w:tcW w:w="651" w:type="pct"/>
            <w:tcBorders>
              <w:tl2br w:val="nil"/>
              <w:tr2bl w:val="nil"/>
            </w:tcBorders>
            <w:shd w:val="clear" w:color="auto" w:fill="auto"/>
            <w:noWrap/>
            <w:vAlign w:val="center"/>
          </w:tcPr>
          <w:p w14:paraId="02CF581A">
            <w:pPr>
              <w:pStyle w:val="58"/>
              <w:bidi w:val="0"/>
              <w:rPr>
                <w:rFonts w:hint="default"/>
                <w:highlight w:val="none"/>
                <w:lang w:val="en-US" w:eastAsia="zh-CN"/>
              </w:rPr>
            </w:pPr>
            <w:r>
              <w:rPr>
                <w:rFonts w:hint="default"/>
                <w:highlight w:val="none"/>
                <w:lang w:val="en-US" w:eastAsia="zh-CN"/>
              </w:rPr>
              <w:t>3.0</w:t>
            </w:r>
          </w:p>
        </w:tc>
        <w:tc>
          <w:tcPr>
            <w:tcW w:w="475" w:type="pct"/>
            <w:tcBorders>
              <w:tl2br w:val="nil"/>
              <w:tr2bl w:val="nil"/>
            </w:tcBorders>
            <w:shd w:val="clear" w:color="auto" w:fill="auto"/>
            <w:noWrap/>
            <w:vAlign w:val="center"/>
          </w:tcPr>
          <w:p w14:paraId="2CD4361C">
            <w:pPr>
              <w:pStyle w:val="58"/>
              <w:bidi w:val="0"/>
              <w:rPr>
                <w:rFonts w:hint="default"/>
                <w:highlight w:val="none"/>
                <w:lang w:val="en-US" w:eastAsia="zh-CN"/>
              </w:rPr>
            </w:pPr>
            <w:r>
              <w:rPr>
                <w:rFonts w:hint="default"/>
                <w:highlight w:val="none"/>
                <w:lang w:val="en-US" w:eastAsia="zh-CN"/>
              </w:rPr>
              <w:t>ND</w:t>
            </w:r>
          </w:p>
        </w:tc>
        <w:tc>
          <w:tcPr>
            <w:tcW w:w="475" w:type="pct"/>
            <w:tcBorders>
              <w:tl2br w:val="nil"/>
              <w:tr2bl w:val="nil"/>
            </w:tcBorders>
            <w:shd w:val="clear" w:color="auto" w:fill="auto"/>
            <w:noWrap/>
            <w:vAlign w:val="center"/>
          </w:tcPr>
          <w:p w14:paraId="52F8D940">
            <w:pPr>
              <w:pStyle w:val="58"/>
              <w:bidi w:val="0"/>
              <w:rPr>
                <w:rFonts w:hint="default"/>
                <w:highlight w:val="none"/>
                <w:lang w:val="en-US" w:eastAsia="zh-CN"/>
              </w:rPr>
            </w:pPr>
            <w:r>
              <w:rPr>
                <w:rFonts w:hint="default"/>
                <w:highlight w:val="none"/>
                <w:lang w:val="en-US" w:eastAsia="zh-CN"/>
              </w:rPr>
              <w:t>ND</w:t>
            </w:r>
          </w:p>
        </w:tc>
        <w:tc>
          <w:tcPr>
            <w:tcW w:w="670" w:type="pct"/>
            <w:tcBorders>
              <w:tl2br w:val="nil"/>
              <w:tr2bl w:val="nil"/>
            </w:tcBorders>
            <w:shd w:val="clear" w:color="auto" w:fill="auto"/>
            <w:noWrap/>
            <w:vAlign w:val="center"/>
          </w:tcPr>
          <w:p w14:paraId="50DE6A44">
            <w:pPr>
              <w:pStyle w:val="58"/>
              <w:bidi w:val="0"/>
              <w:rPr>
                <w:rFonts w:hint="default"/>
                <w:highlight w:val="none"/>
                <w:lang w:val="en-US" w:eastAsia="zh-CN"/>
              </w:rPr>
            </w:pPr>
            <w:r>
              <w:rPr>
                <w:rFonts w:hint="default"/>
                <w:highlight w:val="none"/>
                <w:lang w:val="en-US" w:eastAsia="zh-CN"/>
              </w:rPr>
              <w:t>ND</w:t>
            </w:r>
          </w:p>
        </w:tc>
        <w:tc>
          <w:tcPr>
            <w:tcW w:w="410" w:type="pct"/>
            <w:tcBorders>
              <w:tl2br w:val="nil"/>
              <w:tr2bl w:val="nil"/>
            </w:tcBorders>
            <w:shd w:val="clear" w:color="auto" w:fill="auto"/>
            <w:noWrap/>
            <w:vAlign w:val="center"/>
          </w:tcPr>
          <w:p w14:paraId="792240DB">
            <w:pPr>
              <w:pStyle w:val="58"/>
              <w:bidi w:val="0"/>
              <w:rPr>
                <w:rFonts w:hint="default"/>
                <w:highlight w:val="none"/>
                <w:lang w:val="en-US" w:eastAsia="zh-CN"/>
              </w:rPr>
            </w:pPr>
            <w:r>
              <w:rPr>
                <w:rFonts w:hint="default"/>
                <w:highlight w:val="none"/>
                <w:lang w:val="en-US" w:eastAsia="zh-CN"/>
              </w:rPr>
              <w:t>0</w:t>
            </w:r>
          </w:p>
        </w:tc>
        <w:tc>
          <w:tcPr>
            <w:tcW w:w="410" w:type="pct"/>
            <w:tcBorders>
              <w:tl2br w:val="nil"/>
              <w:tr2bl w:val="nil"/>
            </w:tcBorders>
            <w:shd w:val="clear" w:color="auto" w:fill="auto"/>
            <w:noWrap/>
            <w:vAlign w:val="center"/>
          </w:tcPr>
          <w:p w14:paraId="72276C4F">
            <w:pPr>
              <w:pStyle w:val="58"/>
              <w:bidi w:val="0"/>
              <w:rPr>
                <w:rFonts w:hint="default"/>
                <w:highlight w:val="none"/>
                <w:lang w:val="en-US" w:eastAsia="zh-CN"/>
              </w:rPr>
            </w:pPr>
            <w:r>
              <w:rPr>
                <w:rFonts w:hint="default"/>
                <w:highlight w:val="none"/>
                <w:lang w:val="en-US" w:eastAsia="zh-CN"/>
              </w:rPr>
              <w:t>0</w:t>
            </w:r>
          </w:p>
        </w:tc>
      </w:tr>
      <w:tr w14:paraId="1AD2CE7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1764041F">
            <w:pPr>
              <w:pStyle w:val="58"/>
              <w:bidi w:val="0"/>
              <w:rPr>
                <w:rFonts w:hint="default"/>
                <w:highlight w:val="none"/>
              </w:rPr>
            </w:pPr>
            <w:r>
              <w:rPr>
                <w:rFonts w:hint="default"/>
                <w:highlight w:val="none"/>
                <w:lang w:val="en-US" w:eastAsia="zh-CN"/>
              </w:rPr>
              <w:t>21</w:t>
            </w:r>
          </w:p>
        </w:tc>
        <w:tc>
          <w:tcPr>
            <w:tcW w:w="767" w:type="pct"/>
            <w:tcBorders>
              <w:tl2br w:val="nil"/>
              <w:tr2bl w:val="nil"/>
            </w:tcBorders>
            <w:shd w:val="clear" w:color="auto" w:fill="auto"/>
            <w:vAlign w:val="center"/>
          </w:tcPr>
          <w:p w14:paraId="662B84EC">
            <w:pPr>
              <w:pStyle w:val="58"/>
              <w:bidi w:val="0"/>
              <w:rPr>
                <w:rFonts w:hint="default"/>
                <w:highlight w:val="none"/>
                <w:lang w:val="en-US" w:eastAsia="zh-CN"/>
              </w:rPr>
            </w:pPr>
            <w:r>
              <w:rPr>
                <w:rFonts w:hint="default"/>
                <w:highlight w:val="none"/>
                <w:lang w:val="en-US" w:eastAsia="zh-CN"/>
              </w:rPr>
              <w:t>菌落总数</w:t>
            </w:r>
          </w:p>
        </w:tc>
        <w:tc>
          <w:tcPr>
            <w:tcW w:w="766" w:type="pct"/>
            <w:tcBorders>
              <w:tl2br w:val="nil"/>
              <w:tr2bl w:val="nil"/>
            </w:tcBorders>
            <w:shd w:val="clear" w:color="auto" w:fill="auto"/>
            <w:vAlign w:val="center"/>
          </w:tcPr>
          <w:p w14:paraId="09063520">
            <w:pPr>
              <w:pStyle w:val="58"/>
              <w:bidi w:val="0"/>
              <w:rPr>
                <w:rFonts w:hint="default"/>
                <w:highlight w:val="none"/>
                <w:lang w:val="en-US" w:eastAsia="zh-CN"/>
              </w:rPr>
            </w:pPr>
            <w:r>
              <w:rPr>
                <w:rFonts w:hint="default"/>
                <w:highlight w:val="none"/>
                <w:lang w:val="en-US" w:eastAsia="zh-CN"/>
              </w:rPr>
              <w:t>CFU/mL</w:t>
            </w:r>
          </w:p>
        </w:tc>
        <w:tc>
          <w:tcPr>
            <w:tcW w:w="651" w:type="pct"/>
            <w:tcBorders>
              <w:tl2br w:val="nil"/>
              <w:tr2bl w:val="nil"/>
            </w:tcBorders>
            <w:shd w:val="clear" w:color="auto" w:fill="auto"/>
            <w:noWrap/>
            <w:vAlign w:val="center"/>
          </w:tcPr>
          <w:p w14:paraId="4F34DB43">
            <w:pPr>
              <w:pStyle w:val="58"/>
              <w:bidi w:val="0"/>
              <w:rPr>
                <w:rFonts w:hint="default"/>
                <w:highlight w:val="none"/>
                <w:lang w:val="en-US" w:eastAsia="zh-CN"/>
              </w:rPr>
            </w:pPr>
            <w:r>
              <w:rPr>
                <w:rFonts w:hint="default"/>
                <w:highlight w:val="none"/>
                <w:lang w:val="en-US" w:eastAsia="zh-CN"/>
              </w:rPr>
              <w:t>100</w:t>
            </w:r>
          </w:p>
        </w:tc>
        <w:tc>
          <w:tcPr>
            <w:tcW w:w="475" w:type="pct"/>
            <w:tcBorders>
              <w:tl2br w:val="nil"/>
              <w:tr2bl w:val="nil"/>
            </w:tcBorders>
            <w:shd w:val="clear" w:color="auto" w:fill="auto"/>
            <w:noWrap/>
            <w:vAlign w:val="center"/>
          </w:tcPr>
          <w:p w14:paraId="7FA74DB9">
            <w:pPr>
              <w:pStyle w:val="58"/>
              <w:bidi w:val="0"/>
              <w:rPr>
                <w:rFonts w:hint="default"/>
                <w:highlight w:val="none"/>
                <w:lang w:val="en-US" w:eastAsia="zh-CN"/>
              </w:rPr>
            </w:pPr>
            <w:r>
              <w:rPr>
                <w:rFonts w:hint="default"/>
                <w:highlight w:val="none"/>
                <w:lang w:val="en-US" w:eastAsia="zh-CN"/>
              </w:rPr>
              <w:t>36</w:t>
            </w:r>
          </w:p>
        </w:tc>
        <w:tc>
          <w:tcPr>
            <w:tcW w:w="475" w:type="pct"/>
            <w:tcBorders>
              <w:tl2br w:val="nil"/>
              <w:tr2bl w:val="nil"/>
            </w:tcBorders>
            <w:shd w:val="clear" w:color="auto" w:fill="auto"/>
            <w:noWrap/>
            <w:vAlign w:val="center"/>
          </w:tcPr>
          <w:p w14:paraId="155EF732">
            <w:pPr>
              <w:pStyle w:val="58"/>
              <w:bidi w:val="0"/>
              <w:rPr>
                <w:rFonts w:hint="default"/>
                <w:highlight w:val="none"/>
                <w:lang w:val="en-US" w:eastAsia="zh-CN"/>
              </w:rPr>
            </w:pPr>
            <w:r>
              <w:rPr>
                <w:rFonts w:hint="default"/>
                <w:highlight w:val="none"/>
                <w:lang w:val="en-US" w:eastAsia="zh-CN"/>
              </w:rPr>
              <w:t>29</w:t>
            </w:r>
          </w:p>
        </w:tc>
        <w:tc>
          <w:tcPr>
            <w:tcW w:w="670" w:type="pct"/>
            <w:tcBorders>
              <w:tl2br w:val="nil"/>
              <w:tr2bl w:val="nil"/>
            </w:tcBorders>
            <w:shd w:val="clear" w:color="auto" w:fill="auto"/>
            <w:noWrap/>
            <w:vAlign w:val="center"/>
          </w:tcPr>
          <w:p w14:paraId="3095A675">
            <w:pPr>
              <w:pStyle w:val="58"/>
              <w:bidi w:val="0"/>
              <w:rPr>
                <w:rFonts w:hint="default"/>
                <w:highlight w:val="none"/>
                <w:lang w:val="en-US" w:eastAsia="zh-CN"/>
              </w:rPr>
            </w:pPr>
            <w:r>
              <w:rPr>
                <w:rFonts w:hint="default"/>
                <w:highlight w:val="none"/>
                <w:lang w:val="en-US" w:eastAsia="zh-CN"/>
              </w:rPr>
              <w:t>32</w:t>
            </w:r>
          </w:p>
        </w:tc>
        <w:tc>
          <w:tcPr>
            <w:tcW w:w="410" w:type="pct"/>
            <w:tcBorders>
              <w:tl2br w:val="nil"/>
              <w:tr2bl w:val="nil"/>
            </w:tcBorders>
            <w:shd w:val="clear" w:color="auto" w:fill="auto"/>
            <w:noWrap/>
            <w:vAlign w:val="center"/>
          </w:tcPr>
          <w:p w14:paraId="06ED2B62">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36C527C9">
            <w:pPr>
              <w:pStyle w:val="58"/>
              <w:bidi w:val="0"/>
              <w:rPr>
                <w:rFonts w:hint="default"/>
                <w:highlight w:val="none"/>
                <w:lang w:val="en-US" w:eastAsia="zh-CN"/>
              </w:rPr>
            </w:pPr>
            <w:r>
              <w:rPr>
                <w:rFonts w:hint="default"/>
                <w:highlight w:val="none"/>
                <w:lang w:val="en-US" w:eastAsia="zh-CN"/>
              </w:rPr>
              <w:t>0</w:t>
            </w:r>
          </w:p>
        </w:tc>
      </w:tr>
      <w:tr w14:paraId="7A43CB4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608280E8">
            <w:pPr>
              <w:pStyle w:val="58"/>
              <w:bidi w:val="0"/>
              <w:rPr>
                <w:rFonts w:hint="default"/>
                <w:highlight w:val="none"/>
              </w:rPr>
            </w:pPr>
            <w:r>
              <w:rPr>
                <w:rFonts w:hint="default"/>
                <w:highlight w:val="none"/>
                <w:lang w:val="en-US" w:eastAsia="zh-CN"/>
              </w:rPr>
              <w:t>22</w:t>
            </w:r>
          </w:p>
        </w:tc>
        <w:tc>
          <w:tcPr>
            <w:tcW w:w="767" w:type="pct"/>
            <w:tcBorders>
              <w:tl2br w:val="nil"/>
              <w:tr2bl w:val="nil"/>
            </w:tcBorders>
            <w:shd w:val="clear" w:color="auto" w:fill="auto"/>
            <w:vAlign w:val="center"/>
          </w:tcPr>
          <w:p w14:paraId="22167B29">
            <w:pPr>
              <w:pStyle w:val="58"/>
              <w:bidi w:val="0"/>
              <w:rPr>
                <w:rFonts w:hint="default"/>
                <w:highlight w:val="none"/>
                <w:lang w:val="en-US" w:eastAsia="zh-CN"/>
              </w:rPr>
            </w:pPr>
            <w:r>
              <w:rPr>
                <w:rFonts w:hint="default"/>
                <w:highlight w:val="none"/>
                <w:lang w:val="en-US" w:eastAsia="zh-CN"/>
              </w:rPr>
              <w:t>石油类</w:t>
            </w:r>
          </w:p>
        </w:tc>
        <w:tc>
          <w:tcPr>
            <w:tcW w:w="766" w:type="pct"/>
            <w:tcBorders>
              <w:tl2br w:val="nil"/>
              <w:tr2bl w:val="nil"/>
            </w:tcBorders>
            <w:shd w:val="clear" w:color="auto" w:fill="auto"/>
            <w:vAlign w:val="center"/>
          </w:tcPr>
          <w:p w14:paraId="4A7B5177">
            <w:pPr>
              <w:pStyle w:val="58"/>
              <w:bidi w:val="0"/>
              <w:rPr>
                <w:rFonts w:hint="default"/>
                <w:highlight w:val="none"/>
                <w:lang w:val="en-US" w:eastAsia="zh-CN"/>
              </w:rPr>
            </w:pPr>
            <w:r>
              <w:rPr>
                <w:rFonts w:hint="default"/>
                <w:highlight w:val="none"/>
                <w:lang w:val="en-US" w:eastAsia="zh-CN"/>
              </w:rPr>
              <w:t>mg/L</w:t>
            </w:r>
          </w:p>
        </w:tc>
        <w:tc>
          <w:tcPr>
            <w:tcW w:w="651" w:type="pct"/>
            <w:tcBorders>
              <w:tl2br w:val="nil"/>
              <w:tr2bl w:val="nil"/>
            </w:tcBorders>
            <w:shd w:val="clear" w:color="auto" w:fill="auto"/>
            <w:noWrap/>
            <w:vAlign w:val="center"/>
          </w:tcPr>
          <w:p w14:paraId="7471DE10">
            <w:pPr>
              <w:pStyle w:val="58"/>
              <w:bidi w:val="0"/>
              <w:rPr>
                <w:rFonts w:hint="default"/>
                <w:highlight w:val="none"/>
                <w:lang w:val="en-US" w:eastAsia="zh-CN"/>
              </w:rPr>
            </w:pPr>
            <w:r>
              <w:rPr>
                <w:rFonts w:hint="default"/>
                <w:highlight w:val="none"/>
                <w:lang w:val="en-US" w:eastAsia="zh-CN"/>
              </w:rPr>
              <w:t>0.05</w:t>
            </w:r>
          </w:p>
        </w:tc>
        <w:tc>
          <w:tcPr>
            <w:tcW w:w="475" w:type="pct"/>
            <w:tcBorders>
              <w:tl2br w:val="nil"/>
              <w:tr2bl w:val="nil"/>
            </w:tcBorders>
            <w:shd w:val="clear" w:color="auto" w:fill="auto"/>
            <w:noWrap/>
            <w:vAlign w:val="center"/>
          </w:tcPr>
          <w:p w14:paraId="4C166AFC">
            <w:pPr>
              <w:pStyle w:val="58"/>
              <w:bidi w:val="0"/>
              <w:rPr>
                <w:rFonts w:hint="default"/>
                <w:highlight w:val="none"/>
                <w:lang w:val="en-US" w:eastAsia="zh-CN"/>
              </w:rPr>
            </w:pPr>
            <w:r>
              <w:rPr>
                <w:rFonts w:hint="default"/>
                <w:highlight w:val="none"/>
                <w:lang w:val="en-US" w:eastAsia="zh-CN"/>
              </w:rPr>
              <w:t>0.04</w:t>
            </w:r>
          </w:p>
        </w:tc>
        <w:tc>
          <w:tcPr>
            <w:tcW w:w="475" w:type="pct"/>
            <w:tcBorders>
              <w:tl2br w:val="nil"/>
              <w:tr2bl w:val="nil"/>
            </w:tcBorders>
            <w:shd w:val="clear" w:color="auto" w:fill="auto"/>
            <w:noWrap/>
            <w:vAlign w:val="center"/>
          </w:tcPr>
          <w:p w14:paraId="2EF2AC24">
            <w:pPr>
              <w:pStyle w:val="58"/>
              <w:bidi w:val="0"/>
              <w:rPr>
                <w:rFonts w:hint="default"/>
                <w:highlight w:val="none"/>
                <w:lang w:val="en-US" w:eastAsia="zh-CN"/>
              </w:rPr>
            </w:pPr>
            <w:r>
              <w:rPr>
                <w:rFonts w:hint="default"/>
                <w:highlight w:val="none"/>
                <w:lang w:val="en-US" w:eastAsia="zh-CN"/>
              </w:rPr>
              <w:t>ND</w:t>
            </w:r>
          </w:p>
        </w:tc>
        <w:tc>
          <w:tcPr>
            <w:tcW w:w="670" w:type="pct"/>
            <w:tcBorders>
              <w:tl2br w:val="nil"/>
              <w:tr2bl w:val="nil"/>
            </w:tcBorders>
            <w:shd w:val="clear" w:color="auto" w:fill="auto"/>
            <w:noWrap/>
            <w:vAlign w:val="center"/>
          </w:tcPr>
          <w:p w14:paraId="47FFC136">
            <w:pPr>
              <w:pStyle w:val="58"/>
              <w:bidi w:val="0"/>
              <w:rPr>
                <w:rFonts w:hint="default"/>
                <w:highlight w:val="none"/>
                <w:lang w:val="en-US" w:eastAsia="zh-CN"/>
              </w:rPr>
            </w:pPr>
            <w:r>
              <w:rPr>
                <w:rFonts w:hint="default"/>
                <w:highlight w:val="none"/>
                <w:lang w:val="en-US" w:eastAsia="zh-CN"/>
              </w:rPr>
              <w:t>0.03</w:t>
            </w:r>
          </w:p>
        </w:tc>
        <w:tc>
          <w:tcPr>
            <w:tcW w:w="410" w:type="pct"/>
            <w:tcBorders>
              <w:tl2br w:val="nil"/>
              <w:tr2bl w:val="nil"/>
            </w:tcBorders>
            <w:shd w:val="clear" w:color="auto" w:fill="auto"/>
            <w:noWrap/>
            <w:vAlign w:val="center"/>
          </w:tcPr>
          <w:p w14:paraId="42BA5344">
            <w:pPr>
              <w:pStyle w:val="58"/>
              <w:bidi w:val="0"/>
              <w:rPr>
                <w:rFonts w:hint="default"/>
                <w:highlight w:val="none"/>
                <w:lang w:val="en-US" w:eastAsia="zh-CN"/>
              </w:rPr>
            </w:pPr>
            <w:r>
              <w:rPr>
                <w:rFonts w:hint="default"/>
                <w:highlight w:val="none"/>
                <w:lang w:val="en-US" w:eastAsia="zh-CN"/>
              </w:rPr>
              <w:t>66.7</w:t>
            </w:r>
          </w:p>
        </w:tc>
        <w:tc>
          <w:tcPr>
            <w:tcW w:w="410" w:type="pct"/>
            <w:tcBorders>
              <w:tl2br w:val="nil"/>
              <w:tr2bl w:val="nil"/>
            </w:tcBorders>
            <w:shd w:val="clear" w:color="auto" w:fill="auto"/>
            <w:noWrap/>
            <w:vAlign w:val="center"/>
          </w:tcPr>
          <w:p w14:paraId="19FEB2C1">
            <w:pPr>
              <w:pStyle w:val="58"/>
              <w:bidi w:val="0"/>
              <w:rPr>
                <w:rFonts w:hint="default"/>
                <w:highlight w:val="none"/>
                <w:lang w:val="en-US" w:eastAsia="zh-CN"/>
              </w:rPr>
            </w:pPr>
            <w:r>
              <w:rPr>
                <w:rFonts w:hint="default"/>
                <w:highlight w:val="none"/>
                <w:lang w:val="en-US" w:eastAsia="zh-CN"/>
              </w:rPr>
              <w:t>0</w:t>
            </w:r>
          </w:p>
        </w:tc>
      </w:tr>
      <w:tr w14:paraId="6AD9A37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21E589E3">
            <w:pPr>
              <w:pStyle w:val="58"/>
              <w:bidi w:val="0"/>
              <w:rPr>
                <w:rFonts w:hint="default"/>
                <w:highlight w:val="none"/>
              </w:rPr>
            </w:pPr>
            <w:r>
              <w:rPr>
                <w:rFonts w:hint="default"/>
                <w:highlight w:val="none"/>
                <w:lang w:val="en-US" w:eastAsia="zh-CN"/>
              </w:rPr>
              <w:t>23</w:t>
            </w:r>
          </w:p>
        </w:tc>
        <w:tc>
          <w:tcPr>
            <w:tcW w:w="767" w:type="pct"/>
            <w:tcBorders>
              <w:tl2br w:val="nil"/>
              <w:tr2bl w:val="nil"/>
            </w:tcBorders>
            <w:shd w:val="clear" w:color="auto" w:fill="auto"/>
            <w:vAlign w:val="center"/>
          </w:tcPr>
          <w:p w14:paraId="5D0926BA">
            <w:pPr>
              <w:pStyle w:val="58"/>
              <w:bidi w:val="0"/>
              <w:rPr>
                <w:rFonts w:hint="default"/>
                <w:highlight w:val="none"/>
              </w:rPr>
            </w:pPr>
            <w:r>
              <w:rPr>
                <w:rFonts w:hint="default"/>
                <w:highlight w:val="none"/>
                <w:lang w:val="en-US" w:eastAsia="zh-CN"/>
              </w:rPr>
              <w:t>钠</w:t>
            </w:r>
          </w:p>
        </w:tc>
        <w:tc>
          <w:tcPr>
            <w:tcW w:w="766" w:type="pct"/>
            <w:tcBorders>
              <w:tl2br w:val="nil"/>
              <w:tr2bl w:val="nil"/>
            </w:tcBorders>
            <w:shd w:val="clear" w:color="auto" w:fill="auto"/>
            <w:vAlign w:val="center"/>
          </w:tcPr>
          <w:p w14:paraId="4290F087">
            <w:pPr>
              <w:pStyle w:val="58"/>
              <w:bidi w:val="0"/>
              <w:rPr>
                <w:rFonts w:hint="default"/>
                <w:highlight w:val="none"/>
                <w:lang w:val="en-US" w:eastAsia="zh-CN"/>
              </w:rPr>
            </w:pPr>
            <w:r>
              <w:rPr>
                <w:rFonts w:hint="default"/>
                <w:highlight w:val="none"/>
                <w:lang w:val="en-US" w:eastAsia="zh-CN"/>
              </w:rPr>
              <w:t>mg/L</w:t>
            </w:r>
          </w:p>
        </w:tc>
        <w:tc>
          <w:tcPr>
            <w:tcW w:w="651" w:type="pct"/>
            <w:tcBorders>
              <w:tl2br w:val="nil"/>
              <w:tr2bl w:val="nil"/>
            </w:tcBorders>
            <w:shd w:val="clear" w:color="auto" w:fill="auto"/>
            <w:noWrap/>
            <w:vAlign w:val="center"/>
          </w:tcPr>
          <w:p w14:paraId="5D9E514A">
            <w:pPr>
              <w:pStyle w:val="58"/>
              <w:bidi w:val="0"/>
              <w:rPr>
                <w:rFonts w:hint="default"/>
                <w:highlight w:val="none"/>
                <w:lang w:val="en-US" w:eastAsia="zh-CN"/>
              </w:rPr>
            </w:pPr>
            <w:r>
              <w:rPr>
                <w:rFonts w:hint="default"/>
                <w:highlight w:val="none"/>
                <w:lang w:val="en-US" w:eastAsia="zh-CN"/>
              </w:rPr>
              <w:t>200</w:t>
            </w:r>
          </w:p>
        </w:tc>
        <w:tc>
          <w:tcPr>
            <w:tcW w:w="475" w:type="pct"/>
            <w:tcBorders>
              <w:tl2br w:val="nil"/>
              <w:tr2bl w:val="nil"/>
            </w:tcBorders>
            <w:shd w:val="clear" w:color="auto" w:fill="auto"/>
            <w:noWrap/>
            <w:vAlign w:val="center"/>
          </w:tcPr>
          <w:p w14:paraId="3EB3762E">
            <w:pPr>
              <w:pStyle w:val="58"/>
              <w:bidi w:val="0"/>
              <w:rPr>
                <w:rFonts w:hint="default"/>
                <w:highlight w:val="none"/>
                <w:lang w:val="en-US" w:eastAsia="zh-CN"/>
              </w:rPr>
            </w:pPr>
            <w:r>
              <w:rPr>
                <w:rFonts w:hint="default"/>
                <w:highlight w:val="none"/>
                <w:lang w:val="en-US" w:eastAsia="zh-CN"/>
              </w:rPr>
              <w:t>3.56</w:t>
            </w:r>
          </w:p>
        </w:tc>
        <w:tc>
          <w:tcPr>
            <w:tcW w:w="475" w:type="pct"/>
            <w:tcBorders>
              <w:tl2br w:val="nil"/>
              <w:tr2bl w:val="nil"/>
            </w:tcBorders>
            <w:shd w:val="clear" w:color="auto" w:fill="auto"/>
            <w:noWrap/>
            <w:vAlign w:val="center"/>
          </w:tcPr>
          <w:p w14:paraId="1F061348">
            <w:pPr>
              <w:pStyle w:val="58"/>
              <w:bidi w:val="0"/>
              <w:rPr>
                <w:rFonts w:hint="default"/>
                <w:highlight w:val="none"/>
                <w:lang w:val="en-US" w:eastAsia="zh-CN"/>
              </w:rPr>
            </w:pPr>
            <w:r>
              <w:rPr>
                <w:rFonts w:hint="default"/>
                <w:highlight w:val="none"/>
                <w:lang w:val="en-US" w:eastAsia="zh-CN"/>
              </w:rPr>
              <w:t>1.59</w:t>
            </w:r>
          </w:p>
        </w:tc>
        <w:tc>
          <w:tcPr>
            <w:tcW w:w="670" w:type="pct"/>
            <w:tcBorders>
              <w:tl2br w:val="nil"/>
              <w:tr2bl w:val="nil"/>
            </w:tcBorders>
            <w:shd w:val="clear" w:color="auto" w:fill="auto"/>
            <w:noWrap/>
            <w:vAlign w:val="center"/>
          </w:tcPr>
          <w:p w14:paraId="7E513741">
            <w:pPr>
              <w:pStyle w:val="58"/>
              <w:bidi w:val="0"/>
              <w:rPr>
                <w:rFonts w:hint="default"/>
                <w:highlight w:val="none"/>
                <w:lang w:val="en-US" w:eastAsia="zh-CN"/>
              </w:rPr>
            </w:pPr>
            <w:r>
              <w:rPr>
                <w:rFonts w:hint="default"/>
                <w:highlight w:val="none"/>
                <w:lang w:val="en-US" w:eastAsia="zh-CN"/>
              </w:rPr>
              <w:t>2.575</w:t>
            </w:r>
          </w:p>
        </w:tc>
        <w:tc>
          <w:tcPr>
            <w:tcW w:w="410" w:type="pct"/>
            <w:tcBorders>
              <w:tl2br w:val="nil"/>
              <w:tr2bl w:val="nil"/>
            </w:tcBorders>
            <w:shd w:val="clear" w:color="auto" w:fill="auto"/>
            <w:noWrap/>
            <w:vAlign w:val="center"/>
          </w:tcPr>
          <w:p w14:paraId="369BB853">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162ED808">
            <w:pPr>
              <w:pStyle w:val="58"/>
              <w:bidi w:val="0"/>
              <w:rPr>
                <w:rFonts w:hint="default"/>
                <w:highlight w:val="none"/>
                <w:lang w:val="en-US" w:eastAsia="zh-CN"/>
              </w:rPr>
            </w:pPr>
            <w:r>
              <w:rPr>
                <w:rFonts w:hint="default"/>
                <w:highlight w:val="none"/>
                <w:lang w:val="en-US" w:eastAsia="zh-CN"/>
              </w:rPr>
              <w:t>0</w:t>
            </w:r>
          </w:p>
        </w:tc>
      </w:tr>
      <w:tr w14:paraId="59DAD02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1FB81835">
            <w:pPr>
              <w:pStyle w:val="58"/>
              <w:bidi w:val="0"/>
              <w:rPr>
                <w:rFonts w:hint="default"/>
                <w:highlight w:val="none"/>
              </w:rPr>
            </w:pPr>
            <w:r>
              <w:rPr>
                <w:rFonts w:hint="default"/>
                <w:highlight w:val="none"/>
                <w:lang w:val="en-US" w:eastAsia="zh-CN"/>
              </w:rPr>
              <w:t>24</w:t>
            </w:r>
          </w:p>
        </w:tc>
        <w:tc>
          <w:tcPr>
            <w:tcW w:w="767" w:type="pct"/>
            <w:tcBorders>
              <w:tl2br w:val="nil"/>
              <w:tr2bl w:val="nil"/>
            </w:tcBorders>
            <w:shd w:val="clear" w:color="auto" w:fill="auto"/>
            <w:vAlign w:val="center"/>
          </w:tcPr>
          <w:p w14:paraId="2EB31777">
            <w:pPr>
              <w:pStyle w:val="58"/>
              <w:bidi w:val="0"/>
              <w:rPr>
                <w:rFonts w:hint="default"/>
                <w:highlight w:val="none"/>
              </w:rPr>
            </w:pPr>
            <w:r>
              <w:rPr>
                <w:rFonts w:hint="default"/>
                <w:highlight w:val="none"/>
                <w:lang w:val="en-US" w:eastAsia="zh-CN"/>
              </w:rPr>
              <w:t>钾</w:t>
            </w:r>
          </w:p>
        </w:tc>
        <w:tc>
          <w:tcPr>
            <w:tcW w:w="766" w:type="pct"/>
            <w:tcBorders>
              <w:tl2br w:val="nil"/>
              <w:tr2bl w:val="nil"/>
            </w:tcBorders>
            <w:shd w:val="clear" w:color="auto" w:fill="auto"/>
            <w:vAlign w:val="center"/>
          </w:tcPr>
          <w:p w14:paraId="701A41F8">
            <w:pPr>
              <w:pStyle w:val="58"/>
              <w:bidi w:val="0"/>
              <w:rPr>
                <w:rFonts w:hint="default"/>
                <w:highlight w:val="none"/>
                <w:lang w:val="en-US" w:eastAsia="zh-CN"/>
              </w:rPr>
            </w:pPr>
            <w:r>
              <w:rPr>
                <w:rFonts w:hint="default"/>
                <w:highlight w:val="none"/>
                <w:lang w:val="en-US" w:eastAsia="zh-CN"/>
              </w:rPr>
              <w:t>mg/L</w:t>
            </w:r>
          </w:p>
        </w:tc>
        <w:tc>
          <w:tcPr>
            <w:tcW w:w="651" w:type="pct"/>
            <w:tcBorders>
              <w:tl2br w:val="nil"/>
              <w:tr2bl w:val="nil"/>
            </w:tcBorders>
            <w:shd w:val="clear" w:color="auto" w:fill="auto"/>
            <w:noWrap/>
            <w:vAlign w:val="center"/>
          </w:tcPr>
          <w:p w14:paraId="12080264">
            <w:pPr>
              <w:pStyle w:val="58"/>
              <w:bidi w:val="0"/>
              <w:rPr>
                <w:rFonts w:hint="default"/>
                <w:highlight w:val="none"/>
                <w:lang w:val="en-US" w:eastAsia="zh-CN"/>
              </w:rPr>
            </w:pPr>
            <w:r>
              <w:rPr>
                <w:rFonts w:hint="default"/>
                <w:highlight w:val="none"/>
                <w:lang w:val="en-US" w:eastAsia="zh-CN"/>
              </w:rPr>
              <w:t>/</w:t>
            </w:r>
          </w:p>
        </w:tc>
        <w:tc>
          <w:tcPr>
            <w:tcW w:w="475" w:type="pct"/>
            <w:tcBorders>
              <w:tl2br w:val="nil"/>
              <w:tr2bl w:val="nil"/>
            </w:tcBorders>
            <w:shd w:val="clear" w:color="auto" w:fill="auto"/>
            <w:noWrap/>
            <w:vAlign w:val="center"/>
          </w:tcPr>
          <w:p w14:paraId="22F68BBE">
            <w:pPr>
              <w:pStyle w:val="58"/>
              <w:bidi w:val="0"/>
              <w:rPr>
                <w:rFonts w:hint="default"/>
                <w:highlight w:val="none"/>
                <w:lang w:val="en-US" w:eastAsia="zh-CN"/>
              </w:rPr>
            </w:pPr>
            <w:r>
              <w:rPr>
                <w:rFonts w:hint="default"/>
                <w:highlight w:val="none"/>
                <w:lang w:val="en-US" w:eastAsia="zh-CN"/>
              </w:rPr>
              <w:t>39.2</w:t>
            </w:r>
          </w:p>
        </w:tc>
        <w:tc>
          <w:tcPr>
            <w:tcW w:w="475" w:type="pct"/>
            <w:tcBorders>
              <w:tl2br w:val="nil"/>
              <w:tr2bl w:val="nil"/>
            </w:tcBorders>
            <w:shd w:val="clear" w:color="auto" w:fill="auto"/>
            <w:noWrap/>
            <w:vAlign w:val="center"/>
          </w:tcPr>
          <w:p w14:paraId="7D3793B1">
            <w:pPr>
              <w:pStyle w:val="58"/>
              <w:bidi w:val="0"/>
              <w:rPr>
                <w:rFonts w:hint="default"/>
                <w:highlight w:val="none"/>
                <w:lang w:val="en-US" w:eastAsia="zh-CN"/>
              </w:rPr>
            </w:pPr>
            <w:r>
              <w:rPr>
                <w:rFonts w:hint="default"/>
                <w:highlight w:val="none"/>
                <w:lang w:val="en-US" w:eastAsia="zh-CN"/>
              </w:rPr>
              <w:t>27.7</w:t>
            </w:r>
          </w:p>
        </w:tc>
        <w:tc>
          <w:tcPr>
            <w:tcW w:w="670" w:type="pct"/>
            <w:tcBorders>
              <w:tl2br w:val="nil"/>
              <w:tr2bl w:val="nil"/>
            </w:tcBorders>
            <w:shd w:val="clear" w:color="auto" w:fill="auto"/>
            <w:noWrap/>
            <w:vAlign w:val="center"/>
          </w:tcPr>
          <w:p w14:paraId="0672C158">
            <w:pPr>
              <w:pStyle w:val="58"/>
              <w:bidi w:val="0"/>
              <w:rPr>
                <w:rFonts w:hint="default"/>
                <w:highlight w:val="none"/>
                <w:lang w:val="en-US" w:eastAsia="zh-CN"/>
              </w:rPr>
            </w:pPr>
            <w:r>
              <w:rPr>
                <w:rFonts w:hint="default"/>
                <w:highlight w:val="none"/>
                <w:lang w:val="en-US" w:eastAsia="zh-CN"/>
              </w:rPr>
              <w:t>34.5</w:t>
            </w:r>
          </w:p>
        </w:tc>
        <w:tc>
          <w:tcPr>
            <w:tcW w:w="410" w:type="pct"/>
            <w:tcBorders>
              <w:tl2br w:val="nil"/>
              <w:tr2bl w:val="nil"/>
            </w:tcBorders>
            <w:shd w:val="clear" w:color="auto" w:fill="auto"/>
            <w:noWrap/>
            <w:vAlign w:val="center"/>
          </w:tcPr>
          <w:p w14:paraId="3EA07BE2">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4143F895">
            <w:pPr>
              <w:pStyle w:val="58"/>
              <w:bidi w:val="0"/>
              <w:rPr>
                <w:rFonts w:hint="default"/>
                <w:highlight w:val="none"/>
                <w:lang w:val="en-US" w:eastAsia="zh-CN"/>
              </w:rPr>
            </w:pPr>
            <w:r>
              <w:rPr>
                <w:rFonts w:hint="default"/>
                <w:highlight w:val="none"/>
                <w:lang w:val="en-US" w:eastAsia="zh-CN"/>
              </w:rPr>
              <w:t>/</w:t>
            </w:r>
          </w:p>
        </w:tc>
      </w:tr>
      <w:tr w14:paraId="5A189C4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270CEEED">
            <w:pPr>
              <w:pStyle w:val="58"/>
              <w:bidi w:val="0"/>
              <w:rPr>
                <w:rFonts w:hint="default"/>
                <w:highlight w:val="none"/>
              </w:rPr>
            </w:pPr>
            <w:r>
              <w:rPr>
                <w:rFonts w:hint="default"/>
                <w:highlight w:val="none"/>
                <w:lang w:val="en-US" w:eastAsia="zh-CN"/>
              </w:rPr>
              <w:t>25</w:t>
            </w:r>
          </w:p>
        </w:tc>
        <w:tc>
          <w:tcPr>
            <w:tcW w:w="767" w:type="pct"/>
            <w:tcBorders>
              <w:tl2br w:val="nil"/>
              <w:tr2bl w:val="nil"/>
            </w:tcBorders>
            <w:shd w:val="clear" w:color="auto" w:fill="auto"/>
            <w:vAlign w:val="center"/>
          </w:tcPr>
          <w:p w14:paraId="24833E7C">
            <w:pPr>
              <w:pStyle w:val="58"/>
              <w:bidi w:val="0"/>
              <w:rPr>
                <w:rFonts w:hint="default"/>
                <w:highlight w:val="none"/>
              </w:rPr>
            </w:pPr>
            <w:r>
              <w:rPr>
                <w:rFonts w:hint="default"/>
                <w:highlight w:val="none"/>
                <w:lang w:val="en-US" w:eastAsia="zh-CN"/>
              </w:rPr>
              <w:t>钙</w:t>
            </w:r>
          </w:p>
        </w:tc>
        <w:tc>
          <w:tcPr>
            <w:tcW w:w="766" w:type="pct"/>
            <w:tcBorders>
              <w:tl2br w:val="nil"/>
              <w:tr2bl w:val="nil"/>
            </w:tcBorders>
            <w:shd w:val="clear" w:color="auto" w:fill="auto"/>
            <w:vAlign w:val="center"/>
          </w:tcPr>
          <w:p w14:paraId="5512780C">
            <w:pPr>
              <w:pStyle w:val="58"/>
              <w:bidi w:val="0"/>
              <w:rPr>
                <w:rFonts w:hint="default"/>
                <w:highlight w:val="none"/>
                <w:lang w:val="en-US" w:eastAsia="zh-CN"/>
              </w:rPr>
            </w:pPr>
            <w:r>
              <w:rPr>
                <w:rFonts w:hint="default"/>
                <w:highlight w:val="none"/>
                <w:lang w:val="en-US" w:eastAsia="zh-CN"/>
              </w:rPr>
              <w:t>mg/L</w:t>
            </w:r>
          </w:p>
        </w:tc>
        <w:tc>
          <w:tcPr>
            <w:tcW w:w="651" w:type="pct"/>
            <w:tcBorders>
              <w:tl2br w:val="nil"/>
              <w:tr2bl w:val="nil"/>
            </w:tcBorders>
            <w:shd w:val="clear" w:color="auto" w:fill="auto"/>
            <w:noWrap/>
            <w:vAlign w:val="center"/>
          </w:tcPr>
          <w:p w14:paraId="25F7FEE0">
            <w:pPr>
              <w:pStyle w:val="58"/>
              <w:bidi w:val="0"/>
              <w:rPr>
                <w:rFonts w:hint="default"/>
                <w:highlight w:val="none"/>
                <w:lang w:val="en-US" w:eastAsia="zh-CN"/>
              </w:rPr>
            </w:pPr>
            <w:r>
              <w:rPr>
                <w:rFonts w:hint="default"/>
                <w:highlight w:val="none"/>
                <w:lang w:val="en-US" w:eastAsia="zh-CN"/>
              </w:rPr>
              <w:t>/</w:t>
            </w:r>
          </w:p>
        </w:tc>
        <w:tc>
          <w:tcPr>
            <w:tcW w:w="475" w:type="pct"/>
            <w:tcBorders>
              <w:tl2br w:val="nil"/>
              <w:tr2bl w:val="nil"/>
            </w:tcBorders>
            <w:shd w:val="clear" w:color="auto" w:fill="auto"/>
            <w:noWrap/>
            <w:vAlign w:val="center"/>
          </w:tcPr>
          <w:p w14:paraId="516B2132">
            <w:pPr>
              <w:pStyle w:val="58"/>
              <w:bidi w:val="0"/>
              <w:rPr>
                <w:rFonts w:hint="default"/>
                <w:highlight w:val="none"/>
                <w:lang w:val="en-US" w:eastAsia="zh-CN"/>
              </w:rPr>
            </w:pPr>
            <w:r>
              <w:rPr>
                <w:rFonts w:hint="default"/>
                <w:highlight w:val="none"/>
                <w:lang w:val="en-US" w:eastAsia="zh-CN"/>
              </w:rPr>
              <w:t>194</w:t>
            </w:r>
          </w:p>
        </w:tc>
        <w:tc>
          <w:tcPr>
            <w:tcW w:w="475" w:type="pct"/>
            <w:tcBorders>
              <w:tl2br w:val="nil"/>
              <w:tr2bl w:val="nil"/>
            </w:tcBorders>
            <w:shd w:val="clear" w:color="auto" w:fill="auto"/>
            <w:noWrap/>
            <w:vAlign w:val="center"/>
          </w:tcPr>
          <w:p w14:paraId="3609057E">
            <w:pPr>
              <w:pStyle w:val="58"/>
              <w:bidi w:val="0"/>
              <w:rPr>
                <w:rFonts w:hint="default"/>
                <w:highlight w:val="none"/>
                <w:lang w:val="en-US" w:eastAsia="zh-CN"/>
              </w:rPr>
            </w:pPr>
            <w:r>
              <w:rPr>
                <w:rFonts w:hint="default"/>
                <w:highlight w:val="none"/>
                <w:lang w:val="en-US" w:eastAsia="zh-CN"/>
              </w:rPr>
              <w:t>35.1</w:t>
            </w:r>
          </w:p>
        </w:tc>
        <w:tc>
          <w:tcPr>
            <w:tcW w:w="670" w:type="pct"/>
            <w:tcBorders>
              <w:tl2br w:val="nil"/>
              <w:tr2bl w:val="nil"/>
            </w:tcBorders>
            <w:shd w:val="clear" w:color="auto" w:fill="auto"/>
            <w:noWrap/>
            <w:vAlign w:val="center"/>
          </w:tcPr>
          <w:p w14:paraId="01EB8114">
            <w:pPr>
              <w:pStyle w:val="58"/>
              <w:bidi w:val="0"/>
              <w:rPr>
                <w:rFonts w:hint="default"/>
                <w:highlight w:val="none"/>
                <w:lang w:val="en-US" w:eastAsia="zh-CN"/>
              </w:rPr>
            </w:pPr>
            <w:r>
              <w:rPr>
                <w:rFonts w:hint="default"/>
                <w:highlight w:val="none"/>
                <w:lang w:val="en-US" w:eastAsia="zh-CN"/>
              </w:rPr>
              <w:t>131.0</w:t>
            </w:r>
          </w:p>
        </w:tc>
        <w:tc>
          <w:tcPr>
            <w:tcW w:w="410" w:type="pct"/>
            <w:tcBorders>
              <w:tl2br w:val="nil"/>
              <w:tr2bl w:val="nil"/>
            </w:tcBorders>
            <w:shd w:val="clear" w:color="auto" w:fill="auto"/>
            <w:noWrap/>
            <w:vAlign w:val="center"/>
          </w:tcPr>
          <w:p w14:paraId="0C99ABFC">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33E556EF">
            <w:pPr>
              <w:pStyle w:val="58"/>
              <w:bidi w:val="0"/>
              <w:rPr>
                <w:rFonts w:hint="default"/>
                <w:highlight w:val="none"/>
                <w:lang w:val="en-US" w:eastAsia="zh-CN"/>
              </w:rPr>
            </w:pPr>
            <w:r>
              <w:rPr>
                <w:rFonts w:hint="default"/>
                <w:highlight w:val="none"/>
                <w:lang w:val="en-US" w:eastAsia="zh-CN"/>
              </w:rPr>
              <w:t>/</w:t>
            </w:r>
          </w:p>
        </w:tc>
      </w:tr>
      <w:tr w14:paraId="49C4534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2D912352">
            <w:pPr>
              <w:pStyle w:val="58"/>
              <w:bidi w:val="0"/>
              <w:rPr>
                <w:rFonts w:hint="default"/>
                <w:highlight w:val="none"/>
              </w:rPr>
            </w:pPr>
            <w:r>
              <w:rPr>
                <w:rFonts w:hint="default"/>
                <w:highlight w:val="none"/>
                <w:lang w:val="en-US" w:eastAsia="zh-CN"/>
              </w:rPr>
              <w:t>26</w:t>
            </w:r>
          </w:p>
        </w:tc>
        <w:tc>
          <w:tcPr>
            <w:tcW w:w="767" w:type="pct"/>
            <w:tcBorders>
              <w:tl2br w:val="nil"/>
              <w:tr2bl w:val="nil"/>
            </w:tcBorders>
            <w:shd w:val="clear" w:color="auto" w:fill="auto"/>
            <w:vAlign w:val="center"/>
          </w:tcPr>
          <w:p w14:paraId="5101048B">
            <w:pPr>
              <w:pStyle w:val="58"/>
              <w:bidi w:val="0"/>
              <w:rPr>
                <w:rFonts w:hint="default"/>
                <w:highlight w:val="none"/>
              </w:rPr>
            </w:pPr>
            <w:r>
              <w:rPr>
                <w:rFonts w:hint="default"/>
                <w:highlight w:val="none"/>
                <w:lang w:val="en-US" w:eastAsia="zh-CN"/>
              </w:rPr>
              <w:t>镁</w:t>
            </w:r>
          </w:p>
        </w:tc>
        <w:tc>
          <w:tcPr>
            <w:tcW w:w="766" w:type="pct"/>
            <w:tcBorders>
              <w:tl2br w:val="nil"/>
              <w:tr2bl w:val="nil"/>
            </w:tcBorders>
            <w:shd w:val="clear" w:color="auto" w:fill="auto"/>
            <w:vAlign w:val="center"/>
          </w:tcPr>
          <w:p w14:paraId="1E4A7D98">
            <w:pPr>
              <w:pStyle w:val="58"/>
              <w:bidi w:val="0"/>
              <w:rPr>
                <w:rFonts w:hint="default"/>
                <w:highlight w:val="none"/>
                <w:lang w:val="en-US" w:eastAsia="zh-CN"/>
              </w:rPr>
            </w:pPr>
            <w:r>
              <w:rPr>
                <w:rFonts w:hint="default"/>
                <w:highlight w:val="none"/>
                <w:lang w:val="en-US" w:eastAsia="zh-CN"/>
              </w:rPr>
              <w:t>mg/L</w:t>
            </w:r>
          </w:p>
        </w:tc>
        <w:tc>
          <w:tcPr>
            <w:tcW w:w="651" w:type="pct"/>
            <w:tcBorders>
              <w:tl2br w:val="nil"/>
              <w:tr2bl w:val="nil"/>
            </w:tcBorders>
            <w:shd w:val="clear" w:color="auto" w:fill="auto"/>
            <w:noWrap/>
            <w:vAlign w:val="center"/>
          </w:tcPr>
          <w:p w14:paraId="695B8D24">
            <w:pPr>
              <w:pStyle w:val="58"/>
              <w:bidi w:val="0"/>
              <w:rPr>
                <w:rFonts w:hint="default"/>
                <w:highlight w:val="none"/>
                <w:lang w:val="en-US" w:eastAsia="zh-CN"/>
              </w:rPr>
            </w:pPr>
            <w:r>
              <w:rPr>
                <w:rFonts w:hint="default"/>
                <w:highlight w:val="none"/>
                <w:lang w:val="en-US" w:eastAsia="zh-CN"/>
              </w:rPr>
              <w:t>/</w:t>
            </w:r>
          </w:p>
        </w:tc>
        <w:tc>
          <w:tcPr>
            <w:tcW w:w="475" w:type="pct"/>
            <w:tcBorders>
              <w:tl2br w:val="nil"/>
              <w:tr2bl w:val="nil"/>
            </w:tcBorders>
            <w:shd w:val="clear" w:color="auto" w:fill="auto"/>
            <w:noWrap/>
            <w:vAlign w:val="center"/>
          </w:tcPr>
          <w:p w14:paraId="6CDCAABF">
            <w:pPr>
              <w:pStyle w:val="58"/>
              <w:bidi w:val="0"/>
              <w:rPr>
                <w:rFonts w:hint="default"/>
                <w:highlight w:val="none"/>
                <w:lang w:val="en-US" w:eastAsia="zh-CN"/>
              </w:rPr>
            </w:pPr>
            <w:r>
              <w:rPr>
                <w:rFonts w:hint="default"/>
                <w:highlight w:val="none"/>
                <w:lang w:val="en-US" w:eastAsia="zh-CN"/>
              </w:rPr>
              <w:t>51.4</w:t>
            </w:r>
          </w:p>
        </w:tc>
        <w:tc>
          <w:tcPr>
            <w:tcW w:w="475" w:type="pct"/>
            <w:tcBorders>
              <w:tl2br w:val="nil"/>
              <w:tr2bl w:val="nil"/>
            </w:tcBorders>
            <w:shd w:val="clear" w:color="auto" w:fill="auto"/>
            <w:noWrap/>
            <w:vAlign w:val="center"/>
          </w:tcPr>
          <w:p w14:paraId="16746AD0">
            <w:pPr>
              <w:pStyle w:val="58"/>
              <w:bidi w:val="0"/>
              <w:rPr>
                <w:rFonts w:hint="default"/>
                <w:highlight w:val="none"/>
                <w:lang w:val="en-US" w:eastAsia="zh-CN"/>
              </w:rPr>
            </w:pPr>
            <w:r>
              <w:rPr>
                <w:rFonts w:hint="default"/>
                <w:highlight w:val="none"/>
                <w:lang w:val="en-US" w:eastAsia="zh-CN"/>
              </w:rPr>
              <w:t>2.45</w:t>
            </w:r>
          </w:p>
        </w:tc>
        <w:tc>
          <w:tcPr>
            <w:tcW w:w="670" w:type="pct"/>
            <w:tcBorders>
              <w:tl2br w:val="nil"/>
              <w:tr2bl w:val="nil"/>
            </w:tcBorders>
            <w:shd w:val="clear" w:color="auto" w:fill="auto"/>
            <w:noWrap/>
            <w:vAlign w:val="center"/>
          </w:tcPr>
          <w:p w14:paraId="744127CA">
            <w:pPr>
              <w:pStyle w:val="58"/>
              <w:bidi w:val="0"/>
              <w:rPr>
                <w:rFonts w:hint="default"/>
                <w:highlight w:val="none"/>
                <w:lang w:val="en-US" w:eastAsia="zh-CN"/>
              </w:rPr>
            </w:pPr>
            <w:r>
              <w:rPr>
                <w:rFonts w:hint="default"/>
                <w:highlight w:val="none"/>
                <w:lang w:val="en-US" w:eastAsia="zh-CN"/>
              </w:rPr>
              <w:t>31.55</w:t>
            </w:r>
          </w:p>
        </w:tc>
        <w:tc>
          <w:tcPr>
            <w:tcW w:w="410" w:type="pct"/>
            <w:tcBorders>
              <w:tl2br w:val="nil"/>
              <w:tr2bl w:val="nil"/>
            </w:tcBorders>
            <w:shd w:val="clear" w:color="auto" w:fill="auto"/>
            <w:noWrap/>
            <w:vAlign w:val="center"/>
          </w:tcPr>
          <w:p w14:paraId="6E8F7BED">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699B9F7C">
            <w:pPr>
              <w:pStyle w:val="58"/>
              <w:bidi w:val="0"/>
              <w:rPr>
                <w:rFonts w:hint="default"/>
                <w:highlight w:val="none"/>
                <w:lang w:val="en-US" w:eastAsia="zh-CN"/>
              </w:rPr>
            </w:pPr>
            <w:r>
              <w:rPr>
                <w:rFonts w:hint="default"/>
                <w:highlight w:val="none"/>
                <w:lang w:val="en-US" w:eastAsia="zh-CN"/>
              </w:rPr>
              <w:t>/</w:t>
            </w:r>
          </w:p>
        </w:tc>
      </w:tr>
      <w:tr w14:paraId="39EB6A5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46D56B98">
            <w:pPr>
              <w:pStyle w:val="58"/>
              <w:bidi w:val="0"/>
              <w:rPr>
                <w:rFonts w:hint="default"/>
                <w:highlight w:val="none"/>
              </w:rPr>
            </w:pPr>
            <w:r>
              <w:rPr>
                <w:rFonts w:hint="default"/>
                <w:highlight w:val="none"/>
                <w:lang w:val="en-US" w:eastAsia="zh-CN"/>
              </w:rPr>
              <w:t>27</w:t>
            </w:r>
          </w:p>
        </w:tc>
        <w:tc>
          <w:tcPr>
            <w:tcW w:w="767" w:type="pct"/>
            <w:tcBorders>
              <w:tl2br w:val="nil"/>
              <w:tr2bl w:val="nil"/>
            </w:tcBorders>
            <w:shd w:val="clear" w:color="auto" w:fill="auto"/>
            <w:vAlign w:val="center"/>
          </w:tcPr>
          <w:p w14:paraId="6E2863D7">
            <w:pPr>
              <w:pStyle w:val="58"/>
              <w:bidi w:val="0"/>
              <w:rPr>
                <w:rFonts w:hint="default"/>
                <w:highlight w:val="none"/>
              </w:rPr>
            </w:pPr>
            <w:r>
              <w:rPr>
                <w:rFonts w:hint="default"/>
                <w:highlight w:val="none"/>
                <w:lang w:val="en-US" w:eastAsia="zh-CN"/>
              </w:rPr>
              <w:t>碳酸根</w:t>
            </w:r>
          </w:p>
        </w:tc>
        <w:tc>
          <w:tcPr>
            <w:tcW w:w="766" w:type="pct"/>
            <w:tcBorders>
              <w:tl2br w:val="nil"/>
              <w:tr2bl w:val="nil"/>
            </w:tcBorders>
            <w:shd w:val="clear" w:color="auto" w:fill="auto"/>
            <w:vAlign w:val="center"/>
          </w:tcPr>
          <w:p w14:paraId="705325E4">
            <w:pPr>
              <w:pStyle w:val="58"/>
              <w:bidi w:val="0"/>
              <w:rPr>
                <w:rFonts w:hint="default"/>
                <w:highlight w:val="none"/>
                <w:lang w:val="en-US" w:eastAsia="zh-CN"/>
              </w:rPr>
            </w:pPr>
            <w:r>
              <w:rPr>
                <w:rFonts w:hint="default"/>
                <w:highlight w:val="none"/>
                <w:lang w:val="en-US" w:eastAsia="zh-CN"/>
              </w:rPr>
              <w:t>mg/L</w:t>
            </w:r>
          </w:p>
        </w:tc>
        <w:tc>
          <w:tcPr>
            <w:tcW w:w="651" w:type="pct"/>
            <w:tcBorders>
              <w:tl2br w:val="nil"/>
              <w:tr2bl w:val="nil"/>
            </w:tcBorders>
            <w:shd w:val="clear" w:color="auto" w:fill="auto"/>
            <w:noWrap/>
            <w:vAlign w:val="center"/>
          </w:tcPr>
          <w:p w14:paraId="2ED04BDA">
            <w:pPr>
              <w:pStyle w:val="58"/>
              <w:bidi w:val="0"/>
              <w:rPr>
                <w:rFonts w:hint="default"/>
                <w:highlight w:val="none"/>
                <w:lang w:val="en-US" w:eastAsia="zh-CN"/>
              </w:rPr>
            </w:pPr>
            <w:r>
              <w:rPr>
                <w:rFonts w:hint="default"/>
                <w:highlight w:val="none"/>
                <w:lang w:val="en-US" w:eastAsia="zh-CN"/>
              </w:rPr>
              <w:t>/</w:t>
            </w:r>
          </w:p>
        </w:tc>
        <w:tc>
          <w:tcPr>
            <w:tcW w:w="475" w:type="pct"/>
            <w:tcBorders>
              <w:tl2br w:val="nil"/>
              <w:tr2bl w:val="nil"/>
            </w:tcBorders>
            <w:shd w:val="clear" w:color="auto" w:fill="auto"/>
            <w:noWrap/>
            <w:vAlign w:val="center"/>
          </w:tcPr>
          <w:p w14:paraId="24FEE3E0">
            <w:pPr>
              <w:pStyle w:val="58"/>
              <w:bidi w:val="0"/>
              <w:rPr>
                <w:rFonts w:hint="default"/>
                <w:highlight w:val="none"/>
                <w:lang w:val="en-US" w:eastAsia="zh-CN"/>
              </w:rPr>
            </w:pPr>
            <w:r>
              <w:rPr>
                <w:rFonts w:hint="default"/>
                <w:highlight w:val="none"/>
                <w:lang w:val="en-US" w:eastAsia="zh-CN"/>
              </w:rPr>
              <w:t>0</w:t>
            </w:r>
          </w:p>
        </w:tc>
        <w:tc>
          <w:tcPr>
            <w:tcW w:w="475" w:type="pct"/>
            <w:tcBorders>
              <w:tl2br w:val="nil"/>
              <w:tr2bl w:val="nil"/>
            </w:tcBorders>
            <w:shd w:val="clear" w:color="auto" w:fill="auto"/>
            <w:noWrap/>
            <w:vAlign w:val="center"/>
          </w:tcPr>
          <w:p w14:paraId="47C41B29">
            <w:pPr>
              <w:pStyle w:val="58"/>
              <w:bidi w:val="0"/>
              <w:rPr>
                <w:rFonts w:hint="default"/>
                <w:highlight w:val="none"/>
                <w:lang w:val="en-US" w:eastAsia="zh-CN"/>
              </w:rPr>
            </w:pPr>
            <w:r>
              <w:rPr>
                <w:rFonts w:hint="default"/>
                <w:highlight w:val="none"/>
                <w:lang w:val="en-US" w:eastAsia="zh-CN"/>
              </w:rPr>
              <w:t>0</w:t>
            </w:r>
          </w:p>
        </w:tc>
        <w:tc>
          <w:tcPr>
            <w:tcW w:w="670" w:type="pct"/>
            <w:tcBorders>
              <w:tl2br w:val="nil"/>
              <w:tr2bl w:val="nil"/>
            </w:tcBorders>
            <w:shd w:val="clear" w:color="auto" w:fill="auto"/>
            <w:noWrap/>
            <w:vAlign w:val="center"/>
          </w:tcPr>
          <w:p w14:paraId="235429AE">
            <w:pPr>
              <w:pStyle w:val="58"/>
              <w:bidi w:val="0"/>
              <w:rPr>
                <w:rFonts w:hint="default"/>
                <w:highlight w:val="none"/>
                <w:lang w:val="en-US" w:eastAsia="zh-CN"/>
              </w:rPr>
            </w:pPr>
            <w:r>
              <w:rPr>
                <w:rFonts w:hint="default"/>
                <w:highlight w:val="none"/>
                <w:lang w:val="en-US" w:eastAsia="zh-CN"/>
              </w:rPr>
              <w:t>0</w:t>
            </w:r>
          </w:p>
        </w:tc>
        <w:tc>
          <w:tcPr>
            <w:tcW w:w="410" w:type="pct"/>
            <w:tcBorders>
              <w:tl2br w:val="nil"/>
              <w:tr2bl w:val="nil"/>
            </w:tcBorders>
            <w:shd w:val="clear" w:color="auto" w:fill="auto"/>
            <w:noWrap/>
            <w:vAlign w:val="center"/>
          </w:tcPr>
          <w:p w14:paraId="6D55C16C">
            <w:pPr>
              <w:pStyle w:val="58"/>
              <w:bidi w:val="0"/>
              <w:rPr>
                <w:rFonts w:hint="default"/>
                <w:highlight w:val="none"/>
                <w:lang w:val="en-US" w:eastAsia="zh-CN"/>
              </w:rPr>
            </w:pPr>
            <w:r>
              <w:rPr>
                <w:rFonts w:hint="default"/>
                <w:highlight w:val="none"/>
                <w:lang w:val="en-US" w:eastAsia="zh-CN"/>
              </w:rPr>
              <w:t>0</w:t>
            </w:r>
          </w:p>
        </w:tc>
        <w:tc>
          <w:tcPr>
            <w:tcW w:w="410" w:type="pct"/>
            <w:tcBorders>
              <w:tl2br w:val="nil"/>
              <w:tr2bl w:val="nil"/>
            </w:tcBorders>
            <w:shd w:val="clear" w:color="auto" w:fill="auto"/>
            <w:noWrap/>
            <w:vAlign w:val="center"/>
          </w:tcPr>
          <w:p w14:paraId="27195C01">
            <w:pPr>
              <w:pStyle w:val="58"/>
              <w:bidi w:val="0"/>
              <w:rPr>
                <w:rFonts w:hint="default"/>
                <w:highlight w:val="none"/>
                <w:lang w:val="en-US" w:eastAsia="zh-CN"/>
              </w:rPr>
            </w:pPr>
            <w:r>
              <w:rPr>
                <w:rFonts w:hint="default"/>
                <w:highlight w:val="none"/>
                <w:lang w:val="en-US" w:eastAsia="zh-CN"/>
              </w:rPr>
              <w:t>/</w:t>
            </w:r>
          </w:p>
        </w:tc>
      </w:tr>
      <w:tr w14:paraId="68F1EA8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72" w:type="pct"/>
            <w:tcBorders>
              <w:tl2br w:val="nil"/>
              <w:tr2bl w:val="nil"/>
            </w:tcBorders>
            <w:shd w:val="clear" w:color="auto" w:fill="auto"/>
            <w:vAlign w:val="center"/>
          </w:tcPr>
          <w:p w14:paraId="641DCA37">
            <w:pPr>
              <w:pStyle w:val="58"/>
              <w:bidi w:val="0"/>
              <w:rPr>
                <w:rFonts w:hint="default"/>
                <w:highlight w:val="none"/>
              </w:rPr>
            </w:pPr>
            <w:r>
              <w:rPr>
                <w:rFonts w:hint="default"/>
                <w:highlight w:val="none"/>
                <w:lang w:val="en-US" w:eastAsia="zh-CN"/>
              </w:rPr>
              <w:t>28</w:t>
            </w:r>
          </w:p>
        </w:tc>
        <w:tc>
          <w:tcPr>
            <w:tcW w:w="767" w:type="pct"/>
            <w:tcBorders>
              <w:tl2br w:val="nil"/>
              <w:tr2bl w:val="nil"/>
            </w:tcBorders>
            <w:shd w:val="clear" w:color="auto" w:fill="auto"/>
            <w:vAlign w:val="center"/>
          </w:tcPr>
          <w:p w14:paraId="11593052">
            <w:pPr>
              <w:pStyle w:val="58"/>
              <w:bidi w:val="0"/>
              <w:rPr>
                <w:rFonts w:hint="default"/>
                <w:highlight w:val="none"/>
              </w:rPr>
            </w:pPr>
            <w:r>
              <w:rPr>
                <w:rFonts w:hint="default"/>
                <w:highlight w:val="none"/>
                <w:lang w:val="en-US" w:eastAsia="zh-CN"/>
              </w:rPr>
              <w:t>重碳酸根</w:t>
            </w:r>
          </w:p>
        </w:tc>
        <w:tc>
          <w:tcPr>
            <w:tcW w:w="766" w:type="pct"/>
            <w:tcBorders>
              <w:tl2br w:val="nil"/>
              <w:tr2bl w:val="nil"/>
            </w:tcBorders>
            <w:shd w:val="clear" w:color="auto" w:fill="auto"/>
            <w:vAlign w:val="center"/>
          </w:tcPr>
          <w:p w14:paraId="4E4C3E78">
            <w:pPr>
              <w:pStyle w:val="58"/>
              <w:bidi w:val="0"/>
              <w:rPr>
                <w:rFonts w:hint="default"/>
                <w:highlight w:val="none"/>
                <w:lang w:val="en-US" w:eastAsia="zh-CN"/>
              </w:rPr>
            </w:pPr>
            <w:r>
              <w:rPr>
                <w:rFonts w:hint="default"/>
                <w:highlight w:val="none"/>
                <w:lang w:val="en-US" w:eastAsia="zh-CN"/>
              </w:rPr>
              <w:t>mg/L</w:t>
            </w:r>
          </w:p>
        </w:tc>
        <w:tc>
          <w:tcPr>
            <w:tcW w:w="651" w:type="pct"/>
            <w:tcBorders>
              <w:tl2br w:val="nil"/>
              <w:tr2bl w:val="nil"/>
            </w:tcBorders>
            <w:shd w:val="clear" w:color="auto" w:fill="auto"/>
            <w:noWrap/>
            <w:vAlign w:val="center"/>
          </w:tcPr>
          <w:p w14:paraId="68058D8D">
            <w:pPr>
              <w:pStyle w:val="58"/>
              <w:bidi w:val="0"/>
              <w:rPr>
                <w:rFonts w:hint="default"/>
                <w:highlight w:val="none"/>
                <w:lang w:val="en-US" w:eastAsia="zh-CN"/>
              </w:rPr>
            </w:pPr>
            <w:r>
              <w:rPr>
                <w:rFonts w:hint="default"/>
                <w:highlight w:val="none"/>
                <w:lang w:val="en-US" w:eastAsia="zh-CN"/>
              </w:rPr>
              <w:t>/</w:t>
            </w:r>
          </w:p>
        </w:tc>
        <w:tc>
          <w:tcPr>
            <w:tcW w:w="475" w:type="pct"/>
            <w:tcBorders>
              <w:tl2br w:val="nil"/>
              <w:tr2bl w:val="nil"/>
            </w:tcBorders>
            <w:shd w:val="clear" w:color="auto" w:fill="auto"/>
            <w:noWrap/>
            <w:vAlign w:val="center"/>
          </w:tcPr>
          <w:p w14:paraId="6A2C214A">
            <w:pPr>
              <w:pStyle w:val="58"/>
              <w:bidi w:val="0"/>
              <w:rPr>
                <w:rFonts w:hint="default"/>
                <w:highlight w:val="none"/>
                <w:lang w:val="en-US" w:eastAsia="zh-CN"/>
              </w:rPr>
            </w:pPr>
            <w:r>
              <w:rPr>
                <w:rFonts w:hint="default"/>
                <w:highlight w:val="none"/>
                <w:lang w:val="en-US" w:eastAsia="zh-CN"/>
              </w:rPr>
              <w:t>40</w:t>
            </w:r>
          </w:p>
        </w:tc>
        <w:tc>
          <w:tcPr>
            <w:tcW w:w="475" w:type="pct"/>
            <w:tcBorders>
              <w:tl2br w:val="nil"/>
              <w:tr2bl w:val="nil"/>
            </w:tcBorders>
            <w:shd w:val="clear" w:color="auto" w:fill="auto"/>
            <w:noWrap/>
            <w:vAlign w:val="center"/>
          </w:tcPr>
          <w:p w14:paraId="6733E11C">
            <w:pPr>
              <w:pStyle w:val="58"/>
              <w:bidi w:val="0"/>
              <w:rPr>
                <w:rFonts w:hint="default"/>
                <w:highlight w:val="none"/>
                <w:lang w:val="en-US" w:eastAsia="zh-CN"/>
              </w:rPr>
            </w:pPr>
            <w:r>
              <w:rPr>
                <w:rFonts w:hint="default"/>
                <w:highlight w:val="none"/>
                <w:lang w:val="en-US" w:eastAsia="zh-CN"/>
              </w:rPr>
              <w:t>12.3</w:t>
            </w:r>
          </w:p>
        </w:tc>
        <w:tc>
          <w:tcPr>
            <w:tcW w:w="670" w:type="pct"/>
            <w:tcBorders>
              <w:tl2br w:val="nil"/>
              <w:tr2bl w:val="nil"/>
            </w:tcBorders>
            <w:shd w:val="clear" w:color="auto" w:fill="auto"/>
            <w:noWrap/>
            <w:vAlign w:val="center"/>
          </w:tcPr>
          <w:p w14:paraId="4417EF9C">
            <w:pPr>
              <w:pStyle w:val="58"/>
              <w:bidi w:val="0"/>
              <w:rPr>
                <w:rFonts w:hint="default"/>
                <w:highlight w:val="none"/>
                <w:lang w:val="en-US" w:eastAsia="zh-CN"/>
              </w:rPr>
            </w:pPr>
            <w:r>
              <w:rPr>
                <w:rFonts w:hint="default"/>
                <w:highlight w:val="none"/>
                <w:lang w:val="en-US" w:eastAsia="zh-CN"/>
              </w:rPr>
              <w:t>22.3</w:t>
            </w:r>
          </w:p>
        </w:tc>
        <w:tc>
          <w:tcPr>
            <w:tcW w:w="410" w:type="pct"/>
            <w:tcBorders>
              <w:tl2br w:val="nil"/>
              <w:tr2bl w:val="nil"/>
            </w:tcBorders>
            <w:shd w:val="clear" w:color="auto" w:fill="auto"/>
            <w:noWrap/>
            <w:vAlign w:val="center"/>
          </w:tcPr>
          <w:p w14:paraId="5DFE995A">
            <w:pPr>
              <w:pStyle w:val="58"/>
              <w:bidi w:val="0"/>
              <w:rPr>
                <w:rFonts w:hint="default"/>
                <w:highlight w:val="none"/>
                <w:lang w:val="en-US" w:eastAsia="zh-CN"/>
              </w:rPr>
            </w:pPr>
            <w:r>
              <w:rPr>
                <w:rFonts w:hint="default"/>
                <w:highlight w:val="none"/>
                <w:lang w:val="en-US" w:eastAsia="zh-CN"/>
              </w:rPr>
              <w:t>100</w:t>
            </w:r>
          </w:p>
        </w:tc>
        <w:tc>
          <w:tcPr>
            <w:tcW w:w="410" w:type="pct"/>
            <w:tcBorders>
              <w:tl2br w:val="nil"/>
              <w:tr2bl w:val="nil"/>
            </w:tcBorders>
            <w:shd w:val="clear" w:color="auto" w:fill="auto"/>
            <w:noWrap/>
            <w:vAlign w:val="center"/>
          </w:tcPr>
          <w:p w14:paraId="0480370F">
            <w:pPr>
              <w:pStyle w:val="58"/>
              <w:bidi w:val="0"/>
              <w:rPr>
                <w:rFonts w:hint="default"/>
                <w:highlight w:val="none"/>
                <w:lang w:val="en-US" w:eastAsia="zh-CN"/>
              </w:rPr>
            </w:pPr>
            <w:r>
              <w:rPr>
                <w:rFonts w:hint="default"/>
                <w:highlight w:val="none"/>
                <w:lang w:val="en-US" w:eastAsia="zh-CN"/>
              </w:rPr>
              <w:t>/</w:t>
            </w:r>
          </w:p>
        </w:tc>
      </w:tr>
    </w:tbl>
    <w:p w14:paraId="63F98F5B">
      <w:pPr>
        <w:keepNext w:val="0"/>
        <w:keepLines w:val="0"/>
        <w:pageBreakBefore w:val="0"/>
        <w:widowControl w:val="0"/>
        <w:kinsoku/>
        <w:wordWrap/>
        <w:overflowPunct/>
        <w:topLinePunct w:val="0"/>
        <w:autoSpaceDE/>
        <w:autoSpaceDN/>
        <w:bidi w:val="0"/>
        <w:adjustRightInd/>
        <w:snapToGrid/>
        <w:spacing w:line="480" w:lineRule="exact"/>
        <w:ind w:left="0" w:right="0" w:firstLine="498"/>
        <w:textAlignment w:val="auto"/>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地下水环境质量现状监测结果表明：评价区域内各监测点中，承压水监测因子中所有因子均满足《地下水质量标准》（GB/T14848-2017）中Ⅲ类标准。</w:t>
      </w:r>
    </w:p>
    <w:p w14:paraId="39098EDF">
      <w:pPr>
        <w:keepNext w:val="0"/>
        <w:keepLines w:val="0"/>
        <w:pageBreakBefore w:val="0"/>
        <w:widowControl w:val="0"/>
        <w:kinsoku/>
        <w:wordWrap/>
        <w:overflowPunct/>
        <w:topLinePunct w:val="0"/>
        <w:autoSpaceDE/>
        <w:autoSpaceDN/>
        <w:bidi w:val="0"/>
        <w:adjustRightInd/>
        <w:snapToGrid/>
        <w:spacing w:line="480" w:lineRule="exact"/>
        <w:ind w:left="0" w:right="0" w:firstLine="480" w:firstLineChars="200"/>
        <w:textAlignment w:val="auto"/>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4、地下水化学类型</w:t>
      </w:r>
    </w:p>
    <w:p w14:paraId="15B6D7D0">
      <w:pPr>
        <w:keepNext w:val="0"/>
        <w:keepLines w:val="0"/>
        <w:pageBreakBefore w:val="0"/>
        <w:widowControl w:val="0"/>
        <w:kinsoku/>
        <w:wordWrap/>
        <w:overflowPunct/>
        <w:topLinePunct w:val="0"/>
        <w:autoSpaceDE/>
        <w:autoSpaceDN/>
        <w:bidi w:val="0"/>
        <w:adjustRightInd/>
        <w:snapToGrid/>
        <w:spacing w:line="480" w:lineRule="exact"/>
        <w:ind w:left="0" w:right="0" w:firstLine="498"/>
        <w:textAlignment w:val="auto"/>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评价区内地下水化学特征分类，采用国内常用的舒卡列夫分类法(舒卡列夫分类表见表4.3-12)：根据地下水6种主要离子(K</w:t>
      </w:r>
      <w:r>
        <w:rPr>
          <w:rFonts w:hint="default" w:ascii="Times New Roman" w:hAnsi="Times New Roman" w:eastAsia="宋体" w:cs="Times New Roman"/>
          <w:color w:val="000000" w:themeColor="text1"/>
          <w:kern w:val="2"/>
          <w:sz w:val="24"/>
          <w:szCs w:val="24"/>
          <w:highlight w:val="none"/>
          <w:vertAlign w:val="superscript"/>
          <w:lang w:val="en-US" w:eastAsia="zh-CN" w:bidi="ar-SA"/>
          <w14:textFill>
            <w14:solidFill>
              <w14:schemeClr w14:val="tx1"/>
            </w14:solidFill>
          </w14:textFill>
        </w:rPr>
        <w:t>+</w:t>
      </w: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合并与Na</w:t>
      </w:r>
      <w:r>
        <w:rPr>
          <w:rFonts w:hint="default" w:ascii="Times New Roman" w:hAnsi="Times New Roman" w:eastAsia="宋体" w:cs="Times New Roman"/>
          <w:color w:val="000000" w:themeColor="text1"/>
          <w:kern w:val="2"/>
          <w:sz w:val="24"/>
          <w:szCs w:val="24"/>
          <w:highlight w:val="none"/>
          <w:vertAlign w:val="superscript"/>
          <w:lang w:val="en-US" w:eastAsia="zh-CN" w:bidi="ar-SA"/>
          <w14:textFill>
            <w14:solidFill>
              <w14:schemeClr w14:val="tx1"/>
            </w14:solidFill>
          </w14:textFill>
        </w:rPr>
        <w:t>+</w:t>
      </w: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中)及TDS划分。含量大于25%毫克当量</w:t>
      </w:r>
      <w:r>
        <w:rPr>
          <w:rFonts w:hint="eastAsia" w:cs="Times New Roman"/>
          <w:color w:val="000000" w:themeColor="text1"/>
          <w:kern w:val="2"/>
          <w:sz w:val="24"/>
          <w:szCs w:val="24"/>
          <w:highlight w:val="none"/>
          <w:lang w:val="en-US" w:eastAsia="zh-CN" w:bidi="ar-SA"/>
          <w14:textFill>
            <w14:solidFill>
              <w14:schemeClr w14:val="tx1"/>
            </w14:solidFill>
          </w14:textFill>
        </w:rPr>
        <w:t>的</w:t>
      </w: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阴离子和阳离子进行组合，共分49型水，每型以一个阿拉伯数字作为代号。按TDS又划分为4组，A组TDS＜1.5g/L，B组TDS＞1.5~10g/L，C组TDS＞10~40g/L，D组TDS＞40g/L。</w:t>
      </w:r>
    </w:p>
    <w:p w14:paraId="447057B0">
      <w:pPr>
        <w:keepNext w:val="0"/>
        <w:keepLines w:val="0"/>
        <w:pageBreakBefore w:val="0"/>
        <w:widowControl w:val="0"/>
        <w:numPr>
          <w:ilvl w:val="0"/>
          <w:numId w:val="30"/>
        </w:numPr>
        <w:kinsoku/>
        <w:wordWrap/>
        <w:overflowPunct/>
        <w:topLinePunct w:val="0"/>
        <w:autoSpaceDE w:val="0"/>
        <w:autoSpaceDN w:val="0"/>
        <w:bidi w:val="0"/>
        <w:adjustRightInd w:val="0"/>
        <w:snapToGrid/>
        <w:spacing w:line="500" w:lineRule="exact"/>
        <w:ind w:left="425" w:leftChars="0" w:hanging="425" w:firstLineChars="0"/>
        <w:jc w:val="center"/>
        <w:textAlignment w:val="auto"/>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pPr>
      <w:bookmarkStart w:id="266" w:name="OLE_LINK2"/>
      <w:r>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t>地下水八大离子监测结果（单位：mg/L）</w:t>
      </w:r>
    </w:p>
    <w:tbl>
      <w:tblPr>
        <w:tblStyle w:val="47"/>
        <w:tblW w:w="4999"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08"/>
        <w:gridCol w:w="773"/>
        <w:gridCol w:w="800"/>
        <w:gridCol w:w="800"/>
        <w:gridCol w:w="800"/>
        <w:gridCol w:w="800"/>
        <w:gridCol w:w="800"/>
        <w:gridCol w:w="801"/>
        <w:gridCol w:w="801"/>
        <w:gridCol w:w="801"/>
        <w:gridCol w:w="801"/>
        <w:gridCol w:w="801"/>
      </w:tblGrid>
      <w:tr w14:paraId="006D5BF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97" w:hRule="atLeast"/>
        </w:trPr>
        <w:tc>
          <w:tcPr>
            <w:tcW w:w="671" w:type="pct"/>
            <w:gridSpan w:val="2"/>
            <w:shd w:val="clear" w:color="auto" w:fill="auto"/>
            <w:vAlign w:val="center"/>
          </w:tcPr>
          <w:p w14:paraId="7E550B70">
            <w:pPr>
              <w:pStyle w:val="58"/>
              <w:bidi w:val="0"/>
              <w:rPr>
                <w:rFonts w:hint="default"/>
                <w:highlight w:val="none"/>
              </w:rPr>
            </w:pPr>
            <w:r>
              <w:rPr>
                <w:rFonts w:hint="default"/>
                <w:highlight w:val="none"/>
                <w:lang w:val="en-US" w:eastAsia="zh-CN"/>
              </w:rPr>
              <w:t>项目</w:t>
            </w:r>
          </w:p>
        </w:tc>
        <w:tc>
          <w:tcPr>
            <w:tcW w:w="432" w:type="pct"/>
            <w:shd w:val="clear" w:color="auto" w:fill="auto"/>
            <w:vAlign w:val="center"/>
          </w:tcPr>
          <w:p w14:paraId="3F060979">
            <w:pPr>
              <w:pStyle w:val="58"/>
              <w:bidi w:val="0"/>
              <w:rPr>
                <w:rFonts w:hint="default"/>
                <w:highlight w:val="none"/>
              </w:rPr>
            </w:pPr>
            <w:r>
              <w:rPr>
                <w:rFonts w:hint="default"/>
                <w:highlight w:val="none"/>
                <w:lang w:val="en-US" w:eastAsia="zh-CN"/>
              </w:rPr>
              <w:t>项目东北侧（园区北侧）</w:t>
            </w:r>
          </w:p>
        </w:tc>
        <w:tc>
          <w:tcPr>
            <w:tcW w:w="432" w:type="pct"/>
            <w:shd w:val="clear" w:color="auto" w:fill="auto"/>
            <w:vAlign w:val="center"/>
          </w:tcPr>
          <w:p w14:paraId="2F7AFAC4">
            <w:pPr>
              <w:pStyle w:val="58"/>
              <w:bidi w:val="0"/>
              <w:rPr>
                <w:rFonts w:hint="default"/>
                <w:highlight w:val="none"/>
              </w:rPr>
            </w:pPr>
            <w:r>
              <w:rPr>
                <w:rFonts w:hint="default"/>
                <w:highlight w:val="none"/>
                <w:lang w:val="en-US" w:eastAsia="zh-CN"/>
              </w:rPr>
              <w:t>项目东北侧（园区东侧）</w:t>
            </w:r>
          </w:p>
        </w:tc>
        <w:tc>
          <w:tcPr>
            <w:tcW w:w="432" w:type="pct"/>
            <w:shd w:val="clear" w:color="auto" w:fill="auto"/>
            <w:vAlign w:val="center"/>
          </w:tcPr>
          <w:p w14:paraId="31CC8AF9">
            <w:pPr>
              <w:pStyle w:val="58"/>
              <w:bidi w:val="0"/>
              <w:rPr>
                <w:rFonts w:hint="default"/>
                <w:highlight w:val="none"/>
              </w:rPr>
            </w:pPr>
            <w:r>
              <w:rPr>
                <w:rFonts w:hint="default"/>
                <w:highlight w:val="none"/>
                <w:lang w:val="en-US" w:eastAsia="zh-CN"/>
              </w:rPr>
              <w:t>项目东南侧（园区南侧）</w:t>
            </w:r>
          </w:p>
        </w:tc>
        <w:tc>
          <w:tcPr>
            <w:tcW w:w="432" w:type="pct"/>
            <w:shd w:val="clear" w:color="auto" w:fill="auto"/>
            <w:vAlign w:val="center"/>
          </w:tcPr>
          <w:p w14:paraId="38F013C7">
            <w:pPr>
              <w:pStyle w:val="58"/>
              <w:bidi w:val="0"/>
              <w:rPr>
                <w:rFonts w:hint="default"/>
                <w:highlight w:val="none"/>
              </w:rPr>
            </w:pPr>
            <w:r>
              <w:rPr>
                <w:rFonts w:hint="default"/>
                <w:highlight w:val="none"/>
                <w:lang w:val="en-US" w:eastAsia="zh-CN"/>
              </w:rPr>
              <w:t>项目东侧（园区内空地区域）</w:t>
            </w:r>
          </w:p>
        </w:tc>
        <w:tc>
          <w:tcPr>
            <w:tcW w:w="432" w:type="pct"/>
            <w:shd w:val="clear" w:color="auto" w:fill="auto"/>
            <w:vAlign w:val="center"/>
          </w:tcPr>
          <w:p w14:paraId="36656CA7">
            <w:pPr>
              <w:pStyle w:val="58"/>
              <w:bidi w:val="0"/>
              <w:rPr>
                <w:rFonts w:hint="default"/>
                <w:highlight w:val="none"/>
              </w:rPr>
            </w:pPr>
            <w:r>
              <w:rPr>
                <w:rFonts w:hint="default"/>
                <w:highlight w:val="none"/>
                <w:lang w:val="en-US" w:eastAsia="zh-CN"/>
              </w:rPr>
              <w:t>项目东南侧（园区内南侧企业附近）</w:t>
            </w:r>
          </w:p>
        </w:tc>
        <w:tc>
          <w:tcPr>
            <w:tcW w:w="432" w:type="pct"/>
            <w:shd w:val="clear" w:color="auto" w:fill="auto"/>
            <w:vAlign w:val="center"/>
          </w:tcPr>
          <w:p w14:paraId="2CEEC651">
            <w:pPr>
              <w:pStyle w:val="58"/>
              <w:bidi w:val="0"/>
              <w:rPr>
                <w:rFonts w:hint="default"/>
                <w:highlight w:val="none"/>
              </w:rPr>
            </w:pPr>
            <w:r>
              <w:rPr>
                <w:rFonts w:hint="default"/>
                <w:highlight w:val="none"/>
                <w:lang w:val="en-US" w:eastAsia="zh-CN"/>
              </w:rPr>
              <w:t>项目东南侧（园区内深水井）</w:t>
            </w:r>
          </w:p>
        </w:tc>
        <w:tc>
          <w:tcPr>
            <w:tcW w:w="432" w:type="pct"/>
            <w:shd w:val="clear" w:color="auto" w:fill="auto"/>
            <w:vAlign w:val="center"/>
          </w:tcPr>
          <w:p w14:paraId="30DD625E">
            <w:pPr>
              <w:pStyle w:val="58"/>
              <w:bidi w:val="0"/>
              <w:rPr>
                <w:rFonts w:hint="default"/>
                <w:highlight w:val="none"/>
              </w:rPr>
            </w:pPr>
            <w:r>
              <w:rPr>
                <w:rFonts w:hint="default"/>
                <w:highlight w:val="none"/>
                <w:lang w:val="en-US" w:eastAsia="zh-CN"/>
              </w:rPr>
              <w:t>项目占地范围内</w:t>
            </w:r>
          </w:p>
        </w:tc>
        <w:tc>
          <w:tcPr>
            <w:tcW w:w="432" w:type="pct"/>
            <w:shd w:val="clear" w:color="auto" w:fill="auto"/>
            <w:vAlign w:val="center"/>
          </w:tcPr>
          <w:p w14:paraId="5582302B">
            <w:pPr>
              <w:pStyle w:val="58"/>
              <w:bidi w:val="0"/>
              <w:rPr>
                <w:rFonts w:hint="default"/>
                <w:highlight w:val="none"/>
              </w:rPr>
            </w:pPr>
            <w:r>
              <w:rPr>
                <w:rFonts w:hint="default"/>
                <w:highlight w:val="none"/>
                <w:lang w:val="en-US" w:eastAsia="zh-CN"/>
              </w:rPr>
              <w:t>项目西北侧（金木美佳西侧Q4#）</w:t>
            </w:r>
          </w:p>
        </w:tc>
        <w:tc>
          <w:tcPr>
            <w:tcW w:w="432" w:type="pct"/>
            <w:shd w:val="clear" w:color="auto" w:fill="auto"/>
            <w:vAlign w:val="center"/>
          </w:tcPr>
          <w:p w14:paraId="2FBE9EB7">
            <w:pPr>
              <w:pStyle w:val="58"/>
              <w:bidi w:val="0"/>
              <w:rPr>
                <w:rFonts w:hint="default"/>
                <w:highlight w:val="none"/>
              </w:rPr>
            </w:pPr>
            <w:r>
              <w:rPr>
                <w:rFonts w:hint="default"/>
                <w:highlight w:val="none"/>
                <w:lang w:val="en-US" w:eastAsia="zh-CN"/>
              </w:rPr>
              <w:t>项目北侧（金木美佳北侧C1#）</w:t>
            </w:r>
          </w:p>
        </w:tc>
        <w:tc>
          <w:tcPr>
            <w:tcW w:w="432" w:type="pct"/>
            <w:shd w:val="clear" w:color="auto" w:fill="auto"/>
            <w:vAlign w:val="center"/>
          </w:tcPr>
          <w:p w14:paraId="2D9CE846">
            <w:pPr>
              <w:pStyle w:val="58"/>
              <w:bidi w:val="0"/>
              <w:rPr>
                <w:rFonts w:hint="default"/>
                <w:highlight w:val="none"/>
              </w:rPr>
            </w:pPr>
            <w:r>
              <w:rPr>
                <w:rFonts w:hint="default"/>
                <w:highlight w:val="none"/>
                <w:lang w:val="en-US" w:eastAsia="zh-CN"/>
              </w:rPr>
              <w:t>项目东南侧（金木美佳东南侧C4#）</w:t>
            </w:r>
          </w:p>
        </w:tc>
      </w:tr>
      <w:tr w14:paraId="61A2A0A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5" w:type="pct"/>
            <w:vMerge w:val="restart"/>
            <w:shd w:val="clear" w:color="auto" w:fill="auto"/>
            <w:vAlign w:val="center"/>
          </w:tcPr>
          <w:p w14:paraId="249DD3EE">
            <w:pPr>
              <w:pStyle w:val="58"/>
              <w:bidi w:val="0"/>
              <w:rPr>
                <w:rFonts w:hint="default"/>
                <w:highlight w:val="none"/>
                <w:lang w:val="en-US" w:eastAsia="zh-CN"/>
              </w:rPr>
            </w:pPr>
            <w:r>
              <w:rPr>
                <w:rFonts w:hint="default"/>
                <w:highlight w:val="none"/>
                <w:lang w:val="en-US" w:eastAsia="zh-CN"/>
              </w:rPr>
              <w:t>阳</w:t>
            </w:r>
          </w:p>
          <w:p w14:paraId="103C8E32">
            <w:pPr>
              <w:pStyle w:val="58"/>
              <w:bidi w:val="0"/>
              <w:rPr>
                <w:rFonts w:hint="default"/>
                <w:highlight w:val="none"/>
              </w:rPr>
            </w:pPr>
            <w:r>
              <w:rPr>
                <w:rFonts w:hint="default"/>
                <w:highlight w:val="none"/>
                <w:lang w:val="en-US" w:eastAsia="zh-CN"/>
              </w:rPr>
              <w:t>离</w:t>
            </w:r>
          </w:p>
          <w:p w14:paraId="426D9797">
            <w:pPr>
              <w:pStyle w:val="58"/>
              <w:bidi w:val="0"/>
              <w:rPr>
                <w:rFonts w:hint="default"/>
                <w:highlight w:val="none"/>
              </w:rPr>
            </w:pPr>
            <w:r>
              <w:rPr>
                <w:rFonts w:hint="default"/>
                <w:highlight w:val="none"/>
                <w:lang w:val="en-US" w:eastAsia="zh-CN"/>
              </w:rPr>
              <w:t>子</w:t>
            </w:r>
          </w:p>
        </w:tc>
        <w:tc>
          <w:tcPr>
            <w:tcW w:w="395" w:type="pct"/>
            <w:shd w:val="clear" w:color="auto" w:fill="auto"/>
            <w:vAlign w:val="center"/>
          </w:tcPr>
          <w:p w14:paraId="4F53B862">
            <w:pPr>
              <w:pStyle w:val="58"/>
              <w:bidi w:val="0"/>
              <w:rPr>
                <w:rFonts w:hint="default"/>
                <w:highlight w:val="none"/>
              </w:rPr>
            </w:pPr>
            <w:r>
              <w:rPr>
                <w:rFonts w:hint="default"/>
                <w:highlight w:val="none"/>
                <w:lang w:val="en-US" w:eastAsia="zh-CN"/>
              </w:rPr>
              <w:t>K</w:t>
            </w:r>
            <w:r>
              <w:rPr>
                <w:rFonts w:hint="default"/>
                <w:highlight w:val="none"/>
                <w:vertAlign w:val="superscript"/>
                <w:lang w:val="en-US" w:eastAsia="zh-CN"/>
              </w:rPr>
              <w:t>+</w:t>
            </w:r>
          </w:p>
        </w:tc>
        <w:tc>
          <w:tcPr>
            <w:tcW w:w="432" w:type="pct"/>
            <w:shd w:val="clear" w:color="auto" w:fill="auto"/>
            <w:vAlign w:val="center"/>
          </w:tcPr>
          <w:p w14:paraId="1CEF8107">
            <w:pPr>
              <w:pStyle w:val="58"/>
              <w:bidi w:val="0"/>
              <w:rPr>
                <w:rFonts w:hint="default"/>
                <w:highlight w:val="none"/>
              </w:rPr>
            </w:pPr>
            <w:r>
              <w:rPr>
                <w:rFonts w:hint="default"/>
                <w:highlight w:val="none"/>
                <w:lang w:val="en-US" w:eastAsia="zh-CN"/>
              </w:rPr>
              <w:t>12</w:t>
            </w:r>
          </w:p>
        </w:tc>
        <w:tc>
          <w:tcPr>
            <w:tcW w:w="432" w:type="pct"/>
            <w:shd w:val="clear" w:color="auto" w:fill="auto"/>
            <w:vAlign w:val="center"/>
          </w:tcPr>
          <w:p w14:paraId="26BC6257">
            <w:pPr>
              <w:pStyle w:val="58"/>
              <w:bidi w:val="0"/>
              <w:rPr>
                <w:rFonts w:hint="default"/>
                <w:highlight w:val="none"/>
              </w:rPr>
            </w:pPr>
            <w:r>
              <w:rPr>
                <w:rFonts w:hint="default"/>
                <w:highlight w:val="none"/>
                <w:lang w:val="en-US" w:eastAsia="zh-CN"/>
              </w:rPr>
              <w:t>17.1</w:t>
            </w:r>
          </w:p>
        </w:tc>
        <w:tc>
          <w:tcPr>
            <w:tcW w:w="432" w:type="pct"/>
            <w:shd w:val="clear" w:color="auto" w:fill="auto"/>
            <w:vAlign w:val="center"/>
          </w:tcPr>
          <w:p w14:paraId="6296C3A9">
            <w:pPr>
              <w:pStyle w:val="58"/>
              <w:bidi w:val="0"/>
              <w:rPr>
                <w:rFonts w:hint="default"/>
                <w:highlight w:val="none"/>
              </w:rPr>
            </w:pPr>
            <w:r>
              <w:rPr>
                <w:rFonts w:hint="default"/>
                <w:highlight w:val="none"/>
                <w:lang w:val="en-US" w:eastAsia="zh-CN"/>
              </w:rPr>
              <w:t>17.4</w:t>
            </w:r>
          </w:p>
        </w:tc>
        <w:tc>
          <w:tcPr>
            <w:tcW w:w="432" w:type="pct"/>
            <w:shd w:val="clear" w:color="auto" w:fill="auto"/>
            <w:vAlign w:val="center"/>
          </w:tcPr>
          <w:p w14:paraId="5FB5BAFF">
            <w:pPr>
              <w:pStyle w:val="58"/>
              <w:bidi w:val="0"/>
              <w:rPr>
                <w:rFonts w:hint="default"/>
                <w:highlight w:val="none"/>
              </w:rPr>
            </w:pPr>
            <w:r>
              <w:rPr>
                <w:rFonts w:hint="default"/>
                <w:highlight w:val="none"/>
                <w:lang w:val="en-US" w:eastAsia="zh-CN"/>
              </w:rPr>
              <w:t>17.3</w:t>
            </w:r>
          </w:p>
        </w:tc>
        <w:tc>
          <w:tcPr>
            <w:tcW w:w="432" w:type="pct"/>
            <w:shd w:val="clear" w:color="auto" w:fill="auto"/>
            <w:vAlign w:val="center"/>
          </w:tcPr>
          <w:p w14:paraId="0A47E871">
            <w:pPr>
              <w:pStyle w:val="58"/>
              <w:bidi w:val="0"/>
              <w:rPr>
                <w:rFonts w:hint="default"/>
                <w:highlight w:val="none"/>
              </w:rPr>
            </w:pPr>
            <w:r>
              <w:rPr>
                <w:rFonts w:hint="default"/>
                <w:highlight w:val="none"/>
                <w:lang w:val="en-US" w:eastAsia="zh-CN"/>
              </w:rPr>
              <w:t>17.1</w:t>
            </w:r>
          </w:p>
        </w:tc>
        <w:tc>
          <w:tcPr>
            <w:tcW w:w="432" w:type="pct"/>
            <w:shd w:val="clear" w:color="auto" w:fill="auto"/>
            <w:vAlign w:val="center"/>
          </w:tcPr>
          <w:p w14:paraId="1D01E370">
            <w:pPr>
              <w:pStyle w:val="58"/>
              <w:bidi w:val="0"/>
              <w:rPr>
                <w:rFonts w:hint="default"/>
                <w:highlight w:val="none"/>
              </w:rPr>
            </w:pPr>
            <w:r>
              <w:rPr>
                <w:rFonts w:hint="default"/>
                <w:highlight w:val="none"/>
                <w:lang w:val="en-US" w:eastAsia="zh-CN"/>
              </w:rPr>
              <w:t>0</w:t>
            </w:r>
          </w:p>
        </w:tc>
        <w:tc>
          <w:tcPr>
            <w:tcW w:w="432" w:type="pct"/>
            <w:shd w:val="clear" w:color="auto" w:fill="auto"/>
            <w:noWrap/>
            <w:vAlign w:val="center"/>
          </w:tcPr>
          <w:p w14:paraId="425F8ACA">
            <w:pPr>
              <w:pStyle w:val="58"/>
              <w:bidi w:val="0"/>
              <w:rPr>
                <w:rFonts w:hint="default"/>
                <w:highlight w:val="none"/>
              </w:rPr>
            </w:pPr>
            <w:r>
              <w:rPr>
                <w:rFonts w:hint="default"/>
                <w:highlight w:val="none"/>
                <w:lang w:val="en-US" w:eastAsia="zh-CN"/>
              </w:rPr>
              <w:t>44</w:t>
            </w:r>
          </w:p>
        </w:tc>
        <w:tc>
          <w:tcPr>
            <w:tcW w:w="432" w:type="pct"/>
            <w:shd w:val="clear" w:color="auto" w:fill="auto"/>
            <w:vAlign w:val="center"/>
          </w:tcPr>
          <w:p w14:paraId="2563CACA">
            <w:pPr>
              <w:pStyle w:val="58"/>
              <w:bidi w:val="0"/>
              <w:rPr>
                <w:rFonts w:hint="default"/>
                <w:highlight w:val="none"/>
              </w:rPr>
            </w:pPr>
            <w:r>
              <w:rPr>
                <w:rFonts w:hint="default"/>
                <w:highlight w:val="none"/>
                <w:lang w:val="en-US" w:eastAsia="zh-CN"/>
              </w:rPr>
              <w:t>13.8</w:t>
            </w:r>
          </w:p>
        </w:tc>
        <w:tc>
          <w:tcPr>
            <w:tcW w:w="432" w:type="pct"/>
            <w:shd w:val="clear" w:color="auto" w:fill="auto"/>
            <w:vAlign w:val="center"/>
          </w:tcPr>
          <w:p w14:paraId="0FCF2BC0">
            <w:pPr>
              <w:pStyle w:val="58"/>
              <w:bidi w:val="0"/>
              <w:rPr>
                <w:rFonts w:hint="default"/>
                <w:highlight w:val="none"/>
              </w:rPr>
            </w:pPr>
            <w:r>
              <w:rPr>
                <w:rFonts w:hint="default"/>
                <w:highlight w:val="none"/>
                <w:lang w:val="en-US" w:eastAsia="zh-CN"/>
              </w:rPr>
              <w:t>1.59</w:t>
            </w:r>
          </w:p>
        </w:tc>
        <w:tc>
          <w:tcPr>
            <w:tcW w:w="432" w:type="pct"/>
            <w:shd w:val="clear" w:color="auto" w:fill="auto"/>
            <w:vAlign w:val="center"/>
          </w:tcPr>
          <w:p w14:paraId="54F69B51">
            <w:pPr>
              <w:pStyle w:val="58"/>
              <w:bidi w:val="0"/>
              <w:rPr>
                <w:rFonts w:hint="default"/>
                <w:highlight w:val="none"/>
              </w:rPr>
            </w:pPr>
            <w:r>
              <w:rPr>
                <w:rFonts w:hint="default"/>
                <w:highlight w:val="none"/>
                <w:lang w:val="en-US" w:eastAsia="zh-CN"/>
              </w:rPr>
              <w:t>3.56</w:t>
            </w:r>
          </w:p>
        </w:tc>
      </w:tr>
      <w:tr w14:paraId="636BBD8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5" w:type="pct"/>
            <w:vMerge w:val="continue"/>
            <w:shd w:val="clear" w:color="auto" w:fill="auto"/>
            <w:vAlign w:val="center"/>
          </w:tcPr>
          <w:p w14:paraId="2BF68894">
            <w:pPr>
              <w:pStyle w:val="58"/>
              <w:bidi w:val="0"/>
              <w:rPr>
                <w:rFonts w:hint="default"/>
                <w:highlight w:val="none"/>
              </w:rPr>
            </w:pPr>
          </w:p>
        </w:tc>
        <w:tc>
          <w:tcPr>
            <w:tcW w:w="395" w:type="pct"/>
            <w:shd w:val="clear" w:color="auto" w:fill="auto"/>
            <w:vAlign w:val="center"/>
          </w:tcPr>
          <w:p w14:paraId="10C75DCA">
            <w:pPr>
              <w:pStyle w:val="58"/>
              <w:bidi w:val="0"/>
              <w:rPr>
                <w:rFonts w:hint="default"/>
                <w:highlight w:val="none"/>
              </w:rPr>
            </w:pPr>
            <w:r>
              <w:rPr>
                <w:rFonts w:hint="default"/>
                <w:highlight w:val="none"/>
                <w:lang w:val="en-US" w:eastAsia="zh-CN"/>
              </w:rPr>
              <w:t>Na</w:t>
            </w:r>
            <w:r>
              <w:rPr>
                <w:rFonts w:hint="default"/>
                <w:highlight w:val="none"/>
                <w:vertAlign w:val="superscript"/>
                <w:lang w:val="en-US" w:eastAsia="zh-CN"/>
              </w:rPr>
              <w:t>+</w:t>
            </w:r>
          </w:p>
        </w:tc>
        <w:tc>
          <w:tcPr>
            <w:tcW w:w="432" w:type="pct"/>
            <w:shd w:val="clear" w:color="auto" w:fill="auto"/>
            <w:vAlign w:val="center"/>
          </w:tcPr>
          <w:p w14:paraId="431492BD">
            <w:pPr>
              <w:pStyle w:val="58"/>
              <w:bidi w:val="0"/>
              <w:rPr>
                <w:rFonts w:hint="default"/>
                <w:highlight w:val="none"/>
              </w:rPr>
            </w:pPr>
            <w:r>
              <w:rPr>
                <w:rFonts w:hint="default"/>
                <w:highlight w:val="none"/>
                <w:lang w:val="en-US" w:eastAsia="zh-CN"/>
              </w:rPr>
              <w:t>62.5</w:t>
            </w:r>
          </w:p>
        </w:tc>
        <w:tc>
          <w:tcPr>
            <w:tcW w:w="432" w:type="pct"/>
            <w:shd w:val="clear" w:color="auto" w:fill="auto"/>
            <w:vAlign w:val="center"/>
          </w:tcPr>
          <w:p w14:paraId="4B77D86A">
            <w:pPr>
              <w:pStyle w:val="58"/>
              <w:bidi w:val="0"/>
              <w:rPr>
                <w:rFonts w:hint="default"/>
                <w:highlight w:val="none"/>
              </w:rPr>
            </w:pPr>
            <w:r>
              <w:rPr>
                <w:rFonts w:hint="default"/>
                <w:highlight w:val="none"/>
                <w:lang w:val="en-US" w:eastAsia="zh-CN"/>
              </w:rPr>
              <w:t>62.8</w:t>
            </w:r>
          </w:p>
        </w:tc>
        <w:tc>
          <w:tcPr>
            <w:tcW w:w="432" w:type="pct"/>
            <w:shd w:val="clear" w:color="auto" w:fill="auto"/>
            <w:vAlign w:val="center"/>
          </w:tcPr>
          <w:p w14:paraId="7882DA0E">
            <w:pPr>
              <w:pStyle w:val="58"/>
              <w:bidi w:val="0"/>
              <w:rPr>
                <w:rFonts w:hint="default"/>
                <w:highlight w:val="none"/>
              </w:rPr>
            </w:pPr>
            <w:r>
              <w:rPr>
                <w:rFonts w:hint="default"/>
                <w:highlight w:val="none"/>
                <w:lang w:val="en-US" w:eastAsia="zh-CN"/>
              </w:rPr>
              <w:t>81.6</w:t>
            </w:r>
          </w:p>
        </w:tc>
        <w:tc>
          <w:tcPr>
            <w:tcW w:w="432" w:type="pct"/>
            <w:shd w:val="clear" w:color="auto" w:fill="auto"/>
            <w:vAlign w:val="center"/>
          </w:tcPr>
          <w:p w14:paraId="2DD08451">
            <w:pPr>
              <w:pStyle w:val="58"/>
              <w:bidi w:val="0"/>
              <w:rPr>
                <w:rFonts w:hint="default"/>
                <w:highlight w:val="none"/>
              </w:rPr>
            </w:pPr>
            <w:r>
              <w:rPr>
                <w:rFonts w:hint="default"/>
                <w:highlight w:val="none"/>
                <w:lang w:val="en-US" w:eastAsia="zh-CN"/>
              </w:rPr>
              <w:t>61.8</w:t>
            </w:r>
          </w:p>
        </w:tc>
        <w:tc>
          <w:tcPr>
            <w:tcW w:w="432" w:type="pct"/>
            <w:shd w:val="clear" w:color="auto" w:fill="auto"/>
            <w:vAlign w:val="center"/>
          </w:tcPr>
          <w:p w14:paraId="72232E8A">
            <w:pPr>
              <w:pStyle w:val="58"/>
              <w:bidi w:val="0"/>
              <w:rPr>
                <w:rFonts w:hint="default"/>
                <w:highlight w:val="none"/>
              </w:rPr>
            </w:pPr>
            <w:r>
              <w:rPr>
                <w:rFonts w:hint="default"/>
                <w:highlight w:val="none"/>
                <w:lang w:val="en-US" w:eastAsia="zh-CN"/>
              </w:rPr>
              <w:t>77.8</w:t>
            </w:r>
          </w:p>
        </w:tc>
        <w:tc>
          <w:tcPr>
            <w:tcW w:w="432" w:type="pct"/>
            <w:shd w:val="clear" w:color="auto" w:fill="auto"/>
            <w:vAlign w:val="center"/>
          </w:tcPr>
          <w:p w14:paraId="6A66599F">
            <w:pPr>
              <w:pStyle w:val="58"/>
              <w:bidi w:val="0"/>
              <w:rPr>
                <w:rFonts w:hint="default"/>
                <w:highlight w:val="none"/>
              </w:rPr>
            </w:pPr>
            <w:r>
              <w:rPr>
                <w:rFonts w:hint="default"/>
                <w:highlight w:val="none"/>
                <w:lang w:val="en-US" w:eastAsia="zh-CN"/>
              </w:rPr>
              <w:t>39.2</w:t>
            </w:r>
          </w:p>
        </w:tc>
        <w:tc>
          <w:tcPr>
            <w:tcW w:w="432" w:type="pct"/>
            <w:shd w:val="clear" w:color="auto" w:fill="auto"/>
            <w:noWrap/>
            <w:vAlign w:val="center"/>
          </w:tcPr>
          <w:p w14:paraId="2F29579B">
            <w:pPr>
              <w:pStyle w:val="58"/>
              <w:bidi w:val="0"/>
              <w:rPr>
                <w:rFonts w:hint="default"/>
                <w:highlight w:val="none"/>
              </w:rPr>
            </w:pPr>
            <w:r>
              <w:rPr>
                <w:rFonts w:hint="default"/>
                <w:highlight w:val="none"/>
                <w:lang w:val="en-US" w:eastAsia="zh-CN"/>
              </w:rPr>
              <w:t>151</w:t>
            </w:r>
          </w:p>
        </w:tc>
        <w:tc>
          <w:tcPr>
            <w:tcW w:w="432" w:type="pct"/>
            <w:shd w:val="clear" w:color="auto" w:fill="auto"/>
            <w:vAlign w:val="center"/>
          </w:tcPr>
          <w:p w14:paraId="7F548C12">
            <w:pPr>
              <w:pStyle w:val="58"/>
              <w:bidi w:val="0"/>
              <w:rPr>
                <w:rFonts w:hint="default"/>
                <w:highlight w:val="none"/>
              </w:rPr>
            </w:pPr>
            <w:r>
              <w:rPr>
                <w:rFonts w:hint="default"/>
                <w:highlight w:val="none"/>
                <w:lang w:val="en-US" w:eastAsia="zh-CN"/>
              </w:rPr>
              <w:t>71.4</w:t>
            </w:r>
          </w:p>
        </w:tc>
        <w:tc>
          <w:tcPr>
            <w:tcW w:w="432" w:type="pct"/>
            <w:shd w:val="clear" w:color="auto" w:fill="auto"/>
            <w:vAlign w:val="center"/>
          </w:tcPr>
          <w:p w14:paraId="4B725A28">
            <w:pPr>
              <w:pStyle w:val="58"/>
              <w:bidi w:val="0"/>
              <w:rPr>
                <w:rFonts w:hint="default"/>
                <w:highlight w:val="none"/>
              </w:rPr>
            </w:pPr>
            <w:r>
              <w:rPr>
                <w:rFonts w:hint="default"/>
                <w:highlight w:val="none"/>
                <w:lang w:val="en-US" w:eastAsia="zh-CN"/>
              </w:rPr>
              <w:t>27.7</w:t>
            </w:r>
          </w:p>
        </w:tc>
        <w:tc>
          <w:tcPr>
            <w:tcW w:w="432" w:type="pct"/>
            <w:shd w:val="clear" w:color="auto" w:fill="auto"/>
            <w:vAlign w:val="center"/>
          </w:tcPr>
          <w:p w14:paraId="6D1EA032">
            <w:pPr>
              <w:pStyle w:val="58"/>
              <w:bidi w:val="0"/>
              <w:rPr>
                <w:rFonts w:hint="default"/>
                <w:highlight w:val="none"/>
              </w:rPr>
            </w:pPr>
            <w:r>
              <w:rPr>
                <w:rFonts w:hint="default"/>
                <w:highlight w:val="none"/>
                <w:lang w:val="en-US" w:eastAsia="zh-CN"/>
              </w:rPr>
              <w:t>36.6</w:t>
            </w:r>
          </w:p>
        </w:tc>
      </w:tr>
      <w:tr w14:paraId="1A21BEA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5" w:type="pct"/>
            <w:vMerge w:val="continue"/>
            <w:shd w:val="clear" w:color="auto" w:fill="auto"/>
            <w:vAlign w:val="center"/>
          </w:tcPr>
          <w:p w14:paraId="1EEF1665">
            <w:pPr>
              <w:pStyle w:val="58"/>
              <w:bidi w:val="0"/>
              <w:rPr>
                <w:rFonts w:hint="default"/>
                <w:highlight w:val="none"/>
              </w:rPr>
            </w:pPr>
          </w:p>
        </w:tc>
        <w:tc>
          <w:tcPr>
            <w:tcW w:w="395" w:type="pct"/>
            <w:shd w:val="clear" w:color="auto" w:fill="auto"/>
            <w:vAlign w:val="center"/>
          </w:tcPr>
          <w:p w14:paraId="4E9065C1">
            <w:pPr>
              <w:pStyle w:val="58"/>
              <w:bidi w:val="0"/>
              <w:rPr>
                <w:rFonts w:hint="default"/>
                <w:highlight w:val="none"/>
              </w:rPr>
            </w:pPr>
            <w:r>
              <w:rPr>
                <w:rFonts w:hint="default"/>
                <w:highlight w:val="none"/>
                <w:lang w:val="en-US" w:eastAsia="zh-CN"/>
              </w:rPr>
              <w:t>Ca</w:t>
            </w:r>
            <w:r>
              <w:rPr>
                <w:rFonts w:hint="default"/>
                <w:highlight w:val="none"/>
                <w:vertAlign w:val="superscript"/>
                <w:lang w:val="en-US" w:eastAsia="zh-CN"/>
              </w:rPr>
              <w:t>2+</w:t>
            </w:r>
          </w:p>
        </w:tc>
        <w:tc>
          <w:tcPr>
            <w:tcW w:w="432" w:type="pct"/>
            <w:shd w:val="clear" w:color="auto" w:fill="auto"/>
            <w:vAlign w:val="center"/>
          </w:tcPr>
          <w:p w14:paraId="108874EA">
            <w:pPr>
              <w:pStyle w:val="58"/>
              <w:bidi w:val="0"/>
              <w:rPr>
                <w:rFonts w:hint="default"/>
                <w:highlight w:val="none"/>
              </w:rPr>
            </w:pPr>
            <w:r>
              <w:rPr>
                <w:rFonts w:hint="default"/>
                <w:highlight w:val="none"/>
                <w:lang w:val="en-US" w:eastAsia="zh-CN"/>
              </w:rPr>
              <w:t>68.8</w:t>
            </w:r>
          </w:p>
        </w:tc>
        <w:tc>
          <w:tcPr>
            <w:tcW w:w="432" w:type="pct"/>
            <w:shd w:val="clear" w:color="auto" w:fill="auto"/>
            <w:vAlign w:val="center"/>
          </w:tcPr>
          <w:p w14:paraId="3FF9DB6B">
            <w:pPr>
              <w:pStyle w:val="58"/>
              <w:bidi w:val="0"/>
              <w:rPr>
                <w:rFonts w:hint="default"/>
                <w:highlight w:val="none"/>
              </w:rPr>
            </w:pPr>
            <w:r>
              <w:rPr>
                <w:rFonts w:hint="default"/>
                <w:highlight w:val="none"/>
                <w:lang w:val="en-US" w:eastAsia="zh-CN"/>
              </w:rPr>
              <w:t>77</w:t>
            </w:r>
          </w:p>
        </w:tc>
        <w:tc>
          <w:tcPr>
            <w:tcW w:w="432" w:type="pct"/>
            <w:shd w:val="clear" w:color="auto" w:fill="auto"/>
            <w:vAlign w:val="center"/>
          </w:tcPr>
          <w:p w14:paraId="2BB808AE">
            <w:pPr>
              <w:pStyle w:val="58"/>
              <w:bidi w:val="0"/>
              <w:rPr>
                <w:rFonts w:hint="default"/>
                <w:highlight w:val="none"/>
              </w:rPr>
            </w:pPr>
            <w:r>
              <w:rPr>
                <w:rFonts w:hint="default"/>
                <w:highlight w:val="none"/>
                <w:lang w:val="en-US" w:eastAsia="zh-CN"/>
              </w:rPr>
              <w:t>103</w:t>
            </w:r>
          </w:p>
        </w:tc>
        <w:tc>
          <w:tcPr>
            <w:tcW w:w="432" w:type="pct"/>
            <w:shd w:val="clear" w:color="auto" w:fill="auto"/>
            <w:vAlign w:val="center"/>
          </w:tcPr>
          <w:p w14:paraId="2F5EC0F2">
            <w:pPr>
              <w:pStyle w:val="58"/>
              <w:bidi w:val="0"/>
              <w:rPr>
                <w:rFonts w:hint="default"/>
                <w:highlight w:val="none"/>
              </w:rPr>
            </w:pPr>
            <w:r>
              <w:rPr>
                <w:rFonts w:hint="default"/>
                <w:highlight w:val="none"/>
                <w:lang w:val="en-US" w:eastAsia="zh-CN"/>
              </w:rPr>
              <w:t>196</w:t>
            </w:r>
          </w:p>
        </w:tc>
        <w:tc>
          <w:tcPr>
            <w:tcW w:w="432" w:type="pct"/>
            <w:shd w:val="clear" w:color="auto" w:fill="auto"/>
            <w:vAlign w:val="center"/>
          </w:tcPr>
          <w:p w14:paraId="6585254C">
            <w:pPr>
              <w:pStyle w:val="58"/>
              <w:bidi w:val="0"/>
              <w:rPr>
                <w:rFonts w:hint="default"/>
                <w:highlight w:val="none"/>
              </w:rPr>
            </w:pPr>
            <w:r>
              <w:rPr>
                <w:rFonts w:hint="default"/>
                <w:highlight w:val="none"/>
                <w:lang w:val="en-US" w:eastAsia="zh-CN"/>
              </w:rPr>
              <w:t>190</w:t>
            </w:r>
          </w:p>
        </w:tc>
        <w:tc>
          <w:tcPr>
            <w:tcW w:w="432" w:type="pct"/>
            <w:shd w:val="clear" w:color="auto" w:fill="auto"/>
            <w:vAlign w:val="center"/>
          </w:tcPr>
          <w:p w14:paraId="53047002">
            <w:pPr>
              <w:pStyle w:val="58"/>
              <w:bidi w:val="0"/>
              <w:rPr>
                <w:rFonts w:hint="default"/>
                <w:highlight w:val="none"/>
              </w:rPr>
            </w:pPr>
            <w:r>
              <w:rPr>
                <w:rFonts w:hint="default"/>
                <w:highlight w:val="none"/>
                <w:lang w:val="en-US" w:eastAsia="zh-CN"/>
              </w:rPr>
              <w:t>35.1</w:t>
            </w:r>
          </w:p>
        </w:tc>
        <w:tc>
          <w:tcPr>
            <w:tcW w:w="432" w:type="pct"/>
            <w:shd w:val="clear" w:color="auto" w:fill="auto"/>
            <w:noWrap/>
            <w:vAlign w:val="center"/>
          </w:tcPr>
          <w:p w14:paraId="63007E83">
            <w:pPr>
              <w:pStyle w:val="58"/>
              <w:bidi w:val="0"/>
              <w:rPr>
                <w:rFonts w:hint="default"/>
                <w:highlight w:val="none"/>
              </w:rPr>
            </w:pPr>
            <w:r>
              <w:rPr>
                <w:rFonts w:hint="default"/>
                <w:highlight w:val="none"/>
                <w:lang w:val="en-US" w:eastAsia="zh-CN"/>
              </w:rPr>
              <w:t>205</w:t>
            </w:r>
          </w:p>
        </w:tc>
        <w:tc>
          <w:tcPr>
            <w:tcW w:w="432" w:type="pct"/>
            <w:shd w:val="clear" w:color="auto" w:fill="auto"/>
            <w:vAlign w:val="center"/>
          </w:tcPr>
          <w:p w14:paraId="4D6AC5B8">
            <w:pPr>
              <w:pStyle w:val="58"/>
              <w:bidi w:val="0"/>
              <w:rPr>
                <w:rFonts w:hint="default"/>
                <w:highlight w:val="none"/>
              </w:rPr>
            </w:pPr>
            <w:r>
              <w:rPr>
                <w:rFonts w:hint="default"/>
                <w:highlight w:val="none"/>
                <w:lang w:val="en-US" w:eastAsia="zh-CN"/>
              </w:rPr>
              <w:t>254</w:t>
            </w:r>
          </w:p>
        </w:tc>
        <w:tc>
          <w:tcPr>
            <w:tcW w:w="432" w:type="pct"/>
            <w:shd w:val="clear" w:color="auto" w:fill="auto"/>
            <w:vAlign w:val="center"/>
          </w:tcPr>
          <w:p w14:paraId="52F48EE2">
            <w:pPr>
              <w:pStyle w:val="58"/>
              <w:bidi w:val="0"/>
              <w:rPr>
                <w:rFonts w:hint="default"/>
                <w:highlight w:val="none"/>
              </w:rPr>
            </w:pPr>
            <w:r>
              <w:rPr>
                <w:rFonts w:hint="default"/>
                <w:highlight w:val="none"/>
                <w:lang w:val="en-US" w:eastAsia="zh-CN"/>
              </w:rPr>
              <w:t>164</w:t>
            </w:r>
          </w:p>
        </w:tc>
        <w:tc>
          <w:tcPr>
            <w:tcW w:w="432" w:type="pct"/>
            <w:shd w:val="clear" w:color="auto" w:fill="auto"/>
            <w:vAlign w:val="center"/>
          </w:tcPr>
          <w:p w14:paraId="75885CBE">
            <w:pPr>
              <w:pStyle w:val="58"/>
              <w:bidi w:val="0"/>
              <w:rPr>
                <w:rFonts w:hint="default"/>
                <w:highlight w:val="none"/>
              </w:rPr>
            </w:pPr>
            <w:r>
              <w:rPr>
                <w:rFonts w:hint="default"/>
                <w:highlight w:val="none"/>
                <w:lang w:val="en-US" w:eastAsia="zh-CN"/>
              </w:rPr>
              <w:t>194</w:t>
            </w:r>
          </w:p>
        </w:tc>
      </w:tr>
      <w:tr w14:paraId="55F5899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5" w:type="pct"/>
            <w:vMerge w:val="continue"/>
            <w:shd w:val="clear" w:color="auto" w:fill="auto"/>
            <w:noWrap/>
            <w:vAlign w:val="center"/>
          </w:tcPr>
          <w:p w14:paraId="14EB4F5B">
            <w:pPr>
              <w:pStyle w:val="58"/>
              <w:bidi w:val="0"/>
              <w:rPr>
                <w:rFonts w:hint="default"/>
                <w:highlight w:val="none"/>
              </w:rPr>
            </w:pPr>
          </w:p>
        </w:tc>
        <w:tc>
          <w:tcPr>
            <w:tcW w:w="395" w:type="pct"/>
            <w:shd w:val="clear" w:color="auto" w:fill="auto"/>
            <w:vAlign w:val="center"/>
          </w:tcPr>
          <w:p w14:paraId="04AB8709">
            <w:pPr>
              <w:pStyle w:val="58"/>
              <w:bidi w:val="0"/>
              <w:rPr>
                <w:rFonts w:hint="default"/>
                <w:highlight w:val="none"/>
              </w:rPr>
            </w:pPr>
            <w:r>
              <w:rPr>
                <w:rFonts w:hint="default"/>
                <w:highlight w:val="none"/>
                <w:lang w:val="en-US" w:eastAsia="zh-CN"/>
              </w:rPr>
              <w:t>Mg</w:t>
            </w:r>
            <w:r>
              <w:rPr>
                <w:rFonts w:hint="default"/>
                <w:highlight w:val="none"/>
                <w:vertAlign w:val="superscript"/>
                <w:lang w:val="en-US" w:eastAsia="zh-CN"/>
              </w:rPr>
              <w:t>2+</w:t>
            </w:r>
          </w:p>
        </w:tc>
        <w:tc>
          <w:tcPr>
            <w:tcW w:w="432" w:type="pct"/>
            <w:shd w:val="clear" w:color="auto" w:fill="auto"/>
            <w:vAlign w:val="center"/>
          </w:tcPr>
          <w:p w14:paraId="685B459A">
            <w:pPr>
              <w:pStyle w:val="58"/>
              <w:bidi w:val="0"/>
              <w:rPr>
                <w:rFonts w:hint="default"/>
                <w:highlight w:val="none"/>
              </w:rPr>
            </w:pPr>
            <w:r>
              <w:rPr>
                <w:rFonts w:hint="default"/>
                <w:highlight w:val="none"/>
                <w:lang w:val="en-US" w:eastAsia="zh-CN"/>
              </w:rPr>
              <w:t>305</w:t>
            </w:r>
          </w:p>
        </w:tc>
        <w:tc>
          <w:tcPr>
            <w:tcW w:w="432" w:type="pct"/>
            <w:shd w:val="clear" w:color="auto" w:fill="auto"/>
            <w:vAlign w:val="center"/>
          </w:tcPr>
          <w:p w14:paraId="00D230B2">
            <w:pPr>
              <w:pStyle w:val="58"/>
              <w:bidi w:val="0"/>
              <w:rPr>
                <w:rFonts w:hint="default"/>
                <w:highlight w:val="none"/>
              </w:rPr>
            </w:pPr>
            <w:r>
              <w:rPr>
                <w:rFonts w:hint="default"/>
                <w:highlight w:val="none"/>
                <w:lang w:val="en-US" w:eastAsia="zh-CN"/>
              </w:rPr>
              <w:t>302</w:t>
            </w:r>
          </w:p>
        </w:tc>
        <w:tc>
          <w:tcPr>
            <w:tcW w:w="432" w:type="pct"/>
            <w:shd w:val="clear" w:color="auto" w:fill="auto"/>
            <w:vAlign w:val="center"/>
          </w:tcPr>
          <w:p w14:paraId="2CF223BD">
            <w:pPr>
              <w:pStyle w:val="58"/>
              <w:bidi w:val="0"/>
              <w:rPr>
                <w:rFonts w:hint="default"/>
                <w:highlight w:val="none"/>
              </w:rPr>
            </w:pPr>
            <w:r>
              <w:rPr>
                <w:rFonts w:hint="default"/>
                <w:highlight w:val="none"/>
                <w:lang w:val="en-US" w:eastAsia="zh-CN"/>
              </w:rPr>
              <w:t>298</w:t>
            </w:r>
          </w:p>
        </w:tc>
        <w:tc>
          <w:tcPr>
            <w:tcW w:w="432" w:type="pct"/>
            <w:shd w:val="clear" w:color="auto" w:fill="auto"/>
            <w:vAlign w:val="center"/>
          </w:tcPr>
          <w:p w14:paraId="08B59695">
            <w:pPr>
              <w:pStyle w:val="58"/>
              <w:bidi w:val="0"/>
              <w:rPr>
                <w:rFonts w:hint="default"/>
                <w:highlight w:val="none"/>
              </w:rPr>
            </w:pPr>
            <w:r>
              <w:rPr>
                <w:rFonts w:hint="default"/>
                <w:highlight w:val="none"/>
                <w:lang w:val="en-US" w:eastAsia="zh-CN"/>
              </w:rPr>
              <w:t>244</w:t>
            </w:r>
          </w:p>
        </w:tc>
        <w:tc>
          <w:tcPr>
            <w:tcW w:w="432" w:type="pct"/>
            <w:shd w:val="clear" w:color="auto" w:fill="auto"/>
            <w:vAlign w:val="center"/>
          </w:tcPr>
          <w:p w14:paraId="3FC4B56D">
            <w:pPr>
              <w:pStyle w:val="58"/>
              <w:bidi w:val="0"/>
              <w:rPr>
                <w:rFonts w:hint="default"/>
                <w:highlight w:val="none"/>
              </w:rPr>
            </w:pPr>
            <w:r>
              <w:rPr>
                <w:rFonts w:hint="default"/>
                <w:highlight w:val="none"/>
                <w:lang w:val="en-US" w:eastAsia="zh-CN"/>
              </w:rPr>
              <w:t>245</w:t>
            </w:r>
          </w:p>
        </w:tc>
        <w:tc>
          <w:tcPr>
            <w:tcW w:w="432" w:type="pct"/>
            <w:shd w:val="clear" w:color="auto" w:fill="auto"/>
            <w:vAlign w:val="center"/>
          </w:tcPr>
          <w:p w14:paraId="59FF9C41">
            <w:pPr>
              <w:pStyle w:val="58"/>
              <w:bidi w:val="0"/>
              <w:rPr>
                <w:rFonts w:hint="default"/>
                <w:highlight w:val="none"/>
              </w:rPr>
            </w:pPr>
            <w:r>
              <w:rPr>
                <w:rFonts w:hint="default"/>
                <w:highlight w:val="none"/>
                <w:lang w:val="en-US" w:eastAsia="zh-CN"/>
              </w:rPr>
              <w:t>2.45</w:t>
            </w:r>
          </w:p>
        </w:tc>
        <w:tc>
          <w:tcPr>
            <w:tcW w:w="432" w:type="pct"/>
            <w:shd w:val="clear" w:color="auto" w:fill="auto"/>
            <w:noWrap/>
            <w:vAlign w:val="center"/>
          </w:tcPr>
          <w:p w14:paraId="376A6E43">
            <w:pPr>
              <w:pStyle w:val="58"/>
              <w:bidi w:val="0"/>
              <w:rPr>
                <w:rFonts w:hint="default"/>
                <w:highlight w:val="none"/>
              </w:rPr>
            </w:pPr>
            <w:r>
              <w:rPr>
                <w:rFonts w:hint="default"/>
                <w:highlight w:val="none"/>
                <w:lang w:val="en-US" w:eastAsia="zh-CN"/>
              </w:rPr>
              <w:t>238</w:t>
            </w:r>
          </w:p>
        </w:tc>
        <w:tc>
          <w:tcPr>
            <w:tcW w:w="432" w:type="pct"/>
            <w:shd w:val="clear" w:color="auto" w:fill="auto"/>
            <w:vAlign w:val="center"/>
          </w:tcPr>
          <w:p w14:paraId="77C59B7C">
            <w:pPr>
              <w:pStyle w:val="58"/>
              <w:bidi w:val="0"/>
              <w:rPr>
                <w:rFonts w:hint="default"/>
                <w:highlight w:val="none"/>
              </w:rPr>
            </w:pPr>
            <w:r>
              <w:rPr>
                <w:rFonts w:hint="default"/>
                <w:highlight w:val="none"/>
                <w:lang w:val="en-US" w:eastAsia="zh-CN"/>
              </w:rPr>
              <w:t>78.3</w:t>
            </w:r>
          </w:p>
        </w:tc>
        <w:tc>
          <w:tcPr>
            <w:tcW w:w="432" w:type="pct"/>
            <w:shd w:val="clear" w:color="auto" w:fill="auto"/>
            <w:vAlign w:val="center"/>
          </w:tcPr>
          <w:p w14:paraId="760A85C6">
            <w:pPr>
              <w:pStyle w:val="58"/>
              <w:bidi w:val="0"/>
              <w:rPr>
                <w:rFonts w:hint="default"/>
                <w:highlight w:val="none"/>
              </w:rPr>
            </w:pPr>
            <w:r>
              <w:rPr>
                <w:rFonts w:hint="default"/>
                <w:highlight w:val="none"/>
                <w:lang w:val="en-US" w:eastAsia="zh-CN"/>
              </w:rPr>
              <w:t>40.8</w:t>
            </w:r>
          </w:p>
        </w:tc>
        <w:tc>
          <w:tcPr>
            <w:tcW w:w="432" w:type="pct"/>
            <w:shd w:val="clear" w:color="auto" w:fill="auto"/>
            <w:vAlign w:val="center"/>
          </w:tcPr>
          <w:p w14:paraId="25087307">
            <w:pPr>
              <w:pStyle w:val="58"/>
              <w:bidi w:val="0"/>
              <w:rPr>
                <w:rFonts w:hint="default"/>
                <w:highlight w:val="none"/>
              </w:rPr>
            </w:pPr>
            <w:r>
              <w:rPr>
                <w:rFonts w:hint="default"/>
                <w:highlight w:val="none"/>
                <w:lang w:val="en-US" w:eastAsia="zh-CN"/>
              </w:rPr>
              <w:t>51.4</w:t>
            </w:r>
          </w:p>
        </w:tc>
      </w:tr>
      <w:tr w14:paraId="7124173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5" w:type="pct"/>
            <w:vMerge w:val="restart"/>
            <w:shd w:val="clear" w:color="auto" w:fill="auto"/>
            <w:vAlign w:val="center"/>
          </w:tcPr>
          <w:p w14:paraId="4C361E60">
            <w:pPr>
              <w:pStyle w:val="58"/>
              <w:bidi w:val="0"/>
              <w:rPr>
                <w:rFonts w:hint="default"/>
                <w:highlight w:val="none"/>
                <w:lang w:val="en-US" w:eastAsia="zh-CN"/>
              </w:rPr>
            </w:pPr>
            <w:r>
              <w:rPr>
                <w:rFonts w:hint="default"/>
                <w:highlight w:val="none"/>
                <w:lang w:val="en-US" w:eastAsia="zh-CN"/>
              </w:rPr>
              <w:t>阴</w:t>
            </w:r>
          </w:p>
          <w:p w14:paraId="3ACC2BBD">
            <w:pPr>
              <w:pStyle w:val="58"/>
              <w:bidi w:val="0"/>
              <w:rPr>
                <w:rFonts w:hint="default"/>
                <w:highlight w:val="none"/>
              </w:rPr>
            </w:pPr>
            <w:r>
              <w:rPr>
                <w:rFonts w:hint="default"/>
                <w:highlight w:val="none"/>
                <w:lang w:val="en-US" w:eastAsia="zh-CN"/>
              </w:rPr>
              <w:t>离</w:t>
            </w:r>
          </w:p>
          <w:p w14:paraId="0850489D">
            <w:pPr>
              <w:pStyle w:val="58"/>
              <w:bidi w:val="0"/>
              <w:rPr>
                <w:rFonts w:hint="default"/>
                <w:highlight w:val="none"/>
              </w:rPr>
            </w:pPr>
            <w:r>
              <w:rPr>
                <w:rFonts w:hint="default"/>
                <w:highlight w:val="none"/>
                <w:lang w:val="en-US" w:eastAsia="zh-CN"/>
              </w:rPr>
              <w:t>子</w:t>
            </w:r>
          </w:p>
        </w:tc>
        <w:tc>
          <w:tcPr>
            <w:tcW w:w="395" w:type="pct"/>
            <w:shd w:val="clear" w:color="auto" w:fill="auto"/>
            <w:vAlign w:val="center"/>
          </w:tcPr>
          <w:p w14:paraId="76F30F6C">
            <w:pPr>
              <w:pStyle w:val="58"/>
              <w:bidi w:val="0"/>
              <w:rPr>
                <w:rFonts w:hint="default"/>
                <w:highlight w:val="none"/>
              </w:rPr>
            </w:pPr>
            <w:r>
              <w:rPr>
                <w:rFonts w:hint="default"/>
                <w:highlight w:val="none"/>
                <w:lang w:val="en-US" w:eastAsia="zh-CN"/>
              </w:rPr>
              <w:t>C</w:t>
            </w:r>
            <w:r>
              <w:rPr>
                <w:rFonts w:hint="eastAsia"/>
                <w:highlight w:val="none"/>
                <w:lang w:val="en-US" w:eastAsia="zh-CN"/>
              </w:rPr>
              <w:t>O</w:t>
            </w:r>
            <w:r>
              <w:rPr>
                <w:rFonts w:hint="eastAsia"/>
                <w:highlight w:val="none"/>
                <w:vertAlign w:val="subscript"/>
                <w:lang w:val="en-US" w:eastAsia="zh-CN"/>
              </w:rPr>
              <w:t>3</w:t>
            </w:r>
            <w:r>
              <w:rPr>
                <w:rFonts w:hint="default"/>
                <w:highlight w:val="none"/>
                <w:vertAlign w:val="superscript"/>
                <w:lang w:val="en-US" w:eastAsia="zh-CN"/>
              </w:rPr>
              <w:t>2-</w:t>
            </w:r>
          </w:p>
        </w:tc>
        <w:tc>
          <w:tcPr>
            <w:tcW w:w="432" w:type="pct"/>
            <w:shd w:val="clear" w:color="auto" w:fill="auto"/>
            <w:vAlign w:val="center"/>
          </w:tcPr>
          <w:p w14:paraId="5AF42742">
            <w:pPr>
              <w:pStyle w:val="58"/>
              <w:bidi w:val="0"/>
              <w:rPr>
                <w:rFonts w:hint="default"/>
                <w:highlight w:val="none"/>
              </w:rPr>
            </w:pPr>
            <w:r>
              <w:rPr>
                <w:rFonts w:hint="default"/>
                <w:highlight w:val="none"/>
                <w:lang w:val="en-US" w:eastAsia="zh-CN"/>
              </w:rPr>
              <w:t>0</w:t>
            </w:r>
          </w:p>
        </w:tc>
        <w:tc>
          <w:tcPr>
            <w:tcW w:w="432" w:type="pct"/>
            <w:shd w:val="clear" w:color="auto" w:fill="auto"/>
            <w:vAlign w:val="center"/>
          </w:tcPr>
          <w:p w14:paraId="0B97BC7E">
            <w:pPr>
              <w:pStyle w:val="58"/>
              <w:bidi w:val="0"/>
              <w:rPr>
                <w:rFonts w:hint="default"/>
                <w:highlight w:val="none"/>
              </w:rPr>
            </w:pPr>
            <w:r>
              <w:rPr>
                <w:rFonts w:hint="default"/>
                <w:highlight w:val="none"/>
                <w:lang w:val="en-US" w:eastAsia="zh-CN"/>
              </w:rPr>
              <w:t>0</w:t>
            </w:r>
          </w:p>
        </w:tc>
        <w:tc>
          <w:tcPr>
            <w:tcW w:w="432" w:type="pct"/>
            <w:shd w:val="clear" w:color="auto" w:fill="auto"/>
            <w:vAlign w:val="center"/>
          </w:tcPr>
          <w:p w14:paraId="68BFE68C">
            <w:pPr>
              <w:pStyle w:val="58"/>
              <w:bidi w:val="0"/>
              <w:rPr>
                <w:rFonts w:hint="default"/>
                <w:highlight w:val="none"/>
              </w:rPr>
            </w:pPr>
            <w:r>
              <w:rPr>
                <w:rFonts w:hint="default"/>
                <w:highlight w:val="none"/>
                <w:lang w:val="en-US" w:eastAsia="zh-CN"/>
              </w:rPr>
              <w:t>0</w:t>
            </w:r>
          </w:p>
        </w:tc>
        <w:tc>
          <w:tcPr>
            <w:tcW w:w="432" w:type="pct"/>
            <w:shd w:val="clear" w:color="auto" w:fill="auto"/>
            <w:vAlign w:val="center"/>
          </w:tcPr>
          <w:p w14:paraId="194E2C6F">
            <w:pPr>
              <w:pStyle w:val="58"/>
              <w:bidi w:val="0"/>
              <w:rPr>
                <w:rFonts w:hint="default"/>
                <w:highlight w:val="none"/>
              </w:rPr>
            </w:pPr>
            <w:r>
              <w:rPr>
                <w:rFonts w:hint="default"/>
                <w:highlight w:val="none"/>
                <w:lang w:val="en-US" w:eastAsia="zh-CN"/>
              </w:rPr>
              <w:t>0</w:t>
            </w:r>
          </w:p>
        </w:tc>
        <w:tc>
          <w:tcPr>
            <w:tcW w:w="432" w:type="pct"/>
            <w:shd w:val="clear" w:color="auto" w:fill="auto"/>
            <w:vAlign w:val="center"/>
          </w:tcPr>
          <w:p w14:paraId="3A6CF244">
            <w:pPr>
              <w:pStyle w:val="58"/>
              <w:bidi w:val="0"/>
              <w:rPr>
                <w:rFonts w:hint="default"/>
                <w:highlight w:val="none"/>
              </w:rPr>
            </w:pPr>
            <w:r>
              <w:rPr>
                <w:rFonts w:hint="default"/>
                <w:highlight w:val="none"/>
                <w:lang w:val="en-US" w:eastAsia="zh-CN"/>
              </w:rPr>
              <w:t>0</w:t>
            </w:r>
          </w:p>
        </w:tc>
        <w:tc>
          <w:tcPr>
            <w:tcW w:w="432" w:type="pct"/>
            <w:shd w:val="clear" w:color="auto" w:fill="auto"/>
            <w:vAlign w:val="center"/>
          </w:tcPr>
          <w:p w14:paraId="66A39B5C">
            <w:pPr>
              <w:pStyle w:val="58"/>
              <w:bidi w:val="0"/>
              <w:rPr>
                <w:rFonts w:hint="default"/>
                <w:highlight w:val="none"/>
              </w:rPr>
            </w:pPr>
            <w:r>
              <w:rPr>
                <w:rFonts w:hint="default"/>
                <w:highlight w:val="none"/>
                <w:lang w:val="en-US" w:eastAsia="zh-CN"/>
              </w:rPr>
              <w:t>0</w:t>
            </w:r>
          </w:p>
        </w:tc>
        <w:tc>
          <w:tcPr>
            <w:tcW w:w="432" w:type="pct"/>
            <w:shd w:val="clear" w:color="auto" w:fill="auto"/>
            <w:noWrap/>
            <w:vAlign w:val="center"/>
          </w:tcPr>
          <w:p w14:paraId="4AA2F058">
            <w:pPr>
              <w:pStyle w:val="58"/>
              <w:bidi w:val="0"/>
              <w:rPr>
                <w:rFonts w:hint="default"/>
                <w:highlight w:val="none"/>
              </w:rPr>
            </w:pPr>
            <w:r>
              <w:rPr>
                <w:rFonts w:hint="default"/>
                <w:highlight w:val="none"/>
                <w:lang w:val="en-US" w:eastAsia="zh-CN"/>
              </w:rPr>
              <w:t>0</w:t>
            </w:r>
          </w:p>
        </w:tc>
        <w:tc>
          <w:tcPr>
            <w:tcW w:w="432" w:type="pct"/>
            <w:shd w:val="clear" w:color="auto" w:fill="auto"/>
            <w:vAlign w:val="center"/>
          </w:tcPr>
          <w:p w14:paraId="5D9DF664">
            <w:pPr>
              <w:pStyle w:val="58"/>
              <w:bidi w:val="0"/>
              <w:rPr>
                <w:rFonts w:hint="default"/>
                <w:highlight w:val="none"/>
              </w:rPr>
            </w:pPr>
            <w:r>
              <w:rPr>
                <w:rFonts w:hint="default"/>
                <w:highlight w:val="none"/>
                <w:lang w:val="en-US" w:eastAsia="zh-CN"/>
              </w:rPr>
              <w:t>0</w:t>
            </w:r>
          </w:p>
        </w:tc>
        <w:tc>
          <w:tcPr>
            <w:tcW w:w="432" w:type="pct"/>
            <w:shd w:val="clear" w:color="auto" w:fill="auto"/>
            <w:vAlign w:val="center"/>
          </w:tcPr>
          <w:p w14:paraId="77E427B1">
            <w:pPr>
              <w:pStyle w:val="58"/>
              <w:bidi w:val="0"/>
              <w:rPr>
                <w:rFonts w:hint="default"/>
                <w:highlight w:val="none"/>
              </w:rPr>
            </w:pPr>
            <w:r>
              <w:rPr>
                <w:rFonts w:hint="default"/>
                <w:highlight w:val="none"/>
                <w:lang w:val="en-US" w:eastAsia="zh-CN"/>
              </w:rPr>
              <w:t>0</w:t>
            </w:r>
          </w:p>
        </w:tc>
        <w:tc>
          <w:tcPr>
            <w:tcW w:w="432" w:type="pct"/>
            <w:shd w:val="clear" w:color="auto" w:fill="auto"/>
            <w:vAlign w:val="center"/>
          </w:tcPr>
          <w:p w14:paraId="26759037">
            <w:pPr>
              <w:pStyle w:val="58"/>
              <w:bidi w:val="0"/>
              <w:rPr>
                <w:rFonts w:hint="default"/>
                <w:highlight w:val="none"/>
              </w:rPr>
            </w:pPr>
            <w:r>
              <w:rPr>
                <w:rFonts w:hint="default"/>
                <w:highlight w:val="none"/>
                <w:lang w:val="en-US" w:eastAsia="zh-CN"/>
              </w:rPr>
              <w:t>0</w:t>
            </w:r>
          </w:p>
        </w:tc>
      </w:tr>
      <w:tr w14:paraId="0814380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5" w:type="pct"/>
            <w:vMerge w:val="continue"/>
            <w:shd w:val="clear" w:color="auto" w:fill="auto"/>
            <w:vAlign w:val="center"/>
          </w:tcPr>
          <w:p w14:paraId="25762906">
            <w:pPr>
              <w:pStyle w:val="58"/>
              <w:bidi w:val="0"/>
              <w:rPr>
                <w:rFonts w:hint="default"/>
                <w:highlight w:val="none"/>
              </w:rPr>
            </w:pPr>
          </w:p>
        </w:tc>
        <w:tc>
          <w:tcPr>
            <w:tcW w:w="395" w:type="pct"/>
            <w:shd w:val="clear" w:color="auto" w:fill="auto"/>
            <w:vAlign w:val="center"/>
          </w:tcPr>
          <w:p w14:paraId="2BDA4995">
            <w:pPr>
              <w:pStyle w:val="58"/>
              <w:bidi w:val="0"/>
              <w:rPr>
                <w:rFonts w:hint="default"/>
                <w:highlight w:val="none"/>
              </w:rPr>
            </w:pPr>
            <w:r>
              <w:rPr>
                <w:rFonts w:hint="default"/>
                <w:highlight w:val="none"/>
                <w:lang w:val="en-US" w:eastAsia="zh-CN"/>
              </w:rPr>
              <w:t>HC</w:t>
            </w:r>
            <w:r>
              <w:rPr>
                <w:rFonts w:hint="eastAsia"/>
                <w:highlight w:val="none"/>
                <w:lang w:val="en-US" w:eastAsia="zh-CN"/>
              </w:rPr>
              <w:t>O</w:t>
            </w:r>
            <w:r>
              <w:rPr>
                <w:rFonts w:hint="eastAsia"/>
                <w:highlight w:val="none"/>
                <w:vertAlign w:val="subscript"/>
                <w:lang w:val="en-US" w:eastAsia="zh-CN"/>
              </w:rPr>
              <w:t>3</w:t>
            </w:r>
            <w:r>
              <w:rPr>
                <w:rFonts w:hint="default"/>
                <w:highlight w:val="none"/>
                <w:vertAlign w:val="superscript"/>
                <w:lang w:val="en-US" w:eastAsia="zh-CN"/>
              </w:rPr>
              <w:t>-</w:t>
            </w:r>
          </w:p>
        </w:tc>
        <w:tc>
          <w:tcPr>
            <w:tcW w:w="432" w:type="pct"/>
            <w:shd w:val="clear" w:color="auto" w:fill="auto"/>
            <w:vAlign w:val="center"/>
          </w:tcPr>
          <w:p w14:paraId="21A67C88">
            <w:pPr>
              <w:pStyle w:val="58"/>
              <w:bidi w:val="0"/>
              <w:rPr>
                <w:rFonts w:hint="default"/>
                <w:highlight w:val="none"/>
              </w:rPr>
            </w:pPr>
            <w:r>
              <w:rPr>
                <w:rFonts w:hint="default"/>
                <w:highlight w:val="none"/>
                <w:lang w:val="en-US" w:eastAsia="zh-CN"/>
              </w:rPr>
              <w:t>341</w:t>
            </w:r>
          </w:p>
        </w:tc>
        <w:tc>
          <w:tcPr>
            <w:tcW w:w="432" w:type="pct"/>
            <w:shd w:val="clear" w:color="auto" w:fill="auto"/>
            <w:vAlign w:val="center"/>
          </w:tcPr>
          <w:p w14:paraId="610D6E94">
            <w:pPr>
              <w:pStyle w:val="58"/>
              <w:bidi w:val="0"/>
              <w:rPr>
                <w:rFonts w:hint="default"/>
                <w:highlight w:val="none"/>
              </w:rPr>
            </w:pPr>
            <w:r>
              <w:rPr>
                <w:rFonts w:hint="default"/>
                <w:highlight w:val="none"/>
                <w:lang w:val="en-US" w:eastAsia="zh-CN"/>
              </w:rPr>
              <w:t>311</w:t>
            </w:r>
          </w:p>
        </w:tc>
        <w:tc>
          <w:tcPr>
            <w:tcW w:w="432" w:type="pct"/>
            <w:shd w:val="clear" w:color="auto" w:fill="auto"/>
            <w:vAlign w:val="center"/>
          </w:tcPr>
          <w:p w14:paraId="48730202">
            <w:pPr>
              <w:pStyle w:val="58"/>
              <w:bidi w:val="0"/>
              <w:rPr>
                <w:rFonts w:hint="default"/>
                <w:highlight w:val="none"/>
              </w:rPr>
            </w:pPr>
            <w:r>
              <w:rPr>
                <w:rFonts w:hint="default"/>
                <w:highlight w:val="none"/>
                <w:lang w:val="en-US" w:eastAsia="zh-CN"/>
              </w:rPr>
              <w:t>324</w:t>
            </w:r>
          </w:p>
        </w:tc>
        <w:tc>
          <w:tcPr>
            <w:tcW w:w="432" w:type="pct"/>
            <w:shd w:val="clear" w:color="auto" w:fill="auto"/>
            <w:vAlign w:val="center"/>
          </w:tcPr>
          <w:p w14:paraId="2C488D0F">
            <w:pPr>
              <w:pStyle w:val="58"/>
              <w:bidi w:val="0"/>
              <w:rPr>
                <w:rFonts w:hint="default"/>
                <w:highlight w:val="none"/>
              </w:rPr>
            </w:pPr>
            <w:r>
              <w:rPr>
                <w:rFonts w:hint="default"/>
                <w:highlight w:val="none"/>
                <w:lang w:val="en-US" w:eastAsia="zh-CN"/>
              </w:rPr>
              <w:t>340</w:t>
            </w:r>
          </w:p>
        </w:tc>
        <w:tc>
          <w:tcPr>
            <w:tcW w:w="432" w:type="pct"/>
            <w:shd w:val="clear" w:color="auto" w:fill="auto"/>
            <w:vAlign w:val="center"/>
          </w:tcPr>
          <w:p w14:paraId="778B446C">
            <w:pPr>
              <w:pStyle w:val="58"/>
              <w:bidi w:val="0"/>
              <w:rPr>
                <w:rFonts w:hint="default"/>
                <w:highlight w:val="none"/>
              </w:rPr>
            </w:pPr>
            <w:r>
              <w:rPr>
                <w:rFonts w:hint="default"/>
                <w:highlight w:val="none"/>
                <w:lang w:val="en-US" w:eastAsia="zh-CN"/>
              </w:rPr>
              <w:t>286</w:t>
            </w:r>
          </w:p>
        </w:tc>
        <w:tc>
          <w:tcPr>
            <w:tcW w:w="432" w:type="pct"/>
            <w:shd w:val="clear" w:color="auto" w:fill="auto"/>
            <w:vAlign w:val="center"/>
          </w:tcPr>
          <w:p w14:paraId="3B1D06A8">
            <w:pPr>
              <w:pStyle w:val="58"/>
              <w:bidi w:val="0"/>
              <w:rPr>
                <w:rFonts w:hint="default"/>
                <w:highlight w:val="none"/>
              </w:rPr>
            </w:pPr>
            <w:r>
              <w:rPr>
                <w:rFonts w:hint="default"/>
                <w:highlight w:val="none"/>
                <w:lang w:val="en-US" w:eastAsia="zh-CN"/>
              </w:rPr>
              <w:t>40</w:t>
            </w:r>
          </w:p>
        </w:tc>
        <w:tc>
          <w:tcPr>
            <w:tcW w:w="432" w:type="pct"/>
            <w:shd w:val="clear" w:color="auto" w:fill="auto"/>
            <w:noWrap/>
            <w:vAlign w:val="center"/>
          </w:tcPr>
          <w:p w14:paraId="7BF7FA0F">
            <w:pPr>
              <w:pStyle w:val="58"/>
              <w:bidi w:val="0"/>
              <w:rPr>
                <w:rFonts w:hint="default"/>
                <w:highlight w:val="none"/>
              </w:rPr>
            </w:pPr>
            <w:r>
              <w:rPr>
                <w:rFonts w:hint="default"/>
                <w:highlight w:val="none"/>
                <w:lang w:val="en-US" w:eastAsia="zh-CN"/>
              </w:rPr>
              <w:t>767</w:t>
            </w:r>
          </w:p>
        </w:tc>
        <w:tc>
          <w:tcPr>
            <w:tcW w:w="432" w:type="pct"/>
            <w:shd w:val="clear" w:color="auto" w:fill="auto"/>
            <w:vAlign w:val="center"/>
          </w:tcPr>
          <w:p w14:paraId="64BCEA5A">
            <w:pPr>
              <w:pStyle w:val="58"/>
              <w:bidi w:val="0"/>
              <w:rPr>
                <w:rFonts w:hint="default"/>
                <w:highlight w:val="none"/>
              </w:rPr>
            </w:pPr>
            <w:r>
              <w:rPr>
                <w:rFonts w:hint="default"/>
                <w:highlight w:val="none"/>
                <w:lang w:val="en-US" w:eastAsia="zh-CN"/>
              </w:rPr>
              <w:t>22.4</w:t>
            </w:r>
          </w:p>
        </w:tc>
        <w:tc>
          <w:tcPr>
            <w:tcW w:w="432" w:type="pct"/>
            <w:shd w:val="clear" w:color="auto" w:fill="auto"/>
            <w:vAlign w:val="center"/>
          </w:tcPr>
          <w:p w14:paraId="5CF1595C">
            <w:pPr>
              <w:pStyle w:val="58"/>
              <w:bidi w:val="0"/>
              <w:rPr>
                <w:rFonts w:hint="default"/>
                <w:highlight w:val="none"/>
              </w:rPr>
            </w:pPr>
            <w:r>
              <w:rPr>
                <w:rFonts w:hint="default"/>
                <w:highlight w:val="none"/>
                <w:lang w:val="en-US" w:eastAsia="zh-CN"/>
              </w:rPr>
              <w:t>12.3</w:t>
            </w:r>
          </w:p>
        </w:tc>
        <w:tc>
          <w:tcPr>
            <w:tcW w:w="432" w:type="pct"/>
            <w:shd w:val="clear" w:color="auto" w:fill="auto"/>
            <w:vAlign w:val="center"/>
          </w:tcPr>
          <w:p w14:paraId="2788F39F">
            <w:pPr>
              <w:pStyle w:val="58"/>
              <w:bidi w:val="0"/>
              <w:rPr>
                <w:rFonts w:hint="default"/>
                <w:highlight w:val="none"/>
              </w:rPr>
            </w:pPr>
            <w:r>
              <w:rPr>
                <w:rFonts w:hint="default"/>
                <w:highlight w:val="none"/>
                <w:lang w:val="en-US" w:eastAsia="zh-CN"/>
              </w:rPr>
              <w:t>14.6</w:t>
            </w:r>
          </w:p>
        </w:tc>
      </w:tr>
      <w:tr w14:paraId="16A44F1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5" w:type="pct"/>
            <w:vMerge w:val="continue"/>
            <w:shd w:val="clear" w:color="auto" w:fill="auto"/>
            <w:vAlign w:val="center"/>
          </w:tcPr>
          <w:p w14:paraId="7C98866D">
            <w:pPr>
              <w:pStyle w:val="58"/>
              <w:bidi w:val="0"/>
              <w:rPr>
                <w:rFonts w:hint="default"/>
                <w:highlight w:val="none"/>
              </w:rPr>
            </w:pPr>
          </w:p>
        </w:tc>
        <w:tc>
          <w:tcPr>
            <w:tcW w:w="395" w:type="pct"/>
            <w:shd w:val="clear" w:color="auto" w:fill="auto"/>
            <w:vAlign w:val="center"/>
          </w:tcPr>
          <w:p w14:paraId="07F69AEB">
            <w:pPr>
              <w:pStyle w:val="58"/>
              <w:bidi w:val="0"/>
              <w:rPr>
                <w:rFonts w:hint="default"/>
                <w:highlight w:val="none"/>
              </w:rPr>
            </w:pPr>
            <w:r>
              <w:rPr>
                <w:rFonts w:hint="default"/>
                <w:highlight w:val="none"/>
                <w:lang w:val="en-US" w:eastAsia="zh-CN"/>
              </w:rPr>
              <w:t>SO</w:t>
            </w:r>
            <w:r>
              <w:rPr>
                <w:rFonts w:hint="default"/>
                <w:highlight w:val="none"/>
                <w:vertAlign w:val="subscript"/>
                <w:lang w:val="en-US" w:eastAsia="zh-CN"/>
              </w:rPr>
              <w:t>4</w:t>
            </w:r>
            <w:r>
              <w:rPr>
                <w:rFonts w:hint="default"/>
                <w:highlight w:val="none"/>
                <w:vertAlign w:val="superscript"/>
                <w:lang w:val="en-US" w:eastAsia="zh-CN"/>
              </w:rPr>
              <w:t>2-</w:t>
            </w:r>
          </w:p>
        </w:tc>
        <w:tc>
          <w:tcPr>
            <w:tcW w:w="432" w:type="pct"/>
            <w:shd w:val="clear" w:color="auto" w:fill="auto"/>
            <w:vAlign w:val="center"/>
          </w:tcPr>
          <w:p w14:paraId="365E8D7B">
            <w:pPr>
              <w:pStyle w:val="58"/>
              <w:bidi w:val="0"/>
              <w:rPr>
                <w:rFonts w:hint="default"/>
                <w:highlight w:val="none"/>
              </w:rPr>
            </w:pPr>
            <w:r>
              <w:rPr>
                <w:rFonts w:hint="default"/>
                <w:highlight w:val="none"/>
                <w:lang w:val="en-US" w:eastAsia="zh-CN"/>
              </w:rPr>
              <w:t>421</w:t>
            </w:r>
          </w:p>
        </w:tc>
        <w:tc>
          <w:tcPr>
            <w:tcW w:w="432" w:type="pct"/>
            <w:shd w:val="clear" w:color="auto" w:fill="auto"/>
            <w:vAlign w:val="center"/>
          </w:tcPr>
          <w:p w14:paraId="1FA399E6">
            <w:pPr>
              <w:pStyle w:val="58"/>
              <w:bidi w:val="0"/>
              <w:rPr>
                <w:rFonts w:hint="default"/>
                <w:highlight w:val="none"/>
              </w:rPr>
            </w:pPr>
            <w:r>
              <w:rPr>
                <w:rFonts w:hint="default"/>
                <w:highlight w:val="none"/>
                <w:lang w:val="en-US" w:eastAsia="zh-CN"/>
              </w:rPr>
              <w:t>450</w:t>
            </w:r>
          </w:p>
        </w:tc>
        <w:tc>
          <w:tcPr>
            <w:tcW w:w="432" w:type="pct"/>
            <w:shd w:val="clear" w:color="auto" w:fill="auto"/>
            <w:vAlign w:val="center"/>
          </w:tcPr>
          <w:p w14:paraId="0753E62B">
            <w:pPr>
              <w:pStyle w:val="58"/>
              <w:bidi w:val="0"/>
              <w:rPr>
                <w:rFonts w:hint="default"/>
                <w:highlight w:val="none"/>
              </w:rPr>
            </w:pPr>
            <w:r>
              <w:rPr>
                <w:rFonts w:hint="default"/>
                <w:highlight w:val="none"/>
                <w:lang w:val="en-US" w:eastAsia="zh-CN"/>
              </w:rPr>
              <w:t>408</w:t>
            </w:r>
          </w:p>
        </w:tc>
        <w:tc>
          <w:tcPr>
            <w:tcW w:w="432" w:type="pct"/>
            <w:shd w:val="clear" w:color="auto" w:fill="auto"/>
            <w:vAlign w:val="center"/>
          </w:tcPr>
          <w:p w14:paraId="18DB1C88">
            <w:pPr>
              <w:pStyle w:val="58"/>
              <w:bidi w:val="0"/>
              <w:rPr>
                <w:rFonts w:hint="default"/>
                <w:highlight w:val="none"/>
              </w:rPr>
            </w:pPr>
            <w:r>
              <w:rPr>
                <w:rFonts w:hint="default"/>
                <w:highlight w:val="none"/>
                <w:lang w:val="en-US" w:eastAsia="zh-CN"/>
              </w:rPr>
              <w:t>391</w:t>
            </w:r>
          </w:p>
        </w:tc>
        <w:tc>
          <w:tcPr>
            <w:tcW w:w="432" w:type="pct"/>
            <w:shd w:val="clear" w:color="auto" w:fill="auto"/>
            <w:vAlign w:val="center"/>
          </w:tcPr>
          <w:p w14:paraId="392BB044">
            <w:pPr>
              <w:pStyle w:val="58"/>
              <w:bidi w:val="0"/>
              <w:rPr>
                <w:rFonts w:hint="default"/>
                <w:highlight w:val="none"/>
              </w:rPr>
            </w:pPr>
            <w:r>
              <w:rPr>
                <w:rFonts w:hint="default"/>
                <w:highlight w:val="none"/>
                <w:lang w:val="en-US" w:eastAsia="zh-CN"/>
              </w:rPr>
              <w:t>466</w:t>
            </w:r>
          </w:p>
        </w:tc>
        <w:tc>
          <w:tcPr>
            <w:tcW w:w="432" w:type="pct"/>
            <w:shd w:val="clear" w:color="auto" w:fill="auto"/>
            <w:vAlign w:val="center"/>
          </w:tcPr>
          <w:p w14:paraId="129279CB">
            <w:pPr>
              <w:pStyle w:val="58"/>
              <w:bidi w:val="0"/>
              <w:rPr>
                <w:rFonts w:hint="default"/>
                <w:highlight w:val="none"/>
              </w:rPr>
            </w:pPr>
            <w:r>
              <w:rPr>
                <w:rFonts w:hint="default"/>
                <w:highlight w:val="none"/>
                <w:lang w:val="en-US" w:eastAsia="zh-CN"/>
              </w:rPr>
              <w:t>133</w:t>
            </w:r>
          </w:p>
        </w:tc>
        <w:tc>
          <w:tcPr>
            <w:tcW w:w="432" w:type="pct"/>
            <w:shd w:val="clear" w:color="auto" w:fill="auto"/>
            <w:noWrap/>
            <w:vAlign w:val="center"/>
          </w:tcPr>
          <w:p w14:paraId="34F477E3">
            <w:pPr>
              <w:pStyle w:val="58"/>
              <w:bidi w:val="0"/>
              <w:rPr>
                <w:rFonts w:hint="default"/>
                <w:highlight w:val="none"/>
              </w:rPr>
            </w:pPr>
            <w:r>
              <w:rPr>
                <w:rFonts w:hint="default"/>
                <w:highlight w:val="none"/>
                <w:lang w:val="en-US" w:eastAsia="zh-CN"/>
              </w:rPr>
              <w:t>246</w:t>
            </w:r>
          </w:p>
        </w:tc>
        <w:tc>
          <w:tcPr>
            <w:tcW w:w="432" w:type="pct"/>
            <w:shd w:val="clear" w:color="auto" w:fill="auto"/>
            <w:vAlign w:val="center"/>
          </w:tcPr>
          <w:p w14:paraId="7099D443">
            <w:pPr>
              <w:pStyle w:val="58"/>
              <w:bidi w:val="0"/>
              <w:rPr>
                <w:rFonts w:hint="default"/>
                <w:highlight w:val="none"/>
              </w:rPr>
            </w:pPr>
            <w:r>
              <w:rPr>
                <w:rFonts w:hint="default"/>
                <w:highlight w:val="none"/>
                <w:lang w:val="en-US" w:eastAsia="zh-CN"/>
              </w:rPr>
              <w:t>708</w:t>
            </w:r>
          </w:p>
        </w:tc>
        <w:tc>
          <w:tcPr>
            <w:tcW w:w="432" w:type="pct"/>
            <w:shd w:val="clear" w:color="auto" w:fill="auto"/>
            <w:vAlign w:val="center"/>
          </w:tcPr>
          <w:p w14:paraId="18E48F1A">
            <w:pPr>
              <w:pStyle w:val="58"/>
              <w:bidi w:val="0"/>
              <w:rPr>
                <w:rFonts w:hint="default"/>
                <w:highlight w:val="none"/>
              </w:rPr>
            </w:pPr>
            <w:r>
              <w:rPr>
                <w:rFonts w:hint="default"/>
                <w:highlight w:val="none"/>
                <w:lang w:val="en-US" w:eastAsia="zh-CN"/>
              </w:rPr>
              <w:t>82.8</w:t>
            </w:r>
          </w:p>
        </w:tc>
        <w:tc>
          <w:tcPr>
            <w:tcW w:w="432" w:type="pct"/>
            <w:shd w:val="clear" w:color="auto" w:fill="auto"/>
            <w:vAlign w:val="center"/>
          </w:tcPr>
          <w:p w14:paraId="100E84AA">
            <w:pPr>
              <w:pStyle w:val="58"/>
              <w:bidi w:val="0"/>
              <w:rPr>
                <w:rFonts w:hint="default"/>
                <w:highlight w:val="none"/>
              </w:rPr>
            </w:pPr>
            <w:r>
              <w:rPr>
                <w:rFonts w:hint="default"/>
                <w:highlight w:val="none"/>
                <w:lang w:val="en-US" w:eastAsia="zh-CN"/>
              </w:rPr>
              <w:t>99.9</w:t>
            </w:r>
          </w:p>
        </w:tc>
      </w:tr>
      <w:tr w14:paraId="3DBDC5A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5" w:type="pct"/>
            <w:vMerge w:val="continue"/>
            <w:shd w:val="clear" w:color="auto" w:fill="auto"/>
            <w:noWrap/>
            <w:vAlign w:val="center"/>
          </w:tcPr>
          <w:p w14:paraId="256D1A00">
            <w:pPr>
              <w:pStyle w:val="58"/>
              <w:bidi w:val="0"/>
              <w:rPr>
                <w:rFonts w:hint="default"/>
                <w:highlight w:val="none"/>
              </w:rPr>
            </w:pPr>
          </w:p>
        </w:tc>
        <w:tc>
          <w:tcPr>
            <w:tcW w:w="395" w:type="pct"/>
            <w:shd w:val="clear" w:color="auto" w:fill="auto"/>
            <w:vAlign w:val="center"/>
          </w:tcPr>
          <w:p w14:paraId="3ABDFEC5">
            <w:pPr>
              <w:pStyle w:val="58"/>
              <w:bidi w:val="0"/>
              <w:rPr>
                <w:rFonts w:hint="default"/>
                <w:highlight w:val="none"/>
              </w:rPr>
            </w:pPr>
            <w:r>
              <w:rPr>
                <w:rFonts w:hint="default"/>
                <w:highlight w:val="none"/>
                <w:lang w:val="en-US" w:eastAsia="zh-CN"/>
              </w:rPr>
              <w:t>Cl</w:t>
            </w:r>
            <w:r>
              <w:rPr>
                <w:rFonts w:hint="default"/>
                <w:highlight w:val="none"/>
                <w:vertAlign w:val="superscript"/>
                <w:lang w:val="en-US" w:eastAsia="zh-CN"/>
              </w:rPr>
              <w:t>-</w:t>
            </w:r>
          </w:p>
        </w:tc>
        <w:tc>
          <w:tcPr>
            <w:tcW w:w="432" w:type="pct"/>
            <w:shd w:val="clear" w:color="auto" w:fill="auto"/>
            <w:vAlign w:val="center"/>
          </w:tcPr>
          <w:p w14:paraId="65DAD37E">
            <w:pPr>
              <w:pStyle w:val="58"/>
              <w:bidi w:val="0"/>
              <w:rPr>
                <w:rFonts w:hint="default"/>
                <w:highlight w:val="none"/>
              </w:rPr>
            </w:pPr>
            <w:r>
              <w:rPr>
                <w:rFonts w:hint="default"/>
                <w:highlight w:val="none"/>
                <w:lang w:val="en-US" w:eastAsia="zh-CN"/>
              </w:rPr>
              <w:t>611</w:t>
            </w:r>
          </w:p>
        </w:tc>
        <w:tc>
          <w:tcPr>
            <w:tcW w:w="432" w:type="pct"/>
            <w:shd w:val="clear" w:color="auto" w:fill="auto"/>
            <w:vAlign w:val="center"/>
          </w:tcPr>
          <w:p w14:paraId="05D64664">
            <w:pPr>
              <w:pStyle w:val="58"/>
              <w:bidi w:val="0"/>
              <w:rPr>
                <w:rFonts w:hint="default"/>
                <w:highlight w:val="none"/>
              </w:rPr>
            </w:pPr>
            <w:r>
              <w:rPr>
                <w:rFonts w:hint="default"/>
                <w:highlight w:val="none"/>
                <w:lang w:val="en-US" w:eastAsia="zh-CN"/>
              </w:rPr>
              <w:t>683</w:t>
            </w:r>
          </w:p>
        </w:tc>
        <w:tc>
          <w:tcPr>
            <w:tcW w:w="432" w:type="pct"/>
            <w:shd w:val="clear" w:color="auto" w:fill="auto"/>
            <w:vAlign w:val="center"/>
          </w:tcPr>
          <w:p w14:paraId="65ECB565">
            <w:pPr>
              <w:pStyle w:val="58"/>
              <w:bidi w:val="0"/>
              <w:rPr>
                <w:rFonts w:hint="default"/>
                <w:highlight w:val="none"/>
              </w:rPr>
            </w:pPr>
            <w:r>
              <w:rPr>
                <w:rFonts w:hint="default"/>
                <w:highlight w:val="none"/>
                <w:lang w:val="en-US" w:eastAsia="zh-CN"/>
              </w:rPr>
              <w:t>672</w:t>
            </w:r>
          </w:p>
        </w:tc>
        <w:tc>
          <w:tcPr>
            <w:tcW w:w="432" w:type="pct"/>
            <w:shd w:val="clear" w:color="auto" w:fill="auto"/>
            <w:vAlign w:val="center"/>
          </w:tcPr>
          <w:p w14:paraId="3269EC32">
            <w:pPr>
              <w:pStyle w:val="58"/>
              <w:bidi w:val="0"/>
              <w:rPr>
                <w:rFonts w:hint="default"/>
                <w:highlight w:val="none"/>
              </w:rPr>
            </w:pPr>
            <w:r>
              <w:rPr>
                <w:rFonts w:hint="default"/>
                <w:highlight w:val="none"/>
                <w:lang w:val="en-US" w:eastAsia="zh-CN"/>
              </w:rPr>
              <w:t>628</w:t>
            </w:r>
          </w:p>
        </w:tc>
        <w:tc>
          <w:tcPr>
            <w:tcW w:w="432" w:type="pct"/>
            <w:shd w:val="clear" w:color="auto" w:fill="auto"/>
            <w:vAlign w:val="center"/>
          </w:tcPr>
          <w:p w14:paraId="3E9FBA06">
            <w:pPr>
              <w:pStyle w:val="58"/>
              <w:bidi w:val="0"/>
              <w:rPr>
                <w:rFonts w:hint="default"/>
                <w:highlight w:val="none"/>
              </w:rPr>
            </w:pPr>
            <w:r>
              <w:rPr>
                <w:rFonts w:hint="default"/>
                <w:highlight w:val="none"/>
                <w:lang w:val="en-US" w:eastAsia="zh-CN"/>
              </w:rPr>
              <w:t>655</w:t>
            </w:r>
          </w:p>
        </w:tc>
        <w:tc>
          <w:tcPr>
            <w:tcW w:w="432" w:type="pct"/>
            <w:shd w:val="clear" w:color="auto" w:fill="auto"/>
            <w:vAlign w:val="center"/>
          </w:tcPr>
          <w:p w14:paraId="4D6E2B85">
            <w:pPr>
              <w:pStyle w:val="58"/>
              <w:bidi w:val="0"/>
              <w:rPr>
                <w:rFonts w:hint="default"/>
                <w:highlight w:val="none"/>
              </w:rPr>
            </w:pPr>
            <w:r>
              <w:rPr>
                <w:rFonts w:hint="default"/>
                <w:highlight w:val="none"/>
                <w:lang w:val="en-US" w:eastAsia="zh-CN"/>
              </w:rPr>
              <w:t>36</w:t>
            </w:r>
          </w:p>
        </w:tc>
        <w:tc>
          <w:tcPr>
            <w:tcW w:w="432" w:type="pct"/>
            <w:shd w:val="clear" w:color="auto" w:fill="auto"/>
            <w:noWrap/>
            <w:vAlign w:val="center"/>
          </w:tcPr>
          <w:p w14:paraId="7DC3F0EA">
            <w:pPr>
              <w:pStyle w:val="58"/>
              <w:bidi w:val="0"/>
              <w:rPr>
                <w:rFonts w:hint="default"/>
                <w:highlight w:val="none"/>
              </w:rPr>
            </w:pPr>
            <w:r>
              <w:rPr>
                <w:rFonts w:hint="default"/>
                <w:highlight w:val="none"/>
                <w:lang w:val="en-US" w:eastAsia="zh-CN"/>
              </w:rPr>
              <w:t>560</w:t>
            </w:r>
          </w:p>
        </w:tc>
        <w:tc>
          <w:tcPr>
            <w:tcW w:w="432" w:type="pct"/>
            <w:shd w:val="clear" w:color="auto" w:fill="auto"/>
            <w:vAlign w:val="center"/>
          </w:tcPr>
          <w:p w14:paraId="67BC027E">
            <w:pPr>
              <w:pStyle w:val="58"/>
              <w:bidi w:val="0"/>
              <w:rPr>
                <w:rFonts w:hint="default"/>
                <w:highlight w:val="none"/>
              </w:rPr>
            </w:pPr>
            <w:r>
              <w:rPr>
                <w:rFonts w:hint="default"/>
                <w:highlight w:val="none"/>
                <w:lang w:val="en-US" w:eastAsia="zh-CN"/>
              </w:rPr>
              <w:t>572</w:t>
            </w:r>
          </w:p>
        </w:tc>
        <w:tc>
          <w:tcPr>
            <w:tcW w:w="432" w:type="pct"/>
            <w:shd w:val="clear" w:color="auto" w:fill="auto"/>
            <w:vAlign w:val="center"/>
          </w:tcPr>
          <w:p w14:paraId="43A0D193">
            <w:pPr>
              <w:pStyle w:val="58"/>
              <w:bidi w:val="0"/>
              <w:rPr>
                <w:rFonts w:hint="default"/>
                <w:highlight w:val="none"/>
              </w:rPr>
            </w:pPr>
            <w:r>
              <w:rPr>
                <w:rFonts w:hint="default"/>
                <w:highlight w:val="none"/>
                <w:lang w:val="en-US" w:eastAsia="zh-CN"/>
              </w:rPr>
              <w:t>81.1</w:t>
            </w:r>
          </w:p>
        </w:tc>
        <w:tc>
          <w:tcPr>
            <w:tcW w:w="432" w:type="pct"/>
            <w:shd w:val="clear" w:color="auto" w:fill="auto"/>
            <w:vAlign w:val="center"/>
          </w:tcPr>
          <w:p w14:paraId="0D29E8EF">
            <w:pPr>
              <w:pStyle w:val="58"/>
              <w:bidi w:val="0"/>
              <w:rPr>
                <w:rFonts w:hint="default"/>
                <w:highlight w:val="none"/>
              </w:rPr>
            </w:pPr>
            <w:r>
              <w:rPr>
                <w:rFonts w:hint="default"/>
                <w:highlight w:val="none"/>
                <w:lang w:val="en-US" w:eastAsia="zh-CN"/>
              </w:rPr>
              <w:t>100</w:t>
            </w:r>
          </w:p>
        </w:tc>
      </w:tr>
      <w:bookmarkEnd w:id="266"/>
    </w:tbl>
    <w:p w14:paraId="2B6E498E">
      <w:pPr>
        <w:keepNext w:val="0"/>
        <w:keepLines w:val="0"/>
        <w:pageBreakBefore w:val="0"/>
        <w:widowControl w:val="0"/>
        <w:numPr>
          <w:ilvl w:val="0"/>
          <w:numId w:val="30"/>
        </w:numPr>
        <w:kinsoku/>
        <w:wordWrap/>
        <w:overflowPunct/>
        <w:topLinePunct w:val="0"/>
        <w:autoSpaceDE w:val="0"/>
        <w:autoSpaceDN w:val="0"/>
        <w:bidi w:val="0"/>
        <w:adjustRightInd w:val="0"/>
        <w:snapToGrid/>
        <w:spacing w:line="500" w:lineRule="exact"/>
        <w:ind w:left="425" w:leftChars="0" w:hanging="425" w:firstLineChars="0"/>
        <w:jc w:val="center"/>
        <w:textAlignment w:val="auto"/>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pPr>
      <w:r>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t>舒卡列夫分类表</w:t>
      </w:r>
    </w:p>
    <w:tbl>
      <w:tblPr>
        <w:tblStyle w:val="88"/>
        <w:tblW w:w="5117" w:type="pct"/>
        <w:tblInd w:w="-91"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1726"/>
        <w:gridCol w:w="876"/>
        <w:gridCol w:w="1324"/>
        <w:gridCol w:w="1646"/>
        <w:gridCol w:w="1126"/>
        <w:gridCol w:w="820"/>
        <w:gridCol w:w="958"/>
        <w:gridCol w:w="839"/>
      </w:tblGrid>
      <w:tr w14:paraId="02E45EA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926" w:type="pct"/>
            <w:tcBorders>
              <w:tl2br w:val="nil"/>
              <w:tr2bl w:val="nil"/>
            </w:tcBorders>
            <w:vAlign w:val="center"/>
          </w:tcPr>
          <w:p w14:paraId="4A43DE4D">
            <w:pPr>
              <w:pStyle w:val="58"/>
              <w:bidi w:val="0"/>
              <w:rPr>
                <w:rFonts w:hint="default"/>
                <w:highlight w:val="none"/>
              </w:rPr>
            </w:pPr>
            <w:r>
              <w:rPr>
                <w:rFonts w:hint="default"/>
                <w:highlight w:val="none"/>
              </w:rPr>
              <w:t>超过25%毫克当量的离子</w:t>
            </w:r>
          </w:p>
        </w:tc>
        <w:tc>
          <w:tcPr>
            <w:tcW w:w="470" w:type="pct"/>
            <w:tcBorders>
              <w:tl2br w:val="nil"/>
              <w:tr2bl w:val="nil"/>
            </w:tcBorders>
            <w:vAlign w:val="center"/>
          </w:tcPr>
          <w:p w14:paraId="469362AA">
            <w:pPr>
              <w:pStyle w:val="58"/>
              <w:bidi w:val="0"/>
              <w:rPr>
                <w:rFonts w:hint="eastAsia" w:eastAsia="宋体"/>
                <w:highlight w:val="none"/>
                <w:lang w:eastAsia="zh-CN"/>
              </w:rPr>
            </w:pPr>
            <w:r>
              <w:rPr>
                <w:rFonts w:hint="default"/>
                <w:highlight w:val="none"/>
              </w:rPr>
              <w:t>HC</w:t>
            </w:r>
            <w:r>
              <w:rPr>
                <w:rFonts w:hint="eastAsia"/>
                <w:highlight w:val="none"/>
                <w:lang w:eastAsia="zh-CN"/>
              </w:rPr>
              <w:t>O</w:t>
            </w:r>
            <w:r>
              <w:rPr>
                <w:rFonts w:hint="eastAsia"/>
                <w:highlight w:val="none"/>
                <w:vertAlign w:val="subscript"/>
                <w:lang w:eastAsia="zh-CN"/>
              </w:rPr>
              <w:t>3</w:t>
            </w:r>
          </w:p>
        </w:tc>
        <w:tc>
          <w:tcPr>
            <w:tcW w:w="710" w:type="pct"/>
            <w:tcBorders>
              <w:tl2br w:val="nil"/>
              <w:tr2bl w:val="nil"/>
            </w:tcBorders>
            <w:vAlign w:val="center"/>
          </w:tcPr>
          <w:p w14:paraId="0E64AD7E">
            <w:pPr>
              <w:pStyle w:val="58"/>
              <w:bidi w:val="0"/>
              <w:rPr>
                <w:rFonts w:hint="default"/>
                <w:highlight w:val="none"/>
              </w:rPr>
            </w:pPr>
            <w:r>
              <w:rPr>
                <w:rFonts w:hint="default"/>
                <w:highlight w:val="none"/>
              </w:rPr>
              <w:t>HC</w:t>
            </w:r>
            <w:r>
              <w:rPr>
                <w:rFonts w:hint="eastAsia"/>
                <w:highlight w:val="none"/>
                <w:lang w:eastAsia="zh-CN"/>
              </w:rPr>
              <w:t>O</w:t>
            </w:r>
            <w:r>
              <w:rPr>
                <w:rFonts w:hint="eastAsia"/>
                <w:highlight w:val="none"/>
                <w:vertAlign w:val="subscript"/>
                <w:lang w:eastAsia="zh-CN"/>
              </w:rPr>
              <w:t>3</w:t>
            </w:r>
            <w:r>
              <w:rPr>
                <w:rFonts w:hint="default"/>
                <w:highlight w:val="none"/>
              </w:rPr>
              <w:t>+SO</w:t>
            </w:r>
            <w:r>
              <w:rPr>
                <w:rFonts w:hint="default"/>
                <w:highlight w:val="none"/>
                <w:vertAlign w:val="subscript"/>
              </w:rPr>
              <w:t>4</w:t>
            </w:r>
          </w:p>
        </w:tc>
        <w:tc>
          <w:tcPr>
            <w:tcW w:w="883" w:type="pct"/>
            <w:tcBorders>
              <w:tl2br w:val="nil"/>
              <w:tr2bl w:val="nil"/>
            </w:tcBorders>
            <w:vAlign w:val="center"/>
          </w:tcPr>
          <w:p w14:paraId="260D08D0">
            <w:pPr>
              <w:pStyle w:val="58"/>
              <w:bidi w:val="0"/>
              <w:rPr>
                <w:rFonts w:hint="default"/>
                <w:highlight w:val="none"/>
              </w:rPr>
            </w:pPr>
            <w:r>
              <w:rPr>
                <w:rFonts w:hint="default"/>
                <w:highlight w:val="none"/>
              </w:rPr>
              <w:t>HC</w:t>
            </w:r>
            <w:r>
              <w:rPr>
                <w:rFonts w:hint="eastAsia"/>
                <w:highlight w:val="none"/>
                <w:lang w:eastAsia="zh-CN"/>
              </w:rPr>
              <w:t>O</w:t>
            </w:r>
            <w:r>
              <w:rPr>
                <w:rFonts w:hint="eastAsia"/>
                <w:highlight w:val="none"/>
                <w:vertAlign w:val="subscript"/>
                <w:lang w:eastAsia="zh-CN"/>
              </w:rPr>
              <w:t>3</w:t>
            </w:r>
            <w:r>
              <w:rPr>
                <w:rFonts w:hint="default"/>
                <w:highlight w:val="none"/>
              </w:rPr>
              <w:t>+SO</w:t>
            </w:r>
            <w:r>
              <w:rPr>
                <w:rFonts w:hint="default"/>
                <w:highlight w:val="none"/>
                <w:vertAlign w:val="subscript"/>
              </w:rPr>
              <w:t>4</w:t>
            </w:r>
            <w:r>
              <w:rPr>
                <w:rFonts w:hint="default"/>
                <w:highlight w:val="none"/>
              </w:rPr>
              <w:t>+Cl</w:t>
            </w:r>
          </w:p>
        </w:tc>
        <w:tc>
          <w:tcPr>
            <w:tcW w:w="604" w:type="pct"/>
            <w:tcBorders>
              <w:tl2br w:val="nil"/>
              <w:tr2bl w:val="nil"/>
            </w:tcBorders>
            <w:vAlign w:val="center"/>
          </w:tcPr>
          <w:p w14:paraId="3ACE2366">
            <w:pPr>
              <w:pStyle w:val="58"/>
              <w:bidi w:val="0"/>
              <w:rPr>
                <w:rFonts w:hint="default"/>
                <w:highlight w:val="none"/>
              </w:rPr>
            </w:pPr>
            <w:r>
              <w:rPr>
                <w:rFonts w:hint="default"/>
                <w:highlight w:val="none"/>
              </w:rPr>
              <w:t>HC</w:t>
            </w:r>
            <w:r>
              <w:rPr>
                <w:rFonts w:hint="eastAsia"/>
                <w:highlight w:val="none"/>
                <w:lang w:eastAsia="zh-CN"/>
              </w:rPr>
              <w:t>O</w:t>
            </w:r>
            <w:r>
              <w:rPr>
                <w:rFonts w:hint="eastAsia"/>
                <w:highlight w:val="none"/>
                <w:vertAlign w:val="subscript"/>
                <w:lang w:eastAsia="zh-CN"/>
              </w:rPr>
              <w:t>3</w:t>
            </w:r>
            <w:r>
              <w:rPr>
                <w:rFonts w:hint="default"/>
                <w:highlight w:val="none"/>
              </w:rPr>
              <w:t>+Cl</w:t>
            </w:r>
          </w:p>
        </w:tc>
        <w:tc>
          <w:tcPr>
            <w:tcW w:w="440" w:type="pct"/>
            <w:tcBorders>
              <w:tl2br w:val="nil"/>
              <w:tr2bl w:val="nil"/>
            </w:tcBorders>
            <w:vAlign w:val="center"/>
          </w:tcPr>
          <w:p w14:paraId="0AE8ADD0">
            <w:pPr>
              <w:pStyle w:val="58"/>
              <w:bidi w:val="0"/>
              <w:rPr>
                <w:rFonts w:hint="default"/>
                <w:highlight w:val="none"/>
              </w:rPr>
            </w:pPr>
            <w:r>
              <w:rPr>
                <w:rFonts w:hint="default"/>
                <w:highlight w:val="none"/>
              </w:rPr>
              <w:t>SO</w:t>
            </w:r>
            <w:r>
              <w:rPr>
                <w:rFonts w:hint="default"/>
                <w:highlight w:val="none"/>
                <w:vertAlign w:val="subscript"/>
              </w:rPr>
              <w:t>4</w:t>
            </w:r>
          </w:p>
        </w:tc>
        <w:tc>
          <w:tcPr>
            <w:tcW w:w="514" w:type="pct"/>
            <w:tcBorders>
              <w:tl2br w:val="nil"/>
              <w:tr2bl w:val="nil"/>
            </w:tcBorders>
            <w:vAlign w:val="center"/>
          </w:tcPr>
          <w:p w14:paraId="72FEEFC8">
            <w:pPr>
              <w:pStyle w:val="58"/>
              <w:bidi w:val="0"/>
              <w:rPr>
                <w:rFonts w:hint="default"/>
                <w:highlight w:val="none"/>
              </w:rPr>
            </w:pPr>
            <w:r>
              <w:rPr>
                <w:rFonts w:hint="default"/>
                <w:highlight w:val="none"/>
              </w:rPr>
              <w:t>SO</w:t>
            </w:r>
            <w:r>
              <w:rPr>
                <w:rFonts w:hint="default"/>
                <w:highlight w:val="none"/>
                <w:vertAlign w:val="subscript"/>
              </w:rPr>
              <w:t>4</w:t>
            </w:r>
            <w:r>
              <w:rPr>
                <w:rFonts w:hint="default"/>
                <w:highlight w:val="none"/>
              </w:rPr>
              <w:t>+Cl</w:t>
            </w:r>
          </w:p>
        </w:tc>
        <w:tc>
          <w:tcPr>
            <w:tcW w:w="450" w:type="pct"/>
            <w:tcBorders>
              <w:tl2br w:val="nil"/>
              <w:tr2bl w:val="nil"/>
            </w:tcBorders>
            <w:vAlign w:val="center"/>
          </w:tcPr>
          <w:p w14:paraId="1B00D5F4">
            <w:pPr>
              <w:pStyle w:val="58"/>
              <w:bidi w:val="0"/>
              <w:rPr>
                <w:rFonts w:hint="default"/>
                <w:highlight w:val="none"/>
              </w:rPr>
            </w:pPr>
            <w:r>
              <w:rPr>
                <w:rFonts w:hint="default"/>
                <w:highlight w:val="none"/>
              </w:rPr>
              <w:t>Cl</w:t>
            </w:r>
          </w:p>
        </w:tc>
      </w:tr>
      <w:tr w14:paraId="037B72D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926" w:type="pct"/>
            <w:tcBorders>
              <w:tl2br w:val="nil"/>
              <w:tr2bl w:val="nil"/>
            </w:tcBorders>
            <w:vAlign w:val="center"/>
          </w:tcPr>
          <w:p w14:paraId="35F2CCB8">
            <w:pPr>
              <w:pStyle w:val="58"/>
              <w:bidi w:val="0"/>
              <w:rPr>
                <w:rFonts w:hint="default"/>
                <w:highlight w:val="none"/>
              </w:rPr>
            </w:pPr>
            <w:r>
              <w:rPr>
                <w:rFonts w:hint="default"/>
                <w:highlight w:val="none"/>
              </w:rPr>
              <w:t>Ca</w:t>
            </w:r>
          </w:p>
        </w:tc>
        <w:tc>
          <w:tcPr>
            <w:tcW w:w="470" w:type="pct"/>
            <w:tcBorders>
              <w:tl2br w:val="nil"/>
              <w:tr2bl w:val="nil"/>
            </w:tcBorders>
            <w:vAlign w:val="center"/>
          </w:tcPr>
          <w:p w14:paraId="20067C63">
            <w:pPr>
              <w:pStyle w:val="58"/>
              <w:bidi w:val="0"/>
              <w:rPr>
                <w:rFonts w:hint="default"/>
                <w:highlight w:val="none"/>
              </w:rPr>
            </w:pPr>
            <w:r>
              <w:rPr>
                <w:rFonts w:hint="default"/>
                <w:highlight w:val="none"/>
              </w:rPr>
              <w:t>1</w:t>
            </w:r>
          </w:p>
        </w:tc>
        <w:tc>
          <w:tcPr>
            <w:tcW w:w="710" w:type="pct"/>
            <w:tcBorders>
              <w:tl2br w:val="nil"/>
              <w:tr2bl w:val="nil"/>
            </w:tcBorders>
            <w:vAlign w:val="center"/>
          </w:tcPr>
          <w:p w14:paraId="17A0FD5E">
            <w:pPr>
              <w:pStyle w:val="58"/>
              <w:bidi w:val="0"/>
              <w:rPr>
                <w:rFonts w:hint="default"/>
                <w:highlight w:val="none"/>
              </w:rPr>
            </w:pPr>
            <w:r>
              <w:rPr>
                <w:rFonts w:hint="default"/>
                <w:highlight w:val="none"/>
              </w:rPr>
              <w:t>8</w:t>
            </w:r>
          </w:p>
        </w:tc>
        <w:tc>
          <w:tcPr>
            <w:tcW w:w="883" w:type="pct"/>
            <w:tcBorders>
              <w:tl2br w:val="nil"/>
              <w:tr2bl w:val="nil"/>
            </w:tcBorders>
            <w:vAlign w:val="center"/>
          </w:tcPr>
          <w:p w14:paraId="5B4C2F2C">
            <w:pPr>
              <w:pStyle w:val="58"/>
              <w:bidi w:val="0"/>
              <w:rPr>
                <w:rFonts w:hint="default"/>
                <w:highlight w:val="none"/>
              </w:rPr>
            </w:pPr>
            <w:r>
              <w:rPr>
                <w:rFonts w:hint="default"/>
                <w:highlight w:val="none"/>
              </w:rPr>
              <w:t>15</w:t>
            </w:r>
          </w:p>
        </w:tc>
        <w:tc>
          <w:tcPr>
            <w:tcW w:w="604" w:type="pct"/>
            <w:tcBorders>
              <w:tl2br w:val="nil"/>
              <w:tr2bl w:val="nil"/>
            </w:tcBorders>
            <w:vAlign w:val="center"/>
          </w:tcPr>
          <w:p w14:paraId="5F7D0B1F">
            <w:pPr>
              <w:pStyle w:val="58"/>
              <w:bidi w:val="0"/>
              <w:rPr>
                <w:rFonts w:hint="default"/>
                <w:highlight w:val="none"/>
              </w:rPr>
            </w:pPr>
            <w:r>
              <w:rPr>
                <w:rFonts w:hint="default"/>
                <w:highlight w:val="none"/>
              </w:rPr>
              <w:t>22</w:t>
            </w:r>
          </w:p>
        </w:tc>
        <w:tc>
          <w:tcPr>
            <w:tcW w:w="440" w:type="pct"/>
            <w:tcBorders>
              <w:tl2br w:val="nil"/>
              <w:tr2bl w:val="nil"/>
            </w:tcBorders>
            <w:vAlign w:val="center"/>
          </w:tcPr>
          <w:p w14:paraId="172BCFDC">
            <w:pPr>
              <w:pStyle w:val="58"/>
              <w:bidi w:val="0"/>
              <w:rPr>
                <w:rFonts w:hint="default"/>
                <w:highlight w:val="none"/>
              </w:rPr>
            </w:pPr>
            <w:r>
              <w:rPr>
                <w:rFonts w:hint="default"/>
                <w:highlight w:val="none"/>
              </w:rPr>
              <w:t>29</w:t>
            </w:r>
          </w:p>
        </w:tc>
        <w:tc>
          <w:tcPr>
            <w:tcW w:w="514" w:type="pct"/>
            <w:tcBorders>
              <w:tl2br w:val="nil"/>
              <w:tr2bl w:val="nil"/>
            </w:tcBorders>
            <w:vAlign w:val="center"/>
          </w:tcPr>
          <w:p w14:paraId="50E959FD">
            <w:pPr>
              <w:pStyle w:val="58"/>
              <w:bidi w:val="0"/>
              <w:rPr>
                <w:rFonts w:hint="default"/>
                <w:highlight w:val="none"/>
              </w:rPr>
            </w:pPr>
            <w:r>
              <w:rPr>
                <w:rFonts w:hint="default"/>
                <w:highlight w:val="none"/>
              </w:rPr>
              <w:t>36</w:t>
            </w:r>
          </w:p>
        </w:tc>
        <w:tc>
          <w:tcPr>
            <w:tcW w:w="450" w:type="pct"/>
            <w:tcBorders>
              <w:tl2br w:val="nil"/>
              <w:tr2bl w:val="nil"/>
            </w:tcBorders>
            <w:vAlign w:val="center"/>
          </w:tcPr>
          <w:p w14:paraId="2A4413A5">
            <w:pPr>
              <w:pStyle w:val="58"/>
              <w:bidi w:val="0"/>
              <w:rPr>
                <w:rFonts w:hint="default"/>
                <w:highlight w:val="none"/>
              </w:rPr>
            </w:pPr>
            <w:r>
              <w:rPr>
                <w:rFonts w:hint="default"/>
                <w:highlight w:val="none"/>
              </w:rPr>
              <w:t>43</w:t>
            </w:r>
          </w:p>
        </w:tc>
      </w:tr>
      <w:tr w14:paraId="162AEF9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926" w:type="pct"/>
            <w:tcBorders>
              <w:tl2br w:val="nil"/>
              <w:tr2bl w:val="nil"/>
            </w:tcBorders>
            <w:vAlign w:val="center"/>
          </w:tcPr>
          <w:p w14:paraId="366FAFCF">
            <w:pPr>
              <w:pStyle w:val="58"/>
              <w:bidi w:val="0"/>
              <w:rPr>
                <w:rFonts w:hint="default"/>
                <w:highlight w:val="none"/>
              </w:rPr>
            </w:pPr>
            <w:r>
              <w:rPr>
                <w:rFonts w:hint="default"/>
                <w:highlight w:val="none"/>
              </w:rPr>
              <w:t>Ca+Mg</w:t>
            </w:r>
          </w:p>
        </w:tc>
        <w:tc>
          <w:tcPr>
            <w:tcW w:w="470" w:type="pct"/>
            <w:tcBorders>
              <w:tl2br w:val="nil"/>
              <w:tr2bl w:val="nil"/>
            </w:tcBorders>
            <w:vAlign w:val="center"/>
          </w:tcPr>
          <w:p w14:paraId="6206B2D4">
            <w:pPr>
              <w:pStyle w:val="58"/>
              <w:bidi w:val="0"/>
              <w:rPr>
                <w:rFonts w:hint="default"/>
                <w:highlight w:val="none"/>
              </w:rPr>
            </w:pPr>
            <w:r>
              <w:rPr>
                <w:rFonts w:hint="default"/>
                <w:highlight w:val="none"/>
              </w:rPr>
              <w:t>2</w:t>
            </w:r>
          </w:p>
        </w:tc>
        <w:tc>
          <w:tcPr>
            <w:tcW w:w="710" w:type="pct"/>
            <w:tcBorders>
              <w:tl2br w:val="nil"/>
              <w:tr2bl w:val="nil"/>
            </w:tcBorders>
            <w:vAlign w:val="center"/>
          </w:tcPr>
          <w:p w14:paraId="7827E9B7">
            <w:pPr>
              <w:pStyle w:val="58"/>
              <w:bidi w:val="0"/>
              <w:rPr>
                <w:rFonts w:hint="default"/>
                <w:highlight w:val="none"/>
              </w:rPr>
            </w:pPr>
            <w:r>
              <w:rPr>
                <w:rFonts w:hint="default"/>
                <w:highlight w:val="none"/>
              </w:rPr>
              <w:t>9</w:t>
            </w:r>
          </w:p>
        </w:tc>
        <w:tc>
          <w:tcPr>
            <w:tcW w:w="883" w:type="pct"/>
            <w:tcBorders>
              <w:tl2br w:val="nil"/>
              <w:tr2bl w:val="nil"/>
            </w:tcBorders>
            <w:vAlign w:val="center"/>
          </w:tcPr>
          <w:p w14:paraId="01416DBF">
            <w:pPr>
              <w:pStyle w:val="58"/>
              <w:bidi w:val="0"/>
              <w:rPr>
                <w:rFonts w:hint="default"/>
                <w:highlight w:val="none"/>
              </w:rPr>
            </w:pPr>
            <w:r>
              <w:rPr>
                <w:rFonts w:hint="default"/>
                <w:highlight w:val="none"/>
              </w:rPr>
              <w:t>16</w:t>
            </w:r>
          </w:p>
        </w:tc>
        <w:tc>
          <w:tcPr>
            <w:tcW w:w="604" w:type="pct"/>
            <w:tcBorders>
              <w:tl2br w:val="nil"/>
              <w:tr2bl w:val="nil"/>
            </w:tcBorders>
            <w:vAlign w:val="center"/>
          </w:tcPr>
          <w:p w14:paraId="02FB79C4">
            <w:pPr>
              <w:pStyle w:val="58"/>
              <w:bidi w:val="0"/>
              <w:rPr>
                <w:rFonts w:hint="default"/>
                <w:highlight w:val="none"/>
              </w:rPr>
            </w:pPr>
            <w:r>
              <w:rPr>
                <w:rFonts w:hint="default"/>
                <w:highlight w:val="none"/>
              </w:rPr>
              <w:t>23</w:t>
            </w:r>
          </w:p>
        </w:tc>
        <w:tc>
          <w:tcPr>
            <w:tcW w:w="440" w:type="pct"/>
            <w:tcBorders>
              <w:tl2br w:val="nil"/>
              <w:tr2bl w:val="nil"/>
            </w:tcBorders>
            <w:vAlign w:val="center"/>
          </w:tcPr>
          <w:p w14:paraId="251B3C9F">
            <w:pPr>
              <w:pStyle w:val="58"/>
              <w:bidi w:val="0"/>
              <w:rPr>
                <w:rFonts w:hint="default"/>
                <w:highlight w:val="none"/>
              </w:rPr>
            </w:pPr>
            <w:r>
              <w:rPr>
                <w:rFonts w:hint="default"/>
                <w:highlight w:val="none"/>
              </w:rPr>
              <w:t>30</w:t>
            </w:r>
          </w:p>
        </w:tc>
        <w:tc>
          <w:tcPr>
            <w:tcW w:w="514" w:type="pct"/>
            <w:tcBorders>
              <w:tl2br w:val="nil"/>
              <w:tr2bl w:val="nil"/>
            </w:tcBorders>
            <w:vAlign w:val="center"/>
          </w:tcPr>
          <w:p w14:paraId="2130DA95">
            <w:pPr>
              <w:pStyle w:val="58"/>
              <w:bidi w:val="0"/>
              <w:rPr>
                <w:rFonts w:hint="default"/>
                <w:highlight w:val="none"/>
              </w:rPr>
            </w:pPr>
            <w:r>
              <w:rPr>
                <w:rFonts w:hint="default"/>
                <w:highlight w:val="none"/>
              </w:rPr>
              <w:t>37</w:t>
            </w:r>
          </w:p>
        </w:tc>
        <w:tc>
          <w:tcPr>
            <w:tcW w:w="450" w:type="pct"/>
            <w:tcBorders>
              <w:tl2br w:val="nil"/>
              <w:tr2bl w:val="nil"/>
            </w:tcBorders>
            <w:vAlign w:val="center"/>
          </w:tcPr>
          <w:p w14:paraId="51708F25">
            <w:pPr>
              <w:pStyle w:val="58"/>
              <w:bidi w:val="0"/>
              <w:rPr>
                <w:rFonts w:hint="default"/>
                <w:highlight w:val="none"/>
              </w:rPr>
            </w:pPr>
            <w:r>
              <w:rPr>
                <w:rFonts w:hint="default"/>
                <w:highlight w:val="none"/>
              </w:rPr>
              <w:t>44</w:t>
            </w:r>
          </w:p>
        </w:tc>
      </w:tr>
      <w:tr w14:paraId="23C55D6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926" w:type="pct"/>
            <w:tcBorders>
              <w:tl2br w:val="nil"/>
              <w:tr2bl w:val="nil"/>
            </w:tcBorders>
            <w:vAlign w:val="center"/>
          </w:tcPr>
          <w:p w14:paraId="3F2E5A19">
            <w:pPr>
              <w:pStyle w:val="58"/>
              <w:bidi w:val="0"/>
              <w:rPr>
                <w:rFonts w:hint="default"/>
                <w:highlight w:val="none"/>
              </w:rPr>
            </w:pPr>
            <w:r>
              <w:rPr>
                <w:rFonts w:hint="default"/>
                <w:highlight w:val="none"/>
              </w:rPr>
              <w:t>Mg</w:t>
            </w:r>
          </w:p>
        </w:tc>
        <w:tc>
          <w:tcPr>
            <w:tcW w:w="470" w:type="pct"/>
            <w:tcBorders>
              <w:tl2br w:val="nil"/>
              <w:tr2bl w:val="nil"/>
            </w:tcBorders>
            <w:vAlign w:val="center"/>
          </w:tcPr>
          <w:p w14:paraId="3A7017EC">
            <w:pPr>
              <w:pStyle w:val="58"/>
              <w:bidi w:val="0"/>
              <w:rPr>
                <w:rFonts w:hint="default"/>
                <w:highlight w:val="none"/>
              </w:rPr>
            </w:pPr>
            <w:r>
              <w:rPr>
                <w:rFonts w:hint="default"/>
                <w:highlight w:val="none"/>
              </w:rPr>
              <w:t>3</w:t>
            </w:r>
          </w:p>
        </w:tc>
        <w:tc>
          <w:tcPr>
            <w:tcW w:w="710" w:type="pct"/>
            <w:tcBorders>
              <w:tl2br w:val="nil"/>
              <w:tr2bl w:val="nil"/>
            </w:tcBorders>
            <w:vAlign w:val="center"/>
          </w:tcPr>
          <w:p w14:paraId="14BE657D">
            <w:pPr>
              <w:pStyle w:val="58"/>
              <w:bidi w:val="0"/>
              <w:rPr>
                <w:rFonts w:hint="default"/>
                <w:highlight w:val="none"/>
              </w:rPr>
            </w:pPr>
            <w:r>
              <w:rPr>
                <w:rFonts w:hint="default"/>
                <w:highlight w:val="none"/>
              </w:rPr>
              <w:t>10</w:t>
            </w:r>
          </w:p>
        </w:tc>
        <w:tc>
          <w:tcPr>
            <w:tcW w:w="883" w:type="pct"/>
            <w:tcBorders>
              <w:tl2br w:val="nil"/>
              <w:tr2bl w:val="nil"/>
            </w:tcBorders>
            <w:vAlign w:val="center"/>
          </w:tcPr>
          <w:p w14:paraId="7FBA090E">
            <w:pPr>
              <w:pStyle w:val="58"/>
              <w:bidi w:val="0"/>
              <w:rPr>
                <w:rFonts w:hint="default"/>
                <w:highlight w:val="none"/>
              </w:rPr>
            </w:pPr>
            <w:r>
              <w:rPr>
                <w:rFonts w:hint="default"/>
                <w:highlight w:val="none"/>
              </w:rPr>
              <w:t>17</w:t>
            </w:r>
          </w:p>
        </w:tc>
        <w:tc>
          <w:tcPr>
            <w:tcW w:w="604" w:type="pct"/>
            <w:tcBorders>
              <w:tl2br w:val="nil"/>
              <w:tr2bl w:val="nil"/>
            </w:tcBorders>
            <w:vAlign w:val="center"/>
          </w:tcPr>
          <w:p w14:paraId="5145A0FC">
            <w:pPr>
              <w:pStyle w:val="58"/>
              <w:bidi w:val="0"/>
              <w:rPr>
                <w:rFonts w:hint="default"/>
                <w:highlight w:val="none"/>
              </w:rPr>
            </w:pPr>
            <w:r>
              <w:rPr>
                <w:rFonts w:hint="default"/>
                <w:highlight w:val="none"/>
              </w:rPr>
              <w:t>24</w:t>
            </w:r>
          </w:p>
        </w:tc>
        <w:tc>
          <w:tcPr>
            <w:tcW w:w="440" w:type="pct"/>
            <w:tcBorders>
              <w:tl2br w:val="nil"/>
              <w:tr2bl w:val="nil"/>
            </w:tcBorders>
            <w:vAlign w:val="center"/>
          </w:tcPr>
          <w:p w14:paraId="6AF35BEA">
            <w:pPr>
              <w:pStyle w:val="58"/>
              <w:bidi w:val="0"/>
              <w:rPr>
                <w:rFonts w:hint="default"/>
                <w:highlight w:val="none"/>
              </w:rPr>
            </w:pPr>
            <w:r>
              <w:rPr>
                <w:rFonts w:hint="default"/>
                <w:highlight w:val="none"/>
              </w:rPr>
              <w:t>31</w:t>
            </w:r>
          </w:p>
        </w:tc>
        <w:tc>
          <w:tcPr>
            <w:tcW w:w="514" w:type="pct"/>
            <w:tcBorders>
              <w:tl2br w:val="nil"/>
              <w:tr2bl w:val="nil"/>
            </w:tcBorders>
            <w:vAlign w:val="center"/>
          </w:tcPr>
          <w:p w14:paraId="51B1D2A7">
            <w:pPr>
              <w:pStyle w:val="58"/>
              <w:bidi w:val="0"/>
              <w:rPr>
                <w:rFonts w:hint="default"/>
                <w:highlight w:val="none"/>
              </w:rPr>
            </w:pPr>
            <w:r>
              <w:rPr>
                <w:rFonts w:hint="default"/>
                <w:highlight w:val="none"/>
              </w:rPr>
              <w:t>38</w:t>
            </w:r>
          </w:p>
        </w:tc>
        <w:tc>
          <w:tcPr>
            <w:tcW w:w="450" w:type="pct"/>
            <w:tcBorders>
              <w:tl2br w:val="nil"/>
              <w:tr2bl w:val="nil"/>
            </w:tcBorders>
            <w:vAlign w:val="center"/>
          </w:tcPr>
          <w:p w14:paraId="6E16C93E">
            <w:pPr>
              <w:pStyle w:val="58"/>
              <w:bidi w:val="0"/>
              <w:rPr>
                <w:rFonts w:hint="default"/>
                <w:highlight w:val="none"/>
              </w:rPr>
            </w:pPr>
            <w:r>
              <w:rPr>
                <w:rFonts w:hint="default"/>
                <w:highlight w:val="none"/>
              </w:rPr>
              <w:t>45</w:t>
            </w:r>
          </w:p>
        </w:tc>
      </w:tr>
      <w:tr w14:paraId="234FCB8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926" w:type="pct"/>
            <w:tcBorders>
              <w:tl2br w:val="nil"/>
              <w:tr2bl w:val="nil"/>
            </w:tcBorders>
            <w:vAlign w:val="center"/>
          </w:tcPr>
          <w:p w14:paraId="0B2106F1">
            <w:pPr>
              <w:pStyle w:val="58"/>
              <w:bidi w:val="0"/>
              <w:rPr>
                <w:rFonts w:hint="default"/>
                <w:highlight w:val="none"/>
              </w:rPr>
            </w:pPr>
            <w:r>
              <w:rPr>
                <w:rFonts w:hint="default"/>
                <w:highlight w:val="none"/>
              </w:rPr>
              <w:t>Na+Ca</w:t>
            </w:r>
          </w:p>
        </w:tc>
        <w:tc>
          <w:tcPr>
            <w:tcW w:w="470" w:type="pct"/>
            <w:tcBorders>
              <w:tl2br w:val="nil"/>
              <w:tr2bl w:val="nil"/>
            </w:tcBorders>
            <w:vAlign w:val="center"/>
          </w:tcPr>
          <w:p w14:paraId="53837A5C">
            <w:pPr>
              <w:pStyle w:val="58"/>
              <w:bidi w:val="0"/>
              <w:rPr>
                <w:rFonts w:hint="default"/>
                <w:highlight w:val="none"/>
              </w:rPr>
            </w:pPr>
            <w:r>
              <w:rPr>
                <w:rFonts w:hint="default"/>
                <w:highlight w:val="none"/>
              </w:rPr>
              <w:t>4</w:t>
            </w:r>
          </w:p>
        </w:tc>
        <w:tc>
          <w:tcPr>
            <w:tcW w:w="710" w:type="pct"/>
            <w:tcBorders>
              <w:tl2br w:val="nil"/>
              <w:tr2bl w:val="nil"/>
            </w:tcBorders>
            <w:vAlign w:val="center"/>
          </w:tcPr>
          <w:p w14:paraId="1B2C02DC">
            <w:pPr>
              <w:pStyle w:val="58"/>
              <w:bidi w:val="0"/>
              <w:rPr>
                <w:rFonts w:hint="default"/>
                <w:highlight w:val="none"/>
              </w:rPr>
            </w:pPr>
            <w:r>
              <w:rPr>
                <w:rFonts w:hint="default"/>
                <w:highlight w:val="none"/>
              </w:rPr>
              <w:t>11</w:t>
            </w:r>
          </w:p>
        </w:tc>
        <w:tc>
          <w:tcPr>
            <w:tcW w:w="883" w:type="pct"/>
            <w:tcBorders>
              <w:tl2br w:val="nil"/>
              <w:tr2bl w:val="nil"/>
            </w:tcBorders>
            <w:vAlign w:val="center"/>
          </w:tcPr>
          <w:p w14:paraId="1866F480">
            <w:pPr>
              <w:pStyle w:val="58"/>
              <w:bidi w:val="0"/>
              <w:rPr>
                <w:rFonts w:hint="default"/>
                <w:highlight w:val="none"/>
              </w:rPr>
            </w:pPr>
            <w:r>
              <w:rPr>
                <w:rFonts w:hint="default"/>
                <w:highlight w:val="none"/>
              </w:rPr>
              <w:t>18</w:t>
            </w:r>
          </w:p>
        </w:tc>
        <w:tc>
          <w:tcPr>
            <w:tcW w:w="604" w:type="pct"/>
            <w:tcBorders>
              <w:tl2br w:val="nil"/>
              <w:tr2bl w:val="nil"/>
            </w:tcBorders>
            <w:vAlign w:val="center"/>
          </w:tcPr>
          <w:p w14:paraId="4800FA28">
            <w:pPr>
              <w:pStyle w:val="58"/>
              <w:bidi w:val="0"/>
              <w:rPr>
                <w:rFonts w:hint="default"/>
                <w:highlight w:val="none"/>
              </w:rPr>
            </w:pPr>
            <w:r>
              <w:rPr>
                <w:rFonts w:hint="default"/>
                <w:highlight w:val="none"/>
              </w:rPr>
              <w:t>25</w:t>
            </w:r>
          </w:p>
        </w:tc>
        <w:tc>
          <w:tcPr>
            <w:tcW w:w="440" w:type="pct"/>
            <w:tcBorders>
              <w:tl2br w:val="nil"/>
              <w:tr2bl w:val="nil"/>
            </w:tcBorders>
            <w:vAlign w:val="center"/>
          </w:tcPr>
          <w:p w14:paraId="12BF6321">
            <w:pPr>
              <w:pStyle w:val="58"/>
              <w:bidi w:val="0"/>
              <w:rPr>
                <w:rFonts w:hint="default"/>
                <w:highlight w:val="none"/>
              </w:rPr>
            </w:pPr>
            <w:r>
              <w:rPr>
                <w:rFonts w:hint="default"/>
                <w:highlight w:val="none"/>
              </w:rPr>
              <w:t>32</w:t>
            </w:r>
          </w:p>
        </w:tc>
        <w:tc>
          <w:tcPr>
            <w:tcW w:w="514" w:type="pct"/>
            <w:tcBorders>
              <w:tl2br w:val="nil"/>
              <w:tr2bl w:val="nil"/>
            </w:tcBorders>
            <w:vAlign w:val="center"/>
          </w:tcPr>
          <w:p w14:paraId="254B4B3A">
            <w:pPr>
              <w:pStyle w:val="58"/>
              <w:bidi w:val="0"/>
              <w:rPr>
                <w:rFonts w:hint="default"/>
                <w:highlight w:val="none"/>
              </w:rPr>
            </w:pPr>
            <w:r>
              <w:rPr>
                <w:rFonts w:hint="default"/>
                <w:highlight w:val="none"/>
              </w:rPr>
              <w:t>39</w:t>
            </w:r>
          </w:p>
        </w:tc>
        <w:tc>
          <w:tcPr>
            <w:tcW w:w="450" w:type="pct"/>
            <w:tcBorders>
              <w:tl2br w:val="nil"/>
              <w:tr2bl w:val="nil"/>
            </w:tcBorders>
            <w:vAlign w:val="center"/>
          </w:tcPr>
          <w:p w14:paraId="51B3917C">
            <w:pPr>
              <w:pStyle w:val="58"/>
              <w:bidi w:val="0"/>
              <w:rPr>
                <w:rFonts w:hint="default"/>
                <w:highlight w:val="none"/>
              </w:rPr>
            </w:pPr>
            <w:r>
              <w:rPr>
                <w:rFonts w:hint="default"/>
                <w:highlight w:val="none"/>
              </w:rPr>
              <w:t>46</w:t>
            </w:r>
          </w:p>
        </w:tc>
      </w:tr>
      <w:tr w14:paraId="411A2B6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926" w:type="pct"/>
            <w:tcBorders>
              <w:tl2br w:val="nil"/>
              <w:tr2bl w:val="nil"/>
            </w:tcBorders>
            <w:vAlign w:val="center"/>
          </w:tcPr>
          <w:p w14:paraId="66A8A10D">
            <w:pPr>
              <w:pStyle w:val="58"/>
              <w:bidi w:val="0"/>
              <w:rPr>
                <w:rFonts w:hint="default"/>
                <w:highlight w:val="none"/>
              </w:rPr>
            </w:pPr>
            <w:r>
              <w:rPr>
                <w:rFonts w:hint="default"/>
                <w:highlight w:val="none"/>
              </w:rPr>
              <w:t>Na+Ca+Mg</w:t>
            </w:r>
          </w:p>
        </w:tc>
        <w:tc>
          <w:tcPr>
            <w:tcW w:w="470" w:type="pct"/>
            <w:tcBorders>
              <w:tl2br w:val="nil"/>
              <w:tr2bl w:val="nil"/>
            </w:tcBorders>
            <w:vAlign w:val="center"/>
          </w:tcPr>
          <w:p w14:paraId="3E3C1E85">
            <w:pPr>
              <w:pStyle w:val="58"/>
              <w:bidi w:val="0"/>
              <w:rPr>
                <w:rFonts w:hint="default"/>
                <w:highlight w:val="none"/>
              </w:rPr>
            </w:pPr>
            <w:r>
              <w:rPr>
                <w:rFonts w:hint="default"/>
                <w:highlight w:val="none"/>
              </w:rPr>
              <w:t>5</w:t>
            </w:r>
          </w:p>
        </w:tc>
        <w:tc>
          <w:tcPr>
            <w:tcW w:w="710" w:type="pct"/>
            <w:tcBorders>
              <w:tl2br w:val="nil"/>
              <w:tr2bl w:val="nil"/>
            </w:tcBorders>
            <w:vAlign w:val="center"/>
          </w:tcPr>
          <w:p w14:paraId="0EE7861C">
            <w:pPr>
              <w:pStyle w:val="58"/>
              <w:bidi w:val="0"/>
              <w:rPr>
                <w:rFonts w:hint="default"/>
                <w:highlight w:val="none"/>
              </w:rPr>
            </w:pPr>
            <w:r>
              <w:rPr>
                <w:rFonts w:hint="default"/>
                <w:highlight w:val="none"/>
              </w:rPr>
              <w:t>12</w:t>
            </w:r>
          </w:p>
        </w:tc>
        <w:tc>
          <w:tcPr>
            <w:tcW w:w="883" w:type="pct"/>
            <w:tcBorders>
              <w:tl2br w:val="nil"/>
              <w:tr2bl w:val="nil"/>
            </w:tcBorders>
            <w:vAlign w:val="center"/>
          </w:tcPr>
          <w:p w14:paraId="0B0A1798">
            <w:pPr>
              <w:pStyle w:val="58"/>
              <w:bidi w:val="0"/>
              <w:rPr>
                <w:rFonts w:hint="default"/>
                <w:highlight w:val="none"/>
              </w:rPr>
            </w:pPr>
            <w:r>
              <w:rPr>
                <w:rFonts w:hint="default"/>
                <w:highlight w:val="none"/>
              </w:rPr>
              <w:t>19</w:t>
            </w:r>
          </w:p>
        </w:tc>
        <w:tc>
          <w:tcPr>
            <w:tcW w:w="604" w:type="pct"/>
            <w:tcBorders>
              <w:tl2br w:val="nil"/>
              <w:tr2bl w:val="nil"/>
            </w:tcBorders>
            <w:vAlign w:val="center"/>
          </w:tcPr>
          <w:p w14:paraId="4E83E07E">
            <w:pPr>
              <w:pStyle w:val="58"/>
              <w:bidi w:val="0"/>
              <w:rPr>
                <w:rFonts w:hint="default"/>
                <w:highlight w:val="none"/>
              </w:rPr>
            </w:pPr>
            <w:r>
              <w:rPr>
                <w:rFonts w:hint="default"/>
                <w:highlight w:val="none"/>
              </w:rPr>
              <w:t>26</w:t>
            </w:r>
          </w:p>
        </w:tc>
        <w:tc>
          <w:tcPr>
            <w:tcW w:w="440" w:type="pct"/>
            <w:tcBorders>
              <w:tl2br w:val="nil"/>
              <w:tr2bl w:val="nil"/>
            </w:tcBorders>
            <w:vAlign w:val="center"/>
          </w:tcPr>
          <w:p w14:paraId="617B2A16">
            <w:pPr>
              <w:pStyle w:val="58"/>
              <w:bidi w:val="0"/>
              <w:rPr>
                <w:rFonts w:hint="default"/>
                <w:highlight w:val="none"/>
              </w:rPr>
            </w:pPr>
            <w:r>
              <w:rPr>
                <w:rFonts w:hint="default"/>
                <w:highlight w:val="none"/>
              </w:rPr>
              <w:t>33</w:t>
            </w:r>
          </w:p>
        </w:tc>
        <w:tc>
          <w:tcPr>
            <w:tcW w:w="514" w:type="pct"/>
            <w:tcBorders>
              <w:tl2br w:val="nil"/>
              <w:tr2bl w:val="nil"/>
            </w:tcBorders>
            <w:vAlign w:val="center"/>
          </w:tcPr>
          <w:p w14:paraId="58BD729A">
            <w:pPr>
              <w:pStyle w:val="58"/>
              <w:bidi w:val="0"/>
              <w:rPr>
                <w:rFonts w:hint="default"/>
                <w:highlight w:val="none"/>
              </w:rPr>
            </w:pPr>
            <w:r>
              <w:rPr>
                <w:rFonts w:hint="default"/>
                <w:highlight w:val="none"/>
              </w:rPr>
              <w:t>40</w:t>
            </w:r>
          </w:p>
        </w:tc>
        <w:tc>
          <w:tcPr>
            <w:tcW w:w="450" w:type="pct"/>
            <w:tcBorders>
              <w:tl2br w:val="nil"/>
              <w:tr2bl w:val="nil"/>
            </w:tcBorders>
            <w:vAlign w:val="center"/>
          </w:tcPr>
          <w:p w14:paraId="032E0B1C">
            <w:pPr>
              <w:pStyle w:val="58"/>
              <w:bidi w:val="0"/>
              <w:rPr>
                <w:rFonts w:hint="default"/>
                <w:highlight w:val="none"/>
              </w:rPr>
            </w:pPr>
            <w:r>
              <w:rPr>
                <w:rFonts w:hint="default"/>
                <w:highlight w:val="none"/>
              </w:rPr>
              <w:t>47</w:t>
            </w:r>
          </w:p>
        </w:tc>
      </w:tr>
      <w:tr w14:paraId="08F3FDA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926" w:type="pct"/>
            <w:tcBorders>
              <w:tl2br w:val="nil"/>
              <w:tr2bl w:val="nil"/>
            </w:tcBorders>
            <w:vAlign w:val="center"/>
          </w:tcPr>
          <w:p w14:paraId="28DCF7CD">
            <w:pPr>
              <w:pStyle w:val="58"/>
              <w:bidi w:val="0"/>
              <w:rPr>
                <w:rFonts w:hint="default"/>
                <w:highlight w:val="none"/>
              </w:rPr>
            </w:pPr>
            <w:r>
              <w:rPr>
                <w:rFonts w:hint="default"/>
                <w:highlight w:val="none"/>
              </w:rPr>
              <w:t>Na+Mg</w:t>
            </w:r>
          </w:p>
        </w:tc>
        <w:tc>
          <w:tcPr>
            <w:tcW w:w="470" w:type="pct"/>
            <w:tcBorders>
              <w:tl2br w:val="nil"/>
              <w:tr2bl w:val="nil"/>
            </w:tcBorders>
            <w:vAlign w:val="center"/>
          </w:tcPr>
          <w:p w14:paraId="3F62E3D7">
            <w:pPr>
              <w:pStyle w:val="58"/>
              <w:bidi w:val="0"/>
              <w:rPr>
                <w:rFonts w:hint="default"/>
                <w:highlight w:val="none"/>
              </w:rPr>
            </w:pPr>
            <w:r>
              <w:rPr>
                <w:rFonts w:hint="default"/>
                <w:highlight w:val="none"/>
              </w:rPr>
              <w:t>6</w:t>
            </w:r>
          </w:p>
        </w:tc>
        <w:tc>
          <w:tcPr>
            <w:tcW w:w="710" w:type="pct"/>
            <w:tcBorders>
              <w:tl2br w:val="nil"/>
              <w:tr2bl w:val="nil"/>
            </w:tcBorders>
            <w:vAlign w:val="center"/>
          </w:tcPr>
          <w:p w14:paraId="3CA4097D">
            <w:pPr>
              <w:pStyle w:val="58"/>
              <w:bidi w:val="0"/>
              <w:rPr>
                <w:rFonts w:hint="default"/>
                <w:highlight w:val="none"/>
              </w:rPr>
            </w:pPr>
            <w:r>
              <w:rPr>
                <w:rFonts w:hint="default"/>
                <w:highlight w:val="none"/>
              </w:rPr>
              <w:t>13</w:t>
            </w:r>
          </w:p>
        </w:tc>
        <w:tc>
          <w:tcPr>
            <w:tcW w:w="883" w:type="pct"/>
            <w:tcBorders>
              <w:tl2br w:val="nil"/>
              <w:tr2bl w:val="nil"/>
            </w:tcBorders>
            <w:vAlign w:val="center"/>
          </w:tcPr>
          <w:p w14:paraId="655D9934">
            <w:pPr>
              <w:pStyle w:val="58"/>
              <w:bidi w:val="0"/>
              <w:rPr>
                <w:rFonts w:hint="default"/>
                <w:highlight w:val="none"/>
              </w:rPr>
            </w:pPr>
            <w:r>
              <w:rPr>
                <w:rFonts w:hint="default"/>
                <w:highlight w:val="none"/>
              </w:rPr>
              <w:t>20</w:t>
            </w:r>
          </w:p>
        </w:tc>
        <w:tc>
          <w:tcPr>
            <w:tcW w:w="604" w:type="pct"/>
            <w:tcBorders>
              <w:tl2br w:val="nil"/>
              <w:tr2bl w:val="nil"/>
            </w:tcBorders>
            <w:vAlign w:val="center"/>
          </w:tcPr>
          <w:p w14:paraId="7D06C4AD">
            <w:pPr>
              <w:pStyle w:val="58"/>
              <w:bidi w:val="0"/>
              <w:rPr>
                <w:rFonts w:hint="default"/>
                <w:highlight w:val="none"/>
              </w:rPr>
            </w:pPr>
            <w:r>
              <w:rPr>
                <w:rFonts w:hint="default"/>
                <w:highlight w:val="none"/>
              </w:rPr>
              <w:t>27</w:t>
            </w:r>
          </w:p>
        </w:tc>
        <w:tc>
          <w:tcPr>
            <w:tcW w:w="440" w:type="pct"/>
            <w:tcBorders>
              <w:tl2br w:val="nil"/>
              <w:tr2bl w:val="nil"/>
            </w:tcBorders>
            <w:vAlign w:val="center"/>
          </w:tcPr>
          <w:p w14:paraId="18E38E4E">
            <w:pPr>
              <w:pStyle w:val="58"/>
              <w:bidi w:val="0"/>
              <w:rPr>
                <w:rFonts w:hint="default"/>
                <w:highlight w:val="none"/>
              </w:rPr>
            </w:pPr>
            <w:r>
              <w:rPr>
                <w:rFonts w:hint="default"/>
                <w:highlight w:val="none"/>
              </w:rPr>
              <w:t>34</w:t>
            </w:r>
          </w:p>
        </w:tc>
        <w:tc>
          <w:tcPr>
            <w:tcW w:w="514" w:type="pct"/>
            <w:tcBorders>
              <w:tl2br w:val="nil"/>
              <w:tr2bl w:val="nil"/>
            </w:tcBorders>
            <w:vAlign w:val="center"/>
          </w:tcPr>
          <w:p w14:paraId="79DB87E3">
            <w:pPr>
              <w:pStyle w:val="58"/>
              <w:bidi w:val="0"/>
              <w:rPr>
                <w:rFonts w:hint="default"/>
                <w:highlight w:val="none"/>
              </w:rPr>
            </w:pPr>
            <w:r>
              <w:rPr>
                <w:rFonts w:hint="default"/>
                <w:highlight w:val="none"/>
              </w:rPr>
              <w:t>41</w:t>
            </w:r>
          </w:p>
        </w:tc>
        <w:tc>
          <w:tcPr>
            <w:tcW w:w="450" w:type="pct"/>
            <w:tcBorders>
              <w:tl2br w:val="nil"/>
              <w:tr2bl w:val="nil"/>
            </w:tcBorders>
            <w:vAlign w:val="center"/>
          </w:tcPr>
          <w:p w14:paraId="137F3AA1">
            <w:pPr>
              <w:pStyle w:val="58"/>
              <w:bidi w:val="0"/>
              <w:rPr>
                <w:rFonts w:hint="default"/>
                <w:highlight w:val="none"/>
              </w:rPr>
            </w:pPr>
            <w:r>
              <w:rPr>
                <w:rFonts w:hint="default"/>
                <w:highlight w:val="none"/>
              </w:rPr>
              <w:t>48</w:t>
            </w:r>
          </w:p>
        </w:tc>
      </w:tr>
      <w:tr w14:paraId="2EB931D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926" w:type="pct"/>
            <w:tcBorders>
              <w:tl2br w:val="nil"/>
              <w:tr2bl w:val="nil"/>
            </w:tcBorders>
            <w:vAlign w:val="center"/>
          </w:tcPr>
          <w:p w14:paraId="76ABF3D5">
            <w:pPr>
              <w:pStyle w:val="58"/>
              <w:bidi w:val="0"/>
              <w:rPr>
                <w:rFonts w:hint="default"/>
                <w:highlight w:val="none"/>
              </w:rPr>
            </w:pPr>
            <w:r>
              <w:rPr>
                <w:rFonts w:hint="default"/>
                <w:highlight w:val="none"/>
              </w:rPr>
              <w:t>Na</w:t>
            </w:r>
          </w:p>
        </w:tc>
        <w:tc>
          <w:tcPr>
            <w:tcW w:w="470" w:type="pct"/>
            <w:tcBorders>
              <w:tl2br w:val="nil"/>
              <w:tr2bl w:val="nil"/>
            </w:tcBorders>
            <w:vAlign w:val="center"/>
          </w:tcPr>
          <w:p w14:paraId="59716287">
            <w:pPr>
              <w:pStyle w:val="58"/>
              <w:bidi w:val="0"/>
              <w:rPr>
                <w:rFonts w:hint="default"/>
                <w:highlight w:val="none"/>
              </w:rPr>
            </w:pPr>
            <w:r>
              <w:rPr>
                <w:rFonts w:hint="default"/>
                <w:highlight w:val="none"/>
              </w:rPr>
              <w:t>7</w:t>
            </w:r>
          </w:p>
        </w:tc>
        <w:tc>
          <w:tcPr>
            <w:tcW w:w="710" w:type="pct"/>
            <w:tcBorders>
              <w:tl2br w:val="nil"/>
              <w:tr2bl w:val="nil"/>
            </w:tcBorders>
            <w:vAlign w:val="center"/>
          </w:tcPr>
          <w:p w14:paraId="61A21EBD">
            <w:pPr>
              <w:pStyle w:val="58"/>
              <w:bidi w:val="0"/>
              <w:rPr>
                <w:rFonts w:hint="default"/>
                <w:highlight w:val="none"/>
              </w:rPr>
            </w:pPr>
            <w:r>
              <w:rPr>
                <w:rFonts w:hint="default"/>
                <w:highlight w:val="none"/>
              </w:rPr>
              <w:t>14</w:t>
            </w:r>
          </w:p>
        </w:tc>
        <w:tc>
          <w:tcPr>
            <w:tcW w:w="883" w:type="pct"/>
            <w:tcBorders>
              <w:tl2br w:val="nil"/>
              <w:tr2bl w:val="nil"/>
            </w:tcBorders>
            <w:vAlign w:val="center"/>
          </w:tcPr>
          <w:p w14:paraId="557DC61C">
            <w:pPr>
              <w:pStyle w:val="58"/>
              <w:bidi w:val="0"/>
              <w:rPr>
                <w:rFonts w:hint="default"/>
                <w:highlight w:val="none"/>
              </w:rPr>
            </w:pPr>
            <w:r>
              <w:rPr>
                <w:rFonts w:hint="default"/>
                <w:highlight w:val="none"/>
              </w:rPr>
              <w:t>21</w:t>
            </w:r>
          </w:p>
        </w:tc>
        <w:tc>
          <w:tcPr>
            <w:tcW w:w="604" w:type="pct"/>
            <w:tcBorders>
              <w:tl2br w:val="nil"/>
              <w:tr2bl w:val="nil"/>
            </w:tcBorders>
            <w:vAlign w:val="center"/>
          </w:tcPr>
          <w:p w14:paraId="2A65FDA3">
            <w:pPr>
              <w:pStyle w:val="58"/>
              <w:bidi w:val="0"/>
              <w:rPr>
                <w:rFonts w:hint="default"/>
                <w:highlight w:val="none"/>
              </w:rPr>
            </w:pPr>
            <w:r>
              <w:rPr>
                <w:rFonts w:hint="default"/>
                <w:highlight w:val="none"/>
              </w:rPr>
              <w:t>28</w:t>
            </w:r>
          </w:p>
        </w:tc>
        <w:tc>
          <w:tcPr>
            <w:tcW w:w="440" w:type="pct"/>
            <w:tcBorders>
              <w:tl2br w:val="nil"/>
              <w:tr2bl w:val="nil"/>
            </w:tcBorders>
            <w:vAlign w:val="center"/>
          </w:tcPr>
          <w:p w14:paraId="0890F864">
            <w:pPr>
              <w:pStyle w:val="58"/>
              <w:bidi w:val="0"/>
              <w:rPr>
                <w:rFonts w:hint="default"/>
                <w:highlight w:val="none"/>
              </w:rPr>
            </w:pPr>
            <w:r>
              <w:rPr>
                <w:rFonts w:hint="default"/>
                <w:highlight w:val="none"/>
              </w:rPr>
              <w:t>35</w:t>
            </w:r>
          </w:p>
        </w:tc>
        <w:tc>
          <w:tcPr>
            <w:tcW w:w="514" w:type="pct"/>
            <w:tcBorders>
              <w:tl2br w:val="nil"/>
              <w:tr2bl w:val="nil"/>
            </w:tcBorders>
            <w:vAlign w:val="center"/>
          </w:tcPr>
          <w:p w14:paraId="7C3DD8F3">
            <w:pPr>
              <w:pStyle w:val="58"/>
              <w:bidi w:val="0"/>
              <w:rPr>
                <w:rFonts w:hint="default"/>
                <w:highlight w:val="none"/>
              </w:rPr>
            </w:pPr>
            <w:r>
              <w:rPr>
                <w:rFonts w:hint="default"/>
                <w:highlight w:val="none"/>
              </w:rPr>
              <w:t>42</w:t>
            </w:r>
          </w:p>
        </w:tc>
        <w:tc>
          <w:tcPr>
            <w:tcW w:w="450" w:type="pct"/>
            <w:tcBorders>
              <w:tl2br w:val="nil"/>
              <w:tr2bl w:val="nil"/>
            </w:tcBorders>
            <w:vAlign w:val="center"/>
          </w:tcPr>
          <w:p w14:paraId="6D134F0D">
            <w:pPr>
              <w:pStyle w:val="58"/>
              <w:bidi w:val="0"/>
              <w:rPr>
                <w:rFonts w:hint="default"/>
                <w:highlight w:val="none"/>
              </w:rPr>
            </w:pPr>
            <w:r>
              <w:rPr>
                <w:rFonts w:hint="default"/>
                <w:highlight w:val="none"/>
              </w:rPr>
              <w:t>49</w:t>
            </w:r>
          </w:p>
        </w:tc>
      </w:tr>
    </w:tbl>
    <w:p w14:paraId="75F2543E">
      <w:pPr>
        <w:keepNext w:val="0"/>
        <w:keepLines w:val="0"/>
        <w:pageBreakBefore w:val="0"/>
        <w:widowControl w:val="0"/>
        <w:kinsoku/>
        <w:wordWrap/>
        <w:overflowPunct/>
        <w:topLinePunct w:val="0"/>
        <w:autoSpaceDE/>
        <w:autoSpaceDN/>
        <w:bidi w:val="0"/>
        <w:adjustRightInd/>
        <w:snapToGrid/>
        <w:spacing w:line="480" w:lineRule="exact"/>
        <w:ind w:left="0" w:right="0" w:firstLine="498"/>
        <w:textAlignment w:val="auto"/>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各监测点主要离子浓度及水化学类型计算结果如下表4.3-14：</w:t>
      </w:r>
    </w:p>
    <w:p w14:paraId="3B6AF59D">
      <w:pPr>
        <w:keepNext w:val="0"/>
        <w:keepLines w:val="0"/>
        <w:pageBreakBefore w:val="0"/>
        <w:widowControl w:val="0"/>
        <w:numPr>
          <w:ilvl w:val="0"/>
          <w:numId w:val="30"/>
        </w:numPr>
        <w:kinsoku/>
        <w:wordWrap/>
        <w:overflowPunct/>
        <w:topLinePunct w:val="0"/>
        <w:autoSpaceDE w:val="0"/>
        <w:autoSpaceDN w:val="0"/>
        <w:bidi w:val="0"/>
        <w:adjustRightInd w:val="0"/>
        <w:snapToGrid/>
        <w:spacing w:line="500" w:lineRule="exact"/>
        <w:ind w:left="425" w:leftChars="0" w:hanging="425" w:firstLineChars="0"/>
        <w:jc w:val="center"/>
        <w:textAlignment w:val="auto"/>
        <w:rPr>
          <w:rFonts w:hint="default" w:ascii="Times New Roman" w:hAnsi="Times New Roman" w:eastAsia="宋体" w:cs="Times New Roman"/>
          <w:b/>
          <w:bCs w:val="0"/>
          <w:color w:val="000000" w:themeColor="text1"/>
          <w:sz w:val="25"/>
          <w:szCs w:val="25"/>
          <w:highlight w:val="none"/>
          <w:shd w:val="clear" w:color="auto" w:fill="auto"/>
          <w14:textFill>
            <w14:solidFill>
              <w14:schemeClr w14:val="tx1"/>
            </w14:solidFill>
          </w14:textFill>
        </w:rPr>
      </w:pPr>
      <w:r>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t>主要离子浓度及水化学类型计算结果一览表单位：%</w:t>
      </w:r>
    </w:p>
    <w:tbl>
      <w:tblPr>
        <w:tblStyle w:val="88"/>
        <w:tblW w:w="5013"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1926"/>
        <w:gridCol w:w="934"/>
        <w:gridCol w:w="1009"/>
        <w:gridCol w:w="1069"/>
        <w:gridCol w:w="1016"/>
        <w:gridCol w:w="1136"/>
        <w:gridCol w:w="1009"/>
        <w:gridCol w:w="1027"/>
      </w:tblGrid>
      <w:tr w14:paraId="29FEF8D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7" w:hRule="atLeast"/>
        </w:trPr>
        <w:tc>
          <w:tcPr>
            <w:tcW w:w="1055" w:type="pct"/>
            <w:tcBorders>
              <w:tl2br w:val="nil"/>
              <w:tr2bl w:val="nil"/>
            </w:tcBorders>
            <w:vAlign w:val="center"/>
          </w:tcPr>
          <w:p w14:paraId="3B6A8C7D">
            <w:pPr>
              <w:pStyle w:val="58"/>
              <w:bidi w:val="0"/>
              <w:rPr>
                <w:rFonts w:hint="default"/>
                <w:highlight w:val="none"/>
              </w:rPr>
            </w:pPr>
            <w:r>
              <w:rPr>
                <w:rFonts w:hint="default"/>
                <w:highlight w:val="none"/>
              </w:rPr>
              <w:t>监测项目</w:t>
            </w:r>
          </w:p>
        </w:tc>
        <w:tc>
          <w:tcPr>
            <w:tcW w:w="511" w:type="pct"/>
            <w:tcBorders>
              <w:tl2br w:val="nil"/>
              <w:tr2bl w:val="nil"/>
            </w:tcBorders>
            <w:vAlign w:val="center"/>
          </w:tcPr>
          <w:p w14:paraId="1FD583E9">
            <w:pPr>
              <w:pStyle w:val="58"/>
              <w:bidi w:val="0"/>
              <w:rPr>
                <w:rFonts w:hint="default"/>
                <w:highlight w:val="none"/>
                <w:lang w:val="en-US" w:eastAsia="zh-CN"/>
              </w:rPr>
            </w:pPr>
            <w:r>
              <w:rPr>
                <w:rFonts w:hint="default"/>
                <w:highlight w:val="none"/>
              </w:rPr>
              <w:t>K</w:t>
            </w:r>
            <w:r>
              <w:rPr>
                <w:rFonts w:hint="default"/>
                <w:highlight w:val="none"/>
                <w:vertAlign w:val="superscript"/>
                <w:lang w:val="en-US" w:eastAsia="zh-CN"/>
              </w:rPr>
              <w:t>+</w:t>
            </w:r>
            <w:r>
              <w:rPr>
                <w:rFonts w:hint="default"/>
                <w:highlight w:val="none"/>
                <w:lang w:val="en-US" w:eastAsia="zh-CN"/>
              </w:rPr>
              <w:t>+Na</w:t>
            </w:r>
            <w:r>
              <w:rPr>
                <w:rFonts w:hint="default"/>
                <w:highlight w:val="none"/>
                <w:vertAlign w:val="superscript"/>
                <w:lang w:val="en-US" w:eastAsia="zh-CN"/>
              </w:rPr>
              <w:t>+</w:t>
            </w:r>
          </w:p>
        </w:tc>
        <w:tc>
          <w:tcPr>
            <w:tcW w:w="552" w:type="pct"/>
            <w:tcBorders>
              <w:tl2br w:val="nil"/>
              <w:tr2bl w:val="nil"/>
            </w:tcBorders>
            <w:vAlign w:val="center"/>
          </w:tcPr>
          <w:p w14:paraId="40C4D461">
            <w:pPr>
              <w:pStyle w:val="58"/>
              <w:bidi w:val="0"/>
              <w:rPr>
                <w:rFonts w:hint="default"/>
                <w:highlight w:val="none"/>
                <w:lang w:val="en-US" w:eastAsia="zh-CN"/>
              </w:rPr>
            </w:pPr>
            <w:r>
              <w:rPr>
                <w:rFonts w:hint="default"/>
                <w:highlight w:val="none"/>
              </w:rPr>
              <w:t>Ca</w:t>
            </w:r>
            <w:r>
              <w:rPr>
                <w:rFonts w:hint="default"/>
                <w:highlight w:val="none"/>
                <w:vertAlign w:val="superscript"/>
                <w:lang w:val="en-US" w:eastAsia="zh-CN"/>
              </w:rPr>
              <w:t>2+</w:t>
            </w:r>
          </w:p>
        </w:tc>
        <w:tc>
          <w:tcPr>
            <w:tcW w:w="585" w:type="pct"/>
            <w:tcBorders>
              <w:tl2br w:val="nil"/>
              <w:tr2bl w:val="nil"/>
            </w:tcBorders>
            <w:vAlign w:val="center"/>
          </w:tcPr>
          <w:p w14:paraId="0D72DE82">
            <w:pPr>
              <w:pStyle w:val="58"/>
              <w:bidi w:val="0"/>
              <w:rPr>
                <w:rFonts w:hint="default"/>
                <w:highlight w:val="none"/>
                <w:lang w:val="en-US" w:eastAsia="zh-CN"/>
              </w:rPr>
            </w:pPr>
            <w:r>
              <w:rPr>
                <w:rFonts w:hint="default"/>
                <w:highlight w:val="none"/>
              </w:rPr>
              <w:t>Mg</w:t>
            </w:r>
            <w:r>
              <w:rPr>
                <w:rFonts w:hint="default"/>
                <w:highlight w:val="none"/>
                <w:vertAlign w:val="superscript"/>
                <w:lang w:val="en-US" w:eastAsia="zh-CN"/>
              </w:rPr>
              <w:t>2+</w:t>
            </w:r>
          </w:p>
        </w:tc>
        <w:tc>
          <w:tcPr>
            <w:tcW w:w="556" w:type="pct"/>
            <w:tcBorders>
              <w:tl2br w:val="nil"/>
              <w:tr2bl w:val="nil"/>
            </w:tcBorders>
            <w:vAlign w:val="center"/>
          </w:tcPr>
          <w:p w14:paraId="7F4585A4">
            <w:pPr>
              <w:pStyle w:val="58"/>
              <w:bidi w:val="0"/>
              <w:rPr>
                <w:rFonts w:hint="default"/>
                <w:highlight w:val="none"/>
                <w:lang w:val="en-US" w:eastAsia="zh-CN"/>
              </w:rPr>
            </w:pPr>
            <w:r>
              <w:rPr>
                <w:rFonts w:hint="default"/>
                <w:highlight w:val="none"/>
              </w:rPr>
              <w:t>C</w:t>
            </w:r>
            <w:r>
              <w:rPr>
                <w:rFonts w:hint="eastAsia"/>
                <w:highlight w:val="none"/>
                <w:lang w:eastAsia="zh-CN"/>
              </w:rPr>
              <w:t>O</w:t>
            </w:r>
            <w:r>
              <w:rPr>
                <w:rFonts w:hint="eastAsia"/>
                <w:highlight w:val="none"/>
                <w:vertAlign w:val="subscript"/>
                <w:lang w:eastAsia="zh-CN"/>
              </w:rPr>
              <w:t>3</w:t>
            </w:r>
            <w:r>
              <w:rPr>
                <w:rFonts w:hint="default"/>
                <w:highlight w:val="none"/>
                <w:vertAlign w:val="superscript"/>
                <w:lang w:val="en-US" w:eastAsia="zh-CN"/>
              </w:rPr>
              <w:t>2-</w:t>
            </w:r>
          </w:p>
        </w:tc>
        <w:tc>
          <w:tcPr>
            <w:tcW w:w="622" w:type="pct"/>
            <w:tcBorders>
              <w:tl2br w:val="nil"/>
              <w:tr2bl w:val="nil"/>
            </w:tcBorders>
            <w:vAlign w:val="center"/>
          </w:tcPr>
          <w:p w14:paraId="500BD999">
            <w:pPr>
              <w:pStyle w:val="58"/>
              <w:bidi w:val="0"/>
              <w:rPr>
                <w:rFonts w:hint="default"/>
                <w:highlight w:val="none"/>
              </w:rPr>
            </w:pPr>
            <w:r>
              <w:rPr>
                <w:rFonts w:hint="default"/>
                <w:highlight w:val="none"/>
              </w:rPr>
              <w:t>HC</w:t>
            </w:r>
            <w:r>
              <w:rPr>
                <w:rFonts w:hint="eastAsia"/>
                <w:highlight w:val="none"/>
                <w:lang w:eastAsia="zh-CN"/>
              </w:rPr>
              <w:t>O</w:t>
            </w:r>
            <w:r>
              <w:rPr>
                <w:rFonts w:hint="eastAsia"/>
                <w:highlight w:val="none"/>
                <w:vertAlign w:val="subscript"/>
                <w:lang w:eastAsia="zh-CN"/>
              </w:rPr>
              <w:t>3</w:t>
            </w:r>
            <w:r>
              <w:rPr>
                <w:rFonts w:hint="default"/>
                <w:highlight w:val="none"/>
                <w:vertAlign w:val="superscript"/>
              </w:rPr>
              <w:t>-</w:t>
            </w:r>
          </w:p>
        </w:tc>
        <w:tc>
          <w:tcPr>
            <w:tcW w:w="552" w:type="pct"/>
            <w:tcBorders>
              <w:tl2br w:val="nil"/>
              <w:tr2bl w:val="nil"/>
            </w:tcBorders>
            <w:vAlign w:val="center"/>
          </w:tcPr>
          <w:p w14:paraId="06F0F232">
            <w:pPr>
              <w:pStyle w:val="58"/>
              <w:bidi w:val="0"/>
              <w:rPr>
                <w:rFonts w:hint="default"/>
                <w:highlight w:val="none"/>
                <w:lang w:val="en-US"/>
              </w:rPr>
            </w:pPr>
            <w:r>
              <w:rPr>
                <w:rFonts w:hint="default"/>
                <w:highlight w:val="none"/>
              </w:rPr>
              <w:t>SO</w:t>
            </w:r>
            <w:r>
              <w:rPr>
                <w:rFonts w:hint="default"/>
                <w:highlight w:val="none"/>
                <w:vertAlign w:val="subscript"/>
              </w:rPr>
              <w:t>4</w:t>
            </w:r>
            <w:r>
              <w:rPr>
                <w:rFonts w:hint="default"/>
                <w:highlight w:val="none"/>
                <w:vertAlign w:val="superscript"/>
                <w:lang w:val="en-US" w:eastAsia="zh-CN"/>
              </w:rPr>
              <w:t>2-</w:t>
            </w:r>
          </w:p>
        </w:tc>
        <w:tc>
          <w:tcPr>
            <w:tcW w:w="562" w:type="pct"/>
            <w:tcBorders>
              <w:tl2br w:val="nil"/>
              <w:tr2bl w:val="nil"/>
            </w:tcBorders>
            <w:vAlign w:val="center"/>
          </w:tcPr>
          <w:p w14:paraId="6B00796E">
            <w:pPr>
              <w:pStyle w:val="58"/>
              <w:bidi w:val="0"/>
              <w:rPr>
                <w:rFonts w:hint="default"/>
                <w:highlight w:val="none"/>
              </w:rPr>
            </w:pPr>
            <w:r>
              <w:rPr>
                <w:rFonts w:hint="default"/>
                <w:highlight w:val="none"/>
              </w:rPr>
              <w:t>Cl</w:t>
            </w:r>
            <w:r>
              <w:rPr>
                <w:rFonts w:hint="default"/>
                <w:highlight w:val="none"/>
                <w:vertAlign w:val="superscript"/>
              </w:rPr>
              <w:t>-</w:t>
            </w:r>
          </w:p>
        </w:tc>
      </w:tr>
      <w:tr w14:paraId="085F879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23" w:hRule="atLeast"/>
        </w:trPr>
        <w:tc>
          <w:tcPr>
            <w:tcW w:w="1055" w:type="pct"/>
            <w:tcBorders>
              <w:tl2br w:val="nil"/>
              <w:tr2bl w:val="nil"/>
            </w:tcBorders>
            <w:vAlign w:val="center"/>
          </w:tcPr>
          <w:p w14:paraId="30AE2BB0">
            <w:pPr>
              <w:pStyle w:val="58"/>
              <w:bidi w:val="0"/>
              <w:rPr>
                <w:rFonts w:hint="default"/>
                <w:highlight w:val="none"/>
                <w:lang w:val="en-US"/>
              </w:rPr>
            </w:pPr>
            <w:bookmarkStart w:id="267" w:name="OLE_LINK3" w:colFirst="0" w:colLast="0"/>
            <w:r>
              <w:rPr>
                <w:rFonts w:hint="default"/>
                <w:highlight w:val="none"/>
                <w:lang w:val="en-US" w:eastAsia="zh-CN"/>
              </w:rPr>
              <w:t>项目东北侧（园区北侧）潜水</w:t>
            </w:r>
          </w:p>
        </w:tc>
        <w:tc>
          <w:tcPr>
            <w:tcW w:w="511" w:type="pct"/>
            <w:tcBorders>
              <w:tl2br w:val="nil"/>
              <w:tr2bl w:val="nil"/>
            </w:tcBorders>
            <w:vAlign w:val="center"/>
          </w:tcPr>
          <w:p w14:paraId="2ACB6A23">
            <w:pPr>
              <w:pStyle w:val="58"/>
              <w:bidi w:val="0"/>
              <w:rPr>
                <w:rFonts w:hint="default"/>
                <w:highlight w:val="none"/>
                <w:lang w:val="en-US" w:eastAsia="zh-CN"/>
              </w:rPr>
            </w:pPr>
            <w:r>
              <w:rPr>
                <w:rFonts w:hint="default"/>
                <w:highlight w:val="none"/>
                <w:lang w:val="en-US" w:eastAsia="zh-CN"/>
              </w:rPr>
              <w:t>9.49</w:t>
            </w:r>
          </w:p>
        </w:tc>
        <w:tc>
          <w:tcPr>
            <w:tcW w:w="552" w:type="pct"/>
            <w:tcBorders>
              <w:tl2br w:val="nil"/>
              <w:tr2bl w:val="nil"/>
            </w:tcBorders>
            <w:vAlign w:val="center"/>
          </w:tcPr>
          <w:p w14:paraId="02919422">
            <w:pPr>
              <w:pStyle w:val="58"/>
              <w:bidi w:val="0"/>
              <w:rPr>
                <w:rFonts w:hint="default"/>
                <w:highlight w:val="none"/>
                <w:lang w:val="en-US" w:eastAsia="zh-CN"/>
              </w:rPr>
            </w:pPr>
            <w:r>
              <w:rPr>
                <w:rFonts w:hint="default"/>
                <w:highlight w:val="none"/>
                <w:lang w:val="en-US" w:eastAsia="zh-CN"/>
              </w:rPr>
              <w:t>10.79</w:t>
            </w:r>
          </w:p>
        </w:tc>
        <w:tc>
          <w:tcPr>
            <w:tcW w:w="585" w:type="pct"/>
            <w:tcBorders>
              <w:tl2br w:val="nil"/>
              <w:tr2bl w:val="nil"/>
            </w:tcBorders>
            <w:vAlign w:val="center"/>
          </w:tcPr>
          <w:p w14:paraId="3002115B">
            <w:pPr>
              <w:pStyle w:val="58"/>
              <w:bidi w:val="0"/>
              <w:rPr>
                <w:rFonts w:hint="default"/>
                <w:highlight w:val="none"/>
                <w:lang w:val="en-US" w:eastAsia="zh-CN"/>
              </w:rPr>
            </w:pPr>
            <w:r>
              <w:rPr>
                <w:rFonts w:hint="default"/>
                <w:b/>
                <w:bCs/>
                <w:highlight w:val="none"/>
                <w:lang w:val="en-US" w:eastAsia="zh-CN"/>
              </w:rPr>
              <w:t>79.72</w:t>
            </w:r>
          </w:p>
        </w:tc>
        <w:tc>
          <w:tcPr>
            <w:tcW w:w="556" w:type="pct"/>
            <w:tcBorders>
              <w:tl2br w:val="nil"/>
              <w:tr2bl w:val="nil"/>
            </w:tcBorders>
            <w:vAlign w:val="center"/>
          </w:tcPr>
          <w:p w14:paraId="403FF7F4">
            <w:pPr>
              <w:pStyle w:val="58"/>
              <w:bidi w:val="0"/>
              <w:rPr>
                <w:rFonts w:hint="default"/>
                <w:highlight w:val="none"/>
                <w:lang w:val="en-US" w:eastAsia="zh-CN"/>
              </w:rPr>
            </w:pPr>
            <w:r>
              <w:rPr>
                <w:rFonts w:hint="default"/>
                <w:highlight w:val="none"/>
                <w:lang w:val="en-US" w:eastAsia="zh-CN"/>
              </w:rPr>
              <w:t>0.00</w:t>
            </w:r>
          </w:p>
        </w:tc>
        <w:tc>
          <w:tcPr>
            <w:tcW w:w="622" w:type="pct"/>
            <w:tcBorders>
              <w:tl2br w:val="nil"/>
              <w:tr2bl w:val="nil"/>
            </w:tcBorders>
            <w:vAlign w:val="center"/>
          </w:tcPr>
          <w:p w14:paraId="415AB7A7">
            <w:pPr>
              <w:pStyle w:val="58"/>
              <w:bidi w:val="0"/>
              <w:rPr>
                <w:rFonts w:hint="default"/>
                <w:highlight w:val="none"/>
                <w:lang w:val="en-US" w:eastAsia="zh-CN"/>
              </w:rPr>
            </w:pPr>
            <w:r>
              <w:rPr>
                <w:rFonts w:hint="default"/>
                <w:highlight w:val="none"/>
                <w:lang w:val="en-US" w:eastAsia="zh-CN"/>
              </w:rPr>
              <w:t>17.81</w:t>
            </w:r>
          </w:p>
        </w:tc>
        <w:tc>
          <w:tcPr>
            <w:tcW w:w="552" w:type="pct"/>
            <w:tcBorders>
              <w:tl2br w:val="nil"/>
              <w:tr2bl w:val="nil"/>
            </w:tcBorders>
            <w:vAlign w:val="center"/>
          </w:tcPr>
          <w:p w14:paraId="6F0347A0">
            <w:pPr>
              <w:pStyle w:val="58"/>
              <w:bidi w:val="0"/>
              <w:rPr>
                <w:rFonts w:hint="default"/>
                <w:b/>
                <w:bCs/>
                <w:highlight w:val="none"/>
                <w:lang w:val="en-US" w:eastAsia="zh-CN"/>
              </w:rPr>
            </w:pPr>
            <w:r>
              <w:rPr>
                <w:rFonts w:hint="default"/>
                <w:b/>
                <w:bCs/>
                <w:highlight w:val="none"/>
                <w:lang w:val="en-US" w:eastAsia="zh-CN"/>
              </w:rPr>
              <w:t>27.37</w:t>
            </w:r>
          </w:p>
        </w:tc>
        <w:tc>
          <w:tcPr>
            <w:tcW w:w="562" w:type="pct"/>
            <w:tcBorders>
              <w:tl2br w:val="nil"/>
              <w:tr2bl w:val="nil"/>
            </w:tcBorders>
            <w:vAlign w:val="center"/>
          </w:tcPr>
          <w:p w14:paraId="0F1B0BC1">
            <w:pPr>
              <w:pStyle w:val="58"/>
              <w:bidi w:val="0"/>
              <w:rPr>
                <w:rFonts w:hint="default"/>
                <w:b/>
                <w:bCs/>
                <w:highlight w:val="none"/>
                <w:lang w:val="en-US" w:eastAsia="zh-CN"/>
              </w:rPr>
            </w:pPr>
            <w:r>
              <w:rPr>
                <w:rFonts w:hint="default"/>
                <w:b/>
                <w:bCs/>
                <w:highlight w:val="none"/>
                <w:lang w:val="en-US" w:eastAsia="zh-CN"/>
              </w:rPr>
              <w:t>54.82</w:t>
            </w:r>
          </w:p>
        </w:tc>
      </w:tr>
      <w:tr w14:paraId="09F98EC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1055" w:type="pct"/>
            <w:tcBorders>
              <w:tl2br w:val="nil"/>
              <w:tr2bl w:val="nil"/>
            </w:tcBorders>
            <w:vAlign w:val="center"/>
          </w:tcPr>
          <w:p w14:paraId="6BF41D1B">
            <w:pPr>
              <w:pStyle w:val="58"/>
              <w:bidi w:val="0"/>
              <w:rPr>
                <w:rFonts w:hint="default"/>
                <w:highlight w:val="none"/>
              </w:rPr>
            </w:pPr>
            <w:r>
              <w:rPr>
                <w:rFonts w:hint="default"/>
                <w:highlight w:val="none"/>
                <w:lang w:val="en-US" w:eastAsia="zh-CN"/>
              </w:rPr>
              <w:t>项目东北侧（园区东侧）潜水</w:t>
            </w:r>
          </w:p>
        </w:tc>
        <w:tc>
          <w:tcPr>
            <w:tcW w:w="511" w:type="pct"/>
            <w:tcBorders>
              <w:tl2br w:val="nil"/>
              <w:tr2bl w:val="nil"/>
            </w:tcBorders>
            <w:vAlign w:val="center"/>
          </w:tcPr>
          <w:p w14:paraId="16DCFDBD">
            <w:pPr>
              <w:pStyle w:val="58"/>
              <w:bidi w:val="0"/>
              <w:rPr>
                <w:rFonts w:hint="default"/>
                <w:highlight w:val="none"/>
                <w:lang w:val="en-US" w:eastAsia="zh-CN"/>
              </w:rPr>
            </w:pPr>
            <w:r>
              <w:rPr>
                <w:rFonts w:hint="default"/>
                <w:highlight w:val="none"/>
                <w:lang w:val="en-US" w:eastAsia="zh-CN"/>
              </w:rPr>
              <w:t>9.85</w:t>
            </w:r>
          </w:p>
        </w:tc>
        <w:tc>
          <w:tcPr>
            <w:tcW w:w="552" w:type="pct"/>
            <w:tcBorders>
              <w:tl2br w:val="nil"/>
              <w:tr2bl w:val="nil"/>
            </w:tcBorders>
            <w:vAlign w:val="center"/>
          </w:tcPr>
          <w:p w14:paraId="1BD9588F">
            <w:pPr>
              <w:pStyle w:val="58"/>
              <w:bidi w:val="0"/>
              <w:rPr>
                <w:rFonts w:hint="default"/>
                <w:highlight w:val="none"/>
                <w:lang w:val="en-US" w:eastAsia="zh-CN"/>
              </w:rPr>
            </w:pPr>
            <w:r>
              <w:rPr>
                <w:rFonts w:hint="default"/>
                <w:highlight w:val="none"/>
                <w:lang w:val="en-US" w:eastAsia="zh-CN"/>
              </w:rPr>
              <w:t>11.96</w:t>
            </w:r>
          </w:p>
        </w:tc>
        <w:tc>
          <w:tcPr>
            <w:tcW w:w="585" w:type="pct"/>
            <w:tcBorders>
              <w:tl2br w:val="nil"/>
              <w:tr2bl w:val="nil"/>
            </w:tcBorders>
            <w:vAlign w:val="center"/>
          </w:tcPr>
          <w:p w14:paraId="16587379">
            <w:pPr>
              <w:pStyle w:val="58"/>
              <w:bidi w:val="0"/>
              <w:rPr>
                <w:rFonts w:hint="default"/>
                <w:highlight w:val="none"/>
                <w:lang w:val="en-US" w:eastAsia="zh-CN"/>
              </w:rPr>
            </w:pPr>
            <w:r>
              <w:rPr>
                <w:rFonts w:hint="default"/>
                <w:b/>
                <w:bCs/>
                <w:highlight w:val="none"/>
                <w:vertAlign w:val="baseline"/>
                <w:lang w:val="en-US" w:eastAsia="zh-CN"/>
              </w:rPr>
              <w:t>78.19</w:t>
            </w:r>
          </w:p>
        </w:tc>
        <w:tc>
          <w:tcPr>
            <w:tcW w:w="556" w:type="pct"/>
            <w:tcBorders>
              <w:tl2br w:val="nil"/>
              <w:tr2bl w:val="nil"/>
            </w:tcBorders>
            <w:vAlign w:val="center"/>
          </w:tcPr>
          <w:p w14:paraId="26FE5826">
            <w:pPr>
              <w:pStyle w:val="58"/>
              <w:bidi w:val="0"/>
              <w:rPr>
                <w:rFonts w:hint="default"/>
                <w:highlight w:val="none"/>
                <w:lang w:val="en-US" w:eastAsia="zh-CN"/>
              </w:rPr>
            </w:pPr>
            <w:r>
              <w:rPr>
                <w:rFonts w:hint="default"/>
                <w:highlight w:val="none"/>
                <w:lang w:val="en-US" w:eastAsia="zh-CN"/>
              </w:rPr>
              <w:t>0.00</w:t>
            </w:r>
          </w:p>
        </w:tc>
        <w:tc>
          <w:tcPr>
            <w:tcW w:w="622" w:type="pct"/>
            <w:tcBorders>
              <w:tl2br w:val="nil"/>
              <w:tr2bl w:val="nil"/>
            </w:tcBorders>
            <w:vAlign w:val="center"/>
          </w:tcPr>
          <w:p w14:paraId="17996F79">
            <w:pPr>
              <w:pStyle w:val="58"/>
              <w:bidi w:val="0"/>
              <w:rPr>
                <w:rFonts w:hint="default"/>
                <w:highlight w:val="none"/>
                <w:lang w:val="en-US" w:eastAsia="zh-CN"/>
              </w:rPr>
            </w:pPr>
            <w:r>
              <w:rPr>
                <w:rFonts w:hint="default"/>
                <w:highlight w:val="none"/>
                <w:lang w:val="en-US" w:eastAsia="zh-CN"/>
              </w:rPr>
              <w:t>15.21</w:t>
            </w:r>
          </w:p>
        </w:tc>
        <w:tc>
          <w:tcPr>
            <w:tcW w:w="552" w:type="pct"/>
            <w:tcBorders>
              <w:tl2br w:val="nil"/>
              <w:tr2bl w:val="nil"/>
            </w:tcBorders>
            <w:vAlign w:val="center"/>
          </w:tcPr>
          <w:p w14:paraId="6926BBD0">
            <w:pPr>
              <w:pStyle w:val="58"/>
              <w:bidi w:val="0"/>
              <w:rPr>
                <w:rFonts w:hint="default"/>
                <w:b/>
                <w:bCs/>
                <w:highlight w:val="none"/>
                <w:lang w:val="en-US" w:eastAsia="zh-CN"/>
              </w:rPr>
            </w:pPr>
            <w:r>
              <w:rPr>
                <w:rFonts w:hint="default"/>
                <w:b/>
                <w:bCs/>
                <w:highlight w:val="none"/>
                <w:lang w:val="en-US" w:eastAsia="zh-CN"/>
              </w:rPr>
              <w:t>27.40</w:t>
            </w:r>
          </w:p>
        </w:tc>
        <w:tc>
          <w:tcPr>
            <w:tcW w:w="562" w:type="pct"/>
            <w:tcBorders>
              <w:tl2br w:val="nil"/>
              <w:tr2bl w:val="nil"/>
            </w:tcBorders>
            <w:vAlign w:val="center"/>
          </w:tcPr>
          <w:p w14:paraId="566734ED">
            <w:pPr>
              <w:pStyle w:val="58"/>
              <w:bidi w:val="0"/>
              <w:rPr>
                <w:rFonts w:hint="default"/>
                <w:b/>
                <w:bCs/>
                <w:highlight w:val="none"/>
                <w:lang w:val="en-US" w:eastAsia="zh-CN"/>
              </w:rPr>
            </w:pPr>
            <w:r>
              <w:rPr>
                <w:rFonts w:hint="default"/>
                <w:b/>
                <w:bCs/>
                <w:highlight w:val="none"/>
                <w:lang w:val="en-US" w:eastAsia="zh-CN"/>
              </w:rPr>
              <w:t>57.39</w:t>
            </w:r>
          </w:p>
        </w:tc>
      </w:tr>
      <w:tr w14:paraId="6D32370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1055" w:type="pct"/>
            <w:tcBorders>
              <w:tl2br w:val="nil"/>
              <w:tr2bl w:val="nil"/>
            </w:tcBorders>
            <w:vAlign w:val="center"/>
          </w:tcPr>
          <w:p w14:paraId="133C261F">
            <w:pPr>
              <w:pStyle w:val="58"/>
              <w:bidi w:val="0"/>
              <w:rPr>
                <w:rFonts w:hint="default"/>
                <w:highlight w:val="none"/>
              </w:rPr>
            </w:pPr>
            <w:r>
              <w:rPr>
                <w:rFonts w:hint="default"/>
                <w:highlight w:val="none"/>
                <w:lang w:val="en-US" w:eastAsia="zh-CN"/>
              </w:rPr>
              <w:t>项目东南侧（园区南侧）潜水</w:t>
            </w:r>
          </w:p>
        </w:tc>
        <w:tc>
          <w:tcPr>
            <w:tcW w:w="511" w:type="pct"/>
            <w:tcBorders>
              <w:tl2br w:val="nil"/>
              <w:tr2bl w:val="nil"/>
            </w:tcBorders>
            <w:vAlign w:val="center"/>
          </w:tcPr>
          <w:p w14:paraId="21B37B8E">
            <w:pPr>
              <w:pStyle w:val="58"/>
              <w:bidi w:val="0"/>
              <w:rPr>
                <w:rFonts w:hint="default"/>
                <w:highlight w:val="none"/>
                <w:lang w:val="en-US" w:eastAsia="zh-CN"/>
              </w:rPr>
            </w:pPr>
            <w:r>
              <w:rPr>
                <w:rFonts w:hint="default"/>
                <w:highlight w:val="none"/>
                <w:lang w:val="en-US" w:eastAsia="zh-CN"/>
              </w:rPr>
              <w:t>21.81</w:t>
            </w:r>
          </w:p>
        </w:tc>
        <w:tc>
          <w:tcPr>
            <w:tcW w:w="552" w:type="pct"/>
            <w:tcBorders>
              <w:tl2br w:val="nil"/>
              <w:tr2bl w:val="nil"/>
            </w:tcBorders>
            <w:vAlign w:val="center"/>
          </w:tcPr>
          <w:p w14:paraId="20B635D8">
            <w:pPr>
              <w:pStyle w:val="58"/>
              <w:bidi w:val="0"/>
              <w:rPr>
                <w:rFonts w:hint="default"/>
                <w:highlight w:val="none"/>
                <w:lang w:val="en-US" w:eastAsia="zh-CN"/>
              </w:rPr>
            </w:pPr>
            <w:r>
              <w:rPr>
                <w:rFonts w:hint="default"/>
                <w:highlight w:val="none"/>
                <w:lang w:val="en-US" w:eastAsia="zh-CN"/>
              </w:rPr>
              <w:t>11.96</w:t>
            </w:r>
          </w:p>
        </w:tc>
        <w:tc>
          <w:tcPr>
            <w:tcW w:w="585" w:type="pct"/>
            <w:tcBorders>
              <w:tl2br w:val="nil"/>
              <w:tr2bl w:val="nil"/>
            </w:tcBorders>
            <w:vAlign w:val="center"/>
          </w:tcPr>
          <w:p w14:paraId="0C9DB50E">
            <w:pPr>
              <w:pStyle w:val="58"/>
              <w:bidi w:val="0"/>
              <w:rPr>
                <w:rFonts w:hint="default"/>
                <w:b/>
                <w:bCs/>
                <w:highlight w:val="none"/>
                <w:lang w:val="en-US" w:eastAsia="zh-CN"/>
              </w:rPr>
            </w:pPr>
            <w:r>
              <w:rPr>
                <w:rFonts w:hint="default"/>
                <w:b/>
                <w:bCs/>
                <w:highlight w:val="none"/>
                <w:lang w:val="en-US" w:eastAsia="zh-CN"/>
              </w:rPr>
              <w:t>78.19</w:t>
            </w:r>
          </w:p>
        </w:tc>
        <w:tc>
          <w:tcPr>
            <w:tcW w:w="556" w:type="pct"/>
            <w:tcBorders>
              <w:tl2br w:val="nil"/>
              <w:tr2bl w:val="nil"/>
            </w:tcBorders>
            <w:vAlign w:val="center"/>
          </w:tcPr>
          <w:p w14:paraId="33EFF1CD">
            <w:pPr>
              <w:pStyle w:val="58"/>
              <w:bidi w:val="0"/>
              <w:rPr>
                <w:rFonts w:hint="default"/>
                <w:highlight w:val="none"/>
                <w:lang w:val="en-US" w:eastAsia="zh-CN"/>
              </w:rPr>
            </w:pPr>
            <w:r>
              <w:rPr>
                <w:rFonts w:hint="default"/>
                <w:highlight w:val="none"/>
                <w:lang w:val="en-US" w:eastAsia="zh-CN"/>
              </w:rPr>
              <w:t>0.00</w:t>
            </w:r>
          </w:p>
        </w:tc>
        <w:tc>
          <w:tcPr>
            <w:tcW w:w="622" w:type="pct"/>
            <w:tcBorders>
              <w:tl2br w:val="nil"/>
              <w:tr2bl w:val="nil"/>
            </w:tcBorders>
            <w:vAlign w:val="center"/>
          </w:tcPr>
          <w:p w14:paraId="3886F5B1">
            <w:pPr>
              <w:pStyle w:val="58"/>
              <w:bidi w:val="0"/>
              <w:rPr>
                <w:rFonts w:hint="default"/>
                <w:highlight w:val="none"/>
                <w:lang w:val="en-US" w:eastAsia="zh-CN"/>
              </w:rPr>
            </w:pPr>
            <w:r>
              <w:rPr>
                <w:rFonts w:hint="default"/>
                <w:highlight w:val="none"/>
                <w:lang w:val="en-US" w:eastAsia="zh-CN"/>
              </w:rPr>
              <w:t>15.21</w:t>
            </w:r>
          </w:p>
        </w:tc>
        <w:tc>
          <w:tcPr>
            <w:tcW w:w="552" w:type="pct"/>
            <w:tcBorders>
              <w:tl2br w:val="nil"/>
              <w:tr2bl w:val="nil"/>
            </w:tcBorders>
            <w:vAlign w:val="center"/>
          </w:tcPr>
          <w:p w14:paraId="56091F7B">
            <w:pPr>
              <w:pStyle w:val="58"/>
              <w:bidi w:val="0"/>
              <w:rPr>
                <w:rFonts w:hint="default"/>
                <w:b/>
                <w:bCs/>
                <w:highlight w:val="none"/>
                <w:lang w:val="en-US" w:eastAsia="zh-CN"/>
              </w:rPr>
            </w:pPr>
            <w:r>
              <w:rPr>
                <w:rFonts w:hint="default"/>
                <w:b/>
                <w:bCs/>
                <w:highlight w:val="none"/>
                <w:lang w:val="en-US" w:eastAsia="zh-CN"/>
              </w:rPr>
              <w:t>27.40</w:t>
            </w:r>
          </w:p>
        </w:tc>
        <w:tc>
          <w:tcPr>
            <w:tcW w:w="562" w:type="pct"/>
            <w:tcBorders>
              <w:tl2br w:val="nil"/>
              <w:tr2bl w:val="nil"/>
            </w:tcBorders>
            <w:vAlign w:val="center"/>
          </w:tcPr>
          <w:p w14:paraId="26895EA9">
            <w:pPr>
              <w:pStyle w:val="58"/>
              <w:bidi w:val="0"/>
              <w:rPr>
                <w:rFonts w:hint="default"/>
                <w:b/>
                <w:bCs/>
                <w:highlight w:val="none"/>
                <w:lang w:val="en-US" w:eastAsia="zh-CN"/>
              </w:rPr>
            </w:pPr>
            <w:r>
              <w:rPr>
                <w:rFonts w:hint="default"/>
                <w:b/>
                <w:bCs/>
                <w:highlight w:val="none"/>
                <w:lang w:val="en-US" w:eastAsia="zh-CN"/>
              </w:rPr>
              <w:t>57.39</w:t>
            </w:r>
          </w:p>
        </w:tc>
      </w:tr>
      <w:tr w14:paraId="547909E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1055" w:type="pct"/>
            <w:tcBorders>
              <w:tl2br w:val="nil"/>
              <w:tr2bl w:val="nil"/>
            </w:tcBorders>
            <w:vAlign w:val="center"/>
          </w:tcPr>
          <w:p w14:paraId="079FBC57">
            <w:pPr>
              <w:pStyle w:val="58"/>
              <w:bidi w:val="0"/>
              <w:rPr>
                <w:rFonts w:hint="default"/>
                <w:highlight w:val="none"/>
                <w:lang w:val="en-US" w:eastAsia="zh-CN"/>
              </w:rPr>
            </w:pPr>
            <w:r>
              <w:rPr>
                <w:rFonts w:hint="default"/>
                <w:highlight w:val="none"/>
                <w:lang w:val="en-US" w:eastAsia="zh-CN"/>
              </w:rPr>
              <w:t>项目东侧（园区内空地区域）潜水</w:t>
            </w:r>
          </w:p>
        </w:tc>
        <w:tc>
          <w:tcPr>
            <w:tcW w:w="511" w:type="pct"/>
            <w:tcBorders>
              <w:tl2br w:val="nil"/>
              <w:tr2bl w:val="nil"/>
            </w:tcBorders>
            <w:vAlign w:val="center"/>
          </w:tcPr>
          <w:p w14:paraId="7A08C77D">
            <w:pPr>
              <w:pStyle w:val="58"/>
              <w:bidi w:val="0"/>
              <w:rPr>
                <w:rFonts w:hint="default"/>
                <w:highlight w:val="none"/>
                <w:lang w:val="en-US" w:eastAsia="zh-CN"/>
              </w:rPr>
            </w:pPr>
            <w:r>
              <w:rPr>
                <w:rFonts w:hint="default"/>
                <w:highlight w:val="none"/>
                <w:lang w:val="en-US" w:eastAsia="zh-CN"/>
              </w:rPr>
              <w:t>9.41</w:t>
            </w:r>
          </w:p>
        </w:tc>
        <w:tc>
          <w:tcPr>
            <w:tcW w:w="552" w:type="pct"/>
            <w:tcBorders>
              <w:tl2br w:val="nil"/>
              <w:tr2bl w:val="nil"/>
            </w:tcBorders>
            <w:vAlign w:val="center"/>
          </w:tcPr>
          <w:p w14:paraId="75D8A9E2">
            <w:pPr>
              <w:pStyle w:val="58"/>
              <w:bidi w:val="0"/>
              <w:rPr>
                <w:rFonts w:hint="default"/>
                <w:b/>
                <w:bCs/>
                <w:highlight w:val="none"/>
                <w:lang w:val="en-US" w:eastAsia="zh-CN"/>
              </w:rPr>
            </w:pPr>
            <w:r>
              <w:rPr>
                <w:rFonts w:hint="default"/>
                <w:b/>
                <w:bCs/>
                <w:highlight w:val="none"/>
                <w:lang w:val="en-US" w:eastAsia="zh-CN"/>
              </w:rPr>
              <w:t>29.46</w:t>
            </w:r>
          </w:p>
        </w:tc>
        <w:tc>
          <w:tcPr>
            <w:tcW w:w="585" w:type="pct"/>
            <w:tcBorders>
              <w:tl2br w:val="nil"/>
              <w:tr2bl w:val="nil"/>
            </w:tcBorders>
            <w:vAlign w:val="center"/>
          </w:tcPr>
          <w:p w14:paraId="76B249D9">
            <w:pPr>
              <w:pStyle w:val="58"/>
              <w:bidi w:val="0"/>
              <w:rPr>
                <w:rFonts w:hint="default"/>
                <w:b/>
                <w:bCs/>
                <w:highlight w:val="none"/>
                <w:lang w:val="en-US" w:eastAsia="zh-CN"/>
              </w:rPr>
            </w:pPr>
            <w:r>
              <w:rPr>
                <w:rFonts w:hint="default"/>
                <w:b/>
                <w:bCs/>
                <w:highlight w:val="none"/>
                <w:lang w:val="en-US" w:eastAsia="zh-CN"/>
              </w:rPr>
              <w:t>61.13</w:t>
            </w:r>
          </w:p>
        </w:tc>
        <w:tc>
          <w:tcPr>
            <w:tcW w:w="556" w:type="pct"/>
            <w:tcBorders>
              <w:tl2br w:val="nil"/>
              <w:tr2bl w:val="nil"/>
            </w:tcBorders>
            <w:vAlign w:val="center"/>
          </w:tcPr>
          <w:p w14:paraId="4D95DEB7">
            <w:pPr>
              <w:pStyle w:val="58"/>
              <w:bidi w:val="0"/>
              <w:rPr>
                <w:rFonts w:hint="default"/>
                <w:highlight w:val="none"/>
                <w:lang w:val="en-US" w:eastAsia="zh-CN"/>
              </w:rPr>
            </w:pPr>
            <w:r>
              <w:rPr>
                <w:rFonts w:hint="default"/>
                <w:highlight w:val="none"/>
                <w:lang w:val="en-US" w:eastAsia="zh-CN"/>
              </w:rPr>
              <w:t>0.00</w:t>
            </w:r>
          </w:p>
        </w:tc>
        <w:tc>
          <w:tcPr>
            <w:tcW w:w="622" w:type="pct"/>
            <w:tcBorders>
              <w:tl2br w:val="nil"/>
              <w:tr2bl w:val="nil"/>
            </w:tcBorders>
            <w:vAlign w:val="center"/>
          </w:tcPr>
          <w:p w14:paraId="31CB65E5">
            <w:pPr>
              <w:pStyle w:val="58"/>
              <w:bidi w:val="0"/>
              <w:rPr>
                <w:rFonts w:hint="default"/>
                <w:highlight w:val="none"/>
                <w:lang w:val="en-US" w:eastAsia="zh-CN"/>
              </w:rPr>
            </w:pPr>
            <w:r>
              <w:rPr>
                <w:rFonts w:hint="default"/>
                <w:highlight w:val="none"/>
                <w:lang w:val="en-US" w:eastAsia="zh-CN"/>
              </w:rPr>
              <w:t>17.84</w:t>
            </w:r>
          </w:p>
        </w:tc>
        <w:tc>
          <w:tcPr>
            <w:tcW w:w="552" w:type="pct"/>
            <w:tcBorders>
              <w:tl2br w:val="nil"/>
              <w:tr2bl w:val="nil"/>
            </w:tcBorders>
            <w:vAlign w:val="center"/>
          </w:tcPr>
          <w:p w14:paraId="699537FE">
            <w:pPr>
              <w:pStyle w:val="58"/>
              <w:bidi w:val="0"/>
              <w:rPr>
                <w:rFonts w:hint="default"/>
                <w:b/>
                <w:bCs/>
                <w:highlight w:val="none"/>
                <w:lang w:val="en-US" w:eastAsia="zh-CN"/>
              </w:rPr>
            </w:pPr>
            <w:r>
              <w:rPr>
                <w:rFonts w:hint="default"/>
                <w:b/>
                <w:bCs/>
                <w:highlight w:val="none"/>
                <w:lang w:val="en-US" w:eastAsia="zh-CN"/>
              </w:rPr>
              <w:t>25.54</w:t>
            </w:r>
          </w:p>
        </w:tc>
        <w:tc>
          <w:tcPr>
            <w:tcW w:w="562" w:type="pct"/>
            <w:tcBorders>
              <w:tl2br w:val="nil"/>
              <w:tr2bl w:val="nil"/>
            </w:tcBorders>
            <w:vAlign w:val="center"/>
          </w:tcPr>
          <w:p w14:paraId="529090CE">
            <w:pPr>
              <w:pStyle w:val="58"/>
              <w:bidi w:val="0"/>
              <w:rPr>
                <w:rFonts w:hint="default"/>
                <w:b/>
                <w:bCs/>
                <w:highlight w:val="none"/>
                <w:lang w:val="en-US" w:eastAsia="zh-CN"/>
              </w:rPr>
            </w:pPr>
            <w:r>
              <w:rPr>
                <w:rFonts w:hint="default"/>
                <w:b/>
                <w:bCs/>
                <w:highlight w:val="none"/>
                <w:lang w:val="en-US" w:eastAsia="zh-CN"/>
              </w:rPr>
              <w:t>56.62</w:t>
            </w:r>
          </w:p>
        </w:tc>
      </w:tr>
      <w:tr w14:paraId="7B0C95A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1055" w:type="pct"/>
            <w:tcBorders>
              <w:tl2br w:val="nil"/>
              <w:tr2bl w:val="nil"/>
            </w:tcBorders>
            <w:vAlign w:val="center"/>
          </w:tcPr>
          <w:p w14:paraId="44124450">
            <w:pPr>
              <w:pStyle w:val="58"/>
              <w:bidi w:val="0"/>
              <w:rPr>
                <w:rFonts w:hint="default"/>
                <w:highlight w:val="none"/>
                <w:lang w:val="en-US" w:eastAsia="zh-CN"/>
              </w:rPr>
            </w:pPr>
            <w:r>
              <w:rPr>
                <w:rFonts w:hint="default"/>
                <w:highlight w:val="none"/>
                <w:lang w:val="en-US" w:eastAsia="zh-CN"/>
              </w:rPr>
              <w:t>项目东南侧（园区内南侧企业附近）潜水</w:t>
            </w:r>
          </w:p>
        </w:tc>
        <w:tc>
          <w:tcPr>
            <w:tcW w:w="511" w:type="pct"/>
            <w:tcBorders>
              <w:tl2br w:val="nil"/>
              <w:tr2bl w:val="nil"/>
            </w:tcBorders>
            <w:vAlign w:val="center"/>
          </w:tcPr>
          <w:p w14:paraId="16E0AD8F">
            <w:pPr>
              <w:pStyle w:val="58"/>
              <w:bidi w:val="0"/>
              <w:rPr>
                <w:rFonts w:hint="default"/>
                <w:highlight w:val="none"/>
                <w:lang w:val="en-US" w:eastAsia="zh-CN"/>
              </w:rPr>
            </w:pPr>
            <w:r>
              <w:rPr>
                <w:rFonts w:hint="default"/>
                <w:highlight w:val="none"/>
                <w:lang w:val="en-US" w:eastAsia="zh-CN"/>
              </w:rPr>
              <w:t>11.33</w:t>
            </w:r>
          </w:p>
        </w:tc>
        <w:tc>
          <w:tcPr>
            <w:tcW w:w="552" w:type="pct"/>
            <w:tcBorders>
              <w:tl2br w:val="nil"/>
              <w:tr2bl w:val="nil"/>
            </w:tcBorders>
            <w:vAlign w:val="center"/>
          </w:tcPr>
          <w:p w14:paraId="1080DC66">
            <w:pPr>
              <w:pStyle w:val="58"/>
              <w:bidi w:val="0"/>
              <w:rPr>
                <w:rFonts w:hint="default"/>
                <w:b/>
                <w:bCs/>
                <w:highlight w:val="none"/>
                <w:lang w:val="en-US" w:eastAsia="zh-CN"/>
              </w:rPr>
            </w:pPr>
            <w:r>
              <w:rPr>
                <w:rFonts w:hint="default"/>
                <w:b/>
                <w:bCs/>
                <w:highlight w:val="none"/>
                <w:lang w:val="en-US" w:eastAsia="zh-CN"/>
              </w:rPr>
              <w:t>28.16</w:t>
            </w:r>
          </w:p>
        </w:tc>
        <w:tc>
          <w:tcPr>
            <w:tcW w:w="585" w:type="pct"/>
            <w:tcBorders>
              <w:tl2br w:val="nil"/>
              <w:tr2bl w:val="nil"/>
            </w:tcBorders>
            <w:vAlign w:val="center"/>
          </w:tcPr>
          <w:p w14:paraId="176B64B4">
            <w:pPr>
              <w:pStyle w:val="58"/>
              <w:bidi w:val="0"/>
              <w:rPr>
                <w:rFonts w:hint="default"/>
                <w:b/>
                <w:bCs/>
                <w:highlight w:val="none"/>
                <w:lang w:val="en-US" w:eastAsia="zh-CN"/>
              </w:rPr>
            </w:pPr>
            <w:r>
              <w:rPr>
                <w:rFonts w:hint="default"/>
                <w:b/>
                <w:bCs/>
                <w:highlight w:val="none"/>
                <w:lang w:val="en-US" w:eastAsia="zh-CN"/>
              </w:rPr>
              <w:t>60.52</w:t>
            </w:r>
          </w:p>
        </w:tc>
        <w:tc>
          <w:tcPr>
            <w:tcW w:w="556" w:type="pct"/>
            <w:tcBorders>
              <w:tl2br w:val="nil"/>
              <w:tr2bl w:val="nil"/>
            </w:tcBorders>
            <w:vAlign w:val="center"/>
          </w:tcPr>
          <w:p w14:paraId="4F4A262C">
            <w:pPr>
              <w:pStyle w:val="58"/>
              <w:bidi w:val="0"/>
              <w:rPr>
                <w:rFonts w:hint="default"/>
                <w:highlight w:val="none"/>
                <w:lang w:val="en-US" w:eastAsia="zh-CN"/>
              </w:rPr>
            </w:pPr>
            <w:r>
              <w:rPr>
                <w:rFonts w:hint="default"/>
                <w:highlight w:val="none"/>
                <w:lang w:val="en-US" w:eastAsia="zh-CN"/>
              </w:rPr>
              <w:t>0.00</w:t>
            </w:r>
          </w:p>
        </w:tc>
        <w:tc>
          <w:tcPr>
            <w:tcW w:w="622" w:type="pct"/>
            <w:tcBorders>
              <w:tl2br w:val="nil"/>
              <w:tr2bl w:val="nil"/>
            </w:tcBorders>
            <w:vAlign w:val="center"/>
          </w:tcPr>
          <w:p w14:paraId="12595FCB">
            <w:pPr>
              <w:pStyle w:val="58"/>
              <w:bidi w:val="0"/>
              <w:rPr>
                <w:rFonts w:hint="default"/>
                <w:highlight w:val="none"/>
                <w:lang w:val="en-US" w:eastAsia="zh-CN"/>
              </w:rPr>
            </w:pPr>
            <w:r>
              <w:rPr>
                <w:rFonts w:hint="default"/>
                <w:highlight w:val="none"/>
                <w:lang w:val="en-US" w:eastAsia="zh-CN"/>
              </w:rPr>
              <w:t>14.36</w:t>
            </w:r>
          </w:p>
        </w:tc>
        <w:tc>
          <w:tcPr>
            <w:tcW w:w="552" w:type="pct"/>
            <w:tcBorders>
              <w:tl2br w:val="nil"/>
              <w:tr2bl w:val="nil"/>
            </w:tcBorders>
            <w:vAlign w:val="center"/>
          </w:tcPr>
          <w:p w14:paraId="6A63B6CC">
            <w:pPr>
              <w:pStyle w:val="58"/>
              <w:bidi w:val="0"/>
              <w:rPr>
                <w:rFonts w:hint="default"/>
                <w:b/>
                <w:bCs/>
                <w:highlight w:val="none"/>
                <w:lang w:val="en-US" w:eastAsia="zh-CN"/>
              </w:rPr>
            </w:pPr>
            <w:r>
              <w:rPr>
                <w:rFonts w:hint="default"/>
                <w:b/>
                <w:bCs/>
                <w:highlight w:val="none"/>
                <w:lang w:val="en-US" w:eastAsia="zh-CN"/>
              </w:rPr>
              <w:t>29.13</w:t>
            </w:r>
          </w:p>
        </w:tc>
        <w:tc>
          <w:tcPr>
            <w:tcW w:w="562" w:type="pct"/>
            <w:tcBorders>
              <w:tl2br w:val="nil"/>
              <w:tr2bl w:val="nil"/>
            </w:tcBorders>
            <w:vAlign w:val="center"/>
          </w:tcPr>
          <w:p w14:paraId="7AC87E4D">
            <w:pPr>
              <w:pStyle w:val="58"/>
              <w:bidi w:val="0"/>
              <w:rPr>
                <w:rFonts w:hint="default"/>
                <w:b/>
                <w:bCs/>
                <w:highlight w:val="none"/>
                <w:lang w:val="en-US" w:eastAsia="zh-CN"/>
              </w:rPr>
            </w:pPr>
            <w:r>
              <w:rPr>
                <w:rFonts w:hint="default"/>
                <w:b/>
                <w:bCs/>
                <w:highlight w:val="none"/>
                <w:lang w:val="en-US" w:eastAsia="zh-CN"/>
              </w:rPr>
              <w:t>56.51</w:t>
            </w:r>
          </w:p>
        </w:tc>
      </w:tr>
      <w:tr w14:paraId="0F9D1A0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1055" w:type="pct"/>
            <w:tcBorders>
              <w:tl2br w:val="nil"/>
              <w:tr2bl w:val="nil"/>
            </w:tcBorders>
            <w:vAlign w:val="center"/>
          </w:tcPr>
          <w:p w14:paraId="46C68BA5">
            <w:pPr>
              <w:pStyle w:val="58"/>
              <w:bidi w:val="0"/>
              <w:rPr>
                <w:rFonts w:hint="default"/>
                <w:highlight w:val="none"/>
                <w:lang w:val="en-US" w:eastAsia="zh-CN"/>
              </w:rPr>
            </w:pPr>
            <w:r>
              <w:rPr>
                <w:rFonts w:hint="default"/>
                <w:highlight w:val="none"/>
                <w:lang w:val="en-US" w:eastAsia="zh-CN"/>
              </w:rPr>
              <w:t>项目占地范围内</w:t>
            </w:r>
            <w:r>
              <w:rPr>
                <w:rFonts w:hint="eastAsia"/>
                <w:highlight w:val="none"/>
                <w:lang w:val="en-US" w:eastAsia="zh-CN"/>
              </w:rPr>
              <w:t>潜水</w:t>
            </w:r>
          </w:p>
        </w:tc>
        <w:tc>
          <w:tcPr>
            <w:tcW w:w="511" w:type="pct"/>
            <w:tcBorders>
              <w:tl2br w:val="nil"/>
              <w:tr2bl w:val="nil"/>
            </w:tcBorders>
            <w:vAlign w:val="center"/>
          </w:tcPr>
          <w:p w14:paraId="15CBEEE4">
            <w:pPr>
              <w:pStyle w:val="58"/>
              <w:bidi w:val="0"/>
              <w:rPr>
                <w:rFonts w:hint="default"/>
                <w:highlight w:val="none"/>
                <w:lang w:val="en-US" w:eastAsia="zh-CN"/>
              </w:rPr>
            </w:pPr>
            <w:r>
              <w:rPr>
                <w:rFonts w:hint="default"/>
                <w:highlight w:val="none"/>
                <w:lang w:val="en-US" w:eastAsia="zh-CN"/>
              </w:rPr>
              <w:t>20.37</w:t>
            </w:r>
          </w:p>
        </w:tc>
        <w:tc>
          <w:tcPr>
            <w:tcW w:w="552" w:type="pct"/>
            <w:tcBorders>
              <w:tl2br w:val="nil"/>
              <w:tr2bl w:val="nil"/>
            </w:tcBorders>
            <w:vAlign w:val="center"/>
          </w:tcPr>
          <w:p w14:paraId="1AC1AE9C">
            <w:pPr>
              <w:pStyle w:val="58"/>
              <w:bidi w:val="0"/>
              <w:rPr>
                <w:rFonts w:hint="default"/>
                <w:b/>
                <w:bCs/>
                <w:highlight w:val="none"/>
                <w:lang w:val="en-US" w:eastAsia="zh-CN"/>
              </w:rPr>
            </w:pPr>
            <w:r>
              <w:rPr>
                <w:rFonts w:hint="default"/>
                <w:b/>
                <w:bCs/>
                <w:highlight w:val="none"/>
                <w:lang w:val="en-US" w:eastAsia="zh-CN"/>
              </w:rPr>
              <w:t>27.13</w:t>
            </w:r>
          </w:p>
        </w:tc>
        <w:tc>
          <w:tcPr>
            <w:tcW w:w="585" w:type="pct"/>
            <w:tcBorders>
              <w:tl2br w:val="nil"/>
              <w:tr2bl w:val="nil"/>
            </w:tcBorders>
            <w:vAlign w:val="center"/>
          </w:tcPr>
          <w:p w14:paraId="10EEB133">
            <w:pPr>
              <w:pStyle w:val="58"/>
              <w:bidi w:val="0"/>
              <w:rPr>
                <w:rFonts w:hint="default"/>
                <w:b/>
                <w:bCs/>
                <w:highlight w:val="none"/>
                <w:lang w:val="en-US" w:eastAsia="zh-CN"/>
              </w:rPr>
            </w:pPr>
            <w:r>
              <w:rPr>
                <w:rFonts w:hint="default"/>
                <w:b/>
                <w:bCs/>
                <w:highlight w:val="none"/>
                <w:lang w:val="en-US" w:eastAsia="zh-CN"/>
              </w:rPr>
              <w:t>52.50</w:t>
            </w:r>
          </w:p>
        </w:tc>
        <w:tc>
          <w:tcPr>
            <w:tcW w:w="556" w:type="pct"/>
            <w:tcBorders>
              <w:tl2br w:val="nil"/>
              <w:tr2bl w:val="nil"/>
            </w:tcBorders>
            <w:vAlign w:val="center"/>
          </w:tcPr>
          <w:p w14:paraId="19C58197">
            <w:pPr>
              <w:pStyle w:val="58"/>
              <w:bidi w:val="0"/>
              <w:rPr>
                <w:rFonts w:hint="default"/>
                <w:highlight w:val="none"/>
                <w:lang w:val="en-US" w:eastAsia="zh-CN"/>
              </w:rPr>
            </w:pPr>
            <w:r>
              <w:rPr>
                <w:rFonts w:hint="default"/>
                <w:highlight w:val="none"/>
                <w:lang w:val="en-US" w:eastAsia="zh-CN"/>
              </w:rPr>
              <w:t>0.00</w:t>
            </w:r>
          </w:p>
        </w:tc>
        <w:tc>
          <w:tcPr>
            <w:tcW w:w="622" w:type="pct"/>
            <w:tcBorders>
              <w:tl2br w:val="nil"/>
              <w:tr2bl w:val="nil"/>
            </w:tcBorders>
            <w:vAlign w:val="center"/>
          </w:tcPr>
          <w:p w14:paraId="0A780963">
            <w:pPr>
              <w:pStyle w:val="58"/>
              <w:bidi w:val="0"/>
              <w:rPr>
                <w:rFonts w:hint="default"/>
                <w:highlight w:val="none"/>
                <w:lang w:val="en-US" w:eastAsia="zh-CN"/>
              </w:rPr>
            </w:pPr>
            <w:r>
              <w:rPr>
                <w:rFonts w:hint="default"/>
                <w:b/>
                <w:bCs/>
                <w:highlight w:val="none"/>
                <w:lang w:val="en-US" w:eastAsia="zh-CN"/>
              </w:rPr>
              <w:t>37.68</w:t>
            </w:r>
          </w:p>
        </w:tc>
        <w:tc>
          <w:tcPr>
            <w:tcW w:w="552" w:type="pct"/>
            <w:tcBorders>
              <w:tl2br w:val="nil"/>
              <w:tr2bl w:val="nil"/>
            </w:tcBorders>
            <w:vAlign w:val="center"/>
          </w:tcPr>
          <w:p w14:paraId="39A68A8A">
            <w:pPr>
              <w:pStyle w:val="58"/>
              <w:bidi w:val="0"/>
              <w:rPr>
                <w:rFonts w:hint="default"/>
                <w:highlight w:val="none"/>
                <w:lang w:val="en-US" w:eastAsia="zh-CN"/>
              </w:rPr>
            </w:pPr>
            <w:r>
              <w:rPr>
                <w:rFonts w:hint="default"/>
                <w:highlight w:val="none"/>
                <w:lang w:val="en-US" w:eastAsia="zh-CN"/>
              </w:rPr>
              <w:t>15.05</w:t>
            </w:r>
          </w:p>
        </w:tc>
        <w:tc>
          <w:tcPr>
            <w:tcW w:w="562" w:type="pct"/>
            <w:tcBorders>
              <w:tl2br w:val="nil"/>
              <w:tr2bl w:val="nil"/>
            </w:tcBorders>
            <w:vAlign w:val="center"/>
          </w:tcPr>
          <w:p w14:paraId="7F24C513">
            <w:pPr>
              <w:pStyle w:val="58"/>
              <w:bidi w:val="0"/>
              <w:rPr>
                <w:rFonts w:hint="default"/>
                <w:highlight w:val="none"/>
                <w:lang w:val="en-US" w:eastAsia="zh-CN"/>
              </w:rPr>
            </w:pPr>
            <w:r>
              <w:rPr>
                <w:rFonts w:hint="default"/>
                <w:highlight w:val="none"/>
                <w:lang w:val="en-US" w:eastAsia="zh-CN"/>
              </w:rPr>
              <w:t>47.27</w:t>
            </w:r>
          </w:p>
        </w:tc>
      </w:tr>
      <w:tr w14:paraId="6813F84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1055" w:type="pct"/>
            <w:tcBorders>
              <w:tl2br w:val="nil"/>
              <w:tr2bl w:val="nil"/>
            </w:tcBorders>
            <w:vAlign w:val="center"/>
          </w:tcPr>
          <w:p w14:paraId="50483EED">
            <w:pPr>
              <w:pStyle w:val="58"/>
              <w:bidi w:val="0"/>
              <w:rPr>
                <w:rFonts w:hint="default"/>
                <w:highlight w:val="none"/>
                <w:lang w:val="en-US" w:eastAsia="zh-CN"/>
              </w:rPr>
            </w:pPr>
            <w:r>
              <w:rPr>
                <w:rFonts w:hint="default"/>
                <w:highlight w:val="none"/>
                <w:lang w:val="en-US" w:eastAsia="zh-CN"/>
              </w:rPr>
              <w:t>项目西北侧（金木美佳西侧Q4#）潜水</w:t>
            </w:r>
          </w:p>
        </w:tc>
        <w:tc>
          <w:tcPr>
            <w:tcW w:w="511" w:type="pct"/>
            <w:tcBorders>
              <w:tl2br w:val="nil"/>
              <w:tr2bl w:val="nil"/>
            </w:tcBorders>
            <w:vAlign w:val="center"/>
          </w:tcPr>
          <w:p w14:paraId="0DD6898E">
            <w:pPr>
              <w:pStyle w:val="58"/>
              <w:bidi w:val="0"/>
              <w:rPr>
                <w:rFonts w:hint="default"/>
                <w:highlight w:val="none"/>
                <w:lang w:val="en-US" w:eastAsia="zh-CN"/>
              </w:rPr>
            </w:pPr>
            <w:r>
              <w:rPr>
                <w:rFonts w:hint="default"/>
                <w:highlight w:val="none"/>
                <w:lang w:val="en-US" w:eastAsia="zh-CN"/>
              </w:rPr>
              <w:t>15.25</w:t>
            </w:r>
          </w:p>
        </w:tc>
        <w:tc>
          <w:tcPr>
            <w:tcW w:w="552" w:type="pct"/>
            <w:tcBorders>
              <w:tl2br w:val="nil"/>
              <w:tr2bl w:val="nil"/>
            </w:tcBorders>
            <w:vAlign w:val="center"/>
          </w:tcPr>
          <w:p w14:paraId="6FA41398">
            <w:pPr>
              <w:pStyle w:val="58"/>
              <w:bidi w:val="0"/>
              <w:rPr>
                <w:rFonts w:hint="default"/>
                <w:b/>
                <w:bCs/>
                <w:highlight w:val="none"/>
                <w:lang w:val="en-US" w:eastAsia="zh-CN"/>
              </w:rPr>
            </w:pPr>
            <w:r>
              <w:rPr>
                <w:rFonts w:hint="default"/>
                <w:b/>
                <w:bCs/>
                <w:highlight w:val="none"/>
                <w:lang w:val="en-US" w:eastAsia="zh-CN"/>
              </w:rPr>
              <w:t>55.99</w:t>
            </w:r>
          </w:p>
        </w:tc>
        <w:tc>
          <w:tcPr>
            <w:tcW w:w="585" w:type="pct"/>
            <w:tcBorders>
              <w:tl2br w:val="nil"/>
              <w:tr2bl w:val="nil"/>
            </w:tcBorders>
            <w:vAlign w:val="center"/>
          </w:tcPr>
          <w:p w14:paraId="4986F520">
            <w:pPr>
              <w:pStyle w:val="58"/>
              <w:bidi w:val="0"/>
              <w:rPr>
                <w:rFonts w:hint="default"/>
                <w:b/>
                <w:bCs/>
                <w:highlight w:val="none"/>
                <w:lang w:val="en-US" w:eastAsia="zh-CN"/>
              </w:rPr>
            </w:pPr>
            <w:r>
              <w:rPr>
                <w:rFonts w:hint="default"/>
                <w:b/>
                <w:bCs/>
                <w:highlight w:val="none"/>
                <w:lang w:val="en-US" w:eastAsia="zh-CN"/>
              </w:rPr>
              <w:t>28.77</w:t>
            </w:r>
          </w:p>
        </w:tc>
        <w:tc>
          <w:tcPr>
            <w:tcW w:w="556" w:type="pct"/>
            <w:tcBorders>
              <w:tl2br w:val="nil"/>
              <w:tr2bl w:val="nil"/>
            </w:tcBorders>
            <w:vAlign w:val="center"/>
          </w:tcPr>
          <w:p w14:paraId="438C0629">
            <w:pPr>
              <w:pStyle w:val="58"/>
              <w:bidi w:val="0"/>
              <w:rPr>
                <w:rFonts w:hint="default"/>
                <w:highlight w:val="none"/>
                <w:lang w:val="en-US" w:eastAsia="zh-CN"/>
              </w:rPr>
            </w:pPr>
            <w:r>
              <w:rPr>
                <w:rFonts w:hint="default"/>
                <w:highlight w:val="none"/>
                <w:lang w:val="en-US" w:eastAsia="zh-CN"/>
              </w:rPr>
              <w:t>0.00</w:t>
            </w:r>
          </w:p>
        </w:tc>
        <w:tc>
          <w:tcPr>
            <w:tcW w:w="622" w:type="pct"/>
            <w:tcBorders>
              <w:tl2br w:val="nil"/>
              <w:tr2bl w:val="nil"/>
            </w:tcBorders>
            <w:vAlign w:val="center"/>
          </w:tcPr>
          <w:p w14:paraId="028D3DA6">
            <w:pPr>
              <w:pStyle w:val="58"/>
              <w:bidi w:val="0"/>
              <w:rPr>
                <w:rFonts w:hint="default"/>
                <w:highlight w:val="none"/>
                <w:lang w:val="en-US" w:eastAsia="zh-CN"/>
              </w:rPr>
            </w:pPr>
            <w:r>
              <w:rPr>
                <w:rFonts w:hint="default"/>
                <w:highlight w:val="none"/>
                <w:lang w:val="en-US" w:eastAsia="zh-CN"/>
              </w:rPr>
              <w:t>1.19</w:t>
            </w:r>
          </w:p>
        </w:tc>
        <w:tc>
          <w:tcPr>
            <w:tcW w:w="552" w:type="pct"/>
            <w:tcBorders>
              <w:tl2br w:val="nil"/>
              <w:tr2bl w:val="nil"/>
            </w:tcBorders>
            <w:vAlign w:val="center"/>
          </w:tcPr>
          <w:p w14:paraId="28C02F39">
            <w:pPr>
              <w:pStyle w:val="58"/>
              <w:bidi w:val="0"/>
              <w:rPr>
                <w:rFonts w:hint="default"/>
                <w:b/>
                <w:bCs/>
                <w:highlight w:val="none"/>
                <w:lang w:val="en-US" w:eastAsia="zh-CN"/>
              </w:rPr>
            </w:pPr>
            <w:r>
              <w:rPr>
                <w:rFonts w:hint="default"/>
                <w:b/>
                <w:bCs/>
                <w:highlight w:val="none"/>
                <w:lang w:val="en-US" w:eastAsia="zh-CN"/>
              </w:rPr>
              <w:t>46.72</w:t>
            </w:r>
          </w:p>
        </w:tc>
        <w:tc>
          <w:tcPr>
            <w:tcW w:w="562" w:type="pct"/>
            <w:tcBorders>
              <w:tl2br w:val="nil"/>
              <w:tr2bl w:val="nil"/>
            </w:tcBorders>
            <w:vAlign w:val="center"/>
          </w:tcPr>
          <w:p w14:paraId="1635672D">
            <w:pPr>
              <w:pStyle w:val="58"/>
              <w:bidi w:val="0"/>
              <w:rPr>
                <w:rFonts w:hint="default"/>
                <w:highlight w:val="none"/>
                <w:lang w:val="en-US" w:eastAsia="zh-CN"/>
              </w:rPr>
            </w:pPr>
            <w:r>
              <w:rPr>
                <w:rFonts w:hint="default"/>
                <w:b/>
                <w:bCs/>
                <w:highlight w:val="none"/>
                <w:lang w:val="en-US" w:eastAsia="zh-CN"/>
              </w:rPr>
              <w:t>52.10</w:t>
            </w:r>
          </w:p>
        </w:tc>
      </w:tr>
      <w:tr w14:paraId="5D4F472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1055" w:type="pct"/>
            <w:tcBorders>
              <w:tl2br w:val="nil"/>
              <w:tr2bl w:val="nil"/>
            </w:tcBorders>
            <w:vAlign w:val="center"/>
          </w:tcPr>
          <w:p w14:paraId="06D46AFC">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项目东南侧（园区内深水井）承压水</w:t>
            </w:r>
          </w:p>
        </w:tc>
        <w:tc>
          <w:tcPr>
            <w:tcW w:w="511" w:type="pct"/>
            <w:tcBorders>
              <w:tl2br w:val="nil"/>
              <w:tr2bl w:val="nil"/>
            </w:tcBorders>
            <w:vAlign w:val="center"/>
          </w:tcPr>
          <w:p w14:paraId="46E29C04">
            <w:pPr>
              <w:pStyle w:val="58"/>
              <w:bidi w:val="0"/>
              <w:rPr>
                <w:rFonts w:hint="default" w:ascii="Times New Roman" w:hAnsi="Times New Roman"/>
                <w:b/>
                <w:bCs/>
                <w:highlight w:val="none"/>
                <w:lang w:val="en-US" w:eastAsia="zh-CN"/>
              </w:rPr>
            </w:pPr>
            <w:r>
              <w:rPr>
                <w:rFonts w:hint="eastAsia" w:ascii="Times New Roman" w:hAnsi="Times New Roman"/>
                <w:b/>
                <w:bCs/>
                <w:highlight w:val="none"/>
                <w:lang w:val="en-US" w:eastAsia="zh-CN"/>
              </w:rPr>
              <w:t>46.52</w:t>
            </w:r>
          </w:p>
        </w:tc>
        <w:tc>
          <w:tcPr>
            <w:tcW w:w="552" w:type="pct"/>
            <w:tcBorders>
              <w:tl2br w:val="nil"/>
              <w:tr2bl w:val="nil"/>
            </w:tcBorders>
            <w:vAlign w:val="center"/>
          </w:tcPr>
          <w:p w14:paraId="15A42922">
            <w:pPr>
              <w:pStyle w:val="58"/>
              <w:bidi w:val="0"/>
              <w:rPr>
                <w:rFonts w:hint="default" w:ascii="Times New Roman" w:hAnsi="Times New Roman"/>
                <w:b/>
                <w:bCs/>
                <w:highlight w:val="none"/>
                <w:lang w:val="en-US" w:eastAsia="zh-CN"/>
              </w:rPr>
            </w:pPr>
            <w:r>
              <w:rPr>
                <w:rFonts w:hint="eastAsia" w:ascii="Times New Roman" w:hAnsi="Times New Roman"/>
                <w:b/>
                <w:bCs/>
                <w:highlight w:val="none"/>
                <w:lang w:val="en-US" w:eastAsia="zh-CN"/>
              </w:rPr>
              <w:t>47.90</w:t>
            </w:r>
          </w:p>
        </w:tc>
        <w:tc>
          <w:tcPr>
            <w:tcW w:w="585" w:type="pct"/>
            <w:tcBorders>
              <w:tl2br w:val="nil"/>
              <w:tr2bl w:val="nil"/>
            </w:tcBorders>
            <w:vAlign w:val="center"/>
          </w:tcPr>
          <w:p w14:paraId="2E329234">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5.57</w:t>
            </w:r>
          </w:p>
        </w:tc>
        <w:tc>
          <w:tcPr>
            <w:tcW w:w="556" w:type="pct"/>
            <w:tcBorders>
              <w:tl2br w:val="nil"/>
              <w:tr2bl w:val="nil"/>
            </w:tcBorders>
            <w:vAlign w:val="center"/>
          </w:tcPr>
          <w:p w14:paraId="52E1C4E6">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0.00</w:t>
            </w:r>
          </w:p>
        </w:tc>
        <w:tc>
          <w:tcPr>
            <w:tcW w:w="622" w:type="pct"/>
            <w:tcBorders>
              <w:tl2br w:val="nil"/>
              <w:tr2bl w:val="nil"/>
            </w:tcBorders>
            <w:vAlign w:val="center"/>
          </w:tcPr>
          <w:p w14:paraId="6A88F4AA">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14.96</w:t>
            </w:r>
          </w:p>
        </w:tc>
        <w:tc>
          <w:tcPr>
            <w:tcW w:w="552" w:type="pct"/>
            <w:tcBorders>
              <w:tl2br w:val="nil"/>
              <w:tr2bl w:val="nil"/>
            </w:tcBorders>
            <w:vAlign w:val="center"/>
          </w:tcPr>
          <w:p w14:paraId="5502640F">
            <w:pPr>
              <w:pStyle w:val="58"/>
              <w:bidi w:val="0"/>
              <w:rPr>
                <w:rFonts w:hint="default" w:ascii="Times New Roman" w:hAnsi="Times New Roman"/>
                <w:b/>
                <w:bCs/>
                <w:highlight w:val="none"/>
                <w:lang w:val="en-US" w:eastAsia="zh-CN"/>
              </w:rPr>
            </w:pPr>
            <w:r>
              <w:rPr>
                <w:rFonts w:hint="eastAsia" w:ascii="Times New Roman" w:hAnsi="Times New Roman"/>
                <w:b/>
                <w:bCs/>
                <w:highlight w:val="none"/>
                <w:lang w:val="en-US" w:eastAsia="zh-CN"/>
              </w:rPr>
              <w:t>61.91</w:t>
            </w:r>
          </w:p>
        </w:tc>
        <w:tc>
          <w:tcPr>
            <w:tcW w:w="562" w:type="pct"/>
            <w:tcBorders>
              <w:tl2br w:val="nil"/>
              <w:tr2bl w:val="nil"/>
            </w:tcBorders>
            <w:vAlign w:val="center"/>
          </w:tcPr>
          <w:p w14:paraId="322F4AD2">
            <w:pPr>
              <w:pStyle w:val="58"/>
              <w:bidi w:val="0"/>
              <w:rPr>
                <w:rFonts w:hint="default" w:ascii="Times New Roman" w:hAnsi="Times New Roman"/>
                <w:highlight w:val="none"/>
                <w:lang w:val="en-US" w:eastAsia="zh-CN"/>
              </w:rPr>
            </w:pPr>
            <w:r>
              <w:rPr>
                <w:rFonts w:hint="eastAsia" w:ascii="Times New Roman" w:hAnsi="Times New Roman"/>
                <w:highlight w:val="none"/>
                <w:lang w:val="en-US" w:eastAsia="zh-CN"/>
              </w:rPr>
              <w:t>23.13</w:t>
            </w:r>
          </w:p>
        </w:tc>
      </w:tr>
      <w:tr w14:paraId="55895B3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1055" w:type="pct"/>
            <w:tcBorders>
              <w:tl2br w:val="nil"/>
              <w:tr2bl w:val="nil"/>
            </w:tcBorders>
            <w:vAlign w:val="center"/>
          </w:tcPr>
          <w:p w14:paraId="667BB9E1">
            <w:pPr>
              <w:pStyle w:val="58"/>
              <w:bidi w:val="0"/>
              <w:rPr>
                <w:rFonts w:hint="default"/>
                <w:highlight w:val="none"/>
                <w:lang w:val="en-US" w:eastAsia="zh-CN"/>
              </w:rPr>
            </w:pPr>
            <w:r>
              <w:rPr>
                <w:rFonts w:hint="default"/>
                <w:highlight w:val="none"/>
                <w:lang w:val="en-US" w:eastAsia="zh-CN"/>
              </w:rPr>
              <w:t>项目北侧（金木美佳北侧C1#）承压水</w:t>
            </w:r>
          </w:p>
        </w:tc>
        <w:tc>
          <w:tcPr>
            <w:tcW w:w="511" w:type="pct"/>
            <w:tcBorders>
              <w:tl2br w:val="nil"/>
              <w:tr2bl w:val="nil"/>
            </w:tcBorders>
            <w:vAlign w:val="center"/>
          </w:tcPr>
          <w:p w14:paraId="6A76B0B3">
            <w:pPr>
              <w:pStyle w:val="58"/>
              <w:bidi w:val="0"/>
              <w:rPr>
                <w:rFonts w:hint="default"/>
                <w:highlight w:val="none"/>
                <w:lang w:val="en-US" w:eastAsia="zh-CN"/>
              </w:rPr>
            </w:pPr>
            <w:r>
              <w:rPr>
                <w:rFonts w:hint="default"/>
                <w:highlight w:val="none"/>
                <w:lang w:val="en-US" w:eastAsia="zh-CN"/>
              </w:rPr>
              <w:t>9.69</w:t>
            </w:r>
          </w:p>
        </w:tc>
        <w:tc>
          <w:tcPr>
            <w:tcW w:w="552" w:type="pct"/>
            <w:tcBorders>
              <w:tl2br w:val="nil"/>
              <w:tr2bl w:val="nil"/>
            </w:tcBorders>
            <w:vAlign w:val="center"/>
          </w:tcPr>
          <w:p w14:paraId="5183DAA7">
            <w:pPr>
              <w:pStyle w:val="58"/>
              <w:bidi w:val="0"/>
              <w:rPr>
                <w:rFonts w:hint="default"/>
                <w:b/>
                <w:bCs/>
                <w:highlight w:val="none"/>
                <w:lang w:val="en-US" w:eastAsia="zh-CN"/>
              </w:rPr>
            </w:pPr>
            <w:r>
              <w:rPr>
                <w:rFonts w:hint="default"/>
                <w:b/>
                <w:bCs/>
                <w:highlight w:val="none"/>
                <w:lang w:val="en-US" w:eastAsia="zh-CN"/>
              </w:rPr>
              <w:t>63.84</w:t>
            </w:r>
          </w:p>
        </w:tc>
        <w:tc>
          <w:tcPr>
            <w:tcW w:w="585" w:type="pct"/>
            <w:tcBorders>
              <w:tl2br w:val="nil"/>
              <w:tr2bl w:val="nil"/>
            </w:tcBorders>
            <w:vAlign w:val="center"/>
          </w:tcPr>
          <w:p w14:paraId="2263D258">
            <w:pPr>
              <w:pStyle w:val="58"/>
              <w:bidi w:val="0"/>
              <w:rPr>
                <w:rFonts w:hint="default"/>
                <w:b/>
                <w:bCs/>
                <w:highlight w:val="none"/>
                <w:lang w:val="en-US" w:eastAsia="zh-CN"/>
              </w:rPr>
            </w:pPr>
            <w:r>
              <w:rPr>
                <w:rFonts w:hint="default"/>
                <w:b/>
                <w:bCs/>
                <w:highlight w:val="none"/>
                <w:lang w:val="en-US" w:eastAsia="zh-CN"/>
              </w:rPr>
              <w:t>26.47</w:t>
            </w:r>
          </w:p>
        </w:tc>
        <w:tc>
          <w:tcPr>
            <w:tcW w:w="556" w:type="pct"/>
            <w:tcBorders>
              <w:tl2br w:val="nil"/>
              <w:tr2bl w:val="nil"/>
            </w:tcBorders>
            <w:vAlign w:val="center"/>
          </w:tcPr>
          <w:p w14:paraId="197CAEEF">
            <w:pPr>
              <w:pStyle w:val="58"/>
              <w:bidi w:val="0"/>
              <w:rPr>
                <w:rFonts w:hint="default"/>
                <w:highlight w:val="none"/>
                <w:lang w:val="en-US" w:eastAsia="zh-CN"/>
              </w:rPr>
            </w:pPr>
            <w:r>
              <w:rPr>
                <w:rFonts w:hint="default"/>
                <w:highlight w:val="none"/>
                <w:lang w:val="en-US" w:eastAsia="zh-CN"/>
              </w:rPr>
              <w:t>0.00</w:t>
            </w:r>
          </w:p>
        </w:tc>
        <w:tc>
          <w:tcPr>
            <w:tcW w:w="622" w:type="pct"/>
            <w:tcBorders>
              <w:tl2br w:val="nil"/>
              <w:tr2bl w:val="nil"/>
            </w:tcBorders>
            <w:vAlign w:val="center"/>
          </w:tcPr>
          <w:p w14:paraId="4B885070">
            <w:pPr>
              <w:pStyle w:val="58"/>
              <w:bidi w:val="0"/>
              <w:rPr>
                <w:rFonts w:hint="default"/>
                <w:highlight w:val="none"/>
                <w:lang w:val="en-US" w:eastAsia="zh-CN"/>
              </w:rPr>
            </w:pPr>
            <w:r>
              <w:rPr>
                <w:rFonts w:hint="default"/>
                <w:highlight w:val="none"/>
                <w:lang w:val="en-US" w:eastAsia="zh-CN"/>
              </w:rPr>
              <w:t>4.83</w:t>
            </w:r>
          </w:p>
        </w:tc>
        <w:tc>
          <w:tcPr>
            <w:tcW w:w="552" w:type="pct"/>
            <w:tcBorders>
              <w:tl2br w:val="nil"/>
              <w:tr2bl w:val="nil"/>
            </w:tcBorders>
            <w:vAlign w:val="center"/>
          </w:tcPr>
          <w:p w14:paraId="38E21251">
            <w:pPr>
              <w:pStyle w:val="58"/>
              <w:bidi w:val="0"/>
              <w:rPr>
                <w:rFonts w:hint="default"/>
                <w:b/>
                <w:bCs/>
                <w:highlight w:val="none"/>
                <w:lang w:val="en-US" w:eastAsia="zh-CN"/>
              </w:rPr>
            </w:pPr>
            <w:r>
              <w:rPr>
                <w:rFonts w:hint="default"/>
                <w:b/>
                <w:bCs/>
                <w:highlight w:val="none"/>
                <w:lang w:val="en-US" w:eastAsia="zh-CN"/>
              </w:rPr>
              <w:t>40.47</w:t>
            </w:r>
          </w:p>
        </w:tc>
        <w:tc>
          <w:tcPr>
            <w:tcW w:w="562" w:type="pct"/>
            <w:tcBorders>
              <w:tl2br w:val="nil"/>
              <w:tr2bl w:val="nil"/>
            </w:tcBorders>
            <w:vAlign w:val="center"/>
          </w:tcPr>
          <w:p w14:paraId="60A2B50E">
            <w:pPr>
              <w:pStyle w:val="58"/>
              <w:bidi w:val="0"/>
              <w:rPr>
                <w:rFonts w:hint="default"/>
                <w:b/>
                <w:bCs/>
                <w:highlight w:val="none"/>
                <w:lang w:val="en-US" w:eastAsia="zh-CN"/>
              </w:rPr>
            </w:pPr>
            <w:r>
              <w:rPr>
                <w:rFonts w:hint="default"/>
                <w:b/>
                <w:bCs/>
                <w:highlight w:val="none"/>
                <w:lang w:val="en-US" w:eastAsia="zh-CN"/>
              </w:rPr>
              <w:t>54.71</w:t>
            </w:r>
          </w:p>
        </w:tc>
      </w:tr>
      <w:tr w14:paraId="50F4917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1055" w:type="pct"/>
            <w:tcBorders>
              <w:tl2br w:val="nil"/>
              <w:tr2bl w:val="nil"/>
            </w:tcBorders>
            <w:vAlign w:val="center"/>
          </w:tcPr>
          <w:p w14:paraId="37F5061A">
            <w:pPr>
              <w:pStyle w:val="58"/>
              <w:bidi w:val="0"/>
              <w:rPr>
                <w:rFonts w:hint="default"/>
                <w:highlight w:val="none"/>
                <w:lang w:val="en-US" w:eastAsia="zh-CN"/>
              </w:rPr>
            </w:pPr>
            <w:r>
              <w:rPr>
                <w:rFonts w:hint="default"/>
                <w:highlight w:val="none"/>
                <w:lang w:val="en-US" w:eastAsia="zh-CN"/>
              </w:rPr>
              <w:t>项目东南侧（金木美佳东南侧C4#）承压水</w:t>
            </w:r>
          </w:p>
        </w:tc>
        <w:tc>
          <w:tcPr>
            <w:tcW w:w="511" w:type="pct"/>
            <w:tcBorders>
              <w:tl2br w:val="nil"/>
              <w:tr2bl w:val="nil"/>
            </w:tcBorders>
            <w:vAlign w:val="center"/>
          </w:tcPr>
          <w:p w14:paraId="6DE235CC">
            <w:pPr>
              <w:pStyle w:val="58"/>
              <w:bidi w:val="0"/>
              <w:rPr>
                <w:rFonts w:hint="default"/>
                <w:b/>
                <w:bCs/>
                <w:highlight w:val="none"/>
                <w:lang w:val="en-US" w:eastAsia="zh-CN"/>
              </w:rPr>
            </w:pPr>
            <w:r>
              <w:rPr>
                <w:rFonts w:hint="default"/>
                <w:b/>
                <w:bCs/>
                <w:highlight w:val="none"/>
                <w:lang w:val="en-US" w:eastAsia="zh-CN"/>
              </w:rPr>
              <w:t>73.53</w:t>
            </w:r>
          </w:p>
        </w:tc>
        <w:tc>
          <w:tcPr>
            <w:tcW w:w="552" w:type="pct"/>
            <w:tcBorders>
              <w:tl2br w:val="nil"/>
              <w:tr2bl w:val="nil"/>
            </w:tcBorders>
            <w:vAlign w:val="center"/>
          </w:tcPr>
          <w:p w14:paraId="2E680110">
            <w:pPr>
              <w:pStyle w:val="58"/>
              <w:bidi w:val="0"/>
              <w:rPr>
                <w:rFonts w:hint="default"/>
                <w:b/>
                <w:bCs/>
                <w:highlight w:val="none"/>
                <w:lang w:val="en-US" w:eastAsia="zh-CN"/>
              </w:rPr>
            </w:pPr>
            <w:r>
              <w:rPr>
                <w:rFonts w:hint="default"/>
                <w:b/>
                <w:bCs/>
                <w:highlight w:val="none"/>
                <w:lang w:val="en-US" w:eastAsia="zh-CN"/>
              </w:rPr>
              <w:t>63.84</w:t>
            </w:r>
          </w:p>
        </w:tc>
        <w:tc>
          <w:tcPr>
            <w:tcW w:w="585" w:type="pct"/>
            <w:tcBorders>
              <w:tl2br w:val="nil"/>
              <w:tr2bl w:val="nil"/>
            </w:tcBorders>
            <w:vAlign w:val="center"/>
          </w:tcPr>
          <w:p w14:paraId="1ABFE8E3">
            <w:pPr>
              <w:pStyle w:val="58"/>
              <w:bidi w:val="0"/>
              <w:rPr>
                <w:rFonts w:hint="default"/>
                <w:b/>
                <w:bCs/>
                <w:highlight w:val="none"/>
                <w:lang w:val="en-US" w:eastAsia="zh-CN"/>
              </w:rPr>
            </w:pPr>
            <w:r>
              <w:rPr>
                <w:rFonts w:hint="default"/>
                <w:b/>
                <w:bCs/>
                <w:highlight w:val="none"/>
                <w:lang w:val="en-US" w:eastAsia="zh-CN"/>
              </w:rPr>
              <w:t>26.47</w:t>
            </w:r>
          </w:p>
        </w:tc>
        <w:tc>
          <w:tcPr>
            <w:tcW w:w="556" w:type="pct"/>
            <w:tcBorders>
              <w:tl2br w:val="nil"/>
              <w:tr2bl w:val="nil"/>
            </w:tcBorders>
            <w:vAlign w:val="center"/>
          </w:tcPr>
          <w:p w14:paraId="62903361">
            <w:pPr>
              <w:pStyle w:val="58"/>
              <w:bidi w:val="0"/>
              <w:rPr>
                <w:rFonts w:hint="default"/>
                <w:highlight w:val="none"/>
                <w:lang w:val="en-US" w:eastAsia="zh-CN"/>
              </w:rPr>
            </w:pPr>
            <w:r>
              <w:rPr>
                <w:rFonts w:hint="default"/>
                <w:highlight w:val="none"/>
                <w:lang w:val="en-US" w:eastAsia="zh-CN"/>
              </w:rPr>
              <w:t>0.00</w:t>
            </w:r>
          </w:p>
        </w:tc>
        <w:tc>
          <w:tcPr>
            <w:tcW w:w="622" w:type="pct"/>
            <w:tcBorders>
              <w:tl2br w:val="nil"/>
              <w:tr2bl w:val="nil"/>
            </w:tcBorders>
            <w:vAlign w:val="center"/>
          </w:tcPr>
          <w:p w14:paraId="1C809D64">
            <w:pPr>
              <w:pStyle w:val="58"/>
              <w:bidi w:val="0"/>
              <w:rPr>
                <w:rFonts w:hint="default"/>
                <w:highlight w:val="none"/>
                <w:lang w:val="en-US" w:eastAsia="zh-CN"/>
              </w:rPr>
            </w:pPr>
            <w:r>
              <w:rPr>
                <w:rFonts w:hint="default"/>
                <w:highlight w:val="none"/>
                <w:lang w:val="en-US" w:eastAsia="zh-CN"/>
              </w:rPr>
              <w:t>4.83</w:t>
            </w:r>
          </w:p>
        </w:tc>
        <w:tc>
          <w:tcPr>
            <w:tcW w:w="552" w:type="pct"/>
            <w:tcBorders>
              <w:tl2br w:val="nil"/>
              <w:tr2bl w:val="nil"/>
            </w:tcBorders>
            <w:vAlign w:val="center"/>
          </w:tcPr>
          <w:p w14:paraId="7EF0D661">
            <w:pPr>
              <w:pStyle w:val="58"/>
              <w:bidi w:val="0"/>
              <w:rPr>
                <w:rFonts w:hint="default"/>
                <w:b/>
                <w:bCs/>
                <w:highlight w:val="none"/>
                <w:lang w:val="en-US" w:eastAsia="zh-CN"/>
              </w:rPr>
            </w:pPr>
            <w:r>
              <w:rPr>
                <w:rFonts w:hint="default"/>
                <w:b/>
                <w:bCs/>
                <w:highlight w:val="none"/>
                <w:lang w:val="en-US" w:eastAsia="zh-CN"/>
              </w:rPr>
              <w:t>40.47</w:t>
            </w:r>
          </w:p>
        </w:tc>
        <w:tc>
          <w:tcPr>
            <w:tcW w:w="562" w:type="pct"/>
            <w:tcBorders>
              <w:tl2br w:val="nil"/>
              <w:tr2bl w:val="nil"/>
            </w:tcBorders>
            <w:vAlign w:val="center"/>
          </w:tcPr>
          <w:p w14:paraId="313353A9">
            <w:pPr>
              <w:pStyle w:val="58"/>
              <w:bidi w:val="0"/>
              <w:rPr>
                <w:rFonts w:hint="default"/>
                <w:b/>
                <w:bCs/>
                <w:highlight w:val="none"/>
                <w:lang w:val="en-US" w:eastAsia="zh-CN"/>
              </w:rPr>
            </w:pPr>
            <w:r>
              <w:rPr>
                <w:rFonts w:hint="default"/>
                <w:b/>
                <w:bCs/>
                <w:highlight w:val="none"/>
                <w:lang w:val="en-US" w:eastAsia="zh-CN"/>
              </w:rPr>
              <w:t>54.71</w:t>
            </w:r>
          </w:p>
        </w:tc>
      </w:tr>
      <w:bookmarkEnd w:id="267"/>
    </w:tbl>
    <w:p w14:paraId="012F249E">
      <w:pPr>
        <w:keepNext w:val="0"/>
        <w:keepLines w:val="0"/>
        <w:pageBreakBefore w:val="0"/>
        <w:widowControl w:val="0"/>
        <w:kinsoku/>
        <w:wordWrap/>
        <w:overflowPunct/>
        <w:topLinePunct w:val="0"/>
        <w:autoSpaceDE/>
        <w:autoSpaceDN/>
        <w:bidi w:val="0"/>
        <w:adjustRightInd/>
        <w:snapToGrid/>
        <w:spacing w:line="284" w:lineRule="exact"/>
        <w:ind w:left="0"/>
        <w:textAlignment w:val="auto"/>
        <w:outlineLvl w:val="9"/>
        <w:rPr>
          <w:rFonts w:hint="default" w:ascii="Times New Roman" w:hAnsi="Times New Roman" w:eastAsia="宋体" w:cs="Times New Roman"/>
          <w:color w:val="000000" w:themeColor="text1"/>
          <w:sz w:val="20"/>
          <w:szCs w:val="20"/>
          <w:highlight w:val="none"/>
          <w14:textFill>
            <w14:solidFill>
              <w14:schemeClr w14:val="tx1"/>
            </w14:solidFill>
          </w14:textFill>
        </w:rPr>
      </w:pPr>
      <w:r>
        <w:rPr>
          <w:rFonts w:hint="default" w:ascii="Times New Roman" w:hAnsi="Times New Roman" w:eastAsia="宋体" w:cs="Times New Roman"/>
          <w:b/>
          <w:bCs/>
          <w:color w:val="000000" w:themeColor="text1"/>
          <w:kern w:val="2"/>
          <w:sz w:val="24"/>
          <w:szCs w:val="24"/>
          <w:highlight w:val="none"/>
          <w:lang w:val="en-US" w:eastAsia="zh-CN" w:bidi="ar-SA"/>
          <w14:textFill>
            <w14:solidFill>
              <w14:schemeClr w14:val="tx1"/>
            </w14:solidFill>
          </w14:textFill>
        </w:rPr>
        <w:t>注：加黑为毫克当量百分比大于25%</w:t>
      </w:r>
    </w:p>
    <w:p w14:paraId="5B34DE52">
      <w:pPr>
        <w:bidi w:val="0"/>
        <w:rPr>
          <w:rFonts w:hint="default"/>
          <w:highlight w:val="none"/>
          <w:lang w:val="en-US" w:eastAsia="zh-CN"/>
        </w:rPr>
      </w:pPr>
      <w:r>
        <w:rPr>
          <w:rFonts w:hint="default"/>
          <w:highlight w:val="none"/>
          <w:lang w:val="en-US" w:eastAsia="zh-CN"/>
        </w:rPr>
        <w:t>由上表评价区地下水水质监测的毫克当量百分比可知，区域浅层</w:t>
      </w:r>
      <w:r>
        <w:rPr>
          <w:rFonts w:hint="eastAsia"/>
          <w:highlight w:val="none"/>
          <w:lang w:val="en-US" w:eastAsia="zh-CN"/>
        </w:rPr>
        <w:t>地下水</w:t>
      </w:r>
      <w:r>
        <w:rPr>
          <w:rFonts w:hint="default"/>
          <w:highlight w:val="none"/>
          <w:lang w:val="en-US" w:eastAsia="zh-CN"/>
        </w:rPr>
        <w:t>主要化学类型为38-B，</w:t>
      </w:r>
      <w:r>
        <w:rPr>
          <w:rFonts w:hint="eastAsia"/>
          <w:highlight w:val="none"/>
          <w:lang w:val="en-US" w:eastAsia="zh-CN"/>
        </w:rPr>
        <w:t>Cl</w:t>
      </w:r>
      <w:r>
        <w:rPr>
          <w:rFonts w:hint="default"/>
          <w:highlight w:val="none"/>
          <w:lang w:val="en-US" w:eastAsia="zh-CN"/>
        </w:rPr>
        <w:t>·SO</w:t>
      </w:r>
      <w:r>
        <w:rPr>
          <w:rFonts w:hint="default"/>
          <w:highlight w:val="none"/>
          <w:vertAlign w:val="subscript"/>
          <w:lang w:val="en-US" w:eastAsia="zh-CN"/>
        </w:rPr>
        <w:t>4</w:t>
      </w:r>
      <w:r>
        <w:rPr>
          <w:rFonts w:hint="default"/>
          <w:highlight w:val="none"/>
          <w:lang w:val="en-US" w:eastAsia="zh-CN"/>
        </w:rPr>
        <w:t>-Mg型；区域深层地下水主要水化学类型为40-A，SO</w:t>
      </w:r>
      <w:r>
        <w:rPr>
          <w:rFonts w:hint="default"/>
          <w:highlight w:val="none"/>
          <w:vertAlign w:val="subscript"/>
          <w:lang w:val="en-US" w:eastAsia="zh-CN"/>
        </w:rPr>
        <w:t>4</w:t>
      </w:r>
      <w:r>
        <w:rPr>
          <w:rFonts w:hint="default"/>
          <w:highlight w:val="none"/>
          <w:lang w:val="en-US" w:eastAsia="zh-CN"/>
        </w:rPr>
        <w:t>·Cl-Ca·Na·Mg型。</w:t>
      </w:r>
    </w:p>
    <w:p w14:paraId="7D48B615">
      <w:pPr>
        <w:pStyle w:val="6"/>
        <w:pageBreakBefore w:val="0"/>
        <w:widowControl w:val="0"/>
        <w:wordWrap/>
        <w:topLinePunct w:val="0"/>
        <w:autoSpaceDE/>
        <w:autoSpaceDN/>
        <w:bidi w:val="0"/>
        <w:adjustRightInd/>
        <w:snapToGrid/>
        <w:spacing w:line="480" w:lineRule="exact"/>
        <w:textAlignment w:val="auto"/>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4.3.4土壤质量现状监测与评价</w:t>
      </w:r>
    </w:p>
    <w:p w14:paraId="31635C79">
      <w:pPr>
        <w:bidi w:val="0"/>
        <w:rPr>
          <w:rFonts w:hint="default"/>
          <w:highlight w:val="none"/>
          <w:lang w:val="en-US" w:eastAsia="zh-CN"/>
        </w:rPr>
      </w:pPr>
      <w:r>
        <w:rPr>
          <w:rFonts w:hint="default"/>
          <w:highlight w:val="none"/>
          <w:lang w:val="en-US" w:eastAsia="zh-CN"/>
        </w:rPr>
        <w:t>土壤环境质量现状及包气带土壤浸溶液委托河北欣蓝环境科技有限公司，检测时间为2024年5月30日。同时引用《曹妃甸区垦丰家居产业园控制性详细规划环境影响跟踪评价报告书环境质量现状监测》中一个表层样监测数据。</w:t>
      </w:r>
    </w:p>
    <w:bookmarkEnd w:id="226"/>
    <w:p w14:paraId="2AEF66B9">
      <w:pPr>
        <w:pageBreakBefore w:val="0"/>
        <w:widowControl w:val="0"/>
        <w:wordWrap/>
        <w:topLinePunct w:val="0"/>
        <w:autoSpaceDE/>
        <w:autoSpaceDN/>
        <w:bidi w:val="0"/>
        <w:adjustRightInd/>
        <w:snapToGrid/>
        <w:spacing w:line="480" w:lineRule="exact"/>
        <w:textAlignment w:val="auto"/>
        <w:outlineLvl w:val="3"/>
        <w:rPr>
          <w:rFonts w:hint="default" w:ascii="Times New Roman" w:hAnsi="Times New Roman" w:eastAsia="宋体" w:cs="Times New Roman"/>
          <w:b/>
          <w:bCs/>
          <w:color w:val="000000" w:themeColor="text1"/>
          <w:sz w:val="24"/>
          <w:highlight w:val="none"/>
          <w14:textFill>
            <w14:solidFill>
              <w14:schemeClr w14:val="tx1"/>
            </w14:solidFill>
          </w14:textFill>
        </w:rPr>
      </w:pPr>
      <w:r>
        <w:rPr>
          <w:rFonts w:hint="default" w:ascii="Times New Roman" w:hAnsi="Times New Roman" w:eastAsia="宋体" w:cs="Times New Roman"/>
          <w:b/>
          <w:bCs/>
          <w:color w:val="000000" w:themeColor="text1"/>
          <w:sz w:val="24"/>
          <w:highlight w:val="none"/>
          <w14:textFill>
            <w14:solidFill>
              <w14:schemeClr w14:val="tx1"/>
            </w14:solidFill>
          </w14:textFill>
        </w:rPr>
        <w:t>4.3.4.1土壤环境质量现状调查</w:t>
      </w:r>
    </w:p>
    <w:p w14:paraId="38A07921">
      <w:pPr>
        <w:bidi w:val="0"/>
        <w:rPr>
          <w:rFonts w:hint="default"/>
          <w:highlight w:val="none"/>
          <w:lang w:eastAsia="zh-CN"/>
        </w:rPr>
      </w:pPr>
      <w:r>
        <w:rPr>
          <w:rFonts w:hint="default"/>
          <w:highlight w:val="none"/>
        </w:rPr>
        <w:t>⑴</w:t>
      </w:r>
      <w:r>
        <w:rPr>
          <w:rFonts w:hint="default"/>
          <w:highlight w:val="none"/>
          <w:lang w:eastAsia="zh-CN"/>
        </w:rPr>
        <w:t>土壤理化性质调查</w:t>
      </w:r>
    </w:p>
    <w:p w14:paraId="71F3C442">
      <w:pPr>
        <w:bidi w:val="0"/>
        <w:rPr>
          <w:rFonts w:hint="default"/>
          <w:highlight w:val="none"/>
        </w:rPr>
      </w:pPr>
      <w:r>
        <w:rPr>
          <w:rFonts w:hint="default"/>
          <w:highlight w:val="none"/>
        </w:rPr>
        <w:t>项目为污染影响型项目，根据项目工程分析情况，针对项目占地的土壤理化性质进行分析，主要包括土体结构、土壤结构、土壤质地、阳离子交换量、</w:t>
      </w:r>
      <w:r>
        <w:rPr>
          <w:rFonts w:hint="eastAsia"/>
          <w:highlight w:val="none"/>
          <w:lang w:eastAsia="zh-CN"/>
        </w:rPr>
        <w:t>氧化还原电位</w:t>
      </w:r>
      <w:r>
        <w:rPr>
          <w:rFonts w:hint="default"/>
          <w:highlight w:val="none"/>
        </w:rPr>
        <w:t>、饱和导水率、土壤容重、孔隙度等。分析结果见表4.3-</w:t>
      </w:r>
      <w:r>
        <w:rPr>
          <w:rFonts w:hint="default"/>
          <w:highlight w:val="none"/>
          <w:lang w:val="en-US" w:eastAsia="zh-CN"/>
        </w:rPr>
        <w:t>15</w:t>
      </w:r>
      <w:r>
        <w:rPr>
          <w:rFonts w:hint="default"/>
          <w:highlight w:val="none"/>
        </w:rPr>
        <w:t>。</w:t>
      </w:r>
    </w:p>
    <w:p w14:paraId="175683A2">
      <w:pPr>
        <w:keepNext w:val="0"/>
        <w:keepLines w:val="0"/>
        <w:pageBreakBefore w:val="0"/>
        <w:widowControl w:val="0"/>
        <w:numPr>
          <w:ilvl w:val="0"/>
          <w:numId w:val="30"/>
        </w:numPr>
        <w:kinsoku/>
        <w:wordWrap/>
        <w:overflowPunct/>
        <w:topLinePunct w:val="0"/>
        <w:autoSpaceDE w:val="0"/>
        <w:autoSpaceDN w:val="0"/>
        <w:bidi w:val="0"/>
        <w:adjustRightInd w:val="0"/>
        <w:snapToGrid/>
        <w:spacing w:line="500" w:lineRule="exact"/>
        <w:ind w:left="425" w:leftChars="0" w:hanging="425" w:firstLineChars="0"/>
        <w:jc w:val="center"/>
        <w:textAlignment w:val="auto"/>
        <w:rPr>
          <w:rFonts w:hint="default" w:ascii="Times New Roman" w:hAnsi="Times New Roman" w:eastAsia="宋体" w:cs="Times New Roman"/>
          <w:b/>
          <w:bCs w:val="0"/>
          <w:color w:val="000000" w:themeColor="text1"/>
          <w:sz w:val="25"/>
          <w:szCs w:val="25"/>
          <w:highlight w:val="none"/>
          <w:shd w:val="clear" w:color="auto" w:fill="auto"/>
          <w14:textFill>
            <w14:solidFill>
              <w14:schemeClr w14:val="tx1"/>
            </w14:solidFill>
          </w14:textFill>
        </w:rPr>
      </w:pPr>
      <w:r>
        <w:rPr>
          <w:rFonts w:hint="default" w:ascii="Times New Roman" w:hAnsi="Times New Roman" w:eastAsia="宋体" w:cs="Times New Roman"/>
          <w:b/>
          <w:bCs w:val="0"/>
          <w:color w:val="000000" w:themeColor="text1"/>
          <w:sz w:val="25"/>
          <w:szCs w:val="25"/>
          <w:highlight w:val="none"/>
          <w:shd w:val="clear" w:color="auto" w:fill="auto"/>
          <w14:textFill>
            <w14:solidFill>
              <w14:schemeClr w14:val="tx1"/>
            </w14:solidFill>
          </w14:textFill>
        </w:rPr>
        <w:t>土壤理化特性调查表</w:t>
      </w:r>
    </w:p>
    <w:tbl>
      <w:tblPr>
        <w:tblStyle w:val="47"/>
        <w:tblW w:w="87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70"/>
        <w:gridCol w:w="2580"/>
        <w:gridCol w:w="1966"/>
        <w:gridCol w:w="1222"/>
        <w:gridCol w:w="1902"/>
      </w:tblGrid>
      <w:tr w14:paraId="1F420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650" w:type="dxa"/>
            <w:gridSpan w:val="2"/>
            <w:tcBorders>
              <w:top w:val="single" w:color="auto" w:sz="12" w:space="0"/>
              <w:left w:val="single" w:color="auto" w:sz="12" w:space="0"/>
            </w:tcBorders>
            <w:vAlign w:val="center"/>
          </w:tcPr>
          <w:p w14:paraId="606C6F09">
            <w:pPr>
              <w:pStyle w:val="58"/>
              <w:bidi w:val="0"/>
              <w:rPr>
                <w:rFonts w:hint="default"/>
                <w:highlight w:val="none"/>
              </w:rPr>
            </w:pPr>
            <w:r>
              <w:rPr>
                <w:rFonts w:hint="default"/>
                <w:highlight w:val="none"/>
              </w:rPr>
              <w:t>代表性</w:t>
            </w:r>
          </w:p>
          <w:p w14:paraId="20FD7758">
            <w:pPr>
              <w:pStyle w:val="58"/>
              <w:bidi w:val="0"/>
              <w:rPr>
                <w:rFonts w:hint="default"/>
                <w:highlight w:val="none"/>
              </w:rPr>
            </w:pPr>
            <w:r>
              <w:rPr>
                <w:rFonts w:hint="default"/>
                <w:highlight w:val="none"/>
              </w:rPr>
              <w:t>监测点号</w:t>
            </w:r>
          </w:p>
        </w:tc>
        <w:tc>
          <w:tcPr>
            <w:tcW w:w="1966" w:type="dxa"/>
            <w:tcBorders>
              <w:top w:val="single" w:color="auto" w:sz="12" w:space="0"/>
            </w:tcBorders>
            <w:vAlign w:val="center"/>
          </w:tcPr>
          <w:p w14:paraId="14CFDF24">
            <w:pPr>
              <w:pStyle w:val="58"/>
              <w:bidi w:val="0"/>
              <w:rPr>
                <w:rFonts w:hint="default"/>
                <w:highlight w:val="none"/>
                <w:lang w:val="en-US" w:eastAsia="zh-CN"/>
              </w:rPr>
            </w:pPr>
            <w:r>
              <w:rPr>
                <w:rFonts w:hint="default"/>
                <w:highlight w:val="none"/>
                <w:lang w:val="en-US" w:eastAsia="zh-CN"/>
              </w:rPr>
              <w:t>厂区内东北侧</w:t>
            </w:r>
          </w:p>
        </w:tc>
        <w:tc>
          <w:tcPr>
            <w:tcW w:w="1222" w:type="dxa"/>
            <w:tcBorders>
              <w:top w:val="single" w:color="auto" w:sz="12" w:space="0"/>
            </w:tcBorders>
            <w:vAlign w:val="center"/>
          </w:tcPr>
          <w:p w14:paraId="3B882223">
            <w:pPr>
              <w:pStyle w:val="58"/>
              <w:bidi w:val="0"/>
              <w:rPr>
                <w:rFonts w:hint="default"/>
                <w:highlight w:val="none"/>
              </w:rPr>
            </w:pPr>
            <w:r>
              <w:rPr>
                <w:rFonts w:hint="default"/>
                <w:highlight w:val="none"/>
              </w:rPr>
              <w:t>时间</w:t>
            </w:r>
          </w:p>
        </w:tc>
        <w:tc>
          <w:tcPr>
            <w:tcW w:w="1902" w:type="dxa"/>
            <w:tcBorders>
              <w:top w:val="single" w:color="auto" w:sz="12" w:space="0"/>
              <w:right w:val="single" w:color="auto" w:sz="12" w:space="0"/>
            </w:tcBorders>
            <w:vAlign w:val="center"/>
          </w:tcPr>
          <w:p w14:paraId="729BCD9E">
            <w:pPr>
              <w:pStyle w:val="58"/>
              <w:bidi w:val="0"/>
              <w:rPr>
                <w:rFonts w:hint="default"/>
                <w:highlight w:val="none"/>
                <w:lang w:val="en-US" w:eastAsia="zh-CN"/>
              </w:rPr>
            </w:pPr>
            <w:r>
              <w:rPr>
                <w:rFonts w:hint="default"/>
                <w:highlight w:val="none"/>
              </w:rPr>
              <w:t>202</w:t>
            </w:r>
            <w:r>
              <w:rPr>
                <w:rFonts w:hint="default"/>
                <w:highlight w:val="none"/>
                <w:lang w:val="en-US" w:eastAsia="zh-CN"/>
              </w:rPr>
              <w:t>4</w:t>
            </w:r>
            <w:r>
              <w:rPr>
                <w:rFonts w:hint="default"/>
                <w:highlight w:val="none"/>
              </w:rPr>
              <w:t>.</w:t>
            </w:r>
            <w:r>
              <w:rPr>
                <w:rFonts w:hint="default"/>
                <w:highlight w:val="none"/>
                <w:lang w:val="en-US" w:eastAsia="zh-CN"/>
              </w:rPr>
              <w:t>5</w:t>
            </w:r>
            <w:r>
              <w:rPr>
                <w:rFonts w:hint="default"/>
                <w:highlight w:val="none"/>
              </w:rPr>
              <w:t>.</w:t>
            </w:r>
            <w:r>
              <w:rPr>
                <w:rFonts w:hint="default"/>
                <w:highlight w:val="none"/>
                <w:lang w:val="en-US" w:eastAsia="zh-CN"/>
              </w:rPr>
              <w:t>30</w:t>
            </w:r>
          </w:p>
        </w:tc>
      </w:tr>
      <w:tr w14:paraId="5020F1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650" w:type="dxa"/>
            <w:gridSpan w:val="2"/>
            <w:tcBorders>
              <w:left w:val="single" w:color="auto" w:sz="12" w:space="0"/>
            </w:tcBorders>
            <w:vAlign w:val="center"/>
          </w:tcPr>
          <w:p w14:paraId="77752A80">
            <w:pPr>
              <w:pStyle w:val="58"/>
              <w:bidi w:val="0"/>
              <w:rPr>
                <w:rFonts w:hint="default"/>
                <w:highlight w:val="none"/>
              </w:rPr>
            </w:pPr>
            <w:r>
              <w:rPr>
                <w:rFonts w:hint="default"/>
                <w:highlight w:val="none"/>
              </w:rPr>
              <w:t>经度</w:t>
            </w:r>
          </w:p>
        </w:tc>
        <w:tc>
          <w:tcPr>
            <w:tcW w:w="1966" w:type="dxa"/>
            <w:vAlign w:val="center"/>
          </w:tcPr>
          <w:p w14:paraId="2282A501">
            <w:pPr>
              <w:pStyle w:val="58"/>
              <w:bidi w:val="0"/>
              <w:rPr>
                <w:rFonts w:hint="default"/>
                <w:highlight w:val="none"/>
              </w:rPr>
            </w:pPr>
            <w:r>
              <w:rPr>
                <w:rFonts w:hint="default"/>
                <w:highlight w:val="none"/>
              </w:rPr>
              <w:t>118°16'4"</w:t>
            </w:r>
          </w:p>
        </w:tc>
        <w:tc>
          <w:tcPr>
            <w:tcW w:w="1222" w:type="dxa"/>
            <w:vAlign w:val="center"/>
          </w:tcPr>
          <w:p w14:paraId="361E5DBA">
            <w:pPr>
              <w:pStyle w:val="58"/>
              <w:bidi w:val="0"/>
              <w:rPr>
                <w:rFonts w:hint="default"/>
                <w:highlight w:val="none"/>
              </w:rPr>
            </w:pPr>
            <w:r>
              <w:rPr>
                <w:rFonts w:hint="default"/>
                <w:highlight w:val="none"/>
              </w:rPr>
              <w:t>纬度</w:t>
            </w:r>
          </w:p>
        </w:tc>
        <w:tc>
          <w:tcPr>
            <w:tcW w:w="1902" w:type="dxa"/>
            <w:tcBorders>
              <w:right w:val="single" w:color="auto" w:sz="12" w:space="0"/>
            </w:tcBorders>
            <w:vAlign w:val="center"/>
          </w:tcPr>
          <w:p w14:paraId="2B62515F">
            <w:pPr>
              <w:pStyle w:val="58"/>
              <w:bidi w:val="0"/>
              <w:rPr>
                <w:rFonts w:hint="default"/>
                <w:highlight w:val="none"/>
                <w:lang w:val="en-US" w:eastAsia="zh-CN"/>
              </w:rPr>
            </w:pPr>
            <w:r>
              <w:rPr>
                <w:rFonts w:hint="default"/>
                <w:highlight w:val="none"/>
                <w:lang w:val="en-US" w:eastAsia="zh-CN"/>
              </w:rPr>
              <w:t>3</w:t>
            </w:r>
            <w:r>
              <w:rPr>
                <w:rFonts w:hint="default"/>
                <w:highlight w:val="none"/>
              </w:rPr>
              <w:t>9°16'1</w:t>
            </w:r>
            <w:r>
              <w:rPr>
                <w:rFonts w:hint="default"/>
                <w:highlight w:val="none"/>
                <w:lang w:val="en-US" w:eastAsia="zh-CN"/>
              </w:rPr>
              <w:t>″</w:t>
            </w:r>
          </w:p>
        </w:tc>
      </w:tr>
      <w:tr w14:paraId="65C7E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650" w:type="dxa"/>
            <w:gridSpan w:val="2"/>
            <w:tcBorders>
              <w:left w:val="single" w:color="auto" w:sz="12" w:space="0"/>
            </w:tcBorders>
            <w:vAlign w:val="center"/>
          </w:tcPr>
          <w:p w14:paraId="4E890207">
            <w:pPr>
              <w:pStyle w:val="58"/>
              <w:bidi w:val="0"/>
              <w:rPr>
                <w:rFonts w:hint="default"/>
                <w:highlight w:val="none"/>
              </w:rPr>
            </w:pPr>
            <w:r>
              <w:rPr>
                <w:rFonts w:hint="default"/>
                <w:highlight w:val="none"/>
              </w:rPr>
              <w:t>层次</w:t>
            </w:r>
          </w:p>
        </w:tc>
        <w:tc>
          <w:tcPr>
            <w:tcW w:w="5090" w:type="dxa"/>
            <w:gridSpan w:val="3"/>
            <w:tcBorders>
              <w:right w:val="single" w:color="auto" w:sz="12" w:space="0"/>
            </w:tcBorders>
            <w:vAlign w:val="center"/>
          </w:tcPr>
          <w:p w14:paraId="41F56445">
            <w:pPr>
              <w:pStyle w:val="58"/>
              <w:bidi w:val="0"/>
              <w:rPr>
                <w:rFonts w:hint="default"/>
                <w:highlight w:val="none"/>
              </w:rPr>
            </w:pPr>
            <w:r>
              <w:rPr>
                <w:rFonts w:hint="default"/>
                <w:highlight w:val="none"/>
              </w:rPr>
              <w:t>0-0.2m</w:t>
            </w:r>
          </w:p>
        </w:tc>
      </w:tr>
      <w:tr w14:paraId="30B74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0" w:type="dxa"/>
            <w:vMerge w:val="restart"/>
            <w:tcBorders>
              <w:left w:val="single" w:color="auto" w:sz="12" w:space="0"/>
            </w:tcBorders>
            <w:vAlign w:val="center"/>
          </w:tcPr>
          <w:p w14:paraId="540FBA9F">
            <w:pPr>
              <w:pStyle w:val="58"/>
              <w:bidi w:val="0"/>
              <w:rPr>
                <w:rFonts w:hint="default"/>
                <w:highlight w:val="none"/>
              </w:rPr>
            </w:pPr>
            <w:r>
              <w:rPr>
                <w:rFonts w:hint="default"/>
                <w:highlight w:val="none"/>
              </w:rPr>
              <w:t>现场记录</w:t>
            </w:r>
          </w:p>
        </w:tc>
        <w:tc>
          <w:tcPr>
            <w:tcW w:w="2580" w:type="dxa"/>
            <w:vAlign w:val="center"/>
          </w:tcPr>
          <w:p w14:paraId="43519EB7">
            <w:pPr>
              <w:pStyle w:val="58"/>
              <w:bidi w:val="0"/>
              <w:rPr>
                <w:rFonts w:hint="default"/>
                <w:highlight w:val="none"/>
              </w:rPr>
            </w:pPr>
            <w:r>
              <w:rPr>
                <w:rFonts w:hint="default"/>
                <w:highlight w:val="none"/>
              </w:rPr>
              <w:t>颜色</w:t>
            </w:r>
          </w:p>
        </w:tc>
        <w:tc>
          <w:tcPr>
            <w:tcW w:w="5090" w:type="dxa"/>
            <w:gridSpan w:val="3"/>
            <w:tcBorders>
              <w:right w:val="single" w:color="auto" w:sz="12" w:space="0"/>
            </w:tcBorders>
            <w:vAlign w:val="center"/>
          </w:tcPr>
          <w:p w14:paraId="018B1C34">
            <w:pPr>
              <w:pStyle w:val="58"/>
              <w:bidi w:val="0"/>
              <w:rPr>
                <w:rFonts w:hint="default"/>
                <w:highlight w:val="none"/>
                <w:lang w:val="en-US" w:eastAsia="zh-CN"/>
              </w:rPr>
            </w:pPr>
            <w:r>
              <w:rPr>
                <w:rFonts w:hint="default"/>
                <w:highlight w:val="none"/>
                <w:lang w:val="en-US" w:eastAsia="zh-CN"/>
              </w:rPr>
              <w:t>深棕色</w:t>
            </w:r>
          </w:p>
        </w:tc>
      </w:tr>
      <w:tr w14:paraId="6E063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0" w:type="dxa"/>
            <w:vMerge w:val="continue"/>
            <w:tcBorders>
              <w:left w:val="single" w:color="auto" w:sz="12" w:space="0"/>
            </w:tcBorders>
            <w:vAlign w:val="center"/>
          </w:tcPr>
          <w:p w14:paraId="179D618D">
            <w:pPr>
              <w:pStyle w:val="58"/>
              <w:bidi w:val="0"/>
              <w:rPr>
                <w:rFonts w:hint="default"/>
                <w:highlight w:val="none"/>
              </w:rPr>
            </w:pPr>
          </w:p>
        </w:tc>
        <w:tc>
          <w:tcPr>
            <w:tcW w:w="2580" w:type="dxa"/>
            <w:vAlign w:val="center"/>
          </w:tcPr>
          <w:p w14:paraId="28B597DE">
            <w:pPr>
              <w:pStyle w:val="58"/>
              <w:bidi w:val="0"/>
              <w:rPr>
                <w:rFonts w:hint="default"/>
                <w:highlight w:val="none"/>
              </w:rPr>
            </w:pPr>
            <w:r>
              <w:rPr>
                <w:rFonts w:hint="default"/>
                <w:highlight w:val="none"/>
              </w:rPr>
              <w:t>结构</w:t>
            </w:r>
          </w:p>
        </w:tc>
        <w:tc>
          <w:tcPr>
            <w:tcW w:w="5090" w:type="dxa"/>
            <w:gridSpan w:val="3"/>
            <w:tcBorders>
              <w:right w:val="single" w:color="auto" w:sz="12" w:space="0"/>
            </w:tcBorders>
            <w:vAlign w:val="center"/>
          </w:tcPr>
          <w:p w14:paraId="3D7AC457">
            <w:pPr>
              <w:pStyle w:val="58"/>
              <w:bidi w:val="0"/>
              <w:rPr>
                <w:rFonts w:hint="default"/>
                <w:highlight w:val="none"/>
                <w:lang w:val="en-US" w:eastAsia="zh-CN"/>
              </w:rPr>
            </w:pPr>
            <w:r>
              <w:rPr>
                <w:rFonts w:hint="default"/>
                <w:highlight w:val="none"/>
                <w:lang w:val="en-US" w:eastAsia="zh-CN"/>
              </w:rPr>
              <w:t>颗粒状</w:t>
            </w:r>
          </w:p>
        </w:tc>
      </w:tr>
      <w:tr w14:paraId="7ACCC9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0" w:type="dxa"/>
            <w:vMerge w:val="continue"/>
            <w:tcBorders>
              <w:left w:val="single" w:color="auto" w:sz="12" w:space="0"/>
            </w:tcBorders>
            <w:vAlign w:val="center"/>
          </w:tcPr>
          <w:p w14:paraId="494C19E0">
            <w:pPr>
              <w:pStyle w:val="58"/>
              <w:bidi w:val="0"/>
              <w:rPr>
                <w:rFonts w:hint="default"/>
                <w:highlight w:val="none"/>
              </w:rPr>
            </w:pPr>
          </w:p>
        </w:tc>
        <w:tc>
          <w:tcPr>
            <w:tcW w:w="2580" w:type="dxa"/>
            <w:vAlign w:val="center"/>
          </w:tcPr>
          <w:p w14:paraId="334A4BB9">
            <w:pPr>
              <w:pStyle w:val="58"/>
              <w:bidi w:val="0"/>
              <w:rPr>
                <w:rFonts w:hint="default"/>
                <w:highlight w:val="none"/>
              </w:rPr>
            </w:pPr>
            <w:r>
              <w:rPr>
                <w:rFonts w:hint="default"/>
                <w:highlight w:val="none"/>
              </w:rPr>
              <w:t>质地</w:t>
            </w:r>
          </w:p>
        </w:tc>
        <w:tc>
          <w:tcPr>
            <w:tcW w:w="5090" w:type="dxa"/>
            <w:gridSpan w:val="3"/>
            <w:tcBorders>
              <w:right w:val="single" w:color="auto" w:sz="12" w:space="0"/>
            </w:tcBorders>
            <w:vAlign w:val="center"/>
          </w:tcPr>
          <w:p w14:paraId="1417A101">
            <w:pPr>
              <w:pStyle w:val="58"/>
              <w:bidi w:val="0"/>
              <w:rPr>
                <w:rFonts w:hint="default"/>
                <w:highlight w:val="none"/>
                <w:lang w:val="en-US" w:eastAsia="zh-CN"/>
              </w:rPr>
            </w:pPr>
            <w:r>
              <w:rPr>
                <w:rFonts w:hint="default"/>
                <w:highlight w:val="none"/>
                <w:lang w:val="en-US" w:eastAsia="zh-CN"/>
              </w:rPr>
              <w:t>砂壤土</w:t>
            </w:r>
          </w:p>
        </w:tc>
      </w:tr>
      <w:tr w14:paraId="250E4C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0" w:type="dxa"/>
            <w:vMerge w:val="continue"/>
            <w:tcBorders>
              <w:left w:val="single" w:color="auto" w:sz="12" w:space="0"/>
            </w:tcBorders>
            <w:vAlign w:val="center"/>
          </w:tcPr>
          <w:p w14:paraId="4DFB5103">
            <w:pPr>
              <w:pStyle w:val="58"/>
              <w:bidi w:val="0"/>
              <w:rPr>
                <w:rFonts w:hint="default"/>
                <w:highlight w:val="none"/>
              </w:rPr>
            </w:pPr>
          </w:p>
        </w:tc>
        <w:tc>
          <w:tcPr>
            <w:tcW w:w="2580" w:type="dxa"/>
            <w:vAlign w:val="center"/>
          </w:tcPr>
          <w:p w14:paraId="73D91F21">
            <w:pPr>
              <w:pStyle w:val="58"/>
              <w:bidi w:val="0"/>
              <w:rPr>
                <w:rFonts w:hint="default"/>
                <w:highlight w:val="none"/>
              </w:rPr>
            </w:pPr>
            <w:r>
              <w:rPr>
                <w:rFonts w:hint="default"/>
                <w:highlight w:val="none"/>
              </w:rPr>
              <w:t>砂砾含量</w:t>
            </w:r>
          </w:p>
        </w:tc>
        <w:tc>
          <w:tcPr>
            <w:tcW w:w="5090" w:type="dxa"/>
            <w:gridSpan w:val="3"/>
            <w:tcBorders>
              <w:right w:val="single" w:color="auto" w:sz="12" w:space="0"/>
            </w:tcBorders>
            <w:vAlign w:val="center"/>
          </w:tcPr>
          <w:p w14:paraId="582E29A6">
            <w:pPr>
              <w:pStyle w:val="58"/>
              <w:bidi w:val="0"/>
              <w:rPr>
                <w:rFonts w:hint="default"/>
                <w:highlight w:val="none"/>
                <w:lang w:val="en-US" w:eastAsia="zh-CN"/>
              </w:rPr>
            </w:pPr>
            <w:r>
              <w:rPr>
                <w:rFonts w:hint="default"/>
                <w:highlight w:val="none"/>
                <w:lang w:val="en-US" w:eastAsia="zh-CN"/>
              </w:rPr>
              <w:t>中量</w:t>
            </w:r>
          </w:p>
        </w:tc>
      </w:tr>
      <w:tr w14:paraId="2F5216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0" w:type="dxa"/>
            <w:vMerge w:val="continue"/>
            <w:tcBorders>
              <w:left w:val="single" w:color="auto" w:sz="12" w:space="0"/>
            </w:tcBorders>
            <w:vAlign w:val="center"/>
          </w:tcPr>
          <w:p w14:paraId="4C131D2D">
            <w:pPr>
              <w:pStyle w:val="58"/>
              <w:bidi w:val="0"/>
              <w:rPr>
                <w:rFonts w:hint="default"/>
                <w:highlight w:val="none"/>
              </w:rPr>
            </w:pPr>
          </w:p>
        </w:tc>
        <w:tc>
          <w:tcPr>
            <w:tcW w:w="2580" w:type="dxa"/>
            <w:vAlign w:val="center"/>
          </w:tcPr>
          <w:p w14:paraId="4A196373">
            <w:pPr>
              <w:pStyle w:val="58"/>
              <w:bidi w:val="0"/>
              <w:rPr>
                <w:rFonts w:hint="default"/>
                <w:highlight w:val="none"/>
              </w:rPr>
            </w:pPr>
            <w:r>
              <w:rPr>
                <w:rFonts w:hint="default"/>
                <w:highlight w:val="none"/>
              </w:rPr>
              <w:t>其他异物</w:t>
            </w:r>
          </w:p>
        </w:tc>
        <w:tc>
          <w:tcPr>
            <w:tcW w:w="5090" w:type="dxa"/>
            <w:gridSpan w:val="3"/>
            <w:tcBorders>
              <w:right w:val="single" w:color="auto" w:sz="12" w:space="0"/>
            </w:tcBorders>
            <w:vAlign w:val="center"/>
          </w:tcPr>
          <w:p w14:paraId="4F6DCE4B">
            <w:pPr>
              <w:pStyle w:val="58"/>
              <w:bidi w:val="0"/>
              <w:rPr>
                <w:rFonts w:hint="default"/>
                <w:highlight w:val="none"/>
                <w:lang w:val="en-US" w:eastAsia="zh-CN"/>
              </w:rPr>
            </w:pPr>
            <w:r>
              <w:rPr>
                <w:rFonts w:hint="default"/>
                <w:highlight w:val="none"/>
                <w:lang w:val="en-US" w:eastAsia="zh-CN"/>
              </w:rPr>
              <w:t>无根系</w:t>
            </w:r>
          </w:p>
        </w:tc>
      </w:tr>
      <w:tr w14:paraId="7085F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0" w:type="dxa"/>
            <w:vMerge w:val="restart"/>
            <w:tcBorders>
              <w:left w:val="single" w:color="auto" w:sz="12" w:space="0"/>
            </w:tcBorders>
            <w:vAlign w:val="center"/>
          </w:tcPr>
          <w:p w14:paraId="58C7592D">
            <w:pPr>
              <w:pStyle w:val="58"/>
              <w:bidi w:val="0"/>
              <w:rPr>
                <w:rFonts w:hint="default"/>
                <w:highlight w:val="none"/>
              </w:rPr>
            </w:pPr>
            <w:r>
              <w:rPr>
                <w:rFonts w:hint="default"/>
                <w:highlight w:val="none"/>
              </w:rPr>
              <w:t>实验室测定</w:t>
            </w:r>
          </w:p>
        </w:tc>
        <w:tc>
          <w:tcPr>
            <w:tcW w:w="2580" w:type="dxa"/>
            <w:vAlign w:val="center"/>
          </w:tcPr>
          <w:p w14:paraId="65AA62D6">
            <w:pPr>
              <w:pStyle w:val="58"/>
              <w:bidi w:val="0"/>
              <w:rPr>
                <w:rFonts w:hint="default"/>
                <w:highlight w:val="none"/>
              </w:rPr>
            </w:pPr>
            <w:r>
              <w:rPr>
                <w:rFonts w:hint="default"/>
                <w:highlight w:val="none"/>
              </w:rPr>
              <w:t>pH值</w:t>
            </w:r>
          </w:p>
        </w:tc>
        <w:tc>
          <w:tcPr>
            <w:tcW w:w="5090" w:type="dxa"/>
            <w:gridSpan w:val="3"/>
            <w:tcBorders>
              <w:right w:val="single" w:color="auto" w:sz="12" w:space="0"/>
            </w:tcBorders>
            <w:vAlign w:val="center"/>
          </w:tcPr>
          <w:p w14:paraId="5B4DE923">
            <w:pPr>
              <w:pStyle w:val="58"/>
              <w:bidi w:val="0"/>
              <w:rPr>
                <w:rFonts w:hint="default"/>
                <w:highlight w:val="none"/>
                <w:lang w:val="en-US" w:eastAsia="zh-CN"/>
              </w:rPr>
            </w:pPr>
            <w:r>
              <w:rPr>
                <w:rFonts w:hint="default"/>
                <w:highlight w:val="none"/>
                <w:lang w:val="en-US" w:eastAsia="zh-CN"/>
              </w:rPr>
              <w:t>7.9</w:t>
            </w:r>
          </w:p>
        </w:tc>
      </w:tr>
      <w:tr w14:paraId="72FB3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0" w:type="dxa"/>
            <w:vMerge w:val="continue"/>
            <w:tcBorders>
              <w:left w:val="single" w:color="auto" w:sz="12" w:space="0"/>
            </w:tcBorders>
            <w:vAlign w:val="center"/>
          </w:tcPr>
          <w:p w14:paraId="7F87A69C">
            <w:pPr>
              <w:pStyle w:val="58"/>
              <w:bidi w:val="0"/>
              <w:rPr>
                <w:rFonts w:hint="default"/>
                <w:highlight w:val="none"/>
              </w:rPr>
            </w:pPr>
          </w:p>
        </w:tc>
        <w:tc>
          <w:tcPr>
            <w:tcW w:w="2580" w:type="dxa"/>
            <w:vAlign w:val="center"/>
          </w:tcPr>
          <w:p w14:paraId="3D30AE88">
            <w:pPr>
              <w:pStyle w:val="58"/>
              <w:bidi w:val="0"/>
              <w:rPr>
                <w:rFonts w:hint="default"/>
                <w:highlight w:val="none"/>
              </w:rPr>
            </w:pPr>
            <w:r>
              <w:rPr>
                <w:rFonts w:hint="default"/>
                <w:highlight w:val="none"/>
              </w:rPr>
              <w:t>阳离子交换量(cmol+/kg)</w:t>
            </w:r>
          </w:p>
        </w:tc>
        <w:tc>
          <w:tcPr>
            <w:tcW w:w="5090" w:type="dxa"/>
            <w:gridSpan w:val="3"/>
            <w:tcBorders>
              <w:right w:val="single" w:color="auto" w:sz="12" w:space="0"/>
            </w:tcBorders>
            <w:vAlign w:val="center"/>
          </w:tcPr>
          <w:p w14:paraId="3F6E3C0E">
            <w:pPr>
              <w:pStyle w:val="58"/>
              <w:bidi w:val="0"/>
              <w:rPr>
                <w:rFonts w:hint="default"/>
                <w:highlight w:val="none"/>
                <w:lang w:val="en-US" w:eastAsia="zh-CN"/>
              </w:rPr>
            </w:pPr>
            <w:r>
              <w:rPr>
                <w:rFonts w:hint="default"/>
                <w:highlight w:val="none"/>
                <w:lang w:val="en-US" w:eastAsia="zh-CN"/>
              </w:rPr>
              <w:t>12.9</w:t>
            </w:r>
          </w:p>
        </w:tc>
      </w:tr>
      <w:tr w14:paraId="47C6B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0" w:type="dxa"/>
            <w:vMerge w:val="continue"/>
            <w:tcBorders>
              <w:left w:val="single" w:color="auto" w:sz="12" w:space="0"/>
            </w:tcBorders>
            <w:vAlign w:val="center"/>
          </w:tcPr>
          <w:p w14:paraId="2E28E6DF">
            <w:pPr>
              <w:pStyle w:val="58"/>
              <w:bidi w:val="0"/>
              <w:rPr>
                <w:rFonts w:hint="default"/>
                <w:highlight w:val="none"/>
              </w:rPr>
            </w:pPr>
          </w:p>
        </w:tc>
        <w:tc>
          <w:tcPr>
            <w:tcW w:w="2580" w:type="dxa"/>
            <w:vAlign w:val="center"/>
          </w:tcPr>
          <w:p w14:paraId="3A1EB05F">
            <w:pPr>
              <w:pStyle w:val="58"/>
              <w:bidi w:val="0"/>
              <w:rPr>
                <w:rFonts w:hint="default"/>
                <w:highlight w:val="none"/>
              </w:rPr>
            </w:pPr>
            <w:r>
              <w:rPr>
                <w:rFonts w:hint="default"/>
                <w:highlight w:val="none"/>
              </w:rPr>
              <w:t>氧化还原电位(mV)</w:t>
            </w:r>
          </w:p>
        </w:tc>
        <w:tc>
          <w:tcPr>
            <w:tcW w:w="5090" w:type="dxa"/>
            <w:gridSpan w:val="3"/>
            <w:tcBorders>
              <w:right w:val="single" w:color="auto" w:sz="12" w:space="0"/>
            </w:tcBorders>
            <w:vAlign w:val="center"/>
          </w:tcPr>
          <w:p w14:paraId="725BDDA6">
            <w:pPr>
              <w:pStyle w:val="58"/>
              <w:bidi w:val="0"/>
              <w:rPr>
                <w:rFonts w:hint="default"/>
                <w:highlight w:val="none"/>
                <w:lang w:val="en-US" w:eastAsia="zh-CN"/>
              </w:rPr>
            </w:pPr>
            <w:r>
              <w:rPr>
                <w:rFonts w:hint="default"/>
                <w:highlight w:val="none"/>
                <w:lang w:val="en-US" w:eastAsia="zh-CN"/>
              </w:rPr>
              <w:t>678</w:t>
            </w:r>
          </w:p>
        </w:tc>
      </w:tr>
      <w:tr w14:paraId="3BC0B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0" w:type="dxa"/>
            <w:vMerge w:val="continue"/>
            <w:tcBorders>
              <w:left w:val="single" w:color="auto" w:sz="12" w:space="0"/>
            </w:tcBorders>
            <w:vAlign w:val="center"/>
          </w:tcPr>
          <w:p w14:paraId="00D2CEEB">
            <w:pPr>
              <w:pStyle w:val="58"/>
              <w:bidi w:val="0"/>
              <w:rPr>
                <w:rFonts w:hint="default"/>
                <w:highlight w:val="none"/>
              </w:rPr>
            </w:pPr>
          </w:p>
        </w:tc>
        <w:tc>
          <w:tcPr>
            <w:tcW w:w="2580" w:type="dxa"/>
            <w:vAlign w:val="center"/>
          </w:tcPr>
          <w:p w14:paraId="020B187B">
            <w:pPr>
              <w:pStyle w:val="58"/>
              <w:bidi w:val="0"/>
              <w:rPr>
                <w:rFonts w:hint="default"/>
                <w:highlight w:val="none"/>
              </w:rPr>
            </w:pPr>
            <w:r>
              <w:rPr>
                <w:rFonts w:hint="default"/>
                <w:highlight w:val="none"/>
              </w:rPr>
              <w:t>饱和导水率(</w:t>
            </w:r>
            <w:r>
              <w:rPr>
                <w:rFonts w:hint="default"/>
                <w:highlight w:val="none"/>
                <w:lang w:val="en-US" w:eastAsia="zh-CN"/>
              </w:rPr>
              <w:t>cm</w:t>
            </w:r>
            <w:r>
              <w:rPr>
                <w:rFonts w:hint="default"/>
                <w:highlight w:val="none"/>
              </w:rPr>
              <w:t>/</w:t>
            </w:r>
            <w:r>
              <w:rPr>
                <w:rFonts w:hint="default"/>
                <w:highlight w:val="none"/>
                <w:lang w:val="en-US" w:eastAsia="zh-CN"/>
              </w:rPr>
              <w:t>s</w:t>
            </w:r>
            <w:r>
              <w:rPr>
                <w:rFonts w:hint="default"/>
                <w:highlight w:val="none"/>
              </w:rPr>
              <w:t>)</w:t>
            </w:r>
          </w:p>
        </w:tc>
        <w:tc>
          <w:tcPr>
            <w:tcW w:w="5090" w:type="dxa"/>
            <w:gridSpan w:val="3"/>
            <w:tcBorders>
              <w:right w:val="single" w:color="auto" w:sz="12" w:space="0"/>
            </w:tcBorders>
            <w:vAlign w:val="center"/>
          </w:tcPr>
          <w:p w14:paraId="644BE23F">
            <w:pPr>
              <w:pStyle w:val="58"/>
              <w:bidi w:val="0"/>
              <w:rPr>
                <w:rFonts w:hint="default"/>
                <w:highlight w:val="none"/>
                <w:lang w:val="en-US" w:eastAsia="zh-CN"/>
              </w:rPr>
            </w:pPr>
            <w:r>
              <w:rPr>
                <w:rFonts w:hint="default"/>
                <w:highlight w:val="none"/>
                <w:lang w:val="en-US" w:eastAsia="zh-CN"/>
              </w:rPr>
              <w:t>4.61*10</w:t>
            </w:r>
            <w:r>
              <w:rPr>
                <w:rFonts w:hint="default"/>
                <w:highlight w:val="none"/>
                <w:vertAlign w:val="superscript"/>
                <w:lang w:val="en-US" w:eastAsia="zh-CN"/>
              </w:rPr>
              <w:t>-4</w:t>
            </w:r>
          </w:p>
        </w:tc>
      </w:tr>
      <w:tr w14:paraId="2E704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0" w:type="dxa"/>
            <w:vMerge w:val="continue"/>
            <w:tcBorders>
              <w:left w:val="single" w:color="auto" w:sz="12" w:space="0"/>
            </w:tcBorders>
            <w:vAlign w:val="center"/>
          </w:tcPr>
          <w:p w14:paraId="1D652224">
            <w:pPr>
              <w:pStyle w:val="58"/>
              <w:bidi w:val="0"/>
              <w:rPr>
                <w:rFonts w:hint="default"/>
                <w:highlight w:val="none"/>
              </w:rPr>
            </w:pPr>
          </w:p>
        </w:tc>
        <w:tc>
          <w:tcPr>
            <w:tcW w:w="2580" w:type="dxa"/>
            <w:vAlign w:val="center"/>
          </w:tcPr>
          <w:p w14:paraId="0CCFBF1E">
            <w:pPr>
              <w:pStyle w:val="58"/>
              <w:bidi w:val="0"/>
              <w:rPr>
                <w:rFonts w:hint="default"/>
                <w:highlight w:val="none"/>
              </w:rPr>
            </w:pPr>
            <w:r>
              <w:rPr>
                <w:rFonts w:hint="default"/>
                <w:highlight w:val="none"/>
              </w:rPr>
              <w:t>土壤容重(g/c</w:t>
            </w:r>
            <w:r>
              <w:rPr>
                <w:rFonts w:hint="eastAsia"/>
                <w:highlight w:val="none"/>
                <w:lang w:eastAsia="zh-CN"/>
              </w:rPr>
              <w:t>m</w:t>
            </w:r>
            <w:r>
              <w:rPr>
                <w:rFonts w:hint="eastAsia"/>
                <w:highlight w:val="none"/>
                <w:vertAlign w:val="superscript"/>
                <w:lang w:eastAsia="zh-CN"/>
              </w:rPr>
              <w:t>3</w:t>
            </w:r>
            <w:r>
              <w:rPr>
                <w:rFonts w:hint="default"/>
                <w:highlight w:val="none"/>
              </w:rPr>
              <w:t>)</w:t>
            </w:r>
          </w:p>
        </w:tc>
        <w:tc>
          <w:tcPr>
            <w:tcW w:w="5090" w:type="dxa"/>
            <w:gridSpan w:val="3"/>
            <w:tcBorders>
              <w:right w:val="single" w:color="auto" w:sz="12" w:space="0"/>
            </w:tcBorders>
            <w:vAlign w:val="center"/>
          </w:tcPr>
          <w:p w14:paraId="12B187A9">
            <w:pPr>
              <w:pStyle w:val="58"/>
              <w:bidi w:val="0"/>
              <w:rPr>
                <w:rFonts w:hint="default"/>
                <w:highlight w:val="none"/>
                <w:lang w:val="en-US" w:eastAsia="zh-CN"/>
              </w:rPr>
            </w:pPr>
            <w:r>
              <w:rPr>
                <w:rFonts w:hint="default"/>
                <w:highlight w:val="none"/>
                <w:lang w:val="en-US" w:eastAsia="zh-CN"/>
              </w:rPr>
              <w:t>1.35</w:t>
            </w:r>
          </w:p>
        </w:tc>
      </w:tr>
      <w:tr w14:paraId="50A0C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0" w:type="dxa"/>
            <w:vMerge w:val="continue"/>
            <w:tcBorders>
              <w:left w:val="single" w:color="auto" w:sz="12" w:space="0"/>
              <w:bottom w:val="single" w:color="auto" w:sz="12" w:space="0"/>
            </w:tcBorders>
            <w:vAlign w:val="center"/>
          </w:tcPr>
          <w:p w14:paraId="74F44ADB">
            <w:pPr>
              <w:pStyle w:val="58"/>
              <w:bidi w:val="0"/>
              <w:rPr>
                <w:rFonts w:hint="default"/>
                <w:highlight w:val="none"/>
              </w:rPr>
            </w:pPr>
          </w:p>
        </w:tc>
        <w:tc>
          <w:tcPr>
            <w:tcW w:w="2580" w:type="dxa"/>
            <w:tcBorders>
              <w:bottom w:val="single" w:color="auto" w:sz="12" w:space="0"/>
            </w:tcBorders>
            <w:vAlign w:val="center"/>
          </w:tcPr>
          <w:p w14:paraId="4CD9853A">
            <w:pPr>
              <w:pStyle w:val="58"/>
              <w:bidi w:val="0"/>
              <w:rPr>
                <w:rFonts w:hint="default"/>
                <w:highlight w:val="none"/>
              </w:rPr>
            </w:pPr>
            <w:r>
              <w:rPr>
                <w:rFonts w:hint="default"/>
                <w:highlight w:val="none"/>
              </w:rPr>
              <w:t>土壤总孔隙度(%)</w:t>
            </w:r>
          </w:p>
        </w:tc>
        <w:tc>
          <w:tcPr>
            <w:tcW w:w="5090" w:type="dxa"/>
            <w:gridSpan w:val="3"/>
            <w:tcBorders>
              <w:bottom w:val="single" w:color="auto" w:sz="12" w:space="0"/>
              <w:right w:val="single" w:color="auto" w:sz="12" w:space="0"/>
            </w:tcBorders>
            <w:vAlign w:val="center"/>
          </w:tcPr>
          <w:p w14:paraId="24B3EDF4">
            <w:pPr>
              <w:pStyle w:val="58"/>
              <w:bidi w:val="0"/>
              <w:rPr>
                <w:rFonts w:hint="default"/>
                <w:highlight w:val="none"/>
                <w:lang w:val="en-US" w:eastAsia="zh-CN"/>
              </w:rPr>
            </w:pPr>
            <w:r>
              <w:rPr>
                <w:rFonts w:hint="default"/>
                <w:highlight w:val="none"/>
                <w:lang w:val="en-US" w:eastAsia="zh-CN"/>
              </w:rPr>
              <w:t>47.6</w:t>
            </w:r>
          </w:p>
        </w:tc>
      </w:tr>
    </w:tbl>
    <w:p w14:paraId="02C76E6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highlight w:val="none"/>
          <w:lang w:eastAsia="zh-CN"/>
          <w14:textFill>
            <w14:solidFill>
              <w14:schemeClr w14:val="tx1"/>
            </w14:solidFill>
          </w14:textFill>
        </w:rPr>
        <w:drawing>
          <wp:inline distT="0" distB="0" distL="114300" distR="114300">
            <wp:extent cx="4191000" cy="4324985"/>
            <wp:effectExtent l="0" t="0" r="0" b="18415"/>
            <wp:docPr id="64" name="图片 64" descr="0646995dbf55c58808f43f69d9f6c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0646995dbf55c58808f43f69d9f6cc2"/>
                    <pic:cNvPicPr>
                      <a:picLocks noChangeAspect="1"/>
                    </pic:cNvPicPr>
                  </pic:nvPicPr>
                  <pic:blipFill>
                    <a:blip r:embed="rId62"/>
                    <a:srcRect b="22580"/>
                    <a:stretch>
                      <a:fillRect/>
                    </a:stretch>
                  </pic:blipFill>
                  <pic:spPr>
                    <a:xfrm>
                      <a:off x="0" y="0"/>
                      <a:ext cx="4191000" cy="4324985"/>
                    </a:xfrm>
                    <a:prstGeom prst="rect">
                      <a:avLst/>
                    </a:prstGeom>
                  </pic:spPr>
                </pic:pic>
              </a:graphicData>
            </a:graphic>
          </wp:inline>
        </w:drawing>
      </w:r>
    </w:p>
    <w:p w14:paraId="0E6C5233">
      <w:pPr>
        <w:jc w:val="center"/>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eastAsia="zh-CN"/>
          <w14:textFill>
            <w14:solidFill>
              <w14:schemeClr w14:val="tx1"/>
            </w14:solidFill>
          </w14:textFill>
        </w:rPr>
        <w:t>图</w:t>
      </w: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4.3-1项目所在区域土体构型图</w:t>
      </w:r>
    </w:p>
    <w:p w14:paraId="5A2FCAD8">
      <w:pPr>
        <w:keepNext w:val="0"/>
        <w:keepLines w:val="0"/>
        <w:pageBreakBefore w:val="0"/>
        <w:widowControl/>
        <w:kinsoku/>
        <w:wordWrap/>
        <w:overflowPunct/>
        <w:topLinePunct w:val="0"/>
        <w:autoSpaceDE w:val="0"/>
        <w:autoSpaceDN w:val="0"/>
        <w:bidi w:val="0"/>
        <w:adjustRightInd w:val="0"/>
        <w:snapToGrid/>
        <w:spacing w:line="480" w:lineRule="exact"/>
        <w:ind w:firstLine="480" w:firstLineChars="200"/>
        <w:jc w:val="left"/>
        <w:textAlignment w:val="auto"/>
        <w:rPr>
          <w:rFonts w:hint="default" w:ascii="Times New Roman" w:hAnsi="Times New Roman" w:eastAsia="宋体" w:cs="Times New Roman"/>
          <w:color w:val="000000" w:themeColor="text1"/>
          <w:sz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⑵</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土地</w:t>
      </w:r>
      <w:r>
        <w:rPr>
          <w:rFonts w:hint="default" w:ascii="Times New Roman" w:hAnsi="Times New Roman" w:eastAsia="宋体" w:cs="Times New Roman"/>
          <w:color w:val="000000" w:themeColor="text1"/>
          <w:kern w:val="0"/>
          <w:sz w:val="24"/>
          <w:szCs w:val="24"/>
          <w:highlight w:val="none"/>
          <w:lang w:eastAsia="zh-CN"/>
          <w14:textFill>
            <w14:solidFill>
              <w14:schemeClr w14:val="tx1"/>
            </w14:solidFill>
          </w14:textFill>
        </w:rPr>
        <w:t>类型</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调查</w:t>
      </w:r>
    </w:p>
    <w:p w14:paraId="588C2F7C">
      <w:pPr>
        <w:keepNext w:val="0"/>
        <w:keepLines w:val="0"/>
        <w:pageBreakBefore w:val="0"/>
        <w:widowControl/>
        <w:kinsoku/>
        <w:wordWrap/>
        <w:overflowPunct/>
        <w:topLinePunct w:val="0"/>
        <w:autoSpaceDE w:val="0"/>
        <w:autoSpaceDN w:val="0"/>
        <w:bidi w:val="0"/>
        <w:adjustRightInd w:val="0"/>
        <w:snapToGrid/>
        <w:spacing w:line="480" w:lineRule="exact"/>
        <w:ind w:firstLine="480" w:firstLineChars="200"/>
        <w:jc w:val="left"/>
        <w:textAlignment w:val="auto"/>
        <w:rPr>
          <w:rFonts w:hint="default" w:ascii="Times New Roman" w:hAnsi="Times New Roman" w:eastAsia="宋体" w:cs="Times New Roman"/>
          <w:color w:val="000000" w:themeColor="text1"/>
          <w:kern w:val="0"/>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14:textFill>
            <w14:solidFill>
              <w14:schemeClr w14:val="tx1"/>
            </w14:solidFill>
          </w14:textFill>
        </w:rPr>
        <w:t>根据国家土壤信息服务平台发布的中国发生分类土壤图（数据来源：二普调查，2016年），《中国土壤分类与代码》（GB/T17296-2009）中土壤分类，本项目土壤评价范围内为</w:t>
      </w:r>
      <w:r>
        <w:rPr>
          <w:rFonts w:hint="default"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滨海盐土</w:t>
      </w:r>
      <w:r>
        <w:rPr>
          <w:rFonts w:hint="default" w:ascii="Times New Roman" w:hAnsi="Times New Roman" w:eastAsia="宋体" w:cs="Times New Roman"/>
          <w:color w:val="000000" w:themeColor="text1"/>
          <w:kern w:val="0"/>
          <w:sz w:val="24"/>
          <w:szCs w:val="24"/>
          <w:highlight w:val="none"/>
          <w14:textFill>
            <w14:solidFill>
              <w14:schemeClr w14:val="tx1"/>
            </w14:solidFill>
          </w14:textFill>
        </w:rPr>
        <w:t>，本项目周边土壤类型分布见图</w:t>
      </w:r>
      <w:r>
        <w:rPr>
          <w:rFonts w:hint="default"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4.3-1。</w:t>
      </w:r>
    </w:p>
    <w:p w14:paraId="14DC788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object>
          <v:shape id="_x0000_i1036" o:spt="75" type="#_x0000_t75" style="height:327.95pt;width:402.55pt;" o:ole="t" filled="f" o:preferrelative="t" stroked="f" coordsize="21600,21600">
            <v:path/>
            <v:fill on="f" focussize="0,0"/>
            <v:stroke on="f"/>
            <v:imagedata r:id="rId64" o:title=""/>
            <o:lock v:ext="edit" aspectratio="t"/>
            <w10:wrap type="none"/>
            <w10:anchorlock/>
          </v:shape>
          <o:OLEObject Type="Embed" ProgID="Visio.Drawing.11" ShapeID="_x0000_i1036" DrawAspect="Content" ObjectID="_1468075738" r:id="rId63">
            <o:LockedField>false</o:LockedField>
          </o:OLEObject>
        </w:object>
      </w:r>
    </w:p>
    <w:p w14:paraId="3ECD861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eastAsia="zh-CN"/>
          <w14:textFill>
            <w14:solidFill>
              <w14:schemeClr w14:val="tx1"/>
            </w14:solidFill>
          </w14:textFill>
        </w:rPr>
        <w:t>图</w:t>
      </w: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4.3-2项目所在区域土壤类型图</w:t>
      </w:r>
    </w:p>
    <w:p w14:paraId="568F10C8">
      <w:pPr>
        <w:keepNext w:val="0"/>
        <w:keepLines w:val="0"/>
        <w:pageBreakBefore w:val="0"/>
        <w:widowControl w:val="0"/>
        <w:kinsoku/>
        <w:wordWrap/>
        <w:overflowPunct/>
        <w:topLinePunct w:val="0"/>
        <w:autoSpaceDE/>
        <w:autoSpaceDN/>
        <w:bidi w:val="0"/>
        <w:adjustRightInd/>
        <w:snapToGrid/>
        <w:spacing w:line="480" w:lineRule="exact"/>
        <w:ind w:firstLine="0" w:firstLineChars="0"/>
        <w:jc w:val="both"/>
        <w:textAlignment w:val="auto"/>
        <w:outlineLvl w:val="3"/>
        <w:rPr>
          <w:rFonts w:hint="default" w:ascii="Times New Roman" w:hAnsi="Times New Roman" w:eastAsia="宋体" w:cs="Times New Roman"/>
          <w:b/>
          <w:bCs/>
          <w:color w:val="000000" w:themeColor="text1"/>
          <w:sz w:val="24"/>
          <w:highlight w:val="none"/>
          <w14:textFill>
            <w14:solidFill>
              <w14:schemeClr w14:val="tx1"/>
            </w14:solidFill>
          </w14:textFill>
        </w:rPr>
      </w:pPr>
      <w:r>
        <w:rPr>
          <w:rFonts w:hint="default" w:ascii="Times New Roman" w:hAnsi="Times New Roman" w:eastAsia="宋体" w:cs="Times New Roman"/>
          <w:b/>
          <w:bCs/>
          <w:color w:val="000000" w:themeColor="text1"/>
          <w:sz w:val="24"/>
          <w:highlight w:val="none"/>
          <w14:textFill>
            <w14:solidFill>
              <w14:schemeClr w14:val="tx1"/>
            </w14:solidFill>
          </w14:textFill>
        </w:rPr>
        <w:t>4.3.4.</w:t>
      </w:r>
      <w:r>
        <w:rPr>
          <w:rFonts w:hint="default" w:ascii="Times New Roman" w:hAnsi="Times New Roman" w:eastAsia="宋体" w:cs="Times New Roman"/>
          <w:b/>
          <w:bCs/>
          <w:color w:val="000000" w:themeColor="text1"/>
          <w:sz w:val="24"/>
          <w:highlight w:val="none"/>
          <w:lang w:val="en-US" w:eastAsia="zh-CN"/>
          <w14:textFill>
            <w14:solidFill>
              <w14:schemeClr w14:val="tx1"/>
            </w14:solidFill>
          </w14:textFill>
        </w:rPr>
        <w:t>2</w:t>
      </w:r>
      <w:r>
        <w:rPr>
          <w:rFonts w:hint="default" w:ascii="Times New Roman" w:hAnsi="Times New Roman" w:eastAsia="宋体" w:cs="Times New Roman"/>
          <w:b/>
          <w:bCs/>
          <w:color w:val="000000" w:themeColor="text1"/>
          <w:sz w:val="24"/>
          <w:highlight w:val="none"/>
          <w14:textFill>
            <w14:solidFill>
              <w14:schemeClr w14:val="tx1"/>
            </w14:solidFill>
          </w14:textFill>
        </w:rPr>
        <w:t>土壤环境质量现状监测</w:t>
      </w:r>
    </w:p>
    <w:p w14:paraId="454796BC">
      <w:pPr>
        <w:keepNext w:val="0"/>
        <w:keepLines w:val="0"/>
        <w:pageBreakBefore w:val="0"/>
        <w:widowControl w:val="0"/>
        <w:kinsoku/>
        <w:wordWrap/>
        <w:overflowPunct/>
        <w:topLinePunct w:val="0"/>
        <w:autoSpaceDE/>
        <w:autoSpaceDN/>
        <w:bidi w:val="0"/>
        <w:adjustRightInd/>
        <w:snapToGrid/>
        <w:spacing w:line="480" w:lineRule="exact"/>
        <w:ind w:firstLine="0" w:firstLineChars="0"/>
        <w:jc w:val="both"/>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监测点位及监测因子</w:t>
      </w:r>
    </w:p>
    <w:p w14:paraId="0849F882">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根据《环境影响评价技术导则土壤环境（试行）》（HJ964-2018），项目位置及周边现状情况，在厂区占地范围之内</w:t>
      </w:r>
      <w:r>
        <w:rPr>
          <w:rFonts w:hint="default" w:ascii="Times New Roman" w:hAnsi="Times New Roman" w:eastAsia="宋体" w:cs="Times New Roman"/>
          <w:color w:val="000000" w:themeColor="text1"/>
          <w:sz w:val="24"/>
          <w:highlight w:val="none"/>
          <w14:textFill>
            <w14:solidFill>
              <w14:schemeClr w14:val="tx1"/>
            </w14:solidFill>
          </w14:textFill>
        </w:rPr>
        <w:t>布设</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3个表层样点</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土壤现状监测点位及因子见表4.3-16。</w:t>
      </w:r>
    </w:p>
    <w:p w14:paraId="18218C4F">
      <w:pPr>
        <w:keepNext w:val="0"/>
        <w:keepLines w:val="0"/>
        <w:pageBreakBefore w:val="0"/>
        <w:widowControl w:val="0"/>
        <w:numPr>
          <w:ilvl w:val="0"/>
          <w:numId w:val="30"/>
        </w:numPr>
        <w:kinsoku/>
        <w:wordWrap/>
        <w:overflowPunct/>
        <w:topLinePunct w:val="0"/>
        <w:autoSpaceDE w:val="0"/>
        <w:autoSpaceDN w:val="0"/>
        <w:bidi w:val="0"/>
        <w:adjustRightInd w:val="0"/>
        <w:snapToGrid/>
        <w:spacing w:line="500" w:lineRule="exact"/>
        <w:ind w:left="425" w:leftChars="0" w:hanging="425" w:firstLineChars="0"/>
        <w:jc w:val="center"/>
        <w:textAlignment w:val="auto"/>
        <w:rPr>
          <w:rFonts w:hint="default" w:ascii="Times New Roman" w:hAnsi="Times New Roman" w:eastAsia="宋体" w:cs="Times New Roman"/>
          <w:b/>
          <w:bCs w:val="0"/>
          <w:color w:val="000000" w:themeColor="text1"/>
          <w:sz w:val="25"/>
          <w:szCs w:val="25"/>
          <w:highlight w:val="none"/>
          <w:shd w:val="clear" w:color="auto" w:fill="auto"/>
          <w14:textFill>
            <w14:solidFill>
              <w14:schemeClr w14:val="tx1"/>
            </w14:solidFill>
          </w14:textFill>
        </w:rPr>
      </w:pPr>
      <w:r>
        <w:rPr>
          <w:rFonts w:hint="default" w:ascii="Times New Roman" w:hAnsi="Times New Roman" w:eastAsia="宋体" w:cs="Times New Roman"/>
          <w:b/>
          <w:bCs w:val="0"/>
          <w:color w:val="000000" w:themeColor="text1"/>
          <w:sz w:val="25"/>
          <w:szCs w:val="25"/>
          <w:highlight w:val="none"/>
          <w:shd w:val="clear" w:color="auto" w:fill="auto"/>
          <w:lang w:eastAsia="zh-CN"/>
          <w14:textFill>
            <w14:solidFill>
              <w14:schemeClr w14:val="tx1"/>
            </w14:solidFill>
          </w14:textFill>
        </w:rPr>
        <w:t>土壤</w:t>
      </w:r>
      <w:r>
        <w:rPr>
          <w:rFonts w:hint="default" w:ascii="Times New Roman" w:hAnsi="Times New Roman" w:eastAsia="宋体" w:cs="Times New Roman"/>
          <w:b/>
          <w:bCs w:val="0"/>
          <w:color w:val="000000" w:themeColor="text1"/>
          <w:sz w:val="25"/>
          <w:szCs w:val="25"/>
          <w:highlight w:val="none"/>
          <w:shd w:val="clear" w:color="auto" w:fill="auto"/>
          <w14:textFill>
            <w14:solidFill>
              <w14:schemeClr w14:val="tx1"/>
            </w14:solidFill>
          </w14:textFill>
        </w:rPr>
        <w:t>环境质量现状监测点</w:t>
      </w:r>
      <w:r>
        <w:rPr>
          <w:rFonts w:hint="default" w:ascii="Times New Roman" w:hAnsi="Times New Roman" w:eastAsia="宋体" w:cs="Times New Roman"/>
          <w:b/>
          <w:bCs w:val="0"/>
          <w:color w:val="000000" w:themeColor="text1"/>
          <w:sz w:val="25"/>
          <w:szCs w:val="25"/>
          <w:highlight w:val="none"/>
          <w:shd w:val="clear" w:color="auto" w:fill="auto"/>
          <w:lang w:eastAsia="zh-CN"/>
          <w14:textFill>
            <w14:solidFill>
              <w14:schemeClr w14:val="tx1"/>
            </w14:solidFill>
          </w14:textFill>
        </w:rPr>
        <w:t>及因子</w:t>
      </w:r>
      <w:r>
        <w:rPr>
          <w:rFonts w:hint="default" w:ascii="Times New Roman" w:hAnsi="Times New Roman" w:eastAsia="宋体" w:cs="Times New Roman"/>
          <w:b/>
          <w:bCs w:val="0"/>
          <w:color w:val="000000" w:themeColor="text1"/>
          <w:sz w:val="25"/>
          <w:szCs w:val="25"/>
          <w:highlight w:val="none"/>
          <w:shd w:val="clear" w:color="auto" w:fill="auto"/>
          <w14:textFill>
            <w14:solidFill>
              <w14:schemeClr w14:val="tx1"/>
            </w14:solidFill>
          </w14:textFill>
        </w:rPr>
        <w:t>设置一览表</w:t>
      </w:r>
    </w:p>
    <w:tbl>
      <w:tblPr>
        <w:tblStyle w:val="47"/>
        <w:tblW w:w="959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26"/>
        <w:gridCol w:w="1566"/>
        <w:gridCol w:w="873"/>
        <w:gridCol w:w="873"/>
        <w:gridCol w:w="1132"/>
        <w:gridCol w:w="531"/>
        <w:gridCol w:w="3993"/>
      </w:tblGrid>
      <w:tr w14:paraId="15CD47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26" w:type="dxa"/>
            <w:tcBorders>
              <w:tl2br w:val="nil"/>
              <w:tr2bl w:val="nil"/>
            </w:tcBorders>
            <w:noWrap w:val="0"/>
            <w:vAlign w:val="center"/>
          </w:tcPr>
          <w:p w14:paraId="332A7A49">
            <w:pPr>
              <w:pStyle w:val="58"/>
              <w:bidi w:val="0"/>
              <w:rPr>
                <w:rFonts w:hint="default"/>
                <w:highlight w:val="none"/>
              </w:rPr>
            </w:pPr>
            <w:r>
              <w:rPr>
                <w:rFonts w:hint="default"/>
                <w:highlight w:val="none"/>
              </w:rPr>
              <w:t>序号</w:t>
            </w:r>
          </w:p>
        </w:tc>
        <w:tc>
          <w:tcPr>
            <w:tcW w:w="1566" w:type="dxa"/>
            <w:tcBorders>
              <w:tl2br w:val="nil"/>
              <w:tr2bl w:val="nil"/>
            </w:tcBorders>
            <w:noWrap w:val="0"/>
            <w:vAlign w:val="center"/>
          </w:tcPr>
          <w:p w14:paraId="6484815D">
            <w:pPr>
              <w:pStyle w:val="58"/>
              <w:bidi w:val="0"/>
              <w:rPr>
                <w:rFonts w:hint="default"/>
                <w:highlight w:val="none"/>
              </w:rPr>
            </w:pPr>
            <w:r>
              <w:rPr>
                <w:rFonts w:hint="default"/>
                <w:highlight w:val="none"/>
              </w:rPr>
              <w:t>监测点</w:t>
            </w:r>
          </w:p>
        </w:tc>
        <w:tc>
          <w:tcPr>
            <w:tcW w:w="873" w:type="dxa"/>
            <w:tcBorders>
              <w:tl2br w:val="nil"/>
              <w:tr2bl w:val="nil"/>
            </w:tcBorders>
            <w:noWrap w:val="0"/>
            <w:vAlign w:val="center"/>
          </w:tcPr>
          <w:p w14:paraId="40D00731">
            <w:pPr>
              <w:pStyle w:val="58"/>
              <w:bidi w:val="0"/>
              <w:rPr>
                <w:rFonts w:hint="default"/>
                <w:highlight w:val="none"/>
              </w:rPr>
            </w:pPr>
            <w:r>
              <w:rPr>
                <w:rFonts w:hint="default"/>
                <w:highlight w:val="none"/>
              </w:rPr>
              <w:t>位置</w:t>
            </w:r>
          </w:p>
        </w:tc>
        <w:tc>
          <w:tcPr>
            <w:tcW w:w="873" w:type="dxa"/>
            <w:tcBorders>
              <w:tl2br w:val="nil"/>
              <w:tr2bl w:val="nil"/>
            </w:tcBorders>
            <w:noWrap w:val="0"/>
            <w:vAlign w:val="center"/>
          </w:tcPr>
          <w:p w14:paraId="66843C0C">
            <w:pPr>
              <w:pStyle w:val="58"/>
              <w:bidi w:val="0"/>
              <w:rPr>
                <w:rFonts w:hint="default"/>
                <w:highlight w:val="none"/>
                <w:lang w:val="en-US" w:eastAsia="zh-CN"/>
              </w:rPr>
            </w:pPr>
            <w:r>
              <w:rPr>
                <w:rFonts w:hint="default"/>
                <w:highlight w:val="none"/>
                <w:lang w:val="en-US" w:eastAsia="zh-CN"/>
              </w:rPr>
              <w:t>用地种类</w:t>
            </w:r>
          </w:p>
        </w:tc>
        <w:tc>
          <w:tcPr>
            <w:tcW w:w="1132" w:type="dxa"/>
            <w:tcBorders>
              <w:tl2br w:val="nil"/>
              <w:tr2bl w:val="nil"/>
            </w:tcBorders>
            <w:noWrap w:val="0"/>
            <w:vAlign w:val="center"/>
          </w:tcPr>
          <w:p w14:paraId="330CEE28">
            <w:pPr>
              <w:pStyle w:val="58"/>
              <w:bidi w:val="0"/>
              <w:rPr>
                <w:rFonts w:hint="default"/>
                <w:highlight w:val="none"/>
                <w:lang w:eastAsia="zh-CN"/>
              </w:rPr>
            </w:pPr>
            <w:r>
              <w:rPr>
                <w:rFonts w:hint="default"/>
                <w:highlight w:val="none"/>
                <w:lang w:val="en-US" w:eastAsia="zh-CN"/>
              </w:rPr>
              <w:t>样点种类</w:t>
            </w:r>
          </w:p>
        </w:tc>
        <w:tc>
          <w:tcPr>
            <w:tcW w:w="531" w:type="dxa"/>
            <w:tcBorders>
              <w:tl2br w:val="nil"/>
              <w:tr2bl w:val="nil"/>
            </w:tcBorders>
            <w:noWrap w:val="0"/>
            <w:vAlign w:val="center"/>
          </w:tcPr>
          <w:p w14:paraId="7D0FDF3A">
            <w:pPr>
              <w:pStyle w:val="58"/>
              <w:bidi w:val="0"/>
              <w:rPr>
                <w:rFonts w:hint="default"/>
                <w:highlight w:val="none"/>
                <w:lang w:val="en-US" w:eastAsia="zh-CN"/>
              </w:rPr>
            </w:pPr>
            <w:r>
              <w:rPr>
                <w:rFonts w:hint="default"/>
                <w:highlight w:val="none"/>
                <w:lang w:val="en-US" w:eastAsia="zh-CN"/>
              </w:rPr>
              <w:t>个数</w:t>
            </w:r>
          </w:p>
        </w:tc>
        <w:tc>
          <w:tcPr>
            <w:tcW w:w="3993" w:type="dxa"/>
            <w:tcBorders>
              <w:tl2br w:val="nil"/>
              <w:tr2bl w:val="nil"/>
            </w:tcBorders>
            <w:noWrap w:val="0"/>
            <w:vAlign w:val="center"/>
          </w:tcPr>
          <w:p w14:paraId="4D666797">
            <w:pPr>
              <w:pStyle w:val="58"/>
              <w:bidi w:val="0"/>
              <w:rPr>
                <w:rFonts w:hint="default"/>
                <w:highlight w:val="none"/>
                <w:lang w:val="en-US" w:eastAsia="zh-CN"/>
              </w:rPr>
            </w:pPr>
            <w:r>
              <w:rPr>
                <w:rFonts w:hint="default"/>
                <w:highlight w:val="none"/>
                <w:lang w:val="en-US" w:eastAsia="zh-CN"/>
              </w:rPr>
              <w:t>监测因子</w:t>
            </w:r>
          </w:p>
        </w:tc>
      </w:tr>
      <w:tr w14:paraId="0BCE0BF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26" w:type="dxa"/>
            <w:tcBorders>
              <w:tl2br w:val="nil"/>
              <w:tr2bl w:val="nil"/>
            </w:tcBorders>
            <w:noWrap w:val="0"/>
            <w:vAlign w:val="center"/>
          </w:tcPr>
          <w:p w14:paraId="46057658">
            <w:pPr>
              <w:pStyle w:val="58"/>
              <w:bidi w:val="0"/>
              <w:rPr>
                <w:rFonts w:hint="default"/>
                <w:highlight w:val="none"/>
                <w:lang w:val="en-US" w:eastAsia="zh-CN"/>
              </w:rPr>
            </w:pPr>
            <w:r>
              <w:rPr>
                <w:rFonts w:hint="default"/>
                <w:highlight w:val="none"/>
                <w:lang w:val="en-US" w:eastAsia="zh-CN"/>
              </w:rPr>
              <w:t>1</w:t>
            </w:r>
          </w:p>
        </w:tc>
        <w:tc>
          <w:tcPr>
            <w:tcW w:w="1566" w:type="dxa"/>
            <w:tcBorders>
              <w:tl2br w:val="nil"/>
              <w:tr2bl w:val="nil"/>
            </w:tcBorders>
            <w:noWrap w:val="0"/>
            <w:vAlign w:val="center"/>
          </w:tcPr>
          <w:p w14:paraId="2055BA0C">
            <w:pPr>
              <w:pStyle w:val="58"/>
              <w:bidi w:val="0"/>
              <w:rPr>
                <w:rFonts w:hint="default"/>
                <w:highlight w:val="none"/>
                <w:lang w:val="en-US" w:eastAsia="zh-CN"/>
              </w:rPr>
            </w:pPr>
            <w:r>
              <w:rPr>
                <w:rFonts w:hint="default"/>
                <w:highlight w:val="none"/>
                <w:lang w:val="en-US" w:eastAsia="zh-CN"/>
              </w:rPr>
              <w:t>厂区东北侧</w:t>
            </w:r>
          </w:p>
        </w:tc>
        <w:tc>
          <w:tcPr>
            <w:tcW w:w="873" w:type="dxa"/>
            <w:vMerge w:val="restart"/>
            <w:tcBorders>
              <w:tl2br w:val="nil"/>
              <w:tr2bl w:val="nil"/>
            </w:tcBorders>
            <w:noWrap w:val="0"/>
            <w:vAlign w:val="center"/>
          </w:tcPr>
          <w:p w14:paraId="266388F9">
            <w:pPr>
              <w:pStyle w:val="58"/>
              <w:bidi w:val="0"/>
              <w:rPr>
                <w:rFonts w:hint="default"/>
                <w:highlight w:val="none"/>
                <w:lang w:val="en-US" w:eastAsia="zh-CN"/>
              </w:rPr>
            </w:pPr>
            <w:r>
              <w:rPr>
                <w:rFonts w:hint="default"/>
                <w:highlight w:val="none"/>
                <w:lang w:val="en-US" w:eastAsia="zh-CN"/>
              </w:rPr>
              <w:t>项目所在地</w:t>
            </w:r>
          </w:p>
        </w:tc>
        <w:tc>
          <w:tcPr>
            <w:tcW w:w="873" w:type="dxa"/>
            <w:vMerge w:val="restart"/>
            <w:tcBorders>
              <w:tl2br w:val="nil"/>
              <w:tr2bl w:val="nil"/>
            </w:tcBorders>
            <w:noWrap w:val="0"/>
            <w:vAlign w:val="center"/>
          </w:tcPr>
          <w:p w14:paraId="19C28F36">
            <w:pPr>
              <w:pStyle w:val="58"/>
              <w:bidi w:val="0"/>
              <w:rPr>
                <w:rFonts w:hint="default"/>
                <w:highlight w:val="none"/>
                <w:lang w:val="en-US" w:eastAsia="zh-CN"/>
              </w:rPr>
            </w:pPr>
            <w:r>
              <w:rPr>
                <w:rFonts w:hint="default"/>
                <w:highlight w:val="none"/>
                <w:lang w:val="en-US" w:eastAsia="zh-CN"/>
              </w:rPr>
              <w:t>建设用地</w:t>
            </w:r>
          </w:p>
        </w:tc>
        <w:tc>
          <w:tcPr>
            <w:tcW w:w="1132" w:type="dxa"/>
            <w:tcBorders>
              <w:tl2br w:val="nil"/>
              <w:tr2bl w:val="nil"/>
            </w:tcBorders>
            <w:noWrap w:val="0"/>
            <w:vAlign w:val="center"/>
          </w:tcPr>
          <w:p w14:paraId="420A8AE0">
            <w:pPr>
              <w:pStyle w:val="58"/>
              <w:bidi w:val="0"/>
              <w:rPr>
                <w:rFonts w:hint="default"/>
                <w:highlight w:val="none"/>
                <w:lang w:val="en-US" w:eastAsia="zh-CN"/>
              </w:rPr>
            </w:pPr>
            <w:r>
              <w:rPr>
                <w:rFonts w:hint="default"/>
                <w:highlight w:val="none"/>
                <w:lang w:val="en-US" w:eastAsia="zh-CN"/>
              </w:rPr>
              <w:t>表层样点</w:t>
            </w:r>
          </w:p>
        </w:tc>
        <w:tc>
          <w:tcPr>
            <w:tcW w:w="531" w:type="dxa"/>
            <w:tcBorders>
              <w:tl2br w:val="nil"/>
              <w:tr2bl w:val="nil"/>
            </w:tcBorders>
            <w:noWrap w:val="0"/>
            <w:vAlign w:val="center"/>
          </w:tcPr>
          <w:p w14:paraId="02E99036">
            <w:pPr>
              <w:pStyle w:val="58"/>
              <w:bidi w:val="0"/>
              <w:rPr>
                <w:rFonts w:hint="default"/>
                <w:highlight w:val="none"/>
                <w:lang w:val="en-US" w:eastAsia="zh-CN"/>
              </w:rPr>
            </w:pPr>
            <w:r>
              <w:rPr>
                <w:rFonts w:hint="default"/>
                <w:highlight w:val="none"/>
                <w:lang w:val="en-US" w:eastAsia="zh-CN"/>
              </w:rPr>
              <w:t>1</w:t>
            </w:r>
          </w:p>
        </w:tc>
        <w:tc>
          <w:tcPr>
            <w:tcW w:w="3993" w:type="dxa"/>
            <w:tcBorders>
              <w:tl2br w:val="nil"/>
              <w:tr2bl w:val="nil"/>
            </w:tcBorders>
            <w:noWrap w:val="0"/>
            <w:vAlign w:val="center"/>
          </w:tcPr>
          <w:p w14:paraId="6FB833FE">
            <w:pPr>
              <w:pStyle w:val="58"/>
              <w:bidi w:val="0"/>
              <w:rPr>
                <w:rFonts w:hint="default"/>
                <w:highlight w:val="none"/>
                <w:lang w:val="en-US" w:eastAsia="zh-CN"/>
              </w:rPr>
            </w:pPr>
            <w:r>
              <w:rPr>
                <w:rFonts w:hint="default"/>
                <w:highlight w:val="none"/>
                <w:lang w:val="en-US" w:eastAsia="zh-CN"/>
              </w:rPr>
              <w:t>砷、镉、铬(六价)、铜、铅、汞、镍、四氯化碳、氯仿、氯甲烷、1,1-二氯乙烷、1,2-二氯乙烷、1,1-二氯乙烯，顺-1,2-二氯乙烯、反-1,2-二氯乙烯、二氯甲烷、1,2-二氯丙烷、1,1,1,2-四氯乙烷、1,1,2,2-四氯乙烷、四氯乙烯、1,1,1-三氯乙烷、1,1,2-三氯乙烷、三氯乙烯、1,2,3-三氯丙烷、氯乙烯、苯、氯苯、1,2-二氯苯、1,4-二氯苯、乙苯、苯乙烯、甲苯、间二甲苯+对二甲苯、邻二甲苯、硝基苯、苯胺、2-氯酚、苯并[a]蒽、苯并[a]芘、苯并[b]荧蒽、苯并[k]荧蒽、䓛、二苯并[a、h]蒽、茚并[1,2,3-cd]芘、萘，pH、氨氮、石油烃，共48项</w:t>
            </w:r>
          </w:p>
        </w:tc>
      </w:tr>
      <w:tr w14:paraId="0EA40D4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26" w:type="dxa"/>
            <w:tcBorders>
              <w:tl2br w:val="nil"/>
              <w:tr2bl w:val="nil"/>
            </w:tcBorders>
            <w:noWrap w:val="0"/>
            <w:vAlign w:val="center"/>
          </w:tcPr>
          <w:p w14:paraId="3A043334">
            <w:pPr>
              <w:pStyle w:val="58"/>
              <w:bidi w:val="0"/>
              <w:rPr>
                <w:rFonts w:hint="default"/>
                <w:highlight w:val="none"/>
                <w:lang w:val="en-US" w:eastAsia="zh-CN"/>
              </w:rPr>
            </w:pPr>
            <w:r>
              <w:rPr>
                <w:rFonts w:hint="default"/>
                <w:highlight w:val="none"/>
                <w:lang w:val="en-US" w:eastAsia="zh-CN"/>
              </w:rPr>
              <w:t>2</w:t>
            </w:r>
          </w:p>
        </w:tc>
        <w:tc>
          <w:tcPr>
            <w:tcW w:w="1566" w:type="dxa"/>
            <w:tcBorders>
              <w:tl2br w:val="nil"/>
              <w:tr2bl w:val="nil"/>
            </w:tcBorders>
            <w:noWrap w:val="0"/>
            <w:vAlign w:val="center"/>
          </w:tcPr>
          <w:p w14:paraId="01AD5236">
            <w:pPr>
              <w:pStyle w:val="58"/>
              <w:bidi w:val="0"/>
              <w:rPr>
                <w:rFonts w:hint="default"/>
                <w:highlight w:val="none"/>
                <w:lang w:val="en-US" w:eastAsia="zh-CN"/>
              </w:rPr>
            </w:pPr>
            <w:r>
              <w:rPr>
                <w:rFonts w:hint="default"/>
                <w:highlight w:val="none"/>
                <w:lang w:val="en-US" w:eastAsia="zh-CN"/>
              </w:rPr>
              <w:t>厂区中部</w:t>
            </w:r>
          </w:p>
        </w:tc>
        <w:tc>
          <w:tcPr>
            <w:tcW w:w="873" w:type="dxa"/>
            <w:vMerge w:val="continue"/>
            <w:tcBorders>
              <w:tl2br w:val="nil"/>
              <w:tr2bl w:val="nil"/>
            </w:tcBorders>
            <w:noWrap w:val="0"/>
            <w:vAlign w:val="center"/>
          </w:tcPr>
          <w:p w14:paraId="4AC2B27F">
            <w:pPr>
              <w:pStyle w:val="58"/>
              <w:bidi w:val="0"/>
              <w:rPr>
                <w:rFonts w:hint="default"/>
                <w:highlight w:val="none"/>
                <w:lang w:val="en-US" w:eastAsia="zh-CN"/>
              </w:rPr>
            </w:pPr>
          </w:p>
        </w:tc>
        <w:tc>
          <w:tcPr>
            <w:tcW w:w="873" w:type="dxa"/>
            <w:vMerge w:val="continue"/>
            <w:tcBorders>
              <w:tl2br w:val="nil"/>
              <w:tr2bl w:val="nil"/>
            </w:tcBorders>
            <w:noWrap w:val="0"/>
            <w:vAlign w:val="center"/>
          </w:tcPr>
          <w:p w14:paraId="0800A01A">
            <w:pPr>
              <w:pStyle w:val="58"/>
              <w:bidi w:val="0"/>
              <w:rPr>
                <w:rFonts w:hint="default"/>
                <w:highlight w:val="none"/>
                <w:lang w:val="en-US" w:eastAsia="zh-CN"/>
              </w:rPr>
            </w:pPr>
          </w:p>
        </w:tc>
        <w:tc>
          <w:tcPr>
            <w:tcW w:w="1132" w:type="dxa"/>
            <w:tcBorders>
              <w:tl2br w:val="nil"/>
              <w:tr2bl w:val="nil"/>
            </w:tcBorders>
            <w:noWrap w:val="0"/>
            <w:vAlign w:val="center"/>
          </w:tcPr>
          <w:p w14:paraId="2DF967C8">
            <w:pPr>
              <w:pStyle w:val="58"/>
              <w:bidi w:val="0"/>
              <w:rPr>
                <w:rFonts w:hint="default"/>
                <w:highlight w:val="none"/>
                <w:lang w:val="en-US" w:eastAsia="zh-CN"/>
              </w:rPr>
            </w:pPr>
            <w:r>
              <w:rPr>
                <w:rFonts w:hint="default"/>
                <w:highlight w:val="none"/>
                <w:lang w:val="en-US" w:eastAsia="zh-CN"/>
              </w:rPr>
              <w:t>表层样点</w:t>
            </w:r>
          </w:p>
        </w:tc>
        <w:tc>
          <w:tcPr>
            <w:tcW w:w="531" w:type="dxa"/>
            <w:tcBorders>
              <w:tl2br w:val="nil"/>
              <w:tr2bl w:val="nil"/>
            </w:tcBorders>
            <w:noWrap w:val="0"/>
            <w:vAlign w:val="center"/>
          </w:tcPr>
          <w:p w14:paraId="2ACD8D27">
            <w:pPr>
              <w:pStyle w:val="58"/>
              <w:bidi w:val="0"/>
              <w:rPr>
                <w:rFonts w:hint="default"/>
                <w:highlight w:val="none"/>
                <w:lang w:val="en-US" w:eastAsia="zh-CN"/>
              </w:rPr>
            </w:pPr>
            <w:r>
              <w:rPr>
                <w:rFonts w:hint="default"/>
                <w:highlight w:val="none"/>
                <w:lang w:val="en-US" w:eastAsia="zh-CN"/>
              </w:rPr>
              <w:t>1</w:t>
            </w:r>
          </w:p>
        </w:tc>
        <w:tc>
          <w:tcPr>
            <w:tcW w:w="3993" w:type="dxa"/>
            <w:tcBorders>
              <w:tl2br w:val="nil"/>
              <w:tr2bl w:val="nil"/>
            </w:tcBorders>
            <w:noWrap w:val="0"/>
            <w:vAlign w:val="center"/>
          </w:tcPr>
          <w:p w14:paraId="4F2C7B43">
            <w:pPr>
              <w:pStyle w:val="58"/>
              <w:bidi w:val="0"/>
              <w:rPr>
                <w:rFonts w:hint="default"/>
                <w:highlight w:val="none"/>
                <w:lang w:val="en-US" w:eastAsia="zh-CN"/>
              </w:rPr>
            </w:pPr>
            <w:r>
              <w:rPr>
                <w:rFonts w:hint="default"/>
                <w:highlight w:val="none"/>
                <w:lang w:val="en-US" w:eastAsia="zh-CN"/>
              </w:rPr>
              <w:t>石油烃、pH、氨氮</w:t>
            </w:r>
          </w:p>
        </w:tc>
      </w:tr>
      <w:tr w14:paraId="315DF9D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26" w:type="dxa"/>
            <w:tcBorders>
              <w:tl2br w:val="nil"/>
              <w:tr2bl w:val="nil"/>
            </w:tcBorders>
            <w:noWrap w:val="0"/>
            <w:vAlign w:val="center"/>
          </w:tcPr>
          <w:p w14:paraId="67D8B452">
            <w:pPr>
              <w:pStyle w:val="58"/>
              <w:bidi w:val="0"/>
              <w:rPr>
                <w:rFonts w:hint="default"/>
                <w:highlight w:val="none"/>
                <w:lang w:val="en-US" w:eastAsia="zh-CN"/>
              </w:rPr>
            </w:pPr>
            <w:r>
              <w:rPr>
                <w:rFonts w:hint="default"/>
                <w:highlight w:val="none"/>
                <w:lang w:val="en-US" w:eastAsia="zh-CN"/>
              </w:rPr>
              <w:t>3</w:t>
            </w:r>
          </w:p>
        </w:tc>
        <w:tc>
          <w:tcPr>
            <w:tcW w:w="1566" w:type="dxa"/>
            <w:tcBorders>
              <w:tl2br w:val="nil"/>
              <w:tr2bl w:val="nil"/>
            </w:tcBorders>
            <w:noWrap w:val="0"/>
            <w:vAlign w:val="center"/>
          </w:tcPr>
          <w:p w14:paraId="657F976F">
            <w:pPr>
              <w:pStyle w:val="58"/>
              <w:bidi w:val="0"/>
              <w:rPr>
                <w:rFonts w:hint="default"/>
                <w:highlight w:val="none"/>
                <w:lang w:val="en-US" w:eastAsia="zh-CN"/>
              </w:rPr>
            </w:pPr>
            <w:r>
              <w:rPr>
                <w:rFonts w:hint="default"/>
                <w:highlight w:val="none"/>
                <w:lang w:val="en-US" w:eastAsia="zh-CN"/>
              </w:rPr>
              <w:t>现有工程南侧</w:t>
            </w:r>
          </w:p>
        </w:tc>
        <w:tc>
          <w:tcPr>
            <w:tcW w:w="873" w:type="dxa"/>
            <w:vMerge w:val="continue"/>
            <w:tcBorders>
              <w:tl2br w:val="nil"/>
              <w:tr2bl w:val="nil"/>
            </w:tcBorders>
            <w:noWrap w:val="0"/>
            <w:vAlign w:val="center"/>
          </w:tcPr>
          <w:p w14:paraId="283A93C9">
            <w:pPr>
              <w:pStyle w:val="58"/>
              <w:bidi w:val="0"/>
              <w:rPr>
                <w:rFonts w:hint="default"/>
                <w:highlight w:val="none"/>
                <w:lang w:val="en-US" w:eastAsia="zh-CN"/>
              </w:rPr>
            </w:pPr>
          </w:p>
        </w:tc>
        <w:tc>
          <w:tcPr>
            <w:tcW w:w="873" w:type="dxa"/>
            <w:vMerge w:val="continue"/>
            <w:tcBorders>
              <w:tl2br w:val="nil"/>
              <w:tr2bl w:val="nil"/>
            </w:tcBorders>
            <w:noWrap w:val="0"/>
            <w:vAlign w:val="center"/>
          </w:tcPr>
          <w:p w14:paraId="42764954">
            <w:pPr>
              <w:pStyle w:val="58"/>
              <w:bidi w:val="0"/>
              <w:rPr>
                <w:rFonts w:hint="default"/>
                <w:highlight w:val="none"/>
                <w:lang w:val="en-US" w:eastAsia="zh-CN"/>
              </w:rPr>
            </w:pPr>
          </w:p>
        </w:tc>
        <w:tc>
          <w:tcPr>
            <w:tcW w:w="1132" w:type="dxa"/>
            <w:tcBorders>
              <w:tl2br w:val="nil"/>
              <w:tr2bl w:val="nil"/>
            </w:tcBorders>
            <w:noWrap w:val="0"/>
            <w:vAlign w:val="center"/>
          </w:tcPr>
          <w:p w14:paraId="14C0D0A5">
            <w:pPr>
              <w:pStyle w:val="58"/>
              <w:bidi w:val="0"/>
              <w:rPr>
                <w:rFonts w:hint="default"/>
                <w:highlight w:val="none"/>
                <w:lang w:val="en-US" w:eastAsia="zh-CN"/>
              </w:rPr>
            </w:pPr>
            <w:r>
              <w:rPr>
                <w:rFonts w:hint="default"/>
                <w:highlight w:val="none"/>
                <w:lang w:val="en-US" w:eastAsia="zh-CN"/>
              </w:rPr>
              <w:t>表层样点</w:t>
            </w:r>
          </w:p>
        </w:tc>
        <w:tc>
          <w:tcPr>
            <w:tcW w:w="531" w:type="dxa"/>
            <w:tcBorders>
              <w:tl2br w:val="nil"/>
              <w:tr2bl w:val="nil"/>
            </w:tcBorders>
            <w:noWrap w:val="0"/>
            <w:vAlign w:val="center"/>
          </w:tcPr>
          <w:p w14:paraId="59058E40">
            <w:pPr>
              <w:pStyle w:val="58"/>
              <w:bidi w:val="0"/>
              <w:rPr>
                <w:rFonts w:hint="default"/>
                <w:highlight w:val="none"/>
                <w:lang w:val="en-US" w:eastAsia="zh-CN"/>
              </w:rPr>
            </w:pPr>
            <w:r>
              <w:rPr>
                <w:rFonts w:hint="default"/>
                <w:highlight w:val="none"/>
                <w:lang w:val="en-US" w:eastAsia="zh-CN"/>
              </w:rPr>
              <w:t>1</w:t>
            </w:r>
          </w:p>
        </w:tc>
        <w:tc>
          <w:tcPr>
            <w:tcW w:w="3993" w:type="dxa"/>
            <w:tcBorders>
              <w:tl2br w:val="nil"/>
              <w:tr2bl w:val="nil"/>
            </w:tcBorders>
            <w:noWrap w:val="0"/>
            <w:vAlign w:val="center"/>
          </w:tcPr>
          <w:p w14:paraId="547FC443">
            <w:pPr>
              <w:pStyle w:val="58"/>
              <w:bidi w:val="0"/>
              <w:rPr>
                <w:rFonts w:hint="default"/>
                <w:highlight w:val="none"/>
                <w:lang w:val="en-US" w:eastAsia="zh-CN"/>
              </w:rPr>
            </w:pPr>
            <w:r>
              <w:rPr>
                <w:rFonts w:hint="default"/>
                <w:highlight w:val="none"/>
                <w:lang w:val="en-US" w:eastAsia="zh-CN"/>
              </w:rPr>
              <w:t>石油烃、pH、氨氮</w:t>
            </w:r>
          </w:p>
        </w:tc>
      </w:tr>
    </w:tbl>
    <w:p w14:paraId="6D7A4BFF">
      <w:pPr>
        <w:pStyle w:val="21"/>
        <w:keepNext w:val="0"/>
        <w:keepLines w:val="0"/>
        <w:pageBreakBefore w:val="0"/>
        <w:widowControl w:val="0"/>
        <w:kinsoku/>
        <w:wordWrap/>
        <w:overflowPunct/>
        <w:topLinePunct w:val="0"/>
        <w:autoSpaceDE/>
        <w:autoSpaceDN/>
        <w:bidi w:val="0"/>
        <w:adjustRightInd/>
        <w:snapToGrid/>
        <w:spacing w:line="500" w:lineRule="exact"/>
        <w:ind w:left="0" w:leftChars="0" w:firstLine="480" w:firstLineChars="200"/>
        <w:textAlignment w:val="auto"/>
        <w:rPr>
          <w:rFonts w:hint="default" w:ascii="Times New Roman" w:hAnsi="Times New Roman" w:eastAsia="宋体" w:cs="Times New Roman"/>
          <w:color w:val="000000" w:themeColor="text1"/>
          <w:sz w:val="24"/>
          <w:highlight w:val="none"/>
          <w:lang w:eastAsia="zh-CN"/>
          <w14:textFill>
            <w14:solidFill>
              <w14:schemeClr w14:val="tx1"/>
            </w14:solidFill>
          </w14:textFill>
        </w:rPr>
      </w:pPr>
      <w:r>
        <w:rPr>
          <w:rFonts w:hint="default" w:ascii="Times New Roman" w:hAnsi="Times New Roman" w:eastAsia="宋体" w:cs="Times New Roman"/>
          <w:snapToGrid/>
          <w:color w:val="000000" w:themeColor="text1"/>
          <w:kern w:val="2"/>
          <w:sz w:val="24"/>
          <w:szCs w:val="24"/>
          <w:highlight w:val="none"/>
          <w:lang w:val="en-US" w:eastAsia="zh-CN" w:bidi="ar-SA"/>
          <w14:textFill>
            <w14:solidFill>
              <w14:schemeClr w14:val="tx1"/>
            </w14:solidFill>
          </w14:textFill>
        </w:rPr>
        <w:t>（2）</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评价方法</w:t>
      </w:r>
    </w:p>
    <w:p w14:paraId="2B0EE03C">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采用标准指数法，计算公式为：</w:t>
      </w:r>
    </w:p>
    <w:p w14:paraId="74265083">
      <w:pPr>
        <w:keepNext w:val="0"/>
        <w:keepLines w:val="0"/>
        <w:pageBreakBefore w:val="0"/>
        <w:widowControl/>
        <w:kinsoku/>
        <w:wordWrap/>
        <w:overflowPunct/>
        <w:topLinePunct w:val="0"/>
        <w:autoSpaceDE/>
        <w:autoSpaceDN/>
        <w:bidi w:val="0"/>
        <w:adjustRightInd/>
        <w:snapToGrid/>
        <w:spacing w:line="240" w:lineRule="auto"/>
        <w:ind w:firstLine="480" w:firstLineChars="200"/>
        <w:jc w:val="center"/>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position w:val="-30"/>
          <w:sz w:val="24"/>
          <w:highlight w:val="none"/>
          <w14:textFill>
            <w14:solidFill>
              <w14:schemeClr w14:val="tx1"/>
            </w14:solidFill>
          </w14:textFill>
        </w:rPr>
        <w:object>
          <v:shape id="_x0000_i1037" o:spt="75" type="#_x0000_t75" style="height:38.6pt;width:42.95pt;" o:ole="t" filled="f" o:preferrelative="t" stroked="f" coordsize="21600,21600">
            <v:path/>
            <v:fill on="f" alignshape="1" focussize="0,0"/>
            <v:stroke on="f"/>
            <v:imagedata r:id="rId61" o:title=""/>
            <o:lock v:ext="edit" aspectratio="t"/>
            <w10:wrap type="none"/>
            <w10:anchorlock/>
          </v:shape>
          <o:OLEObject Type="Embed" ProgID="Equation.3" ShapeID="_x0000_i1037" DrawAspect="Content" ObjectID="_1468075739" r:id="rId65">
            <o:LockedField>false</o:LockedField>
          </o:OLEObject>
        </w:object>
      </w:r>
    </w:p>
    <w:p w14:paraId="42E1570E">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式中：P</w:t>
      </w:r>
      <w:r>
        <w:rPr>
          <w:rFonts w:hint="default" w:ascii="Times New Roman" w:hAnsi="Times New Roman" w:eastAsia="宋体" w:cs="Times New Roman"/>
          <w:color w:val="000000" w:themeColor="text1"/>
          <w:sz w:val="24"/>
          <w:highlight w:val="none"/>
          <w:vertAlign w:val="subscript"/>
          <w14:textFill>
            <w14:solidFill>
              <w14:schemeClr w14:val="tx1"/>
            </w14:solidFill>
          </w14:textFill>
        </w:rPr>
        <w:t>i</w:t>
      </w:r>
      <w:r>
        <w:rPr>
          <w:rFonts w:hint="default" w:ascii="Times New Roman" w:hAnsi="Times New Roman" w:eastAsia="宋体" w:cs="Times New Roman"/>
          <w:color w:val="000000" w:themeColor="text1"/>
          <w:sz w:val="24"/>
          <w:highlight w:val="none"/>
          <w14:textFill>
            <w14:solidFill>
              <w14:schemeClr w14:val="tx1"/>
            </w14:solidFill>
          </w14:textFill>
        </w:rPr>
        <w:t>——i因子标准指数；</w:t>
      </w:r>
    </w:p>
    <w:p w14:paraId="3CDE5293">
      <w:pPr>
        <w:keepNext w:val="0"/>
        <w:keepLines w:val="0"/>
        <w:pageBreakBefore w:val="0"/>
        <w:widowControl w:val="0"/>
        <w:kinsoku/>
        <w:wordWrap/>
        <w:overflowPunct/>
        <w:topLinePunct w:val="0"/>
        <w:autoSpaceDE/>
        <w:autoSpaceDN/>
        <w:bidi w:val="0"/>
        <w:adjustRightInd/>
        <w:snapToGrid/>
        <w:spacing w:line="500" w:lineRule="exact"/>
        <w:ind w:firstLine="1200" w:firstLineChars="5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C</w:t>
      </w:r>
      <w:r>
        <w:rPr>
          <w:rFonts w:hint="default" w:ascii="Times New Roman" w:hAnsi="Times New Roman" w:eastAsia="宋体" w:cs="Times New Roman"/>
          <w:color w:val="000000" w:themeColor="text1"/>
          <w:sz w:val="24"/>
          <w:highlight w:val="none"/>
          <w:vertAlign w:val="subscript"/>
          <w14:textFill>
            <w14:solidFill>
              <w14:schemeClr w14:val="tx1"/>
            </w14:solidFill>
          </w14:textFill>
        </w:rPr>
        <w:t>i</w:t>
      </w:r>
      <w:r>
        <w:rPr>
          <w:rFonts w:hint="default" w:ascii="Times New Roman" w:hAnsi="Times New Roman" w:eastAsia="宋体" w:cs="Times New Roman"/>
          <w:color w:val="000000" w:themeColor="text1"/>
          <w:sz w:val="24"/>
          <w:highlight w:val="none"/>
          <w14:textFill>
            <w14:solidFill>
              <w14:schemeClr w14:val="tx1"/>
            </w14:solidFill>
          </w14:textFill>
        </w:rPr>
        <w:t>——i因子监测浓度，mg/L；</w:t>
      </w:r>
    </w:p>
    <w:p w14:paraId="770D737A">
      <w:pPr>
        <w:bidi w:val="0"/>
        <w:rPr>
          <w:rFonts w:hint="default"/>
          <w:highlight w:val="none"/>
          <w:lang w:eastAsia="zh-CN"/>
        </w:rPr>
      </w:pPr>
      <w:r>
        <w:rPr>
          <w:rFonts w:hint="default"/>
          <w:highlight w:val="none"/>
        </w:rPr>
        <w:t>COi——i因子质量标准，mg/L。</w:t>
      </w:r>
    </w:p>
    <w:p w14:paraId="75E9758E">
      <w:pPr>
        <w:bidi w:val="0"/>
        <w:rPr>
          <w:rFonts w:hint="default"/>
          <w:highlight w:val="none"/>
          <w:lang w:eastAsia="zh-CN"/>
        </w:rPr>
      </w:pPr>
      <w:r>
        <w:rPr>
          <w:rFonts w:hint="default"/>
          <w:highlight w:val="none"/>
          <w:lang w:eastAsia="zh-CN"/>
        </w:rPr>
        <w:t>（</w:t>
      </w:r>
      <w:r>
        <w:rPr>
          <w:rFonts w:hint="default"/>
          <w:highlight w:val="none"/>
          <w:lang w:val="en-US" w:eastAsia="zh-CN"/>
        </w:rPr>
        <w:t>3</w:t>
      </w:r>
      <w:r>
        <w:rPr>
          <w:rFonts w:hint="default"/>
          <w:highlight w:val="none"/>
          <w:lang w:eastAsia="zh-CN"/>
        </w:rPr>
        <w:t>）评价标准</w:t>
      </w:r>
    </w:p>
    <w:p w14:paraId="3CDF5E29">
      <w:pPr>
        <w:spacing w:line="480" w:lineRule="exact"/>
        <w:ind w:firstLine="480" w:firstLineChars="200"/>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eastAsia="zh-CN"/>
          <w14:textFill>
            <w14:solidFill>
              <w14:schemeClr w14:val="tx1"/>
            </w14:solidFill>
          </w14:textFill>
        </w:rPr>
        <w:t>建设用地采样区监测点执行《土壤环境质量</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建设用地土壤污染风险管控标准（试行）</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GB36600-2018</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）表</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1第二类用地筛选值</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highlight w:val="none"/>
          <w14:textFill>
            <w14:solidFill>
              <w14:schemeClr w14:val="tx1"/>
            </w14:solidFill>
          </w14:textFill>
        </w:rPr>
        <w:t>锌执行《建设用地土壤污染风险筛选值》(DB13/T</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5216-2022</w:t>
      </w:r>
      <w:r>
        <w:rPr>
          <w:rFonts w:hint="default" w:ascii="Times New Roman" w:hAnsi="Times New Roman" w:eastAsia="宋体" w:cs="Times New Roman"/>
          <w:color w:val="000000" w:themeColor="text1"/>
          <w:sz w:val="24"/>
          <w:highlight w:val="none"/>
          <w14:textFill>
            <w14:solidFill>
              <w14:schemeClr w14:val="tx1"/>
            </w14:solidFill>
          </w14:textFill>
        </w:rPr>
        <w:t>)中</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第二类用地</w:t>
      </w:r>
      <w:r>
        <w:rPr>
          <w:rFonts w:hint="default" w:ascii="Times New Roman" w:hAnsi="Times New Roman" w:eastAsia="宋体" w:cs="Times New Roman"/>
          <w:color w:val="000000" w:themeColor="text1"/>
          <w:sz w:val="24"/>
          <w:highlight w:val="none"/>
          <w14:textFill>
            <w14:solidFill>
              <w14:schemeClr w14:val="tx1"/>
            </w14:solidFill>
          </w14:textFill>
        </w:rPr>
        <w:t>筛选值</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w:t>
      </w:r>
    </w:p>
    <w:p w14:paraId="7971CA02">
      <w:pPr>
        <w:numPr>
          <w:ilvl w:val="0"/>
          <w:numId w:val="0"/>
        </w:numPr>
        <w:spacing w:line="480" w:lineRule="exact"/>
        <w:ind w:firstLine="480" w:firstLineChars="200"/>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（4）监测及评价</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结果</w:t>
      </w:r>
    </w:p>
    <w:p w14:paraId="5F2F7EDB">
      <w:pPr>
        <w:keepNext w:val="0"/>
        <w:keepLines w:val="0"/>
        <w:pageBreakBefore w:val="0"/>
        <w:widowControl w:val="0"/>
        <w:numPr>
          <w:ilvl w:val="0"/>
          <w:numId w:val="30"/>
        </w:numPr>
        <w:kinsoku/>
        <w:wordWrap/>
        <w:overflowPunct/>
        <w:topLinePunct w:val="0"/>
        <w:autoSpaceDE w:val="0"/>
        <w:autoSpaceDN w:val="0"/>
        <w:bidi w:val="0"/>
        <w:adjustRightInd w:val="0"/>
        <w:snapToGrid/>
        <w:spacing w:line="500" w:lineRule="exact"/>
        <w:ind w:left="425" w:leftChars="0" w:hanging="425" w:firstLineChars="0"/>
        <w:jc w:val="center"/>
        <w:textAlignment w:val="auto"/>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pPr>
      <w:r>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t>土壤环境质量现状监测及评价结果（厂区东北侧）</w:t>
      </w:r>
    </w:p>
    <w:tbl>
      <w:tblPr>
        <w:tblStyle w:val="47"/>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719"/>
        <w:gridCol w:w="2656"/>
        <w:gridCol w:w="997"/>
        <w:gridCol w:w="1848"/>
        <w:gridCol w:w="1532"/>
        <w:gridCol w:w="1532"/>
      </w:tblGrid>
      <w:tr w14:paraId="48AE5F4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349" w:type="pct"/>
            <w:gridSpan w:val="4"/>
            <w:vMerge w:val="restart"/>
            <w:tcBorders>
              <w:tl2br w:val="nil"/>
              <w:tr2bl w:val="nil"/>
            </w:tcBorders>
            <w:noWrap w:val="0"/>
            <w:vAlign w:val="center"/>
          </w:tcPr>
          <w:p w14:paraId="3D84D59D">
            <w:pPr>
              <w:pStyle w:val="58"/>
              <w:bidi w:val="0"/>
              <w:rPr>
                <w:rFonts w:hint="default"/>
                <w:highlight w:val="none"/>
              </w:rPr>
            </w:pPr>
            <w:r>
              <w:rPr>
                <w:rFonts w:hint="default"/>
                <w:highlight w:val="none"/>
              </w:rPr>
              <w:t>检测项目</w:t>
            </w:r>
          </w:p>
        </w:tc>
        <w:tc>
          <w:tcPr>
            <w:tcW w:w="825" w:type="pct"/>
            <w:tcBorders>
              <w:tl2br w:val="nil"/>
              <w:tr2bl w:val="nil"/>
            </w:tcBorders>
            <w:noWrap w:val="0"/>
            <w:vAlign w:val="center"/>
          </w:tcPr>
          <w:p w14:paraId="0EBF75CD">
            <w:pPr>
              <w:pStyle w:val="58"/>
              <w:bidi w:val="0"/>
              <w:rPr>
                <w:rFonts w:hint="default"/>
                <w:highlight w:val="none"/>
                <w:lang w:eastAsia="zh-CN"/>
              </w:rPr>
            </w:pPr>
            <w:r>
              <w:rPr>
                <w:rFonts w:hint="default"/>
                <w:highlight w:val="none"/>
                <w:lang w:eastAsia="zh-CN"/>
              </w:rPr>
              <w:t>检测点位</w:t>
            </w:r>
          </w:p>
        </w:tc>
        <w:tc>
          <w:tcPr>
            <w:tcW w:w="825" w:type="pct"/>
            <w:vMerge w:val="restart"/>
            <w:tcBorders>
              <w:tl2br w:val="nil"/>
              <w:tr2bl w:val="nil"/>
            </w:tcBorders>
            <w:noWrap w:val="0"/>
            <w:vAlign w:val="center"/>
          </w:tcPr>
          <w:p w14:paraId="54DBCE76">
            <w:pPr>
              <w:pStyle w:val="58"/>
              <w:bidi w:val="0"/>
              <w:rPr>
                <w:rFonts w:hint="default"/>
                <w:highlight w:val="none"/>
                <w:lang w:val="en-US" w:eastAsia="zh-CN"/>
              </w:rPr>
            </w:pPr>
            <w:r>
              <w:rPr>
                <w:rFonts w:hint="default"/>
                <w:highlight w:val="none"/>
                <w:lang w:val="en-US" w:eastAsia="zh-CN"/>
              </w:rPr>
              <w:t>达标情况</w:t>
            </w:r>
          </w:p>
        </w:tc>
      </w:tr>
      <w:tr w14:paraId="6B402F6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349" w:type="pct"/>
            <w:gridSpan w:val="4"/>
            <w:vMerge w:val="continue"/>
            <w:tcBorders>
              <w:tl2br w:val="nil"/>
              <w:tr2bl w:val="nil"/>
            </w:tcBorders>
            <w:noWrap w:val="0"/>
            <w:vAlign w:val="center"/>
          </w:tcPr>
          <w:p w14:paraId="4FF6E743">
            <w:pPr>
              <w:pStyle w:val="58"/>
              <w:bidi w:val="0"/>
              <w:rPr>
                <w:rFonts w:hint="default"/>
                <w:highlight w:val="none"/>
                <w:lang w:val="en-US" w:eastAsia="zh-CN"/>
              </w:rPr>
            </w:pPr>
          </w:p>
        </w:tc>
        <w:tc>
          <w:tcPr>
            <w:tcW w:w="825" w:type="pct"/>
            <w:tcBorders>
              <w:tl2br w:val="nil"/>
              <w:tr2bl w:val="nil"/>
            </w:tcBorders>
            <w:noWrap w:val="0"/>
            <w:vAlign w:val="center"/>
          </w:tcPr>
          <w:p w14:paraId="1DB1C7ED">
            <w:pPr>
              <w:pStyle w:val="58"/>
              <w:bidi w:val="0"/>
              <w:rPr>
                <w:rFonts w:hint="default"/>
                <w:highlight w:val="none"/>
              </w:rPr>
            </w:pPr>
            <w:r>
              <w:rPr>
                <w:rFonts w:hint="default"/>
                <w:highlight w:val="none"/>
                <w:lang w:val="en-US" w:eastAsia="zh-CN"/>
              </w:rPr>
              <w:t>厂区东北侧</w:t>
            </w:r>
            <w:r>
              <w:rPr>
                <w:rFonts w:hint="default"/>
                <w:highlight w:val="none"/>
              </w:rPr>
              <w:t>（0-0.2m）</w:t>
            </w:r>
          </w:p>
        </w:tc>
        <w:tc>
          <w:tcPr>
            <w:tcW w:w="825" w:type="pct"/>
            <w:vMerge w:val="continue"/>
            <w:tcBorders>
              <w:tl2br w:val="nil"/>
              <w:tr2bl w:val="nil"/>
            </w:tcBorders>
            <w:noWrap w:val="0"/>
            <w:vAlign w:val="center"/>
          </w:tcPr>
          <w:p w14:paraId="0B6F2FBF">
            <w:pPr>
              <w:pStyle w:val="58"/>
              <w:bidi w:val="0"/>
              <w:rPr>
                <w:rFonts w:hint="default"/>
                <w:highlight w:val="none"/>
                <w:lang w:val="en-US" w:eastAsia="zh-CN"/>
              </w:rPr>
            </w:pPr>
          </w:p>
        </w:tc>
      </w:tr>
      <w:tr w14:paraId="55D602E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1817" w:type="pct"/>
            <w:gridSpan w:val="2"/>
            <w:tcBorders>
              <w:tl2br w:val="nil"/>
              <w:tr2bl w:val="nil"/>
            </w:tcBorders>
            <w:noWrap w:val="0"/>
            <w:vAlign w:val="center"/>
          </w:tcPr>
          <w:p w14:paraId="77E0CDBC">
            <w:pPr>
              <w:pStyle w:val="58"/>
              <w:bidi w:val="0"/>
              <w:rPr>
                <w:rFonts w:hint="default"/>
                <w:highlight w:val="none"/>
                <w:lang w:eastAsia="zh-CN"/>
              </w:rPr>
            </w:pPr>
            <w:r>
              <w:rPr>
                <w:rFonts w:hint="default"/>
                <w:highlight w:val="none"/>
              </w:rPr>
              <w:t>pH值</w:t>
            </w:r>
          </w:p>
        </w:tc>
        <w:tc>
          <w:tcPr>
            <w:tcW w:w="537" w:type="pct"/>
            <w:tcBorders>
              <w:tl2br w:val="nil"/>
              <w:tr2bl w:val="nil"/>
            </w:tcBorders>
            <w:noWrap w:val="0"/>
            <w:vAlign w:val="center"/>
          </w:tcPr>
          <w:p w14:paraId="6A4134E9">
            <w:pPr>
              <w:pStyle w:val="58"/>
              <w:bidi w:val="0"/>
              <w:rPr>
                <w:rFonts w:hint="default"/>
                <w:highlight w:val="none"/>
                <w:lang w:val="en-US" w:eastAsia="zh-CN"/>
              </w:rPr>
            </w:pPr>
            <w:r>
              <w:rPr>
                <w:rFonts w:hint="default"/>
                <w:highlight w:val="none"/>
                <w:lang w:val="en-US" w:eastAsia="zh-CN"/>
              </w:rPr>
              <w:t>/</w:t>
            </w:r>
          </w:p>
        </w:tc>
        <w:tc>
          <w:tcPr>
            <w:tcW w:w="994" w:type="pct"/>
            <w:tcBorders>
              <w:tl2br w:val="nil"/>
              <w:tr2bl w:val="nil"/>
            </w:tcBorders>
            <w:noWrap w:val="0"/>
            <w:vAlign w:val="center"/>
          </w:tcPr>
          <w:p w14:paraId="4E86FC86">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05999AA9">
            <w:pPr>
              <w:pStyle w:val="58"/>
              <w:bidi w:val="0"/>
              <w:rPr>
                <w:rFonts w:hint="default"/>
                <w:highlight w:val="none"/>
                <w:lang w:val="en-US" w:eastAsia="zh-CN"/>
              </w:rPr>
            </w:pPr>
            <w:r>
              <w:rPr>
                <w:rFonts w:hint="default"/>
                <w:highlight w:val="none"/>
                <w:lang w:val="en-US" w:eastAsia="zh-CN"/>
              </w:rPr>
              <w:t>7.9</w:t>
            </w:r>
          </w:p>
        </w:tc>
        <w:tc>
          <w:tcPr>
            <w:tcW w:w="825" w:type="pct"/>
            <w:tcBorders>
              <w:tl2br w:val="nil"/>
              <w:tr2bl w:val="nil"/>
            </w:tcBorders>
            <w:noWrap w:val="0"/>
            <w:vAlign w:val="center"/>
          </w:tcPr>
          <w:p w14:paraId="50B8CAE5">
            <w:pPr>
              <w:pStyle w:val="58"/>
              <w:bidi w:val="0"/>
              <w:rPr>
                <w:rFonts w:hint="default"/>
                <w:highlight w:val="none"/>
                <w:lang w:val="en-US" w:eastAsia="zh-CN"/>
              </w:rPr>
            </w:pPr>
            <w:r>
              <w:rPr>
                <w:rFonts w:hint="default"/>
                <w:highlight w:val="none"/>
                <w:lang w:val="en-US" w:eastAsia="zh-CN"/>
              </w:rPr>
              <w:t>达标</w:t>
            </w:r>
          </w:p>
        </w:tc>
      </w:tr>
      <w:tr w14:paraId="4F033E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1817" w:type="pct"/>
            <w:gridSpan w:val="2"/>
            <w:vMerge w:val="restart"/>
            <w:tcBorders>
              <w:tl2br w:val="nil"/>
              <w:tr2bl w:val="nil"/>
            </w:tcBorders>
            <w:noWrap w:val="0"/>
            <w:vAlign w:val="center"/>
          </w:tcPr>
          <w:p w14:paraId="30E1A70B">
            <w:pPr>
              <w:pStyle w:val="58"/>
              <w:bidi w:val="0"/>
              <w:rPr>
                <w:rFonts w:hint="default"/>
                <w:highlight w:val="none"/>
                <w:lang w:val="en-US" w:eastAsia="zh-CN"/>
              </w:rPr>
            </w:pPr>
            <w:r>
              <w:rPr>
                <w:rFonts w:hint="default"/>
                <w:highlight w:val="none"/>
              </w:rPr>
              <w:t>镉（mg/kg）</w:t>
            </w:r>
          </w:p>
        </w:tc>
        <w:tc>
          <w:tcPr>
            <w:tcW w:w="537" w:type="pct"/>
            <w:vMerge w:val="restart"/>
            <w:tcBorders>
              <w:tl2br w:val="nil"/>
              <w:tr2bl w:val="nil"/>
            </w:tcBorders>
            <w:noWrap w:val="0"/>
            <w:vAlign w:val="center"/>
          </w:tcPr>
          <w:p w14:paraId="478299B4">
            <w:pPr>
              <w:pStyle w:val="58"/>
              <w:bidi w:val="0"/>
              <w:rPr>
                <w:rFonts w:hint="default"/>
                <w:highlight w:val="none"/>
                <w:lang w:val="en-US" w:eastAsia="zh-CN"/>
              </w:rPr>
            </w:pPr>
            <w:r>
              <w:rPr>
                <w:rFonts w:hint="default"/>
                <w:highlight w:val="none"/>
                <w:lang w:val="en-US" w:eastAsia="zh-CN"/>
              </w:rPr>
              <w:t>65</w:t>
            </w:r>
          </w:p>
        </w:tc>
        <w:tc>
          <w:tcPr>
            <w:tcW w:w="994" w:type="pct"/>
            <w:tcBorders>
              <w:tl2br w:val="nil"/>
              <w:tr2bl w:val="nil"/>
            </w:tcBorders>
            <w:noWrap w:val="0"/>
            <w:vAlign w:val="center"/>
          </w:tcPr>
          <w:p w14:paraId="181B08F5">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366BC695">
            <w:pPr>
              <w:pStyle w:val="58"/>
              <w:bidi w:val="0"/>
              <w:rPr>
                <w:rFonts w:hint="default"/>
                <w:highlight w:val="none"/>
                <w:lang w:val="en-US" w:eastAsia="zh-CN"/>
              </w:rPr>
            </w:pPr>
            <w:r>
              <w:rPr>
                <w:rFonts w:hint="default"/>
                <w:highlight w:val="none"/>
                <w:lang w:val="en-US" w:eastAsia="zh-CN"/>
              </w:rPr>
              <w:t>0.40</w:t>
            </w:r>
          </w:p>
        </w:tc>
        <w:tc>
          <w:tcPr>
            <w:tcW w:w="825" w:type="pct"/>
            <w:tcBorders>
              <w:tl2br w:val="nil"/>
              <w:tr2bl w:val="nil"/>
            </w:tcBorders>
            <w:noWrap w:val="0"/>
            <w:vAlign w:val="center"/>
          </w:tcPr>
          <w:p w14:paraId="16E6A8D0">
            <w:pPr>
              <w:pStyle w:val="58"/>
              <w:bidi w:val="0"/>
              <w:rPr>
                <w:rFonts w:hint="default"/>
                <w:highlight w:val="none"/>
                <w:lang w:val="en-US" w:eastAsia="zh-CN"/>
              </w:rPr>
            </w:pPr>
            <w:r>
              <w:rPr>
                <w:rFonts w:hint="default"/>
                <w:highlight w:val="none"/>
                <w:lang w:val="en-US" w:eastAsia="zh-CN"/>
              </w:rPr>
              <w:t>达标</w:t>
            </w:r>
          </w:p>
        </w:tc>
      </w:tr>
      <w:tr w14:paraId="513DF92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1817" w:type="pct"/>
            <w:gridSpan w:val="2"/>
            <w:vMerge w:val="continue"/>
            <w:tcBorders>
              <w:tl2br w:val="nil"/>
              <w:tr2bl w:val="nil"/>
            </w:tcBorders>
            <w:noWrap w:val="0"/>
            <w:vAlign w:val="center"/>
          </w:tcPr>
          <w:p w14:paraId="5B1F6A85">
            <w:pPr>
              <w:pStyle w:val="58"/>
              <w:bidi w:val="0"/>
              <w:rPr>
                <w:rFonts w:hint="default"/>
                <w:highlight w:val="none"/>
                <w:lang w:eastAsia="zh-CN"/>
              </w:rPr>
            </w:pPr>
          </w:p>
        </w:tc>
        <w:tc>
          <w:tcPr>
            <w:tcW w:w="537" w:type="pct"/>
            <w:vMerge w:val="continue"/>
            <w:tcBorders>
              <w:tl2br w:val="nil"/>
              <w:tr2bl w:val="nil"/>
            </w:tcBorders>
            <w:noWrap w:val="0"/>
            <w:vAlign w:val="center"/>
          </w:tcPr>
          <w:p w14:paraId="16A75093">
            <w:pPr>
              <w:pStyle w:val="58"/>
              <w:bidi w:val="0"/>
              <w:rPr>
                <w:rFonts w:hint="default"/>
                <w:highlight w:val="none"/>
                <w:lang w:val="en-US" w:eastAsia="zh-CN"/>
              </w:rPr>
            </w:pPr>
          </w:p>
        </w:tc>
        <w:tc>
          <w:tcPr>
            <w:tcW w:w="994" w:type="pct"/>
            <w:tcBorders>
              <w:tl2br w:val="nil"/>
              <w:tr2bl w:val="nil"/>
            </w:tcBorders>
            <w:noWrap w:val="0"/>
            <w:vAlign w:val="center"/>
          </w:tcPr>
          <w:p w14:paraId="1CC396CA">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422EDAB5">
            <w:pPr>
              <w:pStyle w:val="58"/>
              <w:bidi w:val="0"/>
              <w:rPr>
                <w:rFonts w:hint="default"/>
                <w:highlight w:val="none"/>
                <w:lang w:val="en-US" w:eastAsia="zh-CN"/>
              </w:rPr>
            </w:pPr>
            <w:r>
              <w:rPr>
                <w:rFonts w:hint="default"/>
                <w:highlight w:val="none"/>
                <w:lang w:val="en-US" w:eastAsia="zh-CN"/>
              </w:rPr>
              <w:t>0.006</w:t>
            </w:r>
          </w:p>
        </w:tc>
        <w:tc>
          <w:tcPr>
            <w:tcW w:w="825" w:type="pct"/>
            <w:tcBorders>
              <w:tl2br w:val="nil"/>
              <w:tr2bl w:val="nil"/>
            </w:tcBorders>
            <w:noWrap w:val="0"/>
            <w:vAlign w:val="center"/>
          </w:tcPr>
          <w:p w14:paraId="7BA53653">
            <w:pPr>
              <w:pStyle w:val="58"/>
              <w:bidi w:val="0"/>
              <w:rPr>
                <w:rFonts w:hint="default"/>
                <w:highlight w:val="none"/>
                <w:lang w:val="en-US" w:eastAsia="zh-CN"/>
              </w:rPr>
            </w:pPr>
            <w:r>
              <w:rPr>
                <w:rFonts w:hint="default"/>
                <w:highlight w:val="none"/>
                <w:lang w:val="en-US" w:eastAsia="zh-CN"/>
              </w:rPr>
              <w:t>达标</w:t>
            </w:r>
          </w:p>
        </w:tc>
      </w:tr>
      <w:tr w14:paraId="5609EC5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1817" w:type="pct"/>
            <w:gridSpan w:val="2"/>
            <w:vMerge w:val="restart"/>
            <w:tcBorders>
              <w:tl2br w:val="nil"/>
              <w:tr2bl w:val="nil"/>
            </w:tcBorders>
            <w:noWrap w:val="0"/>
            <w:vAlign w:val="center"/>
          </w:tcPr>
          <w:p w14:paraId="217E58FC">
            <w:pPr>
              <w:pStyle w:val="58"/>
              <w:bidi w:val="0"/>
              <w:rPr>
                <w:rFonts w:hint="default"/>
                <w:highlight w:val="none"/>
                <w:lang w:val="en-US" w:eastAsia="zh-CN"/>
              </w:rPr>
            </w:pPr>
            <w:r>
              <w:rPr>
                <w:rFonts w:hint="default"/>
                <w:highlight w:val="none"/>
              </w:rPr>
              <w:t>铅（mg/kg）</w:t>
            </w:r>
          </w:p>
        </w:tc>
        <w:tc>
          <w:tcPr>
            <w:tcW w:w="537" w:type="pct"/>
            <w:vMerge w:val="restart"/>
            <w:tcBorders>
              <w:tl2br w:val="nil"/>
              <w:tr2bl w:val="nil"/>
            </w:tcBorders>
            <w:noWrap w:val="0"/>
            <w:vAlign w:val="center"/>
          </w:tcPr>
          <w:p w14:paraId="5A717EE5">
            <w:pPr>
              <w:pStyle w:val="58"/>
              <w:bidi w:val="0"/>
              <w:rPr>
                <w:rFonts w:hint="default"/>
                <w:highlight w:val="none"/>
                <w:lang w:val="en-US" w:eastAsia="zh-CN"/>
              </w:rPr>
            </w:pPr>
            <w:r>
              <w:rPr>
                <w:rFonts w:hint="default"/>
                <w:highlight w:val="none"/>
                <w:lang w:val="en-US" w:eastAsia="zh-CN"/>
              </w:rPr>
              <w:t>800</w:t>
            </w:r>
          </w:p>
        </w:tc>
        <w:tc>
          <w:tcPr>
            <w:tcW w:w="994" w:type="pct"/>
            <w:tcBorders>
              <w:tl2br w:val="nil"/>
              <w:tr2bl w:val="nil"/>
            </w:tcBorders>
            <w:noWrap w:val="0"/>
            <w:vAlign w:val="center"/>
          </w:tcPr>
          <w:p w14:paraId="1685A9BA">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3E67A462">
            <w:pPr>
              <w:pStyle w:val="58"/>
              <w:bidi w:val="0"/>
              <w:rPr>
                <w:rFonts w:hint="default"/>
                <w:highlight w:val="none"/>
                <w:lang w:val="en-US" w:eastAsia="zh-CN"/>
              </w:rPr>
            </w:pPr>
            <w:r>
              <w:rPr>
                <w:rFonts w:hint="default"/>
                <w:highlight w:val="none"/>
                <w:lang w:val="en-US" w:eastAsia="zh-CN"/>
              </w:rPr>
              <w:t>9.86</w:t>
            </w:r>
          </w:p>
        </w:tc>
        <w:tc>
          <w:tcPr>
            <w:tcW w:w="825" w:type="pct"/>
            <w:tcBorders>
              <w:tl2br w:val="nil"/>
              <w:tr2bl w:val="nil"/>
            </w:tcBorders>
            <w:noWrap w:val="0"/>
            <w:vAlign w:val="center"/>
          </w:tcPr>
          <w:p w14:paraId="3FDF1EEC">
            <w:pPr>
              <w:pStyle w:val="58"/>
              <w:bidi w:val="0"/>
              <w:rPr>
                <w:rFonts w:hint="default"/>
                <w:highlight w:val="none"/>
                <w:lang w:val="en-US" w:eastAsia="zh-CN"/>
              </w:rPr>
            </w:pPr>
            <w:r>
              <w:rPr>
                <w:rFonts w:hint="default"/>
                <w:highlight w:val="none"/>
                <w:lang w:val="en-US" w:eastAsia="zh-CN"/>
              </w:rPr>
              <w:t>达标</w:t>
            </w:r>
          </w:p>
        </w:tc>
      </w:tr>
      <w:tr w14:paraId="72ACED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1817" w:type="pct"/>
            <w:gridSpan w:val="2"/>
            <w:vMerge w:val="continue"/>
            <w:tcBorders>
              <w:tl2br w:val="nil"/>
              <w:tr2bl w:val="nil"/>
            </w:tcBorders>
            <w:noWrap w:val="0"/>
            <w:vAlign w:val="center"/>
          </w:tcPr>
          <w:p w14:paraId="16C81C3E">
            <w:pPr>
              <w:pStyle w:val="58"/>
              <w:bidi w:val="0"/>
              <w:rPr>
                <w:rFonts w:hint="default"/>
                <w:highlight w:val="none"/>
                <w:lang w:val="en-US" w:eastAsia="zh-CN"/>
              </w:rPr>
            </w:pPr>
          </w:p>
        </w:tc>
        <w:tc>
          <w:tcPr>
            <w:tcW w:w="537" w:type="pct"/>
            <w:vMerge w:val="continue"/>
            <w:tcBorders>
              <w:tl2br w:val="nil"/>
              <w:tr2bl w:val="nil"/>
            </w:tcBorders>
            <w:noWrap w:val="0"/>
            <w:vAlign w:val="center"/>
          </w:tcPr>
          <w:p w14:paraId="0BE32403">
            <w:pPr>
              <w:pStyle w:val="58"/>
              <w:bidi w:val="0"/>
              <w:rPr>
                <w:rFonts w:hint="default"/>
                <w:highlight w:val="none"/>
                <w:lang w:val="en-US" w:eastAsia="zh-CN"/>
              </w:rPr>
            </w:pPr>
          </w:p>
        </w:tc>
        <w:tc>
          <w:tcPr>
            <w:tcW w:w="994" w:type="pct"/>
            <w:tcBorders>
              <w:tl2br w:val="nil"/>
              <w:tr2bl w:val="nil"/>
            </w:tcBorders>
            <w:noWrap w:val="0"/>
            <w:vAlign w:val="center"/>
          </w:tcPr>
          <w:p w14:paraId="7CFAFD77">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496E3AA0">
            <w:pPr>
              <w:pStyle w:val="58"/>
              <w:bidi w:val="0"/>
              <w:rPr>
                <w:rFonts w:hint="default"/>
                <w:highlight w:val="none"/>
                <w:lang w:val="en-US" w:eastAsia="zh-CN"/>
              </w:rPr>
            </w:pPr>
            <w:r>
              <w:rPr>
                <w:rFonts w:hint="default"/>
                <w:highlight w:val="none"/>
                <w:lang w:val="en-US" w:eastAsia="zh-CN"/>
              </w:rPr>
              <w:t>0.01</w:t>
            </w:r>
          </w:p>
        </w:tc>
        <w:tc>
          <w:tcPr>
            <w:tcW w:w="825" w:type="pct"/>
            <w:tcBorders>
              <w:tl2br w:val="nil"/>
              <w:tr2bl w:val="nil"/>
            </w:tcBorders>
            <w:noWrap w:val="0"/>
            <w:vAlign w:val="center"/>
          </w:tcPr>
          <w:p w14:paraId="47EB1591">
            <w:pPr>
              <w:pStyle w:val="58"/>
              <w:bidi w:val="0"/>
              <w:rPr>
                <w:rFonts w:hint="default"/>
                <w:highlight w:val="none"/>
                <w:lang w:val="en-US" w:eastAsia="zh-CN"/>
              </w:rPr>
            </w:pPr>
            <w:r>
              <w:rPr>
                <w:rFonts w:hint="default"/>
                <w:highlight w:val="none"/>
                <w:lang w:val="en-US" w:eastAsia="zh-CN"/>
              </w:rPr>
              <w:t>达标</w:t>
            </w:r>
          </w:p>
        </w:tc>
      </w:tr>
      <w:tr w14:paraId="513A20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1817" w:type="pct"/>
            <w:gridSpan w:val="2"/>
            <w:vMerge w:val="restart"/>
            <w:tcBorders>
              <w:tl2br w:val="nil"/>
              <w:tr2bl w:val="nil"/>
            </w:tcBorders>
            <w:noWrap w:val="0"/>
            <w:vAlign w:val="center"/>
          </w:tcPr>
          <w:p w14:paraId="29707E94">
            <w:pPr>
              <w:pStyle w:val="58"/>
              <w:bidi w:val="0"/>
              <w:rPr>
                <w:rFonts w:hint="default"/>
                <w:highlight w:val="none"/>
                <w:lang w:val="en-US" w:eastAsia="zh-CN"/>
              </w:rPr>
            </w:pPr>
            <w:r>
              <w:rPr>
                <w:rFonts w:hint="default"/>
                <w:highlight w:val="none"/>
              </w:rPr>
              <w:t>铜（mg/kg）</w:t>
            </w:r>
          </w:p>
        </w:tc>
        <w:tc>
          <w:tcPr>
            <w:tcW w:w="537" w:type="pct"/>
            <w:vMerge w:val="restart"/>
            <w:tcBorders>
              <w:tl2br w:val="nil"/>
              <w:tr2bl w:val="nil"/>
            </w:tcBorders>
            <w:noWrap w:val="0"/>
            <w:vAlign w:val="center"/>
          </w:tcPr>
          <w:p w14:paraId="40990685">
            <w:pPr>
              <w:pStyle w:val="58"/>
              <w:bidi w:val="0"/>
              <w:rPr>
                <w:rFonts w:hint="default"/>
                <w:highlight w:val="none"/>
                <w:lang w:val="en-US" w:eastAsia="zh-CN"/>
              </w:rPr>
            </w:pPr>
            <w:r>
              <w:rPr>
                <w:rFonts w:hint="default"/>
                <w:highlight w:val="none"/>
                <w:lang w:val="en-US" w:eastAsia="zh-CN"/>
              </w:rPr>
              <w:t>18000</w:t>
            </w:r>
          </w:p>
        </w:tc>
        <w:tc>
          <w:tcPr>
            <w:tcW w:w="994" w:type="pct"/>
            <w:tcBorders>
              <w:tl2br w:val="nil"/>
              <w:tr2bl w:val="nil"/>
            </w:tcBorders>
            <w:noWrap w:val="0"/>
            <w:vAlign w:val="center"/>
          </w:tcPr>
          <w:p w14:paraId="618E6F0D">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32C691A3">
            <w:pPr>
              <w:pStyle w:val="58"/>
              <w:bidi w:val="0"/>
              <w:rPr>
                <w:rFonts w:hint="default"/>
                <w:highlight w:val="none"/>
                <w:lang w:val="en-US" w:eastAsia="zh-CN"/>
              </w:rPr>
            </w:pPr>
            <w:r>
              <w:rPr>
                <w:rFonts w:hint="default"/>
                <w:highlight w:val="none"/>
                <w:lang w:val="en-US" w:eastAsia="zh-CN"/>
              </w:rPr>
              <w:t>16</w:t>
            </w:r>
          </w:p>
        </w:tc>
        <w:tc>
          <w:tcPr>
            <w:tcW w:w="825" w:type="pct"/>
            <w:tcBorders>
              <w:tl2br w:val="nil"/>
              <w:tr2bl w:val="nil"/>
            </w:tcBorders>
            <w:noWrap w:val="0"/>
            <w:vAlign w:val="center"/>
          </w:tcPr>
          <w:p w14:paraId="61480E90">
            <w:pPr>
              <w:pStyle w:val="58"/>
              <w:bidi w:val="0"/>
              <w:rPr>
                <w:rFonts w:hint="default"/>
                <w:highlight w:val="none"/>
                <w:lang w:val="en-US" w:eastAsia="zh-CN"/>
              </w:rPr>
            </w:pPr>
            <w:r>
              <w:rPr>
                <w:rFonts w:hint="default"/>
                <w:highlight w:val="none"/>
                <w:lang w:val="en-US" w:eastAsia="zh-CN"/>
              </w:rPr>
              <w:t>达标</w:t>
            </w:r>
          </w:p>
        </w:tc>
      </w:tr>
      <w:tr w14:paraId="260875B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1817" w:type="pct"/>
            <w:gridSpan w:val="2"/>
            <w:vMerge w:val="continue"/>
            <w:tcBorders>
              <w:tl2br w:val="nil"/>
              <w:tr2bl w:val="nil"/>
            </w:tcBorders>
            <w:noWrap w:val="0"/>
            <w:vAlign w:val="center"/>
          </w:tcPr>
          <w:p w14:paraId="06A3ACEC">
            <w:pPr>
              <w:pStyle w:val="58"/>
              <w:bidi w:val="0"/>
              <w:rPr>
                <w:rFonts w:hint="default"/>
                <w:highlight w:val="none"/>
                <w:lang w:val="en-US" w:eastAsia="zh-CN"/>
              </w:rPr>
            </w:pPr>
          </w:p>
        </w:tc>
        <w:tc>
          <w:tcPr>
            <w:tcW w:w="537" w:type="pct"/>
            <w:vMerge w:val="continue"/>
            <w:tcBorders>
              <w:tl2br w:val="nil"/>
              <w:tr2bl w:val="nil"/>
            </w:tcBorders>
            <w:noWrap w:val="0"/>
            <w:vAlign w:val="center"/>
          </w:tcPr>
          <w:p w14:paraId="01165978">
            <w:pPr>
              <w:pStyle w:val="58"/>
              <w:bidi w:val="0"/>
              <w:rPr>
                <w:rFonts w:hint="default"/>
                <w:highlight w:val="none"/>
                <w:lang w:val="en-US" w:eastAsia="zh-CN"/>
              </w:rPr>
            </w:pPr>
          </w:p>
        </w:tc>
        <w:tc>
          <w:tcPr>
            <w:tcW w:w="994" w:type="pct"/>
            <w:tcBorders>
              <w:tl2br w:val="nil"/>
              <w:tr2bl w:val="nil"/>
            </w:tcBorders>
            <w:noWrap w:val="0"/>
            <w:vAlign w:val="center"/>
          </w:tcPr>
          <w:p w14:paraId="3A30D58E">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6DA51BBF">
            <w:pPr>
              <w:pStyle w:val="58"/>
              <w:bidi w:val="0"/>
              <w:rPr>
                <w:rFonts w:hint="default"/>
                <w:highlight w:val="none"/>
                <w:lang w:val="en-US" w:eastAsia="zh-CN"/>
              </w:rPr>
            </w:pPr>
            <w:r>
              <w:rPr>
                <w:rFonts w:hint="default"/>
                <w:highlight w:val="none"/>
                <w:lang w:val="en-US" w:eastAsia="zh-CN"/>
              </w:rPr>
              <w:t>0.0009</w:t>
            </w:r>
          </w:p>
        </w:tc>
        <w:tc>
          <w:tcPr>
            <w:tcW w:w="825" w:type="pct"/>
            <w:tcBorders>
              <w:tl2br w:val="nil"/>
              <w:tr2bl w:val="nil"/>
            </w:tcBorders>
            <w:noWrap w:val="0"/>
            <w:vAlign w:val="center"/>
          </w:tcPr>
          <w:p w14:paraId="67637AD1">
            <w:pPr>
              <w:pStyle w:val="58"/>
              <w:bidi w:val="0"/>
              <w:rPr>
                <w:rFonts w:hint="default"/>
                <w:highlight w:val="none"/>
                <w:lang w:val="en-US" w:eastAsia="zh-CN"/>
              </w:rPr>
            </w:pPr>
            <w:r>
              <w:rPr>
                <w:rFonts w:hint="default"/>
                <w:highlight w:val="none"/>
                <w:lang w:val="en-US" w:eastAsia="zh-CN"/>
              </w:rPr>
              <w:t>达标</w:t>
            </w:r>
          </w:p>
        </w:tc>
      </w:tr>
      <w:tr w14:paraId="16132A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1817" w:type="pct"/>
            <w:gridSpan w:val="2"/>
            <w:vMerge w:val="restart"/>
            <w:tcBorders>
              <w:tl2br w:val="nil"/>
              <w:tr2bl w:val="nil"/>
            </w:tcBorders>
            <w:noWrap w:val="0"/>
            <w:vAlign w:val="center"/>
          </w:tcPr>
          <w:p w14:paraId="57B1815E">
            <w:pPr>
              <w:pStyle w:val="58"/>
              <w:bidi w:val="0"/>
              <w:rPr>
                <w:rFonts w:hint="default"/>
                <w:highlight w:val="none"/>
                <w:lang w:val="en-US" w:eastAsia="zh-CN"/>
              </w:rPr>
            </w:pPr>
            <w:r>
              <w:rPr>
                <w:rFonts w:hint="default"/>
                <w:highlight w:val="none"/>
              </w:rPr>
              <w:t>砷（mg/kg）</w:t>
            </w:r>
          </w:p>
        </w:tc>
        <w:tc>
          <w:tcPr>
            <w:tcW w:w="537" w:type="pct"/>
            <w:vMerge w:val="restart"/>
            <w:tcBorders>
              <w:tl2br w:val="nil"/>
              <w:tr2bl w:val="nil"/>
            </w:tcBorders>
            <w:noWrap w:val="0"/>
            <w:vAlign w:val="center"/>
          </w:tcPr>
          <w:p w14:paraId="61F84890">
            <w:pPr>
              <w:pStyle w:val="58"/>
              <w:bidi w:val="0"/>
              <w:rPr>
                <w:rFonts w:hint="default"/>
                <w:highlight w:val="none"/>
                <w:lang w:val="en-US" w:eastAsia="zh-CN"/>
              </w:rPr>
            </w:pPr>
            <w:r>
              <w:rPr>
                <w:rFonts w:hint="default"/>
                <w:highlight w:val="none"/>
                <w:lang w:val="en-US" w:eastAsia="zh-CN"/>
              </w:rPr>
              <w:t>60</w:t>
            </w:r>
          </w:p>
        </w:tc>
        <w:tc>
          <w:tcPr>
            <w:tcW w:w="994" w:type="pct"/>
            <w:tcBorders>
              <w:tl2br w:val="nil"/>
              <w:tr2bl w:val="nil"/>
            </w:tcBorders>
            <w:noWrap w:val="0"/>
            <w:vAlign w:val="center"/>
          </w:tcPr>
          <w:p w14:paraId="506D6BAB">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2CA195AB">
            <w:pPr>
              <w:pStyle w:val="58"/>
              <w:bidi w:val="0"/>
              <w:rPr>
                <w:rFonts w:hint="default"/>
                <w:highlight w:val="none"/>
                <w:lang w:val="en-US" w:eastAsia="zh-CN"/>
              </w:rPr>
            </w:pPr>
            <w:r>
              <w:rPr>
                <w:rFonts w:hint="default"/>
                <w:highlight w:val="none"/>
                <w:lang w:val="en-US" w:eastAsia="zh-CN"/>
              </w:rPr>
              <w:t>6.68</w:t>
            </w:r>
          </w:p>
        </w:tc>
        <w:tc>
          <w:tcPr>
            <w:tcW w:w="825" w:type="pct"/>
            <w:tcBorders>
              <w:tl2br w:val="nil"/>
              <w:tr2bl w:val="nil"/>
            </w:tcBorders>
            <w:noWrap w:val="0"/>
            <w:vAlign w:val="center"/>
          </w:tcPr>
          <w:p w14:paraId="5255D48F">
            <w:pPr>
              <w:pStyle w:val="58"/>
              <w:bidi w:val="0"/>
              <w:rPr>
                <w:rFonts w:hint="default"/>
                <w:highlight w:val="none"/>
                <w:lang w:val="en-US" w:eastAsia="zh-CN"/>
              </w:rPr>
            </w:pPr>
            <w:r>
              <w:rPr>
                <w:rFonts w:hint="default"/>
                <w:highlight w:val="none"/>
                <w:lang w:val="en-US" w:eastAsia="zh-CN"/>
              </w:rPr>
              <w:t>达标</w:t>
            </w:r>
          </w:p>
        </w:tc>
      </w:tr>
      <w:tr w14:paraId="3085B3F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1817" w:type="pct"/>
            <w:gridSpan w:val="2"/>
            <w:vMerge w:val="continue"/>
            <w:tcBorders>
              <w:tl2br w:val="nil"/>
              <w:tr2bl w:val="nil"/>
            </w:tcBorders>
            <w:noWrap w:val="0"/>
            <w:vAlign w:val="center"/>
          </w:tcPr>
          <w:p w14:paraId="663689FD">
            <w:pPr>
              <w:pStyle w:val="58"/>
              <w:bidi w:val="0"/>
              <w:rPr>
                <w:rFonts w:hint="default"/>
                <w:highlight w:val="none"/>
                <w:lang w:val="en-US" w:eastAsia="zh-CN"/>
              </w:rPr>
            </w:pPr>
          </w:p>
        </w:tc>
        <w:tc>
          <w:tcPr>
            <w:tcW w:w="537" w:type="pct"/>
            <w:vMerge w:val="continue"/>
            <w:tcBorders>
              <w:tl2br w:val="nil"/>
              <w:tr2bl w:val="nil"/>
            </w:tcBorders>
            <w:noWrap w:val="0"/>
            <w:vAlign w:val="center"/>
          </w:tcPr>
          <w:p w14:paraId="080B5EC0">
            <w:pPr>
              <w:pStyle w:val="58"/>
              <w:bidi w:val="0"/>
              <w:rPr>
                <w:rFonts w:hint="default"/>
                <w:highlight w:val="none"/>
                <w:lang w:eastAsia="zh-CN"/>
              </w:rPr>
            </w:pPr>
          </w:p>
        </w:tc>
        <w:tc>
          <w:tcPr>
            <w:tcW w:w="994" w:type="pct"/>
            <w:tcBorders>
              <w:tl2br w:val="nil"/>
              <w:tr2bl w:val="nil"/>
            </w:tcBorders>
            <w:noWrap w:val="0"/>
            <w:vAlign w:val="center"/>
          </w:tcPr>
          <w:p w14:paraId="4B4386AF">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5F7D72E3">
            <w:pPr>
              <w:pStyle w:val="58"/>
              <w:bidi w:val="0"/>
              <w:rPr>
                <w:rFonts w:hint="default"/>
                <w:highlight w:val="none"/>
                <w:lang w:val="en-US" w:eastAsia="zh-CN"/>
              </w:rPr>
            </w:pPr>
            <w:r>
              <w:rPr>
                <w:rFonts w:hint="default"/>
                <w:highlight w:val="none"/>
                <w:lang w:val="en-US" w:eastAsia="zh-CN"/>
              </w:rPr>
              <w:t>0.11</w:t>
            </w:r>
          </w:p>
        </w:tc>
        <w:tc>
          <w:tcPr>
            <w:tcW w:w="825" w:type="pct"/>
            <w:tcBorders>
              <w:tl2br w:val="nil"/>
              <w:tr2bl w:val="nil"/>
            </w:tcBorders>
            <w:noWrap w:val="0"/>
            <w:vAlign w:val="center"/>
          </w:tcPr>
          <w:p w14:paraId="2DEE4814">
            <w:pPr>
              <w:pStyle w:val="58"/>
              <w:bidi w:val="0"/>
              <w:rPr>
                <w:rFonts w:hint="default"/>
                <w:highlight w:val="none"/>
                <w:lang w:val="en-US" w:eastAsia="zh-CN"/>
              </w:rPr>
            </w:pPr>
            <w:r>
              <w:rPr>
                <w:rFonts w:hint="default"/>
                <w:highlight w:val="none"/>
                <w:lang w:val="en-US" w:eastAsia="zh-CN"/>
              </w:rPr>
              <w:t>达标</w:t>
            </w:r>
          </w:p>
        </w:tc>
      </w:tr>
      <w:tr w14:paraId="34990D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1817" w:type="pct"/>
            <w:gridSpan w:val="2"/>
            <w:vMerge w:val="restart"/>
            <w:tcBorders>
              <w:tl2br w:val="nil"/>
              <w:tr2bl w:val="nil"/>
            </w:tcBorders>
            <w:noWrap w:val="0"/>
            <w:vAlign w:val="center"/>
          </w:tcPr>
          <w:p w14:paraId="5C3D5FD3">
            <w:pPr>
              <w:pStyle w:val="58"/>
              <w:bidi w:val="0"/>
              <w:rPr>
                <w:rFonts w:hint="default"/>
                <w:highlight w:val="none"/>
                <w:lang w:val="en-US" w:eastAsia="zh-CN"/>
              </w:rPr>
            </w:pPr>
            <w:r>
              <w:rPr>
                <w:rFonts w:hint="default"/>
                <w:highlight w:val="none"/>
              </w:rPr>
              <w:t>镍（mg/kg）</w:t>
            </w:r>
          </w:p>
        </w:tc>
        <w:tc>
          <w:tcPr>
            <w:tcW w:w="537" w:type="pct"/>
            <w:vMerge w:val="restart"/>
            <w:tcBorders>
              <w:tl2br w:val="nil"/>
              <w:tr2bl w:val="nil"/>
            </w:tcBorders>
            <w:noWrap w:val="0"/>
            <w:vAlign w:val="center"/>
          </w:tcPr>
          <w:p w14:paraId="3EB05471">
            <w:pPr>
              <w:pStyle w:val="58"/>
              <w:bidi w:val="0"/>
              <w:rPr>
                <w:rFonts w:hint="default"/>
                <w:highlight w:val="none"/>
                <w:lang w:val="en-US" w:eastAsia="zh-CN"/>
              </w:rPr>
            </w:pPr>
            <w:r>
              <w:rPr>
                <w:rFonts w:hint="default"/>
                <w:highlight w:val="none"/>
                <w:lang w:val="en-US" w:eastAsia="zh-CN"/>
              </w:rPr>
              <w:t>900</w:t>
            </w:r>
          </w:p>
        </w:tc>
        <w:tc>
          <w:tcPr>
            <w:tcW w:w="994" w:type="pct"/>
            <w:tcBorders>
              <w:tl2br w:val="nil"/>
              <w:tr2bl w:val="nil"/>
            </w:tcBorders>
            <w:noWrap w:val="0"/>
            <w:vAlign w:val="center"/>
          </w:tcPr>
          <w:p w14:paraId="4BA6B7E9">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025C85A0">
            <w:pPr>
              <w:pStyle w:val="58"/>
              <w:bidi w:val="0"/>
              <w:rPr>
                <w:rFonts w:hint="default"/>
                <w:highlight w:val="none"/>
                <w:lang w:val="en-US" w:eastAsia="zh-CN"/>
              </w:rPr>
            </w:pPr>
            <w:r>
              <w:rPr>
                <w:rFonts w:hint="default"/>
                <w:highlight w:val="none"/>
                <w:lang w:val="en-US" w:eastAsia="zh-CN"/>
              </w:rPr>
              <w:t>65</w:t>
            </w:r>
          </w:p>
        </w:tc>
        <w:tc>
          <w:tcPr>
            <w:tcW w:w="825" w:type="pct"/>
            <w:tcBorders>
              <w:tl2br w:val="nil"/>
              <w:tr2bl w:val="nil"/>
            </w:tcBorders>
            <w:noWrap w:val="0"/>
            <w:vAlign w:val="center"/>
          </w:tcPr>
          <w:p w14:paraId="135739F0">
            <w:pPr>
              <w:pStyle w:val="58"/>
              <w:bidi w:val="0"/>
              <w:rPr>
                <w:rFonts w:hint="default"/>
                <w:highlight w:val="none"/>
                <w:lang w:val="en-US" w:eastAsia="zh-CN"/>
              </w:rPr>
            </w:pPr>
            <w:r>
              <w:rPr>
                <w:rFonts w:hint="default"/>
                <w:highlight w:val="none"/>
                <w:lang w:val="en-US" w:eastAsia="zh-CN"/>
              </w:rPr>
              <w:t>达标</w:t>
            </w:r>
          </w:p>
        </w:tc>
      </w:tr>
      <w:tr w14:paraId="68ACE5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1817" w:type="pct"/>
            <w:gridSpan w:val="2"/>
            <w:vMerge w:val="continue"/>
            <w:tcBorders>
              <w:tl2br w:val="nil"/>
              <w:tr2bl w:val="nil"/>
            </w:tcBorders>
            <w:noWrap w:val="0"/>
            <w:vAlign w:val="center"/>
          </w:tcPr>
          <w:p w14:paraId="57BDA850">
            <w:pPr>
              <w:pStyle w:val="58"/>
              <w:bidi w:val="0"/>
              <w:rPr>
                <w:rFonts w:hint="default"/>
                <w:highlight w:val="none"/>
                <w:lang w:val="en-US" w:eastAsia="zh-CN"/>
              </w:rPr>
            </w:pPr>
          </w:p>
        </w:tc>
        <w:tc>
          <w:tcPr>
            <w:tcW w:w="537" w:type="pct"/>
            <w:vMerge w:val="continue"/>
            <w:tcBorders>
              <w:tl2br w:val="nil"/>
              <w:tr2bl w:val="nil"/>
            </w:tcBorders>
            <w:noWrap w:val="0"/>
            <w:vAlign w:val="center"/>
          </w:tcPr>
          <w:p w14:paraId="44A63A10">
            <w:pPr>
              <w:pStyle w:val="58"/>
              <w:bidi w:val="0"/>
              <w:rPr>
                <w:rFonts w:hint="default"/>
                <w:highlight w:val="none"/>
                <w:lang w:eastAsia="zh-CN"/>
              </w:rPr>
            </w:pPr>
          </w:p>
        </w:tc>
        <w:tc>
          <w:tcPr>
            <w:tcW w:w="994" w:type="pct"/>
            <w:tcBorders>
              <w:tl2br w:val="nil"/>
              <w:tr2bl w:val="nil"/>
            </w:tcBorders>
            <w:noWrap w:val="0"/>
            <w:vAlign w:val="center"/>
          </w:tcPr>
          <w:p w14:paraId="0C30F799">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6084BA68">
            <w:pPr>
              <w:pStyle w:val="58"/>
              <w:bidi w:val="0"/>
              <w:rPr>
                <w:rFonts w:hint="default"/>
                <w:highlight w:val="none"/>
                <w:lang w:val="en-US" w:eastAsia="zh-CN"/>
              </w:rPr>
            </w:pPr>
            <w:r>
              <w:rPr>
                <w:rFonts w:hint="default"/>
                <w:highlight w:val="none"/>
                <w:lang w:val="en-US" w:eastAsia="zh-CN"/>
              </w:rPr>
              <w:t>0.072</w:t>
            </w:r>
          </w:p>
        </w:tc>
        <w:tc>
          <w:tcPr>
            <w:tcW w:w="825" w:type="pct"/>
            <w:tcBorders>
              <w:tl2br w:val="nil"/>
              <w:tr2bl w:val="nil"/>
            </w:tcBorders>
            <w:noWrap w:val="0"/>
            <w:vAlign w:val="center"/>
          </w:tcPr>
          <w:p w14:paraId="080A33BD">
            <w:pPr>
              <w:pStyle w:val="58"/>
              <w:bidi w:val="0"/>
              <w:rPr>
                <w:rFonts w:hint="default"/>
                <w:highlight w:val="none"/>
                <w:lang w:val="en-US" w:eastAsia="zh-CN"/>
              </w:rPr>
            </w:pPr>
            <w:r>
              <w:rPr>
                <w:rFonts w:hint="default"/>
                <w:highlight w:val="none"/>
                <w:lang w:val="en-US" w:eastAsia="zh-CN"/>
              </w:rPr>
              <w:t>达标</w:t>
            </w:r>
          </w:p>
        </w:tc>
      </w:tr>
      <w:tr w14:paraId="1192E49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1817" w:type="pct"/>
            <w:gridSpan w:val="2"/>
            <w:vMerge w:val="restart"/>
            <w:tcBorders>
              <w:tl2br w:val="nil"/>
              <w:tr2bl w:val="nil"/>
            </w:tcBorders>
            <w:noWrap w:val="0"/>
            <w:vAlign w:val="center"/>
          </w:tcPr>
          <w:p w14:paraId="63B9A06A">
            <w:pPr>
              <w:pStyle w:val="58"/>
              <w:bidi w:val="0"/>
              <w:rPr>
                <w:rFonts w:hint="default"/>
                <w:highlight w:val="none"/>
                <w:lang w:val="en-US" w:eastAsia="zh-CN"/>
              </w:rPr>
            </w:pPr>
            <w:r>
              <w:rPr>
                <w:rFonts w:hint="default"/>
                <w:highlight w:val="none"/>
                <w:lang w:eastAsia="zh-CN"/>
              </w:rPr>
              <w:t>汞</w:t>
            </w:r>
            <w:r>
              <w:rPr>
                <w:rFonts w:hint="default"/>
                <w:highlight w:val="none"/>
              </w:rPr>
              <w:t>（mg/kg）</w:t>
            </w:r>
          </w:p>
        </w:tc>
        <w:tc>
          <w:tcPr>
            <w:tcW w:w="537" w:type="pct"/>
            <w:vMerge w:val="restart"/>
            <w:tcBorders>
              <w:tl2br w:val="nil"/>
              <w:tr2bl w:val="nil"/>
            </w:tcBorders>
            <w:noWrap w:val="0"/>
            <w:vAlign w:val="center"/>
          </w:tcPr>
          <w:p w14:paraId="7035EC4D">
            <w:pPr>
              <w:pStyle w:val="58"/>
              <w:bidi w:val="0"/>
              <w:rPr>
                <w:rFonts w:hint="default"/>
                <w:highlight w:val="none"/>
                <w:lang w:val="en-US" w:eastAsia="zh-CN"/>
              </w:rPr>
            </w:pPr>
            <w:r>
              <w:rPr>
                <w:rFonts w:hint="default"/>
                <w:highlight w:val="none"/>
                <w:lang w:val="en-US" w:eastAsia="zh-CN"/>
              </w:rPr>
              <w:t>38</w:t>
            </w:r>
          </w:p>
        </w:tc>
        <w:tc>
          <w:tcPr>
            <w:tcW w:w="994" w:type="pct"/>
            <w:tcBorders>
              <w:tl2br w:val="nil"/>
              <w:tr2bl w:val="nil"/>
            </w:tcBorders>
            <w:noWrap w:val="0"/>
            <w:vAlign w:val="center"/>
          </w:tcPr>
          <w:p w14:paraId="18B4F13A">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265F7BCE">
            <w:pPr>
              <w:pStyle w:val="58"/>
              <w:bidi w:val="0"/>
              <w:rPr>
                <w:rFonts w:hint="default"/>
                <w:highlight w:val="none"/>
                <w:lang w:val="en-US" w:eastAsia="zh-CN"/>
              </w:rPr>
            </w:pPr>
            <w:r>
              <w:rPr>
                <w:rFonts w:hint="default"/>
                <w:highlight w:val="none"/>
                <w:lang w:val="en-US" w:eastAsia="zh-CN"/>
              </w:rPr>
              <w:t>0.020</w:t>
            </w:r>
          </w:p>
        </w:tc>
        <w:tc>
          <w:tcPr>
            <w:tcW w:w="825" w:type="pct"/>
            <w:tcBorders>
              <w:tl2br w:val="nil"/>
              <w:tr2bl w:val="nil"/>
            </w:tcBorders>
            <w:noWrap w:val="0"/>
            <w:vAlign w:val="center"/>
          </w:tcPr>
          <w:p w14:paraId="1038B376">
            <w:pPr>
              <w:pStyle w:val="58"/>
              <w:bidi w:val="0"/>
              <w:rPr>
                <w:rFonts w:hint="default"/>
                <w:highlight w:val="none"/>
                <w:lang w:val="en-US" w:eastAsia="zh-CN"/>
              </w:rPr>
            </w:pPr>
            <w:r>
              <w:rPr>
                <w:rFonts w:hint="default"/>
                <w:highlight w:val="none"/>
                <w:lang w:val="en-US" w:eastAsia="zh-CN"/>
              </w:rPr>
              <w:t>达标</w:t>
            </w:r>
          </w:p>
        </w:tc>
      </w:tr>
      <w:tr w14:paraId="6F3AA8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1817" w:type="pct"/>
            <w:gridSpan w:val="2"/>
            <w:vMerge w:val="continue"/>
            <w:tcBorders>
              <w:tl2br w:val="nil"/>
              <w:tr2bl w:val="nil"/>
            </w:tcBorders>
            <w:noWrap w:val="0"/>
            <w:vAlign w:val="center"/>
          </w:tcPr>
          <w:p w14:paraId="5C8A7AB4">
            <w:pPr>
              <w:pStyle w:val="58"/>
              <w:bidi w:val="0"/>
              <w:rPr>
                <w:rFonts w:hint="default"/>
                <w:highlight w:val="none"/>
                <w:lang w:val="en-US" w:eastAsia="zh-CN"/>
              </w:rPr>
            </w:pPr>
          </w:p>
        </w:tc>
        <w:tc>
          <w:tcPr>
            <w:tcW w:w="537" w:type="pct"/>
            <w:vMerge w:val="continue"/>
            <w:tcBorders>
              <w:tl2br w:val="nil"/>
              <w:tr2bl w:val="nil"/>
            </w:tcBorders>
            <w:noWrap w:val="0"/>
            <w:vAlign w:val="center"/>
          </w:tcPr>
          <w:p w14:paraId="627EB05C">
            <w:pPr>
              <w:pStyle w:val="58"/>
              <w:bidi w:val="0"/>
              <w:rPr>
                <w:rFonts w:hint="default"/>
                <w:highlight w:val="none"/>
                <w:lang w:eastAsia="zh-CN"/>
              </w:rPr>
            </w:pPr>
          </w:p>
        </w:tc>
        <w:tc>
          <w:tcPr>
            <w:tcW w:w="994" w:type="pct"/>
            <w:tcBorders>
              <w:tl2br w:val="nil"/>
              <w:tr2bl w:val="nil"/>
            </w:tcBorders>
            <w:noWrap w:val="0"/>
            <w:vAlign w:val="center"/>
          </w:tcPr>
          <w:p w14:paraId="756671D0">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0B58C30B">
            <w:pPr>
              <w:pStyle w:val="58"/>
              <w:bidi w:val="0"/>
              <w:rPr>
                <w:rFonts w:hint="default"/>
                <w:highlight w:val="none"/>
                <w:lang w:val="en-US" w:eastAsia="zh-CN"/>
              </w:rPr>
            </w:pPr>
            <w:r>
              <w:rPr>
                <w:rFonts w:hint="default"/>
                <w:highlight w:val="none"/>
                <w:lang w:val="en-US" w:eastAsia="zh-CN"/>
              </w:rPr>
              <w:t>0.0005</w:t>
            </w:r>
          </w:p>
        </w:tc>
        <w:tc>
          <w:tcPr>
            <w:tcW w:w="825" w:type="pct"/>
            <w:tcBorders>
              <w:tl2br w:val="nil"/>
              <w:tr2bl w:val="nil"/>
            </w:tcBorders>
            <w:noWrap w:val="0"/>
            <w:vAlign w:val="center"/>
          </w:tcPr>
          <w:p w14:paraId="3DA34D18">
            <w:pPr>
              <w:pStyle w:val="58"/>
              <w:bidi w:val="0"/>
              <w:rPr>
                <w:rFonts w:hint="default"/>
                <w:highlight w:val="none"/>
                <w:lang w:val="en-US" w:eastAsia="zh-CN"/>
              </w:rPr>
            </w:pPr>
            <w:r>
              <w:rPr>
                <w:rFonts w:hint="default"/>
                <w:highlight w:val="none"/>
                <w:lang w:val="en-US" w:eastAsia="zh-CN"/>
              </w:rPr>
              <w:t>达标</w:t>
            </w:r>
          </w:p>
        </w:tc>
      </w:tr>
      <w:tr w14:paraId="0BCDB7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1817" w:type="pct"/>
            <w:gridSpan w:val="2"/>
            <w:vMerge w:val="restart"/>
            <w:tcBorders>
              <w:tl2br w:val="nil"/>
              <w:tr2bl w:val="nil"/>
            </w:tcBorders>
            <w:noWrap w:val="0"/>
            <w:vAlign w:val="center"/>
          </w:tcPr>
          <w:p w14:paraId="22BFC3F0">
            <w:pPr>
              <w:pStyle w:val="58"/>
              <w:bidi w:val="0"/>
              <w:rPr>
                <w:rFonts w:hint="default"/>
                <w:highlight w:val="none"/>
              </w:rPr>
            </w:pPr>
            <w:r>
              <w:rPr>
                <w:rFonts w:hint="default"/>
                <w:highlight w:val="none"/>
              </w:rPr>
              <w:t>六价铬（mg/kg）</w:t>
            </w:r>
          </w:p>
        </w:tc>
        <w:tc>
          <w:tcPr>
            <w:tcW w:w="537" w:type="pct"/>
            <w:vMerge w:val="restart"/>
            <w:tcBorders>
              <w:tl2br w:val="nil"/>
              <w:tr2bl w:val="nil"/>
            </w:tcBorders>
            <w:noWrap w:val="0"/>
            <w:vAlign w:val="center"/>
          </w:tcPr>
          <w:p w14:paraId="219D2CC3">
            <w:pPr>
              <w:pStyle w:val="58"/>
              <w:bidi w:val="0"/>
              <w:rPr>
                <w:rFonts w:hint="default"/>
                <w:highlight w:val="none"/>
                <w:lang w:val="en-US" w:eastAsia="zh-CN"/>
              </w:rPr>
            </w:pPr>
            <w:r>
              <w:rPr>
                <w:rFonts w:hint="default"/>
                <w:highlight w:val="none"/>
                <w:lang w:val="en-US" w:eastAsia="zh-CN"/>
              </w:rPr>
              <w:t>5.7</w:t>
            </w:r>
          </w:p>
        </w:tc>
        <w:tc>
          <w:tcPr>
            <w:tcW w:w="994" w:type="pct"/>
            <w:tcBorders>
              <w:tl2br w:val="nil"/>
              <w:tr2bl w:val="nil"/>
            </w:tcBorders>
            <w:noWrap w:val="0"/>
            <w:vAlign w:val="center"/>
          </w:tcPr>
          <w:p w14:paraId="7769B0D2">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5F7C15CB">
            <w:pPr>
              <w:pStyle w:val="58"/>
              <w:bidi w:val="0"/>
              <w:rPr>
                <w:rFonts w:hint="default"/>
                <w:highlight w:val="none"/>
              </w:rPr>
            </w:pPr>
            <w:r>
              <w:rPr>
                <w:rFonts w:hint="default"/>
                <w:highlight w:val="none"/>
              </w:rPr>
              <w:t>ND</w:t>
            </w:r>
          </w:p>
        </w:tc>
        <w:tc>
          <w:tcPr>
            <w:tcW w:w="825" w:type="pct"/>
            <w:tcBorders>
              <w:tl2br w:val="nil"/>
              <w:tr2bl w:val="nil"/>
            </w:tcBorders>
            <w:noWrap w:val="0"/>
            <w:vAlign w:val="center"/>
          </w:tcPr>
          <w:p w14:paraId="64DD22F8">
            <w:pPr>
              <w:pStyle w:val="58"/>
              <w:bidi w:val="0"/>
              <w:rPr>
                <w:rFonts w:hint="default"/>
                <w:highlight w:val="none"/>
              </w:rPr>
            </w:pPr>
            <w:r>
              <w:rPr>
                <w:rFonts w:hint="default"/>
                <w:highlight w:val="none"/>
                <w:lang w:val="en-US" w:eastAsia="zh-CN"/>
              </w:rPr>
              <w:t>达标</w:t>
            </w:r>
          </w:p>
        </w:tc>
      </w:tr>
      <w:tr w14:paraId="4A85491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1817" w:type="pct"/>
            <w:gridSpan w:val="2"/>
            <w:vMerge w:val="continue"/>
            <w:tcBorders>
              <w:tl2br w:val="nil"/>
              <w:tr2bl w:val="nil"/>
            </w:tcBorders>
            <w:noWrap w:val="0"/>
            <w:vAlign w:val="center"/>
          </w:tcPr>
          <w:p w14:paraId="4A5A22D5">
            <w:pPr>
              <w:pStyle w:val="58"/>
              <w:bidi w:val="0"/>
              <w:rPr>
                <w:rFonts w:hint="default"/>
                <w:highlight w:val="none"/>
              </w:rPr>
            </w:pPr>
          </w:p>
        </w:tc>
        <w:tc>
          <w:tcPr>
            <w:tcW w:w="537" w:type="pct"/>
            <w:vMerge w:val="continue"/>
            <w:tcBorders>
              <w:tl2br w:val="nil"/>
              <w:tr2bl w:val="nil"/>
            </w:tcBorders>
            <w:noWrap w:val="0"/>
            <w:vAlign w:val="center"/>
          </w:tcPr>
          <w:p w14:paraId="7171D74F">
            <w:pPr>
              <w:pStyle w:val="58"/>
              <w:bidi w:val="0"/>
              <w:rPr>
                <w:rFonts w:hint="default"/>
                <w:highlight w:val="none"/>
                <w:lang w:val="en-US" w:eastAsia="zh-CN"/>
              </w:rPr>
            </w:pPr>
          </w:p>
        </w:tc>
        <w:tc>
          <w:tcPr>
            <w:tcW w:w="994" w:type="pct"/>
            <w:tcBorders>
              <w:tl2br w:val="nil"/>
              <w:tr2bl w:val="nil"/>
            </w:tcBorders>
            <w:noWrap w:val="0"/>
            <w:vAlign w:val="center"/>
          </w:tcPr>
          <w:p w14:paraId="7E2D0EEC">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58D61721">
            <w:pPr>
              <w:pStyle w:val="58"/>
              <w:bidi w:val="0"/>
              <w:rPr>
                <w:rFonts w:hint="default"/>
                <w:highlight w:val="none"/>
                <w:lang w:val="en-US" w:eastAsia="zh-CN"/>
              </w:rPr>
            </w:pPr>
            <w:r>
              <w:rPr>
                <w:rFonts w:hint="default"/>
                <w:highlight w:val="none"/>
                <w:lang w:val="en-US" w:eastAsia="zh-CN"/>
              </w:rPr>
              <w:t>-</w:t>
            </w:r>
          </w:p>
        </w:tc>
        <w:tc>
          <w:tcPr>
            <w:tcW w:w="825" w:type="pct"/>
            <w:tcBorders>
              <w:tl2br w:val="nil"/>
              <w:tr2bl w:val="nil"/>
            </w:tcBorders>
            <w:noWrap w:val="0"/>
            <w:vAlign w:val="center"/>
          </w:tcPr>
          <w:p w14:paraId="7894D468">
            <w:pPr>
              <w:pStyle w:val="58"/>
              <w:bidi w:val="0"/>
              <w:rPr>
                <w:rFonts w:hint="default"/>
                <w:highlight w:val="none"/>
                <w:lang w:val="en-US" w:eastAsia="zh-CN"/>
              </w:rPr>
            </w:pPr>
            <w:r>
              <w:rPr>
                <w:rFonts w:hint="default"/>
                <w:highlight w:val="none"/>
                <w:lang w:val="en-US" w:eastAsia="zh-CN"/>
              </w:rPr>
              <w:t>达标</w:t>
            </w:r>
          </w:p>
        </w:tc>
      </w:tr>
      <w:tr w14:paraId="6198C59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restart"/>
            <w:tcBorders>
              <w:tl2br w:val="nil"/>
              <w:tr2bl w:val="nil"/>
            </w:tcBorders>
            <w:noWrap w:val="0"/>
            <w:vAlign w:val="center"/>
          </w:tcPr>
          <w:p w14:paraId="396D9A2E">
            <w:pPr>
              <w:pStyle w:val="58"/>
              <w:bidi w:val="0"/>
              <w:rPr>
                <w:rFonts w:hint="default"/>
                <w:highlight w:val="none"/>
              </w:rPr>
            </w:pPr>
            <w:r>
              <w:rPr>
                <w:rFonts w:hint="default"/>
                <w:highlight w:val="none"/>
              </w:rPr>
              <w:t>挥发性有机物</w:t>
            </w:r>
          </w:p>
        </w:tc>
        <w:tc>
          <w:tcPr>
            <w:tcW w:w="1430" w:type="pct"/>
            <w:vMerge w:val="restart"/>
            <w:tcBorders>
              <w:tl2br w:val="nil"/>
              <w:tr2bl w:val="nil"/>
            </w:tcBorders>
            <w:noWrap w:val="0"/>
            <w:vAlign w:val="center"/>
          </w:tcPr>
          <w:p w14:paraId="7CDD2610">
            <w:pPr>
              <w:pStyle w:val="58"/>
              <w:bidi w:val="0"/>
              <w:rPr>
                <w:rFonts w:hint="default"/>
                <w:highlight w:val="none"/>
              </w:rPr>
            </w:pPr>
            <w:r>
              <w:rPr>
                <w:rFonts w:hint="default"/>
                <w:highlight w:val="none"/>
              </w:rPr>
              <w:t>四氯化碳（mg/kg）</w:t>
            </w:r>
          </w:p>
        </w:tc>
        <w:tc>
          <w:tcPr>
            <w:tcW w:w="537" w:type="pct"/>
            <w:vMerge w:val="restart"/>
            <w:tcBorders>
              <w:tl2br w:val="nil"/>
              <w:tr2bl w:val="nil"/>
            </w:tcBorders>
            <w:noWrap w:val="0"/>
            <w:vAlign w:val="center"/>
          </w:tcPr>
          <w:p w14:paraId="49DAA91A">
            <w:pPr>
              <w:pStyle w:val="58"/>
              <w:bidi w:val="0"/>
              <w:rPr>
                <w:rFonts w:hint="default"/>
                <w:highlight w:val="none"/>
                <w:lang w:val="en-US" w:eastAsia="zh-CN"/>
              </w:rPr>
            </w:pPr>
            <w:r>
              <w:rPr>
                <w:rFonts w:hint="default"/>
                <w:highlight w:val="none"/>
                <w:lang w:val="en-US" w:eastAsia="zh-CN"/>
              </w:rPr>
              <w:t>2.8</w:t>
            </w:r>
          </w:p>
        </w:tc>
        <w:tc>
          <w:tcPr>
            <w:tcW w:w="994" w:type="pct"/>
            <w:tcBorders>
              <w:tl2br w:val="nil"/>
              <w:tr2bl w:val="nil"/>
            </w:tcBorders>
            <w:noWrap w:val="0"/>
            <w:vAlign w:val="center"/>
          </w:tcPr>
          <w:p w14:paraId="4C9AAF22">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2C6E3846">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3CC5C67D">
            <w:pPr>
              <w:pStyle w:val="58"/>
              <w:bidi w:val="0"/>
              <w:rPr>
                <w:rFonts w:hint="default"/>
                <w:highlight w:val="none"/>
              </w:rPr>
            </w:pPr>
            <w:r>
              <w:rPr>
                <w:rFonts w:hint="default"/>
                <w:highlight w:val="none"/>
                <w:lang w:val="en-US" w:eastAsia="zh-CN"/>
              </w:rPr>
              <w:t>达标</w:t>
            </w:r>
          </w:p>
        </w:tc>
      </w:tr>
      <w:tr w14:paraId="2E321FE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01EC005E">
            <w:pPr>
              <w:pStyle w:val="58"/>
              <w:bidi w:val="0"/>
              <w:rPr>
                <w:rFonts w:hint="default"/>
                <w:highlight w:val="none"/>
              </w:rPr>
            </w:pPr>
          </w:p>
        </w:tc>
        <w:tc>
          <w:tcPr>
            <w:tcW w:w="1430" w:type="pct"/>
            <w:vMerge w:val="continue"/>
            <w:tcBorders>
              <w:tl2br w:val="nil"/>
              <w:tr2bl w:val="nil"/>
            </w:tcBorders>
            <w:noWrap w:val="0"/>
            <w:vAlign w:val="center"/>
          </w:tcPr>
          <w:p w14:paraId="328ED142">
            <w:pPr>
              <w:pStyle w:val="58"/>
              <w:bidi w:val="0"/>
              <w:rPr>
                <w:rFonts w:hint="default"/>
                <w:highlight w:val="none"/>
              </w:rPr>
            </w:pPr>
          </w:p>
        </w:tc>
        <w:tc>
          <w:tcPr>
            <w:tcW w:w="537" w:type="pct"/>
            <w:vMerge w:val="continue"/>
            <w:tcBorders>
              <w:tl2br w:val="nil"/>
              <w:tr2bl w:val="nil"/>
            </w:tcBorders>
            <w:noWrap w:val="0"/>
            <w:vAlign w:val="center"/>
          </w:tcPr>
          <w:p w14:paraId="0E3F091D">
            <w:pPr>
              <w:pStyle w:val="58"/>
              <w:bidi w:val="0"/>
              <w:rPr>
                <w:rFonts w:hint="default"/>
                <w:highlight w:val="none"/>
                <w:lang w:eastAsia="zh-CN"/>
              </w:rPr>
            </w:pPr>
          </w:p>
        </w:tc>
        <w:tc>
          <w:tcPr>
            <w:tcW w:w="994" w:type="pct"/>
            <w:tcBorders>
              <w:tl2br w:val="nil"/>
              <w:tr2bl w:val="nil"/>
            </w:tcBorders>
            <w:noWrap w:val="0"/>
            <w:vAlign w:val="center"/>
          </w:tcPr>
          <w:p w14:paraId="0EDD0B9E">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422C2455">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1F698B32">
            <w:pPr>
              <w:pStyle w:val="58"/>
              <w:bidi w:val="0"/>
              <w:rPr>
                <w:rFonts w:hint="default"/>
                <w:highlight w:val="none"/>
                <w:lang w:val="en-US" w:eastAsia="zh-CN"/>
              </w:rPr>
            </w:pPr>
            <w:r>
              <w:rPr>
                <w:rFonts w:hint="default"/>
                <w:highlight w:val="none"/>
                <w:lang w:val="en-US" w:eastAsia="zh-CN"/>
              </w:rPr>
              <w:t>达标</w:t>
            </w:r>
          </w:p>
        </w:tc>
      </w:tr>
      <w:tr w14:paraId="5CABFAC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747670DB">
            <w:pPr>
              <w:pStyle w:val="58"/>
              <w:bidi w:val="0"/>
              <w:rPr>
                <w:rFonts w:hint="default"/>
                <w:highlight w:val="none"/>
              </w:rPr>
            </w:pPr>
          </w:p>
        </w:tc>
        <w:tc>
          <w:tcPr>
            <w:tcW w:w="1430" w:type="pct"/>
            <w:vMerge w:val="restart"/>
            <w:tcBorders>
              <w:tl2br w:val="nil"/>
              <w:tr2bl w:val="nil"/>
            </w:tcBorders>
            <w:noWrap w:val="0"/>
            <w:vAlign w:val="center"/>
          </w:tcPr>
          <w:p w14:paraId="6D150962">
            <w:pPr>
              <w:pStyle w:val="58"/>
              <w:bidi w:val="0"/>
              <w:rPr>
                <w:rFonts w:hint="default"/>
                <w:highlight w:val="none"/>
              </w:rPr>
            </w:pPr>
            <w:r>
              <w:rPr>
                <w:rFonts w:hint="default"/>
                <w:highlight w:val="none"/>
              </w:rPr>
              <w:t>氯仿（mg/kg）</w:t>
            </w:r>
          </w:p>
        </w:tc>
        <w:tc>
          <w:tcPr>
            <w:tcW w:w="537" w:type="pct"/>
            <w:vMerge w:val="restart"/>
            <w:tcBorders>
              <w:tl2br w:val="nil"/>
              <w:tr2bl w:val="nil"/>
            </w:tcBorders>
            <w:noWrap w:val="0"/>
            <w:vAlign w:val="center"/>
          </w:tcPr>
          <w:p w14:paraId="63AFB52B">
            <w:pPr>
              <w:pStyle w:val="58"/>
              <w:bidi w:val="0"/>
              <w:rPr>
                <w:rFonts w:hint="default"/>
                <w:highlight w:val="none"/>
                <w:lang w:val="en-US" w:eastAsia="zh-CN"/>
              </w:rPr>
            </w:pPr>
            <w:r>
              <w:rPr>
                <w:rFonts w:hint="default"/>
                <w:highlight w:val="none"/>
                <w:lang w:val="en-US" w:eastAsia="zh-CN"/>
              </w:rPr>
              <w:t>0.9</w:t>
            </w:r>
          </w:p>
        </w:tc>
        <w:tc>
          <w:tcPr>
            <w:tcW w:w="994" w:type="pct"/>
            <w:tcBorders>
              <w:tl2br w:val="nil"/>
              <w:tr2bl w:val="nil"/>
            </w:tcBorders>
            <w:noWrap w:val="0"/>
            <w:vAlign w:val="center"/>
          </w:tcPr>
          <w:p w14:paraId="4AE83BC5">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19AD3FCC">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2029B574">
            <w:pPr>
              <w:pStyle w:val="58"/>
              <w:bidi w:val="0"/>
              <w:rPr>
                <w:rFonts w:hint="default"/>
                <w:highlight w:val="none"/>
              </w:rPr>
            </w:pPr>
            <w:r>
              <w:rPr>
                <w:rFonts w:hint="default"/>
                <w:highlight w:val="none"/>
                <w:lang w:val="en-US" w:eastAsia="zh-CN"/>
              </w:rPr>
              <w:t>达标</w:t>
            </w:r>
          </w:p>
        </w:tc>
      </w:tr>
      <w:tr w14:paraId="1CCA8B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5F7F002D">
            <w:pPr>
              <w:pStyle w:val="58"/>
              <w:bidi w:val="0"/>
              <w:rPr>
                <w:rFonts w:hint="default"/>
                <w:highlight w:val="none"/>
              </w:rPr>
            </w:pPr>
          </w:p>
        </w:tc>
        <w:tc>
          <w:tcPr>
            <w:tcW w:w="1430" w:type="pct"/>
            <w:vMerge w:val="continue"/>
            <w:tcBorders>
              <w:tl2br w:val="nil"/>
              <w:tr2bl w:val="nil"/>
            </w:tcBorders>
            <w:noWrap w:val="0"/>
            <w:vAlign w:val="center"/>
          </w:tcPr>
          <w:p w14:paraId="28E23ED4">
            <w:pPr>
              <w:pStyle w:val="58"/>
              <w:bidi w:val="0"/>
              <w:rPr>
                <w:rFonts w:hint="default"/>
                <w:highlight w:val="none"/>
              </w:rPr>
            </w:pPr>
          </w:p>
        </w:tc>
        <w:tc>
          <w:tcPr>
            <w:tcW w:w="537" w:type="pct"/>
            <w:vMerge w:val="continue"/>
            <w:tcBorders>
              <w:tl2br w:val="nil"/>
              <w:tr2bl w:val="nil"/>
            </w:tcBorders>
            <w:noWrap w:val="0"/>
            <w:vAlign w:val="center"/>
          </w:tcPr>
          <w:p w14:paraId="67D6B6AE">
            <w:pPr>
              <w:pStyle w:val="58"/>
              <w:bidi w:val="0"/>
              <w:rPr>
                <w:rFonts w:hint="default"/>
                <w:highlight w:val="none"/>
                <w:lang w:eastAsia="zh-CN"/>
              </w:rPr>
            </w:pPr>
          </w:p>
        </w:tc>
        <w:tc>
          <w:tcPr>
            <w:tcW w:w="994" w:type="pct"/>
            <w:tcBorders>
              <w:tl2br w:val="nil"/>
              <w:tr2bl w:val="nil"/>
            </w:tcBorders>
            <w:noWrap w:val="0"/>
            <w:vAlign w:val="center"/>
          </w:tcPr>
          <w:p w14:paraId="3B9CFE1D">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6D9C484C">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18D5B627">
            <w:pPr>
              <w:pStyle w:val="58"/>
              <w:bidi w:val="0"/>
              <w:rPr>
                <w:rFonts w:hint="default"/>
                <w:highlight w:val="none"/>
                <w:lang w:val="en-US" w:eastAsia="zh-CN"/>
              </w:rPr>
            </w:pPr>
            <w:r>
              <w:rPr>
                <w:rFonts w:hint="default"/>
                <w:highlight w:val="none"/>
                <w:lang w:val="en-US" w:eastAsia="zh-CN"/>
              </w:rPr>
              <w:t>达标</w:t>
            </w:r>
          </w:p>
        </w:tc>
      </w:tr>
      <w:tr w14:paraId="293BCE0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2736BC92">
            <w:pPr>
              <w:pStyle w:val="58"/>
              <w:bidi w:val="0"/>
              <w:rPr>
                <w:rFonts w:hint="default"/>
                <w:highlight w:val="none"/>
              </w:rPr>
            </w:pPr>
          </w:p>
        </w:tc>
        <w:tc>
          <w:tcPr>
            <w:tcW w:w="1430" w:type="pct"/>
            <w:vMerge w:val="restart"/>
            <w:tcBorders>
              <w:tl2br w:val="nil"/>
              <w:tr2bl w:val="nil"/>
            </w:tcBorders>
            <w:noWrap w:val="0"/>
            <w:vAlign w:val="center"/>
          </w:tcPr>
          <w:p w14:paraId="76BE82E6">
            <w:pPr>
              <w:pStyle w:val="58"/>
              <w:bidi w:val="0"/>
              <w:rPr>
                <w:rFonts w:hint="default"/>
                <w:highlight w:val="none"/>
              </w:rPr>
            </w:pPr>
            <w:r>
              <w:rPr>
                <w:rFonts w:hint="default"/>
                <w:highlight w:val="none"/>
              </w:rPr>
              <w:t>氯甲烷（mg/kg）</w:t>
            </w:r>
          </w:p>
        </w:tc>
        <w:tc>
          <w:tcPr>
            <w:tcW w:w="537" w:type="pct"/>
            <w:vMerge w:val="restart"/>
            <w:tcBorders>
              <w:tl2br w:val="nil"/>
              <w:tr2bl w:val="nil"/>
            </w:tcBorders>
            <w:noWrap w:val="0"/>
            <w:vAlign w:val="center"/>
          </w:tcPr>
          <w:p w14:paraId="06560B50">
            <w:pPr>
              <w:pStyle w:val="58"/>
              <w:bidi w:val="0"/>
              <w:rPr>
                <w:rFonts w:hint="default"/>
                <w:highlight w:val="none"/>
                <w:lang w:val="en-US" w:eastAsia="zh-CN"/>
              </w:rPr>
            </w:pPr>
            <w:r>
              <w:rPr>
                <w:rFonts w:hint="default"/>
                <w:highlight w:val="none"/>
                <w:lang w:val="en-US" w:eastAsia="zh-CN"/>
              </w:rPr>
              <w:t>37</w:t>
            </w:r>
          </w:p>
        </w:tc>
        <w:tc>
          <w:tcPr>
            <w:tcW w:w="994" w:type="pct"/>
            <w:tcBorders>
              <w:tl2br w:val="nil"/>
              <w:tr2bl w:val="nil"/>
            </w:tcBorders>
            <w:noWrap w:val="0"/>
            <w:vAlign w:val="center"/>
          </w:tcPr>
          <w:p w14:paraId="5FB6F621">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26BD9D01">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1786E014">
            <w:pPr>
              <w:pStyle w:val="58"/>
              <w:bidi w:val="0"/>
              <w:rPr>
                <w:rFonts w:hint="default"/>
                <w:highlight w:val="none"/>
              </w:rPr>
            </w:pPr>
            <w:r>
              <w:rPr>
                <w:rFonts w:hint="default"/>
                <w:highlight w:val="none"/>
                <w:lang w:val="en-US" w:eastAsia="zh-CN"/>
              </w:rPr>
              <w:t>达标</w:t>
            </w:r>
          </w:p>
        </w:tc>
      </w:tr>
      <w:tr w14:paraId="28AC15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0B1A8B58">
            <w:pPr>
              <w:pStyle w:val="58"/>
              <w:bidi w:val="0"/>
              <w:rPr>
                <w:rFonts w:hint="default"/>
                <w:highlight w:val="none"/>
              </w:rPr>
            </w:pPr>
          </w:p>
        </w:tc>
        <w:tc>
          <w:tcPr>
            <w:tcW w:w="1430" w:type="pct"/>
            <w:vMerge w:val="continue"/>
            <w:tcBorders>
              <w:tl2br w:val="nil"/>
              <w:tr2bl w:val="nil"/>
            </w:tcBorders>
            <w:noWrap w:val="0"/>
            <w:vAlign w:val="center"/>
          </w:tcPr>
          <w:p w14:paraId="21204CDB">
            <w:pPr>
              <w:pStyle w:val="58"/>
              <w:bidi w:val="0"/>
              <w:rPr>
                <w:rFonts w:hint="default"/>
                <w:highlight w:val="none"/>
              </w:rPr>
            </w:pPr>
          </w:p>
        </w:tc>
        <w:tc>
          <w:tcPr>
            <w:tcW w:w="537" w:type="pct"/>
            <w:vMerge w:val="continue"/>
            <w:tcBorders>
              <w:tl2br w:val="nil"/>
              <w:tr2bl w:val="nil"/>
            </w:tcBorders>
            <w:noWrap w:val="0"/>
            <w:vAlign w:val="center"/>
          </w:tcPr>
          <w:p w14:paraId="31DFA20F">
            <w:pPr>
              <w:pStyle w:val="58"/>
              <w:bidi w:val="0"/>
              <w:rPr>
                <w:rFonts w:hint="default"/>
                <w:highlight w:val="none"/>
                <w:lang w:eastAsia="zh-CN"/>
              </w:rPr>
            </w:pPr>
          </w:p>
        </w:tc>
        <w:tc>
          <w:tcPr>
            <w:tcW w:w="994" w:type="pct"/>
            <w:tcBorders>
              <w:tl2br w:val="nil"/>
              <w:tr2bl w:val="nil"/>
            </w:tcBorders>
            <w:noWrap w:val="0"/>
            <w:vAlign w:val="center"/>
          </w:tcPr>
          <w:p w14:paraId="36179999">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1DC5F14A">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1841B66D">
            <w:pPr>
              <w:pStyle w:val="58"/>
              <w:bidi w:val="0"/>
              <w:rPr>
                <w:rFonts w:hint="default"/>
                <w:highlight w:val="none"/>
                <w:lang w:val="en-US" w:eastAsia="zh-CN"/>
              </w:rPr>
            </w:pPr>
            <w:r>
              <w:rPr>
                <w:rFonts w:hint="default"/>
                <w:highlight w:val="none"/>
                <w:lang w:val="en-US" w:eastAsia="zh-CN"/>
              </w:rPr>
              <w:t>达标</w:t>
            </w:r>
          </w:p>
        </w:tc>
      </w:tr>
      <w:tr w14:paraId="17A1DB4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5E20C9C3">
            <w:pPr>
              <w:pStyle w:val="58"/>
              <w:bidi w:val="0"/>
              <w:rPr>
                <w:rFonts w:hint="default"/>
                <w:highlight w:val="none"/>
              </w:rPr>
            </w:pPr>
          </w:p>
        </w:tc>
        <w:tc>
          <w:tcPr>
            <w:tcW w:w="1430" w:type="pct"/>
            <w:vMerge w:val="restart"/>
            <w:tcBorders>
              <w:tl2br w:val="nil"/>
              <w:tr2bl w:val="nil"/>
            </w:tcBorders>
            <w:noWrap w:val="0"/>
            <w:vAlign w:val="center"/>
          </w:tcPr>
          <w:p w14:paraId="5064E283">
            <w:pPr>
              <w:pStyle w:val="58"/>
              <w:bidi w:val="0"/>
              <w:rPr>
                <w:rFonts w:hint="default"/>
                <w:highlight w:val="none"/>
              </w:rPr>
            </w:pPr>
            <w:r>
              <w:rPr>
                <w:rFonts w:hint="default"/>
                <w:highlight w:val="none"/>
              </w:rPr>
              <w:t>1，1-二氯乙烷（mg/kg）</w:t>
            </w:r>
          </w:p>
        </w:tc>
        <w:tc>
          <w:tcPr>
            <w:tcW w:w="537" w:type="pct"/>
            <w:vMerge w:val="restart"/>
            <w:tcBorders>
              <w:tl2br w:val="nil"/>
              <w:tr2bl w:val="nil"/>
            </w:tcBorders>
            <w:noWrap w:val="0"/>
            <w:vAlign w:val="center"/>
          </w:tcPr>
          <w:p w14:paraId="51C36A73">
            <w:pPr>
              <w:pStyle w:val="58"/>
              <w:bidi w:val="0"/>
              <w:rPr>
                <w:rFonts w:hint="default"/>
                <w:highlight w:val="none"/>
                <w:lang w:val="en-US" w:eastAsia="zh-CN"/>
              </w:rPr>
            </w:pPr>
            <w:r>
              <w:rPr>
                <w:rFonts w:hint="default"/>
                <w:highlight w:val="none"/>
                <w:lang w:val="en-US" w:eastAsia="zh-CN"/>
              </w:rPr>
              <w:t>9</w:t>
            </w:r>
          </w:p>
        </w:tc>
        <w:tc>
          <w:tcPr>
            <w:tcW w:w="994" w:type="pct"/>
            <w:tcBorders>
              <w:tl2br w:val="nil"/>
              <w:tr2bl w:val="nil"/>
            </w:tcBorders>
            <w:noWrap w:val="0"/>
            <w:vAlign w:val="center"/>
          </w:tcPr>
          <w:p w14:paraId="132750B7">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38555AB9">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590F75A6">
            <w:pPr>
              <w:pStyle w:val="58"/>
              <w:bidi w:val="0"/>
              <w:rPr>
                <w:rFonts w:hint="default"/>
                <w:highlight w:val="none"/>
              </w:rPr>
            </w:pPr>
            <w:r>
              <w:rPr>
                <w:rFonts w:hint="default"/>
                <w:highlight w:val="none"/>
                <w:lang w:val="en-US" w:eastAsia="zh-CN"/>
              </w:rPr>
              <w:t>达标</w:t>
            </w:r>
          </w:p>
        </w:tc>
      </w:tr>
      <w:tr w14:paraId="2D3F414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66565920">
            <w:pPr>
              <w:pStyle w:val="58"/>
              <w:bidi w:val="0"/>
              <w:rPr>
                <w:rFonts w:hint="default"/>
                <w:highlight w:val="none"/>
              </w:rPr>
            </w:pPr>
          </w:p>
        </w:tc>
        <w:tc>
          <w:tcPr>
            <w:tcW w:w="1430" w:type="pct"/>
            <w:vMerge w:val="continue"/>
            <w:tcBorders>
              <w:tl2br w:val="nil"/>
              <w:tr2bl w:val="nil"/>
            </w:tcBorders>
            <w:noWrap w:val="0"/>
            <w:vAlign w:val="center"/>
          </w:tcPr>
          <w:p w14:paraId="63555C9A">
            <w:pPr>
              <w:pStyle w:val="58"/>
              <w:bidi w:val="0"/>
              <w:rPr>
                <w:rFonts w:hint="default"/>
                <w:highlight w:val="none"/>
              </w:rPr>
            </w:pPr>
          </w:p>
        </w:tc>
        <w:tc>
          <w:tcPr>
            <w:tcW w:w="537" w:type="pct"/>
            <w:vMerge w:val="continue"/>
            <w:tcBorders>
              <w:tl2br w:val="nil"/>
              <w:tr2bl w:val="nil"/>
            </w:tcBorders>
            <w:noWrap w:val="0"/>
            <w:vAlign w:val="center"/>
          </w:tcPr>
          <w:p w14:paraId="35172E23">
            <w:pPr>
              <w:pStyle w:val="58"/>
              <w:bidi w:val="0"/>
              <w:rPr>
                <w:rFonts w:hint="default"/>
                <w:highlight w:val="none"/>
                <w:lang w:eastAsia="zh-CN"/>
              </w:rPr>
            </w:pPr>
          </w:p>
        </w:tc>
        <w:tc>
          <w:tcPr>
            <w:tcW w:w="994" w:type="pct"/>
            <w:tcBorders>
              <w:tl2br w:val="nil"/>
              <w:tr2bl w:val="nil"/>
            </w:tcBorders>
            <w:noWrap w:val="0"/>
            <w:vAlign w:val="center"/>
          </w:tcPr>
          <w:p w14:paraId="26420105">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14FAE723">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2424EA07">
            <w:pPr>
              <w:pStyle w:val="58"/>
              <w:bidi w:val="0"/>
              <w:rPr>
                <w:rFonts w:hint="default"/>
                <w:highlight w:val="none"/>
                <w:lang w:val="en-US" w:eastAsia="zh-CN"/>
              </w:rPr>
            </w:pPr>
            <w:r>
              <w:rPr>
                <w:rFonts w:hint="default"/>
                <w:highlight w:val="none"/>
                <w:lang w:val="en-US" w:eastAsia="zh-CN"/>
              </w:rPr>
              <w:t>达标</w:t>
            </w:r>
          </w:p>
        </w:tc>
      </w:tr>
      <w:tr w14:paraId="07FFAA4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196664E7">
            <w:pPr>
              <w:pStyle w:val="58"/>
              <w:bidi w:val="0"/>
              <w:rPr>
                <w:rFonts w:hint="default"/>
                <w:highlight w:val="none"/>
              </w:rPr>
            </w:pPr>
          </w:p>
        </w:tc>
        <w:tc>
          <w:tcPr>
            <w:tcW w:w="1430" w:type="pct"/>
            <w:vMerge w:val="restart"/>
            <w:tcBorders>
              <w:tl2br w:val="nil"/>
              <w:tr2bl w:val="nil"/>
            </w:tcBorders>
            <w:noWrap w:val="0"/>
            <w:vAlign w:val="center"/>
          </w:tcPr>
          <w:p w14:paraId="6BA33FD2">
            <w:pPr>
              <w:pStyle w:val="58"/>
              <w:bidi w:val="0"/>
              <w:rPr>
                <w:rFonts w:hint="default"/>
                <w:highlight w:val="none"/>
              </w:rPr>
            </w:pPr>
            <w:r>
              <w:rPr>
                <w:rFonts w:hint="default"/>
                <w:highlight w:val="none"/>
              </w:rPr>
              <w:t>1，2-二氯乙烷（mg/kg）</w:t>
            </w:r>
          </w:p>
        </w:tc>
        <w:tc>
          <w:tcPr>
            <w:tcW w:w="537" w:type="pct"/>
            <w:vMerge w:val="restart"/>
            <w:tcBorders>
              <w:tl2br w:val="nil"/>
              <w:tr2bl w:val="nil"/>
            </w:tcBorders>
            <w:noWrap w:val="0"/>
            <w:vAlign w:val="center"/>
          </w:tcPr>
          <w:p w14:paraId="0D2E01B8">
            <w:pPr>
              <w:pStyle w:val="58"/>
              <w:bidi w:val="0"/>
              <w:rPr>
                <w:rFonts w:hint="default"/>
                <w:highlight w:val="none"/>
                <w:lang w:val="en-US" w:eastAsia="zh-CN"/>
              </w:rPr>
            </w:pPr>
            <w:r>
              <w:rPr>
                <w:rFonts w:hint="default"/>
                <w:highlight w:val="none"/>
                <w:lang w:val="en-US" w:eastAsia="zh-CN"/>
              </w:rPr>
              <w:t>5</w:t>
            </w:r>
          </w:p>
        </w:tc>
        <w:tc>
          <w:tcPr>
            <w:tcW w:w="994" w:type="pct"/>
            <w:tcBorders>
              <w:tl2br w:val="nil"/>
              <w:tr2bl w:val="nil"/>
            </w:tcBorders>
            <w:noWrap w:val="0"/>
            <w:vAlign w:val="center"/>
          </w:tcPr>
          <w:p w14:paraId="791DF7E3">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1808D5CA">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7148A428">
            <w:pPr>
              <w:pStyle w:val="58"/>
              <w:bidi w:val="0"/>
              <w:rPr>
                <w:rFonts w:hint="default"/>
                <w:highlight w:val="none"/>
              </w:rPr>
            </w:pPr>
            <w:r>
              <w:rPr>
                <w:rFonts w:hint="default"/>
                <w:highlight w:val="none"/>
                <w:lang w:val="en-US" w:eastAsia="zh-CN"/>
              </w:rPr>
              <w:t>达标</w:t>
            </w:r>
          </w:p>
        </w:tc>
      </w:tr>
      <w:tr w14:paraId="6DA0C2A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4CB4EE8A">
            <w:pPr>
              <w:pStyle w:val="58"/>
              <w:bidi w:val="0"/>
              <w:rPr>
                <w:rFonts w:hint="default"/>
                <w:highlight w:val="none"/>
              </w:rPr>
            </w:pPr>
          </w:p>
        </w:tc>
        <w:tc>
          <w:tcPr>
            <w:tcW w:w="1430" w:type="pct"/>
            <w:vMerge w:val="continue"/>
            <w:tcBorders>
              <w:tl2br w:val="nil"/>
              <w:tr2bl w:val="nil"/>
            </w:tcBorders>
            <w:noWrap w:val="0"/>
            <w:vAlign w:val="center"/>
          </w:tcPr>
          <w:p w14:paraId="1380FFAE">
            <w:pPr>
              <w:pStyle w:val="58"/>
              <w:bidi w:val="0"/>
              <w:rPr>
                <w:rFonts w:hint="default"/>
                <w:highlight w:val="none"/>
              </w:rPr>
            </w:pPr>
          </w:p>
        </w:tc>
        <w:tc>
          <w:tcPr>
            <w:tcW w:w="537" w:type="pct"/>
            <w:vMerge w:val="continue"/>
            <w:tcBorders>
              <w:tl2br w:val="nil"/>
              <w:tr2bl w:val="nil"/>
            </w:tcBorders>
            <w:noWrap w:val="0"/>
            <w:vAlign w:val="center"/>
          </w:tcPr>
          <w:p w14:paraId="7BC24A45">
            <w:pPr>
              <w:pStyle w:val="58"/>
              <w:bidi w:val="0"/>
              <w:rPr>
                <w:rFonts w:hint="default"/>
                <w:highlight w:val="none"/>
                <w:lang w:eastAsia="zh-CN"/>
              </w:rPr>
            </w:pPr>
          </w:p>
        </w:tc>
        <w:tc>
          <w:tcPr>
            <w:tcW w:w="994" w:type="pct"/>
            <w:tcBorders>
              <w:tl2br w:val="nil"/>
              <w:tr2bl w:val="nil"/>
            </w:tcBorders>
            <w:noWrap w:val="0"/>
            <w:vAlign w:val="center"/>
          </w:tcPr>
          <w:p w14:paraId="1947E1B8">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02452E8C">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38E7E511">
            <w:pPr>
              <w:pStyle w:val="58"/>
              <w:bidi w:val="0"/>
              <w:rPr>
                <w:rFonts w:hint="default"/>
                <w:highlight w:val="none"/>
                <w:lang w:val="en-US" w:eastAsia="zh-CN"/>
              </w:rPr>
            </w:pPr>
            <w:r>
              <w:rPr>
                <w:rFonts w:hint="default"/>
                <w:highlight w:val="none"/>
                <w:lang w:val="en-US" w:eastAsia="zh-CN"/>
              </w:rPr>
              <w:t>达标</w:t>
            </w:r>
          </w:p>
        </w:tc>
      </w:tr>
      <w:tr w14:paraId="07E7A8D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4B04B586">
            <w:pPr>
              <w:pStyle w:val="58"/>
              <w:bidi w:val="0"/>
              <w:rPr>
                <w:rFonts w:hint="default"/>
                <w:highlight w:val="none"/>
              </w:rPr>
            </w:pPr>
          </w:p>
        </w:tc>
        <w:tc>
          <w:tcPr>
            <w:tcW w:w="1430" w:type="pct"/>
            <w:vMerge w:val="restart"/>
            <w:tcBorders>
              <w:tl2br w:val="nil"/>
              <w:tr2bl w:val="nil"/>
            </w:tcBorders>
            <w:noWrap w:val="0"/>
            <w:vAlign w:val="center"/>
          </w:tcPr>
          <w:p w14:paraId="2A32C4F4">
            <w:pPr>
              <w:pStyle w:val="58"/>
              <w:bidi w:val="0"/>
              <w:rPr>
                <w:rFonts w:hint="default"/>
                <w:highlight w:val="none"/>
              </w:rPr>
            </w:pPr>
            <w:r>
              <w:rPr>
                <w:rFonts w:hint="default"/>
                <w:highlight w:val="none"/>
              </w:rPr>
              <w:t>1，1二氯乙烯（mg/kg）</w:t>
            </w:r>
          </w:p>
        </w:tc>
        <w:tc>
          <w:tcPr>
            <w:tcW w:w="537" w:type="pct"/>
            <w:vMerge w:val="restart"/>
            <w:tcBorders>
              <w:tl2br w:val="nil"/>
              <w:tr2bl w:val="nil"/>
            </w:tcBorders>
            <w:noWrap w:val="0"/>
            <w:vAlign w:val="center"/>
          </w:tcPr>
          <w:p w14:paraId="3AD25A73">
            <w:pPr>
              <w:pStyle w:val="58"/>
              <w:bidi w:val="0"/>
              <w:rPr>
                <w:rFonts w:hint="default"/>
                <w:highlight w:val="none"/>
                <w:lang w:val="en-US" w:eastAsia="zh-CN"/>
              </w:rPr>
            </w:pPr>
            <w:r>
              <w:rPr>
                <w:rFonts w:hint="default"/>
                <w:highlight w:val="none"/>
                <w:lang w:val="en-US" w:eastAsia="zh-CN"/>
              </w:rPr>
              <w:t>66</w:t>
            </w:r>
          </w:p>
        </w:tc>
        <w:tc>
          <w:tcPr>
            <w:tcW w:w="994" w:type="pct"/>
            <w:tcBorders>
              <w:tl2br w:val="nil"/>
              <w:tr2bl w:val="nil"/>
            </w:tcBorders>
            <w:noWrap w:val="0"/>
            <w:vAlign w:val="center"/>
          </w:tcPr>
          <w:p w14:paraId="721A258B">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4DD22427">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6C3EA394">
            <w:pPr>
              <w:pStyle w:val="58"/>
              <w:bidi w:val="0"/>
              <w:rPr>
                <w:rFonts w:hint="default"/>
                <w:highlight w:val="none"/>
              </w:rPr>
            </w:pPr>
            <w:r>
              <w:rPr>
                <w:rFonts w:hint="default"/>
                <w:highlight w:val="none"/>
                <w:lang w:val="en-US" w:eastAsia="zh-CN"/>
              </w:rPr>
              <w:t>达标</w:t>
            </w:r>
          </w:p>
        </w:tc>
      </w:tr>
      <w:tr w14:paraId="68BCDAB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3DBA1188">
            <w:pPr>
              <w:pStyle w:val="58"/>
              <w:bidi w:val="0"/>
              <w:rPr>
                <w:rFonts w:hint="default"/>
                <w:highlight w:val="none"/>
              </w:rPr>
            </w:pPr>
          </w:p>
        </w:tc>
        <w:tc>
          <w:tcPr>
            <w:tcW w:w="1430" w:type="pct"/>
            <w:vMerge w:val="continue"/>
            <w:tcBorders>
              <w:tl2br w:val="nil"/>
              <w:tr2bl w:val="nil"/>
            </w:tcBorders>
            <w:noWrap w:val="0"/>
            <w:vAlign w:val="center"/>
          </w:tcPr>
          <w:p w14:paraId="63A7FBE0">
            <w:pPr>
              <w:pStyle w:val="58"/>
              <w:bidi w:val="0"/>
              <w:rPr>
                <w:rFonts w:hint="default"/>
                <w:highlight w:val="none"/>
              </w:rPr>
            </w:pPr>
          </w:p>
        </w:tc>
        <w:tc>
          <w:tcPr>
            <w:tcW w:w="537" w:type="pct"/>
            <w:vMerge w:val="continue"/>
            <w:tcBorders>
              <w:tl2br w:val="nil"/>
              <w:tr2bl w:val="nil"/>
            </w:tcBorders>
            <w:noWrap w:val="0"/>
            <w:vAlign w:val="center"/>
          </w:tcPr>
          <w:p w14:paraId="57B4E67B">
            <w:pPr>
              <w:pStyle w:val="58"/>
              <w:bidi w:val="0"/>
              <w:rPr>
                <w:rFonts w:hint="default"/>
                <w:highlight w:val="none"/>
                <w:lang w:eastAsia="zh-CN"/>
              </w:rPr>
            </w:pPr>
          </w:p>
        </w:tc>
        <w:tc>
          <w:tcPr>
            <w:tcW w:w="994" w:type="pct"/>
            <w:tcBorders>
              <w:tl2br w:val="nil"/>
              <w:tr2bl w:val="nil"/>
            </w:tcBorders>
            <w:noWrap w:val="0"/>
            <w:vAlign w:val="center"/>
          </w:tcPr>
          <w:p w14:paraId="581A7325">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4942F29F">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06C901C0">
            <w:pPr>
              <w:pStyle w:val="58"/>
              <w:bidi w:val="0"/>
              <w:rPr>
                <w:rFonts w:hint="default"/>
                <w:highlight w:val="none"/>
                <w:lang w:val="en-US" w:eastAsia="zh-CN"/>
              </w:rPr>
            </w:pPr>
            <w:r>
              <w:rPr>
                <w:rFonts w:hint="default"/>
                <w:highlight w:val="none"/>
                <w:lang w:val="en-US" w:eastAsia="zh-CN"/>
              </w:rPr>
              <w:t>达标</w:t>
            </w:r>
          </w:p>
        </w:tc>
      </w:tr>
      <w:tr w14:paraId="7BAFB58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4B72ACF3">
            <w:pPr>
              <w:pStyle w:val="58"/>
              <w:bidi w:val="0"/>
              <w:rPr>
                <w:rFonts w:hint="default"/>
                <w:highlight w:val="none"/>
              </w:rPr>
            </w:pPr>
          </w:p>
        </w:tc>
        <w:tc>
          <w:tcPr>
            <w:tcW w:w="1430" w:type="pct"/>
            <w:vMerge w:val="restart"/>
            <w:tcBorders>
              <w:tl2br w:val="nil"/>
              <w:tr2bl w:val="nil"/>
            </w:tcBorders>
            <w:noWrap w:val="0"/>
            <w:vAlign w:val="center"/>
          </w:tcPr>
          <w:p w14:paraId="60AA733A">
            <w:pPr>
              <w:pStyle w:val="58"/>
              <w:bidi w:val="0"/>
              <w:rPr>
                <w:rFonts w:hint="default"/>
                <w:highlight w:val="none"/>
              </w:rPr>
            </w:pPr>
            <w:r>
              <w:rPr>
                <w:rFonts w:hint="default"/>
                <w:highlight w:val="none"/>
              </w:rPr>
              <w:t>顺1，2二氯乙烯（mg/kg）</w:t>
            </w:r>
          </w:p>
        </w:tc>
        <w:tc>
          <w:tcPr>
            <w:tcW w:w="537" w:type="pct"/>
            <w:vMerge w:val="restart"/>
            <w:tcBorders>
              <w:tl2br w:val="nil"/>
              <w:tr2bl w:val="nil"/>
            </w:tcBorders>
            <w:noWrap w:val="0"/>
            <w:vAlign w:val="center"/>
          </w:tcPr>
          <w:p w14:paraId="1331F451">
            <w:pPr>
              <w:pStyle w:val="58"/>
              <w:bidi w:val="0"/>
              <w:rPr>
                <w:rFonts w:hint="default"/>
                <w:highlight w:val="none"/>
                <w:lang w:val="en-US" w:eastAsia="zh-CN"/>
              </w:rPr>
            </w:pPr>
            <w:r>
              <w:rPr>
                <w:rFonts w:hint="default"/>
                <w:highlight w:val="none"/>
                <w:lang w:val="en-US" w:eastAsia="zh-CN"/>
              </w:rPr>
              <w:t>596</w:t>
            </w:r>
          </w:p>
        </w:tc>
        <w:tc>
          <w:tcPr>
            <w:tcW w:w="994" w:type="pct"/>
            <w:tcBorders>
              <w:tl2br w:val="nil"/>
              <w:tr2bl w:val="nil"/>
            </w:tcBorders>
            <w:noWrap w:val="0"/>
            <w:vAlign w:val="center"/>
          </w:tcPr>
          <w:p w14:paraId="0ED8D76B">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34E87F8D">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295DE46F">
            <w:pPr>
              <w:pStyle w:val="58"/>
              <w:bidi w:val="0"/>
              <w:rPr>
                <w:rFonts w:hint="default"/>
                <w:highlight w:val="none"/>
              </w:rPr>
            </w:pPr>
            <w:r>
              <w:rPr>
                <w:rFonts w:hint="default"/>
                <w:highlight w:val="none"/>
                <w:lang w:val="en-US" w:eastAsia="zh-CN"/>
              </w:rPr>
              <w:t>达标</w:t>
            </w:r>
          </w:p>
        </w:tc>
      </w:tr>
      <w:tr w14:paraId="4579EF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1AF57931">
            <w:pPr>
              <w:pStyle w:val="58"/>
              <w:bidi w:val="0"/>
              <w:rPr>
                <w:rFonts w:hint="default"/>
                <w:highlight w:val="none"/>
              </w:rPr>
            </w:pPr>
          </w:p>
        </w:tc>
        <w:tc>
          <w:tcPr>
            <w:tcW w:w="1430" w:type="pct"/>
            <w:vMerge w:val="continue"/>
            <w:tcBorders>
              <w:tl2br w:val="nil"/>
              <w:tr2bl w:val="nil"/>
            </w:tcBorders>
            <w:noWrap w:val="0"/>
            <w:vAlign w:val="center"/>
          </w:tcPr>
          <w:p w14:paraId="27650A0C">
            <w:pPr>
              <w:pStyle w:val="58"/>
              <w:bidi w:val="0"/>
              <w:rPr>
                <w:rFonts w:hint="default"/>
                <w:highlight w:val="none"/>
              </w:rPr>
            </w:pPr>
          </w:p>
        </w:tc>
        <w:tc>
          <w:tcPr>
            <w:tcW w:w="537" w:type="pct"/>
            <w:vMerge w:val="continue"/>
            <w:tcBorders>
              <w:tl2br w:val="nil"/>
              <w:tr2bl w:val="nil"/>
            </w:tcBorders>
            <w:noWrap w:val="0"/>
            <w:vAlign w:val="center"/>
          </w:tcPr>
          <w:p w14:paraId="0B8E09A4">
            <w:pPr>
              <w:pStyle w:val="58"/>
              <w:bidi w:val="0"/>
              <w:rPr>
                <w:rFonts w:hint="default"/>
                <w:highlight w:val="none"/>
                <w:lang w:eastAsia="zh-CN"/>
              </w:rPr>
            </w:pPr>
          </w:p>
        </w:tc>
        <w:tc>
          <w:tcPr>
            <w:tcW w:w="994" w:type="pct"/>
            <w:tcBorders>
              <w:tl2br w:val="nil"/>
              <w:tr2bl w:val="nil"/>
            </w:tcBorders>
            <w:noWrap w:val="0"/>
            <w:vAlign w:val="center"/>
          </w:tcPr>
          <w:p w14:paraId="7744B26E">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29B67511">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236919D9">
            <w:pPr>
              <w:pStyle w:val="58"/>
              <w:bidi w:val="0"/>
              <w:rPr>
                <w:rFonts w:hint="default"/>
                <w:highlight w:val="none"/>
                <w:lang w:val="en-US" w:eastAsia="zh-CN"/>
              </w:rPr>
            </w:pPr>
            <w:r>
              <w:rPr>
                <w:rFonts w:hint="default"/>
                <w:highlight w:val="none"/>
                <w:lang w:val="en-US" w:eastAsia="zh-CN"/>
              </w:rPr>
              <w:t>达标</w:t>
            </w:r>
          </w:p>
        </w:tc>
      </w:tr>
      <w:tr w14:paraId="3BE620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0675FA6D">
            <w:pPr>
              <w:pStyle w:val="58"/>
              <w:bidi w:val="0"/>
              <w:rPr>
                <w:rFonts w:hint="default"/>
                <w:highlight w:val="none"/>
              </w:rPr>
            </w:pPr>
          </w:p>
        </w:tc>
        <w:tc>
          <w:tcPr>
            <w:tcW w:w="1430" w:type="pct"/>
            <w:vMerge w:val="restart"/>
            <w:tcBorders>
              <w:tl2br w:val="nil"/>
              <w:tr2bl w:val="nil"/>
            </w:tcBorders>
            <w:noWrap w:val="0"/>
            <w:vAlign w:val="center"/>
          </w:tcPr>
          <w:p w14:paraId="1952766C">
            <w:pPr>
              <w:pStyle w:val="58"/>
              <w:bidi w:val="0"/>
              <w:rPr>
                <w:rFonts w:hint="default"/>
                <w:highlight w:val="none"/>
              </w:rPr>
            </w:pPr>
            <w:r>
              <w:rPr>
                <w:rFonts w:hint="default"/>
                <w:highlight w:val="none"/>
              </w:rPr>
              <w:t>反1，2二氯乙烯（mg/kg）</w:t>
            </w:r>
          </w:p>
        </w:tc>
        <w:tc>
          <w:tcPr>
            <w:tcW w:w="537" w:type="pct"/>
            <w:vMerge w:val="restart"/>
            <w:tcBorders>
              <w:tl2br w:val="nil"/>
              <w:tr2bl w:val="nil"/>
            </w:tcBorders>
            <w:noWrap w:val="0"/>
            <w:vAlign w:val="center"/>
          </w:tcPr>
          <w:p w14:paraId="6478D83F">
            <w:pPr>
              <w:pStyle w:val="58"/>
              <w:bidi w:val="0"/>
              <w:rPr>
                <w:rFonts w:hint="default"/>
                <w:highlight w:val="none"/>
                <w:lang w:val="en-US" w:eastAsia="zh-CN"/>
              </w:rPr>
            </w:pPr>
            <w:r>
              <w:rPr>
                <w:rFonts w:hint="default"/>
                <w:highlight w:val="none"/>
                <w:lang w:val="en-US" w:eastAsia="zh-CN"/>
              </w:rPr>
              <w:t>54</w:t>
            </w:r>
          </w:p>
        </w:tc>
        <w:tc>
          <w:tcPr>
            <w:tcW w:w="994" w:type="pct"/>
            <w:tcBorders>
              <w:tl2br w:val="nil"/>
              <w:tr2bl w:val="nil"/>
            </w:tcBorders>
            <w:noWrap w:val="0"/>
            <w:vAlign w:val="center"/>
          </w:tcPr>
          <w:p w14:paraId="3FE9423D">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7CE8EAF6">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1A7BA5A8">
            <w:pPr>
              <w:pStyle w:val="58"/>
              <w:bidi w:val="0"/>
              <w:rPr>
                <w:rFonts w:hint="default"/>
                <w:highlight w:val="none"/>
              </w:rPr>
            </w:pPr>
            <w:r>
              <w:rPr>
                <w:rFonts w:hint="default"/>
                <w:highlight w:val="none"/>
                <w:lang w:val="en-US" w:eastAsia="zh-CN"/>
              </w:rPr>
              <w:t>达标</w:t>
            </w:r>
          </w:p>
        </w:tc>
      </w:tr>
      <w:tr w14:paraId="2FE43B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35AC145D">
            <w:pPr>
              <w:pStyle w:val="58"/>
              <w:bidi w:val="0"/>
              <w:rPr>
                <w:rFonts w:hint="default"/>
                <w:highlight w:val="none"/>
              </w:rPr>
            </w:pPr>
          </w:p>
        </w:tc>
        <w:tc>
          <w:tcPr>
            <w:tcW w:w="1430" w:type="pct"/>
            <w:vMerge w:val="continue"/>
            <w:tcBorders>
              <w:tl2br w:val="nil"/>
              <w:tr2bl w:val="nil"/>
            </w:tcBorders>
            <w:noWrap w:val="0"/>
            <w:vAlign w:val="center"/>
          </w:tcPr>
          <w:p w14:paraId="0E0DFBFF">
            <w:pPr>
              <w:pStyle w:val="58"/>
              <w:bidi w:val="0"/>
              <w:rPr>
                <w:rFonts w:hint="default"/>
                <w:highlight w:val="none"/>
              </w:rPr>
            </w:pPr>
          </w:p>
        </w:tc>
        <w:tc>
          <w:tcPr>
            <w:tcW w:w="537" w:type="pct"/>
            <w:vMerge w:val="continue"/>
            <w:tcBorders>
              <w:tl2br w:val="nil"/>
              <w:tr2bl w:val="nil"/>
            </w:tcBorders>
            <w:noWrap w:val="0"/>
            <w:vAlign w:val="center"/>
          </w:tcPr>
          <w:p w14:paraId="6D0071F0">
            <w:pPr>
              <w:pStyle w:val="58"/>
              <w:bidi w:val="0"/>
              <w:rPr>
                <w:rFonts w:hint="default"/>
                <w:highlight w:val="none"/>
                <w:lang w:eastAsia="zh-CN"/>
              </w:rPr>
            </w:pPr>
          </w:p>
        </w:tc>
        <w:tc>
          <w:tcPr>
            <w:tcW w:w="994" w:type="pct"/>
            <w:tcBorders>
              <w:tl2br w:val="nil"/>
              <w:tr2bl w:val="nil"/>
            </w:tcBorders>
            <w:noWrap w:val="0"/>
            <w:vAlign w:val="center"/>
          </w:tcPr>
          <w:p w14:paraId="3C792D1E">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5DE33C1A">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3DBE2E91">
            <w:pPr>
              <w:pStyle w:val="58"/>
              <w:bidi w:val="0"/>
              <w:rPr>
                <w:rFonts w:hint="default"/>
                <w:highlight w:val="none"/>
                <w:lang w:val="en-US" w:eastAsia="zh-CN"/>
              </w:rPr>
            </w:pPr>
            <w:r>
              <w:rPr>
                <w:rFonts w:hint="default"/>
                <w:highlight w:val="none"/>
                <w:lang w:val="en-US" w:eastAsia="zh-CN"/>
              </w:rPr>
              <w:t>达标</w:t>
            </w:r>
          </w:p>
        </w:tc>
      </w:tr>
      <w:tr w14:paraId="498590C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72B4DB5D">
            <w:pPr>
              <w:pStyle w:val="58"/>
              <w:bidi w:val="0"/>
              <w:rPr>
                <w:rFonts w:hint="default"/>
                <w:highlight w:val="none"/>
              </w:rPr>
            </w:pPr>
          </w:p>
        </w:tc>
        <w:tc>
          <w:tcPr>
            <w:tcW w:w="1430" w:type="pct"/>
            <w:vMerge w:val="restart"/>
            <w:tcBorders>
              <w:tl2br w:val="nil"/>
              <w:tr2bl w:val="nil"/>
            </w:tcBorders>
            <w:noWrap w:val="0"/>
            <w:vAlign w:val="center"/>
          </w:tcPr>
          <w:p w14:paraId="0F248695">
            <w:pPr>
              <w:pStyle w:val="58"/>
              <w:bidi w:val="0"/>
              <w:rPr>
                <w:rFonts w:hint="default"/>
                <w:highlight w:val="none"/>
              </w:rPr>
            </w:pPr>
            <w:r>
              <w:rPr>
                <w:rFonts w:hint="default"/>
                <w:highlight w:val="none"/>
              </w:rPr>
              <w:t>二氯甲烷（mg/kg）</w:t>
            </w:r>
          </w:p>
        </w:tc>
        <w:tc>
          <w:tcPr>
            <w:tcW w:w="537" w:type="pct"/>
            <w:vMerge w:val="restart"/>
            <w:tcBorders>
              <w:tl2br w:val="nil"/>
              <w:tr2bl w:val="nil"/>
            </w:tcBorders>
            <w:noWrap w:val="0"/>
            <w:vAlign w:val="center"/>
          </w:tcPr>
          <w:p w14:paraId="7555284E">
            <w:pPr>
              <w:pStyle w:val="58"/>
              <w:bidi w:val="0"/>
              <w:rPr>
                <w:rFonts w:hint="default"/>
                <w:highlight w:val="none"/>
                <w:lang w:val="en-US" w:eastAsia="zh-CN"/>
              </w:rPr>
            </w:pPr>
            <w:r>
              <w:rPr>
                <w:rFonts w:hint="default"/>
                <w:highlight w:val="none"/>
                <w:lang w:val="en-US" w:eastAsia="zh-CN"/>
              </w:rPr>
              <w:t>616</w:t>
            </w:r>
          </w:p>
        </w:tc>
        <w:tc>
          <w:tcPr>
            <w:tcW w:w="994" w:type="pct"/>
            <w:tcBorders>
              <w:tl2br w:val="nil"/>
              <w:tr2bl w:val="nil"/>
            </w:tcBorders>
            <w:noWrap w:val="0"/>
            <w:vAlign w:val="center"/>
          </w:tcPr>
          <w:p w14:paraId="37852B18">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146C904A">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43BD9112">
            <w:pPr>
              <w:pStyle w:val="58"/>
              <w:bidi w:val="0"/>
              <w:rPr>
                <w:rFonts w:hint="default"/>
                <w:highlight w:val="none"/>
              </w:rPr>
            </w:pPr>
            <w:r>
              <w:rPr>
                <w:rFonts w:hint="default"/>
                <w:highlight w:val="none"/>
                <w:lang w:val="en-US" w:eastAsia="zh-CN"/>
              </w:rPr>
              <w:t>达标</w:t>
            </w:r>
          </w:p>
        </w:tc>
      </w:tr>
      <w:tr w14:paraId="0B9EEF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66AB0AED">
            <w:pPr>
              <w:pStyle w:val="58"/>
              <w:bidi w:val="0"/>
              <w:rPr>
                <w:rFonts w:hint="default"/>
                <w:highlight w:val="none"/>
              </w:rPr>
            </w:pPr>
          </w:p>
        </w:tc>
        <w:tc>
          <w:tcPr>
            <w:tcW w:w="1430" w:type="pct"/>
            <w:vMerge w:val="continue"/>
            <w:tcBorders>
              <w:tl2br w:val="nil"/>
              <w:tr2bl w:val="nil"/>
            </w:tcBorders>
            <w:noWrap w:val="0"/>
            <w:vAlign w:val="center"/>
          </w:tcPr>
          <w:p w14:paraId="03AFEAAC">
            <w:pPr>
              <w:pStyle w:val="58"/>
              <w:bidi w:val="0"/>
              <w:rPr>
                <w:rFonts w:hint="default"/>
                <w:highlight w:val="none"/>
              </w:rPr>
            </w:pPr>
          </w:p>
        </w:tc>
        <w:tc>
          <w:tcPr>
            <w:tcW w:w="537" w:type="pct"/>
            <w:vMerge w:val="continue"/>
            <w:tcBorders>
              <w:tl2br w:val="nil"/>
              <w:tr2bl w:val="nil"/>
            </w:tcBorders>
            <w:noWrap w:val="0"/>
            <w:vAlign w:val="center"/>
          </w:tcPr>
          <w:p w14:paraId="798D859B">
            <w:pPr>
              <w:pStyle w:val="58"/>
              <w:bidi w:val="0"/>
              <w:rPr>
                <w:rFonts w:hint="default"/>
                <w:highlight w:val="none"/>
                <w:lang w:eastAsia="zh-CN"/>
              </w:rPr>
            </w:pPr>
          </w:p>
        </w:tc>
        <w:tc>
          <w:tcPr>
            <w:tcW w:w="994" w:type="pct"/>
            <w:tcBorders>
              <w:tl2br w:val="nil"/>
              <w:tr2bl w:val="nil"/>
            </w:tcBorders>
            <w:noWrap w:val="0"/>
            <w:vAlign w:val="center"/>
          </w:tcPr>
          <w:p w14:paraId="73223DD2">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391F09B7">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70B8E84B">
            <w:pPr>
              <w:pStyle w:val="58"/>
              <w:bidi w:val="0"/>
              <w:rPr>
                <w:rFonts w:hint="default"/>
                <w:highlight w:val="none"/>
                <w:lang w:val="en-US" w:eastAsia="zh-CN"/>
              </w:rPr>
            </w:pPr>
            <w:r>
              <w:rPr>
                <w:rFonts w:hint="default"/>
                <w:highlight w:val="none"/>
                <w:lang w:val="en-US" w:eastAsia="zh-CN"/>
              </w:rPr>
              <w:t>达标</w:t>
            </w:r>
          </w:p>
        </w:tc>
      </w:tr>
      <w:tr w14:paraId="4FE1991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5CDD4442">
            <w:pPr>
              <w:pStyle w:val="58"/>
              <w:bidi w:val="0"/>
              <w:rPr>
                <w:rFonts w:hint="default"/>
                <w:highlight w:val="none"/>
              </w:rPr>
            </w:pPr>
          </w:p>
        </w:tc>
        <w:tc>
          <w:tcPr>
            <w:tcW w:w="1430" w:type="pct"/>
            <w:vMerge w:val="restart"/>
            <w:tcBorders>
              <w:tl2br w:val="nil"/>
              <w:tr2bl w:val="nil"/>
            </w:tcBorders>
            <w:noWrap w:val="0"/>
            <w:vAlign w:val="center"/>
          </w:tcPr>
          <w:p w14:paraId="209F90B7">
            <w:pPr>
              <w:pStyle w:val="58"/>
              <w:bidi w:val="0"/>
              <w:rPr>
                <w:rFonts w:hint="default"/>
                <w:highlight w:val="none"/>
              </w:rPr>
            </w:pPr>
            <w:r>
              <w:rPr>
                <w:rFonts w:hint="default"/>
                <w:highlight w:val="none"/>
              </w:rPr>
              <w:t>1，2-二氯丙烷（mg/kg）</w:t>
            </w:r>
          </w:p>
        </w:tc>
        <w:tc>
          <w:tcPr>
            <w:tcW w:w="537" w:type="pct"/>
            <w:vMerge w:val="restart"/>
            <w:tcBorders>
              <w:tl2br w:val="nil"/>
              <w:tr2bl w:val="nil"/>
            </w:tcBorders>
            <w:noWrap w:val="0"/>
            <w:vAlign w:val="center"/>
          </w:tcPr>
          <w:p w14:paraId="41333113">
            <w:pPr>
              <w:pStyle w:val="58"/>
              <w:bidi w:val="0"/>
              <w:rPr>
                <w:rFonts w:hint="default"/>
                <w:highlight w:val="none"/>
                <w:lang w:val="en-US" w:eastAsia="zh-CN"/>
              </w:rPr>
            </w:pPr>
            <w:r>
              <w:rPr>
                <w:rFonts w:hint="default"/>
                <w:highlight w:val="none"/>
                <w:lang w:val="en-US" w:eastAsia="zh-CN"/>
              </w:rPr>
              <w:t>5</w:t>
            </w:r>
          </w:p>
        </w:tc>
        <w:tc>
          <w:tcPr>
            <w:tcW w:w="994" w:type="pct"/>
            <w:tcBorders>
              <w:tl2br w:val="nil"/>
              <w:tr2bl w:val="nil"/>
            </w:tcBorders>
            <w:noWrap w:val="0"/>
            <w:vAlign w:val="center"/>
          </w:tcPr>
          <w:p w14:paraId="77A1328C">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3559911F">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1596C1E6">
            <w:pPr>
              <w:pStyle w:val="58"/>
              <w:bidi w:val="0"/>
              <w:rPr>
                <w:rFonts w:hint="default"/>
                <w:highlight w:val="none"/>
              </w:rPr>
            </w:pPr>
            <w:r>
              <w:rPr>
                <w:rFonts w:hint="default"/>
                <w:highlight w:val="none"/>
                <w:lang w:val="en-US" w:eastAsia="zh-CN"/>
              </w:rPr>
              <w:t>达标</w:t>
            </w:r>
          </w:p>
        </w:tc>
      </w:tr>
      <w:tr w14:paraId="272AA19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5135FB39">
            <w:pPr>
              <w:pStyle w:val="58"/>
              <w:bidi w:val="0"/>
              <w:rPr>
                <w:rFonts w:hint="default"/>
                <w:highlight w:val="none"/>
              </w:rPr>
            </w:pPr>
          </w:p>
        </w:tc>
        <w:tc>
          <w:tcPr>
            <w:tcW w:w="1430" w:type="pct"/>
            <w:vMerge w:val="continue"/>
            <w:tcBorders>
              <w:tl2br w:val="nil"/>
              <w:tr2bl w:val="nil"/>
            </w:tcBorders>
            <w:noWrap w:val="0"/>
            <w:vAlign w:val="center"/>
          </w:tcPr>
          <w:p w14:paraId="54DA16CF">
            <w:pPr>
              <w:pStyle w:val="58"/>
              <w:bidi w:val="0"/>
              <w:rPr>
                <w:rFonts w:hint="default"/>
                <w:highlight w:val="none"/>
              </w:rPr>
            </w:pPr>
          </w:p>
        </w:tc>
        <w:tc>
          <w:tcPr>
            <w:tcW w:w="537" w:type="pct"/>
            <w:vMerge w:val="continue"/>
            <w:tcBorders>
              <w:tl2br w:val="nil"/>
              <w:tr2bl w:val="nil"/>
            </w:tcBorders>
            <w:noWrap w:val="0"/>
            <w:vAlign w:val="center"/>
          </w:tcPr>
          <w:p w14:paraId="4580624F">
            <w:pPr>
              <w:pStyle w:val="58"/>
              <w:bidi w:val="0"/>
              <w:rPr>
                <w:rFonts w:hint="default"/>
                <w:highlight w:val="none"/>
                <w:lang w:eastAsia="zh-CN"/>
              </w:rPr>
            </w:pPr>
          </w:p>
        </w:tc>
        <w:tc>
          <w:tcPr>
            <w:tcW w:w="994" w:type="pct"/>
            <w:tcBorders>
              <w:tl2br w:val="nil"/>
              <w:tr2bl w:val="nil"/>
            </w:tcBorders>
            <w:noWrap w:val="0"/>
            <w:vAlign w:val="center"/>
          </w:tcPr>
          <w:p w14:paraId="540751EC">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35D9CAFF">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594D1637">
            <w:pPr>
              <w:pStyle w:val="58"/>
              <w:bidi w:val="0"/>
              <w:rPr>
                <w:rFonts w:hint="default"/>
                <w:highlight w:val="none"/>
                <w:lang w:val="en-US" w:eastAsia="zh-CN"/>
              </w:rPr>
            </w:pPr>
            <w:r>
              <w:rPr>
                <w:rFonts w:hint="default"/>
                <w:highlight w:val="none"/>
                <w:lang w:val="en-US" w:eastAsia="zh-CN"/>
              </w:rPr>
              <w:t>达标</w:t>
            </w:r>
          </w:p>
        </w:tc>
      </w:tr>
      <w:tr w14:paraId="493482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6991A281">
            <w:pPr>
              <w:pStyle w:val="58"/>
              <w:bidi w:val="0"/>
              <w:rPr>
                <w:rFonts w:hint="default"/>
                <w:highlight w:val="none"/>
              </w:rPr>
            </w:pPr>
          </w:p>
        </w:tc>
        <w:tc>
          <w:tcPr>
            <w:tcW w:w="1430" w:type="pct"/>
            <w:vMerge w:val="restart"/>
            <w:tcBorders>
              <w:tl2br w:val="nil"/>
              <w:tr2bl w:val="nil"/>
            </w:tcBorders>
            <w:noWrap w:val="0"/>
            <w:vAlign w:val="center"/>
          </w:tcPr>
          <w:p w14:paraId="6C16149C">
            <w:pPr>
              <w:pStyle w:val="58"/>
              <w:bidi w:val="0"/>
              <w:rPr>
                <w:rFonts w:hint="default"/>
                <w:highlight w:val="none"/>
              </w:rPr>
            </w:pPr>
            <w:r>
              <w:rPr>
                <w:rFonts w:hint="default"/>
                <w:highlight w:val="none"/>
              </w:rPr>
              <w:t>1，1，1，2-四氯乙烷（mg/kg）</w:t>
            </w:r>
          </w:p>
        </w:tc>
        <w:tc>
          <w:tcPr>
            <w:tcW w:w="537" w:type="pct"/>
            <w:vMerge w:val="restart"/>
            <w:tcBorders>
              <w:tl2br w:val="nil"/>
              <w:tr2bl w:val="nil"/>
            </w:tcBorders>
            <w:noWrap w:val="0"/>
            <w:vAlign w:val="center"/>
          </w:tcPr>
          <w:p w14:paraId="0C2F47F6">
            <w:pPr>
              <w:pStyle w:val="58"/>
              <w:bidi w:val="0"/>
              <w:rPr>
                <w:rFonts w:hint="default"/>
                <w:highlight w:val="none"/>
                <w:lang w:val="en-US" w:eastAsia="zh-CN"/>
              </w:rPr>
            </w:pPr>
            <w:r>
              <w:rPr>
                <w:rFonts w:hint="default"/>
                <w:highlight w:val="none"/>
                <w:lang w:val="en-US" w:eastAsia="zh-CN"/>
              </w:rPr>
              <w:t>10</w:t>
            </w:r>
          </w:p>
        </w:tc>
        <w:tc>
          <w:tcPr>
            <w:tcW w:w="994" w:type="pct"/>
            <w:tcBorders>
              <w:tl2br w:val="nil"/>
              <w:tr2bl w:val="nil"/>
            </w:tcBorders>
            <w:noWrap w:val="0"/>
            <w:vAlign w:val="center"/>
          </w:tcPr>
          <w:p w14:paraId="08A1C878">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40F99A18">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18386A52">
            <w:pPr>
              <w:pStyle w:val="58"/>
              <w:bidi w:val="0"/>
              <w:rPr>
                <w:rFonts w:hint="default"/>
                <w:highlight w:val="none"/>
              </w:rPr>
            </w:pPr>
            <w:r>
              <w:rPr>
                <w:rFonts w:hint="default"/>
                <w:highlight w:val="none"/>
                <w:lang w:val="en-US" w:eastAsia="zh-CN"/>
              </w:rPr>
              <w:t>达标</w:t>
            </w:r>
          </w:p>
        </w:tc>
      </w:tr>
      <w:tr w14:paraId="23EDA3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0787B090">
            <w:pPr>
              <w:pStyle w:val="58"/>
              <w:bidi w:val="0"/>
              <w:rPr>
                <w:rFonts w:hint="default"/>
                <w:highlight w:val="none"/>
              </w:rPr>
            </w:pPr>
          </w:p>
        </w:tc>
        <w:tc>
          <w:tcPr>
            <w:tcW w:w="1430" w:type="pct"/>
            <w:vMerge w:val="continue"/>
            <w:tcBorders>
              <w:tl2br w:val="nil"/>
              <w:tr2bl w:val="nil"/>
            </w:tcBorders>
            <w:noWrap w:val="0"/>
            <w:vAlign w:val="center"/>
          </w:tcPr>
          <w:p w14:paraId="54B90076">
            <w:pPr>
              <w:pStyle w:val="58"/>
              <w:bidi w:val="0"/>
              <w:rPr>
                <w:rFonts w:hint="default"/>
                <w:highlight w:val="none"/>
              </w:rPr>
            </w:pPr>
          </w:p>
        </w:tc>
        <w:tc>
          <w:tcPr>
            <w:tcW w:w="537" w:type="pct"/>
            <w:vMerge w:val="continue"/>
            <w:tcBorders>
              <w:tl2br w:val="nil"/>
              <w:tr2bl w:val="nil"/>
            </w:tcBorders>
            <w:noWrap w:val="0"/>
            <w:vAlign w:val="center"/>
          </w:tcPr>
          <w:p w14:paraId="533A2857">
            <w:pPr>
              <w:pStyle w:val="58"/>
              <w:bidi w:val="0"/>
              <w:rPr>
                <w:rFonts w:hint="default"/>
                <w:highlight w:val="none"/>
                <w:lang w:eastAsia="zh-CN"/>
              </w:rPr>
            </w:pPr>
          </w:p>
        </w:tc>
        <w:tc>
          <w:tcPr>
            <w:tcW w:w="994" w:type="pct"/>
            <w:tcBorders>
              <w:tl2br w:val="nil"/>
              <w:tr2bl w:val="nil"/>
            </w:tcBorders>
            <w:noWrap w:val="0"/>
            <w:vAlign w:val="center"/>
          </w:tcPr>
          <w:p w14:paraId="7C76B8A2">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281177ED">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29D3E9D3">
            <w:pPr>
              <w:pStyle w:val="58"/>
              <w:bidi w:val="0"/>
              <w:rPr>
                <w:rFonts w:hint="default"/>
                <w:highlight w:val="none"/>
                <w:lang w:val="en-US" w:eastAsia="zh-CN"/>
              </w:rPr>
            </w:pPr>
            <w:r>
              <w:rPr>
                <w:rFonts w:hint="default"/>
                <w:highlight w:val="none"/>
                <w:lang w:val="en-US" w:eastAsia="zh-CN"/>
              </w:rPr>
              <w:t>达标</w:t>
            </w:r>
          </w:p>
        </w:tc>
      </w:tr>
      <w:tr w14:paraId="18363B5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18BAA4A9">
            <w:pPr>
              <w:pStyle w:val="58"/>
              <w:bidi w:val="0"/>
              <w:rPr>
                <w:rFonts w:hint="default"/>
                <w:highlight w:val="none"/>
              </w:rPr>
            </w:pPr>
          </w:p>
        </w:tc>
        <w:tc>
          <w:tcPr>
            <w:tcW w:w="1430" w:type="pct"/>
            <w:vMerge w:val="restart"/>
            <w:tcBorders>
              <w:tl2br w:val="nil"/>
              <w:tr2bl w:val="nil"/>
            </w:tcBorders>
            <w:noWrap w:val="0"/>
            <w:vAlign w:val="center"/>
          </w:tcPr>
          <w:p w14:paraId="5F37C7D2">
            <w:pPr>
              <w:pStyle w:val="58"/>
              <w:bidi w:val="0"/>
              <w:rPr>
                <w:rFonts w:hint="default"/>
                <w:highlight w:val="none"/>
              </w:rPr>
            </w:pPr>
            <w:r>
              <w:rPr>
                <w:rFonts w:hint="default"/>
                <w:highlight w:val="none"/>
              </w:rPr>
              <w:t>1，1，2，2-四氯乙烷（mg/kg）</w:t>
            </w:r>
          </w:p>
        </w:tc>
        <w:tc>
          <w:tcPr>
            <w:tcW w:w="537" w:type="pct"/>
            <w:vMerge w:val="restart"/>
            <w:tcBorders>
              <w:tl2br w:val="nil"/>
              <w:tr2bl w:val="nil"/>
            </w:tcBorders>
            <w:noWrap w:val="0"/>
            <w:vAlign w:val="center"/>
          </w:tcPr>
          <w:p w14:paraId="40F49B97">
            <w:pPr>
              <w:pStyle w:val="58"/>
              <w:bidi w:val="0"/>
              <w:rPr>
                <w:rFonts w:hint="default"/>
                <w:highlight w:val="none"/>
                <w:lang w:val="en-US" w:eastAsia="zh-CN"/>
              </w:rPr>
            </w:pPr>
            <w:r>
              <w:rPr>
                <w:rFonts w:hint="default"/>
                <w:highlight w:val="none"/>
                <w:lang w:val="en-US" w:eastAsia="zh-CN"/>
              </w:rPr>
              <w:t>6.8</w:t>
            </w:r>
          </w:p>
        </w:tc>
        <w:tc>
          <w:tcPr>
            <w:tcW w:w="994" w:type="pct"/>
            <w:tcBorders>
              <w:tl2br w:val="nil"/>
              <w:tr2bl w:val="nil"/>
            </w:tcBorders>
            <w:noWrap w:val="0"/>
            <w:vAlign w:val="center"/>
          </w:tcPr>
          <w:p w14:paraId="1C448693">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3E41582E">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61C5FD84">
            <w:pPr>
              <w:pStyle w:val="58"/>
              <w:bidi w:val="0"/>
              <w:rPr>
                <w:rFonts w:hint="default"/>
                <w:highlight w:val="none"/>
              </w:rPr>
            </w:pPr>
            <w:r>
              <w:rPr>
                <w:rFonts w:hint="default"/>
                <w:highlight w:val="none"/>
                <w:lang w:val="en-US" w:eastAsia="zh-CN"/>
              </w:rPr>
              <w:t>达标</w:t>
            </w:r>
          </w:p>
        </w:tc>
      </w:tr>
      <w:tr w14:paraId="3C640C0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051B6B8F">
            <w:pPr>
              <w:pStyle w:val="58"/>
              <w:bidi w:val="0"/>
              <w:rPr>
                <w:rFonts w:hint="default"/>
                <w:highlight w:val="none"/>
              </w:rPr>
            </w:pPr>
          </w:p>
        </w:tc>
        <w:tc>
          <w:tcPr>
            <w:tcW w:w="1430" w:type="pct"/>
            <w:vMerge w:val="continue"/>
            <w:tcBorders>
              <w:tl2br w:val="nil"/>
              <w:tr2bl w:val="nil"/>
            </w:tcBorders>
            <w:noWrap w:val="0"/>
            <w:vAlign w:val="center"/>
          </w:tcPr>
          <w:p w14:paraId="48F4A73B">
            <w:pPr>
              <w:pStyle w:val="58"/>
              <w:bidi w:val="0"/>
              <w:rPr>
                <w:rFonts w:hint="default"/>
                <w:highlight w:val="none"/>
              </w:rPr>
            </w:pPr>
          </w:p>
        </w:tc>
        <w:tc>
          <w:tcPr>
            <w:tcW w:w="537" w:type="pct"/>
            <w:vMerge w:val="continue"/>
            <w:tcBorders>
              <w:tl2br w:val="nil"/>
              <w:tr2bl w:val="nil"/>
            </w:tcBorders>
            <w:noWrap w:val="0"/>
            <w:vAlign w:val="center"/>
          </w:tcPr>
          <w:p w14:paraId="5006C336">
            <w:pPr>
              <w:pStyle w:val="58"/>
              <w:bidi w:val="0"/>
              <w:rPr>
                <w:rFonts w:hint="default"/>
                <w:highlight w:val="none"/>
                <w:lang w:eastAsia="zh-CN"/>
              </w:rPr>
            </w:pPr>
          </w:p>
        </w:tc>
        <w:tc>
          <w:tcPr>
            <w:tcW w:w="994" w:type="pct"/>
            <w:tcBorders>
              <w:tl2br w:val="nil"/>
              <w:tr2bl w:val="nil"/>
            </w:tcBorders>
            <w:noWrap w:val="0"/>
            <w:vAlign w:val="center"/>
          </w:tcPr>
          <w:p w14:paraId="4C00F48E">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4C0F353C">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03241FD1">
            <w:pPr>
              <w:pStyle w:val="58"/>
              <w:bidi w:val="0"/>
              <w:rPr>
                <w:rFonts w:hint="default"/>
                <w:highlight w:val="none"/>
                <w:lang w:val="en-US" w:eastAsia="zh-CN"/>
              </w:rPr>
            </w:pPr>
            <w:r>
              <w:rPr>
                <w:rFonts w:hint="default"/>
                <w:highlight w:val="none"/>
                <w:lang w:val="en-US" w:eastAsia="zh-CN"/>
              </w:rPr>
              <w:t>达标</w:t>
            </w:r>
          </w:p>
        </w:tc>
      </w:tr>
      <w:tr w14:paraId="71C2D1B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6E116674">
            <w:pPr>
              <w:pStyle w:val="58"/>
              <w:bidi w:val="0"/>
              <w:rPr>
                <w:rFonts w:hint="default"/>
                <w:highlight w:val="none"/>
              </w:rPr>
            </w:pPr>
          </w:p>
        </w:tc>
        <w:tc>
          <w:tcPr>
            <w:tcW w:w="1430" w:type="pct"/>
            <w:vMerge w:val="restart"/>
            <w:tcBorders>
              <w:tl2br w:val="nil"/>
              <w:tr2bl w:val="nil"/>
            </w:tcBorders>
            <w:noWrap w:val="0"/>
            <w:vAlign w:val="center"/>
          </w:tcPr>
          <w:p w14:paraId="3D878C3B">
            <w:pPr>
              <w:pStyle w:val="58"/>
              <w:bidi w:val="0"/>
              <w:rPr>
                <w:rFonts w:hint="default"/>
                <w:highlight w:val="none"/>
              </w:rPr>
            </w:pPr>
            <w:r>
              <w:rPr>
                <w:rFonts w:hint="default"/>
                <w:highlight w:val="none"/>
              </w:rPr>
              <w:t>四氯乙烯（mg/kg）</w:t>
            </w:r>
          </w:p>
        </w:tc>
        <w:tc>
          <w:tcPr>
            <w:tcW w:w="537" w:type="pct"/>
            <w:vMerge w:val="restart"/>
            <w:tcBorders>
              <w:tl2br w:val="nil"/>
              <w:tr2bl w:val="nil"/>
            </w:tcBorders>
            <w:noWrap w:val="0"/>
            <w:vAlign w:val="center"/>
          </w:tcPr>
          <w:p w14:paraId="199F5009">
            <w:pPr>
              <w:pStyle w:val="58"/>
              <w:bidi w:val="0"/>
              <w:rPr>
                <w:rFonts w:hint="default"/>
                <w:highlight w:val="none"/>
                <w:lang w:val="en-US" w:eastAsia="zh-CN"/>
              </w:rPr>
            </w:pPr>
            <w:r>
              <w:rPr>
                <w:rFonts w:hint="default"/>
                <w:highlight w:val="none"/>
                <w:lang w:val="en-US" w:eastAsia="zh-CN"/>
              </w:rPr>
              <w:t>53</w:t>
            </w:r>
          </w:p>
        </w:tc>
        <w:tc>
          <w:tcPr>
            <w:tcW w:w="994" w:type="pct"/>
            <w:tcBorders>
              <w:tl2br w:val="nil"/>
              <w:tr2bl w:val="nil"/>
            </w:tcBorders>
            <w:noWrap w:val="0"/>
            <w:vAlign w:val="center"/>
          </w:tcPr>
          <w:p w14:paraId="754C056B">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53FBC919">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38A76A28">
            <w:pPr>
              <w:pStyle w:val="58"/>
              <w:bidi w:val="0"/>
              <w:rPr>
                <w:rFonts w:hint="default"/>
                <w:highlight w:val="none"/>
              </w:rPr>
            </w:pPr>
            <w:r>
              <w:rPr>
                <w:rFonts w:hint="default"/>
                <w:highlight w:val="none"/>
                <w:lang w:val="en-US" w:eastAsia="zh-CN"/>
              </w:rPr>
              <w:t>达标</w:t>
            </w:r>
          </w:p>
        </w:tc>
      </w:tr>
      <w:tr w14:paraId="2FE13D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79470120">
            <w:pPr>
              <w:pStyle w:val="58"/>
              <w:bidi w:val="0"/>
              <w:rPr>
                <w:rFonts w:hint="default"/>
                <w:highlight w:val="none"/>
              </w:rPr>
            </w:pPr>
          </w:p>
        </w:tc>
        <w:tc>
          <w:tcPr>
            <w:tcW w:w="1430" w:type="pct"/>
            <w:vMerge w:val="continue"/>
            <w:tcBorders>
              <w:tl2br w:val="nil"/>
              <w:tr2bl w:val="nil"/>
            </w:tcBorders>
            <w:noWrap w:val="0"/>
            <w:vAlign w:val="center"/>
          </w:tcPr>
          <w:p w14:paraId="5F03F242">
            <w:pPr>
              <w:pStyle w:val="58"/>
              <w:bidi w:val="0"/>
              <w:rPr>
                <w:rFonts w:hint="default"/>
                <w:highlight w:val="none"/>
              </w:rPr>
            </w:pPr>
          </w:p>
        </w:tc>
        <w:tc>
          <w:tcPr>
            <w:tcW w:w="537" w:type="pct"/>
            <w:vMerge w:val="continue"/>
            <w:tcBorders>
              <w:tl2br w:val="nil"/>
              <w:tr2bl w:val="nil"/>
            </w:tcBorders>
            <w:noWrap w:val="0"/>
            <w:vAlign w:val="center"/>
          </w:tcPr>
          <w:p w14:paraId="4E768450">
            <w:pPr>
              <w:pStyle w:val="58"/>
              <w:bidi w:val="0"/>
              <w:rPr>
                <w:rFonts w:hint="default"/>
                <w:highlight w:val="none"/>
                <w:lang w:eastAsia="zh-CN"/>
              </w:rPr>
            </w:pPr>
          </w:p>
        </w:tc>
        <w:tc>
          <w:tcPr>
            <w:tcW w:w="994" w:type="pct"/>
            <w:tcBorders>
              <w:tl2br w:val="nil"/>
              <w:tr2bl w:val="nil"/>
            </w:tcBorders>
            <w:noWrap w:val="0"/>
            <w:vAlign w:val="center"/>
          </w:tcPr>
          <w:p w14:paraId="02B56726">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59405102">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511F52C9">
            <w:pPr>
              <w:pStyle w:val="58"/>
              <w:bidi w:val="0"/>
              <w:rPr>
                <w:rFonts w:hint="default"/>
                <w:highlight w:val="none"/>
                <w:lang w:val="en-US" w:eastAsia="zh-CN"/>
              </w:rPr>
            </w:pPr>
            <w:r>
              <w:rPr>
                <w:rFonts w:hint="default"/>
                <w:highlight w:val="none"/>
                <w:lang w:val="en-US" w:eastAsia="zh-CN"/>
              </w:rPr>
              <w:t>达标</w:t>
            </w:r>
          </w:p>
        </w:tc>
      </w:tr>
      <w:tr w14:paraId="0291137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024F59ED">
            <w:pPr>
              <w:pStyle w:val="58"/>
              <w:bidi w:val="0"/>
              <w:rPr>
                <w:rFonts w:hint="default"/>
                <w:highlight w:val="none"/>
              </w:rPr>
            </w:pPr>
          </w:p>
        </w:tc>
        <w:tc>
          <w:tcPr>
            <w:tcW w:w="1430" w:type="pct"/>
            <w:vMerge w:val="restart"/>
            <w:tcBorders>
              <w:tl2br w:val="nil"/>
              <w:tr2bl w:val="nil"/>
            </w:tcBorders>
            <w:noWrap w:val="0"/>
            <w:vAlign w:val="center"/>
          </w:tcPr>
          <w:p w14:paraId="45E22720">
            <w:pPr>
              <w:pStyle w:val="58"/>
              <w:bidi w:val="0"/>
              <w:rPr>
                <w:rFonts w:hint="default"/>
                <w:highlight w:val="none"/>
              </w:rPr>
            </w:pPr>
            <w:r>
              <w:rPr>
                <w:rFonts w:hint="default"/>
                <w:highlight w:val="none"/>
              </w:rPr>
              <w:t>1，1，1-三氯乙烷（mg/kg）</w:t>
            </w:r>
          </w:p>
        </w:tc>
        <w:tc>
          <w:tcPr>
            <w:tcW w:w="537" w:type="pct"/>
            <w:vMerge w:val="restart"/>
            <w:tcBorders>
              <w:tl2br w:val="nil"/>
              <w:tr2bl w:val="nil"/>
            </w:tcBorders>
            <w:noWrap w:val="0"/>
            <w:vAlign w:val="center"/>
          </w:tcPr>
          <w:p w14:paraId="26F91648">
            <w:pPr>
              <w:pStyle w:val="58"/>
              <w:bidi w:val="0"/>
              <w:rPr>
                <w:rFonts w:hint="default"/>
                <w:highlight w:val="none"/>
                <w:lang w:val="en-US" w:eastAsia="zh-CN"/>
              </w:rPr>
            </w:pPr>
            <w:r>
              <w:rPr>
                <w:rFonts w:hint="default"/>
                <w:highlight w:val="none"/>
                <w:lang w:val="en-US" w:eastAsia="zh-CN"/>
              </w:rPr>
              <w:t>840</w:t>
            </w:r>
          </w:p>
        </w:tc>
        <w:tc>
          <w:tcPr>
            <w:tcW w:w="994" w:type="pct"/>
            <w:tcBorders>
              <w:tl2br w:val="nil"/>
              <w:tr2bl w:val="nil"/>
            </w:tcBorders>
            <w:noWrap w:val="0"/>
            <w:vAlign w:val="center"/>
          </w:tcPr>
          <w:p w14:paraId="1336E0FF">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4BDDF45C">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53C61999">
            <w:pPr>
              <w:pStyle w:val="58"/>
              <w:bidi w:val="0"/>
              <w:rPr>
                <w:rFonts w:hint="default"/>
                <w:highlight w:val="none"/>
              </w:rPr>
            </w:pPr>
            <w:r>
              <w:rPr>
                <w:rFonts w:hint="default"/>
                <w:highlight w:val="none"/>
                <w:lang w:val="en-US" w:eastAsia="zh-CN"/>
              </w:rPr>
              <w:t>达标</w:t>
            </w:r>
          </w:p>
        </w:tc>
      </w:tr>
      <w:tr w14:paraId="22DD87F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141E4780">
            <w:pPr>
              <w:pStyle w:val="58"/>
              <w:bidi w:val="0"/>
              <w:rPr>
                <w:rFonts w:hint="default"/>
                <w:highlight w:val="none"/>
              </w:rPr>
            </w:pPr>
          </w:p>
        </w:tc>
        <w:tc>
          <w:tcPr>
            <w:tcW w:w="1430" w:type="pct"/>
            <w:vMerge w:val="continue"/>
            <w:tcBorders>
              <w:tl2br w:val="nil"/>
              <w:tr2bl w:val="nil"/>
            </w:tcBorders>
            <w:noWrap w:val="0"/>
            <w:vAlign w:val="center"/>
          </w:tcPr>
          <w:p w14:paraId="1615C47A">
            <w:pPr>
              <w:pStyle w:val="58"/>
              <w:bidi w:val="0"/>
              <w:rPr>
                <w:rFonts w:hint="default"/>
                <w:highlight w:val="none"/>
              </w:rPr>
            </w:pPr>
          </w:p>
        </w:tc>
        <w:tc>
          <w:tcPr>
            <w:tcW w:w="537" w:type="pct"/>
            <w:vMerge w:val="continue"/>
            <w:tcBorders>
              <w:tl2br w:val="nil"/>
              <w:tr2bl w:val="nil"/>
            </w:tcBorders>
            <w:noWrap w:val="0"/>
            <w:vAlign w:val="center"/>
          </w:tcPr>
          <w:p w14:paraId="338DA1FA">
            <w:pPr>
              <w:pStyle w:val="58"/>
              <w:bidi w:val="0"/>
              <w:rPr>
                <w:rFonts w:hint="default"/>
                <w:highlight w:val="none"/>
                <w:lang w:eastAsia="zh-CN"/>
              </w:rPr>
            </w:pPr>
          </w:p>
        </w:tc>
        <w:tc>
          <w:tcPr>
            <w:tcW w:w="994" w:type="pct"/>
            <w:tcBorders>
              <w:tl2br w:val="nil"/>
              <w:tr2bl w:val="nil"/>
            </w:tcBorders>
            <w:noWrap w:val="0"/>
            <w:vAlign w:val="center"/>
          </w:tcPr>
          <w:p w14:paraId="20F1BF0F">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14FB86AA">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2F9F548A">
            <w:pPr>
              <w:pStyle w:val="58"/>
              <w:bidi w:val="0"/>
              <w:rPr>
                <w:rFonts w:hint="default"/>
                <w:highlight w:val="none"/>
                <w:lang w:val="en-US" w:eastAsia="zh-CN"/>
              </w:rPr>
            </w:pPr>
            <w:r>
              <w:rPr>
                <w:rFonts w:hint="default"/>
                <w:highlight w:val="none"/>
                <w:lang w:val="en-US" w:eastAsia="zh-CN"/>
              </w:rPr>
              <w:t>达标</w:t>
            </w:r>
          </w:p>
        </w:tc>
      </w:tr>
      <w:tr w14:paraId="33E9B39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11715E93">
            <w:pPr>
              <w:pStyle w:val="58"/>
              <w:bidi w:val="0"/>
              <w:rPr>
                <w:rFonts w:hint="default"/>
                <w:highlight w:val="none"/>
              </w:rPr>
            </w:pPr>
          </w:p>
        </w:tc>
        <w:tc>
          <w:tcPr>
            <w:tcW w:w="1430" w:type="pct"/>
            <w:vMerge w:val="restart"/>
            <w:tcBorders>
              <w:tl2br w:val="nil"/>
              <w:tr2bl w:val="nil"/>
            </w:tcBorders>
            <w:noWrap w:val="0"/>
            <w:vAlign w:val="center"/>
          </w:tcPr>
          <w:p w14:paraId="75E46D37">
            <w:pPr>
              <w:pStyle w:val="58"/>
              <w:bidi w:val="0"/>
              <w:rPr>
                <w:rFonts w:hint="default"/>
                <w:highlight w:val="none"/>
              </w:rPr>
            </w:pPr>
            <w:r>
              <w:rPr>
                <w:rFonts w:hint="default"/>
                <w:highlight w:val="none"/>
              </w:rPr>
              <w:t>1，1，2-三氯乙烷（mg/kg）</w:t>
            </w:r>
          </w:p>
        </w:tc>
        <w:tc>
          <w:tcPr>
            <w:tcW w:w="537" w:type="pct"/>
            <w:vMerge w:val="restart"/>
            <w:tcBorders>
              <w:tl2br w:val="nil"/>
              <w:tr2bl w:val="nil"/>
            </w:tcBorders>
            <w:noWrap w:val="0"/>
            <w:vAlign w:val="center"/>
          </w:tcPr>
          <w:p w14:paraId="46CE334C">
            <w:pPr>
              <w:pStyle w:val="58"/>
              <w:bidi w:val="0"/>
              <w:rPr>
                <w:rFonts w:hint="default"/>
                <w:highlight w:val="none"/>
                <w:lang w:val="en-US" w:eastAsia="zh-CN"/>
              </w:rPr>
            </w:pPr>
            <w:r>
              <w:rPr>
                <w:rFonts w:hint="default"/>
                <w:highlight w:val="none"/>
                <w:lang w:val="en-US" w:eastAsia="zh-CN"/>
              </w:rPr>
              <w:t>2.8</w:t>
            </w:r>
          </w:p>
        </w:tc>
        <w:tc>
          <w:tcPr>
            <w:tcW w:w="994" w:type="pct"/>
            <w:tcBorders>
              <w:tl2br w:val="nil"/>
              <w:tr2bl w:val="nil"/>
            </w:tcBorders>
            <w:noWrap w:val="0"/>
            <w:vAlign w:val="center"/>
          </w:tcPr>
          <w:p w14:paraId="25F40884">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242C843D">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798D1A7E">
            <w:pPr>
              <w:pStyle w:val="58"/>
              <w:bidi w:val="0"/>
              <w:rPr>
                <w:rFonts w:hint="default"/>
                <w:highlight w:val="none"/>
              </w:rPr>
            </w:pPr>
            <w:r>
              <w:rPr>
                <w:rFonts w:hint="default"/>
                <w:highlight w:val="none"/>
                <w:lang w:val="en-US" w:eastAsia="zh-CN"/>
              </w:rPr>
              <w:t>达标</w:t>
            </w:r>
          </w:p>
        </w:tc>
      </w:tr>
      <w:tr w14:paraId="048DB68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551A2318">
            <w:pPr>
              <w:pStyle w:val="58"/>
              <w:bidi w:val="0"/>
              <w:rPr>
                <w:rFonts w:hint="default"/>
                <w:highlight w:val="none"/>
              </w:rPr>
            </w:pPr>
          </w:p>
        </w:tc>
        <w:tc>
          <w:tcPr>
            <w:tcW w:w="1430" w:type="pct"/>
            <w:vMerge w:val="continue"/>
            <w:tcBorders>
              <w:tl2br w:val="nil"/>
              <w:tr2bl w:val="nil"/>
            </w:tcBorders>
            <w:noWrap w:val="0"/>
            <w:vAlign w:val="center"/>
          </w:tcPr>
          <w:p w14:paraId="56B09F33">
            <w:pPr>
              <w:pStyle w:val="58"/>
              <w:bidi w:val="0"/>
              <w:rPr>
                <w:rFonts w:hint="default"/>
                <w:highlight w:val="none"/>
              </w:rPr>
            </w:pPr>
          </w:p>
        </w:tc>
        <w:tc>
          <w:tcPr>
            <w:tcW w:w="537" w:type="pct"/>
            <w:vMerge w:val="continue"/>
            <w:tcBorders>
              <w:tl2br w:val="nil"/>
              <w:tr2bl w:val="nil"/>
            </w:tcBorders>
            <w:noWrap w:val="0"/>
            <w:vAlign w:val="center"/>
          </w:tcPr>
          <w:p w14:paraId="759E0D07">
            <w:pPr>
              <w:pStyle w:val="58"/>
              <w:bidi w:val="0"/>
              <w:rPr>
                <w:rFonts w:hint="default"/>
                <w:highlight w:val="none"/>
                <w:lang w:val="en-US" w:eastAsia="zh-CN"/>
              </w:rPr>
            </w:pPr>
          </w:p>
        </w:tc>
        <w:tc>
          <w:tcPr>
            <w:tcW w:w="994" w:type="pct"/>
            <w:tcBorders>
              <w:tl2br w:val="nil"/>
              <w:tr2bl w:val="nil"/>
            </w:tcBorders>
            <w:noWrap w:val="0"/>
            <w:vAlign w:val="center"/>
          </w:tcPr>
          <w:p w14:paraId="177BCAD1">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3AC994D7">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1EA6EFB5">
            <w:pPr>
              <w:pStyle w:val="58"/>
              <w:bidi w:val="0"/>
              <w:rPr>
                <w:rFonts w:hint="default"/>
                <w:highlight w:val="none"/>
                <w:lang w:val="en-US" w:eastAsia="zh-CN"/>
              </w:rPr>
            </w:pPr>
            <w:r>
              <w:rPr>
                <w:rFonts w:hint="default"/>
                <w:highlight w:val="none"/>
                <w:lang w:val="en-US" w:eastAsia="zh-CN"/>
              </w:rPr>
              <w:t>达标</w:t>
            </w:r>
          </w:p>
        </w:tc>
      </w:tr>
      <w:tr w14:paraId="3F5AC37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47211E92">
            <w:pPr>
              <w:pStyle w:val="58"/>
              <w:bidi w:val="0"/>
              <w:rPr>
                <w:rFonts w:hint="default"/>
                <w:highlight w:val="none"/>
              </w:rPr>
            </w:pPr>
          </w:p>
        </w:tc>
        <w:tc>
          <w:tcPr>
            <w:tcW w:w="1430" w:type="pct"/>
            <w:vMerge w:val="restart"/>
            <w:tcBorders>
              <w:tl2br w:val="nil"/>
              <w:tr2bl w:val="nil"/>
            </w:tcBorders>
            <w:noWrap w:val="0"/>
            <w:vAlign w:val="center"/>
          </w:tcPr>
          <w:p w14:paraId="587A6F02">
            <w:pPr>
              <w:pStyle w:val="58"/>
              <w:bidi w:val="0"/>
              <w:rPr>
                <w:rFonts w:hint="default"/>
                <w:highlight w:val="none"/>
              </w:rPr>
            </w:pPr>
            <w:r>
              <w:rPr>
                <w:rFonts w:hint="default"/>
                <w:highlight w:val="none"/>
              </w:rPr>
              <w:t>三氯乙烯（mg/kg）</w:t>
            </w:r>
          </w:p>
        </w:tc>
        <w:tc>
          <w:tcPr>
            <w:tcW w:w="537" w:type="pct"/>
            <w:vMerge w:val="restart"/>
            <w:tcBorders>
              <w:tl2br w:val="nil"/>
              <w:tr2bl w:val="nil"/>
            </w:tcBorders>
            <w:noWrap w:val="0"/>
            <w:vAlign w:val="center"/>
          </w:tcPr>
          <w:p w14:paraId="01481234">
            <w:pPr>
              <w:pStyle w:val="58"/>
              <w:bidi w:val="0"/>
              <w:rPr>
                <w:rFonts w:hint="default"/>
                <w:highlight w:val="none"/>
                <w:lang w:val="en-US" w:eastAsia="zh-CN"/>
              </w:rPr>
            </w:pPr>
            <w:r>
              <w:rPr>
                <w:rFonts w:hint="default"/>
                <w:highlight w:val="none"/>
                <w:lang w:val="en-US" w:eastAsia="zh-CN"/>
              </w:rPr>
              <w:t>2.8</w:t>
            </w:r>
          </w:p>
        </w:tc>
        <w:tc>
          <w:tcPr>
            <w:tcW w:w="994" w:type="pct"/>
            <w:tcBorders>
              <w:tl2br w:val="nil"/>
              <w:tr2bl w:val="nil"/>
            </w:tcBorders>
            <w:noWrap w:val="0"/>
            <w:vAlign w:val="center"/>
          </w:tcPr>
          <w:p w14:paraId="5D387D51">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12EC9ED1">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495B8005">
            <w:pPr>
              <w:pStyle w:val="58"/>
              <w:bidi w:val="0"/>
              <w:rPr>
                <w:rFonts w:hint="default"/>
                <w:highlight w:val="none"/>
              </w:rPr>
            </w:pPr>
            <w:r>
              <w:rPr>
                <w:rFonts w:hint="default"/>
                <w:highlight w:val="none"/>
                <w:lang w:val="en-US" w:eastAsia="zh-CN"/>
              </w:rPr>
              <w:t>达标</w:t>
            </w:r>
          </w:p>
        </w:tc>
      </w:tr>
      <w:tr w14:paraId="2941E5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0BE72CCE">
            <w:pPr>
              <w:pStyle w:val="58"/>
              <w:bidi w:val="0"/>
              <w:rPr>
                <w:rFonts w:hint="default"/>
                <w:highlight w:val="none"/>
              </w:rPr>
            </w:pPr>
          </w:p>
        </w:tc>
        <w:tc>
          <w:tcPr>
            <w:tcW w:w="1430" w:type="pct"/>
            <w:vMerge w:val="continue"/>
            <w:tcBorders>
              <w:tl2br w:val="nil"/>
              <w:tr2bl w:val="nil"/>
            </w:tcBorders>
            <w:noWrap w:val="0"/>
            <w:vAlign w:val="center"/>
          </w:tcPr>
          <w:p w14:paraId="032011E0">
            <w:pPr>
              <w:pStyle w:val="58"/>
              <w:bidi w:val="0"/>
              <w:rPr>
                <w:rFonts w:hint="default"/>
                <w:highlight w:val="none"/>
              </w:rPr>
            </w:pPr>
          </w:p>
        </w:tc>
        <w:tc>
          <w:tcPr>
            <w:tcW w:w="537" w:type="pct"/>
            <w:vMerge w:val="continue"/>
            <w:tcBorders>
              <w:tl2br w:val="nil"/>
              <w:tr2bl w:val="nil"/>
            </w:tcBorders>
            <w:noWrap w:val="0"/>
            <w:vAlign w:val="center"/>
          </w:tcPr>
          <w:p w14:paraId="22E84281">
            <w:pPr>
              <w:pStyle w:val="58"/>
              <w:bidi w:val="0"/>
              <w:rPr>
                <w:rFonts w:hint="default"/>
                <w:highlight w:val="none"/>
                <w:lang w:val="en-US" w:eastAsia="zh-CN"/>
              </w:rPr>
            </w:pPr>
          </w:p>
        </w:tc>
        <w:tc>
          <w:tcPr>
            <w:tcW w:w="994" w:type="pct"/>
            <w:tcBorders>
              <w:tl2br w:val="nil"/>
              <w:tr2bl w:val="nil"/>
            </w:tcBorders>
            <w:noWrap w:val="0"/>
            <w:vAlign w:val="center"/>
          </w:tcPr>
          <w:p w14:paraId="3C6DC3AD">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1E5B04B3">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0A766D9B">
            <w:pPr>
              <w:pStyle w:val="58"/>
              <w:bidi w:val="0"/>
              <w:rPr>
                <w:rFonts w:hint="default"/>
                <w:highlight w:val="none"/>
                <w:lang w:val="en-US" w:eastAsia="zh-CN"/>
              </w:rPr>
            </w:pPr>
            <w:r>
              <w:rPr>
                <w:rFonts w:hint="default"/>
                <w:highlight w:val="none"/>
                <w:lang w:val="en-US" w:eastAsia="zh-CN"/>
              </w:rPr>
              <w:t>达标</w:t>
            </w:r>
          </w:p>
        </w:tc>
      </w:tr>
      <w:tr w14:paraId="070AC48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5C9BABBB">
            <w:pPr>
              <w:pStyle w:val="58"/>
              <w:bidi w:val="0"/>
              <w:rPr>
                <w:rFonts w:hint="default"/>
                <w:highlight w:val="none"/>
              </w:rPr>
            </w:pPr>
          </w:p>
        </w:tc>
        <w:tc>
          <w:tcPr>
            <w:tcW w:w="1430" w:type="pct"/>
            <w:vMerge w:val="restart"/>
            <w:tcBorders>
              <w:tl2br w:val="nil"/>
              <w:tr2bl w:val="nil"/>
            </w:tcBorders>
            <w:noWrap w:val="0"/>
            <w:vAlign w:val="center"/>
          </w:tcPr>
          <w:p w14:paraId="59D872D4">
            <w:pPr>
              <w:pStyle w:val="58"/>
              <w:bidi w:val="0"/>
              <w:rPr>
                <w:rFonts w:hint="default"/>
                <w:highlight w:val="none"/>
              </w:rPr>
            </w:pPr>
            <w:r>
              <w:rPr>
                <w:rFonts w:hint="default"/>
                <w:highlight w:val="none"/>
              </w:rPr>
              <w:t>1，2，3-三氯丙烷（mg/kg）</w:t>
            </w:r>
          </w:p>
        </w:tc>
        <w:tc>
          <w:tcPr>
            <w:tcW w:w="537" w:type="pct"/>
            <w:vMerge w:val="restart"/>
            <w:tcBorders>
              <w:tl2br w:val="nil"/>
              <w:tr2bl w:val="nil"/>
            </w:tcBorders>
            <w:noWrap w:val="0"/>
            <w:vAlign w:val="center"/>
          </w:tcPr>
          <w:p w14:paraId="0616F264">
            <w:pPr>
              <w:pStyle w:val="58"/>
              <w:bidi w:val="0"/>
              <w:rPr>
                <w:rFonts w:hint="default"/>
                <w:highlight w:val="none"/>
                <w:lang w:val="en-US" w:eastAsia="zh-CN"/>
              </w:rPr>
            </w:pPr>
            <w:r>
              <w:rPr>
                <w:rFonts w:hint="default"/>
                <w:highlight w:val="none"/>
                <w:lang w:val="en-US" w:eastAsia="zh-CN"/>
              </w:rPr>
              <w:t>0.5</w:t>
            </w:r>
          </w:p>
        </w:tc>
        <w:tc>
          <w:tcPr>
            <w:tcW w:w="994" w:type="pct"/>
            <w:tcBorders>
              <w:tl2br w:val="nil"/>
              <w:tr2bl w:val="nil"/>
            </w:tcBorders>
            <w:noWrap w:val="0"/>
            <w:vAlign w:val="center"/>
          </w:tcPr>
          <w:p w14:paraId="647C7DE7">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293CAA04">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0F11A1C7">
            <w:pPr>
              <w:pStyle w:val="58"/>
              <w:bidi w:val="0"/>
              <w:rPr>
                <w:rFonts w:hint="default"/>
                <w:highlight w:val="none"/>
              </w:rPr>
            </w:pPr>
            <w:r>
              <w:rPr>
                <w:rFonts w:hint="default"/>
                <w:highlight w:val="none"/>
                <w:lang w:val="en-US" w:eastAsia="zh-CN"/>
              </w:rPr>
              <w:t>达标</w:t>
            </w:r>
          </w:p>
        </w:tc>
      </w:tr>
      <w:tr w14:paraId="63B345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0A8E78FF">
            <w:pPr>
              <w:pStyle w:val="58"/>
              <w:bidi w:val="0"/>
              <w:rPr>
                <w:rFonts w:hint="default"/>
                <w:highlight w:val="none"/>
              </w:rPr>
            </w:pPr>
          </w:p>
        </w:tc>
        <w:tc>
          <w:tcPr>
            <w:tcW w:w="1430" w:type="pct"/>
            <w:vMerge w:val="continue"/>
            <w:tcBorders>
              <w:tl2br w:val="nil"/>
              <w:tr2bl w:val="nil"/>
            </w:tcBorders>
            <w:noWrap w:val="0"/>
            <w:vAlign w:val="center"/>
          </w:tcPr>
          <w:p w14:paraId="388343F3">
            <w:pPr>
              <w:pStyle w:val="58"/>
              <w:bidi w:val="0"/>
              <w:rPr>
                <w:rFonts w:hint="default"/>
                <w:highlight w:val="none"/>
              </w:rPr>
            </w:pPr>
          </w:p>
        </w:tc>
        <w:tc>
          <w:tcPr>
            <w:tcW w:w="537" w:type="pct"/>
            <w:vMerge w:val="continue"/>
            <w:tcBorders>
              <w:tl2br w:val="nil"/>
              <w:tr2bl w:val="nil"/>
            </w:tcBorders>
            <w:noWrap w:val="0"/>
            <w:vAlign w:val="center"/>
          </w:tcPr>
          <w:p w14:paraId="2D1F58A0">
            <w:pPr>
              <w:pStyle w:val="58"/>
              <w:bidi w:val="0"/>
              <w:rPr>
                <w:rFonts w:hint="default"/>
                <w:highlight w:val="none"/>
                <w:lang w:val="en-US" w:eastAsia="zh-CN"/>
              </w:rPr>
            </w:pPr>
          </w:p>
        </w:tc>
        <w:tc>
          <w:tcPr>
            <w:tcW w:w="994" w:type="pct"/>
            <w:tcBorders>
              <w:tl2br w:val="nil"/>
              <w:tr2bl w:val="nil"/>
            </w:tcBorders>
            <w:noWrap w:val="0"/>
            <w:vAlign w:val="center"/>
          </w:tcPr>
          <w:p w14:paraId="44E13A4C">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0CCBB1F9">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1C2B10A2">
            <w:pPr>
              <w:pStyle w:val="58"/>
              <w:bidi w:val="0"/>
              <w:rPr>
                <w:rFonts w:hint="default"/>
                <w:highlight w:val="none"/>
                <w:lang w:val="en-US" w:eastAsia="zh-CN"/>
              </w:rPr>
            </w:pPr>
            <w:r>
              <w:rPr>
                <w:rFonts w:hint="default"/>
                <w:highlight w:val="none"/>
                <w:lang w:val="en-US" w:eastAsia="zh-CN"/>
              </w:rPr>
              <w:t>达标</w:t>
            </w:r>
          </w:p>
        </w:tc>
      </w:tr>
      <w:tr w14:paraId="4B8C6DB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6163CE56">
            <w:pPr>
              <w:pStyle w:val="58"/>
              <w:bidi w:val="0"/>
              <w:rPr>
                <w:rFonts w:hint="default"/>
                <w:highlight w:val="none"/>
              </w:rPr>
            </w:pPr>
          </w:p>
        </w:tc>
        <w:tc>
          <w:tcPr>
            <w:tcW w:w="1430" w:type="pct"/>
            <w:vMerge w:val="restart"/>
            <w:tcBorders>
              <w:tl2br w:val="nil"/>
              <w:tr2bl w:val="nil"/>
            </w:tcBorders>
            <w:noWrap w:val="0"/>
            <w:vAlign w:val="center"/>
          </w:tcPr>
          <w:p w14:paraId="5F637A31">
            <w:pPr>
              <w:pStyle w:val="58"/>
              <w:bidi w:val="0"/>
              <w:rPr>
                <w:rFonts w:hint="default"/>
                <w:highlight w:val="none"/>
              </w:rPr>
            </w:pPr>
            <w:r>
              <w:rPr>
                <w:rFonts w:hint="default"/>
                <w:highlight w:val="none"/>
              </w:rPr>
              <w:t>氯乙烯（mg/kg）</w:t>
            </w:r>
          </w:p>
        </w:tc>
        <w:tc>
          <w:tcPr>
            <w:tcW w:w="537" w:type="pct"/>
            <w:vMerge w:val="restart"/>
            <w:tcBorders>
              <w:tl2br w:val="nil"/>
              <w:tr2bl w:val="nil"/>
            </w:tcBorders>
            <w:noWrap w:val="0"/>
            <w:vAlign w:val="center"/>
          </w:tcPr>
          <w:p w14:paraId="254A9CC9">
            <w:pPr>
              <w:pStyle w:val="58"/>
              <w:bidi w:val="0"/>
              <w:rPr>
                <w:rFonts w:hint="default"/>
                <w:highlight w:val="none"/>
                <w:lang w:val="en-US" w:eastAsia="zh-CN"/>
              </w:rPr>
            </w:pPr>
            <w:r>
              <w:rPr>
                <w:rFonts w:hint="default"/>
                <w:highlight w:val="none"/>
                <w:lang w:val="en-US" w:eastAsia="zh-CN"/>
              </w:rPr>
              <w:t>0.43</w:t>
            </w:r>
          </w:p>
        </w:tc>
        <w:tc>
          <w:tcPr>
            <w:tcW w:w="994" w:type="pct"/>
            <w:tcBorders>
              <w:tl2br w:val="nil"/>
              <w:tr2bl w:val="nil"/>
            </w:tcBorders>
            <w:noWrap w:val="0"/>
            <w:vAlign w:val="center"/>
          </w:tcPr>
          <w:p w14:paraId="5B49B3B0">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01688958">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14E03ECF">
            <w:pPr>
              <w:pStyle w:val="58"/>
              <w:bidi w:val="0"/>
              <w:rPr>
                <w:rFonts w:hint="default"/>
                <w:highlight w:val="none"/>
              </w:rPr>
            </w:pPr>
            <w:r>
              <w:rPr>
                <w:rFonts w:hint="default"/>
                <w:highlight w:val="none"/>
                <w:lang w:val="en-US" w:eastAsia="zh-CN"/>
              </w:rPr>
              <w:t>达标</w:t>
            </w:r>
          </w:p>
        </w:tc>
      </w:tr>
      <w:tr w14:paraId="25ACB24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67D56A01">
            <w:pPr>
              <w:pStyle w:val="58"/>
              <w:bidi w:val="0"/>
              <w:rPr>
                <w:rFonts w:hint="default"/>
                <w:highlight w:val="none"/>
              </w:rPr>
            </w:pPr>
          </w:p>
        </w:tc>
        <w:tc>
          <w:tcPr>
            <w:tcW w:w="1430" w:type="pct"/>
            <w:vMerge w:val="continue"/>
            <w:tcBorders>
              <w:tl2br w:val="nil"/>
              <w:tr2bl w:val="nil"/>
            </w:tcBorders>
            <w:noWrap w:val="0"/>
            <w:vAlign w:val="center"/>
          </w:tcPr>
          <w:p w14:paraId="4E16F2FF">
            <w:pPr>
              <w:pStyle w:val="58"/>
              <w:bidi w:val="0"/>
              <w:rPr>
                <w:rFonts w:hint="default"/>
                <w:highlight w:val="none"/>
              </w:rPr>
            </w:pPr>
          </w:p>
        </w:tc>
        <w:tc>
          <w:tcPr>
            <w:tcW w:w="537" w:type="pct"/>
            <w:vMerge w:val="continue"/>
            <w:tcBorders>
              <w:tl2br w:val="nil"/>
              <w:tr2bl w:val="nil"/>
            </w:tcBorders>
            <w:noWrap w:val="0"/>
            <w:vAlign w:val="center"/>
          </w:tcPr>
          <w:p w14:paraId="1B2387C9">
            <w:pPr>
              <w:pStyle w:val="58"/>
              <w:bidi w:val="0"/>
              <w:rPr>
                <w:rFonts w:hint="default"/>
                <w:highlight w:val="none"/>
                <w:lang w:val="en-US" w:eastAsia="zh-CN"/>
              </w:rPr>
            </w:pPr>
          </w:p>
        </w:tc>
        <w:tc>
          <w:tcPr>
            <w:tcW w:w="994" w:type="pct"/>
            <w:tcBorders>
              <w:tl2br w:val="nil"/>
              <w:tr2bl w:val="nil"/>
            </w:tcBorders>
            <w:noWrap w:val="0"/>
            <w:vAlign w:val="center"/>
          </w:tcPr>
          <w:p w14:paraId="051EF999">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5FD026A0">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5538E6D2">
            <w:pPr>
              <w:pStyle w:val="58"/>
              <w:bidi w:val="0"/>
              <w:rPr>
                <w:rFonts w:hint="default"/>
                <w:highlight w:val="none"/>
                <w:lang w:val="en-US" w:eastAsia="zh-CN"/>
              </w:rPr>
            </w:pPr>
            <w:r>
              <w:rPr>
                <w:rFonts w:hint="default"/>
                <w:highlight w:val="none"/>
                <w:lang w:val="en-US" w:eastAsia="zh-CN"/>
              </w:rPr>
              <w:t>达标</w:t>
            </w:r>
          </w:p>
        </w:tc>
      </w:tr>
      <w:tr w14:paraId="6232245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108F951D">
            <w:pPr>
              <w:pStyle w:val="58"/>
              <w:bidi w:val="0"/>
              <w:rPr>
                <w:rFonts w:hint="default"/>
                <w:highlight w:val="none"/>
              </w:rPr>
            </w:pPr>
          </w:p>
        </w:tc>
        <w:tc>
          <w:tcPr>
            <w:tcW w:w="1430" w:type="pct"/>
            <w:vMerge w:val="restart"/>
            <w:tcBorders>
              <w:tl2br w:val="nil"/>
              <w:tr2bl w:val="nil"/>
            </w:tcBorders>
            <w:noWrap w:val="0"/>
            <w:vAlign w:val="center"/>
          </w:tcPr>
          <w:p w14:paraId="20AE0B68">
            <w:pPr>
              <w:pStyle w:val="58"/>
              <w:bidi w:val="0"/>
              <w:rPr>
                <w:rFonts w:hint="default"/>
                <w:highlight w:val="none"/>
              </w:rPr>
            </w:pPr>
            <w:r>
              <w:rPr>
                <w:rFonts w:hint="default"/>
                <w:highlight w:val="none"/>
              </w:rPr>
              <w:t>苯（mg/kg）</w:t>
            </w:r>
          </w:p>
        </w:tc>
        <w:tc>
          <w:tcPr>
            <w:tcW w:w="537" w:type="pct"/>
            <w:vMerge w:val="restart"/>
            <w:tcBorders>
              <w:tl2br w:val="nil"/>
              <w:tr2bl w:val="nil"/>
            </w:tcBorders>
            <w:noWrap w:val="0"/>
            <w:vAlign w:val="center"/>
          </w:tcPr>
          <w:p w14:paraId="06282A13">
            <w:pPr>
              <w:pStyle w:val="58"/>
              <w:bidi w:val="0"/>
              <w:rPr>
                <w:rFonts w:hint="default"/>
                <w:highlight w:val="none"/>
                <w:lang w:val="en-US" w:eastAsia="zh-CN"/>
              </w:rPr>
            </w:pPr>
            <w:r>
              <w:rPr>
                <w:rFonts w:hint="default"/>
                <w:highlight w:val="none"/>
                <w:lang w:val="en-US" w:eastAsia="zh-CN"/>
              </w:rPr>
              <w:t>4</w:t>
            </w:r>
          </w:p>
        </w:tc>
        <w:tc>
          <w:tcPr>
            <w:tcW w:w="994" w:type="pct"/>
            <w:tcBorders>
              <w:tl2br w:val="nil"/>
              <w:tr2bl w:val="nil"/>
            </w:tcBorders>
            <w:noWrap w:val="0"/>
            <w:vAlign w:val="center"/>
          </w:tcPr>
          <w:p w14:paraId="7202BDD7">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3F9C97F9">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45B2BCDD">
            <w:pPr>
              <w:pStyle w:val="58"/>
              <w:bidi w:val="0"/>
              <w:rPr>
                <w:rFonts w:hint="default"/>
                <w:highlight w:val="none"/>
              </w:rPr>
            </w:pPr>
            <w:r>
              <w:rPr>
                <w:rFonts w:hint="default"/>
                <w:highlight w:val="none"/>
                <w:lang w:val="en-US" w:eastAsia="zh-CN"/>
              </w:rPr>
              <w:t>达标</w:t>
            </w:r>
          </w:p>
        </w:tc>
      </w:tr>
      <w:tr w14:paraId="0EF9FF3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0BA0FD82">
            <w:pPr>
              <w:pStyle w:val="58"/>
              <w:bidi w:val="0"/>
              <w:rPr>
                <w:rFonts w:hint="default"/>
                <w:highlight w:val="none"/>
              </w:rPr>
            </w:pPr>
          </w:p>
        </w:tc>
        <w:tc>
          <w:tcPr>
            <w:tcW w:w="1430" w:type="pct"/>
            <w:vMerge w:val="continue"/>
            <w:tcBorders>
              <w:tl2br w:val="nil"/>
              <w:tr2bl w:val="nil"/>
            </w:tcBorders>
            <w:noWrap w:val="0"/>
            <w:vAlign w:val="center"/>
          </w:tcPr>
          <w:p w14:paraId="650703C9">
            <w:pPr>
              <w:pStyle w:val="58"/>
              <w:bidi w:val="0"/>
              <w:rPr>
                <w:rFonts w:hint="default"/>
                <w:highlight w:val="none"/>
              </w:rPr>
            </w:pPr>
          </w:p>
        </w:tc>
        <w:tc>
          <w:tcPr>
            <w:tcW w:w="537" w:type="pct"/>
            <w:vMerge w:val="continue"/>
            <w:tcBorders>
              <w:tl2br w:val="nil"/>
              <w:tr2bl w:val="nil"/>
            </w:tcBorders>
            <w:noWrap w:val="0"/>
            <w:vAlign w:val="center"/>
          </w:tcPr>
          <w:p w14:paraId="6440B165">
            <w:pPr>
              <w:pStyle w:val="58"/>
              <w:bidi w:val="0"/>
              <w:rPr>
                <w:rFonts w:hint="default"/>
                <w:highlight w:val="none"/>
              </w:rPr>
            </w:pPr>
          </w:p>
        </w:tc>
        <w:tc>
          <w:tcPr>
            <w:tcW w:w="994" w:type="pct"/>
            <w:tcBorders>
              <w:tl2br w:val="nil"/>
              <w:tr2bl w:val="nil"/>
            </w:tcBorders>
            <w:noWrap w:val="0"/>
            <w:vAlign w:val="center"/>
          </w:tcPr>
          <w:p w14:paraId="6A4B2BD9">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1C58B083">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35441719">
            <w:pPr>
              <w:pStyle w:val="58"/>
              <w:bidi w:val="0"/>
              <w:rPr>
                <w:rFonts w:hint="default"/>
                <w:highlight w:val="none"/>
                <w:lang w:val="en-US" w:eastAsia="zh-CN"/>
              </w:rPr>
            </w:pPr>
            <w:r>
              <w:rPr>
                <w:rFonts w:hint="default"/>
                <w:highlight w:val="none"/>
                <w:lang w:val="en-US" w:eastAsia="zh-CN"/>
              </w:rPr>
              <w:t>达标</w:t>
            </w:r>
          </w:p>
        </w:tc>
      </w:tr>
      <w:tr w14:paraId="4BD1DB3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046891C4">
            <w:pPr>
              <w:pStyle w:val="58"/>
              <w:bidi w:val="0"/>
              <w:rPr>
                <w:rFonts w:hint="default"/>
                <w:highlight w:val="none"/>
              </w:rPr>
            </w:pPr>
          </w:p>
        </w:tc>
        <w:tc>
          <w:tcPr>
            <w:tcW w:w="1430" w:type="pct"/>
            <w:vMerge w:val="restart"/>
            <w:tcBorders>
              <w:tl2br w:val="nil"/>
              <w:tr2bl w:val="nil"/>
            </w:tcBorders>
            <w:noWrap w:val="0"/>
            <w:vAlign w:val="center"/>
          </w:tcPr>
          <w:p w14:paraId="776E9337">
            <w:pPr>
              <w:pStyle w:val="58"/>
              <w:bidi w:val="0"/>
              <w:rPr>
                <w:rFonts w:hint="default"/>
                <w:highlight w:val="none"/>
              </w:rPr>
            </w:pPr>
            <w:r>
              <w:rPr>
                <w:rFonts w:hint="default"/>
                <w:highlight w:val="none"/>
              </w:rPr>
              <w:t>氯苯（mg/kg）</w:t>
            </w:r>
          </w:p>
        </w:tc>
        <w:tc>
          <w:tcPr>
            <w:tcW w:w="537" w:type="pct"/>
            <w:vMerge w:val="restart"/>
            <w:tcBorders>
              <w:tl2br w:val="nil"/>
              <w:tr2bl w:val="nil"/>
            </w:tcBorders>
            <w:noWrap w:val="0"/>
            <w:vAlign w:val="center"/>
          </w:tcPr>
          <w:p w14:paraId="63DEC2E8">
            <w:pPr>
              <w:pStyle w:val="58"/>
              <w:bidi w:val="0"/>
              <w:rPr>
                <w:rFonts w:hint="default"/>
                <w:highlight w:val="none"/>
                <w:lang w:val="en-US" w:eastAsia="zh-CN"/>
              </w:rPr>
            </w:pPr>
            <w:r>
              <w:rPr>
                <w:rFonts w:hint="default"/>
                <w:highlight w:val="none"/>
                <w:lang w:val="en-US" w:eastAsia="zh-CN"/>
              </w:rPr>
              <w:t>270</w:t>
            </w:r>
          </w:p>
        </w:tc>
        <w:tc>
          <w:tcPr>
            <w:tcW w:w="994" w:type="pct"/>
            <w:tcBorders>
              <w:tl2br w:val="nil"/>
              <w:tr2bl w:val="nil"/>
            </w:tcBorders>
            <w:noWrap w:val="0"/>
            <w:vAlign w:val="center"/>
          </w:tcPr>
          <w:p w14:paraId="1543ACD0">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770C2A3D">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00939AEE">
            <w:pPr>
              <w:pStyle w:val="58"/>
              <w:bidi w:val="0"/>
              <w:rPr>
                <w:rFonts w:hint="default"/>
                <w:highlight w:val="none"/>
              </w:rPr>
            </w:pPr>
            <w:r>
              <w:rPr>
                <w:rFonts w:hint="default"/>
                <w:highlight w:val="none"/>
                <w:lang w:val="en-US" w:eastAsia="zh-CN"/>
              </w:rPr>
              <w:t>达标</w:t>
            </w:r>
          </w:p>
        </w:tc>
      </w:tr>
      <w:tr w14:paraId="626465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1212AF23">
            <w:pPr>
              <w:pStyle w:val="58"/>
              <w:bidi w:val="0"/>
              <w:rPr>
                <w:rFonts w:hint="default"/>
                <w:highlight w:val="none"/>
              </w:rPr>
            </w:pPr>
          </w:p>
        </w:tc>
        <w:tc>
          <w:tcPr>
            <w:tcW w:w="1430" w:type="pct"/>
            <w:vMerge w:val="continue"/>
            <w:tcBorders>
              <w:tl2br w:val="nil"/>
              <w:tr2bl w:val="nil"/>
            </w:tcBorders>
            <w:noWrap w:val="0"/>
            <w:vAlign w:val="center"/>
          </w:tcPr>
          <w:p w14:paraId="3EE4475B">
            <w:pPr>
              <w:pStyle w:val="58"/>
              <w:bidi w:val="0"/>
              <w:rPr>
                <w:rFonts w:hint="default"/>
                <w:highlight w:val="none"/>
              </w:rPr>
            </w:pPr>
          </w:p>
        </w:tc>
        <w:tc>
          <w:tcPr>
            <w:tcW w:w="537" w:type="pct"/>
            <w:vMerge w:val="continue"/>
            <w:tcBorders>
              <w:tl2br w:val="nil"/>
              <w:tr2bl w:val="nil"/>
            </w:tcBorders>
            <w:noWrap w:val="0"/>
            <w:vAlign w:val="center"/>
          </w:tcPr>
          <w:p w14:paraId="112C6B57">
            <w:pPr>
              <w:pStyle w:val="58"/>
              <w:bidi w:val="0"/>
              <w:rPr>
                <w:rFonts w:hint="default"/>
                <w:highlight w:val="none"/>
              </w:rPr>
            </w:pPr>
          </w:p>
        </w:tc>
        <w:tc>
          <w:tcPr>
            <w:tcW w:w="994" w:type="pct"/>
            <w:tcBorders>
              <w:tl2br w:val="nil"/>
              <w:tr2bl w:val="nil"/>
            </w:tcBorders>
            <w:noWrap w:val="0"/>
            <w:vAlign w:val="center"/>
          </w:tcPr>
          <w:p w14:paraId="2ECFB10F">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3342812B">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0C272586">
            <w:pPr>
              <w:pStyle w:val="58"/>
              <w:bidi w:val="0"/>
              <w:rPr>
                <w:rFonts w:hint="default"/>
                <w:highlight w:val="none"/>
                <w:lang w:val="en-US" w:eastAsia="zh-CN"/>
              </w:rPr>
            </w:pPr>
            <w:r>
              <w:rPr>
                <w:rFonts w:hint="default"/>
                <w:highlight w:val="none"/>
                <w:lang w:val="en-US" w:eastAsia="zh-CN"/>
              </w:rPr>
              <w:t>达标</w:t>
            </w:r>
          </w:p>
        </w:tc>
      </w:tr>
      <w:tr w14:paraId="7F62CD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000E3BD7">
            <w:pPr>
              <w:pStyle w:val="58"/>
              <w:bidi w:val="0"/>
              <w:rPr>
                <w:rFonts w:hint="default"/>
                <w:highlight w:val="none"/>
              </w:rPr>
            </w:pPr>
          </w:p>
        </w:tc>
        <w:tc>
          <w:tcPr>
            <w:tcW w:w="1430" w:type="pct"/>
            <w:vMerge w:val="restart"/>
            <w:tcBorders>
              <w:tl2br w:val="nil"/>
              <w:tr2bl w:val="nil"/>
            </w:tcBorders>
            <w:noWrap w:val="0"/>
            <w:vAlign w:val="center"/>
          </w:tcPr>
          <w:p w14:paraId="46DFFDC2">
            <w:pPr>
              <w:pStyle w:val="58"/>
              <w:bidi w:val="0"/>
              <w:rPr>
                <w:rFonts w:hint="default"/>
                <w:highlight w:val="none"/>
              </w:rPr>
            </w:pPr>
            <w:r>
              <w:rPr>
                <w:rFonts w:hint="default"/>
                <w:highlight w:val="none"/>
              </w:rPr>
              <w:t>1，2-二氯苯（mg/kg）</w:t>
            </w:r>
          </w:p>
        </w:tc>
        <w:tc>
          <w:tcPr>
            <w:tcW w:w="537" w:type="pct"/>
            <w:vMerge w:val="restart"/>
            <w:tcBorders>
              <w:tl2br w:val="nil"/>
              <w:tr2bl w:val="nil"/>
            </w:tcBorders>
            <w:noWrap w:val="0"/>
            <w:vAlign w:val="center"/>
          </w:tcPr>
          <w:p w14:paraId="5DFCA5F7">
            <w:pPr>
              <w:pStyle w:val="58"/>
              <w:bidi w:val="0"/>
              <w:rPr>
                <w:rFonts w:hint="default"/>
                <w:highlight w:val="none"/>
                <w:lang w:val="en-US" w:eastAsia="zh-CN"/>
              </w:rPr>
            </w:pPr>
            <w:r>
              <w:rPr>
                <w:rFonts w:hint="default"/>
                <w:highlight w:val="none"/>
                <w:lang w:val="en-US" w:eastAsia="zh-CN"/>
              </w:rPr>
              <w:t>560</w:t>
            </w:r>
          </w:p>
        </w:tc>
        <w:tc>
          <w:tcPr>
            <w:tcW w:w="994" w:type="pct"/>
            <w:tcBorders>
              <w:tl2br w:val="nil"/>
              <w:tr2bl w:val="nil"/>
            </w:tcBorders>
            <w:noWrap w:val="0"/>
            <w:vAlign w:val="center"/>
          </w:tcPr>
          <w:p w14:paraId="07BD42F4">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608BC476">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6081717A">
            <w:pPr>
              <w:pStyle w:val="58"/>
              <w:bidi w:val="0"/>
              <w:rPr>
                <w:rFonts w:hint="default"/>
                <w:highlight w:val="none"/>
              </w:rPr>
            </w:pPr>
            <w:r>
              <w:rPr>
                <w:rFonts w:hint="default"/>
                <w:highlight w:val="none"/>
                <w:lang w:val="en-US" w:eastAsia="zh-CN"/>
              </w:rPr>
              <w:t>达标</w:t>
            </w:r>
          </w:p>
        </w:tc>
      </w:tr>
      <w:tr w14:paraId="195FE3B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6BFCCA48">
            <w:pPr>
              <w:pStyle w:val="58"/>
              <w:bidi w:val="0"/>
              <w:rPr>
                <w:rFonts w:hint="default"/>
                <w:highlight w:val="none"/>
              </w:rPr>
            </w:pPr>
          </w:p>
        </w:tc>
        <w:tc>
          <w:tcPr>
            <w:tcW w:w="1430" w:type="pct"/>
            <w:vMerge w:val="continue"/>
            <w:tcBorders>
              <w:tl2br w:val="nil"/>
              <w:tr2bl w:val="nil"/>
            </w:tcBorders>
            <w:noWrap w:val="0"/>
            <w:vAlign w:val="center"/>
          </w:tcPr>
          <w:p w14:paraId="571FDCD3">
            <w:pPr>
              <w:pStyle w:val="58"/>
              <w:bidi w:val="0"/>
              <w:rPr>
                <w:rFonts w:hint="default"/>
                <w:highlight w:val="none"/>
              </w:rPr>
            </w:pPr>
          </w:p>
        </w:tc>
        <w:tc>
          <w:tcPr>
            <w:tcW w:w="537" w:type="pct"/>
            <w:vMerge w:val="continue"/>
            <w:tcBorders>
              <w:tl2br w:val="nil"/>
              <w:tr2bl w:val="nil"/>
            </w:tcBorders>
            <w:noWrap w:val="0"/>
            <w:vAlign w:val="center"/>
          </w:tcPr>
          <w:p w14:paraId="6D62087D">
            <w:pPr>
              <w:pStyle w:val="58"/>
              <w:bidi w:val="0"/>
              <w:rPr>
                <w:rFonts w:hint="default"/>
                <w:highlight w:val="none"/>
              </w:rPr>
            </w:pPr>
          </w:p>
        </w:tc>
        <w:tc>
          <w:tcPr>
            <w:tcW w:w="994" w:type="pct"/>
            <w:tcBorders>
              <w:tl2br w:val="nil"/>
              <w:tr2bl w:val="nil"/>
            </w:tcBorders>
            <w:noWrap w:val="0"/>
            <w:vAlign w:val="center"/>
          </w:tcPr>
          <w:p w14:paraId="2CD08323">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029488A7">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4D42BB87">
            <w:pPr>
              <w:pStyle w:val="58"/>
              <w:bidi w:val="0"/>
              <w:rPr>
                <w:rFonts w:hint="default"/>
                <w:highlight w:val="none"/>
                <w:lang w:val="en-US" w:eastAsia="zh-CN"/>
              </w:rPr>
            </w:pPr>
            <w:r>
              <w:rPr>
                <w:rFonts w:hint="default"/>
                <w:highlight w:val="none"/>
                <w:lang w:val="en-US" w:eastAsia="zh-CN"/>
              </w:rPr>
              <w:t>达标</w:t>
            </w:r>
          </w:p>
        </w:tc>
      </w:tr>
      <w:tr w14:paraId="10A742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6AF9E728">
            <w:pPr>
              <w:pStyle w:val="58"/>
              <w:bidi w:val="0"/>
              <w:rPr>
                <w:rFonts w:hint="default"/>
                <w:highlight w:val="none"/>
              </w:rPr>
            </w:pPr>
          </w:p>
        </w:tc>
        <w:tc>
          <w:tcPr>
            <w:tcW w:w="1430" w:type="pct"/>
            <w:vMerge w:val="restart"/>
            <w:tcBorders>
              <w:tl2br w:val="nil"/>
              <w:tr2bl w:val="nil"/>
            </w:tcBorders>
            <w:noWrap w:val="0"/>
            <w:vAlign w:val="center"/>
          </w:tcPr>
          <w:p w14:paraId="2BAEB546">
            <w:pPr>
              <w:pStyle w:val="58"/>
              <w:bidi w:val="0"/>
              <w:rPr>
                <w:rFonts w:hint="default"/>
                <w:highlight w:val="none"/>
              </w:rPr>
            </w:pPr>
            <w:r>
              <w:rPr>
                <w:rFonts w:hint="default"/>
                <w:highlight w:val="none"/>
              </w:rPr>
              <w:t>1，4-二氯苯（mg/kg）</w:t>
            </w:r>
          </w:p>
        </w:tc>
        <w:tc>
          <w:tcPr>
            <w:tcW w:w="537" w:type="pct"/>
            <w:vMerge w:val="restart"/>
            <w:tcBorders>
              <w:tl2br w:val="nil"/>
              <w:tr2bl w:val="nil"/>
            </w:tcBorders>
            <w:noWrap w:val="0"/>
            <w:vAlign w:val="center"/>
          </w:tcPr>
          <w:p w14:paraId="0E3FCD61">
            <w:pPr>
              <w:pStyle w:val="58"/>
              <w:bidi w:val="0"/>
              <w:rPr>
                <w:rFonts w:hint="default"/>
                <w:highlight w:val="none"/>
                <w:lang w:val="en-US" w:eastAsia="zh-CN"/>
              </w:rPr>
            </w:pPr>
            <w:r>
              <w:rPr>
                <w:rFonts w:hint="default"/>
                <w:highlight w:val="none"/>
                <w:lang w:val="en-US" w:eastAsia="zh-CN"/>
              </w:rPr>
              <w:t>20</w:t>
            </w:r>
          </w:p>
        </w:tc>
        <w:tc>
          <w:tcPr>
            <w:tcW w:w="994" w:type="pct"/>
            <w:tcBorders>
              <w:tl2br w:val="nil"/>
              <w:tr2bl w:val="nil"/>
            </w:tcBorders>
            <w:noWrap w:val="0"/>
            <w:vAlign w:val="center"/>
          </w:tcPr>
          <w:p w14:paraId="5D2A28AA">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4DD25473">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222AE1A4">
            <w:pPr>
              <w:pStyle w:val="58"/>
              <w:bidi w:val="0"/>
              <w:rPr>
                <w:rFonts w:hint="default"/>
                <w:highlight w:val="none"/>
              </w:rPr>
            </w:pPr>
            <w:r>
              <w:rPr>
                <w:rFonts w:hint="default"/>
                <w:highlight w:val="none"/>
                <w:lang w:val="en-US" w:eastAsia="zh-CN"/>
              </w:rPr>
              <w:t>达标</w:t>
            </w:r>
          </w:p>
        </w:tc>
      </w:tr>
      <w:tr w14:paraId="7195E7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78273883">
            <w:pPr>
              <w:pStyle w:val="58"/>
              <w:bidi w:val="0"/>
              <w:rPr>
                <w:rFonts w:hint="default"/>
                <w:highlight w:val="none"/>
              </w:rPr>
            </w:pPr>
          </w:p>
        </w:tc>
        <w:tc>
          <w:tcPr>
            <w:tcW w:w="1430" w:type="pct"/>
            <w:vMerge w:val="continue"/>
            <w:tcBorders>
              <w:tl2br w:val="nil"/>
              <w:tr2bl w:val="nil"/>
            </w:tcBorders>
            <w:noWrap w:val="0"/>
            <w:vAlign w:val="center"/>
          </w:tcPr>
          <w:p w14:paraId="49363944">
            <w:pPr>
              <w:pStyle w:val="58"/>
              <w:bidi w:val="0"/>
              <w:rPr>
                <w:rFonts w:hint="default"/>
                <w:highlight w:val="none"/>
              </w:rPr>
            </w:pPr>
          </w:p>
        </w:tc>
        <w:tc>
          <w:tcPr>
            <w:tcW w:w="537" w:type="pct"/>
            <w:vMerge w:val="continue"/>
            <w:tcBorders>
              <w:tl2br w:val="nil"/>
              <w:tr2bl w:val="nil"/>
            </w:tcBorders>
            <w:noWrap w:val="0"/>
            <w:vAlign w:val="center"/>
          </w:tcPr>
          <w:p w14:paraId="50B73CA2">
            <w:pPr>
              <w:pStyle w:val="58"/>
              <w:bidi w:val="0"/>
              <w:rPr>
                <w:rFonts w:hint="default"/>
                <w:highlight w:val="none"/>
              </w:rPr>
            </w:pPr>
          </w:p>
        </w:tc>
        <w:tc>
          <w:tcPr>
            <w:tcW w:w="994" w:type="pct"/>
            <w:tcBorders>
              <w:tl2br w:val="nil"/>
              <w:tr2bl w:val="nil"/>
            </w:tcBorders>
            <w:noWrap w:val="0"/>
            <w:vAlign w:val="center"/>
          </w:tcPr>
          <w:p w14:paraId="0563EACC">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740FEF84">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1E0FEC04">
            <w:pPr>
              <w:pStyle w:val="58"/>
              <w:bidi w:val="0"/>
              <w:rPr>
                <w:rFonts w:hint="default"/>
                <w:highlight w:val="none"/>
                <w:lang w:val="en-US" w:eastAsia="zh-CN"/>
              </w:rPr>
            </w:pPr>
            <w:r>
              <w:rPr>
                <w:rFonts w:hint="default"/>
                <w:highlight w:val="none"/>
                <w:lang w:val="en-US" w:eastAsia="zh-CN"/>
              </w:rPr>
              <w:t>达标</w:t>
            </w:r>
          </w:p>
        </w:tc>
      </w:tr>
      <w:tr w14:paraId="567DF5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48C08E9E">
            <w:pPr>
              <w:pStyle w:val="58"/>
              <w:bidi w:val="0"/>
              <w:rPr>
                <w:rFonts w:hint="default"/>
                <w:highlight w:val="none"/>
              </w:rPr>
            </w:pPr>
          </w:p>
        </w:tc>
        <w:tc>
          <w:tcPr>
            <w:tcW w:w="1430" w:type="pct"/>
            <w:vMerge w:val="restart"/>
            <w:tcBorders>
              <w:tl2br w:val="nil"/>
              <w:tr2bl w:val="nil"/>
            </w:tcBorders>
            <w:noWrap w:val="0"/>
            <w:vAlign w:val="center"/>
          </w:tcPr>
          <w:p w14:paraId="595F5B83">
            <w:pPr>
              <w:pStyle w:val="58"/>
              <w:bidi w:val="0"/>
              <w:rPr>
                <w:rFonts w:hint="default"/>
                <w:highlight w:val="none"/>
              </w:rPr>
            </w:pPr>
            <w:r>
              <w:rPr>
                <w:rFonts w:hint="default"/>
                <w:highlight w:val="none"/>
              </w:rPr>
              <w:t>乙苯（mg/kg）</w:t>
            </w:r>
          </w:p>
        </w:tc>
        <w:tc>
          <w:tcPr>
            <w:tcW w:w="537" w:type="pct"/>
            <w:vMerge w:val="restart"/>
            <w:tcBorders>
              <w:tl2br w:val="nil"/>
              <w:tr2bl w:val="nil"/>
            </w:tcBorders>
            <w:noWrap w:val="0"/>
            <w:vAlign w:val="center"/>
          </w:tcPr>
          <w:p w14:paraId="6D444D44">
            <w:pPr>
              <w:pStyle w:val="58"/>
              <w:bidi w:val="0"/>
              <w:rPr>
                <w:rFonts w:hint="default"/>
                <w:highlight w:val="none"/>
                <w:lang w:val="en-US" w:eastAsia="zh-CN"/>
              </w:rPr>
            </w:pPr>
            <w:r>
              <w:rPr>
                <w:rFonts w:hint="default"/>
                <w:highlight w:val="none"/>
                <w:lang w:val="en-US" w:eastAsia="zh-CN"/>
              </w:rPr>
              <w:t>28</w:t>
            </w:r>
          </w:p>
        </w:tc>
        <w:tc>
          <w:tcPr>
            <w:tcW w:w="994" w:type="pct"/>
            <w:tcBorders>
              <w:tl2br w:val="nil"/>
              <w:tr2bl w:val="nil"/>
            </w:tcBorders>
            <w:noWrap w:val="0"/>
            <w:vAlign w:val="center"/>
          </w:tcPr>
          <w:p w14:paraId="696434D9">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7C93D09E">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7C0B3A03">
            <w:pPr>
              <w:pStyle w:val="58"/>
              <w:bidi w:val="0"/>
              <w:rPr>
                <w:rFonts w:hint="default"/>
                <w:highlight w:val="none"/>
              </w:rPr>
            </w:pPr>
            <w:r>
              <w:rPr>
                <w:rFonts w:hint="default"/>
                <w:highlight w:val="none"/>
                <w:lang w:val="en-US" w:eastAsia="zh-CN"/>
              </w:rPr>
              <w:t>达标</w:t>
            </w:r>
          </w:p>
        </w:tc>
      </w:tr>
      <w:tr w14:paraId="6631B88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3253D8B4">
            <w:pPr>
              <w:pStyle w:val="58"/>
              <w:bidi w:val="0"/>
              <w:rPr>
                <w:rFonts w:hint="default"/>
                <w:highlight w:val="none"/>
              </w:rPr>
            </w:pPr>
          </w:p>
        </w:tc>
        <w:tc>
          <w:tcPr>
            <w:tcW w:w="1430" w:type="pct"/>
            <w:vMerge w:val="continue"/>
            <w:tcBorders>
              <w:tl2br w:val="nil"/>
              <w:tr2bl w:val="nil"/>
            </w:tcBorders>
            <w:noWrap w:val="0"/>
            <w:vAlign w:val="center"/>
          </w:tcPr>
          <w:p w14:paraId="24B266A3">
            <w:pPr>
              <w:pStyle w:val="58"/>
              <w:bidi w:val="0"/>
              <w:rPr>
                <w:rFonts w:hint="default"/>
                <w:highlight w:val="none"/>
              </w:rPr>
            </w:pPr>
          </w:p>
        </w:tc>
        <w:tc>
          <w:tcPr>
            <w:tcW w:w="537" w:type="pct"/>
            <w:vMerge w:val="continue"/>
            <w:tcBorders>
              <w:tl2br w:val="nil"/>
              <w:tr2bl w:val="nil"/>
            </w:tcBorders>
            <w:noWrap w:val="0"/>
            <w:vAlign w:val="center"/>
          </w:tcPr>
          <w:p w14:paraId="71A82FB9">
            <w:pPr>
              <w:pStyle w:val="58"/>
              <w:bidi w:val="0"/>
              <w:rPr>
                <w:rFonts w:hint="default"/>
                <w:highlight w:val="none"/>
              </w:rPr>
            </w:pPr>
          </w:p>
        </w:tc>
        <w:tc>
          <w:tcPr>
            <w:tcW w:w="994" w:type="pct"/>
            <w:tcBorders>
              <w:tl2br w:val="nil"/>
              <w:tr2bl w:val="nil"/>
            </w:tcBorders>
            <w:noWrap w:val="0"/>
            <w:vAlign w:val="center"/>
          </w:tcPr>
          <w:p w14:paraId="1B6B9D52">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15026F12">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4E301534">
            <w:pPr>
              <w:pStyle w:val="58"/>
              <w:bidi w:val="0"/>
              <w:rPr>
                <w:rFonts w:hint="default"/>
                <w:highlight w:val="none"/>
                <w:lang w:val="en-US" w:eastAsia="zh-CN"/>
              </w:rPr>
            </w:pPr>
            <w:r>
              <w:rPr>
                <w:rFonts w:hint="default"/>
                <w:highlight w:val="none"/>
                <w:lang w:val="en-US" w:eastAsia="zh-CN"/>
              </w:rPr>
              <w:t>达标</w:t>
            </w:r>
          </w:p>
        </w:tc>
      </w:tr>
      <w:tr w14:paraId="10020B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3B8444B3">
            <w:pPr>
              <w:pStyle w:val="58"/>
              <w:bidi w:val="0"/>
              <w:rPr>
                <w:rFonts w:hint="default"/>
                <w:highlight w:val="none"/>
              </w:rPr>
            </w:pPr>
          </w:p>
        </w:tc>
        <w:tc>
          <w:tcPr>
            <w:tcW w:w="1430" w:type="pct"/>
            <w:vMerge w:val="restart"/>
            <w:tcBorders>
              <w:tl2br w:val="nil"/>
              <w:tr2bl w:val="nil"/>
            </w:tcBorders>
            <w:noWrap w:val="0"/>
            <w:vAlign w:val="center"/>
          </w:tcPr>
          <w:p w14:paraId="0A1D5FA5">
            <w:pPr>
              <w:pStyle w:val="58"/>
              <w:bidi w:val="0"/>
              <w:rPr>
                <w:rFonts w:hint="default"/>
                <w:highlight w:val="none"/>
              </w:rPr>
            </w:pPr>
            <w:r>
              <w:rPr>
                <w:rFonts w:hint="default"/>
                <w:highlight w:val="none"/>
              </w:rPr>
              <w:t>苯乙烯（mg/kg）</w:t>
            </w:r>
          </w:p>
        </w:tc>
        <w:tc>
          <w:tcPr>
            <w:tcW w:w="537" w:type="pct"/>
            <w:vMerge w:val="restart"/>
            <w:tcBorders>
              <w:tl2br w:val="nil"/>
              <w:tr2bl w:val="nil"/>
            </w:tcBorders>
            <w:noWrap w:val="0"/>
            <w:vAlign w:val="center"/>
          </w:tcPr>
          <w:p w14:paraId="234A97AC">
            <w:pPr>
              <w:pStyle w:val="58"/>
              <w:bidi w:val="0"/>
              <w:rPr>
                <w:rFonts w:hint="default"/>
                <w:highlight w:val="none"/>
                <w:lang w:val="en-US" w:eastAsia="zh-CN"/>
              </w:rPr>
            </w:pPr>
            <w:r>
              <w:rPr>
                <w:rFonts w:hint="default"/>
                <w:highlight w:val="none"/>
                <w:lang w:val="en-US" w:eastAsia="zh-CN"/>
              </w:rPr>
              <w:t>1290</w:t>
            </w:r>
          </w:p>
        </w:tc>
        <w:tc>
          <w:tcPr>
            <w:tcW w:w="994" w:type="pct"/>
            <w:tcBorders>
              <w:tl2br w:val="nil"/>
              <w:tr2bl w:val="nil"/>
            </w:tcBorders>
            <w:noWrap w:val="0"/>
            <w:vAlign w:val="center"/>
          </w:tcPr>
          <w:p w14:paraId="2217D2C1">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4F3D8524">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126183BF">
            <w:pPr>
              <w:pStyle w:val="58"/>
              <w:bidi w:val="0"/>
              <w:rPr>
                <w:rFonts w:hint="default"/>
                <w:highlight w:val="none"/>
              </w:rPr>
            </w:pPr>
            <w:r>
              <w:rPr>
                <w:rFonts w:hint="default"/>
                <w:highlight w:val="none"/>
                <w:lang w:val="en-US" w:eastAsia="zh-CN"/>
              </w:rPr>
              <w:t>达标</w:t>
            </w:r>
          </w:p>
        </w:tc>
      </w:tr>
      <w:tr w14:paraId="1696E03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45740B81">
            <w:pPr>
              <w:pStyle w:val="58"/>
              <w:bidi w:val="0"/>
              <w:rPr>
                <w:rFonts w:hint="default"/>
                <w:highlight w:val="none"/>
              </w:rPr>
            </w:pPr>
          </w:p>
        </w:tc>
        <w:tc>
          <w:tcPr>
            <w:tcW w:w="1430" w:type="pct"/>
            <w:vMerge w:val="continue"/>
            <w:tcBorders>
              <w:tl2br w:val="nil"/>
              <w:tr2bl w:val="nil"/>
            </w:tcBorders>
            <w:noWrap w:val="0"/>
            <w:vAlign w:val="center"/>
          </w:tcPr>
          <w:p w14:paraId="530E190E">
            <w:pPr>
              <w:pStyle w:val="58"/>
              <w:bidi w:val="0"/>
              <w:rPr>
                <w:rFonts w:hint="default"/>
                <w:highlight w:val="none"/>
              </w:rPr>
            </w:pPr>
          </w:p>
        </w:tc>
        <w:tc>
          <w:tcPr>
            <w:tcW w:w="537" w:type="pct"/>
            <w:vMerge w:val="continue"/>
            <w:tcBorders>
              <w:tl2br w:val="nil"/>
              <w:tr2bl w:val="nil"/>
            </w:tcBorders>
            <w:noWrap w:val="0"/>
            <w:vAlign w:val="center"/>
          </w:tcPr>
          <w:p w14:paraId="7FE32721">
            <w:pPr>
              <w:pStyle w:val="58"/>
              <w:bidi w:val="0"/>
              <w:rPr>
                <w:rFonts w:hint="default"/>
                <w:highlight w:val="none"/>
              </w:rPr>
            </w:pPr>
          </w:p>
        </w:tc>
        <w:tc>
          <w:tcPr>
            <w:tcW w:w="994" w:type="pct"/>
            <w:tcBorders>
              <w:tl2br w:val="nil"/>
              <w:tr2bl w:val="nil"/>
            </w:tcBorders>
            <w:noWrap w:val="0"/>
            <w:vAlign w:val="center"/>
          </w:tcPr>
          <w:p w14:paraId="76AE94FE">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6CBB7EE0">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589DB2C6">
            <w:pPr>
              <w:pStyle w:val="58"/>
              <w:bidi w:val="0"/>
              <w:rPr>
                <w:rFonts w:hint="default"/>
                <w:highlight w:val="none"/>
                <w:lang w:val="en-US" w:eastAsia="zh-CN"/>
              </w:rPr>
            </w:pPr>
            <w:r>
              <w:rPr>
                <w:rFonts w:hint="default"/>
                <w:highlight w:val="none"/>
                <w:lang w:val="en-US" w:eastAsia="zh-CN"/>
              </w:rPr>
              <w:t>达标</w:t>
            </w:r>
          </w:p>
        </w:tc>
      </w:tr>
      <w:tr w14:paraId="6E12E1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77CD4CA5">
            <w:pPr>
              <w:pStyle w:val="58"/>
              <w:bidi w:val="0"/>
              <w:rPr>
                <w:rFonts w:hint="default"/>
                <w:highlight w:val="none"/>
              </w:rPr>
            </w:pPr>
          </w:p>
        </w:tc>
        <w:tc>
          <w:tcPr>
            <w:tcW w:w="1430" w:type="pct"/>
            <w:vMerge w:val="restart"/>
            <w:tcBorders>
              <w:tl2br w:val="nil"/>
              <w:tr2bl w:val="nil"/>
            </w:tcBorders>
            <w:noWrap w:val="0"/>
            <w:vAlign w:val="center"/>
          </w:tcPr>
          <w:p w14:paraId="61171C17">
            <w:pPr>
              <w:pStyle w:val="58"/>
              <w:bidi w:val="0"/>
              <w:rPr>
                <w:rFonts w:hint="default"/>
                <w:highlight w:val="none"/>
              </w:rPr>
            </w:pPr>
            <w:r>
              <w:rPr>
                <w:rFonts w:hint="default"/>
                <w:highlight w:val="none"/>
              </w:rPr>
              <w:t>甲苯（mg/kg）</w:t>
            </w:r>
          </w:p>
        </w:tc>
        <w:tc>
          <w:tcPr>
            <w:tcW w:w="537" w:type="pct"/>
            <w:vMerge w:val="restart"/>
            <w:tcBorders>
              <w:tl2br w:val="nil"/>
              <w:tr2bl w:val="nil"/>
            </w:tcBorders>
            <w:noWrap w:val="0"/>
            <w:vAlign w:val="center"/>
          </w:tcPr>
          <w:p w14:paraId="11B6977A">
            <w:pPr>
              <w:pStyle w:val="58"/>
              <w:bidi w:val="0"/>
              <w:rPr>
                <w:rFonts w:hint="default"/>
                <w:highlight w:val="none"/>
                <w:lang w:val="en-US" w:eastAsia="zh-CN"/>
              </w:rPr>
            </w:pPr>
            <w:r>
              <w:rPr>
                <w:rFonts w:hint="default"/>
                <w:highlight w:val="none"/>
                <w:lang w:val="en-US" w:eastAsia="zh-CN"/>
              </w:rPr>
              <w:t>1200</w:t>
            </w:r>
          </w:p>
        </w:tc>
        <w:tc>
          <w:tcPr>
            <w:tcW w:w="994" w:type="pct"/>
            <w:tcBorders>
              <w:tl2br w:val="nil"/>
              <w:tr2bl w:val="nil"/>
            </w:tcBorders>
            <w:noWrap w:val="0"/>
            <w:vAlign w:val="center"/>
          </w:tcPr>
          <w:p w14:paraId="4897542F">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5F79A9A5">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5EDD5545">
            <w:pPr>
              <w:pStyle w:val="58"/>
              <w:bidi w:val="0"/>
              <w:rPr>
                <w:rFonts w:hint="default"/>
                <w:highlight w:val="none"/>
              </w:rPr>
            </w:pPr>
            <w:r>
              <w:rPr>
                <w:rFonts w:hint="default"/>
                <w:highlight w:val="none"/>
                <w:lang w:val="en-US" w:eastAsia="zh-CN"/>
              </w:rPr>
              <w:t>达标</w:t>
            </w:r>
          </w:p>
        </w:tc>
      </w:tr>
      <w:tr w14:paraId="341FBD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240A5873">
            <w:pPr>
              <w:pStyle w:val="58"/>
              <w:bidi w:val="0"/>
              <w:rPr>
                <w:rFonts w:hint="default"/>
                <w:highlight w:val="none"/>
              </w:rPr>
            </w:pPr>
          </w:p>
        </w:tc>
        <w:tc>
          <w:tcPr>
            <w:tcW w:w="1430" w:type="pct"/>
            <w:vMerge w:val="continue"/>
            <w:tcBorders>
              <w:tl2br w:val="nil"/>
              <w:tr2bl w:val="nil"/>
            </w:tcBorders>
            <w:noWrap w:val="0"/>
            <w:vAlign w:val="center"/>
          </w:tcPr>
          <w:p w14:paraId="031FB9AF">
            <w:pPr>
              <w:pStyle w:val="58"/>
              <w:bidi w:val="0"/>
              <w:rPr>
                <w:rFonts w:hint="default"/>
                <w:highlight w:val="none"/>
              </w:rPr>
            </w:pPr>
          </w:p>
        </w:tc>
        <w:tc>
          <w:tcPr>
            <w:tcW w:w="537" w:type="pct"/>
            <w:vMerge w:val="continue"/>
            <w:tcBorders>
              <w:tl2br w:val="nil"/>
              <w:tr2bl w:val="nil"/>
            </w:tcBorders>
            <w:noWrap w:val="0"/>
            <w:vAlign w:val="center"/>
          </w:tcPr>
          <w:p w14:paraId="18BD48FF">
            <w:pPr>
              <w:pStyle w:val="58"/>
              <w:bidi w:val="0"/>
              <w:rPr>
                <w:rFonts w:hint="default"/>
                <w:highlight w:val="none"/>
              </w:rPr>
            </w:pPr>
          </w:p>
        </w:tc>
        <w:tc>
          <w:tcPr>
            <w:tcW w:w="994" w:type="pct"/>
            <w:tcBorders>
              <w:tl2br w:val="nil"/>
              <w:tr2bl w:val="nil"/>
            </w:tcBorders>
            <w:noWrap w:val="0"/>
            <w:vAlign w:val="center"/>
          </w:tcPr>
          <w:p w14:paraId="5E252402">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0143FCB3">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33693356">
            <w:pPr>
              <w:pStyle w:val="58"/>
              <w:bidi w:val="0"/>
              <w:rPr>
                <w:rFonts w:hint="default"/>
                <w:highlight w:val="none"/>
                <w:lang w:val="en-US" w:eastAsia="zh-CN"/>
              </w:rPr>
            </w:pPr>
            <w:r>
              <w:rPr>
                <w:rFonts w:hint="default"/>
                <w:highlight w:val="none"/>
                <w:lang w:val="en-US" w:eastAsia="zh-CN"/>
              </w:rPr>
              <w:t>达标</w:t>
            </w:r>
          </w:p>
        </w:tc>
      </w:tr>
      <w:tr w14:paraId="594872C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3C529467">
            <w:pPr>
              <w:pStyle w:val="58"/>
              <w:bidi w:val="0"/>
              <w:rPr>
                <w:rFonts w:hint="default"/>
                <w:highlight w:val="none"/>
              </w:rPr>
            </w:pPr>
          </w:p>
        </w:tc>
        <w:tc>
          <w:tcPr>
            <w:tcW w:w="1430" w:type="pct"/>
            <w:vMerge w:val="restart"/>
            <w:tcBorders>
              <w:tl2br w:val="nil"/>
              <w:tr2bl w:val="nil"/>
            </w:tcBorders>
            <w:noWrap w:val="0"/>
            <w:vAlign w:val="center"/>
          </w:tcPr>
          <w:p w14:paraId="2C65C1AF">
            <w:pPr>
              <w:pStyle w:val="58"/>
              <w:bidi w:val="0"/>
              <w:rPr>
                <w:rFonts w:hint="default"/>
                <w:highlight w:val="none"/>
              </w:rPr>
            </w:pPr>
            <w:r>
              <w:rPr>
                <w:rFonts w:hint="default"/>
                <w:highlight w:val="none"/>
              </w:rPr>
              <w:t>间二甲苯+对二甲苯（mg/kg）</w:t>
            </w:r>
          </w:p>
        </w:tc>
        <w:tc>
          <w:tcPr>
            <w:tcW w:w="537" w:type="pct"/>
            <w:vMerge w:val="restart"/>
            <w:tcBorders>
              <w:tl2br w:val="nil"/>
              <w:tr2bl w:val="nil"/>
            </w:tcBorders>
            <w:noWrap w:val="0"/>
            <w:vAlign w:val="center"/>
          </w:tcPr>
          <w:p w14:paraId="0ABE8561">
            <w:pPr>
              <w:pStyle w:val="58"/>
              <w:bidi w:val="0"/>
              <w:rPr>
                <w:rFonts w:hint="default"/>
                <w:highlight w:val="none"/>
                <w:lang w:val="en-US" w:eastAsia="zh-CN"/>
              </w:rPr>
            </w:pPr>
            <w:r>
              <w:rPr>
                <w:rFonts w:hint="default"/>
                <w:highlight w:val="none"/>
                <w:lang w:val="en-US" w:eastAsia="zh-CN"/>
              </w:rPr>
              <w:t>570</w:t>
            </w:r>
          </w:p>
        </w:tc>
        <w:tc>
          <w:tcPr>
            <w:tcW w:w="994" w:type="pct"/>
            <w:tcBorders>
              <w:tl2br w:val="nil"/>
              <w:tr2bl w:val="nil"/>
            </w:tcBorders>
            <w:noWrap w:val="0"/>
            <w:vAlign w:val="center"/>
          </w:tcPr>
          <w:p w14:paraId="6278670A">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4674867D">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68EF568C">
            <w:pPr>
              <w:pStyle w:val="58"/>
              <w:bidi w:val="0"/>
              <w:rPr>
                <w:rFonts w:hint="default"/>
                <w:highlight w:val="none"/>
              </w:rPr>
            </w:pPr>
            <w:r>
              <w:rPr>
                <w:rFonts w:hint="default"/>
                <w:highlight w:val="none"/>
                <w:lang w:val="en-US" w:eastAsia="zh-CN"/>
              </w:rPr>
              <w:t>达标</w:t>
            </w:r>
          </w:p>
        </w:tc>
      </w:tr>
      <w:tr w14:paraId="28670E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15BBB096">
            <w:pPr>
              <w:pStyle w:val="58"/>
              <w:bidi w:val="0"/>
              <w:rPr>
                <w:rFonts w:hint="default"/>
                <w:highlight w:val="none"/>
              </w:rPr>
            </w:pPr>
          </w:p>
        </w:tc>
        <w:tc>
          <w:tcPr>
            <w:tcW w:w="1430" w:type="pct"/>
            <w:vMerge w:val="continue"/>
            <w:tcBorders>
              <w:tl2br w:val="nil"/>
              <w:tr2bl w:val="nil"/>
            </w:tcBorders>
            <w:noWrap w:val="0"/>
            <w:vAlign w:val="center"/>
          </w:tcPr>
          <w:p w14:paraId="15A96952">
            <w:pPr>
              <w:pStyle w:val="58"/>
              <w:bidi w:val="0"/>
              <w:rPr>
                <w:rFonts w:hint="default"/>
                <w:highlight w:val="none"/>
              </w:rPr>
            </w:pPr>
          </w:p>
        </w:tc>
        <w:tc>
          <w:tcPr>
            <w:tcW w:w="537" w:type="pct"/>
            <w:vMerge w:val="continue"/>
            <w:tcBorders>
              <w:tl2br w:val="nil"/>
              <w:tr2bl w:val="nil"/>
            </w:tcBorders>
            <w:noWrap w:val="0"/>
            <w:vAlign w:val="center"/>
          </w:tcPr>
          <w:p w14:paraId="133BA7AA">
            <w:pPr>
              <w:pStyle w:val="58"/>
              <w:bidi w:val="0"/>
              <w:rPr>
                <w:rFonts w:hint="default"/>
                <w:highlight w:val="none"/>
              </w:rPr>
            </w:pPr>
          </w:p>
        </w:tc>
        <w:tc>
          <w:tcPr>
            <w:tcW w:w="994" w:type="pct"/>
            <w:tcBorders>
              <w:tl2br w:val="nil"/>
              <w:tr2bl w:val="nil"/>
            </w:tcBorders>
            <w:noWrap w:val="0"/>
            <w:vAlign w:val="center"/>
          </w:tcPr>
          <w:p w14:paraId="0E5B0DCA">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5EDCB146">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4927DBB5">
            <w:pPr>
              <w:pStyle w:val="58"/>
              <w:bidi w:val="0"/>
              <w:rPr>
                <w:rFonts w:hint="default"/>
                <w:highlight w:val="none"/>
                <w:lang w:val="en-US" w:eastAsia="zh-CN"/>
              </w:rPr>
            </w:pPr>
            <w:r>
              <w:rPr>
                <w:rFonts w:hint="default"/>
                <w:highlight w:val="none"/>
                <w:lang w:val="en-US" w:eastAsia="zh-CN"/>
              </w:rPr>
              <w:t>达标</w:t>
            </w:r>
          </w:p>
        </w:tc>
      </w:tr>
      <w:tr w14:paraId="206620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2851769E">
            <w:pPr>
              <w:pStyle w:val="58"/>
              <w:bidi w:val="0"/>
              <w:rPr>
                <w:rFonts w:hint="default"/>
                <w:highlight w:val="none"/>
              </w:rPr>
            </w:pPr>
          </w:p>
        </w:tc>
        <w:tc>
          <w:tcPr>
            <w:tcW w:w="1430" w:type="pct"/>
            <w:vMerge w:val="restart"/>
            <w:tcBorders>
              <w:tl2br w:val="nil"/>
              <w:tr2bl w:val="nil"/>
            </w:tcBorders>
            <w:noWrap w:val="0"/>
            <w:vAlign w:val="center"/>
          </w:tcPr>
          <w:p w14:paraId="1124A1D7">
            <w:pPr>
              <w:pStyle w:val="58"/>
              <w:bidi w:val="0"/>
              <w:rPr>
                <w:rFonts w:hint="default"/>
                <w:highlight w:val="none"/>
              </w:rPr>
            </w:pPr>
            <w:r>
              <w:rPr>
                <w:rFonts w:hint="default"/>
                <w:highlight w:val="none"/>
              </w:rPr>
              <w:t>邻二甲苯（mg/kg）</w:t>
            </w:r>
          </w:p>
        </w:tc>
        <w:tc>
          <w:tcPr>
            <w:tcW w:w="537" w:type="pct"/>
            <w:vMerge w:val="restart"/>
            <w:tcBorders>
              <w:tl2br w:val="nil"/>
              <w:tr2bl w:val="nil"/>
            </w:tcBorders>
            <w:noWrap w:val="0"/>
            <w:vAlign w:val="center"/>
          </w:tcPr>
          <w:p w14:paraId="710B5059">
            <w:pPr>
              <w:pStyle w:val="58"/>
              <w:bidi w:val="0"/>
              <w:rPr>
                <w:rFonts w:hint="default"/>
                <w:highlight w:val="none"/>
                <w:lang w:val="en-US" w:eastAsia="zh-CN"/>
              </w:rPr>
            </w:pPr>
            <w:r>
              <w:rPr>
                <w:rFonts w:hint="default"/>
                <w:highlight w:val="none"/>
                <w:lang w:val="en-US" w:eastAsia="zh-CN"/>
              </w:rPr>
              <w:t>640</w:t>
            </w:r>
          </w:p>
        </w:tc>
        <w:tc>
          <w:tcPr>
            <w:tcW w:w="994" w:type="pct"/>
            <w:tcBorders>
              <w:tl2br w:val="nil"/>
              <w:tr2bl w:val="nil"/>
            </w:tcBorders>
            <w:noWrap w:val="0"/>
            <w:vAlign w:val="center"/>
          </w:tcPr>
          <w:p w14:paraId="5EA60AB7">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6860DF81">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43F3DF2E">
            <w:pPr>
              <w:pStyle w:val="58"/>
              <w:bidi w:val="0"/>
              <w:rPr>
                <w:rFonts w:hint="default"/>
                <w:highlight w:val="none"/>
              </w:rPr>
            </w:pPr>
            <w:r>
              <w:rPr>
                <w:rFonts w:hint="default"/>
                <w:highlight w:val="none"/>
                <w:lang w:val="en-US" w:eastAsia="zh-CN"/>
              </w:rPr>
              <w:t>达标</w:t>
            </w:r>
          </w:p>
        </w:tc>
      </w:tr>
      <w:tr w14:paraId="1CDBD0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3E06F5AB">
            <w:pPr>
              <w:pStyle w:val="58"/>
              <w:bidi w:val="0"/>
              <w:rPr>
                <w:rFonts w:hint="default"/>
                <w:highlight w:val="none"/>
              </w:rPr>
            </w:pPr>
          </w:p>
        </w:tc>
        <w:tc>
          <w:tcPr>
            <w:tcW w:w="1430" w:type="pct"/>
            <w:vMerge w:val="continue"/>
            <w:tcBorders>
              <w:tl2br w:val="nil"/>
              <w:tr2bl w:val="nil"/>
            </w:tcBorders>
            <w:noWrap w:val="0"/>
            <w:vAlign w:val="center"/>
          </w:tcPr>
          <w:p w14:paraId="4E03E21C">
            <w:pPr>
              <w:pStyle w:val="58"/>
              <w:bidi w:val="0"/>
              <w:rPr>
                <w:rFonts w:hint="default"/>
                <w:highlight w:val="none"/>
              </w:rPr>
            </w:pPr>
          </w:p>
        </w:tc>
        <w:tc>
          <w:tcPr>
            <w:tcW w:w="537" w:type="pct"/>
            <w:vMerge w:val="continue"/>
            <w:tcBorders>
              <w:tl2br w:val="nil"/>
              <w:tr2bl w:val="nil"/>
            </w:tcBorders>
            <w:noWrap w:val="0"/>
            <w:vAlign w:val="center"/>
          </w:tcPr>
          <w:p w14:paraId="306B9B87">
            <w:pPr>
              <w:pStyle w:val="58"/>
              <w:bidi w:val="0"/>
              <w:rPr>
                <w:rFonts w:hint="default"/>
                <w:highlight w:val="none"/>
              </w:rPr>
            </w:pPr>
          </w:p>
        </w:tc>
        <w:tc>
          <w:tcPr>
            <w:tcW w:w="994" w:type="pct"/>
            <w:tcBorders>
              <w:tl2br w:val="nil"/>
              <w:tr2bl w:val="nil"/>
            </w:tcBorders>
            <w:noWrap w:val="0"/>
            <w:vAlign w:val="center"/>
          </w:tcPr>
          <w:p w14:paraId="1149ED57">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64DDEF6B">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0711FC76">
            <w:pPr>
              <w:pStyle w:val="58"/>
              <w:bidi w:val="0"/>
              <w:rPr>
                <w:rFonts w:hint="default"/>
                <w:highlight w:val="none"/>
                <w:lang w:val="en-US" w:eastAsia="zh-CN"/>
              </w:rPr>
            </w:pPr>
            <w:r>
              <w:rPr>
                <w:rFonts w:hint="default"/>
                <w:highlight w:val="none"/>
                <w:lang w:val="en-US" w:eastAsia="zh-CN"/>
              </w:rPr>
              <w:t>达标</w:t>
            </w:r>
          </w:p>
        </w:tc>
      </w:tr>
      <w:tr w14:paraId="5369DD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restart"/>
            <w:tcBorders>
              <w:tl2br w:val="nil"/>
              <w:tr2bl w:val="nil"/>
            </w:tcBorders>
            <w:noWrap w:val="0"/>
            <w:vAlign w:val="center"/>
          </w:tcPr>
          <w:p w14:paraId="2B88D9D7">
            <w:pPr>
              <w:pStyle w:val="58"/>
              <w:bidi w:val="0"/>
              <w:rPr>
                <w:rFonts w:hint="default"/>
                <w:highlight w:val="none"/>
              </w:rPr>
            </w:pPr>
            <w:r>
              <w:rPr>
                <w:rFonts w:hint="default"/>
                <w:highlight w:val="none"/>
              </w:rPr>
              <w:t>半挥发性有机物</w:t>
            </w:r>
          </w:p>
        </w:tc>
        <w:tc>
          <w:tcPr>
            <w:tcW w:w="1430" w:type="pct"/>
            <w:vMerge w:val="restart"/>
            <w:tcBorders>
              <w:tl2br w:val="nil"/>
              <w:tr2bl w:val="nil"/>
            </w:tcBorders>
            <w:noWrap w:val="0"/>
            <w:vAlign w:val="center"/>
          </w:tcPr>
          <w:p w14:paraId="3E99BCE2">
            <w:pPr>
              <w:pStyle w:val="58"/>
              <w:bidi w:val="0"/>
              <w:rPr>
                <w:rFonts w:hint="default"/>
                <w:highlight w:val="none"/>
              </w:rPr>
            </w:pPr>
            <w:r>
              <w:rPr>
                <w:rFonts w:hint="default"/>
                <w:highlight w:val="none"/>
              </w:rPr>
              <w:t>硝基苯（mg/kg）</w:t>
            </w:r>
          </w:p>
        </w:tc>
        <w:tc>
          <w:tcPr>
            <w:tcW w:w="537" w:type="pct"/>
            <w:vMerge w:val="restart"/>
            <w:tcBorders>
              <w:tl2br w:val="nil"/>
              <w:tr2bl w:val="nil"/>
            </w:tcBorders>
            <w:noWrap w:val="0"/>
            <w:vAlign w:val="center"/>
          </w:tcPr>
          <w:p w14:paraId="3F40FB02">
            <w:pPr>
              <w:pStyle w:val="58"/>
              <w:bidi w:val="0"/>
              <w:rPr>
                <w:rFonts w:hint="default"/>
                <w:highlight w:val="none"/>
                <w:lang w:val="en-US" w:eastAsia="zh-CN"/>
              </w:rPr>
            </w:pPr>
            <w:r>
              <w:rPr>
                <w:rFonts w:hint="default"/>
                <w:highlight w:val="none"/>
                <w:lang w:val="en-US" w:eastAsia="zh-CN"/>
              </w:rPr>
              <w:t>76</w:t>
            </w:r>
          </w:p>
        </w:tc>
        <w:tc>
          <w:tcPr>
            <w:tcW w:w="994" w:type="pct"/>
            <w:tcBorders>
              <w:tl2br w:val="nil"/>
              <w:tr2bl w:val="nil"/>
            </w:tcBorders>
            <w:noWrap w:val="0"/>
            <w:vAlign w:val="center"/>
          </w:tcPr>
          <w:p w14:paraId="7B5A535C">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4A9B8DA4">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6BBA44DE">
            <w:pPr>
              <w:pStyle w:val="58"/>
              <w:bidi w:val="0"/>
              <w:rPr>
                <w:rFonts w:hint="default"/>
                <w:highlight w:val="none"/>
              </w:rPr>
            </w:pPr>
            <w:r>
              <w:rPr>
                <w:rFonts w:hint="default"/>
                <w:highlight w:val="none"/>
                <w:lang w:val="en-US" w:eastAsia="zh-CN"/>
              </w:rPr>
              <w:t>达标</w:t>
            </w:r>
          </w:p>
        </w:tc>
      </w:tr>
      <w:tr w14:paraId="1890666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18D6568B">
            <w:pPr>
              <w:pStyle w:val="58"/>
              <w:bidi w:val="0"/>
              <w:rPr>
                <w:rFonts w:hint="default"/>
                <w:highlight w:val="none"/>
              </w:rPr>
            </w:pPr>
          </w:p>
        </w:tc>
        <w:tc>
          <w:tcPr>
            <w:tcW w:w="1430" w:type="pct"/>
            <w:vMerge w:val="continue"/>
            <w:tcBorders>
              <w:tl2br w:val="nil"/>
              <w:tr2bl w:val="nil"/>
            </w:tcBorders>
            <w:noWrap w:val="0"/>
            <w:vAlign w:val="center"/>
          </w:tcPr>
          <w:p w14:paraId="712AB6DE">
            <w:pPr>
              <w:pStyle w:val="58"/>
              <w:bidi w:val="0"/>
              <w:rPr>
                <w:rFonts w:hint="default"/>
                <w:highlight w:val="none"/>
              </w:rPr>
            </w:pPr>
          </w:p>
        </w:tc>
        <w:tc>
          <w:tcPr>
            <w:tcW w:w="537" w:type="pct"/>
            <w:vMerge w:val="continue"/>
            <w:tcBorders>
              <w:tl2br w:val="nil"/>
              <w:tr2bl w:val="nil"/>
            </w:tcBorders>
            <w:noWrap w:val="0"/>
            <w:vAlign w:val="center"/>
          </w:tcPr>
          <w:p w14:paraId="46E76103">
            <w:pPr>
              <w:pStyle w:val="58"/>
              <w:bidi w:val="0"/>
              <w:rPr>
                <w:rFonts w:hint="default"/>
                <w:highlight w:val="none"/>
              </w:rPr>
            </w:pPr>
          </w:p>
        </w:tc>
        <w:tc>
          <w:tcPr>
            <w:tcW w:w="994" w:type="pct"/>
            <w:tcBorders>
              <w:tl2br w:val="nil"/>
              <w:tr2bl w:val="nil"/>
            </w:tcBorders>
            <w:noWrap w:val="0"/>
            <w:vAlign w:val="center"/>
          </w:tcPr>
          <w:p w14:paraId="6C1FD196">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58FB7F69">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59636A08">
            <w:pPr>
              <w:pStyle w:val="58"/>
              <w:bidi w:val="0"/>
              <w:rPr>
                <w:rFonts w:hint="default"/>
                <w:highlight w:val="none"/>
                <w:lang w:val="en-US" w:eastAsia="zh-CN"/>
              </w:rPr>
            </w:pPr>
            <w:r>
              <w:rPr>
                <w:rFonts w:hint="default"/>
                <w:highlight w:val="none"/>
                <w:lang w:val="en-US" w:eastAsia="zh-CN"/>
              </w:rPr>
              <w:t>达标</w:t>
            </w:r>
          </w:p>
        </w:tc>
      </w:tr>
      <w:tr w14:paraId="6025A1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0963FA3E">
            <w:pPr>
              <w:pStyle w:val="58"/>
              <w:bidi w:val="0"/>
              <w:rPr>
                <w:rFonts w:hint="default"/>
                <w:highlight w:val="none"/>
              </w:rPr>
            </w:pPr>
          </w:p>
        </w:tc>
        <w:tc>
          <w:tcPr>
            <w:tcW w:w="1430" w:type="pct"/>
            <w:vMerge w:val="restart"/>
            <w:tcBorders>
              <w:tl2br w:val="nil"/>
              <w:tr2bl w:val="nil"/>
            </w:tcBorders>
            <w:noWrap w:val="0"/>
            <w:vAlign w:val="center"/>
          </w:tcPr>
          <w:p w14:paraId="71FDE6A0">
            <w:pPr>
              <w:pStyle w:val="58"/>
              <w:bidi w:val="0"/>
              <w:rPr>
                <w:rFonts w:hint="default"/>
                <w:highlight w:val="none"/>
              </w:rPr>
            </w:pPr>
            <w:r>
              <w:rPr>
                <w:rFonts w:hint="default"/>
                <w:highlight w:val="none"/>
              </w:rPr>
              <w:t>苯胺（mg/kg）</w:t>
            </w:r>
          </w:p>
        </w:tc>
        <w:tc>
          <w:tcPr>
            <w:tcW w:w="537" w:type="pct"/>
            <w:vMerge w:val="restart"/>
            <w:tcBorders>
              <w:tl2br w:val="nil"/>
              <w:tr2bl w:val="nil"/>
            </w:tcBorders>
            <w:noWrap w:val="0"/>
            <w:vAlign w:val="center"/>
          </w:tcPr>
          <w:p w14:paraId="507EC990">
            <w:pPr>
              <w:pStyle w:val="58"/>
              <w:bidi w:val="0"/>
              <w:rPr>
                <w:rFonts w:hint="default"/>
                <w:highlight w:val="none"/>
                <w:lang w:val="en-US" w:eastAsia="zh-CN"/>
              </w:rPr>
            </w:pPr>
            <w:r>
              <w:rPr>
                <w:rFonts w:hint="default"/>
                <w:highlight w:val="none"/>
                <w:lang w:val="en-US" w:eastAsia="zh-CN"/>
              </w:rPr>
              <w:t>260</w:t>
            </w:r>
          </w:p>
        </w:tc>
        <w:tc>
          <w:tcPr>
            <w:tcW w:w="994" w:type="pct"/>
            <w:tcBorders>
              <w:tl2br w:val="nil"/>
              <w:tr2bl w:val="nil"/>
            </w:tcBorders>
            <w:noWrap w:val="0"/>
            <w:vAlign w:val="center"/>
          </w:tcPr>
          <w:p w14:paraId="2CAF08B7">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4945FDC2">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039ECAB3">
            <w:pPr>
              <w:pStyle w:val="58"/>
              <w:bidi w:val="0"/>
              <w:rPr>
                <w:rFonts w:hint="default"/>
                <w:highlight w:val="none"/>
              </w:rPr>
            </w:pPr>
            <w:r>
              <w:rPr>
                <w:rFonts w:hint="default"/>
                <w:highlight w:val="none"/>
                <w:lang w:val="en-US" w:eastAsia="zh-CN"/>
              </w:rPr>
              <w:t>达标</w:t>
            </w:r>
          </w:p>
        </w:tc>
      </w:tr>
      <w:tr w14:paraId="4971E23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0C055E5C">
            <w:pPr>
              <w:pStyle w:val="58"/>
              <w:bidi w:val="0"/>
              <w:rPr>
                <w:rFonts w:hint="default"/>
                <w:highlight w:val="none"/>
              </w:rPr>
            </w:pPr>
          </w:p>
        </w:tc>
        <w:tc>
          <w:tcPr>
            <w:tcW w:w="1430" w:type="pct"/>
            <w:vMerge w:val="continue"/>
            <w:tcBorders>
              <w:tl2br w:val="nil"/>
              <w:tr2bl w:val="nil"/>
            </w:tcBorders>
            <w:noWrap w:val="0"/>
            <w:vAlign w:val="center"/>
          </w:tcPr>
          <w:p w14:paraId="47B8DF87">
            <w:pPr>
              <w:pStyle w:val="58"/>
              <w:bidi w:val="0"/>
              <w:rPr>
                <w:rFonts w:hint="default"/>
                <w:highlight w:val="none"/>
              </w:rPr>
            </w:pPr>
          </w:p>
        </w:tc>
        <w:tc>
          <w:tcPr>
            <w:tcW w:w="537" w:type="pct"/>
            <w:vMerge w:val="continue"/>
            <w:tcBorders>
              <w:tl2br w:val="nil"/>
              <w:tr2bl w:val="nil"/>
            </w:tcBorders>
            <w:noWrap w:val="0"/>
            <w:vAlign w:val="center"/>
          </w:tcPr>
          <w:p w14:paraId="39EBC3B5">
            <w:pPr>
              <w:pStyle w:val="58"/>
              <w:bidi w:val="0"/>
              <w:rPr>
                <w:rFonts w:hint="default"/>
                <w:highlight w:val="none"/>
              </w:rPr>
            </w:pPr>
          </w:p>
        </w:tc>
        <w:tc>
          <w:tcPr>
            <w:tcW w:w="994" w:type="pct"/>
            <w:tcBorders>
              <w:tl2br w:val="nil"/>
              <w:tr2bl w:val="nil"/>
            </w:tcBorders>
            <w:noWrap w:val="0"/>
            <w:vAlign w:val="center"/>
          </w:tcPr>
          <w:p w14:paraId="2C8433E8">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723B02BE">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3CF63A1A">
            <w:pPr>
              <w:pStyle w:val="58"/>
              <w:bidi w:val="0"/>
              <w:rPr>
                <w:rFonts w:hint="default"/>
                <w:highlight w:val="none"/>
                <w:lang w:val="en-US" w:eastAsia="zh-CN"/>
              </w:rPr>
            </w:pPr>
            <w:r>
              <w:rPr>
                <w:rFonts w:hint="default"/>
                <w:highlight w:val="none"/>
                <w:lang w:val="en-US" w:eastAsia="zh-CN"/>
              </w:rPr>
              <w:t>达标</w:t>
            </w:r>
          </w:p>
        </w:tc>
      </w:tr>
      <w:tr w14:paraId="4FB812B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2B5EBA99">
            <w:pPr>
              <w:pStyle w:val="58"/>
              <w:bidi w:val="0"/>
              <w:rPr>
                <w:rFonts w:hint="default"/>
                <w:highlight w:val="none"/>
              </w:rPr>
            </w:pPr>
          </w:p>
        </w:tc>
        <w:tc>
          <w:tcPr>
            <w:tcW w:w="1430" w:type="pct"/>
            <w:vMerge w:val="restart"/>
            <w:tcBorders>
              <w:tl2br w:val="nil"/>
              <w:tr2bl w:val="nil"/>
            </w:tcBorders>
            <w:noWrap w:val="0"/>
            <w:vAlign w:val="center"/>
          </w:tcPr>
          <w:p w14:paraId="0438DB9B">
            <w:pPr>
              <w:pStyle w:val="58"/>
              <w:bidi w:val="0"/>
              <w:rPr>
                <w:rFonts w:hint="default"/>
                <w:highlight w:val="none"/>
              </w:rPr>
            </w:pPr>
            <w:r>
              <w:rPr>
                <w:rFonts w:hint="default"/>
                <w:highlight w:val="none"/>
              </w:rPr>
              <w:t>2-氯酚（mg/kg）</w:t>
            </w:r>
          </w:p>
        </w:tc>
        <w:tc>
          <w:tcPr>
            <w:tcW w:w="537" w:type="pct"/>
            <w:vMerge w:val="restart"/>
            <w:tcBorders>
              <w:tl2br w:val="nil"/>
              <w:tr2bl w:val="nil"/>
            </w:tcBorders>
            <w:noWrap w:val="0"/>
            <w:vAlign w:val="center"/>
          </w:tcPr>
          <w:p w14:paraId="7E66B7A7">
            <w:pPr>
              <w:pStyle w:val="58"/>
              <w:bidi w:val="0"/>
              <w:rPr>
                <w:rFonts w:hint="default"/>
                <w:highlight w:val="none"/>
                <w:lang w:val="en-US" w:eastAsia="zh-CN"/>
              </w:rPr>
            </w:pPr>
            <w:r>
              <w:rPr>
                <w:rFonts w:hint="default"/>
                <w:highlight w:val="none"/>
                <w:lang w:val="en-US" w:eastAsia="zh-CN"/>
              </w:rPr>
              <w:t>2256</w:t>
            </w:r>
          </w:p>
        </w:tc>
        <w:tc>
          <w:tcPr>
            <w:tcW w:w="994" w:type="pct"/>
            <w:tcBorders>
              <w:tl2br w:val="nil"/>
              <w:tr2bl w:val="nil"/>
            </w:tcBorders>
            <w:noWrap w:val="0"/>
            <w:vAlign w:val="center"/>
          </w:tcPr>
          <w:p w14:paraId="468084E1">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5E473E14">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7984E02B">
            <w:pPr>
              <w:pStyle w:val="58"/>
              <w:bidi w:val="0"/>
              <w:rPr>
                <w:rFonts w:hint="default"/>
                <w:highlight w:val="none"/>
              </w:rPr>
            </w:pPr>
            <w:r>
              <w:rPr>
                <w:rFonts w:hint="default"/>
                <w:highlight w:val="none"/>
                <w:lang w:val="en-US" w:eastAsia="zh-CN"/>
              </w:rPr>
              <w:t>达标</w:t>
            </w:r>
          </w:p>
        </w:tc>
      </w:tr>
      <w:tr w14:paraId="25EE39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077CDD7D">
            <w:pPr>
              <w:pStyle w:val="58"/>
              <w:bidi w:val="0"/>
              <w:rPr>
                <w:rFonts w:hint="default"/>
                <w:highlight w:val="none"/>
              </w:rPr>
            </w:pPr>
          </w:p>
        </w:tc>
        <w:tc>
          <w:tcPr>
            <w:tcW w:w="1430" w:type="pct"/>
            <w:vMerge w:val="continue"/>
            <w:tcBorders>
              <w:tl2br w:val="nil"/>
              <w:tr2bl w:val="nil"/>
            </w:tcBorders>
            <w:noWrap w:val="0"/>
            <w:vAlign w:val="center"/>
          </w:tcPr>
          <w:p w14:paraId="4AA14FE0">
            <w:pPr>
              <w:pStyle w:val="58"/>
              <w:bidi w:val="0"/>
              <w:rPr>
                <w:rFonts w:hint="default"/>
                <w:highlight w:val="none"/>
              </w:rPr>
            </w:pPr>
          </w:p>
        </w:tc>
        <w:tc>
          <w:tcPr>
            <w:tcW w:w="537" w:type="pct"/>
            <w:vMerge w:val="continue"/>
            <w:tcBorders>
              <w:tl2br w:val="nil"/>
              <w:tr2bl w:val="nil"/>
            </w:tcBorders>
            <w:noWrap w:val="0"/>
            <w:vAlign w:val="center"/>
          </w:tcPr>
          <w:p w14:paraId="63A0B471">
            <w:pPr>
              <w:pStyle w:val="58"/>
              <w:bidi w:val="0"/>
              <w:rPr>
                <w:rFonts w:hint="default"/>
                <w:highlight w:val="none"/>
              </w:rPr>
            </w:pPr>
          </w:p>
        </w:tc>
        <w:tc>
          <w:tcPr>
            <w:tcW w:w="994" w:type="pct"/>
            <w:tcBorders>
              <w:tl2br w:val="nil"/>
              <w:tr2bl w:val="nil"/>
            </w:tcBorders>
            <w:noWrap w:val="0"/>
            <w:vAlign w:val="center"/>
          </w:tcPr>
          <w:p w14:paraId="7B962308">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1BF46887">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0B27CEFB">
            <w:pPr>
              <w:pStyle w:val="58"/>
              <w:bidi w:val="0"/>
              <w:rPr>
                <w:rFonts w:hint="default"/>
                <w:highlight w:val="none"/>
                <w:lang w:val="en-US" w:eastAsia="zh-CN"/>
              </w:rPr>
            </w:pPr>
            <w:r>
              <w:rPr>
                <w:rFonts w:hint="default"/>
                <w:highlight w:val="none"/>
                <w:lang w:val="en-US" w:eastAsia="zh-CN"/>
              </w:rPr>
              <w:t>达标</w:t>
            </w:r>
          </w:p>
        </w:tc>
      </w:tr>
      <w:tr w14:paraId="54F6DDE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427C69AC">
            <w:pPr>
              <w:pStyle w:val="58"/>
              <w:bidi w:val="0"/>
              <w:rPr>
                <w:rFonts w:hint="default"/>
                <w:highlight w:val="none"/>
              </w:rPr>
            </w:pPr>
          </w:p>
        </w:tc>
        <w:tc>
          <w:tcPr>
            <w:tcW w:w="1430" w:type="pct"/>
            <w:vMerge w:val="restart"/>
            <w:tcBorders>
              <w:tl2br w:val="nil"/>
              <w:tr2bl w:val="nil"/>
            </w:tcBorders>
            <w:noWrap w:val="0"/>
            <w:vAlign w:val="center"/>
          </w:tcPr>
          <w:p w14:paraId="36F9BDCE">
            <w:pPr>
              <w:pStyle w:val="58"/>
              <w:bidi w:val="0"/>
              <w:rPr>
                <w:rFonts w:hint="default"/>
                <w:highlight w:val="none"/>
              </w:rPr>
            </w:pPr>
            <w:r>
              <w:rPr>
                <w:rFonts w:hint="default"/>
                <w:highlight w:val="none"/>
              </w:rPr>
              <w:t>苯并[a]蒽（mg/kg）</w:t>
            </w:r>
          </w:p>
        </w:tc>
        <w:tc>
          <w:tcPr>
            <w:tcW w:w="537" w:type="pct"/>
            <w:vMerge w:val="restart"/>
            <w:tcBorders>
              <w:tl2br w:val="nil"/>
              <w:tr2bl w:val="nil"/>
            </w:tcBorders>
            <w:noWrap w:val="0"/>
            <w:vAlign w:val="center"/>
          </w:tcPr>
          <w:p w14:paraId="43C42A12">
            <w:pPr>
              <w:pStyle w:val="58"/>
              <w:bidi w:val="0"/>
              <w:rPr>
                <w:rFonts w:hint="default"/>
                <w:highlight w:val="none"/>
                <w:lang w:val="en-US" w:eastAsia="zh-CN"/>
              </w:rPr>
            </w:pPr>
            <w:r>
              <w:rPr>
                <w:rFonts w:hint="default"/>
                <w:highlight w:val="none"/>
                <w:lang w:val="en-US" w:eastAsia="zh-CN"/>
              </w:rPr>
              <w:t>15</w:t>
            </w:r>
          </w:p>
        </w:tc>
        <w:tc>
          <w:tcPr>
            <w:tcW w:w="994" w:type="pct"/>
            <w:tcBorders>
              <w:tl2br w:val="nil"/>
              <w:tr2bl w:val="nil"/>
            </w:tcBorders>
            <w:noWrap w:val="0"/>
            <w:vAlign w:val="center"/>
          </w:tcPr>
          <w:p w14:paraId="64234EC2">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4A27F6D2">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41EA1ED2">
            <w:pPr>
              <w:pStyle w:val="58"/>
              <w:bidi w:val="0"/>
              <w:rPr>
                <w:rFonts w:hint="default"/>
                <w:highlight w:val="none"/>
              </w:rPr>
            </w:pPr>
            <w:r>
              <w:rPr>
                <w:rFonts w:hint="default"/>
                <w:highlight w:val="none"/>
                <w:lang w:val="en-US" w:eastAsia="zh-CN"/>
              </w:rPr>
              <w:t>达标</w:t>
            </w:r>
          </w:p>
        </w:tc>
      </w:tr>
      <w:tr w14:paraId="0B8BDDB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6FF0A503">
            <w:pPr>
              <w:pStyle w:val="58"/>
              <w:bidi w:val="0"/>
              <w:rPr>
                <w:rFonts w:hint="default"/>
                <w:highlight w:val="none"/>
              </w:rPr>
            </w:pPr>
          </w:p>
        </w:tc>
        <w:tc>
          <w:tcPr>
            <w:tcW w:w="1430" w:type="pct"/>
            <w:vMerge w:val="continue"/>
            <w:tcBorders>
              <w:tl2br w:val="nil"/>
              <w:tr2bl w:val="nil"/>
            </w:tcBorders>
            <w:noWrap w:val="0"/>
            <w:vAlign w:val="center"/>
          </w:tcPr>
          <w:p w14:paraId="33768175">
            <w:pPr>
              <w:pStyle w:val="58"/>
              <w:bidi w:val="0"/>
              <w:rPr>
                <w:rFonts w:hint="default"/>
                <w:highlight w:val="none"/>
              </w:rPr>
            </w:pPr>
          </w:p>
        </w:tc>
        <w:tc>
          <w:tcPr>
            <w:tcW w:w="537" w:type="pct"/>
            <w:vMerge w:val="continue"/>
            <w:tcBorders>
              <w:tl2br w:val="nil"/>
              <w:tr2bl w:val="nil"/>
            </w:tcBorders>
            <w:noWrap w:val="0"/>
            <w:vAlign w:val="center"/>
          </w:tcPr>
          <w:p w14:paraId="583F51A8">
            <w:pPr>
              <w:pStyle w:val="58"/>
              <w:bidi w:val="0"/>
              <w:rPr>
                <w:rFonts w:hint="default"/>
                <w:highlight w:val="none"/>
              </w:rPr>
            </w:pPr>
          </w:p>
        </w:tc>
        <w:tc>
          <w:tcPr>
            <w:tcW w:w="994" w:type="pct"/>
            <w:tcBorders>
              <w:tl2br w:val="nil"/>
              <w:tr2bl w:val="nil"/>
            </w:tcBorders>
            <w:noWrap w:val="0"/>
            <w:vAlign w:val="center"/>
          </w:tcPr>
          <w:p w14:paraId="49910F1F">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331065E5">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03FA856D">
            <w:pPr>
              <w:pStyle w:val="58"/>
              <w:bidi w:val="0"/>
              <w:rPr>
                <w:rFonts w:hint="default"/>
                <w:highlight w:val="none"/>
                <w:lang w:val="en-US" w:eastAsia="zh-CN"/>
              </w:rPr>
            </w:pPr>
            <w:r>
              <w:rPr>
                <w:rFonts w:hint="default"/>
                <w:highlight w:val="none"/>
                <w:lang w:val="en-US" w:eastAsia="zh-CN"/>
              </w:rPr>
              <w:t>达标</w:t>
            </w:r>
          </w:p>
        </w:tc>
      </w:tr>
      <w:tr w14:paraId="72D16F5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4984EE94">
            <w:pPr>
              <w:pStyle w:val="58"/>
              <w:bidi w:val="0"/>
              <w:rPr>
                <w:rFonts w:hint="default"/>
                <w:highlight w:val="none"/>
              </w:rPr>
            </w:pPr>
          </w:p>
        </w:tc>
        <w:tc>
          <w:tcPr>
            <w:tcW w:w="1430" w:type="pct"/>
            <w:vMerge w:val="restart"/>
            <w:tcBorders>
              <w:tl2br w:val="nil"/>
              <w:tr2bl w:val="nil"/>
            </w:tcBorders>
            <w:noWrap w:val="0"/>
            <w:vAlign w:val="center"/>
          </w:tcPr>
          <w:p w14:paraId="1E015B06">
            <w:pPr>
              <w:pStyle w:val="58"/>
              <w:bidi w:val="0"/>
              <w:rPr>
                <w:rFonts w:hint="default"/>
                <w:highlight w:val="none"/>
              </w:rPr>
            </w:pPr>
            <w:r>
              <w:rPr>
                <w:rFonts w:hint="default"/>
                <w:highlight w:val="none"/>
              </w:rPr>
              <w:t>苯并[a]芘（mg/kg）</w:t>
            </w:r>
          </w:p>
        </w:tc>
        <w:tc>
          <w:tcPr>
            <w:tcW w:w="537" w:type="pct"/>
            <w:vMerge w:val="restart"/>
            <w:tcBorders>
              <w:tl2br w:val="nil"/>
              <w:tr2bl w:val="nil"/>
            </w:tcBorders>
            <w:noWrap w:val="0"/>
            <w:vAlign w:val="center"/>
          </w:tcPr>
          <w:p w14:paraId="708DCBD7">
            <w:pPr>
              <w:pStyle w:val="58"/>
              <w:bidi w:val="0"/>
              <w:rPr>
                <w:rFonts w:hint="default"/>
                <w:highlight w:val="none"/>
                <w:lang w:val="en-US" w:eastAsia="zh-CN"/>
              </w:rPr>
            </w:pPr>
            <w:r>
              <w:rPr>
                <w:rFonts w:hint="default"/>
                <w:highlight w:val="none"/>
                <w:lang w:val="en-US" w:eastAsia="zh-CN"/>
              </w:rPr>
              <w:t>1.5</w:t>
            </w:r>
          </w:p>
        </w:tc>
        <w:tc>
          <w:tcPr>
            <w:tcW w:w="994" w:type="pct"/>
            <w:tcBorders>
              <w:tl2br w:val="nil"/>
              <w:tr2bl w:val="nil"/>
            </w:tcBorders>
            <w:noWrap w:val="0"/>
            <w:vAlign w:val="center"/>
          </w:tcPr>
          <w:p w14:paraId="542DA72B">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747562C1">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41678DDB">
            <w:pPr>
              <w:pStyle w:val="58"/>
              <w:bidi w:val="0"/>
              <w:rPr>
                <w:rFonts w:hint="default"/>
                <w:highlight w:val="none"/>
              </w:rPr>
            </w:pPr>
            <w:r>
              <w:rPr>
                <w:rFonts w:hint="default"/>
                <w:highlight w:val="none"/>
                <w:lang w:val="en-US" w:eastAsia="zh-CN"/>
              </w:rPr>
              <w:t>达标</w:t>
            </w:r>
          </w:p>
        </w:tc>
      </w:tr>
      <w:tr w14:paraId="343B2F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796D7D17">
            <w:pPr>
              <w:pStyle w:val="58"/>
              <w:bidi w:val="0"/>
              <w:rPr>
                <w:rFonts w:hint="default"/>
                <w:highlight w:val="none"/>
              </w:rPr>
            </w:pPr>
          </w:p>
        </w:tc>
        <w:tc>
          <w:tcPr>
            <w:tcW w:w="1430" w:type="pct"/>
            <w:vMerge w:val="continue"/>
            <w:tcBorders>
              <w:tl2br w:val="nil"/>
              <w:tr2bl w:val="nil"/>
            </w:tcBorders>
            <w:noWrap w:val="0"/>
            <w:vAlign w:val="center"/>
          </w:tcPr>
          <w:p w14:paraId="09AC51D0">
            <w:pPr>
              <w:pStyle w:val="58"/>
              <w:bidi w:val="0"/>
              <w:rPr>
                <w:rFonts w:hint="default"/>
                <w:highlight w:val="none"/>
              </w:rPr>
            </w:pPr>
          </w:p>
        </w:tc>
        <w:tc>
          <w:tcPr>
            <w:tcW w:w="537" w:type="pct"/>
            <w:vMerge w:val="continue"/>
            <w:tcBorders>
              <w:tl2br w:val="nil"/>
              <w:tr2bl w:val="nil"/>
            </w:tcBorders>
            <w:noWrap w:val="0"/>
            <w:vAlign w:val="center"/>
          </w:tcPr>
          <w:p w14:paraId="1B7DE2D8">
            <w:pPr>
              <w:pStyle w:val="58"/>
              <w:bidi w:val="0"/>
              <w:rPr>
                <w:rFonts w:hint="default"/>
                <w:highlight w:val="none"/>
              </w:rPr>
            </w:pPr>
          </w:p>
        </w:tc>
        <w:tc>
          <w:tcPr>
            <w:tcW w:w="994" w:type="pct"/>
            <w:tcBorders>
              <w:tl2br w:val="nil"/>
              <w:tr2bl w:val="nil"/>
            </w:tcBorders>
            <w:noWrap w:val="0"/>
            <w:vAlign w:val="center"/>
          </w:tcPr>
          <w:p w14:paraId="4B9430D9">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1AB19B3C">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6A8EE739">
            <w:pPr>
              <w:pStyle w:val="58"/>
              <w:bidi w:val="0"/>
              <w:rPr>
                <w:rFonts w:hint="default"/>
                <w:highlight w:val="none"/>
                <w:lang w:val="en-US" w:eastAsia="zh-CN"/>
              </w:rPr>
            </w:pPr>
            <w:r>
              <w:rPr>
                <w:rFonts w:hint="default"/>
                <w:highlight w:val="none"/>
                <w:lang w:val="en-US" w:eastAsia="zh-CN"/>
              </w:rPr>
              <w:t>达标</w:t>
            </w:r>
          </w:p>
        </w:tc>
      </w:tr>
      <w:tr w14:paraId="2307478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540FCBA1">
            <w:pPr>
              <w:pStyle w:val="58"/>
              <w:bidi w:val="0"/>
              <w:rPr>
                <w:rFonts w:hint="default"/>
                <w:highlight w:val="none"/>
              </w:rPr>
            </w:pPr>
          </w:p>
        </w:tc>
        <w:tc>
          <w:tcPr>
            <w:tcW w:w="1430" w:type="pct"/>
            <w:vMerge w:val="restart"/>
            <w:tcBorders>
              <w:tl2br w:val="nil"/>
              <w:tr2bl w:val="nil"/>
            </w:tcBorders>
            <w:noWrap w:val="0"/>
            <w:vAlign w:val="center"/>
          </w:tcPr>
          <w:p w14:paraId="001C3600">
            <w:pPr>
              <w:pStyle w:val="58"/>
              <w:bidi w:val="0"/>
              <w:rPr>
                <w:rFonts w:hint="default"/>
                <w:highlight w:val="none"/>
              </w:rPr>
            </w:pPr>
            <w:r>
              <w:rPr>
                <w:rFonts w:hint="default"/>
                <w:highlight w:val="none"/>
              </w:rPr>
              <w:t>苯并[b]荧蒽（mg/kg）</w:t>
            </w:r>
          </w:p>
        </w:tc>
        <w:tc>
          <w:tcPr>
            <w:tcW w:w="537" w:type="pct"/>
            <w:vMerge w:val="restart"/>
            <w:tcBorders>
              <w:tl2br w:val="nil"/>
              <w:tr2bl w:val="nil"/>
            </w:tcBorders>
            <w:noWrap w:val="0"/>
            <w:vAlign w:val="center"/>
          </w:tcPr>
          <w:p w14:paraId="324458D6">
            <w:pPr>
              <w:pStyle w:val="58"/>
              <w:bidi w:val="0"/>
              <w:rPr>
                <w:rFonts w:hint="default"/>
                <w:highlight w:val="none"/>
                <w:lang w:val="en-US" w:eastAsia="zh-CN"/>
              </w:rPr>
            </w:pPr>
            <w:r>
              <w:rPr>
                <w:rFonts w:hint="default"/>
                <w:highlight w:val="none"/>
                <w:lang w:val="en-US" w:eastAsia="zh-CN"/>
              </w:rPr>
              <w:t>15</w:t>
            </w:r>
          </w:p>
        </w:tc>
        <w:tc>
          <w:tcPr>
            <w:tcW w:w="994" w:type="pct"/>
            <w:tcBorders>
              <w:tl2br w:val="nil"/>
              <w:tr2bl w:val="nil"/>
            </w:tcBorders>
            <w:noWrap w:val="0"/>
            <w:vAlign w:val="center"/>
          </w:tcPr>
          <w:p w14:paraId="633479AC">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1734D831">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15346A90">
            <w:pPr>
              <w:pStyle w:val="58"/>
              <w:bidi w:val="0"/>
              <w:rPr>
                <w:rFonts w:hint="default"/>
                <w:highlight w:val="none"/>
              </w:rPr>
            </w:pPr>
            <w:r>
              <w:rPr>
                <w:rFonts w:hint="default"/>
                <w:highlight w:val="none"/>
                <w:lang w:val="en-US" w:eastAsia="zh-CN"/>
              </w:rPr>
              <w:t>达标</w:t>
            </w:r>
          </w:p>
        </w:tc>
      </w:tr>
      <w:tr w14:paraId="2D77BDE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0A5FD3C9">
            <w:pPr>
              <w:pStyle w:val="58"/>
              <w:bidi w:val="0"/>
              <w:rPr>
                <w:rFonts w:hint="default"/>
                <w:highlight w:val="none"/>
              </w:rPr>
            </w:pPr>
          </w:p>
        </w:tc>
        <w:tc>
          <w:tcPr>
            <w:tcW w:w="1430" w:type="pct"/>
            <w:vMerge w:val="continue"/>
            <w:tcBorders>
              <w:tl2br w:val="nil"/>
              <w:tr2bl w:val="nil"/>
            </w:tcBorders>
            <w:noWrap w:val="0"/>
            <w:vAlign w:val="center"/>
          </w:tcPr>
          <w:p w14:paraId="6938D15B">
            <w:pPr>
              <w:pStyle w:val="58"/>
              <w:bidi w:val="0"/>
              <w:rPr>
                <w:rFonts w:hint="default"/>
                <w:highlight w:val="none"/>
              </w:rPr>
            </w:pPr>
          </w:p>
        </w:tc>
        <w:tc>
          <w:tcPr>
            <w:tcW w:w="537" w:type="pct"/>
            <w:vMerge w:val="continue"/>
            <w:tcBorders>
              <w:tl2br w:val="nil"/>
              <w:tr2bl w:val="nil"/>
            </w:tcBorders>
            <w:noWrap w:val="0"/>
            <w:vAlign w:val="center"/>
          </w:tcPr>
          <w:p w14:paraId="00613C46">
            <w:pPr>
              <w:pStyle w:val="58"/>
              <w:bidi w:val="0"/>
              <w:rPr>
                <w:rFonts w:hint="default"/>
                <w:highlight w:val="none"/>
              </w:rPr>
            </w:pPr>
          </w:p>
        </w:tc>
        <w:tc>
          <w:tcPr>
            <w:tcW w:w="994" w:type="pct"/>
            <w:tcBorders>
              <w:tl2br w:val="nil"/>
              <w:tr2bl w:val="nil"/>
            </w:tcBorders>
            <w:noWrap w:val="0"/>
            <w:vAlign w:val="center"/>
          </w:tcPr>
          <w:p w14:paraId="63387562">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0D3C2E72">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2D015F03">
            <w:pPr>
              <w:pStyle w:val="58"/>
              <w:bidi w:val="0"/>
              <w:rPr>
                <w:rFonts w:hint="default"/>
                <w:highlight w:val="none"/>
                <w:lang w:val="en-US" w:eastAsia="zh-CN"/>
              </w:rPr>
            </w:pPr>
            <w:r>
              <w:rPr>
                <w:rFonts w:hint="default"/>
                <w:highlight w:val="none"/>
                <w:lang w:val="en-US" w:eastAsia="zh-CN"/>
              </w:rPr>
              <w:t>达标</w:t>
            </w:r>
          </w:p>
        </w:tc>
      </w:tr>
      <w:tr w14:paraId="4A198A1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21556B9E">
            <w:pPr>
              <w:pStyle w:val="58"/>
              <w:bidi w:val="0"/>
              <w:rPr>
                <w:rFonts w:hint="default"/>
                <w:highlight w:val="none"/>
              </w:rPr>
            </w:pPr>
          </w:p>
        </w:tc>
        <w:tc>
          <w:tcPr>
            <w:tcW w:w="1430" w:type="pct"/>
            <w:vMerge w:val="restart"/>
            <w:tcBorders>
              <w:tl2br w:val="nil"/>
              <w:tr2bl w:val="nil"/>
            </w:tcBorders>
            <w:noWrap w:val="0"/>
            <w:vAlign w:val="center"/>
          </w:tcPr>
          <w:p w14:paraId="63F48875">
            <w:pPr>
              <w:pStyle w:val="58"/>
              <w:bidi w:val="0"/>
              <w:rPr>
                <w:rFonts w:hint="default"/>
                <w:highlight w:val="none"/>
              </w:rPr>
            </w:pPr>
            <w:r>
              <w:rPr>
                <w:rFonts w:hint="default"/>
                <w:highlight w:val="none"/>
              </w:rPr>
              <w:t>苯并[k]荧蒽（mg/kg）</w:t>
            </w:r>
          </w:p>
        </w:tc>
        <w:tc>
          <w:tcPr>
            <w:tcW w:w="537" w:type="pct"/>
            <w:vMerge w:val="restart"/>
            <w:tcBorders>
              <w:tl2br w:val="nil"/>
              <w:tr2bl w:val="nil"/>
            </w:tcBorders>
            <w:noWrap w:val="0"/>
            <w:vAlign w:val="center"/>
          </w:tcPr>
          <w:p w14:paraId="1C93DE7A">
            <w:pPr>
              <w:pStyle w:val="58"/>
              <w:bidi w:val="0"/>
              <w:rPr>
                <w:rFonts w:hint="default"/>
                <w:highlight w:val="none"/>
                <w:lang w:val="en-US" w:eastAsia="zh-CN"/>
              </w:rPr>
            </w:pPr>
            <w:r>
              <w:rPr>
                <w:rFonts w:hint="default"/>
                <w:highlight w:val="none"/>
                <w:lang w:val="en-US" w:eastAsia="zh-CN"/>
              </w:rPr>
              <w:t>151</w:t>
            </w:r>
          </w:p>
        </w:tc>
        <w:tc>
          <w:tcPr>
            <w:tcW w:w="994" w:type="pct"/>
            <w:tcBorders>
              <w:tl2br w:val="nil"/>
              <w:tr2bl w:val="nil"/>
            </w:tcBorders>
            <w:noWrap w:val="0"/>
            <w:vAlign w:val="center"/>
          </w:tcPr>
          <w:p w14:paraId="4832D363">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6376EE33">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4E6F525C">
            <w:pPr>
              <w:pStyle w:val="58"/>
              <w:bidi w:val="0"/>
              <w:rPr>
                <w:rFonts w:hint="default"/>
                <w:highlight w:val="none"/>
              </w:rPr>
            </w:pPr>
            <w:r>
              <w:rPr>
                <w:rFonts w:hint="default"/>
                <w:highlight w:val="none"/>
                <w:lang w:val="en-US" w:eastAsia="zh-CN"/>
              </w:rPr>
              <w:t>达标</w:t>
            </w:r>
          </w:p>
        </w:tc>
      </w:tr>
      <w:tr w14:paraId="560FB9B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230DFD05">
            <w:pPr>
              <w:pStyle w:val="58"/>
              <w:bidi w:val="0"/>
              <w:rPr>
                <w:rFonts w:hint="default"/>
                <w:highlight w:val="none"/>
              </w:rPr>
            </w:pPr>
          </w:p>
        </w:tc>
        <w:tc>
          <w:tcPr>
            <w:tcW w:w="1430" w:type="pct"/>
            <w:vMerge w:val="continue"/>
            <w:tcBorders>
              <w:tl2br w:val="nil"/>
              <w:tr2bl w:val="nil"/>
            </w:tcBorders>
            <w:noWrap w:val="0"/>
            <w:vAlign w:val="center"/>
          </w:tcPr>
          <w:p w14:paraId="606993EE">
            <w:pPr>
              <w:pStyle w:val="58"/>
              <w:bidi w:val="0"/>
              <w:rPr>
                <w:rFonts w:hint="default"/>
                <w:highlight w:val="none"/>
              </w:rPr>
            </w:pPr>
          </w:p>
        </w:tc>
        <w:tc>
          <w:tcPr>
            <w:tcW w:w="537" w:type="pct"/>
            <w:vMerge w:val="continue"/>
            <w:tcBorders>
              <w:tl2br w:val="nil"/>
              <w:tr2bl w:val="nil"/>
            </w:tcBorders>
            <w:noWrap w:val="0"/>
            <w:vAlign w:val="center"/>
          </w:tcPr>
          <w:p w14:paraId="511289FB">
            <w:pPr>
              <w:pStyle w:val="58"/>
              <w:bidi w:val="0"/>
              <w:rPr>
                <w:rFonts w:hint="default"/>
                <w:highlight w:val="none"/>
              </w:rPr>
            </w:pPr>
          </w:p>
        </w:tc>
        <w:tc>
          <w:tcPr>
            <w:tcW w:w="994" w:type="pct"/>
            <w:tcBorders>
              <w:tl2br w:val="nil"/>
              <w:tr2bl w:val="nil"/>
            </w:tcBorders>
            <w:noWrap w:val="0"/>
            <w:vAlign w:val="center"/>
          </w:tcPr>
          <w:p w14:paraId="406C04EA">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732BD255">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2DFC0113">
            <w:pPr>
              <w:pStyle w:val="58"/>
              <w:bidi w:val="0"/>
              <w:rPr>
                <w:rFonts w:hint="default"/>
                <w:highlight w:val="none"/>
                <w:lang w:val="en-US" w:eastAsia="zh-CN"/>
              </w:rPr>
            </w:pPr>
            <w:r>
              <w:rPr>
                <w:rFonts w:hint="default"/>
                <w:highlight w:val="none"/>
                <w:lang w:val="en-US" w:eastAsia="zh-CN"/>
              </w:rPr>
              <w:t>达标</w:t>
            </w:r>
          </w:p>
        </w:tc>
      </w:tr>
      <w:tr w14:paraId="6251071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4A87DAAF">
            <w:pPr>
              <w:pStyle w:val="58"/>
              <w:bidi w:val="0"/>
              <w:rPr>
                <w:rFonts w:hint="default"/>
                <w:highlight w:val="none"/>
              </w:rPr>
            </w:pPr>
          </w:p>
        </w:tc>
        <w:tc>
          <w:tcPr>
            <w:tcW w:w="1430" w:type="pct"/>
            <w:vMerge w:val="restart"/>
            <w:tcBorders>
              <w:tl2br w:val="nil"/>
              <w:tr2bl w:val="nil"/>
            </w:tcBorders>
            <w:noWrap w:val="0"/>
            <w:vAlign w:val="center"/>
          </w:tcPr>
          <w:p w14:paraId="02E8ED05">
            <w:pPr>
              <w:pStyle w:val="58"/>
              <w:bidi w:val="0"/>
              <w:rPr>
                <w:rFonts w:hint="default"/>
                <w:highlight w:val="none"/>
              </w:rPr>
            </w:pPr>
            <w:r>
              <w:rPr>
                <w:rFonts w:hint="default"/>
                <w:highlight w:val="none"/>
              </w:rPr>
              <w:t>䓛（mg/kg）</w:t>
            </w:r>
          </w:p>
        </w:tc>
        <w:tc>
          <w:tcPr>
            <w:tcW w:w="537" w:type="pct"/>
            <w:vMerge w:val="restart"/>
            <w:tcBorders>
              <w:tl2br w:val="nil"/>
              <w:tr2bl w:val="nil"/>
            </w:tcBorders>
            <w:noWrap w:val="0"/>
            <w:vAlign w:val="center"/>
          </w:tcPr>
          <w:p w14:paraId="09D22E21">
            <w:pPr>
              <w:pStyle w:val="58"/>
              <w:bidi w:val="0"/>
              <w:rPr>
                <w:rFonts w:hint="default"/>
                <w:highlight w:val="none"/>
                <w:lang w:val="en-US" w:eastAsia="zh-CN"/>
              </w:rPr>
            </w:pPr>
            <w:r>
              <w:rPr>
                <w:rFonts w:hint="default"/>
                <w:highlight w:val="none"/>
                <w:lang w:val="en-US" w:eastAsia="zh-CN"/>
              </w:rPr>
              <w:t>129.3</w:t>
            </w:r>
          </w:p>
        </w:tc>
        <w:tc>
          <w:tcPr>
            <w:tcW w:w="994" w:type="pct"/>
            <w:tcBorders>
              <w:tl2br w:val="nil"/>
              <w:tr2bl w:val="nil"/>
            </w:tcBorders>
            <w:noWrap w:val="0"/>
            <w:vAlign w:val="center"/>
          </w:tcPr>
          <w:p w14:paraId="61E20978">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1BA2D3E2">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760F7075">
            <w:pPr>
              <w:pStyle w:val="58"/>
              <w:bidi w:val="0"/>
              <w:rPr>
                <w:rFonts w:hint="default"/>
                <w:highlight w:val="none"/>
              </w:rPr>
            </w:pPr>
            <w:r>
              <w:rPr>
                <w:rFonts w:hint="default"/>
                <w:highlight w:val="none"/>
                <w:lang w:val="en-US" w:eastAsia="zh-CN"/>
              </w:rPr>
              <w:t>达标</w:t>
            </w:r>
          </w:p>
        </w:tc>
      </w:tr>
      <w:tr w14:paraId="0988B85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044AB9B7">
            <w:pPr>
              <w:pStyle w:val="58"/>
              <w:bidi w:val="0"/>
              <w:rPr>
                <w:rFonts w:hint="default"/>
                <w:highlight w:val="none"/>
              </w:rPr>
            </w:pPr>
          </w:p>
        </w:tc>
        <w:tc>
          <w:tcPr>
            <w:tcW w:w="1430" w:type="pct"/>
            <w:vMerge w:val="continue"/>
            <w:tcBorders>
              <w:tl2br w:val="nil"/>
              <w:tr2bl w:val="nil"/>
            </w:tcBorders>
            <w:noWrap w:val="0"/>
            <w:vAlign w:val="center"/>
          </w:tcPr>
          <w:p w14:paraId="61126DEC">
            <w:pPr>
              <w:pStyle w:val="58"/>
              <w:bidi w:val="0"/>
              <w:rPr>
                <w:rFonts w:hint="default"/>
                <w:highlight w:val="none"/>
              </w:rPr>
            </w:pPr>
          </w:p>
        </w:tc>
        <w:tc>
          <w:tcPr>
            <w:tcW w:w="537" w:type="pct"/>
            <w:vMerge w:val="continue"/>
            <w:tcBorders>
              <w:tl2br w:val="nil"/>
              <w:tr2bl w:val="nil"/>
            </w:tcBorders>
            <w:noWrap w:val="0"/>
            <w:vAlign w:val="center"/>
          </w:tcPr>
          <w:p w14:paraId="4F878702">
            <w:pPr>
              <w:pStyle w:val="58"/>
              <w:bidi w:val="0"/>
              <w:rPr>
                <w:rFonts w:hint="default"/>
                <w:highlight w:val="none"/>
              </w:rPr>
            </w:pPr>
          </w:p>
        </w:tc>
        <w:tc>
          <w:tcPr>
            <w:tcW w:w="994" w:type="pct"/>
            <w:tcBorders>
              <w:tl2br w:val="nil"/>
              <w:tr2bl w:val="nil"/>
            </w:tcBorders>
            <w:noWrap w:val="0"/>
            <w:vAlign w:val="center"/>
          </w:tcPr>
          <w:p w14:paraId="29FCC209">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28CD4893">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5AD3C338">
            <w:pPr>
              <w:pStyle w:val="58"/>
              <w:bidi w:val="0"/>
              <w:rPr>
                <w:rFonts w:hint="default"/>
                <w:highlight w:val="none"/>
                <w:lang w:val="en-US" w:eastAsia="zh-CN"/>
              </w:rPr>
            </w:pPr>
            <w:r>
              <w:rPr>
                <w:rFonts w:hint="default"/>
                <w:highlight w:val="none"/>
                <w:lang w:val="en-US" w:eastAsia="zh-CN"/>
              </w:rPr>
              <w:t>达标</w:t>
            </w:r>
          </w:p>
        </w:tc>
      </w:tr>
      <w:tr w14:paraId="7A7DB11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2D960767">
            <w:pPr>
              <w:pStyle w:val="58"/>
              <w:bidi w:val="0"/>
              <w:rPr>
                <w:rFonts w:hint="default"/>
                <w:highlight w:val="none"/>
              </w:rPr>
            </w:pPr>
          </w:p>
        </w:tc>
        <w:tc>
          <w:tcPr>
            <w:tcW w:w="1430" w:type="pct"/>
            <w:vMerge w:val="restart"/>
            <w:tcBorders>
              <w:tl2br w:val="nil"/>
              <w:tr2bl w:val="nil"/>
            </w:tcBorders>
            <w:noWrap w:val="0"/>
            <w:vAlign w:val="center"/>
          </w:tcPr>
          <w:p w14:paraId="4DC5D935">
            <w:pPr>
              <w:pStyle w:val="58"/>
              <w:bidi w:val="0"/>
              <w:rPr>
                <w:rFonts w:hint="default"/>
                <w:highlight w:val="none"/>
              </w:rPr>
            </w:pPr>
            <w:r>
              <w:rPr>
                <w:rFonts w:hint="default"/>
                <w:highlight w:val="none"/>
              </w:rPr>
              <w:t>二苯并[a，h]蒽（mg/kg）</w:t>
            </w:r>
          </w:p>
        </w:tc>
        <w:tc>
          <w:tcPr>
            <w:tcW w:w="537" w:type="pct"/>
            <w:vMerge w:val="restart"/>
            <w:tcBorders>
              <w:tl2br w:val="nil"/>
              <w:tr2bl w:val="nil"/>
            </w:tcBorders>
            <w:noWrap w:val="0"/>
            <w:vAlign w:val="center"/>
          </w:tcPr>
          <w:p w14:paraId="530FCBEE">
            <w:pPr>
              <w:pStyle w:val="58"/>
              <w:bidi w:val="0"/>
              <w:rPr>
                <w:rFonts w:hint="default"/>
                <w:highlight w:val="none"/>
                <w:lang w:val="en-US" w:eastAsia="zh-CN"/>
              </w:rPr>
            </w:pPr>
            <w:r>
              <w:rPr>
                <w:rFonts w:hint="default"/>
                <w:highlight w:val="none"/>
                <w:lang w:val="en-US" w:eastAsia="zh-CN"/>
              </w:rPr>
              <w:t>1.5</w:t>
            </w:r>
          </w:p>
        </w:tc>
        <w:tc>
          <w:tcPr>
            <w:tcW w:w="994" w:type="pct"/>
            <w:tcBorders>
              <w:tl2br w:val="nil"/>
              <w:tr2bl w:val="nil"/>
            </w:tcBorders>
            <w:noWrap w:val="0"/>
            <w:vAlign w:val="center"/>
          </w:tcPr>
          <w:p w14:paraId="3B5F4897">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709D288E">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73511A5D">
            <w:pPr>
              <w:pStyle w:val="58"/>
              <w:bidi w:val="0"/>
              <w:rPr>
                <w:rFonts w:hint="default"/>
                <w:highlight w:val="none"/>
              </w:rPr>
            </w:pPr>
            <w:r>
              <w:rPr>
                <w:rFonts w:hint="default"/>
                <w:highlight w:val="none"/>
                <w:lang w:val="en-US" w:eastAsia="zh-CN"/>
              </w:rPr>
              <w:t>达标</w:t>
            </w:r>
          </w:p>
        </w:tc>
      </w:tr>
      <w:tr w14:paraId="5BA92F8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710BE3C7">
            <w:pPr>
              <w:pStyle w:val="58"/>
              <w:bidi w:val="0"/>
              <w:rPr>
                <w:rFonts w:hint="default"/>
                <w:highlight w:val="none"/>
              </w:rPr>
            </w:pPr>
          </w:p>
        </w:tc>
        <w:tc>
          <w:tcPr>
            <w:tcW w:w="1430" w:type="pct"/>
            <w:vMerge w:val="continue"/>
            <w:tcBorders>
              <w:tl2br w:val="nil"/>
              <w:tr2bl w:val="nil"/>
            </w:tcBorders>
            <w:noWrap w:val="0"/>
            <w:vAlign w:val="center"/>
          </w:tcPr>
          <w:p w14:paraId="3A7EE871">
            <w:pPr>
              <w:pStyle w:val="58"/>
              <w:bidi w:val="0"/>
              <w:rPr>
                <w:rFonts w:hint="default"/>
                <w:highlight w:val="none"/>
              </w:rPr>
            </w:pPr>
          </w:p>
        </w:tc>
        <w:tc>
          <w:tcPr>
            <w:tcW w:w="537" w:type="pct"/>
            <w:vMerge w:val="continue"/>
            <w:tcBorders>
              <w:tl2br w:val="nil"/>
              <w:tr2bl w:val="nil"/>
            </w:tcBorders>
            <w:noWrap w:val="0"/>
            <w:vAlign w:val="center"/>
          </w:tcPr>
          <w:p w14:paraId="27016AA4">
            <w:pPr>
              <w:pStyle w:val="58"/>
              <w:bidi w:val="0"/>
              <w:rPr>
                <w:rFonts w:hint="default"/>
                <w:highlight w:val="none"/>
              </w:rPr>
            </w:pPr>
          </w:p>
        </w:tc>
        <w:tc>
          <w:tcPr>
            <w:tcW w:w="994" w:type="pct"/>
            <w:tcBorders>
              <w:tl2br w:val="nil"/>
              <w:tr2bl w:val="nil"/>
            </w:tcBorders>
            <w:noWrap w:val="0"/>
            <w:vAlign w:val="center"/>
          </w:tcPr>
          <w:p w14:paraId="31AB2C6C">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46CB3FEC">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1FF12B16">
            <w:pPr>
              <w:pStyle w:val="58"/>
              <w:bidi w:val="0"/>
              <w:rPr>
                <w:rFonts w:hint="default"/>
                <w:highlight w:val="none"/>
                <w:lang w:val="en-US" w:eastAsia="zh-CN"/>
              </w:rPr>
            </w:pPr>
            <w:r>
              <w:rPr>
                <w:rFonts w:hint="default"/>
                <w:highlight w:val="none"/>
                <w:lang w:val="en-US" w:eastAsia="zh-CN"/>
              </w:rPr>
              <w:t>达标</w:t>
            </w:r>
          </w:p>
        </w:tc>
      </w:tr>
      <w:tr w14:paraId="4F4FD1D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234FE7A5">
            <w:pPr>
              <w:pStyle w:val="58"/>
              <w:bidi w:val="0"/>
              <w:rPr>
                <w:rFonts w:hint="default"/>
                <w:highlight w:val="none"/>
              </w:rPr>
            </w:pPr>
          </w:p>
        </w:tc>
        <w:tc>
          <w:tcPr>
            <w:tcW w:w="1430" w:type="pct"/>
            <w:vMerge w:val="restart"/>
            <w:tcBorders>
              <w:tl2br w:val="nil"/>
              <w:tr2bl w:val="nil"/>
            </w:tcBorders>
            <w:noWrap w:val="0"/>
            <w:vAlign w:val="center"/>
          </w:tcPr>
          <w:p w14:paraId="7CD0CD68">
            <w:pPr>
              <w:pStyle w:val="58"/>
              <w:bidi w:val="0"/>
              <w:rPr>
                <w:rFonts w:hint="default"/>
                <w:highlight w:val="none"/>
              </w:rPr>
            </w:pPr>
            <w:r>
              <w:rPr>
                <w:rFonts w:hint="default"/>
                <w:highlight w:val="none"/>
              </w:rPr>
              <w:t>茚并[1，2，3-cd]芘（mg/kg）</w:t>
            </w:r>
          </w:p>
        </w:tc>
        <w:tc>
          <w:tcPr>
            <w:tcW w:w="537" w:type="pct"/>
            <w:vMerge w:val="restart"/>
            <w:tcBorders>
              <w:tl2br w:val="nil"/>
              <w:tr2bl w:val="nil"/>
            </w:tcBorders>
            <w:noWrap w:val="0"/>
            <w:vAlign w:val="center"/>
          </w:tcPr>
          <w:p w14:paraId="6C456CBA">
            <w:pPr>
              <w:pStyle w:val="58"/>
              <w:bidi w:val="0"/>
              <w:rPr>
                <w:rFonts w:hint="default"/>
                <w:highlight w:val="none"/>
                <w:lang w:val="en-US" w:eastAsia="zh-CN"/>
              </w:rPr>
            </w:pPr>
            <w:r>
              <w:rPr>
                <w:rFonts w:hint="default"/>
                <w:highlight w:val="none"/>
                <w:lang w:val="en-US" w:eastAsia="zh-CN"/>
              </w:rPr>
              <w:t>15</w:t>
            </w:r>
          </w:p>
        </w:tc>
        <w:tc>
          <w:tcPr>
            <w:tcW w:w="994" w:type="pct"/>
            <w:tcBorders>
              <w:tl2br w:val="nil"/>
              <w:tr2bl w:val="nil"/>
            </w:tcBorders>
            <w:noWrap w:val="0"/>
            <w:vAlign w:val="center"/>
          </w:tcPr>
          <w:p w14:paraId="07D808A1">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1CD6674B">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48C9A507">
            <w:pPr>
              <w:pStyle w:val="58"/>
              <w:bidi w:val="0"/>
              <w:rPr>
                <w:rFonts w:hint="default"/>
                <w:highlight w:val="none"/>
              </w:rPr>
            </w:pPr>
            <w:r>
              <w:rPr>
                <w:rFonts w:hint="default"/>
                <w:highlight w:val="none"/>
                <w:lang w:val="en-US" w:eastAsia="zh-CN"/>
              </w:rPr>
              <w:t>达标</w:t>
            </w:r>
          </w:p>
        </w:tc>
      </w:tr>
      <w:tr w14:paraId="248FA3A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6DC1D130">
            <w:pPr>
              <w:pStyle w:val="58"/>
              <w:bidi w:val="0"/>
              <w:rPr>
                <w:rFonts w:hint="default"/>
                <w:highlight w:val="none"/>
              </w:rPr>
            </w:pPr>
          </w:p>
        </w:tc>
        <w:tc>
          <w:tcPr>
            <w:tcW w:w="1430" w:type="pct"/>
            <w:vMerge w:val="continue"/>
            <w:tcBorders>
              <w:tl2br w:val="nil"/>
              <w:tr2bl w:val="nil"/>
            </w:tcBorders>
            <w:noWrap w:val="0"/>
            <w:vAlign w:val="center"/>
          </w:tcPr>
          <w:p w14:paraId="4B8211EE">
            <w:pPr>
              <w:pStyle w:val="58"/>
              <w:bidi w:val="0"/>
              <w:rPr>
                <w:rFonts w:hint="default"/>
                <w:highlight w:val="none"/>
              </w:rPr>
            </w:pPr>
          </w:p>
        </w:tc>
        <w:tc>
          <w:tcPr>
            <w:tcW w:w="537" w:type="pct"/>
            <w:vMerge w:val="continue"/>
            <w:tcBorders>
              <w:tl2br w:val="nil"/>
              <w:tr2bl w:val="nil"/>
            </w:tcBorders>
            <w:noWrap w:val="0"/>
            <w:vAlign w:val="center"/>
          </w:tcPr>
          <w:p w14:paraId="76049CD8">
            <w:pPr>
              <w:pStyle w:val="58"/>
              <w:bidi w:val="0"/>
              <w:rPr>
                <w:rFonts w:hint="default"/>
                <w:highlight w:val="none"/>
              </w:rPr>
            </w:pPr>
          </w:p>
        </w:tc>
        <w:tc>
          <w:tcPr>
            <w:tcW w:w="994" w:type="pct"/>
            <w:tcBorders>
              <w:tl2br w:val="nil"/>
              <w:tr2bl w:val="nil"/>
            </w:tcBorders>
            <w:noWrap w:val="0"/>
            <w:vAlign w:val="center"/>
          </w:tcPr>
          <w:p w14:paraId="0EBFADDE">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1D457814">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21947AEA">
            <w:pPr>
              <w:pStyle w:val="58"/>
              <w:bidi w:val="0"/>
              <w:rPr>
                <w:rFonts w:hint="default"/>
                <w:highlight w:val="none"/>
                <w:lang w:val="en-US" w:eastAsia="zh-CN"/>
              </w:rPr>
            </w:pPr>
            <w:r>
              <w:rPr>
                <w:rFonts w:hint="default"/>
                <w:highlight w:val="none"/>
                <w:lang w:val="en-US" w:eastAsia="zh-CN"/>
              </w:rPr>
              <w:t>达标</w:t>
            </w:r>
          </w:p>
        </w:tc>
      </w:tr>
      <w:tr w14:paraId="3C973F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4B73E8BB">
            <w:pPr>
              <w:pStyle w:val="58"/>
              <w:bidi w:val="0"/>
              <w:rPr>
                <w:rFonts w:hint="default"/>
                <w:highlight w:val="none"/>
              </w:rPr>
            </w:pPr>
          </w:p>
        </w:tc>
        <w:tc>
          <w:tcPr>
            <w:tcW w:w="1430" w:type="pct"/>
            <w:vMerge w:val="restart"/>
            <w:tcBorders>
              <w:tl2br w:val="nil"/>
              <w:tr2bl w:val="nil"/>
            </w:tcBorders>
            <w:noWrap w:val="0"/>
            <w:vAlign w:val="center"/>
          </w:tcPr>
          <w:p w14:paraId="690A3C62">
            <w:pPr>
              <w:pStyle w:val="58"/>
              <w:bidi w:val="0"/>
              <w:rPr>
                <w:rFonts w:hint="default"/>
                <w:highlight w:val="none"/>
              </w:rPr>
            </w:pPr>
            <w:r>
              <w:rPr>
                <w:rFonts w:hint="default"/>
                <w:highlight w:val="none"/>
              </w:rPr>
              <w:t>萘（mg/kg）</w:t>
            </w:r>
          </w:p>
        </w:tc>
        <w:tc>
          <w:tcPr>
            <w:tcW w:w="537" w:type="pct"/>
            <w:vMerge w:val="restart"/>
            <w:tcBorders>
              <w:tl2br w:val="nil"/>
              <w:tr2bl w:val="nil"/>
            </w:tcBorders>
            <w:noWrap w:val="0"/>
            <w:vAlign w:val="center"/>
          </w:tcPr>
          <w:p w14:paraId="36D07FA5">
            <w:pPr>
              <w:pStyle w:val="58"/>
              <w:bidi w:val="0"/>
              <w:rPr>
                <w:rFonts w:hint="default"/>
                <w:highlight w:val="none"/>
                <w:lang w:val="en-US" w:eastAsia="zh-CN"/>
              </w:rPr>
            </w:pPr>
            <w:r>
              <w:rPr>
                <w:rFonts w:hint="default"/>
                <w:highlight w:val="none"/>
                <w:lang w:val="en-US" w:eastAsia="zh-CN"/>
              </w:rPr>
              <w:t>70</w:t>
            </w:r>
          </w:p>
        </w:tc>
        <w:tc>
          <w:tcPr>
            <w:tcW w:w="994" w:type="pct"/>
            <w:tcBorders>
              <w:tl2br w:val="nil"/>
              <w:tr2bl w:val="nil"/>
            </w:tcBorders>
            <w:noWrap w:val="0"/>
            <w:vAlign w:val="center"/>
          </w:tcPr>
          <w:p w14:paraId="1B665BA3">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104DCC90">
            <w:pPr>
              <w:pStyle w:val="58"/>
              <w:bidi w:val="0"/>
              <w:rPr>
                <w:rFonts w:hint="default"/>
                <w:highlight w:val="none"/>
                <w:lang w:val="en-US" w:eastAsia="zh-CN"/>
              </w:rPr>
            </w:pPr>
            <w:r>
              <w:rPr>
                <w:rFonts w:hint="default"/>
                <w:highlight w:val="none"/>
              </w:rPr>
              <w:t>ND</w:t>
            </w:r>
          </w:p>
        </w:tc>
        <w:tc>
          <w:tcPr>
            <w:tcW w:w="1626" w:type="dxa"/>
            <w:tcBorders>
              <w:tl2br w:val="nil"/>
              <w:tr2bl w:val="nil"/>
            </w:tcBorders>
            <w:noWrap w:val="0"/>
            <w:vAlign w:val="center"/>
          </w:tcPr>
          <w:p w14:paraId="01590715">
            <w:pPr>
              <w:pStyle w:val="58"/>
              <w:bidi w:val="0"/>
              <w:rPr>
                <w:rFonts w:hint="default"/>
                <w:highlight w:val="none"/>
              </w:rPr>
            </w:pPr>
            <w:r>
              <w:rPr>
                <w:rFonts w:hint="default"/>
                <w:highlight w:val="none"/>
                <w:lang w:val="en-US" w:eastAsia="zh-CN"/>
              </w:rPr>
              <w:t>达标</w:t>
            </w:r>
          </w:p>
        </w:tc>
      </w:tr>
      <w:tr w14:paraId="57A5F5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387" w:type="pct"/>
            <w:vMerge w:val="continue"/>
            <w:tcBorders>
              <w:tl2br w:val="nil"/>
              <w:tr2bl w:val="nil"/>
            </w:tcBorders>
            <w:noWrap w:val="0"/>
            <w:vAlign w:val="center"/>
          </w:tcPr>
          <w:p w14:paraId="611A2E5E">
            <w:pPr>
              <w:pStyle w:val="58"/>
              <w:bidi w:val="0"/>
              <w:rPr>
                <w:rFonts w:hint="default"/>
                <w:highlight w:val="none"/>
              </w:rPr>
            </w:pPr>
          </w:p>
        </w:tc>
        <w:tc>
          <w:tcPr>
            <w:tcW w:w="1430" w:type="pct"/>
            <w:vMerge w:val="continue"/>
            <w:tcBorders>
              <w:tl2br w:val="nil"/>
              <w:tr2bl w:val="nil"/>
            </w:tcBorders>
            <w:noWrap w:val="0"/>
            <w:vAlign w:val="center"/>
          </w:tcPr>
          <w:p w14:paraId="4E063D04">
            <w:pPr>
              <w:pStyle w:val="58"/>
              <w:bidi w:val="0"/>
              <w:rPr>
                <w:rFonts w:hint="default"/>
                <w:highlight w:val="none"/>
              </w:rPr>
            </w:pPr>
          </w:p>
        </w:tc>
        <w:tc>
          <w:tcPr>
            <w:tcW w:w="537" w:type="pct"/>
            <w:vMerge w:val="continue"/>
            <w:tcBorders>
              <w:tl2br w:val="nil"/>
              <w:tr2bl w:val="nil"/>
            </w:tcBorders>
            <w:noWrap w:val="0"/>
            <w:vAlign w:val="center"/>
          </w:tcPr>
          <w:p w14:paraId="5CEF1993">
            <w:pPr>
              <w:pStyle w:val="58"/>
              <w:bidi w:val="0"/>
              <w:rPr>
                <w:rFonts w:hint="default"/>
                <w:highlight w:val="none"/>
              </w:rPr>
            </w:pPr>
          </w:p>
        </w:tc>
        <w:tc>
          <w:tcPr>
            <w:tcW w:w="994" w:type="pct"/>
            <w:tcBorders>
              <w:tl2br w:val="nil"/>
              <w:tr2bl w:val="nil"/>
            </w:tcBorders>
            <w:noWrap w:val="0"/>
            <w:vAlign w:val="center"/>
          </w:tcPr>
          <w:p w14:paraId="22805FB8">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1A026852">
            <w:pPr>
              <w:pStyle w:val="58"/>
              <w:bidi w:val="0"/>
              <w:rPr>
                <w:rFonts w:hint="default"/>
                <w:highlight w:val="none"/>
                <w:lang w:val="en-US" w:eastAsia="zh-CN"/>
              </w:rPr>
            </w:pPr>
            <w:r>
              <w:rPr>
                <w:rFonts w:hint="default"/>
                <w:highlight w:val="none"/>
                <w:lang w:val="en-US" w:eastAsia="zh-CN"/>
              </w:rPr>
              <w:t>-</w:t>
            </w:r>
          </w:p>
        </w:tc>
        <w:tc>
          <w:tcPr>
            <w:tcW w:w="1626" w:type="dxa"/>
            <w:tcBorders>
              <w:tl2br w:val="nil"/>
              <w:tr2bl w:val="nil"/>
            </w:tcBorders>
            <w:noWrap w:val="0"/>
            <w:vAlign w:val="center"/>
          </w:tcPr>
          <w:p w14:paraId="1ABB6704">
            <w:pPr>
              <w:pStyle w:val="58"/>
              <w:bidi w:val="0"/>
              <w:rPr>
                <w:rFonts w:hint="default"/>
                <w:highlight w:val="none"/>
                <w:lang w:val="en-US" w:eastAsia="zh-CN"/>
              </w:rPr>
            </w:pPr>
            <w:r>
              <w:rPr>
                <w:rFonts w:hint="default"/>
                <w:highlight w:val="none"/>
                <w:lang w:val="en-US" w:eastAsia="zh-CN"/>
              </w:rPr>
              <w:t>达标</w:t>
            </w:r>
          </w:p>
        </w:tc>
      </w:tr>
      <w:tr w14:paraId="0561A63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1817" w:type="pct"/>
            <w:gridSpan w:val="2"/>
            <w:vMerge w:val="restart"/>
            <w:tcBorders>
              <w:tl2br w:val="nil"/>
              <w:tr2bl w:val="nil"/>
            </w:tcBorders>
            <w:noWrap w:val="0"/>
            <w:vAlign w:val="center"/>
          </w:tcPr>
          <w:p w14:paraId="4568CFA3">
            <w:pPr>
              <w:pStyle w:val="58"/>
              <w:bidi w:val="0"/>
              <w:rPr>
                <w:rFonts w:hint="default"/>
                <w:highlight w:val="none"/>
                <w:lang w:val="en-US" w:eastAsia="zh-CN"/>
              </w:rPr>
            </w:pPr>
            <w:r>
              <w:rPr>
                <w:rFonts w:hint="default"/>
                <w:highlight w:val="none"/>
              </w:rPr>
              <w:t>石油烃（mg/kg）</w:t>
            </w:r>
          </w:p>
        </w:tc>
        <w:tc>
          <w:tcPr>
            <w:tcW w:w="537" w:type="pct"/>
            <w:vMerge w:val="restart"/>
            <w:tcBorders>
              <w:tl2br w:val="nil"/>
              <w:tr2bl w:val="nil"/>
            </w:tcBorders>
            <w:noWrap w:val="0"/>
            <w:vAlign w:val="center"/>
          </w:tcPr>
          <w:p w14:paraId="6119F584">
            <w:pPr>
              <w:pStyle w:val="58"/>
              <w:bidi w:val="0"/>
              <w:rPr>
                <w:rFonts w:hint="default"/>
                <w:highlight w:val="none"/>
                <w:lang w:val="en-US" w:eastAsia="zh-CN"/>
              </w:rPr>
            </w:pPr>
            <w:r>
              <w:rPr>
                <w:rFonts w:hint="default"/>
                <w:highlight w:val="none"/>
                <w:lang w:val="en-US" w:eastAsia="zh-CN"/>
              </w:rPr>
              <w:t>4500</w:t>
            </w:r>
          </w:p>
        </w:tc>
        <w:tc>
          <w:tcPr>
            <w:tcW w:w="994" w:type="pct"/>
            <w:tcBorders>
              <w:tl2br w:val="nil"/>
              <w:tr2bl w:val="nil"/>
            </w:tcBorders>
            <w:noWrap w:val="0"/>
            <w:vAlign w:val="center"/>
          </w:tcPr>
          <w:p w14:paraId="5FBE18E3">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59E2A532">
            <w:pPr>
              <w:pStyle w:val="58"/>
              <w:bidi w:val="0"/>
              <w:rPr>
                <w:rFonts w:hint="default"/>
                <w:highlight w:val="none"/>
                <w:lang w:val="en-US" w:eastAsia="zh-CN"/>
              </w:rPr>
            </w:pPr>
            <w:r>
              <w:rPr>
                <w:rFonts w:hint="default"/>
                <w:highlight w:val="none"/>
                <w:lang w:val="en-US" w:eastAsia="zh-CN"/>
              </w:rPr>
              <w:t>54</w:t>
            </w:r>
          </w:p>
        </w:tc>
        <w:tc>
          <w:tcPr>
            <w:tcW w:w="1626" w:type="dxa"/>
            <w:tcBorders>
              <w:tl2br w:val="nil"/>
              <w:tr2bl w:val="nil"/>
            </w:tcBorders>
            <w:noWrap w:val="0"/>
            <w:vAlign w:val="center"/>
          </w:tcPr>
          <w:p w14:paraId="71503B96">
            <w:pPr>
              <w:pStyle w:val="58"/>
              <w:bidi w:val="0"/>
              <w:rPr>
                <w:rFonts w:hint="default"/>
                <w:highlight w:val="none"/>
                <w:lang w:val="en-US" w:eastAsia="zh-CN"/>
              </w:rPr>
            </w:pPr>
            <w:r>
              <w:rPr>
                <w:rFonts w:hint="default"/>
                <w:highlight w:val="none"/>
                <w:lang w:val="en-US" w:eastAsia="zh-CN"/>
              </w:rPr>
              <w:t>达标</w:t>
            </w:r>
          </w:p>
        </w:tc>
      </w:tr>
      <w:tr w14:paraId="0216A53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1817" w:type="pct"/>
            <w:gridSpan w:val="2"/>
            <w:vMerge w:val="continue"/>
            <w:tcBorders>
              <w:tl2br w:val="nil"/>
              <w:tr2bl w:val="nil"/>
            </w:tcBorders>
            <w:noWrap w:val="0"/>
            <w:vAlign w:val="center"/>
          </w:tcPr>
          <w:p w14:paraId="19BE8DF0">
            <w:pPr>
              <w:pStyle w:val="58"/>
              <w:bidi w:val="0"/>
              <w:rPr>
                <w:rFonts w:hint="default"/>
                <w:highlight w:val="none"/>
              </w:rPr>
            </w:pPr>
          </w:p>
        </w:tc>
        <w:tc>
          <w:tcPr>
            <w:tcW w:w="537" w:type="pct"/>
            <w:vMerge w:val="continue"/>
            <w:tcBorders>
              <w:tl2br w:val="nil"/>
              <w:tr2bl w:val="nil"/>
            </w:tcBorders>
            <w:noWrap w:val="0"/>
            <w:vAlign w:val="center"/>
          </w:tcPr>
          <w:p w14:paraId="3A99835F">
            <w:pPr>
              <w:pStyle w:val="58"/>
              <w:bidi w:val="0"/>
              <w:rPr>
                <w:rFonts w:hint="default"/>
                <w:highlight w:val="none"/>
              </w:rPr>
            </w:pPr>
          </w:p>
        </w:tc>
        <w:tc>
          <w:tcPr>
            <w:tcW w:w="994" w:type="pct"/>
            <w:tcBorders>
              <w:tl2br w:val="nil"/>
              <w:tr2bl w:val="nil"/>
            </w:tcBorders>
            <w:noWrap w:val="0"/>
            <w:vAlign w:val="center"/>
          </w:tcPr>
          <w:p w14:paraId="641E4764">
            <w:pPr>
              <w:pStyle w:val="58"/>
              <w:bidi w:val="0"/>
              <w:rPr>
                <w:rFonts w:hint="default"/>
                <w:highlight w:val="none"/>
                <w:lang w:val="en-US" w:eastAsia="zh-CN"/>
              </w:rPr>
            </w:pPr>
            <w:r>
              <w:rPr>
                <w:rFonts w:hint="default"/>
                <w:highlight w:val="none"/>
                <w:lang w:eastAsia="zh-CN"/>
              </w:rPr>
              <w:t>标准指数</w:t>
            </w:r>
          </w:p>
        </w:tc>
        <w:tc>
          <w:tcPr>
            <w:tcW w:w="825" w:type="pct"/>
            <w:tcBorders>
              <w:tl2br w:val="nil"/>
              <w:tr2bl w:val="nil"/>
            </w:tcBorders>
            <w:noWrap w:val="0"/>
            <w:vAlign w:val="center"/>
          </w:tcPr>
          <w:p w14:paraId="2C19E887">
            <w:pPr>
              <w:pStyle w:val="58"/>
              <w:bidi w:val="0"/>
              <w:rPr>
                <w:rFonts w:hint="default"/>
                <w:highlight w:val="none"/>
                <w:lang w:val="en-US" w:eastAsia="zh-CN"/>
              </w:rPr>
            </w:pPr>
            <w:r>
              <w:rPr>
                <w:rFonts w:hint="default"/>
                <w:highlight w:val="none"/>
                <w:lang w:val="en-US" w:eastAsia="zh-CN"/>
              </w:rPr>
              <w:t>0.012</w:t>
            </w:r>
          </w:p>
        </w:tc>
        <w:tc>
          <w:tcPr>
            <w:tcW w:w="1626" w:type="dxa"/>
            <w:tcBorders>
              <w:tl2br w:val="nil"/>
              <w:tr2bl w:val="nil"/>
            </w:tcBorders>
            <w:noWrap w:val="0"/>
            <w:vAlign w:val="center"/>
          </w:tcPr>
          <w:p w14:paraId="2A33D7B7">
            <w:pPr>
              <w:pStyle w:val="58"/>
              <w:bidi w:val="0"/>
              <w:rPr>
                <w:rFonts w:hint="default"/>
                <w:highlight w:val="none"/>
                <w:lang w:val="en-US" w:eastAsia="zh-CN"/>
              </w:rPr>
            </w:pPr>
            <w:r>
              <w:rPr>
                <w:rFonts w:hint="default"/>
                <w:highlight w:val="none"/>
                <w:lang w:val="en-US" w:eastAsia="zh-CN"/>
              </w:rPr>
              <w:t>达标</w:t>
            </w:r>
          </w:p>
        </w:tc>
      </w:tr>
      <w:tr w14:paraId="4113A54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1817" w:type="pct"/>
            <w:gridSpan w:val="2"/>
            <w:vMerge w:val="restart"/>
            <w:tcBorders>
              <w:tl2br w:val="nil"/>
              <w:tr2bl w:val="nil"/>
            </w:tcBorders>
            <w:noWrap w:val="0"/>
            <w:vAlign w:val="center"/>
          </w:tcPr>
          <w:p w14:paraId="06DCFA7C">
            <w:pPr>
              <w:pStyle w:val="58"/>
              <w:bidi w:val="0"/>
              <w:rPr>
                <w:rFonts w:hint="default"/>
                <w:highlight w:val="none"/>
                <w:lang w:val="en-US" w:eastAsia="zh-CN"/>
              </w:rPr>
            </w:pPr>
            <w:r>
              <w:rPr>
                <w:rFonts w:hint="default"/>
                <w:highlight w:val="none"/>
                <w:lang w:val="en-US" w:eastAsia="zh-CN"/>
              </w:rPr>
              <w:t>氨氮</w:t>
            </w:r>
            <w:r>
              <w:rPr>
                <w:rFonts w:hint="default"/>
                <w:highlight w:val="none"/>
              </w:rPr>
              <w:t>（mg/kg）</w:t>
            </w:r>
          </w:p>
        </w:tc>
        <w:tc>
          <w:tcPr>
            <w:tcW w:w="537" w:type="pct"/>
            <w:vMerge w:val="restart"/>
            <w:tcBorders>
              <w:tl2br w:val="nil"/>
              <w:tr2bl w:val="nil"/>
            </w:tcBorders>
            <w:noWrap w:val="0"/>
            <w:vAlign w:val="center"/>
          </w:tcPr>
          <w:p w14:paraId="74409C20">
            <w:pPr>
              <w:pStyle w:val="58"/>
              <w:bidi w:val="0"/>
              <w:rPr>
                <w:rFonts w:hint="default"/>
                <w:highlight w:val="none"/>
                <w:lang w:val="en-US" w:eastAsia="zh-CN"/>
              </w:rPr>
            </w:pPr>
            <w:r>
              <w:rPr>
                <w:rFonts w:hint="default"/>
                <w:highlight w:val="none"/>
                <w:lang w:val="en-US" w:eastAsia="zh-CN"/>
              </w:rPr>
              <w:t>1200</w:t>
            </w:r>
          </w:p>
        </w:tc>
        <w:tc>
          <w:tcPr>
            <w:tcW w:w="994" w:type="pct"/>
            <w:tcBorders>
              <w:tl2br w:val="nil"/>
              <w:tr2bl w:val="nil"/>
            </w:tcBorders>
            <w:noWrap w:val="0"/>
            <w:vAlign w:val="center"/>
          </w:tcPr>
          <w:p w14:paraId="0345F15F">
            <w:pPr>
              <w:pStyle w:val="58"/>
              <w:bidi w:val="0"/>
              <w:rPr>
                <w:rFonts w:hint="default"/>
                <w:highlight w:val="none"/>
                <w:lang w:val="en-US" w:eastAsia="zh-CN"/>
              </w:rPr>
            </w:pPr>
            <w:r>
              <w:rPr>
                <w:rFonts w:hint="default"/>
                <w:highlight w:val="none"/>
                <w:lang w:eastAsia="zh-CN"/>
              </w:rPr>
              <w:t>监测值</w:t>
            </w:r>
          </w:p>
        </w:tc>
        <w:tc>
          <w:tcPr>
            <w:tcW w:w="825" w:type="pct"/>
            <w:tcBorders>
              <w:tl2br w:val="nil"/>
              <w:tr2bl w:val="nil"/>
            </w:tcBorders>
            <w:noWrap w:val="0"/>
            <w:vAlign w:val="center"/>
          </w:tcPr>
          <w:p w14:paraId="04DCAEFE">
            <w:pPr>
              <w:pStyle w:val="58"/>
              <w:bidi w:val="0"/>
              <w:rPr>
                <w:rFonts w:hint="default"/>
                <w:highlight w:val="none"/>
                <w:lang w:val="en-US" w:eastAsia="zh-CN"/>
              </w:rPr>
            </w:pPr>
            <w:r>
              <w:rPr>
                <w:rFonts w:hint="default"/>
                <w:highlight w:val="none"/>
                <w:lang w:val="en-US" w:eastAsia="zh-CN"/>
              </w:rPr>
              <w:t>2.41</w:t>
            </w:r>
          </w:p>
        </w:tc>
        <w:tc>
          <w:tcPr>
            <w:tcW w:w="1626" w:type="dxa"/>
            <w:tcBorders>
              <w:tl2br w:val="nil"/>
              <w:tr2bl w:val="nil"/>
            </w:tcBorders>
            <w:noWrap w:val="0"/>
            <w:vAlign w:val="center"/>
          </w:tcPr>
          <w:p w14:paraId="5E51C824">
            <w:pPr>
              <w:pStyle w:val="58"/>
              <w:bidi w:val="0"/>
              <w:rPr>
                <w:rFonts w:hint="default"/>
                <w:highlight w:val="none"/>
                <w:lang w:val="en-US" w:eastAsia="zh-CN"/>
              </w:rPr>
            </w:pPr>
            <w:r>
              <w:rPr>
                <w:rFonts w:hint="default"/>
                <w:highlight w:val="none"/>
                <w:lang w:val="en-US" w:eastAsia="zh-CN"/>
              </w:rPr>
              <w:t>达标</w:t>
            </w:r>
          </w:p>
        </w:tc>
      </w:tr>
      <w:tr w14:paraId="53CA50E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1817" w:type="pct"/>
            <w:gridSpan w:val="2"/>
            <w:vMerge w:val="continue"/>
            <w:tcBorders>
              <w:tl2br w:val="nil"/>
              <w:tr2bl w:val="nil"/>
            </w:tcBorders>
            <w:noWrap w:val="0"/>
            <w:vAlign w:val="center"/>
          </w:tcPr>
          <w:p w14:paraId="56AB532D">
            <w:pPr>
              <w:pStyle w:val="58"/>
              <w:bidi w:val="0"/>
              <w:rPr>
                <w:rFonts w:hint="default"/>
                <w:highlight w:val="none"/>
                <w:lang w:val="en-US" w:eastAsia="zh-CN"/>
              </w:rPr>
            </w:pPr>
          </w:p>
        </w:tc>
        <w:tc>
          <w:tcPr>
            <w:tcW w:w="537" w:type="pct"/>
            <w:vMerge w:val="continue"/>
            <w:tcBorders>
              <w:tl2br w:val="nil"/>
              <w:tr2bl w:val="nil"/>
            </w:tcBorders>
            <w:noWrap w:val="0"/>
            <w:vAlign w:val="center"/>
          </w:tcPr>
          <w:p w14:paraId="7BEFBF2F">
            <w:pPr>
              <w:pStyle w:val="58"/>
              <w:bidi w:val="0"/>
              <w:rPr>
                <w:rFonts w:hint="default"/>
                <w:highlight w:val="none"/>
                <w:lang w:val="en-US" w:eastAsia="zh-CN"/>
              </w:rPr>
            </w:pPr>
          </w:p>
        </w:tc>
        <w:tc>
          <w:tcPr>
            <w:tcW w:w="994" w:type="pct"/>
            <w:tcBorders>
              <w:tl2br w:val="nil"/>
              <w:tr2bl w:val="nil"/>
            </w:tcBorders>
            <w:noWrap w:val="0"/>
            <w:vAlign w:val="center"/>
          </w:tcPr>
          <w:p w14:paraId="01F79474">
            <w:pPr>
              <w:pStyle w:val="58"/>
              <w:bidi w:val="0"/>
              <w:rPr>
                <w:rFonts w:hint="default"/>
                <w:highlight w:val="none"/>
                <w:lang w:eastAsia="zh-CN"/>
              </w:rPr>
            </w:pPr>
            <w:r>
              <w:rPr>
                <w:rFonts w:hint="default"/>
                <w:highlight w:val="none"/>
                <w:lang w:eastAsia="zh-CN"/>
              </w:rPr>
              <w:t>标准指数</w:t>
            </w:r>
          </w:p>
        </w:tc>
        <w:tc>
          <w:tcPr>
            <w:tcW w:w="825" w:type="pct"/>
            <w:tcBorders>
              <w:tl2br w:val="nil"/>
              <w:tr2bl w:val="nil"/>
            </w:tcBorders>
            <w:noWrap w:val="0"/>
            <w:vAlign w:val="center"/>
          </w:tcPr>
          <w:p w14:paraId="343BCA29">
            <w:pPr>
              <w:pStyle w:val="58"/>
              <w:bidi w:val="0"/>
              <w:rPr>
                <w:rFonts w:hint="default"/>
                <w:highlight w:val="none"/>
                <w:lang w:val="en-US" w:eastAsia="zh-CN"/>
              </w:rPr>
            </w:pPr>
            <w:r>
              <w:rPr>
                <w:rFonts w:hint="default"/>
                <w:highlight w:val="none"/>
                <w:lang w:val="en-US" w:eastAsia="zh-CN"/>
              </w:rPr>
              <w:t>0.002</w:t>
            </w:r>
          </w:p>
        </w:tc>
        <w:tc>
          <w:tcPr>
            <w:tcW w:w="1626" w:type="dxa"/>
            <w:tcBorders>
              <w:tl2br w:val="nil"/>
              <w:tr2bl w:val="nil"/>
            </w:tcBorders>
            <w:noWrap w:val="0"/>
            <w:vAlign w:val="center"/>
          </w:tcPr>
          <w:p w14:paraId="1295495B">
            <w:pPr>
              <w:pStyle w:val="58"/>
              <w:bidi w:val="0"/>
              <w:rPr>
                <w:rFonts w:hint="default"/>
                <w:highlight w:val="none"/>
                <w:lang w:val="en-US" w:eastAsia="zh-CN"/>
              </w:rPr>
            </w:pPr>
            <w:r>
              <w:rPr>
                <w:rFonts w:hint="default"/>
                <w:highlight w:val="none"/>
                <w:lang w:val="en-US" w:eastAsia="zh-CN"/>
              </w:rPr>
              <w:t>达标</w:t>
            </w:r>
          </w:p>
        </w:tc>
      </w:tr>
    </w:tbl>
    <w:p w14:paraId="4252D47E">
      <w:pPr>
        <w:keepNext w:val="0"/>
        <w:keepLines w:val="0"/>
        <w:pageBreakBefore w:val="0"/>
        <w:widowControl w:val="0"/>
        <w:numPr>
          <w:ilvl w:val="0"/>
          <w:numId w:val="30"/>
        </w:numPr>
        <w:kinsoku/>
        <w:wordWrap/>
        <w:overflowPunct/>
        <w:topLinePunct w:val="0"/>
        <w:autoSpaceDE w:val="0"/>
        <w:autoSpaceDN w:val="0"/>
        <w:bidi w:val="0"/>
        <w:adjustRightInd w:val="0"/>
        <w:snapToGrid/>
        <w:spacing w:line="500" w:lineRule="exact"/>
        <w:ind w:left="425" w:leftChars="0" w:hanging="425" w:firstLineChars="0"/>
        <w:jc w:val="center"/>
        <w:textAlignment w:val="auto"/>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pPr>
      <w:r>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t>土壤环境质量现状监测及评价结果（厂区中部）</w:t>
      </w:r>
    </w:p>
    <w:tbl>
      <w:tblPr>
        <w:tblStyle w:val="47"/>
        <w:tblW w:w="499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647"/>
        <w:gridCol w:w="936"/>
        <w:gridCol w:w="2528"/>
        <w:gridCol w:w="2089"/>
        <w:gridCol w:w="2082"/>
      </w:tblGrid>
      <w:tr w14:paraId="18CE2E3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2752" w:type="pct"/>
            <w:gridSpan w:val="3"/>
            <w:vMerge w:val="restart"/>
            <w:tcBorders>
              <w:tl2br w:val="nil"/>
              <w:tr2bl w:val="nil"/>
            </w:tcBorders>
            <w:noWrap w:val="0"/>
            <w:vAlign w:val="center"/>
          </w:tcPr>
          <w:p w14:paraId="52E3E693">
            <w:pPr>
              <w:pStyle w:val="58"/>
              <w:bidi w:val="0"/>
              <w:rPr>
                <w:rFonts w:hint="default"/>
                <w:highlight w:val="none"/>
                <w:lang w:val="en-US" w:eastAsia="zh-CN"/>
              </w:rPr>
            </w:pPr>
            <w:r>
              <w:rPr>
                <w:rFonts w:hint="default"/>
                <w:highlight w:val="none"/>
              </w:rPr>
              <w:t>检测项目</w:t>
            </w:r>
          </w:p>
        </w:tc>
        <w:tc>
          <w:tcPr>
            <w:tcW w:w="1125" w:type="pct"/>
            <w:tcBorders>
              <w:tl2br w:val="nil"/>
              <w:tr2bl w:val="nil"/>
            </w:tcBorders>
            <w:noWrap w:val="0"/>
            <w:vAlign w:val="center"/>
          </w:tcPr>
          <w:p w14:paraId="731963D6">
            <w:pPr>
              <w:pStyle w:val="58"/>
              <w:bidi w:val="0"/>
              <w:rPr>
                <w:rFonts w:hint="default"/>
                <w:highlight w:val="none"/>
                <w:lang w:eastAsia="zh-CN"/>
              </w:rPr>
            </w:pPr>
            <w:r>
              <w:rPr>
                <w:rFonts w:hint="default"/>
                <w:highlight w:val="none"/>
                <w:lang w:eastAsia="zh-CN"/>
              </w:rPr>
              <w:t>检测点位</w:t>
            </w:r>
          </w:p>
        </w:tc>
        <w:tc>
          <w:tcPr>
            <w:tcW w:w="1121" w:type="pct"/>
            <w:vMerge w:val="restart"/>
            <w:tcBorders>
              <w:tl2br w:val="nil"/>
              <w:tr2bl w:val="nil"/>
            </w:tcBorders>
            <w:noWrap w:val="0"/>
            <w:vAlign w:val="center"/>
          </w:tcPr>
          <w:p w14:paraId="099C8842">
            <w:pPr>
              <w:pStyle w:val="58"/>
              <w:bidi w:val="0"/>
              <w:rPr>
                <w:rFonts w:hint="default"/>
                <w:highlight w:val="none"/>
                <w:lang w:eastAsia="zh-CN"/>
              </w:rPr>
            </w:pPr>
            <w:r>
              <w:rPr>
                <w:rFonts w:hint="default"/>
                <w:highlight w:val="none"/>
                <w:lang w:val="en-US" w:eastAsia="zh-CN"/>
              </w:rPr>
              <w:t>达标情况</w:t>
            </w:r>
          </w:p>
        </w:tc>
      </w:tr>
      <w:tr w14:paraId="1B6709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2752" w:type="pct"/>
            <w:gridSpan w:val="3"/>
            <w:vMerge w:val="continue"/>
            <w:tcBorders>
              <w:tl2br w:val="nil"/>
              <w:tr2bl w:val="nil"/>
            </w:tcBorders>
            <w:noWrap w:val="0"/>
            <w:vAlign w:val="center"/>
          </w:tcPr>
          <w:p w14:paraId="6E9CF4DC">
            <w:pPr>
              <w:pStyle w:val="58"/>
              <w:bidi w:val="0"/>
              <w:rPr>
                <w:rFonts w:hint="default"/>
                <w:highlight w:val="none"/>
                <w:lang w:val="en-US" w:eastAsia="zh-CN"/>
              </w:rPr>
            </w:pPr>
          </w:p>
        </w:tc>
        <w:tc>
          <w:tcPr>
            <w:tcW w:w="1125" w:type="pct"/>
            <w:tcBorders>
              <w:tl2br w:val="nil"/>
              <w:tr2bl w:val="nil"/>
            </w:tcBorders>
            <w:noWrap w:val="0"/>
            <w:vAlign w:val="center"/>
          </w:tcPr>
          <w:p w14:paraId="6DA32440">
            <w:pPr>
              <w:pStyle w:val="58"/>
              <w:bidi w:val="0"/>
              <w:rPr>
                <w:rFonts w:hint="default"/>
                <w:highlight w:val="none"/>
                <w:lang w:val="en-US" w:eastAsia="zh-CN"/>
              </w:rPr>
            </w:pPr>
            <w:r>
              <w:rPr>
                <w:rFonts w:hint="default"/>
                <w:highlight w:val="none"/>
                <w:lang w:val="en-US" w:eastAsia="zh-CN"/>
              </w:rPr>
              <w:t>污水处理站东南侧（0~0.</w:t>
            </w:r>
            <w:r>
              <w:rPr>
                <w:rFonts w:hint="eastAsia"/>
                <w:highlight w:val="none"/>
                <w:lang w:val="en-US" w:eastAsia="zh-CN"/>
              </w:rPr>
              <w:t>2</w:t>
            </w:r>
            <w:r>
              <w:rPr>
                <w:rFonts w:hint="default"/>
                <w:highlight w:val="none"/>
                <w:lang w:val="en-US" w:eastAsia="zh-CN"/>
              </w:rPr>
              <w:t>m）</w:t>
            </w:r>
          </w:p>
        </w:tc>
        <w:tc>
          <w:tcPr>
            <w:tcW w:w="1121" w:type="pct"/>
            <w:vMerge w:val="continue"/>
            <w:tcBorders>
              <w:tl2br w:val="nil"/>
              <w:tr2bl w:val="nil"/>
            </w:tcBorders>
            <w:noWrap w:val="0"/>
            <w:vAlign w:val="center"/>
          </w:tcPr>
          <w:p w14:paraId="310AC704">
            <w:pPr>
              <w:pStyle w:val="58"/>
              <w:bidi w:val="0"/>
              <w:rPr>
                <w:rFonts w:hint="default"/>
                <w:highlight w:val="none"/>
                <w:lang w:val="en-US" w:eastAsia="zh-CN"/>
              </w:rPr>
            </w:pPr>
          </w:p>
        </w:tc>
      </w:tr>
      <w:tr w14:paraId="462A506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87" w:type="pct"/>
            <w:vMerge w:val="restart"/>
            <w:tcBorders>
              <w:tl2br w:val="nil"/>
              <w:tr2bl w:val="nil"/>
            </w:tcBorders>
            <w:noWrap w:val="0"/>
            <w:vAlign w:val="center"/>
          </w:tcPr>
          <w:p w14:paraId="79C71AE7">
            <w:pPr>
              <w:pStyle w:val="58"/>
              <w:bidi w:val="0"/>
              <w:rPr>
                <w:rFonts w:hint="default"/>
                <w:highlight w:val="none"/>
                <w:lang w:val="en-US" w:eastAsia="zh-CN"/>
              </w:rPr>
            </w:pPr>
            <w:r>
              <w:rPr>
                <w:rFonts w:hint="default"/>
                <w:highlight w:val="none"/>
              </w:rPr>
              <w:t>石油烃（mg/kg）</w:t>
            </w:r>
          </w:p>
        </w:tc>
        <w:tc>
          <w:tcPr>
            <w:tcW w:w="504" w:type="pct"/>
            <w:vMerge w:val="restart"/>
            <w:tcBorders>
              <w:tl2br w:val="nil"/>
              <w:tr2bl w:val="nil"/>
            </w:tcBorders>
            <w:noWrap w:val="0"/>
            <w:vAlign w:val="center"/>
          </w:tcPr>
          <w:p w14:paraId="4B87AE87">
            <w:pPr>
              <w:pStyle w:val="58"/>
              <w:bidi w:val="0"/>
              <w:rPr>
                <w:rFonts w:hint="default"/>
                <w:highlight w:val="none"/>
                <w:lang w:val="en-US" w:eastAsia="zh-CN"/>
              </w:rPr>
            </w:pPr>
            <w:r>
              <w:rPr>
                <w:rFonts w:hint="default"/>
                <w:highlight w:val="none"/>
                <w:lang w:val="en-US" w:eastAsia="zh-CN"/>
              </w:rPr>
              <w:t>4500</w:t>
            </w:r>
          </w:p>
        </w:tc>
        <w:tc>
          <w:tcPr>
            <w:tcW w:w="1361" w:type="pct"/>
            <w:tcBorders>
              <w:tl2br w:val="nil"/>
              <w:tr2bl w:val="nil"/>
            </w:tcBorders>
            <w:noWrap w:val="0"/>
            <w:vAlign w:val="center"/>
          </w:tcPr>
          <w:p w14:paraId="56805E20">
            <w:pPr>
              <w:pStyle w:val="58"/>
              <w:bidi w:val="0"/>
              <w:rPr>
                <w:rFonts w:hint="default"/>
                <w:highlight w:val="none"/>
                <w:lang w:val="en-US" w:eastAsia="zh-CN"/>
              </w:rPr>
            </w:pPr>
            <w:r>
              <w:rPr>
                <w:rFonts w:hint="default"/>
                <w:highlight w:val="none"/>
                <w:lang w:eastAsia="zh-CN"/>
              </w:rPr>
              <w:t>监测值</w:t>
            </w:r>
          </w:p>
        </w:tc>
        <w:tc>
          <w:tcPr>
            <w:tcW w:w="1125" w:type="pct"/>
            <w:tcBorders>
              <w:tl2br w:val="nil"/>
              <w:tr2bl w:val="nil"/>
            </w:tcBorders>
            <w:noWrap w:val="0"/>
            <w:vAlign w:val="center"/>
          </w:tcPr>
          <w:p w14:paraId="0FF365D6">
            <w:pPr>
              <w:pStyle w:val="58"/>
              <w:bidi w:val="0"/>
              <w:rPr>
                <w:rFonts w:hint="default"/>
                <w:highlight w:val="none"/>
                <w:lang w:val="en-US" w:eastAsia="zh-CN"/>
              </w:rPr>
            </w:pPr>
            <w:r>
              <w:rPr>
                <w:rFonts w:hint="default"/>
                <w:highlight w:val="none"/>
                <w:lang w:val="en-US" w:eastAsia="zh-CN"/>
              </w:rPr>
              <w:t>126</w:t>
            </w:r>
          </w:p>
        </w:tc>
        <w:tc>
          <w:tcPr>
            <w:tcW w:w="1121" w:type="pct"/>
            <w:tcBorders>
              <w:tl2br w:val="nil"/>
              <w:tr2bl w:val="nil"/>
            </w:tcBorders>
            <w:noWrap w:val="0"/>
            <w:vAlign w:val="center"/>
          </w:tcPr>
          <w:p w14:paraId="0313854F">
            <w:pPr>
              <w:pStyle w:val="58"/>
              <w:bidi w:val="0"/>
              <w:rPr>
                <w:rFonts w:hint="default"/>
                <w:highlight w:val="none"/>
                <w:lang w:val="en-US" w:eastAsia="zh-CN"/>
              </w:rPr>
            </w:pPr>
            <w:r>
              <w:rPr>
                <w:rFonts w:hint="default"/>
                <w:highlight w:val="none"/>
                <w:lang w:val="en-US" w:eastAsia="zh-CN"/>
              </w:rPr>
              <w:t>达标</w:t>
            </w:r>
          </w:p>
        </w:tc>
      </w:tr>
      <w:tr w14:paraId="0D098AC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87" w:type="pct"/>
            <w:vMerge w:val="continue"/>
            <w:tcBorders>
              <w:tl2br w:val="nil"/>
              <w:tr2bl w:val="nil"/>
            </w:tcBorders>
            <w:noWrap w:val="0"/>
            <w:vAlign w:val="center"/>
          </w:tcPr>
          <w:p w14:paraId="6274821C">
            <w:pPr>
              <w:pStyle w:val="58"/>
              <w:bidi w:val="0"/>
              <w:rPr>
                <w:rFonts w:hint="default"/>
                <w:highlight w:val="none"/>
              </w:rPr>
            </w:pPr>
          </w:p>
        </w:tc>
        <w:tc>
          <w:tcPr>
            <w:tcW w:w="504" w:type="pct"/>
            <w:vMerge w:val="continue"/>
            <w:tcBorders>
              <w:tl2br w:val="nil"/>
              <w:tr2bl w:val="nil"/>
            </w:tcBorders>
            <w:noWrap w:val="0"/>
            <w:vAlign w:val="center"/>
          </w:tcPr>
          <w:p w14:paraId="039C2E46">
            <w:pPr>
              <w:pStyle w:val="58"/>
              <w:bidi w:val="0"/>
              <w:rPr>
                <w:rFonts w:hint="default"/>
                <w:highlight w:val="none"/>
              </w:rPr>
            </w:pPr>
          </w:p>
        </w:tc>
        <w:tc>
          <w:tcPr>
            <w:tcW w:w="1361" w:type="pct"/>
            <w:tcBorders>
              <w:tl2br w:val="nil"/>
              <w:tr2bl w:val="nil"/>
            </w:tcBorders>
            <w:noWrap w:val="0"/>
            <w:vAlign w:val="center"/>
          </w:tcPr>
          <w:p w14:paraId="77119AE7">
            <w:pPr>
              <w:pStyle w:val="58"/>
              <w:bidi w:val="0"/>
              <w:rPr>
                <w:rFonts w:hint="default"/>
                <w:highlight w:val="none"/>
                <w:lang w:val="en-US" w:eastAsia="zh-CN"/>
              </w:rPr>
            </w:pPr>
            <w:r>
              <w:rPr>
                <w:rFonts w:hint="default"/>
                <w:highlight w:val="none"/>
                <w:lang w:eastAsia="zh-CN"/>
              </w:rPr>
              <w:t>标准指数</w:t>
            </w:r>
          </w:p>
        </w:tc>
        <w:tc>
          <w:tcPr>
            <w:tcW w:w="1125" w:type="pct"/>
            <w:tcBorders>
              <w:tl2br w:val="nil"/>
              <w:tr2bl w:val="nil"/>
            </w:tcBorders>
            <w:noWrap w:val="0"/>
            <w:vAlign w:val="center"/>
          </w:tcPr>
          <w:p w14:paraId="6372D2CC">
            <w:pPr>
              <w:pStyle w:val="58"/>
              <w:bidi w:val="0"/>
              <w:rPr>
                <w:rFonts w:hint="default"/>
                <w:highlight w:val="none"/>
                <w:lang w:val="en-US" w:eastAsia="zh-CN"/>
              </w:rPr>
            </w:pPr>
            <w:r>
              <w:rPr>
                <w:rFonts w:hint="default"/>
                <w:highlight w:val="none"/>
                <w:lang w:val="en-US" w:eastAsia="zh-CN"/>
              </w:rPr>
              <w:t>0.028</w:t>
            </w:r>
          </w:p>
        </w:tc>
        <w:tc>
          <w:tcPr>
            <w:tcW w:w="1121" w:type="pct"/>
            <w:tcBorders>
              <w:tl2br w:val="nil"/>
              <w:tr2bl w:val="nil"/>
            </w:tcBorders>
            <w:noWrap w:val="0"/>
            <w:vAlign w:val="center"/>
          </w:tcPr>
          <w:p w14:paraId="5519451C">
            <w:pPr>
              <w:pStyle w:val="58"/>
              <w:bidi w:val="0"/>
              <w:rPr>
                <w:rFonts w:hint="default"/>
                <w:highlight w:val="none"/>
                <w:lang w:val="en-US" w:eastAsia="zh-CN"/>
              </w:rPr>
            </w:pPr>
            <w:r>
              <w:rPr>
                <w:rFonts w:hint="default"/>
                <w:highlight w:val="none"/>
                <w:lang w:val="en-US" w:eastAsia="zh-CN"/>
              </w:rPr>
              <w:t>达标</w:t>
            </w:r>
          </w:p>
        </w:tc>
      </w:tr>
      <w:tr w14:paraId="3FE2913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87" w:type="pct"/>
            <w:vMerge w:val="restart"/>
            <w:tcBorders>
              <w:tl2br w:val="nil"/>
              <w:tr2bl w:val="nil"/>
            </w:tcBorders>
            <w:noWrap w:val="0"/>
            <w:vAlign w:val="center"/>
          </w:tcPr>
          <w:p w14:paraId="3B808372">
            <w:pPr>
              <w:pStyle w:val="58"/>
              <w:bidi w:val="0"/>
              <w:rPr>
                <w:rFonts w:hint="default"/>
                <w:highlight w:val="none"/>
              </w:rPr>
            </w:pPr>
            <w:r>
              <w:rPr>
                <w:rFonts w:hint="default"/>
                <w:highlight w:val="none"/>
                <w:lang w:val="en-US" w:eastAsia="zh-CN"/>
              </w:rPr>
              <w:t>氨氮</w:t>
            </w:r>
            <w:r>
              <w:rPr>
                <w:rFonts w:hint="default"/>
                <w:highlight w:val="none"/>
              </w:rPr>
              <w:t>（mg/kg）</w:t>
            </w:r>
          </w:p>
        </w:tc>
        <w:tc>
          <w:tcPr>
            <w:tcW w:w="504" w:type="pct"/>
            <w:vMerge w:val="restart"/>
            <w:tcBorders>
              <w:tl2br w:val="nil"/>
              <w:tr2bl w:val="nil"/>
            </w:tcBorders>
            <w:noWrap w:val="0"/>
            <w:vAlign w:val="center"/>
          </w:tcPr>
          <w:p w14:paraId="5BFE9B55">
            <w:pPr>
              <w:pStyle w:val="58"/>
              <w:bidi w:val="0"/>
              <w:rPr>
                <w:rFonts w:hint="default"/>
                <w:highlight w:val="none"/>
                <w:lang w:val="en-US" w:eastAsia="zh-CN"/>
              </w:rPr>
            </w:pPr>
            <w:r>
              <w:rPr>
                <w:rFonts w:hint="default"/>
                <w:highlight w:val="none"/>
                <w:lang w:val="en-US" w:eastAsia="zh-CN"/>
              </w:rPr>
              <w:t>1200</w:t>
            </w:r>
          </w:p>
        </w:tc>
        <w:tc>
          <w:tcPr>
            <w:tcW w:w="1361" w:type="pct"/>
            <w:tcBorders>
              <w:tl2br w:val="nil"/>
              <w:tr2bl w:val="nil"/>
            </w:tcBorders>
            <w:noWrap w:val="0"/>
            <w:vAlign w:val="center"/>
          </w:tcPr>
          <w:p w14:paraId="25ED3FD5">
            <w:pPr>
              <w:pStyle w:val="58"/>
              <w:bidi w:val="0"/>
              <w:rPr>
                <w:rFonts w:hint="default"/>
                <w:highlight w:val="none"/>
                <w:lang w:val="en-US" w:eastAsia="zh-CN"/>
              </w:rPr>
            </w:pPr>
            <w:r>
              <w:rPr>
                <w:rFonts w:hint="default"/>
                <w:highlight w:val="none"/>
                <w:lang w:eastAsia="zh-CN"/>
              </w:rPr>
              <w:t>监测值</w:t>
            </w:r>
          </w:p>
        </w:tc>
        <w:tc>
          <w:tcPr>
            <w:tcW w:w="1125" w:type="pct"/>
            <w:tcBorders>
              <w:tl2br w:val="nil"/>
              <w:tr2bl w:val="nil"/>
            </w:tcBorders>
            <w:noWrap w:val="0"/>
            <w:vAlign w:val="center"/>
          </w:tcPr>
          <w:p w14:paraId="278C4CC7">
            <w:pPr>
              <w:pStyle w:val="58"/>
              <w:bidi w:val="0"/>
              <w:rPr>
                <w:rFonts w:hint="default"/>
                <w:highlight w:val="none"/>
                <w:lang w:val="en-US" w:eastAsia="zh-CN"/>
              </w:rPr>
            </w:pPr>
            <w:r>
              <w:rPr>
                <w:rFonts w:hint="default"/>
                <w:highlight w:val="none"/>
                <w:lang w:val="en-US" w:eastAsia="zh-CN"/>
              </w:rPr>
              <w:t>1.32</w:t>
            </w:r>
          </w:p>
        </w:tc>
        <w:tc>
          <w:tcPr>
            <w:tcW w:w="1121" w:type="pct"/>
            <w:tcBorders>
              <w:tl2br w:val="nil"/>
              <w:tr2bl w:val="nil"/>
            </w:tcBorders>
            <w:noWrap w:val="0"/>
            <w:vAlign w:val="center"/>
          </w:tcPr>
          <w:p w14:paraId="0DEF64CE">
            <w:pPr>
              <w:pStyle w:val="58"/>
              <w:bidi w:val="0"/>
              <w:rPr>
                <w:rFonts w:hint="default"/>
                <w:highlight w:val="none"/>
                <w:lang w:val="en-US" w:eastAsia="zh-CN"/>
              </w:rPr>
            </w:pPr>
            <w:r>
              <w:rPr>
                <w:rFonts w:hint="default"/>
                <w:highlight w:val="none"/>
                <w:lang w:val="en-US" w:eastAsia="zh-CN"/>
              </w:rPr>
              <w:t>达标</w:t>
            </w:r>
          </w:p>
        </w:tc>
      </w:tr>
      <w:tr w14:paraId="6E5F21C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87" w:type="pct"/>
            <w:vMerge w:val="continue"/>
            <w:tcBorders>
              <w:tl2br w:val="nil"/>
              <w:tr2bl w:val="nil"/>
            </w:tcBorders>
            <w:noWrap w:val="0"/>
            <w:vAlign w:val="center"/>
          </w:tcPr>
          <w:p w14:paraId="154B4A88">
            <w:pPr>
              <w:pStyle w:val="58"/>
              <w:bidi w:val="0"/>
              <w:rPr>
                <w:rFonts w:hint="default"/>
                <w:highlight w:val="none"/>
              </w:rPr>
            </w:pPr>
          </w:p>
        </w:tc>
        <w:tc>
          <w:tcPr>
            <w:tcW w:w="504" w:type="pct"/>
            <w:vMerge w:val="continue"/>
            <w:tcBorders>
              <w:tl2br w:val="nil"/>
              <w:tr2bl w:val="nil"/>
            </w:tcBorders>
            <w:noWrap w:val="0"/>
            <w:vAlign w:val="center"/>
          </w:tcPr>
          <w:p w14:paraId="58738CD3">
            <w:pPr>
              <w:pStyle w:val="58"/>
              <w:bidi w:val="0"/>
              <w:rPr>
                <w:rFonts w:hint="default"/>
                <w:highlight w:val="none"/>
              </w:rPr>
            </w:pPr>
          </w:p>
        </w:tc>
        <w:tc>
          <w:tcPr>
            <w:tcW w:w="1361" w:type="pct"/>
            <w:tcBorders>
              <w:tl2br w:val="nil"/>
              <w:tr2bl w:val="nil"/>
            </w:tcBorders>
            <w:noWrap w:val="0"/>
            <w:vAlign w:val="center"/>
          </w:tcPr>
          <w:p w14:paraId="37D7F21A">
            <w:pPr>
              <w:pStyle w:val="58"/>
              <w:bidi w:val="0"/>
              <w:rPr>
                <w:rFonts w:hint="default"/>
                <w:highlight w:val="none"/>
                <w:lang w:val="en-US" w:eastAsia="zh-CN"/>
              </w:rPr>
            </w:pPr>
            <w:r>
              <w:rPr>
                <w:rFonts w:hint="default"/>
                <w:highlight w:val="none"/>
                <w:lang w:eastAsia="zh-CN"/>
              </w:rPr>
              <w:t>标准指数</w:t>
            </w:r>
          </w:p>
        </w:tc>
        <w:tc>
          <w:tcPr>
            <w:tcW w:w="1125" w:type="pct"/>
            <w:tcBorders>
              <w:tl2br w:val="nil"/>
              <w:tr2bl w:val="nil"/>
            </w:tcBorders>
            <w:noWrap w:val="0"/>
            <w:vAlign w:val="center"/>
          </w:tcPr>
          <w:p w14:paraId="53C08F3B">
            <w:pPr>
              <w:pStyle w:val="58"/>
              <w:bidi w:val="0"/>
              <w:rPr>
                <w:rFonts w:hint="default"/>
                <w:highlight w:val="none"/>
                <w:lang w:val="en-US" w:eastAsia="zh-CN"/>
              </w:rPr>
            </w:pPr>
            <w:r>
              <w:rPr>
                <w:rFonts w:hint="default"/>
                <w:highlight w:val="none"/>
                <w:lang w:val="en-US" w:eastAsia="zh-CN"/>
              </w:rPr>
              <w:t>0.0011</w:t>
            </w:r>
          </w:p>
        </w:tc>
        <w:tc>
          <w:tcPr>
            <w:tcW w:w="1121" w:type="pct"/>
            <w:tcBorders>
              <w:tl2br w:val="nil"/>
              <w:tr2bl w:val="nil"/>
            </w:tcBorders>
            <w:noWrap w:val="0"/>
            <w:vAlign w:val="center"/>
          </w:tcPr>
          <w:p w14:paraId="646B3D8A">
            <w:pPr>
              <w:pStyle w:val="58"/>
              <w:bidi w:val="0"/>
              <w:rPr>
                <w:rFonts w:hint="default"/>
                <w:highlight w:val="none"/>
                <w:lang w:val="en-US" w:eastAsia="zh-CN"/>
              </w:rPr>
            </w:pPr>
            <w:r>
              <w:rPr>
                <w:rFonts w:hint="default"/>
                <w:highlight w:val="none"/>
                <w:lang w:val="en-US" w:eastAsia="zh-CN"/>
              </w:rPr>
              <w:t>达标</w:t>
            </w:r>
          </w:p>
        </w:tc>
      </w:tr>
      <w:tr w14:paraId="086E8A2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87" w:type="pct"/>
            <w:tcBorders>
              <w:tl2br w:val="nil"/>
              <w:tr2bl w:val="nil"/>
            </w:tcBorders>
            <w:noWrap w:val="0"/>
            <w:vAlign w:val="center"/>
          </w:tcPr>
          <w:p w14:paraId="49C32754">
            <w:pPr>
              <w:pStyle w:val="58"/>
              <w:bidi w:val="0"/>
              <w:rPr>
                <w:rFonts w:hint="default"/>
                <w:highlight w:val="none"/>
                <w:lang w:val="en-US" w:eastAsia="zh-CN"/>
              </w:rPr>
            </w:pPr>
            <w:r>
              <w:rPr>
                <w:rFonts w:hint="default"/>
                <w:highlight w:val="none"/>
                <w:lang w:val="en-US" w:eastAsia="zh-CN"/>
              </w:rPr>
              <w:t>pH</w:t>
            </w:r>
          </w:p>
        </w:tc>
        <w:tc>
          <w:tcPr>
            <w:tcW w:w="504" w:type="pct"/>
            <w:tcBorders>
              <w:tl2br w:val="nil"/>
              <w:tr2bl w:val="nil"/>
            </w:tcBorders>
            <w:noWrap w:val="0"/>
            <w:vAlign w:val="center"/>
          </w:tcPr>
          <w:p w14:paraId="12C3698F">
            <w:pPr>
              <w:pStyle w:val="58"/>
              <w:bidi w:val="0"/>
              <w:rPr>
                <w:rFonts w:hint="default"/>
                <w:highlight w:val="none"/>
                <w:lang w:val="en-US" w:eastAsia="zh-CN"/>
              </w:rPr>
            </w:pPr>
            <w:r>
              <w:rPr>
                <w:rFonts w:hint="default"/>
                <w:highlight w:val="none"/>
                <w:lang w:val="en-US" w:eastAsia="zh-CN"/>
              </w:rPr>
              <w:t>/</w:t>
            </w:r>
          </w:p>
        </w:tc>
        <w:tc>
          <w:tcPr>
            <w:tcW w:w="1361" w:type="pct"/>
            <w:tcBorders>
              <w:tl2br w:val="nil"/>
              <w:tr2bl w:val="nil"/>
            </w:tcBorders>
            <w:noWrap w:val="0"/>
            <w:vAlign w:val="center"/>
          </w:tcPr>
          <w:p w14:paraId="2784EFEC">
            <w:pPr>
              <w:pStyle w:val="58"/>
              <w:bidi w:val="0"/>
              <w:rPr>
                <w:rFonts w:hint="default"/>
                <w:highlight w:val="none"/>
                <w:lang w:val="en-US" w:eastAsia="zh-CN"/>
              </w:rPr>
            </w:pPr>
            <w:r>
              <w:rPr>
                <w:rFonts w:hint="default"/>
                <w:highlight w:val="none"/>
                <w:lang w:eastAsia="zh-CN"/>
              </w:rPr>
              <w:t>监测值</w:t>
            </w:r>
          </w:p>
        </w:tc>
        <w:tc>
          <w:tcPr>
            <w:tcW w:w="1125" w:type="pct"/>
            <w:tcBorders>
              <w:tl2br w:val="nil"/>
              <w:tr2bl w:val="nil"/>
            </w:tcBorders>
            <w:noWrap w:val="0"/>
            <w:vAlign w:val="center"/>
          </w:tcPr>
          <w:p w14:paraId="24EF3C6B">
            <w:pPr>
              <w:pStyle w:val="58"/>
              <w:bidi w:val="0"/>
              <w:rPr>
                <w:rFonts w:hint="default"/>
                <w:highlight w:val="none"/>
                <w:lang w:val="en-US" w:eastAsia="zh-CN"/>
              </w:rPr>
            </w:pPr>
            <w:r>
              <w:rPr>
                <w:rFonts w:hint="default"/>
                <w:highlight w:val="none"/>
                <w:lang w:val="en-US" w:eastAsia="zh-CN"/>
              </w:rPr>
              <w:t>7.7</w:t>
            </w:r>
          </w:p>
        </w:tc>
        <w:tc>
          <w:tcPr>
            <w:tcW w:w="1121" w:type="pct"/>
            <w:tcBorders>
              <w:tl2br w:val="nil"/>
              <w:tr2bl w:val="nil"/>
            </w:tcBorders>
            <w:noWrap w:val="0"/>
            <w:vAlign w:val="center"/>
          </w:tcPr>
          <w:p w14:paraId="77805956">
            <w:pPr>
              <w:pStyle w:val="58"/>
              <w:bidi w:val="0"/>
              <w:rPr>
                <w:rFonts w:hint="default"/>
                <w:highlight w:val="none"/>
                <w:lang w:val="en-US" w:eastAsia="zh-CN"/>
              </w:rPr>
            </w:pPr>
            <w:r>
              <w:rPr>
                <w:rFonts w:hint="default"/>
                <w:highlight w:val="none"/>
                <w:lang w:val="en-US" w:eastAsia="zh-CN"/>
              </w:rPr>
              <w:t>达标</w:t>
            </w:r>
          </w:p>
        </w:tc>
      </w:tr>
    </w:tbl>
    <w:p w14:paraId="07080088">
      <w:pPr>
        <w:keepNext w:val="0"/>
        <w:keepLines w:val="0"/>
        <w:pageBreakBefore w:val="0"/>
        <w:widowControl w:val="0"/>
        <w:numPr>
          <w:ilvl w:val="0"/>
          <w:numId w:val="30"/>
        </w:numPr>
        <w:kinsoku/>
        <w:wordWrap/>
        <w:overflowPunct/>
        <w:topLinePunct w:val="0"/>
        <w:autoSpaceDE w:val="0"/>
        <w:autoSpaceDN w:val="0"/>
        <w:bidi w:val="0"/>
        <w:adjustRightInd w:val="0"/>
        <w:snapToGrid/>
        <w:spacing w:line="500" w:lineRule="exact"/>
        <w:ind w:left="425" w:leftChars="0" w:hanging="425" w:firstLineChars="0"/>
        <w:jc w:val="center"/>
        <w:textAlignment w:val="auto"/>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pPr>
      <w:r>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t>土壤环境质量现状监测及评价结果（现有工程南侧（引用））</w:t>
      </w:r>
    </w:p>
    <w:tbl>
      <w:tblPr>
        <w:tblStyle w:val="47"/>
        <w:tblW w:w="499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647"/>
        <w:gridCol w:w="936"/>
        <w:gridCol w:w="2528"/>
        <w:gridCol w:w="2089"/>
        <w:gridCol w:w="2082"/>
      </w:tblGrid>
      <w:tr w14:paraId="67E2BD3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2752" w:type="pct"/>
            <w:gridSpan w:val="3"/>
            <w:vMerge w:val="restart"/>
            <w:tcBorders>
              <w:tl2br w:val="nil"/>
              <w:tr2bl w:val="nil"/>
            </w:tcBorders>
            <w:noWrap w:val="0"/>
            <w:vAlign w:val="center"/>
          </w:tcPr>
          <w:p w14:paraId="51D9F02B">
            <w:pPr>
              <w:pStyle w:val="58"/>
              <w:bidi w:val="0"/>
              <w:rPr>
                <w:rFonts w:hint="default"/>
                <w:highlight w:val="none"/>
                <w:lang w:val="en-US" w:eastAsia="zh-CN"/>
              </w:rPr>
            </w:pPr>
            <w:r>
              <w:rPr>
                <w:rFonts w:hint="default"/>
                <w:highlight w:val="none"/>
              </w:rPr>
              <w:t>检测项目</w:t>
            </w:r>
          </w:p>
        </w:tc>
        <w:tc>
          <w:tcPr>
            <w:tcW w:w="1125" w:type="pct"/>
            <w:tcBorders>
              <w:tl2br w:val="nil"/>
              <w:tr2bl w:val="nil"/>
            </w:tcBorders>
            <w:noWrap w:val="0"/>
            <w:vAlign w:val="center"/>
          </w:tcPr>
          <w:p w14:paraId="52E35726">
            <w:pPr>
              <w:pStyle w:val="58"/>
              <w:bidi w:val="0"/>
              <w:rPr>
                <w:rFonts w:hint="default"/>
                <w:highlight w:val="none"/>
                <w:lang w:eastAsia="zh-CN"/>
              </w:rPr>
            </w:pPr>
            <w:r>
              <w:rPr>
                <w:rFonts w:hint="default"/>
                <w:highlight w:val="none"/>
                <w:lang w:eastAsia="zh-CN"/>
              </w:rPr>
              <w:t>检测点位</w:t>
            </w:r>
          </w:p>
        </w:tc>
        <w:tc>
          <w:tcPr>
            <w:tcW w:w="1121" w:type="pct"/>
            <w:vMerge w:val="restart"/>
            <w:tcBorders>
              <w:tl2br w:val="nil"/>
              <w:tr2bl w:val="nil"/>
            </w:tcBorders>
            <w:noWrap w:val="0"/>
            <w:vAlign w:val="center"/>
          </w:tcPr>
          <w:p w14:paraId="31076DC3">
            <w:pPr>
              <w:pStyle w:val="58"/>
              <w:bidi w:val="0"/>
              <w:rPr>
                <w:rFonts w:hint="default"/>
                <w:highlight w:val="none"/>
                <w:lang w:eastAsia="zh-CN"/>
              </w:rPr>
            </w:pPr>
            <w:r>
              <w:rPr>
                <w:rFonts w:hint="default"/>
                <w:highlight w:val="none"/>
                <w:lang w:val="en-US" w:eastAsia="zh-CN"/>
              </w:rPr>
              <w:t>达标情况</w:t>
            </w:r>
          </w:p>
        </w:tc>
      </w:tr>
      <w:tr w14:paraId="31924F6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2752" w:type="pct"/>
            <w:gridSpan w:val="3"/>
            <w:vMerge w:val="continue"/>
            <w:tcBorders>
              <w:tl2br w:val="nil"/>
              <w:tr2bl w:val="nil"/>
            </w:tcBorders>
            <w:noWrap w:val="0"/>
            <w:vAlign w:val="center"/>
          </w:tcPr>
          <w:p w14:paraId="2D593067">
            <w:pPr>
              <w:pStyle w:val="58"/>
              <w:bidi w:val="0"/>
              <w:rPr>
                <w:rFonts w:hint="default"/>
                <w:highlight w:val="none"/>
                <w:lang w:val="en-US" w:eastAsia="zh-CN"/>
              </w:rPr>
            </w:pPr>
          </w:p>
        </w:tc>
        <w:tc>
          <w:tcPr>
            <w:tcW w:w="1125" w:type="pct"/>
            <w:tcBorders>
              <w:tl2br w:val="nil"/>
              <w:tr2bl w:val="nil"/>
            </w:tcBorders>
            <w:noWrap w:val="0"/>
            <w:vAlign w:val="center"/>
          </w:tcPr>
          <w:p w14:paraId="0A22D238">
            <w:pPr>
              <w:pStyle w:val="58"/>
              <w:bidi w:val="0"/>
              <w:rPr>
                <w:rFonts w:hint="default"/>
                <w:highlight w:val="none"/>
                <w:lang w:val="en-US" w:eastAsia="zh-CN"/>
              </w:rPr>
            </w:pPr>
            <w:r>
              <w:rPr>
                <w:rFonts w:hint="default"/>
                <w:highlight w:val="none"/>
                <w:lang w:val="en-US" w:eastAsia="zh-CN"/>
              </w:rPr>
              <w:t>污水处理站东南侧（0~0.</w:t>
            </w:r>
            <w:r>
              <w:rPr>
                <w:rFonts w:hint="eastAsia"/>
                <w:highlight w:val="none"/>
                <w:lang w:val="en-US" w:eastAsia="zh-CN"/>
              </w:rPr>
              <w:t>2</w:t>
            </w:r>
            <w:r>
              <w:rPr>
                <w:rFonts w:hint="default"/>
                <w:highlight w:val="none"/>
                <w:lang w:val="en-US" w:eastAsia="zh-CN"/>
              </w:rPr>
              <w:t>m）</w:t>
            </w:r>
          </w:p>
        </w:tc>
        <w:tc>
          <w:tcPr>
            <w:tcW w:w="1121" w:type="pct"/>
            <w:vMerge w:val="continue"/>
            <w:tcBorders>
              <w:tl2br w:val="nil"/>
              <w:tr2bl w:val="nil"/>
            </w:tcBorders>
            <w:noWrap w:val="0"/>
            <w:vAlign w:val="center"/>
          </w:tcPr>
          <w:p w14:paraId="243EBE91">
            <w:pPr>
              <w:pStyle w:val="58"/>
              <w:bidi w:val="0"/>
              <w:rPr>
                <w:rFonts w:hint="default"/>
                <w:highlight w:val="none"/>
                <w:lang w:val="en-US" w:eastAsia="zh-CN"/>
              </w:rPr>
            </w:pPr>
          </w:p>
        </w:tc>
      </w:tr>
      <w:tr w14:paraId="0F1860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87" w:type="pct"/>
            <w:vMerge w:val="restart"/>
            <w:tcBorders>
              <w:tl2br w:val="nil"/>
              <w:tr2bl w:val="nil"/>
            </w:tcBorders>
            <w:noWrap w:val="0"/>
            <w:vAlign w:val="center"/>
          </w:tcPr>
          <w:p w14:paraId="032B061B">
            <w:pPr>
              <w:pStyle w:val="58"/>
              <w:bidi w:val="0"/>
              <w:rPr>
                <w:rFonts w:hint="default"/>
                <w:highlight w:val="none"/>
                <w:lang w:val="en-US" w:eastAsia="zh-CN"/>
              </w:rPr>
            </w:pPr>
            <w:r>
              <w:rPr>
                <w:rFonts w:hint="default"/>
                <w:highlight w:val="none"/>
              </w:rPr>
              <w:t>石油烃（mg/kg）</w:t>
            </w:r>
          </w:p>
        </w:tc>
        <w:tc>
          <w:tcPr>
            <w:tcW w:w="504" w:type="pct"/>
            <w:vMerge w:val="restart"/>
            <w:tcBorders>
              <w:tl2br w:val="nil"/>
              <w:tr2bl w:val="nil"/>
            </w:tcBorders>
            <w:noWrap w:val="0"/>
            <w:vAlign w:val="center"/>
          </w:tcPr>
          <w:p w14:paraId="345C34E9">
            <w:pPr>
              <w:pStyle w:val="58"/>
              <w:bidi w:val="0"/>
              <w:rPr>
                <w:rFonts w:hint="default"/>
                <w:highlight w:val="none"/>
                <w:lang w:val="en-US" w:eastAsia="zh-CN"/>
              </w:rPr>
            </w:pPr>
            <w:r>
              <w:rPr>
                <w:rFonts w:hint="default"/>
                <w:highlight w:val="none"/>
                <w:lang w:val="en-US" w:eastAsia="zh-CN"/>
              </w:rPr>
              <w:t>4500</w:t>
            </w:r>
          </w:p>
        </w:tc>
        <w:tc>
          <w:tcPr>
            <w:tcW w:w="1361" w:type="pct"/>
            <w:tcBorders>
              <w:tl2br w:val="nil"/>
              <w:tr2bl w:val="nil"/>
            </w:tcBorders>
            <w:noWrap w:val="0"/>
            <w:vAlign w:val="center"/>
          </w:tcPr>
          <w:p w14:paraId="28B76B0F">
            <w:pPr>
              <w:pStyle w:val="58"/>
              <w:bidi w:val="0"/>
              <w:rPr>
                <w:rFonts w:hint="default"/>
                <w:highlight w:val="none"/>
                <w:lang w:val="en-US" w:eastAsia="zh-CN"/>
              </w:rPr>
            </w:pPr>
            <w:r>
              <w:rPr>
                <w:rFonts w:hint="default"/>
                <w:highlight w:val="none"/>
                <w:lang w:eastAsia="zh-CN"/>
              </w:rPr>
              <w:t>监测值</w:t>
            </w:r>
          </w:p>
        </w:tc>
        <w:tc>
          <w:tcPr>
            <w:tcW w:w="1125" w:type="pct"/>
            <w:tcBorders>
              <w:tl2br w:val="nil"/>
              <w:tr2bl w:val="nil"/>
            </w:tcBorders>
            <w:noWrap w:val="0"/>
            <w:vAlign w:val="center"/>
          </w:tcPr>
          <w:p w14:paraId="2394DA60">
            <w:pPr>
              <w:pStyle w:val="58"/>
              <w:bidi w:val="0"/>
              <w:rPr>
                <w:rFonts w:hint="default"/>
                <w:highlight w:val="none"/>
                <w:lang w:val="en-US" w:eastAsia="zh-CN"/>
              </w:rPr>
            </w:pPr>
            <w:r>
              <w:rPr>
                <w:rFonts w:hint="default"/>
                <w:highlight w:val="none"/>
                <w:lang w:val="en-US" w:eastAsia="zh-CN"/>
              </w:rPr>
              <w:t>ND</w:t>
            </w:r>
          </w:p>
        </w:tc>
        <w:tc>
          <w:tcPr>
            <w:tcW w:w="1121" w:type="pct"/>
            <w:tcBorders>
              <w:tl2br w:val="nil"/>
              <w:tr2bl w:val="nil"/>
            </w:tcBorders>
            <w:noWrap w:val="0"/>
            <w:vAlign w:val="center"/>
          </w:tcPr>
          <w:p w14:paraId="15145530">
            <w:pPr>
              <w:pStyle w:val="58"/>
              <w:bidi w:val="0"/>
              <w:rPr>
                <w:rFonts w:hint="default"/>
                <w:highlight w:val="none"/>
                <w:lang w:val="en-US" w:eastAsia="zh-CN"/>
              </w:rPr>
            </w:pPr>
            <w:r>
              <w:rPr>
                <w:rFonts w:hint="default"/>
                <w:highlight w:val="none"/>
                <w:lang w:val="en-US" w:eastAsia="zh-CN"/>
              </w:rPr>
              <w:t>达标</w:t>
            </w:r>
          </w:p>
        </w:tc>
      </w:tr>
      <w:tr w14:paraId="523704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87" w:type="pct"/>
            <w:vMerge w:val="continue"/>
            <w:tcBorders>
              <w:tl2br w:val="nil"/>
              <w:tr2bl w:val="nil"/>
            </w:tcBorders>
            <w:noWrap w:val="0"/>
            <w:vAlign w:val="center"/>
          </w:tcPr>
          <w:p w14:paraId="4657A723">
            <w:pPr>
              <w:pStyle w:val="58"/>
              <w:bidi w:val="0"/>
              <w:rPr>
                <w:rFonts w:hint="default"/>
                <w:highlight w:val="none"/>
              </w:rPr>
            </w:pPr>
          </w:p>
        </w:tc>
        <w:tc>
          <w:tcPr>
            <w:tcW w:w="504" w:type="pct"/>
            <w:vMerge w:val="continue"/>
            <w:tcBorders>
              <w:tl2br w:val="nil"/>
              <w:tr2bl w:val="nil"/>
            </w:tcBorders>
            <w:noWrap w:val="0"/>
            <w:vAlign w:val="center"/>
          </w:tcPr>
          <w:p w14:paraId="6998E5F5">
            <w:pPr>
              <w:pStyle w:val="58"/>
              <w:bidi w:val="0"/>
              <w:rPr>
                <w:rFonts w:hint="default"/>
                <w:highlight w:val="none"/>
              </w:rPr>
            </w:pPr>
          </w:p>
        </w:tc>
        <w:tc>
          <w:tcPr>
            <w:tcW w:w="1361" w:type="pct"/>
            <w:tcBorders>
              <w:tl2br w:val="nil"/>
              <w:tr2bl w:val="nil"/>
            </w:tcBorders>
            <w:noWrap w:val="0"/>
            <w:vAlign w:val="center"/>
          </w:tcPr>
          <w:p w14:paraId="7CD2B15D">
            <w:pPr>
              <w:pStyle w:val="58"/>
              <w:bidi w:val="0"/>
              <w:rPr>
                <w:rFonts w:hint="default"/>
                <w:highlight w:val="none"/>
                <w:lang w:val="en-US" w:eastAsia="zh-CN"/>
              </w:rPr>
            </w:pPr>
            <w:r>
              <w:rPr>
                <w:rFonts w:hint="default"/>
                <w:highlight w:val="none"/>
                <w:lang w:eastAsia="zh-CN"/>
              </w:rPr>
              <w:t>标准指数</w:t>
            </w:r>
          </w:p>
        </w:tc>
        <w:tc>
          <w:tcPr>
            <w:tcW w:w="1125" w:type="pct"/>
            <w:tcBorders>
              <w:tl2br w:val="nil"/>
              <w:tr2bl w:val="nil"/>
            </w:tcBorders>
            <w:noWrap w:val="0"/>
            <w:vAlign w:val="center"/>
          </w:tcPr>
          <w:p w14:paraId="0492357B">
            <w:pPr>
              <w:pStyle w:val="58"/>
              <w:bidi w:val="0"/>
              <w:rPr>
                <w:rFonts w:hint="default"/>
                <w:highlight w:val="none"/>
                <w:lang w:val="en-US" w:eastAsia="zh-CN"/>
              </w:rPr>
            </w:pPr>
            <w:r>
              <w:rPr>
                <w:rFonts w:hint="default"/>
                <w:highlight w:val="none"/>
                <w:lang w:val="en-US" w:eastAsia="zh-CN"/>
              </w:rPr>
              <w:t>-</w:t>
            </w:r>
          </w:p>
        </w:tc>
        <w:tc>
          <w:tcPr>
            <w:tcW w:w="1121" w:type="pct"/>
            <w:tcBorders>
              <w:tl2br w:val="nil"/>
              <w:tr2bl w:val="nil"/>
            </w:tcBorders>
            <w:noWrap w:val="0"/>
            <w:vAlign w:val="center"/>
          </w:tcPr>
          <w:p w14:paraId="200243B4">
            <w:pPr>
              <w:pStyle w:val="58"/>
              <w:bidi w:val="0"/>
              <w:rPr>
                <w:rFonts w:hint="default"/>
                <w:highlight w:val="none"/>
                <w:lang w:val="en-US" w:eastAsia="zh-CN"/>
              </w:rPr>
            </w:pPr>
            <w:r>
              <w:rPr>
                <w:rFonts w:hint="default"/>
                <w:highlight w:val="none"/>
                <w:lang w:val="en-US" w:eastAsia="zh-CN"/>
              </w:rPr>
              <w:t>达标</w:t>
            </w:r>
          </w:p>
        </w:tc>
      </w:tr>
      <w:tr w14:paraId="5DC1E32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87" w:type="pct"/>
            <w:vMerge w:val="restart"/>
            <w:tcBorders>
              <w:tl2br w:val="nil"/>
              <w:tr2bl w:val="nil"/>
            </w:tcBorders>
            <w:noWrap w:val="0"/>
            <w:vAlign w:val="center"/>
          </w:tcPr>
          <w:p w14:paraId="70E55EC7">
            <w:pPr>
              <w:pStyle w:val="58"/>
              <w:bidi w:val="0"/>
              <w:rPr>
                <w:rFonts w:hint="default"/>
                <w:highlight w:val="none"/>
              </w:rPr>
            </w:pPr>
            <w:r>
              <w:rPr>
                <w:rFonts w:hint="default"/>
                <w:highlight w:val="none"/>
                <w:lang w:val="en-US" w:eastAsia="zh-CN"/>
              </w:rPr>
              <w:t>氨氮</w:t>
            </w:r>
            <w:r>
              <w:rPr>
                <w:rFonts w:hint="default"/>
                <w:highlight w:val="none"/>
              </w:rPr>
              <w:t>（mg/kg）</w:t>
            </w:r>
          </w:p>
        </w:tc>
        <w:tc>
          <w:tcPr>
            <w:tcW w:w="504" w:type="pct"/>
            <w:vMerge w:val="restart"/>
            <w:tcBorders>
              <w:tl2br w:val="nil"/>
              <w:tr2bl w:val="nil"/>
            </w:tcBorders>
            <w:noWrap w:val="0"/>
            <w:vAlign w:val="center"/>
          </w:tcPr>
          <w:p w14:paraId="1F98FD45">
            <w:pPr>
              <w:pStyle w:val="58"/>
              <w:bidi w:val="0"/>
              <w:rPr>
                <w:rFonts w:hint="default"/>
                <w:highlight w:val="none"/>
                <w:lang w:val="en-US" w:eastAsia="zh-CN"/>
              </w:rPr>
            </w:pPr>
            <w:r>
              <w:rPr>
                <w:rFonts w:hint="default"/>
                <w:highlight w:val="none"/>
                <w:lang w:val="en-US" w:eastAsia="zh-CN"/>
              </w:rPr>
              <w:t>1200</w:t>
            </w:r>
          </w:p>
        </w:tc>
        <w:tc>
          <w:tcPr>
            <w:tcW w:w="1361" w:type="pct"/>
            <w:tcBorders>
              <w:tl2br w:val="nil"/>
              <w:tr2bl w:val="nil"/>
            </w:tcBorders>
            <w:noWrap w:val="0"/>
            <w:vAlign w:val="center"/>
          </w:tcPr>
          <w:p w14:paraId="7D752FF6">
            <w:pPr>
              <w:pStyle w:val="58"/>
              <w:bidi w:val="0"/>
              <w:rPr>
                <w:rFonts w:hint="default"/>
                <w:highlight w:val="none"/>
                <w:lang w:val="en-US" w:eastAsia="zh-CN"/>
              </w:rPr>
            </w:pPr>
            <w:r>
              <w:rPr>
                <w:rFonts w:hint="default"/>
                <w:highlight w:val="none"/>
                <w:lang w:eastAsia="zh-CN"/>
              </w:rPr>
              <w:t>监测值</w:t>
            </w:r>
          </w:p>
        </w:tc>
        <w:tc>
          <w:tcPr>
            <w:tcW w:w="1125" w:type="pct"/>
            <w:tcBorders>
              <w:tl2br w:val="nil"/>
              <w:tr2bl w:val="nil"/>
            </w:tcBorders>
            <w:noWrap w:val="0"/>
            <w:vAlign w:val="center"/>
          </w:tcPr>
          <w:p w14:paraId="10C8B039">
            <w:pPr>
              <w:pStyle w:val="58"/>
              <w:bidi w:val="0"/>
              <w:rPr>
                <w:rFonts w:hint="default"/>
                <w:highlight w:val="none"/>
                <w:lang w:val="en-US" w:eastAsia="zh-CN"/>
              </w:rPr>
            </w:pPr>
            <w:r>
              <w:rPr>
                <w:rFonts w:hint="default"/>
                <w:highlight w:val="none"/>
                <w:lang w:val="en-US" w:eastAsia="zh-CN"/>
              </w:rPr>
              <w:t>/</w:t>
            </w:r>
          </w:p>
        </w:tc>
        <w:tc>
          <w:tcPr>
            <w:tcW w:w="1121" w:type="pct"/>
            <w:tcBorders>
              <w:tl2br w:val="nil"/>
              <w:tr2bl w:val="nil"/>
            </w:tcBorders>
            <w:noWrap w:val="0"/>
            <w:vAlign w:val="center"/>
          </w:tcPr>
          <w:p w14:paraId="3994AA74">
            <w:pPr>
              <w:pStyle w:val="58"/>
              <w:bidi w:val="0"/>
              <w:rPr>
                <w:rFonts w:hint="default"/>
                <w:highlight w:val="none"/>
                <w:lang w:val="en-US" w:eastAsia="zh-CN"/>
              </w:rPr>
            </w:pPr>
            <w:r>
              <w:rPr>
                <w:rFonts w:hint="default"/>
                <w:highlight w:val="none"/>
                <w:lang w:val="en-US" w:eastAsia="zh-CN"/>
              </w:rPr>
              <w:t>达标</w:t>
            </w:r>
          </w:p>
        </w:tc>
      </w:tr>
      <w:tr w14:paraId="0BCF333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87" w:type="pct"/>
            <w:vMerge w:val="continue"/>
            <w:tcBorders>
              <w:tl2br w:val="nil"/>
              <w:tr2bl w:val="nil"/>
            </w:tcBorders>
            <w:noWrap w:val="0"/>
            <w:vAlign w:val="center"/>
          </w:tcPr>
          <w:p w14:paraId="28FA7546">
            <w:pPr>
              <w:pStyle w:val="58"/>
              <w:bidi w:val="0"/>
              <w:rPr>
                <w:rFonts w:hint="default"/>
                <w:highlight w:val="none"/>
              </w:rPr>
            </w:pPr>
          </w:p>
        </w:tc>
        <w:tc>
          <w:tcPr>
            <w:tcW w:w="504" w:type="pct"/>
            <w:vMerge w:val="continue"/>
            <w:tcBorders>
              <w:tl2br w:val="nil"/>
              <w:tr2bl w:val="nil"/>
            </w:tcBorders>
            <w:noWrap w:val="0"/>
            <w:vAlign w:val="center"/>
          </w:tcPr>
          <w:p w14:paraId="6B91DD1F">
            <w:pPr>
              <w:pStyle w:val="58"/>
              <w:bidi w:val="0"/>
              <w:rPr>
                <w:rFonts w:hint="default"/>
                <w:highlight w:val="none"/>
              </w:rPr>
            </w:pPr>
          </w:p>
        </w:tc>
        <w:tc>
          <w:tcPr>
            <w:tcW w:w="1361" w:type="pct"/>
            <w:tcBorders>
              <w:tl2br w:val="nil"/>
              <w:tr2bl w:val="nil"/>
            </w:tcBorders>
            <w:noWrap w:val="0"/>
            <w:vAlign w:val="center"/>
          </w:tcPr>
          <w:p w14:paraId="2E894499">
            <w:pPr>
              <w:pStyle w:val="58"/>
              <w:bidi w:val="0"/>
              <w:rPr>
                <w:rFonts w:hint="default"/>
                <w:highlight w:val="none"/>
                <w:lang w:val="en-US" w:eastAsia="zh-CN"/>
              </w:rPr>
            </w:pPr>
            <w:r>
              <w:rPr>
                <w:rFonts w:hint="default"/>
                <w:highlight w:val="none"/>
                <w:lang w:eastAsia="zh-CN"/>
              </w:rPr>
              <w:t>标准指数</w:t>
            </w:r>
          </w:p>
        </w:tc>
        <w:tc>
          <w:tcPr>
            <w:tcW w:w="1125" w:type="pct"/>
            <w:tcBorders>
              <w:tl2br w:val="nil"/>
              <w:tr2bl w:val="nil"/>
            </w:tcBorders>
            <w:noWrap w:val="0"/>
            <w:vAlign w:val="center"/>
          </w:tcPr>
          <w:p w14:paraId="192BFADF">
            <w:pPr>
              <w:pStyle w:val="58"/>
              <w:bidi w:val="0"/>
              <w:rPr>
                <w:rFonts w:hint="default"/>
                <w:highlight w:val="none"/>
                <w:lang w:val="en-US" w:eastAsia="zh-CN"/>
              </w:rPr>
            </w:pPr>
            <w:r>
              <w:rPr>
                <w:rFonts w:hint="default"/>
                <w:highlight w:val="none"/>
                <w:lang w:val="en-US" w:eastAsia="zh-CN"/>
              </w:rPr>
              <w:t>/</w:t>
            </w:r>
          </w:p>
        </w:tc>
        <w:tc>
          <w:tcPr>
            <w:tcW w:w="1121" w:type="pct"/>
            <w:tcBorders>
              <w:tl2br w:val="nil"/>
              <w:tr2bl w:val="nil"/>
            </w:tcBorders>
            <w:noWrap w:val="0"/>
            <w:vAlign w:val="center"/>
          </w:tcPr>
          <w:p w14:paraId="76CFAFE8">
            <w:pPr>
              <w:pStyle w:val="58"/>
              <w:bidi w:val="0"/>
              <w:rPr>
                <w:rFonts w:hint="default"/>
                <w:highlight w:val="none"/>
                <w:lang w:val="en-US" w:eastAsia="zh-CN"/>
              </w:rPr>
            </w:pPr>
            <w:r>
              <w:rPr>
                <w:rFonts w:hint="default"/>
                <w:highlight w:val="none"/>
                <w:lang w:val="en-US" w:eastAsia="zh-CN"/>
              </w:rPr>
              <w:t>达标</w:t>
            </w:r>
          </w:p>
        </w:tc>
      </w:tr>
      <w:tr w14:paraId="22256D4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87" w:type="pct"/>
            <w:tcBorders>
              <w:tl2br w:val="nil"/>
              <w:tr2bl w:val="nil"/>
            </w:tcBorders>
            <w:noWrap w:val="0"/>
            <w:vAlign w:val="center"/>
          </w:tcPr>
          <w:p w14:paraId="2FD4C25E">
            <w:pPr>
              <w:pStyle w:val="58"/>
              <w:bidi w:val="0"/>
              <w:rPr>
                <w:rFonts w:hint="default"/>
                <w:highlight w:val="none"/>
                <w:lang w:val="en-US" w:eastAsia="zh-CN"/>
              </w:rPr>
            </w:pPr>
            <w:r>
              <w:rPr>
                <w:rFonts w:hint="default"/>
                <w:highlight w:val="none"/>
                <w:lang w:val="en-US" w:eastAsia="zh-CN"/>
              </w:rPr>
              <w:t>pH</w:t>
            </w:r>
          </w:p>
        </w:tc>
        <w:tc>
          <w:tcPr>
            <w:tcW w:w="504" w:type="pct"/>
            <w:tcBorders>
              <w:tl2br w:val="nil"/>
              <w:tr2bl w:val="nil"/>
            </w:tcBorders>
            <w:noWrap w:val="0"/>
            <w:vAlign w:val="center"/>
          </w:tcPr>
          <w:p w14:paraId="562CD2B4">
            <w:pPr>
              <w:pStyle w:val="58"/>
              <w:bidi w:val="0"/>
              <w:rPr>
                <w:rFonts w:hint="default"/>
                <w:highlight w:val="none"/>
                <w:lang w:val="en-US" w:eastAsia="zh-CN"/>
              </w:rPr>
            </w:pPr>
            <w:r>
              <w:rPr>
                <w:rFonts w:hint="default"/>
                <w:highlight w:val="none"/>
                <w:lang w:val="en-US" w:eastAsia="zh-CN"/>
              </w:rPr>
              <w:t>/</w:t>
            </w:r>
          </w:p>
        </w:tc>
        <w:tc>
          <w:tcPr>
            <w:tcW w:w="1361" w:type="pct"/>
            <w:tcBorders>
              <w:tl2br w:val="nil"/>
              <w:tr2bl w:val="nil"/>
            </w:tcBorders>
            <w:noWrap w:val="0"/>
            <w:vAlign w:val="center"/>
          </w:tcPr>
          <w:p w14:paraId="2B4E25DA">
            <w:pPr>
              <w:pStyle w:val="58"/>
              <w:bidi w:val="0"/>
              <w:rPr>
                <w:rFonts w:hint="default"/>
                <w:highlight w:val="none"/>
                <w:lang w:val="en-US" w:eastAsia="zh-CN"/>
              </w:rPr>
            </w:pPr>
            <w:r>
              <w:rPr>
                <w:rFonts w:hint="default"/>
                <w:highlight w:val="none"/>
                <w:lang w:eastAsia="zh-CN"/>
              </w:rPr>
              <w:t>监测值</w:t>
            </w:r>
          </w:p>
        </w:tc>
        <w:tc>
          <w:tcPr>
            <w:tcW w:w="1125" w:type="pct"/>
            <w:tcBorders>
              <w:tl2br w:val="nil"/>
              <w:tr2bl w:val="nil"/>
            </w:tcBorders>
            <w:noWrap w:val="0"/>
            <w:vAlign w:val="center"/>
          </w:tcPr>
          <w:p w14:paraId="44CB7719">
            <w:pPr>
              <w:pStyle w:val="58"/>
              <w:bidi w:val="0"/>
              <w:rPr>
                <w:rFonts w:hint="default"/>
                <w:highlight w:val="none"/>
                <w:lang w:val="en-US" w:eastAsia="zh-CN"/>
              </w:rPr>
            </w:pPr>
            <w:r>
              <w:rPr>
                <w:rFonts w:hint="default"/>
                <w:highlight w:val="none"/>
                <w:lang w:val="en-US" w:eastAsia="zh-CN"/>
              </w:rPr>
              <w:t>/</w:t>
            </w:r>
          </w:p>
        </w:tc>
        <w:tc>
          <w:tcPr>
            <w:tcW w:w="1121" w:type="pct"/>
            <w:tcBorders>
              <w:tl2br w:val="nil"/>
              <w:tr2bl w:val="nil"/>
            </w:tcBorders>
            <w:noWrap w:val="0"/>
            <w:vAlign w:val="center"/>
          </w:tcPr>
          <w:p w14:paraId="113AF654">
            <w:pPr>
              <w:pStyle w:val="58"/>
              <w:bidi w:val="0"/>
              <w:rPr>
                <w:rFonts w:hint="default"/>
                <w:highlight w:val="none"/>
                <w:lang w:val="en-US" w:eastAsia="zh-CN"/>
              </w:rPr>
            </w:pPr>
            <w:r>
              <w:rPr>
                <w:rFonts w:hint="default"/>
                <w:highlight w:val="none"/>
                <w:lang w:val="en-US" w:eastAsia="zh-CN"/>
              </w:rPr>
              <w:t>达标</w:t>
            </w:r>
          </w:p>
        </w:tc>
      </w:tr>
    </w:tbl>
    <w:p w14:paraId="7F8CBB90">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由土壤环境质量现状评价结果可知，建设用地监测点位所有因子均能满足《土壤环境质量建设用地土壤污染风险管控标准（试行）》（GB36600-2018）表1第二类用地风险筛选值要求。</w:t>
      </w:r>
    </w:p>
    <w:p w14:paraId="2111DCDC">
      <w:pPr>
        <w:keepNext w:val="0"/>
        <w:keepLines w:val="0"/>
        <w:pageBreakBefore w:val="0"/>
        <w:widowControl w:val="0"/>
        <w:kinsoku/>
        <w:wordWrap/>
        <w:overflowPunct/>
        <w:topLinePunct w:val="0"/>
        <w:autoSpaceDE/>
        <w:autoSpaceDN/>
        <w:bidi w:val="0"/>
        <w:adjustRightInd/>
        <w:snapToGrid/>
        <w:spacing w:line="480" w:lineRule="exact"/>
        <w:ind w:firstLine="0" w:firstLineChars="0"/>
        <w:jc w:val="both"/>
        <w:textAlignment w:val="auto"/>
        <w:outlineLvl w:val="3"/>
        <w:rPr>
          <w:rFonts w:hint="default" w:ascii="Times New Roman" w:hAnsi="Times New Roman" w:eastAsia="宋体" w:cs="Times New Roman"/>
          <w:b/>
          <w:bCs/>
          <w:color w:val="000000" w:themeColor="text1"/>
          <w:sz w:val="24"/>
          <w:highlight w:val="none"/>
          <w14:textFill>
            <w14:solidFill>
              <w14:schemeClr w14:val="tx1"/>
            </w14:solidFill>
          </w14:textFill>
        </w:rPr>
      </w:pPr>
      <w:r>
        <w:rPr>
          <w:rFonts w:hint="default" w:ascii="Times New Roman" w:hAnsi="Times New Roman" w:eastAsia="宋体" w:cs="Times New Roman"/>
          <w:b/>
          <w:bCs/>
          <w:color w:val="000000" w:themeColor="text1"/>
          <w:sz w:val="24"/>
          <w:highlight w:val="none"/>
          <w14:textFill>
            <w14:solidFill>
              <w14:schemeClr w14:val="tx1"/>
            </w14:solidFill>
          </w14:textFill>
        </w:rPr>
        <w:fldChar w:fldCharType="begin"/>
      </w:r>
      <w:r>
        <w:rPr>
          <w:rFonts w:hint="default" w:ascii="Times New Roman" w:hAnsi="Times New Roman" w:eastAsia="宋体" w:cs="Times New Roman"/>
          <w:b/>
          <w:bCs/>
          <w:color w:val="000000" w:themeColor="text1"/>
          <w:sz w:val="24"/>
          <w:highlight w:val="none"/>
          <w14:textFill>
            <w14:solidFill>
              <w14:schemeClr w14:val="tx1"/>
            </w14:solidFill>
          </w14:textFill>
        </w:rPr>
        <w:instrText xml:space="preserve"> HYPERLINK "4.3.5.2" </w:instrText>
      </w:r>
      <w:r>
        <w:rPr>
          <w:rFonts w:hint="default" w:ascii="Times New Roman" w:hAnsi="Times New Roman" w:eastAsia="宋体" w:cs="Times New Roman"/>
          <w:b/>
          <w:bCs/>
          <w:color w:val="000000" w:themeColor="text1"/>
          <w:sz w:val="24"/>
          <w:highlight w:val="none"/>
          <w14:textFill>
            <w14:solidFill>
              <w14:schemeClr w14:val="tx1"/>
            </w14:solidFill>
          </w14:textFill>
        </w:rPr>
        <w:fldChar w:fldCharType="separate"/>
      </w:r>
      <w:r>
        <w:rPr>
          <w:rFonts w:hint="default" w:ascii="Times New Roman" w:hAnsi="Times New Roman" w:eastAsia="宋体" w:cs="Times New Roman"/>
          <w:b/>
          <w:bCs/>
          <w:color w:val="000000" w:themeColor="text1"/>
          <w:sz w:val="24"/>
          <w:highlight w:val="none"/>
          <w14:textFill>
            <w14:solidFill>
              <w14:schemeClr w14:val="tx1"/>
            </w14:solidFill>
          </w14:textFill>
        </w:rPr>
        <w:t>4.3.</w:t>
      </w:r>
      <w:r>
        <w:rPr>
          <w:rFonts w:hint="default" w:ascii="Times New Roman" w:hAnsi="Times New Roman" w:eastAsia="宋体" w:cs="Times New Roman"/>
          <w:b/>
          <w:bCs/>
          <w:color w:val="000000" w:themeColor="text1"/>
          <w:sz w:val="24"/>
          <w:highlight w:val="none"/>
          <w:lang w:val="en-US" w:eastAsia="zh-CN"/>
          <w14:textFill>
            <w14:solidFill>
              <w14:schemeClr w14:val="tx1"/>
            </w14:solidFill>
          </w14:textFill>
        </w:rPr>
        <w:t>4</w:t>
      </w:r>
      <w:r>
        <w:rPr>
          <w:rFonts w:hint="default" w:ascii="Times New Roman" w:hAnsi="Times New Roman" w:eastAsia="宋体" w:cs="Times New Roman"/>
          <w:b/>
          <w:bCs/>
          <w:color w:val="000000" w:themeColor="text1"/>
          <w:sz w:val="24"/>
          <w:highlight w:val="none"/>
          <w14:textFill>
            <w14:solidFill>
              <w14:schemeClr w14:val="tx1"/>
            </w14:solidFill>
          </w14:textFill>
        </w:rPr>
        <w:fldChar w:fldCharType="end"/>
      </w:r>
      <w:r>
        <w:rPr>
          <w:rFonts w:hint="default" w:ascii="Times New Roman" w:hAnsi="Times New Roman" w:eastAsia="宋体" w:cs="Times New Roman"/>
          <w:b/>
          <w:bCs/>
          <w:color w:val="000000" w:themeColor="text1"/>
          <w:sz w:val="24"/>
          <w:highlight w:val="none"/>
          <w:lang w:val="en-US" w:eastAsia="zh-CN"/>
          <w14:textFill>
            <w14:solidFill>
              <w14:schemeClr w14:val="tx1"/>
            </w14:solidFill>
          </w14:textFill>
        </w:rPr>
        <w:t>.3</w:t>
      </w:r>
      <w:r>
        <w:rPr>
          <w:rFonts w:hint="default" w:ascii="Times New Roman" w:hAnsi="Times New Roman" w:eastAsia="宋体" w:cs="Times New Roman"/>
          <w:b/>
          <w:bCs/>
          <w:color w:val="000000" w:themeColor="text1"/>
          <w:sz w:val="24"/>
          <w:highlight w:val="none"/>
          <w14:textFill>
            <w14:solidFill>
              <w14:schemeClr w14:val="tx1"/>
            </w14:solidFill>
          </w14:textFill>
        </w:rPr>
        <w:t>土壤浸溶成分分析</w:t>
      </w:r>
    </w:p>
    <w:p w14:paraId="1DC72A52">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根据《环境影响评价技术导则-地下水环境》（HJ610-2016），地下水一、二级评价的改扩建项目需对土壤样品进行浸溶实验，分析浸溶液成分。</w:t>
      </w:r>
    </w:p>
    <w:p w14:paraId="133EE36A">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根据《环境影响评价技术导则—地下水环境》（HJ610-2016）相关要求，为查明厂区包气带环境现状，开展了包气带环境质量现状监测。对厂区包气带进行分层取样，样品进行浸溶试验，测试分析浸溶液成分，对比分析厂区土壤是否受污染。</w:t>
      </w:r>
    </w:p>
    <w:p w14:paraId="2D79E982">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1、监测点位</w:t>
      </w:r>
    </w:p>
    <w:p w14:paraId="417AA3C8">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位于厂区东北侧、现有污水处理站南侧各设置1个检测点位（共2个），在土壤裸露处地表0-20cm、20cm-40cm取样，取样时需描述土样岩性、颜色、味道等直观特征，如有土样有明显异味、颜色变化等特征则继续向下取样，取样深度定位变化明显的层位，直至土样颜色变化稳定、无异味；取样之后进行浸溶试验，测试分析浸溶液中各因子浓度。</w:t>
      </w:r>
    </w:p>
    <w:p w14:paraId="4A1B33D9">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2、监测因子</w:t>
      </w:r>
    </w:p>
    <w:p w14:paraId="4FD55A7D">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根据项目特征，确定包气带监测因子为：pH、氨氮、硝酸盐氮、亚硝酸盐氮、总硬度、溶解性总固体、耗氧量、硫酸盐、氯化物、石油类。</w:t>
      </w:r>
    </w:p>
    <w:p w14:paraId="6BC1C62E">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3、监测时间及频次</w:t>
      </w:r>
    </w:p>
    <w:p w14:paraId="4CE1C522">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采样1天，采样1次。</w:t>
      </w:r>
    </w:p>
    <w:p w14:paraId="74759F09">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4、包气带浸出液监测分析方法</w:t>
      </w:r>
    </w:p>
    <w:p w14:paraId="3E253C50">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样品进行浸溶实验，测试分析浸溶液成分，按《生活饮用水标准检验方法》(GB5750-20</w:t>
      </w:r>
      <w:r>
        <w:rPr>
          <w:rFonts w:hint="eastAsia" w:cs="Times New Roman"/>
          <w:color w:val="000000" w:themeColor="text1"/>
          <w:sz w:val="24"/>
          <w:szCs w:val="24"/>
          <w:highlight w:val="none"/>
          <w:lang w:val="en-US" w:eastAsia="zh-CN"/>
          <w14:textFill>
            <w14:solidFill>
              <w14:schemeClr w14:val="tx1"/>
            </w14:solidFill>
          </w14:textFill>
        </w:rPr>
        <w:t>23</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)、《地下水环境监测技术规范》（HJ164-2020）、《地下水环境质量标准》（GB/T14848-2017）中确定的方法执行。</w:t>
      </w:r>
    </w:p>
    <w:p w14:paraId="7F419F88">
      <w:pPr>
        <w:keepNext w:val="0"/>
        <w:keepLines w:val="0"/>
        <w:pageBreakBefore w:val="0"/>
        <w:widowControl w:val="0"/>
        <w:numPr>
          <w:ilvl w:val="0"/>
          <w:numId w:val="30"/>
        </w:numPr>
        <w:kinsoku/>
        <w:wordWrap/>
        <w:overflowPunct/>
        <w:topLinePunct w:val="0"/>
        <w:autoSpaceDE w:val="0"/>
        <w:autoSpaceDN w:val="0"/>
        <w:bidi w:val="0"/>
        <w:adjustRightInd w:val="0"/>
        <w:snapToGrid/>
        <w:spacing w:line="500" w:lineRule="exact"/>
        <w:ind w:left="425" w:leftChars="0" w:hanging="425" w:firstLineChars="0"/>
        <w:jc w:val="center"/>
        <w:textAlignment w:val="auto"/>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pPr>
      <w:r>
        <w:rPr>
          <w:rFonts w:hint="default" w:ascii="Times New Roman" w:hAnsi="Times New Roman" w:eastAsia="宋体" w:cs="Times New Roman"/>
          <w:b/>
          <w:bCs w:val="0"/>
          <w:color w:val="000000" w:themeColor="text1"/>
          <w:sz w:val="25"/>
          <w:szCs w:val="25"/>
          <w:highlight w:val="none"/>
          <w:shd w:val="clear" w:color="auto" w:fill="auto"/>
          <w:lang w:val="en-US" w:eastAsia="zh-CN"/>
          <w14:textFill>
            <w14:solidFill>
              <w14:schemeClr w14:val="tx1"/>
            </w14:solidFill>
          </w14:textFill>
        </w:rPr>
        <w:t>厂区土壤浸出液结果一览表</w:t>
      </w:r>
    </w:p>
    <w:p w14:paraId="72612BDB">
      <w:pPr>
        <w:spacing w:line="16" w:lineRule="exact"/>
        <w:rPr>
          <w:rFonts w:hint="default" w:ascii="Times New Roman" w:hAnsi="Times New Roman" w:eastAsia="宋体" w:cs="Times New Roman"/>
          <w:highlight w:val="none"/>
        </w:rPr>
      </w:pPr>
    </w:p>
    <w:tbl>
      <w:tblPr>
        <w:tblStyle w:val="88"/>
        <w:tblpPr w:leftFromText="180" w:rightFromText="180" w:vertAnchor="text" w:horzAnchor="page" w:tblpX="1423" w:tblpY="22"/>
        <w:tblOverlap w:val="never"/>
        <w:tblW w:w="4993"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1052"/>
        <w:gridCol w:w="670"/>
        <w:gridCol w:w="1839"/>
        <w:gridCol w:w="1839"/>
        <w:gridCol w:w="1839"/>
        <w:gridCol w:w="1850"/>
      </w:tblGrid>
      <w:tr w14:paraId="3AB2755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2" w:hRule="atLeast"/>
        </w:trPr>
        <w:tc>
          <w:tcPr>
            <w:tcW w:w="579" w:type="pct"/>
            <w:vMerge w:val="restart"/>
            <w:vAlign w:val="center"/>
          </w:tcPr>
          <w:p w14:paraId="28039EC2">
            <w:pPr>
              <w:pStyle w:val="58"/>
              <w:bidi w:val="0"/>
              <w:rPr>
                <w:rFonts w:hint="default"/>
                <w:highlight w:val="none"/>
              </w:rPr>
            </w:pPr>
            <w:r>
              <w:rPr>
                <w:rFonts w:hint="default"/>
                <w:highlight w:val="none"/>
              </w:rPr>
              <w:t>检测项目</w:t>
            </w:r>
          </w:p>
        </w:tc>
        <w:tc>
          <w:tcPr>
            <w:tcW w:w="369" w:type="pct"/>
            <w:vMerge w:val="restart"/>
            <w:vAlign w:val="center"/>
          </w:tcPr>
          <w:p w14:paraId="5193CA8B">
            <w:pPr>
              <w:pStyle w:val="58"/>
              <w:bidi w:val="0"/>
              <w:rPr>
                <w:rFonts w:hint="default"/>
                <w:highlight w:val="none"/>
              </w:rPr>
            </w:pPr>
            <w:r>
              <w:rPr>
                <w:rFonts w:hint="default"/>
                <w:highlight w:val="none"/>
              </w:rPr>
              <w:t>单位</w:t>
            </w:r>
          </w:p>
        </w:tc>
        <w:tc>
          <w:tcPr>
            <w:tcW w:w="4050" w:type="pct"/>
            <w:gridSpan w:val="4"/>
            <w:vAlign w:val="center"/>
          </w:tcPr>
          <w:p w14:paraId="041DAEB7">
            <w:pPr>
              <w:pStyle w:val="58"/>
              <w:bidi w:val="0"/>
              <w:rPr>
                <w:rFonts w:hint="default"/>
                <w:highlight w:val="none"/>
              </w:rPr>
            </w:pPr>
            <w:r>
              <w:rPr>
                <w:rFonts w:hint="default"/>
                <w:highlight w:val="none"/>
              </w:rPr>
              <w:t>检测点位及结果</w:t>
            </w:r>
          </w:p>
        </w:tc>
      </w:tr>
      <w:tr w14:paraId="245548A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75" w:hRule="atLeast"/>
        </w:trPr>
        <w:tc>
          <w:tcPr>
            <w:tcW w:w="579" w:type="pct"/>
            <w:vMerge w:val="continue"/>
            <w:vAlign w:val="center"/>
          </w:tcPr>
          <w:p w14:paraId="54029BED">
            <w:pPr>
              <w:pStyle w:val="58"/>
              <w:bidi w:val="0"/>
              <w:rPr>
                <w:rFonts w:hint="default"/>
                <w:highlight w:val="none"/>
              </w:rPr>
            </w:pPr>
          </w:p>
        </w:tc>
        <w:tc>
          <w:tcPr>
            <w:tcW w:w="369" w:type="pct"/>
            <w:vMerge w:val="continue"/>
            <w:vAlign w:val="center"/>
          </w:tcPr>
          <w:p w14:paraId="032A3CCB">
            <w:pPr>
              <w:pStyle w:val="58"/>
              <w:bidi w:val="0"/>
              <w:rPr>
                <w:rFonts w:hint="default"/>
                <w:highlight w:val="none"/>
              </w:rPr>
            </w:pPr>
          </w:p>
        </w:tc>
        <w:tc>
          <w:tcPr>
            <w:tcW w:w="2022" w:type="pct"/>
            <w:gridSpan w:val="2"/>
            <w:vAlign w:val="center"/>
          </w:tcPr>
          <w:p w14:paraId="4CCD409C">
            <w:pPr>
              <w:pStyle w:val="58"/>
              <w:bidi w:val="0"/>
              <w:rPr>
                <w:rFonts w:hint="default"/>
                <w:highlight w:val="none"/>
              </w:rPr>
            </w:pPr>
            <w:r>
              <w:rPr>
                <w:rFonts w:hint="default"/>
                <w:highlight w:val="none"/>
                <w:lang w:val="en-US" w:eastAsia="zh-CN"/>
              </w:rPr>
              <w:t>厂区东北侧</w:t>
            </w:r>
          </w:p>
        </w:tc>
        <w:tc>
          <w:tcPr>
            <w:tcW w:w="2028" w:type="pct"/>
            <w:gridSpan w:val="2"/>
            <w:vAlign w:val="center"/>
          </w:tcPr>
          <w:p w14:paraId="1D27C3B7">
            <w:pPr>
              <w:pStyle w:val="58"/>
              <w:bidi w:val="0"/>
              <w:rPr>
                <w:rFonts w:hint="default"/>
                <w:highlight w:val="none"/>
              </w:rPr>
            </w:pPr>
            <w:r>
              <w:rPr>
                <w:rFonts w:hint="default"/>
                <w:highlight w:val="none"/>
                <w:lang w:val="en-US" w:eastAsia="zh-CN"/>
              </w:rPr>
              <w:t>现有污水处理站东南侧</w:t>
            </w:r>
          </w:p>
        </w:tc>
      </w:tr>
      <w:tr w14:paraId="08382C7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75" w:hRule="atLeast"/>
        </w:trPr>
        <w:tc>
          <w:tcPr>
            <w:tcW w:w="579" w:type="pct"/>
            <w:vMerge w:val="continue"/>
            <w:vAlign w:val="center"/>
          </w:tcPr>
          <w:p w14:paraId="5334DA8A">
            <w:pPr>
              <w:pStyle w:val="58"/>
              <w:bidi w:val="0"/>
              <w:rPr>
                <w:rFonts w:hint="default"/>
                <w:highlight w:val="none"/>
              </w:rPr>
            </w:pPr>
          </w:p>
        </w:tc>
        <w:tc>
          <w:tcPr>
            <w:tcW w:w="369" w:type="pct"/>
            <w:vMerge w:val="continue"/>
            <w:vAlign w:val="center"/>
          </w:tcPr>
          <w:p w14:paraId="6680B7D5">
            <w:pPr>
              <w:pStyle w:val="58"/>
              <w:bidi w:val="0"/>
              <w:rPr>
                <w:rFonts w:hint="default"/>
                <w:highlight w:val="none"/>
              </w:rPr>
            </w:pPr>
          </w:p>
        </w:tc>
        <w:tc>
          <w:tcPr>
            <w:tcW w:w="1011" w:type="pct"/>
            <w:vAlign w:val="center"/>
          </w:tcPr>
          <w:p w14:paraId="63E62AC9">
            <w:pPr>
              <w:pStyle w:val="58"/>
              <w:bidi w:val="0"/>
              <w:rPr>
                <w:rFonts w:hint="default"/>
                <w:highlight w:val="none"/>
              </w:rPr>
            </w:pPr>
            <w:r>
              <w:rPr>
                <w:rFonts w:hint="default"/>
                <w:highlight w:val="none"/>
              </w:rPr>
              <w:t>0-0.</w:t>
            </w:r>
            <w:r>
              <w:rPr>
                <w:rFonts w:hint="default"/>
                <w:highlight w:val="none"/>
                <w:lang w:val="en-US" w:eastAsia="zh-CN"/>
              </w:rPr>
              <w:t>2</w:t>
            </w:r>
            <w:r>
              <w:rPr>
                <w:rFonts w:hint="default"/>
                <w:highlight w:val="none"/>
              </w:rPr>
              <w:t>米</w:t>
            </w:r>
          </w:p>
        </w:tc>
        <w:tc>
          <w:tcPr>
            <w:tcW w:w="1011" w:type="pct"/>
            <w:vAlign w:val="center"/>
          </w:tcPr>
          <w:p w14:paraId="6B47AA57">
            <w:pPr>
              <w:pStyle w:val="58"/>
              <w:bidi w:val="0"/>
              <w:rPr>
                <w:rFonts w:hint="default"/>
                <w:highlight w:val="none"/>
              </w:rPr>
            </w:pPr>
            <w:r>
              <w:rPr>
                <w:rFonts w:hint="default"/>
                <w:highlight w:val="none"/>
              </w:rPr>
              <w:t>0.</w:t>
            </w:r>
            <w:r>
              <w:rPr>
                <w:rFonts w:hint="default"/>
                <w:highlight w:val="none"/>
                <w:lang w:val="en-US" w:eastAsia="zh-CN"/>
              </w:rPr>
              <w:t>2</w:t>
            </w:r>
            <w:r>
              <w:rPr>
                <w:rFonts w:hint="default"/>
                <w:highlight w:val="none"/>
              </w:rPr>
              <w:t>-</w:t>
            </w:r>
            <w:r>
              <w:rPr>
                <w:rFonts w:hint="default"/>
                <w:highlight w:val="none"/>
                <w:lang w:val="en-US" w:eastAsia="zh-CN"/>
              </w:rPr>
              <w:t>0.4</w:t>
            </w:r>
            <w:r>
              <w:rPr>
                <w:rFonts w:hint="default"/>
                <w:highlight w:val="none"/>
              </w:rPr>
              <w:t>米</w:t>
            </w:r>
          </w:p>
        </w:tc>
        <w:tc>
          <w:tcPr>
            <w:tcW w:w="1011" w:type="pct"/>
            <w:vAlign w:val="center"/>
          </w:tcPr>
          <w:p w14:paraId="66BC94FC">
            <w:pPr>
              <w:pStyle w:val="58"/>
              <w:bidi w:val="0"/>
              <w:rPr>
                <w:rFonts w:hint="default"/>
                <w:highlight w:val="none"/>
                <w:lang w:val="en-US" w:eastAsia="zh-CN"/>
              </w:rPr>
            </w:pPr>
            <w:r>
              <w:rPr>
                <w:rFonts w:hint="default"/>
                <w:highlight w:val="none"/>
              </w:rPr>
              <w:t>0-0.</w:t>
            </w:r>
            <w:r>
              <w:rPr>
                <w:rFonts w:hint="default"/>
                <w:highlight w:val="none"/>
                <w:lang w:val="en-US" w:eastAsia="zh-CN"/>
              </w:rPr>
              <w:t>2</w:t>
            </w:r>
            <w:r>
              <w:rPr>
                <w:rFonts w:hint="default"/>
                <w:highlight w:val="none"/>
              </w:rPr>
              <w:t>米</w:t>
            </w:r>
          </w:p>
        </w:tc>
        <w:tc>
          <w:tcPr>
            <w:tcW w:w="1016" w:type="pct"/>
            <w:vAlign w:val="center"/>
          </w:tcPr>
          <w:p w14:paraId="4F42378B">
            <w:pPr>
              <w:pStyle w:val="58"/>
              <w:bidi w:val="0"/>
              <w:rPr>
                <w:rFonts w:hint="default"/>
                <w:highlight w:val="none"/>
                <w:lang w:val="en-US" w:eastAsia="zh-CN"/>
              </w:rPr>
            </w:pPr>
            <w:r>
              <w:rPr>
                <w:rFonts w:hint="default"/>
                <w:highlight w:val="none"/>
              </w:rPr>
              <w:t>0.</w:t>
            </w:r>
            <w:r>
              <w:rPr>
                <w:rFonts w:hint="default"/>
                <w:highlight w:val="none"/>
                <w:lang w:val="en-US" w:eastAsia="zh-CN"/>
              </w:rPr>
              <w:t>2</w:t>
            </w:r>
            <w:r>
              <w:rPr>
                <w:rFonts w:hint="default"/>
                <w:highlight w:val="none"/>
              </w:rPr>
              <w:t>-</w:t>
            </w:r>
            <w:r>
              <w:rPr>
                <w:rFonts w:hint="default"/>
                <w:highlight w:val="none"/>
                <w:lang w:val="en-US" w:eastAsia="zh-CN"/>
              </w:rPr>
              <w:t>0.4</w:t>
            </w:r>
            <w:r>
              <w:rPr>
                <w:rFonts w:hint="default"/>
                <w:highlight w:val="none"/>
              </w:rPr>
              <w:t>米</w:t>
            </w:r>
          </w:p>
        </w:tc>
      </w:tr>
      <w:tr w14:paraId="45E98E8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75" w:hRule="atLeast"/>
        </w:trPr>
        <w:tc>
          <w:tcPr>
            <w:tcW w:w="579" w:type="pct"/>
            <w:vAlign w:val="center"/>
          </w:tcPr>
          <w:p w14:paraId="16A4EA9E">
            <w:pPr>
              <w:pStyle w:val="58"/>
              <w:bidi w:val="0"/>
              <w:rPr>
                <w:rFonts w:hint="default"/>
                <w:highlight w:val="none"/>
                <w:lang w:val="en-US" w:eastAsia="zh-CN"/>
              </w:rPr>
            </w:pPr>
            <w:r>
              <w:rPr>
                <w:rFonts w:hint="default"/>
                <w:highlight w:val="none"/>
                <w:lang w:val="en-US" w:eastAsia="zh-CN"/>
              </w:rPr>
              <w:t>pH</w:t>
            </w:r>
          </w:p>
        </w:tc>
        <w:tc>
          <w:tcPr>
            <w:tcW w:w="369" w:type="pct"/>
            <w:vAlign w:val="center"/>
          </w:tcPr>
          <w:p w14:paraId="7AA5F1E4">
            <w:pPr>
              <w:pStyle w:val="58"/>
              <w:bidi w:val="0"/>
              <w:rPr>
                <w:rFonts w:hint="default"/>
                <w:highlight w:val="none"/>
                <w:lang w:eastAsia="zh-CN"/>
              </w:rPr>
            </w:pPr>
            <w:r>
              <w:rPr>
                <w:rFonts w:hint="default"/>
                <w:highlight w:val="none"/>
                <w:lang w:val="en-US" w:eastAsia="zh-CN"/>
              </w:rPr>
              <w:t>无量纲</w:t>
            </w:r>
          </w:p>
        </w:tc>
        <w:tc>
          <w:tcPr>
            <w:tcW w:w="1011" w:type="pct"/>
            <w:vAlign w:val="center"/>
          </w:tcPr>
          <w:p w14:paraId="5D5ADA97">
            <w:pPr>
              <w:pStyle w:val="58"/>
              <w:bidi w:val="0"/>
              <w:rPr>
                <w:rFonts w:hint="default"/>
                <w:highlight w:val="none"/>
                <w:lang w:val="en-US" w:eastAsia="zh-CN"/>
              </w:rPr>
            </w:pPr>
            <w:r>
              <w:rPr>
                <w:rFonts w:hint="default"/>
                <w:highlight w:val="none"/>
                <w:lang w:val="en-US" w:eastAsia="zh-CN"/>
              </w:rPr>
              <w:t>7.6</w:t>
            </w:r>
          </w:p>
        </w:tc>
        <w:tc>
          <w:tcPr>
            <w:tcW w:w="1011" w:type="pct"/>
            <w:vAlign w:val="center"/>
          </w:tcPr>
          <w:p w14:paraId="7762762E">
            <w:pPr>
              <w:pStyle w:val="58"/>
              <w:bidi w:val="0"/>
              <w:rPr>
                <w:rFonts w:hint="default"/>
                <w:highlight w:val="none"/>
                <w:lang w:val="en-US" w:eastAsia="zh-CN"/>
              </w:rPr>
            </w:pPr>
            <w:r>
              <w:rPr>
                <w:rFonts w:hint="default"/>
                <w:highlight w:val="none"/>
                <w:lang w:val="en-US" w:eastAsia="zh-CN"/>
              </w:rPr>
              <w:t>7.5</w:t>
            </w:r>
          </w:p>
        </w:tc>
        <w:tc>
          <w:tcPr>
            <w:tcW w:w="1011" w:type="pct"/>
            <w:vAlign w:val="center"/>
          </w:tcPr>
          <w:p w14:paraId="0CEFF0BE">
            <w:pPr>
              <w:pStyle w:val="58"/>
              <w:bidi w:val="0"/>
              <w:rPr>
                <w:rFonts w:hint="default"/>
                <w:highlight w:val="none"/>
                <w:lang w:val="en-US" w:eastAsia="zh-CN"/>
              </w:rPr>
            </w:pPr>
            <w:r>
              <w:rPr>
                <w:rFonts w:hint="default"/>
                <w:highlight w:val="none"/>
                <w:lang w:val="en-US" w:eastAsia="zh-CN"/>
              </w:rPr>
              <w:t>7.7</w:t>
            </w:r>
          </w:p>
        </w:tc>
        <w:tc>
          <w:tcPr>
            <w:tcW w:w="1016" w:type="pct"/>
            <w:vAlign w:val="center"/>
          </w:tcPr>
          <w:p w14:paraId="077D5685">
            <w:pPr>
              <w:pStyle w:val="58"/>
              <w:bidi w:val="0"/>
              <w:rPr>
                <w:rFonts w:hint="default"/>
                <w:highlight w:val="none"/>
                <w:lang w:val="en-US" w:eastAsia="zh-CN"/>
              </w:rPr>
            </w:pPr>
            <w:r>
              <w:rPr>
                <w:rFonts w:hint="default"/>
                <w:highlight w:val="none"/>
                <w:lang w:val="en-US" w:eastAsia="zh-CN"/>
              </w:rPr>
              <w:t>7.6</w:t>
            </w:r>
          </w:p>
        </w:tc>
      </w:tr>
      <w:tr w14:paraId="0B24D20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75" w:hRule="atLeast"/>
        </w:trPr>
        <w:tc>
          <w:tcPr>
            <w:tcW w:w="579" w:type="pct"/>
            <w:vAlign w:val="center"/>
          </w:tcPr>
          <w:p w14:paraId="2C3A1FCB">
            <w:pPr>
              <w:pStyle w:val="58"/>
              <w:bidi w:val="0"/>
              <w:rPr>
                <w:rFonts w:hint="default"/>
                <w:highlight w:val="none"/>
                <w:lang w:val="en-US" w:eastAsia="zh-CN"/>
              </w:rPr>
            </w:pPr>
            <w:r>
              <w:rPr>
                <w:rFonts w:hint="default"/>
                <w:highlight w:val="none"/>
                <w:lang w:val="en-US" w:eastAsia="zh-CN"/>
              </w:rPr>
              <w:t>氨氮</w:t>
            </w:r>
          </w:p>
        </w:tc>
        <w:tc>
          <w:tcPr>
            <w:tcW w:w="369" w:type="pct"/>
            <w:vAlign w:val="center"/>
          </w:tcPr>
          <w:p w14:paraId="2753538E">
            <w:pPr>
              <w:pStyle w:val="58"/>
              <w:bidi w:val="0"/>
              <w:rPr>
                <w:rFonts w:hint="default"/>
                <w:highlight w:val="none"/>
              </w:rPr>
            </w:pPr>
            <w:r>
              <w:rPr>
                <w:rFonts w:hint="default"/>
                <w:highlight w:val="none"/>
                <w:lang w:val="en-US" w:eastAsia="zh-CN"/>
              </w:rPr>
              <w:t>m</w:t>
            </w:r>
            <w:r>
              <w:rPr>
                <w:rFonts w:hint="default"/>
                <w:highlight w:val="none"/>
              </w:rPr>
              <w:t>g/L</w:t>
            </w:r>
          </w:p>
        </w:tc>
        <w:tc>
          <w:tcPr>
            <w:tcW w:w="1011" w:type="pct"/>
            <w:vAlign w:val="center"/>
          </w:tcPr>
          <w:p w14:paraId="7C344F9E">
            <w:pPr>
              <w:pStyle w:val="58"/>
              <w:bidi w:val="0"/>
              <w:rPr>
                <w:rFonts w:hint="default"/>
                <w:highlight w:val="none"/>
                <w:lang w:val="en-US" w:eastAsia="zh-CN"/>
              </w:rPr>
            </w:pPr>
            <w:r>
              <w:rPr>
                <w:rFonts w:hint="default"/>
                <w:highlight w:val="none"/>
                <w:lang w:val="en-US" w:eastAsia="zh-CN"/>
              </w:rPr>
              <w:t>0.356</w:t>
            </w:r>
          </w:p>
        </w:tc>
        <w:tc>
          <w:tcPr>
            <w:tcW w:w="1011" w:type="pct"/>
            <w:vAlign w:val="center"/>
          </w:tcPr>
          <w:p w14:paraId="0322CE41">
            <w:pPr>
              <w:pStyle w:val="58"/>
              <w:bidi w:val="0"/>
              <w:rPr>
                <w:rFonts w:hint="default"/>
                <w:highlight w:val="none"/>
                <w:lang w:val="en-US" w:eastAsia="zh-CN"/>
              </w:rPr>
            </w:pPr>
            <w:r>
              <w:rPr>
                <w:rFonts w:hint="default"/>
                <w:highlight w:val="none"/>
                <w:lang w:val="en-US" w:eastAsia="zh-CN"/>
              </w:rPr>
              <w:t>0.322</w:t>
            </w:r>
          </w:p>
        </w:tc>
        <w:tc>
          <w:tcPr>
            <w:tcW w:w="1011" w:type="pct"/>
            <w:vAlign w:val="center"/>
          </w:tcPr>
          <w:p w14:paraId="77935673">
            <w:pPr>
              <w:pStyle w:val="58"/>
              <w:bidi w:val="0"/>
              <w:rPr>
                <w:rFonts w:hint="default"/>
                <w:highlight w:val="none"/>
                <w:lang w:val="en-US" w:eastAsia="zh-CN"/>
              </w:rPr>
            </w:pPr>
            <w:r>
              <w:rPr>
                <w:rFonts w:hint="default"/>
                <w:highlight w:val="none"/>
                <w:lang w:val="en-US" w:eastAsia="zh-CN"/>
              </w:rPr>
              <w:t>0.286</w:t>
            </w:r>
          </w:p>
        </w:tc>
        <w:tc>
          <w:tcPr>
            <w:tcW w:w="1016" w:type="pct"/>
            <w:vAlign w:val="center"/>
          </w:tcPr>
          <w:p w14:paraId="79BA010E">
            <w:pPr>
              <w:pStyle w:val="58"/>
              <w:bidi w:val="0"/>
              <w:rPr>
                <w:rFonts w:hint="default"/>
                <w:highlight w:val="none"/>
                <w:lang w:val="en-US" w:eastAsia="zh-CN"/>
              </w:rPr>
            </w:pPr>
            <w:r>
              <w:rPr>
                <w:rFonts w:hint="default"/>
                <w:highlight w:val="none"/>
                <w:lang w:val="en-US" w:eastAsia="zh-CN"/>
              </w:rPr>
              <w:t>0.304</w:t>
            </w:r>
          </w:p>
        </w:tc>
      </w:tr>
      <w:tr w14:paraId="39F4A62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75" w:hRule="atLeast"/>
        </w:trPr>
        <w:tc>
          <w:tcPr>
            <w:tcW w:w="579" w:type="pct"/>
            <w:vAlign w:val="center"/>
          </w:tcPr>
          <w:p w14:paraId="17814243">
            <w:pPr>
              <w:pStyle w:val="58"/>
              <w:bidi w:val="0"/>
              <w:rPr>
                <w:rFonts w:hint="default"/>
                <w:highlight w:val="none"/>
              </w:rPr>
            </w:pPr>
            <w:r>
              <w:rPr>
                <w:rFonts w:hint="default"/>
                <w:highlight w:val="none"/>
                <w:lang w:val="en-US" w:eastAsia="zh-CN"/>
              </w:rPr>
              <w:t>硝酸盐氮</w:t>
            </w:r>
          </w:p>
        </w:tc>
        <w:tc>
          <w:tcPr>
            <w:tcW w:w="369" w:type="pct"/>
            <w:vAlign w:val="center"/>
          </w:tcPr>
          <w:p w14:paraId="7E633A9D">
            <w:pPr>
              <w:pStyle w:val="58"/>
              <w:bidi w:val="0"/>
              <w:rPr>
                <w:rFonts w:hint="default"/>
                <w:highlight w:val="none"/>
              </w:rPr>
            </w:pPr>
            <w:r>
              <w:rPr>
                <w:rFonts w:hint="default"/>
                <w:highlight w:val="none"/>
                <w:lang w:val="en-US" w:eastAsia="zh-CN"/>
              </w:rPr>
              <w:t>m</w:t>
            </w:r>
            <w:r>
              <w:rPr>
                <w:rFonts w:hint="default"/>
                <w:highlight w:val="none"/>
              </w:rPr>
              <w:t>g/L</w:t>
            </w:r>
          </w:p>
        </w:tc>
        <w:tc>
          <w:tcPr>
            <w:tcW w:w="1011" w:type="pct"/>
            <w:vAlign w:val="center"/>
          </w:tcPr>
          <w:p w14:paraId="24B3AF57">
            <w:pPr>
              <w:pStyle w:val="58"/>
              <w:bidi w:val="0"/>
              <w:rPr>
                <w:rFonts w:hint="default"/>
                <w:highlight w:val="none"/>
                <w:lang w:val="en-US" w:eastAsia="zh-CN"/>
              </w:rPr>
            </w:pPr>
            <w:r>
              <w:rPr>
                <w:rFonts w:hint="default"/>
                <w:highlight w:val="none"/>
                <w:lang w:val="en-US" w:eastAsia="zh-CN"/>
              </w:rPr>
              <w:t>0.558</w:t>
            </w:r>
          </w:p>
        </w:tc>
        <w:tc>
          <w:tcPr>
            <w:tcW w:w="1011" w:type="pct"/>
            <w:vAlign w:val="center"/>
          </w:tcPr>
          <w:p w14:paraId="616A249E">
            <w:pPr>
              <w:pStyle w:val="58"/>
              <w:bidi w:val="0"/>
              <w:rPr>
                <w:rFonts w:hint="default"/>
                <w:highlight w:val="none"/>
                <w:lang w:val="en-US" w:eastAsia="zh-CN"/>
              </w:rPr>
            </w:pPr>
            <w:r>
              <w:rPr>
                <w:rFonts w:hint="default"/>
                <w:highlight w:val="none"/>
                <w:lang w:val="en-US" w:eastAsia="zh-CN"/>
              </w:rPr>
              <w:t>0.546</w:t>
            </w:r>
          </w:p>
        </w:tc>
        <w:tc>
          <w:tcPr>
            <w:tcW w:w="1011" w:type="pct"/>
            <w:vAlign w:val="center"/>
          </w:tcPr>
          <w:p w14:paraId="141390D1">
            <w:pPr>
              <w:pStyle w:val="58"/>
              <w:bidi w:val="0"/>
              <w:rPr>
                <w:rFonts w:hint="default"/>
                <w:highlight w:val="none"/>
                <w:lang w:val="en-US" w:eastAsia="zh-CN"/>
              </w:rPr>
            </w:pPr>
            <w:r>
              <w:rPr>
                <w:rFonts w:hint="default"/>
                <w:highlight w:val="none"/>
                <w:lang w:val="en-US" w:eastAsia="zh-CN"/>
              </w:rPr>
              <w:t>0.485</w:t>
            </w:r>
          </w:p>
        </w:tc>
        <w:tc>
          <w:tcPr>
            <w:tcW w:w="1016" w:type="pct"/>
            <w:vAlign w:val="center"/>
          </w:tcPr>
          <w:p w14:paraId="61884BF2">
            <w:pPr>
              <w:pStyle w:val="58"/>
              <w:bidi w:val="0"/>
              <w:rPr>
                <w:rFonts w:hint="default"/>
                <w:highlight w:val="none"/>
                <w:lang w:val="en-US" w:eastAsia="zh-CN"/>
              </w:rPr>
            </w:pPr>
            <w:r>
              <w:rPr>
                <w:rFonts w:hint="default"/>
                <w:highlight w:val="none"/>
                <w:lang w:val="en-US" w:eastAsia="zh-CN"/>
              </w:rPr>
              <w:t>0.515</w:t>
            </w:r>
          </w:p>
        </w:tc>
      </w:tr>
      <w:tr w14:paraId="13FE1E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75" w:hRule="atLeast"/>
        </w:trPr>
        <w:tc>
          <w:tcPr>
            <w:tcW w:w="579" w:type="pct"/>
            <w:vAlign w:val="center"/>
          </w:tcPr>
          <w:p w14:paraId="077E509D">
            <w:pPr>
              <w:pStyle w:val="58"/>
              <w:bidi w:val="0"/>
              <w:rPr>
                <w:rFonts w:hint="default"/>
                <w:highlight w:val="none"/>
              </w:rPr>
            </w:pPr>
            <w:r>
              <w:rPr>
                <w:rFonts w:hint="default"/>
                <w:highlight w:val="none"/>
                <w:lang w:val="en-US" w:eastAsia="zh-CN"/>
              </w:rPr>
              <w:t>亚硝酸盐氮</w:t>
            </w:r>
          </w:p>
        </w:tc>
        <w:tc>
          <w:tcPr>
            <w:tcW w:w="369" w:type="pct"/>
            <w:vAlign w:val="center"/>
          </w:tcPr>
          <w:p w14:paraId="730C05D1">
            <w:pPr>
              <w:pStyle w:val="58"/>
              <w:bidi w:val="0"/>
              <w:rPr>
                <w:rFonts w:hint="default"/>
                <w:highlight w:val="none"/>
              </w:rPr>
            </w:pPr>
            <w:r>
              <w:rPr>
                <w:rFonts w:hint="default"/>
                <w:highlight w:val="none"/>
                <w:lang w:val="en-US" w:eastAsia="zh-CN"/>
              </w:rPr>
              <w:t>m</w:t>
            </w:r>
            <w:r>
              <w:rPr>
                <w:rFonts w:hint="default"/>
                <w:highlight w:val="none"/>
              </w:rPr>
              <w:t>g/L</w:t>
            </w:r>
          </w:p>
        </w:tc>
        <w:tc>
          <w:tcPr>
            <w:tcW w:w="1011" w:type="pct"/>
            <w:vAlign w:val="center"/>
          </w:tcPr>
          <w:p w14:paraId="71C23413">
            <w:pPr>
              <w:pStyle w:val="58"/>
              <w:bidi w:val="0"/>
              <w:rPr>
                <w:rFonts w:hint="default"/>
                <w:highlight w:val="none"/>
                <w:lang w:val="en-US" w:eastAsia="zh-CN"/>
              </w:rPr>
            </w:pPr>
            <w:r>
              <w:rPr>
                <w:rFonts w:hint="default"/>
                <w:highlight w:val="none"/>
                <w:lang w:val="en-US" w:eastAsia="zh-CN"/>
              </w:rPr>
              <w:t>0.005L</w:t>
            </w:r>
          </w:p>
        </w:tc>
        <w:tc>
          <w:tcPr>
            <w:tcW w:w="1011" w:type="pct"/>
            <w:vAlign w:val="center"/>
          </w:tcPr>
          <w:p w14:paraId="48DEED7B">
            <w:pPr>
              <w:pStyle w:val="58"/>
              <w:bidi w:val="0"/>
              <w:rPr>
                <w:rFonts w:hint="default"/>
                <w:highlight w:val="none"/>
                <w:lang w:val="en-US" w:eastAsia="zh-CN"/>
              </w:rPr>
            </w:pPr>
            <w:r>
              <w:rPr>
                <w:rFonts w:hint="default"/>
                <w:highlight w:val="none"/>
                <w:lang w:val="en-US" w:eastAsia="zh-CN"/>
              </w:rPr>
              <w:t>0.005L</w:t>
            </w:r>
          </w:p>
        </w:tc>
        <w:tc>
          <w:tcPr>
            <w:tcW w:w="1011" w:type="pct"/>
            <w:vAlign w:val="center"/>
          </w:tcPr>
          <w:p w14:paraId="1608373F">
            <w:pPr>
              <w:pStyle w:val="58"/>
              <w:bidi w:val="0"/>
              <w:rPr>
                <w:rFonts w:hint="default"/>
                <w:highlight w:val="none"/>
                <w:lang w:val="en-US" w:eastAsia="zh-CN"/>
              </w:rPr>
            </w:pPr>
            <w:r>
              <w:rPr>
                <w:rFonts w:hint="default"/>
                <w:highlight w:val="none"/>
                <w:lang w:val="en-US" w:eastAsia="zh-CN"/>
              </w:rPr>
              <w:t>0.005L</w:t>
            </w:r>
          </w:p>
        </w:tc>
        <w:tc>
          <w:tcPr>
            <w:tcW w:w="1016" w:type="pct"/>
            <w:vAlign w:val="center"/>
          </w:tcPr>
          <w:p w14:paraId="0DEA105A">
            <w:pPr>
              <w:pStyle w:val="58"/>
              <w:bidi w:val="0"/>
              <w:rPr>
                <w:rFonts w:hint="default"/>
                <w:highlight w:val="none"/>
                <w:lang w:val="en-US" w:eastAsia="zh-CN"/>
              </w:rPr>
            </w:pPr>
            <w:r>
              <w:rPr>
                <w:rFonts w:hint="default"/>
                <w:highlight w:val="none"/>
                <w:lang w:val="en-US" w:eastAsia="zh-CN"/>
              </w:rPr>
              <w:t>0.005L</w:t>
            </w:r>
          </w:p>
        </w:tc>
      </w:tr>
      <w:tr w14:paraId="1EB340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75" w:hRule="atLeast"/>
        </w:trPr>
        <w:tc>
          <w:tcPr>
            <w:tcW w:w="579" w:type="pct"/>
            <w:vAlign w:val="center"/>
          </w:tcPr>
          <w:p w14:paraId="6B2FFABC">
            <w:pPr>
              <w:pStyle w:val="58"/>
              <w:bidi w:val="0"/>
              <w:rPr>
                <w:rFonts w:hint="default"/>
                <w:highlight w:val="none"/>
              </w:rPr>
            </w:pPr>
            <w:r>
              <w:rPr>
                <w:rFonts w:hint="default"/>
                <w:highlight w:val="none"/>
                <w:lang w:val="en-US" w:eastAsia="zh-CN"/>
              </w:rPr>
              <w:t>总硬度</w:t>
            </w:r>
          </w:p>
        </w:tc>
        <w:tc>
          <w:tcPr>
            <w:tcW w:w="369" w:type="pct"/>
            <w:vAlign w:val="center"/>
          </w:tcPr>
          <w:p w14:paraId="407FDD82">
            <w:pPr>
              <w:pStyle w:val="58"/>
              <w:bidi w:val="0"/>
              <w:rPr>
                <w:rFonts w:hint="default"/>
                <w:highlight w:val="none"/>
              </w:rPr>
            </w:pPr>
            <w:r>
              <w:rPr>
                <w:rFonts w:hint="default"/>
                <w:highlight w:val="none"/>
                <w:lang w:val="en-US" w:eastAsia="zh-CN"/>
              </w:rPr>
              <w:t>m</w:t>
            </w:r>
            <w:r>
              <w:rPr>
                <w:rFonts w:hint="default"/>
                <w:highlight w:val="none"/>
              </w:rPr>
              <w:t>g/L</w:t>
            </w:r>
          </w:p>
        </w:tc>
        <w:tc>
          <w:tcPr>
            <w:tcW w:w="1011" w:type="pct"/>
            <w:vAlign w:val="center"/>
          </w:tcPr>
          <w:p w14:paraId="16A08BFC">
            <w:pPr>
              <w:pStyle w:val="58"/>
              <w:bidi w:val="0"/>
              <w:rPr>
                <w:rFonts w:hint="default"/>
                <w:highlight w:val="none"/>
                <w:lang w:val="en-US" w:eastAsia="zh-CN"/>
              </w:rPr>
            </w:pPr>
            <w:r>
              <w:rPr>
                <w:rFonts w:hint="default"/>
                <w:highlight w:val="none"/>
                <w:lang w:val="en-US" w:eastAsia="zh-CN"/>
              </w:rPr>
              <w:t>98</w:t>
            </w:r>
          </w:p>
        </w:tc>
        <w:tc>
          <w:tcPr>
            <w:tcW w:w="1011" w:type="pct"/>
            <w:vAlign w:val="center"/>
          </w:tcPr>
          <w:p w14:paraId="3712D5FD">
            <w:pPr>
              <w:pStyle w:val="58"/>
              <w:bidi w:val="0"/>
              <w:rPr>
                <w:rFonts w:hint="default"/>
                <w:highlight w:val="none"/>
                <w:lang w:val="en-US" w:eastAsia="zh-CN"/>
              </w:rPr>
            </w:pPr>
            <w:r>
              <w:rPr>
                <w:rFonts w:hint="default"/>
                <w:highlight w:val="none"/>
                <w:lang w:val="en-US" w:eastAsia="zh-CN"/>
              </w:rPr>
              <w:t>101</w:t>
            </w:r>
          </w:p>
        </w:tc>
        <w:tc>
          <w:tcPr>
            <w:tcW w:w="1011" w:type="pct"/>
            <w:vAlign w:val="center"/>
          </w:tcPr>
          <w:p w14:paraId="0E501914">
            <w:pPr>
              <w:pStyle w:val="58"/>
              <w:bidi w:val="0"/>
              <w:rPr>
                <w:rFonts w:hint="default"/>
                <w:highlight w:val="none"/>
                <w:lang w:val="en-US" w:eastAsia="zh-CN"/>
              </w:rPr>
            </w:pPr>
            <w:r>
              <w:rPr>
                <w:rFonts w:hint="default"/>
                <w:highlight w:val="none"/>
                <w:lang w:val="en-US" w:eastAsia="zh-CN"/>
              </w:rPr>
              <w:t>111</w:t>
            </w:r>
          </w:p>
        </w:tc>
        <w:tc>
          <w:tcPr>
            <w:tcW w:w="1016" w:type="pct"/>
            <w:vAlign w:val="center"/>
          </w:tcPr>
          <w:p w14:paraId="56D6CB53">
            <w:pPr>
              <w:pStyle w:val="58"/>
              <w:bidi w:val="0"/>
              <w:rPr>
                <w:rFonts w:hint="default"/>
                <w:highlight w:val="none"/>
                <w:lang w:val="en-US" w:eastAsia="zh-CN"/>
              </w:rPr>
            </w:pPr>
            <w:r>
              <w:rPr>
                <w:rFonts w:hint="default"/>
                <w:highlight w:val="none"/>
                <w:lang w:val="en-US" w:eastAsia="zh-CN"/>
              </w:rPr>
              <w:t>114</w:t>
            </w:r>
          </w:p>
        </w:tc>
      </w:tr>
      <w:tr w14:paraId="42DDAF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75" w:hRule="atLeast"/>
        </w:trPr>
        <w:tc>
          <w:tcPr>
            <w:tcW w:w="579" w:type="pct"/>
            <w:vAlign w:val="center"/>
          </w:tcPr>
          <w:p w14:paraId="6E226913">
            <w:pPr>
              <w:pStyle w:val="58"/>
              <w:bidi w:val="0"/>
              <w:rPr>
                <w:rFonts w:hint="default"/>
                <w:highlight w:val="none"/>
              </w:rPr>
            </w:pPr>
            <w:r>
              <w:rPr>
                <w:rFonts w:hint="default"/>
                <w:highlight w:val="none"/>
                <w:lang w:val="en-US" w:eastAsia="zh-CN"/>
              </w:rPr>
              <w:t>溶解性总固体</w:t>
            </w:r>
          </w:p>
        </w:tc>
        <w:tc>
          <w:tcPr>
            <w:tcW w:w="369" w:type="pct"/>
            <w:vAlign w:val="center"/>
          </w:tcPr>
          <w:p w14:paraId="1CA93FDD">
            <w:pPr>
              <w:pStyle w:val="58"/>
              <w:bidi w:val="0"/>
              <w:rPr>
                <w:rFonts w:hint="default"/>
                <w:highlight w:val="none"/>
              </w:rPr>
            </w:pPr>
            <w:r>
              <w:rPr>
                <w:rFonts w:hint="default"/>
                <w:highlight w:val="none"/>
                <w:lang w:val="en-US" w:eastAsia="zh-CN"/>
              </w:rPr>
              <w:t>m</w:t>
            </w:r>
            <w:r>
              <w:rPr>
                <w:rFonts w:hint="default"/>
                <w:highlight w:val="none"/>
              </w:rPr>
              <w:t>g/L</w:t>
            </w:r>
          </w:p>
        </w:tc>
        <w:tc>
          <w:tcPr>
            <w:tcW w:w="1011" w:type="pct"/>
            <w:vAlign w:val="center"/>
          </w:tcPr>
          <w:p w14:paraId="3951EFDD">
            <w:pPr>
              <w:pStyle w:val="58"/>
              <w:bidi w:val="0"/>
              <w:rPr>
                <w:rFonts w:hint="default"/>
                <w:highlight w:val="none"/>
                <w:lang w:val="en-US" w:eastAsia="zh-CN"/>
              </w:rPr>
            </w:pPr>
            <w:r>
              <w:rPr>
                <w:rFonts w:hint="default"/>
                <w:highlight w:val="none"/>
                <w:lang w:val="en-US" w:eastAsia="zh-CN"/>
              </w:rPr>
              <w:t>372</w:t>
            </w:r>
          </w:p>
        </w:tc>
        <w:tc>
          <w:tcPr>
            <w:tcW w:w="1011" w:type="pct"/>
            <w:vAlign w:val="center"/>
          </w:tcPr>
          <w:p w14:paraId="65BA2FF6">
            <w:pPr>
              <w:pStyle w:val="58"/>
              <w:bidi w:val="0"/>
              <w:rPr>
                <w:rFonts w:hint="default"/>
                <w:highlight w:val="none"/>
                <w:lang w:val="en-US" w:eastAsia="zh-CN"/>
              </w:rPr>
            </w:pPr>
            <w:r>
              <w:rPr>
                <w:rFonts w:hint="default"/>
                <w:highlight w:val="none"/>
                <w:lang w:val="en-US" w:eastAsia="zh-CN"/>
              </w:rPr>
              <w:t>381</w:t>
            </w:r>
          </w:p>
        </w:tc>
        <w:tc>
          <w:tcPr>
            <w:tcW w:w="1011" w:type="pct"/>
            <w:vAlign w:val="center"/>
          </w:tcPr>
          <w:p w14:paraId="7959664F">
            <w:pPr>
              <w:pStyle w:val="58"/>
              <w:bidi w:val="0"/>
              <w:rPr>
                <w:rFonts w:hint="default"/>
                <w:highlight w:val="none"/>
                <w:lang w:val="en-US" w:eastAsia="zh-CN"/>
              </w:rPr>
            </w:pPr>
            <w:r>
              <w:rPr>
                <w:rFonts w:hint="default"/>
                <w:highlight w:val="none"/>
                <w:lang w:val="en-US" w:eastAsia="zh-CN"/>
              </w:rPr>
              <w:t>395</w:t>
            </w:r>
          </w:p>
        </w:tc>
        <w:tc>
          <w:tcPr>
            <w:tcW w:w="1016" w:type="pct"/>
            <w:vAlign w:val="center"/>
          </w:tcPr>
          <w:p w14:paraId="27777205">
            <w:pPr>
              <w:pStyle w:val="58"/>
              <w:bidi w:val="0"/>
              <w:rPr>
                <w:rFonts w:hint="default"/>
                <w:highlight w:val="none"/>
                <w:lang w:val="en-US" w:eastAsia="zh-CN"/>
              </w:rPr>
            </w:pPr>
            <w:r>
              <w:rPr>
                <w:rFonts w:hint="default"/>
                <w:highlight w:val="none"/>
                <w:lang w:val="en-US" w:eastAsia="zh-CN"/>
              </w:rPr>
              <w:t>400</w:t>
            </w:r>
          </w:p>
        </w:tc>
      </w:tr>
      <w:tr w14:paraId="308393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75" w:hRule="atLeast"/>
        </w:trPr>
        <w:tc>
          <w:tcPr>
            <w:tcW w:w="579" w:type="pct"/>
            <w:vAlign w:val="center"/>
          </w:tcPr>
          <w:p w14:paraId="58FD155F">
            <w:pPr>
              <w:pStyle w:val="58"/>
              <w:bidi w:val="0"/>
              <w:rPr>
                <w:rFonts w:hint="default"/>
                <w:highlight w:val="none"/>
              </w:rPr>
            </w:pPr>
            <w:r>
              <w:rPr>
                <w:rFonts w:hint="default"/>
                <w:highlight w:val="none"/>
                <w:lang w:val="en-US" w:eastAsia="zh-CN"/>
              </w:rPr>
              <w:t>耗氧量</w:t>
            </w:r>
          </w:p>
        </w:tc>
        <w:tc>
          <w:tcPr>
            <w:tcW w:w="369" w:type="pct"/>
            <w:vAlign w:val="center"/>
          </w:tcPr>
          <w:p w14:paraId="7C6466A3">
            <w:pPr>
              <w:pStyle w:val="58"/>
              <w:bidi w:val="0"/>
              <w:rPr>
                <w:rFonts w:hint="default"/>
                <w:highlight w:val="none"/>
              </w:rPr>
            </w:pPr>
            <w:r>
              <w:rPr>
                <w:rFonts w:hint="default"/>
                <w:highlight w:val="none"/>
                <w:lang w:val="en-US" w:eastAsia="zh-CN"/>
              </w:rPr>
              <w:t>m</w:t>
            </w:r>
            <w:r>
              <w:rPr>
                <w:rFonts w:hint="default"/>
                <w:highlight w:val="none"/>
              </w:rPr>
              <w:t>g/L</w:t>
            </w:r>
          </w:p>
        </w:tc>
        <w:tc>
          <w:tcPr>
            <w:tcW w:w="1011" w:type="pct"/>
            <w:vAlign w:val="center"/>
          </w:tcPr>
          <w:p w14:paraId="506AFE85">
            <w:pPr>
              <w:pStyle w:val="58"/>
              <w:bidi w:val="0"/>
              <w:rPr>
                <w:rFonts w:hint="default"/>
                <w:highlight w:val="none"/>
                <w:lang w:val="en-US" w:eastAsia="zh-CN"/>
              </w:rPr>
            </w:pPr>
            <w:r>
              <w:rPr>
                <w:rFonts w:hint="default"/>
                <w:highlight w:val="none"/>
                <w:lang w:val="en-US" w:eastAsia="zh-CN"/>
              </w:rPr>
              <w:t>2.60</w:t>
            </w:r>
          </w:p>
        </w:tc>
        <w:tc>
          <w:tcPr>
            <w:tcW w:w="1011" w:type="pct"/>
            <w:vAlign w:val="center"/>
          </w:tcPr>
          <w:p w14:paraId="45E97A56">
            <w:pPr>
              <w:pStyle w:val="58"/>
              <w:bidi w:val="0"/>
              <w:rPr>
                <w:rFonts w:hint="default"/>
                <w:highlight w:val="none"/>
                <w:lang w:val="en-US" w:eastAsia="zh-CN"/>
              </w:rPr>
            </w:pPr>
            <w:r>
              <w:rPr>
                <w:rFonts w:hint="default"/>
                <w:highlight w:val="none"/>
                <w:lang w:val="en-US" w:eastAsia="zh-CN"/>
              </w:rPr>
              <w:t>2.50</w:t>
            </w:r>
          </w:p>
        </w:tc>
        <w:tc>
          <w:tcPr>
            <w:tcW w:w="1011" w:type="pct"/>
            <w:vAlign w:val="center"/>
          </w:tcPr>
          <w:p w14:paraId="773A9809">
            <w:pPr>
              <w:pStyle w:val="58"/>
              <w:bidi w:val="0"/>
              <w:rPr>
                <w:rFonts w:hint="default"/>
                <w:highlight w:val="none"/>
                <w:lang w:val="en-US" w:eastAsia="zh-CN"/>
              </w:rPr>
            </w:pPr>
            <w:r>
              <w:rPr>
                <w:rFonts w:hint="default"/>
                <w:highlight w:val="none"/>
                <w:lang w:val="en-US" w:eastAsia="zh-CN"/>
              </w:rPr>
              <w:t>2.64</w:t>
            </w:r>
          </w:p>
        </w:tc>
        <w:tc>
          <w:tcPr>
            <w:tcW w:w="1016" w:type="pct"/>
            <w:vAlign w:val="center"/>
          </w:tcPr>
          <w:p w14:paraId="27C0F33F">
            <w:pPr>
              <w:pStyle w:val="58"/>
              <w:bidi w:val="0"/>
              <w:rPr>
                <w:rFonts w:hint="default"/>
                <w:highlight w:val="none"/>
                <w:lang w:val="en-US" w:eastAsia="zh-CN"/>
              </w:rPr>
            </w:pPr>
            <w:r>
              <w:rPr>
                <w:rFonts w:hint="default"/>
                <w:highlight w:val="none"/>
                <w:lang w:val="en-US" w:eastAsia="zh-CN"/>
              </w:rPr>
              <w:t>2.73</w:t>
            </w:r>
          </w:p>
        </w:tc>
      </w:tr>
      <w:tr w14:paraId="6BAA44F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7" w:hRule="atLeast"/>
        </w:trPr>
        <w:tc>
          <w:tcPr>
            <w:tcW w:w="579" w:type="pct"/>
            <w:vAlign w:val="center"/>
          </w:tcPr>
          <w:p w14:paraId="3AABD7AB">
            <w:pPr>
              <w:pStyle w:val="58"/>
              <w:bidi w:val="0"/>
              <w:rPr>
                <w:rFonts w:hint="default"/>
                <w:highlight w:val="none"/>
              </w:rPr>
            </w:pPr>
            <w:r>
              <w:rPr>
                <w:rFonts w:hint="default"/>
                <w:highlight w:val="none"/>
                <w:lang w:val="en-US" w:eastAsia="zh-CN"/>
              </w:rPr>
              <w:t>硫酸盐</w:t>
            </w:r>
          </w:p>
        </w:tc>
        <w:tc>
          <w:tcPr>
            <w:tcW w:w="369" w:type="pct"/>
            <w:vAlign w:val="center"/>
          </w:tcPr>
          <w:p w14:paraId="3E0025A5">
            <w:pPr>
              <w:pStyle w:val="58"/>
              <w:bidi w:val="0"/>
              <w:rPr>
                <w:rFonts w:hint="default"/>
                <w:highlight w:val="none"/>
              </w:rPr>
            </w:pPr>
            <w:r>
              <w:rPr>
                <w:rFonts w:hint="default"/>
                <w:highlight w:val="none"/>
                <w:lang w:val="en-US" w:eastAsia="zh-CN"/>
              </w:rPr>
              <w:t>m</w:t>
            </w:r>
            <w:r>
              <w:rPr>
                <w:rFonts w:hint="default"/>
                <w:highlight w:val="none"/>
              </w:rPr>
              <w:t>g/L</w:t>
            </w:r>
          </w:p>
        </w:tc>
        <w:tc>
          <w:tcPr>
            <w:tcW w:w="1011" w:type="pct"/>
            <w:vAlign w:val="center"/>
          </w:tcPr>
          <w:p w14:paraId="7CDC60C9">
            <w:pPr>
              <w:pStyle w:val="58"/>
              <w:bidi w:val="0"/>
              <w:rPr>
                <w:rFonts w:hint="default"/>
                <w:highlight w:val="none"/>
                <w:lang w:val="en-US" w:eastAsia="zh-CN"/>
              </w:rPr>
            </w:pPr>
            <w:r>
              <w:rPr>
                <w:rFonts w:hint="default"/>
                <w:highlight w:val="none"/>
                <w:lang w:val="en-US" w:eastAsia="zh-CN"/>
              </w:rPr>
              <w:t>24.2</w:t>
            </w:r>
          </w:p>
        </w:tc>
        <w:tc>
          <w:tcPr>
            <w:tcW w:w="1011" w:type="pct"/>
            <w:vAlign w:val="center"/>
          </w:tcPr>
          <w:p w14:paraId="3ACC34E6">
            <w:pPr>
              <w:pStyle w:val="58"/>
              <w:bidi w:val="0"/>
              <w:rPr>
                <w:rFonts w:hint="default"/>
                <w:highlight w:val="none"/>
                <w:lang w:val="en-US" w:eastAsia="zh-CN"/>
              </w:rPr>
            </w:pPr>
            <w:r>
              <w:rPr>
                <w:rFonts w:hint="default"/>
                <w:highlight w:val="none"/>
                <w:lang w:val="en-US" w:eastAsia="zh-CN"/>
              </w:rPr>
              <w:t>23.0</w:t>
            </w:r>
          </w:p>
        </w:tc>
        <w:tc>
          <w:tcPr>
            <w:tcW w:w="1011" w:type="pct"/>
            <w:vAlign w:val="center"/>
          </w:tcPr>
          <w:p w14:paraId="15A4A439">
            <w:pPr>
              <w:pStyle w:val="58"/>
              <w:bidi w:val="0"/>
              <w:rPr>
                <w:rFonts w:hint="default"/>
                <w:highlight w:val="none"/>
                <w:lang w:val="en-US" w:eastAsia="zh-CN"/>
              </w:rPr>
            </w:pPr>
            <w:r>
              <w:rPr>
                <w:rFonts w:hint="default"/>
                <w:highlight w:val="none"/>
                <w:lang w:val="en-US" w:eastAsia="zh-CN"/>
              </w:rPr>
              <w:t>25.2</w:t>
            </w:r>
          </w:p>
        </w:tc>
        <w:tc>
          <w:tcPr>
            <w:tcW w:w="1016" w:type="pct"/>
            <w:vAlign w:val="center"/>
          </w:tcPr>
          <w:p w14:paraId="1FB007B9">
            <w:pPr>
              <w:pStyle w:val="58"/>
              <w:bidi w:val="0"/>
              <w:rPr>
                <w:rFonts w:hint="default"/>
                <w:highlight w:val="none"/>
                <w:lang w:val="en-US" w:eastAsia="zh-CN"/>
              </w:rPr>
            </w:pPr>
            <w:r>
              <w:rPr>
                <w:rFonts w:hint="default"/>
                <w:highlight w:val="none"/>
                <w:lang w:val="en-US" w:eastAsia="zh-CN"/>
              </w:rPr>
              <w:t>25.8</w:t>
            </w:r>
          </w:p>
        </w:tc>
      </w:tr>
      <w:tr w14:paraId="0C45B8F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7" w:hRule="atLeast"/>
        </w:trPr>
        <w:tc>
          <w:tcPr>
            <w:tcW w:w="579" w:type="pct"/>
            <w:vAlign w:val="center"/>
          </w:tcPr>
          <w:p w14:paraId="5767937D">
            <w:pPr>
              <w:pStyle w:val="58"/>
              <w:bidi w:val="0"/>
              <w:rPr>
                <w:rFonts w:hint="default"/>
                <w:highlight w:val="none"/>
                <w:lang w:val="en-US" w:eastAsia="zh-CN"/>
              </w:rPr>
            </w:pPr>
            <w:r>
              <w:rPr>
                <w:rFonts w:hint="default"/>
                <w:highlight w:val="none"/>
                <w:lang w:val="en-US" w:eastAsia="zh-CN"/>
              </w:rPr>
              <w:t>氯化物</w:t>
            </w:r>
          </w:p>
        </w:tc>
        <w:tc>
          <w:tcPr>
            <w:tcW w:w="369" w:type="pct"/>
            <w:vAlign w:val="center"/>
          </w:tcPr>
          <w:p w14:paraId="0475FD0E">
            <w:pPr>
              <w:pStyle w:val="58"/>
              <w:bidi w:val="0"/>
              <w:rPr>
                <w:rFonts w:hint="default"/>
                <w:highlight w:val="none"/>
              </w:rPr>
            </w:pPr>
            <w:r>
              <w:rPr>
                <w:rFonts w:hint="default"/>
                <w:highlight w:val="none"/>
                <w:lang w:val="en-US" w:eastAsia="zh-CN"/>
              </w:rPr>
              <w:t>m</w:t>
            </w:r>
            <w:r>
              <w:rPr>
                <w:rFonts w:hint="default"/>
                <w:highlight w:val="none"/>
              </w:rPr>
              <w:t>g/L</w:t>
            </w:r>
          </w:p>
        </w:tc>
        <w:tc>
          <w:tcPr>
            <w:tcW w:w="1011" w:type="pct"/>
            <w:vAlign w:val="center"/>
          </w:tcPr>
          <w:p w14:paraId="17CDC546">
            <w:pPr>
              <w:pStyle w:val="58"/>
              <w:bidi w:val="0"/>
              <w:rPr>
                <w:rFonts w:hint="default"/>
                <w:highlight w:val="none"/>
                <w:lang w:val="en-US" w:eastAsia="zh-CN"/>
              </w:rPr>
            </w:pPr>
            <w:r>
              <w:rPr>
                <w:rFonts w:hint="default"/>
                <w:highlight w:val="none"/>
                <w:lang w:val="en-US" w:eastAsia="zh-CN"/>
              </w:rPr>
              <w:t>7.61</w:t>
            </w:r>
          </w:p>
        </w:tc>
        <w:tc>
          <w:tcPr>
            <w:tcW w:w="1011" w:type="pct"/>
            <w:vAlign w:val="center"/>
          </w:tcPr>
          <w:p w14:paraId="0B0F3E7B">
            <w:pPr>
              <w:pStyle w:val="58"/>
              <w:bidi w:val="0"/>
              <w:rPr>
                <w:rFonts w:hint="default"/>
                <w:highlight w:val="none"/>
                <w:lang w:val="en-US" w:eastAsia="zh-CN"/>
              </w:rPr>
            </w:pPr>
            <w:r>
              <w:rPr>
                <w:rFonts w:hint="default"/>
                <w:highlight w:val="none"/>
                <w:lang w:val="en-US" w:eastAsia="zh-CN"/>
              </w:rPr>
              <w:t>7.54</w:t>
            </w:r>
          </w:p>
        </w:tc>
        <w:tc>
          <w:tcPr>
            <w:tcW w:w="1011" w:type="pct"/>
            <w:vAlign w:val="center"/>
          </w:tcPr>
          <w:p w14:paraId="6F9011E7">
            <w:pPr>
              <w:pStyle w:val="58"/>
              <w:bidi w:val="0"/>
              <w:rPr>
                <w:rFonts w:hint="default"/>
                <w:highlight w:val="none"/>
                <w:lang w:val="en-US" w:eastAsia="zh-CN"/>
              </w:rPr>
            </w:pPr>
            <w:r>
              <w:rPr>
                <w:rFonts w:hint="default"/>
                <w:highlight w:val="none"/>
                <w:lang w:val="en-US" w:eastAsia="zh-CN"/>
              </w:rPr>
              <w:t>7.51</w:t>
            </w:r>
          </w:p>
        </w:tc>
        <w:tc>
          <w:tcPr>
            <w:tcW w:w="1016" w:type="pct"/>
            <w:vAlign w:val="center"/>
          </w:tcPr>
          <w:p w14:paraId="6543F6DF">
            <w:pPr>
              <w:pStyle w:val="58"/>
              <w:bidi w:val="0"/>
              <w:rPr>
                <w:rFonts w:hint="default"/>
                <w:highlight w:val="none"/>
                <w:lang w:val="en-US" w:eastAsia="zh-CN"/>
              </w:rPr>
            </w:pPr>
            <w:r>
              <w:rPr>
                <w:rFonts w:hint="default"/>
                <w:highlight w:val="none"/>
                <w:lang w:val="en-US" w:eastAsia="zh-CN"/>
              </w:rPr>
              <w:t>7.73</w:t>
            </w:r>
          </w:p>
        </w:tc>
      </w:tr>
      <w:tr w14:paraId="165D207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7" w:hRule="atLeast"/>
        </w:trPr>
        <w:tc>
          <w:tcPr>
            <w:tcW w:w="579" w:type="pct"/>
            <w:vAlign w:val="center"/>
          </w:tcPr>
          <w:p w14:paraId="15EE7932">
            <w:pPr>
              <w:pStyle w:val="58"/>
              <w:bidi w:val="0"/>
              <w:rPr>
                <w:rFonts w:hint="default"/>
                <w:highlight w:val="none"/>
                <w:lang w:val="en-US" w:eastAsia="zh-CN"/>
              </w:rPr>
            </w:pPr>
            <w:r>
              <w:rPr>
                <w:rFonts w:hint="default"/>
                <w:highlight w:val="none"/>
                <w:lang w:val="en-US" w:eastAsia="zh-CN"/>
              </w:rPr>
              <w:t>石油类</w:t>
            </w:r>
          </w:p>
        </w:tc>
        <w:tc>
          <w:tcPr>
            <w:tcW w:w="369" w:type="pct"/>
            <w:vAlign w:val="center"/>
          </w:tcPr>
          <w:p w14:paraId="3F04CCB9">
            <w:pPr>
              <w:pStyle w:val="58"/>
              <w:bidi w:val="0"/>
              <w:rPr>
                <w:rFonts w:hint="default"/>
                <w:highlight w:val="none"/>
              </w:rPr>
            </w:pPr>
            <w:r>
              <w:rPr>
                <w:rFonts w:hint="default"/>
                <w:highlight w:val="none"/>
                <w:lang w:val="en-US" w:eastAsia="zh-CN"/>
              </w:rPr>
              <w:t>m</w:t>
            </w:r>
            <w:r>
              <w:rPr>
                <w:rFonts w:hint="default"/>
                <w:highlight w:val="none"/>
              </w:rPr>
              <w:t>g/L</w:t>
            </w:r>
          </w:p>
        </w:tc>
        <w:tc>
          <w:tcPr>
            <w:tcW w:w="1011" w:type="pct"/>
            <w:vAlign w:val="center"/>
          </w:tcPr>
          <w:p w14:paraId="094E5D7E">
            <w:pPr>
              <w:pStyle w:val="58"/>
              <w:bidi w:val="0"/>
              <w:rPr>
                <w:rFonts w:hint="default"/>
                <w:highlight w:val="none"/>
                <w:lang w:val="en-US" w:eastAsia="zh-CN"/>
              </w:rPr>
            </w:pPr>
            <w:r>
              <w:rPr>
                <w:rFonts w:hint="default"/>
                <w:highlight w:val="none"/>
                <w:lang w:val="en-US" w:eastAsia="zh-CN"/>
              </w:rPr>
              <w:t>0.01L</w:t>
            </w:r>
          </w:p>
        </w:tc>
        <w:tc>
          <w:tcPr>
            <w:tcW w:w="1011" w:type="pct"/>
            <w:vAlign w:val="center"/>
          </w:tcPr>
          <w:p w14:paraId="4DABDEF8">
            <w:pPr>
              <w:pStyle w:val="58"/>
              <w:bidi w:val="0"/>
              <w:rPr>
                <w:rFonts w:hint="default"/>
                <w:highlight w:val="none"/>
                <w:lang w:val="en-US" w:eastAsia="zh-CN"/>
              </w:rPr>
            </w:pPr>
            <w:r>
              <w:rPr>
                <w:rFonts w:hint="default"/>
                <w:highlight w:val="none"/>
                <w:lang w:val="en-US" w:eastAsia="zh-CN"/>
              </w:rPr>
              <w:t>0.01L</w:t>
            </w:r>
          </w:p>
        </w:tc>
        <w:tc>
          <w:tcPr>
            <w:tcW w:w="1011" w:type="pct"/>
            <w:vAlign w:val="center"/>
          </w:tcPr>
          <w:p w14:paraId="1ABCD162">
            <w:pPr>
              <w:pStyle w:val="58"/>
              <w:bidi w:val="0"/>
              <w:rPr>
                <w:rFonts w:hint="default"/>
                <w:highlight w:val="none"/>
                <w:lang w:val="en-US" w:eastAsia="zh-CN"/>
              </w:rPr>
            </w:pPr>
            <w:r>
              <w:rPr>
                <w:rFonts w:hint="default"/>
                <w:highlight w:val="none"/>
                <w:lang w:val="en-US" w:eastAsia="zh-CN"/>
              </w:rPr>
              <w:t>0.01L</w:t>
            </w:r>
          </w:p>
        </w:tc>
        <w:tc>
          <w:tcPr>
            <w:tcW w:w="1016" w:type="pct"/>
            <w:vAlign w:val="center"/>
          </w:tcPr>
          <w:p w14:paraId="1BD6F693">
            <w:pPr>
              <w:pStyle w:val="58"/>
              <w:bidi w:val="0"/>
              <w:rPr>
                <w:rFonts w:hint="default"/>
                <w:highlight w:val="none"/>
                <w:lang w:val="en-US" w:eastAsia="zh-CN"/>
              </w:rPr>
            </w:pPr>
            <w:r>
              <w:rPr>
                <w:rFonts w:hint="default"/>
                <w:highlight w:val="none"/>
                <w:lang w:val="en-US" w:eastAsia="zh-CN"/>
              </w:rPr>
              <w:t>0.01L</w:t>
            </w:r>
          </w:p>
        </w:tc>
      </w:tr>
    </w:tbl>
    <w:p w14:paraId="5D8B80DF">
      <w:pPr>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注：当测定结果低于分析方法检出限时，以检出限值加“L”表示。</w:t>
      </w:r>
    </w:p>
    <w:p w14:paraId="48D2693A">
      <w:pPr>
        <w:rPr>
          <w:rFonts w:hint="default" w:ascii="Times New Roman" w:hAnsi="Times New Roman" w:eastAsia="宋体" w:cs="Times New Roman"/>
          <w:b/>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通过分析，厂区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现有污水处理站东南侧</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监测数值与厂区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东北侧背景点</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包气带浸溶液</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监</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测数值相差不大，</w:t>
      </w:r>
      <w:r>
        <w:rPr>
          <w:rFonts w:hint="eastAsia" w:cs="Times New Roman"/>
          <w:color w:val="000000" w:themeColor="text1"/>
          <w:sz w:val="24"/>
          <w:szCs w:val="24"/>
          <w:highlight w:val="none"/>
          <w:lang w:val="en-US" w:eastAsia="zh-CN"/>
          <w14:textFill>
            <w14:solidFill>
              <w14:schemeClr w14:val="tx1"/>
            </w14:solidFill>
          </w14:textFill>
        </w:rPr>
        <w:t>表</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明现有厂区包气带未受明显影响。</w:t>
      </w:r>
      <w:r>
        <w:rPr>
          <w:rFonts w:hint="default" w:ascii="Times New Roman" w:hAnsi="Times New Roman" w:eastAsia="宋体" w:cs="Times New Roman"/>
          <w:b/>
          <w:color w:val="000000" w:themeColor="text1"/>
          <w:sz w:val="24"/>
          <w:highlight w:val="none"/>
          <w14:textFill>
            <w14:solidFill>
              <w14:schemeClr w14:val="tx1"/>
            </w14:solidFill>
          </w14:textFill>
        </w:rPr>
        <w:br w:type="page"/>
      </w:r>
    </w:p>
    <w:p w14:paraId="5A9AF9F5">
      <w:pPr>
        <w:pStyle w:val="5"/>
        <w:bidi w:val="0"/>
        <w:rPr>
          <w:rStyle w:val="59"/>
          <w:rFonts w:hint="default" w:ascii="Times New Roman" w:hAnsi="Times New Roman" w:eastAsia="宋体" w:cs="Times New Roman"/>
          <w:b/>
          <w:color w:val="000000" w:themeColor="text1"/>
          <w:sz w:val="24"/>
          <w:szCs w:val="24"/>
          <w:highlight w:val="none"/>
          <w14:textFill>
            <w14:solidFill>
              <w14:schemeClr w14:val="tx1"/>
            </w14:solidFill>
          </w14:textFill>
        </w:rPr>
      </w:pPr>
      <w:bookmarkStart w:id="268" w:name="_Toc246763538"/>
      <w:bookmarkStart w:id="269" w:name="_Toc13092"/>
      <w:bookmarkStart w:id="270" w:name="_Toc15778"/>
      <w:r>
        <w:rPr>
          <w:rStyle w:val="59"/>
          <w:rFonts w:hint="default" w:ascii="Times New Roman" w:hAnsi="Times New Roman" w:eastAsia="宋体" w:cs="Times New Roman"/>
          <w:b/>
          <w:color w:val="000000" w:themeColor="text1"/>
          <w:sz w:val="24"/>
          <w:szCs w:val="24"/>
          <w:highlight w:val="none"/>
          <w14:textFill>
            <w14:solidFill>
              <w14:schemeClr w14:val="tx1"/>
            </w14:solidFill>
          </w14:textFill>
        </w:rPr>
        <w:t>5环境影响预测与评</w:t>
      </w:r>
      <w:bookmarkEnd w:id="268"/>
      <w:bookmarkEnd w:id="269"/>
      <w:r>
        <w:rPr>
          <w:rStyle w:val="59"/>
          <w:rFonts w:hint="default" w:ascii="Times New Roman" w:hAnsi="Times New Roman" w:eastAsia="宋体" w:cs="Times New Roman"/>
          <w:b/>
          <w:color w:val="000000" w:themeColor="text1"/>
          <w:sz w:val="24"/>
          <w:szCs w:val="24"/>
          <w:highlight w:val="none"/>
          <w14:textFill>
            <w14:solidFill>
              <w14:schemeClr w14:val="tx1"/>
            </w14:solidFill>
          </w14:textFill>
        </w:rPr>
        <w:t>价</w:t>
      </w:r>
      <w:bookmarkEnd w:id="270"/>
    </w:p>
    <w:p w14:paraId="40AEC5E2">
      <w:pPr>
        <w:pStyle w:val="7"/>
        <w:bidi w:val="0"/>
        <w:rPr>
          <w:rFonts w:hint="default"/>
          <w:highlight w:val="none"/>
          <w:lang w:val="en-US"/>
        </w:rPr>
      </w:pPr>
      <w:bookmarkStart w:id="271" w:name="_Toc15901"/>
      <w:bookmarkStart w:id="272" w:name="_Toc17760"/>
      <w:r>
        <w:rPr>
          <w:rFonts w:hint="default"/>
          <w:highlight w:val="none"/>
          <w:lang w:val="en-US"/>
        </w:rPr>
        <w:t>5.1施工期环境影响分析</w:t>
      </w:r>
      <w:bookmarkEnd w:id="271"/>
      <w:bookmarkEnd w:id="272"/>
    </w:p>
    <w:p w14:paraId="52286CF9">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auto"/>
          <w:sz w:val="24"/>
          <w:szCs w:val="24"/>
          <w:highlight w:val="none"/>
        </w:rPr>
      </w:pPr>
      <w:bookmarkStart w:id="273" w:name="_Toc246763544"/>
      <w:bookmarkStart w:id="274" w:name="_Toc157136204"/>
      <w:r>
        <w:rPr>
          <w:rFonts w:hint="default" w:ascii="Times New Roman" w:hAnsi="Times New Roman" w:eastAsia="宋体" w:cs="Times New Roman"/>
          <w:color w:val="auto"/>
          <w:sz w:val="24"/>
          <w:szCs w:val="24"/>
          <w:highlight w:val="none"/>
        </w:rPr>
        <w:t>施工期对周围环境产生的影响主要为</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施工设备运行噪声影响，施工扬尘影响，废水影响，固体废物和生态环境影响。</w:t>
      </w:r>
    </w:p>
    <w:p w14:paraId="7EC8C336">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施工期环境影响及污染防治措施分析如下。</w:t>
      </w:r>
    </w:p>
    <w:p w14:paraId="58397BF2">
      <w:pPr>
        <w:bidi w:val="0"/>
        <w:rPr>
          <w:rFonts w:hint="default"/>
          <w:highlight w:val="none"/>
        </w:rPr>
      </w:pPr>
      <w:r>
        <w:rPr>
          <w:rFonts w:hint="default"/>
          <w:highlight w:val="none"/>
        </w:rPr>
        <w:t>拟建项目施工期主要内容包括：厂区地表平整、建筑地基挖掘、结构施工、设备安装调试4个阶段，在此期间产生施工扬尘、废水、噪声和建筑垃圾等。此外，物料运输也将对运输路线两侧一定范围内大气、声环境产生不利影响。</w:t>
      </w:r>
    </w:p>
    <w:p w14:paraId="22BBFEA1">
      <w:pPr>
        <w:pStyle w:val="6"/>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5.1.1</w:t>
      </w:r>
      <w:r>
        <w:rPr>
          <w:rFonts w:hint="default" w:ascii="Times New Roman" w:hAnsi="Times New Roman" w:eastAsia="宋体" w:cs="Times New Roman"/>
          <w:color w:val="000000" w:themeColor="text1"/>
          <w:highlight w:val="none"/>
          <w14:textFill>
            <w14:solidFill>
              <w14:schemeClr w14:val="tx1"/>
            </w14:solidFill>
          </w14:textFill>
        </w:rPr>
        <w:t>施工期</w:t>
      </w:r>
      <w:r>
        <w:rPr>
          <w:rFonts w:hint="default" w:ascii="Times New Roman" w:hAnsi="Times New Roman" w:eastAsia="宋体" w:cs="Times New Roman"/>
          <w:color w:val="000000" w:themeColor="text1"/>
          <w:highlight w:val="none"/>
          <w:lang w:eastAsia="zh-CN"/>
          <w14:textFill>
            <w14:solidFill>
              <w14:schemeClr w14:val="tx1"/>
            </w14:solidFill>
          </w14:textFill>
        </w:rPr>
        <w:t>废气影响分析</w:t>
      </w:r>
    </w:p>
    <w:p w14:paraId="1864C332">
      <w:pPr>
        <w:bidi w:val="0"/>
        <w:rPr>
          <w:rFonts w:hint="default"/>
          <w:highlight w:val="none"/>
        </w:rPr>
      </w:pPr>
      <w:r>
        <w:rPr>
          <w:rFonts w:hint="default"/>
          <w:highlight w:val="none"/>
        </w:rPr>
        <w:t>⑴施工扬尘</w:t>
      </w:r>
    </w:p>
    <w:p w14:paraId="0C2631FF">
      <w:pPr>
        <w:bidi w:val="0"/>
        <w:rPr>
          <w:rFonts w:hint="default"/>
          <w:highlight w:val="none"/>
          <w:lang w:eastAsia="zh-CN"/>
        </w:rPr>
      </w:pPr>
      <w:r>
        <w:rPr>
          <w:rFonts w:hint="default"/>
          <w:highlight w:val="none"/>
        </w:rPr>
        <w:t>在施工中产生的废气污染物主要是土方开挖、工地运输车辆扬尘，同时伴有少量施工机械排放的废气。</w:t>
      </w:r>
    </w:p>
    <w:p w14:paraId="2BF2DDC1">
      <w:pPr>
        <w:bidi w:val="0"/>
        <w:rPr>
          <w:rFonts w:hint="default"/>
          <w:highlight w:val="none"/>
        </w:rPr>
      </w:pPr>
      <w:r>
        <w:rPr>
          <w:rFonts w:hint="default"/>
          <w:highlight w:val="none"/>
        </w:rPr>
        <w:t>施工严格按照《河北省扬尘污染防治办法》（河北省人民政府令[2020]第1号）、</w:t>
      </w:r>
      <w:r>
        <w:rPr>
          <w:rFonts w:hint="default" w:ascii="Times New Roman" w:hAnsi="Times New Roman" w:eastAsia="宋体" w:cs="Times New Roman"/>
          <w:color w:val="auto"/>
          <w:sz w:val="24"/>
          <w:szCs w:val="24"/>
          <w:highlight w:val="none"/>
          <w:lang w:val="en-US" w:eastAsia="zh-CN"/>
        </w:rPr>
        <w:t>《关于印发&lt;2024年建筑施工扬尘污染防治工作方案&gt;的通知》（冀建质安函﹝2024﹞115号）</w:t>
      </w:r>
      <w:r>
        <w:rPr>
          <w:rFonts w:hint="default"/>
          <w:highlight w:val="none"/>
        </w:rPr>
        <w:t>及同类施工场地采取的抑尘措施，采取如下防尘和抑尘措施：</w:t>
      </w:r>
    </w:p>
    <w:p w14:paraId="3C3FFEFF">
      <w:pPr>
        <w:bidi w:val="0"/>
        <w:rPr>
          <w:rFonts w:hint="default"/>
          <w:highlight w:val="none"/>
        </w:rPr>
      </w:pPr>
      <w:r>
        <w:rPr>
          <w:rFonts w:hint="default"/>
          <w:highlight w:val="none"/>
        </w:rPr>
        <w:t>①必须在施工现场出入口明显位置设置扬尘防治公示牌，内容包括建设、施工、监理及监管等单位名称、扬尘防治负责人的名称、联系电话、举报电话等。</w:t>
      </w:r>
    </w:p>
    <w:p w14:paraId="7266A789">
      <w:pPr>
        <w:bidi w:val="0"/>
        <w:rPr>
          <w:rFonts w:hint="default"/>
          <w:highlight w:val="none"/>
        </w:rPr>
      </w:pPr>
      <w:r>
        <w:rPr>
          <w:rFonts w:hint="default"/>
          <w:highlight w:val="none"/>
        </w:rPr>
        <w:t>②施工现场连续设置硬质围挡，围挡应坚固、美观，严禁围挡不严或敞开式施工。围挡高度不低于1.8米。</w:t>
      </w:r>
    </w:p>
    <w:p w14:paraId="20E5B123">
      <w:pPr>
        <w:bidi w:val="0"/>
        <w:rPr>
          <w:rFonts w:hint="default"/>
          <w:highlight w:val="none"/>
        </w:rPr>
      </w:pPr>
      <w:r>
        <w:rPr>
          <w:rFonts w:hint="default"/>
          <w:highlight w:val="none"/>
        </w:rPr>
        <w:t>③施工现场出入口和场内施工道路、材料加工堆放区、办公区、生活区必须采用混凝土硬化或硬质砌块铺设，硬化后的地面应清扫整洁无浮土、积土，严禁使用其他软质材料铺设。</w:t>
      </w:r>
    </w:p>
    <w:p w14:paraId="78045C41">
      <w:pPr>
        <w:bidi w:val="0"/>
        <w:rPr>
          <w:rFonts w:hint="default"/>
          <w:highlight w:val="none"/>
        </w:rPr>
      </w:pPr>
      <w:r>
        <w:rPr>
          <w:rFonts w:hint="default"/>
          <w:highlight w:val="none"/>
        </w:rPr>
        <w:t>④施工现场出入口配备车辆冲洗设施，设置排水、泥浆沉淀池等设施，建立冲洗制度并设专人管理，严禁车辆带泥上路。</w:t>
      </w:r>
    </w:p>
    <w:p w14:paraId="3F26700E">
      <w:pPr>
        <w:bidi w:val="0"/>
        <w:rPr>
          <w:rFonts w:hint="default"/>
          <w:highlight w:val="none"/>
        </w:rPr>
      </w:pPr>
      <w:r>
        <w:rPr>
          <w:rFonts w:hint="default"/>
          <w:highlight w:val="none"/>
        </w:rPr>
        <w:t>⑤施工现场出入口、加工区和主作业区等处必须安装视频监控系统，对施工扬尘实时监控。</w:t>
      </w:r>
    </w:p>
    <w:p w14:paraId="1299EB11">
      <w:pPr>
        <w:bidi w:val="0"/>
        <w:rPr>
          <w:rFonts w:hint="default"/>
          <w:highlight w:val="none"/>
        </w:rPr>
      </w:pPr>
      <w:r>
        <w:rPr>
          <w:rFonts w:hint="default"/>
          <w:highlight w:val="none"/>
        </w:rPr>
        <w:t>⑥施工现场集中堆放的土方和裸露场地必须采取覆盖、固化或绿化等防尘措施，严禁裸露。</w:t>
      </w:r>
    </w:p>
    <w:p w14:paraId="0C5A3A34">
      <w:pPr>
        <w:bidi w:val="0"/>
        <w:rPr>
          <w:rFonts w:hint="default"/>
          <w:highlight w:val="none"/>
        </w:rPr>
      </w:pPr>
      <w:r>
        <w:rPr>
          <w:rFonts w:hint="default"/>
          <w:highlight w:val="none"/>
        </w:rPr>
        <w:t>⑦基坑开挖作业过程中，四周应采取洒水、喷淋等降尘措施。</w:t>
      </w:r>
    </w:p>
    <w:p w14:paraId="65E61763">
      <w:pPr>
        <w:bidi w:val="0"/>
        <w:rPr>
          <w:rFonts w:hint="default"/>
          <w:highlight w:val="none"/>
        </w:rPr>
      </w:pPr>
      <w:r>
        <w:rPr>
          <w:rFonts w:hint="default"/>
          <w:highlight w:val="none"/>
        </w:rPr>
        <w:t>⑧施工现场易飞扬的细颗粒建筑材料必须密闭存放或严密覆盖，严禁露天放置；搬运时应有降尘措施，余料及时回收。</w:t>
      </w:r>
    </w:p>
    <w:p w14:paraId="40C9EB54">
      <w:pPr>
        <w:bidi w:val="0"/>
        <w:rPr>
          <w:rFonts w:hint="default"/>
          <w:highlight w:val="none"/>
        </w:rPr>
      </w:pPr>
      <w:r>
        <w:rPr>
          <w:rFonts w:hint="default"/>
          <w:highlight w:val="none"/>
        </w:rPr>
        <w:t>⑨施工现场必须使用商品混凝土、预拌砂浆，严禁现场搅拌。</w:t>
      </w:r>
    </w:p>
    <w:p w14:paraId="4535EDC9">
      <w:pPr>
        <w:bidi w:val="0"/>
        <w:rPr>
          <w:rFonts w:hint="default"/>
          <w:highlight w:val="none"/>
        </w:rPr>
      </w:pPr>
      <w:r>
        <w:rPr>
          <w:rFonts w:hint="default"/>
          <w:highlight w:val="none"/>
        </w:rPr>
        <w:t>⑩施工现场运送土方、渣土的车辆必须封闭或遮盖严密，严禁使用未办理相关手续的渣土等运输车辆，严禁沿路遗撒和随意倾倒。</w:t>
      </w:r>
    </w:p>
    <w:p w14:paraId="3A3D3786">
      <w:pPr>
        <w:bidi w:val="0"/>
        <w:rPr>
          <w:rFonts w:hint="default"/>
          <w:highlight w:val="none"/>
        </w:rPr>
      </w:pPr>
      <w:r>
        <w:rPr>
          <w:rFonts w:hint="default"/>
          <w:highlight w:val="none"/>
        </w:rPr>
        <w:t>⑪建筑物内应保持干净整洁，清扫垃圾时要洒水抑尘，施工层建筑垃圾必须采用封闭式管道或装袋用垂直升降机械清运，严禁凌空抛掷和焚烧垃圾。</w:t>
      </w:r>
    </w:p>
    <w:p w14:paraId="4B7F8BEB">
      <w:pPr>
        <w:bidi w:val="0"/>
        <w:rPr>
          <w:rFonts w:hint="default"/>
          <w:highlight w:val="none"/>
        </w:rPr>
      </w:pPr>
      <w:r>
        <w:rPr>
          <w:rFonts w:hint="default"/>
          <w:highlight w:val="none"/>
        </w:rPr>
        <w:t>⑫施工现场的建筑垃圾必须设置垃圾存放点，集中堆放并严密覆盖，及时清运。生活垃圾应用封闭式容器存放，严禁随意丢弃。</w:t>
      </w:r>
    </w:p>
    <w:p w14:paraId="1347A876">
      <w:pPr>
        <w:bidi w:val="0"/>
        <w:rPr>
          <w:rFonts w:hint="default"/>
          <w:highlight w:val="none"/>
        </w:rPr>
      </w:pPr>
      <w:r>
        <w:rPr>
          <w:rFonts w:hint="default"/>
          <w:highlight w:val="none"/>
        </w:rPr>
        <w:t>⑬施工现场必须建立洒水清扫抑尘制度，配备洒水设备。非冰冻期每天洒水不少于2次，并有专人负责。重污染天气时相应增加洒水频次。</w:t>
      </w:r>
    </w:p>
    <w:p w14:paraId="4C9A9FF3">
      <w:pPr>
        <w:bidi w:val="0"/>
        <w:rPr>
          <w:rFonts w:hint="default"/>
          <w:highlight w:val="none"/>
        </w:rPr>
      </w:pPr>
      <w:r>
        <w:rPr>
          <w:rFonts w:hint="default"/>
          <w:highlight w:val="none"/>
        </w:rPr>
        <w:t>⑭建筑工程主体外侧脚手架及临边防护栏杆必须使用符合标准的密目式安全网封闭施工，并保持整洁、牢固、无破损。</w:t>
      </w:r>
    </w:p>
    <w:p w14:paraId="4BABEB2C">
      <w:pPr>
        <w:bidi w:val="0"/>
        <w:rPr>
          <w:rFonts w:hint="default"/>
          <w:highlight w:val="none"/>
        </w:rPr>
      </w:pPr>
      <w:r>
        <w:rPr>
          <w:rFonts w:hint="default"/>
          <w:highlight w:val="none"/>
        </w:rPr>
        <w:t>⑮遇有4级以上大风或重污染天气预警时，必须采取扬尘防治应急措施，严禁土方开挖、土方回填、房屋拆除、材料切割、金属焊接、喷涂或其他有可能产生扬尘的作业。</w:t>
      </w:r>
    </w:p>
    <w:p w14:paraId="5A6D37BC">
      <w:pPr>
        <w:bidi w:val="0"/>
        <w:rPr>
          <w:rFonts w:hint="default"/>
          <w:highlight w:val="none"/>
        </w:rPr>
      </w:pPr>
      <w:r>
        <w:rPr>
          <w:rFonts w:hint="default"/>
          <w:highlight w:val="none"/>
        </w:rPr>
        <w:t>⑯组织相关单位做好工程外管网及绿化施工阶段的扬尘防治工作。</w:t>
      </w:r>
    </w:p>
    <w:p w14:paraId="4E1AA59D">
      <w:pPr>
        <w:bidi w:val="0"/>
        <w:rPr>
          <w:rFonts w:hint="default"/>
          <w:highlight w:val="none"/>
        </w:rPr>
      </w:pPr>
      <w:r>
        <w:rPr>
          <w:rFonts w:hint="default"/>
          <w:highlight w:val="none"/>
        </w:rPr>
        <w:t>⑰施工现场在道路、围墙、脚手架等部位安装喷淋或喷淋等降尘装置。</w:t>
      </w:r>
    </w:p>
    <w:p w14:paraId="55702771">
      <w:pPr>
        <w:bidi w:val="0"/>
        <w:rPr>
          <w:rFonts w:hint="default"/>
          <w:highlight w:val="none"/>
        </w:rPr>
      </w:pPr>
      <w:r>
        <w:rPr>
          <w:rFonts w:hint="default"/>
          <w:highlight w:val="none"/>
        </w:rPr>
        <w:t>按照《施工场地扬尘排放标准》（DB13/2934—2019），施工场地扬尘排放应符合表5.1-1规定的浓度限值。</w:t>
      </w:r>
    </w:p>
    <w:p w14:paraId="31E3DDD8">
      <w:pPr>
        <w:keepNext w:val="0"/>
        <w:keepLines w:val="0"/>
        <w:pageBreakBefore w:val="0"/>
        <w:widowControl w:val="0"/>
        <w:numPr>
          <w:ilvl w:val="0"/>
          <w:numId w:val="33"/>
        </w:numPr>
        <w:kinsoku/>
        <w:wordWrap/>
        <w:overflowPunct/>
        <w:topLinePunct w:val="0"/>
        <w:autoSpaceDE w:val="0"/>
        <w:autoSpaceDN w:val="0"/>
        <w:bidi w:val="0"/>
        <w:adjustRightInd w:val="0"/>
        <w:snapToGrid/>
        <w:spacing w:line="500" w:lineRule="exact"/>
        <w:ind w:left="425" w:leftChars="0" w:hanging="425" w:firstLineChars="0"/>
        <w:jc w:val="center"/>
        <w:textAlignment w:val="auto"/>
        <w:rPr>
          <w:rFonts w:hint="default" w:ascii="Times New Roman" w:hAnsi="Times New Roman" w:eastAsia="宋体" w:cs="Times New Roman"/>
          <w:b/>
          <w:bCs w:val="0"/>
          <w:color w:val="000000" w:themeColor="text1"/>
          <w:sz w:val="25"/>
          <w:szCs w:val="25"/>
          <w:highlight w:val="none"/>
          <w:shd w:val="clear" w:color="auto" w:fill="auto"/>
          <w14:textFill>
            <w14:solidFill>
              <w14:schemeClr w14:val="tx1"/>
            </w14:solidFill>
          </w14:textFill>
        </w:rPr>
      </w:pPr>
      <w:r>
        <w:rPr>
          <w:rFonts w:hint="default" w:ascii="Times New Roman" w:hAnsi="Times New Roman" w:eastAsia="宋体" w:cs="Times New Roman"/>
          <w:b/>
          <w:bCs w:val="0"/>
          <w:color w:val="000000" w:themeColor="text1"/>
          <w:sz w:val="25"/>
          <w:szCs w:val="25"/>
          <w:highlight w:val="none"/>
          <w:shd w:val="clear" w:color="auto" w:fill="auto"/>
          <w14:textFill>
            <w14:solidFill>
              <w14:schemeClr w14:val="tx1"/>
            </w14:solidFill>
          </w14:textFill>
        </w:rPr>
        <w:t>扬尘排放浓度限值</w:t>
      </w:r>
    </w:p>
    <w:tbl>
      <w:tblPr>
        <w:tblStyle w:val="48"/>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626"/>
        <w:gridCol w:w="3561"/>
        <w:gridCol w:w="3097"/>
      </w:tblGrid>
      <w:tr w14:paraId="00D7AE9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14" w:type="pct"/>
            <w:tcBorders>
              <w:tl2br w:val="nil"/>
              <w:tr2bl w:val="nil"/>
            </w:tcBorders>
            <w:noWrap w:val="0"/>
            <w:vAlign w:val="center"/>
          </w:tcPr>
          <w:p w14:paraId="51695531">
            <w:pPr>
              <w:pStyle w:val="58"/>
              <w:bidi w:val="0"/>
              <w:rPr>
                <w:rFonts w:hint="default"/>
                <w:highlight w:val="none"/>
              </w:rPr>
            </w:pPr>
            <w:r>
              <w:rPr>
                <w:rFonts w:hint="default"/>
                <w:highlight w:val="none"/>
              </w:rPr>
              <w:t>控制项目</w:t>
            </w:r>
          </w:p>
        </w:tc>
        <w:tc>
          <w:tcPr>
            <w:tcW w:w="1917" w:type="pct"/>
            <w:tcBorders>
              <w:tl2br w:val="nil"/>
              <w:tr2bl w:val="nil"/>
            </w:tcBorders>
            <w:noWrap w:val="0"/>
            <w:vAlign w:val="center"/>
          </w:tcPr>
          <w:p w14:paraId="6A233FCA">
            <w:pPr>
              <w:pStyle w:val="58"/>
              <w:bidi w:val="0"/>
              <w:rPr>
                <w:rFonts w:hint="default"/>
                <w:highlight w:val="none"/>
              </w:rPr>
            </w:pPr>
            <w:r>
              <w:rPr>
                <w:rFonts w:hint="default"/>
                <w:highlight w:val="none"/>
              </w:rPr>
              <w:t>监测点浓度限值（µg/</w:t>
            </w:r>
            <w:r>
              <w:rPr>
                <w:rFonts w:hint="eastAsia"/>
                <w:highlight w:val="none"/>
                <w:lang w:eastAsia="zh-CN"/>
              </w:rPr>
              <w:t>m</w:t>
            </w:r>
            <w:r>
              <w:rPr>
                <w:rFonts w:hint="eastAsia"/>
                <w:highlight w:val="none"/>
                <w:vertAlign w:val="superscript"/>
                <w:lang w:eastAsia="zh-CN"/>
              </w:rPr>
              <w:t>3</w:t>
            </w:r>
            <w:r>
              <w:rPr>
                <w:rFonts w:hint="default"/>
                <w:highlight w:val="none"/>
              </w:rPr>
              <w:t>）</w:t>
            </w:r>
          </w:p>
        </w:tc>
        <w:tc>
          <w:tcPr>
            <w:tcW w:w="1667" w:type="pct"/>
            <w:tcBorders>
              <w:tl2br w:val="nil"/>
              <w:tr2bl w:val="nil"/>
            </w:tcBorders>
            <w:noWrap w:val="0"/>
            <w:vAlign w:val="center"/>
          </w:tcPr>
          <w:p w14:paraId="2E3DB90B">
            <w:pPr>
              <w:pStyle w:val="58"/>
              <w:bidi w:val="0"/>
              <w:rPr>
                <w:rFonts w:hint="default"/>
                <w:highlight w:val="none"/>
              </w:rPr>
            </w:pPr>
            <w:r>
              <w:rPr>
                <w:rFonts w:hint="default"/>
                <w:highlight w:val="none"/>
              </w:rPr>
              <w:t>达标判定依据（次/天）</w:t>
            </w:r>
          </w:p>
        </w:tc>
      </w:tr>
      <w:tr w14:paraId="1036524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14" w:type="pct"/>
            <w:tcBorders>
              <w:tl2br w:val="nil"/>
              <w:tr2bl w:val="nil"/>
            </w:tcBorders>
            <w:noWrap w:val="0"/>
            <w:vAlign w:val="center"/>
          </w:tcPr>
          <w:p w14:paraId="4C180AB7">
            <w:pPr>
              <w:pStyle w:val="58"/>
              <w:bidi w:val="0"/>
              <w:rPr>
                <w:rFonts w:hint="default"/>
                <w:highlight w:val="none"/>
              </w:rPr>
            </w:pPr>
            <w:r>
              <w:rPr>
                <w:rFonts w:hint="default"/>
                <w:highlight w:val="none"/>
              </w:rPr>
              <w:t>颗粒物</w:t>
            </w:r>
          </w:p>
        </w:tc>
        <w:tc>
          <w:tcPr>
            <w:tcW w:w="1917" w:type="pct"/>
            <w:tcBorders>
              <w:tl2br w:val="nil"/>
              <w:tr2bl w:val="nil"/>
            </w:tcBorders>
            <w:noWrap w:val="0"/>
            <w:vAlign w:val="center"/>
          </w:tcPr>
          <w:p w14:paraId="4CDDF955">
            <w:pPr>
              <w:pStyle w:val="58"/>
              <w:bidi w:val="0"/>
              <w:rPr>
                <w:rFonts w:hint="default"/>
                <w:highlight w:val="none"/>
              </w:rPr>
            </w:pPr>
            <w:r>
              <w:rPr>
                <w:rFonts w:hint="default"/>
                <w:highlight w:val="none"/>
              </w:rPr>
              <w:t>80</w:t>
            </w:r>
          </w:p>
        </w:tc>
        <w:tc>
          <w:tcPr>
            <w:tcW w:w="1667" w:type="pct"/>
            <w:tcBorders>
              <w:tl2br w:val="nil"/>
              <w:tr2bl w:val="nil"/>
            </w:tcBorders>
            <w:noWrap w:val="0"/>
            <w:vAlign w:val="center"/>
          </w:tcPr>
          <w:p w14:paraId="571983D1">
            <w:pPr>
              <w:pStyle w:val="58"/>
              <w:bidi w:val="0"/>
              <w:rPr>
                <w:rFonts w:hint="default"/>
                <w:highlight w:val="none"/>
              </w:rPr>
            </w:pPr>
            <w:r>
              <w:rPr>
                <w:rFonts w:hint="default"/>
                <w:highlight w:val="none"/>
              </w:rPr>
              <w:t>≤2</w:t>
            </w:r>
          </w:p>
        </w:tc>
      </w:tr>
    </w:tbl>
    <w:p w14:paraId="66CC92BE">
      <w:pPr>
        <w:bidi w:val="0"/>
        <w:rPr>
          <w:rFonts w:hint="default"/>
          <w:highlight w:val="none"/>
        </w:rPr>
      </w:pPr>
      <w:r>
        <w:rPr>
          <w:rFonts w:hint="default"/>
          <w:highlight w:val="none"/>
        </w:rPr>
        <w:t>监测点位宜设置于施工区域围栏安全范围内，可直接监控施工场地主要施工活动。监测点位不宜轻易变动，以保证监测的连续性和数据的可比性；监测点位宜优先设置于车辆进出口处。监测点数量多于车辆进出口数量时，其它监测点位应结合常年主导风向，设置在工地所在区域主导风向下风向的施工场地边界，兼顾扬尘最大落地浓度；当与其他施工场地相邻或施工场地外侧是交通道路且受道路扬尘影响较大时，宜避开在相邻边界处设置监测点；市政建设施工中的线性工程每个标段宜设置1~2个监测点位；采样口离地面的高度宜在3m～5m范围内。施工场地扬尘监测点数量宜符合表5.1-2要求。</w:t>
      </w:r>
    </w:p>
    <w:p w14:paraId="22374C6C">
      <w:pPr>
        <w:keepNext w:val="0"/>
        <w:keepLines w:val="0"/>
        <w:pageBreakBefore w:val="0"/>
        <w:widowControl w:val="0"/>
        <w:numPr>
          <w:ilvl w:val="0"/>
          <w:numId w:val="33"/>
        </w:numPr>
        <w:kinsoku/>
        <w:wordWrap/>
        <w:overflowPunct/>
        <w:topLinePunct w:val="0"/>
        <w:autoSpaceDE w:val="0"/>
        <w:autoSpaceDN w:val="0"/>
        <w:bidi w:val="0"/>
        <w:adjustRightInd w:val="0"/>
        <w:snapToGrid/>
        <w:spacing w:line="500" w:lineRule="exact"/>
        <w:ind w:left="425" w:leftChars="0" w:hanging="425" w:firstLineChars="0"/>
        <w:jc w:val="center"/>
        <w:textAlignment w:val="auto"/>
        <w:rPr>
          <w:rFonts w:hint="default" w:ascii="Times New Roman" w:hAnsi="Times New Roman" w:eastAsia="宋体" w:cs="Times New Roman"/>
          <w:b/>
          <w:bCs w:val="0"/>
          <w:color w:val="000000" w:themeColor="text1"/>
          <w:sz w:val="25"/>
          <w:szCs w:val="25"/>
          <w:highlight w:val="none"/>
          <w:shd w:val="clear" w:color="auto" w:fill="auto"/>
          <w14:textFill>
            <w14:solidFill>
              <w14:schemeClr w14:val="tx1"/>
            </w14:solidFill>
          </w14:textFill>
        </w:rPr>
      </w:pPr>
      <w:r>
        <w:rPr>
          <w:rFonts w:hint="default" w:ascii="Times New Roman" w:hAnsi="Times New Roman" w:eastAsia="宋体" w:cs="Times New Roman"/>
          <w:b/>
          <w:bCs w:val="0"/>
          <w:color w:val="000000" w:themeColor="text1"/>
          <w:sz w:val="25"/>
          <w:szCs w:val="25"/>
          <w:highlight w:val="none"/>
          <w:shd w:val="clear" w:color="auto" w:fill="auto"/>
          <w14:textFill>
            <w14:solidFill>
              <w14:schemeClr w14:val="tx1"/>
            </w14:solidFill>
          </w14:textFill>
        </w:rPr>
        <w:t>施工场地扬尘监测点数量设置</w:t>
      </w:r>
    </w:p>
    <w:tbl>
      <w:tblPr>
        <w:tblStyle w:val="48"/>
        <w:tblW w:w="499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4300"/>
        <w:gridCol w:w="4986"/>
      </w:tblGrid>
      <w:tr w14:paraId="031377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15" w:type="pct"/>
            <w:tcBorders>
              <w:tl2br w:val="nil"/>
              <w:tr2bl w:val="nil"/>
            </w:tcBorders>
            <w:noWrap w:val="0"/>
            <w:vAlign w:val="center"/>
          </w:tcPr>
          <w:p w14:paraId="46100EEB">
            <w:pPr>
              <w:pStyle w:val="58"/>
              <w:bidi w:val="0"/>
              <w:rPr>
                <w:rFonts w:hint="default"/>
                <w:highlight w:val="none"/>
              </w:rPr>
            </w:pPr>
            <w:r>
              <w:rPr>
                <w:rFonts w:hint="default"/>
                <w:highlight w:val="none"/>
              </w:rPr>
              <w:t>占地面积S（m</w:t>
            </w:r>
            <w:r>
              <w:rPr>
                <w:rFonts w:hint="default"/>
                <w:highlight w:val="none"/>
                <w:vertAlign w:val="superscript"/>
              </w:rPr>
              <w:t>2</w:t>
            </w:r>
            <w:r>
              <w:rPr>
                <w:rFonts w:hint="default"/>
                <w:highlight w:val="none"/>
              </w:rPr>
              <w:t>）</w:t>
            </w:r>
          </w:p>
        </w:tc>
        <w:tc>
          <w:tcPr>
            <w:tcW w:w="2684" w:type="pct"/>
            <w:tcBorders>
              <w:tl2br w:val="nil"/>
              <w:tr2bl w:val="nil"/>
            </w:tcBorders>
            <w:noWrap w:val="0"/>
            <w:vAlign w:val="center"/>
          </w:tcPr>
          <w:p w14:paraId="2137276B">
            <w:pPr>
              <w:pStyle w:val="58"/>
              <w:bidi w:val="0"/>
              <w:rPr>
                <w:rFonts w:hint="default"/>
                <w:highlight w:val="none"/>
              </w:rPr>
            </w:pPr>
            <w:r>
              <w:rPr>
                <w:rFonts w:hint="default"/>
                <w:highlight w:val="none"/>
              </w:rPr>
              <w:t>监测点数量(个)</w:t>
            </w:r>
          </w:p>
        </w:tc>
      </w:tr>
      <w:tr w14:paraId="75FAA25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15" w:type="pct"/>
            <w:tcBorders>
              <w:tl2br w:val="nil"/>
              <w:tr2bl w:val="nil"/>
            </w:tcBorders>
            <w:noWrap w:val="0"/>
            <w:vAlign w:val="center"/>
          </w:tcPr>
          <w:p w14:paraId="4A329DD5">
            <w:pPr>
              <w:pStyle w:val="58"/>
              <w:bidi w:val="0"/>
              <w:rPr>
                <w:rFonts w:hint="default"/>
                <w:highlight w:val="none"/>
              </w:rPr>
            </w:pPr>
            <w:r>
              <w:rPr>
                <w:rFonts w:hint="default"/>
                <w:highlight w:val="none"/>
              </w:rPr>
              <w:t>S≤5000</w:t>
            </w:r>
          </w:p>
        </w:tc>
        <w:tc>
          <w:tcPr>
            <w:tcW w:w="2684" w:type="pct"/>
            <w:tcBorders>
              <w:tl2br w:val="nil"/>
              <w:tr2bl w:val="nil"/>
            </w:tcBorders>
            <w:noWrap w:val="0"/>
            <w:vAlign w:val="center"/>
          </w:tcPr>
          <w:p w14:paraId="33249B28">
            <w:pPr>
              <w:pStyle w:val="58"/>
              <w:bidi w:val="0"/>
              <w:rPr>
                <w:rFonts w:hint="default"/>
                <w:highlight w:val="none"/>
              </w:rPr>
            </w:pPr>
            <w:r>
              <w:rPr>
                <w:rFonts w:hint="default"/>
                <w:highlight w:val="none"/>
              </w:rPr>
              <w:t>≥1</w:t>
            </w:r>
          </w:p>
        </w:tc>
      </w:tr>
      <w:tr w14:paraId="474728F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15" w:type="pct"/>
            <w:tcBorders>
              <w:tl2br w:val="nil"/>
              <w:tr2bl w:val="nil"/>
            </w:tcBorders>
            <w:noWrap w:val="0"/>
            <w:vAlign w:val="center"/>
          </w:tcPr>
          <w:p w14:paraId="3E958C15">
            <w:pPr>
              <w:pStyle w:val="58"/>
              <w:bidi w:val="0"/>
              <w:rPr>
                <w:rFonts w:hint="default"/>
                <w:highlight w:val="none"/>
              </w:rPr>
            </w:pPr>
            <w:r>
              <w:rPr>
                <w:rFonts w:hint="default"/>
                <w:highlight w:val="none"/>
              </w:rPr>
              <w:t>5000＜S≤10000</w:t>
            </w:r>
          </w:p>
        </w:tc>
        <w:tc>
          <w:tcPr>
            <w:tcW w:w="2684" w:type="pct"/>
            <w:tcBorders>
              <w:tl2br w:val="nil"/>
              <w:tr2bl w:val="nil"/>
            </w:tcBorders>
            <w:noWrap w:val="0"/>
            <w:vAlign w:val="center"/>
          </w:tcPr>
          <w:p w14:paraId="12785A62">
            <w:pPr>
              <w:pStyle w:val="58"/>
              <w:bidi w:val="0"/>
              <w:rPr>
                <w:rFonts w:hint="default"/>
                <w:highlight w:val="none"/>
              </w:rPr>
            </w:pPr>
            <w:r>
              <w:rPr>
                <w:rFonts w:hint="default"/>
                <w:highlight w:val="none"/>
              </w:rPr>
              <w:t>≥2</w:t>
            </w:r>
          </w:p>
        </w:tc>
      </w:tr>
      <w:tr w14:paraId="2BC5F50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315" w:type="pct"/>
            <w:tcBorders>
              <w:tl2br w:val="nil"/>
              <w:tr2bl w:val="nil"/>
            </w:tcBorders>
            <w:noWrap w:val="0"/>
            <w:vAlign w:val="center"/>
          </w:tcPr>
          <w:p w14:paraId="31A25C47">
            <w:pPr>
              <w:pStyle w:val="58"/>
              <w:bidi w:val="0"/>
              <w:rPr>
                <w:rFonts w:hint="default"/>
                <w:highlight w:val="none"/>
              </w:rPr>
            </w:pPr>
            <w:r>
              <w:rPr>
                <w:rFonts w:hint="default"/>
                <w:highlight w:val="none"/>
              </w:rPr>
              <w:t>10000＜S≤100000</w:t>
            </w:r>
          </w:p>
        </w:tc>
        <w:tc>
          <w:tcPr>
            <w:tcW w:w="2684" w:type="pct"/>
            <w:tcBorders>
              <w:tl2br w:val="nil"/>
              <w:tr2bl w:val="nil"/>
            </w:tcBorders>
            <w:noWrap w:val="0"/>
            <w:vAlign w:val="center"/>
          </w:tcPr>
          <w:p w14:paraId="5C8EDDE1">
            <w:pPr>
              <w:pStyle w:val="58"/>
              <w:bidi w:val="0"/>
              <w:rPr>
                <w:rFonts w:hint="default"/>
                <w:highlight w:val="none"/>
              </w:rPr>
            </w:pPr>
            <w:r>
              <w:rPr>
                <w:rFonts w:hint="default"/>
                <w:highlight w:val="none"/>
              </w:rPr>
              <w:t>≥4</w:t>
            </w:r>
          </w:p>
        </w:tc>
      </w:tr>
      <w:tr w14:paraId="5360BF3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15" w:type="pct"/>
            <w:tcBorders>
              <w:tl2br w:val="nil"/>
              <w:tr2bl w:val="nil"/>
            </w:tcBorders>
            <w:noWrap w:val="0"/>
            <w:vAlign w:val="center"/>
          </w:tcPr>
          <w:p w14:paraId="1A377227">
            <w:pPr>
              <w:pStyle w:val="58"/>
              <w:bidi w:val="0"/>
              <w:rPr>
                <w:rFonts w:hint="default"/>
                <w:highlight w:val="none"/>
              </w:rPr>
            </w:pPr>
            <w:r>
              <w:rPr>
                <w:rFonts w:hint="default"/>
                <w:highlight w:val="none"/>
              </w:rPr>
              <w:t>S＞100000</w:t>
            </w:r>
          </w:p>
        </w:tc>
        <w:tc>
          <w:tcPr>
            <w:tcW w:w="2684" w:type="pct"/>
            <w:tcBorders>
              <w:tl2br w:val="nil"/>
              <w:tr2bl w:val="nil"/>
            </w:tcBorders>
            <w:noWrap w:val="0"/>
            <w:vAlign w:val="center"/>
          </w:tcPr>
          <w:p w14:paraId="777175C6">
            <w:pPr>
              <w:pStyle w:val="58"/>
              <w:bidi w:val="0"/>
              <w:rPr>
                <w:rFonts w:hint="default"/>
                <w:highlight w:val="none"/>
              </w:rPr>
            </w:pPr>
            <w:r>
              <w:rPr>
                <w:rFonts w:hint="default"/>
                <w:highlight w:val="none"/>
              </w:rPr>
              <w:t>在10万平方米最少设置4个监测点的基础上，每增加10万平方米最少增设1个监测点（不足10万平方米的部分按10万平方米计）。</w:t>
            </w:r>
          </w:p>
        </w:tc>
      </w:tr>
    </w:tbl>
    <w:p w14:paraId="4027D7D3">
      <w:pPr>
        <w:rPr>
          <w:rFonts w:hint="default"/>
          <w:highlight w:val="none"/>
        </w:rPr>
      </w:pPr>
      <w:r>
        <w:rPr>
          <w:rFonts w:hint="default"/>
          <w:highlight w:val="none"/>
        </w:rPr>
        <w:t>本项目设施</w:t>
      </w:r>
      <w:r>
        <w:rPr>
          <w:rFonts w:hint="eastAsia"/>
          <w:highlight w:val="none"/>
          <w:lang w:val="en-US" w:eastAsia="zh-CN"/>
        </w:rPr>
        <w:t>实际</w:t>
      </w:r>
      <w:r>
        <w:rPr>
          <w:rFonts w:hint="default"/>
          <w:highlight w:val="none"/>
        </w:rPr>
        <w:t>占地</w:t>
      </w:r>
      <w:r>
        <w:rPr>
          <w:rFonts w:hint="eastAsia"/>
          <w:highlight w:val="none"/>
          <w:lang w:val="en-US" w:eastAsia="zh-CN"/>
        </w:rPr>
        <w:t>2168</w:t>
      </w:r>
      <w:r>
        <w:rPr>
          <w:rFonts w:hint="eastAsia"/>
          <w:highlight w:val="none"/>
          <w:lang w:eastAsia="zh-CN"/>
        </w:rPr>
        <w:t>m</w:t>
      </w:r>
      <w:r>
        <w:rPr>
          <w:rFonts w:hint="default"/>
          <w:highlight w:val="none"/>
          <w:vertAlign w:val="superscript"/>
          <w:lang w:eastAsia="zh-CN"/>
        </w:rPr>
        <w:t>2</w:t>
      </w:r>
      <w:r>
        <w:rPr>
          <w:rFonts w:hint="default"/>
          <w:highlight w:val="none"/>
        </w:rPr>
        <w:t>，根据河北省《扬尘在线监测系统建设及运行技术规范》（DB13/T2935—2019），项目施工期场区设置</w:t>
      </w:r>
      <w:r>
        <w:rPr>
          <w:rFonts w:hint="eastAsia"/>
          <w:highlight w:val="none"/>
          <w:lang w:val="en-US" w:eastAsia="zh-CN"/>
        </w:rPr>
        <w:t>1</w:t>
      </w:r>
      <w:r>
        <w:rPr>
          <w:rFonts w:hint="default"/>
          <w:highlight w:val="none"/>
        </w:rPr>
        <w:t>个废气监测点位监测施工扬尘，监测点位设置于施工场区东侧出入口。</w:t>
      </w:r>
    </w:p>
    <w:p w14:paraId="60B00F5F">
      <w:pPr>
        <w:bidi w:val="0"/>
        <w:rPr>
          <w:rFonts w:hint="default"/>
          <w:highlight w:val="none"/>
        </w:rPr>
      </w:pPr>
      <w:r>
        <w:rPr>
          <w:rFonts w:hint="default"/>
          <w:highlight w:val="none"/>
        </w:rPr>
        <w:t>采取以上措施后，可有效的控制施工扬尘，满足《施工场地扬尘排放标准》（DB13/2934-2019）中80μg/</w:t>
      </w:r>
      <w:r>
        <w:rPr>
          <w:rFonts w:hint="eastAsia"/>
          <w:highlight w:val="none"/>
          <w:lang w:eastAsia="zh-CN"/>
        </w:rPr>
        <w:t>m</w:t>
      </w:r>
      <w:r>
        <w:rPr>
          <w:rFonts w:hint="eastAsia"/>
          <w:highlight w:val="none"/>
          <w:vertAlign w:val="superscript"/>
          <w:lang w:eastAsia="zh-CN"/>
        </w:rPr>
        <w:t>3</w:t>
      </w:r>
      <w:r>
        <w:rPr>
          <w:rFonts w:hint="default"/>
          <w:highlight w:val="none"/>
        </w:rPr>
        <w:t>要求。</w:t>
      </w:r>
    </w:p>
    <w:p w14:paraId="4BF7B7E2">
      <w:pPr>
        <w:bidi w:val="0"/>
        <w:rPr>
          <w:rFonts w:hint="default"/>
          <w:highlight w:val="none"/>
        </w:rPr>
      </w:pPr>
      <w:r>
        <w:rPr>
          <w:rFonts w:hint="default"/>
          <w:highlight w:val="none"/>
        </w:rPr>
        <w:t>⑵施工机械废气</w:t>
      </w:r>
    </w:p>
    <w:p w14:paraId="2B261CF5">
      <w:pPr>
        <w:bidi w:val="0"/>
        <w:rPr>
          <w:rFonts w:hint="default"/>
          <w:highlight w:val="none"/>
        </w:rPr>
      </w:pPr>
      <w:r>
        <w:rPr>
          <w:rFonts w:hint="default"/>
          <w:highlight w:val="none"/>
        </w:rPr>
        <w:t>各类燃油动力机械在场地开挖、建筑施工、物料运输等施工作业时，会排出燃油废气，主要污染物为CO、NO</w:t>
      </w:r>
      <w:r>
        <w:rPr>
          <w:rFonts w:hint="default"/>
          <w:highlight w:val="none"/>
          <w:vertAlign w:val="subscript"/>
        </w:rPr>
        <w:t>X</w:t>
      </w:r>
      <w:r>
        <w:rPr>
          <w:rFonts w:hint="default"/>
          <w:highlight w:val="none"/>
        </w:rPr>
        <w:t>、NMHC。此类污染物为无组织排放，排放量小，对环境影响不大，建议施工期间加强机械维护，能够提高各类燃油机械的使用效率，降低燃油废气排放量。</w:t>
      </w:r>
    </w:p>
    <w:p w14:paraId="5B43A6B6">
      <w:pPr>
        <w:pStyle w:val="6"/>
        <w:rPr>
          <w:rFonts w:hint="default" w:ascii="Times New Roman" w:hAnsi="Times New Roman" w:eastAsia="宋体" w:cs="Times New Roman"/>
          <w:color w:val="000000" w:themeColor="text1"/>
          <w:highlight w:val="none"/>
          <w:lang w:eastAsia="zh-CN"/>
          <w14:textFill>
            <w14:solidFill>
              <w14:schemeClr w14:val="tx1"/>
            </w14:solidFill>
          </w14:textFill>
        </w:rPr>
      </w:pPr>
      <w:bookmarkStart w:id="275" w:name="_Toc204051353"/>
      <w:bookmarkStart w:id="276" w:name="_Toc209507380"/>
      <w:bookmarkStart w:id="277" w:name="_Toc394418423"/>
      <w:bookmarkStart w:id="278" w:name="_Toc213401824"/>
      <w:bookmarkStart w:id="279" w:name="_Toc296328013"/>
      <w:r>
        <w:rPr>
          <w:rFonts w:hint="default" w:ascii="Times New Roman" w:hAnsi="Times New Roman" w:eastAsia="宋体" w:cs="Times New Roman"/>
          <w:color w:val="000000" w:themeColor="text1"/>
          <w:highlight w:val="none"/>
          <w:lang w:val="en-US" w:eastAsia="zh-CN"/>
          <w14:textFill>
            <w14:solidFill>
              <w14:schemeClr w14:val="tx1"/>
            </w14:solidFill>
          </w14:textFill>
        </w:rPr>
        <w:t>5.1.2</w:t>
      </w:r>
      <w:r>
        <w:rPr>
          <w:rFonts w:hint="default" w:ascii="Times New Roman" w:hAnsi="Times New Roman" w:eastAsia="宋体" w:cs="Times New Roman"/>
          <w:color w:val="000000" w:themeColor="text1"/>
          <w:highlight w:val="none"/>
          <w14:textFill>
            <w14:solidFill>
              <w14:schemeClr w14:val="tx1"/>
            </w14:solidFill>
          </w14:textFill>
        </w:rPr>
        <w:t>施工期噪声</w:t>
      </w:r>
      <w:bookmarkEnd w:id="275"/>
      <w:bookmarkEnd w:id="276"/>
      <w:bookmarkEnd w:id="277"/>
      <w:bookmarkEnd w:id="278"/>
      <w:bookmarkEnd w:id="279"/>
      <w:r>
        <w:rPr>
          <w:rFonts w:hint="default" w:ascii="Times New Roman" w:hAnsi="Times New Roman" w:eastAsia="宋体" w:cs="Times New Roman"/>
          <w:color w:val="000000" w:themeColor="text1"/>
          <w:highlight w:val="none"/>
          <w:lang w:eastAsia="zh-CN"/>
          <w14:textFill>
            <w14:solidFill>
              <w14:schemeClr w14:val="tx1"/>
            </w14:solidFill>
          </w14:textFill>
        </w:rPr>
        <w:t>影响分析</w:t>
      </w:r>
    </w:p>
    <w:p w14:paraId="0925022A">
      <w:pPr>
        <w:keepNext w:val="0"/>
        <w:keepLines w:val="0"/>
        <w:pageBreakBefore w:val="0"/>
        <w:widowControl w:val="0"/>
        <w:kinsoku/>
        <w:wordWrap/>
        <w:overflowPunct/>
        <w:topLinePunct w:val="0"/>
        <w:bidi w:val="0"/>
        <w:spacing w:line="50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bookmarkStart w:id="280" w:name="_Toc301420669"/>
      <w:bookmarkStart w:id="281" w:name="_Toc259026494"/>
      <w:bookmarkStart w:id="282" w:name="_Toc181686442"/>
      <w:bookmarkStart w:id="283" w:name="_Toc176876592"/>
      <w:bookmarkStart w:id="284" w:name="_Toc236706408"/>
      <w:bookmarkStart w:id="285" w:name="_Toc182638477"/>
      <w:bookmarkStart w:id="286" w:name="_Toc208798631"/>
      <w:bookmarkStart w:id="287" w:name="_Toc217370348"/>
      <w:bookmarkStart w:id="288" w:name="_Toc214678261"/>
      <w:bookmarkStart w:id="289" w:name="_Toc205696727"/>
      <w:bookmarkStart w:id="290" w:name="_Toc166313533"/>
      <w:bookmarkStart w:id="291" w:name="_Toc180808273"/>
      <w:bookmarkStart w:id="292" w:name="_Toc166313662"/>
      <w:bookmarkStart w:id="293" w:name="_Toc181015460"/>
      <w:r>
        <w:rPr>
          <w:rFonts w:hint="default" w:ascii="Times New Roman" w:hAnsi="Times New Roman" w:eastAsia="宋体" w:cs="Times New Roman"/>
          <w:color w:val="000000" w:themeColor="text1"/>
          <w:sz w:val="24"/>
          <w:szCs w:val="24"/>
          <w:highlight w:val="none"/>
          <w14:textFill>
            <w14:solidFill>
              <w14:schemeClr w14:val="tx1"/>
            </w14:solidFill>
          </w14:textFill>
        </w:rPr>
        <w:t>⑴施工期噪声源强</w:t>
      </w:r>
    </w:p>
    <w:p w14:paraId="5C5BB79D">
      <w:pPr>
        <w:keepNext w:val="0"/>
        <w:keepLines w:val="0"/>
        <w:pageBreakBefore w:val="0"/>
        <w:widowControl w:val="0"/>
        <w:kinsoku/>
        <w:wordWrap/>
        <w:overflowPunct/>
        <w:topLinePunct w:val="0"/>
        <w:bidi w:val="0"/>
        <w:spacing w:line="50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根据类比调查和资料分析，拟建项目拟采用的各类建筑施工机械设备产噪值见表5.1-3。</w:t>
      </w:r>
    </w:p>
    <w:p w14:paraId="4C85C471">
      <w:pPr>
        <w:keepNext w:val="0"/>
        <w:keepLines w:val="0"/>
        <w:pageBreakBefore w:val="0"/>
        <w:widowControl w:val="0"/>
        <w:numPr>
          <w:ilvl w:val="0"/>
          <w:numId w:val="33"/>
        </w:numPr>
        <w:kinsoku/>
        <w:wordWrap/>
        <w:overflowPunct/>
        <w:topLinePunct w:val="0"/>
        <w:autoSpaceDE w:val="0"/>
        <w:autoSpaceDN w:val="0"/>
        <w:bidi w:val="0"/>
        <w:adjustRightInd w:val="0"/>
        <w:snapToGrid/>
        <w:spacing w:line="500" w:lineRule="exact"/>
        <w:ind w:left="425" w:leftChars="0" w:hanging="425" w:firstLineChars="0"/>
        <w:jc w:val="center"/>
        <w:textAlignment w:val="auto"/>
        <w:rPr>
          <w:rFonts w:hint="default" w:ascii="Times New Roman" w:hAnsi="Times New Roman" w:eastAsia="宋体" w:cs="Times New Roman"/>
          <w:b/>
          <w:bCs w:val="0"/>
          <w:color w:val="000000" w:themeColor="text1"/>
          <w:sz w:val="25"/>
          <w:szCs w:val="25"/>
          <w:highlight w:val="none"/>
          <w:shd w:val="clear" w:color="auto" w:fill="auto"/>
          <w14:textFill>
            <w14:solidFill>
              <w14:schemeClr w14:val="tx1"/>
            </w14:solidFill>
          </w14:textFill>
        </w:rPr>
      </w:pPr>
      <w:r>
        <w:rPr>
          <w:rFonts w:hint="default" w:ascii="Times New Roman" w:hAnsi="Times New Roman" w:eastAsia="宋体" w:cs="Times New Roman"/>
          <w:b/>
          <w:bCs w:val="0"/>
          <w:color w:val="000000" w:themeColor="text1"/>
          <w:sz w:val="25"/>
          <w:szCs w:val="25"/>
          <w:highlight w:val="none"/>
          <w:shd w:val="clear" w:color="auto" w:fill="auto"/>
          <w14:textFill>
            <w14:solidFill>
              <w14:schemeClr w14:val="tx1"/>
            </w14:solidFill>
          </w14:textFill>
        </w:rPr>
        <w:t>主要施工噪声源强</w:t>
      </w:r>
    </w:p>
    <w:tbl>
      <w:tblPr>
        <w:tblStyle w:val="47"/>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180"/>
        <w:gridCol w:w="3132"/>
        <w:gridCol w:w="3972"/>
      </w:tblGrid>
      <w:tr w14:paraId="524D00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174" w:type="pct"/>
            <w:tcBorders>
              <w:tl2br w:val="nil"/>
              <w:tr2bl w:val="nil"/>
            </w:tcBorders>
            <w:noWrap w:val="0"/>
            <w:vAlign w:val="center"/>
          </w:tcPr>
          <w:p w14:paraId="50FDC537">
            <w:pPr>
              <w:spacing w:line="360" w:lineRule="exact"/>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机械设备名称</w:t>
            </w:r>
          </w:p>
        </w:tc>
        <w:tc>
          <w:tcPr>
            <w:tcW w:w="1686" w:type="pct"/>
            <w:tcBorders>
              <w:tl2br w:val="nil"/>
              <w:tr2bl w:val="nil"/>
            </w:tcBorders>
            <w:noWrap w:val="0"/>
            <w:vAlign w:val="center"/>
          </w:tcPr>
          <w:p w14:paraId="55637A9D">
            <w:pPr>
              <w:spacing w:line="360" w:lineRule="exact"/>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测点距施工机械距离（m）</w:t>
            </w:r>
          </w:p>
        </w:tc>
        <w:tc>
          <w:tcPr>
            <w:tcW w:w="2138" w:type="pct"/>
            <w:tcBorders>
              <w:tl2br w:val="nil"/>
              <w:tr2bl w:val="nil"/>
            </w:tcBorders>
            <w:noWrap w:val="0"/>
            <w:vAlign w:val="center"/>
          </w:tcPr>
          <w:p w14:paraId="37AD9241">
            <w:pPr>
              <w:spacing w:line="360" w:lineRule="exact"/>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最大声级L</w:t>
            </w:r>
            <w:r>
              <w:rPr>
                <w:rFonts w:hint="eastAsia" w:cs="Times New Roman"/>
                <w:color w:val="auto"/>
                <w:szCs w:val="21"/>
                <w:highlight w:val="none"/>
                <w:vertAlign w:val="subscript"/>
                <w:lang w:val="en-US" w:eastAsia="zh-CN"/>
              </w:rPr>
              <w:t xml:space="preserve">  </w:t>
            </w:r>
            <w:r>
              <w:rPr>
                <w:rFonts w:hint="default" w:ascii="Times New Roman" w:hAnsi="Times New Roman" w:eastAsia="宋体" w:cs="Times New Roman"/>
                <w:color w:val="auto"/>
                <w:szCs w:val="21"/>
                <w:highlight w:val="none"/>
              </w:rPr>
              <w:t>[dB(A)]</w:t>
            </w:r>
          </w:p>
        </w:tc>
      </w:tr>
      <w:tr w14:paraId="598389C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2" w:hRule="atLeast"/>
          <w:jc w:val="center"/>
        </w:trPr>
        <w:tc>
          <w:tcPr>
            <w:tcW w:w="1174" w:type="pct"/>
            <w:tcBorders>
              <w:tl2br w:val="nil"/>
              <w:tr2bl w:val="nil"/>
            </w:tcBorders>
            <w:noWrap w:val="0"/>
            <w:vAlign w:val="center"/>
          </w:tcPr>
          <w:p w14:paraId="5E160E19">
            <w:pPr>
              <w:spacing w:line="360" w:lineRule="exact"/>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推土机</w:t>
            </w:r>
          </w:p>
        </w:tc>
        <w:tc>
          <w:tcPr>
            <w:tcW w:w="1686" w:type="pct"/>
            <w:tcBorders>
              <w:tl2br w:val="nil"/>
              <w:tr2bl w:val="nil"/>
            </w:tcBorders>
            <w:noWrap w:val="0"/>
            <w:vAlign w:val="center"/>
          </w:tcPr>
          <w:p w14:paraId="2372E1DE">
            <w:pPr>
              <w:spacing w:line="360" w:lineRule="exact"/>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5</w:t>
            </w:r>
          </w:p>
        </w:tc>
        <w:tc>
          <w:tcPr>
            <w:tcW w:w="2138" w:type="pct"/>
            <w:tcBorders>
              <w:tl2br w:val="nil"/>
              <w:tr2bl w:val="nil"/>
            </w:tcBorders>
            <w:noWrap w:val="0"/>
            <w:vAlign w:val="center"/>
          </w:tcPr>
          <w:p w14:paraId="12CA8747">
            <w:pPr>
              <w:spacing w:line="360" w:lineRule="exact"/>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86</w:t>
            </w:r>
          </w:p>
        </w:tc>
      </w:tr>
      <w:tr w14:paraId="267DDBD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2" w:hRule="atLeast"/>
          <w:jc w:val="center"/>
        </w:trPr>
        <w:tc>
          <w:tcPr>
            <w:tcW w:w="1174" w:type="pct"/>
            <w:tcBorders>
              <w:tl2br w:val="nil"/>
              <w:tr2bl w:val="nil"/>
            </w:tcBorders>
            <w:noWrap w:val="0"/>
            <w:vAlign w:val="center"/>
          </w:tcPr>
          <w:p w14:paraId="4782F969">
            <w:pPr>
              <w:spacing w:line="360" w:lineRule="exact"/>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挖掘机</w:t>
            </w:r>
          </w:p>
        </w:tc>
        <w:tc>
          <w:tcPr>
            <w:tcW w:w="1686" w:type="pct"/>
            <w:tcBorders>
              <w:tl2br w:val="nil"/>
              <w:tr2bl w:val="nil"/>
            </w:tcBorders>
            <w:noWrap w:val="0"/>
            <w:vAlign w:val="center"/>
          </w:tcPr>
          <w:p w14:paraId="707F7D3F">
            <w:pPr>
              <w:spacing w:line="360" w:lineRule="exact"/>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5</w:t>
            </w:r>
          </w:p>
        </w:tc>
        <w:tc>
          <w:tcPr>
            <w:tcW w:w="2138" w:type="pct"/>
            <w:tcBorders>
              <w:tl2br w:val="nil"/>
              <w:tr2bl w:val="nil"/>
            </w:tcBorders>
            <w:noWrap w:val="0"/>
            <w:vAlign w:val="center"/>
          </w:tcPr>
          <w:p w14:paraId="4CE61432">
            <w:pPr>
              <w:spacing w:line="360" w:lineRule="exact"/>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84</w:t>
            </w:r>
          </w:p>
        </w:tc>
      </w:tr>
      <w:tr w14:paraId="4662FFD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2" w:hRule="atLeast"/>
          <w:jc w:val="center"/>
        </w:trPr>
        <w:tc>
          <w:tcPr>
            <w:tcW w:w="1174" w:type="pct"/>
            <w:tcBorders>
              <w:tl2br w:val="nil"/>
              <w:tr2bl w:val="nil"/>
            </w:tcBorders>
            <w:noWrap w:val="0"/>
            <w:vAlign w:val="center"/>
          </w:tcPr>
          <w:p w14:paraId="70E846C5">
            <w:pPr>
              <w:spacing w:line="360" w:lineRule="exact"/>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振捣器</w:t>
            </w:r>
          </w:p>
        </w:tc>
        <w:tc>
          <w:tcPr>
            <w:tcW w:w="1686" w:type="pct"/>
            <w:tcBorders>
              <w:tl2br w:val="nil"/>
              <w:tr2bl w:val="nil"/>
            </w:tcBorders>
            <w:noWrap w:val="0"/>
            <w:vAlign w:val="center"/>
          </w:tcPr>
          <w:p w14:paraId="16AA187A">
            <w:pPr>
              <w:spacing w:line="360" w:lineRule="exact"/>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5</w:t>
            </w:r>
          </w:p>
        </w:tc>
        <w:tc>
          <w:tcPr>
            <w:tcW w:w="2138" w:type="pct"/>
            <w:tcBorders>
              <w:tl2br w:val="nil"/>
              <w:tr2bl w:val="nil"/>
            </w:tcBorders>
            <w:noWrap w:val="0"/>
            <w:vAlign w:val="center"/>
          </w:tcPr>
          <w:p w14:paraId="3B036DD2">
            <w:pPr>
              <w:spacing w:line="360" w:lineRule="exact"/>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85</w:t>
            </w:r>
          </w:p>
        </w:tc>
      </w:tr>
      <w:tr w14:paraId="25769C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2" w:hRule="atLeast"/>
          <w:jc w:val="center"/>
        </w:trPr>
        <w:tc>
          <w:tcPr>
            <w:tcW w:w="1174" w:type="pct"/>
            <w:tcBorders>
              <w:tl2br w:val="nil"/>
              <w:tr2bl w:val="nil"/>
            </w:tcBorders>
            <w:noWrap w:val="0"/>
            <w:vAlign w:val="center"/>
          </w:tcPr>
          <w:p w14:paraId="166E7EAD">
            <w:pPr>
              <w:spacing w:line="360" w:lineRule="exact"/>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装载机</w:t>
            </w:r>
          </w:p>
        </w:tc>
        <w:tc>
          <w:tcPr>
            <w:tcW w:w="1686" w:type="pct"/>
            <w:tcBorders>
              <w:tl2br w:val="nil"/>
              <w:tr2bl w:val="nil"/>
            </w:tcBorders>
            <w:noWrap w:val="0"/>
            <w:vAlign w:val="center"/>
          </w:tcPr>
          <w:p w14:paraId="7CD8098A">
            <w:pPr>
              <w:spacing w:line="360" w:lineRule="exact"/>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5</w:t>
            </w:r>
          </w:p>
        </w:tc>
        <w:tc>
          <w:tcPr>
            <w:tcW w:w="2138" w:type="pct"/>
            <w:tcBorders>
              <w:tl2br w:val="nil"/>
              <w:tr2bl w:val="nil"/>
            </w:tcBorders>
            <w:noWrap w:val="0"/>
            <w:vAlign w:val="center"/>
          </w:tcPr>
          <w:p w14:paraId="18C29105">
            <w:pPr>
              <w:spacing w:line="360" w:lineRule="exact"/>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85</w:t>
            </w:r>
          </w:p>
        </w:tc>
      </w:tr>
      <w:tr w14:paraId="5C0101D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2" w:hRule="atLeast"/>
          <w:jc w:val="center"/>
        </w:trPr>
        <w:tc>
          <w:tcPr>
            <w:tcW w:w="1174" w:type="pct"/>
            <w:tcBorders>
              <w:tl2br w:val="nil"/>
              <w:tr2bl w:val="nil"/>
            </w:tcBorders>
            <w:noWrap w:val="0"/>
            <w:vAlign w:val="center"/>
          </w:tcPr>
          <w:p w14:paraId="3581A02A">
            <w:pPr>
              <w:spacing w:line="360" w:lineRule="exact"/>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汽车</w:t>
            </w:r>
          </w:p>
        </w:tc>
        <w:tc>
          <w:tcPr>
            <w:tcW w:w="1686" w:type="pct"/>
            <w:tcBorders>
              <w:tl2br w:val="nil"/>
              <w:tr2bl w:val="nil"/>
            </w:tcBorders>
            <w:noWrap w:val="0"/>
            <w:vAlign w:val="center"/>
          </w:tcPr>
          <w:p w14:paraId="598D296C">
            <w:pPr>
              <w:spacing w:line="360" w:lineRule="exact"/>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5</w:t>
            </w:r>
          </w:p>
        </w:tc>
        <w:tc>
          <w:tcPr>
            <w:tcW w:w="2138" w:type="pct"/>
            <w:tcBorders>
              <w:tl2br w:val="nil"/>
              <w:tr2bl w:val="nil"/>
            </w:tcBorders>
            <w:noWrap w:val="0"/>
            <w:vAlign w:val="center"/>
          </w:tcPr>
          <w:p w14:paraId="66CE2624">
            <w:pPr>
              <w:spacing w:line="360" w:lineRule="exact"/>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75</w:t>
            </w:r>
          </w:p>
        </w:tc>
      </w:tr>
      <w:tr w14:paraId="287C71B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8" w:hRule="atLeast"/>
          <w:jc w:val="center"/>
        </w:trPr>
        <w:tc>
          <w:tcPr>
            <w:tcW w:w="1174" w:type="pct"/>
            <w:tcBorders>
              <w:tl2br w:val="nil"/>
              <w:tr2bl w:val="nil"/>
            </w:tcBorders>
            <w:noWrap w:val="0"/>
            <w:vAlign w:val="center"/>
          </w:tcPr>
          <w:p w14:paraId="2E2F796A">
            <w:pPr>
              <w:spacing w:line="360" w:lineRule="exact"/>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汽车吊</w:t>
            </w:r>
          </w:p>
        </w:tc>
        <w:tc>
          <w:tcPr>
            <w:tcW w:w="1686" w:type="pct"/>
            <w:tcBorders>
              <w:tl2br w:val="nil"/>
              <w:tr2bl w:val="nil"/>
            </w:tcBorders>
            <w:noWrap w:val="0"/>
            <w:vAlign w:val="center"/>
          </w:tcPr>
          <w:p w14:paraId="5D06C42A">
            <w:pPr>
              <w:spacing w:line="360" w:lineRule="exact"/>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15</w:t>
            </w:r>
          </w:p>
        </w:tc>
        <w:tc>
          <w:tcPr>
            <w:tcW w:w="2138" w:type="pct"/>
            <w:tcBorders>
              <w:tl2br w:val="nil"/>
              <w:tr2bl w:val="nil"/>
            </w:tcBorders>
            <w:noWrap w:val="0"/>
            <w:vAlign w:val="center"/>
          </w:tcPr>
          <w:p w14:paraId="2512029A">
            <w:pPr>
              <w:spacing w:line="360" w:lineRule="exact"/>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73</w:t>
            </w:r>
          </w:p>
        </w:tc>
      </w:tr>
    </w:tbl>
    <w:p w14:paraId="3F752840">
      <w:pPr>
        <w:spacing w:line="480" w:lineRule="exact"/>
        <w:ind w:firstLine="48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⑵施工期噪声贡献值</w:t>
      </w:r>
    </w:p>
    <w:p w14:paraId="1C935EEB">
      <w:pPr>
        <w:spacing w:line="480" w:lineRule="exact"/>
        <w:ind w:firstLine="48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本评价采用点源衰减模式，预测计算施工机械噪声源至受声点的几何发散衰减，计算中不考虑声屏障、空气吸收等衰减，预测如下：</w:t>
      </w:r>
    </w:p>
    <w:p w14:paraId="5A1D0391">
      <w:pPr>
        <w:spacing w:line="480" w:lineRule="exact"/>
        <w:ind w:firstLine="48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pict>
          <v:shape id="对象 11776" o:spid="_x0000_s1078" o:spt="75" type="#_x0000_t75" style="position:absolute;left:0pt;margin-left:41.75pt;margin-top:13.1pt;height:36.75pt;width:140.95pt;mso-wrap-distance-bottom:0pt;mso-wrap-distance-left:9pt;mso-wrap-distance-right:9pt;mso-wrap-distance-top:0pt;z-index:251671552;mso-width-relative:page;mso-height-relative:page;" o:ole="t" filled="f" o:preferrelative="t" stroked="f" coordsize="21600,21600">
            <v:path/>
            <v:fill on="f" focussize="0,0"/>
            <v:stroke on="f"/>
            <v:imagedata r:id="rId67" o:title=""/>
            <o:lock v:ext="edit" grouping="f" rotation="f" text="f" aspectratio="t"/>
            <w10:wrap type="square"/>
          </v:shape>
          <o:OLEObject Type="Embed" ProgID="" ShapeID="对象 11776" DrawAspect="Content" ObjectID="_1468075740" r:id="rId66">
            <o:LockedField>false</o:LockedField>
          </o:OLEObject>
        </w:pict>
      </w:r>
    </w:p>
    <w:p w14:paraId="76D75F6C">
      <w:pPr>
        <w:pStyle w:val="21"/>
        <w:ind w:left="427" w:firstLine="730"/>
        <w:rPr>
          <w:rFonts w:hint="default" w:ascii="Times New Roman" w:hAnsi="Times New Roman" w:eastAsia="宋体" w:cs="Times New Roman"/>
          <w:color w:val="auto"/>
          <w:highlight w:val="none"/>
        </w:rPr>
      </w:pPr>
    </w:p>
    <w:p w14:paraId="79E2F257">
      <w:pPr>
        <w:keepNext w:val="0"/>
        <w:keepLines w:val="0"/>
        <w:pageBreakBefore w:val="0"/>
        <w:widowControl w:val="0"/>
        <w:kinsoku/>
        <w:wordWrap/>
        <w:overflowPunct/>
        <w:topLinePunct w:val="0"/>
        <w:autoSpaceDE/>
        <w:autoSpaceDN/>
        <w:bidi w:val="0"/>
        <w:adjustRightInd/>
        <w:snapToGrid/>
        <w:spacing w:line="40" w:lineRule="atLeast"/>
        <w:ind w:firstLine="480"/>
        <w:textAlignment w:val="auto"/>
        <w:rPr>
          <w:rFonts w:hint="default" w:ascii="Times New Roman" w:hAnsi="Times New Roman" w:eastAsia="宋体" w:cs="Times New Roman"/>
          <w:color w:val="auto"/>
          <w:sz w:val="24"/>
          <w:highlight w:val="none"/>
        </w:rPr>
      </w:pPr>
    </w:p>
    <w:p w14:paraId="2E1F6E56">
      <w:pPr>
        <w:spacing w:line="480" w:lineRule="exact"/>
        <w:ind w:firstLine="48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式中：LA（r）——距声源r处的A声级</w:t>
      </w:r>
    </w:p>
    <w:p w14:paraId="5ACCEA56">
      <w:pPr>
        <w:spacing w:line="480" w:lineRule="exact"/>
        <w:ind w:firstLine="1200" w:firstLineChars="5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LA（r</w:t>
      </w:r>
      <w:r>
        <w:rPr>
          <w:rFonts w:hint="default" w:ascii="Times New Roman" w:hAnsi="Times New Roman" w:eastAsia="宋体" w:cs="Times New Roman"/>
          <w:color w:val="auto"/>
          <w:sz w:val="24"/>
          <w:highlight w:val="none"/>
          <w:vertAlign w:val="subscript"/>
        </w:rPr>
        <w:t>0</w:t>
      </w:r>
      <w:r>
        <w:rPr>
          <w:rFonts w:hint="default" w:ascii="Times New Roman" w:hAnsi="Times New Roman" w:eastAsia="宋体" w:cs="Times New Roman"/>
          <w:color w:val="auto"/>
          <w:sz w:val="24"/>
          <w:highlight w:val="none"/>
        </w:rPr>
        <w:t>）——距声源r</w:t>
      </w:r>
      <w:r>
        <w:rPr>
          <w:rFonts w:hint="default" w:ascii="Times New Roman" w:hAnsi="Times New Roman" w:eastAsia="宋体" w:cs="Times New Roman"/>
          <w:color w:val="auto"/>
          <w:sz w:val="24"/>
          <w:highlight w:val="none"/>
          <w:vertAlign w:val="subscript"/>
        </w:rPr>
        <w:t>0</w:t>
      </w:r>
      <w:r>
        <w:rPr>
          <w:rFonts w:hint="default" w:ascii="Times New Roman" w:hAnsi="Times New Roman" w:eastAsia="宋体" w:cs="Times New Roman"/>
          <w:color w:val="auto"/>
          <w:sz w:val="24"/>
          <w:highlight w:val="none"/>
        </w:rPr>
        <w:t>处的A声级</w:t>
      </w:r>
    </w:p>
    <w:p w14:paraId="399E51CC">
      <w:pPr>
        <w:spacing w:line="480" w:lineRule="exact"/>
        <w:ind w:firstLine="1200" w:firstLineChars="5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△L——其它衰减作用减小的噪声级</w:t>
      </w:r>
    </w:p>
    <w:p w14:paraId="7F84180A">
      <w:pPr>
        <w:spacing w:line="480" w:lineRule="exact"/>
        <w:ind w:firstLine="48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利用上述公式，预测计算拟建项目主要施工机械在不同距离处的贡献值，预测结果见表</w:t>
      </w:r>
      <w:r>
        <w:rPr>
          <w:rFonts w:hint="default" w:ascii="Times New Roman" w:hAnsi="Times New Roman" w:eastAsia="宋体" w:cs="Times New Roman"/>
          <w:color w:val="auto"/>
          <w:sz w:val="24"/>
          <w:highlight w:val="none"/>
          <w:lang w:val="en-US" w:eastAsia="zh-CN"/>
        </w:rPr>
        <w:t>5</w:t>
      </w:r>
      <w:r>
        <w:rPr>
          <w:rFonts w:hint="default" w:ascii="Times New Roman" w:hAnsi="Times New Roman" w:eastAsia="宋体" w:cs="Times New Roman"/>
          <w:color w:val="auto"/>
          <w:sz w:val="24"/>
          <w:highlight w:val="none"/>
        </w:rPr>
        <w:t>.1-</w:t>
      </w:r>
      <w:r>
        <w:rPr>
          <w:rFonts w:hint="default" w:ascii="Times New Roman" w:hAnsi="Times New Roman" w:eastAsia="宋体" w:cs="Times New Roman"/>
          <w:color w:val="auto"/>
          <w:sz w:val="24"/>
          <w:highlight w:val="none"/>
          <w:lang w:val="en-US" w:eastAsia="zh-CN"/>
        </w:rPr>
        <w:t>4</w:t>
      </w:r>
      <w:r>
        <w:rPr>
          <w:rFonts w:hint="default" w:ascii="Times New Roman" w:hAnsi="Times New Roman" w:eastAsia="宋体" w:cs="Times New Roman"/>
          <w:color w:val="auto"/>
          <w:sz w:val="24"/>
          <w:highlight w:val="none"/>
        </w:rPr>
        <w:t>。</w:t>
      </w:r>
    </w:p>
    <w:p w14:paraId="23F81D13">
      <w:pPr>
        <w:keepNext w:val="0"/>
        <w:keepLines w:val="0"/>
        <w:pageBreakBefore w:val="0"/>
        <w:widowControl w:val="0"/>
        <w:numPr>
          <w:ilvl w:val="0"/>
          <w:numId w:val="33"/>
        </w:numPr>
        <w:kinsoku/>
        <w:wordWrap/>
        <w:overflowPunct/>
        <w:topLinePunct w:val="0"/>
        <w:autoSpaceDE w:val="0"/>
        <w:autoSpaceDN w:val="0"/>
        <w:bidi w:val="0"/>
        <w:adjustRightInd w:val="0"/>
        <w:snapToGrid/>
        <w:spacing w:line="500" w:lineRule="exact"/>
        <w:ind w:left="425" w:leftChars="0" w:hanging="425" w:firstLineChars="0"/>
        <w:jc w:val="center"/>
        <w:textAlignment w:val="auto"/>
        <w:rPr>
          <w:rFonts w:hint="default" w:ascii="Times New Roman" w:hAnsi="Times New Roman" w:eastAsia="宋体" w:cs="Times New Roman"/>
          <w:b/>
          <w:bCs w:val="0"/>
          <w:color w:val="000000" w:themeColor="text1"/>
          <w:sz w:val="25"/>
          <w:szCs w:val="25"/>
          <w:highlight w:val="none"/>
          <w:shd w:val="clear" w:color="auto" w:fill="auto"/>
          <w14:textFill>
            <w14:solidFill>
              <w14:schemeClr w14:val="tx1"/>
            </w14:solidFill>
          </w14:textFill>
        </w:rPr>
      </w:pPr>
      <w:r>
        <w:rPr>
          <w:rFonts w:hint="default" w:ascii="Times New Roman" w:hAnsi="Times New Roman" w:eastAsia="宋体" w:cs="Times New Roman"/>
          <w:b/>
          <w:bCs w:val="0"/>
          <w:color w:val="000000" w:themeColor="text1"/>
          <w:sz w:val="25"/>
          <w:szCs w:val="25"/>
          <w:highlight w:val="none"/>
          <w:shd w:val="clear" w:color="auto" w:fill="auto"/>
          <w14:textFill>
            <w14:solidFill>
              <w14:schemeClr w14:val="tx1"/>
            </w14:solidFill>
          </w14:textFill>
        </w:rPr>
        <w:t>距声源不同距离处的噪声贡献值一览表</w:t>
      </w:r>
    </w:p>
    <w:tbl>
      <w:tblPr>
        <w:tblStyle w:val="47"/>
        <w:tblW w:w="499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432"/>
        <w:gridCol w:w="829"/>
        <w:gridCol w:w="856"/>
        <w:gridCol w:w="858"/>
        <w:gridCol w:w="856"/>
        <w:gridCol w:w="858"/>
        <w:gridCol w:w="858"/>
        <w:gridCol w:w="856"/>
        <w:gridCol w:w="858"/>
        <w:gridCol w:w="865"/>
      </w:tblGrid>
      <w:tr w14:paraId="2CC36F1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785" w:type="pct"/>
            <w:vMerge w:val="restart"/>
            <w:tcBorders>
              <w:tl2br w:val="nil"/>
              <w:tr2bl w:val="nil"/>
            </w:tcBorders>
            <w:noWrap w:val="0"/>
            <w:tcMar>
              <w:top w:w="0" w:type="dxa"/>
              <w:left w:w="28" w:type="dxa"/>
              <w:bottom w:w="0" w:type="dxa"/>
              <w:right w:w="28" w:type="dxa"/>
            </w:tcMar>
            <w:vAlign w:val="center"/>
          </w:tcPr>
          <w:p w14:paraId="0CC5E34F">
            <w:pPr>
              <w:pStyle w:val="58"/>
              <w:bidi w:val="0"/>
              <w:rPr>
                <w:rFonts w:hint="default"/>
                <w:highlight w:val="none"/>
              </w:rPr>
            </w:pPr>
            <w:r>
              <w:rPr>
                <w:rFonts w:hint="default"/>
                <w:highlight w:val="none"/>
              </w:rPr>
              <w:t>施工机械</w:t>
            </w:r>
          </w:p>
        </w:tc>
        <w:tc>
          <w:tcPr>
            <w:tcW w:w="454" w:type="pct"/>
            <w:vMerge w:val="restart"/>
            <w:tcBorders>
              <w:tl2br w:val="nil"/>
              <w:tr2bl w:val="nil"/>
            </w:tcBorders>
            <w:noWrap w:val="0"/>
            <w:tcMar>
              <w:top w:w="0" w:type="dxa"/>
              <w:left w:w="28" w:type="dxa"/>
              <w:bottom w:w="0" w:type="dxa"/>
              <w:right w:w="28" w:type="dxa"/>
            </w:tcMar>
            <w:vAlign w:val="center"/>
          </w:tcPr>
          <w:p w14:paraId="55A1A7BB">
            <w:pPr>
              <w:pStyle w:val="58"/>
              <w:bidi w:val="0"/>
              <w:rPr>
                <w:rFonts w:hint="default"/>
                <w:highlight w:val="none"/>
              </w:rPr>
            </w:pPr>
            <w:r>
              <w:rPr>
                <w:rFonts w:hint="default"/>
                <w:highlight w:val="none"/>
              </w:rPr>
              <w:t>源强</w:t>
            </w:r>
          </w:p>
        </w:tc>
        <w:tc>
          <w:tcPr>
            <w:tcW w:w="3759" w:type="pct"/>
            <w:gridSpan w:val="8"/>
            <w:tcBorders>
              <w:tl2br w:val="nil"/>
              <w:tr2bl w:val="nil"/>
            </w:tcBorders>
            <w:noWrap w:val="0"/>
            <w:tcMar>
              <w:top w:w="0" w:type="dxa"/>
              <w:left w:w="28" w:type="dxa"/>
              <w:bottom w:w="0" w:type="dxa"/>
              <w:right w:w="28" w:type="dxa"/>
            </w:tcMar>
            <w:vAlign w:val="center"/>
          </w:tcPr>
          <w:p w14:paraId="0819A885">
            <w:pPr>
              <w:pStyle w:val="58"/>
              <w:bidi w:val="0"/>
              <w:rPr>
                <w:rFonts w:hint="default"/>
                <w:highlight w:val="none"/>
              </w:rPr>
            </w:pPr>
            <w:r>
              <w:rPr>
                <w:rFonts w:hint="default"/>
                <w:highlight w:val="none"/>
              </w:rPr>
              <w:t>距声源不同距离处的噪声值[dB(A)]</w:t>
            </w:r>
          </w:p>
        </w:tc>
      </w:tr>
      <w:tr w14:paraId="3D3BB1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785" w:type="pct"/>
            <w:vMerge w:val="continue"/>
            <w:tcBorders>
              <w:tl2br w:val="nil"/>
              <w:tr2bl w:val="nil"/>
            </w:tcBorders>
            <w:noWrap w:val="0"/>
            <w:vAlign w:val="center"/>
          </w:tcPr>
          <w:p w14:paraId="07F18FF7">
            <w:pPr>
              <w:pStyle w:val="58"/>
              <w:bidi w:val="0"/>
              <w:rPr>
                <w:rFonts w:hint="default"/>
                <w:highlight w:val="none"/>
              </w:rPr>
            </w:pPr>
          </w:p>
        </w:tc>
        <w:tc>
          <w:tcPr>
            <w:tcW w:w="454" w:type="pct"/>
            <w:vMerge w:val="continue"/>
            <w:tcBorders>
              <w:tl2br w:val="nil"/>
              <w:tr2bl w:val="nil"/>
            </w:tcBorders>
            <w:noWrap w:val="0"/>
            <w:vAlign w:val="center"/>
          </w:tcPr>
          <w:p w14:paraId="76CF4F97">
            <w:pPr>
              <w:pStyle w:val="58"/>
              <w:bidi w:val="0"/>
              <w:rPr>
                <w:rFonts w:hint="default"/>
                <w:highlight w:val="none"/>
              </w:rPr>
            </w:pPr>
          </w:p>
        </w:tc>
        <w:tc>
          <w:tcPr>
            <w:tcW w:w="469" w:type="pct"/>
            <w:tcBorders>
              <w:tl2br w:val="nil"/>
              <w:tr2bl w:val="nil"/>
            </w:tcBorders>
            <w:noWrap w:val="0"/>
            <w:tcMar>
              <w:top w:w="0" w:type="dxa"/>
              <w:left w:w="28" w:type="dxa"/>
              <w:bottom w:w="0" w:type="dxa"/>
              <w:right w:w="28" w:type="dxa"/>
            </w:tcMar>
            <w:vAlign w:val="center"/>
          </w:tcPr>
          <w:p w14:paraId="2AABADF8">
            <w:pPr>
              <w:pStyle w:val="58"/>
              <w:bidi w:val="0"/>
              <w:rPr>
                <w:rFonts w:hint="default"/>
                <w:highlight w:val="none"/>
              </w:rPr>
            </w:pPr>
            <w:r>
              <w:rPr>
                <w:rFonts w:hint="default"/>
                <w:highlight w:val="none"/>
              </w:rPr>
              <w:t>20m</w:t>
            </w:r>
          </w:p>
        </w:tc>
        <w:tc>
          <w:tcPr>
            <w:tcW w:w="470" w:type="pct"/>
            <w:tcBorders>
              <w:tl2br w:val="nil"/>
              <w:tr2bl w:val="nil"/>
            </w:tcBorders>
            <w:noWrap w:val="0"/>
            <w:tcMar>
              <w:top w:w="0" w:type="dxa"/>
              <w:left w:w="28" w:type="dxa"/>
              <w:bottom w:w="0" w:type="dxa"/>
              <w:right w:w="28" w:type="dxa"/>
            </w:tcMar>
            <w:vAlign w:val="center"/>
          </w:tcPr>
          <w:p w14:paraId="4D76EF76">
            <w:pPr>
              <w:pStyle w:val="58"/>
              <w:bidi w:val="0"/>
              <w:rPr>
                <w:rFonts w:hint="default"/>
                <w:highlight w:val="none"/>
              </w:rPr>
            </w:pPr>
            <w:r>
              <w:rPr>
                <w:rFonts w:hint="default"/>
                <w:highlight w:val="none"/>
              </w:rPr>
              <w:t>40m</w:t>
            </w:r>
          </w:p>
        </w:tc>
        <w:tc>
          <w:tcPr>
            <w:tcW w:w="469" w:type="pct"/>
            <w:tcBorders>
              <w:tl2br w:val="nil"/>
              <w:tr2bl w:val="nil"/>
            </w:tcBorders>
            <w:noWrap w:val="0"/>
            <w:tcMar>
              <w:top w:w="0" w:type="dxa"/>
              <w:left w:w="28" w:type="dxa"/>
              <w:bottom w:w="0" w:type="dxa"/>
              <w:right w:w="28" w:type="dxa"/>
            </w:tcMar>
            <w:vAlign w:val="center"/>
          </w:tcPr>
          <w:p w14:paraId="27415BA3">
            <w:pPr>
              <w:pStyle w:val="58"/>
              <w:bidi w:val="0"/>
              <w:rPr>
                <w:rFonts w:hint="default"/>
                <w:highlight w:val="none"/>
              </w:rPr>
            </w:pPr>
            <w:r>
              <w:rPr>
                <w:rFonts w:hint="default"/>
                <w:highlight w:val="none"/>
              </w:rPr>
              <w:t>60m</w:t>
            </w:r>
          </w:p>
        </w:tc>
        <w:tc>
          <w:tcPr>
            <w:tcW w:w="470" w:type="pct"/>
            <w:tcBorders>
              <w:tl2br w:val="nil"/>
              <w:tr2bl w:val="nil"/>
            </w:tcBorders>
            <w:noWrap w:val="0"/>
            <w:tcMar>
              <w:top w:w="0" w:type="dxa"/>
              <w:left w:w="28" w:type="dxa"/>
              <w:bottom w:w="0" w:type="dxa"/>
              <w:right w:w="28" w:type="dxa"/>
            </w:tcMar>
            <w:vAlign w:val="center"/>
          </w:tcPr>
          <w:p w14:paraId="68C35BFE">
            <w:pPr>
              <w:pStyle w:val="58"/>
              <w:bidi w:val="0"/>
              <w:rPr>
                <w:rFonts w:hint="default"/>
                <w:highlight w:val="none"/>
              </w:rPr>
            </w:pPr>
            <w:r>
              <w:rPr>
                <w:rFonts w:hint="default"/>
                <w:highlight w:val="none"/>
              </w:rPr>
              <w:t>80m</w:t>
            </w:r>
          </w:p>
        </w:tc>
        <w:tc>
          <w:tcPr>
            <w:tcW w:w="470" w:type="pct"/>
            <w:tcBorders>
              <w:tl2br w:val="nil"/>
              <w:tr2bl w:val="nil"/>
            </w:tcBorders>
            <w:noWrap w:val="0"/>
            <w:tcMar>
              <w:top w:w="0" w:type="dxa"/>
              <w:left w:w="28" w:type="dxa"/>
              <w:bottom w:w="0" w:type="dxa"/>
              <w:right w:w="28" w:type="dxa"/>
            </w:tcMar>
            <w:vAlign w:val="center"/>
          </w:tcPr>
          <w:p w14:paraId="763D8CD8">
            <w:pPr>
              <w:pStyle w:val="58"/>
              <w:bidi w:val="0"/>
              <w:rPr>
                <w:rFonts w:hint="default"/>
                <w:highlight w:val="none"/>
              </w:rPr>
            </w:pPr>
            <w:r>
              <w:rPr>
                <w:rFonts w:hint="default"/>
                <w:highlight w:val="none"/>
              </w:rPr>
              <w:t>100m</w:t>
            </w:r>
          </w:p>
        </w:tc>
        <w:tc>
          <w:tcPr>
            <w:tcW w:w="469" w:type="pct"/>
            <w:tcBorders>
              <w:tl2br w:val="nil"/>
              <w:tr2bl w:val="nil"/>
            </w:tcBorders>
            <w:noWrap w:val="0"/>
            <w:tcMar>
              <w:top w:w="0" w:type="dxa"/>
              <w:left w:w="28" w:type="dxa"/>
              <w:bottom w:w="0" w:type="dxa"/>
              <w:right w:w="28" w:type="dxa"/>
            </w:tcMar>
            <w:vAlign w:val="center"/>
          </w:tcPr>
          <w:p w14:paraId="2BCB0BED">
            <w:pPr>
              <w:pStyle w:val="58"/>
              <w:bidi w:val="0"/>
              <w:rPr>
                <w:rFonts w:hint="default"/>
                <w:highlight w:val="none"/>
              </w:rPr>
            </w:pPr>
            <w:r>
              <w:rPr>
                <w:rFonts w:hint="default"/>
                <w:highlight w:val="none"/>
              </w:rPr>
              <w:t>150m</w:t>
            </w:r>
          </w:p>
        </w:tc>
        <w:tc>
          <w:tcPr>
            <w:tcW w:w="470" w:type="pct"/>
            <w:tcBorders>
              <w:tl2br w:val="nil"/>
              <w:tr2bl w:val="nil"/>
            </w:tcBorders>
            <w:noWrap w:val="0"/>
            <w:tcMar>
              <w:top w:w="0" w:type="dxa"/>
              <w:left w:w="28" w:type="dxa"/>
              <w:bottom w:w="0" w:type="dxa"/>
              <w:right w:w="28" w:type="dxa"/>
            </w:tcMar>
            <w:vAlign w:val="center"/>
          </w:tcPr>
          <w:p w14:paraId="110368CD">
            <w:pPr>
              <w:pStyle w:val="58"/>
              <w:bidi w:val="0"/>
              <w:rPr>
                <w:rFonts w:hint="default"/>
                <w:highlight w:val="none"/>
              </w:rPr>
            </w:pPr>
            <w:r>
              <w:rPr>
                <w:rFonts w:hint="default"/>
                <w:highlight w:val="none"/>
              </w:rPr>
              <w:t>200m</w:t>
            </w:r>
          </w:p>
        </w:tc>
        <w:tc>
          <w:tcPr>
            <w:tcW w:w="471" w:type="pct"/>
            <w:tcBorders>
              <w:tl2br w:val="nil"/>
              <w:tr2bl w:val="nil"/>
            </w:tcBorders>
            <w:noWrap w:val="0"/>
            <w:tcMar>
              <w:top w:w="0" w:type="dxa"/>
              <w:left w:w="28" w:type="dxa"/>
              <w:bottom w:w="0" w:type="dxa"/>
              <w:right w:w="28" w:type="dxa"/>
            </w:tcMar>
            <w:vAlign w:val="center"/>
          </w:tcPr>
          <w:p w14:paraId="718F0E3D">
            <w:pPr>
              <w:pStyle w:val="58"/>
              <w:bidi w:val="0"/>
              <w:rPr>
                <w:rFonts w:hint="default"/>
                <w:highlight w:val="none"/>
              </w:rPr>
            </w:pPr>
            <w:r>
              <w:rPr>
                <w:rFonts w:hint="default"/>
                <w:highlight w:val="none"/>
              </w:rPr>
              <w:t>250m</w:t>
            </w:r>
          </w:p>
        </w:tc>
      </w:tr>
      <w:tr w14:paraId="6E5050B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785" w:type="pct"/>
            <w:tcBorders>
              <w:tl2br w:val="nil"/>
              <w:tr2bl w:val="nil"/>
            </w:tcBorders>
            <w:noWrap w:val="0"/>
            <w:tcMar>
              <w:top w:w="0" w:type="dxa"/>
              <w:left w:w="28" w:type="dxa"/>
              <w:bottom w:w="0" w:type="dxa"/>
              <w:right w:w="28" w:type="dxa"/>
            </w:tcMar>
            <w:vAlign w:val="center"/>
          </w:tcPr>
          <w:p w14:paraId="2E8CE9BE">
            <w:pPr>
              <w:pStyle w:val="58"/>
              <w:bidi w:val="0"/>
              <w:rPr>
                <w:rFonts w:hint="default"/>
                <w:highlight w:val="none"/>
              </w:rPr>
            </w:pPr>
            <w:r>
              <w:rPr>
                <w:rFonts w:hint="default"/>
                <w:highlight w:val="none"/>
              </w:rPr>
              <w:t>装载机</w:t>
            </w:r>
          </w:p>
        </w:tc>
        <w:tc>
          <w:tcPr>
            <w:tcW w:w="454" w:type="pct"/>
            <w:tcBorders>
              <w:tl2br w:val="nil"/>
              <w:tr2bl w:val="nil"/>
            </w:tcBorders>
            <w:noWrap w:val="0"/>
            <w:tcMar>
              <w:top w:w="0" w:type="dxa"/>
              <w:left w:w="28" w:type="dxa"/>
              <w:bottom w:w="0" w:type="dxa"/>
              <w:right w:w="28" w:type="dxa"/>
            </w:tcMar>
            <w:vAlign w:val="center"/>
          </w:tcPr>
          <w:p w14:paraId="1FDAEFE3">
            <w:pPr>
              <w:pStyle w:val="58"/>
              <w:bidi w:val="0"/>
              <w:rPr>
                <w:rFonts w:hint="default"/>
                <w:highlight w:val="none"/>
              </w:rPr>
            </w:pPr>
            <w:r>
              <w:rPr>
                <w:rFonts w:hint="default"/>
                <w:highlight w:val="none"/>
              </w:rPr>
              <w:t>85</w:t>
            </w:r>
          </w:p>
        </w:tc>
        <w:tc>
          <w:tcPr>
            <w:tcW w:w="469" w:type="pct"/>
            <w:tcBorders>
              <w:tl2br w:val="nil"/>
              <w:tr2bl w:val="nil"/>
            </w:tcBorders>
            <w:noWrap w:val="0"/>
            <w:tcMar>
              <w:top w:w="0" w:type="dxa"/>
              <w:left w:w="28" w:type="dxa"/>
              <w:bottom w:w="0" w:type="dxa"/>
              <w:right w:w="28" w:type="dxa"/>
            </w:tcMar>
            <w:vAlign w:val="center"/>
          </w:tcPr>
          <w:p w14:paraId="1074AC03">
            <w:pPr>
              <w:pStyle w:val="58"/>
              <w:bidi w:val="0"/>
              <w:rPr>
                <w:rFonts w:hint="default"/>
                <w:highlight w:val="none"/>
              </w:rPr>
            </w:pPr>
            <w:r>
              <w:rPr>
                <w:rFonts w:hint="default"/>
                <w:highlight w:val="none"/>
              </w:rPr>
              <w:t>73.0</w:t>
            </w:r>
          </w:p>
        </w:tc>
        <w:tc>
          <w:tcPr>
            <w:tcW w:w="470" w:type="pct"/>
            <w:tcBorders>
              <w:tl2br w:val="nil"/>
              <w:tr2bl w:val="nil"/>
            </w:tcBorders>
            <w:noWrap w:val="0"/>
            <w:tcMar>
              <w:top w:w="0" w:type="dxa"/>
              <w:left w:w="28" w:type="dxa"/>
              <w:bottom w:w="0" w:type="dxa"/>
              <w:right w:w="28" w:type="dxa"/>
            </w:tcMar>
            <w:vAlign w:val="center"/>
          </w:tcPr>
          <w:p w14:paraId="25324ACF">
            <w:pPr>
              <w:pStyle w:val="58"/>
              <w:bidi w:val="0"/>
              <w:rPr>
                <w:rFonts w:hint="default"/>
                <w:highlight w:val="none"/>
              </w:rPr>
            </w:pPr>
            <w:r>
              <w:rPr>
                <w:rFonts w:hint="default"/>
                <w:highlight w:val="none"/>
              </w:rPr>
              <w:t>66.9</w:t>
            </w:r>
          </w:p>
        </w:tc>
        <w:tc>
          <w:tcPr>
            <w:tcW w:w="469" w:type="pct"/>
            <w:tcBorders>
              <w:tl2br w:val="nil"/>
              <w:tr2bl w:val="nil"/>
            </w:tcBorders>
            <w:noWrap w:val="0"/>
            <w:tcMar>
              <w:top w:w="0" w:type="dxa"/>
              <w:left w:w="28" w:type="dxa"/>
              <w:bottom w:w="0" w:type="dxa"/>
              <w:right w:w="28" w:type="dxa"/>
            </w:tcMar>
            <w:vAlign w:val="center"/>
          </w:tcPr>
          <w:p w14:paraId="50B71740">
            <w:pPr>
              <w:pStyle w:val="58"/>
              <w:bidi w:val="0"/>
              <w:rPr>
                <w:rFonts w:hint="default"/>
                <w:highlight w:val="none"/>
              </w:rPr>
            </w:pPr>
            <w:r>
              <w:rPr>
                <w:rFonts w:hint="default"/>
                <w:highlight w:val="none"/>
              </w:rPr>
              <w:t>63.4</w:t>
            </w:r>
          </w:p>
        </w:tc>
        <w:tc>
          <w:tcPr>
            <w:tcW w:w="470" w:type="pct"/>
            <w:tcBorders>
              <w:tl2br w:val="nil"/>
              <w:tr2bl w:val="nil"/>
            </w:tcBorders>
            <w:noWrap w:val="0"/>
            <w:tcMar>
              <w:top w:w="0" w:type="dxa"/>
              <w:left w:w="28" w:type="dxa"/>
              <w:bottom w:w="0" w:type="dxa"/>
              <w:right w:w="28" w:type="dxa"/>
            </w:tcMar>
            <w:vAlign w:val="center"/>
          </w:tcPr>
          <w:p w14:paraId="006DB596">
            <w:pPr>
              <w:pStyle w:val="58"/>
              <w:bidi w:val="0"/>
              <w:rPr>
                <w:rFonts w:hint="default"/>
                <w:highlight w:val="none"/>
              </w:rPr>
            </w:pPr>
            <w:r>
              <w:rPr>
                <w:rFonts w:hint="default"/>
                <w:highlight w:val="none"/>
              </w:rPr>
              <w:t>60.9</w:t>
            </w:r>
          </w:p>
        </w:tc>
        <w:tc>
          <w:tcPr>
            <w:tcW w:w="470" w:type="pct"/>
            <w:tcBorders>
              <w:tl2br w:val="nil"/>
              <w:tr2bl w:val="nil"/>
            </w:tcBorders>
            <w:noWrap w:val="0"/>
            <w:tcMar>
              <w:top w:w="0" w:type="dxa"/>
              <w:left w:w="28" w:type="dxa"/>
              <w:bottom w:w="0" w:type="dxa"/>
              <w:right w:w="28" w:type="dxa"/>
            </w:tcMar>
            <w:vAlign w:val="center"/>
          </w:tcPr>
          <w:p w14:paraId="7EC26B72">
            <w:pPr>
              <w:pStyle w:val="58"/>
              <w:bidi w:val="0"/>
              <w:rPr>
                <w:rFonts w:hint="default"/>
                <w:highlight w:val="none"/>
              </w:rPr>
            </w:pPr>
            <w:r>
              <w:rPr>
                <w:rFonts w:hint="default"/>
                <w:highlight w:val="none"/>
              </w:rPr>
              <w:t>59.0</w:t>
            </w:r>
          </w:p>
        </w:tc>
        <w:tc>
          <w:tcPr>
            <w:tcW w:w="469" w:type="pct"/>
            <w:tcBorders>
              <w:tl2br w:val="nil"/>
              <w:tr2bl w:val="nil"/>
            </w:tcBorders>
            <w:noWrap w:val="0"/>
            <w:tcMar>
              <w:top w:w="0" w:type="dxa"/>
              <w:left w:w="28" w:type="dxa"/>
              <w:bottom w:w="0" w:type="dxa"/>
              <w:right w:w="28" w:type="dxa"/>
            </w:tcMar>
            <w:vAlign w:val="center"/>
          </w:tcPr>
          <w:p w14:paraId="301B4545">
            <w:pPr>
              <w:pStyle w:val="58"/>
              <w:bidi w:val="0"/>
              <w:rPr>
                <w:rFonts w:hint="default"/>
                <w:highlight w:val="none"/>
              </w:rPr>
            </w:pPr>
            <w:r>
              <w:rPr>
                <w:rFonts w:hint="default"/>
                <w:highlight w:val="none"/>
              </w:rPr>
              <w:t>55.5</w:t>
            </w:r>
          </w:p>
        </w:tc>
        <w:tc>
          <w:tcPr>
            <w:tcW w:w="470" w:type="pct"/>
            <w:tcBorders>
              <w:tl2br w:val="nil"/>
              <w:tr2bl w:val="nil"/>
            </w:tcBorders>
            <w:noWrap w:val="0"/>
            <w:tcMar>
              <w:top w:w="0" w:type="dxa"/>
              <w:left w:w="28" w:type="dxa"/>
              <w:bottom w:w="0" w:type="dxa"/>
              <w:right w:w="28" w:type="dxa"/>
            </w:tcMar>
            <w:vAlign w:val="center"/>
          </w:tcPr>
          <w:p w14:paraId="0D8659BA">
            <w:pPr>
              <w:pStyle w:val="58"/>
              <w:bidi w:val="0"/>
              <w:rPr>
                <w:rFonts w:hint="default"/>
                <w:highlight w:val="none"/>
              </w:rPr>
            </w:pPr>
            <w:r>
              <w:rPr>
                <w:rFonts w:hint="default"/>
                <w:highlight w:val="none"/>
              </w:rPr>
              <w:t>53.0</w:t>
            </w:r>
          </w:p>
        </w:tc>
        <w:tc>
          <w:tcPr>
            <w:tcW w:w="471" w:type="pct"/>
            <w:tcBorders>
              <w:tl2br w:val="nil"/>
              <w:tr2bl w:val="nil"/>
            </w:tcBorders>
            <w:noWrap w:val="0"/>
            <w:tcMar>
              <w:top w:w="0" w:type="dxa"/>
              <w:left w:w="28" w:type="dxa"/>
              <w:bottom w:w="0" w:type="dxa"/>
              <w:right w:w="28" w:type="dxa"/>
            </w:tcMar>
            <w:vAlign w:val="center"/>
          </w:tcPr>
          <w:p w14:paraId="54FA160C">
            <w:pPr>
              <w:pStyle w:val="58"/>
              <w:bidi w:val="0"/>
              <w:rPr>
                <w:rFonts w:hint="default"/>
                <w:highlight w:val="none"/>
              </w:rPr>
            </w:pPr>
            <w:r>
              <w:rPr>
                <w:rFonts w:hint="default"/>
                <w:highlight w:val="none"/>
              </w:rPr>
              <w:t>51.0</w:t>
            </w:r>
          </w:p>
        </w:tc>
      </w:tr>
      <w:tr w14:paraId="5E8EDE9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785" w:type="pct"/>
            <w:tcBorders>
              <w:tl2br w:val="nil"/>
              <w:tr2bl w:val="nil"/>
            </w:tcBorders>
            <w:noWrap w:val="0"/>
            <w:tcMar>
              <w:top w:w="0" w:type="dxa"/>
              <w:left w:w="28" w:type="dxa"/>
              <w:bottom w:w="0" w:type="dxa"/>
              <w:right w:w="28" w:type="dxa"/>
            </w:tcMar>
            <w:vAlign w:val="center"/>
          </w:tcPr>
          <w:p w14:paraId="1E9A0F3F">
            <w:pPr>
              <w:pStyle w:val="58"/>
              <w:bidi w:val="0"/>
              <w:rPr>
                <w:rFonts w:hint="default"/>
                <w:highlight w:val="none"/>
              </w:rPr>
            </w:pPr>
            <w:r>
              <w:rPr>
                <w:rFonts w:hint="default"/>
                <w:highlight w:val="none"/>
              </w:rPr>
              <w:t>挖掘机</w:t>
            </w:r>
          </w:p>
        </w:tc>
        <w:tc>
          <w:tcPr>
            <w:tcW w:w="454" w:type="pct"/>
            <w:tcBorders>
              <w:tl2br w:val="nil"/>
              <w:tr2bl w:val="nil"/>
            </w:tcBorders>
            <w:noWrap w:val="0"/>
            <w:tcMar>
              <w:top w:w="0" w:type="dxa"/>
              <w:left w:w="28" w:type="dxa"/>
              <w:bottom w:w="0" w:type="dxa"/>
              <w:right w:w="28" w:type="dxa"/>
            </w:tcMar>
            <w:vAlign w:val="center"/>
          </w:tcPr>
          <w:p w14:paraId="20E7F449">
            <w:pPr>
              <w:pStyle w:val="58"/>
              <w:bidi w:val="0"/>
              <w:rPr>
                <w:rFonts w:hint="default"/>
                <w:highlight w:val="none"/>
              </w:rPr>
            </w:pPr>
            <w:r>
              <w:rPr>
                <w:rFonts w:hint="default"/>
                <w:highlight w:val="none"/>
              </w:rPr>
              <w:t>84</w:t>
            </w:r>
          </w:p>
        </w:tc>
        <w:tc>
          <w:tcPr>
            <w:tcW w:w="469" w:type="pct"/>
            <w:tcBorders>
              <w:tl2br w:val="nil"/>
              <w:tr2bl w:val="nil"/>
            </w:tcBorders>
            <w:noWrap w:val="0"/>
            <w:tcMar>
              <w:top w:w="0" w:type="dxa"/>
              <w:left w:w="28" w:type="dxa"/>
              <w:bottom w:w="0" w:type="dxa"/>
              <w:right w:w="28" w:type="dxa"/>
            </w:tcMar>
            <w:vAlign w:val="center"/>
          </w:tcPr>
          <w:p w14:paraId="1F0DF13D">
            <w:pPr>
              <w:pStyle w:val="58"/>
              <w:bidi w:val="0"/>
              <w:rPr>
                <w:rFonts w:hint="default"/>
                <w:highlight w:val="none"/>
              </w:rPr>
            </w:pPr>
            <w:r>
              <w:rPr>
                <w:rFonts w:hint="default"/>
                <w:highlight w:val="none"/>
              </w:rPr>
              <w:t>72.0</w:t>
            </w:r>
          </w:p>
        </w:tc>
        <w:tc>
          <w:tcPr>
            <w:tcW w:w="470" w:type="pct"/>
            <w:tcBorders>
              <w:tl2br w:val="nil"/>
              <w:tr2bl w:val="nil"/>
            </w:tcBorders>
            <w:noWrap w:val="0"/>
            <w:tcMar>
              <w:top w:w="0" w:type="dxa"/>
              <w:left w:w="28" w:type="dxa"/>
              <w:bottom w:w="0" w:type="dxa"/>
              <w:right w:w="28" w:type="dxa"/>
            </w:tcMar>
            <w:vAlign w:val="center"/>
          </w:tcPr>
          <w:p w14:paraId="407359E6">
            <w:pPr>
              <w:pStyle w:val="58"/>
              <w:bidi w:val="0"/>
              <w:rPr>
                <w:rFonts w:hint="default"/>
                <w:highlight w:val="none"/>
              </w:rPr>
            </w:pPr>
            <w:r>
              <w:rPr>
                <w:rFonts w:hint="default"/>
                <w:highlight w:val="none"/>
              </w:rPr>
              <w:t>65.9</w:t>
            </w:r>
          </w:p>
        </w:tc>
        <w:tc>
          <w:tcPr>
            <w:tcW w:w="469" w:type="pct"/>
            <w:tcBorders>
              <w:tl2br w:val="nil"/>
              <w:tr2bl w:val="nil"/>
            </w:tcBorders>
            <w:noWrap w:val="0"/>
            <w:tcMar>
              <w:top w:w="0" w:type="dxa"/>
              <w:left w:w="28" w:type="dxa"/>
              <w:bottom w:w="0" w:type="dxa"/>
              <w:right w:w="28" w:type="dxa"/>
            </w:tcMar>
            <w:vAlign w:val="center"/>
          </w:tcPr>
          <w:p w14:paraId="70F15506">
            <w:pPr>
              <w:pStyle w:val="58"/>
              <w:bidi w:val="0"/>
              <w:rPr>
                <w:rFonts w:hint="default"/>
                <w:highlight w:val="none"/>
              </w:rPr>
            </w:pPr>
            <w:r>
              <w:rPr>
                <w:rFonts w:hint="default"/>
                <w:highlight w:val="none"/>
              </w:rPr>
              <w:t>62.4</w:t>
            </w:r>
          </w:p>
        </w:tc>
        <w:tc>
          <w:tcPr>
            <w:tcW w:w="470" w:type="pct"/>
            <w:tcBorders>
              <w:tl2br w:val="nil"/>
              <w:tr2bl w:val="nil"/>
            </w:tcBorders>
            <w:noWrap w:val="0"/>
            <w:tcMar>
              <w:top w:w="0" w:type="dxa"/>
              <w:left w:w="28" w:type="dxa"/>
              <w:bottom w:w="0" w:type="dxa"/>
              <w:right w:w="28" w:type="dxa"/>
            </w:tcMar>
            <w:vAlign w:val="center"/>
          </w:tcPr>
          <w:p w14:paraId="7A20B526">
            <w:pPr>
              <w:pStyle w:val="58"/>
              <w:bidi w:val="0"/>
              <w:rPr>
                <w:rFonts w:hint="default"/>
                <w:highlight w:val="none"/>
              </w:rPr>
            </w:pPr>
            <w:r>
              <w:rPr>
                <w:rFonts w:hint="default"/>
                <w:highlight w:val="none"/>
              </w:rPr>
              <w:t>59.9</w:t>
            </w:r>
          </w:p>
        </w:tc>
        <w:tc>
          <w:tcPr>
            <w:tcW w:w="470" w:type="pct"/>
            <w:tcBorders>
              <w:tl2br w:val="nil"/>
              <w:tr2bl w:val="nil"/>
            </w:tcBorders>
            <w:noWrap w:val="0"/>
            <w:tcMar>
              <w:top w:w="0" w:type="dxa"/>
              <w:left w:w="28" w:type="dxa"/>
              <w:bottom w:w="0" w:type="dxa"/>
              <w:right w:w="28" w:type="dxa"/>
            </w:tcMar>
            <w:vAlign w:val="center"/>
          </w:tcPr>
          <w:p w14:paraId="38294F5A">
            <w:pPr>
              <w:pStyle w:val="58"/>
              <w:bidi w:val="0"/>
              <w:rPr>
                <w:rFonts w:hint="default"/>
                <w:highlight w:val="none"/>
              </w:rPr>
            </w:pPr>
            <w:r>
              <w:rPr>
                <w:rFonts w:hint="default"/>
                <w:highlight w:val="none"/>
              </w:rPr>
              <w:t>58.0</w:t>
            </w:r>
          </w:p>
        </w:tc>
        <w:tc>
          <w:tcPr>
            <w:tcW w:w="469" w:type="pct"/>
            <w:tcBorders>
              <w:tl2br w:val="nil"/>
              <w:tr2bl w:val="nil"/>
            </w:tcBorders>
            <w:noWrap w:val="0"/>
            <w:tcMar>
              <w:top w:w="0" w:type="dxa"/>
              <w:left w:w="28" w:type="dxa"/>
              <w:bottom w:w="0" w:type="dxa"/>
              <w:right w:w="28" w:type="dxa"/>
            </w:tcMar>
            <w:vAlign w:val="center"/>
          </w:tcPr>
          <w:p w14:paraId="1ED54086">
            <w:pPr>
              <w:pStyle w:val="58"/>
              <w:bidi w:val="0"/>
              <w:rPr>
                <w:rFonts w:hint="default"/>
                <w:highlight w:val="none"/>
              </w:rPr>
            </w:pPr>
            <w:r>
              <w:rPr>
                <w:rFonts w:hint="default"/>
                <w:highlight w:val="none"/>
              </w:rPr>
              <w:t>54.5</w:t>
            </w:r>
          </w:p>
        </w:tc>
        <w:tc>
          <w:tcPr>
            <w:tcW w:w="470" w:type="pct"/>
            <w:tcBorders>
              <w:tl2br w:val="nil"/>
              <w:tr2bl w:val="nil"/>
            </w:tcBorders>
            <w:noWrap w:val="0"/>
            <w:tcMar>
              <w:top w:w="0" w:type="dxa"/>
              <w:left w:w="28" w:type="dxa"/>
              <w:bottom w:w="0" w:type="dxa"/>
              <w:right w:w="28" w:type="dxa"/>
            </w:tcMar>
            <w:vAlign w:val="center"/>
          </w:tcPr>
          <w:p w14:paraId="42464862">
            <w:pPr>
              <w:pStyle w:val="58"/>
              <w:bidi w:val="0"/>
              <w:rPr>
                <w:rFonts w:hint="default"/>
                <w:highlight w:val="none"/>
              </w:rPr>
            </w:pPr>
            <w:r>
              <w:rPr>
                <w:rFonts w:hint="default"/>
                <w:highlight w:val="none"/>
              </w:rPr>
              <w:t>52.0</w:t>
            </w:r>
          </w:p>
        </w:tc>
        <w:tc>
          <w:tcPr>
            <w:tcW w:w="471" w:type="pct"/>
            <w:tcBorders>
              <w:tl2br w:val="nil"/>
              <w:tr2bl w:val="nil"/>
            </w:tcBorders>
            <w:noWrap w:val="0"/>
            <w:tcMar>
              <w:top w:w="0" w:type="dxa"/>
              <w:left w:w="28" w:type="dxa"/>
              <w:bottom w:w="0" w:type="dxa"/>
              <w:right w:w="28" w:type="dxa"/>
            </w:tcMar>
            <w:vAlign w:val="center"/>
          </w:tcPr>
          <w:p w14:paraId="5226B3FA">
            <w:pPr>
              <w:pStyle w:val="58"/>
              <w:bidi w:val="0"/>
              <w:rPr>
                <w:rFonts w:hint="default"/>
                <w:highlight w:val="none"/>
              </w:rPr>
            </w:pPr>
            <w:r>
              <w:rPr>
                <w:rFonts w:hint="default"/>
                <w:highlight w:val="none"/>
              </w:rPr>
              <w:t>50.0</w:t>
            </w:r>
          </w:p>
        </w:tc>
      </w:tr>
      <w:tr w14:paraId="2503F1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785" w:type="pct"/>
            <w:tcBorders>
              <w:tl2br w:val="nil"/>
              <w:tr2bl w:val="nil"/>
            </w:tcBorders>
            <w:noWrap w:val="0"/>
            <w:tcMar>
              <w:top w:w="0" w:type="dxa"/>
              <w:left w:w="28" w:type="dxa"/>
              <w:bottom w:w="0" w:type="dxa"/>
              <w:right w:w="28" w:type="dxa"/>
            </w:tcMar>
            <w:vAlign w:val="center"/>
          </w:tcPr>
          <w:p w14:paraId="78B64CED">
            <w:pPr>
              <w:pStyle w:val="58"/>
              <w:bidi w:val="0"/>
              <w:rPr>
                <w:rFonts w:hint="default"/>
                <w:highlight w:val="none"/>
              </w:rPr>
            </w:pPr>
            <w:r>
              <w:rPr>
                <w:rFonts w:hint="default"/>
                <w:highlight w:val="none"/>
              </w:rPr>
              <w:t>推土机</w:t>
            </w:r>
          </w:p>
        </w:tc>
        <w:tc>
          <w:tcPr>
            <w:tcW w:w="454" w:type="pct"/>
            <w:tcBorders>
              <w:tl2br w:val="nil"/>
              <w:tr2bl w:val="nil"/>
            </w:tcBorders>
            <w:noWrap w:val="0"/>
            <w:tcMar>
              <w:top w:w="0" w:type="dxa"/>
              <w:left w:w="28" w:type="dxa"/>
              <w:bottom w:w="0" w:type="dxa"/>
              <w:right w:w="28" w:type="dxa"/>
            </w:tcMar>
            <w:vAlign w:val="center"/>
          </w:tcPr>
          <w:p w14:paraId="40691BDF">
            <w:pPr>
              <w:pStyle w:val="58"/>
              <w:bidi w:val="0"/>
              <w:rPr>
                <w:rFonts w:hint="default"/>
                <w:highlight w:val="none"/>
              </w:rPr>
            </w:pPr>
            <w:r>
              <w:rPr>
                <w:rFonts w:hint="default"/>
                <w:highlight w:val="none"/>
              </w:rPr>
              <w:t>86</w:t>
            </w:r>
          </w:p>
        </w:tc>
        <w:tc>
          <w:tcPr>
            <w:tcW w:w="469" w:type="pct"/>
            <w:tcBorders>
              <w:tl2br w:val="nil"/>
              <w:tr2bl w:val="nil"/>
            </w:tcBorders>
            <w:noWrap w:val="0"/>
            <w:tcMar>
              <w:top w:w="0" w:type="dxa"/>
              <w:left w:w="28" w:type="dxa"/>
              <w:bottom w:w="0" w:type="dxa"/>
              <w:right w:w="28" w:type="dxa"/>
            </w:tcMar>
            <w:vAlign w:val="center"/>
          </w:tcPr>
          <w:p w14:paraId="69724FF7">
            <w:pPr>
              <w:pStyle w:val="58"/>
              <w:bidi w:val="0"/>
              <w:rPr>
                <w:rFonts w:hint="default"/>
                <w:highlight w:val="none"/>
              </w:rPr>
            </w:pPr>
            <w:r>
              <w:rPr>
                <w:rFonts w:hint="default"/>
                <w:highlight w:val="none"/>
              </w:rPr>
              <w:t>74.0</w:t>
            </w:r>
          </w:p>
        </w:tc>
        <w:tc>
          <w:tcPr>
            <w:tcW w:w="470" w:type="pct"/>
            <w:tcBorders>
              <w:tl2br w:val="nil"/>
              <w:tr2bl w:val="nil"/>
            </w:tcBorders>
            <w:noWrap w:val="0"/>
            <w:tcMar>
              <w:top w:w="0" w:type="dxa"/>
              <w:left w:w="28" w:type="dxa"/>
              <w:bottom w:w="0" w:type="dxa"/>
              <w:right w:w="28" w:type="dxa"/>
            </w:tcMar>
            <w:vAlign w:val="center"/>
          </w:tcPr>
          <w:p w14:paraId="5F25DF7D">
            <w:pPr>
              <w:pStyle w:val="58"/>
              <w:bidi w:val="0"/>
              <w:rPr>
                <w:rFonts w:hint="default"/>
                <w:highlight w:val="none"/>
              </w:rPr>
            </w:pPr>
            <w:r>
              <w:rPr>
                <w:rFonts w:hint="default"/>
                <w:highlight w:val="none"/>
              </w:rPr>
              <w:t>67.9</w:t>
            </w:r>
          </w:p>
        </w:tc>
        <w:tc>
          <w:tcPr>
            <w:tcW w:w="469" w:type="pct"/>
            <w:tcBorders>
              <w:tl2br w:val="nil"/>
              <w:tr2bl w:val="nil"/>
            </w:tcBorders>
            <w:noWrap w:val="0"/>
            <w:tcMar>
              <w:top w:w="0" w:type="dxa"/>
              <w:left w:w="28" w:type="dxa"/>
              <w:bottom w:w="0" w:type="dxa"/>
              <w:right w:w="28" w:type="dxa"/>
            </w:tcMar>
            <w:vAlign w:val="center"/>
          </w:tcPr>
          <w:p w14:paraId="1B1FD7C5">
            <w:pPr>
              <w:pStyle w:val="58"/>
              <w:bidi w:val="0"/>
              <w:rPr>
                <w:rFonts w:hint="default"/>
                <w:highlight w:val="none"/>
              </w:rPr>
            </w:pPr>
            <w:r>
              <w:rPr>
                <w:rFonts w:hint="default"/>
                <w:highlight w:val="none"/>
              </w:rPr>
              <w:t>64.4</w:t>
            </w:r>
          </w:p>
        </w:tc>
        <w:tc>
          <w:tcPr>
            <w:tcW w:w="470" w:type="pct"/>
            <w:tcBorders>
              <w:tl2br w:val="nil"/>
              <w:tr2bl w:val="nil"/>
            </w:tcBorders>
            <w:noWrap w:val="0"/>
            <w:tcMar>
              <w:top w:w="0" w:type="dxa"/>
              <w:left w:w="28" w:type="dxa"/>
              <w:bottom w:w="0" w:type="dxa"/>
              <w:right w:w="28" w:type="dxa"/>
            </w:tcMar>
            <w:vAlign w:val="center"/>
          </w:tcPr>
          <w:p w14:paraId="267B4D86">
            <w:pPr>
              <w:pStyle w:val="58"/>
              <w:bidi w:val="0"/>
              <w:rPr>
                <w:rFonts w:hint="default"/>
                <w:highlight w:val="none"/>
              </w:rPr>
            </w:pPr>
            <w:r>
              <w:rPr>
                <w:rFonts w:hint="default"/>
                <w:highlight w:val="none"/>
              </w:rPr>
              <w:t>61.9</w:t>
            </w:r>
          </w:p>
        </w:tc>
        <w:tc>
          <w:tcPr>
            <w:tcW w:w="470" w:type="pct"/>
            <w:tcBorders>
              <w:tl2br w:val="nil"/>
              <w:tr2bl w:val="nil"/>
            </w:tcBorders>
            <w:noWrap w:val="0"/>
            <w:tcMar>
              <w:top w:w="0" w:type="dxa"/>
              <w:left w:w="28" w:type="dxa"/>
              <w:bottom w:w="0" w:type="dxa"/>
              <w:right w:w="28" w:type="dxa"/>
            </w:tcMar>
            <w:vAlign w:val="center"/>
          </w:tcPr>
          <w:p w14:paraId="377C8F2E">
            <w:pPr>
              <w:pStyle w:val="58"/>
              <w:bidi w:val="0"/>
              <w:rPr>
                <w:rFonts w:hint="default"/>
                <w:highlight w:val="none"/>
              </w:rPr>
            </w:pPr>
            <w:r>
              <w:rPr>
                <w:rFonts w:hint="default"/>
                <w:highlight w:val="none"/>
              </w:rPr>
              <w:t>60.0</w:t>
            </w:r>
          </w:p>
        </w:tc>
        <w:tc>
          <w:tcPr>
            <w:tcW w:w="469" w:type="pct"/>
            <w:tcBorders>
              <w:tl2br w:val="nil"/>
              <w:tr2bl w:val="nil"/>
            </w:tcBorders>
            <w:noWrap w:val="0"/>
            <w:tcMar>
              <w:top w:w="0" w:type="dxa"/>
              <w:left w:w="28" w:type="dxa"/>
              <w:bottom w:w="0" w:type="dxa"/>
              <w:right w:w="28" w:type="dxa"/>
            </w:tcMar>
            <w:vAlign w:val="center"/>
          </w:tcPr>
          <w:p w14:paraId="42E3ED9A">
            <w:pPr>
              <w:pStyle w:val="58"/>
              <w:bidi w:val="0"/>
              <w:rPr>
                <w:rFonts w:hint="default"/>
                <w:highlight w:val="none"/>
              </w:rPr>
            </w:pPr>
            <w:r>
              <w:rPr>
                <w:rFonts w:hint="default"/>
                <w:highlight w:val="none"/>
              </w:rPr>
              <w:t>56.5</w:t>
            </w:r>
          </w:p>
        </w:tc>
        <w:tc>
          <w:tcPr>
            <w:tcW w:w="470" w:type="pct"/>
            <w:tcBorders>
              <w:tl2br w:val="nil"/>
              <w:tr2bl w:val="nil"/>
            </w:tcBorders>
            <w:noWrap w:val="0"/>
            <w:tcMar>
              <w:top w:w="0" w:type="dxa"/>
              <w:left w:w="28" w:type="dxa"/>
              <w:bottom w:w="0" w:type="dxa"/>
              <w:right w:w="28" w:type="dxa"/>
            </w:tcMar>
            <w:vAlign w:val="center"/>
          </w:tcPr>
          <w:p w14:paraId="4DE92BA7">
            <w:pPr>
              <w:pStyle w:val="58"/>
              <w:bidi w:val="0"/>
              <w:rPr>
                <w:rFonts w:hint="default"/>
                <w:highlight w:val="none"/>
              </w:rPr>
            </w:pPr>
            <w:r>
              <w:rPr>
                <w:rFonts w:hint="default"/>
                <w:highlight w:val="none"/>
              </w:rPr>
              <w:t>54.0</w:t>
            </w:r>
          </w:p>
        </w:tc>
        <w:tc>
          <w:tcPr>
            <w:tcW w:w="471" w:type="pct"/>
            <w:tcBorders>
              <w:tl2br w:val="nil"/>
              <w:tr2bl w:val="nil"/>
            </w:tcBorders>
            <w:noWrap w:val="0"/>
            <w:tcMar>
              <w:top w:w="0" w:type="dxa"/>
              <w:left w:w="28" w:type="dxa"/>
              <w:bottom w:w="0" w:type="dxa"/>
              <w:right w:w="28" w:type="dxa"/>
            </w:tcMar>
            <w:vAlign w:val="center"/>
          </w:tcPr>
          <w:p w14:paraId="3D909334">
            <w:pPr>
              <w:pStyle w:val="58"/>
              <w:bidi w:val="0"/>
              <w:rPr>
                <w:rFonts w:hint="default"/>
                <w:highlight w:val="none"/>
              </w:rPr>
            </w:pPr>
            <w:r>
              <w:rPr>
                <w:rFonts w:hint="default"/>
                <w:highlight w:val="none"/>
              </w:rPr>
              <w:t>52.0</w:t>
            </w:r>
          </w:p>
        </w:tc>
      </w:tr>
      <w:tr w14:paraId="46CE11D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785" w:type="pct"/>
            <w:tcBorders>
              <w:tl2br w:val="nil"/>
              <w:tr2bl w:val="nil"/>
            </w:tcBorders>
            <w:noWrap w:val="0"/>
            <w:tcMar>
              <w:top w:w="0" w:type="dxa"/>
              <w:left w:w="28" w:type="dxa"/>
              <w:bottom w:w="0" w:type="dxa"/>
              <w:right w:w="28" w:type="dxa"/>
            </w:tcMar>
            <w:vAlign w:val="center"/>
          </w:tcPr>
          <w:p w14:paraId="1A2A8565">
            <w:pPr>
              <w:pStyle w:val="58"/>
              <w:bidi w:val="0"/>
              <w:rPr>
                <w:rFonts w:hint="default"/>
                <w:highlight w:val="none"/>
              </w:rPr>
            </w:pPr>
            <w:r>
              <w:rPr>
                <w:rFonts w:hint="default"/>
                <w:highlight w:val="none"/>
              </w:rPr>
              <w:t>汽车</w:t>
            </w:r>
          </w:p>
        </w:tc>
        <w:tc>
          <w:tcPr>
            <w:tcW w:w="454" w:type="pct"/>
            <w:tcBorders>
              <w:tl2br w:val="nil"/>
              <w:tr2bl w:val="nil"/>
            </w:tcBorders>
            <w:noWrap w:val="0"/>
            <w:tcMar>
              <w:top w:w="0" w:type="dxa"/>
              <w:left w:w="28" w:type="dxa"/>
              <w:bottom w:w="0" w:type="dxa"/>
              <w:right w:w="28" w:type="dxa"/>
            </w:tcMar>
            <w:vAlign w:val="center"/>
          </w:tcPr>
          <w:p w14:paraId="4B407034">
            <w:pPr>
              <w:pStyle w:val="58"/>
              <w:bidi w:val="0"/>
              <w:rPr>
                <w:rFonts w:hint="default"/>
                <w:highlight w:val="none"/>
              </w:rPr>
            </w:pPr>
            <w:r>
              <w:rPr>
                <w:rFonts w:hint="default"/>
                <w:highlight w:val="none"/>
              </w:rPr>
              <w:t>75</w:t>
            </w:r>
          </w:p>
        </w:tc>
        <w:tc>
          <w:tcPr>
            <w:tcW w:w="469" w:type="pct"/>
            <w:tcBorders>
              <w:tl2br w:val="nil"/>
              <w:tr2bl w:val="nil"/>
            </w:tcBorders>
            <w:noWrap w:val="0"/>
            <w:tcMar>
              <w:top w:w="0" w:type="dxa"/>
              <w:left w:w="28" w:type="dxa"/>
              <w:bottom w:w="0" w:type="dxa"/>
              <w:right w:w="28" w:type="dxa"/>
            </w:tcMar>
            <w:vAlign w:val="center"/>
          </w:tcPr>
          <w:p w14:paraId="46AD2DBB">
            <w:pPr>
              <w:pStyle w:val="58"/>
              <w:bidi w:val="0"/>
              <w:rPr>
                <w:rFonts w:hint="default"/>
                <w:highlight w:val="none"/>
              </w:rPr>
            </w:pPr>
            <w:r>
              <w:rPr>
                <w:rFonts w:hint="default"/>
                <w:highlight w:val="none"/>
              </w:rPr>
              <w:t>63.0</w:t>
            </w:r>
          </w:p>
        </w:tc>
        <w:tc>
          <w:tcPr>
            <w:tcW w:w="470" w:type="pct"/>
            <w:tcBorders>
              <w:tl2br w:val="nil"/>
              <w:tr2bl w:val="nil"/>
            </w:tcBorders>
            <w:noWrap w:val="0"/>
            <w:tcMar>
              <w:top w:w="0" w:type="dxa"/>
              <w:left w:w="28" w:type="dxa"/>
              <w:bottom w:w="0" w:type="dxa"/>
              <w:right w:w="28" w:type="dxa"/>
            </w:tcMar>
            <w:vAlign w:val="center"/>
          </w:tcPr>
          <w:p w14:paraId="1D38E972">
            <w:pPr>
              <w:pStyle w:val="58"/>
              <w:bidi w:val="0"/>
              <w:rPr>
                <w:rFonts w:hint="default"/>
                <w:highlight w:val="none"/>
              </w:rPr>
            </w:pPr>
            <w:r>
              <w:rPr>
                <w:rFonts w:hint="default"/>
                <w:highlight w:val="none"/>
              </w:rPr>
              <w:t>56.9</w:t>
            </w:r>
          </w:p>
        </w:tc>
        <w:tc>
          <w:tcPr>
            <w:tcW w:w="469" w:type="pct"/>
            <w:tcBorders>
              <w:tl2br w:val="nil"/>
              <w:tr2bl w:val="nil"/>
            </w:tcBorders>
            <w:noWrap w:val="0"/>
            <w:tcMar>
              <w:top w:w="0" w:type="dxa"/>
              <w:left w:w="28" w:type="dxa"/>
              <w:bottom w:w="0" w:type="dxa"/>
              <w:right w:w="28" w:type="dxa"/>
            </w:tcMar>
            <w:vAlign w:val="center"/>
          </w:tcPr>
          <w:p w14:paraId="39F473E1">
            <w:pPr>
              <w:pStyle w:val="58"/>
              <w:bidi w:val="0"/>
              <w:rPr>
                <w:rFonts w:hint="default"/>
                <w:highlight w:val="none"/>
              </w:rPr>
            </w:pPr>
            <w:r>
              <w:rPr>
                <w:rFonts w:hint="default"/>
                <w:highlight w:val="none"/>
              </w:rPr>
              <w:t>53.4</w:t>
            </w:r>
          </w:p>
        </w:tc>
        <w:tc>
          <w:tcPr>
            <w:tcW w:w="470" w:type="pct"/>
            <w:tcBorders>
              <w:tl2br w:val="nil"/>
              <w:tr2bl w:val="nil"/>
            </w:tcBorders>
            <w:noWrap w:val="0"/>
            <w:tcMar>
              <w:top w:w="0" w:type="dxa"/>
              <w:left w:w="28" w:type="dxa"/>
              <w:bottom w:w="0" w:type="dxa"/>
              <w:right w:w="28" w:type="dxa"/>
            </w:tcMar>
            <w:vAlign w:val="center"/>
          </w:tcPr>
          <w:p w14:paraId="01B6C9DE">
            <w:pPr>
              <w:pStyle w:val="58"/>
              <w:bidi w:val="0"/>
              <w:rPr>
                <w:rFonts w:hint="default"/>
                <w:highlight w:val="none"/>
              </w:rPr>
            </w:pPr>
            <w:r>
              <w:rPr>
                <w:rFonts w:hint="default"/>
                <w:highlight w:val="none"/>
              </w:rPr>
              <w:t>50.9</w:t>
            </w:r>
          </w:p>
        </w:tc>
        <w:tc>
          <w:tcPr>
            <w:tcW w:w="470" w:type="pct"/>
            <w:tcBorders>
              <w:tl2br w:val="nil"/>
              <w:tr2bl w:val="nil"/>
            </w:tcBorders>
            <w:noWrap w:val="0"/>
            <w:tcMar>
              <w:top w:w="0" w:type="dxa"/>
              <w:left w:w="28" w:type="dxa"/>
              <w:bottom w:w="0" w:type="dxa"/>
              <w:right w:w="28" w:type="dxa"/>
            </w:tcMar>
            <w:vAlign w:val="center"/>
          </w:tcPr>
          <w:p w14:paraId="6987020F">
            <w:pPr>
              <w:pStyle w:val="58"/>
              <w:bidi w:val="0"/>
              <w:rPr>
                <w:rFonts w:hint="default"/>
                <w:highlight w:val="none"/>
              </w:rPr>
            </w:pPr>
            <w:r>
              <w:rPr>
                <w:rFonts w:hint="default"/>
                <w:highlight w:val="none"/>
              </w:rPr>
              <w:t>49.0</w:t>
            </w:r>
          </w:p>
        </w:tc>
        <w:tc>
          <w:tcPr>
            <w:tcW w:w="469" w:type="pct"/>
            <w:tcBorders>
              <w:tl2br w:val="nil"/>
              <w:tr2bl w:val="nil"/>
            </w:tcBorders>
            <w:noWrap w:val="0"/>
            <w:tcMar>
              <w:top w:w="0" w:type="dxa"/>
              <w:left w:w="28" w:type="dxa"/>
              <w:bottom w:w="0" w:type="dxa"/>
              <w:right w:w="28" w:type="dxa"/>
            </w:tcMar>
            <w:vAlign w:val="center"/>
          </w:tcPr>
          <w:p w14:paraId="093984E0">
            <w:pPr>
              <w:pStyle w:val="58"/>
              <w:bidi w:val="0"/>
              <w:rPr>
                <w:rFonts w:hint="default"/>
                <w:highlight w:val="none"/>
              </w:rPr>
            </w:pPr>
            <w:r>
              <w:rPr>
                <w:rFonts w:hint="default"/>
                <w:highlight w:val="none"/>
              </w:rPr>
              <w:t>45.5</w:t>
            </w:r>
          </w:p>
        </w:tc>
        <w:tc>
          <w:tcPr>
            <w:tcW w:w="470" w:type="pct"/>
            <w:tcBorders>
              <w:tl2br w:val="nil"/>
              <w:tr2bl w:val="nil"/>
            </w:tcBorders>
            <w:noWrap w:val="0"/>
            <w:tcMar>
              <w:top w:w="0" w:type="dxa"/>
              <w:left w:w="28" w:type="dxa"/>
              <w:bottom w:w="0" w:type="dxa"/>
              <w:right w:w="28" w:type="dxa"/>
            </w:tcMar>
            <w:vAlign w:val="center"/>
          </w:tcPr>
          <w:p w14:paraId="72E81240">
            <w:pPr>
              <w:pStyle w:val="58"/>
              <w:bidi w:val="0"/>
              <w:rPr>
                <w:rFonts w:hint="default"/>
                <w:highlight w:val="none"/>
              </w:rPr>
            </w:pPr>
            <w:r>
              <w:rPr>
                <w:rFonts w:hint="default"/>
                <w:highlight w:val="none"/>
              </w:rPr>
              <w:t>43.0</w:t>
            </w:r>
          </w:p>
        </w:tc>
        <w:tc>
          <w:tcPr>
            <w:tcW w:w="471" w:type="pct"/>
            <w:tcBorders>
              <w:tl2br w:val="nil"/>
              <w:tr2bl w:val="nil"/>
            </w:tcBorders>
            <w:noWrap w:val="0"/>
            <w:tcMar>
              <w:top w:w="0" w:type="dxa"/>
              <w:left w:w="28" w:type="dxa"/>
              <w:bottom w:w="0" w:type="dxa"/>
              <w:right w:w="28" w:type="dxa"/>
            </w:tcMar>
            <w:vAlign w:val="center"/>
          </w:tcPr>
          <w:p w14:paraId="464D37EA">
            <w:pPr>
              <w:pStyle w:val="58"/>
              <w:bidi w:val="0"/>
              <w:rPr>
                <w:rFonts w:hint="default"/>
                <w:highlight w:val="none"/>
              </w:rPr>
            </w:pPr>
            <w:r>
              <w:rPr>
                <w:rFonts w:hint="default"/>
                <w:highlight w:val="none"/>
              </w:rPr>
              <w:t>41.0</w:t>
            </w:r>
          </w:p>
        </w:tc>
      </w:tr>
      <w:tr w14:paraId="2D35D49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85" w:type="pct"/>
            <w:tcBorders>
              <w:tl2br w:val="nil"/>
              <w:tr2bl w:val="nil"/>
            </w:tcBorders>
            <w:noWrap w:val="0"/>
            <w:tcMar>
              <w:top w:w="0" w:type="dxa"/>
              <w:left w:w="28" w:type="dxa"/>
              <w:bottom w:w="0" w:type="dxa"/>
              <w:right w:w="28" w:type="dxa"/>
            </w:tcMar>
            <w:vAlign w:val="center"/>
          </w:tcPr>
          <w:p w14:paraId="28CE7D63">
            <w:pPr>
              <w:pStyle w:val="58"/>
              <w:bidi w:val="0"/>
              <w:rPr>
                <w:rFonts w:hint="default"/>
                <w:highlight w:val="none"/>
              </w:rPr>
            </w:pPr>
            <w:r>
              <w:rPr>
                <w:rFonts w:hint="default"/>
                <w:highlight w:val="none"/>
              </w:rPr>
              <w:t>振捣器</w:t>
            </w:r>
          </w:p>
        </w:tc>
        <w:tc>
          <w:tcPr>
            <w:tcW w:w="454" w:type="pct"/>
            <w:tcBorders>
              <w:tl2br w:val="nil"/>
              <w:tr2bl w:val="nil"/>
            </w:tcBorders>
            <w:noWrap w:val="0"/>
            <w:tcMar>
              <w:top w:w="0" w:type="dxa"/>
              <w:left w:w="28" w:type="dxa"/>
              <w:bottom w:w="0" w:type="dxa"/>
              <w:right w:w="28" w:type="dxa"/>
            </w:tcMar>
            <w:vAlign w:val="center"/>
          </w:tcPr>
          <w:p w14:paraId="29534A7E">
            <w:pPr>
              <w:pStyle w:val="58"/>
              <w:bidi w:val="0"/>
              <w:rPr>
                <w:rFonts w:hint="default"/>
                <w:highlight w:val="none"/>
              </w:rPr>
            </w:pPr>
            <w:r>
              <w:rPr>
                <w:rFonts w:hint="default"/>
                <w:highlight w:val="none"/>
              </w:rPr>
              <w:t>85</w:t>
            </w:r>
          </w:p>
        </w:tc>
        <w:tc>
          <w:tcPr>
            <w:tcW w:w="469" w:type="pct"/>
            <w:tcBorders>
              <w:tl2br w:val="nil"/>
              <w:tr2bl w:val="nil"/>
            </w:tcBorders>
            <w:noWrap w:val="0"/>
            <w:tcMar>
              <w:top w:w="0" w:type="dxa"/>
              <w:left w:w="28" w:type="dxa"/>
              <w:bottom w:w="0" w:type="dxa"/>
              <w:right w:w="28" w:type="dxa"/>
            </w:tcMar>
            <w:vAlign w:val="center"/>
          </w:tcPr>
          <w:p w14:paraId="2C5545F0">
            <w:pPr>
              <w:pStyle w:val="58"/>
              <w:bidi w:val="0"/>
              <w:rPr>
                <w:rFonts w:hint="default"/>
                <w:highlight w:val="none"/>
              </w:rPr>
            </w:pPr>
            <w:r>
              <w:rPr>
                <w:rFonts w:hint="default"/>
                <w:highlight w:val="none"/>
              </w:rPr>
              <w:t>73.0</w:t>
            </w:r>
          </w:p>
        </w:tc>
        <w:tc>
          <w:tcPr>
            <w:tcW w:w="470" w:type="pct"/>
            <w:tcBorders>
              <w:tl2br w:val="nil"/>
              <w:tr2bl w:val="nil"/>
            </w:tcBorders>
            <w:noWrap w:val="0"/>
            <w:tcMar>
              <w:top w:w="0" w:type="dxa"/>
              <w:left w:w="28" w:type="dxa"/>
              <w:bottom w:w="0" w:type="dxa"/>
              <w:right w:w="28" w:type="dxa"/>
            </w:tcMar>
            <w:vAlign w:val="center"/>
          </w:tcPr>
          <w:p w14:paraId="2E15608F">
            <w:pPr>
              <w:pStyle w:val="58"/>
              <w:bidi w:val="0"/>
              <w:rPr>
                <w:rFonts w:hint="default"/>
                <w:highlight w:val="none"/>
              </w:rPr>
            </w:pPr>
            <w:r>
              <w:rPr>
                <w:rFonts w:hint="default"/>
                <w:highlight w:val="none"/>
              </w:rPr>
              <w:t>66.9</w:t>
            </w:r>
          </w:p>
        </w:tc>
        <w:tc>
          <w:tcPr>
            <w:tcW w:w="469" w:type="pct"/>
            <w:tcBorders>
              <w:tl2br w:val="nil"/>
              <w:tr2bl w:val="nil"/>
            </w:tcBorders>
            <w:noWrap w:val="0"/>
            <w:tcMar>
              <w:top w:w="0" w:type="dxa"/>
              <w:left w:w="28" w:type="dxa"/>
              <w:bottom w:w="0" w:type="dxa"/>
              <w:right w:w="28" w:type="dxa"/>
            </w:tcMar>
            <w:vAlign w:val="center"/>
          </w:tcPr>
          <w:p w14:paraId="0472161F">
            <w:pPr>
              <w:pStyle w:val="58"/>
              <w:bidi w:val="0"/>
              <w:rPr>
                <w:rFonts w:hint="default"/>
                <w:highlight w:val="none"/>
              </w:rPr>
            </w:pPr>
            <w:r>
              <w:rPr>
                <w:rFonts w:hint="default"/>
                <w:highlight w:val="none"/>
              </w:rPr>
              <w:t>63.4</w:t>
            </w:r>
          </w:p>
        </w:tc>
        <w:tc>
          <w:tcPr>
            <w:tcW w:w="470" w:type="pct"/>
            <w:tcBorders>
              <w:tl2br w:val="nil"/>
              <w:tr2bl w:val="nil"/>
            </w:tcBorders>
            <w:noWrap w:val="0"/>
            <w:tcMar>
              <w:top w:w="0" w:type="dxa"/>
              <w:left w:w="28" w:type="dxa"/>
              <w:bottom w:w="0" w:type="dxa"/>
              <w:right w:w="28" w:type="dxa"/>
            </w:tcMar>
            <w:vAlign w:val="center"/>
          </w:tcPr>
          <w:p w14:paraId="7467E21D">
            <w:pPr>
              <w:pStyle w:val="58"/>
              <w:bidi w:val="0"/>
              <w:rPr>
                <w:rFonts w:hint="default"/>
                <w:highlight w:val="none"/>
              </w:rPr>
            </w:pPr>
            <w:r>
              <w:rPr>
                <w:rFonts w:hint="default"/>
                <w:highlight w:val="none"/>
              </w:rPr>
              <w:t>60.9</w:t>
            </w:r>
          </w:p>
        </w:tc>
        <w:tc>
          <w:tcPr>
            <w:tcW w:w="470" w:type="pct"/>
            <w:tcBorders>
              <w:tl2br w:val="nil"/>
              <w:tr2bl w:val="nil"/>
            </w:tcBorders>
            <w:noWrap w:val="0"/>
            <w:tcMar>
              <w:top w:w="0" w:type="dxa"/>
              <w:left w:w="28" w:type="dxa"/>
              <w:bottom w:w="0" w:type="dxa"/>
              <w:right w:w="28" w:type="dxa"/>
            </w:tcMar>
            <w:vAlign w:val="center"/>
          </w:tcPr>
          <w:p w14:paraId="38416E67">
            <w:pPr>
              <w:pStyle w:val="58"/>
              <w:bidi w:val="0"/>
              <w:rPr>
                <w:rFonts w:hint="default"/>
                <w:highlight w:val="none"/>
              </w:rPr>
            </w:pPr>
            <w:r>
              <w:rPr>
                <w:rFonts w:hint="default"/>
                <w:highlight w:val="none"/>
              </w:rPr>
              <w:t>59.0</w:t>
            </w:r>
          </w:p>
        </w:tc>
        <w:tc>
          <w:tcPr>
            <w:tcW w:w="469" w:type="pct"/>
            <w:tcBorders>
              <w:tl2br w:val="nil"/>
              <w:tr2bl w:val="nil"/>
            </w:tcBorders>
            <w:noWrap w:val="0"/>
            <w:tcMar>
              <w:top w:w="0" w:type="dxa"/>
              <w:left w:w="28" w:type="dxa"/>
              <w:bottom w:w="0" w:type="dxa"/>
              <w:right w:w="28" w:type="dxa"/>
            </w:tcMar>
            <w:vAlign w:val="center"/>
          </w:tcPr>
          <w:p w14:paraId="1278AA14">
            <w:pPr>
              <w:pStyle w:val="58"/>
              <w:bidi w:val="0"/>
              <w:rPr>
                <w:rFonts w:hint="default"/>
                <w:highlight w:val="none"/>
              </w:rPr>
            </w:pPr>
            <w:r>
              <w:rPr>
                <w:rFonts w:hint="default"/>
                <w:highlight w:val="none"/>
              </w:rPr>
              <w:t>55.5</w:t>
            </w:r>
          </w:p>
        </w:tc>
        <w:tc>
          <w:tcPr>
            <w:tcW w:w="470" w:type="pct"/>
            <w:tcBorders>
              <w:tl2br w:val="nil"/>
              <w:tr2bl w:val="nil"/>
            </w:tcBorders>
            <w:noWrap w:val="0"/>
            <w:tcMar>
              <w:top w:w="0" w:type="dxa"/>
              <w:left w:w="28" w:type="dxa"/>
              <w:bottom w:w="0" w:type="dxa"/>
              <w:right w:w="28" w:type="dxa"/>
            </w:tcMar>
            <w:vAlign w:val="center"/>
          </w:tcPr>
          <w:p w14:paraId="09106895">
            <w:pPr>
              <w:pStyle w:val="58"/>
              <w:bidi w:val="0"/>
              <w:rPr>
                <w:rFonts w:hint="default"/>
                <w:highlight w:val="none"/>
              </w:rPr>
            </w:pPr>
            <w:r>
              <w:rPr>
                <w:rFonts w:hint="default"/>
                <w:highlight w:val="none"/>
              </w:rPr>
              <w:t>53.0</w:t>
            </w:r>
          </w:p>
        </w:tc>
        <w:tc>
          <w:tcPr>
            <w:tcW w:w="471" w:type="pct"/>
            <w:tcBorders>
              <w:tl2br w:val="nil"/>
              <w:tr2bl w:val="nil"/>
            </w:tcBorders>
            <w:noWrap w:val="0"/>
            <w:tcMar>
              <w:top w:w="0" w:type="dxa"/>
              <w:left w:w="28" w:type="dxa"/>
              <w:bottom w:w="0" w:type="dxa"/>
              <w:right w:w="28" w:type="dxa"/>
            </w:tcMar>
            <w:vAlign w:val="center"/>
          </w:tcPr>
          <w:p w14:paraId="1AD1D9C0">
            <w:pPr>
              <w:pStyle w:val="58"/>
              <w:bidi w:val="0"/>
              <w:rPr>
                <w:rFonts w:hint="default"/>
                <w:highlight w:val="none"/>
              </w:rPr>
            </w:pPr>
            <w:r>
              <w:rPr>
                <w:rFonts w:hint="default"/>
                <w:highlight w:val="none"/>
              </w:rPr>
              <w:t>51.0</w:t>
            </w:r>
          </w:p>
        </w:tc>
      </w:tr>
      <w:tr w14:paraId="6DE9011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85" w:type="pct"/>
            <w:tcBorders>
              <w:tl2br w:val="nil"/>
              <w:tr2bl w:val="nil"/>
            </w:tcBorders>
            <w:noWrap w:val="0"/>
            <w:tcMar>
              <w:top w:w="0" w:type="dxa"/>
              <w:left w:w="28" w:type="dxa"/>
              <w:bottom w:w="0" w:type="dxa"/>
              <w:right w:w="28" w:type="dxa"/>
            </w:tcMar>
            <w:vAlign w:val="center"/>
          </w:tcPr>
          <w:p w14:paraId="6ACC37F4">
            <w:pPr>
              <w:pStyle w:val="58"/>
              <w:bidi w:val="0"/>
              <w:rPr>
                <w:rFonts w:hint="default"/>
                <w:highlight w:val="none"/>
              </w:rPr>
            </w:pPr>
            <w:r>
              <w:rPr>
                <w:rFonts w:hint="default"/>
                <w:highlight w:val="none"/>
              </w:rPr>
              <w:t>汽车</w:t>
            </w:r>
          </w:p>
        </w:tc>
        <w:tc>
          <w:tcPr>
            <w:tcW w:w="454" w:type="pct"/>
            <w:tcBorders>
              <w:tl2br w:val="nil"/>
              <w:tr2bl w:val="nil"/>
            </w:tcBorders>
            <w:noWrap w:val="0"/>
            <w:tcMar>
              <w:top w:w="0" w:type="dxa"/>
              <w:left w:w="28" w:type="dxa"/>
              <w:bottom w:w="0" w:type="dxa"/>
              <w:right w:w="28" w:type="dxa"/>
            </w:tcMar>
            <w:vAlign w:val="center"/>
          </w:tcPr>
          <w:p w14:paraId="249D2192">
            <w:pPr>
              <w:pStyle w:val="58"/>
              <w:bidi w:val="0"/>
              <w:rPr>
                <w:rFonts w:hint="default"/>
                <w:highlight w:val="none"/>
              </w:rPr>
            </w:pPr>
            <w:r>
              <w:rPr>
                <w:rFonts w:hint="default"/>
                <w:highlight w:val="none"/>
              </w:rPr>
              <w:t>75</w:t>
            </w:r>
          </w:p>
        </w:tc>
        <w:tc>
          <w:tcPr>
            <w:tcW w:w="469" w:type="pct"/>
            <w:tcBorders>
              <w:tl2br w:val="nil"/>
              <w:tr2bl w:val="nil"/>
            </w:tcBorders>
            <w:noWrap w:val="0"/>
            <w:tcMar>
              <w:top w:w="0" w:type="dxa"/>
              <w:left w:w="28" w:type="dxa"/>
              <w:bottom w:w="0" w:type="dxa"/>
              <w:right w:w="28" w:type="dxa"/>
            </w:tcMar>
            <w:vAlign w:val="center"/>
          </w:tcPr>
          <w:p w14:paraId="16F53C91">
            <w:pPr>
              <w:pStyle w:val="58"/>
              <w:bidi w:val="0"/>
              <w:rPr>
                <w:rFonts w:hint="default"/>
                <w:highlight w:val="none"/>
              </w:rPr>
            </w:pPr>
            <w:r>
              <w:rPr>
                <w:rFonts w:hint="default"/>
                <w:highlight w:val="none"/>
              </w:rPr>
              <w:t>63.0</w:t>
            </w:r>
          </w:p>
        </w:tc>
        <w:tc>
          <w:tcPr>
            <w:tcW w:w="470" w:type="pct"/>
            <w:tcBorders>
              <w:tl2br w:val="nil"/>
              <w:tr2bl w:val="nil"/>
            </w:tcBorders>
            <w:noWrap w:val="0"/>
            <w:tcMar>
              <w:top w:w="0" w:type="dxa"/>
              <w:left w:w="28" w:type="dxa"/>
              <w:bottom w:w="0" w:type="dxa"/>
              <w:right w:w="28" w:type="dxa"/>
            </w:tcMar>
            <w:vAlign w:val="center"/>
          </w:tcPr>
          <w:p w14:paraId="22926B27">
            <w:pPr>
              <w:pStyle w:val="58"/>
              <w:bidi w:val="0"/>
              <w:rPr>
                <w:rFonts w:hint="default"/>
                <w:highlight w:val="none"/>
              </w:rPr>
            </w:pPr>
            <w:r>
              <w:rPr>
                <w:rFonts w:hint="default"/>
                <w:highlight w:val="none"/>
              </w:rPr>
              <w:t>56.9</w:t>
            </w:r>
          </w:p>
        </w:tc>
        <w:tc>
          <w:tcPr>
            <w:tcW w:w="469" w:type="pct"/>
            <w:tcBorders>
              <w:tl2br w:val="nil"/>
              <w:tr2bl w:val="nil"/>
            </w:tcBorders>
            <w:noWrap w:val="0"/>
            <w:tcMar>
              <w:top w:w="0" w:type="dxa"/>
              <w:left w:w="28" w:type="dxa"/>
              <w:bottom w:w="0" w:type="dxa"/>
              <w:right w:w="28" w:type="dxa"/>
            </w:tcMar>
            <w:vAlign w:val="center"/>
          </w:tcPr>
          <w:p w14:paraId="032CE2CF">
            <w:pPr>
              <w:pStyle w:val="58"/>
              <w:bidi w:val="0"/>
              <w:rPr>
                <w:rFonts w:hint="default"/>
                <w:highlight w:val="none"/>
              </w:rPr>
            </w:pPr>
            <w:r>
              <w:rPr>
                <w:rFonts w:hint="default"/>
                <w:highlight w:val="none"/>
              </w:rPr>
              <w:t>53.4</w:t>
            </w:r>
          </w:p>
        </w:tc>
        <w:tc>
          <w:tcPr>
            <w:tcW w:w="470" w:type="pct"/>
            <w:tcBorders>
              <w:tl2br w:val="nil"/>
              <w:tr2bl w:val="nil"/>
            </w:tcBorders>
            <w:noWrap w:val="0"/>
            <w:tcMar>
              <w:top w:w="0" w:type="dxa"/>
              <w:left w:w="28" w:type="dxa"/>
              <w:bottom w:w="0" w:type="dxa"/>
              <w:right w:w="28" w:type="dxa"/>
            </w:tcMar>
            <w:vAlign w:val="center"/>
          </w:tcPr>
          <w:p w14:paraId="79252960">
            <w:pPr>
              <w:pStyle w:val="58"/>
              <w:bidi w:val="0"/>
              <w:rPr>
                <w:rFonts w:hint="default"/>
                <w:highlight w:val="none"/>
              </w:rPr>
            </w:pPr>
            <w:r>
              <w:rPr>
                <w:rFonts w:hint="default"/>
                <w:highlight w:val="none"/>
              </w:rPr>
              <w:t>50.9</w:t>
            </w:r>
          </w:p>
        </w:tc>
        <w:tc>
          <w:tcPr>
            <w:tcW w:w="470" w:type="pct"/>
            <w:tcBorders>
              <w:tl2br w:val="nil"/>
              <w:tr2bl w:val="nil"/>
            </w:tcBorders>
            <w:noWrap w:val="0"/>
            <w:tcMar>
              <w:top w:w="0" w:type="dxa"/>
              <w:left w:w="28" w:type="dxa"/>
              <w:bottom w:w="0" w:type="dxa"/>
              <w:right w:w="28" w:type="dxa"/>
            </w:tcMar>
            <w:vAlign w:val="center"/>
          </w:tcPr>
          <w:p w14:paraId="6214C730">
            <w:pPr>
              <w:pStyle w:val="58"/>
              <w:bidi w:val="0"/>
              <w:rPr>
                <w:rFonts w:hint="default"/>
                <w:highlight w:val="none"/>
              </w:rPr>
            </w:pPr>
            <w:r>
              <w:rPr>
                <w:rFonts w:hint="default"/>
                <w:highlight w:val="none"/>
              </w:rPr>
              <w:t>49.0</w:t>
            </w:r>
          </w:p>
        </w:tc>
        <w:tc>
          <w:tcPr>
            <w:tcW w:w="469" w:type="pct"/>
            <w:tcBorders>
              <w:tl2br w:val="nil"/>
              <w:tr2bl w:val="nil"/>
            </w:tcBorders>
            <w:noWrap w:val="0"/>
            <w:tcMar>
              <w:top w:w="0" w:type="dxa"/>
              <w:left w:w="28" w:type="dxa"/>
              <w:bottom w:w="0" w:type="dxa"/>
              <w:right w:w="28" w:type="dxa"/>
            </w:tcMar>
            <w:vAlign w:val="center"/>
          </w:tcPr>
          <w:p w14:paraId="12C4D844">
            <w:pPr>
              <w:pStyle w:val="58"/>
              <w:bidi w:val="0"/>
              <w:rPr>
                <w:rFonts w:hint="default"/>
                <w:highlight w:val="none"/>
              </w:rPr>
            </w:pPr>
            <w:r>
              <w:rPr>
                <w:rFonts w:hint="default"/>
                <w:highlight w:val="none"/>
              </w:rPr>
              <w:t>45.5</w:t>
            </w:r>
          </w:p>
        </w:tc>
        <w:tc>
          <w:tcPr>
            <w:tcW w:w="470" w:type="pct"/>
            <w:tcBorders>
              <w:tl2br w:val="nil"/>
              <w:tr2bl w:val="nil"/>
            </w:tcBorders>
            <w:noWrap w:val="0"/>
            <w:tcMar>
              <w:top w:w="0" w:type="dxa"/>
              <w:left w:w="28" w:type="dxa"/>
              <w:bottom w:w="0" w:type="dxa"/>
              <w:right w:w="28" w:type="dxa"/>
            </w:tcMar>
            <w:vAlign w:val="center"/>
          </w:tcPr>
          <w:p w14:paraId="3E188238">
            <w:pPr>
              <w:pStyle w:val="58"/>
              <w:bidi w:val="0"/>
              <w:rPr>
                <w:rFonts w:hint="default"/>
                <w:highlight w:val="none"/>
              </w:rPr>
            </w:pPr>
            <w:r>
              <w:rPr>
                <w:rFonts w:hint="default"/>
                <w:highlight w:val="none"/>
              </w:rPr>
              <w:t>43.0</w:t>
            </w:r>
          </w:p>
        </w:tc>
        <w:tc>
          <w:tcPr>
            <w:tcW w:w="471" w:type="pct"/>
            <w:tcBorders>
              <w:tl2br w:val="nil"/>
              <w:tr2bl w:val="nil"/>
            </w:tcBorders>
            <w:noWrap w:val="0"/>
            <w:tcMar>
              <w:top w:w="0" w:type="dxa"/>
              <w:left w:w="28" w:type="dxa"/>
              <w:bottom w:w="0" w:type="dxa"/>
              <w:right w:w="28" w:type="dxa"/>
            </w:tcMar>
            <w:vAlign w:val="center"/>
          </w:tcPr>
          <w:p w14:paraId="119D7AB8">
            <w:pPr>
              <w:pStyle w:val="58"/>
              <w:bidi w:val="0"/>
              <w:rPr>
                <w:rFonts w:hint="default"/>
                <w:highlight w:val="none"/>
              </w:rPr>
            </w:pPr>
            <w:r>
              <w:rPr>
                <w:rFonts w:hint="default"/>
                <w:highlight w:val="none"/>
              </w:rPr>
              <w:t>41.0</w:t>
            </w:r>
          </w:p>
        </w:tc>
      </w:tr>
      <w:tr w14:paraId="334B558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85" w:type="pct"/>
            <w:tcBorders>
              <w:tl2br w:val="nil"/>
              <w:tr2bl w:val="nil"/>
            </w:tcBorders>
            <w:noWrap w:val="0"/>
            <w:tcMar>
              <w:top w:w="0" w:type="dxa"/>
              <w:left w:w="28" w:type="dxa"/>
              <w:bottom w:w="0" w:type="dxa"/>
              <w:right w:w="28" w:type="dxa"/>
            </w:tcMar>
            <w:vAlign w:val="center"/>
          </w:tcPr>
          <w:p w14:paraId="0F8B27E3">
            <w:pPr>
              <w:pStyle w:val="58"/>
              <w:bidi w:val="0"/>
              <w:rPr>
                <w:rFonts w:hint="default"/>
                <w:highlight w:val="none"/>
              </w:rPr>
            </w:pPr>
            <w:r>
              <w:rPr>
                <w:rFonts w:hint="default"/>
                <w:highlight w:val="none"/>
              </w:rPr>
              <w:t>汽车吊</w:t>
            </w:r>
          </w:p>
        </w:tc>
        <w:tc>
          <w:tcPr>
            <w:tcW w:w="454" w:type="pct"/>
            <w:tcBorders>
              <w:tl2br w:val="nil"/>
              <w:tr2bl w:val="nil"/>
            </w:tcBorders>
            <w:noWrap w:val="0"/>
            <w:tcMar>
              <w:top w:w="0" w:type="dxa"/>
              <w:left w:w="28" w:type="dxa"/>
              <w:bottom w:w="0" w:type="dxa"/>
              <w:right w:w="28" w:type="dxa"/>
            </w:tcMar>
            <w:vAlign w:val="center"/>
          </w:tcPr>
          <w:p w14:paraId="2681B81A">
            <w:pPr>
              <w:pStyle w:val="58"/>
              <w:bidi w:val="0"/>
              <w:rPr>
                <w:rFonts w:hint="default"/>
                <w:highlight w:val="none"/>
              </w:rPr>
            </w:pPr>
            <w:r>
              <w:rPr>
                <w:rFonts w:hint="default"/>
                <w:highlight w:val="none"/>
              </w:rPr>
              <w:t>73</w:t>
            </w:r>
          </w:p>
        </w:tc>
        <w:tc>
          <w:tcPr>
            <w:tcW w:w="469" w:type="pct"/>
            <w:tcBorders>
              <w:tl2br w:val="nil"/>
              <w:tr2bl w:val="nil"/>
            </w:tcBorders>
            <w:noWrap w:val="0"/>
            <w:tcMar>
              <w:top w:w="0" w:type="dxa"/>
              <w:left w:w="28" w:type="dxa"/>
              <w:bottom w:w="0" w:type="dxa"/>
              <w:right w:w="28" w:type="dxa"/>
            </w:tcMar>
            <w:vAlign w:val="center"/>
          </w:tcPr>
          <w:p w14:paraId="06FB8AC3">
            <w:pPr>
              <w:pStyle w:val="58"/>
              <w:bidi w:val="0"/>
              <w:rPr>
                <w:rFonts w:hint="default"/>
                <w:highlight w:val="none"/>
              </w:rPr>
            </w:pPr>
            <w:r>
              <w:rPr>
                <w:rFonts w:hint="default"/>
                <w:highlight w:val="none"/>
              </w:rPr>
              <w:t>70.5</w:t>
            </w:r>
          </w:p>
        </w:tc>
        <w:tc>
          <w:tcPr>
            <w:tcW w:w="470" w:type="pct"/>
            <w:tcBorders>
              <w:tl2br w:val="nil"/>
              <w:tr2bl w:val="nil"/>
            </w:tcBorders>
            <w:noWrap w:val="0"/>
            <w:tcMar>
              <w:top w:w="0" w:type="dxa"/>
              <w:left w:w="28" w:type="dxa"/>
              <w:bottom w:w="0" w:type="dxa"/>
              <w:right w:w="28" w:type="dxa"/>
            </w:tcMar>
            <w:vAlign w:val="center"/>
          </w:tcPr>
          <w:p w14:paraId="135465DD">
            <w:pPr>
              <w:pStyle w:val="58"/>
              <w:bidi w:val="0"/>
              <w:rPr>
                <w:rFonts w:hint="default"/>
                <w:highlight w:val="none"/>
              </w:rPr>
            </w:pPr>
            <w:r>
              <w:rPr>
                <w:rFonts w:hint="default"/>
                <w:highlight w:val="none"/>
              </w:rPr>
              <w:t>64.5</w:t>
            </w:r>
          </w:p>
        </w:tc>
        <w:tc>
          <w:tcPr>
            <w:tcW w:w="469" w:type="pct"/>
            <w:tcBorders>
              <w:tl2br w:val="nil"/>
              <w:tr2bl w:val="nil"/>
            </w:tcBorders>
            <w:noWrap w:val="0"/>
            <w:tcMar>
              <w:top w:w="0" w:type="dxa"/>
              <w:left w:w="28" w:type="dxa"/>
              <w:bottom w:w="0" w:type="dxa"/>
              <w:right w:w="28" w:type="dxa"/>
            </w:tcMar>
            <w:vAlign w:val="center"/>
          </w:tcPr>
          <w:p w14:paraId="256866AB">
            <w:pPr>
              <w:pStyle w:val="58"/>
              <w:bidi w:val="0"/>
              <w:rPr>
                <w:rFonts w:hint="default"/>
                <w:highlight w:val="none"/>
              </w:rPr>
            </w:pPr>
            <w:r>
              <w:rPr>
                <w:rFonts w:hint="default"/>
                <w:highlight w:val="none"/>
              </w:rPr>
              <w:t>61.0</w:t>
            </w:r>
          </w:p>
        </w:tc>
        <w:tc>
          <w:tcPr>
            <w:tcW w:w="470" w:type="pct"/>
            <w:tcBorders>
              <w:tl2br w:val="nil"/>
              <w:tr2bl w:val="nil"/>
            </w:tcBorders>
            <w:noWrap w:val="0"/>
            <w:tcMar>
              <w:top w:w="0" w:type="dxa"/>
              <w:left w:w="28" w:type="dxa"/>
              <w:bottom w:w="0" w:type="dxa"/>
              <w:right w:w="28" w:type="dxa"/>
            </w:tcMar>
            <w:vAlign w:val="center"/>
          </w:tcPr>
          <w:p w14:paraId="18D6E93A">
            <w:pPr>
              <w:pStyle w:val="58"/>
              <w:bidi w:val="0"/>
              <w:rPr>
                <w:rFonts w:hint="default"/>
                <w:highlight w:val="none"/>
              </w:rPr>
            </w:pPr>
            <w:r>
              <w:rPr>
                <w:rFonts w:hint="default"/>
                <w:highlight w:val="none"/>
              </w:rPr>
              <w:t>58.5</w:t>
            </w:r>
          </w:p>
        </w:tc>
        <w:tc>
          <w:tcPr>
            <w:tcW w:w="470" w:type="pct"/>
            <w:tcBorders>
              <w:tl2br w:val="nil"/>
              <w:tr2bl w:val="nil"/>
            </w:tcBorders>
            <w:noWrap w:val="0"/>
            <w:tcMar>
              <w:top w:w="0" w:type="dxa"/>
              <w:left w:w="28" w:type="dxa"/>
              <w:bottom w:w="0" w:type="dxa"/>
              <w:right w:w="28" w:type="dxa"/>
            </w:tcMar>
            <w:vAlign w:val="center"/>
          </w:tcPr>
          <w:p w14:paraId="6B2EE485">
            <w:pPr>
              <w:pStyle w:val="58"/>
              <w:bidi w:val="0"/>
              <w:rPr>
                <w:rFonts w:hint="default"/>
                <w:highlight w:val="none"/>
              </w:rPr>
            </w:pPr>
            <w:r>
              <w:rPr>
                <w:rFonts w:hint="default"/>
                <w:highlight w:val="none"/>
              </w:rPr>
              <w:t>56.5</w:t>
            </w:r>
          </w:p>
        </w:tc>
        <w:tc>
          <w:tcPr>
            <w:tcW w:w="469" w:type="pct"/>
            <w:tcBorders>
              <w:tl2br w:val="nil"/>
              <w:tr2bl w:val="nil"/>
            </w:tcBorders>
            <w:noWrap w:val="0"/>
            <w:tcMar>
              <w:top w:w="0" w:type="dxa"/>
              <w:left w:w="28" w:type="dxa"/>
              <w:bottom w:w="0" w:type="dxa"/>
              <w:right w:w="28" w:type="dxa"/>
            </w:tcMar>
            <w:vAlign w:val="center"/>
          </w:tcPr>
          <w:p w14:paraId="4A7DC211">
            <w:pPr>
              <w:pStyle w:val="58"/>
              <w:bidi w:val="0"/>
              <w:rPr>
                <w:rFonts w:hint="default"/>
                <w:highlight w:val="none"/>
              </w:rPr>
            </w:pPr>
            <w:r>
              <w:rPr>
                <w:rFonts w:hint="default"/>
                <w:highlight w:val="none"/>
              </w:rPr>
              <w:t>53.0</w:t>
            </w:r>
          </w:p>
        </w:tc>
        <w:tc>
          <w:tcPr>
            <w:tcW w:w="470" w:type="pct"/>
            <w:tcBorders>
              <w:tl2br w:val="nil"/>
              <w:tr2bl w:val="nil"/>
            </w:tcBorders>
            <w:noWrap w:val="0"/>
            <w:tcMar>
              <w:top w:w="0" w:type="dxa"/>
              <w:left w:w="28" w:type="dxa"/>
              <w:bottom w:w="0" w:type="dxa"/>
              <w:right w:w="28" w:type="dxa"/>
            </w:tcMar>
            <w:vAlign w:val="center"/>
          </w:tcPr>
          <w:p w14:paraId="52ED0E2A">
            <w:pPr>
              <w:pStyle w:val="58"/>
              <w:bidi w:val="0"/>
              <w:rPr>
                <w:rFonts w:hint="default"/>
                <w:highlight w:val="none"/>
              </w:rPr>
            </w:pPr>
            <w:r>
              <w:rPr>
                <w:rFonts w:hint="default"/>
                <w:highlight w:val="none"/>
              </w:rPr>
              <w:t>50.5</w:t>
            </w:r>
          </w:p>
        </w:tc>
        <w:tc>
          <w:tcPr>
            <w:tcW w:w="471" w:type="pct"/>
            <w:tcBorders>
              <w:tl2br w:val="nil"/>
              <w:tr2bl w:val="nil"/>
            </w:tcBorders>
            <w:noWrap w:val="0"/>
            <w:tcMar>
              <w:top w:w="0" w:type="dxa"/>
              <w:left w:w="28" w:type="dxa"/>
              <w:bottom w:w="0" w:type="dxa"/>
              <w:right w:w="28" w:type="dxa"/>
            </w:tcMar>
            <w:vAlign w:val="center"/>
          </w:tcPr>
          <w:p w14:paraId="6FD1BBA8">
            <w:pPr>
              <w:pStyle w:val="58"/>
              <w:bidi w:val="0"/>
              <w:rPr>
                <w:rFonts w:hint="default"/>
                <w:highlight w:val="none"/>
              </w:rPr>
            </w:pPr>
            <w:r>
              <w:rPr>
                <w:rFonts w:hint="default"/>
                <w:highlight w:val="none"/>
              </w:rPr>
              <w:t>48.6</w:t>
            </w:r>
          </w:p>
        </w:tc>
      </w:tr>
      <w:tr w14:paraId="5BE0763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00" w:type="pct"/>
            <w:gridSpan w:val="10"/>
            <w:tcBorders>
              <w:tl2br w:val="nil"/>
              <w:tr2bl w:val="nil"/>
            </w:tcBorders>
            <w:noWrap w:val="0"/>
            <w:tcMar>
              <w:top w:w="0" w:type="dxa"/>
              <w:left w:w="28" w:type="dxa"/>
              <w:bottom w:w="0" w:type="dxa"/>
              <w:right w:w="28" w:type="dxa"/>
            </w:tcMar>
            <w:vAlign w:val="center"/>
          </w:tcPr>
          <w:p w14:paraId="1C72B7EE">
            <w:pPr>
              <w:pStyle w:val="58"/>
              <w:bidi w:val="0"/>
              <w:rPr>
                <w:rFonts w:hint="default"/>
                <w:highlight w:val="none"/>
              </w:rPr>
            </w:pPr>
            <w:r>
              <w:rPr>
                <w:rFonts w:hint="default"/>
                <w:highlight w:val="none"/>
              </w:rPr>
              <w:t>注：《建筑施工场界环境噪声排放标准》（GB12523-2011）昼间70dB(A)，夜间55dB(A)。</w:t>
            </w:r>
          </w:p>
        </w:tc>
      </w:tr>
    </w:tbl>
    <w:p w14:paraId="3017C268">
      <w:pPr>
        <w:pageBreakBefore w:val="0"/>
        <w:widowControl w:val="0"/>
        <w:kinsoku/>
        <w:wordWrap/>
        <w:overflowPunct/>
        <w:topLinePunct w:val="0"/>
        <w:autoSpaceDE/>
        <w:autoSpaceDN/>
        <w:bidi w:val="0"/>
        <w:adjustRightInd/>
        <w:snapToGrid/>
        <w:spacing w:line="460" w:lineRule="exact"/>
        <w:ind w:firstLine="48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⑶施工期噪声影响分析</w:t>
      </w:r>
    </w:p>
    <w:p w14:paraId="0CB542D8">
      <w:pPr>
        <w:pageBreakBefore w:val="0"/>
        <w:widowControl w:val="0"/>
        <w:kinsoku/>
        <w:wordWrap/>
        <w:overflowPunct/>
        <w:topLinePunct w:val="0"/>
        <w:autoSpaceDE/>
        <w:autoSpaceDN/>
        <w:bidi w:val="0"/>
        <w:adjustRightInd/>
        <w:snapToGrid/>
        <w:spacing w:line="460" w:lineRule="exact"/>
        <w:ind w:firstLine="48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噪声源预测计算结果与《建筑施工场界环境噪声排放标准》（GB12523-2011）相互对照可知，在距离噪声源40m处昼间能达到《建筑施工场界环境噪声排放标准》（GB12523-2011），200m处能达到夜间标准要求。</w:t>
      </w:r>
    </w:p>
    <w:p w14:paraId="6EEA3095">
      <w:pPr>
        <w:pageBreakBefore w:val="0"/>
        <w:widowControl w:val="0"/>
        <w:kinsoku/>
        <w:wordWrap/>
        <w:overflowPunct/>
        <w:topLinePunct w:val="0"/>
        <w:autoSpaceDE/>
        <w:autoSpaceDN/>
        <w:bidi w:val="0"/>
        <w:adjustRightInd/>
        <w:snapToGrid/>
        <w:spacing w:line="460" w:lineRule="exact"/>
        <w:ind w:firstLine="48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lang w:eastAsia="zh-CN"/>
        </w:rPr>
        <w:t>本项目夜间不施工，项目距离最近敏感点</w:t>
      </w:r>
      <w:r>
        <w:rPr>
          <w:rFonts w:hint="default" w:ascii="Times New Roman" w:hAnsi="Times New Roman" w:eastAsia="宋体" w:cs="Times New Roman"/>
          <w:color w:val="auto"/>
          <w:sz w:val="24"/>
          <w:highlight w:val="none"/>
          <w:lang w:val="en-US" w:eastAsia="zh-CN"/>
        </w:rPr>
        <w:t>西</w:t>
      </w:r>
      <w:r>
        <w:rPr>
          <w:rFonts w:hint="eastAsia" w:ascii="Times New Roman" w:hAnsi="Times New Roman" w:eastAsia="宋体" w:cs="Times New Roman"/>
          <w:color w:val="auto"/>
          <w:sz w:val="24"/>
          <w:highlight w:val="none"/>
          <w:lang w:val="en-US" w:eastAsia="zh-CN"/>
        </w:rPr>
        <w:t>侧</w:t>
      </w:r>
      <w:r>
        <w:rPr>
          <w:rFonts w:hint="eastAsia" w:ascii="Times New Roman" w:hAnsi="Times New Roman" w:eastAsia="宋体" w:cs="Times New Roman"/>
          <w:bCs/>
          <w:caps w:val="0"/>
          <w:color w:val="auto"/>
          <w:sz w:val="24"/>
          <w:szCs w:val="24"/>
          <w:highlight w:val="none"/>
          <w:lang w:val="en-US" w:eastAsia="zh-CN"/>
        </w:rPr>
        <w:t>东南街村</w:t>
      </w:r>
      <w:r>
        <w:rPr>
          <w:rFonts w:hint="eastAsia" w:ascii="Times New Roman" w:hAnsi="Times New Roman" w:eastAsia="宋体" w:cs="Times New Roman"/>
          <w:color w:val="auto"/>
          <w:kern w:val="24"/>
          <w:sz w:val="24"/>
          <w:szCs w:val="24"/>
          <w:highlight w:val="none"/>
          <w:lang w:val="en-US" w:eastAsia="zh-CN"/>
        </w:rPr>
        <w:t>1576</w:t>
      </w:r>
      <w:r>
        <w:rPr>
          <w:rFonts w:hint="default" w:ascii="Times New Roman" w:hAnsi="Times New Roman" w:eastAsia="宋体" w:cs="Times New Roman"/>
          <w:color w:val="auto"/>
          <w:kern w:val="24"/>
          <w:sz w:val="24"/>
          <w:szCs w:val="24"/>
          <w:highlight w:val="none"/>
        </w:rPr>
        <w:t>m</w:t>
      </w:r>
      <w:r>
        <w:rPr>
          <w:rFonts w:hint="default" w:ascii="Times New Roman" w:hAnsi="Times New Roman" w:eastAsia="宋体" w:cs="Times New Roman"/>
          <w:color w:val="auto"/>
          <w:sz w:val="24"/>
          <w:highlight w:val="none"/>
          <w:lang w:val="en-US" w:eastAsia="zh-CN"/>
        </w:rPr>
        <w:t>，距离较远，</w:t>
      </w:r>
      <w:r>
        <w:rPr>
          <w:rFonts w:hint="default" w:ascii="Times New Roman" w:hAnsi="Times New Roman" w:eastAsia="宋体" w:cs="Times New Roman"/>
          <w:color w:val="auto"/>
          <w:sz w:val="24"/>
          <w:highlight w:val="none"/>
        </w:rPr>
        <w:t>昼间施工噪声</w:t>
      </w:r>
      <w:r>
        <w:rPr>
          <w:rFonts w:hint="default" w:ascii="Times New Roman" w:hAnsi="Times New Roman" w:eastAsia="宋体" w:cs="Times New Roman"/>
          <w:color w:val="auto"/>
          <w:sz w:val="24"/>
          <w:highlight w:val="none"/>
          <w:lang w:val="en-US" w:eastAsia="zh-CN"/>
        </w:rPr>
        <w:t>不会</w:t>
      </w:r>
      <w:r>
        <w:rPr>
          <w:rFonts w:hint="default" w:ascii="Times New Roman" w:hAnsi="Times New Roman" w:eastAsia="宋体" w:cs="Times New Roman"/>
          <w:color w:val="auto"/>
          <w:sz w:val="24"/>
          <w:highlight w:val="none"/>
        </w:rPr>
        <w:t>对其声环境质量</w:t>
      </w:r>
      <w:r>
        <w:rPr>
          <w:rFonts w:hint="default" w:ascii="Times New Roman" w:hAnsi="Times New Roman" w:eastAsia="宋体" w:cs="Times New Roman"/>
          <w:color w:val="auto"/>
          <w:sz w:val="24"/>
          <w:highlight w:val="none"/>
          <w:lang w:val="en-US" w:eastAsia="zh-CN"/>
        </w:rPr>
        <w:t>造成</w:t>
      </w:r>
      <w:r>
        <w:rPr>
          <w:rFonts w:hint="default" w:ascii="Times New Roman" w:hAnsi="Times New Roman" w:eastAsia="宋体" w:cs="Times New Roman"/>
          <w:color w:val="auto"/>
          <w:sz w:val="24"/>
          <w:highlight w:val="none"/>
        </w:rPr>
        <w:t>影响，但是施工单位仍需按照相关要求合理作业，尽量减轻施工噪声对周围环境的不良影响。</w:t>
      </w:r>
    </w:p>
    <w:p w14:paraId="52D5DBEA">
      <w:pPr>
        <w:pageBreakBefore w:val="0"/>
        <w:widowControl w:val="0"/>
        <w:kinsoku/>
        <w:wordWrap/>
        <w:overflowPunct/>
        <w:topLinePunct w:val="0"/>
        <w:autoSpaceDE/>
        <w:autoSpaceDN/>
        <w:bidi w:val="0"/>
        <w:adjustRightInd/>
        <w:snapToGrid/>
        <w:spacing w:line="460" w:lineRule="exact"/>
        <w:ind w:firstLine="48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⑷施工噪声影响分析及防治措施</w:t>
      </w:r>
    </w:p>
    <w:p w14:paraId="20EC0FDB">
      <w:pPr>
        <w:pageBreakBefore w:val="0"/>
        <w:widowControl w:val="0"/>
        <w:kinsoku/>
        <w:wordWrap/>
        <w:overflowPunct/>
        <w:topLinePunct w:val="0"/>
        <w:autoSpaceDE/>
        <w:autoSpaceDN/>
        <w:bidi w:val="0"/>
        <w:adjustRightInd/>
        <w:snapToGrid/>
        <w:spacing w:line="460" w:lineRule="exact"/>
        <w:ind w:firstLine="48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施工噪声的影响是暂时的，随施工的结束而结束。为减小项目施工期噪声对周边环境的影响，施工中应采取如下措施以减少对声环境的影响：</w:t>
      </w:r>
    </w:p>
    <w:p w14:paraId="307973A1">
      <w:pPr>
        <w:pageBreakBefore w:val="0"/>
        <w:widowControl w:val="0"/>
        <w:kinsoku/>
        <w:wordWrap/>
        <w:overflowPunct/>
        <w:topLinePunct w:val="0"/>
        <w:autoSpaceDE/>
        <w:autoSpaceDN/>
        <w:bidi w:val="0"/>
        <w:adjustRightInd/>
        <w:snapToGrid/>
        <w:spacing w:line="460" w:lineRule="exact"/>
        <w:ind w:firstLine="48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使用的施工设备应加强管理，</w:t>
      </w:r>
      <w:r>
        <w:rPr>
          <w:rFonts w:hint="default" w:ascii="Times New Roman" w:hAnsi="Times New Roman" w:eastAsia="宋体" w:cs="Times New Roman"/>
          <w:color w:val="auto"/>
          <w:sz w:val="24"/>
          <w:highlight w:val="none"/>
          <w:lang w:eastAsia="zh-CN"/>
        </w:rPr>
        <w:t>评价范围内无环境敏感点，对周边敏感点不会产生影响</w:t>
      </w:r>
      <w:r>
        <w:rPr>
          <w:rFonts w:hint="default" w:ascii="Times New Roman" w:hAnsi="Times New Roman" w:eastAsia="宋体" w:cs="Times New Roman"/>
          <w:color w:val="auto"/>
          <w:sz w:val="24"/>
          <w:highlight w:val="none"/>
        </w:rPr>
        <w:t>。各种固定设备，要求施工时尽量将各种施工设备安排在场区的隔声棚作业。</w:t>
      </w:r>
    </w:p>
    <w:p w14:paraId="107777D8">
      <w:pPr>
        <w:pageBreakBefore w:val="0"/>
        <w:widowControl w:val="0"/>
        <w:kinsoku/>
        <w:wordWrap/>
        <w:overflowPunct/>
        <w:topLinePunct w:val="0"/>
        <w:autoSpaceDE/>
        <w:autoSpaceDN/>
        <w:bidi w:val="0"/>
        <w:adjustRightInd/>
        <w:snapToGrid/>
        <w:spacing w:line="460" w:lineRule="exact"/>
        <w:ind w:firstLine="48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运输车辆，运载建筑材料及建筑垃圾的车辆要选择合适的时间、路线进行运输，运输车辆行驶路线尽量避开居民点和环境敏感点，车辆出入现场时应低速、禁鸣。</w:t>
      </w:r>
    </w:p>
    <w:p w14:paraId="0FD7046A">
      <w:pPr>
        <w:pageBreakBefore w:val="0"/>
        <w:widowControl w:val="0"/>
        <w:kinsoku/>
        <w:wordWrap/>
        <w:overflowPunct/>
        <w:topLinePunct w:val="0"/>
        <w:autoSpaceDE/>
        <w:autoSpaceDN/>
        <w:bidi w:val="0"/>
        <w:adjustRightInd/>
        <w:snapToGrid/>
        <w:spacing w:line="460" w:lineRule="exact"/>
        <w:ind w:firstLine="48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加强施工工地的噪声管理，施工企业对施工噪声进行自律，文明施工；合理安排施工计划和施工时间，可先进行场区外侧部分工程的施工；加强环境保护管理部门的管理、监督作用。</w:t>
      </w:r>
    </w:p>
    <w:p w14:paraId="25D8EB85">
      <w:pPr>
        <w:pageBreakBefore w:val="0"/>
        <w:widowControl w:val="0"/>
        <w:kinsoku/>
        <w:wordWrap/>
        <w:overflowPunct/>
        <w:topLinePunct w:val="0"/>
        <w:autoSpaceDE/>
        <w:autoSpaceDN/>
        <w:bidi w:val="0"/>
        <w:adjustRightInd/>
        <w:snapToGrid/>
        <w:spacing w:line="460" w:lineRule="exact"/>
        <w:ind w:firstLine="48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auto"/>
          <w:sz w:val="24"/>
          <w:highlight w:val="none"/>
        </w:rPr>
        <w:t>综上，在采取上述降噪措施后，施工噪声满足《建筑施工场界环境噪声排放标准》（GB12523-2011）要求。随着施工期的结束，施工噪声的影响也将结束。</w:t>
      </w:r>
    </w:p>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14:paraId="6F364C69">
      <w:pPr>
        <w:pStyle w:val="6"/>
        <w:rPr>
          <w:rFonts w:hint="default" w:ascii="Times New Roman" w:hAnsi="Times New Roman" w:eastAsia="宋体" w:cs="Times New Roman"/>
          <w:color w:val="000000" w:themeColor="text1"/>
          <w:highlight w:val="none"/>
          <w:lang w:eastAsia="zh-CN"/>
          <w14:textFill>
            <w14:solidFill>
              <w14:schemeClr w14:val="tx1"/>
            </w14:solidFill>
          </w14:textFill>
        </w:rPr>
      </w:pPr>
      <w:bookmarkStart w:id="294" w:name="_Toc296328014"/>
      <w:bookmarkStart w:id="295" w:name="_Toc204051354"/>
      <w:bookmarkStart w:id="296" w:name="_Toc213401825"/>
      <w:bookmarkStart w:id="297" w:name="_Toc209507381"/>
      <w:bookmarkStart w:id="298" w:name="_Toc394418424"/>
      <w:bookmarkStart w:id="299" w:name="_Toc204051355"/>
      <w:bookmarkStart w:id="300" w:name="_Toc181015461"/>
      <w:bookmarkStart w:id="301" w:name="_Toc181686443"/>
      <w:bookmarkStart w:id="302" w:name="_Toc180808274"/>
      <w:bookmarkStart w:id="303" w:name="_Toc182638478"/>
      <w:bookmarkStart w:id="304" w:name="_Toc209507382"/>
      <w:bookmarkStart w:id="305" w:name="_Toc296328015"/>
      <w:bookmarkStart w:id="306" w:name="_Toc213401826"/>
      <w:bookmarkStart w:id="307" w:name="_Toc394418425"/>
      <w:r>
        <w:rPr>
          <w:rFonts w:hint="default" w:ascii="Times New Roman" w:hAnsi="Times New Roman" w:eastAsia="宋体" w:cs="Times New Roman"/>
          <w:color w:val="000000" w:themeColor="text1"/>
          <w:highlight w:val="none"/>
          <w:lang w:val="en-US" w:eastAsia="zh-CN"/>
          <w14:textFill>
            <w14:solidFill>
              <w14:schemeClr w14:val="tx1"/>
            </w14:solidFill>
          </w14:textFill>
        </w:rPr>
        <w:t>5.1.3</w:t>
      </w:r>
      <w:r>
        <w:rPr>
          <w:rFonts w:hint="default" w:ascii="Times New Roman" w:hAnsi="Times New Roman" w:eastAsia="宋体" w:cs="Times New Roman"/>
          <w:color w:val="000000" w:themeColor="text1"/>
          <w:highlight w:val="none"/>
          <w14:textFill>
            <w14:solidFill>
              <w14:schemeClr w14:val="tx1"/>
            </w14:solidFill>
          </w14:textFill>
        </w:rPr>
        <w:t>施工废水的影响</w:t>
      </w:r>
      <w:bookmarkEnd w:id="294"/>
      <w:bookmarkEnd w:id="295"/>
      <w:bookmarkEnd w:id="296"/>
      <w:bookmarkEnd w:id="297"/>
      <w:bookmarkEnd w:id="298"/>
      <w:r>
        <w:rPr>
          <w:rFonts w:hint="default" w:ascii="Times New Roman" w:hAnsi="Times New Roman" w:eastAsia="宋体" w:cs="Times New Roman"/>
          <w:color w:val="000000" w:themeColor="text1"/>
          <w:highlight w:val="none"/>
          <w:lang w:eastAsia="zh-CN"/>
          <w14:textFill>
            <w14:solidFill>
              <w14:schemeClr w14:val="tx1"/>
            </w14:solidFill>
          </w14:textFill>
        </w:rPr>
        <w:t>分析</w:t>
      </w:r>
    </w:p>
    <w:p w14:paraId="3B11E3B2">
      <w:pPr>
        <w:pageBreakBefore w:val="0"/>
        <w:widowControl w:val="0"/>
        <w:kinsoku/>
        <w:wordWrap/>
        <w:overflowPunct/>
        <w:topLinePunct w:val="0"/>
        <w:autoSpaceDE/>
        <w:autoSpaceDN/>
        <w:bidi w:val="0"/>
        <w:adjustRightInd/>
        <w:snapToGrid/>
        <w:spacing w:line="460" w:lineRule="exact"/>
        <w:ind w:firstLine="48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施工期产生的废水主要为施工设备清洗</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rPr>
        <w:t>水泥养护排水</w:t>
      </w:r>
      <w:r>
        <w:rPr>
          <w:rFonts w:hint="default" w:ascii="Times New Roman" w:hAnsi="Times New Roman" w:eastAsia="宋体" w:cs="Times New Roman"/>
          <w:color w:val="auto"/>
          <w:sz w:val="24"/>
          <w:highlight w:val="none"/>
          <w:lang w:eastAsia="zh-CN"/>
        </w:rPr>
        <w:t>以及施工时降水位作业时产生的废水。</w:t>
      </w:r>
      <w:r>
        <w:rPr>
          <w:rFonts w:hint="default" w:ascii="Times New Roman" w:hAnsi="Times New Roman" w:eastAsia="宋体" w:cs="Times New Roman"/>
          <w:color w:val="auto"/>
          <w:sz w:val="24"/>
          <w:highlight w:val="none"/>
        </w:rPr>
        <w:t>设备清洗</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rPr>
        <w:t>水泥养护排水量较小，主要污染物为泥沙，对环境影响较小。施工场地设简易沉淀池，将施工废水收集沉淀后，用于场地喷洒降尘。由于本项目位于沿海地区，地下水较浅，厂区土方施工作业需采用降水位作业方式，首先在施工场地打井，将水抽到事先准备好的大型沉淀池内，使施工场地水位下降到一定高度然后再进行土方作业。沉淀池内废水经沉淀后</w:t>
      </w:r>
      <w:r>
        <w:rPr>
          <w:rFonts w:hint="default" w:ascii="Times New Roman" w:hAnsi="Times New Roman" w:eastAsia="宋体" w:cs="Times New Roman"/>
          <w:color w:val="auto"/>
          <w:sz w:val="24"/>
          <w:highlight w:val="none"/>
          <w:lang w:eastAsia="zh-CN"/>
        </w:rPr>
        <w:t>用于施工</w:t>
      </w:r>
      <w:r>
        <w:rPr>
          <w:rFonts w:hint="default" w:ascii="Times New Roman" w:hAnsi="Times New Roman" w:eastAsia="宋体" w:cs="Times New Roman"/>
          <w:color w:val="auto"/>
          <w:sz w:val="24"/>
          <w:highlight w:val="none"/>
        </w:rPr>
        <w:t>或场地喷洒降尘。</w:t>
      </w:r>
    </w:p>
    <w:p w14:paraId="48CE7FDC">
      <w:pPr>
        <w:bidi w:val="0"/>
        <w:rPr>
          <w:rFonts w:hint="default"/>
          <w:highlight w:val="none"/>
        </w:rPr>
      </w:pPr>
      <w:r>
        <w:rPr>
          <w:rFonts w:hint="default"/>
          <w:highlight w:val="none"/>
        </w:rPr>
        <w:t>施工现场不设食堂，故施工时产生的污水主要为施工人员盥洗水，污水量不大，主要污染物为SS和少量COD。产生的生活污水一般就地泼洒，大部分蒸发、少量渗入地下。施工废水对环境影响较小</w:t>
      </w:r>
      <w:r>
        <w:rPr>
          <w:rFonts w:hint="default"/>
          <w:highlight w:val="none"/>
          <w:lang w:val="en-US" w:eastAsia="zh-CN"/>
        </w:rPr>
        <w:t>。</w:t>
      </w:r>
    </w:p>
    <w:p w14:paraId="696C3C9B">
      <w:pPr>
        <w:pStyle w:val="6"/>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5.1.4</w:t>
      </w:r>
      <w:r>
        <w:rPr>
          <w:rFonts w:hint="default" w:ascii="Times New Roman" w:hAnsi="Times New Roman" w:eastAsia="宋体" w:cs="Times New Roman"/>
          <w:color w:val="000000" w:themeColor="text1"/>
          <w:highlight w:val="none"/>
          <w14:textFill>
            <w14:solidFill>
              <w14:schemeClr w14:val="tx1"/>
            </w14:solidFill>
          </w14:textFill>
        </w:rPr>
        <w:t>施工固废影响分析</w:t>
      </w:r>
      <w:bookmarkEnd w:id="299"/>
      <w:bookmarkEnd w:id="300"/>
      <w:bookmarkEnd w:id="301"/>
      <w:bookmarkEnd w:id="302"/>
      <w:bookmarkEnd w:id="303"/>
      <w:bookmarkEnd w:id="304"/>
      <w:bookmarkEnd w:id="305"/>
      <w:bookmarkEnd w:id="306"/>
      <w:bookmarkEnd w:id="307"/>
    </w:p>
    <w:p w14:paraId="4A0DE6F5">
      <w:pPr>
        <w:keepNext w:val="0"/>
        <w:keepLines w:val="0"/>
        <w:pageBreakBefore w:val="0"/>
        <w:widowControl w:val="0"/>
        <w:kinsoku/>
        <w:wordWrap/>
        <w:overflowPunct/>
        <w:topLinePunct w:val="0"/>
        <w:autoSpaceDE/>
        <w:autoSpaceDN/>
        <w:bidi w:val="0"/>
        <w:adjustRightInd/>
        <w:snapToGrid/>
        <w:spacing w:line="460" w:lineRule="exact"/>
        <w:ind w:firstLine="482"/>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施工中产生的固体废物主要是建筑垃圾、地基挖掘产生的弃土和生活垃圾，均为一般固体废物。建设单位应参照执行《唐山市建筑垃圾管理规定（草案）》（唐政法办函[2011]1号）和《城市建筑垃圾处置管理规定》的相关要求，将施工中产生的弃土大部分用于回填地基，剩余部分用于厂区的平整等。施工人员产生的生活垃圾、建筑垃圾送环卫部门指定地点处置，且在外运过程中用苫布覆盖，避免沿途遗撒，并按环卫部门指定路线行驶。</w:t>
      </w:r>
    </w:p>
    <w:p w14:paraId="4B32C138">
      <w:pPr>
        <w:keepNext w:val="0"/>
        <w:keepLines w:val="0"/>
        <w:pageBreakBefore w:val="0"/>
        <w:widowControl w:val="0"/>
        <w:kinsoku/>
        <w:wordWrap/>
        <w:overflowPunct/>
        <w:topLinePunct w:val="0"/>
        <w:autoSpaceDE/>
        <w:autoSpaceDN/>
        <w:bidi w:val="0"/>
        <w:adjustRightInd/>
        <w:snapToGrid/>
        <w:spacing w:line="460" w:lineRule="exact"/>
        <w:ind w:firstLine="482"/>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综上所述，施工期产生的固体废物全部得到妥善处置，不会对周围环境产生明显影响，为避免施工期建筑垃圾对周围环境产生不利影响，本评价要求建设单位</w:t>
      </w:r>
      <w:r>
        <w:rPr>
          <w:rFonts w:hint="eastAsia" w:cs="Times New Roman"/>
          <w:color w:val="auto"/>
          <w:sz w:val="24"/>
          <w:highlight w:val="none"/>
          <w:lang w:eastAsia="zh-CN"/>
        </w:rPr>
        <w:t>采取以下</w:t>
      </w:r>
      <w:r>
        <w:rPr>
          <w:rFonts w:hint="default" w:ascii="Times New Roman" w:hAnsi="Times New Roman" w:eastAsia="宋体" w:cs="Times New Roman"/>
          <w:color w:val="auto"/>
          <w:sz w:val="24"/>
          <w:highlight w:val="none"/>
        </w:rPr>
        <w:t>防范措施：</w:t>
      </w:r>
    </w:p>
    <w:p w14:paraId="0C059DA9">
      <w:pPr>
        <w:keepNext w:val="0"/>
        <w:keepLines w:val="0"/>
        <w:pageBreakBefore w:val="0"/>
        <w:widowControl w:val="0"/>
        <w:kinsoku/>
        <w:wordWrap/>
        <w:overflowPunct/>
        <w:topLinePunct w:val="0"/>
        <w:autoSpaceDE/>
        <w:autoSpaceDN/>
        <w:bidi w:val="0"/>
        <w:adjustRightInd/>
        <w:snapToGrid/>
        <w:spacing w:line="460" w:lineRule="exact"/>
        <w:ind w:firstLine="482"/>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⑴弃土全部用于厂区内场地平整。</w:t>
      </w:r>
    </w:p>
    <w:p w14:paraId="2C13D7FB">
      <w:pPr>
        <w:keepNext w:val="0"/>
        <w:keepLines w:val="0"/>
        <w:pageBreakBefore w:val="0"/>
        <w:widowControl w:val="0"/>
        <w:kinsoku/>
        <w:wordWrap/>
        <w:overflowPunct/>
        <w:topLinePunct w:val="0"/>
        <w:autoSpaceDE/>
        <w:autoSpaceDN/>
        <w:bidi w:val="0"/>
        <w:adjustRightInd/>
        <w:snapToGrid/>
        <w:spacing w:line="460" w:lineRule="exact"/>
        <w:ind w:firstLine="482"/>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⑵施工单位应指派专人负责施工区建筑垃圾的收集及运转工作，不得随意丢弃。</w:t>
      </w:r>
    </w:p>
    <w:p w14:paraId="79B3ADF0">
      <w:pPr>
        <w:keepNext w:val="0"/>
        <w:keepLines w:val="0"/>
        <w:pageBreakBefore w:val="0"/>
        <w:widowControl w:val="0"/>
        <w:kinsoku/>
        <w:wordWrap/>
        <w:overflowPunct/>
        <w:topLinePunct w:val="0"/>
        <w:autoSpaceDE/>
        <w:autoSpaceDN/>
        <w:bidi w:val="0"/>
        <w:adjustRightInd/>
        <w:snapToGrid/>
        <w:spacing w:line="460" w:lineRule="exact"/>
        <w:ind w:firstLine="482"/>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⑶施工现场废弃的建筑垃圾宜分类回收，施工中产生的碎砖、石、砼块、黄沙、弃土等建筑垃圾，应及时收集作为地基的填筑料，不能全部利用的运至环卫部门指定地点。</w:t>
      </w:r>
    </w:p>
    <w:p w14:paraId="2234C129">
      <w:pPr>
        <w:keepNext w:val="0"/>
        <w:keepLines w:val="0"/>
        <w:pageBreakBefore w:val="0"/>
        <w:widowControl w:val="0"/>
        <w:kinsoku/>
        <w:wordWrap/>
        <w:overflowPunct/>
        <w:topLinePunct w:val="0"/>
        <w:autoSpaceDE/>
        <w:autoSpaceDN/>
        <w:bidi w:val="0"/>
        <w:adjustRightInd/>
        <w:snapToGrid/>
        <w:spacing w:line="480" w:lineRule="exact"/>
        <w:ind w:firstLine="482"/>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⑷各类建材的包装箱、袋等应派专人负责收集分类存放，统一运往废品收购站回收利用。</w:t>
      </w:r>
    </w:p>
    <w:p w14:paraId="734D2462">
      <w:pPr>
        <w:pStyle w:val="6"/>
        <w:pageBreakBefore w:val="0"/>
        <w:widowControl w:val="0"/>
        <w:kinsoku/>
        <w:wordWrap/>
        <w:overflowPunct/>
        <w:topLinePunct w:val="0"/>
        <w:autoSpaceDE/>
        <w:autoSpaceDN/>
        <w:bidi w:val="0"/>
        <w:adjustRightInd/>
        <w:snapToGrid/>
        <w:spacing w:before="0" w:beforeLines="0" w:after="0" w:afterLines="0" w:line="480" w:lineRule="exact"/>
        <w:textAlignment w:val="auto"/>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5</w:t>
      </w:r>
      <w:r>
        <w:rPr>
          <w:rFonts w:hint="default" w:ascii="Times New Roman" w:hAnsi="Times New Roman" w:eastAsia="宋体" w:cs="Times New Roman"/>
          <w:color w:val="auto"/>
          <w:highlight w:val="none"/>
          <w:lang w:val="en-US" w:eastAsia="zh-CN"/>
        </w:rPr>
        <w:t>.1</w:t>
      </w:r>
      <w:r>
        <w:rPr>
          <w:rFonts w:hint="default" w:ascii="Times New Roman" w:hAnsi="Times New Roman" w:eastAsia="宋体" w:cs="Times New Roman"/>
          <w:color w:val="auto"/>
          <w:highlight w:val="none"/>
        </w:rPr>
        <w:t>.5施工期生态影响分析</w:t>
      </w:r>
    </w:p>
    <w:p w14:paraId="77417E8F">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5.</w:t>
      </w:r>
      <w:r>
        <w:rPr>
          <w:rFonts w:hint="default" w:ascii="Times New Roman" w:hAnsi="Times New Roman" w:eastAsia="宋体" w:cs="Times New Roman"/>
          <w:color w:val="auto"/>
          <w:highlight w:val="none"/>
          <w:lang w:val="en-US" w:eastAsia="zh-CN"/>
        </w:rPr>
        <w:t>1.</w:t>
      </w:r>
      <w:r>
        <w:rPr>
          <w:rFonts w:hint="default" w:ascii="Times New Roman" w:hAnsi="Times New Roman" w:eastAsia="宋体" w:cs="Times New Roman"/>
          <w:color w:val="auto"/>
          <w:highlight w:val="none"/>
        </w:rPr>
        <w:t>5.1区域生态环境调查</w:t>
      </w:r>
    </w:p>
    <w:p w14:paraId="356BB5F7">
      <w:pPr>
        <w:bidi w:val="0"/>
        <w:rPr>
          <w:rFonts w:hint="default"/>
          <w:highlight w:val="none"/>
        </w:rPr>
      </w:pPr>
      <w:r>
        <w:rPr>
          <w:rFonts w:hint="default"/>
          <w:highlight w:val="none"/>
        </w:rPr>
        <w:t>⑴调查方法及内容</w:t>
      </w:r>
    </w:p>
    <w:p w14:paraId="2B8C3C3E">
      <w:pPr>
        <w:bidi w:val="0"/>
        <w:rPr>
          <w:rFonts w:hint="default"/>
          <w:highlight w:val="none"/>
        </w:rPr>
      </w:pPr>
      <w:r>
        <w:rPr>
          <w:rFonts w:hint="default"/>
          <w:highlight w:val="none"/>
        </w:rPr>
        <w:t>①土壤类型情况：根据现场勘查，项目所在地土质良好，不存在岩溶、滑坡、塌陷、泥石流、采空区，地裂缝等不良地质作用，场地稳定。</w:t>
      </w:r>
    </w:p>
    <w:p w14:paraId="22C3EE21">
      <w:pPr>
        <w:bidi w:val="0"/>
        <w:rPr>
          <w:rFonts w:hint="default"/>
          <w:highlight w:val="none"/>
        </w:rPr>
      </w:pPr>
      <w:r>
        <w:rPr>
          <w:rFonts w:hint="default"/>
          <w:highlight w:val="none"/>
        </w:rPr>
        <w:t>②区域植被现状：项目所在地为平原地区，为规划的工业区，区域主要受人为活动干扰，自然植被很少，多为人工植被。项目所在区域没有国家级及省级保护物种、珍稀濒危物种等。</w:t>
      </w:r>
    </w:p>
    <w:p w14:paraId="610FA94C">
      <w:pPr>
        <w:bidi w:val="0"/>
        <w:rPr>
          <w:rFonts w:hint="default"/>
          <w:highlight w:val="none"/>
        </w:rPr>
      </w:pPr>
      <w:r>
        <w:rPr>
          <w:rFonts w:hint="default"/>
          <w:highlight w:val="none"/>
        </w:rPr>
        <w:t>③区域动物分布：项目所在区域主要为</w:t>
      </w:r>
      <w:r>
        <w:rPr>
          <w:rFonts w:hint="default"/>
          <w:highlight w:val="none"/>
          <w:lang w:eastAsia="zh-CN"/>
        </w:rPr>
        <w:t>规划的工业区</w:t>
      </w:r>
      <w:r>
        <w:rPr>
          <w:rFonts w:hint="default"/>
          <w:highlight w:val="none"/>
        </w:rPr>
        <w:t>，所在区域受人类活动影响</w:t>
      </w:r>
      <w:r>
        <w:rPr>
          <w:rFonts w:hint="default"/>
          <w:highlight w:val="none"/>
          <w:lang w:eastAsia="zh-CN"/>
        </w:rPr>
        <w:t>，自然动物较少</w:t>
      </w:r>
      <w:r>
        <w:rPr>
          <w:rFonts w:hint="default"/>
          <w:highlight w:val="none"/>
        </w:rPr>
        <w:t>。经过现场踏勘、调查，项目所在区域没有受国家和地方保护的珍稀野生动物。野生动物较少，常见鼠、麻雀等。</w:t>
      </w:r>
    </w:p>
    <w:p w14:paraId="0B0DE84E">
      <w:pPr>
        <w:bidi w:val="0"/>
        <w:rPr>
          <w:rFonts w:hint="default"/>
          <w:highlight w:val="none"/>
        </w:rPr>
      </w:pPr>
      <w:r>
        <w:rPr>
          <w:rFonts w:hint="default"/>
          <w:highlight w:val="none"/>
        </w:rPr>
        <w:t>④区域土地类型利用情况：</w:t>
      </w:r>
      <w:r>
        <w:rPr>
          <w:rFonts w:hint="default"/>
          <w:highlight w:val="none"/>
          <w:lang w:eastAsia="zh-CN"/>
        </w:rPr>
        <w:t>项目占地为空地</w:t>
      </w:r>
      <w:r>
        <w:rPr>
          <w:rFonts w:hint="default"/>
          <w:highlight w:val="none"/>
        </w:rPr>
        <w:t>，为规划的</w:t>
      </w:r>
      <w:r>
        <w:rPr>
          <w:rFonts w:hint="eastAsia"/>
          <w:highlight w:val="none"/>
          <w:lang w:val="en-US" w:eastAsia="zh-CN"/>
        </w:rPr>
        <w:t>公用设施</w:t>
      </w:r>
      <w:r>
        <w:rPr>
          <w:rFonts w:hint="default"/>
          <w:highlight w:val="none"/>
        </w:rPr>
        <w:t>用地。</w:t>
      </w:r>
    </w:p>
    <w:p w14:paraId="37B68218">
      <w:pPr>
        <w:bidi w:val="0"/>
        <w:rPr>
          <w:rFonts w:hint="default"/>
          <w:highlight w:val="none"/>
        </w:rPr>
      </w:pPr>
      <w:r>
        <w:rPr>
          <w:rFonts w:hint="default"/>
          <w:highlight w:val="none"/>
        </w:rPr>
        <w:t>⑤主要生态问题调查：项目影响区域内不存在沙漠化、自然灾害等主要生态问题。项目建设过程及运营期对生态环境的影响主要表现：施工期水土流失、建成后景观影响。</w:t>
      </w:r>
    </w:p>
    <w:p w14:paraId="57F3BAAF">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5.</w:t>
      </w:r>
      <w:r>
        <w:rPr>
          <w:rFonts w:hint="default" w:ascii="Times New Roman" w:hAnsi="Times New Roman" w:eastAsia="宋体" w:cs="Times New Roman"/>
          <w:color w:val="auto"/>
          <w:highlight w:val="none"/>
          <w:lang w:val="en-US" w:eastAsia="zh-CN"/>
        </w:rPr>
        <w:t>1.</w:t>
      </w:r>
      <w:r>
        <w:rPr>
          <w:rFonts w:hint="default" w:ascii="Times New Roman" w:hAnsi="Times New Roman" w:eastAsia="宋体" w:cs="Times New Roman"/>
          <w:color w:val="auto"/>
          <w:highlight w:val="none"/>
        </w:rPr>
        <w:t>5.2生态环境影响分析</w:t>
      </w:r>
    </w:p>
    <w:p w14:paraId="47222E4A">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auto"/>
          <w:kern w:val="0"/>
          <w:sz w:val="24"/>
          <w:szCs w:val="25"/>
          <w:highlight w:val="none"/>
        </w:rPr>
      </w:pPr>
      <w:r>
        <w:rPr>
          <w:rFonts w:hint="default" w:ascii="Times New Roman" w:hAnsi="Times New Roman" w:eastAsia="宋体" w:cs="Times New Roman"/>
          <w:color w:val="auto"/>
          <w:kern w:val="0"/>
          <w:sz w:val="24"/>
          <w:szCs w:val="25"/>
          <w:highlight w:val="none"/>
        </w:rPr>
        <w:t>拟建项目施工过程中，厂区表土剥离、工业场地地面平整、连接道路配套设施建设对生态环境的影响主要表现为局部区域地表植被的铲除，造成水土流失、土壤侵蚀度增加，使局部生物量减少，局部生态环境遭到一定的破坏。</w:t>
      </w:r>
    </w:p>
    <w:p w14:paraId="53AFF9FD">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auto"/>
          <w:kern w:val="0"/>
          <w:sz w:val="24"/>
          <w:szCs w:val="25"/>
          <w:highlight w:val="none"/>
        </w:rPr>
      </w:pPr>
      <w:r>
        <w:rPr>
          <w:rFonts w:hint="default" w:ascii="Times New Roman" w:hAnsi="Times New Roman" w:eastAsia="宋体" w:cs="Times New Roman"/>
          <w:color w:val="auto"/>
          <w:kern w:val="0"/>
          <w:sz w:val="24"/>
          <w:szCs w:val="25"/>
          <w:highlight w:val="none"/>
        </w:rPr>
        <w:t>⑴对土壤的影响分析</w:t>
      </w:r>
    </w:p>
    <w:p w14:paraId="1CCAA80B">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auto"/>
          <w:kern w:val="0"/>
          <w:sz w:val="24"/>
          <w:szCs w:val="25"/>
          <w:highlight w:val="none"/>
        </w:rPr>
      </w:pPr>
      <w:r>
        <w:rPr>
          <w:rFonts w:hint="default" w:ascii="Times New Roman" w:hAnsi="Times New Roman" w:eastAsia="宋体" w:cs="Times New Roman"/>
          <w:color w:val="auto"/>
          <w:kern w:val="0"/>
          <w:sz w:val="24"/>
          <w:szCs w:val="25"/>
          <w:highlight w:val="none"/>
        </w:rPr>
        <w:t>项目施工对土壤的影响主要为永久占地将使土地失去原有的生物生产功能和生态功能，甚至改变原有土地的利用类型。</w:t>
      </w:r>
    </w:p>
    <w:p w14:paraId="24485266">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auto"/>
          <w:kern w:val="0"/>
          <w:sz w:val="24"/>
          <w:szCs w:val="25"/>
          <w:highlight w:val="none"/>
        </w:rPr>
      </w:pPr>
      <w:r>
        <w:rPr>
          <w:rFonts w:hint="default" w:ascii="Times New Roman" w:hAnsi="Times New Roman" w:eastAsia="宋体" w:cs="Times New Roman"/>
          <w:color w:val="auto"/>
          <w:kern w:val="0"/>
          <w:sz w:val="24"/>
          <w:szCs w:val="25"/>
          <w:highlight w:val="none"/>
        </w:rPr>
        <w:t>拟建工程占地为工业用地，地表植被只有少量翅碱蓬、海蔓刺、马绊草、芦苇等。施工过程中对表层土进行收集，施工结束后，对表层土利用，以保证土壤的肥力，并进行灌、草结合绿化，不会对占地土壤质量产生明显影响。</w:t>
      </w:r>
    </w:p>
    <w:p w14:paraId="29CA3FF3">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auto"/>
          <w:kern w:val="0"/>
          <w:sz w:val="24"/>
          <w:szCs w:val="25"/>
          <w:highlight w:val="none"/>
        </w:rPr>
      </w:pPr>
      <w:r>
        <w:rPr>
          <w:rFonts w:hint="default" w:ascii="Times New Roman" w:hAnsi="Times New Roman" w:eastAsia="宋体" w:cs="Times New Roman"/>
          <w:color w:val="auto"/>
          <w:kern w:val="0"/>
          <w:sz w:val="24"/>
          <w:szCs w:val="25"/>
          <w:highlight w:val="none"/>
        </w:rPr>
        <w:t>⑵对地表植被的影响</w:t>
      </w:r>
    </w:p>
    <w:p w14:paraId="262D669C">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auto"/>
          <w:kern w:val="0"/>
          <w:sz w:val="24"/>
          <w:szCs w:val="25"/>
          <w:highlight w:val="none"/>
        </w:rPr>
      </w:pPr>
      <w:r>
        <w:rPr>
          <w:rFonts w:hint="default" w:ascii="Times New Roman" w:hAnsi="Times New Roman" w:eastAsia="宋体" w:cs="Times New Roman"/>
          <w:color w:val="auto"/>
          <w:kern w:val="0"/>
          <w:sz w:val="24"/>
          <w:szCs w:val="25"/>
          <w:highlight w:val="none"/>
        </w:rPr>
        <w:t>经调查了解，项目占地区域内无珍稀濒危植物分布，项目施工期对地表植被的破坏主要表现在永久占地等将原有地表植被铲除，拟建工程对地表植被的破坏为短期行为，随着施工结束后厂区绿化措施的实施，影响将逐渐消失。</w:t>
      </w:r>
    </w:p>
    <w:p w14:paraId="0B2BE00A">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auto"/>
          <w:kern w:val="0"/>
          <w:sz w:val="24"/>
          <w:szCs w:val="25"/>
          <w:highlight w:val="none"/>
        </w:rPr>
      </w:pPr>
      <w:r>
        <w:rPr>
          <w:rFonts w:hint="default" w:ascii="Times New Roman" w:hAnsi="Times New Roman" w:eastAsia="宋体" w:cs="Times New Roman"/>
          <w:color w:val="auto"/>
          <w:kern w:val="0"/>
          <w:sz w:val="24"/>
          <w:szCs w:val="25"/>
          <w:highlight w:val="none"/>
        </w:rPr>
        <w:t>因此，项目的实施不会对区域内地表植被产生明显的破坏影响。</w:t>
      </w:r>
    </w:p>
    <w:p w14:paraId="7739AFD4">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auto"/>
          <w:kern w:val="0"/>
          <w:sz w:val="24"/>
          <w:szCs w:val="25"/>
          <w:highlight w:val="none"/>
        </w:rPr>
      </w:pPr>
      <w:r>
        <w:rPr>
          <w:rFonts w:hint="default" w:ascii="Times New Roman" w:hAnsi="Times New Roman" w:eastAsia="宋体" w:cs="Times New Roman"/>
          <w:color w:val="auto"/>
          <w:kern w:val="0"/>
          <w:sz w:val="24"/>
          <w:szCs w:val="25"/>
          <w:highlight w:val="none"/>
        </w:rPr>
        <w:t>⑶对动物的影响</w:t>
      </w:r>
    </w:p>
    <w:p w14:paraId="78B7A447">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拟建项目施工期，进入施工场地人员相对较多，同时基础施工和设备安装等施工活动均会对区域内动物产生一定的惊扰，但项目施工期较短。同时，区域内人类活动已久，目前已无大型兽类出没，动物种类属小型，以适应性广、繁殖能力强的啮齿类动物为主。故项目的实施不会对动物的栖息繁殖等产生影响，亦不会导致区域动物物种的减少以及加重生态分割问题。因此，项目的建设不会对区域内动物的栖息、活动产生明显影响。</w:t>
      </w:r>
    </w:p>
    <w:p w14:paraId="136FCD8F">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⑷对生态系统的影响</w:t>
      </w:r>
    </w:p>
    <w:p w14:paraId="644E62DD">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拟建项目所在区域内生态系统类型主要属陆地生态系统类型，只决定了区域生态环境的主要结构和功能。</w:t>
      </w:r>
    </w:p>
    <w:p w14:paraId="337DDCDC">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项目实施后，占地范围内现有生态系统将逐渐被工业生态系统所取代。定性分析，施工期结束后区内生态系统类型的主体未发生根本性改变，但其组成发生了变化，由于变化不大，陆地生态结构与功能不会受到明显影响。</w:t>
      </w:r>
    </w:p>
    <w:p w14:paraId="14E710D0">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⑸水土流</w:t>
      </w:r>
      <w:r>
        <w:rPr>
          <w:rFonts w:hint="default" w:ascii="Times New Roman" w:hAnsi="Times New Roman" w:eastAsia="宋体" w:cs="Times New Roman"/>
          <w:color w:val="auto"/>
          <w:kern w:val="0"/>
          <w:sz w:val="24"/>
          <w:szCs w:val="24"/>
          <w:highlight w:val="none"/>
          <w:lang w:eastAsia="zh-CN"/>
        </w:rPr>
        <w:t>失</w:t>
      </w:r>
      <w:r>
        <w:rPr>
          <w:rFonts w:hint="default" w:ascii="Times New Roman" w:hAnsi="Times New Roman" w:eastAsia="宋体" w:cs="Times New Roman"/>
          <w:color w:val="auto"/>
          <w:kern w:val="0"/>
          <w:sz w:val="24"/>
          <w:szCs w:val="24"/>
          <w:highlight w:val="none"/>
        </w:rPr>
        <w:t>影响</w:t>
      </w:r>
    </w:p>
    <w:p w14:paraId="24A36629">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拟建项目施工过程会造成厂区范围内植被的破坏，挖土、填土等施工行为会使土壤结构发生变化，引起土层松动，加上开挖土石方的堆存，在雨天遭到雨水的冲刷可能造成水土流失，对区域环境造成一定的负面影响。因此，项目应采取有效的措施，防止水土流失：</w:t>
      </w:r>
    </w:p>
    <w:p w14:paraId="2D4546E6">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①在项目设计中应尽量做到</w:t>
      </w:r>
      <w:r>
        <w:rPr>
          <w:rFonts w:hint="default" w:ascii="Times New Roman" w:hAnsi="Times New Roman" w:eastAsia="宋体" w:cs="Times New Roman"/>
          <w:color w:val="auto"/>
          <w:kern w:val="0"/>
          <w:sz w:val="24"/>
          <w:szCs w:val="24"/>
          <w:highlight w:val="none"/>
          <w:lang w:eastAsia="zh-CN"/>
        </w:rPr>
        <w:t>“</w:t>
      </w:r>
      <w:r>
        <w:rPr>
          <w:rFonts w:hint="default" w:ascii="Times New Roman" w:hAnsi="Times New Roman" w:eastAsia="宋体" w:cs="Times New Roman"/>
          <w:color w:val="auto"/>
          <w:kern w:val="0"/>
          <w:sz w:val="24"/>
          <w:szCs w:val="24"/>
          <w:highlight w:val="none"/>
        </w:rPr>
        <w:t>挖填平衡</w:t>
      </w:r>
      <w:r>
        <w:rPr>
          <w:rFonts w:hint="default" w:ascii="Times New Roman" w:hAnsi="Times New Roman" w:eastAsia="宋体" w:cs="Times New Roman"/>
          <w:color w:val="auto"/>
          <w:kern w:val="0"/>
          <w:sz w:val="24"/>
          <w:szCs w:val="24"/>
          <w:highlight w:val="none"/>
          <w:lang w:eastAsia="zh-CN"/>
        </w:rPr>
        <w:t>”</w:t>
      </w:r>
      <w:r>
        <w:rPr>
          <w:rFonts w:hint="default" w:ascii="Times New Roman" w:hAnsi="Times New Roman" w:eastAsia="宋体" w:cs="Times New Roman"/>
          <w:color w:val="auto"/>
          <w:kern w:val="0"/>
          <w:sz w:val="24"/>
          <w:szCs w:val="24"/>
          <w:highlight w:val="none"/>
        </w:rPr>
        <w:t>，利用挖方作填方，避免产生弃土、弃方；将施工活动严格控制在项目占地范围内，避免对周围环境产生影响。</w:t>
      </w:r>
    </w:p>
    <w:p w14:paraId="1504B456">
      <w:pPr>
        <w:keepNext w:val="0"/>
        <w:keepLines w:val="0"/>
        <w:pageBreakBefore w:val="0"/>
        <w:widowControl w:val="0"/>
        <w:kinsoku/>
        <w:wordWrap/>
        <w:overflowPunct/>
        <w:topLinePunct w:val="0"/>
        <w:autoSpaceDE/>
        <w:autoSpaceDN/>
        <w:bidi w:val="0"/>
        <w:adjustRightInd/>
        <w:snapToGrid/>
        <w:spacing w:line="460" w:lineRule="exact"/>
        <w:ind w:firstLine="480"/>
        <w:textAlignment w:val="auto"/>
        <w:rPr>
          <w:rFonts w:hint="default"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②合理安排施工计划，避免在雨季施工。</w:t>
      </w:r>
    </w:p>
    <w:p w14:paraId="0F675D8C">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kern w:val="0"/>
          <w:sz w:val="24"/>
          <w:szCs w:val="20"/>
          <w:highlight w:val="none"/>
        </w:rPr>
      </w:pPr>
      <w:r>
        <w:rPr>
          <w:rFonts w:hint="default" w:ascii="Times New Roman" w:hAnsi="Times New Roman" w:eastAsia="宋体" w:cs="Times New Roman"/>
          <w:color w:val="auto"/>
          <w:kern w:val="0"/>
          <w:sz w:val="24"/>
          <w:szCs w:val="20"/>
          <w:highlight w:val="none"/>
        </w:rPr>
        <w:t>③合理划分场地施工分区，避免同时大面积的工程土石方开挖，造成场地大面积表层土松动，及时碾压夯实施工完毕的场区。土方、施工材料堆存采取防护遮挡措施，避免水土流失。</w:t>
      </w:r>
    </w:p>
    <w:p w14:paraId="4F930E30">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kern w:val="0"/>
          <w:sz w:val="24"/>
          <w:szCs w:val="20"/>
          <w:highlight w:val="none"/>
        </w:rPr>
      </w:pPr>
      <w:r>
        <w:rPr>
          <w:rFonts w:hint="default" w:ascii="Times New Roman" w:hAnsi="Times New Roman" w:eastAsia="宋体" w:cs="Times New Roman"/>
          <w:color w:val="auto"/>
          <w:kern w:val="0"/>
          <w:sz w:val="24"/>
          <w:szCs w:val="20"/>
          <w:highlight w:val="none"/>
        </w:rPr>
        <w:t>④施工结束后，及时清理现场。</w:t>
      </w:r>
    </w:p>
    <w:p w14:paraId="48CFD05B">
      <w:pPr>
        <w:keepNext w:val="0"/>
        <w:keepLines w:val="0"/>
        <w:pageBreakBefore w:val="0"/>
        <w:widowControl w:val="0"/>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kern w:val="0"/>
          <w:sz w:val="24"/>
          <w:szCs w:val="20"/>
          <w:highlight w:val="none"/>
        </w:rPr>
      </w:pPr>
      <w:r>
        <w:rPr>
          <w:rFonts w:hint="default" w:ascii="Times New Roman" w:hAnsi="Times New Roman" w:eastAsia="宋体" w:cs="Times New Roman"/>
          <w:color w:val="auto"/>
          <w:kern w:val="0"/>
          <w:sz w:val="24"/>
          <w:szCs w:val="20"/>
          <w:highlight w:val="none"/>
        </w:rPr>
        <w:t>⑤加强场区和厂界周围的绿化工作，种植适宜盐碱地环境的植物，尽快恢复植被，保持水土，缓解生态破坏。</w:t>
      </w:r>
    </w:p>
    <w:p w14:paraId="57F00105">
      <w:pPr>
        <w:pStyle w:val="7"/>
        <w:bidi w:val="0"/>
        <w:rPr>
          <w:rFonts w:hint="default"/>
          <w:highlight w:val="none"/>
        </w:rPr>
      </w:pPr>
      <w:bookmarkStart w:id="308" w:name="_Toc5744"/>
      <w:bookmarkStart w:id="309" w:name="_Toc7238"/>
      <w:r>
        <w:rPr>
          <w:rFonts w:hint="default"/>
          <w:highlight w:val="none"/>
          <w:lang w:val="en-US"/>
        </w:rPr>
        <w:t>5.2</w:t>
      </w:r>
      <w:r>
        <w:rPr>
          <w:rFonts w:hint="default"/>
          <w:highlight w:val="none"/>
        </w:rPr>
        <w:t>营运期环境影响评价</w:t>
      </w:r>
      <w:bookmarkEnd w:id="273"/>
      <w:bookmarkEnd w:id="308"/>
      <w:bookmarkEnd w:id="309"/>
    </w:p>
    <w:p w14:paraId="5C1B1750">
      <w:pPr>
        <w:pStyle w:val="6"/>
        <w:pageBreakBefore w:val="0"/>
        <w:widowControl w:val="0"/>
        <w:kinsoku/>
        <w:wordWrap/>
        <w:overflowPunct/>
        <w:topLinePunct w:val="0"/>
        <w:autoSpaceDE/>
        <w:autoSpaceDN/>
        <w:bidi w:val="0"/>
        <w:adjustRightInd/>
        <w:snapToGrid/>
        <w:spacing w:before="0" w:beforeLines="0" w:after="0" w:afterLines="0" w:line="480" w:lineRule="exact"/>
        <w:textAlignment w:val="auto"/>
        <w:rPr>
          <w:rFonts w:hint="default" w:ascii="Times New Roman" w:hAnsi="Times New Roman" w:eastAsia="宋体" w:cs="Times New Roman"/>
          <w:color w:val="000000" w:themeColor="text1"/>
          <w:highlight w:val="none"/>
          <w14:textFill>
            <w14:solidFill>
              <w14:schemeClr w14:val="tx1"/>
            </w14:solidFill>
          </w14:textFill>
        </w:rPr>
      </w:pPr>
      <w:bookmarkStart w:id="310" w:name="_Toc246763545"/>
      <w:r>
        <w:rPr>
          <w:rFonts w:hint="default" w:ascii="Times New Roman" w:hAnsi="Times New Roman" w:eastAsia="宋体" w:cs="Times New Roman"/>
          <w:color w:val="000000" w:themeColor="text1"/>
          <w:highlight w:val="none"/>
          <w:lang w:val="en-US" w:eastAsia="zh-CN"/>
          <w14:textFill>
            <w14:solidFill>
              <w14:schemeClr w14:val="tx1"/>
            </w14:solidFill>
          </w14:textFill>
        </w:rPr>
        <w:t>5.2</w:t>
      </w:r>
      <w:r>
        <w:rPr>
          <w:rFonts w:hint="default" w:ascii="Times New Roman" w:hAnsi="Times New Roman" w:eastAsia="宋体" w:cs="Times New Roman"/>
          <w:color w:val="000000" w:themeColor="text1"/>
          <w:highlight w:val="none"/>
          <w14:textFill>
            <w14:solidFill>
              <w14:schemeClr w14:val="tx1"/>
            </w14:solidFill>
          </w14:textFill>
        </w:rPr>
        <w:t>.1环境空气影响</w:t>
      </w:r>
      <w:bookmarkEnd w:id="310"/>
      <w:r>
        <w:rPr>
          <w:rFonts w:hint="default" w:ascii="Times New Roman" w:hAnsi="Times New Roman" w:eastAsia="宋体" w:cs="Times New Roman"/>
          <w:color w:val="000000" w:themeColor="text1"/>
          <w:highlight w:val="none"/>
          <w14:textFill>
            <w14:solidFill>
              <w14:schemeClr w14:val="tx1"/>
            </w14:solidFill>
          </w14:textFill>
        </w:rPr>
        <w:t>评价</w:t>
      </w:r>
    </w:p>
    <w:p w14:paraId="6F1B8DDB">
      <w:pPr>
        <w:pStyle w:val="8"/>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5.2.1.1常年气象资料统计分析</w:t>
      </w:r>
    </w:p>
    <w:p w14:paraId="7196ACA9">
      <w:pPr>
        <w:pageBreakBefore w:val="0"/>
        <w:widowControl w:val="0"/>
        <w:kinsoku/>
        <w:wordWrap/>
        <w:overflowPunct/>
        <w:topLinePunct w:val="0"/>
        <w:bidi w:val="0"/>
        <w:adjustRightInd w:val="0"/>
        <w:snapToGrid w:val="0"/>
        <w:spacing w:line="480" w:lineRule="exact"/>
        <w:ind w:firstLine="482"/>
        <w:textAlignment w:val="auto"/>
        <w:rPr>
          <w:rFonts w:hint="default" w:ascii="Times New Roman" w:hAnsi="Times New Roman" w:eastAsia="宋体" w:cs="Times New Roman"/>
          <w:color w:val="000000" w:themeColor="text1"/>
          <w:sz w:val="24"/>
          <w:szCs w:val="28"/>
          <w:highlight w:val="none"/>
          <w14:textFill>
            <w14:solidFill>
              <w14:schemeClr w14:val="tx1"/>
            </w14:solidFill>
          </w14:textFill>
        </w:rPr>
      </w:pPr>
      <w:bookmarkStart w:id="311" w:name="_Toc32134"/>
      <w:r>
        <w:rPr>
          <w:rFonts w:hint="default" w:ascii="Times New Roman" w:hAnsi="Times New Roman" w:eastAsia="宋体" w:cs="Times New Roman"/>
          <w:color w:val="000000" w:themeColor="text1"/>
          <w:sz w:val="24"/>
          <w:szCs w:val="28"/>
          <w:highlight w:val="none"/>
          <w:lang w:eastAsia="zh-CN"/>
          <w14:textFill>
            <w14:solidFill>
              <w14:schemeClr w14:val="tx1"/>
            </w14:solidFill>
          </w14:textFill>
        </w:rPr>
        <w:t>本园区距离</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曹妃甸区</w:t>
      </w:r>
      <w:r>
        <w:rPr>
          <w:rFonts w:hint="default" w:ascii="Times New Roman" w:hAnsi="Times New Roman" w:eastAsia="宋体" w:cs="Times New Roman"/>
          <w:color w:val="000000" w:themeColor="text1"/>
          <w:sz w:val="24"/>
          <w:szCs w:val="28"/>
          <w:highlight w:val="none"/>
          <w:lang w:eastAsia="zh-CN"/>
          <w14:textFill>
            <w14:solidFill>
              <w14:schemeClr w14:val="tx1"/>
            </w14:solidFill>
          </w14:textFill>
        </w:rPr>
        <w:t>气象观测站（</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编号54535</w:t>
      </w:r>
      <w:r>
        <w:rPr>
          <w:rFonts w:hint="default" w:ascii="Times New Roman" w:hAnsi="Times New Roman" w:eastAsia="宋体" w:cs="Times New Roman"/>
          <w:color w:val="000000" w:themeColor="text1"/>
          <w:sz w:val="24"/>
          <w:szCs w:val="28"/>
          <w:highlight w:val="none"/>
          <w:lang w:eastAsia="zh-CN"/>
          <w14:textFill>
            <w14:solidFill>
              <w14:schemeClr w14:val="tx1"/>
            </w14:solidFill>
          </w14:textFill>
        </w:rPr>
        <w:t>）约为</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30.12km，小于50km，地面气象资料可直接采用曹妃甸区气象观测站常规地面气象观测资料，符合《环境影响评价技术导则大气环境》（HJ2.2-2018）中的有关规定。气象观测站站点信息一览表详见表5.2-1。</w:t>
      </w:r>
    </w:p>
    <w:p w14:paraId="20160D01">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lang w:val="en-US" w:eastAsia="zh-CN"/>
        </w:rPr>
        <w:t>　气象观测站站点信息一览表</w:t>
      </w:r>
    </w:p>
    <w:tbl>
      <w:tblPr>
        <w:tblStyle w:val="47"/>
        <w:tblW w:w="499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1170"/>
        <w:gridCol w:w="872"/>
        <w:gridCol w:w="928"/>
        <w:gridCol w:w="1043"/>
        <w:gridCol w:w="939"/>
        <w:gridCol w:w="850"/>
        <w:gridCol w:w="733"/>
        <w:gridCol w:w="699"/>
        <w:gridCol w:w="1861"/>
      </w:tblGrid>
      <w:tr w14:paraId="686C483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643" w:type="pct"/>
            <w:vMerge w:val="restart"/>
            <w:tcBorders>
              <w:tl2br w:val="nil"/>
              <w:tr2bl w:val="nil"/>
            </w:tcBorders>
            <w:noWrap w:val="0"/>
            <w:vAlign w:val="center"/>
          </w:tcPr>
          <w:p w14:paraId="32591D41">
            <w:pPr>
              <w:pStyle w:val="58"/>
              <w:bidi w:val="0"/>
              <w:rPr>
                <w:rFonts w:hint="default"/>
                <w:highlight w:val="none"/>
              </w:rPr>
            </w:pPr>
            <w:r>
              <w:rPr>
                <w:rFonts w:hint="default"/>
                <w:highlight w:val="none"/>
              </w:rPr>
              <w:t>气象站名称</w:t>
            </w:r>
          </w:p>
        </w:tc>
        <w:tc>
          <w:tcPr>
            <w:tcW w:w="479" w:type="pct"/>
            <w:vMerge w:val="restart"/>
            <w:tcBorders>
              <w:tl2br w:val="nil"/>
              <w:tr2bl w:val="nil"/>
            </w:tcBorders>
            <w:noWrap w:val="0"/>
            <w:vAlign w:val="center"/>
          </w:tcPr>
          <w:p w14:paraId="5CA89CA2">
            <w:pPr>
              <w:pStyle w:val="58"/>
              <w:bidi w:val="0"/>
              <w:rPr>
                <w:rFonts w:hint="default"/>
                <w:highlight w:val="none"/>
              </w:rPr>
            </w:pPr>
            <w:r>
              <w:rPr>
                <w:rFonts w:hint="default"/>
                <w:highlight w:val="none"/>
              </w:rPr>
              <w:t>气象站编号</w:t>
            </w:r>
          </w:p>
        </w:tc>
        <w:tc>
          <w:tcPr>
            <w:tcW w:w="510" w:type="pct"/>
            <w:vMerge w:val="restart"/>
            <w:tcBorders>
              <w:tl2br w:val="nil"/>
              <w:tr2bl w:val="nil"/>
            </w:tcBorders>
            <w:noWrap w:val="0"/>
            <w:vAlign w:val="center"/>
          </w:tcPr>
          <w:p w14:paraId="2D605CC8">
            <w:pPr>
              <w:pStyle w:val="58"/>
              <w:bidi w:val="0"/>
              <w:rPr>
                <w:rFonts w:hint="default"/>
                <w:highlight w:val="none"/>
                <w:lang w:eastAsia="zh-CN"/>
              </w:rPr>
            </w:pPr>
            <w:r>
              <w:rPr>
                <w:rFonts w:hint="default"/>
                <w:highlight w:val="none"/>
              </w:rPr>
              <w:t>气象站</w:t>
            </w:r>
            <w:r>
              <w:rPr>
                <w:rFonts w:hint="default"/>
                <w:highlight w:val="none"/>
                <w:lang w:val="en-US" w:eastAsia="zh-CN"/>
              </w:rPr>
              <w:t>类型</w:t>
            </w:r>
          </w:p>
        </w:tc>
        <w:tc>
          <w:tcPr>
            <w:tcW w:w="1089" w:type="pct"/>
            <w:gridSpan w:val="2"/>
            <w:tcBorders>
              <w:tl2br w:val="nil"/>
              <w:tr2bl w:val="nil"/>
            </w:tcBorders>
            <w:noWrap w:val="0"/>
            <w:vAlign w:val="center"/>
          </w:tcPr>
          <w:p w14:paraId="57D32A6A">
            <w:pPr>
              <w:pStyle w:val="58"/>
              <w:bidi w:val="0"/>
              <w:rPr>
                <w:rFonts w:hint="default"/>
                <w:highlight w:val="none"/>
                <w:lang w:val="en-US" w:eastAsia="zh-CN"/>
              </w:rPr>
            </w:pPr>
            <w:r>
              <w:rPr>
                <w:rFonts w:hint="default"/>
                <w:highlight w:val="none"/>
              </w:rPr>
              <w:t>气象站坐标</w:t>
            </w:r>
            <w:r>
              <w:rPr>
                <w:rFonts w:hint="default"/>
                <w:highlight w:val="none"/>
                <w:lang w:val="en-US" w:eastAsia="zh-CN"/>
              </w:rPr>
              <w:t>/m</w:t>
            </w:r>
          </w:p>
        </w:tc>
        <w:tc>
          <w:tcPr>
            <w:tcW w:w="467" w:type="pct"/>
            <w:vMerge w:val="restart"/>
            <w:tcBorders>
              <w:tl2br w:val="nil"/>
              <w:tr2bl w:val="nil"/>
            </w:tcBorders>
            <w:noWrap w:val="0"/>
            <w:vAlign w:val="center"/>
          </w:tcPr>
          <w:p w14:paraId="3880B365">
            <w:pPr>
              <w:pStyle w:val="58"/>
              <w:bidi w:val="0"/>
              <w:rPr>
                <w:rFonts w:hint="default"/>
                <w:highlight w:val="none"/>
                <w:lang w:eastAsia="zh-CN"/>
              </w:rPr>
            </w:pPr>
            <w:r>
              <w:rPr>
                <w:rFonts w:hint="default"/>
                <w:highlight w:val="none"/>
              </w:rPr>
              <w:t>相对距离/</w:t>
            </w:r>
            <w:r>
              <w:rPr>
                <w:rFonts w:hint="default"/>
                <w:highlight w:val="none"/>
                <w:lang w:val="en-US" w:eastAsia="zh-CN"/>
              </w:rPr>
              <w:t>km</w:t>
            </w:r>
          </w:p>
        </w:tc>
        <w:tc>
          <w:tcPr>
            <w:tcW w:w="403" w:type="pct"/>
            <w:vMerge w:val="restart"/>
            <w:tcBorders>
              <w:tl2br w:val="nil"/>
              <w:tr2bl w:val="nil"/>
            </w:tcBorders>
            <w:noWrap w:val="0"/>
            <w:vAlign w:val="center"/>
          </w:tcPr>
          <w:p w14:paraId="06E79B0B">
            <w:pPr>
              <w:pStyle w:val="58"/>
              <w:bidi w:val="0"/>
              <w:rPr>
                <w:rFonts w:hint="default"/>
                <w:highlight w:val="none"/>
              </w:rPr>
            </w:pPr>
            <w:r>
              <w:rPr>
                <w:rFonts w:hint="default"/>
                <w:highlight w:val="none"/>
              </w:rPr>
              <w:t>海拔高度/m</w:t>
            </w:r>
          </w:p>
        </w:tc>
        <w:tc>
          <w:tcPr>
            <w:tcW w:w="384" w:type="pct"/>
            <w:vMerge w:val="restart"/>
            <w:tcBorders>
              <w:tl2br w:val="nil"/>
              <w:tr2bl w:val="nil"/>
            </w:tcBorders>
            <w:noWrap w:val="0"/>
            <w:vAlign w:val="center"/>
          </w:tcPr>
          <w:p w14:paraId="3A9F985A">
            <w:pPr>
              <w:pStyle w:val="58"/>
              <w:bidi w:val="0"/>
              <w:rPr>
                <w:rFonts w:hint="default"/>
                <w:highlight w:val="none"/>
              </w:rPr>
            </w:pPr>
            <w:r>
              <w:rPr>
                <w:rFonts w:hint="default"/>
                <w:highlight w:val="none"/>
              </w:rPr>
              <w:t>数据年份</w:t>
            </w:r>
          </w:p>
        </w:tc>
        <w:tc>
          <w:tcPr>
            <w:tcW w:w="1022" w:type="pct"/>
            <w:vMerge w:val="restart"/>
            <w:tcBorders>
              <w:tl2br w:val="nil"/>
              <w:tr2bl w:val="nil"/>
            </w:tcBorders>
            <w:noWrap w:val="0"/>
            <w:vAlign w:val="center"/>
          </w:tcPr>
          <w:p w14:paraId="1BC14AA6">
            <w:pPr>
              <w:pStyle w:val="58"/>
              <w:bidi w:val="0"/>
              <w:rPr>
                <w:rFonts w:hint="default"/>
                <w:highlight w:val="none"/>
              </w:rPr>
            </w:pPr>
            <w:r>
              <w:rPr>
                <w:rFonts w:hint="default"/>
                <w:highlight w:val="none"/>
              </w:rPr>
              <w:t>气象要素</w:t>
            </w:r>
          </w:p>
        </w:tc>
      </w:tr>
      <w:tr w14:paraId="7F2CE9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643" w:type="pct"/>
            <w:vMerge w:val="continue"/>
            <w:tcBorders>
              <w:tl2br w:val="nil"/>
              <w:tr2bl w:val="nil"/>
            </w:tcBorders>
            <w:noWrap w:val="0"/>
            <w:vAlign w:val="center"/>
          </w:tcPr>
          <w:p w14:paraId="79D51BD8">
            <w:pPr>
              <w:pStyle w:val="58"/>
              <w:bidi w:val="0"/>
              <w:rPr>
                <w:rFonts w:hint="default"/>
                <w:highlight w:val="none"/>
              </w:rPr>
            </w:pPr>
          </w:p>
        </w:tc>
        <w:tc>
          <w:tcPr>
            <w:tcW w:w="479" w:type="pct"/>
            <w:vMerge w:val="continue"/>
            <w:tcBorders>
              <w:tl2br w:val="nil"/>
              <w:tr2bl w:val="nil"/>
            </w:tcBorders>
            <w:noWrap w:val="0"/>
            <w:vAlign w:val="center"/>
          </w:tcPr>
          <w:p w14:paraId="022D677D">
            <w:pPr>
              <w:pStyle w:val="58"/>
              <w:bidi w:val="0"/>
              <w:rPr>
                <w:rFonts w:hint="default"/>
                <w:highlight w:val="none"/>
              </w:rPr>
            </w:pPr>
          </w:p>
        </w:tc>
        <w:tc>
          <w:tcPr>
            <w:tcW w:w="510" w:type="pct"/>
            <w:vMerge w:val="continue"/>
            <w:tcBorders>
              <w:tl2br w:val="nil"/>
              <w:tr2bl w:val="nil"/>
            </w:tcBorders>
            <w:noWrap w:val="0"/>
            <w:vAlign w:val="center"/>
          </w:tcPr>
          <w:p w14:paraId="2CEC0F96">
            <w:pPr>
              <w:pStyle w:val="58"/>
              <w:bidi w:val="0"/>
              <w:rPr>
                <w:rFonts w:hint="default"/>
                <w:highlight w:val="none"/>
              </w:rPr>
            </w:pPr>
          </w:p>
        </w:tc>
        <w:tc>
          <w:tcPr>
            <w:tcW w:w="573" w:type="pct"/>
            <w:tcBorders>
              <w:tl2br w:val="nil"/>
              <w:tr2bl w:val="nil"/>
            </w:tcBorders>
            <w:noWrap w:val="0"/>
            <w:vAlign w:val="center"/>
          </w:tcPr>
          <w:p w14:paraId="27FD88E2">
            <w:pPr>
              <w:pStyle w:val="58"/>
              <w:bidi w:val="0"/>
              <w:rPr>
                <w:rFonts w:hint="default"/>
                <w:highlight w:val="none"/>
              </w:rPr>
            </w:pPr>
            <w:r>
              <w:rPr>
                <w:rFonts w:hint="default"/>
                <w:highlight w:val="none"/>
              </w:rPr>
              <w:t>经度</w:t>
            </w:r>
          </w:p>
        </w:tc>
        <w:tc>
          <w:tcPr>
            <w:tcW w:w="515" w:type="pct"/>
            <w:tcBorders>
              <w:tl2br w:val="nil"/>
              <w:tr2bl w:val="nil"/>
            </w:tcBorders>
            <w:noWrap w:val="0"/>
            <w:vAlign w:val="center"/>
          </w:tcPr>
          <w:p w14:paraId="2825167E">
            <w:pPr>
              <w:pStyle w:val="58"/>
              <w:bidi w:val="0"/>
              <w:rPr>
                <w:rFonts w:hint="default"/>
                <w:highlight w:val="none"/>
              </w:rPr>
            </w:pPr>
            <w:r>
              <w:rPr>
                <w:rFonts w:hint="default"/>
                <w:highlight w:val="none"/>
              </w:rPr>
              <w:t>纬度</w:t>
            </w:r>
          </w:p>
        </w:tc>
        <w:tc>
          <w:tcPr>
            <w:tcW w:w="467" w:type="pct"/>
            <w:vMerge w:val="continue"/>
            <w:tcBorders>
              <w:tl2br w:val="nil"/>
              <w:tr2bl w:val="nil"/>
            </w:tcBorders>
            <w:noWrap w:val="0"/>
            <w:vAlign w:val="center"/>
          </w:tcPr>
          <w:p w14:paraId="06016336">
            <w:pPr>
              <w:pStyle w:val="58"/>
              <w:bidi w:val="0"/>
              <w:rPr>
                <w:rFonts w:hint="default"/>
                <w:highlight w:val="none"/>
              </w:rPr>
            </w:pPr>
          </w:p>
        </w:tc>
        <w:tc>
          <w:tcPr>
            <w:tcW w:w="403" w:type="pct"/>
            <w:vMerge w:val="continue"/>
            <w:tcBorders>
              <w:tl2br w:val="nil"/>
              <w:tr2bl w:val="nil"/>
            </w:tcBorders>
            <w:noWrap w:val="0"/>
            <w:vAlign w:val="center"/>
          </w:tcPr>
          <w:p w14:paraId="24C61211">
            <w:pPr>
              <w:pStyle w:val="58"/>
              <w:bidi w:val="0"/>
              <w:rPr>
                <w:rFonts w:hint="default"/>
                <w:highlight w:val="none"/>
              </w:rPr>
            </w:pPr>
          </w:p>
        </w:tc>
        <w:tc>
          <w:tcPr>
            <w:tcW w:w="384" w:type="pct"/>
            <w:vMerge w:val="continue"/>
            <w:tcBorders>
              <w:tl2br w:val="nil"/>
              <w:tr2bl w:val="nil"/>
            </w:tcBorders>
            <w:noWrap w:val="0"/>
            <w:vAlign w:val="center"/>
          </w:tcPr>
          <w:p w14:paraId="6CA497A2">
            <w:pPr>
              <w:pStyle w:val="58"/>
              <w:bidi w:val="0"/>
              <w:rPr>
                <w:rFonts w:hint="default"/>
                <w:highlight w:val="none"/>
              </w:rPr>
            </w:pPr>
          </w:p>
        </w:tc>
        <w:tc>
          <w:tcPr>
            <w:tcW w:w="1022" w:type="pct"/>
            <w:vMerge w:val="continue"/>
            <w:tcBorders>
              <w:tl2br w:val="nil"/>
              <w:tr2bl w:val="nil"/>
            </w:tcBorders>
            <w:noWrap w:val="0"/>
            <w:vAlign w:val="center"/>
          </w:tcPr>
          <w:p w14:paraId="49512123">
            <w:pPr>
              <w:pStyle w:val="58"/>
              <w:bidi w:val="0"/>
              <w:rPr>
                <w:rFonts w:hint="default"/>
                <w:highlight w:val="none"/>
              </w:rPr>
            </w:pPr>
          </w:p>
        </w:tc>
      </w:tr>
      <w:tr w14:paraId="2749E2E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643" w:type="pct"/>
            <w:tcBorders>
              <w:tl2br w:val="nil"/>
              <w:tr2bl w:val="nil"/>
            </w:tcBorders>
            <w:noWrap w:val="0"/>
            <w:vAlign w:val="center"/>
          </w:tcPr>
          <w:p w14:paraId="08DFDCFA">
            <w:pPr>
              <w:pStyle w:val="58"/>
              <w:bidi w:val="0"/>
              <w:rPr>
                <w:rFonts w:hint="default"/>
                <w:highlight w:val="none"/>
                <w:lang w:val="en-US" w:eastAsia="zh-CN"/>
              </w:rPr>
            </w:pPr>
            <w:r>
              <w:rPr>
                <w:rFonts w:hint="default"/>
                <w:highlight w:val="none"/>
                <w:lang w:val="en-US" w:eastAsia="zh-CN"/>
              </w:rPr>
              <w:t>曹妃甸区气象观测站</w:t>
            </w:r>
          </w:p>
        </w:tc>
        <w:tc>
          <w:tcPr>
            <w:tcW w:w="479" w:type="pct"/>
            <w:tcBorders>
              <w:tl2br w:val="nil"/>
              <w:tr2bl w:val="nil"/>
            </w:tcBorders>
            <w:noWrap w:val="0"/>
            <w:vAlign w:val="center"/>
          </w:tcPr>
          <w:p w14:paraId="5EF0E20B">
            <w:pPr>
              <w:pStyle w:val="58"/>
              <w:bidi w:val="0"/>
              <w:rPr>
                <w:rFonts w:hint="default"/>
                <w:highlight w:val="none"/>
                <w:lang w:val="en-US" w:eastAsia="zh-CN"/>
              </w:rPr>
            </w:pPr>
            <w:r>
              <w:rPr>
                <w:rFonts w:hint="default"/>
                <w:highlight w:val="none"/>
                <w:lang w:val="en-US" w:eastAsia="zh-CN"/>
              </w:rPr>
              <w:t>54535</w:t>
            </w:r>
          </w:p>
        </w:tc>
        <w:tc>
          <w:tcPr>
            <w:tcW w:w="510" w:type="pct"/>
            <w:tcBorders>
              <w:tl2br w:val="nil"/>
              <w:tr2bl w:val="nil"/>
            </w:tcBorders>
            <w:noWrap w:val="0"/>
            <w:vAlign w:val="center"/>
          </w:tcPr>
          <w:p w14:paraId="23F9E21E">
            <w:pPr>
              <w:pStyle w:val="58"/>
              <w:bidi w:val="0"/>
              <w:rPr>
                <w:rFonts w:hint="default"/>
                <w:highlight w:val="none"/>
              </w:rPr>
            </w:pPr>
            <w:r>
              <w:rPr>
                <w:rFonts w:hint="default"/>
                <w:highlight w:val="none"/>
                <w:lang w:val="en-US" w:eastAsia="zh-CN"/>
              </w:rPr>
              <w:t>国家基准气候站</w:t>
            </w:r>
          </w:p>
        </w:tc>
        <w:tc>
          <w:tcPr>
            <w:tcW w:w="573" w:type="pct"/>
            <w:tcBorders>
              <w:tl2br w:val="nil"/>
              <w:tr2bl w:val="nil"/>
            </w:tcBorders>
            <w:noWrap w:val="0"/>
            <w:vAlign w:val="center"/>
          </w:tcPr>
          <w:p w14:paraId="08614296">
            <w:pPr>
              <w:pStyle w:val="58"/>
              <w:bidi w:val="0"/>
              <w:rPr>
                <w:rFonts w:hint="default"/>
                <w:highlight w:val="none"/>
              </w:rPr>
            </w:pPr>
            <w:bookmarkStart w:id="312" w:name="OLE_LINK83"/>
            <w:r>
              <w:rPr>
                <w:rFonts w:hint="default"/>
                <w:highlight w:val="none"/>
              </w:rPr>
              <w:t>118</w:t>
            </w:r>
            <w:r>
              <w:rPr>
                <w:rFonts w:hint="default"/>
                <w:highlight w:val="none"/>
                <w:lang w:val="en-US" w:eastAsia="zh-CN"/>
              </w:rPr>
              <w:t>°27′57″</w:t>
            </w:r>
            <w:bookmarkEnd w:id="312"/>
          </w:p>
        </w:tc>
        <w:tc>
          <w:tcPr>
            <w:tcW w:w="515" w:type="pct"/>
            <w:tcBorders>
              <w:tl2br w:val="nil"/>
              <w:tr2bl w:val="nil"/>
            </w:tcBorders>
            <w:noWrap w:val="0"/>
            <w:vAlign w:val="center"/>
          </w:tcPr>
          <w:p w14:paraId="51A764B4">
            <w:pPr>
              <w:pStyle w:val="58"/>
              <w:bidi w:val="0"/>
              <w:rPr>
                <w:rFonts w:hint="default"/>
                <w:highlight w:val="none"/>
                <w:lang w:val="en-US" w:eastAsia="zh-CN"/>
              </w:rPr>
            </w:pPr>
            <w:bookmarkStart w:id="313" w:name="OLE_LINK84"/>
            <w:r>
              <w:rPr>
                <w:rFonts w:hint="default"/>
                <w:highlight w:val="none"/>
                <w:lang w:val="en-US" w:eastAsia="zh-CN"/>
              </w:rPr>
              <w:t>39°17′09″</w:t>
            </w:r>
            <w:bookmarkEnd w:id="313"/>
          </w:p>
        </w:tc>
        <w:tc>
          <w:tcPr>
            <w:tcW w:w="467" w:type="pct"/>
            <w:tcBorders>
              <w:tl2br w:val="nil"/>
              <w:tr2bl w:val="nil"/>
            </w:tcBorders>
            <w:noWrap w:val="0"/>
            <w:vAlign w:val="center"/>
          </w:tcPr>
          <w:p w14:paraId="38FB2FF9">
            <w:pPr>
              <w:pStyle w:val="58"/>
              <w:bidi w:val="0"/>
              <w:rPr>
                <w:rFonts w:hint="default"/>
                <w:highlight w:val="none"/>
                <w:lang w:val="en-US" w:eastAsia="zh-CN"/>
              </w:rPr>
            </w:pPr>
            <w:r>
              <w:rPr>
                <w:rFonts w:hint="default"/>
                <w:highlight w:val="none"/>
                <w:lang w:val="en-US" w:eastAsia="zh-CN"/>
              </w:rPr>
              <w:t>17.</w:t>
            </w:r>
            <w:r>
              <w:rPr>
                <w:rFonts w:hint="eastAsia"/>
                <w:highlight w:val="none"/>
                <w:lang w:val="en-US" w:eastAsia="zh-CN"/>
              </w:rPr>
              <w:t>16</w:t>
            </w:r>
          </w:p>
        </w:tc>
        <w:tc>
          <w:tcPr>
            <w:tcW w:w="403" w:type="pct"/>
            <w:tcBorders>
              <w:tl2br w:val="nil"/>
              <w:tr2bl w:val="nil"/>
            </w:tcBorders>
            <w:noWrap w:val="0"/>
            <w:vAlign w:val="center"/>
          </w:tcPr>
          <w:p w14:paraId="212F66EE">
            <w:pPr>
              <w:pStyle w:val="58"/>
              <w:bidi w:val="0"/>
              <w:rPr>
                <w:rFonts w:hint="default"/>
                <w:highlight w:val="none"/>
                <w:lang w:val="en-US" w:eastAsia="zh-CN"/>
              </w:rPr>
            </w:pPr>
            <w:r>
              <w:rPr>
                <w:rFonts w:hint="default"/>
                <w:highlight w:val="none"/>
                <w:lang w:val="en-US" w:eastAsia="zh-CN"/>
              </w:rPr>
              <w:t>3.2</w:t>
            </w:r>
          </w:p>
        </w:tc>
        <w:tc>
          <w:tcPr>
            <w:tcW w:w="384" w:type="pct"/>
            <w:tcBorders>
              <w:tl2br w:val="nil"/>
              <w:tr2bl w:val="nil"/>
            </w:tcBorders>
            <w:noWrap w:val="0"/>
            <w:vAlign w:val="center"/>
          </w:tcPr>
          <w:p w14:paraId="765BA250">
            <w:pPr>
              <w:pStyle w:val="58"/>
              <w:bidi w:val="0"/>
              <w:rPr>
                <w:rFonts w:hint="default"/>
                <w:highlight w:val="none"/>
              </w:rPr>
            </w:pPr>
            <w:r>
              <w:rPr>
                <w:rFonts w:hint="default"/>
                <w:highlight w:val="none"/>
              </w:rPr>
              <w:t>202</w:t>
            </w:r>
            <w:r>
              <w:rPr>
                <w:rFonts w:hint="default"/>
                <w:highlight w:val="none"/>
                <w:lang w:val="en-US" w:eastAsia="zh-CN"/>
              </w:rPr>
              <w:t>2</w:t>
            </w:r>
            <w:r>
              <w:rPr>
                <w:rFonts w:hint="default"/>
                <w:highlight w:val="none"/>
              </w:rPr>
              <w:t>年</w:t>
            </w:r>
          </w:p>
        </w:tc>
        <w:tc>
          <w:tcPr>
            <w:tcW w:w="1022" w:type="pct"/>
            <w:tcBorders>
              <w:tl2br w:val="nil"/>
              <w:tr2bl w:val="nil"/>
            </w:tcBorders>
            <w:noWrap w:val="0"/>
            <w:vAlign w:val="center"/>
          </w:tcPr>
          <w:p w14:paraId="1E070777">
            <w:pPr>
              <w:pStyle w:val="58"/>
              <w:bidi w:val="0"/>
              <w:rPr>
                <w:rFonts w:hint="default"/>
                <w:highlight w:val="none"/>
              </w:rPr>
            </w:pPr>
            <w:r>
              <w:rPr>
                <w:rFonts w:hint="default"/>
                <w:highlight w:val="none"/>
              </w:rPr>
              <w:t>风向、风速、低云量和干球温度</w:t>
            </w:r>
          </w:p>
        </w:tc>
      </w:tr>
    </w:tbl>
    <w:p w14:paraId="47A0C2CF">
      <w:pPr>
        <w:pageBreakBefore w:val="0"/>
        <w:widowControl w:val="0"/>
        <w:kinsoku/>
        <w:wordWrap/>
        <w:overflowPunct/>
        <w:topLinePunct w:val="0"/>
        <w:bidi w:val="0"/>
        <w:adjustRightInd w:val="0"/>
        <w:snapToGrid w:val="0"/>
        <w:spacing w:line="480" w:lineRule="exact"/>
        <w:ind w:firstLine="482"/>
        <w:textAlignment w:val="auto"/>
        <w:rPr>
          <w:rFonts w:hint="default" w:ascii="Times New Roman" w:hAnsi="Times New Roman" w:eastAsia="宋体" w:cs="Times New Roman"/>
          <w:color w:val="000000" w:themeColor="text1"/>
          <w:sz w:val="24"/>
          <w:szCs w:val="28"/>
          <w:highlight w:val="none"/>
          <w14:textFill>
            <w14:solidFill>
              <w14:schemeClr w14:val="tx1"/>
            </w14:solidFill>
          </w14:textFill>
        </w:rPr>
      </w:pPr>
      <w:r>
        <w:rPr>
          <w:rFonts w:hint="default" w:ascii="Times New Roman" w:hAnsi="Times New Roman" w:eastAsia="宋体" w:cs="Times New Roman"/>
          <w:color w:val="000000" w:themeColor="text1"/>
          <w:sz w:val="24"/>
          <w:szCs w:val="28"/>
          <w:highlight w:val="none"/>
          <w14:textFill>
            <w14:solidFill>
              <w14:schemeClr w14:val="tx1"/>
            </w14:solidFill>
          </w14:textFill>
        </w:rPr>
        <w:t>据</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曹妃甸区气象观测站</w:t>
      </w:r>
      <w:r>
        <w:rPr>
          <w:rFonts w:hint="default" w:ascii="Times New Roman" w:hAnsi="Times New Roman" w:eastAsia="宋体" w:cs="Times New Roman"/>
          <w:color w:val="000000" w:themeColor="text1"/>
          <w:sz w:val="24"/>
          <w:szCs w:val="28"/>
          <w:highlight w:val="none"/>
          <w:lang w:eastAsia="zh-CN"/>
          <w14:textFill>
            <w14:solidFill>
              <w14:schemeClr w14:val="tx1"/>
            </w14:solidFill>
          </w14:textFill>
        </w:rPr>
        <w:t>近</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20</w:t>
      </w:r>
      <w:r>
        <w:rPr>
          <w:rFonts w:hint="default" w:ascii="Times New Roman" w:hAnsi="Times New Roman" w:eastAsia="宋体" w:cs="Times New Roman"/>
          <w:color w:val="000000" w:themeColor="text1"/>
          <w:sz w:val="24"/>
          <w:szCs w:val="28"/>
          <w:highlight w:val="none"/>
          <w14:textFill>
            <w14:solidFill>
              <w14:schemeClr w14:val="tx1"/>
            </w14:solidFill>
          </w14:textFill>
        </w:rPr>
        <w:t>年累计气象观测资料统计，主要气象特征如下：</w:t>
      </w:r>
    </w:p>
    <w:p w14:paraId="566C5B5F">
      <w:pPr>
        <w:pageBreakBefore w:val="0"/>
        <w:widowControl w:val="0"/>
        <w:kinsoku/>
        <w:wordWrap/>
        <w:overflowPunct/>
        <w:topLinePunct w:val="0"/>
        <w:bidi w:val="0"/>
        <w:adjustRightInd w:val="0"/>
        <w:snapToGrid w:val="0"/>
        <w:spacing w:line="480" w:lineRule="exact"/>
        <w:ind w:firstLine="482"/>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14:textFill>
            <w14:solidFill>
              <w14:schemeClr w14:val="tx1"/>
            </w14:solidFill>
          </w14:textFill>
        </w:rPr>
        <w:t>⑴</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气温</w:t>
      </w:r>
    </w:p>
    <w:p w14:paraId="0B3575B4">
      <w:pPr>
        <w:pageBreakBefore w:val="0"/>
        <w:widowControl w:val="0"/>
        <w:kinsoku/>
        <w:wordWrap/>
        <w:overflowPunct/>
        <w:topLinePunct w:val="0"/>
        <w:bidi w:val="0"/>
        <w:adjustRightInd w:val="0"/>
        <w:snapToGrid w:val="0"/>
        <w:spacing w:line="480" w:lineRule="exact"/>
        <w:ind w:firstLine="482"/>
        <w:textAlignment w:val="auto"/>
        <w:rPr>
          <w:rFonts w:hint="default" w:ascii="Times New Roman" w:hAnsi="Times New Roman" w:eastAsia="宋体" w:cs="Times New Roman"/>
          <w:color w:val="000000" w:themeColor="text1"/>
          <w:sz w:val="24"/>
          <w:szCs w:val="28"/>
          <w:highlight w:val="none"/>
          <w14:textFill>
            <w14:solidFill>
              <w14:schemeClr w14:val="tx1"/>
            </w14:solidFill>
          </w14:textFill>
        </w:rPr>
      </w:pPr>
      <w:r>
        <w:rPr>
          <w:rFonts w:hint="default" w:ascii="Times New Roman" w:hAnsi="Times New Roman" w:eastAsia="宋体" w:cs="Times New Roman"/>
          <w:color w:val="000000" w:themeColor="text1"/>
          <w:sz w:val="24"/>
          <w:szCs w:val="28"/>
          <w:highlight w:val="none"/>
          <w14:textFill>
            <w14:solidFill>
              <w14:schemeClr w14:val="tx1"/>
            </w14:solidFill>
          </w14:textFill>
        </w:rPr>
        <w:t>区域</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近20年</w:t>
      </w:r>
      <w:r>
        <w:rPr>
          <w:rFonts w:hint="default" w:ascii="Times New Roman" w:hAnsi="Times New Roman" w:eastAsia="宋体" w:cs="Times New Roman"/>
          <w:color w:val="000000" w:themeColor="text1"/>
          <w:sz w:val="24"/>
          <w:szCs w:val="28"/>
          <w:highlight w:val="none"/>
          <w14:textFill>
            <w14:solidFill>
              <w14:schemeClr w14:val="tx1"/>
            </w14:solidFill>
          </w14:textFill>
        </w:rPr>
        <w:t>年平均气温</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14.51</w:t>
      </w:r>
      <w:r>
        <w:rPr>
          <w:rFonts w:hint="default" w:ascii="Times New Roman" w:hAnsi="Times New Roman" w:eastAsia="宋体" w:cs="Times New Roman"/>
          <w:color w:val="000000" w:themeColor="text1"/>
          <w:sz w:val="24"/>
          <w:szCs w:val="28"/>
          <w:highlight w:val="none"/>
          <w14:textFill>
            <w14:solidFill>
              <w14:schemeClr w14:val="tx1"/>
            </w14:solidFill>
          </w14:textFill>
        </w:rPr>
        <w:t>℃，以</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z w:val="24"/>
          <w:szCs w:val="28"/>
          <w:highlight w:val="none"/>
          <w14:textFill>
            <w14:solidFill>
              <w14:schemeClr w14:val="tx1"/>
            </w14:solidFill>
          </w14:textFill>
        </w:rPr>
        <w:t>月最冷，平均气温-</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3.78</w:t>
      </w:r>
      <w:r>
        <w:rPr>
          <w:rFonts w:hint="default" w:ascii="Times New Roman" w:hAnsi="Times New Roman" w:eastAsia="宋体" w:cs="Times New Roman"/>
          <w:color w:val="000000" w:themeColor="text1"/>
          <w:sz w:val="24"/>
          <w:szCs w:val="28"/>
          <w:highlight w:val="none"/>
          <w14:textFill>
            <w14:solidFill>
              <w14:schemeClr w14:val="tx1"/>
            </w14:solidFill>
          </w14:textFill>
        </w:rPr>
        <w:t>℃，以</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8</w:t>
      </w:r>
      <w:r>
        <w:rPr>
          <w:rFonts w:hint="default" w:ascii="Times New Roman" w:hAnsi="Times New Roman" w:eastAsia="宋体" w:cs="Times New Roman"/>
          <w:color w:val="000000" w:themeColor="text1"/>
          <w:sz w:val="24"/>
          <w:szCs w:val="28"/>
          <w:highlight w:val="none"/>
          <w14:textFill>
            <w14:solidFill>
              <w14:schemeClr w14:val="tx1"/>
            </w14:solidFill>
          </w14:textFill>
        </w:rPr>
        <w:t>月份最热，平均气温为</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26.09</w:t>
      </w:r>
      <w:r>
        <w:rPr>
          <w:rFonts w:hint="default" w:ascii="Times New Roman" w:hAnsi="Times New Roman" w:eastAsia="宋体" w:cs="Times New Roman"/>
          <w:color w:val="000000" w:themeColor="text1"/>
          <w:sz w:val="24"/>
          <w:szCs w:val="28"/>
          <w:highlight w:val="none"/>
          <w14:textFill>
            <w14:solidFill>
              <w14:schemeClr w14:val="tx1"/>
            </w14:solidFill>
          </w14:textFill>
        </w:rPr>
        <w:t>℃。</w:t>
      </w:r>
    </w:p>
    <w:p w14:paraId="73BCB9C6">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lang w:val="en-US" w:eastAsia="zh-CN"/>
        </w:rPr>
        <w:t>　近20年年</w:t>
      </w:r>
      <w:r>
        <w:rPr>
          <w:rFonts w:hint="default" w:ascii="Times New Roman" w:hAnsi="Times New Roman" w:eastAsia="宋体" w:cs="Times New Roman"/>
          <w:b/>
          <w:bCs/>
          <w:color w:val="auto"/>
          <w:sz w:val="24"/>
          <w:highlight w:val="none"/>
        </w:rPr>
        <w:t>平均温度月变化表单位：℃</w:t>
      </w:r>
    </w:p>
    <w:tbl>
      <w:tblPr>
        <w:tblStyle w:val="47"/>
        <w:tblW w:w="4995"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528"/>
        <w:gridCol w:w="675"/>
        <w:gridCol w:w="675"/>
        <w:gridCol w:w="630"/>
        <w:gridCol w:w="630"/>
        <w:gridCol w:w="697"/>
        <w:gridCol w:w="697"/>
        <w:gridCol w:w="697"/>
        <w:gridCol w:w="697"/>
        <w:gridCol w:w="697"/>
        <w:gridCol w:w="697"/>
        <w:gridCol w:w="697"/>
        <w:gridCol w:w="564"/>
        <w:gridCol w:w="698"/>
      </w:tblGrid>
      <w:tr w14:paraId="50599F0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4" w:type="pct"/>
            <w:tcBorders>
              <w:tl2br w:val="nil"/>
              <w:tr2bl w:val="nil"/>
            </w:tcBorders>
            <w:noWrap w:val="0"/>
            <w:vAlign w:val="center"/>
          </w:tcPr>
          <w:p w14:paraId="5AE04967">
            <w:pPr>
              <w:pStyle w:val="58"/>
              <w:bidi w:val="0"/>
              <w:rPr>
                <w:rFonts w:hint="default"/>
                <w:highlight w:val="none"/>
                <w:lang w:val="en-US" w:eastAsia="zh-CN"/>
              </w:rPr>
            </w:pPr>
            <w:r>
              <w:rPr>
                <w:rFonts w:hint="default"/>
                <w:highlight w:val="none"/>
                <w:lang w:val="en-US" w:eastAsia="zh-CN"/>
              </w:rPr>
              <w:t>月份</w:t>
            </w:r>
          </w:p>
        </w:tc>
        <w:tc>
          <w:tcPr>
            <w:tcW w:w="363" w:type="pct"/>
            <w:tcBorders>
              <w:tl2br w:val="nil"/>
              <w:tr2bl w:val="nil"/>
            </w:tcBorders>
            <w:noWrap w:val="0"/>
            <w:vAlign w:val="center"/>
          </w:tcPr>
          <w:p w14:paraId="74630DAC">
            <w:pPr>
              <w:pStyle w:val="58"/>
              <w:bidi w:val="0"/>
              <w:rPr>
                <w:rFonts w:hint="default"/>
                <w:highlight w:val="none"/>
                <w:lang w:val="en-US" w:eastAsia="zh-CN"/>
              </w:rPr>
            </w:pPr>
            <w:r>
              <w:rPr>
                <w:rFonts w:hint="default"/>
                <w:highlight w:val="none"/>
                <w:lang w:val="en-US" w:eastAsia="zh-CN"/>
              </w:rPr>
              <w:t>1</w:t>
            </w:r>
          </w:p>
        </w:tc>
        <w:tc>
          <w:tcPr>
            <w:tcW w:w="363" w:type="pct"/>
            <w:tcBorders>
              <w:tl2br w:val="nil"/>
              <w:tr2bl w:val="nil"/>
            </w:tcBorders>
            <w:noWrap w:val="0"/>
            <w:vAlign w:val="center"/>
          </w:tcPr>
          <w:p w14:paraId="3335B9EE">
            <w:pPr>
              <w:pStyle w:val="58"/>
              <w:bidi w:val="0"/>
              <w:rPr>
                <w:rFonts w:hint="default"/>
                <w:highlight w:val="none"/>
                <w:lang w:val="en-US" w:eastAsia="zh-CN"/>
              </w:rPr>
            </w:pPr>
            <w:r>
              <w:rPr>
                <w:rFonts w:hint="default"/>
                <w:highlight w:val="none"/>
                <w:lang w:val="en-US" w:eastAsia="zh-CN"/>
              </w:rPr>
              <w:t>2</w:t>
            </w:r>
          </w:p>
        </w:tc>
        <w:tc>
          <w:tcPr>
            <w:tcW w:w="339" w:type="pct"/>
            <w:tcBorders>
              <w:tl2br w:val="nil"/>
              <w:tr2bl w:val="nil"/>
            </w:tcBorders>
            <w:noWrap w:val="0"/>
            <w:vAlign w:val="center"/>
          </w:tcPr>
          <w:p w14:paraId="7901F17C">
            <w:pPr>
              <w:pStyle w:val="58"/>
              <w:bidi w:val="0"/>
              <w:rPr>
                <w:rFonts w:hint="default"/>
                <w:highlight w:val="none"/>
                <w:lang w:val="en-US" w:eastAsia="zh-CN"/>
              </w:rPr>
            </w:pPr>
            <w:r>
              <w:rPr>
                <w:rFonts w:hint="default"/>
                <w:highlight w:val="none"/>
                <w:lang w:val="en-US" w:eastAsia="zh-CN"/>
              </w:rPr>
              <w:t>3</w:t>
            </w:r>
          </w:p>
        </w:tc>
        <w:tc>
          <w:tcPr>
            <w:tcW w:w="339" w:type="pct"/>
            <w:tcBorders>
              <w:tl2br w:val="nil"/>
              <w:tr2bl w:val="nil"/>
            </w:tcBorders>
            <w:noWrap w:val="0"/>
            <w:vAlign w:val="center"/>
          </w:tcPr>
          <w:p w14:paraId="2F113F23">
            <w:pPr>
              <w:pStyle w:val="58"/>
              <w:bidi w:val="0"/>
              <w:rPr>
                <w:rFonts w:hint="default"/>
                <w:highlight w:val="none"/>
                <w:lang w:val="en-US" w:eastAsia="zh-CN"/>
              </w:rPr>
            </w:pPr>
            <w:r>
              <w:rPr>
                <w:rFonts w:hint="default"/>
                <w:highlight w:val="none"/>
                <w:lang w:val="en-US" w:eastAsia="zh-CN"/>
              </w:rPr>
              <w:t>4</w:t>
            </w:r>
          </w:p>
        </w:tc>
        <w:tc>
          <w:tcPr>
            <w:tcW w:w="375" w:type="pct"/>
            <w:tcBorders>
              <w:tl2br w:val="nil"/>
              <w:tr2bl w:val="nil"/>
            </w:tcBorders>
            <w:noWrap w:val="0"/>
            <w:vAlign w:val="center"/>
          </w:tcPr>
          <w:p w14:paraId="6B4FE212">
            <w:pPr>
              <w:pStyle w:val="58"/>
              <w:bidi w:val="0"/>
              <w:rPr>
                <w:rFonts w:hint="default"/>
                <w:highlight w:val="none"/>
                <w:lang w:val="en-US" w:eastAsia="zh-CN"/>
              </w:rPr>
            </w:pPr>
            <w:r>
              <w:rPr>
                <w:rFonts w:hint="default"/>
                <w:highlight w:val="none"/>
                <w:lang w:val="en-US" w:eastAsia="zh-CN"/>
              </w:rPr>
              <w:t>5</w:t>
            </w:r>
          </w:p>
        </w:tc>
        <w:tc>
          <w:tcPr>
            <w:tcW w:w="375" w:type="pct"/>
            <w:tcBorders>
              <w:tl2br w:val="nil"/>
              <w:tr2bl w:val="nil"/>
            </w:tcBorders>
            <w:noWrap w:val="0"/>
            <w:vAlign w:val="center"/>
          </w:tcPr>
          <w:p w14:paraId="0B499995">
            <w:pPr>
              <w:pStyle w:val="58"/>
              <w:bidi w:val="0"/>
              <w:rPr>
                <w:rFonts w:hint="default"/>
                <w:highlight w:val="none"/>
                <w:lang w:val="en-US" w:eastAsia="zh-CN"/>
              </w:rPr>
            </w:pPr>
            <w:r>
              <w:rPr>
                <w:rFonts w:hint="default"/>
                <w:highlight w:val="none"/>
                <w:lang w:val="en-US" w:eastAsia="zh-CN"/>
              </w:rPr>
              <w:t>6</w:t>
            </w:r>
          </w:p>
        </w:tc>
        <w:tc>
          <w:tcPr>
            <w:tcW w:w="375" w:type="pct"/>
            <w:tcBorders>
              <w:tl2br w:val="nil"/>
              <w:tr2bl w:val="nil"/>
            </w:tcBorders>
            <w:noWrap w:val="0"/>
            <w:vAlign w:val="center"/>
          </w:tcPr>
          <w:p w14:paraId="08FDFF0B">
            <w:pPr>
              <w:pStyle w:val="58"/>
              <w:bidi w:val="0"/>
              <w:rPr>
                <w:rFonts w:hint="default"/>
                <w:highlight w:val="none"/>
                <w:lang w:val="en-US" w:eastAsia="zh-CN"/>
              </w:rPr>
            </w:pPr>
            <w:r>
              <w:rPr>
                <w:rFonts w:hint="default"/>
                <w:highlight w:val="none"/>
                <w:lang w:val="en-US" w:eastAsia="zh-CN"/>
              </w:rPr>
              <w:t>7</w:t>
            </w:r>
          </w:p>
        </w:tc>
        <w:tc>
          <w:tcPr>
            <w:tcW w:w="375" w:type="pct"/>
            <w:tcBorders>
              <w:tl2br w:val="nil"/>
              <w:tr2bl w:val="nil"/>
            </w:tcBorders>
            <w:noWrap w:val="0"/>
            <w:vAlign w:val="center"/>
          </w:tcPr>
          <w:p w14:paraId="42573190">
            <w:pPr>
              <w:pStyle w:val="58"/>
              <w:bidi w:val="0"/>
              <w:rPr>
                <w:rFonts w:hint="default"/>
                <w:highlight w:val="none"/>
                <w:lang w:val="en-US" w:eastAsia="zh-CN"/>
              </w:rPr>
            </w:pPr>
            <w:r>
              <w:rPr>
                <w:rFonts w:hint="default"/>
                <w:highlight w:val="none"/>
                <w:lang w:val="en-US" w:eastAsia="zh-CN"/>
              </w:rPr>
              <w:t>8</w:t>
            </w:r>
          </w:p>
        </w:tc>
        <w:tc>
          <w:tcPr>
            <w:tcW w:w="375" w:type="pct"/>
            <w:tcBorders>
              <w:tl2br w:val="nil"/>
              <w:tr2bl w:val="nil"/>
            </w:tcBorders>
            <w:noWrap w:val="0"/>
            <w:vAlign w:val="center"/>
          </w:tcPr>
          <w:p w14:paraId="742D26BC">
            <w:pPr>
              <w:pStyle w:val="58"/>
              <w:bidi w:val="0"/>
              <w:rPr>
                <w:rFonts w:hint="default"/>
                <w:highlight w:val="none"/>
                <w:lang w:val="en-US" w:eastAsia="zh-CN"/>
              </w:rPr>
            </w:pPr>
            <w:r>
              <w:rPr>
                <w:rFonts w:hint="default"/>
                <w:highlight w:val="none"/>
                <w:lang w:val="en-US" w:eastAsia="zh-CN"/>
              </w:rPr>
              <w:t>9</w:t>
            </w:r>
          </w:p>
        </w:tc>
        <w:tc>
          <w:tcPr>
            <w:tcW w:w="375" w:type="pct"/>
            <w:tcBorders>
              <w:tl2br w:val="nil"/>
              <w:tr2bl w:val="nil"/>
            </w:tcBorders>
            <w:noWrap w:val="0"/>
            <w:vAlign w:val="center"/>
          </w:tcPr>
          <w:p w14:paraId="0F2475A5">
            <w:pPr>
              <w:pStyle w:val="58"/>
              <w:bidi w:val="0"/>
              <w:rPr>
                <w:rFonts w:hint="default"/>
                <w:highlight w:val="none"/>
                <w:lang w:val="en-US" w:eastAsia="zh-CN"/>
              </w:rPr>
            </w:pPr>
            <w:r>
              <w:rPr>
                <w:rFonts w:hint="default"/>
                <w:highlight w:val="none"/>
                <w:lang w:val="en-US" w:eastAsia="zh-CN"/>
              </w:rPr>
              <w:t>10</w:t>
            </w:r>
          </w:p>
        </w:tc>
        <w:tc>
          <w:tcPr>
            <w:tcW w:w="375" w:type="pct"/>
            <w:tcBorders>
              <w:tl2br w:val="nil"/>
              <w:tr2bl w:val="nil"/>
            </w:tcBorders>
            <w:noWrap w:val="0"/>
            <w:vAlign w:val="center"/>
          </w:tcPr>
          <w:p w14:paraId="6A26F21A">
            <w:pPr>
              <w:pStyle w:val="58"/>
              <w:bidi w:val="0"/>
              <w:rPr>
                <w:rFonts w:hint="default"/>
                <w:highlight w:val="none"/>
                <w:lang w:val="en-US" w:eastAsia="zh-CN"/>
              </w:rPr>
            </w:pPr>
            <w:r>
              <w:rPr>
                <w:rFonts w:hint="default"/>
                <w:highlight w:val="none"/>
                <w:lang w:val="en-US" w:eastAsia="zh-CN"/>
              </w:rPr>
              <w:t>11</w:t>
            </w:r>
          </w:p>
        </w:tc>
        <w:tc>
          <w:tcPr>
            <w:tcW w:w="303" w:type="pct"/>
            <w:tcBorders>
              <w:tl2br w:val="nil"/>
              <w:tr2bl w:val="nil"/>
            </w:tcBorders>
            <w:noWrap w:val="0"/>
            <w:vAlign w:val="center"/>
          </w:tcPr>
          <w:p w14:paraId="655C49D6">
            <w:pPr>
              <w:pStyle w:val="58"/>
              <w:bidi w:val="0"/>
              <w:rPr>
                <w:rFonts w:hint="default"/>
                <w:highlight w:val="none"/>
                <w:lang w:val="en-US" w:eastAsia="zh-CN"/>
              </w:rPr>
            </w:pPr>
            <w:r>
              <w:rPr>
                <w:rFonts w:hint="default"/>
                <w:highlight w:val="none"/>
                <w:lang w:val="en-US" w:eastAsia="zh-CN"/>
              </w:rPr>
              <w:t>12</w:t>
            </w:r>
          </w:p>
        </w:tc>
        <w:tc>
          <w:tcPr>
            <w:tcW w:w="375" w:type="pct"/>
            <w:tcBorders>
              <w:tl2br w:val="nil"/>
              <w:tr2bl w:val="nil"/>
            </w:tcBorders>
            <w:noWrap w:val="0"/>
            <w:vAlign w:val="center"/>
          </w:tcPr>
          <w:p w14:paraId="5A1AA83D">
            <w:pPr>
              <w:pStyle w:val="58"/>
              <w:bidi w:val="0"/>
              <w:rPr>
                <w:rFonts w:hint="default"/>
                <w:highlight w:val="none"/>
                <w:lang w:val="en-US" w:eastAsia="zh-CN"/>
              </w:rPr>
            </w:pPr>
            <w:r>
              <w:rPr>
                <w:rFonts w:hint="default"/>
                <w:highlight w:val="none"/>
                <w:lang w:val="en-US" w:eastAsia="zh-CN"/>
              </w:rPr>
              <w:t>平均</w:t>
            </w:r>
          </w:p>
        </w:tc>
      </w:tr>
      <w:tr w14:paraId="427CBA1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4" w:type="pct"/>
            <w:tcBorders>
              <w:tl2br w:val="nil"/>
              <w:tr2bl w:val="nil"/>
            </w:tcBorders>
            <w:noWrap w:val="0"/>
            <w:vAlign w:val="center"/>
          </w:tcPr>
          <w:p w14:paraId="68791232">
            <w:pPr>
              <w:pStyle w:val="58"/>
              <w:bidi w:val="0"/>
              <w:rPr>
                <w:rFonts w:hint="default"/>
                <w:highlight w:val="none"/>
                <w:lang w:val="en-US" w:eastAsia="zh-CN"/>
              </w:rPr>
            </w:pPr>
            <w:r>
              <w:rPr>
                <w:rFonts w:hint="default"/>
                <w:highlight w:val="none"/>
                <w:lang w:val="en-US" w:eastAsia="zh-CN"/>
              </w:rPr>
              <w:t>温度</w:t>
            </w:r>
          </w:p>
        </w:tc>
        <w:tc>
          <w:tcPr>
            <w:tcW w:w="363" w:type="pct"/>
            <w:tcBorders>
              <w:tl2br w:val="nil"/>
              <w:tr2bl w:val="nil"/>
            </w:tcBorders>
            <w:noWrap w:val="0"/>
            <w:vAlign w:val="center"/>
          </w:tcPr>
          <w:p w14:paraId="50EAE629">
            <w:pPr>
              <w:pStyle w:val="58"/>
              <w:bidi w:val="0"/>
              <w:rPr>
                <w:rFonts w:hint="default"/>
                <w:highlight w:val="none"/>
                <w:lang w:val="en-US" w:eastAsia="zh-CN"/>
              </w:rPr>
            </w:pPr>
            <w:r>
              <w:rPr>
                <w:rFonts w:hint="default"/>
                <w:highlight w:val="none"/>
                <w:lang w:val="en-US" w:eastAsia="zh-CN"/>
              </w:rPr>
              <w:t>-3.78</w:t>
            </w:r>
          </w:p>
        </w:tc>
        <w:tc>
          <w:tcPr>
            <w:tcW w:w="363" w:type="pct"/>
            <w:tcBorders>
              <w:tl2br w:val="nil"/>
              <w:tr2bl w:val="nil"/>
            </w:tcBorders>
            <w:noWrap w:val="0"/>
            <w:vAlign w:val="center"/>
          </w:tcPr>
          <w:p w14:paraId="16D23195">
            <w:pPr>
              <w:pStyle w:val="58"/>
              <w:bidi w:val="0"/>
              <w:rPr>
                <w:rFonts w:hint="default"/>
                <w:highlight w:val="none"/>
                <w:lang w:val="en-US" w:eastAsia="zh-CN"/>
              </w:rPr>
            </w:pPr>
            <w:r>
              <w:rPr>
                <w:rFonts w:hint="default"/>
                <w:highlight w:val="none"/>
                <w:lang w:val="en-US" w:eastAsia="zh-CN"/>
              </w:rPr>
              <w:t>-0.86</w:t>
            </w:r>
          </w:p>
        </w:tc>
        <w:tc>
          <w:tcPr>
            <w:tcW w:w="339" w:type="pct"/>
            <w:tcBorders>
              <w:tl2br w:val="nil"/>
              <w:tr2bl w:val="nil"/>
            </w:tcBorders>
            <w:noWrap w:val="0"/>
            <w:vAlign w:val="center"/>
          </w:tcPr>
          <w:p w14:paraId="63490159">
            <w:pPr>
              <w:pStyle w:val="58"/>
              <w:bidi w:val="0"/>
              <w:rPr>
                <w:rFonts w:hint="default"/>
                <w:highlight w:val="none"/>
                <w:lang w:val="en-US" w:eastAsia="zh-CN"/>
              </w:rPr>
            </w:pPr>
            <w:r>
              <w:rPr>
                <w:rFonts w:hint="default"/>
                <w:highlight w:val="none"/>
                <w:lang w:val="en-US" w:eastAsia="zh-CN"/>
              </w:rPr>
              <w:t>5.91</w:t>
            </w:r>
          </w:p>
        </w:tc>
        <w:tc>
          <w:tcPr>
            <w:tcW w:w="339" w:type="pct"/>
            <w:tcBorders>
              <w:tl2br w:val="nil"/>
              <w:tr2bl w:val="nil"/>
            </w:tcBorders>
            <w:noWrap w:val="0"/>
            <w:vAlign w:val="center"/>
          </w:tcPr>
          <w:p w14:paraId="5B99DEAC">
            <w:pPr>
              <w:pStyle w:val="58"/>
              <w:bidi w:val="0"/>
              <w:rPr>
                <w:rFonts w:hint="default"/>
                <w:highlight w:val="none"/>
                <w:lang w:val="en-US" w:eastAsia="zh-CN"/>
              </w:rPr>
            </w:pPr>
            <w:r>
              <w:rPr>
                <w:rFonts w:hint="default"/>
                <w:highlight w:val="none"/>
                <w:lang w:val="en-US" w:eastAsia="zh-CN"/>
              </w:rPr>
              <w:t>13.2</w:t>
            </w:r>
          </w:p>
        </w:tc>
        <w:tc>
          <w:tcPr>
            <w:tcW w:w="375" w:type="pct"/>
            <w:tcBorders>
              <w:tl2br w:val="nil"/>
              <w:tr2bl w:val="nil"/>
            </w:tcBorders>
            <w:noWrap w:val="0"/>
            <w:vAlign w:val="center"/>
          </w:tcPr>
          <w:p w14:paraId="48FC72A7">
            <w:pPr>
              <w:pStyle w:val="58"/>
              <w:bidi w:val="0"/>
              <w:rPr>
                <w:rFonts w:hint="default"/>
                <w:highlight w:val="none"/>
                <w:lang w:val="en-US" w:eastAsia="zh-CN"/>
              </w:rPr>
            </w:pPr>
            <w:r>
              <w:rPr>
                <w:rFonts w:hint="default"/>
                <w:highlight w:val="none"/>
                <w:lang w:val="en-US" w:eastAsia="zh-CN"/>
              </w:rPr>
              <w:t>19.75</w:t>
            </w:r>
          </w:p>
        </w:tc>
        <w:tc>
          <w:tcPr>
            <w:tcW w:w="375" w:type="pct"/>
            <w:tcBorders>
              <w:tl2br w:val="nil"/>
              <w:tr2bl w:val="nil"/>
            </w:tcBorders>
            <w:noWrap w:val="0"/>
            <w:vAlign w:val="center"/>
          </w:tcPr>
          <w:p w14:paraId="64519AB0">
            <w:pPr>
              <w:pStyle w:val="58"/>
              <w:bidi w:val="0"/>
              <w:rPr>
                <w:rFonts w:hint="default"/>
                <w:highlight w:val="none"/>
                <w:lang w:val="en-US" w:eastAsia="zh-CN"/>
              </w:rPr>
            </w:pPr>
            <w:r>
              <w:rPr>
                <w:rFonts w:hint="default"/>
                <w:highlight w:val="none"/>
                <w:lang w:val="en-US" w:eastAsia="zh-CN"/>
              </w:rPr>
              <w:t>24.72</w:t>
            </w:r>
          </w:p>
        </w:tc>
        <w:tc>
          <w:tcPr>
            <w:tcW w:w="375" w:type="pct"/>
            <w:tcBorders>
              <w:tl2br w:val="nil"/>
              <w:tr2bl w:val="nil"/>
            </w:tcBorders>
            <w:noWrap w:val="0"/>
            <w:vAlign w:val="center"/>
          </w:tcPr>
          <w:p w14:paraId="2F884D75">
            <w:pPr>
              <w:pStyle w:val="58"/>
              <w:bidi w:val="0"/>
              <w:rPr>
                <w:rFonts w:hint="default"/>
                <w:highlight w:val="none"/>
                <w:lang w:val="en-US" w:eastAsia="zh-CN"/>
              </w:rPr>
            </w:pPr>
            <w:r>
              <w:rPr>
                <w:rFonts w:hint="default"/>
                <w:highlight w:val="none"/>
                <w:lang w:val="en-US" w:eastAsia="zh-CN"/>
              </w:rPr>
              <w:t>23.49</w:t>
            </w:r>
          </w:p>
        </w:tc>
        <w:tc>
          <w:tcPr>
            <w:tcW w:w="375" w:type="pct"/>
            <w:tcBorders>
              <w:tl2br w:val="nil"/>
              <w:tr2bl w:val="nil"/>
            </w:tcBorders>
            <w:noWrap w:val="0"/>
            <w:vAlign w:val="center"/>
          </w:tcPr>
          <w:p w14:paraId="3683BD5E">
            <w:pPr>
              <w:pStyle w:val="58"/>
              <w:bidi w:val="0"/>
              <w:rPr>
                <w:rFonts w:hint="default"/>
                <w:highlight w:val="none"/>
                <w:lang w:val="en-US" w:eastAsia="zh-CN"/>
              </w:rPr>
            </w:pPr>
            <w:r>
              <w:rPr>
                <w:rFonts w:hint="default"/>
                <w:highlight w:val="none"/>
                <w:lang w:val="en-US" w:eastAsia="zh-CN"/>
              </w:rPr>
              <w:t>26.09</w:t>
            </w:r>
          </w:p>
        </w:tc>
        <w:tc>
          <w:tcPr>
            <w:tcW w:w="375" w:type="pct"/>
            <w:tcBorders>
              <w:tl2br w:val="nil"/>
              <w:tr2bl w:val="nil"/>
            </w:tcBorders>
            <w:noWrap w:val="0"/>
            <w:vAlign w:val="center"/>
          </w:tcPr>
          <w:p w14:paraId="7552DF2D">
            <w:pPr>
              <w:pStyle w:val="58"/>
              <w:bidi w:val="0"/>
              <w:rPr>
                <w:rFonts w:hint="default"/>
                <w:highlight w:val="none"/>
                <w:lang w:val="en-US" w:eastAsia="zh-CN"/>
              </w:rPr>
            </w:pPr>
            <w:r>
              <w:rPr>
                <w:rFonts w:hint="default"/>
                <w:highlight w:val="none"/>
                <w:lang w:val="en-US" w:eastAsia="zh-CN"/>
              </w:rPr>
              <w:t>25.51</w:t>
            </w:r>
          </w:p>
        </w:tc>
        <w:tc>
          <w:tcPr>
            <w:tcW w:w="375" w:type="pct"/>
            <w:tcBorders>
              <w:tl2br w:val="nil"/>
              <w:tr2bl w:val="nil"/>
            </w:tcBorders>
            <w:noWrap w:val="0"/>
            <w:vAlign w:val="center"/>
          </w:tcPr>
          <w:p w14:paraId="5CF72DB0">
            <w:pPr>
              <w:pStyle w:val="58"/>
              <w:bidi w:val="0"/>
              <w:rPr>
                <w:rFonts w:hint="default"/>
                <w:highlight w:val="none"/>
                <w:lang w:val="en-US" w:eastAsia="zh-CN"/>
              </w:rPr>
            </w:pPr>
            <w:r>
              <w:rPr>
                <w:rFonts w:hint="default"/>
                <w:highlight w:val="none"/>
                <w:lang w:val="en-US" w:eastAsia="zh-CN"/>
              </w:rPr>
              <w:t>21.15</w:t>
            </w:r>
          </w:p>
        </w:tc>
        <w:tc>
          <w:tcPr>
            <w:tcW w:w="375" w:type="pct"/>
            <w:tcBorders>
              <w:tl2br w:val="nil"/>
              <w:tr2bl w:val="nil"/>
            </w:tcBorders>
            <w:noWrap w:val="0"/>
            <w:vAlign w:val="center"/>
          </w:tcPr>
          <w:p w14:paraId="008B8471">
            <w:pPr>
              <w:pStyle w:val="58"/>
              <w:bidi w:val="0"/>
              <w:rPr>
                <w:rFonts w:hint="default"/>
                <w:highlight w:val="none"/>
                <w:lang w:val="en-US" w:eastAsia="zh-CN"/>
              </w:rPr>
            </w:pPr>
            <w:r>
              <w:rPr>
                <w:rFonts w:hint="default"/>
                <w:highlight w:val="none"/>
                <w:lang w:val="en-US" w:eastAsia="zh-CN"/>
              </w:rPr>
              <w:t>13.74</w:t>
            </w:r>
          </w:p>
        </w:tc>
        <w:tc>
          <w:tcPr>
            <w:tcW w:w="303" w:type="pct"/>
            <w:tcBorders>
              <w:tl2br w:val="nil"/>
              <w:tr2bl w:val="nil"/>
            </w:tcBorders>
            <w:noWrap w:val="0"/>
            <w:vAlign w:val="center"/>
          </w:tcPr>
          <w:p w14:paraId="787039AD">
            <w:pPr>
              <w:pStyle w:val="58"/>
              <w:bidi w:val="0"/>
              <w:rPr>
                <w:rFonts w:hint="default"/>
                <w:highlight w:val="none"/>
                <w:lang w:val="en-US" w:eastAsia="zh-CN"/>
              </w:rPr>
            </w:pPr>
            <w:r>
              <w:rPr>
                <w:rFonts w:hint="default"/>
                <w:highlight w:val="none"/>
                <w:lang w:val="en-US" w:eastAsia="zh-CN"/>
              </w:rPr>
              <w:t>5.2</w:t>
            </w:r>
          </w:p>
        </w:tc>
        <w:tc>
          <w:tcPr>
            <w:tcW w:w="375" w:type="pct"/>
            <w:tcBorders>
              <w:tl2br w:val="nil"/>
              <w:tr2bl w:val="nil"/>
            </w:tcBorders>
            <w:noWrap w:val="0"/>
            <w:vAlign w:val="center"/>
          </w:tcPr>
          <w:p w14:paraId="5482FDE1">
            <w:pPr>
              <w:pStyle w:val="58"/>
              <w:bidi w:val="0"/>
              <w:rPr>
                <w:rFonts w:hint="default"/>
                <w:highlight w:val="none"/>
                <w:lang w:val="en-US" w:eastAsia="zh-CN"/>
              </w:rPr>
            </w:pPr>
            <w:r>
              <w:rPr>
                <w:rFonts w:hint="default"/>
                <w:highlight w:val="none"/>
                <w:lang w:val="en-US" w:eastAsia="zh-CN"/>
              </w:rPr>
              <w:t>14.51</w:t>
            </w:r>
          </w:p>
        </w:tc>
      </w:tr>
    </w:tbl>
    <w:p w14:paraId="54394E7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4"/>
          <w:szCs w:val="28"/>
          <w:highlight w:val="none"/>
          <w14:textFill>
            <w14:solidFill>
              <w14:schemeClr w14:val="tx1"/>
            </w14:solidFill>
          </w14:textFill>
        </w:rPr>
      </w:pPr>
      <w:r>
        <w:rPr>
          <w:rFonts w:hint="default" w:ascii="Times New Roman" w:hAnsi="Times New Roman" w:eastAsia="宋体" w:cs="Times New Roman"/>
          <w:color w:val="000000" w:themeColor="text1"/>
          <w:sz w:val="24"/>
          <w:szCs w:val="28"/>
          <w:highlight w:val="none"/>
          <w14:textFill>
            <w14:solidFill>
              <w14:schemeClr w14:val="tx1"/>
            </w14:solidFill>
          </w14:textFill>
        </w:rPr>
        <w:drawing>
          <wp:inline distT="0" distB="0" distL="114300" distR="114300">
            <wp:extent cx="4819650" cy="2743200"/>
            <wp:effectExtent l="4445" t="4445" r="14605" b="14605"/>
            <wp:docPr id="28" name="图表 2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36450402">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近20年</w:t>
      </w:r>
      <w:r>
        <w:rPr>
          <w:rFonts w:hint="default" w:ascii="Times New Roman" w:hAnsi="Times New Roman" w:eastAsia="宋体" w:cs="Times New Roman"/>
          <w:b/>
          <w:bCs/>
          <w:color w:val="000000" w:themeColor="text1"/>
          <w:sz w:val="24"/>
          <w:szCs w:val="24"/>
          <w:highlight w:val="none"/>
          <w:lang w:eastAsia="zh-CN"/>
          <w14:textFill>
            <w14:solidFill>
              <w14:schemeClr w14:val="tx1"/>
            </w14:solidFill>
          </w14:textFill>
        </w:rPr>
        <w:t>平均温度月变化曲线图</w:t>
      </w:r>
    </w:p>
    <w:p w14:paraId="616C3CF2">
      <w:pPr>
        <w:pageBreakBefore w:val="0"/>
        <w:widowControl w:val="0"/>
        <w:kinsoku/>
        <w:wordWrap/>
        <w:overflowPunct/>
        <w:topLinePunct w:val="0"/>
        <w:bidi w:val="0"/>
        <w:adjustRightInd w:val="0"/>
        <w:snapToGrid w:val="0"/>
        <w:spacing w:line="480" w:lineRule="exact"/>
        <w:ind w:firstLine="482"/>
        <w:textAlignment w:val="auto"/>
        <w:rPr>
          <w:rFonts w:hint="default" w:ascii="Times New Roman" w:hAnsi="Times New Roman" w:eastAsia="宋体" w:cs="Times New Roman"/>
          <w:color w:val="000000" w:themeColor="text1"/>
          <w:sz w:val="24"/>
          <w:szCs w:val="28"/>
          <w:highlight w:val="none"/>
          <w14:textFill>
            <w14:solidFill>
              <w14:schemeClr w14:val="tx1"/>
            </w14:solidFill>
          </w14:textFill>
        </w:rPr>
      </w:pPr>
      <w:r>
        <w:rPr>
          <w:rFonts w:hint="default" w:ascii="Times New Roman" w:hAnsi="Times New Roman" w:eastAsia="宋体" w:cs="Times New Roman"/>
          <w:color w:val="000000" w:themeColor="text1"/>
          <w:sz w:val="24"/>
          <w:szCs w:val="28"/>
          <w:highlight w:val="none"/>
          <w14:textFill>
            <w14:solidFill>
              <w14:schemeClr w14:val="tx1"/>
            </w14:solidFill>
          </w14:textFill>
        </w:rPr>
        <w:t>⑵相对湿度</w:t>
      </w:r>
    </w:p>
    <w:p w14:paraId="7CC3DF09">
      <w:pPr>
        <w:pageBreakBefore w:val="0"/>
        <w:widowControl w:val="0"/>
        <w:kinsoku/>
        <w:wordWrap/>
        <w:overflowPunct/>
        <w:topLinePunct w:val="0"/>
        <w:bidi w:val="0"/>
        <w:adjustRightInd w:val="0"/>
        <w:snapToGrid w:val="0"/>
        <w:spacing w:line="480" w:lineRule="exact"/>
        <w:ind w:firstLine="482"/>
        <w:textAlignment w:val="auto"/>
        <w:rPr>
          <w:rFonts w:hint="default" w:ascii="Times New Roman" w:hAnsi="Times New Roman" w:eastAsia="宋体" w:cs="Times New Roman"/>
          <w:color w:val="000000" w:themeColor="text1"/>
          <w:sz w:val="24"/>
          <w:szCs w:val="28"/>
          <w:highlight w:val="none"/>
          <w:lang w:val="en-US"/>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曹妃甸区</w:t>
      </w:r>
      <w:r>
        <w:rPr>
          <w:rFonts w:hint="default" w:ascii="Times New Roman" w:hAnsi="Times New Roman" w:eastAsia="宋体" w:cs="Times New Roman"/>
          <w:color w:val="000000" w:themeColor="text1"/>
          <w:sz w:val="24"/>
          <w:szCs w:val="28"/>
          <w:highlight w:val="none"/>
          <w14:textFill>
            <w14:solidFill>
              <w14:schemeClr w14:val="tx1"/>
            </w14:solidFill>
          </w14:textFill>
        </w:rPr>
        <w:t>地区年平均相对湿度为54.63%。6～9月相对湿度较高，达60%以上，冬、春季相对湿度为40%以上。</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曹妃甸区</w:t>
      </w:r>
      <w:r>
        <w:rPr>
          <w:rFonts w:hint="default" w:ascii="Times New Roman" w:hAnsi="Times New Roman" w:eastAsia="宋体" w:cs="Times New Roman"/>
          <w:color w:val="000000" w:themeColor="text1"/>
          <w:sz w:val="24"/>
          <w:szCs w:val="28"/>
          <w:highlight w:val="none"/>
          <w14:textFill>
            <w14:solidFill>
              <w14:schemeClr w14:val="tx1"/>
            </w14:solidFill>
          </w14:textFill>
        </w:rPr>
        <w:t>累年平均相对湿度统计见表</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5.2-3，近20年平均湿度月变化曲线图见图</w:t>
      </w:r>
      <w:r>
        <w:rPr>
          <w:rFonts w:hint="default" w:ascii="Times New Roman" w:hAnsi="Times New Roman" w:eastAsia="宋体" w:cs="Times New Roman"/>
          <w:b w:val="0"/>
          <w:bCs w:val="0"/>
          <w:color w:val="000000" w:themeColor="text1"/>
          <w:sz w:val="24"/>
          <w:szCs w:val="28"/>
          <w:highlight w:val="none"/>
          <w:lang w:val="en-US" w:eastAsia="zh-CN"/>
          <w14:textFill>
            <w14:solidFill>
              <w14:schemeClr w14:val="tx1"/>
            </w14:solidFill>
          </w14:textFill>
        </w:rPr>
        <w:t>5.2</w:t>
      </w:r>
      <w:r>
        <w:rPr>
          <w:rFonts w:hint="default" w:ascii="Times New Roman" w:hAnsi="Times New Roman" w:eastAsia="宋体" w:cs="Times New Roman"/>
          <w:b w:val="0"/>
          <w:bCs w:val="0"/>
          <w:color w:val="auto"/>
          <w:sz w:val="24"/>
          <w:highlight w:val="none"/>
          <w:lang w:val="en-US" w:eastAsia="zh-CN"/>
        </w:rPr>
        <w:t>-2</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w:t>
      </w:r>
    </w:p>
    <w:p w14:paraId="027BDF1D">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lang w:val="en-US" w:eastAsia="zh-CN"/>
        </w:rPr>
        <w:t>　曹妃甸区</w:t>
      </w:r>
      <w:r>
        <w:rPr>
          <w:rFonts w:hint="default" w:ascii="Times New Roman" w:hAnsi="Times New Roman" w:eastAsia="宋体" w:cs="Times New Roman"/>
          <w:b/>
          <w:bCs/>
          <w:color w:val="auto"/>
          <w:sz w:val="24"/>
          <w:highlight w:val="none"/>
          <w:lang w:eastAsia="zh-CN"/>
        </w:rPr>
        <w:t>近</w:t>
      </w:r>
      <w:r>
        <w:rPr>
          <w:rFonts w:hint="default" w:ascii="Times New Roman" w:hAnsi="Times New Roman" w:eastAsia="宋体" w:cs="Times New Roman"/>
          <w:b/>
          <w:bCs/>
          <w:color w:val="auto"/>
          <w:sz w:val="24"/>
          <w:highlight w:val="none"/>
        </w:rPr>
        <w:t>20年平均湿度的月变化</w:t>
      </w:r>
    </w:p>
    <w:tbl>
      <w:tblPr>
        <w:tblStyle w:val="4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879"/>
        <w:gridCol w:w="592"/>
        <w:gridCol w:w="686"/>
        <w:gridCol w:w="641"/>
        <w:gridCol w:w="584"/>
        <w:gridCol w:w="641"/>
        <w:gridCol w:w="584"/>
        <w:gridCol w:w="641"/>
        <w:gridCol w:w="641"/>
        <w:gridCol w:w="641"/>
        <w:gridCol w:w="584"/>
        <w:gridCol w:w="584"/>
        <w:gridCol w:w="686"/>
        <w:gridCol w:w="718"/>
      </w:tblGrid>
      <w:tr w14:paraId="4227715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83" w:type="pct"/>
            <w:tcBorders>
              <w:tl2br w:val="nil"/>
              <w:tr2bl w:val="nil"/>
            </w:tcBorders>
            <w:noWrap w:val="0"/>
            <w:vAlign w:val="center"/>
          </w:tcPr>
          <w:p w14:paraId="510267C7">
            <w:pPr>
              <w:pStyle w:val="58"/>
              <w:bidi w:val="0"/>
              <w:rPr>
                <w:rFonts w:hint="default"/>
                <w:highlight w:val="none"/>
                <w:lang w:val="en-US" w:eastAsia="zh-CN"/>
              </w:rPr>
            </w:pPr>
            <w:r>
              <w:rPr>
                <w:rFonts w:hint="default"/>
                <w:highlight w:val="none"/>
                <w:lang w:val="en-US" w:eastAsia="zh-CN"/>
              </w:rPr>
              <w:t>月份</w:t>
            </w:r>
          </w:p>
        </w:tc>
        <w:tc>
          <w:tcPr>
            <w:tcW w:w="325" w:type="pct"/>
            <w:tcBorders>
              <w:tl2br w:val="nil"/>
              <w:tr2bl w:val="nil"/>
            </w:tcBorders>
            <w:noWrap w:val="0"/>
            <w:vAlign w:val="center"/>
          </w:tcPr>
          <w:p w14:paraId="280994DF">
            <w:pPr>
              <w:pStyle w:val="58"/>
              <w:bidi w:val="0"/>
              <w:rPr>
                <w:rFonts w:hint="default"/>
                <w:highlight w:val="none"/>
                <w:lang w:val="en-US" w:eastAsia="zh-CN"/>
              </w:rPr>
            </w:pPr>
            <w:r>
              <w:rPr>
                <w:rFonts w:hint="default"/>
                <w:highlight w:val="none"/>
                <w:lang w:val="en-US" w:eastAsia="zh-CN"/>
              </w:rPr>
              <w:t>1月</w:t>
            </w:r>
          </w:p>
        </w:tc>
        <w:tc>
          <w:tcPr>
            <w:tcW w:w="377" w:type="pct"/>
            <w:tcBorders>
              <w:tl2br w:val="nil"/>
              <w:tr2bl w:val="nil"/>
            </w:tcBorders>
            <w:noWrap w:val="0"/>
            <w:vAlign w:val="center"/>
          </w:tcPr>
          <w:p w14:paraId="46FFF41B">
            <w:pPr>
              <w:pStyle w:val="58"/>
              <w:bidi w:val="0"/>
              <w:rPr>
                <w:rFonts w:hint="default"/>
                <w:highlight w:val="none"/>
                <w:lang w:val="en-US" w:eastAsia="zh-CN"/>
              </w:rPr>
            </w:pPr>
            <w:r>
              <w:rPr>
                <w:rFonts w:hint="default"/>
                <w:highlight w:val="none"/>
                <w:lang w:val="en-US" w:eastAsia="zh-CN"/>
              </w:rPr>
              <w:t>2月</w:t>
            </w:r>
          </w:p>
        </w:tc>
        <w:tc>
          <w:tcPr>
            <w:tcW w:w="352" w:type="pct"/>
            <w:tcBorders>
              <w:tl2br w:val="nil"/>
              <w:tr2bl w:val="nil"/>
            </w:tcBorders>
            <w:noWrap w:val="0"/>
            <w:vAlign w:val="center"/>
          </w:tcPr>
          <w:p w14:paraId="1088862C">
            <w:pPr>
              <w:pStyle w:val="58"/>
              <w:bidi w:val="0"/>
              <w:rPr>
                <w:rFonts w:hint="default"/>
                <w:highlight w:val="none"/>
                <w:lang w:val="en-US" w:eastAsia="zh-CN"/>
              </w:rPr>
            </w:pPr>
            <w:r>
              <w:rPr>
                <w:rFonts w:hint="default"/>
                <w:highlight w:val="none"/>
                <w:lang w:val="en-US" w:eastAsia="zh-CN"/>
              </w:rPr>
              <w:t>3月</w:t>
            </w:r>
          </w:p>
        </w:tc>
        <w:tc>
          <w:tcPr>
            <w:tcW w:w="321" w:type="pct"/>
            <w:tcBorders>
              <w:tl2br w:val="nil"/>
              <w:tr2bl w:val="nil"/>
            </w:tcBorders>
            <w:noWrap w:val="0"/>
            <w:vAlign w:val="center"/>
          </w:tcPr>
          <w:p w14:paraId="437F5764">
            <w:pPr>
              <w:pStyle w:val="58"/>
              <w:bidi w:val="0"/>
              <w:rPr>
                <w:rFonts w:hint="default"/>
                <w:highlight w:val="none"/>
                <w:lang w:val="en-US" w:eastAsia="zh-CN"/>
              </w:rPr>
            </w:pPr>
            <w:r>
              <w:rPr>
                <w:rFonts w:hint="default"/>
                <w:highlight w:val="none"/>
                <w:lang w:val="en-US" w:eastAsia="zh-CN"/>
              </w:rPr>
              <w:t>4月</w:t>
            </w:r>
          </w:p>
        </w:tc>
        <w:tc>
          <w:tcPr>
            <w:tcW w:w="352" w:type="pct"/>
            <w:tcBorders>
              <w:tl2br w:val="nil"/>
              <w:tr2bl w:val="nil"/>
            </w:tcBorders>
            <w:noWrap w:val="0"/>
            <w:vAlign w:val="center"/>
          </w:tcPr>
          <w:p w14:paraId="74C98BE1">
            <w:pPr>
              <w:pStyle w:val="58"/>
              <w:bidi w:val="0"/>
              <w:rPr>
                <w:rFonts w:hint="default"/>
                <w:highlight w:val="none"/>
                <w:lang w:val="en-US" w:eastAsia="zh-CN"/>
              </w:rPr>
            </w:pPr>
            <w:r>
              <w:rPr>
                <w:rFonts w:hint="default"/>
                <w:highlight w:val="none"/>
                <w:lang w:val="en-US" w:eastAsia="zh-CN"/>
              </w:rPr>
              <w:t>5月</w:t>
            </w:r>
          </w:p>
        </w:tc>
        <w:tc>
          <w:tcPr>
            <w:tcW w:w="321" w:type="pct"/>
            <w:tcBorders>
              <w:tl2br w:val="nil"/>
              <w:tr2bl w:val="nil"/>
            </w:tcBorders>
            <w:noWrap w:val="0"/>
            <w:vAlign w:val="center"/>
          </w:tcPr>
          <w:p w14:paraId="1F103FD2">
            <w:pPr>
              <w:pStyle w:val="58"/>
              <w:bidi w:val="0"/>
              <w:rPr>
                <w:rFonts w:hint="default"/>
                <w:highlight w:val="none"/>
                <w:lang w:val="en-US" w:eastAsia="zh-CN"/>
              </w:rPr>
            </w:pPr>
            <w:r>
              <w:rPr>
                <w:rFonts w:hint="default"/>
                <w:highlight w:val="none"/>
                <w:lang w:val="en-US" w:eastAsia="zh-CN"/>
              </w:rPr>
              <w:t>6月</w:t>
            </w:r>
          </w:p>
        </w:tc>
        <w:tc>
          <w:tcPr>
            <w:tcW w:w="352" w:type="pct"/>
            <w:tcBorders>
              <w:tl2br w:val="nil"/>
              <w:tr2bl w:val="nil"/>
            </w:tcBorders>
            <w:noWrap w:val="0"/>
            <w:vAlign w:val="center"/>
          </w:tcPr>
          <w:p w14:paraId="55FEFEE6">
            <w:pPr>
              <w:pStyle w:val="58"/>
              <w:bidi w:val="0"/>
              <w:rPr>
                <w:rFonts w:hint="default"/>
                <w:highlight w:val="none"/>
                <w:lang w:val="en-US" w:eastAsia="zh-CN"/>
              </w:rPr>
            </w:pPr>
            <w:r>
              <w:rPr>
                <w:rFonts w:hint="default"/>
                <w:highlight w:val="none"/>
                <w:lang w:val="en-US" w:eastAsia="zh-CN"/>
              </w:rPr>
              <w:t>7月</w:t>
            </w:r>
          </w:p>
        </w:tc>
        <w:tc>
          <w:tcPr>
            <w:tcW w:w="352" w:type="pct"/>
            <w:tcBorders>
              <w:tl2br w:val="nil"/>
              <w:tr2bl w:val="nil"/>
            </w:tcBorders>
            <w:noWrap w:val="0"/>
            <w:vAlign w:val="center"/>
          </w:tcPr>
          <w:p w14:paraId="4B0DF88C">
            <w:pPr>
              <w:pStyle w:val="58"/>
              <w:bidi w:val="0"/>
              <w:rPr>
                <w:rFonts w:hint="default"/>
                <w:highlight w:val="none"/>
                <w:lang w:val="en-US" w:eastAsia="zh-CN"/>
              </w:rPr>
            </w:pPr>
            <w:r>
              <w:rPr>
                <w:rFonts w:hint="default"/>
                <w:highlight w:val="none"/>
                <w:lang w:val="en-US" w:eastAsia="zh-CN"/>
              </w:rPr>
              <w:t>8月</w:t>
            </w:r>
          </w:p>
        </w:tc>
        <w:tc>
          <w:tcPr>
            <w:tcW w:w="352" w:type="pct"/>
            <w:tcBorders>
              <w:tl2br w:val="nil"/>
              <w:tr2bl w:val="nil"/>
            </w:tcBorders>
            <w:noWrap w:val="0"/>
            <w:vAlign w:val="center"/>
          </w:tcPr>
          <w:p w14:paraId="161F127A">
            <w:pPr>
              <w:pStyle w:val="58"/>
              <w:bidi w:val="0"/>
              <w:rPr>
                <w:rFonts w:hint="default"/>
                <w:highlight w:val="none"/>
                <w:lang w:val="en-US" w:eastAsia="zh-CN"/>
              </w:rPr>
            </w:pPr>
            <w:r>
              <w:rPr>
                <w:rFonts w:hint="default"/>
                <w:highlight w:val="none"/>
                <w:lang w:val="en-US" w:eastAsia="zh-CN"/>
              </w:rPr>
              <w:t>9月</w:t>
            </w:r>
          </w:p>
        </w:tc>
        <w:tc>
          <w:tcPr>
            <w:tcW w:w="321" w:type="pct"/>
            <w:tcBorders>
              <w:tl2br w:val="nil"/>
              <w:tr2bl w:val="nil"/>
            </w:tcBorders>
            <w:noWrap w:val="0"/>
            <w:vAlign w:val="center"/>
          </w:tcPr>
          <w:p w14:paraId="7A3F1AAB">
            <w:pPr>
              <w:pStyle w:val="58"/>
              <w:bidi w:val="0"/>
              <w:rPr>
                <w:rFonts w:hint="default"/>
                <w:highlight w:val="none"/>
                <w:lang w:val="en-US" w:eastAsia="zh-CN"/>
              </w:rPr>
            </w:pPr>
            <w:r>
              <w:rPr>
                <w:rFonts w:hint="default"/>
                <w:highlight w:val="none"/>
                <w:lang w:val="en-US" w:eastAsia="zh-CN"/>
              </w:rPr>
              <w:t>10月</w:t>
            </w:r>
          </w:p>
        </w:tc>
        <w:tc>
          <w:tcPr>
            <w:tcW w:w="321" w:type="pct"/>
            <w:tcBorders>
              <w:tl2br w:val="nil"/>
              <w:tr2bl w:val="nil"/>
            </w:tcBorders>
            <w:noWrap w:val="0"/>
            <w:vAlign w:val="center"/>
          </w:tcPr>
          <w:p w14:paraId="02350C45">
            <w:pPr>
              <w:pStyle w:val="58"/>
              <w:bidi w:val="0"/>
              <w:rPr>
                <w:rFonts w:hint="default"/>
                <w:highlight w:val="none"/>
                <w:lang w:val="en-US" w:eastAsia="zh-CN"/>
              </w:rPr>
            </w:pPr>
            <w:r>
              <w:rPr>
                <w:rFonts w:hint="default"/>
                <w:highlight w:val="none"/>
                <w:lang w:val="en-US" w:eastAsia="zh-CN"/>
              </w:rPr>
              <w:t>11月</w:t>
            </w:r>
          </w:p>
        </w:tc>
        <w:tc>
          <w:tcPr>
            <w:tcW w:w="377" w:type="pct"/>
            <w:tcBorders>
              <w:tl2br w:val="nil"/>
              <w:tr2bl w:val="nil"/>
            </w:tcBorders>
            <w:noWrap w:val="0"/>
            <w:vAlign w:val="center"/>
          </w:tcPr>
          <w:p w14:paraId="1AAF55F2">
            <w:pPr>
              <w:pStyle w:val="58"/>
              <w:bidi w:val="0"/>
              <w:rPr>
                <w:rFonts w:hint="default"/>
                <w:highlight w:val="none"/>
                <w:lang w:val="en-US" w:eastAsia="zh-CN"/>
              </w:rPr>
            </w:pPr>
            <w:r>
              <w:rPr>
                <w:rFonts w:hint="default"/>
                <w:highlight w:val="none"/>
                <w:lang w:val="en-US" w:eastAsia="zh-CN"/>
              </w:rPr>
              <w:t>12月</w:t>
            </w:r>
          </w:p>
        </w:tc>
        <w:tc>
          <w:tcPr>
            <w:tcW w:w="394" w:type="pct"/>
            <w:tcBorders>
              <w:tl2br w:val="nil"/>
              <w:tr2bl w:val="nil"/>
            </w:tcBorders>
            <w:noWrap w:val="0"/>
            <w:vAlign w:val="center"/>
          </w:tcPr>
          <w:p w14:paraId="7BA0C6FF">
            <w:pPr>
              <w:pStyle w:val="58"/>
              <w:bidi w:val="0"/>
              <w:rPr>
                <w:rFonts w:hint="default"/>
                <w:highlight w:val="none"/>
                <w:lang w:val="en-US" w:eastAsia="zh-CN"/>
              </w:rPr>
            </w:pPr>
            <w:r>
              <w:rPr>
                <w:rFonts w:hint="default"/>
                <w:highlight w:val="none"/>
                <w:lang w:val="en-US" w:eastAsia="zh-CN"/>
              </w:rPr>
              <w:t>全年</w:t>
            </w:r>
          </w:p>
        </w:tc>
      </w:tr>
      <w:tr w14:paraId="53A0FC3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83" w:type="pct"/>
            <w:tcBorders>
              <w:tl2br w:val="nil"/>
              <w:tr2bl w:val="nil"/>
            </w:tcBorders>
            <w:noWrap w:val="0"/>
            <w:vAlign w:val="center"/>
          </w:tcPr>
          <w:p w14:paraId="4358E3D8">
            <w:pPr>
              <w:pStyle w:val="58"/>
              <w:bidi w:val="0"/>
              <w:rPr>
                <w:rFonts w:hint="default"/>
                <w:highlight w:val="none"/>
                <w:lang w:val="en-US" w:eastAsia="zh-CN"/>
              </w:rPr>
            </w:pPr>
            <w:r>
              <w:rPr>
                <w:rFonts w:hint="default"/>
                <w:highlight w:val="none"/>
                <w:lang w:val="en-US" w:eastAsia="zh-CN"/>
              </w:rPr>
              <w:t>湿度%</w:t>
            </w:r>
          </w:p>
        </w:tc>
        <w:tc>
          <w:tcPr>
            <w:tcW w:w="325" w:type="pct"/>
            <w:tcBorders>
              <w:tl2br w:val="nil"/>
              <w:tr2bl w:val="nil"/>
            </w:tcBorders>
            <w:noWrap w:val="0"/>
            <w:vAlign w:val="center"/>
          </w:tcPr>
          <w:p w14:paraId="722295A3">
            <w:pPr>
              <w:pStyle w:val="58"/>
              <w:bidi w:val="0"/>
              <w:rPr>
                <w:rFonts w:hint="default"/>
                <w:highlight w:val="none"/>
                <w:lang w:val="en-US" w:eastAsia="zh-CN"/>
              </w:rPr>
            </w:pPr>
            <w:r>
              <w:rPr>
                <w:rFonts w:hint="default"/>
                <w:highlight w:val="none"/>
                <w:lang w:val="en-US" w:eastAsia="zh-CN"/>
              </w:rPr>
              <w:t>59.15</w:t>
            </w:r>
          </w:p>
        </w:tc>
        <w:tc>
          <w:tcPr>
            <w:tcW w:w="377" w:type="pct"/>
            <w:tcBorders>
              <w:tl2br w:val="nil"/>
              <w:tr2bl w:val="nil"/>
            </w:tcBorders>
            <w:noWrap w:val="0"/>
            <w:vAlign w:val="center"/>
          </w:tcPr>
          <w:p w14:paraId="5FD3FDC3">
            <w:pPr>
              <w:pStyle w:val="58"/>
              <w:bidi w:val="0"/>
              <w:rPr>
                <w:rFonts w:hint="default"/>
                <w:highlight w:val="none"/>
                <w:lang w:val="en-US" w:eastAsia="zh-CN"/>
              </w:rPr>
            </w:pPr>
            <w:r>
              <w:rPr>
                <w:rFonts w:hint="default"/>
                <w:highlight w:val="none"/>
                <w:lang w:val="en-US" w:eastAsia="zh-CN"/>
              </w:rPr>
              <w:t>61.15</w:t>
            </w:r>
          </w:p>
        </w:tc>
        <w:tc>
          <w:tcPr>
            <w:tcW w:w="352" w:type="pct"/>
            <w:tcBorders>
              <w:tl2br w:val="nil"/>
              <w:tr2bl w:val="nil"/>
            </w:tcBorders>
            <w:noWrap w:val="0"/>
            <w:vAlign w:val="center"/>
          </w:tcPr>
          <w:p w14:paraId="680D2CE7">
            <w:pPr>
              <w:pStyle w:val="58"/>
              <w:bidi w:val="0"/>
              <w:rPr>
                <w:rFonts w:hint="default"/>
                <w:highlight w:val="none"/>
                <w:lang w:val="en-US" w:eastAsia="zh-CN"/>
              </w:rPr>
            </w:pPr>
            <w:r>
              <w:rPr>
                <w:rFonts w:hint="default"/>
                <w:highlight w:val="none"/>
                <w:lang w:val="en-US" w:eastAsia="zh-CN"/>
              </w:rPr>
              <w:t>55.72</w:t>
            </w:r>
          </w:p>
        </w:tc>
        <w:tc>
          <w:tcPr>
            <w:tcW w:w="321" w:type="pct"/>
            <w:tcBorders>
              <w:tl2br w:val="nil"/>
              <w:tr2bl w:val="nil"/>
            </w:tcBorders>
            <w:noWrap w:val="0"/>
            <w:vAlign w:val="center"/>
          </w:tcPr>
          <w:p w14:paraId="45912E47">
            <w:pPr>
              <w:pStyle w:val="58"/>
              <w:bidi w:val="0"/>
              <w:rPr>
                <w:rFonts w:hint="default"/>
                <w:highlight w:val="none"/>
                <w:lang w:val="en-US" w:eastAsia="zh-CN"/>
              </w:rPr>
            </w:pPr>
            <w:r>
              <w:rPr>
                <w:rFonts w:hint="default"/>
                <w:highlight w:val="none"/>
                <w:lang w:val="en-US" w:eastAsia="zh-CN"/>
              </w:rPr>
              <w:t>55.1</w:t>
            </w:r>
          </w:p>
        </w:tc>
        <w:tc>
          <w:tcPr>
            <w:tcW w:w="352" w:type="pct"/>
            <w:tcBorders>
              <w:tl2br w:val="nil"/>
              <w:tr2bl w:val="nil"/>
            </w:tcBorders>
            <w:noWrap w:val="0"/>
            <w:vAlign w:val="center"/>
          </w:tcPr>
          <w:p w14:paraId="357C3250">
            <w:pPr>
              <w:pStyle w:val="58"/>
              <w:bidi w:val="0"/>
              <w:rPr>
                <w:rFonts w:hint="default"/>
                <w:highlight w:val="none"/>
                <w:lang w:val="en-US" w:eastAsia="zh-CN"/>
              </w:rPr>
            </w:pPr>
            <w:r>
              <w:rPr>
                <w:rFonts w:hint="default"/>
                <w:highlight w:val="none"/>
                <w:lang w:val="en-US" w:eastAsia="zh-CN"/>
              </w:rPr>
              <w:t>59.11</w:t>
            </w:r>
          </w:p>
        </w:tc>
        <w:tc>
          <w:tcPr>
            <w:tcW w:w="321" w:type="pct"/>
            <w:tcBorders>
              <w:tl2br w:val="nil"/>
              <w:tr2bl w:val="nil"/>
            </w:tcBorders>
            <w:noWrap w:val="0"/>
            <w:vAlign w:val="center"/>
          </w:tcPr>
          <w:p w14:paraId="19F219BD">
            <w:pPr>
              <w:pStyle w:val="58"/>
              <w:bidi w:val="0"/>
              <w:rPr>
                <w:rFonts w:hint="default"/>
                <w:highlight w:val="none"/>
                <w:lang w:val="en-US" w:eastAsia="zh-CN"/>
              </w:rPr>
            </w:pPr>
            <w:r>
              <w:rPr>
                <w:rFonts w:hint="default"/>
                <w:highlight w:val="none"/>
                <w:lang w:val="en-US" w:eastAsia="zh-CN"/>
              </w:rPr>
              <w:t>70.44</w:t>
            </w:r>
          </w:p>
        </w:tc>
        <w:tc>
          <w:tcPr>
            <w:tcW w:w="352" w:type="pct"/>
            <w:tcBorders>
              <w:tl2br w:val="nil"/>
              <w:tr2bl w:val="nil"/>
            </w:tcBorders>
            <w:noWrap w:val="0"/>
            <w:vAlign w:val="center"/>
          </w:tcPr>
          <w:p w14:paraId="3E52B775">
            <w:pPr>
              <w:pStyle w:val="58"/>
              <w:bidi w:val="0"/>
              <w:rPr>
                <w:rFonts w:hint="default"/>
                <w:highlight w:val="none"/>
                <w:lang w:val="en-US" w:eastAsia="zh-CN"/>
              </w:rPr>
            </w:pPr>
            <w:r>
              <w:rPr>
                <w:rFonts w:hint="default"/>
                <w:highlight w:val="none"/>
                <w:lang w:val="en-US" w:eastAsia="zh-CN"/>
              </w:rPr>
              <w:t>78.85</w:t>
            </w:r>
          </w:p>
        </w:tc>
        <w:tc>
          <w:tcPr>
            <w:tcW w:w="352" w:type="pct"/>
            <w:tcBorders>
              <w:tl2br w:val="nil"/>
              <w:tr2bl w:val="nil"/>
            </w:tcBorders>
            <w:noWrap w:val="0"/>
            <w:vAlign w:val="center"/>
          </w:tcPr>
          <w:p w14:paraId="6E9BFB2E">
            <w:pPr>
              <w:pStyle w:val="58"/>
              <w:bidi w:val="0"/>
              <w:rPr>
                <w:rFonts w:hint="default"/>
                <w:highlight w:val="none"/>
                <w:lang w:val="en-US" w:eastAsia="zh-CN"/>
              </w:rPr>
            </w:pPr>
            <w:r>
              <w:rPr>
                <w:rFonts w:hint="default"/>
                <w:highlight w:val="none"/>
                <w:lang w:val="en-US" w:eastAsia="zh-CN"/>
              </w:rPr>
              <w:t>79.13</w:t>
            </w:r>
          </w:p>
        </w:tc>
        <w:tc>
          <w:tcPr>
            <w:tcW w:w="352" w:type="pct"/>
            <w:tcBorders>
              <w:tl2br w:val="nil"/>
              <w:tr2bl w:val="nil"/>
            </w:tcBorders>
            <w:noWrap w:val="0"/>
            <w:vAlign w:val="center"/>
          </w:tcPr>
          <w:p w14:paraId="6FFBD9CA">
            <w:pPr>
              <w:pStyle w:val="58"/>
              <w:bidi w:val="0"/>
              <w:rPr>
                <w:rFonts w:hint="default"/>
                <w:highlight w:val="none"/>
                <w:lang w:val="en-US" w:eastAsia="zh-CN"/>
              </w:rPr>
            </w:pPr>
            <w:r>
              <w:rPr>
                <w:rFonts w:hint="default"/>
                <w:highlight w:val="none"/>
                <w:lang w:val="en-US" w:eastAsia="zh-CN"/>
              </w:rPr>
              <w:t>73.01</w:t>
            </w:r>
          </w:p>
        </w:tc>
        <w:tc>
          <w:tcPr>
            <w:tcW w:w="321" w:type="pct"/>
            <w:tcBorders>
              <w:tl2br w:val="nil"/>
              <w:tr2bl w:val="nil"/>
            </w:tcBorders>
            <w:noWrap w:val="0"/>
            <w:vAlign w:val="center"/>
          </w:tcPr>
          <w:p w14:paraId="3951F767">
            <w:pPr>
              <w:pStyle w:val="58"/>
              <w:bidi w:val="0"/>
              <w:rPr>
                <w:rFonts w:hint="default"/>
                <w:highlight w:val="none"/>
                <w:lang w:val="en-US" w:eastAsia="zh-CN"/>
              </w:rPr>
            </w:pPr>
            <w:r>
              <w:rPr>
                <w:rFonts w:hint="default"/>
                <w:highlight w:val="none"/>
                <w:lang w:val="en-US" w:eastAsia="zh-CN"/>
              </w:rPr>
              <w:t>67.19</w:t>
            </w:r>
          </w:p>
        </w:tc>
        <w:tc>
          <w:tcPr>
            <w:tcW w:w="321" w:type="pct"/>
            <w:tcBorders>
              <w:tl2br w:val="nil"/>
              <w:tr2bl w:val="nil"/>
            </w:tcBorders>
            <w:noWrap w:val="0"/>
            <w:vAlign w:val="center"/>
          </w:tcPr>
          <w:p w14:paraId="12D9C304">
            <w:pPr>
              <w:pStyle w:val="58"/>
              <w:bidi w:val="0"/>
              <w:rPr>
                <w:rFonts w:hint="default"/>
                <w:highlight w:val="none"/>
                <w:lang w:val="en-US" w:eastAsia="zh-CN"/>
              </w:rPr>
            </w:pPr>
            <w:r>
              <w:rPr>
                <w:rFonts w:hint="default"/>
                <w:highlight w:val="none"/>
                <w:lang w:val="en-US" w:eastAsia="zh-CN"/>
              </w:rPr>
              <w:t>63.56</w:t>
            </w:r>
          </w:p>
        </w:tc>
        <w:tc>
          <w:tcPr>
            <w:tcW w:w="377" w:type="pct"/>
            <w:tcBorders>
              <w:tl2br w:val="nil"/>
              <w:tr2bl w:val="nil"/>
            </w:tcBorders>
            <w:noWrap w:val="0"/>
            <w:vAlign w:val="center"/>
          </w:tcPr>
          <w:p w14:paraId="3C0A0883">
            <w:pPr>
              <w:pStyle w:val="58"/>
              <w:bidi w:val="0"/>
              <w:rPr>
                <w:rFonts w:hint="default"/>
                <w:highlight w:val="none"/>
                <w:lang w:val="en-US" w:eastAsia="zh-CN"/>
              </w:rPr>
            </w:pPr>
            <w:r>
              <w:rPr>
                <w:rFonts w:hint="default"/>
                <w:highlight w:val="none"/>
                <w:lang w:val="en-US" w:eastAsia="zh-CN"/>
              </w:rPr>
              <w:t>59.94</w:t>
            </w:r>
          </w:p>
        </w:tc>
        <w:tc>
          <w:tcPr>
            <w:tcW w:w="394" w:type="pct"/>
            <w:tcBorders>
              <w:tl2br w:val="nil"/>
              <w:tr2bl w:val="nil"/>
            </w:tcBorders>
            <w:noWrap w:val="0"/>
            <w:vAlign w:val="center"/>
          </w:tcPr>
          <w:p w14:paraId="282546A1">
            <w:pPr>
              <w:pStyle w:val="58"/>
              <w:bidi w:val="0"/>
              <w:rPr>
                <w:rFonts w:hint="default"/>
                <w:highlight w:val="none"/>
                <w:lang w:val="en-US" w:eastAsia="zh-CN"/>
              </w:rPr>
            </w:pPr>
            <w:r>
              <w:rPr>
                <w:rFonts w:hint="default"/>
                <w:highlight w:val="none"/>
                <w:lang w:val="en-US" w:eastAsia="zh-CN"/>
              </w:rPr>
              <w:t>54.63</w:t>
            </w:r>
          </w:p>
        </w:tc>
      </w:tr>
    </w:tbl>
    <w:p w14:paraId="4C15AE5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4"/>
          <w:szCs w:val="28"/>
          <w:highlight w:val="none"/>
          <w14:textFill>
            <w14:solidFill>
              <w14:schemeClr w14:val="tx1"/>
            </w14:solidFill>
          </w14:textFill>
        </w:rPr>
      </w:pPr>
      <w:r>
        <w:rPr>
          <w:rFonts w:hint="default" w:ascii="Times New Roman" w:hAnsi="Times New Roman" w:eastAsia="宋体" w:cs="Times New Roman"/>
          <w:color w:val="000000" w:themeColor="text1"/>
          <w:sz w:val="24"/>
          <w:szCs w:val="28"/>
          <w:highlight w:val="none"/>
          <w14:textFill>
            <w14:solidFill>
              <w14:schemeClr w14:val="tx1"/>
            </w14:solidFill>
          </w14:textFill>
        </w:rPr>
        <w:drawing>
          <wp:inline distT="0" distB="0" distL="114300" distR="114300">
            <wp:extent cx="5276850" cy="2971800"/>
            <wp:effectExtent l="4445" t="4445" r="14605" b="14605"/>
            <wp:docPr id="46" name="图表 4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7A2108E4">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近20年平均湿度月变化曲线图</w:t>
      </w:r>
    </w:p>
    <w:p w14:paraId="243321BC">
      <w:pPr>
        <w:pageBreakBefore w:val="0"/>
        <w:widowControl w:val="0"/>
        <w:kinsoku/>
        <w:wordWrap/>
        <w:overflowPunct/>
        <w:topLinePunct w:val="0"/>
        <w:bidi w:val="0"/>
        <w:adjustRightInd w:val="0"/>
        <w:snapToGrid w:val="0"/>
        <w:spacing w:line="480" w:lineRule="exact"/>
        <w:ind w:firstLine="482"/>
        <w:textAlignment w:val="auto"/>
        <w:rPr>
          <w:rFonts w:hint="default" w:ascii="Times New Roman" w:hAnsi="Times New Roman" w:eastAsia="宋体" w:cs="Times New Roman"/>
          <w:color w:val="000000" w:themeColor="text1"/>
          <w:sz w:val="24"/>
          <w:szCs w:val="28"/>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14:textFill>
            <w14:solidFill>
              <w14:schemeClr w14:val="tx1"/>
            </w14:solidFill>
          </w14:textFill>
        </w:rPr>
        <w:t>⑶</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降水</w:t>
      </w:r>
    </w:p>
    <w:p w14:paraId="4EF1750B">
      <w:pPr>
        <w:pageBreakBefore w:val="0"/>
        <w:widowControl w:val="0"/>
        <w:kinsoku/>
        <w:wordWrap/>
        <w:overflowPunct/>
        <w:topLinePunct w:val="0"/>
        <w:bidi w:val="0"/>
        <w:adjustRightInd w:val="0"/>
        <w:snapToGrid w:val="0"/>
        <w:spacing w:line="480" w:lineRule="exact"/>
        <w:ind w:firstLine="482"/>
        <w:textAlignment w:val="auto"/>
        <w:rPr>
          <w:rFonts w:hint="default" w:ascii="Times New Roman" w:hAnsi="Times New Roman" w:eastAsia="宋体" w:cs="Times New Roman"/>
          <w:color w:val="000000" w:themeColor="text1"/>
          <w:sz w:val="24"/>
          <w:szCs w:val="28"/>
          <w:highlight w:val="none"/>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区域近20年</w:t>
      </w:r>
      <w:r>
        <w:rPr>
          <w:rFonts w:hint="default" w:ascii="Times New Roman" w:hAnsi="Times New Roman" w:eastAsia="宋体" w:cs="Times New Roman"/>
          <w:color w:val="000000" w:themeColor="text1"/>
          <w:sz w:val="24"/>
          <w:szCs w:val="28"/>
          <w:highlight w:val="none"/>
          <w14:textFill>
            <w14:solidFill>
              <w14:schemeClr w14:val="tx1"/>
            </w14:solidFill>
          </w14:textFill>
        </w:rPr>
        <w:t>地区降水集中于夏季，</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z w:val="24"/>
          <w:szCs w:val="28"/>
          <w:highlight w:val="none"/>
          <w14:textFill>
            <w14:solidFill>
              <w14:schemeClr w14:val="tx1"/>
            </w14:solidFill>
          </w14:textFill>
        </w:rPr>
        <w:t>月份降水量最低为</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2.73</w:t>
      </w:r>
      <w:r>
        <w:rPr>
          <w:rFonts w:hint="default" w:ascii="Times New Roman" w:hAnsi="Times New Roman" w:eastAsia="宋体" w:cs="Times New Roman"/>
          <w:color w:val="000000" w:themeColor="text1"/>
          <w:sz w:val="24"/>
          <w:szCs w:val="28"/>
          <w:highlight w:val="none"/>
          <w14:textFill>
            <w14:solidFill>
              <w14:schemeClr w14:val="tx1"/>
            </w14:solidFill>
          </w14:textFill>
        </w:rPr>
        <w:t>mm，</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7</w:t>
      </w:r>
      <w:r>
        <w:rPr>
          <w:rFonts w:hint="default" w:ascii="Times New Roman" w:hAnsi="Times New Roman" w:eastAsia="宋体" w:cs="Times New Roman"/>
          <w:color w:val="000000" w:themeColor="text1"/>
          <w:sz w:val="24"/>
          <w:szCs w:val="28"/>
          <w:highlight w:val="none"/>
          <w14:textFill>
            <w14:solidFill>
              <w14:schemeClr w14:val="tx1"/>
            </w14:solidFill>
          </w14:textFill>
        </w:rPr>
        <w:t>月份降水量最高为</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143.99</w:t>
      </w:r>
      <w:r>
        <w:rPr>
          <w:rFonts w:hint="default" w:ascii="Times New Roman" w:hAnsi="Times New Roman" w:eastAsia="宋体" w:cs="Times New Roman"/>
          <w:color w:val="000000" w:themeColor="text1"/>
          <w:sz w:val="24"/>
          <w:szCs w:val="28"/>
          <w:highlight w:val="none"/>
          <w14:textFill>
            <w14:solidFill>
              <w14:schemeClr w14:val="tx1"/>
            </w14:solidFill>
          </w14:textFill>
        </w:rPr>
        <w:t>mm，全年降水量为</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552.79</w:t>
      </w:r>
      <w:r>
        <w:rPr>
          <w:rFonts w:hint="default" w:ascii="Times New Roman" w:hAnsi="Times New Roman" w:eastAsia="宋体" w:cs="Times New Roman"/>
          <w:color w:val="000000" w:themeColor="text1"/>
          <w:sz w:val="24"/>
          <w:szCs w:val="28"/>
          <w:highlight w:val="none"/>
          <w14:textFill>
            <w14:solidFill>
              <w14:schemeClr w14:val="tx1"/>
            </w14:solidFill>
          </w14:textFill>
        </w:rPr>
        <w:t>mm。</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详见</w:t>
      </w:r>
      <w:r>
        <w:rPr>
          <w:rFonts w:hint="default" w:ascii="Times New Roman" w:hAnsi="Times New Roman" w:eastAsia="宋体" w:cs="Times New Roman"/>
          <w:color w:val="000000" w:themeColor="text1"/>
          <w:sz w:val="24"/>
          <w:szCs w:val="28"/>
          <w:highlight w:val="none"/>
          <w14:textFill>
            <w14:solidFill>
              <w14:schemeClr w14:val="tx1"/>
            </w14:solidFill>
          </w14:textFill>
        </w:rPr>
        <w:t>表</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5.2-4及图5.2-3</w:t>
      </w:r>
      <w:r>
        <w:rPr>
          <w:rFonts w:hint="default" w:ascii="Times New Roman" w:hAnsi="Times New Roman" w:eastAsia="宋体" w:cs="Times New Roman"/>
          <w:color w:val="000000" w:themeColor="text1"/>
          <w:sz w:val="24"/>
          <w:szCs w:val="28"/>
          <w:highlight w:val="none"/>
          <w14:textFill>
            <w14:solidFill>
              <w14:schemeClr w14:val="tx1"/>
            </w14:solidFill>
          </w14:textFill>
        </w:rPr>
        <w:t>。</w:t>
      </w:r>
    </w:p>
    <w:p w14:paraId="364550C3">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lang w:val="en-US" w:eastAsia="zh-CN"/>
        </w:rPr>
      </w:pPr>
      <w:r>
        <w:rPr>
          <w:rFonts w:hint="default" w:ascii="Times New Roman" w:hAnsi="Times New Roman" w:eastAsia="宋体" w:cs="Times New Roman"/>
          <w:b/>
          <w:bCs/>
          <w:color w:val="auto"/>
          <w:sz w:val="24"/>
          <w:highlight w:val="none"/>
          <w:lang w:val="en-US" w:eastAsia="zh-CN"/>
        </w:rPr>
        <w:t>　曹妃甸</w:t>
      </w:r>
      <w:r>
        <w:rPr>
          <w:rFonts w:hint="eastAsia" w:cs="Times New Roman"/>
          <w:b/>
          <w:bCs/>
          <w:color w:val="auto"/>
          <w:sz w:val="24"/>
          <w:highlight w:val="none"/>
          <w:lang w:val="en-US" w:eastAsia="zh-CN"/>
        </w:rPr>
        <w:t>区</w:t>
      </w:r>
      <w:r>
        <w:rPr>
          <w:rFonts w:hint="default" w:ascii="Times New Roman" w:hAnsi="Times New Roman" w:eastAsia="宋体" w:cs="Times New Roman"/>
          <w:b/>
          <w:bCs/>
          <w:color w:val="auto"/>
          <w:sz w:val="24"/>
          <w:highlight w:val="none"/>
          <w:lang w:eastAsia="zh-CN"/>
        </w:rPr>
        <w:t>近</w:t>
      </w:r>
      <w:r>
        <w:rPr>
          <w:rFonts w:hint="default" w:ascii="Times New Roman" w:hAnsi="Times New Roman" w:eastAsia="宋体" w:cs="Times New Roman"/>
          <w:b/>
          <w:bCs/>
          <w:color w:val="auto"/>
          <w:sz w:val="24"/>
          <w:highlight w:val="none"/>
        </w:rPr>
        <w:t>20年年平均降水的月变化</w:t>
      </w:r>
      <w:r>
        <w:rPr>
          <w:rFonts w:hint="default" w:ascii="Times New Roman" w:hAnsi="Times New Roman" w:eastAsia="宋体" w:cs="Times New Roman"/>
          <w:b/>
          <w:bCs/>
          <w:color w:val="auto"/>
          <w:sz w:val="24"/>
          <w:highlight w:val="none"/>
          <w:lang w:val="en-US" w:eastAsia="zh-CN"/>
        </w:rPr>
        <w:t>单位：mm</w:t>
      </w:r>
    </w:p>
    <w:tbl>
      <w:tblPr>
        <w:tblStyle w:val="4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879"/>
        <w:gridCol w:w="592"/>
        <w:gridCol w:w="686"/>
        <w:gridCol w:w="641"/>
        <w:gridCol w:w="584"/>
        <w:gridCol w:w="641"/>
        <w:gridCol w:w="584"/>
        <w:gridCol w:w="641"/>
        <w:gridCol w:w="641"/>
        <w:gridCol w:w="641"/>
        <w:gridCol w:w="584"/>
        <w:gridCol w:w="584"/>
        <w:gridCol w:w="686"/>
        <w:gridCol w:w="718"/>
      </w:tblGrid>
      <w:tr w14:paraId="04ADDB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83" w:type="pct"/>
            <w:tcBorders>
              <w:tl2br w:val="nil"/>
              <w:tr2bl w:val="nil"/>
            </w:tcBorders>
            <w:noWrap w:val="0"/>
            <w:vAlign w:val="center"/>
          </w:tcPr>
          <w:p w14:paraId="37B3DFF0">
            <w:pPr>
              <w:pStyle w:val="58"/>
              <w:bidi w:val="0"/>
              <w:rPr>
                <w:rFonts w:hint="default"/>
                <w:highlight w:val="none"/>
                <w:lang w:val="en-US" w:eastAsia="zh-CN"/>
              </w:rPr>
            </w:pPr>
            <w:r>
              <w:rPr>
                <w:rFonts w:hint="default"/>
                <w:highlight w:val="none"/>
                <w:lang w:val="en-US" w:eastAsia="zh-CN"/>
              </w:rPr>
              <w:t>月份</w:t>
            </w:r>
          </w:p>
        </w:tc>
        <w:tc>
          <w:tcPr>
            <w:tcW w:w="325" w:type="pct"/>
            <w:tcBorders>
              <w:tl2br w:val="nil"/>
              <w:tr2bl w:val="nil"/>
            </w:tcBorders>
            <w:noWrap w:val="0"/>
            <w:vAlign w:val="center"/>
          </w:tcPr>
          <w:p w14:paraId="48E13E46">
            <w:pPr>
              <w:pStyle w:val="58"/>
              <w:bidi w:val="0"/>
              <w:rPr>
                <w:rFonts w:hint="default"/>
                <w:highlight w:val="none"/>
                <w:lang w:val="en-US" w:eastAsia="zh-CN"/>
              </w:rPr>
            </w:pPr>
            <w:r>
              <w:rPr>
                <w:rFonts w:hint="default"/>
                <w:highlight w:val="none"/>
                <w:lang w:val="en-US" w:eastAsia="zh-CN"/>
              </w:rPr>
              <w:t>1月</w:t>
            </w:r>
          </w:p>
        </w:tc>
        <w:tc>
          <w:tcPr>
            <w:tcW w:w="377" w:type="pct"/>
            <w:tcBorders>
              <w:tl2br w:val="nil"/>
              <w:tr2bl w:val="nil"/>
            </w:tcBorders>
            <w:noWrap w:val="0"/>
            <w:vAlign w:val="center"/>
          </w:tcPr>
          <w:p w14:paraId="221FD4C9">
            <w:pPr>
              <w:pStyle w:val="58"/>
              <w:bidi w:val="0"/>
              <w:rPr>
                <w:rFonts w:hint="default"/>
                <w:highlight w:val="none"/>
                <w:lang w:val="en-US" w:eastAsia="zh-CN"/>
              </w:rPr>
            </w:pPr>
            <w:r>
              <w:rPr>
                <w:rFonts w:hint="default"/>
                <w:highlight w:val="none"/>
                <w:lang w:val="en-US" w:eastAsia="zh-CN"/>
              </w:rPr>
              <w:t>2月</w:t>
            </w:r>
          </w:p>
        </w:tc>
        <w:tc>
          <w:tcPr>
            <w:tcW w:w="352" w:type="pct"/>
            <w:tcBorders>
              <w:tl2br w:val="nil"/>
              <w:tr2bl w:val="nil"/>
            </w:tcBorders>
            <w:noWrap w:val="0"/>
            <w:vAlign w:val="center"/>
          </w:tcPr>
          <w:p w14:paraId="0608F611">
            <w:pPr>
              <w:pStyle w:val="58"/>
              <w:bidi w:val="0"/>
              <w:rPr>
                <w:rFonts w:hint="default"/>
                <w:highlight w:val="none"/>
                <w:lang w:val="en-US" w:eastAsia="zh-CN"/>
              </w:rPr>
            </w:pPr>
            <w:r>
              <w:rPr>
                <w:rFonts w:hint="default"/>
                <w:highlight w:val="none"/>
                <w:lang w:val="en-US" w:eastAsia="zh-CN"/>
              </w:rPr>
              <w:t>3月</w:t>
            </w:r>
          </w:p>
        </w:tc>
        <w:tc>
          <w:tcPr>
            <w:tcW w:w="321" w:type="pct"/>
            <w:tcBorders>
              <w:tl2br w:val="nil"/>
              <w:tr2bl w:val="nil"/>
            </w:tcBorders>
            <w:noWrap w:val="0"/>
            <w:vAlign w:val="center"/>
          </w:tcPr>
          <w:p w14:paraId="6B43D380">
            <w:pPr>
              <w:pStyle w:val="58"/>
              <w:bidi w:val="0"/>
              <w:rPr>
                <w:rFonts w:hint="default"/>
                <w:highlight w:val="none"/>
                <w:lang w:val="en-US" w:eastAsia="zh-CN"/>
              </w:rPr>
            </w:pPr>
            <w:r>
              <w:rPr>
                <w:rFonts w:hint="default"/>
                <w:highlight w:val="none"/>
                <w:lang w:val="en-US" w:eastAsia="zh-CN"/>
              </w:rPr>
              <w:t>4月</w:t>
            </w:r>
          </w:p>
        </w:tc>
        <w:tc>
          <w:tcPr>
            <w:tcW w:w="352" w:type="pct"/>
            <w:tcBorders>
              <w:tl2br w:val="nil"/>
              <w:tr2bl w:val="nil"/>
            </w:tcBorders>
            <w:noWrap w:val="0"/>
            <w:vAlign w:val="center"/>
          </w:tcPr>
          <w:p w14:paraId="72E3F041">
            <w:pPr>
              <w:pStyle w:val="58"/>
              <w:bidi w:val="0"/>
              <w:rPr>
                <w:rFonts w:hint="default"/>
                <w:highlight w:val="none"/>
                <w:lang w:val="en-US" w:eastAsia="zh-CN"/>
              </w:rPr>
            </w:pPr>
            <w:r>
              <w:rPr>
                <w:rFonts w:hint="default"/>
                <w:highlight w:val="none"/>
                <w:lang w:val="en-US" w:eastAsia="zh-CN"/>
              </w:rPr>
              <w:t>5月</w:t>
            </w:r>
          </w:p>
        </w:tc>
        <w:tc>
          <w:tcPr>
            <w:tcW w:w="321" w:type="pct"/>
            <w:tcBorders>
              <w:tl2br w:val="nil"/>
              <w:tr2bl w:val="nil"/>
            </w:tcBorders>
            <w:noWrap w:val="0"/>
            <w:vAlign w:val="center"/>
          </w:tcPr>
          <w:p w14:paraId="0FBB9CD5">
            <w:pPr>
              <w:pStyle w:val="58"/>
              <w:bidi w:val="0"/>
              <w:rPr>
                <w:rFonts w:hint="default"/>
                <w:highlight w:val="none"/>
                <w:lang w:val="en-US" w:eastAsia="zh-CN"/>
              </w:rPr>
            </w:pPr>
            <w:r>
              <w:rPr>
                <w:rFonts w:hint="default"/>
                <w:highlight w:val="none"/>
                <w:lang w:val="en-US" w:eastAsia="zh-CN"/>
              </w:rPr>
              <w:t>6月</w:t>
            </w:r>
          </w:p>
        </w:tc>
        <w:tc>
          <w:tcPr>
            <w:tcW w:w="352" w:type="pct"/>
            <w:tcBorders>
              <w:tl2br w:val="nil"/>
              <w:tr2bl w:val="nil"/>
            </w:tcBorders>
            <w:noWrap w:val="0"/>
            <w:vAlign w:val="center"/>
          </w:tcPr>
          <w:p w14:paraId="20093C18">
            <w:pPr>
              <w:pStyle w:val="58"/>
              <w:bidi w:val="0"/>
              <w:rPr>
                <w:rFonts w:hint="default"/>
                <w:highlight w:val="none"/>
                <w:lang w:val="en-US" w:eastAsia="zh-CN"/>
              </w:rPr>
            </w:pPr>
            <w:r>
              <w:rPr>
                <w:rFonts w:hint="default"/>
                <w:highlight w:val="none"/>
                <w:lang w:val="en-US" w:eastAsia="zh-CN"/>
              </w:rPr>
              <w:t>7月</w:t>
            </w:r>
          </w:p>
        </w:tc>
        <w:tc>
          <w:tcPr>
            <w:tcW w:w="352" w:type="pct"/>
            <w:tcBorders>
              <w:tl2br w:val="nil"/>
              <w:tr2bl w:val="nil"/>
            </w:tcBorders>
            <w:noWrap w:val="0"/>
            <w:vAlign w:val="center"/>
          </w:tcPr>
          <w:p w14:paraId="1AE48D5D">
            <w:pPr>
              <w:pStyle w:val="58"/>
              <w:bidi w:val="0"/>
              <w:rPr>
                <w:rFonts w:hint="default"/>
                <w:highlight w:val="none"/>
                <w:lang w:val="en-US" w:eastAsia="zh-CN"/>
              </w:rPr>
            </w:pPr>
            <w:r>
              <w:rPr>
                <w:rFonts w:hint="default"/>
                <w:highlight w:val="none"/>
                <w:lang w:val="en-US" w:eastAsia="zh-CN"/>
              </w:rPr>
              <w:t>8月</w:t>
            </w:r>
          </w:p>
        </w:tc>
        <w:tc>
          <w:tcPr>
            <w:tcW w:w="352" w:type="pct"/>
            <w:tcBorders>
              <w:tl2br w:val="nil"/>
              <w:tr2bl w:val="nil"/>
            </w:tcBorders>
            <w:noWrap w:val="0"/>
            <w:vAlign w:val="center"/>
          </w:tcPr>
          <w:p w14:paraId="28ED0AD4">
            <w:pPr>
              <w:pStyle w:val="58"/>
              <w:bidi w:val="0"/>
              <w:rPr>
                <w:rFonts w:hint="default"/>
                <w:highlight w:val="none"/>
                <w:lang w:val="en-US" w:eastAsia="zh-CN"/>
              </w:rPr>
            </w:pPr>
            <w:r>
              <w:rPr>
                <w:rFonts w:hint="default"/>
                <w:highlight w:val="none"/>
                <w:lang w:val="en-US" w:eastAsia="zh-CN"/>
              </w:rPr>
              <w:t>9月</w:t>
            </w:r>
          </w:p>
        </w:tc>
        <w:tc>
          <w:tcPr>
            <w:tcW w:w="321" w:type="pct"/>
            <w:tcBorders>
              <w:tl2br w:val="nil"/>
              <w:tr2bl w:val="nil"/>
            </w:tcBorders>
            <w:noWrap w:val="0"/>
            <w:vAlign w:val="center"/>
          </w:tcPr>
          <w:p w14:paraId="501DF6E4">
            <w:pPr>
              <w:pStyle w:val="58"/>
              <w:bidi w:val="0"/>
              <w:rPr>
                <w:rFonts w:hint="default"/>
                <w:highlight w:val="none"/>
                <w:lang w:val="en-US" w:eastAsia="zh-CN"/>
              </w:rPr>
            </w:pPr>
            <w:r>
              <w:rPr>
                <w:rFonts w:hint="default"/>
                <w:highlight w:val="none"/>
                <w:lang w:val="en-US" w:eastAsia="zh-CN"/>
              </w:rPr>
              <w:t>10月</w:t>
            </w:r>
          </w:p>
        </w:tc>
        <w:tc>
          <w:tcPr>
            <w:tcW w:w="321" w:type="pct"/>
            <w:tcBorders>
              <w:tl2br w:val="nil"/>
              <w:tr2bl w:val="nil"/>
            </w:tcBorders>
            <w:noWrap w:val="0"/>
            <w:vAlign w:val="center"/>
          </w:tcPr>
          <w:p w14:paraId="2CEEC064">
            <w:pPr>
              <w:pStyle w:val="58"/>
              <w:bidi w:val="0"/>
              <w:rPr>
                <w:rFonts w:hint="default"/>
                <w:highlight w:val="none"/>
                <w:lang w:val="en-US" w:eastAsia="zh-CN"/>
              </w:rPr>
            </w:pPr>
            <w:r>
              <w:rPr>
                <w:rFonts w:hint="default"/>
                <w:highlight w:val="none"/>
                <w:lang w:val="en-US" w:eastAsia="zh-CN"/>
              </w:rPr>
              <w:t>11月</w:t>
            </w:r>
          </w:p>
        </w:tc>
        <w:tc>
          <w:tcPr>
            <w:tcW w:w="377" w:type="pct"/>
            <w:tcBorders>
              <w:tl2br w:val="nil"/>
              <w:tr2bl w:val="nil"/>
            </w:tcBorders>
            <w:noWrap w:val="0"/>
            <w:vAlign w:val="center"/>
          </w:tcPr>
          <w:p w14:paraId="3380ED34">
            <w:pPr>
              <w:pStyle w:val="58"/>
              <w:bidi w:val="0"/>
              <w:rPr>
                <w:rFonts w:hint="default"/>
                <w:highlight w:val="none"/>
                <w:lang w:val="en-US" w:eastAsia="zh-CN"/>
              </w:rPr>
            </w:pPr>
            <w:r>
              <w:rPr>
                <w:rFonts w:hint="default"/>
                <w:highlight w:val="none"/>
                <w:lang w:val="en-US" w:eastAsia="zh-CN"/>
              </w:rPr>
              <w:t>12月</w:t>
            </w:r>
          </w:p>
        </w:tc>
        <w:tc>
          <w:tcPr>
            <w:tcW w:w="394" w:type="pct"/>
            <w:tcBorders>
              <w:tl2br w:val="nil"/>
              <w:tr2bl w:val="nil"/>
            </w:tcBorders>
            <w:noWrap w:val="0"/>
            <w:vAlign w:val="center"/>
          </w:tcPr>
          <w:p w14:paraId="01C74BDD">
            <w:pPr>
              <w:pStyle w:val="58"/>
              <w:bidi w:val="0"/>
              <w:rPr>
                <w:rFonts w:hint="default"/>
                <w:highlight w:val="none"/>
                <w:lang w:val="en-US" w:eastAsia="zh-CN"/>
              </w:rPr>
            </w:pPr>
            <w:r>
              <w:rPr>
                <w:rFonts w:hint="default"/>
                <w:highlight w:val="none"/>
                <w:lang w:val="en-US" w:eastAsia="zh-CN"/>
              </w:rPr>
              <w:t>全年</w:t>
            </w:r>
          </w:p>
        </w:tc>
      </w:tr>
      <w:tr w14:paraId="3CD4E43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83" w:type="pct"/>
            <w:tcBorders>
              <w:tl2br w:val="nil"/>
              <w:tr2bl w:val="nil"/>
            </w:tcBorders>
            <w:noWrap w:val="0"/>
            <w:vAlign w:val="center"/>
          </w:tcPr>
          <w:p w14:paraId="6DEADF0D">
            <w:pPr>
              <w:pStyle w:val="58"/>
              <w:bidi w:val="0"/>
              <w:rPr>
                <w:rFonts w:hint="default"/>
                <w:highlight w:val="none"/>
                <w:lang w:val="en-US" w:eastAsia="zh-CN"/>
              </w:rPr>
            </w:pPr>
            <w:r>
              <w:rPr>
                <w:rFonts w:hint="default"/>
                <w:highlight w:val="none"/>
                <w:lang w:val="en-US" w:eastAsia="zh-CN"/>
              </w:rPr>
              <w:t>降水量</w:t>
            </w:r>
          </w:p>
        </w:tc>
        <w:tc>
          <w:tcPr>
            <w:tcW w:w="541" w:type="dxa"/>
            <w:tcBorders>
              <w:tl2br w:val="nil"/>
              <w:tr2bl w:val="nil"/>
            </w:tcBorders>
            <w:noWrap w:val="0"/>
            <w:vAlign w:val="center"/>
          </w:tcPr>
          <w:p w14:paraId="7F474517">
            <w:pPr>
              <w:pStyle w:val="58"/>
              <w:bidi w:val="0"/>
              <w:rPr>
                <w:rFonts w:hint="default"/>
                <w:highlight w:val="none"/>
                <w:lang w:val="en-US" w:eastAsia="zh-CN"/>
              </w:rPr>
            </w:pPr>
            <w:r>
              <w:rPr>
                <w:rFonts w:hint="default"/>
                <w:highlight w:val="none"/>
                <w:lang w:val="en-US" w:eastAsia="zh-CN"/>
              </w:rPr>
              <w:t>2.73</w:t>
            </w:r>
          </w:p>
        </w:tc>
        <w:tc>
          <w:tcPr>
            <w:tcW w:w="628" w:type="dxa"/>
            <w:tcBorders>
              <w:tl2br w:val="nil"/>
              <w:tr2bl w:val="nil"/>
            </w:tcBorders>
            <w:noWrap w:val="0"/>
            <w:vAlign w:val="center"/>
          </w:tcPr>
          <w:p w14:paraId="66EEDDFA">
            <w:pPr>
              <w:pStyle w:val="58"/>
              <w:bidi w:val="0"/>
              <w:rPr>
                <w:rFonts w:hint="default"/>
                <w:highlight w:val="none"/>
                <w:lang w:val="en-US" w:eastAsia="zh-CN"/>
              </w:rPr>
            </w:pPr>
            <w:r>
              <w:rPr>
                <w:rFonts w:hint="default"/>
                <w:highlight w:val="none"/>
                <w:lang w:val="en-US" w:eastAsia="zh-CN"/>
              </w:rPr>
              <w:t>5.41</w:t>
            </w:r>
          </w:p>
        </w:tc>
        <w:tc>
          <w:tcPr>
            <w:tcW w:w="586" w:type="dxa"/>
            <w:tcBorders>
              <w:tl2br w:val="nil"/>
              <w:tr2bl w:val="nil"/>
            </w:tcBorders>
            <w:noWrap w:val="0"/>
            <w:vAlign w:val="center"/>
          </w:tcPr>
          <w:p w14:paraId="220C8120">
            <w:pPr>
              <w:pStyle w:val="58"/>
              <w:bidi w:val="0"/>
              <w:rPr>
                <w:rFonts w:hint="default"/>
                <w:highlight w:val="none"/>
                <w:lang w:val="en-US" w:eastAsia="zh-CN"/>
              </w:rPr>
            </w:pPr>
            <w:r>
              <w:rPr>
                <w:rFonts w:hint="default"/>
                <w:highlight w:val="none"/>
                <w:lang w:val="en-US" w:eastAsia="zh-CN"/>
              </w:rPr>
              <w:t>7.51</w:t>
            </w:r>
          </w:p>
        </w:tc>
        <w:tc>
          <w:tcPr>
            <w:tcW w:w="535" w:type="dxa"/>
            <w:tcBorders>
              <w:tl2br w:val="nil"/>
              <w:tr2bl w:val="nil"/>
            </w:tcBorders>
            <w:noWrap w:val="0"/>
            <w:vAlign w:val="center"/>
          </w:tcPr>
          <w:p w14:paraId="253196F0">
            <w:pPr>
              <w:pStyle w:val="58"/>
              <w:bidi w:val="0"/>
              <w:rPr>
                <w:rFonts w:hint="default"/>
                <w:highlight w:val="none"/>
                <w:lang w:val="en-US" w:eastAsia="zh-CN"/>
              </w:rPr>
            </w:pPr>
            <w:r>
              <w:rPr>
                <w:rFonts w:hint="default"/>
                <w:highlight w:val="none"/>
                <w:lang w:val="en-US" w:eastAsia="zh-CN"/>
              </w:rPr>
              <w:t>21.78</w:t>
            </w:r>
          </w:p>
        </w:tc>
        <w:tc>
          <w:tcPr>
            <w:tcW w:w="586" w:type="dxa"/>
            <w:tcBorders>
              <w:tl2br w:val="nil"/>
              <w:tr2bl w:val="nil"/>
            </w:tcBorders>
            <w:noWrap w:val="0"/>
            <w:vAlign w:val="center"/>
          </w:tcPr>
          <w:p w14:paraId="1EF6C1AC">
            <w:pPr>
              <w:pStyle w:val="58"/>
              <w:bidi w:val="0"/>
              <w:rPr>
                <w:rFonts w:hint="default"/>
                <w:highlight w:val="none"/>
                <w:lang w:val="en-US" w:eastAsia="zh-CN"/>
              </w:rPr>
            </w:pPr>
            <w:r>
              <w:rPr>
                <w:rFonts w:hint="default"/>
                <w:highlight w:val="none"/>
                <w:lang w:val="en-US" w:eastAsia="zh-CN"/>
              </w:rPr>
              <w:t>43.40</w:t>
            </w:r>
          </w:p>
        </w:tc>
        <w:tc>
          <w:tcPr>
            <w:tcW w:w="535" w:type="dxa"/>
            <w:tcBorders>
              <w:tl2br w:val="nil"/>
              <w:tr2bl w:val="nil"/>
            </w:tcBorders>
            <w:noWrap w:val="0"/>
            <w:vAlign w:val="center"/>
          </w:tcPr>
          <w:p w14:paraId="6052C66C">
            <w:pPr>
              <w:pStyle w:val="58"/>
              <w:bidi w:val="0"/>
              <w:rPr>
                <w:rFonts w:hint="default"/>
                <w:highlight w:val="none"/>
                <w:lang w:val="en-US" w:eastAsia="zh-CN"/>
              </w:rPr>
            </w:pPr>
            <w:r>
              <w:rPr>
                <w:rFonts w:hint="default"/>
                <w:highlight w:val="none"/>
                <w:lang w:val="en-US" w:eastAsia="zh-CN"/>
              </w:rPr>
              <w:t>85.25</w:t>
            </w:r>
          </w:p>
        </w:tc>
        <w:tc>
          <w:tcPr>
            <w:tcW w:w="586" w:type="dxa"/>
            <w:tcBorders>
              <w:tl2br w:val="nil"/>
              <w:tr2bl w:val="nil"/>
            </w:tcBorders>
            <w:noWrap w:val="0"/>
            <w:vAlign w:val="center"/>
          </w:tcPr>
          <w:p w14:paraId="79B88F4F">
            <w:pPr>
              <w:pStyle w:val="58"/>
              <w:bidi w:val="0"/>
              <w:rPr>
                <w:rFonts w:hint="default"/>
                <w:highlight w:val="none"/>
                <w:lang w:val="en-US" w:eastAsia="zh-CN"/>
              </w:rPr>
            </w:pPr>
            <w:r>
              <w:rPr>
                <w:rFonts w:hint="default"/>
                <w:highlight w:val="none"/>
                <w:lang w:val="en-US" w:eastAsia="zh-CN"/>
              </w:rPr>
              <w:t>143.99</w:t>
            </w:r>
          </w:p>
        </w:tc>
        <w:tc>
          <w:tcPr>
            <w:tcW w:w="586" w:type="dxa"/>
            <w:tcBorders>
              <w:tl2br w:val="nil"/>
              <w:tr2bl w:val="nil"/>
            </w:tcBorders>
            <w:noWrap w:val="0"/>
            <w:vAlign w:val="center"/>
          </w:tcPr>
          <w:p w14:paraId="465E1330">
            <w:pPr>
              <w:pStyle w:val="58"/>
              <w:bidi w:val="0"/>
              <w:rPr>
                <w:rFonts w:hint="default"/>
                <w:highlight w:val="none"/>
                <w:lang w:val="en-US" w:eastAsia="zh-CN"/>
              </w:rPr>
            </w:pPr>
            <w:r>
              <w:rPr>
                <w:rFonts w:hint="default"/>
                <w:highlight w:val="none"/>
                <w:lang w:val="en-US" w:eastAsia="zh-CN"/>
              </w:rPr>
              <w:t>141.17</w:t>
            </w:r>
          </w:p>
        </w:tc>
        <w:tc>
          <w:tcPr>
            <w:tcW w:w="586" w:type="dxa"/>
            <w:tcBorders>
              <w:tl2br w:val="nil"/>
              <w:tr2bl w:val="nil"/>
            </w:tcBorders>
            <w:noWrap w:val="0"/>
            <w:vAlign w:val="center"/>
          </w:tcPr>
          <w:p w14:paraId="687883EB">
            <w:pPr>
              <w:pStyle w:val="58"/>
              <w:bidi w:val="0"/>
              <w:rPr>
                <w:rFonts w:hint="default"/>
                <w:highlight w:val="none"/>
                <w:lang w:val="en-US" w:eastAsia="zh-CN"/>
              </w:rPr>
            </w:pPr>
            <w:r>
              <w:rPr>
                <w:rFonts w:hint="default"/>
                <w:highlight w:val="none"/>
                <w:lang w:val="en-US" w:eastAsia="zh-CN"/>
              </w:rPr>
              <w:t>51.25</w:t>
            </w:r>
          </w:p>
        </w:tc>
        <w:tc>
          <w:tcPr>
            <w:tcW w:w="535" w:type="dxa"/>
            <w:tcBorders>
              <w:tl2br w:val="nil"/>
              <w:tr2bl w:val="nil"/>
            </w:tcBorders>
            <w:noWrap w:val="0"/>
            <w:vAlign w:val="center"/>
          </w:tcPr>
          <w:p w14:paraId="00F6CEC9">
            <w:pPr>
              <w:pStyle w:val="58"/>
              <w:bidi w:val="0"/>
              <w:rPr>
                <w:rFonts w:hint="default"/>
                <w:highlight w:val="none"/>
                <w:lang w:val="en-US" w:eastAsia="zh-CN"/>
              </w:rPr>
            </w:pPr>
            <w:r>
              <w:rPr>
                <w:rFonts w:hint="default"/>
                <w:highlight w:val="none"/>
                <w:lang w:val="en-US" w:eastAsia="zh-CN"/>
              </w:rPr>
              <w:t>33.55</w:t>
            </w:r>
          </w:p>
        </w:tc>
        <w:tc>
          <w:tcPr>
            <w:tcW w:w="535" w:type="dxa"/>
            <w:tcBorders>
              <w:tl2br w:val="nil"/>
              <w:tr2bl w:val="nil"/>
            </w:tcBorders>
            <w:noWrap w:val="0"/>
            <w:vAlign w:val="center"/>
          </w:tcPr>
          <w:p w14:paraId="605EE667">
            <w:pPr>
              <w:pStyle w:val="58"/>
              <w:bidi w:val="0"/>
              <w:rPr>
                <w:rFonts w:hint="default"/>
                <w:highlight w:val="none"/>
                <w:lang w:val="en-US" w:eastAsia="zh-CN"/>
              </w:rPr>
            </w:pPr>
            <w:r>
              <w:rPr>
                <w:rFonts w:hint="default"/>
                <w:highlight w:val="none"/>
                <w:lang w:val="en-US" w:eastAsia="zh-CN"/>
              </w:rPr>
              <w:t>12.87</w:t>
            </w:r>
          </w:p>
        </w:tc>
        <w:tc>
          <w:tcPr>
            <w:tcW w:w="629" w:type="dxa"/>
            <w:tcBorders>
              <w:tl2br w:val="nil"/>
              <w:tr2bl w:val="nil"/>
            </w:tcBorders>
            <w:noWrap w:val="0"/>
            <w:vAlign w:val="center"/>
          </w:tcPr>
          <w:p w14:paraId="0D6217C5">
            <w:pPr>
              <w:pStyle w:val="58"/>
              <w:bidi w:val="0"/>
              <w:rPr>
                <w:rFonts w:hint="default"/>
                <w:highlight w:val="none"/>
                <w:lang w:val="en-US" w:eastAsia="zh-CN"/>
              </w:rPr>
            </w:pPr>
            <w:r>
              <w:rPr>
                <w:rFonts w:hint="default"/>
                <w:highlight w:val="none"/>
                <w:lang w:val="en-US" w:eastAsia="zh-CN"/>
              </w:rPr>
              <w:t>3.88</w:t>
            </w:r>
          </w:p>
        </w:tc>
        <w:tc>
          <w:tcPr>
            <w:tcW w:w="657" w:type="dxa"/>
            <w:tcBorders>
              <w:tl2br w:val="nil"/>
              <w:tr2bl w:val="nil"/>
            </w:tcBorders>
            <w:noWrap w:val="0"/>
            <w:vAlign w:val="center"/>
          </w:tcPr>
          <w:p w14:paraId="456049F7">
            <w:pPr>
              <w:pStyle w:val="58"/>
              <w:bidi w:val="0"/>
              <w:rPr>
                <w:rFonts w:hint="default"/>
                <w:highlight w:val="none"/>
                <w:lang w:val="en-US" w:eastAsia="zh-CN"/>
              </w:rPr>
            </w:pPr>
            <w:r>
              <w:rPr>
                <w:rFonts w:hint="default"/>
                <w:highlight w:val="none"/>
                <w:lang w:val="en-US" w:eastAsia="zh-CN"/>
              </w:rPr>
              <w:fldChar w:fldCharType="begin"/>
            </w:r>
            <w:r>
              <w:rPr>
                <w:rFonts w:hint="default"/>
                <w:highlight w:val="none"/>
                <w:lang w:val="en-US" w:eastAsia="zh-CN"/>
              </w:rPr>
              <w:instrText xml:space="preserve"> = sum(B2:M2) \* MERGEFORMAT </w:instrText>
            </w:r>
            <w:r>
              <w:rPr>
                <w:rFonts w:hint="default"/>
                <w:highlight w:val="none"/>
                <w:lang w:val="en-US" w:eastAsia="zh-CN"/>
              </w:rPr>
              <w:fldChar w:fldCharType="separate"/>
            </w:r>
            <w:r>
              <w:rPr>
                <w:rFonts w:hint="default"/>
                <w:highlight w:val="none"/>
                <w:lang w:val="en-US" w:eastAsia="zh-CN"/>
              </w:rPr>
              <w:t>552.79</w:t>
            </w:r>
            <w:r>
              <w:rPr>
                <w:rFonts w:hint="default"/>
                <w:highlight w:val="none"/>
                <w:lang w:val="en-US" w:eastAsia="zh-CN"/>
              </w:rPr>
              <w:fldChar w:fldCharType="end"/>
            </w:r>
          </w:p>
        </w:tc>
      </w:tr>
    </w:tbl>
    <w:p w14:paraId="2D1BA79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4"/>
          <w:szCs w:val="28"/>
          <w:highlight w:val="none"/>
          <w14:textFill>
            <w14:solidFill>
              <w14:schemeClr w14:val="tx1"/>
            </w14:solidFill>
          </w14:textFill>
        </w:rPr>
      </w:pPr>
      <w:r>
        <w:rPr>
          <w:rFonts w:hint="default" w:ascii="Times New Roman" w:hAnsi="Times New Roman" w:eastAsia="宋体" w:cs="Times New Roman"/>
          <w:color w:val="000000" w:themeColor="text1"/>
          <w:sz w:val="24"/>
          <w:szCs w:val="28"/>
          <w:highlight w:val="none"/>
          <w14:textFill>
            <w14:solidFill>
              <w14:schemeClr w14:val="tx1"/>
            </w14:solidFill>
          </w14:textFill>
        </w:rPr>
        <w:drawing>
          <wp:inline distT="0" distB="0" distL="114300" distR="114300">
            <wp:extent cx="5276850" cy="2971800"/>
            <wp:effectExtent l="4445" t="4445" r="14605" b="14605"/>
            <wp:docPr id="47" name="图表 4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75C2B8D5">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近20年平均降水月变化曲线图</w:t>
      </w:r>
    </w:p>
    <w:p w14:paraId="4EFE530A">
      <w:pPr>
        <w:pageBreakBefore w:val="0"/>
        <w:widowControl w:val="0"/>
        <w:kinsoku/>
        <w:wordWrap/>
        <w:overflowPunct/>
        <w:topLinePunct w:val="0"/>
        <w:bidi w:val="0"/>
        <w:adjustRightInd w:val="0"/>
        <w:snapToGrid w:val="0"/>
        <w:spacing w:line="480" w:lineRule="exact"/>
        <w:ind w:firstLine="482"/>
        <w:textAlignment w:val="auto"/>
        <w:rPr>
          <w:rFonts w:hint="default" w:ascii="Times New Roman" w:hAnsi="Times New Roman" w:eastAsia="宋体" w:cs="Times New Roman"/>
          <w:color w:val="000000" w:themeColor="text1"/>
          <w:sz w:val="24"/>
          <w:szCs w:val="28"/>
          <w:highlight w:val="none"/>
          <w14:textFill>
            <w14:solidFill>
              <w14:schemeClr w14:val="tx1"/>
            </w14:solidFill>
          </w14:textFill>
        </w:rPr>
      </w:pPr>
      <w:r>
        <w:rPr>
          <w:rFonts w:hint="default" w:ascii="Times New Roman" w:hAnsi="Times New Roman" w:eastAsia="宋体" w:cs="Times New Roman"/>
          <w:color w:val="000000" w:themeColor="text1"/>
          <w:sz w:val="24"/>
          <w:szCs w:val="28"/>
          <w:highlight w:val="none"/>
          <w14:textFill>
            <w14:solidFill>
              <w14:schemeClr w14:val="tx1"/>
            </w14:solidFill>
          </w14:textFill>
        </w:rPr>
        <w:t>⑷日照时数</w:t>
      </w:r>
    </w:p>
    <w:p w14:paraId="2BB63A7E">
      <w:pPr>
        <w:pageBreakBefore w:val="0"/>
        <w:widowControl w:val="0"/>
        <w:kinsoku/>
        <w:wordWrap/>
        <w:overflowPunct/>
        <w:topLinePunct w:val="0"/>
        <w:bidi w:val="0"/>
        <w:adjustRightInd w:val="0"/>
        <w:snapToGrid w:val="0"/>
        <w:spacing w:line="480" w:lineRule="exact"/>
        <w:ind w:firstLine="482"/>
        <w:textAlignment w:val="auto"/>
        <w:rPr>
          <w:rFonts w:hint="default" w:ascii="Times New Roman" w:hAnsi="Times New Roman" w:eastAsia="宋体" w:cs="Times New Roman"/>
          <w:color w:val="000000" w:themeColor="text1"/>
          <w:sz w:val="24"/>
          <w:szCs w:val="28"/>
          <w:highlight w:val="none"/>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所在</w:t>
      </w:r>
      <w:r>
        <w:rPr>
          <w:rFonts w:hint="default" w:ascii="Times New Roman" w:hAnsi="Times New Roman" w:eastAsia="宋体" w:cs="Times New Roman"/>
          <w:color w:val="000000" w:themeColor="text1"/>
          <w:sz w:val="24"/>
          <w:szCs w:val="28"/>
          <w:highlight w:val="none"/>
          <w14:textFill>
            <w14:solidFill>
              <w14:schemeClr w14:val="tx1"/>
            </w14:solidFill>
          </w14:textFill>
        </w:rPr>
        <w:t>地区全年日照时数为</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2525.6</w:t>
      </w:r>
      <w:r>
        <w:rPr>
          <w:rFonts w:hint="default" w:ascii="Times New Roman" w:hAnsi="Times New Roman" w:eastAsia="宋体" w:cs="Times New Roman"/>
          <w:color w:val="000000" w:themeColor="text1"/>
          <w:sz w:val="24"/>
          <w:szCs w:val="28"/>
          <w:highlight w:val="none"/>
          <w14:textFill>
            <w14:solidFill>
              <w14:schemeClr w14:val="tx1"/>
            </w14:solidFill>
          </w14:textFill>
        </w:rPr>
        <w:t>h，5月份最高为2</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74.05</w:t>
      </w:r>
      <w:r>
        <w:rPr>
          <w:rFonts w:hint="default" w:ascii="Times New Roman" w:hAnsi="Times New Roman" w:eastAsia="宋体" w:cs="Times New Roman"/>
          <w:color w:val="000000" w:themeColor="text1"/>
          <w:sz w:val="24"/>
          <w:szCs w:val="28"/>
          <w:highlight w:val="none"/>
          <w14:textFill>
            <w14:solidFill>
              <w14:schemeClr w14:val="tx1"/>
            </w14:solidFill>
          </w14:textFill>
        </w:rPr>
        <w:t>h，2月份最低为16</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7.73</w:t>
      </w:r>
      <w:r>
        <w:rPr>
          <w:rFonts w:hint="default" w:ascii="Times New Roman" w:hAnsi="Times New Roman" w:eastAsia="宋体" w:cs="Times New Roman"/>
          <w:color w:val="000000" w:themeColor="text1"/>
          <w:sz w:val="24"/>
          <w:szCs w:val="28"/>
          <w:highlight w:val="none"/>
          <w14:textFill>
            <w14:solidFill>
              <w14:schemeClr w14:val="tx1"/>
            </w14:solidFill>
          </w14:textFill>
        </w:rPr>
        <w:t>h。</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曹妃甸</w:t>
      </w:r>
      <w:r>
        <w:rPr>
          <w:rFonts w:hint="default" w:ascii="Times New Roman" w:hAnsi="Times New Roman" w:eastAsia="宋体" w:cs="Times New Roman"/>
          <w:color w:val="000000" w:themeColor="text1"/>
          <w:sz w:val="24"/>
          <w:szCs w:val="28"/>
          <w:highlight w:val="none"/>
          <w14:textFill>
            <w14:solidFill>
              <w14:schemeClr w14:val="tx1"/>
            </w14:solidFill>
          </w14:textFill>
        </w:rPr>
        <w:t>区累年平均日照时数统计见表</w:t>
      </w:r>
      <w:r>
        <w:rPr>
          <w:rFonts w:hint="eastAsia" w:cs="Times New Roman"/>
          <w:color w:val="000000" w:themeColor="text1"/>
          <w:sz w:val="24"/>
          <w:szCs w:val="28"/>
          <w:highlight w:val="none"/>
          <w:lang w:val="en-US" w:eastAsia="zh-CN"/>
          <w14:textFill>
            <w14:solidFill>
              <w14:schemeClr w14:val="tx1"/>
            </w14:solidFill>
          </w14:textFill>
        </w:rPr>
        <w:t>5.2-5</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及图</w:t>
      </w:r>
      <w:r>
        <w:rPr>
          <w:rFonts w:hint="eastAsia" w:cs="Times New Roman"/>
          <w:color w:val="000000" w:themeColor="text1"/>
          <w:sz w:val="24"/>
          <w:szCs w:val="28"/>
          <w:highlight w:val="none"/>
          <w:lang w:val="en-US" w:eastAsia="zh-CN"/>
          <w14:textFill>
            <w14:solidFill>
              <w14:schemeClr w14:val="tx1"/>
            </w14:solidFill>
          </w14:textFill>
        </w:rPr>
        <w:t>5.2</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sz w:val="24"/>
          <w:szCs w:val="28"/>
          <w:highlight w:val="none"/>
          <w14:textFill>
            <w14:solidFill>
              <w14:schemeClr w14:val="tx1"/>
            </w14:solidFill>
          </w14:textFill>
        </w:rPr>
        <w:t>。</w:t>
      </w:r>
    </w:p>
    <w:p w14:paraId="363CC5DB">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lang w:val="en-US" w:eastAsia="zh-CN"/>
        </w:rPr>
        <w:t>　曹妃甸</w:t>
      </w:r>
      <w:r>
        <w:rPr>
          <w:rFonts w:hint="eastAsia" w:cs="Times New Roman"/>
          <w:b/>
          <w:bCs/>
          <w:color w:val="auto"/>
          <w:sz w:val="24"/>
          <w:highlight w:val="none"/>
          <w:lang w:val="en-US" w:eastAsia="zh-CN"/>
        </w:rPr>
        <w:t>区</w:t>
      </w:r>
      <w:r>
        <w:rPr>
          <w:rFonts w:hint="default" w:ascii="Times New Roman" w:hAnsi="Times New Roman" w:eastAsia="宋体" w:cs="Times New Roman"/>
          <w:b/>
          <w:bCs/>
          <w:color w:val="auto"/>
          <w:sz w:val="24"/>
          <w:highlight w:val="none"/>
          <w:lang w:eastAsia="zh-CN"/>
        </w:rPr>
        <w:t>近</w:t>
      </w:r>
      <w:r>
        <w:rPr>
          <w:rFonts w:hint="default" w:ascii="Times New Roman" w:hAnsi="Times New Roman" w:eastAsia="宋体" w:cs="Times New Roman"/>
          <w:b/>
          <w:bCs/>
          <w:color w:val="auto"/>
          <w:sz w:val="24"/>
          <w:highlight w:val="none"/>
        </w:rPr>
        <w:t>20年平均日照时数的月变化</w:t>
      </w:r>
    </w:p>
    <w:tbl>
      <w:tblPr>
        <w:tblStyle w:val="47"/>
        <w:tblW w:w="5015"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891"/>
        <w:gridCol w:w="686"/>
        <w:gridCol w:w="686"/>
        <w:gridCol w:w="686"/>
        <w:gridCol w:w="686"/>
        <w:gridCol w:w="686"/>
        <w:gridCol w:w="686"/>
        <w:gridCol w:w="686"/>
        <w:gridCol w:w="686"/>
        <w:gridCol w:w="686"/>
        <w:gridCol w:w="686"/>
        <w:gridCol w:w="689"/>
        <w:gridCol w:w="689"/>
      </w:tblGrid>
      <w:tr w14:paraId="4DB52D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c>
          <w:tcPr>
            <w:tcW w:w="487" w:type="pct"/>
            <w:tcBorders>
              <w:tl2br w:val="nil"/>
              <w:tr2bl w:val="nil"/>
            </w:tcBorders>
            <w:noWrap w:val="0"/>
            <w:vAlign w:val="center"/>
          </w:tcPr>
          <w:p w14:paraId="5E1F0600">
            <w:pPr>
              <w:pStyle w:val="58"/>
              <w:bidi w:val="0"/>
              <w:rPr>
                <w:rFonts w:hint="default"/>
                <w:highlight w:val="none"/>
                <w:lang w:val="en-US" w:eastAsia="zh-CN"/>
              </w:rPr>
            </w:pPr>
            <w:r>
              <w:rPr>
                <w:rFonts w:hint="default"/>
                <w:highlight w:val="none"/>
                <w:lang w:val="en-US" w:eastAsia="zh-CN"/>
              </w:rPr>
              <w:t>月份</w:t>
            </w:r>
          </w:p>
        </w:tc>
        <w:tc>
          <w:tcPr>
            <w:tcW w:w="375" w:type="pct"/>
            <w:tcBorders>
              <w:tl2br w:val="nil"/>
              <w:tr2bl w:val="nil"/>
            </w:tcBorders>
            <w:noWrap w:val="0"/>
            <w:vAlign w:val="center"/>
          </w:tcPr>
          <w:p w14:paraId="0D7432F7">
            <w:pPr>
              <w:pStyle w:val="58"/>
              <w:bidi w:val="0"/>
              <w:rPr>
                <w:rFonts w:hint="default"/>
                <w:highlight w:val="none"/>
                <w:lang w:val="en-US" w:eastAsia="zh-CN"/>
              </w:rPr>
            </w:pPr>
            <w:r>
              <w:rPr>
                <w:rFonts w:hint="default"/>
                <w:highlight w:val="none"/>
                <w:lang w:val="en-US" w:eastAsia="zh-CN"/>
              </w:rPr>
              <w:t>1月</w:t>
            </w:r>
          </w:p>
        </w:tc>
        <w:tc>
          <w:tcPr>
            <w:tcW w:w="375" w:type="pct"/>
            <w:tcBorders>
              <w:tl2br w:val="nil"/>
              <w:tr2bl w:val="nil"/>
            </w:tcBorders>
            <w:noWrap w:val="0"/>
            <w:vAlign w:val="center"/>
          </w:tcPr>
          <w:p w14:paraId="4CBC178F">
            <w:pPr>
              <w:pStyle w:val="58"/>
              <w:bidi w:val="0"/>
              <w:rPr>
                <w:rFonts w:hint="default"/>
                <w:highlight w:val="none"/>
                <w:lang w:val="en-US" w:eastAsia="zh-CN"/>
              </w:rPr>
            </w:pPr>
            <w:r>
              <w:rPr>
                <w:rFonts w:hint="default"/>
                <w:highlight w:val="none"/>
                <w:lang w:val="en-US" w:eastAsia="zh-CN"/>
              </w:rPr>
              <w:t>2月</w:t>
            </w:r>
          </w:p>
        </w:tc>
        <w:tc>
          <w:tcPr>
            <w:tcW w:w="375" w:type="pct"/>
            <w:tcBorders>
              <w:tl2br w:val="nil"/>
              <w:tr2bl w:val="nil"/>
            </w:tcBorders>
            <w:noWrap w:val="0"/>
            <w:vAlign w:val="center"/>
          </w:tcPr>
          <w:p w14:paraId="3138DBA0">
            <w:pPr>
              <w:pStyle w:val="58"/>
              <w:bidi w:val="0"/>
              <w:rPr>
                <w:rFonts w:hint="default"/>
                <w:highlight w:val="none"/>
                <w:lang w:val="en-US" w:eastAsia="zh-CN"/>
              </w:rPr>
            </w:pPr>
            <w:r>
              <w:rPr>
                <w:rFonts w:hint="default"/>
                <w:highlight w:val="none"/>
                <w:lang w:val="en-US" w:eastAsia="zh-CN"/>
              </w:rPr>
              <w:t>3月</w:t>
            </w:r>
          </w:p>
        </w:tc>
        <w:tc>
          <w:tcPr>
            <w:tcW w:w="375" w:type="pct"/>
            <w:tcBorders>
              <w:tl2br w:val="nil"/>
              <w:tr2bl w:val="nil"/>
            </w:tcBorders>
            <w:noWrap w:val="0"/>
            <w:vAlign w:val="center"/>
          </w:tcPr>
          <w:p w14:paraId="5FDA1249">
            <w:pPr>
              <w:pStyle w:val="58"/>
              <w:bidi w:val="0"/>
              <w:rPr>
                <w:rFonts w:hint="default"/>
                <w:highlight w:val="none"/>
                <w:lang w:val="en-US" w:eastAsia="zh-CN"/>
              </w:rPr>
            </w:pPr>
            <w:r>
              <w:rPr>
                <w:rFonts w:hint="default"/>
                <w:highlight w:val="none"/>
                <w:lang w:val="en-US" w:eastAsia="zh-CN"/>
              </w:rPr>
              <w:t>4月</w:t>
            </w:r>
          </w:p>
        </w:tc>
        <w:tc>
          <w:tcPr>
            <w:tcW w:w="375" w:type="pct"/>
            <w:tcBorders>
              <w:tl2br w:val="nil"/>
              <w:tr2bl w:val="nil"/>
            </w:tcBorders>
            <w:noWrap w:val="0"/>
            <w:vAlign w:val="center"/>
          </w:tcPr>
          <w:p w14:paraId="137F3F18">
            <w:pPr>
              <w:pStyle w:val="58"/>
              <w:bidi w:val="0"/>
              <w:rPr>
                <w:rFonts w:hint="default"/>
                <w:highlight w:val="none"/>
                <w:lang w:val="en-US" w:eastAsia="zh-CN"/>
              </w:rPr>
            </w:pPr>
            <w:r>
              <w:rPr>
                <w:rFonts w:hint="default"/>
                <w:highlight w:val="none"/>
                <w:lang w:val="en-US" w:eastAsia="zh-CN"/>
              </w:rPr>
              <w:t>5月</w:t>
            </w:r>
          </w:p>
        </w:tc>
        <w:tc>
          <w:tcPr>
            <w:tcW w:w="375" w:type="pct"/>
            <w:tcBorders>
              <w:tl2br w:val="nil"/>
              <w:tr2bl w:val="nil"/>
            </w:tcBorders>
            <w:noWrap w:val="0"/>
            <w:vAlign w:val="center"/>
          </w:tcPr>
          <w:p w14:paraId="10242143">
            <w:pPr>
              <w:pStyle w:val="58"/>
              <w:bidi w:val="0"/>
              <w:rPr>
                <w:rFonts w:hint="default"/>
                <w:highlight w:val="none"/>
                <w:lang w:val="en-US" w:eastAsia="zh-CN"/>
              </w:rPr>
            </w:pPr>
            <w:r>
              <w:rPr>
                <w:rFonts w:hint="default"/>
                <w:highlight w:val="none"/>
                <w:lang w:val="en-US" w:eastAsia="zh-CN"/>
              </w:rPr>
              <w:t>6月</w:t>
            </w:r>
          </w:p>
        </w:tc>
        <w:tc>
          <w:tcPr>
            <w:tcW w:w="375" w:type="pct"/>
            <w:tcBorders>
              <w:tl2br w:val="nil"/>
              <w:tr2bl w:val="nil"/>
            </w:tcBorders>
            <w:noWrap w:val="0"/>
            <w:vAlign w:val="center"/>
          </w:tcPr>
          <w:p w14:paraId="73CAF012">
            <w:pPr>
              <w:pStyle w:val="58"/>
              <w:bidi w:val="0"/>
              <w:rPr>
                <w:rFonts w:hint="default"/>
                <w:highlight w:val="none"/>
                <w:lang w:val="en-US" w:eastAsia="zh-CN"/>
              </w:rPr>
            </w:pPr>
            <w:r>
              <w:rPr>
                <w:rFonts w:hint="default"/>
                <w:highlight w:val="none"/>
                <w:lang w:val="en-US" w:eastAsia="zh-CN"/>
              </w:rPr>
              <w:t>7月</w:t>
            </w:r>
          </w:p>
        </w:tc>
        <w:tc>
          <w:tcPr>
            <w:tcW w:w="375" w:type="pct"/>
            <w:tcBorders>
              <w:tl2br w:val="nil"/>
              <w:tr2bl w:val="nil"/>
            </w:tcBorders>
            <w:noWrap w:val="0"/>
            <w:vAlign w:val="center"/>
          </w:tcPr>
          <w:p w14:paraId="466D3E41">
            <w:pPr>
              <w:pStyle w:val="58"/>
              <w:bidi w:val="0"/>
              <w:rPr>
                <w:rFonts w:hint="default"/>
                <w:highlight w:val="none"/>
                <w:lang w:val="en-US" w:eastAsia="zh-CN"/>
              </w:rPr>
            </w:pPr>
            <w:r>
              <w:rPr>
                <w:rFonts w:hint="default"/>
                <w:highlight w:val="none"/>
                <w:lang w:val="en-US" w:eastAsia="zh-CN"/>
              </w:rPr>
              <w:t>8月</w:t>
            </w:r>
          </w:p>
        </w:tc>
        <w:tc>
          <w:tcPr>
            <w:tcW w:w="375" w:type="pct"/>
            <w:tcBorders>
              <w:tl2br w:val="nil"/>
              <w:tr2bl w:val="nil"/>
            </w:tcBorders>
            <w:noWrap w:val="0"/>
            <w:vAlign w:val="center"/>
          </w:tcPr>
          <w:p w14:paraId="119A74EE">
            <w:pPr>
              <w:pStyle w:val="58"/>
              <w:bidi w:val="0"/>
              <w:rPr>
                <w:rFonts w:hint="default"/>
                <w:highlight w:val="none"/>
                <w:lang w:val="en-US" w:eastAsia="zh-CN"/>
              </w:rPr>
            </w:pPr>
            <w:r>
              <w:rPr>
                <w:rFonts w:hint="default"/>
                <w:highlight w:val="none"/>
                <w:lang w:val="en-US" w:eastAsia="zh-CN"/>
              </w:rPr>
              <w:t>9月</w:t>
            </w:r>
          </w:p>
        </w:tc>
        <w:tc>
          <w:tcPr>
            <w:tcW w:w="375" w:type="pct"/>
            <w:tcBorders>
              <w:tl2br w:val="nil"/>
              <w:tr2bl w:val="nil"/>
            </w:tcBorders>
            <w:noWrap w:val="0"/>
            <w:vAlign w:val="center"/>
          </w:tcPr>
          <w:p w14:paraId="7BB8B80A">
            <w:pPr>
              <w:pStyle w:val="58"/>
              <w:bidi w:val="0"/>
              <w:rPr>
                <w:rFonts w:hint="default"/>
                <w:highlight w:val="none"/>
                <w:lang w:val="en-US" w:eastAsia="zh-CN"/>
              </w:rPr>
            </w:pPr>
            <w:r>
              <w:rPr>
                <w:rFonts w:hint="default"/>
                <w:highlight w:val="none"/>
                <w:lang w:val="en-US" w:eastAsia="zh-CN"/>
              </w:rPr>
              <w:t>10月</w:t>
            </w:r>
          </w:p>
        </w:tc>
        <w:tc>
          <w:tcPr>
            <w:tcW w:w="376" w:type="pct"/>
            <w:tcBorders>
              <w:tl2br w:val="nil"/>
              <w:tr2bl w:val="nil"/>
            </w:tcBorders>
            <w:noWrap w:val="0"/>
            <w:vAlign w:val="center"/>
          </w:tcPr>
          <w:p w14:paraId="01913D76">
            <w:pPr>
              <w:pStyle w:val="58"/>
              <w:bidi w:val="0"/>
              <w:rPr>
                <w:rFonts w:hint="default"/>
                <w:highlight w:val="none"/>
                <w:lang w:val="en-US" w:eastAsia="zh-CN"/>
              </w:rPr>
            </w:pPr>
            <w:r>
              <w:rPr>
                <w:rFonts w:hint="default"/>
                <w:highlight w:val="none"/>
                <w:lang w:val="en-US" w:eastAsia="zh-CN"/>
              </w:rPr>
              <w:t>11月</w:t>
            </w:r>
          </w:p>
        </w:tc>
        <w:tc>
          <w:tcPr>
            <w:tcW w:w="376" w:type="pct"/>
            <w:tcBorders>
              <w:tl2br w:val="nil"/>
              <w:tr2bl w:val="nil"/>
            </w:tcBorders>
            <w:noWrap w:val="0"/>
            <w:vAlign w:val="center"/>
          </w:tcPr>
          <w:p w14:paraId="5DD2B070">
            <w:pPr>
              <w:pStyle w:val="58"/>
              <w:bidi w:val="0"/>
              <w:rPr>
                <w:rFonts w:hint="default"/>
                <w:highlight w:val="none"/>
                <w:lang w:val="en-US" w:eastAsia="zh-CN"/>
              </w:rPr>
            </w:pPr>
            <w:r>
              <w:rPr>
                <w:rFonts w:hint="default"/>
                <w:highlight w:val="none"/>
                <w:lang w:val="en-US" w:eastAsia="zh-CN"/>
              </w:rPr>
              <w:t>12月</w:t>
            </w:r>
          </w:p>
        </w:tc>
      </w:tr>
      <w:tr w14:paraId="3C4B0CA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c>
          <w:tcPr>
            <w:tcW w:w="487" w:type="pct"/>
            <w:tcBorders>
              <w:tl2br w:val="nil"/>
              <w:tr2bl w:val="nil"/>
            </w:tcBorders>
            <w:noWrap w:val="0"/>
            <w:vAlign w:val="center"/>
          </w:tcPr>
          <w:p w14:paraId="0AF9EB96">
            <w:pPr>
              <w:pStyle w:val="58"/>
              <w:bidi w:val="0"/>
              <w:rPr>
                <w:rFonts w:hint="default"/>
                <w:highlight w:val="none"/>
                <w:lang w:val="en-US" w:eastAsia="zh-CN"/>
              </w:rPr>
            </w:pPr>
            <w:r>
              <w:rPr>
                <w:rFonts w:hint="default"/>
                <w:highlight w:val="none"/>
                <w:lang w:val="en-US" w:eastAsia="zh-CN"/>
              </w:rPr>
              <w:t>日照时数h</w:t>
            </w:r>
          </w:p>
        </w:tc>
        <w:tc>
          <w:tcPr>
            <w:tcW w:w="375" w:type="pct"/>
            <w:tcBorders>
              <w:tl2br w:val="nil"/>
              <w:tr2bl w:val="nil"/>
            </w:tcBorders>
            <w:noWrap w:val="0"/>
            <w:vAlign w:val="center"/>
          </w:tcPr>
          <w:p w14:paraId="3653E656">
            <w:pPr>
              <w:pStyle w:val="58"/>
              <w:bidi w:val="0"/>
              <w:rPr>
                <w:rFonts w:hint="default"/>
                <w:highlight w:val="none"/>
                <w:lang w:val="en-US" w:eastAsia="zh-CN"/>
              </w:rPr>
            </w:pPr>
            <w:r>
              <w:rPr>
                <w:rFonts w:hint="default"/>
                <w:highlight w:val="none"/>
                <w:lang w:val="en-US" w:eastAsia="zh-CN"/>
              </w:rPr>
              <w:t>169.68</w:t>
            </w:r>
          </w:p>
        </w:tc>
        <w:tc>
          <w:tcPr>
            <w:tcW w:w="375" w:type="pct"/>
            <w:tcBorders>
              <w:tl2br w:val="nil"/>
              <w:tr2bl w:val="nil"/>
            </w:tcBorders>
            <w:noWrap w:val="0"/>
            <w:vAlign w:val="center"/>
          </w:tcPr>
          <w:p w14:paraId="227C98A3">
            <w:pPr>
              <w:pStyle w:val="58"/>
              <w:bidi w:val="0"/>
              <w:rPr>
                <w:rFonts w:hint="default"/>
                <w:highlight w:val="none"/>
                <w:lang w:val="en-US" w:eastAsia="zh-CN"/>
              </w:rPr>
            </w:pPr>
            <w:r>
              <w:rPr>
                <w:rFonts w:hint="default"/>
                <w:highlight w:val="none"/>
                <w:lang w:val="en-US" w:eastAsia="zh-CN"/>
              </w:rPr>
              <w:t>167.73</w:t>
            </w:r>
          </w:p>
        </w:tc>
        <w:tc>
          <w:tcPr>
            <w:tcW w:w="375" w:type="pct"/>
            <w:tcBorders>
              <w:tl2br w:val="nil"/>
              <w:tr2bl w:val="nil"/>
            </w:tcBorders>
            <w:noWrap w:val="0"/>
            <w:vAlign w:val="center"/>
          </w:tcPr>
          <w:p w14:paraId="102A7A0D">
            <w:pPr>
              <w:pStyle w:val="58"/>
              <w:bidi w:val="0"/>
              <w:rPr>
                <w:rFonts w:hint="default"/>
                <w:highlight w:val="none"/>
                <w:lang w:val="en-US" w:eastAsia="zh-CN"/>
              </w:rPr>
            </w:pPr>
            <w:r>
              <w:rPr>
                <w:rFonts w:hint="default"/>
                <w:highlight w:val="none"/>
                <w:lang w:val="en-US" w:eastAsia="zh-CN"/>
              </w:rPr>
              <w:t>238.14</w:t>
            </w:r>
          </w:p>
        </w:tc>
        <w:tc>
          <w:tcPr>
            <w:tcW w:w="375" w:type="pct"/>
            <w:tcBorders>
              <w:tl2br w:val="nil"/>
              <w:tr2bl w:val="nil"/>
            </w:tcBorders>
            <w:noWrap w:val="0"/>
            <w:vAlign w:val="center"/>
          </w:tcPr>
          <w:p w14:paraId="34EAD42D">
            <w:pPr>
              <w:pStyle w:val="58"/>
              <w:bidi w:val="0"/>
              <w:rPr>
                <w:rFonts w:hint="default"/>
                <w:highlight w:val="none"/>
                <w:lang w:val="en-US" w:eastAsia="zh-CN"/>
              </w:rPr>
            </w:pPr>
            <w:r>
              <w:rPr>
                <w:rFonts w:hint="default"/>
                <w:highlight w:val="none"/>
                <w:lang w:val="en-US" w:eastAsia="zh-CN"/>
              </w:rPr>
              <w:t>249.10</w:t>
            </w:r>
          </w:p>
        </w:tc>
        <w:tc>
          <w:tcPr>
            <w:tcW w:w="375" w:type="pct"/>
            <w:tcBorders>
              <w:tl2br w:val="nil"/>
              <w:tr2bl w:val="nil"/>
            </w:tcBorders>
            <w:noWrap w:val="0"/>
            <w:vAlign w:val="center"/>
          </w:tcPr>
          <w:p w14:paraId="0F3FF1C1">
            <w:pPr>
              <w:pStyle w:val="58"/>
              <w:bidi w:val="0"/>
              <w:rPr>
                <w:rFonts w:hint="default"/>
                <w:highlight w:val="none"/>
                <w:lang w:val="en-US" w:eastAsia="zh-CN"/>
              </w:rPr>
            </w:pPr>
            <w:r>
              <w:rPr>
                <w:rFonts w:hint="default"/>
                <w:highlight w:val="none"/>
                <w:lang w:val="en-US" w:eastAsia="zh-CN"/>
              </w:rPr>
              <w:t>274.05</w:t>
            </w:r>
          </w:p>
        </w:tc>
        <w:tc>
          <w:tcPr>
            <w:tcW w:w="375" w:type="pct"/>
            <w:tcBorders>
              <w:tl2br w:val="nil"/>
              <w:tr2bl w:val="nil"/>
            </w:tcBorders>
            <w:noWrap w:val="0"/>
            <w:vAlign w:val="center"/>
          </w:tcPr>
          <w:p w14:paraId="574D843D">
            <w:pPr>
              <w:pStyle w:val="58"/>
              <w:bidi w:val="0"/>
              <w:rPr>
                <w:rFonts w:hint="default"/>
                <w:highlight w:val="none"/>
                <w:lang w:val="en-US" w:eastAsia="zh-CN"/>
              </w:rPr>
            </w:pPr>
            <w:r>
              <w:rPr>
                <w:rFonts w:hint="default"/>
                <w:highlight w:val="none"/>
                <w:lang w:val="en-US" w:eastAsia="zh-CN"/>
              </w:rPr>
              <w:t>234.64</w:t>
            </w:r>
          </w:p>
        </w:tc>
        <w:tc>
          <w:tcPr>
            <w:tcW w:w="375" w:type="pct"/>
            <w:tcBorders>
              <w:tl2br w:val="nil"/>
              <w:tr2bl w:val="nil"/>
            </w:tcBorders>
            <w:noWrap w:val="0"/>
            <w:vAlign w:val="center"/>
          </w:tcPr>
          <w:p w14:paraId="7C4DF78F">
            <w:pPr>
              <w:pStyle w:val="58"/>
              <w:bidi w:val="0"/>
              <w:rPr>
                <w:rFonts w:hint="default"/>
                <w:highlight w:val="none"/>
                <w:lang w:val="en-US" w:eastAsia="zh-CN"/>
              </w:rPr>
            </w:pPr>
            <w:r>
              <w:rPr>
                <w:rFonts w:hint="default"/>
                <w:highlight w:val="none"/>
                <w:lang w:val="en-US" w:eastAsia="zh-CN"/>
              </w:rPr>
              <w:t>205.62</w:t>
            </w:r>
          </w:p>
        </w:tc>
        <w:tc>
          <w:tcPr>
            <w:tcW w:w="375" w:type="pct"/>
            <w:tcBorders>
              <w:tl2br w:val="nil"/>
              <w:tr2bl w:val="nil"/>
            </w:tcBorders>
            <w:noWrap w:val="0"/>
            <w:vAlign w:val="center"/>
          </w:tcPr>
          <w:p w14:paraId="4A1D5312">
            <w:pPr>
              <w:pStyle w:val="58"/>
              <w:bidi w:val="0"/>
              <w:rPr>
                <w:rFonts w:hint="default"/>
                <w:highlight w:val="none"/>
                <w:lang w:val="en-US" w:eastAsia="zh-CN"/>
              </w:rPr>
            </w:pPr>
            <w:r>
              <w:rPr>
                <w:rFonts w:hint="default"/>
                <w:highlight w:val="none"/>
                <w:lang w:val="en-US" w:eastAsia="zh-CN"/>
              </w:rPr>
              <w:t>218.21</w:t>
            </w:r>
          </w:p>
        </w:tc>
        <w:tc>
          <w:tcPr>
            <w:tcW w:w="375" w:type="pct"/>
            <w:tcBorders>
              <w:tl2br w:val="nil"/>
              <w:tr2bl w:val="nil"/>
            </w:tcBorders>
            <w:noWrap w:val="0"/>
            <w:vAlign w:val="center"/>
          </w:tcPr>
          <w:p w14:paraId="474BCD37">
            <w:pPr>
              <w:pStyle w:val="58"/>
              <w:bidi w:val="0"/>
              <w:rPr>
                <w:rFonts w:hint="default"/>
                <w:highlight w:val="none"/>
                <w:lang w:val="en-US" w:eastAsia="zh-CN"/>
              </w:rPr>
            </w:pPr>
            <w:r>
              <w:rPr>
                <w:rFonts w:hint="default"/>
                <w:highlight w:val="none"/>
                <w:lang w:val="en-US" w:eastAsia="zh-CN"/>
              </w:rPr>
              <w:t>217.39</w:t>
            </w:r>
          </w:p>
        </w:tc>
        <w:tc>
          <w:tcPr>
            <w:tcW w:w="375" w:type="pct"/>
            <w:tcBorders>
              <w:tl2br w:val="nil"/>
              <w:tr2bl w:val="nil"/>
            </w:tcBorders>
            <w:noWrap w:val="0"/>
            <w:vAlign w:val="center"/>
          </w:tcPr>
          <w:p w14:paraId="0911E5A1">
            <w:pPr>
              <w:pStyle w:val="58"/>
              <w:bidi w:val="0"/>
              <w:rPr>
                <w:rFonts w:hint="default"/>
                <w:highlight w:val="none"/>
                <w:lang w:val="en-US" w:eastAsia="zh-CN"/>
              </w:rPr>
            </w:pPr>
            <w:r>
              <w:rPr>
                <w:rFonts w:hint="default"/>
                <w:highlight w:val="none"/>
                <w:lang w:val="en-US" w:eastAsia="zh-CN"/>
              </w:rPr>
              <w:t>207.38</w:t>
            </w:r>
          </w:p>
        </w:tc>
        <w:tc>
          <w:tcPr>
            <w:tcW w:w="376" w:type="pct"/>
            <w:tcBorders>
              <w:tl2br w:val="nil"/>
              <w:tr2bl w:val="nil"/>
            </w:tcBorders>
            <w:noWrap w:val="0"/>
            <w:vAlign w:val="center"/>
          </w:tcPr>
          <w:p w14:paraId="6D19A2E3">
            <w:pPr>
              <w:pStyle w:val="58"/>
              <w:bidi w:val="0"/>
              <w:rPr>
                <w:rFonts w:hint="default"/>
                <w:highlight w:val="none"/>
                <w:lang w:val="en-US" w:eastAsia="zh-CN"/>
              </w:rPr>
            </w:pPr>
            <w:r>
              <w:rPr>
                <w:rFonts w:hint="default"/>
                <w:highlight w:val="none"/>
                <w:lang w:val="en-US" w:eastAsia="zh-CN"/>
              </w:rPr>
              <w:t>175.05</w:t>
            </w:r>
          </w:p>
        </w:tc>
        <w:tc>
          <w:tcPr>
            <w:tcW w:w="376" w:type="pct"/>
            <w:tcBorders>
              <w:tl2br w:val="nil"/>
              <w:tr2bl w:val="nil"/>
            </w:tcBorders>
            <w:noWrap w:val="0"/>
            <w:vAlign w:val="center"/>
          </w:tcPr>
          <w:p w14:paraId="6EB521B5">
            <w:pPr>
              <w:pStyle w:val="58"/>
              <w:bidi w:val="0"/>
              <w:rPr>
                <w:rFonts w:hint="default"/>
                <w:highlight w:val="none"/>
                <w:lang w:val="en-US" w:eastAsia="zh-CN"/>
              </w:rPr>
            </w:pPr>
            <w:r>
              <w:rPr>
                <w:rFonts w:hint="default"/>
                <w:highlight w:val="none"/>
                <w:lang w:val="en-US" w:eastAsia="zh-CN"/>
              </w:rPr>
              <w:t>168.61</w:t>
            </w:r>
          </w:p>
        </w:tc>
      </w:tr>
    </w:tbl>
    <w:p w14:paraId="3283C8C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4"/>
          <w:szCs w:val="28"/>
          <w:highlight w:val="none"/>
          <w14:textFill>
            <w14:solidFill>
              <w14:schemeClr w14:val="tx1"/>
            </w14:solidFill>
          </w14:textFill>
        </w:rPr>
      </w:pPr>
      <w:r>
        <w:rPr>
          <w:rFonts w:hint="default" w:ascii="Times New Roman" w:hAnsi="Times New Roman" w:eastAsia="宋体" w:cs="Times New Roman"/>
          <w:color w:val="000000" w:themeColor="text1"/>
          <w:sz w:val="24"/>
          <w:szCs w:val="28"/>
          <w:highlight w:val="none"/>
          <w14:textFill>
            <w14:solidFill>
              <w14:schemeClr w14:val="tx1"/>
            </w14:solidFill>
          </w14:textFill>
        </w:rPr>
        <w:drawing>
          <wp:inline distT="0" distB="0" distL="114300" distR="114300">
            <wp:extent cx="5276850" cy="2971800"/>
            <wp:effectExtent l="4445" t="4445" r="14605" b="14605"/>
            <wp:docPr id="15" name="图表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4A5A4E97">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近20年平均日照时数月变化曲线图</w:t>
      </w:r>
    </w:p>
    <w:p w14:paraId="0E66CA51">
      <w:pPr>
        <w:pageBreakBefore w:val="0"/>
        <w:widowControl w:val="0"/>
        <w:kinsoku/>
        <w:wordWrap/>
        <w:overflowPunct/>
        <w:topLinePunct w:val="0"/>
        <w:bidi w:val="0"/>
        <w:adjustRightInd w:val="0"/>
        <w:snapToGrid w:val="0"/>
        <w:spacing w:line="480" w:lineRule="exact"/>
        <w:ind w:firstLine="482"/>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14:textFill>
            <w14:solidFill>
              <w14:schemeClr w14:val="tx1"/>
            </w14:solidFill>
          </w14:textFill>
        </w:rPr>
        <w:t>⑸</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风速</w:t>
      </w:r>
    </w:p>
    <w:p w14:paraId="2D64A5C4">
      <w:pPr>
        <w:pageBreakBefore w:val="0"/>
        <w:widowControl w:val="0"/>
        <w:kinsoku/>
        <w:wordWrap/>
        <w:overflowPunct/>
        <w:topLinePunct w:val="0"/>
        <w:bidi w:val="0"/>
        <w:adjustRightInd w:val="0"/>
        <w:snapToGrid w:val="0"/>
        <w:spacing w:line="480" w:lineRule="exact"/>
        <w:ind w:firstLine="482"/>
        <w:textAlignment w:val="auto"/>
        <w:rPr>
          <w:rFonts w:hint="default" w:ascii="Times New Roman" w:hAnsi="Times New Roman" w:eastAsia="宋体" w:cs="Times New Roman"/>
          <w:color w:val="000000" w:themeColor="text1"/>
          <w:sz w:val="24"/>
          <w:szCs w:val="28"/>
          <w:highlight w:val="none"/>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所在</w:t>
      </w:r>
      <w:r>
        <w:rPr>
          <w:rFonts w:hint="default" w:ascii="Times New Roman" w:hAnsi="Times New Roman" w:eastAsia="宋体" w:cs="Times New Roman"/>
          <w:color w:val="000000" w:themeColor="text1"/>
          <w:sz w:val="24"/>
          <w:szCs w:val="28"/>
          <w:highlight w:val="none"/>
          <w14:textFill>
            <w14:solidFill>
              <w14:schemeClr w14:val="tx1"/>
            </w14:solidFill>
          </w14:textFill>
        </w:rPr>
        <w:t>地区年平均风速</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2.52</w:t>
      </w:r>
      <w:r>
        <w:rPr>
          <w:rFonts w:hint="default" w:ascii="Times New Roman" w:hAnsi="Times New Roman" w:eastAsia="宋体" w:cs="Times New Roman"/>
          <w:color w:val="000000" w:themeColor="text1"/>
          <w:sz w:val="24"/>
          <w:szCs w:val="28"/>
          <w:highlight w:val="none"/>
          <w14:textFill>
            <w14:solidFill>
              <w14:schemeClr w14:val="tx1"/>
            </w14:solidFill>
          </w14:textFill>
        </w:rPr>
        <w:t>m/s，月平均风速4月份相对较大为</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3.42</w:t>
      </w:r>
      <w:r>
        <w:rPr>
          <w:rFonts w:hint="default" w:ascii="Times New Roman" w:hAnsi="Times New Roman" w:eastAsia="宋体" w:cs="Times New Roman"/>
          <w:color w:val="000000" w:themeColor="text1"/>
          <w:sz w:val="24"/>
          <w:szCs w:val="28"/>
          <w:highlight w:val="none"/>
          <w14:textFill>
            <w14:solidFill>
              <w14:schemeClr w14:val="tx1"/>
            </w14:solidFill>
          </w14:textFill>
        </w:rPr>
        <w:t>m/s，</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8"/>
          <w:highlight w:val="none"/>
          <w14:textFill>
            <w14:solidFill>
              <w14:schemeClr w14:val="tx1"/>
            </w14:solidFill>
          </w14:textFill>
        </w:rPr>
        <w:t>月份相对较小为</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2.01</w:t>
      </w:r>
      <w:r>
        <w:rPr>
          <w:rFonts w:hint="default" w:ascii="Times New Roman" w:hAnsi="Times New Roman" w:eastAsia="宋体" w:cs="Times New Roman"/>
          <w:color w:val="000000" w:themeColor="text1"/>
          <w:sz w:val="24"/>
          <w:szCs w:val="28"/>
          <w:highlight w:val="none"/>
          <w14:textFill>
            <w14:solidFill>
              <w14:schemeClr w14:val="tx1"/>
            </w14:solidFill>
          </w14:textFill>
        </w:rPr>
        <w:t>m/s</w:t>
      </w:r>
      <w:r>
        <w:rPr>
          <w:rFonts w:hint="default" w:ascii="Times New Roman" w:hAnsi="Times New Roman" w:eastAsia="宋体" w:cs="Times New Roman"/>
          <w:color w:val="000000" w:themeColor="text1"/>
          <w:sz w:val="24"/>
          <w:szCs w:val="28"/>
          <w:highlight w:val="none"/>
          <w:lang w:eastAsia="zh-CN"/>
          <w14:textFill>
            <w14:solidFill>
              <w14:schemeClr w14:val="tx1"/>
            </w14:solidFill>
          </w14:textFill>
        </w:rPr>
        <w:t>，静风风速为</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0.2m/s</w:t>
      </w:r>
      <w:r>
        <w:rPr>
          <w:rFonts w:hint="default" w:ascii="Times New Roman" w:hAnsi="Times New Roman" w:eastAsia="宋体" w:cs="Times New Roman"/>
          <w:color w:val="000000" w:themeColor="text1"/>
          <w:sz w:val="24"/>
          <w:szCs w:val="28"/>
          <w:highlight w:val="none"/>
          <w14:textFill>
            <w14:solidFill>
              <w14:schemeClr w14:val="tx1"/>
            </w14:solidFill>
          </w14:textFill>
        </w:rPr>
        <w:t>。</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曹妃甸区</w:t>
      </w:r>
      <w:r>
        <w:rPr>
          <w:rFonts w:hint="default" w:ascii="Times New Roman" w:hAnsi="Times New Roman" w:eastAsia="宋体" w:cs="Times New Roman"/>
          <w:color w:val="000000" w:themeColor="text1"/>
          <w:sz w:val="24"/>
          <w:szCs w:val="28"/>
          <w:highlight w:val="none"/>
          <w14:textFill>
            <w14:solidFill>
              <w14:schemeClr w14:val="tx1"/>
            </w14:solidFill>
          </w14:textFill>
        </w:rPr>
        <w:t>累年平均风速统计见表</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5.2-6及图5.2-5</w:t>
      </w:r>
      <w:r>
        <w:rPr>
          <w:rFonts w:hint="default" w:ascii="Times New Roman" w:hAnsi="Times New Roman" w:eastAsia="宋体" w:cs="Times New Roman"/>
          <w:color w:val="000000" w:themeColor="text1"/>
          <w:sz w:val="24"/>
          <w:szCs w:val="28"/>
          <w:highlight w:val="none"/>
          <w14:textFill>
            <w14:solidFill>
              <w14:schemeClr w14:val="tx1"/>
            </w14:solidFill>
          </w14:textFill>
        </w:rPr>
        <w:t>。</w:t>
      </w:r>
    </w:p>
    <w:p w14:paraId="16EB081B">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lang w:val="en-US" w:eastAsia="zh-CN"/>
        </w:rPr>
        <w:t>　曹妃甸</w:t>
      </w:r>
      <w:r>
        <w:rPr>
          <w:rFonts w:hint="eastAsia" w:cs="Times New Roman"/>
          <w:b/>
          <w:bCs/>
          <w:color w:val="auto"/>
          <w:sz w:val="24"/>
          <w:highlight w:val="none"/>
          <w:lang w:val="en-US" w:eastAsia="zh-CN"/>
        </w:rPr>
        <w:t>区</w:t>
      </w:r>
      <w:r>
        <w:rPr>
          <w:rFonts w:hint="default" w:ascii="Times New Roman" w:hAnsi="Times New Roman" w:eastAsia="宋体" w:cs="Times New Roman"/>
          <w:b/>
          <w:bCs/>
          <w:color w:val="auto"/>
          <w:sz w:val="24"/>
          <w:highlight w:val="none"/>
          <w:lang w:eastAsia="zh-CN"/>
        </w:rPr>
        <w:t>近</w:t>
      </w:r>
      <w:r>
        <w:rPr>
          <w:rFonts w:hint="default" w:ascii="Times New Roman" w:hAnsi="Times New Roman" w:eastAsia="宋体" w:cs="Times New Roman"/>
          <w:b/>
          <w:bCs/>
          <w:color w:val="auto"/>
          <w:sz w:val="24"/>
          <w:highlight w:val="none"/>
        </w:rPr>
        <w:t>20年平均风速的月变化</w:t>
      </w:r>
    </w:p>
    <w:tbl>
      <w:tblPr>
        <w:tblStyle w:val="47"/>
        <w:tblW w:w="4994"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563"/>
        <w:gridCol w:w="652"/>
        <w:gridCol w:w="652"/>
        <w:gridCol w:w="652"/>
        <w:gridCol w:w="652"/>
        <w:gridCol w:w="652"/>
        <w:gridCol w:w="652"/>
        <w:gridCol w:w="652"/>
        <w:gridCol w:w="652"/>
        <w:gridCol w:w="652"/>
        <w:gridCol w:w="653"/>
        <w:gridCol w:w="653"/>
        <w:gridCol w:w="653"/>
        <w:gridCol w:w="701"/>
      </w:tblGrid>
      <w:tr w14:paraId="7246060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309" w:type="pct"/>
            <w:tcBorders>
              <w:tl2br w:val="nil"/>
              <w:tr2bl w:val="nil"/>
            </w:tcBorders>
            <w:noWrap w:val="0"/>
            <w:vAlign w:val="center"/>
          </w:tcPr>
          <w:p w14:paraId="5F14612A">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月份</w:t>
            </w:r>
          </w:p>
        </w:tc>
        <w:tc>
          <w:tcPr>
            <w:tcW w:w="358" w:type="pct"/>
            <w:tcBorders>
              <w:tl2br w:val="nil"/>
              <w:tr2bl w:val="nil"/>
            </w:tcBorders>
            <w:noWrap w:val="0"/>
            <w:vAlign w:val="center"/>
          </w:tcPr>
          <w:p w14:paraId="3B119BDF">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1月</w:t>
            </w:r>
          </w:p>
        </w:tc>
        <w:tc>
          <w:tcPr>
            <w:tcW w:w="358" w:type="pct"/>
            <w:tcBorders>
              <w:tl2br w:val="nil"/>
              <w:tr2bl w:val="nil"/>
            </w:tcBorders>
            <w:noWrap w:val="0"/>
            <w:vAlign w:val="center"/>
          </w:tcPr>
          <w:p w14:paraId="274A5D36">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2月</w:t>
            </w:r>
          </w:p>
        </w:tc>
        <w:tc>
          <w:tcPr>
            <w:tcW w:w="358" w:type="pct"/>
            <w:tcBorders>
              <w:tl2br w:val="nil"/>
              <w:tr2bl w:val="nil"/>
            </w:tcBorders>
            <w:noWrap w:val="0"/>
            <w:vAlign w:val="center"/>
          </w:tcPr>
          <w:p w14:paraId="00A41CDD">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3月</w:t>
            </w:r>
          </w:p>
        </w:tc>
        <w:tc>
          <w:tcPr>
            <w:tcW w:w="358" w:type="pct"/>
            <w:tcBorders>
              <w:tl2br w:val="nil"/>
              <w:tr2bl w:val="nil"/>
            </w:tcBorders>
            <w:noWrap w:val="0"/>
            <w:vAlign w:val="center"/>
          </w:tcPr>
          <w:p w14:paraId="61F6D8BA">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4月</w:t>
            </w:r>
          </w:p>
        </w:tc>
        <w:tc>
          <w:tcPr>
            <w:tcW w:w="358" w:type="pct"/>
            <w:tcBorders>
              <w:tl2br w:val="nil"/>
              <w:tr2bl w:val="nil"/>
            </w:tcBorders>
            <w:noWrap w:val="0"/>
            <w:vAlign w:val="center"/>
          </w:tcPr>
          <w:p w14:paraId="3F3FE0F3">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5月</w:t>
            </w:r>
          </w:p>
        </w:tc>
        <w:tc>
          <w:tcPr>
            <w:tcW w:w="358" w:type="pct"/>
            <w:tcBorders>
              <w:tl2br w:val="nil"/>
              <w:tr2bl w:val="nil"/>
            </w:tcBorders>
            <w:noWrap w:val="0"/>
            <w:vAlign w:val="center"/>
          </w:tcPr>
          <w:p w14:paraId="68C03946">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6月</w:t>
            </w:r>
          </w:p>
        </w:tc>
        <w:tc>
          <w:tcPr>
            <w:tcW w:w="358" w:type="pct"/>
            <w:tcBorders>
              <w:tl2br w:val="nil"/>
              <w:tr2bl w:val="nil"/>
            </w:tcBorders>
            <w:noWrap w:val="0"/>
            <w:vAlign w:val="center"/>
          </w:tcPr>
          <w:p w14:paraId="5981A918">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7月</w:t>
            </w:r>
          </w:p>
        </w:tc>
        <w:tc>
          <w:tcPr>
            <w:tcW w:w="358" w:type="pct"/>
            <w:tcBorders>
              <w:tl2br w:val="nil"/>
              <w:tr2bl w:val="nil"/>
            </w:tcBorders>
            <w:noWrap w:val="0"/>
            <w:vAlign w:val="center"/>
          </w:tcPr>
          <w:p w14:paraId="63673511">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8月</w:t>
            </w:r>
          </w:p>
        </w:tc>
        <w:tc>
          <w:tcPr>
            <w:tcW w:w="358" w:type="pct"/>
            <w:tcBorders>
              <w:tl2br w:val="nil"/>
              <w:tr2bl w:val="nil"/>
            </w:tcBorders>
            <w:noWrap w:val="0"/>
            <w:vAlign w:val="center"/>
          </w:tcPr>
          <w:p w14:paraId="230999DB">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9月</w:t>
            </w:r>
          </w:p>
        </w:tc>
        <w:tc>
          <w:tcPr>
            <w:tcW w:w="358" w:type="pct"/>
            <w:tcBorders>
              <w:tl2br w:val="nil"/>
              <w:tr2bl w:val="nil"/>
            </w:tcBorders>
            <w:noWrap w:val="0"/>
            <w:vAlign w:val="center"/>
          </w:tcPr>
          <w:p w14:paraId="124E0437">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10月</w:t>
            </w:r>
          </w:p>
        </w:tc>
        <w:tc>
          <w:tcPr>
            <w:tcW w:w="358" w:type="pct"/>
            <w:tcBorders>
              <w:tl2br w:val="nil"/>
              <w:tr2bl w:val="nil"/>
            </w:tcBorders>
            <w:noWrap w:val="0"/>
            <w:vAlign w:val="center"/>
          </w:tcPr>
          <w:p w14:paraId="178C220F">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11月</w:t>
            </w:r>
          </w:p>
        </w:tc>
        <w:tc>
          <w:tcPr>
            <w:tcW w:w="358" w:type="pct"/>
            <w:tcBorders>
              <w:tl2br w:val="nil"/>
              <w:tr2bl w:val="nil"/>
            </w:tcBorders>
            <w:noWrap w:val="0"/>
            <w:vAlign w:val="center"/>
          </w:tcPr>
          <w:p w14:paraId="6F208F5A">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12月</w:t>
            </w:r>
          </w:p>
        </w:tc>
        <w:tc>
          <w:tcPr>
            <w:tcW w:w="384" w:type="pct"/>
            <w:tcBorders>
              <w:tl2br w:val="nil"/>
              <w:tr2bl w:val="nil"/>
            </w:tcBorders>
            <w:noWrap w:val="0"/>
            <w:vAlign w:val="center"/>
          </w:tcPr>
          <w:p w14:paraId="386CF95B">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全年</w:t>
            </w:r>
          </w:p>
        </w:tc>
      </w:tr>
      <w:tr w14:paraId="5F9723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309" w:type="pct"/>
            <w:tcBorders>
              <w:tl2br w:val="nil"/>
              <w:tr2bl w:val="nil"/>
            </w:tcBorders>
            <w:noWrap w:val="0"/>
            <w:vAlign w:val="center"/>
          </w:tcPr>
          <w:p w14:paraId="4F60FC45">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风速m/s</w:t>
            </w:r>
          </w:p>
        </w:tc>
        <w:tc>
          <w:tcPr>
            <w:tcW w:w="358" w:type="pct"/>
            <w:tcBorders>
              <w:tl2br w:val="nil"/>
              <w:tr2bl w:val="nil"/>
            </w:tcBorders>
            <w:noWrap w:val="0"/>
            <w:vAlign w:val="center"/>
          </w:tcPr>
          <w:p w14:paraId="0651CACB">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2.22</w:t>
            </w:r>
          </w:p>
        </w:tc>
        <w:tc>
          <w:tcPr>
            <w:tcW w:w="358" w:type="pct"/>
            <w:tcBorders>
              <w:tl2br w:val="nil"/>
              <w:tr2bl w:val="nil"/>
            </w:tcBorders>
            <w:noWrap w:val="0"/>
            <w:vAlign w:val="center"/>
          </w:tcPr>
          <w:p w14:paraId="171D0D9F">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2.50</w:t>
            </w:r>
          </w:p>
        </w:tc>
        <w:tc>
          <w:tcPr>
            <w:tcW w:w="358" w:type="pct"/>
            <w:tcBorders>
              <w:tl2br w:val="nil"/>
              <w:tr2bl w:val="nil"/>
            </w:tcBorders>
            <w:noWrap w:val="0"/>
            <w:vAlign w:val="center"/>
          </w:tcPr>
          <w:p w14:paraId="164053C2">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3.15</w:t>
            </w:r>
          </w:p>
        </w:tc>
        <w:tc>
          <w:tcPr>
            <w:tcW w:w="358" w:type="pct"/>
            <w:tcBorders>
              <w:tl2br w:val="nil"/>
              <w:tr2bl w:val="nil"/>
            </w:tcBorders>
            <w:noWrap w:val="0"/>
            <w:vAlign w:val="center"/>
          </w:tcPr>
          <w:p w14:paraId="63FEECE7">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3.42</w:t>
            </w:r>
          </w:p>
        </w:tc>
        <w:tc>
          <w:tcPr>
            <w:tcW w:w="358" w:type="pct"/>
            <w:tcBorders>
              <w:tl2br w:val="nil"/>
              <w:tr2bl w:val="nil"/>
            </w:tcBorders>
            <w:noWrap w:val="0"/>
            <w:vAlign w:val="center"/>
          </w:tcPr>
          <w:p w14:paraId="3BCF0BA5">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3.14</w:t>
            </w:r>
          </w:p>
        </w:tc>
        <w:tc>
          <w:tcPr>
            <w:tcW w:w="358" w:type="pct"/>
            <w:tcBorders>
              <w:tl2br w:val="nil"/>
              <w:tr2bl w:val="nil"/>
            </w:tcBorders>
            <w:noWrap w:val="0"/>
            <w:vAlign w:val="center"/>
          </w:tcPr>
          <w:p w14:paraId="79AAAD96">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2.66</w:t>
            </w:r>
          </w:p>
        </w:tc>
        <w:tc>
          <w:tcPr>
            <w:tcW w:w="358" w:type="pct"/>
            <w:tcBorders>
              <w:tl2br w:val="nil"/>
              <w:tr2bl w:val="nil"/>
            </w:tcBorders>
            <w:noWrap w:val="0"/>
            <w:vAlign w:val="center"/>
          </w:tcPr>
          <w:p w14:paraId="5FEE5492">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2.32</w:t>
            </w:r>
          </w:p>
        </w:tc>
        <w:tc>
          <w:tcPr>
            <w:tcW w:w="358" w:type="pct"/>
            <w:tcBorders>
              <w:tl2br w:val="nil"/>
              <w:tr2bl w:val="nil"/>
            </w:tcBorders>
            <w:noWrap w:val="0"/>
            <w:vAlign w:val="center"/>
          </w:tcPr>
          <w:p w14:paraId="73C06B51">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2.04</w:t>
            </w:r>
          </w:p>
        </w:tc>
        <w:tc>
          <w:tcPr>
            <w:tcW w:w="358" w:type="pct"/>
            <w:tcBorders>
              <w:tl2br w:val="nil"/>
              <w:tr2bl w:val="nil"/>
            </w:tcBorders>
            <w:noWrap w:val="0"/>
            <w:vAlign w:val="center"/>
          </w:tcPr>
          <w:p w14:paraId="7CA86148">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2.01</w:t>
            </w:r>
          </w:p>
        </w:tc>
        <w:tc>
          <w:tcPr>
            <w:tcW w:w="358" w:type="pct"/>
            <w:tcBorders>
              <w:tl2br w:val="nil"/>
              <w:tr2bl w:val="nil"/>
            </w:tcBorders>
            <w:noWrap w:val="0"/>
            <w:vAlign w:val="center"/>
          </w:tcPr>
          <w:p w14:paraId="5766F2D5">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2.16</w:t>
            </w:r>
          </w:p>
        </w:tc>
        <w:tc>
          <w:tcPr>
            <w:tcW w:w="358" w:type="pct"/>
            <w:tcBorders>
              <w:tl2br w:val="nil"/>
              <w:tr2bl w:val="nil"/>
            </w:tcBorders>
            <w:noWrap w:val="0"/>
            <w:vAlign w:val="center"/>
          </w:tcPr>
          <w:p w14:paraId="22CC01F4">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2.24</w:t>
            </w:r>
          </w:p>
        </w:tc>
        <w:tc>
          <w:tcPr>
            <w:tcW w:w="358" w:type="pct"/>
            <w:tcBorders>
              <w:tl2br w:val="nil"/>
              <w:tr2bl w:val="nil"/>
            </w:tcBorders>
            <w:noWrap w:val="0"/>
            <w:vAlign w:val="center"/>
          </w:tcPr>
          <w:p w14:paraId="42E1AC74">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2.22</w:t>
            </w:r>
          </w:p>
        </w:tc>
        <w:tc>
          <w:tcPr>
            <w:tcW w:w="384" w:type="pct"/>
            <w:tcBorders>
              <w:tl2br w:val="nil"/>
              <w:tr2bl w:val="nil"/>
            </w:tcBorders>
            <w:noWrap w:val="0"/>
            <w:vAlign w:val="center"/>
          </w:tcPr>
          <w:p w14:paraId="45D1A340">
            <w:pPr>
              <w:keepNext w:val="0"/>
              <w:keepLines w:val="0"/>
              <w:pageBreakBefore w:val="0"/>
              <w:widowControl w:val="0"/>
              <w:kinsoku/>
              <w:wordWrap/>
              <w:overflowPunct/>
              <w:topLinePunct w:val="0"/>
              <w:autoSpaceDE/>
              <w:autoSpaceDN/>
              <w:bidi w:val="0"/>
              <w:adjustRightInd w:val="0"/>
              <w:snapToGrid w:val="0"/>
              <w:spacing w:line="480" w:lineRule="exact"/>
              <w:ind w:firstLine="0" w:firstLineChars="0"/>
              <w:jc w:val="center"/>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2.52</w:t>
            </w:r>
          </w:p>
        </w:tc>
      </w:tr>
    </w:tbl>
    <w:p w14:paraId="6B8B5B7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4"/>
          <w:szCs w:val="28"/>
          <w:highlight w:val="none"/>
          <w14:textFill>
            <w14:solidFill>
              <w14:schemeClr w14:val="tx1"/>
            </w14:solidFill>
          </w14:textFill>
        </w:rPr>
      </w:pPr>
      <w:r>
        <w:rPr>
          <w:rFonts w:hint="default" w:ascii="Times New Roman" w:hAnsi="Times New Roman" w:eastAsia="宋体" w:cs="Times New Roman"/>
          <w:color w:val="000000" w:themeColor="text1"/>
          <w:sz w:val="24"/>
          <w:szCs w:val="28"/>
          <w:highlight w:val="none"/>
          <w14:textFill>
            <w14:solidFill>
              <w14:schemeClr w14:val="tx1"/>
            </w14:solidFill>
          </w14:textFill>
        </w:rPr>
        <w:drawing>
          <wp:inline distT="0" distB="0" distL="114300" distR="114300">
            <wp:extent cx="5276850" cy="2971800"/>
            <wp:effectExtent l="4445" t="4445" r="14605" b="14605"/>
            <wp:docPr id="42" name="图表 4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395A59F9">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近20年平均风速月变化曲线图</w:t>
      </w:r>
    </w:p>
    <w:p w14:paraId="69DCAA7F">
      <w:pPr>
        <w:pageBreakBefore w:val="0"/>
        <w:widowControl w:val="0"/>
        <w:kinsoku/>
        <w:wordWrap/>
        <w:overflowPunct/>
        <w:topLinePunct w:val="0"/>
        <w:bidi w:val="0"/>
        <w:adjustRightInd w:val="0"/>
        <w:snapToGrid w:val="0"/>
        <w:spacing w:line="480" w:lineRule="exact"/>
        <w:ind w:firstLine="482"/>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14:textFill>
            <w14:solidFill>
              <w14:schemeClr w14:val="tx1"/>
            </w14:solidFill>
          </w14:textFill>
        </w:rPr>
        <w:t>⑹</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风频</w:t>
      </w:r>
    </w:p>
    <w:p w14:paraId="344D883C">
      <w:pPr>
        <w:pageBreakBefore w:val="0"/>
        <w:widowControl w:val="0"/>
        <w:kinsoku/>
        <w:wordWrap/>
        <w:overflowPunct/>
        <w:topLinePunct w:val="0"/>
        <w:bidi w:val="0"/>
        <w:adjustRightInd w:val="0"/>
        <w:snapToGrid w:val="0"/>
        <w:spacing w:line="480" w:lineRule="exact"/>
        <w:ind w:firstLine="482"/>
        <w:textAlignment w:val="auto"/>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曹妃甸区多年平均风频月变化详见表5.2-7，风玫瑰图见图5.2-6</w:t>
      </w:r>
      <w:r>
        <w:rPr>
          <w:rFonts w:hint="default" w:ascii="Times New Roman" w:hAnsi="Times New Roman" w:eastAsia="宋体" w:cs="Times New Roman"/>
          <w:color w:val="000000" w:themeColor="text1"/>
          <w:sz w:val="24"/>
          <w:szCs w:val="28"/>
          <w:highlight w:val="none"/>
          <w14:textFill>
            <w14:solidFill>
              <w14:schemeClr w14:val="tx1"/>
            </w14:solidFill>
          </w14:textFill>
        </w:rPr>
        <w:t>。</w:t>
      </w:r>
    </w:p>
    <w:p w14:paraId="7907D1EA">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lang w:val="en-US" w:eastAsia="zh-CN"/>
        </w:rPr>
        <w:t>　曹妃甸区</w:t>
      </w:r>
      <w:r>
        <w:rPr>
          <w:rFonts w:hint="default" w:ascii="Times New Roman" w:hAnsi="Times New Roman" w:eastAsia="宋体" w:cs="Times New Roman"/>
          <w:b/>
          <w:bCs/>
          <w:color w:val="auto"/>
          <w:sz w:val="24"/>
          <w:highlight w:val="none"/>
          <w:lang w:eastAsia="zh-CN"/>
        </w:rPr>
        <w:t>近</w:t>
      </w:r>
      <w:r>
        <w:rPr>
          <w:rFonts w:hint="default" w:ascii="Times New Roman" w:hAnsi="Times New Roman" w:eastAsia="宋体" w:cs="Times New Roman"/>
          <w:b/>
          <w:bCs/>
          <w:color w:val="auto"/>
          <w:sz w:val="24"/>
          <w:highlight w:val="none"/>
        </w:rPr>
        <w:t>20年平均风频的月变化(%)</w:t>
      </w:r>
    </w:p>
    <w:tbl>
      <w:tblPr>
        <w:tblStyle w:val="47"/>
        <w:tblW w:w="4995"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734"/>
        <w:gridCol w:w="670"/>
        <w:gridCol w:w="597"/>
        <w:gridCol w:w="670"/>
        <w:gridCol w:w="670"/>
        <w:gridCol w:w="670"/>
        <w:gridCol w:w="670"/>
        <w:gridCol w:w="670"/>
        <w:gridCol w:w="597"/>
        <w:gridCol w:w="597"/>
        <w:gridCol w:w="597"/>
        <w:gridCol w:w="671"/>
        <w:gridCol w:w="671"/>
        <w:gridCol w:w="609"/>
      </w:tblGrid>
      <w:tr w14:paraId="1E2388D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403" w:type="pct"/>
            <w:tcBorders>
              <w:tl2br w:val="nil"/>
              <w:tr2bl w:val="nil"/>
            </w:tcBorders>
            <w:noWrap w:val="0"/>
            <w:vAlign w:val="center"/>
          </w:tcPr>
          <w:p w14:paraId="50803429">
            <w:pPr>
              <w:pStyle w:val="58"/>
              <w:bidi w:val="0"/>
              <w:rPr>
                <w:rFonts w:hint="default"/>
                <w:highlight w:val="none"/>
                <w:lang w:val="en-US" w:eastAsia="zh-CN"/>
              </w:rPr>
            </w:pPr>
            <w:r>
              <w:rPr>
                <w:rFonts w:hint="default"/>
                <w:highlight w:val="none"/>
                <w:lang w:val="en-US" w:eastAsia="zh-CN"/>
              </w:rPr>
              <w:t>月份</w:t>
            </w:r>
          </w:p>
        </w:tc>
        <w:tc>
          <w:tcPr>
            <w:tcW w:w="368" w:type="pct"/>
            <w:tcBorders>
              <w:tl2br w:val="nil"/>
              <w:tr2bl w:val="nil"/>
            </w:tcBorders>
            <w:noWrap w:val="0"/>
            <w:vAlign w:val="center"/>
          </w:tcPr>
          <w:p w14:paraId="2097BB39">
            <w:pPr>
              <w:pStyle w:val="58"/>
              <w:bidi w:val="0"/>
              <w:rPr>
                <w:rFonts w:hint="default"/>
                <w:highlight w:val="none"/>
                <w:lang w:val="en-US" w:eastAsia="zh-CN"/>
              </w:rPr>
            </w:pPr>
            <w:r>
              <w:rPr>
                <w:rFonts w:hint="default"/>
                <w:highlight w:val="none"/>
                <w:lang w:val="en-US" w:eastAsia="zh-CN"/>
              </w:rPr>
              <w:t>1月</w:t>
            </w:r>
          </w:p>
        </w:tc>
        <w:tc>
          <w:tcPr>
            <w:tcW w:w="328" w:type="pct"/>
            <w:tcBorders>
              <w:tl2br w:val="nil"/>
              <w:tr2bl w:val="nil"/>
            </w:tcBorders>
            <w:noWrap w:val="0"/>
            <w:vAlign w:val="center"/>
          </w:tcPr>
          <w:p w14:paraId="4B9A891B">
            <w:pPr>
              <w:pStyle w:val="58"/>
              <w:bidi w:val="0"/>
              <w:rPr>
                <w:rFonts w:hint="default"/>
                <w:highlight w:val="none"/>
                <w:lang w:val="en-US" w:eastAsia="zh-CN"/>
              </w:rPr>
            </w:pPr>
            <w:r>
              <w:rPr>
                <w:rFonts w:hint="default"/>
                <w:highlight w:val="none"/>
                <w:lang w:val="en-US" w:eastAsia="zh-CN"/>
              </w:rPr>
              <w:t>2月</w:t>
            </w:r>
          </w:p>
        </w:tc>
        <w:tc>
          <w:tcPr>
            <w:tcW w:w="368" w:type="pct"/>
            <w:tcBorders>
              <w:tl2br w:val="nil"/>
              <w:tr2bl w:val="nil"/>
            </w:tcBorders>
            <w:noWrap w:val="0"/>
            <w:vAlign w:val="center"/>
          </w:tcPr>
          <w:p w14:paraId="54AF58C6">
            <w:pPr>
              <w:pStyle w:val="58"/>
              <w:bidi w:val="0"/>
              <w:rPr>
                <w:rFonts w:hint="default"/>
                <w:highlight w:val="none"/>
                <w:lang w:val="en-US" w:eastAsia="zh-CN"/>
              </w:rPr>
            </w:pPr>
            <w:r>
              <w:rPr>
                <w:rFonts w:hint="default"/>
                <w:highlight w:val="none"/>
                <w:lang w:val="en-US" w:eastAsia="zh-CN"/>
              </w:rPr>
              <w:t>3月</w:t>
            </w:r>
          </w:p>
        </w:tc>
        <w:tc>
          <w:tcPr>
            <w:tcW w:w="368" w:type="pct"/>
            <w:tcBorders>
              <w:tl2br w:val="nil"/>
              <w:tr2bl w:val="nil"/>
            </w:tcBorders>
            <w:noWrap w:val="0"/>
            <w:vAlign w:val="center"/>
          </w:tcPr>
          <w:p w14:paraId="7D3267F1">
            <w:pPr>
              <w:pStyle w:val="58"/>
              <w:bidi w:val="0"/>
              <w:rPr>
                <w:rFonts w:hint="default"/>
                <w:highlight w:val="none"/>
                <w:lang w:val="en-US" w:eastAsia="zh-CN"/>
              </w:rPr>
            </w:pPr>
            <w:r>
              <w:rPr>
                <w:rFonts w:hint="default"/>
                <w:highlight w:val="none"/>
                <w:lang w:val="en-US" w:eastAsia="zh-CN"/>
              </w:rPr>
              <w:t>4月</w:t>
            </w:r>
          </w:p>
        </w:tc>
        <w:tc>
          <w:tcPr>
            <w:tcW w:w="368" w:type="pct"/>
            <w:tcBorders>
              <w:tl2br w:val="nil"/>
              <w:tr2bl w:val="nil"/>
            </w:tcBorders>
            <w:noWrap w:val="0"/>
            <w:vAlign w:val="center"/>
          </w:tcPr>
          <w:p w14:paraId="714D7743">
            <w:pPr>
              <w:pStyle w:val="58"/>
              <w:bidi w:val="0"/>
              <w:rPr>
                <w:rFonts w:hint="default"/>
                <w:highlight w:val="none"/>
                <w:lang w:val="en-US" w:eastAsia="zh-CN"/>
              </w:rPr>
            </w:pPr>
            <w:r>
              <w:rPr>
                <w:rFonts w:hint="default"/>
                <w:highlight w:val="none"/>
                <w:lang w:val="en-US" w:eastAsia="zh-CN"/>
              </w:rPr>
              <w:t>5月</w:t>
            </w:r>
          </w:p>
        </w:tc>
        <w:tc>
          <w:tcPr>
            <w:tcW w:w="368" w:type="pct"/>
            <w:tcBorders>
              <w:tl2br w:val="nil"/>
              <w:tr2bl w:val="nil"/>
            </w:tcBorders>
            <w:noWrap w:val="0"/>
            <w:vAlign w:val="center"/>
          </w:tcPr>
          <w:p w14:paraId="336FB94F">
            <w:pPr>
              <w:pStyle w:val="58"/>
              <w:bidi w:val="0"/>
              <w:rPr>
                <w:rFonts w:hint="default"/>
                <w:highlight w:val="none"/>
                <w:lang w:val="en-US" w:eastAsia="zh-CN"/>
              </w:rPr>
            </w:pPr>
            <w:r>
              <w:rPr>
                <w:rFonts w:hint="default"/>
                <w:highlight w:val="none"/>
                <w:lang w:val="en-US" w:eastAsia="zh-CN"/>
              </w:rPr>
              <w:t>6月</w:t>
            </w:r>
          </w:p>
        </w:tc>
        <w:tc>
          <w:tcPr>
            <w:tcW w:w="368" w:type="pct"/>
            <w:tcBorders>
              <w:tl2br w:val="nil"/>
              <w:tr2bl w:val="nil"/>
            </w:tcBorders>
            <w:noWrap w:val="0"/>
            <w:vAlign w:val="center"/>
          </w:tcPr>
          <w:p w14:paraId="156959CA">
            <w:pPr>
              <w:pStyle w:val="58"/>
              <w:bidi w:val="0"/>
              <w:rPr>
                <w:rFonts w:hint="default"/>
                <w:highlight w:val="none"/>
                <w:lang w:val="en-US" w:eastAsia="zh-CN"/>
              </w:rPr>
            </w:pPr>
            <w:r>
              <w:rPr>
                <w:rFonts w:hint="default"/>
                <w:highlight w:val="none"/>
                <w:lang w:val="en-US" w:eastAsia="zh-CN"/>
              </w:rPr>
              <w:t>7月</w:t>
            </w:r>
          </w:p>
        </w:tc>
        <w:tc>
          <w:tcPr>
            <w:tcW w:w="328" w:type="pct"/>
            <w:tcBorders>
              <w:tl2br w:val="nil"/>
              <w:tr2bl w:val="nil"/>
            </w:tcBorders>
            <w:noWrap w:val="0"/>
            <w:vAlign w:val="center"/>
          </w:tcPr>
          <w:p w14:paraId="793CF045">
            <w:pPr>
              <w:pStyle w:val="58"/>
              <w:bidi w:val="0"/>
              <w:rPr>
                <w:rFonts w:hint="default"/>
                <w:highlight w:val="none"/>
                <w:lang w:val="en-US" w:eastAsia="zh-CN"/>
              </w:rPr>
            </w:pPr>
            <w:r>
              <w:rPr>
                <w:rFonts w:hint="default"/>
                <w:highlight w:val="none"/>
                <w:lang w:val="en-US" w:eastAsia="zh-CN"/>
              </w:rPr>
              <w:t>8月</w:t>
            </w:r>
          </w:p>
        </w:tc>
        <w:tc>
          <w:tcPr>
            <w:tcW w:w="328" w:type="pct"/>
            <w:tcBorders>
              <w:tl2br w:val="nil"/>
              <w:tr2bl w:val="nil"/>
            </w:tcBorders>
            <w:noWrap w:val="0"/>
            <w:vAlign w:val="center"/>
          </w:tcPr>
          <w:p w14:paraId="37416E30">
            <w:pPr>
              <w:pStyle w:val="58"/>
              <w:bidi w:val="0"/>
              <w:rPr>
                <w:rFonts w:hint="default"/>
                <w:highlight w:val="none"/>
                <w:lang w:val="en-US" w:eastAsia="zh-CN"/>
              </w:rPr>
            </w:pPr>
            <w:r>
              <w:rPr>
                <w:rFonts w:hint="default"/>
                <w:highlight w:val="none"/>
                <w:lang w:val="en-US" w:eastAsia="zh-CN"/>
              </w:rPr>
              <w:t>9月</w:t>
            </w:r>
          </w:p>
        </w:tc>
        <w:tc>
          <w:tcPr>
            <w:tcW w:w="328" w:type="pct"/>
            <w:tcBorders>
              <w:tl2br w:val="nil"/>
              <w:tr2bl w:val="nil"/>
            </w:tcBorders>
            <w:noWrap w:val="0"/>
            <w:vAlign w:val="center"/>
          </w:tcPr>
          <w:p w14:paraId="5D0F6D0D">
            <w:pPr>
              <w:pStyle w:val="58"/>
              <w:bidi w:val="0"/>
              <w:rPr>
                <w:rFonts w:hint="default"/>
                <w:highlight w:val="none"/>
                <w:lang w:val="en-US" w:eastAsia="zh-CN"/>
              </w:rPr>
            </w:pPr>
            <w:r>
              <w:rPr>
                <w:rFonts w:hint="default"/>
                <w:highlight w:val="none"/>
                <w:lang w:val="en-US" w:eastAsia="zh-CN"/>
              </w:rPr>
              <w:t>10月</w:t>
            </w:r>
          </w:p>
        </w:tc>
        <w:tc>
          <w:tcPr>
            <w:tcW w:w="368" w:type="pct"/>
            <w:tcBorders>
              <w:tl2br w:val="nil"/>
              <w:tr2bl w:val="nil"/>
            </w:tcBorders>
            <w:noWrap w:val="0"/>
            <w:vAlign w:val="center"/>
          </w:tcPr>
          <w:p w14:paraId="25721E57">
            <w:pPr>
              <w:pStyle w:val="58"/>
              <w:bidi w:val="0"/>
              <w:rPr>
                <w:rFonts w:hint="default"/>
                <w:highlight w:val="none"/>
                <w:lang w:val="en-US" w:eastAsia="zh-CN"/>
              </w:rPr>
            </w:pPr>
            <w:r>
              <w:rPr>
                <w:rFonts w:hint="default"/>
                <w:highlight w:val="none"/>
                <w:lang w:val="en-US" w:eastAsia="zh-CN"/>
              </w:rPr>
              <w:t>11月</w:t>
            </w:r>
          </w:p>
        </w:tc>
        <w:tc>
          <w:tcPr>
            <w:tcW w:w="368" w:type="pct"/>
            <w:tcBorders>
              <w:tl2br w:val="nil"/>
              <w:tr2bl w:val="nil"/>
            </w:tcBorders>
            <w:noWrap w:val="0"/>
            <w:vAlign w:val="center"/>
          </w:tcPr>
          <w:p w14:paraId="286D5F3F">
            <w:pPr>
              <w:pStyle w:val="58"/>
              <w:bidi w:val="0"/>
              <w:rPr>
                <w:rFonts w:hint="default"/>
                <w:highlight w:val="none"/>
                <w:lang w:val="en-US" w:eastAsia="zh-CN"/>
              </w:rPr>
            </w:pPr>
            <w:r>
              <w:rPr>
                <w:rFonts w:hint="default"/>
                <w:highlight w:val="none"/>
                <w:lang w:val="en-US" w:eastAsia="zh-CN"/>
              </w:rPr>
              <w:t>12月</w:t>
            </w:r>
          </w:p>
        </w:tc>
        <w:tc>
          <w:tcPr>
            <w:tcW w:w="334" w:type="pct"/>
            <w:tcBorders>
              <w:tl2br w:val="nil"/>
              <w:tr2bl w:val="nil"/>
            </w:tcBorders>
            <w:noWrap w:val="0"/>
            <w:vAlign w:val="center"/>
          </w:tcPr>
          <w:p w14:paraId="4C42BBFD">
            <w:pPr>
              <w:pStyle w:val="58"/>
              <w:bidi w:val="0"/>
              <w:rPr>
                <w:rFonts w:hint="default"/>
                <w:highlight w:val="none"/>
                <w:lang w:val="en-US" w:eastAsia="zh-CN"/>
              </w:rPr>
            </w:pPr>
            <w:r>
              <w:rPr>
                <w:rFonts w:hint="default"/>
                <w:highlight w:val="none"/>
                <w:lang w:val="en-US" w:eastAsia="zh-CN"/>
              </w:rPr>
              <w:t>全年</w:t>
            </w:r>
          </w:p>
        </w:tc>
      </w:tr>
      <w:tr w14:paraId="4AE235A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403" w:type="pct"/>
            <w:tcBorders>
              <w:tl2br w:val="nil"/>
              <w:tr2bl w:val="nil"/>
            </w:tcBorders>
            <w:noWrap w:val="0"/>
            <w:vAlign w:val="center"/>
          </w:tcPr>
          <w:p w14:paraId="5C0CE210">
            <w:pPr>
              <w:pStyle w:val="58"/>
              <w:bidi w:val="0"/>
              <w:rPr>
                <w:rFonts w:hint="default"/>
                <w:highlight w:val="none"/>
                <w:lang w:val="en-US" w:eastAsia="zh-CN"/>
              </w:rPr>
            </w:pPr>
            <w:r>
              <w:rPr>
                <w:rFonts w:hint="default"/>
                <w:highlight w:val="none"/>
                <w:lang w:val="en-US" w:eastAsia="zh-CN"/>
              </w:rPr>
              <w:t>N</w:t>
            </w:r>
          </w:p>
        </w:tc>
        <w:tc>
          <w:tcPr>
            <w:tcW w:w="368" w:type="pct"/>
            <w:tcBorders>
              <w:tl2br w:val="nil"/>
              <w:tr2bl w:val="nil"/>
            </w:tcBorders>
            <w:noWrap w:val="0"/>
            <w:vAlign w:val="center"/>
          </w:tcPr>
          <w:p w14:paraId="5BA4C065">
            <w:pPr>
              <w:pStyle w:val="58"/>
              <w:bidi w:val="0"/>
              <w:rPr>
                <w:rFonts w:hint="default"/>
                <w:highlight w:val="none"/>
                <w:lang w:val="en-US" w:eastAsia="zh-CN"/>
              </w:rPr>
            </w:pPr>
            <w:r>
              <w:rPr>
                <w:rFonts w:hint="default"/>
                <w:highlight w:val="none"/>
                <w:lang w:val="en-US" w:eastAsia="zh-CN"/>
              </w:rPr>
              <w:t>4.02</w:t>
            </w:r>
          </w:p>
        </w:tc>
        <w:tc>
          <w:tcPr>
            <w:tcW w:w="328" w:type="pct"/>
            <w:tcBorders>
              <w:tl2br w:val="nil"/>
              <w:tr2bl w:val="nil"/>
            </w:tcBorders>
            <w:noWrap w:val="0"/>
            <w:vAlign w:val="center"/>
          </w:tcPr>
          <w:p w14:paraId="42789D16">
            <w:pPr>
              <w:pStyle w:val="58"/>
              <w:bidi w:val="0"/>
              <w:rPr>
                <w:rFonts w:hint="default"/>
                <w:highlight w:val="none"/>
                <w:lang w:val="en-US" w:eastAsia="zh-CN"/>
              </w:rPr>
            </w:pPr>
            <w:r>
              <w:rPr>
                <w:rFonts w:hint="default"/>
                <w:highlight w:val="none"/>
                <w:lang w:val="en-US" w:eastAsia="zh-CN"/>
              </w:rPr>
              <w:t>4.33</w:t>
            </w:r>
          </w:p>
        </w:tc>
        <w:tc>
          <w:tcPr>
            <w:tcW w:w="368" w:type="pct"/>
            <w:tcBorders>
              <w:tl2br w:val="nil"/>
              <w:tr2bl w:val="nil"/>
            </w:tcBorders>
            <w:noWrap w:val="0"/>
            <w:vAlign w:val="center"/>
          </w:tcPr>
          <w:p w14:paraId="21820C6B">
            <w:pPr>
              <w:pStyle w:val="58"/>
              <w:bidi w:val="0"/>
              <w:rPr>
                <w:rFonts w:hint="default"/>
                <w:highlight w:val="none"/>
                <w:lang w:val="en-US" w:eastAsia="zh-CN"/>
              </w:rPr>
            </w:pPr>
            <w:r>
              <w:rPr>
                <w:rFonts w:hint="default"/>
                <w:highlight w:val="none"/>
                <w:lang w:val="en-US" w:eastAsia="zh-CN"/>
              </w:rPr>
              <w:t>3.74</w:t>
            </w:r>
          </w:p>
        </w:tc>
        <w:tc>
          <w:tcPr>
            <w:tcW w:w="368" w:type="pct"/>
            <w:tcBorders>
              <w:tl2br w:val="nil"/>
              <w:tr2bl w:val="nil"/>
            </w:tcBorders>
            <w:noWrap w:val="0"/>
            <w:vAlign w:val="center"/>
          </w:tcPr>
          <w:p w14:paraId="2D3B28AF">
            <w:pPr>
              <w:pStyle w:val="58"/>
              <w:bidi w:val="0"/>
              <w:rPr>
                <w:rFonts w:hint="default"/>
                <w:highlight w:val="none"/>
                <w:lang w:val="en-US" w:eastAsia="zh-CN"/>
              </w:rPr>
            </w:pPr>
            <w:r>
              <w:rPr>
                <w:rFonts w:hint="default"/>
                <w:highlight w:val="none"/>
                <w:lang w:val="en-US" w:eastAsia="zh-CN"/>
              </w:rPr>
              <w:t>2.77</w:t>
            </w:r>
          </w:p>
        </w:tc>
        <w:tc>
          <w:tcPr>
            <w:tcW w:w="368" w:type="pct"/>
            <w:tcBorders>
              <w:tl2br w:val="nil"/>
              <w:tr2bl w:val="nil"/>
            </w:tcBorders>
            <w:noWrap w:val="0"/>
            <w:vAlign w:val="center"/>
          </w:tcPr>
          <w:p w14:paraId="7F9D47B4">
            <w:pPr>
              <w:pStyle w:val="58"/>
              <w:bidi w:val="0"/>
              <w:rPr>
                <w:rFonts w:hint="default"/>
                <w:highlight w:val="none"/>
                <w:lang w:val="en-US" w:eastAsia="zh-CN"/>
              </w:rPr>
            </w:pPr>
            <w:r>
              <w:rPr>
                <w:rFonts w:hint="default"/>
                <w:highlight w:val="none"/>
                <w:lang w:val="en-US" w:eastAsia="zh-CN"/>
              </w:rPr>
              <w:t>2.52</w:t>
            </w:r>
          </w:p>
        </w:tc>
        <w:tc>
          <w:tcPr>
            <w:tcW w:w="368" w:type="pct"/>
            <w:tcBorders>
              <w:tl2br w:val="nil"/>
              <w:tr2bl w:val="nil"/>
            </w:tcBorders>
            <w:noWrap w:val="0"/>
            <w:vAlign w:val="center"/>
          </w:tcPr>
          <w:p w14:paraId="443C442D">
            <w:pPr>
              <w:pStyle w:val="58"/>
              <w:bidi w:val="0"/>
              <w:rPr>
                <w:rFonts w:hint="default"/>
                <w:highlight w:val="none"/>
                <w:lang w:val="en-US" w:eastAsia="zh-CN"/>
              </w:rPr>
            </w:pPr>
            <w:r>
              <w:rPr>
                <w:rFonts w:hint="default"/>
                <w:highlight w:val="none"/>
                <w:lang w:val="en-US" w:eastAsia="zh-CN"/>
              </w:rPr>
              <w:t>2.33</w:t>
            </w:r>
          </w:p>
        </w:tc>
        <w:tc>
          <w:tcPr>
            <w:tcW w:w="368" w:type="pct"/>
            <w:tcBorders>
              <w:tl2br w:val="nil"/>
              <w:tr2bl w:val="nil"/>
            </w:tcBorders>
            <w:noWrap w:val="0"/>
            <w:vAlign w:val="center"/>
          </w:tcPr>
          <w:p w14:paraId="0CA42A9E">
            <w:pPr>
              <w:pStyle w:val="58"/>
              <w:bidi w:val="0"/>
              <w:rPr>
                <w:rFonts w:hint="default"/>
                <w:highlight w:val="none"/>
                <w:lang w:val="en-US" w:eastAsia="zh-CN"/>
              </w:rPr>
            </w:pPr>
            <w:r>
              <w:rPr>
                <w:rFonts w:hint="default"/>
                <w:highlight w:val="none"/>
                <w:lang w:val="en-US" w:eastAsia="zh-CN"/>
              </w:rPr>
              <w:t>2.75</w:t>
            </w:r>
          </w:p>
        </w:tc>
        <w:tc>
          <w:tcPr>
            <w:tcW w:w="328" w:type="pct"/>
            <w:tcBorders>
              <w:tl2br w:val="nil"/>
              <w:tr2bl w:val="nil"/>
            </w:tcBorders>
            <w:noWrap w:val="0"/>
            <w:vAlign w:val="center"/>
          </w:tcPr>
          <w:p w14:paraId="0567A5FD">
            <w:pPr>
              <w:pStyle w:val="58"/>
              <w:bidi w:val="0"/>
              <w:rPr>
                <w:rFonts w:hint="default"/>
                <w:highlight w:val="none"/>
                <w:lang w:val="en-US" w:eastAsia="zh-CN"/>
              </w:rPr>
            </w:pPr>
            <w:r>
              <w:rPr>
                <w:rFonts w:hint="default"/>
                <w:highlight w:val="none"/>
                <w:lang w:val="en-US" w:eastAsia="zh-CN"/>
              </w:rPr>
              <w:t>5.04</w:t>
            </w:r>
          </w:p>
        </w:tc>
        <w:tc>
          <w:tcPr>
            <w:tcW w:w="328" w:type="pct"/>
            <w:tcBorders>
              <w:tl2br w:val="nil"/>
              <w:tr2bl w:val="nil"/>
            </w:tcBorders>
            <w:noWrap w:val="0"/>
            <w:vAlign w:val="center"/>
          </w:tcPr>
          <w:p w14:paraId="3B85285F">
            <w:pPr>
              <w:pStyle w:val="58"/>
              <w:bidi w:val="0"/>
              <w:rPr>
                <w:rFonts w:hint="default"/>
                <w:highlight w:val="none"/>
                <w:lang w:val="en-US" w:eastAsia="zh-CN"/>
              </w:rPr>
            </w:pPr>
            <w:r>
              <w:rPr>
                <w:rFonts w:hint="default"/>
                <w:highlight w:val="none"/>
                <w:lang w:val="en-US" w:eastAsia="zh-CN"/>
              </w:rPr>
              <w:t>5.35</w:t>
            </w:r>
          </w:p>
        </w:tc>
        <w:tc>
          <w:tcPr>
            <w:tcW w:w="328" w:type="pct"/>
            <w:tcBorders>
              <w:tl2br w:val="nil"/>
              <w:tr2bl w:val="nil"/>
            </w:tcBorders>
            <w:noWrap w:val="0"/>
            <w:vAlign w:val="center"/>
          </w:tcPr>
          <w:p w14:paraId="430EEE37">
            <w:pPr>
              <w:pStyle w:val="58"/>
              <w:bidi w:val="0"/>
              <w:rPr>
                <w:rFonts w:hint="default"/>
                <w:highlight w:val="none"/>
                <w:lang w:val="en-US" w:eastAsia="zh-CN"/>
              </w:rPr>
            </w:pPr>
            <w:r>
              <w:rPr>
                <w:rFonts w:hint="default"/>
                <w:highlight w:val="none"/>
                <w:lang w:val="en-US" w:eastAsia="zh-CN"/>
              </w:rPr>
              <w:t>4.65</w:t>
            </w:r>
          </w:p>
        </w:tc>
        <w:tc>
          <w:tcPr>
            <w:tcW w:w="368" w:type="pct"/>
            <w:tcBorders>
              <w:tl2br w:val="nil"/>
              <w:tr2bl w:val="nil"/>
            </w:tcBorders>
            <w:noWrap w:val="0"/>
            <w:vAlign w:val="center"/>
          </w:tcPr>
          <w:p w14:paraId="07A6861E">
            <w:pPr>
              <w:pStyle w:val="58"/>
              <w:bidi w:val="0"/>
              <w:rPr>
                <w:rFonts w:hint="default"/>
                <w:highlight w:val="none"/>
                <w:lang w:val="en-US" w:eastAsia="zh-CN"/>
              </w:rPr>
            </w:pPr>
            <w:r>
              <w:rPr>
                <w:rFonts w:hint="default"/>
                <w:highlight w:val="none"/>
                <w:lang w:val="en-US" w:eastAsia="zh-CN"/>
              </w:rPr>
              <w:t>5.42</w:t>
            </w:r>
          </w:p>
        </w:tc>
        <w:tc>
          <w:tcPr>
            <w:tcW w:w="368" w:type="pct"/>
            <w:tcBorders>
              <w:tl2br w:val="nil"/>
              <w:tr2bl w:val="nil"/>
            </w:tcBorders>
            <w:noWrap w:val="0"/>
            <w:vAlign w:val="center"/>
          </w:tcPr>
          <w:p w14:paraId="1AA67729">
            <w:pPr>
              <w:pStyle w:val="58"/>
              <w:bidi w:val="0"/>
              <w:rPr>
                <w:rFonts w:hint="default"/>
                <w:highlight w:val="none"/>
                <w:lang w:val="en-US" w:eastAsia="zh-CN"/>
              </w:rPr>
            </w:pPr>
            <w:r>
              <w:rPr>
                <w:rFonts w:hint="default"/>
                <w:highlight w:val="none"/>
                <w:lang w:val="en-US" w:eastAsia="zh-CN"/>
              </w:rPr>
              <w:t>4.81</w:t>
            </w:r>
          </w:p>
        </w:tc>
        <w:tc>
          <w:tcPr>
            <w:tcW w:w="334" w:type="pct"/>
            <w:tcBorders>
              <w:tl2br w:val="nil"/>
              <w:tr2bl w:val="nil"/>
            </w:tcBorders>
            <w:noWrap w:val="0"/>
            <w:vAlign w:val="center"/>
          </w:tcPr>
          <w:p w14:paraId="4E055A80">
            <w:pPr>
              <w:pStyle w:val="58"/>
              <w:bidi w:val="0"/>
              <w:rPr>
                <w:rFonts w:hint="default"/>
                <w:highlight w:val="none"/>
                <w:lang w:val="en-US" w:eastAsia="zh-CN"/>
              </w:rPr>
            </w:pPr>
            <w:r>
              <w:rPr>
                <w:rFonts w:hint="default"/>
                <w:highlight w:val="none"/>
                <w:lang w:val="en-US" w:eastAsia="zh-CN"/>
              </w:rPr>
              <w:t>4.01</w:t>
            </w:r>
          </w:p>
        </w:tc>
      </w:tr>
      <w:tr w14:paraId="3D74608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403" w:type="pct"/>
            <w:tcBorders>
              <w:tl2br w:val="nil"/>
              <w:tr2bl w:val="nil"/>
            </w:tcBorders>
            <w:noWrap w:val="0"/>
            <w:vAlign w:val="center"/>
          </w:tcPr>
          <w:p w14:paraId="3D5C5AEA">
            <w:pPr>
              <w:pStyle w:val="58"/>
              <w:bidi w:val="0"/>
              <w:rPr>
                <w:rFonts w:hint="default"/>
                <w:highlight w:val="none"/>
                <w:lang w:val="en-US" w:eastAsia="zh-CN"/>
              </w:rPr>
            </w:pPr>
            <w:r>
              <w:rPr>
                <w:rFonts w:hint="default"/>
                <w:highlight w:val="none"/>
                <w:lang w:val="en-US" w:eastAsia="zh-CN"/>
              </w:rPr>
              <w:t>NNE</w:t>
            </w:r>
          </w:p>
        </w:tc>
        <w:tc>
          <w:tcPr>
            <w:tcW w:w="368" w:type="pct"/>
            <w:tcBorders>
              <w:tl2br w:val="nil"/>
              <w:tr2bl w:val="nil"/>
            </w:tcBorders>
            <w:noWrap w:val="0"/>
            <w:vAlign w:val="center"/>
          </w:tcPr>
          <w:p w14:paraId="76B48EDB">
            <w:pPr>
              <w:pStyle w:val="58"/>
              <w:bidi w:val="0"/>
              <w:rPr>
                <w:rFonts w:hint="default"/>
                <w:highlight w:val="none"/>
                <w:lang w:val="en-US" w:eastAsia="zh-CN"/>
              </w:rPr>
            </w:pPr>
            <w:r>
              <w:rPr>
                <w:rFonts w:hint="default"/>
                <w:highlight w:val="none"/>
                <w:lang w:val="en-US" w:eastAsia="zh-CN"/>
              </w:rPr>
              <w:t>3.92</w:t>
            </w:r>
          </w:p>
        </w:tc>
        <w:tc>
          <w:tcPr>
            <w:tcW w:w="328" w:type="pct"/>
            <w:tcBorders>
              <w:tl2br w:val="nil"/>
              <w:tr2bl w:val="nil"/>
            </w:tcBorders>
            <w:noWrap w:val="0"/>
            <w:vAlign w:val="center"/>
          </w:tcPr>
          <w:p w14:paraId="7338674A">
            <w:pPr>
              <w:pStyle w:val="58"/>
              <w:bidi w:val="0"/>
              <w:rPr>
                <w:rFonts w:hint="default"/>
                <w:highlight w:val="none"/>
                <w:lang w:val="en-US" w:eastAsia="zh-CN"/>
              </w:rPr>
            </w:pPr>
            <w:r>
              <w:rPr>
                <w:rFonts w:hint="default"/>
                <w:highlight w:val="none"/>
                <w:lang w:val="en-US" w:eastAsia="zh-CN"/>
              </w:rPr>
              <w:t>3.82</w:t>
            </w:r>
          </w:p>
        </w:tc>
        <w:tc>
          <w:tcPr>
            <w:tcW w:w="368" w:type="pct"/>
            <w:tcBorders>
              <w:tl2br w:val="nil"/>
              <w:tr2bl w:val="nil"/>
            </w:tcBorders>
            <w:noWrap w:val="0"/>
            <w:vAlign w:val="center"/>
          </w:tcPr>
          <w:p w14:paraId="4D8A71EC">
            <w:pPr>
              <w:pStyle w:val="58"/>
              <w:bidi w:val="0"/>
              <w:rPr>
                <w:rFonts w:hint="default"/>
                <w:highlight w:val="none"/>
                <w:lang w:val="en-US" w:eastAsia="zh-CN"/>
              </w:rPr>
            </w:pPr>
            <w:r>
              <w:rPr>
                <w:rFonts w:hint="default"/>
                <w:highlight w:val="none"/>
                <w:lang w:val="en-US" w:eastAsia="zh-CN"/>
              </w:rPr>
              <w:t>2.99</w:t>
            </w:r>
          </w:p>
        </w:tc>
        <w:tc>
          <w:tcPr>
            <w:tcW w:w="368" w:type="pct"/>
            <w:tcBorders>
              <w:tl2br w:val="nil"/>
              <w:tr2bl w:val="nil"/>
            </w:tcBorders>
            <w:noWrap w:val="0"/>
            <w:vAlign w:val="center"/>
          </w:tcPr>
          <w:p w14:paraId="7259EC03">
            <w:pPr>
              <w:pStyle w:val="58"/>
              <w:bidi w:val="0"/>
              <w:rPr>
                <w:rFonts w:hint="default"/>
                <w:highlight w:val="none"/>
                <w:lang w:val="en-US" w:eastAsia="zh-CN"/>
              </w:rPr>
            </w:pPr>
            <w:r>
              <w:rPr>
                <w:rFonts w:hint="default"/>
                <w:highlight w:val="none"/>
                <w:lang w:val="en-US" w:eastAsia="zh-CN"/>
              </w:rPr>
              <w:t>3.19</w:t>
            </w:r>
          </w:p>
        </w:tc>
        <w:tc>
          <w:tcPr>
            <w:tcW w:w="368" w:type="pct"/>
            <w:tcBorders>
              <w:tl2br w:val="nil"/>
              <w:tr2bl w:val="nil"/>
            </w:tcBorders>
            <w:noWrap w:val="0"/>
            <w:vAlign w:val="center"/>
          </w:tcPr>
          <w:p w14:paraId="30E96C8C">
            <w:pPr>
              <w:pStyle w:val="58"/>
              <w:bidi w:val="0"/>
              <w:rPr>
                <w:rFonts w:hint="default"/>
                <w:highlight w:val="none"/>
                <w:lang w:val="en-US" w:eastAsia="zh-CN"/>
              </w:rPr>
            </w:pPr>
            <w:r>
              <w:rPr>
                <w:rFonts w:hint="default"/>
                <w:highlight w:val="none"/>
                <w:lang w:val="en-US" w:eastAsia="zh-CN"/>
              </w:rPr>
              <w:t>1.77</w:t>
            </w:r>
          </w:p>
        </w:tc>
        <w:tc>
          <w:tcPr>
            <w:tcW w:w="368" w:type="pct"/>
            <w:tcBorders>
              <w:tl2br w:val="nil"/>
              <w:tr2bl w:val="nil"/>
            </w:tcBorders>
            <w:noWrap w:val="0"/>
            <w:vAlign w:val="center"/>
          </w:tcPr>
          <w:p w14:paraId="7232B5F6">
            <w:pPr>
              <w:pStyle w:val="58"/>
              <w:bidi w:val="0"/>
              <w:rPr>
                <w:rFonts w:hint="default"/>
                <w:highlight w:val="none"/>
                <w:lang w:val="en-US" w:eastAsia="zh-CN"/>
              </w:rPr>
            </w:pPr>
            <w:r>
              <w:rPr>
                <w:rFonts w:hint="default"/>
                <w:highlight w:val="none"/>
                <w:lang w:val="en-US" w:eastAsia="zh-CN"/>
              </w:rPr>
              <w:t>2.35</w:t>
            </w:r>
          </w:p>
        </w:tc>
        <w:tc>
          <w:tcPr>
            <w:tcW w:w="368" w:type="pct"/>
            <w:tcBorders>
              <w:tl2br w:val="nil"/>
              <w:tr2bl w:val="nil"/>
            </w:tcBorders>
            <w:noWrap w:val="0"/>
            <w:vAlign w:val="center"/>
          </w:tcPr>
          <w:p w14:paraId="10953B7C">
            <w:pPr>
              <w:pStyle w:val="58"/>
              <w:bidi w:val="0"/>
              <w:rPr>
                <w:rFonts w:hint="default"/>
                <w:highlight w:val="none"/>
                <w:lang w:val="en-US" w:eastAsia="zh-CN"/>
              </w:rPr>
            </w:pPr>
            <w:r>
              <w:rPr>
                <w:rFonts w:hint="default"/>
                <w:highlight w:val="none"/>
                <w:lang w:val="en-US" w:eastAsia="zh-CN"/>
              </w:rPr>
              <w:t>3.68</w:t>
            </w:r>
          </w:p>
        </w:tc>
        <w:tc>
          <w:tcPr>
            <w:tcW w:w="328" w:type="pct"/>
            <w:tcBorders>
              <w:tl2br w:val="nil"/>
              <w:tr2bl w:val="nil"/>
            </w:tcBorders>
            <w:noWrap w:val="0"/>
            <w:vAlign w:val="center"/>
          </w:tcPr>
          <w:p w14:paraId="50521B65">
            <w:pPr>
              <w:pStyle w:val="58"/>
              <w:bidi w:val="0"/>
              <w:rPr>
                <w:rFonts w:hint="default"/>
                <w:highlight w:val="none"/>
                <w:lang w:val="en-US" w:eastAsia="zh-CN"/>
              </w:rPr>
            </w:pPr>
            <w:r>
              <w:rPr>
                <w:rFonts w:hint="default"/>
                <w:highlight w:val="none"/>
                <w:lang w:val="en-US" w:eastAsia="zh-CN"/>
              </w:rPr>
              <w:t>5.56</w:t>
            </w:r>
          </w:p>
        </w:tc>
        <w:tc>
          <w:tcPr>
            <w:tcW w:w="328" w:type="pct"/>
            <w:tcBorders>
              <w:tl2br w:val="nil"/>
              <w:tr2bl w:val="nil"/>
            </w:tcBorders>
            <w:noWrap w:val="0"/>
            <w:vAlign w:val="center"/>
          </w:tcPr>
          <w:p w14:paraId="70CE220D">
            <w:pPr>
              <w:pStyle w:val="58"/>
              <w:bidi w:val="0"/>
              <w:rPr>
                <w:rFonts w:hint="default"/>
                <w:highlight w:val="none"/>
                <w:lang w:val="en-US" w:eastAsia="zh-CN"/>
              </w:rPr>
            </w:pPr>
            <w:r>
              <w:rPr>
                <w:rFonts w:hint="default"/>
                <w:highlight w:val="none"/>
                <w:lang w:val="en-US" w:eastAsia="zh-CN"/>
              </w:rPr>
              <w:t>5.67</w:t>
            </w:r>
          </w:p>
        </w:tc>
        <w:tc>
          <w:tcPr>
            <w:tcW w:w="328" w:type="pct"/>
            <w:tcBorders>
              <w:tl2br w:val="nil"/>
              <w:tr2bl w:val="nil"/>
            </w:tcBorders>
            <w:noWrap w:val="0"/>
            <w:vAlign w:val="center"/>
          </w:tcPr>
          <w:p w14:paraId="7BFA6548">
            <w:pPr>
              <w:pStyle w:val="58"/>
              <w:bidi w:val="0"/>
              <w:rPr>
                <w:rFonts w:hint="default"/>
                <w:highlight w:val="none"/>
                <w:lang w:val="en-US" w:eastAsia="zh-CN"/>
              </w:rPr>
            </w:pPr>
            <w:r>
              <w:rPr>
                <w:rFonts w:hint="default"/>
                <w:highlight w:val="none"/>
                <w:lang w:val="en-US" w:eastAsia="zh-CN"/>
              </w:rPr>
              <w:t>4.95</w:t>
            </w:r>
          </w:p>
        </w:tc>
        <w:tc>
          <w:tcPr>
            <w:tcW w:w="368" w:type="pct"/>
            <w:tcBorders>
              <w:tl2br w:val="nil"/>
              <w:tr2bl w:val="nil"/>
            </w:tcBorders>
            <w:noWrap w:val="0"/>
            <w:vAlign w:val="center"/>
          </w:tcPr>
          <w:p w14:paraId="39817012">
            <w:pPr>
              <w:pStyle w:val="58"/>
              <w:bidi w:val="0"/>
              <w:rPr>
                <w:rFonts w:hint="default"/>
                <w:highlight w:val="none"/>
                <w:lang w:val="en-US" w:eastAsia="zh-CN"/>
              </w:rPr>
            </w:pPr>
            <w:r>
              <w:rPr>
                <w:rFonts w:hint="default"/>
                <w:highlight w:val="none"/>
                <w:lang w:val="en-US" w:eastAsia="zh-CN"/>
              </w:rPr>
              <w:t>5.24</w:t>
            </w:r>
          </w:p>
        </w:tc>
        <w:tc>
          <w:tcPr>
            <w:tcW w:w="368" w:type="pct"/>
            <w:tcBorders>
              <w:tl2br w:val="nil"/>
              <w:tr2bl w:val="nil"/>
            </w:tcBorders>
            <w:noWrap w:val="0"/>
            <w:vAlign w:val="center"/>
          </w:tcPr>
          <w:p w14:paraId="7EDA0212">
            <w:pPr>
              <w:pStyle w:val="58"/>
              <w:bidi w:val="0"/>
              <w:rPr>
                <w:rFonts w:hint="default"/>
                <w:highlight w:val="none"/>
                <w:lang w:val="en-US" w:eastAsia="zh-CN"/>
              </w:rPr>
            </w:pPr>
            <w:r>
              <w:rPr>
                <w:rFonts w:hint="default"/>
                <w:highlight w:val="none"/>
                <w:lang w:val="en-US" w:eastAsia="zh-CN"/>
              </w:rPr>
              <w:t>4.02</w:t>
            </w:r>
          </w:p>
        </w:tc>
        <w:tc>
          <w:tcPr>
            <w:tcW w:w="334" w:type="pct"/>
            <w:tcBorders>
              <w:tl2br w:val="nil"/>
              <w:tr2bl w:val="nil"/>
            </w:tcBorders>
            <w:noWrap w:val="0"/>
            <w:vAlign w:val="center"/>
          </w:tcPr>
          <w:p w14:paraId="6964BD26">
            <w:pPr>
              <w:pStyle w:val="58"/>
              <w:bidi w:val="0"/>
              <w:rPr>
                <w:rFonts w:hint="default"/>
                <w:highlight w:val="none"/>
                <w:lang w:val="en-US" w:eastAsia="zh-CN"/>
              </w:rPr>
            </w:pPr>
            <w:r>
              <w:rPr>
                <w:rFonts w:hint="default"/>
                <w:highlight w:val="none"/>
                <w:lang w:val="en-US" w:eastAsia="zh-CN"/>
              </w:rPr>
              <w:t>3.94</w:t>
            </w:r>
          </w:p>
        </w:tc>
      </w:tr>
      <w:tr w14:paraId="3F7ECE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403" w:type="pct"/>
            <w:tcBorders>
              <w:tl2br w:val="nil"/>
              <w:tr2bl w:val="nil"/>
            </w:tcBorders>
            <w:noWrap w:val="0"/>
            <w:vAlign w:val="center"/>
          </w:tcPr>
          <w:p w14:paraId="34AAEC1A">
            <w:pPr>
              <w:pStyle w:val="58"/>
              <w:bidi w:val="0"/>
              <w:rPr>
                <w:rFonts w:hint="default"/>
                <w:highlight w:val="none"/>
                <w:lang w:val="en-US" w:eastAsia="zh-CN"/>
              </w:rPr>
            </w:pPr>
            <w:r>
              <w:rPr>
                <w:rFonts w:hint="default"/>
                <w:highlight w:val="none"/>
                <w:lang w:val="en-US" w:eastAsia="zh-CN"/>
              </w:rPr>
              <w:t>NE</w:t>
            </w:r>
          </w:p>
        </w:tc>
        <w:tc>
          <w:tcPr>
            <w:tcW w:w="368" w:type="pct"/>
            <w:tcBorders>
              <w:tl2br w:val="nil"/>
              <w:tr2bl w:val="nil"/>
            </w:tcBorders>
            <w:noWrap w:val="0"/>
            <w:vAlign w:val="center"/>
          </w:tcPr>
          <w:p w14:paraId="4DDE5395">
            <w:pPr>
              <w:pStyle w:val="58"/>
              <w:bidi w:val="0"/>
              <w:rPr>
                <w:rFonts w:hint="default"/>
                <w:highlight w:val="none"/>
                <w:lang w:val="en-US" w:eastAsia="zh-CN"/>
              </w:rPr>
            </w:pPr>
            <w:r>
              <w:rPr>
                <w:rFonts w:hint="default"/>
                <w:highlight w:val="none"/>
                <w:lang w:val="en-US" w:eastAsia="zh-CN"/>
              </w:rPr>
              <w:t>5.02</w:t>
            </w:r>
          </w:p>
        </w:tc>
        <w:tc>
          <w:tcPr>
            <w:tcW w:w="328" w:type="pct"/>
            <w:tcBorders>
              <w:tl2br w:val="nil"/>
              <w:tr2bl w:val="nil"/>
            </w:tcBorders>
            <w:noWrap w:val="0"/>
            <w:vAlign w:val="center"/>
          </w:tcPr>
          <w:p w14:paraId="27FEDDBC">
            <w:pPr>
              <w:pStyle w:val="58"/>
              <w:bidi w:val="0"/>
              <w:rPr>
                <w:rFonts w:hint="default"/>
                <w:highlight w:val="none"/>
                <w:lang w:val="en-US" w:eastAsia="zh-CN"/>
              </w:rPr>
            </w:pPr>
            <w:r>
              <w:rPr>
                <w:rFonts w:hint="default"/>
                <w:highlight w:val="none"/>
                <w:lang w:val="en-US" w:eastAsia="zh-CN"/>
              </w:rPr>
              <w:t>3.77</w:t>
            </w:r>
          </w:p>
        </w:tc>
        <w:tc>
          <w:tcPr>
            <w:tcW w:w="368" w:type="pct"/>
            <w:tcBorders>
              <w:tl2br w:val="nil"/>
              <w:tr2bl w:val="nil"/>
            </w:tcBorders>
            <w:noWrap w:val="0"/>
            <w:vAlign w:val="center"/>
          </w:tcPr>
          <w:p w14:paraId="5144CAEA">
            <w:pPr>
              <w:pStyle w:val="58"/>
              <w:bidi w:val="0"/>
              <w:rPr>
                <w:rFonts w:hint="default"/>
                <w:highlight w:val="none"/>
                <w:lang w:val="en-US" w:eastAsia="zh-CN"/>
              </w:rPr>
            </w:pPr>
            <w:r>
              <w:rPr>
                <w:rFonts w:hint="default"/>
                <w:highlight w:val="none"/>
                <w:lang w:val="en-US" w:eastAsia="zh-CN"/>
              </w:rPr>
              <w:t>3.04</w:t>
            </w:r>
          </w:p>
        </w:tc>
        <w:tc>
          <w:tcPr>
            <w:tcW w:w="368" w:type="pct"/>
            <w:tcBorders>
              <w:tl2br w:val="nil"/>
              <w:tr2bl w:val="nil"/>
            </w:tcBorders>
            <w:noWrap w:val="0"/>
            <w:vAlign w:val="center"/>
          </w:tcPr>
          <w:p w14:paraId="0D5D7E37">
            <w:pPr>
              <w:pStyle w:val="58"/>
              <w:bidi w:val="0"/>
              <w:rPr>
                <w:rFonts w:hint="default"/>
                <w:highlight w:val="none"/>
                <w:lang w:val="en-US" w:eastAsia="zh-CN"/>
              </w:rPr>
            </w:pPr>
            <w:r>
              <w:rPr>
                <w:rFonts w:hint="default"/>
                <w:highlight w:val="none"/>
                <w:lang w:val="en-US" w:eastAsia="zh-CN"/>
              </w:rPr>
              <w:t>3.67</w:t>
            </w:r>
          </w:p>
        </w:tc>
        <w:tc>
          <w:tcPr>
            <w:tcW w:w="368" w:type="pct"/>
            <w:tcBorders>
              <w:tl2br w:val="nil"/>
              <w:tr2bl w:val="nil"/>
            </w:tcBorders>
            <w:noWrap w:val="0"/>
            <w:vAlign w:val="center"/>
          </w:tcPr>
          <w:p w14:paraId="486BF452">
            <w:pPr>
              <w:pStyle w:val="58"/>
              <w:bidi w:val="0"/>
              <w:rPr>
                <w:rFonts w:hint="default"/>
                <w:highlight w:val="none"/>
                <w:lang w:val="en-US" w:eastAsia="zh-CN"/>
              </w:rPr>
            </w:pPr>
            <w:r>
              <w:rPr>
                <w:rFonts w:hint="default"/>
                <w:highlight w:val="none"/>
                <w:lang w:val="en-US" w:eastAsia="zh-CN"/>
              </w:rPr>
              <w:t>2.99</w:t>
            </w:r>
          </w:p>
        </w:tc>
        <w:tc>
          <w:tcPr>
            <w:tcW w:w="368" w:type="pct"/>
            <w:tcBorders>
              <w:tl2br w:val="nil"/>
              <w:tr2bl w:val="nil"/>
            </w:tcBorders>
            <w:noWrap w:val="0"/>
            <w:vAlign w:val="center"/>
          </w:tcPr>
          <w:p w14:paraId="6DF3F231">
            <w:pPr>
              <w:pStyle w:val="58"/>
              <w:bidi w:val="0"/>
              <w:rPr>
                <w:rFonts w:hint="default"/>
                <w:highlight w:val="none"/>
                <w:lang w:val="en-US" w:eastAsia="zh-CN"/>
              </w:rPr>
            </w:pPr>
            <w:r>
              <w:rPr>
                <w:rFonts w:hint="default"/>
                <w:highlight w:val="none"/>
                <w:lang w:val="en-US" w:eastAsia="zh-CN"/>
              </w:rPr>
              <w:t>4.59</w:t>
            </w:r>
          </w:p>
        </w:tc>
        <w:tc>
          <w:tcPr>
            <w:tcW w:w="368" w:type="pct"/>
            <w:tcBorders>
              <w:tl2br w:val="nil"/>
              <w:tr2bl w:val="nil"/>
            </w:tcBorders>
            <w:noWrap w:val="0"/>
            <w:vAlign w:val="center"/>
          </w:tcPr>
          <w:p w14:paraId="5B3FBB3C">
            <w:pPr>
              <w:pStyle w:val="58"/>
              <w:bidi w:val="0"/>
              <w:rPr>
                <w:rFonts w:hint="default"/>
                <w:highlight w:val="none"/>
                <w:lang w:val="en-US" w:eastAsia="zh-CN"/>
              </w:rPr>
            </w:pPr>
            <w:r>
              <w:rPr>
                <w:rFonts w:hint="default"/>
                <w:highlight w:val="none"/>
                <w:lang w:val="en-US" w:eastAsia="zh-CN"/>
              </w:rPr>
              <w:t>5.7</w:t>
            </w:r>
          </w:p>
        </w:tc>
        <w:tc>
          <w:tcPr>
            <w:tcW w:w="328" w:type="pct"/>
            <w:tcBorders>
              <w:tl2br w:val="nil"/>
              <w:tr2bl w:val="nil"/>
            </w:tcBorders>
            <w:noWrap w:val="0"/>
            <w:vAlign w:val="center"/>
          </w:tcPr>
          <w:p w14:paraId="3F04BE28">
            <w:pPr>
              <w:pStyle w:val="58"/>
              <w:bidi w:val="0"/>
              <w:rPr>
                <w:rFonts w:hint="default"/>
                <w:highlight w:val="none"/>
                <w:lang w:val="en-US" w:eastAsia="zh-CN"/>
              </w:rPr>
            </w:pPr>
            <w:r>
              <w:rPr>
                <w:rFonts w:hint="default"/>
                <w:highlight w:val="none"/>
                <w:lang w:val="en-US" w:eastAsia="zh-CN"/>
              </w:rPr>
              <w:t>7.3</w:t>
            </w:r>
          </w:p>
        </w:tc>
        <w:tc>
          <w:tcPr>
            <w:tcW w:w="328" w:type="pct"/>
            <w:tcBorders>
              <w:tl2br w:val="nil"/>
              <w:tr2bl w:val="nil"/>
            </w:tcBorders>
            <w:noWrap w:val="0"/>
            <w:vAlign w:val="center"/>
          </w:tcPr>
          <w:p w14:paraId="7A0E5ED7">
            <w:pPr>
              <w:pStyle w:val="58"/>
              <w:bidi w:val="0"/>
              <w:rPr>
                <w:rFonts w:hint="default"/>
                <w:highlight w:val="none"/>
                <w:lang w:val="en-US" w:eastAsia="zh-CN"/>
              </w:rPr>
            </w:pPr>
            <w:r>
              <w:rPr>
                <w:rFonts w:hint="default"/>
                <w:highlight w:val="none"/>
                <w:lang w:val="en-US" w:eastAsia="zh-CN"/>
              </w:rPr>
              <w:t>6.57</w:t>
            </w:r>
          </w:p>
        </w:tc>
        <w:tc>
          <w:tcPr>
            <w:tcW w:w="328" w:type="pct"/>
            <w:tcBorders>
              <w:tl2br w:val="nil"/>
              <w:tr2bl w:val="nil"/>
            </w:tcBorders>
            <w:noWrap w:val="0"/>
            <w:vAlign w:val="center"/>
          </w:tcPr>
          <w:p w14:paraId="04927E6E">
            <w:pPr>
              <w:pStyle w:val="58"/>
              <w:bidi w:val="0"/>
              <w:rPr>
                <w:rFonts w:hint="default"/>
                <w:highlight w:val="none"/>
                <w:lang w:val="en-US" w:eastAsia="zh-CN"/>
              </w:rPr>
            </w:pPr>
            <w:r>
              <w:rPr>
                <w:rFonts w:hint="default"/>
                <w:highlight w:val="none"/>
                <w:lang w:val="en-US" w:eastAsia="zh-CN"/>
              </w:rPr>
              <w:t>5.25</w:t>
            </w:r>
          </w:p>
        </w:tc>
        <w:tc>
          <w:tcPr>
            <w:tcW w:w="368" w:type="pct"/>
            <w:tcBorders>
              <w:tl2br w:val="nil"/>
              <w:tr2bl w:val="nil"/>
            </w:tcBorders>
            <w:noWrap w:val="0"/>
            <w:vAlign w:val="center"/>
          </w:tcPr>
          <w:p w14:paraId="2F369206">
            <w:pPr>
              <w:pStyle w:val="58"/>
              <w:bidi w:val="0"/>
              <w:rPr>
                <w:rFonts w:hint="default"/>
                <w:highlight w:val="none"/>
                <w:lang w:val="en-US" w:eastAsia="zh-CN"/>
              </w:rPr>
            </w:pPr>
            <w:r>
              <w:rPr>
                <w:rFonts w:hint="default"/>
                <w:highlight w:val="none"/>
                <w:lang w:val="en-US" w:eastAsia="zh-CN"/>
              </w:rPr>
              <w:t>5.77</w:t>
            </w:r>
          </w:p>
        </w:tc>
        <w:tc>
          <w:tcPr>
            <w:tcW w:w="368" w:type="pct"/>
            <w:tcBorders>
              <w:tl2br w:val="nil"/>
              <w:tr2bl w:val="nil"/>
            </w:tcBorders>
            <w:noWrap w:val="0"/>
            <w:vAlign w:val="center"/>
          </w:tcPr>
          <w:p w14:paraId="5917B304">
            <w:pPr>
              <w:pStyle w:val="58"/>
              <w:bidi w:val="0"/>
              <w:rPr>
                <w:rFonts w:hint="default"/>
                <w:highlight w:val="none"/>
                <w:lang w:val="en-US" w:eastAsia="zh-CN"/>
              </w:rPr>
            </w:pPr>
            <w:r>
              <w:rPr>
                <w:rFonts w:hint="default"/>
                <w:highlight w:val="none"/>
                <w:lang w:val="en-US" w:eastAsia="zh-CN"/>
              </w:rPr>
              <w:t>4.81</w:t>
            </w:r>
          </w:p>
        </w:tc>
        <w:tc>
          <w:tcPr>
            <w:tcW w:w="334" w:type="pct"/>
            <w:tcBorders>
              <w:tl2br w:val="nil"/>
              <w:tr2bl w:val="nil"/>
            </w:tcBorders>
            <w:noWrap w:val="0"/>
            <w:vAlign w:val="center"/>
          </w:tcPr>
          <w:p w14:paraId="470AA534">
            <w:pPr>
              <w:pStyle w:val="58"/>
              <w:bidi w:val="0"/>
              <w:rPr>
                <w:rFonts w:hint="default"/>
                <w:highlight w:val="none"/>
                <w:lang w:val="en-US" w:eastAsia="zh-CN"/>
              </w:rPr>
            </w:pPr>
            <w:r>
              <w:rPr>
                <w:rFonts w:hint="default"/>
                <w:highlight w:val="none"/>
                <w:lang w:val="en-US" w:eastAsia="zh-CN"/>
              </w:rPr>
              <w:t>4.84</w:t>
            </w:r>
          </w:p>
        </w:tc>
      </w:tr>
      <w:tr w14:paraId="7E39E3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403" w:type="pct"/>
            <w:tcBorders>
              <w:tl2br w:val="nil"/>
              <w:tr2bl w:val="nil"/>
            </w:tcBorders>
            <w:noWrap w:val="0"/>
            <w:vAlign w:val="center"/>
          </w:tcPr>
          <w:p w14:paraId="4148593B">
            <w:pPr>
              <w:pStyle w:val="58"/>
              <w:bidi w:val="0"/>
              <w:rPr>
                <w:rFonts w:hint="default"/>
                <w:highlight w:val="none"/>
                <w:lang w:val="en-US" w:eastAsia="zh-CN"/>
              </w:rPr>
            </w:pPr>
            <w:r>
              <w:rPr>
                <w:rFonts w:hint="default"/>
                <w:highlight w:val="none"/>
                <w:lang w:val="en-US" w:eastAsia="zh-CN"/>
              </w:rPr>
              <w:t>ENE</w:t>
            </w:r>
          </w:p>
        </w:tc>
        <w:tc>
          <w:tcPr>
            <w:tcW w:w="368" w:type="pct"/>
            <w:tcBorders>
              <w:tl2br w:val="nil"/>
              <w:tr2bl w:val="nil"/>
            </w:tcBorders>
            <w:noWrap w:val="0"/>
            <w:vAlign w:val="center"/>
          </w:tcPr>
          <w:p w14:paraId="1B88695E">
            <w:pPr>
              <w:pStyle w:val="58"/>
              <w:bidi w:val="0"/>
              <w:rPr>
                <w:rFonts w:hint="default"/>
                <w:highlight w:val="none"/>
                <w:lang w:val="en-US" w:eastAsia="zh-CN"/>
              </w:rPr>
            </w:pPr>
            <w:r>
              <w:rPr>
                <w:rFonts w:hint="default"/>
                <w:highlight w:val="none"/>
                <w:lang w:val="en-US" w:eastAsia="zh-CN"/>
              </w:rPr>
              <w:t>8.67</w:t>
            </w:r>
          </w:p>
        </w:tc>
        <w:tc>
          <w:tcPr>
            <w:tcW w:w="328" w:type="pct"/>
            <w:tcBorders>
              <w:tl2br w:val="nil"/>
              <w:tr2bl w:val="nil"/>
            </w:tcBorders>
            <w:noWrap w:val="0"/>
            <w:vAlign w:val="center"/>
          </w:tcPr>
          <w:p w14:paraId="173ACE58">
            <w:pPr>
              <w:pStyle w:val="58"/>
              <w:bidi w:val="0"/>
              <w:rPr>
                <w:rFonts w:hint="default"/>
                <w:highlight w:val="none"/>
                <w:lang w:val="en-US" w:eastAsia="zh-CN"/>
              </w:rPr>
            </w:pPr>
            <w:r>
              <w:rPr>
                <w:rFonts w:hint="default"/>
                <w:highlight w:val="none"/>
                <w:lang w:val="en-US" w:eastAsia="zh-CN"/>
              </w:rPr>
              <w:t>9.88</w:t>
            </w:r>
          </w:p>
        </w:tc>
        <w:tc>
          <w:tcPr>
            <w:tcW w:w="368" w:type="pct"/>
            <w:tcBorders>
              <w:tl2br w:val="nil"/>
              <w:tr2bl w:val="nil"/>
            </w:tcBorders>
            <w:noWrap w:val="0"/>
            <w:vAlign w:val="center"/>
          </w:tcPr>
          <w:p w14:paraId="509684BF">
            <w:pPr>
              <w:pStyle w:val="58"/>
              <w:bidi w:val="0"/>
              <w:rPr>
                <w:rFonts w:hint="default"/>
                <w:highlight w:val="none"/>
                <w:lang w:val="en-US" w:eastAsia="zh-CN"/>
              </w:rPr>
            </w:pPr>
            <w:r>
              <w:rPr>
                <w:rFonts w:hint="default"/>
                <w:highlight w:val="none"/>
                <w:lang w:val="en-US" w:eastAsia="zh-CN"/>
              </w:rPr>
              <w:t>6.74</w:t>
            </w:r>
          </w:p>
        </w:tc>
        <w:tc>
          <w:tcPr>
            <w:tcW w:w="368" w:type="pct"/>
            <w:tcBorders>
              <w:tl2br w:val="nil"/>
              <w:tr2bl w:val="nil"/>
            </w:tcBorders>
            <w:noWrap w:val="0"/>
            <w:vAlign w:val="center"/>
          </w:tcPr>
          <w:p w14:paraId="2229CD2C">
            <w:pPr>
              <w:pStyle w:val="58"/>
              <w:bidi w:val="0"/>
              <w:rPr>
                <w:rFonts w:hint="default"/>
                <w:highlight w:val="none"/>
                <w:lang w:val="en-US" w:eastAsia="zh-CN"/>
              </w:rPr>
            </w:pPr>
            <w:r>
              <w:rPr>
                <w:rFonts w:hint="default"/>
                <w:highlight w:val="none"/>
                <w:lang w:val="en-US" w:eastAsia="zh-CN"/>
              </w:rPr>
              <w:t>6.72</w:t>
            </w:r>
          </w:p>
        </w:tc>
        <w:tc>
          <w:tcPr>
            <w:tcW w:w="368" w:type="pct"/>
            <w:tcBorders>
              <w:tl2br w:val="nil"/>
              <w:tr2bl w:val="nil"/>
            </w:tcBorders>
            <w:noWrap w:val="0"/>
            <w:vAlign w:val="center"/>
          </w:tcPr>
          <w:p w14:paraId="674A7BC0">
            <w:pPr>
              <w:pStyle w:val="58"/>
              <w:bidi w:val="0"/>
              <w:rPr>
                <w:rFonts w:hint="default"/>
                <w:highlight w:val="none"/>
                <w:lang w:val="en-US" w:eastAsia="zh-CN"/>
              </w:rPr>
            </w:pPr>
            <w:r>
              <w:rPr>
                <w:rFonts w:hint="default"/>
                <w:highlight w:val="none"/>
                <w:lang w:val="en-US" w:eastAsia="zh-CN"/>
              </w:rPr>
              <w:t>4.99</w:t>
            </w:r>
          </w:p>
        </w:tc>
        <w:tc>
          <w:tcPr>
            <w:tcW w:w="368" w:type="pct"/>
            <w:tcBorders>
              <w:tl2br w:val="nil"/>
              <w:tr2bl w:val="nil"/>
            </w:tcBorders>
            <w:noWrap w:val="0"/>
            <w:vAlign w:val="center"/>
          </w:tcPr>
          <w:p w14:paraId="1C7C154F">
            <w:pPr>
              <w:pStyle w:val="58"/>
              <w:bidi w:val="0"/>
              <w:rPr>
                <w:rFonts w:hint="default"/>
                <w:highlight w:val="none"/>
                <w:lang w:val="en-US" w:eastAsia="zh-CN"/>
              </w:rPr>
            </w:pPr>
            <w:r>
              <w:rPr>
                <w:rFonts w:hint="default"/>
                <w:highlight w:val="none"/>
                <w:lang w:val="en-US" w:eastAsia="zh-CN"/>
              </w:rPr>
              <w:t>7.38</w:t>
            </w:r>
          </w:p>
        </w:tc>
        <w:tc>
          <w:tcPr>
            <w:tcW w:w="368" w:type="pct"/>
            <w:tcBorders>
              <w:tl2br w:val="nil"/>
              <w:tr2bl w:val="nil"/>
            </w:tcBorders>
            <w:noWrap w:val="0"/>
            <w:vAlign w:val="center"/>
          </w:tcPr>
          <w:p w14:paraId="5C9A1AB6">
            <w:pPr>
              <w:pStyle w:val="58"/>
              <w:bidi w:val="0"/>
              <w:rPr>
                <w:rFonts w:hint="default"/>
                <w:highlight w:val="none"/>
                <w:lang w:val="en-US" w:eastAsia="zh-CN"/>
              </w:rPr>
            </w:pPr>
            <w:r>
              <w:rPr>
                <w:rFonts w:hint="default"/>
                <w:highlight w:val="none"/>
                <w:lang w:val="en-US" w:eastAsia="zh-CN"/>
              </w:rPr>
              <w:t>7.07</w:t>
            </w:r>
          </w:p>
        </w:tc>
        <w:tc>
          <w:tcPr>
            <w:tcW w:w="328" w:type="pct"/>
            <w:tcBorders>
              <w:tl2br w:val="nil"/>
              <w:tr2bl w:val="nil"/>
            </w:tcBorders>
            <w:noWrap w:val="0"/>
            <w:vAlign w:val="center"/>
          </w:tcPr>
          <w:p w14:paraId="3C2D452F">
            <w:pPr>
              <w:pStyle w:val="58"/>
              <w:bidi w:val="0"/>
              <w:rPr>
                <w:rFonts w:hint="default"/>
                <w:highlight w:val="none"/>
                <w:lang w:val="en-US" w:eastAsia="zh-CN"/>
              </w:rPr>
            </w:pPr>
            <w:r>
              <w:rPr>
                <w:rFonts w:hint="default"/>
                <w:highlight w:val="none"/>
                <w:lang w:val="en-US" w:eastAsia="zh-CN"/>
              </w:rPr>
              <w:t>6.83</w:t>
            </w:r>
          </w:p>
        </w:tc>
        <w:tc>
          <w:tcPr>
            <w:tcW w:w="328" w:type="pct"/>
            <w:tcBorders>
              <w:tl2br w:val="nil"/>
              <w:tr2bl w:val="nil"/>
            </w:tcBorders>
            <w:noWrap w:val="0"/>
            <w:vAlign w:val="center"/>
          </w:tcPr>
          <w:p w14:paraId="10D99A40">
            <w:pPr>
              <w:pStyle w:val="58"/>
              <w:bidi w:val="0"/>
              <w:rPr>
                <w:rFonts w:hint="default"/>
                <w:highlight w:val="none"/>
                <w:lang w:val="en-US" w:eastAsia="zh-CN"/>
              </w:rPr>
            </w:pPr>
            <w:r>
              <w:rPr>
                <w:rFonts w:hint="default"/>
                <w:highlight w:val="none"/>
                <w:lang w:val="en-US" w:eastAsia="zh-CN"/>
              </w:rPr>
              <w:t>6.27</w:t>
            </w:r>
          </w:p>
        </w:tc>
        <w:tc>
          <w:tcPr>
            <w:tcW w:w="328" w:type="pct"/>
            <w:tcBorders>
              <w:tl2br w:val="nil"/>
              <w:tr2bl w:val="nil"/>
            </w:tcBorders>
            <w:noWrap w:val="0"/>
            <w:vAlign w:val="center"/>
          </w:tcPr>
          <w:p w14:paraId="31D1A899">
            <w:pPr>
              <w:pStyle w:val="58"/>
              <w:bidi w:val="0"/>
              <w:rPr>
                <w:rFonts w:hint="default"/>
                <w:highlight w:val="none"/>
                <w:lang w:val="en-US" w:eastAsia="zh-CN"/>
              </w:rPr>
            </w:pPr>
            <w:r>
              <w:rPr>
                <w:rFonts w:hint="default"/>
                <w:highlight w:val="none"/>
                <w:lang w:val="en-US" w:eastAsia="zh-CN"/>
              </w:rPr>
              <w:t>6.05</w:t>
            </w:r>
          </w:p>
        </w:tc>
        <w:tc>
          <w:tcPr>
            <w:tcW w:w="368" w:type="pct"/>
            <w:tcBorders>
              <w:tl2br w:val="nil"/>
              <w:tr2bl w:val="nil"/>
            </w:tcBorders>
            <w:noWrap w:val="0"/>
            <w:vAlign w:val="center"/>
          </w:tcPr>
          <w:p w14:paraId="05C9EA09">
            <w:pPr>
              <w:pStyle w:val="58"/>
              <w:bidi w:val="0"/>
              <w:rPr>
                <w:rFonts w:hint="default"/>
                <w:highlight w:val="none"/>
                <w:lang w:val="en-US" w:eastAsia="zh-CN"/>
              </w:rPr>
            </w:pPr>
            <w:r>
              <w:rPr>
                <w:rFonts w:hint="default"/>
                <w:highlight w:val="none"/>
                <w:lang w:val="en-US" w:eastAsia="zh-CN"/>
              </w:rPr>
              <w:t>7.47</w:t>
            </w:r>
          </w:p>
        </w:tc>
        <w:tc>
          <w:tcPr>
            <w:tcW w:w="368" w:type="pct"/>
            <w:tcBorders>
              <w:tl2br w:val="nil"/>
              <w:tr2bl w:val="nil"/>
            </w:tcBorders>
            <w:noWrap w:val="0"/>
            <w:vAlign w:val="center"/>
          </w:tcPr>
          <w:p w14:paraId="4CCD1882">
            <w:pPr>
              <w:pStyle w:val="58"/>
              <w:bidi w:val="0"/>
              <w:rPr>
                <w:rFonts w:hint="default"/>
                <w:highlight w:val="none"/>
                <w:lang w:val="en-US" w:eastAsia="zh-CN"/>
              </w:rPr>
            </w:pPr>
            <w:r>
              <w:rPr>
                <w:rFonts w:hint="default"/>
                <w:highlight w:val="none"/>
                <w:lang w:val="en-US" w:eastAsia="zh-CN"/>
              </w:rPr>
              <w:t>6.71</w:t>
            </w:r>
          </w:p>
        </w:tc>
        <w:tc>
          <w:tcPr>
            <w:tcW w:w="334" w:type="pct"/>
            <w:tcBorders>
              <w:tl2br w:val="nil"/>
              <w:tr2bl w:val="nil"/>
            </w:tcBorders>
            <w:noWrap w:val="0"/>
            <w:vAlign w:val="center"/>
          </w:tcPr>
          <w:p w14:paraId="7E341AD6">
            <w:pPr>
              <w:pStyle w:val="58"/>
              <w:bidi w:val="0"/>
              <w:rPr>
                <w:rFonts w:hint="default"/>
                <w:highlight w:val="none"/>
                <w:lang w:val="en-US" w:eastAsia="zh-CN"/>
              </w:rPr>
            </w:pPr>
            <w:r>
              <w:rPr>
                <w:rFonts w:hint="default"/>
                <w:highlight w:val="none"/>
                <w:lang w:val="en-US" w:eastAsia="zh-CN"/>
              </w:rPr>
              <w:t>7.02</w:t>
            </w:r>
          </w:p>
        </w:tc>
      </w:tr>
      <w:tr w14:paraId="3058FAD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403" w:type="pct"/>
            <w:tcBorders>
              <w:tl2br w:val="nil"/>
              <w:tr2bl w:val="nil"/>
            </w:tcBorders>
            <w:noWrap w:val="0"/>
            <w:vAlign w:val="center"/>
          </w:tcPr>
          <w:p w14:paraId="50E7E6DF">
            <w:pPr>
              <w:pStyle w:val="58"/>
              <w:bidi w:val="0"/>
              <w:rPr>
                <w:rFonts w:hint="default"/>
                <w:highlight w:val="none"/>
                <w:lang w:val="en-US" w:eastAsia="zh-CN"/>
              </w:rPr>
            </w:pPr>
            <w:r>
              <w:rPr>
                <w:rFonts w:hint="default"/>
                <w:highlight w:val="none"/>
                <w:lang w:val="en-US" w:eastAsia="zh-CN"/>
              </w:rPr>
              <w:t>E</w:t>
            </w:r>
          </w:p>
        </w:tc>
        <w:tc>
          <w:tcPr>
            <w:tcW w:w="368" w:type="pct"/>
            <w:tcBorders>
              <w:tl2br w:val="nil"/>
              <w:tr2bl w:val="nil"/>
            </w:tcBorders>
            <w:noWrap w:val="0"/>
            <w:vAlign w:val="center"/>
          </w:tcPr>
          <w:p w14:paraId="06A8D65B">
            <w:pPr>
              <w:pStyle w:val="58"/>
              <w:bidi w:val="0"/>
              <w:rPr>
                <w:rFonts w:hint="default"/>
                <w:highlight w:val="none"/>
                <w:lang w:val="en-US" w:eastAsia="zh-CN"/>
              </w:rPr>
            </w:pPr>
            <w:r>
              <w:rPr>
                <w:rFonts w:hint="default"/>
                <w:highlight w:val="none"/>
                <w:lang w:val="en-US" w:eastAsia="zh-CN"/>
              </w:rPr>
              <w:t>6.37</w:t>
            </w:r>
          </w:p>
        </w:tc>
        <w:tc>
          <w:tcPr>
            <w:tcW w:w="328" w:type="pct"/>
            <w:tcBorders>
              <w:tl2br w:val="nil"/>
              <w:tr2bl w:val="nil"/>
            </w:tcBorders>
            <w:noWrap w:val="0"/>
            <w:vAlign w:val="center"/>
          </w:tcPr>
          <w:p w14:paraId="16E88C32">
            <w:pPr>
              <w:pStyle w:val="58"/>
              <w:bidi w:val="0"/>
              <w:rPr>
                <w:rFonts w:hint="default"/>
                <w:highlight w:val="none"/>
                <w:lang w:val="en-US" w:eastAsia="zh-CN"/>
              </w:rPr>
            </w:pPr>
            <w:r>
              <w:rPr>
                <w:rFonts w:hint="default"/>
                <w:highlight w:val="none"/>
                <w:lang w:val="en-US" w:eastAsia="zh-CN"/>
              </w:rPr>
              <w:t>8.33</w:t>
            </w:r>
          </w:p>
        </w:tc>
        <w:tc>
          <w:tcPr>
            <w:tcW w:w="368" w:type="pct"/>
            <w:tcBorders>
              <w:tl2br w:val="nil"/>
              <w:tr2bl w:val="nil"/>
            </w:tcBorders>
            <w:noWrap w:val="0"/>
            <w:vAlign w:val="center"/>
          </w:tcPr>
          <w:p w14:paraId="09B34EAF">
            <w:pPr>
              <w:pStyle w:val="58"/>
              <w:bidi w:val="0"/>
              <w:rPr>
                <w:rFonts w:hint="default"/>
                <w:highlight w:val="none"/>
                <w:lang w:val="en-US" w:eastAsia="zh-CN"/>
              </w:rPr>
            </w:pPr>
            <w:r>
              <w:rPr>
                <w:rFonts w:hint="default"/>
                <w:highlight w:val="none"/>
                <w:lang w:val="en-US" w:eastAsia="zh-CN"/>
              </w:rPr>
              <w:t>9.29</w:t>
            </w:r>
          </w:p>
        </w:tc>
        <w:tc>
          <w:tcPr>
            <w:tcW w:w="368" w:type="pct"/>
            <w:tcBorders>
              <w:tl2br w:val="nil"/>
              <w:tr2bl w:val="nil"/>
            </w:tcBorders>
            <w:noWrap w:val="0"/>
            <w:vAlign w:val="center"/>
          </w:tcPr>
          <w:p w14:paraId="0AC3DB0C">
            <w:pPr>
              <w:pStyle w:val="58"/>
              <w:bidi w:val="0"/>
              <w:rPr>
                <w:rFonts w:hint="default"/>
                <w:highlight w:val="none"/>
                <w:lang w:val="en-US" w:eastAsia="zh-CN"/>
              </w:rPr>
            </w:pPr>
            <w:r>
              <w:rPr>
                <w:rFonts w:hint="default"/>
                <w:highlight w:val="none"/>
                <w:lang w:val="en-US" w:eastAsia="zh-CN"/>
              </w:rPr>
              <w:t>9.46</w:t>
            </w:r>
          </w:p>
        </w:tc>
        <w:tc>
          <w:tcPr>
            <w:tcW w:w="368" w:type="pct"/>
            <w:tcBorders>
              <w:tl2br w:val="nil"/>
              <w:tr2bl w:val="nil"/>
            </w:tcBorders>
            <w:noWrap w:val="0"/>
            <w:vAlign w:val="center"/>
          </w:tcPr>
          <w:p w14:paraId="3DB77F6E">
            <w:pPr>
              <w:pStyle w:val="58"/>
              <w:bidi w:val="0"/>
              <w:rPr>
                <w:rFonts w:hint="default"/>
                <w:highlight w:val="none"/>
                <w:lang w:val="en-US" w:eastAsia="zh-CN"/>
              </w:rPr>
            </w:pPr>
            <w:r>
              <w:rPr>
                <w:rFonts w:hint="default"/>
                <w:highlight w:val="none"/>
                <w:lang w:val="en-US" w:eastAsia="zh-CN"/>
              </w:rPr>
              <w:t>9.26</w:t>
            </w:r>
          </w:p>
        </w:tc>
        <w:tc>
          <w:tcPr>
            <w:tcW w:w="368" w:type="pct"/>
            <w:tcBorders>
              <w:tl2br w:val="nil"/>
              <w:tr2bl w:val="nil"/>
            </w:tcBorders>
            <w:noWrap w:val="0"/>
            <w:vAlign w:val="center"/>
          </w:tcPr>
          <w:p w14:paraId="6DCF89D8">
            <w:pPr>
              <w:pStyle w:val="58"/>
              <w:bidi w:val="0"/>
              <w:rPr>
                <w:rFonts w:hint="default"/>
                <w:highlight w:val="none"/>
                <w:lang w:val="en-US" w:eastAsia="zh-CN"/>
              </w:rPr>
            </w:pPr>
            <w:r>
              <w:rPr>
                <w:rFonts w:hint="default"/>
                <w:highlight w:val="none"/>
                <w:lang w:val="en-US" w:eastAsia="zh-CN"/>
              </w:rPr>
              <w:t>11.44</w:t>
            </w:r>
          </w:p>
        </w:tc>
        <w:tc>
          <w:tcPr>
            <w:tcW w:w="368" w:type="pct"/>
            <w:tcBorders>
              <w:tl2br w:val="nil"/>
              <w:tr2bl w:val="nil"/>
            </w:tcBorders>
            <w:noWrap w:val="0"/>
            <w:vAlign w:val="center"/>
          </w:tcPr>
          <w:p w14:paraId="3DE4489E">
            <w:pPr>
              <w:pStyle w:val="58"/>
              <w:bidi w:val="0"/>
              <w:rPr>
                <w:rFonts w:hint="default"/>
                <w:highlight w:val="none"/>
                <w:lang w:val="en-US" w:eastAsia="zh-CN"/>
              </w:rPr>
            </w:pPr>
            <w:r>
              <w:rPr>
                <w:rFonts w:hint="default"/>
                <w:highlight w:val="none"/>
                <w:lang w:val="en-US" w:eastAsia="zh-CN"/>
              </w:rPr>
              <w:t>9.28</w:t>
            </w:r>
          </w:p>
        </w:tc>
        <w:tc>
          <w:tcPr>
            <w:tcW w:w="328" w:type="pct"/>
            <w:tcBorders>
              <w:tl2br w:val="nil"/>
              <w:tr2bl w:val="nil"/>
            </w:tcBorders>
            <w:noWrap w:val="0"/>
            <w:vAlign w:val="center"/>
          </w:tcPr>
          <w:p w14:paraId="457FFD50">
            <w:pPr>
              <w:pStyle w:val="58"/>
              <w:bidi w:val="0"/>
              <w:rPr>
                <w:rFonts w:hint="default"/>
                <w:highlight w:val="none"/>
                <w:lang w:val="en-US" w:eastAsia="zh-CN"/>
              </w:rPr>
            </w:pPr>
            <w:r>
              <w:rPr>
                <w:rFonts w:hint="default"/>
                <w:highlight w:val="none"/>
                <w:lang w:val="en-US" w:eastAsia="zh-CN"/>
              </w:rPr>
              <w:t>7.88</w:t>
            </w:r>
          </w:p>
        </w:tc>
        <w:tc>
          <w:tcPr>
            <w:tcW w:w="328" w:type="pct"/>
            <w:tcBorders>
              <w:tl2br w:val="nil"/>
              <w:tr2bl w:val="nil"/>
            </w:tcBorders>
            <w:noWrap w:val="0"/>
            <w:vAlign w:val="center"/>
          </w:tcPr>
          <w:p w14:paraId="3CDFDE76">
            <w:pPr>
              <w:pStyle w:val="58"/>
              <w:bidi w:val="0"/>
              <w:rPr>
                <w:rFonts w:hint="default"/>
                <w:highlight w:val="none"/>
                <w:lang w:val="en-US" w:eastAsia="zh-CN"/>
              </w:rPr>
            </w:pPr>
            <w:r>
              <w:rPr>
                <w:rFonts w:hint="default"/>
                <w:highlight w:val="none"/>
                <w:lang w:val="en-US" w:eastAsia="zh-CN"/>
              </w:rPr>
              <w:t>6.27</w:t>
            </w:r>
          </w:p>
        </w:tc>
        <w:tc>
          <w:tcPr>
            <w:tcW w:w="328" w:type="pct"/>
            <w:tcBorders>
              <w:tl2br w:val="nil"/>
              <w:tr2bl w:val="nil"/>
            </w:tcBorders>
            <w:noWrap w:val="0"/>
            <w:vAlign w:val="center"/>
          </w:tcPr>
          <w:p w14:paraId="3A410581">
            <w:pPr>
              <w:pStyle w:val="58"/>
              <w:bidi w:val="0"/>
              <w:rPr>
                <w:rFonts w:hint="default"/>
                <w:highlight w:val="none"/>
                <w:lang w:val="en-US" w:eastAsia="zh-CN"/>
              </w:rPr>
            </w:pPr>
            <w:r>
              <w:rPr>
                <w:rFonts w:hint="default"/>
                <w:highlight w:val="none"/>
                <w:lang w:val="en-US" w:eastAsia="zh-CN"/>
              </w:rPr>
              <w:t>5.48</w:t>
            </w:r>
          </w:p>
        </w:tc>
        <w:tc>
          <w:tcPr>
            <w:tcW w:w="368" w:type="pct"/>
            <w:tcBorders>
              <w:tl2br w:val="nil"/>
              <w:tr2bl w:val="nil"/>
            </w:tcBorders>
            <w:noWrap w:val="0"/>
            <w:vAlign w:val="center"/>
          </w:tcPr>
          <w:p w14:paraId="37F2241E">
            <w:pPr>
              <w:pStyle w:val="58"/>
              <w:bidi w:val="0"/>
              <w:rPr>
                <w:rFonts w:hint="default"/>
                <w:highlight w:val="none"/>
                <w:lang w:val="en-US" w:eastAsia="zh-CN"/>
              </w:rPr>
            </w:pPr>
            <w:r>
              <w:rPr>
                <w:rFonts w:hint="default"/>
                <w:highlight w:val="none"/>
                <w:lang w:val="en-US" w:eastAsia="zh-CN"/>
              </w:rPr>
              <w:t>5.47</w:t>
            </w:r>
          </w:p>
        </w:tc>
        <w:tc>
          <w:tcPr>
            <w:tcW w:w="368" w:type="pct"/>
            <w:tcBorders>
              <w:tl2br w:val="nil"/>
              <w:tr2bl w:val="nil"/>
            </w:tcBorders>
            <w:noWrap w:val="0"/>
            <w:vAlign w:val="center"/>
          </w:tcPr>
          <w:p w14:paraId="71084A04">
            <w:pPr>
              <w:pStyle w:val="58"/>
              <w:bidi w:val="0"/>
              <w:rPr>
                <w:rFonts w:hint="default"/>
                <w:highlight w:val="none"/>
                <w:lang w:val="en-US" w:eastAsia="zh-CN"/>
              </w:rPr>
            </w:pPr>
            <w:r>
              <w:rPr>
                <w:rFonts w:hint="default"/>
                <w:highlight w:val="none"/>
                <w:lang w:val="en-US" w:eastAsia="zh-CN"/>
              </w:rPr>
              <w:t>4.81</w:t>
            </w:r>
          </w:p>
        </w:tc>
        <w:tc>
          <w:tcPr>
            <w:tcW w:w="334" w:type="pct"/>
            <w:tcBorders>
              <w:tl2br w:val="nil"/>
              <w:tr2bl w:val="nil"/>
            </w:tcBorders>
            <w:noWrap w:val="0"/>
            <w:vAlign w:val="center"/>
          </w:tcPr>
          <w:p w14:paraId="00A15A19">
            <w:pPr>
              <w:pStyle w:val="58"/>
              <w:bidi w:val="0"/>
              <w:rPr>
                <w:rFonts w:hint="default"/>
                <w:highlight w:val="none"/>
                <w:lang w:val="en-US" w:eastAsia="zh-CN"/>
              </w:rPr>
            </w:pPr>
            <w:r>
              <w:rPr>
                <w:rFonts w:hint="default"/>
                <w:highlight w:val="none"/>
                <w:lang w:val="en-US" w:eastAsia="zh-CN"/>
              </w:rPr>
              <w:t>7.68</w:t>
            </w:r>
          </w:p>
        </w:tc>
      </w:tr>
      <w:tr w14:paraId="06A335D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403" w:type="pct"/>
            <w:tcBorders>
              <w:tl2br w:val="nil"/>
              <w:tr2bl w:val="nil"/>
            </w:tcBorders>
            <w:noWrap w:val="0"/>
            <w:vAlign w:val="center"/>
          </w:tcPr>
          <w:p w14:paraId="45C1B290">
            <w:pPr>
              <w:pStyle w:val="58"/>
              <w:bidi w:val="0"/>
              <w:rPr>
                <w:rFonts w:hint="default"/>
                <w:highlight w:val="none"/>
                <w:lang w:val="en-US" w:eastAsia="zh-CN"/>
              </w:rPr>
            </w:pPr>
            <w:r>
              <w:rPr>
                <w:rFonts w:hint="default"/>
                <w:highlight w:val="none"/>
                <w:lang w:val="en-US" w:eastAsia="zh-CN"/>
              </w:rPr>
              <w:t>ESE</w:t>
            </w:r>
          </w:p>
        </w:tc>
        <w:tc>
          <w:tcPr>
            <w:tcW w:w="368" w:type="pct"/>
            <w:tcBorders>
              <w:tl2br w:val="nil"/>
              <w:tr2bl w:val="nil"/>
            </w:tcBorders>
            <w:noWrap w:val="0"/>
            <w:vAlign w:val="center"/>
          </w:tcPr>
          <w:p w14:paraId="04D119F0">
            <w:pPr>
              <w:pStyle w:val="58"/>
              <w:bidi w:val="0"/>
              <w:rPr>
                <w:rFonts w:hint="default"/>
                <w:highlight w:val="none"/>
                <w:lang w:val="en-US" w:eastAsia="zh-CN"/>
              </w:rPr>
            </w:pPr>
            <w:r>
              <w:rPr>
                <w:rFonts w:hint="default"/>
                <w:highlight w:val="none"/>
                <w:lang w:val="en-US" w:eastAsia="zh-CN"/>
              </w:rPr>
              <w:t>2.57</w:t>
            </w:r>
          </w:p>
        </w:tc>
        <w:tc>
          <w:tcPr>
            <w:tcW w:w="328" w:type="pct"/>
            <w:tcBorders>
              <w:tl2br w:val="nil"/>
              <w:tr2bl w:val="nil"/>
            </w:tcBorders>
            <w:noWrap w:val="0"/>
            <w:vAlign w:val="center"/>
          </w:tcPr>
          <w:p w14:paraId="659A0CA2">
            <w:pPr>
              <w:pStyle w:val="58"/>
              <w:bidi w:val="0"/>
              <w:rPr>
                <w:rFonts w:hint="default"/>
                <w:highlight w:val="none"/>
                <w:lang w:val="en-US" w:eastAsia="zh-CN"/>
              </w:rPr>
            </w:pPr>
            <w:r>
              <w:rPr>
                <w:rFonts w:hint="default"/>
                <w:highlight w:val="none"/>
                <w:lang w:val="en-US" w:eastAsia="zh-CN"/>
              </w:rPr>
              <w:t>3.41</w:t>
            </w:r>
          </w:p>
        </w:tc>
        <w:tc>
          <w:tcPr>
            <w:tcW w:w="368" w:type="pct"/>
            <w:tcBorders>
              <w:tl2br w:val="nil"/>
              <w:tr2bl w:val="nil"/>
            </w:tcBorders>
            <w:noWrap w:val="0"/>
            <w:vAlign w:val="center"/>
          </w:tcPr>
          <w:p w14:paraId="7B12460E">
            <w:pPr>
              <w:pStyle w:val="58"/>
              <w:bidi w:val="0"/>
              <w:rPr>
                <w:rFonts w:hint="default"/>
                <w:highlight w:val="none"/>
                <w:lang w:val="en-US" w:eastAsia="zh-CN"/>
              </w:rPr>
            </w:pPr>
            <w:r>
              <w:rPr>
                <w:rFonts w:hint="default"/>
                <w:highlight w:val="none"/>
                <w:lang w:val="en-US" w:eastAsia="zh-CN"/>
              </w:rPr>
              <w:t>4.29</w:t>
            </w:r>
          </w:p>
        </w:tc>
        <w:tc>
          <w:tcPr>
            <w:tcW w:w="368" w:type="pct"/>
            <w:tcBorders>
              <w:tl2br w:val="nil"/>
              <w:tr2bl w:val="nil"/>
            </w:tcBorders>
            <w:noWrap w:val="0"/>
            <w:vAlign w:val="center"/>
          </w:tcPr>
          <w:p w14:paraId="375CE114">
            <w:pPr>
              <w:pStyle w:val="58"/>
              <w:bidi w:val="0"/>
              <w:rPr>
                <w:rFonts w:hint="default"/>
                <w:highlight w:val="none"/>
                <w:lang w:val="en-US" w:eastAsia="zh-CN"/>
              </w:rPr>
            </w:pPr>
            <w:r>
              <w:rPr>
                <w:rFonts w:hint="default"/>
                <w:highlight w:val="none"/>
                <w:lang w:val="en-US" w:eastAsia="zh-CN"/>
              </w:rPr>
              <w:t>4.93</w:t>
            </w:r>
          </w:p>
        </w:tc>
        <w:tc>
          <w:tcPr>
            <w:tcW w:w="368" w:type="pct"/>
            <w:tcBorders>
              <w:tl2br w:val="nil"/>
              <w:tr2bl w:val="nil"/>
            </w:tcBorders>
            <w:noWrap w:val="0"/>
            <w:vAlign w:val="center"/>
          </w:tcPr>
          <w:p w14:paraId="6192F011">
            <w:pPr>
              <w:pStyle w:val="58"/>
              <w:bidi w:val="0"/>
              <w:rPr>
                <w:rFonts w:hint="default"/>
                <w:highlight w:val="none"/>
                <w:lang w:val="en-US" w:eastAsia="zh-CN"/>
              </w:rPr>
            </w:pPr>
            <w:r>
              <w:rPr>
                <w:rFonts w:hint="default"/>
                <w:highlight w:val="none"/>
                <w:lang w:val="en-US" w:eastAsia="zh-CN"/>
              </w:rPr>
              <w:t>6</w:t>
            </w:r>
          </w:p>
        </w:tc>
        <w:tc>
          <w:tcPr>
            <w:tcW w:w="368" w:type="pct"/>
            <w:tcBorders>
              <w:tl2br w:val="nil"/>
              <w:tr2bl w:val="nil"/>
            </w:tcBorders>
            <w:noWrap w:val="0"/>
            <w:vAlign w:val="center"/>
          </w:tcPr>
          <w:p w14:paraId="42B303ED">
            <w:pPr>
              <w:pStyle w:val="58"/>
              <w:bidi w:val="0"/>
              <w:rPr>
                <w:rFonts w:hint="default"/>
                <w:highlight w:val="none"/>
                <w:lang w:val="en-US" w:eastAsia="zh-CN"/>
              </w:rPr>
            </w:pPr>
            <w:r>
              <w:rPr>
                <w:rFonts w:hint="default"/>
                <w:highlight w:val="none"/>
                <w:lang w:val="en-US" w:eastAsia="zh-CN"/>
              </w:rPr>
              <w:t>8.02</w:t>
            </w:r>
          </w:p>
        </w:tc>
        <w:tc>
          <w:tcPr>
            <w:tcW w:w="368" w:type="pct"/>
            <w:tcBorders>
              <w:tl2br w:val="nil"/>
              <w:tr2bl w:val="nil"/>
            </w:tcBorders>
            <w:noWrap w:val="0"/>
            <w:vAlign w:val="center"/>
          </w:tcPr>
          <w:p w14:paraId="543FDBE0">
            <w:pPr>
              <w:pStyle w:val="58"/>
              <w:bidi w:val="0"/>
              <w:rPr>
                <w:rFonts w:hint="default"/>
                <w:highlight w:val="none"/>
                <w:lang w:val="en-US" w:eastAsia="zh-CN"/>
              </w:rPr>
            </w:pPr>
            <w:r>
              <w:rPr>
                <w:rFonts w:hint="default"/>
                <w:highlight w:val="none"/>
                <w:lang w:val="en-US" w:eastAsia="zh-CN"/>
              </w:rPr>
              <w:t>7.8</w:t>
            </w:r>
          </w:p>
        </w:tc>
        <w:tc>
          <w:tcPr>
            <w:tcW w:w="328" w:type="pct"/>
            <w:tcBorders>
              <w:tl2br w:val="nil"/>
              <w:tr2bl w:val="nil"/>
            </w:tcBorders>
            <w:noWrap w:val="0"/>
            <w:vAlign w:val="center"/>
          </w:tcPr>
          <w:p w14:paraId="0D271629">
            <w:pPr>
              <w:pStyle w:val="58"/>
              <w:bidi w:val="0"/>
              <w:rPr>
                <w:rFonts w:hint="default"/>
                <w:highlight w:val="none"/>
                <w:lang w:val="en-US" w:eastAsia="zh-CN"/>
              </w:rPr>
            </w:pPr>
            <w:r>
              <w:rPr>
                <w:rFonts w:hint="default"/>
                <w:highlight w:val="none"/>
                <w:lang w:val="en-US" w:eastAsia="zh-CN"/>
              </w:rPr>
              <w:t>4.51</w:t>
            </w:r>
          </w:p>
        </w:tc>
        <w:tc>
          <w:tcPr>
            <w:tcW w:w="328" w:type="pct"/>
            <w:tcBorders>
              <w:tl2br w:val="nil"/>
              <w:tr2bl w:val="nil"/>
            </w:tcBorders>
            <w:noWrap w:val="0"/>
            <w:vAlign w:val="center"/>
          </w:tcPr>
          <w:p w14:paraId="5B324533">
            <w:pPr>
              <w:pStyle w:val="58"/>
              <w:bidi w:val="0"/>
              <w:rPr>
                <w:rFonts w:hint="default"/>
                <w:highlight w:val="none"/>
                <w:lang w:val="en-US" w:eastAsia="zh-CN"/>
              </w:rPr>
            </w:pPr>
            <w:r>
              <w:rPr>
                <w:rFonts w:hint="default"/>
                <w:highlight w:val="none"/>
                <w:lang w:val="en-US" w:eastAsia="zh-CN"/>
              </w:rPr>
              <w:t>2.97</w:t>
            </w:r>
          </w:p>
        </w:tc>
        <w:tc>
          <w:tcPr>
            <w:tcW w:w="328" w:type="pct"/>
            <w:tcBorders>
              <w:tl2br w:val="nil"/>
              <w:tr2bl w:val="nil"/>
            </w:tcBorders>
            <w:noWrap w:val="0"/>
            <w:vAlign w:val="center"/>
          </w:tcPr>
          <w:p w14:paraId="6410906B">
            <w:pPr>
              <w:pStyle w:val="58"/>
              <w:bidi w:val="0"/>
              <w:rPr>
                <w:rFonts w:hint="default"/>
                <w:highlight w:val="none"/>
                <w:lang w:val="en-US" w:eastAsia="zh-CN"/>
              </w:rPr>
            </w:pPr>
            <w:r>
              <w:rPr>
                <w:rFonts w:hint="default"/>
                <w:highlight w:val="none"/>
                <w:lang w:val="en-US" w:eastAsia="zh-CN"/>
              </w:rPr>
              <w:t>2.51</w:t>
            </w:r>
          </w:p>
        </w:tc>
        <w:tc>
          <w:tcPr>
            <w:tcW w:w="368" w:type="pct"/>
            <w:tcBorders>
              <w:tl2br w:val="nil"/>
              <w:tr2bl w:val="nil"/>
            </w:tcBorders>
            <w:noWrap w:val="0"/>
            <w:vAlign w:val="center"/>
          </w:tcPr>
          <w:p w14:paraId="4BCA61E8">
            <w:pPr>
              <w:pStyle w:val="58"/>
              <w:bidi w:val="0"/>
              <w:rPr>
                <w:rFonts w:hint="default"/>
                <w:highlight w:val="none"/>
                <w:lang w:val="en-US" w:eastAsia="zh-CN"/>
              </w:rPr>
            </w:pPr>
            <w:r>
              <w:rPr>
                <w:rFonts w:hint="default"/>
                <w:highlight w:val="none"/>
                <w:lang w:val="en-US" w:eastAsia="zh-CN"/>
              </w:rPr>
              <w:t>2</w:t>
            </w:r>
          </w:p>
        </w:tc>
        <w:tc>
          <w:tcPr>
            <w:tcW w:w="368" w:type="pct"/>
            <w:tcBorders>
              <w:tl2br w:val="nil"/>
              <w:tr2bl w:val="nil"/>
            </w:tcBorders>
            <w:noWrap w:val="0"/>
            <w:vAlign w:val="center"/>
          </w:tcPr>
          <w:p w14:paraId="724DEF45">
            <w:pPr>
              <w:pStyle w:val="58"/>
              <w:bidi w:val="0"/>
              <w:rPr>
                <w:rFonts w:hint="default"/>
                <w:highlight w:val="none"/>
                <w:lang w:val="en-US" w:eastAsia="zh-CN"/>
              </w:rPr>
            </w:pPr>
            <w:r>
              <w:rPr>
                <w:rFonts w:hint="default"/>
                <w:highlight w:val="none"/>
                <w:lang w:val="en-US" w:eastAsia="zh-CN"/>
              </w:rPr>
              <w:t>1.74</w:t>
            </w:r>
          </w:p>
        </w:tc>
        <w:tc>
          <w:tcPr>
            <w:tcW w:w="334" w:type="pct"/>
            <w:tcBorders>
              <w:tl2br w:val="nil"/>
              <w:tr2bl w:val="nil"/>
            </w:tcBorders>
            <w:noWrap w:val="0"/>
            <w:vAlign w:val="center"/>
          </w:tcPr>
          <w:p w14:paraId="1C8FEFB8">
            <w:pPr>
              <w:pStyle w:val="58"/>
              <w:bidi w:val="0"/>
              <w:rPr>
                <w:rFonts w:hint="default"/>
                <w:highlight w:val="none"/>
                <w:lang w:val="en-US" w:eastAsia="zh-CN"/>
              </w:rPr>
            </w:pPr>
            <w:r>
              <w:rPr>
                <w:rFonts w:hint="default"/>
                <w:highlight w:val="none"/>
                <w:lang w:val="en-US" w:eastAsia="zh-CN"/>
              </w:rPr>
              <w:t>4.21</w:t>
            </w:r>
          </w:p>
        </w:tc>
      </w:tr>
      <w:tr w14:paraId="69A2D22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403" w:type="pct"/>
            <w:tcBorders>
              <w:tl2br w:val="nil"/>
              <w:tr2bl w:val="nil"/>
            </w:tcBorders>
            <w:noWrap w:val="0"/>
            <w:vAlign w:val="center"/>
          </w:tcPr>
          <w:p w14:paraId="54605904">
            <w:pPr>
              <w:pStyle w:val="58"/>
              <w:bidi w:val="0"/>
              <w:rPr>
                <w:rFonts w:hint="default"/>
                <w:highlight w:val="none"/>
                <w:lang w:val="en-US" w:eastAsia="zh-CN"/>
              </w:rPr>
            </w:pPr>
            <w:r>
              <w:rPr>
                <w:rFonts w:hint="default"/>
                <w:highlight w:val="none"/>
                <w:lang w:val="en-US" w:eastAsia="zh-CN"/>
              </w:rPr>
              <w:t>SE</w:t>
            </w:r>
          </w:p>
        </w:tc>
        <w:tc>
          <w:tcPr>
            <w:tcW w:w="368" w:type="pct"/>
            <w:tcBorders>
              <w:tl2br w:val="nil"/>
              <w:tr2bl w:val="nil"/>
            </w:tcBorders>
            <w:noWrap w:val="0"/>
            <w:vAlign w:val="center"/>
          </w:tcPr>
          <w:p w14:paraId="4041AC6D">
            <w:pPr>
              <w:pStyle w:val="58"/>
              <w:bidi w:val="0"/>
              <w:rPr>
                <w:rFonts w:hint="default"/>
                <w:highlight w:val="none"/>
                <w:lang w:val="en-US" w:eastAsia="zh-CN"/>
              </w:rPr>
            </w:pPr>
            <w:r>
              <w:rPr>
                <w:rFonts w:hint="default"/>
                <w:highlight w:val="none"/>
                <w:lang w:val="en-US" w:eastAsia="zh-CN"/>
              </w:rPr>
              <w:t>2.23</w:t>
            </w:r>
          </w:p>
        </w:tc>
        <w:tc>
          <w:tcPr>
            <w:tcW w:w="328" w:type="pct"/>
            <w:tcBorders>
              <w:tl2br w:val="nil"/>
              <w:tr2bl w:val="nil"/>
            </w:tcBorders>
            <w:noWrap w:val="0"/>
            <w:vAlign w:val="center"/>
          </w:tcPr>
          <w:p w14:paraId="54D2927C">
            <w:pPr>
              <w:pStyle w:val="58"/>
              <w:bidi w:val="0"/>
              <w:rPr>
                <w:rFonts w:hint="default"/>
                <w:highlight w:val="none"/>
                <w:lang w:val="en-US" w:eastAsia="zh-CN"/>
              </w:rPr>
            </w:pPr>
            <w:r>
              <w:rPr>
                <w:rFonts w:hint="default"/>
                <w:highlight w:val="none"/>
                <w:lang w:val="en-US" w:eastAsia="zh-CN"/>
              </w:rPr>
              <w:t>3.14</w:t>
            </w:r>
          </w:p>
        </w:tc>
        <w:tc>
          <w:tcPr>
            <w:tcW w:w="368" w:type="pct"/>
            <w:tcBorders>
              <w:tl2br w:val="nil"/>
              <w:tr2bl w:val="nil"/>
            </w:tcBorders>
            <w:noWrap w:val="0"/>
            <w:vAlign w:val="center"/>
          </w:tcPr>
          <w:p w14:paraId="5A9CD98D">
            <w:pPr>
              <w:pStyle w:val="58"/>
              <w:bidi w:val="0"/>
              <w:rPr>
                <w:rFonts w:hint="default"/>
                <w:highlight w:val="none"/>
                <w:lang w:val="en-US" w:eastAsia="zh-CN"/>
              </w:rPr>
            </w:pPr>
            <w:r>
              <w:rPr>
                <w:rFonts w:hint="default"/>
                <w:highlight w:val="none"/>
                <w:lang w:val="en-US" w:eastAsia="zh-CN"/>
              </w:rPr>
              <w:t>3.79</w:t>
            </w:r>
          </w:p>
        </w:tc>
        <w:tc>
          <w:tcPr>
            <w:tcW w:w="368" w:type="pct"/>
            <w:tcBorders>
              <w:tl2br w:val="nil"/>
              <w:tr2bl w:val="nil"/>
            </w:tcBorders>
            <w:noWrap w:val="0"/>
            <w:vAlign w:val="center"/>
          </w:tcPr>
          <w:p w14:paraId="1DCAED79">
            <w:pPr>
              <w:pStyle w:val="58"/>
              <w:bidi w:val="0"/>
              <w:rPr>
                <w:rFonts w:hint="default"/>
                <w:highlight w:val="none"/>
                <w:lang w:val="en-US" w:eastAsia="zh-CN"/>
              </w:rPr>
            </w:pPr>
            <w:r>
              <w:rPr>
                <w:rFonts w:hint="default"/>
                <w:highlight w:val="none"/>
                <w:lang w:val="en-US" w:eastAsia="zh-CN"/>
              </w:rPr>
              <w:t>4.46</w:t>
            </w:r>
          </w:p>
        </w:tc>
        <w:tc>
          <w:tcPr>
            <w:tcW w:w="368" w:type="pct"/>
            <w:tcBorders>
              <w:tl2br w:val="nil"/>
              <w:tr2bl w:val="nil"/>
            </w:tcBorders>
            <w:noWrap w:val="0"/>
            <w:vAlign w:val="center"/>
          </w:tcPr>
          <w:p w14:paraId="6400A37F">
            <w:pPr>
              <w:pStyle w:val="58"/>
              <w:bidi w:val="0"/>
              <w:rPr>
                <w:rFonts w:hint="default"/>
                <w:highlight w:val="none"/>
                <w:lang w:val="en-US" w:eastAsia="zh-CN"/>
              </w:rPr>
            </w:pPr>
            <w:r>
              <w:rPr>
                <w:rFonts w:hint="default"/>
                <w:highlight w:val="none"/>
                <w:lang w:val="en-US" w:eastAsia="zh-CN"/>
              </w:rPr>
              <w:t>5.63</w:t>
            </w:r>
          </w:p>
        </w:tc>
        <w:tc>
          <w:tcPr>
            <w:tcW w:w="368" w:type="pct"/>
            <w:tcBorders>
              <w:tl2br w:val="nil"/>
              <w:tr2bl w:val="nil"/>
            </w:tcBorders>
            <w:noWrap w:val="0"/>
            <w:vAlign w:val="center"/>
          </w:tcPr>
          <w:p w14:paraId="5E9E59C8">
            <w:pPr>
              <w:pStyle w:val="58"/>
              <w:bidi w:val="0"/>
              <w:rPr>
                <w:rFonts w:hint="default"/>
                <w:highlight w:val="none"/>
                <w:lang w:val="en-US" w:eastAsia="zh-CN"/>
              </w:rPr>
            </w:pPr>
            <w:r>
              <w:rPr>
                <w:rFonts w:hint="default"/>
                <w:highlight w:val="none"/>
                <w:lang w:val="en-US" w:eastAsia="zh-CN"/>
              </w:rPr>
              <w:t>9.02</w:t>
            </w:r>
          </w:p>
        </w:tc>
        <w:tc>
          <w:tcPr>
            <w:tcW w:w="368" w:type="pct"/>
            <w:tcBorders>
              <w:tl2br w:val="nil"/>
              <w:tr2bl w:val="nil"/>
            </w:tcBorders>
            <w:noWrap w:val="0"/>
            <w:vAlign w:val="center"/>
          </w:tcPr>
          <w:p w14:paraId="3AB0713D">
            <w:pPr>
              <w:pStyle w:val="58"/>
              <w:bidi w:val="0"/>
              <w:rPr>
                <w:rFonts w:hint="default"/>
                <w:highlight w:val="none"/>
                <w:lang w:val="en-US" w:eastAsia="zh-CN"/>
              </w:rPr>
            </w:pPr>
            <w:r>
              <w:rPr>
                <w:rFonts w:hint="default"/>
                <w:highlight w:val="none"/>
                <w:lang w:val="en-US" w:eastAsia="zh-CN"/>
              </w:rPr>
              <w:t>9.12</w:t>
            </w:r>
          </w:p>
        </w:tc>
        <w:tc>
          <w:tcPr>
            <w:tcW w:w="328" w:type="pct"/>
            <w:tcBorders>
              <w:tl2br w:val="nil"/>
              <w:tr2bl w:val="nil"/>
            </w:tcBorders>
            <w:noWrap w:val="0"/>
            <w:vAlign w:val="center"/>
          </w:tcPr>
          <w:p w14:paraId="368B73FF">
            <w:pPr>
              <w:pStyle w:val="58"/>
              <w:bidi w:val="0"/>
              <w:rPr>
                <w:rFonts w:hint="default"/>
                <w:highlight w:val="none"/>
                <w:lang w:val="en-US" w:eastAsia="zh-CN"/>
              </w:rPr>
            </w:pPr>
            <w:r>
              <w:rPr>
                <w:rFonts w:hint="default"/>
                <w:highlight w:val="none"/>
                <w:lang w:val="en-US" w:eastAsia="zh-CN"/>
              </w:rPr>
              <w:t>5.2</w:t>
            </w:r>
          </w:p>
        </w:tc>
        <w:tc>
          <w:tcPr>
            <w:tcW w:w="328" w:type="pct"/>
            <w:tcBorders>
              <w:tl2br w:val="nil"/>
              <w:tr2bl w:val="nil"/>
            </w:tcBorders>
            <w:noWrap w:val="0"/>
            <w:vAlign w:val="center"/>
          </w:tcPr>
          <w:p w14:paraId="129921D4">
            <w:pPr>
              <w:pStyle w:val="58"/>
              <w:bidi w:val="0"/>
              <w:rPr>
                <w:rFonts w:hint="default"/>
                <w:highlight w:val="none"/>
                <w:lang w:val="en-US" w:eastAsia="zh-CN"/>
              </w:rPr>
            </w:pPr>
            <w:r>
              <w:rPr>
                <w:rFonts w:hint="default"/>
                <w:highlight w:val="none"/>
                <w:lang w:val="en-US" w:eastAsia="zh-CN"/>
              </w:rPr>
              <w:t>3.37</w:t>
            </w:r>
          </w:p>
        </w:tc>
        <w:tc>
          <w:tcPr>
            <w:tcW w:w="328" w:type="pct"/>
            <w:tcBorders>
              <w:tl2br w:val="nil"/>
              <w:tr2bl w:val="nil"/>
            </w:tcBorders>
            <w:noWrap w:val="0"/>
            <w:vAlign w:val="center"/>
          </w:tcPr>
          <w:p w14:paraId="6A7BD631">
            <w:pPr>
              <w:pStyle w:val="58"/>
              <w:bidi w:val="0"/>
              <w:rPr>
                <w:rFonts w:hint="default"/>
                <w:highlight w:val="none"/>
                <w:lang w:val="en-US" w:eastAsia="zh-CN"/>
              </w:rPr>
            </w:pPr>
            <w:r>
              <w:rPr>
                <w:rFonts w:hint="default"/>
                <w:highlight w:val="none"/>
                <w:lang w:val="en-US" w:eastAsia="zh-CN"/>
              </w:rPr>
              <w:t>1.95</w:t>
            </w:r>
          </w:p>
        </w:tc>
        <w:tc>
          <w:tcPr>
            <w:tcW w:w="368" w:type="pct"/>
            <w:tcBorders>
              <w:tl2br w:val="nil"/>
              <w:tr2bl w:val="nil"/>
            </w:tcBorders>
            <w:noWrap w:val="0"/>
            <w:vAlign w:val="center"/>
          </w:tcPr>
          <w:p w14:paraId="2B3E1BB3">
            <w:pPr>
              <w:pStyle w:val="58"/>
              <w:bidi w:val="0"/>
              <w:rPr>
                <w:rFonts w:hint="default"/>
                <w:highlight w:val="none"/>
                <w:lang w:val="en-US" w:eastAsia="zh-CN"/>
              </w:rPr>
            </w:pPr>
            <w:r>
              <w:rPr>
                <w:rFonts w:hint="default"/>
                <w:highlight w:val="none"/>
                <w:lang w:val="en-US" w:eastAsia="zh-CN"/>
              </w:rPr>
              <w:t>1.48</w:t>
            </w:r>
          </w:p>
        </w:tc>
        <w:tc>
          <w:tcPr>
            <w:tcW w:w="368" w:type="pct"/>
            <w:tcBorders>
              <w:tl2br w:val="nil"/>
              <w:tr2bl w:val="nil"/>
            </w:tcBorders>
            <w:noWrap w:val="0"/>
            <w:vAlign w:val="center"/>
          </w:tcPr>
          <w:p w14:paraId="22F0DE3B">
            <w:pPr>
              <w:pStyle w:val="58"/>
              <w:bidi w:val="0"/>
              <w:rPr>
                <w:rFonts w:hint="default"/>
                <w:highlight w:val="none"/>
                <w:lang w:val="en-US" w:eastAsia="zh-CN"/>
              </w:rPr>
            </w:pPr>
            <w:r>
              <w:rPr>
                <w:rFonts w:hint="default"/>
                <w:highlight w:val="none"/>
                <w:lang w:val="en-US" w:eastAsia="zh-CN"/>
              </w:rPr>
              <w:t>1.36</w:t>
            </w:r>
          </w:p>
        </w:tc>
        <w:tc>
          <w:tcPr>
            <w:tcW w:w="334" w:type="pct"/>
            <w:tcBorders>
              <w:tl2br w:val="nil"/>
              <w:tr2bl w:val="nil"/>
            </w:tcBorders>
            <w:noWrap w:val="0"/>
            <w:vAlign w:val="center"/>
          </w:tcPr>
          <w:p w14:paraId="45BDA109">
            <w:pPr>
              <w:pStyle w:val="58"/>
              <w:bidi w:val="0"/>
              <w:rPr>
                <w:rFonts w:hint="default"/>
                <w:highlight w:val="none"/>
                <w:lang w:val="en-US" w:eastAsia="zh-CN"/>
              </w:rPr>
            </w:pPr>
            <w:r>
              <w:rPr>
                <w:rFonts w:hint="default"/>
                <w:highlight w:val="none"/>
                <w:lang w:val="en-US" w:eastAsia="zh-CN"/>
              </w:rPr>
              <w:t>4.25</w:t>
            </w:r>
          </w:p>
        </w:tc>
      </w:tr>
      <w:tr w14:paraId="77813BA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403" w:type="pct"/>
            <w:tcBorders>
              <w:tl2br w:val="nil"/>
              <w:tr2bl w:val="nil"/>
            </w:tcBorders>
            <w:noWrap w:val="0"/>
            <w:vAlign w:val="center"/>
          </w:tcPr>
          <w:p w14:paraId="49654B47">
            <w:pPr>
              <w:pStyle w:val="58"/>
              <w:bidi w:val="0"/>
              <w:rPr>
                <w:rFonts w:hint="default"/>
                <w:highlight w:val="none"/>
                <w:lang w:val="en-US" w:eastAsia="zh-CN"/>
              </w:rPr>
            </w:pPr>
            <w:r>
              <w:rPr>
                <w:rFonts w:hint="default"/>
                <w:highlight w:val="none"/>
                <w:lang w:val="en-US" w:eastAsia="zh-CN"/>
              </w:rPr>
              <w:t>SSE</w:t>
            </w:r>
          </w:p>
        </w:tc>
        <w:tc>
          <w:tcPr>
            <w:tcW w:w="368" w:type="pct"/>
            <w:tcBorders>
              <w:tl2br w:val="nil"/>
              <w:tr2bl w:val="nil"/>
            </w:tcBorders>
            <w:noWrap w:val="0"/>
            <w:vAlign w:val="center"/>
          </w:tcPr>
          <w:p w14:paraId="71131430">
            <w:pPr>
              <w:pStyle w:val="58"/>
              <w:bidi w:val="0"/>
              <w:rPr>
                <w:rFonts w:hint="default"/>
                <w:highlight w:val="none"/>
                <w:lang w:val="en-US" w:eastAsia="zh-CN"/>
              </w:rPr>
            </w:pPr>
            <w:r>
              <w:rPr>
                <w:rFonts w:hint="default"/>
                <w:highlight w:val="none"/>
                <w:lang w:val="en-US" w:eastAsia="zh-CN"/>
              </w:rPr>
              <w:t>2.08</w:t>
            </w:r>
          </w:p>
        </w:tc>
        <w:tc>
          <w:tcPr>
            <w:tcW w:w="328" w:type="pct"/>
            <w:tcBorders>
              <w:tl2br w:val="nil"/>
              <w:tr2bl w:val="nil"/>
            </w:tcBorders>
            <w:noWrap w:val="0"/>
            <w:vAlign w:val="center"/>
          </w:tcPr>
          <w:p w14:paraId="34554A4C">
            <w:pPr>
              <w:pStyle w:val="58"/>
              <w:bidi w:val="0"/>
              <w:rPr>
                <w:rFonts w:hint="default"/>
                <w:highlight w:val="none"/>
                <w:lang w:val="en-US" w:eastAsia="zh-CN"/>
              </w:rPr>
            </w:pPr>
            <w:r>
              <w:rPr>
                <w:rFonts w:hint="default"/>
                <w:highlight w:val="none"/>
                <w:lang w:val="en-US" w:eastAsia="zh-CN"/>
              </w:rPr>
              <w:t>4.51</w:t>
            </w:r>
          </w:p>
        </w:tc>
        <w:tc>
          <w:tcPr>
            <w:tcW w:w="368" w:type="pct"/>
            <w:tcBorders>
              <w:tl2br w:val="nil"/>
              <w:tr2bl w:val="nil"/>
            </w:tcBorders>
            <w:noWrap w:val="0"/>
            <w:vAlign w:val="center"/>
          </w:tcPr>
          <w:p w14:paraId="1578478E">
            <w:pPr>
              <w:pStyle w:val="58"/>
              <w:bidi w:val="0"/>
              <w:rPr>
                <w:rFonts w:hint="default"/>
                <w:highlight w:val="none"/>
                <w:lang w:val="en-US" w:eastAsia="zh-CN"/>
              </w:rPr>
            </w:pPr>
            <w:r>
              <w:rPr>
                <w:rFonts w:hint="default"/>
                <w:highlight w:val="none"/>
                <w:lang w:val="en-US" w:eastAsia="zh-CN"/>
              </w:rPr>
              <w:t>5.84</w:t>
            </w:r>
          </w:p>
        </w:tc>
        <w:tc>
          <w:tcPr>
            <w:tcW w:w="368" w:type="pct"/>
            <w:tcBorders>
              <w:tl2br w:val="nil"/>
              <w:tr2bl w:val="nil"/>
            </w:tcBorders>
            <w:noWrap w:val="0"/>
            <w:vAlign w:val="center"/>
          </w:tcPr>
          <w:p w14:paraId="6FE64367">
            <w:pPr>
              <w:pStyle w:val="58"/>
              <w:bidi w:val="0"/>
              <w:rPr>
                <w:rFonts w:hint="default"/>
                <w:highlight w:val="none"/>
                <w:lang w:val="en-US" w:eastAsia="zh-CN"/>
              </w:rPr>
            </w:pPr>
            <w:r>
              <w:rPr>
                <w:rFonts w:hint="default"/>
                <w:highlight w:val="none"/>
                <w:lang w:val="en-US" w:eastAsia="zh-CN"/>
              </w:rPr>
              <w:t>6.98</w:t>
            </w:r>
          </w:p>
        </w:tc>
        <w:tc>
          <w:tcPr>
            <w:tcW w:w="368" w:type="pct"/>
            <w:tcBorders>
              <w:tl2br w:val="nil"/>
              <w:tr2bl w:val="nil"/>
            </w:tcBorders>
            <w:noWrap w:val="0"/>
            <w:vAlign w:val="center"/>
          </w:tcPr>
          <w:p w14:paraId="5F918FD9">
            <w:pPr>
              <w:pStyle w:val="58"/>
              <w:bidi w:val="0"/>
              <w:rPr>
                <w:rFonts w:hint="default"/>
                <w:highlight w:val="none"/>
                <w:lang w:val="en-US" w:eastAsia="zh-CN"/>
              </w:rPr>
            </w:pPr>
            <w:r>
              <w:rPr>
                <w:rFonts w:hint="default"/>
                <w:highlight w:val="none"/>
                <w:lang w:val="en-US" w:eastAsia="zh-CN"/>
              </w:rPr>
              <w:t>8.78</w:t>
            </w:r>
          </w:p>
        </w:tc>
        <w:tc>
          <w:tcPr>
            <w:tcW w:w="368" w:type="pct"/>
            <w:tcBorders>
              <w:tl2br w:val="nil"/>
              <w:tr2bl w:val="nil"/>
            </w:tcBorders>
            <w:noWrap w:val="0"/>
            <w:vAlign w:val="center"/>
          </w:tcPr>
          <w:p w14:paraId="3E3FEB90">
            <w:pPr>
              <w:pStyle w:val="58"/>
              <w:bidi w:val="0"/>
              <w:rPr>
                <w:rFonts w:hint="default"/>
                <w:highlight w:val="none"/>
                <w:lang w:val="en-US" w:eastAsia="zh-CN"/>
              </w:rPr>
            </w:pPr>
            <w:r>
              <w:rPr>
                <w:rFonts w:hint="default"/>
                <w:highlight w:val="none"/>
                <w:lang w:val="en-US" w:eastAsia="zh-CN"/>
              </w:rPr>
              <w:t>11.7</w:t>
            </w:r>
          </w:p>
        </w:tc>
        <w:tc>
          <w:tcPr>
            <w:tcW w:w="368" w:type="pct"/>
            <w:tcBorders>
              <w:tl2br w:val="nil"/>
              <w:tr2bl w:val="nil"/>
            </w:tcBorders>
            <w:noWrap w:val="0"/>
            <w:vAlign w:val="center"/>
          </w:tcPr>
          <w:p w14:paraId="1641ACC1">
            <w:pPr>
              <w:pStyle w:val="58"/>
              <w:bidi w:val="0"/>
              <w:rPr>
                <w:rFonts w:hint="default"/>
                <w:highlight w:val="none"/>
                <w:lang w:val="en-US" w:eastAsia="zh-CN"/>
              </w:rPr>
            </w:pPr>
            <w:r>
              <w:rPr>
                <w:rFonts w:hint="default"/>
                <w:highlight w:val="none"/>
                <w:lang w:val="en-US" w:eastAsia="zh-CN"/>
              </w:rPr>
              <w:t>11.49</w:t>
            </w:r>
          </w:p>
        </w:tc>
        <w:tc>
          <w:tcPr>
            <w:tcW w:w="328" w:type="pct"/>
            <w:tcBorders>
              <w:tl2br w:val="nil"/>
              <w:tr2bl w:val="nil"/>
            </w:tcBorders>
            <w:noWrap w:val="0"/>
            <w:vAlign w:val="center"/>
          </w:tcPr>
          <w:p w14:paraId="2E6E950E">
            <w:pPr>
              <w:pStyle w:val="58"/>
              <w:bidi w:val="0"/>
              <w:rPr>
                <w:rFonts w:hint="default"/>
                <w:highlight w:val="none"/>
                <w:lang w:val="en-US" w:eastAsia="zh-CN"/>
              </w:rPr>
            </w:pPr>
            <w:r>
              <w:rPr>
                <w:rFonts w:hint="default"/>
                <w:highlight w:val="none"/>
                <w:lang w:val="en-US" w:eastAsia="zh-CN"/>
              </w:rPr>
              <w:t>9.09</w:t>
            </w:r>
          </w:p>
        </w:tc>
        <w:tc>
          <w:tcPr>
            <w:tcW w:w="328" w:type="pct"/>
            <w:tcBorders>
              <w:tl2br w:val="nil"/>
              <w:tr2bl w:val="nil"/>
            </w:tcBorders>
            <w:noWrap w:val="0"/>
            <w:vAlign w:val="center"/>
          </w:tcPr>
          <w:p w14:paraId="7E2E1A4E">
            <w:pPr>
              <w:pStyle w:val="58"/>
              <w:bidi w:val="0"/>
              <w:rPr>
                <w:rFonts w:hint="default"/>
                <w:highlight w:val="none"/>
                <w:lang w:val="en-US" w:eastAsia="zh-CN"/>
              </w:rPr>
            </w:pPr>
            <w:r>
              <w:rPr>
                <w:rFonts w:hint="default"/>
                <w:highlight w:val="none"/>
                <w:lang w:val="en-US" w:eastAsia="zh-CN"/>
              </w:rPr>
              <w:t>5.92</w:t>
            </w:r>
          </w:p>
        </w:tc>
        <w:tc>
          <w:tcPr>
            <w:tcW w:w="328" w:type="pct"/>
            <w:tcBorders>
              <w:tl2br w:val="nil"/>
              <w:tr2bl w:val="nil"/>
            </w:tcBorders>
            <w:noWrap w:val="0"/>
            <w:vAlign w:val="center"/>
          </w:tcPr>
          <w:p w14:paraId="7BEBDE9A">
            <w:pPr>
              <w:pStyle w:val="58"/>
              <w:bidi w:val="0"/>
              <w:rPr>
                <w:rFonts w:hint="default"/>
                <w:highlight w:val="none"/>
                <w:lang w:val="en-US" w:eastAsia="zh-CN"/>
              </w:rPr>
            </w:pPr>
            <w:r>
              <w:rPr>
                <w:rFonts w:hint="default"/>
                <w:highlight w:val="none"/>
                <w:lang w:val="en-US" w:eastAsia="zh-CN"/>
              </w:rPr>
              <w:t>3.55</w:t>
            </w:r>
          </w:p>
        </w:tc>
        <w:tc>
          <w:tcPr>
            <w:tcW w:w="368" w:type="pct"/>
            <w:tcBorders>
              <w:tl2br w:val="nil"/>
              <w:tr2bl w:val="nil"/>
            </w:tcBorders>
            <w:noWrap w:val="0"/>
            <w:vAlign w:val="center"/>
          </w:tcPr>
          <w:p w14:paraId="3C255A0A">
            <w:pPr>
              <w:pStyle w:val="58"/>
              <w:bidi w:val="0"/>
              <w:rPr>
                <w:rFonts w:hint="default"/>
                <w:highlight w:val="none"/>
                <w:lang w:val="en-US" w:eastAsia="zh-CN"/>
              </w:rPr>
            </w:pPr>
            <w:r>
              <w:rPr>
                <w:rFonts w:hint="default"/>
                <w:highlight w:val="none"/>
                <w:lang w:val="en-US" w:eastAsia="zh-CN"/>
              </w:rPr>
              <w:t>2.35</w:t>
            </w:r>
          </w:p>
        </w:tc>
        <w:tc>
          <w:tcPr>
            <w:tcW w:w="368" w:type="pct"/>
            <w:tcBorders>
              <w:tl2br w:val="nil"/>
              <w:tr2bl w:val="nil"/>
            </w:tcBorders>
            <w:noWrap w:val="0"/>
            <w:vAlign w:val="center"/>
          </w:tcPr>
          <w:p w14:paraId="1A9A94B4">
            <w:pPr>
              <w:pStyle w:val="58"/>
              <w:bidi w:val="0"/>
              <w:rPr>
                <w:rFonts w:hint="default"/>
                <w:highlight w:val="none"/>
                <w:lang w:val="en-US" w:eastAsia="zh-CN"/>
              </w:rPr>
            </w:pPr>
            <w:r>
              <w:rPr>
                <w:rFonts w:hint="default"/>
                <w:highlight w:val="none"/>
                <w:lang w:val="en-US" w:eastAsia="zh-CN"/>
              </w:rPr>
              <w:t>1.62</w:t>
            </w:r>
          </w:p>
        </w:tc>
        <w:tc>
          <w:tcPr>
            <w:tcW w:w="334" w:type="pct"/>
            <w:tcBorders>
              <w:tl2br w:val="nil"/>
              <w:tr2bl w:val="nil"/>
            </w:tcBorders>
            <w:noWrap w:val="0"/>
            <w:vAlign w:val="center"/>
          </w:tcPr>
          <w:p w14:paraId="4E460DBB">
            <w:pPr>
              <w:pStyle w:val="58"/>
              <w:bidi w:val="0"/>
              <w:rPr>
                <w:rFonts w:hint="default"/>
                <w:highlight w:val="none"/>
                <w:lang w:val="en-US" w:eastAsia="zh-CN"/>
              </w:rPr>
            </w:pPr>
            <w:r>
              <w:rPr>
                <w:rFonts w:hint="default"/>
                <w:highlight w:val="none"/>
                <w:lang w:val="en-US" w:eastAsia="zh-CN"/>
              </w:rPr>
              <w:t>6.15</w:t>
            </w:r>
          </w:p>
        </w:tc>
      </w:tr>
      <w:tr w14:paraId="1D0946C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403" w:type="pct"/>
            <w:tcBorders>
              <w:tl2br w:val="nil"/>
              <w:tr2bl w:val="nil"/>
            </w:tcBorders>
            <w:noWrap w:val="0"/>
            <w:vAlign w:val="center"/>
          </w:tcPr>
          <w:p w14:paraId="7DB202C1">
            <w:pPr>
              <w:pStyle w:val="58"/>
              <w:bidi w:val="0"/>
              <w:rPr>
                <w:rFonts w:hint="default"/>
                <w:highlight w:val="none"/>
                <w:lang w:val="en-US" w:eastAsia="zh-CN"/>
              </w:rPr>
            </w:pPr>
            <w:r>
              <w:rPr>
                <w:rFonts w:hint="default"/>
                <w:highlight w:val="none"/>
                <w:lang w:val="en-US" w:eastAsia="zh-CN"/>
              </w:rPr>
              <w:t>S</w:t>
            </w:r>
          </w:p>
        </w:tc>
        <w:tc>
          <w:tcPr>
            <w:tcW w:w="368" w:type="pct"/>
            <w:tcBorders>
              <w:tl2br w:val="nil"/>
              <w:tr2bl w:val="nil"/>
            </w:tcBorders>
            <w:noWrap w:val="0"/>
            <w:vAlign w:val="center"/>
          </w:tcPr>
          <w:p w14:paraId="3E97E761">
            <w:pPr>
              <w:pStyle w:val="58"/>
              <w:bidi w:val="0"/>
              <w:rPr>
                <w:rFonts w:hint="default"/>
                <w:highlight w:val="none"/>
                <w:lang w:val="en-US" w:eastAsia="zh-CN"/>
              </w:rPr>
            </w:pPr>
            <w:r>
              <w:rPr>
                <w:rFonts w:hint="default"/>
                <w:highlight w:val="none"/>
                <w:lang w:val="en-US" w:eastAsia="zh-CN"/>
              </w:rPr>
              <w:t>2.29</w:t>
            </w:r>
          </w:p>
        </w:tc>
        <w:tc>
          <w:tcPr>
            <w:tcW w:w="328" w:type="pct"/>
            <w:tcBorders>
              <w:tl2br w:val="nil"/>
              <w:tr2bl w:val="nil"/>
            </w:tcBorders>
            <w:noWrap w:val="0"/>
            <w:vAlign w:val="center"/>
          </w:tcPr>
          <w:p w14:paraId="2A27E1AE">
            <w:pPr>
              <w:pStyle w:val="58"/>
              <w:bidi w:val="0"/>
              <w:rPr>
                <w:rFonts w:hint="default"/>
                <w:highlight w:val="none"/>
                <w:lang w:val="en-US" w:eastAsia="zh-CN"/>
              </w:rPr>
            </w:pPr>
            <w:r>
              <w:rPr>
                <w:rFonts w:hint="default"/>
                <w:highlight w:val="none"/>
                <w:lang w:val="en-US" w:eastAsia="zh-CN"/>
              </w:rPr>
              <w:t>5.28</w:t>
            </w:r>
          </w:p>
        </w:tc>
        <w:tc>
          <w:tcPr>
            <w:tcW w:w="368" w:type="pct"/>
            <w:tcBorders>
              <w:tl2br w:val="nil"/>
              <w:tr2bl w:val="nil"/>
            </w:tcBorders>
            <w:noWrap w:val="0"/>
            <w:vAlign w:val="center"/>
          </w:tcPr>
          <w:p w14:paraId="10CFD81A">
            <w:pPr>
              <w:pStyle w:val="58"/>
              <w:bidi w:val="0"/>
              <w:rPr>
                <w:rFonts w:hint="default"/>
                <w:highlight w:val="none"/>
                <w:lang w:val="en-US" w:eastAsia="zh-CN"/>
              </w:rPr>
            </w:pPr>
            <w:r>
              <w:rPr>
                <w:rFonts w:hint="default"/>
                <w:highlight w:val="none"/>
                <w:lang w:val="en-US" w:eastAsia="zh-CN"/>
              </w:rPr>
              <w:t>7.69</w:t>
            </w:r>
          </w:p>
        </w:tc>
        <w:tc>
          <w:tcPr>
            <w:tcW w:w="368" w:type="pct"/>
            <w:tcBorders>
              <w:tl2br w:val="nil"/>
              <w:tr2bl w:val="nil"/>
            </w:tcBorders>
            <w:noWrap w:val="0"/>
            <w:vAlign w:val="center"/>
          </w:tcPr>
          <w:p w14:paraId="0A8B8EAF">
            <w:pPr>
              <w:pStyle w:val="58"/>
              <w:bidi w:val="0"/>
              <w:rPr>
                <w:rFonts w:hint="default"/>
                <w:highlight w:val="none"/>
                <w:lang w:val="en-US" w:eastAsia="zh-CN"/>
              </w:rPr>
            </w:pPr>
            <w:r>
              <w:rPr>
                <w:rFonts w:hint="default"/>
                <w:highlight w:val="none"/>
                <w:lang w:val="en-US" w:eastAsia="zh-CN"/>
              </w:rPr>
              <w:t>8.14</w:t>
            </w:r>
          </w:p>
        </w:tc>
        <w:tc>
          <w:tcPr>
            <w:tcW w:w="368" w:type="pct"/>
            <w:tcBorders>
              <w:tl2br w:val="nil"/>
              <w:tr2bl w:val="nil"/>
            </w:tcBorders>
            <w:noWrap w:val="0"/>
            <w:vAlign w:val="center"/>
          </w:tcPr>
          <w:p w14:paraId="1560FBDF">
            <w:pPr>
              <w:pStyle w:val="58"/>
              <w:bidi w:val="0"/>
              <w:rPr>
                <w:rFonts w:hint="default"/>
                <w:highlight w:val="none"/>
                <w:lang w:val="en-US" w:eastAsia="zh-CN"/>
              </w:rPr>
            </w:pPr>
            <w:r>
              <w:rPr>
                <w:rFonts w:hint="default"/>
                <w:highlight w:val="none"/>
                <w:lang w:val="en-US" w:eastAsia="zh-CN"/>
              </w:rPr>
              <w:t>8.89</w:t>
            </w:r>
          </w:p>
        </w:tc>
        <w:tc>
          <w:tcPr>
            <w:tcW w:w="368" w:type="pct"/>
            <w:tcBorders>
              <w:tl2br w:val="nil"/>
              <w:tr2bl w:val="nil"/>
            </w:tcBorders>
            <w:noWrap w:val="0"/>
            <w:vAlign w:val="center"/>
          </w:tcPr>
          <w:p w14:paraId="0E49EBA9">
            <w:pPr>
              <w:pStyle w:val="58"/>
              <w:bidi w:val="0"/>
              <w:rPr>
                <w:rFonts w:hint="default"/>
                <w:highlight w:val="none"/>
                <w:lang w:val="en-US" w:eastAsia="zh-CN"/>
              </w:rPr>
            </w:pPr>
            <w:r>
              <w:rPr>
                <w:rFonts w:hint="default"/>
                <w:highlight w:val="none"/>
                <w:lang w:val="en-US" w:eastAsia="zh-CN"/>
              </w:rPr>
              <w:t>9.28</w:t>
            </w:r>
          </w:p>
        </w:tc>
        <w:tc>
          <w:tcPr>
            <w:tcW w:w="368" w:type="pct"/>
            <w:tcBorders>
              <w:tl2br w:val="nil"/>
              <w:tr2bl w:val="nil"/>
            </w:tcBorders>
            <w:noWrap w:val="0"/>
            <w:vAlign w:val="center"/>
          </w:tcPr>
          <w:p w14:paraId="666A3FD2">
            <w:pPr>
              <w:pStyle w:val="58"/>
              <w:bidi w:val="0"/>
              <w:rPr>
                <w:rFonts w:hint="default"/>
                <w:highlight w:val="none"/>
                <w:lang w:val="en-US" w:eastAsia="zh-CN"/>
              </w:rPr>
            </w:pPr>
            <w:r>
              <w:rPr>
                <w:rFonts w:hint="default"/>
                <w:highlight w:val="none"/>
                <w:lang w:val="en-US" w:eastAsia="zh-CN"/>
              </w:rPr>
              <w:t>10.59</w:t>
            </w:r>
          </w:p>
        </w:tc>
        <w:tc>
          <w:tcPr>
            <w:tcW w:w="328" w:type="pct"/>
            <w:tcBorders>
              <w:tl2br w:val="nil"/>
              <w:tr2bl w:val="nil"/>
            </w:tcBorders>
            <w:noWrap w:val="0"/>
            <w:vAlign w:val="center"/>
          </w:tcPr>
          <w:p w14:paraId="7DFCA9E1">
            <w:pPr>
              <w:pStyle w:val="58"/>
              <w:bidi w:val="0"/>
              <w:rPr>
                <w:rFonts w:hint="default"/>
                <w:highlight w:val="none"/>
                <w:lang w:val="en-US" w:eastAsia="zh-CN"/>
              </w:rPr>
            </w:pPr>
            <w:r>
              <w:rPr>
                <w:rFonts w:hint="default"/>
                <w:highlight w:val="none"/>
                <w:lang w:val="en-US" w:eastAsia="zh-CN"/>
              </w:rPr>
              <w:t>7.56</w:t>
            </w:r>
          </w:p>
        </w:tc>
        <w:tc>
          <w:tcPr>
            <w:tcW w:w="328" w:type="pct"/>
            <w:tcBorders>
              <w:tl2br w:val="nil"/>
              <w:tr2bl w:val="nil"/>
            </w:tcBorders>
            <w:noWrap w:val="0"/>
            <w:vAlign w:val="center"/>
          </w:tcPr>
          <w:p w14:paraId="756592A9">
            <w:pPr>
              <w:pStyle w:val="58"/>
              <w:bidi w:val="0"/>
              <w:rPr>
                <w:rFonts w:hint="default"/>
                <w:highlight w:val="none"/>
                <w:lang w:val="en-US" w:eastAsia="zh-CN"/>
              </w:rPr>
            </w:pPr>
            <w:r>
              <w:rPr>
                <w:rFonts w:hint="default"/>
                <w:highlight w:val="none"/>
                <w:lang w:val="en-US" w:eastAsia="zh-CN"/>
              </w:rPr>
              <w:t>7.62</w:t>
            </w:r>
          </w:p>
        </w:tc>
        <w:tc>
          <w:tcPr>
            <w:tcW w:w="328" w:type="pct"/>
            <w:tcBorders>
              <w:tl2br w:val="nil"/>
              <w:tr2bl w:val="nil"/>
            </w:tcBorders>
            <w:noWrap w:val="0"/>
            <w:vAlign w:val="center"/>
          </w:tcPr>
          <w:p w14:paraId="02C0F70B">
            <w:pPr>
              <w:pStyle w:val="58"/>
              <w:bidi w:val="0"/>
              <w:rPr>
                <w:rFonts w:hint="default"/>
                <w:highlight w:val="none"/>
                <w:lang w:val="en-US" w:eastAsia="zh-CN"/>
              </w:rPr>
            </w:pPr>
            <w:r>
              <w:rPr>
                <w:rFonts w:hint="default"/>
                <w:highlight w:val="none"/>
                <w:lang w:val="en-US" w:eastAsia="zh-CN"/>
              </w:rPr>
              <w:t>5.1</w:t>
            </w:r>
          </w:p>
        </w:tc>
        <w:tc>
          <w:tcPr>
            <w:tcW w:w="368" w:type="pct"/>
            <w:tcBorders>
              <w:tl2br w:val="nil"/>
              <w:tr2bl w:val="nil"/>
            </w:tcBorders>
            <w:noWrap w:val="0"/>
            <w:vAlign w:val="center"/>
          </w:tcPr>
          <w:p w14:paraId="3037A963">
            <w:pPr>
              <w:pStyle w:val="58"/>
              <w:bidi w:val="0"/>
              <w:rPr>
                <w:rFonts w:hint="default"/>
                <w:highlight w:val="none"/>
                <w:lang w:val="en-US" w:eastAsia="zh-CN"/>
              </w:rPr>
            </w:pPr>
            <w:r>
              <w:rPr>
                <w:rFonts w:hint="default"/>
                <w:highlight w:val="none"/>
                <w:lang w:val="en-US" w:eastAsia="zh-CN"/>
              </w:rPr>
              <w:t>3.02</w:t>
            </w:r>
          </w:p>
        </w:tc>
        <w:tc>
          <w:tcPr>
            <w:tcW w:w="368" w:type="pct"/>
            <w:tcBorders>
              <w:tl2br w:val="nil"/>
              <w:tr2bl w:val="nil"/>
            </w:tcBorders>
            <w:noWrap w:val="0"/>
            <w:vAlign w:val="center"/>
          </w:tcPr>
          <w:p w14:paraId="6E824877">
            <w:pPr>
              <w:pStyle w:val="58"/>
              <w:bidi w:val="0"/>
              <w:rPr>
                <w:rFonts w:hint="default"/>
                <w:highlight w:val="none"/>
                <w:lang w:val="en-US" w:eastAsia="zh-CN"/>
              </w:rPr>
            </w:pPr>
            <w:r>
              <w:rPr>
                <w:rFonts w:hint="default"/>
                <w:highlight w:val="none"/>
                <w:lang w:val="en-US" w:eastAsia="zh-CN"/>
              </w:rPr>
              <w:t>2.57</w:t>
            </w:r>
          </w:p>
        </w:tc>
        <w:tc>
          <w:tcPr>
            <w:tcW w:w="334" w:type="pct"/>
            <w:tcBorders>
              <w:tl2br w:val="nil"/>
              <w:tr2bl w:val="nil"/>
            </w:tcBorders>
            <w:noWrap w:val="0"/>
            <w:vAlign w:val="center"/>
          </w:tcPr>
          <w:p w14:paraId="2F6B4841">
            <w:pPr>
              <w:pStyle w:val="58"/>
              <w:bidi w:val="0"/>
              <w:rPr>
                <w:rFonts w:hint="default"/>
                <w:highlight w:val="none"/>
                <w:lang w:val="en-US" w:eastAsia="zh-CN"/>
              </w:rPr>
            </w:pPr>
            <w:r>
              <w:rPr>
                <w:rFonts w:hint="default"/>
                <w:highlight w:val="none"/>
                <w:lang w:val="en-US" w:eastAsia="zh-CN"/>
              </w:rPr>
              <w:t>6.50</w:t>
            </w:r>
          </w:p>
        </w:tc>
      </w:tr>
      <w:tr w14:paraId="7FB6A4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403" w:type="pct"/>
            <w:tcBorders>
              <w:tl2br w:val="nil"/>
              <w:tr2bl w:val="nil"/>
            </w:tcBorders>
            <w:noWrap w:val="0"/>
            <w:vAlign w:val="center"/>
          </w:tcPr>
          <w:p w14:paraId="486B9D2C">
            <w:pPr>
              <w:pStyle w:val="58"/>
              <w:bidi w:val="0"/>
              <w:rPr>
                <w:rFonts w:hint="default"/>
                <w:highlight w:val="none"/>
                <w:lang w:val="en-US" w:eastAsia="zh-CN"/>
              </w:rPr>
            </w:pPr>
            <w:r>
              <w:rPr>
                <w:rFonts w:hint="default"/>
                <w:highlight w:val="none"/>
                <w:lang w:val="en-US" w:eastAsia="zh-CN"/>
              </w:rPr>
              <w:t>SSW</w:t>
            </w:r>
          </w:p>
        </w:tc>
        <w:tc>
          <w:tcPr>
            <w:tcW w:w="368" w:type="pct"/>
            <w:tcBorders>
              <w:tl2br w:val="nil"/>
              <w:tr2bl w:val="nil"/>
            </w:tcBorders>
            <w:noWrap w:val="0"/>
            <w:vAlign w:val="center"/>
          </w:tcPr>
          <w:p w14:paraId="25E08BB6">
            <w:pPr>
              <w:pStyle w:val="58"/>
              <w:bidi w:val="0"/>
              <w:rPr>
                <w:rFonts w:hint="default"/>
                <w:highlight w:val="none"/>
                <w:lang w:val="en-US" w:eastAsia="zh-CN"/>
              </w:rPr>
            </w:pPr>
            <w:r>
              <w:rPr>
                <w:rFonts w:hint="default"/>
                <w:highlight w:val="none"/>
                <w:lang w:val="en-US" w:eastAsia="zh-CN"/>
              </w:rPr>
              <w:t>3.52</w:t>
            </w:r>
          </w:p>
        </w:tc>
        <w:tc>
          <w:tcPr>
            <w:tcW w:w="328" w:type="pct"/>
            <w:tcBorders>
              <w:tl2br w:val="nil"/>
              <w:tr2bl w:val="nil"/>
            </w:tcBorders>
            <w:noWrap w:val="0"/>
            <w:vAlign w:val="center"/>
          </w:tcPr>
          <w:p w14:paraId="7568E4A5">
            <w:pPr>
              <w:pStyle w:val="58"/>
              <w:bidi w:val="0"/>
              <w:rPr>
                <w:rFonts w:hint="default"/>
                <w:highlight w:val="none"/>
                <w:lang w:val="en-US" w:eastAsia="zh-CN"/>
              </w:rPr>
            </w:pPr>
            <w:r>
              <w:rPr>
                <w:rFonts w:hint="default"/>
                <w:highlight w:val="none"/>
                <w:lang w:val="en-US" w:eastAsia="zh-CN"/>
              </w:rPr>
              <w:t>7.13</w:t>
            </w:r>
          </w:p>
        </w:tc>
        <w:tc>
          <w:tcPr>
            <w:tcW w:w="368" w:type="pct"/>
            <w:tcBorders>
              <w:tl2br w:val="nil"/>
              <w:tr2bl w:val="nil"/>
            </w:tcBorders>
            <w:noWrap w:val="0"/>
            <w:vAlign w:val="center"/>
          </w:tcPr>
          <w:p w14:paraId="3822B73A">
            <w:pPr>
              <w:pStyle w:val="58"/>
              <w:bidi w:val="0"/>
              <w:rPr>
                <w:rFonts w:hint="default"/>
                <w:highlight w:val="none"/>
                <w:lang w:val="en-US" w:eastAsia="zh-CN"/>
              </w:rPr>
            </w:pPr>
            <w:r>
              <w:rPr>
                <w:rFonts w:hint="default"/>
                <w:highlight w:val="none"/>
                <w:lang w:val="en-US" w:eastAsia="zh-CN"/>
              </w:rPr>
              <w:t>11.49</w:t>
            </w:r>
          </w:p>
        </w:tc>
        <w:tc>
          <w:tcPr>
            <w:tcW w:w="368" w:type="pct"/>
            <w:tcBorders>
              <w:tl2br w:val="nil"/>
              <w:tr2bl w:val="nil"/>
            </w:tcBorders>
            <w:noWrap w:val="0"/>
            <w:vAlign w:val="center"/>
          </w:tcPr>
          <w:p w14:paraId="2F91B821">
            <w:pPr>
              <w:pStyle w:val="58"/>
              <w:bidi w:val="0"/>
              <w:rPr>
                <w:rFonts w:hint="default"/>
                <w:highlight w:val="none"/>
                <w:lang w:val="en-US" w:eastAsia="zh-CN"/>
              </w:rPr>
            </w:pPr>
            <w:r>
              <w:rPr>
                <w:rFonts w:hint="default"/>
                <w:highlight w:val="none"/>
                <w:lang w:val="en-US" w:eastAsia="zh-CN"/>
              </w:rPr>
              <w:t>10.98</w:t>
            </w:r>
          </w:p>
        </w:tc>
        <w:tc>
          <w:tcPr>
            <w:tcW w:w="368" w:type="pct"/>
            <w:tcBorders>
              <w:tl2br w:val="nil"/>
              <w:tr2bl w:val="nil"/>
            </w:tcBorders>
            <w:noWrap w:val="0"/>
            <w:vAlign w:val="center"/>
          </w:tcPr>
          <w:p w14:paraId="311ECD38">
            <w:pPr>
              <w:pStyle w:val="58"/>
              <w:bidi w:val="0"/>
              <w:rPr>
                <w:rFonts w:hint="default"/>
                <w:highlight w:val="none"/>
                <w:lang w:val="en-US" w:eastAsia="zh-CN"/>
              </w:rPr>
            </w:pPr>
            <w:r>
              <w:rPr>
                <w:rFonts w:hint="default"/>
                <w:highlight w:val="none"/>
                <w:lang w:val="en-US" w:eastAsia="zh-CN"/>
              </w:rPr>
              <w:t>11.1</w:t>
            </w:r>
          </w:p>
        </w:tc>
        <w:tc>
          <w:tcPr>
            <w:tcW w:w="368" w:type="pct"/>
            <w:tcBorders>
              <w:tl2br w:val="nil"/>
              <w:tr2bl w:val="nil"/>
            </w:tcBorders>
            <w:noWrap w:val="0"/>
            <w:vAlign w:val="center"/>
          </w:tcPr>
          <w:p w14:paraId="3F714B8F">
            <w:pPr>
              <w:pStyle w:val="58"/>
              <w:bidi w:val="0"/>
              <w:rPr>
                <w:rFonts w:hint="default"/>
                <w:highlight w:val="none"/>
                <w:lang w:val="en-US" w:eastAsia="zh-CN"/>
              </w:rPr>
            </w:pPr>
            <w:r>
              <w:rPr>
                <w:rFonts w:hint="default"/>
                <w:highlight w:val="none"/>
                <w:lang w:val="en-US" w:eastAsia="zh-CN"/>
              </w:rPr>
              <w:t>9.59</w:t>
            </w:r>
          </w:p>
        </w:tc>
        <w:tc>
          <w:tcPr>
            <w:tcW w:w="368" w:type="pct"/>
            <w:tcBorders>
              <w:tl2br w:val="nil"/>
              <w:tr2bl w:val="nil"/>
            </w:tcBorders>
            <w:noWrap w:val="0"/>
            <w:vAlign w:val="center"/>
          </w:tcPr>
          <w:p w14:paraId="042E844F">
            <w:pPr>
              <w:pStyle w:val="58"/>
              <w:bidi w:val="0"/>
              <w:rPr>
                <w:rFonts w:hint="default"/>
                <w:highlight w:val="none"/>
                <w:lang w:val="en-US" w:eastAsia="zh-CN"/>
              </w:rPr>
            </w:pPr>
            <w:r>
              <w:rPr>
                <w:rFonts w:hint="default"/>
                <w:highlight w:val="none"/>
                <w:lang w:val="en-US" w:eastAsia="zh-CN"/>
              </w:rPr>
              <w:t>8.91</w:t>
            </w:r>
          </w:p>
        </w:tc>
        <w:tc>
          <w:tcPr>
            <w:tcW w:w="328" w:type="pct"/>
            <w:tcBorders>
              <w:tl2br w:val="nil"/>
              <w:tr2bl w:val="nil"/>
            </w:tcBorders>
            <w:noWrap w:val="0"/>
            <w:vAlign w:val="center"/>
          </w:tcPr>
          <w:p w14:paraId="2818DB68">
            <w:pPr>
              <w:pStyle w:val="58"/>
              <w:bidi w:val="0"/>
              <w:rPr>
                <w:rFonts w:hint="default"/>
                <w:highlight w:val="none"/>
                <w:lang w:val="en-US" w:eastAsia="zh-CN"/>
              </w:rPr>
            </w:pPr>
            <w:r>
              <w:rPr>
                <w:rFonts w:hint="default"/>
                <w:highlight w:val="none"/>
                <w:lang w:val="en-US" w:eastAsia="zh-CN"/>
              </w:rPr>
              <w:t>7.04</w:t>
            </w:r>
          </w:p>
        </w:tc>
        <w:tc>
          <w:tcPr>
            <w:tcW w:w="328" w:type="pct"/>
            <w:tcBorders>
              <w:tl2br w:val="nil"/>
              <w:tr2bl w:val="nil"/>
            </w:tcBorders>
            <w:noWrap w:val="0"/>
            <w:vAlign w:val="center"/>
          </w:tcPr>
          <w:p w14:paraId="6B3346F4">
            <w:pPr>
              <w:pStyle w:val="58"/>
              <w:bidi w:val="0"/>
              <w:rPr>
                <w:rFonts w:hint="default"/>
                <w:highlight w:val="none"/>
                <w:lang w:val="en-US" w:eastAsia="zh-CN"/>
              </w:rPr>
            </w:pPr>
            <w:r>
              <w:rPr>
                <w:rFonts w:hint="default"/>
                <w:highlight w:val="none"/>
                <w:lang w:val="en-US" w:eastAsia="zh-CN"/>
              </w:rPr>
              <w:t>7.82</w:t>
            </w:r>
          </w:p>
        </w:tc>
        <w:tc>
          <w:tcPr>
            <w:tcW w:w="328" w:type="pct"/>
            <w:tcBorders>
              <w:tl2br w:val="nil"/>
              <w:tr2bl w:val="nil"/>
            </w:tcBorders>
            <w:noWrap w:val="0"/>
            <w:vAlign w:val="center"/>
          </w:tcPr>
          <w:p w14:paraId="665E7C4B">
            <w:pPr>
              <w:pStyle w:val="58"/>
              <w:bidi w:val="0"/>
              <w:rPr>
                <w:rFonts w:hint="default"/>
                <w:highlight w:val="none"/>
                <w:lang w:val="en-US" w:eastAsia="zh-CN"/>
              </w:rPr>
            </w:pPr>
            <w:r>
              <w:rPr>
                <w:rFonts w:hint="default"/>
                <w:highlight w:val="none"/>
                <w:lang w:val="en-US" w:eastAsia="zh-CN"/>
              </w:rPr>
              <w:t>6.35</w:t>
            </w:r>
          </w:p>
        </w:tc>
        <w:tc>
          <w:tcPr>
            <w:tcW w:w="368" w:type="pct"/>
            <w:tcBorders>
              <w:tl2br w:val="nil"/>
              <w:tr2bl w:val="nil"/>
            </w:tcBorders>
            <w:noWrap w:val="0"/>
            <w:vAlign w:val="center"/>
          </w:tcPr>
          <w:p w14:paraId="5B4B70A0">
            <w:pPr>
              <w:pStyle w:val="58"/>
              <w:bidi w:val="0"/>
              <w:rPr>
                <w:rFonts w:hint="default"/>
                <w:highlight w:val="none"/>
                <w:lang w:val="en-US" w:eastAsia="zh-CN"/>
              </w:rPr>
            </w:pPr>
            <w:r>
              <w:rPr>
                <w:rFonts w:hint="default"/>
                <w:highlight w:val="none"/>
                <w:lang w:val="en-US" w:eastAsia="zh-CN"/>
              </w:rPr>
              <w:t>4.12</w:t>
            </w:r>
          </w:p>
        </w:tc>
        <w:tc>
          <w:tcPr>
            <w:tcW w:w="368" w:type="pct"/>
            <w:tcBorders>
              <w:tl2br w:val="nil"/>
              <w:tr2bl w:val="nil"/>
            </w:tcBorders>
            <w:noWrap w:val="0"/>
            <w:vAlign w:val="center"/>
          </w:tcPr>
          <w:p w14:paraId="35CDEB9E">
            <w:pPr>
              <w:pStyle w:val="58"/>
              <w:bidi w:val="0"/>
              <w:rPr>
                <w:rFonts w:hint="default"/>
                <w:highlight w:val="none"/>
                <w:lang w:val="en-US" w:eastAsia="zh-CN"/>
              </w:rPr>
            </w:pPr>
            <w:r>
              <w:rPr>
                <w:rFonts w:hint="default"/>
                <w:highlight w:val="none"/>
                <w:lang w:val="en-US" w:eastAsia="zh-CN"/>
              </w:rPr>
              <w:t>2.44</w:t>
            </w:r>
          </w:p>
        </w:tc>
        <w:tc>
          <w:tcPr>
            <w:tcW w:w="334" w:type="pct"/>
            <w:tcBorders>
              <w:tl2br w:val="nil"/>
              <w:tr2bl w:val="nil"/>
            </w:tcBorders>
            <w:noWrap w:val="0"/>
            <w:vAlign w:val="center"/>
          </w:tcPr>
          <w:p w14:paraId="42A32CB6">
            <w:pPr>
              <w:pStyle w:val="58"/>
              <w:bidi w:val="0"/>
              <w:rPr>
                <w:rFonts w:hint="default"/>
                <w:highlight w:val="none"/>
                <w:lang w:val="en-US" w:eastAsia="zh-CN"/>
              </w:rPr>
            </w:pPr>
            <w:r>
              <w:rPr>
                <w:rFonts w:hint="default"/>
                <w:highlight w:val="none"/>
                <w:lang w:val="en-US" w:eastAsia="zh-CN"/>
              </w:rPr>
              <w:t>7.48</w:t>
            </w:r>
          </w:p>
        </w:tc>
      </w:tr>
      <w:tr w14:paraId="65B9AF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403" w:type="pct"/>
            <w:tcBorders>
              <w:tl2br w:val="nil"/>
              <w:tr2bl w:val="nil"/>
            </w:tcBorders>
            <w:noWrap w:val="0"/>
            <w:vAlign w:val="center"/>
          </w:tcPr>
          <w:p w14:paraId="53A0783A">
            <w:pPr>
              <w:pStyle w:val="58"/>
              <w:bidi w:val="0"/>
              <w:rPr>
                <w:rFonts w:hint="default"/>
                <w:highlight w:val="none"/>
                <w:lang w:val="en-US" w:eastAsia="zh-CN"/>
              </w:rPr>
            </w:pPr>
            <w:r>
              <w:rPr>
                <w:rFonts w:hint="default"/>
                <w:highlight w:val="none"/>
                <w:lang w:val="en-US" w:eastAsia="zh-CN"/>
              </w:rPr>
              <w:t>SW</w:t>
            </w:r>
          </w:p>
        </w:tc>
        <w:tc>
          <w:tcPr>
            <w:tcW w:w="368" w:type="pct"/>
            <w:tcBorders>
              <w:tl2br w:val="nil"/>
              <w:tr2bl w:val="nil"/>
            </w:tcBorders>
            <w:noWrap w:val="0"/>
            <w:vAlign w:val="center"/>
          </w:tcPr>
          <w:p w14:paraId="1AF803C5">
            <w:pPr>
              <w:pStyle w:val="58"/>
              <w:bidi w:val="0"/>
              <w:rPr>
                <w:rFonts w:hint="default"/>
                <w:highlight w:val="none"/>
                <w:lang w:val="en-US" w:eastAsia="zh-CN"/>
              </w:rPr>
            </w:pPr>
            <w:r>
              <w:rPr>
                <w:rFonts w:hint="default"/>
                <w:highlight w:val="none"/>
                <w:lang w:val="en-US" w:eastAsia="zh-CN"/>
              </w:rPr>
              <w:t>6.12</w:t>
            </w:r>
          </w:p>
        </w:tc>
        <w:tc>
          <w:tcPr>
            <w:tcW w:w="328" w:type="pct"/>
            <w:tcBorders>
              <w:tl2br w:val="nil"/>
              <w:tr2bl w:val="nil"/>
            </w:tcBorders>
            <w:noWrap w:val="0"/>
            <w:vAlign w:val="center"/>
          </w:tcPr>
          <w:p w14:paraId="4A8399F5">
            <w:pPr>
              <w:pStyle w:val="58"/>
              <w:bidi w:val="0"/>
              <w:rPr>
                <w:rFonts w:hint="default"/>
                <w:highlight w:val="none"/>
                <w:lang w:val="en-US" w:eastAsia="zh-CN"/>
              </w:rPr>
            </w:pPr>
            <w:r>
              <w:rPr>
                <w:rFonts w:hint="default"/>
                <w:highlight w:val="none"/>
                <w:lang w:val="en-US" w:eastAsia="zh-CN"/>
              </w:rPr>
              <w:t>9.08</w:t>
            </w:r>
          </w:p>
        </w:tc>
        <w:tc>
          <w:tcPr>
            <w:tcW w:w="368" w:type="pct"/>
            <w:tcBorders>
              <w:tl2br w:val="nil"/>
              <w:tr2bl w:val="nil"/>
            </w:tcBorders>
            <w:noWrap w:val="0"/>
            <w:vAlign w:val="center"/>
          </w:tcPr>
          <w:p w14:paraId="3BB99216">
            <w:pPr>
              <w:pStyle w:val="58"/>
              <w:bidi w:val="0"/>
              <w:rPr>
                <w:rFonts w:hint="default"/>
                <w:highlight w:val="none"/>
                <w:lang w:val="en-US" w:eastAsia="zh-CN"/>
              </w:rPr>
            </w:pPr>
            <w:r>
              <w:rPr>
                <w:rFonts w:hint="default"/>
                <w:highlight w:val="none"/>
                <w:lang w:val="en-US" w:eastAsia="zh-CN"/>
              </w:rPr>
              <w:t>10.44</w:t>
            </w:r>
          </w:p>
        </w:tc>
        <w:tc>
          <w:tcPr>
            <w:tcW w:w="368" w:type="pct"/>
            <w:tcBorders>
              <w:tl2br w:val="nil"/>
              <w:tr2bl w:val="nil"/>
            </w:tcBorders>
            <w:noWrap w:val="0"/>
            <w:vAlign w:val="center"/>
          </w:tcPr>
          <w:p w14:paraId="24D5A545">
            <w:pPr>
              <w:pStyle w:val="58"/>
              <w:bidi w:val="0"/>
              <w:rPr>
                <w:rFonts w:hint="default"/>
                <w:highlight w:val="none"/>
                <w:lang w:val="en-US" w:eastAsia="zh-CN"/>
              </w:rPr>
            </w:pPr>
            <w:r>
              <w:rPr>
                <w:rFonts w:hint="default"/>
                <w:highlight w:val="none"/>
                <w:lang w:val="en-US" w:eastAsia="zh-CN"/>
              </w:rPr>
              <w:t>11.3</w:t>
            </w:r>
          </w:p>
        </w:tc>
        <w:tc>
          <w:tcPr>
            <w:tcW w:w="368" w:type="pct"/>
            <w:tcBorders>
              <w:tl2br w:val="nil"/>
              <w:tr2bl w:val="nil"/>
            </w:tcBorders>
            <w:noWrap w:val="0"/>
            <w:vAlign w:val="center"/>
          </w:tcPr>
          <w:p w14:paraId="64499F75">
            <w:pPr>
              <w:pStyle w:val="58"/>
              <w:bidi w:val="0"/>
              <w:rPr>
                <w:rFonts w:hint="default"/>
                <w:highlight w:val="none"/>
                <w:lang w:val="en-US" w:eastAsia="zh-CN"/>
              </w:rPr>
            </w:pPr>
            <w:r>
              <w:rPr>
                <w:rFonts w:hint="default"/>
                <w:highlight w:val="none"/>
                <w:lang w:val="en-US" w:eastAsia="zh-CN"/>
              </w:rPr>
              <w:t>10.63</w:t>
            </w:r>
          </w:p>
        </w:tc>
        <w:tc>
          <w:tcPr>
            <w:tcW w:w="368" w:type="pct"/>
            <w:tcBorders>
              <w:tl2br w:val="nil"/>
              <w:tr2bl w:val="nil"/>
            </w:tcBorders>
            <w:noWrap w:val="0"/>
            <w:vAlign w:val="center"/>
          </w:tcPr>
          <w:p w14:paraId="68AC78B9">
            <w:pPr>
              <w:pStyle w:val="58"/>
              <w:bidi w:val="0"/>
              <w:rPr>
                <w:rFonts w:hint="default"/>
                <w:highlight w:val="none"/>
                <w:lang w:val="en-US" w:eastAsia="zh-CN"/>
              </w:rPr>
            </w:pPr>
            <w:r>
              <w:rPr>
                <w:rFonts w:hint="default"/>
                <w:highlight w:val="none"/>
                <w:lang w:val="en-US" w:eastAsia="zh-CN"/>
              </w:rPr>
              <w:t>7.02</w:t>
            </w:r>
          </w:p>
        </w:tc>
        <w:tc>
          <w:tcPr>
            <w:tcW w:w="368" w:type="pct"/>
            <w:tcBorders>
              <w:tl2br w:val="nil"/>
              <w:tr2bl w:val="nil"/>
            </w:tcBorders>
            <w:noWrap w:val="0"/>
            <w:vAlign w:val="center"/>
          </w:tcPr>
          <w:p w14:paraId="4288CB18">
            <w:pPr>
              <w:pStyle w:val="58"/>
              <w:bidi w:val="0"/>
              <w:rPr>
                <w:rFonts w:hint="default"/>
                <w:highlight w:val="none"/>
                <w:lang w:val="en-US" w:eastAsia="zh-CN"/>
              </w:rPr>
            </w:pPr>
            <w:r>
              <w:rPr>
                <w:rFonts w:hint="default"/>
                <w:highlight w:val="none"/>
                <w:lang w:val="en-US" w:eastAsia="zh-CN"/>
              </w:rPr>
              <w:t>6.38</w:t>
            </w:r>
          </w:p>
        </w:tc>
        <w:tc>
          <w:tcPr>
            <w:tcW w:w="328" w:type="pct"/>
            <w:tcBorders>
              <w:tl2br w:val="nil"/>
              <w:tr2bl w:val="nil"/>
            </w:tcBorders>
            <w:noWrap w:val="0"/>
            <w:vAlign w:val="center"/>
          </w:tcPr>
          <w:p w14:paraId="428F54FF">
            <w:pPr>
              <w:pStyle w:val="58"/>
              <w:bidi w:val="0"/>
              <w:rPr>
                <w:rFonts w:hint="default"/>
                <w:highlight w:val="none"/>
                <w:lang w:val="en-US" w:eastAsia="zh-CN"/>
              </w:rPr>
            </w:pPr>
            <w:r>
              <w:rPr>
                <w:rFonts w:hint="default"/>
                <w:highlight w:val="none"/>
                <w:lang w:val="en-US" w:eastAsia="zh-CN"/>
              </w:rPr>
              <w:t>6.62</w:t>
            </w:r>
          </w:p>
        </w:tc>
        <w:tc>
          <w:tcPr>
            <w:tcW w:w="328" w:type="pct"/>
            <w:tcBorders>
              <w:tl2br w:val="nil"/>
              <w:tr2bl w:val="nil"/>
            </w:tcBorders>
            <w:noWrap w:val="0"/>
            <w:vAlign w:val="center"/>
          </w:tcPr>
          <w:p w14:paraId="739437EE">
            <w:pPr>
              <w:pStyle w:val="58"/>
              <w:bidi w:val="0"/>
              <w:rPr>
                <w:rFonts w:hint="default"/>
                <w:highlight w:val="none"/>
                <w:lang w:val="en-US" w:eastAsia="zh-CN"/>
              </w:rPr>
            </w:pPr>
            <w:r>
              <w:rPr>
                <w:rFonts w:hint="default"/>
                <w:highlight w:val="none"/>
                <w:lang w:val="en-US" w:eastAsia="zh-CN"/>
              </w:rPr>
              <w:t>7.47</w:t>
            </w:r>
          </w:p>
        </w:tc>
        <w:tc>
          <w:tcPr>
            <w:tcW w:w="328" w:type="pct"/>
            <w:tcBorders>
              <w:tl2br w:val="nil"/>
              <w:tr2bl w:val="nil"/>
            </w:tcBorders>
            <w:noWrap w:val="0"/>
            <w:vAlign w:val="center"/>
          </w:tcPr>
          <w:p w14:paraId="0FF106EF">
            <w:pPr>
              <w:pStyle w:val="58"/>
              <w:bidi w:val="0"/>
              <w:rPr>
                <w:rFonts w:hint="default"/>
                <w:highlight w:val="none"/>
                <w:lang w:val="en-US" w:eastAsia="zh-CN"/>
              </w:rPr>
            </w:pPr>
            <w:r>
              <w:rPr>
                <w:rFonts w:hint="default"/>
                <w:highlight w:val="none"/>
                <w:lang w:val="en-US" w:eastAsia="zh-CN"/>
              </w:rPr>
              <w:t>9.75</w:t>
            </w:r>
          </w:p>
        </w:tc>
        <w:tc>
          <w:tcPr>
            <w:tcW w:w="368" w:type="pct"/>
            <w:tcBorders>
              <w:tl2br w:val="nil"/>
              <w:tr2bl w:val="nil"/>
            </w:tcBorders>
            <w:noWrap w:val="0"/>
            <w:vAlign w:val="center"/>
          </w:tcPr>
          <w:p w14:paraId="3D454772">
            <w:pPr>
              <w:pStyle w:val="58"/>
              <w:bidi w:val="0"/>
              <w:rPr>
                <w:rFonts w:hint="default"/>
                <w:highlight w:val="none"/>
                <w:lang w:val="en-US" w:eastAsia="zh-CN"/>
              </w:rPr>
            </w:pPr>
            <w:r>
              <w:rPr>
                <w:rFonts w:hint="default"/>
                <w:highlight w:val="none"/>
                <w:lang w:val="en-US" w:eastAsia="zh-CN"/>
              </w:rPr>
              <w:t>6.82</w:t>
            </w:r>
          </w:p>
        </w:tc>
        <w:tc>
          <w:tcPr>
            <w:tcW w:w="368" w:type="pct"/>
            <w:tcBorders>
              <w:tl2br w:val="nil"/>
              <w:tr2bl w:val="nil"/>
            </w:tcBorders>
            <w:noWrap w:val="0"/>
            <w:vAlign w:val="center"/>
          </w:tcPr>
          <w:p w14:paraId="3F50209F">
            <w:pPr>
              <w:pStyle w:val="58"/>
              <w:bidi w:val="0"/>
              <w:rPr>
                <w:rFonts w:hint="default"/>
                <w:highlight w:val="none"/>
                <w:lang w:val="en-US" w:eastAsia="zh-CN"/>
              </w:rPr>
            </w:pPr>
            <w:r>
              <w:rPr>
                <w:rFonts w:hint="default"/>
                <w:highlight w:val="none"/>
                <w:lang w:val="en-US" w:eastAsia="zh-CN"/>
              </w:rPr>
              <w:t>4.51</w:t>
            </w:r>
          </w:p>
        </w:tc>
        <w:tc>
          <w:tcPr>
            <w:tcW w:w="334" w:type="pct"/>
            <w:tcBorders>
              <w:tl2br w:val="nil"/>
              <w:tr2bl w:val="nil"/>
            </w:tcBorders>
            <w:noWrap w:val="0"/>
            <w:vAlign w:val="center"/>
          </w:tcPr>
          <w:p w14:paraId="4A8C7D86">
            <w:pPr>
              <w:pStyle w:val="58"/>
              <w:bidi w:val="0"/>
              <w:rPr>
                <w:rFonts w:hint="default"/>
                <w:highlight w:val="none"/>
                <w:lang w:val="en-US" w:eastAsia="zh-CN"/>
              </w:rPr>
            </w:pPr>
            <w:r>
              <w:rPr>
                <w:rFonts w:hint="default"/>
                <w:highlight w:val="none"/>
                <w:lang w:val="en-US" w:eastAsia="zh-CN"/>
              </w:rPr>
              <w:t>7.97</w:t>
            </w:r>
          </w:p>
        </w:tc>
      </w:tr>
      <w:tr w14:paraId="579BE12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403" w:type="pct"/>
            <w:tcBorders>
              <w:tl2br w:val="nil"/>
              <w:tr2bl w:val="nil"/>
            </w:tcBorders>
            <w:noWrap w:val="0"/>
            <w:vAlign w:val="center"/>
          </w:tcPr>
          <w:p w14:paraId="21F223B0">
            <w:pPr>
              <w:pStyle w:val="58"/>
              <w:bidi w:val="0"/>
              <w:rPr>
                <w:rFonts w:hint="default"/>
                <w:highlight w:val="none"/>
                <w:lang w:val="en-US" w:eastAsia="zh-CN"/>
              </w:rPr>
            </w:pPr>
            <w:r>
              <w:rPr>
                <w:rFonts w:hint="default"/>
                <w:highlight w:val="none"/>
                <w:lang w:val="en-US" w:eastAsia="zh-CN"/>
              </w:rPr>
              <w:t>WSW</w:t>
            </w:r>
          </w:p>
        </w:tc>
        <w:tc>
          <w:tcPr>
            <w:tcW w:w="368" w:type="pct"/>
            <w:tcBorders>
              <w:tl2br w:val="nil"/>
              <w:tr2bl w:val="nil"/>
            </w:tcBorders>
            <w:noWrap w:val="0"/>
            <w:vAlign w:val="center"/>
          </w:tcPr>
          <w:p w14:paraId="64D1C434">
            <w:pPr>
              <w:pStyle w:val="58"/>
              <w:bidi w:val="0"/>
              <w:rPr>
                <w:rFonts w:hint="default"/>
                <w:highlight w:val="none"/>
                <w:lang w:val="en-US" w:eastAsia="zh-CN"/>
              </w:rPr>
            </w:pPr>
            <w:r>
              <w:rPr>
                <w:rFonts w:hint="default"/>
                <w:highlight w:val="none"/>
                <w:lang w:val="en-US" w:eastAsia="zh-CN"/>
              </w:rPr>
              <w:t>8.27</w:t>
            </w:r>
          </w:p>
        </w:tc>
        <w:tc>
          <w:tcPr>
            <w:tcW w:w="328" w:type="pct"/>
            <w:tcBorders>
              <w:tl2br w:val="nil"/>
              <w:tr2bl w:val="nil"/>
            </w:tcBorders>
            <w:noWrap w:val="0"/>
            <w:vAlign w:val="center"/>
          </w:tcPr>
          <w:p w14:paraId="41B3CE64">
            <w:pPr>
              <w:pStyle w:val="58"/>
              <w:bidi w:val="0"/>
              <w:rPr>
                <w:rFonts w:hint="default"/>
                <w:highlight w:val="none"/>
                <w:lang w:val="en-US" w:eastAsia="zh-CN"/>
              </w:rPr>
            </w:pPr>
            <w:r>
              <w:rPr>
                <w:rFonts w:hint="default"/>
                <w:highlight w:val="none"/>
                <w:lang w:val="en-US" w:eastAsia="zh-CN"/>
              </w:rPr>
              <w:t>7.43</w:t>
            </w:r>
          </w:p>
        </w:tc>
        <w:tc>
          <w:tcPr>
            <w:tcW w:w="368" w:type="pct"/>
            <w:tcBorders>
              <w:tl2br w:val="nil"/>
              <w:tr2bl w:val="nil"/>
            </w:tcBorders>
            <w:noWrap w:val="0"/>
            <w:vAlign w:val="center"/>
          </w:tcPr>
          <w:p w14:paraId="7372050F">
            <w:pPr>
              <w:pStyle w:val="58"/>
              <w:bidi w:val="0"/>
              <w:rPr>
                <w:rFonts w:hint="default"/>
                <w:highlight w:val="none"/>
                <w:lang w:val="en-US" w:eastAsia="zh-CN"/>
              </w:rPr>
            </w:pPr>
            <w:r>
              <w:rPr>
                <w:rFonts w:hint="default"/>
                <w:highlight w:val="none"/>
                <w:lang w:val="en-US" w:eastAsia="zh-CN"/>
              </w:rPr>
              <w:t>6.04</w:t>
            </w:r>
          </w:p>
        </w:tc>
        <w:tc>
          <w:tcPr>
            <w:tcW w:w="368" w:type="pct"/>
            <w:tcBorders>
              <w:tl2br w:val="nil"/>
              <w:tr2bl w:val="nil"/>
            </w:tcBorders>
            <w:noWrap w:val="0"/>
            <w:vAlign w:val="center"/>
          </w:tcPr>
          <w:p w14:paraId="7F0A76BC">
            <w:pPr>
              <w:pStyle w:val="58"/>
              <w:bidi w:val="0"/>
              <w:rPr>
                <w:rFonts w:hint="default"/>
                <w:highlight w:val="none"/>
                <w:lang w:val="en-US" w:eastAsia="zh-CN"/>
              </w:rPr>
            </w:pPr>
            <w:r>
              <w:rPr>
                <w:rFonts w:hint="default"/>
                <w:highlight w:val="none"/>
                <w:lang w:val="en-US" w:eastAsia="zh-CN"/>
              </w:rPr>
              <w:t>7.56</w:t>
            </w:r>
          </w:p>
        </w:tc>
        <w:tc>
          <w:tcPr>
            <w:tcW w:w="368" w:type="pct"/>
            <w:tcBorders>
              <w:tl2br w:val="nil"/>
              <w:tr2bl w:val="nil"/>
            </w:tcBorders>
            <w:noWrap w:val="0"/>
            <w:vAlign w:val="center"/>
          </w:tcPr>
          <w:p w14:paraId="5F14D577">
            <w:pPr>
              <w:pStyle w:val="58"/>
              <w:bidi w:val="0"/>
              <w:rPr>
                <w:rFonts w:hint="default"/>
                <w:highlight w:val="none"/>
                <w:lang w:val="en-US" w:eastAsia="zh-CN"/>
              </w:rPr>
            </w:pPr>
            <w:r>
              <w:rPr>
                <w:rFonts w:hint="default"/>
                <w:highlight w:val="none"/>
                <w:lang w:val="en-US" w:eastAsia="zh-CN"/>
              </w:rPr>
              <w:t>7.89</w:t>
            </w:r>
          </w:p>
        </w:tc>
        <w:tc>
          <w:tcPr>
            <w:tcW w:w="368" w:type="pct"/>
            <w:tcBorders>
              <w:tl2br w:val="nil"/>
              <w:tr2bl w:val="nil"/>
            </w:tcBorders>
            <w:noWrap w:val="0"/>
            <w:vAlign w:val="center"/>
          </w:tcPr>
          <w:p w14:paraId="4D4D4939">
            <w:pPr>
              <w:pStyle w:val="58"/>
              <w:bidi w:val="0"/>
              <w:rPr>
                <w:rFonts w:hint="default"/>
                <w:highlight w:val="none"/>
                <w:lang w:val="en-US" w:eastAsia="zh-CN"/>
              </w:rPr>
            </w:pPr>
            <w:r>
              <w:rPr>
                <w:rFonts w:hint="default"/>
                <w:highlight w:val="none"/>
                <w:lang w:val="en-US" w:eastAsia="zh-CN"/>
              </w:rPr>
              <w:t>4.07</w:t>
            </w:r>
          </w:p>
        </w:tc>
        <w:tc>
          <w:tcPr>
            <w:tcW w:w="368" w:type="pct"/>
            <w:tcBorders>
              <w:tl2br w:val="nil"/>
              <w:tr2bl w:val="nil"/>
            </w:tcBorders>
            <w:noWrap w:val="0"/>
            <w:vAlign w:val="center"/>
          </w:tcPr>
          <w:p w14:paraId="08B07E8E">
            <w:pPr>
              <w:pStyle w:val="58"/>
              <w:bidi w:val="0"/>
              <w:rPr>
                <w:rFonts w:hint="default"/>
                <w:highlight w:val="none"/>
                <w:lang w:val="en-US" w:eastAsia="zh-CN"/>
              </w:rPr>
            </w:pPr>
            <w:r>
              <w:rPr>
                <w:rFonts w:hint="default"/>
                <w:highlight w:val="none"/>
                <w:lang w:val="en-US" w:eastAsia="zh-CN"/>
              </w:rPr>
              <w:t>3.38</w:t>
            </w:r>
          </w:p>
        </w:tc>
        <w:tc>
          <w:tcPr>
            <w:tcW w:w="328" w:type="pct"/>
            <w:tcBorders>
              <w:tl2br w:val="nil"/>
              <w:tr2bl w:val="nil"/>
            </w:tcBorders>
            <w:noWrap w:val="0"/>
            <w:vAlign w:val="center"/>
          </w:tcPr>
          <w:p w14:paraId="124A9104">
            <w:pPr>
              <w:pStyle w:val="58"/>
              <w:bidi w:val="0"/>
              <w:rPr>
                <w:rFonts w:hint="default"/>
                <w:highlight w:val="none"/>
                <w:lang w:val="en-US" w:eastAsia="zh-CN"/>
              </w:rPr>
            </w:pPr>
            <w:r>
              <w:rPr>
                <w:rFonts w:hint="default"/>
                <w:highlight w:val="none"/>
                <w:lang w:val="en-US" w:eastAsia="zh-CN"/>
              </w:rPr>
              <w:t>3.98</w:t>
            </w:r>
          </w:p>
        </w:tc>
        <w:tc>
          <w:tcPr>
            <w:tcW w:w="328" w:type="pct"/>
            <w:tcBorders>
              <w:tl2br w:val="nil"/>
              <w:tr2bl w:val="nil"/>
            </w:tcBorders>
            <w:noWrap w:val="0"/>
            <w:vAlign w:val="center"/>
          </w:tcPr>
          <w:p w14:paraId="17EBDDC7">
            <w:pPr>
              <w:pStyle w:val="58"/>
              <w:bidi w:val="0"/>
              <w:rPr>
                <w:rFonts w:hint="default"/>
                <w:highlight w:val="none"/>
                <w:lang w:val="en-US" w:eastAsia="zh-CN"/>
              </w:rPr>
            </w:pPr>
            <w:r>
              <w:rPr>
                <w:rFonts w:hint="default"/>
                <w:highlight w:val="none"/>
                <w:lang w:val="en-US" w:eastAsia="zh-CN"/>
              </w:rPr>
              <w:t>6.12</w:t>
            </w:r>
          </w:p>
        </w:tc>
        <w:tc>
          <w:tcPr>
            <w:tcW w:w="328" w:type="pct"/>
            <w:tcBorders>
              <w:tl2br w:val="nil"/>
              <w:tr2bl w:val="nil"/>
            </w:tcBorders>
            <w:noWrap w:val="0"/>
            <w:vAlign w:val="center"/>
          </w:tcPr>
          <w:p w14:paraId="3BFB6699">
            <w:pPr>
              <w:pStyle w:val="58"/>
              <w:bidi w:val="0"/>
              <w:rPr>
                <w:rFonts w:hint="default"/>
                <w:highlight w:val="none"/>
                <w:lang w:val="en-US" w:eastAsia="zh-CN"/>
              </w:rPr>
            </w:pPr>
            <w:r>
              <w:rPr>
                <w:rFonts w:hint="default"/>
                <w:highlight w:val="none"/>
                <w:lang w:val="en-US" w:eastAsia="zh-CN"/>
              </w:rPr>
              <w:t>9.1</w:t>
            </w:r>
          </w:p>
        </w:tc>
        <w:tc>
          <w:tcPr>
            <w:tcW w:w="368" w:type="pct"/>
            <w:tcBorders>
              <w:tl2br w:val="nil"/>
              <w:tr2bl w:val="nil"/>
            </w:tcBorders>
            <w:noWrap w:val="0"/>
            <w:vAlign w:val="center"/>
          </w:tcPr>
          <w:p w14:paraId="5388231C">
            <w:pPr>
              <w:pStyle w:val="58"/>
              <w:bidi w:val="0"/>
              <w:rPr>
                <w:rFonts w:hint="default"/>
                <w:highlight w:val="none"/>
                <w:lang w:val="en-US" w:eastAsia="zh-CN"/>
              </w:rPr>
            </w:pPr>
            <w:r>
              <w:rPr>
                <w:rFonts w:hint="default"/>
                <w:highlight w:val="none"/>
                <w:lang w:val="en-US" w:eastAsia="zh-CN"/>
              </w:rPr>
              <w:t>8.87</w:t>
            </w:r>
          </w:p>
        </w:tc>
        <w:tc>
          <w:tcPr>
            <w:tcW w:w="368" w:type="pct"/>
            <w:tcBorders>
              <w:tl2br w:val="nil"/>
              <w:tr2bl w:val="nil"/>
            </w:tcBorders>
            <w:noWrap w:val="0"/>
            <w:vAlign w:val="center"/>
          </w:tcPr>
          <w:p w14:paraId="6E8D6266">
            <w:pPr>
              <w:pStyle w:val="58"/>
              <w:bidi w:val="0"/>
              <w:rPr>
                <w:rFonts w:hint="default"/>
                <w:highlight w:val="none"/>
                <w:lang w:val="en-US" w:eastAsia="zh-CN"/>
              </w:rPr>
            </w:pPr>
            <w:r>
              <w:rPr>
                <w:rFonts w:hint="default"/>
                <w:highlight w:val="none"/>
                <w:lang w:val="en-US" w:eastAsia="zh-CN"/>
              </w:rPr>
              <w:t>8.16</w:t>
            </w:r>
          </w:p>
        </w:tc>
        <w:tc>
          <w:tcPr>
            <w:tcW w:w="334" w:type="pct"/>
            <w:tcBorders>
              <w:tl2br w:val="nil"/>
              <w:tr2bl w:val="nil"/>
            </w:tcBorders>
            <w:noWrap w:val="0"/>
            <w:vAlign w:val="center"/>
          </w:tcPr>
          <w:p w14:paraId="6184AE28">
            <w:pPr>
              <w:pStyle w:val="58"/>
              <w:bidi w:val="0"/>
              <w:rPr>
                <w:rFonts w:hint="default"/>
                <w:highlight w:val="none"/>
                <w:lang w:val="en-US" w:eastAsia="zh-CN"/>
              </w:rPr>
            </w:pPr>
            <w:r>
              <w:rPr>
                <w:rFonts w:hint="default"/>
                <w:highlight w:val="none"/>
                <w:lang w:val="en-US" w:eastAsia="zh-CN"/>
              </w:rPr>
              <w:t>6.75</w:t>
            </w:r>
          </w:p>
        </w:tc>
      </w:tr>
      <w:tr w14:paraId="4E55A25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403" w:type="pct"/>
            <w:tcBorders>
              <w:tl2br w:val="nil"/>
              <w:tr2bl w:val="nil"/>
            </w:tcBorders>
            <w:noWrap w:val="0"/>
            <w:vAlign w:val="center"/>
          </w:tcPr>
          <w:p w14:paraId="28544AAF">
            <w:pPr>
              <w:pStyle w:val="58"/>
              <w:bidi w:val="0"/>
              <w:rPr>
                <w:rFonts w:hint="default"/>
                <w:highlight w:val="none"/>
                <w:lang w:val="en-US" w:eastAsia="zh-CN"/>
              </w:rPr>
            </w:pPr>
            <w:r>
              <w:rPr>
                <w:rFonts w:hint="default"/>
                <w:highlight w:val="none"/>
                <w:lang w:val="en-US" w:eastAsia="zh-CN"/>
              </w:rPr>
              <w:t>W</w:t>
            </w:r>
          </w:p>
        </w:tc>
        <w:tc>
          <w:tcPr>
            <w:tcW w:w="368" w:type="pct"/>
            <w:tcBorders>
              <w:tl2br w:val="nil"/>
              <w:tr2bl w:val="nil"/>
            </w:tcBorders>
            <w:noWrap w:val="0"/>
            <w:vAlign w:val="center"/>
          </w:tcPr>
          <w:p w14:paraId="46BECFC7">
            <w:pPr>
              <w:pStyle w:val="58"/>
              <w:bidi w:val="0"/>
              <w:rPr>
                <w:rFonts w:hint="default"/>
                <w:highlight w:val="none"/>
                <w:lang w:val="en-US" w:eastAsia="zh-CN"/>
              </w:rPr>
            </w:pPr>
            <w:r>
              <w:rPr>
                <w:rFonts w:hint="default"/>
                <w:highlight w:val="none"/>
                <w:lang w:val="en-US" w:eastAsia="zh-CN"/>
              </w:rPr>
              <w:t>10.12</w:t>
            </w:r>
          </w:p>
        </w:tc>
        <w:tc>
          <w:tcPr>
            <w:tcW w:w="328" w:type="pct"/>
            <w:tcBorders>
              <w:tl2br w:val="nil"/>
              <w:tr2bl w:val="nil"/>
            </w:tcBorders>
            <w:noWrap w:val="0"/>
            <w:vAlign w:val="center"/>
          </w:tcPr>
          <w:p w14:paraId="5033FE2F">
            <w:pPr>
              <w:pStyle w:val="58"/>
              <w:bidi w:val="0"/>
              <w:rPr>
                <w:rFonts w:hint="default"/>
                <w:highlight w:val="none"/>
                <w:lang w:val="en-US" w:eastAsia="zh-CN"/>
              </w:rPr>
            </w:pPr>
            <w:r>
              <w:rPr>
                <w:rFonts w:hint="default"/>
                <w:highlight w:val="none"/>
                <w:lang w:val="en-US" w:eastAsia="zh-CN"/>
              </w:rPr>
              <w:t>6.13</w:t>
            </w:r>
          </w:p>
        </w:tc>
        <w:tc>
          <w:tcPr>
            <w:tcW w:w="368" w:type="pct"/>
            <w:tcBorders>
              <w:tl2br w:val="nil"/>
              <w:tr2bl w:val="nil"/>
            </w:tcBorders>
            <w:noWrap w:val="0"/>
            <w:vAlign w:val="center"/>
          </w:tcPr>
          <w:p w14:paraId="23E9E508">
            <w:pPr>
              <w:pStyle w:val="58"/>
              <w:bidi w:val="0"/>
              <w:rPr>
                <w:rFonts w:hint="default"/>
                <w:highlight w:val="none"/>
                <w:lang w:val="en-US" w:eastAsia="zh-CN"/>
              </w:rPr>
            </w:pPr>
            <w:r>
              <w:rPr>
                <w:rFonts w:hint="default"/>
                <w:highlight w:val="none"/>
                <w:lang w:val="en-US" w:eastAsia="zh-CN"/>
              </w:rPr>
              <w:t>5.59</w:t>
            </w:r>
          </w:p>
        </w:tc>
        <w:tc>
          <w:tcPr>
            <w:tcW w:w="368" w:type="pct"/>
            <w:tcBorders>
              <w:tl2br w:val="nil"/>
              <w:tr2bl w:val="nil"/>
            </w:tcBorders>
            <w:noWrap w:val="0"/>
            <w:vAlign w:val="center"/>
          </w:tcPr>
          <w:p w14:paraId="34E9B569">
            <w:pPr>
              <w:pStyle w:val="58"/>
              <w:bidi w:val="0"/>
              <w:rPr>
                <w:rFonts w:hint="default"/>
                <w:highlight w:val="none"/>
                <w:lang w:val="en-US" w:eastAsia="zh-CN"/>
              </w:rPr>
            </w:pPr>
            <w:r>
              <w:rPr>
                <w:rFonts w:hint="default"/>
                <w:highlight w:val="none"/>
                <w:lang w:val="en-US" w:eastAsia="zh-CN"/>
              </w:rPr>
              <w:t>4.72</w:t>
            </w:r>
          </w:p>
        </w:tc>
        <w:tc>
          <w:tcPr>
            <w:tcW w:w="368" w:type="pct"/>
            <w:tcBorders>
              <w:tl2br w:val="nil"/>
              <w:tr2bl w:val="nil"/>
            </w:tcBorders>
            <w:noWrap w:val="0"/>
            <w:vAlign w:val="center"/>
          </w:tcPr>
          <w:p w14:paraId="0798B0B5">
            <w:pPr>
              <w:pStyle w:val="58"/>
              <w:bidi w:val="0"/>
              <w:rPr>
                <w:rFonts w:hint="default"/>
                <w:highlight w:val="none"/>
                <w:lang w:val="en-US" w:eastAsia="zh-CN"/>
              </w:rPr>
            </w:pPr>
            <w:r>
              <w:rPr>
                <w:rFonts w:hint="default"/>
                <w:highlight w:val="none"/>
                <w:lang w:val="en-US" w:eastAsia="zh-CN"/>
              </w:rPr>
              <w:t>4.84</w:t>
            </w:r>
          </w:p>
        </w:tc>
        <w:tc>
          <w:tcPr>
            <w:tcW w:w="368" w:type="pct"/>
            <w:tcBorders>
              <w:tl2br w:val="nil"/>
              <w:tr2bl w:val="nil"/>
            </w:tcBorders>
            <w:noWrap w:val="0"/>
            <w:vAlign w:val="center"/>
          </w:tcPr>
          <w:p w14:paraId="62311226">
            <w:pPr>
              <w:pStyle w:val="58"/>
              <w:bidi w:val="0"/>
              <w:rPr>
                <w:rFonts w:hint="default"/>
                <w:highlight w:val="none"/>
                <w:lang w:val="en-US" w:eastAsia="zh-CN"/>
              </w:rPr>
            </w:pPr>
            <w:r>
              <w:rPr>
                <w:rFonts w:hint="default"/>
                <w:highlight w:val="none"/>
                <w:lang w:val="en-US" w:eastAsia="zh-CN"/>
              </w:rPr>
              <w:t>2.86</w:t>
            </w:r>
          </w:p>
        </w:tc>
        <w:tc>
          <w:tcPr>
            <w:tcW w:w="368" w:type="pct"/>
            <w:tcBorders>
              <w:tl2br w:val="nil"/>
              <w:tr2bl w:val="nil"/>
            </w:tcBorders>
            <w:noWrap w:val="0"/>
            <w:vAlign w:val="center"/>
          </w:tcPr>
          <w:p w14:paraId="3222BE46">
            <w:pPr>
              <w:pStyle w:val="58"/>
              <w:bidi w:val="0"/>
              <w:rPr>
                <w:rFonts w:hint="default"/>
                <w:highlight w:val="none"/>
                <w:lang w:val="en-US" w:eastAsia="zh-CN"/>
              </w:rPr>
            </w:pPr>
            <w:r>
              <w:rPr>
                <w:rFonts w:hint="default"/>
                <w:highlight w:val="none"/>
                <w:lang w:val="en-US" w:eastAsia="zh-CN"/>
              </w:rPr>
              <w:t>2.44</w:t>
            </w:r>
          </w:p>
        </w:tc>
        <w:tc>
          <w:tcPr>
            <w:tcW w:w="328" w:type="pct"/>
            <w:tcBorders>
              <w:tl2br w:val="nil"/>
              <w:tr2bl w:val="nil"/>
            </w:tcBorders>
            <w:noWrap w:val="0"/>
            <w:vAlign w:val="center"/>
          </w:tcPr>
          <w:p w14:paraId="251FEAF2">
            <w:pPr>
              <w:pStyle w:val="58"/>
              <w:bidi w:val="0"/>
              <w:rPr>
                <w:rFonts w:hint="default"/>
                <w:highlight w:val="none"/>
                <w:lang w:val="en-US" w:eastAsia="zh-CN"/>
              </w:rPr>
            </w:pPr>
            <w:r>
              <w:rPr>
                <w:rFonts w:hint="default"/>
                <w:highlight w:val="none"/>
                <w:lang w:val="en-US" w:eastAsia="zh-CN"/>
              </w:rPr>
              <w:t>3.88</w:t>
            </w:r>
          </w:p>
        </w:tc>
        <w:tc>
          <w:tcPr>
            <w:tcW w:w="328" w:type="pct"/>
            <w:tcBorders>
              <w:tl2br w:val="nil"/>
              <w:tr2bl w:val="nil"/>
            </w:tcBorders>
            <w:noWrap w:val="0"/>
            <w:vAlign w:val="center"/>
          </w:tcPr>
          <w:p w14:paraId="425E0A0B">
            <w:pPr>
              <w:pStyle w:val="58"/>
              <w:bidi w:val="0"/>
              <w:rPr>
                <w:rFonts w:hint="default"/>
                <w:highlight w:val="none"/>
                <w:lang w:val="en-US" w:eastAsia="zh-CN"/>
              </w:rPr>
            </w:pPr>
            <w:r>
              <w:rPr>
                <w:rFonts w:hint="default"/>
                <w:highlight w:val="none"/>
                <w:lang w:val="en-US" w:eastAsia="zh-CN"/>
              </w:rPr>
              <w:t>4.72</w:t>
            </w:r>
          </w:p>
        </w:tc>
        <w:tc>
          <w:tcPr>
            <w:tcW w:w="328" w:type="pct"/>
            <w:tcBorders>
              <w:tl2br w:val="nil"/>
              <w:tr2bl w:val="nil"/>
            </w:tcBorders>
            <w:noWrap w:val="0"/>
            <w:vAlign w:val="center"/>
          </w:tcPr>
          <w:p w14:paraId="2AB2A659">
            <w:pPr>
              <w:pStyle w:val="58"/>
              <w:bidi w:val="0"/>
              <w:rPr>
                <w:rFonts w:hint="default"/>
                <w:highlight w:val="none"/>
                <w:lang w:val="en-US" w:eastAsia="zh-CN"/>
              </w:rPr>
            </w:pPr>
            <w:r>
              <w:rPr>
                <w:rFonts w:hint="default"/>
                <w:highlight w:val="none"/>
                <w:lang w:val="en-US" w:eastAsia="zh-CN"/>
              </w:rPr>
              <w:t>6.8</w:t>
            </w:r>
          </w:p>
        </w:tc>
        <w:tc>
          <w:tcPr>
            <w:tcW w:w="368" w:type="pct"/>
            <w:tcBorders>
              <w:tl2br w:val="nil"/>
              <w:tr2bl w:val="nil"/>
            </w:tcBorders>
            <w:noWrap w:val="0"/>
            <w:vAlign w:val="center"/>
          </w:tcPr>
          <w:p w14:paraId="0BBA5161">
            <w:pPr>
              <w:pStyle w:val="58"/>
              <w:bidi w:val="0"/>
              <w:rPr>
                <w:rFonts w:hint="default"/>
                <w:highlight w:val="none"/>
                <w:lang w:val="en-US" w:eastAsia="zh-CN"/>
              </w:rPr>
            </w:pPr>
            <w:r>
              <w:rPr>
                <w:rFonts w:hint="default"/>
                <w:highlight w:val="none"/>
                <w:lang w:val="en-US" w:eastAsia="zh-CN"/>
              </w:rPr>
              <w:t>9.77</w:t>
            </w:r>
          </w:p>
        </w:tc>
        <w:tc>
          <w:tcPr>
            <w:tcW w:w="368" w:type="pct"/>
            <w:tcBorders>
              <w:tl2br w:val="nil"/>
              <w:tr2bl w:val="nil"/>
            </w:tcBorders>
            <w:noWrap w:val="0"/>
            <w:vAlign w:val="center"/>
          </w:tcPr>
          <w:p w14:paraId="5EC858B4">
            <w:pPr>
              <w:pStyle w:val="58"/>
              <w:bidi w:val="0"/>
              <w:rPr>
                <w:rFonts w:hint="default"/>
                <w:highlight w:val="none"/>
                <w:lang w:val="en-US" w:eastAsia="zh-CN"/>
              </w:rPr>
            </w:pPr>
            <w:r>
              <w:rPr>
                <w:rFonts w:hint="default"/>
                <w:highlight w:val="none"/>
                <w:lang w:val="en-US" w:eastAsia="zh-CN"/>
              </w:rPr>
              <w:t>9.71</w:t>
            </w:r>
          </w:p>
        </w:tc>
        <w:tc>
          <w:tcPr>
            <w:tcW w:w="334" w:type="pct"/>
            <w:tcBorders>
              <w:tl2br w:val="nil"/>
              <w:tr2bl w:val="nil"/>
            </w:tcBorders>
            <w:noWrap w:val="0"/>
            <w:vAlign w:val="center"/>
          </w:tcPr>
          <w:p w14:paraId="67BEE5AF">
            <w:pPr>
              <w:pStyle w:val="58"/>
              <w:bidi w:val="0"/>
              <w:rPr>
                <w:rFonts w:hint="default"/>
                <w:highlight w:val="none"/>
                <w:lang w:val="en-US" w:eastAsia="zh-CN"/>
              </w:rPr>
            </w:pPr>
            <w:r>
              <w:rPr>
                <w:rFonts w:hint="default"/>
                <w:highlight w:val="none"/>
                <w:lang w:val="en-US" w:eastAsia="zh-CN"/>
              </w:rPr>
              <w:t>6.04</w:t>
            </w:r>
          </w:p>
        </w:tc>
      </w:tr>
      <w:tr w14:paraId="5C7FA64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403" w:type="pct"/>
            <w:tcBorders>
              <w:tl2br w:val="nil"/>
              <w:tr2bl w:val="nil"/>
            </w:tcBorders>
            <w:noWrap w:val="0"/>
            <w:vAlign w:val="center"/>
          </w:tcPr>
          <w:p w14:paraId="75F1E077">
            <w:pPr>
              <w:pStyle w:val="58"/>
              <w:bidi w:val="0"/>
              <w:rPr>
                <w:rFonts w:hint="default"/>
                <w:highlight w:val="none"/>
                <w:lang w:val="en-US" w:eastAsia="zh-CN"/>
              </w:rPr>
            </w:pPr>
            <w:r>
              <w:rPr>
                <w:rFonts w:hint="default"/>
                <w:highlight w:val="none"/>
                <w:lang w:val="en-US" w:eastAsia="zh-CN"/>
              </w:rPr>
              <w:t>WNW</w:t>
            </w:r>
          </w:p>
        </w:tc>
        <w:tc>
          <w:tcPr>
            <w:tcW w:w="368" w:type="pct"/>
            <w:tcBorders>
              <w:tl2br w:val="nil"/>
              <w:tr2bl w:val="nil"/>
            </w:tcBorders>
            <w:noWrap w:val="0"/>
            <w:vAlign w:val="center"/>
          </w:tcPr>
          <w:p w14:paraId="15403DC9">
            <w:pPr>
              <w:pStyle w:val="58"/>
              <w:bidi w:val="0"/>
              <w:rPr>
                <w:rFonts w:hint="default"/>
                <w:highlight w:val="none"/>
                <w:lang w:val="en-US" w:eastAsia="zh-CN"/>
              </w:rPr>
            </w:pPr>
            <w:r>
              <w:rPr>
                <w:rFonts w:hint="default"/>
                <w:highlight w:val="none"/>
                <w:lang w:val="en-US" w:eastAsia="zh-CN"/>
              </w:rPr>
              <w:t>12.92</w:t>
            </w:r>
          </w:p>
        </w:tc>
        <w:tc>
          <w:tcPr>
            <w:tcW w:w="328" w:type="pct"/>
            <w:tcBorders>
              <w:tl2br w:val="nil"/>
              <w:tr2bl w:val="nil"/>
            </w:tcBorders>
            <w:noWrap w:val="0"/>
            <w:vAlign w:val="center"/>
          </w:tcPr>
          <w:p w14:paraId="2DCDD2E9">
            <w:pPr>
              <w:pStyle w:val="58"/>
              <w:bidi w:val="0"/>
              <w:rPr>
                <w:rFonts w:hint="default"/>
                <w:highlight w:val="none"/>
                <w:lang w:val="en-US" w:eastAsia="zh-CN"/>
              </w:rPr>
            </w:pPr>
            <w:r>
              <w:rPr>
                <w:rFonts w:hint="default"/>
                <w:highlight w:val="none"/>
                <w:lang w:val="en-US" w:eastAsia="zh-CN"/>
              </w:rPr>
              <w:t>7.88</w:t>
            </w:r>
          </w:p>
        </w:tc>
        <w:tc>
          <w:tcPr>
            <w:tcW w:w="368" w:type="pct"/>
            <w:tcBorders>
              <w:tl2br w:val="nil"/>
              <w:tr2bl w:val="nil"/>
            </w:tcBorders>
            <w:noWrap w:val="0"/>
            <w:vAlign w:val="center"/>
          </w:tcPr>
          <w:p w14:paraId="03DCBCED">
            <w:pPr>
              <w:pStyle w:val="58"/>
              <w:bidi w:val="0"/>
              <w:rPr>
                <w:rFonts w:hint="default"/>
                <w:highlight w:val="none"/>
                <w:lang w:val="en-US" w:eastAsia="zh-CN"/>
              </w:rPr>
            </w:pPr>
            <w:r>
              <w:rPr>
                <w:rFonts w:hint="default"/>
                <w:highlight w:val="none"/>
                <w:lang w:val="en-US" w:eastAsia="zh-CN"/>
              </w:rPr>
              <w:t>6.24</w:t>
            </w:r>
          </w:p>
        </w:tc>
        <w:tc>
          <w:tcPr>
            <w:tcW w:w="368" w:type="pct"/>
            <w:tcBorders>
              <w:tl2br w:val="nil"/>
              <w:tr2bl w:val="nil"/>
            </w:tcBorders>
            <w:noWrap w:val="0"/>
            <w:vAlign w:val="center"/>
          </w:tcPr>
          <w:p w14:paraId="3097A775">
            <w:pPr>
              <w:pStyle w:val="58"/>
              <w:bidi w:val="0"/>
              <w:rPr>
                <w:rFonts w:hint="default"/>
                <w:highlight w:val="none"/>
                <w:lang w:val="en-US" w:eastAsia="zh-CN"/>
              </w:rPr>
            </w:pPr>
            <w:r>
              <w:rPr>
                <w:rFonts w:hint="default"/>
                <w:highlight w:val="none"/>
                <w:lang w:val="en-US" w:eastAsia="zh-CN"/>
              </w:rPr>
              <w:t>6.19</w:t>
            </w:r>
          </w:p>
        </w:tc>
        <w:tc>
          <w:tcPr>
            <w:tcW w:w="368" w:type="pct"/>
            <w:tcBorders>
              <w:tl2br w:val="nil"/>
              <w:tr2bl w:val="nil"/>
            </w:tcBorders>
            <w:noWrap w:val="0"/>
            <w:vAlign w:val="center"/>
          </w:tcPr>
          <w:p w14:paraId="165A8EB4">
            <w:pPr>
              <w:pStyle w:val="58"/>
              <w:bidi w:val="0"/>
              <w:rPr>
                <w:rFonts w:hint="default"/>
                <w:highlight w:val="none"/>
                <w:lang w:val="en-US" w:eastAsia="zh-CN"/>
              </w:rPr>
            </w:pPr>
            <w:r>
              <w:rPr>
                <w:rFonts w:hint="default"/>
                <w:highlight w:val="none"/>
                <w:lang w:val="en-US" w:eastAsia="zh-CN"/>
              </w:rPr>
              <w:t>5.52</w:t>
            </w:r>
          </w:p>
        </w:tc>
        <w:tc>
          <w:tcPr>
            <w:tcW w:w="368" w:type="pct"/>
            <w:tcBorders>
              <w:tl2br w:val="nil"/>
              <w:tr2bl w:val="nil"/>
            </w:tcBorders>
            <w:noWrap w:val="0"/>
            <w:vAlign w:val="center"/>
          </w:tcPr>
          <w:p w14:paraId="739DFCCC">
            <w:pPr>
              <w:pStyle w:val="58"/>
              <w:bidi w:val="0"/>
              <w:rPr>
                <w:rFonts w:hint="default"/>
                <w:highlight w:val="none"/>
                <w:lang w:val="en-US" w:eastAsia="zh-CN"/>
              </w:rPr>
            </w:pPr>
            <w:r>
              <w:rPr>
                <w:rFonts w:hint="default"/>
                <w:highlight w:val="none"/>
                <w:lang w:val="en-US" w:eastAsia="zh-CN"/>
              </w:rPr>
              <w:t>2.63</w:t>
            </w:r>
          </w:p>
        </w:tc>
        <w:tc>
          <w:tcPr>
            <w:tcW w:w="368" w:type="pct"/>
            <w:tcBorders>
              <w:tl2br w:val="nil"/>
              <w:tr2bl w:val="nil"/>
            </w:tcBorders>
            <w:noWrap w:val="0"/>
            <w:vAlign w:val="center"/>
          </w:tcPr>
          <w:p w14:paraId="702610BF">
            <w:pPr>
              <w:pStyle w:val="58"/>
              <w:bidi w:val="0"/>
              <w:rPr>
                <w:rFonts w:hint="default"/>
                <w:highlight w:val="none"/>
                <w:lang w:val="en-US" w:eastAsia="zh-CN"/>
              </w:rPr>
            </w:pPr>
            <w:r>
              <w:rPr>
                <w:rFonts w:hint="default"/>
                <w:highlight w:val="none"/>
                <w:lang w:val="en-US" w:eastAsia="zh-CN"/>
              </w:rPr>
              <w:t>2.56</w:t>
            </w:r>
          </w:p>
        </w:tc>
        <w:tc>
          <w:tcPr>
            <w:tcW w:w="328" w:type="pct"/>
            <w:tcBorders>
              <w:tl2br w:val="nil"/>
              <w:tr2bl w:val="nil"/>
            </w:tcBorders>
            <w:noWrap w:val="0"/>
            <w:vAlign w:val="center"/>
          </w:tcPr>
          <w:p w14:paraId="08ACF84C">
            <w:pPr>
              <w:pStyle w:val="58"/>
              <w:bidi w:val="0"/>
              <w:rPr>
                <w:rFonts w:hint="default"/>
                <w:highlight w:val="none"/>
                <w:lang w:val="en-US" w:eastAsia="zh-CN"/>
              </w:rPr>
            </w:pPr>
            <w:r>
              <w:rPr>
                <w:rFonts w:hint="default"/>
                <w:highlight w:val="none"/>
                <w:lang w:val="en-US" w:eastAsia="zh-CN"/>
              </w:rPr>
              <w:t>4.35</w:t>
            </w:r>
          </w:p>
        </w:tc>
        <w:tc>
          <w:tcPr>
            <w:tcW w:w="328" w:type="pct"/>
            <w:tcBorders>
              <w:tl2br w:val="nil"/>
              <w:tr2bl w:val="nil"/>
            </w:tcBorders>
            <w:noWrap w:val="0"/>
            <w:vAlign w:val="center"/>
          </w:tcPr>
          <w:p w14:paraId="4AAF013D">
            <w:pPr>
              <w:pStyle w:val="58"/>
              <w:bidi w:val="0"/>
              <w:rPr>
                <w:rFonts w:hint="default"/>
                <w:highlight w:val="none"/>
                <w:lang w:val="en-US" w:eastAsia="zh-CN"/>
              </w:rPr>
            </w:pPr>
            <w:r>
              <w:rPr>
                <w:rFonts w:hint="default"/>
                <w:highlight w:val="none"/>
                <w:lang w:val="en-US" w:eastAsia="zh-CN"/>
              </w:rPr>
              <w:t>6.82</w:t>
            </w:r>
          </w:p>
        </w:tc>
        <w:tc>
          <w:tcPr>
            <w:tcW w:w="328" w:type="pct"/>
            <w:tcBorders>
              <w:tl2br w:val="nil"/>
              <w:tr2bl w:val="nil"/>
            </w:tcBorders>
            <w:noWrap w:val="0"/>
            <w:vAlign w:val="center"/>
          </w:tcPr>
          <w:p w14:paraId="6F3F63C2">
            <w:pPr>
              <w:pStyle w:val="58"/>
              <w:bidi w:val="0"/>
              <w:rPr>
                <w:rFonts w:hint="default"/>
                <w:highlight w:val="none"/>
                <w:lang w:val="en-US" w:eastAsia="zh-CN"/>
              </w:rPr>
            </w:pPr>
            <w:r>
              <w:rPr>
                <w:rFonts w:hint="default"/>
                <w:highlight w:val="none"/>
                <w:lang w:val="en-US" w:eastAsia="zh-CN"/>
              </w:rPr>
              <w:t>6.8</w:t>
            </w:r>
          </w:p>
        </w:tc>
        <w:tc>
          <w:tcPr>
            <w:tcW w:w="368" w:type="pct"/>
            <w:tcBorders>
              <w:tl2br w:val="nil"/>
              <w:tr2bl w:val="nil"/>
            </w:tcBorders>
            <w:noWrap w:val="0"/>
            <w:vAlign w:val="center"/>
          </w:tcPr>
          <w:p w14:paraId="0B5C838B">
            <w:pPr>
              <w:pStyle w:val="58"/>
              <w:bidi w:val="0"/>
              <w:rPr>
                <w:rFonts w:hint="default"/>
                <w:highlight w:val="none"/>
                <w:lang w:val="en-US" w:eastAsia="zh-CN"/>
              </w:rPr>
            </w:pPr>
            <w:r>
              <w:rPr>
                <w:rFonts w:hint="default"/>
                <w:highlight w:val="none"/>
                <w:lang w:val="en-US" w:eastAsia="zh-CN"/>
              </w:rPr>
              <w:t>11.12</w:t>
            </w:r>
          </w:p>
        </w:tc>
        <w:tc>
          <w:tcPr>
            <w:tcW w:w="368" w:type="pct"/>
            <w:tcBorders>
              <w:tl2br w:val="nil"/>
              <w:tr2bl w:val="nil"/>
            </w:tcBorders>
            <w:noWrap w:val="0"/>
            <w:vAlign w:val="center"/>
          </w:tcPr>
          <w:p w14:paraId="2EDCA83B">
            <w:pPr>
              <w:pStyle w:val="58"/>
              <w:bidi w:val="0"/>
              <w:rPr>
                <w:rFonts w:hint="default"/>
                <w:highlight w:val="none"/>
                <w:lang w:val="en-US" w:eastAsia="zh-CN"/>
              </w:rPr>
            </w:pPr>
            <w:r>
              <w:rPr>
                <w:rFonts w:hint="default"/>
                <w:highlight w:val="none"/>
                <w:lang w:val="en-US" w:eastAsia="zh-CN"/>
              </w:rPr>
              <w:t>16.06</w:t>
            </w:r>
          </w:p>
        </w:tc>
        <w:tc>
          <w:tcPr>
            <w:tcW w:w="334" w:type="pct"/>
            <w:tcBorders>
              <w:tl2br w:val="nil"/>
              <w:tr2bl w:val="nil"/>
            </w:tcBorders>
            <w:noWrap w:val="0"/>
            <w:vAlign w:val="center"/>
          </w:tcPr>
          <w:p w14:paraId="3D315B61">
            <w:pPr>
              <w:pStyle w:val="58"/>
              <w:bidi w:val="0"/>
              <w:rPr>
                <w:rFonts w:hint="default"/>
                <w:highlight w:val="none"/>
                <w:lang w:val="en-US" w:eastAsia="zh-CN"/>
              </w:rPr>
            </w:pPr>
            <w:r>
              <w:rPr>
                <w:rFonts w:hint="default"/>
                <w:highlight w:val="none"/>
                <w:lang w:val="en-US" w:eastAsia="zh-CN"/>
              </w:rPr>
              <w:t>7.65</w:t>
            </w:r>
          </w:p>
        </w:tc>
      </w:tr>
      <w:tr w14:paraId="6AD6EA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403" w:type="pct"/>
            <w:tcBorders>
              <w:tl2br w:val="nil"/>
              <w:tr2bl w:val="nil"/>
            </w:tcBorders>
            <w:noWrap w:val="0"/>
            <w:vAlign w:val="center"/>
          </w:tcPr>
          <w:p w14:paraId="100F5FCF">
            <w:pPr>
              <w:pStyle w:val="58"/>
              <w:bidi w:val="0"/>
              <w:rPr>
                <w:rFonts w:hint="default"/>
                <w:highlight w:val="none"/>
                <w:lang w:val="en-US" w:eastAsia="zh-CN"/>
              </w:rPr>
            </w:pPr>
            <w:r>
              <w:rPr>
                <w:rFonts w:hint="default"/>
                <w:highlight w:val="none"/>
                <w:lang w:val="en-US" w:eastAsia="zh-CN"/>
              </w:rPr>
              <w:t>NW</w:t>
            </w:r>
          </w:p>
        </w:tc>
        <w:tc>
          <w:tcPr>
            <w:tcW w:w="368" w:type="pct"/>
            <w:tcBorders>
              <w:tl2br w:val="nil"/>
              <w:tr2bl w:val="nil"/>
            </w:tcBorders>
            <w:noWrap w:val="0"/>
            <w:vAlign w:val="center"/>
          </w:tcPr>
          <w:p w14:paraId="290A3E51">
            <w:pPr>
              <w:pStyle w:val="58"/>
              <w:bidi w:val="0"/>
              <w:rPr>
                <w:rFonts w:hint="default"/>
                <w:highlight w:val="none"/>
                <w:lang w:val="en-US" w:eastAsia="zh-CN"/>
              </w:rPr>
            </w:pPr>
            <w:r>
              <w:rPr>
                <w:rFonts w:hint="default"/>
                <w:highlight w:val="none"/>
                <w:lang w:val="en-US" w:eastAsia="zh-CN"/>
              </w:rPr>
              <w:t>9.17</w:t>
            </w:r>
          </w:p>
        </w:tc>
        <w:tc>
          <w:tcPr>
            <w:tcW w:w="328" w:type="pct"/>
            <w:tcBorders>
              <w:tl2br w:val="nil"/>
              <w:tr2bl w:val="nil"/>
            </w:tcBorders>
            <w:noWrap w:val="0"/>
            <w:vAlign w:val="center"/>
          </w:tcPr>
          <w:p w14:paraId="62C53BE0">
            <w:pPr>
              <w:pStyle w:val="58"/>
              <w:bidi w:val="0"/>
              <w:rPr>
                <w:rFonts w:hint="default"/>
                <w:highlight w:val="none"/>
                <w:lang w:val="en-US" w:eastAsia="zh-CN"/>
              </w:rPr>
            </w:pPr>
            <w:r>
              <w:rPr>
                <w:rFonts w:hint="default"/>
                <w:highlight w:val="none"/>
                <w:lang w:val="en-US" w:eastAsia="zh-CN"/>
              </w:rPr>
              <w:t>6.48</w:t>
            </w:r>
          </w:p>
        </w:tc>
        <w:tc>
          <w:tcPr>
            <w:tcW w:w="368" w:type="pct"/>
            <w:tcBorders>
              <w:tl2br w:val="nil"/>
              <w:tr2bl w:val="nil"/>
            </w:tcBorders>
            <w:noWrap w:val="0"/>
            <w:vAlign w:val="center"/>
          </w:tcPr>
          <w:p w14:paraId="54D388B8">
            <w:pPr>
              <w:pStyle w:val="58"/>
              <w:bidi w:val="0"/>
              <w:rPr>
                <w:rFonts w:hint="default"/>
                <w:highlight w:val="none"/>
                <w:lang w:val="en-US" w:eastAsia="zh-CN"/>
              </w:rPr>
            </w:pPr>
            <w:r>
              <w:rPr>
                <w:rFonts w:hint="default"/>
                <w:highlight w:val="none"/>
                <w:lang w:val="en-US" w:eastAsia="zh-CN"/>
              </w:rPr>
              <w:t>5.94</w:t>
            </w:r>
          </w:p>
        </w:tc>
        <w:tc>
          <w:tcPr>
            <w:tcW w:w="368" w:type="pct"/>
            <w:tcBorders>
              <w:tl2br w:val="nil"/>
              <w:tr2bl w:val="nil"/>
            </w:tcBorders>
            <w:noWrap w:val="0"/>
            <w:vAlign w:val="center"/>
          </w:tcPr>
          <w:p w14:paraId="032D8EAC">
            <w:pPr>
              <w:pStyle w:val="58"/>
              <w:bidi w:val="0"/>
              <w:rPr>
                <w:rFonts w:hint="default"/>
                <w:highlight w:val="none"/>
                <w:lang w:val="en-US" w:eastAsia="zh-CN"/>
              </w:rPr>
            </w:pPr>
            <w:r>
              <w:rPr>
                <w:rFonts w:hint="default"/>
                <w:highlight w:val="none"/>
                <w:lang w:val="en-US" w:eastAsia="zh-CN"/>
              </w:rPr>
              <w:t>4.34</w:t>
            </w:r>
          </w:p>
        </w:tc>
        <w:tc>
          <w:tcPr>
            <w:tcW w:w="368" w:type="pct"/>
            <w:tcBorders>
              <w:tl2br w:val="nil"/>
              <w:tr2bl w:val="nil"/>
            </w:tcBorders>
            <w:noWrap w:val="0"/>
            <w:vAlign w:val="center"/>
          </w:tcPr>
          <w:p w14:paraId="79C7A746">
            <w:pPr>
              <w:pStyle w:val="58"/>
              <w:bidi w:val="0"/>
              <w:rPr>
                <w:rFonts w:hint="default"/>
                <w:highlight w:val="none"/>
                <w:lang w:val="en-US" w:eastAsia="zh-CN"/>
              </w:rPr>
            </w:pPr>
            <w:r>
              <w:rPr>
                <w:rFonts w:hint="default"/>
                <w:highlight w:val="none"/>
                <w:lang w:val="en-US" w:eastAsia="zh-CN"/>
              </w:rPr>
              <w:t>4.22</w:t>
            </w:r>
          </w:p>
        </w:tc>
        <w:tc>
          <w:tcPr>
            <w:tcW w:w="368" w:type="pct"/>
            <w:tcBorders>
              <w:tl2br w:val="nil"/>
              <w:tr2bl w:val="nil"/>
            </w:tcBorders>
            <w:noWrap w:val="0"/>
            <w:vAlign w:val="center"/>
          </w:tcPr>
          <w:p w14:paraId="09962EAF">
            <w:pPr>
              <w:pStyle w:val="58"/>
              <w:bidi w:val="0"/>
              <w:rPr>
                <w:rFonts w:hint="default"/>
                <w:highlight w:val="none"/>
                <w:lang w:val="en-US" w:eastAsia="zh-CN"/>
              </w:rPr>
            </w:pPr>
            <w:r>
              <w:rPr>
                <w:rFonts w:hint="default"/>
                <w:highlight w:val="none"/>
                <w:lang w:val="en-US" w:eastAsia="zh-CN"/>
              </w:rPr>
              <w:t>2.81</w:t>
            </w:r>
          </w:p>
        </w:tc>
        <w:tc>
          <w:tcPr>
            <w:tcW w:w="368" w:type="pct"/>
            <w:tcBorders>
              <w:tl2br w:val="nil"/>
              <w:tr2bl w:val="nil"/>
            </w:tcBorders>
            <w:noWrap w:val="0"/>
            <w:vAlign w:val="center"/>
          </w:tcPr>
          <w:p w14:paraId="7EB35F8A">
            <w:pPr>
              <w:pStyle w:val="58"/>
              <w:bidi w:val="0"/>
              <w:rPr>
                <w:rFonts w:hint="default"/>
                <w:highlight w:val="none"/>
                <w:lang w:val="en-US" w:eastAsia="zh-CN"/>
              </w:rPr>
            </w:pPr>
            <w:r>
              <w:rPr>
                <w:rFonts w:hint="default"/>
                <w:highlight w:val="none"/>
                <w:lang w:val="en-US" w:eastAsia="zh-CN"/>
              </w:rPr>
              <w:t>3.14</w:t>
            </w:r>
          </w:p>
        </w:tc>
        <w:tc>
          <w:tcPr>
            <w:tcW w:w="328" w:type="pct"/>
            <w:tcBorders>
              <w:tl2br w:val="nil"/>
              <w:tr2bl w:val="nil"/>
            </w:tcBorders>
            <w:noWrap w:val="0"/>
            <w:vAlign w:val="center"/>
          </w:tcPr>
          <w:p w14:paraId="707020BF">
            <w:pPr>
              <w:pStyle w:val="58"/>
              <w:bidi w:val="0"/>
              <w:rPr>
                <w:rFonts w:hint="default"/>
                <w:highlight w:val="none"/>
                <w:lang w:val="en-US" w:eastAsia="zh-CN"/>
              </w:rPr>
            </w:pPr>
            <w:r>
              <w:rPr>
                <w:rFonts w:hint="default"/>
                <w:highlight w:val="none"/>
                <w:lang w:val="en-US" w:eastAsia="zh-CN"/>
              </w:rPr>
              <w:t>5.2</w:t>
            </w:r>
          </w:p>
        </w:tc>
        <w:tc>
          <w:tcPr>
            <w:tcW w:w="328" w:type="pct"/>
            <w:tcBorders>
              <w:tl2br w:val="nil"/>
              <w:tr2bl w:val="nil"/>
            </w:tcBorders>
            <w:noWrap w:val="0"/>
            <w:vAlign w:val="center"/>
          </w:tcPr>
          <w:p w14:paraId="7DABFE78">
            <w:pPr>
              <w:pStyle w:val="58"/>
              <w:bidi w:val="0"/>
              <w:rPr>
                <w:rFonts w:hint="default"/>
                <w:highlight w:val="none"/>
                <w:lang w:val="en-US" w:eastAsia="zh-CN"/>
              </w:rPr>
            </w:pPr>
            <w:r>
              <w:rPr>
                <w:rFonts w:hint="default"/>
                <w:highlight w:val="none"/>
                <w:lang w:val="en-US" w:eastAsia="zh-CN"/>
              </w:rPr>
              <w:t>5.87</w:t>
            </w:r>
          </w:p>
        </w:tc>
        <w:tc>
          <w:tcPr>
            <w:tcW w:w="328" w:type="pct"/>
            <w:tcBorders>
              <w:tl2br w:val="nil"/>
              <w:tr2bl w:val="nil"/>
            </w:tcBorders>
            <w:noWrap w:val="0"/>
            <w:vAlign w:val="center"/>
          </w:tcPr>
          <w:p w14:paraId="7692EA35">
            <w:pPr>
              <w:pStyle w:val="58"/>
              <w:bidi w:val="0"/>
              <w:rPr>
                <w:rFonts w:hint="default"/>
                <w:highlight w:val="none"/>
                <w:lang w:val="en-US" w:eastAsia="zh-CN"/>
              </w:rPr>
            </w:pPr>
            <w:r>
              <w:rPr>
                <w:rFonts w:hint="default"/>
                <w:highlight w:val="none"/>
                <w:lang w:val="en-US" w:eastAsia="zh-CN"/>
              </w:rPr>
              <w:t>7.25</w:t>
            </w:r>
          </w:p>
        </w:tc>
        <w:tc>
          <w:tcPr>
            <w:tcW w:w="368" w:type="pct"/>
            <w:tcBorders>
              <w:tl2br w:val="nil"/>
              <w:tr2bl w:val="nil"/>
            </w:tcBorders>
            <w:noWrap w:val="0"/>
            <w:vAlign w:val="center"/>
          </w:tcPr>
          <w:p w14:paraId="0C6B3180">
            <w:pPr>
              <w:pStyle w:val="58"/>
              <w:bidi w:val="0"/>
              <w:rPr>
                <w:rFonts w:hint="default"/>
                <w:highlight w:val="none"/>
                <w:lang w:val="en-US" w:eastAsia="zh-CN"/>
              </w:rPr>
            </w:pPr>
            <w:r>
              <w:rPr>
                <w:rFonts w:hint="default"/>
                <w:highlight w:val="none"/>
                <w:lang w:val="en-US" w:eastAsia="zh-CN"/>
              </w:rPr>
              <w:t>9.17</w:t>
            </w:r>
          </w:p>
        </w:tc>
        <w:tc>
          <w:tcPr>
            <w:tcW w:w="368" w:type="pct"/>
            <w:tcBorders>
              <w:tl2br w:val="nil"/>
              <w:tr2bl w:val="nil"/>
            </w:tcBorders>
            <w:noWrap w:val="0"/>
            <w:vAlign w:val="center"/>
          </w:tcPr>
          <w:p w14:paraId="3613464B">
            <w:pPr>
              <w:pStyle w:val="58"/>
              <w:bidi w:val="0"/>
              <w:rPr>
                <w:rFonts w:hint="default"/>
                <w:highlight w:val="none"/>
                <w:lang w:val="en-US" w:eastAsia="zh-CN"/>
              </w:rPr>
            </w:pPr>
            <w:r>
              <w:rPr>
                <w:rFonts w:hint="default"/>
                <w:highlight w:val="none"/>
                <w:lang w:val="en-US" w:eastAsia="zh-CN"/>
              </w:rPr>
              <w:t>12.61</w:t>
            </w:r>
          </w:p>
        </w:tc>
        <w:tc>
          <w:tcPr>
            <w:tcW w:w="334" w:type="pct"/>
            <w:tcBorders>
              <w:tl2br w:val="nil"/>
              <w:tr2bl w:val="nil"/>
            </w:tcBorders>
            <w:noWrap w:val="0"/>
            <w:vAlign w:val="center"/>
          </w:tcPr>
          <w:p w14:paraId="53C88D04">
            <w:pPr>
              <w:pStyle w:val="58"/>
              <w:bidi w:val="0"/>
              <w:rPr>
                <w:rFonts w:hint="default"/>
                <w:highlight w:val="none"/>
                <w:lang w:val="en-US" w:eastAsia="zh-CN"/>
              </w:rPr>
            </w:pPr>
            <w:r>
              <w:rPr>
                <w:rFonts w:hint="default"/>
                <w:highlight w:val="none"/>
                <w:lang w:val="en-US" w:eastAsia="zh-CN"/>
              </w:rPr>
              <w:t>6.49</w:t>
            </w:r>
          </w:p>
        </w:tc>
      </w:tr>
      <w:tr w14:paraId="682586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403" w:type="pct"/>
            <w:tcBorders>
              <w:tl2br w:val="nil"/>
              <w:tr2bl w:val="nil"/>
            </w:tcBorders>
            <w:noWrap w:val="0"/>
            <w:vAlign w:val="center"/>
          </w:tcPr>
          <w:p w14:paraId="368E6C5D">
            <w:pPr>
              <w:pStyle w:val="58"/>
              <w:bidi w:val="0"/>
              <w:rPr>
                <w:rFonts w:hint="default"/>
                <w:highlight w:val="none"/>
                <w:lang w:val="en-US" w:eastAsia="zh-CN"/>
              </w:rPr>
            </w:pPr>
            <w:r>
              <w:rPr>
                <w:rFonts w:hint="default"/>
                <w:highlight w:val="none"/>
                <w:lang w:val="en-US" w:eastAsia="zh-CN"/>
              </w:rPr>
              <w:t>NNW</w:t>
            </w:r>
          </w:p>
        </w:tc>
        <w:tc>
          <w:tcPr>
            <w:tcW w:w="368" w:type="pct"/>
            <w:tcBorders>
              <w:tl2br w:val="nil"/>
              <w:tr2bl w:val="nil"/>
            </w:tcBorders>
            <w:noWrap w:val="0"/>
            <w:vAlign w:val="center"/>
          </w:tcPr>
          <w:p w14:paraId="43E63A3C">
            <w:pPr>
              <w:pStyle w:val="58"/>
              <w:bidi w:val="0"/>
              <w:rPr>
                <w:rFonts w:hint="default"/>
                <w:highlight w:val="none"/>
                <w:lang w:val="en-US" w:eastAsia="zh-CN"/>
              </w:rPr>
            </w:pPr>
            <w:r>
              <w:rPr>
                <w:rFonts w:hint="default"/>
                <w:highlight w:val="none"/>
                <w:lang w:val="en-US" w:eastAsia="zh-CN"/>
              </w:rPr>
              <w:t>5.6</w:t>
            </w:r>
          </w:p>
        </w:tc>
        <w:tc>
          <w:tcPr>
            <w:tcW w:w="328" w:type="pct"/>
            <w:tcBorders>
              <w:tl2br w:val="nil"/>
              <w:tr2bl w:val="nil"/>
            </w:tcBorders>
            <w:noWrap w:val="0"/>
            <w:vAlign w:val="center"/>
          </w:tcPr>
          <w:p w14:paraId="73FF65CC">
            <w:pPr>
              <w:pStyle w:val="58"/>
              <w:bidi w:val="0"/>
              <w:rPr>
                <w:rFonts w:hint="default"/>
                <w:highlight w:val="none"/>
                <w:lang w:val="en-US" w:eastAsia="zh-CN"/>
              </w:rPr>
            </w:pPr>
            <w:r>
              <w:rPr>
                <w:rFonts w:hint="default"/>
                <w:highlight w:val="none"/>
                <w:lang w:val="en-US" w:eastAsia="zh-CN"/>
              </w:rPr>
              <w:t>4.56</w:t>
            </w:r>
          </w:p>
        </w:tc>
        <w:tc>
          <w:tcPr>
            <w:tcW w:w="368" w:type="pct"/>
            <w:tcBorders>
              <w:tl2br w:val="nil"/>
              <w:tr2bl w:val="nil"/>
            </w:tcBorders>
            <w:noWrap w:val="0"/>
            <w:vAlign w:val="center"/>
          </w:tcPr>
          <w:p w14:paraId="0D1AC01B">
            <w:pPr>
              <w:pStyle w:val="58"/>
              <w:bidi w:val="0"/>
              <w:rPr>
                <w:rFonts w:hint="default"/>
                <w:highlight w:val="none"/>
                <w:lang w:val="en-US" w:eastAsia="zh-CN"/>
              </w:rPr>
            </w:pPr>
            <w:r>
              <w:rPr>
                <w:rFonts w:hint="default"/>
                <w:highlight w:val="none"/>
                <w:lang w:val="en-US" w:eastAsia="zh-CN"/>
              </w:rPr>
              <w:t>3.52</w:t>
            </w:r>
          </w:p>
        </w:tc>
        <w:tc>
          <w:tcPr>
            <w:tcW w:w="368" w:type="pct"/>
            <w:tcBorders>
              <w:tl2br w:val="nil"/>
              <w:tr2bl w:val="nil"/>
            </w:tcBorders>
            <w:noWrap w:val="0"/>
            <w:vAlign w:val="center"/>
          </w:tcPr>
          <w:p w14:paraId="27C5DFDA">
            <w:pPr>
              <w:pStyle w:val="58"/>
              <w:bidi w:val="0"/>
              <w:rPr>
                <w:rFonts w:hint="default"/>
                <w:highlight w:val="none"/>
                <w:lang w:val="en-US" w:eastAsia="zh-CN"/>
              </w:rPr>
            </w:pPr>
            <w:r>
              <w:rPr>
                <w:rFonts w:hint="default"/>
                <w:highlight w:val="none"/>
                <w:lang w:val="en-US" w:eastAsia="zh-CN"/>
              </w:rPr>
              <w:t>2.67</w:t>
            </w:r>
          </w:p>
        </w:tc>
        <w:tc>
          <w:tcPr>
            <w:tcW w:w="368" w:type="pct"/>
            <w:tcBorders>
              <w:tl2br w:val="nil"/>
              <w:tr2bl w:val="nil"/>
            </w:tcBorders>
            <w:noWrap w:val="0"/>
            <w:vAlign w:val="center"/>
          </w:tcPr>
          <w:p w14:paraId="6AD25A8C">
            <w:pPr>
              <w:pStyle w:val="58"/>
              <w:bidi w:val="0"/>
              <w:rPr>
                <w:rFonts w:hint="default"/>
                <w:highlight w:val="none"/>
                <w:lang w:val="en-US" w:eastAsia="zh-CN"/>
              </w:rPr>
            </w:pPr>
            <w:r>
              <w:rPr>
                <w:rFonts w:hint="default"/>
                <w:highlight w:val="none"/>
                <w:lang w:val="en-US" w:eastAsia="zh-CN"/>
              </w:rPr>
              <w:t>2.36</w:t>
            </w:r>
          </w:p>
        </w:tc>
        <w:tc>
          <w:tcPr>
            <w:tcW w:w="368" w:type="pct"/>
            <w:tcBorders>
              <w:tl2br w:val="nil"/>
              <w:tr2bl w:val="nil"/>
            </w:tcBorders>
            <w:noWrap w:val="0"/>
            <w:vAlign w:val="center"/>
          </w:tcPr>
          <w:p w14:paraId="3EDBD681">
            <w:pPr>
              <w:pStyle w:val="58"/>
              <w:bidi w:val="0"/>
              <w:rPr>
                <w:rFonts w:hint="default"/>
                <w:highlight w:val="none"/>
                <w:lang w:val="en-US" w:eastAsia="zh-CN"/>
              </w:rPr>
            </w:pPr>
            <w:r>
              <w:rPr>
                <w:rFonts w:hint="default"/>
                <w:highlight w:val="none"/>
                <w:lang w:val="en-US" w:eastAsia="zh-CN"/>
              </w:rPr>
              <w:t>2.36</w:t>
            </w:r>
          </w:p>
        </w:tc>
        <w:tc>
          <w:tcPr>
            <w:tcW w:w="368" w:type="pct"/>
            <w:tcBorders>
              <w:tl2br w:val="nil"/>
              <w:tr2bl w:val="nil"/>
            </w:tcBorders>
            <w:noWrap w:val="0"/>
            <w:vAlign w:val="center"/>
          </w:tcPr>
          <w:p w14:paraId="7DFF171F">
            <w:pPr>
              <w:pStyle w:val="58"/>
              <w:bidi w:val="0"/>
              <w:rPr>
                <w:rFonts w:hint="default"/>
                <w:highlight w:val="none"/>
                <w:lang w:val="en-US" w:eastAsia="zh-CN"/>
              </w:rPr>
            </w:pPr>
            <w:r>
              <w:rPr>
                <w:rFonts w:hint="default"/>
                <w:highlight w:val="none"/>
                <w:lang w:val="en-US" w:eastAsia="zh-CN"/>
              </w:rPr>
              <w:t>2.14</w:t>
            </w:r>
          </w:p>
        </w:tc>
        <w:tc>
          <w:tcPr>
            <w:tcW w:w="328" w:type="pct"/>
            <w:tcBorders>
              <w:tl2br w:val="nil"/>
              <w:tr2bl w:val="nil"/>
            </w:tcBorders>
            <w:noWrap w:val="0"/>
            <w:vAlign w:val="center"/>
          </w:tcPr>
          <w:p w14:paraId="15C61121">
            <w:pPr>
              <w:pStyle w:val="58"/>
              <w:bidi w:val="0"/>
              <w:rPr>
                <w:rFonts w:hint="default"/>
                <w:highlight w:val="none"/>
                <w:lang w:val="en-US" w:eastAsia="zh-CN"/>
              </w:rPr>
            </w:pPr>
            <w:r>
              <w:rPr>
                <w:rFonts w:hint="default"/>
                <w:highlight w:val="none"/>
                <w:lang w:val="en-US" w:eastAsia="zh-CN"/>
              </w:rPr>
              <w:t>3.41</w:t>
            </w:r>
          </w:p>
        </w:tc>
        <w:tc>
          <w:tcPr>
            <w:tcW w:w="328" w:type="pct"/>
            <w:tcBorders>
              <w:tl2br w:val="nil"/>
              <w:tr2bl w:val="nil"/>
            </w:tcBorders>
            <w:noWrap w:val="0"/>
            <w:vAlign w:val="center"/>
          </w:tcPr>
          <w:p w14:paraId="69469071">
            <w:pPr>
              <w:pStyle w:val="58"/>
              <w:bidi w:val="0"/>
              <w:rPr>
                <w:rFonts w:hint="default"/>
                <w:highlight w:val="none"/>
                <w:lang w:val="en-US" w:eastAsia="zh-CN"/>
              </w:rPr>
            </w:pPr>
            <w:r>
              <w:rPr>
                <w:rFonts w:hint="default"/>
                <w:highlight w:val="none"/>
                <w:lang w:val="en-US" w:eastAsia="zh-CN"/>
              </w:rPr>
              <w:t>4.24</w:t>
            </w:r>
          </w:p>
        </w:tc>
        <w:tc>
          <w:tcPr>
            <w:tcW w:w="328" w:type="pct"/>
            <w:tcBorders>
              <w:tl2br w:val="nil"/>
              <w:tr2bl w:val="nil"/>
            </w:tcBorders>
            <w:noWrap w:val="0"/>
            <w:vAlign w:val="center"/>
          </w:tcPr>
          <w:p w14:paraId="1DC0BC13">
            <w:pPr>
              <w:pStyle w:val="58"/>
              <w:bidi w:val="0"/>
              <w:rPr>
                <w:rFonts w:hint="default"/>
                <w:highlight w:val="none"/>
                <w:lang w:val="en-US" w:eastAsia="zh-CN"/>
              </w:rPr>
            </w:pPr>
            <w:r>
              <w:rPr>
                <w:rFonts w:hint="default"/>
                <w:highlight w:val="none"/>
                <w:lang w:val="en-US" w:eastAsia="zh-CN"/>
              </w:rPr>
              <w:t>5.55</w:t>
            </w:r>
          </w:p>
        </w:tc>
        <w:tc>
          <w:tcPr>
            <w:tcW w:w="368" w:type="pct"/>
            <w:tcBorders>
              <w:tl2br w:val="nil"/>
              <w:tr2bl w:val="nil"/>
            </w:tcBorders>
            <w:noWrap w:val="0"/>
            <w:vAlign w:val="center"/>
          </w:tcPr>
          <w:p w14:paraId="77892659">
            <w:pPr>
              <w:pStyle w:val="58"/>
              <w:bidi w:val="0"/>
              <w:rPr>
                <w:rFonts w:hint="default"/>
                <w:highlight w:val="none"/>
                <w:lang w:val="en-US" w:eastAsia="zh-CN"/>
              </w:rPr>
            </w:pPr>
            <w:r>
              <w:rPr>
                <w:rFonts w:hint="default"/>
                <w:highlight w:val="none"/>
                <w:lang w:val="en-US" w:eastAsia="zh-CN"/>
              </w:rPr>
              <w:t>4.87</w:t>
            </w:r>
          </w:p>
        </w:tc>
        <w:tc>
          <w:tcPr>
            <w:tcW w:w="368" w:type="pct"/>
            <w:tcBorders>
              <w:tl2br w:val="nil"/>
              <w:tr2bl w:val="nil"/>
            </w:tcBorders>
            <w:noWrap w:val="0"/>
            <w:vAlign w:val="center"/>
          </w:tcPr>
          <w:p w14:paraId="02E1303B">
            <w:pPr>
              <w:pStyle w:val="58"/>
              <w:bidi w:val="0"/>
              <w:rPr>
                <w:rFonts w:hint="default"/>
                <w:highlight w:val="none"/>
                <w:lang w:val="en-US" w:eastAsia="zh-CN"/>
              </w:rPr>
            </w:pPr>
            <w:r>
              <w:rPr>
                <w:rFonts w:hint="default"/>
                <w:highlight w:val="none"/>
                <w:lang w:val="en-US" w:eastAsia="zh-CN"/>
              </w:rPr>
              <w:t>6.38</w:t>
            </w:r>
          </w:p>
        </w:tc>
        <w:tc>
          <w:tcPr>
            <w:tcW w:w="334" w:type="pct"/>
            <w:tcBorders>
              <w:tl2br w:val="nil"/>
              <w:tr2bl w:val="nil"/>
            </w:tcBorders>
            <w:noWrap w:val="0"/>
            <w:vAlign w:val="center"/>
          </w:tcPr>
          <w:p w14:paraId="274104A8">
            <w:pPr>
              <w:pStyle w:val="58"/>
              <w:bidi w:val="0"/>
              <w:rPr>
                <w:rFonts w:hint="default"/>
                <w:highlight w:val="none"/>
                <w:lang w:val="en-US" w:eastAsia="zh-CN"/>
              </w:rPr>
            </w:pPr>
            <w:r>
              <w:rPr>
                <w:rFonts w:hint="default"/>
                <w:highlight w:val="none"/>
                <w:lang w:val="en-US" w:eastAsia="zh-CN"/>
              </w:rPr>
              <w:t>4.00</w:t>
            </w:r>
          </w:p>
        </w:tc>
      </w:tr>
      <w:tr w14:paraId="23C7E92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jc w:val="center"/>
        </w:trPr>
        <w:tc>
          <w:tcPr>
            <w:tcW w:w="403" w:type="pct"/>
            <w:tcBorders>
              <w:tl2br w:val="nil"/>
              <w:tr2bl w:val="nil"/>
            </w:tcBorders>
            <w:noWrap w:val="0"/>
            <w:vAlign w:val="center"/>
          </w:tcPr>
          <w:p w14:paraId="4472C2AE">
            <w:pPr>
              <w:pStyle w:val="58"/>
              <w:bidi w:val="0"/>
              <w:rPr>
                <w:rFonts w:hint="default"/>
                <w:highlight w:val="none"/>
                <w:lang w:val="en-US" w:eastAsia="zh-CN"/>
              </w:rPr>
            </w:pPr>
            <w:r>
              <w:rPr>
                <w:rFonts w:hint="default"/>
                <w:highlight w:val="none"/>
                <w:lang w:val="en-US" w:eastAsia="zh-CN"/>
              </w:rPr>
              <w:t>C</w:t>
            </w:r>
          </w:p>
        </w:tc>
        <w:tc>
          <w:tcPr>
            <w:tcW w:w="368" w:type="pct"/>
            <w:tcBorders>
              <w:tl2br w:val="nil"/>
              <w:tr2bl w:val="nil"/>
            </w:tcBorders>
            <w:noWrap w:val="0"/>
            <w:vAlign w:val="center"/>
          </w:tcPr>
          <w:p w14:paraId="4FD75DA7">
            <w:pPr>
              <w:pStyle w:val="58"/>
              <w:bidi w:val="0"/>
              <w:rPr>
                <w:rFonts w:hint="default"/>
                <w:highlight w:val="none"/>
                <w:lang w:val="en-US" w:eastAsia="zh-CN"/>
              </w:rPr>
            </w:pPr>
            <w:r>
              <w:rPr>
                <w:rFonts w:hint="default"/>
                <w:highlight w:val="none"/>
                <w:lang w:val="en-US" w:eastAsia="zh-CN"/>
              </w:rPr>
              <w:t>7.09</w:t>
            </w:r>
          </w:p>
        </w:tc>
        <w:tc>
          <w:tcPr>
            <w:tcW w:w="328" w:type="pct"/>
            <w:tcBorders>
              <w:tl2br w:val="nil"/>
              <w:tr2bl w:val="nil"/>
            </w:tcBorders>
            <w:noWrap w:val="0"/>
            <w:vAlign w:val="center"/>
          </w:tcPr>
          <w:p w14:paraId="5417369F">
            <w:pPr>
              <w:pStyle w:val="58"/>
              <w:bidi w:val="0"/>
              <w:rPr>
                <w:rFonts w:hint="default"/>
                <w:highlight w:val="none"/>
                <w:lang w:val="en-US" w:eastAsia="zh-CN"/>
              </w:rPr>
            </w:pPr>
            <w:r>
              <w:rPr>
                <w:rFonts w:hint="default"/>
                <w:highlight w:val="none"/>
                <w:lang w:val="en-US" w:eastAsia="zh-CN"/>
              </w:rPr>
              <w:t>4.84</w:t>
            </w:r>
          </w:p>
        </w:tc>
        <w:tc>
          <w:tcPr>
            <w:tcW w:w="368" w:type="pct"/>
            <w:tcBorders>
              <w:tl2br w:val="nil"/>
              <w:tr2bl w:val="nil"/>
            </w:tcBorders>
            <w:noWrap w:val="0"/>
            <w:vAlign w:val="center"/>
          </w:tcPr>
          <w:p w14:paraId="4E0327B3">
            <w:pPr>
              <w:pStyle w:val="58"/>
              <w:bidi w:val="0"/>
              <w:rPr>
                <w:rFonts w:hint="default"/>
                <w:highlight w:val="none"/>
                <w:lang w:val="en-US" w:eastAsia="zh-CN"/>
              </w:rPr>
            </w:pPr>
            <w:r>
              <w:rPr>
                <w:rFonts w:hint="default"/>
                <w:highlight w:val="none"/>
                <w:lang w:val="en-US" w:eastAsia="zh-CN"/>
              </w:rPr>
              <w:t>3.26</w:t>
            </w:r>
          </w:p>
        </w:tc>
        <w:tc>
          <w:tcPr>
            <w:tcW w:w="368" w:type="pct"/>
            <w:tcBorders>
              <w:tl2br w:val="nil"/>
              <w:tr2bl w:val="nil"/>
            </w:tcBorders>
            <w:noWrap w:val="0"/>
            <w:vAlign w:val="center"/>
          </w:tcPr>
          <w:p w14:paraId="406211AC">
            <w:pPr>
              <w:pStyle w:val="58"/>
              <w:bidi w:val="0"/>
              <w:rPr>
                <w:rFonts w:hint="default"/>
                <w:highlight w:val="none"/>
                <w:lang w:val="en-US" w:eastAsia="zh-CN"/>
              </w:rPr>
            </w:pPr>
            <w:r>
              <w:rPr>
                <w:rFonts w:hint="default"/>
                <w:highlight w:val="none"/>
                <w:lang w:val="en-US" w:eastAsia="zh-CN"/>
              </w:rPr>
              <w:t>1.93</w:t>
            </w:r>
          </w:p>
        </w:tc>
        <w:tc>
          <w:tcPr>
            <w:tcW w:w="368" w:type="pct"/>
            <w:tcBorders>
              <w:tl2br w:val="nil"/>
              <w:tr2bl w:val="nil"/>
            </w:tcBorders>
            <w:noWrap w:val="0"/>
            <w:vAlign w:val="center"/>
          </w:tcPr>
          <w:p w14:paraId="4381B0CF">
            <w:pPr>
              <w:pStyle w:val="58"/>
              <w:bidi w:val="0"/>
              <w:rPr>
                <w:rFonts w:hint="default"/>
                <w:highlight w:val="none"/>
                <w:lang w:val="en-US" w:eastAsia="zh-CN"/>
              </w:rPr>
            </w:pPr>
            <w:r>
              <w:rPr>
                <w:rFonts w:hint="default"/>
                <w:highlight w:val="none"/>
                <w:lang w:val="en-US" w:eastAsia="zh-CN"/>
              </w:rPr>
              <w:t>2.6</w:t>
            </w:r>
          </w:p>
        </w:tc>
        <w:tc>
          <w:tcPr>
            <w:tcW w:w="368" w:type="pct"/>
            <w:tcBorders>
              <w:tl2br w:val="nil"/>
              <w:tr2bl w:val="nil"/>
            </w:tcBorders>
            <w:noWrap w:val="0"/>
            <w:vAlign w:val="center"/>
          </w:tcPr>
          <w:p w14:paraId="5AD2C28C">
            <w:pPr>
              <w:pStyle w:val="58"/>
              <w:bidi w:val="0"/>
              <w:rPr>
                <w:rFonts w:hint="default"/>
                <w:highlight w:val="none"/>
                <w:lang w:val="en-US" w:eastAsia="zh-CN"/>
              </w:rPr>
            </w:pPr>
            <w:r>
              <w:rPr>
                <w:rFonts w:hint="default"/>
                <w:highlight w:val="none"/>
                <w:lang w:val="en-US" w:eastAsia="zh-CN"/>
              </w:rPr>
              <w:t>2.56</w:t>
            </w:r>
          </w:p>
        </w:tc>
        <w:tc>
          <w:tcPr>
            <w:tcW w:w="368" w:type="pct"/>
            <w:tcBorders>
              <w:tl2br w:val="nil"/>
              <w:tr2bl w:val="nil"/>
            </w:tcBorders>
            <w:noWrap w:val="0"/>
            <w:vAlign w:val="center"/>
          </w:tcPr>
          <w:p w14:paraId="07077824">
            <w:pPr>
              <w:pStyle w:val="58"/>
              <w:bidi w:val="0"/>
              <w:rPr>
                <w:rFonts w:hint="default"/>
                <w:highlight w:val="none"/>
                <w:lang w:val="en-US" w:eastAsia="zh-CN"/>
              </w:rPr>
            </w:pPr>
            <w:r>
              <w:rPr>
                <w:rFonts w:hint="default"/>
                <w:highlight w:val="none"/>
                <w:lang w:val="en-US" w:eastAsia="zh-CN"/>
              </w:rPr>
              <w:t>3.58</w:t>
            </w:r>
          </w:p>
        </w:tc>
        <w:tc>
          <w:tcPr>
            <w:tcW w:w="328" w:type="pct"/>
            <w:tcBorders>
              <w:tl2br w:val="nil"/>
              <w:tr2bl w:val="nil"/>
            </w:tcBorders>
            <w:noWrap w:val="0"/>
            <w:vAlign w:val="center"/>
          </w:tcPr>
          <w:p w14:paraId="16EAB8B5">
            <w:pPr>
              <w:pStyle w:val="58"/>
              <w:bidi w:val="0"/>
              <w:rPr>
                <w:rFonts w:hint="default"/>
                <w:highlight w:val="none"/>
                <w:lang w:val="en-US" w:eastAsia="zh-CN"/>
              </w:rPr>
            </w:pPr>
            <w:r>
              <w:rPr>
                <w:rFonts w:hint="default"/>
                <w:highlight w:val="none"/>
                <w:lang w:val="en-US" w:eastAsia="zh-CN"/>
              </w:rPr>
              <w:t>6.04</w:t>
            </w:r>
          </w:p>
        </w:tc>
        <w:tc>
          <w:tcPr>
            <w:tcW w:w="328" w:type="pct"/>
            <w:tcBorders>
              <w:tl2br w:val="nil"/>
              <w:tr2bl w:val="nil"/>
            </w:tcBorders>
            <w:noWrap w:val="0"/>
            <w:vAlign w:val="center"/>
          </w:tcPr>
          <w:p w14:paraId="7A1C4B27">
            <w:pPr>
              <w:pStyle w:val="58"/>
              <w:bidi w:val="0"/>
              <w:rPr>
                <w:rFonts w:hint="default"/>
                <w:highlight w:val="none"/>
                <w:lang w:val="en-US" w:eastAsia="zh-CN"/>
              </w:rPr>
            </w:pPr>
            <w:r>
              <w:rPr>
                <w:rFonts w:hint="default"/>
                <w:highlight w:val="none"/>
                <w:lang w:val="en-US" w:eastAsia="zh-CN"/>
              </w:rPr>
              <w:t>6.89</w:t>
            </w:r>
          </w:p>
        </w:tc>
        <w:tc>
          <w:tcPr>
            <w:tcW w:w="328" w:type="pct"/>
            <w:tcBorders>
              <w:tl2br w:val="nil"/>
              <w:tr2bl w:val="nil"/>
            </w:tcBorders>
            <w:noWrap w:val="0"/>
            <w:vAlign w:val="center"/>
          </w:tcPr>
          <w:p w14:paraId="6F22944E">
            <w:pPr>
              <w:pStyle w:val="58"/>
              <w:bidi w:val="0"/>
              <w:rPr>
                <w:rFonts w:hint="default"/>
                <w:highlight w:val="none"/>
                <w:lang w:val="en-US" w:eastAsia="zh-CN"/>
              </w:rPr>
            </w:pPr>
            <w:r>
              <w:rPr>
                <w:rFonts w:hint="default"/>
                <w:highlight w:val="none"/>
                <w:lang w:val="en-US" w:eastAsia="zh-CN"/>
              </w:rPr>
              <w:t>8.89</w:t>
            </w:r>
          </w:p>
        </w:tc>
        <w:tc>
          <w:tcPr>
            <w:tcW w:w="368" w:type="pct"/>
            <w:tcBorders>
              <w:tl2br w:val="nil"/>
              <w:tr2bl w:val="nil"/>
            </w:tcBorders>
            <w:noWrap w:val="0"/>
            <w:vAlign w:val="center"/>
          </w:tcPr>
          <w:p w14:paraId="074D5851">
            <w:pPr>
              <w:pStyle w:val="58"/>
              <w:bidi w:val="0"/>
              <w:rPr>
                <w:rFonts w:hint="default"/>
                <w:highlight w:val="none"/>
                <w:lang w:val="en-US" w:eastAsia="zh-CN"/>
              </w:rPr>
            </w:pPr>
            <w:r>
              <w:rPr>
                <w:rFonts w:hint="default"/>
                <w:highlight w:val="none"/>
                <w:lang w:val="en-US" w:eastAsia="zh-CN"/>
              </w:rPr>
              <w:t>7.05</w:t>
            </w:r>
          </w:p>
        </w:tc>
        <w:tc>
          <w:tcPr>
            <w:tcW w:w="368" w:type="pct"/>
            <w:tcBorders>
              <w:tl2br w:val="nil"/>
              <w:tr2bl w:val="nil"/>
            </w:tcBorders>
            <w:noWrap w:val="0"/>
            <w:vAlign w:val="center"/>
          </w:tcPr>
          <w:p w14:paraId="3DBE3B4B">
            <w:pPr>
              <w:pStyle w:val="58"/>
              <w:bidi w:val="0"/>
              <w:rPr>
                <w:rFonts w:hint="default"/>
                <w:highlight w:val="none"/>
                <w:lang w:val="en-US" w:eastAsia="zh-CN"/>
              </w:rPr>
            </w:pPr>
            <w:r>
              <w:rPr>
                <w:rFonts w:hint="default"/>
                <w:highlight w:val="none"/>
                <w:lang w:val="en-US" w:eastAsia="zh-CN"/>
              </w:rPr>
              <w:t>7.71</w:t>
            </w:r>
          </w:p>
        </w:tc>
        <w:tc>
          <w:tcPr>
            <w:tcW w:w="334" w:type="pct"/>
            <w:tcBorders>
              <w:tl2br w:val="nil"/>
              <w:tr2bl w:val="nil"/>
            </w:tcBorders>
            <w:noWrap w:val="0"/>
            <w:vAlign w:val="center"/>
          </w:tcPr>
          <w:p w14:paraId="6BF4FFFE">
            <w:pPr>
              <w:pStyle w:val="58"/>
              <w:bidi w:val="0"/>
              <w:rPr>
                <w:rFonts w:hint="default"/>
                <w:highlight w:val="none"/>
                <w:lang w:val="en-US" w:eastAsia="zh-CN"/>
              </w:rPr>
            </w:pPr>
            <w:r>
              <w:rPr>
                <w:rFonts w:hint="default"/>
                <w:highlight w:val="none"/>
                <w:lang w:val="en-US" w:eastAsia="zh-CN"/>
              </w:rPr>
              <w:t>4.65</w:t>
            </w:r>
          </w:p>
        </w:tc>
      </w:tr>
    </w:tbl>
    <w:p w14:paraId="5D39DF60">
      <w:pPr>
        <w:pageBreakBefore w:val="0"/>
        <w:widowControl w:val="0"/>
        <w:kinsoku/>
        <w:wordWrap/>
        <w:overflowPunct/>
        <w:topLinePunct w:val="0"/>
        <w:bidi w:val="0"/>
        <w:adjustRightInd w:val="0"/>
        <w:snapToGrid w:val="0"/>
        <w:spacing w:line="480" w:lineRule="exact"/>
        <w:ind w:firstLine="482"/>
        <w:textAlignment w:val="auto"/>
        <w:rPr>
          <w:rFonts w:hint="default" w:ascii="Times New Roman" w:hAnsi="Times New Roman" w:eastAsia="宋体" w:cs="Times New Roman"/>
          <w:color w:val="000000" w:themeColor="text1"/>
          <w:sz w:val="24"/>
          <w:szCs w:val="28"/>
          <w:highlight w:val="none"/>
          <w14:textFill>
            <w14:solidFill>
              <w14:schemeClr w14:val="tx1"/>
            </w14:solidFill>
          </w14:textFill>
        </w:rPr>
      </w:pPr>
    </w:p>
    <w:p w14:paraId="667DAED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4"/>
          <w:szCs w:val="28"/>
          <w:highlight w:val="none"/>
          <w14:textFill>
            <w14:solidFill>
              <w14:schemeClr w14:val="tx1"/>
            </w14:solidFill>
          </w14:textFill>
        </w:rPr>
      </w:pPr>
      <w:r>
        <w:rPr>
          <w:rFonts w:hint="default" w:ascii="Times New Roman" w:hAnsi="Times New Roman" w:eastAsia="宋体" w:cs="Times New Roman"/>
          <w:color w:val="000000" w:themeColor="text1"/>
          <w:sz w:val="24"/>
          <w:szCs w:val="28"/>
          <w:highlight w:val="none"/>
          <w14:textFill>
            <w14:solidFill>
              <w14:schemeClr w14:val="tx1"/>
            </w14:solidFill>
          </w14:textFill>
        </w:rPr>
        <w:drawing>
          <wp:inline distT="0" distB="0" distL="114300" distR="114300">
            <wp:extent cx="5067300" cy="5600700"/>
            <wp:effectExtent l="0" t="0" r="0" b="0"/>
            <wp:docPr id="1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6"/>
                    <pic:cNvPicPr>
                      <a:picLocks noChangeAspect="1"/>
                    </pic:cNvPicPr>
                  </pic:nvPicPr>
                  <pic:blipFill>
                    <a:blip r:embed="rId73"/>
                    <a:stretch>
                      <a:fillRect/>
                    </a:stretch>
                  </pic:blipFill>
                  <pic:spPr>
                    <a:xfrm>
                      <a:off x="0" y="0"/>
                      <a:ext cx="5067300" cy="5600700"/>
                    </a:xfrm>
                    <a:prstGeom prst="rect">
                      <a:avLst/>
                    </a:prstGeom>
                    <a:noFill/>
                    <a:ln>
                      <a:noFill/>
                    </a:ln>
                  </pic:spPr>
                </pic:pic>
              </a:graphicData>
            </a:graphic>
          </wp:inline>
        </w:drawing>
      </w:r>
    </w:p>
    <w:p w14:paraId="7DA83D50">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近20年风频玫瑰图</w:t>
      </w:r>
    </w:p>
    <w:p w14:paraId="0CA9DEC3">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auto"/>
          <w:spacing w:val="0"/>
          <w:kern w:val="0"/>
          <w:sz w:val="24"/>
          <w:szCs w:val="24"/>
          <w:highlight w:val="none"/>
        </w:rPr>
        <w:sectPr>
          <w:pgSz w:w="11906" w:h="16838"/>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r>
        <w:rPr>
          <w:rFonts w:hint="default" w:ascii="Times New Roman" w:hAnsi="Times New Roman" w:eastAsia="宋体" w:cs="Times New Roman"/>
          <w:color w:val="auto"/>
          <w:spacing w:val="0"/>
          <w:kern w:val="0"/>
          <w:sz w:val="24"/>
          <w:szCs w:val="24"/>
          <w:highlight w:val="none"/>
        </w:rPr>
        <w:t>由上表及图可知，该地区近多年资料统计结果表明，</w:t>
      </w:r>
      <w:r>
        <w:rPr>
          <w:rFonts w:hint="default" w:ascii="Times New Roman" w:hAnsi="Times New Roman" w:eastAsia="宋体" w:cs="Times New Roman"/>
          <w:color w:val="auto"/>
          <w:spacing w:val="0"/>
          <w:kern w:val="0"/>
          <w:sz w:val="24"/>
          <w:szCs w:val="24"/>
          <w:highlight w:val="none"/>
          <w:lang w:val="en-US" w:eastAsia="zh-CN"/>
        </w:rPr>
        <w:t>该地区主导风向不明显</w:t>
      </w:r>
      <w:r>
        <w:rPr>
          <w:rFonts w:hint="default" w:ascii="Times New Roman" w:hAnsi="Times New Roman" w:eastAsia="宋体" w:cs="Times New Roman"/>
          <w:color w:val="auto"/>
          <w:spacing w:val="0"/>
          <w:kern w:val="0"/>
          <w:sz w:val="24"/>
          <w:szCs w:val="24"/>
          <w:highlight w:val="none"/>
        </w:rPr>
        <w:t>。</w:t>
      </w:r>
    </w:p>
    <w:bookmarkEnd w:id="311"/>
    <w:p w14:paraId="14E642DF">
      <w:pPr>
        <w:pStyle w:val="8"/>
        <w:keepNext w:val="0"/>
        <w:keepLines w:val="0"/>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5.2.1.2</w:t>
      </w:r>
      <w:r>
        <w:rPr>
          <w:rFonts w:hint="default" w:ascii="Times New Roman" w:hAnsi="Times New Roman" w:eastAsia="宋体" w:cs="Times New Roman"/>
          <w:color w:val="000000" w:themeColor="text1"/>
          <w:highlight w:val="none"/>
          <w14:textFill>
            <w14:solidFill>
              <w14:schemeClr w14:val="tx1"/>
            </w14:solidFill>
          </w14:textFill>
        </w:rPr>
        <w:t>环境空气影响预测与评价</w:t>
      </w:r>
    </w:p>
    <w:p w14:paraId="4741521A">
      <w:pPr>
        <w:spacing w:line="480" w:lineRule="exact"/>
        <w:ind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①预测因子</w:t>
      </w:r>
    </w:p>
    <w:p w14:paraId="524F4859">
      <w:pPr>
        <w:spacing w:line="480" w:lineRule="exact"/>
        <w:ind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通过初步工程分析选取如下污染源和评价因子：</w:t>
      </w:r>
      <w:r>
        <w:rPr>
          <w:rFonts w:hint="eastAsia" w:cs="Times New Roman"/>
          <w:color w:val="000000" w:themeColor="text1"/>
          <w:sz w:val="24"/>
          <w:szCs w:val="24"/>
          <w:highlight w:val="none"/>
          <w:vertAlign w:val="baseline"/>
          <w:lang w:val="en-US" w:eastAsia="zh-CN"/>
          <w14:textFill>
            <w14:solidFill>
              <w14:schemeClr w14:val="tx1"/>
            </w14:solidFill>
          </w14:textFill>
        </w:rPr>
        <w:t>NH</w:t>
      </w:r>
      <w:r>
        <w:rPr>
          <w:rFonts w:hint="eastAsia" w:cs="Times New Roman"/>
          <w:color w:val="000000" w:themeColor="text1"/>
          <w:sz w:val="24"/>
          <w:szCs w:val="24"/>
          <w:highlight w:val="none"/>
          <w:vertAlign w:val="sub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t>、</w:t>
      </w:r>
      <w:r>
        <w:rPr>
          <w:rFonts w:hint="eastAsia" w:cs="Times New Roman"/>
          <w:color w:val="000000" w:themeColor="text1"/>
          <w:sz w:val="24"/>
          <w:szCs w:val="24"/>
          <w:highlight w:val="none"/>
          <w:vertAlign w:val="baseline"/>
          <w:lang w:val="en-US" w:eastAsia="zh-CN"/>
          <w14:textFill>
            <w14:solidFill>
              <w14:schemeClr w14:val="tx1"/>
            </w14:solidFill>
          </w14:textFill>
        </w:rPr>
        <w:t>H</w:t>
      </w:r>
      <w:r>
        <w:rPr>
          <w:rFonts w:hint="eastAsia" w:cs="Times New Roman"/>
          <w:color w:val="000000" w:themeColor="text1"/>
          <w:sz w:val="24"/>
          <w:szCs w:val="24"/>
          <w:highlight w:val="none"/>
          <w:vertAlign w:val="subscript"/>
          <w:lang w:val="en-US" w:eastAsia="zh-CN"/>
          <w14:textFill>
            <w14:solidFill>
              <w14:schemeClr w14:val="tx1"/>
            </w14:solidFill>
          </w14:textFill>
        </w:rPr>
        <w:t>2</w:t>
      </w:r>
      <w:r>
        <w:rPr>
          <w:rFonts w:hint="eastAsia" w:cs="Times New Roman"/>
          <w:color w:val="000000" w:themeColor="text1"/>
          <w:sz w:val="24"/>
          <w:szCs w:val="24"/>
          <w:highlight w:val="none"/>
          <w:vertAlign w:val="baseline"/>
          <w:lang w:val="en-US" w:eastAsia="zh-CN"/>
          <w14:textFill>
            <w14:solidFill>
              <w14:schemeClr w14:val="tx1"/>
            </w14:solidFill>
          </w14:textFill>
        </w:rPr>
        <w:t>S</w:t>
      </w:r>
      <w:r>
        <w:rPr>
          <w:rFonts w:hint="default" w:ascii="Times New Roman" w:hAnsi="Times New Roman" w:eastAsia="宋体" w:cs="Times New Roman"/>
          <w:color w:val="000000" w:themeColor="text1"/>
          <w:sz w:val="24"/>
          <w:szCs w:val="24"/>
          <w:highlight w:val="none"/>
          <w14:textFill>
            <w14:solidFill>
              <w14:schemeClr w14:val="tx1"/>
            </w14:solidFill>
          </w14:textFill>
        </w:rPr>
        <w:t>。具体源强参数见表5.2-</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7</w:t>
      </w:r>
      <w:r>
        <w:rPr>
          <w:rFonts w:hint="default" w:ascii="Times New Roman" w:hAnsi="Times New Roman" w:eastAsia="宋体" w:cs="Times New Roman"/>
          <w:color w:val="000000" w:themeColor="text1"/>
          <w:sz w:val="24"/>
          <w:szCs w:val="24"/>
          <w:highlight w:val="none"/>
          <w14:textFill>
            <w14:solidFill>
              <w14:schemeClr w14:val="tx1"/>
            </w14:solidFill>
          </w14:textFill>
        </w:rPr>
        <w:t>和5.2-</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8</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03843A83">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lang w:eastAsia="zh-CN"/>
        </w:rPr>
        <w:t>　</w:t>
      </w:r>
      <w:r>
        <w:rPr>
          <w:rFonts w:hint="default" w:ascii="Times New Roman" w:hAnsi="Times New Roman" w:eastAsia="宋体" w:cs="Times New Roman"/>
          <w:b/>
          <w:bCs/>
          <w:color w:val="auto"/>
          <w:sz w:val="24"/>
          <w:highlight w:val="none"/>
        </w:rPr>
        <w:t>大气污染物有组织排放</w:t>
      </w:r>
      <w:r>
        <w:rPr>
          <w:rFonts w:hint="default" w:ascii="Times New Roman" w:hAnsi="Times New Roman" w:eastAsia="宋体" w:cs="Times New Roman"/>
          <w:b/>
          <w:bCs/>
          <w:color w:val="auto"/>
          <w:sz w:val="24"/>
          <w:highlight w:val="none"/>
          <w:lang w:eastAsia="zh-CN"/>
        </w:rPr>
        <w:t>调查情况一览</w:t>
      </w:r>
      <w:r>
        <w:rPr>
          <w:rFonts w:hint="default" w:ascii="Times New Roman" w:hAnsi="Times New Roman" w:eastAsia="宋体" w:cs="Times New Roman"/>
          <w:b/>
          <w:bCs/>
          <w:color w:val="auto"/>
          <w:sz w:val="24"/>
          <w:highlight w:val="none"/>
        </w:rPr>
        <w:t>表</w:t>
      </w:r>
      <w:r>
        <w:rPr>
          <w:rFonts w:hint="default" w:ascii="Times New Roman" w:hAnsi="Times New Roman" w:eastAsia="宋体" w:cs="Times New Roman"/>
          <w:b/>
          <w:bCs/>
          <w:color w:val="auto"/>
          <w:sz w:val="24"/>
          <w:highlight w:val="none"/>
          <w:lang w:eastAsia="zh-CN"/>
        </w:rPr>
        <w:t>（</w:t>
      </w:r>
      <w:r>
        <w:rPr>
          <w:rFonts w:hint="default" w:ascii="Times New Roman" w:hAnsi="Times New Roman" w:eastAsia="宋体" w:cs="Times New Roman"/>
          <w:b/>
          <w:bCs/>
          <w:color w:val="auto"/>
          <w:sz w:val="24"/>
          <w:highlight w:val="none"/>
        </w:rPr>
        <w:t>点源</w:t>
      </w:r>
      <w:r>
        <w:rPr>
          <w:rFonts w:hint="default" w:ascii="Times New Roman" w:hAnsi="Times New Roman" w:eastAsia="宋体" w:cs="Times New Roman"/>
          <w:b/>
          <w:bCs/>
          <w:color w:val="auto"/>
          <w:sz w:val="24"/>
          <w:highlight w:val="none"/>
          <w:lang w:eastAsia="zh-CN"/>
        </w:rPr>
        <w:t>）</w:t>
      </w:r>
    </w:p>
    <w:tbl>
      <w:tblPr>
        <w:tblStyle w:val="48"/>
        <w:tblW w:w="1405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
      <w:tblGrid>
        <w:gridCol w:w="897"/>
        <w:gridCol w:w="1747"/>
        <w:gridCol w:w="1230"/>
        <w:gridCol w:w="1125"/>
        <w:gridCol w:w="960"/>
        <w:gridCol w:w="585"/>
        <w:gridCol w:w="660"/>
        <w:gridCol w:w="945"/>
        <w:gridCol w:w="1005"/>
        <w:gridCol w:w="1140"/>
        <w:gridCol w:w="975"/>
        <w:gridCol w:w="1170"/>
        <w:gridCol w:w="915"/>
        <w:gridCol w:w="703"/>
      </w:tblGrid>
      <w:tr w14:paraId="575EBE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290" w:hRule="atLeast"/>
          <w:jc w:val="center"/>
        </w:trPr>
        <w:tc>
          <w:tcPr>
            <w:tcW w:w="897" w:type="dxa"/>
            <w:vMerge w:val="restart"/>
            <w:tcBorders>
              <w:tl2br w:val="nil"/>
              <w:tr2bl w:val="nil"/>
            </w:tcBorders>
            <w:noWrap w:val="0"/>
            <w:vAlign w:val="center"/>
          </w:tcPr>
          <w:p w14:paraId="2DFC8FB1">
            <w:pPr>
              <w:pStyle w:val="58"/>
              <w:bidi w:val="0"/>
              <w:rPr>
                <w:rFonts w:hint="default"/>
                <w:highlight w:val="none"/>
                <w:lang w:val="en-US" w:eastAsia="zh-CN"/>
              </w:rPr>
            </w:pPr>
            <w:r>
              <w:rPr>
                <w:rFonts w:hint="default"/>
                <w:highlight w:val="none"/>
                <w:lang w:eastAsia="zh-CN"/>
              </w:rPr>
              <w:t>排气筒编号</w:t>
            </w:r>
          </w:p>
        </w:tc>
        <w:tc>
          <w:tcPr>
            <w:tcW w:w="1747" w:type="dxa"/>
            <w:vMerge w:val="restart"/>
            <w:tcBorders>
              <w:tl2br w:val="nil"/>
              <w:tr2bl w:val="nil"/>
            </w:tcBorders>
            <w:noWrap w:val="0"/>
            <w:vAlign w:val="center"/>
          </w:tcPr>
          <w:p w14:paraId="36CF0EFF">
            <w:pPr>
              <w:pStyle w:val="58"/>
              <w:bidi w:val="0"/>
              <w:rPr>
                <w:rFonts w:hint="default"/>
                <w:highlight w:val="none"/>
                <w:lang w:val="en-US" w:eastAsia="zh-CN"/>
              </w:rPr>
            </w:pPr>
            <w:r>
              <w:rPr>
                <w:rFonts w:hint="default"/>
                <w:highlight w:val="none"/>
                <w:lang w:val="en-US" w:eastAsia="zh-CN"/>
              </w:rPr>
              <w:t>名称</w:t>
            </w:r>
          </w:p>
        </w:tc>
        <w:tc>
          <w:tcPr>
            <w:tcW w:w="2355" w:type="dxa"/>
            <w:gridSpan w:val="2"/>
            <w:tcBorders>
              <w:tl2br w:val="nil"/>
              <w:tr2bl w:val="nil"/>
            </w:tcBorders>
            <w:noWrap w:val="0"/>
            <w:vAlign w:val="center"/>
          </w:tcPr>
          <w:p w14:paraId="16CDF24B">
            <w:pPr>
              <w:pStyle w:val="58"/>
              <w:bidi w:val="0"/>
              <w:rPr>
                <w:rFonts w:hint="default"/>
                <w:highlight w:val="none"/>
                <w:lang w:val="en-US" w:eastAsia="zh-CN"/>
              </w:rPr>
            </w:pPr>
            <w:r>
              <w:rPr>
                <w:rFonts w:hint="default"/>
                <w:highlight w:val="none"/>
              </w:rPr>
              <w:t>坐标(o)</w:t>
            </w:r>
          </w:p>
        </w:tc>
        <w:tc>
          <w:tcPr>
            <w:tcW w:w="960" w:type="dxa"/>
            <w:vMerge w:val="restart"/>
            <w:tcBorders>
              <w:tl2br w:val="nil"/>
              <w:tr2bl w:val="nil"/>
            </w:tcBorders>
            <w:noWrap w:val="0"/>
            <w:vAlign w:val="center"/>
          </w:tcPr>
          <w:p w14:paraId="557C28F4">
            <w:pPr>
              <w:pStyle w:val="58"/>
              <w:bidi w:val="0"/>
              <w:rPr>
                <w:rFonts w:hint="default"/>
                <w:highlight w:val="none"/>
              </w:rPr>
            </w:pPr>
            <w:r>
              <w:rPr>
                <w:rFonts w:hint="default"/>
                <w:highlight w:val="none"/>
                <w:lang w:eastAsia="zh-CN"/>
              </w:rPr>
              <w:t>排气筒底部海拔高度</w:t>
            </w:r>
            <w:r>
              <w:rPr>
                <w:rFonts w:hint="default"/>
                <w:highlight w:val="none"/>
                <w:lang w:val="en-US" w:eastAsia="zh-CN"/>
              </w:rPr>
              <w:t>/m</w:t>
            </w:r>
          </w:p>
        </w:tc>
        <w:tc>
          <w:tcPr>
            <w:tcW w:w="3195" w:type="dxa"/>
            <w:gridSpan w:val="4"/>
            <w:tcBorders>
              <w:tl2br w:val="nil"/>
              <w:tr2bl w:val="nil"/>
            </w:tcBorders>
            <w:noWrap w:val="0"/>
            <w:vAlign w:val="center"/>
          </w:tcPr>
          <w:p w14:paraId="6E37F5F0">
            <w:pPr>
              <w:pStyle w:val="58"/>
              <w:bidi w:val="0"/>
              <w:rPr>
                <w:rFonts w:hint="default"/>
                <w:highlight w:val="none"/>
              </w:rPr>
            </w:pPr>
            <w:r>
              <w:rPr>
                <w:rFonts w:hint="default"/>
                <w:highlight w:val="none"/>
              </w:rPr>
              <w:t>排气筒参数</w:t>
            </w:r>
          </w:p>
        </w:tc>
        <w:tc>
          <w:tcPr>
            <w:tcW w:w="1140" w:type="dxa"/>
            <w:vMerge w:val="restart"/>
            <w:tcBorders>
              <w:tl2br w:val="nil"/>
              <w:tr2bl w:val="nil"/>
            </w:tcBorders>
            <w:noWrap w:val="0"/>
            <w:vAlign w:val="center"/>
          </w:tcPr>
          <w:p w14:paraId="681D3592">
            <w:pPr>
              <w:pStyle w:val="58"/>
              <w:bidi w:val="0"/>
              <w:rPr>
                <w:rFonts w:hint="default"/>
                <w:highlight w:val="none"/>
                <w:lang w:eastAsia="zh-CN"/>
              </w:rPr>
            </w:pPr>
            <w:r>
              <w:rPr>
                <w:rFonts w:hint="default"/>
                <w:highlight w:val="none"/>
                <w:lang w:eastAsia="zh-CN"/>
              </w:rPr>
              <w:t>年排放小时数（</w:t>
            </w:r>
            <w:r>
              <w:rPr>
                <w:rFonts w:hint="default"/>
                <w:highlight w:val="none"/>
                <w:lang w:val="en-US" w:eastAsia="zh-CN"/>
              </w:rPr>
              <w:t>h</w:t>
            </w:r>
            <w:r>
              <w:rPr>
                <w:rFonts w:hint="default"/>
                <w:highlight w:val="none"/>
                <w:lang w:eastAsia="zh-CN"/>
              </w:rPr>
              <w:t>）</w:t>
            </w:r>
          </w:p>
        </w:tc>
        <w:tc>
          <w:tcPr>
            <w:tcW w:w="975" w:type="dxa"/>
            <w:vMerge w:val="restart"/>
            <w:tcBorders>
              <w:tl2br w:val="nil"/>
              <w:tr2bl w:val="nil"/>
            </w:tcBorders>
            <w:noWrap w:val="0"/>
            <w:vAlign w:val="center"/>
          </w:tcPr>
          <w:p w14:paraId="34888588">
            <w:pPr>
              <w:pStyle w:val="58"/>
              <w:bidi w:val="0"/>
              <w:rPr>
                <w:rFonts w:hint="default"/>
                <w:highlight w:val="none"/>
                <w:lang w:eastAsia="zh-CN"/>
              </w:rPr>
            </w:pPr>
            <w:r>
              <w:rPr>
                <w:rFonts w:hint="default"/>
                <w:highlight w:val="none"/>
                <w:lang w:eastAsia="zh-CN"/>
              </w:rPr>
              <w:t>排放工况</w:t>
            </w:r>
          </w:p>
        </w:tc>
        <w:tc>
          <w:tcPr>
            <w:tcW w:w="1170" w:type="dxa"/>
            <w:vMerge w:val="restart"/>
            <w:tcBorders>
              <w:tl2br w:val="nil"/>
              <w:tr2bl w:val="nil"/>
            </w:tcBorders>
            <w:noWrap w:val="0"/>
            <w:vAlign w:val="center"/>
          </w:tcPr>
          <w:p w14:paraId="1CC22572">
            <w:pPr>
              <w:pStyle w:val="58"/>
              <w:bidi w:val="0"/>
              <w:rPr>
                <w:rFonts w:hint="default"/>
                <w:highlight w:val="none"/>
              </w:rPr>
            </w:pPr>
            <w:r>
              <w:rPr>
                <w:rFonts w:hint="default"/>
                <w:highlight w:val="none"/>
              </w:rPr>
              <w:t>污染物名称</w:t>
            </w:r>
          </w:p>
        </w:tc>
        <w:tc>
          <w:tcPr>
            <w:tcW w:w="915" w:type="dxa"/>
            <w:vMerge w:val="restart"/>
            <w:tcBorders>
              <w:tl2br w:val="nil"/>
              <w:tr2bl w:val="nil"/>
            </w:tcBorders>
            <w:noWrap w:val="0"/>
            <w:vAlign w:val="center"/>
          </w:tcPr>
          <w:p w14:paraId="47DBEB94">
            <w:pPr>
              <w:pStyle w:val="58"/>
              <w:bidi w:val="0"/>
              <w:rPr>
                <w:rFonts w:hint="default"/>
                <w:highlight w:val="none"/>
              </w:rPr>
            </w:pPr>
            <w:r>
              <w:rPr>
                <w:rFonts w:hint="default"/>
                <w:highlight w:val="none"/>
              </w:rPr>
              <w:t>排放速率</w:t>
            </w:r>
          </w:p>
        </w:tc>
        <w:tc>
          <w:tcPr>
            <w:tcW w:w="703" w:type="dxa"/>
            <w:vMerge w:val="restart"/>
            <w:tcBorders>
              <w:tl2br w:val="nil"/>
              <w:tr2bl w:val="nil"/>
            </w:tcBorders>
            <w:noWrap w:val="0"/>
            <w:vAlign w:val="center"/>
          </w:tcPr>
          <w:p w14:paraId="206295D2">
            <w:pPr>
              <w:pStyle w:val="58"/>
              <w:bidi w:val="0"/>
              <w:rPr>
                <w:rFonts w:hint="default"/>
                <w:highlight w:val="none"/>
              </w:rPr>
            </w:pPr>
            <w:r>
              <w:rPr>
                <w:rFonts w:hint="default"/>
                <w:highlight w:val="none"/>
              </w:rPr>
              <w:t>单位</w:t>
            </w:r>
          </w:p>
        </w:tc>
      </w:tr>
      <w:tr w14:paraId="41E5581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jc w:val="center"/>
        </w:trPr>
        <w:tc>
          <w:tcPr>
            <w:tcW w:w="897" w:type="dxa"/>
            <w:vMerge w:val="continue"/>
            <w:tcBorders>
              <w:tl2br w:val="nil"/>
              <w:tr2bl w:val="nil"/>
            </w:tcBorders>
            <w:noWrap w:val="0"/>
            <w:vAlign w:val="center"/>
          </w:tcPr>
          <w:p w14:paraId="215A88E2">
            <w:pPr>
              <w:pStyle w:val="58"/>
              <w:bidi w:val="0"/>
              <w:rPr>
                <w:rFonts w:hint="default"/>
                <w:highlight w:val="none"/>
              </w:rPr>
            </w:pPr>
          </w:p>
        </w:tc>
        <w:tc>
          <w:tcPr>
            <w:tcW w:w="1747" w:type="dxa"/>
            <w:vMerge w:val="continue"/>
            <w:tcBorders>
              <w:tl2br w:val="nil"/>
              <w:tr2bl w:val="nil"/>
            </w:tcBorders>
            <w:noWrap w:val="0"/>
            <w:vAlign w:val="center"/>
          </w:tcPr>
          <w:p w14:paraId="1E3F98A8">
            <w:pPr>
              <w:pStyle w:val="58"/>
              <w:bidi w:val="0"/>
              <w:rPr>
                <w:rFonts w:hint="default"/>
                <w:highlight w:val="none"/>
              </w:rPr>
            </w:pPr>
          </w:p>
        </w:tc>
        <w:tc>
          <w:tcPr>
            <w:tcW w:w="1230" w:type="dxa"/>
            <w:tcBorders>
              <w:tl2br w:val="nil"/>
              <w:tr2bl w:val="nil"/>
            </w:tcBorders>
            <w:noWrap w:val="0"/>
            <w:vAlign w:val="center"/>
          </w:tcPr>
          <w:p w14:paraId="482D20F8">
            <w:pPr>
              <w:pStyle w:val="58"/>
              <w:bidi w:val="0"/>
              <w:rPr>
                <w:rFonts w:hint="default"/>
                <w:highlight w:val="none"/>
                <w:lang w:val="en-US" w:eastAsia="zh-CN"/>
              </w:rPr>
            </w:pPr>
            <w:r>
              <w:rPr>
                <w:rFonts w:hint="default"/>
                <w:highlight w:val="none"/>
              </w:rPr>
              <w:t>经度</w:t>
            </w:r>
          </w:p>
        </w:tc>
        <w:tc>
          <w:tcPr>
            <w:tcW w:w="1125" w:type="dxa"/>
            <w:tcBorders>
              <w:tl2br w:val="nil"/>
              <w:tr2bl w:val="nil"/>
            </w:tcBorders>
            <w:noWrap w:val="0"/>
            <w:vAlign w:val="center"/>
          </w:tcPr>
          <w:p w14:paraId="23520B6B">
            <w:pPr>
              <w:pStyle w:val="58"/>
              <w:bidi w:val="0"/>
              <w:rPr>
                <w:rFonts w:hint="default"/>
                <w:highlight w:val="none"/>
                <w:lang w:val="en-US" w:eastAsia="zh-CN"/>
              </w:rPr>
            </w:pPr>
            <w:r>
              <w:rPr>
                <w:rFonts w:hint="default"/>
                <w:highlight w:val="none"/>
                <w:lang w:eastAsia="zh-CN"/>
              </w:rPr>
              <w:t>纬</w:t>
            </w:r>
            <w:r>
              <w:rPr>
                <w:rFonts w:hint="default"/>
                <w:highlight w:val="none"/>
              </w:rPr>
              <w:t>度</w:t>
            </w:r>
          </w:p>
        </w:tc>
        <w:tc>
          <w:tcPr>
            <w:tcW w:w="960" w:type="dxa"/>
            <w:vMerge w:val="continue"/>
            <w:tcBorders>
              <w:tl2br w:val="nil"/>
              <w:tr2bl w:val="nil"/>
            </w:tcBorders>
            <w:noWrap w:val="0"/>
            <w:vAlign w:val="center"/>
          </w:tcPr>
          <w:p w14:paraId="5A15AC79">
            <w:pPr>
              <w:pStyle w:val="58"/>
              <w:bidi w:val="0"/>
              <w:rPr>
                <w:rFonts w:hint="default"/>
                <w:highlight w:val="none"/>
              </w:rPr>
            </w:pPr>
          </w:p>
        </w:tc>
        <w:tc>
          <w:tcPr>
            <w:tcW w:w="585" w:type="dxa"/>
            <w:tcBorders>
              <w:tl2br w:val="nil"/>
              <w:tr2bl w:val="nil"/>
            </w:tcBorders>
            <w:noWrap w:val="0"/>
            <w:vAlign w:val="center"/>
          </w:tcPr>
          <w:p w14:paraId="0237BC20">
            <w:pPr>
              <w:pStyle w:val="58"/>
              <w:bidi w:val="0"/>
              <w:rPr>
                <w:rFonts w:hint="default"/>
                <w:highlight w:val="none"/>
              </w:rPr>
            </w:pPr>
            <w:r>
              <w:rPr>
                <w:rFonts w:hint="default"/>
                <w:highlight w:val="none"/>
              </w:rPr>
              <w:t>高度</w:t>
            </w:r>
          </w:p>
          <w:p w14:paraId="2891B211">
            <w:pPr>
              <w:pStyle w:val="58"/>
              <w:bidi w:val="0"/>
              <w:rPr>
                <w:rFonts w:hint="default"/>
                <w:highlight w:val="none"/>
              </w:rPr>
            </w:pPr>
            <w:r>
              <w:rPr>
                <w:rFonts w:hint="default"/>
                <w:highlight w:val="none"/>
              </w:rPr>
              <w:t>(m)</w:t>
            </w:r>
          </w:p>
        </w:tc>
        <w:tc>
          <w:tcPr>
            <w:tcW w:w="660" w:type="dxa"/>
            <w:tcBorders>
              <w:tl2br w:val="nil"/>
              <w:tr2bl w:val="nil"/>
            </w:tcBorders>
            <w:noWrap w:val="0"/>
            <w:vAlign w:val="center"/>
          </w:tcPr>
          <w:p w14:paraId="75BD6FF6">
            <w:pPr>
              <w:pStyle w:val="58"/>
              <w:bidi w:val="0"/>
              <w:rPr>
                <w:rFonts w:hint="default"/>
                <w:highlight w:val="none"/>
              </w:rPr>
            </w:pPr>
            <w:r>
              <w:rPr>
                <w:rFonts w:hint="default"/>
                <w:highlight w:val="none"/>
              </w:rPr>
              <w:t>内径</w:t>
            </w:r>
          </w:p>
          <w:p w14:paraId="0CD1E83C">
            <w:pPr>
              <w:pStyle w:val="58"/>
              <w:bidi w:val="0"/>
              <w:rPr>
                <w:rFonts w:hint="default"/>
                <w:highlight w:val="none"/>
              </w:rPr>
            </w:pPr>
            <w:r>
              <w:rPr>
                <w:rFonts w:hint="default"/>
                <w:highlight w:val="none"/>
              </w:rPr>
              <w:t>(m)</w:t>
            </w:r>
          </w:p>
        </w:tc>
        <w:tc>
          <w:tcPr>
            <w:tcW w:w="945" w:type="dxa"/>
            <w:tcBorders>
              <w:tl2br w:val="nil"/>
              <w:tr2bl w:val="nil"/>
            </w:tcBorders>
            <w:noWrap w:val="0"/>
            <w:vAlign w:val="center"/>
          </w:tcPr>
          <w:p w14:paraId="36BBC6CF">
            <w:pPr>
              <w:pStyle w:val="58"/>
              <w:bidi w:val="0"/>
              <w:rPr>
                <w:rFonts w:hint="default"/>
                <w:highlight w:val="none"/>
              </w:rPr>
            </w:pPr>
            <w:r>
              <w:rPr>
                <w:rFonts w:hint="default"/>
                <w:highlight w:val="none"/>
                <w:lang w:eastAsia="zh-CN"/>
              </w:rPr>
              <w:t>烟气</w:t>
            </w:r>
            <w:r>
              <w:rPr>
                <w:rFonts w:hint="default"/>
                <w:highlight w:val="none"/>
              </w:rPr>
              <w:t>流速</w:t>
            </w:r>
          </w:p>
          <w:p w14:paraId="64420767">
            <w:pPr>
              <w:pStyle w:val="58"/>
              <w:bidi w:val="0"/>
              <w:rPr>
                <w:rFonts w:hint="default"/>
                <w:highlight w:val="none"/>
                <w:lang w:val="en-US" w:eastAsia="zh-CN"/>
              </w:rPr>
            </w:pPr>
            <w:r>
              <w:rPr>
                <w:rFonts w:hint="default"/>
                <w:highlight w:val="none"/>
              </w:rPr>
              <w:t>(m/s)</w:t>
            </w:r>
          </w:p>
        </w:tc>
        <w:tc>
          <w:tcPr>
            <w:tcW w:w="1005" w:type="dxa"/>
            <w:tcBorders>
              <w:tl2br w:val="nil"/>
              <w:tr2bl w:val="nil"/>
            </w:tcBorders>
            <w:noWrap w:val="0"/>
            <w:vAlign w:val="center"/>
          </w:tcPr>
          <w:p w14:paraId="664A761A">
            <w:pPr>
              <w:pStyle w:val="58"/>
              <w:bidi w:val="0"/>
              <w:rPr>
                <w:rFonts w:hint="default"/>
                <w:highlight w:val="none"/>
                <w:lang w:val="en-US" w:eastAsia="zh-CN"/>
              </w:rPr>
            </w:pPr>
            <w:r>
              <w:rPr>
                <w:rFonts w:hint="default"/>
                <w:highlight w:val="none"/>
                <w:lang w:eastAsia="zh-CN"/>
              </w:rPr>
              <w:t>烟气温度</w:t>
            </w:r>
            <w:r>
              <w:rPr>
                <w:rFonts w:hint="default"/>
                <w:highlight w:val="none"/>
                <w:lang w:val="en-US" w:eastAsia="zh-CN"/>
              </w:rPr>
              <w:t>/℃</w:t>
            </w:r>
          </w:p>
        </w:tc>
        <w:tc>
          <w:tcPr>
            <w:tcW w:w="1140" w:type="dxa"/>
            <w:vMerge w:val="continue"/>
            <w:tcBorders>
              <w:tl2br w:val="nil"/>
              <w:tr2bl w:val="nil"/>
            </w:tcBorders>
            <w:noWrap w:val="0"/>
            <w:vAlign w:val="center"/>
          </w:tcPr>
          <w:p w14:paraId="17B12CC8">
            <w:pPr>
              <w:pStyle w:val="58"/>
              <w:bidi w:val="0"/>
              <w:rPr>
                <w:rFonts w:hint="default"/>
                <w:highlight w:val="none"/>
              </w:rPr>
            </w:pPr>
          </w:p>
        </w:tc>
        <w:tc>
          <w:tcPr>
            <w:tcW w:w="975" w:type="dxa"/>
            <w:vMerge w:val="continue"/>
            <w:tcBorders>
              <w:tl2br w:val="nil"/>
              <w:tr2bl w:val="nil"/>
            </w:tcBorders>
            <w:noWrap w:val="0"/>
            <w:vAlign w:val="center"/>
          </w:tcPr>
          <w:p w14:paraId="4D7A2530">
            <w:pPr>
              <w:pStyle w:val="58"/>
              <w:bidi w:val="0"/>
              <w:rPr>
                <w:rFonts w:hint="default"/>
                <w:highlight w:val="none"/>
              </w:rPr>
            </w:pPr>
          </w:p>
        </w:tc>
        <w:tc>
          <w:tcPr>
            <w:tcW w:w="1170" w:type="dxa"/>
            <w:vMerge w:val="continue"/>
            <w:tcBorders>
              <w:tl2br w:val="nil"/>
              <w:tr2bl w:val="nil"/>
            </w:tcBorders>
            <w:noWrap w:val="0"/>
            <w:vAlign w:val="center"/>
          </w:tcPr>
          <w:p w14:paraId="59E11D80">
            <w:pPr>
              <w:pStyle w:val="58"/>
              <w:bidi w:val="0"/>
              <w:rPr>
                <w:rFonts w:hint="default"/>
                <w:highlight w:val="none"/>
              </w:rPr>
            </w:pPr>
          </w:p>
        </w:tc>
        <w:tc>
          <w:tcPr>
            <w:tcW w:w="915" w:type="dxa"/>
            <w:vMerge w:val="continue"/>
            <w:tcBorders>
              <w:tl2br w:val="nil"/>
              <w:tr2bl w:val="nil"/>
            </w:tcBorders>
            <w:noWrap w:val="0"/>
            <w:vAlign w:val="center"/>
          </w:tcPr>
          <w:p w14:paraId="7F5C5859">
            <w:pPr>
              <w:pStyle w:val="58"/>
              <w:bidi w:val="0"/>
              <w:rPr>
                <w:rFonts w:hint="default"/>
                <w:highlight w:val="none"/>
              </w:rPr>
            </w:pPr>
          </w:p>
        </w:tc>
        <w:tc>
          <w:tcPr>
            <w:tcW w:w="703" w:type="dxa"/>
            <w:vMerge w:val="continue"/>
            <w:tcBorders>
              <w:tl2br w:val="nil"/>
              <w:tr2bl w:val="nil"/>
            </w:tcBorders>
            <w:noWrap w:val="0"/>
            <w:vAlign w:val="center"/>
          </w:tcPr>
          <w:p w14:paraId="2376F71F">
            <w:pPr>
              <w:pStyle w:val="58"/>
              <w:bidi w:val="0"/>
              <w:rPr>
                <w:rFonts w:hint="default"/>
                <w:highlight w:val="none"/>
              </w:rPr>
            </w:pPr>
          </w:p>
        </w:tc>
      </w:tr>
      <w:tr w14:paraId="380665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999" w:hRule="atLeast"/>
          <w:jc w:val="center"/>
        </w:trPr>
        <w:tc>
          <w:tcPr>
            <w:tcW w:w="897" w:type="dxa"/>
            <w:tcBorders>
              <w:tl2br w:val="nil"/>
              <w:tr2bl w:val="nil"/>
            </w:tcBorders>
            <w:noWrap w:val="0"/>
            <w:vAlign w:val="center"/>
          </w:tcPr>
          <w:p w14:paraId="67C637BD">
            <w:pPr>
              <w:pStyle w:val="58"/>
              <w:bidi w:val="0"/>
              <w:rPr>
                <w:rFonts w:hint="default"/>
                <w:highlight w:val="none"/>
                <w:lang w:val="en-US" w:eastAsia="zh-CN"/>
              </w:rPr>
            </w:pPr>
            <w:r>
              <w:rPr>
                <w:rFonts w:hint="default"/>
                <w:highlight w:val="none"/>
                <w:lang w:val="en-US" w:eastAsia="zh-CN"/>
              </w:rPr>
              <w:t>DA001</w:t>
            </w:r>
          </w:p>
        </w:tc>
        <w:tc>
          <w:tcPr>
            <w:tcW w:w="1747" w:type="dxa"/>
            <w:tcBorders>
              <w:tl2br w:val="nil"/>
              <w:tr2bl w:val="nil"/>
            </w:tcBorders>
            <w:noWrap w:val="0"/>
            <w:vAlign w:val="center"/>
          </w:tcPr>
          <w:p w14:paraId="0F922EA2">
            <w:pPr>
              <w:pStyle w:val="58"/>
              <w:bidi w:val="0"/>
              <w:rPr>
                <w:rFonts w:hint="default"/>
                <w:highlight w:val="none"/>
                <w:lang w:val="en-US" w:eastAsia="zh-CN"/>
              </w:rPr>
            </w:pPr>
            <w:r>
              <w:rPr>
                <w:rFonts w:hint="default"/>
                <w:highlight w:val="none"/>
                <w:lang w:eastAsia="zh-CN"/>
              </w:rPr>
              <w:t>除臭排气筒</w:t>
            </w:r>
          </w:p>
        </w:tc>
        <w:tc>
          <w:tcPr>
            <w:tcW w:w="1230" w:type="dxa"/>
            <w:tcBorders>
              <w:tl2br w:val="nil"/>
              <w:tr2bl w:val="nil"/>
            </w:tcBorders>
            <w:noWrap w:val="0"/>
            <w:vAlign w:val="center"/>
          </w:tcPr>
          <w:p w14:paraId="439DC12A">
            <w:pPr>
              <w:pStyle w:val="58"/>
              <w:bidi w:val="0"/>
              <w:rPr>
                <w:rFonts w:hint="default"/>
                <w:highlight w:val="none"/>
                <w:lang w:val="en-US" w:eastAsia="zh-CN"/>
              </w:rPr>
            </w:pPr>
            <w:r>
              <w:rPr>
                <w:rFonts w:hint="default"/>
                <w:highlight w:val="none"/>
              </w:rPr>
              <w:t>118.267805</w:t>
            </w:r>
          </w:p>
        </w:tc>
        <w:tc>
          <w:tcPr>
            <w:tcW w:w="1125" w:type="dxa"/>
            <w:tcBorders>
              <w:tl2br w:val="nil"/>
              <w:tr2bl w:val="nil"/>
            </w:tcBorders>
            <w:noWrap w:val="0"/>
            <w:vAlign w:val="center"/>
          </w:tcPr>
          <w:p w14:paraId="67FC8734">
            <w:pPr>
              <w:pStyle w:val="58"/>
              <w:bidi w:val="0"/>
              <w:rPr>
                <w:rFonts w:hint="default"/>
                <w:highlight w:val="none"/>
                <w:lang w:val="en-US" w:eastAsia="zh-CN"/>
              </w:rPr>
            </w:pPr>
            <w:r>
              <w:rPr>
                <w:rFonts w:hint="default"/>
                <w:highlight w:val="none"/>
              </w:rPr>
              <w:t>39.266163</w:t>
            </w:r>
          </w:p>
        </w:tc>
        <w:tc>
          <w:tcPr>
            <w:tcW w:w="960" w:type="dxa"/>
            <w:tcBorders>
              <w:tl2br w:val="nil"/>
              <w:tr2bl w:val="nil"/>
            </w:tcBorders>
            <w:noWrap w:val="0"/>
            <w:vAlign w:val="center"/>
          </w:tcPr>
          <w:p w14:paraId="2569FA70">
            <w:pPr>
              <w:pStyle w:val="58"/>
              <w:bidi w:val="0"/>
              <w:rPr>
                <w:rFonts w:hint="default"/>
                <w:highlight w:val="none"/>
                <w:lang w:val="en-US" w:eastAsia="zh-CN"/>
              </w:rPr>
            </w:pPr>
            <w:r>
              <w:rPr>
                <w:rFonts w:hint="default"/>
                <w:highlight w:val="none"/>
                <w:lang w:val="en-US" w:eastAsia="zh-CN"/>
              </w:rPr>
              <w:t>1.4</w:t>
            </w:r>
          </w:p>
        </w:tc>
        <w:tc>
          <w:tcPr>
            <w:tcW w:w="585" w:type="dxa"/>
            <w:tcBorders>
              <w:tl2br w:val="nil"/>
              <w:tr2bl w:val="nil"/>
            </w:tcBorders>
            <w:noWrap w:val="0"/>
            <w:vAlign w:val="center"/>
          </w:tcPr>
          <w:p w14:paraId="4EF52E8F">
            <w:pPr>
              <w:pStyle w:val="58"/>
              <w:bidi w:val="0"/>
              <w:rPr>
                <w:rFonts w:hint="default"/>
                <w:highlight w:val="none"/>
                <w:lang w:val="en-US" w:eastAsia="zh-CN"/>
              </w:rPr>
            </w:pPr>
            <w:r>
              <w:rPr>
                <w:rFonts w:hint="default"/>
                <w:highlight w:val="none"/>
                <w:lang w:val="en-US" w:eastAsia="zh-CN"/>
              </w:rPr>
              <w:t>15</w:t>
            </w:r>
          </w:p>
        </w:tc>
        <w:tc>
          <w:tcPr>
            <w:tcW w:w="660" w:type="dxa"/>
            <w:tcBorders>
              <w:tl2br w:val="nil"/>
              <w:tr2bl w:val="nil"/>
            </w:tcBorders>
            <w:noWrap w:val="0"/>
            <w:vAlign w:val="center"/>
          </w:tcPr>
          <w:p w14:paraId="42E6D691">
            <w:pPr>
              <w:pStyle w:val="58"/>
              <w:bidi w:val="0"/>
              <w:rPr>
                <w:rFonts w:hint="default"/>
                <w:highlight w:val="none"/>
                <w:lang w:val="en-US" w:eastAsia="zh-CN"/>
              </w:rPr>
            </w:pPr>
            <w:r>
              <w:rPr>
                <w:rFonts w:hint="eastAsia"/>
                <w:highlight w:val="none"/>
                <w:lang w:val="en-US" w:eastAsia="zh-CN"/>
              </w:rPr>
              <w:t>0.32</w:t>
            </w:r>
          </w:p>
        </w:tc>
        <w:tc>
          <w:tcPr>
            <w:tcW w:w="945" w:type="dxa"/>
            <w:tcBorders>
              <w:tl2br w:val="nil"/>
              <w:tr2bl w:val="nil"/>
            </w:tcBorders>
            <w:noWrap w:val="0"/>
            <w:vAlign w:val="center"/>
          </w:tcPr>
          <w:p w14:paraId="55F7C910">
            <w:pPr>
              <w:pStyle w:val="58"/>
              <w:bidi w:val="0"/>
              <w:rPr>
                <w:rFonts w:hint="default"/>
                <w:highlight w:val="none"/>
                <w:lang w:val="en-US" w:eastAsia="zh-CN"/>
              </w:rPr>
            </w:pPr>
            <w:r>
              <w:rPr>
                <w:rFonts w:hint="default"/>
                <w:highlight w:val="none"/>
                <w:lang w:val="en-US" w:eastAsia="zh-CN"/>
              </w:rPr>
              <w:t>15.87</w:t>
            </w:r>
          </w:p>
        </w:tc>
        <w:tc>
          <w:tcPr>
            <w:tcW w:w="1005" w:type="dxa"/>
            <w:tcBorders>
              <w:tl2br w:val="nil"/>
              <w:tr2bl w:val="nil"/>
            </w:tcBorders>
            <w:noWrap w:val="0"/>
            <w:vAlign w:val="center"/>
          </w:tcPr>
          <w:p w14:paraId="51606130">
            <w:pPr>
              <w:pStyle w:val="58"/>
              <w:bidi w:val="0"/>
              <w:rPr>
                <w:rFonts w:hint="default"/>
                <w:highlight w:val="none"/>
                <w:lang w:val="en-US" w:eastAsia="zh-CN"/>
              </w:rPr>
            </w:pPr>
            <w:r>
              <w:rPr>
                <w:rFonts w:hint="default"/>
                <w:highlight w:val="none"/>
                <w:lang w:val="en-US" w:eastAsia="zh-CN"/>
              </w:rPr>
              <w:t>2</w:t>
            </w:r>
            <w:r>
              <w:rPr>
                <w:rFonts w:hint="eastAsia"/>
                <w:highlight w:val="none"/>
                <w:lang w:val="en-US" w:eastAsia="zh-CN"/>
              </w:rPr>
              <w:t>0</w:t>
            </w:r>
          </w:p>
        </w:tc>
        <w:tc>
          <w:tcPr>
            <w:tcW w:w="1140" w:type="dxa"/>
            <w:tcBorders>
              <w:tl2br w:val="nil"/>
              <w:tr2bl w:val="nil"/>
            </w:tcBorders>
            <w:noWrap w:val="0"/>
            <w:vAlign w:val="center"/>
          </w:tcPr>
          <w:p w14:paraId="14EE6F08">
            <w:pPr>
              <w:pStyle w:val="58"/>
              <w:bidi w:val="0"/>
              <w:rPr>
                <w:rFonts w:hint="default"/>
                <w:highlight w:val="none"/>
                <w:lang w:val="en-US" w:eastAsia="zh-CN"/>
              </w:rPr>
            </w:pPr>
            <w:r>
              <w:rPr>
                <w:rFonts w:hint="default"/>
                <w:highlight w:val="none"/>
                <w:lang w:val="en-US" w:eastAsia="zh-CN"/>
              </w:rPr>
              <w:t>8760</w:t>
            </w:r>
          </w:p>
        </w:tc>
        <w:tc>
          <w:tcPr>
            <w:tcW w:w="975" w:type="dxa"/>
            <w:tcBorders>
              <w:tl2br w:val="nil"/>
              <w:tr2bl w:val="nil"/>
            </w:tcBorders>
            <w:noWrap w:val="0"/>
            <w:vAlign w:val="center"/>
          </w:tcPr>
          <w:p w14:paraId="2A49ADF3">
            <w:pPr>
              <w:pStyle w:val="58"/>
              <w:bidi w:val="0"/>
              <w:rPr>
                <w:rFonts w:hint="default"/>
                <w:highlight w:val="none"/>
                <w:lang w:eastAsia="zh-CN"/>
              </w:rPr>
            </w:pPr>
            <w:r>
              <w:rPr>
                <w:rFonts w:hint="default"/>
                <w:highlight w:val="none"/>
                <w:lang w:eastAsia="zh-CN"/>
              </w:rPr>
              <w:t>正常</w:t>
            </w:r>
          </w:p>
        </w:tc>
        <w:tc>
          <w:tcPr>
            <w:tcW w:w="1170" w:type="dxa"/>
            <w:tcBorders>
              <w:tl2br w:val="nil"/>
              <w:tr2bl w:val="nil"/>
            </w:tcBorders>
            <w:noWrap w:val="0"/>
            <w:vAlign w:val="center"/>
          </w:tcPr>
          <w:p w14:paraId="72978E78">
            <w:pPr>
              <w:pStyle w:val="58"/>
              <w:bidi w:val="0"/>
              <w:rPr>
                <w:rFonts w:hint="default"/>
                <w:highlight w:val="none"/>
                <w:lang w:eastAsia="zh-CN"/>
              </w:rPr>
            </w:pPr>
            <w:r>
              <w:rPr>
                <w:rFonts w:hint="eastAsia"/>
                <w:highlight w:val="none"/>
                <w:lang w:eastAsia="zh-CN"/>
              </w:rPr>
              <w:t>NH</w:t>
            </w:r>
            <w:r>
              <w:rPr>
                <w:rFonts w:hint="eastAsia"/>
                <w:highlight w:val="none"/>
                <w:vertAlign w:val="subscript"/>
                <w:lang w:eastAsia="zh-CN"/>
              </w:rPr>
              <w:t>3</w:t>
            </w:r>
          </w:p>
          <w:p w14:paraId="14304995">
            <w:pPr>
              <w:pStyle w:val="58"/>
              <w:bidi w:val="0"/>
              <w:rPr>
                <w:rFonts w:hint="default"/>
                <w:highlight w:val="none"/>
                <w:lang w:val="en-US" w:eastAsia="zh-CN"/>
              </w:rPr>
            </w:pPr>
            <w:r>
              <w:rPr>
                <w:rFonts w:hint="eastAsia"/>
                <w:highlight w:val="none"/>
                <w:lang w:val="en-US" w:eastAsia="zh-CN"/>
              </w:rPr>
              <w:t>H</w:t>
            </w:r>
            <w:r>
              <w:rPr>
                <w:rFonts w:hint="eastAsia"/>
                <w:highlight w:val="none"/>
                <w:vertAlign w:val="subscript"/>
                <w:lang w:val="en-US" w:eastAsia="zh-CN"/>
              </w:rPr>
              <w:t>2</w:t>
            </w:r>
            <w:r>
              <w:rPr>
                <w:rFonts w:hint="eastAsia"/>
                <w:highlight w:val="none"/>
                <w:lang w:val="en-US" w:eastAsia="zh-CN"/>
              </w:rPr>
              <w:t>S</w:t>
            </w:r>
          </w:p>
        </w:tc>
        <w:tc>
          <w:tcPr>
            <w:tcW w:w="915" w:type="dxa"/>
            <w:tcBorders>
              <w:tl2br w:val="nil"/>
              <w:tr2bl w:val="nil"/>
            </w:tcBorders>
            <w:noWrap w:val="0"/>
            <w:vAlign w:val="center"/>
          </w:tcPr>
          <w:p w14:paraId="30909F8C">
            <w:pPr>
              <w:pStyle w:val="58"/>
              <w:bidi w:val="0"/>
              <w:rPr>
                <w:rFonts w:hint="default"/>
                <w:highlight w:val="none"/>
                <w:lang w:val="en-US" w:eastAsia="zh-CN"/>
              </w:rPr>
            </w:pPr>
            <w:r>
              <w:rPr>
                <w:rFonts w:hint="eastAsia"/>
                <w:highlight w:val="none"/>
                <w:lang w:val="en-US" w:eastAsia="zh-CN"/>
              </w:rPr>
              <w:t>0.0158</w:t>
            </w:r>
          </w:p>
          <w:p w14:paraId="4D68B64E">
            <w:pPr>
              <w:pStyle w:val="58"/>
              <w:bidi w:val="0"/>
              <w:rPr>
                <w:rFonts w:hint="default"/>
                <w:highlight w:val="none"/>
                <w:lang w:val="en-US" w:eastAsia="zh-CN"/>
              </w:rPr>
            </w:pPr>
            <w:r>
              <w:rPr>
                <w:rFonts w:hint="eastAsia"/>
                <w:highlight w:val="none"/>
                <w:lang w:val="en-US" w:eastAsia="zh-CN"/>
              </w:rPr>
              <w:t>0.0003</w:t>
            </w:r>
          </w:p>
        </w:tc>
        <w:tc>
          <w:tcPr>
            <w:tcW w:w="703" w:type="dxa"/>
            <w:tcBorders>
              <w:tl2br w:val="nil"/>
              <w:tr2bl w:val="nil"/>
            </w:tcBorders>
            <w:noWrap w:val="0"/>
            <w:vAlign w:val="center"/>
          </w:tcPr>
          <w:p w14:paraId="3514C0A9">
            <w:pPr>
              <w:pStyle w:val="58"/>
              <w:bidi w:val="0"/>
              <w:rPr>
                <w:rFonts w:hint="default"/>
                <w:highlight w:val="none"/>
              </w:rPr>
            </w:pPr>
            <w:r>
              <w:rPr>
                <w:rFonts w:hint="default"/>
                <w:highlight w:val="none"/>
                <w:lang w:val="en-US" w:eastAsia="zh-CN"/>
              </w:rPr>
              <w:t>kg/h</w:t>
            </w:r>
          </w:p>
        </w:tc>
      </w:tr>
    </w:tbl>
    <w:p w14:paraId="7C591C4D">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lang w:eastAsia="zh-CN"/>
        </w:rPr>
      </w:pPr>
      <w:r>
        <w:rPr>
          <w:rFonts w:hint="default" w:ascii="Times New Roman" w:hAnsi="Times New Roman" w:eastAsia="宋体" w:cs="Times New Roman"/>
          <w:b/>
          <w:bCs/>
          <w:color w:val="auto"/>
          <w:sz w:val="24"/>
          <w:highlight w:val="none"/>
          <w:lang w:eastAsia="zh-CN"/>
        </w:rPr>
        <w:t>　</w:t>
      </w:r>
      <w:r>
        <w:rPr>
          <w:rFonts w:hint="default" w:ascii="Times New Roman" w:hAnsi="Times New Roman" w:eastAsia="宋体" w:cs="Times New Roman"/>
          <w:b/>
          <w:bCs/>
          <w:color w:val="auto"/>
          <w:sz w:val="24"/>
          <w:highlight w:val="none"/>
        </w:rPr>
        <w:t>大气污染物</w:t>
      </w:r>
      <w:r>
        <w:rPr>
          <w:rFonts w:hint="default" w:ascii="Times New Roman" w:hAnsi="Times New Roman" w:eastAsia="宋体" w:cs="Times New Roman"/>
          <w:b/>
          <w:bCs/>
          <w:color w:val="auto"/>
          <w:sz w:val="24"/>
          <w:highlight w:val="none"/>
          <w:lang w:eastAsia="zh-CN"/>
        </w:rPr>
        <w:t>无</w:t>
      </w:r>
      <w:r>
        <w:rPr>
          <w:rFonts w:hint="default" w:ascii="Times New Roman" w:hAnsi="Times New Roman" w:eastAsia="宋体" w:cs="Times New Roman"/>
          <w:b/>
          <w:bCs/>
          <w:color w:val="auto"/>
          <w:sz w:val="24"/>
          <w:highlight w:val="none"/>
        </w:rPr>
        <w:t>组织排放</w:t>
      </w:r>
      <w:r>
        <w:rPr>
          <w:rFonts w:hint="default" w:ascii="Times New Roman" w:hAnsi="Times New Roman" w:eastAsia="宋体" w:cs="Times New Roman"/>
          <w:b/>
          <w:bCs/>
          <w:color w:val="auto"/>
          <w:sz w:val="24"/>
          <w:highlight w:val="none"/>
          <w:lang w:eastAsia="zh-CN"/>
        </w:rPr>
        <w:t>调查情况一览</w:t>
      </w:r>
      <w:r>
        <w:rPr>
          <w:rFonts w:hint="default" w:ascii="Times New Roman" w:hAnsi="Times New Roman" w:eastAsia="宋体" w:cs="Times New Roman"/>
          <w:b/>
          <w:bCs/>
          <w:color w:val="auto"/>
          <w:sz w:val="24"/>
          <w:highlight w:val="none"/>
        </w:rPr>
        <w:t>表</w:t>
      </w:r>
      <w:r>
        <w:rPr>
          <w:rFonts w:hint="default" w:ascii="Times New Roman" w:hAnsi="Times New Roman" w:eastAsia="宋体" w:cs="Times New Roman"/>
          <w:b/>
          <w:bCs/>
          <w:color w:val="auto"/>
          <w:sz w:val="24"/>
          <w:highlight w:val="none"/>
          <w:lang w:eastAsia="zh-CN"/>
        </w:rPr>
        <w:t>（面源）</w:t>
      </w:r>
    </w:p>
    <w:tbl>
      <w:tblPr>
        <w:tblStyle w:val="48"/>
        <w:tblW w:w="1413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40"/>
        <w:gridCol w:w="1260"/>
        <w:gridCol w:w="1170"/>
        <w:gridCol w:w="972"/>
        <w:gridCol w:w="1005"/>
        <w:gridCol w:w="1005"/>
        <w:gridCol w:w="1440"/>
        <w:gridCol w:w="1155"/>
        <w:gridCol w:w="1162"/>
        <w:gridCol w:w="803"/>
        <w:gridCol w:w="1035"/>
        <w:gridCol w:w="1113"/>
        <w:gridCol w:w="874"/>
      </w:tblGrid>
      <w:tr w14:paraId="2FBFBD7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0" w:hRule="atLeast"/>
          <w:jc w:val="center"/>
        </w:trPr>
        <w:tc>
          <w:tcPr>
            <w:tcW w:w="1140" w:type="dxa"/>
            <w:vMerge w:val="restart"/>
            <w:tcBorders>
              <w:tl2br w:val="nil"/>
              <w:tr2bl w:val="nil"/>
            </w:tcBorders>
            <w:noWrap w:val="0"/>
            <w:vAlign w:val="center"/>
          </w:tcPr>
          <w:p w14:paraId="31B35188">
            <w:pPr>
              <w:pStyle w:val="58"/>
              <w:bidi w:val="0"/>
              <w:rPr>
                <w:rFonts w:hint="default"/>
                <w:highlight w:val="none"/>
                <w:lang w:eastAsia="zh-CN"/>
              </w:rPr>
            </w:pPr>
            <w:r>
              <w:rPr>
                <w:rFonts w:hint="default"/>
                <w:highlight w:val="none"/>
              </w:rPr>
              <w:t>污染源名称</w:t>
            </w:r>
          </w:p>
        </w:tc>
        <w:tc>
          <w:tcPr>
            <w:tcW w:w="2430" w:type="dxa"/>
            <w:gridSpan w:val="2"/>
            <w:tcBorders>
              <w:tl2br w:val="nil"/>
              <w:tr2bl w:val="nil"/>
            </w:tcBorders>
            <w:noWrap w:val="0"/>
            <w:vAlign w:val="center"/>
          </w:tcPr>
          <w:p w14:paraId="7683B493">
            <w:pPr>
              <w:pStyle w:val="58"/>
              <w:bidi w:val="0"/>
              <w:rPr>
                <w:rFonts w:hint="default"/>
                <w:highlight w:val="none"/>
              </w:rPr>
            </w:pPr>
            <w:r>
              <w:rPr>
                <w:rFonts w:hint="default"/>
                <w:highlight w:val="none"/>
              </w:rPr>
              <w:t>坐标(o)</w:t>
            </w:r>
          </w:p>
        </w:tc>
        <w:tc>
          <w:tcPr>
            <w:tcW w:w="972" w:type="dxa"/>
            <w:vMerge w:val="restart"/>
            <w:tcBorders>
              <w:tl2br w:val="nil"/>
              <w:tr2bl w:val="nil"/>
            </w:tcBorders>
            <w:noWrap w:val="0"/>
            <w:vAlign w:val="center"/>
          </w:tcPr>
          <w:p w14:paraId="4DF90321">
            <w:pPr>
              <w:pStyle w:val="58"/>
              <w:bidi w:val="0"/>
              <w:rPr>
                <w:rFonts w:hint="default"/>
                <w:highlight w:val="none"/>
              </w:rPr>
            </w:pPr>
            <w:r>
              <w:rPr>
                <w:rFonts w:hint="default"/>
                <w:highlight w:val="none"/>
              </w:rPr>
              <w:t>海拔高度(m)</w:t>
            </w:r>
          </w:p>
        </w:tc>
        <w:tc>
          <w:tcPr>
            <w:tcW w:w="4605" w:type="dxa"/>
            <w:gridSpan w:val="4"/>
            <w:tcBorders>
              <w:tl2br w:val="nil"/>
              <w:tr2bl w:val="nil"/>
            </w:tcBorders>
            <w:noWrap w:val="0"/>
            <w:vAlign w:val="center"/>
          </w:tcPr>
          <w:p w14:paraId="577F4DC0">
            <w:pPr>
              <w:pStyle w:val="58"/>
              <w:bidi w:val="0"/>
              <w:rPr>
                <w:rFonts w:hint="default"/>
                <w:highlight w:val="none"/>
              </w:rPr>
            </w:pPr>
            <w:r>
              <w:rPr>
                <w:rFonts w:hint="default"/>
                <w:highlight w:val="none"/>
              </w:rPr>
              <w:t>矩形面源</w:t>
            </w:r>
          </w:p>
        </w:tc>
        <w:tc>
          <w:tcPr>
            <w:tcW w:w="1162" w:type="dxa"/>
            <w:vMerge w:val="restart"/>
            <w:tcBorders>
              <w:tl2br w:val="nil"/>
              <w:tr2bl w:val="nil"/>
            </w:tcBorders>
            <w:noWrap w:val="0"/>
            <w:vAlign w:val="center"/>
          </w:tcPr>
          <w:p w14:paraId="5B95B54A">
            <w:pPr>
              <w:pStyle w:val="58"/>
              <w:bidi w:val="0"/>
              <w:rPr>
                <w:rFonts w:hint="default"/>
                <w:highlight w:val="none"/>
                <w:lang w:val="en-US" w:eastAsia="zh-CN"/>
              </w:rPr>
            </w:pPr>
            <w:r>
              <w:rPr>
                <w:rFonts w:hint="default"/>
                <w:highlight w:val="none"/>
                <w:lang w:eastAsia="zh-CN"/>
              </w:rPr>
              <w:t>年排放小时数（</w:t>
            </w:r>
            <w:r>
              <w:rPr>
                <w:rFonts w:hint="default"/>
                <w:highlight w:val="none"/>
                <w:lang w:val="en-US" w:eastAsia="zh-CN"/>
              </w:rPr>
              <w:t>h</w:t>
            </w:r>
            <w:r>
              <w:rPr>
                <w:rFonts w:hint="default"/>
                <w:highlight w:val="none"/>
                <w:lang w:eastAsia="zh-CN"/>
              </w:rPr>
              <w:t>）</w:t>
            </w:r>
          </w:p>
        </w:tc>
        <w:tc>
          <w:tcPr>
            <w:tcW w:w="803" w:type="dxa"/>
            <w:vMerge w:val="restart"/>
            <w:tcBorders>
              <w:tl2br w:val="nil"/>
              <w:tr2bl w:val="nil"/>
            </w:tcBorders>
            <w:noWrap w:val="0"/>
            <w:vAlign w:val="center"/>
          </w:tcPr>
          <w:p w14:paraId="0DEEBC50">
            <w:pPr>
              <w:pStyle w:val="58"/>
              <w:bidi w:val="0"/>
              <w:rPr>
                <w:rFonts w:hint="default"/>
                <w:highlight w:val="none"/>
                <w:lang w:val="en-US" w:eastAsia="zh-CN"/>
              </w:rPr>
            </w:pPr>
            <w:r>
              <w:rPr>
                <w:rFonts w:hint="default"/>
                <w:highlight w:val="none"/>
                <w:lang w:eastAsia="zh-CN"/>
              </w:rPr>
              <w:t>排放工况</w:t>
            </w:r>
          </w:p>
        </w:tc>
        <w:tc>
          <w:tcPr>
            <w:tcW w:w="1035" w:type="dxa"/>
            <w:vMerge w:val="restart"/>
            <w:tcBorders>
              <w:tl2br w:val="nil"/>
              <w:tr2bl w:val="nil"/>
            </w:tcBorders>
            <w:noWrap w:val="0"/>
            <w:vAlign w:val="center"/>
          </w:tcPr>
          <w:p w14:paraId="2070A1B1">
            <w:pPr>
              <w:pStyle w:val="58"/>
              <w:bidi w:val="0"/>
              <w:rPr>
                <w:rFonts w:hint="default"/>
                <w:highlight w:val="none"/>
              </w:rPr>
            </w:pPr>
            <w:r>
              <w:rPr>
                <w:rFonts w:hint="default"/>
                <w:highlight w:val="none"/>
              </w:rPr>
              <w:t>污染物</w:t>
            </w:r>
          </w:p>
        </w:tc>
        <w:tc>
          <w:tcPr>
            <w:tcW w:w="1113" w:type="dxa"/>
            <w:vMerge w:val="restart"/>
            <w:tcBorders>
              <w:tl2br w:val="nil"/>
              <w:tr2bl w:val="nil"/>
            </w:tcBorders>
            <w:noWrap w:val="0"/>
            <w:vAlign w:val="center"/>
          </w:tcPr>
          <w:p w14:paraId="6AAD19A5">
            <w:pPr>
              <w:pStyle w:val="58"/>
              <w:bidi w:val="0"/>
              <w:rPr>
                <w:rFonts w:hint="default"/>
                <w:highlight w:val="none"/>
              </w:rPr>
            </w:pPr>
            <w:r>
              <w:rPr>
                <w:rFonts w:hint="default"/>
                <w:highlight w:val="none"/>
              </w:rPr>
              <w:t>排放速率</w:t>
            </w:r>
          </w:p>
        </w:tc>
        <w:tc>
          <w:tcPr>
            <w:tcW w:w="874" w:type="dxa"/>
            <w:vMerge w:val="restart"/>
            <w:tcBorders>
              <w:tl2br w:val="nil"/>
              <w:tr2bl w:val="nil"/>
            </w:tcBorders>
            <w:noWrap w:val="0"/>
            <w:vAlign w:val="center"/>
          </w:tcPr>
          <w:p w14:paraId="4502731B">
            <w:pPr>
              <w:pStyle w:val="58"/>
              <w:bidi w:val="0"/>
              <w:rPr>
                <w:rFonts w:hint="default"/>
                <w:highlight w:val="none"/>
              </w:rPr>
            </w:pPr>
            <w:r>
              <w:rPr>
                <w:rFonts w:hint="default"/>
                <w:highlight w:val="none"/>
              </w:rPr>
              <w:t>单位</w:t>
            </w:r>
          </w:p>
        </w:tc>
      </w:tr>
      <w:tr w14:paraId="6C41D91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1140" w:type="dxa"/>
            <w:vMerge w:val="continue"/>
            <w:tcBorders>
              <w:tl2br w:val="nil"/>
              <w:tr2bl w:val="nil"/>
            </w:tcBorders>
            <w:noWrap w:val="0"/>
            <w:vAlign w:val="center"/>
          </w:tcPr>
          <w:p w14:paraId="601AB34E">
            <w:pPr>
              <w:pStyle w:val="58"/>
              <w:bidi w:val="0"/>
              <w:rPr>
                <w:rFonts w:hint="default"/>
                <w:highlight w:val="none"/>
              </w:rPr>
            </w:pPr>
          </w:p>
        </w:tc>
        <w:tc>
          <w:tcPr>
            <w:tcW w:w="1260" w:type="dxa"/>
            <w:tcBorders>
              <w:tl2br w:val="nil"/>
              <w:tr2bl w:val="nil"/>
            </w:tcBorders>
            <w:noWrap w:val="0"/>
            <w:vAlign w:val="center"/>
          </w:tcPr>
          <w:p w14:paraId="50A31BF5">
            <w:pPr>
              <w:pStyle w:val="58"/>
              <w:bidi w:val="0"/>
              <w:rPr>
                <w:rFonts w:hint="default"/>
                <w:highlight w:val="none"/>
              </w:rPr>
            </w:pPr>
            <w:r>
              <w:rPr>
                <w:rFonts w:hint="default"/>
                <w:highlight w:val="none"/>
              </w:rPr>
              <w:t>经度</w:t>
            </w:r>
          </w:p>
        </w:tc>
        <w:tc>
          <w:tcPr>
            <w:tcW w:w="1170" w:type="dxa"/>
            <w:tcBorders>
              <w:tl2br w:val="nil"/>
              <w:tr2bl w:val="nil"/>
            </w:tcBorders>
            <w:noWrap w:val="0"/>
            <w:vAlign w:val="center"/>
          </w:tcPr>
          <w:p w14:paraId="0BF87947">
            <w:pPr>
              <w:pStyle w:val="58"/>
              <w:bidi w:val="0"/>
              <w:rPr>
                <w:rFonts w:hint="default"/>
                <w:highlight w:val="none"/>
              </w:rPr>
            </w:pPr>
            <w:r>
              <w:rPr>
                <w:rFonts w:hint="default"/>
                <w:highlight w:val="none"/>
                <w:lang w:eastAsia="zh-CN"/>
              </w:rPr>
              <w:t>纬</w:t>
            </w:r>
            <w:r>
              <w:rPr>
                <w:rFonts w:hint="default"/>
                <w:highlight w:val="none"/>
              </w:rPr>
              <w:t>度</w:t>
            </w:r>
          </w:p>
        </w:tc>
        <w:tc>
          <w:tcPr>
            <w:tcW w:w="972" w:type="dxa"/>
            <w:vMerge w:val="continue"/>
            <w:tcBorders>
              <w:tl2br w:val="nil"/>
              <w:tr2bl w:val="nil"/>
            </w:tcBorders>
            <w:noWrap w:val="0"/>
            <w:vAlign w:val="center"/>
          </w:tcPr>
          <w:p w14:paraId="29AF695E">
            <w:pPr>
              <w:pStyle w:val="58"/>
              <w:bidi w:val="0"/>
              <w:rPr>
                <w:rFonts w:hint="default"/>
                <w:highlight w:val="none"/>
              </w:rPr>
            </w:pPr>
          </w:p>
        </w:tc>
        <w:tc>
          <w:tcPr>
            <w:tcW w:w="1005" w:type="dxa"/>
            <w:tcBorders>
              <w:tl2br w:val="nil"/>
              <w:tr2bl w:val="nil"/>
            </w:tcBorders>
            <w:noWrap w:val="0"/>
            <w:vAlign w:val="center"/>
          </w:tcPr>
          <w:p w14:paraId="64876D49">
            <w:pPr>
              <w:pStyle w:val="58"/>
              <w:bidi w:val="0"/>
              <w:rPr>
                <w:rFonts w:hint="default"/>
                <w:highlight w:val="none"/>
              </w:rPr>
            </w:pPr>
            <w:r>
              <w:rPr>
                <w:rFonts w:hint="default"/>
                <w:highlight w:val="none"/>
              </w:rPr>
              <w:t>长度(m)</w:t>
            </w:r>
          </w:p>
        </w:tc>
        <w:tc>
          <w:tcPr>
            <w:tcW w:w="1005" w:type="dxa"/>
            <w:tcBorders>
              <w:tl2br w:val="nil"/>
              <w:tr2bl w:val="nil"/>
            </w:tcBorders>
            <w:noWrap w:val="0"/>
            <w:vAlign w:val="center"/>
          </w:tcPr>
          <w:p w14:paraId="121F6520">
            <w:pPr>
              <w:pStyle w:val="58"/>
              <w:bidi w:val="0"/>
              <w:rPr>
                <w:rFonts w:hint="default"/>
                <w:highlight w:val="none"/>
              </w:rPr>
            </w:pPr>
            <w:r>
              <w:rPr>
                <w:rFonts w:hint="default"/>
                <w:highlight w:val="none"/>
              </w:rPr>
              <w:t>宽度(m)</w:t>
            </w:r>
          </w:p>
        </w:tc>
        <w:tc>
          <w:tcPr>
            <w:tcW w:w="1440" w:type="dxa"/>
            <w:tcBorders>
              <w:tl2br w:val="nil"/>
              <w:tr2bl w:val="nil"/>
            </w:tcBorders>
            <w:noWrap w:val="0"/>
            <w:vAlign w:val="center"/>
          </w:tcPr>
          <w:p w14:paraId="3C7C0A14">
            <w:pPr>
              <w:pStyle w:val="58"/>
              <w:bidi w:val="0"/>
              <w:rPr>
                <w:rFonts w:hint="default"/>
                <w:highlight w:val="none"/>
              </w:rPr>
            </w:pPr>
            <w:r>
              <w:rPr>
                <w:rFonts w:hint="default"/>
                <w:highlight w:val="none"/>
              </w:rPr>
              <w:t>有效高度(m)</w:t>
            </w:r>
          </w:p>
        </w:tc>
        <w:tc>
          <w:tcPr>
            <w:tcW w:w="1155" w:type="dxa"/>
            <w:tcBorders>
              <w:tl2br w:val="nil"/>
              <w:tr2bl w:val="nil"/>
            </w:tcBorders>
            <w:noWrap w:val="0"/>
            <w:vAlign w:val="center"/>
          </w:tcPr>
          <w:p w14:paraId="5A8717A9">
            <w:pPr>
              <w:pStyle w:val="58"/>
              <w:bidi w:val="0"/>
              <w:rPr>
                <w:rFonts w:hint="default"/>
                <w:highlight w:val="none"/>
                <w:lang w:val="en-US" w:eastAsia="zh-CN"/>
              </w:rPr>
            </w:pPr>
            <w:r>
              <w:rPr>
                <w:rFonts w:hint="default"/>
                <w:highlight w:val="none"/>
                <w:lang w:eastAsia="zh-CN"/>
              </w:rPr>
              <w:t>与正北方向夹角</w:t>
            </w:r>
            <w:r>
              <w:rPr>
                <w:rFonts w:hint="default"/>
                <w:highlight w:val="none"/>
                <w:lang w:val="en-US" w:eastAsia="zh-CN"/>
              </w:rPr>
              <w:t>/°</w:t>
            </w:r>
          </w:p>
        </w:tc>
        <w:tc>
          <w:tcPr>
            <w:tcW w:w="1162" w:type="dxa"/>
            <w:vMerge w:val="continue"/>
            <w:tcBorders>
              <w:tl2br w:val="nil"/>
              <w:tr2bl w:val="nil"/>
            </w:tcBorders>
            <w:noWrap w:val="0"/>
            <w:vAlign w:val="center"/>
          </w:tcPr>
          <w:p w14:paraId="2840B082">
            <w:pPr>
              <w:pStyle w:val="58"/>
              <w:bidi w:val="0"/>
              <w:rPr>
                <w:rFonts w:hint="default"/>
                <w:highlight w:val="none"/>
              </w:rPr>
            </w:pPr>
          </w:p>
        </w:tc>
        <w:tc>
          <w:tcPr>
            <w:tcW w:w="803" w:type="dxa"/>
            <w:vMerge w:val="continue"/>
            <w:tcBorders>
              <w:tl2br w:val="nil"/>
              <w:tr2bl w:val="nil"/>
            </w:tcBorders>
            <w:noWrap w:val="0"/>
            <w:vAlign w:val="center"/>
          </w:tcPr>
          <w:p w14:paraId="1E4BCD0A">
            <w:pPr>
              <w:pStyle w:val="58"/>
              <w:bidi w:val="0"/>
              <w:rPr>
                <w:rFonts w:hint="default"/>
                <w:highlight w:val="none"/>
              </w:rPr>
            </w:pPr>
          </w:p>
        </w:tc>
        <w:tc>
          <w:tcPr>
            <w:tcW w:w="1035" w:type="dxa"/>
            <w:vMerge w:val="continue"/>
            <w:tcBorders>
              <w:tl2br w:val="nil"/>
              <w:tr2bl w:val="nil"/>
            </w:tcBorders>
            <w:noWrap w:val="0"/>
            <w:vAlign w:val="center"/>
          </w:tcPr>
          <w:p w14:paraId="1F0C882D">
            <w:pPr>
              <w:pStyle w:val="58"/>
              <w:bidi w:val="0"/>
              <w:rPr>
                <w:rFonts w:hint="default"/>
                <w:highlight w:val="none"/>
              </w:rPr>
            </w:pPr>
          </w:p>
        </w:tc>
        <w:tc>
          <w:tcPr>
            <w:tcW w:w="1113" w:type="dxa"/>
            <w:vMerge w:val="continue"/>
            <w:tcBorders>
              <w:tl2br w:val="nil"/>
              <w:tr2bl w:val="nil"/>
            </w:tcBorders>
            <w:noWrap w:val="0"/>
            <w:vAlign w:val="center"/>
          </w:tcPr>
          <w:p w14:paraId="53BE1CBD">
            <w:pPr>
              <w:pStyle w:val="58"/>
              <w:bidi w:val="0"/>
              <w:rPr>
                <w:rFonts w:hint="default"/>
                <w:highlight w:val="none"/>
              </w:rPr>
            </w:pPr>
          </w:p>
        </w:tc>
        <w:tc>
          <w:tcPr>
            <w:tcW w:w="874" w:type="dxa"/>
            <w:vMerge w:val="continue"/>
            <w:tcBorders>
              <w:tl2br w:val="nil"/>
              <w:tr2bl w:val="nil"/>
            </w:tcBorders>
            <w:noWrap w:val="0"/>
            <w:vAlign w:val="center"/>
          </w:tcPr>
          <w:p w14:paraId="628A6056">
            <w:pPr>
              <w:pStyle w:val="58"/>
              <w:bidi w:val="0"/>
              <w:rPr>
                <w:rFonts w:hint="default"/>
                <w:highlight w:val="none"/>
              </w:rPr>
            </w:pPr>
          </w:p>
        </w:tc>
      </w:tr>
      <w:tr w14:paraId="0E84EE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5" w:hRule="atLeast"/>
          <w:jc w:val="center"/>
        </w:trPr>
        <w:tc>
          <w:tcPr>
            <w:tcW w:w="1140" w:type="dxa"/>
            <w:vAlign w:val="center"/>
          </w:tcPr>
          <w:p w14:paraId="1D3A9E43">
            <w:pPr>
              <w:pStyle w:val="58"/>
              <w:bidi w:val="0"/>
              <w:rPr>
                <w:rFonts w:hint="default"/>
                <w:highlight w:val="none"/>
                <w:lang w:val="en-US" w:eastAsia="zh-CN"/>
              </w:rPr>
            </w:pPr>
            <w:r>
              <w:rPr>
                <w:rFonts w:hint="default"/>
                <w:highlight w:val="none"/>
                <w:lang w:val="en-US" w:eastAsia="zh-CN"/>
              </w:rPr>
              <w:t>厂界无组织</w:t>
            </w:r>
          </w:p>
        </w:tc>
        <w:tc>
          <w:tcPr>
            <w:tcW w:w="1260" w:type="dxa"/>
            <w:vAlign w:val="center"/>
          </w:tcPr>
          <w:p w14:paraId="11D41F47">
            <w:pPr>
              <w:pStyle w:val="58"/>
              <w:bidi w:val="0"/>
              <w:rPr>
                <w:rFonts w:hint="default"/>
                <w:highlight w:val="none"/>
                <w:lang w:val="en-US" w:eastAsia="zh-CN"/>
              </w:rPr>
            </w:pPr>
            <w:r>
              <w:rPr>
                <w:rFonts w:hint="default"/>
                <w:highlight w:val="none"/>
              </w:rPr>
              <w:t>118.26737</w:t>
            </w:r>
            <w:r>
              <w:rPr>
                <w:rFonts w:hint="default"/>
                <w:highlight w:val="none"/>
                <w:lang w:val="en-US" w:eastAsia="zh-CN"/>
              </w:rPr>
              <w:t>6</w:t>
            </w:r>
          </w:p>
        </w:tc>
        <w:tc>
          <w:tcPr>
            <w:tcW w:w="1170" w:type="dxa"/>
            <w:vAlign w:val="center"/>
          </w:tcPr>
          <w:p w14:paraId="28012AC5">
            <w:pPr>
              <w:pStyle w:val="58"/>
              <w:bidi w:val="0"/>
              <w:rPr>
                <w:rFonts w:hint="default"/>
                <w:highlight w:val="none"/>
                <w:lang w:val="en-US" w:eastAsia="zh-CN"/>
              </w:rPr>
            </w:pPr>
            <w:r>
              <w:rPr>
                <w:rFonts w:hint="default"/>
                <w:highlight w:val="none"/>
              </w:rPr>
              <w:t>39.266627</w:t>
            </w:r>
          </w:p>
        </w:tc>
        <w:tc>
          <w:tcPr>
            <w:tcW w:w="972" w:type="dxa"/>
            <w:vAlign w:val="center"/>
          </w:tcPr>
          <w:p w14:paraId="1D5941D3">
            <w:pPr>
              <w:pStyle w:val="58"/>
              <w:bidi w:val="0"/>
              <w:rPr>
                <w:rFonts w:hint="default"/>
                <w:highlight w:val="none"/>
                <w:lang w:val="en-US" w:eastAsia="zh-CN"/>
              </w:rPr>
            </w:pPr>
            <w:r>
              <w:rPr>
                <w:rFonts w:hint="default"/>
                <w:highlight w:val="none"/>
                <w:lang w:val="en-US" w:eastAsia="zh-CN"/>
              </w:rPr>
              <w:t>1.4</w:t>
            </w:r>
          </w:p>
        </w:tc>
        <w:tc>
          <w:tcPr>
            <w:tcW w:w="1005" w:type="dxa"/>
            <w:vAlign w:val="center"/>
          </w:tcPr>
          <w:p w14:paraId="282DA3D2">
            <w:pPr>
              <w:pStyle w:val="58"/>
              <w:bidi w:val="0"/>
              <w:rPr>
                <w:rFonts w:hint="default"/>
                <w:highlight w:val="none"/>
                <w:lang w:val="en-US" w:eastAsia="zh-CN"/>
              </w:rPr>
            </w:pPr>
            <w:r>
              <w:rPr>
                <w:rFonts w:hint="default"/>
                <w:highlight w:val="none"/>
                <w:lang w:val="en-US" w:eastAsia="zh-CN"/>
              </w:rPr>
              <w:t>41.9</w:t>
            </w:r>
          </w:p>
        </w:tc>
        <w:tc>
          <w:tcPr>
            <w:tcW w:w="1005" w:type="dxa"/>
            <w:vAlign w:val="center"/>
          </w:tcPr>
          <w:p w14:paraId="05734F08">
            <w:pPr>
              <w:pStyle w:val="58"/>
              <w:bidi w:val="0"/>
              <w:rPr>
                <w:rFonts w:hint="default"/>
                <w:highlight w:val="none"/>
                <w:lang w:val="en-US" w:eastAsia="zh-CN"/>
              </w:rPr>
            </w:pPr>
            <w:r>
              <w:rPr>
                <w:rFonts w:hint="default"/>
                <w:highlight w:val="none"/>
                <w:lang w:val="en-US" w:eastAsia="zh-CN"/>
              </w:rPr>
              <w:t>26.2</w:t>
            </w:r>
          </w:p>
        </w:tc>
        <w:tc>
          <w:tcPr>
            <w:tcW w:w="1440" w:type="dxa"/>
            <w:vAlign w:val="center"/>
          </w:tcPr>
          <w:p w14:paraId="071BA414">
            <w:pPr>
              <w:pStyle w:val="58"/>
              <w:bidi w:val="0"/>
              <w:rPr>
                <w:rFonts w:hint="default"/>
                <w:highlight w:val="none"/>
                <w:lang w:val="en-US" w:eastAsia="zh-CN"/>
              </w:rPr>
            </w:pPr>
            <w:r>
              <w:rPr>
                <w:rFonts w:hint="default"/>
                <w:highlight w:val="none"/>
                <w:lang w:val="en-US" w:eastAsia="zh-CN"/>
              </w:rPr>
              <w:t>4.6</w:t>
            </w:r>
          </w:p>
        </w:tc>
        <w:tc>
          <w:tcPr>
            <w:tcW w:w="1155" w:type="dxa"/>
            <w:vAlign w:val="center"/>
          </w:tcPr>
          <w:p w14:paraId="19A1FE4F">
            <w:pPr>
              <w:pStyle w:val="58"/>
              <w:bidi w:val="0"/>
              <w:rPr>
                <w:rFonts w:hint="default"/>
                <w:highlight w:val="none"/>
                <w:lang w:val="en-US" w:eastAsia="zh-CN"/>
              </w:rPr>
            </w:pPr>
            <w:r>
              <w:rPr>
                <w:rFonts w:hint="default"/>
                <w:highlight w:val="none"/>
                <w:lang w:val="en-US" w:eastAsia="zh-CN"/>
              </w:rPr>
              <w:t>0</w:t>
            </w:r>
          </w:p>
        </w:tc>
        <w:tc>
          <w:tcPr>
            <w:tcW w:w="1162" w:type="dxa"/>
            <w:vAlign w:val="center"/>
          </w:tcPr>
          <w:p w14:paraId="60A2F526">
            <w:pPr>
              <w:pStyle w:val="58"/>
              <w:bidi w:val="0"/>
              <w:rPr>
                <w:rFonts w:hint="default"/>
                <w:highlight w:val="none"/>
                <w:lang w:val="en-US" w:eastAsia="zh-CN"/>
              </w:rPr>
            </w:pPr>
            <w:r>
              <w:rPr>
                <w:rFonts w:hint="default"/>
                <w:highlight w:val="none"/>
                <w:lang w:val="en-US" w:eastAsia="zh-CN"/>
              </w:rPr>
              <w:t>8760</w:t>
            </w:r>
          </w:p>
        </w:tc>
        <w:tc>
          <w:tcPr>
            <w:tcW w:w="803" w:type="dxa"/>
            <w:vAlign w:val="center"/>
          </w:tcPr>
          <w:p w14:paraId="6D4C41B9">
            <w:pPr>
              <w:pStyle w:val="58"/>
              <w:bidi w:val="0"/>
              <w:rPr>
                <w:rFonts w:hint="default"/>
                <w:highlight w:val="none"/>
                <w:lang w:val="en-US" w:eastAsia="zh-CN"/>
              </w:rPr>
            </w:pPr>
            <w:r>
              <w:rPr>
                <w:rFonts w:hint="default"/>
                <w:highlight w:val="none"/>
                <w:lang w:eastAsia="zh-CN"/>
              </w:rPr>
              <w:t>正常</w:t>
            </w:r>
          </w:p>
        </w:tc>
        <w:tc>
          <w:tcPr>
            <w:tcW w:w="1035" w:type="dxa"/>
            <w:vAlign w:val="center"/>
          </w:tcPr>
          <w:p w14:paraId="1F847221">
            <w:pPr>
              <w:pStyle w:val="58"/>
              <w:bidi w:val="0"/>
              <w:rPr>
                <w:rFonts w:hint="default"/>
                <w:highlight w:val="none"/>
                <w:lang w:val="en-US" w:eastAsia="zh-CN"/>
              </w:rPr>
            </w:pPr>
            <w:r>
              <w:rPr>
                <w:rFonts w:hint="eastAsia"/>
                <w:highlight w:val="none"/>
                <w:lang w:val="en-US" w:eastAsia="zh-CN"/>
              </w:rPr>
              <w:t>NH</w:t>
            </w:r>
            <w:r>
              <w:rPr>
                <w:rFonts w:hint="eastAsia"/>
                <w:highlight w:val="none"/>
                <w:vertAlign w:val="subscript"/>
                <w:lang w:val="en-US" w:eastAsia="zh-CN"/>
              </w:rPr>
              <w:t>3</w:t>
            </w:r>
          </w:p>
          <w:p w14:paraId="2E780A6A">
            <w:pPr>
              <w:pStyle w:val="58"/>
              <w:bidi w:val="0"/>
              <w:rPr>
                <w:rFonts w:hint="default"/>
                <w:highlight w:val="none"/>
                <w:lang w:val="en-US" w:eastAsia="zh-CN"/>
              </w:rPr>
            </w:pPr>
            <w:r>
              <w:rPr>
                <w:rFonts w:hint="eastAsia"/>
                <w:highlight w:val="none"/>
                <w:lang w:val="en-US" w:eastAsia="zh-CN"/>
              </w:rPr>
              <w:t>H</w:t>
            </w:r>
            <w:r>
              <w:rPr>
                <w:rFonts w:hint="eastAsia"/>
                <w:highlight w:val="none"/>
                <w:vertAlign w:val="subscript"/>
                <w:lang w:val="en-US" w:eastAsia="zh-CN"/>
              </w:rPr>
              <w:t>2</w:t>
            </w:r>
            <w:r>
              <w:rPr>
                <w:rFonts w:hint="eastAsia"/>
                <w:highlight w:val="none"/>
                <w:lang w:val="en-US" w:eastAsia="zh-CN"/>
              </w:rPr>
              <w:t>S</w:t>
            </w:r>
          </w:p>
        </w:tc>
        <w:tc>
          <w:tcPr>
            <w:tcW w:w="1113" w:type="dxa"/>
            <w:vAlign w:val="center"/>
          </w:tcPr>
          <w:p w14:paraId="1E322403">
            <w:pPr>
              <w:pStyle w:val="58"/>
              <w:bidi w:val="0"/>
              <w:rPr>
                <w:rFonts w:hint="default"/>
                <w:highlight w:val="none"/>
                <w:lang w:val="en-US" w:eastAsia="zh-CN"/>
              </w:rPr>
            </w:pPr>
            <w:r>
              <w:rPr>
                <w:rFonts w:hint="eastAsia"/>
                <w:highlight w:val="none"/>
                <w:lang w:val="en-US" w:eastAsia="zh-CN"/>
              </w:rPr>
              <w:t>0.0044</w:t>
            </w:r>
          </w:p>
          <w:p w14:paraId="5B0C7ECF">
            <w:pPr>
              <w:pStyle w:val="58"/>
              <w:bidi w:val="0"/>
              <w:rPr>
                <w:rFonts w:hint="default"/>
                <w:highlight w:val="none"/>
                <w:lang w:val="en-US" w:eastAsia="zh-CN"/>
              </w:rPr>
            </w:pPr>
            <w:r>
              <w:rPr>
                <w:rFonts w:hint="eastAsia"/>
                <w:highlight w:val="none"/>
                <w:lang w:val="en-US" w:eastAsia="zh-CN"/>
              </w:rPr>
              <w:t>0.00008</w:t>
            </w:r>
          </w:p>
        </w:tc>
        <w:tc>
          <w:tcPr>
            <w:tcW w:w="874" w:type="dxa"/>
            <w:vAlign w:val="center"/>
          </w:tcPr>
          <w:p w14:paraId="3C1FC500">
            <w:pPr>
              <w:pStyle w:val="58"/>
              <w:bidi w:val="0"/>
              <w:rPr>
                <w:rFonts w:hint="default"/>
                <w:highlight w:val="none"/>
                <w:lang w:val="en-US" w:eastAsia="zh-CN"/>
              </w:rPr>
            </w:pPr>
            <w:r>
              <w:rPr>
                <w:rFonts w:hint="default"/>
                <w:highlight w:val="none"/>
                <w:lang w:val="en-US" w:eastAsia="zh-CN"/>
              </w:rPr>
              <w:t>kg/h</w:t>
            </w:r>
          </w:p>
        </w:tc>
      </w:tr>
    </w:tbl>
    <w:p w14:paraId="6BE9E57B">
      <w:pPr>
        <w:tabs>
          <w:tab w:val="left" w:pos="360"/>
          <w:tab w:val="left" w:pos="2207"/>
        </w:tabs>
        <w:outlineLvl w:val="9"/>
        <w:rPr>
          <w:rFonts w:hint="default" w:ascii="Times New Roman" w:hAnsi="Times New Roman" w:eastAsia="宋体" w:cs="Times New Roman"/>
          <w:b/>
          <w:bCs/>
          <w:color w:val="000000" w:themeColor="text1"/>
          <w:sz w:val="24"/>
          <w:szCs w:val="24"/>
          <w:highlight w:val="none"/>
          <w:lang w:eastAsia="zh-CN"/>
          <w14:textFill>
            <w14:solidFill>
              <w14:schemeClr w14:val="tx1"/>
            </w14:solidFill>
          </w14:textFill>
        </w:rPr>
        <w:sectPr>
          <w:pgSz w:w="16838" w:h="11906" w:orient="landscape"/>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r>
        <w:rPr>
          <w:rFonts w:hint="default" w:ascii="Times New Roman" w:hAnsi="Times New Roman" w:eastAsia="宋体" w:cs="Times New Roman"/>
          <w:b/>
          <w:bCs/>
          <w:color w:val="000000" w:themeColor="text1"/>
          <w:sz w:val="24"/>
          <w:szCs w:val="24"/>
          <w:highlight w:val="none"/>
          <w:lang w:eastAsia="zh-CN"/>
          <w14:textFill>
            <w14:solidFill>
              <w14:schemeClr w14:val="tx1"/>
            </w14:solidFill>
          </w14:textFill>
        </w:rPr>
        <w:t>注：坐标点为面源左上角。</w:t>
      </w:r>
    </w:p>
    <w:p w14:paraId="50474AF9">
      <w:pPr>
        <w:spacing w:line="480" w:lineRule="exact"/>
        <w:ind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②预测模式</w:t>
      </w:r>
    </w:p>
    <w:p w14:paraId="49042E4D">
      <w:pPr>
        <w:spacing w:line="480" w:lineRule="exact"/>
        <w:ind w:firstLine="480" w:firstLineChars="200"/>
        <w:rPr>
          <w:rFonts w:hint="default" w:ascii="Times New Roman" w:hAnsi="Times New Roman" w:eastAsia="宋体" w:cs="Times New Roman"/>
          <w:color w:val="000000" w:themeColor="text1"/>
          <w:kern w:val="24"/>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本项目大气环境影响评价等级为二级，</w:t>
      </w:r>
      <w:r>
        <w:rPr>
          <w:rFonts w:hint="default" w:ascii="Times New Roman" w:hAnsi="Times New Roman" w:eastAsia="宋体" w:cs="Times New Roman"/>
          <w:color w:val="000000" w:themeColor="text1"/>
          <w:sz w:val="24"/>
          <w:szCs w:val="24"/>
          <w:highlight w:val="none"/>
          <w14:textFill>
            <w14:solidFill>
              <w14:schemeClr w14:val="tx1"/>
            </w14:solidFill>
          </w14:textFill>
        </w:rPr>
        <w:t>本次大气环境影响评价采用附录A推荐模型中的AERSCREEN模式计算项目污染源的最大环境影响。模型参数见表5.2-</w:t>
      </w:r>
      <w:r>
        <w:rPr>
          <w:rFonts w:hint="eastAsia" w:cs="Times New Roman"/>
          <w:color w:val="000000" w:themeColor="text1"/>
          <w:sz w:val="24"/>
          <w:szCs w:val="24"/>
          <w:highlight w:val="none"/>
          <w:lang w:val="en-US" w:eastAsia="zh-CN"/>
          <w14:textFill>
            <w14:solidFill>
              <w14:schemeClr w14:val="tx1"/>
            </w14:solidFill>
          </w14:textFill>
        </w:rPr>
        <w:t>10</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54E20379">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估算模型参数表</w:t>
      </w:r>
    </w:p>
    <w:tbl>
      <w:tblPr>
        <w:tblStyle w:val="48"/>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520"/>
        <w:gridCol w:w="2708"/>
        <w:gridCol w:w="4056"/>
      </w:tblGrid>
      <w:tr w14:paraId="4B89BE8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815" w:type="pct"/>
            <w:gridSpan w:val="2"/>
            <w:tcBorders>
              <w:tl2br w:val="nil"/>
              <w:tr2bl w:val="nil"/>
            </w:tcBorders>
            <w:noWrap w:val="0"/>
            <w:vAlign w:val="center"/>
          </w:tcPr>
          <w:p w14:paraId="67133A7C">
            <w:pPr>
              <w:pStyle w:val="58"/>
              <w:bidi w:val="0"/>
              <w:rPr>
                <w:rFonts w:hint="default"/>
                <w:highlight w:val="none"/>
              </w:rPr>
            </w:pPr>
            <w:r>
              <w:rPr>
                <w:rFonts w:hint="default"/>
                <w:highlight w:val="none"/>
              </w:rPr>
              <w:t>参数</w:t>
            </w:r>
          </w:p>
        </w:tc>
        <w:tc>
          <w:tcPr>
            <w:tcW w:w="2184" w:type="pct"/>
            <w:tcBorders>
              <w:tl2br w:val="nil"/>
              <w:tr2bl w:val="nil"/>
            </w:tcBorders>
            <w:noWrap w:val="0"/>
            <w:vAlign w:val="center"/>
          </w:tcPr>
          <w:p w14:paraId="3FDB032E">
            <w:pPr>
              <w:pStyle w:val="58"/>
              <w:bidi w:val="0"/>
              <w:rPr>
                <w:rFonts w:hint="default"/>
                <w:highlight w:val="none"/>
              </w:rPr>
            </w:pPr>
            <w:r>
              <w:rPr>
                <w:rFonts w:hint="default"/>
                <w:highlight w:val="none"/>
              </w:rPr>
              <w:t>取值</w:t>
            </w:r>
          </w:p>
        </w:tc>
      </w:tr>
      <w:tr w14:paraId="6801E9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357" w:type="pct"/>
            <w:vMerge w:val="restart"/>
            <w:tcBorders>
              <w:tl2br w:val="nil"/>
              <w:tr2bl w:val="nil"/>
            </w:tcBorders>
            <w:noWrap w:val="0"/>
            <w:vAlign w:val="center"/>
          </w:tcPr>
          <w:p w14:paraId="51D21BF2">
            <w:pPr>
              <w:pStyle w:val="58"/>
              <w:bidi w:val="0"/>
              <w:rPr>
                <w:rFonts w:hint="default"/>
                <w:highlight w:val="none"/>
              </w:rPr>
            </w:pPr>
            <w:r>
              <w:rPr>
                <w:rFonts w:hint="default"/>
                <w:highlight w:val="none"/>
              </w:rPr>
              <w:t>城市农村/选项</w:t>
            </w:r>
          </w:p>
        </w:tc>
        <w:tc>
          <w:tcPr>
            <w:tcW w:w="1458" w:type="pct"/>
            <w:tcBorders>
              <w:tl2br w:val="nil"/>
              <w:tr2bl w:val="nil"/>
            </w:tcBorders>
            <w:noWrap w:val="0"/>
            <w:vAlign w:val="center"/>
          </w:tcPr>
          <w:p w14:paraId="339C2074">
            <w:pPr>
              <w:pStyle w:val="58"/>
              <w:bidi w:val="0"/>
              <w:rPr>
                <w:rFonts w:hint="default"/>
                <w:highlight w:val="none"/>
              </w:rPr>
            </w:pPr>
            <w:r>
              <w:rPr>
                <w:rFonts w:hint="default"/>
                <w:highlight w:val="none"/>
              </w:rPr>
              <w:t>城市/农村</w:t>
            </w:r>
          </w:p>
        </w:tc>
        <w:tc>
          <w:tcPr>
            <w:tcW w:w="2184" w:type="pct"/>
            <w:tcBorders>
              <w:tl2br w:val="nil"/>
              <w:tr2bl w:val="nil"/>
            </w:tcBorders>
            <w:noWrap w:val="0"/>
            <w:vAlign w:val="center"/>
          </w:tcPr>
          <w:p w14:paraId="2C482B93">
            <w:pPr>
              <w:pStyle w:val="58"/>
              <w:bidi w:val="0"/>
              <w:rPr>
                <w:rFonts w:hint="default"/>
                <w:highlight w:val="none"/>
              </w:rPr>
            </w:pPr>
            <w:r>
              <w:rPr>
                <w:rFonts w:hint="default"/>
                <w:highlight w:val="none"/>
                <w:lang w:val="en-US" w:eastAsia="zh-CN"/>
              </w:rPr>
              <w:t>农村</w:t>
            </w:r>
          </w:p>
        </w:tc>
      </w:tr>
      <w:tr w14:paraId="744B896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357" w:type="pct"/>
            <w:vMerge w:val="continue"/>
            <w:tcBorders>
              <w:tl2br w:val="nil"/>
              <w:tr2bl w:val="nil"/>
            </w:tcBorders>
            <w:noWrap w:val="0"/>
            <w:vAlign w:val="center"/>
          </w:tcPr>
          <w:p w14:paraId="0B175A30">
            <w:pPr>
              <w:pStyle w:val="58"/>
              <w:bidi w:val="0"/>
              <w:rPr>
                <w:rFonts w:hint="default"/>
                <w:highlight w:val="none"/>
              </w:rPr>
            </w:pPr>
          </w:p>
        </w:tc>
        <w:tc>
          <w:tcPr>
            <w:tcW w:w="1458" w:type="pct"/>
            <w:tcBorders>
              <w:tl2br w:val="nil"/>
              <w:tr2bl w:val="nil"/>
            </w:tcBorders>
            <w:noWrap w:val="0"/>
            <w:vAlign w:val="center"/>
          </w:tcPr>
          <w:p w14:paraId="4B4570B6">
            <w:pPr>
              <w:pStyle w:val="58"/>
              <w:bidi w:val="0"/>
              <w:rPr>
                <w:rFonts w:hint="default"/>
                <w:highlight w:val="none"/>
              </w:rPr>
            </w:pPr>
            <w:r>
              <w:rPr>
                <w:rFonts w:hint="default"/>
                <w:highlight w:val="none"/>
              </w:rPr>
              <w:t>人口数(城市人口数)</w:t>
            </w:r>
          </w:p>
        </w:tc>
        <w:tc>
          <w:tcPr>
            <w:tcW w:w="2184" w:type="pct"/>
            <w:tcBorders>
              <w:tl2br w:val="nil"/>
              <w:tr2bl w:val="nil"/>
            </w:tcBorders>
            <w:noWrap w:val="0"/>
            <w:vAlign w:val="center"/>
          </w:tcPr>
          <w:p w14:paraId="314665CC">
            <w:pPr>
              <w:pStyle w:val="58"/>
              <w:bidi w:val="0"/>
              <w:rPr>
                <w:rFonts w:hint="default"/>
                <w:highlight w:val="none"/>
              </w:rPr>
            </w:pPr>
            <w:r>
              <w:rPr>
                <w:rFonts w:hint="default"/>
                <w:highlight w:val="none"/>
              </w:rPr>
              <w:t>--</w:t>
            </w:r>
          </w:p>
        </w:tc>
      </w:tr>
      <w:tr w14:paraId="4089F92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815" w:type="pct"/>
            <w:gridSpan w:val="2"/>
            <w:tcBorders>
              <w:tl2br w:val="nil"/>
              <w:tr2bl w:val="nil"/>
            </w:tcBorders>
            <w:noWrap w:val="0"/>
            <w:vAlign w:val="center"/>
          </w:tcPr>
          <w:p w14:paraId="1DAFDE3C">
            <w:pPr>
              <w:pStyle w:val="58"/>
              <w:bidi w:val="0"/>
              <w:rPr>
                <w:rFonts w:hint="default"/>
                <w:highlight w:val="none"/>
              </w:rPr>
            </w:pPr>
            <w:r>
              <w:rPr>
                <w:rFonts w:hint="default"/>
                <w:highlight w:val="none"/>
              </w:rPr>
              <w:t>最高环境温度</w:t>
            </w:r>
          </w:p>
        </w:tc>
        <w:tc>
          <w:tcPr>
            <w:tcW w:w="2184" w:type="pct"/>
            <w:tcBorders>
              <w:tl2br w:val="nil"/>
              <w:tr2bl w:val="nil"/>
            </w:tcBorders>
            <w:noWrap w:val="0"/>
            <w:vAlign w:val="center"/>
          </w:tcPr>
          <w:p w14:paraId="7B6BCC4D">
            <w:pPr>
              <w:pStyle w:val="58"/>
              <w:bidi w:val="0"/>
              <w:rPr>
                <w:rFonts w:hint="default"/>
                <w:highlight w:val="none"/>
                <w:lang w:val="en-US" w:eastAsia="zh-CN"/>
              </w:rPr>
            </w:pPr>
            <w:r>
              <w:rPr>
                <w:rFonts w:hint="default"/>
                <w:highlight w:val="none"/>
                <w:lang w:val="en-US" w:eastAsia="zh-CN"/>
              </w:rPr>
              <w:t>35.6</w:t>
            </w:r>
            <w:r>
              <w:rPr>
                <w:rFonts w:hint="default"/>
                <w:highlight w:val="none"/>
              </w:rPr>
              <w:t>°C</w:t>
            </w:r>
          </w:p>
        </w:tc>
      </w:tr>
      <w:tr w14:paraId="2B5C7EC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815" w:type="pct"/>
            <w:gridSpan w:val="2"/>
            <w:tcBorders>
              <w:tl2br w:val="nil"/>
              <w:tr2bl w:val="nil"/>
            </w:tcBorders>
            <w:noWrap w:val="0"/>
            <w:vAlign w:val="center"/>
          </w:tcPr>
          <w:p w14:paraId="76C066ED">
            <w:pPr>
              <w:pStyle w:val="58"/>
              <w:bidi w:val="0"/>
              <w:rPr>
                <w:rFonts w:hint="default"/>
                <w:highlight w:val="none"/>
              </w:rPr>
            </w:pPr>
            <w:r>
              <w:rPr>
                <w:rFonts w:hint="default"/>
                <w:highlight w:val="none"/>
              </w:rPr>
              <w:t>最低环境温度</w:t>
            </w:r>
          </w:p>
        </w:tc>
        <w:tc>
          <w:tcPr>
            <w:tcW w:w="2184" w:type="pct"/>
            <w:tcBorders>
              <w:tl2br w:val="nil"/>
              <w:tr2bl w:val="nil"/>
            </w:tcBorders>
            <w:noWrap w:val="0"/>
            <w:vAlign w:val="center"/>
          </w:tcPr>
          <w:p w14:paraId="79959027">
            <w:pPr>
              <w:pStyle w:val="58"/>
              <w:bidi w:val="0"/>
              <w:rPr>
                <w:rFonts w:hint="default"/>
                <w:highlight w:val="none"/>
                <w:lang w:val="en-US" w:eastAsia="zh-CN"/>
              </w:rPr>
            </w:pPr>
            <w:r>
              <w:rPr>
                <w:rFonts w:hint="default"/>
                <w:highlight w:val="none"/>
                <w:lang w:val="en-US" w:eastAsia="zh-CN"/>
              </w:rPr>
              <w:t>-14.3</w:t>
            </w:r>
            <w:r>
              <w:rPr>
                <w:rFonts w:hint="default"/>
                <w:highlight w:val="none"/>
              </w:rPr>
              <w:t>°C</w:t>
            </w:r>
          </w:p>
        </w:tc>
      </w:tr>
      <w:tr w14:paraId="5D97E1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815" w:type="pct"/>
            <w:gridSpan w:val="2"/>
            <w:tcBorders>
              <w:tl2br w:val="nil"/>
              <w:tr2bl w:val="nil"/>
            </w:tcBorders>
            <w:noWrap w:val="0"/>
            <w:vAlign w:val="center"/>
          </w:tcPr>
          <w:p w14:paraId="2D85E9DF">
            <w:pPr>
              <w:pStyle w:val="58"/>
              <w:bidi w:val="0"/>
              <w:rPr>
                <w:rFonts w:hint="default"/>
                <w:highlight w:val="none"/>
              </w:rPr>
            </w:pPr>
            <w:r>
              <w:rPr>
                <w:rFonts w:hint="default"/>
                <w:highlight w:val="none"/>
              </w:rPr>
              <w:t>土地利用类型</w:t>
            </w:r>
          </w:p>
        </w:tc>
        <w:tc>
          <w:tcPr>
            <w:tcW w:w="2184" w:type="pct"/>
            <w:tcBorders>
              <w:tl2br w:val="nil"/>
              <w:tr2bl w:val="nil"/>
            </w:tcBorders>
            <w:noWrap w:val="0"/>
            <w:vAlign w:val="center"/>
          </w:tcPr>
          <w:p w14:paraId="33933012">
            <w:pPr>
              <w:pStyle w:val="58"/>
              <w:bidi w:val="0"/>
              <w:rPr>
                <w:rFonts w:hint="default"/>
                <w:highlight w:val="none"/>
                <w:lang w:eastAsia="zh-CN"/>
              </w:rPr>
            </w:pPr>
            <w:r>
              <w:rPr>
                <w:rFonts w:hint="default"/>
                <w:highlight w:val="none"/>
                <w:lang w:val="en-US" w:eastAsia="zh-CN"/>
              </w:rPr>
              <w:t>农作地</w:t>
            </w:r>
          </w:p>
        </w:tc>
      </w:tr>
      <w:tr w14:paraId="36C4961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815" w:type="pct"/>
            <w:gridSpan w:val="2"/>
            <w:tcBorders>
              <w:tl2br w:val="nil"/>
              <w:tr2bl w:val="nil"/>
            </w:tcBorders>
            <w:noWrap w:val="0"/>
            <w:vAlign w:val="center"/>
          </w:tcPr>
          <w:p w14:paraId="3A09003A">
            <w:pPr>
              <w:pStyle w:val="58"/>
              <w:bidi w:val="0"/>
              <w:rPr>
                <w:rFonts w:hint="default"/>
                <w:highlight w:val="none"/>
              </w:rPr>
            </w:pPr>
            <w:r>
              <w:rPr>
                <w:rFonts w:hint="default"/>
                <w:highlight w:val="none"/>
              </w:rPr>
              <w:t>区域湿度条件</w:t>
            </w:r>
          </w:p>
        </w:tc>
        <w:tc>
          <w:tcPr>
            <w:tcW w:w="2184" w:type="pct"/>
            <w:tcBorders>
              <w:tl2br w:val="nil"/>
              <w:tr2bl w:val="nil"/>
            </w:tcBorders>
            <w:noWrap w:val="0"/>
            <w:vAlign w:val="center"/>
          </w:tcPr>
          <w:p w14:paraId="68DA58DA">
            <w:pPr>
              <w:pStyle w:val="58"/>
              <w:bidi w:val="0"/>
              <w:rPr>
                <w:rFonts w:hint="default"/>
                <w:highlight w:val="none"/>
                <w:lang w:eastAsia="zh-CN"/>
              </w:rPr>
            </w:pPr>
            <w:r>
              <w:rPr>
                <w:rFonts w:hint="default"/>
                <w:highlight w:val="none"/>
              </w:rPr>
              <w:t>中等湿度气候</w:t>
            </w:r>
          </w:p>
        </w:tc>
      </w:tr>
      <w:tr w14:paraId="11D9D27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815" w:type="pct"/>
            <w:gridSpan w:val="2"/>
            <w:tcBorders>
              <w:tl2br w:val="nil"/>
              <w:tr2bl w:val="nil"/>
            </w:tcBorders>
            <w:noWrap w:val="0"/>
            <w:vAlign w:val="center"/>
          </w:tcPr>
          <w:p w14:paraId="7AEAA16A">
            <w:pPr>
              <w:pStyle w:val="58"/>
              <w:bidi w:val="0"/>
              <w:rPr>
                <w:rFonts w:hint="default"/>
                <w:highlight w:val="none"/>
                <w:lang w:val="en-US" w:eastAsia="zh-CN"/>
              </w:rPr>
            </w:pPr>
            <w:r>
              <w:rPr>
                <w:rFonts w:hint="default"/>
                <w:highlight w:val="none"/>
                <w:lang w:val="en-US" w:eastAsia="zh-CN"/>
              </w:rPr>
              <w:t>风速计高度</w:t>
            </w:r>
          </w:p>
        </w:tc>
        <w:tc>
          <w:tcPr>
            <w:tcW w:w="2184" w:type="pct"/>
            <w:tcBorders>
              <w:tl2br w:val="nil"/>
              <w:tr2bl w:val="nil"/>
            </w:tcBorders>
            <w:noWrap w:val="0"/>
            <w:vAlign w:val="center"/>
          </w:tcPr>
          <w:p w14:paraId="315800CE">
            <w:pPr>
              <w:pStyle w:val="58"/>
              <w:bidi w:val="0"/>
              <w:rPr>
                <w:rFonts w:hint="default"/>
                <w:highlight w:val="none"/>
                <w:lang w:val="en-US" w:eastAsia="zh-CN"/>
              </w:rPr>
            </w:pPr>
            <w:r>
              <w:rPr>
                <w:rFonts w:hint="default"/>
                <w:highlight w:val="none"/>
                <w:lang w:val="en-US" w:eastAsia="zh-CN"/>
              </w:rPr>
              <w:t>10m</w:t>
            </w:r>
          </w:p>
        </w:tc>
      </w:tr>
      <w:tr w14:paraId="2F82531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815" w:type="pct"/>
            <w:gridSpan w:val="2"/>
            <w:tcBorders>
              <w:tl2br w:val="nil"/>
              <w:tr2bl w:val="nil"/>
            </w:tcBorders>
            <w:noWrap w:val="0"/>
            <w:vAlign w:val="center"/>
          </w:tcPr>
          <w:p w14:paraId="634EA749">
            <w:pPr>
              <w:pStyle w:val="58"/>
              <w:bidi w:val="0"/>
              <w:rPr>
                <w:rFonts w:hint="default"/>
                <w:highlight w:val="none"/>
                <w:lang w:val="en-US" w:eastAsia="zh-CN"/>
              </w:rPr>
            </w:pPr>
            <w:r>
              <w:rPr>
                <w:rFonts w:hint="default"/>
                <w:highlight w:val="none"/>
                <w:lang w:val="en-US" w:eastAsia="zh-CN"/>
              </w:rPr>
              <w:t>最小风速</w:t>
            </w:r>
          </w:p>
        </w:tc>
        <w:tc>
          <w:tcPr>
            <w:tcW w:w="2184" w:type="pct"/>
            <w:tcBorders>
              <w:tl2br w:val="nil"/>
              <w:tr2bl w:val="nil"/>
            </w:tcBorders>
            <w:noWrap w:val="0"/>
            <w:vAlign w:val="center"/>
          </w:tcPr>
          <w:p w14:paraId="3DE13824">
            <w:pPr>
              <w:pStyle w:val="58"/>
              <w:bidi w:val="0"/>
              <w:rPr>
                <w:rFonts w:hint="default"/>
                <w:highlight w:val="none"/>
                <w:lang w:val="en-US" w:eastAsia="zh-CN"/>
              </w:rPr>
            </w:pPr>
            <w:r>
              <w:rPr>
                <w:rFonts w:hint="default"/>
                <w:highlight w:val="none"/>
                <w:lang w:val="en-US" w:eastAsia="zh-CN"/>
              </w:rPr>
              <w:t>0.5m/s</w:t>
            </w:r>
          </w:p>
        </w:tc>
      </w:tr>
      <w:tr w14:paraId="3518ECA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815" w:type="pct"/>
            <w:gridSpan w:val="2"/>
            <w:tcBorders>
              <w:tl2br w:val="nil"/>
              <w:tr2bl w:val="nil"/>
            </w:tcBorders>
            <w:noWrap w:val="0"/>
            <w:vAlign w:val="center"/>
          </w:tcPr>
          <w:p w14:paraId="1B8A0CB0">
            <w:pPr>
              <w:pStyle w:val="58"/>
              <w:bidi w:val="0"/>
              <w:rPr>
                <w:rFonts w:hint="default"/>
                <w:highlight w:val="none"/>
                <w:lang w:val="en-US" w:eastAsia="zh-CN"/>
              </w:rPr>
            </w:pPr>
            <w:r>
              <w:rPr>
                <w:rFonts w:hint="default"/>
                <w:highlight w:val="none"/>
                <w:lang w:val="en-US" w:eastAsia="zh-CN"/>
              </w:rPr>
              <w:t>中心经纬度</w:t>
            </w:r>
          </w:p>
        </w:tc>
        <w:tc>
          <w:tcPr>
            <w:tcW w:w="2184" w:type="pct"/>
            <w:tcBorders>
              <w:tl2br w:val="nil"/>
              <w:tr2bl w:val="nil"/>
            </w:tcBorders>
            <w:noWrap w:val="0"/>
            <w:vAlign w:val="center"/>
          </w:tcPr>
          <w:p w14:paraId="7547FD03">
            <w:pPr>
              <w:pStyle w:val="58"/>
              <w:bidi w:val="0"/>
              <w:rPr>
                <w:rFonts w:hint="default"/>
                <w:highlight w:val="none"/>
                <w:lang w:val="en-US" w:eastAsia="zh-CN"/>
              </w:rPr>
            </w:pPr>
            <w:r>
              <w:rPr>
                <w:rFonts w:hint="default"/>
                <w:highlight w:val="none"/>
                <w:lang w:val="en-US" w:eastAsia="zh-CN"/>
              </w:rPr>
              <w:t>北纬39°15′59.114″，东经118°16′3.267″</w:t>
            </w:r>
          </w:p>
        </w:tc>
      </w:tr>
      <w:tr w14:paraId="11056E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357" w:type="pct"/>
            <w:vMerge w:val="restart"/>
            <w:tcBorders>
              <w:tl2br w:val="nil"/>
              <w:tr2bl w:val="nil"/>
            </w:tcBorders>
            <w:noWrap w:val="0"/>
            <w:vAlign w:val="center"/>
          </w:tcPr>
          <w:p w14:paraId="7815B12F">
            <w:pPr>
              <w:pStyle w:val="58"/>
              <w:bidi w:val="0"/>
              <w:rPr>
                <w:rFonts w:hint="default"/>
                <w:highlight w:val="none"/>
              </w:rPr>
            </w:pPr>
            <w:r>
              <w:rPr>
                <w:rFonts w:hint="default"/>
                <w:highlight w:val="none"/>
              </w:rPr>
              <w:t>是否考虑地形</w:t>
            </w:r>
          </w:p>
        </w:tc>
        <w:tc>
          <w:tcPr>
            <w:tcW w:w="1458" w:type="pct"/>
            <w:tcBorders>
              <w:tl2br w:val="nil"/>
              <w:tr2bl w:val="nil"/>
            </w:tcBorders>
            <w:noWrap w:val="0"/>
            <w:vAlign w:val="center"/>
          </w:tcPr>
          <w:p w14:paraId="1C382A4E">
            <w:pPr>
              <w:pStyle w:val="58"/>
              <w:bidi w:val="0"/>
              <w:rPr>
                <w:rFonts w:hint="default"/>
                <w:highlight w:val="none"/>
              </w:rPr>
            </w:pPr>
            <w:r>
              <w:rPr>
                <w:rFonts w:hint="default"/>
                <w:highlight w:val="none"/>
              </w:rPr>
              <w:t>考虑地形</w:t>
            </w:r>
          </w:p>
        </w:tc>
        <w:tc>
          <w:tcPr>
            <w:tcW w:w="2184" w:type="pct"/>
            <w:tcBorders>
              <w:tl2br w:val="nil"/>
              <w:tr2bl w:val="nil"/>
            </w:tcBorders>
            <w:noWrap w:val="0"/>
            <w:vAlign w:val="center"/>
          </w:tcPr>
          <w:p w14:paraId="1CE22715">
            <w:pPr>
              <w:pStyle w:val="58"/>
              <w:bidi w:val="0"/>
              <w:rPr>
                <w:rFonts w:hint="default"/>
                <w:highlight w:val="none"/>
              </w:rPr>
            </w:pPr>
            <w:r>
              <w:rPr>
                <w:rFonts w:hint="default"/>
                <w:highlight w:val="none"/>
              </w:rPr>
              <w:t>是</w:t>
            </w:r>
          </w:p>
        </w:tc>
      </w:tr>
      <w:tr w14:paraId="07F74B8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357" w:type="pct"/>
            <w:vMerge w:val="continue"/>
            <w:tcBorders>
              <w:tl2br w:val="nil"/>
              <w:tr2bl w:val="nil"/>
            </w:tcBorders>
            <w:noWrap w:val="0"/>
            <w:vAlign w:val="center"/>
          </w:tcPr>
          <w:p w14:paraId="2FF45571">
            <w:pPr>
              <w:pStyle w:val="58"/>
              <w:bidi w:val="0"/>
              <w:rPr>
                <w:rFonts w:hint="default"/>
                <w:highlight w:val="none"/>
              </w:rPr>
            </w:pPr>
          </w:p>
        </w:tc>
        <w:tc>
          <w:tcPr>
            <w:tcW w:w="1458" w:type="pct"/>
            <w:tcBorders>
              <w:tl2br w:val="nil"/>
              <w:tr2bl w:val="nil"/>
            </w:tcBorders>
            <w:noWrap w:val="0"/>
            <w:vAlign w:val="center"/>
          </w:tcPr>
          <w:p w14:paraId="5D90C965">
            <w:pPr>
              <w:pStyle w:val="58"/>
              <w:bidi w:val="0"/>
              <w:rPr>
                <w:rFonts w:hint="default"/>
                <w:highlight w:val="none"/>
              </w:rPr>
            </w:pPr>
            <w:r>
              <w:rPr>
                <w:rFonts w:hint="default"/>
                <w:highlight w:val="none"/>
              </w:rPr>
              <w:t>地形数据分辨率(m)</w:t>
            </w:r>
          </w:p>
        </w:tc>
        <w:tc>
          <w:tcPr>
            <w:tcW w:w="2184" w:type="pct"/>
            <w:tcBorders>
              <w:tl2br w:val="nil"/>
              <w:tr2bl w:val="nil"/>
            </w:tcBorders>
            <w:noWrap w:val="0"/>
            <w:vAlign w:val="center"/>
          </w:tcPr>
          <w:p w14:paraId="6F0C348E">
            <w:pPr>
              <w:pStyle w:val="58"/>
              <w:bidi w:val="0"/>
              <w:rPr>
                <w:rFonts w:hint="default"/>
                <w:highlight w:val="none"/>
              </w:rPr>
            </w:pPr>
            <w:r>
              <w:rPr>
                <w:rFonts w:hint="default"/>
                <w:highlight w:val="none"/>
              </w:rPr>
              <w:t>90</w:t>
            </w:r>
          </w:p>
        </w:tc>
      </w:tr>
      <w:tr w14:paraId="51C31B7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357" w:type="pct"/>
            <w:vMerge w:val="restart"/>
            <w:tcBorders>
              <w:tl2br w:val="nil"/>
              <w:tr2bl w:val="nil"/>
            </w:tcBorders>
            <w:noWrap w:val="0"/>
            <w:vAlign w:val="center"/>
          </w:tcPr>
          <w:p w14:paraId="42C9B71D">
            <w:pPr>
              <w:pStyle w:val="58"/>
              <w:bidi w:val="0"/>
              <w:rPr>
                <w:rFonts w:hint="default"/>
                <w:highlight w:val="none"/>
              </w:rPr>
            </w:pPr>
            <w:r>
              <w:rPr>
                <w:rFonts w:hint="default"/>
                <w:highlight w:val="none"/>
              </w:rPr>
              <w:t>是否考虑岸线熏烟</w:t>
            </w:r>
          </w:p>
        </w:tc>
        <w:tc>
          <w:tcPr>
            <w:tcW w:w="1458" w:type="pct"/>
            <w:tcBorders>
              <w:tl2br w:val="nil"/>
              <w:tr2bl w:val="nil"/>
            </w:tcBorders>
            <w:noWrap w:val="0"/>
            <w:vAlign w:val="center"/>
          </w:tcPr>
          <w:p w14:paraId="3445AB57">
            <w:pPr>
              <w:pStyle w:val="58"/>
              <w:bidi w:val="0"/>
              <w:rPr>
                <w:rFonts w:hint="default"/>
                <w:highlight w:val="none"/>
                <w:lang w:val="en-US" w:eastAsia="zh-CN"/>
              </w:rPr>
            </w:pPr>
            <w:r>
              <w:rPr>
                <w:rFonts w:hint="default"/>
                <w:highlight w:val="none"/>
              </w:rPr>
              <w:t>考虑岸线熏烟</w:t>
            </w:r>
          </w:p>
        </w:tc>
        <w:tc>
          <w:tcPr>
            <w:tcW w:w="2184" w:type="pct"/>
            <w:tcBorders>
              <w:tl2br w:val="nil"/>
              <w:tr2bl w:val="nil"/>
            </w:tcBorders>
            <w:noWrap w:val="0"/>
            <w:vAlign w:val="center"/>
          </w:tcPr>
          <w:p w14:paraId="31D99217">
            <w:pPr>
              <w:pStyle w:val="58"/>
              <w:bidi w:val="0"/>
              <w:rPr>
                <w:rFonts w:hint="default"/>
                <w:highlight w:val="none"/>
                <w:lang w:val="en-US" w:eastAsia="zh-CN"/>
              </w:rPr>
            </w:pPr>
            <w:r>
              <w:rPr>
                <w:rFonts w:hint="default"/>
                <w:highlight w:val="none"/>
                <w:lang w:eastAsia="zh-CN"/>
              </w:rPr>
              <w:t>否</w:t>
            </w:r>
          </w:p>
        </w:tc>
      </w:tr>
      <w:tr w14:paraId="4540E89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357" w:type="pct"/>
            <w:vMerge w:val="continue"/>
            <w:tcBorders>
              <w:tl2br w:val="nil"/>
              <w:tr2bl w:val="nil"/>
            </w:tcBorders>
            <w:noWrap w:val="0"/>
            <w:vAlign w:val="center"/>
          </w:tcPr>
          <w:p w14:paraId="173A9E30">
            <w:pPr>
              <w:pStyle w:val="58"/>
              <w:bidi w:val="0"/>
              <w:rPr>
                <w:rFonts w:hint="default"/>
                <w:highlight w:val="none"/>
              </w:rPr>
            </w:pPr>
          </w:p>
        </w:tc>
        <w:tc>
          <w:tcPr>
            <w:tcW w:w="1458" w:type="pct"/>
            <w:tcBorders>
              <w:tl2br w:val="nil"/>
              <w:tr2bl w:val="nil"/>
            </w:tcBorders>
            <w:noWrap w:val="0"/>
            <w:vAlign w:val="center"/>
          </w:tcPr>
          <w:p w14:paraId="5A3D659C">
            <w:pPr>
              <w:pStyle w:val="58"/>
              <w:bidi w:val="0"/>
              <w:rPr>
                <w:rFonts w:hint="default"/>
                <w:highlight w:val="none"/>
                <w:lang w:val="en-US" w:eastAsia="zh-CN"/>
              </w:rPr>
            </w:pPr>
            <w:r>
              <w:rPr>
                <w:rFonts w:hint="default"/>
                <w:highlight w:val="none"/>
              </w:rPr>
              <w:t>岸线距离/m</w:t>
            </w:r>
          </w:p>
        </w:tc>
        <w:tc>
          <w:tcPr>
            <w:tcW w:w="4303" w:type="dxa"/>
            <w:tcBorders>
              <w:tl2br w:val="nil"/>
              <w:tr2bl w:val="nil"/>
            </w:tcBorders>
            <w:noWrap w:val="0"/>
            <w:vAlign w:val="center"/>
          </w:tcPr>
          <w:p w14:paraId="2447F36F">
            <w:pPr>
              <w:pStyle w:val="58"/>
              <w:bidi w:val="0"/>
              <w:rPr>
                <w:rFonts w:hint="default"/>
                <w:highlight w:val="none"/>
                <w:lang w:val="en-US" w:eastAsia="zh-CN"/>
              </w:rPr>
            </w:pPr>
            <w:r>
              <w:rPr>
                <w:rFonts w:hint="default"/>
                <w:highlight w:val="none"/>
              </w:rPr>
              <w:t>--</w:t>
            </w:r>
          </w:p>
        </w:tc>
      </w:tr>
      <w:tr w14:paraId="785F5F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357" w:type="pct"/>
            <w:vMerge w:val="continue"/>
            <w:tcBorders>
              <w:tl2br w:val="nil"/>
              <w:tr2bl w:val="nil"/>
            </w:tcBorders>
            <w:noWrap w:val="0"/>
            <w:vAlign w:val="center"/>
          </w:tcPr>
          <w:p w14:paraId="0C021527">
            <w:pPr>
              <w:pStyle w:val="58"/>
              <w:bidi w:val="0"/>
              <w:rPr>
                <w:rFonts w:hint="default"/>
                <w:highlight w:val="none"/>
              </w:rPr>
            </w:pPr>
          </w:p>
        </w:tc>
        <w:tc>
          <w:tcPr>
            <w:tcW w:w="1458" w:type="pct"/>
            <w:tcBorders>
              <w:tl2br w:val="nil"/>
              <w:tr2bl w:val="nil"/>
            </w:tcBorders>
            <w:noWrap w:val="0"/>
            <w:vAlign w:val="center"/>
          </w:tcPr>
          <w:p w14:paraId="134A8E0C">
            <w:pPr>
              <w:pStyle w:val="58"/>
              <w:bidi w:val="0"/>
              <w:rPr>
                <w:rFonts w:hint="default"/>
                <w:highlight w:val="none"/>
                <w:lang w:val="en-US" w:eastAsia="zh-CN"/>
              </w:rPr>
            </w:pPr>
            <w:r>
              <w:rPr>
                <w:rFonts w:hint="default"/>
                <w:highlight w:val="none"/>
              </w:rPr>
              <w:t>岸线方向/°</w:t>
            </w:r>
          </w:p>
        </w:tc>
        <w:tc>
          <w:tcPr>
            <w:tcW w:w="4303" w:type="dxa"/>
            <w:tcBorders>
              <w:tl2br w:val="nil"/>
              <w:tr2bl w:val="nil"/>
            </w:tcBorders>
            <w:noWrap w:val="0"/>
            <w:vAlign w:val="center"/>
          </w:tcPr>
          <w:p w14:paraId="6D0C6D4A">
            <w:pPr>
              <w:pStyle w:val="58"/>
              <w:bidi w:val="0"/>
              <w:rPr>
                <w:rFonts w:hint="default"/>
                <w:highlight w:val="none"/>
                <w:lang w:val="en-US" w:eastAsia="zh-CN"/>
              </w:rPr>
            </w:pPr>
            <w:r>
              <w:rPr>
                <w:rFonts w:hint="default"/>
                <w:highlight w:val="none"/>
              </w:rPr>
              <w:t>--</w:t>
            </w:r>
          </w:p>
        </w:tc>
      </w:tr>
    </w:tbl>
    <w:p w14:paraId="59ABD473">
      <w:pPr>
        <w:spacing w:line="480" w:lineRule="exact"/>
        <w:ind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③预测结果及分析</w:t>
      </w:r>
    </w:p>
    <w:p w14:paraId="2E249978">
      <w:pPr>
        <w:tabs>
          <w:tab w:val="left" w:pos="1880"/>
        </w:tabs>
        <w:autoSpaceDE w:val="0"/>
        <w:autoSpaceDN w:val="0"/>
        <w:adjustRightInd w:val="0"/>
        <w:spacing w:line="480" w:lineRule="exact"/>
        <w:ind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本项目所有污染源的正常排放的污染物的P</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max</w:t>
      </w:r>
      <w:r>
        <w:rPr>
          <w:rFonts w:hint="default" w:ascii="Times New Roman" w:hAnsi="Times New Roman" w:eastAsia="宋体" w:cs="Times New Roman"/>
          <w:color w:val="000000" w:themeColor="text1"/>
          <w:sz w:val="24"/>
          <w:szCs w:val="24"/>
          <w:highlight w:val="none"/>
          <w14:textFill>
            <w14:solidFill>
              <w14:schemeClr w14:val="tx1"/>
            </w14:solidFill>
          </w14:textFill>
        </w:rPr>
        <w:t>和D</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10%</w:t>
      </w:r>
      <w:r>
        <w:rPr>
          <w:rFonts w:hint="default" w:ascii="Times New Roman" w:hAnsi="Times New Roman" w:eastAsia="宋体" w:cs="Times New Roman"/>
          <w:color w:val="000000" w:themeColor="text1"/>
          <w:sz w:val="24"/>
          <w:szCs w:val="24"/>
          <w:highlight w:val="none"/>
          <w14:textFill>
            <w14:solidFill>
              <w14:schemeClr w14:val="tx1"/>
            </w14:solidFill>
          </w14:textFill>
        </w:rPr>
        <w:t>预测结果如下。</w:t>
      </w:r>
    </w:p>
    <w:p w14:paraId="63FD6DE0">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bookmarkStart w:id="314" w:name="OLE_LINK31"/>
      <w:r>
        <w:rPr>
          <w:rFonts w:hint="default" w:ascii="Times New Roman" w:hAnsi="Times New Roman" w:eastAsia="宋体" w:cs="Times New Roman"/>
          <w:b/>
          <w:bCs/>
          <w:color w:val="auto"/>
          <w:sz w:val="24"/>
          <w:highlight w:val="none"/>
          <w:lang w:val="en-US" w:eastAsia="zh-CN"/>
        </w:rPr>
        <w:t>面源</w:t>
      </w:r>
      <w:r>
        <w:rPr>
          <w:rFonts w:hint="default" w:ascii="Times New Roman" w:hAnsi="Times New Roman" w:eastAsia="宋体" w:cs="Times New Roman"/>
          <w:b/>
          <w:bCs/>
          <w:color w:val="auto"/>
          <w:sz w:val="24"/>
          <w:highlight w:val="none"/>
        </w:rPr>
        <w:t>预测结果一览表</w:t>
      </w:r>
    </w:p>
    <w:tbl>
      <w:tblPr>
        <w:tblStyle w:val="47"/>
        <w:tblW w:w="4996"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802"/>
        <w:gridCol w:w="2128"/>
        <w:gridCol w:w="1699"/>
        <w:gridCol w:w="1990"/>
        <w:gridCol w:w="1662"/>
      </w:tblGrid>
      <w:tr w14:paraId="4DC7BF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vMerge w:val="restart"/>
            <w:tcBorders>
              <w:tl2br w:val="nil"/>
              <w:tr2bl w:val="nil"/>
            </w:tcBorders>
            <w:vAlign w:val="center"/>
          </w:tcPr>
          <w:p w14:paraId="24627B0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rPr>
            </w:pPr>
            <w:r>
              <w:rPr>
                <w:rFonts w:hint="eastAsia" w:ascii="宋体" w:hAnsi="宋体" w:eastAsia="宋体" w:cs="宋体"/>
                <w:i w:val="0"/>
                <w:iCs w:val="0"/>
                <w:color w:val="000000"/>
                <w:kern w:val="0"/>
                <w:sz w:val="23"/>
                <w:szCs w:val="23"/>
                <w:highlight w:val="none"/>
                <w:u w:val="none"/>
                <w:lang w:val="en-US" w:eastAsia="zh-CN" w:bidi="ar"/>
              </w:rPr>
              <w:t>下风向距离</w:t>
            </w:r>
          </w:p>
        </w:tc>
        <w:tc>
          <w:tcPr>
            <w:tcW w:w="7479" w:type="dxa"/>
            <w:gridSpan w:val="4"/>
            <w:tcBorders>
              <w:tl2br w:val="nil"/>
              <w:tr2bl w:val="nil"/>
            </w:tcBorders>
            <w:vAlign w:val="center"/>
          </w:tcPr>
          <w:p w14:paraId="2911859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eastAsia="zh-CN"/>
              </w:rPr>
            </w:pPr>
            <w:r>
              <w:rPr>
                <w:rFonts w:hint="eastAsia" w:ascii="宋体" w:hAnsi="宋体" w:eastAsia="宋体" w:cs="宋体"/>
                <w:i w:val="0"/>
                <w:iCs w:val="0"/>
                <w:color w:val="000000"/>
                <w:kern w:val="0"/>
                <w:sz w:val="23"/>
                <w:szCs w:val="23"/>
                <w:highlight w:val="none"/>
                <w:u w:val="none"/>
                <w:lang w:val="en-US" w:eastAsia="zh-CN" w:bidi="ar"/>
              </w:rPr>
              <w:t>矩形面源</w:t>
            </w:r>
          </w:p>
        </w:tc>
      </w:tr>
      <w:tr w14:paraId="27275D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vMerge w:val="continue"/>
            <w:tcBorders>
              <w:tl2br w:val="nil"/>
              <w:tr2bl w:val="nil"/>
            </w:tcBorders>
            <w:vAlign w:val="center"/>
          </w:tcPr>
          <w:p w14:paraId="0111F71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highlight w:val="none"/>
              </w:rPr>
            </w:pPr>
          </w:p>
        </w:tc>
        <w:tc>
          <w:tcPr>
            <w:tcW w:w="2128" w:type="dxa"/>
            <w:tcBorders>
              <w:tl2br w:val="nil"/>
              <w:tr2bl w:val="nil"/>
            </w:tcBorders>
            <w:vAlign w:val="center"/>
          </w:tcPr>
          <w:p w14:paraId="577AD3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rPr>
            </w:pPr>
            <w:r>
              <w:rPr>
                <w:rFonts w:hint="eastAsia" w:ascii="宋体" w:hAnsi="宋体" w:eastAsia="宋体" w:cs="宋体"/>
                <w:i w:val="0"/>
                <w:iCs w:val="0"/>
                <w:color w:val="000000"/>
                <w:kern w:val="0"/>
                <w:sz w:val="23"/>
                <w:szCs w:val="23"/>
                <w:highlight w:val="none"/>
                <w:u w:val="none"/>
                <w:lang w:val="en-US" w:eastAsia="zh-CN" w:bidi="ar"/>
              </w:rPr>
              <w:t>NH</w:t>
            </w:r>
            <w:r>
              <w:rPr>
                <w:rFonts w:hint="eastAsia" w:ascii="宋体" w:hAnsi="宋体" w:eastAsia="宋体" w:cs="宋体"/>
                <w:i w:val="0"/>
                <w:iCs w:val="0"/>
                <w:color w:val="000000"/>
                <w:kern w:val="0"/>
                <w:sz w:val="23"/>
                <w:szCs w:val="23"/>
                <w:highlight w:val="none"/>
                <w:u w:val="none"/>
                <w:vertAlign w:val="subscript"/>
                <w:lang w:val="en-US" w:eastAsia="zh-CN" w:bidi="ar"/>
              </w:rPr>
              <w:t>3</w:t>
            </w:r>
            <w:r>
              <w:rPr>
                <w:rFonts w:hint="eastAsia" w:ascii="宋体" w:hAnsi="宋体" w:eastAsia="宋体" w:cs="宋体"/>
                <w:i w:val="0"/>
                <w:iCs w:val="0"/>
                <w:color w:val="000000"/>
                <w:kern w:val="0"/>
                <w:sz w:val="23"/>
                <w:szCs w:val="23"/>
                <w:highlight w:val="none"/>
                <w:u w:val="none"/>
                <w:lang w:val="en-US" w:eastAsia="zh-CN" w:bidi="ar"/>
              </w:rPr>
              <w:t>浓度(μg/m³)</w:t>
            </w:r>
          </w:p>
        </w:tc>
        <w:tc>
          <w:tcPr>
            <w:tcW w:w="1699" w:type="dxa"/>
            <w:tcBorders>
              <w:tl2br w:val="nil"/>
              <w:tr2bl w:val="nil"/>
            </w:tcBorders>
            <w:vAlign w:val="center"/>
          </w:tcPr>
          <w:p w14:paraId="0F9F783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rPr>
            </w:pPr>
            <w:r>
              <w:rPr>
                <w:rFonts w:hint="eastAsia" w:ascii="宋体" w:hAnsi="宋体" w:eastAsia="宋体" w:cs="宋体"/>
                <w:i w:val="0"/>
                <w:iCs w:val="0"/>
                <w:color w:val="000000"/>
                <w:kern w:val="0"/>
                <w:sz w:val="23"/>
                <w:szCs w:val="23"/>
                <w:highlight w:val="none"/>
                <w:u w:val="none"/>
                <w:lang w:val="en-US" w:eastAsia="zh-CN" w:bidi="ar"/>
              </w:rPr>
              <w:t>NH</w:t>
            </w:r>
            <w:r>
              <w:rPr>
                <w:rFonts w:hint="eastAsia" w:ascii="宋体" w:hAnsi="宋体" w:eastAsia="宋体" w:cs="宋体"/>
                <w:i w:val="0"/>
                <w:iCs w:val="0"/>
                <w:color w:val="000000"/>
                <w:kern w:val="0"/>
                <w:sz w:val="23"/>
                <w:szCs w:val="23"/>
                <w:highlight w:val="none"/>
                <w:u w:val="none"/>
                <w:vertAlign w:val="subscript"/>
                <w:lang w:val="en-US" w:eastAsia="zh-CN" w:bidi="ar"/>
              </w:rPr>
              <w:t>3</w:t>
            </w:r>
            <w:r>
              <w:rPr>
                <w:rFonts w:hint="eastAsia" w:ascii="宋体" w:hAnsi="宋体" w:eastAsia="宋体" w:cs="宋体"/>
                <w:i w:val="0"/>
                <w:iCs w:val="0"/>
                <w:color w:val="000000"/>
                <w:kern w:val="0"/>
                <w:sz w:val="23"/>
                <w:szCs w:val="23"/>
                <w:highlight w:val="none"/>
                <w:u w:val="none"/>
                <w:lang w:val="en-US" w:eastAsia="zh-CN" w:bidi="ar"/>
              </w:rPr>
              <w:t>占标率(%)</w:t>
            </w:r>
          </w:p>
        </w:tc>
        <w:tc>
          <w:tcPr>
            <w:tcW w:w="1990" w:type="dxa"/>
            <w:tcBorders>
              <w:tl2br w:val="nil"/>
              <w:tr2bl w:val="nil"/>
            </w:tcBorders>
            <w:vAlign w:val="center"/>
          </w:tcPr>
          <w:p w14:paraId="3B9EFEA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rPr>
            </w:pPr>
            <w:r>
              <w:rPr>
                <w:rFonts w:hint="eastAsia" w:ascii="宋体" w:hAnsi="宋体" w:eastAsia="宋体" w:cs="宋体"/>
                <w:i w:val="0"/>
                <w:iCs w:val="0"/>
                <w:color w:val="000000"/>
                <w:kern w:val="0"/>
                <w:sz w:val="23"/>
                <w:szCs w:val="23"/>
                <w:highlight w:val="none"/>
                <w:u w:val="none"/>
                <w:lang w:val="en-US" w:eastAsia="zh-CN" w:bidi="ar"/>
              </w:rPr>
              <w:t>H</w:t>
            </w:r>
            <w:r>
              <w:rPr>
                <w:rFonts w:hint="eastAsia" w:ascii="宋体" w:hAnsi="宋体" w:eastAsia="宋体" w:cs="宋体"/>
                <w:i w:val="0"/>
                <w:iCs w:val="0"/>
                <w:color w:val="000000"/>
                <w:kern w:val="0"/>
                <w:sz w:val="23"/>
                <w:szCs w:val="23"/>
                <w:highlight w:val="none"/>
                <w:u w:val="none"/>
                <w:vertAlign w:val="subscript"/>
                <w:lang w:val="en-US" w:eastAsia="zh-CN" w:bidi="ar"/>
              </w:rPr>
              <w:t>2</w:t>
            </w:r>
            <w:r>
              <w:rPr>
                <w:rFonts w:hint="eastAsia" w:ascii="宋体" w:hAnsi="宋体" w:eastAsia="宋体" w:cs="宋体"/>
                <w:i w:val="0"/>
                <w:iCs w:val="0"/>
                <w:color w:val="000000"/>
                <w:kern w:val="0"/>
                <w:sz w:val="23"/>
                <w:szCs w:val="23"/>
                <w:highlight w:val="none"/>
                <w:u w:val="none"/>
                <w:lang w:val="en-US" w:eastAsia="zh-CN" w:bidi="ar"/>
              </w:rPr>
              <w:t>S浓度(μg/m³)</w:t>
            </w:r>
          </w:p>
        </w:tc>
        <w:tc>
          <w:tcPr>
            <w:tcW w:w="1662" w:type="dxa"/>
            <w:tcBorders>
              <w:tl2br w:val="nil"/>
              <w:tr2bl w:val="nil"/>
            </w:tcBorders>
            <w:vAlign w:val="center"/>
          </w:tcPr>
          <w:p w14:paraId="021494A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rPr>
            </w:pPr>
            <w:r>
              <w:rPr>
                <w:rFonts w:hint="eastAsia" w:ascii="宋体" w:hAnsi="宋体" w:eastAsia="宋体" w:cs="宋体"/>
                <w:i w:val="0"/>
                <w:iCs w:val="0"/>
                <w:color w:val="000000"/>
                <w:kern w:val="0"/>
                <w:sz w:val="23"/>
                <w:szCs w:val="23"/>
                <w:highlight w:val="none"/>
                <w:u w:val="none"/>
                <w:lang w:val="en-US" w:eastAsia="zh-CN" w:bidi="ar"/>
              </w:rPr>
              <w:t>H</w:t>
            </w:r>
            <w:r>
              <w:rPr>
                <w:rFonts w:hint="eastAsia" w:ascii="宋体" w:hAnsi="宋体" w:eastAsia="宋体" w:cs="宋体"/>
                <w:i w:val="0"/>
                <w:iCs w:val="0"/>
                <w:color w:val="000000"/>
                <w:kern w:val="0"/>
                <w:sz w:val="23"/>
                <w:szCs w:val="23"/>
                <w:highlight w:val="none"/>
                <w:u w:val="none"/>
                <w:vertAlign w:val="subscript"/>
                <w:lang w:val="en-US" w:eastAsia="zh-CN" w:bidi="ar"/>
              </w:rPr>
              <w:t>2</w:t>
            </w:r>
            <w:r>
              <w:rPr>
                <w:rFonts w:hint="eastAsia" w:ascii="宋体" w:hAnsi="宋体" w:eastAsia="宋体" w:cs="宋体"/>
                <w:i w:val="0"/>
                <w:iCs w:val="0"/>
                <w:color w:val="000000"/>
                <w:kern w:val="0"/>
                <w:sz w:val="23"/>
                <w:szCs w:val="23"/>
                <w:highlight w:val="none"/>
                <w:u w:val="none"/>
                <w:lang w:val="en-US" w:eastAsia="zh-CN" w:bidi="ar"/>
              </w:rPr>
              <w:t>S占标率(%)</w:t>
            </w:r>
          </w:p>
        </w:tc>
      </w:tr>
      <w:tr w14:paraId="0D47720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64DF876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24</w:t>
            </w:r>
          </w:p>
        </w:tc>
        <w:tc>
          <w:tcPr>
            <w:tcW w:w="2128" w:type="dxa"/>
            <w:tcBorders>
              <w:tl2br w:val="nil"/>
              <w:tr2bl w:val="nil"/>
            </w:tcBorders>
            <w:vAlign w:val="center"/>
          </w:tcPr>
          <w:p w14:paraId="05BD70C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10.438</w:t>
            </w:r>
          </w:p>
        </w:tc>
        <w:tc>
          <w:tcPr>
            <w:tcW w:w="1699" w:type="dxa"/>
            <w:tcBorders>
              <w:tl2br w:val="nil"/>
              <w:tr2bl w:val="nil"/>
            </w:tcBorders>
            <w:vAlign w:val="center"/>
          </w:tcPr>
          <w:p w14:paraId="7B4F98E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5.219</w:t>
            </w:r>
          </w:p>
        </w:tc>
        <w:tc>
          <w:tcPr>
            <w:tcW w:w="1990" w:type="dxa"/>
            <w:tcBorders>
              <w:tl2br w:val="nil"/>
              <w:tr2bl w:val="nil"/>
            </w:tcBorders>
            <w:vAlign w:val="center"/>
          </w:tcPr>
          <w:p w14:paraId="25CDDB3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0.1898</w:t>
            </w:r>
          </w:p>
        </w:tc>
        <w:tc>
          <w:tcPr>
            <w:tcW w:w="1662" w:type="dxa"/>
            <w:tcBorders>
              <w:tl2br w:val="nil"/>
              <w:tr2bl w:val="nil"/>
            </w:tcBorders>
            <w:vAlign w:val="center"/>
          </w:tcPr>
          <w:p w14:paraId="68D95C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1.8978</w:t>
            </w:r>
          </w:p>
        </w:tc>
      </w:tr>
      <w:tr w14:paraId="448689A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083A797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25</w:t>
            </w:r>
          </w:p>
        </w:tc>
        <w:tc>
          <w:tcPr>
            <w:tcW w:w="2128" w:type="dxa"/>
            <w:tcBorders>
              <w:tl2br w:val="nil"/>
              <w:tr2bl w:val="nil"/>
            </w:tcBorders>
            <w:vAlign w:val="center"/>
          </w:tcPr>
          <w:p w14:paraId="41B364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10.416</w:t>
            </w:r>
          </w:p>
        </w:tc>
        <w:tc>
          <w:tcPr>
            <w:tcW w:w="1699" w:type="dxa"/>
            <w:tcBorders>
              <w:tl2br w:val="nil"/>
              <w:tr2bl w:val="nil"/>
            </w:tcBorders>
            <w:vAlign w:val="center"/>
          </w:tcPr>
          <w:p w14:paraId="34B8594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5.208</w:t>
            </w:r>
          </w:p>
        </w:tc>
        <w:tc>
          <w:tcPr>
            <w:tcW w:w="1990" w:type="dxa"/>
            <w:tcBorders>
              <w:tl2br w:val="nil"/>
              <w:tr2bl w:val="nil"/>
            </w:tcBorders>
            <w:vAlign w:val="center"/>
          </w:tcPr>
          <w:p w14:paraId="32A7EC8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0.1894</w:t>
            </w:r>
          </w:p>
        </w:tc>
        <w:tc>
          <w:tcPr>
            <w:tcW w:w="1662" w:type="dxa"/>
            <w:tcBorders>
              <w:tl2br w:val="nil"/>
              <w:tr2bl w:val="nil"/>
            </w:tcBorders>
            <w:vAlign w:val="center"/>
          </w:tcPr>
          <w:p w14:paraId="402CB2C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1.8938</w:t>
            </w:r>
          </w:p>
        </w:tc>
      </w:tr>
      <w:tr w14:paraId="6027951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5461F25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100</w:t>
            </w:r>
          </w:p>
        </w:tc>
        <w:tc>
          <w:tcPr>
            <w:tcW w:w="2128" w:type="dxa"/>
            <w:tcBorders>
              <w:tl2br w:val="nil"/>
              <w:tr2bl w:val="nil"/>
            </w:tcBorders>
            <w:vAlign w:val="center"/>
          </w:tcPr>
          <w:p w14:paraId="1BDB79A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7.946</w:t>
            </w:r>
          </w:p>
        </w:tc>
        <w:tc>
          <w:tcPr>
            <w:tcW w:w="1699" w:type="dxa"/>
            <w:tcBorders>
              <w:tl2br w:val="nil"/>
              <w:tr2bl w:val="nil"/>
            </w:tcBorders>
            <w:vAlign w:val="center"/>
          </w:tcPr>
          <w:p w14:paraId="2BB1810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3.973</w:t>
            </w:r>
          </w:p>
        </w:tc>
        <w:tc>
          <w:tcPr>
            <w:tcW w:w="1990" w:type="dxa"/>
            <w:tcBorders>
              <w:tl2br w:val="nil"/>
              <w:tr2bl w:val="nil"/>
            </w:tcBorders>
            <w:vAlign w:val="center"/>
          </w:tcPr>
          <w:p w14:paraId="4D9CF4F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0.1445</w:t>
            </w:r>
          </w:p>
        </w:tc>
        <w:tc>
          <w:tcPr>
            <w:tcW w:w="1662" w:type="dxa"/>
            <w:tcBorders>
              <w:tl2br w:val="nil"/>
              <w:tr2bl w:val="nil"/>
            </w:tcBorders>
            <w:vAlign w:val="center"/>
          </w:tcPr>
          <w:p w14:paraId="1A3A3E6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1.4447</w:t>
            </w:r>
          </w:p>
        </w:tc>
      </w:tr>
      <w:tr w14:paraId="0C2D6C0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2B48738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200</w:t>
            </w:r>
          </w:p>
        </w:tc>
        <w:tc>
          <w:tcPr>
            <w:tcW w:w="2128" w:type="dxa"/>
            <w:tcBorders>
              <w:tl2br w:val="nil"/>
              <w:tr2bl w:val="nil"/>
            </w:tcBorders>
            <w:vAlign w:val="center"/>
          </w:tcPr>
          <w:p w14:paraId="7A773F9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5.8359</w:t>
            </w:r>
          </w:p>
        </w:tc>
        <w:tc>
          <w:tcPr>
            <w:tcW w:w="1699" w:type="dxa"/>
            <w:tcBorders>
              <w:tl2br w:val="nil"/>
              <w:tr2bl w:val="nil"/>
            </w:tcBorders>
            <w:vAlign w:val="center"/>
          </w:tcPr>
          <w:p w14:paraId="12D5CEC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2.9179</w:t>
            </w:r>
          </w:p>
        </w:tc>
        <w:tc>
          <w:tcPr>
            <w:tcW w:w="1990" w:type="dxa"/>
            <w:tcBorders>
              <w:tl2br w:val="nil"/>
              <w:tr2bl w:val="nil"/>
            </w:tcBorders>
            <w:vAlign w:val="center"/>
          </w:tcPr>
          <w:p w14:paraId="5113046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0.1061</w:t>
            </w:r>
          </w:p>
        </w:tc>
        <w:tc>
          <w:tcPr>
            <w:tcW w:w="1662" w:type="dxa"/>
            <w:tcBorders>
              <w:tl2br w:val="nil"/>
              <w:tr2bl w:val="nil"/>
            </w:tcBorders>
            <w:vAlign w:val="center"/>
          </w:tcPr>
          <w:p w14:paraId="3DBE7D7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1.0611</w:t>
            </w:r>
          </w:p>
        </w:tc>
      </w:tr>
      <w:tr w14:paraId="1B9E680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0AAA0F7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300</w:t>
            </w:r>
          </w:p>
        </w:tc>
        <w:tc>
          <w:tcPr>
            <w:tcW w:w="2128" w:type="dxa"/>
            <w:tcBorders>
              <w:tl2br w:val="nil"/>
              <w:tr2bl w:val="nil"/>
            </w:tcBorders>
            <w:vAlign w:val="center"/>
          </w:tcPr>
          <w:p w14:paraId="3990A54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4.8884</w:t>
            </w:r>
          </w:p>
        </w:tc>
        <w:tc>
          <w:tcPr>
            <w:tcW w:w="1699" w:type="dxa"/>
            <w:tcBorders>
              <w:tl2br w:val="nil"/>
              <w:tr2bl w:val="nil"/>
            </w:tcBorders>
            <w:vAlign w:val="center"/>
          </w:tcPr>
          <w:p w14:paraId="1916AFE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2.4442</w:t>
            </w:r>
          </w:p>
        </w:tc>
        <w:tc>
          <w:tcPr>
            <w:tcW w:w="1990" w:type="dxa"/>
            <w:tcBorders>
              <w:tl2br w:val="nil"/>
              <w:tr2bl w:val="nil"/>
            </w:tcBorders>
            <w:vAlign w:val="center"/>
          </w:tcPr>
          <w:p w14:paraId="1BA1ED2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0.0889</w:t>
            </w:r>
          </w:p>
        </w:tc>
        <w:tc>
          <w:tcPr>
            <w:tcW w:w="1662" w:type="dxa"/>
            <w:tcBorders>
              <w:tl2br w:val="nil"/>
              <w:tr2bl w:val="nil"/>
            </w:tcBorders>
            <w:vAlign w:val="center"/>
          </w:tcPr>
          <w:p w14:paraId="0C61217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0.8888</w:t>
            </w:r>
          </w:p>
        </w:tc>
      </w:tr>
      <w:tr w14:paraId="67B568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104D670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400</w:t>
            </w:r>
          </w:p>
        </w:tc>
        <w:tc>
          <w:tcPr>
            <w:tcW w:w="2128" w:type="dxa"/>
            <w:tcBorders>
              <w:tl2br w:val="nil"/>
              <w:tr2bl w:val="nil"/>
            </w:tcBorders>
            <w:vAlign w:val="center"/>
          </w:tcPr>
          <w:p w14:paraId="66E411B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4.1631</w:t>
            </w:r>
          </w:p>
        </w:tc>
        <w:tc>
          <w:tcPr>
            <w:tcW w:w="1699" w:type="dxa"/>
            <w:tcBorders>
              <w:tl2br w:val="nil"/>
              <w:tr2bl w:val="nil"/>
            </w:tcBorders>
            <w:vAlign w:val="center"/>
          </w:tcPr>
          <w:p w14:paraId="41406D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2.0816</w:t>
            </w:r>
          </w:p>
        </w:tc>
        <w:tc>
          <w:tcPr>
            <w:tcW w:w="1990" w:type="dxa"/>
            <w:tcBorders>
              <w:tl2br w:val="nil"/>
              <w:tr2bl w:val="nil"/>
            </w:tcBorders>
            <w:vAlign w:val="center"/>
          </w:tcPr>
          <w:p w14:paraId="40CE4F5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0.0757</w:t>
            </w:r>
          </w:p>
        </w:tc>
        <w:tc>
          <w:tcPr>
            <w:tcW w:w="1662" w:type="dxa"/>
            <w:tcBorders>
              <w:tl2br w:val="nil"/>
              <w:tr2bl w:val="nil"/>
            </w:tcBorders>
            <w:vAlign w:val="center"/>
          </w:tcPr>
          <w:p w14:paraId="4A99B08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0.7569</w:t>
            </w:r>
          </w:p>
        </w:tc>
      </w:tr>
      <w:tr w14:paraId="5D0C95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002EE5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500</w:t>
            </w:r>
          </w:p>
        </w:tc>
        <w:tc>
          <w:tcPr>
            <w:tcW w:w="2128" w:type="dxa"/>
            <w:tcBorders>
              <w:tl2br w:val="nil"/>
              <w:tr2bl w:val="nil"/>
            </w:tcBorders>
            <w:vAlign w:val="center"/>
          </w:tcPr>
          <w:p w14:paraId="134ED44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3.6013</w:t>
            </w:r>
          </w:p>
        </w:tc>
        <w:tc>
          <w:tcPr>
            <w:tcW w:w="1699" w:type="dxa"/>
            <w:tcBorders>
              <w:tl2br w:val="nil"/>
              <w:tr2bl w:val="nil"/>
            </w:tcBorders>
            <w:vAlign w:val="center"/>
          </w:tcPr>
          <w:p w14:paraId="0157DE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1.8007</w:t>
            </w:r>
          </w:p>
        </w:tc>
        <w:tc>
          <w:tcPr>
            <w:tcW w:w="1990" w:type="dxa"/>
            <w:tcBorders>
              <w:tl2br w:val="nil"/>
              <w:tr2bl w:val="nil"/>
            </w:tcBorders>
            <w:vAlign w:val="center"/>
          </w:tcPr>
          <w:p w14:paraId="07E0ACC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0.0655</w:t>
            </w:r>
          </w:p>
        </w:tc>
        <w:tc>
          <w:tcPr>
            <w:tcW w:w="1662" w:type="dxa"/>
            <w:tcBorders>
              <w:tl2br w:val="nil"/>
              <w:tr2bl w:val="nil"/>
            </w:tcBorders>
            <w:vAlign w:val="center"/>
          </w:tcPr>
          <w:p w14:paraId="349E582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0.6548</w:t>
            </w:r>
          </w:p>
        </w:tc>
      </w:tr>
      <w:tr w14:paraId="140A11A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463E8B1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600</w:t>
            </w:r>
          </w:p>
        </w:tc>
        <w:tc>
          <w:tcPr>
            <w:tcW w:w="2128" w:type="dxa"/>
            <w:tcBorders>
              <w:tl2br w:val="nil"/>
              <w:tr2bl w:val="nil"/>
            </w:tcBorders>
            <w:vAlign w:val="center"/>
          </w:tcPr>
          <w:p w14:paraId="262B34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3.1778</w:t>
            </w:r>
          </w:p>
        </w:tc>
        <w:tc>
          <w:tcPr>
            <w:tcW w:w="1699" w:type="dxa"/>
            <w:tcBorders>
              <w:tl2br w:val="nil"/>
              <w:tr2bl w:val="nil"/>
            </w:tcBorders>
            <w:vAlign w:val="center"/>
          </w:tcPr>
          <w:p w14:paraId="1E789FD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1.5889</w:t>
            </w:r>
          </w:p>
        </w:tc>
        <w:tc>
          <w:tcPr>
            <w:tcW w:w="1990" w:type="dxa"/>
            <w:tcBorders>
              <w:tl2br w:val="nil"/>
              <w:tr2bl w:val="nil"/>
            </w:tcBorders>
            <w:vAlign w:val="center"/>
          </w:tcPr>
          <w:p w14:paraId="280578D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0.0578</w:t>
            </w:r>
          </w:p>
        </w:tc>
        <w:tc>
          <w:tcPr>
            <w:tcW w:w="1662" w:type="dxa"/>
            <w:tcBorders>
              <w:tl2br w:val="nil"/>
              <w:tr2bl w:val="nil"/>
            </w:tcBorders>
            <w:vAlign w:val="center"/>
          </w:tcPr>
          <w:p w14:paraId="6D77AFF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0.5778</w:t>
            </w:r>
          </w:p>
        </w:tc>
      </w:tr>
      <w:tr w14:paraId="0989E9E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57EED70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700</w:t>
            </w:r>
          </w:p>
        </w:tc>
        <w:tc>
          <w:tcPr>
            <w:tcW w:w="2128" w:type="dxa"/>
            <w:tcBorders>
              <w:tl2br w:val="nil"/>
              <w:tr2bl w:val="nil"/>
            </w:tcBorders>
            <w:vAlign w:val="center"/>
          </w:tcPr>
          <w:p w14:paraId="6D1B33A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2.8515</w:t>
            </w:r>
          </w:p>
        </w:tc>
        <w:tc>
          <w:tcPr>
            <w:tcW w:w="1699" w:type="dxa"/>
            <w:tcBorders>
              <w:tl2br w:val="nil"/>
              <w:tr2bl w:val="nil"/>
            </w:tcBorders>
            <w:vAlign w:val="center"/>
          </w:tcPr>
          <w:p w14:paraId="7A2DC0D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1.4258</w:t>
            </w:r>
          </w:p>
        </w:tc>
        <w:tc>
          <w:tcPr>
            <w:tcW w:w="1990" w:type="dxa"/>
            <w:tcBorders>
              <w:tl2br w:val="nil"/>
              <w:tr2bl w:val="nil"/>
            </w:tcBorders>
            <w:vAlign w:val="center"/>
          </w:tcPr>
          <w:p w14:paraId="0F9F1EE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0.0518</w:t>
            </w:r>
          </w:p>
        </w:tc>
        <w:tc>
          <w:tcPr>
            <w:tcW w:w="1662" w:type="dxa"/>
            <w:tcBorders>
              <w:tl2br w:val="nil"/>
              <w:tr2bl w:val="nil"/>
            </w:tcBorders>
            <w:vAlign w:val="center"/>
          </w:tcPr>
          <w:p w14:paraId="4D3DB4C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0.5185</w:t>
            </w:r>
          </w:p>
        </w:tc>
      </w:tr>
      <w:tr w14:paraId="710F1C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0D9CC4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800</w:t>
            </w:r>
          </w:p>
        </w:tc>
        <w:tc>
          <w:tcPr>
            <w:tcW w:w="2128" w:type="dxa"/>
            <w:tcBorders>
              <w:tl2br w:val="nil"/>
              <w:tr2bl w:val="nil"/>
            </w:tcBorders>
            <w:vAlign w:val="center"/>
          </w:tcPr>
          <w:p w14:paraId="5838032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2.6001</w:t>
            </w:r>
          </w:p>
        </w:tc>
        <w:tc>
          <w:tcPr>
            <w:tcW w:w="1699" w:type="dxa"/>
            <w:tcBorders>
              <w:tl2br w:val="nil"/>
              <w:tr2bl w:val="nil"/>
            </w:tcBorders>
            <w:vAlign w:val="center"/>
          </w:tcPr>
          <w:p w14:paraId="154CDD9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1.3</w:t>
            </w:r>
          </w:p>
        </w:tc>
        <w:tc>
          <w:tcPr>
            <w:tcW w:w="1990" w:type="dxa"/>
            <w:tcBorders>
              <w:tl2br w:val="nil"/>
              <w:tr2bl w:val="nil"/>
            </w:tcBorders>
            <w:vAlign w:val="center"/>
          </w:tcPr>
          <w:p w14:paraId="5AC8CD9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0.0473</w:t>
            </w:r>
          </w:p>
        </w:tc>
        <w:tc>
          <w:tcPr>
            <w:tcW w:w="1662" w:type="dxa"/>
            <w:tcBorders>
              <w:tl2br w:val="nil"/>
              <w:tr2bl w:val="nil"/>
            </w:tcBorders>
            <w:vAlign w:val="center"/>
          </w:tcPr>
          <w:p w14:paraId="7764C2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0.4727</w:t>
            </w:r>
          </w:p>
        </w:tc>
      </w:tr>
      <w:tr w14:paraId="55F4C2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2502667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900</w:t>
            </w:r>
          </w:p>
        </w:tc>
        <w:tc>
          <w:tcPr>
            <w:tcW w:w="2128" w:type="dxa"/>
            <w:tcBorders>
              <w:tl2br w:val="nil"/>
              <w:tr2bl w:val="nil"/>
            </w:tcBorders>
            <w:vAlign w:val="center"/>
          </w:tcPr>
          <w:p w14:paraId="5B977CA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2.3713</w:t>
            </w:r>
          </w:p>
        </w:tc>
        <w:tc>
          <w:tcPr>
            <w:tcW w:w="1699" w:type="dxa"/>
            <w:tcBorders>
              <w:tl2br w:val="nil"/>
              <w:tr2bl w:val="nil"/>
            </w:tcBorders>
            <w:vAlign w:val="center"/>
          </w:tcPr>
          <w:p w14:paraId="315B4D3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1.1857</w:t>
            </w:r>
          </w:p>
        </w:tc>
        <w:tc>
          <w:tcPr>
            <w:tcW w:w="1990" w:type="dxa"/>
            <w:tcBorders>
              <w:tl2br w:val="nil"/>
              <w:tr2bl w:val="nil"/>
            </w:tcBorders>
            <w:vAlign w:val="center"/>
          </w:tcPr>
          <w:p w14:paraId="642EA24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0.0431</w:t>
            </w:r>
          </w:p>
        </w:tc>
        <w:tc>
          <w:tcPr>
            <w:tcW w:w="1662" w:type="dxa"/>
            <w:tcBorders>
              <w:tl2br w:val="nil"/>
              <w:tr2bl w:val="nil"/>
            </w:tcBorders>
            <w:vAlign w:val="center"/>
          </w:tcPr>
          <w:p w14:paraId="0884E06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0.4311</w:t>
            </w:r>
          </w:p>
        </w:tc>
      </w:tr>
      <w:tr w14:paraId="195447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36092F9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1000</w:t>
            </w:r>
          </w:p>
        </w:tc>
        <w:tc>
          <w:tcPr>
            <w:tcW w:w="2128" w:type="dxa"/>
            <w:tcBorders>
              <w:tl2br w:val="nil"/>
              <w:tr2bl w:val="nil"/>
            </w:tcBorders>
            <w:vAlign w:val="center"/>
          </w:tcPr>
          <w:p w14:paraId="0B4D143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2.1765</w:t>
            </w:r>
          </w:p>
        </w:tc>
        <w:tc>
          <w:tcPr>
            <w:tcW w:w="1699" w:type="dxa"/>
            <w:tcBorders>
              <w:tl2br w:val="nil"/>
              <w:tr2bl w:val="nil"/>
            </w:tcBorders>
            <w:vAlign w:val="center"/>
          </w:tcPr>
          <w:p w14:paraId="34A85A9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1.0882</w:t>
            </w:r>
          </w:p>
        </w:tc>
        <w:tc>
          <w:tcPr>
            <w:tcW w:w="1990" w:type="dxa"/>
            <w:tcBorders>
              <w:tl2br w:val="nil"/>
              <w:tr2bl w:val="nil"/>
            </w:tcBorders>
            <w:vAlign w:val="center"/>
          </w:tcPr>
          <w:p w14:paraId="60D2B5A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0.0396</w:t>
            </w:r>
          </w:p>
        </w:tc>
        <w:tc>
          <w:tcPr>
            <w:tcW w:w="1662" w:type="dxa"/>
            <w:tcBorders>
              <w:tl2br w:val="nil"/>
              <w:tr2bl w:val="nil"/>
            </w:tcBorders>
            <w:vAlign w:val="center"/>
          </w:tcPr>
          <w:p w14:paraId="0C89D39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0.3957</w:t>
            </w:r>
          </w:p>
        </w:tc>
      </w:tr>
      <w:tr w14:paraId="28E7ABA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4C1B34C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1100</w:t>
            </w:r>
          </w:p>
        </w:tc>
        <w:tc>
          <w:tcPr>
            <w:tcW w:w="2128" w:type="dxa"/>
            <w:tcBorders>
              <w:tl2br w:val="nil"/>
              <w:tr2bl w:val="nil"/>
            </w:tcBorders>
            <w:vAlign w:val="center"/>
          </w:tcPr>
          <w:p w14:paraId="5046E29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2.0088</w:t>
            </w:r>
          </w:p>
        </w:tc>
        <w:tc>
          <w:tcPr>
            <w:tcW w:w="1699" w:type="dxa"/>
            <w:tcBorders>
              <w:tl2br w:val="nil"/>
              <w:tr2bl w:val="nil"/>
            </w:tcBorders>
            <w:vAlign w:val="center"/>
          </w:tcPr>
          <w:p w14:paraId="7035F1C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1.0044</w:t>
            </w:r>
          </w:p>
        </w:tc>
        <w:tc>
          <w:tcPr>
            <w:tcW w:w="1990" w:type="dxa"/>
            <w:tcBorders>
              <w:tl2br w:val="nil"/>
              <w:tr2bl w:val="nil"/>
            </w:tcBorders>
            <w:vAlign w:val="center"/>
          </w:tcPr>
          <w:p w14:paraId="7FE2E70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0.0365</w:t>
            </w:r>
          </w:p>
        </w:tc>
        <w:tc>
          <w:tcPr>
            <w:tcW w:w="1662" w:type="dxa"/>
            <w:tcBorders>
              <w:tl2br w:val="nil"/>
              <w:tr2bl w:val="nil"/>
            </w:tcBorders>
            <w:vAlign w:val="center"/>
          </w:tcPr>
          <w:p w14:paraId="5BB1587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0.3652</w:t>
            </w:r>
          </w:p>
        </w:tc>
      </w:tr>
      <w:tr w14:paraId="1F6C5C3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2E66375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1200</w:t>
            </w:r>
          </w:p>
        </w:tc>
        <w:tc>
          <w:tcPr>
            <w:tcW w:w="2128" w:type="dxa"/>
            <w:tcBorders>
              <w:tl2br w:val="nil"/>
              <w:tr2bl w:val="nil"/>
            </w:tcBorders>
            <w:vAlign w:val="center"/>
          </w:tcPr>
          <w:p w14:paraId="09E8161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1.8631</w:t>
            </w:r>
          </w:p>
        </w:tc>
        <w:tc>
          <w:tcPr>
            <w:tcW w:w="1699" w:type="dxa"/>
            <w:tcBorders>
              <w:tl2br w:val="nil"/>
              <w:tr2bl w:val="nil"/>
            </w:tcBorders>
            <w:vAlign w:val="center"/>
          </w:tcPr>
          <w:p w14:paraId="661925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0.9315</w:t>
            </w:r>
          </w:p>
        </w:tc>
        <w:tc>
          <w:tcPr>
            <w:tcW w:w="1990" w:type="dxa"/>
            <w:tcBorders>
              <w:tl2br w:val="nil"/>
              <w:tr2bl w:val="nil"/>
            </w:tcBorders>
            <w:vAlign w:val="center"/>
          </w:tcPr>
          <w:p w14:paraId="3E5088D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0.0339</w:t>
            </w:r>
          </w:p>
        </w:tc>
        <w:tc>
          <w:tcPr>
            <w:tcW w:w="1662" w:type="dxa"/>
            <w:tcBorders>
              <w:tl2br w:val="nil"/>
              <w:tr2bl w:val="nil"/>
            </w:tcBorders>
            <w:vAlign w:val="center"/>
          </w:tcPr>
          <w:p w14:paraId="5038E60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0.3387</w:t>
            </w:r>
          </w:p>
        </w:tc>
      </w:tr>
      <w:tr w14:paraId="7D195B1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4AA7983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1300</w:t>
            </w:r>
          </w:p>
        </w:tc>
        <w:tc>
          <w:tcPr>
            <w:tcW w:w="2128" w:type="dxa"/>
            <w:tcBorders>
              <w:tl2br w:val="nil"/>
              <w:tr2bl w:val="nil"/>
            </w:tcBorders>
            <w:vAlign w:val="center"/>
          </w:tcPr>
          <w:p w14:paraId="12D209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1.7356</w:t>
            </w:r>
          </w:p>
        </w:tc>
        <w:tc>
          <w:tcPr>
            <w:tcW w:w="1699" w:type="dxa"/>
            <w:tcBorders>
              <w:tl2br w:val="nil"/>
              <w:tr2bl w:val="nil"/>
            </w:tcBorders>
            <w:vAlign w:val="center"/>
          </w:tcPr>
          <w:p w14:paraId="1DEE421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0.8678</w:t>
            </w:r>
          </w:p>
        </w:tc>
        <w:tc>
          <w:tcPr>
            <w:tcW w:w="1990" w:type="dxa"/>
            <w:tcBorders>
              <w:tl2br w:val="nil"/>
              <w:tr2bl w:val="nil"/>
            </w:tcBorders>
            <w:vAlign w:val="center"/>
          </w:tcPr>
          <w:p w14:paraId="4B8E00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0.0316</w:t>
            </w:r>
          </w:p>
        </w:tc>
        <w:tc>
          <w:tcPr>
            <w:tcW w:w="1662" w:type="dxa"/>
            <w:tcBorders>
              <w:tl2br w:val="nil"/>
              <w:tr2bl w:val="nil"/>
            </w:tcBorders>
            <w:vAlign w:val="center"/>
          </w:tcPr>
          <w:p w14:paraId="2FC4AE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0.3156</w:t>
            </w:r>
          </w:p>
        </w:tc>
      </w:tr>
      <w:tr w14:paraId="154159C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3ECC317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1400</w:t>
            </w:r>
          </w:p>
        </w:tc>
        <w:tc>
          <w:tcPr>
            <w:tcW w:w="2128" w:type="dxa"/>
            <w:tcBorders>
              <w:tl2br w:val="nil"/>
              <w:tr2bl w:val="nil"/>
            </w:tcBorders>
            <w:vAlign w:val="center"/>
          </w:tcPr>
          <w:p w14:paraId="157A289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1.6278</w:t>
            </w:r>
          </w:p>
        </w:tc>
        <w:tc>
          <w:tcPr>
            <w:tcW w:w="1699" w:type="dxa"/>
            <w:tcBorders>
              <w:tl2br w:val="nil"/>
              <w:tr2bl w:val="nil"/>
            </w:tcBorders>
            <w:vAlign w:val="center"/>
          </w:tcPr>
          <w:p w14:paraId="15637F9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0.8139</w:t>
            </w:r>
          </w:p>
        </w:tc>
        <w:tc>
          <w:tcPr>
            <w:tcW w:w="1990" w:type="dxa"/>
            <w:tcBorders>
              <w:tl2br w:val="nil"/>
              <w:tr2bl w:val="nil"/>
            </w:tcBorders>
            <w:vAlign w:val="center"/>
          </w:tcPr>
          <w:p w14:paraId="13E94D2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0.0296</w:t>
            </w:r>
          </w:p>
        </w:tc>
        <w:tc>
          <w:tcPr>
            <w:tcW w:w="1662" w:type="dxa"/>
            <w:tcBorders>
              <w:tl2br w:val="nil"/>
              <w:tr2bl w:val="nil"/>
            </w:tcBorders>
            <w:vAlign w:val="center"/>
          </w:tcPr>
          <w:p w14:paraId="5C31400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0.296</w:t>
            </w:r>
          </w:p>
        </w:tc>
      </w:tr>
      <w:tr w14:paraId="7088826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3A9B164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1500</w:t>
            </w:r>
          </w:p>
        </w:tc>
        <w:tc>
          <w:tcPr>
            <w:tcW w:w="2128" w:type="dxa"/>
            <w:tcBorders>
              <w:tl2br w:val="nil"/>
              <w:tr2bl w:val="nil"/>
            </w:tcBorders>
            <w:vAlign w:val="center"/>
          </w:tcPr>
          <w:p w14:paraId="7B55DC9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1.554</w:t>
            </w:r>
          </w:p>
        </w:tc>
        <w:tc>
          <w:tcPr>
            <w:tcW w:w="1699" w:type="dxa"/>
            <w:tcBorders>
              <w:tl2br w:val="nil"/>
              <w:tr2bl w:val="nil"/>
            </w:tcBorders>
            <w:vAlign w:val="center"/>
          </w:tcPr>
          <w:p w14:paraId="02049F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0.777</w:t>
            </w:r>
          </w:p>
        </w:tc>
        <w:tc>
          <w:tcPr>
            <w:tcW w:w="1990" w:type="dxa"/>
            <w:tcBorders>
              <w:tl2br w:val="nil"/>
              <w:tr2bl w:val="nil"/>
            </w:tcBorders>
            <w:vAlign w:val="center"/>
          </w:tcPr>
          <w:p w14:paraId="09914B4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0.0283</w:t>
            </w:r>
          </w:p>
        </w:tc>
        <w:tc>
          <w:tcPr>
            <w:tcW w:w="1662" w:type="dxa"/>
            <w:tcBorders>
              <w:tl2br w:val="nil"/>
              <w:tr2bl w:val="nil"/>
            </w:tcBorders>
            <w:vAlign w:val="center"/>
          </w:tcPr>
          <w:p w14:paraId="732C5F8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0.2825</w:t>
            </w:r>
          </w:p>
        </w:tc>
      </w:tr>
      <w:tr w14:paraId="6F2B2F9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5C5252C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1600</w:t>
            </w:r>
          </w:p>
        </w:tc>
        <w:tc>
          <w:tcPr>
            <w:tcW w:w="2128" w:type="dxa"/>
            <w:tcBorders>
              <w:tl2br w:val="nil"/>
              <w:tr2bl w:val="nil"/>
            </w:tcBorders>
            <w:vAlign w:val="center"/>
          </w:tcPr>
          <w:p w14:paraId="3C2FF01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1.4861</w:t>
            </w:r>
          </w:p>
        </w:tc>
        <w:tc>
          <w:tcPr>
            <w:tcW w:w="1699" w:type="dxa"/>
            <w:tcBorders>
              <w:tl2br w:val="nil"/>
              <w:tr2bl w:val="nil"/>
            </w:tcBorders>
            <w:vAlign w:val="center"/>
          </w:tcPr>
          <w:p w14:paraId="48B5AA2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0.743</w:t>
            </w:r>
          </w:p>
        </w:tc>
        <w:tc>
          <w:tcPr>
            <w:tcW w:w="1990" w:type="dxa"/>
            <w:tcBorders>
              <w:tl2br w:val="nil"/>
              <w:tr2bl w:val="nil"/>
            </w:tcBorders>
            <w:vAlign w:val="center"/>
          </w:tcPr>
          <w:p w14:paraId="2F6F9F2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0.027</w:t>
            </w:r>
          </w:p>
        </w:tc>
        <w:tc>
          <w:tcPr>
            <w:tcW w:w="1662" w:type="dxa"/>
            <w:tcBorders>
              <w:tl2br w:val="nil"/>
              <w:tr2bl w:val="nil"/>
            </w:tcBorders>
            <w:vAlign w:val="center"/>
          </w:tcPr>
          <w:p w14:paraId="510434C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0.2702</w:t>
            </w:r>
          </w:p>
        </w:tc>
      </w:tr>
      <w:tr w14:paraId="0E7487D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667202A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1700</w:t>
            </w:r>
          </w:p>
        </w:tc>
        <w:tc>
          <w:tcPr>
            <w:tcW w:w="2128" w:type="dxa"/>
            <w:tcBorders>
              <w:tl2br w:val="nil"/>
              <w:tr2bl w:val="nil"/>
            </w:tcBorders>
            <w:vAlign w:val="center"/>
          </w:tcPr>
          <w:p w14:paraId="6D32C1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1.4233</w:t>
            </w:r>
          </w:p>
        </w:tc>
        <w:tc>
          <w:tcPr>
            <w:tcW w:w="1699" w:type="dxa"/>
            <w:tcBorders>
              <w:tl2br w:val="nil"/>
              <w:tr2bl w:val="nil"/>
            </w:tcBorders>
            <w:vAlign w:val="center"/>
          </w:tcPr>
          <w:p w14:paraId="2AFA892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0.7117</w:t>
            </w:r>
          </w:p>
        </w:tc>
        <w:tc>
          <w:tcPr>
            <w:tcW w:w="1990" w:type="dxa"/>
            <w:tcBorders>
              <w:tl2br w:val="nil"/>
              <w:tr2bl w:val="nil"/>
            </w:tcBorders>
            <w:vAlign w:val="center"/>
          </w:tcPr>
          <w:p w14:paraId="783A621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0.0259</w:t>
            </w:r>
          </w:p>
        </w:tc>
        <w:tc>
          <w:tcPr>
            <w:tcW w:w="1662" w:type="dxa"/>
            <w:tcBorders>
              <w:tl2br w:val="nil"/>
              <w:tr2bl w:val="nil"/>
            </w:tcBorders>
            <w:vAlign w:val="center"/>
          </w:tcPr>
          <w:p w14:paraId="35900E1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0.2588</w:t>
            </w:r>
          </w:p>
        </w:tc>
      </w:tr>
      <w:tr w14:paraId="4253820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745668A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1800</w:t>
            </w:r>
          </w:p>
        </w:tc>
        <w:tc>
          <w:tcPr>
            <w:tcW w:w="2128" w:type="dxa"/>
            <w:tcBorders>
              <w:tl2br w:val="nil"/>
              <w:tr2bl w:val="nil"/>
            </w:tcBorders>
            <w:vAlign w:val="center"/>
          </w:tcPr>
          <w:p w14:paraId="03AC571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1.3652</w:t>
            </w:r>
          </w:p>
        </w:tc>
        <w:tc>
          <w:tcPr>
            <w:tcW w:w="1699" w:type="dxa"/>
            <w:tcBorders>
              <w:tl2br w:val="nil"/>
              <w:tr2bl w:val="nil"/>
            </w:tcBorders>
            <w:vAlign w:val="center"/>
          </w:tcPr>
          <w:p w14:paraId="1F6AA32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0.6826</w:t>
            </w:r>
          </w:p>
        </w:tc>
        <w:tc>
          <w:tcPr>
            <w:tcW w:w="1990" w:type="dxa"/>
            <w:tcBorders>
              <w:tl2br w:val="nil"/>
              <w:tr2bl w:val="nil"/>
            </w:tcBorders>
            <w:vAlign w:val="center"/>
          </w:tcPr>
          <w:p w14:paraId="0D2332C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0.0248</w:t>
            </w:r>
          </w:p>
        </w:tc>
        <w:tc>
          <w:tcPr>
            <w:tcW w:w="1662" w:type="dxa"/>
            <w:tcBorders>
              <w:tl2br w:val="nil"/>
              <w:tr2bl w:val="nil"/>
            </w:tcBorders>
            <w:vAlign w:val="center"/>
          </w:tcPr>
          <w:p w14:paraId="25D516A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0.2482</w:t>
            </w:r>
          </w:p>
        </w:tc>
      </w:tr>
      <w:tr w14:paraId="35D532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385EF08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w:t>
            </w:r>
            <w:r>
              <w:rPr>
                <w:rFonts w:hint="eastAsia" w:ascii="宋体" w:hAnsi="宋体" w:cs="宋体"/>
                <w:i w:val="0"/>
                <w:iCs w:val="0"/>
                <w:color w:val="000000"/>
                <w:kern w:val="0"/>
                <w:sz w:val="23"/>
                <w:szCs w:val="23"/>
                <w:highlight w:val="none"/>
                <w:u w:val="none"/>
                <w:lang w:val="en-US" w:eastAsia="zh-CN" w:bidi="ar"/>
              </w:rPr>
              <w:t>900</w:t>
            </w:r>
          </w:p>
        </w:tc>
        <w:tc>
          <w:tcPr>
            <w:tcW w:w="2128" w:type="dxa"/>
            <w:tcBorders>
              <w:tl2br w:val="nil"/>
              <w:tr2bl w:val="nil"/>
            </w:tcBorders>
            <w:vAlign w:val="center"/>
          </w:tcPr>
          <w:p w14:paraId="7234967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1.3112</w:t>
            </w:r>
          </w:p>
        </w:tc>
        <w:tc>
          <w:tcPr>
            <w:tcW w:w="1699" w:type="dxa"/>
            <w:tcBorders>
              <w:tl2br w:val="nil"/>
              <w:tr2bl w:val="nil"/>
            </w:tcBorders>
            <w:vAlign w:val="center"/>
          </w:tcPr>
          <w:p w14:paraId="61CACCA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0.6556</w:t>
            </w:r>
          </w:p>
        </w:tc>
        <w:tc>
          <w:tcPr>
            <w:tcW w:w="1990" w:type="dxa"/>
            <w:tcBorders>
              <w:tl2br w:val="nil"/>
              <w:tr2bl w:val="nil"/>
            </w:tcBorders>
            <w:vAlign w:val="center"/>
          </w:tcPr>
          <w:p w14:paraId="5A5BFDD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0.0238</w:t>
            </w:r>
          </w:p>
        </w:tc>
        <w:tc>
          <w:tcPr>
            <w:tcW w:w="1662" w:type="dxa"/>
            <w:tcBorders>
              <w:tl2br w:val="nil"/>
              <w:tr2bl w:val="nil"/>
            </w:tcBorders>
            <w:vAlign w:val="center"/>
          </w:tcPr>
          <w:p w14:paraId="7C3E035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0.2384</w:t>
            </w:r>
          </w:p>
        </w:tc>
      </w:tr>
      <w:tr w14:paraId="205F85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3B70EEC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2000</w:t>
            </w:r>
          </w:p>
        </w:tc>
        <w:tc>
          <w:tcPr>
            <w:tcW w:w="2128" w:type="dxa"/>
            <w:tcBorders>
              <w:tl2br w:val="nil"/>
              <w:tr2bl w:val="nil"/>
            </w:tcBorders>
            <w:vAlign w:val="center"/>
          </w:tcPr>
          <w:p w14:paraId="497AAC2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1.2609</w:t>
            </w:r>
          </w:p>
        </w:tc>
        <w:tc>
          <w:tcPr>
            <w:tcW w:w="1699" w:type="dxa"/>
            <w:tcBorders>
              <w:tl2br w:val="nil"/>
              <w:tr2bl w:val="nil"/>
            </w:tcBorders>
            <w:vAlign w:val="center"/>
          </w:tcPr>
          <w:p w14:paraId="0F3C766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0.6304</w:t>
            </w:r>
          </w:p>
        </w:tc>
        <w:tc>
          <w:tcPr>
            <w:tcW w:w="1990" w:type="dxa"/>
            <w:tcBorders>
              <w:tl2br w:val="nil"/>
              <w:tr2bl w:val="nil"/>
            </w:tcBorders>
            <w:vAlign w:val="center"/>
          </w:tcPr>
          <w:p w14:paraId="70D1DAB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0.0229</w:t>
            </w:r>
          </w:p>
        </w:tc>
        <w:tc>
          <w:tcPr>
            <w:tcW w:w="1662" w:type="dxa"/>
            <w:tcBorders>
              <w:tl2br w:val="nil"/>
              <w:tr2bl w:val="nil"/>
            </w:tcBorders>
            <w:vAlign w:val="center"/>
          </w:tcPr>
          <w:p w14:paraId="6208F36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0.2293</w:t>
            </w:r>
          </w:p>
        </w:tc>
      </w:tr>
      <w:tr w14:paraId="157DB91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0C92D50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2100</w:t>
            </w:r>
          </w:p>
        </w:tc>
        <w:tc>
          <w:tcPr>
            <w:tcW w:w="2128" w:type="dxa"/>
            <w:tcBorders>
              <w:tl2br w:val="nil"/>
              <w:tr2bl w:val="nil"/>
            </w:tcBorders>
            <w:vAlign w:val="center"/>
          </w:tcPr>
          <w:p w14:paraId="2367C10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1.2141</w:t>
            </w:r>
          </w:p>
        </w:tc>
        <w:tc>
          <w:tcPr>
            <w:tcW w:w="1699" w:type="dxa"/>
            <w:tcBorders>
              <w:tl2br w:val="nil"/>
              <w:tr2bl w:val="nil"/>
            </w:tcBorders>
            <w:vAlign w:val="center"/>
          </w:tcPr>
          <w:p w14:paraId="50DE53B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0.607</w:t>
            </w:r>
          </w:p>
        </w:tc>
        <w:tc>
          <w:tcPr>
            <w:tcW w:w="1990" w:type="dxa"/>
            <w:tcBorders>
              <w:tl2br w:val="nil"/>
              <w:tr2bl w:val="nil"/>
            </w:tcBorders>
            <w:vAlign w:val="center"/>
          </w:tcPr>
          <w:p w14:paraId="6AA1186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0.0221</w:t>
            </w:r>
          </w:p>
        </w:tc>
        <w:tc>
          <w:tcPr>
            <w:tcW w:w="1662" w:type="dxa"/>
            <w:tcBorders>
              <w:tl2br w:val="nil"/>
              <w:tr2bl w:val="nil"/>
            </w:tcBorders>
            <w:vAlign w:val="center"/>
          </w:tcPr>
          <w:p w14:paraId="4FF814E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0.2207</w:t>
            </w:r>
          </w:p>
        </w:tc>
      </w:tr>
      <w:tr w14:paraId="661FAE2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2880BD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2200</w:t>
            </w:r>
          </w:p>
        </w:tc>
        <w:tc>
          <w:tcPr>
            <w:tcW w:w="2128" w:type="dxa"/>
            <w:tcBorders>
              <w:tl2br w:val="nil"/>
              <w:tr2bl w:val="nil"/>
            </w:tcBorders>
            <w:vAlign w:val="center"/>
          </w:tcPr>
          <w:p w14:paraId="1839E5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1.1702</w:t>
            </w:r>
          </w:p>
        </w:tc>
        <w:tc>
          <w:tcPr>
            <w:tcW w:w="1699" w:type="dxa"/>
            <w:tcBorders>
              <w:tl2br w:val="nil"/>
              <w:tr2bl w:val="nil"/>
            </w:tcBorders>
            <w:vAlign w:val="center"/>
          </w:tcPr>
          <w:p w14:paraId="0D3CA14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0.5851</w:t>
            </w:r>
          </w:p>
        </w:tc>
        <w:tc>
          <w:tcPr>
            <w:tcW w:w="1990" w:type="dxa"/>
            <w:tcBorders>
              <w:tl2br w:val="nil"/>
              <w:tr2bl w:val="nil"/>
            </w:tcBorders>
            <w:vAlign w:val="center"/>
          </w:tcPr>
          <w:p w14:paraId="48F5590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0.0213</w:t>
            </w:r>
          </w:p>
        </w:tc>
        <w:tc>
          <w:tcPr>
            <w:tcW w:w="1662" w:type="dxa"/>
            <w:tcBorders>
              <w:tl2br w:val="nil"/>
              <w:tr2bl w:val="nil"/>
            </w:tcBorders>
            <w:vAlign w:val="center"/>
          </w:tcPr>
          <w:p w14:paraId="423A48E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0.2128</w:t>
            </w:r>
          </w:p>
        </w:tc>
      </w:tr>
      <w:tr w14:paraId="3FDE02E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1571D91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2300</w:t>
            </w:r>
          </w:p>
        </w:tc>
        <w:tc>
          <w:tcPr>
            <w:tcW w:w="2128" w:type="dxa"/>
            <w:tcBorders>
              <w:tl2br w:val="nil"/>
              <w:tr2bl w:val="nil"/>
            </w:tcBorders>
            <w:vAlign w:val="center"/>
          </w:tcPr>
          <w:p w14:paraId="3D66E21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1.1297</w:t>
            </w:r>
          </w:p>
        </w:tc>
        <w:tc>
          <w:tcPr>
            <w:tcW w:w="1699" w:type="dxa"/>
            <w:tcBorders>
              <w:tl2br w:val="nil"/>
              <w:tr2bl w:val="nil"/>
            </w:tcBorders>
            <w:vAlign w:val="center"/>
          </w:tcPr>
          <w:p w14:paraId="14B3B2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0.5648</w:t>
            </w:r>
          </w:p>
        </w:tc>
        <w:tc>
          <w:tcPr>
            <w:tcW w:w="1990" w:type="dxa"/>
            <w:tcBorders>
              <w:tl2br w:val="nil"/>
              <w:tr2bl w:val="nil"/>
            </w:tcBorders>
            <w:vAlign w:val="center"/>
          </w:tcPr>
          <w:p w14:paraId="62A99F5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0.0205</w:t>
            </w:r>
          </w:p>
        </w:tc>
        <w:tc>
          <w:tcPr>
            <w:tcW w:w="1662" w:type="dxa"/>
            <w:tcBorders>
              <w:tl2br w:val="nil"/>
              <w:tr2bl w:val="nil"/>
            </w:tcBorders>
            <w:vAlign w:val="center"/>
          </w:tcPr>
          <w:p w14:paraId="0FB422F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0.2054</w:t>
            </w:r>
          </w:p>
        </w:tc>
      </w:tr>
      <w:tr w14:paraId="3F1678D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6AA5A28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2400</w:t>
            </w:r>
          </w:p>
        </w:tc>
        <w:tc>
          <w:tcPr>
            <w:tcW w:w="2128" w:type="dxa"/>
            <w:tcBorders>
              <w:tl2br w:val="nil"/>
              <w:tr2bl w:val="nil"/>
            </w:tcBorders>
            <w:vAlign w:val="center"/>
          </w:tcPr>
          <w:p w14:paraId="2843F82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1.0922</w:t>
            </w:r>
          </w:p>
        </w:tc>
        <w:tc>
          <w:tcPr>
            <w:tcW w:w="1699" w:type="dxa"/>
            <w:tcBorders>
              <w:tl2br w:val="nil"/>
              <w:tr2bl w:val="nil"/>
            </w:tcBorders>
            <w:vAlign w:val="center"/>
          </w:tcPr>
          <w:p w14:paraId="0449CC5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0.5461</w:t>
            </w:r>
          </w:p>
        </w:tc>
        <w:tc>
          <w:tcPr>
            <w:tcW w:w="1990" w:type="dxa"/>
            <w:tcBorders>
              <w:tl2br w:val="nil"/>
              <w:tr2bl w:val="nil"/>
            </w:tcBorders>
            <w:vAlign w:val="center"/>
          </w:tcPr>
          <w:p w14:paraId="14CC057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0.0199</w:t>
            </w:r>
          </w:p>
        </w:tc>
        <w:tc>
          <w:tcPr>
            <w:tcW w:w="1662" w:type="dxa"/>
            <w:tcBorders>
              <w:tl2br w:val="nil"/>
              <w:tr2bl w:val="nil"/>
            </w:tcBorders>
            <w:vAlign w:val="center"/>
          </w:tcPr>
          <w:p w14:paraId="4F8E16C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0.1986</w:t>
            </w:r>
          </w:p>
        </w:tc>
      </w:tr>
      <w:tr w14:paraId="4FB7ECB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302B5D5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2500</w:t>
            </w:r>
          </w:p>
        </w:tc>
        <w:tc>
          <w:tcPr>
            <w:tcW w:w="2128" w:type="dxa"/>
            <w:tcBorders>
              <w:tl2br w:val="nil"/>
              <w:tr2bl w:val="nil"/>
            </w:tcBorders>
            <w:vAlign w:val="center"/>
          </w:tcPr>
          <w:p w14:paraId="7C8BE08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1.057</w:t>
            </w:r>
          </w:p>
        </w:tc>
        <w:tc>
          <w:tcPr>
            <w:tcW w:w="1699" w:type="dxa"/>
            <w:tcBorders>
              <w:tl2br w:val="nil"/>
              <w:tr2bl w:val="nil"/>
            </w:tcBorders>
            <w:vAlign w:val="center"/>
          </w:tcPr>
          <w:p w14:paraId="4E458A3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0.5285</w:t>
            </w:r>
          </w:p>
        </w:tc>
        <w:tc>
          <w:tcPr>
            <w:tcW w:w="1990" w:type="dxa"/>
            <w:tcBorders>
              <w:tl2br w:val="nil"/>
              <w:tr2bl w:val="nil"/>
            </w:tcBorders>
            <w:vAlign w:val="center"/>
          </w:tcPr>
          <w:p w14:paraId="04EB04E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0.0192</w:t>
            </w:r>
          </w:p>
        </w:tc>
        <w:tc>
          <w:tcPr>
            <w:tcW w:w="1662" w:type="dxa"/>
            <w:tcBorders>
              <w:tl2br w:val="nil"/>
              <w:tr2bl w:val="nil"/>
            </w:tcBorders>
            <w:vAlign w:val="center"/>
          </w:tcPr>
          <w:p w14:paraId="4948892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0.1922</w:t>
            </w:r>
          </w:p>
        </w:tc>
      </w:tr>
      <w:tr w14:paraId="6F4DC57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60DEF81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下风向最大浓度</w:t>
            </w:r>
          </w:p>
        </w:tc>
        <w:tc>
          <w:tcPr>
            <w:tcW w:w="2128" w:type="dxa"/>
            <w:tcBorders>
              <w:tl2br w:val="nil"/>
              <w:tr2bl w:val="nil"/>
            </w:tcBorders>
            <w:vAlign w:val="center"/>
          </w:tcPr>
          <w:p w14:paraId="2C6A3F1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10.438</w:t>
            </w:r>
          </w:p>
        </w:tc>
        <w:tc>
          <w:tcPr>
            <w:tcW w:w="1699" w:type="dxa"/>
            <w:tcBorders>
              <w:tl2br w:val="nil"/>
              <w:tr2bl w:val="nil"/>
            </w:tcBorders>
            <w:vAlign w:val="center"/>
          </w:tcPr>
          <w:p w14:paraId="7326A4A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5.219</w:t>
            </w:r>
          </w:p>
        </w:tc>
        <w:tc>
          <w:tcPr>
            <w:tcW w:w="1990" w:type="dxa"/>
            <w:tcBorders>
              <w:tl2br w:val="nil"/>
              <w:tr2bl w:val="nil"/>
            </w:tcBorders>
            <w:vAlign w:val="center"/>
          </w:tcPr>
          <w:p w14:paraId="621920A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0.1898</w:t>
            </w:r>
          </w:p>
        </w:tc>
        <w:tc>
          <w:tcPr>
            <w:tcW w:w="1662" w:type="dxa"/>
            <w:tcBorders>
              <w:tl2br w:val="nil"/>
              <w:tr2bl w:val="nil"/>
            </w:tcBorders>
            <w:vAlign w:val="center"/>
          </w:tcPr>
          <w:p w14:paraId="448A7B6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1.8978</w:t>
            </w:r>
          </w:p>
        </w:tc>
      </w:tr>
      <w:tr w14:paraId="64A6312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0FBDB28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下风向最大浓度出现距离</w:t>
            </w:r>
          </w:p>
        </w:tc>
        <w:tc>
          <w:tcPr>
            <w:tcW w:w="2128" w:type="dxa"/>
            <w:tcBorders>
              <w:tl2br w:val="nil"/>
              <w:tr2bl w:val="nil"/>
            </w:tcBorders>
            <w:vAlign w:val="center"/>
          </w:tcPr>
          <w:p w14:paraId="5400D94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24</w:t>
            </w:r>
          </w:p>
        </w:tc>
        <w:tc>
          <w:tcPr>
            <w:tcW w:w="1699" w:type="dxa"/>
            <w:tcBorders>
              <w:tl2br w:val="nil"/>
              <w:tr2bl w:val="nil"/>
            </w:tcBorders>
            <w:vAlign w:val="center"/>
          </w:tcPr>
          <w:p w14:paraId="3084EF7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24</w:t>
            </w:r>
          </w:p>
        </w:tc>
        <w:tc>
          <w:tcPr>
            <w:tcW w:w="1990" w:type="dxa"/>
            <w:tcBorders>
              <w:tl2br w:val="nil"/>
              <w:tr2bl w:val="nil"/>
            </w:tcBorders>
            <w:vAlign w:val="center"/>
          </w:tcPr>
          <w:p w14:paraId="0C1B82F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24</w:t>
            </w:r>
          </w:p>
        </w:tc>
        <w:tc>
          <w:tcPr>
            <w:tcW w:w="1662" w:type="dxa"/>
            <w:tcBorders>
              <w:tl2br w:val="nil"/>
              <w:tr2bl w:val="nil"/>
            </w:tcBorders>
            <w:vAlign w:val="center"/>
          </w:tcPr>
          <w:p w14:paraId="78325A8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24</w:t>
            </w:r>
          </w:p>
        </w:tc>
      </w:tr>
      <w:tr w14:paraId="22C6E6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803" w:type="dxa"/>
            <w:tcBorders>
              <w:tl2br w:val="nil"/>
              <w:tr2bl w:val="nil"/>
            </w:tcBorders>
            <w:vAlign w:val="center"/>
          </w:tcPr>
          <w:p w14:paraId="65250E5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D10%最远距离</w:t>
            </w:r>
          </w:p>
        </w:tc>
        <w:tc>
          <w:tcPr>
            <w:tcW w:w="2128" w:type="dxa"/>
            <w:tcBorders>
              <w:tl2br w:val="nil"/>
              <w:tr2bl w:val="nil"/>
            </w:tcBorders>
            <w:vAlign w:val="center"/>
          </w:tcPr>
          <w:p w14:paraId="2144F1C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w:t>
            </w:r>
          </w:p>
        </w:tc>
        <w:tc>
          <w:tcPr>
            <w:tcW w:w="1699" w:type="dxa"/>
            <w:tcBorders>
              <w:tl2br w:val="nil"/>
              <w:tr2bl w:val="nil"/>
            </w:tcBorders>
            <w:vAlign w:val="center"/>
          </w:tcPr>
          <w:p w14:paraId="4572B21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w:t>
            </w:r>
          </w:p>
        </w:tc>
        <w:tc>
          <w:tcPr>
            <w:tcW w:w="1990" w:type="dxa"/>
            <w:tcBorders>
              <w:tl2br w:val="nil"/>
              <w:tr2bl w:val="nil"/>
            </w:tcBorders>
            <w:vAlign w:val="center"/>
          </w:tcPr>
          <w:p w14:paraId="6DADD6A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w:t>
            </w:r>
          </w:p>
        </w:tc>
        <w:tc>
          <w:tcPr>
            <w:tcW w:w="1662" w:type="dxa"/>
            <w:tcBorders>
              <w:tl2br w:val="nil"/>
              <w:tr2bl w:val="nil"/>
            </w:tcBorders>
            <w:vAlign w:val="center"/>
          </w:tcPr>
          <w:p w14:paraId="44781EA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w:t>
            </w:r>
          </w:p>
        </w:tc>
      </w:tr>
      <w:bookmarkEnd w:id="314"/>
    </w:tbl>
    <w:p w14:paraId="2E7679EC">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lang w:val="en-US" w:eastAsia="zh-CN"/>
        </w:rPr>
        <w:t>DA001</w:t>
      </w:r>
      <w:r>
        <w:rPr>
          <w:rFonts w:hint="default" w:ascii="Times New Roman" w:hAnsi="Times New Roman" w:eastAsia="宋体" w:cs="Times New Roman"/>
          <w:b/>
          <w:bCs/>
          <w:color w:val="auto"/>
          <w:sz w:val="24"/>
          <w:highlight w:val="none"/>
        </w:rPr>
        <w:t>预测结果一览表</w:t>
      </w:r>
    </w:p>
    <w:tbl>
      <w:tblPr>
        <w:tblStyle w:val="47"/>
        <w:tblW w:w="4996"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619"/>
        <w:gridCol w:w="2024"/>
        <w:gridCol w:w="1827"/>
        <w:gridCol w:w="1985"/>
        <w:gridCol w:w="1826"/>
      </w:tblGrid>
      <w:tr w14:paraId="4A8F2D6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vMerge w:val="restart"/>
            <w:tcBorders>
              <w:tl2br w:val="nil"/>
              <w:tr2bl w:val="nil"/>
            </w:tcBorders>
            <w:vAlign w:val="center"/>
          </w:tcPr>
          <w:p w14:paraId="6561D9F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rPr>
            </w:pPr>
            <w:r>
              <w:rPr>
                <w:rFonts w:hint="eastAsia" w:ascii="宋体" w:hAnsi="宋体" w:eastAsia="宋体" w:cs="宋体"/>
                <w:i w:val="0"/>
                <w:iCs w:val="0"/>
                <w:color w:val="000000"/>
                <w:kern w:val="0"/>
                <w:sz w:val="23"/>
                <w:szCs w:val="23"/>
                <w:highlight w:val="none"/>
                <w:u w:val="none"/>
                <w:lang w:val="en-US" w:eastAsia="zh-CN" w:bidi="ar"/>
              </w:rPr>
              <w:t>下风向距离</w:t>
            </w:r>
          </w:p>
        </w:tc>
        <w:tc>
          <w:tcPr>
            <w:tcW w:w="7662" w:type="dxa"/>
            <w:gridSpan w:val="4"/>
            <w:tcBorders>
              <w:tl2br w:val="nil"/>
              <w:tr2bl w:val="nil"/>
            </w:tcBorders>
            <w:vAlign w:val="center"/>
          </w:tcPr>
          <w:p w14:paraId="3F613A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点源</w:t>
            </w:r>
          </w:p>
        </w:tc>
      </w:tr>
      <w:tr w14:paraId="128D326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vMerge w:val="continue"/>
            <w:tcBorders>
              <w:tl2br w:val="nil"/>
              <w:tr2bl w:val="nil"/>
            </w:tcBorders>
            <w:vAlign w:val="center"/>
          </w:tcPr>
          <w:p w14:paraId="0D6B246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highlight w:val="none"/>
              </w:rPr>
            </w:pPr>
          </w:p>
        </w:tc>
        <w:tc>
          <w:tcPr>
            <w:tcW w:w="2024" w:type="dxa"/>
            <w:tcBorders>
              <w:tl2br w:val="nil"/>
              <w:tr2bl w:val="nil"/>
            </w:tcBorders>
            <w:vAlign w:val="center"/>
          </w:tcPr>
          <w:p w14:paraId="1FDD480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NH</w:t>
            </w:r>
            <w:r>
              <w:rPr>
                <w:rFonts w:hint="eastAsia" w:ascii="宋体" w:hAnsi="宋体" w:eastAsia="宋体" w:cs="宋体"/>
                <w:i w:val="0"/>
                <w:iCs w:val="0"/>
                <w:color w:val="000000"/>
                <w:kern w:val="0"/>
                <w:sz w:val="23"/>
                <w:szCs w:val="23"/>
                <w:highlight w:val="none"/>
                <w:u w:val="none"/>
                <w:vertAlign w:val="subscript"/>
                <w:lang w:val="en-US" w:eastAsia="zh-CN" w:bidi="ar"/>
              </w:rPr>
              <w:t>3</w:t>
            </w:r>
            <w:r>
              <w:rPr>
                <w:rFonts w:hint="eastAsia" w:ascii="宋体" w:hAnsi="宋体" w:eastAsia="宋体" w:cs="宋体"/>
                <w:i w:val="0"/>
                <w:iCs w:val="0"/>
                <w:color w:val="000000"/>
                <w:kern w:val="0"/>
                <w:sz w:val="23"/>
                <w:szCs w:val="23"/>
                <w:highlight w:val="none"/>
                <w:u w:val="none"/>
                <w:lang w:val="en-US" w:eastAsia="zh-CN" w:bidi="ar"/>
              </w:rPr>
              <w:t>浓度(μg/m³)</w:t>
            </w:r>
          </w:p>
        </w:tc>
        <w:tc>
          <w:tcPr>
            <w:tcW w:w="1827" w:type="dxa"/>
            <w:tcBorders>
              <w:tl2br w:val="nil"/>
              <w:tr2bl w:val="nil"/>
            </w:tcBorders>
            <w:vAlign w:val="center"/>
          </w:tcPr>
          <w:p w14:paraId="7D3B874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NH</w:t>
            </w:r>
            <w:r>
              <w:rPr>
                <w:rFonts w:hint="eastAsia" w:ascii="宋体" w:hAnsi="宋体" w:eastAsia="宋体" w:cs="宋体"/>
                <w:i w:val="0"/>
                <w:iCs w:val="0"/>
                <w:color w:val="000000"/>
                <w:kern w:val="0"/>
                <w:sz w:val="23"/>
                <w:szCs w:val="23"/>
                <w:highlight w:val="none"/>
                <w:u w:val="none"/>
                <w:vertAlign w:val="subscript"/>
                <w:lang w:val="en-US" w:eastAsia="zh-CN" w:bidi="ar"/>
              </w:rPr>
              <w:t>3</w:t>
            </w:r>
            <w:r>
              <w:rPr>
                <w:rFonts w:hint="eastAsia" w:ascii="宋体" w:hAnsi="宋体" w:eastAsia="宋体" w:cs="宋体"/>
                <w:i w:val="0"/>
                <w:iCs w:val="0"/>
                <w:color w:val="000000"/>
                <w:kern w:val="0"/>
                <w:sz w:val="23"/>
                <w:szCs w:val="23"/>
                <w:highlight w:val="none"/>
                <w:u w:val="none"/>
                <w:lang w:val="en-US" w:eastAsia="zh-CN" w:bidi="ar"/>
              </w:rPr>
              <w:t>占标率(%)</w:t>
            </w:r>
          </w:p>
        </w:tc>
        <w:tc>
          <w:tcPr>
            <w:tcW w:w="1985" w:type="dxa"/>
            <w:tcBorders>
              <w:tl2br w:val="nil"/>
              <w:tr2bl w:val="nil"/>
            </w:tcBorders>
            <w:vAlign w:val="center"/>
          </w:tcPr>
          <w:p w14:paraId="4A1D095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H</w:t>
            </w:r>
            <w:r>
              <w:rPr>
                <w:rFonts w:hint="eastAsia" w:ascii="宋体" w:hAnsi="宋体" w:eastAsia="宋体" w:cs="宋体"/>
                <w:i w:val="0"/>
                <w:iCs w:val="0"/>
                <w:color w:val="000000"/>
                <w:kern w:val="0"/>
                <w:sz w:val="23"/>
                <w:szCs w:val="23"/>
                <w:highlight w:val="none"/>
                <w:u w:val="none"/>
                <w:vertAlign w:val="subscript"/>
                <w:lang w:val="en-US" w:eastAsia="zh-CN" w:bidi="ar"/>
              </w:rPr>
              <w:t>2</w:t>
            </w:r>
            <w:r>
              <w:rPr>
                <w:rFonts w:hint="eastAsia" w:ascii="宋体" w:hAnsi="宋体" w:eastAsia="宋体" w:cs="宋体"/>
                <w:i w:val="0"/>
                <w:iCs w:val="0"/>
                <w:color w:val="000000"/>
                <w:kern w:val="0"/>
                <w:sz w:val="23"/>
                <w:szCs w:val="23"/>
                <w:highlight w:val="none"/>
                <w:u w:val="none"/>
                <w:lang w:val="en-US" w:eastAsia="zh-CN" w:bidi="ar"/>
              </w:rPr>
              <w:t>S浓度(μg/m³)</w:t>
            </w:r>
          </w:p>
        </w:tc>
        <w:tc>
          <w:tcPr>
            <w:tcW w:w="1826" w:type="dxa"/>
            <w:tcBorders>
              <w:tl2br w:val="nil"/>
              <w:tr2bl w:val="nil"/>
            </w:tcBorders>
            <w:vAlign w:val="center"/>
          </w:tcPr>
          <w:p w14:paraId="014A21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H</w:t>
            </w:r>
            <w:r>
              <w:rPr>
                <w:rFonts w:hint="eastAsia" w:ascii="宋体" w:hAnsi="宋体" w:eastAsia="宋体" w:cs="宋体"/>
                <w:i w:val="0"/>
                <w:iCs w:val="0"/>
                <w:color w:val="000000"/>
                <w:kern w:val="0"/>
                <w:sz w:val="23"/>
                <w:szCs w:val="23"/>
                <w:highlight w:val="none"/>
                <w:u w:val="none"/>
                <w:vertAlign w:val="subscript"/>
                <w:lang w:val="en-US" w:eastAsia="zh-CN" w:bidi="ar"/>
              </w:rPr>
              <w:t>2</w:t>
            </w:r>
            <w:r>
              <w:rPr>
                <w:rFonts w:hint="eastAsia" w:ascii="宋体" w:hAnsi="宋体" w:eastAsia="宋体" w:cs="宋体"/>
                <w:i w:val="0"/>
                <w:iCs w:val="0"/>
                <w:color w:val="000000"/>
                <w:kern w:val="0"/>
                <w:sz w:val="23"/>
                <w:szCs w:val="23"/>
                <w:highlight w:val="none"/>
                <w:u w:val="none"/>
                <w:lang w:val="en-US" w:eastAsia="zh-CN" w:bidi="ar"/>
              </w:rPr>
              <w:t>S占标率(%)</w:t>
            </w:r>
          </w:p>
        </w:tc>
      </w:tr>
      <w:tr w14:paraId="1A2B0C8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1DA23E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25</w:t>
            </w:r>
          </w:p>
        </w:tc>
        <w:tc>
          <w:tcPr>
            <w:tcW w:w="2024" w:type="dxa"/>
            <w:tcBorders>
              <w:tl2br w:val="nil"/>
              <w:tr2bl w:val="nil"/>
            </w:tcBorders>
            <w:vAlign w:val="center"/>
          </w:tcPr>
          <w:p w14:paraId="6EE8B07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0.7571</w:t>
            </w:r>
          </w:p>
        </w:tc>
        <w:tc>
          <w:tcPr>
            <w:tcW w:w="1827" w:type="dxa"/>
            <w:tcBorders>
              <w:tl2br w:val="nil"/>
              <w:tr2bl w:val="nil"/>
            </w:tcBorders>
            <w:vAlign w:val="center"/>
          </w:tcPr>
          <w:p w14:paraId="7C8E33F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0.3785</w:t>
            </w:r>
          </w:p>
        </w:tc>
        <w:tc>
          <w:tcPr>
            <w:tcW w:w="1985" w:type="dxa"/>
            <w:tcBorders>
              <w:tl2br w:val="nil"/>
              <w:tr2bl w:val="nil"/>
            </w:tcBorders>
            <w:vAlign w:val="center"/>
          </w:tcPr>
          <w:p w14:paraId="1D67B7C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0.0144</w:t>
            </w:r>
          </w:p>
        </w:tc>
        <w:tc>
          <w:tcPr>
            <w:tcW w:w="1826" w:type="dxa"/>
            <w:tcBorders>
              <w:tl2br w:val="nil"/>
              <w:tr2bl w:val="nil"/>
            </w:tcBorders>
            <w:vAlign w:val="center"/>
          </w:tcPr>
          <w:p w14:paraId="160FDE2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0.1438</w:t>
            </w:r>
          </w:p>
        </w:tc>
      </w:tr>
      <w:tr w14:paraId="10FBCF2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05DAFC1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84</w:t>
            </w:r>
          </w:p>
        </w:tc>
        <w:tc>
          <w:tcPr>
            <w:tcW w:w="2024" w:type="dxa"/>
            <w:tcBorders>
              <w:tl2br w:val="nil"/>
              <w:tr2bl w:val="nil"/>
            </w:tcBorders>
            <w:vAlign w:val="center"/>
          </w:tcPr>
          <w:p w14:paraId="10C2E6D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1.5089</w:t>
            </w:r>
          </w:p>
        </w:tc>
        <w:tc>
          <w:tcPr>
            <w:tcW w:w="1827" w:type="dxa"/>
            <w:tcBorders>
              <w:tl2br w:val="nil"/>
              <w:tr2bl w:val="nil"/>
            </w:tcBorders>
            <w:vAlign w:val="center"/>
          </w:tcPr>
          <w:p w14:paraId="32115F6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0.7544</w:t>
            </w:r>
          </w:p>
        </w:tc>
        <w:tc>
          <w:tcPr>
            <w:tcW w:w="1985" w:type="dxa"/>
            <w:tcBorders>
              <w:tl2br w:val="nil"/>
              <w:tr2bl w:val="nil"/>
            </w:tcBorders>
            <w:vAlign w:val="center"/>
          </w:tcPr>
          <w:p w14:paraId="59406AA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0.0286</w:t>
            </w:r>
          </w:p>
        </w:tc>
        <w:tc>
          <w:tcPr>
            <w:tcW w:w="1826" w:type="dxa"/>
            <w:tcBorders>
              <w:tl2br w:val="nil"/>
              <w:tr2bl w:val="nil"/>
            </w:tcBorders>
            <w:vAlign w:val="center"/>
          </w:tcPr>
          <w:p w14:paraId="08F131C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0.2865</w:t>
            </w:r>
          </w:p>
        </w:tc>
      </w:tr>
      <w:tr w14:paraId="523F789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57D87C1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100</w:t>
            </w:r>
          </w:p>
        </w:tc>
        <w:tc>
          <w:tcPr>
            <w:tcW w:w="2024" w:type="dxa"/>
            <w:tcBorders>
              <w:tl2br w:val="nil"/>
              <w:tr2bl w:val="nil"/>
            </w:tcBorders>
            <w:vAlign w:val="center"/>
          </w:tcPr>
          <w:p w14:paraId="5D1ED3E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1.4547</w:t>
            </w:r>
          </w:p>
        </w:tc>
        <w:tc>
          <w:tcPr>
            <w:tcW w:w="1827" w:type="dxa"/>
            <w:tcBorders>
              <w:tl2br w:val="nil"/>
              <w:tr2bl w:val="nil"/>
            </w:tcBorders>
            <w:vAlign w:val="center"/>
          </w:tcPr>
          <w:p w14:paraId="5FCEDD7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0.7274</w:t>
            </w:r>
          </w:p>
        </w:tc>
        <w:tc>
          <w:tcPr>
            <w:tcW w:w="1985" w:type="dxa"/>
            <w:tcBorders>
              <w:tl2br w:val="nil"/>
              <w:tr2bl w:val="nil"/>
            </w:tcBorders>
            <w:vAlign w:val="center"/>
          </w:tcPr>
          <w:p w14:paraId="649FA15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0.0276</w:t>
            </w:r>
          </w:p>
        </w:tc>
        <w:tc>
          <w:tcPr>
            <w:tcW w:w="1826" w:type="dxa"/>
            <w:tcBorders>
              <w:tl2br w:val="nil"/>
              <w:tr2bl w:val="nil"/>
            </w:tcBorders>
            <w:vAlign w:val="center"/>
          </w:tcPr>
          <w:p w14:paraId="03E6DDB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0.2762</w:t>
            </w:r>
          </w:p>
        </w:tc>
      </w:tr>
      <w:tr w14:paraId="6852DC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14CF707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200</w:t>
            </w:r>
          </w:p>
        </w:tc>
        <w:tc>
          <w:tcPr>
            <w:tcW w:w="2024" w:type="dxa"/>
            <w:tcBorders>
              <w:tl2br w:val="nil"/>
              <w:tr2bl w:val="nil"/>
            </w:tcBorders>
            <w:vAlign w:val="center"/>
          </w:tcPr>
          <w:p w14:paraId="1FB2E12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1.4456</w:t>
            </w:r>
          </w:p>
        </w:tc>
        <w:tc>
          <w:tcPr>
            <w:tcW w:w="1827" w:type="dxa"/>
            <w:tcBorders>
              <w:tl2br w:val="nil"/>
              <w:tr2bl w:val="nil"/>
            </w:tcBorders>
            <w:vAlign w:val="center"/>
          </w:tcPr>
          <w:p w14:paraId="6644925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0.7228</w:t>
            </w:r>
          </w:p>
        </w:tc>
        <w:tc>
          <w:tcPr>
            <w:tcW w:w="1985" w:type="dxa"/>
            <w:tcBorders>
              <w:tl2br w:val="nil"/>
              <w:tr2bl w:val="nil"/>
            </w:tcBorders>
            <w:vAlign w:val="center"/>
          </w:tcPr>
          <w:p w14:paraId="317980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0.0274</w:t>
            </w:r>
          </w:p>
        </w:tc>
        <w:tc>
          <w:tcPr>
            <w:tcW w:w="1826" w:type="dxa"/>
            <w:tcBorders>
              <w:tl2br w:val="nil"/>
              <w:tr2bl w:val="nil"/>
            </w:tcBorders>
            <w:vAlign w:val="center"/>
          </w:tcPr>
          <w:p w14:paraId="25A7A67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0.2745</w:t>
            </w:r>
          </w:p>
        </w:tc>
      </w:tr>
      <w:tr w14:paraId="1BC629B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03612DC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300</w:t>
            </w:r>
          </w:p>
        </w:tc>
        <w:tc>
          <w:tcPr>
            <w:tcW w:w="2024" w:type="dxa"/>
            <w:tcBorders>
              <w:tl2br w:val="nil"/>
              <w:tr2bl w:val="nil"/>
            </w:tcBorders>
            <w:vAlign w:val="center"/>
          </w:tcPr>
          <w:p w14:paraId="42BACA2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1.255</w:t>
            </w:r>
          </w:p>
        </w:tc>
        <w:tc>
          <w:tcPr>
            <w:tcW w:w="1827" w:type="dxa"/>
            <w:tcBorders>
              <w:tl2br w:val="nil"/>
              <w:tr2bl w:val="nil"/>
            </w:tcBorders>
            <w:vAlign w:val="center"/>
          </w:tcPr>
          <w:p w14:paraId="1BD61A3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0.6275</w:t>
            </w:r>
          </w:p>
        </w:tc>
        <w:tc>
          <w:tcPr>
            <w:tcW w:w="1985" w:type="dxa"/>
            <w:tcBorders>
              <w:tl2br w:val="nil"/>
              <w:tr2bl w:val="nil"/>
            </w:tcBorders>
            <w:vAlign w:val="center"/>
          </w:tcPr>
          <w:p w14:paraId="0E898ED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0.0238</w:t>
            </w:r>
          </w:p>
        </w:tc>
        <w:tc>
          <w:tcPr>
            <w:tcW w:w="1826" w:type="dxa"/>
            <w:tcBorders>
              <w:tl2br w:val="nil"/>
              <w:tr2bl w:val="nil"/>
            </w:tcBorders>
            <w:vAlign w:val="center"/>
          </w:tcPr>
          <w:p w14:paraId="3A50EB3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0.2383</w:t>
            </w:r>
          </w:p>
        </w:tc>
      </w:tr>
      <w:tr w14:paraId="0EBF24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3A37D14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400</w:t>
            </w:r>
          </w:p>
        </w:tc>
        <w:tc>
          <w:tcPr>
            <w:tcW w:w="2024" w:type="dxa"/>
            <w:tcBorders>
              <w:tl2br w:val="nil"/>
              <w:tr2bl w:val="nil"/>
            </w:tcBorders>
            <w:vAlign w:val="center"/>
          </w:tcPr>
          <w:p w14:paraId="03C2325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1.0084</w:t>
            </w:r>
          </w:p>
        </w:tc>
        <w:tc>
          <w:tcPr>
            <w:tcW w:w="1827" w:type="dxa"/>
            <w:tcBorders>
              <w:tl2br w:val="nil"/>
              <w:tr2bl w:val="nil"/>
            </w:tcBorders>
            <w:vAlign w:val="center"/>
          </w:tcPr>
          <w:p w14:paraId="2F10492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0.5042</w:t>
            </w:r>
          </w:p>
        </w:tc>
        <w:tc>
          <w:tcPr>
            <w:tcW w:w="1985" w:type="dxa"/>
            <w:tcBorders>
              <w:tl2br w:val="nil"/>
              <w:tr2bl w:val="nil"/>
            </w:tcBorders>
            <w:vAlign w:val="center"/>
          </w:tcPr>
          <w:p w14:paraId="1DDAF80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0.0191</w:t>
            </w:r>
          </w:p>
        </w:tc>
        <w:tc>
          <w:tcPr>
            <w:tcW w:w="1826" w:type="dxa"/>
            <w:tcBorders>
              <w:tl2br w:val="nil"/>
              <w:tr2bl w:val="nil"/>
            </w:tcBorders>
            <w:vAlign w:val="center"/>
          </w:tcPr>
          <w:p w14:paraId="76D3548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0.1915</w:t>
            </w:r>
          </w:p>
        </w:tc>
      </w:tr>
      <w:tr w14:paraId="3C2F605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0731830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500</w:t>
            </w:r>
          </w:p>
        </w:tc>
        <w:tc>
          <w:tcPr>
            <w:tcW w:w="2024" w:type="dxa"/>
            <w:tcBorders>
              <w:tl2br w:val="nil"/>
              <w:tr2bl w:val="nil"/>
            </w:tcBorders>
            <w:vAlign w:val="center"/>
          </w:tcPr>
          <w:p w14:paraId="58272C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0.8291</w:t>
            </w:r>
          </w:p>
        </w:tc>
        <w:tc>
          <w:tcPr>
            <w:tcW w:w="1827" w:type="dxa"/>
            <w:tcBorders>
              <w:tl2br w:val="nil"/>
              <w:tr2bl w:val="nil"/>
            </w:tcBorders>
            <w:vAlign w:val="center"/>
          </w:tcPr>
          <w:p w14:paraId="6CEB818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0.4145</w:t>
            </w:r>
          </w:p>
        </w:tc>
        <w:tc>
          <w:tcPr>
            <w:tcW w:w="1985" w:type="dxa"/>
            <w:tcBorders>
              <w:tl2br w:val="nil"/>
              <w:tr2bl w:val="nil"/>
            </w:tcBorders>
            <w:vAlign w:val="center"/>
          </w:tcPr>
          <w:p w14:paraId="46D236D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0.0157</w:t>
            </w:r>
          </w:p>
        </w:tc>
        <w:tc>
          <w:tcPr>
            <w:tcW w:w="1826" w:type="dxa"/>
            <w:tcBorders>
              <w:tl2br w:val="nil"/>
              <w:tr2bl w:val="nil"/>
            </w:tcBorders>
            <w:vAlign w:val="center"/>
          </w:tcPr>
          <w:p w14:paraId="2AE5300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0.1574</w:t>
            </w:r>
          </w:p>
        </w:tc>
      </w:tr>
      <w:tr w14:paraId="5BE9940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7EC6669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600</w:t>
            </w:r>
          </w:p>
        </w:tc>
        <w:tc>
          <w:tcPr>
            <w:tcW w:w="2024" w:type="dxa"/>
            <w:tcBorders>
              <w:tl2br w:val="nil"/>
              <w:tr2bl w:val="nil"/>
            </w:tcBorders>
            <w:vAlign w:val="center"/>
          </w:tcPr>
          <w:p w14:paraId="25211D7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0.763</w:t>
            </w:r>
          </w:p>
        </w:tc>
        <w:tc>
          <w:tcPr>
            <w:tcW w:w="1827" w:type="dxa"/>
            <w:tcBorders>
              <w:tl2br w:val="nil"/>
              <w:tr2bl w:val="nil"/>
            </w:tcBorders>
            <w:vAlign w:val="center"/>
          </w:tcPr>
          <w:p w14:paraId="751B8CC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0.3815</w:t>
            </w:r>
          </w:p>
        </w:tc>
        <w:tc>
          <w:tcPr>
            <w:tcW w:w="1985" w:type="dxa"/>
            <w:tcBorders>
              <w:tl2br w:val="nil"/>
              <w:tr2bl w:val="nil"/>
            </w:tcBorders>
            <w:vAlign w:val="center"/>
          </w:tcPr>
          <w:p w14:paraId="7AE70F6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0.0145</w:t>
            </w:r>
          </w:p>
        </w:tc>
        <w:tc>
          <w:tcPr>
            <w:tcW w:w="1826" w:type="dxa"/>
            <w:tcBorders>
              <w:tl2br w:val="nil"/>
              <w:tr2bl w:val="nil"/>
            </w:tcBorders>
            <w:vAlign w:val="center"/>
          </w:tcPr>
          <w:p w14:paraId="1807E09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0.1449</w:t>
            </w:r>
          </w:p>
        </w:tc>
      </w:tr>
      <w:tr w14:paraId="589D7B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4D48EE6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700</w:t>
            </w:r>
          </w:p>
        </w:tc>
        <w:tc>
          <w:tcPr>
            <w:tcW w:w="2024" w:type="dxa"/>
            <w:tcBorders>
              <w:tl2br w:val="nil"/>
              <w:tr2bl w:val="nil"/>
            </w:tcBorders>
            <w:vAlign w:val="center"/>
          </w:tcPr>
          <w:p w14:paraId="32EE565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0.7333</w:t>
            </w:r>
          </w:p>
        </w:tc>
        <w:tc>
          <w:tcPr>
            <w:tcW w:w="1827" w:type="dxa"/>
            <w:tcBorders>
              <w:tl2br w:val="nil"/>
              <w:tr2bl w:val="nil"/>
            </w:tcBorders>
            <w:vAlign w:val="center"/>
          </w:tcPr>
          <w:p w14:paraId="578975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0.3666</w:t>
            </w:r>
          </w:p>
        </w:tc>
        <w:tc>
          <w:tcPr>
            <w:tcW w:w="1985" w:type="dxa"/>
            <w:tcBorders>
              <w:tl2br w:val="nil"/>
              <w:tr2bl w:val="nil"/>
            </w:tcBorders>
            <w:vAlign w:val="center"/>
          </w:tcPr>
          <w:p w14:paraId="17CF98A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0.0139</w:t>
            </w:r>
          </w:p>
        </w:tc>
        <w:tc>
          <w:tcPr>
            <w:tcW w:w="1826" w:type="dxa"/>
            <w:tcBorders>
              <w:tl2br w:val="nil"/>
              <w:tr2bl w:val="nil"/>
            </w:tcBorders>
            <w:vAlign w:val="center"/>
          </w:tcPr>
          <w:p w14:paraId="0475F30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0.1392</w:t>
            </w:r>
          </w:p>
        </w:tc>
      </w:tr>
      <w:tr w14:paraId="252B009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1ECAFD4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800</w:t>
            </w:r>
          </w:p>
        </w:tc>
        <w:tc>
          <w:tcPr>
            <w:tcW w:w="2024" w:type="dxa"/>
            <w:tcBorders>
              <w:tl2br w:val="nil"/>
              <w:tr2bl w:val="nil"/>
            </w:tcBorders>
            <w:vAlign w:val="center"/>
          </w:tcPr>
          <w:p w14:paraId="6B3B7A4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0.6919</w:t>
            </w:r>
          </w:p>
        </w:tc>
        <w:tc>
          <w:tcPr>
            <w:tcW w:w="1827" w:type="dxa"/>
            <w:tcBorders>
              <w:tl2br w:val="nil"/>
              <w:tr2bl w:val="nil"/>
            </w:tcBorders>
            <w:vAlign w:val="center"/>
          </w:tcPr>
          <w:p w14:paraId="479CBC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0.3459</w:t>
            </w:r>
          </w:p>
        </w:tc>
        <w:tc>
          <w:tcPr>
            <w:tcW w:w="1985" w:type="dxa"/>
            <w:tcBorders>
              <w:tl2br w:val="nil"/>
              <w:tr2bl w:val="nil"/>
            </w:tcBorders>
            <w:vAlign w:val="center"/>
          </w:tcPr>
          <w:p w14:paraId="602D605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0.0131</w:t>
            </w:r>
          </w:p>
        </w:tc>
        <w:tc>
          <w:tcPr>
            <w:tcW w:w="1826" w:type="dxa"/>
            <w:tcBorders>
              <w:tl2br w:val="nil"/>
              <w:tr2bl w:val="nil"/>
            </w:tcBorders>
            <w:vAlign w:val="center"/>
          </w:tcPr>
          <w:p w14:paraId="54EBE9B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0.1314</w:t>
            </w:r>
          </w:p>
        </w:tc>
      </w:tr>
      <w:tr w14:paraId="5937A1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4952EFC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900</w:t>
            </w:r>
          </w:p>
        </w:tc>
        <w:tc>
          <w:tcPr>
            <w:tcW w:w="2024" w:type="dxa"/>
            <w:tcBorders>
              <w:tl2br w:val="nil"/>
              <w:tr2bl w:val="nil"/>
            </w:tcBorders>
            <w:vAlign w:val="center"/>
          </w:tcPr>
          <w:p w14:paraId="542C4EE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0.6472</w:t>
            </w:r>
          </w:p>
        </w:tc>
        <w:tc>
          <w:tcPr>
            <w:tcW w:w="1827" w:type="dxa"/>
            <w:tcBorders>
              <w:tl2br w:val="nil"/>
              <w:tr2bl w:val="nil"/>
            </w:tcBorders>
            <w:vAlign w:val="center"/>
          </w:tcPr>
          <w:p w14:paraId="4301CCA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0.3236</w:t>
            </w:r>
          </w:p>
        </w:tc>
        <w:tc>
          <w:tcPr>
            <w:tcW w:w="1985" w:type="dxa"/>
            <w:tcBorders>
              <w:tl2br w:val="nil"/>
              <w:tr2bl w:val="nil"/>
            </w:tcBorders>
            <w:vAlign w:val="center"/>
          </w:tcPr>
          <w:p w14:paraId="00F5C45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0.0123</w:t>
            </w:r>
          </w:p>
        </w:tc>
        <w:tc>
          <w:tcPr>
            <w:tcW w:w="1826" w:type="dxa"/>
            <w:tcBorders>
              <w:tl2br w:val="nil"/>
              <w:tr2bl w:val="nil"/>
            </w:tcBorders>
            <w:vAlign w:val="center"/>
          </w:tcPr>
          <w:p w14:paraId="65D008E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0.1229</w:t>
            </w:r>
          </w:p>
        </w:tc>
      </w:tr>
      <w:tr w14:paraId="3D99EE4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7307C9C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1000</w:t>
            </w:r>
          </w:p>
        </w:tc>
        <w:tc>
          <w:tcPr>
            <w:tcW w:w="2024" w:type="dxa"/>
            <w:tcBorders>
              <w:tl2br w:val="nil"/>
              <w:tr2bl w:val="nil"/>
            </w:tcBorders>
            <w:vAlign w:val="center"/>
          </w:tcPr>
          <w:p w14:paraId="6182235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0.6033</w:t>
            </w:r>
          </w:p>
        </w:tc>
        <w:tc>
          <w:tcPr>
            <w:tcW w:w="1827" w:type="dxa"/>
            <w:tcBorders>
              <w:tl2br w:val="nil"/>
              <w:tr2bl w:val="nil"/>
            </w:tcBorders>
            <w:vAlign w:val="center"/>
          </w:tcPr>
          <w:p w14:paraId="02F5534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0.3016</w:t>
            </w:r>
          </w:p>
        </w:tc>
        <w:tc>
          <w:tcPr>
            <w:tcW w:w="1985" w:type="dxa"/>
            <w:tcBorders>
              <w:tl2br w:val="nil"/>
              <w:tr2bl w:val="nil"/>
            </w:tcBorders>
            <w:vAlign w:val="center"/>
          </w:tcPr>
          <w:p w14:paraId="62F808C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0.0115</w:t>
            </w:r>
          </w:p>
        </w:tc>
        <w:tc>
          <w:tcPr>
            <w:tcW w:w="1826" w:type="dxa"/>
            <w:tcBorders>
              <w:tl2br w:val="nil"/>
              <w:tr2bl w:val="nil"/>
            </w:tcBorders>
            <w:vAlign w:val="center"/>
          </w:tcPr>
          <w:p w14:paraId="2CC5A8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0.1145</w:t>
            </w:r>
          </w:p>
        </w:tc>
      </w:tr>
      <w:tr w14:paraId="18E2B77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1B5E168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1100</w:t>
            </w:r>
          </w:p>
        </w:tc>
        <w:tc>
          <w:tcPr>
            <w:tcW w:w="2024" w:type="dxa"/>
            <w:tcBorders>
              <w:tl2br w:val="nil"/>
              <w:tr2bl w:val="nil"/>
            </w:tcBorders>
            <w:vAlign w:val="center"/>
          </w:tcPr>
          <w:p w14:paraId="3B6D72B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0.566</w:t>
            </w:r>
          </w:p>
        </w:tc>
        <w:tc>
          <w:tcPr>
            <w:tcW w:w="1827" w:type="dxa"/>
            <w:tcBorders>
              <w:tl2br w:val="nil"/>
              <w:tr2bl w:val="nil"/>
            </w:tcBorders>
            <w:vAlign w:val="center"/>
          </w:tcPr>
          <w:p w14:paraId="2F9965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0.283</w:t>
            </w:r>
          </w:p>
        </w:tc>
        <w:tc>
          <w:tcPr>
            <w:tcW w:w="1985" w:type="dxa"/>
            <w:tcBorders>
              <w:tl2br w:val="nil"/>
              <w:tr2bl w:val="nil"/>
            </w:tcBorders>
            <w:vAlign w:val="center"/>
          </w:tcPr>
          <w:p w14:paraId="26B8122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0.0107</w:t>
            </w:r>
          </w:p>
        </w:tc>
        <w:tc>
          <w:tcPr>
            <w:tcW w:w="1826" w:type="dxa"/>
            <w:tcBorders>
              <w:tl2br w:val="nil"/>
              <w:tr2bl w:val="nil"/>
            </w:tcBorders>
            <w:vAlign w:val="center"/>
          </w:tcPr>
          <w:p w14:paraId="5E857A7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0.1075</w:t>
            </w:r>
          </w:p>
        </w:tc>
      </w:tr>
      <w:tr w14:paraId="7774EC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60C7139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1200</w:t>
            </w:r>
          </w:p>
        </w:tc>
        <w:tc>
          <w:tcPr>
            <w:tcW w:w="2024" w:type="dxa"/>
            <w:tcBorders>
              <w:tl2br w:val="nil"/>
              <w:tr2bl w:val="nil"/>
            </w:tcBorders>
            <w:vAlign w:val="center"/>
          </w:tcPr>
          <w:p w14:paraId="041EF03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0.5444</w:t>
            </w:r>
          </w:p>
        </w:tc>
        <w:tc>
          <w:tcPr>
            <w:tcW w:w="1827" w:type="dxa"/>
            <w:tcBorders>
              <w:tl2br w:val="nil"/>
              <w:tr2bl w:val="nil"/>
            </w:tcBorders>
            <w:vAlign w:val="center"/>
          </w:tcPr>
          <w:p w14:paraId="026B33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0.2722</w:t>
            </w:r>
          </w:p>
        </w:tc>
        <w:tc>
          <w:tcPr>
            <w:tcW w:w="1985" w:type="dxa"/>
            <w:tcBorders>
              <w:tl2br w:val="nil"/>
              <w:tr2bl w:val="nil"/>
            </w:tcBorders>
            <w:vAlign w:val="center"/>
          </w:tcPr>
          <w:p w14:paraId="79F9A8F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0.0103</w:t>
            </w:r>
          </w:p>
        </w:tc>
        <w:tc>
          <w:tcPr>
            <w:tcW w:w="1826" w:type="dxa"/>
            <w:tcBorders>
              <w:tl2br w:val="nil"/>
              <w:tr2bl w:val="nil"/>
            </w:tcBorders>
            <w:vAlign w:val="center"/>
          </w:tcPr>
          <w:p w14:paraId="0EE362A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0.1034</w:t>
            </w:r>
          </w:p>
        </w:tc>
      </w:tr>
      <w:tr w14:paraId="7F09A00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61E7AC7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1300</w:t>
            </w:r>
          </w:p>
        </w:tc>
        <w:tc>
          <w:tcPr>
            <w:tcW w:w="2024" w:type="dxa"/>
            <w:tcBorders>
              <w:tl2br w:val="nil"/>
              <w:tr2bl w:val="nil"/>
            </w:tcBorders>
            <w:vAlign w:val="center"/>
          </w:tcPr>
          <w:p w14:paraId="464A79D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0.5218</w:t>
            </w:r>
          </w:p>
        </w:tc>
        <w:tc>
          <w:tcPr>
            <w:tcW w:w="1827" w:type="dxa"/>
            <w:tcBorders>
              <w:tl2br w:val="nil"/>
              <w:tr2bl w:val="nil"/>
            </w:tcBorders>
            <w:vAlign w:val="center"/>
          </w:tcPr>
          <w:p w14:paraId="34BF991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0.2609</w:t>
            </w:r>
          </w:p>
        </w:tc>
        <w:tc>
          <w:tcPr>
            <w:tcW w:w="1985" w:type="dxa"/>
            <w:tcBorders>
              <w:tl2br w:val="nil"/>
              <w:tr2bl w:val="nil"/>
            </w:tcBorders>
            <w:vAlign w:val="center"/>
          </w:tcPr>
          <w:p w14:paraId="523CCCD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0.0099</w:t>
            </w:r>
          </w:p>
        </w:tc>
        <w:tc>
          <w:tcPr>
            <w:tcW w:w="1826" w:type="dxa"/>
            <w:tcBorders>
              <w:tl2br w:val="nil"/>
              <w:tr2bl w:val="nil"/>
            </w:tcBorders>
            <w:vAlign w:val="center"/>
          </w:tcPr>
          <w:p w14:paraId="412A5D6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0.0991</w:t>
            </w:r>
          </w:p>
        </w:tc>
      </w:tr>
      <w:tr w14:paraId="5E4EA6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739E435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1400</w:t>
            </w:r>
          </w:p>
        </w:tc>
        <w:tc>
          <w:tcPr>
            <w:tcW w:w="2024" w:type="dxa"/>
            <w:tcBorders>
              <w:tl2br w:val="nil"/>
              <w:tr2bl w:val="nil"/>
            </w:tcBorders>
            <w:vAlign w:val="center"/>
          </w:tcPr>
          <w:p w14:paraId="459B2D4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0.4991</w:t>
            </w:r>
          </w:p>
        </w:tc>
        <w:tc>
          <w:tcPr>
            <w:tcW w:w="1827" w:type="dxa"/>
            <w:tcBorders>
              <w:tl2br w:val="nil"/>
              <w:tr2bl w:val="nil"/>
            </w:tcBorders>
            <w:vAlign w:val="center"/>
          </w:tcPr>
          <w:p w14:paraId="2FDD43F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0.2495</w:t>
            </w:r>
          </w:p>
        </w:tc>
        <w:tc>
          <w:tcPr>
            <w:tcW w:w="1985" w:type="dxa"/>
            <w:tcBorders>
              <w:tl2br w:val="nil"/>
              <w:tr2bl w:val="nil"/>
            </w:tcBorders>
            <w:vAlign w:val="center"/>
          </w:tcPr>
          <w:p w14:paraId="2BFFD94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0.0095</w:t>
            </w:r>
          </w:p>
        </w:tc>
        <w:tc>
          <w:tcPr>
            <w:tcW w:w="1826" w:type="dxa"/>
            <w:tcBorders>
              <w:tl2br w:val="nil"/>
              <w:tr2bl w:val="nil"/>
            </w:tcBorders>
            <w:vAlign w:val="center"/>
          </w:tcPr>
          <w:p w14:paraId="3AF1E34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0.0948</w:t>
            </w:r>
          </w:p>
        </w:tc>
      </w:tr>
      <w:tr w14:paraId="38CBAB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6FDD88E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1500</w:t>
            </w:r>
          </w:p>
        </w:tc>
        <w:tc>
          <w:tcPr>
            <w:tcW w:w="2024" w:type="dxa"/>
            <w:tcBorders>
              <w:tl2br w:val="nil"/>
              <w:tr2bl w:val="nil"/>
            </w:tcBorders>
            <w:vAlign w:val="center"/>
          </w:tcPr>
          <w:p w14:paraId="0946B3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0.4769</w:t>
            </w:r>
          </w:p>
        </w:tc>
        <w:tc>
          <w:tcPr>
            <w:tcW w:w="1827" w:type="dxa"/>
            <w:tcBorders>
              <w:tl2br w:val="nil"/>
              <w:tr2bl w:val="nil"/>
            </w:tcBorders>
            <w:vAlign w:val="center"/>
          </w:tcPr>
          <w:p w14:paraId="71C6B37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0.2384</w:t>
            </w:r>
          </w:p>
        </w:tc>
        <w:tc>
          <w:tcPr>
            <w:tcW w:w="1985" w:type="dxa"/>
            <w:tcBorders>
              <w:tl2br w:val="nil"/>
              <w:tr2bl w:val="nil"/>
            </w:tcBorders>
            <w:vAlign w:val="center"/>
          </w:tcPr>
          <w:p w14:paraId="6838B7B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0.0091</w:t>
            </w:r>
          </w:p>
        </w:tc>
        <w:tc>
          <w:tcPr>
            <w:tcW w:w="1826" w:type="dxa"/>
            <w:tcBorders>
              <w:tl2br w:val="nil"/>
              <w:tr2bl w:val="nil"/>
            </w:tcBorders>
            <w:vAlign w:val="center"/>
          </w:tcPr>
          <w:p w14:paraId="0358BC0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0.0906</w:t>
            </w:r>
          </w:p>
        </w:tc>
      </w:tr>
      <w:tr w14:paraId="3EC444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4890251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1600</w:t>
            </w:r>
          </w:p>
        </w:tc>
        <w:tc>
          <w:tcPr>
            <w:tcW w:w="2024" w:type="dxa"/>
            <w:tcBorders>
              <w:tl2br w:val="nil"/>
              <w:tr2bl w:val="nil"/>
            </w:tcBorders>
            <w:vAlign w:val="center"/>
          </w:tcPr>
          <w:p w14:paraId="0A38413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0.4555</w:t>
            </w:r>
          </w:p>
        </w:tc>
        <w:tc>
          <w:tcPr>
            <w:tcW w:w="1827" w:type="dxa"/>
            <w:tcBorders>
              <w:tl2br w:val="nil"/>
              <w:tr2bl w:val="nil"/>
            </w:tcBorders>
            <w:vAlign w:val="center"/>
          </w:tcPr>
          <w:p w14:paraId="674D59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0.2278</w:t>
            </w:r>
          </w:p>
        </w:tc>
        <w:tc>
          <w:tcPr>
            <w:tcW w:w="1985" w:type="dxa"/>
            <w:tcBorders>
              <w:tl2br w:val="nil"/>
              <w:tr2bl w:val="nil"/>
            </w:tcBorders>
            <w:vAlign w:val="center"/>
          </w:tcPr>
          <w:p w14:paraId="2EABFCE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0.0086</w:t>
            </w:r>
          </w:p>
        </w:tc>
        <w:tc>
          <w:tcPr>
            <w:tcW w:w="1826" w:type="dxa"/>
            <w:tcBorders>
              <w:tl2br w:val="nil"/>
              <w:tr2bl w:val="nil"/>
            </w:tcBorders>
            <w:vAlign w:val="center"/>
          </w:tcPr>
          <w:p w14:paraId="1CAEDE9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0.0865</w:t>
            </w:r>
          </w:p>
        </w:tc>
      </w:tr>
      <w:tr w14:paraId="0958E2C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1C5DEC1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1700</w:t>
            </w:r>
          </w:p>
        </w:tc>
        <w:tc>
          <w:tcPr>
            <w:tcW w:w="2024" w:type="dxa"/>
            <w:tcBorders>
              <w:tl2br w:val="nil"/>
              <w:tr2bl w:val="nil"/>
            </w:tcBorders>
            <w:vAlign w:val="center"/>
          </w:tcPr>
          <w:p w14:paraId="774D386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0.4352</w:t>
            </w:r>
          </w:p>
        </w:tc>
        <w:tc>
          <w:tcPr>
            <w:tcW w:w="1827" w:type="dxa"/>
            <w:tcBorders>
              <w:tl2br w:val="nil"/>
              <w:tr2bl w:val="nil"/>
            </w:tcBorders>
            <w:vAlign w:val="center"/>
          </w:tcPr>
          <w:p w14:paraId="3D03D36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0.2176</w:t>
            </w:r>
          </w:p>
        </w:tc>
        <w:tc>
          <w:tcPr>
            <w:tcW w:w="1985" w:type="dxa"/>
            <w:tcBorders>
              <w:tl2br w:val="nil"/>
              <w:tr2bl w:val="nil"/>
            </w:tcBorders>
            <w:vAlign w:val="center"/>
          </w:tcPr>
          <w:p w14:paraId="480B2F6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0.0083</w:t>
            </w:r>
          </w:p>
        </w:tc>
        <w:tc>
          <w:tcPr>
            <w:tcW w:w="1826" w:type="dxa"/>
            <w:tcBorders>
              <w:tl2br w:val="nil"/>
              <w:tr2bl w:val="nil"/>
            </w:tcBorders>
            <w:vAlign w:val="center"/>
          </w:tcPr>
          <w:p w14:paraId="203300B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0.0826</w:t>
            </w:r>
          </w:p>
        </w:tc>
      </w:tr>
      <w:tr w14:paraId="1A9419C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3362B20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1800</w:t>
            </w:r>
          </w:p>
        </w:tc>
        <w:tc>
          <w:tcPr>
            <w:tcW w:w="2024" w:type="dxa"/>
            <w:tcBorders>
              <w:tl2br w:val="nil"/>
              <w:tr2bl w:val="nil"/>
            </w:tcBorders>
            <w:vAlign w:val="center"/>
          </w:tcPr>
          <w:p w14:paraId="6A5C359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0.4162</w:t>
            </w:r>
          </w:p>
        </w:tc>
        <w:tc>
          <w:tcPr>
            <w:tcW w:w="1827" w:type="dxa"/>
            <w:tcBorders>
              <w:tl2br w:val="nil"/>
              <w:tr2bl w:val="nil"/>
            </w:tcBorders>
            <w:vAlign w:val="center"/>
          </w:tcPr>
          <w:p w14:paraId="5579768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0.2081</w:t>
            </w:r>
          </w:p>
        </w:tc>
        <w:tc>
          <w:tcPr>
            <w:tcW w:w="1985" w:type="dxa"/>
            <w:tcBorders>
              <w:tl2br w:val="nil"/>
              <w:tr2bl w:val="nil"/>
            </w:tcBorders>
            <w:vAlign w:val="center"/>
          </w:tcPr>
          <w:p w14:paraId="3E0A4DB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0.0079</w:t>
            </w:r>
          </w:p>
        </w:tc>
        <w:tc>
          <w:tcPr>
            <w:tcW w:w="1826" w:type="dxa"/>
            <w:tcBorders>
              <w:tl2br w:val="nil"/>
              <w:tr2bl w:val="nil"/>
            </w:tcBorders>
            <w:vAlign w:val="center"/>
          </w:tcPr>
          <w:p w14:paraId="0630A04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0.079</w:t>
            </w:r>
          </w:p>
        </w:tc>
      </w:tr>
      <w:tr w14:paraId="5F24B81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57E5001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2000</w:t>
            </w:r>
          </w:p>
        </w:tc>
        <w:tc>
          <w:tcPr>
            <w:tcW w:w="2024" w:type="dxa"/>
            <w:tcBorders>
              <w:tl2br w:val="nil"/>
              <w:tr2bl w:val="nil"/>
            </w:tcBorders>
            <w:vAlign w:val="center"/>
          </w:tcPr>
          <w:p w14:paraId="431144B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0.3822</w:t>
            </w:r>
          </w:p>
        </w:tc>
        <w:tc>
          <w:tcPr>
            <w:tcW w:w="1827" w:type="dxa"/>
            <w:tcBorders>
              <w:tl2br w:val="nil"/>
              <w:tr2bl w:val="nil"/>
            </w:tcBorders>
            <w:vAlign w:val="center"/>
          </w:tcPr>
          <w:p w14:paraId="59A9311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0.1911</w:t>
            </w:r>
          </w:p>
        </w:tc>
        <w:tc>
          <w:tcPr>
            <w:tcW w:w="1985" w:type="dxa"/>
            <w:tcBorders>
              <w:tl2br w:val="nil"/>
              <w:tr2bl w:val="nil"/>
            </w:tcBorders>
            <w:vAlign w:val="center"/>
          </w:tcPr>
          <w:p w14:paraId="18251FD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0.0073</w:t>
            </w:r>
          </w:p>
        </w:tc>
        <w:tc>
          <w:tcPr>
            <w:tcW w:w="1826" w:type="dxa"/>
            <w:tcBorders>
              <w:tl2br w:val="nil"/>
              <w:tr2bl w:val="nil"/>
            </w:tcBorders>
            <w:vAlign w:val="center"/>
          </w:tcPr>
          <w:p w14:paraId="6A1979B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0.0726</w:t>
            </w:r>
          </w:p>
        </w:tc>
      </w:tr>
      <w:tr w14:paraId="3A02D0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10DB6C4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2100</w:t>
            </w:r>
          </w:p>
        </w:tc>
        <w:tc>
          <w:tcPr>
            <w:tcW w:w="2024" w:type="dxa"/>
            <w:tcBorders>
              <w:tl2br w:val="nil"/>
              <w:tr2bl w:val="nil"/>
            </w:tcBorders>
            <w:vAlign w:val="center"/>
          </w:tcPr>
          <w:p w14:paraId="6FC2F54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0.3669</w:t>
            </w:r>
          </w:p>
        </w:tc>
        <w:tc>
          <w:tcPr>
            <w:tcW w:w="1827" w:type="dxa"/>
            <w:tcBorders>
              <w:tl2br w:val="nil"/>
              <w:tr2bl w:val="nil"/>
            </w:tcBorders>
            <w:vAlign w:val="center"/>
          </w:tcPr>
          <w:p w14:paraId="49E36A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0.1834</w:t>
            </w:r>
          </w:p>
        </w:tc>
        <w:tc>
          <w:tcPr>
            <w:tcW w:w="1985" w:type="dxa"/>
            <w:tcBorders>
              <w:tl2br w:val="nil"/>
              <w:tr2bl w:val="nil"/>
            </w:tcBorders>
            <w:vAlign w:val="center"/>
          </w:tcPr>
          <w:p w14:paraId="27AF385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0.007</w:t>
            </w:r>
          </w:p>
        </w:tc>
        <w:tc>
          <w:tcPr>
            <w:tcW w:w="1826" w:type="dxa"/>
            <w:tcBorders>
              <w:tl2br w:val="nil"/>
              <w:tr2bl w:val="nil"/>
            </w:tcBorders>
            <w:vAlign w:val="center"/>
          </w:tcPr>
          <w:p w14:paraId="6C201C9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0.0697</w:t>
            </w:r>
          </w:p>
        </w:tc>
      </w:tr>
      <w:tr w14:paraId="5783F1D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6EA73E6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2200</w:t>
            </w:r>
          </w:p>
        </w:tc>
        <w:tc>
          <w:tcPr>
            <w:tcW w:w="2024" w:type="dxa"/>
            <w:tcBorders>
              <w:tl2br w:val="nil"/>
              <w:tr2bl w:val="nil"/>
            </w:tcBorders>
            <w:vAlign w:val="center"/>
          </w:tcPr>
          <w:p w14:paraId="0C49E3F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0.3525</w:t>
            </w:r>
          </w:p>
        </w:tc>
        <w:tc>
          <w:tcPr>
            <w:tcW w:w="1827" w:type="dxa"/>
            <w:tcBorders>
              <w:tl2br w:val="nil"/>
              <w:tr2bl w:val="nil"/>
            </w:tcBorders>
            <w:vAlign w:val="center"/>
          </w:tcPr>
          <w:p w14:paraId="4FA4637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0.1762</w:t>
            </w:r>
          </w:p>
        </w:tc>
        <w:tc>
          <w:tcPr>
            <w:tcW w:w="1985" w:type="dxa"/>
            <w:tcBorders>
              <w:tl2br w:val="nil"/>
              <w:tr2bl w:val="nil"/>
            </w:tcBorders>
            <w:vAlign w:val="center"/>
          </w:tcPr>
          <w:p w14:paraId="1FD8AE9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0.0067</w:t>
            </w:r>
          </w:p>
        </w:tc>
        <w:tc>
          <w:tcPr>
            <w:tcW w:w="1826" w:type="dxa"/>
            <w:tcBorders>
              <w:tl2br w:val="nil"/>
              <w:tr2bl w:val="nil"/>
            </w:tcBorders>
            <w:vAlign w:val="center"/>
          </w:tcPr>
          <w:p w14:paraId="43AAD78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0.0669</w:t>
            </w:r>
          </w:p>
        </w:tc>
      </w:tr>
      <w:tr w14:paraId="4B95D14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596A5B6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2300</w:t>
            </w:r>
          </w:p>
        </w:tc>
        <w:tc>
          <w:tcPr>
            <w:tcW w:w="2024" w:type="dxa"/>
            <w:tcBorders>
              <w:tl2br w:val="nil"/>
              <w:tr2bl w:val="nil"/>
            </w:tcBorders>
            <w:vAlign w:val="center"/>
          </w:tcPr>
          <w:p w14:paraId="4040BA2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0.3415</w:t>
            </w:r>
          </w:p>
        </w:tc>
        <w:tc>
          <w:tcPr>
            <w:tcW w:w="1827" w:type="dxa"/>
            <w:tcBorders>
              <w:tl2br w:val="nil"/>
              <w:tr2bl w:val="nil"/>
            </w:tcBorders>
            <w:vAlign w:val="center"/>
          </w:tcPr>
          <w:p w14:paraId="1774E73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0.1708</w:t>
            </w:r>
          </w:p>
        </w:tc>
        <w:tc>
          <w:tcPr>
            <w:tcW w:w="1985" w:type="dxa"/>
            <w:tcBorders>
              <w:tl2br w:val="nil"/>
              <w:tr2bl w:val="nil"/>
            </w:tcBorders>
            <w:vAlign w:val="center"/>
          </w:tcPr>
          <w:p w14:paraId="35267BD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0.0065</w:t>
            </w:r>
          </w:p>
        </w:tc>
        <w:tc>
          <w:tcPr>
            <w:tcW w:w="1826" w:type="dxa"/>
            <w:tcBorders>
              <w:tl2br w:val="nil"/>
              <w:tr2bl w:val="nil"/>
            </w:tcBorders>
            <w:vAlign w:val="center"/>
          </w:tcPr>
          <w:p w14:paraId="7A0E47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0.0648</w:t>
            </w:r>
          </w:p>
        </w:tc>
      </w:tr>
      <w:tr w14:paraId="0CF66A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6B7732B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2400</w:t>
            </w:r>
          </w:p>
        </w:tc>
        <w:tc>
          <w:tcPr>
            <w:tcW w:w="2024" w:type="dxa"/>
            <w:tcBorders>
              <w:tl2br w:val="nil"/>
              <w:tr2bl w:val="nil"/>
            </w:tcBorders>
            <w:vAlign w:val="center"/>
          </w:tcPr>
          <w:p w14:paraId="2C3289E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0.3315</w:t>
            </w:r>
          </w:p>
        </w:tc>
        <w:tc>
          <w:tcPr>
            <w:tcW w:w="1827" w:type="dxa"/>
            <w:tcBorders>
              <w:tl2br w:val="nil"/>
              <w:tr2bl w:val="nil"/>
            </w:tcBorders>
            <w:vAlign w:val="center"/>
          </w:tcPr>
          <w:p w14:paraId="72073EF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0.1657</w:t>
            </w:r>
          </w:p>
        </w:tc>
        <w:tc>
          <w:tcPr>
            <w:tcW w:w="1985" w:type="dxa"/>
            <w:tcBorders>
              <w:tl2br w:val="nil"/>
              <w:tr2bl w:val="nil"/>
            </w:tcBorders>
            <w:vAlign w:val="center"/>
          </w:tcPr>
          <w:p w14:paraId="0722C0E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0.0063</w:t>
            </w:r>
          </w:p>
        </w:tc>
        <w:tc>
          <w:tcPr>
            <w:tcW w:w="1826" w:type="dxa"/>
            <w:tcBorders>
              <w:tl2br w:val="nil"/>
              <w:tr2bl w:val="nil"/>
            </w:tcBorders>
            <w:vAlign w:val="center"/>
          </w:tcPr>
          <w:p w14:paraId="5E48D35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0.0629</w:t>
            </w:r>
          </w:p>
        </w:tc>
      </w:tr>
      <w:tr w14:paraId="268BF5A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1D6CA1D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2500</w:t>
            </w:r>
          </w:p>
        </w:tc>
        <w:tc>
          <w:tcPr>
            <w:tcW w:w="2024" w:type="dxa"/>
            <w:tcBorders>
              <w:tl2br w:val="nil"/>
              <w:tr2bl w:val="nil"/>
            </w:tcBorders>
            <w:vAlign w:val="center"/>
          </w:tcPr>
          <w:p w14:paraId="2F4300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0.3217</w:t>
            </w:r>
          </w:p>
        </w:tc>
        <w:tc>
          <w:tcPr>
            <w:tcW w:w="1827" w:type="dxa"/>
            <w:tcBorders>
              <w:tl2br w:val="nil"/>
              <w:tr2bl w:val="nil"/>
            </w:tcBorders>
            <w:vAlign w:val="center"/>
          </w:tcPr>
          <w:p w14:paraId="253740C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0.1608</w:t>
            </w:r>
          </w:p>
        </w:tc>
        <w:tc>
          <w:tcPr>
            <w:tcW w:w="1985" w:type="dxa"/>
            <w:tcBorders>
              <w:tl2br w:val="nil"/>
              <w:tr2bl w:val="nil"/>
            </w:tcBorders>
            <w:vAlign w:val="center"/>
          </w:tcPr>
          <w:p w14:paraId="3E880D4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0.0061</w:t>
            </w:r>
          </w:p>
        </w:tc>
        <w:tc>
          <w:tcPr>
            <w:tcW w:w="1826" w:type="dxa"/>
            <w:tcBorders>
              <w:tl2br w:val="nil"/>
              <w:tr2bl w:val="nil"/>
            </w:tcBorders>
            <w:vAlign w:val="center"/>
          </w:tcPr>
          <w:p w14:paraId="7F33363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0.0611</w:t>
            </w:r>
          </w:p>
        </w:tc>
      </w:tr>
      <w:tr w14:paraId="7F141F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4C837EE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下风向最大浓度</w:t>
            </w:r>
          </w:p>
        </w:tc>
        <w:tc>
          <w:tcPr>
            <w:tcW w:w="2024" w:type="dxa"/>
            <w:tcBorders>
              <w:tl2br w:val="nil"/>
              <w:tr2bl w:val="nil"/>
            </w:tcBorders>
            <w:vAlign w:val="center"/>
          </w:tcPr>
          <w:p w14:paraId="4D9D6A6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1.5089</w:t>
            </w:r>
          </w:p>
        </w:tc>
        <w:tc>
          <w:tcPr>
            <w:tcW w:w="1827" w:type="dxa"/>
            <w:tcBorders>
              <w:tl2br w:val="nil"/>
              <w:tr2bl w:val="nil"/>
            </w:tcBorders>
            <w:vAlign w:val="center"/>
          </w:tcPr>
          <w:p w14:paraId="4CD5BC2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0.7544</w:t>
            </w:r>
          </w:p>
        </w:tc>
        <w:tc>
          <w:tcPr>
            <w:tcW w:w="1985" w:type="dxa"/>
            <w:tcBorders>
              <w:tl2br w:val="nil"/>
              <w:tr2bl w:val="nil"/>
            </w:tcBorders>
            <w:vAlign w:val="center"/>
          </w:tcPr>
          <w:p w14:paraId="10A138C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0.0286</w:t>
            </w:r>
          </w:p>
        </w:tc>
        <w:tc>
          <w:tcPr>
            <w:tcW w:w="1826" w:type="dxa"/>
            <w:tcBorders>
              <w:tl2br w:val="nil"/>
              <w:tr2bl w:val="nil"/>
            </w:tcBorders>
            <w:vAlign w:val="center"/>
          </w:tcPr>
          <w:p w14:paraId="5425629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0.2865</w:t>
            </w:r>
          </w:p>
        </w:tc>
      </w:tr>
      <w:tr w14:paraId="066AC31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1B6DB5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下风向最大浓度出现距离</w:t>
            </w:r>
          </w:p>
        </w:tc>
        <w:tc>
          <w:tcPr>
            <w:tcW w:w="2024" w:type="dxa"/>
            <w:tcBorders>
              <w:tl2br w:val="nil"/>
              <w:tr2bl w:val="nil"/>
            </w:tcBorders>
            <w:vAlign w:val="center"/>
          </w:tcPr>
          <w:p w14:paraId="2971C5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84</w:t>
            </w:r>
          </w:p>
        </w:tc>
        <w:tc>
          <w:tcPr>
            <w:tcW w:w="1827" w:type="dxa"/>
            <w:tcBorders>
              <w:tl2br w:val="nil"/>
              <w:tr2bl w:val="nil"/>
            </w:tcBorders>
            <w:vAlign w:val="center"/>
          </w:tcPr>
          <w:p w14:paraId="4181E93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84</w:t>
            </w:r>
          </w:p>
        </w:tc>
        <w:tc>
          <w:tcPr>
            <w:tcW w:w="1985" w:type="dxa"/>
            <w:tcBorders>
              <w:tl2br w:val="nil"/>
              <w:tr2bl w:val="nil"/>
            </w:tcBorders>
            <w:vAlign w:val="center"/>
          </w:tcPr>
          <w:p w14:paraId="3BD94D9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84</w:t>
            </w:r>
          </w:p>
        </w:tc>
        <w:tc>
          <w:tcPr>
            <w:tcW w:w="1826" w:type="dxa"/>
            <w:tcBorders>
              <w:tl2br w:val="nil"/>
              <w:tr2bl w:val="nil"/>
            </w:tcBorders>
            <w:vAlign w:val="center"/>
          </w:tcPr>
          <w:p w14:paraId="6673DC4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84</w:t>
            </w:r>
          </w:p>
        </w:tc>
      </w:tr>
      <w:tr w14:paraId="22B871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2EEF6B4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D10%最远距离</w:t>
            </w:r>
          </w:p>
        </w:tc>
        <w:tc>
          <w:tcPr>
            <w:tcW w:w="2024" w:type="dxa"/>
            <w:tcBorders>
              <w:tl2br w:val="nil"/>
              <w:tr2bl w:val="nil"/>
            </w:tcBorders>
            <w:vAlign w:val="center"/>
          </w:tcPr>
          <w:p w14:paraId="730DCA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w:t>
            </w:r>
          </w:p>
        </w:tc>
        <w:tc>
          <w:tcPr>
            <w:tcW w:w="1827" w:type="dxa"/>
            <w:tcBorders>
              <w:tl2br w:val="nil"/>
              <w:tr2bl w:val="nil"/>
            </w:tcBorders>
            <w:vAlign w:val="center"/>
          </w:tcPr>
          <w:p w14:paraId="341046D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w:t>
            </w:r>
          </w:p>
        </w:tc>
        <w:tc>
          <w:tcPr>
            <w:tcW w:w="1985" w:type="dxa"/>
            <w:tcBorders>
              <w:tl2br w:val="nil"/>
              <w:tr2bl w:val="nil"/>
            </w:tcBorders>
            <w:vAlign w:val="center"/>
          </w:tcPr>
          <w:p w14:paraId="195D11B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w:t>
            </w:r>
          </w:p>
        </w:tc>
        <w:tc>
          <w:tcPr>
            <w:tcW w:w="1826" w:type="dxa"/>
            <w:tcBorders>
              <w:tl2br w:val="nil"/>
              <w:tr2bl w:val="nil"/>
            </w:tcBorders>
            <w:vAlign w:val="center"/>
          </w:tcPr>
          <w:p w14:paraId="01A79E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w:t>
            </w:r>
          </w:p>
        </w:tc>
      </w:tr>
      <w:tr w14:paraId="16AB03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620" w:type="dxa"/>
            <w:tcBorders>
              <w:tl2br w:val="nil"/>
              <w:tr2bl w:val="nil"/>
            </w:tcBorders>
            <w:vAlign w:val="center"/>
          </w:tcPr>
          <w:p w14:paraId="7F11E91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下风向距离</w:t>
            </w:r>
          </w:p>
        </w:tc>
        <w:tc>
          <w:tcPr>
            <w:tcW w:w="7662" w:type="dxa"/>
            <w:gridSpan w:val="4"/>
            <w:tcBorders>
              <w:tl2br w:val="nil"/>
              <w:tr2bl w:val="nil"/>
            </w:tcBorders>
            <w:vAlign w:val="center"/>
          </w:tcPr>
          <w:p w14:paraId="1AA2CC5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highlight w:val="none"/>
                <w:lang w:val="en-US" w:eastAsia="zh-CN"/>
              </w:rPr>
            </w:pPr>
            <w:r>
              <w:rPr>
                <w:rFonts w:hint="eastAsia" w:ascii="宋体" w:hAnsi="宋体" w:eastAsia="宋体" w:cs="宋体"/>
                <w:i w:val="0"/>
                <w:iCs w:val="0"/>
                <w:color w:val="000000"/>
                <w:kern w:val="0"/>
                <w:sz w:val="23"/>
                <w:szCs w:val="23"/>
                <w:highlight w:val="none"/>
                <w:u w:val="none"/>
                <w:lang w:val="en-US" w:eastAsia="zh-CN" w:bidi="ar"/>
              </w:rPr>
              <w:t>点源</w:t>
            </w:r>
          </w:p>
        </w:tc>
      </w:tr>
    </w:tbl>
    <w:p w14:paraId="088F23E2">
      <w:pPr>
        <w:pStyle w:val="8"/>
        <w:keepNext w:val="0"/>
        <w:keepLines w:val="0"/>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5.2.1.3防护距离</w:t>
      </w:r>
    </w:p>
    <w:p w14:paraId="3AECECF1">
      <w:pPr>
        <w:spacing w:line="480" w:lineRule="exact"/>
        <w:ind w:firstLine="470" w:firstLineChars="196"/>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由估算模型AERSCREEN计算结果，</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本项目各污染物</w:t>
      </w:r>
      <w:r>
        <w:rPr>
          <w:rFonts w:hint="default" w:ascii="Times New Roman" w:hAnsi="Times New Roman" w:eastAsia="宋体" w:cs="Times New Roman"/>
          <w:color w:val="000000" w:themeColor="text1"/>
          <w:sz w:val="24"/>
          <w:szCs w:val="24"/>
          <w:highlight w:val="none"/>
          <w14:textFill>
            <w14:solidFill>
              <w14:schemeClr w14:val="tx1"/>
            </w14:solidFill>
          </w14:textFill>
        </w:rPr>
        <w:t>厂界外预测短期贡献浓度未超出</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相关质量标准，</w:t>
      </w:r>
      <w:r>
        <w:rPr>
          <w:rFonts w:hint="default" w:ascii="Times New Roman" w:hAnsi="Times New Roman" w:eastAsia="宋体" w:cs="Times New Roman"/>
          <w:color w:val="000000" w:themeColor="text1"/>
          <w:sz w:val="24"/>
          <w:szCs w:val="24"/>
          <w:highlight w:val="none"/>
          <w14:textFill>
            <w14:solidFill>
              <w14:schemeClr w14:val="tx1"/>
            </w14:solidFill>
          </w14:textFill>
        </w:rPr>
        <w:t>故项目不需设置大气环境防护距离。</w:t>
      </w:r>
    </w:p>
    <w:p w14:paraId="3C4FE650">
      <w:pPr>
        <w:pStyle w:val="8"/>
        <w:keepNext w:val="0"/>
        <w:keepLines w:val="0"/>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5.2.1.4大气污染物排放量核算</w:t>
      </w:r>
    </w:p>
    <w:p w14:paraId="4D4823A6">
      <w:pPr>
        <w:pageBreakBefore w:val="0"/>
        <w:widowControl w:val="0"/>
        <w:kinsoku/>
        <w:wordWrap/>
        <w:overflowPunct/>
        <w:topLinePunct w:val="0"/>
        <w:autoSpaceDE/>
        <w:autoSpaceDN/>
        <w:bidi w:val="0"/>
        <w:adjustRightInd/>
        <w:snapToGrid/>
        <w:spacing w:line="480" w:lineRule="exact"/>
        <w:ind w:firstLine="422" w:firstLineChars="176"/>
        <w:textAlignment w:val="auto"/>
        <w:rPr>
          <w:rFonts w:hint="default" w:ascii="Times New Roman" w:hAnsi="Times New Roman" w:eastAsia="宋体" w:cs="Times New Roman"/>
          <w:b/>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本项目污染物有组织排放量</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highlight w:val="none"/>
          <w14:textFill>
            <w14:solidFill>
              <w14:schemeClr w14:val="tx1"/>
            </w14:solidFill>
          </w14:textFill>
        </w:rPr>
        <w:t>无组织排放量</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highlight w:val="none"/>
          <w14:textFill>
            <w14:solidFill>
              <w14:schemeClr w14:val="tx1"/>
            </w14:solidFill>
          </w14:textFill>
        </w:rPr>
        <w:t>非正常排放量核算见表</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5.2-13至5.2-16</w:t>
      </w:r>
      <w:r>
        <w:rPr>
          <w:rFonts w:hint="default" w:ascii="Times New Roman" w:hAnsi="Times New Roman" w:eastAsia="宋体" w:cs="Times New Roman"/>
          <w:color w:val="000000" w:themeColor="text1"/>
          <w:sz w:val="24"/>
          <w:highlight w:val="none"/>
          <w14:textFill>
            <w14:solidFill>
              <w14:schemeClr w14:val="tx1"/>
            </w14:solidFill>
          </w14:textFill>
        </w:rPr>
        <w:t>。</w:t>
      </w:r>
    </w:p>
    <w:p w14:paraId="51043D4C">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lang w:val="en-US" w:eastAsia="zh-CN"/>
        </w:rPr>
        <w:t>本项目</w:t>
      </w:r>
      <w:r>
        <w:rPr>
          <w:rFonts w:hint="default" w:ascii="Times New Roman" w:hAnsi="Times New Roman" w:eastAsia="宋体" w:cs="Times New Roman"/>
          <w:b/>
          <w:bCs/>
          <w:color w:val="auto"/>
          <w:sz w:val="24"/>
          <w:highlight w:val="none"/>
        </w:rPr>
        <w:t>大气污染物有组织排放量核算表</w:t>
      </w:r>
    </w:p>
    <w:tbl>
      <w:tblPr>
        <w:tblStyle w:val="47"/>
        <w:tblW w:w="4998"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757"/>
        <w:gridCol w:w="1403"/>
        <w:gridCol w:w="1396"/>
        <w:gridCol w:w="1936"/>
        <w:gridCol w:w="1825"/>
        <w:gridCol w:w="1781"/>
      </w:tblGrid>
      <w:tr w14:paraId="29AB00D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416" w:type="pct"/>
            <w:noWrap w:val="0"/>
            <w:vAlign w:val="center"/>
          </w:tcPr>
          <w:p w14:paraId="49D3FA22">
            <w:pPr>
              <w:pStyle w:val="58"/>
              <w:bidi w:val="0"/>
              <w:rPr>
                <w:rFonts w:hint="default"/>
                <w:highlight w:val="none"/>
              </w:rPr>
            </w:pPr>
            <w:r>
              <w:rPr>
                <w:rFonts w:hint="default"/>
                <w:highlight w:val="none"/>
              </w:rPr>
              <w:t>序号</w:t>
            </w:r>
          </w:p>
        </w:tc>
        <w:tc>
          <w:tcPr>
            <w:tcW w:w="770" w:type="pct"/>
            <w:noWrap w:val="0"/>
            <w:vAlign w:val="center"/>
          </w:tcPr>
          <w:p w14:paraId="6807C949">
            <w:pPr>
              <w:pStyle w:val="58"/>
              <w:bidi w:val="0"/>
              <w:rPr>
                <w:rFonts w:hint="default"/>
                <w:highlight w:val="none"/>
              </w:rPr>
            </w:pPr>
            <w:r>
              <w:rPr>
                <w:rFonts w:hint="default"/>
                <w:highlight w:val="none"/>
              </w:rPr>
              <w:t>排放口</w:t>
            </w:r>
          </w:p>
          <w:p w14:paraId="4AA77471">
            <w:pPr>
              <w:pStyle w:val="58"/>
              <w:bidi w:val="0"/>
              <w:rPr>
                <w:rFonts w:hint="default"/>
                <w:highlight w:val="none"/>
              </w:rPr>
            </w:pPr>
            <w:r>
              <w:rPr>
                <w:rFonts w:hint="default"/>
                <w:highlight w:val="none"/>
              </w:rPr>
              <w:t>编号</w:t>
            </w:r>
          </w:p>
        </w:tc>
        <w:tc>
          <w:tcPr>
            <w:tcW w:w="767" w:type="pct"/>
            <w:noWrap w:val="0"/>
            <w:vAlign w:val="center"/>
          </w:tcPr>
          <w:p w14:paraId="3ED72495">
            <w:pPr>
              <w:pStyle w:val="58"/>
              <w:bidi w:val="0"/>
              <w:rPr>
                <w:rFonts w:hint="default"/>
                <w:highlight w:val="none"/>
              </w:rPr>
            </w:pPr>
            <w:r>
              <w:rPr>
                <w:rFonts w:hint="default"/>
                <w:highlight w:val="none"/>
              </w:rPr>
              <w:t>污染物</w:t>
            </w:r>
          </w:p>
        </w:tc>
        <w:tc>
          <w:tcPr>
            <w:tcW w:w="1064" w:type="pct"/>
            <w:noWrap w:val="0"/>
            <w:vAlign w:val="center"/>
          </w:tcPr>
          <w:p w14:paraId="33846573">
            <w:pPr>
              <w:pStyle w:val="58"/>
              <w:bidi w:val="0"/>
              <w:rPr>
                <w:rFonts w:hint="default"/>
                <w:highlight w:val="none"/>
              </w:rPr>
            </w:pPr>
            <w:r>
              <w:rPr>
                <w:rFonts w:hint="default"/>
                <w:highlight w:val="none"/>
              </w:rPr>
              <w:t>核算</w:t>
            </w:r>
            <w:r>
              <w:rPr>
                <w:rFonts w:hint="default"/>
                <w:highlight w:val="none"/>
                <w:lang w:eastAsia="zh-CN"/>
              </w:rPr>
              <w:t>最大</w:t>
            </w:r>
            <w:r>
              <w:rPr>
                <w:rFonts w:hint="default"/>
                <w:highlight w:val="none"/>
              </w:rPr>
              <w:t>排放浓度</w:t>
            </w:r>
          </w:p>
          <w:p w14:paraId="5E0DD867">
            <w:pPr>
              <w:pStyle w:val="58"/>
              <w:bidi w:val="0"/>
              <w:rPr>
                <w:rFonts w:hint="default"/>
                <w:highlight w:val="none"/>
                <w:lang w:eastAsia="zh-CN"/>
              </w:rPr>
            </w:pPr>
            <w:r>
              <w:rPr>
                <w:rFonts w:hint="default"/>
                <w:highlight w:val="none"/>
              </w:rPr>
              <w:t>（mg/</w:t>
            </w:r>
            <w:r>
              <w:rPr>
                <w:rFonts w:hint="eastAsia"/>
                <w:highlight w:val="none"/>
                <w:lang w:eastAsia="zh-CN"/>
              </w:rPr>
              <w:t>m</w:t>
            </w:r>
            <w:r>
              <w:rPr>
                <w:rFonts w:hint="eastAsia"/>
                <w:highlight w:val="none"/>
                <w:vertAlign w:val="superscript"/>
                <w:lang w:eastAsia="zh-CN"/>
              </w:rPr>
              <w:t>3</w:t>
            </w:r>
            <w:r>
              <w:rPr>
                <w:rFonts w:hint="default"/>
                <w:highlight w:val="none"/>
              </w:rPr>
              <w:t>）</w:t>
            </w:r>
          </w:p>
        </w:tc>
        <w:tc>
          <w:tcPr>
            <w:tcW w:w="1003" w:type="pct"/>
            <w:noWrap w:val="0"/>
            <w:vAlign w:val="center"/>
          </w:tcPr>
          <w:p w14:paraId="163C738B">
            <w:pPr>
              <w:pStyle w:val="58"/>
              <w:bidi w:val="0"/>
              <w:rPr>
                <w:rFonts w:hint="default"/>
                <w:highlight w:val="none"/>
              </w:rPr>
            </w:pPr>
            <w:r>
              <w:rPr>
                <w:rFonts w:hint="default"/>
                <w:highlight w:val="none"/>
              </w:rPr>
              <w:t>核算</w:t>
            </w:r>
            <w:r>
              <w:rPr>
                <w:rFonts w:hint="default"/>
                <w:highlight w:val="none"/>
                <w:lang w:eastAsia="zh-CN"/>
              </w:rPr>
              <w:t>最大</w:t>
            </w:r>
            <w:r>
              <w:rPr>
                <w:rFonts w:hint="default"/>
                <w:highlight w:val="none"/>
              </w:rPr>
              <w:t>排放速率（kg/h）</w:t>
            </w:r>
          </w:p>
        </w:tc>
        <w:tc>
          <w:tcPr>
            <w:tcW w:w="978" w:type="pct"/>
            <w:noWrap w:val="0"/>
            <w:vAlign w:val="center"/>
          </w:tcPr>
          <w:p w14:paraId="26AA4C37">
            <w:pPr>
              <w:pStyle w:val="58"/>
              <w:bidi w:val="0"/>
              <w:rPr>
                <w:rFonts w:hint="default"/>
                <w:highlight w:val="none"/>
              </w:rPr>
            </w:pPr>
            <w:r>
              <w:rPr>
                <w:rFonts w:hint="default"/>
                <w:highlight w:val="none"/>
              </w:rPr>
              <w:t>核算年排放量</w:t>
            </w:r>
          </w:p>
          <w:p w14:paraId="2C7175B7">
            <w:pPr>
              <w:pStyle w:val="58"/>
              <w:bidi w:val="0"/>
              <w:rPr>
                <w:rFonts w:hint="default"/>
                <w:highlight w:val="none"/>
              </w:rPr>
            </w:pPr>
            <w:r>
              <w:rPr>
                <w:rFonts w:hint="default"/>
                <w:highlight w:val="none"/>
              </w:rPr>
              <w:t>(t/a)</w:t>
            </w:r>
          </w:p>
        </w:tc>
      </w:tr>
      <w:tr w14:paraId="7A8E0F8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000" w:type="pct"/>
            <w:gridSpan w:val="6"/>
            <w:noWrap w:val="0"/>
            <w:vAlign w:val="center"/>
          </w:tcPr>
          <w:p w14:paraId="109A2DA2">
            <w:pPr>
              <w:pStyle w:val="58"/>
              <w:bidi w:val="0"/>
              <w:rPr>
                <w:rFonts w:hint="default"/>
                <w:highlight w:val="none"/>
              </w:rPr>
            </w:pPr>
            <w:r>
              <w:rPr>
                <w:rFonts w:hint="default"/>
                <w:highlight w:val="none"/>
              </w:rPr>
              <w:t>主要排放口</w:t>
            </w:r>
          </w:p>
        </w:tc>
      </w:tr>
      <w:tr w14:paraId="5D99EBD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416" w:type="pct"/>
            <w:noWrap w:val="0"/>
            <w:vAlign w:val="center"/>
          </w:tcPr>
          <w:p w14:paraId="6BEA07E3">
            <w:pPr>
              <w:pStyle w:val="58"/>
              <w:bidi w:val="0"/>
              <w:rPr>
                <w:rFonts w:hint="default"/>
                <w:highlight w:val="none"/>
                <w:lang w:val="en-US"/>
              </w:rPr>
            </w:pPr>
            <w:r>
              <w:rPr>
                <w:rFonts w:hint="default"/>
                <w:highlight w:val="none"/>
                <w:lang w:val="en-US"/>
              </w:rPr>
              <w:t>1</w:t>
            </w:r>
          </w:p>
        </w:tc>
        <w:tc>
          <w:tcPr>
            <w:tcW w:w="770" w:type="pct"/>
            <w:noWrap w:val="0"/>
            <w:vAlign w:val="center"/>
          </w:tcPr>
          <w:p w14:paraId="01FA1420">
            <w:pPr>
              <w:pStyle w:val="58"/>
              <w:bidi w:val="0"/>
              <w:rPr>
                <w:rFonts w:hint="default"/>
                <w:highlight w:val="none"/>
                <w:lang w:val="en-US"/>
              </w:rPr>
            </w:pPr>
            <w:r>
              <w:rPr>
                <w:rFonts w:hint="default"/>
                <w:highlight w:val="none"/>
                <w:lang w:val="en-US"/>
              </w:rPr>
              <w:t>/</w:t>
            </w:r>
          </w:p>
        </w:tc>
        <w:tc>
          <w:tcPr>
            <w:tcW w:w="767" w:type="pct"/>
            <w:noWrap w:val="0"/>
            <w:vAlign w:val="center"/>
          </w:tcPr>
          <w:p w14:paraId="639A97D5">
            <w:pPr>
              <w:pStyle w:val="58"/>
              <w:bidi w:val="0"/>
              <w:rPr>
                <w:rFonts w:hint="default"/>
                <w:highlight w:val="none"/>
              </w:rPr>
            </w:pPr>
            <w:r>
              <w:rPr>
                <w:rFonts w:hint="default"/>
                <w:highlight w:val="none"/>
              </w:rPr>
              <w:t>/</w:t>
            </w:r>
          </w:p>
        </w:tc>
        <w:tc>
          <w:tcPr>
            <w:tcW w:w="1064" w:type="pct"/>
            <w:noWrap w:val="0"/>
            <w:vAlign w:val="center"/>
          </w:tcPr>
          <w:p w14:paraId="092E0EDD">
            <w:pPr>
              <w:pStyle w:val="58"/>
              <w:bidi w:val="0"/>
              <w:rPr>
                <w:rFonts w:hint="default"/>
                <w:highlight w:val="none"/>
              </w:rPr>
            </w:pPr>
            <w:r>
              <w:rPr>
                <w:rFonts w:hint="default"/>
                <w:highlight w:val="none"/>
              </w:rPr>
              <w:t>/</w:t>
            </w:r>
          </w:p>
        </w:tc>
        <w:tc>
          <w:tcPr>
            <w:tcW w:w="1003" w:type="pct"/>
            <w:noWrap w:val="0"/>
            <w:vAlign w:val="center"/>
          </w:tcPr>
          <w:p w14:paraId="4DB232FE">
            <w:pPr>
              <w:pStyle w:val="58"/>
              <w:bidi w:val="0"/>
              <w:rPr>
                <w:rFonts w:hint="default"/>
                <w:highlight w:val="none"/>
              </w:rPr>
            </w:pPr>
            <w:r>
              <w:rPr>
                <w:rFonts w:hint="default"/>
                <w:highlight w:val="none"/>
              </w:rPr>
              <w:t>/</w:t>
            </w:r>
          </w:p>
        </w:tc>
        <w:tc>
          <w:tcPr>
            <w:tcW w:w="978" w:type="pct"/>
            <w:noWrap w:val="0"/>
            <w:vAlign w:val="center"/>
          </w:tcPr>
          <w:p w14:paraId="67FB1D38">
            <w:pPr>
              <w:pStyle w:val="58"/>
              <w:bidi w:val="0"/>
              <w:rPr>
                <w:rFonts w:hint="default"/>
                <w:highlight w:val="none"/>
              </w:rPr>
            </w:pPr>
            <w:r>
              <w:rPr>
                <w:rFonts w:hint="default"/>
                <w:highlight w:val="none"/>
              </w:rPr>
              <w:t>/</w:t>
            </w:r>
          </w:p>
        </w:tc>
      </w:tr>
      <w:tr w14:paraId="70A2B54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187" w:type="pct"/>
            <w:gridSpan w:val="2"/>
            <w:vMerge w:val="restart"/>
            <w:noWrap w:val="0"/>
            <w:vAlign w:val="center"/>
          </w:tcPr>
          <w:p w14:paraId="3EA33398">
            <w:pPr>
              <w:pStyle w:val="58"/>
              <w:bidi w:val="0"/>
              <w:rPr>
                <w:rFonts w:hint="default"/>
                <w:highlight w:val="none"/>
                <w:lang w:val="en-US"/>
              </w:rPr>
            </w:pPr>
            <w:r>
              <w:rPr>
                <w:rFonts w:hint="default"/>
                <w:highlight w:val="none"/>
                <w:lang w:val="en-US"/>
              </w:rPr>
              <w:t>主要排放口合计</w:t>
            </w:r>
          </w:p>
        </w:tc>
        <w:tc>
          <w:tcPr>
            <w:tcW w:w="2834" w:type="pct"/>
            <w:gridSpan w:val="3"/>
            <w:noWrap w:val="0"/>
            <w:vAlign w:val="center"/>
          </w:tcPr>
          <w:p w14:paraId="01523688">
            <w:pPr>
              <w:pStyle w:val="58"/>
              <w:bidi w:val="0"/>
              <w:rPr>
                <w:rFonts w:hint="default"/>
                <w:highlight w:val="none"/>
                <w:lang w:val="en-US" w:eastAsia="zh-CN"/>
              </w:rPr>
            </w:pPr>
            <w:r>
              <w:rPr>
                <w:rFonts w:hint="default"/>
                <w:highlight w:val="none"/>
                <w:lang w:val="en-US" w:eastAsia="zh-CN"/>
              </w:rPr>
              <w:t>氨</w:t>
            </w:r>
          </w:p>
        </w:tc>
        <w:tc>
          <w:tcPr>
            <w:tcW w:w="978" w:type="pct"/>
            <w:noWrap w:val="0"/>
            <w:vAlign w:val="center"/>
          </w:tcPr>
          <w:p w14:paraId="48427D25">
            <w:pPr>
              <w:pStyle w:val="58"/>
              <w:bidi w:val="0"/>
              <w:rPr>
                <w:rFonts w:hint="default"/>
                <w:highlight w:val="none"/>
                <w:lang w:val="en-US"/>
              </w:rPr>
            </w:pPr>
            <w:r>
              <w:rPr>
                <w:rFonts w:hint="default"/>
                <w:highlight w:val="none"/>
                <w:lang w:val="en-US"/>
              </w:rPr>
              <w:t>/</w:t>
            </w:r>
          </w:p>
        </w:tc>
      </w:tr>
      <w:tr w14:paraId="6559969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187" w:type="pct"/>
            <w:gridSpan w:val="2"/>
            <w:vMerge w:val="continue"/>
            <w:noWrap w:val="0"/>
            <w:vAlign w:val="center"/>
          </w:tcPr>
          <w:p w14:paraId="2AE214E2">
            <w:pPr>
              <w:pStyle w:val="58"/>
              <w:bidi w:val="0"/>
              <w:rPr>
                <w:rFonts w:hint="default"/>
                <w:highlight w:val="none"/>
                <w:lang w:val="en-US"/>
              </w:rPr>
            </w:pPr>
          </w:p>
        </w:tc>
        <w:tc>
          <w:tcPr>
            <w:tcW w:w="2834" w:type="pct"/>
            <w:gridSpan w:val="3"/>
            <w:noWrap w:val="0"/>
            <w:vAlign w:val="center"/>
          </w:tcPr>
          <w:p w14:paraId="4AB8B6D3">
            <w:pPr>
              <w:pStyle w:val="58"/>
              <w:bidi w:val="0"/>
              <w:rPr>
                <w:rFonts w:hint="default"/>
                <w:highlight w:val="none"/>
                <w:lang w:val="en-US" w:eastAsia="zh-CN"/>
              </w:rPr>
            </w:pPr>
            <w:r>
              <w:rPr>
                <w:rFonts w:hint="default"/>
                <w:highlight w:val="none"/>
                <w:lang w:val="en-US" w:eastAsia="zh-CN"/>
              </w:rPr>
              <w:t>硫化氢</w:t>
            </w:r>
          </w:p>
        </w:tc>
        <w:tc>
          <w:tcPr>
            <w:tcW w:w="978" w:type="pct"/>
            <w:noWrap w:val="0"/>
            <w:vAlign w:val="center"/>
          </w:tcPr>
          <w:p w14:paraId="1F5BF5A0">
            <w:pPr>
              <w:pStyle w:val="58"/>
              <w:bidi w:val="0"/>
              <w:rPr>
                <w:rFonts w:hint="default"/>
                <w:highlight w:val="none"/>
                <w:lang w:val="en-US"/>
              </w:rPr>
            </w:pPr>
            <w:r>
              <w:rPr>
                <w:rFonts w:hint="default"/>
                <w:highlight w:val="none"/>
                <w:lang w:val="en-US"/>
              </w:rPr>
              <w:t>/</w:t>
            </w:r>
          </w:p>
        </w:tc>
      </w:tr>
      <w:tr w14:paraId="2B36E80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000" w:type="pct"/>
            <w:gridSpan w:val="6"/>
            <w:noWrap w:val="0"/>
            <w:vAlign w:val="center"/>
          </w:tcPr>
          <w:p w14:paraId="703B62D4">
            <w:pPr>
              <w:pStyle w:val="58"/>
              <w:bidi w:val="0"/>
              <w:rPr>
                <w:rFonts w:hint="default"/>
                <w:highlight w:val="none"/>
                <w:lang w:val="en-US"/>
              </w:rPr>
            </w:pPr>
            <w:r>
              <w:rPr>
                <w:rFonts w:hint="default"/>
                <w:highlight w:val="none"/>
                <w:lang w:val="en-US"/>
              </w:rPr>
              <w:t>一般排放口</w:t>
            </w:r>
          </w:p>
        </w:tc>
      </w:tr>
      <w:tr w14:paraId="2E37B50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416" w:type="pct"/>
            <w:vMerge w:val="restart"/>
            <w:noWrap w:val="0"/>
            <w:vAlign w:val="center"/>
          </w:tcPr>
          <w:p w14:paraId="487115F5">
            <w:pPr>
              <w:pStyle w:val="58"/>
              <w:bidi w:val="0"/>
              <w:rPr>
                <w:rFonts w:hint="default"/>
                <w:highlight w:val="none"/>
                <w:lang w:val="en-US" w:eastAsia="zh-CN"/>
              </w:rPr>
            </w:pPr>
            <w:r>
              <w:rPr>
                <w:rFonts w:hint="default"/>
                <w:highlight w:val="none"/>
                <w:lang w:val="en-US" w:eastAsia="zh-CN"/>
              </w:rPr>
              <w:t>1</w:t>
            </w:r>
          </w:p>
        </w:tc>
        <w:tc>
          <w:tcPr>
            <w:tcW w:w="770" w:type="pct"/>
            <w:vMerge w:val="restart"/>
            <w:noWrap w:val="0"/>
            <w:vAlign w:val="center"/>
          </w:tcPr>
          <w:p w14:paraId="649F21DA">
            <w:pPr>
              <w:pStyle w:val="58"/>
              <w:bidi w:val="0"/>
              <w:rPr>
                <w:rFonts w:hint="default"/>
                <w:highlight w:val="none"/>
                <w:lang w:val="en-US" w:eastAsia="zh-CN"/>
              </w:rPr>
            </w:pPr>
            <w:r>
              <w:rPr>
                <w:rFonts w:hint="default"/>
                <w:highlight w:val="none"/>
                <w:lang w:val="en-US" w:eastAsia="zh-CN"/>
              </w:rPr>
              <w:t>DA001</w:t>
            </w:r>
          </w:p>
        </w:tc>
        <w:tc>
          <w:tcPr>
            <w:tcW w:w="767" w:type="pct"/>
            <w:noWrap w:val="0"/>
            <w:vAlign w:val="center"/>
          </w:tcPr>
          <w:p w14:paraId="32E120C1">
            <w:pPr>
              <w:pStyle w:val="58"/>
              <w:bidi w:val="0"/>
              <w:rPr>
                <w:rFonts w:hint="default"/>
                <w:highlight w:val="none"/>
                <w:lang w:val="en-US" w:eastAsia="zh-CN"/>
              </w:rPr>
            </w:pPr>
            <w:r>
              <w:rPr>
                <w:rFonts w:hint="default"/>
                <w:highlight w:val="none"/>
                <w:lang w:val="en-US" w:eastAsia="zh-CN"/>
              </w:rPr>
              <w:t>氨</w:t>
            </w:r>
          </w:p>
        </w:tc>
        <w:tc>
          <w:tcPr>
            <w:tcW w:w="1064" w:type="pct"/>
            <w:noWrap w:val="0"/>
            <w:vAlign w:val="center"/>
          </w:tcPr>
          <w:p w14:paraId="27F87EF4">
            <w:pPr>
              <w:pStyle w:val="58"/>
              <w:bidi w:val="0"/>
              <w:rPr>
                <w:rFonts w:hint="default"/>
                <w:highlight w:val="none"/>
                <w:lang w:val="en-US" w:eastAsia="zh-CN"/>
              </w:rPr>
            </w:pPr>
            <w:r>
              <w:rPr>
                <w:rFonts w:hint="eastAsia"/>
                <w:highlight w:val="none"/>
                <w:lang w:val="en-US" w:eastAsia="zh-CN"/>
              </w:rPr>
              <w:t xml:space="preserve">3.1680 </w:t>
            </w:r>
          </w:p>
        </w:tc>
        <w:tc>
          <w:tcPr>
            <w:tcW w:w="1003" w:type="pct"/>
            <w:noWrap w:val="0"/>
            <w:vAlign w:val="center"/>
          </w:tcPr>
          <w:p w14:paraId="39350B70">
            <w:pPr>
              <w:pStyle w:val="58"/>
              <w:bidi w:val="0"/>
              <w:rPr>
                <w:rFonts w:hint="default"/>
                <w:highlight w:val="none"/>
                <w:lang w:val="en-US" w:eastAsia="zh-CN"/>
              </w:rPr>
            </w:pPr>
            <w:r>
              <w:rPr>
                <w:rFonts w:hint="eastAsia"/>
                <w:highlight w:val="none"/>
                <w:lang w:val="en-US" w:eastAsia="zh-CN"/>
              </w:rPr>
              <w:t>0.0158</w:t>
            </w:r>
          </w:p>
        </w:tc>
        <w:tc>
          <w:tcPr>
            <w:tcW w:w="978" w:type="pct"/>
            <w:noWrap w:val="0"/>
            <w:vAlign w:val="center"/>
          </w:tcPr>
          <w:p w14:paraId="40940597">
            <w:pPr>
              <w:pStyle w:val="58"/>
              <w:bidi w:val="0"/>
              <w:rPr>
                <w:rFonts w:hint="default"/>
                <w:highlight w:val="none"/>
                <w:lang w:val="en-US" w:eastAsia="zh-CN"/>
              </w:rPr>
            </w:pPr>
            <w:r>
              <w:rPr>
                <w:rFonts w:hint="eastAsia"/>
                <w:highlight w:val="none"/>
                <w:lang w:val="en-US" w:eastAsia="zh-CN"/>
              </w:rPr>
              <w:t xml:space="preserve">0.1388 </w:t>
            </w:r>
          </w:p>
        </w:tc>
      </w:tr>
      <w:tr w14:paraId="04B83FE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416" w:type="pct"/>
            <w:vMerge w:val="continue"/>
            <w:noWrap w:val="0"/>
            <w:vAlign w:val="center"/>
          </w:tcPr>
          <w:p w14:paraId="6A926FEF">
            <w:pPr>
              <w:pStyle w:val="58"/>
              <w:bidi w:val="0"/>
              <w:rPr>
                <w:rFonts w:hint="default"/>
                <w:highlight w:val="none"/>
                <w:lang w:val="en-US" w:eastAsia="zh-CN"/>
              </w:rPr>
            </w:pPr>
          </w:p>
        </w:tc>
        <w:tc>
          <w:tcPr>
            <w:tcW w:w="770" w:type="pct"/>
            <w:vMerge w:val="continue"/>
            <w:noWrap w:val="0"/>
            <w:vAlign w:val="center"/>
          </w:tcPr>
          <w:p w14:paraId="3120C4D1">
            <w:pPr>
              <w:pStyle w:val="58"/>
              <w:bidi w:val="0"/>
              <w:rPr>
                <w:rFonts w:hint="default"/>
                <w:highlight w:val="none"/>
                <w:lang w:val="en-US" w:eastAsia="zh-CN"/>
              </w:rPr>
            </w:pPr>
          </w:p>
        </w:tc>
        <w:tc>
          <w:tcPr>
            <w:tcW w:w="767" w:type="pct"/>
            <w:noWrap w:val="0"/>
            <w:vAlign w:val="center"/>
          </w:tcPr>
          <w:p w14:paraId="632528C8">
            <w:pPr>
              <w:pStyle w:val="58"/>
              <w:bidi w:val="0"/>
              <w:rPr>
                <w:rFonts w:hint="default"/>
                <w:highlight w:val="none"/>
                <w:lang w:val="en-US" w:eastAsia="zh-CN"/>
              </w:rPr>
            </w:pPr>
            <w:r>
              <w:rPr>
                <w:rFonts w:hint="default"/>
                <w:highlight w:val="none"/>
                <w:lang w:val="en-US" w:eastAsia="zh-CN"/>
              </w:rPr>
              <w:t>硫化氢</w:t>
            </w:r>
          </w:p>
        </w:tc>
        <w:tc>
          <w:tcPr>
            <w:tcW w:w="1064" w:type="pct"/>
            <w:noWrap w:val="0"/>
            <w:vAlign w:val="center"/>
          </w:tcPr>
          <w:p w14:paraId="506B9F6C">
            <w:pPr>
              <w:pStyle w:val="58"/>
              <w:bidi w:val="0"/>
              <w:rPr>
                <w:rFonts w:hint="default"/>
                <w:highlight w:val="none"/>
                <w:lang w:val="en-US" w:eastAsia="zh-CN"/>
              </w:rPr>
            </w:pPr>
            <w:r>
              <w:rPr>
                <w:rFonts w:hint="eastAsia"/>
                <w:highlight w:val="none"/>
                <w:lang w:val="en-US" w:eastAsia="zh-CN"/>
              </w:rPr>
              <w:t xml:space="preserve">0.0576 </w:t>
            </w:r>
          </w:p>
        </w:tc>
        <w:tc>
          <w:tcPr>
            <w:tcW w:w="1003" w:type="pct"/>
            <w:noWrap w:val="0"/>
            <w:vAlign w:val="center"/>
          </w:tcPr>
          <w:p w14:paraId="5B22CFF0">
            <w:pPr>
              <w:pStyle w:val="58"/>
              <w:bidi w:val="0"/>
              <w:rPr>
                <w:rFonts w:hint="default"/>
                <w:highlight w:val="none"/>
                <w:lang w:val="en-US" w:eastAsia="zh-CN"/>
              </w:rPr>
            </w:pPr>
            <w:r>
              <w:rPr>
                <w:rFonts w:hint="eastAsia"/>
                <w:highlight w:val="none"/>
                <w:lang w:val="en-US" w:eastAsia="zh-CN"/>
              </w:rPr>
              <w:t>0.0003</w:t>
            </w:r>
          </w:p>
        </w:tc>
        <w:tc>
          <w:tcPr>
            <w:tcW w:w="978" w:type="pct"/>
            <w:noWrap w:val="0"/>
            <w:vAlign w:val="center"/>
          </w:tcPr>
          <w:p w14:paraId="79FC535D">
            <w:pPr>
              <w:pStyle w:val="58"/>
              <w:bidi w:val="0"/>
              <w:rPr>
                <w:rFonts w:hint="default"/>
                <w:highlight w:val="none"/>
                <w:lang w:val="en-US" w:eastAsia="zh-CN"/>
              </w:rPr>
            </w:pPr>
            <w:r>
              <w:rPr>
                <w:rFonts w:hint="eastAsia"/>
                <w:highlight w:val="none"/>
                <w:lang w:val="en-US" w:eastAsia="zh-CN"/>
              </w:rPr>
              <w:t>0.0025</w:t>
            </w:r>
          </w:p>
        </w:tc>
      </w:tr>
      <w:tr w14:paraId="1583880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187" w:type="pct"/>
            <w:gridSpan w:val="2"/>
            <w:vMerge w:val="restart"/>
            <w:noWrap w:val="0"/>
            <w:vAlign w:val="center"/>
          </w:tcPr>
          <w:p w14:paraId="750E7533">
            <w:pPr>
              <w:pStyle w:val="58"/>
              <w:bidi w:val="0"/>
              <w:rPr>
                <w:rFonts w:hint="default"/>
                <w:highlight w:val="none"/>
                <w:lang w:val="en-US"/>
              </w:rPr>
            </w:pPr>
            <w:r>
              <w:rPr>
                <w:rFonts w:hint="default"/>
                <w:highlight w:val="none"/>
                <w:lang w:val="en-US"/>
              </w:rPr>
              <w:t>一般排放口合计</w:t>
            </w:r>
          </w:p>
        </w:tc>
        <w:tc>
          <w:tcPr>
            <w:tcW w:w="2834" w:type="pct"/>
            <w:gridSpan w:val="3"/>
            <w:noWrap w:val="0"/>
            <w:vAlign w:val="center"/>
          </w:tcPr>
          <w:p w14:paraId="0339FBBF">
            <w:pPr>
              <w:pStyle w:val="58"/>
              <w:bidi w:val="0"/>
              <w:rPr>
                <w:rFonts w:hint="default"/>
                <w:highlight w:val="none"/>
                <w:lang w:val="en-US" w:eastAsia="zh-CN"/>
              </w:rPr>
            </w:pPr>
            <w:r>
              <w:rPr>
                <w:rFonts w:hint="default"/>
                <w:highlight w:val="none"/>
                <w:lang w:val="en-US" w:eastAsia="zh-CN"/>
              </w:rPr>
              <w:t>氨</w:t>
            </w:r>
          </w:p>
        </w:tc>
        <w:tc>
          <w:tcPr>
            <w:tcW w:w="978" w:type="pct"/>
            <w:noWrap w:val="0"/>
            <w:vAlign w:val="center"/>
          </w:tcPr>
          <w:p w14:paraId="738B91CA">
            <w:pPr>
              <w:pStyle w:val="58"/>
              <w:bidi w:val="0"/>
              <w:rPr>
                <w:rFonts w:hint="default"/>
                <w:highlight w:val="none"/>
                <w:lang w:val="en-US" w:eastAsia="zh-CN"/>
              </w:rPr>
            </w:pPr>
            <w:r>
              <w:rPr>
                <w:rFonts w:hint="eastAsia"/>
                <w:highlight w:val="none"/>
                <w:lang w:val="en-US" w:eastAsia="zh-CN"/>
              </w:rPr>
              <w:t xml:space="preserve">0.1388 </w:t>
            </w:r>
          </w:p>
        </w:tc>
      </w:tr>
      <w:tr w14:paraId="031529C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187" w:type="pct"/>
            <w:gridSpan w:val="2"/>
            <w:vMerge w:val="continue"/>
            <w:noWrap w:val="0"/>
            <w:vAlign w:val="center"/>
          </w:tcPr>
          <w:p w14:paraId="4727D333">
            <w:pPr>
              <w:pStyle w:val="58"/>
              <w:bidi w:val="0"/>
              <w:rPr>
                <w:rFonts w:hint="default"/>
                <w:highlight w:val="none"/>
                <w:lang w:val="en-US"/>
              </w:rPr>
            </w:pPr>
          </w:p>
        </w:tc>
        <w:tc>
          <w:tcPr>
            <w:tcW w:w="2834" w:type="pct"/>
            <w:gridSpan w:val="3"/>
            <w:noWrap w:val="0"/>
            <w:vAlign w:val="center"/>
          </w:tcPr>
          <w:p w14:paraId="4046E1F7">
            <w:pPr>
              <w:pStyle w:val="58"/>
              <w:bidi w:val="0"/>
              <w:rPr>
                <w:rFonts w:hint="default"/>
                <w:highlight w:val="none"/>
                <w:lang w:val="en-US" w:eastAsia="zh-CN"/>
              </w:rPr>
            </w:pPr>
            <w:r>
              <w:rPr>
                <w:rFonts w:hint="default"/>
                <w:highlight w:val="none"/>
                <w:lang w:val="en-US" w:eastAsia="zh-CN"/>
              </w:rPr>
              <w:t>硫化氢</w:t>
            </w:r>
          </w:p>
        </w:tc>
        <w:tc>
          <w:tcPr>
            <w:tcW w:w="978" w:type="pct"/>
            <w:noWrap w:val="0"/>
            <w:vAlign w:val="center"/>
          </w:tcPr>
          <w:p w14:paraId="5A6C1349">
            <w:pPr>
              <w:pStyle w:val="58"/>
              <w:bidi w:val="0"/>
              <w:rPr>
                <w:rFonts w:hint="default"/>
                <w:highlight w:val="none"/>
                <w:lang w:val="en-US" w:eastAsia="zh-CN"/>
              </w:rPr>
            </w:pPr>
            <w:r>
              <w:rPr>
                <w:rFonts w:hint="eastAsia"/>
                <w:highlight w:val="none"/>
                <w:lang w:val="en-US" w:eastAsia="zh-CN"/>
              </w:rPr>
              <w:t>0.0025</w:t>
            </w:r>
          </w:p>
        </w:tc>
      </w:tr>
      <w:tr w14:paraId="3AD943C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187" w:type="pct"/>
            <w:gridSpan w:val="2"/>
            <w:vMerge w:val="restart"/>
            <w:noWrap w:val="0"/>
            <w:vAlign w:val="center"/>
          </w:tcPr>
          <w:p w14:paraId="42FB0ED6">
            <w:pPr>
              <w:pStyle w:val="58"/>
              <w:bidi w:val="0"/>
              <w:rPr>
                <w:rFonts w:hint="default"/>
                <w:highlight w:val="none"/>
                <w:lang w:val="en-US"/>
              </w:rPr>
            </w:pPr>
            <w:r>
              <w:rPr>
                <w:rFonts w:hint="default"/>
                <w:highlight w:val="none"/>
                <w:lang w:val="en-US"/>
              </w:rPr>
              <w:t>有组织排放合计</w:t>
            </w:r>
          </w:p>
        </w:tc>
        <w:tc>
          <w:tcPr>
            <w:tcW w:w="2834" w:type="pct"/>
            <w:gridSpan w:val="3"/>
            <w:noWrap w:val="0"/>
            <w:vAlign w:val="center"/>
          </w:tcPr>
          <w:p w14:paraId="5F08E2AC">
            <w:pPr>
              <w:pStyle w:val="58"/>
              <w:bidi w:val="0"/>
              <w:rPr>
                <w:rFonts w:hint="default"/>
                <w:highlight w:val="none"/>
                <w:lang w:val="en-US" w:eastAsia="zh-CN"/>
              </w:rPr>
            </w:pPr>
            <w:r>
              <w:rPr>
                <w:rFonts w:hint="default"/>
                <w:highlight w:val="none"/>
                <w:lang w:val="en-US" w:eastAsia="zh-CN"/>
              </w:rPr>
              <w:t>氨</w:t>
            </w:r>
          </w:p>
        </w:tc>
        <w:tc>
          <w:tcPr>
            <w:tcW w:w="978" w:type="pct"/>
            <w:noWrap w:val="0"/>
            <w:vAlign w:val="center"/>
          </w:tcPr>
          <w:p w14:paraId="66DE2F58">
            <w:pPr>
              <w:pStyle w:val="58"/>
              <w:bidi w:val="0"/>
              <w:rPr>
                <w:rFonts w:hint="default"/>
                <w:highlight w:val="none"/>
                <w:lang w:val="en-US" w:eastAsia="zh-CN"/>
              </w:rPr>
            </w:pPr>
            <w:r>
              <w:rPr>
                <w:rFonts w:hint="eastAsia"/>
                <w:highlight w:val="none"/>
                <w:lang w:val="en-US" w:eastAsia="zh-CN"/>
              </w:rPr>
              <w:t>0.1388</w:t>
            </w:r>
          </w:p>
        </w:tc>
      </w:tr>
      <w:tr w14:paraId="2E368C0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187" w:type="pct"/>
            <w:gridSpan w:val="2"/>
            <w:vMerge w:val="continue"/>
            <w:noWrap w:val="0"/>
            <w:vAlign w:val="center"/>
          </w:tcPr>
          <w:p w14:paraId="4AB044A6">
            <w:pPr>
              <w:pStyle w:val="58"/>
              <w:bidi w:val="0"/>
              <w:rPr>
                <w:rFonts w:hint="default"/>
                <w:highlight w:val="none"/>
                <w:lang w:val="en-US"/>
              </w:rPr>
            </w:pPr>
          </w:p>
        </w:tc>
        <w:tc>
          <w:tcPr>
            <w:tcW w:w="2834" w:type="pct"/>
            <w:gridSpan w:val="3"/>
            <w:noWrap w:val="0"/>
            <w:vAlign w:val="center"/>
          </w:tcPr>
          <w:p w14:paraId="772DFDD8">
            <w:pPr>
              <w:pStyle w:val="58"/>
              <w:bidi w:val="0"/>
              <w:rPr>
                <w:rFonts w:hint="default"/>
                <w:highlight w:val="none"/>
                <w:lang w:val="en-US" w:eastAsia="zh-CN"/>
              </w:rPr>
            </w:pPr>
            <w:r>
              <w:rPr>
                <w:rFonts w:hint="default"/>
                <w:highlight w:val="none"/>
                <w:lang w:val="en-US" w:eastAsia="zh-CN"/>
              </w:rPr>
              <w:t>硫化氢</w:t>
            </w:r>
          </w:p>
        </w:tc>
        <w:tc>
          <w:tcPr>
            <w:tcW w:w="978" w:type="pct"/>
            <w:noWrap w:val="0"/>
            <w:vAlign w:val="center"/>
          </w:tcPr>
          <w:p w14:paraId="0B460376">
            <w:pPr>
              <w:pStyle w:val="58"/>
              <w:bidi w:val="0"/>
              <w:rPr>
                <w:rFonts w:hint="default"/>
                <w:highlight w:val="none"/>
                <w:lang w:val="en-US" w:eastAsia="zh-CN"/>
              </w:rPr>
            </w:pPr>
            <w:r>
              <w:rPr>
                <w:rFonts w:hint="eastAsia"/>
                <w:highlight w:val="none"/>
                <w:lang w:val="en-US" w:eastAsia="zh-CN"/>
              </w:rPr>
              <w:t>0.0025</w:t>
            </w:r>
          </w:p>
        </w:tc>
      </w:tr>
    </w:tbl>
    <w:p w14:paraId="2EE44ACA">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lang w:val="en-US" w:eastAsia="zh-CN"/>
        </w:rPr>
        <w:t>本项目</w:t>
      </w:r>
      <w:r>
        <w:rPr>
          <w:rFonts w:hint="default" w:ascii="Times New Roman" w:hAnsi="Times New Roman" w:eastAsia="宋体" w:cs="Times New Roman"/>
          <w:b/>
          <w:bCs/>
          <w:color w:val="auto"/>
          <w:sz w:val="24"/>
          <w:highlight w:val="none"/>
        </w:rPr>
        <w:t>大气污染物无组织排放量核算表</w:t>
      </w:r>
    </w:p>
    <w:tbl>
      <w:tblPr>
        <w:tblStyle w:val="47"/>
        <w:tblW w:w="4998"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431"/>
        <w:gridCol w:w="728"/>
        <w:gridCol w:w="1067"/>
        <w:gridCol w:w="1023"/>
        <w:gridCol w:w="3375"/>
        <w:gridCol w:w="1483"/>
        <w:gridCol w:w="991"/>
      </w:tblGrid>
      <w:tr w14:paraId="2E2FA26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37" w:type="pct"/>
            <w:vMerge w:val="restart"/>
            <w:noWrap w:val="0"/>
            <w:vAlign w:val="center"/>
          </w:tcPr>
          <w:p w14:paraId="0F5D3EF9">
            <w:pPr>
              <w:pStyle w:val="58"/>
              <w:bidi w:val="0"/>
              <w:rPr>
                <w:rFonts w:hint="default"/>
                <w:highlight w:val="none"/>
              </w:rPr>
            </w:pPr>
            <w:r>
              <w:rPr>
                <w:rFonts w:hint="default"/>
                <w:highlight w:val="none"/>
              </w:rPr>
              <w:t>序号</w:t>
            </w:r>
          </w:p>
        </w:tc>
        <w:tc>
          <w:tcPr>
            <w:tcW w:w="400" w:type="pct"/>
            <w:vMerge w:val="restart"/>
            <w:noWrap w:val="0"/>
            <w:vAlign w:val="center"/>
          </w:tcPr>
          <w:p w14:paraId="38326DC2">
            <w:pPr>
              <w:pStyle w:val="58"/>
              <w:bidi w:val="0"/>
              <w:rPr>
                <w:rFonts w:hint="default"/>
                <w:highlight w:val="none"/>
              </w:rPr>
            </w:pPr>
            <w:r>
              <w:rPr>
                <w:rFonts w:hint="default"/>
                <w:highlight w:val="none"/>
              </w:rPr>
              <w:t>产污环节</w:t>
            </w:r>
          </w:p>
        </w:tc>
        <w:tc>
          <w:tcPr>
            <w:tcW w:w="586" w:type="pct"/>
            <w:vMerge w:val="restart"/>
            <w:noWrap w:val="0"/>
            <w:vAlign w:val="center"/>
          </w:tcPr>
          <w:p w14:paraId="5E4E04A7">
            <w:pPr>
              <w:pStyle w:val="58"/>
              <w:bidi w:val="0"/>
              <w:rPr>
                <w:rFonts w:hint="default"/>
                <w:highlight w:val="none"/>
              </w:rPr>
            </w:pPr>
            <w:r>
              <w:rPr>
                <w:rFonts w:hint="default"/>
                <w:highlight w:val="none"/>
              </w:rPr>
              <w:t>污染物</w:t>
            </w:r>
          </w:p>
        </w:tc>
        <w:tc>
          <w:tcPr>
            <w:tcW w:w="562" w:type="pct"/>
            <w:vMerge w:val="restart"/>
            <w:noWrap w:val="0"/>
            <w:vAlign w:val="center"/>
          </w:tcPr>
          <w:p w14:paraId="78C2EFAD">
            <w:pPr>
              <w:pStyle w:val="58"/>
              <w:bidi w:val="0"/>
              <w:rPr>
                <w:rFonts w:hint="default"/>
                <w:highlight w:val="none"/>
              </w:rPr>
            </w:pPr>
            <w:r>
              <w:rPr>
                <w:rFonts w:hint="default"/>
                <w:highlight w:val="none"/>
              </w:rPr>
              <w:t>主要污染防治措施</w:t>
            </w:r>
          </w:p>
        </w:tc>
        <w:tc>
          <w:tcPr>
            <w:tcW w:w="2668" w:type="pct"/>
            <w:gridSpan w:val="2"/>
            <w:noWrap w:val="0"/>
            <w:vAlign w:val="center"/>
          </w:tcPr>
          <w:p w14:paraId="0A24B5D5">
            <w:pPr>
              <w:pStyle w:val="58"/>
              <w:bidi w:val="0"/>
              <w:rPr>
                <w:rFonts w:hint="default"/>
                <w:highlight w:val="none"/>
              </w:rPr>
            </w:pPr>
            <w:r>
              <w:rPr>
                <w:rFonts w:hint="default"/>
                <w:highlight w:val="none"/>
              </w:rPr>
              <w:t>污染物排放标准</w:t>
            </w:r>
          </w:p>
        </w:tc>
        <w:tc>
          <w:tcPr>
            <w:tcW w:w="544" w:type="pct"/>
            <w:vMerge w:val="restart"/>
            <w:noWrap w:val="0"/>
            <w:vAlign w:val="center"/>
          </w:tcPr>
          <w:p w14:paraId="30A5889C">
            <w:pPr>
              <w:pStyle w:val="58"/>
              <w:bidi w:val="0"/>
              <w:rPr>
                <w:rFonts w:hint="default"/>
                <w:highlight w:val="none"/>
              </w:rPr>
            </w:pPr>
            <w:r>
              <w:rPr>
                <w:rFonts w:hint="default"/>
                <w:highlight w:val="none"/>
              </w:rPr>
              <w:t>年排放量(t/a)</w:t>
            </w:r>
          </w:p>
        </w:tc>
      </w:tr>
      <w:tr w14:paraId="0A95E85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37" w:type="pct"/>
            <w:vMerge w:val="continue"/>
            <w:noWrap w:val="0"/>
            <w:vAlign w:val="center"/>
          </w:tcPr>
          <w:p w14:paraId="7395BEF7">
            <w:pPr>
              <w:pStyle w:val="58"/>
              <w:bidi w:val="0"/>
              <w:rPr>
                <w:rFonts w:hint="default"/>
                <w:highlight w:val="none"/>
              </w:rPr>
            </w:pPr>
          </w:p>
        </w:tc>
        <w:tc>
          <w:tcPr>
            <w:tcW w:w="400" w:type="pct"/>
            <w:vMerge w:val="continue"/>
            <w:noWrap w:val="0"/>
            <w:vAlign w:val="center"/>
          </w:tcPr>
          <w:p w14:paraId="42739057">
            <w:pPr>
              <w:pStyle w:val="58"/>
              <w:bidi w:val="0"/>
              <w:rPr>
                <w:rFonts w:hint="default"/>
                <w:highlight w:val="none"/>
              </w:rPr>
            </w:pPr>
          </w:p>
        </w:tc>
        <w:tc>
          <w:tcPr>
            <w:tcW w:w="586" w:type="pct"/>
            <w:vMerge w:val="continue"/>
            <w:noWrap w:val="0"/>
            <w:vAlign w:val="center"/>
          </w:tcPr>
          <w:p w14:paraId="1C083AFF">
            <w:pPr>
              <w:pStyle w:val="58"/>
              <w:bidi w:val="0"/>
              <w:rPr>
                <w:rFonts w:hint="default"/>
                <w:highlight w:val="none"/>
              </w:rPr>
            </w:pPr>
          </w:p>
        </w:tc>
        <w:tc>
          <w:tcPr>
            <w:tcW w:w="562" w:type="pct"/>
            <w:vMerge w:val="continue"/>
            <w:noWrap w:val="0"/>
            <w:vAlign w:val="center"/>
          </w:tcPr>
          <w:p w14:paraId="3B5CD0A7">
            <w:pPr>
              <w:pStyle w:val="58"/>
              <w:bidi w:val="0"/>
              <w:rPr>
                <w:rFonts w:hint="default"/>
                <w:highlight w:val="none"/>
              </w:rPr>
            </w:pPr>
          </w:p>
        </w:tc>
        <w:tc>
          <w:tcPr>
            <w:tcW w:w="1854" w:type="pct"/>
            <w:noWrap w:val="0"/>
            <w:vAlign w:val="center"/>
          </w:tcPr>
          <w:p w14:paraId="34449E91">
            <w:pPr>
              <w:pStyle w:val="58"/>
              <w:bidi w:val="0"/>
              <w:rPr>
                <w:rFonts w:hint="default"/>
                <w:highlight w:val="none"/>
              </w:rPr>
            </w:pPr>
            <w:r>
              <w:rPr>
                <w:rFonts w:hint="default"/>
                <w:highlight w:val="none"/>
              </w:rPr>
              <w:t>标准名称</w:t>
            </w:r>
          </w:p>
        </w:tc>
        <w:tc>
          <w:tcPr>
            <w:tcW w:w="814" w:type="pct"/>
            <w:noWrap w:val="0"/>
            <w:vAlign w:val="center"/>
          </w:tcPr>
          <w:p w14:paraId="10BEF1AA">
            <w:pPr>
              <w:pStyle w:val="58"/>
              <w:bidi w:val="0"/>
              <w:rPr>
                <w:rFonts w:hint="default"/>
                <w:highlight w:val="none"/>
              </w:rPr>
            </w:pPr>
            <w:r>
              <w:rPr>
                <w:rFonts w:hint="default"/>
                <w:highlight w:val="none"/>
              </w:rPr>
              <w:t>浓度限值</w:t>
            </w:r>
          </w:p>
        </w:tc>
        <w:tc>
          <w:tcPr>
            <w:tcW w:w="544" w:type="pct"/>
            <w:vMerge w:val="continue"/>
            <w:noWrap w:val="0"/>
            <w:vAlign w:val="center"/>
          </w:tcPr>
          <w:p w14:paraId="2D3FCA7F">
            <w:pPr>
              <w:pStyle w:val="58"/>
              <w:bidi w:val="0"/>
              <w:rPr>
                <w:rFonts w:hint="default"/>
                <w:highlight w:val="none"/>
              </w:rPr>
            </w:pPr>
          </w:p>
        </w:tc>
      </w:tr>
      <w:tr w14:paraId="1E04D60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37" w:type="pct"/>
            <w:vMerge w:val="continue"/>
            <w:noWrap w:val="0"/>
            <w:vAlign w:val="center"/>
          </w:tcPr>
          <w:p w14:paraId="2384E2A9">
            <w:pPr>
              <w:pStyle w:val="58"/>
              <w:bidi w:val="0"/>
              <w:rPr>
                <w:rFonts w:hint="default"/>
                <w:highlight w:val="none"/>
                <w:lang w:val="en-US"/>
              </w:rPr>
            </w:pPr>
          </w:p>
        </w:tc>
        <w:tc>
          <w:tcPr>
            <w:tcW w:w="400" w:type="pct"/>
            <w:vMerge w:val="continue"/>
            <w:noWrap w:val="0"/>
            <w:vAlign w:val="center"/>
          </w:tcPr>
          <w:p w14:paraId="2D6078C6">
            <w:pPr>
              <w:pStyle w:val="58"/>
              <w:bidi w:val="0"/>
              <w:rPr>
                <w:rFonts w:hint="default"/>
                <w:highlight w:val="none"/>
                <w:lang w:val="en-US"/>
              </w:rPr>
            </w:pPr>
          </w:p>
        </w:tc>
        <w:tc>
          <w:tcPr>
            <w:tcW w:w="586" w:type="pct"/>
            <w:noWrap w:val="0"/>
            <w:vAlign w:val="center"/>
          </w:tcPr>
          <w:p w14:paraId="6966ADC3">
            <w:pPr>
              <w:pStyle w:val="58"/>
              <w:bidi w:val="0"/>
              <w:rPr>
                <w:rFonts w:hint="default"/>
                <w:highlight w:val="none"/>
                <w:lang w:eastAsia="zh-CN"/>
              </w:rPr>
            </w:pPr>
            <w:r>
              <w:rPr>
                <w:rFonts w:hint="default"/>
                <w:highlight w:val="none"/>
                <w:lang w:eastAsia="zh-CN"/>
              </w:rPr>
              <w:t>氨</w:t>
            </w:r>
          </w:p>
        </w:tc>
        <w:tc>
          <w:tcPr>
            <w:tcW w:w="562" w:type="pct"/>
            <w:vMerge w:val="restart"/>
            <w:noWrap w:val="0"/>
            <w:vAlign w:val="center"/>
          </w:tcPr>
          <w:p w14:paraId="5E1DEE26">
            <w:pPr>
              <w:pStyle w:val="58"/>
              <w:bidi w:val="0"/>
              <w:rPr>
                <w:rFonts w:hint="default"/>
                <w:highlight w:val="none"/>
              </w:rPr>
            </w:pPr>
            <w:r>
              <w:rPr>
                <w:rFonts w:hint="default"/>
                <w:highlight w:val="none"/>
              </w:rPr>
              <w:t>加强密闭、加强绿化</w:t>
            </w:r>
          </w:p>
        </w:tc>
        <w:tc>
          <w:tcPr>
            <w:tcW w:w="1854" w:type="pct"/>
            <w:vMerge w:val="restart"/>
            <w:noWrap w:val="0"/>
            <w:vAlign w:val="center"/>
          </w:tcPr>
          <w:p w14:paraId="08EF6568">
            <w:pPr>
              <w:pStyle w:val="58"/>
              <w:bidi w:val="0"/>
              <w:rPr>
                <w:rFonts w:hint="default"/>
                <w:highlight w:val="none"/>
              </w:rPr>
            </w:pPr>
            <w:r>
              <w:rPr>
                <w:rFonts w:hint="default"/>
                <w:highlight w:val="none"/>
                <w:lang w:val="en-US" w:eastAsia="zh-CN"/>
              </w:rPr>
              <w:t>《城镇污水处理厂污染物排放标准》（GB18918-2002）表4二级标准</w:t>
            </w:r>
          </w:p>
        </w:tc>
        <w:tc>
          <w:tcPr>
            <w:tcW w:w="814" w:type="pct"/>
            <w:noWrap w:val="0"/>
            <w:vAlign w:val="center"/>
          </w:tcPr>
          <w:p w14:paraId="5F2BDFBD">
            <w:pPr>
              <w:pStyle w:val="58"/>
              <w:bidi w:val="0"/>
              <w:rPr>
                <w:rFonts w:hint="default"/>
                <w:highlight w:val="none"/>
                <w:lang w:val="en-US" w:eastAsia="zh-CN"/>
              </w:rPr>
            </w:pPr>
            <w:r>
              <w:rPr>
                <w:rFonts w:hint="default"/>
                <w:highlight w:val="none"/>
                <w:lang w:val="en-US" w:eastAsia="zh-CN"/>
              </w:rPr>
              <w:t>1.</w:t>
            </w:r>
            <w:r>
              <w:rPr>
                <w:rFonts w:hint="eastAsia"/>
                <w:highlight w:val="none"/>
                <w:lang w:val="en-US" w:eastAsia="zh-CN"/>
              </w:rPr>
              <w:t>5</w:t>
            </w:r>
            <w:r>
              <w:rPr>
                <w:rFonts w:hint="default"/>
                <w:highlight w:val="none"/>
              </w:rPr>
              <w:t>mg/</w:t>
            </w:r>
            <w:r>
              <w:rPr>
                <w:rFonts w:hint="eastAsia"/>
                <w:highlight w:val="none"/>
                <w:lang w:eastAsia="zh-CN"/>
              </w:rPr>
              <w:t>m</w:t>
            </w:r>
            <w:r>
              <w:rPr>
                <w:rFonts w:hint="eastAsia"/>
                <w:highlight w:val="none"/>
                <w:vertAlign w:val="superscript"/>
                <w:lang w:eastAsia="zh-CN"/>
              </w:rPr>
              <w:t>3</w:t>
            </w:r>
          </w:p>
        </w:tc>
        <w:tc>
          <w:tcPr>
            <w:tcW w:w="544" w:type="pct"/>
            <w:noWrap w:val="0"/>
            <w:vAlign w:val="center"/>
          </w:tcPr>
          <w:p w14:paraId="5128F8FE">
            <w:pPr>
              <w:pStyle w:val="58"/>
              <w:bidi w:val="0"/>
              <w:rPr>
                <w:rFonts w:hint="default"/>
                <w:highlight w:val="none"/>
                <w:lang w:val="en-US" w:eastAsia="zh-CN"/>
              </w:rPr>
            </w:pPr>
            <w:r>
              <w:rPr>
                <w:rFonts w:hint="eastAsia"/>
                <w:highlight w:val="none"/>
                <w:lang w:val="en-US" w:eastAsia="zh-CN"/>
              </w:rPr>
              <w:t>0.0385</w:t>
            </w:r>
          </w:p>
        </w:tc>
      </w:tr>
      <w:tr w14:paraId="641EDAC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37" w:type="pct"/>
            <w:vMerge w:val="continue"/>
            <w:noWrap w:val="0"/>
            <w:vAlign w:val="center"/>
          </w:tcPr>
          <w:p w14:paraId="58BAAC23">
            <w:pPr>
              <w:pStyle w:val="58"/>
              <w:bidi w:val="0"/>
              <w:rPr>
                <w:rFonts w:hint="default"/>
                <w:highlight w:val="none"/>
                <w:lang w:val="en-US"/>
              </w:rPr>
            </w:pPr>
          </w:p>
        </w:tc>
        <w:tc>
          <w:tcPr>
            <w:tcW w:w="400" w:type="pct"/>
            <w:vMerge w:val="continue"/>
            <w:noWrap w:val="0"/>
            <w:vAlign w:val="center"/>
          </w:tcPr>
          <w:p w14:paraId="48BC4D57">
            <w:pPr>
              <w:pStyle w:val="58"/>
              <w:bidi w:val="0"/>
              <w:rPr>
                <w:rFonts w:hint="default"/>
                <w:highlight w:val="none"/>
                <w:lang w:val="en-US"/>
              </w:rPr>
            </w:pPr>
          </w:p>
        </w:tc>
        <w:tc>
          <w:tcPr>
            <w:tcW w:w="586" w:type="pct"/>
            <w:noWrap w:val="0"/>
            <w:vAlign w:val="center"/>
          </w:tcPr>
          <w:p w14:paraId="1EE09871">
            <w:pPr>
              <w:pStyle w:val="58"/>
              <w:bidi w:val="0"/>
              <w:rPr>
                <w:rFonts w:hint="default"/>
                <w:highlight w:val="none"/>
                <w:lang w:val="en-US" w:eastAsia="zh-CN"/>
              </w:rPr>
            </w:pPr>
            <w:r>
              <w:rPr>
                <w:rFonts w:hint="default"/>
                <w:highlight w:val="none"/>
                <w:lang w:val="en-US" w:eastAsia="zh-CN"/>
              </w:rPr>
              <w:t>硫化氢</w:t>
            </w:r>
          </w:p>
        </w:tc>
        <w:tc>
          <w:tcPr>
            <w:tcW w:w="562" w:type="pct"/>
            <w:vMerge w:val="continue"/>
            <w:noWrap w:val="0"/>
            <w:vAlign w:val="center"/>
          </w:tcPr>
          <w:p w14:paraId="6D6DB242">
            <w:pPr>
              <w:pStyle w:val="58"/>
              <w:bidi w:val="0"/>
              <w:rPr>
                <w:rFonts w:hint="default"/>
                <w:highlight w:val="none"/>
                <w:lang w:val="en-US" w:eastAsia="zh-CN"/>
              </w:rPr>
            </w:pPr>
          </w:p>
        </w:tc>
        <w:tc>
          <w:tcPr>
            <w:tcW w:w="1854" w:type="pct"/>
            <w:vMerge w:val="continue"/>
            <w:noWrap w:val="0"/>
            <w:vAlign w:val="center"/>
          </w:tcPr>
          <w:p w14:paraId="461795B1">
            <w:pPr>
              <w:pStyle w:val="58"/>
              <w:bidi w:val="0"/>
              <w:rPr>
                <w:rFonts w:hint="default"/>
                <w:highlight w:val="none"/>
              </w:rPr>
            </w:pPr>
          </w:p>
        </w:tc>
        <w:tc>
          <w:tcPr>
            <w:tcW w:w="814" w:type="pct"/>
            <w:noWrap w:val="0"/>
            <w:vAlign w:val="center"/>
          </w:tcPr>
          <w:p w14:paraId="7A52BE8B">
            <w:pPr>
              <w:pStyle w:val="58"/>
              <w:bidi w:val="0"/>
              <w:rPr>
                <w:rFonts w:hint="default"/>
                <w:highlight w:val="none"/>
                <w:lang w:val="en-US" w:eastAsia="zh-CN"/>
              </w:rPr>
            </w:pPr>
            <w:r>
              <w:rPr>
                <w:rFonts w:hint="default"/>
                <w:highlight w:val="none"/>
                <w:lang w:val="en-US" w:eastAsia="zh-CN"/>
              </w:rPr>
              <w:t>0.06</w:t>
            </w:r>
            <w:r>
              <w:rPr>
                <w:rFonts w:hint="default"/>
                <w:highlight w:val="none"/>
              </w:rPr>
              <w:t>mg/</w:t>
            </w:r>
            <w:r>
              <w:rPr>
                <w:rFonts w:hint="eastAsia"/>
                <w:highlight w:val="none"/>
                <w:lang w:eastAsia="zh-CN"/>
              </w:rPr>
              <w:t>m</w:t>
            </w:r>
            <w:r>
              <w:rPr>
                <w:rFonts w:hint="eastAsia"/>
                <w:highlight w:val="none"/>
                <w:vertAlign w:val="superscript"/>
                <w:lang w:eastAsia="zh-CN"/>
              </w:rPr>
              <w:t>3</w:t>
            </w:r>
          </w:p>
        </w:tc>
        <w:tc>
          <w:tcPr>
            <w:tcW w:w="544" w:type="pct"/>
            <w:noWrap w:val="0"/>
            <w:vAlign w:val="center"/>
          </w:tcPr>
          <w:p w14:paraId="6E4C4C7E">
            <w:pPr>
              <w:pStyle w:val="58"/>
              <w:bidi w:val="0"/>
              <w:rPr>
                <w:rFonts w:hint="default"/>
                <w:highlight w:val="none"/>
                <w:lang w:val="en-US" w:eastAsia="zh-CN"/>
              </w:rPr>
            </w:pPr>
            <w:r>
              <w:rPr>
                <w:rFonts w:hint="eastAsia"/>
                <w:highlight w:val="none"/>
                <w:lang w:val="en-US" w:eastAsia="zh-CN"/>
              </w:rPr>
              <w:t>0.0007</w:t>
            </w:r>
          </w:p>
        </w:tc>
      </w:tr>
    </w:tbl>
    <w:p w14:paraId="0F3794A9">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本项目大气污染物年排放量核算表</w:t>
      </w:r>
    </w:p>
    <w:tbl>
      <w:tblPr>
        <w:tblStyle w:val="47"/>
        <w:tblW w:w="4999"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3759"/>
        <w:gridCol w:w="2189"/>
        <w:gridCol w:w="3152"/>
      </w:tblGrid>
      <w:tr w14:paraId="2A7E7E5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065" w:type="pct"/>
            <w:noWrap w:val="0"/>
            <w:vAlign w:val="center"/>
          </w:tcPr>
          <w:p w14:paraId="4B1CB228">
            <w:pPr>
              <w:pStyle w:val="58"/>
              <w:bidi w:val="0"/>
              <w:rPr>
                <w:rFonts w:hint="default"/>
                <w:highlight w:val="none"/>
                <w:lang w:eastAsia="zh-CN"/>
              </w:rPr>
            </w:pPr>
            <w:r>
              <w:rPr>
                <w:rFonts w:hint="default"/>
                <w:highlight w:val="none"/>
                <w:lang w:eastAsia="zh-CN"/>
              </w:rPr>
              <w:t>排放形式</w:t>
            </w:r>
          </w:p>
        </w:tc>
        <w:tc>
          <w:tcPr>
            <w:tcW w:w="1202" w:type="pct"/>
            <w:noWrap w:val="0"/>
            <w:vAlign w:val="center"/>
          </w:tcPr>
          <w:p w14:paraId="1D21B60B">
            <w:pPr>
              <w:pStyle w:val="58"/>
              <w:bidi w:val="0"/>
              <w:rPr>
                <w:rFonts w:hint="default"/>
                <w:highlight w:val="none"/>
              </w:rPr>
            </w:pPr>
            <w:r>
              <w:rPr>
                <w:rFonts w:hint="default"/>
                <w:highlight w:val="none"/>
                <w:lang w:eastAsia="zh-CN"/>
              </w:rPr>
              <w:t>污染物</w:t>
            </w:r>
          </w:p>
        </w:tc>
        <w:tc>
          <w:tcPr>
            <w:tcW w:w="1731" w:type="pct"/>
            <w:noWrap w:val="0"/>
            <w:vAlign w:val="center"/>
          </w:tcPr>
          <w:p w14:paraId="279BC421">
            <w:pPr>
              <w:pStyle w:val="58"/>
              <w:bidi w:val="0"/>
              <w:rPr>
                <w:rFonts w:hint="default"/>
                <w:highlight w:val="none"/>
                <w:lang w:eastAsia="zh-CN"/>
              </w:rPr>
            </w:pPr>
            <w:r>
              <w:rPr>
                <w:rFonts w:hint="default"/>
                <w:highlight w:val="none"/>
                <w:lang w:eastAsia="zh-CN"/>
              </w:rPr>
              <w:t>全厂合计</w:t>
            </w:r>
            <w:r>
              <w:rPr>
                <w:rFonts w:hint="default"/>
                <w:highlight w:val="none"/>
              </w:rPr>
              <w:t>(t/a)</w:t>
            </w:r>
          </w:p>
        </w:tc>
      </w:tr>
      <w:tr w14:paraId="3667BA6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065" w:type="pct"/>
            <w:vMerge w:val="restart"/>
            <w:noWrap w:val="0"/>
            <w:vAlign w:val="center"/>
          </w:tcPr>
          <w:p w14:paraId="460ECD6D">
            <w:pPr>
              <w:pStyle w:val="58"/>
              <w:bidi w:val="0"/>
              <w:rPr>
                <w:rFonts w:hint="default"/>
                <w:highlight w:val="none"/>
                <w:lang w:val="en-US"/>
              </w:rPr>
            </w:pPr>
            <w:r>
              <w:rPr>
                <w:rFonts w:hint="default"/>
                <w:highlight w:val="none"/>
                <w:lang w:val="en-US"/>
              </w:rPr>
              <w:t>有组织排放合计</w:t>
            </w:r>
          </w:p>
        </w:tc>
        <w:tc>
          <w:tcPr>
            <w:tcW w:w="1202" w:type="pct"/>
            <w:noWrap w:val="0"/>
            <w:vAlign w:val="center"/>
          </w:tcPr>
          <w:p w14:paraId="7C0BAB0E">
            <w:pPr>
              <w:pStyle w:val="58"/>
              <w:bidi w:val="0"/>
              <w:rPr>
                <w:rFonts w:hint="default"/>
                <w:highlight w:val="none"/>
                <w:lang w:val="en-US" w:eastAsia="zh-CN"/>
              </w:rPr>
            </w:pPr>
            <w:r>
              <w:rPr>
                <w:rFonts w:hint="default"/>
                <w:highlight w:val="none"/>
                <w:lang w:val="en-US" w:eastAsia="zh-CN"/>
              </w:rPr>
              <w:t>氨</w:t>
            </w:r>
          </w:p>
        </w:tc>
        <w:tc>
          <w:tcPr>
            <w:tcW w:w="1731" w:type="pct"/>
            <w:noWrap w:val="0"/>
            <w:vAlign w:val="center"/>
          </w:tcPr>
          <w:p w14:paraId="758C08ED">
            <w:pPr>
              <w:pStyle w:val="58"/>
              <w:bidi w:val="0"/>
              <w:rPr>
                <w:rFonts w:hint="default"/>
                <w:highlight w:val="none"/>
                <w:lang w:val="en-US" w:eastAsia="zh-CN"/>
              </w:rPr>
            </w:pPr>
            <w:r>
              <w:rPr>
                <w:rFonts w:hint="eastAsia"/>
                <w:highlight w:val="none"/>
                <w:lang w:val="en-US" w:eastAsia="zh-CN"/>
              </w:rPr>
              <w:t>0.1388</w:t>
            </w:r>
          </w:p>
        </w:tc>
      </w:tr>
      <w:tr w14:paraId="7F5F631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065" w:type="pct"/>
            <w:vMerge w:val="continue"/>
            <w:noWrap w:val="0"/>
            <w:vAlign w:val="center"/>
          </w:tcPr>
          <w:p w14:paraId="57072481">
            <w:pPr>
              <w:pStyle w:val="58"/>
              <w:bidi w:val="0"/>
              <w:rPr>
                <w:rFonts w:hint="default"/>
                <w:highlight w:val="none"/>
                <w:lang w:val="en-US"/>
              </w:rPr>
            </w:pPr>
          </w:p>
        </w:tc>
        <w:tc>
          <w:tcPr>
            <w:tcW w:w="1202" w:type="pct"/>
            <w:noWrap w:val="0"/>
            <w:vAlign w:val="center"/>
          </w:tcPr>
          <w:p w14:paraId="57B1D0F3">
            <w:pPr>
              <w:pStyle w:val="58"/>
              <w:bidi w:val="0"/>
              <w:rPr>
                <w:rFonts w:hint="default"/>
                <w:highlight w:val="none"/>
                <w:lang w:val="en-US" w:eastAsia="zh-CN"/>
              </w:rPr>
            </w:pPr>
            <w:r>
              <w:rPr>
                <w:rFonts w:hint="default"/>
                <w:highlight w:val="none"/>
                <w:lang w:val="en-US" w:eastAsia="zh-CN"/>
              </w:rPr>
              <w:t>硫化氢</w:t>
            </w:r>
          </w:p>
        </w:tc>
        <w:tc>
          <w:tcPr>
            <w:tcW w:w="1731" w:type="pct"/>
            <w:noWrap w:val="0"/>
            <w:vAlign w:val="center"/>
          </w:tcPr>
          <w:p w14:paraId="609D3983">
            <w:pPr>
              <w:pStyle w:val="58"/>
              <w:bidi w:val="0"/>
              <w:rPr>
                <w:rFonts w:hint="default"/>
                <w:highlight w:val="none"/>
                <w:lang w:val="en-US" w:eastAsia="zh-CN"/>
              </w:rPr>
            </w:pPr>
            <w:r>
              <w:rPr>
                <w:rFonts w:hint="eastAsia"/>
                <w:highlight w:val="none"/>
                <w:lang w:val="en-US" w:eastAsia="zh-CN"/>
              </w:rPr>
              <w:t>0.0025</w:t>
            </w:r>
          </w:p>
        </w:tc>
      </w:tr>
      <w:tr w14:paraId="66640E8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065" w:type="pct"/>
            <w:vMerge w:val="restart"/>
            <w:noWrap w:val="0"/>
            <w:vAlign w:val="center"/>
          </w:tcPr>
          <w:p w14:paraId="469AB065">
            <w:pPr>
              <w:pStyle w:val="58"/>
              <w:bidi w:val="0"/>
              <w:rPr>
                <w:rFonts w:hint="default"/>
                <w:highlight w:val="none"/>
                <w:lang w:val="en-US" w:eastAsia="zh-CN"/>
              </w:rPr>
            </w:pPr>
            <w:r>
              <w:rPr>
                <w:rFonts w:hint="default"/>
                <w:highlight w:val="none"/>
                <w:lang w:val="en-US" w:eastAsia="zh-CN"/>
              </w:rPr>
              <w:t>无</w:t>
            </w:r>
            <w:r>
              <w:rPr>
                <w:rFonts w:hint="default"/>
                <w:highlight w:val="none"/>
                <w:lang w:val="en-US"/>
              </w:rPr>
              <w:t>组织排放合计</w:t>
            </w:r>
          </w:p>
        </w:tc>
        <w:tc>
          <w:tcPr>
            <w:tcW w:w="1202" w:type="pct"/>
            <w:noWrap w:val="0"/>
            <w:vAlign w:val="center"/>
          </w:tcPr>
          <w:p w14:paraId="48E3976B">
            <w:pPr>
              <w:pStyle w:val="58"/>
              <w:bidi w:val="0"/>
              <w:rPr>
                <w:rFonts w:hint="default"/>
                <w:highlight w:val="none"/>
                <w:lang w:val="en-US" w:eastAsia="zh-CN"/>
              </w:rPr>
            </w:pPr>
            <w:r>
              <w:rPr>
                <w:rFonts w:hint="default"/>
                <w:highlight w:val="none"/>
                <w:lang w:val="en-US" w:eastAsia="zh-CN"/>
              </w:rPr>
              <w:t>氨</w:t>
            </w:r>
          </w:p>
        </w:tc>
        <w:tc>
          <w:tcPr>
            <w:tcW w:w="1731" w:type="pct"/>
            <w:noWrap w:val="0"/>
            <w:vAlign w:val="center"/>
          </w:tcPr>
          <w:p w14:paraId="3C5A458A">
            <w:pPr>
              <w:pStyle w:val="58"/>
              <w:bidi w:val="0"/>
              <w:rPr>
                <w:rFonts w:hint="default" w:ascii="Times New Roman" w:hAnsi="Times New Roman" w:cs="Times New Roman"/>
                <w:highlight w:val="none"/>
                <w:lang w:val="en-US" w:eastAsia="zh-CN"/>
              </w:rPr>
            </w:pPr>
            <w:r>
              <w:rPr>
                <w:rFonts w:hint="eastAsia" w:ascii="Times New Roman" w:hAnsi="Times New Roman" w:cs="Times New Roman"/>
                <w:highlight w:val="none"/>
                <w:lang w:val="en-US" w:eastAsia="zh-CN"/>
              </w:rPr>
              <w:t>0.0385</w:t>
            </w:r>
          </w:p>
        </w:tc>
      </w:tr>
      <w:tr w14:paraId="1FF5209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065" w:type="pct"/>
            <w:vMerge w:val="continue"/>
            <w:noWrap w:val="0"/>
            <w:vAlign w:val="center"/>
          </w:tcPr>
          <w:p w14:paraId="15EA8DE2">
            <w:pPr>
              <w:pStyle w:val="58"/>
              <w:bidi w:val="0"/>
              <w:rPr>
                <w:rFonts w:hint="default"/>
                <w:highlight w:val="none"/>
                <w:lang w:val="en-US"/>
              </w:rPr>
            </w:pPr>
          </w:p>
        </w:tc>
        <w:tc>
          <w:tcPr>
            <w:tcW w:w="1202" w:type="pct"/>
            <w:noWrap w:val="0"/>
            <w:vAlign w:val="center"/>
          </w:tcPr>
          <w:p w14:paraId="0FAC6792">
            <w:pPr>
              <w:pStyle w:val="58"/>
              <w:bidi w:val="0"/>
              <w:rPr>
                <w:rFonts w:hint="default"/>
                <w:highlight w:val="none"/>
                <w:lang w:val="en-US" w:eastAsia="zh-CN"/>
              </w:rPr>
            </w:pPr>
            <w:r>
              <w:rPr>
                <w:rFonts w:hint="default"/>
                <w:highlight w:val="none"/>
                <w:lang w:val="en-US" w:eastAsia="zh-CN"/>
              </w:rPr>
              <w:t>硫化氢</w:t>
            </w:r>
          </w:p>
        </w:tc>
        <w:tc>
          <w:tcPr>
            <w:tcW w:w="1731" w:type="pct"/>
            <w:noWrap w:val="0"/>
            <w:vAlign w:val="center"/>
          </w:tcPr>
          <w:p w14:paraId="4B532E3D">
            <w:pPr>
              <w:pStyle w:val="58"/>
              <w:bidi w:val="0"/>
              <w:rPr>
                <w:rFonts w:hint="default" w:ascii="Times New Roman" w:hAnsi="Times New Roman" w:cs="Times New Roman"/>
                <w:highlight w:val="none"/>
                <w:lang w:val="en-US" w:eastAsia="zh-CN"/>
              </w:rPr>
            </w:pPr>
            <w:r>
              <w:rPr>
                <w:rFonts w:hint="eastAsia" w:ascii="Times New Roman" w:hAnsi="Times New Roman" w:cs="Times New Roman"/>
                <w:highlight w:val="none"/>
                <w:lang w:val="en-US" w:eastAsia="zh-CN"/>
              </w:rPr>
              <w:t>0.0007</w:t>
            </w:r>
          </w:p>
        </w:tc>
      </w:tr>
      <w:tr w14:paraId="2DAEDC9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065" w:type="pct"/>
            <w:vMerge w:val="restart"/>
            <w:noWrap w:val="0"/>
            <w:vAlign w:val="center"/>
          </w:tcPr>
          <w:p w14:paraId="1EA53E82">
            <w:pPr>
              <w:pStyle w:val="58"/>
              <w:bidi w:val="0"/>
              <w:rPr>
                <w:rFonts w:hint="default"/>
                <w:highlight w:val="none"/>
                <w:lang w:val="en-US" w:eastAsia="zh-CN"/>
              </w:rPr>
            </w:pPr>
            <w:r>
              <w:rPr>
                <w:rFonts w:hint="default"/>
                <w:highlight w:val="none"/>
                <w:lang w:val="en-US" w:eastAsia="zh-CN"/>
              </w:rPr>
              <w:t>有组织+无组织合计</w:t>
            </w:r>
          </w:p>
        </w:tc>
        <w:tc>
          <w:tcPr>
            <w:tcW w:w="1202" w:type="pct"/>
            <w:noWrap w:val="0"/>
            <w:vAlign w:val="center"/>
          </w:tcPr>
          <w:p w14:paraId="1DEBD611">
            <w:pPr>
              <w:pStyle w:val="58"/>
              <w:bidi w:val="0"/>
              <w:rPr>
                <w:rFonts w:hint="default"/>
                <w:highlight w:val="none"/>
                <w:lang w:val="en-US" w:eastAsia="zh-CN"/>
              </w:rPr>
            </w:pPr>
            <w:r>
              <w:rPr>
                <w:rFonts w:hint="default"/>
                <w:highlight w:val="none"/>
                <w:lang w:val="en-US" w:eastAsia="zh-CN"/>
              </w:rPr>
              <w:t>氨</w:t>
            </w:r>
          </w:p>
        </w:tc>
        <w:tc>
          <w:tcPr>
            <w:tcW w:w="1731" w:type="pct"/>
            <w:noWrap w:val="0"/>
            <w:vAlign w:val="center"/>
          </w:tcPr>
          <w:p w14:paraId="30A51966">
            <w:pPr>
              <w:pStyle w:val="58"/>
              <w:bidi w:val="0"/>
              <w:rPr>
                <w:rFonts w:hint="default"/>
                <w:highlight w:val="none"/>
                <w:lang w:val="en-US" w:eastAsia="zh-CN"/>
              </w:rPr>
            </w:pPr>
            <w:r>
              <w:rPr>
                <w:rFonts w:hint="eastAsia"/>
                <w:highlight w:val="none"/>
                <w:lang w:val="en-US" w:eastAsia="zh-CN"/>
              </w:rPr>
              <w:t>0.1773</w:t>
            </w:r>
          </w:p>
        </w:tc>
      </w:tr>
      <w:tr w14:paraId="73EA510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065" w:type="pct"/>
            <w:vMerge w:val="continue"/>
            <w:noWrap w:val="0"/>
            <w:vAlign w:val="center"/>
          </w:tcPr>
          <w:p w14:paraId="7C97E314">
            <w:pPr>
              <w:pStyle w:val="58"/>
              <w:bidi w:val="0"/>
              <w:rPr>
                <w:rFonts w:hint="default"/>
                <w:highlight w:val="none"/>
                <w:lang w:val="en-US"/>
              </w:rPr>
            </w:pPr>
          </w:p>
        </w:tc>
        <w:tc>
          <w:tcPr>
            <w:tcW w:w="1202" w:type="pct"/>
            <w:noWrap w:val="0"/>
            <w:vAlign w:val="center"/>
          </w:tcPr>
          <w:p w14:paraId="58B8D0DB">
            <w:pPr>
              <w:pStyle w:val="58"/>
              <w:bidi w:val="0"/>
              <w:rPr>
                <w:rFonts w:hint="default"/>
                <w:highlight w:val="none"/>
                <w:lang w:val="en-US" w:eastAsia="zh-CN"/>
              </w:rPr>
            </w:pPr>
            <w:r>
              <w:rPr>
                <w:rFonts w:hint="default"/>
                <w:highlight w:val="none"/>
                <w:lang w:val="en-US" w:eastAsia="zh-CN"/>
              </w:rPr>
              <w:t>硫化氢</w:t>
            </w:r>
          </w:p>
        </w:tc>
        <w:tc>
          <w:tcPr>
            <w:tcW w:w="1731" w:type="pct"/>
            <w:noWrap w:val="0"/>
            <w:vAlign w:val="center"/>
          </w:tcPr>
          <w:p w14:paraId="57DF6AC8">
            <w:pPr>
              <w:pStyle w:val="58"/>
              <w:bidi w:val="0"/>
              <w:rPr>
                <w:rFonts w:hint="default"/>
                <w:highlight w:val="none"/>
                <w:lang w:val="en-US" w:eastAsia="zh-CN"/>
              </w:rPr>
            </w:pPr>
            <w:r>
              <w:rPr>
                <w:rFonts w:hint="eastAsia"/>
                <w:highlight w:val="none"/>
                <w:lang w:val="en-US" w:eastAsia="zh-CN"/>
              </w:rPr>
              <w:t>0.0032</w:t>
            </w:r>
          </w:p>
        </w:tc>
      </w:tr>
    </w:tbl>
    <w:p w14:paraId="62919C85">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污染源非正常排放量核算表</w:t>
      </w:r>
    </w:p>
    <w:tbl>
      <w:tblPr>
        <w:tblStyle w:val="47"/>
        <w:tblW w:w="499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913"/>
        <w:gridCol w:w="907"/>
        <w:gridCol w:w="1694"/>
        <w:gridCol w:w="745"/>
        <w:gridCol w:w="1287"/>
        <w:gridCol w:w="1289"/>
        <w:gridCol w:w="801"/>
        <w:gridCol w:w="899"/>
        <w:gridCol w:w="747"/>
      </w:tblGrid>
      <w:tr w14:paraId="245DF5B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0" w:type="pct"/>
            <w:gridSpan w:val="2"/>
            <w:noWrap w:val="0"/>
            <w:vAlign w:val="center"/>
          </w:tcPr>
          <w:p w14:paraId="701683D4">
            <w:pPr>
              <w:pStyle w:val="58"/>
              <w:bidi w:val="0"/>
              <w:rPr>
                <w:rFonts w:hint="default"/>
                <w:highlight w:val="none"/>
              </w:rPr>
            </w:pPr>
            <w:r>
              <w:rPr>
                <w:rFonts w:hint="default"/>
                <w:highlight w:val="none"/>
              </w:rPr>
              <w:t>非正常排放源</w:t>
            </w:r>
          </w:p>
        </w:tc>
        <w:tc>
          <w:tcPr>
            <w:tcW w:w="912" w:type="pct"/>
            <w:noWrap w:val="0"/>
            <w:vAlign w:val="center"/>
          </w:tcPr>
          <w:p w14:paraId="7D88A1DC">
            <w:pPr>
              <w:pStyle w:val="58"/>
              <w:bidi w:val="0"/>
              <w:rPr>
                <w:rFonts w:hint="default"/>
                <w:highlight w:val="none"/>
              </w:rPr>
            </w:pPr>
            <w:r>
              <w:rPr>
                <w:rFonts w:hint="default"/>
                <w:highlight w:val="none"/>
              </w:rPr>
              <w:t>非正常排放原因</w:t>
            </w:r>
          </w:p>
        </w:tc>
        <w:tc>
          <w:tcPr>
            <w:tcW w:w="401" w:type="pct"/>
            <w:noWrap w:val="0"/>
            <w:vAlign w:val="center"/>
          </w:tcPr>
          <w:p w14:paraId="6C9D4828">
            <w:pPr>
              <w:pStyle w:val="58"/>
              <w:bidi w:val="0"/>
              <w:rPr>
                <w:rFonts w:hint="default"/>
                <w:highlight w:val="none"/>
              </w:rPr>
            </w:pPr>
            <w:r>
              <w:rPr>
                <w:rFonts w:hint="default"/>
                <w:highlight w:val="none"/>
              </w:rPr>
              <w:t>污染物</w:t>
            </w:r>
          </w:p>
        </w:tc>
        <w:tc>
          <w:tcPr>
            <w:tcW w:w="693" w:type="pct"/>
            <w:noWrap w:val="0"/>
            <w:vAlign w:val="center"/>
          </w:tcPr>
          <w:p w14:paraId="12CB69A7">
            <w:pPr>
              <w:pStyle w:val="58"/>
              <w:bidi w:val="0"/>
              <w:rPr>
                <w:rFonts w:hint="default"/>
                <w:highlight w:val="none"/>
                <w:lang w:val="en-US" w:eastAsia="zh-CN"/>
              </w:rPr>
            </w:pPr>
            <w:r>
              <w:rPr>
                <w:rFonts w:hint="default"/>
                <w:highlight w:val="none"/>
                <w:lang w:val="en-US" w:eastAsia="zh-CN"/>
              </w:rPr>
              <w:t>非正常排放浓度</w:t>
            </w:r>
          </w:p>
        </w:tc>
        <w:tc>
          <w:tcPr>
            <w:tcW w:w="694" w:type="pct"/>
            <w:noWrap w:val="0"/>
            <w:vAlign w:val="center"/>
          </w:tcPr>
          <w:p w14:paraId="5544DCA9">
            <w:pPr>
              <w:pStyle w:val="58"/>
              <w:bidi w:val="0"/>
              <w:rPr>
                <w:rFonts w:hint="default"/>
                <w:highlight w:val="none"/>
              </w:rPr>
            </w:pPr>
            <w:r>
              <w:rPr>
                <w:rFonts w:hint="default"/>
                <w:highlight w:val="none"/>
              </w:rPr>
              <w:t>非正常排放速率</w:t>
            </w:r>
          </w:p>
        </w:tc>
        <w:tc>
          <w:tcPr>
            <w:tcW w:w="431" w:type="pct"/>
            <w:noWrap w:val="0"/>
            <w:vAlign w:val="center"/>
          </w:tcPr>
          <w:p w14:paraId="395F408A">
            <w:pPr>
              <w:pStyle w:val="58"/>
              <w:bidi w:val="0"/>
              <w:rPr>
                <w:rFonts w:hint="default"/>
                <w:highlight w:val="none"/>
              </w:rPr>
            </w:pPr>
            <w:r>
              <w:rPr>
                <w:rFonts w:hint="default"/>
                <w:highlight w:val="none"/>
              </w:rPr>
              <w:t>持续时间</w:t>
            </w:r>
          </w:p>
        </w:tc>
        <w:tc>
          <w:tcPr>
            <w:tcW w:w="484" w:type="pct"/>
            <w:noWrap w:val="0"/>
            <w:vAlign w:val="center"/>
          </w:tcPr>
          <w:p w14:paraId="01B74416">
            <w:pPr>
              <w:pStyle w:val="58"/>
              <w:bidi w:val="0"/>
              <w:rPr>
                <w:rFonts w:hint="default"/>
                <w:highlight w:val="none"/>
              </w:rPr>
            </w:pPr>
            <w:r>
              <w:rPr>
                <w:rFonts w:hint="default"/>
                <w:highlight w:val="none"/>
              </w:rPr>
              <w:t>发生频次</w:t>
            </w:r>
          </w:p>
        </w:tc>
        <w:tc>
          <w:tcPr>
            <w:tcW w:w="402" w:type="pct"/>
            <w:noWrap w:val="0"/>
            <w:vAlign w:val="center"/>
          </w:tcPr>
          <w:p w14:paraId="712E8ACD">
            <w:pPr>
              <w:pStyle w:val="58"/>
              <w:bidi w:val="0"/>
              <w:rPr>
                <w:rFonts w:hint="default"/>
                <w:highlight w:val="none"/>
                <w:lang w:val="en-US" w:eastAsia="zh-CN"/>
              </w:rPr>
            </w:pPr>
            <w:r>
              <w:rPr>
                <w:rFonts w:hint="default"/>
                <w:highlight w:val="none"/>
                <w:lang w:val="en-US" w:eastAsia="zh-CN"/>
              </w:rPr>
              <w:t>应对措施</w:t>
            </w:r>
          </w:p>
        </w:tc>
      </w:tr>
      <w:tr w14:paraId="62C8AAF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6" w:hRule="atLeast"/>
          <w:jc w:val="center"/>
        </w:trPr>
        <w:tc>
          <w:tcPr>
            <w:tcW w:w="492" w:type="pct"/>
            <w:vMerge w:val="restart"/>
            <w:noWrap w:val="0"/>
            <w:vAlign w:val="center"/>
          </w:tcPr>
          <w:p w14:paraId="5E9F7E7B">
            <w:pPr>
              <w:pStyle w:val="58"/>
              <w:bidi w:val="0"/>
              <w:rPr>
                <w:rFonts w:hint="default"/>
                <w:highlight w:val="none"/>
                <w:lang w:val="en-US" w:eastAsia="zh-CN"/>
              </w:rPr>
            </w:pPr>
            <w:r>
              <w:rPr>
                <w:rFonts w:hint="default"/>
                <w:highlight w:val="none"/>
                <w:lang w:val="en-US" w:eastAsia="zh-CN"/>
              </w:rPr>
              <w:t>DA001</w:t>
            </w:r>
          </w:p>
        </w:tc>
        <w:tc>
          <w:tcPr>
            <w:tcW w:w="487" w:type="pct"/>
            <w:vMerge w:val="restart"/>
            <w:noWrap w:val="0"/>
            <w:vAlign w:val="center"/>
          </w:tcPr>
          <w:p w14:paraId="3572894A">
            <w:pPr>
              <w:pStyle w:val="58"/>
              <w:bidi w:val="0"/>
              <w:rPr>
                <w:rFonts w:hint="default"/>
                <w:highlight w:val="none"/>
                <w:lang w:val="en-US" w:eastAsia="zh-CN"/>
              </w:rPr>
            </w:pPr>
            <w:r>
              <w:rPr>
                <w:rFonts w:hint="default"/>
                <w:highlight w:val="none"/>
                <w:lang w:eastAsia="zh-CN"/>
              </w:rPr>
              <w:t>除臭排气筒</w:t>
            </w:r>
          </w:p>
        </w:tc>
        <w:tc>
          <w:tcPr>
            <w:tcW w:w="912" w:type="pct"/>
            <w:vMerge w:val="restart"/>
            <w:noWrap w:val="0"/>
            <w:vAlign w:val="center"/>
          </w:tcPr>
          <w:p w14:paraId="35D2FF09">
            <w:pPr>
              <w:pStyle w:val="58"/>
              <w:bidi w:val="0"/>
              <w:rPr>
                <w:rFonts w:hint="default"/>
                <w:highlight w:val="none"/>
                <w:lang w:val="en-US" w:eastAsia="zh-CN"/>
              </w:rPr>
            </w:pPr>
            <w:r>
              <w:rPr>
                <w:rFonts w:hint="default"/>
                <w:highlight w:val="none"/>
                <w:lang w:val="en-US" w:eastAsia="zh-CN"/>
              </w:rPr>
              <w:t>等离子光电一体机异常（效率0%）</w:t>
            </w:r>
          </w:p>
        </w:tc>
        <w:tc>
          <w:tcPr>
            <w:tcW w:w="401" w:type="pct"/>
            <w:noWrap w:val="0"/>
            <w:vAlign w:val="center"/>
          </w:tcPr>
          <w:p w14:paraId="5DD5E28D">
            <w:pPr>
              <w:pStyle w:val="58"/>
              <w:bidi w:val="0"/>
              <w:rPr>
                <w:rFonts w:hint="default"/>
                <w:highlight w:val="none"/>
                <w:lang w:val="en-US" w:eastAsia="zh-CN"/>
              </w:rPr>
            </w:pPr>
            <w:r>
              <w:rPr>
                <w:rFonts w:hint="default"/>
                <w:highlight w:val="none"/>
                <w:lang w:val="en-US" w:eastAsia="zh-CN"/>
              </w:rPr>
              <w:t>氨</w:t>
            </w:r>
          </w:p>
        </w:tc>
        <w:tc>
          <w:tcPr>
            <w:tcW w:w="693" w:type="pct"/>
            <w:noWrap w:val="0"/>
            <w:vAlign w:val="center"/>
          </w:tcPr>
          <w:p w14:paraId="6EB60BC0">
            <w:pPr>
              <w:pStyle w:val="58"/>
              <w:bidi w:val="0"/>
              <w:rPr>
                <w:rFonts w:hint="default"/>
                <w:highlight w:val="none"/>
                <w:lang w:val="en-US" w:eastAsia="zh-CN"/>
              </w:rPr>
            </w:pPr>
            <w:r>
              <w:rPr>
                <w:rFonts w:hint="eastAsia"/>
                <w:highlight w:val="none"/>
                <w:lang w:val="en-US" w:eastAsia="zh-CN"/>
              </w:rPr>
              <w:t>4.82</w:t>
            </w:r>
            <w:r>
              <w:rPr>
                <w:rFonts w:hint="default"/>
                <w:highlight w:val="none"/>
                <w:lang w:val="en-US" w:eastAsia="zh-CN"/>
              </w:rPr>
              <w:t>mg/</w:t>
            </w:r>
            <w:r>
              <w:rPr>
                <w:rFonts w:hint="eastAsia"/>
                <w:highlight w:val="none"/>
                <w:lang w:val="en-US" w:eastAsia="zh-CN"/>
              </w:rPr>
              <w:t>m</w:t>
            </w:r>
            <w:r>
              <w:rPr>
                <w:rFonts w:hint="eastAsia"/>
                <w:highlight w:val="none"/>
                <w:vertAlign w:val="superscript"/>
                <w:lang w:val="en-US" w:eastAsia="zh-CN"/>
              </w:rPr>
              <w:t>3</w:t>
            </w:r>
          </w:p>
        </w:tc>
        <w:tc>
          <w:tcPr>
            <w:tcW w:w="694" w:type="pct"/>
            <w:noWrap w:val="0"/>
            <w:vAlign w:val="center"/>
          </w:tcPr>
          <w:p w14:paraId="3F261E90">
            <w:pPr>
              <w:pStyle w:val="58"/>
              <w:bidi w:val="0"/>
              <w:rPr>
                <w:rFonts w:hint="default"/>
                <w:highlight w:val="none"/>
                <w:lang w:val="en-US" w:eastAsia="zh-CN"/>
              </w:rPr>
            </w:pPr>
            <w:r>
              <w:rPr>
                <w:rFonts w:hint="eastAsia"/>
                <w:highlight w:val="none"/>
                <w:lang w:val="en-US" w:eastAsia="zh-CN"/>
              </w:rPr>
              <w:t>0.11</w:t>
            </w:r>
            <w:r>
              <w:rPr>
                <w:rFonts w:hint="default"/>
                <w:highlight w:val="none"/>
                <w:lang w:val="en-US" w:eastAsia="zh-CN"/>
              </w:rPr>
              <w:t>kg/h</w:t>
            </w:r>
          </w:p>
        </w:tc>
        <w:tc>
          <w:tcPr>
            <w:tcW w:w="431" w:type="pct"/>
            <w:noWrap w:val="0"/>
            <w:vAlign w:val="center"/>
          </w:tcPr>
          <w:p w14:paraId="4B7EBA60">
            <w:pPr>
              <w:pStyle w:val="58"/>
              <w:bidi w:val="0"/>
              <w:rPr>
                <w:rFonts w:hint="default"/>
                <w:highlight w:val="none"/>
                <w:lang w:val="en-US" w:eastAsia="zh-CN"/>
              </w:rPr>
            </w:pPr>
            <w:r>
              <w:rPr>
                <w:rFonts w:hint="default"/>
                <w:highlight w:val="none"/>
                <w:lang w:val="en-US" w:eastAsia="zh-CN"/>
              </w:rPr>
              <w:t>2h/次</w:t>
            </w:r>
          </w:p>
        </w:tc>
        <w:tc>
          <w:tcPr>
            <w:tcW w:w="484" w:type="pct"/>
            <w:vMerge w:val="restart"/>
            <w:noWrap w:val="0"/>
            <w:vAlign w:val="center"/>
          </w:tcPr>
          <w:p w14:paraId="6E3391C2">
            <w:pPr>
              <w:pStyle w:val="58"/>
              <w:bidi w:val="0"/>
              <w:rPr>
                <w:rFonts w:hint="default"/>
                <w:highlight w:val="none"/>
                <w:lang w:val="en-US" w:eastAsia="zh-CN"/>
              </w:rPr>
            </w:pPr>
            <w:r>
              <w:rPr>
                <w:rFonts w:hint="default"/>
                <w:highlight w:val="none"/>
                <w:lang w:val="en-US" w:eastAsia="zh-CN"/>
              </w:rPr>
              <w:t>2次/年</w:t>
            </w:r>
          </w:p>
        </w:tc>
        <w:tc>
          <w:tcPr>
            <w:tcW w:w="402" w:type="pct"/>
            <w:vMerge w:val="restart"/>
            <w:noWrap w:val="0"/>
            <w:vAlign w:val="center"/>
          </w:tcPr>
          <w:p w14:paraId="3902B7D0">
            <w:pPr>
              <w:pStyle w:val="58"/>
              <w:bidi w:val="0"/>
              <w:rPr>
                <w:rFonts w:hint="default"/>
                <w:highlight w:val="none"/>
                <w:lang w:val="en-US" w:eastAsia="zh-CN"/>
              </w:rPr>
            </w:pPr>
            <w:r>
              <w:rPr>
                <w:rFonts w:hint="default"/>
                <w:highlight w:val="none"/>
                <w:lang w:val="en-US" w:eastAsia="zh-CN"/>
              </w:rPr>
              <w:t>停产</w:t>
            </w:r>
          </w:p>
        </w:tc>
      </w:tr>
      <w:tr w14:paraId="38C1BC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6" w:hRule="atLeast"/>
          <w:jc w:val="center"/>
        </w:trPr>
        <w:tc>
          <w:tcPr>
            <w:tcW w:w="492" w:type="pct"/>
            <w:vMerge w:val="continue"/>
            <w:noWrap w:val="0"/>
            <w:vAlign w:val="center"/>
          </w:tcPr>
          <w:p w14:paraId="31F0ACC1">
            <w:pPr>
              <w:pStyle w:val="58"/>
              <w:bidi w:val="0"/>
              <w:rPr>
                <w:rFonts w:hint="default"/>
                <w:highlight w:val="none"/>
                <w:lang w:val="en-US" w:eastAsia="zh-CN"/>
              </w:rPr>
            </w:pPr>
          </w:p>
        </w:tc>
        <w:tc>
          <w:tcPr>
            <w:tcW w:w="487" w:type="pct"/>
            <w:vMerge w:val="continue"/>
            <w:noWrap w:val="0"/>
            <w:vAlign w:val="center"/>
          </w:tcPr>
          <w:p w14:paraId="73407726">
            <w:pPr>
              <w:pStyle w:val="58"/>
              <w:bidi w:val="0"/>
              <w:rPr>
                <w:rFonts w:hint="default"/>
                <w:highlight w:val="none"/>
                <w:lang w:eastAsia="zh-CN"/>
              </w:rPr>
            </w:pPr>
          </w:p>
        </w:tc>
        <w:tc>
          <w:tcPr>
            <w:tcW w:w="912" w:type="pct"/>
            <w:vMerge w:val="continue"/>
            <w:noWrap w:val="0"/>
            <w:vAlign w:val="center"/>
          </w:tcPr>
          <w:p w14:paraId="2C32A578">
            <w:pPr>
              <w:pStyle w:val="58"/>
              <w:bidi w:val="0"/>
              <w:rPr>
                <w:rFonts w:hint="default"/>
                <w:highlight w:val="none"/>
                <w:lang w:val="en-US" w:eastAsia="zh-CN"/>
              </w:rPr>
            </w:pPr>
          </w:p>
        </w:tc>
        <w:tc>
          <w:tcPr>
            <w:tcW w:w="401" w:type="pct"/>
            <w:noWrap w:val="0"/>
            <w:vAlign w:val="center"/>
          </w:tcPr>
          <w:p w14:paraId="2C809DD1">
            <w:pPr>
              <w:pStyle w:val="58"/>
              <w:bidi w:val="0"/>
              <w:rPr>
                <w:rFonts w:hint="default"/>
                <w:highlight w:val="none"/>
                <w:lang w:val="en-US" w:eastAsia="zh-CN"/>
              </w:rPr>
            </w:pPr>
            <w:r>
              <w:rPr>
                <w:rFonts w:hint="default"/>
                <w:highlight w:val="none"/>
                <w:lang w:val="en-US" w:eastAsia="zh-CN"/>
              </w:rPr>
              <w:t>硫化氢</w:t>
            </w:r>
          </w:p>
        </w:tc>
        <w:tc>
          <w:tcPr>
            <w:tcW w:w="693" w:type="pct"/>
            <w:noWrap w:val="0"/>
            <w:vAlign w:val="center"/>
          </w:tcPr>
          <w:p w14:paraId="282CF78C">
            <w:pPr>
              <w:pStyle w:val="58"/>
              <w:bidi w:val="0"/>
              <w:rPr>
                <w:rFonts w:hint="default"/>
                <w:highlight w:val="none"/>
                <w:lang w:val="en-US" w:eastAsia="zh-CN"/>
              </w:rPr>
            </w:pPr>
            <w:r>
              <w:rPr>
                <w:rFonts w:hint="eastAsia"/>
                <w:highlight w:val="none"/>
                <w:lang w:val="en-US" w:eastAsia="zh-CN"/>
              </w:rPr>
              <w:t>10.84</w:t>
            </w:r>
            <w:r>
              <w:rPr>
                <w:rFonts w:hint="default"/>
                <w:highlight w:val="none"/>
                <w:lang w:val="en-US" w:eastAsia="zh-CN"/>
              </w:rPr>
              <w:t>mg/</w:t>
            </w:r>
            <w:r>
              <w:rPr>
                <w:rFonts w:hint="eastAsia"/>
                <w:highlight w:val="none"/>
                <w:lang w:val="en-US" w:eastAsia="zh-CN"/>
              </w:rPr>
              <w:t>m</w:t>
            </w:r>
            <w:r>
              <w:rPr>
                <w:rFonts w:hint="eastAsia"/>
                <w:highlight w:val="none"/>
                <w:vertAlign w:val="superscript"/>
                <w:lang w:val="en-US" w:eastAsia="zh-CN"/>
              </w:rPr>
              <w:t>3</w:t>
            </w:r>
          </w:p>
        </w:tc>
        <w:tc>
          <w:tcPr>
            <w:tcW w:w="694" w:type="pct"/>
            <w:noWrap w:val="0"/>
            <w:vAlign w:val="center"/>
          </w:tcPr>
          <w:p w14:paraId="3331C6B6">
            <w:pPr>
              <w:pStyle w:val="58"/>
              <w:bidi w:val="0"/>
              <w:rPr>
                <w:rFonts w:hint="default"/>
                <w:highlight w:val="none"/>
                <w:lang w:val="en-US" w:eastAsia="zh-CN"/>
              </w:rPr>
            </w:pPr>
            <w:r>
              <w:rPr>
                <w:rFonts w:hint="eastAsia"/>
                <w:highlight w:val="none"/>
                <w:lang w:val="en-US" w:eastAsia="zh-CN"/>
              </w:rPr>
              <w:t>0.002</w:t>
            </w:r>
            <w:r>
              <w:rPr>
                <w:rFonts w:hint="default"/>
                <w:highlight w:val="none"/>
                <w:lang w:val="en-US" w:eastAsia="zh-CN"/>
              </w:rPr>
              <w:t>kg/h</w:t>
            </w:r>
          </w:p>
        </w:tc>
        <w:tc>
          <w:tcPr>
            <w:tcW w:w="431" w:type="pct"/>
            <w:noWrap w:val="0"/>
            <w:vAlign w:val="center"/>
          </w:tcPr>
          <w:p w14:paraId="284EEABF">
            <w:pPr>
              <w:pStyle w:val="58"/>
              <w:bidi w:val="0"/>
              <w:rPr>
                <w:rFonts w:hint="default"/>
                <w:highlight w:val="none"/>
                <w:lang w:val="en-US" w:eastAsia="zh-CN"/>
              </w:rPr>
            </w:pPr>
            <w:r>
              <w:rPr>
                <w:rFonts w:hint="default"/>
                <w:highlight w:val="none"/>
                <w:lang w:val="en-US" w:eastAsia="zh-CN"/>
              </w:rPr>
              <w:t>2h/次</w:t>
            </w:r>
          </w:p>
        </w:tc>
        <w:tc>
          <w:tcPr>
            <w:tcW w:w="484" w:type="pct"/>
            <w:vMerge w:val="continue"/>
            <w:noWrap w:val="0"/>
            <w:vAlign w:val="center"/>
          </w:tcPr>
          <w:p w14:paraId="7A3B5E87">
            <w:pPr>
              <w:pStyle w:val="58"/>
              <w:bidi w:val="0"/>
              <w:rPr>
                <w:rFonts w:hint="default"/>
                <w:highlight w:val="none"/>
                <w:lang w:val="en-US" w:eastAsia="zh-CN"/>
              </w:rPr>
            </w:pPr>
          </w:p>
        </w:tc>
        <w:tc>
          <w:tcPr>
            <w:tcW w:w="402" w:type="pct"/>
            <w:vMerge w:val="continue"/>
            <w:noWrap w:val="0"/>
            <w:vAlign w:val="center"/>
          </w:tcPr>
          <w:p w14:paraId="75FD7367">
            <w:pPr>
              <w:pStyle w:val="58"/>
              <w:bidi w:val="0"/>
              <w:rPr>
                <w:rFonts w:hint="default"/>
                <w:highlight w:val="none"/>
                <w:lang w:val="en-US" w:eastAsia="zh-CN"/>
              </w:rPr>
            </w:pPr>
          </w:p>
        </w:tc>
      </w:tr>
    </w:tbl>
    <w:p w14:paraId="3E20E90D">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5.</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2.1.5</w:t>
      </w:r>
      <w:r>
        <w:rPr>
          <w:rFonts w:hint="default" w:ascii="Times New Roman" w:hAnsi="Times New Roman" w:eastAsia="宋体" w:cs="Times New Roman"/>
          <w:color w:val="000000" w:themeColor="text1"/>
          <w:sz w:val="24"/>
          <w:szCs w:val="24"/>
          <w:highlight w:val="none"/>
          <w14:textFill>
            <w14:solidFill>
              <w14:schemeClr w14:val="tx1"/>
            </w14:solidFill>
          </w14:textFill>
        </w:rPr>
        <w:t>大气环境监测计划</w:t>
      </w:r>
    </w:p>
    <w:p w14:paraId="0208CCA6">
      <w:pPr>
        <w:bidi w:val="0"/>
        <w:rPr>
          <w:rFonts w:hint="default"/>
          <w:highlight w:val="none"/>
          <w:lang w:eastAsia="zh-CN"/>
        </w:rPr>
      </w:pPr>
      <w:r>
        <w:rPr>
          <w:rFonts w:hint="default"/>
          <w:highlight w:val="none"/>
          <w:lang w:eastAsia="zh-CN"/>
        </w:rPr>
        <w:t>本项目大气评价为二级评价，根据《环境影响评价技术导则</w:t>
      </w:r>
      <w:r>
        <w:rPr>
          <w:rFonts w:hint="default"/>
          <w:highlight w:val="none"/>
          <w:lang w:val="en-US" w:eastAsia="zh-CN"/>
        </w:rPr>
        <w:t>-大气环境</w:t>
      </w:r>
      <w:r>
        <w:rPr>
          <w:rFonts w:hint="default"/>
          <w:highlight w:val="none"/>
          <w:lang w:eastAsia="zh-CN"/>
        </w:rPr>
        <w:t>》（</w:t>
      </w:r>
      <w:r>
        <w:rPr>
          <w:rFonts w:hint="default"/>
          <w:highlight w:val="none"/>
          <w:lang w:val="en-US" w:eastAsia="zh-CN"/>
        </w:rPr>
        <w:t>HJ2.2-2018</w:t>
      </w:r>
      <w:r>
        <w:rPr>
          <w:rFonts w:hint="default"/>
          <w:highlight w:val="none"/>
          <w:lang w:eastAsia="zh-CN"/>
        </w:rPr>
        <w:t>）要求，应提出项目在生产运行阶段的污染源监测计划</w:t>
      </w:r>
      <w:r>
        <w:rPr>
          <w:rFonts w:hint="default"/>
          <w:highlight w:val="none"/>
          <w:lang w:val="en-US" w:eastAsia="zh-CN"/>
        </w:rPr>
        <w:t>，本项目监测计划</w:t>
      </w:r>
      <w:r>
        <w:rPr>
          <w:rFonts w:hint="default"/>
          <w:highlight w:val="none"/>
          <w:lang w:eastAsia="zh-CN"/>
        </w:rPr>
        <w:t>见表</w:t>
      </w:r>
      <w:r>
        <w:rPr>
          <w:rFonts w:hint="default"/>
          <w:highlight w:val="none"/>
          <w:lang w:val="en-US" w:eastAsia="zh-CN"/>
        </w:rPr>
        <w:t>5.2-17~表5.2-18。</w:t>
      </w:r>
    </w:p>
    <w:p w14:paraId="13C06BC8">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lang w:eastAsia="zh-CN"/>
        </w:rPr>
      </w:pPr>
      <w:r>
        <w:rPr>
          <w:rFonts w:hint="default" w:ascii="Times New Roman" w:hAnsi="Times New Roman" w:eastAsia="宋体" w:cs="Times New Roman"/>
          <w:b/>
          <w:bCs/>
          <w:color w:val="auto"/>
          <w:sz w:val="24"/>
          <w:highlight w:val="none"/>
          <w:lang w:val="en-US" w:eastAsia="zh-CN"/>
        </w:rPr>
        <w:t>有组织废气</w:t>
      </w:r>
      <w:r>
        <w:rPr>
          <w:rFonts w:hint="default" w:ascii="Times New Roman" w:hAnsi="Times New Roman" w:eastAsia="宋体" w:cs="Times New Roman"/>
          <w:b/>
          <w:bCs/>
          <w:color w:val="auto"/>
          <w:sz w:val="24"/>
          <w:highlight w:val="none"/>
        </w:rPr>
        <w:t>监测</w:t>
      </w:r>
      <w:r>
        <w:rPr>
          <w:rFonts w:hint="default" w:ascii="Times New Roman" w:hAnsi="Times New Roman" w:eastAsia="宋体" w:cs="Times New Roman"/>
          <w:b/>
          <w:bCs/>
          <w:color w:val="auto"/>
          <w:sz w:val="24"/>
          <w:highlight w:val="none"/>
          <w:lang w:eastAsia="zh-CN"/>
        </w:rPr>
        <w:t>方案</w:t>
      </w:r>
    </w:p>
    <w:tbl>
      <w:tblPr>
        <w:tblStyle w:val="47"/>
        <w:tblW w:w="4992"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28" w:type="dxa"/>
          <w:bottom w:w="0" w:type="dxa"/>
          <w:right w:w="28" w:type="dxa"/>
        </w:tblCellMar>
      </w:tblPr>
      <w:tblGrid>
        <w:gridCol w:w="1451"/>
        <w:gridCol w:w="1129"/>
        <w:gridCol w:w="1176"/>
        <w:gridCol w:w="1358"/>
        <w:gridCol w:w="3999"/>
      </w:tblGrid>
      <w:tr w14:paraId="61D9EC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96" w:type="pct"/>
            <w:tcBorders>
              <w:tl2br w:val="nil"/>
              <w:tr2bl w:val="nil"/>
            </w:tcBorders>
            <w:noWrap w:val="0"/>
            <w:vAlign w:val="center"/>
          </w:tcPr>
          <w:p w14:paraId="6D9BFE34">
            <w:pPr>
              <w:pStyle w:val="58"/>
              <w:bidi w:val="0"/>
              <w:rPr>
                <w:rFonts w:hint="default" w:ascii="Times New Roman" w:hAnsi="Times New Roman" w:eastAsia="宋体" w:cs="Times New Roman"/>
                <w:highlight w:val="none"/>
                <w:lang w:eastAsia="zh-CN"/>
              </w:rPr>
            </w:pPr>
            <w:r>
              <w:rPr>
                <w:rFonts w:hint="default" w:ascii="Times New Roman" w:hAnsi="Times New Roman" w:eastAsia="宋体" w:cs="Times New Roman"/>
                <w:highlight w:val="none"/>
                <w:lang w:eastAsia="zh-CN"/>
              </w:rPr>
              <w:t>监测点位</w:t>
            </w:r>
          </w:p>
        </w:tc>
        <w:tc>
          <w:tcPr>
            <w:tcW w:w="619" w:type="pct"/>
            <w:tcBorders>
              <w:tl2br w:val="nil"/>
              <w:tr2bl w:val="nil"/>
            </w:tcBorders>
            <w:noWrap w:val="0"/>
            <w:vAlign w:val="center"/>
          </w:tcPr>
          <w:p w14:paraId="27C404FB">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排气筒编号</w:t>
            </w:r>
          </w:p>
        </w:tc>
        <w:tc>
          <w:tcPr>
            <w:tcW w:w="645" w:type="pct"/>
            <w:tcBorders>
              <w:tl2br w:val="nil"/>
              <w:tr2bl w:val="nil"/>
            </w:tcBorders>
            <w:noWrap w:val="0"/>
            <w:vAlign w:val="center"/>
          </w:tcPr>
          <w:p w14:paraId="68B5F4FC">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eastAsia="zh-CN"/>
              </w:rPr>
              <w:t>监测指标</w:t>
            </w:r>
          </w:p>
        </w:tc>
        <w:tc>
          <w:tcPr>
            <w:tcW w:w="745" w:type="pct"/>
            <w:tcBorders>
              <w:tl2br w:val="nil"/>
              <w:tr2bl w:val="nil"/>
            </w:tcBorders>
            <w:noWrap w:val="0"/>
            <w:vAlign w:val="center"/>
          </w:tcPr>
          <w:p w14:paraId="03E740A6">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lang w:val="en-US" w:eastAsia="zh-CN"/>
              </w:rPr>
              <w:t>监测频次</w:t>
            </w:r>
          </w:p>
        </w:tc>
        <w:tc>
          <w:tcPr>
            <w:tcW w:w="2193" w:type="pct"/>
            <w:tcBorders>
              <w:tl2br w:val="nil"/>
              <w:tr2bl w:val="nil"/>
            </w:tcBorders>
            <w:noWrap w:val="0"/>
            <w:vAlign w:val="center"/>
          </w:tcPr>
          <w:p w14:paraId="7EF7ED7A">
            <w:pPr>
              <w:pStyle w:val="58"/>
              <w:bidi w:val="0"/>
              <w:rPr>
                <w:rFonts w:hint="default" w:ascii="Times New Roman" w:hAnsi="Times New Roman" w:eastAsia="宋体" w:cs="Times New Roman"/>
                <w:highlight w:val="none"/>
                <w:lang w:eastAsia="zh-CN"/>
              </w:rPr>
            </w:pPr>
            <w:r>
              <w:rPr>
                <w:rFonts w:hint="default" w:ascii="Times New Roman" w:hAnsi="Times New Roman" w:eastAsia="宋体" w:cs="Times New Roman"/>
                <w:highlight w:val="none"/>
                <w:lang w:eastAsia="zh-CN"/>
              </w:rPr>
              <w:t>执行排放标准</w:t>
            </w:r>
          </w:p>
        </w:tc>
      </w:tr>
      <w:tr w14:paraId="0F3A92C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96" w:type="pct"/>
            <w:tcBorders>
              <w:tl2br w:val="nil"/>
              <w:tr2bl w:val="nil"/>
            </w:tcBorders>
            <w:noWrap w:val="0"/>
            <w:vAlign w:val="center"/>
          </w:tcPr>
          <w:p w14:paraId="1C361AA0">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eastAsia="zh-CN"/>
              </w:rPr>
              <w:t>除臭排气筒</w:t>
            </w:r>
          </w:p>
        </w:tc>
        <w:tc>
          <w:tcPr>
            <w:tcW w:w="619" w:type="pct"/>
            <w:tcBorders>
              <w:tl2br w:val="nil"/>
              <w:tr2bl w:val="nil"/>
            </w:tcBorders>
            <w:noWrap w:val="0"/>
            <w:vAlign w:val="center"/>
          </w:tcPr>
          <w:p w14:paraId="7E382FE8">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DA001</w:t>
            </w:r>
          </w:p>
        </w:tc>
        <w:tc>
          <w:tcPr>
            <w:tcW w:w="645" w:type="pct"/>
            <w:tcBorders>
              <w:tl2br w:val="nil"/>
              <w:tr2bl w:val="nil"/>
            </w:tcBorders>
            <w:noWrap w:val="0"/>
            <w:vAlign w:val="center"/>
          </w:tcPr>
          <w:p w14:paraId="1429A807">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H</w:t>
            </w:r>
            <w:r>
              <w:rPr>
                <w:rFonts w:hint="default" w:ascii="Times New Roman" w:hAnsi="Times New Roman" w:eastAsia="宋体" w:cs="Times New Roman"/>
                <w:highlight w:val="none"/>
                <w:vertAlign w:val="subscript"/>
                <w:lang w:val="en-US" w:eastAsia="zh-CN"/>
              </w:rPr>
              <w:t>2</w:t>
            </w:r>
            <w:r>
              <w:rPr>
                <w:rFonts w:hint="default" w:ascii="Times New Roman" w:hAnsi="Times New Roman" w:eastAsia="宋体" w:cs="Times New Roman"/>
                <w:highlight w:val="none"/>
                <w:lang w:val="en-US" w:eastAsia="zh-CN"/>
              </w:rPr>
              <w:t>S</w:t>
            </w:r>
          </w:p>
          <w:p w14:paraId="14C537CB">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NH</w:t>
            </w:r>
            <w:r>
              <w:rPr>
                <w:rFonts w:hint="default" w:ascii="Times New Roman" w:hAnsi="Times New Roman" w:eastAsia="宋体" w:cs="Times New Roman"/>
                <w:highlight w:val="none"/>
                <w:vertAlign w:val="subscript"/>
                <w:lang w:val="en-US" w:eastAsia="zh-CN"/>
              </w:rPr>
              <w:t>3</w:t>
            </w:r>
          </w:p>
          <w:p w14:paraId="0B444AF4">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臭气浓度</w:t>
            </w:r>
          </w:p>
        </w:tc>
        <w:tc>
          <w:tcPr>
            <w:tcW w:w="745" w:type="pct"/>
            <w:tcBorders>
              <w:tl2br w:val="nil"/>
              <w:tr2bl w:val="nil"/>
            </w:tcBorders>
            <w:noWrap w:val="0"/>
            <w:vAlign w:val="center"/>
          </w:tcPr>
          <w:p w14:paraId="6A1B4E7F">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1次/半年</w:t>
            </w:r>
          </w:p>
        </w:tc>
        <w:tc>
          <w:tcPr>
            <w:tcW w:w="2193" w:type="pct"/>
            <w:tcBorders>
              <w:tl2br w:val="nil"/>
              <w:tr2bl w:val="nil"/>
            </w:tcBorders>
            <w:noWrap w:val="0"/>
            <w:vAlign w:val="center"/>
          </w:tcPr>
          <w:p w14:paraId="0136D8CB">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《恶臭污染物排放标准》</w:t>
            </w:r>
          </w:p>
          <w:p w14:paraId="3E8BEB18">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（GB14554-1993）表2</w:t>
            </w:r>
          </w:p>
        </w:tc>
      </w:tr>
    </w:tbl>
    <w:p w14:paraId="0D81312B">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lang w:eastAsia="zh-CN"/>
        </w:rPr>
      </w:pPr>
      <w:r>
        <w:rPr>
          <w:rFonts w:hint="default" w:ascii="Times New Roman" w:hAnsi="Times New Roman" w:eastAsia="宋体" w:cs="Times New Roman"/>
          <w:b/>
          <w:bCs/>
          <w:color w:val="auto"/>
          <w:sz w:val="24"/>
          <w:highlight w:val="none"/>
          <w:lang w:val="en-US" w:eastAsia="zh-CN"/>
        </w:rPr>
        <w:t>无组织废气</w:t>
      </w:r>
      <w:r>
        <w:rPr>
          <w:rFonts w:hint="default" w:ascii="Times New Roman" w:hAnsi="Times New Roman" w:eastAsia="宋体" w:cs="Times New Roman"/>
          <w:b/>
          <w:bCs/>
          <w:color w:val="auto"/>
          <w:sz w:val="24"/>
          <w:highlight w:val="none"/>
        </w:rPr>
        <w:t>监测</w:t>
      </w:r>
      <w:r>
        <w:rPr>
          <w:rFonts w:hint="default" w:ascii="Times New Roman" w:hAnsi="Times New Roman" w:eastAsia="宋体" w:cs="Times New Roman"/>
          <w:b/>
          <w:bCs/>
          <w:color w:val="auto"/>
          <w:sz w:val="24"/>
          <w:highlight w:val="none"/>
          <w:lang w:eastAsia="zh-CN"/>
        </w:rPr>
        <w:t>计划表</w:t>
      </w:r>
    </w:p>
    <w:tbl>
      <w:tblPr>
        <w:tblStyle w:val="47"/>
        <w:tblW w:w="4995"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28" w:type="dxa"/>
          <w:bottom w:w="0" w:type="dxa"/>
          <w:right w:w="28" w:type="dxa"/>
        </w:tblCellMar>
      </w:tblPr>
      <w:tblGrid>
        <w:gridCol w:w="1341"/>
        <w:gridCol w:w="1215"/>
        <w:gridCol w:w="1058"/>
        <w:gridCol w:w="5505"/>
      </w:tblGrid>
      <w:tr w14:paraId="056BAF9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35" w:type="pct"/>
            <w:tcBorders>
              <w:tl2br w:val="nil"/>
              <w:tr2bl w:val="nil"/>
            </w:tcBorders>
            <w:noWrap w:val="0"/>
            <w:vAlign w:val="center"/>
          </w:tcPr>
          <w:p w14:paraId="138B3EF6">
            <w:pPr>
              <w:pStyle w:val="58"/>
              <w:bidi w:val="0"/>
              <w:jc w:val="center"/>
              <w:rPr>
                <w:rFonts w:hint="default" w:ascii="Times New Roman" w:hAnsi="Times New Roman" w:eastAsia="宋体" w:cs="Times New Roman"/>
                <w:highlight w:val="none"/>
                <w:lang w:eastAsia="zh-CN"/>
              </w:rPr>
            </w:pPr>
            <w:r>
              <w:rPr>
                <w:rFonts w:hint="default" w:ascii="Times New Roman" w:hAnsi="Times New Roman" w:eastAsia="宋体" w:cs="Times New Roman"/>
                <w:highlight w:val="none"/>
                <w:lang w:eastAsia="zh-CN"/>
              </w:rPr>
              <w:t>监测点位</w:t>
            </w:r>
          </w:p>
        </w:tc>
        <w:tc>
          <w:tcPr>
            <w:tcW w:w="666" w:type="pct"/>
            <w:tcBorders>
              <w:tl2br w:val="nil"/>
              <w:tr2bl w:val="nil"/>
            </w:tcBorders>
            <w:noWrap w:val="0"/>
            <w:vAlign w:val="center"/>
          </w:tcPr>
          <w:p w14:paraId="7070222A">
            <w:pPr>
              <w:pStyle w:val="58"/>
              <w:bidi w:val="0"/>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eastAsia="zh-CN"/>
              </w:rPr>
              <w:t>监测指标</w:t>
            </w:r>
          </w:p>
        </w:tc>
        <w:tc>
          <w:tcPr>
            <w:tcW w:w="580" w:type="pct"/>
            <w:tcBorders>
              <w:tl2br w:val="nil"/>
              <w:tr2bl w:val="nil"/>
            </w:tcBorders>
            <w:noWrap w:val="0"/>
            <w:vAlign w:val="center"/>
          </w:tcPr>
          <w:p w14:paraId="5BEC8370">
            <w:pPr>
              <w:pStyle w:val="58"/>
              <w:bidi w:val="0"/>
              <w:jc w:val="center"/>
              <w:rPr>
                <w:rFonts w:hint="default" w:ascii="Times New Roman" w:hAnsi="Times New Roman" w:eastAsia="宋体" w:cs="Times New Roman"/>
                <w:highlight w:val="none"/>
              </w:rPr>
            </w:pPr>
            <w:r>
              <w:rPr>
                <w:rFonts w:hint="default" w:ascii="Times New Roman" w:hAnsi="Times New Roman" w:eastAsia="宋体" w:cs="Times New Roman"/>
                <w:highlight w:val="none"/>
                <w:lang w:val="en-US" w:eastAsia="zh-CN"/>
              </w:rPr>
              <w:t>监测频次</w:t>
            </w:r>
          </w:p>
        </w:tc>
        <w:tc>
          <w:tcPr>
            <w:tcW w:w="3017" w:type="pct"/>
            <w:tcBorders>
              <w:tl2br w:val="nil"/>
              <w:tr2bl w:val="nil"/>
            </w:tcBorders>
            <w:noWrap w:val="0"/>
            <w:vAlign w:val="center"/>
          </w:tcPr>
          <w:p w14:paraId="2C9618F2">
            <w:pPr>
              <w:pStyle w:val="58"/>
              <w:bidi w:val="0"/>
              <w:jc w:val="center"/>
              <w:rPr>
                <w:rFonts w:hint="default" w:ascii="Times New Roman" w:hAnsi="Times New Roman" w:eastAsia="宋体" w:cs="Times New Roman"/>
                <w:highlight w:val="none"/>
                <w:lang w:eastAsia="zh-CN"/>
              </w:rPr>
            </w:pPr>
            <w:r>
              <w:rPr>
                <w:rFonts w:hint="default" w:ascii="Times New Roman" w:hAnsi="Times New Roman" w:eastAsia="宋体" w:cs="Times New Roman"/>
                <w:highlight w:val="none"/>
                <w:lang w:eastAsia="zh-CN"/>
              </w:rPr>
              <w:t>执行排放标准</w:t>
            </w:r>
          </w:p>
        </w:tc>
      </w:tr>
      <w:tr w14:paraId="68450F2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35" w:type="pct"/>
            <w:vMerge w:val="restart"/>
            <w:tcBorders>
              <w:tl2br w:val="nil"/>
              <w:tr2bl w:val="nil"/>
            </w:tcBorders>
            <w:noWrap w:val="0"/>
            <w:vAlign w:val="center"/>
          </w:tcPr>
          <w:p w14:paraId="245CEB04">
            <w:pPr>
              <w:pStyle w:val="58"/>
              <w:bidi w:val="0"/>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厂界</w:t>
            </w:r>
          </w:p>
        </w:tc>
        <w:tc>
          <w:tcPr>
            <w:tcW w:w="666" w:type="pct"/>
            <w:tcBorders>
              <w:tl2br w:val="nil"/>
              <w:tr2bl w:val="nil"/>
            </w:tcBorders>
            <w:noWrap w:val="0"/>
            <w:vAlign w:val="center"/>
          </w:tcPr>
          <w:p w14:paraId="1AE3F406">
            <w:pPr>
              <w:pStyle w:val="58"/>
              <w:bidi w:val="0"/>
              <w:jc w:val="center"/>
              <w:rPr>
                <w:rFonts w:hint="default" w:ascii="Times New Roman" w:hAnsi="Times New Roman" w:eastAsia="宋体" w:cs="Times New Roman"/>
                <w:highlight w:val="none"/>
                <w:lang w:val="en-US" w:eastAsia="zh-CN"/>
              </w:rPr>
            </w:pPr>
            <w:r>
              <w:rPr>
                <w:rFonts w:hint="eastAsia" w:cs="Times New Roman"/>
                <w:highlight w:val="none"/>
                <w:lang w:val="en-US" w:eastAsia="zh-CN"/>
              </w:rPr>
              <w:t>H</w:t>
            </w:r>
            <w:r>
              <w:rPr>
                <w:rFonts w:hint="eastAsia" w:cs="Times New Roman"/>
                <w:highlight w:val="none"/>
                <w:vertAlign w:val="subscript"/>
                <w:lang w:val="en-US" w:eastAsia="zh-CN"/>
              </w:rPr>
              <w:t>2</w:t>
            </w:r>
            <w:r>
              <w:rPr>
                <w:rFonts w:hint="eastAsia" w:cs="Times New Roman"/>
                <w:highlight w:val="none"/>
                <w:lang w:val="en-US" w:eastAsia="zh-CN"/>
              </w:rPr>
              <w:t>S</w:t>
            </w:r>
          </w:p>
        </w:tc>
        <w:tc>
          <w:tcPr>
            <w:tcW w:w="580" w:type="pct"/>
            <w:tcBorders>
              <w:tl2br w:val="nil"/>
              <w:tr2bl w:val="nil"/>
            </w:tcBorders>
            <w:noWrap w:val="0"/>
            <w:vAlign w:val="center"/>
          </w:tcPr>
          <w:p w14:paraId="65F56E8A">
            <w:pPr>
              <w:pStyle w:val="58"/>
              <w:bidi w:val="0"/>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1次/半年</w:t>
            </w:r>
          </w:p>
        </w:tc>
        <w:tc>
          <w:tcPr>
            <w:tcW w:w="3017" w:type="pct"/>
            <w:vMerge w:val="restart"/>
            <w:tcBorders>
              <w:tl2br w:val="nil"/>
              <w:tr2bl w:val="nil"/>
            </w:tcBorders>
            <w:noWrap w:val="0"/>
            <w:vAlign w:val="center"/>
          </w:tcPr>
          <w:p w14:paraId="66DCF937">
            <w:pPr>
              <w:pStyle w:val="58"/>
              <w:bidi w:val="0"/>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rPr>
              <w:t>《城镇污水处理厂污染物排放标准》（GB18918-2002）表4二级标准</w:t>
            </w:r>
          </w:p>
        </w:tc>
      </w:tr>
      <w:tr w14:paraId="364B53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35" w:type="pct"/>
            <w:vMerge w:val="continue"/>
            <w:tcBorders>
              <w:tl2br w:val="nil"/>
              <w:tr2bl w:val="nil"/>
            </w:tcBorders>
            <w:noWrap w:val="0"/>
            <w:vAlign w:val="center"/>
          </w:tcPr>
          <w:p w14:paraId="170D5265">
            <w:pPr>
              <w:pStyle w:val="58"/>
              <w:bidi w:val="0"/>
              <w:jc w:val="center"/>
              <w:rPr>
                <w:rFonts w:hint="default" w:ascii="Times New Roman" w:hAnsi="Times New Roman" w:eastAsia="宋体" w:cs="Times New Roman"/>
                <w:highlight w:val="none"/>
                <w:lang w:val="en-US" w:eastAsia="zh-CN"/>
              </w:rPr>
            </w:pPr>
          </w:p>
        </w:tc>
        <w:tc>
          <w:tcPr>
            <w:tcW w:w="666" w:type="pct"/>
            <w:tcBorders>
              <w:tl2br w:val="nil"/>
              <w:tr2bl w:val="nil"/>
            </w:tcBorders>
            <w:noWrap w:val="0"/>
            <w:vAlign w:val="center"/>
          </w:tcPr>
          <w:p w14:paraId="22302B52">
            <w:pPr>
              <w:pStyle w:val="58"/>
              <w:bidi w:val="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eastAsia="zh-CN"/>
              </w:rPr>
              <w:t>NH</w:t>
            </w:r>
            <w:r>
              <w:rPr>
                <w:rFonts w:hint="eastAsia" w:ascii="Times New Roman" w:hAnsi="Times New Roman" w:eastAsia="宋体" w:cs="Times New Roman"/>
                <w:highlight w:val="none"/>
                <w:vertAlign w:val="subscript"/>
                <w:lang w:eastAsia="zh-CN"/>
              </w:rPr>
              <w:t>3</w:t>
            </w:r>
          </w:p>
        </w:tc>
        <w:tc>
          <w:tcPr>
            <w:tcW w:w="580" w:type="pct"/>
            <w:tcBorders>
              <w:tl2br w:val="nil"/>
              <w:tr2bl w:val="nil"/>
            </w:tcBorders>
            <w:noWrap w:val="0"/>
            <w:vAlign w:val="center"/>
          </w:tcPr>
          <w:p w14:paraId="4B5BB674">
            <w:pPr>
              <w:pStyle w:val="58"/>
              <w:bidi w:val="0"/>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1次/半年</w:t>
            </w:r>
          </w:p>
        </w:tc>
        <w:tc>
          <w:tcPr>
            <w:tcW w:w="3017" w:type="pct"/>
            <w:vMerge w:val="continue"/>
            <w:tcBorders>
              <w:tl2br w:val="nil"/>
              <w:tr2bl w:val="nil"/>
            </w:tcBorders>
            <w:noWrap w:val="0"/>
            <w:vAlign w:val="center"/>
          </w:tcPr>
          <w:p w14:paraId="162334F1">
            <w:pPr>
              <w:pStyle w:val="58"/>
              <w:bidi w:val="0"/>
              <w:jc w:val="center"/>
              <w:rPr>
                <w:rFonts w:hint="default" w:ascii="Times New Roman" w:hAnsi="Times New Roman" w:eastAsia="宋体" w:cs="Times New Roman"/>
                <w:highlight w:val="none"/>
                <w:lang w:val="en-US" w:eastAsia="zh-CN"/>
              </w:rPr>
            </w:pPr>
          </w:p>
        </w:tc>
      </w:tr>
      <w:tr w14:paraId="50A129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35" w:type="pct"/>
            <w:vMerge w:val="continue"/>
            <w:tcBorders>
              <w:tl2br w:val="nil"/>
              <w:tr2bl w:val="nil"/>
            </w:tcBorders>
            <w:noWrap w:val="0"/>
            <w:vAlign w:val="center"/>
          </w:tcPr>
          <w:p w14:paraId="04B9B8CA">
            <w:pPr>
              <w:pStyle w:val="58"/>
              <w:bidi w:val="0"/>
              <w:jc w:val="center"/>
              <w:rPr>
                <w:rFonts w:hint="default" w:ascii="Times New Roman" w:hAnsi="Times New Roman" w:eastAsia="宋体" w:cs="Times New Roman"/>
                <w:highlight w:val="none"/>
                <w:lang w:val="en-US" w:eastAsia="zh-CN"/>
              </w:rPr>
            </w:pPr>
          </w:p>
        </w:tc>
        <w:tc>
          <w:tcPr>
            <w:tcW w:w="666" w:type="pct"/>
            <w:tcBorders>
              <w:tl2br w:val="nil"/>
              <w:tr2bl w:val="nil"/>
            </w:tcBorders>
            <w:noWrap w:val="0"/>
            <w:vAlign w:val="center"/>
          </w:tcPr>
          <w:p w14:paraId="24193627">
            <w:pPr>
              <w:pStyle w:val="58"/>
              <w:bidi w:val="0"/>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臭气浓度</w:t>
            </w:r>
          </w:p>
        </w:tc>
        <w:tc>
          <w:tcPr>
            <w:tcW w:w="580" w:type="pct"/>
            <w:tcBorders>
              <w:tl2br w:val="nil"/>
              <w:tr2bl w:val="nil"/>
            </w:tcBorders>
            <w:noWrap w:val="0"/>
            <w:vAlign w:val="center"/>
          </w:tcPr>
          <w:p w14:paraId="768F787A">
            <w:pPr>
              <w:pStyle w:val="58"/>
              <w:bidi w:val="0"/>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1次/半年</w:t>
            </w:r>
          </w:p>
        </w:tc>
        <w:tc>
          <w:tcPr>
            <w:tcW w:w="3017" w:type="pct"/>
            <w:vMerge w:val="continue"/>
            <w:tcBorders>
              <w:tl2br w:val="nil"/>
              <w:tr2bl w:val="nil"/>
            </w:tcBorders>
            <w:noWrap w:val="0"/>
            <w:vAlign w:val="center"/>
          </w:tcPr>
          <w:p w14:paraId="1A727DB5">
            <w:pPr>
              <w:pStyle w:val="58"/>
              <w:bidi w:val="0"/>
              <w:jc w:val="center"/>
              <w:rPr>
                <w:rFonts w:hint="default" w:ascii="Times New Roman" w:hAnsi="Times New Roman" w:eastAsia="宋体" w:cs="Times New Roman"/>
                <w:highlight w:val="none"/>
                <w:lang w:val="en-US" w:eastAsia="zh-CN"/>
              </w:rPr>
            </w:pPr>
          </w:p>
        </w:tc>
      </w:tr>
      <w:tr w14:paraId="3CB4ECD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35" w:type="pct"/>
            <w:vMerge w:val="continue"/>
            <w:tcBorders>
              <w:tl2br w:val="nil"/>
              <w:tr2bl w:val="nil"/>
            </w:tcBorders>
            <w:noWrap w:val="0"/>
            <w:vAlign w:val="center"/>
          </w:tcPr>
          <w:p w14:paraId="38C79A7B">
            <w:pPr>
              <w:pStyle w:val="58"/>
              <w:bidi w:val="0"/>
              <w:jc w:val="center"/>
              <w:rPr>
                <w:rFonts w:hint="default" w:ascii="Times New Roman" w:hAnsi="Times New Roman" w:eastAsia="宋体" w:cs="Times New Roman"/>
                <w:highlight w:val="none"/>
                <w:lang w:val="en-US" w:eastAsia="zh-CN"/>
              </w:rPr>
            </w:pPr>
          </w:p>
        </w:tc>
        <w:tc>
          <w:tcPr>
            <w:tcW w:w="666" w:type="pct"/>
            <w:tcBorders>
              <w:tl2br w:val="nil"/>
              <w:tr2bl w:val="nil"/>
            </w:tcBorders>
            <w:noWrap w:val="0"/>
            <w:vAlign w:val="center"/>
          </w:tcPr>
          <w:p w14:paraId="29A31B2C">
            <w:pPr>
              <w:pStyle w:val="58"/>
              <w:tabs>
                <w:tab w:val="left" w:pos="455"/>
              </w:tabs>
              <w:bidi w:val="0"/>
              <w:jc w:val="center"/>
              <w:rPr>
                <w:rFonts w:hint="default" w:ascii="Times New Roman" w:hAnsi="Times New Roman" w:eastAsia="宋体" w:cs="Times New Roman"/>
                <w:highlight w:val="none"/>
                <w:lang w:val="en-US" w:eastAsia="zh-CN"/>
              </w:rPr>
            </w:pPr>
            <w:r>
              <w:rPr>
                <w:rFonts w:hint="eastAsia" w:cs="Times New Roman"/>
                <w:highlight w:val="none"/>
                <w:lang w:val="en-US" w:eastAsia="zh-CN"/>
              </w:rPr>
              <w:t>甲烷</w:t>
            </w:r>
          </w:p>
        </w:tc>
        <w:tc>
          <w:tcPr>
            <w:tcW w:w="580" w:type="pct"/>
            <w:tcBorders>
              <w:tl2br w:val="nil"/>
              <w:tr2bl w:val="nil"/>
            </w:tcBorders>
            <w:noWrap w:val="0"/>
            <w:vAlign w:val="center"/>
          </w:tcPr>
          <w:p w14:paraId="602C1C32">
            <w:pPr>
              <w:pStyle w:val="58"/>
              <w:bidi w:val="0"/>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1次/年</w:t>
            </w:r>
          </w:p>
        </w:tc>
        <w:tc>
          <w:tcPr>
            <w:tcW w:w="3017" w:type="pct"/>
            <w:vMerge w:val="continue"/>
            <w:tcBorders>
              <w:tl2br w:val="nil"/>
              <w:tr2bl w:val="nil"/>
            </w:tcBorders>
            <w:noWrap w:val="0"/>
            <w:vAlign w:val="center"/>
          </w:tcPr>
          <w:p w14:paraId="16FA1A00">
            <w:pPr>
              <w:pStyle w:val="58"/>
              <w:bidi w:val="0"/>
              <w:jc w:val="center"/>
              <w:rPr>
                <w:rFonts w:hint="default" w:ascii="Times New Roman" w:hAnsi="Times New Roman" w:eastAsia="宋体" w:cs="Times New Roman"/>
                <w:highlight w:val="none"/>
                <w:lang w:val="en-US" w:eastAsia="zh-CN"/>
              </w:rPr>
            </w:pPr>
          </w:p>
        </w:tc>
      </w:tr>
    </w:tbl>
    <w:p w14:paraId="4B0DE4BC">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5.</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2.1.6</w:t>
      </w:r>
      <w:r>
        <w:rPr>
          <w:rFonts w:hint="default" w:ascii="Times New Roman" w:hAnsi="Times New Roman" w:eastAsia="宋体" w:cs="Times New Roman"/>
          <w:color w:val="000000" w:themeColor="text1"/>
          <w:sz w:val="24"/>
          <w:szCs w:val="24"/>
          <w:highlight w:val="none"/>
          <w14:textFill>
            <w14:solidFill>
              <w14:schemeClr w14:val="tx1"/>
            </w14:solidFill>
          </w14:textFill>
        </w:rPr>
        <w:t>信息报告和信息公开</w:t>
      </w:r>
    </w:p>
    <w:p w14:paraId="53AF9A4B">
      <w:pPr>
        <w:keepNext w:val="0"/>
        <w:keepLines w:val="0"/>
        <w:pageBreakBefore w:val="0"/>
        <w:widowControl w:val="0"/>
        <w:kinsoku/>
        <w:wordWrap/>
        <w:overflowPunct/>
        <w:topLinePunct w:val="0"/>
        <w:autoSpaceDE/>
        <w:autoSpaceDN/>
        <w:bidi w:val="0"/>
        <w:adjustRightInd/>
        <w:snapToGrid w:val="0"/>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⑴信息报告</w:t>
      </w:r>
    </w:p>
    <w:p w14:paraId="631506FA">
      <w:pPr>
        <w:keepNext w:val="0"/>
        <w:keepLines w:val="0"/>
        <w:pageBreakBefore w:val="0"/>
        <w:widowControl w:val="0"/>
        <w:kinsoku/>
        <w:wordWrap/>
        <w:overflowPunct/>
        <w:topLinePunct w:val="0"/>
        <w:autoSpaceDE/>
        <w:autoSpaceDN/>
        <w:bidi w:val="0"/>
        <w:adjustRightInd/>
        <w:snapToGrid w:val="0"/>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本项目建成后，在生产运行过程中，</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建设单位</w:t>
      </w:r>
      <w:r>
        <w:rPr>
          <w:rFonts w:hint="default" w:ascii="Times New Roman" w:hAnsi="Times New Roman" w:eastAsia="宋体" w:cs="Times New Roman"/>
          <w:color w:val="000000" w:themeColor="text1"/>
          <w:sz w:val="24"/>
          <w:szCs w:val="24"/>
          <w:highlight w:val="none"/>
          <w14:textFill>
            <w14:solidFill>
              <w14:schemeClr w14:val="tx1"/>
            </w14:solidFill>
          </w14:textFill>
        </w:rPr>
        <w:t>应编写自行监测年度报告，年度报告至少应包含以下内容</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p>
    <w:p w14:paraId="5B0117E0">
      <w:pPr>
        <w:keepNext w:val="0"/>
        <w:keepLines w:val="0"/>
        <w:pageBreakBefore w:val="0"/>
        <w:widowControl w:val="0"/>
        <w:kinsoku/>
        <w:wordWrap/>
        <w:overflowPunct/>
        <w:topLinePunct w:val="0"/>
        <w:autoSpaceDE/>
        <w:autoSpaceDN/>
        <w:bidi w:val="0"/>
        <w:adjustRightInd/>
        <w:snapToGrid w:val="0"/>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①监测方案的调整变化情况及变更原因；</w:t>
      </w:r>
    </w:p>
    <w:p w14:paraId="5759614F">
      <w:pPr>
        <w:keepNext w:val="0"/>
        <w:keepLines w:val="0"/>
        <w:pageBreakBefore w:val="0"/>
        <w:widowControl w:val="0"/>
        <w:kinsoku/>
        <w:wordWrap/>
        <w:overflowPunct/>
        <w:topLinePunct w:val="0"/>
        <w:autoSpaceDE/>
        <w:autoSpaceDN/>
        <w:bidi w:val="0"/>
        <w:adjustRightInd/>
        <w:snapToGrid w:val="0"/>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②企业及各主要生产设施</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至少涵盖废气主要污染源相关生产设施</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全年运行天数，各监测点、各监测指标全年监测次数、超标情况、浓度分布情况；</w:t>
      </w:r>
    </w:p>
    <w:p w14:paraId="2CC80140">
      <w:pPr>
        <w:keepNext w:val="0"/>
        <w:keepLines w:val="0"/>
        <w:pageBreakBefore w:val="0"/>
        <w:widowControl w:val="0"/>
        <w:kinsoku/>
        <w:wordWrap/>
        <w:overflowPunct/>
        <w:topLinePunct w:val="0"/>
        <w:autoSpaceDE/>
        <w:autoSpaceDN/>
        <w:bidi w:val="0"/>
        <w:adjustRightInd/>
        <w:snapToGrid w:val="0"/>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③根据环保要求开展的周边环境质量影响状况监测结果；</w:t>
      </w:r>
    </w:p>
    <w:p w14:paraId="2BCB84DE">
      <w:pPr>
        <w:keepNext w:val="0"/>
        <w:keepLines w:val="0"/>
        <w:pageBreakBefore w:val="0"/>
        <w:widowControl w:val="0"/>
        <w:kinsoku/>
        <w:wordWrap/>
        <w:overflowPunct/>
        <w:topLinePunct w:val="0"/>
        <w:autoSpaceDE/>
        <w:autoSpaceDN/>
        <w:bidi w:val="0"/>
        <w:adjustRightInd/>
        <w:snapToGrid w:val="0"/>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④自行监测开展的其他情况说明；</w:t>
      </w:r>
    </w:p>
    <w:p w14:paraId="08BD9881">
      <w:pPr>
        <w:keepNext w:val="0"/>
        <w:keepLines w:val="0"/>
        <w:pageBreakBefore w:val="0"/>
        <w:widowControl w:val="0"/>
        <w:kinsoku/>
        <w:wordWrap/>
        <w:overflowPunct/>
        <w:topLinePunct w:val="0"/>
        <w:autoSpaceDE/>
        <w:autoSpaceDN/>
        <w:bidi w:val="0"/>
        <w:adjustRightInd/>
        <w:snapToGrid w:val="0"/>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⑤</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企业</w:t>
      </w:r>
      <w:r>
        <w:rPr>
          <w:rFonts w:hint="default" w:ascii="Times New Roman" w:hAnsi="Times New Roman" w:eastAsia="宋体" w:cs="Times New Roman"/>
          <w:color w:val="000000" w:themeColor="text1"/>
          <w:sz w:val="24"/>
          <w:szCs w:val="24"/>
          <w:highlight w:val="none"/>
          <w14:textFill>
            <w14:solidFill>
              <w14:schemeClr w14:val="tx1"/>
            </w14:solidFill>
          </w14:textFill>
        </w:rPr>
        <w:t>实现达标排放所采取的主要措施。</w:t>
      </w:r>
    </w:p>
    <w:p w14:paraId="70354996">
      <w:pPr>
        <w:keepNext w:val="0"/>
        <w:keepLines w:val="0"/>
        <w:pageBreakBefore w:val="0"/>
        <w:widowControl w:val="0"/>
        <w:kinsoku/>
        <w:wordWrap/>
        <w:overflowPunct/>
        <w:topLinePunct w:val="0"/>
        <w:autoSpaceDE/>
        <w:autoSpaceDN/>
        <w:bidi w:val="0"/>
        <w:adjustRightInd/>
        <w:snapToGrid w:val="0"/>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⑵应急报告</w:t>
      </w:r>
    </w:p>
    <w:p w14:paraId="154B6805">
      <w:pPr>
        <w:keepNext w:val="0"/>
        <w:keepLines w:val="0"/>
        <w:pageBreakBefore w:val="0"/>
        <w:widowControl w:val="0"/>
        <w:kinsoku/>
        <w:wordWrap/>
        <w:overflowPunct/>
        <w:topLinePunct w:val="0"/>
        <w:autoSpaceDE/>
        <w:autoSpaceDN/>
        <w:bidi w:val="0"/>
        <w:adjustRightInd/>
        <w:snapToGrid w:val="0"/>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根据监测结果，如果出现超标情况，</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建设单位</w:t>
      </w:r>
      <w:r>
        <w:rPr>
          <w:rFonts w:hint="default" w:ascii="Times New Roman" w:hAnsi="Times New Roman" w:eastAsia="宋体" w:cs="Times New Roman"/>
          <w:color w:val="000000" w:themeColor="text1"/>
          <w:sz w:val="24"/>
          <w:szCs w:val="24"/>
          <w:highlight w:val="none"/>
          <w14:textFill>
            <w14:solidFill>
              <w14:schemeClr w14:val="tx1"/>
            </w14:solidFill>
          </w14:textFill>
        </w:rPr>
        <w:t>应加密监测，并检查超标原因。若短期内无法实现稳定达标排放的，应向环境保护主管部门提交事故分析报告，说明事故发生的原因，采取减轻或防止污染的措施，以及今后的预防及改进措施等。</w:t>
      </w:r>
    </w:p>
    <w:p w14:paraId="0AE51062">
      <w:pPr>
        <w:keepNext w:val="0"/>
        <w:keepLines w:val="0"/>
        <w:pageBreakBefore w:val="0"/>
        <w:widowControl w:val="0"/>
        <w:kinsoku/>
        <w:wordWrap/>
        <w:overflowPunct/>
        <w:topLinePunct w:val="0"/>
        <w:autoSpaceDE/>
        <w:autoSpaceDN/>
        <w:bidi w:val="0"/>
        <w:adjustRightInd/>
        <w:snapToGrid w:val="0"/>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⑶信息公开</w:t>
      </w:r>
    </w:p>
    <w:p w14:paraId="07CFFE4B">
      <w:pPr>
        <w:keepNext w:val="0"/>
        <w:keepLines w:val="0"/>
        <w:pageBreakBefore w:val="0"/>
        <w:widowControl w:val="0"/>
        <w:kinsoku/>
        <w:wordWrap/>
        <w:overflowPunct/>
        <w:topLinePunct w:val="0"/>
        <w:autoSpaceDE/>
        <w:autoSpaceDN/>
        <w:bidi w:val="0"/>
        <w:adjustRightInd/>
        <w:snapToGrid w:val="0"/>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建设单位</w:t>
      </w:r>
      <w:r>
        <w:rPr>
          <w:rFonts w:hint="default" w:ascii="Times New Roman" w:hAnsi="Times New Roman" w:eastAsia="宋体" w:cs="Times New Roman"/>
          <w:color w:val="000000" w:themeColor="text1"/>
          <w:sz w:val="24"/>
          <w:szCs w:val="24"/>
          <w:highlight w:val="none"/>
          <w14:textFill>
            <w14:solidFill>
              <w14:schemeClr w14:val="tx1"/>
            </w14:solidFill>
          </w14:textFill>
        </w:rPr>
        <w:t>自行监测信息公开内容及方式按照《企业事业单位环境信息公开办法》</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环境护部令第31号</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及《国家重点监控企业自行监测及信息公开办法</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试行</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》)(环发(201381号)执行。</w:t>
      </w:r>
    </w:p>
    <w:p w14:paraId="03927AA3">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5.</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2.1.7</w:t>
      </w:r>
      <w:r>
        <w:rPr>
          <w:rFonts w:hint="default" w:ascii="Times New Roman" w:hAnsi="Times New Roman" w:eastAsia="宋体" w:cs="Times New Roman"/>
          <w:color w:val="000000" w:themeColor="text1"/>
          <w:sz w:val="24"/>
          <w:szCs w:val="24"/>
          <w:highlight w:val="none"/>
          <w14:textFill>
            <w14:solidFill>
              <w14:schemeClr w14:val="tx1"/>
            </w14:solidFill>
          </w14:textFill>
        </w:rPr>
        <w:t>大气环境影响评价</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自查表</w:t>
      </w:r>
    </w:p>
    <w:p w14:paraId="375E1EEB">
      <w:pPr>
        <w:autoSpaceDE w:val="0"/>
        <w:autoSpaceDN w:val="0"/>
        <w:spacing w:line="480" w:lineRule="exact"/>
        <w:ind w:firstLine="480" w:firstLineChars="200"/>
        <w:jc w:val="left"/>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eastAsia="zh-CN"/>
          <w14:textFill>
            <w14:solidFill>
              <w14:schemeClr w14:val="tx1"/>
            </w14:solidFill>
          </w14:textFill>
        </w:rPr>
        <w:t>大气影响评价自查表见附表</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1。</w:t>
      </w:r>
    </w:p>
    <w:p w14:paraId="545DAF04">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5.</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2.1.8</w:t>
      </w:r>
      <w:r>
        <w:rPr>
          <w:rFonts w:hint="default" w:ascii="Times New Roman" w:hAnsi="Times New Roman" w:eastAsia="宋体" w:cs="Times New Roman"/>
          <w:color w:val="000000" w:themeColor="text1"/>
          <w:sz w:val="24"/>
          <w:szCs w:val="24"/>
          <w:highlight w:val="none"/>
          <w14:textFill>
            <w14:solidFill>
              <w14:schemeClr w14:val="tx1"/>
            </w14:solidFill>
          </w14:textFill>
        </w:rPr>
        <w:t>大气环境影响评价结论</w:t>
      </w:r>
    </w:p>
    <w:p w14:paraId="3F722BEC">
      <w:pPr>
        <w:bidi w:val="0"/>
        <w:rPr>
          <w:rFonts w:hint="default"/>
          <w:highlight w:val="none"/>
        </w:rPr>
      </w:pPr>
      <w:r>
        <w:rPr>
          <w:rFonts w:hint="default"/>
          <w:highlight w:val="none"/>
        </w:rPr>
        <w:t>1、根据20</w:t>
      </w:r>
      <w:r>
        <w:rPr>
          <w:rFonts w:hint="default"/>
          <w:highlight w:val="none"/>
          <w:lang w:val="en-US" w:eastAsia="zh-CN"/>
        </w:rPr>
        <w:t>2</w:t>
      </w:r>
      <w:r>
        <w:rPr>
          <w:rFonts w:hint="eastAsia"/>
          <w:highlight w:val="none"/>
          <w:lang w:val="en-US" w:eastAsia="zh-CN"/>
        </w:rPr>
        <w:t>3</w:t>
      </w:r>
      <w:r>
        <w:rPr>
          <w:rFonts w:hint="default"/>
          <w:highlight w:val="none"/>
        </w:rPr>
        <w:t>年唐山市环境质量公告数据，项目区域为环境空气质量不达标区，不达标因子为</w:t>
      </w:r>
      <w:r>
        <w:rPr>
          <w:rFonts w:hint="eastAsia"/>
          <w:highlight w:val="none"/>
          <w:lang w:eastAsia="zh-CN"/>
        </w:rPr>
        <w:t>O</w:t>
      </w:r>
      <w:r>
        <w:rPr>
          <w:rFonts w:hint="eastAsia"/>
          <w:highlight w:val="none"/>
          <w:vertAlign w:val="subscript"/>
          <w:lang w:eastAsia="zh-CN"/>
        </w:rPr>
        <w:t>3</w:t>
      </w:r>
      <w:r>
        <w:rPr>
          <w:rFonts w:hint="default"/>
          <w:highlight w:val="none"/>
        </w:rPr>
        <w:t>。</w:t>
      </w:r>
    </w:p>
    <w:p w14:paraId="472B82AA">
      <w:pPr>
        <w:spacing w:line="480" w:lineRule="exact"/>
        <w:ind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2、根据估算模型AERSCREEN计算结果，拟建项目各污染源排放的污染物最大落地浓度均不超标。拟建项目不需设置大气环境防护距离。</w:t>
      </w:r>
    </w:p>
    <w:p w14:paraId="2092EFE5">
      <w:pPr>
        <w:spacing w:line="480" w:lineRule="exact"/>
        <w:ind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3、拟建工程采用的废气处理设施可确保</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氨</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eastAsia" w:cs="Times New Roman"/>
          <w:color w:val="000000" w:themeColor="text1"/>
          <w:sz w:val="24"/>
          <w:szCs w:val="24"/>
          <w:highlight w:val="none"/>
          <w:lang w:val="en-US" w:eastAsia="zh-CN"/>
          <w14:textFill>
            <w14:solidFill>
              <w14:schemeClr w14:val="tx1"/>
            </w14:solidFill>
          </w14:textFill>
        </w:rPr>
        <w:t>硫</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化氢</w:t>
      </w:r>
      <w:r>
        <w:rPr>
          <w:rFonts w:hint="default" w:ascii="Times New Roman" w:hAnsi="Times New Roman" w:eastAsia="宋体" w:cs="Times New Roman"/>
          <w:color w:val="000000" w:themeColor="text1"/>
          <w:sz w:val="24"/>
          <w:szCs w:val="24"/>
          <w:highlight w:val="none"/>
          <w14:textFill>
            <w14:solidFill>
              <w14:schemeClr w14:val="tx1"/>
            </w14:solidFill>
          </w14:textFill>
        </w:rPr>
        <w:t>等达标排放。</w:t>
      </w:r>
    </w:p>
    <w:p w14:paraId="71880E25">
      <w:pPr>
        <w:spacing w:line="480" w:lineRule="exact"/>
        <w:ind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综上所述，拟建项目建设对区域环境空气的环境影响可以接受。</w:t>
      </w:r>
    </w:p>
    <w:p w14:paraId="50EDEB3A">
      <w:pPr>
        <w:pStyle w:val="6"/>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5.2.2</w:t>
      </w:r>
      <w:r>
        <w:rPr>
          <w:rFonts w:hint="default" w:ascii="Times New Roman" w:hAnsi="Times New Roman" w:eastAsia="宋体" w:cs="Times New Roman"/>
          <w:color w:val="000000" w:themeColor="text1"/>
          <w:highlight w:val="none"/>
          <w14:textFill>
            <w14:solidFill>
              <w14:schemeClr w14:val="tx1"/>
            </w14:solidFill>
          </w14:textFill>
        </w:rPr>
        <w:t>地表水环境影响</w:t>
      </w:r>
      <w:r>
        <w:rPr>
          <w:rFonts w:hint="default" w:ascii="Times New Roman" w:hAnsi="Times New Roman" w:eastAsia="宋体" w:cs="Times New Roman"/>
          <w:color w:val="000000" w:themeColor="text1"/>
          <w:highlight w:val="none"/>
          <w:lang w:eastAsia="zh-CN"/>
          <w14:textFill>
            <w14:solidFill>
              <w14:schemeClr w14:val="tx1"/>
            </w14:solidFill>
          </w14:textFill>
        </w:rPr>
        <w:t>预测与评价</w:t>
      </w:r>
    </w:p>
    <w:p w14:paraId="7C00B412">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w:t>
      </w:r>
      <w:r>
        <w:rPr>
          <w:rFonts w:hint="default" w:ascii="Times New Roman" w:hAnsi="Times New Roman" w:eastAsia="宋体" w:cs="Times New Roman"/>
          <w:color w:val="000000" w:themeColor="text1"/>
          <w:highlight w:val="none"/>
          <w14:textFill>
            <w14:solidFill>
              <w14:schemeClr w14:val="tx1"/>
            </w14:solidFill>
          </w14:textFill>
        </w:rPr>
        <w:t>.</w:t>
      </w:r>
      <w:r>
        <w:rPr>
          <w:rFonts w:hint="default" w:ascii="Times New Roman" w:hAnsi="Times New Roman" w:eastAsia="宋体" w:cs="Times New Roman"/>
          <w:color w:val="000000" w:themeColor="text1"/>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highlight w:val="none"/>
          <w14:textFill>
            <w14:solidFill>
              <w14:schemeClr w14:val="tx1"/>
            </w14:solidFill>
          </w14:textFill>
        </w:rPr>
        <w:t>.1</w:t>
      </w:r>
      <w:r>
        <w:rPr>
          <w:rFonts w:hint="default" w:ascii="Times New Roman" w:hAnsi="Times New Roman" w:eastAsia="宋体" w:cs="Times New Roman"/>
          <w:color w:val="000000" w:themeColor="text1"/>
          <w:highlight w:val="none"/>
          <w:lang w:eastAsia="zh-CN"/>
          <w14:textFill>
            <w14:solidFill>
              <w14:schemeClr w14:val="tx1"/>
            </w14:solidFill>
          </w14:textFill>
        </w:rPr>
        <w:t>地表水环境影响分析</w:t>
      </w:r>
    </w:p>
    <w:p w14:paraId="65E32A98">
      <w:pPr>
        <w:pageBreakBefore w:val="0"/>
        <w:widowControl w:val="0"/>
        <w:kinsoku/>
        <w:wordWrap/>
        <w:overflowPunct/>
        <w:topLinePunct w:val="0"/>
        <w:autoSpaceDE w:val="0"/>
        <w:autoSpaceDN w:val="0"/>
        <w:bidi w:val="0"/>
        <w:spacing w:line="480" w:lineRule="exact"/>
        <w:ind w:firstLine="480" w:firstLineChars="200"/>
        <w:jc w:val="left"/>
        <w:textAlignment w:val="auto"/>
        <w:rPr>
          <w:rFonts w:hint="default" w:ascii="Times New Roman" w:hAnsi="Times New Roman" w:eastAsia="宋体" w:cs="Times New Roman"/>
          <w:color w:val="000000" w:themeColor="text1"/>
          <w:kern w:val="0"/>
          <w:sz w:val="24"/>
          <w:szCs w:val="24"/>
          <w:highlight w:val="none"/>
          <w:lang w:val="en-US" w:eastAsia="zh-CN"/>
          <w14:textFill>
            <w14:solidFill>
              <w14:schemeClr w14:val="tx1"/>
            </w14:solidFill>
          </w14:textFill>
        </w:rPr>
      </w:pPr>
      <w:r>
        <w:rPr>
          <w:rFonts w:hint="eastAsia" w:cs="Times New Roman"/>
          <w:color w:val="000000" w:themeColor="text1"/>
          <w:sz w:val="24"/>
          <w:highlight w:val="none"/>
          <w:lang w:val="en-US" w:eastAsia="zh-CN"/>
          <w14:textFill>
            <w14:solidFill>
              <w14:schemeClr w14:val="tx1"/>
            </w14:solidFill>
          </w14:textFill>
        </w:rPr>
        <w:t>本项目收水范围为</w:t>
      </w:r>
      <w:r>
        <w:rPr>
          <w:rFonts w:hint="eastAsia"/>
          <w:highlight w:val="none"/>
          <w:lang w:val="en-US" w:eastAsia="zh-CN"/>
        </w:rPr>
        <w:t>唐山市曹妃甸区垦丰家居产业园区企业产生的废水，</w:t>
      </w:r>
      <w:r>
        <w:rPr>
          <w:rFonts w:hint="eastAsia" w:cs="Times New Roman"/>
          <w:color w:val="000000" w:themeColor="text1"/>
          <w:sz w:val="24"/>
          <w:highlight w:val="none"/>
          <w:lang w:val="en-US" w:eastAsia="zh-CN"/>
          <w14:textFill>
            <w14:solidFill>
              <w14:schemeClr w14:val="tx1"/>
            </w14:solidFill>
          </w14:textFill>
        </w:rPr>
        <w:t>园区企业废水主要为生活污水、锅炉排水、冷却塔定排水、设备清洗水等，水质简单。</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污水中主要污染物为COD、氨氮、BOD</w:t>
      </w:r>
      <w:r>
        <w:rPr>
          <w:rFonts w:hint="default" w:ascii="Times New Roman" w:hAnsi="Times New Roman" w:eastAsia="宋体" w:cs="Times New Roman"/>
          <w:color w:val="000000" w:themeColor="text1"/>
          <w:sz w:val="24"/>
          <w:szCs w:val="24"/>
          <w:highlight w:val="none"/>
          <w:vertAlign w:val="subscript"/>
          <w:lang w:val="en-US" w:eastAsia="zh-CN"/>
          <w14:textFill>
            <w14:solidFill>
              <w14:schemeClr w14:val="tx1"/>
            </w14:solidFill>
          </w14:textFill>
        </w:rPr>
        <w:t>5</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、SS、动植物油等，无特殊处理的污染物。</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本项目新增劳动定员</w:t>
      </w:r>
      <w:r>
        <w:rPr>
          <w:rFonts w:hint="eastAsia" w:cs="Times New Roman"/>
          <w:color w:val="000000" w:themeColor="text1"/>
          <w:sz w:val="24"/>
          <w:highlight w:val="none"/>
          <w:lang w:val="en-US" w:eastAsia="zh-CN"/>
          <w14:textFill>
            <w14:solidFill>
              <w14:schemeClr w14:val="tx1"/>
            </w14:solidFill>
          </w14:textFill>
        </w:rPr>
        <w:t>2人</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，增加</w:t>
      </w:r>
      <w:r>
        <w:rPr>
          <w:rFonts w:hint="eastAsia" w:cs="Times New Roman"/>
          <w:color w:val="000000" w:themeColor="text1"/>
          <w:sz w:val="24"/>
          <w:highlight w:val="none"/>
          <w:lang w:val="en-US" w:eastAsia="zh-CN"/>
          <w14:textFill>
            <w14:solidFill>
              <w14:schemeClr w14:val="tx1"/>
            </w14:solidFill>
          </w14:textFill>
        </w:rPr>
        <w:t>的</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生活</w:t>
      </w:r>
      <w:r>
        <w:rPr>
          <w:rFonts w:hint="eastAsia" w:cs="Times New Roman"/>
          <w:color w:val="000000" w:themeColor="text1"/>
          <w:sz w:val="24"/>
          <w:highlight w:val="none"/>
          <w:lang w:val="en-US" w:eastAsia="zh-CN"/>
          <w14:textFill>
            <w14:solidFill>
              <w14:schemeClr w14:val="tx1"/>
            </w14:solidFill>
          </w14:textFill>
        </w:rPr>
        <w:t>污</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水</w:t>
      </w:r>
      <w:r>
        <w:rPr>
          <w:rFonts w:hint="eastAsia" w:cs="Times New Roman"/>
          <w:color w:val="000000" w:themeColor="text1"/>
          <w:sz w:val="24"/>
          <w:highlight w:val="none"/>
          <w:lang w:val="en-US" w:eastAsia="zh-CN"/>
          <w14:textFill>
            <w14:solidFill>
              <w14:schemeClr w14:val="tx1"/>
            </w14:solidFill>
          </w14:textFill>
        </w:rPr>
        <w:t>和</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生产废水</w:t>
      </w:r>
      <w:r>
        <w:rPr>
          <w:rFonts w:hint="eastAsia" w:cs="Times New Roman"/>
          <w:color w:val="000000" w:themeColor="text1"/>
          <w:sz w:val="24"/>
          <w:highlight w:val="none"/>
          <w:lang w:val="en-US" w:eastAsia="zh-CN"/>
          <w14:textFill>
            <w14:solidFill>
              <w14:schemeClr w14:val="tx1"/>
            </w14:solidFill>
          </w14:textFill>
        </w:rPr>
        <w:t>一同</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排入厂区污水处理系统，</w:t>
      </w:r>
      <w:r>
        <w:rPr>
          <w:rFonts w:hint="eastAsia" w:cs="Times New Roman"/>
          <w:color w:val="000000" w:themeColor="text1"/>
          <w:sz w:val="24"/>
          <w:highlight w:val="none"/>
          <w:lang w:val="en-US" w:eastAsia="zh-CN"/>
          <w14:textFill>
            <w14:solidFill>
              <w14:schemeClr w14:val="tx1"/>
            </w14:solidFill>
          </w14:textFill>
        </w:rPr>
        <w:t>本项目处理</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工艺为“格栅+调节池+</w:t>
      </w:r>
      <w:r>
        <w:rPr>
          <w:rFonts w:hint="eastAsia" w:cs="Times New Roman"/>
          <w:color w:val="000000" w:themeColor="text1"/>
          <w:sz w:val="24"/>
          <w:highlight w:val="none"/>
          <w:lang w:val="en-US" w:eastAsia="zh-CN"/>
          <w14:textFill>
            <w14:solidFill>
              <w14:schemeClr w14:val="tx1"/>
            </w14:solidFill>
          </w14:textFill>
        </w:rPr>
        <w:t>A</w:t>
      </w:r>
      <w:r>
        <w:rPr>
          <w:rFonts w:hint="eastAsia" w:cs="Times New Roman"/>
          <w:color w:val="000000" w:themeColor="text1"/>
          <w:sz w:val="24"/>
          <w:highlight w:val="none"/>
          <w:vertAlign w:val="superscript"/>
          <w:lang w:val="en-US" w:eastAsia="zh-CN"/>
          <w14:textFill>
            <w14:solidFill>
              <w14:schemeClr w14:val="tx1"/>
            </w14:solidFill>
          </w14:textFill>
        </w:rPr>
        <w:t>2</w:t>
      </w:r>
      <w:r>
        <w:rPr>
          <w:rFonts w:hint="eastAsia" w:cs="Times New Roman"/>
          <w:color w:val="000000" w:themeColor="text1"/>
          <w:sz w:val="24"/>
          <w:highlight w:val="none"/>
          <w:lang w:val="en-US" w:eastAsia="zh-CN"/>
          <w14:textFill>
            <w14:solidFill>
              <w14:schemeClr w14:val="tx1"/>
            </w14:solidFill>
          </w14:textFill>
        </w:rPr>
        <w:t>O</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一体化处理设备+混凝沉淀池+</w:t>
      </w:r>
      <w:r>
        <w:rPr>
          <w:rFonts w:hint="eastAsia" w:cs="Times New Roman"/>
          <w:color w:val="000000" w:themeColor="text1"/>
          <w:sz w:val="24"/>
          <w:highlight w:val="none"/>
          <w:vertAlign w:val="baseline"/>
          <w:lang w:val="en-US" w:eastAsia="zh-CN"/>
          <w14:textFill>
            <w14:solidFill>
              <w14:schemeClr w14:val="tx1"/>
            </w14:solidFill>
          </w14:textFill>
        </w:rPr>
        <w:t>砂滤</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w:t>
      </w:r>
      <w:r>
        <w:rPr>
          <w:rFonts w:hint="eastAsia" w:cs="Times New Roman"/>
          <w:color w:val="000000" w:themeColor="text1"/>
          <w:sz w:val="24"/>
          <w:highlight w:val="none"/>
          <w:lang w:val="en-US" w:eastAsia="zh-CN"/>
          <w14:textFill>
            <w14:solidFill>
              <w14:schemeClr w14:val="tx1"/>
            </w14:solidFill>
          </w14:textFill>
        </w:rPr>
        <w:t>次氯酸钠消毒</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w:t>
      </w:r>
      <w:r>
        <w:rPr>
          <w:rFonts w:hint="eastAsia"/>
          <w:highlight w:val="none"/>
          <w:lang w:val="en-US" w:eastAsia="zh-CN"/>
        </w:rPr>
        <w:t>废水经处理后满足</w:t>
      </w:r>
      <w:r>
        <w:rPr>
          <w:rFonts w:hint="default"/>
          <w:highlight w:val="none"/>
          <w:lang w:eastAsia="zh-CN"/>
        </w:rPr>
        <w:t>《城镇污水处理厂污染物排放标准》(GB18918-2002)中一级A标准，</w:t>
      </w:r>
      <w:r>
        <w:rPr>
          <w:rFonts w:hint="default"/>
          <w:highlight w:val="none"/>
          <w:lang w:val="en-US" w:eastAsia="zh-CN"/>
        </w:rPr>
        <w:t>同时满足《城市污水再生利用  工业用水水质》（GB/T19923-2024）、《城市污水再生利用 城市杂用水水质》（GB/T18920-2020）、《城市污水再生利用 绿地灌溉水质》（GB/T25499-2010）标准限值。</w:t>
      </w:r>
      <w:r>
        <w:rPr>
          <w:rFonts w:hint="eastAsia"/>
          <w:highlight w:val="none"/>
          <w:lang w:val="en-US" w:eastAsia="zh-CN"/>
        </w:rPr>
        <w:t>废水经处理</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达标后</w:t>
      </w:r>
      <w:r>
        <w:rPr>
          <w:rFonts w:hint="eastAsia" w:cs="Times New Roman"/>
          <w:color w:val="000000" w:themeColor="text1"/>
          <w:sz w:val="24"/>
          <w:highlight w:val="none"/>
          <w:lang w:val="en-US" w:eastAsia="zh-CN"/>
          <w14:textFill>
            <w14:solidFill>
              <w14:schemeClr w14:val="tx1"/>
            </w14:solidFill>
          </w14:textFill>
        </w:rPr>
        <w:t>回用于厂区生产用水、园区绿化、道路喷洒及园区企业生产用水，不直排环境，对地表水影响较小。</w:t>
      </w:r>
    </w:p>
    <w:p w14:paraId="06DCBD2F">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highlight w:val="none"/>
          <w:lang w:eastAsia="zh-CN"/>
          <w14:textFill>
            <w14:solidFill>
              <w14:schemeClr w14:val="tx1"/>
            </w14:solidFill>
          </w14:textFill>
        </w:rPr>
      </w:pPr>
      <w:bookmarkStart w:id="315" w:name="_Toc246763548"/>
      <w:r>
        <w:rPr>
          <w:rFonts w:hint="default" w:ascii="Times New Roman" w:hAnsi="Times New Roman" w:eastAsia="宋体" w:cs="Times New Roman"/>
          <w:color w:val="000000" w:themeColor="text1"/>
          <w:highlight w:val="none"/>
          <w:lang w:val="en-US" w:eastAsia="zh-CN"/>
          <w14:textFill>
            <w14:solidFill>
              <w14:schemeClr w14:val="tx1"/>
            </w14:solidFill>
          </w14:textFill>
        </w:rPr>
        <w:t>5.2</w:t>
      </w:r>
      <w:r>
        <w:rPr>
          <w:rFonts w:hint="default" w:ascii="Times New Roman" w:hAnsi="Times New Roman" w:eastAsia="宋体" w:cs="Times New Roman"/>
          <w:color w:val="000000" w:themeColor="text1"/>
          <w:highlight w:val="none"/>
          <w14:textFill>
            <w14:solidFill>
              <w14:schemeClr w14:val="tx1"/>
            </w14:solidFill>
          </w14:textFill>
        </w:rPr>
        <w:t>.</w:t>
      </w:r>
      <w:r>
        <w:rPr>
          <w:rFonts w:hint="default" w:ascii="Times New Roman" w:hAnsi="Times New Roman" w:eastAsia="宋体" w:cs="Times New Roman"/>
          <w:color w:val="000000" w:themeColor="text1"/>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highlight w:val="none"/>
          <w14:textFill>
            <w14:solidFill>
              <w14:schemeClr w14:val="tx1"/>
            </w14:solidFill>
          </w14:textFill>
        </w:rPr>
        <w:t>.</w:t>
      </w:r>
      <w:r>
        <w:rPr>
          <w:rFonts w:hint="default" w:ascii="Times New Roman" w:hAnsi="Times New Roman" w:eastAsia="宋体" w:cs="Times New Roman"/>
          <w:color w:val="000000" w:themeColor="text1"/>
          <w:highlight w:val="none"/>
          <w:lang w:val="en-US" w:eastAsia="zh-CN"/>
          <w14:textFill>
            <w14:solidFill>
              <w14:schemeClr w14:val="tx1"/>
            </w14:solidFill>
          </w14:textFill>
        </w:rPr>
        <w:t>2地表水环境影响自查表</w:t>
      </w:r>
    </w:p>
    <w:p w14:paraId="6BAB0E17">
      <w:pPr>
        <w:autoSpaceDE w:val="0"/>
        <w:autoSpaceDN w:val="0"/>
        <w:spacing w:line="480" w:lineRule="exact"/>
        <w:ind w:firstLine="480" w:firstLineChars="200"/>
        <w:jc w:val="left"/>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eastAsia="zh-CN"/>
          <w14:textFill>
            <w14:solidFill>
              <w14:schemeClr w14:val="tx1"/>
            </w14:solidFill>
          </w14:textFill>
        </w:rPr>
        <w:t>地表水影响评价自查表见附表</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2。</w:t>
      </w:r>
    </w:p>
    <w:p w14:paraId="63866027">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w:t>
      </w:r>
      <w:r>
        <w:rPr>
          <w:rFonts w:hint="default" w:ascii="Times New Roman" w:hAnsi="Times New Roman" w:eastAsia="宋体" w:cs="Times New Roman"/>
          <w:color w:val="000000" w:themeColor="text1"/>
          <w:highlight w:val="none"/>
          <w14:textFill>
            <w14:solidFill>
              <w14:schemeClr w14:val="tx1"/>
            </w14:solidFill>
          </w14:textFill>
        </w:rPr>
        <w:t>.</w:t>
      </w:r>
      <w:r>
        <w:rPr>
          <w:rFonts w:hint="default" w:ascii="Times New Roman" w:hAnsi="Times New Roman" w:eastAsia="宋体" w:cs="Times New Roman"/>
          <w:color w:val="000000" w:themeColor="text1"/>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highlight w:val="none"/>
          <w14:textFill>
            <w14:solidFill>
              <w14:schemeClr w14:val="tx1"/>
            </w14:solidFill>
          </w14:textFill>
        </w:rPr>
        <w:t>.</w:t>
      </w:r>
      <w:r>
        <w:rPr>
          <w:rFonts w:hint="default" w:ascii="Times New Roman" w:hAnsi="Times New Roman" w:eastAsia="宋体" w:cs="Times New Roman"/>
          <w:color w:val="000000" w:themeColor="text1"/>
          <w:highlight w:val="none"/>
          <w:lang w:val="en-US" w:eastAsia="zh-CN"/>
          <w14:textFill>
            <w14:solidFill>
              <w14:schemeClr w14:val="tx1"/>
            </w14:solidFill>
          </w14:textFill>
        </w:rPr>
        <w:t>3地表水影响评价结论</w:t>
      </w:r>
    </w:p>
    <w:p w14:paraId="5E4536E9">
      <w:pPr>
        <w:autoSpaceDE w:val="0"/>
        <w:autoSpaceDN w:val="0"/>
        <w:spacing w:line="480" w:lineRule="exact"/>
        <w:ind w:firstLine="540" w:firstLineChars="225"/>
        <w:jc w:val="left"/>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综上所述，本项目废水</w:t>
      </w:r>
      <w:r>
        <w:rPr>
          <w:rFonts w:hint="eastAsia"/>
          <w:highlight w:val="none"/>
          <w:lang w:val="en-US" w:eastAsia="zh-CN"/>
        </w:rPr>
        <w:t>经处理</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达标后首先作为中水回用厂区生产用水，剩余污水</w:t>
      </w:r>
      <w:r>
        <w:rPr>
          <w:rFonts w:hint="eastAsia" w:cs="Times New Roman"/>
          <w:color w:val="000000" w:themeColor="text1"/>
          <w:sz w:val="24"/>
          <w:highlight w:val="none"/>
          <w:lang w:val="en-US" w:eastAsia="zh-CN"/>
          <w14:textFill>
            <w14:solidFill>
              <w14:schemeClr w14:val="tx1"/>
            </w14:solidFill>
          </w14:textFill>
        </w:rPr>
        <w:t>回用于园区绿化、道路喷洒及园区企业生产用水</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，不会对地表水造成影响。</w:t>
      </w:r>
    </w:p>
    <w:p w14:paraId="51759EB3">
      <w:pPr>
        <w:pStyle w:val="6"/>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5.2.3</w:t>
      </w:r>
      <w:r>
        <w:rPr>
          <w:rFonts w:hint="default" w:ascii="Times New Roman" w:hAnsi="Times New Roman" w:eastAsia="宋体" w:cs="Times New Roman"/>
          <w:color w:val="000000" w:themeColor="text1"/>
          <w:highlight w:val="none"/>
          <w14:textFill>
            <w14:solidFill>
              <w14:schemeClr w14:val="tx1"/>
            </w14:solidFill>
          </w14:textFill>
        </w:rPr>
        <w:t>地下水环境影响</w:t>
      </w:r>
      <w:r>
        <w:rPr>
          <w:rFonts w:hint="default" w:ascii="Times New Roman" w:hAnsi="Times New Roman" w:eastAsia="宋体" w:cs="Times New Roman"/>
          <w:color w:val="000000" w:themeColor="text1"/>
          <w:highlight w:val="none"/>
          <w:lang w:val="en-US" w:eastAsia="zh-CN"/>
          <w14:textFill>
            <w14:solidFill>
              <w14:schemeClr w14:val="tx1"/>
            </w14:solidFill>
          </w14:textFill>
        </w:rPr>
        <w:t>预测与</w:t>
      </w:r>
      <w:r>
        <w:rPr>
          <w:rFonts w:hint="default" w:ascii="Times New Roman" w:hAnsi="Times New Roman" w:eastAsia="宋体" w:cs="Times New Roman"/>
          <w:color w:val="000000" w:themeColor="text1"/>
          <w:highlight w:val="none"/>
          <w:lang w:eastAsia="zh-CN"/>
          <w14:textFill>
            <w14:solidFill>
              <w14:schemeClr w14:val="tx1"/>
            </w14:solidFill>
          </w14:textFill>
        </w:rPr>
        <w:t>评价</w:t>
      </w:r>
    </w:p>
    <w:p w14:paraId="516C7AEE">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污染物对地下水的影响主要是由于降雨或废水排放等通过垂直渗透进入包气带，进入包气带的污染物在物理、化学和生物作用下经吸附、转化、迁移和分解后输入地下水。因此，包气带是连接地面污染物与地下含水层的主要通道和过渡带，既是污染物媒介体，又是污染物的净化场所和防护层。一般说来，土壤粒细而紧密，渗透性差，则污染慢；反之，颗粒大松散，渗透性能良好则污染重。拟建项目对地下水的影响途径主要是厂区设备的跑冒滴漏以及管线破裂等，污染方式为垂直渗漏。</w:t>
      </w:r>
    </w:p>
    <w:p w14:paraId="08D4E658">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5.2.3</w:t>
      </w:r>
      <w:r>
        <w:rPr>
          <w:rFonts w:hint="default" w:ascii="Times New Roman" w:hAnsi="Times New Roman" w:eastAsia="宋体" w:cs="Times New Roman"/>
          <w:color w:val="000000" w:themeColor="text1"/>
          <w:highlight w:val="none"/>
          <w14:textFill>
            <w14:solidFill>
              <w14:schemeClr w14:val="tx1"/>
            </w14:solidFill>
          </w14:textFill>
        </w:rPr>
        <w:t>.1</w:t>
      </w:r>
      <w:r>
        <w:rPr>
          <w:rFonts w:hint="default" w:ascii="Times New Roman" w:hAnsi="Times New Roman" w:eastAsia="宋体" w:cs="Times New Roman"/>
          <w:color w:val="000000" w:themeColor="text1"/>
          <w:highlight w:val="none"/>
          <w:lang w:val="en-US" w:eastAsia="zh-CN"/>
          <w14:textFill>
            <w14:solidFill>
              <w14:schemeClr w14:val="tx1"/>
            </w14:solidFill>
          </w14:textFill>
        </w:rPr>
        <w:t>评价</w:t>
      </w:r>
      <w:r>
        <w:rPr>
          <w:rFonts w:hint="default" w:ascii="Times New Roman" w:hAnsi="Times New Roman" w:eastAsia="宋体" w:cs="Times New Roman"/>
          <w:color w:val="000000" w:themeColor="text1"/>
          <w:highlight w:val="none"/>
          <w14:textFill>
            <w14:solidFill>
              <w14:schemeClr w14:val="tx1"/>
            </w14:solidFill>
          </w14:textFill>
        </w:rPr>
        <w:t>区域地质</w:t>
      </w:r>
      <w:r>
        <w:rPr>
          <w:rFonts w:hint="default" w:ascii="Times New Roman" w:hAnsi="Times New Roman" w:eastAsia="宋体" w:cs="Times New Roman"/>
          <w:color w:val="000000" w:themeColor="text1"/>
          <w:highlight w:val="none"/>
          <w:lang w:val="en-US" w:eastAsia="zh-CN"/>
          <w14:textFill>
            <w14:solidFill>
              <w14:schemeClr w14:val="tx1"/>
            </w14:solidFill>
          </w14:textFill>
        </w:rPr>
        <w:t>概况</w:t>
      </w:r>
    </w:p>
    <w:p w14:paraId="7E40246F">
      <w:pPr>
        <w:pageBreakBefore w:val="0"/>
        <w:widowControl w:val="0"/>
        <w:kinsoku/>
        <w:wordWrap/>
        <w:overflowPunct/>
        <w:topLinePunct w:val="0"/>
        <w:autoSpaceDE/>
        <w:autoSpaceDN/>
        <w:bidi w:val="0"/>
        <w:adjustRightInd/>
        <w:snapToGrid/>
        <w:spacing w:line="480" w:lineRule="exact"/>
        <w:ind w:left="0" w:right="0" w:firstLine="528" w:firstLineChars="200"/>
        <w:textAlignment w:val="auto"/>
        <w:rPr>
          <w:rFonts w:hint="default" w:ascii="Times New Roman" w:hAnsi="Times New Roman" w:eastAsia="宋体" w:cs="Times New Roman"/>
          <w:color w:val="auto"/>
          <w:spacing w:val="6"/>
          <w:sz w:val="24"/>
          <w:szCs w:val="24"/>
          <w:highlight w:val="none"/>
        </w:rPr>
      </w:pPr>
      <w:r>
        <w:rPr>
          <w:rFonts w:hint="default" w:ascii="Times New Roman" w:hAnsi="Times New Roman" w:eastAsia="宋体" w:cs="Times New Roman"/>
          <w:color w:val="auto"/>
          <w:spacing w:val="12"/>
          <w:sz w:val="24"/>
          <w:szCs w:val="24"/>
          <w:highlight w:val="none"/>
        </w:rPr>
        <w:t>根据拟</w:t>
      </w:r>
      <w:r>
        <w:rPr>
          <w:rFonts w:hint="default" w:ascii="Times New Roman" w:hAnsi="Times New Roman" w:eastAsia="宋体" w:cs="Times New Roman"/>
          <w:color w:val="auto"/>
          <w:spacing w:val="6"/>
          <w:sz w:val="24"/>
          <w:szCs w:val="24"/>
          <w:highlight w:val="none"/>
        </w:rPr>
        <w:t>建项目所在区域水文地质特征，确定地下水调查评价范围</w:t>
      </w:r>
      <w:r>
        <w:rPr>
          <w:rFonts w:hint="default" w:ascii="Times New Roman" w:hAnsi="Times New Roman" w:eastAsia="宋体" w:cs="Times New Roman"/>
          <w:color w:val="auto"/>
          <w:spacing w:val="6"/>
          <w:sz w:val="24"/>
          <w:szCs w:val="24"/>
          <w:highlight w:val="none"/>
          <w:lang w:val="en-US" w:eastAsia="zh-CN"/>
        </w:rPr>
        <w:t>以项目厂址为中心，沿地下水主径流方向上游外扩1.8km，下游外扩3.6km，侧向各1.8km的区域，模拟区面积约20.7km</w:t>
      </w:r>
      <w:r>
        <w:rPr>
          <w:rFonts w:hint="default" w:ascii="Times New Roman" w:hAnsi="Times New Roman" w:eastAsia="宋体" w:cs="Times New Roman"/>
          <w:color w:val="auto"/>
          <w:spacing w:val="6"/>
          <w:sz w:val="24"/>
          <w:szCs w:val="24"/>
          <w:highlight w:val="none"/>
          <w:vertAlign w:val="superscript"/>
          <w:lang w:val="en-US" w:eastAsia="zh-CN"/>
        </w:rPr>
        <w:t>2</w:t>
      </w:r>
      <w:r>
        <w:rPr>
          <w:rFonts w:hint="default" w:ascii="Times New Roman" w:hAnsi="Times New Roman" w:eastAsia="宋体" w:cs="Times New Roman"/>
          <w:color w:val="auto"/>
          <w:spacing w:val="6"/>
          <w:sz w:val="24"/>
          <w:szCs w:val="24"/>
          <w:highlight w:val="none"/>
        </w:rPr>
        <w:t>。</w:t>
      </w:r>
    </w:p>
    <w:p w14:paraId="39B49AA9">
      <w:pPr>
        <w:pageBreakBefore w:val="0"/>
        <w:widowControl w:val="0"/>
        <w:kinsoku/>
        <w:wordWrap/>
        <w:overflowPunct/>
        <w:topLinePunct w:val="0"/>
        <w:autoSpaceDE/>
        <w:autoSpaceDN/>
        <w:bidi w:val="0"/>
        <w:adjustRightInd/>
        <w:snapToGrid/>
        <w:spacing w:line="480" w:lineRule="exact"/>
        <w:ind w:right="0"/>
        <w:textAlignment w:val="auto"/>
        <w:outlineLvl w:val="4"/>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z w:val="24"/>
          <w:szCs w:val="24"/>
          <w:highlight w:val="none"/>
          <w:lang w:val="en-US" w:eastAsia="zh-CN"/>
        </w:rPr>
        <w:t>5.2.3</w:t>
      </w:r>
      <w:r>
        <w:rPr>
          <w:rFonts w:hint="default" w:ascii="Times New Roman" w:hAnsi="Times New Roman" w:eastAsia="宋体" w:cs="Times New Roman"/>
          <w:b/>
          <w:bCs/>
          <w:color w:val="auto"/>
          <w:sz w:val="24"/>
          <w:szCs w:val="24"/>
          <w:highlight w:val="none"/>
        </w:rPr>
        <w:t>.1</w:t>
      </w:r>
      <w:r>
        <w:rPr>
          <w:rFonts w:hint="default" w:ascii="Times New Roman" w:hAnsi="Times New Roman" w:eastAsia="宋体" w:cs="Times New Roman"/>
          <w:b/>
          <w:bCs/>
          <w:color w:val="auto"/>
          <w:sz w:val="24"/>
          <w:szCs w:val="24"/>
          <w:highlight w:val="none"/>
          <w:lang w:val="en-US" w:eastAsia="zh-CN"/>
        </w:rPr>
        <w:t>.1</w:t>
      </w:r>
      <w:r>
        <w:rPr>
          <w:rFonts w:hint="default" w:ascii="Times New Roman" w:hAnsi="Times New Roman" w:eastAsia="宋体" w:cs="Times New Roman"/>
          <w:b/>
          <w:bCs/>
          <w:color w:val="auto"/>
          <w:spacing w:val="4"/>
          <w:sz w:val="24"/>
          <w:szCs w:val="24"/>
          <w:highlight w:val="none"/>
        </w:rPr>
        <w:t>地</w:t>
      </w:r>
      <w:r>
        <w:rPr>
          <w:rFonts w:hint="default" w:ascii="Times New Roman" w:hAnsi="Times New Roman" w:eastAsia="宋体" w:cs="Times New Roman"/>
          <w:b/>
          <w:bCs/>
          <w:color w:val="auto"/>
          <w:spacing w:val="3"/>
          <w:sz w:val="24"/>
          <w:szCs w:val="24"/>
          <w:highlight w:val="none"/>
        </w:rPr>
        <w:t>层</w:t>
      </w:r>
    </w:p>
    <w:p w14:paraId="3D90F622">
      <w:pPr>
        <w:spacing w:line="480" w:lineRule="exact"/>
        <w:ind w:firstLine="480" w:firstLineChars="200"/>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区域内地表均为第四系地层，厚度约为500m，其下为第三系(R)，基底为中生界(Mz)地层。第四系地层主要为海陆相交互沉淀物，各层之间沉积连续，主要岩性为粘土、粉土、粉细砂、砂砾石及中、粗砂等。</w:t>
      </w:r>
    </w:p>
    <w:p w14:paraId="737CFA1B">
      <w:pPr>
        <w:spacing w:line="480" w:lineRule="exact"/>
        <w:ind w:firstLine="480" w:firstLineChars="200"/>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区域内第四系地层由老到新分别为：下更新系统(Q1)、中更新系统(Q2)、上更新系统(Q3)、全新统(Q4)。分述如下：</w:t>
      </w:r>
    </w:p>
    <w:p w14:paraId="6BE376B9">
      <w:pPr>
        <w:spacing w:line="480" w:lineRule="exact"/>
        <w:ind w:firstLine="480" w:firstLineChars="200"/>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（1）下更新系统(Q1)</w:t>
      </w:r>
    </w:p>
    <w:p w14:paraId="7BEEF88A">
      <w:pPr>
        <w:spacing w:line="480" w:lineRule="exact"/>
        <w:ind w:firstLine="480" w:firstLineChars="200"/>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为一套冲洪积及河湖相沉淀物，呈棕褐、黄褐棕黄色，以粉质粘土、粘土为主，结构致密，富含钙质结核和铁锰质结核。砂层以中砂、细砂为主，分选中等，磨圆较差。底界深度约500m。</w:t>
      </w:r>
    </w:p>
    <w:p w14:paraId="55676AA6">
      <w:pPr>
        <w:spacing w:line="480" w:lineRule="exact"/>
        <w:ind w:firstLine="480" w:firstLineChars="200"/>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（2）中更新系统(Q2)</w:t>
      </w:r>
    </w:p>
    <w:p w14:paraId="16FC1276">
      <w:pPr>
        <w:spacing w:line="480" w:lineRule="exact"/>
        <w:ind w:firstLine="480" w:firstLineChars="200"/>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为一套冲洪积、河湖相为主的沉淀物，颜色以棕褐、黄褐棕黄色为主，局部呈褐黄色。由粉质粘土、粉土夹细砂、中砂组成，含有较多的分散核、钙质结核、铁锰质结核、软体动物化石及碎片，见有明显的长石风化白点，砂层中偶见砾卵石，上段砂层中矿物成分石英颗粒占80%以上，石英珠状砂明显可见；下段砂层石英珠状砂消失，砂层中矿物成分长石、暗色矿物明显增加。底界埋深一般在300~400m。</w:t>
      </w:r>
    </w:p>
    <w:p w14:paraId="123B03A7">
      <w:pPr>
        <w:spacing w:line="480" w:lineRule="exact"/>
        <w:ind w:firstLine="480" w:firstLineChars="200"/>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（3）上更新系统(Q3)</w:t>
      </w:r>
    </w:p>
    <w:p w14:paraId="5250EE9F">
      <w:pPr>
        <w:spacing w:line="480" w:lineRule="exact"/>
        <w:ind w:firstLine="480" w:firstLineChars="200"/>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为一套冲积、洪积、冲积海积混合成因沉淀物。由粉质、粉质粘土夹细砂、细粉砂、中砂组成，以灰、黄灰、褐灰、灰黄色为主，间呈褐黄、棕黄色。含有较丰富软体、微体古生物化石及分散钙、钙质结核等，砂层中石英颗粒占80%以上，石英珠状砂明显可见；比较普遍夹有两个海相沉积层。底界埋深一般在120~160m。</w:t>
      </w:r>
    </w:p>
    <w:p w14:paraId="7F39870D">
      <w:pPr>
        <w:spacing w:line="480" w:lineRule="exact"/>
        <w:ind w:firstLine="480" w:firstLineChars="200"/>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（4）全新统(Q4)</w:t>
      </w:r>
    </w:p>
    <w:p w14:paraId="0AD09AE6">
      <w:pPr>
        <w:spacing w:line="480" w:lineRule="exact"/>
        <w:ind w:firstLine="480" w:firstLineChars="200"/>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为一套冲积为主夹湖沼、海相沉淀物。由灰色、黄灰色为主的粉土、粉质粘土、粉细砂组成，夹有淤泥质层或海相层，结构疏松。含有较丰富软体古生物化石。底界埋深一般在13~21m。</w:t>
      </w:r>
    </w:p>
    <w:p w14:paraId="5B42ED4C">
      <w:pPr>
        <w:pageBreakBefore w:val="0"/>
        <w:widowControl w:val="0"/>
        <w:kinsoku/>
        <w:wordWrap/>
        <w:overflowPunct/>
        <w:topLinePunct w:val="0"/>
        <w:autoSpaceDE/>
        <w:autoSpaceDN/>
        <w:bidi w:val="0"/>
        <w:adjustRightInd/>
        <w:snapToGrid/>
        <w:spacing w:line="480" w:lineRule="exact"/>
        <w:ind w:right="0"/>
        <w:textAlignment w:val="auto"/>
        <w:outlineLvl w:val="4"/>
        <w:rPr>
          <w:rFonts w:hint="default" w:ascii="Times New Roman" w:hAnsi="Times New Roman" w:eastAsia="宋体" w:cs="Times New Roman"/>
          <w:b/>
          <w:bCs/>
          <w:color w:val="auto"/>
          <w:sz w:val="24"/>
          <w:szCs w:val="24"/>
          <w:highlight w:val="none"/>
          <w:lang w:val="en-US" w:eastAsia="zh-CN"/>
        </w:rPr>
      </w:pPr>
      <w:r>
        <w:rPr>
          <w:rFonts w:hint="default" w:ascii="Times New Roman" w:hAnsi="Times New Roman" w:eastAsia="宋体" w:cs="Times New Roman"/>
          <w:b/>
          <w:bCs/>
          <w:color w:val="auto"/>
          <w:sz w:val="24"/>
          <w:szCs w:val="24"/>
          <w:highlight w:val="none"/>
          <w:lang w:val="en-US" w:eastAsia="zh-CN"/>
        </w:rPr>
        <w:t>5.2.3.1.2包气带</w:t>
      </w:r>
    </w:p>
    <w:p w14:paraId="00216B51">
      <w:pPr>
        <w:spacing w:line="480" w:lineRule="exact"/>
        <w:ind w:firstLine="480" w:firstLineChars="200"/>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评价区水文地质单元属滨海平原区，包气带岩性主要为粉质粘土。</w:t>
      </w:r>
    </w:p>
    <w:p w14:paraId="11F713EE">
      <w:pPr>
        <w:spacing w:line="480" w:lineRule="exact"/>
        <w:ind w:firstLine="480" w:firstLineChars="200"/>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包气带特征为：表层为素填土，岩性以粘土为主，厚度0.9-1.6m；下层为1.1-1.5m的粉质粘土层。总体来说评价区地表高程起伏不大，浅层地下水水位埋深在0.38～2.87m之间，包气带厚度较薄，包气带岩性主要以粉质粘土为主，包气带渗透系数由评价区北部向渤海方向呈逐渐降低趋势，评价区渗透系数范围为2.63×10</w:t>
      </w:r>
      <w:r>
        <w:rPr>
          <w:rFonts w:hint="default" w:ascii="Times New Roman" w:hAnsi="Times New Roman" w:eastAsia="宋体" w:cs="Times New Roman"/>
          <w:color w:val="000000" w:themeColor="text1"/>
          <w:sz w:val="24"/>
          <w:highlight w:val="none"/>
          <w:vertAlign w:val="superscript"/>
          <w:lang w:val="en-US" w:eastAsia="zh-CN"/>
          <w14:textFill>
            <w14:solidFill>
              <w14:schemeClr w14:val="tx1"/>
            </w14:solidFill>
          </w14:textFill>
        </w:rPr>
        <w:t>-6</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～1.15×10</w:t>
      </w:r>
      <w:r>
        <w:rPr>
          <w:rFonts w:hint="default" w:ascii="Times New Roman" w:hAnsi="Times New Roman" w:eastAsia="宋体" w:cs="Times New Roman"/>
          <w:color w:val="000000" w:themeColor="text1"/>
          <w:sz w:val="24"/>
          <w:highlight w:val="none"/>
          <w:vertAlign w:val="superscript"/>
          <w:lang w:val="en-US" w:eastAsia="zh-CN"/>
          <w14:textFill>
            <w14:solidFill>
              <w14:schemeClr w14:val="tx1"/>
            </w14:solidFill>
          </w14:textFill>
        </w:rPr>
        <w:t>-4</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cm/s</w:t>
      </w:r>
    </w:p>
    <w:p w14:paraId="27C98677">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5.2.3.2评价区水文地质条件</w:t>
      </w:r>
    </w:p>
    <w:p w14:paraId="2C0DA123">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评价区所属的华北滨海平原区，地下水类型主要为第四系松散岩类孔隙水。根据开发区含水层岩性，地下水赋存条件及水动力特征，区内主要分为4个含水层组，及第Ⅰ、Ⅱ、Ⅲ、Ⅳ含水组，其中Ⅰ+Ⅱ含水组为第四系孔隙潜水，为浅层水；第Ⅲ和Ⅳ含水组为第四系承压水，为深层水。第Ⅲ含水层组埋深一般200m以下，是目前深层承压水主要开采层，第Ⅳ含水层组底界一般在400m以下。</w:t>
      </w:r>
    </w:p>
    <w:p w14:paraId="5B111EF1">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含水组</w:t>
      </w:r>
    </w:p>
    <w:p w14:paraId="482038AA">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从区域上看，第四系松散岩类孔隙水按地下水埋藏条件可划分为浅层水和深层水，按地下水水力性质可划分为潜水和承压水。根据第四纪沉积物岩性及水文地质特征，将区域第四系含水层系自上而下划分为四个含水层组，即第Ⅰ、Ⅱ、Ⅲ、Ⅳ含水组，地质时代分别相当于Q4、Q3、Q2和Q1，各含水组在垂直方向上均有大于5m的粉土、粉质粘土或粘土相隔，无明显的水力联系。</w:t>
      </w:r>
    </w:p>
    <w:p w14:paraId="5799052A">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①第I含水层组</w:t>
      </w:r>
    </w:p>
    <w:p w14:paraId="50069BB0">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在滨海平原水文地质区(Ⅱ)含水岩性以粉砂、细砂为主，厚度小于10m或10～20m，含水层之上和含水层之间，多为粉土层，单位涌水量小于2.5</w:t>
      </w:r>
      <w:r>
        <w:rPr>
          <w:rFonts w:hint="eastAsia" w:cs="Times New Roman"/>
          <w:color w:val="000000" w:themeColor="text1"/>
          <w:sz w:val="24"/>
          <w:highlight w:val="none"/>
          <w:lang w:val="en-US" w:eastAsia="zh-CN"/>
          <w14:textFill>
            <w14:solidFill>
              <w14:schemeClr w14:val="tx1"/>
            </w14:solidFill>
          </w14:textFill>
        </w:rPr>
        <w:t>m</w:t>
      </w:r>
      <w:r>
        <w:rPr>
          <w:rFonts w:hint="default" w:ascii="Times New Roman" w:hAnsi="Times New Roman" w:eastAsia="宋体" w:cs="Times New Roman"/>
          <w:color w:val="000000" w:themeColor="text1"/>
          <w:sz w:val="24"/>
          <w:highlight w:val="none"/>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/h・m。大气降水补给条件较好，但由于受潜水蒸发和海侵影响，其水质基本上为大于5gL的高矿化氯化钠型水。</w:t>
      </w:r>
    </w:p>
    <w:p w14:paraId="424A9A31">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②第Ⅱ含水层组</w:t>
      </w:r>
    </w:p>
    <w:p w14:paraId="5DC9EDB7">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在滨海平原水文地质区(Ⅱ)由于受晚更新世以来的海侵影响，海积层约占第Ⅱ含水层组厚度的1/3～1/4。含水层以薄层细砂、粉砂为主，含水层组之间多为粘士，透水性与富水性均弱，单位涌水量5～20m</w:t>
      </w:r>
      <w:r>
        <w:rPr>
          <w:rFonts w:hint="default" w:ascii="Times New Roman" w:hAnsi="Times New Roman" w:eastAsia="宋体" w:cs="Times New Roman"/>
          <w:color w:val="000000" w:themeColor="text1"/>
          <w:sz w:val="24"/>
          <w:highlight w:val="none"/>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/h・m，补给条件很差，地下水径流缓慢，因此，该组大部分地下水为氯化物-钠型高矿化咸水。</w:t>
      </w:r>
    </w:p>
    <w:p w14:paraId="31911DB4">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③第Ⅲ含水层组</w:t>
      </w:r>
    </w:p>
    <w:p w14:paraId="268DE357">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在滨海平原水文地质区(Ⅱ)含水层以细砂、粉砂为主，富水性、渗透性及补给条件较差，单位涌水量10～20m</w:t>
      </w:r>
      <w:r>
        <w:rPr>
          <w:rFonts w:hint="default" w:ascii="Times New Roman" w:hAnsi="Times New Roman" w:eastAsia="宋体" w:cs="Times New Roman"/>
          <w:color w:val="000000" w:themeColor="text1"/>
          <w:sz w:val="24"/>
          <w:highlight w:val="none"/>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/h・m，局部小于10</w:t>
      </w:r>
      <w:r>
        <w:rPr>
          <w:rFonts w:hint="eastAsia" w:cs="Times New Roman"/>
          <w:color w:val="000000" w:themeColor="text1"/>
          <w:sz w:val="24"/>
          <w:highlight w:val="none"/>
          <w:lang w:val="en-US" w:eastAsia="zh-CN"/>
          <w14:textFill>
            <w14:solidFill>
              <w14:schemeClr w14:val="tx1"/>
            </w14:solidFill>
          </w14:textFill>
        </w:rPr>
        <w:t>m</w:t>
      </w:r>
      <w:r>
        <w:rPr>
          <w:rFonts w:hint="eastAsia" w:cs="Times New Roman"/>
          <w:color w:val="000000" w:themeColor="text1"/>
          <w:sz w:val="24"/>
          <w:highlight w:val="none"/>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/d。</w:t>
      </w:r>
    </w:p>
    <w:p w14:paraId="00882B2B">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④第Ⅳ含水层组</w:t>
      </w:r>
    </w:p>
    <w:p w14:paraId="391C4BEB">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在滨海平原水文地质区(Ⅱ)含水层以中细砂、细砂为主，由厚层粘土、粉质粘土与含水岩层交替沉积，风化与胶结程度较高，透水性与富水性均较弱。由于上覆层与含水层组之间为厚层粘土与粉质粘土，又远离补给区，故侧向径流微弱单位涌水量5～10m</w:t>
      </w:r>
      <w:r>
        <w:rPr>
          <w:rFonts w:hint="default" w:ascii="Times New Roman" w:hAnsi="Times New Roman" w:eastAsia="宋体" w:cs="Times New Roman"/>
          <w:color w:val="000000" w:themeColor="text1"/>
          <w:sz w:val="24"/>
          <w:highlight w:val="none"/>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/h·m。</w:t>
      </w:r>
    </w:p>
    <w:p w14:paraId="3AC7F3EF">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对于调查评价区而言，第1含水层组底界埋深约30m；第Ⅱ含水层组底界埋深150m；第Ⅲ含水层组底界埋深41m；第Ⅳ含水层组底界埋深则大于560m。</w:t>
      </w:r>
    </w:p>
    <w:p w14:paraId="1819A75D">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隔水层</w:t>
      </w:r>
    </w:p>
    <w:p w14:paraId="24DACE16">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第Ⅰ、Ⅱ、Ⅲ、Ⅳ含水组，各含水组在垂直方向上有大于5m的粉土、粉质粘土或粘土相隔，但Ⅰ、Ⅱ含水组之间的粉质黏土层不稳定，再加上含水层的混合利用、开采井深度不一，因而早已被开采所沟通，具有不同程度的水力联系。</w:t>
      </w:r>
    </w:p>
    <w:p w14:paraId="1BB576F9">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Ⅱ、Ⅲ含水组之间有一层粉质黏土层，厚度大于10m，稳定且连续，无明显水力联系，下部Ⅲ含水组为深层承压水含水组。</w:t>
      </w:r>
    </w:p>
    <w:p w14:paraId="4E2AFEEE">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地下水的补径排条件</w:t>
      </w:r>
    </w:p>
    <w:p w14:paraId="0365BB82">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①地下水补给条件</w:t>
      </w:r>
    </w:p>
    <w:p w14:paraId="70482713">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评价区第Ⅰ、Ⅱ含水组接受大气降水入渗补给、地下水侧向径流补给、河道渗漏补给及农田灌溉回归补给，以大气降水入渗与侧向径流补给为主，第Ⅲ含水组主要接受侧向径流补给和第Ⅱ含水组的越流补给。</w:t>
      </w:r>
    </w:p>
    <w:p w14:paraId="75E4C357">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②地下水径流条件</w:t>
      </w:r>
    </w:p>
    <w:p w14:paraId="594EF077">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评价区内区第Ⅰ、Ⅱ含水组的含水层颗粒较细，水位受海水潮汐影响，地下水以垂直运动为主，径流缓慢，流向由北向南。第Ⅲ含水组地下水流向受季节和人工开采影响而变化。</w:t>
      </w:r>
    </w:p>
    <w:p w14:paraId="5BDE5D0A">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③地下水排泄条件</w:t>
      </w:r>
    </w:p>
    <w:p w14:paraId="0A175178">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zh-CN"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评价区内区第Ⅰ、Ⅱ含水组地下水主要排泄方式为蒸发。第Ⅲ含水组地下水的排泄方式主要为生活开采、工农业生产开发用水及侧向径流排泄。</w:t>
      </w:r>
    </w:p>
    <w:p w14:paraId="200EFA00">
      <w:pPr>
        <w:keepNext w:val="0"/>
        <w:keepLines w:val="0"/>
        <w:pageBreakBefore w:val="0"/>
        <w:widowControl w:val="0"/>
        <w:kinsoku/>
        <w:wordWrap/>
        <w:overflowPunct/>
        <w:topLinePunct w:val="0"/>
        <w:autoSpaceDE/>
        <w:autoSpaceDN/>
        <w:bidi w:val="0"/>
        <w:adjustRightInd w:val="0"/>
        <w:snapToGrid w:val="0"/>
        <w:spacing w:before="0" w:after="0" w:line="360" w:lineRule="auto"/>
        <w:ind w:right="0" w:rightChars="0" w:firstLine="0" w:firstLineChars="0"/>
        <w:jc w:val="both"/>
        <w:textAlignment w:val="auto"/>
        <w:rPr>
          <w:rFonts w:hint="default" w:ascii="Times New Roman" w:hAnsi="Times New Roman" w:eastAsia="宋体" w:cs="Times New Roman"/>
          <w:snapToGrid/>
          <w:color w:val="auto"/>
          <w:spacing w:val="0"/>
          <w:kern w:val="0"/>
          <w:sz w:val="24"/>
          <w:szCs w:val="22"/>
          <w:highlight w:val="none"/>
          <w:lang w:val="zh-CN" w:eastAsia="zh-CN" w:bidi="ar-SA"/>
        </w:rPr>
      </w:pPr>
      <w:r>
        <w:rPr>
          <w:rFonts w:hint="default" w:ascii="Times New Roman" w:hAnsi="Times New Roman" w:eastAsia="宋体" w:cs="Times New Roman"/>
          <w:snapToGrid/>
          <w:color w:val="auto"/>
          <w:spacing w:val="0"/>
          <w:kern w:val="0"/>
          <w:sz w:val="24"/>
          <w:szCs w:val="22"/>
          <w:highlight w:val="none"/>
          <w:lang w:val="zh-CN" w:eastAsia="zh-CN" w:bidi="ar-SA"/>
        </w:rPr>
        <w:drawing>
          <wp:inline distT="0" distB="0" distL="114300" distR="114300">
            <wp:extent cx="5269865" cy="3848735"/>
            <wp:effectExtent l="0" t="0" r="6985" b="18415"/>
            <wp:docPr id="77" name="图片 77" descr="faf0b61d6ba4b2061efc65926f4f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faf0b61d6ba4b2061efc65926f4f131"/>
                    <pic:cNvPicPr>
                      <a:picLocks noChangeAspect="1"/>
                    </pic:cNvPicPr>
                  </pic:nvPicPr>
                  <pic:blipFill>
                    <a:blip r:embed="rId74"/>
                    <a:stretch>
                      <a:fillRect/>
                    </a:stretch>
                  </pic:blipFill>
                  <pic:spPr>
                    <a:xfrm>
                      <a:off x="0" y="0"/>
                      <a:ext cx="5269865" cy="3848735"/>
                    </a:xfrm>
                    <a:prstGeom prst="rect">
                      <a:avLst/>
                    </a:prstGeom>
                  </pic:spPr>
                </pic:pic>
              </a:graphicData>
            </a:graphic>
          </wp:inline>
        </w:drawing>
      </w:r>
    </w:p>
    <w:p w14:paraId="16575C0E">
      <w:pPr>
        <w:keepNext w:val="0"/>
        <w:keepLines w:val="0"/>
        <w:pageBreakBefore w:val="0"/>
        <w:widowControl w:val="0"/>
        <w:numPr>
          <w:ilvl w:val="0"/>
          <w:numId w:val="35"/>
        </w:numPr>
        <w:kinsoku/>
        <w:wordWrap/>
        <w:overflowPunct/>
        <w:topLinePunct w:val="0"/>
        <w:autoSpaceDE/>
        <w:autoSpaceDN/>
        <w:bidi w:val="0"/>
        <w:adjustRightInd/>
        <w:snapToGrid/>
        <w:ind w:left="425" w:leftChars="0" w:hanging="425" w:firstLineChars="0"/>
        <w:jc w:val="center"/>
        <w:textAlignment w:val="auto"/>
        <w:rPr>
          <w:rFonts w:hint="default" w:ascii="Times New Roman" w:hAnsi="Times New Roman" w:eastAsia="宋体" w:cs="Times New Roman"/>
          <w:b/>
          <w:bCs/>
          <w:color w:val="000000" w:themeColor="text1"/>
          <w:sz w:val="24"/>
          <w:szCs w:val="24"/>
          <w:highlight w:val="none"/>
          <w:lang w:val="zh-CN"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区域浅层水文</w:t>
      </w:r>
      <w:r>
        <w:rPr>
          <w:rFonts w:hint="default" w:ascii="Times New Roman" w:hAnsi="Times New Roman" w:eastAsia="宋体" w:cs="Times New Roman"/>
          <w:b/>
          <w:bCs/>
          <w:color w:val="000000" w:themeColor="text1"/>
          <w:sz w:val="24"/>
          <w:szCs w:val="24"/>
          <w:highlight w:val="none"/>
          <w:lang w:val="zh-CN" w:eastAsia="zh-CN"/>
          <w14:textFill>
            <w14:solidFill>
              <w14:schemeClr w14:val="tx1"/>
            </w14:solidFill>
          </w14:textFill>
        </w:rPr>
        <w:t>地质图</w:t>
      </w:r>
    </w:p>
    <w:p w14:paraId="6E2F4A35">
      <w:pPr>
        <w:pStyle w:val="63"/>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textAlignment w:val="baseline"/>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drawing>
          <wp:inline distT="0" distB="0" distL="114300" distR="114300">
            <wp:extent cx="5267325" cy="3949065"/>
            <wp:effectExtent l="0" t="0" r="9525" b="13335"/>
            <wp:docPr id="78" name="图片 78" descr="ed7d01d5d007d3edb4a52235d83d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ed7d01d5d007d3edb4a52235d83d334"/>
                    <pic:cNvPicPr>
                      <a:picLocks noChangeAspect="1"/>
                    </pic:cNvPicPr>
                  </pic:nvPicPr>
                  <pic:blipFill>
                    <a:blip r:embed="rId75"/>
                    <a:stretch>
                      <a:fillRect/>
                    </a:stretch>
                  </pic:blipFill>
                  <pic:spPr>
                    <a:xfrm>
                      <a:off x="0" y="0"/>
                      <a:ext cx="5267325" cy="3949065"/>
                    </a:xfrm>
                    <a:prstGeom prst="rect">
                      <a:avLst/>
                    </a:prstGeom>
                  </pic:spPr>
                </pic:pic>
              </a:graphicData>
            </a:graphic>
          </wp:inline>
        </w:drawing>
      </w:r>
    </w:p>
    <w:p w14:paraId="5830F7D1">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zh-CN" w:eastAsia="zh-CN"/>
          <w14:textFill>
            <w14:solidFill>
              <w14:schemeClr w14:val="tx1"/>
            </w14:solidFill>
          </w14:textFill>
        </w:rPr>
      </w:pPr>
      <w:bookmarkStart w:id="316" w:name="OLE_LINK51"/>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区域深层水文</w:t>
      </w:r>
      <w:r>
        <w:rPr>
          <w:rFonts w:hint="default" w:ascii="Times New Roman" w:hAnsi="Times New Roman" w:eastAsia="宋体" w:cs="Times New Roman"/>
          <w:b/>
          <w:bCs/>
          <w:color w:val="000000" w:themeColor="text1"/>
          <w:sz w:val="24"/>
          <w:szCs w:val="24"/>
          <w:highlight w:val="none"/>
          <w:lang w:val="zh-CN" w:eastAsia="zh-CN"/>
          <w14:textFill>
            <w14:solidFill>
              <w14:schemeClr w14:val="tx1"/>
            </w14:solidFill>
          </w14:textFill>
        </w:rPr>
        <w:t>地质图</w:t>
      </w:r>
      <w:bookmarkEnd w:id="316"/>
    </w:p>
    <w:p w14:paraId="23BA3577">
      <w:pPr>
        <w:numPr>
          <w:ilvl w:val="0"/>
          <w:numId w:val="36"/>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zh-CN" w:eastAsia="zh-CN"/>
          <w14:textFill>
            <w14:solidFill>
              <w14:schemeClr w14:val="tx1"/>
            </w14:solidFill>
          </w14:textFill>
        </w:rPr>
        <w:sectPr>
          <w:pgSz w:w="11906" w:h="16838"/>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p>
    <w:p w14:paraId="06664D7B">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p>
    <w:p w14:paraId="4F96E6B8">
      <w:pPr>
        <w:keepNext w:val="0"/>
        <w:keepLines w:val="0"/>
        <w:pageBreakBefore w:val="0"/>
        <w:widowControl w:val="0"/>
        <w:kinsoku/>
        <w:wordWrap/>
        <w:overflowPunct/>
        <w:topLinePunct w:val="0"/>
        <w:autoSpaceDE/>
        <w:autoSpaceDN/>
        <w:bidi w:val="0"/>
        <w:adjustRightInd/>
        <w:snapToGrid/>
        <w:spacing w:line="240" w:lineRule="auto"/>
        <w:ind w:firstLine="392" w:firstLineChars="196"/>
        <w:textAlignment w:val="auto"/>
        <w:rPr>
          <w:rFonts w:hint="default" w:ascii="Times New Roman" w:hAnsi="Times New Roman" w:eastAsia="宋体" w:cs="Times New Roman"/>
          <w:sz w:val="20"/>
          <w:highlight w:val="none"/>
        </w:rPr>
      </w:pPr>
      <w:r>
        <w:rPr>
          <w:rFonts w:hint="default" w:ascii="Times New Roman" w:hAnsi="Times New Roman" w:eastAsia="宋体" w:cs="Times New Roman"/>
          <w:sz w:val="20"/>
          <w:highlight w:val="none"/>
        </w:rPr>
        <w:drawing>
          <wp:inline distT="0" distB="0" distL="114300" distR="114300">
            <wp:extent cx="8034020" cy="4937760"/>
            <wp:effectExtent l="0" t="0" r="5080" b="15240"/>
            <wp:docPr id="6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2"/>
                    <pic:cNvPicPr>
                      <a:picLocks noChangeAspect="1"/>
                    </pic:cNvPicPr>
                  </pic:nvPicPr>
                  <pic:blipFill>
                    <a:blip r:embed="rId76"/>
                    <a:srcRect t="1100"/>
                    <a:stretch>
                      <a:fillRect/>
                    </a:stretch>
                  </pic:blipFill>
                  <pic:spPr>
                    <a:xfrm>
                      <a:off x="0" y="0"/>
                      <a:ext cx="8034020" cy="4937760"/>
                    </a:xfrm>
                    <a:prstGeom prst="rect">
                      <a:avLst/>
                    </a:prstGeom>
                    <a:noFill/>
                    <a:ln>
                      <a:noFill/>
                    </a:ln>
                  </pic:spPr>
                </pic:pic>
              </a:graphicData>
            </a:graphic>
          </wp:inline>
        </w:drawing>
      </w:r>
    </w:p>
    <w:p w14:paraId="146D6AC1">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sectPr>
          <w:headerReference r:id="rId22" w:type="default"/>
          <w:footerReference r:id="rId23" w:type="default"/>
          <w:pgSz w:w="16838" w:h="11906" w:orient="landscape"/>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区域Ｉ～Ｉ＇水文</w:t>
      </w:r>
      <w:r>
        <w:rPr>
          <w:rFonts w:hint="default" w:ascii="Times New Roman" w:hAnsi="Times New Roman" w:eastAsia="宋体" w:cs="Times New Roman"/>
          <w:b/>
          <w:bCs/>
          <w:color w:val="000000" w:themeColor="text1"/>
          <w:sz w:val="24"/>
          <w:szCs w:val="24"/>
          <w:highlight w:val="none"/>
          <w:lang w:val="zh-CN" w:eastAsia="zh-CN"/>
          <w14:textFill>
            <w14:solidFill>
              <w14:schemeClr w14:val="tx1"/>
            </w14:solidFill>
          </w14:textFill>
        </w:rPr>
        <w:t>地质</w:t>
      </w: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剖面</w:t>
      </w:r>
      <w:r>
        <w:rPr>
          <w:rFonts w:hint="default" w:ascii="Times New Roman" w:hAnsi="Times New Roman" w:eastAsia="宋体" w:cs="Times New Roman"/>
          <w:b/>
          <w:bCs/>
          <w:color w:val="000000" w:themeColor="text1"/>
          <w:sz w:val="24"/>
          <w:szCs w:val="24"/>
          <w:highlight w:val="none"/>
          <w:lang w:val="zh-CN" w:eastAsia="zh-CN"/>
          <w14:textFill>
            <w14:solidFill>
              <w14:schemeClr w14:val="tx1"/>
            </w14:solidFill>
          </w14:textFill>
        </w:rPr>
        <w:t>图</w:t>
      </w:r>
    </w:p>
    <w:p w14:paraId="33ABAC8F">
      <w:pPr>
        <w:keepNext w:val="0"/>
        <w:keepLines w:val="0"/>
        <w:pageBreakBefore w:val="0"/>
        <w:widowControl w:val="0"/>
        <w:kinsoku/>
        <w:wordWrap/>
        <w:overflowPunct/>
        <w:topLinePunct w:val="0"/>
        <w:autoSpaceDE/>
        <w:autoSpaceDN/>
        <w:bidi w:val="0"/>
        <w:adjustRightInd/>
        <w:snapToGrid/>
        <w:spacing w:line="240" w:lineRule="auto"/>
        <w:ind w:firstLine="392" w:firstLineChars="196"/>
        <w:textAlignment w:val="auto"/>
        <w:rPr>
          <w:rFonts w:hint="default" w:ascii="Times New Roman" w:hAnsi="Times New Roman" w:eastAsia="宋体" w:cs="Times New Roman"/>
          <w:sz w:val="20"/>
          <w:highlight w:val="none"/>
        </w:rPr>
      </w:pPr>
      <w:r>
        <w:rPr>
          <w:rFonts w:hint="default" w:ascii="Times New Roman" w:hAnsi="Times New Roman" w:eastAsia="宋体" w:cs="Times New Roman"/>
          <w:sz w:val="20"/>
          <w:highlight w:val="none"/>
        </w:rPr>
        <w:drawing>
          <wp:inline distT="0" distB="0" distL="114300" distR="114300">
            <wp:extent cx="5360670" cy="8228965"/>
            <wp:effectExtent l="0" t="0" r="11430" b="635"/>
            <wp:docPr id="6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3"/>
                    <pic:cNvPicPr>
                      <a:picLocks noChangeAspect="1"/>
                    </pic:cNvPicPr>
                  </pic:nvPicPr>
                  <pic:blipFill>
                    <a:blip r:embed="rId77"/>
                    <a:stretch>
                      <a:fillRect/>
                    </a:stretch>
                  </pic:blipFill>
                  <pic:spPr>
                    <a:xfrm>
                      <a:off x="0" y="0"/>
                      <a:ext cx="5360670" cy="8228965"/>
                    </a:xfrm>
                    <a:prstGeom prst="rect">
                      <a:avLst/>
                    </a:prstGeom>
                    <a:noFill/>
                    <a:ln>
                      <a:noFill/>
                    </a:ln>
                  </pic:spPr>
                </pic:pic>
              </a:graphicData>
            </a:graphic>
          </wp:inline>
        </w:drawing>
      </w:r>
    </w:p>
    <w:p w14:paraId="32E14D5E">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　区域综合水文地质柱状图</w:t>
      </w:r>
    </w:p>
    <w:p w14:paraId="4E6CC714">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5.2.3.3地下水的动态变化特征</w:t>
      </w:r>
    </w:p>
    <w:p w14:paraId="1E61B61A">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浅层水动态特征</w:t>
      </w:r>
    </w:p>
    <w:p w14:paraId="46A72BF6">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调查范围内浅层水为咸水，不具有供水意义，调查范围外北部的浅层水井。潜水主要为农田灌溉用水，开采层位5-40m，其水位变化特征受到降水和人工开采双重影响。一般特征是：每年10月至翌年1月，降雨稀少，居民生活用水消耗地下水，水位缓慢下降；12月-1月出现低水位期，3-6月受农灌抽水影响，水位有所下降；6月以后随着降雨增多和附近农田漫灌入渗量补给潜水，水位有所恢复。</w:t>
      </w:r>
    </w:p>
    <w:p w14:paraId="28CA49DA">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深层地下水动态特征</w:t>
      </w:r>
    </w:p>
    <w:p w14:paraId="119D6AC2">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区域内深层承压水主要提供城镇居民生活用水和工厂企业，开采层位多为200m以下。因其开采层位较深，浅层地下水和降雨无法直接补给，水位变化特征属于开采-径流动态补给型。一般特征是每年10月至翌年3月，开采量减小，侧向补给量大于开采量，水位缓慢上升；3月-8月因开采增加，水位逐渐下降，但下降的幅度主要受到开采量的影响，若开采量没有明显变化则水位基本保持不变，若开采量增加较快且持续时间较长，则地下水位迅速下降，并且很难恢复至年初水平，多年动态总体特征是地下水位持续性下降，这主要是近二十年来逐年加剧的超采地下水的结果。</w:t>
      </w:r>
    </w:p>
    <w:p w14:paraId="05CFAE85">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5.2.3.4地下水流场特征</w:t>
      </w:r>
    </w:p>
    <w:p w14:paraId="65AC92BC">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(1)潜水</w:t>
      </w:r>
    </w:p>
    <w:p w14:paraId="433DC359">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为了解本调查评价区潜水水位及补径排特征，分别于2023年10月、2024年5月，在调査评价区内对1</w:t>
      </w:r>
      <w:r>
        <w:rPr>
          <w:rFonts w:hint="eastAsia" w:cs="Times New Roman"/>
          <w:color w:val="000000" w:themeColor="text1"/>
          <w:sz w:val="24"/>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眼潜水井进行了两期水位统测(表5.2-19)，根据统测结果，绘制了潜水水位标高等值线(见图5.2-11、5.2-12)。</w:t>
      </w:r>
    </w:p>
    <w:p w14:paraId="507EC7FD">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lang w:val="en-US" w:eastAsia="zh-CN"/>
        </w:rPr>
      </w:pPr>
      <w:r>
        <w:rPr>
          <w:rFonts w:hint="default" w:ascii="Times New Roman" w:hAnsi="Times New Roman" w:eastAsia="宋体" w:cs="Times New Roman"/>
          <w:b/>
          <w:bCs/>
          <w:color w:val="auto"/>
          <w:sz w:val="24"/>
          <w:highlight w:val="none"/>
          <w:lang w:val="en-US" w:eastAsia="zh-CN"/>
        </w:rPr>
        <w:t>调查评价区两期潜水水位统测结果一览表</w:t>
      </w:r>
    </w:p>
    <w:tbl>
      <w:tblPr>
        <w:tblStyle w:val="47"/>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28" w:type="dxa"/>
          <w:bottom w:w="0" w:type="dxa"/>
          <w:right w:w="28" w:type="dxa"/>
        </w:tblCellMar>
      </w:tblPr>
      <w:tblGrid>
        <w:gridCol w:w="450"/>
        <w:gridCol w:w="450"/>
        <w:gridCol w:w="1704"/>
        <w:gridCol w:w="724"/>
        <w:gridCol w:w="767"/>
        <w:gridCol w:w="1015"/>
        <w:gridCol w:w="883"/>
        <w:gridCol w:w="943"/>
        <w:gridCol w:w="886"/>
        <w:gridCol w:w="660"/>
      </w:tblGrid>
      <w:tr w14:paraId="05DD87C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50" w:type="dxa"/>
            <w:vMerge w:val="restart"/>
            <w:noWrap w:val="0"/>
            <w:tcMar>
              <w:top w:w="15" w:type="dxa"/>
              <w:left w:w="15" w:type="dxa"/>
              <w:right w:w="15" w:type="dxa"/>
            </w:tcMar>
            <w:vAlign w:val="center"/>
          </w:tcPr>
          <w:p w14:paraId="3476A941">
            <w:pPr>
              <w:pStyle w:val="58"/>
              <w:bidi w:val="0"/>
              <w:rPr>
                <w:rFonts w:hint="default"/>
                <w:highlight w:val="none"/>
                <w:lang w:val="en-US" w:eastAsia="zh-CN"/>
              </w:rPr>
            </w:pPr>
            <w:r>
              <w:rPr>
                <w:rFonts w:hint="default"/>
                <w:highlight w:val="none"/>
                <w:lang w:val="en-US" w:eastAsia="zh-CN"/>
              </w:rPr>
              <w:t>序号</w:t>
            </w:r>
          </w:p>
        </w:tc>
        <w:tc>
          <w:tcPr>
            <w:tcW w:w="450" w:type="dxa"/>
            <w:vMerge w:val="restart"/>
            <w:noWrap w:val="0"/>
            <w:tcMar>
              <w:top w:w="15" w:type="dxa"/>
              <w:left w:w="15" w:type="dxa"/>
              <w:right w:w="15" w:type="dxa"/>
            </w:tcMar>
            <w:vAlign w:val="center"/>
          </w:tcPr>
          <w:p w14:paraId="61F33ECF">
            <w:pPr>
              <w:pStyle w:val="58"/>
              <w:bidi w:val="0"/>
              <w:rPr>
                <w:rFonts w:hint="default"/>
                <w:highlight w:val="none"/>
                <w:lang w:val="en-US" w:eastAsia="zh-CN"/>
              </w:rPr>
            </w:pPr>
            <w:r>
              <w:rPr>
                <w:rFonts w:hint="default"/>
                <w:highlight w:val="none"/>
                <w:lang w:val="en-US" w:eastAsia="zh-CN"/>
              </w:rPr>
              <w:t>编号</w:t>
            </w:r>
          </w:p>
        </w:tc>
        <w:tc>
          <w:tcPr>
            <w:tcW w:w="1704" w:type="dxa"/>
            <w:vMerge w:val="restart"/>
            <w:noWrap w:val="0"/>
            <w:tcMar>
              <w:top w:w="15" w:type="dxa"/>
              <w:left w:w="15" w:type="dxa"/>
              <w:right w:w="15" w:type="dxa"/>
            </w:tcMar>
            <w:vAlign w:val="center"/>
          </w:tcPr>
          <w:p w14:paraId="434B0D7F">
            <w:pPr>
              <w:pStyle w:val="58"/>
              <w:bidi w:val="0"/>
              <w:rPr>
                <w:rFonts w:hint="default"/>
                <w:highlight w:val="none"/>
                <w:lang w:val="en-US" w:eastAsia="zh-CN"/>
              </w:rPr>
            </w:pPr>
            <w:r>
              <w:rPr>
                <w:rFonts w:hint="default"/>
                <w:highlight w:val="none"/>
                <w:lang w:val="en-US" w:eastAsia="zh-CN"/>
              </w:rPr>
              <w:t>位置</w:t>
            </w:r>
          </w:p>
        </w:tc>
        <w:tc>
          <w:tcPr>
            <w:tcW w:w="724" w:type="dxa"/>
            <w:vMerge w:val="restart"/>
            <w:noWrap w:val="0"/>
            <w:tcMar>
              <w:top w:w="15" w:type="dxa"/>
              <w:left w:w="15" w:type="dxa"/>
              <w:right w:w="15" w:type="dxa"/>
            </w:tcMar>
            <w:vAlign w:val="center"/>
          </w:tcPr>
          <w:p w14:paraId="5700C15B">
            <w:pPr>
              <w:pStyle w:val="58"/>
              <w:bidi w:val="0"/>
              <w:rPr>
                <w:rFonts w:hint="default"/>
                <w:highlight w:val="none"/>
                <w:lang w:val="en-US" w:eastAsia="zh-CN"/>
              </w:rPr>
            </w:pPr>
            <w:r>
              <w:rPr>
                <w:rFonts w:hint="default"/>
                <w:highlight w:val="none"/>
                <w:lang w:val="en-US" w:eastAsia="zh-CN"/>
              </w:rPr>
              <w:t>井深(m)</w:t>
            </w:r>
          </w:p>
        </w:tc>
        <w:tc>
          <w:tcPr>
            <w:tcW w:w="767" w:type="dxa"/>
            <w:vMerge w:val="restart"/>
            <w:noWrap w:val="0"/>
            <w:tcMar>
              <w:top w:w="15" w:type="dxa"/>
              <w:left w:w="15" w:type="dxa"/>
              <w:right w:w="15" w:type="dxa"/>
            </w:tcMar>
            <w:vAlign w:val="center"/>
          </w:tcPr>
          <w:p w14:paraId="37BFDCD9">
            <w:pPr>
              <w:pStyle w:val="58"/>
              <w:bidi w:val="0"/>
              <w:rPr>
                <w:rFonts w:hint="default"/>
                <w:highlight w:val="none"/>
                <w:lang w:val="en-US" w:eastAsia="zh-CN"/>
              </w:rPr>
            </w:pPr>
            <w:r>
              <w:rPr>
                <w:rFonts w:hint="default"/>
                <w:highlight w:val="none"/>
                <w:lang w:val="en-US" w:eastAsia="zh-CN"/>
              </w:rPr>
              <w:t>地面高程(m)</w:t>
            </w:r>
          </w:p>
        </w:tc>
        <w:tc>
          <w:tcPr>
            <w:tcW w:w="1898" w:type="dxa"/>
            <w:gridSpan w:val="2"/>
            <w:noWrap/>
            <w:tcMar>
              <w:top w:w="15" w:type="dxa"/>
              <w:left w:w="15" w:type="dxa"/>
              <w:right w:w="15" w:type="dxa"/>
            </w:tcMar>
            <w:vAlign w:val="center"/>
          </w:tcPr>
          <w:p w14:paraId="25194B24">
            <w:pPr>
              <w:pStyle w:val="58"/>
              <w:bidi w:val="0"/>
              <w:rPr>
                <w:rFonts w:hint="default"/>
                <w:highlight w:val="none"/>
                <w:lang w:val="en-US" w:eastAsia="zh-CN"/>
              </w:rPr>
            </w:pPr>
            <w:r>
              <w:rPr>
                <w:rFonts w:hint="default"/>
                <w:highlight w:val="none"/>
                <w:lang w:val="en-US" w:eastAsia="zh-CN"/>
              </w:rPr>
              <w:t>2023年10月统测</w:t>
            </w:r>
          </w:p>
        </w:tc>
        <w:tc>
          <w:tcPr>
            <w:tcW w:w="1829" w:type="dxa"/>
            <w:gridSpan w:val="2"/>
            <w:noWrap/>
            <w:tcMar>
              <w:top w:w="15" w:type="dxa"/>
              <w:left w:w="15" w:type="dxa"/>
              <w:right w:w="15" w:type="dxa"/>
            </w:tcMar>
            <w:vAlign w:val="center"/>
          </w:tcPr>
          <w:p w14:paraId="7CF2EFCD">
            <w:pPr>
              <w:pStyle w:val="58"/>
              <w:bidi w:val="0"/>
              <w:rPr>
                <w:rFonts w:hint="default"/>
                <w:highlight w:val="none"/>
                <w:lang w:val="en-US" w:eastAsia="zh-CN"/>
              </w:rPr>
            </w:pPr>
            <w:r>
              <w:rPr>
                <w:rFonts w:hint="default"/>
                <w:highlight w:val="none"/>
                <w:lang w:val="en-US" w:eastAsia="zh-CN"/>
              </w:rPr>
              <w:t>2024年5月统测</w:t>
            </w:r>
          </w:p>
        </w:tc>
        <w:tc>
          <w:tcPr>
            <w:tcW w:w="660" w:type="dxa"/>
            <w:vMerge w:val="restart"/>
            <w:noWrap/>
            <w:tcMar>
              <w:top w:w="15" w:type="dxa"/>
              <w:left w:w="15" w:type="dxa"/>
              <w:right w:w="15" w:type="dxa"/>
            </w:tcMar>
            <w:vAlign w:val="center"/>
          </w:tcPr>
          <w:p w14:paraId="12528CDE">
            <w:pPr>
              <w:pStyle w:val="58"/>
              <w:bidi w:val="0"/>
              <w:rPr>
                <w:rFonts w:hint="default"/>
                <w:highlight w:val="none"/>
                <w:lang w:val="en-US" w:eastAsia="zh-CN"/>
              </w:rPr>
            </w:pPr>
            <w:r>
              <w:rPr>
                <w:rFonts w:hint="default"/>
                <w:highlight w:val="none"/>
                <w:lang w:val="en-US" w:eastAsia="zh-CN"/>
              </w:rPr>
              <w:t>含水层</w:t>
            </w:r>
          </w:p>
        </w:tc>
      </w:tr>
      <w:tr w14:paraId="7060ADE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50" w:type="dxa"/>
            <w:vMerge w:val="continue"/>
            <w:noWrap w:val="0"/>
            <w:tcMar>
              <w:top w:w="15" w:type="dxa"/>
              <w:left w:w="15" w:type="dxa"/>
              <w:right w:w="15" w:type="dxa"/>
            </w:tcMar>
            <w:vAlign w:val="center"/>
          </w:tcPr>
          <w:p w14:paraId="35EBF464">
            <w:pPr>
              <w:pStyle w:val="58"/>
              <w:bidi w:val="0"/>
              <w:rPr>
                <w:rFonts w:hint="default"/>
                <w:highlight w:val="none"/>
                <w:lang w:val="en-US" w:eastAsia="zh-CN"/>
              </w:rPr>
            </w:pPr>
          </w:p>
        </w:tc>
        <w:tc>
          <w:tcPr>
            <w:tcW w:w="450" w:type="dxa"/>
            <w:vMerge w:val="continue"/>
            <w:noWrap w:val="0"/>
            <w:tcMar>
              <w:top w:w="15" w:type="dxa"/>
              <w:left w:w="15" w:type="dxa"/>
              <w:right w:w="15" w:type="dxa"/>
            </w:tcMar>
            <w:vAlign w:val="center"/>
          </w:tcPr>
          <w:p w14:paraId="31940479">
            <w:pPr>
              <w:pStyle w:val="58"/>
              <w:bidi w:val="0"/>
              <w:rPr>
                <w:rFonts w:hint="default"/>
                <w:highlight w:val="none"/>
                <w:lang w:val="en-US" w:eastAsia="zh-CN"/>
              </w:rPr>
            </w:pPr>
          </w:p>
        </w:tc>
        <w:tc>
          <w:tcPr>
            <w:tcW w:w="1704" w:type="dxa"/>
            <w:vMerge w:val="continue"/>
            <w:noWrap w:val="0"/>
            <w:tcMar>
              <w:top w:w="15" w:type="dxa"/>
              <w:left w:w="15" w:type="dxa"/>
              <w:right w:w="15" w:type="dxa"/>
            </w:tcMar>
            <w:vAlign w:val="center"/>
          </w:tcPr>
          <w:p w14:paraId="53CB8C42">
            <w:pPr>
              <w:pStyle w:val="58"/>
              <w:bidi w:val="0"/>
              <w:rPr>
                <w:rFonts w:hint="default"/>
                <w:highlight w:val="none"/>
                <w:lang w:val="en-US" w:eastAsia="zh-CN"/>
              </w:rPr>
            </w:pPr>
          </w:p>
        </w:tc>
        <w:tc>
          <w:tcPr>
            <w:tcW w:w="724" w:type="dxa"/>
            <w:vMerge w:val="continue"/>
            <w:noWrap w:val="0"/>
            <w:tcMar>
              <w:top w:w="15" w:type="dxa"/>
              <w:left w:w="15" w:type="dxa"/>
              <w:right w:w="15" w:type="dxa"/>
            </w:tcMar>
            <w:vAlign w:val="center"/>
          </w:tcPr>
          <w:p w14:paraId="4FAAA6A3">
            <w:pPr>
              <w:pStyle w:val="58"/>
              <w:bidi w:val="0"/>
              <w:rPr>
                <w:rFonts w:hint="default"/>
                <w:highlight w:val="none"/>
                <w:lang w:val="en-US" w:eastAsia="zh-CN"/>
              </w:rPr>
            </w:pPr>
          </w:p>
        </w:tc>
        <w:tc>
          <w:tcPr>
            <w:tcW w:w="767" w:type="dxa"/>
            <w:vMerge w:val="continue"/>
            <w:noWrap w:val="0"/>
            <w:tcMar>
              <w:top w:w="15" w:type="dxa"/>
              <w:left w:w="15" w:type="dxa"/>
              <w:right w:w="15" w:type="dxa"/>
            </w:tcMar>
            <w:vAlign w:val="center"/>
          </w:tcPr>
          <w:p w14:paraId="0527F068">
            <w:pPr>
              <w:pStyle w:val="58"/>
              <w:bidi w:val="0"/>
              <w:rPr>
                <w:rFonts w:hint="default"/>
                <w:highlight w:val="none"/>
                <w:lang w:val="en-US" w:eastAsia="zh-CN"/>
              </w:rPr>
            </w:pPr>
          </w:p>
        </w:tc>
        <w:tc>
          <w:tcPr>
            <w:tcW w:w="1015" w:type="dxa"/>
            <w:noWrap w:val="0"/>
            <w:tcMar>
              <w:top w:w="15" w:type="dxa"/>
              <w:left w:w="15" w:type="dxa"/>
              <w:right w:w="15" w:type="dxa"/>
            </w:tcMar>
            <w:vAlign w:val="center"/>
          </w:tcPr>
          <w:p w14:paraId="3E86A73B">
            <w:pPr>
              <w:pStyle w:val="58"/>
              <w:bidi w:val="0"/>
              <w:rPr>
                <w:rFonts w:hint="default"/>
                <w:highlight w:val="none"/>
                <w:lang w:val="en-US" w:eastAsia="zh-CN"/>
              </w:rPr>
            </w:pPr>
            <w:r>
              <w:rPr>
                <w:rFonts w:hint="default"/>
                <w:highlight w:val="none"/>
                <w:lang w:val="en-US" w:eastAsia="zh-CN"/>
              </w:rPr>
              <w:t>水位埋深(m)</w:t>
            </w:r>
          </w:p>
        </w:tc>
        <w:tc>
          <w:tcPr>
            <w:tcW w:w="883" w:type="dxa"/>
            <w:noWrap w:val="0"/>
            <w:tcMar>
              <w:top w:w="15" w:type="dxa"/>
              <w:left w:w="15" w:type="dxa"/>
              <w:right w:w="15" w:type="dxa"/>
            </w:tcMar>
            <w:vAlign w:val="center"/>
          </w:tcPr>
          <w:p w14:paraId="11461F26">
            <w:pPr>
              <w:pStyle w:val="58"/>
              <w:bidi w:val="0"/>
              <w:rPr>
                <w:rFonts w:hint="default"/>
                <w:highlight w:val="none"/>
                <w:lang w:val="en-US" w:eastAsia="zh-CN"/>
              </w:rPr>
            </w:pPr>
            <w:r>
              <w:rPr>
                <w:rFonts w:hint="default"/>
                <w:highlight w:val="none"/>
                <w:lang w:val="en-US" w:eastAsia="zh-CN"/>
              </w:rPr>
              <w:t>水位标高(m)</w:t>
            </w:r>
          </w:p>
        </w:tc>
        <w:tc>
          <w:tcPr>
            <w:tcW w:w="943" w:type="dxa"/>
            <w:noWrap w:val="0"/>
            <w:tcMar>
              <w:top w:w="15" w:type="dxa"/>
              <w:left w:w="15" w:type="dxa"/>
              <w:right w:w="15" w:type="dxa"/>
            </w:tcMar>
            <w:vAlign w:val="center"/>
          </w:tcPr>
          <w:p w14:paraId="0D1EBA55">
            <w:pPr>
              <w:pStyle w:val="58"/>
              <w:bidi w:val="0"/>
              <w:rPr>
                <w:rFonts w:hint="default"/>
                <w:highlight w:val="none"/>
                <w:lang w:val="en-US" w:eastAsia="zh-CN"/>
              </w:rPr>
            </w:pPr>
            <w:r>
              <w:rPr>
                <w:rFonts w:hint="default"/>
                <w:highlight w:val="none"/>
                <w:lang w:val="en-US" w:eastAsia="zh-CN"/>
              </w:rPr>
              <w:t>水位埋深(m)</w:t>
            </w:r>
          </w:p>
        </w:tc>
        <w:tc>
          <w:tcPr>
            <w:tcW w:w="886" w:type="dxa"/>
            <w:noWrap w:val="0"/>
            <w:tcMar>
              <w:top w:w="15" w:type="dxa"/>
              <w:left w:w="15" w:type="dxa"/>
              <w:right w:w="15" w:type="dxa"/>
            </w:tcMar>
            <w:vAlign w:val="center"/>
          </w:tcPr>
          <w:p w14:paraId="5C6DE3B3">
            <w:pPr>
              <w:pStyle w:val="58"/>
              <w:bidi w:val="0"/>
              <w:rPr>
                <w:rFonts w:hint="default"/>
                <w:highlight w:val="none"/>
                <w:lang w:val="en-US" w:eastAsia="zh-CN"/>
              </w:rPr>
            </w:pPr>
            <w:r>
              <w:rPr>
                <w:rFonts w:hint="default"/>
                <w:highlight w:val="none"/>
                <w:lang w:val="en-US" w:eastAsia="zh-CN"/>
              </w:rPr>
              <w:t>水位标高(m)</w:t>
            </w:r>
          </w:p>
        </w:tc>
        <w:tc>
          <w:tcPr>
            <w:tcW w:w="660" w:type="dxa"/>
            <w:vMerge w:val="continue"/>
            <w:noWrap w:val="0"/>
            <w:tcMar>
              <w:top w:w="15" w:type="dxa"/>
              <w:left w:w="15" w:type="dxa"/>
              <w:right w:w="15" w:type="dxa"/>
            </w:tcMar>
            <w:vAlign w:val="center"/>
          </w:tcPr>
          <w:p w14:paraId="5890B07B">
            <w:pPr>
              <w:pStyle w:val="58"/>
              <w:bidi w:val="0"/>
              <w:rPr>
                <w:rFonts w:hint="default"/>
                <w:highlight w:val="none"/>
                <w:lang w:val="en-US" w:eastAsia="zh-CN"/>
              </w:rPr>
            </w:pPr>
          </w:p>
        </w:tc>
      </w:tr>
      <w:tr w14:paraId="067107F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50" w:type="dxa"/>
            <w:noWrap w:val="0"/>
            <w:tcMar>
              <w:top w:w="15" w:type="dxa"/>
              <w:left w:w="15" w:type="dxa"/>
              <w:right w:w="15" w:type="dxa"/>
            </w:tcMar>
            <w:vAlign w:val="center"/>
          </w:tcPr>
          <w:p w14:paraId="0015F13F">
            <w:pPr>
              <w:pStyle w:val="58"/>
              <w:bidi w:val="0"/>
              <w:rPr>
                <w:rFonts w:hint="default"/>
                <w:highlight w:val="none"/>
                <w:lang w:val="en-US" w:eastAsia="zh-CN"/>
              </w:rPr>
            </w:pPr>
            <w:r>
              <w:rPr>
                <w:rFonts w:hint="default"/>
                <w:highlight w:val="none"/>
                <w:lang w:val="en-US" w:eastAsia="zh-CN"/>
              </w:rPr>
              <w:t>1</w:t>
            </w:r>
          </w:p>
        </w:tc>
        <w:tc>
          <w:tcPr>
            <w:tcW w:w="450" w:type="dxa"/>
            <w:noWrap w:val="0"/>
            <w:tcMar>
              <w:top w:w="15" w:type="dxa"/>
              <w:left w:w="15" w:type="dxa"/>
              <w:right w:w="15" w:type="dxa"/>
            </w:tcMar>
            <w:vAlign w:val="center"/>
          </w:tcPr>
          <w:p w14:paraId="38EFAD5D">
            <w:pPr>
              <w:pStyle w:val="58"/>
              <w:bidi w:val="0"/>
              <w:rPr>
                <w:rFonts w:hint="default"/>
                <w:highlight w:val="none"/>
                <w:lang w:val="en-US" w:eastAsia="zh-CN"/>
              </w:rPr>
            </w:pPr>
            <w:r>
              <w:rPr>
                <w:rFonts w:hint="default"/>
                <w:highlight w:val="none"/>
                <w:lang w:val="en-US" w:eastAsia="zh-CN"/>
              </w:rPr>
              <w:t>Q1</w:t>
            </w:r>
          </w:p>
        </w:tc>
        <w:tc>
          <w:tcPr>
            <w:tcW w:w="1704" w:type="dxa"/>
            <w:noWrap w:val="0"/>
            <w:tcMar>
              <w:top w:w="15" w:type="dxa"/>
              <w:left w:w="15" w:type="dxa"/>
              <w:right w:w="15" w:type="dxa"/>
            </w:tcMar>
            <w:vAlign w:val="center"/>
          </w:tcPr>
          <w:p w14:paraId="65B0FC1D">
            <w:pPr>
              <w:pStyle w:val="58"/>
              <w:bidi w:val="0"/>
              <w:rPr>
                <w:rFonts w:hint="default"/>
                <w:highlight w:val="none"/>
                <w:lang w:val="en-US" w:eastAsia="zh-CN"/>
              </w:rPr>
            </w:pPr>
            <w:r>
              <w:rPr>
                <w:rFonts w:hint="default"/>
                <w:highlight w:val="none"/>
                <w:lang w:val="en-US" w:eastAsia="zh-CN"/>
              </w:rPr>
              <w:t>E118.264305°，N39.276272°</w:t>
            </w:r>
          </w:p>
        </w:tc>
        <w:tc>
          <w:tcPr>
            <w:tcW w:w="724" w:type="dxa"/>
            <w:noWrap w:val="0"/>
            <w:tcMar>
              <w:top w:w="15" w:type="dxa"/>
              <w:left w:w="15" w:type="dxa"/>
              <w:right w:w="15" w:type="dxa"/>
            </w:tcMar>
            <w:vAlign w:val="center"/>
          </w:tcPr>
          <w:p w14:paraId="09463983">
            <w:pPr>
              <w:pStyle w:val="58"/>
              <w:bidi w:val="0"/>
              <w:rPr>
                <w:rFonts w:hint="default"/>
                <w:highlight w:val="none"/>
                <w:lang w:val="en-US" w:eastAsia="zh-CN"/>
              </w:rPr>
            </w:pPr>
            <w:r>
              <w:rPr>
                <w:rFonts w:hint="default"/>
                <w:highlight w:val="none"/>
                <w:lang w:val="en-US" w:eastAsia="zh-CN"/>
              </w:rPr>
              <w:t>16</w:t>
            </w:r>
          </w:p>
        </w:tc>
        <w:tc>
          <w:tcPr>
            <w:tcW w:w="767" w:type="dxa"/>
            <w:noWrap w:val="0"/>
            <w:tcMar>
              <w:top w:w="15" w:type="dxa"/>
              <w:left w:w="15" w:type="dxa"/>
              <w:right w:w="15" w:type="dxa"/>
            </w:tcMar>
            <w:vAlign w:val="center"/>
          </w:tcPr>
          <w:p w14:paraId="1A66D44C">
            <w:pPr>
              <w:pStyle w:val="58"/>
              <w:bidi w:val="0"/>
              <w:rPr>
                <w:rFonts w:hint="default"/>
                <w:highlight w:val="none"/>
                <w:lang w:val="en-US" w:eastAsia="zh-CN"/>
              </w:rPr>
            </w:pPr>
            <w:r>
              <w:rPr>
                <w:rFonts w:hint="default"/>
                <w:highlight w:val="none"/>
                <w:lang w:val="en-US" w:eastAsia="zh-CN"/>
              </w:rPr>
              <w:t>0.7</w:t>
            </w:r>
          </w:p>
        </w:tc>
        <w:tc>
          <w:tcPr>
            <w:tcW w:w="1015" w:type="dxa"/>
            <w:noWrap w:val="0"/>
            <w:tcMar>
              <w:top w:w="15" w:type="dxa"/>
              <w:left w:w="15" w:type="dxa"/>
              <w:right w:w="15" w:type="dxa"/>
            </w:tcMar>
            <w:vAlign w:val="center"/>
          </w:tcPr>
          <w:p w14:paraId="35EE4BF4">
            <w:pPr>
              <w:pStyle w:val="58"/>
              <w:bidi w:val="0"/>
              <w:rPr>
                <w:rFonts w:hint="default"/>
                <w:highlight w:val="none"/>
                <w:lang w:val="en-US" w:eastAsia="zh-CN"/>
              </w:rPr>
            </w:pPr>
            <w:r>
              <w:rPr>
                <w:rFonts w:hint="default"/>
                <w:highlight w:val="none"/>
                <w:lang w:val="en-US" w:eastAsia="zh-CN"/>
              </w:rPr>
              <w:t>0.08</w:t>
            </w:r>
          </w:p>
        </w:tc>
        <w:tc>
          <w:tcPr>
            <w:tcW w:w="883" w:type="dxa"/>
            <w:noWrap w:val="0"/>
            <w:tcMar>
              <w:top w:w="15" w:type="dxa"/>
              <w:left w:w="15" w:type="dxa"/>
              <w:right w:w="15" w:type="dxa"/>
            </w:tcMar>
            <w:vAlign w:val="center"/>
          </w:tcPr>
          <w:p w14:paraId="1FD8D235">
            <w:pPr>
              <w:pStyle w:val="58"/>
              <w:bidi w:val="0"/>
              <w:rPr>
                <w:rFonts w:hint="default"/>
                <w:highlight w:val="none"/>
                <w:lang w:val="en-US" w:eastAsia="zh-CN"/>
              </w:rPr>
            </w:pPr>
            <w:r>
              <w:rPr>
                <w:rFonts w:hint="default"/>
                <w:highlight w:val="none"/>
                <w:lang w:val="en-US" w:eastAsia="zh-CN"/>
              </w:rPr>
              <w:t>0.62</w:t>
            </w:r>
          </w:p>
        </w:tc>
        <w:tc>
          <w:tcPr>
            <w:tcW w:w="943" w:type="dxa"/>
            <w:noWrap w:val="0"/>
            <w:tcMar>
              <w:top w:w="15" w:type="dxa"/>
              <w:left w:w="15" w:type="dxa"/>
              <w:right w:w="15" w:type="dxa"/>
            </w:tcMar>
            <w:vAlign w:val="center"/>
          </w:tcPr>
          <w:p w14:paraId="439472D8">
            <w:pPr>
              <w:pStyle w:val="58"/>
              <w:bidi w:val="0"/>
              <w:rPr>
                <w:rFonts w:hint="default"/>
                <w:highlight w:val="none"/>
                <w:lang w:val="en-US" w:eastAsia="zh-CN"/>
              </w:rPr>
            </w:pPr>
            <w:r>
              <w:rPr>
                <w:rFonts w:hint="default"/>
                <w:highlight w:val="none"/>
                <w:lang w:val="en-US" w:eastAsia="zh-CN"/>
              </w:rPr>
              <w:t>0.32</w:t>
            </w:r>
          </w:p>
        </w:tc>
        <w:tc>
          <w:tcPr>
            <w:tcW w:w="886" w:type="dxa"/>
            <w:noWrap w:val="0"/>
            <w:tcMar>
              <w:top w:w="15" w:type="dxa"/>
              <w:left w:w="15" w:type="dxa"/>
              <w:right w:w="15" w:type="dxa"/>
            </w:tcMar>
            <w:vAlign w:val="center"/>
          </w:tcPr>
          <w:p w14:paraId="390B2E2E">
            <w:pPr>
              <w:pStyle w:val="58"/>
              <w:bidi w:val="0"/>
              <w:rPr>
                <w:rFonts w:hint="default"/>
                <w:highlight w:val="none"/>
                <w:lang w:val="en-US" w:eastAsia="zh-CN"/>
              </w:rPr>
            </w:pPr>
            <w:r>
              <w:rPr>
                <w:rFonts w:hint="default"/>
                <w:highlight w:val="none"/>
                <w:lang w:val="en-US" w:eastAsia="zh-CN"/>
              </w:rPr>
              <w:t>0.38</w:t>
            </w:r>
          </w:p>
        </w:tc>
        <w:tc>
          <w:tcPr>
            <w:tcW w:w="660" w:type="dxa"/>
            <w:noWrap w:val="0"/>
            <w:tcMar>
              <w:top w:w="15" w:type="dxa"/>
              <w:left w:w="15" w:type="dxa"/>
              <w:right w:w="15" w:type="dxa"/>
            </w:tcMar>
            <w:vAlign w:val="center"/>
          </w:tcPr>
          <w:p w14:paraId="693E6DD8">
            <w:pPr>
              <w:pStyle w:val="58"/>
              <w:bidi w:val="0"/>
              <w:rPr>
                <w:rFonts w:hint="default"/>
                <w:highlight w:val="none"/>
                <w:lang w:val="en-US" w:eastAsia="zh-CN"/>
              </w:rPr>
            </w:pPr>
            <w:r>
              <w:rPr>
                <w:rFonts w:hint="default"/>
                <w:highlight w:val="none"/>
                <w:lang w:val="en-US" w:eastAsia="zh-CN"/>
              </w:rPr>
              <w:t>潜水</w:t>
            </w:r>
          </w:p>
        </w:tc>
      </w:tr>
      <w:tr w14:paraId="23092DB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50" w:type="dxa"/>
            <w:noWrap w:val="0"/>
            <w:tcMar>
              <w:top w:w="15" w:type="dxa"/>
              <w:left w:w="15" w:type="dxa"/>
              <w:right w:w="15" w:type="dxa"/>
            </w:tcMar>
            <w:vAlign w:val="center"/>
          </w:tcPr>
          <w:p w14:paraId="48DDA281">
            <w:pPr>
              <w:pStyle w:val="58"/>
              <w:bidi w:val="0"/>
              <w:rPr>
                <w:rFonts w:hint="default"/>
                <w:highlight w:val="none"/>
                <w:lang w:val="en-US" w:eastAsia="zh-CN"/>
              </w:rPr>
            </w:pPr>
            <w:r>
              <w:rPr>
                <w:rFonts w:hint="default"/>
                <w:highlight w:val="none"/>
                <w:lang w:val="en-US" w:eastAsia="zh-CN"/>
              </w:rPr>
              <w:t>2</w:t>
            </w:r>
          </w:p>
        </w:tc>
        <w:tc>
          <w:tcPr>
            <w:tcW w:w="450" w:type="dxa"/>
            <w:noWrap w:val="0"/>
            <w:tcMar>
              <w:top w:w="15" w:type="dxa"/>
              <w:left w:w="15" w:type="dxa"/>
              <w:right w:w="15" w:type="dxa"/>
            </w:tcMar>
            <w:vAlign w:val="center"/>
          </w:tcPr>
          <w:p w14:paraId="3EAACBC6">
            <w:pPr>
              <w:pStyle w:val="58"/>
              <w:bidi w:val="0"/>
              <w:rPr>
                <w:rFonts w:hint="default"/>
                <w:highlight w:val="none"/>
                <w:lang w:val="en-US" w:eastAsia="zh-CN"/>
              </w:rPr>
            </w:pPr>
            <w:r>
              <w:rPr>
                <w:rFonts w:hint="default"/>
                <w:highlight w:val="none"/>
                <w:lang w:val="en-US" w:eastAsia="zh-CN"/>
              </w:rPr>
              <w:t>Q2</w:t>
            </w:r>
          </w:p>
        </w:tc>
        <w:tc>
          <w:tcPr>
            <w:tcW w:w="1704" w:type="dxa"/>
            <w:noWrap w:val="0"/>
            <w:tcMar>
              <w:top w:w="15" w:type="dxa"/>
              <w:left w:w="15" w:type="dxa"/>
              <w:right w:w="15" w:type="dxa"/>
            </w:tcMar>
            <w:vAlign w:val="center"/>
          </w:tcPr>
          <w:p w14:paraId="5BFB7F0D">
            <w:pPr>
              <w:pStyle w:val="58"/>
              <w:bidi w:val="0"/>
              <w:rPr>
                <w:rFonts w:hint="default"/>
                <w:highlight w:val="none"/>
                <w:lang w:val="en-US" w:eastAsia="zh-CN"/>
              </w:rPr>
            </w:pPr>
            <w:r>
              <w:rPr>
                <w:rFonts w:hint="default"/>
                <w:highlight w:val="none"/>
                <w:lang w:val="en-US" w:eastAsia="zh-CN"/>
              </w:rPr>
              <w:t>E118.272322°，N39.274225°</w:t>
            </w:r>
          </w:p>
        </w:tc>
        <w:tc>
          <w:tcPr>
            <w:tcW w:w="724" w:type="dxa"/>
            <w:noWrap w:val="0"/>
            <w:tcMar>
              <w:top w:w="15" w:type="dxa"/>
              <w:left w:w="15" w:type="dxa"/>
              <w:right w:w="15" w:type="dxa"/>
            </w:tcMar>
            <w:vAlign w:val="center"/>
          </w:tcPr>
          <w:p w14:paraId="31EB7D36">
            <w:pPr>
              <w:pStyle w:val="58"/>
              <w:bidi w:val="0"/>
              <w:rPr>
                <w:rFonts w:hint="default"/>
                <w:highlight w:val="none"/>
                <w:lang w:val="en-US" w:eastAsia="zh-CN"/>
              </w:rPr>
            </w:pPr>
            <w:r>
              <w:rPr>
                <w:rFonts w:hint="default"/>
                <w:highlight w:val="none"/>
                <w:lang w:val="en-US" w:eastAsia="zh-CN"/>
              </w:rPr>
              <w:t>18</w:t>
            </w:r>
          </w:p>
        </w:tc>
        <w:tc>
          <w:tcPr>
            <w:tcW w:w="767" w:type="dxa"/>
            <w:noWrap w:val="0"/>
            <w:tcMar>
              <w:top w:w="15" w:type="dxa"/>
              <w:left w:w="15" w:type="dxa"/>
              <w:right w:w="15" w:type="dxa"/>
            </w:tcMar>
            <w:vAlign w:val="center"/>
          </w:tcPr>
          <w:p w14:paraId="5FF57FCD">
            <w:pPr>
              <w:pStyle w:val="58"/>
              <w:bidi w:val="0"/>
              <w:rPr>
                <w:rFonts w:hint="default"/>
                <w:highlight w:val="none"/>
                <w:lang w:val="en-US" w:eastAsia="zh-CN"/>
              </w:rPr>
            </w:pPr>
            <w:r>
              <w:rPr>
                <w:rFonts w:hint="default"/>
                <w:highlight w:val="none"/>
                <w:lang w:val="en-US" w:eastAsia="zh-CN"/>
              </w:rPr>
              <w:t>0.8</w:t>
            </w:r>
          </w:p>
        </w:tc>
        <w:tc>
          <w:tcPr>
            <w:tcW w:w="1015" w:type="dxa"/>
            <w:noWrap w:val="0"/>
            <w:tcMar>
              <w:top w:w="15" w:type="dxa"/>
              <w:left w:w="15" w:type="dxa"/>
              <w:right w:w="15" w:type="dxa"/>
            </w:tcMar>
            <w:vAlign w:val="center"/>
          </w:tcPr>
          <w:p w14:paraId="63D4F864">
            <w:pPr>
              <w:pStyle w:val="58"/>
              <w:bidi w:val="0"/>
              <w:rPr>
                <w:rFonts w:hint="default"/>
                <w:highlight w:val="none"/>
                <w:lang w:val="en-US" w:eastAsia="zh-CN"/>
              </w:rPr>
            </w:pPr>
            <w:r>
              <w:rPr>
                <w:rFonts w:hint="default"/>
                <w:highlight w:val="none"/>
                <w:lang w:val="en-US" w:eastAsia="zh-CN"/>
              </w:rPr>
              <w:t>0.29</w:t>
            </w:r>
          </w:p>
        </w:tc>
        <w:tc>
          <w:tcPr>
            <w:tcW w:w="883" w:type="dxa"/>
            <w:noWrap w:val="0"/>
            <w:tcMar>
              <w:top w:w="15" w:type="dxa"/>
              <w:left w:w="15" w:type="dxa"/>
              <w:right w:w="15" w:type="dxa"/>
            </w:tcMar>
            <w:vAlign w:val="center"/>
          </w:tcPr>
          <w:p w14:paraId="27A19D4E">
            <w:pPr>
              <w:pStyle w:val="58"/>
              <w:bidi w:val="0"/>
              <w:rPr>
                <w:rFonts w:hint="default"/>
                <w:highlight w:val="none"/>
                <w:lang w:val="en-US" w:eastAsia="zh-CN"/>
              </w:rPr>
            </w:pPr>
            <w:r>
              <w:rPr>
                <w:rFonts w:hint="default"/>
                <w:highlight w:val="none"/>
                <w:lang w:val="en-US" w:eastAsia="zh-CN"/>
              </w:rPr>
              <w:t>0.51</w:t>
            </w:r>
          </w:p>
        </w:tc>
        <w:tc>
          <w:tcPr>
            <w:tcW w:w="943" w:type="dxa"/>
            <w:noWrap w:val="0"/>
            <w:tcMar>
              <w:top w:w="15" w:type="dxa"/>
              <w:left w:w="15" w:type="dxa"/>
              <w:right w:w="15" w:type="dxa"/>
            </w:tcMar>
            <w:vAlign w:val="center"/>
          </w:tcPr>
          <w:p w14:paraId="7AD6D49A">
            <w:pPr>
              <w:pStyle w:val="58"/>
              <w:bidi w:val="0"/>
              <w:rPr>
                <w:rFonts w:hint="default"/>
                <w:highlight w:val="none"/>
                <w:lang w:val="en-US" w:eastAsia="zh-CN"/>
              </w:rPr>
            </w:pPr>
            <w:r>
              <w:rPr>
                <w:rFonts w:hint="default"/>
                <w:highlight w:val="none"/>
                <w:lang w:val="en-US" w:eastAsia="zh-CN"/>
              </w:rPr>
              <w:t>0.52</w:t>
            </w:r>
          </w:p>
        </w:tc>
        <w:tc>
          <w:tcPr>
            <w:tcW w:w="886" w:type="dxa"/>
            <w:noWrap w:val="0"/>
            <w:tcMar>
              <w:top w:w="15" w:type="dxa"/>
              <w:left w:w="15" w:type="dxa"/>
              <w:right w:w="15" w:type="dxa"/>
            </w:tcMar>
            <w:vAlign w:val="center"/>
          </w:tcPr>
          <w:p w14:paraId="0FE0B9B6">
            <w:pPr>
              <w:pStyle w:val="58"/>
              <w:bidi w:val="0"/>
              <w:rPr>
                <w:rFonts w:hint="default"/>
                <w:highlight w:val="none"/>
                <w:lang w:val="en-US" w:eastAsia="zh-CN"/>
              </w:rPr>
            </w:pPr>
            <w:r>
              <w:rPr>
                <w:rFonts w:hint="default"/>
                <w:highlight w:val="none"/>
                <w:lang w:val="en-US" w:eastAsia="zh-CN"/>
              </w:rPr>
              <w:t>0.28</w:t>
            </w:r>
          </w:p>
        </w:tc>
        <w:tc>
          <w:tcPr>
            <w:tcW w:w="660" w:type="dxa"/>
            <w:noWrap w:val="0"/>
            <w:tcMar>
              <w:top w:w="15" w:type="dxa"/>
              <w:left w:w="15" w:type="dxa"/>
              <w:right w:w="15" w:type="dxa"/>
            </w:tcMar>
            <w:vAlign w:val="center"/>
          </w:tcPr>
          <w:p w14:paraId="26AB09D4">
            <w:pPr>
              <w:pStyle w:val="58"/>
              <w:bidi w:val="0"/>
              <w:rPr>
                <w:rFonts w:hint="default"/>
                <w:highlight w:val="none"/>
                <w:lang w:val="en-US" w:eastAsia="zh-CN"/>
              </w:rPr>
            </w:pPr>
            <w:r>
              <w:rPr>
                <w:rFonts w:hint="default"/>
                <w:highlight w:val="none"/>
                <w:lang w:val="en-US" w:eastAsia="zh-CN"/>
              </w:rPr>
              <w:t>潜水</w:t>
            </w:r>
          </w:p>
        </w:tc>
      </w:tr>
      <w:tr w14:paraId="4AC2381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50" w:type="dxa"/>
            <w:noWrap w:val="0"/>
            <w:tcMar>
              <w:top w:w="15" w:type="dxa"/>
              <w:left w:w="15" w:type="dxa"/>
              <w:right w:w="15" w:type="dxa"/>
            </w:tcMar>
            <w:vAlign w:val="center"/>
          </w:tcPr>
          <w:p w14:paraId="536F55E6">
            <w:pPr>
              <w:pStyle w:val="58"/>
              <w:bidi w:val="0"/>
              <w:rPr>
                <w:rFonts w:hint="default"/>
                <w:highlight w:val="none"/>
                <w:lang w:val="en-US" w:eastAsia="zh-CN"/>
              </w:rPr>
            </w:pPr>
            <w:r>
              <w:rPr>
                <w:rFonts w:hint="default"/>
                <w:highlight w:val="none"/>
                <w:lang w:val="en-US" w:eastAsia="zh-CN"/>
              </w:rPr>
              <w:t>3</w:t>
            </w:r>
          </w:p>
        </w:tc>
        <w:tc>
          <w:tcPr>
            <w:tcW w:w="450" w:type="dxa"/>
            <w:noWrap w:val="0"/>
            <w:tcMar>
              <w:top w:w="15" w:type="dxa"/>
              <w:left w:w="15" w:type="dxa"/>
              <w:right w:w="15" w:type="dxa"/>
            </w:tcMar>
            <w:vAlign w:val="center"/>
          </w:tcPr>
          <w:p w14:paraId="74B6A7ED">
            <w:pPr>
              <w:pStyle w:val="58"/>
              <w:bidi w:val="0"/>
              <w:rPr>
                <w:rFonts w:hint="default"/>
                <w:highlight w:val="none"/>
                <w:lang w:val="en-US" w:eastAsia="zh-CN"/>
              </w:rPr>
            </w:pPr>
            <w:r>
              <w:rPr>
                <w:rFonts w:hint="default"/>
                <w:highlight w:val="none"/>
                <w:lang w:val="en-US" w:eastAsia="zh-CN"/>
              </w:rPr>
              <w:t>Q3</w:t>
            </w:r>
          </w:p>
        </w:tc>
        <w:tc>
          <w:tcPr>
            <w:tcW w:w="1704" w:type="dxa"/>
            <w:noWrap w:val="0"/>
            <w:tcMar>
              <w:top w:w="15" w:type="dxa"/>
              <w:left w:w="15" w:type="dxa"/>
              <w:right w:w="15" w:type="dxa"/>
            </w:tcMar>
            <w:vAlign w:val="center"/>
          </w:tcPr>
          <w:p w14:paraId="3E4D6EBE">
            <w:pPr>
              <w:pStyle w:val="58"/>
              <w:bidi w:val="0"/>
              <w:rPr>
                <w:rFonts w:hint="default"/>
                <w:highlight w:val="none"/>
                <w:lang w:val="en-US" w:eastAsia="zh-CN"/>
              </w:rPr>
            </w:pPr>
            <w:r>
              <w:rPr>
                <w:rFonts w:hint="default"/>
                <w:highlight w:val="none"/>
                <w:lang w:val="en-US" w:eastAsia="zh-CN"/>
              </w:rPr>
              <w:t>E118.283500°，N39.275696°</w:t>
            </w:r>
          </w:p>
        </w:tc>
        <w:tc>
          <w:tcPr>
            <w:tcW w:w="724" w:type="dxa"/>
            <w:noWrap w:val="0"/>
            <w:tcMar>
              <w:top w:w="15" w:type="dxa"/>
              <w:left w:w="15" w:type="dxa"/>
              <w:right w:w="15" w:type="dxa"/>
            </w:tcMar>
            <w:vAlign w:val="center"/>
          </w:tcPr>
          <w:p w14:paraId="1725E26E">
            <w:pPr>
              <w:pStyle w:val="58"/>
              <w:bidi w:val="0"/>
              <w:rPr>
                <w:rFonts w:hint="default"/>
                <w:highlight w:val="none"/>
                <w:lang w:val="en-US" w:eastAsia="zh-CN"/>
              </w:rPr>
            </w:pPr>
            <w:r>
              <w:rPr>
                <w:rFonts w:hint="default"/>
                <w:highlight w:val="none"/>
                <w:lang w:val="en-US" w:eastAsia="zh-CN"/>
              </w:rPr>
              <w:t>7</w:t>
            </w:r>
          </w:p>
        </w:tc>
        <w:tc>
          <w:tcPr>
            <w:tcW w:w="767" w:type="dxa"/>
            <w:noWrap w:val="0"/>
            <w:tcMar>
              <w:top w:w="15" w:type="dxa"/>
              <w:left w:w="15" w:type="dxa"/>
              <w:right w:w="15" w:type="dxa"/>
            </w:tcMar>
            <w:vAlign w:val="center"/>
          </w:tcPr>
          <w:p w14:paraId="4C457524">
            <w:pPr>
              <w:pStyle w:val="58"/>
              <w:bidi w:val="0"/>
              <w:rPr>
                <w:rFonts w:hint="default"/>
                <w:highlight w:val="none"/>
                <w:lang w:val="en-US" w:eastAsia="zh-CN"/>
              </w:rPr>
            </w:pPr>
            <w:r>
              <w:rPr>
                <w:rFonts w:hint="default"/>
                <w:highlight w:val="none"/>
                <w:lang w:val="en-US" w:eastAsia="zh-CN"/>
              </w:rPr>
              <w:t>0.7</w:t>
            </w:r>
          </w:p>
        </w:tc>
        <w:tc>
          <w:tcPr>
            <w:tcW w:w="1015" w:type="dxa"/>
            <w:noWrap w:val="0"/>
            <w:tcMar>
              <w:top w:w="15" w:type="dxa"/>
              <w:left w:w="15" w:type="dxa"/>
              <w:right w:w="15" w:type="dxa"/>
            </w:tcMar>
            <w:vAlign w:val="center"/>
          </w:tcPr>
          <w:p w14:paraId="02CBDCBF">
            <w:pPr>
              <w:pStyle w:val="58"/>
              <w:bidi w:val="0"/>
              <w:rPr>
                <w:rFonts w:hint="default"/>
                <w:highlight w:val="none"/>
                <w:lang w:val="en-US" w:eastAsia="zh-CN"/>
              </w:rPr>
            </w:pPr>
            <w:r>
              <w:rPr>
                <w:rFonts w:hint="default"/>
                <w:highlight w:val="none"/>
                <w:lang w:val="en-US" w:eastAsia="zh-CN"/>
              </w:rPr>
              <w:t>0.11</w:t>
            </w:r>
          </w:p>
        </w:tc>
        <w:tc>
          <w:tcPr>
            <w:tcW w:w="883" w:type="dxa"/>
            <w:noWrap w:val="0"/>
            <w:tcMar>
              <w:top w:w="15" w:type="dxa"/>
              <w:left w:w="15" w:type="dxa"/>
              <w:right w:w="15" w:type="dxa"/>
            </w:tcMar>
            <w:vAlign w:val="center"/>
          </w:tcPr>
          <w:p w14:paraId="5C8436AA">
            <w:pPr>
              <w:pStyle w:val="58"/>
              <w:bidi w:val="0"/>
              <w:rPr>
                <w:rFonts w:hint="default"/>
                <w:highlight w:val="none"/>
                <w:lang w:val="en-US" w:eastAsia="zh-CN"/>
              </w:rPr>
            </w:pPr>
            <w:r>
              <w:rPr>
                <w:rFonts w:hint="default"/>
                <w:highlight w:val="none"/>
                <w:lang w:val="en-US" w:eastAsia="zh-CN"/>
              </w:rPr>
              <w:t>0.59</w:t>
            </w:r>
          </w:p>
        </w:tc>
        <w:tc>
          <w:tcPr>
            <w:tcW w:w="943" w:type="dxa"/>
            <w:noWrap w:val="0"/>
            <w:tcMar>
              <w:top w:w="15" w:type="dxa"/>
              <w:left w:w="15" w:type="dxa"/>
              <w:right w:w="15" w:type="dxa"/>
            </w:tcMar>
            <w:vAlign w:val="center"/>
          </w:tcPr>
          <w:p w14:paraId="1D186E92">
            <w:pPr>
              <w:pStyle w:val="58"/>
              <w:bidi w:val="0"/>
              <w:rPr>
                <w:rFonts w:hint="default"/>
                <w:highlight w:val="none"/>
                <w:lang w:val="en-US" w:eastAsia="zh-CN"/>
              </w:rPr>
            </w:pPr>
            <w:r>
              <w:rPr>
                <w:rFonts w:hint="default"/>
                <w:highlight w:val="none"/>
                <w:lang w:val="en-US" w:eastAsia="zh-CN"/>
              </w:rPr>
              <w:t>0.36</w:t>
            </w:r>
          </w:p>
        </w:tc>
        <w:tc>
          <w:tcPr>
            <w:tcW w:w="886" w:type="dxa"/>
            <w:noWrap w:val="0"/>
            <w:tcMar>
              <w:top w:w="15" w:type="dxa"/>
              <w:left w:w="15" w:type="dxa"/>
              <w:right w:w="15" w:type="dxa"/>
            </w:tcMar>
            <w:vAlign w:val="center"/>
          </w:tcPr>
          <w:p w14:paraId="6D6E5303">
            <w:pPr>
              <w:pStyle w:val="58"/>
              <w:bidi w:val="0"/>
              <w:rPr>
                <w:rFonts w:hint="default"/>
                <w:highlight w:val="none"/>
                <w:lang w:val="en-US" w:eastAsia="zh-CN"/>
              </w:rPr>
            </w:pPr>
            <w:r>
              <w:rPr>
                <w:rFonts w:hint="default"/>
                <w:highlight w:val="none"/>
                <w:lang w:val="en-US" w:eastAsia="zh-CN"/>
              </w:rPr>
              <w:t>0.34</w:t>
            </w:r>
          </w:p>
        </w:tc>
        <w:tc>
          <w:tcPr>
            <w:tcW w:w="660" w:type="dxa"/>
            <w:noWrap w:val="0"/>
            <w:tcMar>
              <w:top w:w="15" w:type="dxa"/>
              <w:left w:w="15" w:type="dxa"/>
              <w:right w:w="15" w:type="dxa"/>
            </w:tcMar>
            <w:vAlign w:val="center"/>
          </w:tcPr>
          <w:p w14:paraId="60D60295">
            <w:pPr>
              <w:pStyle w:val="58"/>
              <w:bidi w:val="0"/>
              <w:rPr>
                <w:rFonts w:hint="default"/>
                <w:highlight w:val="none"/>
                <w:lang w:val="en-US" w:eastAsia="zh-CN"/>
              </w:rPr>
            </w:pPr>
            <w:r>
              <w:rPr>
                <w:rFonts w:hint="default"/>
                <w:highlight w:val="none"/>
                <w:lang w:val="en-US" w:eastAsia="zh-CN"/>
              </w:rPr>
              <w:t>潜水</w:t>
            </w:r>
          </w:p>
        </w:tc>
      </w:tr>
      <w:tr w14:paraId="13A4D63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50" w:type="dxa"/>
            <w:noWrap w:val="0"/>
            <w:tcMar>
              <w:top w:w="15" w:type="dxa"/>
              <w:left w:w="15" w:type="dxa"/>
              <w:right w:w="15" w:type="dxa"/>
            </w:tcMar>
            <w:vAlign w:val="center"/>
          </w:tcPr>
          <w:p w14:paraId="56A93A51">
            <w:pPr>
              <w:pStyle w:val="58"/>
              <w:bidi w:val="0"/>
              <w:rPr>
                <w:rFonts w:hint="default"/>
                <w:highlight w:val="none"/>
                <w:lang w:val="en-US" w:eastAsia="zh-CN"/>
              </w:rPr>
            </w:pPr>
            <w:r>
              <w:rPr>
                <w:rFonts w:hint="default"/>
                <w:highlight w:val="none"/>
                <w:lang w:val="en-US" w:eastAsia="zh-CN"/>
              </w:rPr>
              <w:t>4</w:t>
            </w:r>
          </w:p>
        </w:tc>
        <w:tc>
          <w:tcPr>
            <w:tcW w:w="450" w:type="dxa"/>
            <w:noWrap w:val="0"/>
            <w:tcMar>
              <w:top w:w="15" w:type="dxa"/>
              <w:left w:w="15" w:type="dxa"/>
              <w:right w:w="15" w:type="dxa"/>
            </w:tcMar>
            <w:vAlign w:val="center"/>
          </w:tcPr>
          <w:p w14:paraId="15D535C5">
            <w:pPr>
              <w:pStyle w:val="58"/>
              <w:bidi w:val="0"/>
              <w:rPr>
                <w:rFonts w:hint="default"/>
                <w:highlight w:val="none"/>
                <w:lang w:val="en-US" w:eastAsia="zh-CN"/>
              </w:rPr>
            </w:pPr>
            <w:r>
              <w:rPr>
                <w:rFonts w:hint="default"/>
                <w:highlight w:val="none"/>
                <w:lang w:val="en-US" w:eastAsia="zh-CN"/>
              </w:rPr>
              <w:t>Q4</w:t>
            </w:r>
          </w:p>
        </w:tc>
        <w:tc>
          <w:tcPr>
            <w:tcW w:w="1704" w:type="dxa"/>
            <w:noWrap w:val="0"/>
            <w:tcMar>
              <w:top w:w="15" w:type="dxa"/>
              <w:left w:w="15" w:type="dxa"/>
              <w:right w:w="15" w:type="dxa"/>
            </w:tcMar>
            <w:vAlign w:val="center"/>
          </w:tcPr>
          <w:p w14:paraId="499B1E28">
            <w:pPr>
              <w:pStyle w:val="58"/>
              <w:bidi w:val="0"/>
              <w:rPr>
                <w:rFonts w:hint="default"/>
                <w:highlight w:val="none"/>
                <w:lang w:val="en-US" w:eastAsia="zh-CN"/>
              </w:rPr>
            </w:pPr>
            <w:r>
              <w:rPr>
                <w:rFonts w:hint="default"/>
                <w:highlight w:val="none"/>
                <w:lang w:val="en-US" w:eastAsia="zh-CN"/>
              </w:rPr>
              <w:t>E118.257351°，N39.267803°</w:t>
            </w:r>
          </w:p>
        </w:tc>
        <w:tc>
          <w:tcPr>
            <w:tcW w:w="724" w:type="dxa"/>
            <w:noWrap w:val="0"/>
            <w:tcMar>
              <w:top w:w="15" w:type="dxa"/>
              <w:left w:w="15" w:type="dxa"/>
              <w:right w:w="15" w:type="dxa"/>
            </w:tcMar>
            <w:vAlign w:val="center"/>
          </w:tcPr>
          <w:p w14:paraId="17935CD9">
            <w:pPr>
              <w:pStyle w:val="58"/>
              <w:bidi w:val="0"/>
              <w:rPr>
                <w:rFonts w:hint="default"/>
                <w:highlight w:val="none"/>
                <w:lang w:val="en-US" w:eastAsia="zh-CN"/>
              </w:rPr>
            </w:pPr>
            <w:r>
              <w:rPr>
                <w:rFonts w:hint="default"/>
                <w:highlight w:val="none"/>
                <w:lang w:val="en-US" w:eastAsia="zh-CN"/>
              </w:rPr>
              <w:t>10</w:t>
            </w:r>
          </w:p>
        </w:tc>
        <w:tc>
          <w:tcPr>
            <w:tcW w:w="767" w:type="dxa"/>
            <w:noWrap w:val="0"/>
            <w:tcMar>
              <w:top w:w="15" w:type="dxa"/>
              <w:left w:w="15" w:type="dxa"/>
              <w:right w:w="15" w:type="dxa"/>
            </w:tcMar>
            <w:vAlign w:val="center"/>
          </w:tcPr>
          <w:p w14:paraId="354D1D37">
            <w:pPr>
              <w:pStyle w:val="58"/>
              <w:bidi w:val="0"/>
              <w:rPr>
                <w:rFonts w:hint="default"/>
                <w:highlight w:val="none"/>
                <w:lang w:val="en-US" w:eastAsia="zh-CN"/>
              </w:rPr>
            </w:pPr>
            <w:r>
              <w:rPr>
                <w:rFonts w:hint="default"/>
                <w:highlight w:val="none"/>
                <w:lang w:val="en-US" w:eastAsia="zh-CN"/>
              </w:rPr>
              <w:t>0.5</w:t>
            </w:r>
          </w:p>
        </w:tc>
        <w:tc>
          <w:tcPr>
            <w:tcW w:w="1015" w:type="dxa"/>
            <w:noWrap w:val="0"/>
            <w:tcMar>
              <w:top w:w="15" w:type="dxa"/>
              <w:left w:w="15" w:type="dxa"/>
              <w:right w:w="15" w:type="dxa"/>
            </w:tcMar>
            <w:vAlign w:val="center"/>
          </w:tcPr>
          <w:p w14:paraId="2E6A1A45">
            <w:pPr>
              <w:pStyle w:val="58"/>
              <w:bidi w:val="0"/>
              <w:rPr>
                <w:rFonts w:hint="default"/>
                <w:highlight w:val="none"/>
                <w:lang w:val="en-US" w:eastAsia="zh-CN"/>
              </w:rPr>
            </w:pPr>
            <w:r>
              <w:rPr>
                <w:rFonts w:hint="default"/>
                <w:highlight w:val="none"/>
                <w:lang w:val="en-US" w:eastAsia="zh-CN"/>
              </w:rPr>
              <w:t>0.26</w:t>
            </w:r>
          </w:p>
        </w:tc>
        <w:tc>
          <w:tcPr>
            <w:tcW w:w="883" w:type="dxa"/>
            <w:noWrap w:val="0"/>
            <w:tcMar>
              <w:top w:w="15" w:type="dxa"/>
              <w:left w:w="15" w:type="dxa"/>
              <w:right w:w="15" w:type="dxa"/>
            </w:tcMar>
            <w:vAlign w:val="center"/>
          </w:tcPr>
          <w:p w14:paraId="3D71AD7E">
            <w:pPr>
              <w:pStyle w:val="58"/>
              <w:bidi w:val="0"/>
              <w:rPr>
                <w:rFonts w:hint="default"/>
                <w:highlight w:val="none"/>
                <w:lang w:val="en-US" w:eastAsia="zh-CN"/>
              </w:rPr>
            </w:pPr>
            <w:r>
              <w:rPr>
                <w:rFonts w:hint="default"/>
                <w:highlight w:val="none"/>
                <w:lang w:val="en-US" w:eastAsia="zh-CN"/>
              </w:rPr>
              <w:t>0.24</w:t>
            </w:r>
          </w:p>
        </w:tc>
        <w:tc>
          <w:tcPr>
            <w:tcW w:w="943" w:type="dxa"/>
            <w:noWrap w:val="0"/>
            <w:tcMar>
              <w:top w:w="15" w:type="dxa"/>
              <w:left w:w="15" w:type="dxa"/>
              <w:right w:w="15" w:type="dxa"/>
            </w:tcMar>
            <w:vAlign w:val="center"/>
          </w:tcPr>
          <w:p w14:paraId="620D4491">
            <w:pPr>
              <w:pStyle w:val="58"/>
              <w:bidi w:val="0"/>
              <w:rPr>
                <w:rFonts w:hint="default"/>
                <w:highlight w:val="none"/>
                <w:lang w:val="en-US" w:eastAsia="zh-CN"/>
              </w:rPr>
            </w:pPr>
            <w:r>
              <w:rPr>
                <w:rFonts w:hint="default"/>
                <w:highlight w:val="none"/>
                <w:lang w:val="en-US" w:eastAsia="zh-CN"/>
              </w:rPr>
              <w:t>0.45</w:t>
            </w:r>
          </w:p>
        </w:tc>
        <w:tc>
          <w:tcPr>
            <w:tcW w:w="886" w:type="dxa"/>
            <w:noWrap w:val="0"/>
            <w:tcMar>
              <w:top w:w="15" w:type="dxa"/>
              <w:left w:w="15" w:type="dxa"/>
              <w:right w:w="15" w:type="dxa"/>
            </w:tcMar>
            <w:vAlign w:val="center"/>
          </w:tcPr>
          <w:p w14:paraId="32E68348">
            <w:pPr>
              <w:pStyle w:val="58"/>
              <w:bidi w:val="0"/>
              <w:rPr>
                <w:rFonts w:hint="default"/>
                <w:highlight w:val="none"/>
                <w:lang w:val="en-US" w:eastAsia="zh-CN"/>
              </w:rPr>
            </w:pPr>
            <w:r>
              <w:rPr>
                <w:rFonts w:hint="default"/>
                <w:highlight w:val="none"/>
                <w:lang w:val="en-US" w:eastAsia="zh-CN"/>
              </w:rPr>
              <w:t>0.05</w:t>
            </w:r>
          </w:p>
        </w:tc>
        <w:tc>
          <w:tcPr>
            <w:tcW w:w="660" w:type="dxa"/>
            <w:noWrap w:val="0"/>
            <w:tcMar>
              <w:top w:w="15" w:type="dxa"/>
              <w:left w:w="15" w:type="dxa"/>
              <w:right w:w="15" w:type="dxa"/>
            </w:tcMar>
            <w:vAlign w:val="center"/>
          </w:tcPr>
          <w:p w14:paraId="484164E7">
            <w:pPr>
              <w:pStyle w:val="58"/>
              <w:bidi w:val="0"/>
              <w:rPr>
                <w:rFonts w:hint="default"/>
                <w:highlight w:val="none"/>
                <w:lang w:val="en-US" w:eastAsia="zh-CN"/>
              </w:rPr>
            </w:pPr>
            <w:r>
              <w:rPr>
                <w:rFonts w:hint="default"/>
                <w:highlight w:val="none"/>
                <w:lang w:val="en-US" w:eastAsia="zh-CN"/>
              </w:rPr>
              <w:t>潜水</w:t>
            </w:r>
          </w:p>
        </w:tc>
      </w:tr>
      <w:tr w14:paraId="46D98F2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50" w:type="dxa"/>
            <w:noWrap w:val="0"/>
            <w:tcMar>
              <w:top w:w="15" w:type="dxa"/>
              <w:left w:w="15" w:type="dxa"/>
              <w:right w:w="15" w:type="dxa"/>
            </w:tcMar>
            <w:vAlign w:val="center"/>
          </w:tcPr>
          <w:p w14:paraId="4DED5B47">
            <w:pPr>
              <w:pStyle w:val="58"/>
              <w:bidi w:val="0"/>
              <w:rPr>
                <w:rFonts w:hint="default"/>
                <w:highlight w:val="none"/>
                <w:lang w:val="en-US" w:eastAsia="zh-CN"/>
              </w:rPr>
            </w:pPr>
            <w:r>
              <w:rPr>
                <w:rFonts w:hint="default"/>
                <w:highlight w:val="none"/>
                <w:lang w:val="en-US" w:eastAsia="zh-CN"/>
              </w:rPr>
              <w:t>5</w:t>
            </w:r>
          </w:p>
        </w:tc>
        <w:tc>
          <w:tcPr>
            <w:tcW w:w="450" w:type="dxa"/>
            <w:noWrap w:val="0"/>
            <w:tcMar>
              <w:top w:w="15" w:type="dxa"/>
              <w:left w:w="15" w:type="dxa"/>
              <w:right w:w="15" w:type="dxa"/>
            </w:tcMar>
            <w:vAlign w:val="center"/>
          </w:tcPr>
          <w:p w14:paraId="3C51905B">
            <w:pPr>
              <w:pStyle w:val="58"/>
              <w:bidi w:val="0"/>
              <w:rPr>
                <w:rFonts w:hint="default"/>
                <w:highlight w:val="none"/>
                <w:lang w:val="en-US" w:eastAsia="zh-CN"/>
              </w:rPr>
            </w:pPr>
            <w:r>
              <w:rPr>
                <w:rFonts w:hint="default"/>
                <w:highlight w:val="none"/>
                <w:lang w:val="en-US" w:eastAsia="zh-CN"/>
              </w:rPr>
              <w:t>Q5</w:t>
            </w:r>
          </w:p>
        </w:tc>
        <w:tc>
          <w:tcPr>
            <w:tcW w:w="1704" w:type="dxa"/>
            <w:noWrap w:val="0"/>
            <w:tcMar>
              <w:top w:w="15" w:type="dxa"/>
              <w:left w:w="15" w:type="dxa"/>
              <w:right w:w="15" w:type="dxa"/>
            </w:tcMar>
            <w:vAlign w:val="center"/>
          </w:tcPr>
          <w:p w14:paraId="735D5EDB">
            <w:pPr>
              <w:pStyle w:val="58"/>
              <w:bidi w:val="0"/>
              <w:rPr>
                <w:rFonts w:hint="default"/>
                <w:highlight w:val="none"/>
                <w:lang w:val="en-US" w:eastAsia="zh-CN"/>
              </w:rPr>
            </w:pPr>
            <w:r>
              <w:rPr>
                <w:rFonts w:hint="default"/>
                <w:highlight w:val="none"/>
                <w:lang w:val="en-US" w:eastAsia="zh-CN"/>
              </w:rPr>
              <w:t>E118.267451°，N39.266200°</w:t>
            </w:r>
          </w:p>
        </w:tc>
        <w:tc>
          <w:tcPr>
            <w:tcW w:w="724" w:type="dxa"/>
            <w:noWrap w:val="0"/>
            <w:tcMar>
              <w:top w:w="15" w:type="dxa"/>
              <w:left w:w="15" w:type="dxa"/>
              <w:right w:w="15" w:type="dxa"/>
            </w:tcMar>
            <w:vAlign w:val="center"/>
          </w:tcPr>
          <w:p w14:paraId="0117BCED">
            <w:pPr>
              <w:pStyle w:val="58"/>
              <w:bidi w:val="0"/>
              <w:rPr>
                <w:rFonts w:hint="default"/>
                <w:highlight w:val="none"/>
                <w:lang w:val="en-US" w:eastAsia="zh-CN"/>
              </w:rPr>
            </w:pPr>
            <w:r>
              <w:rPr>
                <w:rFonts w:hint="default"/>
                <w:highlight w:val="none"/>
                <w:lang w:val="en-US" w:eastAsia="zh-CN"/>
              </w:rPr>
              <w:t>10</w:t>
            </w:r>
          </w:p>
        </w:tc>
        <w:tc>
          <w:tcPr>
            <w:tcW w:w="767" w:type="dxa"/>
            <w:noWrap w:val="0"/>
            <w:tcMar>
              <w:top w:w="15" w:type="dxa"/>
              <w:left w:w="15" w:type="dxa"/>
              <w:right w:w="15" w:type="dxa"/>
            </w:tcMar>
            <w:vAlign w:val="center"/>
          </w:tcPr>
          <w:p w14:paraId="340E4D98">
            <w:pPr>
              <w:pStyle w:val="58"/>
              <w:bidi w:val="0"/>
              <w:rPr>
                <w:rFonts w:hint="default"/>
                <w:highlight w:val="none"/>
                <w:lang w:val="en-US" w:eastAsia="zh-CN"/>
              </w:rPr>
            </w:pPr>
            <w:r>
              <w:rPr>
                <w:rFonts w:hint="default"/>
                <w:highlight w:val="none"/>
                <w:lang w:val="en-US" w:eastAsia="zh-CN"/>
              </w:rPr>
              <w:t>1.1</w:t>
            </w:r>
          </w:p>
        </w:tc>
        <w:tc>
          <w:tcPr>
            <w:tcW w:w="1015" w:type="dxa"/>
            <w:noWrap w:val="0"/>
            <w:tcMar>
              <w:top w:w="15" w:type="dxa"/>
              <w:left w:w="15" w:type="dxa"/>
              <w:right w:w="15" w:type="dxa"/>
            </w:tcMar>
            <w:vAlign w:val="center"/>
          </w:tcPr>
          <w:p w14:paraId="357C10D0">
            <w:pPr>
              <w:pStyle w:val="58"/>
              <w:bidi w:val="0"/>
              <w:rPr>
                <w:rFonts w:hint="default"/>
                <w:highlight w:val="none"/>
                <w:lang w:val="en-US" w:eastAsia="zh-CN"/>
              </w:rPr>
            </w:pPr>
            <w:r>
              <w:rPr>
                <w:rFonts w:hint="default"/>
                <w:highlight w:val="none"/>
                <w:lang w:val="en-US" w:eastAsia="zh-CN"/>
              </w:rPr>
              <w:t>0.89</w:t>
            </w:r>
          </w:p>
        </w:tc>
        <w:tc>
          <w:tcPr>
            <w:tcW w:w="883" w:type="dxa"/>
            <w:noWrap w:val="0"/>
            <w:tcMar>
              <w:top w:w="15" w:type="dxa"/>
              <w:left w:w="15" w:type="dxa"/>
              <w:right w:w="15" w:type="dxa"/>
            </w:tcMar>
            <w:vAlign w:val="center"/>
          </w:tcPr>
          <w:p w14:paraId="3E0C768D">
            <w:pPr>
              <w:pStyle w:val="58"/>
              <w:bidi w:val="0"/>
              <w:rPr>
                <w:rFonts w:hint="default"/>
                <w:highlight w:val="none"/>
                <w:lang w:val="en-US" w:eastAsia="zh-CN"/>
              </w:rPr>
            </w:pPr>
            <w:r>
              <w:rPr>
                <w:rFonts w:hint="default"/>
                <w:highlight w:val="none"/>
                <w:lang w:val="en-US" w:eastAsia="zh-CN"/>
              </w:rPr>
              <w:t>0.21</w:t>
            </w:r>
          </w:p>
        </w:tc>
        <w:tc>
          <w:tcPr>
            <w:tcW w:w="943" w:type="dxa"/>
            <w:noWrap w:val="0"/>
            <w:tcMar>
              <w:top w:w="15" w:type="dxa"/>
              <w:left w:w="15" w:type="dxa"/>
              <w:right w:w="15" w:type="dxa"/>
            </w:tcMar>
            <w:vAlign w:val="center"/>
          </w:tcPr>
          <w:p w14:paraId="45F4A10B">
            <w:pPr>
              <w:pStyle w:val="58"/>
              <w:bidi w:val="0"/>
              <w:rPr>
                <w:rFonts w:hint="default"/>
                <w:highlight w:val="none"/>
                <w:lang w:val="en-US" w:eastAsia="zh-CN"/>
              </w:rPr>
            </w:pPr>
            <w:r>
              <w:rPr>
                <w:rFonts w:hint="default"/>
                <w:highlight w:val="none"/>
                <w:lang w:val="en-US" w:eastAsia="zh-CN"/>
              </w:rPr>
              <w:t>1.15</w:t>
            </w:r>
          </w:p>
        </w:tc>
        <w:tc>
          <w:tcPr>
            <w:tcW w:w="886" w:type="dxa"/>
            <w:noWrap w:val="0"/>
            <w:tcMar>
              <w:top w:w="15" w:type="dxa"/>
              <w:left w:w="15" w:type="dxa"/>
              <w:right w:w="15" w:type="dxa"/>
            </w:tcMar>
            <w:vAlign w:val="center"/>
          </w:tcPr>
          <w:p w14:paraId="14FB78FB">
            <w:pPr>
              <w:pStyle w:val="58"/>
              <w:bidi w:val="0"/>
              <w:rPr>
                <w:rFonts w:hint="default"/>
                <w:highlight w:val="none"/>
                <w:lang w:val="en-US" w:eastAsia="zh-CN"/>
              </w:rPr>
            </w:pPr>
            <w:r>
              <w:rPr>
                <w:rFonts w:hint="default"/>
                <w:highlight w:val="none"/>
                <w:lang w:val="en-US" w:eastAsia="zh-CN"/>
              </w:rPr>
              <w:t>-0.05</w:t>
            </w:r>
          </w:p>
        </w:tc>
        <w:tc>
          <w:tcPr>
            <w:tcW w:w="660" w:type="dxa"/>
            <w:noWrap w:val="0"/>
            <w:tcMar>
              <w:top w:w="15" w:type="dxa"/>
              <w:left w:w="15" w:type="dxa"/>
              <w:right w:w="15" w:type="dxa"/>
            </w:tcMar>
            <w:vAlign w:val="center"/>
          </w:tcPr>
          <w:p w14:paraId="7476D0AA">
            <w:pPr>
              <w:pStyle w:val="58"/>
              <w:bidi w:val="0"/>
              <w:rPr>
                <w:rFonts w:hint="default"/>
                <w:highlight w:val="none"/>
                <w:lang w:val="en-US" w:eastAsia="zh-CN"/>
              </w:rPr>
            </w:pPr>
            <w:r>
              <w:rPr>
                <w:rFonts w:hint="default"/>
                <w:highlight w:val="none"/>
                <w:lang w:val="en-US" w:eastAsia="zh-CN"/>
              </w:rPr>
              <w:t>潜水</w:t>
            </w:r>
          </w:p>
        </w:tc>
      </w:tr>
      <w:tr w14:paraId="2BC5BEF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50" w:type="dxa"/>
            <w:noWrap w:val="0"/>
            <w:tcMar>
              <w:top w:w="15" w:type="dxa"/>
              <w:left w:w="15" w:type="dxa"/>
              <w:right w:w="15" w:type="dxa"/>
            </w:tcMar>
            <w:vAlign w:val="center"/>
          </w:tcPr>
          <w:p w14:paraId="74B2F7A2">
            <w:pPr>
              <w:pStyle w:val="58"/>
              <w:bidi w:val="0"/>
              <w:rPr>
                <w:rFonts w:hint="default"/>
                <w:highlight w:val="none"/>
                <w:lang w:val="en-US" w:eastAsia="zh-CN"/>
              </w:rPr>
            </w:pPr>
            <w:r>
              <w:rPr>
                <w:rFonts w:hint="default"/>
                <w:highlight w:val="none"/>
                <w:lang w:val="en-US" w:eastAsia="zh-CN"/>
              </w:rPr>
              <w:t>6</w:t>
            </w:r>
          </w:p>
        </w:tc>
        <w:tc>
          <w:tcPr>
            <w:tcW w:w="450" w:type="dxa"/>
            <w:noWrap w:val="0"/>
            <w:tcMar>
              <w:top w:w="15" w:type="dxa"/>
              <w:left w:w="15" w:type="dxa"/>
              <w:right w:w="15" w:type="dxa"/>
            </w:tcMar>
            <w:vAlign w:val="center"/>
          </w:tcPr>
          <w:p w14:paraId="0916165E">
            <w:pPr>
              <w:pStyle w:val="58"/>
              <w:bidi w:val="0"/>
              <w:rPr>
                <w:rFonts w:hint="default"/>
                <w:highlight w:val="none"/>
                <w:lang w:val="en-US" w:eastAsia="zh-CN"/>
              </w:rPr>
            </w:pPr>
            <w:r>
              <w:rPr>
                <w:rFonts w:hint="default"/>
                <w:highlight w:val="none"/>
                <w:lang w:val="en-US" w:eastAsia="zh-CN"/>
              </w:rPr>
              <w:t>Q6</w:t>
            </w:r>
          </w:p>
        </w:tc>
        <w:tc>
          <w:tcPr>
            <w:tcW w:w="1704" w:type="dxa"/>
            <w:noWrap w:val="0"/>
            <w:tcMar>
              <w:top w:w="15" w:type="dxa"/>
              <w:left w:w="15" w:type="dxa"/>
              <w:right w:w="15" w:type="dxa"/>
            </w:tcMar>
            <w:vAlign w:val="center"/>
          </w:tcPr>
          <w:p w14:paraId="3CE3A09C">
            <w:pPr>
              <w:pStyle w:val="58"/>
              <w:bidi w:val="0"/>
              <w:rPr>
                <w:rFonts w:hint="default"/>
                <w:highlight w:val="none"/>
                <w:lang w:val="en-US" w:eastAsia="zh-CN"/>
              </w:rPr>
            </w:pPr>
            <w:r>
              <w:rPr>
                <w:rFonts w:hint="default"/>
                <w:highlight w:val="none"/>
                <w:lang w:val="en-US" w:eastAsia="zh-CN"/>
              </w:rPr>
              <w:t>E118.271228°，N39.265943°</w:t>
            </w:r>
          </w:p>
        </w:tc>
        <w:tc>
          <w:tcPr>
            <w:tcW w:w="724" w:type="dxa"/>
            <w:noWrap w:val="0"/>
            <w:tcMar>
              <w:top w:w="15" w:type="dxa"/>
              <w:left w:w="15" w:type="dxa"/>
              <w:right w:w="15" w:type="dxa"/>
            </w:tcMar>
            <w:vAlign w:val="center"/>
          </w:tcPr>
          <w:p w14:paraId="305D74DC">
            <w:pPr>
              <w:pStyle w:val="58"/>
              <w:bidi w:val="0"/>
              <w:rPr>
                <w:rFonts w:hint="default"/>
                <w:highlight w:val="none"/>
                <w:lang w:val="en-US" w:eastAsia="zh-CN"/>
              </w:rPr>
            </w:pPr>
            <w:r>
              <w:rPr>
                <w:rFonts w:hint="default"/>
                <w:highlight w:val="none"/>
                <w:lang w:val="en-US" w:eastAsia="zh-CN"/>
              </w:rPr>
              <w:t>15</w:t>
            </w:r>
          </w:p>
        </w:tc>
        <w:tc>
          <w:tcPr>
            <w:tcW w:w="767" w:type="dxa"/>
            <w:noWrap w:val="0"/>
            <w:tcMar>
              <w:top w:w="15" w:type="dxa"/>
              <w:left w:w="15" w:type="dxa"/>
              <w:right w:w="15" w:type="dxa"/>
            </w:tcMar>
            <w:vAlign w:val="center"/>
          </w:tcPr>
          <w:p w14:paraId="0BC9B7AB">
            <w:pPr>
              <w:pStyle w:val="58"/>
              <w:bidi w:val="0"/>
              <w:rPr>
                <w:rFonts w:hint="default"/>
                <w:highlight w:val="none"/>
                <w:lang w:val="en-US" w:eastAsia="zh-CN"/>
              </w:rPr>
            </w:pPr>
            <w:r>
              <w:rPr>
                <w:rFonts w:hint="default"/>
                <w:highlight w:val="none"/>
                <w:lang w:val="en-US" w:eastAsia="zh-CN"/>
              </w:rPr>
              <w:t>0.9</w:t>
            </w:r>
          </w:p>
        </w:tc>
        <w:tc>
          <w:tcPr>
            <w:tcW w:w="1015" w:type="dxa"/>
            <w:noWrap w:val="0"/>
            <w:tcMar>
              <w:top w:w="15" w:type="dxa"/>
              <w:left w:w="15" w:type="dxa"/>
              <w:right w:w="15" w:type="dxa"/>
            </w:tcMar>
            <w:vAlign w:val="center"/>
          </w:tcPr>
          <w:p w14:paraId="43339449">
            <w:pPr>
              <w:pStyle w:val="58"/>
              <w:bidi w:val="0"/>
              <w:rPr>
                <w:rFonts w:hint="default"/>
                <w:highlight w:val="none"/>
                <w:lang w:val="en-US" w:eastAsia="zh-CN"/>
              </w:rPr>
            </w:pPr>
            <w:r>
              <w:rPr>
                <w:rFonts w:hint="default"/>
                <w:highlight w:val="none"/>
                <w:lang w:val="en-US" w:eastAsia="zh-CN"/>
              </w:rPr>
              <w:t>0.73</w:t>
            </w:r>
          </w:p>
        </w:tc>
        <w:tc>
          <w:tcPr>
            <w:tcW w:w="883" w:type="dxa"/>
            <w:noWrap w:val="0"/>
            <w:tcMar>
              <w:top w:w="15" w:type="dxa"/>
              <w:left w:w="15" w:type="dxa"/>
              <w:right w:w="15" w:type="dxa"/>
            </w:tcMar>
            <w:vAlign w:val="center"/>
          </w:tcPr>
          <w:p w14:paraId="769BA1B9">
            <w:pPr>
              <w:pStyle w:val="58"/>
              <w:bidi w:val="0"/>
              <w:rPr>
                <w:rFonts w:hint="default"/>
                <w:highlight w:val="none"/>
                <w:lang w:val="en-US" w:eastAsia="zh-CN"/>
              </w:rPr>
            </w:pPr>
            <w:r>
              <w:rPr>
                <w:rFonts w:hint="default"/>
                <w:highlight w:val="none"/>
                <w:lang w:val="en-US" w:eastAsia="zh-CN"/>
              </w:rPr>
              <w:t>0.17</w:t>
            </w:r>
          </w:p>
        </w:tc>
        <w:tc>
          <w:tcPr>
            <w:tcW w:w="943" w:type="dxa"/>
            <w:noWrap w:val="0"/>
            <w:tcMar>
              <w:top w:w="15" w:type="dxa"/>
              <w:left w:w="15" w:type="dxa"/>
              <w:right w:w="15" w:type="dxa"/>
            </w:tcMar>
            <w:vAlign w:val="center"/>
          </w:tcPr>
          <w:p w14:paraId="67ABBBB5">
            <w:pPr>
              <w:pStyle w:val="58"/>
              <w:bidi w:val="0"/>
              <w:rPr>
                <w:rFonts w:hint="default"/>
                <w:highlight w:val="none"/>
                <w:lang w:val="en-US" w:eastAsia="zh-CN"/>
              </w:rPr>
            </w:pPr>
            <w:r>
              <w:rPr>
                <w:rFonts w:hint="default"/>
                <w:highlight w:val="none"/>
                <w:lang w:val="en-US" w:eastAsia="zh-CN"/>
              </w:rPr>
              <w:t>0.99</w:t>
            </w:r>
          </w:p>
        </w:tc>
        <w:tc>
          <w:tcPr>
            <w:tcW w:w="886" w:type="dxa"/>
            <w:noWrap w:val="0"/>
            <w:tcMar>
              <w:top w:w="15" w:type="dxa"/>
              <w:left w:w="15" w:type="dxa"/>
              <w:right w:w="15" w:type="dxa"/>
            </w:tcMar>
            <w:vAlign w:val="center"/>
          </w:tcPr>
          <w:p w14:paraId="36EB12BC">
            <w:pPr>
              <w:pStyle w:val="58"/>
              <w:bidi w:val="0"/>
              <w:rPr>
                <w:rFonts w:hint="default"/>
                <w:highlight w:val="none"/>
                <w:lang w:val="en-US" w:eastAsia="zh-CN"/>
              </w:rPr>
            </w:pPr>
            <w:r>
              <w:rPr>
                <w:rFonts w:hint="default"/>
                <w:highlight w:val="none"/>
                <w:lang w:val="en-US" w:eastAsia="zh-CN"/>
              </w:rPr>
              <w:t>-0.09</w:t>
            </w:r>
          </w:p>
        </w:tc>
        <w:tc>
          <w:tcPr>
            <w:tcW w:w="660" w:type="dxa"/>
            <w:noWrap w:val="0"/>
            <w:tcMar>
              <w:top w:w="15" w:type="dxa"/>
              <w:left w:w="15" w:type="dxa"/>
              <w:right w:w="15" w:type="dxa"/>
            </w:tcMar>
            <w:vAlign w:val="center"/>
          </w:tcPr>
          <w:p w14:paraId="372F740C">
            <w:pPr>
              <w:pStyle w:val="58"/>
              <w:bidi w:val="0"/>
              <w:rPr>
                <w:rFonts w:hint="default"/>
                <w:highlight w:val="none"/>
                <w:lang w:val="en-US" w:eastAsia="zh-CN"/>
              </w:rPr>
            </w:pPr>
            <w:r>
              <w:rPr>
                <w:rFonts w:hint="default"/>
                <w:highlight w:val="none"/>
                <w:lang w:val="en-US" w:eastAsia="zh-CN"/>
              </w:rPr>
              <w:t>潜水</w:t>
            </w:r>
          </w:p>
        </w:tc>
      </w:tr>
      <w:tr w14:paraId="6F9FC8E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50" w:type="dxa"/>
            <w:noWrap w:val="0"/>
            <w:tcMar>
              <w:top w:w="15" w:type="dxa"/>
              <w:left w:w="15" w:type="dxa"/>
              <w:right w:w="15" w:type="dxa"/>
            </w:tcMar>
            <w:vAlign w:val="center"/>
          </w:tcPr>
          <w:p w14:paraId="30391E1C">
            <w:pPr>
              <w:pStyle w:val="58"/>
              <w:bidi w:val="0"/>
              <w:rPr>
                <w:rFonts w:hint="default"/>
                <w:highlight w:val="none"/>
                <w:lang w:val="en-US" w:eastAsia="zh-CN"/>
              </w:rPr>
            </w:pPr>
            <w:r>
              <w:rPr>
                <w:rFonts w:hint="default"/>
                <w:highlight w:val="none"/>
                <w:lang w:val="en-US" w:eastAsia="zh-CN"/>
              </w:rPr>
              <w:t>7</w:t>
            </w:r>
          </w:p>
        </w:tc>
        <w:tc>
          <w:tcPr>
            <w:tcW w:w="450" w:type="dxa"/>
            <w:noWrap w:val="0"/>
            <w:tcMar>
              <w:top w:w="15" w:type="dxa"/>
              <w:left w:w="15" w:type="dxa"/>
              <w:right w:w="15" w:type="dxa"/>
            </w:tcMar>
            <w:vAlign w:val="center"/>
          </w:tcPr>
          <w:p w14:paraId="33A32D97">
            <w:pPr>
              <w:pStyle w:val="58"/>
              <w:bidi w:val="0"/>
              <w:rPr>
                <w:rFonts w:hint="default"/>
                <w:highlight w:val="none"/>
                <w:lang w:val="en-US" w:eastAsia="zh-CN"/>
              </w:rPr>
            </w:pPr>
            <w:r>
              <w:rPr>
                <w:rFonts w:hint="default"/>
                <w:highlight w:val="none"/>
                <w:lang w:val="en-US" w:eastAsia="zh-CN"/>
              </w:rPr>
              <w:t>Q7</w:t>
            </w:r>
          </w:p>
        </w:tc>
        <w:tc>
          <w:tcPr>
            <w:tcW w:w="1704" w:type="dxa"/>
            <w:noWrap w:val="0"/>
            <w:tcMar>
              <w:top w:w="15" w:type="dxa"/>
              <w:left w:w="15" w:type="dxa"/>
              <w:right w:w="15" w:type="dxa"/>
            </w:tcMar>
            <w:vAlign w:val="center"/>
          </w:tcPr>
          <w:p w14:paraId="3BF0CE62">
            <w:pPr>
              <w:pStyle w:val="58"/>
              <w:bidi w:val="0"/>
              <w:rPr>
                <w:rFonts w:hint="default"/>
                <w:highlight w:val="none"/>
                <w:lang w:val="en-US" w:eastAsia="zh-CN"/>
              </w:rPr>
            </w:pPr>
            <w:r>
              <w:rPr>
                <w:rFonts w:hint="default"/>
                <w:highlight w:val="none"/>
                <w:lang w:val="en-US" w:eastAsia="zh-CN"/>
              </w:rPr>
              <w:t>E118.288523°，N39.268260°</w:t>
            </w:r>
          </w:p>
        </w:tc>
        <w:tc>
          <w:tcPr>
            <w:tcW w:w="724" w:type="dxa"/>
            <w:noWrap w:val="0"/>
            <w:tcMar>
              <w:top w:w="15" w:type="dxa"/>
              <w:left w:w="15" w:type="dxa"/>
              <w:right w:w="15" w:type="dxa"/>
            </w:tcMar>
            <w:vAlign w:val="center"/>
          </w:tcPr>
          <w:p w14:paraId="1DC918FA">
            <w:pPr>
              <w:pStyle w:val="58"/>
              <w:bidi w:val="0"/>
              <w:rPr>
                <w:rFonts w:hint="default"/>
                <w:highlight w:val="none"/>
                <w:lang w:val="en-US" w:eastAsia="zh-CN"/>
              </w:rPr>
            </w:pPr>
            <w:r>
              <w:rPr>
                <w:rFonts w:hint="default"/>
                <w:highlight w:val="none"/>
                <w:lang w:val="en-US" w:eastAsia="zh-CN"/>
              </w:rPr>
              <w:t>18</w:t>
            </w:r>
          </w:p>
        </w:tc>
        <w:tc>
          <w:tcPr>
            <w:tcW w:w="767" w:type="dxa"/>
            <w:noWrap w:val="0"/>
            <w:tcMar>
              <w:top w:w="15" w:type="dxa"/>
              <w:left w:w="15" w:type="dxa"/>
              <w:right w:w="15" w:type="dxa"/>
            </w:tcMar>
            <w:vAlign w:val="center"/>
          </w:tcPr>
          <w:p w14:paraId="7729DE19">
            <w:pPr>
              <w:pStyle w:val="58"/>
              <w:bidi w:val="0"/>
              <w:rPr>
                <w:rFonts w:hint="default"/>
                <w:highlight w:val="none"/>
                <w:lang w:val="en-US" w:eastAsia="zh-CN"/>
              </w:rPr>
            </w:pPr>
            <w:r>
              <w:rPr>
                <w:rFonts w:hint="default"/>
                <w:highlight w:val="none"/>
                <w:lang w:val="en-US" w:eastAsia="zh-CN"/>
              </w:rPr>
              <w:t>1</w:t>
            </w:r>
          </w:p>
        </w:tc>
        <w:tc>
          <w:tcPr>
            <w:tcW w:w="1015" w:type="dxa"/>
            <w:noWrap w:val="0"/>
            <w:tcMar>
              <w:top w:w="15" w:type="dxa"/>
              <w:left w:w="15" w:type="dxa"/>
              <w:right w:w="15" w:type="dxa"/>
            </w:tcMar>
            <w:vAlign w:val="center"/>
          </w:tcPr>
          <w:p w14:paraId="19FD7758">
            <w:pPr>
              <w:pStyle w:val="58"/>
              <w:bidi w:val="0"/>
              <w:rPr>
                <w:rFonts w:hint="default"/>
                <w:highlight w:val="none"/>
                <w:lang w:val="en-US" w:eastAsia="zh-CN"/>
              </w:rPr>
            </w:pPr>
            <w:r>
              <w:rPr>
                <w:rFonts w:hint="default"/>
                <w:highlight w:val="none"/>
                <w:lang w:val="en-US" w:eastAsia="zh-CN"/>
              </w:rPr>
              <w:t>0.76</w:t>
            </w:r>
          </w:p>
        </w:tc>
        <w:tc>
          <w:tcPr>
            <w:tcW w:w="883" w:type="dxa"/>
            <w:noWrap w:val="0"/>
            <w:tcMar>
              <w:top w:w="15" w:type="dxa"/>
              <w:left w:w="15" w:type="dxa"/>
              <w:right w:w="15" w:type="dxa"/>
            </w:tcMar>
            <w:vAlign w:val="center"/>
          </w:tcPr>
          <w:p w14:paraId="661ADC8B">
            <w:pPr>
              <w:pStyle w:val="58"/>
              <w:bidi w:val="0"/>
              <w:rPr>
                <w:rFonts w:hint="default"/>
                <w:highlight w:val="none"/>
                <w:lang w:val="en-US" w:eastAsia="zh-CN"/>
              </w:rPr>
            </w:pPr>
            <w:r>
              <w:rPr>
                <w:rFonts w:hint="default"/>
                <w:highlight w:val="none"/>
                <w:lang w:val="en-US" w:eastAsia="zh-CN"/>
              </w:rPr>
              <w:t>0.24</w:t>
            </w:r>
          </w:p>
        </w:tc>
        <w:tc>
          <w:tcPr>
            <w:tcW w:w="943" w:type="dxa"/>
            <w:noWrap w:val="0"/>
            <w:tcMar>
              <w:top w:w="15" w:type="dxa"/>
              <w:left w:w="15" w:type="dxa"/>
              <w:right w:w="15" w:type="dxa"/>
            </w:tcMar>
            <w:vAlign w:val="center"/>
          </w:tcPr>
          <w:p w14:paraId="1770969D">
            <w:pPr>
              <w:pStyle w:val="58"/>
              <w:bidi w:val="0"/>
              <w:rPr>
                <w:rFonts w:hint="default"/>
                <w:highlight w:val="none"/>
                <w:lang w:val="en-US" w:eastAsia="zh-CN"/>
              </w:rPr>
            </w:pPr>
            <w:r>
              <w:rPr>
                <w:rFonts w:hint="default"/>
                <w:highlight w:val="none"/>
                <w:lang w:val="en-US" w:eastAsia="zh-CN"/>
              </w:rPr>
              <w:t>0.92</w:t>
            </w:r>
          </w:p>
        </w:tc>
        <w:tc>
          <w:tcPr>
            <w:tcW w:w="886" w:type="dxa"/>
            <w:noWrap w:val="0"/>
            <w:tcMar>
              <w:top w:w="15" w:type="dxa"/>
              <w:left w:w="15" w:type="dxa"/>
              <w:right w:w="15" w:type="dxa"/>
            </w:tcMar>
            <w:vAlign w:val="center"/>
          </w:tcPr>
          <w:p w14:paraId="7078D569">
            <w:pPr>
              <w:pStyle w:val="58"/>
              <w:bidi w:val="0"/>
              <w:rPr>
                <w:rFonts w:hint="default"/>
                <w:highlight w:val="none"/>
                <w:lang w:val="en-US" w:eastAsia="zh-CN"/>
              </w:rPr>
            </w:pPr>
            <w:r>
              <w:rPr>
                <w:rFonts w:hint="default"/>
                <w:highlight w:val="none"/>
                <w:lang w:val="en-US" w:eastAsia="zh-CN"/>
              </w:rPr>
              <w:t>0.08</w:t>
            </w:r>
          </w:p>
        </w:tc>
        <w:tc>
          <w:tcPr>
            <w:tcW w:w="660" w:type="dxa"/>
            <w:noWrap w:val="0"/>
            <w:tcMar>
              <w:top w:w="15" w:type="dxa"/>
              <w:left w:w="15" w:type="dxa"/>
              <w:right w:w="15" w:type="dxa"/>
            </w:tcMar>
            <w:vAlign w:val="center"/>
          </w:tcPr>
          <w:p w14:paraId="1F387365">
            <w:pPr>
              <w:pStyle w:val="58"/>
              <w:bidi w:val="0"/>
              <w:rPr>
                <w:rFonts w:hint="default"/>
                <w:highlight w:val="none"/>
                <w:lang w:val="en-US" w:eastAsia="zh-CN"/>
              </w:rPr>
            </w:pPr>
            <w:r>
              <w:rPr>
                <w:rFonts w:hint="default"/>
                <w:highlight w:val="none"/>
                <w:lang w:val="en-US" w:eastAsia="zh-CN"/>
              </w:rPr>
              <w:t>潜水</w:t>
            </w:r>
          </w:p>
        </w:tc>
      </w:tr>
      <w:tr w14:paraId="65FD73C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50" w:type="dxa"/>
            <w:noWrap w:val="0"/>
            <w:tcMar>
              <w:top w:w="15" w:type="dxa"/>
              <w:left w:w="15" w:type="dxa"/>
              <w:right w:w="15" w:type="dxa"/>
            </w:tcMar>
            <w:vAlign w:val="center"/>
          </w:tcPr>
          <w:p w14:paraId="6D50D70E">
            <w:pPr>
              <w:pStyle w:val="58"/>
              <w:bidi w:val="0"/>
              <w:rPr>
                <w:rFonts w:hint="default"/>
                <w:highlight w:val="none"/>
                <w:lang w:val="en-US" w:eastAsia="zh-CN"/>
              </w:rPr>
            </w:pPr>
            <w:r>
              <w:rPr>
                <w:rFonts w:hint="default"/>
                <w:highlight w:val="none"/>
                <w:lang w:val="en-US" w:eastAsia="zh-CN"/>
              </w:rPr>
              <w:t>8</w:t>
            </w:r>
          </w:p>
        </w:tc>
        <w:tc>
          <w:tcPr>
            <w:tcW w:w="450" w:type="dxa"/>
            <w:noWrap w:val="0"/>
            <w:tcMar>
              <w:top w:w="15" w:type="dxa"/>
              <w:left w:w="15" w:type="dxa"/>
              <w:right w:w="15" w:type="dxa"/>
            </w:tcMar>
            <w:vAlign w:val="center"/>
          </w:tcPr>
          <w:p w14:paraId="61A98475">
            <w:pPr>
              <w:pStyle w:val="58"/>
              <w:bidi w:val="0"/>
              <w:rPr>
                <w:rFonts w:hint="default"/>
                <w:highlight w:val="none"/>
                <w:lang w:val="en-US" w:eastAsia="zh-CN"/>
              </w:rPr>
            </w:pPr>
            <w:r>
              <w:rPr>
                <w:rFonts w:hint="default"/>
                <w:highlight w:val="none"/>
                <w:lang w:val="en-US" w:eastAsia="zh-CN"/>
              </w:rPr>
              <w:t>Q8</w:t>
            </w:r>
          </w:p>
        </w:tc>
        <w:tc>
          <w:tcPr>
            <w:tcW w:w="1704" w:type="dxa"/>
            <w:noWrap w:val="0"/>
            <w:tcMar>
              <w:top w:w="15" w:type="dxa"/>
              <w:left w:w="15" w:type="dxa"/>
              <w:right w:w="15" w:type="dxa"/>
            </w:tcMar>
            <w:vAlign w:val="center"/>
          </w:tcPr>
          <w:p w14:paraId="643A9D90">
            <w:pPr>
              <w:pStyle w:val="58"/>
              <w:bidi w:val="0"/>
              <w:rPr>
                <w:rFonts w:hint="default"/>
                <w:highlight w:val="none"/>
                <w:lang w:val="en-US" w:eastAsia="zh-CN"/>
              </w:rPr>
            </w:pPr>
            <w:r>
              <w:rPr>
                <w:rFonts w:hint="default"/>
                <w:highlight w:val="none"/>
                <w:lang w:val="en-US" w:eastAsia="zh-CN"/>
              </w:rPr>
              <w:t>E118.260213°，N39.259407°</w:t>
            </w:r>
          </w:p>
        </w:tc>
        <w:tc>
          <w:tcPr>
            <w:tcW w:w="724" w:type="dxa"/>
            <w:noWrap w:val="0"/>
            <w:tcMar>
              <w:top w:w="15" w:type="dxa"/>
              <w:left w:w="15" w:type="dxa"/>
              <w:right w:w="15" w:type="dxa"/>
            </w:tcMar>
            <w:vAlign w:val="center"/>
          </w:tcPr>
          <w:p w14:paraId="68B33F4D">
            <w:pPr>
              <w:pStyle w:val="58"/>
              <w:bidi w:val="0"/>
              <w:rPr>
                <w:rFonts w:hint="default"/>
                <w:highlight w:val="none"/>
                <w:lang w:val="en-US" w:eastAsia="zh-CN"/>
              </w:rPr>
            </w:pPr>
            <w:r>
              <w:rPr>
                <w:rFonts w:hint="default"/>
                <w:highlight w:val="none"/>
                <w:lang w:val="en-US" w:eastAsia="zh-CN"/>
              </w:rPr>
              <w:t>16</w:t>
            </w:r>
          </w:p>
        </w:tc>
        <w:tc>
          <w:tcPr>
            <w:tcW w:w="767" w:type="dxa"/>
            <w:noWrap w:val="0"/>
            <w:tcMar>
              <w:top w:w="15" w:type="dxa"/>
              <w:left w:w="15" w:type="dxa"/>
              <w:right w:w="15" w:type="dxa"/>
            </w:tcMar>
            <w:vAlign w:val="center"/>
          </w:tcPr>
          <w:p w14:paraId="24E54D4F">
            <w:pPr>
              <w:pStyle w:val="58"/>
              <w:bidi w:val="0"/>
              <w:rPr>
                <w:rFonts w:hint="default"/>
                <w:highlight w:val="none"/>
                <w:lang w:val="en-US" w:eastAsia="zh-CN"/>
              </w:rPr>
            </w:pPr>
            <w:r>
              <w:rPr>
                <w:rFonts w:hint="default"/>
                <w:highlight w:val="none"/>
                <w:lang w:val="en-US" w:eastAsia="zh-CN"/>
              </w:rPr>
              <w:t>0.5</w:t>
            </w:r>
          </w:p>
        </w:tc>
        <w:tc>
          <w:tcPr>
            <w:tcW w:w="1015" w:type="dxa"/>
            <w:noWrap w:val="0"/>
            <w:tcMar>
              <w:top w:w="15" w:type="dxa"/>
              <w:left w:w="15" w:type="dxa"/>
              <w:right w:w="15" w:type="dxa"/>
            </w:tcMar>
            <w:vAlign w:val="center"/>
          </w:tcPr>
          <w:p w14:paraId="32430D05">
            <w:pPr>
              <w:pStyle w:val="58"/>
              <w:bidi w:val="0"/>
              <w:rPr>
                <w:rFonts w:hint="default"/>
                <w:highlight w:val="none"/>
                <w:lang w:val="en-US" w:eastAsia="zh-CN"/>
              </w:rPr>
            </w:pPr>
            <w:r>
              <w:rPr>
                <w:rFonts w:hint="default"/>
                <w:highlight w:val="none"/>
                <w:lang w:val="en-US" w:eastAsia="zh-CN"/>
              </w:rPr>
              <w:t>0.6</w:t>
            </w:r>
          </w:p>
        </w:tc>
        <w:tc>
          <w:tcPr>
            <w:tcW w:w="883" w:type="dxa"/>
            <w:noWrap w:val="0"/>
            <w:tcMar>
              <w:top w:w="15" w:type="dxa"/>
              <w:left w:w="15" w:type="dxa"/>
              <w:right w:w="15" w:type="dxa"/>
            </w:tcMar>
            <w:vAlign w:val="center"/>
          </w:tcPr>
          <w:p w14:paraId="653A6873">
            <w:pPr>
              <w:pStyle w:val="58"/>
              <w:bidi w:val="0"/>
              <w:rPr>
                <w:rFonts w:hint="default"/>
                <w:highlight w:val="none"/>
                <w:lang w:val="en-US" w:eastAsia="zh-CN"/>
              </w:rPr>
            </w:pPr>
            <w:r>
              <w:rPr>
                <w:rFonts w:hint="default"/>
                <w:highlight w:val="none"/>
                <w:lang w:val="en-US" w:eastAsia="zh-CN"/>
              </w:rPr>
              <w:t>-0.10</w:t>
            </w:r>
          </w:p>
        </w:tc>
        <w:tc>
          <w:tcPr>
            <w:tcW w:w="943" w:type="dxa"/>
            <w:noWrap w:val="0"/>
            <w:tcMar>
              <w:top w:w="15" w:type="dxa"/>
              <w:left w:w="15" w:type="dxa"/>
              <w:right w:w="15" w:type="dxa"/>
            </w:tcMar>
            <w:vAlign w:val="center"/>
          </w:tcPr>
          <w:p w14:paraId="3FDA7936">
            <w:pPr>
              <w:pStyle w:val="58"/>
              <w:bidi w:val="0"/>
              <w:rPr>
                <w:rFonts w:hint="default"/>
                <w:highlight w:val="none"/>
                <w:lang w:val="en-US" w:eastAsia="zh-CN"/>
              </w:rPr>
            </w:pPr>
            <w:r>
              <w:rPr>
                <w:rFonts w:hint="default"/>
                <w:highlight w:val="none"/>
                <w:lang w:val="en-US" w:eastAsia="zh-CN"/>
              </w:rPr>
              <w:t>0.87</w:t>
            </w:r>
          </w:p>
        </w:tc>
        <w:tc>
          <w:tcPr>
            <w:tcW w:w="886" w:type="dxa"/>
            <w:noWrap w:val="0"/>
            <w:tcMar>
              <w:top w:w="15" w:type="dxa"/>
              <w:left w:w="15" w:type="dxa"/>
              <w:right w:w="15" w:type="dxa"/>
            </w:tcMar>
            <w:vAlign w:val="center"/>
          </w:tcPr>
          <w:p w14:paraId="120F4982">
            <w:pPr>
              <w:pStyle w:val="58"/>
              <w:bidi w:val="0"/>
              <w:rPr>
                <w:rFonts w:hint="default"/>
                <w:highlight w:val="none"/>
                <w:lang w:val="en-US" w:eastAsia="zh-CN"/>
              </w:rPr>
            </w:pPr>
            <w:r>
              <w:rPr>
                <w:rFonts w:hint="default"/>
                <w:highlight w:val="none"/>
                <w:lang w:val="en-US" w:eastAsia="zh-CN"/>
              </w:rPr>
              <w:t>-0.37</w:t>
            </w:r>
          </w:p>
        </w:tc>
        <w:tc>
          <w:tcPr>
            <w:tcW w:w="660" w:type="dxa"/>
            <w:noWrap w:val="0"/>
            <w:tcMar>
              <w:top w:w="15" w:type="dxa"/>
              <w:left w:w="15" w:type="dxa"/>
              <w:right w:w="15" w:type="dxa"/>
            </w:tcMar>
            <w:vAlign w:val="center"/>
          </w:tcPr>
          <w:p w14:paraId="47DA9942">
            <w:pPr>
              <w:pStyle w:val="58"/>
              <w:bidi w:val="0"/>
              <w:rPr>
                <w:rFonts w:hint="default"/>
                <w:highlight w:val="none"/>
                <w:lang w:val="en-US" w:eastAsia="zh-CN"/>
              </w:rPr>
            </w:pPr>
            <w:r>
              <w:rPr>
                <w:rFonts w:hint="default"/>
                <w:highlight w:val="none"/>
                <w:lang w:val="en-US" w:eastAsia="zh-CN"/>
              </w:rPr>
              <w:t>潜水</w:t>
            </w:r>
          </w:p>
        </w:tc>
      </w:tr>
      <w:tr w14:paraId="4CAAA5C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50" w:type="dxa"/>
            <w:noWrap w:val="0"/>
            <w:tcMar>
              <w:top w:w="15" w:type="dxa"/>
              <w:left w:w="15" w:type="dxa"/>
              <w:right w:w="15" w:type="dxa"/>
            </w:tcMar>
            <w:vAlign w:val="center"/>
          </w:tcPr>
          <w:p w14:paraId="448E89E7">
            <w:pPr>
              <w:pStyle w:val="58"/>
              <w:bidi w:val="0"/>
              <w:rPr>
                <w:rFonts w:hint="default"/>
                <w:highlight w:val="none"/>
                <w:lang w:val="en-US" w:eastAsia="zh-CN"/>
              </w:rPr>
            </w:pPr>
            <w:r>
              <w:rPr>
                <w:rFonts w:hint="default"/>
                <w:highlight w:val="none"/>
                <w:lang w:val="en-US" w:eastAsia="zh-CN"/>
              </w:rPr>
              <w:t>9</w:t>
            </w:r>
          </w:p>
        </w:tc>
        <w:tc>
          <w:tcPr>
            <w:tcW w:w="450" w:type="dxa"/>
            <w:noWrap w:val="0"/>
            <w:tcMar>
              <w:top w:w="15" w:type="dxa"/>
              <w:left w:w="15" w:type="dxa"/>
              <w:right w:w="15" w:type="dxa"/>
            </w:tcMar>
            <w:vAlign w:val="center"/>
          </w:tcPr>
          <w:p w14:paraId="77E22AE4">
            <w:pPr>
              <w:pStyle w:val="58"/>
              <w:bidi w:val="0"/>
              <w:rPr>
                <w:rFonts w:hint="default"/>
                <w:highlight w:val="none"/>
                <w:lang w:val="en-US" w:eastAsia="zh-CN"/>
              </w:rPr>
            </w:pPr>
            <w:r>
              <w:rPr>
                <w:rFonts w:hint="default"/>
                <w:highlight w:val="none"/>
                <w:lang w:val="en-US" w:eastAsia="zh-CN"/>
              </w:rPr>
              <w:t>Q9</w:t>
            </w:r>
          </w:p>
        </w:tc>
        <w:tc>
          <w:tcPr>
            <w:tcW w:w="1704" w:type="dxa"/>
            <w:noWrap w:val="0"/>
            <w:tcMar>
              <w:top w:w="15" w:type="dxa"/>
              <w:left w:w="15" w:type="dxa"/>
              <w:right w:w="15" w:type="dxa"/>
            </w:tcMar>
            <w:vAlign w:val="center"/>
          </w:tcPr>
          <w:p w14:paraId="7BF33518">
            <w:pPr>
              <w:pStyle w:val="58"/>
              <w:bidi w:val="0"/>
              <w:rPr>
                <w:rFonts w:hint="default"/>
                <w:highlight w:val="none"/>
                <w:lang w:val="en-US" w:eastAsia="zh-CN"/>
              </w:rPr>
            </w:pPr>
            <w:r>
              <w:rPr>
                <w:rFonts w:hint="default"/>
                <w:highlight w:val="none"/>
                <w:lang w:val="en-US" w:eastAsia="zh-CN"/>
              </w:rPr>
              <w:t>E118.269125°，N39.261394°</w:t>
            </w:r>
          </w:p>
        </w:tc>
        <w:tc>
          <w:tcPr>
            <w:tcW w:w="724" w:type="dxa"/>
            <w:noWrap w:val="0"/>
            <w:tcMar>
              <w:top w:w="15" w:type="dxa"/>
              <w:left w:w="15" w:type="dxa"/>
              <w:right w:w="15" w:type="dxa"/>
            </w:tcMar>
            <w:vAlign w:val="center"/>
          </w:tcPr>
          <w:p w14:paraId="27B21165">
            <w:pPr>
              <w:pStyle w:val="58"/>
              <w:bidi w:val="0"/>
              <w:rPr>
                <w:rFonts w:hint="default"/>
                <w:highlight w:val="none"/>
                <w:lang w:val="en-US" w:eastAsia="zh-CN"/>
              </w:rPr>
            </w:pPr>
            <w:r>
              <w:rPr>
                <w:rFonts w:hint="default"/>
                <w:highlight w:val="none"/>
                <w:lang w:val="en-US" w:eastAsia="zh-CN"/>
              </w:rPr>
              <w:t>15</w:t>
            </w:r>
          </w:p>
        </w:tc>
        <w:tc>
          <w:tcPr>
            <w:tcW w:w="767" w:type="dxa"/>
            <w:noWrap w:val="0"/>
            <w:tcMar>
              <w:top w:w="15" w:type="dxa"/>
              <w:left w:w="15" w:type="dxa"/>
              <w:right w:w="15" w:type="dxa"/>
            </w:tcMar>
            <w:vAlign w:val="center"/>
          </w:tcPr>
          <w:p w14:paraId="42B6DF71">
            <w:pPr>
              <w:pStyle w:val="58"/>
              <w:bidi w:val="0"/>
              <w:rPr>
                <w:rFonts w:hint="default"/>
                <w:highlight w:val="none"/>
                <w:lang w:val="en-US" w:eastAsia="zh-CN"/>
              </w:rPr>
            </w:pPr>
            <w:r>
              <w:rPr>
                <w:rFonts w:hint="default"/>
                <w:highlight w:val="none"/>
                <w:lang w:val="en-US" w:eastAsia="zh-CN"/>
              </w:rPr>
              <w:t>0.8</w:t>
            </w:r>
          </w:p>
        </w:tc>
        <w:tc>
          <w:tcPr>
            <w:tcW w:w="1015" w:type="dxa"/>
            <w:noWrap w:val="0"/>
            <w:tcMar>
              <w:top w:w="15" w:type="dxa"/>
              <w:left w:w="15" w:type="dxa"/>
              <w:right w:w="15" w:type="dxa"/>
            </w:tcMar>
            <w:vAlign w:val="center"/>
          </w:tcPr>
          <w:p w14:paraId="7989C2DF">
            <w:pPr>
              <w:pStyle w:val="58"/>
              <w:bidi w:val="0"/>
              <w:rPr>
                <w:rFonts w:hint="default"/>
                <w:highlight w:val="none"/>
                <w:lang w:val="en-US" w:eastAsia="zh-CN"/>
              </w:rPr>
            </w:pPr>
            <w:r>
              <w:rPr>
                <w:rFonts w:hint="default"/>
                <w:highlight w:val="none"/>
                <w:lang w:val="en-US" w:eastAsia="zh-CN"/>
              </w:rPr>
              <w:t>0.79</w:t>
            </w:r>
          </w:p>
        </w:tc>
        <w:tc>
          <w:tcPr>
            <w:tcW w:w="883" w:type="dxa"/>
            <w:noWrap w:val="0"/>
            <w:tcMar>
              <w:top w:w="15" w:type="dxa"/>
              <w:left w:w="15" w:type="dxa"/>
              <w:right w:w="15" w:type="dxa"/>
            </w:tcMar>
            <w:vAlign w:val="center"/>
          </w:tcPr>
          <w:p w14:paraId="3D44C569">
            <w:pPr>
              <w:pStyle w:val="58"/>
              <w:bidi w:val="0"/>
              <w:rPr>
                <w:rFonts w:hint="default"/>
                <w:highlight w:val="none"/>
                <w:lang w:val="en-US" w:eastAsia="zh-CN"/>
              </w:rPr>
            </w:pPr>
            <w:r>
              <w:rPr>
                <w:rFonts w:hint="default"/>
                <w:highlight w:val="none"/>
                <w:lang w:val="en-US" w:eastAsia="zh-CN"/>
              </w:rPr>
              <w:t>0.01</w:t>
            </w:r>
          </w:p>
        </w:tc>
        <w:tc>
          <w:tcPr>
            <w:tcW w:w="943" w:type="dxa"/>
            <w:noWrap w:val="0"/>
            <w:tcMar>
              <w:top w:w="15" w:type="dxa"/>
              <w:left w:w="15" w:type="dxa"/>
              <w:right w:w="15" w:type="dxa"/>
            </w:tcMar>
            <w:vAlign w:val="center"/>
          </w:tcPr>
          <w:p w14:paraId="7836BD26">
            <w:pPr>
              <w:pStyle w:val="58"/>
              <w:bidi w:val="0"/>
              <w:rPr>
                <w:rFonts w:hint="default"/>
                <w:highlight w:val="none"/>
                <w:lang w:val="en-US" w:eastAsia="zh-CN"/>
              </w:rPr>
            </w:pPr>
            <w:r>
              <w:rPr>
                <w:rFonts w:hint="default"/>
                <w:highlight w:val="none"/>
                <w:lang w:val="en-US" w:eastAsia="zh-CN"/>
              </w:rPr>
              <w:t>1.07</w:t>
            </w:r>
          </w:p>
        </w:tc>
        <w:tc>
          <w:tcPr>
            <w:tcW w:w="886" w:type="dxa"/>
            <w:noWrap w:val="0"/>
            <w:tcMar>
              <w:top w:w="15" w:type="dxa"/>
              <w:left w:w="15" w:type="dxa"/>
              <w:right w:w="15" w:type="dxa"/>
            </w:tcMar>
            <w:vAlign w:val="center"/>
          </w:tcPr>
          <w:p w14:paraId="55520200">
            <w:pPr>
              <w:pStyle w:val="58"/>
              <w:bidi w:val="0"/>
              <w:rPr>
                <w:rFonts w:hint="default"/>
                <w:highlight w:val="none"/>
                <w:lang w:val="en-US" w:eastAsia="zh-CN"/>
              </w:rPr>
            </w:pPr>
            <w:r>
              <w:rPr>
                <w:rFonts w:hint="default"/>
                <w:highlight w:val="none"/>
                <w:lang w:val="en-US" w:eastAsia="zh-CN"/>
              </w:rPr>
              <w:t>-0.27</w:t>
            </w:r>
          </w:p>
        </w:tc>
        <w:tc>
          <w:tcPr>
            <w:tcW w:w="660" w:type="dxa"/>
            <w:noWrap w:val="0"/>
            <w:tcMar>
              <w:top w:w="15" w:type="dxa"/>
              <w:left w:w="15" w:type="dxa"/>
              <w:right w:w="15" w:type="dxa"/>
            </w:tcMar>
            <w:vAlign w:val="center"/>
          </w:tcPr>
          <w:p w14:paraId="02ED16DF">
            <w:pPr>
              <w:pStyle w:val="58"/>
              <w:bidi w:val="0"/>
              <w:rPr>
                <w:rFonts w:hint="default"/>
                <w:highlight w:val="none"/>
                <w:lang w:val="en-US" w:eastAsia="zh-CN"/>
              </w:rPr>
            </w:pPr>
            <w:r>
              <w:rPr>
                <w:rFonts w:hint="default"/>
                <w:highlight w:val="none"/>
                <w:lang w:val="en-US" w:eastAsia="zh-CN"/>
              </w:rPr>
              <w:t>潜水</w:t>
            </w:r>
          </w:p>
        </w:tc>
      </w:tr>
      <w:tr w14:paraId="6622203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50" w:type="dxa"/>
            <w:noWrap w:val="0"/>
            <w:tcMar>
              <w:top w:w="15" w:type="dxa"/>
              <w:left w:w="15" w:type="dxa"/>
              <w:right w:w="15" w:type="dxa"/>
            </w:tcMar>
            <w:vAlign w:val="center"/>
          </w:tcPr>
          <w:p w14:paraId="100777EB">
            <w:pPr>
              <w:pStyle w:val="58"/>
              <w:bidi w:val="0"/>
              <w:rPr>
                <w:rFonts w:hint="default"/>
                <w:highlight w:val="none"/>
                <w:lang w:val="en-US" w:eastAsia="zh-CN"/>
              </w:rPr>
            </w:pPr>
            <w:bookmarkStart w:id="317" w:name="OLE_LINK96" w:colFirst="0" w:colLast="9"/>
            <w:r>
              <w:rPr>
                <w:rFonts w:hint="eastAsia"/>
                <w:highlight w:val="none"/>
                <w:lang w:val="en-US" w:eastAsia="zh-CN"/>
              </w:rPr>
              <w:t>10</w:t>
            </w:r>
          </w:p>
        </w:tc>
        <w:tc>
          <w:tcPr>
            <w:tcW w:w="450" w:type="dxa"/>
            <w:noWrap w:val="0"/>
            <w:tcMar>
              <w:top w:w="15" w:type="dxa"/>
              <w:left w:w="15" w:type="dxa"/>
              <w:right w:w="15" w:type="dxa"/>
            </w:tcMar>
            <w:vAlign w:val="center"/>
          </w:tcPr>
          <w:p w14:paraId="4DA224EB">
            <w:pPr>
              <w:pStyle w:val="58"/>
              <w:bidi w:val="0"/>
              <w:rPr>
                <w:rFonts w:hint="default"/>
                <w:highlight w:val="none"/>
                <w:lang w:val="en-US" w:eastAsia="zh-CN"/>
              </w:rPr>
            </w:pPr>
            <w:r>
              <w:rPr>
                <w:rFonts w:hint="eastAsia"/>
                <w:highlight w:val="none"/>
                <w:lang w:val="en-US" w:eastAsia="zh-CN"/>
              </w:rPr>
              <w:t>Q10</w:t>
            </w:r>
          </w:p>
        </w:tc>
        <w:tc>
          <w:tcPr>
            <w:tcW w:w="1704" w:type="dxa"/>
            <w:noWrap w:val="0"/>
            <w:tcMar>
              <w:top w:w="15" w:type="dxa"/>
              <w:left w:w="15" w:type="dxa"/>
              <w:right w:w="15" w:type="dxa"/>
            </w:tcMar>
            <w:vAlign w:val="center"/>
          </w:tcPr>
          <w:p w14:paraId="52EEAB98">
            <w:pPr>
              <w:pStyle w:val="58"/>
              <w:bidi w:val="0"/>
              <w:rPr>
                <w:rFonts w:hint="default"/>
                <w:highlight w:val="none"/>
                <w:lang w:val="en-US" w:eastAsia="zh-CN"/>
              </w:rPr>
            </w:pPr>
            <w:r>
              <w:rPr>
                <w:rFonts w:hint="eastAsia"/>
                <w:highlight w:val="none"/>
                <w:lang w:val="en-US" w:eastAsia="zh-CN"/>
              </w:rPr>
              <w:t>E118.278286°，N39.257045°</w:t>
            </w:r>
          </w:p>
        </w:tc>
        <w:tc>
          <w:tcPr>
            <w:tcW w:w="724" w:type="dxa"/>
            <w:noWrap w:val="0"/>
            <w:tcMar>
              <w:top w:w="15" w:type="dxa"/>
              <w:left w:w="15" w:type="dxa"/>
              <w:right w:w="15" w:type="dxa"/>
            </w:tcMar>
            <w:vAlign w:val="center"/>
          </w:tcPr>
          <w:p w14:paraId="18D8ACFA">
            <w:pPr>
              <w:pStyle w:val="58"/>
              <w:bidi w:val="0"/>
              <w:rPr>
                <w:rFonts w:hint="default"/>
                <w:highlight w:val="none"/>
                <w:lang w:val="en-US" w:eastAsia="zh-CN"/>
              </w:rPr>
            </w:pPr>
            <w:r>
              <w:rPr>
                <w:rFonts w:hint="eastAsia"/>
                <w:highlight w:val="none"/>
                <w:lang w:val="en-US" w:eastAsia="zh-CN"/>
              </w:rPr>
              <w:t>12</w:t>
            </w:r>
          </w:p>
        </w:tc>
        <w:tc>
          <w:tcPr>
            <w:tcW w:w="767" w:type="dxa"/>
            <w:noWrap w:val="0"/>
            <w:tcMar>
              <w:top w:w="15" w:type="dxa"/>
              <w:left w:w="15" w:type="dxa"/>
              <w:right w:w="15" w:type="dxa"/>
            </w:tcMar>
            <w:vAlign w:val="center"/>
          </w:tcPr>
          <w:p w14:paraId="2BA13CE7">
            <w:pPr>
              <w:pStyle w:val="58"/>
              <w:bidi w:val="0"/>
              <w:rPr>
                <w:rFonts w:hint="default"/>
                <w:highlight w:val="none"/>
                <w:lang w:val="en-US" w:eastAsia="zh-CN"/>
              </w:rPr>
            </w:pPr>
            <w:r>
              <w:rPr>
                <w:rFonts w:hint="eastAsia"/>
                <w:highlight w:val="none"/>
                <w:lang w:val="en-US" w:eastAsia="zh-CN"/>
              </w:rPr>
              <w:t>0.5</w:t>
            </w:r>
          </w:p>
        </w:tc>
        <w:tc>
          <w:tcPr>
            <w:tcW w:w="1015" w:type="dxa"/>
            <w:noWrap w:val="0"/>
            <w:tcMar>
              <w:top w:w="15" w:type="dxa"/>
              <w:left w:w="15" w:type="dxa"/>
              <w:right w:w="15" w:type="dxa"/>
            </w:tcMar>
            <w:vAlign w:val="center"/>
          </w:tcPr>
          <w:p w14:paraId="02056A22">
            <w:pPr>
              <w:pStyle w:val="58"/>
              <w:bidi w:val="0"/>
              <w:rPr>
                <w:rFonts w:hint="default"/>
                <w:highlight w:val="none"/>
                <w:lang w:val="en-US" w:eastAsia="zh-CN"/>
              </w:rPr>
            </w:pPr>
            <w:r>
              <w:rPr>
                <w:rFonts w:hint="eastAsia"/>
                <w:highlight w:val="none"/>
                <w:lang w:val="en-US" w:eastAsia="zh-CN"/>
              </w:rPr>
              <w:t>0.73</w:t>
            </w:r>
          </w:p>
        </w:tc>
        <w:tc>
          <w:tcPr>
            <w:tcW w:w="883" w:type="dxa"/>
            <w:noWrap w:val="0"/>
            <w:tcMar>
              <w:top w:w="15" w:type="dxa"/>
              <w:left w:w="15" w:type="dxa"/>
              <w:right w:w="15" w:type="dxa"/>
            </w:tcMar>
            <w:vAlign w:val="center"/>
          </w:tcPr>
          <w:p w14:paraId="1D46E9C5">
            <w:pPr>
              <w:pStyle w:val="58"/>
              <w:bidi w:val="0"/>
              <w:rPr>
                <w:rFonts w:hint="default"/>
                <w:highlight w:val="none"/>
                <w:lang w:val="en-US" w:eastAsia="zh-CN"/>
              </w:rPr>
            </w:pPr>
            <w:r>
              <w:rPr>
                <w:rFonts w:hint="eastAsia"/>
                <w:highlight w:val="none"/>
                <w:lang w:val="en-US" w:eastAsia="zh-CN"/>
              </w:rPr>
              <w:t>-0.23</w:t>
            </w:r>
          </w:p>
        </w:tc>
        <w:tc>
          <w:tcPr>
            <w:tcW w:w="943" w:type="dxa"/>
            <w:noWrap w:val="0"/>
            <w:tcMar>
              <w:top w:w="15" w:type="dxa"/>
              <w:left w:w="15" w:type="dxa"/>
              <w:right w:w="15" w:type="dxa"/>
            </w:tcMar>
            <w:vAlign w:val="center"/>
          </w:tcPr>
          <w:p w14:paraId="0DFA0EF3">
            <w:pPr>
              <w:pStyle w:val="58"/>
              <w:bidi w:val="0"/>
              <w:rPr>
                <w:rFonts w:hint="default"/>
                <w:highlight w:val="none"/>
                <w:lang w:val="en-US" w:eastAsia="zh-CN"/>
              </w:rPr>
            </w:pPr>
            <w:r>
              <w:rPr>
                <w:rFonts w:hint="eastAsia"/>
                <w:highlight w:val="none"/>
                <w:lang w:val="en-US" w:eastAsia="zh-CN"/>
              </w:rPr>
              <w:t>0.92</w:t>
            </w:r>
          </w:p>
        </w:tc>
        <w:tc>
          <w:tcPr>
            <w:tcW w:w="886" w:type="dxa"/>
            <w:noWrap w:val="0"/>
            <w:tcMar>
              <w:top w:w="15" w:type="dxa"/>
              <w:left w:w="15" w:type="dxa"/>
              <w:right w:w="15" w:type="dxa"/>
            </w:tcMar>
            <w:vAlign w:val="center"/>
          </w:tcPr>
          <w:p w14:paraId="7D612BA5">
            <w:pPr>
              <w:pStyle w:val="58"/>
              <w:bidi w:val="0"/>
              <w:rPr>
                <w:rFonts w:hint="default"/>
                <w:highlight w:val="none"/>
                <w:lang w:val="en-US" w:eastAsia="zh-CN"/>
              </w:rPr>
            </w:pPr>
            <w:r>
              <w:rPr>
                <w:rFonts w:hint="eastAsia"/>
                <w:highlight w:val="none"/>
                <w:lang w:val="en-US" w:eastAsia="zh-CN"/>
              </w:rPr>
              <w:t>-0.42</w:t>
            </w:r>
          </w:p>
        </w:tc>
        <w:tc>
          <w:tcPr>
            <w:tcW w:w="660" w:type="dxa"/>
            <w:noWrap w:val="0"/>
            <w:tcMar>
              <w:top w:w="15" w:type="dxa"/>
              <w:left w:w="15" w:type="dxa"/>
              <w:right w:w="15" w:type="dxa"/>
            </w:tcMar>
            <w:vAlign w:val="center"/>
          </w:tcPr>
          <w:p w14:paraId="6CF7DE09">
            <w:pPr>
              <w:pStyle w:val="58"/>
              <w:bidi w:val="0"/>
              <w:rPr>
                <w:rFonts w:hint="default"/>
                <w:highlight w:val="none"/>
                <w:lang w:val="en-US" w:eastAsia="zh-CN"/>
              </w:rPr>
            </w:pPr>
            <w:r>
              <w:rPr>
                <w:rFonts w:hint="eastAsia"/>
                <w:highlight w:val="none"/>
                <w:lang w:val="en-US" w:eastAsia="zh-CN"/>
              </w:rPr>
              <w:t>潜水</w:t>
            </w:r>
          </w:p>
        </w:tc>
      </w:tr>
      <w:tr w14:paraId="0D67173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50" w:type="dxa"/>
            <w:noWrap w:val="0"/>
            <w:tcMar>
              <w:top w:w="15" w:type="dxa"/>
              <w:left w:w="15" w:type="dxa"/>
              <w:right w:w="15" w:type="dxa"/>
            </w:tcMar>
            <w:vAlign w:val="center"/>
          </w:tcPr>
          <w:p w14:paraId="12508A76">
            <w:pPr>
              <w:pStyle w:val="58"/>
              <w:bidi w:val="0"/>
              <w:rPr>
                <w:rFonts w:hint="default"/>
                <w:highlight w:val="none"/>
                <w:lang w:val="en-US" w:eastAsia="zh-CN"/>
              </w:rPr>
            </w:pPr>
            <w:r>
              <w:rPr>
                <w:rFonts w:hint="eastAsia"/>
                <w:highlight w:val="none"/>
                <w:lang w:val="en-US" w:eastAsia="zh-CN"/>
              </w:rPr>
              <w:t>11</w:t>
            </w:r>
          </w:p>
        </w:tc>
        <w:tc>
          <w:tcPr>
            <w:tcW w:w="450" w:type="dxa"/>
            <w:noWrap w:val="0"/>
            <w:tcMar>
              <w:top w:w="15" w:type="dxa"/>
              <w:left w:w="15" w:type="dxa"/>
              <w:right w:w="15" w:type="dxa"/>
            </w:tcMar>
            <w:vAlign w:val="center"/>
          </w:tcPr>
          <w:p w14:paraId="20B04551">
            <w:pPr>
              <w:pStyle w:val="58"/>
              <w:bidi w:val="0"/>
              <w:rPr>
                <w:rFonts w:hint="default"/>
                <w:highlight w:val="none"/>
                <w:lang w:val="en-US" w:eastAsia="zh-CN"/>
              </w:rPr>
            </w:pPr>
            <w:r>
              <w:rPr>
                <w:rFonts w:hint="eastAsia"/>
                <w:highlight w:val="none"/>
                <w:lang w:val="en-US" w:eastAsia="zh-CN"/>
              </w:rPr>
              <w:t>Q11</w:t>
            </w:r>
          </w:p>
        </w:tc>
        <w:tc>
          <w:tcPr>
            <w:tcW w:w="1704" w:type="dxa"/>
            <w:noWrap w:val="0"/>
            <w:tcMar>
              <w:top w:w="15" w:type="dxa"/>
              <w:left w:w="15" w:type="dxa"/>
              <w:right w:w="15" w:type="dxa"/>
            </w:tcMar>
            <w:vAlign w:val="center"/>
          </w:tcPr>
          <w:p w14:paraId="5530D6CC">
            <w:pPr>
              <w:pStyle w:val="58"/>
              <w:bidi w:val="0"/>
              <w:rPr>
                <w:rFonts w:hint="default"/>
                <w:highlight w:val="none"/>
                <w:lang w:val="en-US" w:eastAsia="zh-CN"/>
              </w:rPr>
            </w:pPr>
            <w:r>
              <w:rPr>
                <w:rFonts w:hint="eastAsia"/>
                <w:highlight w:val="none"/>
                <w:lang w:val="en-US" w:eastAsia="zh-CN"/>
              </w:rPr>
              <w:t>E118.272258°，N39.252982°</w:t>
            </w:r>
          </w:p>
        </w:tc>
        <w:tc>
          <w:tcPr>
            <w:tcW w:w="724" w:type="dxa"/>
            <w:noWrap w:val="0"/>
            <w:tcMar>
              <w:top w:w="15" w:type="dxa"/>
              <w:left w:w="15" w:type="dxa"/>
              <w:right w:w="15" w:type="dxa"/>
            </w:tcMar>
            <w:vAlign w:val="center"/>
          </w:tcPr>
          <w:p w14:paraId="000ED70B">
            <w:pPr>
              <w:pStyle w:val="58"/>
              <w:bidi w:val="0"/>
              <w:rPr>
                <w:rFonts w:hint="default"/>
                <w:highlight w:val="none"/>
                <w:lang w:val="en-US" w:eastAsia="zh-CN"/>
              </w:rPr>
            </w:pPr>
            <w:r>
              <w:rPr>
                <w:rFonts w:hint="eastAsia"/>
                <w:highlight w:val="none"/>
                <w:lang w:val="en-US" w:eastAsia="zh-CN"/>
              </w:rPr>
              <w:t>10</w:t>
            </w:r>
          </w:p>
        </w:tc>
        <w:tc>
          <w:tcPr>
            <w:tcW w:w="767" w:type="dxa"/>
            <w:noWrap w:val="0"/>
            <w:tcMar>
              <w:top w:w="15" w:type="dxa"/>
              <w:left w:w="15" w:type="dxa"/>
              <w:right w:w="15" w:type="dxa"/>
            </w:tcMar>
            <w:vAlign w:val="center"/>
          </w:tcPr>
          <w:p w14:paraId="2805ACE5">
            <w:pPr>
              <w:pStyle w:val="58"/>
              <w:bidi w:val="0"/>
              <w:rPr>
                <w:rFonts w:hint="default"/>
                <w:highlight w:val="none"/>
                <w:lang w:val="en-US" w:eastAsia="zh-CN"/>
              </w:rPr>
            </w:pPr>
            <w:r>
              <w:rPr>
                <w:rFonts w:hint="eastAsia"/>
                <w:highlight w:val="none"/>
                <w:lang w:val="en-US" w:eastAsia="zh-CN"/>
              </w:rPr>
              <w:t>0.1</w:t>
            </w:r>
          </w:p>
        </w:tc>
        <w:tc>
          <w:tcPr>
            <w:tcW w:w="1015" w:type="dxa"/>
            <w:noWrap w:val="0"/>
            <w:tcMar>
              <w:top w:w="15" w:type="dxa"/>
              <w:left w:w="15" w:type="dxa"/>
              <w:right w:w="15" w:type="dxa"/>
            </w:tcMar>
            <w:vAlign w:val="center"/>
          </w:tcPr>
          <w:p w14:paraId="3339C844">
            <w:pPr>
              <w:pStyle w:val="58"/>
              <w:bidi w:val="0"/>
              <w:rPr>
                <w:rFonts w:hint="default"/>
                <w:highlight w:val="none"/>
                <w:lang w:val="en-US" w:eastAsia="zh-CN"/>
              </w:rPr>
            </w:pPr>
            <w:r>
              <w:rPr>
                <w:rFonts w:hint="eastAsia"/>
                <w:highlight w:val="none"/>
                <w:lang w:val="en-US" w:eastAsia="zh-CN"/>
              </w:rPr>
              <w:t>0.51</w:t>
            </w:r>
          </w:p>
        </w:tc>
        <w:tc>
          <w:tcPr>
            <w:tcW w:w="883" w:type="dxa"/>
            <w:noWrap w:val="0"/>
            <w:tcMar>
              <w:top w:w="15" w:type="dxa"/>
              <w:left w:w="15" w:type="dxa"/>
              <w:right w:w="15" w:type="dxa"/>
            </w:tcMar>
            <w:vAlign w:val="center"/>
          </w:tcPr>
          <w:p w14:paraId="569AD783">
            <w:pPr>
              <w:pStyle w:val="58"/>
              <w:bidi w:val="0"/>
              <w:rPr>
                <w:rFonts w:hint="default"/>
                <w:highlight w:val="none"/>
                <w:lang w:val="en-US" w:eastAsia="zh-CN"/>
              </w:rPr>
            </w:pPr>
            <w:r>
              <w:rPr>
                <w:rFonts w:hint="eastAsia"/>
                <w:highlight w:val="none"/>
                <w:lang w:val="en-US" w:eastAsia="zh-CN"/>
              </w:rPr>
              <w:t>-0.41</w:t>
            </w:r>
          </w:p>
        </w:tc>
        <w:tc>
          <w:tcPr>
            <w:tcW w:w="943" w:type="dxa"/>
            <w:noWrap w:val="0"/>
            <w:tcMar>
              <w:top w:w="15" w:type="dxa"/>
              <w:left w:w="15" w:type="dxa"/>
              <w:right w:w="15" w:type="dxa"/>
            </w:tcMar>
            <w:vAlign w:val="center"/>
          </w:tcPr>
          <w:p w14:paraId="117D5D81">
            <w:pPr>
              <w:pStyle w:val="58"/>
              <w:bidi w:val="0"/>
              <w:rPr>
                <w:rFonts w:hint="default"/>
                <w:highlight w:val="none"/>
                <w:lang w:val="en-US" w:eastAsia="zh-CN"/>
              </w:rPr>
            </w:pPr>
            <w:r>
              <w:rPr>
                <w:rFonts w:hint="eastAsia"/>
                <w:highlight w:val="none"/>
                <w:lang w:val="en-US" w:eastAsia="zh-CN"/>
              </w:rPr>
              <w:t>0.73</w:t>
            </w:r>
          </w:p>
        </w:tc>
        <w:tc>
          <w:tcPr>
            <w:tcW w:w="886" w:type="dxa"/>
            <w:noWrap w:val="0"/>
            <w:tcMar>
              <w:top w:w="15" w:type="dxa"/>
              <w:left w:w="15" w:type="dxa"/>
              <w:right w:w="15" w:type="dxa"/>
            </w:tcMar>
            <w:vAlign w:val="center"/>
          </w:tcPr>
          <w:p w14:paraId="28B388E8">
            <w:pPr>
              <w:pStyle w:val="58"/>
              <w:bidi w:val="0"/>
              <w:rPr>
                <w:rFonts w:hint="default"/>
                <w:highlight w:val="none"/>
                <w:lang w:val="en-US" w:eastAsia="zh-CN"/>
              </w:rPr>
            </w:pPr>
            <w:r>
              <w:rPr>
                <w:rFonts w:hint="eastAsia"/>
                <w:highlight w:val="none"/>
                <w:lang w:val="en-US" w:eastAsia="zh-CN"/>
              </w:rPr>
              <w:t>-0.63</w:t>
            </w:r>
          </w:p>
        </w:tc>
        <w:tc>
          <w:tcPr>
            <w:tcW w:w="660" w:type="dxa"/>
            <w:noWrap w:val="0"/>
            <w:tcMar>
              <w:top w:w="15" w:type="dxa"/>
              <w:left w:w="15" w:type="dxa"/>
              <w:right w:w="15" w:type="dxa"/>
            </w:tcMar>
            <w:vAlign w:val="center"/>
          </w:tcPr>
          <w:p w14:paraId="7161F612">
            <w:pPr>
              <w:pStyle w:val="58"/>
              <w:bidi w:val="0"/>
              <w:rPr>
                <w:rFonts w:hint="default"/>
                <w:highlight w:val="none"/>
                <w:lang w:val="en-US" w:eastAsia="zh-CN"/>
              </w:rPr>
            </w:pPr>
            <w:r>
              <w:rPr>
                <w:rFonts w:hint="eastAsia"/>
                <w:highlight w:val="none"/>
                <w:lang w:val="en-US" w:eastAsia="zh-CN"/>
              </w:rPr>
              <w:t>潜水</w:t>
            </w:r>
          </w:p>
        </w:tc>
      </w:tr>
      <w:tr w14:paraId="27BD58C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50" w:type="dxa"/>
            <w:noWrap w:val="0"/>
            <w:tcMar>
              <w:top w:w="15" w:type="dxa"/>
              <w:left w:w="15" w:type="dxa"/>
              <w:right w:w="15" w:type="dxa"/>
            </w:tcMar>
            <w:vAlign w:val="center"/>
          </w:tcPr>
          <w:p w14:paraId="3AC7C214">
            <w:pPr>
              <w:pStyle w:val="58"/>
              <w:bidi w:val="0"/>
              <w:rPr>
                <w:rFonts w:hint="default"/>
                <w:highlight w:val="none"/>
                <w:lang w:val="en-US" w:eastAsia="zh-CN"/>
              </w:rPr>
            </w:pPr>
            <w:r>
              <w:rPr>
                <w:rFonts w:hint="default"/>
                <w:highlight w:val="none"/>
                <w:lang w:val="en-US" w:eastAsia="zh-CN"/>
              </w:rPr>
              <w:t>12</w:t>
            </w:r>
          </w:p>
        </w:tc>
        <w:tc>
          <w:tcPr>
            <w:tcW w:w="450" w:type="dxa"/>
            <w:noWrap w:val="0"/>
            <w:tcMar>
              <w:top w:w="15" w:type="dxa"/>
              <w:left w:w="15" w:type="dxa"/>
              <w:right w:w="15" w:type="dxa"/>
            </w:tcMar>
            <w:vAlign w:val="center"/>
          </w:tcPr>
          <w:p w14:paraId="4F1CDF5E">
            <w:pPr>
              <w:pStyle w:val="58"/>
              <w:bidi w:val="0"/>
              <w:rPr>
                <w:rFonts w:hint="default"/>
                <w:highlight w:val="none"/>
                <w:lang w:val="en-US" w:eastAsia="zh-CN"/>
              </w:rPr>
            </w:pPr>
            <w:r>
              <w:rPr>
                <w:rFonts w:hint="default"/>
                <w:highlight w:val="none"/>
                <w:lang w:val="en-US" w:eastAsia="zh-CN"/>
              </w:rPr>
              <w:t>Q12</w:t>
            </w:r>
          </w:p>
        </w:tc>
        <w:tc>
          <w:tcPr>
            <w:tcW w:w="1704" w:type="dxa"/>
            <w:noWrap w:val="0"/>
            <w:tcMar>
              <w:top w:w="15" w:type="dxa"/>
              <w:left w:w="15" w:type="dxa"/>
              <w:right w:w="15" w:type="dxa"/>
            </w:tcMar>
            <w:vAlign w:val="center"/>
          </w:tcPr>
          <w:p w14:paraId="5B484A8D">
            <w:pPr>
              <w:pStyle w:val="58"/>
              <w:bidi w:val="0"/>
              <w:rPr>
                <w:rFonts w:hint="default"/>
                <w:highlight w:val="none"/>
                <w:lang w:val="en-US" w:eastAsia="zh-CN"/>
              </w:rPr>
            </w:pPr>
            <w:r>
              <w:rPr>
                <w:rFonts w:hint="default"/>
                <w:highlight w:val="none"/>
                <w:lang w:val="en-US" w:eastAsia="zh-CN"/>
              </w:rPr>
              <w:t>E118.25392</w:t>
            </w:r>
            <w:r>
              <w:rPr>
                <w:rFonts w:hint="eastAsia"/>
                <w:highlight w:val="none"/>
                <w:lang w:val="en-US" w:eastAsia="zh-CN"/>
              </w:rPr>
              <w:t>9</w:t>
            </w:r>
            <w:r>
              <w:rPr>
                <w:rFonts w:hint="default"/>
                <w:highlight w:val="none"/>
                <w:lang w:val="en-US" w:eastAsia="zh-CN"/>
              </w:rPr>
              <w:t>°，N39.247883°</w:t>
            </w:r>
          </w:p>
        </w:tc>
        <w:tc>
          <w:tcPr>
            <w:tcW w:w="724" w:type="dxa"/>
            <w:noWrap w:val="0"/>
            <w:tcMar>
              <w:top w:w="15" w:type="dxa"/>
              <w:left w:w="15" w:type="dxa"/>
              <w:right w:w="15" w:type="dxa"/>
            </w:tcMar>
            <w:vAlign w:val="center"/>
          </w:tcPr>
          <w:p w14:paraId="059EE97C">
            <w:pPr>
              <w:pStyle w:val="58"/>
              <w:bidi w:val="0"/>
              <w:rPr>
                <w:rFonts w:hint="default"/>
                <w:highlight w:val="none"/>
                <w:lang w:val="en-US" w:eastAsia="zh-CN"/>
              </w:rPr>
            </w:pPr>
            <w:r>
              <w:rPr>
                <w:rFonts w:hint="default"/>
                <w:highlight w:val="none"/>
                <w:lang w:val="en-US" w:eastAsia="zh-CN"/>
              </w:rPr>
              <w:t>10</w:t>
            </w:r>
          </w:p>
        </w:tc>
        <w:tc>
          <w:tcPr>
            <w:tcW w:w="767" w:type="dxa"/>
            <w:noWrap w:val="0"/>
            <w:tcMar>
              <w:top w:w="15" w:type="dxa"/>
              <w:left w:w="15" w:type="dxa"/>
              <w:right w:w="15" w:type="dxa"/>
            </w:tcMar>
            <w:vAlign w:val="center"/>
          </w:tcPr>
          <w:p w14:paraId="6527CF65">
            <w:pPr>
              <w:pStyle w:val="58"/>
              <w:bidi w:val="0"/>
              <w:rPr>
                <w:rFonts w:hint="default"/>
                <w:highlight w:val="none"/>
                <w:lang w:val="en-US" w:eastAsia="zh-CN"/>
              </w:rPr>
            </w:pPr>
            <w:r>
              <w:rPr>
                <w:rFonts w:hint="default"/>
                <w:highlight w:val="none"/>
                <w:lang w:val="en-US" w:eastAsia="zh-CN"/>
              </w:rPr>
              <w:t>1.0</w:t>
            </w:r>
          </w:p>
        </w:tc>
        <w:tc>
          <w:tcPr>
            <w:tcW w:w="1015" w:type="dxa"/>
            <w:noWrap w:val="0"/>
            <w:tcMar>
              <w:top w:w="15" w:type="dxa"/>
              <w:left w:w="15" w:type="dxa"/>
              <w:right w:w="15" w:type="dxa"/>
            </w:tcMar>
            <w:vAlign w:val="center"/>
          </w:tcPr>
          <w:p w14:paraId="0FCA1764">
            <w:pPr>
              <w:pStyle w:val="58"/>
              <w:bidi w:val="0"/>
              <w:rPr>
                <w:rFonts w:hint="default"/>
                <w:highlight w:val="none"/>
                <w:lang w:val="en-US" w:eastAsia="zh-CN"/>
              </w:rPr>
            </w:pPr>
            <w:r>
              <w:rPr>
                <w:rFonts w:hint="default"/>
                <w:highlight w:val="none"/>
                <w:lang w:val="en-US" w:eastAsia="zh-CN"/>
              </w:rPr>
              <w:t>1.55</w:t>
            </w:r>
          </w:p>
        </w:tc>
        <w:tc>
          <w:tcPr>
            <w:tcW w:w="883" w:type="dxa"/>
            <w:noWrap w:val="0"/>
            <w:tcMar>
              <w:top w:w="15" w:type="dxa"/>
              <w:left w:w="15" w:type="dxa"/>
              <w:right w:w="15" w:type="dxa"/>
            </w:tcMar>
            <w:vAlign w:val="center"/>
          </w:tcPr>
          <w:p w14:paraId="6BA575E2">
            <w:pPr>
              <w:pStyle w:val="58"/>
              <w:bidi w:val="0"/>
              <w:rPr>
                <w:rFonts w:hint="default"/>
                <w:highlight w:val="none"/>
                <w:lang w:val="en-US" w:eastAsia="zh-CN"/>
              </w:rPr>
            </w:pPr>
            <w:r>
              <w:rPr>
                <w:rFonts w:hint="default"/>
                <w:highlight w:val="none"/>
                <w:lang w:val="en-US" w:eastAsia="zh-CN"/>
              </w:rPr>
              <w:t>-0.55</w:t>
            </w:r>
          </w:p>
        </w:tc>
        <w:tc>
          <w:tcPr>
            <w:tcW w:w="943" w:type="dxa"/>
            <w:noWrap w:val="0"/>
            <w:tcMar>
              <w:top w:w="15" w:type="dxa"/>
              <w:left w:w="15" w:type="dxa"/>
              <w:right w:w="15" w:type="dxa"/>
            </w:tcMar>
            <w:vAlign w:val="center"/>
          </w:tcPr>
          <w:p w14:paraId="587A5B00">
            <w:pPr>
              <w:pStyle w:val="58"/>
              <w:bidi w:val="0"/>
              <w:rPr>
                <w:rFonts w:hint="default"/>
                <w:highlight w:val="none"/>
                <w:lang w:val="en-US" w:eastAsia="zh-CN"/>
              </w:rPr>
            </w:pPr>
            <w:r>
              <w:rPr>
                <w:rFonts w:hint="default"/>
                <w:highlight w:val="none"/>
                <w:lang w:val="en-US" w:eastAsia="zh-CN"/>
              </w:rPr>
              <w:t>1.78</w:t>
            </w:r>
          </w:p>
        </w:tc>
        <w:tc>
          <w:tcPr>
            <w:tcW w:w="886" w:type="dxa"/>
            <w:noWrap w:val="0"/>
            <w:tcMar>
              <w:top w:w="15" w:type="dxa"/>
              <w:left w:w="15" w:type="dxa"/>
              <w:right w:w="15" w:type="dxa"/>
            </w:tcMar>
            <w:vAlign w:val="center"/>
          </w:tcPr>
          <w:p w14:paraId="5D851634">
            <w:pPr>
              <w:pStyle w:val="58"/>
              <w:bidi w:val="0"/>
              <w:rPr>
                <w:rFonts w:hint="default"/>
                <w:highlight w:val="none"/>
                <w:lang w:val="en-US" w:eastAsia="zh-CN"/>
              </w:rPr>
            </w:pPr>
            <w:r>
              <w:rPr>
                <w:rFonts w:hint="default"/>
                <w:highlight w:val="none"/>
                <w:lang w:val="en-US" w:eastAsia="zh-CN"/>
              </w:rPr>
              <w:t>-0.78</w:t>
            </w:r>
          </w:p>
        </w:tc>
        <w:tc>
          <w:tcPr>
            <w:tcW w:w="660" w:type="dxa"/>
            <w:noWrap w:val="0"/>
            <w:tcMar>
              <w:top w:w="15" w:type="dxa"/>
              <w:left w:w="15" w:type="dxa"/>
              <w:right w:w="15" w:type="dxa"/>
            </w:tcMar>
            <w:vAlign w:val="center"/>
          </w:tcPr>
          <w:p w14:paraId="17F985FF">
            <w:pPr>
              <w:pStyle w:val="58"/>
              <w:bidi w:val="0"/>
              <w:rPr>
                <w:rFonts w:hint="default"/>
                <w:highlight w:val="none"/>
                <w:lang w:val="en-US" w:eastAsia="zh-CN"/>
              </w:rPr>
            </w:pPr>
            <w:r>
              <w:rPr>
                <w:rFonts w:hint="eastAsia"/>
                <w:highlight w:val="none"/>
                <w:lang w:val="en-US" w:eastAsia="zh-CN"/>
              </w:rPr>
              <w:t>潜水</w:t>
            </w:r>
          </w:p>
        </w:tc>
      </w:tr>
      <w:tr w14:paraId="238D4B2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50" w:type="dxa"/>
            <w:noWrap w:val="0"/>
            <w:tcMar>
              <w:top w:w="15" w:type="dxa"/>
              <w:left w:w="15" w:type="dxa"/>
              <w:right w:w="15" w:type="dxa"/>
            </w:tcMar>
            <w:vAlign w:val="center"/>
          </w:tcPr>
          <w:p w14:paraId="2E1B741F">
            <w:pPr>
              <w:pStyle w:val="58"/>
              <w:bidi w:val="0"/>
              <w:rPr>
                <w:rFonts w:hint="default"/>
                <w:highlight w:val="none"/>
                <w:lang w:val="en-US" w:eastAsia="zh-CN"/>
              </w:rPr>
            </w:pPr>
            <w:r>
              <w:rPr>
                <w:rFonts w:hint="default"/>
                <w:highlight w:val="none"/>
                <w:lang w:val="en-US" w:eastAsia="zh-CN"/>
              </w:rPr>
              <w:t>13</w:t>
            </w:r>
          </w:p>
        </w:tc>
        <w:tc>
          <w:tcPr>
            <w:tcW w:w="450" w:type="dxa"/>
            <w:noWrap w:val="0"/>
            <w:tcMar>
              <w:top w:w="15" w:type="dxa"/>
              <w:left w:w="15" w:type="dxa"/>
              <w:right w:w="15" w:type="dxa"/>
            </w:tcMar>
            <w:vAlign w:val="center"/>
          </w:tcPr>
          <w:p w14:paraId="42FF5E0F">
            <w:pPr>
              <w:pStyle w:val="58"/>
              <w:bidi w:val="0"/>
              <w:rPr>
                <w:rFonts w:hint="default"/>
                <w:highlight w:val="none"/>
                <w:lang w:val="en-US" w:eastAsia="zh-CN"/>
              </w:rPr>
            </w:pPr>
            <w:r>
              <w:rPr>
                <w:rFonts w:hint="default"/>
                <w:highlight w:val="none"/>
                <w:lang w:val="en-US" w:eastAsia="zh-CN"/>
              </w:rPr>
              <w:t>Q1</w:t>
            </w:r>
            <w:r>
              <w:rPr>
                <w:rFonts w:hint="eastAsia"/>
                <w:highlight w:val="none"/>
                <w:lang w:val="en-US" w:eastAsia="zh-CN"/>
              </w:rPr>
              <w:t>3</w:t>
            </w:r>
          </w:p>
        </w:tc>
        <w:tc>
          <w:tcPr>
            <w:tcW w:w="1704" w:type="dxa"/>
            <w:noWrap w:val="0"/>
            <w:tcMar>
              <w:top w:w="15" w:type="dxa"/>
              <w:left w:w="15" w:type="dxa"/>
              <w:right w:w="15" w:type="dxa"/>
            </w:tcMar>
            <w:vAlign w:val="center"/>
          </w:tcPr>
          <w:p w14:paraId="457A1B66">
            <w:pPr>
              <w:pStyle w:val="58"/>
              <w:bidi w:val="0"/>
              <w:rPr>
                <w:rFonts w:hint="default"/>
                <w:highlight w:val="none"/>
                <w:lang w:val="en-US" w:eastAsia="zh-CN"/>
              </w:rPr>
            </w:pPr>
            <w:r>
              <w:rPr>
                <w:rFonts w:hint="default"/>
                <w:highlight w:val="none"/>
                <w:lang w:val="en-US" w:eastAsia="zh-CN"/>
              </w:rPr>
              <w:t>E118.28459</w:t>
            </w:r>
            <w:r>
              <w:rPr>
                <w:rFonts w:hint="eastAsia"/>
                <w:highlight w:val="none"/>
                <w:lang w:val="en-US" w:eastAsia="zh-CN"/>
              </w:rPr>
              <w:t>2</w:t>
            </w:r>
            <w:r>
              <w:rPr>
                <w:rFonts w:hint="default"/>
                <w:highlight w:val="none"/>
                <w:lang w:val="en-US" w:eastAsia="zh-CN"/>
              </w:rPr>
              <w:t>°，N39.2463</w:t>
            </w:r>
            <w:r>
              <w:rPr>
                <w:rFonts w:hint="eastAsia"/>
                <w:highlight w:val="none"/>
                <w:lang w:val="en-US" w:eastAsia="zh-CN"/>
              </w:rPr>
              <w:t>60</w:t>
            </w:r>
            <w:r>
              <w:rPr>
                <w:rFonts w:hint="default"/>
                <w:highlight w:val="none"/>
                <w:lang w:val="en-US" w:eastAsia="zh-CN"/>
              </w:rPr>
              <w:t>°</w:t>
            </w:r>
          </w:p>
        </w:tc>
        <w:tc>
          <w:tcPr>
            <w:tcW w:w="724" w:type="dxa"/>
            <w:noWrap w:val="0"/>
            <w:tcMar>
              <w:top w:w="15" w:type="dxa"/>
              <w:left w:w="15" w:type="dxa"/>
              <w:right w:w="15" w:type="dxa"/>
            </w:tcMar>
            <w:vAlign w:val="center"/>
          </w:tcPr>
          <w:p w14:paraId="6CECC939">
            <w:pPr>
              <w:pStyle w:val="58"/>
              <w:bidi w:val="0"/>
              <w:rPr>
                <w:rFonts w:hint="default"/>
                <w:highlight w:val="none"/>
                <w:lang w:val="en-US" w:eastAsia="zh-CN"/>
              </w:rPr>
            </w:pPr>
            <w:r>
              <w:rPr>
                <w:rFonts w:hint="default"/>
                <w:highlight w:val="none"/>
                <w:lang w:val="en-US" w:eastAsia="zh-CN"/>
              </w:rPr>
              <w:t>10</w:t>
            </w:r>
          </w:p>
        </w:tc>
        <w:tc>
          <w:tcPr>
            <w:tcW w:w="767" w:type="dxa"/>
            <w:noWrap w:val="0"/>
            <w:tcMar>
              <w:top w:w="15" w:type="dxa"/>
              <w:left w:w="15" w:type="dxa"/>
              <w:right w:w="15" w:type="dxa"/>
            </w:tcMar>
            <w:vAlign w:val="center"/>
          </w:tcPr>
          <w:p w14:paraId="4CD7A650">
            <w:pPr>
              <w:pStyle w:val="58"/>
              <w:bidi w:val="0"/>
              <w:rPr>
                <w:rFonts w:hint="default"/>
                <w:highlight w:val="none"/>
                <w:lang w:val="en-US" w:eastAsia="zh-CN"/>
              </w:rPr>
            </w:pPr>
            <w:r>
              <w:rPr>
                <w:rFonts w:hint="default"/>
                <w:highlight w:val="none"/>
                <w:lang w:val="en-US" w:eastAsia="zh-CN"/>
              </w:rPr>
              <w:t>0.5</w:t>
            </w:r>
          </w:p>
        </w:tc>
        <w:tc>
          <w:tcPr>
            <w:tcW w:w="1015" w:type="dxa"/>
            <w:noWrap w:val="0"/>
            <w:tcMar>
              <w:top w:w="15" w:type="dxa"/>
              <w:left w:w="15" w:type="dxa"/>
              <w:right w:w="15" w:type="dxa"/>
            </w:tcMar>
            <w:vAlign w:val="center"/>
          </w:tcPr>
          <w:p w14:paraId="665E6493">
            <w:pPr>
              <w:pStyle w:val="58"/>
              <w:bidi w:val="0"/>
              <w:rPr>
                <w:rFonts w:hint="default"/>
                <w:highlight w:val="none"/>
                <w:lang w:val="en-US" w:eastAsia="zh-CN"/>
              </w:rPr>
            </w:pPr>
            <w:r>
              <w:rPr>
                <w:rFonts w:hint="default"/>
                <w:highlight w:val="none"/>
                <w:lang w:val="en-US" w:eastAsia="zh-CN"/>
              </w:rPr>
              <w:t>1.12</w:t>
            </w:r>
          </w:p>
        </w:tc>
        <w:tc>
          <w:tcPr>
            <w:tcW w:w="883" w:type="dxa"/>
            <w:noWrap w:val="0"/>
            <w:tcMar>
              <w:top w:w="15" w:type="dxa"/>
              <w:left w:w="15" w:type="dxa"/>
              <w:right w:w="15" w:type="dxa"/>
            </w:tcMar>
            <w:vAlign w:val="center"/>
          </w:tcPr>
          <w:p w14:paraId="488AE009">
            <w:pPr>
              <w:pStyle w:val="58"/>
              <w:bidi w:val="0"/>
              <w:rPr>
                <w:rFonts w:hint="default"/>
                <w:highlight w:val="none"/>
                <w:lang w:val="en-US" w:eastAsia="zh-CN"/>
              </w:rPr>
            </w:pPr>
            <w:r>
              <w:rPr>
                <w:rFonts w:hint="default"/>
                <w:highlight w:val="none"/>
                <w:lang w:val="en-US" w:eastAsia="zh-CN"/>
              </w:rPr>
              <w:t>-0.62</w:t>
            </w:r>
          </w:p>
        </w:tc>
        <w:tc>
          <w:tcPr>
            <w:tcW w:w="943" w:type="dxa"/>
            <w:noWrap w:val="0"/>
            <w:tcMar>
              <w:top w:w="15" w:type="dxa"/>
              <w:left w:w="15" w:type="dxa"/>
              <w:right w:w="15" w:type="dxa"/>
            </w:tcMar>
            <w:vAlign w:val="center"/>
          </w:tcPr>
          <w:p w14:paraId="0CD2DD85">
            <w:pPr>
              <w:pStyle w:val="58"/>
              <w:bidi w:val="0"/>
              <w:rPr>
                <w:rFonts w:hint="default"/>
                <w:highlight w:val="none"/>
                <w:lang w:val="en-US" w:eastAsia="zh-CN"/>
              </w:rPr>
            </w:pPr>
            <w:r>
              <w:rPr>
                <w:rFonts w:hint="default"/>
                <w:highlight w:val="none"/>
                <w:lang w:val="en-US" w:eastAsia="zh-CN"/>
              </w:rPr>
              <w:t>1.33</w:t>
            </w:r>
          </w:p>
        </w:tc>
        <w:tc>
          <w:tcPr>
            <w:tcW w:w="886" w:type="dxa"/>
            <w:noWrap w:val="0"/>
            <w:tcMar>
              <w:top w:w="15" w:type="dxa"/>
              <w:left w:w="15" w:type="dxa"/>
              <w:right w:w="15" w:type="dxa"/>
            </w:tcMar>
            <w:vAlign w:val="center"/>
          </w:tcPr>
          <w:p w14:paraId="64274808">
            <w:pPr>
              <w:pStyle w:val="58"/>
              <w:bidi w:val="0"/>
              <w:rPr>
                <w:rFonts w:hint="default"/>
                <w:highlight w:val="none"/>
                <w:lang w:val="en-US" w:eastAsia="zh-CN"/>
              </w:rPr>
            </w:pPr>
            <w:r>
              <w:rPr>
                <w:rFonts w:hint="default"/>
                <w:highlight w:val="none"/>
                <w:lang w:val="en-US" w:eastAsia="zh-CN"/>
              </w:rPr>
              <w:t>-0.83</w:t>
            </w:r>
          </w:p>
        </w:tc>
        <w:tc>
          <w:tcPr>
            <w:tcW w:w="660" w:type="dxa"/>
            <w:noWrap w:val="0"/>
            <w:tcMar>
              <w:top w:w="15" w:type="dxa"/>
              <w:left w:w="15" w:type="dxa"/>
              <w:right w:w="15" w:type="dxa"/>
            </w:tcMar>
            <w:vAlign w:val="center"/>
          </w:tcPr>
          <w:p w14:paraId="40E94358">
            <w:pPr>
              <w:pStyle w:val="58"/>
              <w:bidi w:val="0"/>
              <w:rPr>
                <w:rFonts w:hint="default"/>
                <w:highlight w:val="none"/>
                <w:lang w:val="en-US" w:eastAsia="zh-CN"/>
              </w:rPr>
            </w:pPr>
            <w:r>
              <w:rPr>
                <w:rFonts w:hint="eastAsia"/>
                <w:highlight w:val="none"/>
                <w:lang w:val="en-US" w:eastAsia="zh-CN"/>
              </w:rPr>
              <w:t>潜水</w:t>
            </w:r>
          </w:p>
        </w:tc>
      </w:tr>
      <w:tr w14:paraId="7C49640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50" w:type="dxa"/>
            <w:noWrap w:val="0"/>
            <w:tcMar>
              <w:top w:w="15" w:type="dxa"/>
              <w:left w:w="15" w:type="dxa"/>
              <w:right w:w="15" w:type="dxa"/>
            </w:tcMar>
            <w:vAlign w:val="center"/>
          </w:tcPr>
          <w:p w14:paraId="765DC5AC">
            <w:pPr>
              <w:pStyle w:val="58"/>
              <w:bidi w:val="0"/>
              <w:rPr>
                <w:rFonts w:hint="default"/>
                <w:highlight w:val="none"/>
                <w:lang w:val="en-US" w:eastAsia="zh-CN"/>
              </w:rPr>
            </w:pPr>
            <w:r>
              <w:rPr>
                <w:rFonts w:hint="default"/>
                <w:highlight w:val="none"/>
                <w:lang w:val="en-US" w:eastAsia="zh-CN"/>
              </w:rPr>
              <w:t>14</w:t>
            </w:r>
          </w:p>
        </w:tc>
        <w:tc>
          <w:tcPr>
            <w:tcW w:w="450" w:type="dxa"/>
            <w:noWrap w:val="0"/>
            <w:tcMar>
              <w:top w:w="15" w:type="dxa"/>
              <w:left w:w="15" w:type="dxa"/>
              <w:right w:w="15" w:type="dxa"/>
            </w:tcMar>
            <w:vAlign w:val="center"/>
          </w:tcPr>
          <w:p w14:paraId="0595007D">
            <w:pPr>
              <w:pStyle w:val="58"/>
              <w:bidi w:val="0"/>
              <w:rPr>
                <w:rFonts w:hint="default"/>
                <w:highlight w:val="none"/>
                <w:lang w:val="en-US" w:eastAsia="zh-CN"/>
              </w:rPr>
            </w:pPr>
            <w:r>
              <w:rPr>
                <w:rFonts w:hint="default"/>
                <w:highlight w:val="none"/>
                <w:lang w:val="en-US" w:eastAsia="zh-CN"/>
              </w:rPr>
              <w:t>Q14</w:t>
            </w:r>
          </w:p>
        </w:tc>
        <w:tc>
          <w:tcPr>
            <w:tcW w:w="1704" w:type="dxa"/>
            <w:noWrap w:val="0"/>
            <w:tcMar>
              <w:top w:w="15" w:type="dxa"/>
              <w:left w:w="15" w:type="dxa"/>
              <w:right w:w="15" w:type="dxa"/>
            </w:tcMar>
            <w:vAlign w:val="center"/>
          </w:tcPr>
          <w:p w14:paraId="5DF6C393">
            <w:pPr>
              <w:pStyle w:val="58"/>
              <w:bidi w:val="0"/>
              <w:rPr>
                <w:rFonts w:hint="default"/>
                <w:highlight w:val="none"/>
                <w:lang w:val="en-US" w:eastAsia="zh-CN"/>
              </w:rPr>
            </w:pPr>
            <w:r>
              <w:rPr>
                <w:rFonts w:hint="default"/>
                <w:highlight w:val="none"/>
                <w:lang w:val="en-US" w:eastAsia="zh-CN"/>
              </w:rPr>
              <w:t>E118.25543</w:t>
            </w:r>
            <w:r>
              <w:rPr>
                <w:rFonts w:hint="eastAsia"/>
                <w:highlight w:val="none"/>
                <w:lang w:val="en-US" w:eastAsia="zh-CN"/>
              </w:rPr>
              <w:t>1</w:t>
            </w:r>
            <w:r>
              <w:rPr>
                <w:rFonts w:hint="default"/>
                <w:highlight w:val="none"/>
                <w:lang w:val="en-US" w:eastAsia="zh-CN"/>
              </w:rPr>
              <w:t>°，N39.231833°</w:t>
            </w:r>
          </w:p>
        </w:tc>
        <w:tc>
          <w:tcPr>
            <w:tcW w:w="724" w:type="dxa"/>
            <w:noWrap w:val="0"/>
            <w:tcMar>
              <w:top w:w="15" w:type="dxa"/>
              <w:left w:w="15" w:type="dxa"/>
              <w:right w:w="15" w:type="dxa"/>
            </w:tcMar>
            <w:vAlign w:val="center"/>
          </w:tcPr>
          <w:p w14:paraId="6DA2A0DB">
            <w:pPr>
              <w:pStyle w:val="58"/>
              <w:bidi w:val="0"/>
              <w:rPr>
                <w:rFonts w:hint="default"/>
                <w:highlight w:val="none"/>
                <w:lang w:val="en-US" w:eastAsia="zh-CN"/>
              </w:rPr>
            </w:pPr>
            <w:r>
              <w:rPr>
                <w:rFonts w:hint="default"/>
                <w:highlight w:val="none"/>
                <w:lang w:val="en-US" w:eastAsia="zh-CN"/>
              </w:rPr>
              <w:t>12</w:t>
            </w:r>
          </w:p>
        </w:tc>
        <w:tc>
          <w:tcPr>
            <w:tcW w:w="767" w:type="dxa"/>
            <w:noWrap w:val="0"/>
            <w:tcMar>
              <w:top w:w="15" w:type="dxa"/>
              <w:left w:w="15" w:type="dxa"/>
              <w:right w:w="15" w:type="dxa"/>
            </w:tcMar>
            <w:vAlign w:val="center"/>
          </w:tcPr>
          <w:p w14:paraId="1AAC04DD">
            <w:pPr>
              <w:pStyle w:val="58"/>
              <w:bidi w:val="0"/>
              <w:rPr>
                <w:rFonts w:hint="default"/>
                <w:highlight w:val="none"/>
                <w:lang w:val="en-US" w:eastAsia="zh-CN"/>
              </w:rPr>
            </w:pPr>
            <w:r>
              <w:rPr>
                <w:rFonts w:hint="default"/>
                <w:highlight w:val="none"/>
                <w:lang w:val="en-US" w:eastAsia="zh-CN"/>
              </w:rPr>
              <w:t>0.8</w:t>
            </w:r>
          </w:p>
        </w:tc>
        <w:tc>
          <w:tcPr>
            <w:tcW w:w="1015" w:type="dxa"/>
            <w:noWrap w:val="0"/>
            <w:tcMar>
              <w:top w:w="15" w:type="dxa"/>
              <w:left w:w="15" w:type="dxa"/>
              <w:right w:w="15" w:type="dxa"/>
            </w:tcMar>
            <w:vAlign w:val="center"/>
          </w:tcPr>
          <w:p w14:paraId="60158C59">
            <w:pPr>
              <w:pStyle w:val="58"/>
              <w:bidi w:val="0"/>
              <w:rPr>
                <w:rFonts w:hint="default"/>
                <w:highlight w:val="none"/>
                <w:lang w:val="en-US" w:eastAsia="zh-CN"/>
              </w:rPr>
            </w:pPr>
            <w:r>
              <w:rPr>
                <w:rFonts w:hint="default"/>
                <w:highlight w:val="none"/>
                <w:lang w:val="en-US" w:eastAsia="zh-CN"/>
              </w:rPr>
              <w:t>1.82</w:t>
            </w:r>
          </w:p>
        </w:tc>
        <w:tc>
          <w:tcPr>
            <w:tcW w:w="883" w:type="dxa"/>
            <w:noWrap w:val="0"/>
            <w:tcMar>
              <w:top w:w="15" w:type="dxa"/>
              <w:left w:w="15" w:type="dxa"/>
              <w:right w:w="15" w:type="dxa"/>
            </w:tcMar>
            <w:vAlign w:val="center"/>
          </w:tcPr>
          <w:p w14:paraId="76AD5A3C">
            <w:pPr>
              <w:pStyle w:val="58"/>
              <w:bidi w:val="0"/>
              <w:rPr>
                <w:rFonts w:hint="default"/>
                <w:highlight w:val="none"/>
                <w:lang w:val="en-US" w:eastAsia="zh-CN"/>
              </w:rPr>
            </w:pPr>
            <w:r>
              <w:rPr>
                <w:rFonts w:hint="default"/>
                <w:highlight w:val="none"/>
                <w:lang w:val="en-US" w:eastAsia="zh-CN"/>
              </w:rPr>
              <w:t>-1.02</w:t>
            </w:r>
          </w:p>
        </w:tc>
        <w:tc>
          <w:tcPr>
            <w:tcW w:w="943" w:type="dxa"/>
            <w:noWrap w:val="0"/>
            <w:tcMar>
              <w:top w:w="15" w:type="dxa"/>
              <w:left w:w="15" w:type="dxa"/>
              <w:right w:w="15" w:type="dxa"/>
            </w:tcMar>
            <w:vAlign w:val="center"/>
          </w:tcPr>
          <w:p w14:paraId="1CEC65F7">
            <w:pPr>
              <w:pStyle w:val="58"/>
              <w:bidi w:val="0"/>
              <w:rPr>
                <w:rFonts w:hint="default"/>
                <w:highlight w:val="none"/>
                <w:lang w:val="en-US" w:eastAsia="zh-CN"/>
              </w:rPr>
            </w:pPr>
            <w:r>
              <w:rPr>
                <w:rFonts w:hint="default"/>
                <w:highlight w:val="none"/>
                <w:lang w:val="en-US" w:eastAsia="zh-CN"/>
              </w:rPr>
              <w:t>2</w:t>
            </w:r>
          </w:p>
        </w:tc>
        <w:tc>
          <w:tcPr>
            <w:tcW w:w="886" w:type="dxa"/>
            <w:noWrap w:val="0"/>
            <w:tcMar>
              <w:top w:w="15" w:type="dxa"/>
              <w:left w:w="15" w:type="dxa"/>
              <w:right w:w="15" w:type="dxa"/>
            </w:tcMar>
            <w:vAlign w:val="center"/>
          </w:tcPr>
          <w:p w14:paraId="222EB1A8">
            <w:pPr>
              <w:pStyle w:val="58"/>
              <w:bidi w:val="0"/>
              <w:rPr>
                <w:rFonts w:hint="default"/>
                <w:highlight w:val="none"/>
                <w:lang w:val="en-US" w:eastAsia="zh-CN"/>
              </w:rPr>
            </w:pPr>
            <w:r>
              <w:rPr>
                <w:rFonts w:hint="default"/>
                <w:highlight w:val="none"/>
                <w:lang w:val="en-US" w:eastAsia="zh-CN"/>
              </w:rPr>
              <w:t>-1.2</w:t>
            </w:r>
          </w:p>
        </w:tc>
        <w:tc>
          <w:tcPr>
            <w:tcW w:w="660" w:type="dxa"/>
            <w:noWrap w:val="0"/>
            <w:tcMar>
              <w:top w:w="15" w:type="dxa"/>
              <w:left w:w="15" w:type="dxa"/>
              <w:right w:w="15" w:type="dxa"/>
            </w:tcMar>
            <w:vAlign w:val="center"/>
          </w:tcPr>
          <w:p w14:paraId="535BF254">
            <w:pPr>
              <w:pStyle w:val="58"/>
              <w:bidi w:val="0"/>
              <w:rPr>
                <w:rFonts w:hint="default"/>
                <w:highlight w:val="none"/>
                <w:lang w:val="en-US" w:eastAsia="zh-CN"/>
              </w:rPr>
            </w:pPr>
            <w:r>
              <w:rPr>
                <w:rFonts w:hint="eastAsia"/>
                <w:highlight w:val="none"/>
                <w:lang w:val="en-US" w:eastAsia="zh-CN"/>
              </w:rPr>
              <w:t>潜水</w:t>
            </w:r>
          </w:p>
        </w:tc>
      </w:tr>
      <w:tr w14:paraId="4EE292B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50" w:type="dxa"/>
            <w:noWrap w:val="0"/>
            <w:tcMar>
              <w:top w:w="15" w:type="dxa"/>
              <w:left w:w="15" w:type="dxa"/>
              <w:right w:w="15" w:type="dxa"/>
            </w:tcMar>
            <w:vAlign w:val="center"/>
          </w:tcPr>
          <w:p w14:paraId="76821A4C">
            <w:pPr>
              <w:pStyle w:val="58"/>
              <w:bidi w:val="0"/>
              <w:rPr>
                <w:rFonts w:hint="default"/>
                <w:highlight w:val="none"/>
                <w:lang w:val="en-US" w:eastAsia="zh-CN"/>
              </w:rPr>
            </w:pPr>
            <w:r>
              <w:rPr>
                <w:rFonts w:hint="eastAsia"/>
                <w:highlight w:val="none"/>
                <w:lang w:val="en-US" w:eastAsia="zh-CN"/>
              </w:rPr>
              <w:t>15</w:t>
            </w:r>
          </w:p>
        </w:tc>
        <w:tc>
          <w:tcPr>
            <w:tcW w:w="450" w:type="dxa"/>
            <w:noWrap w:val="0"/>
            <w:tcMar>
              <w:top w:w="15" w:type="dxa"/>
              <w:left w:w="15" w:type="dxa"/>
              <w:right w:w="15" w:type="dxa"/>
            </w:tcMar>
            <w:vAlign w:val="center"/>
          </w:tcPr>
          <w:p w14:paraId="32E49DC1">
            <w:pPr>
              <w:pStyle w:val="58"/>
              <w:bidi w:val="0"/>
              <w:rPr>
                <w:rFonts w:hint="default"/>
                <w:highlight w:val="none"/>
                <w:lang w:val="en-US" w:eastAsia="zh-CN"/>
              </w:rPr>
            </w:pPr>
            <w:r>
              <w:rPr>
                <w:rFonts w:hint="eastAsia"/>
                <w:highlight w:val="none"/>
                <w:lang w:val="en-US" w:eastAsia="zh-CN"/>
              </w:rPr>
              <w:t>Q15</w:t>
            </w:r>
          </w:p>
        </w:tc>
        <w:tc>
          <w:tcPr>
            <w:tcW w:w="1704" w:type="dxa"/>
            <w:noWrap w:val="0"/>
            <w:tcMar>
              <w:top w:w="15" w:type="dxa"/>
              <w:left w:w="15" w:type="dxa"/>
              <w:right w:w="15" w:type="dxa"/>
            </w:tcMar>
            <w:vAlign w:val="center"/>
          </w:tcPr>
          <w:p w14:paraId="6CA25FB7">
            <w:pPr>
              <w:pStyle w:val="58"/>
              <w:bidi w:val="0"/>
              <w:rPr>
                <w:rFonts w:hint="default"/>
                <w:highlight w:val="none"/>
                <w:lang w:val="en-US" w:eastAsia="zh-CN"/>
              </w:rPr>
            </w:pPr>
            <w:r>
              <w:rPr>
                <w:rFonts w:hint="eastAsia"/>
                <w:highlight w:val="none"/>
                <w:lang w:val="en-US" w:eastAsia="zh-CN"/>
              </w:rPr>
              <w:t>E118.274914°，N39.237369°</w:t>
            </w:r>
          </w:p>
        </w:tc>
        <w:tc>
          <w:tcPr>
            <w:tcW w:w="724" w:type="dxa"/>
            <w:noWrap w:val="0"/>
            <w:tcMar>
              <w:top w:w="15" w:type="dxa"/>
              <w:left w:w="15" w:type="dxa"/>
              <w:right w:w="15" w:type="dxa"/>
            </w:tcMar>
            <w:vAlign w:val="center"/>
          </w:tcPr>
          <w:p w14:paraId="242D8D52">
            <w:pPr>
              <w:pStyle w:val="58"/>
              <w:bidi w:val="0"/>
              <w:rPr>
                <w:rFonts w:hint="default"/>
                <w:highlight w:val="none"/>
                <w:lang w:val="en-US" w:eastAsia="zh-CN"/>
              </w:rPr>
            </w:pPr>
            <w:r>
              <w:rPr>
                <w:rFonts w:hint="default"/>
                <w:highlight w:val="none"/>
                <w:lang w:val="en-US" w:eastAsia="zh-CN"/>
              </w:rPr>
              <w:t>12</w:t>
            </w:r>
          </w:p>
        </w:tc>
        <w:tc>
          <w:tcPr>
            <w:tcW w:w="767" w:type="dxa"/>
            <w:noWrap w:val="0"/>
            <w:tcMar>
              <w:top w:w="15" w:type="dxa"/>
              <w:left w:w="15" w:type="dxa"/>
              <w:right w:w="15" w:type="dxa"/>
            </w:tcMar>
            <w:vAlign w:val="center"/>
          </w:tcPr>
          <w:p w14:paraId="31F93E0F">
            <w:pPr>
              <w:pStyle w:val="58"/>
              <w:bidi w:val="0"/>
              <w:rPr>
                <w:rFonts w:hint="default"/>
                <w:highlight w:val="none"/>
                <w:lang w:val="en-US" w:eastAsia="zh-CN"/>
              </w:rPr>
            </w:pPr>
            <w:r>
              <w:rPr>
                <w:rFonts w:hint="default"/>
                <w:highlight w:val="none"/>
                <w:lang w:val="en-US" w:eastAsia="zh-CN"/>
              </w:rPr>
              <w:t>0.9</w:t>
            </w:r>
          </w:p>
        </w:tc>
        <w:tc>
          <w:tcPr>
            <w:tcW w:w="1015" w:type="dxa"/>
            <w:noWrap w:val="0"/>
            <w:tcMar>
              <w:top w:w="15" w:type="dxa"/>
              <w:left w:w="15" w:type="dxa"/>
              <w:right w:w="15" w:type="dxa"/>
            </w:tcMar>
            <w:vAlign w:val="center"/>
          </w:tcPr>
          <w:p w14:paraId="2104EECF">
            <w:pPr>
              <w:pStyle w:val="58"/>
              <w:bidi w:val="0"/>
              <w:rPr>
                <w:rFonts w:hint="default"/>
                <w:highlight w:val="none"/>
                <w:lang w:val="en-US" w:eastAsia="zh-CN"/>
              </w:rPr>
            </w:pPr>
            <w:r>
              <w:rPr>
                <w:rFonts w:hint="default"/>
                <w:highlight w:val="none"/>
                <w:lang w:val="en-US" w:eastAsia="zh-CN"/>
              </w:rPr>
              <w:t>1.98</w:t>
            </w:r>
          </w:p>
        </w:tc>
        <w:tc>
          <w:tcPr>
            <w:tcW w:w="883" w:type="dxa"/>
            <w:noWrap w:val="0"/>
            <w:tcMar>
              <w:top w:w="15" w:type="dxa"/>
              <w:left w:w="15" w:type="dxa"/>
              <w:right w:w="15" w:type="dxa"/>
            </w:tcMar>
            <w:vAlign w:val="center"/>
          </w:tcPr>
          <w:p w14:paraId="3115D3AF">
            <w:pPr>
              <w:pStyle w:val="58"/>
              <w:bidi w:val="0"/>
              <w:rPr>
                <w:rFonts w:hint="default"/>
                <w:highlight w:val="none"/>
                <w:lang w:val="en-US" w:eastAsia="zh-CN"/>
              </w:rPr>
            </w:pPr>
            <w:r>
              <w:rPr>
                <w:rFonts w:hint="default"/>
                <w:highlight w:val="none"/>
                <w:lang w:val="en-US" w:eastAsia="zh-CN"/>
              </w:rPr>
              <w:t>-1.08</w:t>
            </w:r>
          </w:p>
        </w:tc>
        <w:tc>
          <w:tcPr>
            <w:tcW w:w="943" w:type="dxa"/>
            <w:noWrap w:val="0"/>
            <w:tcMar>
              <w:top w:w="15" w:type="dxa"/>
              <w:left w:w="15" w:type="dxa"/>
              <w:right w:w="15" w:type="dxa"/>
            </w:tcMar>
            <w:vAlign w:val="center"/>
          </w:tcPr>
          <w:p w14:paraId="075E5319">
            <w:pPr>
              <w:pStyle w:val="58"/>
              <w:bidi w:val="0"/>
              <w:rPr>
                <w:rFonts w:hint="default"/>
                <w:highlight w:val="none"/>
                <w:lang w:val="en-US" w:eastAsia="zh-CN"/>
              </w:rPr>
            </w:pPr>
            <w:r>
              <w:rPr>
                <w:rFonts w:hint="default"/>
                <w:highlight w:val="none"/>
                <w:lang w:val="en-US" w:eastAsia="zh-CN"/>
              </w:rPr>
              <w:t>2.16</w:t>
            </w:r>
          </w:p>
        </w:tc>
        <w:tc>
          <w:tcPr>
            <w:tcW w:w="886" w:type="dxa"/>
            <w:noWrap w:val="0"/>
            <w:tcMar>
              <w:top w:w="15" w:type="dxa"/>
              <w:left w:w="15" w:type="dxa"/>
              <w:right w:w="15" w:type="dxa"/>
            </w:tcMar>
            <w:vAlign w:val="center"/>
          </w:tcPr>
          <w:p w14:paraId="6EDDDE46">
            <w:pPr>
              <w:pStyle w:val="58"/>
              <w:bidi w:val="0"/>
              <w:rPr>
                <w:rFonts w:hint="default"/>
                <w:highlight w:val="none"/>
                <w:lang w:val="en-US" w:eastAsia="zh-CN"/>
              </w:rPr>
            </w:pPr>
            <w:r>
              <w:rPr>
                <w:rFonts w:hint="default"/>
                <w:highlight w:val="none"/>
                <w:lang w:val="en-US" w:eastAsia="zh-CN"/>
              </w:rPr>
              <w:t>-1.26</w:t>
            </w:r>
          </w:p>
        </w:tc>
        <w:tc>
          <w:tcPr>
            <w:tcW w:w="660" w:type="dxa"/>
            <w:noWrap w:val="0"/>
            <w:tcMar>
              <w:top w:w="15" w:type="dxa"/>
              <w:left w:w="15" w:type="dxa"/>
              <w:right w:w="15" w:type="dxa"/>
            </w:tcMar>
            <w:vAlign w:val="center"/>
          </w:tcPr>
          <w:p w14:paraId="171F368D">
            <w:pPr>
              <w:pStyle w:val="58"/>
              <w:bidi w:val="0"/>
              <w:rPr>
                <w:rFonts w:hint="default"/>
                <w:highlight w:val="none"/>
                <w:lang w:val="en-US" w:eastAsia="zh-CN"/>
              </w:rPr>
            </w:pPr>
            <w:r>
              <w:rPr>
                <w:rFonts w:hint="eastAsia"/>
                <w:highlight w:val="none"/>
                <w:lang w:val="en-US" w:eastAsia="zh-CN"/>
              </w:rPr>
              <w:t>潜水</w:t>
            </w:r>
          </w:p>
        </w:tc>
      </w:tr>
      <w:bookmarkEnd w:id="317"/>
    </w:tbl>
    <w:p w14:paraId="52A054C8">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调查评价区2023年10月潜水埋深0.08～</w:t>
      </w:r>
      <w:r>
        <w:rPr>
          <w:rFonts w:hint="eastAsia" w:cs="Times New Roman"/>
          <w:kern w:val="2"/>
          <w:sz w:val="21"/>
          <w:szCs w:val="21"/>
          <w:highlight w:val="none"/>
          <w:lang w:val="en-US" w:eastAsia="zh-CN" w:bidi="ar-SA"/>
        </w:rPr>
        <w:t>1.98</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m之间，水位标高-</w:t>
      </w:r>
      <w:r>
        <w:rPr>
          <w:rFonts w:hint="eastAsia" w:cs="Times New Roman"/>
          <w:color w:val="000000" w:themeColor="text1"/>
          <w:sz w:val="24"/>
          <w:highlight w:val="none"/>
          <w:lang w:val="en-US" w:eastAsia="zh-CN"/>
          <w14:textFill>
            <w14:solidFill>
              <w14:schemeClr w14:val="tx1"/>
            </w14:solidFill>
          </w14:textFill>
        </w:rPr>
        <w:t>1.08</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～0.62m；2024年5月潜水埋深0.32～</w:t>
      </w:r>
      <w:r>
        <w:rPr>
          <w:rFonts w:hint="eastAsia" w:cs="Times New Roman"/>
          <w:color w:val="000000" w:themeColor="text1"/>
          <w:sz w:val="24"/>
          <w:highlight w:val="none"/>
          <w:lang w:val="en-US" w:eastAsia="zh-CN"/>
          <w14:textFill>
            <w14:solidFill>
              <w14:schemeClr w14:val="tx1"/>
            </w14:solidFill>
          </w14:textFill>
        </w:rPr>
        <w:t>2.16</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m之间，水位标高-</w:t>
      </w:r>
      <w:r>
        <w:rPr>
          <w:rFonts w:hint="eastAsia" w:cs="Times New Roman"/>
          <w:color w:val="000000" w:themeColor="text1"/>
          <w:sz w:val="24"/>
          <w:highlight w:val="none"/>
          <w:lang w:val="en-US" w:eastAsia="zh-CN"/>
          <w14:textFill>
            <w14:solidFill>
              <w14:schemeClr w14:val="tx1"/>
            </w14:solidFill>
          </w14:textFill>
        </w:rPr>
        <w:t>1.26</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～0.38m；两期地下水流向均为由北向南径流，2023年10月份和2024年5月潜水流场见图5-3-4和图5-3-5。</w:t>
      </w:r>
    </w:p>
    <w:p w14:paraId="5A97DB9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drawing>
          <wp:inline distT="0" distB="0" distL="114300" distR="114300">
            <wp:extent cx="5753100" cy="4072255"/>
            <wp:effectExtent l="0" t="0" r="0" b="4445"/>
            <wp:docPr id="3" name="图片 3" descr="1724810770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724810770846"/>
                    <pic:cNvPicPr>
                      <a:picLocks noChangeAspect="1"/>
                    </pic:cNvPicPr>
                  </pic:nvPicPr>
                  <pic:blipFill>
                    <a:blip r:embed="rId78"/>
                    <a:stretch>
                      <a:fillRect/>
                    </a:stretch>
                  </pic:blipFill>
                  <pic:spPr>
                    <a:xfrm>
                      <a:off x="0" y="0"/>
                      <a:ext cx="5753100" cy="4072255"/>
                    </a:xfrm>
                    <a:prstGeom prst="rect">
                      <a:avLst/>
                    </a:prstGeom>
                  </pic:spPr>
                </pic:pic>
              </a:graphicData>
            </a:graphic>
          </wp:inline>
        </w:drawing>
      </w:r>
    </w:p>
    <w:p w14:paraId="0C7E6482">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调查评价区2023年10月潜水流场图(丰水期)</w:t>
      </w:r>
    </w:p>
    <w:p w14:paraId="117A739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drawing>
          <wp:inline distT="0" distB="0" distL="114300" distR="114300">
            <wp:extent cx="5759450" cy="4072255"/>
            <wp:effectExtent l="0" t="0" r="12700" b="4445"/>
            <wp:docPr id="30" name="图片 30" descr="1724811210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1724811210810"/>
                    <pic:cNvPicPr>
                      <a:picLocks noChangeAspect="1"/>
                    </pic:cNvPicPr>
                  </pic:nvPicPr>
                  <pic:blipFill>
                    <a:blip r:embed="rId79"/>
                    <a:stretch>
                      <a:fillRect/>
                    </a:stretch>
                  </pic:blipFill>
                  <pic:spPr>
                    <a:xfrm>
                      <a:off x="0" y="0"/>
                      <a:ext cx="5759450" cy="4072255"/>
                    </a:xfrm>
                    <a:prstGeom prst="rect">
                      <a:avLst/>
                    </a:prstGeom>
                  </pic:spPr>
                </pic:pic>
              </a:graphicData>
            </a:graphic>
          </wp:inline>
        </w:drawing>
      </w:r>
    </w:p>
    <w:p w14:paraId="248D4075">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调查评价区2024年5月潜水流场图(枯水期)</w:t>
      </w:r>
    </w:p>
    <w:p w14:paraId="7BE6ECC8">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5.2.3.5地下水开发利用现状</w:t>
      </w:r>
    </w:p>
    <w:p w14:paraId="7EC43682">
      <w:pPr>
        <w:keepNext w:val="0"/>
        <w:keepLines w:val="0"/>
        <w:pageBreakBefore w:val="0"/>
        <w:kinsoku/>
        <w:wordWrap/>
        <w:overflowPunct/>
        <w:topLinePunct w:val="0"/>
        <w:autoSpaceDE/>
        <w:autoSpaceDN/>
        <w:bidi w:val="0"/>
        <w:snapToGrid/>
        <w:spacing w:line="500" w:lineRule="exact"/>
        <w:ind w:firstLine="470" w:firstLineChars="196"/>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项目所在区域属于滨海平原区，潜水含水层主要赋存水为咸水、淡水互层，矿化度较高，不具有开发利用价值，承压含水层埋深在200m以下，垂向分布粉质粘土、粘土等隔水层，与潜水含水层水力联系微弱；生活用水以开采第Ⅲ含水组地下水为主，地下水开采大于补给。</w:t>
      </w:r>
    </w:p>
    <w:p w14:paraId="209091DF">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5.2.3.6各含水层之间及潜水与地表水之间水力联系</w:t>
      </w:r>
    </w:p>
    <w:p w14:paraId="633A5708">
      <w:pPr>
        <w:pageBreakBefore w:val="0"/>
        <w:widowControl w:val="0"/>
        <w:kinsoku/>
        <w:wordWrap/>
        <w:overflowPunct/>
        <w:topLinePunct w:val="0"/>
        <w:autoSpaceDE/>
        <w:autoSpaceDN/>
        <w:bidi w:val="0"/>
        <w:adjustRightInd/>
        <w:snapToGrid/>
        <w:spacing w:line="480" w:lineRule="exact"/>
        <w:ind w:left="0" w:right="0" w:firstLine="480" w:firstLineChars="200"/>
        <w:textAlignment w:val="auto"/>
        <w:rPr>
          <w:rFonts w:hint="default" w:ascii="Times New Roman" w:hAnsi="Times New Roman" w:eastAsia="宋体" w:cs="Times New Roman"/>
          <w:color w:val="auto"/>
          <w:spacing w:val="0"/>
          <w:sz w:val="24"/>
          <w:szCs w:val="24"/>
          <w:highlight w:val="none"/>
        </w:rPr>
      </w:pPr>
      <w:r>
        <w:rPr>
          <w:rFonts w:hint="default" w:ascii="Times New Roman" w:hAnsi="Times New Roman" w:eastAsia="宋体" w:cs="Times New Roman"/>
          <w:color w:val="auto"/>
          <w:spacing w:val="0"/>
          <w:sz w:val="24"/>
          <w:szCs w:val="24"/>
          <w:highlight w:val="none"/>
        </w:rPr>
        <w:t>第Ⅰ含水组和第Ⅱ含水组上部为咸水，各含水组在垂直方向上均有大于5m的粉质粘土相隔，无明显的水力联系，由各含水组之间隔水层的分布情况可以看出，调查评价区四个含水组之间无水力联系。</w:t>
      </w:r>
    </w:p>
    <w:p w14:paraId="427D090D">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5.2.3.7地下水水化学特征</w:t>
      </w:r>
    </w:p>
    <w:p w14:paraId="764D5DEA">
      <w:pPr>
        <w:bidi w:val="0"/>
        <w:rPr>
          <w:rFonts w:hint="default"/>
          <w:highlight w:val="none"/>
        </w:rPr>
      </w:pPr>
      <w:r>
        <w:rPr>
          <w:rFonts w:hint="default"/>
          <w:highlight w:val="none"/>
          <w:lang w:val="en-US" w:eastAsia="zh-CN"/>
        </w:rPr>
        <w:t>根据地下水现状监测数值分析，项目</w:t>
      </w:r>
      <w:r>
        <w:rPr>
          <w:rFonts w:hint="default"/>
          <w:highlight w:val="none"/>
        </w:rPr>
        <w:t>场地水化学类型为“SO</w:t>
      </w:r>
      <w:r>
        <w:rPr>
          <w:rFonts w:hint="default"/>
          <w:highlight w:val="none"/>
          <w:vertAlign w:val="subscript"/>
        </w:rPr>
        <w:t>4</w:t>
      </w:r>
      <w:r>
        <w:rPr>
          <w:rFonts w:hint="default"/>
          <w:highlight w:val="none"/>
        </w:rPr>
        <w:t>·Cl-Mg”型水</w:t>
      </w:r>
      <w:r>
        <w:rPr>
          <w:rFonts w:hint="default"/>
          <w:highlight w:val="none"/>
          <w:lang w:eastAsia="zh-CN"/>
        </w:rPr>
        <w:t>。</w:t>
      </w:r>
      <w:r>
        <w:rPr>
          <w:rFonts w:hint="default"/>
          <w:highlight w:val="none"/>
        </w:rPr>
        <w:t>根据《岩土工程勘察规范》(GB50021-2001，2009年版)，该场地环境类型为Ⅱ类。</w:t>
      </w:r>
    </w:p>
    <w:p w14:paraId="2E4C7250">
      <w:pPr>
        <w:bidi w:val="0"/>
        <w:rPr>
          <w:rFonts w:hint="default"/>
          <w:highlight w:val="none"/>
        </w:rPr>
      </w:pPr>
      <w:r>
        <w:rPr>
          <w:rFonts w:hint="default"/>
          <w:highlight w:val="none"/>
        </w:rPr>
        <w:t>按环境类型地下水对混凝土结构腐蚀性评价：存在干湿交替作用时表现为</w:t>
      </w:r>
      <w:r>
        <w:rPr>
          <w:rFonts w:hint="default"/>
          <w:highlight w:val="none"/>
          <w:lang w:eastAsia="zh-CN"/>
        </w:rPr>
        <w:t>中等</w:t>
      </w:r>
      <w:r>
        <w:rPr>
          <w:rFonts w:hint="default"/>
          <w:highlight w:val="none"/>
        </w:rPr>
        <w:t>腐蚀性，</w:t>
      </w:r>
      <w:r>
        <w:rPr>
          <w:rFonts w:hint="default"/>
          <w:highlight w:val="none"/>
          <w:lang w:eastAsia="zh-CN"/>
        </w:rPr>
        <w:t>长期浸水</w:t>
      </w:r>
      <w:r>
        <w:rPr>
          <w:rFonts w:hint="default"/>
          <w:highlight w:val="none"/>
        </w:rPr>
        <w:t>作用时，表现为</w:t>
      </w:r>
      <w:r>
        <w:rPr>
          <w:rFonts w:hint="default"/>
          <w:highlight w:val="none"/>
          <w:lang w:eastAsia="zh-CN"/>
        </w:rPr>
        <w:t>中等</w:t>
      </w:r>
      <w:r>
        <w:rPr>
          <w:rFonts w:hint="default"/>
          <w:highlight w:val="none"/>
        </w:rPr>
        <w:t>腐蚀性；按地层渗透性地下水对混凝土结构具有微腐蚀性</w:t>
      </w:r>
      <w:r>
        <w:rPr>
          <w:rFonts w:hint="default"/>
          <w:highlight w:val="none"/>
          <w:lang w:eastAsia="zh-CN"/>
        </w:rPr>
        <w:t>。</w:t>
      </w:r>
      <w:r>
        <w:rPr>
          <w:rFonts w:hint="default"/>
          <w:highlight w:val="none"/>
        </w:rPr>
        <w:t>综合判定，本场区地下水对混凝土结构具有</w:t>
      </w:r>
      <w:r>
        <w:rPr>
          <w:rFonts w:hint="default"/>
          <w:highlight w:val="none"/>
          <w:lang w:eastAsia="zh-CN"/>
        </w:rPr>
        <w:t>中等</w:t>
      </w:r>
      <w:r>
        <w:rPr>
          <w:rFonts w:hint="default"/>
          <w:highlight w:val="none"/>
        </w:rPr>
        <w:t>腐蚀性。</w:t>
      </w:r>
    </w:p>
    <w:p w14:paraId="56360482">
      <w:pPr>
        <w:bidi w:val="0"/>
        <w:rPr>
          <w:rFonts w:hint="default"/>
          <w:highlight w:val="none"/>
        </w:rPr>
      </w:pPr>
      <w:r>
        <w:rPr>
          <w:rFonts w:hint="default"/>
          <w:highlight w:val="none"/>
        </w:rPr>
        <w:t>地下水对钢筋混凝土结构中钢筋的腐蚀性评价为：在干湿交替部位，表现为</w:t>
      </w:r>
      <w:r>
        <w:rPr>
          <w:rFonts w:hint="default"/>
          <w:highlight w:val="none"/>
          <w:lang w:eastAsia="zh-CN"/>
        </w:rPr>
        <w:t>强腐</w:t>
      </w:r>
      <w:r>
        <w:rPr>
          <w:rFonts w:hint="default"/>
          <w:highlight w:val="none"/>
        </w:rPr>
        <w:t>蚀性；在长期浸水部位，表现为</w:t>
      </w:r>
      <w:r>
        <w:rPr>
          <w:rFonts w:hint="default"/>
          <w:highlight w:val="none"/>
          <w:lang w:eastAsia="zh-CN"/>
        </w:rPr>
        <w:t>弱</w:t>
      </w:r>
      <w:r>
        <w:rPr>
          <w:rFonts w:hint="default"/>
          <w:highlight w:val="none"/>
        </w:rPr>
        <w:t>腐蚀性，腐蚀介质为Cl</w:t>
      </w:r>
      <w:r>
        <w:rPr>
          <w:rFonts w:hint="default"/>
          <w:highlight w:val="none"/>
          <w:vertAlign w:val="superscript"/>
        </w:rPr>
        <w:t>-</w:t>
      </w:r>
      <w:r>
        <w:rPr>
          <w:rFonts w:hint="default"/>
          <w:highlight w:val="none"/>
        </w:rPr>
        <w:t>。</w:t>
      </w:r>
    </w:p>
    <w:p w14:paraId="370D3419">
      <w:pPr>
        <w:bidi w:val="0"/>
        <w:rPr>
          <w:rFonts w:hint="default"/>
          <w:highlight w:val="none"/>
        </w:rPr>
      </w:pPr>
      <w:r>
        <w:rPr>
          <w:rFonts w:hint="default"/>
          <w:highlight w:val="none"/>
        </w:rPr>
        <w:t>依据《油气田及管道岩土工程勘察规范》(GB50568-2019)判定，地下水对钢结构</w:t>
      </w:r>
      <w:r>
        <w:rPr>
          <w:rFonts w:hint="default"/>
          <w:highlight w:val="none"/>
          <w:lang w:eastAsia="zh-CN"/>
        </w:rPr>
        <w:t>中</w:t>
      </w:r>
      <w:r>
        <w:rPr>
          <w:rFonts w:hint="default"/>
          <w:highlight w:val="none"/>
        </w:rPr>
        <w:t>腐蚀性，腐蚀介质为C</w:t>
      </w:r>
      <w:r>
        <w:rPr>
          <w:rFonts w:hint="default"/>
          <w:highlight w:val="none"/>
          <w:lang w:val="en-US" w:eastAsia="zh-CN"/>
        </w:rPr>
        <w:t>l</w:t>
      </w:r>
      <w:r>
        <w:rPr>
          <w:rFonts w:hint="default"/>
          <w:highlight w:val="none"/>
          <w:vertAlign w:val="superscript"/>
        </w:rPr>
        <w:t>-</w:t>
      </w:r>
      <w:r>
        <w:rPr>
          <w:rFonts w:hint="default"/>
          <w:highlight w:val="none"/>
        </w:rPr>
        <w:t>、SO</w:t>
      </w:r>
      <w:r>
        <w:rPr>
          <w:rFonts w:hint="default"/>
          <w:highlight w:val="none"/>
          <w:vertAlign w:val="subscript"/>
        </w:rPr>
        <w:t>4</w:t>
      </w:r>
      <w:r>
        <w:rPr>
          <w:rFonts w:hint="default"/>
          <w:highlight w:val="none"/>
          <w:vertAlign w:val="superscript"/>
        </w:rPr>
        <w:t>2-</w:t>
      </w:r>
      <w:r>
        <w:rPr>
          <w:rFonts w:hint="default"/>
          <w:highlight w:val="none"/>
        </w:rPr>
        <w:t>。</w:t>
      </w:r>
    </w:p>
    <w:p w14:paraId="581540D0">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5.2.3.8地下水污染途径分析</w:t>
      </w:r>
    </w:p>
    <w:p w14:paraId="450DCDF9">
      <w:pPr>
        <w:pageBreakBefore w:val="0"/>
        <w:widowControl w:val="0"/>
        <w:kinsoku/>
        <w:wordWrap/>
        <w:overflowPunct/>
        <w:topLinePunct w:val="0"/>
        <w:bidi w:val="0"/>
        <w:adjustRightInd/>
        <w:snapToGrid/>
        <w:spacing w:line="460" w:lineRule="exact"/>
        <w:ind w:firstLine="470" w:firstLineChars="196"/>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本项目</w:t>
      </w:r>
      <w:r>
        <w:rPr>
          <w:rFonts w:hint="default" w:ascii="Times New Roman" w:hAnsi="Times New Roman" w:eastAsia="宋体" w:cs="Times New Roman"/>
          <w:color w:val="auto"/>
          <w:sz w:val="24"/>
          <w:highlight w:val="none"/>
          <w:lang w:val="en-US" w:eastAsia="zh-CN"/>
        </w:rPr>
        <w:t>所在</w:t>
      </w:r>
      <w:r>
        <w:rPr>
          <w:rFonts w:hint="default" w:ascii="Times New Roman" w:hAnsi="Times New Roman" w:eastAsia="宋体" w:cs="Times New Roman"/>
          <w:color w:val="auto"/>
          <w:sz w:val="24"/>
          <w:highlight w:val="none"/>
        </w:rPr>
        <w:t>区域无浅层淡水资源，评价区包气带岩性为粉质粘土，含水层岩性一般以</w:t>
      </w:r>
      <w:r>
        <w:rPr>
          <w:rFonts w:hint="default" w:ascii="Times New Roman" w:hAnsi="Times New Roman" w:eastAsia="宋体" w:cs="Times New Roman"/>
          <w:color w:val="auto"/>
          <w:sz w:val="24"/>
          <w:highlight w:val="none"/>
          <w:lang w:eastAsia="zh-CN"/>
        </w:rPr>
        <w:t>杂填土和素填土</w:t>
      </w:r>
      <w:r>
        <w:rPr>
          <w:rFonts w:hint="default" w:ascii="Times New Roman" w:hAnsi="Times New Roman" w:eastAsia="宋体" w:cs="Times New Roman"/>
          <w:color w:val="auto"/>
          <w:sz w:val="24"/>
          <w:highlight w:val="none"/>
        </w:rPr>
        <w:t>为主，包气带防污性能</w:t>
      </w:r>
      <w:r>
        <w:rPr>
          <w:rFonts w:hint="default" w:ascii="Times New Roman" w:hAnsi="Times New Roman" w:eastAsia="宋体" w:cs="Times New Roman"/>
          <w:color w:val="auto"/>
          <w:sz w:val="24"/>
          <w:highlight w:val="none"/>
          <w:lang w:eastAsia="zh-CN"/>
        </w:rPr>
        <w:t>为中等级别</w:t>
      </w:r>
      <w:r>
        <w:rPr>
          <w:rFonts w:hint="default" w:ascii="Times New Roman" w:hAnsi="Times New Roman" w:eastAsia="宋体" w:cs="Times New Roman"/>
          <w:color w:val="auto"/>
          <w:sz w:val="24"/>
          <w:highlight w:val="none"/>
        </w:rPr>
        <w:t>。项目的</w:t>
      </w:r>
      <w:r>
        <w:rPr>
          <w:rFonts w:hint="default" w:ascii="Times New Roman" w:hAnsi="Times New Roman" w:eastAsia="宋体" w:cs="Times New Roman"/>
          <w:color w:val="auto"/>
          <w:sz w:val="24"/>
          <w:highlight w:val="none"/>
          <w:lang w:val="en-US" w:eastAsia="zh-CN"/>
        </w:rPr>
        <w:t>各类池体</w:t>
      </w:r>
      <w:r>
        <w:rPr>
          <w:rFonts w:hint="default" w:ascii="Times New Roman" w:hAnsi="Times New Roman" w:eastAsia="宋体" w:cs="Times New Roman"/>
          <w:color w:val="auto"/>
          <w:sz w:val="24"/>
          <w:highlight w:val="none"/>
        </w:rPr>
        <w:t>、各类管线等，在生产过程中</w:t>
      </w:r>
      <w:r>
        <w:rPr>
          <w:rFonts w:hint="default" w:ascii="Times New Roman" w:hAnsi="Times New Roman" w:eastAsia="宋体" w:cs="Times New Roman"/>
          <w:color w:val="auto"/>
          <w:sz w:val="24"/>
          <w:highlight w:val="none"/>
          <w:lang w:val="en-US" w:eastAsia="zh-CN"/>
        </w:rPr>
        <w:t>污水调节池中污染物</w:t>
      </w:r>
      <w:r>
        <w:rPr>
          <w:rFonts w:hint="default" w:ascii="Times New Roman" w:hAnsi="Times New Roman" w:eastAsia="宋体" w:cs="Times New Roman"/>
          <w:color w:val="auto"/>
          <w:sz w:val="24"/>
          <w:highlight w:val="none"/>
        </w:rPr>
        <w:t>产生跑冒滴漏的现象，若没有防渗</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lang w:val="en-US" w:eastAsia="zh-CN"/>
        </w:rPr>
        <w:t>防渗层破坏</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rPr>
        <w:t>的情况下，污染物可能产生入渗型污染，</w:t>
      </w:r>
      <w:r>
        <w:rPr>
          <w:rFonts w:hint="default" w:ascii="Times New Roman" w:hAnsi="Times New Roman" w:eastAsia="宋体" w:cs="Times New Roman"/>
          <w:color w:val="auto"/>
          <w:sz w:val="24"/>
          <w:highlight w:val="none"/>
          <w:lang w:val="en-US" w:eastAsia="zh-CN"/>
        </w:rPr>
        <w:t>对土壤造成影响进而污染地下水</w:t>
      </w:r>
      <w:r>
        <w:rPr>
          <w:rFonts w:hint="default" w:ascii="Times New Roman" w:hAnsi="Times New Roman" w:eastAsia="宋体" w:cs="Times New Roman"/>
          <w:color w:val="auto"/>
          <w:sz w:val="24"/>
          <w:highlight w:val="none"/>
        </w:rPr>
        <w:t>。因此本项目地下水的污染途径主要以入渗型为主。</w:t>
      </w:r>
    </w:p>
    <w:p w14:paraId="4D437EEC">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5.2.3.9环境水文地质试验</w:t>
      </w:r>
    </w:p>
    <w:p w14:paraId="40463C58">
      <w:pPr>
        <w:keepNext w:val="0"/>
        <w:keepLines w:val="0"/>
        <w:pageBreakBefore w:val="0"/>
        <w:widowControl w:val="0"/>
        <w:kinsoku/>
        <w:wordWrap/>
        <w:overflowPunct/>
        <w:topLinePunct w:val="0"/>
        <w:autoSpaceDE/>
        <w:autoSpaceDN/>
        <w:bidi w:val="0"/>
        <w:adjustRightInd/>
        <w:snapToGrid/>
        <w:spacing w:line="460" w:lineRule="exact"/>
        <w:ind w:firstLine="470" w:firstLineChars="196"/>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为查明评价区包气带的防污性能，为地下水污染防治措施的设计提供科学依据，本次分别完成了</w:t>
      </w:r>
      <w:r>
        <w:rPr>
          <w:rFonts w:hint="default" w:ascii="Times New Roman" w:hAnsi="Times New Roman" w:eastAsia="宋体" w:cs="Times New Roman"/>
          <w:color w:val="auto"/>
          <w:sz w:val="24"/>
          <w:highlight w:val="none"/>
          <w:lang w:val="en-US" w:eastAsia="zh-CN"/>
        </w:rPr>
        <w:t>1</w:t>
      </w:r>
      <w:r>
        <w:rPr>
          <w:rFonts w:hint="default" w:ascii="Times New Roman" w:hAnsi="Times New Roman" w:eastAsia="宋体" w:cs="Times New Roman"/>
          <w:color w:val="auto"/>
          <w:sz w:val="24"/>
          <w:highlight w:val="none"/>
        </w:rPr>
        <w:t>处渗水试验，</w:t>
      </w:r>
      <w:r>
        <w:rPr>
          <w:rFonts w:hint="default" w:ascii="Times New Roman" w:hAnsi="Times New Roman" w:eastAsia="宋体" w:cs="Times New Roman"/>
          <w:color w:val="auto"/>
          <w:sz w:val="24"/>
          <w:szCs w:val="24"/>
          <w:highlight w:val="none"/>
        </w:rPr>
        <w:t>通过</w:t>
      </w:r>
      <w:r>
        <w:rPr>
          <w:rFonts w:hint="default" w:ascii="Times New Roman" w:hAnsi="Times New Roman" w:eastAsia="宋体" w:cs="Times New Roman"/>
          <w:color w:val="auto"/>
          <w:sz w:val="24"/>
          <w:szCs w:val="24"/>
          <w:highlight w:val="none"/>
          <w:lang w:eastAsia="zh-CN"/>
        </w:rPr>
        <w:t>双环</w:t>
      </w:r>
      <w:r>
        <w:rPr>
          <w:rFonts w:hint="default" w:ascii="Times New Roman" w:hAnsi="Times New Roman" w:eastAsia="宋体" w:cs="Times New Roman"/>
          <w:color w:val="auto"/>
          <w:sz w:val="24"/>
          <w:szCs w:val="24"/>
          <w:highlight w:val="none"/>
        </w:rPr>
        <w:t>渗水试验测试包气带渗透性能，</w:t>
      </w:r>
      <w:r>
        <w:rPr>
          <w:rFonts w:hint="default" w:ascii="Times New Roman" w:hAnsi="Times New Roman" w:eastAsia="宋体" w:cs="Times New Roman"/>
          <w:color w:val="auto"/>
          <w:sz w:val="24"/>
          <w:highlight w:val="none"/>
        </w:rPr>
        <w:t>野外现场测定了包气带地层的垂向渗透系数。</w:t>
      </w:r>
    </w:p>
    <w:p w14:paraId="53AA1214">
      <w:pPr>
        <w:keepNext w:val="0"/>
        <w:keepLines w:val="0"/>
        <w:pageBreakBefore w:val="0"/>
        <w:widowControl w:val="0"/>
        <w:kinsoku/>
        <w:wordWrap/>
        <w:overflowPunct/>
        <w:topLinePunct w:val="0"/>
        <w:autoSpaceDE/>
        <w:autoSpaceDN/>
        <w:bidi w:val="0"/>
        <w:adjustRightInd/>
        <w:snapToGrid/>
        <w:spacing w:line="460" w:lineRule="exact"/>
        <w:ind w:firstLine="470" w:firstLineChars="196"/>
        <w:textAlignment w:val="auto"/>
        <w:rPr>
          <w:rFonts w:hint="default" w:ascii="Times New Roman" w:hAnsi="Times New Roman" w:eastAsia="宋体" w:cs="Times New Roman"/>
          <w:color w:val="auto"/>
          <w:sz w:val="24"/>
          <w:highlight w:val="none"/>
          <w:lang w:eastAsia="zh-CN"/>
        </w:rPr>
      </w:pP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lang w:val="en-US" w:eastAsia="zh-CN"/>
        </w:rPr>
        <w:t>1</w:t>
      </w:r>
      <w:r>
        <w:rPr>
          <w:rFonts w:hint="default" w:ascii="Times New Roman" w:hAnsi="Times New Roman" w:eastAsia="宋体" w:cs="Times New Roman"/>
          <w:color w:val="auto"/>
          <w:sz w:val="24"/>
          <w:highlight w:val="none"/>
          <w:lang w:eastAsia="zh-CN"/>
        </w:rPr>
        <w:t>）试验方法</w:t>
      </w:r>
    </w:p>
    <w:p w14:paraId="76E0B4FF">
      <w:pPr>
        <w:keepNext w:val="0"/>
        <w:keepLines w:val="0"/>
        <w:pageBreakBefore w:val="0"/>
        <w:widowControl w:val="0"/>
        <w:kinsoku/>
        <w:wordWrap/>
        <w:overflowPunct/>
        <w:topLinePunct w:val="0"/>
        <w:autoSpaceDE/>
        <w:autoSpaceDN/>
        <w:bidi w:val="0"/>
        <w:adjustRightInd/>
        <w:snapToGrid/>
        <w:spacing w:line="460" w:lineRule="exact"/>
        <w:ind w:firstLine="458" w:firstLineChars="196"/>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pacing w:val="-3"/>
          <w:sz w:val="24"/>
          <w:szCs w:val="24"/>
          <w:highlight w:val="none"/>
          <w:lang w:val="en-US" w:eastAsia="zh-CN"/>
        </w:rPr>
        <w:t>渗水试验为原位渗水试验，为了消除垂向渗水过程中侧向渗流的不利影响采用双环法，双环的直径分别为50cm和25cm，高25cm。双环法在试坑底部同心压入直径不同的试环，然后在内环及内、外环之间的环形空间同时注水，并保持两处水层在同一高度。这样即可认为由内外环之间渗入的水主要消耗在侧向扩散上，从而使由内环所消耗的水则主要消耗在垂向渗透上，为准垂向一维渗流，试验一直进行到渗入水量稳定不变时为止。</w:t>
      </w:r>
      <w:r>
        <w:rPr>
          <w:rFonts w:hint="default" w:ascii="Times New Roman" w:hAnsi="Times New Roman" w:eastAsia="宋体" w:cs="Times New Roman"/>
          <w:color w:val="auto"/>
          <w:sz w:val="24"/>
          <w:highlight w:val="none"/>
          <w:lang w:eastAsia="zh-CN"/>
        </w:rPr>
        <w:t>双环</w:t>
      </w:r>
      <w:r>
        <w:rPr>
          <w:rFonts w:hint="default" w:ascii="Times New Roman" w:hAnsi="Times New Roman" w:eastAsia="宋体" w:cs="Times New Roman"/>
          <w:color w:val="auto"/>
          <w:sz w:val="24"/>
          <w:highlight w:val="none"/>
        </w:rPr>
        <w:t>渗水试验原理图见图</w:t>
      </w:r>
      <w:r>
        <w:rPr>
          <w:rFonts w:hint="default" w:ascii="Times New Roman" w:hAnsi="Times New Roman" w:eastAsia="宋体" w:cs="Times New Roman"/>
          <w:color w:val="auto"/>
          <w:sz w:val="24"/>
          <w:highlight w:val="none"/>
          <w:lang w:val="en-US" w:eastAsia="zh-CN"/>
        </w:rPr>
        <w:t>5.2-</w:t>
      </w:r>
      <w:r>
        <w:rPr>
          <w:rFonts w:hint="eastAsia" w:cs="Times New Roman"/>
          <w:color w:val="auto"/>
          <w:sz w:val="24"/>
          <w:highlight w:val="none"/>
          <w:lang w:val="en-US" w:eastAsia="zh-CN"/>
        </w:rPr>
        <w:t>13</w:t>
      </w:r>
      <w:r>
        <w:rPr>
          <w:rFonts w:hint="default" w:ascii="Times New Roman" w:hAnsi="Times New Roman" w:eastAsia="宋体" w:cs="Times New Roman"/>
          <w:color w:val="auto"/>
          <w:sz w:val="24"/>
          <w:highlight w:val="none"/>
        </w:rPr>
        <w:t>。</w:t>
      </w:r>
    </w:p>
    <w:p w14:paraId="1A518B5A">
      <w:pPr>
        <w:keepNext w:val="0"/>
        <w:keepLines w:val="0"/>
        <w:pageBreakBefore w:val="0"/>
        <w:widowControl w:val="0"/>
        <w:kinsoku/>
        <w:wordWrap/>
        <w:overflowPunct/>
        <w:topLinePunct w:val="0"/>
        <w:autoSpaceDE/>
        <w:autoSpaceDN/>
        <w:bidi w:val="0"/>
        <w:adjustRightInd/>
        <w:snapToGrid/>
        <w:spacing w:line="240" w:lineRule="auto"/>
        <w:ind w:left="0" w:right="0" w:firstLine="420"/>
        <w:jc w:val="center"/>
        <w:textAlignment w:val="auto"/>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z w:val="24"/>
          <w:highlight w:val="none"/>
        </w:rPr>
        <w:drawing>
          <wp:inline distT="0" distB="0" distL="114300" distR="114300">
            <wp:extent cx="3036570" cy="2115820"/>
            <wp:effectExtent l="12700" t="12700" r="17780" b="24130"/>
            <wp:docPr id="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5"/>
                    <pic:cNvPicPr>
                      <a:picLocks noChangeAspect="1"/>
                    </pic:cNvPicPr>
                  </pic:nvPicPr>
                  <pic:blipFill>
                    <a:blip r:embed="rId80">
                      <a:lum contrast="100000"/>
                    </a:blip>
                    <a:stretch>
                      <a:fillRect/>
                    </a:stretch>
                  </pic:blipFill>
                  <pic:spPr>
                    <a:xfrm>
                      <a:off x="0" y="0"/>
                      <a:ext cx="3036570" cy="2115820"/>
                    </a:xfrm>
                    <a:prstGeom prst="rect">
                      <a:avLst/>
                    </a:prstGeom>
                    <a:noFill/>
                    <a:ln w="12700" cap="flat" cmpd="sng">
                      <a:solidFill>
                        <a:srgbClr val="000000"/>
                      </a:solidFill>
                      <a:prstDash val="solid"/>
                      <a:miter/>
                      <a:headEnd type="none" w="med" len="med"/>
                      <a:tailEnd type="none" w="med" len="med"/>
                    </a:ln>
                  </pic:spPr>
                </pic:pic>
              </a:graphicData>
            </a:graphic>
          </wp:inline>
        </w:drawing>
      </w:r>
    </w:p>
    <w:p w14:paraId="18F36D4E">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双环渗水试验原理图</w:t>
      </w:r>
    </w:p>
    <w:p w14:paraId="140D60D6">
      <w:pPr>
        <w:keepNext w:val="0"/>
        <w:keepLines w:val="0"/>
        <w:pageBreakBefore w:val="0"/>
        <w:widowControl w:val="0"/>
        <w:kinsoku/>
        <w:wordWrap/>
        <w:overflowPunct/>
        <w:topLinePunct w:val="0"/>
        <w:autoSpaceDE/>
        <w:autoSpaceDN/>
        <w:bidi w:val="0"/>
        <w:adjustRightInd/>
        <w:snapToGrid/>
        <w:spacing w:line="480" w:lineRule="exact"/>
        <w:ind w:left="0" w:right="0" w:firstLine="420"/>
        <w:textAlignment w:val="auto"/>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pacing w:val="-3"/>
          <w:sz w:val="24"/>
          <w:szCs w:val="24"/>
          <w:highlight w:val="none"/>
          <w:lang w:val="en-US" w:eastAsia="zh-CN"/>
        </w:rPr>
        <w:t>（2）技术要求</w:t>
      </w:r>
    </w:p>
    <w:p w14:paraId="0CACA75B">
      <w:pPr>
        <w:keepNext w:val="0"/>
        <w:keepLines w:val="0"/>
        <w:pageBreakBefore w:val="0"/>
        <w:widowControl w:val="0"/>
        <w:kinsoku/>
        <w:wordWrap/>
        <w:overflowPunct/>
        <w:topLinePunct w:val="0"/>
        <w:autoSpaceDE/>
        <w:autoSpaceDN/>
        <w:bidi w:val="0"/>
        <w:adjustRightInd/>
        <w:snapToGrid/>
        <w:spacing w:line="480" w:lineRule="exact"/>
        <w:ind w:left="0" w:right="0" w:firstLine="420"/>
        <w:textAlignment w:val="auto"/>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pacing w:val="-3"/>
          <w:sz w:val="24"/>
          <w:szCs w:val="24"/>
          <w:highlight w:val="none"/>
          <w:lang w:val="en-US" w:eastAsia="zh-CN"/>
        </w:rPr>
        <w:t>1）保证试验期间内环和外环的水层在同一高度。</w:t>
      </w:r>
    </w:p>
    <w:p w14:paraId="4EEDFCDC">
      <w:pPr>
        <w:keepNext w:val="0"/>
        <w:keepLines w:val="0"/>
        <w:pageBreakBefore w:val="0"/>
        <w:widowControl w:val="0"/>
        <w:kinsoku/>
        <w:wordWrap/>
        <w:overflowPunct/>
        <w:topLinePunct w:val="0"/>
        <w:autoSpaceDE/>
        <w:autoSpaceDN/>
        <w:bidi w:val="0"/>
        <w:adjustRightInd/>
        <w:snapToGrid/>
        <w:spacing w:line="480" w:lineRule="exact"/>
        <w:ind w:left="0" w:right="0" w:firstLine="420"/>
        <w:textAlignment w:val="auto"/>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pacing w:val="-3"/>
          <w:sz w:val="24"/>
          <w:szCs w:val="24"/>
          <w:highlight w:val="none"/>
          <w:lang w:val="en-US" w:eastAsia="zh-CN"/>
        </w:rPr>
        <w:t>2）试验过程中为保证不露出地面应使内外环的水层始终大于5cm，内环每加一次水记录一次时间，每次加水的量一致。</w:t>
      </w:r>
    </w:p>
    <w:p w14:paraId="4E3FAEE8">
      <w:pPr>
        <w:keepNext w:val="0"/>
        <w:keepLines w:val="0"/>
        <w:pageBreakBefore w:val="0"/>
        <w:widowControl w:val="0"/>
        <w:kinsoku/>
        <w:wordWrap/>
        <w:overflowPunct/>
        <w:topLinePunct w:val="0"/>
        <w:autoSpaceDE/>
        <w:autoSpaceDN/>
        <w:bidi w:val="0"/>
        <w:adjustRightInd/>
        <w:snapToGrid/>
        <w:spacing w:line="480" w:lineRule="exact"/>
        <w:ind w:left="0" w:right="0" w:firstLine="420"/>
        <w:textAlignment w:val="auto"/>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pacing w:val="-3"/>
          <w:sz w:val="24"/>
          <w:szCs w:val="24"/>
          <w:highlight w:val="none"/>
          <w:lang w:val="en-US" w:eastAsia="zh-CN"/>
        </w:rPr>
        <w:t>3）渗水速率稳定延续1~2小时。</w:t>
      </w:r>
    </w:p>
    <w:p w14:paraId="6255FE33">
      <w:pPr>
        <w:keepNext w:val="0"/>
        <w:keepLines w:val="0"/>
        <w:pageBreakBefore w:val="0"/>
        <w:widowControl w:val="0"/>
        <w:kinsoku/>
        <w:wordWrap/>
        <w:overflowPunct/>
        <w:topLinePunct w:val="0"/>
        <w:autoSpaceDE/>
        <w:autoSpaceDN/>
        <w:bidi w:val="0"/>
        <w:adjustRightInd/>
        <w:snapToGrid/>
        <w:spacing w:line="480" w:lineRule="exact"/>
        <w:ind w:left="0" w:right="0" w:firstLine="420"/>
        <w:textAlignment w:val="auto"/>
        <w:rPr>
          <w:rFonts w:hint="default" w:ascii="Times New Roman" w:hAnsi="Times New Roman" w:eastAsia="宋体" w:cs="Times New Roman"/>
          <w:color w:val="auto"/>
          <w:spacing w:val="-3"/>
          <w:sz w:val="24"/>
          <w:szCs w:val="24"/>
          <w:highlight w:val="none"/>
          <w:lang w:val="en-US" w:eastAsia="zh-CN"/>
        </w:rPr>
      </w:pPr>
      <w:r>
        <w:rPr>
          <w:rFonts w:hint="default" w:ascii="Times New Roman" w:hAnsi="Times New Roman" w:eastAsia="宋体" w:cs="Times New Roman"/>
          <w:color w:val="auto"/>
          <w:spacing w:val="-3"/>
          <w:sz w:val="24"/>
          <w:szCs w:val="24"/>
          <w:highlight w:val="none"/>
          <w:lang w:val="en-US" w:eastAsia="zh-CN"/>
        </w:rPr>
        <w:t>4）应以水层在5cm的时刻为试验结束的时刻。</w:t>
      </w:r>
    </w:p>
    <w:p w14:paraId="46F7CA59">
      <w:pPr>
        <w:keepNext w:val="0"/>
        <w:keepLines w:val="0"/>
        <w:pageBreakBefore w:val="0"/>
        <w:widowControl w:val="0"/>
        <w:kinsoku/>
        <w:wordWrap/>
        <w:overflowPunct/>
        <w:topLinePunct w:val="0"/>
        <w:autoSpaceDE/>
        <w:autoSpaceDN/>
        <w:bidi w:val="0"/>
        <w:adjustRightInd/>
        <w:snapToGrid/>
        <w:spacing w:line="480" w:lineRule="exact"/>
        <w:ind w:left="0" w:right="0" w:firstLine="420"/>
        <w:textAlignment w:val="auto"/>
        <w:rPr>
          <w:rFonts w:hint="default" w:ascii="Times New Roman" w:hAnsi="Times New Roman" w:eastAsia="宋体" w:cs="Times New Roman"/>
          <w:color w:val="auto"/>
          <w:spacing w:val="-3"/>
          <w:sz w:val="24"/>
          <w:szCs w:val="24"/>
          <w:highlight w:val="none"/>
          <w:lang w:val="en-US" w:eastAsia="zh-CN"/>
        </w:rPr>
      </w:pPr>
      <w:r>
        <w:rPr>
          <w:rFonts w:hint="default" w:ascii="Times New Roman" w:hAnsi="Times New Roman" w:eastAsia="宋体" w:cs="Times New Roman"/>
          <w:color w:val="auto"/>
          <w:spacing w:val="-3"/>
          <w:sz w:val="24"/>
          <w:szCs w:val="24"/>
          <w:highlight w:val="none"/>
          <w:lang w:val="en-US" w:eastAsia="zh-CN"/>
        </w:rPr>
        <w:t>（3）渗水试验成果</w:t>
      </w:r>
    </w:p>
    <w:p w14:paraId="08ECDE0E">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评价区包气带渗水试验数据统计表</w:t>
      </w:r>
    </w:p>
    <w:tbl>
      <w:tblPr>
        <w:tblStyle w:val="48"/>
        <w:tblW w:w="4997"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707"/>
        <w:gridCol w:w="1097"/>
        <w:gridCol w:w="787"/>
        <w:gridCol w:w="1031"/>
        <w:gridCol w:w="921"/>
        <w:gridCol w:w="921"/>
        <w:gridCol w:w="912"/>
        <w:gridCol w:w="908"/>
        <w:gridCol w:w="914"/>
        <w:gridCol w:w="1084"/>
      </w:tblGrid>
      <w:tr w14:paraId="18ECA1F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81" w:type="pct"/>
            <w:tcBorders>
              <w:tl2br w:val="nil"/>
              <w:tr2bl w:val="nil"/>
            </w:tcBorders>
            <w:vAlign w:val="center"/>
          </w:tcPr>
          <w:p w14:paraId="27455E40">
            <w:pPr>
              <w:pStyle w:val="58"/>
              <w:bidi w:val="0"/>
              <w:rPr>
                <w:rFonts w:hint="default"/>
                <w:highlight w:val="none"/>
                <w:lang w:eastAsia="zh-CN"/>
              </w:rPr>
            </w:pPr>
            <w:r>
              <w:rPr>
                <w:rFonts w:hint="default"/>
                <w:highlight w:val="none"/>
                <w:lang w:eastAsia="zh-CN"/>
              </w:rPr>
              <w:t>编号</w:t>
            </w:r>
          </w:p>
        </w:tc>
        <w:tc>
          <w:tcPr>
            <w:tcW w:w="591" w:type="pct"/>
            <w:tcBorders>
              <w:tl2br w:val="nil"/>
              <w:tr2bl w:val="nil"/>
            </w:tcBorders>
            <w:vAlign w:val="center"/>
          </w:tcPr>
          <w:p w14:paraId="313E7863">
            <w:pPr>
              <w:pStyle w:val="58"/>
              <w:bidi w:val="0"/>
              <w:rPr>
                <w:rFonts w:hint="default"/>
                <w:highlight w:val="none"/>
              </w:rPr>
            </w:pPr>
            <w:r>
              <w:rPr>
                <w:rFonts w:hint="default"/>
                <w:highlight w:val="none"/>
              </w:rPr>
              <w:t>位置</w:t>
            </w:r>
          </w:p>
        </w:tc>
        <w:tc>
          <w:tcPr>
            <w:tcW w:w="424" w:type="pct"/>
            <w:tcBorders>
              <w:tl2br w:val="nil"/>
              <w:tr2bl w:val="nil"/>
            </w:tcBorders>
            <w:vAlign w:val="center"/>
          </w:tcPr>
          <w:p w14:paraId="7D54D103">
            <w:pPr>
              <w:pStyle w:val="58"/>
              <w:bidi w:val="0"/>
              <w:rPr>
                <w:rFonts w:hint="default"/>
                <w:highlight w:val="none"/>
              </w:rPr>
            </w:pPr>
            <w:r>
              <w:rPr>
                <w:rFonts w:hint="default"/>
                <w:highlight w:val="none"/>
              </w:rPr>
              <w:t>时间T(h)</w:t>
            </w:r>
          </w:p>
        </w:tc>
        <w:tc>
          <w:tcPr>
            <w:tcW w:w="555" w:type="pct"/>
            <w:tcBorders>
              <w:tl2br w:val="nil"/>
              <w:tr2bl w:val="nil"/>
            </w:tcBorders>
            <w:vAlign w:val="center"/>
          </w:tcPr>
          <w:p w14:paraId="437AB661">
            <w:pPr>
              <w:pStyle w:val="58"/>
              <w:bidi w:val="0"/>
              <w:rPr>
                <w:rFonts w:hint="default"/>
                <w:highlight w:val="none"/>
              </w:rPr>
            </w:pPr>
            <w:r>
              <w:rPr>
                <w:rFonts w:hint="default"/>
                <w:highlight w:val="none"/>
              </w:rPr>
              <w:t>渗水层岩性</w:t>
            </w:r>
          </w:p>
        </w:tc>
        <w:tc>
          <w:tcPr>
            <w:tcW w:w="496" w:type="pct"/>
            <w:tcBorders>
              <w:tl2br w:val="nil"/>
              <w:tr2bl w:val="nil"/>
            </w:tcBorders>
            <w:vAlign w:val="center"/>
          </w:tcPr>
          <w:p w14:paraId="15B99832">
            <w:pPr>
              <w:pStyle w:val="58"/>
              <w:bidi w:val="0"/>
              <w:rPr>
                <w:rFonts w:hint="default"/>
                <w:highlight w:val="none"/>
              </w:rPr>
            </w:pPr>
            <w:r>
              <w:rPr>
                <w:rFonts w:hint="default"/>
                <w:highlight w:val="none"/>
              </w:rPr>
              <w:t>渗水量Q(L</w:t>
            </w:r>
            <w:r>
              <w:rPr>
                <w:rFonts w:hint="default"/>
                <w:highlight w:val="none"/>
                <w:lang w:val="en-US" w:eastAsia="zh-CN"/>
              </w:rPr>
              <w:t>/</w:t>
            </w:r>
            <w:r>
              <w:rPr>
                <w:rFonts w:hint="default"/>
                <w:highlight w:val="none"/>
              </w:rPr>
              <w:t>h)</w:t>
            </w:r>
          </w:p>
        </w:tc>
        <w:tc>
          <w:tcPr>
            <w:tcW w:w="496" w:type="pct"/>
            <w:tcBorders>
              <w:tl2br w:val="nil"/>
              <w:tr2bl w:val="nil"/>
            </w:tcBorders>
            <w:vAlign w:val="center"/>
          </w:tcPr>
          <w:p w14:paraId="1FEC5911">
            <w:pPr>
              <w:pStyle w:val="58"/>
              <w:bidi w:val="0"/>
              <w:rPr>
                <w:rFonts w:hint="default"/>
                <w:highlight w:val="none"/>
              </w:rPr>
            </w:pPr>
            <w:r>
              <w:rPr>
                <w:rFonts w:hint="default"/>
                <w:highlight w:val="none"/>
              </w:rPr>
              <w:t>渗水面积F(m²)</w:t>
            </w:r>
          </w:p>
        </w:tc>
        <w:tc>
          <w:tcPr>
            <w:tcW w:w="491" w:type="pct"/>
            <w:tcBorders>
              <w:tl2br w:val="nil"/>
              <w:tr2bl w:val="nil"/>
            </w:tcBorders>
            <w:vAlign w:val="center"/>
          </w:tcPr>
          <w:p w14:paraId="4FB8777F">
            <w:pPr>
              <w:pStyle w:val="58"/>
              <w:bidi w:val="0"/>
              <w:rPr>
                <w:rFonts w:hint="default"/>
                <w:highlight w:val="none"/>
              </w:rPr>
            </w:pPr>
            <w:r>
              <w:rPr>
                <w:rFonts w:hint="default"/>
                <w:highlight w:val="none"/>
                <w:lang w:eastAsia="zh-CN"/>
              </w:rPr>
              <w:t>内环</w:t>
            </w:r>
            <w:r>
              <w:rPr>
                <w:rFonts w:hint="default"/>
                <w:highlight w:val="none"/>
              </w:rPr>
              <w:t>水头</w:t>
            </w:r>
          </w:p>
          <w:p w14:paraId="16C5CA90">
            <w:pPr>
              <w:pStyle w:val="58"/>
              <w:bidi w:val="0"/>
              <w:rPr>
                <w:rFonts w:hint="default"/>
                <w:highlight w:val="none"/>
              </w:rPr>
            </w:pPr>
            <w:r>
              <w:rPr>
                <w:rFonts w:hint="default"/>
                <w:highlight w:val="none"/>
              </w:rPr>
              <w:t>高度Z</w:t>
            </w:r>
          </w:p>
          <w:p w14:paraId="2D1BEB29">
            <w:pPr>
              <w:pStyle w:val="58"/>
              <w:bidi w:val="0"/>
              <w:rPr>
                <w:rFonts w:hint="default"/>
                <w:highlight w:val="none"/>
              </w:rPr>
            </w:pPr>
            <w:r>
              <w:rPr>
                <w:rFonts w:hint="default"/>
                <w:highlight w:val="none"/>
              </w:rPr>
              <w:t>(m)</w:t>
            </w:r>
          </w:p>
        </w:tc>
        <w:tc>
          <w:tcPr>
            <w:tcW w:w="489" w:type="pct"/>
            <w:tcBorders>
              <w:tl2br w:val="nil"/>
              <w:tr2bl w:val="nil"/>
            </w:tcBorders>
            <w:vAlign w:val="center"/>
          </w:tcPr>
          <w:p w14:paraId="2B620D29">
            <w:pPr>
              <w:pStyle w:val="58"/>
              <w:bidi w:val="0"/>
              <w:rPr>
                <w:rFonts w:hint="default"/>
                <w:highlight w:val="none"/>
              </w:rPr>
            </w:pPr>
            <w:r>
              <w:rPr>
                <w:rFonts w:hint="default"/>
                <w:highlight w:val="none"/>
              </w:rPr>
              <w:t>毛细压</w:t>
            </w:r>
          </w:p>
          <w:p w14:paraId="62F41EEA">
            <w:pPr>
              <w:pStyle w:val="58"/>
              <w:bidi w:val="0"/>
              <w:rPr>
                <w:rFonts w:hint="default"/>
                <w:highlight w:val="none"/>
              </w:rPr>
            </w:pPr>
            <w:r>
              <w:rPr>
                <w:rFonts w:hint="default"/>
                <w:highlight w:val="none"/>
              </w:rPr>
              <w:t>力Hk</w:t>
            </w:r>
          </w:p>
          <w:p w14:paraId="2D1B9C59">
            <w:pPr>
              <w:pStyle w:val="58"/>
              <w:bidi w:val="0"/>
              <w:rPr>
                <w:rFonts w:hint="default"/>
                <w:highlight w:val="none"/>
              </w:rPr>
            </w:pPr>
            <w:r>
              <w:rPr>
                <w:rFonts w:hint="default"/>
                <w:highlight w:val="none"/>
              </w:rPr>
              <w:t>(m)</w:t>
            </w:r>
          </w:p>
        </w:tc>
        <w:tc>
          <w:tcPr>
            <w:tcW w:w="492" w:type="pct"/>
            <w:tcBorders>
              <w:tl2br w:val="nil"/>
              <w:tr2bl w:val="nil"/>
            </w:tcBorders>
            <w:vAlign w:val="center"/>
          </w:tcPr>
          <w:p w14:paraId="209B2EB9">
            <w:pPr>
              <w:pStyle w:val="58"/>
              <w:bidi w:val="0"/>
              <w:rPr>
                <w:rFonts w:hint="default"/>
                <w:highlight w:val="none"/>
              </w:rPr>
            </w:pPr>
            <w:r>
              <w:rPr>
                <w:rFonts w:hint="default"/>
                <w:highlight w:val="none"/>
              </w:rPr>
              <w:t>渗入深度L(m)</w:t>
            </w:r>
          </w:p>
        </w:tc>
        <w:tc>
          <w:tcPr>
            <w:tcW w:w="581" w:type="pct"/>
            <w:tcBorders>
              <w:tl2br w:val="nil"/>
              <w:tr2bl w:val="nil"/>
            </w:tcBorders>
            <w:vAlign w:val="center"/>
          </w:tcPr>
          <w:p w14:paraId="6614C583">
            <w:pPr>
              <w:pStyle w:val="58"/>
              <w:bidi w:val="0"/>
              <w:rPr>
                <w:rFonts w:hint="default"/>
                <w:highlight w:val="none"/>
              </w:rPr>
            </w:pPr>
            <w:r>
              <w:rPr>
                <w:rFonts w:hint="default"/>
                <w:highlight w:val="none"/>
              </w:rPr>
              <w:t>渗透系数K(cm</w:t>
            </w:r>
            <w:r>
              <w:rPr>
                <w:rFonts w:hint="default"/>
                <w:highlight w:val="none"/>
                <w:lang w:val="en-US" w:eastAsia="zh-CN"/>
              </w:rPr>
              <w:t>/s</w:t>
            </w:r>
            <w:r>
              <w:rPr>
                <w:rFonts w:hint="default"/>
                <w:highlight w:val="none"/>
              </w:rPr>
              <w:t>)</w:t>
            </w:r>
          </w:p>
        </w:tc>
      </w:tr>
      <w:tr w14:paraId="0363FE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74" w:hRule="atLeast"/>
        </w:trPr>
        <w:tc>
          <w:tcPr>
            <w:tcW w:w="381" w:type="pct"/>
            <w:tcBorders>
              <w:tl2br w:val="nil"/>
              <w:tr2bl w:val="nil"/>
            </w:tcBorders>
            <w:vAlign w:val="center"/>
          </w:tcPr>
          <w:p w14:paraId="509C7A21">
            <w:pPr>
              <w:pStyle w:val="58"/>
              <w:bidi w:val="0"/>
              <w:rPr>
                <w:rFonts w:hint="default"/>
                <w:highlight w:val="none"/>
              </w:rPr>
            </w:pPr>
            <w:r>
              <w:rPr>
                <w:rFonts w:hint="default"/>
                <w:highlight w:val="none"/>
              </w:rPr>
              <w:t>S1</w:t>
            </w:r>
          </w:p>
        </w:tc>
        <w:tc>
          <w:tcPr>
            <w:tcW w:w="591" w:type="pct"/>
            <w:tcBorders>
              <w:tl2br w:val="nil"/>
              <w:tr2bl w:val="nil"/>
            </w:tcBorders>
            <w:vAlign w:val="center"/>
          </w:tcPr>
          <w:p w14:paraId="7C0BD061">
            <w:pPr>
              <w:pStyle w:val="58"/>
              <w:bidi w:val="0"/>
              <w:rPr>
                <w:rFonts w:hint="default"/>
                <w:highlight w:val="none"/>
              </w:rPr>
            </w:pPr>
            <w:r>
              <w:rPr>
                <w:rFonts w:hint="default"/>
                <w:highlight w:val="none"/>
              </w:rPr>
              <w:t>项目区</w:t>
            </w:r>
          </w:p>
        </w:tc>
        <w:tc>
          <w:tcPr>
            <w:tcW w:w="424" w:type="pct"/>
            <w:tcBorders>
              <w:tl2br w:val="nil"/>
              <w:tr2bl w:val="nil"/>
            </w:tcBorders>
            <w:vAlign w:val="center"/>
          </w:tcPr>
          <w:p w14:paraId="0C017E7D">
            <w:pPr>
              <w:pStyle w:val="58"/>
              <w:bidi w:val="0"/>
              <w:rPr>
                <w:rFonts w:hint="default"/>
                <w:highlight w:val="none"/>
              </w:rPr>
            </w:pPr>
            <w:r>
              <w:rPr>
                <w:rFonts w:hint="default"/>
                <w:highlight w:val="none"/>
              </w:rPr>
              <w:t>4.5</w:t>
            </w:r>
          </w:p>
        </w:tc>
        <w:tc>
          <w:tcPr>
            <w:tcW w:w="555" w:type="pct"/>
            <w:tcBorders>
              <w:tl2br w:val="nil"/>
              <w:tr2bl w:val="nil"/>
            </w:tcBorders>
            <w:vAlign w:val="center"/>
          </w:tcPr>
          <w:p w14:paraId="13828AC1">
            <w:pPr>
              <w:pStyle w:val="58"/>
              <w:bidi w:val="0"/>
              <w:rPr>
                <w:rFonts w:hint="default"/>
                <w:highlight w:val="none"/>
              </w:rPr>
            </w:pPr>
            <w:r>
              <w:rPr>
                <w:rFonts w:hint="eastAsia"/>
                <w:highlight w:val="none"/>
                <w:lang w:val="en-US" w:eastAsia="zh-CN"/>
              </w:rPr>
              <w:t>粉质</w:t>
            </w:r>
            <w:r>
              <w:rPr>
                <w:rFonts w:hint="default"/>
                <w:highlight w:val="none"/>
              </w:rPr>
              <w:t>黏土</w:t>
            </w:r>
          </w:p>
        </w:tc>
        <w:tc>
          <w:tcPr>
            <w:tcW w:w="496" w:type="pct"/>
            <w:tcBorders>
              <w:tl2br w:val="nil"/>
              <w:tr2bl w:val="nil"/>
            </w:tcBorders>
            <w:vAlign w:val="center"/>
          </w:tcPr>
          <w:p w14:paraId="1467221D">
            <w:pPr>
              <w:pStyle w:val="58"/>
              <w:bidi w:val="0"/>
              <w:rPr>
                <w:rFonts w:hint="default"/>
                <w:highlight w:val="none"/>
              </w:rPr>
            </w:pPr>
            <w:r>
              <w:rPr>
                <w:rFonts w:hint="default"/>
                <w:highlight w:val="none"/>
              </w:rPr>
              <w:t>0.85</w:t>
            </w:r>
          </w:p>
        </w:tc>
        <w:tc>
          <w:tcPr>
            <w:tcW w:w="496" w:type="pct"/>
            <w:tcBorders>
              <w:tl2br w:val="nil"/>
              <w:tr2bl w:val="nil"/>
            </w:tcBorders>
            <w:vAlign w:val="center"/>
          </w:tcPr>
          <w:p w14:paraId="5741E5E6">
            <w:pPr>
              <w:pStyle w:val="58"/>
              <w:bidi w:val="0"/>
              <w:rPr>
                <w:rFonts w:hint="default"/>
                <w:highlight w:val="none"/>
              </w:rPr>
            </w:pPr>
            <w:r>
              <w:rPr>
                <w:rFonts w:hint="default"/>
                <w:highlight w:val="none"/>
              </w:rPr>
              <w:t>0.049</w:t>
            </w:r>
          </w:p>
        </w:tc>
        <w:tc>
          <w:tcPr>
            <w:tcW w:w="491" w:type="pct"/>
            <w:tcBorders>
              <w:tl2br w:val="nil"/>
              <w:tr2bl w:val="nil"/>
            </w:tcBorders>
            <w:vAlign w:val="center"/>
          </w:tcPr>
          <w:p w14:paraId="0AC41BE1">
            <w:pPr>
              <w:pStyle w:val="58"/>
              <w:bidi w:val="0"/>
              <w:rPr>
                <w:rFonts w:hint="default"/>
                <w:highlight w:val="none"/>
              </w:rPr>
            </w:pPr>
            <w:r>
              <w:rPr>
                <w:rFonts w:hint="default"/>
                <w:highlight w:val="none"/>
              </w:rPr>
              <w:t>0.20</w:t>
            </w:r>
          </w:p>
        </w:tc>
        <w:tc>
          <w:tcPr>
            <w:tcW w:w="489" w:type="pct"/>
            <w:tcBorders>
              <w:tl2br w:val="nil"/>
              <w:tr2bl w:val="nil"/>
            </w:tcBorders>
            <w:vAlign w:val="center"/>
          </w:tcPr>
          <w:p w14:paraId="376B0873">
            <w:pPr>
              <w:pStyle w:val="58"/>
              <w:bidi w:val="0"/>
              <w:rPr>
                <w:rFonts w:hint="default"/>
                <w:highlight w:val="none"/>
              </w:rPr>
            </w:pPr>
            <w:r>
              <w:rPr>
                <w:rFonts w:hint="default"/>
                <w:highlight w:val="none"/>
              </w:rPr>
              <w:t>0.8</w:t>
            </w:r>
          </w:p>
        </w:tc>
        <w:tc>
          <w:tcPr>
            <w:tcW w:w="492" w:type="pct"/>
            <w:tcBorders>
              <w:tl2br w:val="nil"/>
              <w:tr2bl w:val="nil"/>
            </w:tcBorders>
            <w:vAlign w:val="center"/>
          </w:tcPr>
          <w:p w14:paraId="1253835C">
            <w:pPr>
              <w:pStyle w:val="58"/>
              <w:bidi w:val="0"/>
              <w:rPr>
                <w:rFonts w:hint="default"/>
                <w:highlight w:val="none"/>
              </w:rPr>
            </w:pPr>
            <w:r>
              <w:rPr>
                <w:rFonts w:hint="default"/>
                <w:highlight w:val="none"/>
              </w:rPr>
              <w:t>0.15</w:t>
            </w:r>
          </w:p>
        </w:tc>
        <w:tc>
          <w:tcPr>
            <w:tcW w:w="581" w:type="pct"/>
            <w:tcBorders>
              <w:tl2br w:val="nil"/>
              <w:tr2bl w:val="nil"/>
            </w:tcBorders>
            <w:vAlign w:val="center"/>
          </w:tcPr>
          <w:p w14:paraId="4971402F">
            <w:pPr>
              <w:pStyle w:val="58"/>
              <w:bidi w:val="0"/>
              <w:rPr>
                <w:rFonts w:hint="default"/>
                <w:highlight w:val="none"/>
              </w:rPr>
            </w:pPr>
            <w:r>
              <w:rPr>
                <w:rFonts w:hint="default"/>
                <w:highlight w:val="none"/>
              </w:rPr>
              <w:t>6.29E-05</w:t>
            </w:r>
          </w:p>
        </w:tc>
      </w:tr>
      <w:tr w14:paraId="0DFCFAD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81" w:type="pct"/>
            <w:tcBorders>
              <w:tl2br w:val="nil"/>
              <w:tr2bl w:val="nil"/>
            </w:tcBorders>
            <w:vAlign w:val="center"/>
          </w:tcPr>
          <w:p w14:paraId="269F248F">
            <w:pPr>
              <w:pStyle w:val="58"/>
              <w:bidi w:val="0"/>
              <w:rPr>
                <w:rFonts w:hint="default"/>
                <w:highlight w:val="none"/>
                <w:lang w:eastAsia="zh-CN"/>
              </w:rPr>
            </w:pPr>
            <w:r>
              <w:rPr>
                <w:rFonts w:hint="default"/>
                <w:highlight w:val="none"/>
                <w:lang w:eastAsia="zh-CN"/>
              </w:rPr>
              <w:t>说明</w:t>
            </w:r>
          </w:p>
        </w:tc>
        <w:tc>
          <w:tcPr>
            <w:tcW w:w="4618" w:type="pct"/>
            <w:gridSpan w:val="9"/>
            <w:tcBorders>
              <w:tl2br w:val="nil"/>
              <w:tr2bl w:val="nil"/>
            </w:tcBorders>
          </w:tcPr>
          <w:p w14:paraId="26841AF6">
            <w:pPr>
              <w:pStyle w:val="58"/>
              <w:bidi w:val="0"/>
              <w:spacing w:line="360" w:lineRule="auto"/>
              <w:jc w:val="left"/>
              <w:rPr>
                <w:rFonts w:hint="default"/>
                <w:highlight w:val="none"/>
              </w:rPr>
            </w:pPr>
            <w:r>
              <w:rPr>
                <w:rFonts w:hint="default"/>
                <w:highlight w:val="none"/>
              </w:rPr>
              <w:t>1)渗透系数计算公式：</w:t>
            </w:r>
            <w:r>
              <w:rPr>
                <w:rFonts w:hint="default"/>
                <w:highlight w:val="none"/>
              </w:rPr>
              <w:drawing>
                <wp:inline distT="0" distB="0" distL="0" distR="0">
                  <wp:extent cx="913130" cy="341630"/>
                  <wp:effectExtent l="0" t="0" r="1270" b="1270"/>
                  <wp:docPr id="12" name="IM 2"/>
                  <wp:cNvGraphicFramePr/>
                  <a:graphic xmlns:a="http://schemas.openxmlformats.org/drawingml/2006/main">
                    <a:graphicData uri="http://schemas.openxmlformats.org/drawingml/2006/picture">
                      <pic:pic xmlns:pic="http://schemas.openxmlformats.org/drawingml/2006/picture">
                        <pic:nvPicPr>
                          <pic:cNvPr id="12" name="IM 2"/>
                          <pic:cNvPicPr/>
                        </pic:nvPicPr>
                        <pic:blipFill>
                          <a:blip r:embed="rId81"/>
                          <a:stretch>
                            <a:fillRect/>
                          </a:stretch>
                        </pic:blipFill>
                        <pic:spPr>
                          <a:xfrm>
                            <a:off x="0" y="0"/>
                            <a:ext cx="913130" cy="341630"/>
                          </a:xfrm>
                          <a:prstGeom prst="rect">
                            <a:avLst/>
                          </a:prstGeom>
                        </pic:spPr>
                      </pic:pic>
                    </a:graphicData>
                  </a:graphic>
                </wp:inline>
              </w:drawing>
            </w:r>
          </w:p>
          <w:p w14:paraId="3A1E671C">
            <w:pPr>
              <w:pStyle w:val="58"/>
              <w:bidi w:val="0"/>
              <w:spacing w:line="360" w:lineRule="auto"/>
              <w:jc w:val="left"/>
              <w:rPr>
                <w:rFonts w:hint="default"/>
                <w:highlight w:val="none"/>
                <w:lang w:eastAsia="zh-CN"/>
              </w:rPr>
            </w:pPr>
            <w:r>
              <w:rPr>
                <w:rFonts w:hint="default"/>
                <w:highlight w:val="none"/>
              </w:rPr>
              <w:t>2)渗水环(内环)直径0.25m</w:t>
            </w:r>
            <w:r>
              <w:rPr>
                <w:rFonts w:hint="default"/>
                <w:highlight w:val="none"/>
                <w:lang w:eastAsia="zh-CN"/>
              </w:rPr>
              <w:t>；</w:t>
            </w:r>
          </w:p>
          <w:p w14:paraId="16E9DAEC">
            <w:pPr>
              <w:pStyle w:val="58"/>
              <w:bidi w:val="0"/>
              <w:spacing w:line="360" w:lineRule="auto"/>
              <w:jc w:val="left"/>
              <w:rPr>
                <w:rFonts w:hint="default"/>
                <w:highlight w:val="none"/>
                <w:lang w:val="en-US" w:eastAsia="zh-CN"/>
              </w:rPr>
            </w:pPr>
            <w:r>
              <w:rPr>
                <w:rFonts w:hint="default"/>
                <w:highlight w:val="none"/>
              </w:rPr>
              <w:t>3)渗水环(内环)面积：</w:t>
            </w:r>
            <w:r>
              <w:rPr>
                <w:rFonts w:hint="default"/>
                <w:highlight w:val="none"/>
                <w:lang w:val="en-US" w:eastAsia="zh-CN"/>
              </w:rPr>
              <w:t>F=</w:t>
            </w:r>
            <w:r>
              <w:rPr>
                <w:rFonts w:hint="default"/>
                <w:highlight w:val="none"/>
              </w:rPr>
              <w:t>0.049m²</w:t>
            </w:r>
            <w:r>
              <w:rPr>
                <w:rFonts w:hint="default"/>
                <w:highlight w:val="none"/>
                <w:lang w:eastAsia="zh-CN"/>
              </w:rPr>
              <w:t>；</w:t>
            </w:r>
          </w:p>
          <w:p w14:paraId="3862A143">
            <w:pPr>
              <w:pStyle w:val="58"/>
              <w:bidi w:val="0"/>
              <w:spacing w:line="360" w:lineRule="auto"/>
              <w:jc w:val="left"/>
              <w:rPr>
                <w:rFonts w:hint="default"/>
                <w:highlight w:val="none"/>
              </w:rPr>
            </w:pPr>
            <w:r>
              <w:rPr>
                <w:rFonts w:hint="default"/>
                <w:highlight w:val="none"/>
              </w:rPr>
              <w:t>4)粉质粘土毛细压力Hk=0.8m(参考《土工试验规程》)。</w:t>
            </w:r>
          </w:p>
        </w:tc>
      </w:tr>
    </w:tbl>
    <w:p w14:paraId="6D861029">
      <w:pPr>
        <w:keepNext w:val="0"/>
        <w:keepLines w:val="0"/>
        <w:pageBreakBefore w:val="0"/>
        <w:widowControl w:val="0"/>
        <w:kinsoku/>
        <w:wordWrap/>
        <w:overflowPunct/>
        <w:topLinePunct w:val="0"/>
        <w:autoSpaceDE/>
        <w:autoSpaceDN/>
        <w:bidi w:val="0"/>
        <w:adjustRightInd/>
        <w:snapToGrid/>
        <w:spacing w:line="480" w:lineRule="exact"/>
        <w:ind w:left="0" w:right="0" w:firstLine="420"/>
        <w:textAlignment w:val="auto"/>
        <w:rPr>
          <w:rFonts w:hint="default" w:ascii="Times New Roman" w:hAnsi="Times New Roman" w:eastAsia="宋体" w:cs="Times New Roman"/>
          <w:color w:val="auto"/>
          <w:spacing w:val="-59"/>
          <w:sz w:val="24"/>
          <w:szCs w:val="24"/>
          <w:highlight w:val="none"/>
          <w:lang w:eastAsia="zh-CN"/>
        </w:rPr>
      </w:pPr>
      <w:r>
        <w:rPr>
          <w:rFonts w:hint="default" w:ascii="Times New Roman" w:hAnsi="Times New Roman" w:eastAsia="宋体" w:cs="Times New Roman"/>
          <w:color w:val="auto"/>
          <w:spacing w:val="-3"/>
          <w:sz w:val="24"/>
          <w:szCs w:val="24"/>
          <w:highlight w:val="none"/>
        </w:rPr>
        <w:t>试验结果：包气带渗透系数K=</w:t>
      </w:r>
      <w:r>
        <w:rPr>
          <w:rFonts w:hint="default" w:ascii="Times New Roman" w:hAnsi="Times New Roman" w:eastAsia="宋体" w:cs="Times New Roman"/>
          <w:color w:val="auto"/>
          <w:spacing w:val="-3"/>
          <w:sz w:val="24"/>
          <w:szCs w:val="24"/>
          <w:highlight w:val="none"/>
          <w:lang w:val="en-US" w:eastAsia="zh-CN"/>
        </w:rPr>
        <w:t>6.29</w:t>
      </w:r>
      <w:r>
        <w:rPr>
          <w:rFonts w:hint="default" w:ascii="Times New Roman" w:hAnsi="Times New Roman" w:eastAsia="宋体" w:cs="Times New Roman"/>
          <w:color w:val="auto"/>
          <w:spacing w:val="-3"/>
          <w:sz w:val="24"/>
          <w:szCs w:val="24"/>
          <w:highlight w:val="none"/>
        </w:rPr>
        <w:t>×10</w:t>
      </w:r>
      <w:r>
        <w:rPr>
          <w:rFonts w:hint="default" w:ascii="Times New Roman" w:hAnsi="Times New Roman" w:eastAsia="宋体" w:cs="Times New Roman"/>
          <w:color w:val="auto"/>
          <w:spacing w:val="-3"/>
          <w:position w:val="10"/>
          <w:sz w:val="16"/>
          <w:szCs w:val="16"/>
          <w:highlight w:val="none"/>
        </w:rPr>
        <w:t>-</w:t>
      </w:r>
      <w:r>
        <w:rPr>
          <w:rFonts w:hint="default" w:ascii="Times New Roman" w:hAnsi="Times New Roman" w:eastAsia="宋体" w:cs="Times New Roman"/>
          <w:color w:val="auto"/>
          <w:spacing w:val="-3"/>
          <w:position w:val="10"/>
          <w:sz w:val="16"/>
          <w:szCs w:val="16"/>
          <w:highlight w:val="none"/>
          <w:lang w:val="en-US" w:eastAsia="zh-CN"/>
        </w:rPr>
        <w:t>5</w:t>
      </w:r>
      <w:r>
        <w:rPr>
          <w:rFonts w:hint="default" w:ascii="Times New Roman" w:hAnsi="Times New Roman" w:eastAsia="宋体" w:cs="Times New Roman"/>
          <w:color w:val="auto"/>
          <w:spacing w:val="-3"/>
          <w:sz w:val="24"/>
          <w:szCs w:val="24"/>
          <w:highlight w:val="none"/>
        </w:rPr>
        <w:t>cm/s</w:t>
      </w:r>
      <w:r>
        <w:rPr>
          <w:rFonts w:hint="eastAsia" w:cs="Times New Roman"/>
          <w:color w:val="auto"/>
          <w:spacing w:val="-3"/>
          <w:sz w:val="24"/>
          <w:szCs w:val="24"/>
          <w:highlight w:val="none"/>
          <w:lang w:eastAsia="zh-CN"/>
        </w:rPr>
        <w:t>（</w:t>
      </w:r>
      <w:r>
        <w:rPr>
          <w:rFonts w:hint="eastAsia" w:cs="Times New Roman"/>
          <w:color w:val="auto"/>
          <w:spacing w:val="-3"/>
          <w:sz w:val="24"/>
          <w:szCs w:val="24"/>
          <w:highlight w:val="none"/>
          <w:lang w:val="en-US" w:eastAsia="zh-CN"/>
        </w:rPr>
        <w:t>0.05m/d</w:t>
      </w:r>
      <w:r>
        <w:rPr>
          <w:rFonts w:hint="eastAsia" w:cs="Times New Roman"/>
          <w:color w:val="auto"/>
          <w:spacing w:val="-3"/>
          <w:sz w:val="24"/>
          <w:szCs w:val="24"/>
          <w:highlight w:val="none"/>
          <w:lang w:eastAsia="zh-CN"/>
        </w:rPr>
        <w:t>）</w:t>
      </w:r>
      <w:r>
        <w:rPr>
          <w:rFonts w:hint="default" w:ascii="Times New Roman" w:hAnsi="Times New Roman" w:eastAsia="宋体" w:cs="Times New Roman"/>
          <w:color w:val="auto"/>
          <w:spacing w:val="-59"/>
          <w:sz w:val="24"/>
          <w:szCs w:val="24"/>
          <w:highlight w:val="none"/>
          <w:lang w:eastAsia="zh-CN"/>
        </w:rPr>
        <w:t>。</w:t>
      </w:r>
    </w:p>
    <w:p w14:paraId="0F3D058D">
      <w:pPr>
        <w:keepNext w:val="0"/>
        <w:keepLines w:val="0"/>
        <w:pageBreakBefore w:val="0"/>
        <w:widowControl w:val="0"/>
        <w:kinsoku/>
        <w:wordWrap/>
        <w:overflowPunct/>
        <w:topLinePunct w:val="0"/>
        <w:autoSpaceDE/>
        <w:autoSpaceDN/>
        <w:bidi w:val="0"/>
        <w:adjustRightInd/>
        <w:snapToGrid/>
        <w:spacing w:line="480" w:lineRule="exact"/>
        <w:ind w:left="0" w:right="0" w:firstLine="420"/>
        <w:textAlignment w:val="auto"/>
        <w:rPr>
          <w:rFonts w:hint="default" w:ascii="Times New Roman" w:hAnsi="Times New Roman" w:eastAsia="宋体" w:cs="Times New Roman"/>
          <w:color w:val="auto"/>
          <w:spacing w:val="0"/>
          <w:sz w:val="24"/>
          <w:szCs w:val="24"/>
          <w:highlight w:val="none"/>
        </w:rPr>
      </w:pPr>
      <w:r>
        <w:rPr>
          <w:rFonts w:hint="default" w:ascii="Times New Roman" w:hAnsi="Times New Roman" w:eastAsia="宋体" w:cs="Times New Roman"/>
          <w:color w:val="auto"/>
          <w:spacing w:val="-12"/>
          <w:sz w:val="24"/>
          <w:szCs w:val="24"/>
          <w:highlight w:val="none"/>
        </w:rPr>
        <w:t>根据现场试验数据，求得各个时间段内的平均渗透速度，据此编绘渗透速度</w:t>
      </w:r>
      <w:r>
        <w:rPr>
          <w:rFonts w:hint="default" w:ascii="Times New Roman" w:hAnsi="Times New Roman" w:eastAsia="宋体" w:cs="Times New Roman"/>
          <w:color w:val="auto"/>
          <w:spacing w:val="-1"/>
          <w:sz w:val="24"/>
          <w:szCs w:val="24"/>
          <w:highlight w:val="none"/>
        </w:rPr>
        <w:t>历时曲线图，渗水试验点渗透速度历时曲线图见图</w:t>
      </w:r>
      <w:r>
        <w:rPr>
          <w:rFonts w:hint="default" w:ascii="Times New Roman" w:hAnsi="Times New Roman" w:eastAsia="宋体" w:cs="Times New Roman"/>
          <w:color w:val="auto"/>
          <w:spacing w:val="0"/>
          <w:sz w:val="24"/>
          <w:szCs w:val="24"/>
          <w:highlight w:val="none"/>
          <w:lang w:val="en-US" w:eastAsia="zh-CN"/>
        </w:rPr>
        <w:t>5.2-14</w:t>
      </w:r>
      <w:r>
        <w:rPr>
          <w:rFonts w:hint="default" w:ascii="Times New Roman" w:hAnsi="Times New Roman" w:eastAsia="宋体" w:cs="Times New Roman"/>
          <w:color w:val="auto"/>
          <w:spacing w:val="0"/>
          <w:sz w:val="24"/>
          <w:szCs w:val="24"/>
          <w:highlight w:val="none"/>
        </w:rPr>
        <w:t>。</w:t>
      </w:r>
    </w:p>
    <w:p w14:paraId="32F29CAF">
      <w:pPr>
        <w:keepNext w:val="0"/>
        <w:keepLines w:val="0"/>
        <w:pageBreakBefore w:val="0"/>
        <w:widowControl w:val="0"/>
        <w:tabs>
          <w:tab w:val="left" w:pos="1151"/>
        </w:tabs>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drawing>
          <wp:inline distT="0" distB="0" distL="114300" distR="114300">
            <wp:extent cx="5273040" cy="2619375"/>
            <wp:effectExtent l="0" t="0" r="3810" b="9525"/>
            <wp:docPr id="2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2"/>
                    <pic:cNvPicPr>
                      <a:picLocks noChangeAspect="1"/>
                    </pic:cNvPicPr>
                  </pic:nvPicPr>
                  <pic:blipFill>
                    <a:blip r:embed="rId82"/>
                    <a:stretch>
                      <a:fillRect/>
                    </a:stretch>
                  </pic:blipFill>
                  <pic:spPr>
                    <a:xfrm>
                      <a:off x="0" y="0"/>
                      <a:ext cx="5273040" cy="2619375"/>
                    </a:xfrm>
                    <a:prstGeom prst="rect">
                      <a:avLst/>
                    </a:prstGeom>
                    <a:noFill/>
                    <a:ln>
                      <a:noFill/>
                    </a:ln>
                  </pic:spPr>
                </pic:pic>
              </a:graphicData>
            </a:graphic>
          </wp:inline>
        </w:drawing>
      </w:r>
    </w:p>
    <w:p w14:paraId="3950AA27">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渗水试验点渗透速度历时曲线图</w:t>
      </w:r>
    </w:p>
    <w:p w14:paraId="0DA2DE6B">
      <w:pPr>
        <w:keepNext w:val="0"/>
        <w:keepLines w:val="0"/>
        <w:pageBreakBefore w:val="0"/>
        <w:widowControl w:val="0"/>
        <w:kinsoku/>
        <w:wordWrap/>
        <w:overflowPunct/>
        <w:topLinePunct w:val="0"/>
        <w:autoSpaceDE/>
        <w:autoSpaceDN/>
        <w:bidi w:val="0"/>
        <w:adjustRightInd/>
        <w:snapToGrid/>
        <w:spacing w:line="480" w:lineRule="exact"/>
        <w:ind w:left="0" w:right="0" w:firstLine="420"/>
        <w:textAlignment w:val="auto"/>
        <w:rPr>
          <w:rFonts w:hint="default" w:ascii="Times New Roman" w:hAnsi="Times New Roman" w:eastAsia="宋体" w:cs="Times New Roman"/>
          <w:color w:val="auto"/>
          <w:spacing w:val="-3"/>
          <w:sz w:val="24"/>
          <w:szCs w:val="24"/>
          <w:highlight w:val="none"/>
          <w:lang w:val="en-US" w:eastAsia="zh-CN"/>
        </w:rPr>
      </w:pPr>
      <w:r>
        <w:rPr>
          <w:rFonts w:hint="default" w:ascii="Times New Roman" w:hAnsi="Times New Roman" w:eastAsia="宋体" w:cs="Times New Roman"/>
          <w:color w:val="auto"/>
          <w:spacing w:val="-3"/>
          <w:sz w:val="24"/>
          <w:szCs w:val="24"/>
          <w:highlight w:val="none"/>
          <w:lang w:val="en-US" w:eastAsia="zh-CN"/>
        </w:rPr>
        <w:t>随着时间的推移，渗透速度逐渐减小，及至减小到趋于常数，此时的渗透速度即为所求的渗透系数值。</w:t>
      </w:r>
    </w:p>
    <w:p w14:paraId="49B50C5E">
      <w:pPr>
        <w:keepNext w:val="0"/>
        <w:keepLines w:val="0"/>
        <w:pageBreakBefore w:val="0"/>
        <w:widowControl w:val="0"/>
        <w:kinsoku/>
        <w:wordWrap/>
        <w:overflowPunct/>
        <w:topLinePunct w:val="0"/>
        <w:autoSpaceDE/>
        <w:autoSpaceDN/>
        <w:bidi w:val="0"/>
        <w:adjustRightInd/>
        <w:snapToGrid/>
        <w:spacing w:line="480" w:lineRule="exact"/>
        <w:ind w:left="0" w:right="0" w:firstLine="420"/>
        <w:textAlignment w:val="auto"/>
        <w:rPr>
          <w:rFonts w:hint="default" w:ascii="Times New Roman" w:hAnsi="Times New Roman" w:eastAsia="宋体" w:cs="Times New Roman"/>
          <w:color w:val="auto"/>
          <w:spacing w:val="-3"/>
          <w:sz w:val="24"/>
          <w:szCs w:val="24"/>
          <w:highlight w:val="none"/>
          <w:lang w:val="en-US" w:eastAsia="zh-CN"/>
        </w:rPr>
      </w:pPr>
      <w:r>
        <w:rPr>
          <w:rFonts w:hint="default" w:ascii="Times New Roman" w:hAnsi="Times New Roman" w:eastAsia="宋体" w:cs="Times New Roman"/>
          <w:color w:val="auto"/>
          <w:spacing w:val="-3"/>
          <w:sz w:val="24"/>
          <w:szCs w:val="24"/>
          <w:highlight w:val="none"/>
          <w:lang w:val="en-US" w:eastAsia="zh-CN"/>
        </w:rPr>
        <w:t>依照《环境影响评价技术导则地下水环境》（HJ610-2016）中天然包气带防污性能分级参照表。</w:t>
      </w:r>
    </w:p>
    <w:p w14:paraId="0C4638D0">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lang w:val="en-US" w:eastAsia="zh-CN"/>
        </w:rPr>
      </w:pPr>
      <w:r>
        <w:rPr>
          <w:rFonts w:hint="default" w:ascii="Times New Roman" w:hAnsi="Times New Roman" w:eastAsia="宋体" w:cs="Times New Roman"/>
          <w:b/>
          <w:bCs/>
          <w:color w:val="auto"/>
          <w:sz w:val="24"/>
          <w:highlight w:val="none"/>
          <w:lang w:val="en-US" w:eastAsia="zh-CN"/>
        </w:rPr>
        <w:t>天然包气带防污性能分级参照表</w:t>
      </w:r>
    </w:p>
    <w:p w14:paraId="335571A2">
      <w:pPr>
        <w:spacing w:line="29" w:lineRule="exact"/>
        <w:rPr>
          <w:rFonts w:hint="default" w:ascii="Times New Roman" w:hAnsi="Times New Roman" w:eastAsia="宋体" w:cs="Times New Roman"/>
          <w:color w:val="auto"/>
          <w:highlight w:val="none"/>
        </w:rPr>
      </w:pPr>
    </w:p>
    <w:tbl>
      <w:tblPr>
        <w:tblStyle w:val="88"/>
        <w:tblW w:w="8781" w:type="dxa"/>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857"/>
        <w:gridCol w:w="2916"/>
        <w:gridCol w:w="3127"/>
        <w:gridCol w:w="1881"/>
      </w:tblGrid>
      <w:tr w14:paraId="1F39A2A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83" w:hRule="atLeast"/>
        </w:trPr>
        <w:tc>
          <w:tcPr>
            <w:tcW w:w="857" w:type="dxa"/>
            <w:vMerge w:val="restart"/>
            <w:tcBorders>
              <w:tl2br w:val="nil"/>
              <w:tr2bl w:val="nil"/>
            </w:tcBorders>
            <w:noWrap w:val="0"/>
            <w:vAlign w:val="center"/>
          </w:tcPr>
          <w:p w14:paraId="2D04774E">
            <w:pPr>
              <w:pStyle w:val="58"/>
              <w:bidi w:val="0"/>
              <w:rPr>
                <w:rFonts w:hint="default"/>
                <w:highlight w:val="none"/>
              </w:rPr>
            </w:pPr>
            <w:r>
              <w:rPr>
                <w:rFonts w:hint="default"/>
                <w:highlight w:val="none"/>
              </w:rPr>
              <w:t>分级</w:t>
            </w:r>
          </w:p>
        </w:tc>
        <w:tc>
          <w:tcPr>
            <w:tcW w:w="7924" w:type="dxa"/>
            <w:gridSpan w:val="3"/>
            <w:tcBorders>
              <w:tl2br w:val="nil"/>
              <w:tr2bl w:val="nil"/>
            </w:tcBorders>
            <w:noWrap w:val="0"/>
            <w:vAlign w:val="center"/>
          </w:tcPr>
          <w:p w14:paraId="53210C9E">
            <w:pPr>
              <w:pStyle w:val="58"/>
              <w:bidi w:val="0"/>
              <w:rPr>
                <w:rFonts w:hint="default"/>
                <w:highlight w:val="none"/>
              </w:rPr>
            </w:pPr>
            <w:r>
              <w:rPr>
                <w:rFonts w:hint="default"/>
                <w:highlight w:val="none"/>
              </w:rPr>
              <w:t>包气带岩土的渗透性能</w:t>
            </w:r>
          </w:p>
        </w:tc>
      </w:tr>
      <w:tr w14:paraId="125A63A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83" w:hRule="atLeast"/>
        </w:trPr>
        <w:tc>
          <w:tcPr>
            <w:tcW w:w="857" w:type="dxa"/>
            <w:vMerge w:val="continue"/>
            <w:tcBorders>
              <w:tl2br w:val="nil"/>
              <w:tr2bl w:val="nil"/>
            </w:tcBorders>
            <w:noWrap w:val="0"/>
            <w:vAlign w:val="center"/>
          </w:tcPr>
          <w:p w14:paraId="530E8572">
            <w:pPr>
              <w:pStyle w:val="58"/>
              <w:bidi w:val="0"/>
              <w:rPr>
                <w:rFonts w:hint="default"/>
                <w:highlight w:val="none"/>
              </w:rPr>
            </w:pPr>
          </w:p>
        </w:tc>
        <w:tc>
          <w:tcPr>
            <w:tcW w:w="2916" w:type="dxa"/>
            <w:tcBorders>
              <w:tl2br w:val="nil"/>
              <w:tr2bl w:val="nil"/>
            </w:tcBorders>
            <w:noWrap w:val="0"/>
            <w:vAlign w:val="center"/>
          </w:tcPr>
          <w:p w14:paraId="0BAA0DFC">
            <w:pPr>
              <w:pStyle w:val="58"/>
              <w:bidi w:val="0"/>
              <w:rPr>
                <w:rFonts w:hint="default"/>
                <w:highlight w:val="none"/>
              </w:rPr>
            </w:pPr>
            <w:r>
              <w:rPr>
                <w:rFonts w:hint="default"/>
                <w:highlight w:val="none"/>
              </w:rPr>
              <w:t>岩（土）层单层厚度</w:t>
            </w:r>
          </w:p>
        </w:tc>
        <w:tc>
          <w:tcPr>
            <w:tcW w:w="3127" w:type="dxa"/>
            <w:tcBorders>
              <w:tl2br w:val="nil"/>
              <w:tr2bl w:val="nil"/>
            </w:tcBorders>
            <w:noWrap w:val="0"/>
            <w:vAlign w:val="center"/>
          </w:tcPr>
          <w:p w14:paraId="4FAE144F">
            <w:pPr>
              <w:pStyle w:val="58"/>
              <w:bidi w:val="0"/>
              <w:rPr>
                <w:rFonts w:hint="default"/>
                <w:highlight w:val="none"/>
              </w:rPr>
            </w:pPr>
            <w:r>
              <w:rPr>
                <w:rFonts w:hint="default"/>
                <w:highlight w:val="none"/>
              </w:rPr>
              <w:t>渗透系数cm/s</w:t>
            </w:r>
          </w:p>
        </w:tc>
        <w:tc>
          <w:tcPr>
            <w:tcW w:w="1881" w:type="dxa"/>
            <w:vMerge w:val="restart"/>
            <w:tcBorders>
              <w:tl2br w:val="nil"/>
              <w:tr2bl w:val="nil"/>
            </w:tcBorders>
            <w:noWrap w:val="0"/>
            <w:vAlign w:val="center"/>
          </w:tcPr>
          <w:p w14:paraId="0247E92A">
            <w:pPr>
              <w:pStyle w:val="58"/>
              <w:bidi w:val="0"/>
              <w:rPr>
                <w:rFonts w:hint="default"/>
                <w:highlight w:val="none"/>
              </w:rPr>
            </w:pPr>
            <w:r>
              <w:rPr>
                <w:rFonts w:hint="default"/>
                <w:highlight w:val="none"/>
              </w:rPr>
              <w:t>分布连续、稳定</w:t>
            </w:r>
          </w:p>
        </w:tc>
      </w:tr>
      <w:tr w14:paraId="571778E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83" w:hRule="atLeast"/>
        </w:trPr>
        <w:tc>
          <w:tcPr>
            <w:tcW w:w="857" w:type="dxa"/>
            <w:tcBorders>
              <w:tl2br w:val="nil"/>
              <w:tr2bl w:val="nil"/>
            </w:tcBorders>
            <w:noWrap w:val="0"/>
            <w:vAlign w:val="center"/>
          </w:tcPr>
          <w:p w14:paraId="3886CC72">
            <w:pPr>
              <w:pStyle w:val="58"/>
              <w:bidi w:val="0"/>
              <w:rPr>
                <w:rFonts w:hint="default"/>
                <w:highlight w:val="none"/>
              </w:rPr>
            </w:pPr>
            <w:r>
              <w:rPr>
                <w:rFonts w:hint="default"/>
                <w:highlight w:val="none"/>
              </w:rPr>
              <w:t>强</w:t>
            </w:r>
          </w:p>
        </w:tc>
        <w:tc>
          <w:tcPr>
            <w:tcW w:w="2916" w:type="dxa"/>
            <w:tcBorders>
              <w:tl2br w:val="nil"/>
              <w:tr2bl w:val="nil"/>
            </w:tcBorders>
            <w:noWrap w:val="0"/>
            <w:vAlign w:val="center"/>
          </w:tcPr>
          <w:p w14:paraId="2BA5FEE1">
            <w:pPr>
              <w:pStyle w:val="58"/>
              <w:bidi w:val="0"/>
              <w:rPr>
                <w:rFonts w:hint="default"/>
                <w:highlight w:val="none"/>
              </w:rPr>
            </w:pPr>
            <w:r>
              <w:rPr>
                <w:rFonts w:hint="default"/>
                <w:highlight w:val="none"/>
              </w:rPr>
              <w:t>Mb≥1.0m</w:t>
            </w:r>
          </w:p>
        </w:tc>
        <w:tc>
          <w:tcPr>
            <w:tcW w:w="3127" w:type="dxa"/>
            <w:tcBorders>
              <w:tl2br w:val="nil"/>
              <w:tr2bl w:val="nil"/>
            </w:tcBorders>
            <w:noWrap w:val="0"/>
            <w:vAlign w:val="center"/>
          </w:tcPr>
          <w:p w14:paraId="40CCC3BF">
            <w:pPr>
              <w:pStyle w:val="58"/>
              <w:bidi w:val="0"/>
              <w:rPr>
                <w:rFonts w:hint="default"/>
                <w:highlight w:val="none"/>
              </w:rPr>
            </w:pPr>
            <w:r>
              <w:rPr>
                <w:rFonts w:hint="default"/>
                <w:highlight w:val="none"/>
              </w:rPr>
              <w:t>K≤1×10</w:t>
            </w:r>
            <w:r>
              <w:rPr>
                <w:rFonts w:hint="default"/>
                <w:highlight w:val="none"/>
                <w:vertAlign w:val="superscript"/>
              </w:rPr>
              <w:t>-6</w:t>
            </w:r>
            <w:r>
              <w:rPr>
                <w:rFonts w:hint="default"/>
                <w:highlight w:val="none"/>
              </w:rPr>
              <w:t>cm/s</w:t>
            </w:r>
          </w:p>
        </w:tc>
        <w:tc>
          <w:tcPr>
            <w:tcW w:w="1881" w:type="dxa"/>
            <w:vMerge w:val="continue"/>
            <w:tcBorders>
              <w:tl2br w:val="nil"/>
              <w:tr2bl w:val="nil"/>
            </w:tcBorders>
            <w:noWrap w:val="0"/>
            <w:vAlign w:val="center"/>
          </w:tcPr>
          <w:p w14:paraId="6DB1999B">
            <w:pPr>
              <w:pStyle w:val="58"/>
              <w:bidi w:val="0"/>
              <w:rPr>
                <w:rFonts w:hint="default"/>
                <w:highlight w:val="none"/>
              </w:rPr>
            </w:pPr>
          </w:p>
        </w:tc>
      </w:tr>
      <w:tr w14:paraId="5E68A34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83" w:hRule="atLeast"/>
        </w:trPr>
        <w:tc>
          <w:tcPr>
            <w:tcW w:w="857" w:type="dxa"/>
            <w:vMerge w:val="restart"/>
            <w:tcBorders>
              <w:tl2br w:val="nil"/>
              <w:tr2bl w:val="nil"/>
            </w:tcBorders>
            <w:noWrap w:val="0"/>
            <w:vAlign w:val="center"/>
          </w:tcPr>
          <w:p w14:paraId="59FF3A23">
            <w:pPr>
              <w:pStyle w:val="58"/>
              <w:bidi w:val="0"/>
              <w:rPr>
                <w:rFonts w:hint="default"/>
                <w:highlight w:val="none"/>
              </w:rPr>
            </w:pPr>
            <w:r>
              <w:rPr>
                <w:rFonts w:hint="default"/>
                <w:highlight w:val="none"/>
              </w:rPr>
              <w:t>中</w:t>
            </w:r>
          </w:p>
        </w:tc>
        <w:tc>
          <w:tcPr>
            <w:tcW w:w="2916" w:type="dxa"/>
            <w:tcBorders>
              <w:tl2br w:val="nil"/>
              <w:tr2bl w:val="nil"/>
            </w:tcBorders>
            <w:noWrap w:val="0"/>
            <w:vAlign w:val="center"/>
          </w:tcPr>
          <w:p w14:paraId="61D76FBC">
            <w:pPr>
              <w:pStyle w:val="58"/>
              <w:bidi w:val="0"/>
              <w:rPr>
                <w:rFonts w:hint="default"/>
                <w:highlight w:val="none"/>
              </w:rPr>
            </w:pPr>
            <w:r>
              <w:rPr>
                <w:rFonts w:hint="default"/>
                <w:highlight w:val="none"/>
              </w:rPr>
              <w:t>0.5m≤Mb＞1.0m</w:t>
            </w:r>
          </w:p>
        </w:tc>
        <w:tc>
          <w:tcPr>
            <w:tcW w:w="3127" w:type="dxa"/>
            <w:tcBorders>
              <w:tl2br w:val="nil"/>
              <w:tr2bl w:val="nil"/>
            </w:tcBorders>
            <w:noWrap w:val="0"/>
            <w:vAlign w:val="center"/>
          </w:tcPr>
          <w:p w14:paraId="2B9E6855">
            <w:pPr>
              <w:pStyle w:val="58"/>
              <w:bidi w:val="0"/>
              <w:rPr>
                <w:rFonts w:hint="default"/>
                <w:highlight w:val="none"/>
              </w:rPr>
            </w:pPr>
            <w:r>
              <w:rPr>
                <w:rFonts w:hint="default"/>
                <w:highlight w:val="none"/>
              </w:rPr>
              <w:t>K≤1×10</w:t>
            </w:r>
            <w:r>
              <w:rPr>
                <w:rFonts w:hint="default"/>
                <w:highlight w:val="none"/>
                <w:vertAlign w:val="superscript"/>
              </w:rPr>
              <w:t>-6</w:t>
            </w:r>
            <w:r>
              <w:rPr>
                <w:rFonts w:hint="default"/>
                <w:highlight w:val="none"/>
              </w:rPr>
              <w:t>cm/s</w:t>
            </w:r>
          </w:p>
        </w:tc>
        <w:tc>
          <w:tcPr>
            <w:tcW w:w="1881" w:type="dxa"/>
            <w:vMerge w:val="continue"/>
            <w:tcBorders>
              <w:tl2br w:val="nil"/>
              <w:tr2bl w:val="nil"/>
            </w:tcBorders>
            <w:noWrap w:val="0"/>
            <w:vAlign w:val="center"/>
          </w:tcPr>
          <w:p w14:paraId="04BF9D4E">
            <w:pPr>
              <w:pStyle w:val="58"/>
              <w:bidi w:val="0"/>
              <w:rPr>
                <w:rFonts w:hint="default"/>
                <w:highlight w:val="none"/>
              </w:rPr>
            </w:pPr>
          </w:p>
        </w:tc>
      </w:tr>
      <w:tr w14:paraId="720CC60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83" w:hRule="atLeast"/>
        </w:trPr>
        <w:tc>
          <w:tcPr>
            <w:tcW w:w="857" w:type="dxa"/>
            <w:vMerge w:val="continue"/>
            <w:tcBorders>
              <w:tl2br w:val="nil"/>
              <w:tr2bl w:val="nil"/>
            </w:tcBorders>
            <w:noWrap w:val="0"/>
            <w:vAlign w:val="center"/>
          </w:tcPr>
          <w:p w14:paraId="0B08E0DE">
            <w:pPr>
              <w:pStyle w:val="58"/>
              <w:bidi w:val="0"/>
              <w:rPr>
                <w:rFonts w:hint="default"/>
                <w:highlight w:val="none"/>
              </w:rPr>
            </w:pPr>
          </w:p>
        </w:tc>
        <w:tc>
          <w:tcPr>
            <w:tcW w:w="2916" w:type="dxa"/>
            <w:tcBorders>
              <w:tl2br w:val="nil"/>
              <w:tr2bl w:val="nil"/>
            </w:tcBorders>
            <w:noWrap w:val="0"/>
            <w:vAlign w:val="center"/>
          </w:tcPr>
          <w:p w14:paraId="12F79760">
            <w:pPr>
              <w:pStyle w:val="58"/>
              <w:bidi w:val="0"/>
              <w:rPr>
                <w:rFonts w:hint="default"/>
                <w:highlight w:val="none"/>
              </w:rPr>
            </w:pPr>
            <w:r>
              <w:rPr>
                <w:rFonts w:hint="default"/>
                <w:highlight w:val="none"/>
              </w:rPr>
              <w:t>Mb＞1.0m</w:t>
            </w:r>
          </w:p>
        </w:tc>
        <w:tc>
          <w:tcPr>
            <w:tcW w:w="3127" w:type="dxa"/>
            <w:tcBorders>
              <w:tl2br w:val="nil"/>
              <w:tr2bl w:val="nil"/>
            </w:tcBorders>
            <w:noWrap w:val="0"/>
            <w:vAlign w:val="center"/>
          </w:tcPr>
          <w:p w14:paraId="3F5CF5FA">
            <w:pPr>
              <w:pStyle w:val="58"/>
              <w:bidi w:val="0"/>
              <w:rPr>
                <w:rFonts w:hint="default"/>
                <w:highlight w:val="none"/>
              </w:rPr>
            </w:pPr>
            <w:r>
              <w:rPr>
                <w:rFonts w:hint="default"/>
                <w:highlight w:val="none"/>
              </w:rPr>
              <w:t>1×10</w:t>
            </w:r>
            <w:r>
              <w:rPr>
                <w:rFonts w:hint="default"/>
                <w:highlight w:val="none"/>
                <w:vertAlign w:val="superscript"/>
              </w:rPr>
              <w:t>-6</w:t>
            </w:r>
            <w:r>
              <w:rPr>
                <w:rFonts w:hint="default"/>
                <w:highlight w:val="none"/>
              </w:rPr>
              <w:t>cm/s＜K≤1×10</w:t>
            </w:r>
            <w:r>
              <w:rPr>
                <w:rFonts w:hint="default"/>
                <w:highlight w:val="none"/>
                <w:vertAlign w:val="superscript"/>
              </w:rPr>
              <w:t>-4</w:t>
            </w:r>
            <w:r>
              <w:rPr>
                <w:rFonts w:hint="default"/>
                <w:highlight w:val="none"/>
              </w:rPr>
              <w:t>cm/s</w:t>
            </w:r>
          </w:p>
        </w:tc>
        <w:tc>
          <w:tcPr>
            <w:tcW w:w="1881" w:type="dxa"/>
            <w:vMerge w:val="continue"/>
            <w:tcBorders>
              <w:tl2br w:val="nil"/>
              <w:tr2bl w:val="nil"/>
            </w:tcBorders>
            <w:noWrap w:val="0"/>
            <w:vAlign w:val="center"/>
          </w:tcPr>
          <w:p w14:paraId="6BD79BDD">
            <w:pPr>
              <w:pStyle w:val="58"/>
              <w:bidi w:val="0"/>
              <w:rPr>
                <w:rFonts w:hint="default"/>
                <w:highlight w:val="none"/>
              </w:rPr>
            </w:pPr>
          </w:p>
        </w:tc>
      </w:tr>
      <w:tr w14:paraId="02E105F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83" w:hRule="atLeast"/>
        </w:trPr>
        <w:tc>
          <w:tcPr>
            <w:tcW w:w="857" w:type="dxa"/>
            <w:tcBorders>
              <w:tl2br w:val="nil"/>
              <w:tr2bl w:val="nil"/>
            </w:tcBorders>
            <w:noWrap w:val="0"/>
            <w:vAlign w:val="center"/>
          </w:tcPr>
          <w:p w14:paraId="4C9860E5">
            <w:pPr>
              <w:pStyle w:val="58"/>
              <w:bidi w:val="0"/>
              <w:rPr>
                <w:rFonts w:hint="default"/>
                <w:highlight w:val="none"/>
              </w:rPr>
            </w:pPr>
            <w:r>
              <w:rPr>
                <w:rFonts w:hint="default"/>
                <w:highlight w:val="none"/>
              </w:rPr>
              <w:t>弱</w:t>
            </w:r>
          </w:p>
        </w:tc>
        <w:tc>
          <w:tcPr>
            <w:tcW w:w="7924" w:type="dxa"/>
            <w:gridSpan w:val="3"/>
            <w:tcBorders>
              <w:tl2br w:val="nil"/>
              <w:tr2bl w:val="nil"/>
            </w:tcBorders>
            <w:noWrap w:val="0"/>
            <w:vAlign w:val="center"/>
          </w:tcPr>
          <w:p w14:paraId="44328F90">
            <w:pPr>
              <w:pStyle w:val="58"/>
              <w:bidi w:val="0"/>
              <w:rPr>
                <w:rFonts w:hint="default"/>
                <w:highlight w:val="none"/>
              </w:rPr>
            </w:pPr>
            <w:r>
              <w:rPr>
                <w:rFonts w:hint="default"/>
                <w:highlight w:val="none"/>
              </w:rPr>
              <w:t>岩（土）层不满足上述“强”和“中”条件。</w:t>
            </w:r>
          </w:p>
        </w:tc>
      </w:tr>
    </w:tbl>
    <w:p w14:paraId="24D82A2B">
      <w:pPr>
        <w:keepNext w:val="0"/>
        <w:keepLines w:val="0"/>
        <w:pageBreakBefore w:val="0"/>
        <w:widowControl w:val="0"/>
        <w:tabs>
          <w:tab w:val="left" w:pos="360"/>
          <w:tab w:val="left" w:pos="2207"/>
        </w:tabs>
        <w:kinsoku/>
        <w:wordWrap/>
        <w:overflowPunct/>
        <w:topLinePunct w:val="0"/>
        <w:autoSpaceDE/>
        <w:autoSpaceDN/>
        <w:bidi w:val="0"/>
        <w:adjustRightInd/>
        <w:snapToGrid/>
        <w:spacing w:before="0" w:beforeLines="0" w:after="0" w:afterLines="0" w:line="500" w:lineRule="exact"/>
        <w:ind w:left="0" w:leftChars="0" w:firstLine="480" w:firstLineChars="200"/>
        <w:jc w:val="both"/>
        <w:textAlignment w:val="auto"/>
        <w:outlineLvl w:val="9"/>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rPr>
        <w:t>根据渗水试验，评价区包气带岩性为</w:t>
      </w:r>
      <w:r>
        <w:rPr>
          <w:rFonts w:hint="eastAsia" w:cs="Times New Roman"/>
          <w:color w:val="auto"/>
          <w:sz w:val="24"/>
          <w:highlight w:val="none"/>
          <w:lang w:val="en-US" w:eastAsia="zh-CN"/>
        </w:rPr>
        <w:t>粉质粘</w:t>
      </w:r>
      <w:r>
        <w:rPr>
          <w:rFonts w:hint="default" w:ascii="Times New Roman" w:hAnsi="Times New Roman" w:eastAsia="宋体" w:cs="Times New Roman"/>
          <w:color w:val="auto"/>
          <w:sz w:val="24"/>
          <w:highlight w:val="none"/>
          <w:lang w:val="en-US" w:eastAsia="zh-CN"/>
        </w:rPr>
        <w:t>土</w:t>
      </w:r>
      <w:r>
        <w:rPr>
          <w:rFonts w:hint="default" w:ascii="Times New Roman" w:hAnsi="Times New Roman" w:eastAsia="宋体" w:cs="Times New Roman"/>
          <w:color w:val="auto"/>
          <w:sz w:val="24"/>
          <w:highlight w:val="none"/>
        </w:rPr>
        <w:t>，</w:t>
      </w:r>
      <w:r>
        <w:rPr>
          <w:rFonts w:hint="default" w:ascii="Times New Roman" w:hAnsi="Times New Roman" w:eastAsia="宋体" w:cs="Times New Roman"/>
          <w:color w:val="auto"/>
          <w:sz w:val="24"/>
          <w:highlight w:val="none"/>
          <w:lang w:eastAsia="zh-CN"/>
        </w:rPr>
        <w:t>包气带厚度为</w:t>
      </w:r>
      <w:r>
        <w:rPr>
          <w:rFonts w:hint="default" w:ascii="Times New Roman" w:hAnsi="Times New Roman" w:eastAsia="宋体" w:cs="Times New Roman"/>
          <w:color w:val="auto"/>
          <w:sz w:val="24"/>
          <w:highlight w:val="none"/>
          <w:lang w:val="en-US" w:eastAsia="zh-CN"/>
        </w:rPr>
        <w:t>0.9-1.6m，</w:t>
      </w:r>
      <w:r>
        <w:rPr>
          <w:rFonts w:hint="default" w:ascii="Times New Roman" w:hAnsi="Times New Roman" w:eastAsia="宋体" w:cs="Times New Roman"/>
          <w:color w:val="auto"/>
          <w:sz w:val="24"/>
          <w:highlight w:val="none"/>
        </w:rPr>
        <w:t>包气带渗透系数K=</w:t>
      </w:r>
      <w:r>
        <w:rPr>
          <w:rFonts w:hint="default" w:ascii="Times New Roman" w:hAnsi="Times New Roman" w:eastAsia="宋体" w:cs="Times New Roman"/>
          <w:color w:val="auto"/>
          <w:spacing w:val="-3"/>
          <w:sz w:val="24"/>
          <w:szCs w:val="24"/>
          <w:highlight w:val="none"/>
          <w:lang w:val="en-US" w:eastAsia="zh-CN"/>
        </w:rPr>
        <w:t>6.29</w:t>
      </w:r>
      <w:r>
        <w:rPr>
          <w:rFonts w:hint="default" w:ascii="Times New Roman" w:hAnsi="Times New Roman" w:eastAsia="宋体" w:cs="Times New Roman"/>
          <w:color w:val="auto"/>
          <w:spacing w:val="-3"/>
          <w:sz w:val="24"/>
          <w:szCs w:val="24"/>
          <w:highlight w:val="none"/>
        </w:rPr>
        <w:t>×10</w:t>
      </w:r>
      <w:r>
        <w:rPr>
          <w:rFonts w:hint="default" w:ascii="Times New Roman" w:hAnsi="Times New Roman" w:eastAsia="宋体" w:cs="Times New Roman"/>
          <w:color w:val="auto"/>
          <w:spacing w:val="-3"/>
          <w:position w:val="10"/>
          <w:sz w:val="16"/>
          <w:szCs w:val="16"/>
          <w:highlight w:val="none"/>
        </w:rPr>
        <w:t>-</w:t>
      </w:r>
      <w:r>
        <w:rPr>
          <w:rFonts w:hint="default" w:ascii="Times New Roman" w:hAnsi="Times New Roman" w:eastAsia="宋体" w:cs="Times New Roman"/>
          <w:color w:val="auto"/>
          <w:spacing w:val="-3"/>
          <w:position w:val="10"/>
          <w:sz w:val="16"/>
          <w:szCs w:val="16"/>
          <w:highlight w:val="none"/>
          <w:lang w:val="en-US" w:eastAsia="zh-CN"/>
        </w:rPr>
        <w:t>5</w:t>
      </w:r>
      <w:r>
        <w:rPr>
          <w:rFonts w:hint="default" w:ascii="Times New Roman" w:hAnsi="Times New Roman" w:eastAsia="宋体" w:cs="Times New Roman"/>
          <w:color w:val="auto"/>
          <w:sz w:val="24"/>
          <w:highlight w:val="none"/>
        </w:rPr>
        <w:t>cm/s，评价区包气带防污性能为</w:t>
      </w:r>
      <w:r>
        <w:rPr>
          <w:rFonts w:hint="default" w:ascii="Times New Roman" w:hAnsi="Times New Roman" w:eastAsia="宋体" w:cs="Times New Roman"/>
          <w:color w:val="auto"/>
          <w:sz w:val="24"/>
          <w:highlight w:val="none"/>
          <w:lang w:eastAsia="zh-CN"/>
        </w:rPr>
        <w:t>“中”</w:t>
      </w:r>
      <w:r>
        <w:rPr>
          <w:rFonts w:hint="default" w:ascii="Times New Roman" w:hAnsi="Times New Roman" w:eastAsia="宋体" w:cs="Times New Roman"/>
          <w:color w:val="auto"/>
          <w:sz w:val="24"/>
          <w:highlight w:val="none"/>
        </w:rPr>
        <w:t>等级别，能够起到一定的天然防护作用，并根据《环境影响评价技术导则·地下水环境》(HJ610-2016)的规定采取相应防渗措施来保证防渗效果。</w:t>
      </w:r>
    </w:p>
    <w:p w14:paraId="2857F2E6">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5.2.3.10地下水环境影响预测</w:t>
      </w:r>
    </w:p>
    <w:p w14:paraId="22FF80CC">
      <w:pPr>
        <w:keepNext w:val="0"/>
        <w:keepLines w:val="0"/>
        <w:pageBreakBefore w:val="0"/>
        <w:widowControl w:val="0"/>
        <w:tabs>
          <w:tab w:val="left" w:pos="360"/>
          <w:tab w:val="left" w:pos="2207"/>
        </w:tabs>
        <w:kinsoku/>
        <w:wordWrap/>
        <w:overflowPunct/>
        <w:topLinePunct w:val="0"/>
        <w:autoSpaceDE/>
        <w:autoSpaceDN/>
        <w:bidi w:val="0"/>
        <w:adjustRightInd/>
        <w:snapToGrid/>
        <w:spacing w:before="0" w:beforeLines="0" w:after="0" w:afterLines="0" w:line="500" w:lineRule="exact"/>
        <w:ind w:left="0" w:leftChars="0" w:firstLine="480" w:firstLineChars="200"/>
        <w:jc w:val="both"/>
        <w:textAlignment w:val="auto"/>
        <w:outlineLvl w:val="9"/>
        <w:rPr>
          <w:rFonts w:hint="default" w:ascii="Times New Roman" w:hAnsi="Times New Roman" w:eastAsia="宋体" w:cs="Times New Roman"/>
          <w:b w:val="0"/>
          <w:bCs w:val="0"/>
          <w:color w:val="auto"/>
          <w:sz w:val="24"/>
          <w:szCs w:val="24"/>
          <w:highlight w:val="none"/>
          <w:lang w:val="en-US" w:eastAsia="zh-CN"/>
        </w:rPr>
      </w:pPr>
      <w:r>
        <w:rPr>
          <w:rFonts w:hint="default" w:ascii="Times New Roman" w:hAnsi="Times New Roman" w:eastAsia="宋体" w:cs="Times New Roman"/>
          <w:color w:val="auto"/>
          <w:sz w:val="24"/>
          <w:highlight w:val="none"/>
        </w:rPr>
        <w:t>依据《环境影响评价技术导则地下水环境》（HJ610-2016）要求，拟建项目为</w:t>
      </w:r>
      <w:r>
        <w:rPr>
          <w:rFonts w:hint="default" w:ascii="Times New Roman" w:hAnsi="Times New Roman" w:eastAsia="宋体" w:cs="Times New Roman"/>
          <w:color w:val="auto"/>
          <w:sz w:val="24"/>
          <w:highlight w:val="none"/>
          <w:lang w:val="en-US" w:eastAsia="zh-CN"/>
        </w:rPr>
        <w:t>一</w:t>
      </w:r>
      <w:r>
        <w:rPr>
          <w:rFonts w:hint="default" w:ascii="Times New Roman" w:hAnsi="Times New Roman" w:eastAsia="宋体" w:cs="Times New Roman"/>
          <w:color w:val="auto"/>
          <w:sz w:val="24"/>
          <w:highlight w:val="none"/>
        </w:rPr>
        <w:t>级评价，</w:t>
      </w:r>
      <w:r>
        <w:rPr>
          <w:rFonts w:hint="default" w:ascii="Times New Roman" w:hAnsi="Times New Roman" w:eastAsia="宋体" w:cs="Times New Roman"/>
          <w:b w:val="0"/>
          <w:bCs w:val="0"/>
          <w:color w:val="auto"/>
          <w:sz w:val="24"/>
          <w:szCs w:val="24"/>
          <w:highlight w:val="none"/>
          <w:lang w:val="en-US" w:eastAsia="zh-CN"/>
        </w:rPr>
        <w:t>预测方法采用数值法进行预测，采用地下水数值法进行地下水评价，首先建立地下水系统的概念模型。在建立地下水系统概念模型的基础上再建立地下水流动、地下水水质运移数学模型。</w:t>
      </w:r>
    </w:p>
    <w:p w14:paraId="18398564">
      <w:pPr>
        <w:keepNext w:val="0"/>
        <w:keepLines w:val="0"/>
        <w:pageBreakBefore w:val="0"/>
        <w:widowControl w:val="0"/>
        <w:tabs>
          <w:tab w:val="left" w:pos="360"/>
          <w:tab w:val="left" w:pos="2207"/>
        </w:tabs>
        <w:kinsoku/>
        <w:wordWrap/>
        <w:overflowPunct/>
        <w:topLinePunct w:val="0"/>
        <w:autoSpaceDE/>
        <w:autoSpaceDN/>
        <w:bidi w:val="0"/>
        <w:adjustRightInd/>
        <w:snapToGrid/>
        <w:spacing w:before="0" w:beforeLines="0" w:after="0" w:afterLines="0" w:line="500" w:lineRule="exact"/>
        <w:ind w:left="0" w:leftChars="0" w:firstLine="480" w:firstLineChars="200"/>
        <w:jc w:val="both"/>
        <w:textAlignment w:val="auto"/>
        <w:outlineLvl w:val="9"/>
        <w:rPr>
          <w:rFonts w:hint="default" w:ascii="Times New Roman" w:hAnsi="Times New Roman" w:eastAsia="宋体" w:cs="Times New Roman"/>
          <w:b w:val="0"/>
          <w:bCs w:val="0"/>
          <w:color w:val="auto"/>
          <w:sz w:val="24"/>
          <w:szCs w:val="24"/>
          <w:highlight w:val="none"/>
          <w:lang w:val="en-US" w:eastAsia="zh-CN"/>
        </w:rPr>
      </w:pPr>
      <w:r>
        <w:rPr>
          <w:rFonts w:hint="default" w:ascii="Times New Roman" w:hAnsi="Times New Roman" w:eastAsia="宋体" w:cs="Times New Roman"/>
          <w:b w:val="0"/>
          <w:bCs w:val="0"/>
          <w:color w:val="auto"/>
          <w:sz w:val="24"/>
          <w:szCs w:val="24"/>
          <w:highlight w:val="none"/>
          <w:lang w:val="en-US" w:eastAsia="zh-CN"/>
        </w:rPr>
        <w:t>㈠地下水水动力场数值模拟</w:t>
      </w:r>
    </w:p>
    <w:p w14:paraId="4C681297">
      <w:pPr>
        <w:keepNext w:val="0"/>
        <w:keepLines w:val="0"/>
        <w:pageBreakBefore w:val="0"/>
        <w:widowControl w:val="0"/>
        <w:tabs>
          <w:tab w:val="left" w:pos="360"/>
          <w:tab w:val="left" w:pos="2207"/>
        </w:tabs>
        <w:kinsoku/>
        <w:wordWrap/>
        <w:overflowPunct/>
        <w:topLinePunct w:val="0"/>
        <w:autoSpaceDE/>
        <w:autoSpaceDN/>
        <w:bidi w:val="0"/>
        <w:adjustRightInd/>
        <w:snapToGrid/>
        <w:spacing w:before="0" w:beforeLines="0" w:after="0" w:afterLines="0" w:line="500" w:lineRule="exact"/>
        <w:ind w:left="0" w:leftChars="0" w:firstLine="480" w:firstLineChars="200"/>
        <w:jc w:val="both"/>
        <w:textAlignment w:val="auto"/>
        <w:outlineLvl w:val="9"/>
        <w:rPr>
          <w:rFonts w:hint="default" w:ascii="Times New Roman" w:hAnsi="Times New Roman" w:eastAsia="宋体" w:cs="Times New Roman"/>
          <w:b w:val="0"/>
          <w:bCs w:val="0"/>
          <w:color w:val="auto"/>
          <w:sz w:val="24"/>
          <w:szCs w:val="24"/>
          <w:highlight w:val="none"/>
          <w:lang w:val="en-US" w:eastAsia="zh-CN"/>
        </w:rPr>
      </w:pPr>
      <w:r>
        <w:rPr>
          <w:rFonts w:hint="default" w:ascii="Times New Roman" w:hAnsi="Times New Roman" w:eastAsia="宋体" w:cs="Times New Roman"/>
          <w:b w:val="0"/>
          <w:bCs w:val="0"/>
          <w:color w:val="auto"/>
          <w:sz w:val="24"/>
          <w:szCs w:val="24"/>
          <w:highlight w:val="none"/>
          <w:lang w:val="en-US" w:eastAsia="zh-CN"/>
        </w:rPr>
        <w:t>水是溶质运移的载体，地下水流场是溶质运移模拟的基础，在溶质运移模拟前，需先建立模拟区地下水流场模型。</w:t>
      </w:r>
    </w:p>
    <w:p w14:paraId="4F885EA9">
      <w:pPr>
        <w:keepNext w:val="0"/>
        <w:keepLines w:val="0"/>
        <w:pageBreakBefore w:val="0"/>
        <w:widowControl w:val="0"/>
        <w:tabs>
          <w:tab w:val="left" w:pos="360"/>
          <w:tab w:val="left" w:pos="2207"/>
        </w:tabs>
        <w:kinsoku/>
        <w:wordWrap/>
        <w:overflowPunct/>
        <w:topLinePunct w:val="0"/>
        <w:autoSpaceDE/>
        <w:autoSpaceDN/>
        <w:bidi w:val="0"/>
        <w:adjustRightInd/>
        <w:snapToGrid/>
        <w:spacing w:before="0" w:beforeLines="0" w:after="0" w:afterLines="0" w:line="500" w:lineRule="exact"/>
        <w:ind w:left="0" w:leftChars="0" w:firstLine="480" w:firstLineChars="200"/>
        <w:jc w:val="both"/>
        <w:textAlignment w:val="auto"/>
        <w:outlineLvl w:val="9"/>
        <w:rPr>
          <w:rFonts w:hint="default" w:ascii="Times New Roman" w:hAnsi="Times New Roman" w:eastAsia="宋体" w:cs="Times New Roman"/>
          <w:b w:val="0"/>
          <w:bCs w:val="0"/>
          <w:color w:val="auto"/>
          <w:sz w:val="24"/>
          <w:szCs w:val="24"/>
          <w:highlight w:val="none"/>
          <w:lang w:val="en-US" w:eastAsia="zh-CN"/>
        </w:rPr>
      </w:pPr>
      <w:r>
        <w:rPr>
          <w:rFonts w:hint="default" w:ascii="Times New Roman" w:hAnsi="Times New Roman" w:eastAsia="宋体" w:cs="Times New Roman"/>
          <w:b w:val="0"/>
          <w:bCs w:val="0"/>
          <w:color w:val="auto"/>
          <w:sz w:val="24"/>
          <w:szCs w:val="24"/>
          <w:highlight w:val="none"/>
          <w:lang w:val="en-US" w:eastAsia="zh-CN"/>
        </w:rPr>
        <w:t>⑴水文地质概念模型</w:t>
      </w:r>
    </w:p>
    <w:p w14:paraId="4AD3A0EF">
      <w:pPr>
        <w:keepNext w:val="0"/>
        <w:keepLines w:val="0"/>
        <w:pageBreakBefore w:val="0"/>
        <w:widowControl w:val="0"/>
        <w:tabs>
          <w:tab w:val="left" w:pos="360"/>
          <w:tab w:val="left" w:pos="2207"/>
        </w:tabs>
        <w:kinsoku/>
        <w:wordWrap/>
        <w:overflowPunct/>
        <w:topLinePunct w:val="0"/>
        <w:autoSpaceDE/>
        <w:autoSpaceDN/>
        <w:bidi w:val="0"/>
        <w:adjustRightInd/>
        <w:snapToGrid/>
        <w:spacing w:before="0" w:beforeLines="0" w:after="0" w:afterLines="0" w:line="500" w:lineRule="exact"/>
        <w:ind w:left="0" w:leftChars="0" w:firstLine="480" w:firstLineChars="200"/>
        <w:jc w:val="both"/>
        <w:textAlignment w:val="auto"/>
        <w:outlineLvl w:val="9"/>
        <w:rPr>
          <w:rFonts w:hint="default" w:ascii="Times New Roman" w:hAnsi="Times New Roman" w:eastAsia="宋体" w:cs="Times New Roman"/>
          <w:b w:val="0"/>
          <w:bCs w:val="0"/>
          <w:color w:val="auto"/>
          <w:sz w:val="24"/>
          <w:szCs w:val="24"/>
          <w:highlight w:val="none"/>
          <w:lang w:val="en-US" w:eastAsia="zh-CN"/>
        </w:rPr>
      </w:pPr>
      <w:r>
        <w:rPr>
          <w:rFonts w:hint="default" w:ascii="Times New Roman" w:hAnsi="Times New Roman" w:eastAsia="宋体" w:cs="Times New Roman"/>
          <w:b w:val="0"/>
          <w:bCs w:val="0"/>
          <w:color w:val="auto"/>
          <w:sz w:val="24"/>
          <w:szCs w:val="24"/>
          <w:highlight w:val="none"/>
          <w:lang w:val="en-US" w:eastAsia="zh-CN"/>
        </w:rPr>
        <w:t>水文地质概念模型（Conceptualhydrogeologicalmodel）是把含水层实际的边界性质、内部结构、渗透性能、水力特征和补给排泄等条件概化为便于进行数学与物理模拟的基本模式。建立评价区的水文地质概念模型是进行预测评价的第一步。</w:t>
      </w:r>
    </w:p>
    <w:p w14:paraId="35DEDBB0">
      <w:pPr>
        <w:keepNext w:val="0"/>
        <w:keepLines w:val="0"/>
        <w:pageBreakBefore w:val="0"/>
        <w:widowControl w:val="0"/>
        <w:tabs>
          <w:tab w:val="left" w:pos="360"/>
          <w:tab w:val="left" w:pos="2207"/>
        </w:tabs>
        <w:kinsoku/>
        <w:wordWrap/>
        <w:overflowPunct/>
        <w:topLinePunct w:val="0"/>
        <w:autoSpaceDE/>
        <w:autoSpaceDN/>
        <w:bidi w:val="0"/>
        <w:adjustRightInd/>
        <w:snapToGrid/>
        <w:spacing w:before="0" w:beforeLines="0" w:after="0" w:afterLines="0" w:line="480" w:lineRule="exact"/>
        <w:ind w:left="0" w:leftChars="0" w:firstLine="480" w:firstLineChars="200"/>
        <w:jc w:val="both"/>
        <w:textAlignment w:val="auto"/>
        <w:outlineLvl w:val="9"/>
        <w:rPr>
          <w:rFonts w:hint="default" w:ascii="Times New Roman" w:hAnsi="Times New Roman" w:eastAsia="宋体" w:cs="Times New Roman"/>
          <w:b w:val="0"/>
          <w:bCs w:val="0"/>
          <w:color w:val="auto"/>
          <w:sz w:val="24"/>
          <w:szCs w:val="24"/>
          <w:highlight w:val="none"/>
          <w:lang w:val="en-US" w:eastAsia="zh-CN"/>
        </w:rPr>
      </w:pPr>
      <w:r>
        <w:rPr>
          <w:rFonts w:hint="default" w:ascii="Times New Roman" w:hAnsi="Times New Roman" w:eastAsia="宋体" w:cs="Times New Roman"/>
          <w:b w:val="0"/>
          <w:bCs w:val="0"/>
          <w:color w:val="auto"/>
          <w:sz w:val="24"/>
          <w:szCs w:val="24"/>
          <w:highlight w:val="none"/>
          <w:lang w:val="en-US" w:eastAsia="zh-CN"/>
        </w:rPr>
        <w:t>①模拟区范围</w:t>
      </w:r>
    </w:p>
    <w:p w14:paraId="32089CB8">
      <w:pPr>
        <w:keepNext w:val="0"/>
        <w:keepLines w:val="0"/>
        <w:pageBreakBefore w:val="0"/>
        <w:widowControl w:val="0"/>
        <w:tabs>
          <w:tab w:val="left" w:pos="360"/>
          <w:tab w:val="left" w:pos="2207"/>
        </w:tabs>
        <w:kinsoku/>
        <w:wordWrap/>
        <w:overflowPunct/>
        <w:topLinePunct w:val="0"/>
        <w:autoSpaceDE/>
        <w:autoSpaceDN/>
        <w:bidi w:val="0"/>
        <w:adjustRightInd/>
        <w:snapToGrid/>
        <w:spacing w:before="0" w:beforeLines="0" w:after="0" w:afterLines="0" w:line="480" w:lineRule="exact"/>
        <w:ind w:left="0" w:leftChars="0" w:firstLine="480" w:firstLineChars="200"/>
        <w:jc w:val="both"/>
        <w:textAlignment w:val="auto"/>
        <w:outlineLvl w:val="9"/>
        <w:rPr>
          <w:rFonts w:hint="default" w:ascii="Times New Roman" w:hAnsi="Times New Roman" w:eastAsia="宋体" w:cs="Times New Roman"/>
          <w:b w:val="0"/>
          <w:bCs w:val="0"/>
          <w:color w:val="auto"/>
          <w:sz w:val="24"/>
          <w:szCs w:val="24"/>
          <w:highlight w:val="none"/>
          <w:lang w:val="en-US" w:eastAsia="zh-CN"/>
        </w:rPr>
      </w:pPr>
      <w:r>
        <w:rPr>
          <w:rFonts w:hint="default" w:ascii="Times New Roman" w:hAnsi="Times New Roman" w:eastAsia="宋体" w:cs="Times New Roman"/>
          <w:b w:val="0"/>
          <w:bCs w:val="0"/>
          <w:color w:val="auto"/>
          <w:sz w:val="24"/>
          <w:szCs w:val="24"/>
          <w:highlight w:val="none"/>
          <w:lang w:val="en-US" w:eastAsia="zh-CN"/>
        </w:rPr>
        <w:t>本次预测模拟范围</w:t>
      </w:r>
      <w:r>
        <w:rPr>
          <w:rFonts w:hint="default" w:ascii="Times New Roman" w:hAnsi="Times New Roman" w:eastAsia="宋体" w:cs="Times New Roman"/>
          <w:color w:val="auto"/>
          <w:spacing w:val="6"/>
          <w:sz w:val="24"/>
          <w:szCs w:val="24"/>
          <w:highlight w:val="none"/>
          <w:lang w:val="en-US" w:eastAsia="zh-CN"/>
        </w:rPr>
        <w:t>项目厂址为中心，沿地下水主径流方向上游外扩1.8km，下游外扩3.6km，侧向各1.8km的区域，模拟区面积约20.7km</w:t>
      </w:r>
      <w:r>
        <w:rPr>
          <w:rFonts w:hint="default" w:ascii="Times New Roman" w:hAnsi="Times New Roman" w:eastAsia="宋体" w:cs="Times New Roman"/>
          <w:color w:val="auto"/>
          <w:spacing w:val="6"/>
          <w:sz w:val="24"/>
          <w:szCs w:val="24"/>
          <w:highlight w:val="none"/>
          <w:vertAlign w:val="superscript"/>
          <w:lang w:val="en-US" w:eastAsia="zh-CN"/>
        </w:rPr>
        <w:t>2</w:t>
      </w:r>
      <w:r>
        <w:rPr>
          <w:rFonts w:hint="default" w:ascii="Times New Roman" w:hAnsi="Times New Roman" w:eastAsia="宋体" w:cs="Times New Roman"/>
          <w:color w:val="auto"/>
          <w:spacing w:val="6"/>
          <w:sz w:val="24"/>
          <w:szCs w:val="24"/>
          <w:highlight w:val="none"/>
          <w:lang w:val="en-US" w:eastAsia="zh-CN"/>
        </w:rPr>
        <w:t>。</w:t>
      </w:r>
      <w:r>
        <w:rPr>
          <w:rFonts w:hint="default" w:ascii="Times New Roman" w:hAnsi="Times New Roman" w:eastAsia="宋体" w:cs="Times New Roman"/>
          <w:b w:val="0"/>
          <w:bCs w:val="0"/>
          <w:color w:val="auto"/>
          <w:sz w:val="24"/>
          <w:szCs w:val="24"/>
          <w:highlight w:val="none"/>
          <w:lang w:val="en-US" w:eastAsia="zh-CN"/>
        </w:rPr>
        <w:t>模拟区具体范围见图5.2-</w:t>
      </w:r>
      <w:r>
        <w:rPr>
          <w:rFonts w:hint="eastAsia" w:cs="Times New Roman"/>
          <w:b w:val="0"/>
          <w:bCs w:val="0"/>
          <w:color w:val="auto"/>
          <w:sz w:val="24"/>
          <w:szCs w:val="24"/>
          <w:highlight w:val="none"/>
          <w:lang w:val="en-US" w:eastAsia="zh-CN"/>
        </w:rPr>
        <w:t>15</w:t>
      </w:r>
      <w:r>
        <w:rPr>
          <w:rFonts w:hint="default" w:ascii="Times New Roman" w:hAnsi="Times New Roman" w:eastAsia="宋体" w:cs="Times New Roman"/>
          <w:b w:val="0"/>
          <w:bCs w:val="0"/>
          <w:color w:val="auto"/>
          <w:sz w:val="24"/>
          <w:szCs w:val="24"/>
          <w:highlight w:val="none"/>
          <w:lang w:val="en-US" w:eastAsia="zh-CN"/>
        </w:rPr>
        <w:t>。</w:t>
      </w:r>
    </w:p>
    <w:p w14:paraId="6D66ADF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highlight w:val="none"/>
        </w:rPr>
      </w:pPr>
      <w:r>
        <w:rPr>
          <w:rFonts w:hint="default" w:ascii="Times New Roman" w:hAnsi="Times New Roman" w:eastAsia="宋体" w:cs="Times New Roman"/>
          <w:highlight w:val="none"/>
        </w:rPr>
        <w:object>
          <v:shape id="_x0000_i1038" o:spt="75" type="#_x0000_t75" style="height:428.55pt;width:423.1pt;" o:ole="t" filled="f" o:preferrelative="t" stroked="f" coordsize="21600,21600">
            <v:path/>
            <v:fill on="f" focussize="0,0"/>
            <v:stroke on="f"/>
            <v:imagedata r:id="rId84" o:title=""/>
            <o:lock v:ext="edit" aspectratio="f"/>
            <w10:wrap type="none"/>
            <w10:anchorlock/>
          </v:shape>
          <o:OLEObject Type="Embed" ProgID="Visio.Drawing.11" ShapeID="_x0000_i1038" DrawAspect="Content" ObjectID="_1468075741" r:id="rId83">
            <o:LockedField>false</o:LockedField>
          </o:OLEObject>
        </w:object>
      </w:r>
    </w:p>
    <w:p w14:paraId="508984ED">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zh-CN"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模拟区具体范围</w:t>
      </w:r>
    </w:p>
    <w:p w14:paraId="5A52AFA6">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outlineLvl w:val="9"/>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rPr>
        <w:t>②</w:t>
      </w:r>
      <w:r>
        <w:rPr>
          <w:rFonts w:hint="default" w:ascii="Times New Roman" w:hAnsi="Times New Roman" w:eastAsia="宋体" w:cs="Times New Roman"/>
          <w:color w:val="auto"/>
          <w:sz w:val="24"/>
          <w:highlight w:val="none"/>
          <w:lang w:val="en-US" w:eastAsia="zh-CN"/>
        </w:rPr>
        <w:t>含水层的概化</w:t>
      </w:r>
    </w:p>
    <w:p w14:paraId="2D12F712">
      <w:pPr>
        <w:pageBreakBefore w:val="0"/>
        <w:widowControl w:val="0"/>
        <w:kinsoku/>
        <w:wordWrap/>
        <w:overflowPunct/>
        <w:topLinePunct w:val="0"/>
        <w:autoSpaceDE/>
        <w:autoSpaceDN/>
        <w:bidi w:val="0"/>
        <w:adjustRightInd/>
        <w:snapToGrid/>
        <w:spacing w:line="480" w:lineRule="exact"/>
        <w:ind w:right="0"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lang w:val="en-US" w:eastAsia="zh-CN"/>
        </w:rPr>
        <w:t>评价区位于华北滨海平原地区，地下水类型主要为第四系松散岩孔隙水。根据开发区含水岩性、地下水赋存条件及水动力特征，区内主要分为4个含水层组。本次评价主要目标层为第四系潜水含水层。含水层以第Ⅰ含水层组和第Ⅱ含水岩组的粉土、薄层细砂、粉砂为主，含水层厚度约50m。因此，本评价将潜水含水层作为计算含水层，在模型中概化为单一含水层。</w:t>
      </w:r>
    </w:p>
    <w:p w14:paraId="5EBF49C9">
      <w:pPr>
        <w:keepNext w:val="0"/>
        <w:keepLines w:val="0"/>
        <w:pageBreakBefore w:val="0"/>
        <w:widowControl w:val="0"/>
        <w:tabs>
          <w:tab w:val="left" w:pos="360"/>
          <w:tab w:val="left" w:pos="2207"/>
        </w:tabs>
        <w:kinsoku/>
        <w:wordWrap/>
        <w:overflowPunct/>
        <w:topLinePunct w:val="0"/>
        <w:autoSpaceDE/>
        <w:autoSpaceDN/>
        <w:bidi w:val="0"/>
        <w:adjustRightInd/>
        <w:snapToGrid/>
        <w:spacing w:before="0" w:beforeLines="0" w:after="0" w:afterLines="0" w:line="480" w:lineRule="exact"/>
        <w:ind w:left="0" w:leftChars="0" w:firstLine="480" w:firstLineChars="200"/>
        <w:textAlignment w:val="auto"/>
        <w:outlineLvl w:val="9"/>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③边界条件的概化</w:t>
      </w:r>
    </w:p>
    <w:p w14:paraId="1730FD3F">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outlineLvl w:val="9"/>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根据评价区水文地质条件、地下水流场特征及项目周围敏感目标分布情况，由于东部和西部边界垂直于地下水等水位线，并且从历年地下水流场图上看，等水位线的形状变化不大，因此可将东部和西部边界作为零流量边界处理；北部边界为流量边界；南部边界也为流量边界。在垂向上，潜水含水层自由水面为系统的上边界，通过该边界，接受大气降水、渠系等补给且以人工开采的形式进行地下水排泄。由于深层含水层与浅层潜水含水层之间具有10米左右的较稳定的粘性土隔水层，水力联系较差。同时鉴于本次地下水数值模拟目的是在地下水识别模型的基础上预测非正常工况下地下水污染的时空分布特征，因此，此次只建立评价区域的潜水的数值模型，将潜水含水层和承压含水层之间的粘土层当做此次潜水模型的隔水底板。</w:t>
      </w:r>
    </w:p>
    <w:p w14:paraId="3CFD139C">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outlineLvl w:val="9"/>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④地下水动态特征</w:t>
      </w:r>
    </w:p>
    <w:p w14:paraId="57075DD3">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outlineLvl w:val="9"/>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从空间上看，评价区地下水流整体上以水平运动为主、垂向运动为辅，地下水系统符合质量守恒定律和能量守恒定律，地下水运动符合达西定律；评价区地下水流在剖面上基本水平流动，可忽略渗流速度的垂直分量，只考虑水平方向的分速度，因此评价区地下水流属二维流；地下水系统的输入输出随时间、空间变化，故地下水为非稳定流；参数随空间变化，体现了系统的非均质性；同一点上，渗透流速大小与方向无关，故将模拟区域内含水介质概化为非均质各向同性介质。综上所述，评价区可概化成非均质、各向同性、二维非稳定地下水流系统的概念模型。</w:t>
      </w:r>
    </w:p>
    <w:p w14:paraId="4539F66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5</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源汇项</w:t>
      </w:r>
    </w:p>
    <w:p w14:paraId="38AFA10C">
      <w:pPr>
        <w:keepNext w:val="0"/>
        <w:keepLines w:val="0"/>
        <w:pageBreakBefore w:val="0"/>
        <w:widowControl/>
        <w:suppressLineNumbers w:val="0"/>
        <w:kinsoku/>
        <w:wordWrap/>
        <w:overflowPunct/>
        <w:topLinePunct w:val="0"/>
        <w:autoSpaceDE/>
        <w:autoSpaceDN/>
        <w:bidi w:val="0"/>
        <w:snapToGrid w:val="0"/>
        <w:spacing w:line="360" w:lineRule="auto"/>
        <w:ind w:firstLine="480" w:firstLineChars="200"/>
        <w:jc w:val="both"/>
        <w:textAlignment w:val="auto"/>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模拟区内浅层含水层主要补给项为：大气降水入渗</w:t>
      </w:r>
      <w:r>
        <w:rPr>
          <w:rFonts w:hint="eastAsia" w:cs="Times New Roman"/>
          <w:color w:val="auto"/>
          <w:kern w:val="0"/>
          <w:sz w:val="24"/>
          <w:szCs w:val="24"/>
          <w:highlight w:val="none"/>
          <w:lang w:val="en-US" w:eastAsia="zh-CN" w:bidi="ar"/>
        </w:rPr>
        <w:t>、河流侧向补给</w:t>
      </w:r>
      <w:r>
        <w:rPr>
          <w:rFonts w:hint="default" w:ascii="Times New Roman" w:hAnsi="Times New Roman" w:eastAsia="宋体" w:cs="Times New Roman"/>
          <w:color w:val="auto"/>
          <w:kern w:val="0"/>
          <w:sz w:val="24"/>
          <w:szCs w:val="24"/>
          <w:highlight w:val="none"/>
          <w:lang w:val="en-US" w:eastAsia="zh-CN" w:bidi="ar"/>
        </w:rPr>
        <w:t>和地下水的侧向径流补给，主要排泄项为地下水侧向流出、</w:t>
      </w:r>
      <w:r>
        <w:rPr>
          <w:rFonts w:hint="eastAsia" w:cs="Times New Roman"/>
          <w:color w:val="auto"/>
          <w:kern w:val="0"/>
          <w:sz w:val="24"/>
          <w:szCs w:val="24"/>
          <w:highlight w:val="none"/>
          <w:lang w:val="en-US" w:eastAsia="zh-CN" w:bidi="ar"/>
        </w:rPr>
        <w:t>地下水开采、</w:t>
      </w:r>
      <w:r>
        <w:rPr>
          <w:rFonts w:hint="default" w:ascii="Times New Roman" w:hAnsi="Times New Roman" w:eastAsia="宋体" w:cs="Times New Roman"/>
          <w:color w:val="auto"/>
          <w:kern w:val="0"/>
          <w:sz w:val="24"/>
          <w:szCs w:val="24"/>
          <w:highlight w:val="none"/>
          <w:lang w:val="en-US" w:eastAsia="zh-CN" w:bidi="ar"/>
        </w:rPr>
        <w:t>潜水蒸发。</w:t>
      </w:r>
    </w:p>
    <w:p w14:paraId="73F40CDA">
      <w:pPr>
        <w:keepNext w:val="0"/>
        <w:keepLines w:val="0"/>
        <w:pageBreakBefore w:val="0"/>
        <w:widowControl/>
        <w:suppressLineNumbers w:val="0"/>
        <w:kinsoku/>
        <w:wordWrap/>
        <w:overflowPunct/>
        <w:topLinePunct w:val="0"/>
        <w:autoSpaceDE/>
        <w:autoSpaceDN/>
        <w:bidi w:val="0"/>
        <w:snapToGrid w:val="0"/>
        <w:spacing w:line="360" w:lineRule="auto"/>
        <w:ind w:firstLine="480" w:firstLineChars="200"/>
        <w:jc w:val="both"/>
        <w:textAlignment w:val="auto"/>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①大气降水入渗补给量</w:t>
      </w:r>
    </w:p>
    <w:p w14:paraId="0A173CD7">
      <w:pPr>
        <w:keepNext w:val="0"/>
        <w:keepLines w:val="0"/>
        <w:pageBreakBefore w:val="0"/>
        <w:widowControl/>
        <w:suppressLineNumbers w:val="0"/>
        <w:kinsoku/>
        <w:wordWrap/>
        <w:overflowPunct/>
        <w:topLinePunct w:val="0"/>
        <w:autoSpaceDE/>
        <w:autoSpaceDN/>
        <w:bidi w:val="0"/>
        <w:snapToGrid w:val="0"/>
        <w:spacing w:line="360" w:lineRule="auto"/>
        <w:ind w:firstLine="480" w:firstLineChars="200"/>
        <w:jc w:val="both"/>
        <w:textAlignment w:val="auto"/>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模拟区内浅层含水层通过包气带接收大气降水直接入渗补给，包气带岩性主要为粉质粘土和粉土，区内包气带岩性变化不大，模拟时可划分为一个参数区。大气降水入渗补给通常采用以下公式进行计算：</w:t>
      </w:r>
    </w:p>
    <w:p w14:paraId="5388DD36">
      <w:pPr>
        <w:keepNext w:val="0"/>
        <w:keepLines w:val="0"/>
        <w:pageBreakBefore w:val="0"/>
        <w:kinsoku/>
        <w:wordWrap/>
        <w:overflowPunct/>
        <w:topLinePunct w:val="0"/>
        <w:autoSpaceDE/>
        <w:autoSpaceDN/>
        <w:bidi w:val="0"/>
        <w:snapToGrid w:val="0"/>
        <w:spacing w:line="360" w:lineRule="auto"/>
        <w:jc w:val="center"/>
        <w:textAlignment w:val="auto"/>
        <w:rPr>
          <w:rFonts w:hint="default" w:ascii="Times New Roman" w:hAnsi="Times New Roman" w:eastAsia="宋体" w:cs="Times New Roman"/>
          <w:bCs/>
          <w:color w:val="auto"/>
          <w:sz w:val="24"/>
          <w:szCs w:val="24"/>
          <w:highlight w:val="none"/>
        </w:rPr>
      </w:pPr>
      <w:r>
        <w:rPr>
          <w:rFonts w:hint="default" w:ascii="Times New Roman" w:hAnsi="Times New Roman" w:eastAsia="宋体" w:cs="Times New Roman"/>
          <w:color w:val="auto"/>
          <w:sz w:val="24"/>
          <w:szCs w:val="24"/>
          <w:highlight w:val="none"/>
        </w:rPr>
        <w:t>Q降=P·α·F</w:t>
      </w:r>
    </w:p>
    <w:p w14:paraId="12728D0F">
      <w:pPr>
        <w:keepNext w:val="0"/>
        <w:keepLines w:val="0"/>
        <w:pageBreakBefore w:val="0"/>
        <w:kinsoku/>
        <w:wordWrap/>
        <w:overflowPunct/>
        <w:topLinePunct w:val="0"/>
        <w:autoSpaceDE/>
        <w:autoSpaceDN/>
        <w:bidi w:val="0"/>
        <w:snapToGrid w:val="0"/>
        <w:spacing w:line="360" w:lineRule="auto"/>
        <w:ind w:firstLine="482"/>
        <w:textAlignment w:val="auto"/>
        <w:rPr>
          <w:rFonts w:hint="default" w:ascii="Times New Roman" w:hAnsi="Times New Roman" w:eastAsia="宋体" w:cs="Times New Roman"/>
          <w:bCs/>
          <w:color w:val="auto"/>
          <w:sz w:val="24"/>
          <w:szCs w:val="24"/>
          <w:highlight w:val="none"/>
        </w:rPr>
      </w:pPr>
      <w:r>
        <w:rPr>
          <w:rFonts w:hint="default" w:ascii="Times New Roman" w:hAnsi="Times New Roman" w:eastAsia="宋体" w:cs="Times New Roman"/>
          <w:color w:val="auto"/>
          <w:sz w:val="24"/>
          <w:szCs w:val="24"/>
          <w:highlight w:val="none"/>
        </w:rPr>
        <w:t>式中：</w:t>
      </w:r>
    </w:p>
    <w:p w14:paraId="65A7B0E4">
      <w:pPr>
        <w:keepNext w:val="0"/>
        <w:keepLines w:val="0"/>
        <w:pageBreakBefore w:val="0"/>
        <w:kinsoku/>
        <w:wordWrap/>
        <w:overflowPunct/>
        <w:topLinePunct w:val="0"/>
        <w:autoSpaceDE/>
        <w:autoSpaceDN/>
        <w:bidi w:val="0"/>
        <w:snapToGrid w:val="0"/>
        <w:spacing w:line="360" w:lineRule="auto"/>
        <w:ind w:firstLine="482"/>
        <w:textAlignment w:val="auto"/>
        <w:rPr>
          <w:rFonts w:hint="default" w:ascii="Times New Roman" w:hAnsi="Times New Roman" w:eastAsia="宋体" w:cs="Times New Roman"/>
          <w:bCs/>
          <w:color w:val="auto"/>
          <w:sz w:val="24"/>
          <w:szCs w:val="24"/>
          <w:highlight w:val="none"/>
        </w:rPr>
      </w:pPr>
      <w:r>
        <w:rPr>
          <w:rFonts w:hint="default" w:ascii="Times New Roman" w:hAnsi="Times New Roman" w:eastAsia="宋体" w:cs="Times New Roman"/>
          <w:color w:val="auto"/>
          <w:sz w:val="24"/>
          <w:szCs w:val="24"/>
          <w:highlight w:val="none"/>
        </w:rPr>
        <w:t>Q降：大气降水入渗补给量(10</w:t>
      </w:r>
      <w:r>
        <w:rPr>
          <w:rFonts w:hint="default" w:ascii="Times New Roman" w:hAnsi="Times New Roman" w:eastAsia="宋体" w:cs="Times New Roman"/>
          <w:color w:val="auto"/>
          <w:sz w:val="24"/>
          <w:szCs w:val="24"/>
          <w:highlight w:val="none"/>
          <w:vertAlign w:val="superscript"/>
        </w:rPr>
        <w:t>4</w:t>
      </w:r>
      <w:r>
        <w:rPr>
          <w:rFonts w:hint="eastAsia" w:cs="Times New Roman"/>
          <w:color w:val="auto"/>
          <w:sz w:val="24"/>
          <w:szCs w:val="24"/>
          <w:highlight w:val="none"/>
          <w:lang w:eastAsia="zh-CN"/>
        </w:rPr>
        <w:t>m</w:t>
      </w:r>
      <w:r>
        <w:rPr>
          <w:rFonts w:hint="eastAsia" w:cs="Times New Roman"/>
          <w:color w:val="auto"/>
          <w:sz w:val="24"/>
          <w:szCs w:val="24"/>
          <w:highlight w:val="none"/>
          <w:vertAlign w:val="superscript"/>
          <w:lang w:eastAsia="zh-CN"/>
        </w:rPr>
        <w:t>3</w:t>
      </w:r>
      <w:r>
        <w:rPr>
          <w:rFonts w:hint="default" w:ascii="Times New Roman" w:hAnsi="Times New Roman" w:eastAsia="宋体" w:cs="Times New Roman"/>
          <w:color w:val="auto"/>
          <w:sz w:val="24"/>
          <w:szCs w:val="24"/>
          <w:highlight w:val="none"/>
        </w:rPr>
        <w:t>/a)；</w:t>
      </w:r>
    </w:p>
    <w:p w14:paraId="4BBA6410">
      <w:pPr>
        <w:keepNext w:val="0"/>
        <w:keepLines w:val="0"/>
        <w:pageBreakBefore w:val="0"/>
        <w:kinsoku/>
        <w:wordWrap/>
        <w:overflowPunct/>
        <w:topLinePunct w:val="0"/>
        <w:autoSpaceDE/>
        <w:autoSpaceDN/>
        <w:bidi w:val="0"/>
        <w:snapToGrid w:val="0"/>
        <w:spacing w:line="360" w:lineRule="auto"/>
        <w:ind w:firstLine="482"/>
        <w:textAlignment w:val="auto"/>
        <w:rPr>
          <w:rFonts w:hint="default" w:ascii="Times New Roman" w:hAnsi="Times New Roman" w:eastAsia="宋体" w:cs="Times New Roman"/>
          <w:bCs/>
          <w:color w:val="auto"/>
          <w:sz w:val="24"/>
          <w:szCs w:val="24"/>
          <w:highlight w:val="none"/>
        </w:rPr>
      </w:pPr>
      <w:r>
        <w:rPr>
          <w:rFonts w:hint="default" w:ascii="Times New Roman" w:hAnsi="Times New Roman" w:eastAsia="宋体" w:cs="Times New Roman"/>
          <w:color w:val="auto"/>
          <w:sz w:val="24"/>
          <w:szCs w:val="24"/>
          <w:highlight w:val="none"/>
        </w:rPr>
        <w:t>P：年降水量(mm)；</w:t>
      </w:r>
    </w:p>
    <w:p w14:paraId="50D0EA34">
      <w:pPr>
        <w:keepNext w:val="0"/>
        <w:keepLines w:val="0"/>
        <w:pageBreakBefore w:val="0"/>
        <w:kinsoku/>
        <w:wordWrap/>
        <w:overflowPunct/>
        <w:topLinePunct w:val="0"/>
        <w:autoSpaceDE/>
        <w:autoSpaceDN/>
        <w:bidi w:val="0"/>
        <w:snapToGrid w:val="0"/>
        <w:spacing w:line="360" w:lineRule="auto"/>
        <w:ind w:firstLine="482"/>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α：降水入渗系数；</w:t>
      </w:r>
    </w:p>
    <w:p w14:paraId="39854F82">
      <w:pPr>
        <w:keepNext w:val="0"/>
        <w:keepLines w:val="0"/>
        <w:pageBreakBefore w:val="0"/>
        <w:kinsoku/>
        <w:wordWrap/>
        <w:overflowPunct/>
        <w:topLinePunct w:val="0"/>
        <w:autoSpaceDE/>
        <w:autoSpaceDN/>
        <w:bidi w:val="0"/>
        <w:snapToGrid w:val="0"/>
        <w:spacing w:line="360" w:lineRule="auto"/>
        <w:ind w:firstLine="482"/>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F：计算面积(km</w:t>
      </w:r>
      <w:r>
        <w:rPr>
          <w:rFonts w:hint="default" w:ascii="Times New Roman" w:hAnsi="Times New Roman" w:eastAsia="宋体" w:cs="Times New Roman"/>
          <w:color w:val="auto"/>
          <w:sz w:val="24"/>
          <w:szCs w:val="24"/>
          <w:highlight w:val="none"/>
          <w:vertAlign w:val="superscript"/>
        </w:rPr>
        <w:t>2</w:t>
      </w:r>
      <w:r>
        <w:rPr>
          <w:rFonts w:hint="default" w:ascii="Times New Roman" w:hAnsi="Times New Roman" w:eastAsia="宋体" w:cs="Times New Roman"/>
          <w:color w:val="auto"/>
          <w:sz w:val="24"/>
          <w:szCs w:val="24"/>
          <w:highlight w:val="none"/>
        </w:rPr>
        <w:t>)。</w:t>
      </w:r>
    </w:p>
    <w:p w14:paraId="4DDA5D48">
      <w:pPr>
        <w:keepNext w:val="0"/>
        <w:keepLines w:val="0"/>
        <w:pageBreakBefore w:val="0"/>
        <w:widowControl/>
        <w:suppressLineNumbers w:val="0"/>
        <w:kinsoku/>
        <w:wordWrap/>
        <w:overflowPunct/>
        <w:topLinePunct w:val="0"/>
        <w:autoSpaceDE/>
        <w:autoSpaceDN/>
        <w:bidi w:val="0"/>
        <w:snapToGrid w:val="0"/>
        <w:spacing w:line="360" w:lineRule="auto"/>
        <w:ind w:firstLine="480" w:firstLineChars="200"/>
        <w:jc w:val="both"/>
        <w:textAlignment w:val="auto"/>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通过模拟区气象水文资料得知，本区年平均降水量约为</w:t>
      </w:r>
      <w:r>
        <w:rPr>
          <w:rFonts w:hint="default" w:ascii="Times New Roman" w:hAnsi="Times New Roman" w:eastAsia="宋体" w:cs="Times New Roman"/>
          <w:color w:val="000000" w:themeColor="text1"/>
          <w:sz w:val="24"/>
          <w:szCs w:val="28"/>
          <w:highlight w:val="none"/>
          <w:lang w:val="en-US" w:eastAsia="zh-CN"/>
          <w14:textFill>
            <w14:solidFill>
              <w14:schemeClr w14:val="tx1"/>
            </w14:solidFill>
          </w14:textFill>
        </w:rPr>
        <w:t>552.79</w:t>
      </w:r>
      <w:r>
        <w:rPr>
          <w:rFonts w:hint="default" w:ascii="Times New Roman" w:hAnsi="Times New Roman" w:eastAsia="宋体" w:cs="Times New Roman"/>
          <w:color w:val="auto"/>
          <w:kern w:val="0"/>
          <w:sz w:val="24"/>
          <w:szCs w:val="24"/>
          <w:highlight w:val="none"/>
          <w:lang w:val="en-US" w:eastAsia="zh-CN" w:bidi="ar"/>
        </w:rPr>
        <w:t>mm。根据水文地质调查资料，并结合经验数据资料综合确定评价区大气降水入渗系数为0.15，根据上式计算得评价区大气降水入渗补给总量为：</w:t>
      </w:r>
    </w:p>
    <w:p w14:paraId="2BC04A07">
      <w:pPr>
        <w:keepNext w:val="0"/>
        <w:keepLines w:val="0"/>
        <w:pageBreakBefore w:val="0"/>
        <w:widowControl/>
        <w:suppressLineNumbers w:val="0"/>
        <w:kinsoku/>
        <w:wordWrap/>
        <w:overflowPunct/>
        <w:topLinePunct w:val="0"/>
        <w:autoSpaceDE/>
        <w:autoSpaceDN/>
        <w:bidi w:val="0"/>
        <w:snapToGrid w:val="0"/>
        <w:spacing w:line="360" w:lineRule="auto"/>
        <w:ind w:firstLine="480" w:firstLineChars="200"/>
        <w:jc w:val="both"/>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kern w:val="0"/>
          <w:sz w:val="24"/>
          <w:szCs w:val="24"/>
          <w:highlight w:val="none"/>
          <w:lang w:val="en-US" w:eastAsia="zh-CN" w:bidi="ar"/>
        </w:rPr>
        <w:t>Q降=0.15×20.7×</w:t>
      </w:r>
      <w:r>
        <w:rPr>
          <w:rFonts w:hint="eastAsia" w:cs="Times New Roman"/>
          <w:color w:val="auto"/>
          <w:kern w:val="0"/>
          <w:sz w:val="24"/>
          <w:szCs w:val="24"/>
          <w:highlight w:val="none"/>
          <w:lang w:val="en-US" w:eastAsia="zh-CN" w:bidi="ar"/>
        </w:rPr>
        <w:t>552.79</w:t>
      </w:r>
      <w:r>
        <w:rPr>
          <w:rFonts w:hint="default" w:ascii="Times New Roman" w:hAnsi="Times New Roman" w:eastAsia="宋体" w:cs="Times New Roman"/>
          <w:color w:val="auto"/>
          <w:kern w:val="0"/>
          <w:sz w:val="24"/>
          <w:szCs w:val="24"/>
          <w:highlight w:val="none"/>
          <w:lang w:val="en-US" w:eastAsia="zh-CN" w:bidi="ar"/>
        </w:rPr>
        <w:t>×10</w:t>
      </w:r>
      <w:r>
        <w:rPr>
          <w:rFonts w:hint="default" w:ascii="Times New Roman" w:hAnsi="Times New Roman" w:eastAsia="宋体" w:cs="Times New Roman"/>
          <w:color w:val="auto"/>
          <w:kern w:val="0"/>
          <w:sz w:val="24"/>
          <w:szCs w:val="24"/>
          <w:highlight w:val="none"/>
          <w:vertAlign w:val="superscript"/>
          <w:lang w:val="en-US" w:eastAsia="zh-CN" w:bidi="ar"/>
        </w:rPr>
        <w:t>3</w:t>
      </w:r>
      <w:r>
        <w:rPr>
          <w:rFonts w:hint="eastAsia" w:cs="Times New Roman"/>
          <w:color w:val="auto"/>
          <w:kern w:val="0"/>
          <w:sz w:val="24"/>
          <w:szCs w:val="24"/>
          <w:highlight w:val="none"/>
          <w:lang w:val="en-US" w:eastAsia="zh-CN" w:bidi="ar"/>
        </w:rPr>
        <w:t>m</w:t>
      </w:r>
      <w:r>
        <w:rPr>
          <w:rFonts w:hint="eastAsia" w:cs="Times New Roman"/>
          <w:color w:val="auto"/>
          <w:kern w:val="0"/>
          <w:sz w:val="24"/>
          <w:szCs w:val="24"/>
          <w:highlight w:val="none"/>
          <w:vertAlign w:val="superscript"/>
          <w:lang w:val="en-US" w:eastAsia="zh-CN" w:bidi="ar"/>
        </w:rPr>
        <w:t>3</w:t>
      </w:r>
      <w:r>
        <w:rPr>
          <w:rFonts w:hint="default" w:ascii="Times New Roman" w:hAnsi="Times New Roman" w:eastAsia="宋体" w:cs="Times New Roman"/>
          <w:color w:val="auto"/>
          <w:kern w:val="0"/>
          <w:sz w:val="24"/>
          <w:szCs w:val="24"/>
          <w:highlight w:val="none"/>
          <w:lang w:val="en-US" w:eastAsia="zh-CN" w:bidi="ar"/>
        </w:rPr>
        <w:t>/a=</w:t>
      </w:r>
      <w:r>
        <w:rPr>
          <w:rFonts w:hint="eastAsia" w:cs="Times New Roman"/>
          <w:color w:val="auto"/>
          <w:kern w:val="0"/>
          <w:sz w:val="24"/>
          <w:szCs w:val="24"/>
          <w:highlight w:val="none"/>
          <w:lang w:val="en-US" w:eastAsia="zh-CN" w:bidi="ar"/>
        </w:rPr>
        <w:t>171.64</w:t>
      </w:r>
      <w:r>
        <w:rPr>
          <w:rFonts w:hint="default" w:ascii="Times New Roman" w:hAnsi="Times New Roman" w:eastAsia="宋体" w:cs="Times New Roman"/>
          <w:color w:val="auto"/>
          <w:kern w:val="0"/>
          <w:sz w:val="24"/>
          <w:szCs w:val="24"/>
          <w:highlight w:val="none"/>
          <w:lang w:val="en-US" w:eastAsia="zh-CN" w:bidi="ar"/>
        </w:rPr>
        <w:t>万</w:t>
      </w:r>
      <w:r>
        <w:rPr>
          <w:rFonts w:hint="eastAsia" w:cs="Times New Roman"/>
          <w:color w:val="auto"/>
          <w:kern w:val="0"/>
          <w:sz w:val="24"/>
          <w:szCs w:val="24"/>
          <w:highlight w:val="none"/>
          <w:lang w:val="en-US" w:eastAsia="zh-CN" w:bidi="ar"/>
        </w:rPr>
        <w:t>m</w:t>
      </w:r>
      <w:r>
        <w:rPr>
          <w:rFonts w:hint="eastAsia" w:cs="Times New Roman"/>
          <w:color w:val="auto"/>
          <w:kern w:val="0"/>
          <w:sz w:val="24"/>
          <w:szCs w:val="24"/>
          <w:highlight w:val="none"/>
          <w:vertAlign w:val="superscript"/>
          <w:lang w:val="en-US" w:eastAsia="zh-CN" w:bidi="ar"/>
        </w:rPr>
        <w:t>3</w:t>
      </w:r>
      <w:r>
        <w:rPr>
          <w:rFonts w:hint="default" w:ascii="Times New Roman" w:hAnsi="Times New Roman" w:eastAsia="宋体" w:cs="Times New Roman"/>
          <w:color w:val="auto"/>
          <w:kern w:val="0"/>
          <w:sz w:val="24"/>
          <w:szCs w:val="24"/>
          <w:highlight w:val="none"/>
          <w:lang w:val="en-US" w:eastAsia="zh-CN" w:bidi="ar"/>
        </w:rPr>
        <w:t>/a。</w:t>
      </w:r>
    </w:p>
    <w:p w14:paraId="0D551EBE">
      <w:pPr>
        <w:keepNext w:val="0"/>
        <w:keepLines w:val="0"/>
        <w:pageBreakBefore w:val="0"/>
        <w:widowControl/>
        <w:suppressLineNumbers w:val="0"/>
        <w:kinsoku/>
        <w:wordWrap/>
        <w:overflowPunct/>
        <w:topLinePunct w:val="0"/>
        <w:autoSpaceDE/>
        <w:autoSpaceDN/>
        <w:bidi w:val="0"/>
        <w:snapToGrid w:val="0"/>
        <w:spacing w:line="360" w:lineRule="auto"/>
        <w:ind w:firstLine="480" w:firstLineChars="200"/>
        <w:jc w:val="both"/>
        <w:textAlignment w:val="auto"/>
        <w:rPr>
          <w:rFonts w:hint="eastAsia"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②</w:t>
      </w:r>
      <w:r>
        <w:rPr>
          <w:rFonts w:hint="eastAsia" w:cs="Times New Roman"/>
          <w:color w:val="auto"/>
          <w:kern w:val="0"/>
          <w:sz w:val="24"/>
          <w:szCs w:val="24"/>
          <w:highlight w:val="none"/>
          <w:lang w:val="en-US" w:eastAsia="zh-CN" w:bidi="ar"/>
        </w:rPr>
        <w:t>河流侧向补给</w:t>
      </w:r>
    </w:p>
    <w:p w14:paraId="3C67EF49">
      <w:pPr>
        <w:keepNext w:val="0"/>
        <w:keepLines w:val="0"/>
        <w:pageBreakBefore w:val="0"/>
        <w:widowControl/>
        <w:suppressLineNumbers w:val="0"/>
        <w:kinsoku/>
        <w:wordWrap/>
        <w:overflowPunct/>
        <w:topLinePunct w:val="0"/>
        <w:autoSpaceDE/>
        <w:autoSpaceDN/>
        <w:bidi w:val="0"/>
        <w:snapToGrid w:val="0"/>
        <w:spacing w:line="360" w:lineRule="auto"/>
        <w:ind w:firstLine="480" w:firstLineChars="200"/>
        <w:jc w:val="both"/>
        <w:textAlignment w:val="auto"/>
        <w:rPr>
          <w:rFonts w:hint="default" w:cs="Times New Roman"/>
          <w:color w:val="auto"/>
          <w:kern w:val="0"/>
          <w:sz w:val="24"/>
          <w:szCs w:val="24"/>
          <w:highlight w:val="none"/>
          <w:lang w:val="en-US" w:eastAsia="zh-CN" w:bidi="ar"/>
        </w:rPr>
      </w:pPr>
      <w:r>
        <w:rPr>
          <w:rFonts w:hint="eastAsia" w:ascii="Times New Roman" w:hAnsi="Times New Roman" w:eastAsia="宋体" w:cs="Times New Roman"/>
          <w:color w:val="auto"/>
          <w:sz w:val="24"/>
          <w:highlight w:val="none"/>
          <w:lang w:val="en-US" w:eastAsia="zh-CN"/>
        </w:rPr>
        <w:t>模拟区西</w:t>
      </w:r>
      <w:r>
        <w:rPr>
          <w:rFonts w:hint="eastAsia" w:cs="Times New Roman"/>
          <w:color w:val="auto"/>
          <w:sz w:val="24"/>
          <w:highlight w:val="none"/>
          <w:lang w:val="en-US" w:eastAsia="zh-CN"/>
        </w:rPr>
        <w:t>北</w:t>
      </w:r>
      <w:r>
        <w:rPr>
          <w:rFonts w:hint="eastAsia" w:ascii="Times New Roman" w:hAnsi="Times New Roman" w:eastAsia="宋体" w:cs="Times New Roman"/>
          <w:color w:val="auto"/>
          <w:sz w:val="24"/>
          <w:highlight w:val="none"/>
          <w:lang w:val="en-US" w:eastAsia="zh-CN"/>
        </w:rPr>
        <w:t>侧为</w:t>
      </w:r>
      <w:r>
        <w:rPr>
          <w:rFonts w:hint="eastAsia" w:cs="Times New Roman"/>
          <w:color w:val="auto"/>
          <w:sz w:val="24"/>
          <w:highlight w:val="none"/>
          <w:lang w:val="en-US" w:eastAsia="zh-CN"/>
        </w:rPr>
        <w:t>三排干，河底淤泥较厚，与地下水无明显水力联系。</w:t>
      </w:r>
    </w:p>
    <w:p w14:paraId="7758DAD5">
      <w:pPr>
        <w:keepNext w:val="0"/>
        <w:keepLines w:val="0"/>
        <w:pageBreakBefore w:val="0"/>
        <w:widowControl/>
        <w:suppressLineNumbers w:val="0"/>
        <w:kinsoku/>
        <w:wordWrap/>
        <w:overflowPunct/>
        <w:topLinePunct w:val="0"/>
        <w:autoSpaceDE/>
        <w:autoSpaceDN/>
        <w:bidi w:val="0"/>
        <w:snapToGrid w:val="0"/>
        <w:spacing w:line="360" w:lineRule="auto"/>
        <w:ind w:firstLine="480" w:firstLineChars="200"/>
        <w:jc w:val="both"/>
        <w:textAlignment w:val="auto"/>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③侧向径流补给量</w:t>
      </w:r>
    </w:p>
    <w:p w14:paraId="49995B5B">
      <w:pPr>
        <w:keepNext w:val="0"/>
        <w:keepLines w:val="0"/>
        <w:pageBreakBefore w:val="0"/>
        <w:widowControl/>
        <w:suppressLineNumbers w:val="0"/>
        <w:kinsoku/>
        <w:wordWrap/>
        <w:overflowPunct/>
        <w:topLinePunct w:val="0"/>
        <w:autoSpaceDE/>
        <w:autoSpaceDN/>
        <w:bidi w:val="0"/>
        <w:snapToGrid w:val="0"/>
        <w:spacing w:line="360" w:lineRule="auto"/>
        <w:ind w:firstLine="480" w:firstLineChars="200"/>
        <w:jc w:val="both"/>
        <w:textAlignment w:val="auto"/>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模拟区北边界为补给边界，接受上游地下水的侧向径流补给，为流入边界，各断面参数以断面附近钻孔、水文地质剖面及抽水试验数据为准。北边界含水层厚度为50m，岩性主要为粉土，水力坡度2‰，断面长度3.75km。北边界补给量的计算，根据断面含水层厚度、渗透系数、地下水水力坡度，依据达西定律，采用断面法进行计算，计算公式为：</w:t>
      </w:r>
    </w:p>
    <w:p w14:paraId="33812EBE">
      <w:pPr>
        <w:keepNext w:val="0"/>
        <w:keepLines w:val="0"/>
        <w:pageBreakBefore w:val="0"/>
        <w:kinsoku/>
        <w:wordWrap/>
        <w:overflowPunct/>
        <w:topLinePunct w:val="0"/>
        <w:autoSpaceDE/>
        <w:autoSpaceDN/>
        <w:bidi w:val="0"/>
        <w:snapToGrid w:val="0"/>
        <w:spacing w:line="360" w:lineRule="auto"/>
        <w:jc w:val="center"/>
        <w:textAlignment w:val="auto"/>
        <w:rPr>
          <w:rFonts w:hint="default" w:ascii="Times New Roman" w:hAnsi="Times New Roman" w:eastAsia="宋体" w:cs="Times New Roman"/>
          <w:bCs/>
          <w:color w:val="auto"/>
          <w:sz w:val="24"/>
          <w:szCs w:val="24"/>
          <w:highlight w:val="none"/>
        </w:rPr>
      </w:pPr>
      <w:r>
        <w:rPr>
          <w:rFonts w:hint="default" w:ascii="Times New Roman" w:hAnsi="Times New Roman" w:eastAsia="宋体" w:cs="Times New Roman"/>
          <w:color w:val="auto"/>
          <w:sz w:val="24"/>
          <w:szCs w:val="24"/>
          <w:highlight w:val="none"/>
        </w:rPr>
        <w:t>Q</w:t>
      </w:r>
      <w:r>
        <w:rPr>
          <w:rFonts w:hint="default" w:ascii="Times New Roman" w:hAnsi="Times New Roman" w:eastAsia="宋体" w:cs="Times New Roman"/>
          <w:color w:val="auto"/>
          <w:sz w:val="24"/>
          <w:szCs w:val="24"/>
          <w:highlight w:val="none"/>
          <w:vertAlign w:val="subscript"/>
        </w:rPr>
        <w:t>侧入</w:t>
      </w:r>
      <w:r>
        <w:rPr>
          <w:rFonts w:hint="default" w:ascii="Times New Roman" w:hAnsi="Times New Roman" w:eastAsia="宋体" w:cs="Times New Roman"/>
          <w:color w:val="auto"/>
          <w:sz w:val="24"/>
          <w:szCs w:val="24"/>
          <w:highlight w:val="none"/>
        </w:rPr>
        <w:t>=10</w:t>
      </w:r>
      <w:r>
        <w:rPr>
          <w:rFonts w:hint="default" w:ascii="Times New Roman" w:hAnsi="Times New Roman" w:eastAsia="宋体" w:cs="Times New Roman"/>
          <w:color w:val="auto"/>
          <w:sz w:val="24"/>
          <w:szCs w:val="24"/>
          <w:highlight w:val="none"/>
          <w:vertAlign w:val="superscript"/>
        </w:rPr>
        <w:t>-4</w:t>
      </w:r>
      <w:r>
        <w:rPr>
          <w:rFonts w:hint="default" w:ascii="Times New Roman" w:hAnsi="Times New Roman" w:eastAsia="宋体" w:cs="Times New Roman"/>
          <w:color w:val="auto"/>
          <w:sz w:val="24"/>
          <w:szCs w:val="24"/>
          <w:highlight w:val="none"/>
        </w:rPr>
        <w:t>365K·H·B·I</w:t>
      </w:r>
    </w:p>
    <w:p w14:paraId="2715F8FA">
      <w:pPr>
        <w:keepNext w:val="0"/>
        <w:keepLines w:val="0"/>
        <w:pageBreakBefore w:val="0"/>
        <w:kinsoku/>
        <w:wordWrap/>
        <w:overflowPunct/>
        <w:topLinePunct w:val="0"/>
        <w:autoSpaceDE/>
        <w:autoSpaceDN/>
        <w:bidi w:val="0"/>
        <w:snapToGrid w:val="0"/>
        <w:spacing w:line="360" w:lineRule="auto"/>
        <w:ind w:firstLine="482"/>
        <w:textAlignment w:val="auto"/>
        <w:rPr>
          <w:rFonts w:hint="default" w:ascii="Times New Roman" w:hAnsi="Times New Roman" w:eastAsia="宋体" w:cs="Times New Roman"/>
          <w:bCs/>
          <w:color w:val="auto"/>
          <w:sz w:val="24"/>
          <w:szCs w:val="24"/>
          <w:highlight w:val="none"/>
        </w:rPr>
      </w:pPr>
      <w:r>
        <w:rPr>
          <w:rFonts w:hint="default" w:ascii="Times New Roman" w:hAnsi="Times New Roman" w:eastAsia="宋体" w:cs="Times New Roman"/>
          <w:color w:val="auto"/>
          <w:sz w:val="24"/>
          <w:szCs w:val="24"/>
          <w:highlight w:val="none"/>
        </w:rPr>
        <w:t>式中：</w:t>
      </w:r>
    </w:p>
    <w:p w14:paraId="1472F0FD">
      <w:pPr>
        <w:keepNext w:val="0"/>
        <w:keepLines w:val="0"/>
        <w:pageBreakBefore w:val="0"/>
        <w:kinsoku/>
        <w:wordWrap/>
        <w:overflowPunct/>
        <w:topLinePunct w:val="0"/>
        <w:autoSpaceDE/>
        <w:autoSpaceDN/>
        <w:bidi w:val="0"/>
        <w:adjustRightInd/>
        <w:snapToGrid w:val="0"/>
        <w:spacing w:line="360" w:lineRule="auto"/>
        <w:ind w:firstLine="482"/>
        <w:textAlignment w:val="auto"/>
        <w:rPr>
          <w:rFonts w:hint="default" w:ascii="Times New Roman" w:hAnsi="Times New Roman" w:eastAsia="宋体" w:cs="Times New Roman"/>
          <w:bCs/>
          <w:color w:val="auto"/>
          <w:sz w:val="24"/>
          <w:szCs w:val="24"/>
          <w:highlight w:val="none"/>
        </w:rPr>
      </w:pPr>
      <w:r>
        <w:rPr>
          <w:rFonts w:hint="default" w:ascii="Times New Roman" w:hAnsi="Times New Roman" w:eastAsia="宋体" w:cs="Times New Roman"/>
          <w:color w:val="auto"/>
          <w:sz w:val="24"/>
          <w:szCs w:val="24"/>
          <w:highlight w:val="none"/>
        </w:rPr>
        <w:t>Q</w:t>
      </w:r>
      <w:r>
        <w:rPr>
          <w:rFonts w:hint="default" w:ascii="Times New Roman" w:hAnsi="Times New Roman" w:eastAsia="宋体" w:cs="Times New Roman"/>
          <w:color w:val="auto"/>
          <w:sz w:val="24"/>
          <w:szCs w:val="24"/>
          <w:highlight w:val="none"/>
          <w:vertAlign w:val="subscript"/>
        </w:rPr>
        <w:t>侧入</w:t>
      </w:r>
      <w:r>
        <w:rPr>
          <w:rFonts w:hint="default" w:ascii="Times New Roman" w:hAnsi="Times New Roman" w:eastAsia="宋体" w:cs="Times New Roman"/>
          <w:color w:val="auto"/>
          <w:sz w:val="24"/>
          <w:szCs w:val="24"/>
          <w:highlight w:val="none"/>
        </w:rPr>
        <w:t>：侧向径流流入量(</w:t>
      </w:r>
      <w:r>
        <w:rPr>
          <w:rFonts w:hint="eastAsia" w:cs="Times New Roman"/>
          <w:color w:val="auto"/>
          <w:sz w:val="24"/>
          <w:szCs w:val="24"/>
          <w:highlight w:val="none"/>
          <w:lang w:eastAsia="zh-CN"/>
        </w:rPr>
        <w:t>m</w:t>
      </w:r>
      <w:r>
        <w:rPr>
          <w:rFonts w:hint="eastAsia" w:cs="Times New Roman"/>
          <w:color w:val="auto"/>
          <w:sz w:val="24"/>
          <w:szCs w:val="24"/>
          <w:highlight w:val="none"/>
          <w:vertAlign w:val="superscript"/>
          <w:lang w:eastAsia="zh-CN"/>
        </w:rPr>
        <w:t>3</w:t>
      </w:r>
      <w:r>
        <w:rPr>
          <w:rFonts w:hint="default" w:ascii="Times New Roman" w:hAnsi="Times New Roman" w:eastAsia="宋体" w:cs="Times New Roman"/>
          <w:color w:val="auto"/>
          <w:sz w:val="24"/>
          <w:szCs w:val="24"/>
          <w:highlight w:val="none"/>
        </w:rPr>
        <w:t>/a)；</w:t>
      </w:r>
    </w:p>
    <w:p w14:paraId="6914E889">
      <w:pPr>
        <w:keepNext w:val="0"/>
        <w:keepLines w:val="0"/>
        <w:pageBreakBefore w:val="0"/>
        <w:kinsoku/>
        <w:wordWrap/>
        <w:overflowPunct/>
        <w:topLinePunct w:val="0"/>
        <w:autoSpaceDE/>
        <w:autoSpaceDN/>
        <w:bidi w:val="0"/>
        <w:adjustRightInd/>
        <w:snapToGrid w:val="0"/>
        <w:spacing w:line="360" w:lineRule="auto"/>
        <w:ind w:firstLine="482"/>
        <w:textAlignment w:val="auto"/>
        <w:rPr>
          <w:rFonts w:hint="default" w:ascii="Times New Roman" w:hAnsi="Times New Roman" w:eastAsia="宋体" w:cs="Times New Roman"/>
          <w:bCs/>
          <w:color w:val="auto"/>
          <w:sz w:val="24"/>
          <w:szCs w:val="24"/>
          <w:highlight w:val="none"/>
        </w:rPr>
      </w:pPr>
      <w:r>
        <w:rPr>
          <w:rFonts w:hint="default" w:ascii="Times New Roman" w:hAnsi="Times New Roman" w:eastAsia="宋体" w:cs="Times New Roman"/>
          <w:color w:val="auto"/>
          <w:sz w:val="24"/>
          <w:szCs w:val="24"/>
          <w:highlight w:val="none"/>
        </w:rPr>
        <w:t>K：含水层平均渗透系数(m/d)；</w:t>
      </w:r>
    </w:p>
    <w:p w14:paraId="04569476">
      <w:pPr>
        <w:keepNext w:val="0"/>
        <w:keepLines w:val="0"/>
        <w:pageBreakBefore w:val="0"/>
        <w:kinsoku/>
        <w:wordWrap/>
        <w:overflowPunct/>
        <w:topLinePunct w:val="0"/>
        <w:autoSpaceDE/>
        <w:autoSpaceDN/>
        <w:bidi w:val="0"/>
        <w:adjustRightInd/>
        <w:snapToGrid w:val="0"/>
        <w:spacing w:line="360" w:lineRule="auto"/>
        <w:ind w:firstLine="482"/>
        <w:textAlignment w:val="auto"/>
        <w:rPr>
          <w:rFonts w:hint="default" w:ascii="Times New Roman" w:hAnsi="Times New Roman" w:eastAsia="宋体" w:cs="Times New Roman"/>
          <w:bCs/>
          <w:color w:val="auto"/>
          <w:sz w:val="24"/>
          <w:szCs w:val="24"/>
          <w:highlight w:val="none"/>
        </w:rPr>
      </w:pPr>
      <w:r>
        <w:rPr>
          <w:rFonts w:hint="default" w:ascii="Times New Roman" w:hAnsi="Times New Roman" w:eastAsia="宋体" w:cs="Times New Roman"/>
          <w:color w:val="auto"/>
          <w:sz w:val="24"/>
          <w:szCs w:val="24"/>
          <w:highlight w:val="none"/>
        </w:rPr>
        <w:t>H：含水层平均厚度(m)；</w:t>
      </w:r>
    </w:p>
    <w:p w14:paraId="1B4FEC8B">
      <w:pPr>
        <w:keepNext w:val="0"/>
        <w:keepLines w:val="0"/>
        <w:pageBreakBefore w:val="0"/>
        <w:kinsoku/>
        <w:wordWrap/>
        <w:overflowPunct/>
        <w:topLinePunct w:val="0"/>
        <w:autoSpaceDE/>
        <w:autoSpaceDN/>
        <w:bidi w:val="0"/>
        <w:adjustRightInd/>
        <w:snapToGrid w:val="0"/>
        <w:spacing w:line="360" w:lineRule="auto"/>
        <w:ind w:firstLine="482"/>
        <w:textAlignment w:val="auto"/>
        <w:rPr>
          <w:rFonts w:hint="default" w:ascii="Times New Roman" w:hAnsi="Times New Roman" w:eastAsia="宋体" w:cs="Times New Roman"/>
          <w:bCs/>
          <w:color w:val="auto"/>
          <w:sz w:val="24"/>
          <w:szCs w:val="24"/>
          <w:highlight w:val="none"/>
        </w:rPr>
      </w:pPr>
      <w:r>
        <w:rPr>
          <w:rFonts w:hint="default" w:ascii="Times New Roman" w:hAnsi="Times New Roman" w:eastAsia="宋体" w:cs="Times New Roman"/>
          <w:color w:val="auto"/>
          <w:sz w:val="24"/>
          <w:szCs w:val="24"/>
          <w:highlight w:val="none"/>
        </w:rPr>
        <w:t>B：计算断面宽度(m)；</w:t>
      </w:r>
    </w:p>
    <w:p w14:paraId="045AC7A7">
      <w:pPr>
        <w:keepNext w:val="0"/>
        <w:keepLines w:val="0"/>
        <w:pageBreakBefore w:val="0"/>
        <w:kinsoku/>
        <w:wordWrap/>
        <w:overflowPunct/>
        <w:topLinePunct w:val="0"/>
        <w:autoSpaceDE/>
        <w:autoSpaceDN/>
        <w:bidi w:val="0"/>
        <w:adjustRightInd/>
        <w:snapToGrid w:val="0"/>
        <w:spacing w:line="360" w:lineRule="auto"/>
        <w:ind w:firstLine="482"/>
        <w:textAlignment w:val="auto"/>
        <w:rPr>
          <w:rFonts w:hint="default" w:ascii="Times New Roman" w:hAnsi="Times New Roman" w:eastAsia="宋体" w:cs="Times New Roman"/>
          <w:bCs/>
          <w:color w:val="auto"/>
          <w:sz w:val="24"/>
          <w:szCs w:val="24"/>
          <w:highlight w:val="none"/>
        </w:rPr>
      </w:pPr>
      <w:r>
        <w:rPr>
          <w:rFonts w:hint="default" w:ascii="Times New Roman" w:hAnsi="Times New Roman" w:eastAsia="宋体" w:cs="Times New Roman"/>
          <w:color w:val="auto"/>
          <w:sz w:val="24"/>
          <w:szCs w:val="24"/>
          <w:highlight w:val="none"/>
        </w:rPr>
        <w:t>I：垂直于断面的水力坡度。</w:t>
      </w:r>
    </w:p>
    <w:p w14:paraId="0F5E0D2A">
      <w:pPr>
        <w:keepNext w:val="0"/>
        <w:keepLines w:val="0"/>
        <w:pageBreakBefore w:val="0"/>
        <w:widowControl/>
        <w:suppressLineNumbers w:val="0"/>
        <w:kinsoku/>
        <w:wordWrap/>
        <w:overflowPunct/>
        <w:topLinePunct w:val="0"/>
        <w:autoSpaceDE/>
        <w:autoSpaceDN/>
        <w:bidi w:val="0"/>
        <w:snapToGrid w:val="0"/>
        <w:spacing w:line="360" w:lineRule="auto"/>
        <w:ind w:firstLine="480" w:firstLineChars="200"/>
        <w:jc w:val="left"/>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kern w:val="0"/>
          <w:sz w:val="24"/>
          <w:szCs w:val="24"/>
          <w:highlight w:val="none"/>
          <w:lang w:val="en-US" w:eastAsia="zh-CN" w:bidi="ar"/>
        </w:rPr>
        <w:t>由上表可知，模拟区地下水侧向径流补给量为6.84万</w:t>
      </w:r>
      <w:r>
        <w:rPr>
          <w:rFonts w:hint="eastAsia" w:cs="Times New Roman"/>
          <w:color w:val="auto"/>
          <w:kern w:val="0"/>
          <w:sz w:val="24"/>
          <w:szCs w:val="24"/>
          <w:highlight w:val="none"/>
          <w:lang w:val="en-US" w:eastAsia="zh-CN" w:bidi="ar"/>
        </w:rPr>
        <w:t>m</w:t>
      </w:r>
      <w:r>
        <w:rPr>
          <w:rFonts w:hint="eastAsia" w:cs="Times New Roman"/>
          <w:color w:val="auto"/>
          <w:kern w:val="0"/>
          <w:sz w:val="24"/>
          <w:szCs w:val="24"/>
          <w:highlight w:val="none"/>
          <w:vertAlign w:val="superscript"/>
          <w:lang w:val="en-US" w:eastAsia="zh-CN" w:bidi="ar"/>
        </w:rPr>
        <w:t>3</w:t>
      </w:r>
      <w:r>
        <w:rPr>
          <w:rFonts w:hint="default" w:ascii="Times New Roman" w:hAnsi="Times New Roman" w:eastAsia="宋体" w:cs="Times New Roman"/>
          <w:color w:val="auto"/>
          <w:kern w:val="0"/>
          <w:sz w:val="24"/>
          <w:szCs w:val="24"/>
          <w:highlight w:val="none"/>
          <w:lang w:val="en-US" w:eastAsia="zh-CN" w:bidi="ar"/>
        </w:rPr>
        <w:t>/a。</w:t>
      </w:r>
    </w:p>
    <w:p w14:paraId="1B58B692">
      <w:pPr>
        <w:keepNext w:val="0"/>
        <w:keepLines w:val="0"/>
        <w:pageBreakBefore w:val="0"/>
        <w:widowControl/>
        <w:suppressLineNumbers w:val="0"/>
        <w:kinsoku/>
        <w:wordWrap/>
        <w:overflowPunct/>
        <w:topLinePunct w:val="0"/>
        <w:autoSpaceDE/>
        <w:autoSpaceDN/>
        <w:bidi w:val="0"/>
        <w:adjustRightInd/>
        <w:snapToGrid w:val="0"/>
        <w:spacing w:line="360" w:lineRule="auto"/>
        <w:ind w:firstLine="480" w:firstLineChars="200"/>
        <w:jc w:val="both"/>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kern w:val="0"/>
          <w:sz w:val="24"/>
          <w:szCs w:val="24"/>
          <w:highlight w:val="none"/>
          <w:lang w:val="en-US" w:eastAsia="zh-CN" w:bidi="ar"/>
        </w:rPr>
        <w:t>③侧向径流排泄量</w:t>
      </w:r>
    </w:p>
    <w:p w14:paraId="0356E5DC">
      <w:pPr>
        <w:keepNext w:val="0"/>
        <w:keepLines w:val="0"/>
        <w:pageBreakBefore w:val="0"/>
        <w:widowControl/>
        <w:suppressLineNumbers w:val="0"/>
        <w:kinsoku/>
        <w:wordWrap/>
        <w:overflowPunct/>
        <w:topLinePunct w:val="0"/>
        <w:autoSpaceDE/>
        <w:autoSpaceDN/>
        <w:bidi w:val="0"/>
        <w:adjustRightInd/>
        <w:snapToGrid w:val="0"/>
        <w:spacing w:line="360" w:lineRule="auto"/>
        <w:ind w:firstLine="480" w:firstLineChars="200"/>
        <w:jc w:val="both"/>
        <w:textAlignment w:val="auto"/>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模拟区南边界为排泄边界，各断面参数以断面附近钻孔、水文地质剖面及抽水试验数据为准。南边界含水层厚度为55m，岩性主要为粉土，水力坡度0.2%，断面长度3.75km。南边界排泄量的计算，根据断面含水层厚度、渗透系数、地下水水力坡度，依据达西定律，采用断面法进行计算，计算公式为：</w:t>
      </w:r>
    </w:p>
    <w:p w14:paraId="13624FD8">
      <w:pPr>
        <w:keepNext w:val="0"/>
        <w:keepLines w:val="0"/>
        <w:pageBreakBefore w:val="0"/>
        <w:kinsoku/>
        <w:wordWrap/>
        <w:overflowPunct/>
        <w:topLinePunct w:val="0"/>
        <w:autoSpaceDE/>
        <w:autoSpaceDN/>
        <w:bidi w:val="0"/>
        <w:adjustRightInd/>
        <w:snapToGrid w:val="0"/>
        <w:spacing w:line="360" w:lineRule="auto"/>
        <w:jc w:val="center"/>
        <w:textAlignment w:val="auto"/>
        <w:rPr>
          <w:rFonts w:hint="default" w:ascii="Times New Roman" w:hAnsi="Times New Roman" w:eastAsia="宋体" w:cs="Times New Roman"/>
          <w:bCs/>
          <w:color w:val="auto"/>
          <w:sz w:val="24"/>
          <w:szCs w:val="24"/>
          <w:highlight w:val="none"/>
        </w:rPr>
      </w:pPr>
      <w:r>
        <w:rPr>
          <w:rFonts w:hint="default" w:ascii="Times New Roman" w:hAnsi="Times New Roman" w:eastAsia="宋体" w:cs="Times New Roman"/>
          <w:color w:val="auto"/>
          <w:sz w:val="24"/>
          <w:szCs w:val="24"/>
          <w:highlight w:val="none"/>
        </w:rPr>
        <w:t>Q</w:t>
      </w:r>
      <w:r>
        <w:rPr>
          <w:rFonts w:hint="default" w:ascii="Times New Roman" w:hAnsi="Times New Roman" w:eastAsia="宋体" w:cs="Times New Roman"/>
          <w:color w:val="auto"/>
          <w:sz w:val="24"/>
          <w:szCs w:val="24"/>
          <w:highlight w:val="none"/>
          <w:vertAlign w:val="subscript"/>
        </w:rPr>
        <w:t>侧入</w:t>
      </w:r>
      <w:r>
        <w:rPr>
          <w:rFonts w:hint="default" w:ascii="Times New Roman" w:hAnsi="Times New Roman" w:eastAsia="宋体" w:cs="Times New Roman"/>
          <w:color w:val="auto"/>
          <w:sz w:val="24"/>
          <w:szCs w:val="24"/>
          <w:highlight w:val="none"/>
        </w:rPr>
        <w:t>=10</w:t>
      </w:r>
      <w:r>
        <w:rPr>
          <w:rFonts w:hint="default" w:ascii="Times New Roman" w:hAnsi="Times New Roman" w:eastAsia="宋体" w:cs="Times New Roman"/>
          <w:color w:val="auto"/>
          <w:sz w:val="24"/>
          <w:szCs w:val="24"/>
          <w:highlight w:val="none"/>
          <w:vertAlign w:val="superscript"/>
        </w:rPr>
        <w:t>-4</w:t>
      </w:r>
      <w:r>
        <w:rPr>
          <w:rFonts w:hint="default" w:ascii="Times New Roman" w:hAnsi="Times New Roman" w:eastAsia="宋体" w:cs="Times New Roman"/>
          <w:color w:val="auto"/>
          <w:sz w:val="24"/>
          <w:szCs w:val="24"/>
          <w:highlight w:val="none"/>
        </w:rPr>
        <w:t>×365K·H·B·I</w:t>
      </w:r>
    </w:p>
    <w:p w14:paraId="4FDA5685">
      <w:pPr>
        <w:keepNext w:val="0"/>
        <w:keepLines w:val="0"/>
        <w:pageBreakBefore w:val="0"/>
        <w:kinsoku/>
        <w:wordWrap/>
        <w:overflowPunct/>
        <w:topLinePunct w:val="0"/>
        <w:autoSpaceDE/>
        <w:autoSpaceDN/>
        <w:bidi w:val="0"/>
        <w:adjustRightInd/>
        <w:snapToGrid w:val="0"/>
        <w:spacing w:line="360" w:lineRule="auto"/>
        <w:ind w:firstLine="482"/>
        <w:textAlignment w:val="auto"/>
        <w:rPr>
          <w:rFonts w:hint="default" w:ascii="Times New Roman" w:hAnsi="Times New Roman" w:eastAsia="宋体" w:cs="Times New Roman"/>
          <w:bCs/>
          <w:color w:val="auto"/>
          <w:sz w:val="24"/>
          <w:szCs w:val="24"/>
          <w:highlight w:val="none"/>
        </w:rPr>
      </w:pPr>
      <w:r>
        <w:rPr>
          <w:rFonts w:hint="default" w:ascii="Times New Roman" w:hAnsi="Times New Roman" w:eastAsia="宋体" w:cs="Times New Roman"/>
          <w:color w:val="auto"/>
          <w:sz w:val="24"/>
          <w:szCs w:val="24"/>
          <w:highlight w:val="none"/>
        </w:rPr>
        <w:t>式中：</w:t>
      </w:r>
    </w:p>
    <w:p w14:paraId="67B12B4C">
      <w:pPr>
        <w:keepNext w:val="0"/>
        <w:keepLines w:val="0"/>
        <w:pageBreakBefore w:val="0"/>
        <w:kinsoku/>
        <w:wordWrap/>
        <w:overflowPunct/>
        <w:topLinePunct w:val="0"/>
        <w:autoSpaceDE/>
        <w:autoSpaceDN/>
        <w:bidi w:val="0"/>
        <w:adjustRightInd/>
        <w:snapToGrid w:val="0"/>
        <w:spacing w:line="360" w:lineRule="auto"/>
        <w:ind w:firstLine="482"/>
        <w:textAlignment w:val="auto"/>
        <w:rPr>
          <w:rFonts w:hint="default" w:ascii="Times New Roman" w:hAnsi="Times New Roman" w:eastAsia="宋体" w:cs="Times New Roman"/>
          <w:bCs/>
          <w:color w:val="auto"/>
          <w:sz w:val="24"/>
          <w:szCs w:val="24"/>
          <w:highlight w:val="none"/>
        </w:rPr>
      </w:pPr>
      <w:r>
        <w:rPr>
          <w:rFonts w:hint="default" w:ascii="Times New Roman" w:hAnsi="Times New Roman" w:eastAsia="宋体" w:cs="Times New Roman"/>
          <w:color w:val="auto"/>
          <w:sz w:val="24"/>
          <w:szCs w:val="24"/>
          <w:highlight w:val="none"/>
        </w:rPr>
        <w:t>Q</w:t>
      </w:r>
      <w:r>
        <w:rPr>
          <w:rFonts w:hint="default" w:ascii="Times New Roman" w:hAnsi="Times New Roman" w:eastAsia="宋体" w:cs="Times New Roman"/>
          <w:color w:val="auto"/>
          <w:sz w:val="24"/>
          <w:szCs w:val="24"/>
          <w:highlight w:val="none"/>
          <w:vertAlign w:val="subscript"/>
        </w:rPr>
        <w:t>侧入</w:t>
      </w:r>
      <w:r>
        <w:rPr>
          <w:rFonts w:hint="default" w:ascii="Times New Roman" w:hAnsi="Times New Roman" w:eastAsia="宋体" w:cs="Times New Roman"/>
          <w:color w:val="auto"/>
          <w:sz w:val="24"/>
          <w:szCs w:val="24"/>
          <w:highlight w:val="none"/>
        </w:rPr>
        <w:t>：侧向径流流入量(10</w:t>
      </w:r>
      <w:r>
        <w:rPr>
          <w:rFonts w:hint="default" w:ascii="Times New Roman" w:hAnsi="Times New Roman" w:eastAsia="宋体" w:cs="Times New Roman"/>
          <w:color w:val="auto"/>
          <w:sz w:val="24"/>
          <w:szCs w:val="24"/>
          <w:highlight w:val="none"/>
          <w:vertAlign w:val="superscript"/>
        </w:rPr>
        <w:t>4</w:t>
      </w:r>
      <w:r>
        <w:rPr>
          <w:rFonts w:hint="eastAsia" w:cs="Times New Roman"/>
          <w:color w:val="auto"/>
          <w:sz w:val="24"/>
          <w:szCs w:val="24"/>
          <w:highlight w:val="none"/>
          <w:lang w:eastAsia="zh-CN"/>
        </w:rPr>
        <w:t>m</w:t>
      </w:r>
      <w:r>
        <w:rPr>
          <w:rFonts w:hint="eastAsia" w:cs="Times New Roman"/>
          <w:color w:val="auto"/>
          <w:sz w:val="24"/>
          <w:szCs w:val="24"/>
          <w:highlight w:val="none"/>
          <w:vertAlign w:val="superscript"/>
          <w:lang w:eastAsia="zh-CN"/>
        </w:rPr>
        <w:t>3</w:t>
      </w:r>
      <w:r>
        <w:rPr>
          <w:rFonts w:hint="default" w:ascii="Times New Roman" w:hAnsi="Times New Roman" w:eastAsia="宋体" w:cs="Times New Roman"/>
          <w:color w:val="auto"/>
          <w:sz w:val="24"/>
          <w:szCs w:val="24"/>
          <w:highlight w:val="none"/>
        </w:rPr>
        <w:t>/a)；</w:t>
      </w:r>
    </w:p>
    <w:p w14:paraId="4F878871">
      <w:pPr>
        <w:keepNext w:val="0"/>
        <w:keepLines w:val="0"/>
        <w:pageBreakBefore w:val="0"/>
        <w:kinsoku/>
        <w:wordWrap/>
        <w:overflowPunct/>
        <w:topLinePunct w:val="0"/>
        <w:autoSpaceDE/>
        <w:autoSpaceDN/>
        <w:bidi w:val="0"/>
        <w:adjustRightInd/>
        <w:snapToGrid w:val="0"/>
        <w:spacing w:line="360" w:lineRule="auto"/>
        <w:ind w:firstLine="482"/>
        <w:textAlignment w:val="auto"/>
        <w:rPr>
          <w:rFonts w:hint="default" w:ascii="Times New Roman" w:hAnsi="Times New Roman" w:eastAsia="宋体" w:cs="Times New Roman"/>
          <w:bCs/>
          <w:color w:val="auto"/>
          <w:sz w:val="24"/>
          <w:szCs w:val="24"/>
          <w:highlight w:val="none"/>
        </w:rPr>
      </w:pPr>
      <w:r>
        <w:rPr>
          <w:rFonts w:hint="default" w:ascii="Times New Roman" w:hAnsi="Times New Roman" w:eastAsia="宋体" w:cs="Times New Roman"/>
          <w:color w:val="auto"/>
          <w:sz w:val="24"/>
          <w:szCs w:val="24"/>
          <w:highlight w:val="none"/>
        </w:rPr>
        <w:t>K：含水层平均渗透系数(m/d)；</w:t>
      </w:r>
    </w:p>
    <w:p w14:paraId="4097AAEE">
      <w:pPr>
        <w:keepNext w:val="0"/>
        <w:keepLines w:val="0"/>
        <w:pageBreakBefore w:val="0"/>
        <w:kinsoku/>
        <w:wordWrap/>
        <w:overflowPunct/>
        <w:topLinePunct w:val="0"/>
        <w:autoSpaceDE/>
        <w:autoSpaceDN/>
        <w:bidi w:val="0"/>
        <w:adjustRightInd/>
        <w:snapToGrid w:val="0"/>
        <w:spacing w:line="360" w:lineRule="auto"/>
        <w:ind w:firstLine="482"/>
        <w:textAlignment w:val="auto"/>
        <w:rPr>
          <w:rFonts w:hint="default" w:ascii="Times New Roman" w:hAnsi="Times New Roman" w:eastAsia="宋体" w:cs="Times New Roman"/>
          <w:bCs/>
          <w:color w:val="auto"/>
          <w:sz w:val="24"/>
          <w:szCs w:val="24"/>
          <w:highlight w:val="none"/>
        </w:rPr>
      </w:pPr>
      <w:r>
        <w:rPr>
          <w:rFonts w:hint="default" w:ascii="Times New Roman" w:hAnsi="Times New Roman" w:eastAsia="宋体" w:cs="Times New Roman"/>
          <w:color w:val="auto"/>
          <w:sz w:val="24"/>
          <w:szCs w:val="24"/>
          <w:highlight w:val="none"/>
        </w:rPr>
        <w:t>H：含水层平均厚度(m)；</w:t>
      </w:r>
    </w:p>
    <w:p w14:paraId="6F4AAD3F">
      <w:pPr>
        <w:keepNext w:val="0"/>
        <w:keepLines w:val="0"/>
        <w:pageBreakBefore w:val="0"/>
        <w:kinsoku/>
        <w:wordWrap/>
        <w:overflowPunct/>
        <w:topLinePunct w:val="0"/>
        <w:autoSpaceDE/>
        <w:autoSpaceDN/>
        <w:bidi w:val="0"/>
        <w:adjustRightInd/>
        <w:snapToGrid w:val="0"/>
        <w:spacing w:line="360" w:lineRule="auto"/>
        <w:ind w:firstLine="482"/>
        <w:textAlignment w:val="auto"/>
        <w:rPr>
          <w:rFonts w:hint="default" w:ascii="Times New Roman" w:hAnsi="Times New Roman" w:eastAsia="宋体" w:cs="Times New Roman"/>
          <w:bCs/>
          <w:color w:val="auto"/>
          <w:sz w:val="24"/>
          <w:szCs w:val="24"/>
          <w:highlight w:val="none"/>
        </w:rPr>
      </w:pPr>
      <w:r>
        <w:rPr>
          <w:rFonts w:hint="default" w:ascii="Times New Roman" w:hAnsi="Times New Roman" w:eastAsia="宋体" w:cs="Times New Roman"/>
          <w:color w:val="auto"/>
          <w:sz w:val="24"/>
          <w:szCs w:val="24"/>
          <w:highlight w:val="none"/>
        </w:rPr>
        <w:t>B：计算断面宽度(m)；</w:t>
      </w:r>
    </w:p>
    <w:p w14:paraId="752BFA80">
      <w:pPr>
        <w:keepNext w:val="0"/>
        <w:keepLines w:val="0"/>
        <w:pageBreakBefore w:val="0"/>
        <w:kinsoku/>
        <w:wordWrap/>
        <w:overflowPunct/>
        <w:topLinePunct w:val="0"/>
        <w:autoSpaceDE/>
        <w:autoSpaceDN/>
        <w:bidi w:val="0"/>
        <w:adjustRightInd/>
        <w:snapToGrid w:val="0"/>
        <w:spacing w:line="360" w:lineRule="auto"/>
        <w:ind w:firstLine="482"/>
        <w:textAlignment w:val="auto"/>
        <w:rPr>
          <w:rFonts w:hint="default" w:ascii="Times New Roman" w:hAnsi="Times New Roman" w:eastAsia="宋体" w:cs="Times New Roman"/>
          <w:bCs/>
          <w:color w:val="auto"/>
          <w:sz w:val="24"/>
          <w:szCs w:val="24"/>
          <w:highlight w:val="none"/>
        </w:rPr>
      </w:pPr>
      <w:r>
        <w:rPr>
          <w:rFonts w:hint="default" w:ascii="Times New Roman" w:hAnsi="Times New Roman" w:eastAsia="宋体" w:cs="Times New Roman"/>
          <w:color w:val="auto"/>
          <w:sz w:val="24"/>
          <w:szCs w:val="24"/>
          <w:highlight w:val="none"/>
        </w:rPr>
        <w:t>I：垂直于断面的水力坡度。</w:t>
      </w:r>
    </w:p>
    <w:p w14:paraId="046E4614">
      <w:pPr>
        <w:keepNext w:val="0"/>
        <w:keepLines w:val="0"/>
        <w:pageBreakBefore w:val="0"/>
        <w:widowControl/>
        <w:suppressLineNumbers w:val="0"/>
        <w:kinsoku/>
        <w:wordWrap/>
        <w:overflowPunct/>
        <w:topLinePunct w:val="0"/>
        <w:autoSpaceDE/>
        <w:autoSpaceDN/>
        <w:bidi w:val="0"/>
        <w:snapToGrid w:val="0"/>
        <w:spacing w:line="360" w:lineRule="auto"/>
        <w:ind w:firstLine="480" w:firstLineChars="200"/>
        <w:jc w:val="left"/>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kern w:val="0"/>
          <w:sz w:val="24"/>
          <w:szCs w:val="24"/>
          <w:highlight w:val="none"/>
          <w:lang w:val="en-US" w:eastAsia="zh-CN" w:bidi="ar"/>
        </w:rPr>
        <w:t>由表6.3-7可知，模拟区地下水侧向径流排泄量为7.52万</w:t>
      </w:r>
      <w:r>
        <w:rPr>
          <w:rFonts w:hint="eastAsia" w:cs="Times New Roman"/>
          <w:color w:val="auto"/>
          <w:kern w:val="0"/>
          <w:sz w:val="24"/>
          <w:szCs w:val="24"/>
          <w:highlight w:val="none"/>
          <w:lang w:val="en-US" w:eastAsia="zh-CN" w:bidi="ar"/>
        </w:rPr>
        <w:t>m</w:t>
      </w:r>
      <w:r>
        <w:rPr>
          <w:rFonts w:hint="eastAsia" w:cs="Times New Roman"/>
          <w:color w:val="auto"/>
          <w:kern w:val="0"/>
          <w:sz w:val="24"/>
          <w:szCs w:val="24"/>
          <w:highlight w:val="none"/>
          <w:vertAlign w:val="superscript"/>
          <w:lang w:val="en-US" w:eastAsia="zh-CN" w:bidi="ar"/>
        </w:rPr>
        <w:t>3</w:t>
      </w:r>
      <w:r>
        <w:rPr>
          <w:rFonts w:hint="default" w:ascii="Times New Roman" w:hAnsi="Times New Roman" w:eastAsia="宋体" w:cs="Times New Roman"/>
          <w:color w:val="auto"/>
          <w:kern w:val="0"/>
          <w:sz w:val="24"/>
          <w:szCs w:val="24"/>
          <w:highlight w:val="none"/>
          <w:lang w:val="en-US" w:eastAsia="zh-CN" w:bidi="ar"/>
        </w:rPr>
        <w:t>/a。</w:t>
      </w:r>
    </w:p>
    <w:p w14:paraId="7CE269E2">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outlineLvl w:val="9"/>
        <w:rPr>
          <w:rFonts w:hint="default" w:ascii="Times New Roman" w:hAnsi="Times New Roman" w:eastAsia="宋体" w:cs="Times New Roman"/>
          <w:color w:val="auto"/>
          <w:kern w:val="2"/>
          <w:sz w:val="24"/>
          <w:szCs w:val="24"/>
          <w:highlight w:val="none"/>
          <w:lang w:val="en-US" w:eastAsia="zh-CN" w:bidi="ar-SA"/>
        </w:rPr>
      </w:pPr>
      <w:r>
        <w:rPr>
          <w:rFonts w:hint="default" w:ascii="Calibri" w:hAnsi="Calibri" w:eastAsia="宋体" w:cs="Calibri"/>
          <w:color w:val="auto"/>
          <w:kern w:val="2"/>
          <w:sz w:val="24"/>
          <w:szCs w:val="24"/>
          <w:highlight w:val="none"/>
          <w:lang w:val="en-US" w:eastAsia="zh-CN" w:bidi="ar-SA"/>
        </w:rPr>
        <w:t>②</w:t>
      </w:r>
      <w:r>
        <w:rPr>
          <w:rFonts w:hint="eastAsia" w:ascii="Times New Roman" w:hAnsi="Times New Roman" w:eastAsia="宋体" w:cs="Times New Roman"/>
          <w:color w:val="auto"/>
          <w:kern w:val="2"/>
          <w:sz w:val="24"/>
          <w:szCs w:val="24"/>
          <w:highlight w:val="none"/>
          <w:lang w:val="en-US" w:eastAsia="zh-CN" w:bidi="ar-SA"/>
        </w:rPr>
        <w:t xml:space="preserve">地下水开采量 </w:t>
      </w:r>
    </w:p>
    <w:p w14:paraId="3AAF8DB2">
      <w:pPr>
        <w:keepNext w:val="0"/>
        <w:keepLines w:val="0"/>
        <w:pageBreakBefore w:val="0"/>
        <w:widowControl w:val="0"/>
        <w:tabs>
          <w:tab w:val="left" w:pos="360"/>
          <w:tab w:val="left" w:pos="2207"/>
        </w:tabs>
        <w:kinsoku/>
        <w:wordWrap/>
        <w:overflowPunct/>
        <w:topLinePunct w:val="0"/>
        <w:autoSpaceDE/>
        <w:autoSpaceDN/>
        <w:bidi w:val="0"/>
        <w:adjustRightInd/>
        <w:snapToGrid/>
        <w:spacing w:before="0" w:beforeLines="0" w:after="0" w:afterLines="0" w:line="480" w:lineRule="exact"/>
        <w:ind w:left="0" w:leftChars="0" w:firstLine="480" w:firstLineChars="200"/>
        <w:textAlignment w:val="auto"/>
        <w:outlineLvl w:val="9"/>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经过对评价区实地调查得知，评价区对浅层含水层无开发利用情况。地下水开采主要为居民生活用水开采及农业开采，工业用水及集中供水主要开采承压含水层。</w:t>
      </w:r>
      <w:r>
        <w:rPr>
          <w:rFonts w:hint="eastAsia" w:cs="Times New Roman"/>
          <w:color w:val="auto"/>
          <w:sz w:val="24"/>
          <w:highlight w:val="none"/>
          <w:lang w:val="en-US" w:eastAsia="zh-CN"/>
        </w:rPr>
        <w:t>模拟区域潜水与承压水</w:t>
      </w:r>
      <w:r>
        <w:rPr>
          <w:rFonts w:hint="default" w:ascii="Times New Roman" w:hAnsi="Times New Roman" w:eastAsia="宋体" w:cs="Times New Roman"/>
          <w:color w:val="000000" w:themeColor="text1"/>
          <w:sz w:val="24"/>
          <w:szCs w:val="20"/>
          <w:highlight w:val="none"/>
          <w:lang w:val="en-US" w:eastAsia="zh-CN"/>
          <w14:textFill>
            <w14:solidFill>
              <w14:schemeClr w14:val="tx1"/>
            </w14:solidFill>
          </w14:textFill>
        </w:rPr>
        <w:t>无明显的水力联系。</w:t>
      </w:r>
    </w:p>
    <w:p w14:paraId="45D36248">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outlineLvl w:val="9"/>
        <w:rPr>
          <w:rFonts w:hint="default" w:ascii="Calibri" w:hAnsi="Calibri" w:eastAsia="宋体" w:cs="Calibri"/>
          <w:color w:val="auto"/>
          <w:kern w:val="2"/>
          <w:sz w:val="24"/>
          <w:szCs w:val="24"/>
          <w:highlight w:val="none"/>
          <w:lang w:val="en-US" w:eastAsia="zh-CN" w:bidi="ar-SA"/>
        </w:rPr>
      </w:pPr>
      <w:r>
        <w:rPr>
          <w:rFonts w:hint="default" w:ascii="Calibri" w:hAnsi="Calibri" w:eastAsia="宋体" w:cs="Calibri"/>
          <w:color w:val="auto"/>
          <w:kern w:val="2"/>
          <w:sz w:val="24"/>
          <w:szCs w:val="24"/>
          <w:highlight w:val="none"/>
          <w:lang w:val="en-US" w:eastAsia="zh-CN" w:bidi="ar-SA"/>
        </w:rPr>
        <w:t>③潜水蒸发</w:t>
      </w:r>
    </w:p>
    <w:p w14:paraId="6C119E50">
      <w:pPr>
        <w:keepNext w:val="0"/>
        <w:keepLines w:val="0"/>
        <w:pageBreakBefore w:val="0"/>
        <w:widowControl/>
        <w:suppressLineNumbers w:val="0"/>
        <w:kinsoku/>
        <w:wordWrap/>
        <w:overflowPunct/>
        <w:topLinePunct w:val="0"/>
        <w:autoSpaceDE/>
        <w:autoSpaceDN/>
        <w:bidi w:val="0"/>
        <w:snapToGrid w:val="0"/>
        <w:spacing w:line="360" w:lineRule="auto"/>
        <w:ind w:firstLine="480" w:firstLineChars="200"/>
        <w:jc w:val="left"/>
        <w:textAlignment w:val="auto"/>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潜水蒸发量是指潜水在地下水面以上岩土毛细管作用下，最终以参加陆面蒸散发形式散逸到大气中的蒸散发损失量。影响潜水蒸发量的主要因素是年水面蒸发量，地下水位埋深和包气带岩性，评价区蒸发极限埋深为4m，潜水蒸发量采用如下公式计算：</w:t>
      </w:r>
    </w:p>
    <w:p w14:paraId="3F4EF6E3">
      <w:pPr>
        <w:keepNext w:val="0"/>
        <w:keepLines w:val="0"/>
        <w:pageBreakBefore w:val="0"/>
        <w:widowControl/>
        <w:suppressLineNumbers w:val="0"/>
        <w:kinsoku/>
        <w:wordWrap/>
        <w:overflowPunct/>
        <w:topLinePunct w:val="0"/>
        <w:autoSpaceDE/>
        <w:autoSpaceDN/>
        <w:bidi w:val="0"/>
        <w:snapToGrid w:val="0"/>
        <w:spacing w:line="360" w:lineRule="auto"/>
        <w:ind w:firstLine="480" w:firstLineChars="200"/>
        <w:jc w:val="left"/>
        <w:textAlignment w:val="auto"/>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在模型中，按照阿维杨诺夫公式计算潜水蒸发量：</w:t>
      </w:r>
    </w:p>
    <w:p w14:paraId="3FD8F357">
      <w:pPr>
        <w:keepNext w:val="0"/>
        <w:keepLines w:val="0"/>
        <w:pageBreakBefore w:val="0"/>
        <w:widowControl/>
        <w:suppressLineNumbers w:val="0"/>
        <w:kinsoku/>
        <w:wordWrap/>
        <w:overflowPunct/>
        <w:topLinePunct w:val="0"/>
        <w:autoSpaceDE/>
        <w:autoSpaceDN/>
        <w:bidi w:val="0"/>
        <w:snapToGrid w:val="0"/>
        <w:spacing w:line="360" w:lineRule="auto"/>
        <w:ind w:firstLine="480" w:firstLineChars="200"/>
        <w:jc w:val="left"/>
        <w:textAlignment w:val="auto"/>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position w:val="-18"/>
          <w:highlight w:val="none"/>
        </w:rPr>
        <w:drawing>
          <wp:inline distT="0" distB="0" distL="0" distR="0">
            <wp:extent cx="2316480" cy="561975"/>
            <wp:effectExtent l="0" t="0" r="7620" b="9525"/>
            <wp:docPr id="504" name="IM 504"/>
            <wp:cNvGraphicFramePr/>
            <a:graphic xmlns:a="http://schemas.openxmlformats.org/drawingml/2006/main">
              <a:graphicData uri="http://schemas.openxmlformats.org/drawingml/2006/picture">
                <pic:pic xmlns:pic="http://schemas.openxmlformats.org/drawingml/2006/picture">
                  <pic:nvPicPr>
                    <pic:cNvPr id="504" name="IM 504"/>
                    <pic:cNvPicPr/>
                  </pic:nvPicPr>
                  <pic:blipFill>
                    <a:blip r:embed="rId85"/>
                    <a:stretch>
                      <a:fillRect/>
                    </a:stretch>
                  </pic:blipFill>
                  <pic:spPr>
                    <a:xfrm>
                      <a:off x="0" y="0"/>
                      <a:ext cx="2316785" cy="561975"/>
                    </a:xfrm>
                    <a:prstGeom prst="rect">
                      <a:avLst/>
                    </a:prstGeom>
                  </pic:spPr>
                </pic:pic>
              </a:graphicData>
            </a:graphic>
          </wp:inline>
        </w:drawing>
      </w:r>
    </w:p>
    <w:p w14:paraId="6C63D75F">
      <w:pPr>
        <w:keepNext w:val="0"/>
        <w:keepLines w:val="0"/>
        <w:pageBreakBefore w:val="0"/>
        <w:widowControl/>
        <w:suppressLineNumbers w:val="0"/>
        <w:kinsoku/>
        <w:wordWrap/>
        <w:overflowPunct/>
        <w:topLinePunct w:val="0"/>
        <w:autoSpaceDE/>
        <w:autoSpaceDN/>
        <w:bidi w:val="0"/>
        <w:snapToGrid w:val="0"/>
        <w:spacing w:line="360" w:lineRule="auto"/>
        <w:ind w:firstLine="480" w:firstLineChars="200"/>
        <w:jc w:val="left"/>
        <w:textAlignment w:val="auto"/>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式中：E</w:t>
      </w:r>
      <w:r>
        <w:rPr>
          <w:rFonts w:hint="default" w:ascii="Times New Roman" w:hAnsi="Times New Roman" w:eastAsia="宋体" w:cs="Times New Roman"/>
          <w:color w:val="auto"/>
          <w:kern w:val="0"/>
          <w:sz w:val="24"/>
          <w:szCs w:val="24"/>
          <w:highlight w:val="none"/>
          <w:vertAlign w:val="subscript"/>
          <w:lang w:val="en-US" w:eastAsia="zh-CN" w:bidi="ar"/>
        </w:rPr>
        <w:t>g</w:t>
      </w:r>
      <w:r>
        <w:rPr>
          <w:rFonts w:hint="default" w:ascii="Times New Roman" w:hAnsi="Times New Roman" w:eastAsia="宋体" w:cs="Times New Roman"/>
          <w:color w:val="auto"/>
          <w:kern w:val="0"/>
          <w:sz w:val="24"/>
          <w:szCs w:val="24"/>
          <w:highlight w:val="none"/>
          <w:lang w:val="en-US" w:eastAsia="zh-CN" w:bidi="ar"/>
        </w:rPr>
        <w:t>—潜水蒸发量(m)；</w:t>
      </w:r>
    </w:p>
    <w:p w14:paraId="75C6E724">
      <w:pPr>
        <w:keepNext w:val="0"/>
        <w:keepLines w:val="0"/>
        <w:pageBreakBefore w:val="0"/>
        <w:widowControl/>
        <w:suppressLineNumbers w:val="0"/>
        <w:kinsoku/>
        <w:wordWrap/>
        <w:overflowPunct/>
        <w:topLinePunct w:val="0"/>
        <w:autoSpaceDE/>
        <w:autoSpaceDN/>
        <w:bidi w:val="0"/>
        <w:snapToGrid w:val="0"/>
        <w:spacing w:line="360" w:lineRule="auto"/>
        <w:ind w:firstLine="1200" w:firstLineChars="500"/>
        <w:jc w:val="left"/>
        <w:textAlignment w:val="auto"/>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E</w:t>
      </w:r>
      <w:r>
        <w:rPr>
          <w:rFonts w:hint="default" w:ascii="Times New Roman" w:hAnsi="Times New Roman" w:eastAsia="宋体" w:cs="Times New Roman"/>
          <w:color w:val="auto"/>
          <w:kern w:val="0"/>
          <w:sz w:val="24"/>
          <w:szCs w:val="24"/>
          <w:highlight w:val="none"/>
          <w:vertAlign w:val="subscript"/>
          <w:lang w:val="en-US" w:eastAsia="zh-CN" w:bidi="ar"/>
        </w:rPr>
        <w:t>0</w:t>
      </w:r>
      <w:r>
        <w:rPr>
          <w:rFonts w:hint="default" w:ascii="Times New Roman" w:hAnsi="Times New Roman" w:eastAsia="宋体" w:cs="Times New Roman"/>
          <w:color w:val="auto"/>
          <w:kern w:val="0"/>
          <w:sz w:val="24"/>
          <w:szCs w:val="24"/>
          <w:highlight w:val="none"/>
          <w:lang w:val="en-US" w:eastAsia="zh-CN" w:bidi="ar"/>
        </w:rPr>
        <w:t>—水面蒸发量(m)；</w:t>
      </w:r>
    </w:p>
    <w:p w14:paraId="0E78E9AA">
      <w:pPr>
        <w:keepNext w:val="0"/>
        <w:keepLines w:val="0"/>
        <w:pageBreakBefore w:val="0"/>
        <w:widowControl/>
        <w:suppressLineNumbers w:val="0"/>
        <w:kinsoku/>
        <w:wordWrap/>
        <w:overflowPunct/>
        <w:topLinePunct w:val="0"/>
        <w:autoSpaceDE/>
        <w:autoSpaceDN/>
        <w:bidi w:val="0"/>
        <w:snapToGrid w:val="0"/>
        <w:spacing w:line="360" w:lineRule="auto"/>
        <w:ind w:firstLine="1200" w:firstLineChars="500"/>
        <w:jc w:val="left"/>
        <w:textAlignment w:val="auto"/>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h</w:t>
      </w:r>
      <w:r>
        <w:rPr>
          <w:rFonts w:hint="default" w:ascii="Times New Roman" w:hAnsi="Times New Roman" w:eastAsia="宋体" w:cs="Times New Roman"/>
          <w:color w:val="auto"/>
          <w:kern w:val="0"/>
          <w:sz w:val="24"/>
          <w:szCs w:val="24"/>
          <w:highlight w:val="none"/>
          <w:vertAlign w:val="subscript"/>
          <w:lang w:val="en-US" w:eastAsia="zh-CN" w:bidi="ar"/>
        </w:rPr>
        <w:t>g</w:t>
      </w:r>
      <w:r>
        <w:rPr>
          <w:rFonts w:hint="default" w:ascii="Times New Roman" w:hAnsi="Times New Roman" w:eastAsia="宋体" w:cs="Times New Roman"/>
          <w:color w:val="auto"/>
          <w:kern w:val="0"/>
          <w:sz w:val="24"/>
          <w:szCs w:val="24"/>
          <w:highlight w:val="none"/>
          <w:lang w:val="en-US" w:eastAsia="zh-CN" w:bidi="ar"/>
        </w:rPr>
        <w:t>—地面标高(m)；</w:t>
      </w:r>
    </w:p>
    <w:p w14:paraId="0BE617DC">
      <w:pPr>
        <w:keepNext w:val="0"/>
        <w:keepLines w:val="0"/>
        <w:pageBreakBefore w:val="0"/>
        <w:widowControl/>
        <w:suppressLineNumbers w:val="0"/>
        <w:kinsoku/>
        <w:wordWrap/>
        <w:overflowPunct/>
        <w:topLinePunct w:val="0"/>
        <w:autoSpaceDE/>
        <w:autoSpaceDN/>
        <w:bidi w:val="0"/>
        <w:snapToGrid w:val="0"/>
        <w:spacing w:line="360" w:lineRule="auto"/>
        <w:ind w:firstLine="1200" w:firstLineChars="500"/>
        <w:jc w:val="left"/>
        <w:textAlignment w:val="auto"/>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h—潜水位标高(m)；</w:t>
      </w:r>
    </w:p>
    <w:p w14:paraId="320A11D4">
      <w:pPr>
        <w:keepNext w:val="0"/>
        <w:keepLines w:val="0"/>
        <w:pageBreakBefore w:val="0"/>
        <w:widowControl/>
        <w:suppressLineNumbers w:val="0"/>
        <w:kinsoku/>
        <w:wordWrap/>
        <w:overflowPunct/>
        <w:topLinePunct w:val="0"/>
        <w:autoSpaceDE/>
        <w:autoSpaceDN/>
        <w:bidi w:val="0"/>
        <w:snapToGrid w:val="0"/>
        <w:spacing w:line="360" w:lineRule="auto"/>
        <w:ind w:firstLine="1200" w:firstLineChars="500"/>
        <w:jc w:val="left"/>
        <w:textAlignment w:val="auto"/>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D—地下水蒸发极限深度(m)，模型中取4.0m。</w:t>
      </w:r>
    </w:p>
    <w:p w14:paraId="76F050F4">
      <w:pPr>
        <w:keepNext w:val="0"/>
        <w:keepLines w:val="0"/>
        <w:pageBreakBefore w:val="0"/>
        <w:widowControl/>
        <w:suppressLineNumbers w:val="0"/>
        <w:kinsoku/>
        <w:wordWrap/>
        <w:overflowPunct/>
        <w:topLinePunct w:val="0"/>
        <w:autoSpaceDE/>
        <w:autoSpaceDN/>
        <w:bidi w:val="0"/>
        <w:snapToGrid w:val="0"/>
        <w:spacing w:line="360" w:lineRule="auto"/>
        <w:ind w:firstLine="480" w:firstLineChars="200"/>
        <w:jc w:val="left"/>
        <w:textAlignment w:val="auto"/>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根据对模拟区水井水位的调查，地下水埋深基本上大于4.0m，由此可见，当地地下水水位低于地下水蒸发极限深度，因此不考虑地下水蒸发量，蒸发量为0。</w:t>
      </w:r>
    </w:p>
    <w:p w14:paraId="4C2DAD9D">
      <w:pPr>
        <w:keepNext w:val="0"/>
        <w:keepLines w:val="0"/>
        <w:pageBreakBefore w:val="0"/>
        <w:widowControl/>
        <w:suppressLineNumbers w:val="0"/>
        <w:kinsoku/>
        <w:wordWrap/>
        <w:overflowPunct/>
        <w:topLinePunct w:val="0"/>
        <w:autoSpaceDE/>
        <w:autoSpaceDN/>
        <w:bidi w:val="0"/>
        <w:snapToGrid w:val="0"/>
        <w:spacing w:line="360" w:lineRule="auto"/>
        <w:ind w:firstLine="480" w:firstLineChars="200"/>
        <w:jc w:val="left"/>
        <w:textAlignment w:val="auto"/>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E=0.1•E</w:t>
      </w:r>
      <w:r>
        <w:rPr>
          <w:rFonts w:hint="default" w:ascii="Times New Roman" w:hAnsi="Times New Roman" w:eastAsia="宋体" w:cs="Times New Roman"/>
          <w:color w:val="auto"/>
          <w:kern w:val="0"/>
          <w:sz w:val="24"/>
          <w:szCs w:val="24"/>
          <w:highlight w:val="none"/>
          <w:vertAlign w:val="subscript"/>
          <w:lang w:val="en-US" w:eastAsia="zh-CN" w:bidi="ar"/>
        </w:rPr>
        <w:t>0</w:t>
      </w:r>
      <w:r>
        <w:rPr>
          <w:rFonts w:hint="default" w:ascii="Times New Roman" w:hAnsi="Times New Roman" w:eastAsia="宋体" w:cs="Times New Roman"/>
          <w:color w:val="auto"/>
          <w:kern w:val="0"/>
          <w:sz w:val="24"/>
          <w:szCs w:val="24"/>
          <w:highlight w:val="none"/>
          <w:lang w:val="en-US" w:eastAsia="zh-CN" w:bidi="ar"/>
        </w:rPr>
        <w:t>•C•F</w:t>
      </w:r>
    </w:p>
    <w:p w14:paraId="03855619">
      <w:pPr>
        <w:keepNext w:val="0"/>
        <w:keepLines w:val="0"/>
        <w:pageBreakBefore w:val="0"/>
        <w:widowControl/>
        <w:suppressLineNumbers w:val="0"/>
        <w:kinsoku/>
        <w:wordWrap/>
        <w:overflowPunct/>
        <w:topLinePunct w:val="0"/>
        <w:autoSpaceDE/>
        <w:autoSpaceDN/>
        <w:bidi w:val="0"/>
        <w:snapToGrid w:val="0"/>
        <w:spacing w:line="360" w:lineRule="auto"/>
        <w:ind w:firstLine="480" w:firstLineChars="200"/>
        <w:jc w:val="left"/>
        <w:textAlignment w:val="auto"/>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式中：</w:t>
      </w:r>
    </w:p>
    <w:p w14:paraId="7CCF2A6C">
      <w:pPr>
        <w:keepNext w:val="0"/>
        <w:keepLines w:val="0"/>
        <w:pageBreakBefore w:val="0"/>
        <w:widowControl/>
        <w:suppressLineNumbers w:val="0"/>
        <w:kinsoku/>
        <w:wordWrap/>
        <w:overflowPunct/>
        <w:topLinePunct w:val="0"/>
        <w:autoSpaceDE/>
        <w:autoSpaceDN/>
        <w:bidi w:val="0"/>
        <w:snapToGrid w:val="0"/>
        <w:spacing w:line="360" w:lineRule="auto"/>
        <w:ind w:firstLine="480" w:firstLineChars="200"/>
        <w:jc w:val="left"/>
        <w:textAlignment w:val="auto"/>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E为潜水蒸发量，万</w:t>
      </w:r>
      <w:r>
        <w:rPr>
          <w:rFonts w:hint="eastAsia" w:cs="Times New Roman"/>
          <w:color w:val="auto"/>
          <w:kern w:val="0"/>
          <w:sz w:val="24"/>
          <w:szCs w:val="24"/>
          <w:highlight w:val="none"/>
          <w:lang w:val="en-US" w:eastAsia="zh-CN" w:bidi="ar"/>
        </w:rPr>
        <w:t>m</w:t>
      </w:r>
      <w:r>
        <w:rPr>
          <w:rFonts w:hint="eastAsia" w:cs="Times New Roman"/>
          <w:color w:val="auto"/>
          <w:kern w:val="0"/>
          <w:sz w:val="24"/>
          <w:szCs w:val="24"/>
          <w:highlight w:val="none"/>
          <w:vertAlign w:val="superscript"/>
          <w:lang w:val="en-US" w:eastAsia="zh-CN" w:bidi="ar"/>
        </w:rPr>
        <w:t>3</w:t>
      </w:r>
      <w:r>
        <w:rPr>
          <w:rFonts w:hint="default" w:ascii="Times New Roman" w:hAnsi="Times New Roman" w:eastAsia="宋体" w:cs="Times New Roman"/>
          <w:color w:val="auto"/>
          <w:kern w:val="0"/>
          <w:sz w:val="24"/>
          <w:szCs w:val="24"/>
          <w:highlight w:val="none"/>
          <w:lang w:val="en-US" w:eastAsia="zh-CN" w:bidi="ar"/>
        </w:rPr>
        <w:t>/a</w:t>
      </w:r>
    </w:p>
    <w:p w14:paraId="54679AF4">
      <w:pPr>
        <w:keepNext w:val="0"/>
        <w:keepLines w:val="0"/>
        <w:pageBreakBefore w:val="0"/>
        <w:widowControl/>
        <w:suppressLineNumbers w:val="0"/>
        <w:kinsoku/>
        <w:wordWrap/>
        <w:overflowPunct/>
        <w:topLinePunct w:val="0"/>
        <w:autoSpaceDE/>
        <w:autoSpaceDN/>
        <w:bidi w:val="0"/>
        <w:snapToGrid w:val="0"/>
        <w:spacing w:line="360" w:lineRule="auto"/>
        <w:ind w:firstLine="480" w:firstLineChars="200"/>
        <w:jc w:val="left"/>
        <w:textAlignment w:val="auto"/>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E</w:t>
      </w:r>
      <w:r>
        <w:rPr>
          <w:rFonts w:hint="default" w:ascii="Times New Roman" w:hAnsi="Times New Roman" w:eastAsia="宋体" w:cs="Times New Roman"/>
          <w:color w:val="auto"/>
          <w:kern w:val="0"/>
          <w:sz w:val="24"/>
          <w:szCs w:val="24"/>
          <w:highlight w:val="none"/>
          <w:vertAlign w:val="subscript"/>
          <w:lang w:val="en-US" w:eastAsia="zh-CN" w:bidi="ar"/>
        </w:rPr>
        <w:t>0</w:t>
      </w:r>
      <w:r>
        <w:rPr>
          <w:rFonts w:hint="default" w:ascii="Times New Roman" w:hAnsi="Times New Roman" w:eastAsia="宋体" w:cs="Times New Roman"/>
          <w:color w:val="auto"/>
          <w:kern w:val="0"/>
          <w:sz w:val="24"/>
          <w:szCs w:val="24"/>
          <w:highlight w:val="none"/>
          <w:lang w:val="en-US" w:eastAsia="zh-CN" w:bidi="ar"/>
        </w:rPr>
        <w:t>为水面蒸发量，mm</w:t>
      </w:r>
    </w:p>
    <w:p w14:paraId="6C6AEAB1">
      <w:pPr>
        <w:keepNext w:val="0"/>
        <w:keepLines w:val="0"/>
        <w:pageBreakBefore w:val="0"/>
        <w:widowControl/>
        <w:suppressLineNumbers w:val="0"/>
        <w:kinsoku/>
        <w:wordWrap/>
        <w:overflowPunct/>
        <w:topLinePunct w:val="0"/>
        <w:autoSpaceDE/>
        <w:autoSpaceDN/>
        <w:bidi w:val="0"/>
        <w:snapToGrid w:val="0"/>
        <w:spacing w:line="360" w:lineRule="auto"/>
        <w:ind w:firstLine="480" w:firstLineChars="200"/>
        <w:jc w:val="left"/>
        <w:textAlignment w:val="auto"/>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C为潜水蒸发系数，无量纲</w:t>
      </w:r>
    </w:p>
    <w:p w14:paraId="49F922DE">
      <w:pPr>
        <w:keepNext w:val="0"/>
        <w:keepLines w:val="0"/>
        <w:pageBreakBefore w:val="0"/>
        <w:widowControl/>
        <w:suppressLineNumbers w:val="0"/>
        <w:kinsoku/>
        <w:wordWrap/>
        <w:overflowPunct/>
        <w:topLinePunct w:val="0"/>
        <w:autoSpaceDE/>
        <w:autoSpaceDN/>
        <w:bidi w:val="0"/>
        <w:snapToGrid w:val="0"/>
        <w:spacing w:line="360" w:lineRule="auto"/>
        <w:ind w:firstLine="480" w:firstLineChars="200"/>
        <w:jc w:val="left"/>
        <w:textAlignment w:val="auto"/>
        <w:rPr>
          <w:rFonts w:hint="default" w:ascii="Times New Roman" w:hAnsi="Times New Roman" w:eastAsia="宋体" w:cs="Times New Roman"/>
          <w:color w:val="auto"/>
          <w:kern w:val="0"/>
          <w:sz w:val="24"/>
          <w:szCs w:val="24"/>
          <w:highlight w:val="none"/>
          <w:vertAlign w:val="superscript"/>
          <w:lang w:val="en-US" w:eastAsia="zh-CN" w:bidi="ar"/>
        </w:rPr>
      </w:pPr>
      <w:r>
        <w:rPr>
          <w:rFonts w:hint="default" w:ascii="Times New Roman" w:hAnsi="Times New Roman" w:eastAsia="宋体" w:cs="Times New Roman"/>
          <w:color w:val="auto"/>
          <w:kern w:val="0"/>
          <w:sz w:val="24"/>
          <w:szCs w:val="24"/>
          <w:highlight w:val="none"/>
          <w:lang w:val="en-US" w:eastAsia="zh-CN" w:bidi="ar"/>
        </w:rPr>
        <w:t>F为潜水蒸发面积，km</w:t>
      </w:r>
      <w:r>
        <w:rPr>
          <w:rFonts w:hint="default" w:ascii="Times New Roman" w:hAnsi="Times New Roman" w:eastAsia="宋体" w:cs="Times New Roman"/>
          <w:color w:val="auto"/>
          <w:kern w:val="0"/>
          <w:sz w:val="24"/>
          <w:szCs w:val="24"/>
          <w:highlight w:val="none"/>
          <w:vertAlign w:val="superscript"/>
          <w:lang w:val="en-US" w:eastAsia="zh-CN" w:bidi="ar"/>
        </w:rPr>
        <w:t>2</w:t>
      </w:r>
    </w:p>
    <w:p w14:paraId="2DCF7021">
      <w:pPr>
        <w:keepNext w:val="0"/>
        <w:keepLines w:val="0"/>
        <w:pageBreakBefore w:val="0"/>
        <w:widowControl/>
        <w:suppressLineNumbers w:val="0"/>
        <w:kinsoku/>
        <w:wordWrap/>
        <w:overflowPunct/>
        <w:topLinePunct w:val="0"/>
        <w:autoSpaceDE/>
        <w:autoSpaceDN/>
        <w:bidi w:val="0"/>
        <w:snapToGrid w:val="0"/>
        <w:spacing w:line="360" w:lineRule="auto"/>
        <w:ind w:firstLine="480" w:firstLineChars="200"/>
        <w:jc w:val="left"/>
        <w:textAlignment w:val="auto"/>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通过搜集区域降水蒸发资料，全区年均蒸发能力为1700mm，潜水蒸发量</w:t>
      </w:r>
      <w:r>
        <w:rPr>
          <w:rFonts w:hint="eastAsia" w:cs="Times New Roman"/>
          <w:color w:val="auto"/>
          <w:kern w:val="0"/>
          <w:sz w:val="24"/>
          <w:szCs w:val="24"/>
          <w:highlight w:val="none"/>
          <w:lang w:val="en-US" w:eastAsia="zh-CN" w:bidi="ar"/>
        </w:rPr>
        <w:t>167.54</w:t>
      </w:r>
      <w:r>
        <w:rPr>
          <w:rFonts w:hint="default" w:ascii="Times New Roman" w:hAnsi="Times New Roman" w:eastAsia="宋体" w:cs="Times New Roman"/>
          <w:color w:val="auto"/>
          <w:kern w:val="0"/>
          <w:sz w:val="24"/>
          <w:szCs w:val="24"/>
          <w:highlight w:val="none"/>
          <w:lang w:val="en-US" w:eastAsia="zh-CN" w:bidi="ar"/>
        </w:rPr>
        <w:t>万</w:t>
      </w:r>
      <w:r>
        <w:rPr>
          <w:rFonts w:hint="eastAsia" w:cs="Times New Roman"/>
          <w:color w:val="auto"/>
          <w:kern w:val="0"/>
          <w:sz w:val="24"/>
          <w:szCs w:val="24"/>
          <w:highlight w:val="none"/>
          <w:lang w:val="en-US" w:eastAsia="zh-CN" w:bidi="ar"/>
        </w:rPr>
        <w:t>m</w:t>
      </w:r>
      <w:r>
        <w:rPr>
          <w:rFonts w:hint="eastAsia" w:cs="Times New Roman"/>
          <w:color w:val="auto"/>
          <w:kern w:val="0"/>
          <w:sz w:val="24"/>
          <w:szCs w:val="24"/>
          <w:highlight w:val="none"/>
          <w:vertAlign w:val="superscript"/>
          <w:lang w:val="en-US" w:eastAsia="zh-CN" w:bidi="ar"/>
        </w:rPr>
        <w:t>3</w:t>
      </w:r>
      <w:r>
        <w:rPr>
          <w:rFonts w:hint="default" w:ascii="Times New Roman" w:hAnsi="Times New Roman" w:eastAsia="宋体" w:cs="Times New Roman"/>
          <w:color w:val="auto"/>
          <w:kern w:val="0"/>
          <w:sz w:val="24"/>
          <w:szCs w:val="24"/>
          <w:highlight w:val="none"/>
          <w:lang w:val="en-US" w:eastAsia="zh-CN" w:bidi="ar"/>
        </w:rPr>
        <w:t>/a。</w:t>
      </w:r>
    </w:p>
    <w:p w14:paraId="0A83C979">
      <w:pPr>
        <w:keepNext w:val="0"/>
        <w:keepLines w:val="0"/>
        <w:pageBreakBefore w:val="0"/>
        <w:widowControl/>
        <w:suppressLineNumbers w:val="0"/>
        <w:kinsoku/>
        <w:wordWrap/>
        <w:overflowPunct/>
        <w:topLinePunct w:val="0"/>
        <w:autoSpaceDE/>
        <w:autoSpaceDN/>
        <w:bidi w:val="0"/>
        <w:snapToGrid w:val="0"/>
        <w:spacing w:line="360" w:lineRule="auto"/>
        <w:ind w:firstLine="480" w:firstLineChars="200"/>
        <w:jc w:val="left"/>
        <w:textAlignment w:val="auto"/>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⑤资源量</w:t>
      </w:r>
    </w:p>
    <w:p w14:paraId="05765F49">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lang w:val="en-US" w:eastAsia="zh-CN"/>
        </w:rPr>
      </w:pPr>
      <w:r>
        <w:rPr>
          <w:rFonts w:hint="default" w:ascii="Times New Roman" w:hAnsi="Times New Roman" w:eastAsia="宋体" w:cs="Times New Roman"/>
          <w:b/>
          <w:bCs/>
          <w:color w:val="auto"/>
          <w:sz w:val="24"/>
          <w:highlight w:val="none"/>
          <w:lang w:val="en-US" w:eastAsia="zh-CN"/>
        </w:rPr>
        <w:t>资源量计算评价表</w:t>
      </w:r>
    </w:p>
    <w:tbl>
      <w:tblPr>
        <w:tblStyle w:val="48"/>
        <w:tblW w:w="4996"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457"/>
        <w:gridCol w:w="1320"/>
        <w:gridCol w:w="1320"/>
        <w:gridCol w:w="1320"/>
        <w:gridCol w:w="1320"/>
        <w:gridCol w:w="1320"/>
        <w:gridCol w:w="1326"/>
        <w:gridCol w:w="898"/>
      </w:tblGrid>
      <w:tr w14:paraId="65D157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46" w:type="pct"/>
            <w:vMerge w:val="restart"/>
            <w:tcBorders>
              <w:tl2br w:val="nil"/>
              <w:tr2bl w:val="nil"/>
            </w:tcBorders>
            <w:noWrap w:val="0"/>
            <w:vAlign w:val="center"/>
          </w:tcPr>
          <w:p w14:paraId="6554FBB0">
            <w:pPr>
              <w:keepNext w:val="0"/>
              <w:keepLines w:val="0"/>
              <w:pageBreakBefore w:val="0"/>
              <w:widowControl w:val="0"/>
              <w:kinsoku/>
              <w:wordWrap/>
              <w:overflowPunct/>
              <w:topLinePunct w:val="0"/>
              <w:autoSpaceDE/>
              <w:autoSpaceDN/>
              <w:bidi w:val="0"/>
              <w:adjustRightInd/>
              <w:snapToGrid w:val="0"/>
              <w:spacing w:line="240" w:lineRule="auto"/>
              <w:ind w:left="0" w:leftChars="0" w:right="0" w:rightChars="0" w:firstLine="0" w:firstLineChars="0"/>
              <w:jc w:val="center"/>
              <w:textAlignment w:val="auto"/>
              <w:outlineLvl w:val="9"/>
              <w:rPr>
                <w:rFonts w:hint="default" w:ascii="Times New Roman" w:hAnsi="Times New Roman" w:eastAsia="宋体" w:cs="Times New Roman"/>
                <w:snapToGrid w:val="0"/>
                <w:color w:val="auto"/>
                <w:sz w:val="21"/>
                <w:highlight w:val="none"/>
                <w:lang w:eastAsia="zh-CN"/>
              </w:rPr>
            </w:pPr>
            <w:r>
              <w:rPr>
                <w:rFonts w:hint="default" w:ascii="Times New Roman" w:hAnsi="Times New Roman" w:eastAsia="宋体" w:cs="Times New Roman"/>
                <w:snapToGrid w:val="0"/>
                <w:color w:val="auto"/>
                <w:sz w:val="21"/>
                <w:highlight w:val="none"/>
                <w:lang w:eastAsia="zh-CN"/>
              </w:rPr>
              <w:t>类型</w:t>
            </w:r>
          </w:p>
        </w:tc>
        <w:tc>
          <w:tcPr>
            <w:tcW w:w="2133" w:type="pct"/>
            <w:gridSpan w:val="3"/>
            <w:tcBorders>
              <w:tl2br w:val="nil"/>
              <w:tr2bl w:val="nil"/>
            </w:tcBorders>
            <w:noWrap w:val="0"/>
            <w:vAlign w:val="center"/>
          </w:tcPr>
          <w:p w14:paraId="28B98BFC">
            <w:pPr>
              <w:keepNext w:val="0"/>
              <w:keepLines w:val="0"/>
              <w:pageBreakBefore w:val="0"/>
              <w:widowControl w:val="0"/>
              <w:kinsoku/>
              <w:wordWrap/>
              <w:overflowPunct/>
              <w:topLinePunct w:val="0"/>
              <w:autoSpaceDE/>
              <w:autoSpaceDN/>
              <w:bidi w:val="0"/>
              <w:adjustRightInd/>
              <w:snapToGrid w:val="0"/>
              <w:spacing w:line="240" w:lineRule="auto"/>
              <w:ind w:left="0" w:leftChars="0" w:right="0" w:rightChars="0" w:firstLine="0" w:firstLineChars="0"/>
              <w:jc w:val="center"/>
              <w:textAlignment w:val="auto"/>
              <w:outlineLvl w:val="9"/>
              <w:rPr>
                <w:rFonts w:hint="default" w:ascii="Times New Roman" w:hAnsi="Times New Roman" w:eastAsia="宋体" w:cs="Times New Roman"/>
                <w:snapToGrid w:val="0"/>
                <w:color w:val="auto"/>
                <w:sz w:val="21"/>
                <w:highlight w:val="none"/>
                <w:lang w:val="en-US" w:eastAsia="zh-CN"/>
              </w:rPr>
            </w:pPr>
            <w:r>
              <w:rPr>
                <w:rFonts w:hint="default" w:ascii="Times New Roman" w:hAnsi="Times New Roman" w:eastAsia="宋体" w:cs="Times New Roman"/>
                <w:snapToGrid w:val="0"/>
                <w:color w:val="auto"/>
                <w:sz w:val="21"/>
                <w:highlight w:val="none"/>
                <w:lang w:val="en-US" w:eastAsia="zh-CN"/>
              </w:rPr>
              <w:t>补给量（万</w:t>
            </w:r>
            <w:r>
              <w:rPr>
                <w:rFonts w:hint="eastAsia" w:cs="Times New Roman"/>
                <w:snapToGrid w:val="0"/>
                <w:color w:val="auto"/>
                <w:sz w:val="21"/>
                <w:highlight w:val="none"/>
                <w:lang w:val="en-US" w:eastAsia="zh-CN"/>
              </w:rPr>
              <w:t>m</w:t>
            </w:r>
            <w:r>
              <w:rPr>
                <w:rFonts w:hint="eastAsia" w:cs="Times New Roman"/>
                <w:snapToGrid w:val="0"/>
                <w:color w:val="auto"/>
                <w:sz w:val="21"/>
                <w:highlight w:val="none"/>
                <w:vertAlign w:val="superscript"/>
                <w:lang w:val="en-US" w:eastAsia="zh-CN"/>
              </w:rPr>
              <w:t>3</w:t>
            </w:r>
            <w:r>
              <w:rPr>
                <w:rFonts w:hint="default" w:ascii="Times New Roman" w:hAnsi="Times New Roman" w:eastAsia="宋体" w:cs="Times New Roman"/>
                <w:snapToGrid w:val="0"/>
                <w:color w:val="auto"/>
                <w:sz w:val="21"/>
                <w:highlight w:val="none"/>
                <w:lang w:val="en-US" w:eastAsia="zh-CN"/>
              </w:rPr>
              <w:t>/a）</w:t>
            </w:r>
          </w:p>
        </w:tc>
        <w:tc>
          <w:tcPr>
            <w:tcW w:w="2136" w:type="pct"/>
            <w:gridSpan w:val="3"/>
            <w:tcBorders>
              <w:tl2br w:val="nil"/>
              <w:tr2bl w:val="nil"/>
            </w:tcBorders>
            <w:noWrap w:val="0"/>
            <w:vAlign w:val="center"/>
          </w:tcPr>
          <w:p w14:paraId="7077B131">
            <w:pPr>
              <w:keepNext w:val="0"/>
              <w:keepLines w:val="0"/>
              <w:pageBreakBefore w:val="0"/>
              <w:widowControl w:val="0"/>
              <w:kinsoku/>
              <w:wordWrap/>
              <w:overflowPunct/>
              <w:topLinePunct w:val="0"/>
              <w:autoSpaceDE/>
              <w:autoSpaceDN/>
              <w:bidi w:val="0"/>
              <w:adjustRightInd/>
              <w:snapToGrid w:val="0"/>
              <w:spacing w:line="240" w:lineRule="auto"/>
              <w:ind w:left="0" w:leftChars="0" w:right="0" w:rightChars="0" w:firstLine="0" w:firstLineChars="0"/>
              <w:jc w:val="center"/>
              <w:textAlignment w:val="auto"/>
              <w:outlineLvl w:val="9"/>
              <w:rPr>
                <w:rFonts w:hint="default" w:ascii="Times New Roman" w:hAnsi="Times New Roman" w:eastAsia="宋体" w:cs="Times New Roman"/>
                <w:snapToGrid w:val="0"/>
                <w:color w:val="auto"/>
                <w:sz w:val="21"/>
                <w:highlight w:val="none"/>
                <w:lang w:val="en-US" w:eastAsia="zh-CN"/>
              </w:rPr>
            </w:pPr>
            <w:r>
              <w:rPr>
                <w:rFonts w:hint="default" w:ascii="Times New Roman" w:hAnsi="Times New Roman" w:eastAsia="宋体" w:cs="Times New Roman"/>
                <w:snapToGrid w:val="0"/>
                <w:color w:val="auto"/>
                <w:sz w:val="21"/>
                <w:highlight w:val="none"/>
                <w:lang w:val="en-US" w:eastAsia="zh-CN"/>
              </w:rPr>
              <w:t>排泄量（万</w:t>
            </w:r>
            <w:r>
              <w:rPr>
                <w:rFonts w:hint="eastAsia" w:cs="Times New Roman"/>
                <w:snapToGrid w:val="0"/>
                <w:color w:val="auto"/>
                <w:sz w:val="21"/>
                <w:highlight w:val="none"/>
                <w:lang w:val="en-US" w:eastAsia="zh-CN"/>
              </w:rPr>
              <w:t>m</w:t>
            </w:r>
            <w:r>
              <w:rPr>
                <w:rFonts w:hint="eastAsia" w:cs="Times New Roman"/>
                <w:snapToGrid w:val="0"/>
                <w:color w:val="auto"/>
                <w:sz w:val="21"/>
                <w:highlight w:val="none"/>
                <w:vertAlign w:val="superscript"/>
                <w:lang w:val="en-US" w:eastAsia="zh-CN"/>
              </w:rPr>
              <w:t>3</w:t>
            </w:r>
            <w:r>
              <w:rPr>
                <w:rFonts w:hint="default" w:ascii="Times New Roman" w:hAnsi="Times New Roman" w:eastAsia="宋体" w:cs="Times New Roman"/>
                <w:snapToGrid w:val="0"/>
                <w:color w:val="auto"/>
                <w:sz w:val="21"/>
                <w:highlight w:val="none"/>
                <w:lang w:val="en-US" w:eastAsia="zh-CN"/>
              </w:rPr>
              <w:t>/a）</w:t>
            </w:r>
          </w:p>
        </w:tc>
        <w:tc>
          <w:tcPr>
            <w:tcW w:w="483" w:type="pct"/>
            <w:vMerge w:val="restart"/>
            <w:tcBorders>
              <w:tl2br w:val="nil"/>
              <w:tr2bl w:val="nil"/>
            </w:tcBorders>
            <w:noWrap w:val="0"/>
            <w:vAlign w:val="center"/>
          </w:tcPr>
          <w:p w14:paraId="6E1FE51E">
            <w:pPr>
              <w:keepNext w:val="0"/>
              <w:keepLines w:val="0"/>
              <w:pageBreakBefore w:val="0"/>
              <w:widowControl w:val="0"/>
              <w:kinsoku/>
              <w:wordWrap/>
              <w:overflowPunct/>
              <w:topLinePunct w:val="0"/>
              <w:autoSpaceDE/>
              <w:autoSpaceDN/>
              <w:bidi w:val="0"/>
              <w:adjustRightInd/>
              <w:snapToGrid w:val="0"/>
              <w:spacing w:line="240" w:lineRule="auto"/>
              <w:ind w:left="0" w:leftChars="0" w:right="0" w:rightChars="0" w:firstLine="0" w:firstLineChars="0"/>
              <w:jc w:val="center"/>
              <w:textAlignment w:val="auto"/>
              <w:outlineLvl w:val="9"/>
              <w:rPr>
                <w:rFonts w:hint="default" w:ascii="Times New Roman" w:hAnsi="Times New Roman" w:eastAsia="宋体" w:cs="Times New Roman"/>
                <w:snapToGrid w:val="0"/>
                <w:color w:val="auto"/>
                <w:sz w:val="21"/>
                <w:highlight w:val="none"/>
                <w:lang w:eastAsia="zh-CN"/>
              </w:rPr>
            </w:pPr>
            <w:r>
              <w:rPr>
                <w:rFonts w:hint="default" w:ascii="Times New Roman" w:hAnsi="Times New Roman" w:eastAsia="宋体" w:cs="Times New Roman"/>
                <w:snapToGrid w:val="0"/>
                <w:color w:val="auto"/>
                <w:sz w:val="21"/>
                <w:highlight w:val="none"/>
                <w:lang w:eastAsia="zh-CN"/>
              </w:rPr>
              <w:t>均衡差</w:t>
            </w:r>
            <w:r>
              <w:rPr>
                <w:rFonts w:hint="default" w:ascii="Times New Roman" w:hAnsi="Times New Roman" w:eastAsia="宋体" w:cs="Times New Roman"/>
                <w:snapToGrid w:val="0"/>
                <w:color w:val="auto"/>
                <w:sz w:val="21"/>
                <w:highlight w:val="none"/>
                <w:lang w:val="en-US" w:eastAsia="zh-CN"/>
              </w:rPr>
              <w:t>（万</w:t>
            </w:r>
            <w:r>
              <w:rPr>
                <w:rFonts w:hint="eastAsia" w:cs="Times New Roman"/>
                <w:snapToGrid w:val="0"/>
                <w:color w:val="auto"/>
                <w:sz w:val="21"/>
                <w:highlight w:val="none"/>
                <w:lang w:val="en-US" w:eastAsia="zh-CN"/>
              </w:rPr>
              <w:t>m</w:t>
            </w:r>
            <w:r>
              <w:rPr>
                <w:rFonts w:hint="eastAsia" w:cs="Times New Roman"/>
                <w:snapToGrid w:val="0"/>
                <w:color w:val="auto"/>
                <w:sz w:val="21"/>
                <w:highlight w:val="none"/>
                <w:vertAlign w:val="superscript"/>
                <w:lang w:val="en-US" w:eastAsia="zh-CN"/>
              </w:rPr>
              <w:t>3</w:t>
            </w:r>
            <w:r>
              <w:rPr>
                <w:rFonts w:hint="default" w:ascii="Times New Roman" w:hAnsi="Times New Roman" w:eastAsia="宋体" w:cs="Times New Roman"/>
                <w:snapToGrid w:val="0"/>
                <w:color w:val="auto"/>
                <w:sz w:val="21"/>
                <w:highlight w:val="none"/>
                <w:lang w:val="en-US" w:eastAsia="zh-CN"/>
              </w:rPr>
              <w:t>/a）</w:t>
            </w:r>
          </w:p>
        </w:tc>
      </w:tr>
      <w:tr w14:paraId="2C378DA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46" w:type="pct"/>
            <w:vMerge w:val="continue"/>
            <w:tcBorders>
              <w:tl2br w:val="nil"/>
              <w:tr2bl w:val="nil"/>
            </w:tcBorders>
            <w:noWrap w:val="0"/>
            <w:vAlign w:val="center"/>
          </w:tcPr>
          <w:p w14:paraId="12F00ADA">
            <w:pPr>
              <w:keepNext w:val="0"/>
              <w:keepLines w:val="0"/>
              <w:pageBreakBefore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snapToGrid w:val="0"/>
                <w:color w:val="auto"/>
                <w:sz w:val="21"/>
                <w:highlight w:val="none"/>
                <w:lang w:val="en-US" w:eastAsia="zh-CN"/>
              </w:rPr>
            </w:pPr>
          </w:p>
        </w:tc>
        <w:tc>
          <w:tcPr>
            <w:tcW w:w="711" w:type="pct"/>
            <w:tcBorders>
              <w:tl2br w:val="nil"/>
              <w:tr2bl w:val="nil"/>
            </w:tcBorders>
            <w:noWrap w:val="0"/>
            <w:vAlign w:val="center"/>
          </w:tcPr>
          <w:p w14:paraId="2AA32262">
            <w:pPr>
              <w:keepNext w:val="0"/>
              <w:keepLines w:val="0"/>
              <w:pageBreakBefore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snapToGrid w:val="0"/>
                <w:color w:val="auto"/>
                <w:sz w:val="21"/>
                <w:highlight w:val="none"/>
                <w:lang w:val="en-US" w:eastAsia="zh-CN"/>
              </w:rPr>
            </w:pPr>
            <w:r>
              <w:rPr>
                <w:rFonts w:hint="default" w:ascii="Times New Roman" w:hAnsi="Times New Roman" w:eastAsia="宋体" w:cs="Times New Roman"/>
                <w:snapToGrid w:val="0"/>
                <w:color w:val="auto"/>
                <w:sz w:val="21"/>
                <w:highlight w:val="none"/>
                <w:lang w:val="en-US" w:eastAsia="zh-CN"/>
              </w:rPr>
              <w:t>大气降水补给</w:t>
            </w:r>
          </w:p>
        </w:tc>
        <w:tc>
          <w:tcPr>
            <w:tcW w:w="711" w:type="pct"/>
            <w:tcBorders>
              <w:tl2br w:val="nil"/>
              <w:tr2bl w:val="nil"/>
            </w:tcBorders>
            <w:noWrap w:val="0"/>
            <w:vAlign w:val="center"/>
          </w:tcPr>
          <w:p w14:paraId="01934D8C">
            <w:pPr>
              <w:keepNext w:val="0"/>
              <w:keepLines w:val="0"/>
              <w:pageBreakBefore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snapToGrid w:val="0"/>
                <w:color w:val="auto"/>
                <w:sz w:val="21"/>
                <w:highlight w:val="none"/>
                <w:lang w:val="en-US" w:eastAsia="zh-CN"/>
              </w:rPr>
            </w:pPr>
            <w:r>
              <w:rPr>
                <w:rFonts w:hint="eastAsia" w:cs="Times New Roman"/>
                <w:snapToGrid w:val="0"/>
                <w:color w:val="auto"/>
                <w:sz w:val="21"/>
                <w:highlight w:val="none"/>
                <w:lang w:val="en-US" w:eastAsia="zh-CN"/>
              </w:rPr>
              <w:t>河流侧向补给</w:t>
            </w:r>
          </w:p>
        </w:tc>
        <w:tc>
          <w:tcPr>
            <w:tcW w:w="711" w:type="pct"/>
            <w:tcBorders>
              <w:tl2br w:val="nil"/>
              <w:tr2bl w:val="nil"/>
            </w:tcBorders>
            <w:noWrap w:val="0"/>
            <w:vAlign w:val="center"/>
          </w:tcPr>
          <w:p w14:paraId="2DD1AC15">
            <w:pPr>
              <w:keepNext w:val="0"/>
              <w:keepLines w:val="0"/>
              <w:pageBreakBefore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snapToGrid w:val="0"/>
                <w:color w:val="auto"/>
                <w:sz w:val="21"/>
                <w:highlight w:val="none"/>
                <w:lang w:val="en-US" w:eastAsia="zh-CN"/>
              </w:rPr>
            </w:pPr>
            <w:r>
              <w:rPr>
                <w:rFonts w:hint="default" w:ascii="Times New Roman" w:hAnsi="Times New Roman" w:eastAsia="宋体" w:cs="Times New Roman"/>
                <w:snapToGrid w:val="0"/>
                <w:color w:val="auto"/>
                <w:sz w:val="21"/>
                <w:highlight w:val="none"/>
                <w:lang w:val="en-US" w:eastAsia="zh-CN"/>
              </w:rPr>
              <w:t>侧向径流补给</w:t>
            </w:r>
          </w:p>
        </w:tc>
        <w:tc>
          <w:tcPr>
            <w:tcW w:w="711" w:type="pct"/>
            <w:tcBorders>
              <w:tl2br w:val="nil"/>
              <w:tr2bl w:val="nil"/>
            </w:tcBorders>
            <w:noWrap w:val="0"/>
            <w:vAlign w:val="center"/>
          </w:tcPr>
          <w:p w14:paraId="45BEE86D">
            <w:pPr>
              <w:keepNext w:val="0"/>
              <w:keepLines w:val="0"/>
              <w:pageBreakBefore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snapToGrid w:val="0"/>
                <w:color w:val="auto"/>
                <w:sz w:val="21"/>
                <w:highlight w:val="none"/>
                <w:lang w:val="en-US" w:eastAsia="zh-CN"/>
              </w:rPr>
            </w:pPr>
            <w:r>
              <w:rPr>
                <w:rFonts w:hint="default" w:ascii="Times New Roman" w:hAnsi="Times New Roman" w:eastAsia="宋体" w:cs="Times New Roman"/>
                <w:snapToGrid w:val="0"/>
                <w:color w:val="auto"/>
                <w:sz w:val="21"/>
                <w:highlight w:val="none"/>
                <w:lang w:val="en-US" w:eastAsia="zh-CN"/>
              </w:rPr>
              <w:t>侧向径流排泄</w:t>
            </w:r>
          </w:p>
        </w:tc>
        <w:tc>
          <w:tcPr>
            <w:tcW w:w="711" w:type="pct"/>
            <w:tcBorders>
              <w:tl2br w:val="nil"/>
              <w:tr2bl w:val="nil"/>
            </w:tcBorders>
            <w:noWrap w:val="0"/>
            <w:vAlign w:val="center"/>
          </w:tcPr>
          <w:p w14:paraId="0E39E8E1">
            <w:pPr>
              <w:keepNext w:val="0"/>
              <w:keepLines w:val="0"/>
              <w:pageBreakBefore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snapToGrid w:val="0"/>
                <w:color w:val="auto"/>
                <w:sz w:val="21"/>
                <w:highlight w:val="none"/>
                <w:lang w:val="en-US" w:eastAsia="zh-CN"/>
              </w:rPr>
            </w:pPr>
            <w:r>
              <w:rPr>
                <w:rFonts w:hint="eastAsia" w:ascii="Times New Roman" w:hAnsi="Times New Roman" w:eastAsia="宋体" w:cs="Times New Roman"/>
                <w:snapToGrid w:val="0"/>
                <w:color w:val="auto"/>
                <w:sz w:val="21"/>
                <w:highlight w:val="none"/>
                <w:lang w:val="en-US" w:eastAsia="zh-CN"/>
              </w:rPr>
              <w:t>地下水开采</w:t>
            </w:r>
          </w:p>
        </w:tc>
        <w:tc>
          <w:tcPr>
            <w:tcW w:w="714" w:type="pct"/>
            <w:tcBorders>
              <w:tl2br w:val="nil"/>
              <w:tr2bl w:val="nil"/>
            </w:tcBorders>
            <w:noWrap w:val="0"/>
            <w:vAlign w:val="center"/>
          </w:tcPr>
          <w:p w14:paraId="542B6CEB">
            <w:pPr>
              <w:keepNext w:val="0"/>
              <w:keepLines w:val="0"/>
              <w:pageBreakBefore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snapToGrid w:val="0"/>
                <w:color w:val="auto"/>
                <w:sz w:val="21"/>
                <w:highlight w:val="none"/>
                <w:lang w:val="en-US" w:eastAsia="zh-CN"/>
              </w:rPr>
            </w:pPr>
            <w:r>
              <w:rPr>
                <w:rFonts w:hint="default" w:ascii="Times New Roman" w:hAnsi="Times New Roman" w:eastAsia="宋体" w:cs="Times New Roman"/>
                <w:snapToGrid w:val="0"/>
                <w:color w:val="auto"/>
                <w:sz w:val="21"/>
                <w:highlight w:val="none"/>
                <w:lang w:val="en-US" w:eastAsia="zh-CN"/>
              </w:rPr>
              <w:t>潜水蒸发</w:t>
            </w:r>
          </w:p>
        </w:tc>
        <w:tc>
          <w:tcPr>
            <w:tcW w:w="483" w:type="pct"/>
            <w:vMerge w:val="continue"/>
            <w:tcBorders>
              <w:tl2br w:val="nil"/>
              <w:tr2bl w:val="nil"/>
            </w:tcBorders>
            <w:noWrap w:val="0"/>
            <w:vAlign w:val="center"/>
          </w:tcPr>
          <w:p w14:paraId="307743E1">
            <w:pPr>
              <w:keepNext w:val="0"/>
              <w:keepLines w:val="0"/>
              <w:pageBreakBefore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snapToGrid w:val="0"/>
                <w:color w:val="auto"/>
                <w:sz w:val="21"/>
                <w:highlight w:val="none"/>
                <w:lang w:val="en-US" w:eastAsia="zh-CN"/>
              </w:rPr>
            </w:pPr>
          </w:p>
        </w:tc>
      </w:tr>
      <w:tr w14:paraId="1FC09B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46" w:type="pct"/>
            <w:tcBorders>
              <w:tl2br w:val="nil"/>
              <w:tr2bl w:val="nil"/>
            </w:tcBorders>
            <w:noWrap w:val="0"/>
            <w:vAlign w:val="center"/>
          </w:tcPr>
          <w:p w14:paraId="7D83ADC2">
            <w:pPr>
              <w:keepNext w:val="0"/>
              <w:keepLines w:val="0"/>
              <w:pageBreakBefore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snapToGrid w:val="0"/>
                <w:color w:val="auto"/>
                <w:sz w:val="21"/>
                <w:highlight w:val="none"/>
                <w:lang w:val="en-US" w:eastAsia="zh-CN"/>
              </w:rPr>
            </w:pPr>
            <w:r>
              <w:rPr>
                <w:rFonts w:hint="default" w:ascii="Times New Roman" w:hAnsi="Times New Roman" w:eastAsia="宋体" w:cs="Times New Roman"/>
                <w:snapToGrid w:val="0"/>
                <w:color w:val="auto"/>
                <w:sz w:val="21"/>
                <w:highlight w:val="none"/>
                <w:lang w:val="en-US" w:eastAsia="zh-CN"/>
              </w:rPr>
              <w:t>数值</w:t>
            </w:r>
          </w:p>
        </w:tc>
        <w:tc>
          <w:tcPr>
            <w:tcW w:w="711" w:type="pct"/>
            <w:tcBorders>
              <w:tl2br w:val="nil"/>
              <w:tr2bl w:val="nil"/>
            </w:tcBorders>
            <w:noWrap w:val="0"/>
            <w:vAlign w:val="center"/>
          </w:tcPr>
          <w:p w14:paraId="543EB713">
            <w:pPr>
              <w:keepNext w:val="0"/>
              <w:keepLines w:val="0"/>
              <w:pageBreakBefore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snapToGrid w:val="0"/>
                <w:color w:val="auto"/>
                <w:sz w:val="21"/>
                <w:highlight w:val="none"/>
                <w:lang w:val="en-US" w:eastAsia="zh-CN"/>
              </w:rPr>
            </w:pPr>
            <w:r>
              <w:rPr>
                <w:rFonts w:hint="eastAsia" w:cs="Times New Roman"/>
                <w:snapToGrid w:val="0"/>
                <w:color w:val="auto"/>
                <w:sz w:val="21"/>
                <w:highlight w:val="none"/>
                <w:lang w:val="en-US" w:eastAsia="zh-CN"/>
              </w:rPr>
              <w:t>171.64</w:t>
            </w:r>
          </w:p>
        </w:tc>
        <w:tc>
          <w:tcPr>
            <w:tcW w:w="711" w:type="pct"/>
            <w:tcBorders>
              <w:tl2br w:val="nil"/>
              <w:tr2bl w:val="nil"/>
            </w:tcBorders>
            <w:noWrap w:val="0"/>
            <w:vAlign w:val="center"/>
          </w:tcPr>
          <w:p w14:paraId="32D037F1">
            <w:pPr>
              <w:keepNext w:val="0"/>
              <w:keepLines w:val="0"/>
              <w:pageBreakBefore w:val="0"/>
              <w:kinsoku/>
              <w:wordWrap/>
              <w:overflowPunct/>
              <w:topLinePunct w:val="0"/>
              <w:autoSpaceDE/>
              <w:autoSpaceDN/>
              <w:bidi w:val="0"/>
              <w:adjustRightInd/>
              <w:snapToGrid w:val="0"/>
              <w:spacing w:line="240" w:lineRule="auto"/>
              <w:ind w:firstLine="0" w:firstLineChars="0"/>
              <w:jc w:val="center"/>
              <w:textAlignment w:val="auto"/>
              <w:rPr>
                <w:rFonts w:hint="default" w:cs="Times New Roman"/>
                <w:snapToGrid w:val="0"/>
                <w:color w:val="auto"/>
                <w:sz w:val="21"/>
                <w:highlight w:val="none"/>
                <w:lang w:val="en-US" w:eastAsia="zh-CN"/>
              </w:rPr>
            </w:pPr>
            <w:r>
              <w:rPr>
                <w:rFonts w:hint="eastAsia" w:cs="Times New Roman"/>
                <w:snapToGrid w:val="0"/>
                <w:color w:val="auto"/>
                <w:sz w:val="21"/>
                <w:highlight w:val="none"/>
                <w:lang w:val="en-US" w:eastAsia="zh-CN"/>
              </w:rPr>
              <w:t>0</w:t>
            </w:r>
          </w:p>
        </w:tc>
        <w:tc>
          <w:tcPr>
            <w:tcW w:w="711" w:type="pct"/>
            <w:tcBorders>
              <w:tl2br w:val="nil"/>
              <w:tr2bl w:val="nil"/>
            </w:tcBorders>
            <w:noWrap w:val="0"/>
            <w:vAlign w:val="center"/>
          </w:tcPr>
          <w:p w14:paraId="066CB520">
            <w:pPr>
              <w:keepNext w:val="0"/>
              <w:keepLines w:val="0"/>
              <w:pageBreakBefore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snapToGrid w:val="0"/>
                <w:color w:val="auto"/>
                <w:sz w:val="21"/>
                <w:highlight w:val="none"/>
                <w:lang w:val="en-US" w:eastAsia="zh-CN"/>
              </w:rPr>
            </w:pPr>
            <w:r>
              <w:rPr>
                <w:rFonts w:hint="default" w:ascii="Times New Roman" w:hAnsi="Times New Roman" w:eastAsia="宋体" w:cs="Times New Roman"/>
                <w:snapToGrid w:val="0"/>
                <w:color w:val="auto"/>
                <w:sz w:val="21"/>
                <w:highlight w:val="none"/>
                <w:lang w:val="en-US" w:eastAsia="zh-CN"/>
              </w:rPr>
              <w:t>6.84</w:t>
            </w:r>
          </w:p>
        </w:tc>
        <w:tc>
          <w:tcPr>
            <w:tcW w:w="711" w:type="pct"/>
            <w:tcBorders>
              <w:tl2br w:val="nil"/>
              <w:tr2bl w:val="nil"/>
            </w:tcBorders>
            <w:noWrap w:val="0"/>
            <w:vAlign w:val="center"/>
          </w:tcPr>
          <w:p w14:paraId="28E2DBFC">
            <w:pPr>
              <w:keepNext w:val="0"/>
              <w:keepLines w:val="0"/>
              <w:pageBreakBefore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snapToGrid w:val="0"/>
                <w:color w:val="auto"/>
                <w:sz w:val="21"/>
                <w:highlight w:val="none"/>
                <w:lang w:val="en-US" w:eastAsia="zh-CN"/>
              </w:rPr>
            </w:pPr>
            <w:r>
              <w:rPr>
                <w:rFonts w:hint="default" w:ascii="Times New Roman" w:hAnsi="Times New Roman" w:eastAsia="宋体" w:cs="Times New Roman"/>
                <w:snapToGrid w:val="0"/>
                <w:color w:val="auto"/>
                <w:sz w:val="21"/>
                <w:highlight w:val="none"/>
                <w:lang w:val="en-US" w:eastAsia="zh-CN"/>
              </w:rPr>
              <w:t>7.52</w:t>
            </w:r>
          </w:p>
        </w:tc>
        <w:tc>
          <w:tcPr>
            <w:tcW w:w="711" w:type="pct"/>
            <w:tcBorders>
              <w:tl2br w:val="nil"/>
              <w:tr2bl w:val="nil"/>
            </w:tcBorders>
            <w:noWrap w:val="0"/>
            <w:vAlign w:val="center"/>
          </w:tcPr>
          <w:p w14:paraId="2DA4C050">
            <w:pPr>
              <w:keepNext w:val="0"/>
              <w:keepLines w:val="0"/>
              <w:pageBreakBefore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snapToGrid w:val="0"/>
                <w:color w:val="auto"/>
                <w:sz w:val="21"/>
                <w:highlight w:val="none"/>
                <w:lang w:val="en-US" w:eastAsia="zh-CN"/>
              </w:rPr>
            </w:pPr>
            <w:r>
              <w:rPr>
                <w:rFonts w:hint="eastAsia" w:cs="Times New Roman"/>
                <w:snapToGrid w:val="0"/>
                <w:color w:val="auto"/>
                <w:sz w:val="21"/>
                <w:highlight w:val="none"/>
                <w:lang w:val="en-US" w:eastAsia="zh-CN"/>
              </w:rPr>
              <w:t>0</w:t>
            </w:r>
          </w:p>
        </w:tc>
        <w:tc>
          <w:tcPr>
            <w:tcW w:w="714" w:type="pct"/>
            <w:tcBorders>
              <w:tl2br w:val="nil"/>
              <w:tr2bl w:val="nil"/>
            </w:tcBorders>
            <w:noWrap w:val="0"/>
            <w:vAlign w:val="center"/>
          </w:tcPr>
          <w:p w14:paraId="313AC317">
            <w:pPr>
              <w:keepNext w:val="0"/>
              <w:keepLines w:val="0"/>
              <w:pageBreakBefore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snapToGrid w:val="0"/>
                <w:color w:val="auto"/>
                <w:sz w:val="21"/>
                <w:highlight w:val="none"/>
                <w:lang w:val="en-US" w:eastAsia="zh-CN"/>
              </w:rPr>
            </w:pPr>
            <w:r>
              <w:rPr>
                <w:rFonts w:hint="eastAsia" w:cs="Times New Roman"/>
                <w:snapToGrid w:val="0"/>
                <w:color w:val="auto"/>
                <w:sz w:val="21"/>
                <w:highlight w:val="none"/>
                <w:lang w:val="en-US" w:eastAsia="zh-CN"/>
              </w:rPr>
              <w:t>167.54</w:t>
            </w:r>
          </w:p>
        </w:tc>
        <w:tc>
          <w:tcPr>
            <w:tcW w:w="483" w:type="pct"/>
            <w:tcBorders>
              <w:tl2br w:val="nil"/>
              <w:tr2bl w:val="nil"/>
            </w:tcBorders>
            <w:noWrap w:val="0"/>
            <w:vAlign w:val="center"/>
          </w:tcPr>
          <w:p w14:paraId="08B68E6F">
            <w:pPr>
              <w:keepNext w:val="0"/>
              <w:keepLines w:val="0"/>
              <w:pageBreakBefore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snapToGrid w:val="0"/>
                <w:color w:val="auto"/>
                <w:sz w:val="21"/>
                <w:highlight w:val="none"/>
                <w:lang w:val="en-US" w:eastAsia="zh-CN"/>
              </w:rPr>
            </w:pPr>
            <w:r>
              <w:rPr>
                <w:rFonts w:hint="default" w:ascii="Times New Roman" w:hAnsi="Times New Roman" w:eastAsia="宋体" w:cs="Times New Roman"/>
                <w:snapToGrid w:val="0"/>
                <w:color w:val="auto"/>
                <w:sz w:val="21"/>
                <w:highlight w:val="none"/>
                <w:lang w:val="en-US" w:eastAsia="zh-CN"/>
              </w:rPr>
              <w:t>3.42</w:t>
            </w:r>
          </w:p>
        </w:tc>
      </w:tr>
    </w:tbl>
    <w:p w14:paraId="6AEAD8A2">
      <w:pPr>
        <w:keepNext/>
        <w:keepLines/>
        <w:widowControl w:val="0"/>
        <w:adjustRightInd w:val="0"/>
        <w:snapToGrid w:val="0"/>
        <w:spacing w:beforeLines="0" w:afterLines="0" w:line="360" w:lineRule="auto"/>
        <w:ind w:left="0" w:firstLine="0" w:firstLineChars="0"/>
        <w:jc w:val="both"/>
        <w:outlineLvl w:val="4"/>
        <w:rPr>
          <w:rFonts w:hint="default" w:ascii="Times New Roman" w:hAnsi="Times New Roman" w:eastAsia="宋体" w:cs="Times New Roman"/>
          <w:b/>
          <w:bCs w:val="0"/>
          <w:color w:val="auto"/>
          <w:spacing w:val="5"/>
          <w:kern w:val="2"/>
          <w:sz w:val="24"/>
          <w:szCs w:val="28"/>
          <w:highlight w:val="none"/>
          <w:lang w:val="en-US" w:eastAsia="zh-CN" w:bidi="ar-SA"/>
        </w:rPr>
      </w:pPr>
      <w:r>
        <w:rPr>
          <w:rFonts w:hint="default" w:ascii="Times New Roman" w:hAnsi="Times New Roman" w:eastAsia="宋体" w:cs="Times New Roman"/>
          <w:b/>
          <w:bCs w:val="0"/>
          <w:color w:val="auto"/>
          <w:spacing w:val="5"/>
          <w:kern w:val="2"/>
          <w:sz w:val="24"/>
          <w:szCs w:val="28"/>
          <w:highlight w:val="none"/>
          <w:lang w:val="en-US" w:eastAsia="zh-CN" w:bidi="ar-SA"/>
        </w:rPr>
        <w:t>5.2.3.10.1地下水流数学模型</w:t>
      </w:r>
    </w:p>
    <w:p w14:paraId="387FD7CA">
      <w:pPr>
        <w:adjustRightInd w:val="0"/>
        <w:snapToGrid w:val="0"/>
        <w:spacing w:line="360" w:lineRule="auto"/>
        <w:ind w:firstLine="750" w:firstLineChars="300"/>
        <w:rPr>
          <w:rFonts w:hint="default" w:ascii="Times New Roman" w:hAnsi="Times New Roman" w:eastAsia="宋体" w:cs="Times New Roman"/>
          <w:color w:val="auto"/>
          <w:spacing w:val="5"/>
          <w:sz w:val="24"/>
          <w:szCs w:val="28"/>
          <w:highlight w:val="none"/>
        </w:rPr>
      </w:pPr>
      <w:r>
        <w:rPr>
          <w:rFonts w:hint="default" w:ascii="Times New Roman" w:hAnsi="Times New Roman" w:eastAsia="宋体" w:cs="Times New Roman"/>
          <w:color w:val="auto"/>
          <w:spacing w:val="5"/>
          <w:sz w:val="24"/>
          <w:szCs w:val="28"/>
          <w:highlight w:val="none"/>
        </w:rPr>
        <w:t>根据以上概化的水文地质模型，可相应写出地下水水流的数学模型：</w:t>
      </w:r>
    </w:p>
    <w:p w14:paraId="61EB6B51">
      <w:pPr>
        <w:adjustRightInd w:val="0"/>
        <w:snapToGrid w:val="0"/>
        <w:spacing w:line="360" w:lineRule="auto"/>
        <w:ind w:firstLine="500" w:firstLineChars="200"/>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drawing>
          <wp:inline distT="0" distB="0" distL="114300" distR="114300">
            <wp:extent cx="5189220" cy="1220470"/>
            <wp:effectExtent l="0" t="0" r="0" b="17780"/>
            <wp:docPr id="80" name="图片 31" descr="138133680843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1" descr="1381336808433203"/>
                    <pic:cNvPicPr>
                      <a:picLocks noChangeAspect="1"/>
                    </pic:cNvPicPr>
                  </pic:nvPicPr>
                  <pic:blipFill>
                    <a:blip r:embed="rId86"/>
                    <a:stretch>
                      <a:fillRect/>
                    </a:stretch>
                  </pic:blipFill>
                  <pic:spPr>
                    <a:xfrm>
                      <a:off x="0" y="0"/>
                      <a:ext cx="5189220" cy="1220470"/>
                    </a:xfrm>
                    <a:prstGeom prst="rect">
                      <a:avLst/>
                    </a:prstGeom>
                    <a:noFill/>
                    <a:ln>
                      <a:noFill/>
                    </a:ln>
                  </pic:spPr>
                </pic:pic>
              </a:graphicData>
            </a:graphic>
          </wp:inline>
        </w:drawing>
      </w:r>
    </w:p>
    <w:p w14:paraId="5E5E2A99">
      <w:pPr>
        <w:adjustRightInd w:val="0"/>
        <w:snapToGrid w:val="0"/>
        <w:spacing w:line="360" w:lineRule="auto"/>
        <w:ind w:firstLine="500" w:firstLineChars="200"/>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t>式中：</w:t>
      </w:r>
    </w:p>
    <w:p w14:paraId="7AE718D2">
      <w:pPr>
        <w:adjustRightInd w:val="0"/>
        <w:snapToGrid w:val="0"/>
        <w:spacing w:line="360" w:lineRule="auto"/>
        <w:ind w:firstLine="500" w:firstLineChars="200"/>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drawing>
          <wp:inline distT="0" distB="0" distL="114300" distR="114300">
            <wp:extent cx="180975" cy="160655"/>
            <wp:effectExtent l="0" t="0" r="0" b="12700"/>
            <wp:docPr id="66" name="图片 32" descr="141133680843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2" descr="1411336808433203"/>
                    <pic:cNvPicPr>
                      <a:picLocks noChangeAspect="1"/>
                    </pic:cNvPicPr>
                  </pic:nvPicPr>
                  <pic:blipFill>
                    <a:blip r:embed="rId87"/>
                    <a:stretch>
                      <a:fillRect/>
                    </a:stretch>
                  </pic:blipFill>
                  <pic:spPr>
                    <a:xfrm>
                      <a:off x="0" y="0"/>
                      <a:ext cx="180975" cy="160655"/>
                    </a:xfrm>
                    <a:prstGeom prst="rect">
                      <a:avLst/>
                    </a:prstGeom>
                    <a:noFill/>
                    <a:ln>
                      <a:noFill/>
                    </a:ln>
                  </pic:spPr>
                </pic:pic>
              </a:graphicData>
            </a:graphic>
          </wp:inline>
        </w:drawing>
      </w:r>
      <w:r>
        <w:rPr>
          <w:rFonts w:hint="default" w:ascii="Times New Roman" w:hAnsi="Times New Roman" w:eastAsia="宋体" w:cs="Times New Roman"/>
          <w:color w:val="auto"/>
          <w:spacing w:val="5"/>
          <w:sz w:val="24"/>
          <w:szCs w:val="25"/>
          <w:highlight w:val="none"/>
        </w:rPr>
        <w:t>---含水层水头（m）；</w:t>
      </w:r>
    </w:p>
    <w:p w14:paraId="347641EC">
      <w:pPr>
        <w:adjustRightInd w:val="0"/>
        <w:snapToGrid w:val="0"/>
        <w:spacing w:line="360" w:lineRule="auto"/>
        <w:ind w:firstLine="500" w:firstLineChars="200"/>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drawing>
          <wp:inline distT="0" distB="0" distL="114300" distR="114300">
            <wp:extent cx="561975" cy="227330"/>
            <wp:effectExtent l="0" t="0" r="9525" b="1270"/>
            <wp:docPr id="75" name="图片 33" descr="144133680843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3" descr="1441336808433203"/>
                    <pic:cNvPicPr>
                      <a:picLocks noChangeAspect="1"/>
                    </pic:cNvPicPr>
                  </pic:nvPicPr>
                  <pic:blipFill>
                    <a:blip r:embed="rId88"/>
                    <a:stretch>
                      <a:fillRect/>
                    </a:stretch>
                  </pic:blipFill>
                  <pic:spPr>
                    <a:xfrm>
                      <a:off x="0" y="0"/>
                      <a:ext cx="561975" cy="227330"/>
                    </a:xfrm>
                    <a:prstGeom prst="rect">
                      <a:avLst/>
                    </a:prstGeom>
                    <a:noFill/>
                    <a:ln>
                      <a:noFill/>
                    </a:ln>
                  </pic:spPr>
                </pic:pic>
              </a:graphicData>
            </a:graphic>
          </wp:inline>
        </w:drawing>
      </w:r>
      <w:r>
        <w:rPr>
          <w:rFonts w:hint="default" w:ascii="Times New Roman" w:hAnsi="Times New Roman" w:eastAsia="宋体" w:cs="Times New Roman"/>
          <w:color w:val="auto"/>
          <w:spacing w:val="5"/>
          <w:sz w:val="24"/>
          <w:szCs w:val="25"/>
          <w:highlight w:val="none"/>
        </w:rPr>
        <w:t>---含水层初始水头（m）；</w:t>
      </w:r>
    </w:p>
    <w:p w14:paraId="062E9B2E">
      <w:pPr>
        <w:adjustRightInd w:val="0"/>
        <w:snapToGrid w:val="0"/>
        <w:spacing w:line="360" w:lineRule="auto"/>
        <w:ind w:firstLine="500" w:firstLineChars="200"/>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drawing>
          <wp:inline distT="0" distB="0" distL="114300" distR="114300">
            <wp:extent cx="190500" cy="227330"/>
            <wp:effectExtent l="0" t="0" r="0" b="1270"/>
            <wp:docPr id="32" name="图片 34" descr="147133680843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4" descr="1471336808433203"/>
                    <pic:cNvPicPr>
                      <a:picLocks noChangeAspect="1"/>
                    </pic:cNvPicPr>
                  </pic:nvPicPr>
                  <pic:blipFill>
                    <a:blip r:embed="rId89"/>
                    <a:stretch>
                      <a:fillRect/>
                    </a:stretch>
                  </pic:blipFill>
                  <pic:spPr>
                    <a:xfrm>
                      <a:off x="0" y="0"/>
                      <a:ext cx="190500" cy="227330"/>
                    </a:xfrm>
                    <a:prstGeom prst="rect">
                      <a:avLst/>
                    </a:prstGeom>
                    <a:noFill/>
                    <a:ln>
                      <a:noFill/>
                    </a:ln>
                  </pic:spPr>
                </pic:pic>
              </a:graphicData>
            </a:graphic>
          </wp:inline>
        </w:drawing>
      </w:r>
      <w:r>
        <w:rPr>
          <w:rFonts w:hint="default" w:ascii="Times New Roman" w:hAnsi="Times New Roman" w:eastAsia="宋体" w:cs="Times New Roman"/>
          <w:color w:val="auto"/>
          <w:spacing w:val="5"/>
          <w:sz w:val="24"/>
          <w:szCs w:val="25"/>
          <w:highlight w:val="none"/>
        </w:rPr>
        <w:t>---含水层底板高程（m）；</w:t>
      </w:r>
    </w:p>
    <w:p w14:paraId="38FE13C3">
      <w:pPr>
        <w:adjustRightInd w:val="0"/>
        <w:snapToGrid w:val="0"/>
        <w:spacing w:line="360" w:lineRule="auto"/>
        <w:ind w:firstLine="500" w:firstLineChars="200"/>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drawing>
          <wp:inline distT="0" distB="0" distL="114300" distR="114300">
            <wp:extent cx="121920" cy="182245"/>
            <wp:effectExtent l="0" t="0" r="11430" b="7620"/>
            <wp:docPr id="35" name="图片 35" descr="150133680843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501336808433203"/>
                    <pic:cNvPicPr>
                      <a:picLocks noChangeAspect="1"/>
                    </pic:cNvPicPr>
                  </pic:nvPicPr>
                  <pic:blipFill>
                    <a:blip r:embed="rId90"/>
                    <a:stretch>
                      <a:fillRect/>
                    </a:stretch>
                  </pic:blipFill>
                  <pic:spPr>
                    <a:xfrm>
                      <a:off x="0" y="0"/>
                      <a:ext cx="121920" cy="182245"/>
                    </a:xfrm>
                    <a:prstGeom prst="rect">
                      <a:avLst/>
                    </a:prstGeom>
                    <a:noFill/>
                    <a:ln>
                      <a:noFill/>
                    </a:ln>
                  </pic:spPr>
                </pic:pic>
              </a:graphicData>
            </a:graphic>
          </wp:inline>
        </w:drawing>
      </w:r>
      <w:r>
        <w:rPr>
          <w:rFonts w:hint="default" w:ascii="Times New Roman" w:hAnsi="Times New Roman" w:eastAsia="宋体" w:cs="Times New Roman"/>
          <w:color w:val="auto"/>
          <w:spacing w:val="5"/>
          <w:sz w:val="24"/>
          <w:szCs w:val="25"/>
          <w:highlight w:val="none"/>
        </w:rPr>
        <w:t>---含水层渗透系数（m/d）；</w:t>
      </w:r>
    </w:p>
    <w:p w14:paraId="65874D4B">
      <w:pPr>
        <w:adjustRightInd w:val="0"/>
        <w:snapToGrid w:val="0"/>
        <w:spacing w:line="360" w:lineRule="auto"/>
        <w:ind w:firstLine="500" w:firstLineChars="200"/>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drawing>
          <wp:inline distT="0" distB="0" distL="114300" distR="114300">
            <wp:extent cx="151765" cy="160655"/>
            <wp:effectExtent l="0" t="0" r="635" b="12065"/>
            <wp:docPr id="62" name="图片 36" descr="153133680843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6" descr="1531336808433203"/>
                    <pic:cNvPicPr>
                      <a:picLocks noChangeAspect="1"/>
                    </pic:cNvPicPr>
                  </pic:nvPicPr>
                  <pic:blipFill>
                    <a:blip r:embed="rId91"/>
                    <a:stretch>
                      <a:fillRect/>
                    </a:stretch>
                  </pic:blipFill>
                  <pic:spPr>
                    <a:xfrm>
                      <a:off x="0" y="0"/>
                      <a:ext cx="151765" cy="160655"/>
                    </a:xfrm>
                    <a:prstGeom prst="rect">
                      <a:avLst/>
                    </a:prstGeom>
                    <a:noFill/>
                    <a:ln>
                      <a:noFill/>
                    </a:ln>
                  </pic:spPr>
                </pic:pic>
              </a:graphicData>
            </a:graphic>
          </wp:inline>
        </w:drawing>
      </w:r>
      <w:r>
        <w:rPr>
          <w:rFonts w:hint="default" w:ascii="Times New Roman" w:hAnsi="Times New Roman" w:eastAsia="宋体" w:cs="Times New Roman"/>
          <w:color w:val="auto"/>
          <w:spacing w:val="5"/>
          <w:sz w:val="24"/>
          <w:szCs w:val="25"/>
          <w:highlight w:val="none"/>
        </w:rPr>
        <w:t>---含水层给水度；</w:t>
      </w:r>
    </w:p>
    <w:p w14:paraId="479BA9C6">
      <w:pPr>
        <w:adjustRightInd w:val="0"/>
        <w:snapToGrid w:val="0"/>
        <w:spacing w:line="360" w:lineRule="auto"/>
        <w:ind w:firstLine="500" w:firstLineChars="200"/>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drawing>
          <wp:inline distT="0" distB="0" distL="114300" distR="114300">
            <wp:extent cx="180975" cy="182245"/>
            <wp:effectExtent l="0" t="0" r="8890" b="7620"/>
            <wp:docPr id="37" name="图片 37" descr="156133680843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1561336808433203"/>
                    <pic:cNvPicPr>
                      <a:picLocks noChangeAspect="1"/>
                    </pic:cNvPicPr>
                  </pic:nvPicPr>
                  <pic:blipFill>
                    <a:blip r:embed="rId92"/>
                    <a:stretch>
                      <a:fillRect/>
                    </a:stretch>
                  </pic:blipFill>
                  <pic:spPr>
                    <a:xfrm>
                      <a:off x="0" y="0"/>
                      <a:ext cx="180975" cy="182245"/>
                    </a:xfrm>
                    <a:prstGeom prst="rect">
                      <a:avLst/>
                    </a:prstGeom>
                    <a:noFill/>
                    <a:ln>
                      <a:noFill/>
                    </a:ln>
                  </pic:spPr>
                </pic:pic>
              </a:graphicData>
            </a:graphic>
          </wp:inline>
        </w:drawing>
      </w:r>
      <w:r>
        <w:rPr>
          <w:rFonts w:hint="default" w:ascii="Times New Roman" w:hAnsi="Times New Roman" w:eastAsia="宋体" w:cs="Times New Roman"/>
          <w:color w:val="auto"/>
          <w:spacing w:val="5"/>
          <w:sz w:val="24"/>
          <w:szCs w:val="25"/>
          <w:highlight w:val="none"/>
        </w:rPr>
        <w:t>---含水层垂向补给强度（包括降水等渗漏补给）（m/d）；</w:t>
      </w:r>
    </w:p>
    <w:p w14:paraId="0197EAE3">
      <w:pPr>
        <w:adjustRightInd w:val="0"/>
        <w:snapToGrid w:val="0"/>
        <w:spacing w:line="360" w:lineRule="auto"/>
        <w:ind w:firstLine="500" w:firstLineChars="200"/>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drawing>
          <wp:inline distT="0" distB="0" distL="114300" distR="114300">
            <wp:extent cx="151765" cy="160655"/>
            <wp:effectExtent l="0" t="0" r="0" b="12700"/>
            <wp:docPr id="73" name="图片 38" descr="159133680843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38" descr="1591336808433203"/>
                    <pic:cNvPicPr>
                      <a:picLocks noChangeAspect="1"/>
                    </pic:cNvPicPr>
                  </pic:nvPicPr>
                  <pic:blipFill>
                    <a:blip r:embed="rId93"/>
                    <a:stretch>
                      <a:fillRect/>
                    </a:stretch>
                  </pic:blipFill>
                  <pic:spPr>
                    <a:xfrm>
                      <a:off x="0" y="0"/>
                      <a:ext cx="151765" cy="160655"/>
                    </a:xfrm>
                    <a:prstGeom prst="rect">
                      <a:avLst/>
                    </a:prstGeom>
                    <a:noFill/>
                    <a:ln>
                      <a:noFill/>
                    </a:ln>
                  </pic:spPr>
                </pic:pic>
              </a:graphicData>
            </a:graphic>
          </wp:inline>
        </w:drawing>
      </w:r>
      <w:r>
        <w:rPr>
          <w:rFonts w:hint="default" w:ascii="Times New Roman" w:hAnsi="Times New Roman" w:eastAsia="宋体" w:cs="Times New Roman"/>
          <w:color w:val="auto"/>
          <w:spacing w:val="5"/>
          <w:sz w:val="24"/>
          <w:szCs w:val="25"/>
          <w:highlight w:val="none"/>
        </w:rPr>
        <w:t>---地下水蒸发排泄强度（m/d）；</w:t>
      </w:r>
    </w:p>
    <w:p w14:paraId="44C464CF">
      <w:pPr>
        <w:adjustRightInd w:val="0"/>
        <w:snapToGrid w:val="0"/>
        <w:spacing w:line="360" w:lineRule="auto"/>
        <w:ind w:firstLine="500" w:firstLineChars="200"/>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drawing>
          <wp:inline distT="0" distB="0" distL="114300" distR="114300">
            <wp:extent cx="151765" cy="160655"/>
            <wp:effectExtent l="0" t="0" r="0" b="12700"/>
            <wp:docPr id="79" name="图片 39" descr="162133680843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39" descr="1621336808433203"/>
                    <pic:cNvPicPr>
                      <a:picLocks noChangeAspect="1"/>
                    </pic:cNvPicPr>
                  </pic:nvPicPr>
                  <pic:blipFill>
                    <a:blip r:embed="rId94"/>
                    <a:stretch>
                      <a:fillRect/>
                    </a:stretch>
                  </pic:blipFill>
                  <pic:spPr>
                    <a:xfrm>
                      <a:off x="0" y="0"/>
                      <a:ext cx="151765" cy="160655"/>
                    </a:xfrm>
                    <a:prstGeom prst="rect">
                      <a:avLst/>
                    </a:prstGeom>
                    <a:noFill/>
                    <a:ln>
                      <a:noFill/>
                    </a:ln>
                  </pic:spPr>
                </pic:pic>
              </a:graphicData>
            </a:graphic>
          </wp:inline>
        </w:drawing>
      </w:r>
      <w:r>
        <w:rPr>
          <w:rFonts w:hint="default" w:ascii="Times New Roman" w:hAnsi="Times New Roman" w:eastAsia="宋体" w:cs="Times New Roman"/>
          <w:color w:val="auto"/>
          <w:spacing w:val="5"/>
          <w:sz w:val="24"/>
          <w:szCs w:val="25"/>
          <w:highlight w:val="none"/>
        </w:rPr>
        <w:t>---含水层开采强度（m/d）；</w:t>
      </w:r>
    </w:p>
    <w:p w14:paraId="4A8D06C1">
      <w:pPr>
        <w:adjustRightInd w:val="0"/>
        <w:snapToGrid w:val="0"/>
        <w:spacing w:line="360" w:lineRule="auto"/>
        <w:ind w:firstLine="500" w:firstLineChars="200"/>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drawing>
          <wp:inline distT="0" distB="0" distL="114300" distR="114300">
            <wp:extent cx="180975" cy="219710"/>
            <wp:effectExtent l="0" t="0" r="9525" b="6985"/>
            <wp:docPr id="36" name="图片 40" descr="165133680843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0" descr="1651336808433203"/>
                    <pic:cNvPicPr>
                      <a:picLocks noChangeAspect="1"/>
                    </pic:cNvPicPr>
                  </pic:nvPicPr>
                  <pic:blipFill>
                    <a:blip r:embed="rId95"/>
                    <a:stretch>
                      <a:fillRect/>
                    </a:stretch>
                  </pic:blipFill>
                  <pic:spPr>
                    <a:xfrm>
                      <a:off x="0" y="0"/>
                      <a:ext cx="180975" cy="219710"/>
                    </a:xfrm>
                    <a:prstGeom prst="rect">
                      <a:avLst/>
                    </a:prstGeom>
                    <a:noFill/>
                    <a:ln>
                      <a:noFill/>
                    </a:ln>
                  </pic:spPr>
                </pic:pic>
              </a:graphicData>
            </a:graphic>
          </wp:inline>
        </w:drawing>
      </w:r>
      <w:r>
        <w:rPr>
          <w:rFonts w:hint="default" w:ascii="Times New Roman" w:hAnsi="Times New Roman" w:eastAsia="宋体" w:cs="Times New Roman"/>
          <w:color w:val="auto"/>
          <w:spacing w:val="5"/>
          <w:sz w:val="24"/>
          <w:szCs w:val="25"/>
          <w:highlight w:val="none"/>
        </w:rPr>
        <w:t>---已知流量边界；</w:t>
      </w:r>
    </w:p>
    <w:p w14:paraId="649F07AA">
      <w:pPr>
        <w:adjustRightInd w:val="0"/>
        <w:snapToGrid w:val="0"/>
        <w:spacing w:line="360" w:lineRule="auto"/>
        <w:ind w:firstLine="500" w:firstLineChars="200"/>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drawing>
          <wp:inline distT="0" distB="0" distL="114300" distR="114300">
            <wp:extent cx="542290" cy="219710"/>
            <wp:effectExtent l="0" t="0" r="10160" b="8890"/>
            <wp:docPr id="63" name="图片 41" descr="168133680843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1" descr="1681336808433203"/>
                    <pic:cNvPicPr>
                      <a:picLocks noChangeAspect="1"/>
                    </pic:cNvPicPr>
                  </pic:nvPicPr>
                  <pic:blipFill>
                    <a:blip r:embed="rId96"/>
                    <a:stretch>
                      <a:fillRect/>
                    </a:stretch>
                  </pic:blipFill>
                  <pic:spPr>
                    <a:xfrm>
                      <a:off x="0" y="0"/>
                      <a:ext cx="542290" cy="219710"/>
                    </a:xfrm>
                    <a:prstGeom prst="rect">
                      <a:avLst/>
                    </a:prstGeom>
                    <a:noFill/>
                    <a:ln>
                      <a:noFill/>
                    </a:ln>
                  </pic:spPr>
                </pic:pic>
              </a:graphicData>
            </a:graphic>
          </wp:inline>
        </w:drawing>
      </w:r>
      <w:r>
        <w:rPr>
          <w:rFonts w:hint="default" w:ascii="Times New Roman" w:hAnsi="Times New Roman" w:eastAsia="宋体" w:cs="Times New Roman"/>
          <w:color w:val="auto"/>
          <w:spacing w:val="5"/>
          <w:sz w:val="24"/>
          <w:szCs w:val="25"/>
          <w:highlight w:val="none"/>
        </w:rPr>
        <w:t>---含水层侧向单宽补排量（m</w:t>
      </w:r>
      <w:r>
        <w:rPr>
          <w:rFonts w:hint="default" w:ascii="Times New Roman" w:hAnsi="Times New Roman" w:eastAsia="宋体" w:cs="Times New Roman"/>
          <w:color w:val="auto"/>
          <w:spacing w:val="5"/>
          <w:sz w:val="24"/>
          <w:szCs w:val="25"/>
          <w:highlight w:val="none"/>
          <w:vertAlign w:val="superscript"/>
        </w:rPr>
        <w:t>2</w:t>
      </w:r>
      <w:r>
        <w:rPr>
          <w:rFonts w:hint="default" w:ascii="Times New Roman" w:hAnsi="Times New Roman" w:eastAsia="宋体" w:cs="Times New Roman"/>
          <w:color w:val="auto"/>
          <w:spacing w:val="5"/>
          <w:sz w:val="24"/>
          <w:szCs w:val="25"/>
          <w:highlight w:val="none"/>
        </w:rPr>
        <w:t>/d），流入时取正，流出时取负，隔水边界时取0；</w:t>
      </w:r>
    </w:p>
    <w:p w14:paraId="5E382065">
      <w:pPr>
        <w:adjustRightInd w:val="0"/>
        <w:snapToGrid w:val="0"/>
        <w:spacing w:line="360" w:lineRule="auto"/>
        <w:ind w:firstLine="500" w:firstLineChars="200"/>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drawing>
          <wp:inline distT="0" distB="0" distL="114300" distR="114300">
            <wp:extent cx="121920" cy="182245"/>
            <wp:effectExtent l="0" t="0" r="11430" b="7620"/>
            <wp:docPr id="76" name="图片 42" descr="171133680843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42" descr="1711336808433203"/>
                    <pic:cNvPicPr>
                      <a:picLocks noChangeAspect="1"/>
                    </pic:cNvPicPr>
                  </pic:nvPicPr>
                  <pic:blipFill>
                    <a:blip r:embed="rId97"/>
                    <a:stretch>
                      <a:fillRect/>
                    </a:stretch>
                  </pic:blipFill>
                  <pic:spPr>
                    <a:xfrm>
                      <a:off x="0" y="0"/>
                      <a:ext cx="121920" cy="182245"/>
                    </a:xfrm>
                    <a:prstGeom prst="rect">
                      <a:avLst/>
                    </a:prstGeom>
                    <a:noFill/>
                    <a:ln>
                      <a:noFill/>
                    </a:ln>
                  </pic:spPr>
                </pic:pic>
              </a:graphicData>
            </a:graphic>
          </wp:inline>
        </w:drawing>
      </w:r>
      <w:r>
        <w:rPr>
          <w:rFonts w:hint="default" w:ascii="Times New Roman" w:hAnsi="Times New Roman" w:eastAsia="宋体" w:cs="Times New Roman"/>
          <w:color w:val="auto"/>
          <w:spacing w:val="5"/>
          <w:sz w:val="24"/>
          <w:szCs w:val="25"/>
          <w:highlight w:val="none"/>
        </w:rPr>
        <w:t>---边界上的外法线方向；</w:t>
      </w:r>
    </w:p>
    <w:p w14:paraId="682D8D01">
      <w:pPr>
        <w:adjustRightInd w:val="0"/>
        <w:snapToGrid w:val="0"/>
        <w:spacing w:line="360" w:lineRule="auto"/>
        <w:ind w:firstLine="500" w:firstLineChars="200"/>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drawing>
          <wp:inline distT="0" distB="0" distL="114300" distR="114300">
            <wp:extent cx="161290" cy="160655"/>
            <wp:effectExtent l="0" t="0" r="0" b="12700"/>
            <wp:docPr id="74" name="图片 43" descr="174133680843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43" descr="1741336808433203"/>
                    <pic:cNvPicPr>
                      <a:picLocks noChangeAspect="1"/>
                    </pic:cNvPicPr>
                  </pic:nvPicPr>
                  <pic:blipFill>
                    <a:blip r:embed="rId98"/>
                    <a:stretch>
                      <a:fillRect/>
                    </a:stretch>
                  </pic:blipFill>
                  <pic:spPr>
                    <a:xfrm>
                      <a:off x="0" y="0"/>
                      <a:ext cx="161290" cy="160655"/>
                    </a:xfrm>
                    <a:prstGeom prst="rect">
                      <a:avLst/>
                    </a:prstGeom>
                    <a:noFill/>
                    <a:ln>
                      <a:noFill/>
                    </a:ln>
                  </pic:spPr>
                </pic:pic>
              </a:graphicData>
            </a:graphic>
          </wp:inline>
        </w:drawing>
      </w:r>
      <w:r>
        <w:rPr>
          <w:rFonts w:hint="default" w:ascii="Times New Roman" w:hAnsi="Times New Roman" w:eastAsia="宋体" w:cs="Times New Roman"/>
          <w:color w:val="auto"/>
          <w:spacing w:val="5"/>
          <w:sz w:val="24"/>
          <w:szCs w:val="25"/>
          <w:highlight w:val="none"/>
        </w:rPr>
        <w:t>---计算区范围；</w:t>
      </w:r>
    </w:p>
    <w:p w14:paraId="333C5352">
      <w:pPr>
        <w:keepNext/>
        <w:keepLines/>
        <w:widowControl w:val="0"/>
        <w:adjustRightInd w:val="0"/>
        <w:snapToGrid w:val="0"/>
        <w:spacing w:beforeLines="0" w:afterLines="0" w:line="360" w:lineRule="auto"/>
        <w:ind w:left="0" w:firstLine="0" w:firstLineChars="0"/>
        <w:jc w:val="both"/>
        <w:outlineLvl w:val="4"/>
        <w:rPr>
          <w:rFonts w:hint="default" w:ascii="Times New Roman" w:hAnsi="Times New Roman" w:eastAsia="宋体" w:cs="Times New Roman"/>
          <w:b/>
          <w:bCs w:val="0"/>
          <w:color w:val="auto"/>
          <w:spacing w:val="5"/>
          <w:kern w:val="2"/>
          <w:sz w:val="24"/>
          <w:szCs w:val="28"/>
          <w:highlight w:val="none"/>
          <w:lang w:val="en-US" w:eastAsia="zh-CN" w:bidi="ar-SA"/>
        </w:rPr>
      </w:pPr>
      <w:r>
        <w:rPr>
          <w:rFonts w:hint="default" w:ascii="Times New Roman" w:hAnsi="Times New Roman" w:eastAsia="宋体" w:cs="Times New Roman"/>
          <w:b/>
          <w:bCs w:val="0"/>
          <w:color w:val="auto"/>
          <w:spacing w:val="5"/>
          <w:kern w:val="2"/>
          <w:sz w:val="24"/>
          <w:szCs w:val="28"/>
          <w:highlight w:val="none"/>
          <w:lang w:val="en-US" w:eastAsia="zh-CN" w:bidi="ar-SA"/>
        </w:rPr>
        <w:t>5.2.3.10.2地下水流数值模型的建立</w:t>
      </w:r>
    </w:p>
    <w:p w14:paraId="58B197DC">
      <w:pPr>
        <w:adjustRightInd w:val="0"/>
        <w:snapToGrid w:val="0"/>
        <w:spacing w:line="360" w:lineRule="auto"/>
        <w:ind w:firstLine="500" w:firstLineChars="200"/>
        <w:rPr>
          <w:rFonts w:hint="default" w:ascii="Times New Roman" w:hAnsi="Times New Roman" w:eastAsia="宋体" w:cs="Times New Roman"/>
          <w:color w:val="auto"/>
          <w:spacing w:val="5"/>
          <w:sz w:val="24"/>
          <w:szCs w:val="28"/>
          <w:highlight w:val="none"/>
        </w:rPr>
      </w:pPr>
      <w:r>
        <w:rPr>
          <w:rFonts w:hint="default" w:ascii="Times New Roman" w:hAnsi="Times New Roman" w:eastAsia="宋体" w:cs="Times New Roman"/>
          <w:color w:val="auto"/>
          <w:spacing w:val="5"/>
          <w:sz w:val="24"/>
          <w:szCs w:val="28"/>
          <w:highlight w:val="none"/>
        </w:rPr>
        <w:t>（1）软件选择</w:t>
      </w:r>
    </w:p>
    <w:p w14:paraId="0C0C178C">
      <w:pPr>
        <w:adjustRightInd w:val="0"/>
        <w:snapToGrid w:val="0"/>
        <w:spacing w:line="360" w:lineRule="auto"/>
        <w:ind w:firstLine="500" w:firstLineChars="200"/>
        <w:rPr>
          <w:rFonts w:hint="default" w:ascii="Times New Roman" w:hAnsi="Times New Roman" w:eastAsia="宋体" w:cs="Times New Roman"/>
          <w:color w:val="auto"/>
          <w:spacing w:val="5"/>
          <w:sz w:val="24"/>
          <w:szCs w:val="28"/>
          <w:highlight w:val="none"/>
        </w:rPr>
      </w:pPr>
      <w:r>
        <w:rPr>
          <w:rFonts w:hint="default" w:ascii="Times New Roman" w:hAnsi="Times New Roman" w:eastAsia="宋体" w:cs="Times New Roman"/>
          <w:color w:val="auto"/>
          <w:spacing w:val="5"/>
          <w:sz w:val="24"/>
          <w:szCs w:val="28"/>
          <w:highlight w:val="none"/>
        </w:rPr>
        <w:t>本次工作，选用通用的地下水模型软件VisualModflow建立研究区的地下水流模拟模型，该软件VisualModflow是基于美国地质调查局的地下水流有限差分计算程序MODFLOW、由加拿大滑铁卢大学水资源研究所开发的地下水模拟软件。该软件继承了地下水流计算程序MODFLOW的优点，具有模块化特点，处理不同的边界和源汇项都有专门独立的模块，便于整理输入数据和修改调试模型。作为一款可视化水流模拟软件，它的界面十分友好，条理清晰，菜单与模块化的程序相对应，更为可取的是它提供了比较好的模型数据前处理和后处理的接口，原始数据不用过多处理就可以从软件界面输入，模型计算完成后可以可视化显示流场、水位过程线以及降深等，并且可以输出图形和数据。</w:t>
      </w:r>
    </w:p>
    <w:p w14:paraId="711B66E5">
      <w:pPr>
        <w:adjustRightInd w:val="0"/>
        <w:snapToGrid w:val="0"/>
        <w:spacing w:line="360" w:lineRule="auto"/>
        <w:ind w:firstLine="500" w:firstLineChars="200"/>
        <w:rPr>
          <w:rFonts w:hint="default" w:ascii="Times New Roman" w:hAnsi="Times New Roman" w:eastAsia="宋体" w:cs="Times New Roman"/>
          <w:color w:val="auto"/>
          <w:spacing w:val="5"/>
          <w:sz w:val="24"/>
          <w:szCs w:val="28"/>
          <w:highlight w:val="none"/>
        </w:rPr>
      </w:pPr>
      <w:r>
        <w:rPr>
          <w:rFonts w:hint="default" w:ascii="Times New Roman" w:hAnsi="Times New Roman" w:eastAsia="宋体" w:cs="Times New Roman"/>
          <w:color w:val="auto"/>
          <w:spacing w:val="5"/>
          <w:sz w:val="24"/>
          <w:szCs w:val="28"/>
          <w:highlight w:val="none"/>
        </w:rPr>
        <w:t>另一方面，VisualModflow包含与Modflow地下水流模拟配套的地下水溶质运移模块MT3DMS，便于下一步建立本项目溶质运移模型。</w:t>
      </w:r>
    </w:p>
    <w:p w14:paraId="3E09E848">
      <w:pPr>
        <w:adjustRightInd w:val="0"/>
        <w:snapToGrid w:val="0"/>
        <w:spacing w:line="360" w:lineRule="auto"/>
        <w:ind w:firstLine="500" w:firstLineChars="200"/>
        <w:rPr>
          <w:rFonts w:hint="default" w:ascii="Times New Roman" w:hAnsi="Times New Roman" w:eastAsia="宋体" w:cs="Times New Roman"/>
          <w:color w:val="auto"/>
          <w:spacing w:val="5"/>
          <w:sz w:val="24"/>
          <w:szCs w:val="28"/>
          <w:highlight w:val="none"/>
        </w:rPr>
      </w:pPr>
      <w:r>
        <w:rPr>
          <w:rFonts w:hint="default" w:ascii="Times New Roman" w:hAnsi="Times New Roman" w:eastAsia="宋体" w:cs="Times New Roman"/>
          <w:color w:val="auto"/>
          <w:spacing w:val="5"/>
          <w:sz w:val="24"/>
          <w:szCs w:val="28"/>
          <w:highlight w:val="none"/>
        </w:rPr>
        <w:t>（2）区域剖分</w:t>
      </w:r>
    </w:p>
    <w:p w14:paraId="1CCE675F">
      <w:pPr>
        <w:adjustRightInd w:val="0"/>
        <w:snapToGrid w:val="0"/>
        <w:spacing w:line="360" w:lineRule="auto"/>
        <w:ind w:firstLine="500" w:firstLineChars="200"/>
        <w:rPr>
          <w:rFonts w:hint="default" w:ascii="Times New Roman" w:hAnsi="Times New Roman" w:eastAsia="宋体" w:cs="Times New Roman"/>
          <w:color w:val="auto"/>
          <w:spacing w:val="5"/>
          <w:sz w:val="24"/>
          <w:szCs w:val="28"/>
          <w:highlight w:val="none"/>
        </w:rPr>
      </w:pPr>
      <w:r>
        <w:rPr>
          <w:rFonts w:hint="default" w:ascii="Times New Roman" w:hAnsi="Times New Roman" w:eastAsia="宋体" w:cs="Times New Roman"/>
          <w:color w:val="auto"/>
          <w:spacing w:val="5"/>
          <w:sz w:val="24"/>
          <w:szCs w:val="28"/>
          <w:highlight w:val="none"/>
        </w:rPr>
        <w:t>地下水流模拟旨在为进一步模拟地下水中污染物迁移提供地下水流场等基础条件，为进一步预测拟建项目对地下水环境的影响提供科学依据。本次地下水数值模拟的目的是在地下水流场模拟的基础上预测场区地下水污染的时空分布特征。根据本次地下水数值模拟的目的，渗流区的剖分在项目场地网格加密，在外围区域适当疏一些。对整个区域模型采用矩形网格剖分，剖分为</w:t>
      </w:r>
      <w:r>
        <w:rPr>
          <w:rFonts w:hint="default" w:ascii="Times New Roman" w:hAnsi="Times New Roman" w:eastAsia="宋体" w:cs="Times New Roman"/>
          <w:color w:val="auto"/>
          <w:spacing w:val="5"/>
          <w:sz w:val="24"/>
          <w:szCs w:val="28"/>
          <w:highlight w:val="none"/>
          <w:lang w:val="en-US" w:eastAsia="zh-CN"/>
        </w:rPr>
        <w:t>50</w:t>
      </w:r>
      <w:r>
        <w:rPr>
          <w:rFonts w:hint="default" w:ascii="Times New Roman" w:hAnsi="Times New Roman" w:eastAsia="宋体" w:cs="Times New Roman"/>
          <w:color w:val="auto"/>
          <w:spacing w:val="5"/>
          <w:sz w:val="24"/>
          <w:szCs w:val="28"/>
          <w:highlight w:val="none"/>
        </w:rPr>
        <w:t>行</w:t>
      </w:r>
      <w:r>
        <w:rPr>
          <w:rFonts w:hint="default" w:ascii="Times New Roman" w:hAnsi="Times New Roman" w:eastAsia="宋体" w:cs="Times New Roman"/>
          <w:color w:val="auto"/>
          <w:spacing w:val="5"/>
          <w:sz w:val="24"/>
          <w:szCs w:val="28"/>
          <w:highlight w:val="none"/>
          <w:lang w:val="en-US" w:eastAsia="zh-CN"/>
        </w:rPr>
        <w:t>50</w:t>
      </w:r>
      <w:r>
        <w:rPr>
          <w:rFonts w:hint="default" w:ascii="Times New Roman" w:hAnsi="Times New Roman" w:eastAsia="宋体" w:cs="Times New Roman"/>
          <w:color w:val="auto"/>
          <w:spacing w:val="5"/>
          <w:sz w:val="24"/>
          <w:szCs w:val="28"/>
          <w:highlight w:val="none"/>
        </w:rPr>
        <w:t>列，共剖分矩形网格单元</w:t>
      </w:r>
      <w:r>
        <w:rPr>
          <w:rFonts w:hint="default" w:ascii="Times New Roman" w:hAnsi="Times New Roman" w:eastAsia="宋体" w:cs="Times New Roman"/>
          <w:color w:val="auto"/>
          <w:spacing w:val="5"/>
          <w:sz w:val="24"/>
          <w:szCs w:val="28"/>
          <w:highlight w:val="none"/>
          <w:lang w:val="en-US" w:eastAsia="zh-CN"/>
        </w:rPr>
        <w:t>2500</w:t>
      </w:r>
      <w:r>
        <w:rPr>
          <w:rFonts w:hint="default" w:ascii="Times New Roman" w:hAnsi="Times New Roman" w:eastAsia="宋体" w:cs="Times New Roman"/>
          <w:color w:val="auto"/>
          <w:spacing w:val="5"/>
          <w:sz w:val="24"/>
          <w:szCs w:val="28"/>
          <w:highlight w:val="none"/>
        </w:rPr>
        <w:t>个，计算节点位于单元中心。模拟区网格剖分见图</w:t>
      </w:r>
      <w:r>
        <w:rPr>
          <w:rFonts w:hint="eastAsia" w:cs="Times New Roman"/>
          <w:color w:val="auto"/>
          <w:spacing w:val="5"/>
          <w:sz w:val="24"/>
          <w:szCs w:val="28"/>
          <w:highlight w:val="none"/>
          <w:lang w:val="en-US" w:eastAsia="zh-CN"/>
        </w:rPr>
        <w:t>5</w:t>
      </w:r>
      <w:r>
        <w:rPr>
          <w:rFonts w:hint="default" w:ascii="Times New Roman" w:hAnsi="Times New Roman" w:eastAsia="宋体" w:cs="Times New Roman"/>
          <w:color w:val="auto"/>
          <w:spacing w:val="5"/>
          <w:sz w:val="24"/>
          <w:szCs w:val="28"/>
          <w:highlight w:val="none"/>
          <w:lang w:val="en-US" w:eastAsia="zh-CN"/>
        </w:rPr>
        <w:t>.</w:t>
      </w:r>
      <w:r>
        <w:rPr>
          <w:rFonts w:hint="eastAsia" w:cs="Times New Roman"/>
          <w:color w:val="auto"/>
          <w:spacing w:val="5"/>
          <w:sz w:val="24"/>
          <w:szCs w:val="28"/>
          <w:highlight w:val="none"/>
          <w:lang w:val="en-US" w:eastAsia="zh-CN"/>
        </w:rPr>
        <w:t>2</w:t>
      </w:r>
      <w:r>
        <w:rPr>
          <w:rFonts w:hint="default" w:ascii="Times New Roman" w:hAnsi="Times New Roman" w:eastAsia="宋体" w:cs="Times New Roman"/>
          <w:color w:val="auto"/>
          <w:spacing w:val="5"/>
          <w:sz w:val="24"/>
          <w:szCs w:val="28"/>
          <w:highlight w:val="none"/>
          <w:lang w:val="en-US" w:eastAsia="zh-CN"/>
        </w:rPr>
        <w:t>-</w:t>
      </w:r>
      <w:r>
        <w:rPr>
          <w:rFonts w:hint="eastAsia" w:cs="Times New Roman"/>
          <w:color w:val="auto"/>
          <w:spacing w:val="5"/>
          <w:sz w:val="24"/>
          <w:szCs w:val="28"/>
          <w:highlight w:val="none"/>
          <w:lang w:val="en-US" w:eastAsia="zh-CN"/>
        </w:rPr>
        <w:t>16</w:t>
      </w:r>
      <w:r>
        <w:rPr>
          <w:rFonts w:hint="default" w:ascii="Times New Roman" w:hAnsi="Times New Roman" w:eastAsia="宋体" w:cs="Times New Roman"/>
          <w:color w:val="auto"/>
          <w:spacing w:val="5"/>
          <w:sz w:val="24"/>
          <w:szCs w:val="28"/>
          <w:highlight w:val="none"/>
        </w:rPr>
        <w:t>。</w:t>
      </w:r>
    </w:p>
    <w:p w14:paraId="330CA264">
      <w:pPr>
        <w:keepNext w:val="0"/>
        <w:keepLines w:val="0"/>
        <w:pageBreakBefore w:val="0"/>
        <w:widowControl w:val="0"/>
        <w:kinsoku/>
        <w:wordWrap/>
        <w:overflowPunct/>
        <w:topLinePunct w:val="0"/>
        <w:autoSpaceDE/>
        <w:autoSpaceDN/>
        <w:bidi w:val="0"/>
        <w:adjustRightInd/>
        <w:snapToGrid/>
        <w:spacing w:line="240" w:lineRule="auto"/>
        <w:ind w:firstLine="480" w:firstLineChars="200"/>
        <w:jc w:val="center"/>
        <w:textAlignment w:val="auto"/>
        <w:outlineLvl w:val="9"/>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drawing>
          <wp:inline distT="0" distB="0" distL="114300" distR="114300">
            <wp:extent cx="4895850" cy="3533775"/>
            <wp:effectExtent l="0" t="0" r="0" b="9525"/>
            <wp:docPr id="83" name="图片 83" descr="1723693027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1723693027822"/>
                    <pic:cNvPicPr>
                      <a:picLocks noChangeAspect="1"/>
                    </pic:cNvPicPr>
                  </pic:nvPicPr>
                  <pic:blipFill>
                    <a:blip r:embed="rId99"/>
                    <a:stretch>
                      <a:fillRect/>
                    </a:stretch>
                  </pic:blipFill>
                  <pic:spPr>
                    <a:xfrm>
                      <a:off x="0" y="0"/>
                      <a:ext cx="4895850" cy="3533775"/>
                    </a:xfrm>
                    <a:prstGeom prst="rect">
                      <a:avLst/>
                    </a:prstGeom>
                  </pic:spPr>
                </pic:pic>
              </a:graphicData>
            </a:graphic>
          </wp:inline>
        </w:drawing>
      </w:r>
    </w:p>
    <w:p w14:paraId="540E2542">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模拟区网格剖分图</w:t>
      </w:r>
    </w:p>
    <w:p w14:paraId="08045271">
      <w:pPr>
        <w:bidi w:val="0"/>
        <w:rPr>
          <w:rFonts w:hint="default"/>
          <w:highlight w:val="none"/>
        </w:rPr>
      </w:pPr>
      <w:r>
        <w:rPr>
          <w:rFonts w:hint="default"/>
          <w:highlight w:val="none"/>
        </w:rPr>
        <w:t>（4）模拟期及初始条件设置</w:t>
      </w:r>
    </w:p>
    <w:p w14:paraId="485C70AF">
      <w:pPr>
        <w:bidi w:val="0"/>
        <w:rPr>
          <w:rFonts w:hint="default"/>
          <w:highlight w:val="none"/>
        </w:rPr>
      </w:pPr>
      <w:r>
        <w:rPr>
          <w:rFonts w:hint="default"/>
          <w:highlight w:val="none"/>
          <w:lang w:val="en-US" w:eastAsia="zh-CN"/>
        </w:rPr>
        <w:t>为了进一步验证模型的可靠性，本评价利用2024年5月实测流场对所建立的模型进行拟合验证，流场拟合情况见图</w:t>
      </w:r>
      <w:r>
        <w:rPr>
          <w:rFonts w:hint="eastAsia"/>
          <w:highlight w:val="none"/>
          <w:lang w:val="en-US" w:eastAsia="zh-CN"/>
        </w:rPr>
        <w:t>5.2-17</w:t>
      </w:r>
      <w:r>
        <w:rPr>
          <w:rFonts w:hint="default"/>
          <w:highlight w:val="none"/>
          <w:lang w:val="en-US" w:eastAsia="zh-CN"/>
        </w:rPr>
        <w:t>。</w:t>
      </w:r>
    </w:p>
    <w:p w14:paraId="64E83642">
      <w:pPr>
        <w:bidi w:val="0"/>
        <w:rPr>
          <w:rFonts w:hint="default"/>
          <w:highlight w:val="none"/>
        </w:rPr>
      </w:pPr>
      <w:r>
        <w:rPr>
          <w:rFonts w:hint="default"/>
          <w:highlight w:val="none"/>
        </w:rPr>
        <w:t>数值法求解地下水非稳定流动问题需要给出初始条件，即每个结点在计算初始时刻的水头，以作为后续计算的基础。而对于网格剖分后形成的如此庞大数目的结点，实际的水位观测数据显然无法满足。因此，需要采取一定的处理方法来推测出地下水初始流场。</w:t>
      </w:r>
    </w:p>
    <w:p w14:paraId="66E639C3">
      <w:pPr>
        <w:bidi w:val="0"/>
        <w:rPr>
          <w:rFonts w:hint="default"/>
          <w:highlight w:val="none"/>
        </w:rPr>
      </w:pPr>
      <w:r>
        <w:rPr>
          <w:rFonts w:hint="default"/>
          <w:highlight w:val="none"/>
        </w:rPr>
        <w:t>通常，利用已知水位通过插值算法可以得出各结点水头值。但是采取该法后获取的初始水位并不尽如意，表现为个别观测孔水位在模拟初期即出现陡升陡降的情况，显然是不合理的。究其原因，一方面固然是插值结果只是对实际水位的近似趋近而非等价，另一方面，是插值结果无法表征一定范围内的非均质性。为改变这种状况，本次预测评价中初始流场采取的技术方法是先计算出模拟区在稳定流条件下的天然流场，利用实际观测水位对此天然流场进行模型的参数反演校正，并对反演校正后的流场进行模型拟合，最终得到合理可信的初始流场。</w:t>
      </w:r>
    </w:p>
    <w:p w14:paraId="28C767A0">
      <w:pPr>
        <w:bidi w:val="0"/>
        <w:rPr>
          <w:rFonts w:hint="default"/>
          <w:highlight w:val="none"/>
        </w:rPr>
      </w:pPr>
      <w:r>
        <w:rPr>
          <w:rFonts w:hint="default"/>
          <w:highlight w:val="none"/>
        </w:rPr>
        <w:t>（5）模拟识别与验证</w:t>
      </w:r>
    </w:p>
    <w:p w14:paraId="695ED10B">
      <w:pPr>
        <w:bidi w:val="0"/>
        <w:rPr>
          <w:rFonts w:hint="default"/>
          <w:highlight w:val="none"/>
        </w:rPr>
      </w:pPr>
      <w:r>
        <w:rPr>
          <w:rFonts w:hint="default"/>
          <w:highlight w:val="none"/>
        </w:rPr>
        <w:t>模型的识别与验证过程是整个模拟中极为重要的一步工作，通常要在反复修改参数和调整某些源汇项基础上才能达到较为理想的拟合结果。此模型的识别与检验过程采用的方法称为试估—校正法，属于反求参数的间接方法之一。</w:t>
      </w:r>
    </w:p>
    <w:p w14:paraId="2D75D7B8">
      <w:pPr>
        <w:bidi w:val="0"/>
        <w:rPr>
          <w:rFonts w:hint="default"/>
          <w:highlight w:val="none"/>
        </w:rPr>
      </w:pPr>
      <w:r>
        <w:rPr>
          <w:rFonts w:hint="default"/>
          <w:highlight w:val="none"/>
        </w:rPr>
        <w:t>运行计算程序，可得到这种水文地质概念模型在给定水文地质参数和各均衡项条件下的地下水位时空分布，通过拟合同时期的流场，识别水文地质参数、边界值和其它均衡项，使建立的模型更加符合模拟区的水文地质条件。</w:t>
      </w:r>
    </w:p>
    <w:p w14:paraId="3CB36C0C">
      <w:pPr>
        <w:bidi w:val="0"/>
        <w:rPr>
          <w:rFonts w:hint="default"/>
          <w:highlight w:val="none"/>
        </w:rPr>
      </w:pPr>
      <w:r>
        <w:rPr>
          <w:rFonts w:hint="default"/>
          <w:highlight w:val="none"/>
        </w:rPr>
        <w:t>模型的识别和验证主要遵循以下原则：</w:t>
      </w:r>
    </w:p>
    <w:p w14:paraId="33D47D03">
      <w:pPr>
        <w:bidi w:val="0"/>
        <w:rPr>
          <w:rFonts w:hint="default"/>
          <w:highlight w:val="none"/>
        </w:rPr>
      </w:pPr>
      <w:r>
        <w:rPr>
          <w:rFonts w:hint="default"/>
          <w:highlight w:val="none"/>
        </w:rPr>
        <w:t>①模拟的地下水流场要与实际地下水流场基本一致，即要求地下水模拟等值线与实测地下水位等值线形状相似；</w:t>
      </w:r>
    </w:p>
    <w:p w14:paraId="14863E46">
      <w:pPr>
        <w:bidi w:val="0"/>
        <w:rPr>
          <w:rFonts w:hint="default"/>
          <w:highlight w:val="none"/>
        </w:rPr>
      </w:pPr>
      <w:r>
        <w:rPr>
          <w:rFonts w:hint="default"/>
          <w:highlight w:val="none"/>
        </w:rPr>
        <w:t>②从均衡的角度出发，模拟的地下水均衡变化与实际要基本相符；</w:t>
      </w:r>
    </w:p>
    <w:p w14:paraId="3565C5EE">
      <w:pPr>
        <w:bidi w:val="0"/>
        <w:rPr>
          <w:rFonts w:hint="default"/>
          <w:highlight w:val="none"/>
        </w:rPr>
      </w:pPr>
      <w:r>
        <w:rPr>
          <w:rFonts w:hint="default"/>
          <w:highlight w:val="none"/>
        </w:rPr>
        <w:t>③识别的水文地质参数要符合实际水文地质条件。</w:t>
      </w:r>
    </w:p>
    <w:p w14:paraId="6DFDC08A">
      <w:pPr>
        <w:bidi w:val="0"/>
        <w:rPr>
          <w:rFonts w:hint="default"/>
          <w:highlight w:val="none"/>
        </w:rPr>
      </w:pPr>
      <w:r>
        <w:rPr>
          <w:rFonts w:hint="default"/>
          <w:highlight w:val="none"/>
        </w:rPr>
        <w:t>根据以上三个原则，对模拟区地下水系统进行了识别和验证。通过反复模拟、识别验证后的水文地质参数较好的刻划了地下水系统的水文地质特征，基本反映了地下水随时间和空间的变化规律，使水位拟合误差较小，达到预期效果。识别验证后的平面流场（图</w:t>
      </w:r>
      <w:r>
        <w:rPr>
          <w:rFonts w:hint="eastAsia"/>
          <w:highlight w:val="none"/>
          <w:lang w:val="en-US" w:eastAsia="zh-CN"/>
        </w:rPr>
        <w:t>5.2-17</w:t>
      </w:r>
      <w:r>
        <w:rPr>
          <w:rFonts w:hint="default"/>
          <w:highlight w:val="none"/>
        </w:rPr>
        <w:t>）。</w:t>
      </w:r>
    </w:p>
    <w:p w14:paraId="72D02C5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auto"/>
          <w:spacing w:val="5"/>
          <w:sz w:val="24"/>
          <w:szCs w:val="24"/>
          <w:highlight w:val="none"/>
          <w:lang w:eastAsia="zh-CN"/>
        </w:rPr>
      </w:pPr>
      <w:r>
        <w:rPr>
          <w:rFonts w:hint="default" w:ascii="Times New Roman" w:hAnsi="Times New Roman" w:eastAsia="宋体" w:cs="Times New Roman"/>
          <w:color w:val="auto"/>
          <w:spacing w:val="5"/>
          <w:sz w:val="24"/>
          <w:szCs w:val="24"/>
          <w:highlight w:val="none"/>
          <w:lang w:eastAsia="zh-CN"/>
        </w:rPr>
        <w:drawing>
          <wp:inline distT="0" distB="0" distL="114300" distR="114300">
            <wp:extent cx="5758180" cy="4077335"/>
            <wp:effectExtent l="0" t="0" r="13970" b="18415"/>
            <wp:docPr id="49" name="图片 49" descr="1724814637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1724814637916"/>
                    <pic:cNvPicPr>
                      <a:picLocks noChangeAspect="1"/>
                    </pic:cNvPicPr>
                  </pic:nvPicPr>
                  <pic:blipFill>
                    <a:blip r:embed="rId100"/>
                    <a:stretch>
                      <a:fillRect/>
                    </a:stretch>
                  </pic:blipFill>
                  <pic:spPr>
                    <a:xfrm>
                      <a:off x="0" y="0"/>
                      <a:ext cx="5758180" cy="4077335"/>
                    </a:xfrm>
                    <a:prstGeom prst="rect">
                      <a:avLst/>
                    </a:prstGeom>
                  </pic:spPr>
                </pic:pic>
              </a:graphicData>
            </a:graphic>
          </wp:inline>
        </w:drawing>
      </w:r>
    </w:p>
    <w:p w14:paraId="48202356">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流场拟合图</w:t>
      </w:r>
    </w:p>
    <w:p w14:paraId="1D257E55">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lang w:val="en-US" w:eastAsia="zh-CN"/>
        </w:rPr>
      </w:pPr>
      <w:r>
        <w:rPr>
          <w:rFonts w:hint="default" w:ascii="Times New Roman" w:hAnsi="Times New Roman" w:eastAsia="宋体" w:cs="Times New Roman"/>
          <w:b/>
          <w:bCs/>
          <w:color w:val="auto"/>
          <w:sz w:val="24"/>
          <w:highlight w:val="none"/>
          <w:lang w:val="en-US" w:eastAsia="zh-CN"/>
        </w:rPr>
        <w:t>含水层水文地质参数分区表</w:t>
      </w:r>
    </w:p>
    <w:tbl>
      <w:tblPr>
        <w:tblStyle w:val="47"/>
        <w:tblW w:w="4999" w:type="pct"/>
        <w:jc w:val="center"/>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autofit"/>
        <w:tblCellMar>
          <w:top w:w="0" w:type="dxa"/>
          <w:left w:w="108" w:type="dxa"/>
          <w:bottom w:w="0" w:type="dxa"/>
          <w:right w:w="108" w:type="dxa"/>
        </w:tblCellMar>
      </w:tblPr>
      <w:tblGrid>
        <w:gridCol w:w="2432"/>
        <w:gridCol w:w="3352"/>
        <w:gridCol w:w="3502"/>
      </w:tblGrid>
      <w:tr w14:paraId="4DDA4BD2">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1309" w:type="pct"/>
            <w:tcBorders>
              <w:bottom w:val="single" w:color="auto" w:sz="4" w:space="0"/>
              <w:right w:val="single" w:color="auto" w:sz="4" w:space="0"/>
            </w:tcBorders>
            <w:noWrap w:val="0"/>
            <w:vAlign w:val="center"/>
          </w:tcPr>
          <w:p w14:paraId="55D3EEF2">
            <w:pPr>
              <w:pStyle w:val="58"/>
              <w:bidi w:val="0"/>
              <w:rPr>
                <w:rFonts w:hint="default"/>
                <w:highlight w:val="none"/>
              </w:rPr>
            </w:pPr>
            <w:r>
              <w:rPr>
                <w:rFonts w:hint="default"/>
                <w:highlight w:val="none"/>
              </w:rPr>
              <w:t>分区号</w:t>
            </w:r>
          </w:p>
        </w:tc>
        <w:tc>
          <w:tcPr>
            <w:tcW w:w="1804" w:type="pct"/>
            <w:tcBorders>
              <w:left w:val="single" w:color="auto" w:sz="4" w:space="0"/>
              <w:bottom w:val="single" w:color="auto" w:sz="4" w:space="0"/>
              <w:right w:val="single" w:color="auto" w:sz="4" w:space="0"/>
            </w:tcBorders>
            <w:noWrap w:val="0"/>
            <w:vAlign w:val="center"/>
          </w:tcPr>
          <w:p w14:paraId="48315ACE">
            <w:pPr>
              <w:pStyle w:val="58"/>
              <w:bidi w:val="0"/>
              <w:rPr>
                <w:rFonts w:hint="default"/>
                <w:highlight w:val="none"/>
              </w:rPr>
            </w:pPr>
            <w:r>
              <w:rPr>
                <w:rFonts w:hint="default"/>
                <w:highlight w:val="none"/>
              </w:rPr>
              <w:t>渗透系数（m/d）</w:t>
            </w:r>
          </w:p>
        </w:tc>
        <w:tc>
          <w:tcPr>
            <w:tcW w:w="1885" w:type="pct"/>
            <w:tcBorders>
              <w:left w:val="single" w:color="auto" w:sz="4" w:space="0"/>
              <w:bottom w:val="single" w:color="auto" w:sz="4" w:space="0"/>
            </w:tcBorders>
            <w:noWrap w:val="0"/>
            <w:vAlign w:val="center"/>
          </w:tcPr>
          <w:p w14:paraId="38C6C0FD">
            <w:pPr>
              <w:pStyle w:val="58"/>
              <w:bidi w:val="0"/>
              <w:rPr>
                <w:rFonts w:hint="default"/>
                <w:highlight w:val="none"/>
              </w:rPr>
            </w:pPr>
            <w:r>
              <w:rPr>
                <w:rFonts w:hint="default"/>
                <w:highlight w:val="none"/>
              </w:rPr>
              <w:t>给水度</w:t>
            </w:r>
          </w:p>
        </w:tc>
      </w:tr>
      <w:tr w14:paraId="0D0CC686">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1309" w:type="pct"/>
            <w:tcBorders>
              <w:top w:val="single" w:color="auto" w:sz="4" w:space="0"/>
              <w:right w:val="single" w:color="auto" w:sz="4" w:space="0"/>
            </w:tcBorders>
            <w:noWrap w:val="0"/>
            <w:vAlign w:val="center"/>
          </w:tcPr>
          <w:p w14:paraId="643ED32F">
            <w:pPr>
              <w:pStyle w:val="58"/>
              <w:bidi w:val="0"/>
              <w:rPr>
                <w:rFonts w:hint="default"/>
                <w:highlight w:val="none"/>
              </w:rPr>
            </w:pPr>
            <w:r>
              <w:rPr>
                <w:rFonts w:hint="default"/>
                <w:highlight w:val="none"/>
              </w:rPr>
              <w:t>1</w:t>
            </w:r>
          </w:p>
        </w:tc>
        <w:tc>
          <w:tcPr>
            <w:tcW w:w="1804" w:type="pct"/>
            <w:tcBorders>
              <w:top w:val="single" w:color="auto" w:sz="4" w:space="0"/>
              <w:left w:val="single" w:color="auto" w:sz="4" w:space="0"/>
              <w:right w:val="single" w:color="auto" w:sz="4" w:space="0"/>
            </w:tcBorders>
            <w:noWrap w:val="0"/>
            <w:vAlign w:val="center"/>
          </w:tcPr>
          <w:p w14:paraId="67F156B9">
            <w:pPr>
              <w:pStyle w:val="58"/>
              <w:bidi w:val="0"/>
              <w:rPr>
                <w:rFonts w:hint="default"/>
                <w:highlight w:val="none"/>
                <w:lang w:val="en-US" w:eastAsia="zh-CN"/>
              </w:rPr>
            </w:pPr>
            <w:r>
              <w:rPr>
                <w:rFonts w:hint="default"/>
                <w:highlight w:val="none"/>
                <w:lang w:val="en-US" w:eastAsia="zh-CN"/>
              </w:rPr>
              <w:t>0.</w:t>
            </w:r>
            <w:r>
              <w:rPr>
                <w:rFonts w:hint="eastAsia"/>
                <w:highlight w:val="none"/>
                <w:lang w:val="en-US" w:eastAsia="zh-CN"/>
              </w:rPr>
              <w:t>0</w:t>
            </w:r>
            <w:r>
              <w:rPr>
                <w:rFonts w:hint="default"/>
                <w:highlight w:val="none"/>
                <w:lang w:val="en-US" w:eastAsia="zh-CN"/>
              </w:rPr>
              <w:t>5</w:t>
            </w:r>
          </w:p>
        </w:tc>
        <w:tc>
          <w:tcPr>
            <w:tcW w:w="1885" w:type="pct"/>
            <w:tcBorders>
              <w:top w:val="single" w:color="auto" w:sz="4" w:space="0"/>
              <w:left w:val="single" w:color="auto" w:sz="4" w:space="0"/>
            </w:tcBorders>
            <w:noWrap w:val="0"/>
            <w:vAlign w:val="center"/>
          </w:tcPr>
          <w:p w14:paraId="3A04E855">
            <w:pPr>
              <w:pStyle w:val="58"/>
              <w:bidi w:val="0"/>
              <w:rPr>
                <w:rFonts w:hint="default"/>
                <w:highlight w:val="none"/>
                <w:lang w:eastAsia="zh-CN"/>
              </w:rPr>
            </w:pPr>
            <w:r>
              <w:rPr>
                <w:rFonts w:hint="default"/>
                <w:highlight w:val="none"/>
              </w:rPr>
              <w:t>0.1</w:t>
            </w:r>
            <w:r>
              <w:rPr>
                <w:rFonts w:hint="default"/>
                <w:highlight w:val="none"/>
                <w:lang w:val="en-US" w:eastAsia="zh-CN"/>
              </w:rPr>
              <w:t>2</w:t>
            </w:r>
          </w:p>
        </w:tc>
      </w:tr>
    </w:tbl>
    <w:p w14:paraId="0C0DE053">
      <w:pPr>
        <w:keepNext/>
        <w:widowControl w:val="0"/>
        <w:adjustRightInd w:val="0"/>
        <w:snapToGrid w:val="0"/>
        <w:spacing w:beforeLines="0" w:afterLines="0" w:line="360" w:lineRule="auto"/>
        <w:ind w:firstLine="0" w:firstLineChars="0"/>
        <w:jc w:val="left"/>
        <w:outlineLvl w:val="4"/>
        <w:rPr>
          <w:rFonts w:hint="default" w:ascii="Times New Roman" w:hAnsi="Times New Roman" w:eastAsia="宋体" w:cs="Times New Roman"/>
          <w:b/>
          <w:bCs/>
          <w:color w:val="auto"/>
          <w:spacing w:val="0"/>
          <w:kern w:val="2"/>
          <w:sz w:val="24"/>
          <w:szCs w:val="24"/>
          <w:highlight w:val="none"/>
          <w:lang w:val="en-US" w:eastAsia="zh-CN" w:bidi="ar-SA"/>
        </w:rPr>
      </w:pPr>
      <w:r>
        <w:rPr>
          <w:rFonts w:hint="default" w:ascii="Times New Roman" w:hAnsi="Times New Roman" w:eastAsia="宋体" w:cs="Times New Roman"/>
          <w:b/>
          <w:bCs/>
          <w:color w:val="auto"/>
          <w:spacing w:val="0"/>
          <w:kern w:val="2"/>
          <w:sz w:val="24"/>
          <w:szCs w:val="24"/>
          <w:highlight w:val="none"/>
          <w:lang w:val="en-US" w:eastAsia="zh-CN" w:bidi="ar-SA"/>
        </w:rPr>
        <w:t>5.2.3.10.3地下水污染模拟预测</w:t>
      </w:r>
    </w:p>
    <w:p w14:paraId="7F3EAA8C">
      <w:pPr>
        <w:adjustRightInd w:val="0"/>
        <w:snapToGrid w:val="0"/>
        <w:spacing w:line="360" w:lineRule="auto"/>
        <w:ind w:firstLine="500" w:firstLineChars="200"/>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t>本次地下水污染模拟过程未考虑污染物在含水层中的吸附、挥发、生物化学反应，模型中各项参数予以保守性考虑。这样选择的理由是：</w:t>
      </w:r>
    </w:p>
    <w:p w14:paraId="08B29FB0">
      <w:pPr>
        <w:adjustRightInd w:val="0"/>
        <w:snapToGrid w:val="0"/>
        <w:spacing w:line="360" w:lineRule="auto"/>
        <w:ind w:firstLine="500" w:firstLineChars="200"/>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t>（1）从保守性角度考虑，假设污染质在运移中不与含水层介质发生反应，可以被认为是保守型污染质，只按保守型污染质来计算，即只考虑运移过程中的对流、弥散作用。</w:t>
      </w:r>
    </w:p>
    <w:p w14:paraId="217FF15B">
      <w:pPr>
        <w:adjustRightInd w:val="0"/>
        <w:snapToGrid w:val="0"/>
        <w:spacing w:line="360" w:lineRule="auto"/>
        <w:ind w:firstLine="500" w:firstLineChars="200"/>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t>（2）有机污染物在地下水中的运移非常复杂，影响因素除对流、弥散作用以外，还存在物理、化学、微生物等作用，这些作用常常会使污染质浓度衰减。目前国际上对这些作用参数的准确获取还存在着困难。</w:t>
      </w:r>
    </w:p>
    <w:p w14:paraId="73F4BB37">
      <w:pPr>
        <w:adjustRightInd w:val="0"/>
        <w:snapToGrid w:val="0"/>
        <w:spacing w:line="360" w:lineRule="auto"/>
        <w:ind w:firstLine="500" w:firstLineChars="200"/>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t>（3）在国际上有很多用保守型污染物作为模拟因子的环境质量评价的成功实例，保守型考虑符合工程设计的思想。</w:t>
      </w:r>
    </w:p>
    <w:p w14:paraId="216E51A2">
      <w:pPr>
        <w:adjustRightInd w:val="0"/>
        <w:snapToGrid w:val="0"/>
        <w:spacing w:line="360" w:lineRule="auto"/>
        <w:ind w:firstLine="500" w:firstLineChars="200"/>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t>地下水中溶质运移的数学模型可表示为：</w:t>
      </w:r>
    </w:p>
    <w:p w14:paraId="18FC95FF">
      <w:pPr>
        <w:adjustRightInd w:val="0"/>
        <w:snapToGrid w:val="0"/>
        <w:spacing w:line="360" w:lineRule="auto"/>
        <w:ind w:firstLine="0" w:firstLineChars="0"/>
        <w:jc w:val="center"/>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drawing>
          <wp:inline distT="0" distB="0" distL="114300" distR="114300">
            <wp:extent cx="2575560" cy="515620"/>
            <wp:effectExtent l="0" t="0" r="15240" b="17780"/>
            <wp:docPr id="8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7"/>
                    <pic:cNvPicPr>
                      <a:picLocks noChangeAspect="1"/>
                    </pic:cNvPicPr>
                  </pic:nvPicPr>
                  <pic:blipFill>
                    <a:blip r:embed="rId101"/>
                    <a:stretch>
                      <a:fillRect/>
                    </a:stretch>
                  </pic:blipFill>
                  <pic:spPr>
                    <a:xfrm>
                      <a:off x="0" y="0"/>
                      <a:ext cx="2575560" cy="515620"/>
                    </a:xfrm>
                    <a:prstGeom prst="rect">
                      <a:avLst/>
                    </a:prstGeom>
                    <a:noFill/>
                    <a:ln>
                      <a:noFill/>
                    </a:ln>
                  </pic:spPr>
                </pic:pic>
              </a:graphicData>
            </a:graphic>
          </wp:inline>
        </w:drawing>
      </w:r>
    </w:p>
    <w:p w14:paraId="11F017AA">
      <w:pPr>
        <w:adjustRightInd w:val="0"/>
        <w:snapToGrid w:val="0"/>
        <w:spacing w:line="360" w:lineRule="auto"/>
        <w:ind w:firstLine="500" w:firstLineChars="200"/>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t>式中：</w:t>
      </w:r>
      <w:r>
        <w:rPr>
          <w:rFonts w:hint="default" w:ascii="Times New Roman" w:hAnsi="Times New Roman" w:eastAsia="宋体" w:cs="Times New Roman"/>
          <w:color w:val="auto"/>
          <w:spacing w:val="5"/>
          <w:sz w:val="24"/>
          <w:szCs w:val="25"/>
          <w:highlight w:val="none"/>
        </w:rPr>
        <w:object>
          <v:shape id="_x0000_i1039" o:spt="75" type="#_x0000_t75" style="height:18.35pt;width:14.4pt;" o:ole="t" filled="f" o:preferrelative="t" stroked="f" coordsize="21600,21600">
            <v:path/>
            <v:fill on="f" focussize="0,0"/>
            <v:stroke on="f"/>
            <v:imagedata r:id="rId103" o:title=""/>
            <o:lock v:ext="edit" aspectratio="t"/>
            <w10:wrap type="none"/>
            <w10:anchorlock/>
          </v:shape>
          <o:OLEObject Type="Embed" ProgID="Equation.3" ShapeID="_x0000_i1039" DrawAspect="Content" ObjectID="_1468075742" r:id="rId102">
            <o:LockedField>false</o:LockedField>
          </o:OLEObject>
        </w:object>
      </w:r>
      <w:r>
        <w:rPr>
          <w:rFonts w:hint="default" w:ascii="Times New Roman" w:hAnsi="Times New Roman" w:eastAsia="宋体" w:cs="Times New Roman"/>
          <w:color w:val="auto"/>
          <w:spacing w:val="5"/>
          <w:sz w:val="24"/>
          <w:szCs w:val="25"/>
          <w:highlight w:val="none"/>
        </w:rPr>
        <w:t>—介质密度，mg/（dm）</w:t>
      </w:r>
      <w:r>
        <w:rPr>
          <w:rFonts w:hint="default" w:ascii="Times New Roman" w:hAnsi="Times New Roman" w:eastAsia="宋体" w:cs="Times New Roman"/>
          <w:color w:val="auto"/>
          <w:spacing w:val="5"/>
          <w:sz w:val="24"/>
          <w:szCs w:val="25"/>
          <w:highlight w:val="none"/>
          <w:vertAlign w:val="superscript"/>
        </w:rPr>
        <w:t>3</w:t>
      </w:r>
      <w:r>
        <w:rPr>
          <w:rFonts w:hint="default" w:ascii="Times New Roman" w:hAnsi="Times New Roman" w:eastAsia="宋体" w:cs="Times New Roman"/>
          <w:color w:val="auto"/>
          <w:spacing w:val="5"/>
          <w:sz w:val="24"/>
          <w:szCs w:val="25"/>
          <w:highlight w:val="none"/>
        </w:rPr>
        <w:t>；</w:t>
      </w:r>
    </w:p>
    <w:p w14:paraId="18A2759D">
      <w:pPr>
        <w:adjustRightInd w:val="0"/>
        <w:snapToGrid w:val="0"/>
        <w:spacing w:line="360" w:lineRule="auto"/>
        <w:ind w:firstLine="1250" w:firstLineChars="500"/>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object>
          <v:shape id="_x0000_i1040" o:spt="75" type="#_x0000_t75" style="height:14.4pt;width:9.15pt;" o:ole="t" filled="f" o:preferrelative="t" stroked="f" coordsize="21600,21600">
            <v:path/>
            <v:fill on="f" focussize="0,0"/>
            <v:stroke on="f"/>
            <v:imagedata r:id="rId105" o:title=""/>
            <o:lock v:ext="edit" aspectratio="t"/>
            <w10:wrap type="none"/>
            <w10:anchorlock/>
          </v:shape>
          <o:OLEObject Type="Embed" ProgID="Equation.3" ShapeID="_x0000_i1040" DrawAspect="Content" ObjectID="_1468075743" r:id="rId104">
            <o:LockedField>false</o:LockedField>
          </o:OLEObject>
        </w:object>
      </w:r>
      <w:r>
        <w:rPr>
          <w:rFonts w:hint="default" w:ascii="Times New Roman" w:hAnsi="Times New Roman" w:eastAsia="宋体" w:cs="Times New Roman"/>
          <w:color w:val="auto"/>
          <w:spacing w:val="5"/>
          <w:sz w:val="24"/>
          <w:szCs w:val="25"/>
          <w:highlight w:val="none"/>
        </w:rPr>
        <w:t>—介质孔隙度，无量纲；</w:t>
      </w:r>
    </w:p>
    <w:p w14:paraId="059DE066">
      <w:pPr>
        <w:adjustRightInd w:val="0"/>
        <w:snapToGrid w:val="0"/>
        <w:spacing w:line="360" w:lineRule="auto"/>
        <w:ind w:firstLine="1250" w:firstLineChars="500"/>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t>C—组分的浓度，mg/L；</w:t>
      </w:r>
    </w:p>
    <w:p w14:paraId="6FD8DEB4">
      <w:pPr>
        <w:adjustRightInd w:val="0"/>
        <w:snapToGrid w:val="0"/>
        <w:spacing w:line="360" w:lineRule="auto"/>
        <w:ind w:firstLine="1250" w:firstLineChars="500"/>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t>t—时间，d；</w:t>
      </w:r>
    </w:p>
    <w:p w14:paraId="443C6482">
      <w:pPr>
        <w:adjustRightInd w:val="0"/>
        <w:snapToGrid w:val="0"/>
        <w:spacing w:line="360" w:lineRule="auto"/>
        <w:ind w:firstLine="1250" w:firstLineChars="500"/>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t>x，y，z—空间位置坐标，m；</w:t>
      </w:r>
    </w:p>
    <w:p w14:paraId="2CE37282">
      <w:pPr>
        <w:adjustRightInd w:val="0"/>
        <w:snapToGrid w:val="0"/>
        <w:spacing w:line="360" w:lineRule="auto"/>
        <w:ind w:firstLine="1250" w:firstLineChars="500"/>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t>D</w:t>
      </w:r>
      <w:r>
        <w:rPr>
          <w:rFonts w:hint="default" w:ascii="Times New Roman" w:hAnsi="Times New Roman" w:eastAsia="宋体" w:cs="Times New Roman"/>
          <w:color w:val="auto"/>
          <w:spacing w:val="5"/>
          <w:sz w:val="24"/>
          <w:szCs w:val="25"/>
          <w:highlight w:val="none"/>
          <w:vertAlign w:val="subscript"/>
        </w:rPr>
        <w:t>ij</w:t>
      </w:r>
      <w:r>
        <w:rPr>
          <w:rFonts w:hint="default" w:ascii="Times New Roman" w:hAnsi="Times New Roman" w:eastAsia="宋体" w:cs="Times New Roman"/>
          <w:color w:val="auto"/>
          <w:spacing w:val="5"/>
          <w:sz w:val="24"/>
          <w:szCs w:val="25"/>
          <w:highlight w:val="none"/>
        </w:rPr>
        <w:t>—水动力弥散系数张量，m</w:t>
      </w:r>
      <w:r>
        <w:rPr>
          <w:rFonts w:hint="default" w:ascii="Times New Roman" w:hAnsi="Times New Roman" w:eastAsia="宋体" w:cs="Times New Roman"/>
          <w:color w:val="auto"/>
          <w:spacing w:val="5"/>
          <w:sz w:val="24"/>
          <w:szCs w:val="25"/>
          <w:highlight w:val="none"/>
          <w:vertAlign w:val="superscript"/>
        </w:rPr>
        <w:t>2</w:t>
      </w:r>
      <w:r>
        <w:rPr>
          <w:rFonts w:hint="default" w:ascii="Times New Roman" w:hAnsi="Times New Roman" w:eastAsia="宋体" w:cs="Times New Roman"/>
          <w:color w:val="auto"/>
          <w:spacing w:val="5"/>
          <w:sz w:val="24"/>
          <w:szCs w:val="25"/>
          <w:highlight w:val="none"/>
        </w:rPr>
        <w:t>/d；</w:t>
      </w:r>
    </w:p>
    <w:p w14:paraId="68C9F2A3">
      <w:pPr>
        <w:adjustRightInd w:val="0"/>
        <w:snapToGrid w:val="0"/>
        <w:spacing w:line="360" w:lineRule="auto"/>
        <w:ind w:firstLine="1250" w:firstLineChars="500"/>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t>V</w:t>
      </w:r>
      <w:r>
        <w:rPr>
          <w:rFonts w:hint="default" w:ascii="Times New Roman" w:hAnsi="Times New Roman" w:eastAsia="宋体" w:cs="Times New Roman"/>
          <w:color w:val="auto"/>
          <w:spacing w:val="5"/>
          <w:sz w:val="24"/>
          <w:szCs w:val="25"/>
          <w:highlight w:val="none"/>
          <w:vertAlign w:val="subscript"/>
        </w:rPr>
        <w:t>i</w:t>
      </w:r>
      <w:r>
        <w:rPr>
          <w:rFonts w:hint="default" w:ascii="Times New Roman" w:hAnsi="Times New Roman" w:eastAsia="宋体" w:cs="Times New Roman"/>
          <w:color w:val="auto"/>
          <w:spacing w:val="5"/>
          <w:sz w:val="24"/>
          <w:szCs w:val="25"/>
          <w:highlight w:val="none"/>
        </w:rPr>
        <w:t>—地下水渗流速度张量，m/d；</w:t>
      </w:r>
    </w:p>
    <w:p w14:paraId="4D75AB3D">
      <w:pPr>
        <w:adjustRightInd w:val="0"/>
        <w:snapToGrid w:val="0"/>
        <w:spacing w:line="360" w:lineRule="auto"/>
        <w:ind w:firstLine="1250" w:firstLineChars="500"/>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t>W—水流的源和汇，</w:t>
      </w:r>
      <w:r>
        <w:rPr>
          <w:rFonts w:hint="eastAsia" w:cs="Times New Roman"/>
          <w:color w:val="auto"/>
          <w:spacing w:val="5"/>
          <w:sz w:val="24"/>
          <w:szCs w:val="25"/>
          <w:highlight w:val="none"/>
          <w:lang w:eastAsia="zh-CN"/>
        </w:rPr>
        <w:t>m</w:t>
      </w:r>
      <w:r>
        <w:rPr>
          <w:rFonts w:hint="eastAsia" w:cs="Times New Roman"/>
          <w:color w:val="auto"/>
          <w:spacing w:val="5"/>
          <w:sz w:val="24"/>
          <w:szCs w:val="25"/>
          <w:highlight w:val="none"/>
          <w:vertAlign w:val="superscript"/>
          <w:lang w:eastAsia="zh-CN"/>
        </w:rPr>
        <w:t>3</w:t>
      </w:r>
      <w:r>
        <w:rPr>
          <w:rFonts w:hint="default" w:ascii="Times New Roman" w:hAnsi="Times New Roman" w:eastAsia="宋体" w:cs="Times New Roman"/>
          <w:color w:val="auto"/>
          <w:spacing w:val="5"/>
          <w:sz w:val="24"/>
          <w:szCs w:val="25"/>
          <w:highlight w:val="none"/>
        </w:rPr>
        <w:t>/d；</w:t>
      </w:r>
    </w:p>
    <w:p w14:paraId="2C41B1ED">
      <w:pPr>
        <w:keepNext w:val="0"/>
        <w:keepLines w:val="0"/>
        <w:pageBreakBefore w:val="0"/>
        <w:widowControl w:val="0"/>
        <w:kinsoku/>
        <w:wordWrap/>
        <w:overflowPunct/>
        <w:topLinePunct w:val="0"/>
        <w:autoSpaceDE/>
        <w:autoSpaceDN/>
        <w:bidi w:val="0"/>
        <w:adjustRightInd w:val="0"/>
        <w:snapToGrid w:val="0"/>
        <w:spacing w:line="360" w:lineRule="auto"/>
        <w:ind w:firstLine="1250" w:firstLineChars="500"/>
        <w:textAlignment w:val="auto"/>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object>
          <v:shape id="_x0000_i1041" o:spt="75" type="#_x0000_t75" style="height:19.65pt;width:15.7pt;" o:ole="t" filled="f" o:preferrelative="t" stroked="f" coordsize="21600,21600">
            <v:path/>
            <v:fill on="f" focussize="0,0"/>
            <v:stroke on="f"/>
            <v:imagedata r:id="rId107" o:title=""/>
            <o:lock v:ext="edit" aspectratio="t"/>
            <w10:wrap type="none"/>
            <w10:anchorlock/>
          </v:shape>
          <o:OLEObject Type="Embed" ProgID="Equation.3" ShapeID="_x0000_i1041" DrawAspect="Content" ObjectID="_1468075744" r:id="rId106">
            <o:LockedField>false</o:LockedField>
          </o:OLEObject>
        </w:object>
      </w:r>
      <w:r>
        <w:rPr>
          <w:rFonts w:hint="default" w:ascii="Times New Roman" w:hAnsi="Times New Roman" w:eastAsia="宋体" w:cs="Times New Roman"/>
          <w:color w:val="auto"/>
          <w:spacing w:val="5"/>
          <w:sz w:val="24"/>
          <w:szCs w:val="25"/>
          <w:highlight w:val="none"/>
        </w:rPr>
        <w:t>—组分的浓度，mg/L；</w:t>
      </w:r>
    </w:p>
    <w:p w14:paraId="6D3F20FB">
      <w:pPr>
        <w:keepNext w:val="0"/>
        <w:keepLines w:val="0"/>
        <w:pageBreakBefore w:val="0"/>
        <w:widowControl w:val="0"/>
        <w:kinsoku/>
        <w:wordWrap/>
        <w:overflowPunct/>
        <w:topLinePunct w:val="0"/>
        <w:autoSpaceDE/>
        <w:autoSpaceDN/>
        <w:bidi w:val="0"/>
        <w:snapToGrid w:val="0"/>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lang w:eastAsia="zh-CN"/>
        </w:rPr>
        <w:t>⑤</w:t>
      </w:r>
      <w:r>
        <w:rPr>
          <w:rFonts w:hint="default" w:ascii="Times New Roman" w:hAnsi="Times New Roman" w:eastAsia="宋体" w:cs="Times New Roman"/>
          <w:color w:val="auto"/>
          <w:sz w:val="24"/>
          <w:szCs w:val="24"/>
          <w:highlight w:val="none"/>
        </w:rPr>
        <w:t>弥散系数</w:t>
      </w:r>
    </w:p>
    <w:p w14:paraId="05B428ED">
      <w:pPr>
        <w:keepNext w:val="0"/>
        <w:keepLines w:val="0"/>
        <w:pageBreakBefore w:val="0"/>
        <w:widowControl w:val="0"/>
        <w:kinsoku/>
        <w:wordWrap/>
        <w:overflowPunct/>
        <w:topLinePunct w:val="0"/>
        <w:autoSpaceDE/>
        <w:autoSpaceDN/>
        <w:bidi w:val="0"/>
        <w:snapToGrid w:val="0"/>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本次地下水污染模拟过程未考虑污染物在含水层中的吸附、挥发、生物化学反应，模型中各项参数予以保守型考虑。这样选择的理由是：</w:t>
      </w:r>
    </w:p>
    <w:p w14:paraId="3562924C">
      <w:pPr>
        <w:keepNext w:val="0"/>
        <w:keepLines w:val="0"/>
        <w:pageBreakBefore w:val="0"/>
        <w:widowControl w:val="0"/>
        <w:kinsoku/>
        <w:wordWrap/>
        <w:overflowPunct/>
        <w:topLinePunct w:val="0"/>
        <w:autoSpaceDE/>
        <w:autoSpaceDN/>
        <w:bidi w:val="0"/>
        <w:snapToGrid w:val="0"/>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①从保守性角度考虑，假设污染质在运移中不与含水层介质发生反应，可以被认为是保守型污染质，只按保守型污染质来计算，即只考虑运移过程中的对流、弥散作用。</w:t>
      </w:r>
    </w:p>
    <w:p w14:paraId="2371763F">
      <w:pPr>
        <w:keepNext w:val="0"/>
        <w:keepLines w:val="0"/>
        <w:pageBreakBefore w:val="0"/>
        <w:widowControl w:val="0"/>
        <w:kinsoku/>
        <w:wordWrap/>
        <w:overflowPunct/>
        <w:topLinePunct w:val="0"/>
        <w:autoSpaceDE/>
        <w:autoSpaceDN/>
        <w:bidi w:val="0"/>
        <w:snapToGrid w:val="0"/>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②有机污染物在地下水中的运移非常复杂，影响因素除对流、弥散作用以外，还存在物理、化学、微生物等作用，这些作用常常会使污染质浓度衰减。目前国际上对这些作用参数的准确获取还存在着困难。</w:t>
      </w:r>
    </w:p>
    <w:p w14:paraId="6A4AAC02">
      <w:pPr>
        <w:keepNext w:val="0"/>
        <w:keepLines w:val="0"/>
        <w:pageBreakBefore w:val="0"/>
        <w:widowControl w:val="0"/>
        <w:kinsoku/>
        <w:wordWrap/>
        <w:overflowPunct/>
        <w:topLinePunct w:val="0"/>
        <w:autoSpaceDE/>
        <w:autoSpaceDN/>
        <w:bidi w:val="0"/>
        <w:snapToGrid w:val="0"/>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③在国际上有很多用保守型污染物作为模拟因子的环境质量评价的成功实例，保守型考虑符合工程设计的思想。</w:t>
      </w:r>
    </w:p>
    <w:p w14:paraId="178652DB">
      <w:pPr>
        <w:keepNext w:val="0"/>
        <w:keepLines w:val="0"/>
        <w:pageBreakBefore w:val="0"/>
        <w:widowControl w:val="0"/>
        <w:kinsoku/>
        <w:wordWrap/>
        <w:overflowPunct/>
        <w:topLinePunct w:val="0"/>
        <w:autoSpaceDE/>
        <w:autoSpaceDN/>
        <w:bidi w:val="0"/>
        <w:snapToGrid w:val="0"/>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据2011年10月16日，环保部环境工程评估中心在北京组织召开了《环境影响评价技术导则地下水环境》专家研讨会，与会水文地质专家一致认为弥散试验的结果受试验场地的尺度效应影响明显，其结果应用受到很大的局限性。因此，一般不推荐开展弥散试验工作。</w:t>
      </w:r>
    </w:p>
    <w:p w14:paraId="377E86E9">
      <w:pPr>
        <w:keepNext w:val="0"/>
        <w:keepLines w:val="0"/>
        <w:pageBreakBefore w:val="0"/>
        <w:widowControl w:val="0"/>
        <w:kinsoku/>
        <w:wordWrap/>
        <w:overflowPunct/>
        <w:topLinePunct w:val="0"/>
        <w:autoSpaceDE/>
        <w:autoSpaceDN/>
        <w:bidi w:val="0"/>
        <w:snapToGrid w:val="0"/>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将世界范围内所收集到的百余个水质模型中所使用的纵向弥散度α</w:t>
      </w:r>
      <w:r>
        <w:rPr>
          <w:rFonts w:hint="default" w:ascii="Times New Roman" w:hAnsi="Times New Roman" w:eastAsia="宋体" w:cs="Times New Roman"/>
          <w:color w:val="auto"/>
          <w:sz w:val="24"/>
          <w:szCs w:val="24"/>
          <w:highlight w:val="none"/>
          <w:vertAlign w:val="subscript"/>
        </w:rPr>
        <w:t>L</w:t>
      </w:r>
      <w:r>
        <w:rPr>
          <w:rFonts w:hint="default" w:ascii="Times New Roman" w:hAnsi="Times New Roman" w:eastAsia="宋体" w:cs="Times New Roman"/>
          <w:color w:val="auto"/>
          <w:sz w:val="24"/>
          <w:szCs w:val="24"/>
          <w:highlight w:val="none"/>
        </w:rPr>
        <w:t>绘在对数坐标纸上，从图上可以看出纵向弥散度α</w:t>
      </w:r>
      <w:r>
        <w:rPr>
          <w:rFonts w:hint="default" w:ascii="Times New Roman" w:hAnsi="Times New Roman" w:eastAsia="宋体" w:cs="Times New Roman"/>
          <w:color w:val="auto"/>
          <w:sz w:val="24"/>
          <w:szCs w:val="24"/>
          <w:highlight w:val="none"/>
          <w:vertAlign w:val="subscript"/>
        </w:rPr>
        <w:t>L</w:t>
      </w:r>
      <w:r>
        <w:rPr>
          <w:rFonts w:hint="default" w:ascii="Times New Roman" w:hAnsi="Times New Roman" w:eastAsia="宋体" w:cs="Times New Roman"/>
          <w:color w:val="auto"/>
          <w:sz w:val="24"/>
          <w:szCs w:val="24"/>
          <w:highlight w:val="none"/>
        </w:rPr>
        <w:t>从整体上随着尺度的增加而增大。许多研究者都曾用类似的图说明水动力弥散的尺度效应。根据模型所计算出的孔隙介质的纵向弥散度α</w:t>
      </w:r>
      <w:r>
        <w:rPr>
          <w:rFonts w:hint="default" w:ascii="Times New Roman" w:hAnsi="Times New Roman" w:eastAsia="宋体" w:cs="Times New Roman"/>
          <w:color w:val="auto"/>
          <w:sz w:val="24"/>
          <w:szCs w:val="24"/>
          <w:highlight w:val="none"/>
          <w:vertAlign w:val="subscript"/>
        </w:rPr>
        <w:t>L</w:t>
      </w:r>
      <w:r>
        <w:rPr>
          <w:rFonts w:hint="default" w:ascii="Times New Roman" w:hAnsi="Times New Roman" w:eastAsia="宋体" w:cs="Times New Roman"/>
          <w:color w:val="auto"/>
          <w:sz w:val="24"/>
          <w:szCs w:val="24"/>
          <w:highlight w:val="none"/>
        </w:rPr>
        <w:t>及有关资料与参数作出的lgα</w:t>
      </w:r>
      <w:r>
        <w:rPr>
          <w:rFonts w:hint="default" w:ascii="Times New Roman" w:hAnsi="Times New Roman" w:eastAsia="宋体" w:cs="Times New Roman"/>
          <w:color w:val="auto"/>
          <w:sz w:val="24"/>
          <w:szCs w:val="24"/>
          <w:highlight w:val="none"/>
          <w:vertAlign w:val="subscript"/>
        </w:rPr>
        <w:t>L</w:t>
      </w:r>
      <w:r>
        <w:rPr>
          <w:rFonts w:hint="default" w:ascii="Times New Roman" w:hAnsi="Times New Roman" w:eastAsia="宋体" w:cs="Times New Roman"/>
          <w:color w:val="auto"/>
          <w:sz w:val="24"/>
          <w:szCs w:val="24"/>
          <w:highlight w:val="none"/>
        </w:rPr>
        <w:t>-lgLs图。基准尺度Ls是指研究区大小的度量，一般用溶质运移到观测孔的最大距离表示，或用计算区的近似最大内径长度代替。</w:t>
      </w:r>
    </w:p>
    <w:p w14:paraId="6EE02EEE">
      <w:pPr>
        <w:keepNext w:val="0"/>
        <w:keepLines w:val="0"/>
        <w:pageBreakBefore w:val="0"/>
        <w:widowControl w:val="0"/>
        <w:kinsoku/>
        <w:wordWrap/>
        <w:overflowPunct/>
        <w:topLinePunct w:val="0"/>
        <w:autoSpaceDE/>
        <w:autoSpaceDN/>
        <w:bidi w:val="0"/>
        <w:snapToGrid w:val="0"/>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如前述分析，由于水动力弥散尺度效应的存在，难以通过野外或室内弥散试验获得真实的弥散度。因此，本次工作参考前人的研究成果，从保守角度考虑，本次模拟弥散度参数值取10。</w:t>
      </w:r>
    </w:p>
    <w:p w14:paraId="76AA977D">
      <w:pPr>
        <w:adjustRightInd w:val="0"/>
        <w:snapToGrid w:val="0"/>
        <w:spacing w:line="360" w:lineRule="auto"/>
        <w:ind w:firstLine="0" w:firstLineChars="0"/>
        <w:jc w:val="center"/>
        <w:rPr>
          <w:rFonts w:hint="default" w:ascii="Times New Roman" w:hAnsi="Times New Roman" w:eastAsia="宋体" w:cs="Times New Roman"/>
          <w:color w:val="auto"/>
          <w:spacing w:val="5"/>
          <w:sz w:val="24"/>
          <w:szCs w:val="25"/>
          <w:highlight w:val="none"/>
        </w:rPr>
      </w:pPr>
      <w:r>
        <w:rPr>
          <w:rFonts w:hint="default" w:ascii="Times New Roman" w:hAnsi="Times New Roman" w:eastAsia="宋体" w:cs="Times New Roman"/>
          <w:color w:val="auto"/>
          <w:spacing w:val="5"/>
          <w:sz w:val="24"/>
          <w:szCs w:val="25"/>
          <w:highlight w:val="none"/>
        </w:rPr>
        <w:drawing>
          <wp:inline distT="0" distB="0" distL="114300" distR="114300">
            <wp:extent cx="3239770" cy="1999615"/>
            <wp:effectExtent l="0" t="0" r="17780" b="635"/>
            <wp:docPr id="8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31"/>
                    <pic:cNvPicPr>
                      <a:picLocks noChangeAspect="1"/>
                    </pic:cNvPicPr>
                  </pic:nvPicPr>
                  <pic:blipFill>
                    <a:blip r:embed="rId108"/>
                    <a:stretch>
                      <a:fillRect/>
                    </a:stretch>
                  </pic:blipFill>
                  <pic:spPr>
                    <a:xfrm>
                      <a:off x="0" y="0"/>
                      <a:ext cx="3239770" cy="1999615"/>
                    </a:xfrm>
                    <a:prstGeom prst="rect">
                      <a:avLst/>
                    </a:prstGeom>
                    <a:noFill/>
                    <a:ln>
                      <a:noFill/>
                    </a:ln>
                  </pic:spPr>
                </pic:pic>
              </a:graphicData>
            </a:graphic>
          </wp:inline>
        </w:drawing>
      </w:r>
    </w:p>
    <w:p w14:paraId="4BC2D179">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孔隙介质2维数值模型的lgα</w:t>
      </w:r>
      <w:r>
        <w:rPr>
          <w:rFonts w:hint="default" w:ascii="Times New Roman" w:hAnsi="Times New Roman" w:eastAsia="宋体" w:cs="Times New Roman"/>
          <w:b/>
          <w:bCs/>
          <w:color w:val="000000" w:themeColor="text1"/>
          <w:sz w:val="24"/>
          <w:szCs w:val="24"/>
          <w:highlight w:val="none"/>
          <w:vertAlign w:val="subscript"/>
          <w:lang w:val="en-US" w:eastAsia="zh-CN"/>
          <w14:textFill>
            <w14:solidFill>
              <w14:schemeClr w14:val="tx1"/>
            </w14:solidFill>
          </w14:textFill>
        </w:rPr>
        <w:t>L</w:t>
      </w: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-lgL</w:t>
      </w:r>
      <w:r>
        <w:rPr>
          <w:rFonts w:hint="default" w:ascii="Times New Roman" w:hAnsi="Times New Roman" w:eastAsia="宋体" w:cs="Times New Roman"/>
          <w:b/>
          <w:bCs/>
          <w:color w:val="000000" w:themeColor="text1"/>
          <w:sz w:val="24"/>
          <w:szCs w:val="24"/>
          <w:highlight w:val="none"/>
          <w:vertAlign w:val="subscript"/>
          <w:lang w:val="en-US" w:eastAsia="zh-CN"/>
          <w14:textFill>
            <w14:solidFill>
              <w14:schemeClr w14:val="tx1"/>
            </w14:solidFill>
          </w14:textFill>
        </w:rPr>
        <w:t>S</w:t>
      </w: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图</w:t>
      </w:r>
    </w:p>
    <w:p w14:paraId="14B397C8">
      <w:pPr>
        <w:keepNext/>
        <w:keepLines/>
        <w:widowControl w:val="0"/>
        <w:adjustRightInd w:val="0"/>
        <w:snapToGrid w:val="0"/>
        <w:spacing w:beforeLines="0" w:afterLines="0" w:line="360" w:lineRule="auto"/>
        <w:ind w:left="0" w:firstLine="0" w:firstLineChars="0"/>
        <w:jc w:val="both"/>
        <w:outlineLvl w:val="4"/>
        <w:rPr>
          <w:rFonts w:hint="default" w:ascii="Times New Roman" w:hAnsi="Times New Roman" w:eastAsia="宋体" w:cs="Times New Roman"/>
          <w:b/>
          <w:bCs/>
          <w:color w:val="auto"/>
          <w:spacing w:val="5"/>
          <w:kern w:val="2"/>
          <w:sz w:val="24"/>
          <w:szCs w:val="28"/>
          <w:highlight w:val="none"/>
          <w:lang w:val="en-US" w:eastAsia="zh-CN" w:bidi="ar-SA"/>
        </w:rPr>
      </w:pPr>
      <w:r>
        <w:rPr>
          <w:rFonts w:hint="default" w:ascii="Times New Roman" w:hAnsi="Times New Roman" w:eastAsia="宋体" w:cs="Times New Roman"/>
          <w:b/>
          <w:bCs/>
          <w:color w:val="auto"/>
          <w:spacing w:val="5"/>
          <w:kern w:val="2"/>
          <w:sz w:val="24"/>
          <w:szCs w:val="28"/>
          <w:highlight w:val="none"/>
          <w:lang w:val="en-US" w:eastAsia="zh-CN" w:bidi="ar-SA"/>
        </w:rPr>
        <w:t>5.2.3.10.4地下水污染源强</w:t>
      </w:r>
    </w:p>
    <w:p w14:paraId="58937FD0">
      <w:pPr>
        <w:bidi w:val="0"/>
        <w:rPr>
          <w:rFonts w:hint="default"/>
          <w:highlight w:val="none"/>
        </w:rPr>
      </w:pPr>
      <w:r>
        <w:rPr>
          <w:rFonts w:hint="default"/>
          <w:highlight w:val="none"/>
        </w:rPr>
        <w:t>1、地下水污染情景设定</w:t>
      </w:r>
    </w:p>
    <w:p w14:paraId="5F22EC8D">
      <w:pPr>
        <w:bidi w:val="0"/>
        <w:rPr>
          <w:rFonts w:hint="default"/>
          <w:highlight w:val="none"/>
          <w:lang w:val="en-US" w:eastAsia="zh-CN"/>
        </w:rPr>
      </w:pPr>
      <w:r>
        <w:rPr>
          <w:rFonts w:hint="default"/>
          <w:highlight w:val="none"/>
        </w:rPr>
        <w:t>预测情景主要分为正常工况和非正常工况情景。</w:t>
      </w:r>
    </w:p>
    <w:p w14:paraId="4DEB6597">
      <w:pPr>
        <w:bidi w:val="0"/>
        <w:rPr>
          <w:rFonts w:hint="default"/>
          <w:highlight w:val="none"/>
          <w:lang w:val="en-US" w:eastAsia="zh-CN"/>
        </w:rPr>
      </w:pPr>
      <w:r>
        <w:rPr>
          <w:rFonts w:hint="default"/>
          <w:highlight w:val="none"/>
          <w:lang w:val="en-US" w:eastAsia="zh-CN"/>
        </w:rPr>
        <w:t>（1）正常生产工况</w:t>
      </w:r>
    </w:p>
    <w:p w14:paraId="5E02EA21">
      <w:pPr>
        <w:bidi w:val="0"/>
        <w:rPr>
          <w:rFonts w:hint="default"/>
          <w:highlight w:val="none"/>
          <w:lang w:val="en-US" w:eastAsia="zh-CN"/>
        </w:rPr>
      </w:pPr>
      <w:r>
        <w:rPr>
          <w:rFonts w:hint="default"/>
          <w:highlight w:val="none"/>
          <w:lang w:val="en-US" w:eastAsia="zh-CN"/>
        </w:rPr>
        <w:t>项目施工期废水主要为施工人员的生活污水和基础施工泥浆废水，主要污染物是COD、氨氮和SS，废水量小且污染物浓度低，从而对地下水环境影响很小。</w:t>
      </w:r>
    </w:p>
    <w:p w14:paraId="118532C5">
      <w:pPr>
        <w:bidi w:val="0"/>
        <w:rPr>
          <w:rFonts w:hint="default"/>
          <w:highlight w:val="none"/>
          <w:lang w:eastAsia="zh-CN"/>
        </w:rPr>
      </w:pPr>
      <w:r>
        <w:rPr>
          <w:rFonts w:hint="default"/>
          <w:highlight w:val="none"/>
        </w:rPr>
        <w:t>由于在可能产生</w:t>
      </w:r>
      <w:r>
        <w:rPr>
          <w:rFonts w:hint="default"/>
          <w:highlight w:val="none"/>
          <w:lang w:val="en-US" w:eastAsia="zh-CN"/>
        </w:rPr>
        <w:t>渗</w:t>
      </w:r>
      <w:r>
        <w:rPr>
          <w:rFonts w:hint="default"/>
          <w:highlight w:val="none"/>
        </w:rPr>
        <w:t>漏的地下及半地下式的水工构筑物</w:t>
      </w:r>
      <w:r>
        <w:rPr>
          <w:rFonts w:hint="default"/>
          <w:highlight w:val="none"/>
          <w:lang w:eastAsia="zh-CN"/>
        </w:rPr>
        <w:t>、</w:t>
      </w:r>
      <w:r>
        <w:rPr>
          <w:rFonts w:hint="default"/>
          <w:highlight w:val="none"/>
          <w:lang w:val="en-US" w:eastAsia="zh-CN"/>
        </w:rPr>
        <w:t>危废间</w:t>
      </w:r>
      <w:r>
        <w:rPr>
          <w:rFonts w:hint="default"/>
          <w:highlight w:val="none"/>
        </w:rPr>
        <w:t>等地面进行防渗处理，即使有少量的污染物泄漏，也很难通过防渗层渗入包气带。</w:t>
      </w:r>
      <w:r>
        <w:rPr>
          <w:rFonts w:hint="default"/>
          <w:highlight w:val="none"/>
          <w:lang w:val="en-US" w:eastAsia="zh-CN"/>
        </w:rPr>
        <w:t>由此</w:t>
      </w:r>
      <w:r>
        <w:rPr>
          <w:rFonts w:hint="default"/>
          <w:highlight w:val="none"/>
        </w:rPr>
        <w:t>可以看出，在正常工况下，地面经防渗处理，污染物从源头和末端均得到控制，没有污染地下水的通道，污染物渗入污染地下水不会发生。项目场地已依据GB16889、GB18597、GB18598、GB18599、GB/T50934设计了地下水污染防渗措施，根据《环境影响评价技术导则地下水环境》(HJ610-2016)要求，不进行正常工况情景下的预测。</w:t>
      </w:r>
    </w:p>
    <w:p w14:paraId="5B23002C">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outlineLvl w:val="9"/>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（2）非正常工况</w:t>
      </w:r>
    </w:p>
    <w:p w14:paraId="71FC3746">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outlineLvl w:val="9"/>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本次评价考虑非正常工况下，污水处理站泄漏对地下水产生的影响。</w:t>
      </w:r>
    </w:p>
    <w:p w14:paraId="2C160B84">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outlineLvl w:val="9"/>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通过对项目建设内容的分析，非正常工况下本项目污染物对地下水的可能影响途径为污水处理站泄漏，同时防渗层破损，污水渗入地下影响地下水环境及可能对敏感点产生影响。</w:t>
      </w:r>
    </w:p>
    <w:p w14:paraId="5BCE9DCA">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outlineLvl w:val="9"/>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根据废水污染源浓度分析，结合《地下水质量标准》(GB/T14848-2017)和《地表水环境质量标准》(GB3838-2002)Ⅲ类标准要求，对比标准指数，确定地下水预测因子为耗氧量、氨氮和石油类，具体见表5.2-2</w:t>
      </w:r>
      <w:r>
        <w:rPr>
          <w:rFonts w:hint="eastAsia" w:cs="Times New Roman"/>
          <w:color w:val="auto"/>
          <w:kern w:val="0"/>
          <w:sz w:val="24"/>
          <w:szCs w:val="24"/>
          <w:highlight w:val="none"/>
          <w:lang w:val="en-US" w:eastAsia="zh-CN" w:bidi="ar"/>
        </w:rPr>
        <w:t>4</w:t>
      </w:r>
      <w:r>
        <w:rPr>
          <w:rFonts w:hint="default" w:ascii="Times New Roman" w:hAnsi="Times New Roman" w:eastAsia="宋体" w:cs="Times New Roman"/>
          <w:color w:val="auto"/>
          <w:kern w:val="0"/>
          <w:sz w:val="24"/>
          <w:szCs w:val="24"/>
          <w:highlight w:val="none"/>
          <w:lang w:val="en-US" w:eastAsia="zh-CN" w:bidi="ar"/>
        </w:rPr>
        <w:t>。</w:t>
      </w:r>
    </w:p>
    <w:p w14:paraId="09EB6C05">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lang w:val="en-US" w:eastAsia="zh-CN"/>
        </w:rPr>
      </w:pPr>
      <w:r>
        <w:rPr>
          <w:rFonts w:hint="default" w:ascii="Times New Roman" w:hAnsi="Times New Roman" w:eastAsia="宋体" w:cs="Times New Roman"/>
          <w:b/>
          <w:bCs/>
          <w:color w:val="auto"/>
          <w:sz w:val="24"/>
          <w:highlight w:val="none"/>
          <w:lang w:val="en-US" w:eastAsia="zh-CN"/>
        </w:rPr>
        <w:t>非正常状况源强一览表</w:t>
      </w:r>
    </w:p>
    <w:tbl>
      <w:tblPr>
        <w:tblStyle w:val="88"/>
        <w:tblW w:w="5037"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1797"/>
        <w:gridCol w:w="1406"/>
        <w:gridCol w:w="1758"/>
        <w:gridCol w:w="1896"/>
        <w:gridCol w:w="1156"/>
        <w:gridCol w:w="1156"/>
      </w:tblGrid>
      <w:tr w14:paraId="3BBD26A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8" w:hRule="atLeast"/>
        </w:trPr>
        <w:tc>
          <w:tcPr>
            <w:tcW w:w="980" w:type="pct"/>
            <w:vAlign w:val="center"/>
          </w:tcPr>
          <w:p w14:paraId="6CDEABF9">
            <w:pPr>
              <w:pStyle w:val="58"/>
              <w:bidi w:val="0"/>
              <w:rPr>
                <w:rFonts w:hint="default"/>
                <w:highlight w:val="none"/>
              </w:rPr>
            </w:pPr>
            <w:bookmarkStart w:id="318" w:name="OLE_LINK42" w:colFirst="1" w:colLast="2"/>
            <w:r>
              <w:rPr>
                <w:rFonts w:hint="default"/>
                <w:highlight w:val="none"/>
              </w:rPr>
              <w:t>位置</w:t>
            </w:r>
          </w:p>
        </w:tc>
        <w:tc>
          <w:tcPr>
            <w:tcW w:w="766" w:type="pct"/>
            <w:vAlign w:val="center"/>
          </w:tcPr>
          <w:p w14:paraId="54AA2381">
            <w:pPr>
              <w:pStyle w:val="58"/>
              <w:bidi w:val="0"/>
              <w:rPr>
                <w:rFonts w:hint="default"/>
                <w:highlight w:val="none"/>
              </w:rPr>
            </w:pPr>
            <w:r>
              <w:rPr>
                <w:rFonts w:hint="default"/>
                <w:highlight w:val="none"/>
              </w:rPr>
              <w:t>污染因子</w:t>
            </w:r>
          </w:p>
        </w:tc>
        <w:tc>
          <w:tcPr>
            <w:tcW w:w="958" w:type="pct"/>
            <w:vAlign w:val="center"/>
          </w:tcPr>
          <w:p w14:paraId="19DAC2A4">
            <w:pPr>
              <w:pStyle w:val="58"/>
              <w:bidi w:val="0"/>
              <w:rPr>
                <w:rFonts w:hint="default"/>
                <w:highlight w:val="none"/>
              </w:rPr>
            </w:pPr>
            <w:r>
              <w:rPr>
                <w:rFonts w:hint="default"/>
                <w:highlight w:val="none"/>
              </w:rPr>
              <w:t>源强浓度(mg/L)</w:t>
            </w:r>
          </w:p>
        </w:tc>
        <w:tc>
          <w:tcPr>
            <w:tcW w:w="1033" w:type="pct"/>
            <w:vAlign w:val="center"/>
          </w:tcPr>
          <w:p w14:paraId="08E398D2">
            <w:pPr>
              <w:pStyle w:val="58"/>
              <w:bidi w:val="0"/>
              <w:rPr>
                <w:rFonts w:hint="default"/>
                <w:highlight w:val="none"/>
              </w:rPr>
            </w:pPr>
            <w:r>
              <w:rPr>
                <w:rFonts w:hint="default"/>
                <w:highlight w:val="none"/>
              </w:rPr>
              <w:t>标准浓度(mg/L)</w:t>
            </w:r>
          </w:p>
        </w:tc>
        <w:tc>
          <w:tcPr>
            <w:tcW w:w="630" w:type="pct"/>
            <w:vAlign w:val="center"/>
          </w:tcPr>
          <w:p w14:paraId="745DFCB1">
            <w:pPr>
              <w:pStyle w:val="58"/>
              <w:bidi w:val="0"/>
              <w:rPr>
                <w:rFonts w:hint="default"/>
                <w:highlight w:val="none"/>
              </w:rPr>
            </w:pPr>
            <w:r>
              <w:rPr>
                <w:rFonts w:hint="default"/>
                <w:highlight w:val="none"/>
              </w:rPr>
              <w:t>标准指数</w:t>
            </w:r>
          </w:p>
        </w:tc>
        <w:tc>
          <w:tcPr>
            <w:tcW w:w="630" w:type="pct"/>
            <w:vAlign w:val="center"/>
          </w:tcPr>
          <w:p w14:paraId="1F2C960E">
            <w:pPr>
              <w:pStyle w:val="58"/>
              <w:bidi w:val="0"/>
              <w:rPr>
                <w:rFonts w:hint="default"/>
                <w:highlight w:val="none"/>
                <w:lang w:val="en-US" w:eastAsia="zh-CN"/>
              </w:rPr>
            </w:pPr>
            <w:r>
              <w:rPr>
                <w:rFonts w:hint="default"/>
                <w:highlight w:val="none"/>
                <w:lang w:val="en-US" w:eastAsia="zh-CN"/>
              </w:rPr>
              <w:t>排序</w:t>
            </w:r>
          </w:p>
        </w:tc>
      </w:tr>
      <w:tr w14:paraId="5DE533A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3" w:hRule="atLeast"/>
        </w:trPr>
        <w:tc>
          <w:tcPr>
            <w:tcW w:w="980" w:type="pct"/>
            <w:vMerge w:val="restart"/>
            <w:vAlign w:val="center"/>
          </w:tcPr>
          <w:p w14:paraId="327EE246">
            <w:pPr>
              <w:pStyle w:val="58"/>
              <w:bidi w:val="0"/>
              <w:rPr>
                <w:rFonts w:hint="default"/>
                <w:highlight w:val="none"/>
              </w:rPr>
            </w:pPr>
            <w:r>
              <w:rPr>
                <w:rFonts w:hint="default"/>
                <w:highlight w:val="none"/>
              </w:rPr>
              <w:t>污水处理站</w:t>
            </w:r>
            <w:r>
              <w:rPr>
                <w:rFonts w:hint="default"/>
                <w:highlight w:val="none"/>
                <w:lang w:val="en-US" w:eastAsia="zh-CN"/>
              </w:rPr>
              <w:t>调节</w:t>
            </w:r>
            <w:r>
              <w:rPr>
                <w:rFonts w:hint="default"/>
                <w:highlight w:val="none"/>
              </w:rPr>
              <w:t>池</w:t>
            </w:r>
          </w:p>
        </w:tc>
        <w:tc>
          <w:tcPr>
            <w:tcW w:w="766" w:type="pct"/>
            <w:vAlign w:val="center"/>
          </w:tcPr>
          <w:p w14:paraId="37F0894E">
            <w:pPr>
              <w:pStyle w:val="58"/>
              <w:bidi w:val="0"/>
              <w:rPr>
                <w:rFonts w:hint="default"/>
                <w:highlight w:val="none"/>
              </w:rPr>
            </w:pPr>
            <w:r>
              <w:rPr>
                <w:rFonts w:hint="default"/>
                <w:highlight w:val="none"/>
              </w:rPr>
              <w:t>COD</w:t>
            </w:r>
          </w:p>
        </w:tc>
        <w:tc>
          <w:tcPr>
            <w:tcW w:w="958" w:type="pct"/>
            <w:vAlign w:val="center"/>
          </w:tcPr>
          <w:p w14:paraId="5C4952B8">
            <w:pPr>
              <w:pStyle w:val="58"/>
              <w:bidi w:val="0"/>
              <w:rPr>
                <w:rFonts w:hint="default"/>
                <w:highlight w:val="none"/>
              </w:rPr>
            </w:pPr>
            <w:r>
              <w:rPr>
                <w:rFonts w:hint="default"/>
                <w:highlight w:val="none"/>
                <w:lang w:val="en-US" w:eastAsia="zh-CN"/>
              </w:rPr>
              <w:t>3</w:t>
            </w:r>
            <w:r>
              <w:rPr>
                <w:rFonts w:hint="default"/>
                <w:highlight w:val="none"/>
              </w:rPr>
              <w:t>50</w:t>
            </w:r>
          </w:p>
        </w:tc>
        <w:tc>
          <w:tcPr>
            <w:tcW w:w="1033" w:type="pct"/>
            <w:vAlign w:val="center"/>
          </w:tcPr>
          <w:p w14:paraId="5C0DF771">
            <w:pPr>
              <w:pStyle w:val="58"/>
              <w:bidi w:val="0"/>
              <w:rPr>
                <w:rFonts w:hint="default"/>
                <w:highlight w:val="none"/>
              </w:rPr>
            </w:pPr>
            <w:r>
              <w:rPr>
                <w:rFonts w:hint="default"/>
                <w:highlight w:val="none"/>
              </w:rPr>
              <w:t>3.0</w:t>
            </w:r>
          </w:p>
        </w:tc>
        <w:tc>
          <w:tcPr>
            <w:tcW w:w="630" w:type="pct"/>
            <w:vAlign w:val="center"/>
          </w:tcPr>
          <w:p w14:paraId="52881200">
            <w:pPr>
              <w:pStyle w:val="58"/>
              <w:bidi w:val="0"/>
              <w:rPr>
                <w:rFonts w:hint="default"/>
                <w:highlight w:val="none"/>
                <w:lang w:val="en-US" w:eastAsia="zh-CN"/>
              </w:rPr>
            </w:pPr>
            <w:r>
              <w:rPr>
                <w:rFonts w:hint="default"/>
                <w:highlight w:val="none"/>
                <w:lang w:val="en-US" w:eastAsia="zh-CN"/>
              </w:rPr>
              <w:t>117</w:t>
            </w:r>
          </w:p>
        </w:tc>
        <w:tc>
          <w:tcPr>
            <w:tcW w:w="630" w:type="pct"/>
            <w:vAlign w:val="center"/>
          </w:tcPr>
          <w:p w14:paraId="5627A8D1">
            <w:pPr>
              <w:pStyle w:val="58"/>
              <w:bidi w:val="0"/>
              <w:rPr>
                <w:rFonts w:hint="default"/>
                <w:highlight w:val="none"/>
                <w:lang w:val="en-US" w:eastAsia="zh-CN"/>
              </w:rPr>
            </w:pPr>
            <w:r>
              <w:rPr>
                <w:rFonts w:hint="default"/>
                <w:highlight w:val="none"/>
                <w:lang w:val="en-US" w:eastAsia="zh-CN"/>
              </w:rPr>
              <w:t>1</w:t>
            </w:r>
          </w:p>
        </w:tc>
      </w:tr>
      <w:tr w14:paraId="7972DC3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3" w:hRule="atLeast"/>
        </w:trPr>
        <w:tc>
          <w:tcPr>
            <w:tcW w:w="980" w:type="pct"/>
            <w:vMerge w:val="continue"/>
            <w:vAlign w:val="center"/>
          </w:tcPr>
          <w:p w14:paraId="606C2CAA">
            <w:pPr>
              <w:pStyle w:val="58"/>
              <w:bidi w:val="0"/>
              <w:rPr>
                <w:rFonts w:hint="default"/>
                <w:highlight w:val="none"/>
              </w:rPr>
            </w:pPr>
          </w:p>
        </w:tc>
        <w:tc>
          <w:tcPr>
            <w:tcW w:w="766" w:type="pct"/>
            <w:vAlign w:val="center"/>
          </w:tcPr>
          <w:p w14:paraId="0ED1D4CD">
            <w:pPr>
              <w:pStyle w:val="58"/>
              <w:bidi w:val="0"/>
              <w:rPr>
                <w:rFonts w:hint="default"/>
                <w:highlight w:val="none"/>
              </w:rPr>
            </w:pPr>
            <w:r>
              <w:rPr>
                <w:rFonts w:hint="eastAsia"/>
                <w:highlight w:val="none"/>
                <w:lang w:eastAsia="zh-CN"/>
              </w:rPr>
              <w:t>NH</w:t>
            </w:r>
            <w:r>
              <w:rPr>
                <w:rFonts w:hint="eastAsia"/>
                <w:highlight w:val="none"/>
                <w:vertAlign w:val="subscript"/>
                <w:lang w:eastAsia="zh-CN"/>
              </w:rPr>
              <w:t>3</w:t>
            </w:r>
            <w:r>
              <w:rPr>
                <w:rFonts w:hint="default"/>
                <w:highlight w:val="none"/>
              </w:rPr>
              <w:t>-N</w:t>
            </w:r>
          </w:p>
        </w:tc>
        <w:tc>
          <w:tcPr>
            <w:tcW w:w="958" w:type="pct"/>
            <w:vAlign w:val="center"/>
          </w:tcPr>
          <w:p w14:paraId="58A93676">
            <w:pPr>
              <w:pStyle w:val="58"/>
              <w:bidi w:val="0"/>
              <w:rPr>
                <w:rFonts w:hint="default"/>
                <w:highlight w:val="none"/>
                <w:lang w:val="en-US" w:eastAsia="zh-CN"/>
              </w:rPr>
            </w:pPr>
            <w:r>
              <w:rPr>
                <w:rFonts w:hint="default"/>
                <w:highlight w:val="none"/>
                <w:lang w:val="en-US" w:eastAsia="zh-CN"/>
              </w:rPr>
              <w:t>45</w:t>
            </w:r>
          </w:p>
        </w:tc>
        <w:tc>
          <w:tcPr>
            <w:tcW w:w="1033" w:type="pct"/>
            <w:vAlign w:val="center"/>
          </w:tcPr>
          <w:p w14:paraId="08513448">
            <w:pPr>
              <w:pStyle w:val="58"/>
              <w:bidi w:val="0"/>
              <w:rPr>
                <w:rFonts w:hint="default"/>
                <w:highlight w:val="none"/>
              </w:rPr>
            </w:pPr>
            <w:r>
              <w:rPr>
                <w:rFonts w:hint="default"/>
                <w:highlight w:val="none"/>
              </w:rPr>
              <w:t>0.50</w:t>
            </w:r>
          </w:p>
        </w:tc>
        <w:tc>
          <w:tcPr>
            <w:tcW w:w="630" w:type="pct"/>
            <w:vAlign w:val="center"/>
          </w:tcPr>
          <w:p w14:paraId="364C2B12">
            <w:pPr>
              <w:pStyle w:val="58"/>
              <w:bidi w:val="0"/>
              <w:rPr>
                <w:rFonts w:hint="default"/>
                <w:highlight w:val="none"/>
              </w:rPr>
            </w:pPr>
            <w:r>
              <w:rPr>
                <w:rFonts w:hint="default"/>
                <w:highlight w:val="none"/>
                <w:lang w:val="en-US" w:eastAsia="zh-CN"/>
              </w:rPr>
              <w:t>9</w:t>
            </w:r>
            <w:r>
              <w:rPr>
                <w:rFonts w:hint="default"/>
                <w:highlight w:val="none"/>
              </w:rPr>
              <w:t>0</w:t>
            </w:r>
          </w:p>
        </w:tc>
        <w:tc>
          <w:tcPr>
            <w:tcW w:w="630" w:type="pct"/>
            <w:vAlign w:val="center"/>
          </w:tcPr>
          <w:p w14:paraId="11CEF4DA">
            <w:pPr>
              <w:pStyle w:val="58"/>
              <w:bidi w:val="0"/>
              <w:rPr>
                <w:rFonts w:hint="default"/>
                <w:highlight w:val="none"/>
                <w:lang w:val="en-US" w:eastAsia="zh-CN"/>
              </w:rPr>
            </w:pPr>
            <w:r>
              <w:rPr>
                <w:rFonts w:hint="default"/>
                <w:highlight w:val="none"/>
                <w:lang w:val="en-US" w:eastAsia="zh-CN"/>
              </w:rPr>
              <w:t>2</w:t>
            </w:r>
          </w:p>
        </w:tc>
      </w:tr>
      <w:tr w14:paraId="71A124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4" w:hRule="atLeast"/>
        </w:trPr>
        <w:tc>
          <w:tcPr>
            <w:tcW w:w="980" w:type="pct"/>
            <w:vMerge w:val="continue"/>
            <w:vAlign w:val="center"/>
          </w:tcPr>
          <w:p w14:paraId="77647970">
            <w:pPr>
              <w:pStyle w:val="58"/>
              <w:bidi w:val="0"/>
              <w:rPr>
                <w:rFonts w:hint="default"/>
                <w:highlight w:val="none"/>
              </w:rPr>
            </w:pPr>
          </w:p>
        </w:tc>
        <w:tc>
          <w:tcPr>
            <w:tcW w:w="766" w:type="pct"/>
            <w:vAlign w:val="center"/>
          </w:tcPr>
          <w:p w14:paraId="23BEE2BC">
            <w:pPr>
              <w:pStyle w:val="58"/>
              <w:bidi w:val="0"/>
              <w:rPr>
                <w:rFonts w:hint="default"/>
                <w:highlight w:val="none"/>
              </w:rPr>
            </w:pPr>
            <w:r>
              <w:rPr>
                <w:rFonts w:hint="default"/>
                <w:highlight w:val="none"/>
              </w:rPr>
              <w:t>石油类</w:t>
            </w:r>
          </w:p>
        </w:tc>
        <w:tc>
          <w:tcPr>
            <w:tcW w:w="958" w:type="pct"/>
            <w:vAlign w:val="center"/>
          </w:tcPr>
          <w:p w14:paraId="5B233473">
            <w:pPr>
              <w:pStyle w:val="58"/>
              <w:bidi w:val="0"/>
              <w:rPr>
                <w:rFonts w:hint="default"/>
                <w:highlight w:val="none"/>
              </w:rPr>
            </w:pPr>
            <w:r>
              <w:rPr>
                <w:rFonts w:hint="default"/>
                <w:highlight w:val="none"/>
              </w:rPr>
              <w:t>0.19</w:t>
            </w:r>
          </w:p>
        </w:tc>
        <w:tc>
          <w:tcPr>
            <w:tcW w:w="1033" w:type="pct"/>
            <w:vAlign w:val="center"/>
          </w:tcPr>
          <w:p w14:paraId="5AACF863">
            <w:pPr>
              <w:pStyle w:val="58"/>
              <w:bidi w:val="0"/>
              <w:rPr>
                <w:rFonts w:hint="default"/>
                <w:highlight w:val="none"/>
              </w:rPr>
            </w:pPr>
            <w:r>
              <w:rPr>
                <w:rFonts w:hint="default"/>
                <w:highlight w:val="none"/>
              </w:rPr>
              <w:t>0.05</w:t>
            </w:r>
          </w:p>
        </w:tc>
        <w:tc>
          <w:tcPr>
            <w:tcW w:w="630" w:type="pct"/>
            <w:vAlign w:val="center"/>
          </w:tcPr>
          <w:p w14:paraId="56828C2E">
            <w:pPr>
              <w:pStyle w:val="58"/>
              <w:bidi w:val="0"/>
              <w:rPr>
                <w:rFonts w:hint="default"/>
                <w:highlight w:val="none"/>
              </w:rPr>
            </w:pPr>
            <w:r>
              <w:rPr>
                <w:rFonts w:hint="default"/>
                <w:highlight w:val="none"/>
              </w:rPr>
              <w:t>3.8</w:t>
            </w:r>
          </w:p>
        </w:tc>
        <w:tc>
          <w:tcPr>
            <w:tcW w:w="630" w:type="pct"/>
            <w:vAlign w:val="center"/>
          </w:tcPr>
          <w:p w14:paraId="331166D1">
            <w:pPr>
              <w:pStyle w:val="58"/>
              <w:bidi w:val="0"/>
              <w:rPr>
                <w:rFonts w:hint="default"/>
                <w:highlight w:val="none"/>
                <w:lang w:val="en-US" w:eastAsia="zh-CN"/>
              </w:rPr>
            </w:pPr>
            <w:r>
              <w:rPr>
                <w:rFonts w:hint="default"/>
                <w:highlight w:val="none"/>
                <w:lang w:val="en-US" w:eastAsia="zh-CN"/>
              </w:rPr>
              <w:t>3</w:t>
            </w:r>
          </w:p>
        </w:tc>
      </w:tr>
      <w:bookmarkEnd w:id="318"/>
    </w:tbl>
    <w:p w14:paraId="4FC05018">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outlineLvl w:val="9"/>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本次评价选取基本污染物氨氮、耗氧量和特征污染物石油类作为代表性因子进行预测。</w:t>
      </w:r>
    </w:p>
    <w:p w14:paraId="721FF837">
      <w:pPr>
        <w:keepNext w:val="0"/>
        <w:keepLines w:val="0"/>
        <w:pageBreakBefore w:val="0"/>
        <w:widowControl w:val="0"/>
        <w:kinsoku/>
        <w:wordWrap/>
        <w:overflowPunct/>
        <w:topLinePunct w:val="0"/>
        <w:autoSpaceDE/>
        <w:autoSpaceDN/>
        <w:bidi w:val="0"/>
        <w:adjustRightInd/>
        <w:snapToGrid/>
        <w:spacing w:line="480" w:lineRule="exact"/>
        <w:ind w:firstLine="468" w:firstLineChars="200"/>
        <w:textAlignment w:val="auto"/>
        <w:outlineLvl w:val="9"/>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spacing w:val="-3"/>
          <w:sz w:val="24"/>
          <w:szCs w:val="24"/>
          <w:highlight w:val="none"/>
        </w:rPr>
        <w:t>情景设定：假定由于地质作用等原因，导致污水处理站</w:t>
      </w:r>
      <w:r>
        <w:rPr>
          <w:rFonts w:hint="default" w:ascii="Times New Roman" w:hAnsi="Times New Roman" w:eastAsia="宋体" w:cs="Times New Roman"/>
          <w:spacing w:val="-3"/>
          <w:sz w:val="24"/>
          <w:szCs w:val="24"/>
          <w:highlight w:val="none"/>
          <w:lang w:val="en-US" w:eastAsia="zh-CN"/>
        </w:rPr>
        <w:t>调节</w:t>
      </w:r>
      <w:r>
        <w:rPr>
          <w:rFonts w:hint="default" w:ascii="Times New Roman" w:hAnsi="Times New Roman" w:eastAsia="宋体" w:cs="Times New Roman"/>
          <w:spacing w:val="-3"/>
          <w:sz w:val="24"/>
          <w:szCs w:val="24"/>
          <w:highlight w:val="none"/>
        </w:rPr>
        <w:t>池破裂，同时防渗层破损，则将导致泄漏污染物污染地下水。</w:t>
      </w:r>
      <w:r>
        <w:rPr>
          <w:rFonts w:hint="default" w:ascii="Times New Roman" w:hAnsi="Times New Roman" w:eastAsia="宋体" w:cs="Times New Roman"/>
          <w:spacing w:val="-3"/>
          <w:sz w:val="24"/>
          <w:szCs w:val="24"/>
          <w:highlight w:val="none"/>
          <w:lang w:val="en-US" w:eastAsia="zh-CN"/>
        </w:rPr>
        <w:t>调节</w:t>
      </w:r>
      <w:r>
        <w:rPr>
          <w:rFonts w:hint="default" w:ascii="Times New Roman" w:hAnsi="Times New Roman" w:eastAsia="宋体" w:cs="Times New Roman"/>
          <w:spacing w:val="-3"/>
          <w:sz w:val="24"/>
          <w:szCs w:val="24"/>
          <w:highlight w:val="none"/>
        </w:rPr>
        <w:t>池规格为8.6</w:t>
      </w:r>
      <w:r>
        <w:rPr>
          <w:rFonts w:hint="default" w:ascii="Times New Roman" w:hAnsi="Times New Roman" w:eastAsia="宋体" w:cs="Times New Roman"/>
          <w:spacing w:val="-3"/>
          <w:sz w:val="24"/>
          <w:szCs w:val="24"/>
          <w:highlight w:val="none"/>
          <w:lang w:val="en-US" w:eastAsia="zh-CN"/>
        </w:rPr>
        <w:t>m</w:t>
      </w:r>
      <w:r>
        <w:rPr>
          <w:rFonts w:hint="default" w:ascii="Times New Roman" w:hAnsi="Times New Roman" w:eastAsia="宋体" w:cs="Times New Roman"/>
          <w:spacing w:val="-3"/>
          <w:sz w:val="24"/>
          <w:szCs w:val="24"/>
          <w:highlight w:val="none"/>
        </w:rPr>
        <w:t>×9.7m×5.25m，</w:t>
      </w:r>
      <w:r>
        <w:rPr>
          <w:rFonts w:hint="default" w:ascii="Times New Roman" w:hAnsi="Times New Roman" w:eastAsia="宋体" w:cs="Times New Roman"/>
          <w:spacing w:val="-3"/>
          <w:sz w:val="24"/>
          <w:szCs w:val="24"/>
          <w:highlight w:val="none"/>
          <w:lang w:val="en-US" w:eastAsia="zh-CN"/>
        </w:rPr>
        <w:t>污水调节池浸润面积为</w:t>
      </w:r>
      <w:r>
        <w:rPr>
          <w:rFonts w:hint="eastAsia" w:cs="Times New Roman"/>
          <w:spacing w:val="-3"/>
          <w:sz w:val="24"/>
          <w:szCs w:val="24"/>
          <w:highlight w:val="none"/>
          <w:lang w:val="en-US" w:eastAsia="zh-CN"/>
        </w:rPr>
        <w:t>248.12</w:t>
      </w:r>
      <w:r>
        <w:rPr>
          <w:rFonts w:hint="default" w:ascii="Times New Roman" w:hAnsi="Times New Roman" w:eastAsia="宋体" w:cs="Times New Roman"/>
          <w:spacing w:val="-3"/>
          <w:sz w:val="24"/>
          <w:szCs w:val="24"/>
          <w:highlight w:val="none"/>
          <w:lang w:val="en-US" w:eastAsia="zh-CN"/>
        </w:rPr>
        <w:t>m</w:t>
      </w:r>
      <w:r>
        <w:rPr>
          <w:rFonts w:hint="default" w:ascii="Times New Roman" w:hAnsi="Times New Roman" w:eastAsia="宋体" w:cs="Times New Roman"/>
          <w:spacing w:val="-3"/>
          <w:sz w:val="24"/>
          <w:szCs w:val="24"/>
          <w:highlight w:val="none"/>
          <w:vertAlign w:val="superscript"/>
          <w:lang w:val="en-US" w:eastAsia="zh-CN"/>
        </w:rPr>
        <w:t>2</w:t>
      </w:r>
      <w:r>
        <w:rPr>
          <w:rFonts w:hint="default" w:ascii="Times New Roman" w:hAnsi="Times New Roman" w:eastAsia="宋体" w:cs="Times New Roman"/>
          <w:spacing w:val="-3"/>
          <w:sz w:val="24"/>
          <w:szCs w:val="24"/>
          <w:highlight w:val="none"/>
          <w:lang w:val="en-US" w:eastAsia="zh-CN"/>
        </w:rPr>
        <w:t>(含池底和池壁，调节池最高液位为4.5m),</w:t>
      </w:r>
      <w:r>
        <w:rPr>
          <w:rFonts w:hint="default" w:ascii="Times New Roman" w:hAnsi="Times New Roman" w:eastAsia="宋体" w:cs="Times New Roman"/>
          <w:spacing w:val="-3"/>
          <w:sz w:val="24"/>
          <w:szCs w:val="24"/>
          <w:highlight w:val="none"/>
        </w:rPr>
        <w:t>位于厂区东侧</w:t>
      </w:r>
      <w:r>
        <w:rPr>
          <w:rFonts w:hint="default" w:ascii="Times New Roman" w:hAnsi="Times New Roman" w:eastAsia="宋体" w:cs="Times New Roman"/>
          <w:spacing w:val="19"/>
          <w:sz w:val="24"/>
          <w:szCs w:val="24"/>
          <w:highlight w:val="none"/>
        </w:rPr>
        <w:t>，距离下游厂界约50m。参考《给水排水构筑物工程施工及验收规范》</w:t>
      </w:r>
      <w:r>
        <w:rPr>
          <w:rFonts w:hint="default" w:ascii="Times New Roman" w:hAnsi="Times New Roman" w:eastAsia="宋体" w:cs="Times New Roman"/>
          <w:spacing w:val="2"/>
          <w:sz w:val="24"/>
          <w:szCs w:val="24"/>
          <w:highlight w:val="none"/>
        </w:rPr>
        <w:t>（</w:t>
      </w:r>
      <w:r>
        <w:rPr>
          <w:rFonts w:hint="default" w:ascii="Times New Roman" w:hAnsi="Times New Roman" w:eastAsia="宋体" w:cs="Times New Roman"/>
          <w:sz w:val="24"/>
          <w:szCs w:val="24"/>
          <w:highlight w:val="none"/>
        </w:rPr>
        <w:t>GB</w:t>
      </w:r>
      <w:r>
        <w:rPr>
          <w:rFonts w:hint="default" w:ascii="Times New Roman" w:hAnsi="Times New Roman" w:eastAsia="宋体" w:cs="Times New Roman"/>
          <w:spacing w:val="2"/>
          <w:sz w:val="24"/>
          <w:szCs w:val="24"/>
          <w:highlight w:val="none"/>
        </w:rPr>
        <w:t>50141-2008）中关于满水试验验收的要求，钢筋混凝土池体满水试验验收标准为</w:t>
      </w:r>
      <w:r>
        <w:rPr>
          <w:rFonts w:hint="default" w:ascii="Times New Roman" w:hAnsi="Times New Roman" w:eastAsia="宋体" w:cs="Times New Roman"/>
          <w:spacing w:val="-3"/>
          <w:sz w:val="24"/>
          <w:szCs w:val="24"/>
          <w:highlight w:val="none"/>
        </w:rPr>
        <w:t>2.0L/</w:t>
      </w:r>
      <w:r>
        <w:rPr>
          <w:rFonts w:hint="eastAsia" w:cs="Times New Roman"/>
          <w:spacing w:val="-3"/>
          <w:sz w:val="24"/>
          <w:szCs w:val="24"/>
          <w:highlight w:val="none"/>
          <w:lang w:eastAsia="zh-CN"/>
        </w:rPr>
        <w:t>m</w:t>
      </w:r>
      <w:r>
        <w:rPr>
          <w:rFonts w:hint="default" w:ascii="Times New Roman" w:hAnsi="Times New Roman" w:eastAsia="宋体" w:cs="Times New Roman"/>
          <w:spacing w:val="-3"/>
          <w:sz w:val="24"/>
          <w:szCs w:val="24"/>
          <w:highlight w:val="none"/>
          <w:vertAlign w:val="superscript"/>
          <w:lang w:eastAsia="zh-CN"/>
        </w:rPr>
        <w:t>2</w:t>
      </w:r>
      <w:r>
        <w:rPr>
          <w:rFonts w:hint="default" w:ascii="Times New Roman" w:hAnsi="Times New Roman" w:eastAsia="宋体" w:cs="Times New Roman"/>
          <w:spacing w:val="-3"/>
          <w:sz w:val="24"/>
          <w:szCs w:val="24"/>
          <w:highlight w:val="none"/>
        </w:rPr>
        <w:t>•d，假设项目在非正常状况下，出现防渗层破裂情况，破裂程度引起的地下水渗</w:t>
      </w:r>
      <w:r>
        <w:rPr>
          <w:rFonts w:hint="default" w:ascii="Times New Roman" w:hAnsi="Times New Roman" w:eastAsia="宋体" w:cs="Times New Roman"/>
          <w:spacing w:val="2"/>
          <w:sz w:val="24"/>
          <w:szCs w:val="24"/>
          <w:highlight w:val="none"/>
        </w:rPr>
        <w:t>漏量按照验收标准的10倍计算。按照最不利考虑，耗氧量与</w:t>
      </w:r>
      <w:r>
        <w:rPr>
          <w:rFonts w:hint="default" w:ascii="Times New Roman" w:hAnsi="Times New Roman" w:eastAsia="宋体" w:cs="Times New Roman"/>
          <w:sz w:val="24"/>
          <w:szCs w:val="24"/>
          <w:highlight w:val="none"/>
        </w:rPr>
        <w:t>COD</w:t>
      </w:r>
      <w:r>
        <w:rPr>
          <w:rFonts w:hint="default" w:ascii="Times New Roman" w:hAnsi="Times New Roman" w:eastAsia="宋体" w:cs="Times New Roman"/>
          <w:spacing w:val="2"/>
          <w:sz w:val="24"/>
          <w:szCs w:val="24"/>
          <w:highlight w:val="none"/>
        </w:rPr>
        <w:t>浓</w:t>
      </w:r>
      <w:r>
        <w:rPr>
          <w:rFonts w:hint="default" w:ascii="Times New Roman" w:hAnsi="Times New Roman" w:eastAsia="宋体" w:cs="Times New Roman"/>
          <w:spacing w:val="1"/>
          <w:sz w:val="24"/>
          <w:szCs w:val="24"/>
          <w:highlight w:val="none"/>
        </w:rPr>
        <w:t>度相等，则进入</w:t>
      </w:r>
      <w:r>
        <w:rPr>
          <w:rFonts w:hint="default" w:ascii="Times New Roman" w:hAnsi="Times New Roman" w:eastAsia="宋体" w:cs="Times New Roman"/>
          <w:spacing w:val="-3"/>
          <w:sz w:val="24"/>
          <w:szCs w:val="24"/>
          <w:highlight w:val="none"/>
        </w:rPr>
        <w:t>含水层的污染物泄漏量分别为：耗氧量</w:t>
      </w:r>
      <w:r>
        <w:rPr>
          <w:rFonts w:hint="default" w:ascii="Times New Roman" w:hAnsi="Times New Roman" w:eastAsia="宋体" w:cs="Times New Roman"/>
          <w:spacing w:val="-3"/>
          <w:sz w:val="24"/>
          <w:szCs w:val="24"/>
          <w:highlight w:val="none"/>
          <w:lang w:val="en-US" w:eastAsia="zh-CN"/>
        </w:rPr>
        <w:t>1.</w:t>
      </w:r>
      <w:r>
        <w:rPr>
          <w:rFonts w:hint="eastAsia" w:cs="Times New Roman"/>
          <w:spacing w:val="-3"/>
          <w:sz w:val="24"/>
          <w:szCs w:val="24"/>
          <w:highlight w:val="none"/>
          <w:lang w:val="en-US" w:eastAsia="zh-CN"/>
        </w:rPr>
        <w:t>74</w:t>
      </w:r>
      <w:r>
        <w:rPr>
          <w:rFonts w:hint="default" w:ascii="Times New Roman" w:hAnsi="Times New Roman" w:eastAsia="宋体" w:cs="Times New Roman"/>
          <w:spacing w:val="-3"/>
          <w:sz w:val="24"/>
          <w:szCs w:val="24"/>
          <w:highlight w:val="none"/>
        </w:rPr>
        <w:t>kg/d，氨氮</w:t>
      </w:r>
      <w:r>
        <w:rPr>
          <w:rFonts w:hint="default" w:ascii="Times New Roman" w:hAnsi="Times New Roman" w:eastAsia="宋体" w:cs="Times New Roman"/>
          <w:spacing w:val="-3"/>
          <w:sz w:val="24"/>
          <w:szCs w:val="24"/>
          <w:highlight w:val="none"/>
          <w:lang w:val="en-US" w:eastAsia="zh-CN"/>
        </w:rPr>
        <w:t>0.</w:t>
      </w:r>
      <w:r>
        <w:rPr>
          <w:rFonts w:hint="eastAsia" w:cs="Times New Roman"/>
          <w:spacing w:val="-3"/>
          <w:sz w:val="24"/>
          <w:szCs w:val="24"/>
          <w:highlight w:val="none"/>
          <w:lang w:val="en-US" w:eastAsia="zh-CN"/>
        </w:rPr>
        <w:t>22</w:t>
      </w:r>
      <w:r>
        <w:rPr>
          <w:rFonts w:hint="default" w:ascii="Times New Roman" w:hAnsi="Times New Roman" w:eastAsia="宋体" w:cs="Times New Roman"/>
          <w:spacing w:val="-3"/>
          <w:sz w:val="24"/>
          <w:szCs w:val="24"/>
          <w:highlight w:val="none"/>
        </w:rPr>
        <w:t>kg/d，</w:t>
      </w:r>
      <w:r>
        <w:rPr>
          <w:rFonts w:hint="default" w:ascii="Times New Roman" w:hAnsi="Times New Roman" w:eastAsia="宋体" w:cs="Times New Roman"/>
          <w:spacing w:val="-4"/>
          <w:sz w:val="24"/>
          <w:szCs w:val="24"/>
          <w:highlight w:val="none"/>
        </w:rPr>
        <w:t>石油</w:t>
      </w:r>
      <w:r>
        <w:rPr>
          <w:rFonts w:hint="default" w:ascii="Times New Roman" w:hAnsi="Times New Roman" w:eastAsia="宋体" w:cs="Times New Roman"/>
          <w:spacing w:val="-2"/>
          <w:sz w:val="24"/>
          <w:szCs w:val="24"/>
          <w:highlight w:val="none"/>
        </w:rPr>
        <w:t>类0.0</w:t>
      </w:r>
      <w:r>
        <w:rPr>
          <w:rFonts w:hint="default" w:ascii="Times New Roman" w:hAnsi="Times New Roman" w:eastAsia="宋体" w:cs="Times New Roman"/>
          <w:spacing w:val="-2"/>
          <w:sz w:val="24"/>
          <w:szCs w:val="24"/>
          <w:highlight w:val="none"/>
          <w:lang w:val="en-US" w:eastAsia="zh-CN"/>
        </w:rPr>
        <w:t>0</w:t>
      </w:r>
      <w:r>
        <w:rPr>
          <w:rFonts w:hint="eastAsia" w:cs="Times New Roman"/>
          <w:spacing w:val="-2"/>
          <w:sz w:val="24"/>
          <w:szCs w:val="24"/>
          <w:highlight w:val="none"/>
          <w:lang w:val="en-US" w:eastAsia="zh-CN"/>
        </w:rPr>
        <w:t>09</w:t>
      </w:r>
      <w:r>
        <w:rPr>
          <w:rFonts w:hint="default" w:ascii="Times New Roman" w:hAnsi="Times New Roman" w:eastAsia="宋体" w:cs="Times New Roman"/>
          <w:spacing w:val="-2"/>
          <w:sz w:val="24"/>
          <w:szCs w:val="24"/>
          <w:highlight w:val="none"/>
        </w:rPr>
        <w:t>kg/d。</w:t>
      </w:r>
    </w:p>
    <w:p w14:paraId="3304F733">
      <w:pPr>
        <w:bidi w:val="0"/>
        <w:rPr>
          <w:rFonts w:hint="default" w:ascii="Times New Roman" w:hAnsi="Times New Roman" w:eastAsia="宋体" w:cs="Times New Roman"/>
          <w:highlight w:val="none"/>
          <w:lang w:eastAsia="zh-CN"/>
        </w:rPr>
      </w:pPr>
      <w:r>
        <w:rPr>
          <w:rFonts w:hint="eastAsia" w:ascii="Times New Roman" w:hAnsi="Times New Roman" w:eastAsia="宋体" w:cs="Times New Roman"/>
          <w:highlight w:val="none"/>
          <w:lang w:val="en-US" w:eastAsia="zh-CN"/>
        </w:rPr>
        <w:t>2、</w:t>
      </w:r>
      <w:r>
        <w:rPr>
          <w:rFonts w:hint="default" w:ascii="Times New Roman" w:hAnsi="Times New Roman" w:eastAsia="宋体" w:cs="Times New Roman"/>
          <w:highlight w:val="none"/>
          <w:lang w:eastAsia="zh-CN"/>
        </w:rPr>
        <w:t>预测结果</w:t>
      </w:r>
    </w:p>
    <w:p w14:paraId="25CB2072">
      <w:pPr>
        <w:spacing w:line="480" w:lineRule="exact"/>
        <w:ind w:firstLine="480" w:firstLineChars="200"/>
        <w:rPr>
          <w:rFonts w:hint="default" w:ascii="Times New Roman" w:hAnsi="Times New Roman" w:eastAsia="宋体" w:cs="Times New Roman"/>
          <w:color w:val="auto"/>
          <w:sz w:val="24"/>
          <w:highlight w:val="none"/>
        </w:rPr>
      </w:pPr>
      <w:bookmarkStart w:id="319" w:name="OLE_LINK33"/>
      <w:r>
        <w:rPr>
          <w:rFonts w:hint="default" w:ascii="Times New Roman" w:hAnsi="Times New Roman" w:eastAsia="宋体" w:cs="Times New Roman"/>
          <w:color w:val="auto"/>
          <w:sz w:val="24"/>
          <w:highlight w:val="none"/>
          <w:lang w:val="en-US" w:eastAsia="zh-CN"/>
        </w:rPr>
        <w:t>A</w:t>
      </w:r>
      <w:r>
        <w:rPr>
          <w:rFonts w:hint="default" w:ascii="Times New Roman" w:hAnsi="Times New Roman" w:eastAsia="宋体" w:cs="Times New Roman"/>
          <w:color w:val="auto"/>
          <w:sz w:val="24"/>
          <w:highlight w:val="none"/>
        </w:rPr>
        <w:t>、氨氮泄漏对地下水污染的影响</w:t>
      </w:r>
    </w:p>
    <w:p w14:paraId="0355C499">
      <w:pPr>
        <w:spacing w:line="480" w:lineRule="exact"/>
        <w:ind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氨氮渗漏对地下水污染预测结果见表</w:t>
      </w:r>
      <w:r>
        <w:rPr>
          <w:rFonts w:hint="default" w:ascii="Times New Roman" w:hAnsi="Times New Roman" w:eastAsia="宋体" w:cs="Times New Roman"/>
          <w:b w:val="0"/>
          <w:bCs w:val="0"/>
          <w:color w:val="auto"/>
          <w:sz w:val="24"/>
          <w:highlight w:val="none"/>
          <w:lang w:val="en-US" w:eastAsia="zh-CN"/>
        </w:rPr>
        <w:t>5.2-25</w:t>
      </w:r>
      <w:r>
        <w:rPr>
          <w:rFonts w:hint="default" w:ascii="Times New Roman" w:hAnsi="Times New Roman" w:eastAsia="宋体" w:cs="Times New Roman"/>
          <w:color w:val="auto"/>
          <w:sz w:val="24"/>
          <w:highlight w:val="none"/>
        </w:rPr>
        <w:t>，预测图见图5.2-1</w:t>
      </w:r>
      <w:r>
        <w:rPr>
          <w:rFonts w:hint="eastAsia" w:cs="Times New Roman"/>
          <w:color w:val="auto"/>
          <w:sz w:val="24"/>
          <w:highlight w:val="none"/>
          <w:lang w:val="en-US" w:eastAsia="zh-CN"/>
        </w:rPr>
        <w:t>9</w:t>
      </w:r>
      <w:r>
        <w:rPr>
          <w:rFonts w:hint="default" w:ascii="Times New Roman" w:hAnsi="Times New Roman" w:eastAsia="宋体" w:cs="Times New Roman"/>
          <w:color w:val="auto"/>
          <w:sz w:val="24"/>
          <w:highlight w:val="none"/>
        </w:rPr>
        <w:t>至图5.2-</w:t>
      </w:r>
      <w:r>
        <w:rPr>
          <w:rFonts w:hint="eastAsia" w:cs="Times New Roman"/>
          <w:color w:val="auto"/>
          <w:sz w:val="24"/>
          <w:highlight w:val="none"/>
          <w:lang w:val="en-US" w:eastAsia="zh-CN"/>
        </w:rPr>
        <w:t>21</w:t>
      </w:r>
      <w:r>
        <w:rPr>
          <w:rFonts w:hint="default" w:ascii="Times New Roman" w:hAnsi="Times New Roman" w:eastAsia="宋体" w:cs="Times New Roman"/>
          <w:color w:val="auto"/>
          <w:sz w:val="24"/>
          <w:highlight w:val="none"/>
        </w:rPr>
        <w:t>。</w:t>
      </w:r>
    </w:p>
    <w:p w14:paraId="6163BBF1">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lang w:val="zh-CN" w:eastAsia="zh-CN"/>
        </w:rPr>
      </w:pPr>
      <w:r>
        <w:rPr>
          <w:rFonts w:hint="default" w:ascii="Times New Roman" w:hAnsi="Times New Roman" w:eastAsia="宋体" w:cs="Times New Roman"/>
          <w:b/>
          <w:bCs/>
          <w:color w:val="auto"/>
          <w:sz w:val="24"/>
          <w:highlight w:val="none"/>
          <w:lang w:val="zh-CN" w:eastAsia="zh-CN"/>
        </w:rPr>
        <w:t>氨氮污染物不同时段运移情况统计表</w:t>
      </w:r>
    </w:p>
    <w:tbl>
      <w:tblPr>
        <w:tblStyle w:val="47"/>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419"/>
        <w:gridCol w:w="1572"/>
        <w:gridCol w:w="1667"/>
        <w:gridCol w:w="1643"/>
        <w:gridCol w:w="1643"/>
        <w:gridCol w:w="1340"/>
      </w:tblGrid>
      <w:tr w14:paraId="7A92C73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764" w:type="pct"/>
            <w:tcBorders>
              <w:tl2br w:val="nil"/>
              <w:tr2bl w:val="nil"/>
            </w:tcBorders>
            <w:vAlign w:val="center"/>
          </w:tcPr>
          <w:p w14:paraId="166EF4D6">
            <w:pPr>
              <w:pStyle w:val="58"/>
              <w:bidi w:val="0"/>
              <w:rPr>
                <w:rFonts w:hint="default"/>
                <w:highlight w:val="none"/>
              </w:rPr>
            </w:pPr>
            <w:r>
              <w:rPr>
                <w:rFonts w:hint="default"/>
                <w:highlight w:val="none"/>
              </w:rPr>
              <w:t>预测因子</w:t>
            </w:r>
          </w:p>
        </w:tc>
        <w:tc>
          <w:tcPr>
            <w:tcW w:w="846" w:type="pct"/>
            <w:tcBorders>
              <w:tl2br w:val="nil"/>
              <w:tr2bl w:val="nil"/>
            </w:tcBorders>
            <w:vAlign w:val="center"/>
          </w:tcPr>
          <w:p w14:paraId="1B146F6C">
            <w:pPr>
              <w:pStyle w:val="58"/>
              <w:bidi w:val="0"/>
              <w:rPr>
                <w:rFonts w:hint="default"/>
                <w:highlight w:val="none"/>
              </w:rPr>
            </w:pPr>
            <w:r>
              <w:rPr>
                <w:rFonts w:hint="default"/>
                <w:highlight w:val="none"/>
              </w:rPr>
              <w:t>运移时段</w:t>
            </w:r>
          </w:p>
        </w:tc>
        <w:tc>
          <w:tcPr>
            <w:tcW w:w="897" w:type="pct"/>
            <w:tcBorders>
              <w:tl2br w:val="nil"/>
              <w:tr2bl w:val="nil"/>
            </w:tcBorders>
            <w:vAlign w:val="center"/>
          </w:tcPr>
          <w:p w14:paraId="1A032766">
            <w:pPr>
              <w:pStyle w:val="58"/>
              <w:bidi w:val="0"/>
              <w:rPr>
                <w:rFonts w:hint="default"/>
                <w:highlight w:val="none"/>
              </w:rPr>
            </w:pPr>
            <w:r>
              <w:rPr>
                <w:rFonts w:hint="default"/>
                <w:highlight w:val="none"/>
              </w:rPr>
              <w:t>影响范围（m</w:t>
            </w:r>
            <w:r>
              <w:rPr>
                <w:rFonts w:hint="default"/>
                <w:highlight w:val="none"/>
                <w:vertAlign w:val="superscript"/>
              </w:rPr>
              <w:t>2</w:t>
            </w:r>
            <w:r>
              <w:rPr>
                <w:rFonts w:hint="default"/>
                <w:highlight w:val="none"/>
              </w:rPr>
              <w:t>）</w:t>
            </w:r>
          </w:p>
        </w:tc>
        <w:tc>
          <w:tcPr>
            <w:tcW w:w="884" w:type="pct"/>
            <w:tcBorders>
              <w:tl2br w:val="nil"/>
              <w:tr2bl w:val="nil"/>
            </w:tcBorders>
            <w:vAlign w:val="center"/>
          </w:tcPr>
          <w:p w14:paraId="2B0734D3">
            <w:pPr>
              <w:pStyle w:val="58"/>
              <w:bidi w:val="0"/>
              <w:rPr>
                <w:rFonts w:hint="default"/>
                <w:highlight w:val="none"/>
              </w:rPr>
            </w:pPr>
            <w:r>
              <w:rPr>
                <w:rFonts w:hint="default"/>
                <w:highlight w:val="none"/>
              </w:rPr>
              <w:t>超标范围（m</w:t>
            </w:r>
            <w:r>
              <w:rPr>
                <w:rFonts w:hint="default"/>
                <w:highlight w:val="none"/>
                <w:vertAlign w:val="superscript"/>
              </w:rPr>
              <w:t>2</w:t>
            </w:r>
            <w:r>
              <w:rPr>
                <w:rFonts w:hint="default"/>
                <w:highlight w:val="none"/>
              </w:rPr>
              <w:t>）</w:t>
            </w:r>
          </w:p>
        </w:tc>
        <w:tc>
          <w:tcPr>
            <w:tcW w:w="884" w:type="pct"/>
            <w:tcBorders>
              <w:tl2br w:val="nil"/>
              <w:tr2bl w:val="nil"/>
            </w:tcBorders>
            <w:vAlign w:val="center"/>
          </w:tcPr>
          <w:p w14:paraId="05D86202">
            <w:pPr>
              <w:pStyle w:val="58"/>
              <w:bidi w:val="0"/>
              <w:rPr>
                <w:rFonts w:hint="default"/>
                <w:highlight w:val="none"/>
              </w:rPr>
            </w:pPr>
            <w:r>
              <w:rPr>
                <w:rFonts w:hint="default"/>
                <w:highlight w:val="none"/>
              </w:rPr>
              <w:t>运移距离（m）</w:t>
            </w:r>
          </w:p>
        </w:tc>
        <w:tc>
          <w:tcPr>
            <w:tcW w:w="721" w:type="pct"/>
            <w:tcBorders>
              <w:tl2br w:val="nil"/>
              <w:tr2bl w:val="nil"/>
            </w:tcBorders>
            <w:vAlign w:val="center"/>
          </w:tcPr>
          <w:p w14:paraId="3BD2F748">
            <w:pPr>
              <w:pStyle w:val="58"/>
              <w:bidi w:val="0"/>
              <w:rPr>
                <w:rFonts w:hint="default"/>
                <w:highlight w:val="none"/>
              </w:rPr>
            </w:pPr>
            <w:r>
              <w:rPr>
                <w:rFonts w:hint="default"/>
                <w:highlight w:val="none"/>
              </w:rPr>
              <w:t>厂界处是否超标</w:t>
            </w:r>
          </w:p>
        </w:tc>
      </w:tr>
      <w:tr w14:paraId="7BF184C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764" w:type="pct"/>
            <w:vMerge w:val="restart"/>
            <w:tcBorders>
              <w:tl2br w:val="nil"/>
              <w:tr2bl w:val="nil"/>
            </w:tcBorders>
            <w:vAlign w:val="center"/>
          </w:tcPr>
          <w:p w14:paraId="498D8060">
            <w:pPr>
              <w:pStyle w:val="58"/>
              <w:bidi w:val="0"/>
              <w:rPr>
                <w:rFonts w:hint="default"/>
                <w:highlight w:val="none"/>
              </w:rPr>
            </w:pPr>
            <w:r>
              <w:rPr>
                <w:rFonts w:hint="default"/>
                <w:highlight w:val="none"/>
              </w:rPr>
              <w:t>氨氮</w:t>
            </w:r>
          </w:p>
        </w:tc>
        <w:tc>
          <w:tcPr>
            <w:tcW w:w="846" w:type="pct"/>
            <w:tcBorders>
              <w:tl2br w:val="nil"/>
              <w:tr2bl w:val="nil"/>
            </w:tcBorders>
            <w:vAlign w:val="center"/>
          </w:tcPr>
          <w:p w14:paraId="5890D01A">
            <w:pPr>
              <w:pStyle w:val="58"/>
              <w:bidi w:val="0"/>
              <w:rPr>
                <w:rFonts w:hint="default"/>
                <w:highlight w:val="none"/>
              </w:rPr>
            </w:pPr>
            <w:r>
              <w:rPr>
                <w:rFonts w:hint="default"/>
                <w:highlight w:val="none"/>
              </w:rPr>
              <w:t>100d</w:t>
            </w:r>
          </w:p>
        </w:tc>
        <w:tc>
          <w:tcPr>
            <w:tcW w:w="897" w:type="pct"/>
            <w:tcBorders>
              <w:tl2br w:val="nil"/>
              <w:tr2bl w:val="nil"/>
            </w:tcBorders>
            <w:vAlign w:val="top"/>
          </w:tcPr>
          <w:p w14:paraId="4B94B263">
            <w:pPr>
              <w:pStyle w:val="58"/>
              <w:bidi w:val="0"/>
              <w:rPr>
                <w:rFonts w:hint="default"/>
                <w:highlight w:val="none"/>
                <w:lang w:eastAsia="zh-CN"/>
              </w:rPr>
            </w:pPr>
            <w:r>
              <w:rPr>
                <w:rFonts w:hint="default"/>
                <w:highlight w:val="none"/>
                <w:lang w:val="en-US"/>
              </w:rPr>
              <w:t>4</w:t>
            </w:r>
            <w:r>
              <w:rPr>
                <w:rFonts w:hint="default"/>
                <w:highlight w:val="none"/>
                <w:lang w:val="en-US" w:eastAsia="zh-CN"/>
              </w:rPr>
              <w:t>2</w:t>
            </w:r>
          </w:p>
        </w:tc>
        <w:tc>
          <w:tcPr>
            <w:tcW w:w="884" w:type="pct"/>
            <w:tcBorders>
              <w:tl2br w:val="nil"/>
              <w:tr2bl w:val="nil"/>
            </w:tcBorders>
            <w:vAlign w:val="top"/>
          </w:tcPr>
          <w:p w14:paraId="60BFC8C4">
            <w:pPr>
              <w:pStyle w:val="58"/>
              <w:bidi w:val="0"/>
              <w:rPr>
                <w:rFonts w:hint="default"/>
                <w:highlight w:val="none"/>
                <w:lang w:val="en-US" w:eastAsia="zh-CN"/>
              </w:rPr>
            </w:pPr>
            <w:r>
              <w:rPr>
                <w:rFonts w:hint="default"/>
                <w:highlight w:val="none"/>
                <w:lang w:val="en-US" w:eastAsia="zh-CN"/>
              </w:rPr>
              <w:t>18</w:t>
            </w:r>
          </w:p>
        </w:tc>
        <w:tc>
          <w:tcPr>
            <w:tcW w:w="884" w:type="pct"/>
            <w:tcBorders>
              <w:tl2br w:val="nil"/>
              <w:tr2bl w:val="nil"/>
            </w:tcBorders>
            <w:vAlign w:val="top"/>
          </w:tcPr>
          <w:p w14:paraId="0CDEC719">
            <w:pPr>
              <w:pStyle w:val="58"/>
              <w:bidi w:val="0"/>
              <w:rPr>
                <w:rFonts w:hint="default"/>
                <w:highlight w:val="none"/>
                <w:lang w:eastAsia="zh-CN"/>
              </w:rPr>
            </w:pPr>
            <w:r>
              <w:rPr>
                <w:rFonts w:hint="default"/>
                <w:highlight w:val="none"/>
                <w:lang w:val="en-US" w:eastAsia="zh-CN"/>
              </w:rPr>
              <w:t>5</w:t>
            </w:r>
          </w:p>
        </w:tc>
        <w:tc>
          <w:tcPr>
            <w:tcW w:w="721" w:type="pct"/>
            <w:tcBorders>
              <w:tl2br w:val="nil"/>
              <w:tr2bl w:val="nil"/>
            </w:tcBorders>
            <w:vAlign w:val="center"/>
          </w:tcPr>
          <w:p w14:paraId="48B887B2">
            <w:pPr>
              <w:pStyle w:val="58"/>
              <w:bidi w:val="0"/>
              <w:rPr>
                <w:rFonts w:hint="default"/>
                <w:highlight w:val="none"/>
              </w:rPr>
            </w:pPr>
            <w:r>
              <w:rPr>
                <w:rFonts w:hint="default"/>
                <w:highlight w:val="none"/>
              </w:rPr>
              <w:t>否</w:t>
            </w:r>
          </w:p>
        </w:tc>
      </w:tr>
      <w:tr w14:paraId="443395D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764" w:type="pct"/>
            <w:vMerge w:val="continue"/>
            <w:tcBorders>
              <w:tl2br w:val="nil"/>
              <w:tr2bl w:val="nil"/>
            </w:tcBorders>
            <w:vAlign w:val="center"/>
          </w:tcPr>
          <w:p w14:paraId="680970E1">
            <w:pPr>
              <w:pStyle w:val="58"/>
              <w:bidi w:val="0"/>
              <w:rPr>
                <w:rFonts w:hint="default"/>
                <w:highlight w:val="none"/>
              </w:rPr>
            </w:pPr>
          </w:p>
        </w:tc>
        <w:tc>
          <w:tcPr>
            <w:tcW w:w="846" w:type="pct"/>
            <w:tcBorders>
              <w:tl2br w:val="nil"/>
              <w:tr2bl w:val="nil"/>
            </w:tcBorders>
            <w:vAlign w:val="center"/>
          </w:tcPr>
          <w:p w14:paraId="29429EC7">
            <w:pPr>
              <w:pStyle w:val="58"/>
              <w:bidi w:val="0"/>
              <w:rPr>
                <w:rFonts w:hint="default"/>
                <w:highlight w:val="none"/>
              </w:rPr>
            </w:pPr>
            <w:r>
              <w:rPr>
                <w:rFonts w:hint="default"/>
                <w:highlight w:val="none"/>
              </w:rPr>
              <w:t>1000d</w:t>
            </w:r>
          </w:p>
        </w:tc>
        <w:tc>
          <w:tcPr>
            <w:tcW w:w="897" w:type="pct"/>
            <w:tcBorders>
              <w:tl2br w:val="nil"/>
              <w:tr2bl w:val="nil"/>
            </w:tcBorders>
            <w:vAlign w:val="top"/>
          </w:tcPr>
          <w:p w14:paraId="7EB16977">
            <w:pPr>
              <w:pStyle w:val="58"/>
              <w:bidi w:val="0"/>
              <w:rPr>
                <w:rFonts w:hint="default"/>
                <w:highlight w:val="none"/>
                <w:lang w:val="en-US" w:eastAsia="zh-CN"/>
              </w:rPr>
            </w:pPr>
            <w:r>
              <w:rPr>
                <w:rFonts w:hint="default"/>
                <w:highlight w:val="none"/>
                <w:lang w:val="en-US"/>
              </w:rPr>
              <w:t>2</w:t>
            </w:r>
            <w:r>
              <w:rPr>
                <w:rFonts w:hint="default"/>
                <w:highlight w:val="none"/>
                <w:lang w:val="en-US" w:eastAsia="zh-CN"/>
              </w:rPr>
              <w:t>10</w:t>
            </w:r>
          </w:p>
        </w:tc>
        <w:tc>
          <w:tcPr>
            <w:tcW w:w="884" w:type="pct"/>
            <w:tcBorders>
              <w:tl2br w:val="nil"/>
              <w:tr2bl w:val="nil"/>
            </w:tcBorders>
            <w:vAlign w:val="top"/>
          </w:tcPr>
          <w:p w14:paraId="38E7297A">
            <w:pPr>
              <w:pStyle w:val="58"/>
              <w:bidi w:val="0"/>
              <w:rPr>
                <w:rFonts w:hint="default"/>
                <w:highlight w:val="none"/>
                <w:lang w:val="en-US" w:eastAsia="zh-CN"/>
              </w:rPr>
            </w:pPr>
            <w:r>
              <w:rPr>
                <w:rFonts w:hint="default"/>
                <w:highlight w:val="none"/>
                <w:lang w:val="en-US" w:eastAsia="zh-CN"/>
              </w:rPr>
              <w:t>46</w:t>
            </w:r>
          </w:p>
        </w:tc>
        <w:tc>
          <w:tcPr>
            <w:tcW w:w="884" w:type="pct"/>
            <w:tcBorders>
              <w:tl2br w:val="nil"/>
              <w:tr2bl w:val="nil"/>
            </w:tcBorders>
            <w:vAlign w:val="top"/>
          </w:tcPr>
          <w:p w14:paraId="62FB1987">
            <w:pPr>
              <w:pStyle w:val="58"/>
              <w:bidi w:val="0"/>
              <w:rPr>
                <w:rFonts w:hint="default"/>
                <w:highlight w:val="none"/>
                <w:lang w:eastAsia="zh-CN"/>
              </w:rPr>
            </w:pPr>
            <w:r>
              <w:rPr>
                <w:rFonts w:hint="default"/>
                <w:highlight w:val="none"/>
                <w:lang w:val="en-US"/>
              </w:rPr>
              <w:t>1</w:t>
            </w:r>
            <w:r>
              <w:rPr>
                <w:rFonts w:hint="default"/>
                <w:highlight w:val="none"/>
                <w:lang w:val="en-US" w:eastAsia="zh-CN"/>
              </w:rPr>
              <w:t>4</w:t>
            </w:r>
          </w:p>
        </w:tc>
        <w:tc>
          <w:tcPr>
            <w:tcW w:w="721" w:type="pct"/>
            <w:tcBorders>
              <w:tl2br w:val="nil"/>
              <w:tr2bl w:val="nil"/>
            </w:tcBorders>
            <w:vAlign w:val="center"/>
          </w:tcPr>
          <w:p w14:paraId="053DA45E">
            <w:pPr>
              <w:pStyle w:val="58"/>
              <w:bidi w:val="0"/>
              <w:rPr>
                <w:rFonts w:hint="default"/>
                <w:highlight w:val="none"/>
              </w:rPr>
            </w:pPr>
            <w:r>
              <w:rPr>
                <w:rFonts w:hint="default"/>
                <w:highlight w:val="none"/>
              </w:rPr>
              <w:t>否</w:t>
            </w:r>
          </w:p>
        </w:tc>
      </w:tr>
      <w:tr w14:paraId="4C48A91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764" w:type="pct"/>
            <w:vMerge w:val="continue"/>
            <w:tcBorders>
              <w:tl2br w:val="nil"/>
              <w:tr2bl w:val="nil"/>
            </w:tcBorders>
            <w:vAlign w:val="center"/>
          </w:tcPr>
          <w:p w14:paraId="37C043CF">
            <w:pPr>
              <w:pStyle w:val="58"/>
              <w:bidi w:val="0"/>
              <w:rPr>
                <w:rFonts w:hint="default"/>
                <w:highlight w:val="none"/>
              </w:rPr>
            </w:pPr>
          </w:p>
        </w:tc>
        <w:tc>
          <w:tcPr>
            <w:tcW w:w="846" w:type="pct"/>
            <w:tcBorders>
              <w:tl2br w:val="nil"/>
              <w:tr2bl w:val="nil"/>
            </w:tcBorders>
            <w:vAlign w:val="center"/>
          </w:tcPr>
          <w:p w14:paraId="22ADF4FF">
            <w:pPr>
              <w:pStyle w:val="58"/>
              <w:bidi w:val="0"/>
              <w:rPr>
                <w:rFonts w:hint="default"/>
                <w:highlight w:val="none"/>
              </w:rPr>
            </w:pPr>
            <w:r>
              <w:rPr>
                <w:rFonts w:hint="default"/>
                <w:highlight w:val="none"/>
              </w:rPr>
              <w:t>7300d</w:t>
            </w:r>
          </w:p>
        </w:tc>
        <w:tc>
          <w:tcPr>
            <w:tcW w:w="897" w:type="pct"/>
            <w:tcBorders>
              <w:tl2br w:val="nil"/>
              <w:tr2bl w:val="nil"/>
            </w:tcBorders>
            <w:vAlign w:val="top"/>
          </w:tcPr>
          <w:p w14:paraId="3E309521">
            <w:pPr>
              <w:pStyle w:val="58"/>
              <w:bidi w:val="0"/>
              <w:rPr>
                <w:rFonts w:hint="default"/>
                <w:highlight w:val="none"/>
                <w:lang w:val="en-US" w:eastAsia="zh-CN"/>
              </w:rPr>
            </w:pPr>
            <w:r>
              <w:rPr>
                <w:rFonts w:hint="default"/>
                <w:highlight w:val="none"/>
                <w:lang w:val="en-US" w:eastAsia="zh-CN"/>
              </w:rPr>
              <w:t>1200</w:t>
            </w:r>
          </w:p>
        </w:tc>
        <w:tc>
          <w:tcPr>
            <w:tcW w:w="884" w:type="pct"/>
            <w:tcBorders>
              <w:tl2br w:val="nil"/>
              <w:tr2bl w:val="nil"/>
            </w:tcBorders>
            <w:vAlign w:val="top"/>
          </w:tcPr>
          <w:p w14:paraId="2A77A03D">
            <w:pPr>
              <w:pStyle w:val="58"/>
              <w:bidi w:val="0"/>
              <w:rPr>
                <w:rFonts w:hint="default"/>
                <w:highlight w:val="none"/>
                <w:lang w:val="en-US" w:eastAsia="zh-CN"/>
              </w:rPr>
            </w:pPr>
            <w:r>
              <w:rPr>
                <w:rFonts w:hint="default"/>
                <w:highlight w:val="none"/>
                <w:lang w:val="en-US" w:eastAsia="zh-CN"/>
              </w:rPr>
              <w:t>60</w:t>
            </w:r>
          </w:p>
        </w:tc>
        <w:tc>
          <w:tcPr>
            <w:tcW w:w="884" w:type="pct"/>
            <w:tcBorders>
              <w:tl2br w:val="nil"/>
              <w:tr2bl w:val="nil"/>
            </w:tcBorders>
            <w:vAlign w:val="top"/>
          </w:tcPr>
          <w:p w14:paraId="6C853205">
            <w:pPr>
              <w:pStyle w:val="58"/>
              <w:bidi w:val="0"/>
              <w:rPr>
                <w:rFonts w:hint="default"/>
                <w:highlight w:val="none"/>
                <w:lang w:val="en-US" w:eastAsia="zh-CN"/>
              </w:rPr>
            </w:pPr>
            <w:r>
              <w:rPr>
                <w:rFonts w:hint="default"/>
                <w:highlight w:val="none"/>
                <w:lang w:val="en-US" w:eastAsia="zh-CN"/>
              </w:rPr>
              <w:t>43</w:t>
            </w:r>
          </w:p>
        </w:tc>
        <w:tc>
          <w:tcPr>
            <w:tcW w:w="721" w:type="pct"/>
            <w:tcBorders>
              <w:tl2br w:val="nil"/>
              <w:tr2bl w:val="nil"/>
            </w:tcBorders>
            <w:vAlign w:val="center"/>
          </w:tcPr>
          <w:p w14:paraId="6F1102F8">
            <w:pPr>
              <w:pStyle w:val="58"/>
              <w:bidi w:val="0"/>
              <w:rPr>
                <w:rFonts w:hint="default"/>
                <w:highlight w:val="none"/>
              </w:rPr>
            </w:pPr>
            <w:r>
              <w:rPr>
                <w:rFonts w:hint="default"/>
                <w:highlight w:val="none"/>
              </w:rPr>
              <w:t>否</w:t>
            </w:r>
          </w:p>
        </w:tc>
      </w:tr>
    </w:tbl>
    <w:p w14:paraId="4BB8320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highlight w:val="none"/>
        </w:rPr>
      </w:pPr>
    </w:p>
    <w:p w14:paraId="6C8C26E6">
      <w:pPr>
        <w:pStyle w:val="16"/>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lang w:eastAsia="zh-CN"/>
        </w:rPr>
      </w:pPr>
      <w:r>
        <w:rPr>
          <w:rFonts w:hint="eastAsia" w:eastAsia="宋体"/>
          <w:lang w:eastAsia="zh-CN"/>
        </w:rPr>
        <w:drawing>
          <wp:inline distT="0" distB="0" distL="114300" distR="114300">
            <wp:extent cx="4500245" cy="3977640"/>
            <wp:effectExtent l="0" t="0" r="14605" b="3810"/>
            <wp:docPr id="43" name="图片 43" descr="1730282269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1730282269666"/>
                    <pic:cNvPicPr>
                      <a:picLocks noChangeAspect="1"/>
                    </pic:cNvPicPr>
                  </pic:nvPicPr>
                  <pic:blipFill>
                    <a:blip r:embed="rId109"/>
                    <a:stretch>
                      <a:fillRect/>
                    </a:stretch>
                  </pic:blipFill>
                  <pic:spPr>
                    <a:xfrm>
                      <a:off x="0" y="0"/>
                      <a:ext cx="4500245" cy="3977640"/>
                    </a:xfrm>
                    <a:prstGeom prst="rect">
                      <a:avLst/>
                    </a:prstGeom>
                  </pic:spPr>
                </pic:pic>
              </a:graphicData>
            </a:graphic>
          </wp:inline>
        </w:drawing>
      </w:r>
    </w:p>
    <w:p w14:paraId="43CB7CBE">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zh-CN"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zh-CN" w:eastAsia="zh-CN"/>
          <w14:textFill>
            <w14:solidFill>
              <w14:schemeClr w14:val="tx1"/>
            </w14:solidFill>
          </w14:textFill>
        </w:rPr>
        <w:t>氨氮泄漏100d后污染物影响范围图</w:t>
      </w:r>
    </w:p>
    <w:p w14:paraId="41D5E5AC">
      <w:pPr>
        <w:keepNext w:val="0"/>
        <w:keepLines w:val="0"/>
        <w:pageBreakBefore w:val="0"/>
        <w:widowControl w:val="0"/>
        <w:tabs>
          <w:tab w:val="left" w:pos="1190"/>
          <w:tab w:val="center" w:pos="4835"/>
        </w:tabs>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highlight w:val="none"/>
        </w:rPr>
      </w:pPr>
    </w:p>
    <w:p w14:paraId="2E7C2548">
      <w:pPr>
        <w:pStyle w:val="16"/>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eastAsia="宋体"/>
          <w:lang w:eastAsia="zh-CN"/>
        </w:rPr>
      </w:pPr>
      <w:r>
        <w:rPr>
          <w:rFonts w:hint="eastAsia" w:eastAsia="宋体"/>
          <w:lang w:eastAsia="zh-CN"/>
        </w:rPr>
        <w:drawing>
          <wp:inline distT="0" distB="0" distL="114300" distR="114300">
            <wp:extent cx="4500245" cy="3744595"/>
            <wp:effectExtent l="0" t="0" r="14605" b="8255"/>
            <wp:docPr id="50" name="图片 50" descr="1730282444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1730282444685"/>
                    <pic:cNvPicPr>
                      <a:picLocks noChangeAspect="1"/>
                    </pic:cNvPicPr>
                  </pic:nvPicPr>
                  <pic:blipFill>
                    <a:blip r:embed="rId110"/>
                    <a:stretch>
                      <a:fillRect/>
                    </a:stretch>
                  </pic:blipFill>
                  <pic:spPr>
                    <a:xfrm>
                      <a:off x="0" y="0"/>
                      <a:ext cx="4500245" cy="3744595"/>
                    </a:xfrm>
                    <a:prstGeom prst="rect">
                      <a:avLst/>
                    </a:prstGeom>
                  </pic:spPr>
                </pic:pic>
              </a:graphicData>
            </a:graphic>
          </wp:inline>
        </w:drawing>
      </w:r>
    </w:p>
    <w:p w14:paraId="0D98B4ED">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氨氮泄漏1000d后污染物影响范围图</w:t>
      </w:r>
    </w:p>
    <w:p w14:paraId="4E691157">
      <w:pPr>
        <w:pStyle w:val="16"/>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lang w:eastAsia="zh-CN"/>
        </w:rPr>
      </w:pPr>
      <w:r>
        <w:rPr>
          <w:rFonts w:hint="eastAsia" w:eastAsia="宋体"/>
          <w:lang w:eastAsia="zh-CN"/>
        </w:rPr>
        <w:drawing>
          <wp:inline distT="0" distB="0" distL="114300" distR="114300">
            <wp:extent cx="4500245" cy="4345940"/>
            <wp:effectExtent l="0" t="0" r="14605" b="16510"/>
            <wp:docPr id="39" name="图片 39" descr="173033702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1730337021050"/>
                    <pic:cNvPicPr>
                      <a:picLocks noChangeAspect="1"/>
                    </pic:cNvPicPr>
                  </pic:nvPicPr>
                  <pic:blipFill>
                    <a:blip r:embed="rId111"/>
                    <a:stretch>
                      <a:fillRect/>
                    </a:stretch>
                  </pic:blipFill>
                  <pic:spPr>
                    <a:xfrm>
                      <a:off x="0" y="0"/>
                      <a:ext cx="4500245" cy="4345940"/>
                    </a:xfrm>
                    <a:prstGeom prst="rect">
                      <a:avLst/>
                    </a:prstGeom>
                  </pic:spPr>
                </pic:pic>
              </a:graphicData>
            </a:graphic>
          </wp:inline>
        </w:drawing>
      </w:r>
    </w:p>
    <w:p w14:paraId="7036570C">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氨氮泄漏7300d后污染物影响范围图</w:t>
      </w:r>
    </w:p>
    <w:p w14:paraId="42BC0EBB">
      <w:pPr>
        <w:numPr>
          <w:ilvl w:val="0"/>
          <w:numId w:val="0"/>
        </w:numPr>
        <w:spacing w:line="480" w:lineRule="exact"/>
        <w:ind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由预测结果可知，非正常状况下，氨氮在100d、1000d</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lang w:val="en-US" w:eastAsia="zh-CN"/>
        </w:rPr>
        <w:t>7300d</w:t>
      </w:r>
      <w:r>
        <w:rPr>
          <w:rFonts w:hint="default" w:ascii="Times New Roman" w:hAnsi="Times New Roman" w:eastAsia="宋体" w:cs="Times New Roman"/>
          <w:color w:val="auto"/>
          <w:sz w:val="24"/>
          <w:highlight w:val="none"/>
        </w:rPr>
        <w:t>时对地下水流场下游最大运移距离分别为</w:t>
      </w:r>
      <w:r>
        <w:rPr>
          <w:rFonts w:hint="default" w:ascii="Times New Roman" w:hAnsi="Times New Roman" w:eastAsia="宋体" w:cs="Times New Roman"/>
          <w:color w:val="auto"/>
          <w:sz w:val="24"/>
          <w:highlight w:val="none"/>
          <w:lang w:val="en-US" w:eastAsia="zh-CN"/>
        </w:rPr>
        <w:t>5</w:t>
      </w:r>
      <w:r>
        <w:rPr>
          <w:rFonts w:hint="default" w:ascii="Times New Roman" w:hAnsi="Times New Roman" w:eastAsia="宋体" w:cs="Times New Roman"/>
          <w:color w:val="auto"/>
          <w:sz w:val="24"/>
          <w:highlight w:val="none"/>
        </w:rPr>
        <w:t>m、1</w:t>
      </w:r>
      <w:r>
        <w:rPr>
          <w:rFonts w:hint="default" w:ascii="Times New Roman" w:hAnsi="Times New Roman" w:eastAsia="宋体" w:cs="Times New Roman"/>
          <w:color w:val="auto"/>
          <w:sz w:val="24"/>
          <w:highlight w:val="none"/>
          <w:lang w:val="en-US" w:eastAsia="zh-CN"/>
        </w:rPr>
        <w:t>4</w:t>
      </w:r>
      <w:r>
        <w:rPr>
          <w:rFonts w:hint="default" w:ascii="Times New Roman" w:hAnsi="Times New Roman" w:eastAsia="宋体" w:cs="Times New Roman"/>
          <w:color w:val="auto"/>
          <w:sz w:val="24"/>
          <w:highlight w:val="none"/>
        </w:rPr>
        <w:t>m</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lang w:val="en-US" w:eastAsia="zh-CN"/>
        </w:rPr>
        <w:t>43m</w:t>
      </w:r>
      <w:r>
        <w:rPr>
          <w:rFonts w:hint="default" w:ascii="Times New Roman" w:hAnsi="Times New Roman" w:eastAsia="宋体" w:cs="Times New Roman"/>
          <w:color w:val="auto"/>
          <w:sz w:val="24"/>
          <w:highlight w:val="none"/>
        </w:rPr>
        <w:t>；从超标影响范围分析，最大超标范围为</w:t>
      </w:r>
      <w:r>
        <w:rPr>
          <w:rFonts w:hint="default" w:ascii="Times New Roman" w:hAnsi="Times New Roman" w:eastAsia="宋体" w:cs="Times New Roman"/>
          <w:color w:val="auto"/>
          <w:sz w:val="24"/>
          <w:highlight w:val="none"/>
          <w:lang w:val="en-US" w:eastAsia="zh-CN"/>
        </w:rPr>
        <w:t>60</w:t>
      </w:r>
      <w:r>
        <w:rPr>
          <w:rFonts w:hint="default" w:ascii="Times New Roman" w:hAnsi="Times New Roman" w:eastAsia="宋体" w:cs="Times New Roman"/>
          <w:color w:val="auto"/>
          <w:sz w:val="24"/>
          <w:highlight w:val="none"/>
        </w:rPr>
        <w:t>m</w:t>
      </w:r>
      <w:r>
        <w:rPr>
          <w:rFonts w:hint="default" w:ascii="Times New Roman" w:hAnsi="Times New Roman" w:eastAsia="宋体" w:cs="Times New Roman"/>
          <w:color w:val="auto"/>
          <w:sz w:val="24"/>
          <w:highlight w:val="none"/>
          <w:vertAlign w:val="superscript"/>
        </w:rPr>
        <w:t>2</w:t>
      </w:r>
      <w:r>
        <w:rPr>
          <w:rFonts w:hint="default" w:ascii="Times New Roman" w:hAnsi="Times New Roman" w:eastAsia="宋体" w:cs="Times New Roman"/>
          <w:color w:val="auto"/>
          <w:sz w:val="24"/>
          <w:highlight w:val="none"/>
        </w:rPr>
        <w:t>；从污染物影响范围分析，氨氮的影响范围局限在厂区内，未出厂界。因此，本项目在非正常状况下氨氮对周边地下水的影响程度有限，仅在厂区内一定范围内产生影响，不会影响</w:t>
      </w:r>
      <w:r>
        <w:rPr>
          <w:rFonts w:hint="default" w:ascii="Times New Roman" w:hAnsi="Times New Roman" w:eastAsia="宋体" w:cs="Times New Roman"/>
          <w:color w:val="auto"/>
          <w:sz w:val="24"/>
          <w:highlight w:val="none"/>
          <w:lang w:val="en-US" w:eastAsia="zh-CN"/>
        </w:rPr>
        <w:t>厂外</w:t>
      </w:r>
      <w:r>
        <w:rPr>
          <w:rFonts w:hint="default" w:ascii="Times New Roman" w:hAnsi="Times New Roman" w:eastAsia="宋体" w:cs="Times New Roman"/>
          <w:color w:val="auto"/>
          <w:sz w:val="24"/>
          <w:highlight w:val="none"/>
        </w:rPr>
        <w:t>地下水。</w:t>
      </w:r>
      <w:bookmarkEnd w:id="319"/>
    </w:p>
    <w:p w14:paraId="442C38B1">
      <w:pPr>
        <w:numPr>
          <w:ilvl w:val="0"/>
          <w:numId w:val="0"/>
        </w:numPr>
        <w:spacing w:line="480" w:lineRule="exact"/>
        <w:ind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lang w:val="en-US" w:eastAsia="zh-CN"/>
        </w:rPr>
        <w:t>B.耗氧量</w:t>
      </w:r>
      <w:r>
        <w:rPr>
          <w:rFonts w:hint="default" w:ascii="Times New Roman" w:hAnsi="Times New Roman" w:eastAsia="宋体" w:cs="Times New Roman"/>
          <w:color w:val="auto"/>
          <w:sz w:val="24"/>
          <w:highlight w:val="none"/>
        </w:rPr>
        <w:t>泄漏对地下水污染的影响</w:t>
      </w:r>
    </w:p>
    <w:p w14:paraId="7AAAD2A7">
      <w:pPr>
        <w:spacing w:line="480" w:lineRule="exact"/>
        <w:ind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lang w:val="en-US" w:eastAsia="zh-CN"/>
        </w:rPr>
        <w:t>耗氧量</w:t>
      </w:r>
      <w:r>
        <w:rPr>
          <w:rFonts w:hint="default" w:ascii="Times New Roman" w:hAnsi="Times New Roman" w:eastAsia="宋体" w:cs="Times New Roman"/>
          <w:color w:val="auto"/>
          <w:sz w:val="24"/>
          <w:highlight w:val="none"/>
        </w:rPr>
        <w:t>渗漏对地下水污染预测结果见表5.2-</w:t>
      </w:r>
      <w:r>
        <w:rPr>
          <w:rFonts w:hint="default" w:ascii="Times New Roman" w:hAnsi="Times New Roman" w:eastAsia="宋体" w:cs="Times New Roman"/>
          <w:color w:val="auto"/>
          <w:sz w:val="24"/>
          <w:highlight w:val="none"/>
          <w:lang w:val="en-US" w:eastAsia="zh-CN"/>
        </w:rPr>
        <w:t>26</w:t>
      </w:r>
      <w:r>
        <w:rPr>
          <w:rFonts w:hint="default" w:ascii="Times New Roman" w:hAnsi="Times New Roman" w:eastAsia="宋体" w:cs="Times New Roman"/>
          <w:color w:val="auto"/>
          <w:sz w:val="24"/>
          <w:highlight w:val="none"/>
        </w:rPr>
        <w:t>，预测图见图5.2-</w:t>
      </w:r>
      <w:r>
        <w:rPr>
          <w:rFonts w:hint="default" w:ascii="Times New Roman" w:hAnsi="Times New Roman" w:eastAsia="宋体" w:cs="Times New Roman"/>
          <w:color w:val="auto"/>
          <w:sz w:val="24"/>
          <w:highlight w:val="none"/>
          <w:lang w:val="en-US" w:eastAsia="zh-CN"/>
        </w:rPr>
        <w:t>22</w:t>
      </w:r>
      <w:r>
        <w:rPr>
          <w:rFonts w:hint="default" w:ascii="Times New Roman" w:hAnsi="Times New Roman" w:eastAsia="宋体" w:cs="Times New Roman"/>
          <w:color w:val="auto"/>
          <w:sz w:val="24"/>
          <w:highlight w:val="none"/>
        </w:rPr>
        <w:t>至图5.2-</w:t>
      </w:r>
      <w:r>
        <w:rPr>
          <w:rFonts w:hint="default" w:ascii="Times New Roman" w:hAnsi="Times New Roman" w:eastAsia="宋体" w:cs="Times New Roman"/>
          <w:color w:val="auto"/>
          <w:sz w:val="24"/>
          <w:highlight w:val="none"/>
          <w:lang w:val="en-US" w:eastAsia="zh-CN"/>
        </w:rPr>
        <w:t>24</w:t>
      </w:r>
      <w:r>
        <w:rPr>
          <w:rFonts w:hint="default" w:ascii="Times New Roman" w:hAnsi="Times New Roman" w:eastAsia="宋体" w:cs="Times New Roman"/>
          <w:color w:val="auto"/>
          <w:sz w:val="24"/>
          <w:highlight w:val="none"/>
        </w:rPr>
        <w:t>。</w:t>
      </w:r>
    </w:p>
    <w:p w14:paraId="7EF6517E">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lang w:val="zh-CN"/>
        </w:rPr>
      </w:pPr>
      <w:r>
        <w:rPr>
          <w:rFonts w:hint="eastAsia" w:cs="Times New Roman"/>
          <w:b/>
          <w:bCs/>
          <w:color w:val="auto"/>
          <w:sz w:val="24"/>
          <w:highlight w:val="none"/>
          <w:lang w:val="en-US" w:eastAsia="zh-CN"/>
        </w:rPr>
        <w:t>耗氧量</w:t>
      </w:r>
      <w:r>
        <w:rPr>
          <w:rFonts w:hint="default" w:ascii="Times New Roman" w:hAnsi="Times New Roman" w:eastAsia="宋体" w:cs="Times New Roman"/>
          <w:b/>
          <w:bCs/>
          <w:color w:val="auto"/>
          <w:sz w:val="24"/>
          <w:highlight w:val="none"/>
          <w:lang w:val="zh-CN"/>
        </w:rPr>
        <w:t>污染物不同时段运移情况统计表</w:t>
      </w:r>
    </w:p>
    <w:tbl>
      <w:tblPr>
        <w:tblStyle w:val="47"/>
        <w:tblW w:w="4995"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419"/>
        <w:gridCol w:w="1571"/>
        <w:gridCol w:w="1666"/>
        <w:gridCol w:w="1642"/>
        <w:gridCol w:w="1642"/>
        <w:gridCol w:w="1339"/>
      </w:tblGrid>
      <w:tr w14:paraId="46F8F40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764" w:type="pct"/>
            <w:tcBorders>
              <w:tl2br w:val="nil"/>
              <w:tr2bl w:val="nil"/>
            </w:tcBorders>
            <w:vAlign w:val="center"/>
          </w:tcPr>
          <w:p w14:paraId="517C9910">
            <w:pPr>
              <w:pStyle w:val="58"/>
              <w:bidi w:val="0"/>
              <w:rPr>
                <w:rFonts w:hint="default"/>
                <w:highlight w:val="none"/>
              </w:rPr>
            </w:pPr>
            <w:r>
              <w:rPr>
                <w:rFonts w:hint="default"/>
                <w:highlight w:val="none"/>
              </w:rPr>
              <w:t>预测因子</w:t>
            </w:r>
          </w:p>
        </w:tc>
        <w:tc>
          <w:tcPr>
            <w:tcW w:w="846" w:type="pct"/>
            <w:tcBorders>
              <w:tl2br w:val="nil"/>
              <w:tr2bl w:val="nil"/>
            </w:tcBorders>
            <w:vAlign w:val="center"/>
          </w:tcPr>
          <w:p w14:paraId="518D4E9B">
            <w:pPr>
              <w:pStyle w:val="58"/>
              <w:bidi w:val="0"/>
              <w:rPr>
                <w:rFonts w:hint="default"/>
                <w:highlight w:val="none"/>
              </w:rPr>
            </w:pPr>
            <w:r>
              <w:rPr>
                <w:rFonts w:hint="default"/>
                <w:highlight w:val="none"/>
              </w:rPr>
              <w:t>运移时段</w:t>
            </w:r>
          </w:p>
        </w:tc>
        <w:tc>
          <w:tcPr>
            <w:tcW w:w="897" w:type="pct"/>
            <w:tcBorders>
              <w:tl2br w:val="nil"/>
              <w:tr2bl w:val="nil"/>
            </w:tcBorders>
            <w:vAlign w:val="center"/>
          </w:tcPr>
          <w:p w14:paraId="7711814D">
            <w:pPr>
              <w:pStyle w:val="58"/>
              <w:bidi w:val="0"/>
              <w:rPr>
                <w:rFonts w:hint="default"/>
                <w:highlight w:val="none"/>
              </w:rPr>
            </w:pPr>
            <w:r>
              <w:rPr>
                <w:rFonts w:hint="default"/>
                <w:highlight w:val="none"/>
              </w:rPr>
              <w:t>影响范围（m</w:t>
            </w:r>
            <w:r>
              <w:rPr>
                <w:rFonts w:hint="default"/>
                <w:highlight w:val="none"/>
                <w:vertAlign w:val="superscript"/>
              </w:rPr>
              <w:t>2</w:t>
            </w:r>
            <w:r>
              <w:rPr>
                <w:rFonts w:hint="default"/>
                <w:highlight w:val="none"/>
              </w:rPr>
              <w:t>）</w:t>
            </w:r>
          </w:p>
        </w:tc>
        <w:tc>
          <w:tcPr>
            <w:tcW w:w="884" w:type="pct"/>
            <w:tcBorders>
              <w:tl2br w:val="nil"/>
              <w:tr2bl w:val="nil"/>
            </w:tcBorders>
            <w:vAlign w:val="center"/>
          </w:tcPr>
          <w:p w14:paraId="200EACB4">
            <w:pPr>
              <w:pStyle w:val="58"/>
              <w:bidi w:val="0"/>
              <w:rPr>
                <w:rFonts w:hint="default"/>
                <w:highlight w:val="none"/>
              </w:rPr>
            </w:pPr>
            <w:r>
              <w:rPr>
                <w:rFonts w:hint="default"/>
                <w:highlight w:val="none"/>
              </w:rPr>
              <w:t>超标范围（m</w:t>
            </w:r>
            <w:r>
              <w:rPr>
                <w:rFonts w:hint="default"/>
                <w:highlight w:val="none"/>
                <w:vertAlign w:val="superscript"/>
              </w:rPr>
              <w:t>2</w:t>
            </w:r>
            <w:r>
              <w:rPr>
                <w:rFonts w:hint="default"/>
                <w:highlight w:val="none"/>
              </w:rPr>
              <w:t>）</w:t>
            </w:r>
          </w:p>
        </w:tc>
        <w:tc>
          <w:tcPr>
            <w:tcW w:w="884" w:type="pct"/>
            <w:tcBorders>
              <w:tl2br w:val="nil"/>
              <w:tr2bl w:val="nil"/>
            </w:tcBorders>
            <w:vAlign w:val="center"/>
          </w:tcPr>
          <w:p w14:paraId="4144AF11">
            <w:pPr>
              <w:pStyle w:val="58"/>
              <w:bidi w:val="0"/>
              <w:rPr>
                <w:rFonts w:hint="default"/>
                <w:highlight w:val="none"/>
              </w:rPr>
            </w:pPr>
            <w:r>
              <w:rPr>
                <w:rFonts w:hint="default"/>
                <w:highlight w:val="none"/>
              </w:rPr>
              <w:t>运移距离（m）</w:t>
            </w:r>
          </w:p>
        </w:tc>
        <w:tc>
          <w:tcPr>
            <w:tcW w:w="721" w:type="pct"/>
            <w:tcBorders>
              <w:tl2br w:val="nil"/>
              <w:tr2bl w:val="nil"/>
            </w:tcBorders>
            <w:vAlign w:val="center"/>
          </w:tcPr>
          <w:p w14:paraId="5A54572A">
            <w:pPr>
              <w:pStyle w:val="58"/>
              <w:bidi w:val="0"/>
              <w:rPr>
                <w:rFonts w:hint="default"/>
                <w:highlight w:val="none"/>
              </w:rPr>
            </w:pPr>
            <w:r>
              <w:rPr>
                <w:rFonts w:hint="default"/>
                <w:highlight w:val="none"/>
              </w:rPr>
              <w:t>厂界处是否超标</w:t>
            </w:r>
          </w:p>
        </w:tc>
      </w:tr>
      <w:tr w14:paraId="1C8BB14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764" w:type="pct"/>
            <w:vMerge w:val="restart"/>
            <w:tcBorders>
              <w:tl2br w:val="nil"/>
              <w:tr2bl w:val="nil"/>
            </w:tcBorders>
            <w:vAlign w:val="center"/>
          </w:tcPr>
          <w:p w14:paraId="2579DDD0">
            <w:pPr>
              <w:pStyle w:val="58"/>
              <w:bidi w:val="0"/>
              <w:rPr>
                <w:rFonts w:hint="default"/>
                <w:highlight w:val="none"/>
                <w:lang w:val="en-US" w:eastAsia="zh-CN"/>
              </w:rPr>
            </w:pPr>
            <w:r>
              <w:rPr>
                <w:rFonts w:hint="default"/>
                <w:highlight w:val="none"/>
                <w:lang w:val="en-US" w:eastAsia="zh-CN"/>
              </w:rPr>
              <w:t>耗氧量</w:t>
            </w:r>
          </w:p>
        </w:tc>
        <w:tc>
          <w:tcPr>
            <w:tcW w:w="846" w:type="pct"/>
            <w:tcBorders>
              <w:tl2br w:val="nil"/>
              <w:tr2bl w:val="nil"/>
            </w:tcBorders>
            <w:vAlign w:val="center"/>
          </w:tcPr>
          <w:p w14:paraId="26FD9020">
            <w:pPr>
              <w:pStyle w:val="58"/>
              <w:bidi w:val="0"/>
              <w:rPr>
                <w:rFonts w:hint="default"/>
                <w:highlight w:val="none"/>
              </w:rPr>
            </w:pPr>
            <w:r>
              <w:rPr>
                <w:rFonts w:hint="default"/>
                <w:highlight w:val="none"/>
              </w:rPr>
              <w:t>100d</w:t>
            </w:r>
          </w:p>
        </w:tc>
        <w:tc>
          <w:tcPr>
            <w:tcW w:w="897" w:type="pct"/>
            <w:tcBorders>
              <w:tl2br w:val="nil"/>
              <w:tr2bl w:val="nil"/>
            </w:tcBorders>
            <w:vAlign w:val="top"/>
          </w:tcPr>
          <w:p w14:paraId="28A9BFF8">
            <w:pPr>
              <w:pStyle w:val="58"/>
              <w:bidi w:val="0"/>
              <w:rPr>
                <w:rFonts w:hint="default"/>
                <w:highlight w:val="none"/>
                <w:lang w:val="en-US" w:eastAsia="zh-CN"/>
              </w:rPr>
            </w:pPr>
            <w:r>
              <w:rPr>
                <w:rFonts w:hint="default"/>
                <w:highlight w:val="none"/>
              </w:rPr>
              <w:t>4</w:t>
            </w:r>
            <w:r>
              <w:rPr>
                <w:rFonts w:hint="default"/>
                <w:highlight w:val="none"/>
                <w:lang w:val="en-US" w:eastAsia="zh-CN"/>
              </w:rPr>
              <w:t>4</w:t>
            </w:r>
          </w:p>
        </w:tc>
        <w:tc>
          <w:tcPr>
            <w:tcW w:w="884" w:type="pct"/>
            <w:tcBorders>
              <w:tl2br w:val="nil"/>
              <w:tr2bl w:val="nil"/>
            </w:tcBorders>
            <w:vAlign w:val="top"/>
          </w:tcPr>
          <w:p w14:paraId="3A70B542">
            <w:pPr>
              <w:pStyle w:val="58"/>
              <w:bidi w:val="0"/>
              <w:rPr>
                <w:rFonts w:hint="default"/>
                <w:highlight w:val="none"/>
                <w:lang w:val="en-US" w:eastAsia="zh-CN"/>
              </w:rPr>
            </w:pPr>
            <w:r>
              <w:rPr>
                <w:rFonts w:hint="default"/>
                <w:highlight w:val="none"/>
                <w:lang w:val="en-US" w:eastAsia="zh-CN"/>
              </w:rPr>
              <w:t>20</w:t>
            </w:r>
          </w:p>
        </w:tc>
        <w:tc>
          <w:tcPr>
            <w:tcW w:w="884" w:type="pct"/>
            <w:tcBorders>
              <w:tl2br w:val="nil"/>
              <w:tr2bl w:val="nil"/>
            </w:tcBorders>
            <w:vAlign w:val="top"/>
          </w:tcPr>
          <w:p w14:paraId="37A7ABEB">
            <w:pPr>
              <w:pStyle w:val="58"/>
              <w:bidi w:val="0"/>
              <w:rPr>
                <w:rFonts w:hint="default"/>
                <w:highlight w:val="none"/>
                <w:lang w:val="en-US" w:eastAsia="zh-CN"/>
              </w:rPr>
            </w:pPr>
            <w:r>
              <w:rPr>
                <w:rFonts w:hint="default"/>
                <w:highlight w:val="none"/>
                <w:lang w:val="en-US" w:eastAsia="zh-CN"/>
              </w:rPr>
              <w:t>6</w:t>
            </w:r>
          </w:p>
        </w:tc>
        <w:tc>
          <w:tcPr>
            <w:tcW w:w="721" w:type="pct"/>
            <w:tcBorders>
              <w:tl2br w:val="nil"/>
              <w:tr2bl w:val="nil"/>
            </w:tcBorders>
            <w:vAlign w:val="center"/>
          </w:tcPr>
          <w:p w14:paraId="0F43AF37">
            <w:pPr>
              <w:pStyle w:val="58"/>
              <w:bidi w:val="0"/>
              <w:rPr>
                <w:rFonts w:hint="default"/>
                <w:highlight w:val="none"/>
                <w:lang w:val="en-US" w:eastAsia="zh-CN"/>
              </w:rPr>
            </w:pPr>
            <w:r>
              <w:rPr>
                <w:rFonts w:hint="default"/>
                <w:highlight w:val="none"/>
              </w:rPr>
              <w:t>否</w:t>
            </w:r>
          </w:p>
        </w:tc>
      </w:tr>
      <w:tr w14:paraId="43A33FE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764" w:type="pct"/>
            <w:vMerge w:val="continue"/>
            <w:tcBorders>
              <w:tl2br w:val="nil"/>
              <w:tr2bl w:val="nil"/>
            </w:tcBorders>
            <w:vAlign w:val="center"/>
          </w:tcPr>
          <w:p w14:paraId="1720E681">
            <w:pPr>
              <w:pStyle w:val="58"/>
              <w:bidi w:val="0"/>
              <w:rPr>
                <w:rFonts w:hint="default"/>
                <w:highlight w:val="none"/>
              </w:rPr>
            </w:pPr>
          </w:p>
        </w:tc>
        <w:tc>
          <w:tcPr>
            <w:tcW w:w="846" w:type="pct"/>
            <w:tcBorders>
              <w:tl2br w:val="nil"/>
              <w:tr2bl w:val="nil"/>
            </w:tcBorders>
            <w:vAlign w:val="center"/>
          </w:tcPr>
          <w:p w14:paraId="189E30BE">
            <w:pPr>
              <w:pStyle w:val="58"/>
              <w:bidi w:val="0"/>
              <w:rPr>
                <w:rFonts w:hint="default"/>
                <w:highlight w:val="none"/>
              </w:rPr>
            </w:pPr>
            <w:r>
              <w:rPr>
                <w:rFonts w:hint="default"/>
                <w:highlight w:val="none"/>
              </w:rPr>
              <w:t>1000d</w:t>
            </w:r>
          </w:p>
        </w:tc>
        <w:tc>
          <w:tcPr>
            <w:tcW w:w="897" w:type="pct"/>
            <w:tcBorders>
              <w:tl2br w:val="nil"/>
              <w:tr2bl w:val="nil"/>
            </w:tcBorders>
            <w:vAlign w:val="top"/>
          </w:tcPr>
          <w:p w14:paraId="0A9BDBB3">
            <w:pPr>
              <w:pStyle w:val="58"/>
              <w:bidi w:val="0"/>
              <w:rPr>
                <w:rFonts w:hint="default"/>
                <w:highlight w:val="none"/>
                <w:lang w:val="en-US" w:eastAsia="zh-CN"/>
              </w:rPr>
            </w:pPr>
            <w:r>
              <w:rPr>
                <w:rFonts w:hint="default"/>
                <w:highlight w:val="none"/>
                <w:lang w:val="en-US" w:eastAsia="zh-CN"/>
              </w:rPr>
              <w:t>220</w:t>
            </w:r>
          </w:p>
        </w:tc>
        <w:tc>
          <w:tcPr>
            <w:tcW w:w="884" w:type="pct"/>
            <w:tcBorders>
              <w:tl2br w:val="nil"/>
              <w:tr2bl w:val="nil"/>
            </w:tcBorders>
            <w:vAlign w:val="top"/>
          </w:tcPr>
          <w:p w14:paraId="211A7141">
            <w:pPr>
              <w:pStyle w:val="58"/>
              <w:bidi w:val="0"/>
              <w:rPr>
                <w:rFonts w:hint="default"/>
                <w:highlight w:val="none"/>
                <w:lang w:val="en-US" w:eastAsia="zh-CN"/>
              </w:rPr>
            </w:pPr>
            <w:r>
              <w:rPr>
                <w:rFonts w:hint="default"/>
                <w:highlight w:val="none"/>
              </w:rPr>
              <w:t>4</w:t>
            </w:r>
            <w:r>
              <w:rPr>
                <w:rFonts w:hint="default"/>
                <w:highlight w:val="none"/>
                <w:lang w:val="en-US" w:eastAsia="zh-CN"/>
              </w:rPr>
              <w:t>8</w:t>
            </w:r>
          </w:p>
        </w:tc>
        <w:tc>
          <w:tcPr>
            <w:tcW w:w="884" w:type="pct"/>
            <w:tcBorders>
              <w:tl2br w:val="nil"/>
              <w:tr2bl w:val="nil"/>
            </w:tcBorders>
            <w:vAlign w:val="top"/>
          </w:tcPr>
          <w:p w14:paraId="47A12834">
            <w:pPr>
              <w:pStyle w:val="58"/>
              <w:bidi w:val="0"/>
              <w:rPr>
                <w:rFonts w:hint="default"/>
                <w:highlight w:val="none"/>
                <w:lang w:val="en-US" w:eastAsia="zh-CN"/>
              </w:rPr>
            </w:pPr>
            <w:r>
              <w:rPr>
                <w:rFonts w:hint="default"/>
                <w:highlight w:val="none"/>
                <w:lang w:val="en-US" w:eastAsia="zh-CN"/>
              </w:rPr>
              <w:t>15</w:t>
            </w:r>
          </w:p>
        </w:tc>
        <w:tc>
          <w:tcPr>
            <w:tcW w:w="721" w:type="pct"/>
            <w:tcBorders>
              <w:tl2br w:val="nil"/>
              <w:tr2bl w:val="nil"/>
            </w:tcBorders>
            <w:vAlign w:val="center"/>
          </w:tcPr>
          <w:p w14:paraId="42435617">
            <w:pPr>
              <w:pStyle w:val="58"/>
              <w:bidi w:val="0"/>
              <w:rPr>
                <w:rFonts w:hint="default"/>
                <w:highlight w:val="none"/>
                <w:lang w:val="en-US" w:eastAsia="zh-CN"/>
              </w:rPr>
            </w:pPr>
            <w:r>
              <w:rPr>
                <w:rFonts w:hint="default"/>
                <w:highlight w:val="none"/>
              </w:rPr>
              <w:t>否</w:t>
            </w:r>
          </w:p>
        </w:tc>
      </w:tr>
      <w:tr w14:paraId="7D44E5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764" w:type="pct"/>
            <w:vMerge w:val="continue"/>
            <w:tcBorders>
              <w:tl2br w:val="nil"/>
              <w:tr2bl w:val="nil"/>
            </w:tcBorders>
            <w:vAlign w:val="center"/>
          </w:tcPr>
          <w:p w14:paraId="5ADACF3C">
            <w:pPr>
              <w:pStyle w:val="58"/>
              <w:bidi w:val="0"/>
              <w:rPr>
                <w:rFonts w:hint="default"/>
                <w:highlight w:val="none"/>
              </w:rPr>
            </w:pPr>
          </w:p>
        </w:tc>
        <w:tc>
          <w:tcPr>
            <w:tcW w:w="846" w:type="pct"/>
            <w:tcBorders>
              <w:tl2br w:val="nil"/>
              <w:tr2bl w:val="nil"/>
            </w:tcBorders>
            <w:vAlign w:val="center"/>
          </w:tcPr>
          <w:p w14:paraId="289AE4D1">
            <w:pPr>
              <w:pStyle w:val="58"/>
              <w:bidi w:val="0"/>
              <w:rPr>
                <w:rFonts w:hint="default"/>
                <w:highlight w:val="none"/>
              </w:rPr>
            </w:pPr>
            <w:r>
              <w:rPr>
                <w:rFonts w:hint="default"/>
                <w:highlight w:val="none"/>
              </w:rPr>
              <w:t>7300d</w:t>
            </w:r>
          </w:p>
        </w:tc>
        <w:tc>
          <w:tcPr>
            <w:tcW w:w="897" w:type="pct"/>
            <w:tcBorders>
              <w:tl2br w:val="nil"/>
              <w:tr2bl w:val="nil"/>
            </w:tcBorders>
            <w:vAlign w:val="top"/>
          </w:tcPr>
          <w:p w14:paraId="46E5AC25">
            <w:pPr>
              <w:pStyle w:val="58"/>
              <w:bidi w:val="0"/>
              <w:rPr>
                <w:rFonts w:hint="default"/>
                <w:highlight w:val="none"/>
                <w:lang w:val="en-US" w:eastAsia="zh-CN"/>
              </w:rPr>
            </w:pPr>
            <w:r>
              <w:rPr>
                <w:rFonts w:hint="default"/>
                <w:highlight w:val="none"/>
              </w:rPr>
              <w:t>12</w:t>
            </w:r>
            <w:r>
              <w:rPr>
                <w:rFonts w:hint="default"/>
                <w:highlight w:val="none"/>
                <w:lang w:val="en-US" w:eastAsia="zh-CN"/>
              </w:rPr>
              <w:t>80</w:t>
            </w:r>
          </w:p>
        </w:tc>
        <w:tc>
          <w:tcPr>
            <w:tcW w:w="884" w:type="pct"/>
            <w:tcBorders>
              <w:tl2br w:val="nil"/>
              <w:tr2bl w:val="nil"/>
            </w:tcBorders>
            <w:vAlign w:val="top"/>
          </w:tcPr>
          <w:p w14:paraId="4E630E32">
            <w:pPr>
              <w:pStyle w:val="58"/>
              <w:bidi w:val="0"/>
              <w:rPr>
                <w:rFonts w:hint="default"/>
                <w:highlight w:val="none"/>
                <w:lang w:val="en-US" w:eastAsia="zh-CN"/>
              </w:rPr>
            </w:pPr>
            <w:r>
              <w:rPr>
                <w:rFonts w:hint="default"/>
                <w:highlight w:val="none"/>
                <w:lang w:val="en-US" w:eastAsia="zh-CN"/>
              </w:rPr>
              <w:t>62</w:t>
            </w:r>
          </w:p>
        </w:tc>
        <w:tc>
          <w:tcPr>
            <w:tcW w:w="884" w:type="pct"/>
            <w:tcBorders>
              <w:tl2br w:val="nil"/>
              <w:tr2bl w:val="nil"/>
            </w:tcBorders>
            <w:vAlign w:val="top"/>
          </w:tcPr>
          <w:p w14:paraId="604560CF">
            <w:pPr>
              <w:pStyle w:val="58"/>
              <w:bidi w:val="0"/>
              <w:rPr>
                <w:rFonts w:hint="default"/>
                <w:highlight w:val="none"/>
                <w:lang w:val="en-US" w:eastAsia="zh-CN"/>
              </w:rPr>
            </w:pPr>
            <w:r>
              <w:rPr>
                <w:rFonts w:hint="default"/>
                <w:highlight w:val="none"/>
                <w:lang w:val="en-US" w:eastAsia="zh-CN"/>
              </w:rPr>
              <w:t>45</w:t>
            </w:r>
          </w:p>
        </w:tc>
        <w:tc>
          <w:tcPr>
            <w:tcW w:w="721" w:type="pct"/>
            <w:tcBorders>
              <w:tl2br w:val="nil"/>
              <w:tr2bl w:val="nil"/>
            </w:tcBorders>
            <w:vAlign w:val="center"/>
          </w:tcPr>
          <w:p w14:paraId="6961A697">
            <w:pPr>
              <w:pStyle w:val="58"/>
              <w:bidi w:val="0"/>
              <w:rPr>
                <w:rFonts w:hint="default"/>
                <w:highlight w:val="none"/>
                <w:lang w:val="en-US" w:eastAsia="zh-CN"/>
              </w:rPr>
            </w:pPr>
            <w:r>
              <w:rPr>
                <w:rFonts w:hint="default"/>
                <w:highlight w:val="none"/>
              </w:rPr>
              <w:t>否</w:t>
            </w:r>
          </w:p>
        </w:tc>
      </w:tr>
    </w:tbl>
    <w:p w14:paraId="5B927F8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4"/>
          <w:highlight w:val="none"/>
          <w:lang w:eastAsia="zh-CN"/>
        </w:rPr>
      </w:pPr>
      <w:r>
        <w:rPr>
          <w:rFonts w:hint="eastAsia" w:ascii="Times New Roman" w:hAnsi="Times New Roman" w:eastAsia="宋体" w:cs="Times New Roman"/>
          <w:color w:val="auto"/>
          <w:sz w:val="24"/>
          <w:highlight w:val="none"/>
          <w:lang w:eastAsia="zh-CN"/>
        </w:rPr>
        <w:drawing>
          <wp:inline distT="0" distB="0" distL="114300" distR="114300">
            <wp:extent cx="4500245" cy="3672840"/>
            <wp:effectExtent l="0" t="0" r="14605" b="3810"/>
            <wp:docPr id="25" name="图片 25" descr="173028158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1730281583028"/>
                    <pic:cNvPicPr>
                      <a:picLocks noChangeAspect="1"/>
                    </pic:cNvPicPr>
                  </pic:nvPicPr>
                  <pic:blipFill>
                    <a:blip r:embed="rId112"/>
                    <a:stretch>
                      <a:fillRect/>
                    </a:stretch>
                  </pic:blipFill>
                  <pic:spPr>
                    <a:xfrm>
                      <a:off x="0" y="0"/>
                      <a:ext cx="4500245" cy="3672840"/>
                    </a:xfrm>
                    <a:prstGeom prst="rect">
                      <a:avLst/>
                    </a:prstGeom>
                  </pic:spPr>
                </pic:pic>
              </a:graphicData>
            </a:graphic>
          </wp:inline>
        </w:drawing>
      </w:r>
    </w:p>
    <w:p w14:paraId="1CD90120">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耗氧量泄漏100d后污染物影响范围图</w:t>
      </w:r>
    </w:p>
    <w:p w14:paraId="1E5716E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highlight w:val="none"/>
        </w:rPr>
      </w:pPr>
    </w:p>
    <w:p w14:paraId="04ADF321">
      <w:pPr>
        <w:pStyle w:val="16"/>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lang w:eastAsia="zh-CN"/>
        </w:rPr>
      </w:pPr>
      <w:r>
        <w:rPr>
          <w:rFonts w:hint="eastAsia" w:eastAsia="宋体"/>
          <w:lang w:eastAsia="zh-CN"/>
        </w:rPr>
        <w:drawing>
          <wp:inline distT="0" distB="0" distL="114300" distR="114300">
            <wp:extent cx="4500245" cy="3434080"/>
            <wp:effectExtent l="0" t="0" r="14605" b="13970"/>
            <wp:docPr id="27" name="图片 27" descr="1730281639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1730281639007"/>
                    <pic:cNvPicPr>
                      <a:picLocks noChangeAspect="1"/>
                    </pic:cNvPicPr>
                  </pic:nvPicPr>
                  <pic:blipFill>
                    <a:blip r:embed="rId113"/>
                    <a:stretch>
                      <a:fillRect/>
                    </a:stretch>
                  </pic:blipFill>
                  <pic:spPr>
                    <a:xfrm>
                      <a:off x="0" y="0"/>
                      <a:ext cx="4500245" cy="3434080"/>
                    </a:xfrm>
                    <a:prstGeom prst="rect">
                      <a:avLst/>
                    </a:prstGeom>
                  </pic:spPr>
                </pic:pic>
              </a:graphicData>
            </a:graphic>
          </wp:inline>
        </w:drawing>
      </w:r>
    </w:p>
    <w:p w14:paraId="0113833C">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耗氧量泄漏1000d后污染物影响范围图</w:t>
      </w:r>
    </w:p>
    <w:p w14:paraId="15E4A91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highlight w:val="none"/>
          <w:lang w:eastAsia="zh-CN"/>
        </w:rPr>
      </w:pPr>
      <w:r>
        <w:rPr>
          <w:rFonts w:hint="eastAsia" w:ascii="Times New Roman" w:hAnsi="Times New Roman" w:eastAsia="宋体" w:cs="Times New Roman"/>
          <w:highlight w:val="none"/>
          <w:lang w:eastAsia="zh-CN"/>
        </w:rPr>
        <w:drawing>
          <wp:inline distT="0" distB="0" distL="114300" distR="114300">
            <wp:extent cx="4500245" cy="4015105"/>
            <wp:effectExtent l="0" t="0" r="14605" b="4445"/>
            <wp:docPr id="41" name="图片 41" descr="1730282079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1730282079251"/>
                    <pic:cNvPicPr>
                      <a:picLocks noChangeAspect="1"/>
                    </pic:cNvPicPr>
                  </pic:nvPicPr>
                  <pic:blipFill>
                    <a:blip r:embed="rId114"/>
                    <a:stretch>
                      <a:fillRect/>
                    </a:stretch>
                  </pic:blipFill>
                  <pic:spPr>
                    <a:xfrm>
                      <a:off x="0" y="0"/>
                      <a:ext cx="4500245" cy="4015105"/>
                    </a:xfrm>
                    <a:prstGeom prst="rect">
                      <a:avLst/>
                    </a:prstGeom>
                  </pic:spPr>
                </pic:pic>
              </a:graphicData>
            </a:graphic>
          </wp:inline>
        </w:drawing>
      </w:r>
    </w:p>
    <w:p w14:paraId="5D6E3F60">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耗氧量泄漏7300d后污染物影响范围图</w:t>
      </w:r>
    </w:p>
    <w:p w14:paraId="44EB07A0">
      <w:pPr>
        <w:numPr>
          <w:ilvl w:val="0"/>
          <w:numId w:val="0"/>
        </w:numPr>
        <w:spacing w:line="480" w:lineRule="exact"/>
        <w:ind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rPr>
        <w:t>由预测结果可知，非正常状况下，</w:t>
      </w:r>
      <w:r>
        <w:rPr>
          <w:rFonts w:hint="default" w:ascii="Times New Roman" w:hAnsi="Times New Roman" w:eastAsia="宋体" w:cs="Times New Roman"/>
          <w:color w:val="auto"/>
          <w:sz w:val="24"/>
          <w:highlight w:val="none"/>
          <w:lang w:val="en-US" w:eastAsia="zh-CN"/>
        </w:rPr>
        <w:t>耗氧量</w:t>
      </w:r>
      <w:r>
        <w:rPr>
          <w:rFonts w:hint="default" w:ascii="Times New Roman" w:hAnsi="Times New Roman" w:eastAsia="宋体" w:cs="Times New Roman"/>
          <w:color w:val="auto"/>
          <w:sz w:val="24"/>
          <w:highlight w:val="none"/>
        </w:rPr>
        <w:t>在100d、1000d</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lang w:val="en-US" w:eastAsia="zh-CN"/>
        </w:rPr>
        <w:t>7300d</w:t>
      </w:r>
      <w:r>
        <w:rPr>
          <w:rFonts w:hint="default" w:ascii="Times New Roman" w:hAnsi="Times New Roman" w:eastAsia="宋体" w:cs="Times New Roman"/>
          <w:color w:val="auto"/>
          <w:sz w:val="24"/>
          <w:highlight w:val="none"/>
        </w:rPr>
        <w:t>时对地下水流场下游最大运移距离分别为</w:t>
      </w:r>
      <w:r>
        <w:rPr>
          <w:rFonts w:hint="default" w:ascii="Times New Roman" w:hAnsi="Times New Roman" w:eastAsia="宋体" w:cs="Times New Roman"/>
          <w:color w:val="auto"/>
          <w:sz w:val="24"/>
          <w:highlight w:val="none"/>
          <w:lang w:val="en-US" w:eastAsia="zh-CN"/>
        </w:rPr>
        <w:t>6</w:t>
      </w:r>
      <w:r>
        <w:rPr>
          <w:rFonts w:hint="default" w:ascii="Times New Roman" w:hAnsi="Times New Roman" w:eastAsia="宋体" w:cs="Times New Roman"/>
          <w:color w:val="auto"/>
          <w:sz w:val="24"/>
          <w:highlight w:val="none"/>
        </w:rPr>
        <w:t>m、1</w:t>
      </w:r>
      <w:r>
        <w:rPr>
          <w:rFonts w:hint="default" w:ascii="Times New Roman" w:hAnsi="Times New Roman" w:eastAsia="宋体" w:cs="Times New Roman"/>
          <w:color w:val="auto"/>
          <w:sz w:val="24"/>
          <w:highlight w:val="none"/>
          <w:lang w:val="en-US" w:eastAsia="zh-CN"/>
        </w:rPr>
        <w:t>5</w:t>
      </w:r>
      <w:r>
        <w:rPr>
          <w:rFonts w:hint="default" w:ascii="Times New Roman" w:hAnsi="Times New Roman" w:eastAsia="宋体" w:cs="Times New Roman"/>
          <w:color w:val="auto"/>
          <w:sz w:val="24"/>
          <w:highlight w:val="none"/>
        </w:rPr>
        <w:t>m</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lang w:val="en-US" w:eastAsia="zh-CN"/>
        </w:rPr>
        <w:t>45m</w:t>
      </w:r>
      <w:r>
        <w:rPr>
          <w:rFonts w:hint="default" w:ascii="Times New Roman" w:hAnsi="Times New Roman" w:eastAsia="宋体" w:cs="Times New Roman"/>
          <w:color w:val="auto"/>
          <w:sz w:val="24"/>
          <w:highlight w:val="none"/>
        </w:rPr>
        <w:t>；从超标影响范围分析，最大超标范围为</w:t>
      </w:r>
      <w:r>
        <w:rPr>
          <w:rFonts w:hint="default" w:ascii="Times New Roman" w:hAnsi="Times New Roman" w:eastAsia="宋体" w:cs="Times New Roman"/>
          <w:color w:val="auto"/>
          <w:sz w:val="24"/>
          <w:highlight w:val="none"/>
          <w:lang w:val="en-US" w:eastAsia="zh-CN"/>
        </w:rPr>
        <w:t>62</w:t>
      </w:r>
      <w:r>
        <w:rPr>
          <w:rFonts w:hint="default" w:ascii="Times New Roman" w:hAnsi="Times New Roman" w:eastAsia="宋体" w:cs="Times New Roman"/>
          <w:color w:val="auto"/>
          <w:sz w:val="24"/>
          <w:highlight w:val="none"/>
        </w:rPr>
        <w:t>m</w:t>
      </w:r>
      <w:r>
        <w:rPr>
          <w:rFonts w:hint="default" w:ascii="Times New Roman" w:hAnsi="Times New Roman" w:eastAsia="宋体" w:cs="Times New Roman"/>
          <w:color w:val="auto"/>
          <w:sz w:val="24"/>
          <w:highlight w:val="none"/>
          <w:vertAlign w:val="superscript"/>
        </w:rPr>
        <w:t>2</w:t>
      </w:r>
      <w:r>
        <w:rPr>
          <w:rFonts w:hint="default" w:ascii="Times New Roman" w:hAnsi="Times New Roman" w:eastAsia="宋体" w:cs="Times New Roman"/>
          <w:color w:val="auto"/>
          <w:sz w:val="24"/>
          <w:highlight w:val="none"/>
        </w:rPr>
        <w:t>；从污染物影响范围分析，</w:t>
      </w:r>
      <w:r>
        <w:rPr>
          <w:rFonts w:hint="default" w:ascii="Times New Roman" w:hAnsi="Times New Roman" w:eastAsia="宋体" w:cs="Times New Roman"/>
          <w:color w:val="auto"/>
          <w:sz w:val="24"/>
          <w:highlight w:val="none"/>
          <w:lang w:val="en-US" w:eastAsia="zh-CN"/>
        </w:rPr>
        <w:t>耗氧量</w:t>
      </w:r>
      <w:r>
        <w:rPr>
          <w:rFonts w:hint="default" w:ascii="Times New Roman" w:hAnsi="Times New Roman" w:eastAsia="宋体" w:cs="Times New Roman"/>
          <w:color w:val="auto"/>
          <w:sz w:val="24"/>
          <w:highlight w:val="none"/>
        </w:rPr>
        <w:t>的影响范围局限在厂区内，未出厂界。因此，本项目在非正常状况下氨氮对周边地下水的影响程度有限，仅在厂区内一定范围内产生影响，不会影响</w:t>
      </w:r>
      <w:r>
        <w:rPr>
          <w:rFonts w:hint="default" w:ascii="Times New Roman" w:hAnsi="Times New Roman" w:eastAsia="宋体" w:cs="Times New Roman"/>
          <w:color w:val="auto"/>
          <w:sz w:val="24"/>
          <w:highlight w:val="none"/>
          <w:lang w:val="en-US" w:eastAsia="zh-CN"/>
        </w:rPr>
        <w:t>厂外</w:t>
      </w:r>
      <w:r>
        <w:rPr>
          <w:rFonts w:hint="default" w:ascii="Times New Roman" w:hAnsi="Times New Roman" w:eastAsia="宋体" w:cs="Times New Roman"/>
          <w:color w:val="auto"/>
          <w:sz w:val="24"/>
          <w:highlight w:val="none"/>
        </w:rPr>
        <w:t>地下水。</w:t>
      </w:r>
    </w:p>
    <w:p w14:paraId="24533331">
      <w:pPr>
        <w:spacing w:line="480" w:lineRule="exact"/>
        <w:ind w:firstLine="480" w:firstLineChars="200"/>
        <w:rPr>
          <w:rFonts w:hint="default" w:ascii="Times New Roman" w:hAnsi="Times New Roman" w:eastAsia="宋体" w:cs="Times New Roman"/>
          <w:color w:val="auto"/>
          <w:sz w:val="24"/>
          <w:highlight w:val="none"/>
        </w:rPr>
      </w:pPr>
      <w:r>
        <w:rPr>
          <w:rFonts w:hint="eastAsia" w:ascii="Times New Roman" w:hAnsi="Times New Roman" w:eastAsia="宋体" w:cs="Times New Roman"/>
          <w:color w:val="auto"/>
          <w:sz w:val="24"/>
          <w:highlight w:val="none"/>
          <w:lang w:val="en-US" w:eastAsia="zh-CN"/>
        </w:rPr>
        <w:t>C</w:t>
      </w:r>
      <w:r>
        <w:rPr>
          <w:rFonts w:hint="default" w:ascii="Times New Roman" w:hAnsi="Times New Roman" w:eastAsia="宋体" w:cs="Times New Roman"/>
          <w:color w:val="auto"/>
          <w:sz w:val="24"/>
          <w:highlight w:val="none"/>
        </w:rPr>
        <w:t>、</w:t>
      </w:r>
      <w:r>
        <w:rPr>
          <w:rFonts w:hint="eastAsia" w:ascii="Times New Roman" w:hAnsi="Times New Roman" w:eastAsia="宋体" w:cs="Times New Roman"/>
          <w:color w:val="auto"/>
          <w:sz w:val="24"/>
          <w:highlight w:val="none"/>
          <w:lang w:val="en-US" w:eastAsia="zh-CN"/>
        </w:rPr>
        <w:t>石油类</w:t>
      </w:r>
      <w:r>
        <w:rPr>
          <w:rFonts w:hint="default" w:ascii="Times New Roman" w:hAnsi="Times New Roman" w:eastAsia="宋体" w:cs="Times New Roman"/>
          <w:color w:val="auto"/>
          <w:sz w:val="24"/>
          <w:highlight w:val="none"/>
        </w:rPr>
        <w:t>泄漏对地下水污染的影响</w:t>
      </w:r>
    </w:p>
    <w:p w14:paraId="6CDBC939">
      <w:pPr>
        <w:spacing w:line="480" w:lineRule="exact"/>
        <w:ind w:firstLine="480" w:firstLineChars="200"/>
        <w:rPr>
          <w:rFonts w:hint="default" w:ascii="Times New Roman" w:hAnsi="Times New Roman" w:eastAsia="宋体" w:cs="Times New Roman"/>
          <w:color w:val="auto"/>
          <w:sz w:val="24"/>
          <w:highlight w:val="none"/>
        </w:rPr>
      </w:pPr>
      <w:r>
        <w:rPr>
          <w:rFonts w:hint="eastAsia" w:ascii="Times New Roman" w:hAnsi="Times New Roman" w:eastAsia="宋体" w:cs="Times New Roman"/>
          <w:color w:val="auto"/>
          <w:sz w:val="24"/>
          <w:highlight w:val="none"/>
          <w:lang w:val="en-US" w:eastAsia="zh-CN"/>
        </w:rPr>
        <w:t>石油类</w:t>
      </w:r>
      <w:r>
        <w:rPr>
          <w:rFonts w:hint="default" w:ascii="Times New Roman" w:hAnsi="Times New Roman" w:eastAsia="宋体" w:cs="Times New Roman"/>
          <w:color w:val="auto"/>
          <w:sz w:val="24"/>
          <w:highlight w:val="none"/>
        </w:rPr>
        <w:t>渗漏对地下水污染预测结果见表</w:t>
      </w:r>
      <w:r>
        <w:rPr>
          <w:rFonts w:hint="default" w:ascii="Times New Roman" w:hAnsi="Times New Roman" w:eastAsia="宋体" w:cs="Times New Roman"/>
          <w:b w:val="0"/>
          <w:bCs w:val="0"/>
          <w:color w:val="auto"/>
          <w:sz w:val="24"/>
          <w:highlight w:val="none"/>
          <w:lang w:val="en-US" w:eastAsia="zh-CN"/>
        </w:rPr>
        <w:t>5.2-2</w:t>
      </w:r>
      <w:r>
        <w:rPr>
          <w:rFonts w:hint="eastAsia" w:ascii="Times New Roman" w:hAnsi="Times New Roman" w:eastAsia="宋体" w:cs="Times New Roman"/>
          <w:b w:val="0"/>
          <w:bCs w:val="0"/>
          <w:color w:val="auto"/>
          <w:sz w:val="24"/>
          <w:highlight w:val="none"/>
          <w:lang w:val="en-US" w:eastAsia="zh-CN"/>
        </w:rPr>
        <w:t>7</w:t>
      </w:r>
      <w:r>
        <w:rPr>
          <w:rFonts w:hint="default" w:ascii="Times New Roman" w:hAnsi="Times New Roman" w:eastAsia="宋体" w:cs="Times New Roman"/>
          <w:color w:val="auto"/>
          <w:sz w:val="24"/>
          <w:highlight w:val="none"/>
        </w:rPr>
        <w:t>，预测图见图5.2-</w:t>
      </w:r>
      <w:r>
        <w:rPr>
          <w:rFonts w:hint="eastAsia" w:ascii="Times New Roman" w:hAnsi="Times New Roman" w:eastAsia="宋体" w:cs="Times New Roman"/>
          <w:color w:val="auto"/>
          <w:sz w:val="24"/>
          <w:highlight w:val="none"/>
          <w:lang w:val="en-US" w:eastAsia="zh-CN"/>
        </w:rPr>
        <w:t>25</w:t>
      </w:r>
      <w:r>
        <w:rPr>
          <w:rFonts w:hint="default" w:ascii="Times New Roman" w:hAnsi="Times New Roman" w:eastAsia="宋体" w:cs="Times New Roman"/>
          <w:color w:val="auto"/>
          <w:sz w:val="24"/>
          <w:highlight w:val="none"/>
        </w:rPr>
        <w:t>至图5.2-</w:t>
      </w:r>
      <w:r>
        <w:rPr>
          <w:rFonts w:hint="eastAsia" w:ascii="Times New Roman" w:hAnsi="Times New Roman" w:eastAsia="宋体" w:cs="Times New Roman"/>
          <w:color w:val="auto"/>
          <w:sz w:val="24"/>
          <w:highlight w:val="none"/>
          <w:lang w:val="en-US" w:eastAsia="zh-CN"/>
        </w:rPr>
        <w:t>2</w:t>
      </w:r>
      <w:r>
        <w:rPr>
          <w:rFonts w:hint="eastAsia" w:cs="Times New Roman"/>
          <w:color w:val="auto"/>
          <w:sz w:val="24"/>
          <w:highlight w:val="none"/>
          <w:lang w:val="en-US" w:eastAsia="zh-CN"/>
        </w:rPr>
        <w:t>7</w:t>
      </w:r>
      <w:r>
        <w:rPr>
          <w:rFonts w:hint="default" w:ascii="Times New Roman" w:hAnsi="Times New Roman" w:eastAsia="宋体" w:cs="Times New Roman"/>
          <w:color w:val="auto"/>
          <w:sz w:val="24"/>
          <w:highlight w:val="none"/>
        </w:rPr>
        <w:t>。</w:t>
      </w:r>
    </w:p>
    <w:p w14:paraId="5E0739FF">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lang w:val="zh-CN" w:eastAsia="zh-CN"/>
        </w:rPr>
      </w:pPr>
      <w:r>
        <w:rPr>
          <w:rFonts w:hint="default" w:ascii="Times New Roman" w:hAnsi="Times New Roman" w:eastAsia="宋体" w:cs="Times New Roman"/>
          <w:b/>
          <w:bCs/>
          <w:color w:val="auto"/>
          <w:sz w:val="24"/>
          <w:highlight w:val="none"/>
          <w:lang w:val="zh-CN" w:eastAsia="zh-CN"/>
        </w:rPr>
        <w:t>氨氮污染物不同时段运移情况统计表</w:t>
      </w:r>
    </w:p>
    <w:tbl>
      <w:tblPr>
        <w:tblStyle w:val="47"/>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419"/>
        <w:gridCol w:w="1572"/>
        <w:gridCol w:w="1667"/>
        <w:gridCol w:w="1643"/>
        <w:gridCol w:w="1643"/>
        <w:gridCol w:w="1340"/>
      </w:tblGrid>
      <w:tr w14:paraId="14D14A9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764" w:type="pct"/>
            <w:tcBorders>
              <w:tl2br w:val="nil"/>
              <w:tr2bl w:val="nil"/>
            </w:tcBorders>
            <w:vAlign w:val="center"/>
          </w:tcPr>
          <w:p w14:paraId="313601E5">
            <w:pPr>
              <w:pStyle w:val="58"/>
              <w:bidi w:val="0"/>
              <w:rPr>
                <w:rFonts w:hint="default"/>
                <w:highlight w:val="none"/>
              </w:rPr>
            </w:pPr>
            <w:r>
              <w:rPr>
                <w:rFonts w:hint="default"/>
                <w:highlight w:val="none"/>
              </w:rPr>
              <w:t>预测因子</w:t>
            </w:r>
          </w:p>
        </w:tc>
        <w:tc>
          <w:tcPr>
            <w:tcW w:w="846" w:type="pct"/>
            <w:tcBorders>
              <w:tl2br w:val="nil"/>
              <w:tr2bl w:val="nil"/>
            </w:tcBorders>
            <w:vAlign w:val="center"/>
          </w:tcPr>
          <w:p w14:paraId="7A491174">
            <w:pPr>
              <w:pStyle w:val="58"/>
              <w:bidi w:val="0"/>
              <w:rPr>
                <w:rFonts w:hint="default"/>
                <w:highlight w:val="none"/>
              </w:rPr>
            </w:pPr>
            <w:r>
              <w:rPr>
                <w:rFonts w:hint="default"/>
                <w:highlight w:val="none"/>
              </w:rPr>
              <w:t>运移时段</w:t>
            </w:r>
          </w:p>
        </w:tc>
        <w:tc>
          <w:tcPr>
            <w:tcW w:w="897" w:type="pct"/>
            <w:tcBorders>
              <w:tl2br w:val="nil"/>
              <w:tr2bl w:val="nil"/>
            </w:tcBorders>
            <w:vAlign w:val="center"/>
          </w:tcPr>
          <w:p w14:paraId="6C8AB312">
            <w:pPr>
              <w:pStyle w:val="58"/>
              <w:bidi w:val="0"/>
              <w:rPr>
                <w:rFonts w:hint="default"/>
                <w:highlight w:val="none"/>
              </w:rPr>
            </w:pPr>
            <w:r>
              <w:rPr>
                <w:rFonts w:hint="default"/>
                <w:highlight w:val="none"/>
              </w:rPr>
              <w:t>影响范围（m</w:t>
            </w:r>
            <w:r>
              <w:rPr>
                <w:rFonts w:hint="default"/>
                <w:highlight w:val="none"/>
                <w:vertAlign w:val="superscript"/>
              </w:rPr>
              <w:t>2</w:t>
            </w:r>
            <w:r>
              <w:rPr>
                <w:rFonts w:hint="default"/>
                <w:highlight w:val="none"/>
              </w:rPr>
              <w:t>）</w:t>
            </w:r>
          </w:p>
        </w:tc>
        <w:tc>
          <w:tcPr>
            <w:tcW w:w="884" w:type="pct"/>
            <w:tcBorders>
              <w:tl2br w:val="nil"/>
              <w:tr2bl w:val="nil"/>
            </w:tcBorders>
            <w:vAlign w:val="center"/>
          </w:tcPr>
          <w:p w14:paraId="4AECEBFE">
            <w:pPr>
              <w:pStyle w:val="58"/>
              <w:bidi w:val="0"/>
              <w:rPr>
                <w:rFonts w:hint="default"/>
                <w:highlight w:val="none"/>
              </w:rPr>
            </w:pPr>
            <w:r>
              <w:rPr>
                <w:rFonts w:hint="default"/>
                <w:highlight w:val="none"/>
              </w:rPr>
              <w:t>超标范围（m</w:t>
            </w:r>
            <w:r>
              <w:rPr>
                <w:rFonts w:hint="default"/>
                <w:highlight w:val="none"/>
                <w:vertAlign w:val="superscript"/>
              </w:rPr>
              <w:t>2</w:t>
            </w:r>
            <w:r>
              <w:rPr>
                <w:rFonts w:hint="default"/>
                <w:highlight w:val="none"/>
              </w:rPr>
              <w:t>）</w:t>
            </w:r>
          </w:p>
        </w:tc>
        <w:tc>
          <w:tcPr>
            <w:tcW w:w="884" w:type="pct"/>
            <w:tcBorders>
              <w:tl2br w:val="nil"/>
              <w:tr2bl w:val="nil"/>
            </w:tcBorders>
            <w:vAlign w:val="center"/>
          </w:tcPr>
          <w:p w14:paraId="41216DBC">
            <w:pPr>
              <w:pStyle w:val="58"/>
              <w:bidi w:val="0"/>
              <w:rPr>
                <w:rFonts w:hint="default"/>
                <w:highlight w:val="none"/>
              </w:rPr>
            </w:pPr>
            <w:r>
              <w:rPr>
                <w:rFonts w:hint="default"/>
                <w:highlight w:val="none"/>
              </w:rPr>
              <w:t>运移距离（m）</w:t>
            </w:r>
          </w:p>
        </w:tc>
        <w:tc>
          <w:tcPr>
            <w:tcW w:w="721" w:type="pct"/>
            <w:tcBorders>
              <w:tl2br w:val="nil"/>
              <w:tr2bl w:val="nil"/>
            </w:tcBorders>
            <w:vAlign w:val="center"/>
          </w:tcPr>
          <w:p w14:paraId="2FBB5CF8">
            <w:pPr>
              <w:pStyle w:val="58"/>
              <w:bidi w:val="0"/>
              <w:rPr>
                <w:rFonts w:hint="default"/>
                <w:highlight w:val="none"/>
              </w:rPr>
            </w:pPr>
            <w:r>
              <w:rPr>
                <w:rFonts w:hint="default"/>
                <w:highlight w:val="none"/>
              </w:rPr>
              <w:t>厂界处是否超标</w:t>
            </w:r>
          </w:p>
        </w:tc>
      </w:tr>
      <w:tr w14:paraId="27BAC1C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764" w:type="pct"/>
            <w:vMerge w:val="restart"/>
            <w:tcBorders>
              <w:tl2br w:val="nil"/>
              <w:tr2bl w:val="nil"/>
            </w:tcBorders>
            <w:vAlign w:val="center"/>
          </w:tcPr>
          <w:p w14:paraId="72534FEF">
            <w:pPr>
              <w:pStyle w:val="58"/>
              <w:bidi w:val="0"/>
              <w:rPr>
                <w:rFonts w:hint="eastAsia" w:eastAsia="宋体"/>
                <w:highlight w:val="none"/>
                <w:lang w:eastAsia="zh-CN"/>
              </w:rPr>
            </w:pPr>
            <w:r>
              <w:rPr>
                <w:rFonts w:hint="eastAsia"/>
                <w:highlight w:val="none"/>
                <w:lang w:val="en-US" w:eastAsia="zh-CN"/>
              </w:rPr>
              <w:t>石油类</w:t>
            </w:r>
          </w:p>
        </w:tc>
        <w:tc>
          <w:tcPr>
            <w:tcW w:w="846" w:type="pct"/>
            <w:tcBorders>
              <w:tl2br w:val="nil"/>
              <w:tr2bl w:val="nil"/>
            </w:tcBorders>
            <w:vAlign w:val="center"/>
          </w:tcPr>
          <w:p w14:paraId="753430AC">
            <w:pPr>
              <w:pStyle w:val="58"/>
              <w:bidi w:val="0"/>
              <w:rPr>
                <w:rFonts w:hint="default"/>
                <w:highlight w:val="none"/>
              </w:rPr>
            </w:pPr>
            <w:r>
              <w:rPr>
                <w:rFonts w:hint="default"/>
                <w:highlight w:val="none"/>
              </w:rPr>
              <w:t>100d</w:t>
            </w:r>
          </w:p>
        </w:tc>
        <w:tc>
          <w:tcPr>
            <w:tcW w:w="897" w:type="pct"/>
            <w:tcBorders>
              <w:tl2br w:val="nil"/>
              <w:tr2bl w:val="nil"/>
            </w:tcBorders>
            <w:vAlign w:val="top"/>
          </w:tcPr>
          <w:p w14:paraId="5C61C7FF">
            <w:pPr>
              <w:pStyle w:val="58"/>
              <w:bidi w:val="0"/>
              <w:rPr>
                <w:rFonts w:hint="default" w:eastAsia="宋体"/>
                <w:highlight w:val="none"/>
                <w:lang w:val="en-US" w:eastAsia="zh-CN"/>
              </w:rPr>
            </w:pPr>
            <w:r>
              <w:rPr>
                <w:rFonts w:hint="eastAsia"/>
                <w:highlight w:val="none"/>
                <w:lang w:val="en-US" w:eastAsia="zh-CN"/>
              </w:rPr>
              <w:t>35</w:t>
            </w:r>
          </w:p>
        </w:tc>
        <w:tc>
          <w:tcPr>
            <w:tcW w:w="884" w:type="pct"/>
            <w:tcBorders>
              <w:tl2br w:val="nil"/>
              <w:tr2bl w:val="nil"/>
            </w:tcBorders>
            <w:vAlign w:val="top"/>
          </w:tcPr>
          <w:p w14:paraId="4CAA8840">
            <w:pPr>
              <w:pStyle w:val="58"/>
              <w:bidi w:val="0"/>
              <w:rPr>
                <w:rFonts w:hint="default"/>
                <w:highlight w:val="none"/>
                <w:lang w:val="en-US" w:eastAsia="zh-CN"/>
              </w:rPr>
            </w:pPr>
            <w:r>
              <w:rPr>
                <w:rFonts w:hint="eastAsia"/>
                <w:highlight w:val="none"/>
                <w:lang w:val="en-US" w:eastAsia="zh-CN"/>
              </w:rPr>
              <w:t>10</w:t>
            </w:r>
          </w:p>
        </w:tc>
        <w:tc>
          <w:tcPr>
            <w:tcW w:w="884" w:type="pct"/>
            <w:tcBorders>
              <w:tl2br w:val="nil"/>
              <w:tr2bl w:val="nil"/>
            </w:tcBorders>
            <w:vAlign w:val="top"/>
          </w:tcPr>
          <w:p w14:paraId="736C65B6">
            <w:pPr>
              <w:pStyle w:val="58"/>
              <w:bidi w:val="0"/>
              <w:rPr>
                <w:rFonts w:hint="default"/>
                <w:highlight w:val="none"/>
                <w:lang w:val="en-US" w:eastAsia="zh-CN"/>
              </w:rPr>
            </w:pPr>
            <w:r>
              <w:rPr>
                <w:rFonts w:hint="eastAsia"/>
                <w:highlight w:val="none"/>
                <w:lang w:val="en-US" w:eastAsia="zh-CN"/>
              </w:rPr>
              <w:t>4</w:t>
            </w:r>
          </w:p>
        </w:tc>
        <w:tc>
          <w:tcPr>
            <w:tcW w:w="721" w:type="pct"/>
            <w:tcBorders>
              <w:tl2br w:val="nil"/>
              <w:tr2bl w:val="nil"/>
            </w:tcBorders>
            <w:vAlign w:val="center"/>
          </w:tcPr>
          <w:p w14:paraId="6AB1B5FB">
            <w:pPr>
              <w:pStyle w:val="58"/>
              <w:bidi w:val="0"/>
              <w:rPr>
                <w:rFonts w:hint="default"/>
                <w:highlight w:val="none"/>
              </w:rPr>
            </w:pPr>
            <w:r>
              <w:rPr>
                <w:rFonts w:hint="default"/>
                <w:highlight w:val="none"/>
              </w:rPr>
              <w:t>否</w:t>
            </w:r>
          </w:p>
        </w:tc>
      </w:tr>
      <w:tr w14:paraId="4820C0F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764" w:type="pct"/>
            <w:vMerge w:val="continue"/>
            <w:tcBorders>
              <w:tl2br w:val="nil"/>
              <w:tr2bl w:val="nil"/>
            </w:tcBorders>
            <w:vAlign w:val="center"/>
          </w:tcPr>
          <w:p w14:paraId="04BF927E">
            <w:pPr>
              <w:pStyle w:val="58"/>
              <w:bidi w:val="0"/>
              <w:rPr>
                <w:rFonts w:hint="default"/>
                <w:highlight w:val="none"/>
              </w:rPr>
            </w:pPr>
          </w:p>
        </w:tc>
        <w:tc>
          <w:tcPr>
            <w:tcW w:w="846" w:type="pct"/>
            <w:tcBorders>
              <w:tl2br w:val="nil"/>
              <w:tr2bl w:val="nil"/>
            </w:tcBorders>
            <w:vAlign w:val="center"/>
          </w:tcPr>
          <w:p w14:paraId="137FEC4A">
            <w:pPr>
              <w:pStyle w:val="58"/>
              <w:bidi w:val="0"/>
              <w:rPr>
                <w:rFonts w:hint="default"/>
                <w:highlight w:val="none"/>
              </w:rPr>
            </w:pPr>
            <w:r>
              <w:rPr>
                <w:rFonts w:hint="default"/>
                <w:highlight w:val="none"/>
              </w:rPr>
              <w:t>1000d</w:t>
            </w:r>
          </w:p>
        </w:tc>
        <w:tc>
          <w:tcPr>
            <w:tcW w:w="897" w:type="pct"/>
            <w:tcBorders>
              <w:tl2br w:val="nil"/>
              <w:tr2bl w:val="nil"/>
            </w:tcBorders>
            <w:vAlign w:val="top"/>
          </w:tcPr>
          <w:p w14:paraId="17DA02CD">
            <w:pPr>
              <w:pStyle w:val="58"/>
              <w:bidi w:val="0"/>
              <w:rPr>
                <w:rFonts w:hint="default" w:eastAsia="宋体"/>
                <w:highlight w:val="none"/>
                <w:lang w:val="en-US" w:eastAsia="zh-CN"/>
              </w:rPr>
            </w:pPr>
            <w:r>
              <w:rPr>
                <w:rFonts w:hint="eastAsia"/>
                <w:highlight w:val="none"/>
                <w:lang w:val="en-US" w:eastAsia="zh-CN"/>
              </w:rPr>
              <w:t>150</w:t>
            </w:r>
          </w:p>
        </w:tc>
        <w:tc>
          <w:tcPr>
            <w:tcW w:w="884" w:type="pct"/>
            <w:tcBorders>
              <w:tl2br w:val="nil"/>
              <w:tr2bl w:val="nil"/>
            </w:tcBorders>
            <w:vAlign w:val="top"/>
          </w:tcPr>
          <w:p w14:paraId="624C2E78">
            <w:pPr>
              <w:pStyle w:val="58"/>
              <w:bidi w:val="0"/>
              <w:rPr>
                <w:rFonts w:hint="default"/>
                <w:highlight w:val="none"/>
                <w:lang w:val="en-US" w:eastAsia="zh-CN"/>
              </w:rPr>
            </w:pPr>
            <w:r>
              <w:rPr>
                <w:rFonts w:hint="eastAsia"/>
                <w:highlight w:val="none"/>
                <w:lang w:val="en-US" w:eastAsia="zh-CN"/>
              </w:rPr>
              <w:t>8</w:t>
            </w:r>
          </w:p>
        </w:tc>
        <w:tc>
          <w:tcPr>
            <w:tcW w:w="884" w:type="pct"/>
            <w:tcBorders>
              <w:tl2br w:val="nil"/>
              <w:tr2bl w:val="nil"/>
            </w:tcBorders>
            <w:vAlign w:val="top"/>
          </w:tcPr>
          <w:p w14:paraId="773778C3">
            <w:pPr>
              <w:pStyle w:val="58"/>
              <w:bidi w:val="0"/>
              <w:rPr>
                <w:rFonts w:hint="default" w:eastAsia="宋体"/>
                <w:highlight w:val="none"/>
                <w:lang w:val="en-US" w:eastAsia="zh-CN"/>
              </w:rPr>
            </w:pPr>
            <w:r>
              <w:rPr>
                <w:rFonts w:hint="eastAsia"/>
                <w:highlight w:val="none"/>
                <w:lang w:val="en-US" w:eastAsia="zh-CN"/>
              </w:rPr>
              <w:t>13</w:t>
            </w:r>
          </w:p>
        </w:tc>
        <w:tc>
          <w:tcPr>
            <w:tcW w:w="721" w:type="pct"/>
            <w:tcBorders>
              <w:tl2br w:val="nil"/>
              <w:tr2bl w:val="nil"/>
            </w:tcBorders>
            <w:vAlign w:val="center"/>
          </w:tcPr>
          <w:p w14:paraId="56E71F40">
            <w:pPr>
              <w:pStyle w:val="58"/>
              <w:bidi w:val="0"/>
              <w:rPr>
                <w:rFonts w:hint="default"/>
                <w:highlight w:val="none"/>
              </w:rPr>
            </w:pPr>
            <w:r>
              <w:rPr>
                <w:rFonts w:hint="default"/>
                <w:highlight w:val="none"/>
              </w:rPr>
              <w:t>否</w:t>
            </w:r>
          </w:p>
        </w:tc>
      </w:tr>
      <w:tr w14:paraId="51A0DA0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764" w:type="pct"/>
            <w:vMerge w:val="continue"/>
            <w:tcBorders>
              <w:tl2br w:val="nil"/>
              <w:tr2bl w:val="nil"/>
            </w:tcBorders>
            <w:vAlign w:val="center"/>
          </w:tcPr>
          <w:p w14:paraId="4AE39F3A">
            <w:pPr>
              <w:pStyle w:val="58"/>
              <w:bidi w:val="0"/>
              <w:rPr>
                <w:rFonts w:hint="default"/>
                <w:highlight w:val="none"/>
              </w:rPr>
            </w:pPr>
          </w:p>
        </w:tc>
        <w:tc>
          <w:tcPr>
            <w:tcW w:w="846" w:type="pct"/>
            <w:tcBorders>
              <w:tl2br w:val="nil"/>
              <w:tr2bl w:val="nil"/>
            </w:tcBorders>
            <w:vAlign w:val="center"/>
          </w:tcPr>
          <w:p w14:paraId="59F56105">
            <w:pPr>
              <w:pStyle w:val="58"/>
              <w:bidi w:val="0"/>
              <w:rPr>
                <w:rFonts w:hint="default"/>
                <w:highlight w:val="none"/>
              </w:rPr>
            </w:pPr>
            <w:r>
              <w:rPr>
                <w:rFonts w:hint="default"/>
                <w:highlight w:val="none"/>
              </w:rPr>
              <w:t>7300d</w:t>
            </w:r>
          </w:p>
        </w:tc>
        <w:tc>
          <w:tcPr>
            <w:tcW w:w="897" w:type="pct"/>
            <w:tcBorders>
              <w:tl2br w:val="nil"/>
              <w:tr2bl w:val="nil"/>
            </w:tcBorders>
            <w:vAlign w:val="top"/>
          </w:tcPr>
          <w:p w14:paraId="785B6508">
            <w:pPr>
              <w:pStyle w:val="58"/>
              <w:bidi w:val="0"/>
              <w:rPr>
                <w:rFonts w:hint="default"/>
                <w:highlight w:val="none"/>
                <w:lang w:val="en-US" w:eastAsia="zh-CN"/>
              </w:rPr>
            </w:pPr>
            <w:r>
              <w:rPr>
                <w:rFonts w:hint="eastAsia"/>
                <w:highlight w:val="none"/>
                <w:lang w:val="en-US" w:eastAsia="zh-CN"/>
              </w:rPr>
              <w:t>420</w:t>
            </w:r>
          </w:p>
        </w:tc>
        <w:tc>
          <w:tcPr>
            <w:tcW w:w="884" w:type="pct"/>
            <w:tcBorders>
              <w:tl2br w:val="nil"/>
              <w:tr2bl w:val="nil"/>
            </w:tcBorders>
            <w:vAlign w:val="top"/>
          </w:tcPr>
          <w:p w14:paraId="0973D927">
            <w:pPr>
              <w:pStyle w:val="58"/>
              <w:bidi w:val="0"/>
              <w:rPr>
                <w:rFonts w:hint="default"/>
                <w:highlight w:val="none"/>
                <w:lang w:val="en-US" w:eastAsia="zh-CN"/>
              </w:rPr>
            </w:pPr>
            <w:r>
              <w:rPr>
                <w:rFonts w:hint="eastAsia"/>
                <w:highlight w:val="none"/>
                <w:lang w:val="en-US" w:eastAsia="zh-CN"/>
              </w:rPr>
              <w:t>0</w:t>
            </w:r>
          </w:p>
        </w:tc>
        <w:tc>
          <w:tcPr>
            <w:tcW w:w="884" w:type="pct"/>
            <w:tcBorders>
              <w:tl2br w:val="nil"/>
              <w:tr2bl w:val="nil"/>
            </w:tcBorders>
            <w:vAlign w:val="top"/>
          </w:tcPr>
          <w:p w14:paraId="3E78689D">
            <w:pPr>
              <w:pStyle w:val="58"/>
              <w:bidi w:val="0"/>
              <w:rPr>
                <w:rFonts w:hint="default"/>
                <w:highlight w:val="none"/>
                <w:lang w:val="en-US" w:eastAsia="zh-CN"/>
              </w:rPr>
            </w:pPr>
            <w:r>
              <w:rPr>
                <w:rFonts w:hint="eastAsia"/>
                <w:highlight w:val="none"/>
                <w:lang w:val="en-US" w:eastAsia="zh-CN"/>
              </w:rPr>
              <w:t>39</w:t>
            </w:r>
          </w:p>
        </w:tc>
        <w:tc>
          <w:tcPr>
            <w:tcW w:w="721" w:type="pct"/>
            <w:tcBorders>
              <w:tl2br w:val="nil"/>
              <w:tr2bl w:val="nil"/>
            </w:tcBorders>
            <w:vAlign w:val="center"/>
          </w:tcPr>
          <w:p w14:paraId="58B94321">
            <w:pPr>
              <w:pStyle w:val="58"/>
              <w:bidi w:val="0"/>
              <w:rPr>
                <w:rFonts w:hint="default"/>
                <w:highlight w:val="none"/>
              </w:rPr>
            </w:pPr>
            <w:r>
              <w:rPr>
                <w:rFonts w:hint="default"/>
                <w:highlight w:val="none"/>
              </w:rPr>
              <w:t>否</w:t>
            </w:r>
          </w:p>
        </w:tc>
      </w:tr>
    </w:tbl>
    <w:p w14:paraId="2E4FF11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highlight w:val="none"/>
        </w:rPr>
      </w:pPr>
    </w:p>
    <w:p w14:paraId="51A63851">
      <w:pPr>
        <w:pStyle w:val="16"/>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highlight w:val="none"/>
          <w:lang w:eastAsia="zh-CN"/>
        </w:rPr>
      </w:pPr>
      <w:r>
        <w:rPr>
          <w:rFonts w:hint="eastAsia" w:eastAsia="宋体"/>
          <w:highlight w:val="none"/>
          <w:lang w:eastAsia="zh-CN"/>
        </w:rPr>
        <w:drawing>
          <wp:inline distT="0" distB="0" distL="114300" distR="114300">
            <wp:extent cx="4427855" cy="3724910"/>
            <wp:effectExtent l="0" t="0" r="10795" b="8890"/>
            <wp:docPr id="8" name="图片 8" descr="173028138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730281381501"/>
                    <pic:cNvPicPr>
                      <a:picLocks noChangeAspect="1"/>
                    </pic:cNvPicPr>
                  </pic:nvPicPr>
                  <pic:blipFill>
                    <a:blip r:embed="rId115"/>
                    <a:srcRect t="357"/>
                    <a:stretch>
                      <a:fillRect/>
                    </a:stretch>
                  </pic:blipFill>
                  <pic:spPr>
                    <a:xfrm>
                      <a:off x="0" y="0"/>
                      <a:ext cx="4427855" cy="3724910"/>
                    </a:xfrm>
                    <a:prstGeom prst="rect">
                      <a:avLst/>
                    </a:prstGeom>
                  </pic:spPr>
                </pic:pic>
              </a:graphicData>
            </a:graphic>
          </wp:inline>
        </w:drawing>
      </w:r>
    </w:p>
    <w:p w14:paraId="21410642">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24"/>
          <w:szCs w:val="24"/>
          <w:highlight w:val="none"/>
          <w:lang w:val="en-US" w:eastAsia="zh-CN"/>
          <w14:textFill>
            <w14:solidFill>
              <w14:schemeClr w14:val="tx1"/>
            </w14:solidFill>
          </w14:textFill>
        </w:rPr>
        <w:t>石油类</w:t>
      </w: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泄漏100d后污染物影响范围图</w:t>
      </w:r>
    </w:p>
    <w:p w14:paraId="0100AE4B">
      <w:pPr>
        <w:pStyle w:val="16"/>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lang w:eastAsia="zh-CN"/>
        </w:rPr>
      </w:pPr>
      <w:r>
        <w:rPr>
          <w:rFonts w:hint="eastAsia" w:eastAsia="宋体"/>
          <w:lang w:eastAsia="zh-CN"/>
        </w:rPr>
        <w:drawing>
          <wp:inline distT="0" distB="0" distL="114300" distR="114300">
            <wp:extent cx="4427855" cy="3772535"/>
            <wp:effectExtent l="0" t="0" r="10795" b="18415"/>
            <wp:docPr id="7" name="图片 7" descr="1730281307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730281307158"/>
                    <pic:cNvPicPr>
                      <a:picLocks noChangeAspect="1"/>
                    </pic:cNvPicPr>
                  </pic:nvPicPr>
                  <pic:blipFill>
                    <a:blip r:embed="rId116"/>
                    <a:stretch>
                      <a:fillRect/>
                    </a:stretch>
                  </pic:blipFill>
                  <pic:spPr>
                    <a:xfrm>
                      <a:off x="0" y="0"/>
                      <a:ext cx="4427855" cy="3772535"/>
                    </a:xfrm>
                    <a:prstGeom prst="rect">
                      <a:avLst/>
                    </a:prstGeom>
                  </pic:spPr>
                </pic:pic>
              </a:graphicData>
            </a:graphic>
          </wp:inline>
        </w:drawing>
      </w:r>
    </w:p>
    <w:p w14:paraId="72F8C032">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24"/>
          <w:szCs w:val="24"/>
          <w:highlight w:val="none"/>
          <w:lang w:val="en-US" w:eastAsia="zh-CN"/>
          <w14:textFill>
            <w14:solidFill>
              <w14:schemeClr w14:val="tx1"/>
            </w14:solidFill>
          </w14:textFill>
        </w:rPr>
        <w:t>石油类</w:t>
      </w: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泄漏1000d后污染物影响范围图</w:t>
      </w:r>
    </w:p>
    <w:p w14:paraId="1DD7C2B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4"/>
          <w:highlight w:val="green"/>
        </w:rPr>
      </w:pPr>
      <w:r>
        <w:rPr>
          <w:rFonts w:hint="default" w:ascii="Times New Roman" w:hAnsi="Times New Roman" w:eastAsia="宋体" w:cs="Times New Roman"/>
          <w:highlight w:val="none"/>
        </w:rPr>
        <w:drawing>
          <wp:inline distT="0" distB="0" distL="114300" distR="114300">
            <wp:extent cx="4427855" cy="3943350"/>
            <wp:effectExtent l="0" t="0" r="10795" b="0"/>
            <wp:docPr id="2" name="图片 2" descr="1730281170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730281170340"/>
                    <pic:cNvPicPr>
                      <a:picLocks noChangeAspect="1"/>
                    </pic:cNvPicPr>
                  </pic:nvPicPr>
                  <pic:blipFill>
                    <a:blip r:embed="rId117"/>
                    <a:stretch>
                      <a:fillRect/>
                    </a:stretch>
                  </pic:blipFill>
                  <pic:spPr>
                    <a:xfrm>
                      <a:off x="0" y="0"/>
                      <a:ext cx="4427855" cy="3943350"/>
                    </a:xfrm>
                    <a:prstGeom prst="rect">
                      <a:avLst/>
                    </a:prstGeom>
                  </pic:spPr>
                </pic:pic>
              </a:graphicData>
            </a:graphic>
          </wp:inline>
        </w:drawing>
      </w:r>
    </w:p>
    <w:p w14:paraId="7FD3662A">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24"/>
          <w:szCs w:val="24"/>
          <w:highlight w:val="none"/>
          <w:lang w:val="en-US" w:eastAsia="zh-CN"/>
          <w14:textFill>
            <w14:solidFill>
              <w14:schemeClr w14:val="tx1"/>
            </w14:solidFill>
          </w14:textFill>
        </w:rPr>
        <w:t>石油类</w:t>
      </w: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泄漏7300d后污染物影响范围图</w:t>
      </w:r>
    </w:p>
    <w:p w14:paraId="346FB51C">
      <w:pPr>
        <w:numPr>
          <w:ilvl w:val="0"/>
          <w:numId w:val="0"/>
        </w:numPr>
        <w:spacing w:line="480" w:lineRule="exact"/>
        <w:ind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由预测结果可知，非正常状况下，</w:t>
      </w:r>
      <w:r>
        <w:rPr>
          <w:rFonts w:hint="eastAsia" w:ascii="Times New Roman" w:hAnsi="Times New Roman" w:eastAsia="宋体" w:cs="Times New Roman"/>
          <w:color w:val="auto"/>
          <w:sz w:val="24"/>
          <w:highlight w:val="none"/>
          <w:lang w:val="en-US" w:eastAsia="zh-CN"/>
        </w:rPr>
        <w:t>石油类</w:t>
      </w:r>
      <w:r>
        <w:rPr>
          <w:rFonts w:hint="default" w:ascii="Times New Roman" w:hAnsi="Times New Roman" w:eastAsia="宋体" w:cs="Times New Roman"/>
          <w:color w:val="auto"/>
          <w:sz w:val="24"/>
          <w:highlight w:val="none"/>
        </w:rPr>
        <w:t>在100d、1000d</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lang w:val="en-US" w:eastAsia="zh-CN"/>
        </w:rPr>
        <w:t>7300d</w:t>
      </w:r>
      <w:r>
        <w:rPr>
          <w:rFonts w:hint="default" w:ascii="Times New Roman" w:hAnsi="Times New Roman" w:eastAsia="宋体" w:cs="Times New Roman"/>
          <w:color w:val="auto"/>
          <w:sz w:val="24"/>
          <w:highlight w:val="none"/>
        </w:rPr>
        <w:t>时对地下水流场下游最大运移距离分别为</w:t>
      </w:r>
      <w:r>
        <w:rPr>
          <w:rFonts w:hint="eastAsia" w:ascii="Times New Roman" w:hAnsi="Times New Roman" w:eastAsia="宋体" w:cs="Times New Roman"/>
          <w:color w:val="auto"/>
          <w:sz w:val="24"/>
          <w:highlight w:val="none"/>
          <w:lang w:val="en-US" w:eastAsia="zh-CN"/>
        </w:rPr>
        <w:t>4</w:t>
      </w:r>
      <w:r>
        <w:rPr>
          <w:rFonts w:hint="default" w:ascii="Times New Roman" w:hAnsi="Times New Roman" w:eastAsia="宋体" w:cs="Times New Roman"/>
          <w:color w:val="auto"/>
          <w:sz w:val="24"/>
          <w:highlight w:val="none"/>
        </w:rPr>
        <w:t>m、1</w:t>
      </w:r>
      <w:r>
        <w:rPr>
          <w:rFonts w:hint="eastAsia" w:ascii="Times New Roman" w:hAnsi="Times New Roman" w:eastAsia="宋体" w:cs="Times New Roman"/>
          <w:color w:val="auto"/>
          <w:sz w:val="24"/>
          <w:highlight w:val="none"/>
          <w:lang w:val="en-US" w:eastAsia="zh-CN"/>
        </w:rPr>
        <w:t>3</w:t>
      </w:r>
      <w:r>
        <w:rPr>
          <w:rFonts w:hint="default" w:ascii="Times New Roman" w:hAnsi="Times New Roman" w:eastAsia="宋体" w:cs="Times New Roman"/>
          <w:color w:val="auto"/>
          <w:sz w:val="24"/>
          <w:highlight w:val="none"/>
        </w:rPr>
        <w:t>m</w:t>
      </w:r>
      <w:r>
        <w:rPr>
          <w:rFonts w:hint="default" w:ascii="Times New Roman" w:hAnsi="Times New Roman" w:eastAsia="宋体" w:cs="Times New Roman"/>
          <w:color w:val="auto"/>
          <w:sz w:val="24"/>
          <w:highlight w:val="none"/>
          <w:lang w:eastAsia="zh-CN"/>
        </w:rPr>
        <w:t>、</w:t>
      </w:r>
      <w:r>
        <w:rPr>
          <w:rFonts w:hint="eastAsia" w:ascii="Times New Roman" w:hAnsi="Times New Roman" w:eastAsia="宋体" w:cs="Times New Roman"/>
          <w:color w:val="auto"/>
          <w:sz w:val="24"/>
          <w:highlight w:val="none"/>
          <w:lang w:val="en-US" w:eastAsia="zh-CN"/>
        </w:rPr>
        <w:t>39</w:t>
      </w:r>
      <w:r>
        <w:rPr>
          <w:rFonts w:hint="default" w:ascii="Times New Roman" w:hAnsi="Times New Roman" w:eastAsia="宋体" w:cs="Times New Roman"/>
          <w:color w:val="auto"/>
          <w:sz w:val="24"/>
          <w:highlight w:val="none"/>
          <w:lang w:val="en-US" w:eastAsia="zh-CN"/>
        </w:rPr>
        <w:t>m</w:t>
      </w:r>
      <w:r>
        <w:rPr>
          <w:rFonts w:hint="default" w:ascii="Times New Roman" w:hAnsi="Times New Roman" w:eastAsia="宋体" w:cs="Times New Roman"/>
          <w:color w:val="auto"/>
          <w:sz w:val="24"/>
          <w:highlight w:val="none"/>
        </w:rPr>
        <w:t>；从超标影响范围分析，最大超标范围为</w:t>
      </w:r>
      <w:r>
        <w:rPr>
          <w:rFonts w:hint="eastAsia" w:ascii="Times New Roman" w:hAnsi="Times New Roman" w:eastAsia="宋体" w:cs="Times New Roman"/>
          <w:color w:val="auto"/>
          <w:sz w:val="24"/>
          <w:highlight w:val="none"/>
          <w:lang w:val="en-US" w:eastAsia="zh-CN"/>
        </w:rPr>
        <w:t>10</w:t>
      </w:r>
      <w:r>
        <w:rPr>
          <w:rFonts w:hint="default" w:ascii="Times New Roman" w:hAnsi="Times New Roman" w:eastAsia="宋体" w:cs="Times New Roman"/>
          <w:color w:val="auto"/>
          <w:sz w:val="24"/>
          <w:highlight w:val="none"/>
        </w:rPr>
        <w:t>m</w:t>
      </w:r>
      <w:r>
        <w:rPr>
          <w:rFonts w:hint="default" w:ascii="Times New Roman" w:hAnsi="Times New Roman" w:eastAsia="宋体" w:cs="Times New Roman"/>
          <w:color w:val="auto"/>
          <w:sz w:val="24"/>
          <w:highlight w:val="none"/>
          <w:vertAlign w:val="superscript"/>
        </w:rPr>
        <w:t>2</w:t>
      </w:r>
      <w:r>
        <w:rPr>
          <w:rFonts w:hint="default" w:ascii="Times New Roman" w:hAnsi="Times New Roman" w:eastAsia="宋体" w:cs="Times New Roman"/>
          <w:color w:val="auto"/>
          <w:sz w:val="24"/>
          <w:highlight w:val="none"/>
        </w:rPr>
        <w:t>；从污染物影响范围分析，</w:t>
      </w:r>
      <w:r>
        <w:rPr>
          <w:rFonts w:hint="eastAsia" w:ascii="Times New Roman" w:hAnsi="Times New Roman" w:eastAsia="宋体" w:cs="Times New Roman"/>
          <w:color w:val="auto"/>
          <w:sz w:val="24"/>
          <w:highlight w:val="none"/>
          <w:lang w:val="en-US" w:eastAsia="zh-CN"/>
        </w:rPr>
        <w:t>石油类</w:t>
      </w:r>
      <w:r>
        <w:rPr>
          <w:rFonts w:hint="default" w:ascii="Times New Roman" w:hAnsi="Times New Roman" w:eastAsia="宋体" w:cs="Times New Roman"/>
          <w:color w:val="auto"/>
          <w:sz w:val="24"/>
          <w:highlight w:val="none"/>
        </w:rPr>
        <w:t>的影响范围局限在厂区内，未出厂界。因此，本项目在非正常状况下</w:t>
      </w:r>
      <w:r>
        <w:rPr>
          <w:rFonts w:hint="eastAsia" w:ascii="Times New Roman" w:hAnsi="Times New Roman" w:eastAsia="宋体" w:cs="Times New Roman"/>
          <w:color w:val="auto"/>
          <w:sz w:val="24"/>
          <w:highlight w:val="none"/>
          <w:lang w:val="en-US" w:eastAsia="zh-CN"/>
        </w:rPr>
        <w:t>石油类</w:t>
      </w:r>
      <w:r>
        <w:rPr>
          <w:rFonts w:hint="default" w:ascii="Times New Roman" w:hAnsi="Times New Roman" w:eastAsia="宋体" w:cs="Times New Roman"/>
          <w:color w:val="auto"/>
          <w:sz w:val="24"/>
          <w:highlight w:val="none"/>
        </w:rPr>
        <w:t>对周边地下水的影响程度有限，仅在厂区内一定范围内产生影响，不会影响</w:t>
      </w:r>
      <w:r>
        <w:rPr>
          <w:rFonts w:hint="default" w:ascii="Times New Roman" w:hAnsi="Times New Roman" w:eastAsia="宋体" w:cs="Times New Roman"/>
          <w:color w:val="auto"/>
          <w:sz w:val="24"/>
          <w:highlight w:val="none"/>
          <w:lang w:val="en-US" w:eastAsia="zh-CN"/>
        </w:rPr>
        <w:t>厂外</w:t>
      </w:r>
      <w:r>
        <w:rPr>
          <w:rFonts w:hint="default" w:ascii="Times New Roman" w:hAnsi="Times New Roman" w:eastAsia="宋体" w:cs="Times New Roman"/>
          <w:color w:val="auto"/>
          <w:sz w:val="24"/>
          <w:highlight w:val="none"/>
        </w:rPr>
        <w:t>地下水。</w:t>
      </w:r>
    </w:p>
    <w:p w14:paraId="5E6FBA91">
      <w:pPr>
        <w:numPr>
          <w:ilvl w:val="0"/>
          <w:numId w:val="0"/>
        </w:numPr>
        <w:spacing w:line="480" w:lineRule="exact"/>
        <w:ind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综上所述，项目污水处理站</w:t>
      </w:r>
      <w:r>
        <w:rPr>
          <w:rFonts w:hint="eastAsia"/>
          <w:highlight w:val="none"/>
          <w:lang w:val="en-US" w:eastAsia="zh-CN"/>
        </w:rPr>
        <w:t>格栅渠及调节池</w:t>
      </w:r>
      <w:r>
        <w:rPr>
          <w:rFonts w:hint="default" w:ascii="Times New Roman" w:hAnsi="Times New Roman" w:eastAsia="宋体" w:cs="Times New Roman"/>
          <w:color w:val="auto"/>
          <w:sz w:val="24"/>
          <w:highlight w:val="none"/>
        </w:rPr>
        <w:t>泄漏后，污染物耗氧量</w:t>
      </w:r>
      <w:r>
        <w:rPr>
          <w:rFonts w:hint="eastAsia" w:cs="Times New Roman"/>
          <w:color w:val="auto"/>
          <w:sz w:val="24"/>
          <w:highlight w:val="none"/>
          <w:lang w:eastAsia="zh-CN"/>
        </w:rPr>
        <w:t>、</w:t>
      </w:r>
      <w:r>
        <w:rPr>
          <w:rFonts w:hint="default" w:ascii="Times New Roman" w:hAnsi="Times New Roman" w:eastAsia="宋体" w:cs="Times New Roman"/>
          <w:color w:val="auto"/>
          <w:sz w:val="24"/>
          <w:highlight w:val="none"/>
        </w:rPr>
        <w:t>氨氮</w:t>
      </w:r>
      <w:r>
        <w:rPr>
          <w:rFonts w:hint="eastAsia" w:cs="Times New Roman"/>
          <w:color w:val="auto"/>
          <w:sz w:val="24"/>
          <w:highlight w:val="none"/>
          <w:lang w:eastAsia="zh-CN"/>
        </w:rPr>
        <w:t>、</w:t>
      </w:r>
      <w:r>
        <w:rPr>
          <w:rFonts w:hint="eastAsia" w:cs="Times New Roman"/>
          <w:color w:val="auto"/>
          <w:sz w:val="24"/>
          <w:highlight w:val="none"/>
          <w:lang w:val="en-US" w:eastAsia="zh-CN"/>
        </w:rPr>
        <w:t>石油类</w:t>
      </w:r>
      <w:r>
        <w:rPr>
          <w:rFonts w:hint="default" w:ascii="Times New Roman" w:hAnsi="Times New Roman" w:eastAsia="宋体" w:cs="Times New Roman"/>
          <w:color w:val="auto"/>
          <w:sz w:val="24"/>
          <w:highlight w:val="none"/>
        </w:rPr>
        <w:t>浓度局部超标，超标影响范围在厂区内，</w:t>
      </w:r>
      <w:r>
        <w:rPr>
          <w:rFonts w:hint="default" w:ascii="Times New Roman" w:hAnsi="Times New Roman" w:eastAsia="宋体" w:cs="Times New Roman"/>
          <w:color w:val="auto"/>
          <w:sz w:val="24"/>
          <w:highlight w:val="none"/>
          <w:lang w:val="en-US" w:eastAsia="zh-CN"/>
        </w:rPr>
        <w:t>影响范围内无敏感点</w:t>
      </w:r>
      <w:r>
        <w:rPr>
          <w:rFonts w:hint="default" w:ascii="Times New Roman" w:hAnsi="Times New Roman" w:eastAsia="宋体" w:cs="Times New Roman"/>
          <w:color w:val="auto"/>
          <w:sz w:val="24"/>
          <w:highlight w:val="none"/>
        </w:rPr>
        <w:t>。本项目在非正常状况发生后，在设定的检漏周期内，及时采取应急措施，对污染源防渗进行修复</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rPr>
        <w:t>截断污染源，并设置有效的地下水监控措施，能使此状况下项目对周边地下水的影响降至最小，以使项目污染物对周边潜水地下水的影响可接受。</w:t>
      </w:r>
    </w:p>
    <w:p w14:paraId="54302DEC">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5.2.3.11地下水环境影响评价</w:t>
      </w:r>
    </w:p>
    <w:p w14:paraId="797E6CC3">
      <w:pPr>
        <w:autoSpaceDE/>
        <w:autoSpaceDN/>
        <w:spacing w:line="480" w:lineRule="exact"/>
        <w:ind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①正常情况下，企业落实严格的防渗措施，采取相应的防渗措施后对地下水的影响很小。</w:t>
      </w:r>
    </w:p>
    <w:p w14:paraId="71A6C41D">
      <w:pPr>
        <w:spacing w:line="480" w:lineRule="exact"/>
        <w:ind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②非正常情况下，污染物泄漏量增加，但只要地面防渗措施不出现问题，对地下水造成污染的风险较低，如果叠加出现防渗层破损情况，则对</w:t>
      </w:r>
      <w:r>
        <w:rPr>
          <w:rFonts w:hint="default" w:ascii="Times New Roman" w:hAnsi="Times New Roman" w:eastAsia="宋体" w:cs="Times New Roman"/>
          <w:color w:val="auto"/>
          <w:sz w:val="24"/>
          <w:highlight w:val="none"/>
          <w:lang w:val="en-US" w:eastAsia="zh-CN"/>
        </w:rPr>
        <w:t>防渗层破损</w:t>
      </w:r>
      <w:r>
        <w:rPr>
          <w:rFonts w:hint="default" w:ascii="Times New Roman" w:hAnsi="Times New Roman" w:eastAsia="宋体" w:cs="Times New Roman"/>
          <w:color w:val="auto"/>
          <w:sz w:val="24"/>
          <w:highlight w:val="none"/>
        </w:rPr>
        <w:t>附近地下水造成影响，污染风险较大。</w:t>
      </w:r>
      <w:r>
        <w:rPr>
          <w:rFonts w:hint="default" w:ascii="Times New Roman" w:hAnsi="Times New Roman" w:eastAsia="宋体" w:cs="Times New Roman"/>
          <w:color w:val="auto"/>
          <w:sz w:val="24"/>
          <w:highlight w:val="none"/>
          <w:lang w:eastAsia="zh-CN"/>
        </w:rPr>
        <w:t>项目污水调节池为地下结构，</w:t>
      </w:r>
      <w:r>
        <w:rPr>
          <w:rFonts w:hint="default" w:ascii="Times New Roman" w:hAnsi="Times New Roman" w:eastAsia="宋体" w:cs="Times New Roman"/>
          <w:color w:val="auto"/>
          <w:sz w:val="24"/>
          <w:highlight w:val="none"/>
          <w:lang w:val="en-US" w:eastAsia="zh-CN"/>
        </w:rPr>
        <w:t>池</w:t>
      </w:r>
      <w:r>
        <w:rPr>
          <w:rFonts w:hint="default" w:ascii="Times New Roman" w:hAnsi="Times New Roman" w:eastAsia="宋体" w:cs="Times New Roman"/>
          <w:color w:val="auto"/>
          <w:sz w:val="24"/>
          <w:highlight w:val="none"/>
        </w:rPr>
        <w:t>体</w:t>
      </w:r>
      <w:r>
        <w:rPr>
          <w:rFonts w:hint="default" w:ascii="Times New Roman" w:hAnsi="Times New Roman" w:eastAsia="宋体" w:cs="Times New Roman"/>
          <w:color w:val="auto"/>
          <w:sz w:val="24"/>
          <w:highlight w:val="none"/>
          <w:lang w:val="en-US" w:eastAsia="zh-CN"/>
        </w:rPr>
        <w:t>进行防腐防渗</w:t>
      </w:r>
      <w:r>
        <w:rPr>
          <w:rFonts w:hint="default" w:ascii="Times New Roman" w:hAnsi="Times New Roman" w:eastAsia="宋体" w:cs="Times New Roman"/>
          <w:color w:val="auto"/>
          <w:sz w:val="24"/>
          <w:highlight w:val="none"/>
        </w:rPr>
        <w:t>；</w:t>
      </w:r>
      <w:r>
        <w:rPr>
          <w:rFonts w:hint="default" w:ascii="Times New Roman" w:hAnsi="Times New Roman" w:eastAsia="宋体" w:cs="Times New Roman"/>
          <w:color w:val="auto"/>
          <w:sz w:val="24"/>
          <w:highlight w:val="none"/>
          <w:lang w:val="en-US" w:eastAsia="zh-CN"/>
        </w:rPr>
        <w:t>使</w:t>
      </w:r>
      <w:r>
        <w:rPr>
          <w:rFonts w:hint="default" w:ascii="Times New Roman" w:hAnsi="Times New Roman" w:eastAsia="宋体" w:cs="Times New Roman"/>
          <w:color w:val="auto"/>
          <w:sz w:val="24"/>
          <w:highlight w:val="none"/>
        </w:rPr>
        <w:t>防渗</w:t>
      </w:r>
      <w:r>
        <w:rPr>
          <w:rFonts w:hint="default" w:ascii="Times New Roman" w:hAnsi="Times New Roman" w:eastAsia="宋体" w:cs="Times New Roman"/>
          <w:color w:val="auto"/>
          <w:sz w:val="24"/>
          <w:highlight w:val="none"/>
          <w:lang w:eastAsia="zh-CN"/>
        </w:rPr>
        <w:t>达到等效黏土防渗层</w:t>
      </w:r>
      <w:r>
        <w:rPr>
          <w:rFonts w:hint="default" w:ascii="Times New Roman" w:hAnsi="Times New Roman" w:eastAsia="宋体" w:cs="Times New Roman"/>
          <w:color w:val="auto"/>
          <w:sz w:val="24"/>
          <w:highlight w:val="none"/>
          <w:lang w:val="en-US" w:eastAsia="zh-CN"/>
        </w:rPr>
        <w:t>Mb≥6m，K≤</w:t>
      </w:r>
      <w:r>
        <w:rPr>
          <w:rFonts w:hint="default" w:ascii="Times New Roman" w:hAnsi="Times New Roman" w:eastAsia="宋体" w:cs="Times New Roman"/>
          <w:color w:val="auto"/>
          <w:sz w:val="24"/>
          <w:highlight w:val="none"/>
        </w:rPr>
        <w:t>1×10</w:t>
      </w:r>
      <w:r>
        <w:rPr>
          <w:rFonts w:hint="default" w:ascii="Times New Roman" w:hAnsi="Times New Roman" w:eastAsia="宋体" w:cs="Times New Roman"/>
          <w:color w:val="auto"/>
          <w:sz w:val="24"/>
          <w:highlight w:val="none"/>
          <w:vertAlign w:val="superscript"/>
        </w:rPr>
        <w:t>-</w:t>
      </w:r>
      <w:r>
        <w:rPr>
          <w:rFonts w:hint="default" w:ascii="Times New Roman" w:hAnsi="Times New Roman" w:eastAsia="宋体" w:cs="Times New Roman"/>
          <w:color w:val="auto"/>
          <w:sz w:val="24"/>
          <w:highlight w:val="none"/>
          <w:vertAlign w:val="superscript"/>
          <w:lang w:val="en-US" w:eastAsia="zh-CN"/>
        </w:rPr>
        <w:t>7</w:t>
      </w:r>
      <w:r>
        <w:rPr>
          <w:rFonts w:hint="default" w:ascii="Times New Roman" w:hAnsi="Times New Roman" w:eastAsia="宋体" w:cs="Times New Roman"/>
          <w:color w:val="auto"/>
          <w:sz w:val="24"/>
          <w:highlight w:val="none"/>
        </w:rPr>
        <w:t>cm/s</w:t>
      </w:r>
      <w:r>
        <w:rPr>
          <w:rFonts w:hint="default" w:ascii="Times New Roman" w:hAnsi="Times New Roman" w:eastAsia="宋体" w:cs="Times New Roman"/>
          <w:color w:val="auto"/>
          <w:sz w:val="24"/>
          <w:highlight w:val="none"/>
          <w:lang w:eastAsia="zh-CN"/>
        </w:rPr>
        <w:t>的效果</w:t>
      </w:r>
      <w:r>
        <w:rPr>
          <w:rFonts w:hint="default" w:ascii="Times New Roman" w:hAnsi="Times New Roman" w:eastAsia="宋体" w:cs="Times New Roman"/>
          <w:color w:val="auto"/>
          <w:sz w:val="24"/>
          <w:highlight w:val="none"/>
        </w:rPr>
        <w:t>。</w:t>
      </w:r>
      <w:r>
        <w:rPr>
          <w:rFonts w:hint="default" w:ascii="Times New Roman" w:hAnsi="Times New Roman" w:eastAsia="宋体" w:cs="Times New Roman"/>
          <w:color w:val="auto"/>
          <w:sz w:val="24"/>
          <w:highlight w:val="none"/>
          <w:lang w:val="en-US" w:eastAsia="zh-CN"/>
        </w:rPr>
        <w:t>根据《重点监管单位土壤污染隐患排查指南（试行）》，建设单位每年需开展地下池体防渗效果检查、确保正常运行，</w:t>
      </w:r>
      <w:r>
        <w:rPr>
          <w:rFonts w:hint="default" w:ascii="Times New Roman" w:hAnsi="Times New Roman" w:eastAsia="宋体" w:cs="Times New Roman"/>
          <w:color w:val="auto"/>
          <w:sz w:val="24"/>
          <w:highlight w:val="none"/>
        </w:rPr>
        <w:t>可以控制污染的程度，污染风险降低。叠加出现</w:t>
      </w:r>
      <w:r>
        <w:rPr>
          <w:rFonts w:hint="default" w:ascii="Times New Roman" w:hAnsi="Times New Roman" w:eastAsia="宋体" w:cs="Times New Roman"/>
          <w:color w:val="auto"/>
          <w:sz w:val="24"/>
          <w:highlight w:val="none"/>
          <w:lang w:val="en-US" w:eastAsia="zh-CN"/>
        </w:rPr>
        <w:t>沉淀池废水</w:t>
      </w:r>
      <w:r>
        <w:rPr>
          <w:rFonts w:hint="default" w:ascii="Times New Roman" w:hAnsi="Times New Roman" w:eastAsia="宋体" w:cs="Times New Roman"/>
          <w:color w:val="auto"/>
          <w:sz w:val="24"/>
          <w:highlight w:val="none"/>
        </w:rPr>
        <w:t>渗漏和防渗层破损事故的发生机率极低。</w:t>
      </w:r>
    </w:p>
    <w:p w14:paraId="50D50605">
      <w:pPr>
        <w:autoSpaceDE/>
        <w:autoSpaceDN/>
        <w:spacing w:line="480" w:lineRule="exact"/>
        <w:ind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③本区地下水水力梯度整体比较小，污染物迁移较慢。</w:t>
      </w:r>
    </w:p>
    <w:p w14:paraId="3B1BCEC8">
      <w:pPr>
        <w:autoSpaceDE/>
        <w:autoSpaceDN/>
        <w:spacing w:line="480" w:lineRule="exact"/>
        <w:ind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④由于评价区内浅层水无开发利用价值，民用水源井均取自深层地下水，且各含水层之间存在稳定的隔水层，所以企业建设与运行中即使有污水管道破裂造成污水泄露，</w:t>
      </w:r>
      <w:r>
        <w:rPr>
          <w:rFonts w:hint="default" w:ascii="Times New Roman" w:hAnsi="Times New Roman" w:eastAsia="宋体" w:cs="Times New Roman"/>
          <w:color w:val="auto"/>
          <w:sz w:val="24"/>
          <w:highlight w:val="none"/>
          <w:lang w:eastAsia="zh-CN"/>
        </w:rPr>
        <w:t>也不会</w:t>
      </w:r>
      <w:r>
        <w:rPr>
          <w:rFonts w:hint="default" w:ascii="Times New Roman" w:hAnsi="Times New Roman" w:eastAsia="宋体" w:cs="Times New Roman"/>
          <w:color w:val="auto"/>
          <w:sz w:val="24"/>
          <w:highlight w:val="none"/>
        </w:rPr>
        <w:t>对居民饮用水源</w:t>
      </w:r>
      <w:r>
        <w:rPr>
          <w:rFonts w:hint="default" w:ascii="Times New Roman" w:hAnsi="Times New Roman" w:eastAsia="宋体" w:cs="Times New Roman"/>
          <w:color w:val="auto"/>
          <w:sz w:val="24"/>
          <w:highlight w:val="none"/>
          <w:lang w:eastAsia="zh-CN"/>
        </w:rPr>
        <w:t>造成</w:t>
      </w:r>
      <w:r>
        <w:rPr>
          <w:rFonts w:hint="default" w:ascii="Times New Roman" w:hAnsi="Times New Roman" w:eastAsia="宋体" w:cs="Times New Roman"/>
          <w:color w:val="auto"/>
          <w:sz w:val="24"/>
          <w:highlight w:val="none"/>
        </w:rPr>
        <w:t>影响。</w:t>
      </w:r>
    </w:p>
    <w:p w14:paraId="05271871">
      <w:pPr>
        <w:autoSpaceDE/>
        <w:autoSpaceDN/>
        <w:spacing w:line="480" w:lineRule="exact"/>
        <w:ind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⑤当发生污染物泄漏事故后，必须立即启动应急预案，参照预测结果，分析污染事故的发展趋势，并提出下一步预防和防治措施，迅速控制或切断事件灾害链，对污水进行封闭、截流，抽出污水送污水处理场集中处理，使污染地下水扩散得到有效抑制，最大限度地保护下游地下水水质安全，将损失降到最低限度。</w:t>
      </w:r>
    </w:p>
    <w:p w14:paraId="07EF721F">
      <w:pPr>
        <w:autoSpaceDE/>
        <w:autoSpaceDN/>
        <w:spacing w:line="480" w:lineRule="exact"/>
        <w:ind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综上所述，在严格落实防渗措施的条件下，建设项目对地下水环境影响风险较小，综合考虑项目区的水文地质条件、地下水保护目标等因素，从水文地质角度分析，该项目选址可行。</w:t>
      </w:r>
    </w:p>
    <w:p w14:paraId="07B08BDB">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5.2.3.12地下水环境保护措施及对策</w:t>
      </w:r>
    </w:p>
    <w:p w14:paraId="699D1F41">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为有效防止本工程废水跑、冒、滴、漏对厂区地下水造成不利影响，本评价要求建设单位采取如下防渗措施：</w:t>
      </w:r>
    </w:p>
    <w:p w14:paraId="3B9E2442">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⑴地下水污染防治原则</w:t>
      </w:r>
    </w:p>
    <w:p w14:paraId="56054A88">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地下水污染防治措施坚持</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rPr>
        <w:t>源头控制、分区防治、污染监控、应急响应</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rPr>
        <w:t>相结合的原则。拟建项目厂区防控原则如下：</w:t>
      </w:r>
    </w:p>
    <w:p w14:paraId="2AB3AEE3">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①源头控制，主要包括在工艺、管道、设备、储存及处理构筑物采取相应措施，将污染物泄漏的环境风险事故降到最低程度；</w:t>
      </w:r>
    </w:p>
    <w:p w14:paraId="7829CB4F">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rPr>
        <w:t>②</w:t>
      </w:r>
      <w:r>
        <w:rPr>
          <w:rFonts w:hint="default" w:ascii="Times New Roman" w:hAnsi="Times New Roman" w:eastAsia="宋体" w:cs="Times New Roman"/>
          <w:color w:val="auto"/>
          <w:sz w:val="24"/>
          <w:highlight w:val="none"/>
          <w:lang w:val="en-US" w:eastAsia="zh-CN"/>
        </w:rPr>
        <w:t>污水调节池检查：每个月对污水调节池进行检查维护，防止防渗层泄漏，污染地下水，及时发现及时处理。</w:t>
      </w:r>
    </w:p>
    <w:p w14:paraId="0118FADA">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③</w:t>
      </w:r>
      <w:r>
        <w:rPr>
          <w:rFonts w:hint="default" w:ascii="Times New Roman" w:hAnsi="Times New Roman" w:eastAsia="宋体" w:cs="Times New Roman"/>
          <w:color w:val="auto"/>
          <w:sz w:val="24"/>
          <w:highlight w:val="none"/>
          <w:lang w:val="en-US" w:eastAsia="zh-CN"/>
        </w:rPr>
        <w:t>防扩散措施，</w:t>
      </w:r>
      <w:r>
        <w:rPr>
          <w:rFonts w:hint="default" w:ascii="Times New Roman" w:hAnsi="Times New Roman" w:eastAsia="宋体" w:cs="Times New Roman"/>
          <w:color w:val="auto"/>
          <w:sz w:val="24"/>
          <w:highlight w:val="none"/>
        </w:rPr>
        <w:t>主要包括厂内污染区地面的防渗措施和泄漏、渗漏污染物收集措施，按污染物渗漏的可能性严格划分为污染区和非污染区；</w:t>
      </w:r>
    </w:p>
    <w:p w14:paraId="5CFCB9EA">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④</w:t>
      </w:r>
      <w:r>
        <w:rPr>
          <w:rFonts w:hint="default" w:ascii="Times New Roman" w:hAnsi="Times New Roman" w:eastAsia="宋体" w:cs="Times New Roman"/>
          <w:color w:val="auto"/>
          <w:sz w:val="24"/>
          <w:highlight w:val="none"/>
          <w:lang w:val="en-US" w:eastAsia="zh-CN"/>
        </w:rPr>
        <w:t>分区防渗措施，</w:t>
      </w:r>
      <w:r>
        <w:rPr>
          <w:rFonts w:hint="default" w:ascii="Times New Roman" w:hAnsi="Times New Roman" w:eastAsia="宋体" w:cs="Times New Roman"/>
          <w:color w:val="auto"/>
          <w:sz w:val="24"/>
          <w:highlight w:val="none"/>
        </w:rPr>
        <w:t>污染区应根据可能</w:t>
      </w:r>
      <w:r>
        <w:rPr>
          <w:rFonts w:hint="default" w:ascii="Times New Roman" w:hAnsi="Times New Roman" w:eastAsia="宋体" w:cs="Times New Roman"/>
          <w:color w:val="auto"/>
          <w:sz w:val="24"/>
          <w:highlight w:val="none"/>
          <w:lang w:eastAsia="zh-CN"/>
        </w:rPr>
        <w:t>泄漏</w:t>
      </w:r>
      <w:r>
        <w:rPr>
          <w:rFonts w:hint="default" w:ascii="Times New Roman" w:hAnsi="Times New Roman" w:eastAsia="宋体" w:cs="Times New Roman"/>
          <w:color w:val="auto"/>
          <w:sz w:val="24"/>
          <w:highlight w:val="none"/>
        </w:rPr>
        <w:t>污染物的性质划分为</w:t>
      </w:r>
      <w:r>
        <w:rPr>
          <w:rFonts w:hint="default" w:ascii="Times New Roman" w:hAnsi="Times New Roman" w:eastAsia="宋体" w:cs="Times New Roman"/>
          <w:color w:val="auto"/>
          <w:sz w:val="24"/>
          <w:highlight w:val="none"/>
          <w:lang w:eastAsia="zh-CN"/>
        </w:rPr>
        <w:t>简单防渗区</w:t>
      </w:r>
      <w:r>
        <w:rPr>
          <w:rFonts w:hint="default" w:ascii="Times New Roman" w:hAnsi="Times New Roman" w:eastAsia="宋体" w:cs="Times New Roman"/>
          <w:color w:val="auto"/>
          <w:sz w:val="24"/>
          <w:highlight w:val="none"/>
        </w:rPr>
        <w:t>、一般</w:t>
      </w:r>
      <w:r>
        <w:rPr>
          <w:rFonts w:hint="default" w:ascii="Times New Roman" w:hAnsi="Times New Roman" w:eastAsia="宋体" w:cs="Times New Roman"/>
          <w:color w:val="auto"/>
          <w:sz w:val="24"/>
          <w:highlight w:val="none"/>
          <w:lang w:eastAsia="zh-CN"/>
        </w:rPr>
        <w:t>防渗区</w:t>
      </w:r>
      <w:r>
        <w:rPr>
          <w:rFonts w:hint="default" w:ascii="Times New Roman" w:hAnsi="Times New Roman" w:eastAsia="宋体" w:cs="Times New Roman"/>
          <w:color w:val="auto"/>
          <w:sz w:val="24"/>
          <w:highlight w:val="none"/>
        </w:rPr>
        <w:t>和重点</w:t>
      </w:r>
      <w:r>
        <w:rPr>
          <w:rFonts w:hint="default" w:ascii="Times New Roman" w:hAnsi="Times New Roman" w:eastAsia="宋体" w:cs="Times New Roman"/>
          <w:color w:val="auto"/>
          <w:sz w:val="24"/>
          <w:highlight w:val="none"/>
          <w:lang w:eastAsia="zh-CN"/>
        </w:rPr>
        <w:t>防渗区</w:t>
      </w:r>
      <w:r>
        <w:rPr>
          <w:rFonts w:hint="default" w:ascii="Times New Roman" w:hAnsi="Times New Roman" w:eastAsia="宋体" w:cs="Times New Roman"/>
          <w:color w:val="auto"/>
          <w:sz w:val="24"/>
          <w:highlight w:val="none"/>
        </w:rPr>
        <w:t>；</w:t>
      </w:r>
    </w:p>
    <w:p w14:paraId="6C368617">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⑤实施覆盖生产区的地下水污染监控系统，包括建立完善的监测制度、配备先进的检测仪器和设备、科学、合理设置地下水污染监控井，及时发现污染、及时控制；</w:t>
      </w:r>
    </w:p>
    <w:p w14:paraId="1FB35F18">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⑥应急响应措施，包括一旦发现地下水污染事故，立即启动应急预案、采取应急措施控制地下水污染，并使污染得到治理。</w:t>
      </w:r>
    </w:p>
    <w:p w14:paraId="42538926">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lang w:val="en-US" w:eastAsia="zh-CN"/>
        </w:rPr>
        <w:t>⑵</w:t>
      </w:r>
      <w:r>
        <w:rPr>
          <w:rFonts w:hint="default" w:ascii="Times New Roman" w:hAnsi="Times New Roman" w:eastAsia="宋体" w:cs="Times New Roman"/>
          <w:color w:val="auto"/>
          <w:sz w:val="24"/>
          <w:highlight w:val="none"/>
        </w:rPr>
        <w:t>地下水污染防治措施</w:t>
      </w:r>
    </w:p>
    <w:p w14:paraId="10BF608A">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eastAsia="zh-CN"/>
        </w:rPr>
        <w:t>本项目采取分区防腐防渗的方式防腐防渗，将污染防治区划分为重点防渗区、一般防渗区和简单防渗区。</w:t>
      </w:r>
    </w:p>
    <w:p w14:paraId="5926C6A7">
      <w:pPr>
        <w:spacing w:line="480" w:lineRule="exact"/>
        <w:ind w:firstLine="480" w:firstLineChars="200"/>
        <w:rPr>
          <w:rFonts w:hint="default" w:ascii="Times New Roman" w:hAnsi="Times New Roman" w:eastAsia="宋体" w:cs="Times New Roman"/>
          <w:color w:val="auto"/>
          <w:sz w:val="24"/>
          <w:highlight w:val="none"/>
          <w:lang w:eastAsia="zh-CN"/>
        </w:rPr>
      </w:pPr>
      <w:r>
        <w:rPr>
          <w:rFonts w:hint="default" w:ascii="Times New Roman" w:hAnsi="Times New Roman" w:eastAsia="宋体" w:cs="Times New Roman"/>
          <w:color w:val="auto"/>
          <w:sz w:val="24"/>
          <w:highlight w:val="none"/>
          <w:lang w:eastAsia="zh-CN"/>
        </w:rPr>
        <w:t>各区域具体防腐防渗施工方案见工程分析中“</w:t>
      </w:r>
      <w:r>
        <w:rPr>
          <w:rFonts w:hint="default" w:ascii="Times New Roman" w:hAnsi="Times New Roman" w:eastAsia="宋体" w:cs="Times New Roman"/>
          <w:color w:val="auto"/>
          <w:sz w:val="24"/>
          <w:highlight w:val="none"/>
          <w:lang w:val="en-US" w:eastAsia="zh-CN"/>
        </w:rPr>
        <w:t>3.</w:t>
      </w:r>
      <w:r>
        <w:rPr>
          <w:rFonts w:hint="eastAsia" w:ascii="Times New Roman" w:hAnsi="Times New Roman" w:eastAsia="宋体" w:cs="Times New Roman"/>
          <w:color w:val="auto"/>
          <w:sz w:val="24"/>
          <w:highlight w:val="none"/>
          <w:lang w:val="en-US" w:eastAsia="zh-CN"/>
        </w:rPr>
        <w:t>3.5</w:t>
      </w:r>
      <w:r>
        <w:rPr>
          <w:rFonts w:hint="default" w:ascii="Times New Roman" w:hAnsi="Times New Roman" w:eastAsia="宋体" w:cs="Times New Roman"/>
          <w:color w:val="auto"/>
          <w:sz w:val="24"/>
          <w:highlight w:val="none"/>
          <w:lang w:val="en-US" w:eastAsia="zh-CN"/>
        </w:rPr>
        <w:t>防腐防渗”</w:t>
      </w:r>
      <w:r>
        <w:rPr>
          <w:rFonts w:hint="default" w:ascii="Times New Roman" w:hAnsi="Times New Roman" w:eastAsia="宋体" w:cs="Times New Roman"/>
          <w:color w:val="auto"/>
          <w:sz w:val="24"/>
          <w:highlight w:val="none"/>
          <w:lang w:eastAsia="zh-CN"/>
        </w:rPr>
        <w:t>。</w:t>
      </w:r>
    </w:p>
    <w:p w14:paraId="40490A46">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5.2.3.13地下水监控系统</w:t>
      </w:r>
    </w:p>
    <w:p w14:paraId="18697736">
      <w:pPr>
        <w:widowControl/>
        <w:adjustRightInd w:val="0"/>
        <w:spacing w:line="480" w:lineRule="exact"/>
        <w:ind w:firstLine="480" w:firstLineChars="200"/>
        <w:rPr>
          <w:rFonts w:hint="default" w:ascii="Times New Roman" w:hAnsi="Times New Roman" w:eastAsia="宋体" w:cs="Times New Roman"/>
          <w:bCs/>
          <w:color w:val="auto"/>
          <w:sz w:val="24"/>
          <w:highlight w:val="none"/>
          <w:lang w:eastAsia="zh-CN"/>
        </w:rPr>
      </w:pPr>
      <w:r>
        <w:rPr>
          <w:rFonts w:hint="default" w:ascii="Times New Roman" w:hAnsi="Times New Roman" w:eastAsia="宋体" w:cs="Times New Roman"/>
          <w:color w:val="auto"/>
          <w:sz w:val="24"/>
          <w:highlight w:val="none"/>
        </w:rPr>
        <w:t>项目地下水环境监测应参考《地下水环境监测技术规范》（HJ164-20</w:t>
      </w:r>
      <w:r>
        <w:rPr>
          <w:rFonts w:hint="default" w:ascii="Times New Roman" w:hAnsi="Times New Roman" w:eastAsia="宋体" w:cs="Times New Roman"/>
          <w:color w:val="auto"/>
          <w:sz w:val="24"/>
          <w:highlight w:val="none"/>
          <w:lang w:val="en-US" w:eastAsia="zh-CN"/>
        </w:rPr>
        <w:t>20</w:t>
      </w:r>
      <w:r>
        <w:rPr>
          <w:rFonts w:hint="default" w:ascii="Times New Roman" w:hAnsi="Times New Roman" w:eastAsia="宋体" w:cs="Times New Roman"/>
          <w:color w:val="auto"/>
          <w:sz w:val="24"/>
          <w:highlight w:val="none"/>
        </w:rPr>
        <w:t>）等地下水监测的规范标准，结合项目本身含水层系统和地下水径流系统特征，考虑潜在污染源、环境保护目标等因素，布置地下水监测点，建立地下水污染监控体系</w:t>
      </w:r>
      <w:r>
        <w:rPr>
          <w:rFonts w:hint="default" w:ascii="Times New Roman" w:hAnsi="Times New Roman" w:eastAsia="宋体" w:cs="Times New Roman"/>
          <w:color w:val="auto"/>
          <w:sz w:val="24"/>
          <w:highlight w:val="none"/>
          <w:lang w:eastAsia="zh-CN"/>
        </w:rPr>
        <w:t>。</w:t>
      </w:r>
    </w:p>
    <w:p w14:paraId="5A8840F1">
      <w:pPr>
        <w:spacing w:line="480" w:lineRule="exact"/>
        <w:ind w:firstLine="480" w:firstLineChars="200"/>
        <w:rPr>
          <w:rFonts w:hint="default" w:ascii="Times New Roman" w:hAnsi="Times New Roman" w:eastAsia="宋体" w:cs="Times New Roman"/>
          <w:bCs/>
          <w:color w:val="auto"/>
          <w:sz w:val="24"/>
          <w:highlight w:val="none"/>
          <w:lang w:eastAsia="zh-CN"/>
        </w:rPr>
      </w:pP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lang w:val="en-US" w:eastAsia="zh-CN"/>
        </w:rPr>
        <w:t>1</w:t>
      </w:r>
      <w:r>
        <w:rPr>
          <w:rFonts w:hint="default" w:ascii="Times New Roman" w:hAnsi="Times New Roman" w:eastAsia="宋体" w:cs="Times New Roman"/>
          <w:color w:val="auto"/>
          <w:sz w:val="24"/>
          <w:highlight w:val="none"/>
          <w:lang w:eastAsia="zh-CN"/>
        </w:rPr>
        <w:t>）污染物监测</w:t>
      </w:r>
    </w:p>
    <w:p w14:paraId="02BEF32B">
      <w:pPr>
        <w:spacing w:line="480" w:lineRule="exact"/>
        <w:ind w:firstLine="480" w:firstLineChars="200"/>
        <w:rPr>
          <w:rFonts w:hint="default" w:ascii="Times New Roman" w:hAnsi="Times New Roman" w:eastAsia="宋体" w:cs="Times New Roman"/>
          <w:bCs/>
          <w:color w:val="auto"/>
          <w:sz w:val="24"/>
          <w:highlight w:val="none"/>
          <w:lang w:val="en-US" w:eastAsia="zh-CN"/>
        </w:rPr>
      </w:pPr>
      <w:r>
        <w:rPr>
          <w:rFonts w:hint="default" w:ascii="Times New Roman" w:hAnsi="Times New Roman" w:eastAsia="宋体" w:cs="Times New Roman"/>
          <w:bCs/>
          <w:color w:val="auto"/>
          <w:sz w:val="24"/>
          <w:highlight w:val="none"/>
        </w:rPr>
        <w:t>①</w:t>
      </w:r>
      <w:r>
        <w:rPr>
          <w:rFonts w:hint="default" w:ascii="Times New Roman" w:hAnsi="Times New Roman" w:eastAsia="宋体" w:cs="Times New Roman"/>
          <w:bCs/>
          <w:color w:val="auto"/>
          <w:sz w:val="24"/>
          <w:highlight w:val="none"/>
          <w:lang w:val="en-US" w:eastAsia="zh-CN"/>
        </w:rPr>
        <w:t>监测布点</w:t>
      </w:r>
    </w:p>
    <w:p w14:paraId="17FBB144">
      <w:pPr>
        <w:spacing w:line="480" w:lineRule="exact"/>
        <w:ind w:firstLine="480" w:firstLineChars="200"/>
        <w:rPr>
          <w:rFonts w:hint="default" w:ascii="Times New Roman" w:hAnsi="Times New Roman" w:eastAsia="宋体" w:cs="Times New Roman"/>
          <w:color w:val="auto"/>
          <w:kern w:val="0"/>
          <w:sz w:val="24"/>
          <w:szCs w:val="24"/>
          <w:highlight w:val="none"/>
        </w:rPr>
      </w:pPr>
      <w:r>
        <w:rPr>
          <w:rFonts w:hint="default" w:ascii="Times New Roman" w:hAnsi="Times New Roman" w:eastAsia="宋体" w:cs="Times New Roman"/>
          <w:bCs/>
          <w:color w:val="auto"/>
          <w:sz w:val="24"/>
          <w:highlight w:val="none"/>
        </w:rPr>
        <w:t>根据实际情况，并根据《地下水环境监测技术规范》</w:t>
      </w:r>
      <w:r>
        <w:rPr>
          <w:rFonts w:hint="default" w:ascii="Times New Roman" w:hAnsi="Times New Roman" w:eastAsia="宋体" w:cs="Times New Roman"/>
          <w:color w:val="auto"/>
          <w:sz w:val="24"/>
          <w:highlight w:val="none"/>
        </w:rPr>
        <w:t>（HJ164-20</w:t>
      </w:r>
      <w:r>
        <w:rPr>
          <w:rFonts w:hint="default" w:ascii="Times New Roman" w:hAnsi="Times New Roman" w:eastAsia="宋体" w:cs="Times New Roman"/>
          <w:color w:val="auto"/>
          <w:sz w:val="24"/>
          <w:highlight w:val="none"/>
          <w:lang w:val="en-US" w:eastAsia="zh-CN"/>
        </w:rPr>
        <w:t>20</w:t>
      </w:r>
      <w:r>
        <w:rPr>
          <w:rFonts w:hint="default" w:ascii="Times New Roman" w:hAnsi="Times New Roman" w:eastAsia="宋体" w:cs="Times New Roman"/>
          <w:color w:val="auto"/>
          <w:sz w:val="24"/>
          <w:highlight w:val="none"/>
        </w:rPr>
        <w:t>）</w:t>
      </w:r>
      <w:r>
        <w:rPr>
          <w:rFonts w:hint="default" w:ascii="Times New Roman" w:hAnsi="Times New Roman" w:eastAsia="宋体" w:cs="Times New Roman"/>
          <w:bCs/>
          <w:color w:val="auto"/>
          <w:sz w:val="24"/>
          <w:highlight w:val="none"/>
        </w:rPr>
        <w:t>的要求及地下水布设原则，合理增加地下水监测井，拟建项目共设置</w:t>
      </w:r>
      <w:r>
        <w:rPr>
          <w:rFonts w:hint="default" w:ascii="Times New Roman" w:hAnsi="Times New Roman" w:eastAsia="宋体" w:cs="Times New Roman"/>
          <w:bCs/>
          <w:color w:val="auto"/>
          <w:sz w:val="24"/>
          <w:highlight w:val="none"/>
          <w:lang w:val="en-US" w:eastAsia="zh-CN"/>
        </w:rPr>
        <w:t>3眼</w:t>
      </w:r>
      <w:r>
        <w:rPr>
          <w:rFonts w:hint="default" w:ascii="Times New Roman" w:hAnsi="Times New Roman" w:eastAsia="宋体" w:cs="Times New Roman"/>
          <w:bCs/>
          <w:color w:val="auto"/>
          <w:sz w:val="24"/>
          <w:highlight w:val="none"/>
        </w:rPr>
        <w:t>地下水监测井</w:t>
      </w:r>
      <w:r>
        <w:rPr>
          <w:rFonts w:hint="default" w:ascii="Times New Roman" w:hAnsi="Times New Roman" w:eastAsia="宋体" w:cs="Times New Roman"/>
          <w:bCs/>
          <w:color w:val="auto"/>
          <w:sz w:val="24"/>
          <w:highlight w:val="none"/>
          <w:lang w:eastAsia="zh-CN"/>
        </w:rPr>
        <w:t>，</w:t>
      </w:r>
      <w:r>
        <w:rPr>
          <w:rFonts w:hint="default" w:ascii="Times New Roman" w:hAnsi="Times New Roman" w:eastAsia="宋体" w:cs="Times New Roman"/>
          <w:color w:val="auto"/>
          <w:kern w:val="0"/>
          <w:sz w:val="24"/>
          <w:szCs w:val="24"/>
          <w:highlight w:val="none"/>
        </w:rPr>
        <w:t>随时掌握地下水水质变化趋势。为避免污染物随孔壁渗入地下，建议成井时水泥封孔。</w:t>
      </w:r>
    </w:p>
    <w:p w14:paraId="16762356">
      <w:pPr>
        <w:keepNext w:val="0"/>
        <w:keepLines w:val="0"/>
        <w:pageBreakBefore w:val="0"/>
        <w:kinsoku/>
        <w:wordWrap/>
        <w:overflowPunct/>
        <w:topLinePunct w:val="0"/>
        <w:autoSpaceDE w:val="0"/>
        <w:autoSpaceDN w:val="0"/>
        <w:bidi w:val="0"/>
        <w:adjustRightInd/>
        <w:snapToGrid/>
        <w:spacing w:line="480" w:lineRule="exact"/>
        <w:ind w:left="0" w:leftChars="0" w:right="0" w:rightChars="0" w:firstLine="480" w:firstLineChars="200"/>
        <w:jc w:val="both"/>
        <w:textAlignment w:val="auto"/>
        <w:outlineLvl w:val="9"/>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A.</w:t>
      </w:r>
      <w:r>
        <w:rPr>
          <w:rFonts w:hint="default" w:ascii="Times New Roman" w:hAnsi="Times New Roman" w:eastAsia="宋体" w:cs="Times New Roman"/>
          <w:color w:val="auto"/>
          <w:sz w:val="24"/>
          <w:szCs w:val="24"/>
          <w:highlight w:val="none"/>
          <w:lang w:eastAsia="zh-CN"/>
        </w:rPr>
        <w:t>项目</w:t>
      </w:r>
      <w:r>
        <w:rPr>
          <w:rFonts w:hint="default" w:ascii="Times New Roman" w:hAnsi="Times New Roman" w:eastAsia="宋体" w:cs="Times New Roman"/>
          <w:color w:val="auto"/>
          <w:sz w:val="24"/>
          <w:szCs w:val="24"/>
          <w:highlight w:val="none"/>
        </w:rPr>
        <w:t>区上游布</w:t>
      </w:r>
      <w:r>
        <w:rPr>
          <w:rFonts w:hint="default" w:ascii="Times New Roman" w:hAnsi="Times New Roman" w:eastAsia="宋体" w:cs="Times New Roman"/>
          <w:color w:val="auto"/>
          <w:sz w:val="24"/>
          <w:szCs w:val="24"/>
          <w:highlight w:val="none"/>
          <w:lang w:val="en-US" w:eastAsia="zh-CN"/>
        </w:rPr>
        <w:t>设1眼浅层</w:t>
      </w:r>
      <w:r>
        <w:rPr>
          <w:rFonts w:hint="default" w:ascii="Times New Roman" w:hAnsi="Times New Roman" w:eastAsia="宋体" w:cs="Times New Roman"/>
          <w:color w:val="auto"/>
          <w:sz w:val="24"/>
          <w:szCs w:val="24"/>
          <w:highlight w:val="none"/>
        </w:rPr>
        <w:t>监测井，用于检测地下水上游背景值。</w:t>
      </w:r>
    </w:p>
    <w:p w14:paraId="1007B0EA">
      <w:pPr>
        <w:spacing w:line="480" w:lineRule="exact"/>
        <w:ind w:firstLine="480" w:firstLineChars="200"/>
        <w:rPr>
          <w:rFonts w:hint="default" w:ascii="Times New Roman" w:hAnsi="Times New Roman" w:eastAsia="宋体" w:cs="Times New Roman"/>
          <w:bCs/>
          <w:color w:val="auto"/>
          <w:sz w:val="24"/>
          <w:highlight w:val="none"/>
          <w:lang w:eastAsia="zh-CN"/>
        </w:rPr>
      </w:pPr>
      <w:r>
        <w:rPr>
          <w:rFonts w:hint="default" w:ascii="Times New Roman" w:hAnsi="Times New Roman" w:eastAsia="宋体" w:cs="Times New Roman"/>
          <w:color w:val="auto"/>
          <w:sz w:val="24"/>
          <w:szCs w:val="24"/>
          <w:highlight w:val="none"/>
        </w:rPr>
        <w:t>B.</w:t>
      </w:r>
      <w:r>
        <w:rPr>
          <w:rFonts w:hint="default" w:ascii="Times New Roman" w:hAnsi="Times New Roman" w:eastAsia="宋体" w:cs="Times New Roman"/>
          <w:color w:val="auto"/>
          <w:sz w:val="24"/>
          <w:szCs w:val="24"/>
          <w:highlight w:val="none"/>
          <w:lang w:eastAsia="zh-CN"/>
        </w:rPr>
        <w:t>项目</w:t>
      </w:r>
      <w:r>
        <w:rPr>
          <w:rFonts w:hint="default" w:ascii="Times New Roman" w:hAnsi="Times New Roman" w:eastAsia="宋体" w:cs="Times New Roman"/>
          <w:color w:val="auto"/>
          <w:kern w:val="0"/>
          <w:sz w:val="24"/>
          <w:szCs w:val="24"/>
          <w:highlight w:val="none"/>
        </w:rPr>
        <w:t>区内重点污染风险源下游布设</w:t>
      </w:r>
      <w:r>
        <w:rPr>
          <w:rFonts w:hint="default" w:ascii="Times New Roman" w:hAnsi="Times New Roman" w:eastAsia="宋体" w:cs="Times New Roman"/>
          <w:color w:val="auto"/>
          <w:kern w:val="0"/>
          <w:sz w:val="24"/>
          <w:szCs w:val="24"/>
          <w:highlight w:val="none"/>
          <w:lang w:val="en-US" w:eastAsia="zh-CN"/>
        </w:rPr>
        <w:t>2</w:t>
      </w:r>
      <w:r>
        <w:rPr>
          <w:rFonts w:hint="default" w:ascii="Times New Roman" w:hAnsi="Times New Roman" w:eastAsia="宋体" w:cs="Times New Roman"/>
          <w:color w:val="auto"/>
          <w:kern w:val="0"/>
          <w:sz w:val="24"/>
          <w:szCs w:val="24"/>
          <w:highlight w:val="none"/>
        </w:rPr>
        <w:t>眼监测井，用于污染扩散监测</w:t>
      </w:r>
      <w:r>
        <w:rPr>
          <w:rFonts w:hint="default" w:ascii="Times New Roman" w:hAnsi="Times New Roman" w:eastAsia="宋体" w:cs="Times New Roman"/>
          <w:color w:val="auto"/>
          <w:sz w:val="24"/>
          <w:szCs w:val="24"/>
          <w:highlight w:val="none"/>
        </w:rPr>
        <w:t>。</w:t>
      </w:r>
    </w:p>
    <w:p w14:paraId="30260075">
      <w:pPr>
        <w:spacing w:line="480" w:lineRule="exact"/>
        <w:ind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bCs/>
          <w:color w:val="auto"/>
          <w:sz w:val="24"/>
          <w:highlight w:val="none"/>
          <w:lang w:eastAsia="zh-CN"/>
        </w:rPr>
        <w:t>项目监控井分别位于</w:t>
      </w:r>
      <w:r>
        <w:rPr>
          <w:rFonts w:hint="default" w:ascii="Times New Roman" w:hAnsi="Times New Roman" w:eastAsia="宋体" w:cs="Times New Roman"/>
          <w:bCs/>
          <w:color w:val="auto"/>
          <w:sz w:val="24"/>
          <w:highlight w:val="none"/>
          <w:lang w:val="en-US" w:eastAsia="zh-CN"/>
        </w:rPr>
        <w:t>厂区</w:t>
      </w:r>
      <w:r>
        <w:rPr>
          <w:rFonts w:hint="eastAsia" w:cs="Times New Roman"/>
          <w:bCs/>
          <w:color w:val="auto"/>
          <w:sz w:val="24"/>
          <w:highlight w:val="none"/>
          <w:lang w:val="en-US" w:eastAsia="zh-CN"/>
        </w:rPr>
        <w:t>东</w:t>
      </w:r>
      <w:r>
        <w:rPr>
          <w:rFonts w:hint="default" w:ascii="Times New Roman" w:hAnsi="Times New Roman" w:eastAsia="宋体" w:cs="Times New Roman"/>
          <w:bCs/>
          <w:color w:val="auto"/>
          <w:sz w:val="24"/>
          <w:highlight w:val="none"/>
          <w:lang w:val="en-US" w:eastAsia="zh-CN"/>
        </w:rPr>
        <w:t>北侧（上游）</w:t>
      </w:r>
      <w:r>
        <w:rPr>
          <w:rFonts w:hint="default" w:ascii="Times New Roman" w:hAnsi="Times New Roman" w:eastAsia="宋体" w:cs="Times New Roman"/>
          <w:bCs/>
          <w:color w:val="auto"/>
          <w:sz w:val="24"/>
          <w:highlight w:val="none"/>
          <w:lang w:eastAsia="zh-CN"/>
        </w:rPr>
        <w:t>、</w:t>
      </w:r>
      <w:r>
        <w:rPr>
          <w:rFonts w:hint="default" w:ascii="Times New Roman" w:hAnsi="Times New Roman" w:eastAsia="宋体" w:cs="Times New Roman"/>
          <w:bCs/>
          <w:color w:val="auto"/>
          <w:sz w:val="24"/>
          <w:highlight w:val="none"/>
          <w:lang w:val="en-US" w:eastAsia="zh-CN"/>
        </w:rPr>
        <w:t>厂区调节池南侧（下游）、厂区污泥池南侧</w:t>
      </w:r>
      <w:r>
        <w:rPr>
          <w:rFonts w:hint="default" w:ascii="Times New Roman" w:hAnsi="Times New Roman" w:eastAsia="宋体" w:cs="Times New Roman"/>
          <w:bCs/>
          <w:color w:val="auto"/>
          <w:sz w:val="24"/>
          <w:highlight w:val="none"/>
          <w:lang w:eastAsia="zh-CN"/>
        </w:rPr>
        <w:t>（</w:t>
      </w:r>
      <w:r>
        <w:rPr>
          <w:rFonts w:hint="default" w:ascii="Times New Roman" w:hAnsi="Times New Roman" w:eastAsia="宋体" w:cs="Times New Roman"/>
          <w:bCs/>
          <w:color w:val="auto"/>
          <w:sz w:val="24"/>
          <w:highlight w:val="none"/>
          <w:lang w:val="en-US" w:eastAsia="zh-CN"/>
        </w:rPr>
        <w:t>下游</w:t>
      </w:r>
      <w:r>
        <w:rPr>
          <w:rFonts w:hint="default" w:ascii="Times New Roman" w:hAnsi="Times New Roman" w:eastAsia="宋体" w:cs="Times New Roman"/>
          <w:bCs/>
          <w:color w:val="auto"/>
          <w:sz w:val="24"/>
          <w:highlight w:val="none"/>
          <w:lang w:eastAsia="zh-CN"/>
        </w:rPr>
        <w:t>）。</w:t>
      </w:r>
    </w:p>
    <w:p w14:paraId="4AE2F615">
      <w:pPr>
        <w:widowControl/>
        <w:adjustRightInd w:val="0"/>
        <w:spacing w:line="480" w:lineRule="exact"/>
        <w:ind w:firstLine="480" w:firstLineChars="200"/>
        <w:rPr>
          <w:rFonts w:hint="default" w:ascii="Times New Roman" w:hAnsi="Times New Roman" w:eastAsia="宋体" w:cs="Times New Roman"/>
          <w:bCs/>
          <w:color w:val="auto"/>
          <w:sz w:val="24"/>
          <w:highlight w:val="none"/>
        </w:rPr>
      </w:pPr>
      <w:r>
        <w:rPr>
          <w:rFonts w:hint="default" w:ascii="Times New Roman" w:hAnsi="Times New Roman" w:eastAsia="宋体" w:cs="Times New Roman"/>
          <w:bCs/>
          <w:color w:val="auto"/>
          <w:sz w:val="24"/>
          <w:highlight w:val="none"/>
        </w:rPr>
        <w:t>②地下水监测因子</w:t>
      </w:r>
    </w:p>
    <w:p w14:paraId="69F07FDD">
      <w:pPr>
        <w:keepNext w:val="0"/>
        <w:keepLines w:val="0"/>
        <w:pageBreakBefore w:val="0"/>
        <w:widowControl/>
        <w:kinsoku/>
        <w:wordWrap/>
        <w:overflowPunct/>
        <w:topLinePunct w:val="0"/>
        <w:autoSpaceDE/>
        <w:autoSpaceDN w:val="0"/>
        <w:bidi w:val="0"/>
        <w:adjustRightInd w:val="0"/>
        <w:snapToGrid w:val="0"/>
        <w:spacing w:line="460" w:lineRule="exact"/>
        <w:ind w:firstLine="480" w:firstLineChars="200"/>
        <w:textAlignment w:val="auto"/>
        <w:rPr>
          <w:rFonts w:hint="default" w:ascii="Times New Roman" w:hAnsi="Times New Roman" w:eastAsia="宋体" w:cs="Times New Roman"/>
          <w:color w:val="auto"/>
          <w:kern w:val="0"/>
          <w:sz w:val="24"/>
          <w:szCs w:val="24"/>
          <w:highlight w:val="none"/>
        </w:rPr>
      </w:pPr>
      <w:r>
        <w:rPr>
          <w:rFonts w:hint="eastAsia" w:cs="Times New Roman"/>
          <w:color w:val="auto"/>
          <w:kern w:val="0"/>
          <w:sz w:val="24"/>
          <w:szCs w:val="24"/>
          <w:highlight w:val="none"/>
          <w:lang w:val="en-US" w:eastAsia="zh-CN"/>
        </w:rPr>
        <w:t>根据《环境影响评价技术导则 地下水环境》（HJ610-2016）、</w:t>
      </w:r>
      <w:r>
        <w:rPr>
          <w:rFonts w:hint="default" w:ascii="Times New Roman" w:hAnsi="Times New Roman" w:eastAsia="宋体" w:cs="Times New Roman"/>
          <w:color w:val="auto"/>
          <w:kern w:val="0"/>
          <w:sz w:val="24"/>
          <w:szCs w:val="24"/>
          <w:highlight w:val="none"/>
        </w:rPr>
        <w:t>《地下水环境监测技术规范》(HJ/T164-2020)中要求，确定本项目地下水监测因子如下：</w:t>
      </w:r>
    </w:p>
    <w:p w14:paraId="33A9F2D0">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bCs/>
          <w:color w:val="auto"/>
          <w:sz w:val="24"/>
          <w:highlight w:val="none"/>
          <w:lang w:val="en-US" w:eastAsia="zh-CN"/>
        </w:rPr>
        <w:t>pH、</w:t>
      </w:r>
      <w:r>
        <w:rPr>
          <w:rFonts w:hint="eastAsia"/>
          <w:highlight w:val="none"/>
          <w:lang w:val="en-US" w:eastAsia="zh-CN"/>
        </w:rPr>
        <w:t>总硬度、溶解性总固体、氯化物、硫酸盐、</w:t>
      </w:r>
      <w:r>
        <w:rPr>
          <w:rFonts w:hint="default" w:ascii="Times New Roman" w:hAnsi="Times New Roman" w:eastAsia="宋体" w:cs="Times New Roman"/>
          <w:bCs/>
          <w:color w:val="auto"/>
          <w:sz w:val="24"/>
          <w:highlight w:val="none"/>
          <w:lang w:val="en-US" w:eastAsia="zh-CN"/>
        </w:rPr>
        <w:t>氨氮、硝酸盐、亚硝酸盐、耗氧量、总大肠菌群、石油类</w:t>
      </w:r>
      <w:r>
        <w:rPr>
          <w:rFonts w:hint="default" w:ascii="Times New Roman" w:hAnsi="Times New Roman" w:eastAsia="宋体" w:cs="Times New Roman"/>
          <w:color w:val="auto"/>
          <w:sz w:val="24"/>
          <w:highlight w:val="none"/>
          <w:lang w:val="en-US" w:eastAsia="zh-CN"/>
        </w:rPr>
        <w:t>。</w:t>
      </w:r>
    </w:p>
    <w:p w14:paraId="0D4EBAA0">
      <w:pPr>
        <w:keepNext w:val="0"/>
        <w:keepLines w:val="0"/>
        <w:pageBreakBefore w:val="0"/>
        <w:widowControl/>
        <w:kinsoku/>
        <w:wordWrap/>
        <w:overflowPunct/>
        <w:topLinePunct w:val="0"/>
        <w:autoSpaceDE/>
        <w:autoSpaceDN w:val="0"/>
        <w:bidi w:val="0"/>
        <w:adjustRightInd w:val="0"/>
        <w:snapToGrid w:val="0"/>
        <w:spacing w:line="460" w:lineRule="exact"/>
        <w:ind w:firstLine="480" w:firstLineChars="200"/>
        <w:textAlignment w:val="auto"/>
        <w:rPr>
          <w:rFonts w:hint="default"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lang w:val="en-US" w:eastAsia="zh-CN"/>
        </w:rPr>
        <w:t>③监测</w:t>
      </w:r>
      <w:r>
        <w:rPr>
          <w:rFonts w:hint="default" w:ascii="Times New Roman" w:hAnsi="Times New Roman" w:eastAsia="宋体" w:cs="Times New Roman"/>
          <w:color w:val="auto"/>
          <w:kern w:val="0"/>
          <w:sz w:val="24"/>
          <w:szCs w:val="24"/>
          <w:highlight w:val="none"/>
        </w:rPr>
        <w:t>频率</w:t>
      </w:r>
    </w:p>
    <w:p w14:paraId="69EA40B1">
      <w:pPr>
        <w:keepNext w:val="0"/>
        <w:keepLines w:val="0"/>
        <w:pageBreakBefore w:val="0"/>
        <w:widowControl/>
        <w:kinsoku/>
        <w:wordWrap/>
        <w:overflowPunct/>
        <w:topLinePunct w:val="0"/>
        <w:autoSpaceDE/>
        <w:autoSpaceDN w:val="0"/>
        <w:bidi w:val="0"/>
        <w:adjustRightInd w:val="0"/>
        <w:snapToGrid w:val="0"/>
        <w:spacing w:line="460" w:lineRule="exact"/>
        <w:ind w:firstLine="480" w:firstLineChars="200"/>
        <w:textAlignment w:val="auto"/>
        <w:rPr>
          <w:rFonts w:hint="default" w:ascii="Times New Roman" w:hAnsi="Times New Roman" w:eastAsia="宋体" w:cs="Times New Roman"/>
          <w:color w:val="auto"/>
          <w:sz w:val="24"/>
          <w:szCs w:val="24"/>
          <w:highlight w:val="none"/>
        </w:rPr>
      </w:pPr>
      <w:r>
        <w:rPr>
          <w:rFonts w:hint="eastAsia" w:cs="Times New Roman"/>
          <w:bCs/>
          <w:color w:val="auto"/>
          <w:sz w:val="24"/>
          <w:szCs w:val="24"/>
          <w:highlight w:val="none"/>
          <w:lang w:val="en-US" w:eastAsia="zh-CN"/>
        </w:rPr>
        <w:t>根据</w:t>
      </w:r>
      <w:r>
        <w:rPr>
          <w:rFonts w:hint="eastAsia" w:cs="Times New Roman"/>
          <w:color w:val="auto"/>
          <w:kern w:val="0"/>
          <w:sz w:val="24"/>
          <w:szCs w:val="24"/>
          <w:highlight w:val="none"/>
          <w:lang w:val="en-US" w:eastAsia="zh-CN"/>
        </w:rPr>
        <w:t>《环境影响评价技术导则 地下水环境》（HJ610-2016）、</w:t>
      </w:r>
      <w:r>
        <w:rPr>
          <w:rFonts w:hint="default" w:ascii="Times New Roman" w:hAnsi="Times New Roman" w:eastAsia="宋体" w:cs="Times New Roman"/>
          <w:color w:val="auto"/>
          <w:kern w:val="0"/>
          <w:sz w:val="24"/>
          <w:szCs w:val="24"/>
          <w:highlight w:val="none"/>
        </w:rPr>
        <w:t>《地下水环境监测技术规范》(HJ/T164-2020)中要求，</w:t>
      </w:r>
      <w:r>
        <w:rPr>
          <w:rFonts w:hint="default" w:ascii="Times New Roman" w:hAnsi="Times New Roman" w:eastAsia="宋体" w:cs="Times New Roman"/>
          <w:color w:val="auto"/>
          <w:sz w:val="24"/>
          <w:szCs w:val="24"/>
          <w:highlight w:val="none"/>
        </w:rPr>
        <w:t>监测频率</w:t>
      </w:r>
      <w:r>
        <w:rPr>
          <w:rFonts w:hint="default" w:ascii="Times New Roman" w:hAnsi="Times New Roman" w:eastAsia="宋体" w:cs="Times New Roman"/>
          <w:color w:val="auto"/>
          <w:sz w:val="24"/>
          <w:szCs w:val="24"/>
          <w:highlight w:val="none"/>
          <w:lang w:eastAsia="zh-CN"/>
        </w:rPr>
        <w:t>为：</w:t>
      </w:r>
      <w:r>
        <w:rPr>
          <w:rFonts w:hint="default" w:ascii="Times New Roman" w:hAnsi="Times New Roman" w:eastAsia="宋体" w:cs="Times New Roman"/>
          <w:bCs/>
          <w:caps/>
          <w:color w:val="auto"/>
          <w:sz w:val="24"/>
          <w:szCs w:val="24"/>
          <w:highlight w:val="none"/>
          <w:lang w:val="en-US" w:eastAsia="zh-CN"/>
        </w:rPr>
        <w:t>1次/半年。</w:t>
      </w:r>
    </w:p>
    <w:p w14:paraId="78662891">
      <w:pPr>
        <w:pageBreakBefore w:val="0"/>
        <w:kinsoku/>
        <w:wordWrap/>
        <w:overflowPunct/>
        <w:topLinePunct w:val="0"/>
        <w:autoSpaceDE/>
        <w:autoSpaceDN/>
        <w:bidi w:val="0"/>
        <w:snapToGrid/>
        <w:spacing w:line="480" w:lineRule="exact"/>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lang w:val="en-US" w:eastAsia="zh-CN"/>
        </w:rPr>
        <w:t>（2）</w:t>
      </w:r>
      <w:r>
        <w:rPr>
          <w:rFonts w:hint="default" w:ascii="Times New Roman" w:hAnsi="Times New Roman" w:eastAsia="宋体" w:cs="Times New Roman"/>
          <w:color w:val="auto"/>
          <w:sz w:val="24"/>
          <w:highlight w:val="none"/>
        </w:rPr>
        <w:t>监测井建设形式和成井保护措施</w:t>
      </w:r>
    </w:p>
    <w:p w14:paraId="052EE110">
      <w:pPr>
        <w:pageBreakBefore w:val="0"/>
        <w:kinsoku/>
        <w:wordWrap/>
        <w:overflowPunct/>
        <w:topLinePunct w:val="0"/>
        <w:autoSpaceDE/>
        <w:autoSpaceDN/>
        <w:bidi w:val="0"/>
        <w:snapToGrid/>
        <w:spacing w:line="480" w:lineRule="exact"/>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①监测井井管为</w:t>
      </w:r>
      <w:r>
        <w:rPr>
          <w:rFonts w:hint="default" w:ascii="Times New Roman" w:hAnsi="Times New Roman" w:eastAsia="宋体" w:cs="Times New Roman"/>
          <w:color w:val="auto"/>
          <w:sz w:val="24"/>
          <w:highlight w:val="none"/>
          <w:lang w:eastAsia="zh-CN"/>
        </w:rPr>
        <w:t>聚四氟乙烯管</w:t>
      </w:r>
      <w:r>
        <w:rPr>
          <w:rFonts w:hint="default" w:ascii="Times New Roman" w:hAnsi="Times New Roman" w:eastAsia="宋体" w:cs="Times New Roman"/>
          <w:color w:val="auto"/>
          <w:sz w:val="24"/>
          <w:highlight w:val="none"/>
        </w:rPr>
        <w:t>。</w:t>
      </w:r>
    </w:p>
    <w:p w14:paraId="717B19BC">
      <w:pPr>
        <w:pageBreakBefore w:val="0"/>
        <w:kinsoku/>
        <w:wordWrap/>
        <w:overflowPunct/>
        <w:topLinePunct w:val="0"/>
        <w:autoSpaceDE/>
        <w:autoSpaceDN/>
        <w:bidi w:val="0"/>
        <w:snapToGrid/>
        <w:spacing w:line="480" w:lineRule="exact"/>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②监测井的深度</w:t>
      </w:r>
      <w:r>
        <w:rPr>
          <w:rFonts w:hint="eastAsia" w:cs="Times New Roman"/>
          <w:color w:val="auto"/>
          <w:sz w:val="24"/>
          <w:highlight w:val="none"/>
          <w:lang w:val="en-US" w:eastAsia="zh-CN"/>
        </w:rPr>
        <w:t>10</w:t>
      </w:r>
      <w:r>
        <w:rPr>
          <w:rFonts w:hint="default" w:ascii="Times New Roman" w:hAnsi="Times New Roman" w:eastAsia="宋体" w:cs="Times New Roman"/>
          <w:color w:val="auto"/>
          <w:sz w:val="24"/>
          <w:highlight w:val="none"/>
        </w:rPr>
        <w:t>m</w:t>
      </w:r>
      <w:r>
        <w:rPr>
          <w:rFonts w:hint="default" w:ascii="Times New Roman" w:hAnsi="Times New Roman" w:eastAsia="宋体" w:cs="Times New Roman"/>
          <w:color w:val="auto"/>
          <w:sz w:val="24"/>
          <w:highlight w:val="none"/>
          <w:lang w:eastAsia="zh-CN"/>
        </w:rPr>
        <w:t>左右，依实际情况而定</w:t>
      </w:r>
      <w:r>
        <w:rPr>
          <w:rFonts w:hint="default" w:ascii="Times New Roman" w:hAnsi="Times New Roman" w:eastAsia="宋体" w:cs="Times New Roman"/>
          <w:color w:val="auto"/>
          <w:sz w:val="24"/>
          <w:highlight w:val="none"/>
        </w:rPr>
        <w:t>。</w:t>
      </w:r>
    </w:p>
    <w:p w14:paraId="720E424E">
      <w:pPr>
        <w:pageBreakBefore w:val="0"/>
        <w:kinsoku/>
        <w:wordWrap/>
        <w:overflowPunct/>
        <w:topLinePunct w:val="0"/>
        <w:autoSpaceDE/>
        <w:autoSpaceDN/>
        <w:bidi w:val="0"/>
        <w:snapToGrid/>
        <w:spacing w:line="480" w:lineRule="exact"/>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③监测井井管内径为0.1m。</w:t>
      </w:r>
    </w:p>
    <w:p w14:paraId="05093B43">
      <w:pPr>
        <w:pageBreakBefore w:val="0"/>
        <w:kinsoku/>
        <w:wordWrap/>
        <w:overflowPunct/>
        <w:topLinePunct w:val="0"/>
        <w:autoSpaceDE/>
        <w:autoSpaceDN/>
        <w:bidi w:val="0"/>
        <w:snapToGrid/>
        <w:spacing w:line="480" w:lineRule="exact"/>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④监测井目的层与其它含水层之间止水良好，潜水监测井不得穿透潜水含水层下的隔水层的底板。</w:t>
      </w:r>
    </w:p>
    <w:p w14:paraId="641FA102">
      <w:pPr>
        <w:pageBreakBefore w:val="0"/>
        <w:kinsoku/>
        <w:wordWrap/>
        <w:overflowPunct/>
        <w:topLinePunct w:val="0"/>
        <w:autoSpaceDE/>
        <w:autoSpaceDN/>
        <w:bidi w:val="0"/>
        <w:snapToGrid/>
        <w:spacing w:line="480" w:lineRule="exact"/>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⑤滤水段透水性能良好，向井内注入灌水段1m井管容积的水量，水位复原时间不超过10min，滤水材料应对地下水水质无污染。</w:t>
      </w:r>
    </w:p>
    <w:p w14:paraId="5582C20A">
      <w:pPr>
        <w:pageBreakBefore w:val="0"/>
        <w:kinsoku/>
        <w:wordWrap/>
        <w:overflowPunct/>
        <w:topLinePunct w:val="0"/>
        <w:autoSpaceDE/>
        <w:autoSpaceDN/>
        <w:bidi w:val="0"/>
        <w:snapToGrid/>
        <w:spacing w:line="480" w:lineRule="exact"/>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⑥监测井的终孔直径不宜小于0.</w:t>
      </w:r>
      <w:r>
        <w:rPr>
          <w:rFonts w:hint="default" w:ascii="Times New Roman" w:hAnsi="Times New Roman" w:eastAsia="宋体" w:cs="Times New Roman"/>
          <w:color w:val="auto"/>
          <w:sz w:val="24"/>
          <w:highlight w:val="none"/>
          <w:lang w:val="en-US" w:eastAsia="zh-CN"/>
        </w:rPr>
        <w:t>1</w:t>
      </w:r>
      <w:r>
        <w:rPr>
          <w:rFonts w:hint="default" w:ascii="Times New Roman" w:hAnsi="Times New Roman" w:eastAsia="宋体" w:cs="Times New Roman"/>
          <w:color w:val="auto"/>
          <w:sz w:val="24"/>
          <w:highlight w:val="none"/>
        </w:rPr>
        <w:t>m，设计动水位以下的含水层段应安装滤水管，反滤层厚度不小于0.05m，成井后应进行抽水洗井。</w:t>
      </w:r>
    </w:p>
    <w:p w14:paraId="768B7A97">
      <w:pPr>
        <w:pageBreakBefore w:val="0"/>
        <w:kinsoku/>
        <w:wordWrap/>
        <w:overflowPunct/>
        <w:topLinePunct w:val="0"/>
        <w:autoSpaceDE/>
        <w:autoSpaceDN/>
        <w:bidi w:val="0"/>
        <w:snapToGrid/>
        <w:spacing w:line="480" w:lineRule="exact"/>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⑦监测井应设明显标识牌，井（孔）口应高出地面0.5～1.0m，井（孔）口安装盖（保护帽），孔口地面应采取防渗措施，井周围应有防护栏。</w:t>
      </w:r>
    </w:p>
    <w:p w14:paraId="3547C36A">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地下水跟踪监测计划一览表</w:t>
      </w:r>
    </w:p>
    <w:p w14:paraId="0FA3F455">
      <w:pPr>
        <w:spacing w:line="15" w:lineRule="exact"/>
        <w:rPr>
          <w:rFonts w:hint="default" w:ascii="Times New Roman" w:hAnsi="Times New Roman" w:eastAsia="宋体" w:cs="Times New Roman"/>
          <w:highlight w:val="none"/>
        </w:rPr>
      </w:pPr>
    </w:p>
    <w:tbl>
      <w:tblPr>
        <w:tblStyle w:val="88"/>
        <w:tblW w:w="4998" w:type="pct"/>
        <w:tblInd w:w="0" w:type="dxa"/>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Layout w:type="autofit"/>
        <w:tblCellMar>
          <w:top w:w="0" w:type="dxa"/>
          <w:left w:w="0" w:type="dxa"/>
          <w:bottom w:w="0" w:type="dxa"/>
          <w:right w:w="0" w:type="dxa"/>
        </w:tblCellMar>
      </w:tblPr>
      <w:tblGrid>
        <w:gridCol w:w="762"/>
        <w:gridCol w:w="1119"/>
        <w:gridCol w:w="1021"/>
        <w:gridCol w:w="1232"/>
        <w:gridCol w:w="912"/>
        <w:gridCol w:w="1037"/>
        <w:gridCol w:w="2209"/>
        <w:gridCol w:w="806"/>
      </w:tblGrid>
      <w:tr w14:paraId="626BBD6C">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566" w:hRule="atLeast"/>
        </w:trPr>
        <w:tc>
          <w:tcPr>
            <w:tcW w:w="419" w:type="pct"/>
            <w:vAlign w:val="center"/>
          </w:tcPr>
          <w:p w14:paraId="4438028E">
            <w:pPr>
              <w:pStyle w:val="58"/>
              <w:bidi w:val="0"/>
              <w:rPr>
                <w:rFonts w:hint="default"/>
                <w:highlight w:val="none"/>
              </w:rPr>
            </w:pPr>
            <w:r>
              <w:rPr>
                <w:rFonts w:hint="default"/>
                <w:highlight w:val="none"/>
              </w:rPr>
              <w:t>编号</w:t>
            </w:r>
          </w:p>
        </w:tc>
        <w:tc>
          <w:tcPr>
            <w:tcW w:w="615" w:type="pct"/>
            <w:vAlign w:val="center"/>
          </w:tcPr>
          <w:p w14:paraId="0CA9A62B">
            <w:pPr>
              <w:pStyle w:val="58"/>
              <w:bidi w:val="0"/>
              <w:rPr>
                <w:rFonts w:hint="default"/>
                <w:highlight w:val="none"/>
              </w:rPr>
            </w:pPr>
            <w:r>
              <w:rPr>
                <w:rFonts w:hint="default"/>
                <w:highlight w:val="none"/>
              </w:rPr>
              <w:t>监测点位</w:t>
            </w:r>
          </w:p>
        </w:tc>
        <w:tc>
          <w:tcPr>
            <w:tcW w:w="561" w:type="pct"/>
            <w:vAlign w:val="center"/>
          </w:tcPr>
          <w:p w14:paraId="593C3090">
            <w:pPr>
              <w:pStyle w:val="58"/>
              <w:bidi w:val="0"/>
              <w:rPr>
                <w:rFonts w:hint="default"/>
                <w:highlight w:val="none"/>
              </w:rPr>
            </w:pPr>
            <w:r>
              <w:rPr>
                <w:rFonts w:hint="default"/>
                <w:highlight w:val="none"/>
              </w:rPr>
              <w:t>性质</w:t>
            </w:r>
          </w:p>
        </w:tc>
        <w:tc>
          <w:tcPr>
            <w:tcW w:w="677" w:type="pct"/>
            <w:vAlign w:val="center"/>
          </w:tcPr>
          <w:p w14:paraId="77370164">
            <w:pPr>
              <w:pStyle w:val="58"/>
              <w:bidi w:val="0"/>
              <w:rPr>
                <w:rFonts w:hint="default"/>
                <w:highlight w:val="none"/>
              </w:rPr>
            </w:pPr>
            <w:r>
              <w:rPr>
                <w:rFonts w:hint="default"/>
                <w:highlight w:val="none"/>
              </w:rPr>
              <w:t>监测井设置参数</w:t>
            </w:r>
          </w:p>
        </w:tc>
        <w:tc>
          <w:tcPr>
            <w:tcW w:w="501" w:type="pct"/>
            <w:vAlign w:val="center"/>
          </w:tcPr>
          <w:p w14:paraId="708B158D">
            <w:pPr>
              <w:pStyle w:val="58"/>
              <w:bidi w:val="0"/>
              <w:rPr>
                <w:rFonts w:hint="default"/>
                <w:highlight w:val="none"/>
              </w:rPr>
            </w:pPr>
            <w:r>
              <w:rPr>
                <w:rFonts w:hint="default"/>
                <w:highlight w:val="none"/>
              </w:rPr>
              <w:t>监测项目</w:t>
            </w:r>
          </w:p>
        </w:tc>
        <w:tc>
          <w:tcPr>
            <w:tcW w:w="570" w:type="pct"/>
            <w:vAlign w:val="center"/>
          </w:tcPr>
          <w:p w14:paraId="799389B7">
            <w:pPr>
              <w:pStyle w:val="58"/>
              <w:bidi w:val="0"/>
              <w:rPr>
                <w:rFonts w:hint="default"/>
                <w:highlight w:val="none"/>
              </w:rPr>
            </w:pPr>
            <w:r>
              <w:rPr>
                <w:rFonts w:hint="default"/>
                <w:highlight w:val="none"/>
              </w:rPr>
              <w:t>监测频率</w:t>
            </w:r>
          </w:p>
        </w:tc>
        <w:tc>
          <w:tcPr>
            <w:tcW w:w="1214" w:type="pct"/>
            <w:vAlign w:val="center"/>
          </w:tcPr>
          <w:p w14:paraId="1DBF500C">
            <w:pPr>
              <w:pStyle w:val="58"/>
              <w:bidi w:val="0"/>
              <w:rPr>
                <w:rFonts w:hint="default"/>
                <w:highlight w:val="none"/>
              </w:rPr>
            </w:pPr>
            <w:r>
              <w:rPr>
                <w:rFonts w:hint="default"/>
                <w:highlight w:val="none"/>
              </w:rPr>
              <w:t>标准</w:t>
            </w:r>
          </w:p>
        </w:tc>
        <w:tc>
          <w:tcPr>
            <w:tcW w:w="439" w:type="pct"/>
            <w:vAlign w:val="center"/>
          </w:tcPr>
          <w:p w14:paraId="7EBF1928">
            <w:pPr>
              <w:pStyle w:val="58"/>
              <w:bidi w:val="0"/>
              <w:rPr>
                <w:rFonts w:hint="default"/>
                <w:highlight w:val="none"/>
              </w:rPr>
            </w:pPr>
            <w:r>
              <w:rPr>
                <w:rFonts w:hint="default"/>
                <w:highlight w:val="none"/>
              </w:rPr>
              <w:t>备注</w:t>
            </w:r>
          </w:p>
        </w:tc>
      </w:tr>
      <w:tr w14:paraId="5C1674CA">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561" w:hRule="atLeast"/>
        </w:trPr>
        <w:tc>
          <w:tcPr>
            <w:tcW w:w="419" w:type="pct"/>
            <w:vAlign w:val="center"/>
          </w:tcPr>
          <w:p w14:paraId="7E774FAE">
            <w:pPr>
              <w:pStyle w:val="58"/>
              <w:bidi w:val="0"/>
              <w:rPr>
                <w:rFonts w:hint="default"/>
                <w:highlight w:val="none"/>
              </w:rPr>
            </w:pPr>
            <w:r>
              <w:rPr>
                <w:rFonts w:hint="default"/>
                <w:highlight w:val="none"/>
              </w:rPr>
              <w:t>JKJ1</w:t>
            </w:r>
          </w:p>
        </w:tc>
        <w:tc>
          <w:tcPr>
            <w:tcW w:w="615" w:type="pct"/>
            <w:vAlign w:val="center"/>
          </w:tcPr>
          <w:p w14:paraId="3CB0AFA5">
            <w:pPr>
              <w:pStyle w:val="58"/>
              <w:bidi w:val="0"/>
              <w:rPr>
                <w:rFonts w:hint="default"/>
                <w:highlight w:val="none"/>
              </w:rPr>
            </w:pPr>
            <w:r>
              <w:rPr>
                <w:rFonts w:hint="default"/>
                <w:highlight w:val="none"/>
              </w:rPr>
              <w:t>厂区</w:t>
            </w:r>
            <w:r>
              <w:rPr>
                <w:rFonts w:hint="eastAsia"/>
                <w:highlight w:val="none"/>
                <w:lang w:val="en-US" w:eastAsia="zh-CN"/>
              </w:rPr>
              <w:t>东</w:t>
            </w:r>
            <w:r>
              <w:rPr>
                <w:rFonts w:hint="default"/>
                <w:highlight w:val="none"/>
              </w:rPr>
              <w:t>北侧</w:t>
            </w:r>
          </w:p>
        </w:tc>
        <w:tc>
          <w:tcPr>
            <w:tcW w:w="561" w:type="pct"/>
            <w:vAlign w:val="center"/>
          </w:tcPr>
          <w:p w14:paraId="3C755652">
            <w:pPr>
              <w:pStyle w:val="58"/>
              <w:bidi w:val="0"/>
              <w:rPr>
                <w:rFonts w:hint="default"/>
                <w:highlight w:val="none"/>
              </w:rPr>
            </w:pPr>
            <w:r>
              <w:rPr>
                <w:rFonts w:hint="default"/>
                <w:highlight w:val="none"/>
              </w:rPr>
              <w:t>背景监测井</w:t>
            </w:r>
          </w:p>
        </w:tc>
        <w:tc>
          <w:tcPr>
            <w:tcW w:w="677" w:type="pct"/>
            <w:vMerge w:val="restart"/>
            <w:tcBorders>
              <w:bottom w:val="nil"/>
            </w:tcBorders>
            <w:vAlign w:val="center"/>
          </w:tcPr>
          <w:p w14:paraId="346916FF">
            <w:pPr>
              <w:pStyle w:val="58"/>
              <w:bidi w:val="0"/>
              <w:rPr>
                <w:rFonts w:hint="default"/>
                <w:highlight w:val="none"/>
              </w:rPr>
            </w:pPr>
            <w:r>
              <w:rPr>
                <w:rFonts w:hint="default"/>
                <w:highlight w:val="none"/>
              </w:rPr>
              <w:t>井深约</w:t>
            </w:r>
            <w:r>
              <w:rPr>
                <w:rFonts w:hint="default"/>
                <w:highlight w:val="none"/>
                <w:lang w:val="en-US" w:eastAsia="zh-CN"/>
              </w:rPr>
              <w:t>1</w:t>
            </w:r>
            <w:r>
              <w:rPr>
                <w:rFonts w:hint="default"/>
                <w:highlight w:val="none"/>
              </w:rPr>
              <w:t>0m，井口直径不小于150mm。</w:t>
            </w:r>
          </w:p>
        </w:tc>
        <w:tc>
          <w:tcPr>
            <w:tcW w:w="501" w:type="pct"/>
            <w:vMerge w:val="restart"/>
            <w:tcBorders>
              <w:bottom w:val="nil"/>
            </w:tcBorders>
            <w:vAlign w:val="center"/>
          </w:tcPr>
          <w:p w14:paraId="0D1E4C73">
            <w:pPr>
              <w:pStyle w:val="58"/>
              <w:bidi w:val="0"/>
              <w:rPr>
                <w:rFonts w:hint="default"/>
                <w:highlight w:val="none"/>
              </w:rPr>
            </w:pPr>
            <w:r>
              <w:rPr>
                <w:rFonts w:hint="default"/>
                <w:highlight w:val="none"/>
              </w:rPr>
              <w:t>pH、</w:t>
            </w:r>
            <w:r>
              <w:rPr>
                <w:rFonts w:hint="eastAsia"/>
                <w:highlight w:val="none"/>
                <w:lang w:val="en-US" w:eastAsia="zh-CN"/>
              </w:rPr>
              <w:t>总硬度、溶解性总固体、氯化物、硫酸盐、</w:t>
            </w:r>
            <w:r>
              <w:rPr>
                <w:rFonts w:hint="default"/>
                <w:highlight w:val="none"/>
              </w:rPr>
              <w:t>氨氮、硝酸盐、亚硝酸盐、耗氧量、总大肠菌群、石油类</w:t>
            </w:r>
          </w:p>
        </w:tc>
        <w:tc>
          <w:tcPr>
            <w:tcW w:w="570" w:type="pct"/>
            <w:vAlign w:val="center"/>
          </w:tcPr>
          <w:p w14:paraId="5751C521">
            <w:pPr>
              <w:pStyle w:val="58"/>
              <w:bidi w:val="0"/>
              <w:rPr>
                <w:rFonts w:hint="default"/>
                <w:highlight w:val="none"/>
              </w:rPr>
            </w:pPr>
            <w:r>
              <w:rPr>
                <w:rFonts w:hint="default"/>
                <w:highlight w:val="none"/>
              </w:rPr>
              <w:t>1次/年</w:t>
            </w:r>
          </w:p>
        </w:tc>
        <w:tc>
          <w:tcPr>
            <w:tcW w:w="1214" w:type="pct"/>
            <w:vMerge w:val="restart"/>
            <w:tcBorders>
              <w:bottom w:val="nil"/>
            </w:tcBorders>
            <w:vAlign w:val="center"/>
          </w:tcPr>
          <w:p w14:paraId="5E5F3C05">
            <w:pPr>
              <w:pStyle w:val="58"/>
              <w:bidi w:val="0"/>
              <w:rPr>
                <w:rFonts w:hint="default"/>
                <w:highlight w:val="none"/>
              </w:rPr>
            </w:pPr>
            <w:r>
              <w:rPr>
                <w:rFonts w:hint="default"/>
                <w:highlight w:val="none"/>
              </w:rPr>
              <w:t>满足《地下水质量标准》(GB/T14848-</w:t>
            </w:r>
            <w:r>
              <w:rPr>
                <w:rFonts w:hint="eastAsia"/>
                <w:highlight w:val="none"/>
                <w:lang w:eastAsia="zh-CN"/>
              </w:rPr>
              <w:t>2017</w:t>
            </w:r>
            <w:r>
              <w:rPr>
                <w:rFonts w:hint="default"/>
                <w:highlight w:val="none"/>
              </w:rPr>
              <w:t>)Ⅲ类标准，石油类满足《地表水环境质量标准》(GB3838-2002)Ⅲ类标准</w:t>
            </w:r>
          </w:p>
        </w:tc>
        <w:tc>
          <w:tcPr>
            <w:tcW w:w="439" w:type="pct"/>
            <w:vAlign w:val="center"/>
          </w:tcPr>
          <w:p w14:paraId="675969CB">
            <w:pPr>
              <w:pStyle w:val="58"/>
              <w:bidi w:val="0"/>
              <w:rPr>
                <w:rFonts w:hint="default"/>
                <w:highlight w:val="none"/>
                <w:lang w:eastAsia="zh-CN"/>
              </w:rPr>
            </w:pPr>
            <w:r>
              <w:rPr>
                <w:rFonts w:hint="default"/>
                <w:highlight w:val="none"/>
                <w:lang w:val="en-US" w:eastAsia="zh-CN"/>
              </w:rPr>
              <w:t>新建</w:t>
            </w:r>
          </w:p>
        </w:tc>
      </w:tr>
      <w:tr w14:paraId="19807E72">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562" w:hRule="atLeast"/>
        </w:trPr>
        <w:tc>
          <w:tcPr>
            <w:tcW w:w="419" w:type="pct"/>
            <w:vAlign w:val="center"/>
          </w:tcPr>
          <w:p w14:paraId="06307538">
            <w:pPr>
              <w:pStyle w:val="58"/>
              <w:bidi w:val="0"/>
              <w:rPr>
                <w:rFonts w:hint="default"/>
                <w:highlight w:val="none"/>
              </w:rPr>
            </w:pPr>
            <w:r>
              <w:rPr>
                <w:rFonts w:hint="default"/>
                <w:highlight w:val="none"/>
              </w:rPr>
              <w:t>JKJ2</w:t>
            </w:r>
          </w:p>
        </w:tc>
        <w:tc>
          <w:tcPr>
            <w:tcW w:w="615" w:type="pct"/>
            <w:vAlign w:val="center"/>
          </w:tcPr>
          <w:p w14:paraId="525C5025">
            <w:pPr>
              <w:pStyle w:val="58"/>
              <w:bidi w:val="0"/>
              <w:rPr>
                <w:rFonts w:hint="default"/>
                <w:highlight w:val="none"/>
                <w:lang w:val="en-US"/>
              </w:rPr>
            </w:pPr>
            <w:r>
              <w:rPr>
                <w:rFonts w:hint="default"/>
                <w:highlight w:val="none"/>
                <w:lang w:val="en-US" w:eastAsia="zh-CN"/>
              </w:rPr>
              <w:t>厂区调节池南侧</w:t>
            </w:r>
          </w:p>
        </w:tc>
        <w:tc>
          <w:tcPr>
            <w:tcW w:w="561" w:type="pct"/>
            <w:vAlign w:val="center"/>
          </w:tcPr>
          <w:p w14:paraId="51B6C9E4">
            <w:pPr>
              <w:pStyle w:val="58"/>
              <w:bidi w:val="0"/>
              <w:rPr>
                <w:rFonts w:hint="default"/>
                <w:highlight w:val="none"/>
              </w:rPr>
            </w:pPr>
            <w:r>
              <w:rPr>
                <w:rFonts w:hint="default"/>
                <w:highlight w:val="none"/>
              </w:rPr>
              <w:t>污染监测井</w:t>
            </w:r>
          </w:p>
        </w:tc>
        <w:tc>
          <w:tcPr>
            <w:tcW w:w="677" w:type="pct"/>
            <w:vMerge w:val="continue"/>
            <w:tcBorders>
              <w:top w:val="nil"/>
              <w:bottom w:val="nil"/>
            </w:tcBorders>
            <w:vAlign w:val="center"/>
          </w:tcPr>
          <w:p w14:paraId="2482D28C">
            <w:pPr>
              <w:pStyle w:val="58"/>
              <w:bidi w:val="0"/>
              <w:rPr>
                <w:rFonts w:hint="default"/>
                <w:highlight w:val="none"/>
              </w:rPr>
            </w:pPr>
          </w:p>
        </w:tc>
        <w:tc>
          <w:tcPr>
            <w:tcW w:w="501" w:type="pct"/>
            <w:vMerge w:val="continue"/>
            <w:tcBorders>
              <w:top w:val="nil"/>
              <w:bottom w:val="nil"/>
            </w:tcBorders>
            <w:vAlign w:val="center"/>
          </w:tcPr>
          <w:p w14:paraId="6D23B985">
            <w:pPr>
              <w:pStyle w:val="58"/>
              <w:bidi w:val="0"/>
              <w:rPr>
                <w:rFonts w:hint="default"/>
                <w:highlight w:val="none"/>
              </w:rPr>
            </w:pPr>
          </w:p>
        </w:tc>
        <w:tc>
          <w:tcPr>
            <w:tcW w:w="570" w:type="pct"/>
            <w:vMerge w:val="restart"/>
            <w:tcBorders>
              <w:bottom w:val="nil"/>
            </w:tcBorders>
            <w:vAlign w:val="center"/>
          </w:tcPr>
          <w:p w14:paraId="2CE9404E">
            <w:pPr>
              <w:pStyle w:val="58"/>
              <w:bidi w:val="0"/>
              <w:rPr>
                <w:rFonts w:hint="default"/>
                <w:highlight w:val="none"/>
              </w:rPr>
            </w:pPr>
            <w:r>
              <w:rPr>
                <w:rFonts w:hint="default"/>
                <w:highlight w:val="none"/>
              </w:rPr>
              <w:t>2次/年(枯、丰水期)</w:t>
            </w:r>
          </w:p>
        </w:tc>
        <w:tc>
          <w:tcPr>
            <w:tcW w:w="1214" w:type="pct"/>
            <w:vMerge w:val="continue"/>
            <w:tcBorders>
              <w:top w:val="nil"/>
              <w:bottom w:val="nil"/>
            </w:tcBorders>
            <w:vAlign w:val="center"/>
          </w:tcPr>
          <w:p w14:paraId="60AE7BBC">
            <w:pPr>
              <w:pStyle w:val="58"/>
              <w:bidi w:val="0"/>
              <w:rPr>
                <w:rFonts w:hint="default"/>
                <w:highlight w:val="none"/>
              </w:rPr>
            </w:pPr>
          </w:p>
        </w:tc>
        <w:tc>
          <w:tcPr>
            <w:tcW w:w="439" w:type="pct"/>
            <w:vAlign w:val="center"/>
          </w:tcPr>
          <w:p w14:paraId="458A39D2">
            <w:pPr>
              <w:pStyle w:val="58"/>
              <w:bidi w:val="0"/>
              <w:rPr>
                <w:rFonts w:hint="default"/>
                <w:highlight w:val="none"/>
              </w:rPr>
            </w:pPr>
            <w:r>
              <w:rPr>
                <w:rFonts w:hint="default"/>
                <w:highlight w:val="none"/>
              </w:rPr>
              <w:t>原有</w:t>
            </w:r>
          </w:p>
        </w:tc>
      </w:tr>
      <w:tr w14:paraId="3CE3EAF9">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1655" w:hRule="atLeast"/>
        </w:trPr>
        <w:tc>
          <w:tcPr>
            <w:tcW w:w="419" w:type="pct"/>
            <w:vAlign w:val="center"/>
          </w:tcPr>
          <w:p w14:paraId="6BAF3AD7">
            <w:pPr>
              <w:pStyle w:val="58"/>
              <w:bidi w:val="0"/>
              <w:rPr>
                <w:rFonts w:hint="default"/>
                <w:highlight w:val="none"/>
              </w:rPr>
            </w:pPr>
            <w:r>
              <w:rPr>
                <w:rFonts w:hint="default"/>
                <w:highlight w:val="none"/>
              </w:rPr>
              <w:t>JKJ3</w:t>
            </w:r>
          </w:p>
        </w:tc>
        <w:tc>
          <w:tcPr>
            <w:tcW w:w="615" w:type="pct"/>
            <w:vAlign w:val="center"/>
          </w:tcPr>
          <w:p w14:paraId="5936EBD6">
            <w:pPr>
              <w:pStyle w:val="58"/>
              <w:bidi w:val="0"/>
              <w:rPr>
                <w:rFonts w:hint="default"/>
                <w:highlight w:val="none"/>
                <w:lang w:val="en-US"/>
              </w:rPr>
            </w:pPr>
            <w:bookmarkStart w:id="320" w:name="OLE_LINK50"/>
            <w:r>
              <w:rPr>
                <w:rFonts w:hint="default"/>
                <w:highlight w:val="none"/>
                <w:lang w:val="en-US" w:eastAsia="zh-CN"/>
              </w:rPr>
              <w:t>厂区污泥池南侧</w:t>
            </w:r>
            <w:bookmarkEnd w:id="320"/>
          </w:p>
        </w:tc>
        <w:tc>
          <w:tcPr>
            <w:tcW w:w="561" w:type="pct"/>
            <w:vAlign w:val="center"/>
          </w:tcPr>
          <w:p w14:paraId="43F49DE3">
            <w:pPr>
              <w:pStyle w:val="58"/>
              <w:bidi w:val="0"/>
              <w:rPr>
                <w:rFonts w:hint="default"/>
                <w:highlight w:val="none"/>
              </w:rPr>
            </w:pPr>
            <w:r>
              <w:rPr>
                <w:rFonts w:hint="default"/>
                <w:highlight w:val="none"/>
              </w:rPr>
              <w:t>污染</w:t>
            </w:r>
            <w:r>
              <w:rPr>
                <w:rFonts w:hint="eastAsia"/>
                <w:highlight w:val="none"/>
                <w:lang w:val="en-US" w:eastAsia="zh-CN"/>
              </w:rPr>
              <w:t>监测</w:t>
            </w:r>
            <w:r>
              <w:rPr>
                <w:rFonts w:hint="default"/>
                <w:highlight w:val="none"/>
              </w:rPr>
              <w:t>井</w:t>
            </w:r>
          </w:p>
        </w:tc>
        <w:tc>
          <w:tcPr>
            <w:tcW w:w="677" w:type="pct"/>
            <w:vMerge w:val="continue"/>
            <w:tcBorders>
              <w:top w:val="nil"/>
            </w:tcBorders>
            <w:vAlign w:val="center"/>
          </w:tcPr>
          <w:p w14:paraId="082ECE4C">
            <w:pPr>
              <w:pStyle w:val="58"/>
              <w:bidi w:val="0"/>
              <w:rPr>
                <w:rFonts w:hint="default"/>
                <w:highlight w:val="none"/>
              </w:rPr>
            </w:pPr>
          </w:p>
        </w:tc>
        <w:tc>
          <w:tcPr>
            <w:tcW w:w="501" w:type="pct"/>
            <w:vMerge w:val="continue"/>
            <w:tcBorders>
              <w:top w:val="nil"/>
            </w:tcBorders>
            <w:vAlign w:val="center"/>
          </w:tcPr>
          <w:p w14:paraId="68471C3E">
            <w:pPr>
              <w:pStyle w:val="58"/>
              <w:bidi w:val="0"/>
              <w:rPr>
                <w:rFonts w:hint="default"/>
                <w:highlight w:val="none"/>
              </w:rPr>
            </w:pPr>
          </w:p>
        </w:tc>
        <w:tc>
          <w:tcPr>
            <w:tcW w:w="570" w:type="pct"/>
            <w:vMerge w:val="continue"/>
            <w:tcBorders>
              <w:top w:val="nil"/>
            </w:tcBorders>
            <w:vAlign w:val="center"/>
          </w:tcPr>
          <w:p w14:paraId="02C05910">
            <w:pPr>
              <w:pStyle w:val="58"/>
              <w:bidi w:val="0"/>
              <w:rPr>
                <w:rFonts w:hint="default"/>
                <w:highlight w:val="none"/>
              </w:rPr>
            </w:pPr>
          </w:p>
        </w:tc>
        <w:tc>
          <w:tcPr>
            <w:tcW w:w="1214" w:type="pct"/>
            <w:vMerge w:val="continue"/>
            <w:tcBorders>
              <w:top w:val="nil"/>
            </w:tcBorders>
            <w:vAlign w:val="center"/>
          </w:tcPr>
          <w:p w14:paraId="7A53849A">
            <w:pPr>
              <w:pStyle w:val="58"/>
              <w:bidi w:val="0"/>
              <w:rPr>
                <w:rFonts w:hint="default"/>
                <w:highlight w:val="none"/>
              </w:rPr>
            </w:pPr>
          </w:p>
        </w:tc>
        <w:tc>
          <w:tcPr>
            <w:tcW w:w="439" w:type="pct"/>
            <w:vAlign w:val="center"/>
          </w:tcPr>
          <w:p w14:paraId="138A581B">
            <w:pPr>
              <w:pStyle w:val="58"/>
              <w:bidi w:val="0"/>
              <w:rPr>
                <w:rFonts w:hint="default"/>
                <w:highlight w:val="none"/>
                <w:lang w:eastAsia="zh-CN"/>
              </w:rPr>
            </w:pPr>
            <w:r>
              <w:rPr>
                <w:rFonts w:hint="default"/>
                <w:highlight w:val="none"/>
                <w:lang w:val="en-US" w:eastAsia="zh-CN"/>
              </w:rPr>
              <w:t>新建</w:t>
            </w:r>
          </w:p>
        </w:tc>
      </w:tr>
      <w:tr w14:paraId="1C8AF5C3">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864" w:hRule="atLeast"/>
        </w:trPr>
        <w:tc>
          <w:tcPr>
            <w:tcW w:w="5000" w:type="pct"/>
            <w:gridSpan w:val="8"/>
            <w:vAlign w:val="center"/>
          </w:tcPr>
          <w:p w14:paraId="3AE0EF16">
            <w:pPr>
              <w:pStyle w:val="58"/>
              <w:bidi w:val="0"/>
              <w:rPr>
                <w:rFonts w:hint="default"/>
                <w:highlight w:val="none"/>
              </w:rPr>
            </w:pPr>
            <w:r>
              <w:rPr>
                <w:rFonts w:hint="default"/>
                <w:highlight w:val="none"/>
              </w:rPr>
              <w:t>备注：监测井建议单独成井，具体在凿井见水后，向下继续凿深大于5米，保证枯水期不干涸，可根据实际情况进行调整。为保护监测井，应建设监测井井口保护装置，包括井口保护筒、井台或井盖等部分。</w:t>
            </w:r>
          </w:p>
        </w:tc>
      </w:tr>
    </w:tbl>
    <w:p w14:paraId="51DE0E41">
      <w:pPr>
        <w:pageBreakBefore w:val="0"/>
        <w:kinsoku/>
        <w:wordWrap/>
        <w:overflowPunct/>
        <w:topLinePunct w:val="0"/>
        <w:autoSpaceDE/>
        <w:autoSpaceDN/>
        <w:bidi w:val="0"/>
        <w:snapToGrid/>
        <w:spacing w:line="480" w:lineRule="exact"/>
        <w:ind w:firstLine="480" w:firstLineChars="200"/>
        <w:textAlignment w:val="auto"/>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eastAsia="zh-CN"/>
        </w:rPr>
        <w:t>地下水监控井位置图见</w:t>
      </w:r>
      <w:r>
        <w:rPr>
          <w:rFonts w:hint="default" w:ascii="Times New Roman" w:hAnsi="Times New Roman" w:eastAsia="宋体" w:cs="Times New Roman"/>
          <w:color w:val="auto"/>
          <w:sz w:val="24"/>
          <w:highlight w:val="none"/>
          <w:lang w:val="en-US" w:eastAsia="zh-CN"/>
        </w:rPr>
        <w:t>图5.2-2</w:t>
      </w:r>
      <w:r>
        <w:rPr>
          <w:rFonts w:hint="eastAsia" w:cs="Times New Roman"/>
          <w:color w:val="auto"/>
          <w:sz w:val="24"/>
          <w:highlight w:val="none"/>
          <w:lang w:val="en-US" w:eastAsia="zh-CN"/>
        </w:rPr>
        <w:t>8</w:t>
      </w:r>
      <w:r>
        <w:rPr>
          <w:rFonts w:hint="default" w:ascii="Times New Roman" w:hAnsi="Times New Roman" w:eastAsia="宋体" w:cs="Times New Roman"/>
          <w:color w:val="auto"/>
          <w:sz w:val="24"/>
          <w:highlight w:val="none"/>
          <w:lang w:val="en-US" w:eastAsia="zh-CN"/>
        </w:rPr>
        <w:t>　。</w:t>
      </w:r>
    </w:p>
    <w:p w14:paraId="01186FCB">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color w:val="auto"/>
          <w:sz w:val="24"/>
          <w:highlight w:val="none"/>
          <w:lang w:val="en-US" w:eastAsia="zh-CN"/>
        </w:rPr>
      </w:pPr>
    </w:p>
    <w:p w14:paraId="13288DF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4"/>
          <w:highlight w:val="none"/>
          <w:lang w:val="en-US" w:eastAsia="zh-CN"/>
        </w:rPr>
      </w:pPr>
      <w:r>
        <w:rPr>
          <w:rFonts w:hint="default" w:ascii="Times New Roman" w:hAnsi="Times New Roman" w:eastAsia="宋体" w:cs="Times New Roman"/>
          <w:b/>
          <w:bCs/>
          <w:color w:val="auto"/>
          <w:sz w:val="24"/>
          <w:highlight w:val="none"/>
          <w:lang w:val="en-US" w:eastAsia="zh-CN"/>
        </w:rPr>
        <w:object>
          <v:shape id="_x0000_i1042" o:spt="75" type="#_x0000_t75" style="height:320.5pt;width:432.35pt;" o:ole="t" filled="f" o:preferrelative="t" stroked="f" coordsize="21600,21600">
            <v:path/>
            <v:fill on="f" focussize="0,0"/>
            <v:stroke on="f"/>
            <v:imagedata r:id="rId119" cropleft="1017f" o:title=""/>
            <o:lock v:ext="edit" aspectratio="f"/>
            <w10:wrap type="none"/>
            <w10:anchorlock/>
          </v:shape>
          <o:OLEObject Type="Embed" ProgID="Visio.Drawing.11" ShapeID="_x0000_i1042" DrawAspect="Content" ObjectID="_1468075745" r:id="rId118">
            <o:LockedField>false</o:LockedField>
          </o:OLEObject>
        </w:object>
      </w:r>
    </w:p>
    <w:p w14:paraId="03F33200">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地下水监测布点图</w:t>
      </w:r>
    </w:p>
    <w:p w14:paraId="6969E519">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5.2.3.14地下水污染应急预案</w:t>
      </w:r>
    </w:p>
    <w:p w14:paraId="712E15BD">
      <w:pPr>
        <w:keepNext w:val="0"/>
        <w:keepLines w:val="0"/>
        <w:pageBreakBefore w:val="0"/>
        <w:widowControl/>
        <w:kinsoku/>
        <w:wordWrap/>
        <w:overflowPunct/>
        <w:topLinePunct w:val="0"/>
        <w:autoSpaceDE/>
        <w:autoSpaceDN w:val="0"/>
        <w:bidi w:val="0"/>
        <w:adjustRightInd w:val="0"/>
        <w:snapToGrid w:val="0"/>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根据上述分析可知，如污水处理池体发生泄漏事故，可能对地下水环境造成影响，因此在事故情况下污染物泄漏至地下水使其受到污染，应采取应急措施，防止污染物向下游扩散。并根据《环境影响评价技术导则地下水》（HJ610-2016）要求制定地下水污染应急响应预案。</w:t>
      </w:r>
    </w:p>
    <w:p w14:paraId="6827EA8D">
      <w:pPr>
        <w:keepNext w:val="0"/>
        <w:keepLines w:val="0"/>
        <w:pageBreakBefore w:val="0"/>
        <w:widowControl/>
        <w:kinsoku/>
        <w:wordWrap/>
        <w:overflowPunct/>
        <w:topLinePunct w:val="0"/>
        <w:autoSpaceDE/>
        <w:autoSpaceDN w:val="0"/>
        <w:bidi w:val="0"/>
        <w:adjustRightInd w:val="0"/>
        <w:snapToGrid w:val="0"/>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（1）地下水环境保护的应急预案</w:t>
      </w:r>
    </w:p>
    <w:p w14:paraId="0A0182CC">
      <w:pPr>
        <w:keepNext w:val="0"/>
        <w:keepLines w:val="0"/>
        <w:pageBreakBefore w:val="0"/>
        <w:widowControl/>
        <w:kinsoku/>
        <w:wordWrap/>
        <w:overflowPunct/>
        <w:topLinePunct w:val="0"/>
        <w:autoSpaceDE/>
        <w:autoSpaceDN w:val="0"/>
        <w:bidi w:val="0"/>
        <w:adjustRightInd w:val="0"/>
        <w:snapToGrid w:val="0"/>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为了做好地下水环境保护与污染防治应急措施，最大限度避免和减轻地下水污染造成的损失，制定地下水风险事故应急响应预案，成立应急指挥部，事故发生后及时采取措施。</w:t>
      </w:r>
    </w:p>
    <w:p w14:paraId="2321B84B">
      <w:pPr>
        <w:keepNext w:val="0"/>
        <w:keepLines w:val="0"/>
        <w:pageBreakBefore w:val="0"/>
        <w:widowControl/>
        <w:kinsoku/>
        <w:wordWrap/>
        <w:overflowPunct/>
        <w:topLinePunct w:val="0"/>
        <w:autoSpaceDE/>
        <w:autoSpaceDN w:val="0"/>
        <w:bidi w:val="0"/>
        <w:adjustRightInd w:val="0"/>
        <w:snapToGrid w:val="0"/>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根据地下水水质事故状态影响预测、地下水流向和项目场地的分布特征应在该区地下水流向的下游设置地下水监测设施和抽排水设施。检测井应安置报警系统，当监测出地下水质出现异常时，报警系统及时报警，同时相关人员应及时采取应急措施。</w:t>
      </w:r>
    </w:p>
    <w:p w14:paraId="0691DA42">
      <w:pPr>
        <w:keepNext w:val="0"/>
        <w:keepLines w:val="0"/>
        <w:pageBreakBefore w:val="0"/>
        <w:widowControl/>
        <w:kinsoku/>
        <w:wordWrap/>
        <w:overflowPunct/>
        <w:topLinePunct w:val="0"/>
        <w:autoSpaceDE/>
        <w:autoSpaceDN w:val="0"/>
        <w:bidi w:val="0"/>
        <w:adjustRightInd w:val="0"/>
        <w:snapToGrid w:val="0"/>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一旦掌握地下水环境污染征兆或发生地下水环境污染时，知情单位和个人要立即向当地政府或其地下水环境污染主管部门、责任单位报告有关情况。应急指挥部要根据预案要求，组织和指挥参与现场应急工作各部门的行动，组织专家组根据事件原因、性质、危害程度等调查原因，分析发展趋势，并提出下一步预防和防治措施，迅速控制或切断事件灾害链，对污水进行封闭、截流，将损失降到最低限度。</w:t>
      </w:r>
    </w:p>
    <w:p w14:paraId="396B3BA5">
      <w:pPr>
        <w:keepNext w:val="0"/>
        <w:keepLines w:val="0"/>
        <w:pageBreakBefore w:val="0"/>
        <w:widowControl/>
        <w:kinsoku/>
        <w:wordWrap/>
        <w:overflowPunct/>
        <w:topLinePunct w:val="0"/>
        <w:autoSpaceDE/>
        <w:autoSpaceDN w:val="0"/>
        <w:bidi w:val="0"/>
        <w:adjustRightInd w:val="0"/>
        <w:snapToGrid w:val="0"/>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针对应急工作需要，参照相关技术导则，结合地下水污染治理的技术特点，制定地下水污染应急治理程序见图5.2-</w:t>
      </w:r>
      <w:r>
        <w:rPr>
          <w:rFonts w:hint="eastAsia" w:cs="Times New Roman"/>
          <w:color w:val="auto"/>
          <w:kern w:val="0"/>
          <w:sz w:val="24"/>
          <w:szCs w:val="24"/>
          <w:highlight w:val="none"/>
          <w:lang w:val="en-US" w:eastAsia="zh-CN"/>
        </w:rPr>
        <w:t>29</w:t>
      </w:r>
      <w:r>
        <w:rPr>
          <w:rFonts w:hint="default" w:ascii="Times New Roman" w:hAnsi="Times New Roman" w:eastAsia="宋体" w:cs="Times New Roman"/>
          <w:color w:val="auto"/>
          <w:kern w:val="0"/>
          <w:sz w:val="24"/>
          <w:szCs w:val="24"/>
          <w:highlight w:val="none"/>
          <w:lang w:val="en-US" w:eastAsia="zh-CN"/>
        </w:rPr>
        <w:t>。</w:t>
      </w:r>
    </w:p>
    <w:p w14:paraId="270016BA">
      <w:pPr>
        <w:keepNext w:val="0"/>
        <w:keepLines w:val="0"/>
        <w:pageBreakBefore w:val="0"/>
        <w:widowControl/>
        <w:kinsoku/>
        <w:wordWrap/>
        <w:overflowPunct/>
        <w:topLinePunct w:val="0"/>
        <w:autoSpaceDE/>
        <w:autoSpaceDN w:val="0"/>
        <w:bidi w:val="0"/>
        <w:adjustRightInd w:val="0"/>
        <w:snapToGrid w:val="0"/>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（2）污染突发事件应急措施</w:t>
      </w:r>
    </w:p>
    <w:p w14:paraId="3A041697">
      <w:pPr>
        <w:keepNext w:val="0"/>
        <w:keepLines w:val="0"/>
        <w:pageBreakBefore w:val="0"/>
        <w:widowControl/>
        <w:kinsoku/>
        <w:wordWrap/>
        <w:overflowPunct/>
        <w:topLinePunct w:val="0"/>
        <w:autoSpaceDE/>
        <w:autoSpaceDN w:val="0"/>
        <w:bidi w:val="0"/>
        <w:adjustRightInd w:val="0"/>
        <w:snapToGrid w:val="0"/>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①当发生地下水异常情况时，按照制定的地下水应急预案采取应急措施。</w:t>
      </w:r>
    </w:p>
    <w:p w14:paraId="1251EE67">
      <w:pPr>
        <w:keepNext w:val="0"/>
        <w:keepLines w:val="0"/>
        <w:pageBreakBefore w:val="0"/>
        <w:widowControl/>
        <w:kinsoku/>
        <w:wordWrap/>
        <w:overflowPunct/>
        <w:topLinePunct w:val="0"/>
        <w:autoSpaceDE/>
        <w:autoSpaceDN w:val="0"/>
        <w:bidi w:val="0"/>
        <w:adjustRightInd w:val="0"/>
        <w:snapToGrid w:val="0"/>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②组织专业队伍对事故现场进行调查、监测，查找环境事故发生地点、分析事故原因，将紧急事件局部化，如可能应予以消除，采取包括切断污染源、设置围堤等拦堵设施、疏散等，防止事故的扩散、蔓延及连锁反应，缩小地下水污染事故对人、环境和财产的影响。因此建设单位应要与专业的地下水污染调查及治理单位设置联系，能够在事故发生时，能立刻有专业队伍进行应当。</w:t>
      </w:r>
    </w:p>
    <w:p w14:paraId="1710F37E">
      <w:pPr>
        <w:keepNext w:val="0"/>
        <w:keepLines w:val="0"/>
        <w:pageBreakBefore w:val="0"/>
        <w:widowControl/>
        <w:kinsoku/>
        <w:wordWrap/>
        <w:overflowPunct/>
        <w:topLinePunct w:val="0"/>
        <w:autoSpaceDE/>
        <w:autoSpaceDN w:val="0"/>
        <w:bidi w:val="0"/>
        <w:adjustRightInd w:val="0"/>
        <w:snapToGrid w:val="0"/>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③在发生事故时，应加强对监测井的监测，实时监控地下水水质变化，为后期场地污染治理提供支撑。</w:t>
      </w:r>
    </w:p>
    <w:p w14:paraId="61649570">
      <w:pPr>
        <w:keepNext w:val="0"/>
        <w:keepLines w:val="0"/>
        <w:pageBreakBefore w:val="0"/>
        <w:widowControl/>
        <w:kinsoku/>
        <w:wordWrap/>
        <w:overflowPunct/>
        <w:topLinePunct w:val="0"/>
        <w:autoSpaceDE/>
        <w:autoSpaceDN w:val="0"/>
        <w:bidi w:val="0"/>
        <w:adjustRightInd w:val="0"/>
        <w:snapToGrid w:val="0"/>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④当通过监测发现对周围地下水造成污染时，采取控制地下水流场等措施，防止污染物扩散，针对项目所在地区的环境水文地质条件，建议在发生地下水污染事故时候，采取物理法截断或水动力控制法等方法截断与地下水下游饮用水源地的水力联系，保护地下水，可以考虑采用在冲沟内设置井群系统或设置地下水帷幕的方式，具体的治理方法应在专业队伍在进行场地调查后按照实际情况布置地下水污染治理方法。</w:t>
      </w:r>
    </w:p>
    <w:p w14:paraId="1A3F128C">
      <w:pPr>
        <w:keepNext w:val="0"/>
        <w:keepLines w:val="0"/>
        <w:pageBreakBefore w:val="0"/>
        <w:widowControl/>
        <w:kinsoku/>
        <w:wordWrap/>
        <w:overflowPunct/>
        <w:topLinePunct w:val="0"/>
        <w:autoSpaceDE/>
        <w:autoSpaceDN w:val="0"/>
        <w:bidi w:val="0"/>
        <w:adjustRightInd w:val="0"/>
        <w:snapToGrid w:val="0"/>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⑤对事故后果进行评估，并制定防止类似事件发生的措施。</w:t>
      </w:r>
    </w:p>
    <w:p w14:paraId="621552B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4"/>
          <w:szCs w:val="20"/>
          <w:highlight w:val="none"/>
          <w:lang w:eastAsia="zh-CN"/>
        </w:rPr>
      </w:pPr>
      <w:r>
        <w:rPr>
          <w:rFonts w:hint="default" w:ascii="Times New Roman" w:hAnsi="Times New Roman" w:eastAsia="宋体" w:cs="Times New Roman"/>
          <w:bCs/>
          <w:color w:val="auto"/>
          <w:sz w:val="24"/>
          <w:szCs w:val="20"/>
          <w:highlight w:val="none"/>
          <w:lang w:eastAsia="zh-CN"/>
        </w:rPr>
        <w:drawing>
          <wp:inline distT="0" distB="0" distL="114300" distR="114300">
            <wp:extent cx="5000625" cy="5753100"/>
            <wp:effectExtent l="0" t="0" r="9525" b="0"/>
            <wp:docPr id="84" name="图片 84" descr="1723716253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1723716253957"/>
                    <pic:cNvPicPr>
                      <a:picLocks noChangeAspect="1"/>
                    </pic:cNvPicPr>
                  </pic:nvPicPr>
                  <pic:blipFill>
                    <a:blip r:embed="rId120"/>
                    <a:stretch>
                      <a:fillRect/>
                    </a:stretch>
                  </pic:blipFill>
                  <pic:spPr>
                    <a:xfrm>
                      <a:off x="0" y="0"/>
                      <a:ext cx="5000625" cy="5753100"/>
                    </a:xfrm>
                    <a:prstGeom prst="rect">
                      <a:avLst/>
                    </a:prstGeom>
                  </pic:spPr>
                </pic:pic>
              </a:graphicData>
            </a:graphic>
          </wp:inline>
        </w:drawing>
      </w:r>
    </w:p>
    <w:p w14:paraId="42136056">
      <w:pPr>
        <w:numPr>
          <w:ilvl w:val="0"/>
          <w:numId w:val="35"/>
        </w:numPr>
        <w:ind w:left="425" w:leftChars="0" w:hanging="425" w:firstLineChars="0"/>
        <w:jc w:val="cente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地下水污染应急治理程序框图</w:t>
      </w:r>
    </w:p>
    <w:p w14:paraId="6DE4AB90">
      <w:pPr>
        <w:keepNext w:val="0"/>
        <w:keepLines w:val="0"/>
        <w:pageBreakBefore w:val="0"/>
        <w:widowControl/>
        <w:kinsoku/>
        <w:wordWrap/>
        <w:overflowPunct/>
        <w:topLinePunct w:val="0"/>
        <w:autoSpaceDE/>
        <w:autoSpaceDN w:val="0"/>
        <w:bidi w:val="0"/>
        <w:adjustRightInd w:val="0"/>
        <w:snapToGrid w:val="0"/>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（3）地下水污染应急管理措施</w:t>
      </w:r>
    </w:p>
    <w:p w14:paraId="12CF3AD7">
      <w:pPr>
        <w:keepNext w:val="0"/>
        <w:keepLines w:val="0"/>
        <w:pageBreakBefore w:val="0"/>
        <w:widowControl/>
        <w:kinsoku/>
        <w:wordWrap/>
        <w:overflowPunct/>
        <w:topLinePunct w:val="0"/>
        <w:autoSpaceDE/>
        <w:autoSpaceDN w:val="0"/>
        <w:bidi w:val="0"/>
        <w:adjustRightInd w:val="0"/>
        <w:snapToGrid w:val="0"/>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加强思想教育，提高全体员工的环保意识；健全管理机制，对于可能发生泄漏的污染源进行认真排查、登记，建立健全定期巡检制度，及时发现，及时解决；对可能发生的突发事件，制定应急预案，采取相应有效措施；建立生产操作以及检修全过程健全的监管体系，确保运行操作的正确实施。加强企业生产、操作、储存、处置等场所的管理，建立一套从企业领导到企业班组层层负责的管理体系。企业环境保护管理部门指派专人负责防止地下水污染的管理工作。</w:t>
      </w:r>
    </w:p>
    <w:p w14:paraId="2B555F7B">
      <w:pPr>
        <w:keepNext w:val="0"/>
        <w:keepLines w:val="0"/>
        <w:pageBreakBefore w:val="0"/>
        <w:widowControl/>
        <w:kinsoku/>
        <w:wordWrap/>
        <w:overflowPunct/>
        <w:topLinePunct w:val="0"/>
        <w:autoSpaceDE/>
        <w:autoSpaceDN w:val="0"/>
        <w:bidi w:val="0"/>
        <w:adjustRightInd w:val="0"/>
        <w:snapToGrid w:val="0"/>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重点污染防治区所在区域，工作人员应对其负责的区域建立台账，记录当班的生产状况是否正常。对于有可能产生泄漏处，设置巡视监控点，纳入正常生产管理程序中。</w:t>
      </w:r>
    </w:p>
    <w:p w14:paraId="143BC32C">
      <w:pPr>
        <w:keepNext w:val="0"/>
        <w:keepLines w:val="0"/>
        <w:pageBreakBefore w:val="0"/>
        <w:widowControl/>
        <w:kinsoku/>
        <w:wordWrap/>
        <w:overflowPunct/>
        <w:topLinePunct w:val="0"/>
        <w:autoSpaceDE/>
        <w:autoSpaceDN w:val="0"/>
        <w:bidi w:val="0"/>
        <w:adjustRightInd w:val="0"/>
        <w:snapToGrid w:val="0"/>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环境保护管理部门对地下水监测数据，按要求及时分析整理原始资料、监测报告的编写工作。</w:t>
      </w:r>
    </w:p>
    <w:p w14:paraId="3947C0B4">
      <w:pPr>
        <w:keepNext w:val="0"/>
        <w:keepLines w:val="0"/>
        <w:pageBreakBefore w:val="0"/>
        <w:widowControl/>
        <w:kinsoku/>
        <w:wordWrap/>
        <w:overflowPunct/>
        <w:topLinePunct w:val="0"/>
        <w:autoSpaceDE/>
        <w:autoSpaceDN w:val="0"/>
        <w:bidi w:val="0"/>
        <w:adjustRightInd w:val="0"/>
        <w:snapToGrid w:val="0"/>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技术部门应定期对阀门、管道等进行检查及维护。根据实际情况，按事故的性质、类型、影响范围、严重后果分等级制订相应预案。在制定预案时，应根据本企业环境污染事故潜在威胁的情况，认真细致地考虑各项影响因素，适时组织有关部门、人员进行演练，不断补充完善。</w:t>
      </w:r>
    </w:p>
    <w:p w14:paraId="6B74186F">
      <w:pPr>
        <w:keepNext w:val="0"/>
        <w:keepLines w:val="0"/>
        <w:pageBreakBefore w:val="0"/>
        <w:widowControl/>
        <w:kinsoku/>
        <w:wordWrap/>
        <w:overflowPunct/>
        <w:topLinePunct w:val="0"/>
        <w:autoSpaceDE/>
        <w:autoSpaceDN w:val="0"/>
        <w:bidi w:val="0"/>
        <w:adjustRightInd w:val="0"/>
        <w:snapToGrid w:val="0"/>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（4）注意的问题</w:t>
      </w:r>
    </w:p>
    <w:p w14:paraId="7E6B313F">
      <w:pPr>
        <w:keepNext w:val="0"/>
        <w:keepLines w:val="0"/>
        <w:pageBreakBefore w:val="0"/>
        <w:widowControl/>
        <w:kinsoku/>
        <w:wordWrap/>
        <w:overflowPunct/>
        <w:topLinePunct w:val="0"/>
        <w:autoSpaceDE/>
        <w:autoSpaceDN w:val="0"/>
        <w:bidi w:val="0"/>
        <w:adjustRightInd w:val="0"/>
        <w:snapToGrid w:val="0"/>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地下水污染的治理相对于地表水来说更加复杂，在进行具体的治理时，还需要考虑以下因素：</w:t>
      </w:r>
    </w:p>
    <w:p w14:paraId="2CE3B971">
      <w:pPr>
        <w:keepNext w:val="0"/>
        <w:keepLines w:val="0"/>
        <w:pageBreakBefore w:val="0"/>
        <w:widowControl/>
        <w:kinsoku/>
        <w:wordWrap/>
        <w:overflowPunct/>
        <w:topLinePunct w:val="0"/>
        <w:autoSpaceDE/>
        <w:autoSpaceDN w:val="0"/>
        <w:bidi w:val="0"/>
        <w:adjustRightInd w:val="0"/>
        <w:snapToGrid w:val="0"/>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①多种技术结合使用，治理初期先使用物理法或水动力控制法将污染区封闭，然后尽量收集纯污染物如油类等，最后再使用抽出处理法或原位法进行治理。</w:t>
      </w:r>
    </w:p>
    <w:p w14:paraId="2E1E3137">
      <w:pPr>
        <w:keepNext w:val="0"/>
        <w:keepLines w:val="0"/>
        <w:pageBreakBefore w:val="0"/>
        <w:widowControl/>
        <w:kinsoku/>
        <w:wordWrap/>
        <w:overflowPunct/>
        <w:topLinePunct w:val="0"/>
        <w:autoSpaceDE/>
        <w:autoSpaceDN w:val="0"/>
        <w:bidi w:val="0"/>
        <w:adjustRightInd w:val="0"/>
        <w:snapToGrid w:val="0"/>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②因为污染区域的水文地质条件和地球化学特性都会影响到地下水污染的治理，因此地下水污染的治理通常要以水文地质工作为前提。</w:t>
      </w:r>
    </w:p>
    <w:p w14:paraId="1D5DF95E">
      <w:pPr>
        <w:keepNext w:val="0"/>
        <w:keepLines w:val="0"/>
        <w:pageBreakBefore w:val="0"/>
        <w:widowControl/>
        <w:kinsoku/>
        <w:wordWrap/>
        <w:overflowPunct/>
        <w:topLinePunct w:val="0"/>
        <w:autoSpaceDE/>
        <w:autoSpaceDN w:val="0"/>
        <w:bidi w:val="0"/>
        <w:adjustRightInd w:val="0"/>
        <w:snapToGrid w:val="0"/>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③受污染地下水的修复往往还要包括土壤的修复。地下水和土壤是相互作用的，由于雨水的淋滤或地下水位的波动，污染物会进入地下水体，形成交叉污染。</w:t>
      </w:r>
    </w:p>
    <w:p w14:paraId="7897EC5D">
      <w:pPr>
        <w:keepNext w:val="0"/>
        <w:keepLines w:val="0"/>
        <w:pageBreakBefore w:val="0"/>
        <w:widowControl/>
        <w:kinsoku/>
        <w:wordWrap/>
        <w:overflowPunct/>
        <w:topLinePunct w:val="0"/>
        <w:autoSpaceDE/>
        <w:autoSpaceDN w:val="0"/>
        <w:bidi w:val="0"/>
        <w:adjustRightInd w:val="0"/>
        <w:snapToGrid w:val="0"/>
        <w:spacing w:line="460" w:lineRule="exact"/>
        <w:ind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④在地下水污染治理过程中，地表水的截流也是一个需要考虑的问题，要防止地表水补给地下水，以免加大治理工作量。</w:t>
      </w:r>
    </w:p>
    <w:p w14:paraId="34C42E09">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5.2.3.15地下水影响分析结论</w:t>
      </w:r>
    </w:p>
    <w:p w14:paraId="3DE3DF36">
      <w:pPr>
        <w:spacing w:line="480" w:lineRule="exact"/>
        <w:ind w:firstLine="480" w:firstLineChars="200"/>
        <w:rPr>
          <w:rFonts w:hint="default" w:ascii="Times New Roman" w:hAnsi="Times New Roman" w:eastAsia="宋体" w:cs="Times New Roman"/>
          <w:bCs/>
          <w:color w:val="auto"/>
          <w:sz w:val="24"/>
          <w:highlight w:val="none"/>
        </w:rPr>
      </w:pPr>
      <w:r>
        <w:rPr>
          <w:rFonts w:hint="default" w:ascii="Times New Roman" w:hAnsi="Times New Roman" w:eastAsia="宋体" w:cs="Times New Roman"/>
          <w:bCs/>
          <w:color w:val="auto"/>
          <w:sz w:val="24"/>
          <w:highlight w:val="none"/>
        </w:rPr>
        <w:t>①非正常工况对地下水水质影响评价结论</w:t>
      </w:r>
    </w:p>
    <w:p w14:paraId="7A2DE6A0">
      <w:pPr>
        <w:spacing w:line="480" w:lineRule="exact"/>
        <w:ind w:firstLine="480" w:firstLineChars="200"/>
        <w:rPr>
          <w:rFonts w:hint="default" w:ascii="Times New Roman" w:hAnsi="Times New Roman" w:eastAsia="宋体" w:cs="Times New Roman"/>
          <w:bCs/>
          <w:color w:val="auto"/>
          <w:sz w:val="24"/>
          <w:highlight w:val="none"/>
        </w:rPr>
      </w:pPr>
      <w:r>
        <w:rPr>
          <w:rFonts w:hint="default" w:ascii="Times New Roman" w:hAnsi="Times New Roman" w:eastAsia="宋体" w:cs="Times New Roman"/>
          <w:bCs/>
          <w:color w:val="auto"/>
          <w:sz w:val="24"/>
          <w:highlight w:val="none"/>
        </w:rPr>
        <w:t>拟建项目在采取必要的</w:t>
      </w:r>
      <w:r>
        <w:rPr>
          <w:rFonts w:hint="default" w:ascii="Times New Roman" w:hAnsi="Times New Roman" w:eastAsia="宋体" w:cs="Times New Roman"/>
          <w:bCs/>
          <w:color w:val="auto"/>
          <w:sz w:val="24"/>
          <w:highlight w:val="none"/>
          <w:lang w:eastAsia="zh-CN"/>
        </w:rPr>
        <w:t>防腐、</w:t>
      </w:r>
      <w:r>
        <w:rPr>
          <w:rFonts w:hint="default" w:ascii="Times New Roman" w:hAnsi="Times New Roman" w:eastAsia="宋体" w:cs="Times New Roman"/>
          <w:bCs/>
          <w:color w:val="auto"/>
          <w:sz w:val="24"/>
          <w:highlight w:val="none"/>
        </w:rPr>
        <w:t>防渗、检漏措施后，非正常工况下污染物对地下水下游潜水的影响在可接受范围内。</w:t>
      </w:r>
    </w:p>
    <w:p w14:paraId="0C617E05">
      <w:pPr>
        <w:spacing w:line="480" w:lineRule="exact"/>
        <w:ind w:firstLine="480" w:firstLineChars="200"/>
        <w:rPr>
          <w:rFonts w:hint="default" w:ascii="Times New Roman" w:hAnsi="Times New Roman" w:eastAsia="宋体" w:cs="Times New Roman"/>
          <w:bCs/>
          <w:color w:val="auto"/>
          <w:sz w:val="24"/>
          <w:highlight w:val="none"/>
        </w:rPr>
      </w:pPr>
      <w:r>
        <w:rPr>
          <w:rFonts w:hint="default" w:ascii="Times New Roman" w:hAnsi="Times New Roman" w:eastAsia="宋体" w:cs="Times New Roman"/>
          <w:bCs/>
          <w:color w:val="auto"/>
          <w:sz w:val="24"/>
          <w:highlight w:val="none"/>
        </w:rPr>
        <w:t>②</w:t>
      </w:r>
      <w:r>
        <w:rPr>
          <w:rFonts w:hint="default" w:ascii="Times New Roman" w:hAnsi="Times New Roman" w:eastAsia="宋体" w:cs="Times New Roman"/>
          <w:bCs/>
          <w:color w:val="auto"/>
          <w:sz w:val="24"/>
          <w:highlight w:val="none"/>
          <w:lang w:val="en-US" w:eastAsia="zh-CN"/>
        </w:rPr>
        <w:t>事故</w:t>
      </w:r>
      <w:r>
        <w:rPr>
          <w:rFonts w:hint="default" w:ascii="Times New Roman" w:hAnsi="Times New Roman" w:eastAsia="宋体" w:cs="Times New Roman"/>
          <w:bCs/>
          <w:color w:val="auto"/>
          <w:sz w:val="24"/>
          <w:highlight w:val="none"/>
        </w:rPr>
        <w:t>工况对地下水水质影响评价</w:t>
      </w:r>
    </w:p>
    <w:p w14:paraId="7C5AB7D3">
      <w:pPr>
        <w:spacing w:line="480" w:lineRule="exact"/>
        <w:ind w:firstLine="480" w:firstLineChars="200"/>
        <w:rPr>
          <w:rFonts w:hint="default" w:ascii="Times New Roman" w:hAnsi="Times New Roman" w:eastAsia="宋体" w:cs="Times New Roman"/>
          <w:bCs/>
          <w:color w:val="auto"/>
          <w:sz w:val="24"/>
          <w:highlight w:val="none"/>
        </w:rPr>
      </w:pPr>
      <w:r>
        <w:rPr>
          <w:rFonts w:hint="default" w:ascii="Times New Roman" w:hAnsi="Times New Roman" w:eastAsia="宋体" w:cs="Times New Roman"/>
          <w:bCs/>
          <w:color w:val="auto"/>
          <w:sz w:val="24"/>
          <w:highlight w:val="none"/>
        </w:rPr>
        <w:t>在</w:t>
      </w:r>
      <w:r>
        <w:rPr>
          <w:rFonts w:hint="default" w:ascii="Times New Roman" w:hAnsi="Times New Roman" w:eastAsia="宋体" w:cs="Times New Roman"/>
          <w:bCs/>
          <w:color w:val="auto"/>
          <w:sz w:val="24"/>
          <w:highlight w:val="none"/>
          <w:lang w:val="en-US" w:eastAsia="zh-CN"/>
        </w:rPr>
        <w:t>事故</w:t>
      </w:r>
      <w:r>
        <w:rPr>
          <w:rFonts w:hint="default" w:ascii="Times New Roman" w:hAnsi="Times New Roman" w:eastAsia="宋体" w:cs="Times New Roman"/>
          <w:bCs/>
          <w:color w:val="auto"/>
          <w:sz w:val="24"/>
          <w:highlight w:val="none"/>
        </w:rPr>
        <w:t>工况下对污染物对</w:t>
      </w:r>
      <w:r>
        <w:rPr>
          <w:rFonts w:hint="default" w:ascii="Times New Roman" w:hAnsi="Times New Roman" w:eastAsia="宋体" w:cs="Times New Roman"/>
          <w:bCs/>
          <w:color w:val="auto"/>
          <w:sz w:val="24"/>
          <w:highlight w:val="none"/>
          <w:lang w:eastAsia="zh-CN"/>
        </w:rPr>
        <w:t>地下水的</w:t>
      </w:r>
      <w:r>
        <w:rPr>
          <w:rFonts w:hint="default" w:ascii="Times New Roman" w:hAnsi="Times New Roman" w:eastAsia="宋体" w:cs="Times New Roman"/>
          <w:bCs/>
          <w:color w:val="auto"/>
          <w:sz w:val="24"/>
          <w:highlight w:val="none"/>
        </w:rPr>
        <w:t>影响进行预测，定量评价污染物的影响范围和程度。由预测可</w:t>
      </w:r>
      <w:r>
        <w:rPr>
          <w:rFonts w:hint="default" w:ascii="Times New Roman" w:hAnsi="Times New Roman" w:eastAsia="宋体" w:cs="Times New Roman"/>
          <w:bCs/>
          <w:color w:val="auto"/>
          <w:sz w:val="24"/>
          <w:highlight w:val="none"/>
          <w:lang w:eastAsia="zh-CN"/>
        </w:rPr>
        <w:t>知</w:t>
      </w:r>
      <w:r>
        <w:rPr>
          <w:rFonts w:hint="default" w:ascii="Times New Roman" w:hAnsi="Times New Roman" w:eastAsia="宋体" w:cs="Times New Roman"/>
          <w:bCs/>
          <w:color w:val="auto"/>
          <w:sz w:val="24"/>
          <w:highlight w:val="none"/>
        </w:rPr>
        <w:t>，一旦发生事故工况，如果不采取必要的措施其泄漏污水对地下水的影响是长期，本项目</w:t>
      </w:r>
      <w:r>
        <w:rPr>
          <w:rFonts w:hint="default" w:ascii="Times New Roman" w:hAnsi="Times New Roman" w:eastAsia="宋体" w:cs="Times New Roman"/>
          <w:bCs/>
          <w:color w:val="auto"/>
          <w:sz w:val="24"/>
          <w:highlight w:val="none"/>
          <w:lang w:eastAsia="zh-CN"/>
        </w:rPr>
        <w:t>厂</w:t>
      </w:r>
      <w:r>
        <w:rPr>
          <w:rFonts w:hint="default" w:ascii="Times New Roman" w:hAnsi="Times New Roman" w:eastAsia="宋体" w:cs="Times New Roman"/>
          <w:bCs/>
          <w:color w:val="auto"/>
          <w:sz w:val="24"/>
          <w:highlight w:val="none"/>
        </w:rPr>
        <w:t>内地下水流动缓慢，污染物迁移扩散速度慢，一旦发生地下水污染，污染物易累积，成为长期污染源，因此必须做好防渗及地下水应急处理措施的制定，万一发生事故状态，能将污染物泄漏量控制最少，即采用治理措施，减轻对区域地下水环境的影响。</w:t>
      </w:r>
    </w:p>
    <w:p w14:paraId="7B3636CE">
      <w:pPr>
        <w:spacing w:line="480" w:lineRule="exact"/>
        <w:ind w:firstLine="480" w:firstLineChars="200"/>
        <w:rPr>
          <w:rFonts w:hint="default" w:ascii="Times New Roman" w:hAnsi="Times New Roman" w:eastAsia="宋体" w:cs="Times New Roman"/>
          <w:bCs/>
          <w:color w:val="auto"/>
          <w:sz w:val="24"/>
          <w:highlight w:val="none"/>
        </w:rPr>
      </w:pPr>
      <w:r>
        <w:rPr>
          <w:rFonts w:hint="default" w:ascii="Times New Roman" w:hAnsi="Times New Roman" w:eastAsia="宋体" w:cs="Times New Roman"/>
          <w:bCs/>
          <w:color w:val="auto"/>
          <w:sz w:val="24"/>
          <w:highlight w:val="none"/>
        </w:rPr>
        <w:t>③结论</w:t>
      </w:r>
    </w:p>
    <w:p w14:paraId="2536CE5A">
      <w:pPr>
        <w:spacing w:line="480" w:lineRule="exact"/>
        <w:ind w:firstLine="480" w:firstLineChars="200"/>
        <w:rPr>
          <w:rFonts w:hint="default" w:ascii="Times New Roman" w:hAnsi="Times New Roman" w:eastAsia="宋体" w:cs="Times New Roman"/>
          <w:bCs/>
          <w:color w:val="auto"/>
          <w:sz w:val="24"/>
          <w:highlight w:val="none"/>
          <w:lang w:val="en-US" w:eastAsia="zh-CN"/>
        </w:rPr>
      </w:pPr>
      <w:r>
        <w:rPr>
          <w:rFonts w:hint="default" w:ascii="Times New Roman" w:hAnsi="Times New Roman" w:eastAsia="宋体" w:cs="Times New Roman"/>
          <w:bCs/>
          <w:color w:val="auto"/>
          <w:sz w:val="24"/>
          <w:highlight w:val="none"/>
        </w:rPr>
        <w:t>拟建项目采取报告中提出的</w:t>
      </w:r>
      <w:r>
        <w:rPr>
          <w:rFonts w:hint="default" w:ascii="Times New Roman" w:hAnsi="Times New Roman" w:eastAsia="宋体" w:cs="Times New Roman"/>
          <w:bCs/>
          <w:color w:val="auto"/>
          <w:sz w:val="24"/>
          <w:highlight w:val="none"/>
          <w:lang w:eastAsia="zh-CN"/>
        </w:rPr>
        <w:t>防腐、</w:t>
      </w:r>
      <w:r>
        <w:rPr>
          <w:rFonts w:hint="default" w:ascii="Times New Roman" w:hAnsi="Times New Roman" w:eastAsia="宋体" w:cs="Times New Roman"/>
          <w:bCs/>
          <w:color w:val="auto"/>
          <w:sz w:val="24"/>
          <w:highlight w:val="none"/>
        </w:rPr>
        <w:t>防渗、监控等地下水环境保护措施后，本项目对地下水环境的影响程度小，在强化管理、切实落实各项环保措施，确保全部污染物达标排放的前提下，拟建项目建设从地下水环境保护角度而言是可行的。</w:t>
      </w:r>
    </w:p>
    <w:p w14:paraId="515B1FA2">
      <w:pPr>
        <w:pStyle w:val="6"/>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w:t>
      </w:r>
      <w:r>
        <w:rPr>
          <w:rFonts w:hint="default" w:ascii="Times New Roman" w:hAnsi="Times New Roman" w:eastAsia="宋体" w:cs="Times New Roman"/>
          <w:color w:val="000000" w:themeColor="text1"/>
          <w:highlight w:val="none"/>
          <w14:textFill>
            <w14:solidFill>
              <w14:schemeClr w14:val="tx1"/>
            </w14:solidFill>
          </w14:textFill>
        </w:rPr>
        <w:t>.</w:t>
      </w:r>
      <w:r>
        <w:rPr>
          <w:rFonts w:hint="default" w:ascii="Times New Roman" w:hAnsi="Times New Roman" w:eastAsia="宋体" w:cs="Times New Roman"/>
          <w:color w:val="000000" w:themeColor="text1"/>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highlight w:val="none"/>
          <w14:textFill>
            <w14:solidFill>
              <w14:schemeClr w14:val="tx1"/>
            </w14:solidFill>
          </w14:textFill>
        </w:rPr>
        <w:t>声环境影响评价</w:t>
      </w:r>
    </w:p>
    <w:p w14:paraId="05EA15DA">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本评价以厂界噪声监测点作为预测评价点，计算项目投产后对厂界声环境的影响程度。</w:t>
      </w:r>
    </w:p>
    <w:p w14:paraId="2B72972B">
      <w:pPr>
        <w:pStyle w:val="8"/>
        <w:keepNext w:val="0"/>
        <w:keepLines w:val="0"/>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color w:val="000000" w:themeColor="text1"/>
          <w:highlight w:val="none"/>
          <w14:textFill>
            <w14:solidFill>
              <w14:schemeClr w14:val="tx1"/>
            </w14:solidFill>
          </w14:textFill>
        </w:rPr>
      </w:pPr>
      <w:bookmarkStart w:id="321" w:name="_Toc499462746"/>
      <w:r>
        <w:rPr>
          <w:rFonts w:hint="default" w:ascii="Times New Roman" w:hAnsi="Times New Roman" w:eastAsia="宋体" w:cs="Times New Roman"/>
          <w:color w:val="000000" w:themeColor="text1"/>
          <w:highlight w:val="none"/>
          <w:lang w:val="en-US" w:eastAsia="zh-CN"/>
          <w14:textFill>
            <w14:solidFill>
              <w14:schemeClr w14:val="tx1"/>
            </w14:solidFill>
          </w14:textFill>
        </w:rPr>
        <w:t>5.2.4</w:t>
      </w:r>
      <w:r>
        <w:rPr>
          <w:rFonts w:hint="default" w:ascii="Times New Roman" w:hAnsi="Times New Roman" w:eastAsia="宋体" w:cs="Times New Roman"/>
          <w:color w:val="000000" w:themeColor="text1"/>
          <w:highlight w:val="none"/>
          <w14:textFill>
            <w14:solidFill>
              <w14:schemeClr w14:val="tx1"/>
            </w14:solidFill>
          </w14:textFill>
        </w:rPr>
        <w:t>.1噪声源参数的确定</w:t>
      </w:r>
      <w:bookmarkEnd w:id="321"/>
    </w:p>
    <w:p w14:paraId="19764B6B">
      <w:pPr>
        <w:spacing w:line="480" w:lineRule="exact"/>
        <w:ind w:firstLine="464" w:firstLineChars="200"/>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sectPr>
          <w:footerReference r:id="rId24" w:type="default"/>
          <w:pgSz w:w="11906" w:h="16838"/>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r>
        <w:rPr>
          <w:rFonts w:hint="eastAsia" w:cs="Times New Roman"/>
          <w:spacing w:val="-4"/>
          <w:sz w:val="24"/>
          <w:szCs w:val="24"/>
          <w:highlight w:val="none"/>
          <w:lang w:val="en-US" w:eastAsia="zh-CN"/>
        </w:rPr>
        <w:t>由于现有工程</w:t>
      </w:r>
      <w:r>
        <w:rPr>
          <w:rFonts w:hint="default" w:ascii="Times New Roman" w:hAnsi="Times New Roman" w:eastAsia="宋体" w:cs="Times New Roman"/>
          <w:spacing w:val="-4"/>
          <w:sz w:val="24"/>
          <w:szCs w:val="24"/>
          <w:highlight w:val="none"/>
        </w:rPr>
        <w:t>未进行噪声监测，本项目此次按扩建后全厂设备进行噪声影响预测。由工程分析可知</w:t>
      </w:r>
      <w:r>
        <w:rPr>
          <w:rFonts w:hint="default" w:ascii="Times New Roman" w:hAnsi="Times New Roman" w:eastAsia="宋体" w:cs="Times New Roman"/>
          <w:spacing w:val="-4"/>
          <w:sz w:val="24"/>
          <w:szCs w:val="24"/>
          <w:highlight w:val="none"/>
          <w:lang w:eastAsia="zh-CN"/>
        </w:rPr>
        <w:t>，</w:t>
      </w:r>
      <w:r>
        <w:rPr>
          <w:rFonts w:hint="default" w:ascii="Times New Roman" w:hAnsi="Times New Roman" w:eastAsia="宋体" w:cs="Times New Roman"/>
          <w:spacing w:val="-4"/>
          <w:sz w:val="24"/>
          <w:szCs w:val="24"/>
          <w:highlight w:val="none"/>
          <w:lang w:val="en-US" w:eastAsia="zh-CN"/>
        </w:rPr>
        <w:t>项目建成后，全厂</w:t>
      </w:r>
      <w:r>
        <w:rPr>
          <w:rFonts w:hint="default" w:ascii="Times New Roman" w:hAnsi="Times New Roman" w:eastAsia="宋体" w:cs="Times New Roman"/>
          <w:color w:val="000000" w:themeColor="text1"/>
          <w:kern w:val="24"/>
          <w:sz w:val="24"/>
          <w:highlight w:val="none"/>
          <w:lang w:eastAsia="zh-CN"/>
          <w14:textFill>
            <w14:solidFill>
              <w14:schemeClr w14:val="tx1"/>
            </w14:solidFill>
          </w14:textFill>
        </w:rPr>
        <w:t>噪声源主要为</w:t>
      </w:r>
      <w:r>
        <w:rPr>
          <w:rFonts w:hint="default" w:ascii="Times New Roman" w:hAnsi="Times New Roman" w:eastAsia="宋体" w:cs="Times New Roman"/>
          <w:color w:val="000000" w:themeColor="text1"/>
          <w:kern w:val="24"/>
          <w:sz w:val="24"/>
          <w:highlight w:val="none"/>
          <w:lang w:val="en-US" w:eastAsia="zh-CN"/>
          <w14:textFill>
            <w14:solidFill>
              <w14:schemeClr w14:val="tx1"/>
            </w14:solidFill>
          </w14:textFill>
        </w:rPr>
        <w:t>鼓风机、泵类、叠螺污泥脱水机、废气处理风机等，噪声源强为</w:t>
      </w:r>
      <w:r>
        <w:rPr>
          <w:rFonts w:hint="eastAsia" w:cs="Times New Roman"/>
          <w:color w:val="000000" w:themeColor="text1"/>
          <w:kern w:val="24"/>
          <w:sz w:val="24"/>
          <w:highlight w:val="none"/>
          <w:lang w:val="en-US" w:eastAsia="zh-CN"/>
          <w14:textFill>
            <w14:solidFill>
              <w14:schemeClr w14:val="tx1"/>
            </w14:solidFill>
          </w14:textFill>
        </w:rPr>
        <w:t>80</w:t>
      </w:r>
      <w:r>
        <w:rPr>
          <w:rFonts w:hint="default" w:ascii="Times New Roman" w:hAnsi="Times New Roman" w:eastAsia="宋体" w:cs="Times New Roman"/>
          <w:color w:val="000000" w:themeColor="text1"/>
          <w:kern w:val="24"/>
          <w:sz w:val="24"/>
          <w:highlight w:val="none"/>
          <w:lang w:val="en-US" w:eastAsia="zh-CN"/>
          <w14:textFill>
            <w14:solidFill>
              <w14:schemeClr w14:val="tx1"/>
            </w14:solidFill>
          </w14:textFill>
        </w:rPr>
        <w:t>-</w:t>
      </w:r>
      <w:r>
        <w:rPr>
          <w:rFonts w:hint="eastAsia" w:cs="Times New Roman"/>
          <w:color w:val="000000" w:themeColor="text1"/>
          <w:kern w:val="24"/>
          <w:sz w:val="24"/>
          <w:highlight w:val="none"/>
          <w:lang w:val="en-US" w:eastAsia="zh-CN"/>
          <w14:textFill>
            <w14:solidFill>
              <w14:schemeClr w14:val="tx1"/>
            </w14:solidFill>
          </w14:textFill>
        </w:rPr>
        <w:t>110</w:t>
      </w:r>
      <w:r>
        <w:rPr>
          <w:rFonts w:hint="default" w:ascii="Times New Roman" w:hAnsi="Times New Roman" w:eastAsia="宋体" w:cs="Times New Roman"/>
          <w:color w:val="000000" w:themeColor="text1"/>
          <w:kern w:val="24"/>
          <w:sz w:val="24"/>
          <w:highlight w:val="none"/>
          <w:lang w:val="en-US" w:eastAsia="zh-CN"/>
          <w14:textFill>
            <w14:solidFill>
              <w14:schemeClr w14:val="tx1"/>
            </w14:solidFill>
          </w14:textFill>
        </w:rPr>
        <w:t>dB(A)</w:t>
      </w:r>
      <w:r>
        <w:rPr>
          <w:rFonts w:hint="default" w:ascii="Times New Roman" w:hAnsi="Times New Roman" w:eastAsia="宋体" w:cs="Times New Roman"/>
          <w:b w:val="0"/>
          <w:bCs/>
          <w:color w:val="000000" w:themeColor="text1"/>
          <w:sz w:val="24"/>
          <w:highlight w:val="none"/>
          <w:lang w:eastAsia="zh-CN"/>
          <w14:textFill>
            <w14:solidFill>
              <w14:schemeClr w14:val="tx1"/>
            </w14:solidFill>
          </w14:textFill>
        </w:rPr>
        <w:t>，</w:t>
      </w:r>
      <w:r>
        <w:rPr>
          <w:rFonts w:hint="default" w:ascii="Times New Roman" w:hAnsi="Times New Roman" w:eastAsia="宋体" w:cs="Times New Roman"/>
          <w:color w:val="000000" w:themeColor="text1"/>
          <w:kern w:val="24"/>
          <w:sz w:val="24"/>
          <w:highlight w:val="none"/>
          <w:lang w:val="en-US" w:eastAsia="zh-CN"/>
          <w14:textFill>
            <w14:solidFill>
              <w14:schemeClr w14:val="tx1"/>
            </w14:solidFill>
          </w14:textFill>
        </w:rPr>
        <w:t>项目采取合理布局，选用低噪声设备，风机出风口软连接、产噪设备均布置在厂房内或地下，设备加装减振基础的隔声降噪措施，</w:t>
      </w:r>
      <w:r>
        <w:rPr>
          <w:rFonts w:hint="default" w:ascii="Times New Roman" w:hAnsi="Times New Roman" w:eastAsia="宋体" w:cs="Times New Roman"/>
          <w:b w:val="0"/>
          <w:bCs w:val="0"/>
          <w:color w:val="000000" w:themeColor="text1"/>
          <w:kern w:val="0"/>
          <w:sz w:val="24"/>
          <w:szCs w:val="24"/>
          <w:highlight w:val="none"/>
          <w:lang w:val="en-US" w:eastAsia="zh-CN"/>
          <w14:textFill>
            <w14:solidFill>
              <w14:schemeClr w14:val="tx1"/>
            </w14:solidFill>
          </w14:textFill>
        </w:rPr>
        <w:t>本项目以厂区西南角为坐标原点（0,0,0），具体噪声源强及治理措施见下表</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w:t>
      </w:r>
    </w:p>
    <w:p w14:paraId="7B35338A">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工业企业噪声源强调查清单（室内声源）</w:t>
      </w:r>
    </w:p>
    <w:tbl>
      <w:tblPr>
        <w:tblStyle w:val="4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8"/>
        <w:gridCol w:w="632"/>
        <w:gridCol w:w="715"/>
        <w:gridCol w:w="2018"/>
        <w:gridCol w:w="897"/>
        <w:gridCol w:w="1169"/>
        <w:gridCol w:w="543"/>
        <w:gridCol w:w="425"/>
        <w:gridCol w:w="307"/>
        <w:gridCol w:w="318"/>
        <w:gridCol w:w="317"/>
        <w:gridCol w:w="318"/>
        <w:gridCol w:w="317"/>
        <w:gridCol w:w="513"/>
        <w:gridCol w:w="513"/>
        <w:gridCol w:w="513"/>
        <w:gridCol w:w="513"/>
        <w:gridCol w:w="521"/>
        <w:gridCol w:w="858"/>
        <w:gridCol w:w="424"/>
        <w:gridCol w:w="424"/>
        <w:gridCol w:w="424"/>
        <w:gridCol w:w="427"/>
        <w:gridCol w:w="486"/>
      </w:tblGrid>
      <w:tr w14:paraId="7C5C7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2" w:hRule="exact"/>
          <w:jc w:val="center"/>
        </w:trPr>
        <w:tc>
          <w:tcPr>
            <w:tcW w:w="458" w:type="dxa"/>
            <w:vMerge w:val="restart"/>
            <w:vAlign w:val="center"/>
          </w:tcPr>
          <w:p w14:paraId="55483E12">
            <w:pPr>
              <w:pStyle w:val="58"/>
              <w:bidi w:val="0"/>
              <w:rPr>
                <w:rFonts w:hint="default"/>
                <w:highlight w:val="none"/>
              </w:rPr>
            </w:pPr>
            <w:bookmarkStart w:id="322" w:name="PT_6"/>
            <w:r>
              <w:rPr>
                <w:rFonts w:hint="default"/>
                <w:highlight w:val="none"/>
              </w:rPr>
              <w:t>序号</w:t>
            </w:r>
          </w:p>
        </w:tc>
        <w:tc>
          <w:tcPr>
            <w:tcW w:w="632" w:type="dxa"/>
            <w:vMerge w:val="restart"/>
            <w:vAlign w:val="center"/>
          </w:tcPr>
          <w:p w14:paraId="23E50F57">
            <w:pPr>
              <w:pStyle w:val="58"/>
              <w:bidi w:val="0"/>
              <w:rPr>
                <w:rFonts w:hint="default"/>
                <w:highlight w:val="none"/>
              </w:rPr>
            </w:pPr>
            <w:r>
              <w:rPr>
                <w:rFonts w:hint="default"/>
                <w:highlight w:val="none"/>
              </w:rPr>
              <w:t>建筑物名称</w:t>
            </w:r>
          </w:p>
        </w:tc>
        <w:tc>
          <w:tcPr>
            <w:tcW w:w="715" w:type="dxa"/>
            <w:vMerge w:val="restart"/>
            <w:vAlign w:val="center"/>
          </w:tcPr>
          <w:p w14:paraId="1E49D05D">
            <w:pPr>
              <w:pStyle w:val="58"/>
              <w:bidi w:val="0"/>
              <w:rPr>
                <w:rFonts w:hint="default"/>
                <w:highlight w:val="none"/>
              </w:rPr>
            </w:pPr>
            <w:r>
              <w:rPr>
                <w:rFonts w:hint="default"/>
                <w:highlight w:val="none"/>
              </w:rPr>
              <w:t>声源名称</w:t>
            </w:r>
          </w:p>
        </w:tc>
        <w:tc>
          <w:tcPr>
            <w:tcW w:w="2018" w:type="dxa"/>
            <w:vMerge w:val="restart"/>
            <w:vAlign w:val="center"/>
          </w:tcPr>
          <w:p w14:paraId="566ECBF2">
            <w:pPr>
              <w:pStyle w:val="58"/>
              <w:bidi w:val="0"/>
              <w:rPr>
                <w:rFonts w:hint="default"/>
                <w:highlight w:val="none"/>
              </w:rPr>
            </w:pPr>
            <w:r>
              <w:rPr>
                <w:rFonts w:hint="default"/>
                <w:highlight w:val="none"/>
              </w:rPr>
              <w:t>型号</w:t>
            </w:r>
          </w:p>
        </w:tc>
        <w:tc>
          <w:tcPr>
            <w:tcW w:w="897" w:type="dxa"/>
            <w:vAlign w:val="center"/>
          </w:tcPr>
          <w:p w14:paraId="63B6DB18">
            <w:pPr>
              <w:pStyle w:val="58"/>
              <w:bidi w:val="0"/>
              <w:rPr>
                <w:rFonts w:hint="default"/>
                <w:highlight w:val="none"/>
                <w:lang w:eastAsia="zh-CN"/>
              </w:rPr>
            </w:pPr>
            <w:r>
              <w:rPr>
                <w:rFonts w:hint="default"/>
                <w:highlight w:val="none"/>
                <w:lang w:eastAsia="zh-CN"/>
              </w:rPr>
              <w:t>声源源强</w:t>
            </w:r>
          </w:p>
        </w:tc>
        <w:tc>
          <w:tcPr>
            <w:tcW w:w="1169" w:type="dxa"/>
            <w:vMerge w:val="restart"/>
            <w:vAlign w:val="center"/>
          </w:tcPr>
          <w:p w14:paraId="565F1C1F">
            <w:pPr>
              <w:pStyle w:val="58"/>
              <w:bidi w:val="0"/>
              <w:rPr>
                <w:rFonts w:hint="default"/>
                <w:highlight w:val="none"/>
              </w:rPr>
            </w:pPr>
            <w:r>
              <w:rPr>
                <w:rFonts w:hint="default"/>
                <w:highlight w:val="none"/>
              </w:rPr>
              <w:t>声源控制措施</w:t>
            </w:r>
          </w:p>
        </w:tc>
        <w:tc>
          <w:tcPr>
            <w:tcW w:w="1275" w:type="dxa"/>
            <w:gridSpan w:val="3"/>
            <w:vAlign w:val="center"/>
          </w:tcPr>
          <w:p w14:paraId="645B209A">
            <w:pPr>
              <w:pStyle w:val="58"/>
              <w:bidi w:val="0"/>
              <w:rPr>
                <w:rFonts w:hint="default"/>
                <w:highlight w:val="none"/>
              </w:rPr>
            </w:pPr>
            <w:r>
              <w:rPr>
                <w:rFonts w:hint="default"/>
                <w:highlight w:val="none"/>
              </w:rPr>
              <w:t>空间相对位置/m</w:t>
            </w:r>
          </w:p>
        </w:tc>
        <w:tc>
          <w:tcPr>
            <w:tcW w:w="1270" w:type="dxa"/>
            <w:gridSpan w:val="4"/>
            <w:vAlign w:val="center"/>
          </w:tcPr>
          <w:p w14:paraId="32BF15C5">
            <w:pPr>
              <w:pStyle w:val="58"/>
              <w:bidi w:val="0"/>
              <w:rPr>
                <w:rFonts w:hint="default"/>
                <w:highlight w:val="none"/>
              </w:rPr>
            </w:pPr>
            <w:r>
              <w:rPr>
                <w:rFonts w:hint="default"/>
                <w:highlight w:val="none"/>
              </w:rPr>
              <w:t>距室内边界距离/m</w:t>
            </w:r>
          </w:p>
        </w:tc>
        <w:tc>
          <w:tcPr>
            <w:tcW w:w="2052" w:type="dxa"/>
            <w:gridSpan w:val="4"/>
            <w:vAlign w:val="center"/>
          </w:tcPr>
          <w:p w14:paraId="27906343">
            <w:pPr>
              <w:pStyle w:val="58"/>
              <w:bidi w:val="0"/>
              <w:rPr>
                <w:rFonts w:hint="default"/>
                <w:highlight w:val="none"/>
              </w:rPr>
            </w:pPr>
            <w:r>
              <w:rPr>
                <w:rFonts w:hint="default"/>
                <w:highlight w:val="none"/>
              </w:rPr>
              <w:t>室内边界声级/dB(A)</w:t>
            </w:r>
          </w:p>
        </w:tc>
        <w:tc>
          <w:tcPr>
            <w:tcW w:w="521" w:type="dxa"/>
            <w:vMerge w:val="restart"/>
            <w:vAlign w:val="center"/>
          </w:tcPr>
          <w:p w14:paraId="36138137">
            <w:pPr>
              <w:pStyle w:val="58"/>
              <w:bidi w:val="0"/>
              <w:rPr>
                <w:rFonts w:hint="default"/>
                <w:highlight w:val="none"/>
              </w:rPr>
            </w:pPr>
            <w:r>
              <w:rPr>
                <w:rFonts w:hint="default"/>
                <w:highlight w:val="none"/>
              </w:rPr>
              <w:t>运行时段</w:t>
            </w:r>
          </w:p>
        </w:tc>
        <w:tc>
          <w:tcPr>
            <w:tcW w:w="858" w:type="dxa"/>
            <w:vMerge w:val="restart"/>
            <w:vAlign w:val="center"/>
          </w:tcPr>
          <w:p w14:paraId="09505906">
            <w:pPr>
              <w:pStyle w:val="58"/>
              <w:bidi w:val="0"/>
              <w:rPr>
                <w:rFonts w:hint="default"/>
                <w:highlight w:val="none"/>
              </w:rPr>
            </w:pPr>
            <w:r>
              <w:rPr>
                <w:rFonts w:hint="default"/>
                <w:highlight w:val="none"/>
              </w:rPr>
              <w:t>建筑物插入损失/dB(A)</w:t>
            </w:r>
            <w:bookmarkStart w:id="323" w:name="PT_10"/>
            <w:bookmarkEnd w:id="323"/>
          </w:p>
        </w:tc>
        <w:tc>
          <w:tcPr>
            <w:tcW w:w="2185" w:type="dxa"/>
            <w:gridSpan w:val="5"/>
            <w:vAlign w:val="center"/>
          </w:tcPr>
          <w:p w14:paraId="5B87FB22">
            <w:pPr>
              <w:pStyle w:val="58"/>
              <w:bidi w:val="0"/>
              <w:rPr>
                <w:rFonts w:hint="default"/>
                <w:highlight w:val="none"/>
              </w:rPr>
            </w:pPr>
            <w:r>
              <w:rPr>
                <w:rFonts w:hint="default"/>
                <w:highlight w:val="none"/>
              </w:rPr>
              <w:t>建筑物外噪声声压级/dB(A)</w:t>
            </w:r>
          </w:p>
        </w:tc>
      </w:tr>
      <w:tr w14:paraId="19D46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458" w:type="dxa"/>
            <w:vMerge w:val="continue"/>
            <w:shd w:val="clear" w:color="auto" w:fill="FFFFFF"/>
            <w:tcMar>
              <w:top w:w="0" w:type="dxa"/>
              <w:left w:w="0" w:type="dxa"/>
              <w:bottom w:w="0" w:type="dxa"/>
              <w:right w:w="0" w:type="dxa"/>
            </w:tcMar>
            <w:vAlign w:val="center"/>
          </w:tcPr>
          <w:p w14:paraId="77ED97D7">
            <w:pPr>
              <w:pStyle w:val="58"/>
              <w:bidi w:val="0"/>
              <w:rPr>
                <w:rFonts w:hint="default"/>
                <w:highlight w:val="none"/>
                <w:lang w:val="en-US" w:eastAsia="zh-CN"/>
              </w:rPr>
            </w:pPr>
          </w:p>
        </w:tc>
        <w:tc>
          <w:tcPr>
            <w:tcW w:w="632" w:type="dxa"/>
            <w:vMerge w:val="continue"/>
            <w:shd w:val="clear" w:color="auto" w:fill="FFFFFF"/>
            <w:tcMar>
              <w:top w:w="0" w:type="dxa"/>
              <w:left w:w="0" w:type="dxa"/>
              <w:bottom w:w="0" w:type="dxa"/>
              <w:right w:w="0" w:type="dxa"/>
            </w:tcMar>
            <w:vAlign w:val="center"/>
          </w:tcPr>
          <w:p w14:paraId="0EE7BD93">
            <w:pPr>
              <w:pStyle w:val="58"/>
              <w:bidi w:val="0"/>
              <w:rPr>
                <w:rFonts w:hint="default"/>
                <w:highlight w:val="none"/>
              </w:rPr>
            </w:pPr>
          </w:p>
        </w:tc>
        <w:tc>
          <w:tcPr>
            <w:tcW w:w="715" w:type="dxa"/>
            <w:vMerge w:val="continue"/>
            <w:shd w:val="clear" w:color="auto" w:fill="FFFFFF"/>
            <w:tcMar>
              <w:top w:w="0" w:type="dxa"/>
              <w:left w:w="0" w:type="dxa"/>
              <w:bottom w:w="0" w:type="dxa"/>
              <w:right w:w="0" w:type="dxa"/>
            </w:tcMar>
            <w:vAlign w:val="center"/>
          </w:tcPr>
          <w:p w14:paraId="5E338CAE">
            <w:pPr>
              <w:pStyle w:val="58"/>
              <w:bidi w:val="0"/>
              <w:rPr>
                <w:rFonts w:hint="default"/>
                <w:highlight w:val="none"/>
              </w:rPr>
            </w:pPr>
          </w:p>
        </w:tc>
        <w:tc>
          <w:tcPr>
            <w:tcW w:w="2018" w:type="dxa"/>
            <w:vMerge w:val="continue"/>
            <w:shd w:val="clear" w:color="auto" w:fill="FFFFFF"/>
            <w:tcMar>
              <w:top w:w="0" w:type="dxa"/>
              <w:left w:w="0" w:type="dxa"/>
              <w:bottom w:w="0" w:type="dxa"/>
              <w:right w:w="0" w:type="dxa"/>
            </w:tcMar>
            <w:vAlign w:val="center"/>
          </w:tcPr>
          <w:p w14:paraId="1534C460">
            <w:pPr>
              <w:pStyle w:val="58"/>
              <w:bidi w:val="0"/>
              <w:rPr>
                <w:rFonts w:hint="default"/>
                <w:highlight w:val="none"/>
              </w:rPr>
            </w:pPr>
          </w:p>
        </w:tc>
        <w:tc>
          <w:tcPr>
            <w:tcW w:w="897" w:type="dxa"/>
            <w:shd w:val="clear" w:color="auto" w:fill="FFFFFF"/>
            <w:tcMar>
              <w:top w:w="0" w:type="dxa"/>
              <w:left w:w="0" w:type="dxa"/>
              <w:bottom w:w="0" w:type="dxa"/>
              <w:right w:w="0" w:type="dxa"/>
            </w:tcMar>
            <w:vAlign w:val="center"/>
          </w:tcPr>
          <w:p w14:paraId="74FBD6BF">
            <w:pPr>
              <w:pStyle w:val="58"/>
              <w:bidi w:val="0"/>
              <w:rPr>
                <w:rFonts w:hint="default"/>
                <w:highlight w:val="none"/>
              </w:rPr>
            </w:pPr>
            <w:r>
              <w:rPr>
                <w:rFonts w:hint="default"/>
                <w:highlight w:val="none"/>
              </w:rPr>
              <w:t>声功率级/dB(A)</w:t>
            </w:r>
          </w:p>
        </w:tc>
        <w:tc>
          <w:tcPr>
            <w:tcW w:w="1169" w:type="dxa"/>
            <w:vMerge w:val="continue"/>
            <w:shd w:val="clear" w:color="auto" w:fill="FFFFFF"/>
            <w:tcMar>
              <w:top w:w="0" w:type="dxa"/>
              <w:left w:w="0" w:type="dxa"/>
              <w:bottom w:w="0" w:type="dxa"/>
              <w:right w:w="0" w:type="dxa"/>
            </w:tcMar>
            <w:vAlign w:val="center"/>
          </w:tcPr>
          <w:p w14:paraId="5C5A4704">
            <w:pPr>
              <w:pStyle w:val="58"/>
              <w:bidi w:val="0"/>
              <w:rPr>
                <w:rFonts w:hint="default"/>
                <w:highlight w:val="none"/>
              </w:rPr>
            </w:pPr>
          </w:p>
        </w:tc>
        <w:tc>
          <w:tcPr>
            <w:tcW w:w="543" w:type="dxa"/>
            <w:shd w:val="clear" w:color="auto" w:fill="FFFFFF"/>
            <w:tcMar>
              <w:top w:w="0" w:type="dxa"/>
              <w:left w:w="0" w:type="dxa"/>
              <w:bottom w:w="0" w:type="dxa"/>
              <w:right w:w="0" w:type="dxa"/>
            </w:tcMar>
            <w:vAlign w:val="center"/>
          </w:tcPr>
          <w:p w14:paraId="6A5480D2">
            <w:pPr>
              <w:pStyle w:val="58"/>
              <w:bidi w:val="0"/>
              <w:rPr>
                <w:rFonts w:hint="default"/>
                <w:highlight w:val="none"/>
              </w:rPr>
            </w:pPr>
            <w:r>
              <w:rPr>
                <w:rFonts w:hint="default"/>
                <w:highlight w:val="none"/>
              </w:rPr>
              <w:t>X</w:t>
            </w:r>
          </w:p>
        </w:tc>
        <w:tc>
          <w:tcPr>
            <w:tcW w:w="425" w:type="dxa"/>
            <w:shd w:val="clear" w:color="auto" w:fill="FFFFFF"/>
            <w:tcMar>
              <w:top w:w="0" w:type="dxa"/>
              <w:left w:w="0" w:type="dxa"/>
              <w:bottom w:w="0" w:type="dxa"/>
              <w:right w:w="0" w:type="dxa"/>
            </w:tcMar>
            <w:vAlign w:val="center"/>
          </w:tcPr>
          <w:p w14:paraId="2C034B59">
            <w:pPr>
              <w:pStyle w:val="58"/>
              <w:bidi w:val="0"/>
              <w:rPr>
                <w:rFonts w:hint="default"/>
                <w:highlight w:val="none"/>
              </w:rPr>
            </w:pPr>
            <w:r>
              <w:rPr>
                <w:rFonts w:hint="default"/>
                <w:highlight w:val="none"/>
              </w:rPr>
              <w:t>Y</w:t>
            </w:r>
          </w:p>
        </w:tc>
        <w:tc>
          <w:tcPr>
            <w:tcW w:w="307" w:type="dxa"/>
            <w:shd w:val="clear" w:color="auto" w:fill="FFFFFF"/>
            <w:tcMar>
              <w:top w:w="0" w:type="dxa"/>
              <w:left w:w="0" w:type="dxa"/>
              <w:bottom w:w="0" w:type="dxa"/>
              <w:right w:w="0" w:type="dxa"/>
            </w:tcMar>
            <w:vAlign w:val="center"/>
          </w:tcPr>
          <w:p w14:paraId="13242BDF">
            <w:pPr>
              <w:pStyle w:val="58"/>
              <w:bidi w:val="0"/>
              <w:rPr>
                <w:rFonts w:hint="default"/>
                <w:highlight w:val="none"/>
              </w:rPr>
            </w:pPr>
            <w:r>
              <w:rPr>
                <w:rFonts w:hint="default"/>
                <w:highlight w:val="none"/>
              </w:rPr>
              <w:t>Z</w:t>
            </w:r>
          </w:p>
        </w:tc>
        <w:tc>
          <w:tcPr>
            <w:tcW w:w="318" w:type="dxa"/>
            <w:shd w:val="clear" w:color="auto" w:fill="FFFFFF"/>
            <w:tcMar>
              <w:top w:w="0" w:type="dxa"/>
              <w:left w:w="0" w:type="dxa"/>
              <w:bottom w:w="0" w:type="dxa"/>
              <w:right w:w="0" w:type="dxa"/>
            </w:tcMar>
            <w:vAlign w:val="center"/>
          </w:tcPr>
          <w:p w14:paraId="458F7B09">
            <w:pPr>
              <w:pStyle w:val="58"/>
              <w:bidi w:val="0"/>
              <w:rPr>
                <w:rFonts w:hint="default"/>
                <w:highlight w:val="none"/>
              </w:rPr>
            </w:pPr>
            <w:r>
              <w:rPr>
                <w:rFonts w:hint="default"/>
                <w:highlight w:val="none"/>
                <w:lang w:val="en-US" w:eastAsia="zh-CN"/>
              </w:rPr>
              <w:t>东</w:t>
            </w:r>
          </w:p>
        </w:tc>
        <w:tc>
          <w:tcPr>
            <w:tcW w:w="317" w:type="dxa"/>
            <w:shd w:val="clear" w:color="auto" w:fill="FFFFFF"/>
            <w:tcMar>
              <w:top w:w="0" w:type="dxa"/>
              <w:left w:w="0" w:type="dxa"/>
              <w:bottom w:w="0" w:type="dxa"/>
              <w:right w:w="0" w:type="dxa"/>
            </w:tcMar>
            <w:vAlign w:val="center"/>
          </w:tcPr>
          <w:p w14:paraId="41F6CC68">
            <w:pPr>
              <w:pStyle w:val="58"/>
              <w:bidi w:val="0"/>
              <w:rPr>
                <w:rFonts w:hint="default"/>
                <w:highlight w:val="none"/>
              </w:rPr>
            </w:pPr>
            <w:r>
              <w:rPr>
                <w:rFonts w:hint="default"/>
                <w:highlight w:val="none"/>
                <w:lang w:val="en-US" w:eastAsia="zh-CN"/>
              </w:rPr>
              <w:t>南</w:t>
            </w:r>
          </w:p>
        </w:tc>
        <w:tc>
          <w:tcPr>
            <w:tcW w:w="318" w:type="dxa"/>
            <w:shd w:val="clear" w:color="auto" w:fill="FFFFFF"/>
            <w:tcMar>
              <w:top w:w="0" w:type="dxa"/>
              <w:left w:w="0" w:type="dxa"/>
              <w:bottom w:w="0" w:type="dxa"/>
              <w:right w:w="0" w:type="dxa"/>
            </w:tcMar>
            <w:vAlign w:val="center"/>
          </w:tcPr>
          <w:p w14:paraId="79D4E359">
            <w:pPr>
              <w:pStyle w:val="58"/>
              <w:bidi w:val="0"/>
              <w:rPr>
                <w:rFonts w:hint="default"/>
                <w:highlight w:val="none"/>
              </w:rPr>
            </w:pPr>
            <w:r>
              <w:rPr>
                <w:rFonts w:hint="default"/>
                <w:highlight w:val="none"/>
                <w:lang w:val="en-US" w:eastAsia="zh-CN"/>
              </w:rPr>
              <w:t>西</w:t>
            </w:r>
          </w:p>
        </w:tc>
        <w:tc>
          <w:tcPr>
            <w:tcW w:w="317" w:type="dxa"/>
            <w:shd w:val="clear" w:color="auto" w:fill="FFFFFF"/>
            <w:tcMar>
              <w:top w:w="0" w:type="dxa"/>
              <w:left w:w="0" w:type="dxa"/>
              <w:bottom w:w="0" w:type="dxa"/>
              <w:right w:w="0" w:type="dxa"/>
            </w:tcMar>
            <w:vAlign w:val="center"/>
          </w:tcPr>
          <w:p w14:paraId="3FE0C302">
            <w:pPr>
              <w:pStyle w:val="58"/>
              <w:bidi w:val="0"/>
              <w:rPr>
                <w:rFonts w:hint="default"/>
                <w:highlight w:val="none"/>
              </w:rPr>
            </w:pPr>
            <w:r>
              <w:rPr>
                <w:rFonts w:hint="default"/>
                <w:highlight w:val="none"/>
                <w:lang w:val="en-US" w:eastAsia="zh-CN"/>
              </w:rPr>
              <w:t>北</w:t>
            </w:r>
          </w:p>
        </w:tc>
        <w:tc>
          <w:tcPr>
            <w:tcW w:w="513" w:type="dxa"/>
            <w:shd w:val="clear" w:color="auto" w:fill="FFFFFF"/>
            <w:tcMar>
              <w:top w:w="0" w:type="dxa"/>
              <w:left w:w="0" w:type="dxa"/>
              <w:bottom w:w="0" w:type="dxa"/>
              <w:right w:w="0" w:type="dxa"/>
            </w:tcMar>
            <w:vAlign w:val="center"/>
          </w:tcPr>
          <w:p w14:paraId="10E8A2E2">
            <w:pPr>
              <w:pStyle w:val="58"/>
              <w:bidi w:val="0"/>
              <w:rPr>
                <w:rFonts w:hint="default"/>
                <w:highlight w:val="none"/>
              </w:rPr>
            </w:pPr>
            <w:r>
              <w:rPr>
                <w:rFonts w:hint="default"/>
                <w:highlight w:val="none"/>
                <w:lang w:val="en-US" w:eastAsia="zh-CN"/>
              </w:rPr>
              <w:t>东</w:t>
            </w:r>
          </w:p>
        </w:tc>
        <w:tc>
          <w:tcPr>
            <w:tcW w:w="513" w:type="dxa"/>
            <w:shd w:val="clear" w:color="auto" w:fill="FFFFFF"/>
            <w:tcMar>
              <w:top w:w="0" w:type="dxa"/>
              <w:left w:w="0" w:type="dxa"/>
              <w:bottom w:w="0" w:type="dxa"/>
              <w:right w:w="0" w:type="dxa"/>
            </w:tcMar>
            <w:vAlign w:val="center"/>
          </w:tcPr>
          <w:p w14:paraId="1E375CBB">
            <w:pPr>
              <w:pStyle w:val="58"/>
              <w:bidi w:val="0"/>
              <w:rPr>
                <w:rFonts w:hint="default"/>
                <w:highlight w:val="none"/>
              </w:rPr>
            </w:pPr>
            <w:r>
              <w:rPr>
                <w:rFonts w:hint="default"/>
                <w:highlight w:val="none"/>
                <w:lang w:val="en-US" w:eastAsia="zh-CN"/>
              </w:rPr>
              <w:t>南</w:t>
            </w:r>
          </w:p>
        </w:tc>
        <w:tc>
          <w:tcPr>
            <w:tcW w:w="513" w:type="dxa"/>
            <w:shd w:val="clear" w:color="auto" w:fill="FFFFFF"/>
            <w:tcMar>
              <w:top w:w="0" w:type="dxa"/>
              <w:left w:w="0" w:type="dxa"/>
              <w:bottom w:w="0" w:type="dxa"/>
              <w:right w:w="0" w:type="dxa"/>
            </w:tcMar>
            <w:vAlign w:val="center"/>
          </w:tcPr>
          <w:p w14:paraId="0BCB391E">
            <w:pPr>
              <w:pStyle w:val="58"/>
              <w:bidi w:val="0"/>
              <w:rPr>
                <w:rFonts w:hint="default"/>
                <w:highlight w:val="none"/>
              </w:rPr>
            </w:pPr>
            <w:r>
              <w:rPr>
                <w:rFonts w:hint="default"/>
                <w:highlight w:val="none"/>
                <w:lang w:val="en-US" w:eastAsia="zh-CN"/>
              </w:rPr>
              <w:t>西</w:t>
            </w:r>
          </w:p>
        </w:tc>
        <w:tc>
          <w:tcPr>
            <w:tcW w:w="513" w:type="dxa"/>
            <w:shd w:val="clear" w:color="auto" w:fill="FFFFFF"/>
            <w:tcMar>
              <w:top w:w="0" w:type="dxa"/>
              <w:left w:w="0" w:type="dxa"/>
              <w:bottom w:w="0" w:type="dxa"/>
              <w:right w:w="0" w:type="dxa"/>
            </w:tcMar>
            <w:vAlign w:val="center"/>
          </w:tcPr>
          <w:p w14:paraId="3C4BB22E">
            <w:pPr>
              <w:pStyle w:val="58"/>
              <w:bidi w:val="0"/>
              <w:rPr>
                <w:rFonts w:hint="default"/>
                <w:highlight w:val="none"/>
              </w:rPr>
            </w:pPr>
            <w:r>
              <w:rPr>
                <w:rFonts w:hint="default"/>
                <w:highlight w:val="none"/>
                <w:lang w:val="en-US" w:eastAsia="zh-CN"/>
              </w:rPr>
              <w:t>北</w:t>
            </w:r>
          </w:p>
        </w:tc>
        <w:tc>
          <w:tcPr>
            <w:tcW w:w="521" w:type="dxa"/>
            <w:vMerge w:val="continue"/>
            <w:shd w:val="clear" w:color="auto" w:fill="FFFFFF"/>
            <w:tcMar>
              <w:top w:w="0" w:type="dxa"/>
              <w:left w:w="0" w:type="dxa"/>
              <w:bottom w:w="0" w:type="dxa"/>
              <w:right w:w="0" w:type="dxa"/>
            </w:tcMar>
            <w:vAlign w:val="center"/>
          </w:tcPr>
          <w:p w14:paraId="3EA99B56">
            <w:pPr>
              <w:pStyle w:val="58"/>
              <w:bidi w:val="0"/>
              <w:rPr>
                <w:rFonts w:hint="default"/>
                <w:highlight w:val="none"/>
              </w:rPr>
            </w:pPr>
          </w:p>
        </w:tc>
        <w:tc>
          <w:tcPr>
            <w:tcW w:w="858" w:type="dxa"/>
            <w:vMerge w:val="continue"/>
            <w:shd w:val="clear" w:color="auto" w:fill="FFFFFF"/>
            <w:tcMar>
              <w:top w:w="0" w:type="dxa"/>
              <w:left w:w="0" w:type="dxa"/>
              <w:bottom w:w="0" w:type="dxa"/>
              <w:right w:w="0" w:type="dxa"/>
            </w:tcMar>
            <w:vAlign w:val="center"/>
          </w:tcPr>
          <w:p w14:paraId="47C13F61">
            <w:pPr>
              <w:pStyle w:val="58"/>
              <w:bidi w:val="0"/>
              <w:rPr>
                <w:rFonts w:hint="default"/>
                <w:highlight w:val="none"/>
              </w:rPr>
            </w:pPr>
          </w:p>
        </w:tc>
        <w:tc>
          <w:tcPr>
            <w:tcW w:w="424" w:type="dxa"/>
            <w:shd w:val="clear" w:color="auto" w:fill="FFFFFF"/>
            <w:tcMar>
              <w:top w:w="0" w:type="dxa"/>
              <w:left w:w="0" w:type="dxa"/>
              <w:bottom w:w="0" w:type="dxa"/>
              <w:right w:w="0" w:type="dxa"/>
            </w:tcMar>
            <w:vAlign w:val="center"/>
          </w:tcPr>
          <w:p w14:paraId="21536392">
            <w:pPr>
              <w:pStyle w:val="58"/>
              <w:bidi w:val="0"/>
              <w:rPr>
                <w:rFonts w:hint="default"/>
                <w:highlight w:val="none"/>
              </w:rPr>
            </w:pPr>
            <w:r>
              <w:rPr>
                <w:rFonts w:hint="default"/>
                <w:highlight w:val="none"/>
                <w:lang w:val="en-US" w:eastAsia="zh-CN"/>
              </w:rPr>
              <w:t>东</w:t>
            </w:r>
          </w:p>
        </w:tc>
        <w:tc>
          <w:tcPr>
            <w:tcW w:w="424" w:type="dxa"/>
            <w:shd w:val="clear" w:color="auto" w:fill="FFFFFF"/>
            <w:tcMar>
              <w:top w:w="0" w:type="dxa"/>
              <w:left w:w="0" w:type="dxa"/>
              <w:bottom w:w="0" w:type="dxa"/>
              <w:right w:w="0" w:type="dxa"/>
            </w:tcMar>
            <w:vAlign w:val="center"/>
          </w:tcPr>
          <w:p w14:paraId="466D5066">
            <w:pPr>
              <w:pStyle w:val="58"/>
              <w:bidi w:val="0"/>
              <w:rPr>
                <w:rFonts w:hint="default"/>
                <w:highlight w:val="none"/>
              </w:rPr>
            </w:pPr>
            <w:r>
              <w:rPr>
                <w:rFonts w:hint="default"/>
                <w:highlight w:val="none"/>
                <w:lang w:val="en-US" w:eastAsia="zh-CN"/>
              </w:rPr>
              <w:t>南</w:t>
            </w:r>
          </w:p>
        </w:tc>
        <w:tc>
          <w:tcPr>
            <w:tcW w:w="424" w:type="dxa"/>
            <w:shd w:val="clear" w:color="auto" w:fill="FFFFFF"/>
            <w:tcMar>
              <w:top w:w="0" w:type="dxa"/>
              <w:left w:w="0" w:type="dxa"/>
              <w:bottom w:w="0" w:type="dxa"/>
              <w:right w:w="0" w:type="dxa"/>
            </w:tcMar>
            <w:vAlign w:val="center"/>
          </w:tcPr>
          <w:p w14:paraId="19A11DFB">
            <w:pPr>
              <w:pStyle w:val="58"/>
              <w:bidi w:val="0"/>
              <w:rPr>
                <w:rFonts w:hint="default"/>
                <w:highlight w:val="none"/>
              </w:rPr>
            </w:pPr>
            <w:r>
              <w:rPr>
                <w:rFonts w:hint="default"/>
                <w:highlight w:val="none"/>
                <w:lang w:val="en-US" w:eastAsia="zh-CN"/>
              </w:rPr>
              <w:t>西</w:t>
            </w:r>
          </w:p>
        </w:tc>
        <w:tc>
          <w:tcPr>
            <w:tcW w:w="427" w:type="dxa"/>
            <w:shd w:val="clear" w:color="auto" w:fill="FFFFFF"/>
            <w:tcMar>
              <w:top w:w="0" w:type="dxa"/>
              <w:left w:w="0" w:type="dxa"/>
              <w:bottom w:w="0" w:type="dxa"/>
              <w:right w:w="0" w:type="dxa"/>
            </w:tcMar>
            <w:vAlign w:val="center"/>
          </w:tcPr>
          <w:p w14:paraId="3D284740">
            <w:pPr>
              <w:pStyle w:val="58"/>
              <w:bidi w:val="0"/>
              <w:rPr>
                <w:rFonts w:hint="default"/>
                <w:highlight w:val="none"/>
              </w:rPr>
            </w:pPr>
            <w:r>
              <w:rPr>
                <w:rFonts w:hint="default"/>
                <w:highlight w:val="none"/>
                <w:lang w:val="en-US" w:eastAsia="zh-CN"/>
              </w:rPr>
              <w:t>北</w:t>
            </w:r>
          </w:p>
        </w:tc>
        <w:tc>
          <w:tcPr>
            <w:tcW w:w="486" w:type="dxa"/>
            <w:shd w:val="clear" w:color="auto" w:fill="FFFFFF"/>
            <w:tcMar>
              <w:top w:w="0" w:type="dxa"/>
              <w:left w:w="0" w:type="dxa"/>
              <w:bottom w:w="0" w:type="dxa"/>
              <w:right w:w="0" w:type="dxa"/>
            </w:tcMar>
            <w:vAlign w:val="center"/>
          </w:tcPr>
          <w:p w14:paraId="79BD5AB6">
            <w:pPr>
              <w:pStyle w:val="58"/>
              <w:bidi w:val="0"/>
              <w:rPr>
                <w:rFonts w:hint="default"/>
                <w:highlight w:val="none"/>
              </w:rPr>
            </w:pPr>
            <w:r>
              <w:rPr>
                <w:rFonts w:hint="default"/>
                <w:highlight w:val="none"/>
              </w:rPr>
              <w:t>建筑物外距离</w:t>
            </w:r>
          </w:p>
        </w:tc>
      </w:tr>
      <w:tr w14:paraId="3817C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458" w:type="dxa"/>
            <w:shd w:val="clear" w:color="auto" w:fill="FFFFFF"/>
            <w:tcMar>
              <w:top w:w="0" w:type="dxa"/>
              <w:left w:w="0" w:type="dxa"/>
              <w:bottom w:w="0" w:type="dxa"/>
              <w:right w:w="0" w:type="dxa"/>
            </w:tcMar>
            <w:vAlign w:val="center"/>
          </w:tcPr>
          <w:p w14:paraId="084B595F">
            <w:pPr>
              <w:pStyle w:val="58"/>
              <w:numPr>
                <w:ilvl w:val="0"/>
                <w:numId w:val="37"/>
              </w:numPr>
              <w:bidi w:val="0"/>
              <w:ind w:left="425" w:leftChars="0" w:hanging="425" w:firstLineChars="0"/>
              <w:rPr>
                <w:rFonts w:hint="default"/>
                <w:highlight w:val="none"/>
              </w:rPr>
            </w:pPr>
          </w:p>
        </w:tc>
        <w:tc>
          <w:tcPr>
            <w:tcW w:w="632" w:type="dxa"/>
            <w:shd w:val="clear" w:color="auto" w:fill="FFFFFF"/>
            <w:tcMar>
              <w:top w:w="0" w:type="dxa"/>
              <w:left w:w="0" w:type="dxa"/>
              <w:bottom w:w="0" w:type="dxa"/>
              <w:right w:w="0" w:type="dxa"/>
            </w:tcMar>
            <w:vAlign w:val="center"/>
          </w:tcPr>
          <w:p w14:paraId="72E1C643">
            <w:pPr>
              <w:pStyle w:val="58"/>
              <w:bidi w:val="0"/>
              <w:rPr>
                <w:rFonts w:hint="default"/>
                <w:highlight w:val="none"/>
              </w:rPr>
            </w:pPr>
            <w:r>
              <w:rPr>
                <w:rFonts w:hint="default"/>
                <w:highlight w:val="none"/>
              </w:rPr>
              <w:t>现有</w:t>
            </w:r>
            <w:r>
              <w:rPr>
                <w:rFonts w:hint="eastAsia"/>
                <w:highlight w:val="none"/>
                <w:lang w:eastAsia="zh-CN"/>
              </w:rPr>
              <w:t>格栅</w:t>
            </w:r>
            <w:r>
              <w:rPr>
                <w:rFonts w:hint="eastAsia"/>
                <w:highlight w:val="none"/>
                <w:lang w:val="en-US" w:eastAsia="zh-CN"/>
              </w:rPr>
              <w:t>池</w:t>
            </w:r>
            <w:r>
              <w:rPr>
                <w:rFonts w:hint="default"/>
                <w:highlight w:val="none"/>
              </w:rPr>
              <w:t>、集水池</w:t>
            </w:r>
          </w:p>
        </w:tc>
        <w:tc>
          <w:tcPr>
            <w:tcW w:w="715" w:type="dxa"/>
            <w:shd w:val="clear" w:color="auto" w:fill="FFFFFF"/>
            <w:tcMar>
              <w:top w:w="0" w:type="dxa"/>
              <w:left w:w="0" w:type="dxa"/>
              <w:bottom w:w="0" w:type="dxa"/>
              <w:right w:w="0" w:type="dxa"/>
            </w:tcMar>
            <w:vAlign w:val="center"/>
          </w:tcPr>
          <w:p w14:paraId="29B01B5F">
            <w:pPr>
              <w:pStyle w:val="58"/>
              <w:bidi w:val="0"/>
              <w:rPr>
                <w:rFonts w:hint="default"/>
                <w:highlight w:val="none"/>
              </w:rPr>
            </w:pPr>
            <w:r>
              <w:rPr>
                <w:rFonts w:hint="default"/>
                <w:highlight w:val="none"/>
              </w:rPr>
              <w:t>泵（4个）</w:t>
            </w:r>
          </w:p>
        </w:tc>
        <w:tc>
          <w:tcPr>
            <w:tcW w:w="2018" w:type="dxa"/>
            <w:shd w:val="clear" w:color="auto" w:fill="FFFFFF"/>
            <w:tcMar>
              <w:top w:w="0" w:type="dxa"/>
              <w:left w:w="0" w:type="dxa"/>
              <w:bottom w:w="0" w:type="dxa"/>
              <w:right w:w="0" w:type="dxa"/>
            </w:tcMar>
            <w:vAlign w:val="center"/>
          </w:tcPr>
          <w:p w14:paraId="22A2ECE2">
            <w:pPr>
              <w:pStyle w:val="58"/>
              <w:bidi w:val="0"/>
              <w:rPr>
                <w:rFonts w:hint="default"/>
                <w:highlight w:val="none"/>
                <w:lang w:val="en-US" w:eastAsia="zh-CN"/>
              </w:rPr>
            </w:pPr>
            <w:r>
              <w:rPr>
                <w:rFonts w:hint="default"/>
                <w:highlight w:val="none"/>
                <w:lang w:val="en-US" w:eastAsia="zh-CN"/>
              </w:rPr>
              <w:t>/</w:t>
            </w:r>
          </w:p>
        </w:tc>
        <w:tc>
          <w:tcPr>
            <w:tcW w:w="897" w:type="dxa"/>
            <w:shd w:val="clear" w:color="auto" w:fill="FFFFFF"/>
            <w:tcMar>
              <w:top w:w="0" w:type="dxa"/>
              <w:left w:w="0" w:type="dxa"/>
              <w:bottom w:w="0" w:type="dxa"/>
              <w:right w:w="0" w:type="dxa"/>
            </w:tcMar>
            <w:vAlign w:val="center"/>
          </w:tcPr>
          <w:p w14:paraId="477458FC">
            <w:pPr>
              <w:pStyle w:val="58"/>
              <w:bidi w:val="0"/>
              <w:rPr>
                <w:rFonts w:hint="default"/>
                <w:highlight w:val="none"/>
              </w:rPr>
            </w:pPr>
            <w:r>
              <w:rPr>
                <w:rFonts w:hint="default"/>
                <w:highlight w:val="none"/>
              </w:rPr>
              <w:t>85</w:t>
            </w:r>
          </w:p>
        </w:tc>
        <w:tc>
          <w:tcPr>
            <w:tcW w:w="1169" w:type="dxa"/>
            <w:shd w:val="clear" w:color="auto" w:fill="FFFFFF"/>
            <w:tcMar>
              <w:top w:w="0" w:type="dxa"/>
              <w:left w:w="0" w:type="dxa"/>
              <w:bottom w:w="0" w:type="dxa"/>
              <w:right w:w="0" w:type="dxa"/>
            </w:tcMar>
            <w:vAlign w:val="center"/>
          </w:tcPr>
          <w:p w14:paraId="0B1CB90A">
            <w:pPr>
              <w:pStyle w:val="58"/>
              <w:bidi w:val="0"/>
              <w:rPr>
                <w:rFonts w:hint="default"/>
                <w:highlight w:val="none"/>
              </w:rPr>
            </w:pPr>
            <w:r>
              <w:rPr>
                <w:rFonts w:hint="default"/>
                <w:highlight w:val="none"/>
              </w:rPr>
              <w:t>厂房隔声</w:t>
            </w:r>
          </w:p>
          <w:p w14:paraId="2652FF05">
            <w:pPr>
              <w:pStyle w:val="58"/>
              <w:bidi w:val="0"/>
              <w:rPr>
                <w:rFonts w:hint="default"/>
                <w:highlight w:val="none"/>
              </w:rPr>
            </w:pPr>
            <w:r>
              <w:rPr>
                <w:rFonts w:hint="default"/>
                <w:highlight w:val="none"/>
              </w:rPr>
              <w:t>（钢砼结</w:t>
            </w:r>
          </w:p>
          <w:p w14:paraId="5886FA7F">
            <w:pPr>
              <w:pStyle w:val="58"/>
              <w:bidi w:val="0"/>
              <w:rPr>
                <w:rFonts w:hint="default"/>
                <w:highlight w:val="none"/>
              </w:rPr>
            </w:pPr>
            <w:r>
              <w:rPr>
                <w:rFonts w:hint="default"/>
                <w:highlight w:val="none"/>
              </w:rPr>
              <w:t>构）地下布置、基</w:t>
            </w:r>
          </w:p>
          <w:p w14:paraId="4E2FA683">
            <w:pPr>
              <w:pStyle w:val="58"/>
              <w:bidi w:val="0"/>
              <w:rPr>
                <w:rFonts w:hint="default"/>
                <w:highlight w:val="none"/>
                <w:lang w:val="en-US" w:eastAsia="zh-CN"/>
              </w:rPr>
            </w:pPr>
            <w:r>
              <w:rPr>
                <w:rFonts w:hint="default"/>
                <w:highlight w:val="none"/>
              </w:rPr>
              <w:t>础减振</w:t>
            </w:r>
          </w:p>
        </w:tc>
        <w:tc>
          <w:tcPr>
            <w:tcW w:w="543" w:type="dxa"/>
            <w:shd w:val="clear" w:color="auto" w:fill="FFFFFF"/>
            <w:tcMar>
              <w:top w:w="0" w:type="dxa"/>
              <w:left w:w="0" w:type="dxa"/>
              <w:bottom w:w="0" w:type="dxa"/>
              <w:right w:w="0" w:type="dxa"/>
            </w:tcMar>
            <w:vAlign w:val="center"/>
          </w:tcPr>
          <w:p w14:paraId="68405FB3">
            <w:pPr>
              <w:pStyle w:val="58"/>
              <w:bidi w:val="0"/>
              <w:rPr>
                <w:rFonts w:hint="default"/>
                <w:highlight w:val="none"/>
              </w:rPr>
            </w:pPr>
            <w:r>
              <w:rPr>
                <w:rFonts w:hint="default"/>
                <w:highlight w:val="none"/>
              </w:rPr>
              <w:t>135.2</w:t>
            </w:r>
          </w:p>
        </w:tc>
        <w:tc>
          <w:tcPr>
            <w:tcW w:w="425" w:type="dxa"/>
            <w:shd w:val="clear" w:color="auto" w:fill="FFFFFF"/>
            <w:tcMar>
              <w:top w:w="0" w:type="dxa"/>
              <w:left w:w="0" w:type="dxa"/>
              <w:bottom w:w="0" w:type="dxa"/>
              <w:right w:w="0" w:type="dxa"/>
            </w:tcMar>
            <w:vAlign w:val="center"/>
          </w:tcPr>
          <w:p w14:paraId="01A93BCF">
            <w:pPr>
              <w:pStyle w:val="58"/>
              <w:bidi w:val="0"/>
              <w:rPr>
                <w:rFonts w:hint="default"/>
                <w:highlight w:val="none"/>
              </w:rPr>
            </w:pPr>
            <w:r>
              <w:rPr>
                <w:rFonts w:hint="default"/>
                <w:highlight w:val="none"/>
              </w:rPr>
              <w:t>75.4</w:t>
            </w:r>
          </w:p>
        </w:tc>
        <w:tc>
          <w:tcPr>
            <w:tcW w:w="307" w:type="dxa"/>
            <w:shd w:val="clear" w:color="auto" w:fill="FFFFFF"/>
            <w:tcMar>
              <w:top w:w="0" w:type="dxa"/>
              <w:left w:w="0" w:type="dxa"/>
              <w:bottom w:w="0" w:type="dxa"/>
              <w:right w:w="0" w:type="dxa"/>
            </w:tcMar>
            <w:vAlign w:val="center"/>
          </w:tcPr>
          <w:p w14:paraId="37114EAA">
            <w:pPr>
              <w:pStyle w:val="58"/>
              <w:bidi w:val="0"/>
              <w:rPr>
                <w:rFonts w:hint="default"/>
                <w:highlight w:val="none"/>
              </w:rPr>
            </w:pPr>
            <w:r>
              <w:rPr>
                <w:rFonts w:hint="default"/>
                <w:highlight w:val="none"/>
              </w:rPr>
              <w:t>-3</w:t>
            </w:r>
          </w:p>
        </w:tc>
        <w:tc>
          <w:tcPr>
            <w:tcW w:w="318" w:type="dxa"/>
            <w:shd w:val="clear" w:color="auto" w:fill="FFFFFF"/>
            <w:tcMar>
              <w:top w:w="0" w:type="dxa"/>
              <w:left w:w="0" w:type="dxa"/>
              <w:bottom w:w="0" w:type="dxa"/>
              <w:right w:w="0" w:type="dxa"/>
            </w:tcMar>
            <w:vAlign w:val="center"/>
          </w:tcPr>
          <w:p w14:paraId="76B891D2">
            <w:pPr>
              <w:pStyle w:val="58"/>
              <w:bidi w:val="0"/>
              <w:rPr>
                <w:rFonts w:hint="default"/>
                <w:highlight w:val="none"/>
              </w:rPr>
            </w:pPr>
            <w:r>
              <w:rPr>
                <w:rFonts w:hint="default"/>
                <w:highlight w:val="none"/>
              </w:rPr>
              <w:t>2.3</w:t>
            </w:r>
          </w:p>
        </w:tc>
        <w:tc>
          <w:tcPr>
            <w:tcW w:w="317" w:type="dxa"/>
            <w:shd w:val="clear" w:color="auto" w:fill="FFFFFF"/>
            <w:tcMar>
              <w:top w:w="0" w:type="dxa"/>
              <w:left w:w="0" w:type="dxa"/>
              <w:bottom w:w="0" w:type="dxa"/>
              <w:right w:w="0" w:type="dxa"/>
            </w:tcMar>
            <w:vAlign w:val="center"/>
          </w:tcPr>
          <w:p w14:paraId="7C6728E2">
            <w:pPr>
              <w:pStyle w:val="58"/>
              <w:bidi w:val="0"/>
              <w:rPr>
                <w:rFonts w:hint="default"/>
                <w:highlight w:val="none"/>
              </w:rPr>
            </w:pPr>
            <w:r>
              <w:rPr>
                <w:rFonts w:hint="default"/>
                <w:highlight w:val="none"/>
              </w:rPr>
              <w:t>2.6</w:t>
            </w:r>
          </w:p>
        </w:tc>
        <w:tc>
          <w:tcPr>
            <w:tcW w:w="318" w:type="dxa"/>
            <w:shd w:val="clear" w:color="auto" w:fill="FFFFFF"/>
            <w:tcMar>
              <w:top w:w="0" w:type="dxa"/>
              <w:left w:w="0" w:type="dxa"/>
              <w:bottom w:w="0" w:type="dxa"/>
              <w:right w:w="0" w:type="dxa"/>
            </w:tcMar>
            <w:vAlign w:val="center"/>
          </w:tcPr>
          <w:p w14:paraId="41C86BCA">
            <w:pPr>
              <w:pStyle w:val="58"/>
              <w:bidi w:val="0"/>
              <w:rPr>
                <w:rFonts w:hint="default"/>
                <w:highlight w:val="none"/>
              </w:rPr>
            </w:pPr>
            <w:r>
              <w:rPr>
                <w:rFonts w:hint="default"/>
                <w:highlight w:val="none"/>
              </w:rPr>
              <w:t>2.0</w:t>
            </w:r>
          </w:p>
        </w:tc>
        <w:tc>
          <w:tcPr>
            <w:tcW w:w="317" w:type="dxa"/>
            <w:shd w:val="clear" w:color="auto" w:fill="FFFFFF"/>
            <w:tcMar>
              <w:top w:w="0" w:type="dxa"/>
              <w:left w:w="0" w:type="dxa"/>
              <w:bottom w:w="0" w:type="dxa"/>
              <w:right w:w="0" w:type="dxa"/>
            </w:tcMar>
            <w:vAlign w:val="center"/>
          </w:tcPr>
          <w:p w14:paraId="37CE7EDF">
            <w:pPr>
              <w:pStyle w:val="58"/>
              <w:bidi w:val="0"/>
              <w:rPr>
                <w:rFonts w:hint="default"/>
                <w:highlight w:val="none"/>
              </w:rPr>
            </w:pPr>
            <w:r>
              <w:rPr>
                <w:rFonts w:hint="default"/>
                <w:highlight w:val="none"/>
              </w:rPr>
              <w:t>2.4</w:t>
            </w:r>
          </w:p>
        </w:tc>
        <w:tc>
          <w:tcPr>
            <w:tcW w:w="513" w:type="dxa"/>
            <w:shd w:val="clear" w:color="auto" w:fill="FFFFFF"/>
            <w:tcMar>
              <w:top w:w="0" w:type="dxa"/>
              <w:left w:w="0" w:type="dxa"/>
              <w:bottom w:w="0" w:type="dxa"/>
              <w:right w:w="0" w:type="dxa"/>
            </w:tcMar>
            <w:vAlign w:val="center"/>
          </w:tcPr>
          <w:p w14:paraId="378ABDDB">
            <w:pPr>
              <w:pStyle w:val="58"/>
              <w:bidi w:val="0"/>
              <w:rPr>
                <w:rFonts w:hint="default"/>
                <w:highlight w:val="none"/>
              </w:rPr>
            </w:pPr>
            <w:r>
              <w:rPr>
                <w:rFonts w:hint="default"/>
                <w:highlight w:val="none"/>
              </w:rPr>
              <w:t>100.3</w:t>
            </w:r>
          </w:p>
        </w:tc>
        <w:tc>
          <w:tcPr>
            <w:tcW w:w="513" w:type="dxa"/>
            <w:shd w:val="clear" w:color="auto" w:fill="FFFFFF"/>
            <w:tcMar>
              <w:top w:w="0" w:type="dxa"/>
              <w:left w:w="0" w:type="dxa"/>
              <w:bottom w:w="0" w:type="dxa"/>
              <w:right w:w="0" w:type="dxa"/>
            </w:tcMar>
            <w:vAlign w:val="center"/>
          </w:tcPr>
          <w:p w14:paraId="25CFD30D">
            <w:pPr>
              <w:pStyle w:val="58"/>
              <w:bidi w:val="0"/>
              <w:rPr>
                <w:rFonts w:hint="default"/>
                <w:highlight w:val="none"/>
              </w:rPr>
            </w:pPr>
            <w:r>
              <w:rPr>
                <w:rFonts w:hint="default"/>
                <w:highlight w:val="none"/>
              </w:rPr>
              <w:t>100.3</w:t>
            </w:r>
          </w:p>
        </w:tc>
        <w:tc>
          <w:tcPr>
            <w:tcW w:w="513" w:type="dxa"/>
            <w:shd w:val="clear" w:color="auto" w:fill="FFFFFF"/>
            <w:tcMar>
              <w:top w:w="0" w:type="dxa"/>
              <w:left w:w="0" w:type="dxa"/>
              <w:bottom w:w="0" w:type="dxa"/>
              <w:right w:w="0" w:type="dxa"/>
            </w:tcMar>
            <w:vAlign w:val="center"/>
          </w:tcPr>
          <w:p w14:paraId="0906108C">
            <w:pPr>
              <w:pStyle w:val="58"/>
              <w:bidi w:val="0"/>
              <w:rPr>
                <w:rFonts w:hint="default"/>
                <w:highlight w:val="none"/>
              </w:rPr>
            </w:pPr>
            <w:r>
              <w:rPr>
                <w:rFonts w:hint="default"/>
                <w:highlight w:val="none"/>
              </w:rPr>
              <w:t>100.3</w:t>
            </w:r>
          </w:p>
        </w:tc>
        <w:tc>
          <w:tcPr>
            <w:tcW w:w="513" w:type="dxa"/>
            <w:shd w:val="clear" w:color="auto" w:fill="FFFFFF"/>
            <w:tcMar>
              <w:top w:w="0" w:type="dxa"/>
              <w:left w:w="0" w:type="dxa"/>
              <w:bottom w:w="0" w:type="dxa"/>
              <w:right w:w="0" w:type="dxa"/>
            </w:tcMar>
            <w:vAlign w:val="center"/>
          </w:tcPr>
          <w:p w14:paraId="4F107D26">
            <w:pPr>
              <w:pStyle w:val="58"/>
              <w:bidi w:val="0"/>
              <w:rPr>
                <w:rFonts w:hint="default"/>
                <w:highlight w:val="none"/>
              </w:rPr>
            </w:pPr>
            <w:r>
              <w:rPr>
                <w:rFonts w:hint="default"/>
                <w:highlight w:val="none"/>
              </w:rPr>
              <w:t>100.3</w:t>
            </w:r>
          </w:p>
        </w:tc>
        <w:tc>
          <w:tcPr>
            <w:tcW w:w="521" w:type="dxa"/>
            <w:shd w:val="clear" w:color="auto" w:fill="FFFFFF"/>
            <w:tcMar>
              <w:top w:w="0" w:type="dxa"/>
              <w:left w:w="0" w:type="dxa"/>
              <w:bottom w:w="0" w:type="dxa"/>
              <w:right w:w="0" w:type="dxa"/>
            </w:tcMar>
            <w:vAlign w:val="center"/>
          </w:tcPr>
          <w:p w14:paraId="6342E8AE">
            <w:pPr>
              <w:pStyle w:val="58"/>
              <w:bidi w:val="0"/>
              <w:rPr>
                <w:rFonts w:hint="default"/>
                <w:highlight w:val="none"/>
                <w:lang w:eastAsia="zh-CN"/>
              </w:rPr>
            </w:pPr>
            <w:r>
              <w:rPr>
                <w:rFonts w:hint="default"/>
                <w:highlight w:val="none"/>
                <w:lang w:eastAsia="zh-CN"/>
              </w:rPr>
              <w:t>昼夜</w:t>
            </w:r>
          </w:p>
        </w:tc>
        <w:tc>
          <w:tcPr>
            <w:tcW w:w="858" w:type="dxa"/>
            <w:shd w:val="clear" w:color="auto" w:fill="FFFFFF"/>
            <w:tcMar>
              <w:top w:w="0" w:type="dxa"/>
              <w:left w:w="0" w:type="dxa"/>
              <w:bottom w:w="0" w:type="dxa"/>
              <w:right w:w="0" w:type="dxa"/>
            </w:tcMar>
            <w:vAlign w:val="center"/>
          </w:tcPr>
          <w:p w14:paraId="746EAEDC">
            <w:pPr>
              <w:pStyle w:val="58"/>
              <w:bidi w:val="0"/>
              <w:rPr>
                <w:rFonts w:hint="default"/>
                <w:highlight w:val="none"/>
                <w:lang w:val="en-US" w:eastAsia="zh-CN"/>
              </w:rPr>
            </w:pPr>
            <w:r>
              <w:rPr>
                <w:rFonts w:hint="default"/>
                <w:highlight w:val="none"/>
                <w:lang w:val="en-US" w:eastAsia="zh-CN"/>
              </w:rPr>
              <w:t>26</w:t>
            </w:r>
          </w:p>
        </w:tc>
        <w:tc>
          <w:tcPr>
            <w:tcW w:w="424" w:type="dxa"/>
            <w:shd w:val="clear" w:color="auto" w:fill="FFFFFF"/>
            <w:tcMar>
              <w:top w:w="0" w:type="dxa"/>
              <w:left w:w="0" w:type="dxa"/>
              <w:bottom w:w="0" w:type="dxa"/>
              <w:right w:w="0" w:type="dxa"/>
            </w:tcMar>
            <w:vAlign w:val="center"/>
          </w:tcPr>
          <w:p w14:paraId="4C3ECCC1">
            <w:pPr>
              <w:pStyle w:val="58"/>
              <w:bidi w:val="0"/>
              <w:rPr>
                <w:rFonts w:hint="default"/>
                <w:highlight w:val="none"/>
              </w:rPr>
            </w:pPr>
            <w:r>
              <w:rPr>
                <w:rFonts w:hint="default"/>
                <w:highlight w:val="none"/>
              </w:rPr>
              <w:t>74.3</w:t>
            </w:r>
          </w:p>
        </w:tc>
        <w:tc>
          <w:tcPr>
            <w:tcW w:w="424" w:type="dxa"/>
            <w:shd w:val="clear" w:color="auto" w:fill="FFFFFF"/>
            <w:tcMar>
              <w:top w:w="0" w:type="dxa"/>
              <w:left w:w="0" w:type="dxa"/>
              <w:bottom w:w="0" w:type="dxa"/>
              <w:right w:w="0" w:type="dxa"/>
            </w:tcMar>
            <w:vAlign w:val="center"/>
          </w:tcPr>
          <w:p w14:paraId="621B36C1">
            <w:pPr>
              <w:pStyle w:val="58"/>
              <w:bidi w:val="0"/>
              <w:rPr>
                <w:rFonts w:hint="default"/>
                <w:highlight w:val="none"/>
              </w:rPr>
            </w:pPr>
            <w:r>
              <w:rPr>
                <w:rFonts w:hint="default"/>
                <w:highlight w:val="none"/>
              </w:rPr>
              <w:t>74.3</w:t>
            </w:r>
          </w:p>
        </w:tc>
        <w:tc>
          <w:tcPr>
            <w:tcW w:w="424" w:type="dxa"/>
            <w:shd w:val="clear" w:color="auto" w:fill="FFFFFF"/>
            <w:tcMar>
              <w:top w:w="0" w:type="dxa"/>
              <w:left w:w="0" w:type="dxa"/>
              <w:bottom w:w="0" w:type="dxa"/>
              <w:right w:w="0" w:type="dxa"/>
            </w:tcMar>
            <w:vAlign w:val="center"/>
          </w:tcPr>
          <w:p w14:paraId="2F5EEA44">
            <w:pPr>
              <w:pStyle w:val="58"/>
              <w:bidi w:val="0"/>
              <w:rPr>
                <w:rFonts w:hint="default"/>
                <w:highlight w:val="none"/>
              </w:rPr>
            </w:pPr>
            <w:r>
              <w:rPr>
                <w:rFonts w:hint="default"/>
                <w:highlight w:val="none"/>
              </w:rPr>
              <w:t>74.3</w:t>
            </w:r>
          </w:p>
        </w:tc>
        <w:tc>
          <w:tcPr>
            <w:tcW w:w="427" w:type="dxa"/>
            <w:shd w:val="clear" w:color="auto" w:fill="FFFFFF"/>
            <w:tcMar>
              <w:top w:w="0" w:type="dxa"/>
              <w:left w:w="0" w:type="dxa"/>
              <w:bottom w:w="0" w:type="dxa"/>
              <w:right w:w="0" w:type="dxa"/>
            </w:tcMar>
            <w:vAlign w:val="center"/>
          </w:tcPr>
          <w:p w14:paraId="05BAE2E8">
            <w:pPr>
              <w:pStyle w:val="58"/>
              <w:bidi w:val="0"/>
              <w:rPr>
                <w:rFonts w:hint="default"/>
                <w:highlight w:val="none"/>
              </w:rPr>
            </w:pPr>
            <w:r>
              <w:rPr>
                <w:rFonts w:hint="default"/>
                <w:highlight w:val="none"/>
              </w:rPr>
              <w:t>74.3</w:t>
            </w:r>
          </w:p>
        </w:tc>
        <w:tc>
          <w:tcPr>
            <w:tcW w:w="486" w:type="dxa"/>
            <w:shd w:val="clear" w:color="auto" w:fill="FFFFFF"/>
            <w:tcMar>
              <w:top w:w="0" w:type="dxa"/>
              <w:left w:w="0" w:type="dxa"/>
              <w:bottom w:w="0" w:type="dxa"/>
              <w:right w:w="0" w:type="dxa"/>
            </w:tcMar>
            <w:vAlign w:val="center"/>
          </w:tcPr>
          <w:p w14:paraId="53B9DC8D">
            <w:pPr>
              <w:pStyle w:val="58"/>
              <w:bidi w:val="0"/>
              <w:rPr>
                <w:rFonts w:hint="default"/>
                <w:highlight w:val="none"/>
              </w:rPr>
            </w:pPr>
            <w:r>
              <w:rPr>
                <w:rFonts w:hint="default"/>
                <w:highlight w:val="none"/>
              </w:rPr>
              <w:t>1</w:t>
            </w:r>
          </w:p>
        </w:tc>
      </w:tr>
      <w:tr w14:paraId="47E55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458" w:type="dxa"/>
            <w:shd w:val="clear" w:color="auto" w:fill="FFFFFF"/>
            <w:tcMar>
              <w:top w:w="0" w:type="dxa"/>
              <w:left w:w="0" w:type="dxa"/>
              <w:bottom w:w="0" w:type="dxa"/>
              <w:right w:w="0" w:type="dxa"/>
            </w:tcMar>
            <w:vAlign w:val="center"/>
          </w:tcPr>
          <w:p w14:paraId="17F90581">
            <w:pPr>
              <w:pStyle w:val="58"/>
              <w:numPr>
                <w:ilvl w:val="0"/>
                <w:numId w:val="37"/>
              </w:numPr>
              <w:bidi w:val="0"/>
              <w:ind w:left="425" w:leftChars="0" w:hanging="425" w:firstLineChars="0"/>
              <w:rPr>
                <w:rFonts w:hint="default"/>
                <w:highlight w:val="none"/>
              </w:rPr>
            </w:pPr>
          </w:p>
        </w:tc>
        <w:tc>
          <w:tcPr>
            <w:tcW w:w="632" w:type="dxa"/>
            <w:shd w:val="clear" w:color="auto" w:fill="FFFFFF"/>
            <w:tcMar>
              <w:top w:w="0" w:type="dxa"/>
              <w:left w:w="0" w:type="dxa"/>
              <w:bottom w:w="0" w:type="dxa"/>
              <w:right w:w="0" w:type="dxa"/>
            </w:tcMar>
            <w:vAlign w:val="center"/>
          </w:tcPr>
          <w:p w14:paraId="1722286E">
            <w:pPr>
              <w:pStyle w:val="58"/>
              <w:bidi w:val="0"/>
              <w:rPr>
                <w:rFonts w:hint="default"/>
                <w:highlight w:val="none"/>
              </w:rPr>
            </w:pPr>
            <w:r>
              <w:rPr>
                <w:rFonts w:hint="default"/>
                <w:highlight w:val="none"/>
              </w:rPr>
              <w:t>现有彩钢房</w:t>
            </w:r>
          </w:p>
        </w:tc>
        <w:tc>
          <w:tcPr>
            <w:tcW w:w="715" w:type="dxa"/>
            <w:shd w:val="clear" w:color="auto" w:fill="FFFFFF"/>
            <w:tcMar>
              <w:top w:w="0" w:type="dxa"/>
              <w:left w:w="0" w:type="dxa"/>
              <w:bottom w:w="0" w:type="dxa"/>
              <w:right w:w="0" w:type="dxa"/>
            </w:tcMar>
            <w:vAlign w:val="center"/>
          </w:tcPr>
          <w:p w14:paraId="51A47B75">
            <w:pPr>
              <w:pStyle w:val="58"/>
              <w:bidi w:val="0"/>
              <w:rPr>
                <w:rFonts w:hint="default"/>
                <w:highlight w:val="none"/>
              </w:rPr>
            </w:pPr>
            <w:r>
              <w:rPr>
                <w:rFonts w:hint="default"/>
                <w:highlight w:val="none"/>
              </w:rPr>
              <w:t>泵（4个）</w:t>
            </w:r>
          </w:p>
        </w:tc>
        <w:tc>
          <w:tcPr>
            <w:tcW w:w="2018" w:type="dxa"/>
            <w:shd w:val="clear" w:color="auto" w:fill="FFFFFF"/>
            <w:tcMar>
              <w:top w:w="0" w:type="dxa"/>
              <w:left w:w="0" w:type="dxa"/>
              <w:bottom w:w="0" w:type="dxa"/>
              <w:right w:w="0" w:type="dxa"/>
            </w:tcMar>
            <w:vAlign w:val="center"/>
          </w:tcPr>
          <w:p w14:paraId="3D25445E">
            <w:pPr>
              <w:pStyle w:val="58"/>
              <w:bidi w:val="0"/>
              <w:rPr>
                <w:rFonts w:hint="default"/>
                <w:highlight w:val="none"/>
                <w:lang w:val="en-US" w:eastAsia="zh-CN"/>
              </w:rPr>
            </w:pPr>
            <w:r>
              <w:rPr>
                <w:rFonts w:hint="default"/>
                <w:highlight w:val="none"/>
                <w:lang w:val="en-US" w:eastAsia="zh-CN"/>
              </w:rPr>
              <w:t>/</w:t>
            </w:r>
          </w:p>
        </w:tc>
        <w:tc>
          <w:tcPr>
            <w:tcW w:w="897" w:type="dxa"/>
            <w:shd w:val="clear" w:color="auto" w:fill="FFFFFF"/>
            <w:tcMar>
              <w:top w:w="0" w:type="dxa"/>
              <w:left w:w="0" w:type="dxa"/>
              <w:bottom w:w="0" w:type="dxa"/>
              <w:right w:w="0" w:type="dxa"/>
            </w:tcMar>
            <w:vAlign w:val="center"/>
          </w:tcPr>
          <w:p w14:paraId="42E1065F">
            <w:pPr>
              <w:pStyle w:val="58"/>
              <w:bidi w:val="0"/>
              <w:rPr>
                <w:rFonts w:hint="default"/>
                <w:highlight w:val="none"/>
              </w:rPr>
            </w:pPr>
            <w:r>
              <w:rPr>
                <w:rFonts w:hint="default"/>
                <w:highlight w:val="none"/>
              </w:rPr>
              <w:t>85</w:t>
            </w:r>
          </w:p>
        </w:tc>
        <w:tc>
          <w:tcPr>
            <w:tcW w:w="1169" w:type="dxa"/>
            <w:shd w:val="clear" w:color="auto" w:fill="FFFFFF"/>
            <w:tcMar>
              <w:top w:w="0" w:type="dxa"/>
              <w:left w:w="0" w:type="dxa"/>
              <w:bottom w:w="0" w:type="dxa"/>
              <w:right w:w="0" w:type="dxa"/>
            </w:tcMar>
            <w:vAlign w:val="center"/>
          </w:tcPr>
          <w:p w14:paraId="193ADC8A">
            <w:pPr>
              <w:pStyle w:val="58"/>
              <w:bidi w:val="0"/>
              <w:rPr>
                <w:rFonts w:hint="default"/>
                <w:highlight w:val="none"/>
                <w:lang w:val="en-US" w:eastAsia="zh-CN"/>
              </w:rPr>
            </w:pPr>
            <w:r>
              <w:rPr>
                <w:rFonts w:hint="default"/>
                <w:highlight w:val="none"/>
              </w:rPr>
              <w:t>厂房隔声（钢砼结构）、基础减振、加消声器</w:t>
            </w:r>
          </w:p>
        </w:tc>
        <w:tc>
          <w:tcPr>
            <w:tcW w:w="543" w:type="dxa"/>
            <w:shd w:val="clear" w:color="auto" w:fill="FFFFFF"/>
            <w:tcMar>
              <w:top w:w="0" w:type="dxa"/>
              <w:left w:w="0" w:type="dxa"/>
              <w:bottom w:w="0" w:type="dxa"/>
              <w:right w:w="0" w:type="dxa"/>
            </w:tcMar>
            <w:vAlign w:val="center"/>
          </w:tcPr>
          <w:p w14:paraId="3774CAE9">
            <w:pPr>
              <w:pStyle w:val="58"/>
              <w:bidi w:val="0"/>
              <w:rPr>
                <w:rFonts w:hint="default"/>
                <w:highlight w:val="none"/>
              </w:rPr>
            </w:pPr>
            <w:r>
              <w:rPr>
                <w:rFonts w:hint="default"/>
                <w:highlight w:val="none"/>
              </w:rPr>
              <w:t>134.1</w:t>
            </w:r>
          </w:p>
        </w:tc>
        <w:tc>
          <w:tcPr>
            <w:tcW w:w="425" w:type="dxa"/>
            <w:shd w:val="clear" w:color="auto" w:fill="FFFFFF"/>
            <w:tcMar>
              <w:top w:w="0" w:type="dxa"/>
              <w:left w:w="0" w:type="dxa"/>
              <w:bottom w:w="0" w:type="dxa"/>
              <w:right w:w="0" w:type="dxa"/>
            </w:tcMar>
            <w:vAlign w:val="center"/>
          </w:tcPr>
          <w:p w14:paraId="32CDA239">
            <w:pPr>
              <w:pStyle w:val="58"/>
              <w:bidi w:val="0"/>
              <w:rPr>
                <w:rFonts w:hint="default"/>
                <w:highlight w:val="none"/>
              </w:rPr>
            </w:pPr>
            <w:r>
              <w:rPr>
                <w:rFonts w:hint="default"/>
                <w:highlight w:val="none"/>
              </w:rPr>
              <w:t>84.6</w:t>
            </w:r>
          </w:p>
        </w:tc>
        <w:tc>
          <w:tcPr>
            <w:tcW w:w="307" w:type="dxa"/>
            <w:shd w:val="clear" w:color="auto" w:fill="FFFFFF"/>
            <w:tcMar>
              <w:top w:w="0" w:type="dxa"/>
              <w:left w:w="0" w:type="dxa"/>
              <w:bottom w:w="0" w:type="dxa"/>
              <w:right w:w="0" w:type="dxa"/>
            </w:tcMar>
            <w:vAlign w:val="center"/>
          </w:tcPr>
          <w:p w14:paraId="79E6D03F">
            <w:pPr>
              <w:pStyle w:val="58"/>
              <w:bidi w:val="0"/>
              <w:rPr>
                <w:rFonts w:hint="default"/>
                <w:highlight w:val="none"/>
              </w:rPr>
            </w:pPr>
            <w:r>
              <w:rPr>
                <w:rFonts w:hint="default"/>
                <w:highlight w:val="none"/>
              </w:rPr>
              <w:t>-3</w:t>
            </w:r>
          </w:p>
        </w:tc>
        <w:tc>
          <w:tcPr>
            <w:tcW w:w="318" w:type="dxa"/>
            <w:shd w:val="clear" w:color="auto" w:fill="FFFFFF"/>
            <w:tcMar>
              <w:top w:w="0" w:type="dxa"/>
              <w:left w:w="0" w:type="dxa"/>
              <w:bottom w:w="0" w:type="dxa"/>
              <w:right w:w="0" w:type="dxa"/>
            </w:tcMar>
            <w:vAlign w:val="center"/>
          </w:tcPr>
          <w:p w14:paraId="42F4780C">
            <w:pPr>
              <w:pStyle w:val="58"/>
              <w:bidi w:val="0"/>
              <w:rPr>
                <w:rFonts w:hint="default"/>
                <w:highlight w:val="none"/>
              </w:rPr>
            </w:pPr>
            <w:r>
              <w:rPr>
                <w:rFonts w:hint="default"/>
                <w:highlight w:val="none"/>
              </w:rPr>
              <w:t>2.7</w:t>
            </w:r>
          </w:p>
        </w:tc>
        <w:tc>
          <w:tcPr>
            <w:tcW w:w="317" w:type="dxa"/>
            <w:shd w:val="clear" w:color="auto" w:fill="FFFFFF"/>
            <w:tcMar>
              <w:top w:w="0" w:type="dxa"/>
              <w:left w:w="0" w:type="dxa"/>
              <w:bottom w:w="0" w:type="dxa"/>
              <w:right w:w="0" w:type="dxa"/>
            </w:tcMar>
            <w:vAlign w:val="center"/>
          </w:tcPr>
          <w:p w14:paraId="277CE3C6">
            <w:pPr>
              <w:pStyle w:val="58"/>
              <w:bidi w:val="0"/>
              <w:rPr>
                <w:rFonts w:hint="default"/>
                <w:highlight w:val="none"/>
              </w:rPr>
            </w:pPr>
            <w:r>
              <w:rPr>
                <w:rFonts w:hint="default"/>
                <w:highlight w:val="none"/>
              </w:rPr>
              <w:t>6.2</w:t>
            </w:r>
          </w:p>
        </w:tc>
        <w:tc>
          <w:tcPr>
            <w:tcW w:w="318" w:type="dxa"/>
            <w:shd w:val="clear" w:color="auto" w:fill="FFFFFF"/>
            <w:tcMar>
              <w:top w:w="0" w:type="dxa"/>
              <w:left w:w="0" w:type="dxa"/>
              <w:bottom w:w="0" w:type="dxa"/>
              <w:right w:w="0" w:type="dxa"/>
            </w:tcMar>
            <w:vAlign w:val="center"/>
          </w:tcPr>
          <w:p w14:paraId="4552A051">
            <w:pPr>
              <w:pStyle w:val="58"/>
              <w:bidi w:val="0"/>
              <w:rPr>
                <w:rFonts w:hint="default"/>
                <w:highlight w:val="none"/>
              </w:rPr>
            </w:pPr>
            <w:r>
              <w:rPr>
                <w:rFonts w:hint="default"/>
                <w:highlight w:val="none"/>
              </w:rPr>
              <w:t>2.4</w:t>
            </w:r>
          </w:p>
        </w:tc>
        <w:tc>
          <w:tcPr>
            <w:tcW w:w="317" w:type="dxa"/>
            <w:shd w:val="clear" w:color="auto" w:fill="FFFFFF"/>
            <w:tcMar>
              <w:top w:w="0" w:type="dxa"/>
              <w:left w:w="0" w:type="dxa"/>
              <w:bottom w:w="0" w:type="dxa"/>
              <w:right w:w="0" w:type="dxa"/>
            </w:tcMar>
            <w:vAlign w:val="center"/>
          </w:tcPr>
          <w:p w14:paraId="35D8F2A3">
            <w:pPr>
              <w:pStyle w:val="58"/>
              <w:bidi w:val="0"/>
              <w:rPr>
                <w:rFonts w:hint="default"/>
                <w:highlight w:val="none"/>
              </w:rPr>
            </w:pPr>
            <w:r>
              <w:rPr>
                <w:rFonts w:hint="default"/>
                <w:highlight w:val="none"/>
              </w:rPr>
              <w:t>5.6</w:t>
            </w:r>
          </w:p>
        </w:tc>
        <w:tc>
          <w:tcPr>
            <w:tcW w:w="513" w:type="dxa"/>
            <w:shd w:val="clear" w:color="auto" w:fill="FFFFFF"/>
            <w:tcMar>
              <w:top w:w="0" w:type="dxa"/>
              <w:left w:w="0" w:type="dxa"/>
              <w:bottom w:w="0" w:type="dxa"/>
              <w:right w:w="0" w:type="dxa"/>
            </w:tcMar>
            <w:vAlign w:val="center"/>
          </w:tcPr>
          <w:p w14:paraId="46FEAFFD">
            <w:pPr>
              <w:pStyle w:val="58"/>
              <w:bidi w:val="0"/>
              <w:rPr>
                <w:rFonts w:hint="default"/>
                <w:highlight w:val="none"/>
              </w:rPr>
            </w:pPr>
            <w:r>
              <w:rPr>
                <w:rFonts w:hint="default"/>
                <w:highlight w:val="none"/>
              </w:rPr>
              <w:t>83.3</w:t>
            </w:r>
          </w:p>
        </w:tc>
        <w:tc>
          <w:tcPr>
            <w:tcW w:w="513" w:type="dxa"/>
            <w:shd w:val="clear" w:color="auto" w:fill="FFFFFF"/>
            <w:tcMar>
              <w:top w:w="0" w:type="dxa"/>
              <w:left w:w="0" w:type="dxa"/>
              <w:bottom w:w="0" w:type="dxa"/>
              <w:right w:w="0" w:type="dxa"/>
            </w:tcMar>
            <w:vAlign w:val="center"/>
          </w:tcPr>
          <w:p w14:paraId="5214FA66">
            <w:pPr>
              <w:pStyle w:val="58"/>
              <w:bidi w:val="0"/>
              <w:rPr>
                <w:rFonts w:hint="default"/>
                <w:highlight w:val="none"/>
              </w:rPr>
            </w:pPr>
            <w:r>
              <w:rPr>
                <w:rFonts w:hint="default"/>
                <w:highlight w:val="none"/>
              </w:rPr>
              <w:t>83.2</w:t>
            </w:r>
          </w:p>
        </w:tc>
        <w:tc>
          <w:tcPr>
            <w:tcW w:w="513" w:type="dxa"/>
            <w:shd w:val="clear" w:color="auto" w:fill="FFFFFF"/>
            <w:tcMar>
              <w:top w:w="0" w:type="dxa"/>
              <w:left w:w="0" w:type="dxa"/>
              <w:bottom w:w="0" w:type="dxa"/>
              <w:right w:w="0" w:type="dxa"/>
            </w:tcMar>
            <w:vAlign w:val="center"/>
          </w:tcPr>
          <w:p w14:paraId="771572AE">
            <w:pPr>
              <w:pStyle w:val="58"/>
              <w:bidi w:val="0"/>
              <w:rPr>
                <w:rFonts w:hint="default"/>
                <w:highlight w:val="none"/>
              </w:rPr>
            </w:pPr>
            <w:r>
              <w:rPr>
                <w:rFonts w:hint="default"/>
                <w:highlight w:val="none"/>
              </w:rPr>
              <w:t>83.3</w:t>
            </w:r>
          </w:p>
        </w:tc>
        <w:tc>
          <w:tcPr>
            <w:tcW w:w="513" w:type="dxa"/>
            <w:shd w:val="clear" w:color="auto" w:fill="FFFFFF"/>
            <w:tcMar>
              <w:top w:w="0" w:type="dxa"/>
              <w:left w:w="0" w:type="dxa"/>
              <w:bottom w:w="0" w:type="dxa"/>
              <w:right w:w="0" w:type="dxa"/>
            </w:tcMar>
            <w:vAlign w:val="center"/>
          </w:tcPr>
          <w:p w14:paraId="0B5B2090">
            <w:pPr>
              <w:pStyle w:val="58"/>
              <w:bidi w:val="0"/>
              <w:rPr>
                <w:rFonts w:hint="default"/>
                <w:highlight w:val="none"/>
              </w:rPr>
            </w:pPr>
            <w:r>
              <w:rPr>
                <w:rFonts w:hint="default"/>
                <w:highlight w:val="none"/>
              </w:rPr>
              <w:t>83.2</w:t>
            </w:r>
          </w:p>
        </w:tc>
        <w:tc>
          <w:tcPr>
            <w:tcW w:w="521" w:type="dxa"/>
            <w:shd w:val="clear" w:color="auto" w:fill="FFFFFF"/>
            <w:tcMar>
              <w:top w:w="0" w:type="dxa"/>
              <w:left w:w="0" w:type="dxa"/>
              <w:bottom w:w="0" w:type="dxa"/>
              <w:right w:w="0" w:type="dxa"/>
            </w:tcMar>
            <w:vAlign w:val="center"/>
          </w:tcPr>
          <w:p w14:paraId="6D4A61AF">
            <w:pPr>
              <w:pStyle w:val="58"/>
              <w:bidi w:val="0"/>
              <w:rPr>
                <w:rFonts w:hint="default"/>
                <w:highlight w:val="none"/>
                <w:lang w:eastAsia="zh-CN"/>
              </w:rPr>
            </w:pPr>
            <w:r>
              <w:rPr>
                <w:rFonts w:hint="default"/>
                <w:highlight w:val="none"/>
                <w:lang w:eastAsia="zh-CN"/>
              </w:rPr>
              <w:t>昼夜</w:t>
            </w:r>
          </w:p>
        </w:tc>
        <w:tc>
          <w:tcPr>
            <w:tcW w:w="858" w:type="dxa"/>
            <w:shd w:val="clear" w:color="auto" w:fill="FFFFFF"/>
            <w:tcMar>
              <w:top w:w="0" w:type="dxa"/>
              <w:left w:w="0" w:type="dxa"/>
              <w:bottom w:w="0" w:type="dxa"/>
              <w:right w:w="0" w:type="dxa"/>
            </w:tcMar>
            <w:vAlign w:val="center"/>
          </w:tcPr>
          <w:p w14:paraId="38EA538C">
            <w:pPr>
              <w:pStyle w:val="58"/>
              <w:bidi w:val="0"/>
              <w:rPr>
                <w:rFonts w:hint="default"/>
                <w:highlight w:val="none"/>
                <w:lang w:val="en-US" w:eastAsia="zh-CN"/>
              </w:rPr>
            </w:pPr>
            <w:r>
              <w:rPr>
                <w:rFonts w:hint="default"/>
                <w:highlight w:val="none"/>
                <w:lang w:val="en-US" w:eastAsia="zh-CN"/>
              </w:rPr>
              <w:t>26</w:t>
            </w:r>
          </w:p>
        </w:tc>
        <w:tc>
          <w:tcPr>
            <w:tcW w:w="424" w:type="dxa"/>
            <w:shd w:val="clear" w:color="auto" w:fill="FFFFFF"/>
            <w:tcMar>
              <w:top w:w="0" w:type="dxa"/>
              <w:left w:w="0" w:type="dxa"/>
              <w:bottom w:w="0" w:type="dxa"/>
              <w:right w:w="0" w:type="dxa"/>
            </w:tcMar>
            <w:vAlign w:val="center"/>
          </w:tcPr>
          <w:p w14:paraId="4834CAA1">
            <w:pPr>
              <w:pStyle w:val="58"/>
              <w:bidi w:val="0"/>
              <w:rPr>
                <w:rFonts w:hint="default"/>
                <w:highlight w:val="none"/>
              </w:rPr>
            </w:pPr>
            <w:r>
              <w:rPr>
                <w:rFonts w:hint="default"/>
                <w:highlight w:val="none"/>
              </w:rPr>
              <w:t>57.3</w:t>
            </w:r>
          </w:p>
        </w:tc>
        <w:tc>
          <w:tcPr>
            <w:tcW w:w="424" w:type="dxa"/>
            <w:shd w:val="clear" w:color="auto" w:fill="FFFFFF"/>
            <w:tcMar>
              <w:top w:w="0" w:type="dxa"/>
              <w:left w:w="0" w:type="dxa"/>
              <w:bottom w:w="0" w:type="dxa"/>
              <w:right w:w="0" w:type="dxa"/>
            </w:tcMar>
            <w:vAlign w:val="center"/>
          </w:tcPr>
          <w:p w14:paraId="1050F24C">
            <w:pPr>
              <w:pStyle w:val="58"/>
              <w:bidi w:val="0"/>
              <w:rPr>
                <w:rFonts w:hint="default"/>
                <w:highlight w:val="none"/>
              </w:rPr>
            </w:pPr>
            <w:r>
              <w:rPr>
                <w:rFonts w:hint="default"/>
                <w:highlight w:val="none"/>
              </w:rPr>
              <w:t>57.2</w:t>
            </w:r>
          </w:p>
        </w:tc>
        <w:tc>
          <w:tcPr>
            <w:tcW w:w="424" w:type="dxa"/>
            <w:shd w:val="clear" w:color="auto" w:fill="FFFFFF"/>
            <w:tcMar>
              <w:top w:w="0" w:type="dxa"/>
              <w:left w:w="0" w:type="dxa"/>
              <w:bottom w:w="0" w:type="dxa"/>
              <w:right w:w="0" w:type="dxa"/>
            </w:tcMar>
            <w:vAlign w:val="center"/>
          </w:tcPr>
          <w:p w14:paraId="5CCED9FC">
            <w:pPr>
              <w:pStyle w:val="58"/>
              <w:bidi w:val="0"/>
              <w:rPr>
                <w:rFonts w:hint="default"/>
                <w:highlight w:val="none"/>
              </w:rPr>
            </w:pPr>
            <w:r>
              <w:rPr>
                <w:rFonts w:hint="default"/>
                <w:highlight w:val="none"/>
              </w:rPr>
              <w:t>57.3</w:t>
            </w:r>
          </w:p>
        </w:tc>
        <w:tc>
          <w:tcPr>
            <w:tcW w:w="427" w:type="dxa"/>
            <w:shd w:val="clear" w:color="auto" w:fill="FFFFFF"/>
            <w:tcMar>
              <w:top w:w="0" w:type="dxa"/>
              <w:left w:w="0" w:type="dxa"/>
              <w:bottom w:w="0" w:type="dxa"/>
              <w:right w:w="0" w:type="dxa"/>
            </w:tcMar>
            <w:vAlign w:val="center"/>
          </w:tcPr>
          <w:p w14:paraId="3301EF83">
            <w:pPr>
              <w:pStyle w:val="58"/>
              <w:bidi w:val="0"/>
              <w:rPr>
                <w:rFonts w:hint="default"/>
                <w:highlight w:val="none"/>
              </w:rPr>
            </w:pPr>
            <w:r>
              <w:rPr>
                <w:rFonts w:hint="default"/>
                <w:highlight w:val="none"/>
              </w:rPr>
              <w:t>57.2</w:t>
            </w:r>
          </w:p>
        </w:tc>
        <w:tc>
          <w:tcPr>
            <w:tcW w:w="486" w:type="dxa"/>
            <w:shd w:val="clear" w:color="auto" w:fill="FFFFFF"/>
            <w:tcMar>
              <w:top w:w="0" w:type="dxa"/>
              <w:left w:w="0" w:type="dxa"/>
              <w:bottom w:w="0" w:type="dxa"/>
              <w:right w:w="0" w:type="dxa"/>
            </w:tcMar>
            <w:vAlign w:val="center"/>
          </w:tcPr>
          <w:p w14:paraId="590FCCD7">
            <w:pPr>
              <w:pStyle w:val="58"/>
              <w:bidi w:val="0"/>
              <w:rPr>
                <w:rFonts w:hint="default"/>
                <w:highlight w:val="none"/>
              </w:rPr>
            </w:pPr>
            <w:r>
              <w:rPr>
                <w:rFonts w:hint="default"/>
                <w:highlight w:val="none"/>
              </w:rPr>
              <w:t>1</w:t>
            </w:r>
          </w:p>
        </w:tc>
      </w:tr>
      <w:tr w14:paraId="45888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458" w:type="dxa"/>
            <w:shd w:val="clear" w:color="auto" w:fill="FFFFFF"/>
            <w:tcMar>
              <w:top w:w="0" w:type="dxa"/>
              <w:left w:w="0" w:type="dxa"/>
              <w:bottom w:w="0" w:type="dxa"/>
              <w:right w:w="0" w:type="dxa"/>
            </w:tcMar>
            <w:vAlign w:val="center"/>
          </w:tcPr>
          <w:p w14:paraId="24E6C629">
            <w:pPr>
              <w:pStyle w:val="58"/>
              <w:numPr>
                <w:ilvl w:val="0"/>
                <w:numId w:val="37"/>
              </w:numPr>
              <w:bidi w:val="0"/>
              <w:ind w:left="425" w:leftChars="0" w:hanging="425" w:firstLineChars="0"/>
              <w:rPr>
                <w:rFonts w:hint="default"/>
                <w:highlight w:val="none"/>
              </w:rPr>
            </w:pPr>
          </w:p>
        </w:tc>
        <w:tc>
          <w:tcPr>
            <w:tcW w:w="632" w:type="dxa"/>
            <w:shd w:val="clear" w:color="auto" w:fill="FFFFFF"/>
            <w:tcMar>
              <w:top w:w="0" w:type="dxa"/>
              <w:left w:w="0" w:type="dxa"/>
              <w:bottom w:w="0" w:type="dxa"/>
              <w:right w:w="0" w:type="dxa"/>
            </w:tcMar>
            <w:vAlign w:val="center"/>
          </w:tcPr>
          <w:p w14:paraId="716894B2">
            <w:pPr>
              <w:pStyle w:val="58"/>
              <w:bidi w:val="0"/>
              <w:rPr>
                <w:rFonts w:hint="default"/>
                <w:highlight w:val="none"/>
              </w:rPr>
            </w:pPr>
            <w:r>
              <w:rPr>
                <w:rFonts w:hint="default"/>
                <w:highlight w:val="none"/>
              </w:rPr>
              <w:t>现有阀井出水池</w:t>
            </w:r>
          </w:p>
        </w:tc>
        <w:tc>
          <w:tcPr>
            <w:tcW w:w="715" w:type="dxa"/>
            <w:shd w:val="clear" w:color="auto" w:fill="FFFFFF"/>
            <w:tcMar>
              <w:top w:w="0" w:type="dxa"/>
              <w:left w:w="0" w:type="dxa"/>
              <w:bottom w:w="0" w:type="dxa"/>
              <w:right w:w="0" w:type="dxa"/>
            </w:tcMar>
            <w:vAlign w:val="center"/>
          </w:tcPr>
          <w:p w14:paraId="5DEA6E68">
            <w:pPr>
              <w:pStyle w:val="58"/>
              <w:bidi w:val="0"/>
              <w:rPr>
                <w:rFonts w:hint="default"/>
                <w:highlight w:val="none"/>
              </w:rPr>
            </w:pPr>
            <w:r>
              <w:rPr>
                <w:rFonts w:hint="default"/>
                <w:highlight w:val="none"/>
              </w:rPr>
              <w:t>泵（4个）</w:t>
            </w:r>
          </w:p>
        </w:tc>
        <w:tc>
          <w:tcPr>
            <w:tcW w:w="2018" w:type="dxa"/>
            <w:shd w:val="clear" w:color="auto" w:fill="FFFFFF"/>
            <w:tcMar>
              <w:top w:w="0" w:type="dxa"/>
              <w:left w:w="0" w:type="dxa"/>
              <w:bottom w:w="0" w:type="dxa"/>
              <w:right w:w="0" w:type="dxa"/>
            </w:tcMar>
            <w:vAlign w:val="center"/>
          </w:tcPr>
          <w:p w14:paraId="78CE3A19">
            <w:pPr>
              <w:pStyle w:val="58"/>
              <w:bidi w:val="0"/>
              <w:rPr>
                <w:rFonts w:hint="default"/>
                <w:highlight w:val="none"/>
                <w:lang w:val="en-US" w:eastAsia="zh-CN"/>
              </w:rPr>
            </w:pPr>
            <w:r>
              <w:rPr>
                <w:rFonts w:hint="default"/>
                <w:highlight w:val="none"/>
                <w:lang w:val="en-US" w:eastAsia="zh-CN"/>
              </w:rPr>
              <w:t>/</w:t>
            </w:r>
          </w:p>
        </w:tc>
        <w:tc>
          <w:tcPr>
            <w:tcW w:w="897" w:type="dxa"/>
            <w:shd w:val="clear" w:color="auto" w:fill="FFFFFF"/>
            <w:tcMar>
              <w:top w:w="0" w:type="dxa"/>
              <w:left w:w="0" w:type="dxa"/>
              <w:bottom w:w="0" w:type="dxa"/>
              <w:right w:w="0" w:type="dxa"/>
            </w:tcMar>
            <w:vAlign w:val="center"/>
          </w:tcPr>
          <w:p w14:paraId="1EA6B6CB">
            <w:pPr>
              <w:pStyle w:val="58"/>
              <w:bidi w:val="0"/>
              <w:rPr>
                <w:rFonts w:hint="default"/>
                <w:highlight w:val="none"/>
              </w:rPr>
            </w:pPr>
            <w:r>
              <w:rPr>
                <w:rFonts w:hint="default"/>
                <w:highlight w:val="none"/>
              </w:rPr>
              <w:t>85</w:t>
            </w:r>
          </w:p>
        </w:tc>
        <w:tc>
          <w:tcPr>
            <w:tcW w:w="1169" w:type="dxa"/>
            <w:vMerge w:val="restart"/>
            <w:shd w:val="clear" w:color="auto" w:fill="FFFFFF"/>
            <w:tcMar>
              <w:top w:w="0" w:type="dxa"/>
              <w:left w:w="0" w:type="dxa"/>
              <w:bottom w:w="0" w:type="dxa"/>
              <w:right w:w="0" w:type="dxa"/>
            </w:tcMar>
            <w:vAlign w:val="center"/>
          </w:tcPr>
          <w:p w14:paraId="486FB89E">
            <w:pPr>
              <w:pStyle w:val="58"/>
              <w:bidi w:val="0"/>
              <w:rPr>
                <w:rFonts w:hint="default"/>
                <w:highlight w:val="none"/>
              </w:rPr>
            </w:pPr>
            <w:bookmarkStart w:id="324" w:name="OLE_LINK86"/>
            <w:r>
              <w:rPr>
                <w:rFonts w:hint="default"/>
                <w:highlight w:val="none"/>
              </w:rPr>
              <w:t>厂房隔声（钢砼结构）地下布置、基础减振</w:t>
            </w:r>
            <w:bookmarkEnd w:id="324"/>
          </w:p>
        </w:tc>
        <w:tc>
          <w:tcPr>
            <w:tcW w:w="543" w:type="dxa"/>
            <w:shd w:val="clear" w:color="auto" w:fill="FFFFFF"/>
            <w:tcMar>
              <w:top w:w="0" w:type="dxa"/>
              <w:left w:w="0" w:type="dxa"/>
              <w:bottom w:w="0" w:type="dxa"/>
              <w:right w:w="0" w:type="dxa"/>
            </w:tcMar>
            <w:vAlign w:val="center"/>
          </w:tcPr>
          <w:p w14:paraId="216DB56B">
            <w:pPr>
              <w:pStyle w:val="58"/>
              <w:bidi w:val="0"/>
              <w:rPr>
                <w:rFonts w:hint="default"/>
                <w:highlight w:val="none"/>
              </w:rPr>
            </w:pPr>
            <w:r>
              <w:rPr>
                <w:rFonts w:hint="default"/>
                <w:highlight w:val="none"/>
              </w:rPr>
              <w:t>132.9</w:t>
            </w:r>
          </w:p>
        </w:tc>
        <w:tc>
          <w:tcPr>
            <w:tcW w:w="425" w:type="dxa"/>
            <w:shd w:val="clear" w:color="auto" w:fill="FFFFFF"/>
            <w:tcMar>
              <w:top w:w="0" w:type="dxa"/>
              <w:left w:w="0" w:type="dxa"/>
              <w:bottom w:w="0" w:type="dxa"/>
              <w:right w:w="0" w:type="dxa"/>
            </w:tcMar>
            <w:vAlign w:val="center"/>
          </w:tcPr>
          <w:p w14:paraId="5633F468">
            <w:pPr>
              <w:pStyle w:val="58"/>
              <w:bidi w:val="0"/>
              <w:rPr>
                <w:rFonts w:hint="default"/>
                <w:highlight w:val="none"/>
              </w:rPr>
            </w:pPr>
            <w:r>
              <w:rPr>
                <w:rFonts w:hint="default"/>
                <w:highlight w:val="none"/>
              </w:rPr>
              <w:t>92.2</w:t>
            </w:r>
          </w:p>
        </w:tc>
        <w:tc>
          <w:tcPr>
            <w:tcW w:w="307" w:type="dxa"/>
            <w:shd w:val="clear" w:color="auto" w:fill="FFFFFF"/>
            <w:tcMar>
              <w:top w:w="0" w:type="dxa"/>
              <w:left w:w="0" w:type="dxa"/>
              <w:bottom w:w="0" w:type="dxa"/>
              <w:right w:w="0" w:type="dxa"/>
            </w:tcMar>
            <w:vAlign w:val="center"/>
          </w:tcPr>
          <w:p w14:paraId="787F1F95">
            <w:pPr>
              <w:pStyle w:val="58"/>
              <w:bidi w:val="0"/>
              <w:rPr>
                <w:rFonts w:hint="default"/>
                <w:highlight w:val="none"/>
              </w:rPr>
            </w:pPr>
            <w:r>
              <w:rPr>
                <w:rFonts w:hint="default"/>
                <w:highlight w:val="none"/>
              </w:rPr>
              <w:t>-3</w:t>
            </w:r>
          </w:p>
        </w:tc>
        <w:tc>
          <w:tcPr>
            <w:tcW w:w="318" w:type="dxa"/>
            <w:shd w:val="clear" w:color="auto" w:fill="FFFFFF"/>
            <w:tcMar>
              <w:top w:w="0" w:type="dxa"/>
              <w:left w:w="0" w:type="dxa"/>
              <w:bottom w:w="0" w:type="dxa"/>
              <w:right w:w="0" w:type="dxa"/>
            </w:tcMar>
            <w:vAlign w:val="center"/>
          </w:tcPr>
          <w:p w14:paraId="0E017592">
            <w:pPr>
              <w:pStyle w:val="58"/>
              <w:bidi w:val="0"/>
              <w:rPr>
                <w:rFonts w:hint="default"/>
                <w:highlight w:val="none"/>
              </w:rPr>
            </w:pPr>
            <w:r>
              <w:rPr>
                <w:rFonts w:hint="default"/>
                <w:highlight w:val="none"/>
              </w:rPr>
              <w:t>2.8</w:t>
            </w:r>
          </w:p>
        </w:tc>
        <w:tc>
          <w:tcPr>
            <w:tcW w:w="317" w:type="dxa"/>
            <w:shd w:val="clear" w:color="auto" w:fill="FFFFFF"/>
            <w:tcMar>
              <w:top w:w="0" w:type="dxa"/>
              <w:left w:w="0" w:type="dxa"/>
              <w:bottom w:w="0" w:type="dxa"/>
              <w:right w:w="0" w:type="dxa"/>
            </w:tcMar>
            <w:vAlign w:val="center"/>
          </w:tcPr>
          <w:p w14:paraId="500381E3">
            <w:pPr>
              <w:pStyle w:val="58"/>
              <w:bidi w:val="0"/>
              <w:rPr>
                <w:rFonts w:hint="default"/>
                <w:highlight w:val="none"/>
              </w:rPr>
            </w:pPr>
            <w:r>
              <w:rPr>
                <w:rFonts w:hint="default"/>
                <w:highlight w:val="none"/>
              </w:rPr>
              <w:t>2.0</w:t>
            </w:r>
          </w:p>
        </w:tc>
        <w:tc>
          <w:tcPr>
            <w:tcW w:w="318" w:type="dxa"/>
            <w:shd w:val="clear" w:color="auto" w:fill="FFFFFF"/>
            <w:tcMar>
              <w:top w:w="0" w:type="dxa"/>
              <w:left w:w="0" w:type="dxa"/>
              <w:bottom w:w="0" w:type="dxa"/>
              <w:right w:w="0" w:type="dxa"/>
            </w:tcMar>
            <w:vAlign w:val="center"/>
          </w:tcPr>
          <w:p w14:paraId="20630C04">
            <w:pPr>
              <w:pStyle w:val="58"/>
              <w:bidi w:val="0"/>
              <w:rPr>
                <w:rFonts w:hint="default"/>
                <w:highlight w:val="none"/>
              </w:rPr>
            </w:pPr>
            <w:r>
              <w:rPr>
                <w:rFonts w:hint="default"/>
                <w:highlight w:val="none"/>
              </w:rPr>
              <w:t>2.5</w:t>
            </w:r>
          </w:p>
        </w:tc>
        <w:tc>
          <w:tcPr>
            <w:tcW w:w="317" w:type="dxa"/>
            <w:shd w:val="clear" w:color="auto" w:fill="FFFFFF"/>
            <w:tcMar>
              <w:top w:w="0" w:type="dxa"/>
              <w:left w:w="0" w:type="dxa"/>
              <w:bottom w:w="0" w:type="dxa"/>
              <w:right w:w="0" w:type="dxa"/>
            </w:tcMar>
            <w:vAlign w:val="center"/>
          </w:tcPr>
          <w:p w14:paraId="6CDD1D20">
            <w:pPr>
              <w:pStyle w:val="58"/>
              <w:bidi w:val="0"/>
              <w:rPr>
                <w:rFonts w:hint="default"/>
                <w:highlight w:val="none"/>
              </w:rPr>
            </w:pPr>
            <w:r>
              <w:rPr>
                <w:rFonts w:hint="default"/>
                <w:highlight w:val="none"/>
              </w:rPr>
              <w:t>1.4</w:t>
            </w:r>
          </w:p>
        </w:tc>
        <w:tc>
          <w:tcPr>
            <w:tcW w:w="513" w:type="dxa"/>
            <w:shd w:val="clear" w:color="auto" w:fill="FFFFFF"/>
            <w:tcMar>
              <w:top w:w="0" w:type="dxa"/>
              <w:left w:w="0" w:type="dxa"/>
              <w:bottom w:w="0" w:type="dxa"/>
              <w:right w:w="0" w:type="dxa"/>
            </w:tcMar>
            <w:vAlign w:val="center"/>
          </w:tcPr>
          <w:p w14:paraId="48ACF864">
            <w:pPr>
              <w:pStyle w:val="58"/>
              <w:bidi w:val="0"/>
              <w:rPr>
                <w:rFonts w:hint="default"/>
                <w:highlight w:val="none"/>
              </w:rPr>
            </w:pPr>
            <w:r>
              <w:rPr>
                <w:rFonts w:hint="default"/>
                <w:highlight w:val="none"/>
              </w:rPr>
              <w:t>97.5</w:t>
            </w:r>
          </w:p>
        </w:tc>
        <w:tc>
          <w:tcPr>
            <w:tcW w:w="513" w:type="dxa"/>
            <w:shd w:val="clear" w:color="auto" w:fill="FFFFFF"/>
            <w:tcMar>
              <w:top w:w="0" w:type="dxa"/>
              <w:left w:w="0" w:type="dxa"/>
              <w:bottom w:w="0" w:type="dxa"/>
              <w:right w:w="0" w:type="dxa"/>
            </w:tcMar>
            <w:vAlign w:val="center"/>
          </w:tcPr>
          <w:p w14:paraId="01508328">
            <w:pPr>
              <w:pStyle w:val="58"/>
              <w:bidi w:val="0"/>
              <w:rPr>
                <w:rFonts w:hint="default"/>
                <w:highlight w:val="none"/>
              </w:rPr>
            </w:pPr>
            <w:r>
              <w:rPr>
                <w:rFonts w:hint="default"/>
                <w:highlight w:val="none"/>
              </w:rPr>
              <w:t>97.5</w:t>
            </w:r>
          </w:p>
        </w:tc>
        <w:tc>
          <w:tcPr>
            <w:tcW w:w="513" w:type="dxa"/>
            <w:shd w:val="clear" w:color="auto" w:fill="FFFFFF"/>
            <w:tcMar>
              <w:top w:w="0" w:type="dxa"/>
              <w:left w:w="0" w:type="dxa"/>
              <w:bottom w:w="0" w:type="dxa"/>
              <w:right w:w="0" w:type="dxa"/>
            </w:tcMar>
            <w:vAlign w:val="center"/>
          </w:tcPr>
          <w:p w14:paraId="6B78A016">
            <w:pPr>
              <w:pStyle w:val="58"/>
              <w:bidi w:val="0"/>
              <w:rPr>
                <w:rFonts w:hint="default"/>
                <w:highlight w:val="none"/>
              </w:rPr>
            </w:pPr>
            <w:r>
              <w:rPr>
                <w:rFonts w:hint="default"/>
                <w:highlight w:val="none"/>
              </w:rPr>
              <w:t>97.5</w:t>
            </w:r>
          </w:p>
        </w:tc>
        <w:tc>
          <w:tcPr>
            <w:tcW w:w="513" w:type="dxa"/>
            <w:shd w:val="clear" w:color="auto" w:fill="FFFFFF"/>
            <w:tcMar>
              <w:top w:w="0" w:type="dxa"/>
              <w:left w:w="0" w:type="dxa"/>
              <w:bottom w:w="0" w:type="dxa"/>
              <w:right w:w="0" w:type="dxa"/>
            </w:tcMar>
            <w:vAlign w:val="center"/>
          </w:tcPr>
          <w:p w14:paraId="7124CC6C">
            <w:pPr>
              <w:pStyle w:val="58"/>
              <w:bidi w:val="0"/>
              <w:rPr>
                <w:rFonts w:hint="default"/>
                <w:highlight w:val="none"/>
              </w:rPr>
            </w:pPr>
            <w:r>
              <w:rPr>
                <w:rFonts w:hint="default"/>
                <w:highlight w:val="none"/>
              </w:rPr>
              <w:t>97.5</w:t>
            </w:r>
          </w:p>
        </w:tc>
        <w:tc>
          <w:tcPr>
            <w:tcW w:w="521" w:type="dxa"/>
            <w:shd w:val="clear" w:color="auto" w:fill="FFFFFF"/>
            <w:tcMar>
              <w:top w:w="0" w:type="dxa"/>
              <w:left w:w="0" w:type="dxa"/>
              <w:bottom w:w="0" w:type="dxa"/>
              <w:right w:w="0" w:type="dxa"/>
            </w:tcMar>
            <w:vAlign w:val="center"/>
          </w:tcPr>
          <w:p w14:paraId="39241086">
            <w:pPr>
              <w:pStyle w:val="58"/>
              <w:bidi w:val="0"/>
              <w:rPr>
                <w:rFonts w:hint="default"/>
                <w:highlight w:val="none"/>
                <w:lang w:eastAsia="zh-CN"/>
              </w:rPr>
            </w:pPr>
            <w:r>
              <w:rPr>
                <w:rFonts w:hint="default"/>
                <w:highlight w:val="none"/>
                <w:lang w:eastAsia="zh-CN"/>
              </w:rPr>
              <w:t>昼夜</w:t>
            </w:r>
          </w:p>
        </w:tc>
        <w:tc>
          <w:tcPr>
            <w:tcW w:w="858" w:type="dxa"/>
            <w:shd w:val="clear" w:color="auto" w:fill="FFFFFF"/>
            <w:tcMar>
              <w:top w:w="0" w:type="dxa"/>
              <w:left w:w="0" w:type="dxa"/>
              <w:bottom w:w="0" w:type="dxa"/>
              <w:right w:w="0" w:type="dxa"/>
            </w:tcMar>
            <w:vAlign w:val="center"/>
          </w:tcPr>
          <w:p w14:paraId="1FB4EC3F">
            <w:pPr>
              <w:pStyle w:val="58"/>
              <w:bidi w:val="0"/>
              <w:rPr>
                <w:rFonts w:hint="default"/>
                <w:highlight w:val="none"/>
                <w:lang w:val="en-US" w:eastAsia="zh-CN"/>
              </w:rPr>
            </w:pPr>
            <w:r>
              <w:rPr>
                <w:rFonts w:hint="default"/>
                <w:highlight w:val="none"/>
                <w:lang w:val="en-US" w:eastAsia="zh-CN"/>
              </w:rPr>
              <w:t>26</w:t>
            </w:r>
          </w:p>
        </w:tc>
        <w:tc>
          <w:tcPr>
            <w:tcW w:w="424" w:type="dxa"/>
            <w:shd w:val="clear" w:color="auto" w:fill="FFFFFF"/>
            <w:tcMar>
              <w:top w:w="0" w:type="dxa"/>
              <w:left w:w="0" w:type="dxa"/>
              <w:bottom w:w="0" w:type="dxa"/>
              <w:right w:w="0" w:type="dxa"/>
            </w:tcMar>
            <w:vAlign w:val="center"/>
          </w:tcPr>
          <w:p w14:paraId="6F547E1B">
            <w:pPr>
              <w:pStyle w:val="58"/>
              <w:bidi w:val="0"/>
              <w:rPr>
                <w:rFonts w:hint="default"/>
                <w:highlight w:val="none"/>
              </w:rPr>
            </w:pPr>
            <w:r>
              <w:rPr>
                <w:rFonts w:hint="default"/>
                <w:highlight w:val="none"/>
              </w:rPr>
              <w:t>71.5</w:t>
            </w:r>
          </w:p>
        </w:tc>
        <w:tc>
          <w:tcPr>
            <w:tcW w:w="424" w:type="dxa"/>
            <w:shd w:val="clear" w:color="auto" w:fill="FFFFFF"/>
            <w:tcMar>
              <w:top w:w="0" w:type="dxa"/>
              <w:left w:w="0" w:type="dxa"/>
              <w:bottom w:w="0" w:type="dxa"/>
              <w:right w:w="0" w:type="dxa"/>
            </w:tcMar>
            <w:vAlign w:val="center"/>
          </w:tcPr>
          <w:p w14:paraId="702A5DF1">
            <w:pPr>
              <w:pStyle w:val="58"/>
              <w:bidi w:val="0"/>
              <w:rPr>
                <w:rFonts w:hint="default"/>
                <w:highlight w:val="none"/>
              </w:rPr>
            </w:pPr>
            <w:r>
              <w:rPr>
                <w:rFonts w:hint="default"/>
                <w:highlight w:val="none"/>
              </w:rPr>
              <w:t>71.5</w:t>
            </w:r>
          </w:p>
        </w:tc>
        <w:tc>
          <w:tcPr>
            <w:tcW w:w="424" w:type="dxa"/>
            <w:shd w:val="clear" w:color="auto" w:fill="FFFFFF"/>
            <w:tcMar>
              <w:top w:w="0" w:type="dxa"/>
              <w:left w:w="0" w:type="dxa"/>
              <w:bottom w:w="0" w:type="dxa"/>
              <w:right w:w="0" w:type="dxa"/>
            </w:tcMar>
            <w:vAlign w:val="center"/>
          </w:tcPr>
          <w:p w14:paraId="2DC0AA85">
            <w:pPr>
              <w:pStyle w:val="58"/>
              <w:bidi w:val="0"/>
              <w:rPr>
                <w:rFonts w:hint="default"/>
                <w:highlight w:val="none"/>
              </w:rPr>
            </w:pPr>
            <w:r>
              <w:rPr>
                <w:rFonts w:hint="default"/>
                <w:highlight w:val="none"/>
              </w:rPr>
              <w:t>71.5</w:t>
            </w:r>
          </w:p>
        </w:tc>
        <w:tc>
          <w:tcPr>
            <w:tcW w:w="427" w:type="dxa"/>
            <w:shd w:val="clear" w:color="auto" w:fill="FFFFFF"/>
            <w:tcMar>
              <w:top w:w="0" w:type="dxa"/>
              <w:left w:w="0" w:type="dxa"/>
              <w:bottom w:w="0" w:type="dxa"/>
              <w:right w:w="0" w:type="dxa"/>
            </w:tcMar>
            <w:vAlign w:val="center"/>
          </w:tcPr>
          <w:p w14:paraId="2FFC537E">
            <w:pPr>
              <w:pStyle w:val="58"/>
              <w:bidi w:val="0"/>
              <w:rPr>
                <w:rFonts w:hint="default"/>
                <w:highlight w:val="none"/>
              </w:rPr>
            </w:pPr>
            <w:r>
              <w:rPr>
                <w:rFonts w:hint="default"/>
                <w:highlight w:val="none"/>
              </w:rPr>
              <w:t>71.5</w:t>
            </w:r>
          </w:p>
        </w:tc>
        <w:tc>
          <w:tcPr>
            <w:tcW w:w="486" w:type="dxa"/>
            <w:shd w:val="clear" w:color="auto" w:fill="FFFFFF"/>
            <w:tcMar>
              <w:top w:w="0" w:type="dxa"/>
              <w:left w:w="0" w:type="dxa"/>
              <w:bottom w:w="0" w:type="dxa"/>
              <w:right w:w="0" w:type="dxa"/>
            </w:tcMar>
            <w:vAlign w:val="center"/>
          </w:tcPr>
          <w:p w14:paraId="49082907">
            <w:pPr>
              <w:pStyle w:val="58"/>
              <w:bidi w:val="0"/>
              <w:rPr>
                <w:rFonts w:hint="default"/>
                <w:highlight w:val="none"/>
              </w:rPr>
            </w:pPr>
            <w:r>
              <w:rPr>
                <w:rFonts w:hint="default"/>
                <w:highlight w:val="none"/>
              </w:rPr>
              <w:t>1</w:t>
            </w:r>
          </w:p>
        </w:tc>
      </w:tr>
      <w:tr w14:paraId="74587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458" w:type="dxa"/>
            <w:shd w:val="clear" w:color="auto" w:fill="FFFFFF"/>
            <w:tcMar>
              <w:top w:w="0" w:type="dxa"/>
              <w:left w:w="0" w:type="dxa"/>
              <w:bottom w:w="0" w:type="dxa"/>
              <w:right w:w="0" w:type="dxa"/>
            </w:tcMar>
            <w:vAlign w:val="center"/>
          </w:tcPr>
          <w:p w14:paraId="5601A566">
            <w:pPr>
              <w:pStyle w:val="58"/>
              <w:numPr>
                <w:ilvl w:val="0"/>
                <w:numId w:val="37"/>
              </w:numPr>
              <w:bidi w:val="0"/>
              <w:ind w:left="425" w:leftChars="0" w:hanging="425" w:firstLineChars="0"/>
              <w:rPr>
                <w:rFonts w:hint="default"/>
                <w:highlight w:val="none"/>
              </w:rPr>
            </w:pPr>
          </w:p>
        </w:tc>
        <w:tc>
          <w:tcPr>
            <w:tcW w:w="632" w:type="dxa"/>
            <w:shd w:val="clear" w:color="auto" w:fill="FFFFFF"/>
            <w:tcMar>
              <w:top w:w="0" w:type="dxa"/>
              <w:left w:w="0" w:type="dxa"/>
              <w:bottom w:w="0" w:type="dxa"/>
              <w:right w:w="0" w:type="dxa"/>
            </w:tcMar>
            <w:vAlign w:val="center"/>
          </w:tcPr>
          <w:p w14:paraId="21F5C5F0">
            <w:pPr>
              <w:pStyle w:val="58"/>
              <w:bidi w:val="0"/>
              <w:rPr>
                <w:rFonts w:hint="default"/>
                <w:highlight w:val="none"/>
              </w:rPr>
            </w:pPr>
            <w:r>
              <w:rPr>
                <w:rFonts w:hint="default"/>
                <w:highlight w:val="none"/>
              </w:rPr>
              <w:t>格栅间及调节池</w:t>
            </w:r>
          </w:p>
        </w:tc>
        <w:tc>
          <w:tcPr>
            <w:tcW w:w="715" w:type="dxa"/>
            <w:shd w:val="clear" w:color="auto" w:fill="FFFFFF"/>
            <w:tcMar>
              <w:top w:w="0" w:type="dxa"/>
              <w:left w:w="0" w:type="dxa"/>
              <w:bottom w:w="0" w:type="dxa"/>
              <w:right w:w="0" w:type="dxa"/>
            </w:tcMar>
            <w:vAlign w:val="center"/>
          </w:tcPr>
          <w:p w14:paraId="3F711630">
            <w:pPr>
              <w:pStyle w:val="58"/>
              <w:bidi w:val="0"/>
              <w:rPr>
                <w:rFonts w:hint="default"/>
                <w:highlight w:val="none"/>
              </w:rPr>
            </w:pPr>
            <w:r>
              <w:rPr>
                <w:rFonts w:hint="default"/>
                <w:highlight w:val="none"/>
              </w:rPr>
              <w:t>提升泵（潜污泵）（2个）</w:t>
            </w:r>
          </w:p>
        </w:tc>
        <w:tc>
          <w:tcPr>
            <w:tcW w:w="2018" w:type="dxa"/>
            <w:shd w:val="clear" w:color="auto" w:fill="FFFFFF"/>
            <w:tcMar>
              <w:top w:w="0" w:type="dxa"/>
              <w:left w:w="0" w:type="dxa"/>
              <w:bottom w:w="0" w:type="dxa"/>
              <w:right w:w="0" w:type="dxa"/>
            </w:tcMar>
            <w:vAlign w:val="center"/>
          </w:tcPr>
          <w:p w14:paraId="0585550E">
            <w:pPr>
              <w:pStyle w:val="58"/>
              <w:bidi w:val="0"/>
              <w:rPr>
                <w:rFonts w:hint="default"/>
                <w:highlight w:val="none"/>
                <w:lang w:val="en-US" w:eastAsia="zh-CN"/>
              </w:rPr>
            </w:pPr>
            <w:r>
              <w:rPr>
                <w:rFonts w:hint="default"/>
                <w:highlight w:val="none"/>
                <w:lang w:val="en-US" w:eastAsia="zh-CN"/>
              </w:rPr>
              <w:t>40WQ6-12-0.55/</w:t>
            </w:r>
          </w:p>
          <w:p w14:paraId="7B78367F">
            <w:pPr>
              <w:pStyle w:val="58"/>
              <w:bidi w:val="0"/>
              <w:rPr>
                <w:rFonts w:hint="default"/>
                <w:highlight w:val="none"/>
                <w:lang w:val="en-US"/>
              </w:rPr>
            </w:pPr>
            <w:r>
              <w:rPr>
                <w:rFonts w:hint="default"/>
                <w:highlight w:val="none"/>
                <w:lang w:val="en-US" w:eastAsia="zh-CN"/>
              </w:rPr>
              <w:t>50WQ10-16-1.1</w:t>
            </w:r>
          </w:p>
        </w:tc>
        <w:tc>
          <w:tcPr>
            <w:tcW w:w="897" w:type="dxa"/>
            <w:shd w:val="clear" w:color="auto" w:fill="FFFFFF"/>
            <w:tcMar>
              <w:top w:w="0" w:type="dxa"/>
              <w:left w:w="0" w:type="dxa"/>
              <w:bottom w:w="0" w:type="dxa"/>
              <w:right w:w="0" w:type="dxa"/>
            </w:tcMar>
            <w:vAlign w:val="center"/>
          </w:tcPr>
          <w:p w14:paraId="531C5F72">
            <w:pPr>
              <w:pStyle w:val="58"/>
              <w:bidi w:val="0"/>
              <w:rPr>
                <w:rFonts w:hint="default"/>
                <w:highlight w:val="none"/>
              </w:rPr>
            </w:pPr>
            <w:r>
              <w:rPr>
                <w:rFonts w:hint="default"/>
                <w:highlight w:val="none"/>
              </w:rPr>
              <w:t>85</w:t>
            </w:r>
          </w:p>
        </w:tc>
        <w:tc>
          <w:tcPr>
            <w:tcW w:w="1169" w:type="dxa"/>
            <w:vMerge w:val="continue"/>
            <w:shd w:val="clear" w:color="auto" w:fill="FFFFFF"/>
            <w:tcMar>
              <w:top w:w="0" w:type="dxa"/>
              <w:left w:w="0" w:type="dxa"/>
              <w:bottom w:w="0" w:type="dxa"/>
              <w:right w:w="0" w:type="dxa"/>
            </w:tcMar>
            <w:vAlign w:val="center"/>
          </w:tcPr>
          <w:p w14:paraId="73A5E3F7">
            <w:pPr>
              <w:pStyle w:val="58"/>
              <w:bidi w:val="0"/>
              <w:rPr>
                <w:rFonts w:hint="default"/>
                <w:highlight w:val="none"/>
              </w:rPr>
            </w:pPr>
          </w:p>
        </w:tc>
        <w:tc>
          <w:tcPr>
            <w:tcW w:w="543" w:type="dxa"/>
            <w:shd w:val="clear" w:color="auto" w:fill="FFFFFF"/>
            <w:tcMar>
              <w:top w:w="0" w:type="dxa"/>
              <w:left w:w="0" w:type="dxa"/>
              <w:bottom w:w="0" w:type="dxa"/>
              <w:right w:w="0" w:type="dxa"/>
            </w:tcMar>
            <w:vAlign w:val="center"/>
          </w:tcPr>
          <w:p w14:paraId="507D8B5D">
            <w:pPr>
              <w:pStyle w:val="58"/>
              <w:bidi w:val="0"/>
              <w:rPr>
                <w:rFonts w:hint="default"/>
                <w:highlight w:val="none"/>
              </w:rPr>
            </w:pPr>
            <w:r>
              <w:rPr>
                <w:rFonts w:hint="default"/>
                <w:highlight w:val="none"/>
              </w:rPr>
              <w:t>144.2</w:t>
            </w:r>
          </w:p>
        </w:tc>
        <w:tc>
          <w:tcPr>
            <w:tcW w:w="425" w:type="dxa"/>
            <w:shd w:val="clear" w:color="auto" w:fill="FFFFFF"/>
            <w:tcMar>
              <w:top w:w="0" w:type="dxa"/>
              <w:left w:w="0" w:type="dxa"/>
              <w:bottom w:w="0" w:type="dxa"/>
              <w:right w:w="0" w:type="dxa"/>
            </w:tcMar>
            <w:vAlign w:val="center"/>
          </w:tcPr>
          <w:p w14:paraId="61DE6A77">
            <w:pPr>
              <w:pStyle w:val="58"/>
              <w:bidi w:val="0"/>
              <w:rPr>
                <w:rFonts w:hint="default"/>
                <w:highlight w:val="none"/>
              </w:rPr>
            </w:pPr>
            <w:r>
              <w:rPr>
                <w:rFonts w:hint="default"/>
                <w:highlight w:val="none"/>
              </w:rPr>
              <w:t>61.3</w:t>
            </w:r>
          </w:p>
        </w:tc>
        <w:tc>
          <w:tcPr>
            <w:tcW w:w="307" w:type="dxa"/>
            <w:shd w:val="clear" w:color="auto" w:fill="FFFFFF"/>
            <w:tcMar>
              <w:top w:w="0" w:type="dxa"/>
              <w:left w:w="0" w:type="dxa"/>
              <w:bottom w:w="0" w:type="dxa"/>
              <w:right w:w="0" w:type="dxa"/>
            </w:tcMar>
            <w:vAlign w:val="center"/>
          </w:tcPr>
          <w:p w14:paraId="0997A6F3">
            <w:pPr>
              <w:pStyle w:val="58"/>
              <w:bidi w:val="0"/>
              <w:rPr>
                <w:rFonts w:hint="default"/>
                <w:highlight w:val="none"/>
              </w:rPr>
            </w:pPr>
            <w:r>
              <w:rPr>
                <w:rFonts w:hint="default"/>
                <w:highlight w:val="none"/>
              </w:rPr>
              <w:t>-3</w:t>
            </w:r>
          </w:p>
        </w:tc>
        <w:tc>
          <w:tcPr>
            <w:tcW w:w="318" w:type="dxa"/>
            <w:shd w:val="clear" w:color="auto" w:fill="FFFFFF"/>
            <w:tcMar>
              <w:top w:w="0" w:type="dxa"/>
              <w:left w:w="0" w:type="dxa"/>
              <w:bottom w:w="0" w:type="dxa"/>
              <w:right w:w="0" w:type="dxa"/>
            </w:tcMar>
            <w:vAlign w:val="center"/>
          </w:tcPr>
          <w:p w14:paraId="3BCFD61E">
            <w:pPr>
              <w:pStyle w:val="58"/>
              <w:bidi w:val="0"/>
              <w:rPr>
                <w:rFonts w:hint="default"/>
                <w:highlight w:val="none"/>
              </w:rPr>
            </w:pPr>
            <w:r>
              <w:rPr>
                <w:rFonts w:hint="default"/>
                <w:highlight w:val="none"/>
              </w:rPr>
              <w:t>4.5</w:t>
            </w:r>
          </w:p>
        </w:tc>
        <w:tc>
          <w:tcPr>
            <w:tcW w:w="317" w:type="dxa"/>
            <w:shd w:val="clear" w:color="auto" w:fill="FFFFFF"/>
            <w:tcMar>
              <w:top w:w="0" w:type="dxa"/>
              <w:left w:w="0" w:type="dxa"/>
              <w:bottom w:w="0" w:type="dxa"/>
              <w:right w:w="0" w:type="dxa"/>
            </w:tcMar>
            <w:vAlign w:val="center"/>
          </w:tcPr>
          <w:p w14:paraId="6A09CDB3">
            <w:pPr>
              <w:pStyle w:val="58"/>
              <w:bidi w:val="0"/>
              <w:rPr>
                <w:rFonts w:hint="default"/>
                <w:highlight w:val="none"/>
              </w:rPr>
            </w:pPr>
            <w:r>
              <w:rPr>
                <w:rFonts w:hint="default"/>
                <w:highlight w:val="none"/>
              </w:rPr>
              <w:t>4.1</w:t>
            </w:r>
          </w:p>
        </w:tc>
        <w:tc>
          <w:tcPr>
            <w:tcW w:w="318" w:type="dxa"/>
            <w:shd w:val="clear" w:color="auto" w:fill="FFFFFF"/>
            <w:tcMar>
              <w:top w:w="0" w:type="dxa"/>
              <w:left w:w="0" w:type="dxa"/>
              <w:bottom w:w="0" w:type="dxa"/>
              <w:right w:w="0" w:type="dxa"/>
            </w:tcMar>
            <w:vAlign w:val="center"/>
          </w:tcPr>
          <w:p w14:paraId="38E77AE3">
            <w:pPr>
              <w:pStyle w:val="58"/>
              <w:bidi w:val="0"/>
              <w:rPr>
                <w:rFonts w:hint="default"/>
                <w:highlight w:val="none"/>
              </w:rPr>
            </w:pPr>
            <w:r>
              <w:rPr>
                <w:rFonts w:hint="default"/>
                <w:highlight w:val="none"/>
              </w:rPr>
              <w:t>4.0</w:t>
            </w:r>
          </w:p>
        </w:tc>
        <w:tc>
          <w:tcPr>
            <w:tcW w:w="317" w:type="dxa"/>
            <w:shd w:val="clear" w:color="auto" w:fill="FFFFFF"/>
            <w:tcMar>
              <w:top w:w="0" w:type="dxa"/>
              <w:left w:w="0" w:type="dxa"/>
              <w:bottom w:w="0" w:type="dxa"/>
              <w:right w:w="0" w:type="dxa"/>
            </w:tcMar>
            <w:vAlign w:val="center"/>
          </w:tcPr>
          <w:p w14:paraId="330B3D57">
            <w:pPr>
              <w:pStyle w:val="58"/>
              <w:bidi w:val="0"/>
              <w:rPr>
                <w:rFonts w:hint="default"/>
                <w:highlight w:val="none"/>
              </w:rPr>
            </w:pPr>
            <w:r>
              <w:rPr>
                <w:rFonts w:hint="default"/>
                <w:highlight w:val="none"/>
              </w:rPr>
              <w:t>4.5</w:t>
            </w:r>
          </w:p>
        </w:tc>
        <w:tc>
          <w:tcPr>
            <w:tcW w:w="513" w:type="dxa"/>
            <w:shd w:val="clear" w:color="auto" w:fill="FFFFFF"/>
            <w:tcMar>
              <w:top w:w="0" w:type="dxa"/>
              <w:left w:w="0" w:type="dxa"/>
              <w:bottom w:w="0" w:type="dxa"/>
              <w:right w:w="0" w:type="dxa"/>
            </w:tcMar>
            <w:vAlign w:val="center"/>
          </w:tcPr>
          <w:p w14:paraId="1706D609">
            <w:pPr>
              <w:pStyle w:val="58"/>
              <w:bidi w:val="0"/>
              <w:rPr>
                <w:rFonts w:hint="default"/>
                <w:highlight w:val="none"/>
              </w:rPr>
            </w:pPr>
            <w:r>
              <w:rPr>
                <w:rFonts w:hint="default"/>
                <w:highlight w:val="none"/>
              </w:rPr>
              <w:t>94.6</w:t>
            </w:r>
          </w:p>
        </w:tc>
        <w:tc>
          <w:tcPr>
            <w:tcW w:w="513" w:type="dxa"/>
            <w:shd w:val="clear" w:color="auto" w:fill="FFFFFF"/>
            <w:tcMar>
              <w:top w:w="0" w:type="dxa"/>
              <w:left w:w="0" w:type="dxa"/>
              <w:bottom w:w="0" w:type="dxa"/>
              <w:right w:w="0" w:type="dxa"/>
            </w:tcMar>
            <w:vAlign w:val="center"/>
          </w:tcPr>
          <w:p w14:paraId="136A1204">
            <w:pPr>
              <w:pStyle w:val="58"/>
              <w:bidi w:val="0"/>
              <w:rPr>
                <w:rFonts w:hint="default"/>
                <w:highlight w:val="none"/>
              </w:rPr>
            </w:pPr>
            <w:r>
              <w:rPr>
                <w:rFonts w:hint="default"/>
                <w:highlight w:val="none"/>
              </w:rPr>
              <w:t>94.6</w:t>
            </w:r>
          </w:p>
        </w:tc>
        <w:tc>
          <w:tcPr>
            <w:tcW w:w="513" w:type="dxa"/>
            <w:shd w:val="clear" w:color="auto" w:fill="FFFFFF"/>
            <w:tcMar>
              <w:top w:w="0" w:type="dxa"/>
              <w:left w:w="0" w:type="dxa"/>
              <w:bottom w:w="0" w:type="dxa"/>
              <w:right w:w="0" w:type="dxa"/>
            </w:tcMar>
            <w:vAlign w:val="center"/>
          </w:tcPr>
          <w:p w14:paraId="322D1D62">
            <w:pPr>
              <w:pStyle w:val="58"/>
              <w:bidi w:val="0"/>
              <w:rPr>
                <w:rFonts w:hint="default"/>
                <w:highlight w:val="none"/>
              </w:rPr>
            </w:pPr>
            <w:r>
              <w:rPr>
                <w:rFonts w:hint="default"/>
                <w:highlight w:val="none"/>
              </w:rPr>
              <w:t>94.6</w:t>
            </w:r>
          </w:p>
        </w:tc>
        <w:tc>
          <w:tcPr>
            <w:tcW w:w="513" w:type="dxa"/>
            <w:shd w:val="clear" w:color="auto" w:fill="FFFFFF"/>
            <w:tcMar>
              <w:top w:w="0" w:type="dxa"/>
              <w:left w:w="0" w:type="dxa"/>
              <w:bottom w:w="0" w:type="dxa"/>
              <w:right w:w="0" w:type="dxa"/>
            </w:tcMar>
            <w:vAlign w:val="center"/>
          </w:tcPr>
          <w:p w14:paraId="5E758DB6">
            <w:pPr>
              <w:pStyle w:val="58"/>
              <w:bidi w:val="0"/>
              <w:rPr>
                <w:rFonts w:hint="default"/>
                <w:highlight w:val="none"/>
              </w:rPr>
            </w:pPr>
            <w:r>
              <w:rPr>
                <w:rFonts w:hint="default"/>
                <w:highlight w:val="none"/>
              </w:rPr>
              <w:t>94.6</w:t>
            </w:r>
          </w:p>
        </w:tc>
        <w:tc>
          <w:tcPr>
            <w:tcW w:w="521" w:type="dxa"/>
            <w:shd w:val="clear" w:color="auto" w:fill="FFFFFF"/>
            <w:tcMar>
              <w:top w:w="0" w:type="dxa"/>
              <w:left w:w="0" w:type="dxa"/>
              <w:bottom w:w="0" w:type="dxa"/>
              <w:right w:w="0" w:type="dxa"/>
            </w:tcMar>
            <w:vAlign w:val="center"/>
          </w:tcPr>
          <w:p w14:paraId="1848E579">
            <w:pPr>
              <w:pStyle w:val="58"/>
              <w:bidi w:val="0"/>
              <w:rPr>
                <w:rFonts w:hint="default"/>
                <w:highlight w:val="none"/>
                <w:lang w:eastAsia="zh-CN"/>
              </w:rPr>
            </w:pPr>
            <w:r>
              <w:rPr>
                <w:rFonts w:hint="default"/>
                <w:highlight w:val="none"/>
                <w:lang w:eastAsia="zh-CN"/>
              </w:rPr>
              <w:t>昼夜</w:t>
            </w:r>
          </w:p>
        </w:tc>
        <w:tc>
          <w:tcPr>
            <w:tcW w:w="858" w:type="dxa"/>
            <w:shd w:val="clear" w:color="auto" w:fill="FFFFFF"/>
            <w:tcMar>
              <w:top w:w="0" w:type="dxa"/>
              <w:left w:w="0" w:type="dxa"/>
              <w:bottom w:w="0" w:type="dxa"/>
              <w:right w:w="0" w:type="dxa"/>
            </w:tcMar>
            <w:vAlign w:val="center"/>
          </w:tcPr>
          <w:p w14:paraId="6E792CF6">
            <w:pPr>
              <w:pStyle w:val="58"/>
              <w:bidi w:val="0"/>
              <w:rPr>
                <w:rFonts w:hint="default"/>
                <w:highlight w:val="none"/>
                <w:lang w:val="en-US" w:eastAsia="zh-CN"/>
              </w:rPr>
            </w:pPr>
            <w:r>
              <w:rPr>
                <w:rFonts w:hint="default"/>
                <w:highlight w:val="none"/>
                <w:lang w:val="en-US" w:eastAsia="zh-CN"/>
              </w:rPr>
              <w:t>26</w:t>
            </w:r>
          </w:p>
        </w:tc>
        <w:tc>
          <w:tcPr>
            <w:tcW w:w="424" w:type="dxa"/>
            <w:shd w:val="clear" w:color="auto" w:fill="FFFFFF"/>
            <w:tcMar>
              <w:top w:w="0" w:type="dxa"/>
              <w:left w:w="0" w:type="dxa"/>
              <w:bottom w:w="0" w:type="dxa"/>
              <w:right w:w="0" w:type="dxa"/>
            </w:tcMar>
            <w:vAlign w:val="center"/>
          </w:tcPr>
          <w:p w14:paraId="60C806A3">
            <w:pPr>
              <w:pStyle w:val="58"/>
              <w:bidi w:val="0"/>
              <w:rPr>
                <w:rFonts w:hint="default"/>
                <w:highlight w:val="none"/>
              </w:rPr>
            </w:pPr>
            <w:r>
              <w:rPr>
                <w:rFonts w:hint="default"/>
                <w:highlight w:val="none"/>
              </w:rPr>
              <w:t>68.6</w:t>
            </w:r>
          </w:p>
        </w:tc>
        <w:tc>
          <w:tcPr>
            <w:tcW w:w="424" w:type="dxa"/>
            <w:shd w:val="clear" w:color="auto" w:fill="FFFFFF"/>
            <w:tcMar>
              <w:top w:w="0" w:type="dxa"/>
              <w:left w:w="0" w:type="dxa"/>
              <w:bottom w:w="0" w:type="dxa"/>
              <w:right w:w="0" w:type="dxa"/>
            </w:tcMar>
            <w:vAlign w:val="center"/>
          </w:tcPr>
          <w:p w14:paraId="2CF31EE0">
            <w:pPr>
              <w:pStyle w:val="58"/>
              <w:bidi w:val="0"/>
              <w:rPr>
                <w:rFonts w:hint="default"/>
                <w:highlight w:val="none"/>
              </w:rPr>
            </w:pPr>
            <w:r>
              <w:rPr>
                <w:rFonts w:hint="default"/>
                <w:highlight w:val="none"/>
              </w:rPr>
              <w:t>68.6</w:t>
            </w:r>
          </w:p>
        </w:tc>
        <w:tc>
          <w:tcPr>
            <w:tcW w:w="424" w:type="dxa"/>
            <w:shd w:val="clear" w:color="auto" w:fill="FFFFFF"/>
            <w:tcMar>
              <w:top w:w="0" w:type="dxa"/>
              <w:left w:w="0" w:type="dxa"/>
              <w:bottom w:w="0" w:type="dxa"/>
              <w:right w:w="0" w:type="dxa"/>
            </w:tcMar>
            <w:vAlign w:val="center"/>
          </w:tcPr>
          <w:p w14:paraId="3D49B9BE">
            <w:pPr>
              <w:pStyle w:val="58"/>
              <w:bidi w:val="0"/>
              <w:rPr>
                <w:rFonts w:hint="default"/>
                <w:highlight w:val="none"/>
              </w:rPr>
            </w:pPr>
            <w:r>
              <w:rPr>
                <w:rFonts w:hint="default"/>
                <w:highlight w:val="none"/>
              </w:rPr>
              <w:t>68.6</w:t>
            </w:r>
          </w:p>
        </w:tc>
        <w:tc>
          <w:tcPr>
            <w:tcW w:w="427" w:type="dxa"/>
            <w:shd w:val="clear" w:color="auto" w:fill="FFFFFF"/>
            <w:tcMar>
              <w:top w:w="0" w:type="dxa"/>
              <w:left w:w="0" w:type="dxa"/>
              <w:bottom w:w="0" w:type="dxa"/>
              <w:right w:w="0" w:type="dxa"/>
            </w:tcMar>
            <w:vAlign w:val="center"/>
          </w:tcPr>
          <w:p w14:paraId="2586952D">
            <w:pPr>
              <w:pStyle w:val="58"/>
              <w:bidi w:val="0"/>
              <w:rPr>
                <w:rFonts w:hint="default"/>
                <w:highlight w:val="none"/>
              </w:rPr>
            </w:pPr>
            <w:r>
              <w:rPr>
                <w:rFonts w:hint="default"/>
                <w:highlight w:val="none"/>
              </w:rPr>
              <w:t>68.6</w:t>
            </w:r>
          </w:p>
        </w:tc>
        <w:tc>
          <w:tcPr>
            <w:tcW w:w="486" w:type="dxa"/>
            <w:shd w:val="clear" w:color="auto" w:fill="FFFFFF"/>
            <w:tcMar>
              <w:top w:w="0" w:type="dxa"/>
              <w:left w:w="0" w:type="dxa"/>
              <w:bottom w:w="0" w:type="dxa"/>
              <w:right w:w="0" w:type="dxa"/>
            </w:tcMar>
            <w:vAlign w:val="center"/>
          </w:tcPr>
          <w:p w14:paraId="036D0DA6">
            <w:pPr>
              <w:pStyle w:val="58"/>
              <w:bidi w:val="0"/>
              <w:rPr>
                <w:rFonts w:hint="default"/>
                <w:highlight w:val="none"/>
              </w:rPr>
            </w:pPr>
            <w:r>
              <w:rPr>
                <w:rFonts w:hint="default"/>
                <w:highlight w:val="none"/>
              </w:rPr>
              <w:t>1</w:t>
            </w:r>
          </w:p>
        </w:tc>
      </w:tr>
      <w:tr w14:paraId="1B24D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458" w:type="dxa"/>
            <w:shd w:val="clear" w:color="auto" w:fill="FFFFFF"/>
            <w:tcMar>
              <w:top w:w="0" w:type="dxa"/>
              <w:left w:w="0" w:type="dxa"/>
              <w:bottom w:w="0" w:type="dxa"/>
              <w:right w:w="0" w:type="dxa"/>
            </w:tcMar>
            <w:vAlign w:val="center"/>
          </w:tcPr>
          <w:p w14:paraId="27AC0969">
            <w:pPr>
              <w:pStyle w:val="58"/>
              <w:numPr>
                <w:ilvl w:val="0"/>
                <w:numId w:val="37"/>
              </w:numPr>
              <w:bidi w:val="0"/>
              <w:ind w:left="425" w:leftChars="0" w:hanging="425" w:firstLineChars="0"/>
              <w:rPr>
                <w:rFonts w:hint="default"/>
                <w:highlight w:val="none"/>
              </w:rPr>
            </w:pPr>
          </w:p>
        </w:tc>
        <w:tc>
          <w:tcPr>
            <w:tcW w:w="632" w:type="dxa"/>
            <w:shd w:val="clear" w:color="auto" w:fill="FFFFFF"/>
            <w:tcMar>
              <w:top w:w="0" w:type="dxa"/>
              <w:left w:w="0" w:type="dxa"/>
              <w:bottom w:w="0" w:type="dxa"/>
              <w:right w:w="0" w:type="dxa"/>
            </w:tcMar>
            <w:vAlign w:val="center"/>
          </w:tcPr>
          <w:p w14:paraId="21C2A6EF">
            <w:pPr>
              <w:pStyle w:val="58"/>
              <w:bidi w:val="0"/>
              <w:rPr>
                <w:rFonts w:hint="eastAsia" w:eastAsia="宋体"/>
                <w:highlight w:val="none"/>
                <w:lang w:eastAsia="zh-CN"/>
              </w:rPr>
            </w:pPr>
            <w:r>
              <w:rPr>
                <w:rFonts w:hint="eastAsia"/>
                <w:highlight w:val="none"/>
                <w:lang w:eastAsia="zh-CN"/>
              </w:rPr>
              <w:t>生化处理辅助工房</w:t>
            </w:r>
          </w:p>
        </w:tc>
        <w:tc>
          <w:tcPr>
            <w:tcW w:w="715" w:type="dxa"/>
            <w:shd w:val="clear" w:color="auto" w:fill="FFFFFF"/>
            <w:tcMar>
              <w:top w:w="0" w:type="dxa"/>
              <w:left w:w="0" w:type="dxa"/>
              <w:bottom w:w="0" w:type="dxa"/>
              <w:right w:w="0" w:type="dxa"/>
            </w:tcMar>
            <w:vAlign w:val="center"/>
          </w:tcPr>
          <w:p w14:paraId="58276DE4">
            <w:pPr>
              <w:pStyle w:val="58"/>
              <w:bidi w:val="0"/>
              <w:rPr>
                <w:rFonts w:hint="default"/>
                <w:highlight w:val="none"/>
              </w:rPr>
            </w:pPr>
            <w:r>
              <w:rPr>
                <w:rFonts w:hint="default"/>
                <w:highlight w:val="none"/>
              </w:rPr>
              <w:t>回流泵</w:t>
            </w:r>
          </w:p>
        </w:tc>
        <w:tc>
          <w:tcPr>
            <w:tcW w:w="2018" w:type="dxa"/>
            <w:shd w:val="clear" w:color="auto" w:fill="FFFFFF"/>
            <w:tcMar>
              <w:top w:w="0" w:type="dxa"/>
              <w:left w:w="0" w:type="dxa"/>
              <w:bottom w:w="0" w:type="dxa"/>
              <w:right w:w="0" w:type="dxa"/>
            </w:tcMar>
            <w:vAlign w:val="center"/>
          </w:tcPr>
          <w:p w14:paraId="2F0A126F">
            <w:pPr>
              <w:pStyle w:val="58"/>
              <w:bidi w:val="0"/>
              <w:rPr>
                <w:rFonts w:hint="default"/>
                <w:highlight w:val="none"/>
              </w:rPr>
            </w:pPr>
            <w:r>
              <w:rPr>
                <w:rFonts w:hint="default"/>
                <w:highlight w:val="none"/>
                <w:lang w:val="zh-CN"/>
              </w:rPr>
              <w:t>50WQ25-10-2.2</w:t>
            </w:r>
          </w:p>
        </w:tc>
        <w:tc>
          <w:tcPr>
            <w:tcW w:w="897" w:type="dxa"/>
            <w:shd w:val="clear" w:color="auto" w:fill="FFFFFF"/>
            <w:tcMar>
              <w:top w:w="0" w:type="dxa"/>
              <w:left w:w="0" w:type="dxa"/>
              <w:bottom w:w="0" w:type="dxa"/>
              <w:right w:w="0" w:type="dxa"/>
            </w:tcMar>
            <w:vAlign w:val="center"/>
          </w:tcPr>
          <w:p w14:paraId="4D90F815">
            <w:pPr>
              <w:pStyle w:val="58"/>
              <w:bidi w:val="0"/>
              <w:rPr>
                <w:rFonts w:hint="default"/>
                <w:highlight w:val="none"/>
              </w:rPr>
            </w:pPr>
            <w:r>
              <w:rPr>
                <w:rFonts w:hint="default"/>
                <w:highlight w:val="none"/>
              </w:rPr>
              <w:t>85</w:t>
            </w:r>
          </w:p>
        </w:tc>
        <w:tc>
          <w:tcPr>
            <w:tcW w:w="1169" w:type="dxa"/>
            <w:vMerge w:val="continue"/>
            <w:shd w:val="clear" w:color="auto" w:fill="FFFFFF"/>
            <w:tcMar>
              <w:top w:w="0" w:type="dxa"/>
              <w:left w:w="0" w:type="dxa"/>
              <w:bottom w:w="0" w:type="dxa"/>
              <w:right w:w="0" w:type="dxa"/>
            </w:tcMar>
            <w:vAlign w:val="center"/>
          </w:tcPr>
          <w:p w14:paraId="77553B03">
            <w:pPr>
              <w:pStyle w:val="58"/>
              <w:bidi w:val="0"/>
              <w:rPr>
                <w:rFonts w:hint="default"/>
                <w:highlight w:val="none"/>
              </w:rPr>
            </w:pPr>
          </w:p>
        </w:tc>
        <w:tc>
          <w:tcPr>
            <w:tcW w:w="543" w:type="dxa"/>
            <w:shd w:val="clear" w:color="auto" w:fill="FFFFFF"/>
            <w:tcMar>
              <w:top w:w="0" w:type="dxa"/>
              <w:left w:w="0" w:type="dxa"/>
              <w:bottom w:w="0" w:type="dxa"/>
              <w:right w:w="0" w:type="dxa"/>
            </w:tcMar>
            <w:vAlign w:val="center"/>
          </w:tcPr>
          <w:p w14:paraId="2ADB451F">
            <w:pPr>
              <w:pStyle w:val="58"/>
              <w:bidi w:val="0"/>
              <w:rPr>
                <w:rFonts w:hint="default"/>
                <w:highlight w:val="none"/>
              </w:rPr>
            </w:pPr>
            <w:r>
              <w:rPr>
                <w:rFonts w:hint="default"/>
                <w:highlight w:val="none"/>
              </w:rPr>
              <w:t>128.1</w:t>
            </w:r>
          </w:p>
        </w:tc>
        <w:tc>
          <w:tcPr>
            <w:tcW w:w="425" w:type="dxa"/>
            <w:shd w:val="clear" w:color="auto" w:fill="FFFFFF"/>
            <w:tcMar>
              <w:top w:w="0" w:type="dxa"/>
              <w:left w:w="0" w:type="dxa"/>
              <w:bottom w:w="0" w:type="dxa"/>
              <w:right w:w="0" w:type="dxa"/>
            </w:tcMar>
            <w:vAlign w:val="center"/>
          </w:tcPr>
          <w:p w14:paraId="6E89345B">
            <w:pPr>
              <w:pStyle w:val="58"/>
              <w:bidi w:val="0"/>
              <w:rPr>
                <w:rFonts w:hint="default"/>
                <w:highlight w:val="none"/>
              </w:rPr>
            </w:pPr>
            <w:r>
              <w:rPr>
                <w:rFonts w:hint="default"/>
                <w:highlight w:val="none"/>
              </w:rPr>
              <w:t>62</w:t>
            </w:r>
          </w:p>
        </w:tc>
        <w:tc>
          <w:tcPr>
            <w:tcW w:w="307" w:type="dxa"/>
            <w:shd w:val="clear" w:color="auto" w:fill="FFFFFF"/>
            <w:tcMar>
              <w:top w:w="0" w:type="dxa"/>
              <w:left w:w="0" w:type="dxa"/>
              <w:bottom w:w="0" w:type="dxa"/>
              <w:right w:w="0" w:type="dxa"/>
            </w:tcMar>
            <w:vAlign w:val="center"/>
          </w:tcPr>
          <w:p w14:paraId="3975DA51">
            <w:pPr>
              <w:pStyle w:val="58"/>
              <w:bidi w:val="0"/>
              <w:rPr>
                <w:rFonts w:hint="default"/>
                <w:highlight w:val="none"/>
              </w:rPr>
            </w:pPr>
            <w:r>
              <w:rPr>
                <w:rFonts w:hint="default"/>
                <w:highlight w:val="none"/>
              </w:rPr>
              <w:t>-3</w:t>
            </w:r>
          </w:p>
        </w:tc>
        <w:tc>
          <w:tcPr>
            <w:tcW w:w="318" w:type="dxa"/>
            <w:shd w:val="clear" w:color="auto" w:fill="FFFFFF"/>
            <w:tcMar>
              <w:top w:w="0" w:type="dxa"/>
              <w:left w:w="0" w:type="dxa"/>
              <w:bottom w:w="0" w:type="dxa"/>
              <w:right w:w="0" w:type="dxa"/>
            </w:tcMar>
            <w:vAlign w:val="center"/>
          </w:tcPr>
          <w:p w14:paraId="749E81B3">
            <w:pPr>
              <w:pStyle w:val="58"/>
              <w:bidi w:val="0"/>
              <w:rPr>
                <w:rFonts w:hint="default"/>
                <w:highlight w:val="none"/>
              </w:rPr>
            </w:pPr>
            <w:r>
              <w:rPr>
                <w:rFonts w:hint="default"/>
                <w:highlight w:val="none"/>
              </w:rPr>
              <w:t>7.3</w:t>
            </w:r>
          </w:p>
        </w:tc>
        <w:tc>
          <w:tcPr>
            <w:tcW w:w="317" w:type="dxa"/>
            <w:shd w:val="clear" w:color="auto" w:fill="FFFFFF"/>
            <w:tcMar>
              <w:top w:w="0" w:type="dxa"/>
              <w:left w:w="0" w:type="dxa"/>
              <w:bottom w:w="0" w:type="dxa"/>
              <w:right w:w="0" w:type="dxa"/>
            </w:tcMar>
            <w:vAlign w:val="center"/>
          </w:tcPr>
          <w:p w14:paraId="3A5B8898">
            <w:pPr>
              <w:pStyle w:val="58"/>
              <w:bidi w:val="0"/>
              <w:rPr>
                <w:rFonts w:hint="default"/>
                <w:highlight w:val="none"/>
              </w:rPr>
            </w:pPr>
            <w:r>
              <w:rPr>
                <w:rFonts w:hint="default"/>
                <w:highlight w:val="none"/>
              </w:rPr>
              <w:t>1.6</w:t>
            </w:r>
          </w:p>
        </w:tc>
        <w:tc>
          <w:tcPr>
            <w:tcW w:w="318" w:type="dxa"/>
            <w:shd w:val="clear" w:color="auto" w:fill="FFFFFF"/>
            <w:tcMar>
              <w:top w:w="0" w:type="dxa"/>
              <w:left w:w="0" w:type="dxa"/>
              <w:bottom w:w="0" w:type="dxa"/>
              <w:right w:w="0" w:type="dxa"/>
            </w:tcMar>
            <w:vAlign w:val="center"/>
          </w:tcPr>
          <w:p w14:paraId="0673FA51">
            <w:pPr>
              <w:pStyle w:val="58"/>
              <w:bidi w:val="0"/>
              <w:rPr>
                <w:rFonts w:hint="default"/>
                <w:highlight w:val="none"/>
              </w:rPr>
            </w:pPr>
            <w:r>
              <w:rPr>
                <w:rFonts w:hint="default"/>
                <w:highlight w:val="none"/>
              </w:rPr>
              <w:t>6.1</w:t>
            </w:r>
          </w:p>
        </w:tc>
        <w:tc>
          <w:tcPr>
            <w:tcW w:w="317" w:type="dxa"/>
            <w:shd w:val="clear" w:color="auto" w:fill="FFFFFF"/>
            <w:tcMar>
              <w:top w:w="0" w:type="dxa"/>
              <w:left w:w="0" w:type="dxa"/>
              <w:bottom w:w="0" w:type="dxa"/>
              <w:right w:w="0" w:type="dxa"/>
            </w:tcMar>
            <w:vAlign w:val="center"/>
          </w:tcPr>
          <w:p w14:paraId="7F7173AB">
            <w:pPr>
              <w:pStyle w:val="58"/>
              <w:bidi w:val="0"/>
              <w:rPr>
                <w:rFonts w:hint="default"/>
                <w:highlight w:val="none"/>
              </w:rPr>
            </w:pPr>
            <w:r>
              <w:rPr>
                <w:rFonts w:hint="default"/>
                <w:highlight w:val="none"/>
              </w:rPr>
              <w:t>2.2</w:t>
            </w:r>
          </w:p>
        </w:tc>
        <w:tc>
          <w:tcPr>
            <w:tcW w:w="513" w:type="dxa"/>
            <w:shd w:val="clear" w:color="auto" w:fill="FFFFFF"/>
            <w:tcMar>
              <w:top w:w="0" w:type="dxa"/>
              <w:left w:w="0" w:type="dxa"/>
              <w:bottom w:w="0" w:type="dxa"/>
              <w:right w:w="0" w:type="dxa"/>
            </w:tcMar>
            <w:vAlign w:val="center"/>
          </w:tcPr>
          <w:p w14:paraId="1B2AD206">
            <w:pPr>
              <w:pStyle w:val="58"/>
              <w:bidi w:val="0"/>
              <w:rPr>
                <w:rFonts w:hint="default"/>
                <w:highlight w:val="none"/>
              </w:rPr>
            </w:pPr>
            <w:r>
              <w:rPr>
                <w:rFonts w:hint="default"/>
                <w:highlight w:val="none"/>
              </w:rPr>
              <w:t>94.6</w:t>
            </w:r>
          </w:p>
        </w:tc>
        <w:tc>
          <w:tcPr>
            <w:tcW w:w="513" w:type="dxa"/>
            <w:shd w:val="clear" w:color="auto" w:fill="FFFFFF"/>
            <w:tcMar>
              <w:top w:w="0" w:type="dxa"/>
              <w:left w:w="0" w:type="dxa"/>
              <w:bottom w:w="0" w:type="dxa"/>
              <w:right w:w="0" w:type="dxa"/>
            </w:tcMar>
            <w:vAlign w:val="center"/>
          </w:tcPr>
          <w:p w14:paraId="40B3A60F">
            <w:pPr>
              <w:pStyle w:val="58"/>
              <w:bidi w:val="0"/>
              <w:rPr>
                <w:rFonts w:hint="default"/>
                <w:highlight w:val="none"/>
              </w:rPr>
            </w:pPr>
            <w:r>
              <w:rPr>
                <w:rFonts w:hint="default"/>
                <w:highlight w:val="none"/>
              </w:rPr>
              <w:t>94.6</w:t>
            </w:r>
          </w:p>
        </w:tc>
        <w:tc>
          <w:tcPr>
            <w:tcW w:w="513" w:type="dxa"/>
            <w:shd w:val="clear" w:color="auto" w:fill="FFFFFF"/>
            <w:tcMar>
              <w:top w:w="0" w:type="dxa"/>
              <w:left w:w="0" w:type="dxa"/>
              <w:bottom w:w="0" w:type="dxa"/>
              <w:right w:w="0" w:type="dxa"/>
            </w:tcMar>
            <w:vAlign w:val="center"/>
          </w:tcPr>
          <w:p w14:paraId="5832D849">
            <w:pPr>
              <w:pStyle w:val="58"/>
              <w:bidi w:val="0"/>
              <w:rPr>
                <w:rFonts w:hint="default"/>
                <w:highlight w:val="none"/>
              </w:rPr>
            </w:pPr>
            <w:r>
              <w:rPr>
                <w:rFonts w:hint="default"/>
                <w:highlight w:val="none"/>
              </w:rPr>
              <w:t>94.6</w:t>
            </w:r>
          </w:p>
        </w:tc>
        <w:tc>
          <w:tcPr>
            <w:tcW w:w="513" w:type="dxa"/>
            <w:shd w:val="clear" w:color="auto" w:fill="FFFFFF"/>
            <w:tcMar>
              <w:top w:w="0" w:type="dxa"/>
              <w:left w:w="0" w:type="dxa"/>
              <w:bottom w:w="0" w:type="dxa"/>
              <w:right w:w="0" w:type="dxa"/>
            </w:tcMar>
            <w:vAlign w:val="center"/>
          </w:tcPr>
          <w:p w14:paraId="5F80F0CA">
            <w:pPr>
              <w:pStyle w:val="58"/>
              <w:bidi w:val="0"/>
              <w:rPr>
                <w:rFonts w:hint="default"/>
                <w:highlight w:val="none"/>
              </w:rPr>
            </w:pPr>
            <w:r>
              <w:rPr>
                <w:rFonts w:hint="default"/>
                <w:highlight w:val="none"/>
              </w:rPr>
              <w:t>94.6</w:t>
            </w:r>
          </w:p>
        </w:tc>
        <w:tc>
          <w:tcPr>
            <w:tcW w:w="521" w:type="dxa"/>
            <w:shd w:val="clear" w:color="auto" w:fill="FFFFFF"/>
            <w:tcMar>
              <w:top w:w="0" w:type="dxa"/>
              <w:left w:w="0" w:type="dxa"/>
              <w:bottom w:w="0" w:type="dxa"/>
              <w:right w:w="0" w:type="dxa"/>
            </w:tcMar>
            <w:vAlign w:val="center"/>
          </w:tcPr>
          <w:p w14:paraId="69E14AAF">
            <w:pPr>
              <w:pStyle w:val="58"/>
              <w:bidi w:val="0"/>
              <w:rPr>
                <w:rFonts w:hint="default"/>
                <w:highlight w:val="none"/>
                <w:lang w:eastAsia="zh-CN"/>
              </w:rPr>
            </w:pPr>
            <w:r>
              <w:rPr>
                <w:rFonts w:hint="default"/>
                <w:highlight w:val="none"/>
                <w:lang w:eastAsia="zh-CN"/>
              </w:rPr>
              <w:t>昼夜</w:t>
            </w:r>
          </w:p>
        </w:tc>
        <w:tc>
          <w:tcPr>
            <w:tcW w:w="858" w:type="dxa"/>
            <w:shd w:val="clear" w:color="auto" w:fill="FFFFFF"/>
            <w:tcMar>
              <w:top w:w="0" w:type="dxa"/>
              <w:left w:w="0" w:type="dxa"/>
              <w:bottom w:w="0" w:type="dxa"/>
              <w:right w:w="0" w:type="dxa"/>
            </w:tcMar>
            <w:vAlign w:val="center"/>
          </w:tcPr>
          <w:p w14:paraId="7912FC1E">
            <w:pPr>
              <w:pStyle w:val="58"/>
              <w:bidi w:val="0"/>
              <w:rPr>
                <w:rFonts w:hint="default"/>
                <w:highlight w:val="none"/>
                <w:lang w:val="en-US" w:eastAsia="zh-CN"/>
              </w:rPr>
            </w:pPr>
            <w:r>
              <w:rPr>
                <w:rFonts w:hint="default"/>
                <w:highlight w:val="none"/>
                <w:lang w:val="en-US" w:eastAsia="zh-CN"/>
              </w:rPr>
              <w:t>26</w:t>
            </w:r>
          </w:p>
        </w:tc>
        <w:tc>
          <w:tcPr>
            <w:tcW w:w="424" w:type="dxa"/>
            <w:shd w:val="clear" w:color="auto" w:fill="FFFFFF"/>
            <w:tcMar>
              <w:top w:w="0" w:type="dxa"/>
              <w:left w:w="0" w:type="dxa"/>
              <w:bottom w:w="0" w:type="dxa"/>
              <w:right w:w="0" w:type="dxa"/>
            </w:tcMar>
            <w:vAlign w:val="center"/>
          </w:tcPr>
          <w:p w14:paraId="56668C42">
            <w:pPr>
              <w:pStyle w:val="58"/>
              <w:bidi w:val="0"/>
              <w:rPr>
                <w:rFonts w:hint="default"/>
                <w:highlight w:val="none"/>
              </w:rPr>
            </w:pPr>
            <w:r>
              <w:rPr>
                <w:rFonts w:hint="default"/>
                <w:highlight w:val="none"/>
              </w:rPr>
              <w:t>68.6</w:t>
            </w:r>
          </w:p>
        </w:tc>
        <w:tc>
          <w:tcPr>
            <w:tcW w:w="424" w:type="dxa"/>
            <w:shd w:val="clear" w:color="auto" w:fill="FFFFFF"/>
            <w:tcMar>
              <w:top w:w="0" w:type="dxa"/>
              <w:left w:w="0" w:type="dxa"/>
              <w:bottom w:w="0" w:type="dxa"/>
              <w:right w:w="0" w:type="dxa"/>
            </w:tcMar>
            <w:vAlign w:val="center"/>
          </w:tcPr>
          <w:p w14:paraId="1A377C2F">
            <w:pPr>
              <w:pStyle w:val="58"/>
              <w:bidi w:val="0"/>
              <w:rPr>
                <w:rFonts w:hint="default"/>
                <w:highlight w:val="none"/>
              </w:rPr>
            </w:pPr>
            <w:r>
              <w:rPr>
                <w:rFonts w:hint="default"/>
                <w:highlight w:val="none"/>
              </w:rPr>
              <w:t>68.6</w:t>
            </w:r>
          </w:p>
        </w:tc>
        <w:tc>
          <w:tcPr>
            <w:tcW w:w="424" w:type="dxa"/>
            <w:shd w:val="clear" w:color="auto" w:fill="FFFFFF"/>
            <w:tcMar>
              <w:top w:w="0" w:type="dxa"/>
              <w:left w:w="0" w:type="dxa"/>
              <w:bottom w:w="0" w:type="dxa"/>
              <w:right w:w="0" w:type="dxa"/>
            </w:tcMar>
            <w:vAlign w:val="center"/>
          </w:tcPr>
          <w:p w14:paraId="0AF31D0D">
            <w:pPr>
              <w:pStyle w:val="58"/>
              <w:bidi w:val="0"/>
              <w:rPr>
                <w:rFonts w:hint="default"/>
                <w:highlight w:val="none"/>
              </w:rPr>
            </w:pPr>
            <w:r>
              <w:rPr>
                <w:rFonts w:hint="default"/>
                <w:highlight w:val="none"/>
              </w:rPr>
              <w:t>68.6</w:t>
            </w:r>
          </w:p>
        </w:tc>
        <w:tc>
          <w:tcPr>
            <w:tcW w:w="427" w:type="dxa"/>
            <w:shd w:val="clear" w:color="auto" w:fill="FFFFFF"/>
            <w:tcMar>
              <w:top w:w="0" w:type="dxa"/>
              <w:left w:w="0" w:type="dxa"/>
              <w:bottom w:w="0" w:type="dxa"/>
              <w:right w:w="0" w:type="dxa"/>
            </w:tcMar>
            <w:vAlign w:val="center"/>
          </w:tcPr>
          <w:p w14:paraId="0E2AF4D4">
            <w:pPr>
              <w:pStyle w:val="58"/>
              <w:bidi w:val="0"/>
              <w:rPr>
                <w:rFonts w:hint="default"/>
                <w:highlight w:val="none"/>
              </w:rPr>
            </w:pPr>
            <w:r>
              <w:rPr>
                <w:rFonts w:hint="default"/>
                <w:highlight w:val="none"/>
              </w:rPr>
              <w:t>68.6</w:t>
            </w:r>
          </w:p>
        </w:tc>
        <w:tc>
          <w:tcPr>
            <w:tcW w:w="486" w:type="dxa"/>
            <w:shd w:val="clear" w:color="auto" w:fill="FFFFFF"/>
            <w:tcMar>
              <w:top w:w="0" w:type="dxa"/>
              <w:left w:w="0" w:type="dxa"/>
              <w:bottom w:w="0" w:type="dxa"/>
              <w:right w:w="0" w:type="dxa"/>
            </w:tcMar>
            <w:vAlign w:val="center"/>
          </w:tcPr>
          <w:p w14:paraId="1BEF4C19">
            <w:pPr>
              <w:pStyle w:val="58"/>
              <w:bidi w:val="0"/>
              <w:rPr>
                <w:rFonts w:hint="default"/>
                <w:highlight w:val="none"/>
              </w:rPr>
            </w:pPr>
            <w:r>
              <w:rPr>
                <w:rFonts w:hint="default"/>
                <w:highlight w:val="none"/>
              </w:rPr>
              <w:t>1</w:t>
            </w:r>
          </w:p>
        </w:tc>
      </w:tr>
      <w:tr w14:paraId="18B83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458" w:type="dxa"/>
            <w:shd w:val="clear" w:color="auto" w:fill="FFFFFF"/>
            <w:tcMar>
              <w:top w:w="0" w:type="dxa"/>
              <w:left w:w="0" w:type="dxa"/>
              <w:bottom w:w="0" w:type="dxa"/>
              <w:right w:w="0" w:type="dxa"/>
            </w:tcMar>
            <w:vAlign w:val="center"/>
          </w:tcPr>
          <w:p w14:paraId="1DF72021">
            <w:pPr>
              <w:pStyle w:val="58"/>
              <w:numPr>
                <w:ilvl w:val="0"/>
                <w:numId w:val="37"/>
              </w:numPr>
              <w:bidi w:val="0"/>
              <w:ind w:left="425" w:leftChars="0" w:hanging="425" w:firstLineChars="0"/>
              <w:rPr>
                <w:rFonts w:hint="default"/>
                <w:highlight w:val="none"/>
              </w:rPr>
            </w:pPr>
          </w:p>
        </w:tc>
        <w:tc>
          <w:tcPr>
            <w:tcW w:w="632" w:type="dxa"/>
            <w:shd w:val="clear" w:color="auto" w:fill="FFFFFF"/>
            <w:tcMar>
              <w:top w:w="0" w:type="dxa"/>
              <w:left w:w="0" w:type="dxa"/>
              <w:bottom w:w="0" w:type="dxa"/>
              <w:right w:w="0" w:type="dxa"/>
            </w:tcMar>
            <w:vAlign w:val="center"/>
          </w:tcPr>
          <w:p w14:paraId="5536DBD6">
            <w:pPr>
              <w:pStyle w:val="58"/>
              <w:bidi w:val="0"/>
              <w:rPr>
                <w:rFonts w:hint="default"/>
                <w:highlight w:val="none"/>
              </w:rPr>
            </w:pPr>
            <w:r>
              <w:rPr>
                <w:rFonts w:hint="default"/>
                <w:highlight w:val="none"/>
              </w:rPr>
              <w:t>混凝沉淀池</w:t>
            </w:r>
          </w:p>
        </w:tc>
        <w:tc>
          <w:tcPr>
            <w:tcW w:w="715" w:type="dxa"/>
            <w:shd w:val="clear" w:color="auto" w:fill="FFFFFF"/>
            <w:tcMar>
              <w:top w:w="0" w:type="dxa"/>
              <w:left w:w="0" w:type="dxa"/>
              <w:bottom w:w="0" w:type="dxa"/>
              <w:right w:w="0" w:type="dxa"/>
            </w:tcMar>
            <w:vAlign w:val="center"/>
          </w:tcPr>
          <w:p w14:paraId="2EAD202C">
            <w:pPr>
              <w:pStyle w:val="58"/>
              <w:bidi w:val="0"/>
              <w:rPr>
                <w:rFonts w:hint="default"/>
                <w:highlight w:val="none"/>
              </w:rPr>
            </w:pPr>
            <w:r>
              <w:rPr>
                <w:rFonts w:hint="default"/>
                <w:highlight w:val="none"/>
              </w:rPr>
              <w:t>排泥泵（2个）</w:t>
            </w:r>
          </w:p>
        </w:tc>
        <w:tc>
          <w:tcPr>
            <w:tcW w:w="2018" w:type="dxa"/>
            <w:shd w:val="clear" w:color="auto" w:fill="FFFFFF"/>
            <w:tcMar>
              <w:top w:w="0" w:type="dxa"/>
              <w:left w:w="0" w:type="dxa"/>
              <w:bottom w:w="0" w:type="dxa"/>
              <w:right w:w="0" w:type="dxa"/>
            </w:tcMar>
            <w:vAlign w:val="center"/>
          </w:tcPr>
          <w:p w14:paraId="3DFBE715">
            <w:pPr>
              <w:pStyle w:val="58"/>
              <w:bidi w:val="0"/>
              <w:rPr>
                <w:rFonts w:hint="default"/>
                <w:highlight w:val="none"/>
              </w:rPr>
            </w:pPr>
            <w:r>
              <w:rPr>
                <w:rFonts w:hint="default"/>
                <w:highlight w:val="none"/>
                <w:lang w:val="en-US" w:eastAsia="zh-CN"/>
              </w:rPr>
              <w:t>ZW25-8-15</w:t>
            </w:r>
          </w:p>
        </w:tc>
        <w:tc>
          <w:tcPr>
            <w:tcW w:w="897" w:type="dxa"/>
            <w:shd w:val="clear" w:color="auto" w:fill="FFFFFF"/>
            <w:tcMar>
              <w:top w:w="0" w:type="dxa"/>
              <w:left w:w="0" w:type="dxa"/>
              <w:bottom w:w="0" w:type="dxa"/>
              <w:right w:w="0" w:type="dxa"/>
            </w:tcMar>
            <w:vAlign w:val="center"/>
          </w:tcPr>
          <w:p w14:paraId="7FB5A4E5">
            <w:pPr>
              <w:pStyle w:val="58"/>
              <w:bidi w:val="0"/>
              <w:rPr>
                <w:rFonts w:hint="default"/>
                <w:highlight w:val="none"/>
              </w:rPr>
            </w:pPr>
            <w:r>
              <w:rPr>
                <w:rFonts w:hint="default"/>
                <w:highlight w:val="none"/>
              </w:rPr>
              <w:t>85</w:t>
            </w:r>
          </w:p>
        </w:tc>
        <w:tc>
          <w:tcPr>
            <w:tcW w:w="1169" w:type="dxa"/>
            <w:vMerge w:val="continue"/>
            <w:shd w:val="clear" w:color="auto" w:fill="FFFFFF"/>
            <w:tcMar>
              <w:top w:w="0" w:type="dxa"/>
              <w:left w:w="0" w:type="dxa"/>
              <w:bottom w:w="0" w:type="dxa"/>
              <w:right w:w="0" w:type="dxa"/>
            </w:tcMar>
            <w:vAlign w:val="center"/>
          </w:tcPr>
          <w:p w14:paraId="2B3A9D31">
            <w:pPr>
              <w:pStyle w:val="58"/>
              <w:bidi w:val="0"/>
              <w:rPr>
                <w:rFonts w:hint="default"/>
                <w:highlight w:val="none"/>
              </w:rPr>
            </w:pPr>
          </w:p>
        </w:tc>
        <w:tc>
          <w:tcPr>
            <w:tcW w:w="543" w:type="dxa"/>
            <w:shd w:val="clear" w:color="auto" w:fill="FFFFFF"/>
            <w:tcMar>
              <w:top w:w="0" w:type="dxa"/>
              <w:left w:w="0" w:type="dxa"/>
              <w:bottom w:w="0" w:type="dxa"/>
              <w:right w:w="0" w:type="dxa"/>
            </w:tcMar>
            <w:vAlign w:val="center"/>
          </w:tcPr>
          <w:p w14:paraId="7A07E6C6">
            <w:pPr>
              <w:pStyle w:val="58"/>
              <w:bidi w:val="0"/>
              <w:rPr>
                <w:rFonts w:hint="default"/>
                <w:highlight w:val="none"/>
              </w:rPr>
            </w:pPr>
            <w:r>
              <w:rPr>
                <w:rFonts w:hint="default"/>
                <w:highlight w:val="none"/>
              </w:rPr>
              <w:t>112.3</w:t>
            </w:r>
          </w:p>
        </w:tc>
        <w:tc>
          <w:tcPr>
            <w:tcW w:w="425" w:type="dxa"/>
            <w:shd w:val="clear" w:color="auto" w:fill="FFFFFF"/>
            <w:tcMar>
              <w:top w:w="0" w:type="dxa"/>
              <w:left w:w="0" w:type="dxa"/>
              <w:bottom w:w="0" w:type="dxa"/>
              <w:right w:w="0" w:type="dxa"/>
            </w:tcMar>
            <w:vAlign w:val="center"/>
          </w:tcPr>
          <w:p w14:paraId="5249EB28">
            <w:pPr>
              <w:pStyle w:val="58"/>
              <w:bidi w:val="0"/>
              <w:rPr>
                <w:rFonts w:hint="default"/>
                <w:highlight w:val="none"/>
              </w:rPr>
            </w:pPr>
            <w:r>
              <w:rPr>
                <w:rFonts w:hint="default"/>
                <w:highlight w:val="none"/>
              </w:rPr>
              <w:t>65</w:t>
            </w:r>
          </w:p>
        </w:tc>
        <w:tc>
          <w:tcPr>
            <w:tcW w:w="307" w:type="dxa"/>
            <w:shd w:val="clear" w:color="auto" w:fill="FFFFFF"/>
            <w:tcMar>
              <w:top w:w="0" w:type="dxa"/>
              <w:left w:w="0" w:type="dxa"/>
              <w:bottom w:w="0" w:type="dxa"/>
              <w:right w:w="0" w:type="dxa"/>
            </w:tcMar>
            <w:vAlign w:val="center"/>
          </w:tcPr>
          <w:p w14:paraId="62398AD4">
            <w:pPr>
              <w:pStyle w:val="58"/>
              <w:bidi w:val="0"/>
              <w:rPr>
                <w:rFonts w:hint="default"/>
                <w:highlight w:val="none"/>
              </w:rPr>
            </w:pPr>
            <w:r>
              <w:rPr>
                <w:rFonts w:hint="default"/>
                <w:highlight w:val="none"/>
              </w:rPr>
              <w:t>-3</w:t>
            </w:r>
          </w:p>
        </w:tc>
        <w:tc>
          <w:tcPr>
            <w:tcW w:w="318" w:type="dxa"/>
            <w:shd w:val="clear" w:color="auto" w:fill="FFFFFF"/>
            <w:tcMar>
              <w:top w:w="0" w:type="dxa"/>
              <w:left w:w="0" w:type="dxa"/>
              <w:bottom w:w="0" w:type="dxa"/>
              <w:right w:w="0" w:type="dxa"/>
            </w:tcMar>
            <w:vAlign w:val="center"/>
          </w:tcPr>
          <w:p w14:paraId="6C903646">
            <w:pPr>
              <w:pStyle w:val="58"/>
              <w:bidi w:val="0"/>
              <w:rPr>
                <w:rFonts w:hint="default"/>
                <w:highlight w:val="none"/>
              </w:rPr>
            </w:pPr>
            <w:r>
              <w:rPr>
                <w:rFonts w:hint="default"/>
                <w:highlight w:val="none"/>
              </w:rPr>
              <w:t>3.5</w:t>
            </w:r>
          </w:p>
        </w:tc>
        <w:tc>
          <w:tcPr>
            <w:tcW w:w="317" w:type="dxa"/>
            <w:shd w:val="clear" w:color="auto" w:fill="FFFFFF"/>
            <w:tcMar>
              <w:top w:w="0" w:type="dxa"/>
              <w:left w:w="0" w:type="dxa"/>
              <w:bottom w:w="0" w:type="dxa"/>
              <w:right w:w="0" w:type="dxa"/>
            </w:tcMar>
            <w:vAlign w:val="center"/>
          </w:tcPr>
          <w:p w14:paraId="581441E6">
            <w:pPr>
              <w:pStyle w:val="58"/>
              <w:bidi w:val="0"/>
              <w:rPr>
                <w:rFonts w:hint="default"/>
                <w:highlight w:val="none"/>
              </w:rPr>
            </w:pPr>
            <w:r>
              <w:rPr>
                <w:rFonts w:hint="default"/>
                <w:highlight w:val="none"/>
              </w:rPr>
              <w:t>7.5</w:t>
            </w:r>
          </w:p>
        </w:tc>
        <w:tc>
          <w:tcPr>
            <w:tcW w:w="318" w:type="dxa"/>
            <w:shd w:val="clear" w:color="auto" w:fill="FFFFFF"/>
            <w:tcMar>
              <w:top w:w="0" w:type="dxa"/>
              <w:left w:w="0" w:type="dxa"/>
              <w:bottom w:w="0" w:type="dxa"/>
              <w:right w:w="0" w:type="dxa"/>
            </w:tcMar>
            <w:vAlign w:val="center"/>
          </w:tcPr>
          <w:p w14:paraId="7607DC90">
            <w:pPr>
              <w:pStyle w:val="58"/>
              <w:bidi w:val="0"/>
              <w:rPr>
                <w:rFonts w:hint="default"/>
                <w:highlight w:val="none"/>
              </w:rPr>
            </w:pPr>
            <w:r>
              <w:rPr>
                <w:rFonts w:hint="default"/>
                <w:highlight w:val="none"/>
              </w:rPr>
              <w:t>2.6</w:t>
            </w:r>
          </w:p>
        </w:tc>
        <w:tc>
          <w:tcPr>
            <w:tcW w:w="317" w:type="dxa"/>
            <w:shd w:val="clear" w:color="auto" w:fill="FFFFFF"/>
            <w:tcMar>
              <w:top w:w="0" w:type="dxa"/>
              <w:left w:w="0" w:type="dxa"/>
              <w:bottom w:w="0" w:type="dxa"/>
              <w:right w:w="0" w:type="dxa"/>
            </w:tcMar>
            <w:vAlign w:val="center"/>
          </w:tcPr>
          <w:p w14:paraId="6E443366">
            <w:pPr>
              <w:pStyle w:val="58"/>
              <w:bidi w:val="0"/>
              <w:rPr>
                <w:rFonts w:hint="default"/>
                <w:highlight w:val="none"/>
              </w:rPr>
            </w:pPr>
            <w:r>
              <w:rPr>
                <w:rFonts w:hint="default"/>
                <w:highlight w:val="none"/>
              </w:rPr>
              <w:t>5.1</w:t>
            </w:r>
          </w:p>
        </w:tc>
        <w:tc>
          <w:tcPr>
            <w:tcW w:w="513" w:type="dxa"/>
            <w:shd w:val="clear" w:color="auto" w:fill="FFFFFF"/>
            <w:tcMar>
              <w:top w:w="0" w:type="dxa"/>
              <w:left w:w="0" w:type="dxa"/>
              <w:bottom w:w="0" w:type="dxa"/>
              <w:right w:w="0" w:type="dxa"/>
            </w:tcMar>
            <w:vAlign w:val="center"/>
          </w:tcPr>
          <w:p w14:paraId="0FDEE5E4">
            <w:pPr>
              <w:pStyle w:val="58"/>
              <w:bidi w:val="0"/>
              <w:rPr>
                <w:rFonts w:hint="default"/>
                <w:highlight w:val="none"/>
              </w:rPr>
            </w:pPr>
            <w:r>
              <w:rPr>
                <w:rFonts w:hint="default"/>
                <w:highlight w:val="none"/>
              </w:rPr>
              <w:t>94.2</w:t>
            </w:r>
          </w:p>
        </w:tc>
        <w:tc>
          <w:tcPr>
            <w:tcW w:w="513" w:type="dxa"/>
            <w:shd w:val="clear" w:color="auto" w:fill="FFFFFF"/>
            <w:tcMar>
              <w:top w:w="0" w:type="dxa"/>
              <w:left w:w="0" w:type="dxa"/>
              <w:bottom w:w="0" w:type="dxa"/>
              <w:right w:w="0" w:type="dxa"/>
            </w:tcMar>
            <w:vAlign w:val="center"/>
          </w:tcPr>
          <w:p w14:paraId="1939EAE8">
            <w:pPr>
              <w:pStyle w:val="58"/>
              <w:bidi w:val="0"/>
              <w:rPr>
                <w:rFonts w:hint="default"/>
                <w:highlight w:val="none"/>
              </w:rPr>
            </w:pPr>
            <w:r>
              <w:rPr>
                <w:rFonts w:hint="default"/>
                <w:highlight w:val="none"/>
              </w:rPr>
              <w:t>94.2</w:t>
            </w:r>
          </w:p>
        </w:tc>
        <w:tc>
          <w:tcPr>
            <w:tcW w:w="513" w:type="dxa"/>
            <w:shd w:val="clear" w:color="auto" w:fill="FFFFFF"/>
            <w:tcMar>
              <w:top w:w="0" w:type="dxa"/>
              <w:left w:w="0" w:type="dxa"/>
              <w:bottom w:w="0" w:type="dxa"/>
              <w:right w:w="0" w:type="dxa"/>
            </w:tcMar>
            <w:vAlign w:val="center"/>
          </w:tcPr>
          <w:p w14:paraId="3F8DB963">
            <w:pPr>
              <w:pStyle w:val="58"/>
              <w:bidi w:val="0"/>
              <w:rPr>
                <w:rFonts w:hint="default"/>
                <w:highlight w:val="none"/>
              </w:rPr>
            </w:pPr>
            <w:r>
              <w:rPr>
                <w:rFonts w:hint="default"/>
                <w:highlight w:val="none"/>
              </w:rPr>
              <w:t>94.2</w:t>
            </w:r>
          </w:p>
        </w:tc>
        <w:tc>
          <w:tcPr>
            <w:tcW w:w="513" w:type="dxa"/>
            <w:shd w:val="clear" w:color="auto" w:fill="FFFFFF"/>
            <w:tcMar>
              <w:top w:w="0" w:type="dxa"/>
              <w:left w:w="0" w:type="dxa"/>
              <w:bottom w:w="0" w:type="dxa"/>
              <w:right w:w="0" w:type="dxa"/>
            </w:tcMar>
            <w:vAlign w:val="center"/>
          </w:tcPr>
          <w:p w14:paraId="4AD75FBF">
            <w:pPr>
              <w:pStyle w:val="58"/>
              <w:bidi w:val="0"/>
              <w:rPr>
                <w:rFonts w:hint="default"/>
                <w:highlight w:val="none"/>
              </w:rPr>
            </w:pPr>
            <w:r>
              <w:rPr>
                <w:rFonts w:hint="default"/>
                <w:highlight w:val="none"/>
              </w:rPr>
              <w:t>94.2</w:t>
            </w:r>
          </w:p>
        </w:tc>
        <w:tc>
          <w:tcPr>
            <w:tcW w:w="521" w:type="dxa"/>
            <w:shd w:val="clear" w:color="auto" w:fill="FFFFFF"/>
            <w:tcMar>
              <w:top w:w="0" w:type="dxa"/>
              <w:left w:w="0" w:type="dxa"/>
              <w:bottom w:w="0" w:type="dxa"/>
              <w:right w:w="0" w:type="dxa"/>
            </w:tcMar>
            <w:vAlign w:val="center"/>
          </w:tcPr>
          <w:p w14:paraId="0CA21C31">
            <w:pPr>
              <w:pStyle w:val="58"/>
              <w:bidi w:val="0"/>
              <w:rPr>
                <w:rFonts w:hint="default"/>
                <w:highlight w:val="none"/>
                <w:lang w:eastAsia="zh-CN"/>
              </w:rPr>
            </w:pPr>
            <w:r>
              <w:rPr>
                <w:rFonts w:hint="default"/>
                <w:highlight w:val="none"/>
                <w:lang w:eastAsia="zh-CN"/>
              </w:rPr>
              <w:t>昼夜</w:t>
            </w:r>
          </w:p>
        </w:tc>
        <w:tc>
          <w:tcPr>
            <w:tcW w:w="858" w:type="dxa"/>
            <w:shd w:val="clear" w:color="auto" w:fill="FFFFFF"/>
            <w:tcMar>
              <w:top w:w="0" w:type="dxa"/>
              <w:left w:w="0" w:type="dxa"/>
              <w:bottom w:w="0" w:type="dxa"/>
              <w:right w:w="0" w:type="dxa"/>
            </w:tcMar>
            <w:vAlign w:val="center"/>
          </w:tcPr>
          <w:p w14:paraId="4BE5E60B">
            <w:pPr>
              <w:pStyle w:val="58"/>
              <w:bidi w:val="0"/>
              <w:rPr>
                <w:rFonts w:hint="default"/>
                <w:highlight w:val="none"/>
                <w:lang w:val="en-US" w:eastAsia="zh-CN"/>
              </w:rPr>
            </w:pPr>
            <w:r>
              <w:rPr>
                <w:rFonts w:hint="default"/>
                <w:highlight w:val="none"/>
                <w:lang w:val="en-US" w:eastAsia="zh-CN"/>
              </w:rPr>
              <w:t>26</w:t>
            </w:r>
          </w:p>
        </w:tc>
        <w:tc>
          <w:tcPr>
            <w:tcW w:w="424" w:type="dxa"/>
            <w:shd w:val="clear" w:color="auto" w:fill="FFFFFF"/>
            <w:tcMar>
              <w:top w:w="0" w:type="dxa"/>
              <w:left w:w="0" w:type="dxa"/>
              <w:bottom w:w="0" w:type="dxa"/>
              <w:right w:w="0" w:type="dxa"/>
            </w:tcMar>
            <w:vAlign w:val="center"/>
          </w:tcPr>
          <w:p w14:paraId="06A383DB">
            <w:pPr>
              <w:pStyle w:val="58"/>
              <w:bidi w:val="0"/>
              <w:rPr>
                <w:rFonts w:hint="default"/>
                <w:highlight w:val="none"/>
              </w:rPr>
            </w:pPr>
            <w:r>
              <w:rPr>
                <w:rFonts w:hint="default"/>
                <w:highlight w:val="none"/>
              </w:rPr>
              <w:t>68.2</w:t>
            </w:r>
          </w:p>
        </w:tc>
        <w:tc>
          <w:tcPr>
            <w:tcW w:w="424" w:type="dxa"/>
            <w:shd w:val="clear" w:color="auto" w:fill="FFFFFF"/>
            <w:tcMar>
              <w:top w:w="0" w:type="dxa"/>
              <w:left w:w="0" w:type="dxa"/>
              <w:bottom w:w="0" w:type="dxa"/>
              <w:right w:w="0" w:type="dxa"/>
            </w:tcMar>
            <w:vAlign w:val="center"/>
          </w:tcPr>
          <w:p w14:paraId="47A6155E">
            <w:pPr>
              <w:pStyle w:val="58"/>
              <w:bidi w:val="0"/>
              <w:rPr>
                <w:rFonts w:hint="default"/>
                <w:highlight w:val="none"/>
              </w:rPr>
            </w:pPr>
            <w:r>
              <w:rPr>
                <w:rFonts w:hint="default"/>
                <w:highlight w:val="none"/>
              </w:rPr>
              <w:t>68.2</w:t>
            </w:r>
          </w:p>
        </w:tc>
        <w:tc>
          <w:tcPr>
            <w:tcW w:w="424" w:type="dxa"/>
            <w:shd w:val="clear" w:color="auto" w:fill="FFFFFF"/>
            <w:tcMar>
              <w:top w:w="0" w:type="dxa"/>
              <w:left w:w="0" w:type="dxa"/>
              <w:bottom w:w="0" w:type="dxa"/>
              <w:right w:w="0" w:type="dxa"/>
            </w:tcMar>
            <w:vAlign w:val="center"/>
          </w:tcPr>
          <w:p w14:paraId="40EF6C59">
            <w:pPr>
              <w:pStyle w:val="58"/>
              <w:bidi w:val="0"/>
              <w:rPr>
                <w:rFonts w:hint="default"/>
                <w:highlight w:val="none"/>
              </w:rPr>
            </w:pPr>
            <w:r>
              <w:rPr>
                <w:rFonts w:hint="default"/>
                <w:highlight w:val="none"/>
              </w:rPr>
              <w:t>68.2</w:t>
            </w:r>
          </w:p>
        </w:tc>
        <w:tc>
          <w:tcPr>
            <w:tcW w:w="427" w:type="dxa"/>
            <w:shd w:val="clear" w:color="auto" w:fill="FFFFFF"/>
            <w:tcMar>
              <w:top w:w="0" w:type="dxa"/>
              <w:left w:w="0" w:type="dxa"/>
              <w:bottom w:w="0" w:type="dxa"/>
              <w:right w:w="0" w:type="dxa"/>
            </w:tcMar>
            <w:vAlign w:val="center"/>
          </w:tcPr>
          <w:p w14:paraId="2AF865D0">
            <w:pPr>
              <w:pStyle w:val="58"/>
              <w:bidi w:val="0"/>
              <w:rPr>
                <w:rFonts w:hint="default"/>
                <w:highlight w:val="none"/>
              </w:rPr>
            </w:pPr>
            <w:r>
              <w:rPr>
                <w:rFonts w:hint="default"/>
                <w:highlight w:val="none"/>
              </w:rPr>
              <w:t>68.2</w:t>
            </w:r>
          </w:p>
        </w:tc>
        <w:tc>
          <w:tcPr>
            <w:tcW w:w="486" w:type="dxa"/>
            <w:shd w:val="clear" w:color="auto" w:fill="FFFFFF"/>
            <w:tcMar>
              <w:top w:w="0" w:type="dxa"/>
              <w:left w:w="0" w:type="dxa"/>
              <w:bottom w:w="0" w:type="dxa"/>
              <w:right w:w="0" w:type="dxa"/>
            </w:tcMar>
            <w:vAlign w:val="center"/>
          </w:tcPr>
          <w:p w14:paraId="761A2674">
            <w:pPr>
              <w:pStyle w:val="58"/>
              <w:bidi w:val="0"/>
              <w:rPr>
                <w:rFonts w:hint="default"/>
                <w:highlight w:val="none"/>
              </w:rPr>
            </w:pPr>
            <w:r>
              <w:rPr>
                <w:rFonts w:hint="default"/>
                <w:highlight w:val="none"/>
              </w:rPr>
              <w:t>1</w:t>
            </w:r>
          </w:p>
        </w:tc>
      </w:tr>
      <w:tr w14:paraId="3D729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458" w:type="dxa"/>
            <w:shd w:val="clear" w:color="auto" w:fill="FFFFFF"/>
            <w:tcMar>
              <w:top w:w="0" w:type="dxa"/>
              <w:left w:w="0" w:type="dxa"/>
              <w:bottom w:w="0" w:type="dxa"/>
              <w:right w:w="0" w:type="dxa"/>
            </w:tcMar>
            <w:vAlign w:val="center"/>
          </w:tcPr>
          <w:p w14:paraId="746326CE">
            <w:pPr>
              <w:pStyle w:val="58"/>
              <w:numPr>
                <w:ilvl w:val="0"/>
                <w:numId w:val="37"/>
              </w:numPr>
              <w:bidi w:val="0"/>
              <w:ind w:left="425" w:leftChars="0" w:hanging="425" w:firstLineChars="0"/>
              <w:rPr>
                <w:rFonts w:hint="default"/>
                <w:highlight w:val="none"/>
                <w:lang w:val="en-US" w:eastAsia="zh-CN"/>
              </w:rPr>
            </w:pPr>
          </w:p>
        </w:tc>
        <w:tc>
          <w:tcPr>
            <w:tcW w:w="632" w:type="dxa"/>
            <w:shd w:val="clear" w:color="auto" w:fill="FFFFFF"/>
            <w:tcMar>
              <w:top w:w="0" w:type="dxa"/>
              <w:left w:w="0" w:type="dxa"/>
              <w:bottom w:w="0" w:type="dxa"/>
              <w:right w:w="0" w:type="dxa"/>
            </w:tcMar>
            <w:vAlign w:val="center"/>
          </w:tcPr>
          <w:p w14:paraId="43A15DD5">
            <w:pPr>
              <w:pStyle w:val="58"/>
              <w:bidi w:val="0"/>
              <w:rPr>
                <w:rFonts w:hint="default"/>
                <w:highlight w:val="none"/>
                <w:lang w:val="en-US" w:eastAsia="zh-CN"/>
              </w:rPr>
            </w:pPr>
            <w:r>
              <w:rPr>
                <w:rFonts w:hint="default"/>
                <w:highlight w:val="none"/>
              </w:rPr>
              <w:t>污泥池</w:t>
            </w:r>
          </w:p>
        </w:tc>
        <w:tc>
          <w:tcPr>
            <w:tcW w:w="715" w:type="dxa"/>
            <w:shd w:val="clear" w:color="auto" w:fill="FFFFFF"/>
            <w:tcMar>
              <w:top w:w="0" w:type="dxa"/>
              <w:left w:w="0" w:type="dxa"/>
              <w:bottom w:w="0" w:type="dxa"/>
              <w:right w:w="0" w:type="dxa"/>
            </w:tcMar>
            <w:vAlign w:val="center"/>
          </w:tcPr>
          <w:p w14:paraId="0BF64A7F">
            <w:pPr>
              <w:pStyle w:val="58"/>
              <w:bidi w:val="0"/>
              <w:rPr>
                <w:rFonts w:hint="default"/>
                <w:highlight w:val="none"/>
                <w:lang w:val="en-US" w:eastAsia="zh-CN"/>
              </w:rPr>
            </w:pPr>
            <w:r>
              <w:rPr>
                <w:rFonts w:hint="default"/>
                <w:highlight w:val="none"/>
              </w:rPr>
              <w:t>排泥泵</w:t>
            </w:r>
          </w:p>
        </w:tc>
        <w:tc>
          <w:tcPr>
            <w:tcW w:w="2018" w:type="dxa"/>
            <w:shd w:val="clear" w:color="auto" w:fill="FFFFFF"/>
            <w:tcMar>
              <w:top w:w="0" w:type="dxa"/>
              <w:left w:w="0" w:type="dxa"/>
              <w:bottom w:w="0" w:type="dxa"/>
              <w:right w:w="0" w:type="dxa"/>
            </w:tcMar>
            <w:vAlign w:val="center"/>
          </w:tcPr>
          <w:p w14:paraId="584CD9AD">
            <w:pPr>
              <w:pStyle w:val="58"/>
              <w:bidi w:val="0"/>
              <w:rPr>
                <w:rFonts w:hint="default"/>
                <w:highlight w:val="none"/>
                <w:lang w:val="en-US" w:eastAsia="zh-CN"/>
              </w:rPr>
            </w:pPr>
            <w:r>
              <w:rPr>
                <w:rFonts w:hint="default"/>
                <w:highlight w:val="none"/>
                <w:lang w:val="en-US" w:eastAsia="zh-CN"/>
              </w:rPr>
              <w:t>ZW25-8-15</w:t>
            </w:r>
          </w:p>
        </w:tc>
        <w:tc>
          <w:tcPr>
            <w:tcW w:w="897" w:type="dxa"/>
            <w:shd w:val="clear" w:color="auto" w:fill="FFFFFF"/>
            <w:tcMar>
              <w:top w:w="0" w:type="dxa"/>
              <w:left w:w="0" w:type="dxa"/>
              <w:bottom w:w="0" w:type="dxa"/>
              <w:right w:w="0" w:type="dxa"/>
            </w:tcMar>
            <w:vAlign w:val="center"/>
          </w:tcPr>
          <w:p w14:paraId="43B09B07">
            <w:pPr>
              <w:pStyle w:val="58"/>
              <w:bidi w:val="0"/>
              <w:rPr>
                <w:rFonts w:hint="default"/>
                <w:highlight w:val="none"/>
                <w:lang w:val="en-US" w:eastAsia="zh-CN"/>
              </w:rPr>
            </w:pPr>
            <w:r>
              <w:rPr>
                <w:rFonts w:hint="default"/>
                <w:highlight w:val="none"/>
              </w:rPr>
              <w:t>85</w:t>
            </w:r>
          </w:p>
        </w:tc>
        <w:tc>
          <w:tcPr>
            <w:tcW w:w="1169" w:type="dxa"/>
            <w:vMerge w:val="continue"/>
            <w:shd w:val="clear" w:color="auto" w:fill="FFFFFF"/>
            <w:tcMar>
              <w:top w:w="0" w:type="dxa"/>
              <w:left w:w="0" w:type="dxa"/>
              <w:bottom w:w="0" w:type="dxa"/>
              <w:right w:w="0" w:type="dxa"/>
            </w:tcMar>
            <w:vAlign w:val="center"/>
          </w:tcPr>
          <w:p w14:paraId="76E5DBD9">
            <w:pPr>
              <w:pStyle w:val="58"/>
              <w:bidi w:val="0"/>
              <w:rPr>
                <w:rFonts w:hint="default"/>
                <w:highlight w:val="none"/>
                <w:lang w:val="en-US" w:eastAsia="zh-CN"/>
              </w:rPr>
            </w:pPr>
          </w:p>
        </w:tc>
        <w:tc>
          <w:tcPr>
            <w:tcW w:w="543" w:type="dxa"/>
            <w:shd w:val="clear" w:color="auto" w:fill="FFFFFF"/>
            <w:tcMar>
              <w:top w:w="0" w:type="dxa"/>
              <w:left w:w="0" w:type="dxa"/>
              <w:bottom w:w="0" w:type="dxa"/>
              <w:right w:w="0" w:type="dxa"/>
            </w:tcMar>
            <w:vAlign w:val="center"/>
          </w:tcPr>
          <w:p w14:paraId="0A159F6C">
            <w:pPr>
              <w:pStyle w:val="58"/>
              <w:bidi w:val="0"/>
              <w:rPr>
                <w:rFonts w:hint="default"/>
                <w:highlight w:val="none"/>
                <w:lang w:val="en-US" w:eastAsia="zh-CN"/>
              </w:rPr>
            </w:pPr>
            <w:r>
              <w:rPr>
                <w:rFonts w:hint="default"/>
                <w:highlight w:val="none"/>
              </w:rPr>
              <w:t>112.1</w:t>
            </w:r>
          </w:p>
        </w:tc>
        <w:tc>
          <w:tcPr>
            <w:tcW w:w="425" w:type="dxa"/>
            <w:shd w:val="clear" w:color="auto" w:fill="FFFFFF"/>
            <w:tcMar>
              <w:top w:w="0" w:type="dxa"/>
              <w:left w:w="0" w:type="dxa"/>
              <w:bottom w:w="0" w:type="dxa"/>
              <w:right w:w="0" w:type="dxa"/>
            </w:tcMar>
            <w:vAlign w:val="center"/>
          </w:tcPr>
          <w:p w14:paraId="0702ECDF">
            <w:pPr>
              <w:pStyle w:val="58"/>
              <w:bidi w:val="0"/>
              <w:rPr>
                <w:rFonts w:hint="default"/>
                <w:highlight w:val="none"/>
                <w:lang w:val="en-US" w:eastAsia="zh-CN"/>
              </w:rPr>
            </w:pPr>
            <w:r>
              <w:rPr>
                <w:rFonts w:hint="default"/>
                <w:highlight w:val="none"/>
              </w:rPr>
              <w:t>71.4</w:t>
            </w:r>
          </w:p>
        </w:tc>
        <w:tc>
          <w:tcPr>
            <w:tcW w:w="307" w:type="dxa"/>
            <w:shd w:val="clear" w:color="auto" w:fill="FFFFFF"/>
            <w:tcMar>
              <w:top w:w="0" w:type="dxa"/>
              <w:left w:w="0" w:type="dxa"/>
              <w:bottom w:w="0" w:type="dxa"/>
              <w:right w:w="0" w:type="dxa"/>
            </w:tcMar>
            <w:vAlign w:val="center"/>
          </w:tcPr>
          <w:p w14:paraId="6CE03AF7">
            <w:pPr>
              <w:pStyle w:val="58"/>
              <w:bidi w:val="0"/>
              <w:rPr>
                <w:rFonts w:hint="default"/>
                <w:highlight w:val="none"/>
                <w:lang w:val="en-US" w:eastAsia="zh-CN"/>
              </w:rPr>
            </w:pPr>
            <w:r>
              <w:rPr>
                <w:rFonts w:hint="default"/>
                <w:highlight w:val="none"/>
              </w:rPr>
              <w:t>-3</w:t>
            </w:r>
          </w:p>
        </w:tc>
        <w:tc>
          <w:tcPr>
            <w:tcW w:w="318" w:type="dxa"/>
            <w:shd w:val="clear" w:color="auto" w:fill="FFFFFF"/>
            <w:tcMar>
              <w:top w:w="0" w:type="dxa"/>
              <w:left w:w="0" w:type="dxa"/>
              <w:bottom w:w="0" w:type="dxa"/>
              <w:right w:w="0" w:type="dxa"/>
            </w:tcMar>
            <w:vAlign w:val="center"/>
          </w:tcPr>
          <w:p w14:paraId="4F99E3A1">
            <w:pPr>
              <w:pStyle w:val="58"/>
              <w:bidi w:val="0"/>
              <w:rPr>
                <w:rFonts w:hint="default"/>
                <w:highlight w:val="none"/>
                <w:lang w:val="en-US" w:eastAsia="zh-CN"/>
              </w:rPr>
            </w:pPr>
            <w:r>
              <w:rPr>
                <w:rFonts w:hint="default"/>
                <w:highlight w:val="none"/>
              </w:rPr>
              <w:t>3.6</w:t>
            </w:r>
          </w:p>
        </w:tc>
        <w:tc>
          <w:tcPr>
            <w:tcW w:w="317" w:type="dxa"/>
            <w:shd w:val="clear" w:color="auto" w:fill="FFFFFF"/>
            <w:tcMar>
              <w:top w:w="0" w:type="dxa"/>
              <w:left w:w="0" w:type="dxa"/>
              <w:bottom w:w="0" w:type="dxa"/>
              <w:right w:w="0" w:type="dxa"/>
            </w:tcMar>
            <w:vAlign w:val="center"/>
          </w:tcPr>
          <w:p w14:paraId="7946C193">
            <w:pPr>
              <w:pStyle w:val="58"/>
              <w:bidi w:val="0"/>
              <w:rPr>
                <w:rFonts w:hint="default"/>
                <w:highlight w:val="none"/>
                <w:lang w:val="en-US" w:eastAsia="zh-CN"/>
              </w:rPr>
            </w:pPr>
            <w:r>
              <w:rPr>
                <w:rFonts w:hint="default"/>
                <w:highlight w:val="none"/>
              </w:rPr>
              <w:t>1.1</w:t>
            </w:r>
          </w:p>
        </w:tc>
        <w:tc>
          <w:tcPr>
            <w:tcW w:w="318" w:type="dxa"/>
            <w:shd w:val="clear" w:color="auto" w:fill="FFFFFF"/>
            <w:tcMar>
              <w:top w:w="0" w:type="dxa"/>
              <w:left w:w="0" w:type="dxa"/>
              <w:bottom w:w="0" w:type="dxa"/>
              <w:right w:w="0" w:type="dxa"/>
            </w:tcMar>
            <w:vAlign w:val="center"/>
          </w:tcPr>
          <w:p w14:paraId="14501225">
            <w:pPr>
              <w:pStyle w:val="58"/>
              <w:bidi w:val="0"/>
              <w:rPr>
                <w:rFonts w:hint="default"/>
                <w:highlight w:val="none"/>
                <w:lang w:val="en-US" w:eastAsia="zh-CN"/>
              </w:rPr>
            </w:pPr>
            <w:r>
              <w:rPr>
                <w:rFonts w:hint="default"/>
                <w:highlight w:val="none"/>
              </w:rPr>
              <w:t>2.6</w:t>
            </w:r>
          </w:p>
        </w:tc>
        <w:tc>
          <w:tcPr>
            <w:tcW w:w="317" w:type="dxa"/>
            <w:shd w:val="clear" w:color="auto" w:fill="FFFFFF"/>
            <w:tcMar>
              <w:top w:w="0" w:type="dxa"/>
              <w:left w:w="0" w:type="dxa"/>
              <w:bottom w:w="0" w:type="dxa"/>
              <w:right w:w="0" w:type="dxa"/>
            </w:tcMar>
            <w:vAlign w:val="center"/>
          </w:tcPr>
          <w:p w14:paraId="1F72B0B0">
            <w:pPr>
              <w:pStyle w:val="58"/>
              <w:bidi w:val="0"/>
              <w:rPr>
                <w:rFonts w:hint="default"/>
                <w:highlight w:val="none"/>
                <w:lang w:val="en-US" w:eastAsia="zh-CN"/>
              </w:rPr>
            </w:pPr>
            <w:r>
              <w:rPr>
                <w:rFonts w:hint="default"/>
                <w:highlight w:val="none"/>
              </w:rPr>
              <w:t>0.8</w:t>
            </w:r>
          </w:p>
        </w:tc>
        <w:tc>
          <w:tcPr>
            <w:tcW w:w="513" w:type="dxa"/>
            <w:shd w:val="clear" w:color="auto" w:fill="FFFFFF"/>
            <w:tcMar>
              <w:top w:w="0" w:type="dxa"/>
              <w:left w:w="0" w:type="dxa"/>
              <w:bottom w:w="0" w:type="dxa"/>
              <w:right w:w="0" w:type="dxa"/>
            </w:tcMar>
            <w:vAlign w:val="center"/>
          </w:tcPr>
          <w:p w14:paraId="0D39C0C7">
            <w:pPr>
              <w:pStyle w:val="58"/>
              <w:bidi w:val="0"/>
              <w:rPr>
                <w:rFonts w:hint="default"/>
                <w:highlight w:val="none"/>
                <w:lang w:val="en-US" w:eastAsia="zh-CN"/>
              </w:rPr>
            </w:pPr>
            <w:r>
              <w:rPr>
                <w:rFonts w:hint="default"/>
                <w:highlight w:val="none"/>
              </w:rPr>
              <w:t>97.9</w:t>
            </w:r>
          </w:p>
        </w:tc>
        <w:tc>
          <w:tcPr>
            <w:tcW w:w="513" w:type="dxa"/>
            <w:shd w:val="clear" w:color="auto" w:fill="FFFFFF"/>
            <w:tcMar>
              <w:top w:w="0" w:type="dxa"/>
              <w:left w:w="0" w:type="dxa"/>
              <w:bottom w:w="0" w:type="dxa"/>
              <w:right w:w="0" w:type="dxa"/>
            </w:tcMar>
            <w:vAlign w:val="center"/>
          </w:tcPr>
          <w:p w14:paraId="1536523C">
            <w:pPr>
              <w:pStyle w:val="58"/>
              <w:bidi w:val="0"/>
              <w:rPr>
                <w:rFonts w:hint="default"/>
                <w:highlight w:val="none"/>
                <w:lang w:val="en-US" w:eastAsia="zh-CN"/>
              </w:rPr>
            </w:pPr>
            <w:r>
              <w:rPr>
                <w:rFonts w:hint="default"/>
                <w:highlight w:val="none"/>
              </w:rPr>
              <w:t>97.9</w:t>
            </w:r>
          </w:p>
        </w:tc>
        <w:tc>
          <w:tcPr>
            <w:tcW w:w="513" w:type="dxa"/>
            <w:shd w:val="clear" w:color="auto" w:fill="FFFFFF"/>
            <w:tcMar>
              <w:top w:w="0" w:type="dxa"/>
              <w:left w:w="0" w:type="dxa"/>
              <w:bottom w:w="0" w:type="dxa"/>
              <w:right w:w="0" w:type="dxa"/>
            </w:tcMar>
            <w:vAlign w:val="center"/>
          </w:tcPr>
          <w:p w14:paraId="141BE100">
            <w:pPr>
              <w:pStyle w:val="58"/>
              <w:bidi w:val="0"/>
              <w:rPr>
                <w:rFonts w:hint="default"/>
                <w:highlight w:val="none"/>
                <w:lang w:val="en-US" w:eastAsia="zh-CN"/>
              </w:rPr>
            </w:pPr>
            <w:r>
              <w:rPr>
                <w:rFonts w:hint="default"/>
                <w:highlight w:val="none"/>
              </w:rPr>
              <w:t>97.9</w:t>
            </w:r>
          </w:p>
        </w:tc>
        <w:tc>
          <w:tcPr>
            <w:tcW w:w="513" w:type="dxa"/>
            <w:shd w:val="clear" w:color="auto" w:fill="FFFFFF"/>
            <w:tcMar>
              <w:top w:w="0" w:type="dxa"/>
              <w:left w:w="0" w:type="dxa"/>
              <w:bottom w:w="0" w:type="dxa"/>
              <w:right w:w="0" w:type="dxa"/>
            </w:tcMar>
            <w:vAlign w:val="center"/>
          </w:tcPr>
          <w:p w14:paraId="16D660CB">
            <w:pPr>
              <w:pStyle w:val="58"/>
              <w:bidi w:val="0"/>
              <w:rPr>
                <w:rFonts w:hint="default"/>
                <w:highlight w:val="none"/>
                <w:lang w:val="en-US" w:eastAsia="zh-CN"/>
              </w:rPr>
            </w:pPr>
            <w:r>
              <w:rPr>
                <w:rFonts w:hint="default"/>
                <w:highlight w:val="none"/>
              </w:rPr>
              <w:t>97.9</w:t>
            </w:r>
          </w:p>
        </w:tc>
        <w:tc>
          <w:tcPr>
            <w:tcW w:w="521" w:type="dxa"/>
            <w:shd w:val="clear" w:color="auto" w:fill="FFFFFF"/>
            <w:tcMar>
              <w:top w:w="0" w:type="dxa"/>
              <w:left w:w="0" w:type="dxa"/>
              <w:bottom w:w="0" w:type="dxa"/>
              <w:right w:w="0" w:type="dxa"/>
            </w:tcMar>
            <w:vAlign w:val="center"/>
          </w:tcPr>
          <w:p w14:paraId="0685EE8E">
            <w:pPr>
              <w:pStyle w:val="58"/>
              <w:bidi w:val="0"/>
              <w:rPr>
                <w:rFonts w:hint="default"/>
                <w:highlight w:val="none"/>
                <w:lang w:val="en-US" w:eastAsia="zh-CN"/>
              </w:rPr>
            </w:pPr>
            <w:r>
              <w:rPr>
                <w:rFonts w:hint="default"/>
                <w:highlight w:val="none"/>
                <w:lang w:eastAsia="zh-CN"/>
              </w:rPr>
              <w:t>昼夜</w:t>
            </w:r>
          </w:p>
        </w:tc>
        <w:tc>
          <w:tcPr>
            <w:tcW w:w="858" w:type="dxa"/>
            <w:shd w:val="clear" w:color="auto" w:fill="FFFFFF"/>
            <w:tcMar>
              <w:top w:w="0" w:type="dxa"/>
              <w:left w:w="0" w:type="dxa"/>
              <w:bottom w:w="0" w:type="dxa"/>
              <w:right w:w="0" w:type="dxa"/>
            </w:tcMar>
            <w:vAlign w:val="center"/>
          </w:tcPr>
          <w:p w14:paraId="3CF0E618">
            <w:pPr>
              <w:pStyle w:val="58"/>
              <w:bidi w:val="0"/>
              <w:rPr>
                <w:rFonts w:hint="default"/>
                <w:highlight w:val="none"/>
                <w:lang w:val="en-US" w:eastAsia="zh-CN"/>
              </w:rPr>
            </w:pPr>
            <w:r>
              <w:rPr>
                <w:rFonts w:hint="default"/>
                <w:highlight w:val="none"/>
                <w:lang w:val="en-US" w:eastAsia="zh-CN"/>
              </w:rPr>
              <w:t>26</w:t>
            </w:r>
          </w:p>
        </w:tc>
        <w:tc>
          <w:tcPr>
            <w:tcW w:w="424" w:type="dxa"/>
            <w:shd w:val="clear" w:color="auto" w:fill="FFFFFF"/>
            <w:tcMar>
              <w:top w:w="0" w:type="dxa"/>
              <w:left w:w="0" w:type="dxa"/>
              <w:bottom w:w="0" w:type="dxa"/>
              <w:right w:w="0" w:type="dxa"/>
            </w:tcMar>
            <w:vAlign w:val="center"/>
          </w:tcPr>
          <w:p w14:paraId="16CD9938">
            <w:pPr>
              <w:pStyle w:val="58"/>
              <w:bidi w:val="0"/>
              <w:rPr>
                <w:rFonts w:hint="default"/>
                <w:highlight w:val="none"/>
                <w:lang w:val="en-US" w:eastAsia="zh-CN"/>
              </w:rPr>
            </w:pPr>
            <w:r>
              <w:rPr>
                <w:rFonts w:hint="default"/>
                <w:highlight w:val="none"/>
              </w:rPr>
              <w:t>71.9</w:t>
            </w:r>
          </w:p>
        </w:tc>
        <w:tc>
          <w:tcPr>
            <w:tcW w:w="424" w:type="dxa"/>
            <w:shd w:val="clear" w:color="auto" w:fill="FFFFFF"/>
            <w:tcMar>
              <w:top w:w="0" w:type="dxa"/>
              <w:left w:w="0" w:type="dxa"/>
              <w:bottom w:w="0" w:type="dxa"/>
              <w:right w:w="0" w:type="dxa"/>
            </w:tcMar>
            <w:vAlign w:val="center"/>
          </w:tcPr>
          <w:p w14:paraId="6CAFAC1F">
            <w:pPr>
              <w:pStyle w:val="58"/>
              <w:bidi w:val="0"/>
              <w:rPr>
                <w:rFonts w:hint="default"/>
                <w:highlight w:val="none"/>
                <w:lang w:val="en-US" w:eastAsia="zh-CN"/>
              </w:rPr>
            </w:pPr>
            <w:r>
              <w:rPr>
                <w:rFonts w:hint="default"/>
                <w:highlight w:val="none"/>
              </w:rPr>
              <w:t>71.9</w:t>
            </w:r>
          </w:p>
        </w:tc>
        <w:tc>
          <w:tcPr>
            <w:tcW w:w="424" w:type="dxa"/>
            <w:shd w:val="clear" w:color="auto" w:fill="FFFFFF"/>
            <w:tcMar>
              <w:top w:w="0" w:type="dxa"/>
              <w:left w:w="0" w:type="dxa"/>
              <w:bottom w:w="0" w:type="dxa"/>
              <w:right w:w="0" w:type="dxa"/>
            </w:tcMar>
            <w:vAlign w:val="center"/>
          </w:tcPr>
          <w:p w14:paraId="221440E8">
            <w:pPr>
              <w:pStyle w:val="58"/>
              <w:bidi w:val="0"/>
              <w:rPr>
                <w:rFonts w:hint="default"/>
                <w:highlight w:val="none"/>
                <w:lang w:val="en-US" w:eastAsia="zh-CN"/>
              </w:rPr>
            </w:pPr>
            <w:r>
              <w:rPr>
                <w:rFonts w:hint="default"/>
                <w:highlight w:val="none"/>
              </w:rPr>
              <w:t>71.9</w:t>
            </w:r>
          </w:p>
        </w:tc>
        <w:tc>
          <w:tcPr>
            <w:tcW w:w="427" w:type="dxa"/>
            <w:shd w:val="clear" w:color="auto" w:fill="FFFFFF"/>
            <w:tcMar>
              <w:top w:w="0" w:type="dxa"/>
              <w:left w:w="0" w:type="dxa"/>
              <w:bottom w:w="0" w:type="dxa"/>
              <w:right w:w="0" w:type="dxa"/>
            </w:tcMar>
            <w:vAlign w:val="center"/>
          </w:tcPr>
          <w:p w14:paraId="2DF79873">
            <w:pPr>
              <w:pStyle w:val="58"/>
              <w:bidi w:val="0"/>
              <w:rPr>
                <w:rFonts w:hint="default"/>
                <w:highlight w:val="none"/>
                <w:lang w:val="en-US" w:eastAsia="zh-CN"/>
              </w:rPr>
            </w:pPr>
            <w:r>
              <w:rPr>
                <w:rFonts w:hint="default"/>
                <w:highlight w:val="none"/>
              </w:rPr>
              <w:t>71.9</w:t>
            </w:r>
          </w:p>
        </w:tc>
        <w:tc>
          <w:tcPr>
            <w:tcW w:w="486" w:type="dxa"/>
            <w:shd w:val="clear" w:color="auto" w:fill="FFFFFF"/>
            <w:tcMar>
              <w:top w:w="0" w:type="dxa"/>
              <w:left w:w="0" w:type="dxa"/>
              <w:bottom w:w="0" w:type="dxa"/>
              <w:right w:w="0" w:type="dxa"/>
            </w:tcMar>
            <w:vAlign w:val="center"/>
          </w:tcPr>
          <w:p w14:paraId="0B65BC02">
            <w:pPr>
              <w:pStyle w:val="58"/>
              <w:bidi w:val="0"/>
              <w:rPr>
                <w:rFonts w:hint="default"/>
                <w:highlight w:val="none"/>
                <w:lang w:val="en-US" w:eastAsia="zh-CN"/>
              </w:rPr>
            </w:pPr>
            <w:r>
              <w:rPr>
                <w:rFonts w:hint="default"/>
                <w:highlight w:val="none"/>
              </w:rPr>
              <w:t>1</w:t>
            </w:r>
          </w:p>
        </w:tc>
      </w:tr>
      <w:tr w14:paraId="1340D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458" w:type="dxa"/>
            <w:shd w:val="clear" w:color="auto" w:fill="FFFFFF"/>
            <w:tcMar>
              <w:top w:w="0" w:type="dxa"/>
              <w:left w:w="0" w:type="dxa"/>
              <w:bottom w:w="0" w:type="dxa"/>
              <w:right w:w="0" w:type="dxa"/>
            </w:tcMar>
            <w:vAlign w:val="center"/>
          </w:tcPr>
          <w:p w14:paraId="741DDF52">
            <w:pPr>
              <w:pStyle w:val="58"/>
              <w:numPr>
                <w:ilvl w:val="0"/>
                <w:numId w:val="37"/>
              </w:numPr>
              <w:bidi w:val="0"/>
              <w:ind w:left="425" w:leftChars="0" w:hanging="425" w:firstLineChars="0"/>
              <w:rPr>
                <w:rFonts w:hint="default"/>
                <w:highlight w:val="none"/>
              </w:rPr>
            </w:pPr>
          </w:p>
        </w:tc>
        <w:tc>
          <w:tcPr>
            <w:tcW w:w="632" w:type="dxa"/>
            <w:shd w:val="clear" w:color="auto" w:fill="FFFFFF"/>
            <w:tcMar>
              <w:top w:w="0" w:type="dxa"/>
              <w:left w:w="0" w:type="dxa"/>
              <w:bottom w:w="0" w:type="dxa"/>
              <w:right w:w="0" w:type="dxa"/>
            </w:tcMar>
            <w:vAlign w:val="center"/>
          </w:tcPr>
          <w:p w14:paraId="36CB6A28">
            <w:pPr>
              <w:pStyle w:val="58"/>
              <w:bidi w:val="0"/>
              <w:rPr>
                <w:rFonts w:hint="eastAsia" w:eastAsia="宋体"/>
                <w:highlight w:val="none"/>
                <w:lang w:eastAsia="zh-CN"/>
              </w:rPr>
            </w:pPr>
            <w:r>
              <w:rPr>
                <w:rFonts w:hint="eastAsia"/>
                <w:highlight w:val="none"/>
                <w:lang w:val="en-US" w:eastAsia="zh-CN"/>
              </w:rPr>
              <w:t>回用水池</w:t>
            </w:r>
          </w:p>
        </w:tc>
        <w:tc>
          <w:tcPr>
            <w:tcW w:w="715" w:type="dxa"/>
            <w:shd w:val="clear" w:color="auto" w:fill="FFFFFF"/>
            <w:tcMar>
              <w:top w:w="0" w:type="dxa"/>
              <w:left w:w="0" w:type="dxa"/>
              <w:bottom w:w="0" w:type="dxa"/>
              <w:right w:w="0" w:type="dxa"/>
            </w:tcMar>
            <w:vAlign w:val="center"/>
          </w:tcPr>
          <w:p w14:paraId="0F105548">
            <w:pPr>
              <w:pStyle w:val="58"/>
              <w:bidi w:val="0"/>
              <w:rPr>
                <w:rFonts w:hint="default"/>
                <w:highlight w:val="none"/>
              </w:rPr>
            </w:pPr>
            <w:r>
              <w:rPr>
                <w:rFonts w:hint="default"/>
                <w:highlight w:val="none"/>
              </w:rPr>
              <w:t>潜污泵</w:t>
            </w:r>
          </w:p>
        </w:tc>
        <w:tc>
          <w:tcPr>
            <w:tcW w:w="2018" w:type="dxa"/>
            <w:shd w:val="clear" w:color="auto" w:fill="FFFFFF"/>
            <w:tcMar>
              <w:top w:w="0" w:type="dxa"/>
              <w:left w:w="0" w:type="dxa"/>
              <w:bottom w:w="0" w:type="dxa"/>
              <w:right w:w="0" w:type="dxa"/>
            </w:tcMar>
            <w:vAlign w:val="center"/>
          </w:tcPr>
          <w:p w14:paraId="78761008">
            <w:pPr>
              <w:pStyle w:val="58"/>
              <w:bidi w:val="0"/>
              <w:rPr>
                <w:rFonts w:hint="default"/>
                <w:highlight w:val="none"/>
              </w:rPr>
            </w:pPr>
            <w:r>
              <w:rPr>
                <w:rFonts w:hint="default"/>
                <w:highlight w:val="none"/>
                <w:lang w:val="zh-CN"/>
              </w:rPr>
              <w:t>JYWQ50-10-11-1200-1.1</w:t>
            </w:r>
          </w:p>
        </w:tc>
        <w:tc>
          <w:tcPr>
            <w:tcW w:w="897" w:type="dxa"/>
            <w:shd w:val="clear" w:color="auto" w:fill="FFFFFF"/>
            <w:tcMar>
              <w:top w:w="0" w:type="dxa"/>
              <w:left w:w="0" w:type="dxa"/>
              <w:bottom w:w="0" w:type="dxa"/>
              <w:right w:w="0" w:type="dxa"/>
            </w:tcMar>
            <w:vAlign w:val="center"/>
          </w:tcPr>
          <w:p w14:paraId="78880A81">
            <w:pPr>
              <w:pStyle w:val="58"/>
              <w:bidi w:val="0"/>
              <w:rPr>
                <w:rFonts w:hint="default"/>
                <w:highlight w:val="none"/>
              </w:rPr>
            </w:pPr>
            <w:r>
              <w:rPr>
                <w:rFonts w:hint="default"/>
                <w:highlight w:val="none"/>
              </w:rPr>
              <w:t>85</w:t>
            </w:r>
          </w:p>
        </w:tc>
        <w:tc>
          <w:tcPr>
            <w:tcW w:w="1169" w:type="dxa"/>
            <w:vMerge w:val="continue"/>
            <w:shd w:val="clear" w:color="auto" w:fill="FFFFFF"/>
            <w:tcMar>
              <w:top w:w="0" w:type="dxa"/>
              <w:left w:w="0" w:type="dxa"/>
              <w:bottom w:w="0" w:type="dxa"/>
              <w:right w:w="0" w:type="dxa"/>
            </w:tcMar>
            <w:vAlign w:val="center"/>
          </w:tcPr>
          <w:p w14:paraId="72B3CD23">
            <w:pPr>
              <w:pStyle w:val="58"/>
              <w:bidi w:val="0"/>
              <w:rPr>
                <w:rFonts w:hint="default"/>
                <w:highlight w:val="none"/>
              </w:rPr>
            </w:pPr>
          </w:p>
        </w:tc>
        <w:tc>
          <w:tcPr>
            <w:tcW w:w="543" w:type="dxa"/>
            <w:shd w:val="clear" w:color="auto" w:fill="FFFFFF"/>
            <w:tcMar>
              <w:top w:w="0" w:type="dxa"/>
              <w:left w:w="0" w:type="dxa"/>
              <w:bottom w:w="0" w:type="dxa"/>
              <w:right w:w="0" w:type="dxa"/>
            </w:tcMar>
            <w:vAlign w:val="center"/>
          </w:tcPr>
          <w:p w14:paraId="6D099EC0">
            <w:pPr>
              <w:pStyle w:val="58"/>
              <w:bidi w:val="0"/>
              <w:rPr>
                <w:rFonts w:hint="default"/>
                <w:highlight w:val="none"/>
              </w:rPr>
            </w:pPr>
            <w:r>
              <w:rPr>
                <w:rFonts w:hint="default"/>
                <w:highlight w:val="none"/>
              </w:rPr>
              <w:t>103.8</w:t>
            </w:r>
          </w:p>
        </w:tc>
        <w:tc>
          <w:tcPr>
            <w:tcW w:w="425" w:type="dxa"/>
            <w:shd w:val="clear" w:color="auto" w:fill="FFFFFF"/>
            <w:tcMar>
              <w:top w:w="0" w:type="dxa"/>
              <w:left w:w="0" w:type="dxa"/>
              <w:bottom w:w="0" w:type="dxa"/>
              <w:right w:w="0" w:type="dxa"/>
            </w:tcMar>
            <w:vAlign w:val="center"/>
          </w:tcPr>
          <w:p w14:paraId="16F4E2BA">
            <w:pPr>
              <w:pStyle w:val="58"/>
              <w:bidi w:val="0"/>
              <w:rPr>
                <w:rFonts w:hint="default"/>
                <w:highlight w:val="none"/>
              </w:rPr>
            </w:pPr>
            <w:r>
              <w:rPr>
                <w:rFonts w:hint="default"/>
                <w:highlight w:val="none"/>
              </w:rPr>
              <w:t>60.6</w:t>
            </w:r>
          </w:p>
        </w:tc>
        <w:tc>
          <w:tcPr>
            <w:tcW w:w="307" w:type="dxa"/>
            <w:shd w:val="clear" w:color="auto" w:fill="FFFFFF"/>
            <w:tcMar>
              <w:top w:w="0" w:type="dxa"/>
              <w:left w:w="0" w:type="dxa"/>
              <w:bottom w:w="0" w:type="dxa"/>
              <w:right w:w="0" w:type="dxa"/>
            </w:tcMar>
            <w:vAlign w:val="center"/>
          </w:tcPr>
          <w:p w14:paraId="2AFC4F10">
            <w:pPr>
              <w:pStyle w:val="58"/>
              <w:bidi w:val="0"/>
              <w:rPr>
                <w:rFonts w:hint="default"/>
                <w:highlight w:val="none"/>
              </w:rPr>
            </w:pPr>
            <w:r>
              <w:rPr>
                <w:rFonts w:hint="default"/>
                <w:highlight w:val="none"/>
              </w:rPr>
              <w:t>-3</w:t>
            </w:r>
          </w:p>
        </w:tc>
        <w:tc>
          <w:tcPr>
            <w:tcW w:w="318" w:type="dxa"/>
            <w:shd w:val="clear" w:color="auto" w:fill="FFFFFF"/>
            <w:tcMar>
              <w:top w:w="0" w:type="dxa"/>
              <w:left w:w="0" w:type="dxa"/>
              <w:bottom w:w="0" w:type="dxa"/>
              <w:right w:w="0" w:type="dxa"/>
            </w:tcMar>
            <w:vAlign w:val="center"/>
          </w:tcPr>
          <w:p w14:paraId="23DCEA31">
            <w:pPr>
              <w:pStyle w:val="58"/>
              <w:bidi w:val="0"/>
              <w:rPr>
                <w:rFonts w:hint="default"/>
                <w:highlight w:val="none"/>
              </w:rPr>
            </w:pPr>
            <w:r>
              <w:rPr>
                <w:rFonts w:hint="default"/>
                <w:highlight w:val="none"/>
              </w:rPr>
              <w:t>0.3</w:t>
            </w:r>
          </w:p>
        </w:tc>
        <w:tc>
          <w:tcPr>
            <w:tcW w:w="317" w:type="dxa"/>
            <w:shd w:val="clear" w:color="auto" w:fill="FFFFFF"/>
            <w:tcMar>
              <w:top w:w="0" w:type="dxa"/>
              <w:left w:w="0" w:type="dxa"/>
              <w:bottom w:w="0" w:type="dxa"/>
              <w:right w:w="0" w:type="dxa"/>
            </w:tcMar>
            <w:vAlign w:val="center"/>
          </w:tcPr>
          <w:p w14:paraId="5A0F9AA8">
            <w:pPr>
              <w:pStyle w:val="58"/>
              <w:bidi w:val="0"/>
              <w:rPr>
                <w:rFonts w:hint="default"/>
                <w:highlight w:val="none"/>
              </w:rPr>
            </w:pPr>
            <w:r>
              <w:rPr>
                <w:rFonts w:hint="default"/>
                <w:highlight w:val="none"/>
              </w:rPr>
              <w:t>0.9</w:t>
            </w:r>
          </w:p>
        </w:tc>
        <w:tc>
          <w:tcPr>
            <w:tcW w:w="318" w:type="dxa"/>
            <w:shd w:val="clear" w:color="auto" w:fill="FFFFFF"/>
            <w:tcMar>
              <w:top w:w="0" w:type="dxa"/>
              <w:left w:w="0" w:type="dxa"/>
              <w:bottom w:w="0" w:type="dxa"/>
              <w:right w:w="0" w:type="dxa"/>
            </w:tcMar>
            <w:vAlign w:val="center"/>
          </w:tcPr>
          <w:p w14:paraId="751340E4">
            <w:pPr>
              <w:pStyle w:val="58"/>
              <w:bidi w:val="0"/>
              <w:rPr>
                <w:rFonts w:hint="default"/>
                <w:highlight w:val="none"/>
              </w:rPr>
            </w:pPr>
            <w:r>
              <w:rPr>
                <w:rFonts w:hint="default"/>
                <w:highlight w:val="none"/>
              </w:rPr>
              <w:t>1.1</w:t>
            </w:r>
          </w:p>
        </w:tc>
        <w:tc>
          <w:tcPr>
            <w:tcW w:w="317" w:type="dxa"/>
            <w:shd w:val="clear" w:color="auto" w:fill="FFFFFF"/>
            <w:tcMar>
              <w:top w:w="0" w:type="dxa"/>
              <w:left w:w="0" w:type="dxa"/>
              <w:bottom w:w="0" w:type="dxa"/>
              <w:right w:w="0" w:type="dxa"/>
            </w:tcMar>
            <w:vAlign w:val="center"/>
          </w:tcPr>
          <w:p w14:paraId="744B2687">
            <w:pPr>
              <w:pStyle w:val="58"/>
              <w:bidi w:val="0"/>
              <w:rPr>
                <w:rFonts w:hint="default"/>
                <w:highlight w:val="none"/>
              </w:rPr>
            </w:pPr>
            <w:r>
              <w:rPr>
                <w:rFonts w:hint="default"/>
                <w:highlight w:val="none"/>
              </w:rPr>
              <w:t>0.3</w:t>
            </w:r>
          </w:p>
        </w:tc>
        <w:tc>
          <w:tcPr>
            <w:tcW w:w="513" w:type="dxa"/>
            <w:shd w:val="clear" w:color="auto" w:fill="FFFFFF"/>
            <w:tcMar>
              <w:top w:w="0" w:type="dxa"/>
              <w:left w:w="0" w:type="dxa"/>
              <w:bottom w:w="0" w:type="dxa"/>
              <w:right w:w="0" w:type="dxa"/>
            </w:tcMar>
            <w:vAlign w:val="center"/>
          </w:tcPr>
          <w:p w14:paraId="7ECB588E">
            <w:pPr>
              <w:pStyle w:val="58"/>
              <w:bidi w:val="0"/>
              <w:rPr>
                <w:rFonts w:hint="default"/>
                <w:highlight w:val="none"/>
              </w:rPr>
            </w:pPr>
            <w:r>
              <w:rPr>
                <w:rFonts w:hint="default"/>
                <w:highlight w:val="none"/>
              </w:rPr>
              <w:t>102.9</w:t>
            </w:r>
          </w:p>
        </w:tc>
        <w:tc>
          <w:tcPr>
            <w:tcW w:w="513" w:type="dxa"/>
            <w:shd w:val="clear" w:color="auto" w:fill="FFFFFF"/>
            <w:tcMar>
              <w:top w:w="0" w:type="dxa"/>
              <w:left w:w="0" w:type="dxa"/>
              <w:bottom w:w="0" w:type="dxa"/>
              <w:right w:w="0" w:type="dxa"/>
            </w:tcMar>
            <w:vAlign w:val="center"/>
          </w:tcPr>
          <w:p w14:paraId="2A6308BC">
            <w:pPr>
              <w:pStyle w:val="58"/>
              <w:bidi w:val="0"/>
              <w:rPr>
                <w:rFonts w:hint="default"/>
                <w:highlight w:val="none"/>
              </w:rPr>
            </w:pPr>
            <w:r>
              <w:rPr>
                <w:rFonts w:hint="default"/>
                <w:highlight w:val="none"/>
              </w:rPr>
              <w:t>102.9</w:t>
            </w:r>
          </w:p>
        </w:tc>
        <w:tc>
          <w:tcPr>
            <w:tcW w:w="513" w:type="dxa"/>
            <w:shd w:val="clear" w:color="auto" w:fill="FFFFFF"/>
            <w:tcMar>
              <w:top w:w="0" w:type="dxa"/>
              <w:left w:w="0" w:type="dxa"/>
              <w:bottom w:w="0" w:type="dxa"/>
              <w:right w:w="0" w:type="dxa"/>
            </w:tcMar>
            <w:vAlign w:val="center"/>
          </w:tcPr>
          <w:p w14:paraId="68FEB20D">
            <w:pPr>
              <w:pStyle w:val="58"/>
              <w:bidi w:val="0"/>
              <w:rPr>
                <w:rFonts w:hint="default"/>
                <w:highlight w:val="none"/>
              </w:rPr>
            </w:pPr>
            <w:r>
              <w:rPr>
                <w:rFonts w:hint="default"/>
                <w:highlight w:val="none"/>
              </w:rPr>
              <w:t>102.9</w:t>
            </w:r>
          </w:p>
        </w:tc>
        <w:tc>
          <w:tcPr>
            <w:tcW w:w="513" w:type="dxa"/>
            <w:shd w:val="clear" w:color="auto" w:fill="FFFFFF"/>
            <w:tcMar>
              <w:top w:w="0" w:type="dxa"/>
              <w:left w:w="0" w:type="dxa"/>
              <w:bottom w:w="0" w:type="dxa"/>
              <w:right w:w="0" w:type="dxa"/>
            </w:tcMar>
            <w:vAlign w:val="center"/>
          </w:tcPr>
          <w:p w14:paraId="55EB9DE6">
            <w:pPr>
              <w:pStyle w:val="58"/>
              <w:bidi w:val="0"/>
              <w:rPr>
                <w:rFonts w:hint="default"/>
                <w:highlight w:val="none"/>
              </w:rPr>
            </w:pPr>
            <w:r>
              <w:rPr>
                <w:rFonts w:hint="default"/>
                <w:highlight w:val="none"/>
              </w:rPr>
              <w:t>102.9</w:t>
            </w:r>
          </w:p>
        </w:tc>
        <w:tc>
          <w:tcPr>
            <w:tcW w:w="521" w:type="dxa"/>
            <w:shd w:val="clear" w:color="auto" w:fill="FFFFFF"/>
            <w:tcMar>
              <w:top w:w="0" w:type="dxa"/>
              <w:left w:w="0" w:type="dxa"/>
              <w:bottom w:w="0" w:type="dxa"/>
              <w:right w:w="0" w:type="dxa"/>
            </w:tcMar>
            <w:vAlign w:val="center"/>
          </w:tcPr>
          <w:p w14:paraId="49AF4670">
            <w:pPr>
              <w:pStyle w:val="58"/>
              <w:bidi w:val="0"/>
              <w:rPr>
                <w:rFonts w:hint="default"/>
                <w:highlight w:val="none"/>
                <w:lang w:eastAsia="zh-CN"/>
              </w:rPr>
            </w:pPr>
            <w:r>
              <w:rPr>
                <w:rFonts w:hint="default"/>
                <w:highlight w:val="none"/>
                <w:lang w:eastAsia="zh-CN"/>
              </w:rPr>
              <w:t>昼夜</w:t>
            </w:r>
          </w:p>
        </w:tc>
        <w:tc>
          <w:tcPr>
            <w:tcW w:w="858" w:type="dxa"/>
            <w:shd w:val="clear" w:color="auto" w:fill="FFFFFF"/>
            <w:tcMar>
              <w:top w:w="0" w:type="dxa"/>
              <w:left w:w="0" w:type="dxa"/>
              <w:bottom w:w="0" w:type="dxa"/>
              <w:right w:w="0" w:type="dxa"/>
            </w:tcMar>
            <w:vAlign w:val="center"/>
          </w:tcPr>
          <w:p w14:paraId="75DD0FA2">
            <w:pPr>
              <w:pStyle w:val="58"/>
              <w:bidi w:val="0"/>
              <w:rPr>
                <w:rFonts w:hint="default"/>
                <w:highlight w:val="none"/>
                <w:lang w:val="en-US" w:eastAsia="zh-CN"/>
              </w:rPr>
            </w:pPr>
            <w:r>
              <w:rPr>
                <w:rFonts w:hint="default"/>
                <w:highlight w:val="none"/>
                <w:lang w:val="en-US" w:eastAsia="zh-CN"/>
              </w:rPr>
              <w:t>26</w:t>
            </w:r>
          </w:p>
        </w:tc>
        <w:tc>
          <w:tcPr>
            <w:tcW w:w="424" w:type="dxa"/>
            <w:shd w:val="clear" w:color="auto" w:fill="FFFFFF"/>
            <w:tcMar>
              <w:top w:w="0" w:type="dxa"/>
              <w:left w:w="0" w:type="dxa"/>
              <w:bottom w:w="0" w:type="dxa"/>
              <w:right w:w="0" w:type="dxa"/>
            </w:tcMar>
            <w:vAlign w:val="center"/>
          </w:tcPr>
          <w:p w14:paraId="1761C20D">
            <w:pPr>
              <w:pStyle w:val="58"/>
              <w:bidi w:val="0"/>
              <w:rPr>
                <w:rFonts w:hint="default"/>
                <w:highlight w:val="none"/>
              </w:rPr>
            </w:pPr>
            <w:r>
              <w:rPr>
                <w:rFonts w:hint="default"/>
                <w:highlight w:val="none"/>
              </w:rPr>
              <w:t>76.9</w:t>
            </w:r>
          </w:p>
        </w:tc>
        <w:tc>
          <w:tcPr>
            <w:tcW w:w="424" w:type="dxa"/>
            <w:shd w:val="clear" w:color="auto" w:fill="FFFFFF"/>
            <w:tcMar>
              <w:top w:w="0" w:type="dxa"/>
              <w:left w:w="0" w:type="dxa"/>
              <w:bottom w:w="0" w:type="dxa"/>
              <w:right w:w="0" w:type="dxa"/>
            </w:tcMar>
            <w:vAlign w:val="center"/>
          </w:tcPr>
          <w:p w14:paraId="66614022">
            <w:pPr>
              <w:pStyle w:val="58"/>
              <w:bidi w:val="0"/>
              <w:rPr>
                <w:rFonts w:hint="default"/>
                <w:highlight w:val="none"/>
              </w:rPr>
            </w:pPr>
            <w:r>
              <w:rPr>
                <w:rFonts w:hint="default"/>
                <w:highlight w:val="none"/>
              </w:rPr>
              <w:t>76.9</w:t>
            </w:r>
          </w:p>
        </w:tc>
        <w:tc>
          <w:tcPr>
            <w:tcW w:w="424" w:type="dxa"/>
            <w:shd w:val="clear" w:color="auto" w:fill="FFFFFF"/>
            <w:tcMar>
              <w:top w:w="0" w:type="dxa"/>
              <w:left w:w="0" w:type="dxa"/>
              <w:bottom w:w="0" w:type="dxa"/>
              <w:right w:w="0" w:type="dxa"/>
            </w:tcMar>
            <w:vAlign w:val="center"/>
          </w:tcPr>
          <w:p w14:paraId="5737B40B">
            <w:pPr>
              <w:pStyle w:val="58"/>
              <w:bidi w:val="0"/>
              <w:rPr>
                <w:rFonts w:hint="default"/>
                <w:highlight w:val="none"/>
              </w:rPr>
            </w:pPr>
            <w:r>
              <w:rPr>
                <w:rFonts w:hint="default"/>
                <w:highlight w:val="none"/>
              </w:rPr>
              <w:t>76.9</w:t>
            </w:r>
          </w:p>
        </w:tc>
        <w:tc>
          <w:tcPr>
            <w:tcW w:w="427" w:type="dxa"/>
            <w:shd w:val="clear" w:color="auto" w:fill="FFFFFF"/>
            <w:tcMar>
              <w:top w:w="0" w:type="dxa"/>
              <w:left w:w="0" w:type="dxa"/>
              <w:bottom w:w="0" w:type="dxa"/>
              <w:right w:w="0" w:type="dxa"/>
            </w:tcMar>
            <w:vAlign w:val="center"/>
          </w:tcPr>
          <w:p w14:paraId="3A72D289">
            <w:pPr>
              <w:pStyle w:val="58"/>
              <w:bidi w:val="0"/>
              <w:rPr>
                <w:rFonts w:hint="default"/>
                <w:highlight w:val="none"/>
              </w:rPr>
            </w:pPr>
            <w:r>
              <w:rPr>
                <w:rFonts w:hint="default"/>
                <w:highlight w:val="none"/>
              </w:rPr>
              <w:t>76.9</w:t>
            </w:r>
          </w:p>
        </w:tc>
        <w:tc>
          <w:tcPr>
            <w:tcW w:w="486" w:type="dxa"/>
            <w:shd w:val="clear" w:color="auto" w:fill="FFFFFF"/>
            <w:tcMar>
              <w:top w:w="0" w:type="dxa"/>
              <w:left w:w="0" w:type="dxa"/>
              <w:bottom w:w="0" w:type="dxa"/>
              <w:right w:w="0" w:type="dxa"/>
            </w:tcMar>
            <w:vAlign w:val="center"/>
          </w:tcPr>
          <w:p w14:paraId="50FC2323">
            <w:pPr>
              <w:pStyle w:val="58"/>
              <w:bidi w:val="0"/>
              <w:rPr>
                <w:rFonts w:hint="default"/>
                <w:highlight w:val="none"/>
              </w:rPr>
            </w:pPr>
            <w:r>
              <w:rPr>
                <w:rFonts w:hint="default"/>
                <w:highlight w:val="none"/>
              </w:rPr>
              <w:t>1</w:t>
            </w:r>
          </w:p>
        </w:tc>
      </w:tr>
      <w:tr w14:paraId="70A4EC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458" w:type="dxa"/>
            <w:shd w:val="clear" w:color="auto" w:fill="FFFFFF"/>
            <w:tcMar>
              <w:top w:w="0" w:type="dxa"/>
              <w:left w:w="0" w:type="dxa"/>
              <w:bottom w:w="0" w:type="dxa"/>
              <w:right w:w="0" w:type="dxa"/>
            </w:tcMar>
            <w:vAlign w:val="center"/>
          </w:tcPr>
          <w:p w14:paraId="6BAC150E">
            <w:pPr>
              <w:pStyle w:val="58"/>
              <w:numPr>
                <w:ilvl w:val="0"/>
                <w:numId w:val="37"/>
              </w:numPr>
              <w:bidi w:val="0"/>
              <w:ind w:left="425" w:leftChars="0" w:hanging="425" w:firstLineChars="0"/>
              <w:rPr>
                <w:rFonts w:hint="default"/>
                <w:highlight w:val="none"/>
              </w:rPr>
            </w:pPr>
            <w:bookmarkStart w:id="325" w:name="OLE_LINK106" w:colFirst="6" w:colLast="23"/>
          </w:p>
        </w:tc>
        <w:tc>
          <w:tcPr>
            <w:tcW w:w="632" w:type="dxa"/>
            <w:shd w:val="clear" w:color="auto" w:fill="FFFFFF"/>
            <w:tcMar>
              <w:top w:w="0" w:type="dxa"/>
              <w:left w:w="0" w:type="dxa"/>
              <w:bottom w:w="0" w:type="dxa"/>
              <w:right w:w="0" w:type="dxa"/>
            </w:tcMar>
            <w:vAlign w:val="center"/>
          </w:tcPr>
          <w:p w14:paraId="161120EA">
            <w:pPr>
              <w:pStyle w:val="58"/>
              <w:bidi w:val="0"/>
              <w:rPr>
                <w:rFonts w:hint="default"/>
                <w:highlight w:val="none"/>
              </w:rPr>
            </w:pPr>
            <w:r>
              <w:rPr>
                <w:rFonts w:hint="default"/>
                <w:highlight w:val="none"/>
              </w:rPr>
              <w:t>污泥脱水间</w:t>
            </w:r>
          </w:p>
        </w:tc>
        <w:tc>
          <w:tcPr>
            <w:tcW w:w="715" w:type="dxa"/>
            <w:shd w:val="clear" w:color="auto" w:fill="FFFFFF"/>
            <w:tcMar>
              <w:top w:w="0" w:type="dxa"/>
              <w:left w:w="0" w:type="dxa"/>
              <w:bottom w:w="0" w:type="dxa"/>
              <w:right w:w="0" w:type="dxa"/>
            </w:tcMar>
            <w:vAlign w:val="center"/>
          </w:tcPr>
          <w:p w14:paraId="033D7EF7">
            <w:pPr>
              <w:pStyle w:val="58"/>
              <w:bidi w:val="0"/>
              <w:rPr>
                <w:rFonts w:hint="default"/>
                <w:highlight w:val="none"/>
              </w:rPr>
            </w:pPr>
            <w:r>
              <w:rPr>
                <w:rFonts w:hint="default"/>
                <w:highlight w:val="none"/>
              </w:rPr>
              <w:t>叠螺污泥脱水机</w:t>
            </w:r>
          </w:p>
        </w:tc>
        <w:tc>
          <w:tcPr>
            <w:tcW w:w="2018" w:type="dxa"/>
            <w:shd w:val="clear" w:color="auto" w:fill="FFFFFF"/>
            <w:tcMar>
              <w:top w:w="0" w:type="dxa"/>
              <w:left w:w="0" w:type="dxa"/>
              <w:bottom w:w="0" w:type="dxa"/>
              <w:right w:w="0" w:type="dxa"/>
            </w:tcMar>
            <w:vAlign w:val="center"/>
          </w:tcPr>
          <w:p w14:paraId="71CE959F">
            <w:pPr>
              <w:pStyle w:val="58"/>
              <w:bidi w:val="0"/>
              <w:rPr>
                <w:rFonts w:hint="default"/>
                <w:highlight w:val="none"/>
              </w:rPr>
            </w:pPr>
            <w:r>
              <w:rPr>
                <w:rFonts w:hint="default"/>
                <w:highlight w:val="none"/>
                <w:lang w:val="en-US" w:eastAsia="zh-CN"/>
              </w:rPr>
              <w:t>HDL201</w:t>
            </w:r>
          </w:p>
        </w:tc>
        <w:tc>
          <w:tcPr>
            <w:tcW w:w="897" w:type="dxa"/>
            <w:shd w:val="clear" w:color="auto" w:fill="FFFFFF"/>
            <w:tcMar>
              <w:top w:w="0" w:type="dxa"/>
              <w:left w:w="0" w:type="dxa"/>
              <w:bottom w:w="0" w:type="dxa"/>
              <w:right w:w="0" w:type="dxa"/>
            </w:tcMar>
            <w:vAlign w:val="center"/>
          </w:tcPr>
          <w:p w14:paraId="472D47C5">
            <w:pPr>
              <w:pStyle w:val="58"/>
              <w:bidi w:val="0"/>
              <w:rPr>
                <w:rFonts w:hint="default"/>
                <w:highlight w:val="none"/>
              </w:rPr>
            </w:pPr>
            <w:r>
              <w:rPr>
                <w:rFonts w:hint="default"/>
                <w:highlight w:val="none"/>
              </w:rPr>
              <w:t>80</w:t>
            </w:r>
          </w:p>
        </w:tc>
        <w:tc>
          <w:tcPr>
            <w:tcW w:w="1169" w:type="dxa"/>
            <w:vMerge w:val="restart"/>
            <w:shd w:val="clear" w:color="auto" w:fill="FFFFFF"/>
            <w:tcMar>
              <w:top w:w="0" w:type="dxa"/>
              <w:left w:w="0" w:type="dxa"/>
              <w:bottom w:w="0" w:type="dxa"/>
              <w:right w:w="0" w:type="dxa"/>
            </w:tcMar>
            <w:vAlign w:val="center"/>
          </w:tcPr>
          <w:p w14:paraId="4C5244AF">
            <w:pPr>
              <w:pStyle w:val="58"/>
              <w:bidi w:val="0"/>
              <w:rPr>
                <w:rFonts w:hint="default"/>
                <w:highlight w:val="none"/>
              </w:rPr>
            </w:pPr>
            <w:r>
              <w:rPr>
                <w:rFonts w:hint="default"/>
                <w:highlight w:val="none"/>
              </w:rPr>
              <w:t>厂房隔声（钢砼结构）、基础减振、加消声器</w:t>
            </w:r>
          </w:p>
        </w:tc>
        <w:tc>
          <w:tcPr>
            <w:tcW w:w="543" w:type="dxa"/>
            <w:shd w:val="clear" w:color="auto" w:fill="FFFFFF"/>
            <w:tcMar>
              <w:top w:w="0" w:type="dxa"/>
              <w:left w:w="0" w:type="dxa"/>
              <w:bottom w:w="0" w:type="dxa"/>
              <w:right w:w="0" w:type="dxa"/>
            </w:tcMar>
            <w:vAlign w:val="center"/>
          </w:tcPr>
          <w:p w14:paraId="0CA0301C">
            <w:pPr>
              <w:pStyle w:val="58"/>
              <w:bidi w:val="0"/>
              <w:rPr>
                <w:rFonts w:hint="default"/>
                <w:highlight w:val="none"/>
              </w:rPr>
            </w:pPr>
            <w:r>
              <w:rPr>
                <w:rFonts w:hint="default"/>
                <w:highlight w:val="none"/>
              </w:rPr>
              <w:t>111.4</w:t>
            </w:r>
          </w:p>
        </w:tc>
        <w:tc>
          <w:tcPr>
            <w:tcW w:w="425" w:type="dxa"/>
            <w:shd w:val="clear" w:color="auto" w:fill="FFFFFF"/>
            <w:tcMar>
              <w:top w:w="0" w:type="dxa"/>
              <w:left w:w="0" w:type="dxa"/>
              <w:bottom w:w="0" w:type="dxa"/>
              <w:right w:w="0" w:type="dxa"/>
            </w:tcMar>
            <w:vAlign w:val="center"/>
          </w:tcPr>
          <w:p w14:paraId="1EC70EC9">
            <w:pPr>
              <w:pStyle w:val="58"/>
              <w:bidi w:val="0"/>
              <w:rPr>
                <w:rFonts w:hint="default"/>
                <w:highlight w:val="none"/>
              </w:rPr>
            </w:pPr>
            <w:r>
              <w:rPr>
                <w:rFonts w:hint="default"/>
                <w:highlight w:val="none"/>
              </w:rPr>
              <w:t>86</w:t>
            </w:r>
          </w:p>
        </w:tc>
        <w:tc>
          <w:tcPr>
            <w:tcW w:w="307" w:type="dxa"/>
            <w:shd w:val="clear" w:color="auto" w:fill="FFFFFF"/>
            <w:tcMar>
              <w:top w:w="0" w:type="dxa"/>
              <w:left w:w="0" w:type="dxa"/>
              <w:bottom w:w="0" w:type="dxa"/>
              <w:right w:w="0" w:type="dxa"/>
            </w:tcMar>
            <w:vAlign w:val="center"/>
          </w:tcPr>
          <w:p w14:paraId="7EF2221B">
            <w:pPr>
              <w:pStyle w:val="58"/>
              <w:bidi w:val="0"/>
              <w:rPr>
                <w:rFonts w:hint="default"/>
                <w:highlight w:val="none"/>
              </w:rPr>
            </w:pPr>
            <w:r>
              <w:rPr>
                <w:rFonts w:hint="default"/>
                <w:highlight w:val="none"/>
              </w:rPr>
              <w:t>-3</w:t>
            </w:r>
          </w:p>
        </w:tc>
        <w:tc>
          <w:tcPr>
            <w:tcW w:w="318" w:type="dxa"/>
            <w:shd w:val="clear" w:color="auto" w:fill="FFFFFF"/>
            <w:tcMar>
              <w:top w:w="0" w:type="dxa"/>
              <w:left w:w="0" w:type="dxa"/>
              <w:bottom w:w="0" w:type="dxa"/>
              <w:right w:w="0" w:type="dxa"/>
            </w:tcMar>
            <w:vAlign w:val="center"/>
          </w:tcPr>
          <w:p w14:paraId="0A66F3D8">
            <w:pPr>
              <w:pStyle w:val="58"/>
              <w:bidi w:val="0"/>
              <w:rPr>
                <w:rFonts w:hint="default"/>
                <w:highlight w:val="none"/>
              </w:rPr>
            </w:pPr>
            <w:r>
              <w:rPr>
                <w:rFonts w:hint="default"/>
                <w:highlight w:val="none"/>
              </w:rPr>
              <w:t>4.8</w:t>
            </w:r>
          </w:p>
        </w:tc>
        <w:tc>
          <w:tcPr>
            <w:tcW w:w="317" w:type="dxa"/>
            <w:shd w:val="clear" w:color="auto" w:fill="FFFFFF"/>
            <w:tcMar>
              <w:top w:w="0" w:type="dxa"/>
              <w:left w:w="0" w:type="dxa"/>
              <w:bottom w:w="0" w:type="dxa"/>
              <w:right w:w="0" w:type="dxa"/>
            </w:tcMar>
            <w:vAlign w:val="center"/>
          </w:tcPr>
          <w:p w14:paraId="0FE2EDE0">
            <w:pPr>
              <w:pStyle w:val="58"/>
              <w:bidi w:val="0"/>
              <w:rPr>
                <w:rFonts w:hint="default"/>
                <w:highlight w:val="none"/>
              </w:rPr>
            </w:pPr>
            <w:r>
              <w:rPr>
                <w:rFonts w:hint="default"/>
                <w:highlight w:val="none"/>
              </w:rPr>
              <w:t>2.3</w:t>
            </w:r>
          </w:p>
        </w:tc>
        <w:tc>
          <w:tcPr>
            <w:tcW w:w="318" w:type="dxa"/>
            <w:shd w:val="clear" w:color="auto" w:fill="FFFFFF"/>
            <w:tcMar>
              <w:top w:w="0" w:type="dxa"/>
              <w:left w:w="0" w:type="dxa"/>
              <w:bottom w:w="0" w:type="dxa"/>
              <w:right w:w="0" w:type="dxa"/>
            </w:tcMar>
            <w:vAlign w:val="center"/>
          </w:tcPr>
          <w:p w14:paraId="7D7FDA13">
            <w:pPr>
              <w:pStyle w:val="58"/>
              <w:bidi w:val="0"/>
              <w:rPr>
                <w:rFonts w:hint="default"/>
                <w:highlight w:val="none"/>
              </w:rPr>
            </w:pPr>
            <w:r>
              <w:rPr>
                <w:rFonts w:hint="default"/>
                <w:highlight w:val="none"/>
              </w:rPr>
              <w:t>3.3</w:t>
            </w:r>
          </w:p>
        </w:tc>
        <w:tc>
          <w:tcPr>
            <w:tcW w:w="317" w:type="dxa"/>
            <w:shd w:val="clear" w:color="auto" w:fill="FFFFFF"/>
            <w:tcMar>
              <w:top w:w="0" w:type="dxa"/>
              <w:left w:w="0" w:type="dxa"/>
              <w:bottom w:w="0" w:type="dxa"/>
              <w:right w:w="0" w:type="dxa"/>
            </w:tcMar>
            <w:vAlign w:val="center"/>
          </w:tcPr>
          <w:p w14:paraId="654FDFA5">
            <w:pPr>
              <w:pStyle w:val="58"/>
              <w:bidi w:val="0"/>
              <w:rPr>
                <w:rFonts w:hint="default"/>
                <w:highlight w:val="none"/>
              </w:rPr>
            </w:pPr>
            <w:r>
              <w:rPr>
                <w:rFonts w:hint="default"/>
                <w:highlight w:val="none"/>
              </w:rPr>
              <w:t>1.0</w:t>
            </w:r>
          </w:p>
        </w:tc>
        <w:tc>
          <w:tcPr>
            <w:tcW w:w="513" w:type="dxa"/>
            <w:shd w:val="clear" w:color="auto" w:fill="FFFFFF"/>
            <w:tcMar>
              <w:top w:w="0" w:type="dxa"/>
              <w:left w:w="0" w:type="dxa"/>
              <w:bottom w:w="0" w:type="dxa"/>
              <w:right w:w="0" w:type="dxa"/>
            </w:tcMar>
            <w:vAlign w:val="center"/>
          </w:tcPr>
          <w:p w14:paraId="00AB3904">
            <w:pPr>
              <w:pStyle w:val="58"/>
              <w:bidi w:val="0"/>
              <w:rPr>
                <w:rFonts w:hint="default"/>
                <w:highlight w:val="none"/>
              </w:rPr>
            </w:pPr>
            <w:r>
              <w:rPr>
                <w:rFonts w:hint="default"/>
                <w:highlight w:val="none"/>
              </w:rPr>
              <w:t>77.8</w:t>
            </w:r>
          </w:p>
        </w:tc>
        <w:tc>
          <w:tcPr>
            <w:tcW w:w="513" w:type="dxa"/>
            <w:shd w:val="clear" w:color="auto" w:fill="FFFFFF"/>
            <w:tcMar>
              <w:top w:w="0" w:type="dxa"/>
              <w:left w:w="0" w:type="dxa"/>
              <w:bottom w:w="0" w:type="dxa"/>
              <w:right w:w="0" w:type="dxa"/>
            </w:tcMar>
            <w:vAlign w:val="center"/>
          </w:tcPr>
          <w:p w14:paraId="3602B84C">
            <w:pPr>
              <w:pStyle w:val="58"/>
              <w:bidi w:val="0"/>
              <w:rPr>
                <w:rFonts w:hint="default"/>
                <w:highlight w:val="none"/>
              </w:rPr>
            </w:pPr>
            <w:r>
              <w:rPr>
                <w:rFonts w:hint="default"/>
                <w:highlight w:val="none"/>
              </w:rPr>
              <w:t>77.9</w:t>
            </w:r>
          </w:p>
        </w:tc>
        <w:tc>
          <w:tcPr>
            <w:tcW w:w="513" w:type="dxa"/>
            <w:shd w:val="clear" w:color="auto" w:fill="FFFFFF"/>
            <w:tcMar>
              <w:top w:w="0" w:type="dxa"/>
              <w:left w:w="0" w:type="dxa"/>
              <w:bottom w:w="0" w:type="dxa"/>
              <w:right w:w="0" w:type="dxa"/>
            </w:tcMar>
            <w:vAlign w:val="center"/>
          </w:tcPr>
          <w:p w14:paraId="76A347F3">
            <w:pPr>
              <w:pStyle w:val="58"/>
              <w:bidi w:val="0"/>
              <w:rPr>
                <w:rFonts w:hint="default"/>
                <w:highlight w:val="none"/>
              </w:rPr>
            </w:pPr>
            <w:r>
              <w:rPr>
                <w:rFonts w:hint="default"/>
                <w:highlight w:val="none"/>
              </w:rPr>
              <w:t>77.8</w:t>
            </w:r>
          </w:p>
        </w:tc>
        <w:tc>
          <w:tcPr>
            <w:tcW w:w="513" w:type="dxa"/>
            <w:shd w:val="clear" w:color="auto" w:fill="FFFFFF"/>
            <w:tcMar>
              <w:top w:w="0" w:type="dxa"/>
              <w:left w:w="0" w:type="dxa"/>
              <w:bottom w:w="0" w:type="dxa"/>
              <w:right w:w="0" w:type="dxa"/>
            </w:tcMar>
            <w:vAlign w:val="center"/>
          </w:tcPr>
          <w:p w14:paraId="34DD74DC">
            <w:pPr>
              <w:pStyle w:val="58"/>
              <w:bidi w:val="0"/>
              <w:rPr>
                <w:rFonts w:hint="default"/>
                <w:highlight w:val="none"/>
              </w:rPr>
            </w:pPr>
            <w:r>
              <w:rPr>
                <w:rFonts w:hint="default"/>
                <w:highlight w:val="none"/>
              </w:rPr>
              <w:t>78.3</w:t>
            </w:r>
          </w:p>
        </w:tc>
        <w:tc>
          <w:tcPr>
            <w:tcW w:w="521" w:type="dxa"/>
            <w:shd w:val="clear" w:color="auto" w:fill="FFFFFF"/>
            <w:tcMar>
              <w:top w:w="0" w:type="dxa"/>
              <w:left w:w="0" w:type="dxa"/>
              <w:bottom w:w="0" w:type="dxa"/>
              <w:right w:w="0" w:type="dxa"/>
            </w:tcMar>
            <w:vAlign w:val="center"/>
          </w:tcPr>
          <w:p w14:paraId="729DEF08">
            <w:pPr>
              <w:pStyle w:val="58"/>
              <w:bidi w:val="0"/>
              <w:rPr>
                <w:rFonts w:hint="default"/>
                <w:highlight w:val="none"/>
                <w:lang w:eastAsia="zh-CN"/>
              </w:rPr>
            </w:pPr>
            <w:r>
              <w:rPr>
                <w:rFonts w:hint="default"/>
                <w:highlight w:val="none"/>
                <w:lang w:eastAsia="zh-CN"/>
              </w:rPr>
              <w:t>昼夜</w:t>
            </w:r>
          </w:p>
        </w:tc>
        <w:tc>
          <w:tcPr>
            <w:tcW w:w="858" w:type="dxa"/>
            <w:shd w:val="clear" w:color="auto" w:fill="FFFFFF"/>
            <w:tcMar>
              <w:top w:w="0" w:type="dxa"/>
              <w:left w:w="0" w:type="dxa"/>
              <w:bottom w:w="0" w:type="dxa"/>
              <w:right w:w="0" w:type="dxa"/>
            </w:tcMar>
            <w:vAlign w:val="center"/>
          </w:tcPr>
          <w:p w14:paraId="211ABD00">
            <w:pPr>
              <w:pStyle w:val="58"/>
              <w:bidi w:val="0"/>
              <w:rPr>
                <w:rFonts w:hint="default"/>
                <w:highlight w:val="none"/>
                <w:lang w:val="en-US" w:eastAsia="zh-CN"/>
              </w:rPr>
            </w:pPr>
            <w:r>
              <w:rPr>
                <w:rFonts w:hint="default"/>
                <w:highlight w:val="none"/>
                <w:lang w:val="en-US" w:eastAsia="zh-CN"/>
              </w:rPr>
              <w:t>26</w:t>
            </w:r>
          </w:p>
        </w:tc>
        <w:tc>
          <w:tcPr>
            <w:tcW w:w="424" w:type="dxa"/>
            <w:shd w:val="clear" w:color="auto" w:fill="FFFFFF"/>
            <w:tcMar>
              <w:top w:w="0" w:type="dxa"/>
              <w:left w:w="0" w:type="dxa"/>
              <w:bottom w:w="0" w:type="dxa"/>
              <w:right w:w="0" w:type="dxa"/>
            </w:tcMar>
            <w:vAlign w:val="center"/>
          </w:tcPr>
          <w:p w14:paraId="27016EB4">
            <w:pPr>
              <w:pStyle w:val="58"/>
              <w:bidi w:val="0"/>
              <w:rPr>
                <w:rFonts w:hint="default"/>
                <w:highlight w:val="none"/>
              </w:rPr>
            </w:pPr>
            <w:r>
              <w:rPr>
                <w:rFonts w:hint="default"/>
                <w:highlight w:val="none"/>
              </w:rPr>
              <w:t>51.8</w:t>
            </w:r>
          </w:p>
        </w:tc>
        <w:tc>
          <w:tcPr>
            <w:tcW w:w="424" w:type="dxa"/>
            <w:shd w:val="clear" w:color="auto" w:fill="FFFFFF"/>
            <w:tcMar>
              <w:top w:w="0" w:type="dxa"/>
              <w:left w:w="0" w:type="dxa"/>
              <w:bottom w:w="0" w:type="dxa"/>
              <w:right w:w="0" w:type="dxa"/>
            </w:tcMar>
            <w:vAlign w:val="center"/>
          </w:tcPr>
          <w:p w14:paraId="04F9F904">
            <w:pPr>
              <w:pStyle w:val="58"/>
              <w:bidi w:val="0"/>
              <w:rPr>
                <w:rFonts w:hint="default"/>
                <w:highlight w:val="none"/>
              </w:rPr>
            </w:pPr>
            <w:r>
              <w:rPr>
                <w:rFonts w:hint="default"/>
                <w:highlight w:val="none"/>
              </w:rPr>
              <w:t>51.9</w:t>
            </w:r>
          </w:p>
        </w:tc>
        <w:tc>
          <w:tcPr>
            <w:tcW w:w="424" w:type="dxa"/>
            <w:shd w:val="clear" w:color="auto" w:fill="FFFFFF"/>
            <w:tcMar>
              <w:top w:w="0" w:type="dxa"/>
              <w:left w:w="0" w:type="dxa"/>
              <w:bottom w:w="0" w:type="dxa"/>
              <w:right w:w="0" w:type="dxa"/>
            </w:tcMar>
            <w:vAlign w:val="center"/>
          </w:tcPr>
          <w:p w14:paraId="0C1B50A3">
            <w:pPr>
              <w:pStyle w:val="58"/>
              <w:bidi w:val="0"/>
              <w:rPr>
                <w:rFonts w:hint="default"/>
                <w:highlight w:val="none"/>
              </w:rPr>
            </w:pPr>
            <w:r>
              <w:rPr>
                <w:rFonts w:hint="default"/>
                <w:highlight w:val="none"/>
              </w:rPr>
              <w:t>51.8</w:t>
            </w:r>
          </w:p>
        </w:tc>
        <w:tc>
          <w:tcPr>
            <w:tcW w:w="427" w:type="dxa"/>
            <w:shd w:val="clear" w:color="auto" w:fill="FFFFFF"/>
            <w:tcMar>
              <w:top w:w="0" w:type="dxa"/>
              <w:left w:w="0" w:type="dxa"/>
              <w:bottom w:w="0" w:type="dxa"/>
              <w:right w:w="0" w:type="dxa"/>
            </w:tcMar>
            <w:vAlign w:val="center"/>
          </w:tcPr>
          <w:p w14:paraId="43267577">
            <w:pPr>
              <w:pStyle w:val="58"/>
              <w:bidi w:val="0"/>
              <w:rPr>
                <w:rFonts w:hint="default"/>
                <w:highlight w:val="none"/>
              </w:rPr>
            </w:pPr>
            <w:r>
              <w:rPr>
                <w:rFonts w:hint="default"/>
                <w:highlight w:val="none"/>
              </w:rPr>
              <w:t>52.3</w:t>
            </w:r>
          </w:p>
        </w:tc>
        <w:tc>
          <w:tcPr>
            <w:tcW w:w="486" w:type="dxa"/>
            <w:shd w:val="clear" w:color="auto" w:fill="FFFFFF"/>
            <w:tcMar>
              <w:top w:w="0" w:type="dxa"/>
              <w:left w:w="0" w:type="dxa"/>
              <w:bottom w:w="0" w:type="dxa"/>
              <w:right w:w="0" w:type="dxa"/>
            </w:tcMar>
            <w:vAlign w:val="center"/>
          </w:tcPr>
          <w:p w14:paraId="5122FF3F">
            <w:pPr>
              <w:pStyle w:val="58"/>
              <w:bidi w:val="0"/>
              <w:rPr>
                <w:rFonts w:hint="default"/>
                <w:highlight w:val="none"/>
              </w:rPr>
            </w:pPr>
            <w:r>
              <w:rPr>
                <w:rFonts w:hint="default"/>
                <w:highlight w:val="none"/>
              </w:rPr>
              <w:t>1</w:t>
            </w:r>
          </w:p>
        </w:tc>
      </w:tr>
      <w:bookmarkEnd w:id="325"/>
      <w:tr w14:paraId="33F13C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458" w:type="dxa"/>
            <w:shd w:val="clear" w:color="auto" w:fill="FFFFFF"/>
            <w:tcMar>
              <w:top w:w="0" w:type="dxa"/>
              <w:left w:w="0" w:type="dxa"/>
              <w:bottom w:w="0" w:type="dxa"/>
              <w:right w:w="0" w:type="dxa"/>
            </w:tcMar>
            <w:vAlign w:val="center"/>
          </w:tcPr>
          <w:p w14:paraId="29B8C2E6">
            <w:pPr>
              <w:pStyle w:val="58"/>
              <w:numPr>
                <w:ilvl w:val="0"/>
                <w:numId w:val="37"/>
              </w:numPr>
              <w:bidi w:val="0"/>
              <w:ind w:left="425" w:leftChars="0" w:hanging="425" w:firstLineChars="0"/>
              <w:rPr>
                <w:rFonts w:hint="default"/>
                <w:highlight w:val="none"/>
              </w:rPr>
            </w:pPr>
          </w:p>
        </w:tc>
        <w:tc>
          <w:tcPr>
            <w:tcW w:w="632" w:type="dxa"/>
            <w:shd w:val="clear" w:color="auto" w:fill="FFFFFF"/>
            <w:tcMar>
              <w:top w:w="0" w:type="dxa"/>
              <w:left w:w="0" w:type="dxa"/>
              <w:bottom w:w="0" w:type="dxa"/>
              <w:right w:w="0" w:type="dxa"/>
            </w:tcMar>
            <w:vAlign w:val="center"/>
          </w:tcPr>
          <w:p w14:paraId="09D7C909">
            <w:pPr>
              <w:pStyle w:val="58"/>
              <w:bidi w:val="0"/>
              <w:rPr>
                <w:rFonts w:hint="eastAsia" w:eastAsia="宋体"/>
                <w:highlight w:val="none"/>
                <w:lang w:val="en-US" w:eastAsia="zh-CN"/>
              </w:rPr>
            </w:pPr>
            <w:r>
              <w:rPr>
                <w:rFonts w:hint="eastAsia"/>
                <w:highlight w:val="none"/>
                <w:lang w:val="en-US" w:eastAsia="zh-CN"/>
              </w:rPr>
              <w:t>加药间</w:t>
            </w:r>
          </w:p>
        </w:tc>
        <w:tc>
          <w:tcPr>
            <w:tcW w:w="715" w:type="dxa"/>
            <w:shd w:val="clear" w:color="auto" w:fill="FFFFFF"/>
            <w:tcMar>
              <w:top w:w="0" w:type="dxa"/>
              <w:left w:w="0" w:type="dxa"/>
              <w:bottom w:w="0" w:type="dxa"/>
              <w:right w:w="0" w:type="dxa"/>
            </w:tcMar>
            <w:vAlign w:val="center"/>
          </w:tcPr>
          <w:p w14:paraId="7FE1396D">
            <w:pPr>
              <w:pStyle w:val="58"/>
              <w:bidi w:val="0"/>
              <w:rPr>
                <w:rFonts w:hint="eastAsia" w:eastAsia="宋体"/>
                <w:highlight w:val="none"/>
                <w:lang w:val="en-US" w:eastAsia="zh-CN"/>
              </w:rPr>
            </w:pPr>
            <w:r>
              <w:rPr>
                <w:rFonts w:hint="eastAsia"/>
                <w:highlight w:val="none"/>
                <w:lang w:val="en-US" w:eastAsia="zh-CN"/>
              </w:rPr>
              <w:t>加药泵</w:t>
            </w:r>
          </w:p>
        </w:tc>
        <w:tc>
          <w:tcPr>
            <w:tcW w:w="2018" w:type="dxa"/>
            <w:shd w:val="clear" w:color="auto" w:fill="FFFFFF"/>
            <w:tcMar>
              <w:top w:w="0" w:type="dxa"/>
              <w:left w:w="0" w:type="dxa"/>
              <w:bottom w:w="0" w:type="dxa"/>
              <w:right w:w="0" w:type="dxa"/>
            </w:tcMar>
            <w:vAlign w:val="center"/>
          </w:tcPr>
          <w:p w14:paraId="1B90BAD4">
            <w:pPr>
              <w:pStyle w:val="58"/>
              <w:bidi w:val="0"/>
              <w:rPr>
                <w:rFonts w:hint="default"/>
                <w:highlight w:val="none"/>
                <w:lang w:val="en-US" w:eastAsia="zh-CN"/>
              </w:rPr>
            </w:pPr>
            <w:r>
              <w:rPr>
                <w:rFonts w:hint="eastAsia"/>
                <w:highlight w:val="none"/>
                <w:lang w:val="en-US" w:eastAsia="zh-CN"/>
              </w:rPr>
              <w:t>/</w:t>
            </w:r>
          </w:p>
        </w:tc>
        <w:tc>
          <w:tcPr>
            <w:tcW w:w="897" w:type="dxa"/>
            <w:shd w:val="clear" w:color="auto" w:fill="FFFFFF"/>
            <w:tcMar>
              <w:top w:w="0" w:type="dxa"/>
              <w:left w:w="0" w:type="dxa"/>
              <w:bottom w:w="0" w:type="dxa"/>
              <w:right w:w="0" w:type="dxa"/>
            </w:tcMar>
            <w:vAlign w:val="center"/>
          </w:tcPr>
          <w:p w14:paraId="479EC8B6">
            <w:pPr>
              <w:pStyle w:val="58"/>
              <w:bidi w:val="0"/>
              <w:rPr>
                <w:rFonts w:hint="default" w:eastAsia="宋体"/>
                <w:highlight w:val="none"/>
                <w:lang w:val="en-US" w:eastAsia="zh-CN"/>
              </w:rPr>
            </w:pPr>
            <w:r>
              <w:rPr>
                <w:rFonts w:hint="eastAsia"/>
                <w:highlight w:val="none"/>
                <w:lang w:val="en-US" w:eastAsia="zh-CN"/>
              </w:rPr>
              <w:t>80</w:t>
            </w:r>
          </w:p>
        </w:tc>
        <w:tc>
          <w:tcPr>
            <w:tcW w:w="1169" w:type="dxa"/>
            <w:vMerge w:val="continue"/>
            <w:shd w:val="clear" w:color="auto" w:fill="FFFFFF"/>
            <w:tcMar>
              <w:top w:w="0" w:type="dxa"/>
              <w:left w:w="0" w:type="dxa"/>
              <w:bottom w:w="0" w:type="dxa"/>
              <w:right w:w="0" w:type="dxa"/>
            </w:tcMar>
            <w:vAlign w:val="center"/>
          </w:tcPr>
          <w:p w14:paraId="44BCD4F2">
            <w:pPr>
              <w:pStyle w:val="58"/>
              <w:bidi w:val="0"/>
              <w:rPr>
                <w:rFonts w:hint="default"/>
                <w:highlight w:val="none"/>
              </w:rPr>
            </w:pPr>
          </w:p>
        </w:tc>
        <w:tc>
          <w:tcPr>
            <w:tcW w:w="543" w:type="dxa"/>
            <w:shd w:val="clear" w:color="auto" w:fill="FFFFFF"/>
            <w:tcMar>
              <w:top w:w="0" w:type="dxa"/>
              <w:left w:w="0" w:type="dxa"/>
              <w:bottom w:w="0" w:type="dxa"/>
              <w:right w:w="0" w:type="dxa"/>
            </w:tcMar>
            <w:vAlign w:val="center"/>
          </w:tcPr>
          <w:p w14:paraId="6005997A">
            <w:pPr>
              <w:pStyle w:val="58"/>
              <w:bidi w:val="0"/>
              <w:ind w:firstLine="0" w:firstLineChars="0"/>
              <w:rPr>
                <w:rFonts w:hint="default"/>
                <w:highlight w:val="none"/>
              </w:rPr>
            </w:pPr>
            <w:r>
              <w:rPr>
                <w:rFonts w:hint="default"/>
                <w:highlight w:val="none"/>
              </w:rPr>
              <w:t>11</w:t>
            </w:r>
            <w:r>
              <w:rPr>
                <w:rFonts w:hint="eastAsia"/>
                <w:highlight w:val="none"/>
                <w:lang w:val="en-US" w:eastAsia="zh-CN"/>
              </w:rPr>
              <w:t>5</w:t>
            </w:r>
            <w:r>
              <w:rPr>
                <w:rFonts w:hint="default"/>
                <w:highlight w:val="none"/>
              </w:rPr>
              <w:t>.4</w:t>
            </w:r>
          </w:p>
        </w:tc>
        <w:tc>
          <w:tcPr>
            <w:tcW w:w="425" w:type="dxa"/>
            <w:shd w:val="clear" w:color="auto" w:fill="FFFFFF"/>
            <w:tcMar>
              <w:top w:w="0" w:type="dxa"/>
              <w:left w:w="0" w:type="dxa"/>
              <w:bottom w:w="0" w:type="dxa"/>
              <w:right w:w="0" w:type="dxa"/>
            </w:tcMar>
            <w:vAlign w:val="center"/>
          </w:tcPr>
          <w:p w14:paraId="2061F5E1">
            <w:pPr>
              <w:pStyle w:val="58"/>
              <w:bidi w:val="0"/>
              <w:ind w:firstLine="0" w:firstLineChars="0"/>
              <w:rPr>
                <w:rFonts w:hint="default" w:eastAsia="宋体"/>
                <w:highlight w:val="none"/>
                <w:lang w:val="en-US" w:eastAsia="zh-CN"/>
              </w:rPr>
            </w:pPr>
            <w:r>
              <w:rPr>
                <w:rFonts w:hint="default"/>
                <w:highlight w:val="none"/>
              </w:rPr>
              <w:t>8</w:t>
            </w:r>
            <w:r>
              <w:rPr>
                <w:rFonts w:hint="eastAsia"/>
                <w:highlight w:val="none"/>
                <w:lang w:val="en-US" w:eastAsia="zh-CN"/>
              </w:rPr>
              <w:t>5.6</w:t>
            </w:r>
          </w:p>
        </w:tc>
        <w:tc>
          <w:tcPr>
            <w:tcW w:w="307" w:type="dxa"/>
            <w:shd w:val="clear" w:color="auto" w:fill="FFFFFF"/>
            <w:tcMar>
              <w:top w:w="0" w:type="dxa"/>
              <w:left w:w="0" w:type="dxa"/>
              <w:bottom w:w="0" w:type="dxa"/>
              <w:right w:w="0" w:type="dxa"/>
            </w:tcMar>
            <w:vAlign w:val="center"/>
          </w:tcPr>
          <w:p w14:paraId="0F07C154">
            <w:pPr>
              <w:pStyle w:val="58"/>
              <w:bidi w:val="0"/>
              <w:ind w:firstLine="0" w:firstLineChars="0"/>
              <w:rPr>
                <w:rFonts w:hint="default" w:eastAsia="宋体"/>
                <w:highlight w:val="none"/>
                <w:lang w:val="en-US" w:eastAsia="zh-CN"/>
              </w:rPr>
            </w:pPr>
            <w:r>
              <w:rPr>
                <w:rFonts w:hint="eastAsia"/>
                <w:highlight w:val="none"/>
                <w:lang w:val="en-US" w:eastAsia="zh-CN"/>
              </w:rPr>
              <w:t>1.2</w:t>
            </w:r>
          </w:p>
        </w:tc>
        <w:tc>
          <w:tcPr>
            <w:tcW w:w="318" w:type="dxa"/>
            <w:shd w:val="clear" w:color="auto" w:fill="FFFFFF"/>
            <w:tcMar>
              <w:top w:w="0" w:type="dxa"/>
              <w:left w:w="0" w:type="dxa"/>
              <w:bottom w:w="0" w:type="dxa"/>
              <w:right w:w="0" w:type="dxa"/>
            </w:tcMar>
            <w:vAlign w:val="center"/>
          </w:tcPr>
          <w:p w14:paraId="6E87FC37">
            <w:pPr>
              <w:pStyle w:val="58"/>
              <w:bidi w:val="0"/>
              <w:ind w:firstLine="0" w:firstLineChars="0"/>
              <w:rPr>
                <w:rFonts w:hint="eastAsia" w:eastAsia="宋体"/>
                <w:highlight w:val="none"/>
                <w:lang w:eastAsia="zh-CN"/>
              </w:rPr>
            </w:pPr>
            <w:r>
              <w:rPr>
                <w:rFonts w:hint="default"/>
                <w:highlight w:val="none"/>
              </w:rPr>
              <w:t>4.</w:t>
            </w:r>
            <w:r>
              <w:rPr>
                <w:rFonts w:hint="eastAsia"/>
                <w:highlight w:val="none"/>
                <w:lang w:val="en-US" w:eastAsia="zh-CN"/>
              </w:rPr>
              <w:t>4</w:t>
            </w:r>
          </w:p>
        </w:tc>
        <w:tc>
          <w:tcPr>
            <w:tcW w:w="317" w:type="dxa"/>
            <w:shd w:val="clear" w:color="auto" w:fill="FFFFFF"/>
            <w:tcMar>
              <w:top w:w="0" w:type="dxa"/>
              <w:left w:w="0" w:type="dxa"/>
              <w:bottom w:w="0" w:type="dxa"/>
              <w:right w:w="0" w:type="dxa"/>
            </w:tcMar>
            <w:vAlign w:val="center"/>
          </w:tcPr>
          <w:p w14:paraId="1CC2C420">
            <w:pPr>
              <w:pStyle w:val="58"/>
              <w:bidi w:val="0"/>
              <w:ind w:firstLine="0" w:firstLineChars="0"/>
              <w:rPr>
                <w:rFonts w:hint="eastAsia" w:eastAsia="宋体"/>
                <w:highlight w:val="none"/>
                <w:lang w:eastAsia="zh-CN"/>
              </w:rPr>
            </w:pPr>
            <w:r>
              <w:rPr>
                <w:rFonts w:hint="default"/>
                <w:highlight w:val="none"/>
              </w:rPr>
              <w:t>2.</w:t>
            </w:r>
            <w:r>
              <w:rPr>
                <w:rFonts w:hint="eastAsia"/>
                <w:highlight w:val="none"/>
                <w:lang w:val="en-US" w:eastAsia="zh-CN"/>
              </w:rPr>
              <w:t>1</w:t>
            </w:r>
          </w:p>
        </w:tc>
        <w:tc>
          <w:tcPr>
            <w:tcW w:w="318" w:type="dxa"/>
            <w:shd w:val="clear" w:color="auto" w:fill="FFFFFF"/>
            <w:tcMar>
              <w:top w:w="0" w:type="dxa"/>
              <w:left w:w="0" w:type="dxa"/>
              <w:bottom w:w="0" w:type="dxa"/>
              <w:right w:w="0" w:type="dxa"/>
            </w:tcMar>
            <w:vAlign w:val="center"/>
          </w:tcPr>
          <w:p w14:paraId="1689D372">
            <w:pPr>
              <w:pStyle w:val="58"/>
              <w:bidi w:val="0"/>
              <w:ind w:firstLine="0" w:firstLineChars="0"/>
              <w:rPr>
                <w:rFonts w:hint="eastAsia" w:eastAsia="宋体"/>
                <w:highlight w:val="none"/>
                <w:lang w:eastAsia="zh-CN"/>
              </w:rPr>
            </w:pPr>
            <w:r>
              <w:rPr>
                <w:rFonts w:hint="default"/>
                <w:highlight w:val="none"/>
              </w:rPr>
              <w:t>3.</w:t>
            </w:r>
            <w:r>
              <w:rPr>
                <w:rFonts w:hint="eastAsia"/>
                <w:highlight w:val="none"/>
                <w:lang w:val="en-US" w:eastAsia="zh-CN"/>
              </w:rPr>
              <w:t>2</w:t>
            </w:r>
          </w:p>
        </w:tc>
        <w:tc>
          <w:tcPr>
            <w:tcW w:w="317" w:type="dxa"/>
            <w:shd w:val="clear" w:color="auto" w:fill="FFFFFF"/>
            <w:tcMar>
              <w:top w:w="0" w:type="dxa"/>
              <w:left w:w="0" w:type="dxa"/>
              <w:bottom w:w="0" w:type="dxa"/>
              <w:right w:w="0" w:type="dxa"/>
            </w:tcMar>
            <w:vAlign w:val="center"/>
          </w:tcPr>
          <w:p w14:paraId="315FB333">
            <w:pPr>
              <w:pStyle w:val="58"/>
              <w:bidi w:val="0"/>
              <w:ind w:firstLine="0" w:firstLineChars="0"/>
              <w:rPr>
                <w:rFonts w:hint="default" w:eastAsia="宋体"/>
                <w:highlight w:val="none"/>
                <w:lang w:val="en-US" w:eastAsia="zh-CN"/>
              </w:rPr>
            </w:pPr>
            <w:r>
              <w:rPr>
                <w:rFonts w:hint="eastAsia"/>
                <w:highlight w:val="none"/>
                <w:lang w:val="en-US" w:eastAsia="zh-CN"/>
              </w:rPr>
              <w:t>0.9</w:t>
            </w:r>
          </w:p>
        </w:tc>
        <w:tc>
          <w:tcPr>
            <w:tcW w:w="513" w:type="dxa"/>
            <w:shd w:val="clear" w:color="auto" w:fill="FFFFFF"/>
            <w:tcMar>
              <w:top w:w="0" w:type="dxa"/>
              <w:left w:w="0" w:type="dxa"/>
              <w:bottom w:w="0" w:type="dxa"/>
              <w:right w:w="0" w:type="dxa"/>
            </w:tcMar>
            <w:vAlign w:val="center"/>
          </w:tcPr>
          <w:p w14:paraId="07B1DD2F">
            <w:pPr>
              <w:pStyle w:val="58"/>
              <w:bidi w:val="0"/>
              <w:ind w:firstLine="0" w:firstLineChars="0"/>
              <w:rPr>
                <w:rFonts w:hint="eastAsia" w:eastAsia="宋体"/>
                <w:highlight w:val="none"/>
                <w:lang w:eastAsia="zh-CN"/>
              </w:rPr>
            </w:pPr>
            <w:r>
              <w:rPr>
                <w:rFonts w:hint="default"/>
                <w:highlight w:val="none"/>
              </w:rPr>
              <w:t>77.</w:t>
            </w:r>
            <w:r>
              <w:rPr>
                <w:rFonts w:hint="eastAsia"/>
                <w:highlight w:val="none"/>
                <w:lang w:val="en-US" w:eastAsia="zh-CN"/>
              </w:rPr>
              <w:t>9</w:t>
            </w:r>
          </w:p>
        </w:tc>
        <w:tc>
          <w:tcPr>
            <w:tcW w:w="513" w:type="dxa"/>
            <w:shd w:val="clear" w:color="auto" w:fill="FFFFFF"/>
            <w:tcMar>
              <w:top w:w="0" w:type="dxa"/>
              <w:left w:w="0" w:type="dxa"/>
              <w:bottom w:w="0" w:type="dxa"/>
              <w:right w:w="0" w:type="dxa"/>
            </w:tcMar>
            <w:vAlign w:val="center"/>
          </w:tcPr>
          <w:p w14:paraId="238F0ABA">
            <w:pPr>
              <w:pStyle w:val="58"/>
              <w:bidi w:val="0"/>
              <w:ind w:firstLine="0" w:firstLineChars="0"/>
              <w:rPr>
                <w:rFonts w:hint="eastAsia" w:eastAsia="宋体"/>
                <w:highlight w:val="none"/>
                <w:lang w:eastAsia="zh-CN"/>
              </w:rPr>
            </w:pPr>
            <w:r>
              <w:rPr>
                <w:rFonts w:hint="default"/>
                <w:highlight w:val="none"/>
              </w:rPr>
              <w:t>77.</w:t>
            </w:r>
            <w:r>
              <w:rPr>
                <w:rFonts w:hint="eastAsia"/>
                <w:highlight w:val="none"/>
                <w:lang w:val="en-US" w:eastAsia="zh-CN"/>
              </w:rPr>
              <w:t>8</w:t>
            </w:r>
          </w:p>
        </w:tc>
        <w:tc>
          <w:tcPr>
            <w:tcW w:w="513" w:type="dxa"/>
            <w:shd w:val="clear" w:color="auto" w:fill="FFFFFF"/>
            <w:tcMar>
              <w:top w:w="0" w:type="dxa"/>
              <w:left w:w="0" w:type="dxa"/>
              <w:bottom w:w="0" w:type="dxa"/>
              <w:right w:w="0" w:type="dxa"/>
            </w:tcMar>
            <w:vAlign w:val="center"/>
          </w:tcPr>
          <w:p w14:paraId="0676A73D">
            <w:pPr>
              <w:pStyle w:val="58"/>
              <w:bidi w:val="0"/>
              <w:ind w:firstLine="0" w:firstLineChars="0"/>
              <w:rPr>
                <w:rFonts w:hint="default"/>
                <w:highlight w:val="none"/>
              </w:rPr>
            </w:pPr>
            <w:r>
              <w:rPr>
                <w:rFonts w:hint="default"/>
                <w:highlight w:val="none"/>
              </w:rPr>
              <w:t>77.8</w:t>
            </w:r>
          </w:p>
        </w:tc>
        <w:tc>
          <w:tcPr>
            <w:tcW w:w="513" w:type="dxa"/>
            <w:shd w:val="clear" w:color="auto" w:fill="FFFFFF"/>
            <w:tcMar>
              <w:top w:w="0" w:type="dxa"/>
              <w:left w:w="0" w:type="dxa"/>
              <w:bottom w:w="0" w:type="dxa"/>
              <w:right w:w="0" w:type="dxa"/>
            </w:tcMar>
            <w:vAlign w:val="center"/>
          </w:tcPr>
          <w:p w14:paraId="55297AA0">
            <w:pPr>
              <w:pStyle w:val="58"/>
              <w:bidi w:val="0"/>
              <w:ind w:firstLine="0" w:firstLineChars="0"/>
              <w:rPr>
                <w:rFonts w:hint="eastAsia" w:eastAsia="宋体"/>
                <w:highlight w:val="none"/>
                <w:lang w:eastAsia="zh-CN"/>
              </w:rPr>
            </w:pPr>
            <w:r>
              <w:rPr>
                <w:rFonts w:hint="default"/>
                <w:highlight w:val="none"/>
              </w:rPr>
              <w:t>7</w:t>
            </w:r>
            <w:r>
              <w:rPr>
                <w:rFonts w:hint="eastAsia"/>
                <w:highlight w:val="none"/>
                <w:lang w:val="en-US" w:eastAsia="zh-CN"/>
              </w:rPr>
              <w:t>7</w:t>
            </w:r>
            <w:r>
              <w:rPr>
                <w:rFonts w:hint="default"/>
                <w:highlight w:val="none"/>
              </w:rPr>
              <w:t>.</w:t>
            </w:r>
            <w:r>
              <w:rPr>
                <w:rFonts w:hint="eastAsia"/>
                <w:highlight w:val="none"/>
                <w:lang w:val="en-US" w:eastAsia="zh-CN"/>
              </w:rPr>
              <w:t>8</w:t>
            </w:r>
          </w:p>
        </w:tc>
        <w:tc>
          <w:tcPr>
            <w:tcW w:w="521" w:type="dxa"/>
            <w:shd w:val="clear" w:color="auto" w:fill="FFFFFF"/>
            <w:tcMar>
              <w:top w:w="0" w:type="dxa"/>
              <w:left w:w="0" w:type="dxa"/>
              <w:bottom w:w="0" w:type="dxa"/>
              <w:right w:w="0" w:type="dxa"/>
            </w:tcMar>
            <w:vAlign w:val="center"/>
          </w:tcPr>
          <w:p w14:paraId="3D62C901">
            <w:pPr>
              <w:pStyle w:val="58"/>
              <w:bidi w:val="0"/>
              <w:ind w:firstLine="0" w:firstLineChars="0"/>
              <w:rPr>
                <w:rFonts w:hint="default"/>
                <w:highlight w:val="none"/>
                <w:lang w:eastAsia="zh-CN"/>
              </w:rPr>
            </w:pPr>
            <w:r>
              <w:rPr>
                <w:rFonts w:hint="default"/>
                <w:highlight w:val="none"/>
                <w:lang w:eastAsia="zh-CN"/>
              </w:rPr>
              <w:t>昼夜</w:t>
            </w:r>
          </w:p>
        </w:tc>
        <w:tc>
          <w:tcPr>
            <w:tcW w:w="858" w:type="dxa"/>
            <w:shd w:val="clear" w:color="auto" w:fill="FFFFFF"/>
            <w:tcMar>
              <w:top w:w="0" w:type="dxa"/>
              <w:left w:w="0" w:type="dxa"/>
              <w:bottom w:w="0" w:type="dxa"/>
              <w:right w:w="0" w:type="dxa"/>
            </w:tcMar>
            <w:vAlign w:val="center"/>
          </w:tcPr>
          <w:p w14:paraId="28AF6A1B">
            <w:pPr>
              <w:pStyle w:val="58"/>
              <w:bidi w:val="0"/>
              <w:ind w:firstLine="0" w:firstLineChars="0"/>
              <w:rPr>
                <w:rFonts w:hint="default"/>
                <w:highlight w:val="none"/>
                <w:lang w:val="en-US" w:eastAsia="zh-CN"/>
              </w:rPr>
            </w:pPr>
            <w:r>
              <w:rPr>
                <w:rFonts w:hint="default"/>
                <w:highlight w:val="none"/>
                <w:lang w:val="en-US" w:eastAsia="zh-CN"/>
              </w:rPr>
              <w:t>26</w:t>
            </w:r>
          </w:p>
        </w:tc>
        <w:tc>
          <w:tcPr>
            <w:tcW w:w="424" w:type="dxa"/>
            <w:shd w:val="clear" w:color="auto" w:fill="FFFFFF"/>
            <w:tcMar>
              <w:top w:w="0" w:type="dxa"/>
              <w:left w:w="0" w:type="dxa"/>
              <w:bottom w:w="0" w:type="dxa"/>
              <w:right w:w="0" w:type="dxa"/>
            </w:tcMar>
            <w:vAlign w:val="center"/>
          </w:tcPr>
          <w:p w14:paraId="3AB9EA2D">
            <w:pPr>
              <w:pStyle w:val="58"/>
              <w:bidi w:val="0"/>
              <w:ind w:firstLine="0" w:firstLineChars="0"/>
              <w:rPr>
                <w:rFonts w:hint="eastAsia" w:eastAsia="宋体"/>
                <w:highlight w:val="none"/>
                <w:lang w:eastAsia="zh-CN"/>
              </w:rPr>
            </w:pPr>
            <w:r>
              <w:rPr>
                <w:rFonts w:hint="default"/>
                <w:highlight w:val="none"/>
              </w:rPr>
              <w:t>51.</w:t>
            </w:r>
            <w:r>
              <w:rPr>
                <w:rFonts w:hint="eastAsia"/>
                <w:highlight w:val="none"/>
                <w:lang w:val="en-US" w:eastAsia="zh-CN"/>
              </w:rPr>
              <w:t>9</w:t>
            </w:r>
          </w:p>
        </w:tc>
        <w:tc>
          <w:tcPr>
            <w:tcW w:w="424" w:type="dxa"/>
            <w:shd w:val="clear" w:color="auto" w:fill="FFFFFF"/>
            <w:tcMar>
              <w:top w:w="0" w:type="dxa"/>
              <w:left w:w="0" w:type="dxa"/>
              <w:bottom w:w="0" w:type="dxa"/>
              <w:right w:w="0" w:type="dxa"/>
            </w:tcMar>
            <w:vAlign w:val="center"/>
          </w:tcPr>
          <w:p w14:paraId="5C7E9C6F">
            <w:pPr>
              <w:pStyle w:val="58"/>
              <w:bidi w:val="0"/>
              <w:ind w:firstLine="0" w:firstLineChars="0"/>
              <w:rPr>
                <w:rFonts w:hint="eastAsia" w:eastAsia="宋体"/>
                <w:highlight w:val="none"/>
                <w:lang w:eastAsia="zh-CN"/>
              </w:rPr>
            </w:pPr>
            <w:r>
              <w:rPr>
                <w:rFonts w:hint="default"/>
                <w:highlight w:val="none"/>
              </w:rPr>
              <w:t>51.</w:t>
            </w:r>
            <w:r>
              <w:rPr>
                <w:rFonts w:hint="eastAsia"/>
                <w:highlight w:val="none"/>
                <w:lang w:val="en-US" w:eastAsia="zh-CN"/>
              </w:rPr>
              <w:t>8</w:t>
            </w:r>
          </w:p>
        </w:tc>
        <w:tc>
          <w:tcPr>
            <w:tcW w:w="424" w:type="dxa"/>
            <w:shd w:val="clear" w:color="auto" w:fill="FFFFFF"/>
            <w:tcMar>
              <w:top w:w="0" w:type="dxa"/>
              <w:left w:w="0" w:type="dxa"/>
              <w:bottom w:w="0" w:type="dxa"/>
              <w:right w:w="0" w:type="dxa"/>
            </w:tcMar>
            <w:vAlign w:val="center"/>
          </w:tcPr>
          <w:p w14:paraId="3CDAB180">
            <w:pPr>
              <w:pStyle w:val="58"/>
              <w:bidi w:val="0"/>
              <w:ind w:firstLine="0" w:firstLineChars="0"/>
              <w:rPr>
                <w:rFonts w:hint="default"/>
                <w:highlight w:val="none"/>
              </w:rPr>
            </w:pPr>
            <w:r>
              <w:rPr>
                <w:rFonts w:hint="default"/>
                <w:highlight w:val="none"/>
              </w:rPr>
              <w:t>51.8</w:t>
            </w:r>
          </w:p>
        </w:tc>
        <w:tc>
          <w:tcPr>
            <w:tcW w:w="427" w:type="dxa"/>
            <w:shd w:val="clear" w:color="auto" w:fill="FFFFFF"/>
            <w:tcMar>
              <w:top w:w="0" w:type="dxa"/>
              <w:left w:w="0" w:type="dxa"/>
              <w:bottom w:w="0" w:type="dxa"/>
              <w:right w:w="0" w:type="dxa"/>
            </w:tcMar>
            <w:vAlign w:val="center"/>
          </w:tcPr>
          <w:p w14:paraId="2C569CBB">
            <w:pPr>
              <w:pStyle w:val="58"/>
              <w:bidi w:val="0"/>
              <w:ind w:firstLine="0" w:firstLineChars="0"/>
              <w:rPr>
                <w:rFonts w:hint="eastAsia" w:eastAsia="宋体"/>
                <w:highlight w:val="none"/>
                <w:lang w:eastAsia="zh-CN"/>
              </w:rPr>
            </w:pPr>
            <w:r>
              <w:rPr>
                <w:rFonts w:hint="default"/>
                <w:highlight w:val="none"/>
              </w:rPr>
              <w:t>5</w:t>
            </w:r>
            <w:r>
              <w:rPr>
                <w:rFonts w:hint="eastAsia"/>
                <w:highlight w:val="none"/>
                <w:lang w:val="en-US" w:eastAsia="zh-CN"/>
              </w:rPr>
              <w:t>1</w:t>
            </w:r>
            <w:r>
              <w:rPr>
                <w:rFonts w:hint="default"/>
                <w:highlight w:val="none"/>
              </w:rPr>
              <w:t>.</w:t>
            </w:r>
            <w:r>
              <w:rPr>
                <w:rFonts w:hint="eastAsia"/>
                <w:highlight w:val="none"/>
                <w:lang w:val="en-US" w:eastAsia="zh-CN"/>
              </w:rPr>
              <w:t>8</w:t>
            </w:r>
          </w:p>
        </w:tc>
        <w:tc>
          <w:tcPr>
            <w:tcW w:w="486" w:type="dxa"/>
            <w:shd w:val="clear" w:color="auto" w:fill="FFFFFF"/>
            <w:tcMar>
              <w:top w:w="0" w:type="dxa"/>
              <w:left w:w="0" w:type="dxa"/>
              <w:bottom w:w="0" w:type="dxa"/>
              <w:right w:w="0" w:type="dxa"/>
            </w:tcMar>
            <w:vAlign w:val="center"/>
          </w:tcPr>
          <w:p w14:paraId="353D8114">
            <w:pPr>
              <w:pStyle w:val="58"/>
              <w:bidi w:val="0"/>
              <w:ind w:firstLine="0" w:firstLineChars="0"/>
              <w:rPr>
                <w:rFonts w:hint="default"/>
                <w:highlight w:val="none"/>
              </w:rPr>
            </w:pPr>
            <w:r>
              <w:rPr>
                <w:rFonts w:hint="default"/>
                <w:highlight w:val="none"/>
              </w:rPr>
              <w:t>1</w:t>
            </w:r>
          </w:p>
        </w:tc>
      </w:tr>
      <w:tr w14:paraId="12399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458" w:type="dxa"/>
            <w:shd w:val="clear" w:color="auto" w:fill="FFFFFF"/>
            <w:tcMar>
              <w:top w:w="0" w:type="dxa"/>
              <w:left w:w="0" w:type="dxa"/>
              <w:bottom w:w="0" w:type="dxa"/>
              <w:right w:w="0" w:type="dxa"/>
            </w:tcMar>
            <w:vAlign w:val="center"/>
          </w:tcPr>
          <w:p w14:paraId="6738279C">
            <w:pPr>
              <w:pStyle w:val="58"/>
              <w:numPr>
                <w:ilvl w:val="0"/>
                <w:numId w:val="37"/>
              </w:numPr>
              <w:bidi w:val="0"/>
              <w:ind w:left="425" w:leftChars="0" w:hanging="425" w:firstLineChars="0"/>
              <w:rPr>
                <w:rFonts w:hint="default"/>
                <w:highlight w:val="none"/>
                <w:lang w:val="en-US" w:eastAsia="zh-CN"/>
              </w:rPr>
            </w:pPr>
          </w:p>
        </w:tc>
        <w:tc>
          <w:tcPr>
            <w:tcW w:w="632" w:type="dxa"/>
            <w:shd w:val="clear" w:color="auto" w:fill="FFFFFF"/>
            <w:tcMar>
              <w:top w:w="0" w:type="dxa"/>
              <w:left w:w="0" w:type="dxa"/>
              <w:bottom w:w="0" w:type="dxa"/>
              <w:right w:w="0" w:type="dxa"/>
            </w:tcMar>
            <w:vAlign w:val="center"/>
          </w:tcPr>
          <w:p w14:paraId="59232A30">
            <w:pPr>
              <w:pStyle w:val="58"/>
              <w:bidi w:val="0"/>
              <w:rPr>
                <w:rFonts w:hint="default"/>
                <w:highlight w:val="none"/>
                <w:lang w:val="en-US" w:eastAsia="zh-CN"/>
              </w:rPr>
            </w:pPr>
            <w:r>
              <w:rPr>
                <w:rFonts w:hint="default"/>
                <w:highlight w:val="none"/>
              </w:rPr>
              <w:t>鼓风机房</w:t>
            </w:r>
          </w:p>
        </w:tc>
        <w:tc>
          <w:tcPr>
            <w:tcW w:w="715" w:type="dxa"/>
            <w:shd w:val="clear" w:color="auto" w:fill="FFFFFF"/>
            <w:tcMar>
              <w:top w:w="0" w:type="dxa"/>
              <w:left w:w="0" w:type="dxa"/>
              <w:bottom w:w="0" w:type="dxa"/>
              <w:right w:w="0" w:type="dxa"/>
            </w:tcMar>
            <w:vAlign w:val="center"/>
          </w:tcPr>
          <w:p w14:paraId="64583296">
            <w:pPr>
              <w:pStyle w:val="58"/>
              <w:bidi w:val="0"/>
              <w:rPr>
                <w:rFonts w:hint="default"/>
                <w:highlight w:val="none"/>
                <w:lang w:val="en-US" w:eastAsia="zh-CN"/>
              </w:rPr>
            </w:pPr>
            <w:r>
              <w:rPr>
                <w:rFonts w:hint="default"/>
                <w:highlight w:val="none"/>
              </w:rPr>
              <w:t>罗茨鼓风机</w:t>
            </w:r>
          </w:p>
        </w:tc>
        <w:tc>
          <w:tcPr>
            <w:tcW w:w="2018" w:type="dxa"/>
            <w:shd w:val="clear" w:color="auto" w:fill="FFFFFF"/>
            <w:tcMar>
              <w:top w:w="0" w:type="dxa"/>
              <w:left w:w="0" w:type="dxa"/>
              <w:bottom w:w="0" w:type="dxa"/>
              <w:right w:w="0" w:type="dxa"/>
            </w:tcMar>
            <w:vAlign w:val="center"/>
          </w:tcPr>
          <w:p w14:paraId="617F035A">
            <w:pPr>
              <w:pStyle w:val="58"/>
              <w:bidi w:val="0"/>
              <w:rPr>
                <w:rFonts w:hint="default"/>
                <w:highlight w:val="none"/>
                <w:lang w:val="en-US" w:eastAsia="zh-CN"/>
              </w:rPr>
            </w:pPr>
            <w:r>
              <w:rPr>
                <w:rFonts w:hint="default"/>
                <w:highlight w:val="none"/>
                <w:lang w:val="zh-CN"/>
              </w:rPr>
              <w:t>NSR-100</w:t>
            </w:r>
          </w:p>
        </w:tc>
        <w:tc>
          <w:tcPr>
            <w:tcW w:w="897" w:type="dxa"/>
            <w:shd w:val="clear" w:color="auto" w:fill="FFFFFF"/>
            <w:tcMar>
              <w:top w:w="0" w:type="dxa"/>
              <w:left w:w="0" w:type="dxa"/>
              <w:bottom w:w="0" w:type="dxa"/>
              <w:right w:w="0" w:type="dxa"/>
            </w:tcMar>
            <w:vAlign w:val="center"/>
          </w:tcPr>
          <w:p w14:paraId="7A34E6ED">
            <w:pPr>
              <w:pStyle w:val="58"/>
              <w:bidi w:val="0"/>
              <w:rPr>
                <w:rFonts w:hint="default"/>
                <w:highlight w:val="none"/>
                <w:lang w:val="en-US" w:eastAsia="zh-CN"/>
              </w:rPr>
            </w:pPr>
            <w:r>
              <w:rPr>
                <w:rFonts w:hint="default"/>
                <w:highlight w:val="none"/>
              </w:rPr>
              <w:t>110</w:t>
            </w:r>
          </w:p>
        </w:tc>
        <w:tc>
          <w:tcPr>
            <w:tcW w:w="1169" w:type="dxa"/>
            <w:vMerge w:val="continue"/>
            <w:shd w:val="clear" w:color="auto" w:fill="FFFFFF"/>
            <w:tcMar>
              <w:top w:w="0" w:type="dxa"/>
              <w:left w:w="0" w:type="dxa"/>
              <w:bottom w:w="0" w:type="dxa"/>
              <w:right w:w="0" w:type="dxa"/>
            </w:tcMar>
            <w:vAlign w:val="center"/>
          </w:tcPr>
          <w:p w14:paraId="3A20DDB2">
            <w:pPr>
              <w:pStyle w:val="58"/>
              <w:bidi w:val="0"/>
              <w:rPr>
                <w:rFonts w:hint="default"/>
                <w:highlight w:val="none"/>
                <w:lang w:val="en-US" w:eastAsia="zh-CN"/>
              </w:rPr>
            </w:pPr>
          </w:p>
        </w:tc>
        <w:tc>
          <w:tcPr>
            <w:tcW w:w="543" w:type="dxa"/>
            <w:shd w:val="clear" w:color="auto" w:fill="FFFFFF"/>
            <w:tcMar>
              <w:top w:w="0" w:type="dxa"/>
              <w:left w:w="0" w:type="dxa"/>
              <w:bottom w:w="0" w:type="dxa"/>
              <w:right w:w="0" w:type="dxa"/>
            </w:tcMar>
            <w:vAlign w:val="center"/>
          </w:tcPr>
          <w:p w14:paraId="44253318">
            <w:pPr>
              <w:pStyle w:val="58"/>
              <w:bidi w:val="0"/>
              <w:rPr>
                <w:rFonts w:hint="default"/>
                <w:highlight w:val="none"/>
                <w:lang w:val="en-US" w:eastAsia="zh-CN"/>
              </w:rPr>
            </w:pPr>
            <w:r>
              <w:rPr>
                <w:rFonts w:hint="default"/>
                <w:highlight w:val="none"/>
              </w:rPr>
              <w:t>120.4</w:t>
            </w:r>
          </w:p>
        </w:tc>
        <w:tc>
          <w:tcPr>
            <w:tcW w:w="425" w:type="dxa"/>
            <w:shd w:val="clear" w:color="auto" w:fill="FFFFFF"/>
            <w:tcMar>
              <w:top w:w="0" w:type="dxa"/>
              <w:left w:w="0" w:type="dxa"/>
              <w:bottom w:w="0" w:type="dxa"/>
              <w:right w:w="0" w:type="dxa"/>
            </w:tcMar>
            <w:vAlign w:val="center"/>
          </w:tcPr>
          <w:p w14:paraId="64F71895">
            <w:pPr>
              <w:pStyle w:val="58"/>
              <w:bidi w:val="0"/>
              <w:rPr>
                <w:rFonts w:hint="default"/>
                <w:highlight w:val="none"/>
                <w:lang w:val="en-US" w:eastAsia="zh-CN"/>
              </w:rPr>
            </w:pPr>
            <w:r>
              <w:rPr>
                <w:rFonts w:hint="default"/>
                <w:highlight w:val="none"/>
              </w:rPr>
              <w:t>85.3</w:t>
            </w:r>
          </w:p>
        </w:tc>
        <w:tc>
          <w:tcPr>
            <w:tcW w:w="307" w:type="dxa"/>
            <w:shd w:val="clear" w:color="auto" w:fill="FFFFFF"/>
            <w:tcMar>
              <w:top w:w="0" w:type="dxa"/>
              <w:left w:w="0" w:type="dxa"/>
              <w:bottom w:w="0" w:type="dxa"/>
              <w:right w:w="0" w:type="dxa"/>
            </w:tcMar>
            <w:vAlign w:val="center"/>
          </w:tcPr>
          <w:p w14:paraId="5AFCAFB3">
            <w:pPr>
              <w:pStyle w:val="58"/>
              <w:bidi w:val="0"/>
              <w:rPr>
                <w:rFonts w:hint="default"/>
                <w:highlight w:val="none"/>
                <w:lang w:val="en-US" w:eastAsia="zh-CN"/>
              </w:rPr>
            </w:pPr>
            <w:r>
              <w:rPr>
                <w:rFonts w:hint="default"/>
                <w:highlight w:val="none"/>
              </w:rPr>
              <w:t>1.2</w:t>
            </w:r>
          </w:p>
        </w:tc>
        <w:tc>
          <w:tcPr>
            <w:tcW w:w="318" w:type="dxa"/>
            <w:shd w:val="clear" w:color="auto" w:fill="FFFFFF"/>
            <w:tcMar>
              <w:top w:w="0" w:type="dxa"/>
              <w:left w:w="0" w:type="dxa"/>
              <w:bottom w:w="0" w:type="dxa"/>
              <w:right w:w="0" w:type="dxa"/>
            </w:tcMar>
            <w:vAlign w:val="center"/>
          </w:tcPr>
          <w:p w14:paraId="7C1F7416">
            <w:pPr>
              <w:pStyle w:val="58"/>
              <w:bidi w:val="0"/>
              <w:rPr>
                <w:rFonts w:hint="default"/>
                <w:highlight w:val="none"/>
                <w:lang w:val="en-US" w:eastAsia="zh-CN"/>
              </w:rPr>
            </w:pPr>
            <w:r>
              <w:rPr>
                <w:rFonts w:hint="default"/>
                <w:highlight w:val="none"/>
              </w:rPr>
              <w:t>1.5</w:t>
            </w:r>
          </w:p>
        </w:tc>
        <w:tc>
          <w:tcPr>
            <w:tcW w:w="317" w:type="dxa"/>
            <w:shd w:val="clear" w:color="auto" w:fill="FFFFFF"/>
            <w:tcMar>
              <w:top w:w="0" w:type="dxa"/>
              <w:left w:w="0" w:type="dxa"/>
              <w:bottom w:w="0" w:type="dxa"/>
              <w:right w:w="0" w:type="dxa"/>
            </w:tcMar>
            <w:vAlign w:val="center"/>
          </w:tcPr>
          <w:p w14:paraId="3A0BDE86">
            <w:pPr>
              <w:pStyle w:val="58"/>
              <w:bidi w:val="0"/>
              <w:rPr>
                <w:rFonts w:hint="default"/>
                <w:highlight w:val="none"/>
                <w:lang w:val="en-US" w:eastAsia="zh-CN"/>
              </w:rPr>
            </w:pPr>
            <w:r>
              <w:rPr>
                <w:rFonts w:hint="default"/>
                <w:highlight w:val="none"/>
              </w:rPr>
              <w:t>1.7</w:t>
            </w:r>
          </w:p>
        </w:tc>
        <w:tc>
          <w:tcPr>
            <w:tcW w:w="318" w:type="dxa"/>
            <w:shd w:val="clear" w:color="auto" w:fill="FFFFFF"/>
            <w:tcMar>
              <w:top w:w="0" w:type="dxa"/>
              <w:left w:w="0" w:type="dxa"/>
              <w:bottom w:w="0" w:type="dxa"/>
              <w:right w:w="0" w:type="dxa"/>
            </w:tcMar>
            <w:vAlign w:val="center"/>
          </w:tcPr>
          <w:p w14:paraId="42AA94DB">
            <w:pPr>
              <w:pStyle w:val="58"/>
              <w:bidi w:val="0"/>
              <w:rPr>
                <w:rFonts w:hint="default"/>
                <w:highlight w:val="none"/>
                <w:lang w:val="en-US" w:eastAsia="zh-CN"/>
              </w:rPr>
            </w:pPr>
            <w:r>
              <w:rPr>
                <w:rFonts w:hint="default"/>
                <w:highlight w:val="none"/>
              </w:rPr>
              <w:t>0.8</w:t>
            </w:r>
          </w:p>
        </w:tc>
        <w:tc>
          <w:tcPr>
            <w:tcW w:w="317" w:type="dxa"/>
            <w:shd w:val="clear" w:color="auto" w:fill="FFFFFF"/>
            <w:tcMar>
              <w:top w:w="0" w:type="dxa"/>
              <w:left w:w="0" w:type="dxa"/>
              <w:bottom w:w="0" w:type="dxa"/>
              <w:right w:w="0" w:type="dxa"/>
            </w:tcMar>
            <w:vAlign w:val="center"/>
          </w:tcPr>
          <w:p w14:paraId="32475898">
            <w:pPr>
              <w:pStyle w:val="58"/>
              <w:bidi w:val="0"/>
              <w:rPr>
                <w:rFonts w:hint="default"/>
                <w:highlight w:val="none"/>
                <w:lang w:val="en-US" w:eastAsia="zh-CN"/>
              </w:rPr>
            </w:pPr>
            <w:r>
              <w:rPr>
                <w:rFonts w:hint="default"/>
                <w:highlight w:val="none"/>
              </w:rPr>
              <w:t>1.5</w:t>
            </w:r>
          </w:p>
        </w:tc>
        <w:tc>
          <w:tcPr>
            <w:tcW w:w="513" w:type="dxa"/>
            <w:shd w:val="clear" w:color="auto" w:fill="FFFFFF"/>
            <w:tcMar>
              <w:top w:w="0" w:type="dxa"/>
              <w:left w:w="0" w:type="dxa"/>
              <w:bottom w:w="0" w:type="dxa"/>
              <w:right w:w="0" w:type="dxa"/>
            </w:tcMar>
            <w:vAlign w:val="center"/>
          </w:tcPr>
          <w:p w14:paraId="0C6A3094">
            <w:pPr>
              <w:pStyle w:val="58"/>
              <w:bidi w:val="0"/>
              <w:rPr>
                <w:rFonts w:hint="default"/>
                <w:highlight w:val="none"/>
                <w:lang w:val="en-US" w:eastAsia="zh-CN"/>
              </w:rPr>
            </w:pPr>
            <w:r>
              <w:rPr>
                <w:rFonts w:hint="default"/>
                <w:highlight w:val="none"/>
              </w:rPr>
              <w:t>111.0</w:t>
            </w:r>
          </w:p>
        </w:tc>
        <w:tc>
          <w:tcPr>
            <w:tcW w:w="513" w:type="dxa"/>
            <w:shd w:val="clear" w:color="auto" w:fill="FFFFFF"/>
            <w:tcMar>
              <w:top w:w="0" w:type="dxa"/>
              <w:left w:w="0" w:type="dxa"/>
              <w:bottom w:w="0" w:type="dxa"/>
              <w:right w:w="0" w:type="dxa"/>
            </w:tcMar>
            <w:vAlign w:val="center"/>
          </w:tcPr>
          <w:p w14:paraId="5C8B16FA">
            <w:pPr>
              <w:pStyle w:val="58"/>
              <w:bidi w:val="0"/>
              <w:rPr>
                <w:rFonts w:hint="default"/>
                <w:highlight w:val="none"/>
                <w:lang w:val="en-US" w:eastAsia="zh-CN"/>
              </w:rPr>
            </w:pPr>
            <w:r>
              <w:rPr>
                <w:rFonts w:hint="default"/>
                <w:highlight w:val="none"/>
              </w:rPr>
              <w:t>111.0</w:t>
            </w:r>
          </w:p>
        </w:tc>
        <w:tc>
          <w:tcPr>
            <w:tcW w:w="513" w:type="dxa"/>
            <w:shd w:val="clear" w:color="auto" w:fill="FFFFFF"/>
            <w:tcMar>
              <w:top w:w="0" w:type="dxa"/>
              <w:left w:w="0" w:type="dxa"/>
              <w:bottom w:w="0" w:type="dxa"/>
              <w:right w:w="0" w:type="dxa"/>
            </w:tcMar>
            <w:vAlign w:val="center"/>
          </w:tcPr>
          <w:p w14:paraId="5816B2B5">
            <w:pPr>
              <w:pStyle w:val="58"/>
              <w:bidi w:val="0"/>
              <w:rPr>
                <w:rFonts w:hint="default"/>
                <w:highlight w:val="none"/>
                <w:lang w:val="en-US" w:eastAsia="zh-CN"/>
              </w:rPr>
            </w:pPr>
            <w:r>
              <w:rPr>
                <w:rFonts w:hint="default"/>
                <w:highlight w:val="none"/>
              </w:rPr>
              <w:t>111.3</w:t>
            </w:r>
          </w:p>
        </w:tc>
        <w:tc>
          <w:tcPr>
            <w:tcW w:w="513" w:type="dxa"/>
            <w:shd w:val="clear" w:color="auto" w:fill="FFFFFF"/>
            <w:tcMar>
              <w:top w:w="0" w:type="dxa"/>
              <w:left w:w="0" w:type="dxa"/>
              <w:bottom w:w="0" w:type="dxa"/>
              <w:right w:w="0" w:type="dxa"/>
            </w:tcMar>
            <w:vAlign w:val="center"/>
          </w:tcPr>
          <w:p w14:paraId="1A919E19">
            <w:pPr>
              <w:pStyle w:val="58"/>
              <w:bidi w:val="0"/>
              <w:rPr>
                <w:rFonts w:hint="default"/>
                <w:highlight w:val="none"/>
                <w:lang w:val="en-US" w:eastAsia="zh-CN"/>
              </w:rPr>
            </w:pPr>
            <w:r>
              <w:rPr>
                <w:rFonts w:hint="default"/>
                <w:highlight w:val="none"/>
              </w:rPr>
              <w:t>111.0</w:t>
            </w:r>
          </w:p>
        </w:tc>
        <w:tc>
          <w:tcPr>
            <w:tcW w:w="521" w:type="dxa"/>
            <w:shd w:val="clear" w:color="auto" w:fill="FFFFFF"/>
            <w:tcMar>
              <w:top w:w="0" w:type="dxa"/>
              <w:left w:w="0" w:type="dxa"/>
              <w:bottom w:w="0" w:type="dxa"/>
              <w:right w:w="0" w:type="dxa"/>
            </w:tcMar>
            <w:vAlign w:val="center"/>
          </w:tcPr>
          <w:p w14:paraId="037C7444">
            <w:pPr>
              <w:pStyle w:val="58"/>
              <w:bidi w:val="0"/>
              <w:rPr>
                <w:rFonts w:hint="default"/>
                <w:highlight w:val="none"/>
                <w:lang w:val="en-US" w:eastAsia="zh-CN"/>
              </w:rPr>
            </w:pPr>
            <w:r>
              <w:rPr>
                <w:rFonts w:hint="default"/>
                <w:highlight w:val="none"/>
                <w:lang w:eastAsia="zh-CN"/>
              </w:rPr>
              <w:t>昼夜</w:t>
            </w:r>
          </w:p>
        </w:tc>
        <w:tc>
          <w:tcPr>
            <w:tcW w:w="858" w:type="dxa"/>
            <w:shd w:val="clear" w:color="auto" w:fill="FFFFFF"/>
            <w:tcMar>
              <w:top w:w="0" w:type="dxa"/>
              <w:left w:w="0" w:type="dxa"/>
              <w:bottom w:w="0" w:type="dxa"/>
              <w:right w:w="0" w:type="dxa"/>
            </w:tcMar>
            <w:vAlign w:val="center"/>
          </w:tcPr>
          <w:p w14:paraId="60AB5FED">
            <w:pPr>
              <w:pStyle w:val="58"/>
              <w:bidi w:val="0"/>
              <w:rPr>
                <w:rFonts w:hint="default"/>
                <w:highlight w:val="none"/>
                <w:lang w:val="en-US" w:eastAsia="zh-CN"/>
              </w:rPr>
            </w:pPr>
            <w:r>
              <w:rPr>
                <w:rFonts w:hint="default"/>
                <w:highlight w:val="none"/>
                <w:lang w:val="en-US" w:eastAsia="zh-CN"/>
              </w:rPr>
              <w:t>26</w:t>
            </w:r>
          </w:p>
        </w:tc>
        <w:tc>
          <w:tcPr>
            <w:tcW w:w="424" w:type="dxa"/>
            <w:shd w:val="clear" w:color="auto" w:fill="FFFFFF"/>
            <w:tcMar>
              <w:top w:w="0" w:type="dxa"/>
              <w:left w:w="0" w:type="dxa"/>
              <w:bottom w:w="0" w:type="dxa"/>
              <w:right w:w="0" w:type="dxa"/>
            </w:tcMar>
            <w:vAlign w:val="center"/>
          </w:tcPr>
          <w:p w14:paraId="43AD3CBE">
            <w:pPr>
              <w:pStyle w:val="58"/>
              <w:bidi w:val="0"/>
              <w:rPr>
                <w:rFonts w:hint="default"/>
                <w:highlight w:val="none"/>
                <w:lang w:val="en-US" w:eastAsia="zh-CN"/>
              </w:rPr>
            </w:pPr>
            <w:r>
              <w:rPr>
                <w:rFonts w:hint="default"/>
                <w:highlight w:val="none"/>
              </w:rPr>
              <w:t>85.0</w:t>
            </w:r>
          </w:p>
        </w:tc>
        <w:tc>
          <w:tcPr>
            <w:tcW w:w="424" w:type="dxa"/>
            <w:shd w:val="clear" w:color="auto" w:fill="FFFFFF"/>
            <w:tcMar>
              <w:top w:w="0" w:type="dxa"/>
              <w:left w:w="0" w:type="dxa"/>
              <w:bottom w:w="0" w:type="dxa"/>
              <w:right w:w="0" w:type="dxa"/>
            </w:tcMar>
            <w:vAlign w:val="center"/>
          </w:tcPr>
          <w:p w14:paraId="0C7A41B1">
            <w:pPr>
              <w:pStyle w:val="58"/>
              <w:bidi w:val="0"/>
              <w:rPr>
                <w:rFonts w:hint="default"/>
                <w:highlight w:val="none"/>
                <w:lang w:val="en-US" w:eastAsia="zh-CN"/>
              </w:rPr>
            </w:pPr>
            <w:r>
              <w:rPr>
                <w:rFonts w:hint="default"/>
                <w:highlight w:val="none"/>
              </w:rPr>
              <w:t>85.0</w:t>
            </w:r>
          </w:p>
        </w:tc>
        <w:tc>
          <w:tcPr>
            <w:tcW w:w="424" w:type="dxa"/>
            <w:shd w:val="clear" w:color="auto" w:fill="FFFFFF"/>
            <w:tcMar>
              <w:top w:w="0" w:type="dxa"/>
              <w:left w:w="0" w:type="dxa"/>
              <w:bottom w:w="0" w:type="dxa"/>
              <w:right w:w="0" w:type="dxa"/>
            </w:tcMar>
            <w:vAlign w:val="center"/>
          </w:tcPr>
          <w:p w14:paraId="79B63C01">
            <w:pPr>
              <w:pStyle w:val="58"/>
              <w:bidi w:val="0"/>
              <w:rPr>
                <w:rFonts w:hint="default"/>
                <w:highlight w:val="none"/>
                <w:lang w:val="en-US" w:eastAsia="zh-CN"/>
              </w:rPr>
            </w:pPr>
            <w:r>
              <w:rPr>
                <w:rFonts w:hint="default"/>
                <w:highlight w:val="none"/>
              </w:rPr>
              <w:t>85.3</w:t>
            </w:r>
          </w:p>
        </w:tc>
        <w:tc>
          <w:tcPr>
            <w:tcW w:w="427" w:type="dxa"/>
            <w:shd w:val="clear" w:color="auto" w:fill="FFFFFF"/>
            <w:tcMar>
              <w:top w:w="0" w:type="dxa"/>
              <w:left w:w="0" w:type="dxa"/>
              <w:bottom w:w="0" w:type="dxa"/>
              <w:right w:w="0" w:type="dxa"/>
            </w:tcMar>
            <w:vAlign w:val="center"/>
          </w:tcPr>
          <w:p w14:paraId="135BF0C1">
            <w:pPr>
              <w:pStyle w:val="58"/>
              <w:bidi w:val="0"/>
              <w:rPr>
                <w:rFonts w:hint="default"/>
                <w:highlight w:val="none"/>
                <w:lang w:val="en-US" w:eastAsia="zh-CN"/>
              </w:rPr>
            </w:pPr>
            <w:r>
              <w:rPr>
                <w:rFonts w:hint="default"/>
                <w:highlight w:val="none"/>
              </w:rPr>
              <w:t>85.0</w:t>
            </w:r>
          </w:p>
        </w:tc>
        <w:tc>
          <w:tcPr>
            <w:tcW w:w="486" w:type="dxa"/>
            <w:shd w:val="clear" w:color="auto" w:fill="FFFFFF"/>
            <w:tcMar>
              <w:top w:w="0" w:type="dxa"/>
              <w:left w:w="0" w:type="dxa"/>
              <w:bottom w:w="0" w:type="dxa"/>
              <w:right w:w="0" w:type="dxa"/>
            </w:tcMar>
            <w:vAlign w:val="center"/>
          </w:tcPr>
          <w:p w14:paraId="191F3440">
            <w:pPr>
              <w:pStyle w:val="58"/>
              <w:bidi w:val="0"/>
              <w:rPr>
                <w:rFonts w:hint="default"/>
                <w:highlight w:val="none"/>
                <w:lang w:val="en-US" w:eastAsia="zh-CN"/>
              </w:rPr>
            </w:pPr>
            <w:r>
              <w:rPr>
                <w:rFonts w:hint="default"/>
                <w:highlight w:val="none"/>
              </w:rPr>
              <w:t>1</w:t>
            </w:r>
          </w:p>
        </w:tc>
      </w:tr>
      <w:bookmarkEnd w:id="322"/>
    </w:tbl>
    <w:p w14:paraId="2100DA37">
      <w:pP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表中坐标以厂界西南角为坐标原点（0，0，0），正东向为X轴正方向，正北向为Y轴正方向</w:t>
      </w:r>
    </w:p>
    <w:p w14:paraId="4E15F5D0">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lang w:val="en-US" w:eastAsia="zh-CN"/>
        </w:rPr>
      </w:pPr>
      <w:r>
        <w:rPr>
          <w:rFonts w:hint="default" w:ascii="Times New Roman" w:hAnsi="Times New Roman" w:eastAsia="宋体" w:cs="Times New Roman"/>
          <w:b/>
          <w:bCs/>
          <w:color w:val="auto"/>
          <w:sz w:val="24"/>
          <w:highlight w:val="none"/>
          <w:lang w:val="en-US" w:eastAsia="zh-CN"/>
        </w:rPr>
        <w:t>表5.2-29</w:t>
      </w:r>
      <w:r>
        <w:rPr>
          <w:rFonts w:hint="default" w:ascii="Times New Roman" w:hAnsi="Times New Roman" w:eastAsia="宋体" w:cs="Times New Roman"/>
          <w:b/>
          <w:bCs/>
          <w:color w:val="auto"/>
          <w:sz w:val="24"/>
          <w:highlight w:val="none"/>
          <w:lang w:val="en-US" w:eastAsia="zh-CN"/>
        </w:rPr>
        <w:tab/>
      </w:r>
      <w:r>
        <w:rPr>
          <w:rFonts w:hint="default" w:ascii="Times New Roman" w:hAnsi="Times New Roman" w:eastAsia="宋体" w:cs="Times New Roman"/>
          <w:b/>
          <w:bCs/>
          <w:color w:val="auto"/>
          <w:sz w:val="24"/>
          <w:highlight w:val="none"/>
          <w:lang w:val="en-US" w:eastAsia="zh-CN"/>
        </w:rPr>
        <w:t>工业企业噪声源强调查清单（室外声源）</w:t>
      </w:r>
    </w:p>
    <w:tbl>
      <w:tblPr>
        <w:tblStyle w:val="4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1"/>
        <w:gridCol w:w="1496"/>
        <w:gridCol w:w="2890"/>
        <w:gridCol w:w="814"/>
        <w:gridCol w:w="688"/>
        <w:gridCol w:w="569"/>
        <w:gridCol w:w="2739"/>
        <w:gridCol w:w="3021"/>
        <w:gridCol w:w="1246"/>
      </w:tblGrid>
      <w:tr w14:paraId="630524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4" w:type="pct"/>
            <w:vMerge w:val="restart"/>
            <w:vAlign w:val="center"/>
          </w:tcPr>
          <w:p w14:paraId="4A80A921">
            <w:pPr>
              <w:pStyle w:val="58"/>
              <w:bidi w:val="0"/>
              <w:rPr>
                <w:rFonts w:hint="default"/>
                <w:highlight w:val="none"/>
              </w:rPr>
            </w:pPr>
            <w:r>
              <w:rPr>
                <w:rFonts w:hint="default"/>
                <w:highlight w:val="none"/>
              </w:rPr>
              <w:t>序号</w:t>
            </w:r>
          </w:p>
        </w:tc>
        <w:tc>
          <w:tcPr>
            <w:tcW w:w="526" w:type="pct"/>
            <w:vMerge w:val="restart"/>
            <w:vAlign w:val="center"/>
          </w:tcPr>
          <w:p w14:paraId="486F99B2">
            <w:pPr>
              <w:pStyle w:val="58"/>
              <w:bidi w:val="0"/>
              <w:rPr>
                <w:rFonts w:hint="default"/>
                <w:highlight w:val="none"/>
              </w:rPr>
            </w:pPr>
            <w:r>
              <w:rPr>
                <w:rFonts w:hint="default"/>
                <w:highlight w:val="none"/>
              </w:rPr>
              <w:t>声源名称</w:t>
            </w:r>
          </w:p>
        </w:tc>
        <w:tc>
          <w:tcPr>
            <w:tcW w:w="1016" w:type="pct"/>
            <w:vMerge w:val="restart"/>
            <w:vAlign w:val="center"/>
          </w:tcPr>
          <w:p w14:paraId="58588654">
            <w:pPr>
              <w:pStyle w:val="58"/>
              <w:bidi w:val="0"/>
              <w:rPr>
                <w:rFonts w:hint="default"/>
                <w:highlight w:val="none"/>
              </w:rPr>
            </w:pPr>
            <w:r>
              <w:rPr>
                <w:rFonts w:hint="default"/>
                <w:highlight w:val="none"/>
              </w:rPr>
              <w:t>型号</w:t>
            </w:r>
          </w:p>
        </w:tc>
        <w:tc>
          <w:tcPr>
            <w:tcW w:w="728" w:type="pct"/>
            <w:gridSpan w:val="3"/>
            <w:vAlign w:val="center"/>
          </w:tcPr>
          <w:p w14:paraId="7749F083">
            <w:pPr>
              <w:pStyle w:val="58"/>
              <w:bidi w:val="0"/>
              <w:rPr>
                <w:rFonts w:hint="default"/>
                <w:highlight w:val="none"/>
              </w:rPr>
            </w:pPr>
            <w:r>
              <w:rPr>
                <w:rFonts w:hint="default"/>
                <w:highlight w:val="none"/>
              </w:rPr>
              <w:t>空间相对位置/m</w:t>
            </w:r>
          </w:p>
        </w:tc>
        <w:tc>
          <w:tcPr>
            <w:tcW w:w="963" w:type="pct"/>
            <w:vAlign w:val="center"/>
          </w:tcPr>
          <w:p w14:paraId="3BF8BF4E">
            <w:pPr>
              <w:pStyle w:val="58"/>
              <w:bidi w:val="0"/>
              <w:rPr>
                <w:rFonts w:hint="default"/>
                <w:highlight w:val="none"/>
                <w:lang w:eastAsia="zh-CN"/>
              </w:rPr>
            </w:pPr>
            <w:r>
              <w:rPr>
                <w:rFonts w:hint="default"/>
                <w:highlight w:val="none"/>
                <w:lang w:eastAsia="zh-CN"/>
              </w:rPr>
              <w:t>声源源强（任选一种）</w:t>
            </w:r>
          </w:p>
        </w:tc>
        <w:tc>
          <w:tcPr>
            <w:tcW w:w="1062" w:type="pct"/>
            <w:vMerge w:val="restart"/>
            <w:vAlign w:val="center"/>
          </w:tcPr>
          <w:p w14:paraId="51DF6B90">
            <w:pPr>
              <w:pStyle w:val="58"/>
              <w:bidi w:val="0"/>
              <w:rPr>
                <w:rFonts w:hint="default"/>
                <w:highlight w:val="none"/>
              </w:rPr>
            </w:pPr>
            <w:r>
              <w:rPr>
                <w:rFonts w:hint="default"/>
                <w:highlight w:val="none"/>
              </w:rPr>
              <w:t>声源控制措施</w:t>
            </w:r>
          </w:p>
        </w:tc>
        <w:tc>
          <w:tcPr>
            <w:tcW w:w="438" w:type="pct"/>
            <w:vMerge w:val="restart"/>
            <w:vAlign w:val="center"/>
          </w:tcPr>
          <w:p w14:paraId="61AF6C9D">
            <w:pPr>
              <w:pStyle w:val="58"/>
              <w:bidi w:val="0"/>
              <w:rPr>
                <w:rFonts w:hint="default"/>
                <w:highlight w:val="none"/>
              </w:rPr>
            </w:pPr>
            <w:r>
              <w:rPr>
                <w:rFonts w:hint="default"/>
                <w:highlight w:val="none"/>
              </w:rPr>
              <w:t>运行时段</w:t>
            </w:r>
          </w:p>
        </w:tc>
      </w:tr>
      <w:tr w14:paraId="4DBDF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4" w:type="pct"/>
            <w:vMerge w:val="continue"/>
            <w:shd w:val="clear" w:color="auto" w:fill="FFFFFF"/>
            <w:vAlign w:val="center"/>
          </w:tcPr>
          <w:p w14:paraId="4C01E4D4">
            <w:pPr>
              <w:pStyle w:val="58"/>
              <w:bidi w:val="0"/>
              <w:rPr>
                <w:rFonts w:hint="default"/>
                <w:highlight w:val="none"/>
              </w:rPr>
            </w:pPr>
          </w:p>
        </w:tc>
        <w:tc>
          <w:tcPr>
            <w:tcW w:w="526" w:type="pct"/>
            <w:vMerge w:val="continue"/>
            <w:shd w:val="clear" w:color="auto" w:fill="FFFFFF"/>
            <w:vAlign w:val="center"/>
          </w:tcPr>
          <w:p w14:paraId="1898CCDA">
            <w:pPr>
              <w:pStyle w:val="58"/>
              <w:bidi w:val="0"/>
              <w:rPr>
                <w:rFonts w:hint="default"/>
                <w:highlight w:val="none"/>
              </w:rPr>
            </w:pPr>
          </w:p>
        </w:tc>
        <w:tc>
          <w:tcPr>
            <w:tcW w:w="1016" w:type="pct"/>
            <w:vMerge w:val="continue"/>
            <w:shd w:val="clear" w:color="auto" w:fill="FFFFFF"/>
            <w:vAlign w:val="center"/>
          </w:tcPr>
          <w:p w14:paraId="5F317118">
            <w:pPr>
              <w:pStyle w:val="58"/>
              <w:bidi w:val="0"/>
              <w:rPr>
                <w:rFonts w:hint="default"/>
                <w:highlight w:val="none"/>
              </w:rPr>
            </w:pPr>
          </w:p>
        </w:tc>
        <w:tc>
          <w:tcPr>
            <w:tcW w:w="286" w:type="pct"/>
            <w:shd w:val="clear" w:color="auto" w:fill="FFFFFF"/>
            <w:vAlign w:val="center"/>
          </w:tcPr>
          <w:p w14:paraId="13C44565">
            <w:pPr>
              <w:pStyle w:val="58"/>
              <w:bidi w:val="0"/>
              <w:rPr>
                <w:rFonts w:hint="default"/>
                <w:highlight w:val="none"/>
              </w:rPr>
            </w:pPr>
            <w:r>
              <w:rPr>
                <w:rFonts w:hint="default"/>
                <w:highlight w:val="none"/>
              </w:rPr>
              <w:t>X</w:t>
            </w:r>
          </w:p>
        </w:tc>
        <w:tc>
          <w:tcPr>
            <w:tcW w:w="242" w:type="pct"/>
            <w:shd w:val="clear" w:color="auto" w:fill="FFFFFF"/>
            <w:vAlign w:val="center"/>
          </w:tcPr>
          <w:p w14:paraId="0691B37C">
            <w:pPr>
              <w:pStyle w:val="58"/>
              <w:bidi w:val="0"/>
              <w:rPr>
                <w:rFonts w:hint="default"/>
                <w:highlight w:val="none"/>
              </w:rPr>
            </w:pPr>
            <w:r>
              <w:rPr>
                <w:rFonts w:hint="default"/>
                <w:highlight w:val="none"/>
              </w:rPr>
              <w:t>Y</w:t>
            </w:r>
          </w:p>
        </w:tc>
        <w:tc>
          <w:tcPr>
            <w:tcW w:w="200" w:type="pct"/>
            <w:shd w:val="clear" w:color="auto" w:fill="FFFFFF"/>
            <w:vAlign w:val="center"/>
          </w:tcPr>
          <w:p w14:paraId="5344FAE2">
            <w:pPr>
              <w:pStyle w:val="58"/>
              <w:bidi w:val="0"/>
              <w:rPr>
                <w:rFonts w:hint="default"/>
                <w:highlight w:val="none"/>
              </w:rPr>
            </w:pPr>
            <w:r>
              <w:rPr>
                <w:rFonts w:hint="default"/>
                <w:highlight w:val="none"/>
              </w:rPr>
              <w:t>Z</w:t>
            </w:r>
          </w:p>
        </w:tc>
        <w:tc>
          <w:tcPr>
            <w:tcW w:w="963" w:type="pct"/>
            <w:shd w:val="clear" w:color="auto" w:fill="FFFFFF"/>
            <w:vAlign w:val="center"/>
          </w:tcPr>
          <w:p w14:paraId="6F63C587">
            <w:pPr>
              <w:pStyle w:val="58"/>
              <w:bidi w:val="0"/>
              <w:rPr>
                <w:rFonts w:hint="default"/>
                <w:highlight w:val="none"/>
              </w:rPr>
            </w:pPr>
            <w:r>
              <w:rPr>
                <w:rFonts w:hint="default"/>
                <w:highlight w:val="none"/>
              </w:rPr>
              <w:t>声功率级/dB(A)</w:t>
            </w:r>
          </w:p>
        </w:tc>
        <w:tc>
          <w:tcPr>
            <w:tcW w:w="1062" w:type="pct"/>
            <w:vMerge w:val="continue"/>
            <w:shd w:val="clear" w:color="auto" w:fill="FFFFFF"/>
            <w:vAlign w:val="center"/>
          </w:tcPr>
          <w:p w14:paraId="4503C79F">
            <w:pPr>
              <w:pStyle w:val="58"/>
              <w:bidi w:val="0"/>
              <w:rPr>
                <w:rFonts w:hint="default"/>
                <w:highlight w:val="none"/>
              </w:rPr>
            </w:pPr>
          </w:p>
        </w:tc>
        <w:tc>
          <w:tcPr>
            <w:tcW w:w="438" w:type="pct"/>
            <w:vMerge w:val="continue"/>
            <w:shd w:val="clear" w:color="auto" w:fill="FFFFFF"/>
            <w:vAlign w:val="center"/>
          </w:tcPr>
          <w:p w14:paraId="6E26CCE4">
            <w:pPr>
              <w:pStyle w:val="58"/>
              <w:bidi w:val="0"/>
              <w:rPr>
                <w:rFonts w:hint="default"/>
                <w:highlight w:val="none"/>
              </w:rPr>
            </w:pPr>
          </w:p>
        </w:tc>
      </w:tr>
      <w:tr w14:paraId="26224F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454" w:hRule="atLeast"/>
          <w:jc w:val="center"/>
        </w:trPr>
        <w:tc>
          <w:tcPr>
            <w:tcW w:w="264" w:type="pct"/>
            <w:shd w:val="clear" w:color="auto" w:fill="FFFFFF"/>
            <w:vAlign w:val="center"/>
          </w:tcPr>
          <w:p w14:paraId="70B2473A">
            <w:pPr>
              <w:pStyle w:val="58"/>
              <w:bidi w:val="0"/>
              <w:rPr>
                <w:rFonts w:hint="default"/>
                <w:highlight w:val="none"/>
              </w:rPr>
            </w:pPr>
            <w:r>
              <w:rPr>
                <w:rFonts w:hint="default"/>
                <w:highlight w:val="none"/>
              </w:rPr>
              <w:t>1</w:t>
            </w:r>
          </w:p>
        </w:tc>
        <w:tc>
          <w:tcPr>
            <w:tcW w:w="526" w:type="pct"/>
            <w:shd w:val="clear" w:color="auto" w:fill="FFFFFF"/>
            <w:vAlign w:val="center"/>
          </w:tcPr>
          <w:p w14:paraId="6420E2D7">
            <w:pPr>
              <w:pStyle w:val="58"/>
              <w:bidi w:val="0"/>
              <w:rPr>
                <w:rFonts w:hint="default"/>
                <w:highlight w:val="none"/>
              </w:rPr>
            </w:pPr>
            <w:r>
              <w:rPr>
                <w:rFonts w:hint="default"/>
                <w:highlight w:val="none"/>
              </w:rPr>
              <w:t>除臭风机</w:t>
            </w:r>
          </w:p>
        </w:tc>
        <w:tc>
          <w:tcPr>
            <w:tcW w:w="1016" w:type="pct"/>
            <w:shd w:val="clear" w:color="auto" w:fill="FFFFFF"/>
            <w:vAlign w:val="center"/>
          </w:tcPr>
          <w:p w14:paraId="3BB6C48B">
            <w:pPr>
              <w:pStyle w:val="58"/>
              <w:bidi w:val="0"/>
              <w:rPr>
                <w:rFonts w:hint="default"/>
                <w:highlight w:val="none"/>
              </w:rPr>
            </w:pPr>
            <w:r>
              <w:rPr>
                <w:rFonts w:hint="default"/>
                <w:highlight w:val="none"/>
                <w:lang w:val="en-US" w:eastAsia="zh-CN"/>
              </w:rPr>
              <w:t>GXT-3.2A，Q=5000</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/h</w:t>
            </w:r>
          </w:p>
        </w:tc>
        <w:tc>
          <w:tcPr>
            <w:tcW w:w="286" w:type="pct"/>
            <w:shd w:val="clear" w:color="auto" w:fill="FFFFFF"/>
            <w:vAlign w:val="center"/>
          </w:tcPr>
          <w:p w14:paraId="589998D8">
            <w:pPr>
              <w:pStyle w:val="58"/>
              <w:bidi w:val="0"/>
              <w:rPr>
                <w:rFonts w:hint="default"/>
                <w:highlight w:val="none"/>
              </w:rPr>
            </w:pPr>
            <w:r>
              <w:rPr>
                <w:rFonts w:hint="default"/>
                <w:highlight w:val="none"/>
              </w:rPr>
              <w:t>129.2</w:t>
            </w:r>
          </w:p>
        </w:tc>
        <w:tc>
          <w:tcPr>
            <w:tcW w:w="242" w:type="pct"/>
            <w:shd w:val="clear" w:color="auto" w:fill="FFFFFF"/>
            <w:vAlign w:val="center"/>
          </w:tcPr>
          <w:p w14:paraId="3985935E">
            <w:pPr>
              <w:pStyle w:val="58"/>
              <w:bidi w:val="0"/>
              <w:rPr>
                <w:rFonts w:hint="default"/>
                <w:highlight w:val="none"/>
              </w:rPr>
            </w:pPr>
            <w:r>
              <w:rPr>
                <w:rFonts w:hint="default"/>
                <w:highlight w:val="none"/>
              </w:rPr>
              <w:t>58</w:t>
            </w:r>
          </w:p>
        </w:tc>
        <w:tc>
          <w:tcPr>
            <w:tcW w:w="200" w:type="pct"/>
            <w:shd w:val="clear" w:color="auto" w:fill="FFFFFF"/>
            <w:vAlign w:val="center"/>
          </w:tcPr>
          <w:p w14:paraId="07111052">
            <w:pPr>
              <w:pStyle w:val="58"/>
              <w:bidi w:val="0"/>
              <w:rPr>
                <w:rFonts w:hint="default"/>
                <w:highlight w:val="none"/>
              </w:rPr>
            </w:pPr>
            <w:r>
              <w:rPr>
                <w:rFonts w:hint="default"/>
                <w:highlight w:val="none"/>
              </w:rPr>
              <w:t>1.2</w:t>
            </w:r>
          </w:p>
        </w:tc>
        <w:tc>
          <w:tcPr>
            <w:tcW w:w="963" w:type="pct"/>
            <w:shd w:val="clear" w:color="auto" w:fill="FFFFFF"/>
            <w:vAlign w:val="center"/>
          </w:tcPr>
          <w:p w14:paraId="4CB83666">
            <w:pPr>
              <w:pStyle w:val="58"/>
              <w:bidi w:val="0"/>
              <w:rPr>
                <w:rFonts w:hint="default"/>
                <w:highlight w:val="none"/>
              </w:rPr>
            </w:pPr>
            <w:r>
              <w:rPr>
                <w:rFonts w:hint="default"/>
                <w:highlight w:val="none"/>
              </w:rPr>
              <w:t>90</w:t>
            </w:r>
          </w:p>
        </w:tc>
        <w:tc>
          <w:tcPr>
            <w:tcW w:w="1062" w:type="pct"/>
            <w:shd w:val="clear" w:color="auto" w:fill="FFFFFF"/>
            <w:vAlign w:val="center"/>
          </w:tcPr>
          <w:p w14:paraId="1119F3C0">
            <w:pPr>
              <w:pStyle w:val="58"/>
              <w:bidi w:val="0"/>
              <w:rPr>
                <w:rFonts w:hint="default"/>
                <w:highlight w:val="none"/>
              </w:rPr>
            </w:pPr>
            <w:bookmarkStart w:id="326" w:name="OLE_LINK87"/>
            <w:r>
              <w:rPr>
                <w:rFonts w:hint="default"/>
                <w:highlight w:val="none"/>
              </w:rPr>
              <w:t>基础减振+隔声罩+软连接</w:t>
            </w:r>
            <w:bookmarkEnd w:id="326"/>
          </w:p>
        </w:tc>
        <w:tc>
          <w:tcPr>
            <w:tcW w:w="438" w:type="pct"/>
            <w:shd w:val="clear" w:color="auto" w:fill="FFFFFF"/>
            <w:vAlign w:val="center"/>
          </w:tcPr>
          <w:p w14:paraId="18DE21AC">
            <w:pPr>
              <w:pStyle w:val="58"/>
              <w:bidi w:val="0"/>
              <w:rPr>
                <w:rFonts w:hint="default"/>
                <w:highlight w:val="none"/>
                <w:lang w:val="en-US" w:eastAsia="zh-CN"/>
              </w:rPr>
            </w:pPr>
            <w:r>
              <w:rPr>
                <w:rFonts w:hint="default"/>
                <w:highlight w:val="none"/>
                <w:lang w:val="en-US" w:eastAsia="zh-CN"/>
              </w:rPr>
              <w:t>昼夜</w:t>
            </w:r>
          </w:p>
        </w:tc>
      </w:tr>
      <w:tr w14:paraId="5E958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454" w:hRule="atLeast"/>
          <w:jc w:val="center"/>
        </w:trPr>
        <w:tc>
          <w:tcPr>
            <w:tcW w:w="264" w:type="pct"/>
            <w:shd w:val="clear" w:color="auto" w:fill="FFFFFF"/>
            <w:vAlign w:val="center"/>
          </w:tcPr>
          <w:p w14:paraId="57ED56AA">
            <w:pPr>
              <w:pStyle w:val="58"/>
              <w:bidi w:val="0"/>
              <w:rPr>
                <w:rFonts w:hint="default"/>
                <w:highlight w:val="none"/>
              </w:rPr>
            </w:pPr>
            <w:r>
              <w:rPr>
                <w:rFonts w:hint="default"/>
                <w:highlight w:val="none"/>
              </w:rPr>
              <w:t>2</w:t>
            </w:r>
          </w:p>
        </w:tc>
        <w:tc>
          <w:tcPr>
            <w:tcW w:w="526" w:type="pct"/>
            <w:shd w:val="clear" w:color="auto" w:fill="FFFFFF"/>
            <w:vAlign w:val="center"/>
          </w:tcPr>
          <w:p w14:paraId="3178ED3F">
            <w:pPr>
              <w:pStyle w:val="58"/>
              <w:bidi w:val="0"/>
              <w:rPr>
                <w:rFonts w:hint="default"/>
                <w:highlight w:val="none"/>
              </w:rPr>
            </w:pPr>
            <w:r>
              <w:rPr>
                <w:rFonts w:hint="eastAsia"/>
                <w:highlight w:val="none"/>
                <w:lang w:eastAsia="zh-CN"/>
              </w:rPr>
              <w:t>砂滤</w:t>
            </w:r>
            <w:r>
              <w:rPr>
                <w:rFonts w:hint="default"/>
                <w:highlight w:val="none"/>
              </w:rPr>
              <w:t>进水泵</w:t>
            </w:r>
          </w:p>
        </w:tc>
        <w:tc>
          <w:tcPr>
            <w:tcW w:w="1016" w:type="pct"/>
            <w:shd w:val="clear" w:color="auto" w:fill="FFFFFF"/>
            <w:vAlign w:val="center"/>
          </w:tcPr>
          <w:p w14:paraId="588359CF">
            <w:pPr>
              <w:pStyle w:val="58"/>
              <w:bidi w:val="0"/>
              <w:rPr>
                <w:rFonts w:hint="default"/>
                <w:highlight w:val="none"/>
              </w:rPr>
            </w:pPr>
            <w:r>
              <w:rPr>
                <w:rFonts w:hint="default"/>
                <w:highlight w:val="none"/>
                <w:lang w:val="zh-CN"/>
              </w:rPr>
              <w:t>50WQ/E20-14-1.5</w:t>
            </w:r>
          </w:p>
        </w:tc>
        <w:tc>
          <w:tcPr>
            <w:tcW w:w="286" w:type="pct"/>
            <w:shd w:val="clear" w:color="auto" w:fill="FFFFFF"/>
            <w:vAlign w:val="center"/>
          </w:tcPr>
          <w:p w14:paraId="53283404">
            <w:pPr>
              <w:pStyle w:val="58"/>
              <w:bidi w:val="0"/>
              <w:rPr>
                <w:rFonts w:hint="default"/>
                <w:highlight w:val="none"/>
              </w:rPr>
            </w:pPr>
            <w:r>
              <w:rPr>
                <w:rFonts w:hint="default"/>
                <w:highlight w:val="none"/>
              </w:rPr>
              <w:t>118.1</w:t>
            </w:r>
          </w:p>
        </w:tc>
        <w:tc>
          <w:tcPr>
            <w:tcW w:w="242" w:type="pct"/>
            <w:shd w:val="clear" w:color="auto" w:fill="FFFFFF"/>
            <w:vAlign w:val="center"/>
          </w:tcPr>
          <w:p w14:paraId="0575EBFE">
            <w:pPr>
              <w:pStyle w:val="58"/>
              <w:bidi w:val="0"/>
              <w:rPr>
                <w:rFonts w:hint="default"/>
                <w:highlight w:val="none"/>
              </w:rPr>
            </w:pPr>
            <w:r>
              <w:rPr>
                <w:rFonts w:hint="default"/>
                <w:highlight w:val="none"/>
              </w:rPr>
              <w:t>61.3</w:t>
            </w:r>
          </w:p>
        </w:tc>
        <w:tc>
          <w:tcPr>
            <w:tcW w:w="200" w:type="pct"/>
            <w:shd w:val="clear" w:color="auto" w:fill="FFFFFF"/>
            <w:vAlign w:val="center"/>
          </w:tcPr>
          <w:p w14:paraId="0E3A618A">
            <w:pPr>
              <w:pStyle w:val="58"/>
              <w:bidi w:val="0"/>
              <w:rPr>
                <w:rFonts w:hint="default"/>
                <w:highlight w:val="none"/>
              </w:rPr>
            </w:pPr>
            <w:r>
              <w:rPr>
                <w:rFonts w:hint="default"/>
                <w:highlight w:val="none"/>
              </w:rPr>
              <w:t>1.2</w:t>
            </w:r>
          </w:p>
        </w:tc>
        <w:tc>
          <w:tcPr>
            <w:tcW w:w="963" w:type="pct"/>
            <w:shd w:val="clear" w:color="auto" w:fill="FFFFFF"/>
            <w:vAlign w:val="center"/>
          </w:tcPr>
          <w:p w14:paraId="2A700E16">
            <w:pPr>
              <w:pStyle w:val="58"/>
              <w:bidi w:val="0"/>
              <w:rPr>
                <w:rFonts w:hint="default"/>
                <w:highlight w:val="none"/>
              </w:rPr>
            </w:pPr>
            <w:r>
              <w:rPr>
                <w:rFonts w:hint="default"/>
                <w:highlight w:val="none"/>
              </w:rPr>
              <w:t>85</w:t>
            </w:r>
          </w:p>
        </w:tc>
        <w:tc>
          <w:tcPr>
            <w:tcW w:w="1062" w:type="pct"/>
            <w:shd w:val="clear" w:color="auto" w:fill="FFFFFF"/>
            <w:vAlign w:val="center"/>
          </w:tcPr>
          <w:p w14:paraId="341DC8CF">
            <w:pPr>
              <w:pStyle w:val="58"/>
              <w:bidi w:val="0"/>
              <w:rPr>
                <w:rFonts w:hint="default"/>
                <w:highlight w:val="none"/>
              </w:rPr>
            </w:pPr>
            <w:r>
              <w:rPr>
                <w:rFonts w:hint="default"/>
                <w:highlight w:val="none"/>
              </w:rPr>
              <w:t>基础减振+隔声罩</w:t>
            </w:r>
          </w:p>
        </w:tc>
        <w:tc>
          <w:tcPr>
            <w:tcW w:w="438" w:type="pct"/>
            <w:shd w:val="clear" w:color="auto" w:fill="FFFFFF"/>
            <w:vAlign w:val="center"/>
          </w:tcPr>
          <w:p w14:paraId="41F24815">
            <w:pPr>
              <w:pStyle w:val="58"/>
              <w:bidi w:val="0"/>
              <w:rPr>
                <w:rFonts w:hint="default"/>
                <w:highlight w:val="none"/>
                <w:lang w:val="en-US" w:eastAsia="zh-CN"/>
              </w:rPr>
            </w:pPr>
            <w:r>
              <w:rPr>
                <w:rFonts w:hint="default"/>
                <w:highlight w:val="none"/>
                <w:lang w:val="en-US" w:eastAsia="zh-CN"/>
              </w:rPr>
              <w:t>昼夜</w:t>
            </w:r>
          </w:p>
        </w:tc>
      </w:tr>
      <w:tr w14:paraId="46518F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454" w:hRule="atLeast"/>
          <w:jc w:val="center"/>
        </w:trPr>
        <w:tc>
          <w:tcPr>
            <w:tcW w:w="264" w:type="pct"/>
            <w:shd w:val="clear" w:color="auto" w:fill="FFFFFF"/>
            <w:vAlign w:val="center"/>
          </w:tcPr>
          <w:p w14:paraId="3C9C5D13">
            <w:pPr>
              <w:pStyle w:val="58"/>
              <w:bidi w:val="0"/>
              <w:rPr>
                <w:rFonts w:hint="default"/>
                <w:highlight w:val="none"/>
              </w:rPr>
            </w:pPr>
            <w:r>
              <w:rPr>
                <w:rFonts w:hint="default"/>
                <w:highlight w:val="none"/>
              </w:rPr>
              <w:t>3</w:t>
            </w:r>
          </w:p>
        </w:tc>
        <w:tc>
          <w:tcPr>
            <w:tcW w:w="526" w:type="pct"/>
            <w:shd w:val="clear" w:color="auto" w:fill="FFFFFF"/>
            <w:vAlign w:val="center"/>
          </w:tcPr>
          <w:p w14:paraId="2B223502">
            <w:pPr>
              <w:pStyle w:val="58"/>
              <w:bidi w:val="0"/>
              <w:rPr>
                <w:rFonts w:hint="default"/>
                <w:highlight w:val="none"/>
              </w:rPr>
            </w:pPr>
            <w:r>
              <w:rPr>
                <w:rFonts w:hint="eastAsia"/>
                <w:highlight w:val="none"/>
                <w:lang w:eastAsia="zh-CN"/>
              </w:rPr>
              <w:t>砂滤</w:t>
            </w:r>
            <w:r>
              <w:rPr>
                <w:rFonts w:hint="default"/>
                <w:highlight w:val="none"/>
              </w:rPr>
              <w:t>出水泵</w:t>
            </w:r>
          </w:p>
        </w:tc>
        <w:tc>
          <w:tcPr>
            <w:tcW w:w="1016" w:type="pct"/>
            <w:shd w:val="clear" w:color="auto" w:fill="FFFFFF"/>
            <w:vAlign w:val="center"/>
          </w:tcPr>
          <w:p w14:paraId="03189822">
            <w:pPr>
              <w:pStyle w:val="58"/>
              <w:bidi w:val="0"/>
              <w:rPr>
                <w:rFonts w:hint="default"/>
                <w:highlight w:val="none"/>
              </w:rPr>
            </w:pPr>
            <w:r>
              <w:rPr>
                <w:rFonts w:hint="default"/>
                <w:highlight w:val="none"/>
                <w:lang w:val="zh-CN"/>
              </w:rPr>
              <w:t>50WQ/E30-14-2.2</w:t>
            </w:r>
          </w:p>
        </w:tc>
        <w:tc>
          <w:tcPr>
            <w:tcW w:w="286" w:type="pct"/>
            <w:shd w:val="clear" w:color="auto" w:fill="FFFFFF"/>
            <w:vAlign w:val="center"/>
          </w:tcPr>
          <w:p w14:paraId="2E7712A6">
            <w:pPr>
              <w:pStyle w:val="58"/>
              <w:bidi w:val="0"/>
              <w:rPr>
                <w:rFonts w:hint="default"/>
                <w:highlight w:val="none"/>
              </w:rPr>
            </w:pPr>
            <w:r>
              <w:rPr>
                <w:rFonts w:hint="default"/>
                <w:highlight w:val="none"/>
              </w:rPr>
              <w:t>118.1</w:t>
            </w:r>
          </w:p>
        </w:tc>
        <w:tc>
          <w:tcPr>
            <w:tcW w:w="242" w:type="pct"/>
            <w:shd w:val="clear" w:color="auto" w:fill="FFFFFF"/>
            <w:vAlign w:val="center"/>
          </w:tcPr>
          <w:p w14:paraId="75CE0568">
            <w:pPr>
              <w:pStyle w:val="58"/>
              <w:bidi w:val="0"/>
              <w:rPr>
                <w:rFonts w:hint="default"/>
                <w:highlight w:val="none"/>
              </w:rPr>
            </w:pPr>
            <w:r>
              <w:rPr>
                <w:rFonts w:hint="default"/>
                <w:highlight w:val="none"/>
              </w:rPr>
              <w:t>63.6</w:t>
            </w:r>
          </w:p>
        </w:tc>
        <w:tc>
          <w:tcPr>
            <w:tcW w:w="200" w:type="pct"/>
            <w:shd w:val="clear" w:color="auto" w:fill="FFFFFF"/>
            <w:vAlign w:val="center"/>
          </w:tcPr>
          <w:p w14:paraId="6869A4A3">
            <w:pPr>
              <w:pStyle w:val="58"/>
              <w:bidi w:val="0"/>
              <w:rPr>
                <w:rFonts w:hint="default"/>
                <w:highlight w:val="none"/>
              </w:rPr>
            </w:pPr>
            <w:r>
              <w:rPr>
                <w:rFonts w:hint="default"/>
                <w:highlight w:val="none"/>
              </w:rPr>
              <w:t>1.2</w:t>
            </w:r>
          </w:p>
        </w:tc>
        <w:tc>
          <w:tcPr>
            <w:tcW w:w="963" w:type="pct"/>
            <w:shd w:val="clear" w:color="auto" w:fill="FFFFFF"/>
            <w:vAlign w:val="center"/>
          </w:tcPr>
          <w:p w14:paraId="0D01482C">
            <w:pPr>
              <w:pStyle w:val="58"/>
              <w:bidi w:val="0"/>
              <w:rPr>
                <w:rFonts w:hint="default"/>
                <w:highlight w:val="none"/>
              </w:rPr>
            </w:pPr>
            <w:r>
              <w:rPr>
                <w:rFonts w:hint="default"/>
                <w:highlight w:val="none"/>
              </w:rPr>
              <w:t>85</w:t>
            </w:r>
          </w:p>
        </w:tc>
        <w:tc>
          <w:tcPr>
            <w:tcW w:w="1062" w:type="pct"/>
            <w:shd w:val="clear" w:color="auto" w:fill="FFFFFF"/>
            <w:vAlign w:val="center"/>
          </w:tcPr>
          <w:p w14:paraId="1968F825">
            <w:pPr>
              <w:pStyle w:val="58"/>
              <w:bidi w:val="0"/>
              <w:rPr>
                <w:rFonts w:hint="default"/>
                <w:highlight w:val="none"/>
              </w:rPr>
            </w:pPr>
            <w:r>
              <w:rPr>
                <w:rFonts w:hint="default"/>
                <w:highlight w:val="none"/>
              </w:rPr>
              <w:t>基础减振+隔声罩</w:t>
            </w:r>
          </w:p>
        </w:tc>
        <w:tc>
          <w:tcPr>
            <w:tcW w:w="438" w:type="pct"/>
            <w:shd w:val="clear" w:color="auto" w:fill="FFFFFF"/>
            <w:vAlign w:val="center"/>
          </w:tcPr>
          <w:p w14:paraId="12694C9A">
            <w:pPr>
              <w:pStyle w:val="58"/>
              <w:bidi w:val="0"/>
              <w:rPr>
                <w:rFonts w:hint="default"/>
                <w:highlight w:val="none"/>
                <w:lang w:val="en-US" w:eastAsia="zh-CN"/>
              </w:rPr>
            </w:pPr>
            <w:r>
              <w:rPr>
                <w:rFonts w:hint="default"/>
                <w:highlight w:val="none"/>
                <w:lang w:val="en-US" w:eastAsia="zh-CN"/>
              </w:rPr>
              <w:t>昼夜</w:t>
            </w:r>
          </w:p>
        </w:tc>
      </w:tr>
    </w:tbl>
    <w:p w14:paraId="748FC83F">
      <w:pP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sectPr>
          <w:pgSz w:w="16838" w:h="11906" w:orient="landscape"/>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表中坐标以厂界西南角为坐标原点（0，0，0），正东向为X轴正方向，正北向为Y轴正方向</w:t>
      </w:r>
    </w:p>
    <w:p w14:paraId="66DCCB76">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highlight w:val="none"/>
          <w14:textFill>
            <w14:solidFill>
              <w14:schemeClr w14:val="tx1"/>
            </w14:solidFill>
          </w14:textFill>
        </w:rPr>
      </w:pPr>
      <w:bookmarkStart w:id="327" w:name="_Toc499462747"/>
      <w:r>
        <w:rPr>
          <w:rFonts w:hint="default" w:ascii="Times New Roman" w:hAnsi="Times New Roman" w:eastAsia="宋体" w:cs="Times New Roman"/>
          <w:color w:val="000000" w:themeColor="text1"/>
          <w:highlight w:val="none"/>
          <w:lang w:val="en-US" w:eastAsia="zh-CN"/>
          <w14:textFill>
            <w14:solidFill>
              <w14:schemeClr w14:val="tx1"/>
            </w14:solidFill>
          </w14:textFill>
        </w:rPr>
        <w:t>5.2.4</w:t>
      </w:r>
      <w:r>
        <w:rPr>
          <w:rFonts w:hint="default" w:ascii="Times New Roman" w:hAnsi="Times New Roman" w:eastAsia="宋体" w:cs="Times New Roman"/>
          <w:color w:val="000000" w:themeColor="text1"/>
          <w:highlight w:val="none"/>
          <w14:textFill>
            <w14:solidFill>
              <w14:schemeClr w14:val="tx1"/>
            </w14:solidFill>
          </w14:textFill>
        </w:rPr>
        <w:t>.2噪声预测模式</w:t>
      </w:r>
      <w:bookmarkEnd w:id="327"/>
    </w:p>
    <w:p w14:paraId="72653541">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bookmarkStart w:id="328" w:name="_Toc20354"/>
      <w:r>
        <w:rPr>
          <w:rFonts w:hint="default" w:ascii="Times New Roman" w:hAnsi="Times New Roman" w:eastAsia="宋体" w:cs="Times New Roman"/>
          <w:color w:val="000000" w:themeColor="text1"/>
          <w:sz w:val="24"/>
          <w:highlight w:val="none"/>
          <w14:textFill>
            <w14:solidFill>
              <w14:schemeClr w14:val="tx1"/>
            </w14:solidFill>
          </w14:textFill>
        </w:rPr>
        <w:t>⑴噪声预测模式</w:t>
      </w:r>
    </w:p>
    <w:p w14:paraId="11C04723">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采用《环境影响评价技术导则声环境》（</w:t>
      </w:r>
      <w:r>
        <w:rPr>
          <w:rFonts w:hint="eastAsia" w:ascii="Times New Roman" w:hAnsi="Times New Roman" w:eastAsia="宋体" w:cs="Times New Roman"/>
          <w:color w:val="000000" w:themeColor="text1"/>
          <w:sz w:val="24"/>
          <w:highlight w:val="none"/>
          <w:lang w:eastAsia="zh-CN"/>
          <w14:textFill>
            <w14:solidFill>
              <w14:schemeClr w14:val="tx1"/>
            </w14:solidFill>
          </w14:textFill>
        </w:rPr>
        <w:t>HJ2.4-2021</w:t>
      </w:r>
      <w:r>
        <w:rPr>
          <w:rFonts w:hint="default" w:ascii="Times New Roman" w:hAnsi="Times New Roman" w:eastAsia="宋体" w:cs="Times New Roman"/>
          <w:color w:val="000000" w:themeColor="text1"/>
          <w:sz w:val="24"/>
          <w:highlight w:val="none"/>
          <w14:textFill>
            <w14:solidFill>
              <w14:schemeClr w14:val="tx1"/>
            </w14:solidFill>
          </w14:textFill>
        </w:rPr>
        <w:t>）附录A中工业噪声预测计算模式进行预测。工业声源有室外和室内两种声源，应分别计算。</w:t>
      </w:r>
    </w:p>
    <w:p w14:paraId="0F682EDA">
      <w:pPr>
        <w:spacing w:line="480" w:lineRule="exact"/>
        <w:ind w:firstLine="480" w:firstLineChars="20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①室内声源等效室外声源计算</w:t>
      </w:r>
    </w:p>
    <w:p w14:paraId="57F2EDA0">
      <w:pPr>
        <w:spacing w:line="480" w:lineRule="exact"/>
        <w:ind w:firstLine="480" w:firstLineChars="20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声源位于室内，室内声源可采用等效室外声源声功率级法进行计算。设靠近开口处（或窗户）室内、室外某倍频带的声压级分别为</w:t>
      </w:r>
      <w:r>
        <w:rPr>
          <w:rFonts w:hint="default" w:ascii="Times New Roman" w:hAnsi="Times New Roman" w:eastAsia="宋体" w:cs="Times New Roman"/>
          <w:iCs/>
          <w:color w:val="000000" w:themeColor="text1"/>
          <w:kern w:val="0"/>
          <w:sz w:val="24"/>
          <w:highlight w:val="none"/>
          <w14:textFill>
            <w14:solidFill>
              <w14:schemeClr w14:val="tx1"/>
            </w14:solidFill>
          </w14:textFill>
        </w:rPr>
        <w:t>L</w:t>
      </w:r>
      <w:r>
        <w:rPr>
          <w:rFonts w:hint="default" w:ascii="Times New Roman" w:hAnsi="Times New Roman" w:eastAsia="宋体" w:cs="Times New Roman"/>
          <w:iCs/>
          <w:color w:val="000000" w:themeColor="text1"/>
          <w:kern w:val="0"/>
          <w:sz w:val="24"/>
          <w:highlight w:val="none"/>
          <w:vertAlign w:val="subscript"/>
          <w:lang w:eastAsia="zh-CN"/>
          <w14:textFill>
            <w14:solidFill>
              <w14:schemeClr w14:val="tx1"/>
            </w14:solidFill>
          </w14:textFill>
        </w:rPr>
        <w:t>DA001</w:t>
      </w:r>
      <w:r>
        <w:rPr>
          <w:rFonts w:hint="default" w:ascii="Times New Roman" w:hAnsi="Times New Roman" w:eastAsia="宋体" w:cs="Times New Roman"/>
          <w:color w:val="000000" w:themeColor="text1"/>
          <w:kern w:val="0"/>
          <w:sz w:val="24"/>
          <w:highlight w:val="none"/>
          <w14:textFill>
            <w14:solidFill>
              <w14:schemeClr w14:val="tx1"/>
            </w14:solidFill>
          </w14:textFill>
        </w:rPr>
        <w:t>和</w:t>
      </w:r>
      <w:r>
        <w:rPr>
          <w:rFonts w:hint="default" w:ascii="Times New Roman" w:hAnsi="Times New Roman" w:eastAsia="宋体" w:cs="Times New Roman"/>
          <w:iCs/>
          <w:color w:val="000000" w:themeColor="text1"/>
          <w:kern w:val="0"/>
          <w:sz w:val="24"/>
          <w:highlight w:val="none"/>
          <w14:textFill>
            <w14:solidFill>
              <w14:schemeClr w14:val="tx1"/>
            </w14:solidFill>
          </w14:textFill>
        </w:rPr>
        <w:t>L</w:t>
      </w:r>
      <w:r>
        <w:rPr>
          <w:rFonts w:hint="default" w:ascii="Times New Roman" w:hAnsi="Times New Roman" w:eastAsia="宋体" w:cs="Times New Roman"/>
          <w:iCs/>
          <w:color w:val="000000" w:themeColor="text1"/>
          <w:kern w:val="0"/>
          <w:sz w:val="24"/>
          <w:highlight w:val="none"/>
          <w:vertAlign w:val="subscript"/>
          <w14:textFill>
            <w14:solidFill>
              <w14:schemeClr w14:val="tx1"/>
            </w14:solidFill>
          </w14:textFill>
        </w:rPr>
        <w:t>p</w:t>
      </w:r>
      <w:r>
        <w:rPr>
          <w:rFonts w:hint="default" w:ascii="Times New Roman" w:hAnsi="Times New Roman" w:eastAsia="宋体" w:cs="Times New Roman"/>
          <w:color w:val="000000" w:themeColor="text1"/>
          <w:kern w:val="0"/>
          <w:sz w:val="24"/>
          <w:highlight w:val="none"/>
          <w:vertAlign w:val="subscript"/>
          <w14:textFill>
            <w14:solidFill>
              <w14:schemeClr w14:val="tx1"/>
            </w14:solidFill>
          </w14:textFill>
        </w:rPr>
        <w:t>2</w:t>
      </w:r>
      <w:r>
        <w:rPr>
          <w:rFonts w:hint="default" w:ascii="Times New Roman" w:hAnsi="Times New Roman" w:eastAsia="宋体" w:cs="Times New Roman"/>
          <w:color w:val="000000" w:themeColor="text1"/>
          <w:kern w:val="0"/>
          <w:sz w:val="24"/>
          <w:highlight w:val="none"/>
          <w14:textFill>
            <w14:solidFill>
              <w14:schemeClr w14:val="tx1"/>
            </w14:solidFill>
          </w14:textFill>
        </w:rPr>
        <w:t>。若声源所在室内声场为近似扩散声场，则室外的倍频带声压级可按下式近似求出：</w:t>
      </w:r>
    </w:p>
    <w:p w14:paraId="0F62C5CE">
      <w:pPr>
        <w:spacing w:line="480" w:lineRule="exact"/>
        <w:ind w:firstLine="480" w:firstLineChars="200"/>
        <w:jc w:val="center"/>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L</w:t>
      </w:r>
      <w:r>
        <w:rPr>
          <w:rFonts w:hint="default" w:ascii="Times New Roman" w:hAnsi="Times New Roman" w:eastAsia="宋体" w:cs="Times New Roman"/>
          <w:color w:val="000000" w:themeColor="text1"/>
          <w:kern w:val="0"/>
          <w:sz w:val="24"/>
          <w:highlight w:val="none"/>
          <w:vertAlign w:val="subscript"/>
          <w14:textFill>
            <w14:solidFill>
              <w14:schemeClr w14:val="tx1"/>
            </w14:solidFill>
          </w14:textFill>
        </w:rPr>
        <w:t>P2</w:t>
      </w:r>
      <w:r>
        <w:rPr>
          <w:rFonts w:hint="default" w:ascii="Times New Roman" w:hAnsi="Times New Roman" w:eastAsia="宋体" w:cs="Times New Roman"/>
          <w:color w:val="000000" w:themeColor="text1"/>
          <w:kern w:val="0"/>
          <w:sz w:val="24"/>
          <w:highlight w:val="none"/>
          <w14:textFill>
            <w14:solidFill>
              <w14:schemeClr w14:val="tx1"/>
            </w14:solidFill>
          </w14:textFill>
        </w:rPr>
        <w:t>（T）=L</w:t>
      </w:r>
      <w:r>
        <w:rPr>
          <w:rFonts w:hint="eastAsia" w:cs="Times New Roman"/>
          <w:color w:val="000000" w:themeColor="text1"/>
          <w:kern w:val="0"/>
          <w:sz w:val="24"/>
          <w:highlight w:val="none"/>
          <w:vertAlign w:val="subscript"/>
          <w:lang w:val="en-US" w:eastAsia="zh-CN"/>
          <w14:textFill>
            <w14:solidFill>
              <w14:schemeClr w14:val="tx1"/>
            </w14:solidFill>
          </w14:textFill>
        </w:rPr>
        <w:t>P1</w:t>
      </w:r>
      <w:r>
        <w:rPr>
          <w:rFonts w:hint="default" w:ascii="Times New Roman" w:hAnsi="Times New Roman" w:eastAsia="宋体" w:cs="Times New Roman"/>
          <w:color w:val="000000" w:themeColor="text1"/>
          <w:kern w:val="0"/>
          <w:sz w:val="24"/>
          <w:highlight w:val="none"/>
          <w14:textFill>
            <w14:solidFill>
              <w14:schemeClr w14:val="tx1"/>
            </w14:solidFill>
          </w14:textFill>
        </w:rPr>
        <w:t>（T）－(TL+6)</w:t>
      </w:r>
    </w:p>
    <w:p w14:paraId="7EF1F3FD">
      <w:pPr>
        <w:spacing w:line="480" w:lineRule="exact"/>
        <w:ind w:firstLine="480" w:firstLineChars="20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式中：</w:t>
      </w:r>
      <w:r>
        <w:rPr>
          <w:rFonts w:hint="default" w:ascii="Times New Roman" w:hAnsi="Times New Roman" w:eastAsia="宋体" w:cs="Times New Roman"/>
          <w:iCs/>
          <w:color w:val="000000" w:themeColor="text1"/>
          <w:kern w:val="0"/>
          <w:sz w:val="24"/>
          <w:highlight w:val="none"/>
          <w14:textFill>
            <w14:solidFill>
              <w14:schemeClr w14:val="tx1"/>
            </w14:solidFill>
          </w14:textFill>
        </w:rPr>
        <w:t>TL</w:t>
      </w:r>
      <w:r>
        <w:rPr>
          <w:rFonts w:hint="default" w:ascii="Times New Roman" w:hAnsi="Times New Roman" w:eastAsia="宋体" w:cs="Times New Roman"/>
          <w:color w:val="000000" w:themeColor="text1"/>
          <w:kern w:val="0"/>
          <w:sz w:val="24"/>
          <w:highlight w:val="none"/>
          <w14:textFill>
            <w14:solidFill>
              <w14:schemeClr w14:val="tx1"/>
            </w14:solidFill>
          </w14:textFill>
        </w:rPr>
        <w:t>—隔墙（或窗户）倍频带的隔声量，dB。</w:t>
      </w:r>
    </w:p>
    <w:p w14:paraId="78238FA9">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int="default" w:ascii="Times New Roman" w:hAnsi="Times New Roman" w:eastAsia="宋体" w:cs="Times New Roman"/>
          <w:bCs/>
          <w:color w:val="000000" w:themeColor="text1"/>
          <w:kern w:val="0"/>
          <w:sz w:val="24"/>
          <w:highlight w:val="none"/>
          <w14:textFill>
            <w14:solidFill>
              <w14:schemeClr w14:val="tx1"/>
            </w14:solidFill>
          </w14:textFill>
        </w:rPr>
      </w:pPr>
      <w:r>
        <w:rPr>
          <w:rFonts w:hint="default" w:ascii="Times New Roman" w:hAnsi="Times New Roman" w:eastAsia="宋体" w:cs="Times New Roman"/>
          <w:bCs/>
          <w:color w:val="000000" w:themeColor="text1"/>
          <w:kern w:val="0"/>
          <w:sz w:val="24"/>
          <w:highlight w:val="none"/>
          <w14:textFill>
            <w14:solidFill>
              <w14:schemeClr w14:val="tx1"/>
            </w14:solidFill>
          </w14:textFill>
        </w:rPr>
        <w:drawing>
          <wp:inline distT="0" distB="0" distL="114300" distR="114300">
            <wp:extent cx="1752600" cy="431800"/>
            <wp:effectExtent l="0" t="0" r="0" b="5715"/>
            <wp:docPr id="56"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69"/>
                    <pic:cNvPicPr>
                      <a:picLocks noChangeAspect="1"/>
                    </pic:cNvPicPr>
                  </pic:nvPicPr>
                  <pic:blipFill>
                    <a:blip r:embed="rId121"/>
                    <a:stretch>
                      <a:fillRect/>
                    </a:stretch>
                  </pic:blipFill>
                  <pic:spPr>
                    <a:xfrm>
                      <a:off x="0" y="0"/>
                      <a:ext cx="1752600" cy="431800"/>
                    </a:xfrm>
                    <a:prstGeom prst="rect">
                      <a:avLst/>
                    </a:prstGeom>
                    <a:noFill/>
                    <a:ln>
                      <a:noFill/>
                    </a:ln>
                  </pic:spPr>
                </pic:pic>
              </a:graphicData>
            </a:graphic>
          </wp:inline>
        </w:drawing>
      </w:r>
    </w:p>
    <w:p w14:paraId="3829FEF3">
      <w:pPr>
        <w:spacing w:line="480" w:lineRule="exact"/>
        <w:ind w:firstLine="480" w:firstLineChars="20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式中：Q—指向性因数；通常对无指向性声源，当声源放在房间中心时，Q=1；当放在一面墙的中心时，Q=2；当放在两面墙夹角处时，Q=4；当放在三面墙夹角处时，Q=8。</w:t>
      </w:r>
    </w:p>
    <w:p w14:paraId="62908AE1">
      <w:pPr>
        <w:spacing w:line="480" w:lineRule="exact"/>
        <w:ind w:firstLine="1080" w:firstLineChars="45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R—房间常数；R=Sα/(1-α)，S为房间内表面面积，m</w:t>
      </w:r>
      <w:r>
        <w:rPr>
          <w:rFonts w:hint="default" w:ascii="Times New Roman" w:hAnsi="Times New Roman" w:eastAsia="宋体" w:cs="Times New Roman"/>
          <w:color w:val="000000" w:themeColor="text1"/>
          <w:kern w:val="0"/>
          <w:sz w:val="24"/>
          <w:highlight w:val="none"/>
          <w:vertAlign w:val="superscript"/>
          <w14:textFill>
            <w14:solidFill>
              <w14:schemeClr w14:val="tx1"/>
            </w14:solidFill>
          </w14:textFill>
        </w:rPr>
        <w:t>2</w:t>
      </w:r>
      <w:r>
        <w:rPr>
          <w:rFonts w:hint="default" w:ascii="Times New Roman" w:hAnsi="Times New Roman" w:eastAsia="宋体" w:cs="Times New Roman"/>
          <w:color w:val="000000" w:themeColor="text1"/>
          <w:kern w:val="0"/>
          <w:sz w:val="24"/>
          <w:highlight w:val="none"/>
          <w14:textFill>
            <w14:solidFill>
              <w14:schemeClr w14:val="tx1"/>
            </w14:solidFill>
          </w14:textFill>
        </w:rPr>
        <w:t>；α为平均吸声系数。</w:t>
      </w:r>
    </w:p>
    <w:p w14:paraId="055354E3">
      <w:pPr>
        <w:spacing w:line="480" w:lineRule="exact"/>
        <w:ind w:firstLine="1080" w:firstLineChars="45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r—声源到靠近围护结构某点处的距离，m。</w:t>
      </w:r>
    </w:p>
    <w:p w14:paraId="7B5EF0F9">
      <w:pPr>
        <w:spacing w:line="480" w:lineRule="exact"/>
        <w:ind w:firstLine="480" w:firstLineChars="20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然后按下式计算出所有室内声源在围护结构处产生的i倍频带叠加声压级：</w:t>
      </w:r>
    </w:p>
    <w:p w14:paraId="39F584F0">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drawing>
          <wp:inline distT="0" distB="0" distL="114300" distR="114300">
            <wp:extent cx="1727200" cy="482600"/>
            <wp:effectExtent l="0" t="0" r="6350" b="13335"/>
            <wp:docPr id="5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70"/>
                    <pic:cNvPicPr>
                      <a:picLocks noChangeAspect="1"/>
                    </pic:cNvPicPr>
                  </pic:nvPicPr>
                  <pic:blipFill>
                    <a:blip r:embed="rId122"/>
                    <a:stretch>
                      <a:fillRect/>
                    </a:stretch>
                  </pic:blipFill>
                  <pic:spPr>
                    <a:xfrm>
                      <a:off x="0" y="0"/>
                      <a:ext cx="1727200" cy="482600"/>
                    </a:xfrm>
                    <a:prstGeom prst="rect">
                      <a:avLst/>
                    </a:prstGeom>
                    <a:noFill/>
                    <a:ln>
                      <a:noFill/>
                    </a:ln>
                  </pic:spPr>
                </pic:pic>
              </a:graphicData>
            </a:graphic>
          </wp:inline>
        </w:drawing>
      </w:r>
    </w:p>
    <w:p w14:paraId="3D0BBC1D">
      <w:pPr>
        <w:spacing w:line="480" w:lineRule="exact"/>
        <w:ind w:firstLine="480" w:firstLineChars="20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式中：L</w:t>
      </w:r>
      <w:r>
        <w:rPr>
          <w:rFonts w:hint="eastAsia" w:cs="Times New Roman"/>
          <w:color w:val="000000" w:themeColor="text1"/>
          <w:kern w:val="0"/>
          <w:sz w:val="24"/>
          <w:highlight w:val="none"/>
          <w:vertAlign w:val="subscript"/>
          <w:lang w:val="en-US" w:eastAsia="zh-CN"/>
          <w14:textFill>
            <w14:solidFill>
              <w14:schemeClr w14:val="tx1"/>
            </w14:solidFill>
          </w14:textFill>
        </w:rPr>
        <w:t>P</w:t>
      </w:r>
      <w:r>
        <w:rPr>
          <w:rFonts w:hint="default" w:ascii="Times New Roman" w:hAnsi="Times New Roman" w:eastAsia="宋体" w:cs="Times New Roman"/>
          <w:color w:val="000000" w:themeColor="text1"/>
          <w:kern w:val="0"/>
          <w:sz w:val="24"/>
          <w:highlight w:val="none"/>
          <w:vertAlign w:val="subscript"/>
          <w:lang w:eastAsia="zh-CN"/>
          <w14:textFill>
            <w14:solidFill>
              <w14:schemeClr w14:val="tx1"/>
            </w14:solidFill>
          </w14:textFill>
        </w:rPr>
        <w:t>1</w:t>
      </w:r>
      <w:r>
        <w:rPr>
          <w:rFonts w:hint="default" w:ascii="Times New Roman" w:hAnsi="Times New Roman" w:eastAsia="宋体" w:cs="Times New Roman"/>
          <w:color w:val="000000" w:themeColor="text1"/>
          <w:kern w:val="0"/>
          <w:sz w:val="24"/>
          <w:highlight w:val="none"/>
          <w:vertAlign w:val="subscript"/>
          <w14:textFill>
            <w14:solidFill>
              <w14:schemeClr w14:val="tx1"/>
            </w14:solidFill>
          </w14:textFill>
        </w:rPr>
        <w:t>i</w:t>
      </w:r>
      <w:r>
        <w:rPr>
          <w:rFonts w:hint="default" w:ascii="Times New Roman" w:hAnsi="Times New Roman" w:eastAsia="宋体" w:cs="Times New Roman"/>
          <w:color w:val="000000" w:themeColor="text1"/>
          <w:kern w:val="0"/>
          <w:sz w:val="24"/>
          <w:highlight w:val="none"/>
          <w14:textFill>
            <w14:solidFill>
              <w14:schemeClr w14:val="tx1"/>
            </w14:solidFill>
          </w14:textFill>
        </w:rPr>
        <w:t>（T）—靠近维护结构处室内N个声源i倍频带的叠加声压级，dB；</w:t>
      </w:r>
    </w:p>
    <w:p w14:paraId="210C00DC">
      <w:pPr>
        <w:spacing w:line="480" w:lineRule="exact"/>
        <w:ind w:firstLine="1200" w:firstLineChars="50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L</w:t>
      </w:r>
      <w:r>
        <w:rPr>
          <w:rFonts w:hint="eastAsia" w:cs="Times New Roman"/>
          <w:color w:val="000000" w:themeColor="text1"/>
          <w:kern w:val="0"/>
          <w:sz w:val="24"/>
          <w:highlight w:val="none"/>
          <w:vertAlign w:val="subscript"/>
          <w:lang w:val="en-US" w:eastAsia="zh-CN"/>
          <w14:textFill>
            <w14:solidFill>
              <w14:schemeClr w14:val="tx1"/>
            </w14:solidFill>
          </w14:textFill>
        </w:rPr>
        <w:t>P</w:t>
      </w:r>
      <w:r>
        <w:rPr>
          <w:rFonts w:hint="default" w:ascii="Times New Roman" w:hAnsi="Times New Roman" w:eastAsia="宋体" w:cs="Times New Roman"/>
          <w:color w:val="000000" w:themeColor="text1"/>
          <w:kern w:val="0"/>
          <w:sz w:val="24"/>
          <w:highlight w:val="none"/>
          <w:vertAlign w:val="subscript"/>
          <w:lang w:eastAsia="zh-CN"/>
          <w14:textFill>
            <w14:solidFill>
              <w14:schemeClr w14:val="tx1"/>
            </w14:solidFill>
          </w14:textFill>
        </w:rPr>
        <w:t>1</w:t>
      </w:r>
      <w:r>
        <w:rPr>
          <w:rFonts w:hint="default" w:ascii="Times New Roman" w:hAnsi="Times New Roman" w:eastAsia="宋体" w:cs="Times New Roman"/>
          <w:color w:val="000000" w:themeColor="text1"/>
          <w:kern w:val="0"/>
          <w:sz w:val="24"/>
          <w:highlight w:val="none"/>
          <w:vertAlign w:val="subscript"/>
          <w14:textFill>
            <w14:solidFill>
              <w14:schemeClr w14:val="tx1"/>
            </w14:solidFill>
          </w14:textFill>
        </w:rPr>
        <w:t>ij</w:t>
      </w:r>
      <w:r>
        <w:rPr>
          <w:rFonts w:hint="default" w:ascii="Times New Roman" w:hAnsi="Times New Roman" w:eastAsia="宋体" w:cs="Times New Roman"/>
          <w:color w:val="000000" w:themeColor="text1"/>
          <w:kern w:val="0"/>
          <w:sz w:val="24"/>
          <w:highlight w:val="none"/>
          <w14:textFill>
            <w14:solidFill>
              <w14:schemeClr w14:val="tx1"/>
            </w14:solidFill>
          </w14:textFill>
        </w:rPr>
        <w:t>—室内j声源i倍频带的声压级，dB；</w:t>
      </w:r>
    </w:p>
    <w:p w14:paraId="47929E87">
      <w:pPr>
        <w:spacing w:line="480" w:lineRule="exact"/>
        <w:ind w:firstLine="1200" w:firstLineChars="50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N—室内声源总数。</w:t>
      </w:r>
    </w:p>
    <w:p w14:paraId="33702FEF">
      <w:pPr>
        <w:spacing w:line="480" w:lineRule="exact"/>
        <w:ind w:firstLine="480" w:firstLineChars="20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在室内近似为扩散声场时，按下式计算出靠近室外围护结构处的声压级：</w:t>
      </w:r>
    </w:p>
    <w:p w14:paraId="02A1E0D0">
      <w:pPr>
        <w:spacing w:line="480" w:lineRule="exact"/>
        <w:ind w:firstLine="480" w:firstLineChars="200"/>
        <w:jc w:val="center"/>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L</w:t>
      </w:r>
      <w:r>
        <w:rPr>
          <w:rFonts w:hint="default" w:ascii="Times New Roman" w:hAnsi="Times New Roman" w:eastAsia="宋体" w:cs="Times New Roman"/>
          <w:color w:val="000000" w:themeColor="text1"/>
          <w:kern w:val="0"/>
          <w:sz w:val="24"/>
          <w:highlight w:val="none"/>
          <w:vertAlign w:val="subscript"/>
          <w14:textFill>
            <w14:solidFill>
              <w14:schemeClr w14:val="tx1"/>
            </w14:solidFill>
          </w14:textFill>
        </w:rPr>
        <w:t>P2i</w:t>
      </w:r>
      <w:r>
        <w:rPr>
          <w:rFonts w:hint="default" w:ascii="Times New Roman" w:hAnsi="Times New Roman" w:eastAsia="宋体" w:cs="Times New Roman"/>
          <w:color w:val="000000" w:themeColor="text1"/>
          <w:kern w:val="0"/>
          <w:sz w:val="24"/>
          <w:highlight w:val="none"/>
          <w14:textFill>
            <w14:solidFill>
              <w14:schemeClr w14:val="tx1"/>
            </w14:solidFill>
          </w14:textFill>
        </w:rPr>
        <w:t>(T)=L</w:t>
      </w:r>
      <w:r>
        <w:rPr>
          <w:rFonts w:hint="eastAsia" w:cs="Times New Roman"/>
          <w:color w:val="000000" w:themeColor="text1"/>
          <w:kern w:val="0"/>
          <w:sz w:val="24"/>
          <w:highlight w:val="none"/>
          <w:vertAlign w:val="subscript"/>
          <w:lang w:val="en-US" w:eastAsia="zh-CN"/>
          <w14:textFill>
            <w14:solidFill>
              <w14:schemeClr w14:val="tx1"/>
            </w14:solidFill>
          </w14:textFill>
        </w:rPr>
        <w:t>P</w:t>
      </w:r>
      <w:r>
        <w:rPr>
          <w:rFonts w:hint="default" w:ascii="Times New Roman" w:hAnsi="Times New Roman" w:eastAsia="宋体" w:cs="Times New Roman"/>
          <w:color w:val="000000" w:themeColor="text1"/>
          <w:kern w:val="0"/>
          <w:sz w:val="24"/>
          <w:highlight w:val="none"/>
          <w:vertAlign w:val="subscript"/>
          <w:lang w:eastAsia="zh-CN"/>
          <w14:textFill>
            <w14:solidFill>
              <w14:schemeClr w14:val="tx1"/>
            </w14:solidFill>
          </w14:textFill>
        </w:rPr>
        <w:t>1</w:t>
      </w:r>
      <w:r>
        <w:rPr>
          <w:rFonts w:hint="default" w:ascii="Times New Roman" w:hAnsi="Times New Roman" w:eastAsia="宋体" w:cs="Times New Roman"/>
          <w:color w:val="000000" w:themeColor="text1"/>
          <w:kern w:val="0"/>
          <w:sz w:val="24"/>
          <w:highlight w:val="none"/>
          <w:vertAlign w:val="subscript"/>
          <w14:textFill>
            <w14:solidFill>
              <w14:schemeClr w14:val="tx1"/>
            </w14:solidFill>
          </w14:textFill>
        </w:rPr>
        <w:t>i</w:t>
      </w:r>
      <w:r>
        <w:rPr>
          <w:rFonts w:hint="default" w:ascii="Times New Roman" w:hAnsi="Times New Roman" w:eastAsia="宋体" w:cs="Times New Roman"/>
          <w:color w:val="000000" w:themeColor="text1"/>
          <w:kern w:val="0"/>
          <w:sz w:val="24"/>
          <w:highlight w:val="none"/>
          <w14:textFill>
            <w14:solidFill>
              <w14:schemeClr w14:val="tx1"/>
            </w14:solidFill>
          </w14:textFill>
        </w:rPr>
        <w:t>(T)－(TL</w:t>
      </w:r>
      <w:r>
        <w:rPr>
          <w:rFonts w:hint="default" w:ascii="Times New Roman" w:hAnsi="Times New Roman" w:eastAsia="宋体" w:cs="Times New Roman"/>
          <w:color w:val="000000" w:themeColor="text1"/>
          <w:kern w:val="0"/>
          <w:sz w:val="24"/>
          <w:highlight w:val="none"/>
          <w:vertAlign w:val="subscript"/>
          <w14:textFill>
            <w14:solidFill>
              <w14:schemeClr w14:val="tx1"/>
            </w14:solidFill>
          </w14:textFill>
        </w:rPr>
        <w:t>i</w:t>
      </w:r>
      <w:r>
        <w:rPr>
          <w:rFonts w:hint="default" w:ascii="Times New Roman" w:hAnsi="Times New Roman" w:eastAsia="宋体" w:cs="Times New Roman"/>
          <w:color w:val="000000" w:themeColor="text1"/>
          <w:kern w:val="0"/>
          <w:sz w:val="24"/>
          <w:highlight w:val="none"/>
          <w14:textFill>
            <w14:solidFill>
              <w14:schemeClr w14:val="tx1"/>
            </w14:solidFill>
          </w14:textFill>
        </w:rPr>
        <w:t>+6)</w:t>
      </w:r>
    </w:p>
    <w:p w14:paraId="6AF5005B">
      <w:pPr>
        <w:spacing w:line="480" w:lineRule="exact"/>
        <w:ind w:firstLine="480" w:firstLineChars="20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式中：L</w:t>
      </w:r>
      <w:r>
        <w:rPr>
          <w:rFonts w:hint="default" w:ascii="Times New Roman" w:hAnsi="Times New Roman" w:eastAsia="宋体" w:cs="Times New Roman"/>
          <w:color w:val="000000" w:themeColor="text1"/>
          <w:kern w:val="0"/>
          <w:sz w:val="24"/>
          <w:highlight w:val="none"/>
          <w:vertAlign w:val="subscript"/>
          <w14:textFill>
            <w14:solidFill>
              <w14:schemeClr w14:val="tx1"/>
            </w14:solidFill>
          </w14:textFill>
        </w:rPr>
        <w:t>P2i</w:t>
      </w:r>
      <w:r>
        <w:rPr>
          <w:rFonts w:hint="default" w:ascii="Times New Roman" w:hAnsi="Times New Roman" w:eastAsia="宋体" w:cs="Times New Roman"/>
          <w:color w:val="000000" w:themeColor="text1"/>
          <w:kern w:val="0"/>
          <w:sz w:val="24"/>
          <w:highlight w:val="none"/>
          <w14:textFill>
            <w14:solidFill>
              <w14:schemeClr w14:val="tx1"/>
            </w14:solidFill>
          </w14:textFill>
        </w:rPr>
        <w:t>（T）—靠近维护结构处室外N个声源i倍频带的叠加声压级，dB；</w:t>
      </w:r>
    </w:p>
    <w:p w14:paraId="1E146B65">
      <w:pPr>
        <w:spacing w:line="480" w:lineRule="exact"/>
        <w:ind w:firstLine="1200" w:firstLineChars="50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TL</w:t>
      </w:r>
      <w:r>
        <w:rPr>
          <w:rFonts w:hint="default" w:ascii="Times New Roman" w:hAnsi="Times New Roman" w:eastAsia="宋体" w:cs="Times New Roman"/>
          <w:color w:val="000000" w:themeColor="text1"/>
          <w:kern w:val="0"/>
          <w:sz w:val="24"/>
          <w:highlight w:val="none"/>
          <w:vertAlign w:val="subscript"/>
          <w14:textFill>
            <w14:solidFill>
              <w14:schemeClr w14:val="tx1"/>
            </w14:solidFill>
          </w14:textFill>
        </w:rPr>
        <w:t>i</w:t>
      </w:r>
      <w:r>
        <w:rPr>
          <w:rFonts w:hint="default" w:ascii="Times New Roman" w:hAnsi="Times New Roman" w:eastAsia="宋体" w:cs="Times New Roman"/>
          <w:color w:val="000000" w:themeColor="text1"/>
          <w:kern w:val="0"/>
          <w:sz w:val="24"/>
          <w:highlight w:val="none"/>
          <w14:textFill>
            <w14:solidFill>
              <w14:schemeClr w14:val="tx1"/>
            </w14:solidFill>
          </w14:textFill>
        </w:rPr>
        <w:t>—维护结构i倍频带的隔声量，dB。</w:t>
      </w:r>
    </w:p>
    <w:p w14:paraId="1B47D2CE">
      <w:pPr>
        <w:spacing w:line="480" w:lineRule="exact"/>
        <w:ind w:firstLine="480" w:firstLineChars="20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倍频带声压级合成A声级计算公式</w:t>
      </w:r>
    </w:p>
    <w:p w14:paraId="5B5124EC">
      <w:pPr>
        <w:ind w:firstLine="560" w:firstLineChars="200"/>
        <w:jc w:val="center"/>
        <w:rPr>
          <w:rFonts w:hint="default" w:ascii="Times New Roman" w:hAnsi="Times New Roman" w:eastAsia="宋体" w:cs="Times New Roman"/>
          <w:bCs/>
          <w:color w:val="000000" w:themeColor="text1"/>
          <w:sz w:val="28"/>
          <w:szCs w:val="28"/>
          <w:highlight w:val="none"/>
          <w14:textFill>
            <w14:solidFill>
              <w14:schemeClr w14:val="tx1"/>
            </w14:solidFill>
          </w14:textFill>
        </w:rPr>
      </w:pPr>
      <w:r>
        <w:rPr>
          <w:rFonts w:hint="default" w:ascii="Times New Roman" w:hAnsi="Times New Roman" w:eastAsia="宋体" w:cs="Times New Roman"/>
          <w:bCs/>
          <w:color w:val="000000" w:themeColor="text1"/>
          <w:position w:val="-10"/>
          <w:sz w:val="28"/>
          <w:szCs w:val="28"/>
          <w:highlight w:val="none"/>
          <w14:textFill>
            <w14:solidFill>
              <w14:schemeClr w14:val="tx1"/>
            </w14:solidFill>
          </w14:textFill>
        </w:rPr>
        <w:object>
          <v:shape id="_x0000_i1043" o:spt="75" type="#_x0000_t75" style="height:18pt;width:114.95pt;" o:ole="t" filled="f" o:preferrelative="t" stroked="f" coordsize="21600,21600">
            <v:path/>
            <v:fill on="f" focussize="0,0"/>
            <v:stroke on="f"/>
            <v:imagedata r:id="rId124" o:title=""/>
            <o:lock v:ext="edit" grouping="f" rotation="f" text="f" aspectratio="t"/>
            <w10:wrap type="none"/>
            <w10:anchorlock/>
          </v:shape>
          <o:OLEObject Type="Embed" ProgID="Equation.3" ShapeID="_x0000_i1043" DrawAspect="Content" ObjectID="_1468075746" r:id="rId123">
            <o:LockedField>false</o:LockedField>
          </o:OLEObject>
        </w:object>
      </w:r>
    </w:p>
    <w:p w14:paraId="598BC98E">
      <w:pPr>
        <w:autoSpaceDE w:val="0"/>
        <w:autoSpaceDN w:val="0"/>
        <w:adjustRightInd w:val="0"/>
        <w:spacing w:line="480" w:lineRule="exact"/>
        <w:ind w:firstLine="480" w:firstLineChars="200"/>
        <w:rPr>
          <w:rFonts w:hint="default" w:ascii="Times New Roman" w:hAnsi="Times New Roman" w:eastAsia="宋体" w:cs="Times New Roman"/>
          <w:color w:val="000000" w:themeColor="text1"/>
          <w:kern w:val="0"/>
          <w:sz w:val="24"/>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式中：</w:t>
      </w:r>
      <w:r>
        <w:rPr>
          <w:rFonts w:hint="default" w:ascii="Times New Roman" w:hAnsi="Times New Roman" w:eastAsia="宋体" w:cs="Times New Roman"/>
          <w:iCs/>
          <w:color w:val="000000" w:themeColor="text1"/>
          <w:kern w:val="0"/>
          <w:sz w:val="24"/>
          <w:highlight w:val="none"/>
          <w14:textFill>
            <w14:solidFill>
              <w14:schemeClr w14:val="tx1"/>
            </w14:solidFill>
          </w14:textFill>
        </w:rPr>
        <w:t>L</w:t>
      </w:r>
      <w:r>
        <w:rPr>
          <w:rFonts w:hint="default" w:ascii="Times New Roman" w:hAnsi="Times New Roman" w:eastAsia="宋体" w:cs="Times New Roman"/>
          <w:iCs/>
          <w:color w:val="000000" w:themeColor="text1"/>
          <w:kern w:val="0"/>
          <w:sz w:val="24"/>
          <w:highlight w:val="none"/>
          <w:vertAlign w:val="subscript"/>
          <w14:textFill>
            <w14:solidFill>
              <w14:schemeClr w14:val="tx1"/>
            </w14:solidFill>
          </w14:textFill>
        </w:rPr>
        <w:t>Pi</w:t>
      </w:r>
      <w:r>
        <w:rPr>
          <w:rFonts w:hint="default" w:ascii="Times New Roman" w:hAnsi="Times New Roman" w:eastAsia="宋体" w:cs="Times New Roman"/>
          <w:color w:val="000000" w:themeColor="text1"/>
          <w:kern w:val="0"/>
          <w:sz w:val="24"/>
          <w:highlight w:val="none"/>
          <w14:textFill>
            <w14:solidFill>
              <w14:schemeClr w14:val="tx1"/>
            </w14:solidFill>
          </w14:textFill>
        </w:rPr>
        <w:t>—第i倍频带声压级，dB；</w:t>
      </w:r>
    </w:p>
    <w:p w14:paraId="3AB50CB3">
      <w:pPr>
        <w:spacing w:line="480" w:lineRule="exact"/>
        <w:ind w:firstLine="1200" w:firstLineChars="5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Δ</w:t>
      </w:r>
      <w:r>
        <w:rPr>
          <w:rFonts w:hint="default" w:ascii="Times New Roman" w:hAnsi="Times New Roman" w:eastAsia="宋体" w:cs="Times New Roman"/>
          <w:iCs/>
          <w:color w:val="000000" w:themeColor="text1"/>
          <w:kern w:val="0"/>
          <w:sz w:val="24"/>
          <w:highlight w:val="none"/>
          <w14:textFill>
            <w14:solidFill>
              <w14:schemeClr w14:val="tx1"/>
            </w14:solidFill>
          </w14:textFill>
        </w:rPr>
        <w:t>Li</w:t>
      </w:r>
      <w:r>
        <w:rPr>
          <w:rFonts w:hint="default" w:ascii="Times New Roman" w:hAnsi="Times New Roman" w:eastAsia="宋体" w:cs="Times New Roman"/>
          <w:color w:val="000000" w:themeColor="text1"/>
          <w:kern w:val="0"/>
          <w:sz w:val="24"/>
          <w:highlight w:val="none"/>
          <w14:textFill>
            <w14:solidFill>
              <w14:schemeClr w14:val="tx1"/>
            </w14:solidFill>
          </w14:textFill>
        </w:rPr>
        <w:t>—i倍频带的A计权网络修正值，dB。</w:t>
      </w:r>
    </w:p>
    <w:p w14:paraId="4845366B">
      <w:pPr>
        <w:spacing w:line="480" w:lineRule="exact"/>
        <w:ind w:firstLine="480" w:firstLineChars="20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L</w:t>
      </w:r>
      <w:r>
        <w:rPr>
          <w:rFonts w:hint="default" w:ascii="Times New Roman" w:hAnsi="Times New Roman" w:eastAsia="宋体" w:cs="Times New Roman"/>
          <w:color w:val="000000" w:themeColor="text1"/>
          <w:sz w:val="24"/>
          <w:highlight w:val="none"/>
          <w:vertAlign w:val="subscript"/>
          <w14:textFill>
            <w14:solidFill>
              <w14:schemeClr w14:val="tx1"/>
            </w14:solidFill>
          </w14:textFill>
        </w:rPr>
        <w:t>A</w:t>
      </w:r>
      <w:r>
        <w:rPr>
          <w:rFonts w:hint="default" w:ascii="Times New Roman" w:hAnsi="Times New Roman" w:eastAsia="宋体" w:cs="Times New Roman"/>
          <w:color w:val="000000" w:themeColor="text1"/>
          <w:sz w:val="24"/>
          <w:highlight w:val="none"/>
          <w14:textFill>
            <w14:solidFill>
              <w14:schemeClr w14:val="tx1"/>
            </w14:solidFill>
          </w14:textFill>
        </w:rPr>
        <w:t>（r）选择</w:t>
      </w:r>
      <w:r>
        <w:rPr>
          <w:rFonts w:hint="default" w:ascii="Times New Roman" w:hAnsi="Times New Roman" w:eastAsia="宋体" w:cs="Times New Roman"/>
          <w:color w:val="000000" w:themeColor="text1"/>
          <w:kern w:val="0"/>
          <w:sz w:val="24"/>
          <w:highlight w:val="none"/>
          <w14:textFill>
            <w14:solidFill>
              <w14:schemeClr w14:val="tx1"/>
            </w14:solidFill>
          </w14:textFill>
        </w:rPr>
        <w:t>对A声级影响最大的倍频带计算，一般可选中心频率为500Hz的倍频带作估算。</w:t>
      </w:r>
    </w:p>
    <w:p w14:paraId="3427F5F3">
      <w:pPr>
        <w:spacing w:line="480" w:lineRule="exact"/>
        <w:ind w:firstLine="480" w:firstLineChars="20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然后按室外声源预测方法计算预测点处的A声级。</w:t>
      </w:r>
    </w:p>
    <w:p w14:paraId="2CFD82BA">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②</w:t>
      </w:r>
      <w:r>
        <w:rPr>
          <w:rFonts w:hint="default" w:ascii="Times New Roman" w:hAnsi="Times New Roman" w:eastAsia="宋体" w:cs="Times New Roman"/>
          <w:color w:val="000000" w:themeColor="text1"/>
          <w:sz w:val="24"/>
          <w:highlight w:val="none"/>
          <w14:textFill>
            <w14:solidFill>
              <w14:schemeClr w14:val="tx1"/>
            </w14:solidFill>
          </w14:textFill>
        </w:rPr>
        <w:t>单个室外的点声源在预测点产生的声级计算</w:t>
      </w:r>
    </w:p>
    <w:p w14:paraId="7C60BE2C">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单个室外声源在预测点处倍频带声压级为：</w:t>
      </w:r>
    </w:p>
    <w:p w14:paraId="4417FD3E">
      <w:pPr>
        <w:spacing w:line="480" w:lineRule="exact"/>
        <w:ind w:firstLine="2760" w:firstLineChars="115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L</w:t>
      </w:r>
      <w:r>
        <w:rPr>
          <w:rFonts w:hint="default" w:ascii="Times New Roman" w:hAnsi="Times New Roman" w:eastAsia="宋体" w:cs="Times New Roman"/>
          <w:color w:val="000000" w:themeColor="text1"/>
          <w:sz w:val="24"/>
          <w:highlight w:val="none"/>
          <w:vertAlign w:val="subscript"/>
          <w14:textFill>
            <w14:solidFill>
              <w14:schemeClr w14:val="tx1"/>
            </w14:solidFill>
          </w14:textFill>
        </w:rPr>
        <w:t>A</w:t>
      </w:r>
      <w:r>
        <w:rPr>
          <w:rFonts w:hint="default" w:ascii="Times New Roman" w:hAnsi="Times New Roman" w:eastAsia="宋体" w:cs="Times New Roman"/>
          <w:color w:val="000000" w:themeColor="text1"/>
          <w:sz w:val="24"/>
          <w:highlight w:val="none"/>
          <w14:textFill>
            <w14:solidFill>
              <w14:schemeClr w14:val="tx1"/>
            </w14:solidFill>
          </w14:textFill>
        </w:rPr>
        <w:t>（r）＝L</w:t>
      </w:r>
      <w:r>
        <w:rPr>
          <w:rFonts w:hint="default" w:ascii="Times New Roman" w:hAnsi="Times New Roman" w:eastAsia="宋体" w:cs="Times New Roman"/>
          <w:color w:val="000000" w:themeColor="text1"/>
          <w:sz w:val="24"/>
          <w:highlight w:val="none"/>
          <w:vertAlign w:val="subscript"/>
          <w14:textFill>
            <w14:solidFill>
              <w14:schemeClr w14:val="tx1"/>
            </w14:solidFill>
          </w14:textFill>
        </w:rPr>
        <w:t>A</w:t>
      </w:r>
      <w:r>
        <w:rPr>
          <w:rFonts w:hint="default" w:ascii="Times New Roman" w:hAnsi="Times New Roman" w:eastAsia="宋体" w:cs="Times New Roman"/>
          <w:color w:val="000000" w:themeColor="text1"/>
          <w:sz w:val="24"/>
          <w:highlight w:val="none"/>
          <w14:textFill>
            <w14:solidFill>
              <w14:schemeClr w14:val="tx1"/>
            </w14:solidFill>
          </w14:textFill>
        </w:rPr>
        <w:t>（r</w:t>
      </w:r>
      <w:r>
        <w:rPr>
          <w:rFonts w:hint="default" w:ascii="Times New Roman" w:hAnsi="Times New Roman" w:eastAsia="宋体" w:cs="Times New Roman"/>
          <w:color w:val="000000" w:themeColor="text1"/>
          <w:sz w:val="24"/>
          <w:highlight w:val="none"/>
          <w:vertAlign w:val="subscript"/>
          <w14:textFill>
            <w14:solidFill>
              <w14:schemeClr w14:val="tx1"/>
            </w14:solidFill>
          </w14:textFill>
        </w:rPr>
        <w:t>0</w:t>
      </w:r>
      <w:r>
        <w:rPr>
          <w:rFonts w:hint="default" w:ascii="Times New Roman" w:hAnsi="Times New Roman" w:eastAsia="宋体" w:cs="Times New Roman"/>
          <w:color w:val="000000" w:themeColor="text1"/>
          <w:sz w:val="24"/>
          <w:highlight w:val="none"/>
          <w14:textFill>
            <w14:solidFill>
              <w14:schemeClr w14:val="tx1"/>
            </w14:solidFill>
          </w14:textFill>
        </w:rPr>
        <w:t>）－A</w:t>
      </w:r>
    </w:p>
    <w:p w14:paraId="7BCE55FB">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式中：L</w:t>
      </w:r>
      <w:r>
        <w:rPr>
          <w:rFonts w:hint="default" w:ascii="Times New Roman" w:hAnsi="Times New Roman" w:eastAsia="宋体" w:cs="Times New Roman"/>
          <w:color w:val="000000" w:themeColor="text1"/>
          <w:sz w:val="24"/>
          <w:highlight w:val="none"/>
          <w:vertAlign w:val="subscript"/>
          <w14:textFill>
            <w14:solidFill>
              <w14:schemeClr w14:val="tx1"/>
            </w14:solidFill>
          </w14:textFill>
        </w:rPr>
        <w:t>A</w:t>
      </w:r>
      <w:r>
        <w:rPr>
          <w:rFonts w:hint="default" w:ascii="Times New Roman" w:hAnsi="Times New Roman" w:eastAsia="宋体" w:cs="Times New Roman"/>
          <w:color w:val="000000" w:themeColor="text1"/>
          <w:sz w:val="24"/>
          <w:highlight w:val="none"/>
          <w14:textFill>
            <w14:solidFill>
              <w14:schemeClr w14:val="tx1"/>
            </w14:solidFill>
          </w14:textFill>
        </w:rPr>
        <w:t>（r</w:t>
      </w:r>
      <w:r>
        <w:rPr>
          <w:rFonts w:hint="default" w:ascii="Times New Roman" w:hAnsi="Times New Roman" w:eastAsia="宋体" w:cs="Times New Roman"/>
          <w:color w:val="000000" w:themeColor="text1"/>
          <w:sz w:val="24"/>
          <w:highlight w:val="none"/>
          <w:vertAlign w:val="subscript"/>
          <w14:textFill>
            <w14:solidFill>
              <w14:schemeClr w14:val="tx1"/>
            </w14:solidFill>
          </w14:textFill>
        </w:rPr>
        <w:t>0</w:t>
      </w:r>
      <w:r>
        <w:rPr>
          <w:rFonts w:hint="default" w:ascii="Times New Roman" w:hAnsi="Times New Roman" w:eastAsia="宋体" w:cs="Times New Roman"/>
          <w:color w:val="000000" w:themeColor="text1"/>
          <w:sz w:val="24"/>
          <w:highlight w:val="none"/>
          <w14:textFill>
            <w14:solidFill>
              <w14:schemeClr w14:val="tx1"/>
            </w14:solidFill>
          </w14:textFill>
        </w:rPr>
        <w:t>）</w:t>
      </w:r>
      <w:r>
        <w:rPr>
          <w:rFonts w:hint="default" w:ascii="Times New Roman" w:hAnsi="Times New Roman" w:eastAsia="宋体" w:cs="Times New Roman"/>
          <w:color w:val="000000" w:themeColor="text1"/>
          <w:kern w:val="0"/>
          <w:sz w:val="24"/>
          <w:highlight w:val="none"/>
          <w14:textFill>
            <w14:solidFill>
              <w14:schemeClr w14:val="tx1"/>
            </w14:solidFill>
          </w14:textFill>
        </w:rPr>
        <w:t>—</w:t>
      </w:r>
      <w:r>
        <w:rPr>
          <w:rFonts w:hint="default" w:ascii="Times New Roman" w:hAnsi="Times New Roman" w:eastAsia="宋体" w:cs="Times New Roman"/>
          <w:color w:val="000000" w:themeColor="text1"/>
          <w:sz w:val="24"/>
          <w:highlight w:val="none"/>
          <w14:textFill>
            <w14:solidFill>
              <w14:schemeClr w14:val="tx1"/>
            </w14:solidFill>
          </w14:textFill>
        </w:rPr>
        <w:t>参考位置r</w:t>
      </w:r>
      <w:r>
        <w:rPr>
          <w:rFonts w:hint="default" w:ascii="Times New Roman" w:hAnsi="Times New Roman" w:eastAsia="宋体" w:cs="Times New Roman"/>
          <w:color w:val="000000" w:themeColor="text1"/>
          <w:sz w:val="24"/>
          <w:highlight w:val="none"/>
          <w:vertAlign w:val="subscript"/>
          <w14:textFill>
            <w14:solidFill>
              <w14:schemeClr w14:val="tx1"/>
            </w14:solidFill>
          </w14:textFill>
        </w:rPr>
        <w:t>0</w:t>
      </w:r>
      <w:r>
        <w:rPr>
          <w:rFonts w:hint="default" w:ascii="Times New Roman" w:hAnsi="Times New Roman" w:eastAsia="宋体" w:cs="Times New Roman"/>
          <w:color w:val="000000" w:themeColor="text1"/>
          <w:sz w:val="24"/>
          <w:highlight w:val="none"/>
          <w14:textFill>
            <w14:solidFill>
              <w14:schemeClr w14:val="tx1"/>
            </w14:solidFill>
          </w14:textFill>
        </w:rPr>
        <w:t>处的A</w:t>
      </w:r>
      <w:r>
        <w:rPr>
          <w:rFonts w:hint="default" w:ascii="Times New Roman" w:hAnsi="Times New Roman" w:eastAsia="宋体" w:cs="Times New Roman"/>
          <w:color w:val="000000" w:themeColor="text1"/>
          <w:sz w:val="24"/>
          <w:highlight w:val="none"/>
          <w:lang w:val="pt-BR"/>
          <w14:textFill>
            <w14:solidFill>
              <w14:schemeClr w14:val="tx1"/>
            </w14:solidFill>
          </w14:textFill>
        </w:rPr>
        <w:t>声级</w:t>
      </w:r>
      <w:r>
        <w:rPr>
          <w:rFonts w:hint="default" w:ascii="Times New Roman" w:hAnsi="Times New Roman" w:eastAsia="宋体" w:cs="Times New Roman"/>
          <w:color w:val="000000" w:themeColor="text1"/>
          <w:kern w:val="0"/>
          <w:sz w:val="24"/>
          <w:highlight w:val="none"/>
          <w14:textFill>
            <w14:solidFill>
              <w14:schemeClr w14:val="tx1"/>
            </w14:solidFill>
          </w14:textFill>
        </w:rPr>
        <w:t>，dB；</w:t>
      </w:r>
    </w:p>
    <w:p w14:paraId="27FD3322">
      <w:pPr>
        <w:spacing w:line="480" w:lineRule="exact"/>
        <w:ind w:firstLine="1200" w:firstLineChars="50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iCs/>
          <w:color w:val="000000" w:themeColor="text1"/>
          <w:kern w:val="0"/>
          <w:sz w:val="24"/>
          <w:highlight w:val="none"/>
          <w14:textFill>
            <w14:solidFill>
              <w14:schemeClr w14:val="tx1"/>
            </w14:solidFill>
          </w14:textFill>
        </w:rPr>
        <w:t>A</w:t>
      </w:r>
      <w:r>
        <w:rPr>
          <w:rFonts w:hint="default" w:ascii="Times New Roman" w:hAnsi="Times New Roman" w:eastAsia="宋体" w:cs="Times New Roman"/>
          <w:color w:val="000000" w:themeColor="text1"/>
          <w:kern w:val="0"/>
          <w:sz w:val="24"/>
          <w:highlight w:val="none"/>
          <w14:textFill>
            <w14:solidFill>
              <w14:schemeClr w14:val="tx1"/>
            </w14:solidFill>
          </w14:textFill>
        </w:rPr>
        <w:t>—倍频带衰减，dB；</w:t>
      </w:r>
    </w:p>
    <w:p w14:paraId="610E83A6">
      <w:pPr>
        <w:spacing w:line="480" w:lineRule="exact"/>
        <w:ind w:firstLine="1200" w:firstLineChars="500"/>
        <w:rPr>
          <w:rFonts w:hint="default" w:ascii="Times New Roman" w:hAnsi="Times New Roman" w:eastAsia="宋体" w:cs="Times New Roman"/>
          <w:color w:val="000000" w:themeColor="text1"/>
          <w:kern w:val="0"/>
          <w:sz w:val="24"/>
          <w:highlight w:val="none"/>
          <w:vertAlign w:val="subscript"/>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A＝A</w:t>
      </w:r>
      <w:r>
        <w:rPr>
          <w:rFonts w:hint="default" w:ascii="Times New Roman" w:hAnsi="Times New Roman" w:eastAsia="宋体" w:cs="Times New Roman"/>
          <w:color w:val="000000" w:themeColor="text1"/>
          <w:kern w:val="0"/>
          <w:sz w:val="24"/>
          <w:highlight w:val="none"/>
          <w:vertAlign w:val="subscript"/>
          <w14:textFill>
            <w14:solidFill>
              <w14:schemeClr w14:val="tx1"/>
            </w14:solidFill>
          </w14:textFill>
        </w:rPr>
        <w:t>div</w:t>
      </w:r>
      <w:r>
        <w:rPr>
          <w:rFonts w:hint="default" w:ascii="Times New Roman" w:hAnsi="Times New Roman" w:eastAsia="宋体" w:cs="Times New Roman"/>
          <w:color w:val="000000" w:themeColor="text1"/>
          <w:kern w:val="0"/>
          <w:sz w:val="24"/>
          <w:highlight w:val="none"/>
          <w14:textFill>
            <w14:solidFill>
              <w14:schemeClr w14:val="tx1"/>
            </w14:solidFill>
          </w14:textFill>
        </w:rPr>
        <w:t>+A</w:t>
      </w:r>
      <w:r>
        <w:rPr>
          <w:rFonts w:hint="default" w:ascii="Times New Roman" w:hAnsi="Times New Roman" w:eastAsia="宋体" w:cs="Times New Roman"/>
          <w:color w:val="000000" w:themeColor="text1"/>
          <w:kern w:val="0"/>
          <w:sz w:val="24"/>
          <w:highlight w:val="none"/>
          <w:vertAlign w:val="subscript"/>
          <w14:textFill>
            <w14:solidFill>
              <w14:schemeClr w14:val="tx1"/>
            </w14:solidFill>
          </w14:textFill>
        </w:rPr>
        <w:t>atm</w:t>
      </w:r>
      <w:r>
        <w:rPr>
          <w:rFonts w:hint="default" w:ascii="Times New Roman" w:hAnsi="Times New Roman" w:eastAsia="宋体" w:cs="Times New Roman"/>
          <w:color w:val="000000" w:themeColor="text1"/>
          <w:kern w:val="0"/>
          <w:sz w:val="24"/>
          <w:highlight w:val="none"/>
          <w14:textFill>
            <w14:solidFill>
              <w14:schemeClr w14:val="tx1"/>
            </w14:solidFill>
          </w14:textFill>
        </w:rPr>
        <w:t>+A</w:t>
      </w:r>
      <w:r>
        <w:rPr>
          <w:rFonts w:hint="default" w:ascii="Times New Roman" w:hAnsi="Times New Roman" w:eastAsia="宋体" w:cs="Times New Roman"/>
          <w:color w:val="000000" w:themeColor="text1"/>
          <w:kern w:val="0"/>
          <w:sz w:val="24"/>
          <w:highlight w:val="none"/>
          <w:vertAlign w:val="subscript"/>
          <w14:textFill>
            <w14:solidFill>
              <w14:schemeClr w14:val="tx1"/>
            </w14:solidFill>
          </w14:textFill>
        </w:rPr>
        <w:t>gr</w:t>
      </w:r>
      <w:r>
        <w:rPr>
          <w:rFonts w:hint="default" w:ascii="Times New Roman" w:hAnsi="Times New Roman" w:eastAsia="宋体" w:cs="Times New Roman"/>
          <w:color w:val="000000" w:themeColor="text1"/>
          <w:kern w:val="0"/>
          <w:sz w:val="24"/>
          <w:highlight w:val="none"/>
          <w14:textFill>
            <w14:solidFill>
              <w14:schemeClr w14:val="tx1"/>
            </w14:solidFill>
          </w14:textFill>
        </w:rPr>
        <w:t>+A</w:t>
      </w:r>
      <w:r>
        <w:rPr>
          <w:rFonts w:hint="default" w:ascii="Times New Roman" w:hAnsi="Times New Roman" w:eastAsia="宋体" w:cs="Times New Roman"/>
          <w:color w:val="000000" w:themeColor="text1"/>
          <w:kern w:val="0"/>
          <w:sz w:val="24"/>
          <w:highlight w:val="none"/>
          <w:vertAlign w:val="subscript"/>
          <w14:textFill>
            <w14:solidFill>
              <w14:schemeClr w14:val="tx1"/>
            </w14:solidFill>
          </w14:textFill>
        </w:rPr>
        <w:t>bar</w:t>
      </w:r>
      <w:r>
        <w:rPr>
          <w:rFonts w:hint="default" w:ascii="Times New Roman" w:hAnsi="Times New Roman" w:eastAsia="宋体" w:cs="Times New Roman"/>
          <w:color w:val="000000" w:themeColor="text1"/>
          <w:kern w:val="0"/>
          <w:sz w:val="24"/>
          <w:highlight w:val="none"/>
          <w14:textFill>
            <w14:solidFill>
              <w14:schemeClr w14:val="tx1"/>
            </w14:solidFill>
          </w14:textFill>
        </w:rPr>
        <w:t>+A</w:t>
      </w:r>
      <w:r>
        <w:rPr>
          <w:rFonts w:hint="default" w:ascii="Times New Roman" w:hAnsi="Times New Roman" w:eastAsia="宋体" w:cs="Times New Roman"/>
          <w:color w:val="000000" w:themeColor="text1"/>
          <w:kern w:val="0"/>
          <w:sz w:val="24"/>
          <w:highlight w:val="none"/>
          <w:vertAlign w:val="subscript"/>
          <w14:textFill>
            <w14:solidFill>
              <w14:schemeClr w14:val="tx1"/>
            </w14:solidFill>
          </w14:textFill>
        </w:rPr>
        <w:t>misc</w:t>
      </w:r>
    </w:p>
    <w:p w14:paraId="4F8B664F">
      <w:pPr>
        <w:spacing w:line="480" w:lineRule="exact"/>
        <w:ind w:firstLine="1200" w:firstLineChars="50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A</w:t>
      </w:r>
      <w:r>
        <w:rPr>
          <w:rFonts w:hint="default" w:ascii="Times New Roman" w:hAnsi="Times New Roman" w:eastAsia="宋体" w:cs="Times New Roman"/>
          <w:color w:val="000000" w:themeColor="text1"/>
          <w:kern w:val="0"/>
          <w:sz w:val="24"/>
          <w:highlight w:val="none"/>
          <w:vertAlign w:val="subscript"/>
          <w14:textFill>
            <w14:solidFill>
              <w14:schemeClr w14:val="tx1"/>
            </w14:solidFill>
          </w14:textFill>
        </w:rPr>
        <w:t>div</w:t>
      </w:r>
      <w:r>
        <w:rPr>
          <w:rFonts w:hint="default" w:ascii="Times New Roman" w:hAnsi="Times New Roman" w:eastAsia="宋体" w:cs="Times New Roman"/>
          <w:color w:val="000000" w:themeColor="text1"/>
          <w:kern w:val="0"/>
          <w:sz w:val="24"/>
          <w:highlight w:val="none"/>
          <w14:textFill>
            <w14:solidFill>
              <w14:schemeClr w14:val="tx1"/>
            </w14:solidFill>
          </w14:textFill>
        </w:rPr>
        <w:t>—几何发散引起的倍频带衰减，dB；</w:t>
      </w:r>
    </w:p>
    <w:p w14:paraId="782C0770">
      <w:pPr>
        <w:spacing w:line="480" w:lineRule="exact"/>
        <w:ind w:firstLine="1200" w:firstLineChars="50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A</w:t>
      </w:r>
      <w:r>
        <w:rPr>
          <w:rFonts w:hint="default" w:ascii="Times New Roman" w:hAnsi="Times New Roman" w:eastAsia="宋体" w:cs="Times New Roman"/>
          <w:color w:val="000000" w:themeColor="text1"/>
          <w:kern w:val="0"/>
          <w:sz w:val="24"/>
          <w:highlight w:val="none"/>
          <w:vertAlign w:val="subscript"/>
          <w14:textFill>
            <w14:solidFill>
              <w14:schemeClr w14:val="tx1"/>
            </w14:solidFill>
          </w14:textFill>
        </w:rPr>
        <w:t>atm</w:t>
      </w:r>
      <w:r>
        <w:rPr>
          <w:rFonts w:hint="default" w:ascii="Times New Roman" w:hAnsi="Times New Roman" w:eastAsia="宋体" w:cs="Times New Roman"/>
          <w:color w:val="000000" w:themeColor="text1"/>
          <w:kern w:val="0"/>
          <w:sz w:val="24"/>
          <w:highlight w:val="none"/>
          <w14:textFill>
            <w14:solidFill>
              <w14:schemeClr w14:val="tx1"/>
            </w14:solidFill>
          </w14:textFill>
        </w:rPr>
        <w:t>—大气吸收引起的倍频带衰减，dB；</w:t>
      </w:r>
    </w:p>
    <w:p w14:paraId="5CA31878">
      <w:pPr>
        <w:spacing w:line="480" w:lineRule="exact"/>
        <w:ind w:firstLine="1200" w:firstLineChars="50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A</w:t>
      </w:r>
      <w:r>
        <w:rPr>
          <w:rFonts w:hint="default" w:ascii="Times New Roman" w:hAnsi="Times New Roman" w:eastAsia="宋体" w:cs="Times New Roman"/>
          <w:color w:val="000000" w:themeColor="text1"/>
          <w:kern w:val="0"/>
          <w:sz w:val="24"/>
          <w:highlight w:val="none"/>
          <w:vertAlign w:val="subscript"/>
          <w14:textFill>
            <w14:solidFill>
              <w14:schemeClr w14:val="tx1"/>
            </w14:solidFill>
          </w14:textFill>
        </w:rPr>
        <w:t>gr</w:t>
      </w:r>
      <w:r>
        <w:rPr>
          <w:rFonts w:hint="default" w:ascii="Times New Roman" w:hAnsi="Times New Roman" w:eastAsia="宋体" w:cs="Times New Roman"/>
          <w:color w:val="000000" w:themeColor="text1"/>
          <w:kern w:val="0"/>
          <w:sz w:val="24"/>
          <w:highlight w:val="none"/>
          <w14:textFill>
            <w14:solidFill>
              <w14:schemeClr w14:val="tx1"/>
            </w14:solidFill>
          </w14:textFill>
        </w:rPr>
        <w:t>—地面效应引起的倍频带衰减，dB；</w:t>
      </w:r>
    </w:p>
    <w:p w14:paraId="5C4E75F8">
      <w:pPr>
        <w:spacing w:line="480" w:lineRule="exact"/>
        <w:ind w:firstLine="1200" w:firstLineChars="50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A</w:t>
      </w:r>
      <w:r>
        <w:rPr>
          <w:rFonts w:hint="default" w:ascii="Times New Roman" w:hAnsi="Times New Roman" w:eastAsia="宋体" w:cs="Times New Roman"/>
          <w:color w:val="000000" w:themeColor="text1"/>
          <w:kern w:val="0"/>
          <w:sz w:val="24"/>
          <w:highlight w:val="none"/>
          <w:vertAlign w:val="subscript"/>
          <w14:textFill>
            <w14:solidFill>
              <w14:schemeClr w14:val="tx1"/>
            </w14:solidFill>
          </w14:textFill>
        </w:rPr>
        <w:t>bar</w:t>
      </w:r>
      <w:r>
        <w:rPr>
          <w:rFonts w:hint="default" w:ascii="Times New Roman" w:hAnsi="Times New Roman" w:eastAsia="宋体" w:cs="Times New Roman"/>
          <w:color w:val="000000" w:themeColor="text1"/>
          <w:kern w:val="0"/>
          <w:sz w:val="24"/>
          <w:highlight w:val="none"/>
          <w14:textFill>
            <w14:solidFill>
              <w14:schemeClr w14:val="tx1"/>
            </w14:solidFill>
          </w14:textFill>
        </w:rPr>
        <w:t>—声屏障引起的倍频带衰减，dB；</w:t>
      </w:r>
    </w:p>
    <w:p w14:paraId="164DA0FF">
      <w:pPr>
        <w:spacing w:line="480" w:lineRule="exact"/>
        <w:ind w:firstLine="1200" w:firstLineChars="50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A</w:t>
      </w:r>
      <w:r>
        <w:rPr>
          <w:rFonts w:hint="default" w:ascii="Times New Roman" w:hAnsi="Times New Roman" w:eastAsia="宋体" w:cs="Times New Roman"/>
          <w:color w:val="000000" w:themeColor="text1"/>
          <w:kern w:val="0"/>
          <w:sz w:val="24"/>
          <w:highlight w:val="none"/>
          <w:vertAlign w:val="subscript"/>
          <w14:textFill>
            <w14:solidFill>
              <w14:schemeClr w14:val="tx1"/>
            </w14:solidFill>
          </w14:textFill>
        </w:rPr>
        <w:t>misc</w:t>
      </w:r>
      <w:r>
        <w:rPr>
          <w:rFonts w:hint="default" w:ascii="Times New Roman" w:hAnsi="Times New Roman" w:eastAsia="宋体" w:cs="Times New Roman"/>
          <w:color w:val="000000" w:themeColor="text1"/>
          <w:kern w:val="0"/>
          <w:sz w:val="24"/>
          <w:highlight w:val="none"/>
          <w14:textFill>
            <w14:solidFill>
              <w14:schemeClr w14:val="tx1"/>
            </w14:solidFill>
          </w14:textFill>
        </w:rPr>
        <w:t>—其他多方面效应引起的倍频带衰减，dB。</w:t>
      </w:r>
    </w:p>
    <w:p w14:paraId="213FD2FB">
      <w:pPr>
        <w:spacing w:line="480" w:lineRule="exact"/>
        <w:ind w:firstLine="1200" w:firstLineChars="50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A</w:t>
      </w:r>
      <w:r>
        <w:rPr>
          <w:rFonts w:hint="default" w:ascii="Times New Roman" w:hAnsi="Times New Roman" w:eastAsia="宋体" w:cs="Times New Roman"/>
          <w:color w:val="000000" w:themeColor="text1"/>
          <w:kern w:val="0"/>
          <w:sz w:val="24"/>
          <w:highlight w:val="none"/>
          <w:vertAlign w:val="subscript"/>
          <w14:textFill>
            <w14:solidFill>
              <w14:schemeClr w14:val="tx1"/>
            </w14:solidFill>
          </w14:textFill>
        </w:rPr>
        <w:t>div</w:t>
      </w:r>
      <w:r>
        <w:rPr>
          <w:rFonts w:hint="default" w:ascii="Times New Roman" w:hAnsi="Times New Roman" w:eastAsia="宋体" w:cs="Times New Roman"/>
          <w:color w:val="000000" w:themeColor="text1"/>
          <w:kern w:val="0"/>
          <w:sz w:val="24"/>
          <w:highlight w:val="none"/>
          <w14:textFill>
            <w14:solidFill>
              <w14:schemeClr w14:val="tx1"/>
            </w14:solidFill>
          </w14:textFill>
        </w:rPr>
        <w:t>=20lg(r/r</w:t>
      </w:r>
      <w:r>
        <w:rPr>
          <w:rFonts w:hint="default" w:ascii="Times New Roman" w:hAnsi="Times New Roman" w:eastAsia="宋体" w:cs="Times New Roman"/>
          <w:color w:val="000000" w:themeColor="text1"/>
          <w:kern w:val="0"/>
          <w:sz w:val="24"/>
          <w:highlight w:val="none"/>
          <w:vertAlign w:val="subscript"/>
          <w14:textFill>
            <w14:solidFill>
              <w14:schemeClr w14:val="tx1"/>
            </w14:solidFill>
          </w14:textFill>
        </w:rPr>
        <w:t>0</w:t>
      </w:r>
      <w:r>
        <w:rPr>
          <w:rFonts w:hint="default" w:ascii="Times New Roman" w:hAnsi="Times New Roman" w:eastAsia="宋体" w:cs="Times New Roman"/>
          <w:color w:val="000000" w:themeColor="text1"/>
          <w:kern w:val="0"/>
          <w:sz w:val="24"/>
          <w:highlight w:val="none"/>
          <w14:textFill>
            <w14:solidFill>
              <w14:schemeClr w14:val="tx1"/>
            </w14:solidFill>
          </w14:textFill>
        </w:rPr>
        <w:t>)</w:t>
      </w:r>
    </w:p>
    <w:p w14:paraId="636CED50">
      <w:pPr>
        <w:spacing w:line="480" w:lineRule="exact"/>
        <w:ind w:firstLine="480" w:firstLineChars="20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③噪声贡献值计算</w:t>
      </w:r>
    </w:p>
    <w:p w14:paraId="366E492C">
      <w:pPr>
        <w:spacing w:line="480" w:lineRule="exact"/>
        <w:ind w:firstLine="480" w:firstLineChars="20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设第</w:t>
      </w:r>
      <w:r>
        <w:rPr>
          <w:rFonts w:hint="default" w:ascii="Times New Roman" w:hAnsi="Times New Roman" w:eastAsia="宋体" w:cs="Times New Roman"/>
          <w:iCs/>
          <w:color w:val="000000" w:themeColor="text1"/>
          <w:kern w:val="0"/>
          <w:sz w:val="24"/>
          <w:highlight w:val="none"/>
          <w14:textFill>
            <w14:solidFill>
              <w14:schemeClr w14:val="tx1"/>
            </w14:solidFill>
          </w14:textFill>
        </w:rPr>
        <w:t>i</w:t>
      </w:r>
      <w:r>
        <w:rPr>
          <w:rFonts w:hint="default" w:ascii="Times New Roman" w:hAnsi="Times New Roman" w:eastAsia="宋体" w:cs="Times New Roman"/>
          <w:color w:val="000000" w:themeColor="text1"/>
          <w:kern w:val="0"/>
          <w:sz w:val="24"/>
          <w:highlight w:val="none"/>
          <w14:textFill>
            <w14:solidFill>
              <w14:schemeClr w14:val="tx1"/>
            </w14:solidFill>
          </w14:textFill>
        </w:rPr>
        <w:t>个室外声源在预测点产生的A声级为L</w:t>
      </w:r>
      <w:r>
        <w:rPr>
          <w:rFonts w:hint="default" w:ascii="Times New Roman" w:hAnsi="Times New Roman" w:eastAsia="宋体" w:cs="Times New Roman"/>
          <w:color w:val="000000" w:themeColor="text1"/>
          <w:kern w:val="0"/>
          <w:sz w:val="24"/>
          <w:highlight w:val="none"/>
          <w:vertAlign w:val="subscript"/>
          <w14:textFill>
            <w14:solidFill>
              <w14:schemeClr w14:val="tx1"/>
            </w14:solidFill>
          </w14:textFill>
        </w:rPr>
        <w:t>Ai</w:t>
      </w:r>
      <w:r>
        <w:rPr>
          <w:rFonts w:hint="default" w:ascii="Times New Roman" w:hAnsi="Times New Roman" w:eastAsia="宋体" w:cs="Times New Roman"/>
          <w:color w:val="000000" w:themeColor="text1"/>
          <w:kern w:val="0"/>
          <w:sz w:val="24"/>
          <w:highlight w:val="none"/>
          <w14:textFill>
            <w14:solidFill>
              <w14:schemeClr w14:val="tx1"/>
            </w14:solidFill>
          </w14:textFill>
        </w:rPr>
        <w:t>，在</w:t>
      </w:r>
      <w:r>
        <w:rPr>
          <w:rFonts w:hint="default" w:ascii="Times New Roman" w:hAnsi="Times New Roman" w:eastAsia="宋体" w:cs="Times New Roman"/>
          <w:iCs/>
          <w:color w:val="000000" w:themeColor="text1"/>
          <w:kern w:val="0"/>
          <w:sz w:val="24"/>
          <w:highlight w:val="none"/>
          <w14:textFill>
            <w14:solidFill>
              <w14:schemeClr w14:val="tx1"/>
            </w14:solidFill>
          </w14:textFill>
        </w:rPr>
        <w:t>T</w:t>
      </w:r>
      <w:r>
        <w:rPr>
          <w:rFonts w:hint="default" w:ascii="Times New Roman" w:hAnsi="Times New Roman" w:eastAsia="宋体" w:cs="Times New Roman"/>
          <w:color w:val="000000" w:themeColor="text1"/>
          <w:kern w:val="0"/>
          <w:sz w:val="24"/>
          <w:highlight w:val="none"/>
          <w14:textFill>
            <w14:solidFill>
              <w14:schemeClr w14:val="tx1"/>
            </w14:solidFill>
          </w14:textFill>
        </w:rPr>
        <w:t>时间内该声源工作时间为t</w:t>
      </w:r>
      <w:r>
        <w:rPr>
          <w:rFonts w:hint="default" w:ascii="Times New Roman" w:hAnsi="Times New Roman" w:eastAsia="宋体" w:cs="Times New Roman"/>
          <w:color w:val="000000" w:themeColor="text1"/>
          <w:kern w:val="0"/>
          <w:sz w:val="24"/>
          <w:highlight w:val="none"/>
          <w:vertAlign w:val="subscript"/>
          <w14:textFill>
            <w14:solidFill>
              <w14:schemeClr w14:val="tx1"/>
            </w14:solidFill>
          </w14:textFill>
        </w:rPr>
        <w:t>i</w:t>
      </w:r>
      <w:r>
        <w:rPr>
          <w:rFonts w:hint="default" w:ascii="Times New Roman" w:hAnsi="Times New Roman" w:eastAsia="宋体" w:cs="Times New Roman"/>
          <w:color w:val="000000" w:themeColor="text1"/>
          <w:kern w:val="0"/>
          <w:sz w:val="24"/>
          <w:highlight w:val="none"/>
          <w14:textFill>
            <w14:solidFill>
              <w14:schemeClr w14:val="tx1"/>
            </w14:solidFill>
          </w14:textFill>
        </w:rPr>
        <w:t>；第</w:t>
      </w:r>
      <w:r>
        <w:rPr>
          <w:rFonts w:hint="default" w:ascii="Times New Roman" w:hAnsi="Times New Roman" w:eastAsia="宋体" w:cs="Times New Roman"/>
          <w:iCs/>
          <w:color w:val="000000" w:themeColor="text1"/>
          <w:kern w:val="0"/>
          <w:sz w:val="24"/>
          <w:highlight w:val="none"/>
          <w14:textFill>
            <w14:solidFill>
              <w14:schemeClr w14:val="tx1"/>
            </w14:solidFill>
          </w14:textFill>
        </w:rPr>
        <w:t>j</w:t>
      </w:r>
      <w:r>
        <w:rPr>
          <w:rFonts w:hint="default" w:ascii="Times New Roman" w:hAnsi="Times New Roman" w:eastAsia="宋体" w:cs="Times New Roman"/>
          <w:color w:val="000000" w:themeColor="text1"/>
          <w:kern w:val="0"/>
          <w:sz w:val="24"/>
          <w:highlight w:val="none"/>
          <w14:textFill>
            <w14:solidFill>
              <w14:schemeClr w14:val="tx1"/>
            </w14:solidFill>
          </w14:textFill>
        </w:rPr>
        <w:t>个等效室外声源在预测点产生的A声级为</w:t>
      </w:r>
      <w:r>
        <w:rPr>
          <w:rFonts w:hint="default" w:ascii="Times New Roman" w:hAnsi="Times New Roman" w:eastAsia="宋体" w:cs="Times New Roman"/>
          <w:iCs/>
          <w:color w:val="000000" w:themeColor="text1"/>
          <w:kern w:val="0"/>
          <w:sz w:val="24"/>
          <w:highlight w:val="none"/>
          <w14:textFill>
            <w14:solidFill>
              <w14:schemeClr w14:val="tx1"/>
            </w14:solidFill>
          </w14:textFill>
        </w:rPr>
        <w:t>L</w:t>
      </w:r>
      <w:r>
        <w:rPr>
          <w:rFonts w:hint="default" w:ascii="Times New Roman" w:hAnsi="Times New Roman" w:eastAsia="宋体" w:cs="Times New Roman"/>
          <w:iCs/>
          <w:color w:val="000000" w:themeColor="text1"/>
          <w:kern w:val="0"/>
          <w:sz w:val="24"/>
          <w:highlight w:val="none"/>
          <w:vertAlign w:val="subscript"/>
          <w14:textFill>
            <w14:solidFill>
              <w14:schemeClr w14:val="tx1"/>
            </w14:solidFill>
          </w14:textFill>
        </w:rPr>
        <w:t>Aj</w:t>
      </w:r>
      <w:r>
        <w:rPr>
          <w:rFonts w:hint="default" w:ascii="Times New Roman" w:hAnsi="Times New Roman" w:eastAsia="宋体" w:cs="Times New Roman"/>
          <w:color w:val="000000" w:themeColor="text1"/>
          <w:kern w:val="0"/>
          <w:sz w:val="24"/>
          <w:highlight w:val="none"/>
          <w14:textFill>
            <w14:solidFill>
              <w14:schemeClr w14:val="tx1"/>
            </w14:solidFill>
          </w14:textFill>
        </w:rPr>
        <w:t>，在</w:t>
      </w:r>
      <w:r>
        <w:rPr>
          <w:rFonts w:hint="default" w:ascii="Times New Roman" w:hAnsi="Times New Roman" w:eastAsia="宋体" w:cs="Times New Roman"/>
          <w:iCs/>
          <w:color w:val="000000" w:themeColor="text1"/>
          <w:kern w:val="0"/>
          <w:sz w:val="24"/>
          <w:highlight w:val="none"/>
          <w14:textFill>
            <w14:solidFill>
              <w14:schemeClr w14:val="tx1"/>
            </w14:solidFill>
          </w14:textFill>
        </w:rPr>
        <w:t>T</w:t>
      </w:r>
      <w:r>
        <w:rPr>
          <w:rFonts w:hint="default" w:ascii="Times New Roman" w:hAnsi="Times New Roman" w:eastAsia="宋体" w:cs="Times New Roman"/>
          <w:color w:val="000000" w:themeColor="text1"/>
          <w:kern w:val="0"/>
          <w:sz w:val="24"/>
          <w:highlight w:val="none"/>
          <w14:textFill>
            <w14:solidFill>
              <w14:schemeClr w14:val="tx1"/>
            </w14:solidFill>
          </w14:textFill>
        </w:rPr>
        <w:t>时间内该声源工作时间为</w:t>
      </w:r>
      <w:r>
        <w:rPr>
          <w:rFonts w:hint="default" w:ascii="Times New Roman" w:hAnsi="Times New Roman" w:eastAsia="宋体" w:cs="Times New Roman"/>
          <w:iCs/>
          <w:color w:val="000000" w:themeColor="text1"/>
          <w:kern w:val="0"/>
          <w:sz w:val="24"/>
          <w:highlight w:val="none"/>
          <w14:textFill>
            <w14:solidFill>
              <w14:schemeClr w14:val="tx1"/>
            </w14:solidFill>
          </w14:textFill>
        </w:rPr>
        <w:t>tj</w:t>
      </w:r>
      <w:r>
        <w:rPr>
          <w:rFonts w:hint="default" w:ascii="Times New Roman" w:hAnsi="Times New Roman" w:eastAsia="宋体" w:cs="Times New Roman"/>
          <w:color w:val="000000" w:themeColor="text1"/>
          <w:kern w:val="0"/>
          <w:sz w:val="24"/>
          <w:highlight w:val="none"/>
          <w14:textFill>
            <w14:solidFill>
              <w14:schemeClr w14:val="tx1"/>
            </w14:solidFill>
          </w14:textFill>
        </w:rPr>
        <w:t>，则本项目声源对预测点产生的贡献值（</w:t>
      </w:r>
      <w:r>
        <w:rPr>
          <w:rFonts w:hint="default" w:ascii="Times New Roman" w:hAnsi="Times New Roman" w:eastAsia="宋体" w:cs="Times New Roman"/>
          <w:iCs/>
          <w:color w:val="000000" w:themeColor="text1"/>
          <w:kern w:val="0"/>
          <w:sz w:val="24"/>
          <w:highlight w:val="none"/>
          <w14:textFill>
            <w14:solidFill>
              <w14:schemeClr w14:val="tx1"/>
            </w14:solidFill>
          </w14:textFill>
        </w:rPr>
        <w:t>Leqg</w:t>
      </w:r>
      <w:r>
        <w:rPr>
          <w:rFonts w:hint="default" w:ascii="Times New Roman" w:hAnsi="Times New Roman" w:eastAsia="宋体" w:cs="Times New Roman"/>
          <w:color w:val="000000" w:themeColor="text1"/>
          <w:kern w:val="0"/>
          <w:sz w:val="24"/>
          <w:highlight w:val="none"/>
          <w14:textFill>
            <w14:solidFill>
              <w14:schemeClr w14:val="tx1"/>
            </w14:solidFill>
          </w14:textFill>
        </w:rPr>
        <w:t>）为：</w:t>
      </w:r>
    </w:p>
    <w:p w14:paraId="272824CE">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int="default" w:ascii="Times New Roman" w:hAnsi="Times New Roman" w:eastAsia="宋体" w:cs="Times New Roman"/>
          <w:color w:val="000000" w:themeColor="text1"/>
          <w:kern w:val="0"/>
          <w:sz w:val="24"/>
          <w:highlight w:val="none"/>
          <w:lang w:val="pt-BR"/>
          <w14:textFill>
            <w14:solidFill>
              <w14:schemeClr w14:val="tx1"/>
            </w14:solidFill>
          </w14:textFill>
        </w:rPr>
      </w:pPr>
      <w:r>
        <w:rPr>
          <w:rFonts w:hint="default" w:ascii="Times New Roman" w:hAnsi="Times New Roman" w:eastAsia="宋体" w:cs="Times New Roman"/>
          <w:color w:val="000000" w:themeColor="text1"/>
          <w:kern w:val="0"/>
          <w:sz w:val="24"/>
          <w:highlight w:val="none"/>
          <w:lang w:val="pt-BR"/>
          <w14:textFill>
            <w14:solidFill>
              <w14:schemeClr w14:val="tx1"/>
            </w14:solidFill>
          </w14:textFill>
        </w:rPr>
        <w:drawing>
          <wp:inline distT="0" distB="0" distL="114300" distR="114300">
            <wp:extent cx="2578100" cy="444500"/>
            <wp:effectExtent l="0" t="0" r="12700" b="13335"/>
            <wp:docPr id="55"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72"/>
                    <pic:cNvPicPr>
                      <a:picLocks noChangeAspect="1"/>
                    </pic:cNvPicPr>
                  </pic:nvPicPr>
                  <pic:blipFill>
                    <a:blip r:embed="rId125"/>
                    <a:stretch>
                      <a:fillRect/>
                    </a:stretch>
                  </pic:blipFill>
                  <pic:spPr>
                    <a:xfrm>
                      <a:off x="0" y="0"/>
                      <a:ext cx="2578100" cy="444500"/>
                    </a:xfrm>
                    <a:prstGeom prst="rect">
                      <a:avLst/>
                    </a:prstGeom>
                    <a:noFill/>
                    <a:ln>
                      <a:noFill/>
                    </a:ln>
                  </pic:spPr>
                </pic:pic>
              </a:graphicData>
            </a:graphic>
          </wp:inline>
        </w:drawing>
      </w:r>
    </w:p>
    <w:p w14:paraId="768E54CC">
      <w:pPr>
        <w:spacing w:line="480" w:lineRule="exact"/>
        <w:ind w:firstLine="480" w:firstLineChars="20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lang w:val="pt-BR"/>
          <w14:textFill>
            <w14:solidFill>
              <w14:schemeClr w14:val="tx1"/>
            </w14:solidFill>
          </w14:textFill>
        </w:rPr>
        <w:t>式中：</w:t>
      </w:r>
      <w:r>
        <w:rPr>
          <w:rFonts w:hint="default" w:ascii="Times New Roman" w:hAnsi="Times New Roman" w:eastAsia="宋体" w:cs="Times New Roman"/>
          <w:color w:val="000000" w:themeColor="text1"/>
          <w:kern w:val="0"/>
          <w:sz w:val="24"/>
          <w:highlight w:val="none"/>
          <w14:textFill>
            <w14:solidFill>
              <w14:schemeClr w14:val="tx1"/>
            </w14:solidFill>
          </w14:textFill>
        </w:rPr>
        <w:t>t</w:t>
      </w:r>
      <w:r>
        <w:rPr>
          <w:rFonts w:hint="default" w:ascii="Times New Roman" w:hAnsi="Times New Roman" w:eastAsia="宋体" w:cs="Times New Roman"/>
          <w:color w:val="000000" w:themeColor="text1"/>
          <w:kern w:val="0"/>
          <w:sz w:val="24"/>
          <w:highlight w:val="none"/>
          <w:vertAlign w:val="subscript"/>
          <w14:textFill>
            <w14:solidFill>
              <w14:schemeClr w14:val="tx1"/>
            </w14:solidFill>
          </w14:textFill>
        </w:rPr>
        <w:t>i</w:t>
      </w:r>
      <w:r>
        <w:rPr>
          <w:rFonts w:hint="default" w:ascii="Times New Roman" w:hAnsi="Times New Roman" w:eastAsia="宋体" w:cs="Times New Roman"/>
          <w:color w:val="000000" w:themeColor="text1"/>
          <w:kern w:val="0"/>
          <w:sz w:val="24"/>
          <w:highlight w:val="none"/>
          <w14:textFill>
            <w14:solidFill>
              <w14:schemeClr w14:val="tx1"/>
            </w14:solidFill>
          </w14:textFill>
        </w:rPr>
        <w:t>—在T时间内i声源工作时间，S；</w:t>
      </w:r>
    </w:p>
    <w:p w14:paraId="0495991F">
      <w:pPr>
        <w:spacing w:line="480" w:lineRule="exact"/>
        <w:ind w:firstLine="1200" w:firstLineChars="50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t</w:t>
      </w:r>
      <w:r>
        <w:rPr>
          <w:rFonts w:hint="default" w:ascii="Times New Roman" w:hAnsi="Times New Roman" w:eastAsia="宋体" w:cs="Times New Roman"/>
          <w:color w:val="000000" w:themeColor="text1"/>
          <w:kern w:val="0"/>
          <w:sz w:val="24"/>
          <w:highlight w:val="none"/>
          <w:vertAlign w:val="subscript"/>
          <w14:textFill>
            <w14:solidFill>
              <w14:schemeClr w14:val="tx1"/>
            </w14:solidFill>
          </w14:textFill>
        </w:rPr>
        <w:t>j</w:t>
      </w:r>
      <w:r>
        <w:rPr>
          <w:rFonts w:hint="default" w:ascii="Times New Roman" w:hAnsi="Times New Roman" w:eastAsia="宋体" w:cs="Times New Roman"/>
          <w:color w:val="000000" w:themeColor="text1"/>
          <w:kern w:val="0"/>
          <w:sz w:val="24"/>
          <w:highlight w:val="none"/>
          <w14:textFill>
            <w14:solidFill>
              <w14:schemeClr w14:val="tx1"/>
            </w14:solidFill>
          </w14:textFill>
        </w:rPr>
        <w:t>—在T时间内j声源工作时间，S；</w:t>
      </w:r>
    </w:p>
    <w:p w14:paraId="0D9165DD">
      <w:pPr>
        <w:spacing w:line="480" w:lineRule="exact"/>
        <w:ind w:firstLine="1200" w:firstLineChars="50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T—用于计算等效声级的时间，S；</w:t>
      </w:r>
    </w:p>
    <w:p w14:paraId="27F00CD7">
      <w:pPr>
        <w:spacing w:line="480" w:lineRule="exact"/>
        <w:ind w:firstLine="1200" w:firstLineChars="500"/>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N—室外声源个数。</w:t>
      </w:r>
    </w:p>
    <w:p w14:paraId="5981D2EF">
      <w:pPr>
        <w:spacing w:line="480" w:lineRule="exact"/>
        <w:ind w:firstLine="1200" w:firstLineChars="500"/>
        <w:rPr>
          <w:rFonts w:hint="default" w:ascii="Times New Roman" w:hAnsi="Times New Roman" w:eastAsia="宋体" w:cs="Times New Roman"/>
          <w:color w:val="000000" w:themeColor="text1"/>
          <w:sz w:val="24"/>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M—等效室外声源个数。</w:t>
      </w:r>
    </w:p>
    <w:bookmarkEnd w:id="328"/>
    <w:p w14:paraId="5ADA9BF4">
      <w:pPr>
        <w:pStyle w:val="8"/>
        <w:keepNext w:val="0"/>
        <w:keepLines w:val="0"/>
        <w:pageBreakBefore w:val="0"/>
        <w:widowControl w:val="0"/>
        <w:kinsoku/>
        <w:wordWrap/>
        <w:overflowPunct/>
        <w:topLinePunct w:val="0"/>
        <w:autoSpaceDE/>
        <w:autoSpaceDN/>
        <w:bidi w:val="0"/>
        <w:adjustRightInd w:val="0"/>
        <w:snapToGrid w:val="0"/>
        <w:spacing w:line="480" w:lineRule="exact"/>
        <w:textAlignment w:val="auto"/>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5.2.4.3</w:t>
      </w:r>
      <w:r>
        <w:rPr>
          <w:rFonts w:hint="default" w:ascii="Times New Roman" w:hAnsi="Times New Roman" w:eastAsia="宋体" w:cs="Times New Roman"/>
          <w:color w:val="000000" w:themeColor="text1"/>
          <w:highlight w:val="none"/>
          <w14:textFill>
            <w14:solidFill>
              <w14:schemeClr w14:val="tx1"/>
            </w14:solidFill>
          </w14:textFill>
        </w:rPr>
        <w:t>预测结果及分析</w:t>
      </w:r>
    </w:p>
    <w:p w14:paraId="4687D4CA">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按照以上预测模式及源强参数，</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本项目</w:t>
      </w:r>
      <w:r>
        <w:rPr>
          <w:rFonts w:hint="default" w:ascii="Times New Roman" w:hAnsi="Times New Roman" w:eastAsia="宋体" w:cs="Times New Roman"/>
          <w:color w:val="000000" w:themeColor="text1"/>
          <w:sz w:val="24"/>
          <w:highlight w:val="none"/>
          <w14:textFill>
            <w14:solidFill>
              <w14:schemeClr w14:val="tx1"/>
            </w14:solidFill>
          </w14:textFill>
        </w:rPr>
        <w:t>预测</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结果</w:t>
      </w:r>
      <w:r>
        <w:rPr>
          <w:rFonts w:hint="default" w:ascii="Times New Roman" w:hAnsi="Times New Roman" w:eastAsia="宋体" w:cs="Times New Roman"/>
          <w:color w:val="000000" w:themeColor="text1"/>
          <w:sz w:val="24"/>
          <w:highlight w:val="none"/>
          <w14:textFill>
            <w14:solidFill>
              <w14:schemeClr w14:val="tx1"/>
            </w14:solidFill>
          </w14:textFill>
        </w:rPr>
        <w:t>见表</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5.2-</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30</w:t>
      </w:r>
      <w:r>
        <w:rPr>
          <w:rFonts w:hint="default" w:ascii="Times New Roman" w:hAnsi="Times New Roman" w:eastAsia="宋体" w:cs="Times New Roman"/>
          <w:color w:val="000000" w:themeColor="text1"/>
          <w:sz w:val="24"/>
          <w:highlight w:val="none"/>
          <w14:textFill>
            <w14:solidFill>
              <w14:schemeClr w14:val="tx1"/>
            </w14:solidFill>
          </w14:textFill>
        </w:rPr>
        <w:t>。</w:t>
      </w:r>
    </w:p>
    <w:p w14:paraId="3287D102">
      <w:pPr>
        <w:numPr>
          <w:ilvl w:val="0"/>
          <w:numId w:val="34"/>
        </w:numPr>
        <w:spacing w:line="480" w:lineRule="exact"/>
        <w:ind w:left="425" w:leftChars="0" w:hanging="425" w:firstLineChars="0"/>
        <w:jc w:val="right"/>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各厂界噪声预测结果</w:t>
      </w:r>
      <w:r>
        <w:rPr>
          <w:rFonts w:hint="eastAsia" w:cs="Times New Roman"/>
          <w:b/>
          <w:bCs/>
          <w:color w:val="auto"/>
          <w:sz w:val="24"/>
          <w:highlight w:val="none"/>
          <w:lang w:val="en-US" w:eastAsia="zh-CN"/>
        </w:rPr>
        <w:t xml:space="preserve">            </w:t>
      </w:r>
      <w:r>
        <w:rPr>
          <w:rFonts w:hint="default" w:ascii="Times New Roman" w:hAnsi="Times New Roman" w:eastAsia="宋体" w:cs="Times New Roman"/>
          <w:b/>
          <w:bCs/>
          <w:color w:val="auto"/>
          <w:sz w:val="24"/>
          <w:highlight w:val="none"/>
        </w:rPr>
        <w:t>单位：dB(A)</w:t>
      </w:r>
    </w:p>
    <w:tbl>
      <w:tblPr>
        <w:tblStyle w:val="47"/>
        <w:tblW w:w="8211" w:type="dxa"/>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2" w:space="0"/>
        </w:tblBorders>
        <w:tblLayout w:type="autofit"/>
        <w:tblCellMar>
          <w:top w:w="0" w:type="dxa"/>
          <w:left w:w="108" w:type="dxa"/>
          <w:bottom w:w="0" w:type="dxa"/>
          <w:right w:w="108" w:type="dxa"/>
        </w:tblCellMar>
      </w:tblPr>
      <w:tblGrid>
        <w:gridCol w:w="1355"/>
        <w:gridCol w:w="1274"/>
        <w:gridCol w:w="1202"/>
        <w:gridCol w:w="1108"/>
        <w:gridCol w:w="1190"/>
        <w:gridCol w:w="1012"/>
        <w:gridCol w:w="1070"/>
      </w:tblGrid>
      <w:tr w14:paraId="3033F841">
        <w:tblPrEx>
          <w:tblBorders>
            <w:top w:val="single" w:color="auto" w:sz="12" w:space="0"/>
            <w:left w:val="single" w:color="auto" w:sz="12" w:space="0"/>
            <w:bottom w:val="single" w:color="auto" w:sz="12" w:space="0"/>
            <w:right w:val="single" w:color="auto" w:sz="12" w:space="0"/>
            <w:insideH w:val="single" w:color="000000" w:sz="4" w:space="0"/>
            <w:insideV w:val="single" w:color="000000" w:sz="2" w:space="0"/>
          </w:tblBorders>
          <w:tblCellMar>
            <w:top w:w="0" w:type="dxa"/>
            <w:left w:w="108" w:type="dxa"/>
            <w:bottom w:w="0" w:type="dxa"/>
            <w:right w:w="108" w:type="dxa"/>
          </w:tblCellMar>
        </w:tblPrEx>
        <w:trPr>
          <w:cantSplit/>
          <w:trHeight w:val="393" w:hRule="atLeast"/>
          <w:jc w:val="center"/>
        </w:trPr>
        <w:tc>
          <w:tcPr>
            <w:tcW w:w="1355" w:type="dxa"/>
            <w:vMerge w:val="restart"/>
            <w:noWrap w:val="0"/>
            <w:vAlign w:val="center"/>
          </w:tcPr>
          <w:p w14:paraId="6FEBFCD2">
            <w:pPr>
              <w:pStyle w:val="58"/>
              <w:bidi w:val="0"/>
              <w:rPr>
                <w:rFonts w:hint="default"/>
                <w:highlight w:val="none"/>
              </w:rPr>
            </w:pPr>
            <w:r>
              <w:rPr>
                <w:rFonts w:hint="default"/>
                <w:highlight w:val="none"/>
              </w:rPr>
              <w:t>预测点</w:t>
            </w:r>
          </w:p>
        </w:tc>
        <w:tc>
          <w:tcPr>
            <w:tcW w:w="2476" w:type="dxa"/>
            <w:gridSpan w:val="2"/>
            <w:tcBorders>
              <w:right w:val="single" w:color="auto" w:sz="4" w:space="0"/>
            </w:tcBorders>
            <w:noWrap w:val="0"/>
            <w:vAlign w:val="center"/>
          </w:tcPr>
          <w:p w14:paraId="267D5C79">
            <w:pPr>
              <w:pStyle w:val="58"/>
              <w:bidi w:val="0"/>
              <w:rPr>
                <w:rFonts w:hint="default"/>
                <w:highlight w:val="none"/>
              </w:rPr>
            </w:pPr>
            <w:r>
              <w:rPr>
                <w:rFonts w:hint="eastAsia"/>
                <w:highlight w:val="none"/>
                <w:lang w:val="en-US" w:eastAsia="zh-CN"/>
              </w:rPr>
              <w:t>贡献</w:t>
            </w:r>
            <w:r>
              <w:rPr>
                <w:rFonts w:hint="default"/>
                <w:highlight w:val="none"/>
                <w:lang w:eastAsia="zh-CN"/>
              </w:rPr>
              <w:t>值</w:t>
            </w:r>
          </w:p>
        </w:tc>
        <w:tc>
          <w:tcPr>
            <w:tcW w:w="2298" w:type="dxa"/>
            <w:gridSpan w:val="2"/>
            <w:tcBorders>
              <w:right w:val="single" w:color="auto" w:sz="4" w:space="0"/>
            </w:tcBorders>
            <w:noWrap w:val="0"/>
            <w:vAlign w:val="center"/>
          </w:tcPr>
          <w:p w14:paraId="726F315B">
            <w:pPr>
              <w:pStyle w:val="58"/>
              <w:bidi w:val="0"/>
              <w:rPr>
                <w:rFonts w:hint="default"/>
                <w:highlight w:val="none"/>
              </w:rPr>
            </w:pPr>
            <w:r>
              <w:rPr>
                <w:rFonts w:hint="default"/>
                <w:highlight w:val="none"/>
              </w:rPr>
              <w:t>标准值</w:t>
            </w:r>
          </w:p>
        </w:tc>
        <w:tc>
          <w:tcPr>
            <w:tcW w:w="2082" w:type="dxa"/>
            <w:gridSpan w:val="2"/>
            <w:tcBorders>
              <w:left w:val="single" w:color="auto" w:sz="4" w:space="0"/>
            </w:tcBorders>
            <w:noWrap w:val="0"/>
            <w:vAlign w:val="center"/>
          </w:tcPr>
          <w:p w14:paraId="04824995">
            <w:pPr>
              <w:pStyle w:val="58"/>
              <w:bidi w:val="0"/>
              <w:rPr>
                <w:rFonts w:hint="default"/>
                <w:highlight w:val="none"/>
              </w:rPr>
            </w:pPr>
            <w:r>
              <w:rPr>
                <w:rFonts w:hint="default"/>
                <w:highlight w:val="none"/>
              </w:rPr>
              <w:t>达标情况</w:t>
            </w:r>
          </w:p>
        </w:tc>
      </w:tr>
      <w:tr w14:paraId="2884EEAD">
        <w:tblPrEx>
          <w:tblBorders>
            <w:top w:val="single" w:color="auto" w:sz="12" w:space="0"/>
            <w:left w:val="single" w:color="auto" w:sz="12" w:space="0"/>
            <w:bottom w:val="single" w:color="auto" w:sz="12" w:space="0"/>
            <w:right w:val="single" w:color="auto" w:sz="12" w:space="0"/>
            <w:insideH w:val="single" w:color="000000" w:sz="4" w:space="0"/>
            <w:insideV w:val="single" w:color="000000" w:sz="2" w:space="0"/>
          </w:tblBorders>
          <w:tblCellMar>
            <w:top w:w="0" w:type="dxa"/>
            <w:left w:w="108" w:type="dxa"/>
            <w:bottom w:w="0" w:type="dxa"/>
            <w:right w:w="108" w:type="dxa"/>
          </w:tblCellMar>
        </w:tblPrEx>
        <w:trPr>
          <w:cantSplit/>
          <w:trHeight w:val="336" w:hRule="atLeast"/>
          <w:jc w:val="center"/>
        </w:trPr>
        <w:tc>
          <w:tcPr>
            <w:tcW w:w="1355" w:type="dxa"/>
            <w:vMerge w:val="continue"/>
            <w:noWrap w:val="0"/>
            <w:vAlign w:val="center"/>
          </w:tcPr>
          <w:p w14:paraId="080D8FCE">
            <w:pPr>
              <w:pStyle w:val="58"/>
              <w:bidi w:val="0"/>
              <w:rPr>
                <w:rFonts w:hint="default"/>
                <w:highlight w:val="none"/>
              </w:rPr>
            </w:pPr>
          </w:p>
        </w:tc>
        <w:tc>
          <w:tcPr>
            <w:tcW w:w="1274" w:type="dxa"/>
            <w:tcBorders>
              <w:right w:val="single" w:color="auto" w:sz="4" w:space="0"/>
            </w:tcBorders>
            <w:noWrap w:val="0"/>
            <w:vAlign w:val="center"/>
          </w:tcPr>
          <w:p w14:paraId="63AAA373">
            <w:pPr>
              <w:pStyle w:val="58"/>
              <w:bidi w:val="0"/>
              <w:rPr>
                <w:rFonts w:hint="default"/>
                <w:highlight w:val="none"/>
                <w:lang w:val="en-US" w:eastAsia="zh-CN"/>
              </w:rPr>
            </w:pPr>
            <w:r>
              <w:rPr>
                <w:rFonts w:hint="default"/>
                <w:highlight w:val="none"/>
                <w:lang w:val="en-US" w:eastAsia="zh-CN"/>
              </w:rPr>
              <w:t>昼间</w:t>
            </w:r>
          </w:p>
        </w:tc>
        <w:tc>
          <w:tcPr>
            <w:tcW w:w="1202" w:type="dxa"/>
            <w:tcBorders>
              <w:right w:val="single" w:color="auto" w:sz="4" w:space="0"/>
            </w:tcBorders>
            <w:noWrap w:val="0"/>
            <w:vAlign w:val="center"/>
          </w:tcPr>
          <w:p w14:paraId="10EF47B3">
            <w:pPr>
              <w:pStyle w:val="58"/>
              <w:bidi w:val="0"/>
              <w:rPr>
                <w:rFonts w:hint="default"/>
                <w:highlight w:val="none"/>
                <w:lang w:val="en-US" w:eastAsia="zh-CN"/>
              </w:rPr>
            </w:pPr>
            <w:r>
              <w:rPr>
                <w:rFonts w:hint="default"/>
                <w:highlight w:val="none"/>
                <w:lang w:val="en-US" w:eastAsia="zh-CN"/>
              </w:rPr>
              <w:t>夜间</w:t>
            </w:r>
          </w:p>
        </w:tc>
        <w:tc>
          <w:tcPr>
            <w:tcW w:w="1108" w:type="dxa"/>
            <w:tcBorders>
              <w:left w:val="single" w:color="auto" w:sz="4" w:space="0"/>
              <w:right w:val="single" w:color="auto" w:sz="4" w:space="0"/>
            </w:tcBorders>
            <w:noWrap w:val="0"/>
            <w:vAlign w:val="center"/>
          </w:tcPr>
          <w:p w14:paraId="35FF07DC">
            <w:pPr>
              <w:pStyle w:val="58"/>
              <w:bidi w:val="0"/>
              <w:rPr>
                <w:rFonts w:hint="default"/>
                <w:highlight w:val="none"/>
                <w:lang w:val="en-US" w:eastAsia="zh-CN"/>
              </w:rPr>
            </w:pPr>
            <w:r>
              <w:rPr>
                <w:rFonts w:hint="default"/>
                <w:highlight w:val="none"/>
                <w:lang w:val="en-US" w:eastAsia="zh-CN"/>
              </w:rPr>
              <w:t>昼间</w:t>
            </w:r>
          </w:p>
        </w:tc>
        <w:tc>
          <w:tcPr>
            <w:tcW w:w="1190" w:type="dxa"/>
            <w:tcBorders>
              <w:left w:val="single" w:color="auto" w:sz="4" w:space="0"/>
              <w:right w:val="single" w:color="auto" w:sz="4" w:space="0"/>
            </w:tcBorders>
            <w:noWrap w:val="0"/>
            <w:vAlign w:val="center"/>
          </w:tcPr>
          <w:p w14:paraId="00DF9693">
            <w:pPr>
              <w:pStyle w:val="58"/>
              <w:bidi w:val="0"/>
              <w:rPr>
                <w:rFonts w:hint="default"/>
                <w:highlight w:val="none"/>
                <w:lang w:val="en-US" w:eastAsia="zh-CN"/>
              </w:rPr>
            </w:pPr>
            <w:r>
              <w:rPr>
                <w:rFonts w:hint="default"/>
                <w:highlight w:val="none"/>
                <w:lang w:val="en-US" w:eastAsia="zh-CN"/>
              </w:rPr>
              <w:t>夜间</w:t>
            </w:r>
          </w:p>
        </w:tc>
        <w:tc>
          <w:tcPr>
            <w:tcW w:w="1012" w:type="dxa"/>
            <w:tcBorders>
              <w:left w:val="single" w:color="auto" w:sz="4" w:space="0"/>
              <w:right w:val="single" w:color="auto" w:sz="4" w:space="0"/>
            </w:tcBorders>
            <w:noWrap w:val="0"/>
            <w:vAlign w:val="center"/>
          </w:tcPr>
          <w:p w14:paraId="2FF696FF">
            <w:pPr>
              <w:pStyle w:val="58"/>
              <w:bidi w:val="0"/>
              <w:rPr>
                <w:rFonts w:hint="default"/>
                <w:highlight w:val="none"/>
                <w:lang w:val="en-US" w:eastAsia="zh-CN"/>
              </w:rPr>
            </w:pPr>
            <w:r>
              <w:rPr>
                <w:rFonts w:hint="default"/>
                <w:highlight w:val="none"/>
                <w:lang w:val="en-US" w:eastAsia="zh-CN"/>
              </w:rPr>
              <w:t>昼间</w:t>
            </w:r>
          </w:p>
        </w:tc>
        <w:tc>
          <w:tcPr>
            <w:tcW w:w="1070" w:type="dxa"/>
            <w:noWrap w:val="0"/>
            <w:vAlign w:val="center"/>
          </w:tcPr>
          <w:p w14:paraId="34FB516B">
            <w:pPr>
              <w:pStyle w:val="58"/>
              <w:bidi w:val="0"/>
              <w:rPr>
                <w:rFonts w:hint="default"/>
                <w:highlight w:val="none"/>
                <w:lang w:val="en-US" w:eastAsia="zh-CN"/>
              </w:rPr>
            </w:pPr>
            <w:r>
              <w:rPr>
                <w:rFonts w:hint="default"/>
                <w:highlight w:val="none"/>
                <w:lang w:val="en-US" w:eastAsia="zh-CN"/>
              </w:rPr>
              <w:t>夜间</w:t>
            </w:r>
          </w:p>
        </w:tc>
      </w:tr>
      <w:tr w14:paraId="64ED5D7E">
        <w:tblPrEx>
          <w:tblBorders>
            <w:top w:val="single" w:color="auto" w:sz="12" w:space="0"/>
            <w:left w:val="single" w:color="auto" w:sz="12" w:space="0"/>
            <w:bottom w:val="single" w:color="auto" w:sz="12" w:space="0"/>
            <w:right w:val="single" w:color="auto" w:sz="12" w:space="0"/>
            <w:insideH w:val="single" w:color="000000" w:sz="4" w:space="0"/>
            <w:insideV w:val="single" w:color="000000" w:sz="2" w:space="0"/>
          </w:tblBorders>
          <w:tblCellMar>
            <w:top w:w="0" w:type="dxa"/>
            <w:left w:w="108" w:type="dxa"/>
            <w:bottom w:w="0" w:type="dxa"/>
            <w:right w:w="108" w:type="dxa"/>
          </w:tblCellMar>
        </w:tblPrEx>
        <w:trPr>
          <w:cantSplit/>
          <w:trHeight w:val="414" w:hRule="atLeast"/>
          <w:jc w:val="center"/>
        </w:trPr>
        <w:tc>
          <w:tcPr>
            <w:tcW w:w="1355" w:type="dxa"/>
            <w:noWrap w:val="0"/>
            <w:vAlign w:val="center"/>
          </w:tcPr>
          <w:p w14:paraId="6DCA06D6">
            <w:pPr>
              <w:pStyle w:val="58"/>
              <w:bidi w:val="0"/>
              <w:rPr>
                <w:rFonts w:hint="default"/>
                <w:highlight w:val="none"/>
              </w:rPr>
            </w:pPr>
            <w:r>
              <w:rPr>
                <w:rFonts w:hint="default"/>
                <w:highlight w:val="none"/>
                <w:lang w:val="en-US" w:eastAsia="zh-CN"/>
              </w:rPr>
              <w:t>东</w:t>
            </w:r>
            <w:r>
              <w:rPr>
                <w:rFonts w:hint="default"/>
                <w:highlight w:val="none"/>
              </w:rPr>
              <w:t>厂界</w:t>
            </w:r>
          </w:p>
        </w:tc>
        <w:tc>
          <w:tcPr>
            <w:tcW w:w="1274" w:type="dxa"/>
            <w:tcBorders>
              <w:right w:val="single" w:color="auto" w:sz="4" w:space="0"/>
            </w:tcBorders>
            <w:noWrap w:val="0"/>
            <w:vAlign w:val="center"/>
          </w:tcPr>
          <w:p w14:paraId="07E2F00A">
            <w:pPr>
              <w:pStyle w:val="58"/>
              <w:bidi w:val="0"/>
              <w:rPr>
                <w:rFonts w:hint="default"/>
                <w:highlight w:val="none"/>
                <w:lang w:val="en-US" w:eastAsia="zh-CN"/>
              </w:rPr>
            </w:pPr>
            <w:r>
              <w:rPr>
                <w:rFonts w:hint="default"/>
                <w:highlight w:val="none"/>
                <w:lang w:val="en-US" w:eastAsia="zh-CN"/>
              </w:rPr>
              <w:t>49.1</w:t>
            </w:r>
          </w:p>
        </w:tc>
        <w:tc>
          <w:tcPr>
            <w:tcW w:w="1202" w:type="dxa"/>
            <w:tcBorders>
              <w:right w:val="single" w:color="auto" w:sz="4" w:space="0"/>
            </w:tcBorders>
            <w:noWrap w:val="0"/>
            <w:vAlign w:val="center"/>
          </w:tcPr>
          <w:p w14:paraId="6F435428">
            <w:pPr>
              <w:pStyle w:val="58"/>
              <w:bidi w:val="0"/>
              <w:rPr>
                <w:rFonts w:hint="default"/>
                <w:highlight w:val="none"/>
                <w:lang w:val="en-US" w:eastAsia="zh-CN"/>
              </w:rPr>
            </w:pPr>
            <w:r>
              <w:rPr>
                <w:rFonts w:hint="default"/>
                <w:highlight w:val="none"/>
                <w:lang w:val="en-US" w:eastAsia="zh-CN"/>
              </w:rPr>
              <w:t>49.1</w:t>
            </w:r>
          </w:p>
        </w:tc>
        <w:tc>
          <w:tcPr>
            <w:tcW w:w="1108" w:type="dxa"/>
            <w:tcBorders>
              <w:left w:val="single" w:color="auto" w:sz="4" w:space="0"/>
              <w:right w:val="single" w:color="auto" w:sz="4" w:space="0"/>
            </w:tcBorders>
            <w:noWrap w:val="0"/>
            <w:vAlign w:val="center"/>
          </w:tcPr>
          <w:p w14:paraId="31B9B41E">
            <w:pPr>
              <w:pStyle w:val="58"/>
              <w:bidi w:val="0"/>
              <w:rPr>
                <w:rFonts w:hint="default"/>
                <w:highlight w:val="none"/>
                <w:lang w:val="en-US" w:eastAsia="zh-CN"/>
              </w:rPr>
            </w:pPr>
            <w:r>
              <w:rPr>
                <w:rFonts w:hint="default"/>
                <w:highlight w:val="none"/>
                <w:lang w:val="en-US" w:eastAsia="zh-CN"/>
              </w:rPr>
              <w:t>65</w:t>
            </w:r>
          </w:p>
        </w:tc>
        <w:tc>
          <w:tcPr>
            <w:tcW w:w="1190" w:type="dxa"/>
            <w:tcBorders>
              <w:left w:val="single" w:color="auto" w:sz="4" w:space="0"/>
              <w:right w:val="single" w:color="auto" w:sz="4" w:space="0"/>
            </w:tcBorders>
            <w:noWrap w:val="0"/>
            <w:vAlign w:val="center"/>
          </w:tcPr>
          <w:p w14:paraId="42A72EC7">
            <w:pPr>
              <w:pStyle w:val="58"/>
              <w:bidi w:val="0"/>
              <w:rPr>
                <w:rFonts w:hint="default"/>
                <w:highlight w:val="none"/>
                <w:lang w:val="en-US" w:eastAsia="zh-CN"/>
              </w:rPr>
            </w:pPr>
            <w:r>
              <w:rPr>
                <w:rFonts w:hint="default"/>
                <w:highlight w:val="none"/>
                <w:lang w:val="en-US" w:eastAsia="zh-CN"/>
              </w:rPr>
              <w:t>55</w:t>
            </w:r>
          </w:p>
        </w:tc>
        <w:tc>
          <w:tcPr>
            <w:tcW w:w="1012" w:type="dxa"/>
            <w:tcBorders>
              <w:left w:val="single" w:color="auto" w:sz="4" w:space="0"/>
              <w:right w:val="single" w:color="auto" w:sz="4" w:space="0"/>
            </w:tcBorders>
            <w:noWrap w:val="0"/>
            <w:vAlign w:val="center"/>
          </w:tcPr>
          <w:p w14:paraId="12D94549">
            <w:pPr>
              <w:pStyle w:val="58"/>
              <w:bidi w:val="0"/>
              <w:rPr>
                <w:rFonts w:hint="default"/>
                <w:highlight w:val="none"/>
                <w:lang w:val="en-US" w:eastAsia="zh-CN"/>
              </w:rPr>
            </w:pPr>
            <w:r>
              <w:rPr>
                <w:rFonts w:hint="default"/>
                <w:highlight w:val="none"/>
              </w:rPr>
              <w:t>达标</w:t>
            </w:r>
          </w:p>
        </w:tc>
        <w:tc>
          <w:tcPr>
            <w:tcW w:w="1070" w:type="dxa"/>
            <w:noWrap w:val="0"/>
            <w:vAlign w:val="center"/>
          </w:tcPr>
          <w:p w14:paraId="3994D4CF">
            <w:pPr>
              <w:pStyle w:val="58"/>
              <w:bidi w:val="0"/>
              <w:rPr>
                <w:rFonts w:hint="default"/>
                <w:highlight w:val="none"/>
                <w:lang w:val="en-US" w:eastAsia="zh-CN"/>
              </w:rPr>
            </w:pPr>
            <w:r>
              <w:rPr>
                <w:rFonts w:hint="default"/>
                <w:highlight w:val="none"/>
              </w:rPr>
              <w:t>达标</w:t>
            </w:r>
          </w:p>
        </w:tc>
      </w:tr>
      <w:tr w14:paraId="5CB88DDE">
        <w:tblPrEx>
          <w:tblBorders>
            <w:top w:val="single" w:color="auto" w:sz="12" w:space="0"/>
            <w:left w:val="single" w:color="auto" w:sz="12" w:space="0"/>
            <w:bottom w:val="single" w:color="auto" w:sz="12" w:space="0"/>
            <w:right w:val="single" w:color="auto" w:sz="12" w:space="0"/>
            <w:insideH w:val="single" w:color="000000" w:sz="4" w:space="0"/>
            <w:insideV w:val="single" w:color="000000" w:sz="2" w:space="0"/>
          </w:tblBorders>
          <w:tblCellMar>
            <w:top w:w="0" w:type="dxa"/>
            <w:left w:w="108" w:type="dxa"/>
            <w:bottom w:w="0" w:type="dxa"/>
            <w:right w:w="108" w:type="dxa"/>
          </w:tblCellMar>
        </w:tblPrEx>
        <w:trPr>
          <w:cantSplit/>
          <w:trHeight w:val="470" w:hRule="atLeast"/>
          <w:jc w:val="center"/>
        </w:trPr>
        <w:tc>
          <w:tcPr>
            <w:tcW w:w="1355" w:type="dxa"/>
            <w:noWrap w:val="0"/>
            <w:vAlign w:val="center"/>
          </w:tcPr>
          <w:p w14:paraId="6B386208">
            <w:pPr>
              <w:pStyle w:val="58"/>
              <w:bidi w:val="0"/>
              <w:rPr>
                <w:rFonts w:hint="default"/>
                <w:highlight w:val="none"/>
              </w:rPr>
            </w:pPr>
            <w:r>
              <w:rPr>
                <w:rFonts w:hint="default"/>
                <w:highlight w:val="none"/>
                <w:lang w:val="en-US" w:eastAsia="zh-CN"/>
              </w:rPr>
              <w:t>西</w:t>
            </w:r>
            <w:r>
              <w:rPr>
                <w:rFonts w:hint="default"/>
                <w:highlight w:val="none"/>
              </w:rPr>
              <w:t>厂界</w:t>
            </w:r>
          </w:p>
        </w:tc>
        <w:tc>
          <w:tcPr>
            <w:tcW w:w="1274" w:type="dxa"/>
            <w:tcBorders>
              <w:right w:val="single" w:color="auto" w:sz="4" w:space="0"/>
            </w:tcBorders>
            <w:noWrap w:val="0"/>
            <w:vAlign w:val="center"/>
          </w:tcPr>
          <w:p w14:paraId="4623E5B9">
            <w:pPr>
              <w:pStyle w:val="58"/>
              <w:bidi w:val="0"/>
              <w:rPr>
                <w:rFonts w:hint="default"/>
                <w:highlight w:val="none"/>
                <w:lang w:val="en-US" w:eastAsia="zh-CN"/>
              </w:rPr>
            </w:pPr>
            <w:r>
              <w:rPr>
                <w:rFonts w:hint="default"/>
                <w:highlight w:val="none"/>
                <w:lang w:val="en-US" w:eastAsia="zh-CN"/>
              </w:rPr>
              <w:t>53.7</w:t>
            </w:r>
          </w:p>
        </w:tc>
        <w:tc>
          <w:tcPr>
            <w:tcW w:w="1202" w:type="dxa"/>
            <w:tcBorders>
              <w:right w:val="single" w:color="auto" w:sz="4" w:space="0"/>
            </w:tcBorders>
            <w:noWrap w:val="0"/>
            <w:vAlign w:val="center"/>
          </w:tcPr>
          <w:p w14:paraId="7B9CDC6F">
            <w:pPr>
              <w:pStyle w:val="58"/>
              <w:bidi w:val="0"/>
              <w:rPr>
                <w:rFonts w:hint="default"/>
                <w:highlight w:val="none"/>
                <w:lang w:val="en-US" w:eastAsia="zh-CN"/>
              </w:rPr>
            </w:pPr>
            <w:r>
              <w:rPr>
                <w:rFonts w:hint="default"/>
                <w:highlight w:val="none"/>
                <w:lang w:val="en-US" w:eastAsia="zh-CN"/>
              </w:rPr>
              <w:t>53.7</w:t>
            </w:r>
          </w:p>
        </w:tc>
        <w:tc>
          <w:tcPr>
            <w:tcW w:w="1108" w:type="dxa"/>
            <w:tcBorders>
              <w:left w:val="single" w:color="auto" w:sz="4" w:space="0"/>
              <w:right w:val="single" w:color="auto" w:sz="4" w:space="0"/>
            </w:tcBorders>
            <w:noWrap w:val="0"/>
            <w:vAlign w:val="center"/>
          </w:tcPr>
          <w:p w14:paraId="5CA49189">
            <w:pPr>
              <w:pStyle w:val="58"/>
              <w:bidi w:val="0"/>
              <w:rPr>
                <w:rFonts w:hint="default"/>
                <w:highlight w:val="none"/>
                <w:lang w:val="en-US" w:eastAsia="zh-CN"/>
              </w:rPr>
            </w:pPr>
            <w:r>
              <w:rPr>
                <w:rFonts w:hint="default"/>
                <w:highlight w:val="none"/>
                <w:lang w:val="en-US" w:eastAsia="zh-CN"/>
              </w:rPr>
              <w:t>65</w:t>
            </w:r>
          </w:p>
        </w:tc>
        <w:tc>
          <w:tcPr>
            <w:tcW w:w="1190" w:type="dxa"/>
            <w:tcBorders>
              <w:left w:val="single" w:color="auto" w:sz="4" w:space="0"/>
              <w:right w:val="single" w:color="auto" w:sz="4" w:space="0"/>
            </w:tcBorders>
            <w:noWrap w:val="0"/>
            <w:vAlign w:val="center"/>
          </w:tcPr>
          <w:p w14:paraId="76A61886">
            <w:pPr>
              <w:pStyle w:val="58"/>
              <w:bidi w:val="0"/>
              <w:rPr>
                <w:rFonts w:hint="default"/>
                <w:highlight w:val="none"/>
                <w:lang w:val="en-US" w:eastAsia="zh-CN"/>
              </w:rPr>
            </w:pPr>
            <w:r>
              <w:rPr>
                <w:rFonts w:hint="default"/>
                <w:highlight w:val="none"/>
                <w:lang w:val="en-US" w:eastAsia="zh-CN"/>
              </w:rPr>
              <w:t>55</w:t>
            </w:r>
          </w:p>
        </w:tc>
        <w:tc>
          <w:tcPr>
            <w:tcW w:w="1012" w:type="dxa"/>
            <w:tcBorders>
              <w:left w:val="single" w:color="auto" w:sz="4" w:space="0"/>
              <w:right w:val="single" w:color="auto" w:sz="4" w:space="0"/>
            </w:tcBorders>
            <w:noWrap w:val="0"/>
            <w:vAlign w:val="center"/>
          </w:tcPr>
          <w:p w14:paraId="3835C819">
            <w:pPr>
              <w:pStyle w:val="58"/>
              <w:bidi w:val="0"/>
              <w:rPr>
                <w:rFonts w:hint="default"/>
                <w:highlight w:val="none"/>
                <w:lang w:val="en-US" w:eastAsia="zh-CN"/>
              </w:rPr>
            </w:pPr>
            <w:r>
              <w:rPr>
                <w:rFonts w:hint="default"/>
                <w:highlight w:val="none"/>
              </w:rPr>
              <w:t>达标</w:t>
            </w:r>
          </w:p>
        </w:tc>
        <w:tc>
          <w:tcPr>
            <w:tcW w:w="1070" w:type="dxa"/>
            <w:noWrap w:val="0"/>
            <w:vAlign w:val="center"/>
          </w:tcPr>
          <w:p w14:paraId="64A225EF">
            <w:pPr>
              <w:pStyle w:val="58"/>
              <w:bidi w:val="0"/>
              <w:rPr>
                <w:rFonts w:hint="default"/>
                <w:highlight w:val="none"/>
                <w:lang w:val="en-US" w:eastAsia="zh-CN"/>
              </w:rPr>
            </w:pPr>
            <w:r>
              <w:rPr>
                <w:rFonts w:hint="default"/>
                <w:highlight w:val="none"/>
              </w:rPr>
              <w:t>达标</w:t>
            </w:r>
          </w:p>
        </w:tc>
      </w:tr>
      <w:tr w14:paraId="43B2D00F">
        <w:tblPrEx>
          <w:tblBorders>
            <w:top w:val="single" w:color="auto" w:sz="12" w:space="0"/>
            <w:left w:val="single" w:color="auto" w:sz="12" w:space="0"/>
            <w:bottom w:val="single" w:color="auto" w:sz="12" w:space="0"/>
            <w:right w:val="single" w:color="auto" w:sz="12" w:space="0"/>
            <w:insideH w:val="single" w:color="000000" w:sz="4" w:space="0"/>
            <w:insideV w:val="single" w:color="000000" w:sz="2" w:space="0"/>
          </w:tblBorders>
          <w:tblCellMar>
            <w:top w:w="0" w:type="dxa"/>
            <w:left w:w="108" w:type="dxa"/>
            <w:bottom w:w="0" w:type="dxa"/>
            <w:right w:w="108" w:type="dxa"/>
          </w:tblCellMar>
        </w:tblPrEx>
        <w:trPr>
          <w:cantSplit/>
          <w:trHeight w:val="470" w:hRule="atLeast"/>
          <w:jc w:val="center"/>
        </w:trPr>
        <w:tc>
          <w:tcPr>
            <w:tcW w:w="1355" w:type="dxa"/>
            <w:noWrap w:val="0"/>
            <w:vAlign w:val="center"/>
          </w:tcPr>
          <w:p w14:paraId="408F905C">
            <w:pPr>
              <w:pStyle w:val="58"/>
              <w:bidi w:val="0"/>
              <w:rPr>
                <w:rFonts w:hint="default"/>
                <w:highlight w:val="none"/>
                <w:lang w:val="en-US" w:eastAsia="zh-CN"/>
              </w:rPr>
            </w:pPr>
            <w:r>
              <w:rPr>
                <w:rFonts w:hint="default"/>
                <w:highlight w:val="none"/>
                <w:lang w:val="en-US" w:eastAsia="zh-CN"/>
              </w:rPr>
              <w:t>南厂界</w:t>
            </w:r>
          </w:p>
        </w:tc>
        <w:tc>
          <w:tcPr>
            <w:tcW w:w="1274" w:type="dxa"/>
            <w:tcBorders>
              <w:right w:val="single" w:color="auto" w:sz="4" w:space="0"/>
            </w:tcBorders>
            <w:noWrap w:val="0"/>
            <w:vAlign w:val="center"/>
          </w:tcPr>
          <w:p w14:paraId="750AF688">
            <w:pPr>
              <w:pStyle w:val="58"/>
              <w:bidi w:val="0"/>
              <w:rPr>
                <w:rFonts w:hint="default"/>
                <w:highlight w:val="none"/>
                <w:lang w:val="en-US" w:eastAsia="zh-CN"/>
              </w:rPr>
            </w:pPr>
            <w:r>
              <w:rPr>
                <w:rFonts w:hint="default"/>
                <w:highlight w:val="none"/>
                <w:lang w:val="en-US" w:eastAsia="zh-CN"/>
              </w:rPr>
              <w:t>41.4</w:t>
            </w:r>
          </w:p>
        </w:tc>
        <w:tc>
          <w:tcPr>
            <w:tcW w:w="1202" w:type="dxa"/>
            <w:tcBorders>
              <w:right w:val="single" w:color="auto" w:sz="4" w:space="0"/>
            </w:tcBorders>
            <w:noWrap w:val="0"/>
            <w:vAlign w:val="center"/>
          </w:tcPr>
          <w:p w14:paraId="6125ABB5">
            <w:pPr>
              <w:pStyle w:val="58"/>
              <w:bidi w:val="0"/>
              <w:rPr>
                <w:rFonts w:hint="default"/>
                <w:highlight w:val="none"/>
                <w:lang w:val="en-US" w:eastAsia="zh-CN"/>
              </w:rPr>
            </w:pPr>
            <w:r>
              <w:rPr>
                <w:rFonts w:hint="default"/>
                <w:highlight w:val="none"/>
                <w:lang w:val="en-US" w:eastAsia="zh-CN"/>
              </w:rPr>
              <w:t>41.4</w:t>
            </w:r>
          </w:p>
        </w:tc>
        <w:tc>
          <w:tcPr>
            <w:tcW w:w="1108" w:type="dxa"/>
            <w:tcBorders>
              <w:left w:val="single" w:color="auto" w:sz="4" w:space="0"/>
              <w:right w:val="single" w:color="auto" w:sz="4" w:space="0"/>
            </w:tcBorders>
            <w:noWrap w:val="0"/>
            <w:vAlign w:val="center"/>
          </w:tcPr>
          <w:p w14:paraId="5862C245">
            <w:pPr>
              <w:pStyle w:val="58"/>
              <w:bidi w:val="0"/>
              <w:rPr>
                <w:rFonts w:hint="default"/>
                <w:highlight w:val="none"/>
                <w:lang w:val="en-US" w:eastAsia="zh-CN"/>
              </w:rPr>
            </w:pPr>
            <w:r>
              <w:rPr>
                <w:rFonts w:hint="default"/>
                <w:highlight w:val="none"/>
              </w:rPr>
              <w:t>65</w:t>
            </w:r>
          </w:p>
        </w:tc>
        <w:tc>
          <w:tcPr>
            <w:tcW w:w="1190" w:type="dxa"/>
            <w:tcBorders>
              <w:left w:val="single" w:color="auto" w:sz="4" w:space="0"/>
              <w:right w:val="single" w:color="auto" w:sz="4" w:space="0"/>
            </w:tcBorders>
            <w:noWrap w:val="0"/>
            <w:vAlign w:val="center"/>
          </w:tcPr>
          <w:p w14:paraId="67B9C470">
            <w:pPr>
              <w:pStyle w:val="58"/>
              <w:bidi w:val="0"/>
              <w:rPr>
                <w:rFonts w:hint="default"/>
                <w:highlight w:val="none"/>
                <w:lang w:val="en-US" w:eastAsia="zh-CN"/>
              </w:rPr>
            </w:pPr>
            <w:r>
              <w:rPr>
                <w:rFonts w:hint="default"/>
                <w:highlight w:val="none"/>
              </w:rPr>
              <w:t>55</w:t>
            </w:r>
          </w:p>
        </w:tc>
        <w:tc>
          <w:tcPr>
            <w:tcW w:w="1012" w:type="dxa"/>
            <w:tcBorders>
              <w:left w:val="single" w:color="auto" w:sz="4" w:space="0"/>
              <w:right w:val="single" w:color="auto" w:sz="4" w:space="0"/>
            </w:tcBorders>
            <w:noWrap w:val="0"/>
            <w:vAlign w:val="center"/>
          </w:tcPr>
          <w:p w14:paraId="6233EC40">
            <w:pPr>
              <w:pStyle w:val="58"/>
              <w:bidi w:val="0"/>
              <w:rPr>
                <w:rFonts w:hint="default"/>
                <w:highlight w:val="none"/>
              </w:rPr>
            </w:pPr>
            <w:r>
              <w:rPr>
                <w:rFonts w:hint="default"/>
                <w:highlight w:val="none"/>
              </w:rPr>
              <w:t>达标</w:t>
            </w:r>
          </w:p>
        </w:tc>
        <w:tc>
          <w:tcPr>
            <w:tcW w:w="1070" w:type="dxa"/>
            <w:noWrap w:val="0"/>
            <w:vAlign w:val="center"/>
          </w:tcPr>
          <w:p w14:paraId="07661086">
            <w:pPr>
              <w:pStyle w:val="58"/>
              <w:bidi w:val="0"/>
              <w:rPr>
                <w:rFonts w:hint="default"/>
                <w:highlight w:val="none"/>
              </w:rPr>
            </w:pPr>
            <w:r>
              <w:rPr>
                <w:rFonts w:hint="default"/>
                <w:highlight w:val="none"/>
              </w:rPr>
              <w:t>达标</w:t>
            </w:r>
          </w:p>
        </w:tc>
      </w:tr>
      <w:tr w14:paraId="58A6FF5D">
        <w:tblPrEx>
          <w:tblBorders>
            <w:top w:val="single" w:color="auto" w:sz="12" w:space="0"/>
            <w:left w:val="single" w:color="auto" w:sz="12" w:space="0"/>
            <w:bottom w:val="single" w:color="auto" w:sz="12" w:space="0"/>
            <w:right w:val="single" w:color="auto" w:sz="12" w:space="0"/>
            <w:insideH w:val="single" w:color="000000" w:sz="4" w:space="0"/>
            <w:insideV w:val="single" w:color="000000" w:sz="2" w:space="0"/>
          </w:tblBorders>
          <w:tblCellMar>
            <w:top w:w="0" w:type="dxa"/>
            <w:left w:w="108" w:type="dxa"/>
            <w:bottom w:w="0" w:type="dxa"/>
            <w:right w:w="108" w:type="dxa"/>
          </w:tblCellMar>
        </w:tblPrEx>
        <w:trPr>
          <w:cantSplit/>
          <w:trHeight w:val="470" w:hRule="atLeast"/>
          <w:jc w:val="center"/>
        </w:trPr>
        <w:tc>
          <w:tcPr>
            <w:tcW w:w="1355" w:type="dxa"/>
            <w:noWrap w:val="0"/>
            <w:vAlign w:val="center"/>
          </w:tcPr>
          <w:p w14:paraId="39D03C1A">
            <w:pPr>
              <w:pStyle w:val="58"/>
              <w:bidi w:val="0"/>
              <w:rPr>
                <w:rFonts w:hint="default"/>
                <w:highlight w:val="none"/>
                <w:lang w:val="en-US" w:eastAsia="zh-CN"/>
              </w:rPr>
            </w:pPr>
            <w:r>
              <w:rPr>
                <w:rFonts w:hint="default"/>
                <w:highlight w:val="none"/>
                <w:lang w:val="en-US" w:eastAsia="zh-CN"/>
              </w:rPr>
              <w:t>北厂界</w:t>
            </w:r>
          </w:p>
        </w:tc>
        <w:tc>
          <w:tcPr>
            <w:tcW w:w="1274" w:type="dxa"/>
            <w:tcBorders>
              <w:right w:val="single" w:color="auto" w:sz="4" w:space="0"/>
            </w:tcBorders>
            <w:noWrap w:val="0"/>
            <w:vAlign w:val="center"/>
          </w:tcPr>
          <w:p w14:paraId="7E17AB95">
            <w:pPr>
              <w:pStyle w:val="58"/>
              <w:bidi w:val="0"/>
              <w:rPr>
                <w:rFonts w:hint="default"/>
                <w:highlight w:val="none"/>
                <w:lang w:val="en-US" w:eastAsia="zh-CN"/>
              </w:rPr>
            </w:pPr>
            <w:r>
              <w:rPr>
                <w:rFonts w:hint="default"/>
                <w:highlight w:val="none"/>
                <w:lang w:val="en-US" w:eastAsia="zh-CN"/>
              </w:rPr>
              <w:t>51.2</w:t>
            </w:r>
          </w:p>
        </w:tc>
        <w:tc>
          <w:tcPr>
            <w:tcW w:w="1202" w:type="dxa"/>
            <w:tcBorders>
              <w:right w:val="single" w:color="auto" w:sz="4" w:space="0"/>
            </w:tcBorders>
            <w:noWrap w:val="0"/>
            <w:vAlign w:val="center"/>
          </w:tcPr>
          <w:p w14:paraId="65D0E395">
            <w:pPr>
              <w:pStyle w:val="58"/>
              <w:bidi w:val="0"/>
              <w:rPr>
                <w:rFonts w:hint="default"/>
                <w:highlight w:val="none"/>
                <w:lang w:val="en-US" w:eastAsia="zh-CN"/>
              </w:rPr>
            </w:pPr>
            <w:r>
              <w:rPr>
                <w:rFonts w:hint="default"/>
                <w:highlight w:val="none"/>
                <w:lang w:val="en-US" w:eastAsia="zh-CN"/>
              </w:rPr>
              <w:t>51.2</w:t>
            </w:r>
          </w:p>
        </w:tc>
        <w:tc>
          <w:tcPr>
            <w:tcW w:w="1108" w:type="dxa"/>
            <w:tcBorders>
              <w:left w:val="single" w:color="auto" w:sz="4" w:space="0"/>
              <w:right w:val="single" w:color="auto" w:sz="4" w:space="0"/>
            </w:tcBorders>
            <w:noWrap w:val="0"/>
            <w:vAlign w:val="center"/>
          </w:tcPr>
          <w:p w14:paraId="4B388A41">
            <w:pPr>
              <w:pStyle w:val="58"/>
              <w:bidi w:val="0"/>
              <w:rPr>
                <w:rFonts w:hint="default"/>
                <w:highlight w:val="none"/>
                <w:lang w:val="en-US" w:eastAsia="zh-CN"/>
              </w:rPr>
            </w:pPr>
            <w:r>
              <w:rPr>
                <w:rFonts w:hint="default"/>
                <w:highlight w:val="none"/>
              </w:rPr>
              <w:t>65</w:t>
            </w:r>
          </w:p>
        </w:tc>
        <w:tc>
          <w:tcPr>
            <w:tcW w:w="1190" w:type="dxa"/>
            <w:tcBorders>
              <w:left w:val="single" w:color="auto" w:sz="4" w:space="0"/>
              <w:right w:val="single" w:color="auto" w:sz="4" w:space="0"/>
            </w:tcBorders>
            <w:noWrap w:val="0"/>
            <w:vAlign w:val="center"/>
          </w:tcPr>
          <w:p w14:paraId="12FB5BC8">
            <w:pPr>
              <w:pStyle w:val="58"/>
              <w:bidi w:val="0"/>
              <w:rPr>
                <w:rFonts w:hint="default"/>
                <w:highlight w:val="none"/>
                <w:lang w:val="en-US" w:eastAsia="zh-CN"/>
              </w:rPr>
            </w:pPr>
            <w:r>
              <w:rPr>
                <w:rFonts w:hint="default"/>
                <w:highlight w:val="none"/>
              </w:rPr>
              <w:t>55</w:t>
            </w:r>
          </w:p>
        </w:tc>
        <w:tc>
          <w:tcPr>
            <w:tcW w:w="1012" w:type="dxa"/>
            <w:tcBorders>
              <w:left w:val="single" w:color="auto" w:sz="4" w:space="0"/>
              <w:right w:val="single" w:color="auto" w:sz="4" w:space="0"/>
            </w:tcBorders>
            <w:noWrap w:val="0"/>
            <w:vAlign w:val="center"/>
          </w:tcPr>
          <w:p w14:paraId="3859587B">
            <w:pPr>
              <w:pStyle w:val="58"/>
              <w:bidi w:val="0"/>
              <w:rPr>
                <w:rFonts w:hint="default"/>
                <w:highlight w:val="none"/>
              </w:rPr>
            </w:pPr>
            <w:r>
              <w:rPr>
                <w:rFonts w:hint="default"/>
                <w:highlight w:val="none"/>
              </w:rPr>
              <w:t>达标</w:t>
            </w:r>
          </w:p>
        </w:tc>
        <w:tc>
          <w:tcPr>
            <w:tcW w:w="1070" w:type="dxa"/>
            <w:noWrap w:val="0"/>
            <w:vAlign w:val="center"/>
          </w:tcPr>
          <w:p w14:paraId="2CB92AFD">
            <w:pPr>
              <w:pStyle w:val="58"/>
              <w:bidi w:val="0"/>
              <w:rPr>
                <w:rFonts w:hint="default"/>
                <w:highlight w:val="none"/>
              </w:rPr>
            </w:pPr>
            <w:r>
              <w:rPr>
                <w:rFonts w:hint="default"/>
                <w:highlight w:val="none"/>
              </w:rPr>
              <w:t>达标</w:t>
            </w:r>
          </w:p>
        </w:tc>
      </w:tr>
    </w:tbl>
    <w:p w14:paraId="37146148">
      <w:pPr>
        <w:bidi w:val="0"/>
        <w:rPr>
          <w:rFonts w:hint="default"/>
          <w:lang w:eastAsia="zh-CN"/>
        </w:rPr>
      </w:pPr>
      <w:r>
        <w:rPr>
          <w:rFonts w:hint="default"/>
          <w:highlight w:val="none"/>
          <w:lang w:val="en-US" w:eastAsia="zh-CN"/>
        </w:rPr>
        <w:t>由上表可知，正常运行时厂界噪声昼间</w:t>
      </w:r>
      <w:r>
        <w:rPr>
          <w:rFonts w:hint="eastAsia"/>
          <w:highlight w:val="none"/>
          <w:lang w:val="en-US" w:eastAsia="zh-CN"/>
        </w:rPr>
        <w:t>贡献</w:t>
      </w:r>
      <w:r>
        <w:rPr>
          <w:rFonts w:hint="default"/>
          <w:highlight w:val="none"/>
          <w:lang w:val="en-US" w:eastAsia="zh-CN"/>
        </w:rPr>
        <w:t>值为41.4～</w:t>
      </w:r>
      <w:r>
        <w:rPr>
          <w:rFonts w:hint="eastAsia"/>
          <w:highlight w:val="none"/>
          <w:lang w:val="en-US" w:eastAsia="zh-CN"/>
        </w:rPr>
        <w:t>53.7</w:t>
      </w:r>
      <w:r>
        <w:rPr>
          <w:rFonts w:hint="default"/>
          <w:highlight w:val="none"/>
          <w:lang w:val="en-US" w:eastAsia="zh-CN"/>
        </w:rPr>
        <w:t>dB(A)，夜间</w:t>
      </w:r>
      <w:r>
        <w:rPr>
          <w:rFonts w:hint="eastAsia"/>
          <w:highlight w:val="none"/>
          <w:lang w:val="en-US" w:eastAsia="zh-CN"/>
        </w:rPr>
        <w:t>贡献</w:t>
      </w:r>
      <w:r>
        <w:rPr>
          <w:rFonts w:hint="default"/>
          <w:highlight w:val="none"/>
          <w:lang w:val="en-US" w:eastAsia="zh-CN"/>
        </w:rPr>
        <w:t>值为41.4～</w:t>
      </w:r>
      <w:r>
        <w:rPr>
          <w:rFonts w:hint="eastAsia"/>
          <w:highlight w:val="none"/>
          <w:lang w:val="en-US" w:eastAsia="zh-CN"/>
        </w:rPr>
        <w:t>53.7</w:t>
      </w:r>
      <w:r>
        <w:rPr>
          <w:rFonts w:hint="default"/>
          <w:highlight w:val="none"/>
          <w:lang w:val="en-US" w:eastAsia="zh-CN"/>
        </w:rPr>
        <w:t>dB(A)，满足《工业企业厂界环境噪声排放标准》（GB12348-2008）3类标准</w:t>
      </w:r>
      <w:r>
        <w:rPr>
          <w:rFonts w:hint="default"/>
          <w:lang w:val="en-US" w:eastAsia="zh-CN"/>
        </w:rPr>
        <w:t>限值要求。</w:t>
      </w:r>
    </w:p>
    <w:p w14:paraId="763384C1">
      <w:pPr>
        <w:bidi w:val="0"/>
        <w:rPr>
          <w:rFonts w:hint="default"/>
        </w:rPr>
      </w:pPr>
      <w:r>
        <w:rPr>
          <w:rFonts w:hint="default"/>
          <w:lang w:val="en-US" w:eastAsia="zh-CN"/>
        </w:rPr>
        <w:t>声环境影响自查表见附表</w:t>
      </w:r>
      <w:r>
        <w:rPr>
          <w:rFonts w:hint="eastAsia"/>
          <w:lang w:val="en-US" w:eastAsia="zh-CN"/>
        </w:rPr>
        <w:t>5</w:t>
      </w:r>
      <w:r>
        <w:rPr>
          <w:rFonts w:hint="default"/>
          <w:lang w:val="en-US" w:eastAsia="zh-CN"/>
        </w:rPr>
        <w:t>。</w:t>
      </w:r>
    </w:p>
    <w:p w14:paraId="6350DBE6">
      <w:pPr>
        <w:pStyle w:val="6"/>
        <w:pageBreakBefore w:val="0"/>
        <w:widowControl w:val="0"/>
        <w:kinsoku/>
        <w:wordWrap/>
        <w:overflowPunct/>
        <w:topLinePunct w:val="0"/>
        <w:autoSpaceDE/>
        <w:autoSpaceDN/>
        <w:bidi w:val="0"/>
        <w:adjustRightInd/>
        <w:snapToGrid/>
        <w:spacing w:before="0" w:beforeLines="0" w:after="0" w:afterLines="0"/>
        <w:textAlignment w:val="auto"/>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w:t>
      </w:r>
      <w:r>
        <w:rPr>
          <w:rFonts w:hint="default" w:ascii="Times New Roman" w:hAnsi="Times New Roman" w:eastAsia="宋体" w:cs="Times New Roman"/>
          <w:color w:val="000000" w:themeColor="text1"/>
          <w:highlight w:val="none"/>
          <w14:textFill>
            <w14:solidFill>
              <w14:schemeClr w14:val="tx1"/>
            </w14:solidFill>
          </w14:textFill>
        </w:rPr>
        <w:t>.5固体废物影响分析</w:t>
      </w:r>
      <w:bookmarkEnd w:id="315"/>
    </w:p>
    <w:p w14:paraId="5F1382BE">
      <w:pPr>
        <w:bidi w:val="0"/>
        <w:rPr>
          <w:rFonts w:hint="default"/>
          <w:highlight w:val="none"/>
        </w:rPr>
      </w:pPr>
      <w:bookmarkStart w:id="329" w:name="_Toc408562098"/>
      <w:bookmarkStart w:id="330" w:name="_Toc416450978"/>
      <w:bookmarkStart w:id="331" w:name="_Toc408558871"/>
      <w:r>
        <w:rPr>
          <w:rFonts w:hint="default"/>
          <w:highlight w:val="none"/>
        </w:rPr>
        <w:t>本项目固废主要是污水处理过程中产生的栅渣、沉砂、污泥、废石英砂、废润滑油、废液压油和废油桶、实验室及在线监测废液、废试剂瓶。</w:t>
      </w:r>
    </w:p>
    <w:p w14:paraId="0DD33234">
      <w:pPr>
        <w:bidi w:val="0"/>
        <w:rPr>
          <w:rFonts w:hint="default"/>
          <w:highlight w:val="none"/>
        </w:rPr>
      </w:pPr>
      <w:r>
        <w:rPr>
          <w:rFonts w:hint="default"/>
          <w:highlight w:val="none"/>
        </w:rPr>
        <w:t>（1）栅渣</w:t>
      </w:r>
    </w:p>
    <w:p w14:paraId="3DF1D54A">
      <w:pPr>
        <w:bidi w:val="0"/>
        <w:rPr>
          <w:rFonts w:hint="default"/>
          <w:highlight w:val="none"/>
        </w:rPr>
      </w:pPr>
      <w:r>
        <w:rPr>
          <w:rFonts w:hint="default"/>
          <w:highlight w:val="none"/>
        </w:rPr>
        <w:t>在污水预处理阶段，由粗/细格栅渠分离出一定量的栅渣，本项目栅渣总量为3.5t/a，改扩建后</w:t>
      </w:r>
      <w:r>
        <w:rPr>
          <w:rFonts w:hint="eastAsia"/>
          <w:highlight w:val="none"/>
          <w:lang w:val="en-US" w:eastAsia="zh-CN"/>
        </w:rPr>
        <w:t>全厂</w:t>
      </w:r>
      <w:r>
        <w:rPr>
          <w:rFonts w:hint="default"/>
          <w:highlight w:val="none"/>
        </w:rPr>
        <w:t>栅渣总量为4.4t/a，，由当地环卫部门收集后送当地填埋场填埋。</w:t>
      </w:r>
    </w:p>
    <w:p w14:paraId="2C7128C0">
      <w:pPr>
        <w:bidi w:val="0"/>
        <w:rPr>
          <w:rFonts w:hint="eastAsia"/>
          <w:highlight w:val="none"/>
          <w:lang w:val="en-US" w:eastAsia="zh-CN"/>
        </w:rPr>
      </w:pPr>
      <w:r>
        <w:rPr>
          <w:rFonts w:hint="eastAsia"/>
          <w:highlight w:val="none"/>
          <w:lang w:val="en-US" w:eastAsia="zh-CN"/>
        </w:rPr>
        <w:t>（2）沉砂</w:t>
      </w:r>
    </w:p>
    <w:p w14:paraId="1F4F2A54">
      <w:pPr>
        <w:bidi w:val="0"/>
        <w:rPr>
          <w:rFonts w:hint="default"/>
          <w:highlight w:val="none"/>
          <w:lang w:val="en-US" w:eastAsia="zh-CN"/>
        </w:rPr>
      </w:pPr>
      <w:r>
        <w:rPr>
          <w:rFonts w:hint="default"/>
          <w:highlight w:val="none"/>
          <w:lang w:val="en-US" w:eastAsia="zh-CN"/>
        </w:rPr>
        <w:t>调节池分离出的固体废物主要为泥砂，本项目沉砂产生量为3.29t/a，改扩建后总工程沉砂总量为4.11t/a。为第Ⅰ类一般工业固体废物，由沉砂池自带砂水分离器出料口排出至接砂斗，转入转运车运至垃圾处理场进行处理。</w:t>
      </w:r>
    </w:p>
    <w:p w14:paraId="725656F2">
      <w:pPr>
        <w:bidi w:val="0"/>
        <w:rPr>
          <w:rFonts w:hint="default"/>
          <w:highlight w:val="none"/>
        </w:rPr>
      </w:pPr>
      <w:r>
        <w:rPr>
          <w:rFonts w:hint="default"/>
          <w:highlight w:val="none"/>
        </w:rPr>
        <w:t>（</w:t>
      </w:r>
      <w:r>
        <w:rPr>
          <w:rFonts w:hint="eastAsia"/>
          <w:highlight w:val="none"/>
          <w:lang w:val="en-US" w:eastAsia="zh-CN"/>
        </w:rPr>
        <w:t>3</w:t>
      </w:r>
      <w:r>
        <w:rPr>
          <w:rFonts w:hint="default"/>
          <w:highlight w:val="none"/>
        </w:rPr>
        <w:t>）污泥</w:t>
      </w:r>
    </w:p>
    <w:p w14:paraId="34CCA13B">
      <w:pPr>
        <w:bidi w:val="0"/>
        <w:rPr>
          <w:rFonts w:hint="eastAsia" w:eastAsia="宋体"/>
          <w:highlight w:val="none"/>
          <w:lang w:val="en-US" w:eastAsia="zh-CN"/>
        </w:rPr>
      </w:pPr>
      <w:r>
        <w:rPr>
          <w:rFonts w:hint="default"/>
          <w:highlight w:val="none"/>
        </w:rPr>
        <w:t>本项目脱水处理后的污泥量为</w:t>
      </w:r>
      <w:r>
        <w:rPr>
          <w:rFonts w:hint="eastAsia"/>
          <w:highlight w:val="none"/>
          <w:lang w:val="en-US" w:eastAsia="zh-CN"/>
        </w:rPr>
        <w:t>35</w:t>
      </w:r>
      <w:r>
        <w:rPr>
          <w:rFonts w:hint="default"/>
          <w:highlight w:val="none"/>
        </w:rPr>
        <w:t>t/a，改扩建后总工程脱水污泥产生量为</w:t>
      </w:r>
      <w:r>
        <w:rPr>
          <w:rFonts w:hint="eastAsia"/>
          <w:highlight w:val="none"/>
          <w:lang w:val="en-US" w:eastAsia="zh-CN"/>
        </w:rPr>
        <w:t>44</w:t>
      </w:r>
      <w:r>
        <w:rPr>
          <w:rFonts w:hint="default"/>
          <w:highlight w:val="none"/>
        </w:rPr>
        <w:t>t/a，类比同类项目实际鉴定结果，污泥为第Ⅰ类一般工业固体废物，</w:t>
      </w:r>
      <w:r>
        <w:rPr>
          <w:rFonts w:hint="eastAsia"/>
          <w:highlight w:val="none"/>
          <w:lang w:val="en-US" w:eastAsia="zh-CN"/>
        </w:rPr>
        <w:t>委托水泥厂进行协同处置</w:t>
      </w:r>
      <w:r>
        <w:rPr>
          <w:rFonts w:hint="eastAsia"/>
          <w:highlight w:val="none"/>
          <w:lang w:eastAsia="zh-CN"/>
        </w:rPr>
        <w:t>。</w:t>
      </w:r>
    </w:p>
    <w:p w14:paraId="55DA18EA">
      <w:pPr>
        <w:numPr>
          <w:ilvl w:val="0"/>
          <w:numId w:val="0"/>
        </w:numPr>
        <w:bidi w:val="0"/>
        <w:ind w:left="0" w:leftChars="0" w:firstLine="480" w:firstLineChars="200"/>
        <w:rPr>
          <w:rFonts w:hint="eastAsia"/>
          <w:highlight w:val="none"/>
          <w:lang w:val="en-US" w:eastAsia="zh-CN"/>
        </w:rPr>
      </w:pPr>
      <w:r>
        <w:rPr>
          <w:rFonts w:hint="eastAsia" w:ascii="Times New Roman" w:hAnsi="Times New Roman" w:eastAsia="宋体" w:cs="Times New Roman"/>
          <w:kern w:val="2"/>
          <w:sz w:val="24"/>
          <w:szCs w:val="24"/>
          <w:highlight w:val="none"/>
          <w:lang w:val="en-US" w:eastAsia="zh-CN" w:bidi="ar-SA"/>
        </w:rPr>
        <w:t>（</w:t>
      </w:r>
      <w:r>
        <w:rPr>
          <w:rFonts w:hint="eastAsia" w:cs="Times New Roman"/>
          <w:kern w:val="2"/>
          <w:sz w:val="24"/>
          <w:szCs w:val="24"/>
          <w:highlight w:val="none"/>
          <w:lang w:val="en-US" w:eastAsia="zh-CN" w:bidi="ar-SA"/>
        </w:rPr>
        <w:t>4</w:t>
      </w:r>
      <w:r>
        <w:rPr>
          <w:rFonts w:hint="eastAsia" w:ascii="Times New Roman" w:hAnsi="Times New Roman" w:eastAsia="宋体" w:cs="Times New Roman"/>
          <w:kern w:val="2"/>
          <w:sz w:val="24"/>
          <w:szCs w:val="24"/>
          <w:highlight w:val="none"/>
          <w:lang w:val="en-US" w:eastAsia="zh-CN" w:bidi="ar-SA"/>
        </w:rPr>
        <w:t>）</w:t>
      </w:r>
      <w:r>
        <w:rPr>
          <w:rFonts w:hint="eastAsia"/>
          <w:highlight w:val="none"/>
          <w:lang w:val="en-US" w:eastAsia="zh-CN"/>
        </w:rPr>
        <w:t>废石英砂</w:t>
      </w:r>
    </w:p>
    <w:p w14:paraId="66ECFAEB">
      <w:pPr>
        <w:numPr>
          <w:ilvl w:val="0"/>
          <w:numId w:val="0"/>
        </w:numPr>
        <w:bidi w:val="0"/>
        <w:ind w:leftChars="200"/>
        <w:rPr>
          <w:rFonts w:hint="default"/>
          <w:highlight w:val="none"/>
          <w:lang w:val="en-US" w:eastAsia="zh-CN"/>
        </w:rPr>
      </w:pPr>
      <w:r>
        <w:rPr>
          <w:rFonts w:hint="default"/>
          <w:highlight w:val="none"/>
          <w:lang w:val="en-US" w:eastAsia="zh-CN"/>
        </w:rPr>
        <w:t>砂滤罐设备维护过程中产生废石英砂2.65t/次，五年更换一次，由厂家回收。</w:t>
      </w:r>
    </w:p>
    <w:p w14:paraId="6220BA5C">
      <w:pPr>
        <w:bidi w:val="0"/>
        <w:rPr>
          <w:rFonts w:hint="default"/>
        </w:rPr>
      </w:pPr>
      <w:r>
        <w:rPr>
          <w:rFonts w:hint="default"/>
        </w:rPr>
        <w:t>（</w:t>
      </w:r>
      <w:r>
        <w:rPr>
          <w:rFonts w:hint="eastAsia"/>
          <w:lang w:val="en-US" w:eastAsia="zh-CN"/>
        </w:rPr>
        <w:t>5</w:t>
      </w:r>
      <w:r>
        <w:rPr>
          <w:rFonts w:hint="default"/>
        </w:rPr>
        <w:t>）生活垃圾</w:t>
      </w:r>
    </w:p>
    <w:p w14:paraId="463A6959">
      <w:pPr>
        <w:bidi w:val="0"/>
        <w:rPr>
          <w:rFonts w:hint="default"/>
          <w:highlight w:val="none"/>
        </w:rPr>
      </w:pPr>
      <w:r>
        <w:rPr>
          <w:rFonts w:hint="default"/>
          <w:highlight w:val="none"/>
        </w:rPr>
        <w:t>本工程</w:t>
      </w:r>
      <w:r>
        <w:rPr>
          <w:rFonts w:hint="eastAsia"/>
          <w:highlight w:val="none"/>
          <w:lang w:val="en-US" w:eastAsia="zh-CN"/>
        </w:rPr>
        <w:t>新增</w:t>
      </w:r>
      <w:r>
        <w:rPr>
          <w:rFonts w:hint="default"/>
          <w:highlight w:val="none"/>
        </w:rPr>
        <w:t>劳动定员</w:t>
      </w:r>
      <w:r>
        <w:rPr>
          <w:rFonts w:hint="eastAsia"/>
          <w:highlight w:val="none"/>
          <w:lang w:val="en-US" w:eastAsia="zh-CN"/>
        </w:rPr>
        <w:t>2人</w:t>
      </w:r>
      <w:r>
        <w:rPr>
          <w:rFonts w:hint="eastAsia"/>
          <w:highlight w:val="none"/>
          <w:lang w:eastAsia="zh-CN"/>
        </w:rPr>
        <w:t>，</w:t>
      </w:r>
      <w:r>
        <w:rPr>
          <w:rFonts w:hint="eastAsia"/>
          <w:highlight w:val="none"/>
          <w:lang w:val="en-US" w:eastAsia="zh-CN"/>
        </w:rPr>
        <w:t>新增生活垃圾1kg/d，主要为塑料袋、纸屑等，集中收集，交由环卫部门清运。</w:t>
      </w:r>
    </w:p>
    <w:p w14:paraId="10DACFC2">
      <w:pPr>
        <w:bidi w:val="0"/>
        <w:rPr>
          <w:rFonts w:hint="default" w:eastAsia="宋体"/>
          <w:lang w:val="en-US" w:eastAsia="zh-CN"/>
        </w:rPr>
      </w:pPr>
      <w:r>
        <w:rPr>
          <w:rFonts w:hint="default"/>
        </w:rPr>
        <w:t>（</w:t>
      </w:r>
      <w:r>
        <w:rPr>
          <w:rFonts w:hint="eastAsia"/>
          <w:lang w:val="en-US" w:eastAsia="zh-CN"/>
        </w:rPr>
        <w:t>6</w:t>
      </w:r>
      <w:r>
        <w:rPr>
          <w:rFonts w:hint="default"/>
        </w:rPr>
        <w:t>）</w:t>
      </w:r>
      <w:r>
        <w:rPr>
          <w:rFonts w:hint="eastAsia"/>
          <w:lang w:eastAsia="zh-CN"/>
        </w:rPr>
        <w:t>实验室</w:t>
      </w:r>
      <w:r>
        <w:rPr>
          <w:rFonts w:hint="eastAsia"/>
          <w:lang w:val="en-US" w:eastAsia="zh-CN"/>
        </w:rPr>
        <w:t>及在线监测</w:t>
      </w:r>
      <w:r>
        <w:rPr>
          <w:rFonts w:hint="default"/>
        </w:rPr>
        <w:t>废液</w:t>
      </w:r>
      <w:r>
        <w:rPr>
          <w:rFonts w:hint="eastAsia"/>
          <w:lang w:eastAsia="zh-CN"/>
        </w:rPr>
        <w:t>、</w:t>
      </w:r>
      <w:r>
        <w:rPr>
          <w:rFonts w:hint="eastAsia"/>
          <w:lang w:val="en-US" w:eastAsia="zh-CN"/>
        </w:rPr>
        <w:t>废试剂瓶</w:t>
      </w:r>
      <w:r>
        <w:rPr>
          <w:rFonts w:hint="default"/>
        </w:rPr>
        <w:t>及设备维修产生的废润滑油</w:t>
      </w:r>
      <w:r>
        <w:rPr>
          <w:rFonts w:hint="eastAsia"/>
          <w:lang w:eastAsia="zh-CN"/>
        </w:rPr>
        <w:t>、</w:t>
      </w:r>
      <w:r>
        <w:rPr>
          <w:rFonts w:hint="eastAsia"/>
          <w:lang w:val="en-US" w:eastAsia="zh-CN"/>
        </w:rPr>
        <w:t>废液压油、废油桶。</w:t>
      </w:r>
    </w:p>
    <w:p w14:paraId="4230B670">
      <w:pPr>
        <w:bidi w:val="0"/>
        <w:rPr>
          <w:rFonts w:hint="default"/>
        </w:rPr>
      </w:pPr>
      <w:r>
        <w:rPr>
          <w:rFonts w:hint="default"/>
        </w:rPr>
        <w:fldChar w:fldCharType="begin"/>
      </w:r>
      <w:r>
        <w:rPr>
          <w:rFonts w:hint="default"/>
        </w:rPr>
        <w:instrText xml:space="preserve"> = 1 \* GB3 </w:instrText>
      </w:r>
      <w:r>
        <w:rPr>
          <w:rFonts w:hint="default"/>
        </w:rPr>
        <w:fldChar w:fldCharType="separate"/>
      </w:r>
      <w:r>
        <w:rPr>
          <w:rFonts w:hint="default"/>
        </w:rPr>
        <w:t>①</w:t>
      </w:r>
      <w:r>
        <w:rPr>
          <w:rFonts w:hint="default"/>
        </w:rPr>
        <w:fldChar w:fldCharType="end"/>
      </w:r>
      <w:r>
        <w:rPr>
          <w:rFonts w:hint="default"/>
        </w:rPr>
        <w:t>危险废物产生情况</w:t>
      </w:r>
    </w:p>
    <w:p w14:paraId="18FA5CA7">
      <w:pPr>
        <w:bidi w:val="0"/>
        <w:rPr>
          <w:rFonts w:hint="eastAsia" w:eastAsia="宋体"/>
          <w:highlight w:val="none"/>
          <w:lang w:eastAsia="zh-CN"/>
        </w:rPr>
      </w:pPr>
      <w:r>
        <w:rPr>
          <w:rFonts w:hint="default"/>
          <w:highlight w:val="none"/>
        </w:rPr>
        <w:t>项目</w:t>
      </w:r>
      <w:r>
        <w:rPr>
          <w:rFonts w:hint="eastAsia"/>
          <w:highlight w:val="none"/>
          <w:lang w:eastAsia="zh-CN"/>
        </w:rPr>
        <w:t>实验室</w:t>
      </w:r>
      <w:r>
        <w:rPr>
          <w:rFonts w:hint="default"/>
          <w:highlight w:val="none"/>
        </w:rPr>
        <w:t>会产生少量废液，年产生量约为0.</w:t>
      </w:r>
      <w:r>
        <w:rPr>
          <w:rFonts w:hint="default"/>
          <w:highlight w:val="none"/>
          <w:lang w:val="en-US" w:eastAsia="zh-CN"/>
        </w:rPr>
        <w:t>0</w:t>
      </w:r>
      <w:r>
        <w:rPr>
          <w:rFonts w:hint="eastAsia"/>
          <w:highlight w:val="none"/>
          <w:lang w:val="en-US" w:eastAsia="zh-CN"/>
        </w:rPr>
        <w:t>1</w:t>
      </w:r>
      <w:r>
        <w:rPr>
          <w:rFonts w:hint="default"/>
          <w:highlight w:val="none"/>
        </w:rPr>
        <w:t>t，</w:t>
      </w:r>
      <w:r>
        <w:rPr>
          <w:rFonts w:hint="eastAsia"/>
          <w:highlight w:val="none"/>
          <w:lang w:val="en-US" w:eastAsia="zh-CN"/>
        </w:rPr>
        <w:t>在线监测设备会产生少量废液，年产生量约为0.07t，实验室会产生废试剂瓶，年产生量约为0.001t，</w:t>
      </w:r>
      <w:r>
        <w:rPr>
          <w:rFonts w:hint="default"/>
          <w:highlight w:val="none"/>
        </w:rPr>
        <w:t>属危险废物（危废编号HW49其他废物，行业来源为非特定行业，危废代码900-047-49，危险废物名称为研究、开发和教学活动中，化学和生物实验室产生的废物，危险特性T）</w:t>
      </w:r>
      <w:r>
        <w:rPr>
          <w:rFonts w:hint="eastAsia"/>
          <w:highlight w:val="none"/>
          <w:lang w:eastAsia="zh-CN"/>
        </w:rPr>
        <w:t>。</w:t>
      </w:r>
    </w:p>
    <w:p w14:paraId="5C4F7FA7">
      <w:pPr>
        <w:bidi w:val="0"/>
        <w:rPr>
          <w:rFonts w:hint="default"/>
          <w:highlight w:val="none"/>
        </w:rPr>
      </w:pPr>
      <w:r>
        <w:rPr>
          <w:rFonts w:hint="default"/>
          <w:highlight w:val="none"/>
        </w:rPr>
        <w:t>项目运营期机械设备维修过程产生少量废润滑油</w:t>
      </w:r>
      <w:r>
        <w:rPr>
          <w:rFonts w:hint="eastAsia"/>
          <w:highlight w:val="none"/>
          <w:lang w:eastAsia="zh-CN"/>
        </w:rPr>
        <w:t>、</w:t>
      </w:r>
      <w:r>
        <w:rPr>
          <w:rFonts w:hint="eastAsia"/>
          <w:highlight w:val="none"/>
          <w:lang w:val="en-US" w:eastAsia="zh-CN"/>
        </w:rPr>
        <w:t>废液压油和废油桶</w:t>
      </w:r>
      <w:r>
        <w:rPr>
          <w:rFonts w:hint="default"/>
          <w:highlight w:val="none"/>
        </w:rPr>
        <w:t>，年产生量</w:t>
      </w:r>
      <w:r>
        <w:rPr>
          <w:rFonts w:hint="eastAsia"/>
          <w:highlight w:val="none"/>
          <w:lang w:val="en-US" w:eastAsia="zh-CN"/>
        </w:rPr>
        <w:t>分别</w:t>
      </w:r>
      <w:r>
        <w:rPr>
          <w:rFonts w:hint="default"/>
          <w:highlight w:val="none"/>
        </w:rPr>
        <w:t>约为</w:t>
      </w:r>
      <w:r>
        <w:rPr>
          <w:rFonts w:hint="eastAsia"/>
          <w:highlight w:val="none"/>
          <w:lang w:val="en-US" w:eastAsia="zh-CN"/>
        </w:rPr>
        <w:t>0.01t、</w:t>
      </w:r>
      <w:r>
        <w:rPr>
          <w:rFonts w:hint="default"/>
          <w:highlight w:val="none"/>
        </w:rPr>
        <w:t>0.</w:t>
      </w:r>
      <w:r>
        <w:rPr>
          <w:rFonts w:hint="default"/>
          <w:highlight w:val="none"/>
          <w:lang w:val="en-US" w:eastAsia="zh-CN"/>
        </w:rPr>
        <w:t>02</w:t>
      </w:r>
      <w:r>
        <w:rPr>
          <w:rFonts w:hint="default"/>
          <w:highlight w:val="none"/>
        </w:rPr>
        <w:t>t</w:t>
      </w:r>
      <w:r>
        <w:rPr>
          <w:rFonts w:hint="eastAsia"/>
          <w:highlight w:val="none"/>
          <w:lang w:eastAsia="zh-CN"/>
        </w:rPr>
        <w:t>、</w:t>
      </w:r>
      <w:r>
        <w:rPr>
          <w:rFonts w:hint="eastAsia"/>
          <w:highlight w:val="none"/>
          <w:lang w:val="en-US" w:eastAsia="zh-CN"/>
        </w:rPr>
        <w:t>0.005t。废润滑油</w:t>
      </w:r>
      <w:r>
        <w:rPr>
          <w:rFonts w:hint="default"/>
          <w:highlight w:val="none"/>
        </w:rPr>
        <w:t>属危险固废（危废编号HW08废矿物油与含矿物油废物，行业来源为非特定行业，危废代码900-214-08，危险废物名称为车辆、机械维修和拆解过程中产生的废发动机油、制动器油、自动变速器油、齿轮油等废润滑油，危险特性T）；废</w:t>
      </w:r>
      <w:r>
        <w:rPr>
          <w:rFonts w:hint="eastAsia"/>
          <w:highlight w:val="none"/>
          <w:lang w:val="en-US" w:eastAsia="zh-CN"/>
        </w:rPr>
        <w:t>液压</w:t>
      </w:r>
      <w:r>
        <w:rPr>
          <w:rFonts w:hint="default"/>
          <w:highlight w:val="none"/>
        </w:rPr>
        <w:t>油属危险固废（危废编号HW08废矿物油与含矿物油废物，行业来源为非特定行业，危废代码900-21</w:t>
      </w:r>
      <w:r>
        <w:rPr>
          <w:rFonts w:hint="eastAsia"/>
          <w:highlight w:val="none"/>
          <w:lang w:val="en-US" w:eastAsia="zh-CN"/>
        </w:rPr>
        <w:t>8</w:t>
      </w:r>
      <w:r>
        <w:rPr>
          <w:rFonts w:hint="default"/>
          <w:highlight w:val="none"/>
        </w:rPr>
        <w:t>-08，危险废物名称为</w:t>
      </w:r>
      <w:r>
        <w:rPr>
          <w:rFonts w:hint="eastAsia"/>
          <w:highlight w:val="none"/>
          <w:lang w:val="en-US" w:eastAsia="zh-CN"/>
        </w:rPr>
        <w:t>液压设备维护、更换和拆解过程中产生的非液压油</w:t>
      </w:r>
      <w:r>
        <w:rPr>
          <w:rFonts w:hint="default"/>
          <w:highlight w:val="none"/>
        </w:rPr>
        <w:t>，危险特性T</w:t>
      </w:r>
      <w:r>
        <w:rPr>
          <w:rFonts w:hint="eastAsia"/>
          <w:highlight w:val="none"/>
          <w:lang w:eastAsia="zh-CN"/>
        </w:rPr>
        <w:t>，</w:t>
      </w:r>
      <w:r>
        <w:rPr>
          <w:rFonts w:hint="eastAsia"/>
          <w:highlight w:val="none"/>
          <w:lang w:val="en-US" w:eastAsia="zh-CN"/>
        </w:rPr>
        <w:t>I</w:t>
      </w:r>
      <w:r>
        <w:rPr>
          <w:rFonts w:hint="default"/>
          <w:highlight w:val="none"/>
        </w:rPr>
        <w:t>）；废油桶属于危险固废（危废编号为HW49其他废物，行业来源为非特定行业，危废代码900-041-49，危险废物名称为含有或沾染毒性、感染性危险废物的废弃包装物、容器、过滤吸附介质，危险特性T/In）。</w:t>
      </w:r>
    </w:p>
    <w:p w14:paraId="1DC42BD5">
      <w:pPr>
        <w:bidi w:val="0"/>
        <w:rPr>
          <w:rFonts w:hint="eastAsia"/>
          <w:highlight w:val="none"/>
          <w:lang w:eastAsia="zh-CN"/>
        </w:rPr>
      </w:pPr>
      <w:r>
        <w:rPr>
          <w:rFonts w:hint="eastAsia"/>
          <w:highlight w:val="none"/>
          <w:lang w:val="en-US" w:eastAsia="zh-CN"/>
        </w:rPr>
        <w:t>等离子光电一体机灯管损坏需及时更换，产生量为0.009t/3a。</w:t>
      </w:r>
      <w:r>
        <w:rPr>
          <w:rFonts w:hint="default"/>
          <w:highlight w:val="none"/>
        </w:rPr>
        <w:t>属危险废物（危废编号HW</w:t>
      </w:r>
      <w:r>
        <w:rPr>
          <w:rFonts w:hint="eastAsia"/>
          <w:highlight w:val="none"/>
          <w:lang w:val="en-US" w:eastAsia="zh-CN"/>
        </w:rPr>
        <w:t>2</w:t>
      </w:r>
      <w:r>
        <w:rPr>
          <w:rFonts w:hint="default"/>
          <w:highlight w:val="none"/>
        </w:rPr>
        <w:t>9</w:t>
      </w:r>
      <w:r>
        <w:rPr>
          <w:rFonts w:hint="eastAsia"/>
          <w:highlight w:val="none"/>
          <w:lang w:val="en-US" w:eastAsia="zh-CN"/>
        </w:rPr>
        <w:t>含汞</w:t>
      </w:r>
      <w:r>
        <w:rPr>
          <w:rFonts w:hint="default"/>
          <w:highlight w:val="none"/>
        </w:rPr>
        <w:t>废物，行业来源为非特定行业，危废代码900-0</w:t>
      </w:r>
      <w:r>
        <w:rPr>
          <w:rFonts w:hint="eastAsia"/>
          <w:highlight w:val="none"/>
          <w:lang w:val="en-US" w:eastAsia="zh-CN"/>
        </w:rPr>
        <w:t>23</w:t>
      </w:r>
      <w:r>
        <w:rPr>
          <w:rFonts w:hint="default"/>
          <w:highlight w:val="none"/>
        </w:rPr>
        <w:t>-</w:t>
      </w:r>
      <w:r>
        <w:rPr>
          <w:rFonts w:hint="eastAsia"/>
          <w:highlight w:val="none"/>
          <w:lang w:val="en-US" w:eastAsia="zh-CN"/>
        </w:rPr>
        <w:t>29</w:t>
      </w:r>
      <w:r>
        <w:rPr>
          <w:rFonts w:hint="default"/>
          <w:highlight w:val="none"/>
        </w:rPr>
        <w:t>，危险废物名称为</w:t>
      </w:r>
      <w:r>
        <w:rPr>
          <w:rFonts w:hint="eastAsia"/>
          <w:highlight w:val="none"/>
          <w:lang w:val="en-US" w:eastAsia="zh-CN"/>
        </w:rPr>
        <w:t>生产、销售及使用过程中产生的废含汞荧光灯管及其他废含汞电光源，及废弃含汞电光源处理处置过程中产生的废荧光粉、废活性炭和废水处理污泥</w:t>
      </w:r>
      <w:r>
        <w:rPr>
          <w:rFonts w:hint="default"/>
          <w:highlight w:val="none"/>
        </w:rPr>
        <w:t>，危险特性T）</w:t>
      </w:r>
      <w:r>
        <w:rPr>
          <w:rFonts w:hint="eastAsia"/>
          <w:highlight w:val="none"/>
          <w:lang w:eastAsia="zh-CN"/>
        </w:rPr>
        <w:t>。</w:t>
      </w:r>
    </w:p>
    <w:p w14:paraId="1A3648E3">
      <w:pPr>
        <w:bidi w:val="0"/>
        <w:rPr>
          <w:rFonts w:hint="default"/>
          <w:highlight w:val="none"/>
        </w:rPr>
      </w:pPr>
      <w:r>
        <w:rPr>
          <w:rFonts w:hint="eastAsia"/>
          <w:highlight w:val="none"/>
          <w:lang w:eastAsia="zh-CN"/>
        </w:rPr>
        <w:t>实验</w:t>
      </w:r>
      <w:r>
        <w:rPr>
          <w:rFonts w:hint="default"/>
          <w:highlight w:val="none"/>
        </w:rPr>
        <w:t>废液、</w:t>
      </w:r>
      <w:r>
        <w:rPr>
          <w:rFonts w:hint="eastAsia"/>
          <w:highlight w:val="none"/>
          <w:lang w:val="en-US" w:eastAsia="zh-CN"/>
        </w:rPr>
        <w:t>在线监测废液、</w:t>
      </w:r>
      <w:r>
        <w:rPr>
          <w:rFonts w:hint="default"/>
          <w:highlight w:val="none"/>
        </w:rPr>
        <w:t>废润滑油</w:t>
      </w:r>
      <w:r>
        <w:rPr>
          <w:rFonts w:hint="eastAsia"/>
          <w:highlight w:val="none"/>
          <w:lang w:eastAsia="zh-CN"/>
        </w:rPr>
        <w:t>、</w:t>
      </w:r>
      <w:r>
        <w:rPr>
          <w:rFonts w:hint="eastAsia"/>
          <w:highlight w:val="none"/>
          <w:lang w:val="en-US" w:eastAsia="zh-CN"/>
        </w:rPr>
        <w:t>废液压油</w:t>
      </w:r>
      <w:r>
        <w:rPr>
          <w:rFonts w:hint="default"/>
          <w:highlight w:val="none"/>
        </w:rPr>
        <w:t>分别使用专业桶装容器集中收集后暂存于危险废物暂存间内，定期交由有资质单位处置；</w:t>
      </w:r>
      <w:r>
        <w:rPr>
          <w:rFonts w:hint="eastAsia"/>
          <w:highlight w:val="none"/>
          <w:lang w:val="en-US" w:eastAsia="zh-CN"/>
        </w:rPr>
        <w:t>废试剂瓶、</w:t>
      </w:r>
      <w:r>
        <w:rPr>
          <w:rFonts w:hint="default"/>
          <w:highlight w:val="none"/>
        </w:rPr>
        <w:t>废油桶</w:t>
      </w:r>
      <w:r>
        <w:rPr>
          <w:rFonts w:hint="eastAsia"/>
          <w:highlight w:val="none"/>
          <w:lang w:eastAsia="zh-CN"/>
        </w:rPr>
        <w:t>、</w:t>
      </w:r>
      <w:r>
        <w:rPr>
          <w:rFonts w:hint="eastAsia"/>
          <w:highlight w:val="none"/>
          <w:lang w:val="en-US" w:eastAsia="zh-CN"/>
        </w:rPr>
        <w:t>废UV灯管</w:t>
      </w:r>
      <w:r>
        <w:rPr>
          <w:rFonts w:hint="default"/>
          <w:highlight w:val="none"/>
        </w:rPr>
        <w:t>集中收集后暂存于危险废物暂存间内，定期交由有资质单位处置。</w:t>
      </w:r>
    </w:p>
    <w:p w14:paraId="464CF95D">
      <w:pPr>
        <w:bidi w:val="0"/>
        <w:rPr>
          <w:rFonts w:hint="default"/>
          <w:highlight w:val="none"/>
        </w:rPr>
      </w:pPr>
      <w:r>
        <w:rPr>
          <w:rFonts w:hint="default"/>
          <w:highlight w:val="none"/>
        </w:rPr>
        <w:fldChar w:fldCharType="begin"/>
      </w:r>
      <w:r>
        <w:rPr>
          <w:rFonts w:hint="default"/>
          <w:highlight w:val="none"/>
        </w:rPr>
        <w:instrText xml:space="preserve"> = 2 \* GB3 </w:instrText>
      </w:r>
      <w:r>
        <w:rPr>
          <w:rFonts w:hint="default"/>
          <w:highlight w:val="none"/>
        </w:rPr>
        <w:fldChar w:fldCharType="separate"/>
      </w:r>
      <w:r>
        <w:rPr>
          <w:rFonts w:hint="default"/>
          <w:highlight w:val="none"/>
        </w:rPr>
        <w:t>②</w:t>
      </w:r>
      <w:r>
        <w:rPr>
          <w:rFonts w:hint="default"/>
          <w:highlight w:val="none"/>
        </w:rPr>
        <w:fldChar w:fldCharType="end"/>
      </w:r>
      <w:r>
        <w:rPr>
          <w:rFonts w:hint="default"/>
          <w:highlight w:val="none"/>
        </w:rPr>
        <w:t>危险废物的收集和贮存</w:t>
      </w:r>
    </w:p>
    <w:p w14:paraId="3F944969">
      <w:pPr>
        <w:bidi w:val="0"/>
        <w:rPr>
          <w:rFonts w:hint="default"/>
          <w:highlight w:val="none"/>
        </w:rPr>
      </w:pPr>
      <w:r>
        <w:rPr>
          <w:rFonts w:hint="default"/>
          <w:highlight w:val="none"/>
        </w:rPr>
        <w:t>A、危险废物贮存场所设置防雨、防火、防雷、防扬尘装置。</w:t>
      </w:r>
    </w:p>
    <w:p w14:paraId="7EF96922">
      <w:pPr>
        <w:bidi w:val="0"/>
        <w:rPr>
          <w:rFonts w:hint="default"/>
        </w:rPr>
      </w:pPr>
      <w:r>
        <w:rPr>
          <w:rFonts w:hint="default"/>
          <w:highlight w:val="none"/>
        </w:rPr>
        <w:t>B、危废暂存间建筑面积约</w:t>
      </w:r>
      <w:r>
        <w:rPr>
          <w:rFonts w:hint="eastAsia"/>
          <w:highlight w:val="none"/>
          <w:lang w:val="en-US" w:eastAsia="zh-CN"/>
        </w:rPr>
        <w:t>22.5</w:t>
      </w:r>
      <w:r>
        <w:rPr>
          <w:rFonts w:hint="default"/>
          <w:highlight w:val="none"/>
        </w:rPr>
        <w:t>m</w:t>
      </w:r>
      <w:r>
        <w:rPr>
          <w:rFonts w:hint="default"/>
          <w:highlight w:val="none"/>
          <w:vertAlign w:val="superscript"/>
        </w:rPr>
        <w:t>2</w:t>
      </w:r>
      <w:r>
        <w:rPr>
          <w:rFonts w:hint="default"/>
          <w:highlight w:val="none"/>
        </w:rPr>
        <w:t>。地面先用三合土铺底，夯实后在上层铺10</w:t>
      </w:r>
      <w:r>
        <w:rPr>
          <w:rFonts w:hint="default"/>
          <w:vertAlign w:val="baseline"/>
        </w:rPr>
        <w:t>-15</w:t>
      </w:r>
      <w:r>
        <w:rPr>
          <w:rFonts w:hint="default"/>
        </w:rPr>
        <w:t>cm的防渗水泥硬化，并铺环氧树脂防渗，渗等效黏土防渗层Mb≥6.0m，K≤1×10</w:t>
      </w:r>
      <w:r>
        <w:rPr>
          <w:rFonts w:hint="default"/>
          <w:vertAlign w:val="superscript"/>
        </w:rPr>
        <w:t>-7</w:t>
      </w:r>
      <w:r>
        <w:rPr>
          <w:rFonts w:hint="default"/>
        </w:rPr>
        <w:t>cm/s；或参考GB18598执行。房间四周壁及裙角铺设土工膜，再用水泥硬化，并与地面防渗层连成整体。</w:t>
      </w:r>
    </w:p>
    <w:p w14:paraId="08BC12BA">
      <w:pPr>
        <w:bidi w:val="0"/>
        <w:rPr>
          <w:rFonts w:hint="default"/>
        </w:rPr>
      </w:pPr>
      <w:r>
        <w:rPr>
          <w:rFonts w:hint="default"/>
        </w:rPr>
        <w:t>C、危废暂存间内设置分区，将不同的危险废物分开贮存，每个贮存区域之间设置挡墙间隔。</w:t>
      </w:r>
    </w:p>
    <w:p w14:paraId="3922B44C">
      <w:pPr>
        <w:bidi w:val="0"/>
        <w:rPr>
          <w:rFonts w:hint="default"/>
        </w:rPr>
      </w:pPr>
      <w:r>
        <w:rPr>
          <w:rFonts w:hint="default"/>
        </w:rPr>
        <w:t>D、危险废物暂存间设置专门的管理台账，做好危险废物的情况记录，记录上须注明危险废物的名称、来源、数量、特性和包装容器的类别、入库日期、存放库位、废物出库日期及接收单位名称。危险废物的记录和货单在危险废物回取后应继续保留3年。</w:t>
      </w:r>
    </w:p>
    <w:p w14:paraId="7D21A947">
      <w:pPr>
        <w:bidi w:val="0"/>
        <w:rPr>
          <w:rFonts w:hint="default"/>
        </w:rPr>
      </w:pPr>
      <w:r>
        <w:rPr>
          <w:rFonts w:hint="default"/>
        </w:rPr>
        <w:t>③危险废物的转移</w:t>
      </w:r>
    </w:p>
    <w:p w14:paraId="61921BF9">
      <w:pPr>
        <w:bidi w:val="0"/>
        <w:rPr>
          <w:rFonts w:hint="default"/>
        </w:rPr>
      </w:pPr>
      <w:r>
        <w:rPr>
          <w:rFonts w:hint="default"/>
        </w:rPr>
        <w:t>危险废物的转移应遵从《危险废物转移联单管理办法》及其他有关规定的要求，并禁止在转移过程中将危险废物排放至环境中。经采取以上处理措施后，危险废物的储存对周围环境影响较小。</w:t>
      </w:r>
    </w:p>
    <w:p w14:paraId="5E400C66">
      <w:pPr>
        <w:bidi w:val="0"/>
        <w:rPr>
          <w:rFonts w:hint="default"/>
          <w:highlight w:val="none"/>
        </w:rPr>
      </w:pPr>
      <w:r>
        <w:rPr>
          <w:rFonts w:hint="default"/>
        </w:rPr>
        <w:t>本项目固体废</w:t>
      </w:r>
      <w:r>
        <w:rPr>
          <w:rFonts w:hint="default"/>
          <w:highlight w:val="none"/>
        </w:rPr>
        <w:t>物产生情况见表5.2-</w:t>
      </w:r>
      <w:r>
        <w:rPr>
          <w:rFonts w:hint="default"/>
          <w:highlight w:val="none"/>
          <w:lang w:val="en-US" w:eastAsia="zh-CN"/>
        </w:rPr>
        <w:t>31</w:t>
      </w:r>
      <w:r>
        <w:rPr>
          <w:rFonts w:hint="default"/>
          <w:highlight w:val="none"/>
        </w:rPr>
        <w:t>。</w:t>
      </w:r>
    </w:p>
    <w:p w14:paraId="0102315A">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eastAsia" w:cs="Times New Roman"/>
          <w:b/>
          <w:bCs/>
          <w:color w:val="auto"/>
          <w:sz w:val="24"/>
          <w:highlight w:val="none"/>
          <w:lang w:val="en-US" w:eastAsia="zh-CN"/>
        </w:rPr>
        <w:t>本项目</w:t>
      </w:r>
      <w:r>
        <w:rPr>
          <w:rFonts w:hint="default" w:ascii="Times New Roman" w:hAnsi="Times New Roman" w:eastAsia="宋体" w:cs="Times New Roman"/>
          <w:b/>
          <w:bCs/>
          <w:color w:val="auto"/>
          <w:sz w:val="24"/>
          <w:highlight w:val="none"/>
        </w:rPr>
        <w:t>主要固体废物产生量表</w:t>
      </w:r>
    </w:p>
    <w:tbl>
      <w:tblPr>
        <w:tblStyle w:val="47"/>
        <w:tblW w:w="5000" w:type="pct"/>
        <w:jc w:val="center"/>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Layout w:type="fixed"/>
        <w:tblCellMar>
          <w:top w:w="0" w:type="dxa"/>
          <w:left w:w="108" w:type="dxa"/>
          <w:bottom w:w="0" w:type="dxa"/>
          <w:right w:w="108" w:type="dxa"/>
        </w:tblCellMar>
      </w:tblPr>
      <w:tblGrid>
        <w:gridCol w:w="736"/>
        <w:gridCol w:w="894"/>
        <w:gridCol w:w="1797"/>
        <w:gridCol w:w="1436"/>
        <w:gridCol w:w="4425"/>
      </w:tblGrid>
      <w:tr w14:paraId="23E25F7C">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jc w:val="center"/>
        </w:trPr>
        <w:tc>
          <w:tcPr>
            <w:tcW w:w="736" w:type="dxa"/>
            <w:tcBorders>
              <w:right w:val="single" w:color="auto" w:sz="4" w:space="0"/>
            </w:tcBorders>
            <w:noWrap w:val="0"/>
            <w:vAlign w:val="center"/>
          </w:tcPr>
          <w:p w14:paraId="7F365B3D">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类别</w:t>
            </w:r>
          </w:p>
        </w:tc>
        <w:tc>
          <w:tcPr>
            <w:tcW w:w="894" w:type="dxa"/>
            <w:tcBorders>
              <w:left w:val="single" w:color="auto" w:sz="4" w:space="0"/>
            </w:tcBorders>
            <w:noWrap w:val="0"/>
            <w:vAlign w:val="center"/>
          </w:tcPr>
          <w:p w14:paraId="41CCB604">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序号</w:t>
            </w:r>
          </w:p>
        </w:tc>
        <w:tc>
          <w:tcPr>
            <w:tcW w:w="1797" w:type="dxa"/>
            <w:noWrap w:val="0"/>
            <w:vAlign w:val="center"/>
          </w:tcPr>
          <w:p w14:paraId="7299C08D">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名称</w:t>
            </w:r>
          </w:p>
        </w:tc>
        <w:tc>
          <w:tcPr>
            <w:tcW w:w="1436" w:type="dxa"/>
            <w:noWrap w:val="0"/>
            <w:vAlign w:val="center"/>
          </w:tcPr>
          <w:p w14:paraId="5ED8D4BD">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数量（t/a）</w:t>
            </w:r>
          </w:p>
        </w:tc>
        <w:tc>
          <w:tcPr>
            <w:tcW w:w="4425" w:type="dxa"/>
            <w:noWrap w:val="0"/>
            <w:vAlign w:val="center"/>
          </w:tcPr>
          <w:p w14:paraId="0A1536A3">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处置措施</w:t>
            </w:r>
          </w:p>
        </w:tc>
      </w:tr>
      <w:tr w14:paraId="0DE38918">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513" w:hRule="atLeast"/>
          <w:jc w:val="center"/>
        </w:trPr>
        <w:tc>
          <w:tcPr>
            <w:tcW w:w="736" w:type="dxa"/>
            <w:vMerge w:val="restart"/>
            <w:tcBorders>
              <w:right w:val="single" w:color="auto" w:sz="4" w:space="0"/>
            </w:tcBorders>
            <w:noWrap w:val="0"/>
            <w:vAlign w:val="center"/>
          </w:tcPr>
          <w:p w14:paraId="5BDA586F">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一般工业固废</w:t>
            </w:r>
          </w:p>
        </w:tc>
        <w:tc>
          <w:tcPr>
            <w:tcW w:w="894" w:type="dxa"/>
            <w:tcBorders>
              <w:left w:val="single" w:color="auto" w:sz="4" w:space="0"/>
            </w:tcBorders>
            <w:noWrap w:val="0"/>
            <w:vAlign w:val="center"/>
          </w:tcPr>
          <w:p w14:paraId="2EDA37C8">
            <w:pPr>
              <w:pStyle w:val="58"/>
              <w:numPr>
                <w:ilvl w:val="0"/>
                <w:numId w:val="38"/>
              </w:numPr>
              <w:bidi w:val="0"/>
              <w:ind w:left="425" w:leftChars="0" w:hanging="425" w:firstLineChars="0"/>
              <w:rPr>
                <w:rFonts w:hint="default" w:ascii="Times New Roman" w:hAnsi="Times New Roman" w:eastAsia="宋体" w:cs="Times New Roman"/>
                <w:highlight w:val="none"/>
              </w:rPr>
            </w:pPr>
          </w:p>
        </w:tc>
        <w:tc>
          <w:tcPr>
            <w:tcW w:w="1797" w:type="dxa"/>
            <w:noWrap w:val="0"/>
            <w:vAlign w:val="center"/>
          </w:tcPr>
          <w:p w14:paraId="70D42977">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栅渣</w:t>
            </w:r>
          </w:p>
        </w:tc>
        <w:tc>
          <w:tcPr>
            <w:tcW w:w="1436" w:type="dxa"/>
            <w:noWrap w:val="0"/>
            <w:vAlign w:val="center"/>
          </w:tcPr>
          <w:p w14:paraId="7BB3D2D8">
            <w:pPr>
              <w:pStyle w:val="58"/>
              <w:bidi w:val="0"/>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3.5</w:t>
            </w:r>
          </w:p>
        </w:tc>
        <w:tc>
          <w:tcPr>
            <w:tcW w:w="4425" w:type="dxa"/>
            <w:noWrap w:val="0"/>
            <w:vAlign w:val="center"/>
          </w:tcPr>
          <w:p w14:paraId="5C49E422">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为一般工业固体</w:t>
            </w:r>
            <w:r>
              <w:rPr>
                <w:rFonts w:hint="eastAsia" w:ascii="Times New Roman" w:hAnsi="Times New Roman" w:eastAsia="宋体" w:cs="Times New Roman"/>
                <w:highlight w:val="none"/>
                <w:lang w:val="en-US" w:eastAsia="zh-CN"/>
              </w:rPr>
              <w:t>废物</w:t>
            </w:r>
            <w:r>
              <w:rPr>
                <w:rFonts w:hint="default" w:ascii="Times New Roman" w:hAnsi="Times New Roman" w:eastAsia="宋体" w:cs="Times New Roman"/>
                <w:highlight w:val="none"/>
              </w:rPr>
              <w:t>，运至填埋场进行填埋处理。</w:t>
            </w:r>
          </w:p>
        </w:tc>
      </w:tr>
      <w:tr w14:paraId="63733E2C">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332" w:hRule="atLeast"/>
          <w:jc w:val="center"/>
        </w:trPr>
        <w:tc>
          <w:tcPr>
            <w:tcW w:w="736" w:type="dxa"/>
            <w:vMerge w:val="continue"/>
            <w:tcBorders>
              <w:right w:val="single" w:color="auto" w:sz="4" w:space="0"/>
            </w:tcBorders>
            <w:noWrap w:val="0"/>
            <w:vAlign w:val="center"/>
          </w:tcPr>
          <w:p w14:paraId="38C14928">
            <w:pPr>
              <w:pStyle w:val="58"/>
              <w:bidi w:val="0"/>
              <w:rPr>
                <w:rFonts w:hint="default" w:ascii="Times New Roman" w:hAnsi="Times New Roman" w:eastAsia="宋体" w:cs="Times New Roman"/>
                <w:highlight w:val="none"/>
              </w:rPr>
            </w:pPr>
          </w:p>
        </w:tc>
        <w:tc>
          <w:tcPr>
            <w:tcW w:w="894" w:type="dxa"/>
            <w:tcBorders>
              <w:left w:val="single" w:color="auto" w:sz="4" w:space="0"/>
            </w:tcBorders>
            <w:noWrap w:val="0"/>
            <w:vAlign w:val="center"/>
          </w:tcPr>
          <w:p w14:paraId="0214C5A0">
            <w:pPr>
              <w:pStyle w:val="58"/>
              <w:numPr>
                <w:ilvl w:val="0"/>
                <w:numId w:val="38"/>
              </w:numPr>
              <w:bidi w:val="0"/>
              <w:ind w:left="425" w:leftChars="0" w:hanging="425" w:firstLineChars="0"/>
              <w:rPr>
                <w:rFonts w:hint="default" w:ascii="Times New Roman" w:hAnsi="Times New Roman" w:eastAsia="宋体" w:cs="Times New Roman"/>
                <w:highlight w:val="none"/>
              </w:rPr>
            </w:pPr>
          </w:p>
        </w:tc>
        <w:tc>
          <w:tcPr>
            <w:tcW w:w="1797" w:type="dxa"/>
            <w:noWrap w:val="0"/>
            <w:vAlign w:val="center"/>
          </w:tcPr>
          <w:p w14:paraId="057B24FC">
            <w:pPr>
              <w:pStyle w:val="58"/>
              <w:bidi w:val="0"/>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rPr>
              <w:t>污泥</w:t>
            </w:r>
          </w:p>
        </w:tc>
        <w:tc>
          <w:tcPr>
            <w:tcW w:w="1436" w:type="dxa"/>
            <w:noWrap w:val="0"/>
            <w:vAlign w:val="center"/>
          </w:tcPr>
          <w:p w14:paraId="237C1FC0">
            <w:pPr>
              <w:pStyle w:val="58"/>
              <w:bidi w:val="0"/>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35</w:t>
            </w:r>
          </w:p>
        </w:tc>
        <w:tc>
          <w:tcPr>
            <w:tcW w:w="4425" w:type="dxa"/>
            <w:noWrap w:val="0"/>
            <w:vAlign w:val="center"/>
          </w:tcPr>
          <w:p w14:paraId="09BC40A7">
            <w:pPr>
              <w:pStyle w:val="58"/>
              <w:bidi w:val="0"/>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rPr>
              <w:t>委托水泥厂协同处置</w:t>
            </w:r>
          </w:p>
        </w:tc>
      </w:tr>
      <w:tr w14:paraId="13EF437C">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332" w:hRule="atLeast"/>
          <w:jc w:val="center"/>
        </w:trPr>
        <w:tc>
          <w:tcPr>
            <w:tcW w:w="736" w:type="dxa"/>
            <w:vMerge w:val="continue"/>
            <w:tcBorders>
              <w:right w:val="single" w:color="auto" w:sz="4" w:space="0"/>
            </w:tcBorders>
            <w:noWrap w:val="0"/>
            <w:vAlign w:val="center"/>
          </w:tcPr>
          <w:p w14:paraId="4AE1E321">
            <w:pPr>
              <w:pStyle w:val="58"/>
              <w:bidi w:val="0"/>
              <w:rPr>
                <w:rFonts w:hint="default" w:ascii="Times New Roman" w:hAnsi="Times New Roman" w:eastAsia="宋体" w:cs="Times New Roman"/>
                <w:highlight w:val="none"/>
              </w:rPr>
            </w:pPr>
          </w:p>
        </w:tc>
        <w:tc>
          <w:tcPr>
            <w:tcW w:w="894" w:type="dxa"/>
            <w:tcBorders>
              <w:left w:val="single" w:color="auto" w:sz="4" w:space="0"/>
            </w:tcBorders>
            <w:noWrap w:val="0"/>
            <w:vAlign w:val="center"/>
          </w:tcPr>
          <w:p w14:paraId="13438192">
            <w:pPr>
              <w:pStyle w:val="58"/>
              <w:numPr>
                <w:ilvl w:val="0"/>
                <w:numId w:val="38"/>
              </w:numPr>
              <w:bidi w:val="0"/>
              <w:ind w:left="425" w:leftChars="0" w:hanging="425" w:firstLineChars="0"/>
              <w:rPr>
                <w:rFonts w:hint="eastAsia" w:ascii="Times New Roman" w:hAnsi="Times New Roman" w:eastAsia="宋体" w:cs="Times New Roman"/>
                <w:highlight w:val="none"/>
                <w:lang w:val="en-US" w:eastAsia="zh-CN"/>
              </w:rPr>
            </w:pPr>
          </w:p>
        </w:tc>
        <w:tc>
          <w:tcPr>
            <w:tcW w:w="1797" w:type="dxa"/>
            <w:noWrap w:val="0"/>
            <w:vAlign w:val="center"/>
          </w:tcPr>
          <w:p w14:paraId="2A0F3DC4">
            <w:pPr>
              <w:pStyle w:val="58"/>
              <w:bidi w:val="0"/>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沉砂</w:t>
            </w:r>
          </w:p>
        </w:tc>
        <w:tc>
          <w:tcPr>
            <w:tcW w:w="1436" w:type="dxa"/>
            <w:noWrap w:val="0"/>
            <w:vAlign w:val="center"/>
          </w:tcPr>
          <w:p w14:paraId="01FC5E4D">
            <w:pPr>
              <w:pStyle w:val="58"/>
              <w:bidi w:val="0"/>
              <w:rPr>
                <w:rFonts w:hint="default" w:ascii="Times New Roman" w:hAnsi="Times New Roman" w:eastAsia="宋体" w:cs="Times New Roman"/>
                <w:highlight w:val="none"/>
                <w:lang w:val="en-US" w:eastAsia="zh-CN"/>
              </w:rPr>
            </w:pPr>
            <w:r>
              <w:rPr>
                <w:rFonts w:hint="eastAsia" w:cs="Times New Roman"/>
                <w:highlight w:val="none"/>
                <w:lang w:val="en-US" w:eastAsia="zh-CN"/>
              </w:rPr>
              <w:t>3.29</w:t>
            </w:r>
          </w:p>
        </w:tc>
        <w:tc>
          <w:tcPr>
            <w:tcW w:w="4425" w:type="dxa"/>
            <w:noWrap w:val="0"/>
            <w:vAlign w:val="center"/>
          </w:tcPr>
          <w:p w14:paraId="5A6C4E80">
            <w:pPr>
              <w:pStyle w:val="58"/>
              <w:bidi w:val="0"/>
              <w:rPr>
                <w:rFonts w:hint="eastAsia" w:ascii="Times New Roman" w:hAnsi="Times New Roman" w:eastAsia="宋体" w:cs="Times New Roman"/>
                <w:highlight w:val="none"/>
                <w:lang w:val="en-US" w:eastAsia="zh-CN"/>
              </w:rPr>
            </w:pPr>
          </w:p>
        </w:tc>
      </w:tr>
      <w:tr w14:paraId="65994870">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332" w:hRule="atLeast"/>
          <w:jc w:val="center"/>
        </w:trPr>
        <w:tc>
          <w:tcPr>
            <w:tcW w:w="736" w:type="dxa"/>
            <w:vMerge w:val="continue"/>
            <w:tcBorders>
              <w:right w:val="single" w:color="auto" w:sz="4" w:space="0"/>
            </w:tcBorders>
            <w:noWrap w:val="0"/>
            <w:vAlign w:val="center"/>
          </w:tcPr>
          <w:p w14:paraId="61F38257">
            <w:pPr>
              <w:pStyle w:val="58"/>
              <w:bidi w:val="0"/>
              <w:rPr>
                <w:rFonts w:hint="default" w:ascii="Times New Roman" w:hAnsi="Times New Roman" w:eastAsia="宋体" w:cs="Times New Roman"/>
                <w:highlight w:val="none"/>
              </w:rPr>
            </w:pPr>
          </w:p>
        </w:tc>
        <w:tc>
          <w:tcPr>
            <w:tcW w:w="894" w:type="dxa"/>
            <w:tcBorders>
              <w:left w:val="single" w:color="auto" w:sz="4" w:space="0"/>
            </w:tcBorders>
            <w:noWrap w:val="0"/>
            <w:vAlign w:val="center"/>
          </w:tcPr>
          <w:p w14:paraId="24523B0C">
            <w:pPr>
              <w:pStyle w:val="58"/>
              <w:numPr>
                <w:ilvl w:val="0"/>
                <w:numId w:val="38"/>
              </w:numPr>
              <w:bidi w:val="0"/>
              <w:ind w:left="425" w:leftChars="0" w:hanging="425" w:firstLineChars="0"/>
              <w:rPr>
                <w:rFonts w:hint="default" w:ascii="Times New Roman" w:hAnsi="Times New Roman" w:eastAsia="宋体" w:cs="Times New Roman"/>
                <w:highlight w:val="none"/>
              </w:rPr>
            </w:pPr>
          </w:p>
        </w:tc>
        <w:tc>
          <w:tcPr>
            <w:tcW w:w="1797" w:type="dxa"/>
            <w:noWrap w:val="0"/>
            <w:vAlign w:val="center"/>
          </w:tcPr>
          <w:p w14:paraId="2897B7A4">
            <w:pPr>
              <w:pStyle w:val="58"/>
              <w:bidi w:val="0"/>
              <w:rPr>
                <w:rFonts w:hint="default" w:ascii="Times New Roman" w:hAnsi="Times New Roman" w:eastAsia="宋体" w:cs="Times New Roman"/>
                <w:highlight w:val="none"/>
                <w:lang w:val="en-US" w:eastAsia="zh-CN"/>
              </w:rPr>
            </w:pPr>
            <w:r>
              <w:rPr>
                <w:rFonts w:hint="eastAsia" w:cs="Times New Roman"/>
                <w:highlight w:val="none"/>
                <w:lang w:val="en-US" w:eastAsia="zh-CN"/>
              </w:rPr>
              <w:t>废石英砂</w:t>
            </w:r>
          </w:p>
        </w:tc>
        <w:tc>
          <w:tcPr>
            <w:tcW w:w="1436" w:type="dxa"/>
            <w:noWrap w:val="0"/>
            <w:vAlign w:val="center"/>
          </w:tcPr>
          <w:p w14:paraId="6C18321F">
            <w:pPr>
              <w:pStyle w:val="58"/>
              <w:bidi w:val="0"/>
              <w:rPr>
                <w:rFonts w:hint="default" w:ascii="Times New Roman" w:hAnsi="Times New Roman" w:eastAsia="宋体" w:cs="Times New Roman"/>
                <w:highlight w:val="none"/>
                <w:lang w:val="en-US" w:eastAsia="zh-CN"/>
              </w:rPr>
            </w:pPr>
            <w:r>
              <w:rPr>
                <w:rFonts w:hint="eastAsia" w:cs="Times New Roman"/>
                <w:highlight w:val="none"/>
                <w:lang w:val="en-US" w:eastAsia="zh-CN"/>
              </w:rPr>
              <w:t>2.65</w:t>
            </w:r>
          </w:p>
        </w:tc>
        <w:tc>
          <w:tcPr>
            <w:tcW w:w="4425" w:type="dxa"/>
            <w:noWrap w:val="0"/>
            <w:vAlign w:val="center"/>
          </w:tcPr>
          <w:p w14:paraId="0E8C021A">
            <w:pPr>
              <w:pStyle w:val="58"/>
              <w:bidi w:val="0"/>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委托水泥厂协同处置</w:t>
            </w:r>
          </w:p>
        </w:tc>
      </w:tr>
      <w:tr w14:paraId="33C1604D">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240" w:hRule="atLeast"/>
          <w:jc w:val="center"/>
        </w:trPr>
        <w:tc>
          <w:tcPr>
            <w:tcW w:w="736" w:type="dxa"/>
            <w:vMerge w:val="restart"/>
            <w:noWrap w:val="0"/>
            <w:vAlign w:val="center"/>
          </w:tcPr>
          <w:p w14:paraId="397B6783">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危险废物</w:t>
            </w:r>
          </w:p>
        </w:tc>
        <w:tc>
          <w:tcPr>
            <w:tcW w:w="894" w:type="dxa"/>
            <w:tcBorders>
              <w:bottom w:val="single" w:color="auto" w:sz="4" w:space="0"/>
            </w:tcBorders>
            <w:noWrap w:val="0"/>
            <w:vAlign w:val="center"/>
          </w:tcPr>
          <w:p w14:paraId="6FDD560A">
            <w:pPr>
              <w:pStyle w:val="58"/>
              <w:numPr>
                <w:ilvl w:val="0"/>
                <w:numId w:val="38"/>
              </w:numPr>
              <w:bidi w:val="0"/>
              <w:ind w:left="425" w:leftChars="0" w:hanging="425" w:firstLineChars="0"/>
              <w:rPr>
                <w:rFonts w:hint="default" w:ascii="Times New Roman" w:hAnsi="Times New Roman" w:eastAsia="宋体" w:cs="Times New Roman"/>
                <w:highlight w:val="none"/>
              </w:rPr>
            </w:pPr>
          </w:p>
        </w:tc>
        <w:tc>
          <w:tcPr>
            <w:tcW w:w="1797" w:type="dxa"/>
            <w:tcBorders>
              <w:bottom w:val="single" w:color="auto" w:sz="4" w:space="0"/>
            </w:tcBorders>
            <w:noWrap w:val="0"/>
            <w:vAlign w:val="center"/>
          </w:tcPr>
          <w:p w14:paraId="6B1337B3">
            <w:pPr>
              <w:pStyle w:val="58"/>
              <w:bidi w:val="0"/>
              <w:rPr>
                <w:rFonts w:hint="default" w:ascii="Times New Roman" w:hAnsi="Times New Roman" w:eastAsia="宋体" w:cs="Times New Roman"/>
                <w:highlight w:val="none"/>
              </w:rPr>
            </w:pPr>
            <w:r>
              <w:rPr>
                <w:rFonts w:hint="eastAsia" w:cs="Times New Roman"/>
                <w:highlight w:val="none"/>
                <w:lang w:eastAsia="zh-CN"/>
              </w:rPr>
              <w:t>实验室</w:t>
            </w:r>
            <w:r>
              <w:rPr>
                <w:rFonts w:hint="default" w:ascii="Times New Roman" w:hAnsi="Times New Roman" w:eastAsia="宋体" w:cs="Times New Roman"/>
                <w:highlight w:val="none"/>
              </w:rPr>
              <w:t>废液</w:t>
            </w:r>
          </w:p>
        </w:tc>
        <w:tc>
          <w:tcPr>
            <w:tcW w:w="1436" w:type="dxa"/>
            <w:tcBorders>
              <w:bottom w:val="single" w:color="auto" w:sz="4" w:space="0"/>
            </w:tcBorders>
            <w:noWrap w:val="0"/>
            <w:vAlign w:val="center"/>
          </w:tcPr>
          <w:p w14:paraId="6CF7BA3F">
            <w:pPr>
              <w:pStyle w:val="58"/>
              <w:bidi w:val="0"/>
              <w:rPr>
                <w:rFonts w:hint="eastAsia" w:ascii="Times New Roman" w:hAnsi="Times New Roman" w:eastAsia="宋体" w:cs="Times New Roman"/>
                <w:highlight w:val="none"/>
                <w:lang w:eastAsia="zh-CN"/>
              </w:rPr>
            </w:pPr>
            <w:r>
              <w:rPr>
                <w:rFonts w:hint="default" w:ascii="Times New Roman" w:hAnsi="Times New Roman" w:eastAsia="宋体" w:cs="Times New Roman"/>
                <w:highlight w:val="none"/>
              </w:rPr>
              <w:t>0.</w:t>
            </w:r>
            <w:r>
              <w:rPr>
                <w:rFonts w:hint="default" w:ascii="Times New Roman" w:hAnsi="Times New Roman" w:eastAsia="宋体" w:cs="Times New Roman"/>
                <w:highlight w:val="none"/>
                <w:lang w:val="en-US" w:eastAsia="zh-CN"/>
              </w:rPr>
              <w:t>0</w:t>
            </w:r>
            <w:r>
              <w:rPr>
                <w:rFonts w:hint="eastAsia" w:cs="Times New Roman"/>
                <w:highlight w:val="none"/>
                <w:lang w:val="en-US" w:eastAsia="zh-CN"/>
              </w:rPr>
              <w:t>1</w:t>
            </w:r>
          </w:p>
        </w:tc>
        <w:tc>
          <w:tcPr>
            <w:tcW w:w="4425" w:type="dxa"/>
            <w:vMerge w:val="restart"/>
            <w:noWrap w:val="0"/>
            <w:vAlign w:val="center"/>
          </w:tcPr>
          <w:p w14:paraId="55EF9385">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集中收集后暂存于危险废物暂存间内，定期交由有资质单位处置</w:t>
            </w:r>
          </w:p>
        </w:tc>
      </w:tr>
      <w:tr w14:paraId="32899393">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150" w:hRule="atLeast"/>
          <w:jc w:val="center"/>
        </w:trPr>
        <w:tc>
          <w:tcPr>
            <w:tcW w:w="736" w:type="dxa"/>
            <w:vMerge w:val="continue"/>
            <w:noWrap w:val="0"/>
            <w:vAlign w:val="center"/>
          </w:tcPr>
          <w:p w14:paraId="53E703A9">
            <w:pPr>
              <w:pStyle w:val="58"/>
              <w:bidi w:val="0"/>
              <w:rPr>
                <w:rFonts w:hint="default" w:ascii="Times New Roman" w:hAnsi="Times New Roman" w:eastAsia="宋体" w:cs="Times New Roman"/>
                <w:highlight w:val="none"/>
              </w:rPr>
            </w:pPr>
          </w:p>
        </w:tc>
        <w:tc>
          <w:tcPr>
            <w:tcW w:w="894" w:type="dxa"/>
            <w:tcBorders>
              <w:top w:val="single" w:color="auto" w:sz="4" w:space="0"/>
              <w:bottom w:val="single" w:color="auto" w:sz="4" w:space="0"/>
            </w:tcBorders>
            <w:noWrap w:val="0"/>
            <w:vAlign w:val="center"/>
          </w:tcPr>
          <w:p w14:paraId="2E90074F">
            <w:pPr>
              <w:pStyle w:val="58"/>
              <w:numPr>
                <w:ilvl w:val="0"/>
                <w:numId w:val="38"/>
              </w:numPr>
              <w:bidi w:val="0"/>
              <w:ind w:left="425" w:leftChars="0" w:hanging="425" w:firstLineChars="0"/>
              <w:rPr>
                <w:rFonts w:hint="default" w:ascii="Times New Roman" w:hAnsi="Times New Roman" w:eastAsia="宋体" w:cs="Times New Roman"/>
                <w:highlight w:val="none"/>
              </w:rPr>
            </w:pPr>
          </w:p>
        </w:tc>
        <w:tc>
          <w:tcPr>
            <w:tcW w:w="1797" w:type="dxa"/>
            <w:tcBorders>
              <w:top w:val="single" w:color="auto" w:sz="4" w:space="0"/>
              <w:bottom w:val="single" w:color="auto" w:sz="4" w:space="0"/>
            </w:tcBorders>
            <w:noWrap w:val="0"/>
            <w:vAlign w:val="center"/>
          </w:tcPr>
          <w:p w14:paraId="4C827FAF">
            <w:pPr>
              <w:pStyle w:val="58"/>
              <w:bidi w:val="0"/>
              <w:rPr>
                <w:rFonts w:hint="default" w:ascii="Times New Roman" w:hAnsi="Times New Roman" w:eastAsia="宋体" w:cs="Times New Roman"/>
                <w:highlight w:val="none"/>
                <w:lang w:val="en-US" w:eastAsia="zh-CN"/>
              </w:rPr>
            </w:pPr>
            <w:r>
              <w:rPr>
                <w:rFonts w:hint="eastAsia" w:cs="Times New Roman"/>
                <w:highlight w:val="none"/>
                <w:lang w:val="en-US" w:eastAsia="zh-CN"/>
              </w:rPr>
              <w:t>在线监测废液</w:t>
            </w:r>
          </w:p>
        </w:tc>
        <w:tc>
          <w:tcPr>
            <w:tcW w:w="1436" w:type="dxa"/>
            <w:tcBorders>
              <w:top w:val="single" w:color="auto" w:sz="4" w:space="0"/>
              <w:bottom w:val="single" w:color="auto" w:sz="4" w:space="0"/>
            </w:tcBorders>
            <w:noWrap w:val="0"/>
            <w:vAlign w:val="center"/>
          </w:tcPr>
          <w:p w14:paraId="2A4DE6D4">
            <w:pPr>
              <w:pStyle w:val="58"/>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rPr>
              <w:t>0.</w:t>
            </w:r>
            <w:r>
              <w:rPr>
                <w:rFonts w:hint="eastAsia" w:cs="Times New Roman"/>
                <w:highlight w:val="none"/>
                <w:lang w:val="en-US" w:eastAsia="zh-CN"/>
              </w:rPr>
              <w:t>07</w:t>
            </w:r>
          </w:p>
        </w:tc>
        <w:tc>
          <w:tcPr>
            <w:tcW w:w="4425" w:type="dxa"/>
            <w:vMerge w:val="continue"/>
            <w:noWrap w:val="0"/>
            <w:vAlign w:val="center"/>
          </w:tcPr>
          <w:p w14:paraId="3C961E22">
            <w:pPr>
              <w:pStyle w:val="58"/>
              <w:bidi w:val="0"/>
              <w:rPr>
                <w:rFonts w:hint="default" w:ascii="Times New Roman" w:hAnsi="Times New Roman" w:eastAsia="宋体" w:cs="Times New Roman"/>
                <w:highlight w:val="none"/>
              </w:rPr>
            </w:pPr>
          </w:p>
        </w:tc>
      </w:tr>
      <w:tr w14:paraId="59D94F8A">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225" w:hRule="atLeast"/>
          <w:jc w:val="center"/>
        </w:trPr>
        <w:tc>
          <w:tcPr>
            <w:tcW w:w="736" w:type="dxa"/>
            <w:vMerge w:val="continue"/>
            <w:noWrap w:val="0"/>
            <w:vAlign w:val="center"/>
          </w:tcPr>
          <w:p w14:paraId="7C7D1694">
            <w:pPr>
              <w:pStyle w:val="58"/>
              <w:bidi w:val="0"/>
              <w:rPr>
                <w:rFonts w:hint="default" w:ascii="Times New Roman" w:hAnsi="Times New Roman" w:eastAsia="宋体" w:cs="Times New Roman"/>
                <w:highlight w:val="none"/>
              </w:rPr>
            </w:pPr>
          </w:p>
        </w:tc>
        <w:tc>
          <w:tcPr>
            <w:tcW w:w="894" w:type="dxa"/>
            <w:tcBorders>
              <w:top w:val="single" w:color="auto" w:sz="4" w:space="0"/>
            </w:tcBorders>
            <w:noWrap w:val="0"/>
            <w:vAlign w:val="center"/>
          </w:tcPr>
          <w:p w14:paraId="6CAC8983">
            <w:pPr>
              <w:pStyle w:val="58"/>
              <w:numPr>
                <w:ilvl w:val="0"/>
                <w:numId w:val="38"/>
              </w:numPr>
              <w:bidi w:val="0"/>
              <w:ind w:left="425" w:leftChars="0" w:hanging="425" w:firstLineChars="0"/>
              <w:rPr>
                <w:rFonts w:hint="default" w:ascii="Times New Roman" w:hAnsi="Times New Roman" w:eastAsia="宋体" w:cs="Times New Roman"/>
                <w:highlight w:val="none"/>
              </w:rPr>
            </w:pPr>
          </w:p>
        </w:tc>
        <w:tc>
          <w:tcPr>
            <w:tcW w:w="1797" w:type="dxa"/>
            <w:tcBorders>
              <w:top w:val="single" w:color="auto" w:sz="4" w:space="0"/>
            </w:tcBorders>
            <w:noWrap w:val="0"/>
            <w:vAlign w:val="center"/>
          </w:tcPr>
          <w:p w14:paraId="2310F4CF">
            <w:pPr>
              <w:pStyle w:val="58"/>
              <w:bidi w:val="0"/>
              <w:rPr>
                <w:rFonts w:hint="default" w:ascii="Times New Roman" w:hAnsi="Times New Roman" w:eastAsia="宋体" w:cs="Times New Roman"/>
                <w:highlight w:val="none"/>
                <w:lang w:val="en-US" w:eastAsia="zh-CN"/>
              </w:rPr>
            </w:pPr>
            <w:r>
              <w:rPr>
                <w:rFonts w:hint="eastAsia" w:cs="Times New Roman"/>
                <w:highlight w:val="none"/>
                <w:lang w:val="en-US" w:eastAsia="zh-CN"/>
              </w:rPr>
              <w:t>废试剂瓶</w:t>
            </w:r>
          </w:p>
        </w:tc>
        <w:tc>
          <w:tcPr>
            <w:tcW w:w="1436" w:type="dxa"/>
            <w:tcBorders>
              <w:top w:val="single" w:color="auto" w:sz="4" w:space="0"/>
            </w:tcBorders>
            <w:noWrap w:val="0"/>
            <w:vAlign w:val="center"/>
          </w:tcPr>
          <w:p w14:paraId="157338C2">
            <w:pPr>
              <w:pStyle w:val="58"/>
              <w:bidi w:val="0"/>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rPr>
              <w:t>0.0</w:t>
            </w:r>
            <w:r>
              <w:rPr>
                <w:rFonts w:hint="eastAsia" w:cs="Times New Roman"/>
                <w:highlight w:val="none"/>
                <w:lang w:val="en-US" w:eastAsia="zh-CN"/>
              </w:rPr>
              <w:t>01</w:t>
            </w:r>
          </w:p>
        </w:tc>
        <w:tc>
          <w:tcPr>
            <w:tcW w:w="4425" w:type="dxa"/>
            <w:vMerge w:val="continue"/>
            <w:noWrap w:val="0"/>
            <w:vAlign w:val="center"/>
          </w:tcPr>
          <w:p w14:paraId="2F11C211">
            <w:pPr>
              <w:pStyle w:val="58"/>
              <w:bidi w:val="0"/>
              <w:rPr>
                <w:rFonts w:hint="default" w:ascii="Times New Roman" w:hAnsi="Times New Roman" w:eastAsia="宋体" w:cs="Times New Roman"/>
                <w:highlight w:val="none"/>
              </w:rPr>
            </w:pPr>
          </w:p>
        </w:tc>
      </w:tr>
      <w:tr w14:paraId="0C00342D">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225" w:hRule="atLeast"/>
          <w:jc w:val="center"/>
        </w:trPr>
        <w:tc>
          <w:tcPr>
            <w:tcW w:w="736" w:type="dxa"/>
            <w:vMerge w:val="continue"/>
            <w:noWrap w:val="0"/>
            <w:vAlign w:val="center"/>
          </w:tcPr>
          <w:p w14:paraId="53F83C81">
            <w:pPr>
              <w:pStyle w:val="58"/>
              <w:bidi w:val="0"/>
              <w:rPr>
                <w:rFonts w:hint="default" w:ascii="Times New Roman" w:hAnsi="Times New Roman" w:eastAsia="宋体" w:cs="Times New Roman"/>
                <w:highlight w:val="none"/>
              </w:rPr>
            </w:pPr>
          </w:p>
        </w:tc>
        <w:tc>
          <w:tcPr>
            <w:tcW w:w="894" w:type="dxa"/>
            <w:tcBorders>
              <w:top w:val="single" w:color="auto" w:sz="4" w:space="0"/>
            </w:tcBorders>
            <w:noWrap w:val="0"/>
            <w:vAlign w:val="center"/>
          </w:tcPr>
          <w:p w14:paraId="4B95C9F1">
            <w:pPr>
              <w:pStyle w:val="58"/>
              <w:numPr>
                <w:ilvl w:val="0"/>
                <w:numId w:val="38"/>
              </w:numPr>
              <w:bidi w:val="0"/>
              <w:ind w:left="425" w:leftChars="0" w:hanging="425" w:firstLineChars="0"/>
              <w:rPr>
                <w:rFonts w:hint="eastAsia" w:ascii="Times New Roman" w:hAnsi="Times New Roman" w:eastAsia="宋体" w:cs="Times New Roman"/>
                <w:highlight w:val="none"/>
                <w:lang w:val="en-US" w:eastAsia="zh-CN"/>
              </w:rPr>
            </w:pPr>
          </w:p>
        </w:tc>
        <w:tc>
          <w:tcPr>
            <w:tcW w:w="1797" w:type="dxa"/>
            <w:tcBorders>
              <w:top w:val="single" w:color="auto" w:sz="4" w:space="0"/>
            </w:tcBorders>
            <w:noWrap w:val="0"/>
            <w:vAlign w:val="center"/>
          </w:tcPr>
          <w:p w14:paraId="586CF3F6">
            <w:pPr>
              <w:pStyle w:val="58"/>
              <w:bidi w:val="0"/>
              <w:rPr>
                <w:rFonts w:hint="default" w:ascii="Times New Roman" w:hAnsi="Times New Roman" w:eastAsia="宋体" w:cs="Times New Roman"/>
                <w:highlight w:val="none"/>
              </w:rPr>
            </w:pPr>
            <w:r>
              <w:rPr>
                <w:rFonts w:hint="eastAsia" w:ascii="Times New Roman" w:hAnsi="Times New Roman" w:eastAsia="宋体" w:cs="Times New Roman"/>
                <w:highlight w:val="none"/>
              </w:rPr>
              <w:t>废润滑油</w:t>
            </w:r>
          </w:p>
        </w:tc>
        <w:tc>
          <w:tcPr>
            <w:tcW w:w="1436" w:type="dxa"/>
            <w:tcBorders>
              <w:top w:val="single" w:color="auto" w:sz="4" w:space="0"/>
            </w:tcBorders>
            <w:noWrap w:val="0"/>
            <w:vAlign w:val="center"/>
          </w:tcPr>
          <w:p w14:paraId="0F9A8F73">
            <w:pPr>
              <w:pStyle w:val="58"/>
              <w:bidi w:val="0"/>
              <w:rPr>
                <w:rFonts w:hint="default" w:ascii="Times New Roman" w:hAnsi="Times New Roman" w:eastAsia="宋体" w:cs="Times New Roman"/>
                <w:highlight w:val="none"/>
              </w:rPr>
            </w:pPr>
            <w:r>
              <w:rPr>
                <w:rFonts w:hint="eastAsia" w:ascii="Times New Roman" w:hAnsi="Times New Roman" w:eastAsia="宋体" w:cs="Times New Roman"/>
                <w:highlight w:val="none"/>
              </w:rPr>
              <w:t>0.01</w:t>
            </w:r>
          </w:p>
        </w:tc>
        <w:tc>
          <w:tcPr>
            <w:tcW w:w="4425" w:type="dxa"/>
            <w:vMerge w:val="continue"/>
            <w:noWrap w:val="0"/>
            <w:vAlign w:val="center"/>
          </w:tcPr>
          <w:p w14:paraId="67BE9CF9">
            <w:pPr>
              <w:pStyle w:val="58"/>
              <w:bidi w:val="0"/>
              <w:rPr>
                <w:rFonts w:hint="default" w:ascii="Times New Roman" w:hAnsi="Times New Roman" w:eastAsia="宋体" w:cs="Times New Roman"/>
                <w:highlight w:val="none"/>
              </w:rPr>
            </w:pPr>
          </w:p>
        </w:tc>
      </w:tr>
      <w:tr w14:paraId="2F33720D">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225" w:hRule="atLeast"/>
          <w:jc w:val="center"/>
        </w:trPr>
        <w:tc>
          <w:tcPr>
            <w:tcW w:w="736" w:type="dxa"/>
            <w:vMerge w:val="continue"/>
            <w:noWrap w:val="0"/>
            <w:vAlign w:val="center"/>
          </w:tcPr>
          <w:p w14:paraId="7089C70E">
            <w:pPr>
              <w:pStyle w:val="58"/>
              <w:bidi w:val="0"/>
              <w:rPr>
                <w:rFonts w:hint="default" w:ascii="Times New Roman" w:hAnsi="Times New Roman" w:eastAsia="宋体" w:cs="Times New Roman"/>
                <w:highlight w:val="none"/>
              </w:rPr>
            </w:pPr>
          </w:p>
        </w:tc>
        <w:tc>
          <w:tcPr>
            <w:tcW w:w="894" w:type="dxa"/>
            <w:tcBorders>
              <w:top w:val="single" w:color="auto" w:sz="4" w:space="0"/>
            </w:tcBorders>
            <w:noWrap w:val="0"/>
            <w:vAlign w:val="center"/>
          </w:tcPr>
          <w:p w14:paraId="5003210A">
            <w:pPr>
              <w:pStyle w:val="58"/>
              <w:numPr>
                <w:ilvl w:val="0"/>
                <w:numId w:val="38"/>
              </w:numPr>
              <w:bidi w:val="0"/>
              <w:ind w:left="425" w:leftChars="0" w:hanging="425" w:firstLineChars="0"/>
              <w:rPr>
                <w:rFonts w:hint="eastAsia" w:ascii="Times New Roman" w:hAnsi="Times New Roman" w:eastAsia="宋体" w:cs="Times New Roman"/>
                <w:highlight w:val="none"/>
                <w:lang w:val="en-US" w:eastAsia="zh-CN"/>
              </w:rPr>
            </w:pPr>
          </w:p>
        </w:tc>
        <w:tc>
          <w:tcPr>
            <w:tcW w:w="1797" w:type="dxa"/>
            <w:tcBorders>
              <w:top w:val="single" w:color="auto" w:sz="4" w:space="0"/>
            </w:tcBorders>
            <w:noWrap w:val="0"/>
            <w:vAlign w:val="center"/>
          </w:tcPr>
          <w:p w14:paraId="1C61ABF8">
            <w:pPr>
              <w:pStyle w:val="58"/>
              <w:bidi w:val="0"/>
              <w:rPr>
                <w:rFonts w:hint="eastAsia" w:ascii="Times New Roman" w:hAnsi="Times New Roman" w:eastAsia="宋体" w:cs="Times New Roman"/>
                <w:highlight w:val="none"/>
                <w:lang w:eastAsia="zh-CN"/>
              </w:rPr>
            </w:pPr>
            <w:r>
              <w:rPr>
                <w:rFonts w:hint="eastAsia" w:ascii="Times New Roman" w:hAnsi="Times New Roman" w:eastAsia="宋体" w:cs="Times New Roman"/>
                <w:highlight w:val="none"/>
              </w:rPr>
              <w:t>废</w:t>
            </w:r>
            <w:r>
              <w:rPr>
                <w:rFonts w:hint="eastAsia" w:cs="Times New Roman"/>
                <w:highlight w:val="none"/>
                <w:lang w:val="en-US" w:eastAsia="zh-CN"/>
              </w:rPr>
              <w:t>液压油</w:t>
            </w:r>
          </w:p>
        </w:tc>
        <w:tc>
          <w:tcPr>
            <w:tcW w:w="1436" w:type="dxa"/>
            <w:tcBorders>
              <w:top w:val="single" w:color="auto" w:sz="4" w:space="0"/>
            </w:tcBorders>
            <w:noWrap w:val="0"/>
            <w:vAlign w:val="center"/>
          </w:tcPr>
          <w:p w14:paraId="6484EE85">
            <w:pPr>
              <w:pStyle w:val="58"/>
              <w:bidi w:val="0"/>
              <w:rPr>
                <w:rFonts w:hint="default" w:ascii="Times New Roman" w:hAnsi="Times New Roman" w:eastAsia="宋体" w:cs="Times New Roman"/>
                <w:highlight w:val="none"/>
              </w:rPr>
            </w:pPr>
            <w:r>
              <w:rPr>
                <w:rFonts w:hint="eastAsia" w:ascii="Times New Roman" w:hAnsi="Times New Roman" w:eastAsia="宋体" w:cs="Times New Roman"/>
                <w:highlight w:val="none"/>
              </w:rPr>
              <w:t>0.02</w:t>
            </w:r>
          </w:p>
        </w:tc>
        <w:tc>
          <w:tcPr>
            <w:tcW w:w="4425" w:type="dxa"/>
            <w:vMerge w:val="continue"/>
            <w:noWrap w:val="0"/>
            <w:vAlign w:val="center"/>
          </w:tcPr>
          <w:p w14:paraId="0F9028DB">
            <w:pPr>
              <w:pStyle w:val="58"/>
              <w:bidi w:val="0"/>
              <w:rPr>
                <w:rFonts w:hint="default" w:ascii="Times New Roman" w:hAnsi="Times New Roman" w:eastAsia="宋体" w:cs="Times New Roman"/>
                <w:highlight w:val="none"/>
              </w:rPr>
            </w:pPr>
          </w:p>
        </w:tc>
      </w:tr>
      <w:tr w14:paraId="781E5C40">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225" w:hRule="atLeast"/>
          <w:jc w:val="center"/>
        </w:trPr>
        <w:tc>
          <w:tcPr>
            <w:tcW w:w="736" w:type="dxa"/>
            <w:vMerge w:val="continue"/>
            <w:noWrap w:val="0"/>
            <w:vAlign w:val="center"/>
          </w:tcPr>
          <w:p w14:paraId="7C563ABB">
            <w:pPr>
              <w:pStyle w:val="58"/>
              <w:bidi w:val="0"/>
              <w:rPr>
                <w:rFonts w:hint="default" w:ascii="Times New Roman" w:hAnsi="Times New Roman" w:eastAsia="宋体" w:cs="Times New Roman"/>
                <w:highlight w:val="none"/>
              </w:rPr>
            </w:pPr>
          </w:p>
        </w:tc>
        <w:tc>
          <w:tcPr>
            <w:tcW w:w="894" w:type="dxa"/>
            <w:tcBorders>
              <w:top w:val="single" w:color="auto" w:sz="4" w:space="0"/>
            </w:tcBorders>
            <w:noWrap w:val="0"/>
            <w:vAlign w:val="center"/>
          </w:tcPr>
          <w:p w14:paraId="47183F51">
            <w:pPr>
              <w:pStyle w:val="58"/>
              <w:numPr>
                <w:ilvl w:val="0"/>
                <w:numId w:val="38"/>
              </w:numPr>
              <w:bidi w:val="0"/>
              <w:ind w:left="425" w:leftChars="0" w:hanging="425" w:firstLineChars="0"/>
              <w:rPr>
                <w:rFonts w:hint="eastAsia" w:ascii="Times New Roman" w:hAnsi="Times New Roman" w:eastAsia="宋体" w:cs="Times New Roman"/>
                <w:highlight w:val="none"/>
                <w:lang w:val="en-US" w:eastAsia="zh-CN"/>
              </w:rPr>
            </w:pPr>
          </w:p>
        </w:tc>
        <w:tc>
          <w:tcPr>
            <w:tcW w:w="1797" w:type="dxa"/>
            <w:tcBorders>
              <w:top w:val="single" w:color="auto" w:sz="4" w:space="0"/>
            </w:tcBorders>
            <w:noWrap w:val="0"/>
            <w:vAlign w:val="center"/>
          </w:tcPr>
          <w:p w14:paraId="0F737B1F">
            <w:pPr>
              <w:pStyle w:val="58"/>
              <w:bidi w:val="0"/>
              <w:rPr>
                <w:rFonts w:hint="eastAsia" w:ascii="Times New Roman" w:hAnsi="Times New Roman" w:eastAsia="宋体" w:cs="Times New Roman"/>
                <w:highlight w:val="none"/>
                <w:lang w:val="en-US" w:eastAsia="zh-CN"/>
              </w:rPr>
            </w:pPr>
            <w:r>
              <w:rPr>
                <w:rFonts w:hint="eastAsia" w:cs="Times New Roman"/>
                <w:highlight w:val="none"/>
                <w:lang w:val="en-US" w:eastAsia="zh-CN"/>
              </w:rPr>
              <w:t>废油桶</w:t>
            </w:r>
          </w:p>
        </w:tc>
        <w:tc>
          <w:tcPr>
            <w:tcW w:w="1436" w:type="dxa"/>
            <w:tcBorders>
              <w:top w:val="single" w:color="auto" w:sz="4" w:space="0"/>
            </w:tcBorders>
            <w:noWrap w:val="0"/>
            <w:vAlign w:val="center"/>
          </w:tcPr>
          <w:p w14:paraId="76653CA5">
            <w:pPr>
              <w:pStyle w:val="58"/>
              <w:bidi w:val="0"/>
              <w:rPr>
                <w:rFonts w:hint="default" w:ascii="Times New Roman" w:hAnsi="Times New Roman" w:eastAsia="宋体" w:cs="Times New Roman"/>
                <w:highlight w:val="none"/>
                <w:lang w:val="en-US" w:eastAsia="zh-CN"/>
              </w:rPr>
            </w:pPr>
            <w:r>
              <w:rPr>
                <w:rFonts w:hint="eastAsia" w:cs="Times New Roman"/>
                <w:highlight w:val="none"/>
                <w:lang w:val="en-US" w:eastAsia="zh-CN"/>
              </w:rPr>
              <w:t>0.005</w:t>
            </w:r>
          </w:p>
        </w:tc>
        <w:tc>
          <w:tcPr>
            <w:tcW w:w="4425" w:type="dxa"/>
            <w:vMerge w:val="continue"/>
            <w:noWrap w:val="0"/>
            <w:vAlign w:val="center"/>
          </w:tcPr>
          <w:p w14:paraId="72B6D8C4">
            <w:pPr>
              <w:pStyle w:val="58"/>
              <w:bidi w:val="0"/>
              <w:rPr>
                <w:rFonts w:hint="default" w:ascii="Times New Roman" w:hAnsi="Times New Roman" w:eastAsia="宋体" w:cs="Times New Roman"/>
                <w:highlight w:val="none"/>
              </w:rPr>
            </w:pPr>
          </w:p>
        </w:tc>
      </w:tr>
      <w:tr w14:paraId="77E6DC2A">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trHeight w:val="225" w:hRule="atLeast"/>
          <w:jc w:val="center"/>
        </w:trPr>
        <w:tc>
          <w:tcPr>
            <w:tcW w:w="736" w:type="dxa"/>
            <w:vMerge w:val="continue"/>
            <w:noWrap w:val="0"/>
            <w:vAlign w:val="center"/>
          </w:tcPr>
          <w:p w14:paraId="49D2070A">
            <w:pPr>
              <w:pStyle w:val="58"/>
              <w:bidi w:val="0"/>
              <w:rPr>
                <w:rFonts w:hint="default" w:ascii="Times New Roman" w:hAnsi="Times New Roman" w:eastAsia="宋体" w:cs="Times New Roman"/>
                <w:highlight w:val="none"/>
              </w:rPr>
            </w:pPr>
          </w:p>
        </w:tc>
        <w:tc>
          <w:tcPr>
            <w:tcW w:w="894" w:type="dxa"/>
            <w:tcBorders>
              <w:top w:val="single" w:color="auto" w:sz="4" w:space="0"/>
            </w:tcBorders>
            <w:noWrap w:val="0"/>
            <w:vAlign w:val="center"/>
          </w:tcPr>
          <w:p w14:paraId="5C960B11">
            <w:pPr>
              <w:pStyle w:val="58"/>
              <w:numPr>
                <w:ilvl w:val="0"/>
                <w:numId w:val="38"/>
              </w:numPr>
              <w:bidi w:val="0"/>
              <w:ind w:left="425" w:leftChars="0" w:hanging="425" w:firstLineChars="0"/>
              <w:rPr>
                <w:rFonts w:hint="eastAsia" w:ascii="Times New Roman" w:hAnsi="Times New Roman" w:eastAsia="宋体" w:cs="Times New Roman"/>
                <w:highlight w:val="none"/>
                <w:lang w:val="en-US" w:eastAsia="zh-CN"/>
              </w:rPr>
            </w:pPr>
          </w:p>
        </w:tc>
        <w:tc>
          <w:tcPr>
            <w:tcW w:w="1797" w:type="dxa"/>
            <w:tcBorders>
              <w:top w:val="single" w:color="auto" w:sz="4" w:space="0"/>
            </w:tcBorders>
            <w:noWrap w:val="0"/>
            <w:vAlign w:val="center"/>
          </w:tcPr>
          <w:p w14:paraId="2BA8D16C">
            <w:pPr>
              <w:pStyle w:val="58"/>
              <w:bidi w:val="0"/>
              <w:rPr>
                <w:rFonts w:hint="default" w:cs="Times New Roman"/>
                <w:highlight w:val="none"/>
                <w:lang w:val="en-US" w:eastAsia="zh-CN"/>
              </w:rPr>
            </w:pPr>
            <w:r>
              <w:rPr>
                <w:rFonts w:hint="eastAsia" w:cs="Times New Roman"/>
                <w:highlight w:val="none"/>
                <w:lang w:val="en-US" w:eastAsia="zh-CN"/>
              </w:rPr>
              <w:t>废UV灯管</w:t>
            </w:r>
          </w:p>
        </w:tc>
        <w:tc>
          <w:tcPr>
            <w:tcW w:w="1436" w:type="dxa"/>
            <w:tcBorders>
              <w:top w:val="single" w:color="auto" w:sz="4" w:space="0"/>
            </w:tcBorders>
            <w:noWrap w:val="0"/>
            <w:vAlign w:val="center"/>
          </w:tcPr>
          <w:p w14:paraId="4CC677E8">
            <w:pPr>
              <w:pStyle w:val="58"/>
              <w:bidi w:val="0"/>
              <w:rPr>
                <w:rFonts w:hint="default" w:cs="Times New Roman"/>
                <w:highlight w:val="none"/>
                <w:lang w:val="en-US" w:eastAsia="zh-CN"/>
              </w:rPr>
            </w:pPr>
            <w:r>
              <w:rPr>
                <w:rFonts w:hint="eastAsia" w:cs="Times New Roman"/>
                <w:highlight w:val="none"/>
                <w:lang w:val="en-US" w:eastAsia="zh-CN"/>
              </w:rPr>
              <w:t>0.009（t/3a）</w:t>
            </w:r>
          </w:p>
        </w:tc>
        <w:tc>
          <w:tcPr>
            <w:tcW w:w="4425" w:type="dxa"/>
            <w:vMerge w:val="continue"/>
            <w:noWrap w:val="0"/>
            <w:vAlign w:val="center"/>
          </w:tcPr>
          <w:p w14:paraId="0F2095D7">
            <w:pPr>
              <w:pStyle w:val="58"/>
              <w:bidi w:val="0"/>
              <w:rPr>
                <w:rFonts w:hint="default" w:ascii="Times New Roman" w:hAnsi="Times New Roman" w:eastAsia="宋体" w:cs="Times New Roman"/>
                <w:highlight w:val="none"/>
              </w:rPr>
            </w:pPr>
          </w:p>
        </w:tc>
      </w:tr>
      <w:tr w14:paraId="63021106">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jc w:val="center"/>
        </w:trPr>
        <w:tc>
          <w:tcPr>
            <w:tcW w:w="736" w:type="dxa"/>
            <w:noWrap w:val="0"/>
            <w:vAlign w:val="center"/>
          </w:tcPr>
          <w:p w14:paraId="17D0426D">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职工</w:t>
            </w:r>
          </w:p>
        </w:tc>
        <w:tc>
          <w:tcPr>
            <w:tcW w:w="894" w:type="dxa"/>
            <w:noWrap w:val="0"/>
            <w:vAlign w:val="center"/>
          </w:tcPr>
          <w:p w14:paraId="05C61F8B">
            <w:pPr>
              <w:pStyle w:val="58"/>
              <w:numPr>
                <w:ilvl w:val="0"/>
                <w:numId w:val="38"/>
              </w:numPr>
              <w:bidi w:val="0"/>
              <w:ind w:left="425" w:leftChars="0" w:hanging="425" w:firstLineChars="0"/>
              <w:rPr>
                <w:rFonts w:hint="default" w:ascii="Times New Roman" w:hAnsi="Times New Roman" w:eastAsia="宋体" w:cs="Times New Roman"/>
                <w:highlight w:val="none"/>
              </w:rPr>
            </w:pPr>
          </w:p>
        </w:tc>
        <w:tc>
          <w:tcPr>
            <w:tcW w:w="1797" w:type="dxa"/>
            <w:noWrap w:val="0"/>
            <w:vAlign w:val="center"/>
          </w:tcPr>
          <w:p w14:paraId="199A9585">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生活垃圾</w:t>
            </w:r>
          </w:p>
        </w:tc>
        <w:tc>
          <w:tcPr>
            <w:tcW w:w="1436" w:type="dxa"/>
            <w:noWrap w:val="0"/>
            <w:vAlign w:val="center"/>
          </w:tcPr>
          <w:p w14:paraId="183E17D5">
            <w:pPr>
              <w:pStyle w:val="58"/>
              <w:bidi w:val="0"/>
              <w:rPr>
                <w:rFonts w:hint="default" w:ascii="Times New Roman" w:hAnsi="Times New Roman" w:eastAsia="宋体" w:cs="Times New Roman"/>
                <w:highlight w:val="none"/>
                <w:lang w:val="en-US" w:eastAsia="zh-CN"/>
              </w:rPr>
            </w:pPr>
            <w:r>
              <w:rPr>
                <w:rFonts w:hint="eastAsia" w:cs="Times New Roman"/>
                <w:highlight w:val="none"/>
                <w:lang w:val="en-US" w:eastAsia="zh-CN"/>
              </w:rPr>
              <w:t>1</w:t>
            </w:r>
          </w:p>
        </w:tc>
        <w:tc>
          <w:tcPr>
            <w:tcW w:w="4425" w:type="dxa"/>
            <w:noWrap w:val="0"/>
            <w:vAlign w:val="center"/>
          </w:tcPr>
          <w:p w14:paraId="7921129D">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统一收集，</w:t>
            </w:r>
            <w:r>
              <w:rPr>
                <w:rFonts w:hint="eastAsia" w:cs="Times New Roman"/>
                <w:highlight w:val="none"/>
                <w:lang w:val="en-US" w:eastAsia="zh-CN"/>
              </w:rPr>
              <w:t>交由环卫部门定期清运</w:t>
            </w:r>
            <w:r>
              <w:rPr>
                <w:rFonts w:hint="default" w:ascii="Times New Roman" w:hAnsi="Times New Roman" w:eastAsia="宋体" w:cs="Times New Roman"/>
                <w:highlight w:val="none"/>
              </w:rPr>
              <w:t>。</w:t>
            </w:r>
          </w:p>
        </w:tc>
      </w:tr>
      <w:tr w14:paraId="09DFCC3F">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108" w:type="dxa"/>
            <w:bottom w:w="0" w:type="dxa"/>
            <w:right w:w="108" w:type="dxa"/>
          </w:tblCellMar>
        </w:tblPrEx>
        <w:trPr>
          <w:jc w:val="center"/>
        </w:trPr>
        <w:tc>
          <w:tcPr>
            <w:tcW w:w="1630" w:type="dxa"/>
            <w:gridSpan w:val="2"/>
            <w:noWrap w:val="0"/>
            <w:vAlign w:val="center"/>
          </w:tcPr>
          <w:p w14:paraId="4F241BD9">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合计</w:t>
            </w:r>
          </w:p>
        </w:tc>
        <w:tc>
          <w:tcPr>
            <w:tcW w:w="1797" w:type="dxa"/>
            <w:noWrap w:val="0"/>
            <w:vAlign w:val="center"/>
          </w:tcPr>
          <w:p w14:paraId="2BC80313">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w:t>
            </w:r>
          </w:p>
        </w:tc>
        <w:tc>
          <w:tcPr>
            <w:tcW w:w="1436" w:type="dxa"/>
            <w:noWrap w:val="0"/>
            <w:vAlign w:val="center"/>
          </w:tcPr>
          <w:p w14:paraId="49BF2FE1">
            <w:pPr>
              <w:pStyle w:val="58"/>
              <w:bidi w:val="0"/>
              <w:rPr>
                <w:rFonts w:hint="default" w:ascii="Times New Roman" w:hAnsi="Times New Roman" w:eastAsia="宋体" w:cs="Times New Roman"/>
                <w:highlight w:val="none"/>
                <w:lang w:val="en-US" w:eastAsia="zh-CN"/>
              </w:rPr>
            </w:pPr>
            <w:r>
              <w:rPr>
                <w:rFonts w:hint="eastAsia" w:cs="Times New Roman"/>
                <w:highlight w:val="none"/>
                <w:lang w:val="en-US" w:eastAsia="zh-CN"/>
              </w:rPr>
              <w:t>10.493</w:t>
            </w:r>
          </w:p>
        </w:tc>
        <w:tc>
          <w:tcPr>
            <w:tcW w:w="4425" w:type="dxa"/>
            <w:noWrap w:val="0"/>
            <w:vAlign w:val="center"/>
          </w:tcPr>
          <w:p w14:paraId="7F7B6066">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rPr>
              <w:t>--</w:t>
            </w:r>
          </w:p>
        </w:tc>
      </w:tr>
    </w:tbl>
    <w:p w14:paraId="2DF66CD7">
      <w:pPr>
        <w:bidi w:val="0"/>
        <w:rPr>
          <w:rFonts w:hint="default"/>
          <w:highlight w:val="none"/>
          <w:lang w:val="en-US"/>
        </w:rPr>
      </w:pPr>
      <w:r>
        <w:rPr>
          <w:rFonts w:hint="default"/>
          <w:highlight w:val="none"/>
        </w:rPr>
        <w:t>（5）</w:t>
      </w:r>
      <w:r>
        <w:rPr>
          <w:rFonts w:hint="eastAsia"/>
          <w:highlight w:val="none"/>
          <w:lang w:val="en-US" w:eastAsia="zh-CN"/>
        </w:rPr>
        <w:t>其他措施</w:t>
      </w:r>
    </w:p>
    <w:p w14:paraId="0BE0F1E8">
      <w:pPr>
        <w:bidi w:val="0"/>
        <w:rPr>
          <w:rFonts w:hint="default"/>
          <w:highlight w:val="none"/>
        </w:rPr>
      </w:pPr>
      <w:r>
        <w:rPr>
          <w:rFonts w:hint="default"/>
          <w:highlight w:val="none"/>
        </w:rPr>
        <w:t>由于格栅废渣中含有大量水分，如果在厂区堆放不当会对环境产生二次污染。建议厂内设置堆放容器，以进一步沥出部分水份。沥出的污水返回污水处理系统进行处理，堆放的废弃物与</w:t>
      </w:r>
      <w:r>
        <w:rPr>
          <w:rFonts w:hint="eastAsia"/>
          <w:highlight w:val="none"/>
          <w:lang w:val="en-US" w:eastAsia="zh-CN"/>
        </w:rPr>
        <w:t>污泥</w:t>
      </w:r>
      <w:r>
        <w:rPr>
          <w:rFonts w:hint="default"/>
          <w:highlight w:val="none"/>
        </w:rPr>
        <w:t>一同及时运至场外进行处理处置。</w:t>
      </w:r>
    </w:p>
    <w:p w14:paraId="4D7B16A6">
      <w:pPr>
        <w:bidi w:val="0"/>
        <w:rPr>
          <w:rFonts w:hint="default"/>
          <w:highlight w:val="none"/>
        </w:rPr>
      </w:pPr>
      <w:r>
        <w:rPr>
          <w:rFonts w:hint="default"/>
          <w:highlight w:val="none"/>
        </w:rPr>
        <w:t>加强管理，污泥在运输过程中应注意防渗漏、防散落，运输车辆不宜装载过满，应注意遮盖，防止污泥散落影响道路卫生及周围环境。运输过程中应采用密闭车辆的方式，按规定时间和行驶路线运输，进行全过程监控和管理，防止因暴露、洒落或滴漏造成的环境二次污染，杜绝随意倾倒、偷排污泥。储泥池周围应设置防护林绿化带，以降低恶臭对周围环境的影响。</w:t>
      </w:r>
    </w:p>
    <w:p w14:paraId="1958E5BB">
      <w:pPr>
        <w:bidi w:val="0"/>
        <w:rPr>
          <w:rFonts w:hint="default"/>
          <w:highlight w:val="none"/>
        </w:rPr>
      </w:pPr>
      <w:r>
        <w:rPr>
          <w:rFonts w:hint="default"/>
          <w:highlight w:val="none"/>
        </w:rPr>
        <w:t>污水处理厂的污泥在运输过程中有可能泄漏，并引起臭味散逸，对运输沿线的环境带来一定的影响。因此，污泥应采用专用封闭运输车，按规定时间和行驶路线运输，在运输过程中应注意防渗漏、防散落，运输车辆不宜装载过满，应注意遮盖，防止污泥散落影响道路卫生及周围环境。污泥外运利用过程必须符合环保有关要求，以防二次污染。采取上述措施后，污泥运输对周围环境影响较小。</w:t>
      </w:r>
    </w:p>
    <w:p w14:paraId="114F8EBB">
      <w:pPr>
        <w:pStyle w:val="6"/>
        <w:pageBreakBefore w:val="0"/>
        <w:widowControl w:val="0"/>
        <w:kinsoku/>
        <w:wordWrap/>
        <w:overflowPunct/>
        <w:topLinePunct w:val="0"/>
        <w:autoSpaceDE/>
        <w:autoSpaceDN/>
        <w:bidi w:val="0"/>
        <w:adjustRightInd/>
        <w:snapToGrid/>
        <w:spacing w:before="0" w:beforeLines="0" w:after="0" w:afterLines="0"/>
        <w:textAlignment w:val="auto"/>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5.2.6</w:t>
      </w:r>
      <w:r>
        <w:rPr>
          <w:rFonts w:hint="default" w:ascii="Times New Roman" w:hAnsi="Times New Roman" w:eastAsia="宋体" w:cs="Times New Roman"/>
          <w:color w:val="000000" w:themeColor="text1"/>
          <w:highlight w:val="none"/>
          <w14:textFill>
            <w14:solidFill>
              <w14:schemeClr w14:val="tx1"/>
            </w14:solidFill>
          </w14:textFill>
        </w:rPr>
        <w:t>生态环境影响分析</w:t>
      </w:r>
      <w:bookmarkEnd w:id="329"/>
      <w:bookmarkEnd w:id="330"/>
      <w:bookmarkEnd w:id="331"/>
    </w:p>
    <w:p w14:paraId="53ADBD56">
      <w:pPr>
        <w:spacing w:line="480" w:lineRule="exact"/>
        <w:ind w:firstLine="480" w:firstLineChars="200"/>
        <w:rPr>
          <w:rFonts w:hint="default" w:ascii="Times New Roman" w:hAnsi="Times New Roman" w:eastAsia="宋体" w:cs="Times New Roman"/>
          <w:color w:val="000000" w:themeColor="text1"/>
          <w:kern w:val="0"/>
          <w:sz w:val="24"/>
          <w:szCs w:val="20"/>
          <w:highlight w:val="none"/>
          <w14:textFill>
            <w14:solidFill>
              <w14:schemeClr w14:val="tx1"/>
            </w14:solidFill>
          </w14:textFill>
        </w:rPr>
      </w:pPr>
      <w:r>
        <w:rPr>
          <w:rFonts w:hint="eastAsia" w:cs="Times New Roman"/>
          <w:color w:val="000000" w:themeColor="text1"/>
          <w:kern w:val="0"/>
          <w:sz w:val="24"/>
          <w:szCs w:val="20"/>
          <w:highlight w:val="none"/>
          <w:lang w:eastAsia="zh-CN"/>
          <w14:textFill>
            <w14:solidFill>
              <w14:schemeClr w14:val="tx1"/>
            </w14:solidFill>
          </w14:textFill>
        </w:rPr>
        <w:t>（</w:t>
      </w:r>
      <w:r>
        <w:rPr>
          <w:rFonts w:hint="eastAsia" w:cs="Times New Roman"/>
          <w:color w:val="000000" w:themeColor="text1"/>
          <w:kern w:val="0"/>
          <w:sz w:val="24"/>
          <w:szCs w:val="20"/>
          <w:highlight w:val="none"/>
          <w:lang w:val="en-US" w:eastAsia="zh-CN"/>
          <w14:textFill>
            <w14:solidFill>
              <w14:schemeClr w14:val="tx1"/>
            </w14:solidFill>
          </w14:textFill>
        </w:rPr>
        <w:t>1</w:t>
      </w:r>
      <w:r>
        <w:rPr>
          <w:rFonts w:hint="eastAsia" w:cs="Times New Roman"/>
          <w:color w:val="000000" w:themeColor="text1"/>
          <w:kern w:val="0"/>
          <w:sz w:val="24"/>
          <w:szCs w:val="20"/>
          <w:highlight w:val="none"/>
          <w:lang w:eastAsia="zh-CN"/>
          <w14:textFill>
            <w14:solidFill>
              <w14:schemeClr w14:val="tx1"/>
            </w14:solidFill>
          </w14:textFill>
        </w:rPr>
        <w:t>）</w:t>
      </w:r>
      <w:r>
        <w:rPr>
          <w:rFonts w:hint="default" w:ascii="Times New Roman" w:hAnsi="Times New Roman" w:eastAsia="宋体" w:cs="Times New Roman"/>
          <w:color w:val="000000" w:themeColor="text1"/>
          <w:kern w:val="0"/>
          <w:sz w:val="24"/>
          <w:szCs w:val="20"/>
          <w:highlight w:val="none"/>
          <w14:textFill>
            <w14:solidFill>
              <w14:schemeClr w14:val="tx1"/>
            </w14:solidFill>
          </w14:textFill>
        </w:rPr>
        <w:t>项目建设对土地利用的影响</w:t>
      </w:r>
    </w:p>
    <w:p w14:paraId="2ACC9330">
      <w:pPr>
        <w:spacing w:line="480" w:lineRule="exact"/>
        <w:ind w:firstLine="480" w:firstLineChars="200"/>
        <w:rPr>
          <w:rFonts w:hint="default" w:ascii="Times New Roman" w:hAnsi="Times New Roman" w:eastAsia="宋体" w:cs="Times New Roman"/>
          <w:color w:val="000000" w:themeColor="text1"/>
          <w:kern w:val="0"/>
          <w:sz w:val="24"/>
          <w:szCs w:val="20"/>
          <w:highlight w:val="none"/>
          <w14:textFill>
            <w14:solidFill>
              <w14:schemeClr w14:val="tx1"/>
            </w14:solidFill>
          </w14:textFill>
        </w:rPr>
      </w:pPr>
      <w:r>
        <w:rPr>
          <w:rFonts w:hint="default" w:ascii="Times New Roman" w:hAnsi="Times New Roman" w:eastAsia="宋体" w:cs="Times New Roman"/>
          <w:color w:val="000000" w:themeColor="text1"/>
          <w:kern w:val="0"/>
          <w:sz w:val="24"/>
          <w:szCs w:val="20"/>
          <w:highlight w:val="none"/>
          <w14:textFill>
            <w14:solidFill>
              <w14:schemeClr w14:val="tx1"/>
            </w14:solidFill>
          </w14:textFill>
        </w:rPr>
        <w:t>拟建项目占地不涉及耕地、林地等，对区域土地利用格局影响较小，不会导致区域土地利用格局产生明显变化，不会对区域生态功能产生明显影响。随着项目的实施，未利用地将重新利用，有利于发挥更大的土地利用效益。</w:t>
      </w:r>
    </w:p>
    <w:p w14:paraId="1A7EBE6D">
      <w:pPr>
        <w:spacing w:line="480" w:lineRule="exact"/>
        <w:ind w:firstLine="480" w:firstLineChars="200"/>
        <w:rPr>
          <w:rFonts w:hint="default" w:ascii="Times New Roman" w:hAnsi="Times New Roman" w:eastAsia="宋体" w:cs="Times New Roman"/>
          <w:color w:val="000000" w:themeColor="text1"/>
          <w:kern w:val="0"/>
          <w:sz w:val="24"/>
          <w:szCs w:val="20"/>
          <w:highlight w:val="none"/>
          <w14:textFill>
            <w14:solidFill>
              <w14:schemeClr w14:val="tx1"/>
            </w14:solidFill>
          </w14:textFill>
        </w:rPr>
      </w:pPr>
      <w:r>
        <w:rPr>
          <w:rFonts w:hint="default" w:ascii="Times New Roman" w:hAnsi="Times New Roman" w:eastAsia="宋体" w:cs="Times New Roman"/>
          <w:color w:val="000000" w:themeColor="text1"/>
          <w:kern w:val="0"/>
          <w:sz w:val="24"/>
          <w:szCs w:val="20"/>
          <w:highlight w:val="none"/>
          <w14:textFill>
            <w14:solidFill>
              <w14:schemeClr w14:val="tx1"/>
            </w14:solidFill>
          </w14:textFill>
        </w:rPr>
        <w:t>（</w:t>
      </w:r>
      <w:r>
        <w:rPr>
          <w:rFonts w:hint="eastAsia" w:cs="Times New Roman"/>
          <w:color w:val="000000" w:themeColor="text1"/>
          <w:kern w:val="0"/>
          <w:sz w:val="24"/>
          <w:szCs w:val="20"/>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kern w:val="0"/>
          <w:sz w:val="24"/>
          <w:szCs w:val="20"/>
          <w:highlight w:val="none"/>
          <w14:textFill>
            <w14:solidFill>
              <w14:schemeClr w14:val="tx1"/>
            </w14:solidFill>
          </w14:textFill>
        </w:rPr>
        <w:t>）项目建设对动物的影响</w:t>
      </w:r>
    </w:p>
    <w:p w14:paraId="21BEFAAB">
      <w:pPr>
        <w:spacing w:line="480" w:lineRule="exact"/>
        <w:ind w:firstLine="480" w:firstLineChars="200"/>
        <w:rPr>
          <w:rFonts w:hint="default" w:ascii="Times New Roman" w:hAnsi="Times New Roman" w:eastAsia="宋体" w:cs="Times New Roman"/>
          <w:color w:val="000000" w:themeColor="text1"/>
          <w:kern w:val="0"/>
          <w:sz w:val="24"/>
          <w:szCs w:val="20"/>
          <w:highlight w:val="none"/>
          <w14:textFill>
            <w14:solidFill>
              <w14:schemeClr w14:val="tx1"/>
            </w14:solidFill>
          </w14:textFill>
        </w:rPr>
      </w:pPr>
      <w:r>
        <w:rPr>
          <w:rFonts w:hint="default" w:ascii="Times New Roman" w:hAnsi="Times New Roman" w:eastAsia="宋体" w:cs="Times New Roman"/>
          <w:color w:val="000000" w:themeColor="text1"/>
          <w:kern w:val="0"/>
          <w:sz w:val="24"/>
          <w:szCs w:val="20"/>
          <w:highlight w:val="none"/>
          <w14:textFill>
            <w14:solidFill>
              <w14:schemeClr w14:val="tx1"/>
            </w14:solidFill>
          </w14:textFill>
        </w:rPr>
        <w:t>项目厂址所在区域内无大、中型的野生动物存在，也无珍稀、濒危动物种类存在。区域内的野生动物主要是常见的一些小型野生动物，如鼠、刺猬、喜鹊、麻雀和各种昆虫等。这些野生动物均为一般广布种，不属于珍稀、濒危物种，根据现有项目建设和运行情况来看，未对区域内野生动物的生存环境、栖息地连通性产生明显不利影响。</w:t>
      </w:r>
    </w:p>
    <w:p w14:paraId="0EE6CB7D">
      <w:pPr>
        <w:spacing w:line="480" w:lineRule="exact"/>
        <w:ind w:firstLine="480" w:firstLineChars="200"/>
        <w:rPr>
          <w:rFonts w:hint="default" w:ascii="Times New Roman" w:hAnsi="Times New Roman" w:eastAsia="宋体" w:cs="Times New Roman"/>
          <w:color w:val="000000" w:themeColor="text1"/>
          <w:kern w:val="0"/>
          <w:sz w:val="24"/>
          <w:szCs w:val="20"/>
          <w:highlight w:val="none"/>
          <w14:textFill>
            <w14:solidFill>
              <w14:schemeClr w14:val="tx1"/>
            </w14:solidFill>
          </w14:textFill>
        </w:rPr>
      </w:pPr>
      <w:r>
        <w:rPr>
          <w:rFonts w:hint="eastAsia" w:cs="Times New Roman"/>
          <w:color w:val="000000" w:themeColor="text1"/>
          <w:kern w:val="0"/>
          <w:sz w:val="24"/>
          <w:szCs w:val="20"/>
          <w:highlight w:val="none"/>
          <w:lang w:eastAsia="zh-CN"/>
          <w14:textFill>
            <w14:solidFill>
              <w14:schemeClr w14:val="tx1"/>
            </w14:solidFill>
          </w14:textFill>
        </w:rPr>
        <w:t>（</w:t>
      </w:r>
      <w:r>
        <w:rPr>
          <w:rFonts w:hint="eastAsia" w:cs="Times New Roman"/>
          <w:color w:val="000000" w:themeColor="text1"/>
          <w:kern w:val="0"/>
          <w:sz w:val="24"/>
          <w:szCs w:val="20"/>
          <w:highlight w:val="none"/>
          <w:lang w:val="en-US" w:eastAsia="zh-CN"/>
          <w14:textFill>
            <w14:solidFill>
              <w14:schemeClr w14:val="tx1"/>
            </w14:solidFill>
          </w14:textFill>
        </w:rPr>
        <w:t>3</w:t>
      </w:r>
      <w:r>
        <w:rPr>
          <w:rFonts w:hint="eastAsia" w:cs="Times New Roman"/>
          <w:color w:val="000000" w:themeColor="text1"/>
          <w:kern w:val="0"/>
          <w:sz w:val="24"/>
          <w:szCs w:val="20"/>
          <w:highlight w:val="none"/>
          <w:lang w:eastAsia="zh-CN"/>
          <w14:textFill>
            <w14:solidFill>
              <w14:schemeClr w14:val="tx1"/>
            </w14:solidFill>
          </w14:textFill>
        </w:rPr>
        <w:t>）</w:t>
      </w:r>
      <w:r>
        <w:rPr>
          <w:rFonts w:hint="default" w:ascii="Times New Roman" w:hAnsi="Times New Roman" w:eastAsia="宋体" w:cs="Times New Roman"/>
          <w:color w:val="000000" w:themeColor="text1"/>
          <w:kern w:val="0"/>
          <w:sz w:val="24"/>
          <w:szCs w:val="20"/>
          <w:highlight w:val="none"/>
          <w14:textFill>
            <w14:solidFill>
              <w14:schemeClr w14:val="tx1"/>
            </w14:solidFill>
          </w14:textFill>
        </w:rPr>
        <w:t>区域环境功能影响分析</w:t>
      </w:r>
    </w:p>
    <w:p w14:paraId="71A8A379">
      <w:pPr>
        <w:spacing w:line="480" w:lineRule="exact"/>
        <w:ind w:firstLine="480" w:firstLineChars="200"/>
        <w:rPr>
          <w:rFonts w:hint="default" w:ascii="Times New Roman" w:hAnsi="Times New Roman" w:eastAsia="宋体" w:cs="Times New Roman"/>
          <w:color w:val="000000" w:themeColor="text1"/>
          <w:kern w:val="0"/>
          <w:sz w:val="24"/>
          <w:szCs w:val="20"/>
          <w:highlight w:val="none"/>
          <w14:textFill>
            <w14:solidFill>
              <w14:schemeClr w14:val="tx1"/>
            </w14:solidFill>
          </w14:textFill>
        </w:rPr>
      </w:pPr>
      <w:r>
        <w:rPr>
          <w:rFonts w:hint="default" w:ascii="Times New Roman" w:hAnsi="Times New Roman" w:eastAsia="宋体" w:cs="Times New Roman"/>
          <w:color w:val="000000" w:themeColor="text1"/>
          <w:kern w:val="0"/>
          <w:sz w:val="24"/>
          <w:szCs w:val="20"/>
          <w:highlight w:val="none"/>
          <w14:textFill>
            <w14:solidFill>
              <w14:schemeClr w14:val="tx1"/>
            </w14:solidFill>
          </w14:textFill>
        </w:rPr>
        <w:t>生态环境类型由半人工生态系统变为人工生态系统，由未开发利用地变为工业生产区，进行厂区绿化后，植被覆盖率得到恢复和提高，且乔、灌、草搭配协调，物种多样性有所增加，各项环境功能也均较项目建设前有所提高。</w:t>
      </w:r>
    </w:p>
    <w:p w14:paraId="265784F6">
      <w:pPr>
        <w:spacing w:line="480" w:lineRule="exact"/>
        <w:ind w:firstLine="480" w:firstLineChars="200"/>
        <w:rPr>
          <w:rFonts w:hint="default" w:ascii="Times New Roman" w:hAnsi="Times New Roman" w:eastAsia="宋体" w:cs="Times New Roman"/>
          <w:color w:val="000000" w:themeColor="text1"/>
          <w:kern w:val="0"/>
          <w:sz w:val="24"/>
          <w:szCs w:val="20"/>
          <w:highlight w:val="none"/>
          <w14:textFill>
            <w14:solidFill>
              <w14:schemeClr w14:val="tx1"/>
            </w14:solidFill>
          </w14:textFill>
        </w:rPr>
      </w:pPr>
      <w:r>
        <w:rPr>
          <w:rFonts w:hint="default" w:ascii="Times New Roman" w:hAnsi="Times New Roman" w:eastAsia="宋体" w:cs="Times New Roman"/>
          <w:color w:val="000000" w:themeColor="text1"/>
          <w:kern w:val="0"/>
          <w:sz w:val="24"/>
          <w:szCs w:val="20"/>
          <w:highlight w:val="none"/>
          <w14:textFill>
            <w14:solidFill>
              <w14:schemeClr w14:val="tx1"/>
            </w14:solidFill>
          </w14:textFill>
        </w:rPr>
        <w:t>因此，拟建项目对周围生态环境影响较小。</w:t>
      </w:r>
    </w:p>
    <w:p w14:paraId="6C777F8E">
      <w:pPr>
        <w:spacing w:line="480" w:lineRule="exact"/>
        <w:ind w:firstLine="480" w:firstLineChars="200"/>
        <w:rPr>
          <w:rFonts w:hint="default" w:ascii="Times New Roman" w:hAnsi="Times New Roman" w:eastAsia="宋体" w:cs="Times New Roman"/>
          <w:color w:val="000000" w:themeColor="text1"/>
          <w:kern w:val="0"/>
          <w:sz w:val="24"/>
          <w:szCs w:val="20"/>
          <w:highlight w:val="none"/>
          <w14:textFill>
            <w14:solidFill>
              <w14:schemeClr w14:val="tx1"/>
            </w14:solidFill>
          </w14:textFill>
        </w:rPr>
      </w:pPr>
      <w:r>
        <w:rPr>
          <w:rFonts w:hint="default" w:ascii="Times New Roman" w:hAnsi="Times New Roman" w:eastAsia="宋体" w:cs="Times New Roman"/>
          <w:color w:val="000000" w:themeColor="text1"/>
          <w:kern w:val="0"/>
          <w:sz w:val="24"/>
          <w:szCs w:val="20"/>
          <w:highlight w:val="none"/>
          <w14:textFill>
            <w14:solidFill>
              <w14:schemeClr w14:val="tx1"/>
            </w14:solidFill>
          </w14:textFill>
        </w:rPr>
        <w:t>⑶生态环境影响评价自查表</w:t>
      </w:r>
    </w:p>
    <w:p w14:paraId="612EC1E3">
      <w:pPr>
        <w:spacing w:line="480" w:lineRule="exact"/>
        <w:ind w:firstLine="480" w:firstLineChars="200"/>
        <w:rPr>
          <w:rFonts w:hint="default" w:ascii="Times New Roman" w:hAnsi="Times New Roman" w:eastAsia="宋体" w:cs="Times New Roman"/>
          <w:color w:val="000000" w:themeColor="text1"/>
          <w:kern w:val="0"/>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4"/>
          <w:szCs w:val="20"/>
          <w:highlight w:val="none"/>
          <w14:textFill>
            <w14:solidFill>
              <w14:schemeClr w14:val="tx1"/>
            </w14:solidFill>
          </w14:textFill>
        </w:rPr>
        <w:t>本项目生态环境影响评价自查表见附表6。</w:t>
      </w:r>
    </w:p>
    <w:p w14:paraId="794722D5">
      <w:pPr>
        <w:pStyle w:val="6"/>
        <w:keepNext/>
        <w:keepLines/>
        <w:pageBreakBefore w:val="0"/>
        <w:widowControl w:val="0"/>
        <w:kinsoku/>
        <w:wordWrap/>
        <w:overflowPunct/>
        <w:topLinePunct w:val="0"/>
        <w:autoSpaceDE/>
        <w:autoSpaceDN/>
        <w:bidi w:val="0"/>
        <w:adjustRightInd/>
        <w:snapToGrid/>
        <w:spacing w:before="0" w:beforeLines="0" w:after="0" w:afterLines="0"/>
        <w:textAlignment w:val="auto"/>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w:t>
      </w:r>
      <w:r>
        <w:rPr>
          <w:rFonts w:hint="default" w:ascii="Times New Roman" w:hAnsi="Times New Roman" w:eastAsia="宋体" w:cs="Times New Roman"/>
          <w:color w:val="000000" w:themeColor="text1"/>
          <w:highlight w:val="none"/>
          <w14:textFill>
            <w14:solidFill>
              <w14:schemeClr w14:val="tx1"/>
            </w14:solidFill>
          </w14:textFill>
        </w:rPr>
        <w:t>.7环境风险影响分析</w:t>
      </w:r>
    </w:p>
    <w:p w14:paraId="49A50966">
      <w:pPr>
        <w:pageBreakBefore w:val="0"/>
        <w:widowControl w:val="0"/>
        <w:kinsoku/>
        <w:wordWrap/>
        <w:overflowPunct/>
        <w:topLinePunct w:val="0"/>
        <w:autoSpaceDE/>
        <w:autoSpaceDN/>
        <w:bidi w:val="0"/>
        <w:adjustRightInd/>
        <w:snapToGrid/>
        <w:spacing w:line="480" w:lineRule="exact"/>
        <w:ind w:firstLine="480" w:firstLineChars="200"/>
        <w:jc w:val="both"/>
        <w:textAlignment w:val="auto"/>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pPr>
      <w:bookmarkStart w:id="332" w:name="_Toc390963179"/>
      <w:bookmarkStart w:id="333" w:name="_Toc240589715"/>
      <w:bookmarkStart w:id="334" w:name="_Toc240271648"/>
      <w:r>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t>环境风险评价是分析和预测建设项目对环境存在的潜在危险、有害因素，针对建设项目建设和运行期间可能发生的突发性事件或事故，引起有毒有害和易燃易爆等物质泄漏所造成的对环境影响和损害程度，提出合理可行的防范、应急与减缓措施，以使建设项目事故率、事故损失和事故造成的环境影响达到可接受水平。</w:t>
      </w:r>
    </w:p>
    <w:p w14:paraId="29E7B8B1">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highlight w:val="none"/>
          <w:lang w:val="en-US" w:eastAsia="zh-CN"/>
          <w14:textFill>
            <w14:solidFill>
              <w14:schemeClr w14:val="tx1"/>
            </w14:solidFill>
          </w14:textFill>
        </w:rPr>
      </w:pPr>
      <w:bookmarkStart w:id="335" w:name="_Toc8654865"/>
      <w:bookmarkStart w:id="336" w:name="_Toc3324"/>
      <w:bookmarkStart w:id="337" w:name="_Toc11173568"/>
      <w:bookmarkStart w:id="338" w:name="_Toc48481769"/>
      <w:r>
        <w:rPr>
          <w:rFonts w:hint="default" w:ascii="Times New Roman" w:hAnsi="Times New Roman" w:eastAsia="宋体" w:cs="Times New Roman"/>
          <w:color w:val="000000" w:themeColor="text1"/>
          <w:highlight w:val="none"/>
          <w:lang w:val="en-US" w:eastAsia="zh-CN"/>
          <w14:textFill>
            <w14:solidFill>
              <w14:schemeClr w14:val="tx1"/>
            </w14:solidFill>
          </w14:textFill>
        </w:rPr>
        <w:t>5.2.7.1风险调查</w:t>
      </w:r>
      <w:bookmarkEnd w:id="335"/>
      <w:bookmarkEnd w:id="336"/>
      <w:bookmarkEnd w:id="337"/>
      <w:r>
        <w:rPr>
          <w:rFonts w:hint="default" w:ascii="Times New Roman" w:hAnsi="Times New Roman" w:eastAsia="宋体" w:cs="Times New Roman"/>
          <w:color w:val="000000" w:themeColor="text1"/>
          <w:highlight w:val="none"/>
          <w:lang w:val="en-US" w:eastAsia="zh-CN"/>
          <w14:textFill>
            <w14:solidFill>
              <w14:schemeClr w14:val="tx1"/>
            </w14:solidFill>
          </w14:textFill>
        </w:rPr>
        <w:t>与识别</w:t>
      </w:r>
      <w:bookmarkEnd w:id="338"/>
    </w:p>
    <w:p w14:paraId="2DADE075">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pPr>
      <w:r>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t>根据导则规定，风险识别包括物质危险性识别、生产系统危险性识别、危险物质向环境转移的途径识别等。</w:t>
      </w:r>
    </w:p>
    <w:p w14:paraId="621BD4CF">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b/>
          <w:bCs/>
          <w:color w:val="000000"/>
          <w:szCs w:val="24"/>
        </w:rPr>
      </w:pPr>
      <w:r>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t>（</w:t>
      </w:r>
      <w:r>
        <w:rPr>
          <w:rFonts w:hint="default" w:ascii="Times New Roman" w:hAnsi="Times New Roman" w:eastAsia="宋体" w:cs="Times New Roman"/>
          <w:color w:val="000000" w:themeColor="text1"/>
          <w:kern w:val="0"/>
          <w:sz w:val="24"/>
          <w:szCs w:val="20"/>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t>）</w:t>
      </w:r>
      <w:r>
        <w:rPr>
          <w:rFonts w:hint="default" w:ascii="Times New Roman" w:hAnsi="Times New Roman" w:eastAsia="宋体" w:cs="Times New Roman"/>
          <w:color w:val="000000"/>
          <w:sz w:val="24"/>
          <w:szCs w:val="24"/>
        </w:rPr>
        <w:t>物质危险识别</w:t>
      </w:r>
    </w:p>
    <w:p w14:paraId="3BE217DD">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spacing w:val="-1"/>
          <w:sz w:val="24"/>
          <w:szCs w:val="24"/>
        </w:rPr>
      </w:pPr>
      <w:r>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t>项目涉及到的危险性物质主要有次氯酸钠、硫酸、重铬酸钾、纳氏试剂(含汞）、润滑油、废润滑油、液压油、废液压油、废油桶、在线监测废液、</w:t>
      </w:r>
      <w:r>
        <w:rPr>
          <w:rFonts w:hint="eastAsia" w:cs="Times New Roman"/>
          <w:color w:val="000000" w:themeColor="text1"/>
          <w:kern w:val="0"/>
          <w:sz w:val="24"/>
          <w:szCs w:val="20"/>
          <w:highlight w:val="none"/>
          <w:lang w:val="zh-CN"/>
          <w14:textFill>
            <w14:solidFill>
              <w14:schemeClr w14:val="tx1"/>
            </w14:solidFill>
          </w14:textFill>
        </w:rPr>
        <w:t>实验室</w:t>
      </w:r>
      <w:r>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t>废液和废试剂瓶等，在贮存及运输过程中均存在一定危险有害性。</w:t>
      </w:r>
      <w:r>
        <w:rPr>
          <w:rFonts w:hint="default" w:ascii="Times New Roman" w:hAnsi="Times New Roman" w:eastAsia="宋体" w:cs="Times New Roman"/>
          <w:spacing w:val="-3"/>
          <w:sz w:val="24"/>
          <w:szCs w:val="24"/>
        </w:rPr>
        <w:t>本项目为扩建项目，与现有项目无明显界线，且</w:t>
      </w:r>
      <w:r>
        <w:rPr>
          <w:rFonts w:hint="eastAsia" w:cs="Times New Roman"/>
          <w:spacing w:val="-3"/>
          <w:sz w:val="24"/>
          <w:szCs w:val="24"/>
          <w:lang w:eastAsia="zh-CN"/>
        </w:rPr>
        <w:t>实验室</w:t>
      </w:r>
      <w:r>
        <w:rPr>
          <w:rFonts w:hint="default" w:ascii="Times New Roman" w:hAnsi="Times New Roman" w:eastAsia="宋体" w:cs="Times New Roman"/>
          <w:spacing w:val="-3"/>
          <w:sz w:val="24"/>
          <w:szCs w:val="24"/>
        </w:rPr>
        <w:t>、危废间等设施为共用，属于同一风险单元，因此风险物质的存在量以本项目建成后全厂总量计算，本项目运行后</w:t>
      </w:r>
      <w:r>
        <w:rPr>
          <w:rFonts w:hint="default" w:ascii="Times New Roman" w:hAnsi="Times New Roman" w:eastAsia="宋体" w:cs="Times New Roman"/>
          <w:spacing w:val="-1"/>
          <w:sz w:val="24"/>
          <w:szCs w:val="24"/>
        </w:rPr>
        <w:t>所涉及的风险物质储存情况见下表所示。</w:t>
      </w:r>
    </w:p>
    <w:p w14:paraId="00DBFD4A">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本项目所涉及的风险物质储存情况</w:t>
      </w:r>
    </w:p>
    <w:p w14:paraId="64933C44">
      <w:pPr>
        <w:spacing w:line="16" w:lineRule="exact"/>
        <w:rPr>
          <w:rFonts w:hint="default" w:ascii="Times New Roman" w:hAnsi="Times New Roman" w:eastAsia="宋体" w:cs="Times New Roman"/>
        </w:rPr>
      </w:pPr>
    </w:p>
    <w:tbl>
      <w:tblPr>
        <w:tblStyle w:val="88"/>
        <w:tblW w:w="5010"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487"/>
        <w:gridCol w:w="427"/>
        <w:gridCol w:w="1365"/>
        <w:gridCol w:w="1363"/>
        <w:gridCol w:w="1513"/>
        <w:gridCol w:w="1797"/>
        <w:gridCol w:w="661"/>
        <w:gridCol w:w="1503"/>
      </w:tblGrid>
      <w:tr w14:paraId="07827B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7" w:hRule="atLeast"/>
        </w:trPr>
        <w:tc>
          <w:tcPr>
            <w:tcW w:w="501" w:type="pct"/>
            <w:gridSpan w:val="2"/>
            <w:tcBorders>
              <w:top w:val="single" w:color="000000" w:sz="10" w:space="0"/>
              <w:left w:val="single" w:color="000000" w:sz="10" w:space="0"/>
            </w:tcBorders>
            <w:vAlign w:val="center"/>
          </w:tcPr>
          <w:p w14:paraId="37729634">
            <w:pPr>
              <w:pStyle w:val="58"/>
              <w:bidi w:val="0"/>
              <w:rPr>
                <w:rFonts w:hint="default"/>
                <w:highlight w:val="none"/>
              </w:rPr>
            </w:pPr>
            <w:r>
              <w:rPr>
                <w:rFonts w:hint="default"/>
                <w:highlight w:val="none"/>
              </w:rPr>
              <w:t>序号</w:t>
            </w:r>
          </w:p>
        </w:tc>
        <w:tc>
          <w:tcPr>
            <w:tcW w:w="748" w:type="pct"/>
            <w:tcBorders>
              <w:top w:val="single" w:color="000000" w:sz="10" w:space="0"/>
            </w:tcBorders>
            <w:vAlign w:val="center"/>
          </w:tcPr>
          <w:p w14:paraId="0AD84E80">
            <w:pPr>
              <w:pStyle w:val="58"/>
              <w:bidi w:val="0"/>
              <w:rPr>
                <w:rFonts w:hint="default"/>
                <w:highlight w:val="none"/>
              </w:rPr>
            </w:pPr>
            <w:r>
              <w:rPr>
                <w:rFonts w:hint="default"/>
                <w:highlight w:val="none"/>
              </w:rPr>
              <w:t>物料名称</w:t>
            </w:r>
          </w:p>
        </w:tc>
        <w:tc>
          <w:tcPr>
            <w:tcW w:w="747" w:type="pct"/>
            <w:tcBorders>
              <w:top w:val="single" w:color="000000" w:sz="10" w:space="0"/>
            </w:tcBorders>
            <w:vAlign w:val="center"/>
          </w:tcPr>
          <w:p w14:paraId="3E081D6D">
            <w:pPr>
              <w:pStyle w:val="58"/>
              <w:bidi w:val="0"/>
              <w:rPr>
                <w:rFonts w:hint="default"/>
                <w:highlight w:val="none"/>
              </w:rPr>
            </w:pPr>
            <w:r>
              <w:rPr>
                <w:rFonts w:hint="default"/>
                <w:highlight w:val="none"/>
              </w:rPr>
              <w:t>主要有害成分含量</w:t>
            </w:r>
          </w:p>
        </w:tc>
        <w:tc>
          <w:tcPr>
            <w:tcW w:w="829" w:type="pct"/>
            <w:tcBorders>
              <w:top w:val="single" w:color="000000" w:sz="10" w:space="0"/>
            </w:tcBorders>
            <w:vAlign w:val="center"/>
          </w:tcPr>
          <w:p w14:paraId="064A7E85">
            <w:pPr>
              <w:pStyle w:val="58"/>
              <w:bidi w:val="0"/>
              <w:rPr>
                <w:rFonts w:hint="default"/>
                <w:highlight w:val="none"/>
              </w:rPr>
            </w:pPr>
            <w:r>
              <w:rPr>
                <w:rFonts w:hint="default"/>
                <w:highlight w:val="none"/>
              </w:rPr>
              <w:t>包装规格</w:t>
            </w:r>
          </w:p>
        </w:tc>
        <w:tc>
          <w:tcPr>
            <w:tcW w:w="985" w:type="pct"/>
            <w:tcBorders>
              <w:top w:val="single" w:color="000000" w:sz="10" w:space="0"/>
            </w:tcBorders>
            <w:vAlign w:val="center"/>
          </w:tcPr>
          <w:p w14:paraId="15A60FB9">
            <w:pPr>
              <w:pStyle w:val="58"/>
              <w:bidi w:val="0"/>
              <w:rPr>
                <w:rFonts w:hint="default"/>
                <w:highlight w:val="none"/>
              </w:rPr>
            </w:pPr>
            <w:r>
              <w:rPr>
                <w:rFonts w:hint="default"/>
                <w:highlight w:val="none"/>
              </w:rPr>
              <w:t>存在位置</w:t>
            </w:r>
          </w:p>
        </w:tc>
        <w:tc>
          <w:tcPr>
            <w:tcW w:w="362" w:type="pct"/>
            <w:tcBorders>
              <w:top w:val="single" w:color="000000" w:sz="10" w:space="0"/>
            </w:tcBorders>
            <w:vAlign w:val="center"/>
          </w:tcPr>
          <w:p w14:paraId="624CB04C">
            <w:pPr>
              <w:pStyle w:val="58"/>
              <w:bidi w:val="0"/>
              <w:rPr>
                <w:rFonts w:hint="default"/>
                <w:highlight w:val="none"/>
              </w:rPr>
            </w:pPr>
            <w:r>
              <w:rPr>
                <w:rFonts w:hint="default"/>
                <w:highlight w:val="none"/>
              </w:rPr>
              <w:t>单位</w:t>
            </w:r>
          </w:p>
        </w:tc>
        <w:tc>
          <w:tcPr>
            <w:tcW w:w="824" w:type="pct"/>
            <w:tcBorders>
              <w:top w:val="single" w:color="000000" w:sz="10" w:space="0"/>
              <w:right w:val="single" w:color="000000" w:sz="10" w:space="0"/>
            </w:tcBorders>
            <w:vAlign w:val="center"/>
          </w:tcPr>
          <w:p w14:paraId="15240529">
            <w:pPr>
              <w:pStyle w:val="58"/>
              <w:bidi w:val="0"/>
              <w:rPr>
                <w:rFonts w:hint="default"/>
                <w:highlight w:val="none"/>
              </w:rPr>
            </w:pPr>
            <w:r>
              <w:rPr>
                <w:rFonts w:hint="default"/>
                <w:highlight w:val="none"/>
              </w:rPr>
              <w:t>最大存在数量</w:t>
            </w:r>
          </w:p>
        </w:tc>
      </w:tr>
      <w:tr w14:paraId="769773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3" w:hRule="atLeast"/>
        </w:trPr>
        <w:tc>
          <w:tcPr>
            <w:tcW w:w="267" w:type="pct"/>
            <w:tcBorders>
              <w:left w:val="single" w:color="000000" w:sz="10" w:space="0"/>
            </w:tcBorders>
            <w:vAlign w:val="center"/>
          </w:tcPr>
          <w:p w14:paraId="3B68FC54">
            <w:pPr>
              <w:pStyle w:val="58"/>
              <w:numPr>
                <w:ilvl w:val="0"/>
                <w:numId w:val="39"/>
              </w:numPr>
              <w:bidi w:val="0"/>
              <w:ind w:left="425" w:leftChars="0" w:hanging="425" w:firstLineChars="0"/>
              <w:rPr>
                <w:rFonts w:hint="default"/>
                <w:highlight w:val="none"/>
              </w:rPr>
            </w:pPr>
            <w:bookmarkStart w:id="339" w:name="OLE_LINK73" w:colFirst="2" w:colLast="2"/>
          </w:p>
        </w:tc>
        <w:tc>
          <w:tcPr>
            <w:tcW w:w="234" w:type="pct"/>
            <w:vMerge w:val="restart"/>
            <w:tcBorders>
              <w:bottom w:val="nil"/>
            </w:tcBorders>
            <w:textDirection w:val="tbRlV"/>
            <w:vAlign w:val="center"/>
          </w:tcPr>
          <w:p w14:paraId="5EC7C6FE">
            <w:pPr>
              <w:pStyle w:val="58"/>
              <w:bidi w:val="0"/>
              <w:rPr>
                <w:rFonts w:hint="default"/>
                <w:highlight w:val="none"/>
              </w:rPr>
            </w:pPr>
            <w:r>
              <w:rPr>
                <w:rFonts w:hint="default"/>
                <w:highlight w:val="none"/>
              </w:rPr>
              <w:t>原辅料</w:t>
            </w:r>
          </w:p>
        </w:tc>
        <w:tc>
          <w:tcPr>
            <w:tcW w:w="748" w:type="pct"/>
            <w:vAlign w:val="center"/>
          </w:tcPr>
          <w:p w14:paraId="19D0C2CA">
            <w:pPr>
              <w:pStyle w:val="58"/>
              <w:bidi w:val="0"/>
              <w:rPr>
                <w:rFonts w:hint="default"/>
                <w:highlight w:val="none"/>
              </w:rPr>
            </w:pPr>
            <w:r>
              <w:rPr>
                <w:rFonts w:hint="default"/>
                <w:highlight w:val="none"/>
              </w:rPr>
              <w:t>润滑油</w:t>
            </w:r>
          </w:p>
        </w:tc>
        <w:tc>
          <w:tcPr>
            <w:tcW w:w="747" w:type="pct"/>
            <w:vAlign w:val="center"/>
          </w:tcPr>
          <w:p w14:paraId="7C83C00C">
            <w:pPr>
              <w:pStyle w:val="58"/>
              <w:bidi w:val="0"/>
              <w:rPr>
                <w:rFonts w:hint="default"/>
                <w:highlight w:val="none"/>
              </w:rPr>
            </w:pPr>
            <w:r>
              <w:rPr>
                <w:rFonts w:hint="default"/>
                <w:highlight w:val="none"/>
              </w:rPr>
              <w:t>石油烃</w:t>
            </w:r>
          </w:p>
        </w:tc>
        <w:tc>
          <w:tcPr>
            <w:tcW w:w="829" w:type="pct"/>
            <w:vAlign w:val="center"/>
          </w:tcPr>
          <w:p w14:paraId="489AEE0B">
            <w:pPr>
              <w:pStyle w:val="58"/>
              <w:bidi w:val="0"/>
              <w:rPr>
                <w:rFonts w:hint="default"/>
                <w:highlight w:val="none"/>
              </w:rPr>
            </w:pPr>
            <w:r>
              <w:rPr>
                <w:rFonts w:hint="default"/>
                <w:highlight w:val="none"/>
              </w:rPr>
              <w:t>20kg/铁桶</w:t>
            </w:r>
          </w:p>
        </w:tc>
        <w:tc>
          <w:tcPr>
            <w:tcW w:w="985" w:type="pct"/>
            <w:vMerge w:val="restart"/>
            <w:tcBorders>
              <w:bottom w:val="nil"/>
            </w:tcBorders>
            <w:vAlign w:val="center"/>
          </w:tcPr>
          <w:p w14:paraId="238022D7">
            <w:pPr>
              <w:pStyle w:val="58"/>
              <w:bidi w:val="0"/>
              <w:rPr>
                <w:rFonts w:hint="default"/>
                <w:highlight w:val="none"/>
              </w:rPr>
            </w:pPr>
            <w:r>
              <w:rPr>
                <w:rFonts w:hint="default"/>
                <w:highlight w:val="none"/>
              </w:rPr>
              <w:t>泵类、风机、污泥浓缩机及压滤机等设备内及机修车间内</w:t>
            </w:r>
          </w:p>
        </w:tc>
        <w:tc>
          <w:tcPr>
            <w:tcW w:w="362" w:type="pct"/>
            <w:vAlign w:val="center"/>
          </w:tcPr>
          <w:p w14:paraId="2B2B053A">
            <w:pPr>
              <w:pStyle w:val="58"/>
              <w:bidi w:val="0"/>
              <w:rPr>
                <w:rFonts w:hint="default"/>
                <w:highlight w:val="none"/>
              </w:rPr>
            </w:pPr>
            <w:r>
              <w:rPr>
                <w:rFonts w:hint="default"/>
                <w:highlight w:val="none"/>
              </w:rPr>
              <w:t>t</w:t>
            </w:r>
          </w:p>
        </w:tc>
        <w:tc>
          <w:tcPr>
            <w:tcW w:w="824" w:type="pct"/>
            <w:tcBorders>
              <w:right w:val="single" w:color="000000" w:sz="10" w:space="0"/>
            </w:tcBorders>
            <w:vAlign w:val="center"/>
          </w:tcPr>
          <w:p w14:paraId="4955089B">
            <w:pPr>
              <w:pStyle w:val="58"/>
              <w:bidi w:val="0"/>
              <w:rPr>
                <w:rFonts w:hint="eastAsia" w:eastAsia="宋体"/>
                <w:highlight w:val="none"/>
                <w:lang w:eastAsia="zh-CN"/>
              </w:rPr>
            </w:pPr>
            <w:r>
              <w:rPr>
                <w:rFonts w:hint="default"/>
                <w:highlight w:val="none"/>
              </w:rPr>
              <w:t>0.0</w:t>
            </w:r>
            <w:r>
              <w:rPr>
                <w:rFonts w:hint="eastAsia"/>
                <w:highlight w:val="none"/>
                <w:lang w:val="en-US" w:eastAsia="zh-CN"/>
              </w:rPr>
              <w:t>5</w:t>
            </w:r>
          </w:p>
        </w:tc>
      </w:tr>
      <w:tr w14:paraId="1BFBB0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3" w:hRule="atLeast"/>
        </w:trPr>
        <w:tc>
          <w:tcPr>
            <w:tcW w:w="267" w:type="pct"/>
            <w:tcBorders>
              <w:left w:val="single" w:color="000000" w:sz="10" w:space="0"/>
            </w:tcBorders>
            <w:vAlign w:val="center"/>
          </w:tcPr>
          <w:p w14:paraId="387F96D0">
            <w:pPr>
              <w:pStyle w:val="58"/>
              <w:numPr>
                <w:ilvl w:val="0"/>
                <w:numId w:val="39"/>
              </w:numPr>
              <w:bidi w:val="0"/>
              <w:ind w:left="425" w:leftChars="0" w:hanging="425" w:firstLineChars="0"/>
              <w:rPr>
                <w:rFonts w:hint="default"/>
                <w:highlight w:val="none"/>
              </w:rPr>
            </w:pPr>
          </w:p>
        </w:tc>
        <w:tc>
          <w:tcPr>
            <w:tcW w:w="234" w:type="pct"/>
            <w:vMerge w:val="continue"/>
            <w:tcBorders>
              <w:top w:val="nil"/>
              <w:bottom w:val="nil"/>
            </w:tcBorders>
            <w:textDirection w:val="tbRlV"/>
            <w:vAlign w:val="center"/>
          </w:tcPr>
          <w:p w14:paraId="12BD5D11">
            <w:pPr>
              <w:pStyle w:val="58"/>
              <w:bidi w:val="0"/>
              <w:rPr>
                <w:rFonts w:hint="default"/>
                <w:highlight w:val="none"/>
              </w:rPr>
            </w:pPr>
          </w:p>
        </w:tc>
        <w:tc>
          <w:tcPr>
            <w:tcW w:w="748" w:type="pct"/>
            <w:vAlign w:val="center"/>
          </w:tcPr>
          <w:p w14:paraId="13C5B7AB">
            <w:pPr>
              <w:pStyle w:val="58"/>
              <w:bidi w:val="0"/>
              <w:rPr>
                <w:rFonts w:hint="default"/>
                <w:highlight w:val="none"/>
              </w:rPr>
            </w:pPr>
            <w:r>
              <w:rPr>
                <w:rFonts w:hint="default"/>
                <w:highlight w:val="none"/>
              </w:rPr>
              <w:t>液压油</w:t>
            </w:r>
          </w:p>
        </w:tc>
        <w:tc>
          <w:tcPr>
            <w:tcW w:w="747" w:type="pct"/>
            <w:vAlign w:val="center"/>
          </w:tcPr>
          <w:p w14:paraId="67656E2F">
            <w:pPr>
              <w:pStyle w:val="58"/>
              <w:bidi w:val="0"/>
              <w:rPr>
                <w:rFonts w:hint="default"/>
                <w:highlight w:val="none"/>
              </w:rPr>
            </w:pPr>
            <w:r>
              <w:rPr>
                <w:rFonts w:hint="default"/>
                <w:highlight w:val="none"/>
              </w:rPr>
              <w:t>石油烃</w:t>
            </w:r>
          </w:p>
        </w:tc>
        <w:tc>
          <w:tcPr>
            <w:tcW w:w="829" w:type="pct"/>
            <w:vAlign w:val="center"/>
          </w:tcPr>
          <w:p w14:paraId="77335424">
            <w:pPr>
              <w:pStyle w:val="58"/>
              <w:bidi w:val="0"/>
              <w:rPr>
                <w:rFonts w:hint="default"/>
                <w:highlight w:val="none"/>
              </w:rPr>
            </w:pPr>
            <w:r>
              <w:rPr>
                <w:rFonts w:hint="default"/>
                <w:highlight w:val="none"/>
              </w:rPr>
              <w:t>20kg/铁桶</w:t>
            </w:r>
          </w:p>
        </w:tc>
        <w:tc>
          <w:tcPr>
            <w:tcW w:w="985" w:type="pct"/>
            <w:vMerge w:val="continue"/>
            <w:tcBorders>
              <w:top w:val="nil"/>
            </w:tcBorders>
            <w:vAlign w:val="center"/>
          </w:tcPr>
          <w:p w14:paraId="5C56E1EB">
            <w:pPr>
              <w:pStyle w:val="58"/>
              <w:bidi w:val="0"/>
              <w:rPr>
                <w:rFonts w:hint="default"/>
                <w:highlight w:val="none"/>
              </w:rPr>
            </w:pPr>
          </w:p>
        </w:tc>
        <w:tc>
          <w:tcPr>
            <w:tcW w:w="362" w:type="pct"/>
            <w:vAlign w:val="center"/>
          </w:tcPr>
          <w:p w14:paraId="101D95D9">
            <w:pPr>
              <w:pStyle w:val="58"/>
              <w:bidi w:val="0"/>
              <w:rPr>
                <w:rFonts w:hint="default"/>
                <w:highlight w:val="none"/>
              </w:rPr>
            </w:pPr>
            <w:r>
              <w:rPr>
                <w:rFonts w:hint="default"/>
                <w:highlight w:val="none"/>
              </w:rPr>
              <w:t>t</w:t>
            </w:r>
          </w:p>
        </w:tc>
        <w:tc>
          <w:tcPr>
            <w:tcW w:w="824" w:type="pct"/>
            <w:tcBorders>
              <w:right w:val="single" w:color="000000" w:sz="10" w:space="0"/>
            </w:tcBorders>
            <w:vAlign w:val="center"/>
          </w:tcPr>
          <w:p w14:paraId="76D4B29C">
            <w:pPr>
              <w:pStyle w:val="58"/>
              <w:bidi w:val="0"/>
              <w:rPr>
                <w:rFonts w:hint="default"/>
                <w:highlight w:val="green"/>
                <w:lang w:val="en-US" w:eastAsia="zh-CN"/>
              </w:rPr>
            </w:pPr>
            <w:r>
              <w:rPr>
                <w:rFonts w:hint="default"/>
                <w:highlight w:val="none"/>
              </w:rPr>
              <w:t>0.0</w:t>
            </w:r>
            <w:r>
              <w:rPr>
                <w:rFonts w:hint="eastAsia"/>
                <w:highlight w:val="none"/>
                <w:lang w:val="en-US" w:eastAsia="zh-CN"/>
              </w:rPr>
              <w:t>25</w:t>
            </w:r>
          </w:p>
        </w:tc>
      </w:tr>
      <w:tr w14:paraId="2D1A89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3" w:hRule="atLeast"/>
        </w:trPr>
        <w:tc>
          <w:tcPr>
            <w:tcW w:w="267" w:type="pct"/>
            <w:tcBorders>
              <w:left w:val="single" w:color="000000" w:sz="10" w:space="0"/>
            </w:tcBorders>
            <w:vAlign w:val="center"/>
          </w:tcPr>
          <w:p w14:paraId="417F6DEC">
            <w:pPr>
              <w:pStyle w:val="58"/>
              <w:numPr>
                <w:ilvl w:val="0"/>
                <w:numId w:val="39"/>
              </w:numPr>
              <w:bidi w:val="0"/>
              <w:ind w:left="425" w:leftChars="0" w:hanging="425" w:firstLineChars="0"/>
              <w:rPr>
                <w:rFonts w:hint="default"/>
                <w:highlight w:val="none"/>
              </w:rPr>
            </w:pPr>
          </w:p>
        </w:tc>
        <w:tc>
          <w:tcPr>
            <w:tcW w:w="234" w:type="pct"/>
            <w:vMerge w:val="continue"/>
            <w:tcBorders>
              <w:top w:val="nil"/>
              <w:bottom w:val="nil"/>
            </w:tcBorders>
            <w:textDirection w:val="tbRlV"/>
            <w:vAlign w:val="center"/>
          </w:tcPr>
          <w:p w14:paraId="31748054">
            <w:pPr>
              <w:pStyle w:val="58"/>
              <w:bidi w:val="0"/>
              <w:rPr>
                <w:rFonts w:hint="default"/>
                <w:highlight w:val="none"/>
              </w:rPr>
            </w:pPr>
          </w:p>
        </w:tc>
        <w:tc>
          <w:tcPr>
            <w:tcW w:w="748" w:type="pct"/>
            <w:vAlign w:val="center"/>
          </w:tcPr>
          <w:p w14:paraId="0012AFA7">
            <w:pPr>
              <w:pStyle w:val="58"/>
              <w:bidi w:val="0"/>
              <w:rPr>
                <w:rFonts w:hint="default"/>
                <w:highlight w:val="none"/>
              </w:rPr>
            </w:pPr>
            <w:r>
              <w:rPr>
                <w:rFonts w:hint="default"/>
                <w:highlight w:val="none"/>
              </w:rPr>
              <w:t>硫酸</w:t>
            </w:r>
          </w:p>
        </w:tc>
        <w:tc>
          <w:tcPr>
            <w:tcW w:w="747" w:type="pct"/>
            <w:vAlign w:val="center"/>
          </w:tcPr>
          <w:p w14:paraId="4F38894F">
            <w:pPr>
              <w:pStyle w:val="58"/>
              <w:bidi w:val="0"/>
              <w:rPr>
                <w:rFonts w:hint="default"/>
                <w:highlight w:val="none"/>
              </w:rPr>
            </w:pPr>
            <w:r>
              <w:rPr>
                <w:rFonts w:hint="default"/>
                <w:highlight w:val="none"/>
              </w:rPr>
              <w:t>硫酸</w:t>
            </w:r>
          </w:p>
        </w:tc>
        <w:tc>
          <w:tcPr>
            <w:tcW w:w="829" w:type="pct"/>
            <w:vAlign w:val="center"/>
          </w:tcPr>
          <w:p w14:paraId="43518942">
            <w:pPr>
              <w:pStyle w:val="58"/>
              <w:bidi w:val="0"/>
              <w:rPr>
                <w:rFonts w:hint="default"/>
                <w:highlight w:val="none"/>
              </w:rPr>
            </w:pPr>
            <w:r>
              <w:rPr>
                <w:rFonts w:hint="default"/>
                <w:highlight w:val="none"/>
              </w:rPr>
              <w:t>500mL/玻璃瓶</w:t>
            </w:r>
          </w:p>
        </w:tc>
        <w:tc>
          <w:tcPr>
            <w:tcW w:w="985" w:type="pct"/>
            <w:vMerge w:val="restart"/>
            <w:tcBorders>
              <w:bottom w:val="nil"/>
            </w:tcBorders>
            <w:vAlign w:val="center"/>
          </w:tcPr>
          <w:p w14:paraId="448FDF79">
            <w:pPr>
              <w:pStyle w:val="58"/>
              <w:bidi w:val="0"/>
              <w:rPr>
                <w:rFonts w:hint="eastAsia" w:eastAsia="宋体"/>
                <w:highlight w:val="none"/>
                <w:lang w:eastAsia="zh-CN"/>
              </w:rPr>
            </w:pPr>
            <w:r>
              <w:rPr>
                <w:rFonts w:hint="eastAsia"/>
                <w:highlight w:val="none"/>
                <w:lang w:eastAsia="zh-CN"/>
              </w:rPr>
              <w:t>实验室</w:t>
            </w:r>
          </w:p>
        </w:tc>
        <w:tc>
          <w:tcPr>
            <w:tcW w:w="362" w:type="pct"/>
            <w:vAlign w:val="center"/>
          </w:tcPr>
          <w:p w14:paraId="5B118722">
            <w:pPr>
              <w:pStyle w:val="58"/>
              <w:bidi w:val="0"/>
              <w:rPr>
                <w:rFonts w:hint="default"/>
                <w:highlight w:val="none"/>
              </w:rPr>
            </w:pPr>
            <w:r>
              <w:rPr>
                <w:rFonts w:hint="default"/>
                <w:highlight w:val="none"/>
              </w:rPr>
              <w:t>t</w:t>
            </w:r>
          </w:p>
        </w:tc>
        <w:tc>
          <w:tcPr>
            <w:tcW w:w="824" w:type="pct"/>
            <w:tcBorders>
              <w:right w:val="single" w:color="000000" w:sz="10" w:space="0"/>
            </w:tcBorders>
            <w:vAlign w:val="center"/>
          </w:tcPr>
          <w:p w14:paraId="7550E412">
            <w:pPr>
              <w:pStyle w:val="58"/>
              <w:bidi w:val="0"/>
              <w:rPr>
                <w:rFonts w:hint="default"/>
                <w:highlight w:val="none"/>
                <w:lang w:val="en-US" w:eastAsia="zh-CN"/>
              </w:rPr>
            </w:pPr>
            <w:r>
              <w:rPr>
                <w:rFonts w:hint="default"/>
                <w:highlight w:val="none"/>
              </w:rPr>
              <w:t>0.0</w:t>
            </w:r>
            <w:r>
              <w:rPr>
                <w:rFonts w:hint="default"/>
                <w:highlight w:val="none"/>
                <w:lang w:val="en-US" w:eastAsia="zh-CN"/>
              </w:rPr>
              <w:t>92</w:t>
            </w:r>
          </w:p>
        </w:tc>
      </w:tr>
      <w:tr w14:paraId="52C217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3" w:hRule="atLeast"/>
        </w:trPr>
        <w:tc>
          <w:tcPr>
            <w:tcW w:w="267" w:type="pct"/>
            <w:tcBorders>
              <w:left w:val="single" w:color="000000" w:sz="10" w:space="0"/>
            </w:tcBorders>
            <w:vAlign w:val="center"/>
          </w:tcPr>
          <w:p w14:paraId="2222FD43">
            <w:pPr>
              <w:pStyle w:val="58"/>
              <w:numPr>
                <w:ilvl w:val="0"/>
                <w:numId w:val="39"/>
              </w:numPr>
              <w:bidi w:val="0"/>
              <w:ind w:left="425" w:leftChars="0" w:hanging="425" w:firstLineChars="0"/>
              <w:rPr>
                <w:rFonts w:hint="default"/>
                <w:highlight w:val="none"/>
              </w:rPr>
            </w:pPr>
          </w:p>
        </w:tc>
        <w:tc>
          <w:tcPr>
            <w:tcW w:w="234" w:type="pct"/>
            <w:vMerge w:val="continue"/>
            <w:tcBorders>
              <w:top w:val="nil"/>
              <w:bottom w:val="nil"/>
            </w:tcBorders>
            <w:textDirection w:val="tbRlV"/>
            <w:vAlign w:val="center"/>
          </w:tcPr>
          <w:p w14:paraId="08501CDA">
            <w:pPr>
              <w:pStyle w:val="58"/>
              <w:bidi w:val="0"/>
              <w:rPr>
                <w:rFonts w:hint="default"/>
                <w:highlight w:val="none"/>
              </w:rPr>
            </w:pPr>
          </w:p>
        </w:tc>
        <w:tc>
          <w:tcPr>
            <w:tcW w:w="748" w:type="pct"/>
            <w:vAlign w:val="center"/>
          </w:tcPr>
          <w:p w14:paraId="53DB722F">
            <w:pPr>
              <w:pStyle w:val="58"/>
              <w:bidi w:val="0"/>
              <w:rPr>
                <w:rFonts w:hint="default"/>
                <w:highlight w:val="none"/>
              </w:rPr>
            </w:pPr>
            <w:r>
              <w:rPr>
                <w:rFonts w:hint="default"/>
                <w:highlight w:val="none"/>
              </w:rPr>
              <w:t>重铬酸钾</w:t>
            </w:r>
          </w:p>
        </w:tc>
        <w:tc>
          <w:tcPr>
            <w:tcW w:w="747" w:type="pct"/>
            <w:vAlign w:val="center"/>
          </w:tcPr>
          <w:p w14:paraId="3EE35285">
            <w:pPr>
              <w:pStyle w:val="58"/>
              <w:bidi w:val="0"/>
              <w:rPr>
                <w:rFonts w:hint="default"/>
                <w:highlight w:val="none"/>
              </w:rPr>
            </w:pPr>
            <w:r>
              <w:rPr>
                <w:rFonts w:hint="default"/>
                <w:highlight w:val="none"/>
              </w:rPr>
              <w:t>重铬酸钾</w:t>
            </w:r>
          </w:p>
        </w:tc>
        <w:tc>
          <w:tcPr>
            <w:tcW w:w="829" w:type="pct"/>
            <w:vAlign w:val="center"/>
          </w:tcPr>
          <w:p w14:paraId="61B6FFC1">
            <w:pPr>
              <w:pStyle w:val="58"/>
              <w:bidi w:val="0"/>
              <w:rPr>
                <w:rFonts w:hint="default"/>
                <w:highlight w:val="none"/>
              </w:rPr>
            </w:pPr>
            <w:r>
              <w:rPr>
                <w:rFonts w:hint="default"/>
                <w:highlight w:val="none"/>
              </w:rPr>
              <w:t>500g/玻璃瓶</w:t>
            </w:r>
          </w:p>
        </w:tc>
        <w:tc>
          <w:tcPr>
            <w:tcW w:w="985" w:type="pct"/>
            <w:vMerge w:val="continue"/>
            <w:tcBorders>
              <w:top w:val="nil"/>
              <w:bottom w:val="nil"/>
            </w:tcBorders>
            <w:vAlign w:val="center"/>
          </w:tcPr>
          <w:p w14:paraId="6C6B307B">
            <w:pPr>
              <w:pStyle w:val="58"/>
              <w:bidi w:val="0"/>
              <w:rPr>
                <w:rFonts w:hint="default"/>
                <w:highlight w:val="none"/>
              </w:rPr>
            </w:pPr>
          </w:p>
        </w:tc>
        <w:tc>
          <w:tcPr>
            <w:tcW w:w="362" w:type="pct"/>
            <w:vAlign w:val="center"/>
          </w:tcPr>
          <w:p w14:paraId="2587F3D3">
            <w:pPr>
              <w:pStyle w:val="58"/>
              <w:bidi w:val="0"/>
              <w:rPr>
                <w:rFonts w:hint="default"/>
                <w:highlight w:val="none"/>
              </w:rPr>
            </w:pPr>
            <w:r>
              <w:rPr>
                <w:rFonts w:hint="default"/>
                <w:highlight w:val="none"/>
              </w:rPr>
              <w:t>t</w:t>
            </w:r>
          </w:p>
        </w:tc>
        <w:tc>
          <w:tcPr>
            <w:tcW w:w="824" w:type="pct"/>
            <w:tcBorders>
              <w:right w:val="single" w:color="000000" w:sz="10" w:space="0"/>
            </w:tcBorders>
            <w:vAlign w:val="center"/>
          </w:tcPr>
          <w:p w14:paraId="4D239132">
            <w:pPr>
              <w:pStyle w:val="58"/>
              <w:bidi w:val="0"/>
              <w:rPr>
                <w:rFonts w:hint="default"/>
                <w:highlight w:val="none"/>
              </w:rPr>
            </w:pPr>
            <w:r>
              <w:rPr>
                <w:rFonts w:hint="default"/>
                <w:highlight w:val="none"/>
              </w:rPr>
              <w:t>5×10</w:t>
            </w:r>
            <w:r>
              <w:rPr>
                <w:rFonts w:hint="default"/>
                <w:highlight w:val="none"/>
                <w:vertAlign w:val="superscript"/>
              </w:rPr>
              <w:t>-4</w:t>
            </w:r>
            <w:r>
              <w:rPr>
                <w:rFonts w:hint="default"/>
                <w:highlight w:val="none"/>
              </w:rPr>
              <w:t>（折合铬为1.768×10</w:t>
            </w:r>
            <w:r>
              <w:rPr>
                <w:rFonts w:hint="default"/>
                <w:highlight w:val="none"/>
                <w:vertAlign w:val="superscript"/>
              </w:rPr>
              <w:t>-4</w:t>
            </w:r>
            <w:r>
              <w:rPr>
                <w:rFonts w:hint="default"/>
                <w:highlight w:val="none"/>
              </w:rPr>
              <w:t>）</w:t>
            </w:r>
          </w:p>
        </w:tc>
      </w:tr>
      <w:tr w14:paraId="306043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3" w:hRule="atLeast"/>
        </w:trPr>
        <w:tc>
          <w:tcPr>
            <w:tcW w:w="267" w:type="pct"/>
            <w:tcBorders>
              <w:left w:val="single" w:color="000000" w:sz="10" w:space="0"/>
            </w:tcBorders>
            <w:vAlign w:val="center"/>
          </w:tcPr>
          <w:p w14:paraId="3D676B69">
            <w:pPr>
              <w:pStyle w:val="58"/>
              <w:numPr>
                <w:ilvl w:val="0"/>
                <w:numId w:val="39"/>
              </w:numPr>
              <w:bidi w:val="0"/>
              <w:ind w:left="425" w:leftChars="0" w:hanging="425" w:firstLineChars="0"/>
              <w:rPr>
                <w:rFonts w:hint="default"/>
                <w:highlight w:val="none"/>
              </w:rPr>
            </w:pPr>
          </w:p>
        </w:tc>
        <w:tc>
          <w:tcPr>
            <w:tcW w:w="234" w:type="pct"/>
            <w:vMerge w:val="continue"/>
            <w:tcBorders>
              <w:top w:val="nil"/>
              <w:bottom w:val="nil"/>
            </w:tcBorders>
            <w:textDirection w:val="tbRlV"/>
            <w:vAlign w:val="center"/>
          </w:tcPr>
          <w:p w14:paraId="18E6EE24">
            <w:pPr>
              <w:pStyle w:val="58"/>
              <w:bidi w:val="0"/>
              <w:rPr>
                <w:rFonts w:hint="default"/>
                <w:highlight w:val="none"/>
              </w:rPr>
            </w:pPr>
          </w:p>
        </w:tc>
        <w:tc>
          <w:tcPr>
            <w:tcW w:w="748" w:type="pct"/>
            <w:vAlign w:val="center"/>
          </w:tcPr>
          <w:p w14:paraId="5267B64F">
            <w:pPr>
              <w:pStyle w:val="58"/>
              <w:bidi w:val="0"/>
              <w:rPr>
                <w:rFonts w:hint="default"/>
                <w:highlight w:val="none"/>
              </w:rPr>
            </w:pPr>
            <w:r>
              <w:rPr>
                <w:rFonts w:hint="default"/>
                <w:highlight w:val="none"/>
              </w:rPr>
              <w:t>纳氏试剂</w:t>
            </w:r>
          </w:p>
        </w:tc>
        <w:tc>
          <w:tcPr>
            <w:tcW w:w="747" w:type="pct"/>
            <w:vAlign w:val="center"/>
          </w:tcPr>
          <w:p w14:paraId="50E45EA7">
            <w:pPr>
              <w:pStyle w:val="58"/>
              <w:bidi w:val="0"/>
              <w:rPr>
                <w:rFonts w:hint="default"/>
                <w:highlight w:val="none"/>
              </w:rPr>
            </w:pPr>
            <w:r>
              <w:rPr>
                <w:rFonts w:hint="default"/>
                <w:highlight w:val="none"/>
              </w:rPr>
              <w:t>汞</w:t>
            </w:r>
          </w:p>
        </w:tc>
        <w:tc>
          <w:tcPr>
            <w:tcW w:w="829" w:type="pct"/>
            <w:vAlign w:val="center"/>
          </w:tcPr>
          <w:p w14:paraId="39603AFC">
            <w:pPr>
              <w:pStyle w:val="58"/>
              <w:bidi w:val="0"/>
              <w:rPr>
                <w:rFonts w:hint="default"/>
                <w:highlight w:val="none"/>
              </w:rPr>
            </w:pPr>
            <w:r>
              <w:rPr>
                <w:rFonts w:hint="default"/>
                <w:highlight w:val="none"/>
              </w:rPr>
              <w:t>500mL/聚乙烯塑料瓶</w:t>
            </w:r>
          </w:p>
        </w:tc>
        <w:tc>
          <w:tcPr>
            <w:tcW w:w="985" w:type="pct"/>
            <w:vMerge w:val="continue"/>
            <w:tcBorders>
              <w:top w:val="nil"/>
            </w:tcBorders>
            <w:vAlign w:val="center"/>
          </w:tcPr>
          <w:p w14:paraId="46FB125D">
            <w:pPr>
              <w:pStyle w:val="58"/>
              <w:bidi w:val="0"/>
              <w:rPr>
                <w:rFonts w:hint="default"/>
                <w:highlight w:val="none"/>
              </w:rPr>
            </w:pPr>
          </w:p>
        </w:tc>
        <w:tc>
          <w:tcPr>
            <w:tcW w:w="362" w:type="pct"/>
            <w:vAlign w:val="center"/>
          </w:tcPr>
          <w:p w14:paraId="2ACCE96B">
            <w:pPr>
              <w:pStyle w:val="58"/>
              <w:bidi w:val="0"/>
              <w:rPr>
                <w:rFonts w:hint="default"/>
                <w:highlight w:val="none"/>
              </w:rPr>
            </w:pPr>
            <w:r>
              <w:rPr>
                <w:rFonts w:hint="default"/>
                <w:highlight w:val="none"/>
              </w:rPr>
              <w:t>t</w:t>
            </w:r>
          </w:p>
        </w:tc>
        <w:tc>
          <w:tcPr>
            <w:tcW w:w="824" w:type="pct"/>
            <w:tcBorders>
              <w:right w:val="single" w:color="000000" w:sz="10" w:space="0"/>
            </w:tcBorders>
            <w:vAlign w:val="center"/>
          </w:tcPr>
          <w:p w14:paraId="22C8FEA4">
            <w:pPr>
              <w:pStyle w:val="58"/>
              <w:bidi w:val="0"/>
              <w:rPr>
                <w:rFonts w:hint="default"/>
                <w:highlight w:val="none"/>
              </w:rPr>
            </w:pPr>
            <w:r>
              <w:rPr>
                <w:rFonts w:hint="default"/>
                <w:highlight w:val="none"/>
              </w:rPr>
              <w:t>5.8×10</w:t>
            </w:r>
            <w:r>
              <w:rPr>
                <w:rFonts w:hint="default"/>
                <w:highlight w:val="none"/>
                <w:vertAlign w:val="superscript"/>
              </w:rPr>
              <w:t>-4</w:t>
            </w:r>
            <w:r>
              <w:rPr>
                <w:rFonts w:hint="default"/>
                <w:highlight w:val="none"/>
              </w:rPr>
              <w:t>（折合汞为9.23×10</w:t>
            </w:r>
            <w:r>
              <w:rPr>
                <w:rFonts w:hint="default"/>
                <w:highlight w:val="none"/>
                <w:vertAlign w:val="superscript"/>
              </w:rPr>
              <w:t>-5</w:t>
            </w:r>
            <w:r>
              <w:rPr>
                <w:rFonts w:hint="default"/>
                <w:highlight w:val="none"/>
              </w:rPr>
              <w:t>）</w:t>
            </w:r>
          </w:p>
        </w:tc>
      </w:tr>
      <w:tr w14:paraId="1059C3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3" w:hRule="atLeast"/>
        </w:trPr>
        <w:tc>
          <w:tcPr>
            <w:tcW w:w="267" w:type="pct"/>
            <w:tcBorders>
              <w:left w:val="single" w:color="000000" w:sz="10" w:space="0"/>
            </w:tcBorders>
            <w:vAlign w:val="center"/>
          </w:tcPr>
          <w:p w14:paraId="7726577A">
            <w:pPr>
              <w:pStyle w:val="58"/>
              <w:numPr>
                <w:ilvl w:val="0"/>
                <w:numId w:val="39"/>
              </w:numPr>
              <w:bidi w:val="0"/>
              <w:ind w:left="425" w:leftChars="0" w:hanging="425" w:firstLineChars="0"/>
              <w:rPr>
                <w:rFonts w:hint="default"/>
                <w:highlight w:val="none"/>
              </w:rPr>
            </w:pPr>
          </w:p>
        </w:tc>
        <w:tc>
          <w:tcPr>
            <w:tcW w:w="234" w:type="pct"/>
            <w:vMerge w:val="continue"/>
            <w:tcBorders>
              <w:top w:val="nil"/>
            </w:tcBorders>
            <w:textDirection w:val="tbRlV"/>
            <w:vAlign w:val="center"/>
          </w:tcPr>
          <w:p w14:paraId="5735496D">
            <w:pPr>
              <w:pStyle w:val="58"/>
              <w:bidi w:val="0"/>
              <w:rPr>
                <w:rFonts w:hint="default"/>
                <w:highlight w:val="none"/>
              </w:rPr>
            </w:pPr>
          </w:p>
        </w:tc>
        <w:tc>
          <w:tcPr>
            <w:tcW w:w="748" w:type="pct"/>
            <w:vAlign w:val="center"/>
          </w:tcPr>
          <w:p w14:paraId="1C439EA5">
            <w:pPr>
              <w:pStyle w:val="58"/>
              <w:bidi w:val="0"/>
              <w:rPr>
                <w:rFonts w:hint="default"/>
                <w:highlight w:val="none"/>
              </w:rPr>
            </w:pPr>
            <w:r>
              <w:rPr>
                <w:rFonts w:hint="default"/>
                <w:highlight w:val="none"/>
              </w:rPr>
              <w:t>次氯酸钠溶液（12%）</w:t>
            </w:r>
          </w:p>
        </w:tc>
        <w:tc>
          <w:tcPr>
            <w:tcW w:w="747" w:type="pct"/>
            <w:vAlign w:val="center"/>
          </w:tcPr>
          <w:p w14:paraId="1BCB6156">
            <w:pPr>
              <w:pStyle w:val="58"/>
              <w:bidi w:val="0"/>
              <w:rPr>
                <w:rFonts w:hint="default"/>
                <w:highlight w:val="none"/>
              </w:rPr>
            </w:pPr>
            <w:r>
              <w:rPr>
                <w:rFonts w:hint="default"/>
                <w:highlight w:val="none"/>
              </w:rPr>
              <w:t>次氯酸钠</w:t>
            </w:r>
          </w:p>
        </w:tc>
        <w:tc>
          <w:tcPr>
            <w:tcW w:w="829" w:type="pct"/>
            <w:vAlign w:val="center"/>
          </w:tcPr>
          <w:p w14:paraId="1D081AA0">
            <w:pPr>
              <w:pStyle w:val="58"/>
              <w:bidi w:val="0"/>
              <w:rPr>
                <w:rFonts w:hint="default"/>
                <w:highlight w:val="none"/>
              </w:rPr>
            </w:pPr>
            <w:r>
              <w:rPr>
                <w:rFonts w:hint="default"/>
                <w:highlight w:val="none"/>
                <w:lang w:val="en-US" w:eastAsia="zh-CN"/>
              </w:rPr>
              <w:t>1</w:t>
            </w:r>
            <w:r>
              <w:rPr>
                <w:rFonts w:hint="default"/>
                <w:highlight w:val="none"/>
              </w:rPr>
              <w:t>t/PE加药罐</w:t>
            </w:r>
          </w:p>
        </w:tc>
        <w:tc>
          <w:tcPr>
            <w:tcW w:w="985" w:type="pct"/>
            <w:vAlign w:val="center"/>
          </w:tcPr>
          <w:p w14:paraId="7F085148">
            <w:pPr>
              <w:pStyle w:val="58"/>
              <w:bidi w:val="0"/>
              <w:rPr>
                <w:rFonts w:hint="default"/>
                <w:highlight w:val="none"/>
              </w:rPr>
            </w:pPr>
            <w:r>
              <w:rPr>
                <w:rFonts w:hint="default"/>
                <w:highlight w:val="none"/>
              </w:rPr>
              <w:t>加药间</w:t>
            </w:r>
          </w:p>
        </w:tc>
        <w:tc>
          <w:tcPr>
            <w:tcW w:w="362" w:type="pct"/>
            <w:vAlign w:val="center"/>
          </w:tcPr>
          <w:p w14:paraId="31043574">
            <w:pPr>
              <w:pStyle w:val="58"/>
              <w:bidi w:val="0"/>
              <w:rPr>
                <w:rFonts w:hint="default"/>
                <w:highlight w:val="none"/>
              </w:rPr>
            </w:pPr>
            <w:r>
              <w:rPr>
                <w:rFonts w:hint="default"/>
                <w:highlight w:val="none"/>
              </w:rPr>
              <w:t>t</w:t>
            </w:r>
          </w:p>
        </w:tc>
        <w:tc>
          <w:tcPr>
            <w:tcW w:w="824" w:type="pct"/>
            <w:tcBorders>
              <w:right w:val="single" w:color="000000" w:sz="10" w:space="0"/>
            </w:tcBorders>
            <w:vAlign w:val="center"/>
          </w:tcPr>
          <w:p w14:paraId="6F19EEF8">
            <w:pPr>
              <w:pStyle w:val="58"/>
              <w:bidi w:val="0"/>
              <w:rPr>
                <w:rFonts w:hint="default"/>
                <w:highlight w:val="none"/>
              </w:rPr>
            </w:pPr>
            <w:r>
              <w:rPr>
                <w:rFonts w:hint="default"/>
                <w:highlight w:val="none"/>
                <w:lang w:val="en-US" w:eastAsia="zh-CN"/>
              </w:rPr>
              <w:t>1</w:t>
            </w:r>
            <w:r>
              <w:rPr>
                <w:rFonts w:hint="default"/>
                <w:highlight w:val="none"/>
              </w:rPr>
              <w:t>（折纯0.</w:t>
            </w:r>
            <w:r>
              <w:rPr>
                <w:rFonts w:hint="default"/>
                <w:highlight w:val="none"/>
                <w:lang w:val="en-US" w:eastAsia="zh-CN"/>
              </w:rPr>
              <w:t>1</w:t>
            </w:r>
            <w:r>
              <w:rPr>
                <w:rFonts w:hint="default"/>
                <w:highlight w:val="none"/>
              </w:rPr>
              <w:t>2）</w:t>
            </w:r>
          </w:p>
        </w:tc>
      </w:tr>
      <w:tr w14:paraId="37E800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3" w:hRule="atLeast"/>
        </w:trPr>
        <w:tc>
          <w:tcPr>
            <w:tcW w:w="267" w:type="pct"/>
            <w:tcBorders>
              <w:left w:val="single" w:color="000000" w:sz="10" w:space="0"/>
            </w:tcBorders>
            <w:vAlign w:val="center"/>
          </w:tcPr>
          <w:p w14:paraId="4FF406BC">
            <w:pPr>
              <w:pStyle w:val="58"/>
              <w:numPr>
                <w:ilvl w:val="0"/>
                <w:numId w:val="39"/>
              </w:numPr>
              <w:bidi w:val="0"/>
              <w:ind w:left="425" w:leftChars="0" w:hanging="425" w:firstLineChars="0"/>
              <w:rPr>
                <w:rFonts w:hint="default"/>
                <w:highlight w:val="none"/>
              </w:rPr>
            </w:pPr>
          </w:p>
        </w:tc>
        <w:tc>
          <w:tcPr>
            <w:tcW w:w="234" w:type="pct"/>
            <w:vMerge w:val="restart"/>
            <w:tcBorders>
              <w:bottom w:val="nil"/>
            </w:tcBorders>
            <w:textDirection w:val="tbRlV"/>
            <w:vAlign w:val="center"/>
          </w:tcPr>
          <w:p w14:paraId="3E1A6533">
            <w:pPr>
              <w:pStyle w:val="58"/>
              <w:bidi w:val="0"/>
              <w:rPr>
                <w:rFonts w:hint="default"/>
                <w:highlight w:val="none"/>
                <w:lang w:val="en-US" w:eastAsia="zh-CN"/>
              </w:rPr>
            </w:pPr>
            <w:r>
              <w:rPr>
                <w:rFonts w:hint="default"/>
                <w:highlight w:val="none"/>
                <w:lang w:val="en-US" w:eastAsia="zh-CN"/>
              </w:rPr>
              <w:t>危险废物</w:t>
            </w:r>
          </w:p>
        </w:tc>
        <w:tc>
          <w:tcPr>
            <w:tcW w:w="748" w:type="pct"/>
            <w:vAlign w:val="center"/>
          </w:tcPr>
          <w:p w14:paraId="49159DA2">
            <w:pPr>
              <w:pStyle w:val="58"/>
              <w:bidi w:val="0"/>
              <w:rPr>
                <w:rFonts w:hint="default"/>
                <w:highlight w:val="none"/>
              </w:rPr>
            </w:pPr>
            <w:r>
              <w:rPr>
                <w:rFonts w:hint="default"/>
                <w:highlight w:val="none"/>
              </w:rPr>
              <w:t>废润滑油</w:t>
            </w:r>
          </w:p>
        </w:tc>
        <w:tc>
          <w:tcPr>
            <w:tcW w:w="747" w:type="pct"/>
            <w:vAlign w:val="center"/>
          </w:tcPr>
          <w:p w14:paraId="13F5672F">
            <w:pPr>
              <w:pStyle w:val="58"/>
              <w:bidi w:val="0"/>
              <w:rPr>
                <w:rFonts w:hint="default"/>
                <w:highlight w:val="none"/>
              </w:rPr>
            </w:pPr>
            <w:r>
              <w:rPr>
                <w:rFonts w:hint="default"/>
                <w:highlight w:val="none"/>
              </w:rPr>
              <w:t>石油烃</w:t>
            </w:r>
          </w:p>
        </w:tc>
        <w:tc>
          <w:tcPr>
            <w:tcW w:w="829" w:type="pct"/>
            <w:vAlign w:val="center"/>
          </w:tcPr>
          <w:p w14:paraId="274B94D2">
            <w:pPr>
              <w:pStyle w:val="58"/>
              <w:bidi w:val="0"/>
              <w:rPr>
                <w:rFonts w:hint="default"/>
                <w:highlight w:val="none"/>
              </w:rPr>
            </w:pPr>
            <w:r>
              <w:rPr>
                <w:rFonts w:hint="default"/>
                <w:highlight w:val="none"/>
              </w:rPr>
              <w:t>20kg/铁桶</w:t>
            </w:r>
          </w:p>
        </w:tc>
        <w:tc>
          <w:tcPr>
            <w:tcW w:w="985" w:type="pct"/>
            <w:vMerge w:val="restart"/>
            <w:tcBorders>
              <w:bottom w:val="nil"/>
            </w:tcBorders>
            <w:vAlign w:val="center"/>
          </w:tcPr>
          <w:p w14:paraId="7D6952DB">
            <w:pPr>
              <w:pStyle w:val="58"/>
              <w:bidi w:val="0"/>
              <w:rPr>
                <w:rFonts w:hint="default"/>
                <w:highlight w:val="none"/>
              </w:rPr>
            </w:pPr>
            <w:r>
              <w:rPr>
                <w:rFonts w:hint="default"/>
                <w:highlight w:val="none"/>
              </w:rPr>
              <w:t>危废间</w:t>
            </w:r>
          </w:p>
        </w:tc>
        <w:tc>
          <w:tcPr>
            <w:tcW w:w="362" w:type="pct"/>
            <w:vAlign w:val="center"/>
          </w:tcPr>
          <w:p w14:paraId="32C4022A">
            <w:pPr>
              <w:pStyle w:val="58"/>
              <w:bidi w:val="0"/>
              <w:rPr>
                <w:rFonts w:hint="default"/>
                <w:highlight w:val="none"/>
              </w:rPr>
            </w:pPr>
            <w:r>
              <w:rPr>
                <w:rFonts w:hint="default"/>
                <w:highlight w:val="none"/>
              </w:rPr>
              <w:t>t</w:t>
            </w:r>
          </w:p>
        </w:tc>
        <w:tc>
          <w:tcPr>
            <w:tcW w:w="824" w:type="pct"/>
            <w:tcBorders>
              <w:right w:val="single" w:color="000000" w:sz="10" w:space="0"/>
            </w:tcBorders>
            <w:vAlign w:val="center"/>
          </w:tcPr>
          <w:p w14:paraId="775AB138">
            <w:pPr>
              <w:pStyle w:val="58"/>
              <w:bidi w:val="0"/>
              <w:rPr>
                <w:rFonts w:hint="default"/>
                <w:highlight w:val="none"/>
              </w:rPr>
            </w:pPr>
            <w:r>
              <w:rPr>
                <w:rFonts w:hint="default"/>
                <w:highlight w:val="none"/>
              </w:rPr>
              <w:t>0.01</w:t>
            </w:r>
          </w:p>
        </w:tc>
      </w:tr>
      <w:tr w14:paraId="1900AF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3" w:hRule="atLeast"/>
        </w:trPr>
        <w:tc>
          <w:tcPr>
            <w:tcW w:w="267" w:type="pct"/>
            <w:tcBorders>
              <w:left w:val="single" w:color="000000" w:sz="10" w:space="0"/>
            </w:tcBorders>
            <w:vAlign w:val="center"/>
          </w:tcPr>
          <w:p w14:paraId="72BEC830">
            <w:pPr>
              <w:pStyle w:val="58"/>
              <w:numPr>
                <w:ilvl w:val="0"/>
                <w:numId w:val="39"/>
              </w:numPr>
              <w:bidi w:val="0"/>
              <w:ind w:left="425" w:leftChars="0" w:hanging="425" w:firstLineChars="0"/>
              <w:rPr>
                <w:rFonts w:hint="default"/>
                <w:highlight w:val="none"/>
              </w:rPr>
            </w:pPr>
          </w:p>
        </w:tc>
        <w:tc>
          <w:tcPr>
            <w:tcW w:w="234" w:type="pct"/>
            <w:vMerge w:val="continue"/>
            <w:tcBorders>
              <w:top w:val="nil"/>
              <w:bottom w:val="nil"/>
            </w:tcBorders>
            <w:textDirection w:val="tbRlV"/>
            <w:vAlign w:val="center"/>
          </w:tcPr>
          <w:p w14:paraId="76711907">
            <w:pPr>
              <w:pStyle w:val="58"/>
              <w:bidi w:val="0"/>
              <w:rPr>
                <w:rFonts w:hint="default"/>
                <w:highlight w:val="none"/>
              </w:rPr>
            </w:pPr>
          </w:p>
        </w:tc>
        <w:tc>
          <w:tcPr>
            <w:tcW w:w="748" w:type="pct"/>
            <w:vAlign w:val="center"/>
          </w:tcPr>
          <w:p w14:paraId="1A0B0C98">
            <w:pPr>
              <w:pStyle w:val="58"/>
              <w:bidi w:val="0"/>
              <w:rPr>
                <w:rFonts w:hint="default"/>
                <w:highlight w:val="none"/>
              </w:rPr>
            </w:pPr>
            <w:r>
              <w:rPr>
                <w:rFonts w:hint="default"/>
                <w:highlight w:val="none"/>
              </w:rPr>
              <w:t>废液压油</w:t>
            </w:r>
          </w:p>
        </w:tc>
        <w:tc>
          <w:tcPr>
            <w:tcW w:w="747" w:type="pct"/>
            <w:vAlign w:val="center"/>
          </w:tcPr>
          <w:p w14:paraId="2719FC91">
            <w:pPr>
              <w:pStyle w:val="58"/>
              <w:bidi w:val="0"/>
              <w:rPr>
                <w:rFonts w:hint="default"/>
                <w:highlight w:val="none"/>
              </w:rPr>
            </w:pPr>
            <w:r>
              <w:rPr>
                <w:rFonts w:hint="default"/>
                <w:highlight w:val="none"/>
              </w:rPr>
              <w:t>石油烃</w:t>
            </w:r>
          </w:p>
        </w:tc>
        <w:tc>
          <w:tcPr>
            <w:tcW w:w="829" w:type="pct"/>
            <w:vAlign w:val="center"/>
          </w:tcPr>
          <w:p w14:paraId="5B98A398">
            <w:pPr>
              <w:pStyle w:val="58"/>
              <w:bidi w:val="0"/>
              <w:rPr>
                <w:rFonts w:hint="default"/>
                <w:highlight w:val="none"/>
              </w:rPr>
            </w:pPr>
            <w:r>
              <w:rPr>
                <w:rFonts w:hint="default"/>
                <w:highlight w:val="none"/>
              </w:rPr>
              <w:t>20kg/铁桶</w:t>
            </w:r>
          </w:p>
        </w:tc>
        <w:tc>
          <w:tcPr>
            <w:tcW w:w="985" w:type="pct"/>
            <w:vMerge w:val="continue"/>
            <w:tcBorders>
              <w:top w:val="nil"/>
              <w:bottom w:val="nil"/>
            </w:tcBorders>
            <w:vAlign w:val="center"/>
          </w:tcPr>
          <w:p w14:paraId="4D57B318">
            <w:pPr>
              <w:pStyle w:val="58"/>
              <w:bidi w:val="0"/>
              <w:rPr>
                <w:rFonts w:hint="default"/>
                <w:highlight w:val="none"/>
              </w:rPr>
            </w:pPr>
          </w:p>
        </w:tc>
        <w:tc>
          <w:tcPr>
            <w:tcW w:w="362" w:type="pct"/>
            <w:vAlign w:val="center"/>
          </w:tcPr>
          <w:p w14:paraId="5E264F0F">
            <w:pPr>
              <w:pStyle w:val="58"/>
              <w:bidi w:val="0"/>
              <w:rPr>
                <w:rFonts w:hint="default"/>
                <w:highlight w:val="none"/>
              </w:rPr>
            </w:pPr>
            <w:r>
              <w:rPr>
                <w:rFonts w:hint="default"/>
                <w:highlight w:val="none"/>
              </w:rPr>
              <w:t>t</w:t>
            </w:r>
          </w:p>
        </w:tc>
        <w:tc>
          <w:tcPr>
            <w:tcW w:w="824" w:type="pct"/>
            <w:tcBorders>
              <w:right w:val="single" w:color="000000" w:sz="10" w:space="0"/>
            </w:tcBorders>
            <w:vAlign w:val="center"/>
          </w:tcPr>
          <w:p w14:paraId="41CCA7D1">
            <w:pPr>
              <w:pStyle w:val="58"/>
              <w:bidi w:val="0"/>
              <w:rPr>
                <w:rFonts w:hint="eastAsia" w:eastAsia="宋体"/>
                <w:highlight w:val="none"/>
                <w:lang w:eastAsia="zh-CN"/>
              </w:rPr>
            </w:pPr>
            <w:r>
              <w:rPr>
                <w:rFonts w:hint="default"/>
                <w:highlight w:val="none"/>
              </w:rPr>
              <w:t>0.0</w:t>
            </w:r>
            <w:r>
              <w:rPr>
                <w:rFonts w:hint="eastAsia"/>
                <w:highlight w:val="none"/>
                <w:lang w:val="en-US" w:eastAsia="zh-CN"/>
              </w:rPr>
              <w:t>2</w:t>
            </w:r>
          </w:p>
        </w:tc>
      </w:tr>
      <w:tr w14:paraId="6764AC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267" w:type="pct"/>
            <w:tcBorders>
              <w:left w:val="single" w:color="000000" w:sz="10" w:space="0"/>
            </w:tcBorders>
            <w:vAlign w:val="center"/>
          </w:tcPr>
          <w:p w14:paraId="6C3B7095">
            <w:pPr>
              <w:pStyle w:val="58"/>
              <w:numPr>
                <w:ilvl w:val="0"/>
                <w:numId w:val="39"/>
              </w:numPr>
              <w:bidi w:val="0"/>
              <w:ind w:left="425" w:leftChars="0" w:hanging="425" w:firstLineChars="0"/>
              <w:rPr>
                <w:rFonts w:hint="default"/>
                <w:highlight w:val="none"/>
              </w:rPr>
            </w:pPr>
          </w:p>
        </w:tc>
        <w:tc>
          <w:tcPr>
            <w:tcW w:w="234" w:type="pct"/>
            <w:vMerge w:val="continue"/>
            <w:tcBorders>
              <w:top w:val="nil"/>
              <w:bottom w:val="nil"/>
            </w:tcBorders>
            <w:textDirection w:val="tbRlV"/>
            <w:vAlign w:val="center"/>
          </w:tcPr>
          <w:p w14:paraId="6EE5E147">
            <w:pPr>
              <w:pStyle w:val="58"/>
              <w:bidi w:val="0"/>
              <w:rPr>
                <w:rFonts w:hint="default"/>
                <w:highlight w:val="none"/>
              </w:rPr>
            </w:pPr>
          </w:p>
        </w:tc>
        <w:tc>
          <w:tcPr>
            <w:tcW w:w="748" w:type="pct"/>
            <w:vAlign w:val="center"/>
          </w:tcPr>
          <w:p w14:paraId="678E04CC">
            <w:pPr>
              <w:pStyle w:val="58"/>
              <w:bidi w:val="0"/>
              <w:rPr>
                <w:rFonts w:hint="default"/>
                <w:highlight w:val="none"/>
              </w:rPr>
            </w:pPr>
            <w:r>
              <w:rPr>
                <w:rFonts w:hint="default"/>
                <w:highlight w:val="none"/>
              </w:rPr>
              <w:t>废油桶</w:t>
            </w:r>
          </w:p>
        </w:tc>
        <w:tc>
          <w:tcPr>
            <w:tcW w:w="747" w:type="pct"/>
            <w:vAlign w:val="center"/>
          </w:tcPr>
          <w:p w14:paraId="48515A89">
            <w:pPr>
              <w:pStyle w:val="58"/>
              <w:bidi w:val="0"/>
              <w:rPr>
                <w:rFonts w:hint="default"/>
                <w:highlight w:val="none"/>
              </w:rPr>
            </w:pPr>
            <w:r>
              <w:rPr>
                <w:rFonts w:hint="default"/>
                <w:highlight w:val="none"/>
              </w:rPr>
              <w:t>石油烃</w:t>
            </w:r>
          </w:p>
        </w:tc>
        <w:tc>
          <w:tcPr>
            <w:tcW w:w="829" w:type="pct"/>
            <w:vAlign w:val="center"/>
          </w:tcPr>
          <w:p w14:paraId="3E29BF61">
            <w:pPr>
              <w:pStyle w:val="58"/>
              <w:bidi w:val="0"/>
              <w:rPr>
                <w:rFonts w:hint="default"/>
                <w:highlight w:val="none"/>
              </w:rPr>
            </w:pPr>
            <w:r>
              <w:rPr>
                <w:rFonts w:hint="default"/>
                <w:highlight w:val="none"/>
              </w:rPr>
              <w:t>/</w:t>
            </w:r>
          </w:p>
        </w:tc>
        <w:tc>
          <w:tcPr>
            <w:tcW w:w="985" w:type="pct"/>
            <w:vMerge w:val="continue"/>
            <w:tcBorders>
              <w:top w:val="nil"/>
              <w:bottom w:val="nil"/>
            </w:tcBorders>
            <w:vAlign w:val="center"/>
          </w:tcPr>
          <w:p w14:paraId="70ECCDD2">
            <w:pPr>
              <w:pStyle w:val="58"/>
              <w:bidi w:val="0"/>
              <w:rPr>
                <w:rFonts w:hint="default"/>
                <w:highlight w:val="none"/>
              </w:rPr>
            </w:pPr>
          </w:p>
        </w:tc>
        <w:tc>
          <w:tcPr>
            <w:tcW w:w="362" w:type="pct"/>
            <w:vAlign w:val="center"/>
          </w:tcPr>
          <w:p w14:paraId="3A9F3332">
            <w:pPr>
              <w:pStyle w:val="58"/>
              <w:bidi w:val="0"/>
              <w:rPr>
                <w:rFonts w:hint="default"/>
                <w:highlight w:val="none"/>
              </w:rPr>
            </w:pPr>
            <w:r>
              <w:rPr>
                <w:rFonts w:hint="default"/>
                <w:highlight w:val="none"/>
              </w:rPr>
              <w:t>t</w:t>
            </w:r>
          </w:p>
        </w:tc>
        <w:tc>
          <w:tcPr>
            <w:tcW w:w="824" w:type="pct"/>
            <w:tcBorders>
              <w:right w:val="single" w:color="000000" w:sz="10" w:space="0"/>
            </w:tcBorders>
            <w:vAlign w:val="center"/>
          </w:tcPr>
          <w:p w14:paraId="6EBEAA33">
            <w:pPr>
              <w:pStyle w:val="58"/>
              <w:bidi w:val="0"/>
              <w:rPr>
                <w:rFonts w:hint="default"/>
                <w:highlight w:val="none"/>
                <w:lang w:eastAsia="zh-CN"/>
              </w:rPr>
            </w:pPr>
            <w:r>
              <w:rPr>
                <w:rFonts w:hint="default"/>
                <w:highlight w:val="none"/>
              </w:rPr>
              <w:t>0.00</w:t>
            </w:r>
            <w:r>
              <w:rPr>
                <w:rFonts w:hint="eastAsia"/>
                <w:highlight w:val="none"/>
                <w:lang w:val="en-US" w:eastAsia="zh-CN"/>
              </w:rPr>
              <w:t>5</w:t>
            </w:r>
          </w:p>
        </w:tc>
      </w:tr>
      <w:tr w14:paraId="28B5B8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267" w:type="pct"/>
            <w:tcBorders>
              <w:left w:val="single" w:color="000000" w:sz="10" w:space="0"/>
            </w:tcBorders>
            <w:vAlign w:val="center"/>
          </w:tcPr>
          <w:p w14:paraId="4BC96611">
            <w:pPr>
              <w:pStyle w:val="58"/>
              <w:numPr>
                <w:ilvl w:val="0"/>
                <w:numId w:val="39"/>
              </w:numPr>
              <w:bidi w:val="0"/>
              <w:ind w:left="425" w:leftChars="0" w:hanging="425" w:firstLineChars="0"/>
              <w:rPr>
                <w:rFonts w:hint="default"/>
                <w:highlight w:val="none"/>
              </w:rPr>
            </w:pPr>
          </w:p>
        </w:tc>
        <w:tc>
          <w:tcPr>
            <w:tcW w:w="234" w:type="pct"/>
            <w:vMerge w:val="continue"/>
            <w:tcBorders>
              <w:top w:val="nil"/>
              <w:bottom w:val="nil"/>
            </w:tcBorders>
            <w:textDirection w:val="tbRlV"/>
            <w:vAlign w:val="center"/>
          </w:tcPr>
          <w:p w14:paraId="79CB25A7">
            <w:pPr>
              <w:pStyle w:val="58"/>
              <w:bidi w:val="0"/>
              <w:rPr>
                <w:rFonts w:hint="default"/>
                <w:highlight w:val="none"/>
              </w:rPr>
            </w:pPr>
          </w:p>
        </w:tc>
        <w:tc>
          <w:tcPr>
            <w:tcW w:w="748" w:type="pct"/>
            <w:vAlign w:val="center"/>
          </w:tcPr>
          <w:p w14:paraId="000F526A">
            <w:pPr>
              <w:pStyle w:val="58"/>
              <w:bidi w:val="0"/>
              <w:rPr>
                <w:rFonts w:hint="default"/>
                <w:highlight w:val="none"/>
              </w:rPr>
            </w:pPr>
            <w:r>
              <w:rPr>
                <w:rFonts w:hint="default"/>
                <w:highlight w:val="none"/>
              </w:rPr>
              <w:t>在线监测废液</w:t>
            </w:r>
          </w:p>
        </w:tc>
        <w:tc>
          <w:tcPr>
            <w:tcW w:w="747" w:type="pct"/>
            <w:vMerge w:val="restart"/>
            <w:tcBorders>
              <w:bottom w:val="nil"/>
            </w:tcBorders>
            <w:vAlign w:val="center"/>
          </w:tcPr>
          <w:p w14:paraId="2C672002">
            <w:pPr>
              <w:pStyle w:val="58"/>
              <w:bidi w:val="0"/>
              <w:rPr>
                <w:rFonts w:hint="default"/>
                <w:highlight w:val="none"/>
              </w:rPr>
            </w:pPr>
            <w:r>
              <w:rPr>
                <w:rFonts w:hint="default"/>
                <w:highlight w:val="none"/>
              </w:rPr>
              <w:t>重铬酸钾、过硫酸钾、纳氏试剂（含汞）等</w:t>
            </w:r>
          </w:p>
        </w:tc>
        <w:tc>
          <w:tcPr>
            <w:tcW w:w="829" w:type="pct"/>
            <w:vAlign w:val="center"/>
          </w:tcPr>
          <w:p w14:paraId="52A9A5BB">
            <w:pPr>
              <w:pStyle w:val="58"/>
              <w:bidi w:val="0"/>
              <w:rPr>
                <w:rFonts w:hint="default"/>
                <w:highlight w:val="none"/>
              </w:rPr>
            </w:pPr>
            <w:r>
              <w:rPr>
                <w:rFonts w:hint="default"/>
                <w:highlight w:val="none"/>
              </w:rPr>
              <w:t>40kg/塑料桶</w:t>
            </w:r>
          </w:p>
        </w:tc>
        <w:tc>
          <w:tcPr>
            <w:tcW w:w="985" w:type="pct"/>
            <w:vMerge w:val="continue"/>
            <w:tcBorders>
              <w:top w:val="nil"/>
              <w:bottom w:val="nil"/>
            </w:tcBorders>
            <w:vAlign w:val="center"/>
          </w:tcPr>
          <w:p w14:paraId="59B3C129">
            <w:pPr>
              <w:pStyle w:val="58"/>
              <w:bidi w:val="0"/>
              <w:rPr>
                <w:rFonts w:hint="default"/>
                <w:highlight w:val="none"/>
              </w:rPr>
            </w:pPr>
          </w:p>
        </w:tc>
        <w:tc>
          <w:tcPr>
            <w:tcW w:w="362" w:type="pct"/>
            <w:vAlign w:val="center"/>
          </w:tcPr>
          <w:p w14:paraId="05C2E03B">
            <w:pPr>
              <w:pStyle w:val="58"/>
              <w:bidi w:val="0"/>
              <w:rPr>
                <w:rFonts w:hint="default"/>
                <w:highlight w:val="none"/>
              </w:rPr>
            </w:pPr>
            <w:r>
              <w:rPr>
                <w:rFonts w:hint="default"/>
                <w:highlight w:val="none"/>
              </w:rPr>
              <w:t>t</w:t>
            </w:r>
          </w:p>
        </w:tc>
        <w:tc>
          <w:tcPr>
            <w:tcW w:w="824" w:type="pct"/>
            <w:tcBorders>
              <w:right w:val="single" w:color="000000" w:sz="10" w:space="0"/>
            </w:tcBorders>
            <w:vAlign w:val="center"/>
          </w:tcPr>
          <w:p w14:paraId="1B8E9CDD">
            <w:pPr>
              <w:pStyle w:val="58"/>
              <w:bidi w:val="0"/>
              <w:rPr>
                <w:rFonts w:hint="default" w:eastAsia="宋体"/>
                <w:highlight w:val="none"/>
                <w:lang w:val="en-US" w:eastAsia="zh-CN"/>
              </w:rPr>
            </w:pPr>
            <w:r>
              <w:rPr>
                <w:rFonts w:hint="default"/>
                <w:highlight w:val="none"/>
              </w:rPr>
              <w:t>0.</w:t>
            </w:r>
            <w:r>
              <w:rPr>
                <w:rFonts w:hint="eastAsia"/>
                <w:highlight w:val="none"/>
                <w:lang w:val="en-US" w:eastAsia="zh-CN"/>
              </w:rPr>
              <w:t>07</w:t>
            </w:r>
          </w:p>
        </w:tc>
      </w:tr>
      <w:tr w14:paraId="2B0CF2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267" w:type="pct"/>
            <w:tcBorders>
              <w:left w:val="single" w:color="000000" w:sz="10" w:space="0"/>
            </w:tcBorders>
            <w:vAlign w:val="center"/>
          </w:tcPr>
          <w:p w14:paraId="47119D0B">
            <w:pPr>
              <w:pStyle w:val="58"/>
              <w:numPr>
                <w:ilvl w:val="0"/>
                <w:numId w:val="39"/>
              </w:numPr>
              <w:bidi w:val="0"/>
              <w:ind w:left="425" w:leftChars="0" w:hanging="425" w:firstLineChars="0"/>
              <w:rPr>
                <w:rFonts w:hint="default"/>
                <w:highlight w:val="none"/>
              </w:rPr>
            </w:pPr>
          </w:p>
        </w:tc>
        <w:tc>
          <w:tcPr>
            <w:tcW w:w="234" w:type="pct"/>
            <w:vMerge w:val="continue"/>
            <w:tcBorders>
              <w:top w:val="nil"/>
              <w:bottom w:val="nil"/>
            </w:tcBorders>
            <w:textDirection w:val="tbRlV"/>
            <w:vAlign w:val="center"/>
          </w:tcPr>
          <w:p w14:paraId="2173DC67">
            <w:pPr>
              <w:pStyle w:val="58"/>
              <w:bidi w:val="0"/>
              <w:rPr>
                <w:rFonts w:hint="default"/>
                <w:highlight w:val="none"/>
              </w:rPr>
            </w:pPr>
          </w:p>
        </w:tc>
        <w:tc>
          <w:tcPr>
            <w:tcW w:w="748" w:type="pct"/>
            <w:vAlign w:val="center"/>
          </w:tcPr>
          <w:p w14:paraId="304106B3">
            <w:pPr>
              <w:pStyle w:val="58"/>
              <w:bidi w:val="0"/>
              <w:rPr>
                <w:rFonts w:hint="default"/>
                <w:highlight w:val="none"/>
              </w:rPr>
            </w:pPr>
            <w:r>
              <w:rPr>
                <w:rFonts w:hint="eastAsia"/>
                <w:highlight w:val="none"/>
                <w:lang w:eastAsia="zh-CN"/>
              </w:rPr>
              <w:t>实验室</w:t>
            </w:r>
            <w:r>
              <w:rPr>
                <w:rFonts w:hint="default"/>
                <w:highlight w:val="none"/>
              </w:rPr>
              <w:t>废液</w:t>
            </w:r>
          </w:p>
        </w:tc>
        <w:tc>
          <w:tcPr>
            <w:tcW w:w="747" w:type="pct"/>
            <w:vMerge w:val="continue"/>
            <w:tcBorders>
              <w:top w:val="nil"/>
              <w:bottom w:val="nil"/>
            </w:tcBorders>
            <w:vAlign w:val="center"/>
          </w:tcPr>
          <w:p w14:paraId="1DA2EC31">
            <w:pPr>
              <w:pStyle w:val="58"/>
              <w:bidi w:val="0"/>
              <w:rPr>
                <w:rFonts w:hint="default"/>
                <w:highlight w:val="none"/>
              </w:rPr>
            </w:pPr>
          </w:p>
        </w:tc>
        <w:tc>
          <w:tcPr>
            <w:tcW w:w="829" w:type="pct"/>
            <w:vAlign w:val="center"/>
          </w:tcPr>
          <w:p w14:paraId="58100EA4">
            <w:pPr>
              <w:pStyle w:val="58"/>
              <w:bidi w:val="0"/>
              <w:rPr>
                <w:rFonts w:hint="default"/>
                <w:highlight w:val="none"/>
              </w:rPr>
            </w:pPr>
            <w:r>
              <w:rPr>
                <w:rFonts w:hint="default"/>
                <w:highlight w:val="none"/>
              </w:rPr>
              <w:t>40kg/塑料桶</w:t>
            </w:r>
          </w:p>
        </w:tc>
        <w:tc>
          <w:tcPr>
            <w:tcW w:w="985" w:type="pct"/>
            <w:vMerge w:val="continue"/>
            <w:tcBorders>
              <w:top w:val="nil"/>
              <w:bottom w:val="nil"/>
            </w:tcBorders>
            <w:vAlign w:val="center"/>
          </w:tcPr>
          <w:p w14:paraId="58195763">
            <w:pPr>
              <w:pStyle w:val="58"/>
              <w:bidi w:val="0"/>
              <w:rPr>
                <w:rFonts w:hint="default"/>
                <w:highlight w:val="none"/>
              </w:rPr>
            </w:pPr>
          </w:p>
        </w:tc>
        <w:tc>
          <w:tcPr>
            <w:tcW w:w="362" w:type="pct"/>
            <w:vAlign w:val="center"/>
          </w:tcPr>
          <w:p w14:paraId="1969A41B">
            <w:pPr>
              <w:pStyle w:val="58"/>
              <w:bidi w:val="0"/>
              <w:rPr>
                <w:rFonts w:hint="default"/>
                <w:highlight w:val="none"/>
              </w:rPr>
            </w:pPr>
            <w:r>
              <w:rPr>
                <w:rFonts w:hint="default"/>
                <w:highlight w:val="none"/>
              </w:rPr>
              <w:t>t</w:t>
            </w:r>
          </w:p>
        </w:tc>
        <w:tc>
          <w:tcPr>
            <w:tcW w:w="824" w:type="pct"/>
            <w:tcBorders>
              <w:right w:val="single" w:color="000000" w:sz="10" w:space="0"/>
            </w:tcBorders>
            <w:vAlign w:val="center"/>
          </w:tcPr>
          <w:p w14:paraId="6D1BAA1C">
            <w:pPr>
              <w:pStyle w:val="58"/>
              <w:bidi w:val="0"/>
              <w:rPr>
                <w:rFonts w:hint="default"/>
                <w:highlight w:val="none"/>
              </w:rPr>
            </w:pPr>
            <w:r>
              <w:rPr>
                <w:rFonts w:hint="default"/>
                <w:highlight w:val="none"/>
              </w:rPr>
              <w:t>0.01</w:t>
            </w:r>
          </w:p>
        </w:tc>
      </w:tr>
      <w:tr w14:paraId="36AD91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7" w:hRule="atLeast"/>
        </w:trPr>
        <w:tc>
          <w:tcPr>
            <w:tcW w:w="267" w:type="pct"/>
            <w:tcBorders>
              <w:left w:val="single" w:color="000000" w:sz="10" w:space="0"/>
              <w:bottom w:val="single" w:color="000000" w:sz="10" w:space="0"/>
            </w:tcBorders>
            <w:vAlign w:val="center"/>
          </w:tcPr>
          <w:p w14:paraId="6F23E807">
            <w:pPr>
              <w:pStyle w:val="58"/>
              <w:numPr>
                <w:ilvl w:val="0"/>
                <w:numId w:val="39"/>
              </w:numPr>
              <w:bidi w:val="0"/>
              <w:ind w:left="425" w:leftChars="0" w:hanging="425" w:firstLineChars="0"/>
              <w:rPr>
                <w:rFonts w:hint="default"/>
                <w:highlight w:val="none"/>
              </w:rPr>
            </w:pPr>
          </w:p>
        </w:tc>
        <w:tc>
          <w:tcPr>
            <w:tcW w:w="234" w:type="pct"/>
            <w:vMerge w:val="continue"/>
            <w:tcBorders>
              <w:top w:val="nil"/>
              <w:bottom w:val="single" w:color="000000" w:sz="10" w:space="0"/>
            </w:tcBorders>
            <w:textDirection w:val="tbRlV"/>
            <w:vAlign w:val="center"/>
          </w:tcPr>
          <w:p w14:paraId="4EB82882">
            <w:pPr>
              <w:pStyle w:val="58"/>
              <w:bidi w:val="0"/>
              <w:rPr>
                <w:rFonts w:hint="default"/>
                <w:highlight w:val="none"/>
              </w:rPr>
            </w:pPr>
          </w:p>
        </w:tc>
        <w:tc>
          <w:tcPr>
            <w:tcW w:w="748" w:type="pct"/>
            <w:tcBorders>
              <w:bottom w:val="single" w:color="000000" w:sz="10" w:space="0"/>
            </w:tcBorders>
            <w:vAlign w:val="center"/>
          </w:tcPr>
          <w:p w14:paraId="64E998AC">
            <w:pPr>
              <w:pStyle w:val="58"/>
              <w:bidi w:val="0"/>
              <w:rPr>
                <w:rFonts w:hint="default"/>
                <w:highlight w:val="none"/>
              </w:rPr>
            </w:pPr>
            <w:r>
              <w:rPr>
                <w:rFonts w:hint="default"/>
                <w:highlight w:val="none"/>
              </w:rPr>
              <w:t>废试剂瓶</w:t>
            </w:r>
          </w:p>
        </w:tc>
        <w:tc>
          <w:tcPr>
            <w:tcW w:w="747" w:type="pct"/>
            <w:vMerge w:val="continue"/>
            <w:tcBorders>
              <w:top w:val="nil"/>
              <w:bottom w:val="single" w:color="000000" w:sz="10" w:space="0"/>
            </w:tcBorders>
            <w:vAlign w:val="center"/>
          </w:tcPr>
          <w:p w14:paraId="42026837">
            <w:pPr>
              <w:pStyle w:val="58"/>
              <w:bidi w:val="0"/>
              <w:rPr>
                <w:rFonts w:hint="default"/>
                <w:highlight w:val="none"/>
              </w:rPr>
            </w:pPr>
          </w:p>
        </w:tc>
        <w:tc>
          <w:tcPr>
            <w:tcW w:w="829" w:type="pct"/>
            <w:tcBorders>
              <w:bottom w:val="single" w:color="000000" w:sz="10" w:space="0"/>
            </w:tcBorders>
            <w:vAlign w:val="center"/>
          </w:tcPr>
          <w:p w14:paraId="1CC9D7A6">
            <w:pPr>
              <w:pStyle w:val="58"/>
              <w:bidi w:val="0"/>
              <w:rPr>
                <w:rFonts w:hint="default"/>
                <w:highlight w:val="none"/>
              </w:rPr>
            </w:pPr>
            <w:r>
              <w:rPr>
                <w:rFonts w:hint="default"/>
                <w:highlight w:val="none"/>
              </w:rPr>
              <w:t>/</w:t>
            </w:r>
          </w:p>
        </w:tc>
        <w:tc>
          <w:tcPr>
            <w:tcW w:w="985" w:type="pct"/>
            <w:vMerge w:val="continue"/>
            <w:tcBorders>
              <w:top w:val="nil"/>
              <w:bottom w:val="single" w:color="000000" w:sz="10" w:space="0"/>
            </w:tcBorders>
            <w:vAlign w:val="center"/>
          </w:tcPr>
          <w:p w14:paraId="708D5DA7">
            <w:pPr>
              <w:pStyle w:val="58"/>
              <w:bidi w:val="0"/>
              <w:rPr>
                <w:rFonts w:hint="default"/>
                <w:highlight w:val="none"/>
              </w:rPr>
            </w:pPr>
          </w:p>
        </w:tc>
        <w:tc>
          <w:tcPr>
            <w:tcW w:w="362" w:type="pct"/>
            <w:tcBorders>
              <w:bottom w:val="single" w:color="000000" w:sz="10" w:space="0"/>
            </w:tcBorders>
            <w:vAlign w:val="center"/>
          </w:tcPr>
          <w:p w14:paraId="57E394BF">
            <w:pPr>
              <w:pStyle w:val="58"/>
              <w:bidi w:val="0"/>
              <w:rPr>
                <w:rFonts w:hint="default"/>
                <w:highlight w:val="none"/>
              </w:rPr>
            </w:pPr>
            <w:r>
              <w:rPr>
                <w:rFonts w:hint="default"/>
                <w:highlight w:val="none"/>
              </w:rPr>
              <w:t>t</w:t>
            </w:r>
          </w:p>
        </w:tc>
        <w:tc>
          <w:tcPr>
            <w:tcW w:w="824" w:type="pct"/>
            <w:tcBorders>
              <w:bottom w:val="single" w:color="000000" w:sz="10" w:space="0"/>
              <w:right w:val="single" w:color="000000" w:sz="10" w:space="0"/>
            </w:tcBorders>
            <w:vAlign w:val="center"/>
          </w:tcPr>
          <w:p w14:paraId="652A78FC">
            <w:pPr>
              <w:pStyle w:val="58"/>
              <w:bidi w:val="0"/>
              <w:rPr>
                <w:rFonts w:hint="default"/>
                <w:highlight w:val="none"/>
              </w:rPr>
            </w:pPr>
            <w:r>
              <w:rPr>
                <w:rFonts w:hint="default"/>
                <w:highlight w:val="none"/>
              </w:rPr>
              <w:t>3.2×10</w:t>
            </w:r>
            <w:r>
              <w:rPr>
                <w:rFonts w:hint="default"/>
                <w:highlight w:val="none"/>
                <w:vertAlign w:val="superscript"/>
              </w:rPr>
              <w:t>-5</w:t>
            </w:r>
          </w:p>
        </w:tc>
      </w:tr>
      <w:bookmarkEnd w:id="339"/>
    </w:tbl>
    <w:p w14:paraId="58F51381">
      <w:pPr>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rPr>
        <w:t>根据表</w:t>
      </w:r>
      <w:r>
        <w:rPr>
          <w:rFonts w:hint="default" w:ascii="Times New Roman" w:hAnsi="Times New Roman" w:eastAsia="宋体" w:cs="Times New Roman"/>
          <w:spacing w:val="-1"/>
          <w:sz w:val="24"/>
          <w:szCs w:val="24"/>
          <w:highlight w:val="none"/>
          <w:lang w:val="en-US" w:eastAsia="zh-CN"/>
        </w:rPr>
        <w:t>5.2</w:t>
      </w:r>
      <w:r>
        <w:rPr>
          <w:rFonts w:hint="default" w:ascii="Times New Roman" w:hAnsi="Times New Roman" w:eastAsia="宋体" w:cs="Times New Roman"/>
          <w:spacing w:val="-1"/>
          <w:sz w:val="24"/>
          <w:szCs w:val="24"/>
          <w:highlight w:val="none"/>
        </w:rPr>
        <w:t>-</w:t>
      </w:r>
      <w:r>
        <w:rPr>
          <w:rFonts w:hint="default" w:ascii="Times New Roman" w:hAnsi="Times New Roman" w:eastAsia="宋体" w:cs="Times New Roman"/>
          <w:spacing w:val="-1"/>
          <w:sz w:val="24"/>
          <w:szCs w:val="24"/>
          <w:highlight w:val="none"/>
          <w:lang w:val="en-US" w:eastAsia="zh-CN"/>
        </w:rPr>
        <w:t>3</w:t>
      </w:r>
      <w:r>
        <w:rPr>
          <w:rFonts w:hint="eastAsia" w:cs="Times New Roman"/>
          <w:spacing w:val="-1"/>
          <w:sz w:val="24"/>
          <w:szCs w:val="24"/>
          <w:highlight w:val="none"/>
          <w:lang w:val="en-US" w:eastAsia="zh-CN"/>
        </w:rPr>
        <w:t>3</w:t>
      </w:r>
      <w:r>
        <w:rPr>
          <w:rFonts w:hint="default" w:ascii="Times New Roman" w:hAnsi="Times New Roman" w:eastAsia="宋体" w:cs="Times New Roman"/>
          <w:spacing w:val="-1"/>
          <w:sz w:val="24"/>
          <w:szCs w:val="24"/>
          <w:highlight w:val="none"/>
        </w:rPr>
        <w:t>计算</w:t>
      </w:r>
      <w:r>
        <w:rPr>
          <w:rFonts w:hint="default" w:ascii="Times New Roman" w:hAnsi="Times New Roman" w:eastAsia="宋体" w:cs="Times New Roman"/>
          <w:spacing w:val="-1"/>
          <w:sz w:val="24"/>
          <w:szCs w:val="24"/>
        </w:rPr>
        <w:t>危险物质数量与临界量比值（Q</w:t>
      </w:r>
      <w:r>
        <w:rPr>
          <w:rFonts w:hint="default" w:ascii="Times New Roman" w:hAnsi="Times New Roman" w:eastAsia="宋体" w:cs="Times New Roman"/>
          <w:spacing w:val="7"/>
          <w:sz w:val="24"/>
          <w:szCs w:val="24"/>
        </w:rPr>
        <w:t>），</w:t>
      </w:r>
      <w:r>
        <w:rPr>
          <w:rFonts w:hint="default" w:ascii="Times New Roman" w:hAnsi="Times New Roman" w:eastAsia="宋体" w:cs="Times New Roman"/>
          <w:spacing w:val="-1"/>
          <w:sz w:val="24"/>
          <w:szCs w:val="24"/>
        </w:rPr>
        <w:t>具体</w:t>
      </w:r>
      <w:r>
        <w:rPr>
          <w:rFonts w:hint="default" w:ascii="Times New Roman" w:hAnsi="Times New Roman" w:eastAsia="宋体" w:cs="Times New Roman"/>
          <w:spacing w:val="-2"/>
          <w:sz w:val="24"/>
          <w:szCs w:val="24"/>
        </w:rPr>
        <w:t>见下表。</w:t>
      </w:r>
    </w:p>
    <w:p w14:paraId="34B60811">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本项目所涉及的危险物质最大存在量</w:t>
      </w:r>
    </w:p>
    <w:p w14:paraId="0C68AFF0">
      <w:pPr>
        <w:spacing w:line="16" w:lineRule="exact"/>
        <w:rPr>
          <w:rFonts w:hint="default" w:ascii="Times New Roman" w:hAnsi="Times New Roman" w:eastAsia="宋体" w:cs="Times New Roman"/>
        </w:rPr>
      </w:pPr>
    </w:p>
    <w:tbl>
      <w:tblPr>
        <w:tblStyle w:val="88"/>
        <w:tblW w:w="504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743"/>
        <w:gridCol w:w="1723"/>
        <w:gridCol w:w="1215"/>
        <w:gridCol w:w="1991"/>
        <w:gridCol w:w="1500"/>
        <w:gridCol w:w="2003"/>
      </w:tblGrid>
      <w:tr w14:paraId="0C01999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8" w:hRule="atLeast"/>
        </w:trPr>
        <w:tc>
          <w:tcPr>
            <w:tcW w:w="405" w:type="pct"/>
            <w:vAlign w:val="center"/>
          </w:tcPr>
          <w:p w14:paraId="58F7B4EB">
            <w:pPr>
              <w:pStyle w:val="58"/>
              <w:bidi w:val="0"/>
              <w:rPr>
                <w:rFonts w:hint="default"/>
                <w:highlight w:val="none"/>
              </w:rPr>
            </w:pPr>
            <w:r>
              <w:rPr>
                <w:rFonts w:hint="default"/>
                <w:highlight w:val="none"/>
              </w:rPr>
              <w:t>序号</w:t>
            </w:r>
          </w:p>
        </w:tc>
        <w:tc>
          <w:tcPr>
            <w:tcW w:w="939" w:type="pct"/>
            <w:vAlign w:val="center"/>
          </w:tcPr>
          <w:p w14:paraId="2296324C">
            <w:pPr>
              <w:pStyle w:val="58"/>
              <w:bidi w:val="0"/>
              <w:rPr>
                <w:rFonts w:hint="default"/>
                <w:highlight w:val="none"/>
              </w:rPr>
            </w:pPr>
            <w:r>
              <w:rPr>
                <w:rFonts w:hint="default"/>
                <w:highlight w:val="none"/>
              </w:rPr>
              <w:t>危险物质名称</w:t>
            </w:r>
          </w:p>
        </w:tc>
        <w:tc>
          <w:tcPr>
            <w:tcW w:w="662" w:type="pct"/>
            <w:vAlign w:val="center"/>
          </w:tcPr>
          <w:p w14:paraId="276E1A31">
            <w:pPr>
              <w:pStyle w:val="58"/>
              <w:bidi w:val="0"/>
              <w:rPr>
                <w:rFonts w:hint="default"/>
                <w:highlight w:val="none"/>
              </w:rPr>
            </w:pPr>
            <w:r>
              <w:rPr>
                <w:rFonts w:hint="default"/>
                <w:highlight w:val="none"/>
              </w:rPr>
              <w:t>CAS号</w:t>
            </w:r>
          </w:p>
        </w:tc>
        <w:tc>
          <w:tcPr>
            <w:tcW w:w="1085" w:type="pct"/>
            <w:vAlign w:val="center"/>
          </w:tcPr>
          <w:p w14:paraId="330C3936">
            <w:pPr>
              <w:pStyle w:val="58"/>
              <w:bidi w:val="0"/>
              <w:rPr>
                <w:rFonts w:hint="default"/>
                <w:highlight w:val="none"/>
              </w:rPr>
            </w:pPr>
            <w:r>
              <w:rPr>
                <w:rFonts w:hint="default"/>
                <w:highlight w:val="none"/>
              </w:rPr>
              <w:t>最大存在总量qn/t</w:t>
            </w:r>
          </w:p>
        </w:tc>
        <w:tc>
          <w:tcPr>
            <w:tcW w:w="817" w:type="pct"/>
            <w:vAlign w:val="center"/>
          </w:tcPr>
          <w:p w14:paraId="697670EA">
            <w:pPr>
              <w:pStyle w:val="58"/>
              <w:bidi w:val="0"/>
              <w:rPr>
                <w:rFonts w:hint="default"/>
                <w:highlight w:val="none"/>
              </w:rPr>
            </w:pPr>
            <w:r>
              <w:rPr>
                <w:rFonts w:hint="default"/>
                <w:highlight w:val="none"/>
              </w:rPr>
              <w:t>临界量Qn/t</w:t>
            </w:r>
          </w:p>
        </w:tc>
        <w:tc>
          <w:tcPr>
            <w:tcW w:w="1091" w:type="pct"/>
            <w:vAlign w:val="center"/>
          </w:tcPr>
          <w:p w14:paraId="6EC720D5">
            <w:pPr>
              <w:pStyle w:val="58"/>
              <w:bidi w:val="0"/>
              <w:rPr>
                <w:rFonts w:hint="default"/>
                <w:highlight w:val="none"/>
              </w:rPr>
            </w:pPr>
            <w:r>
              <w:rPr>
                <w:rFonts w:hint="default"/>
                <w:highlight w:val="none"/>
              </w:rPr>
              <w:t>该种危险物质Q值</w:t>
            </w:r>
          </w:p>
        </w:tc>
      </w:tr>
      <w:tr w14:paraId="7F39D0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4" w:hRule="atLeast"/>
        </w:trPr>
        <w:tc>
          <w:tcPr>
            <w:tcW w:w="405" w:type="pct"/>
            <w:vAlign w:val="center"/>
          </w:tcPr>
          <w:p w14:paraId="14CEA4F5">
            <w:pPr>
              <w:pStyle w:val="58"/>
              <w:numPr>
                <w:ilvl w:val="0"/>
                <w:numId w:val="40"/>
              </w:numPr>
              <w:bidi w:val="0"/>
              <w:ind w:left="425" w:leftChars="0" w:hanging="425" w:firstLineChars="0"/>
              <w:rPr>
                <w:rFonts w:hint="default"/>
                <w:highlight w:val="none"/>
              </w:rPr>
            </w:pPr>
          </w:p>
        </w:tc>
        <w:tc>
          <w:tcPr>
            <w:tcW w:w="939" w:type="pct"/>
            <w:vAlign w:val="center"/>
          </w:tcPr>
          <w:p w14:paraId="33454A35">
            <w:pPr>
              <w:pStyle w:val="58"/>
              <w:bidi w:val="0"/>
              <w:rPr>
                <w:rFonts w:hint="default"/>
                <w:highlight w:val="none"/>
              </w:rPr>
            </w:pPr>
            <w:r>
              <w:rPr>
                <w:rFonts w:hint="default"/>
                <w:highlight w:val="none"/>
              </w:rPr>
              <w:t>次氯酸钠</w:t>
            </w:r>
          </w:p>
        </w:tc>
        <w:tc>
          <w:tcPr>
            <w:tcW w:w="662" w:type="pct"/>
            <w:vAlign w:val="center"/>
          </w:tcPr>
          <w:p w14:paraId="3D9014D1">
            <w:pPr>
              <w:pStyle w:val="58"/>
              <w:bidi w:val="0"/>
              <w:rPr>
                <w:rFonts w:hint="default"/>
                <w:highlight w:val="none"/>
              </w:rPr>
            </w:pPr>
            <w:r>
              <w:rPr>
                <w:rFonts w:hint="default"/>
                <w:highlight w:val="none"/>
              </w:rPr>
              <w:t>7681-52-9</w:t>
            </w:r>
          </w:p>
        </w:tc>
        <w:tc>
          <w:tcPr>
            <w:tcW w:w="1085" w:type="pct"/>
            <w:vAlign w:val="center"/>
          </w:tcPr>
          <w:p w14:paraId="6CA19C13">
            <w:pPr>
              <w:pStyle w:val="58"/>
              <w:bidi w:val="0"/>
              <w:rPr>
                <w:rFonts w:hint="default"/>
                <w:highlight w:val="none"/>
              </w:rPr>
            </w:pPr>
            <w:r>
              <w:rPr>
                <w:rFonts w:hint="default"/>
                <w:highlight w:val="none"/>
              </w:rPr>
              <w:t>0.</w:t>
            </w:r>
            <w:r>
              <w:rPr>
                <w:rFonts w:hint="default"/>
                <w:highlight w:val="none"/>
                <w:lang w:val="en-US" w:eastAsia="zh-CN"/>
              </w:rPr>
              <w:t>1</w:t>
            </w:r>
            <w:r>
              <w:rPr>
                <w:rFonts w:hint="default"/>
                <w:highlight w:val="none"/>
              </w:rPr>
              <w:t>2（以折纯量计）</w:t>
            </w:r>
          </w:p>
        </w:tc>
        <w:tc>
          <w:tcPr>
            <w:tcW w:w="817" w:type="pct"/>
            <w:vAlign w:val="center"/>
          </w:tcPr>
          <w:p w14:paraId="1DE219AD">
            <w:pPr>
              <w:pStyle w:val="58"/>
              <w:bidi w:val="0"/>
              <w:rPr>
                <w:rFonts w:hint="default"/>
                <w:highlight w:val="none"/>
              </w:rPr>
            </w:pPr>
            <w:r>
              <w:rPr>
                <w:rFonts w:hint="default"/>
                <w:highlight w:val="none"/>
              </w:rPr>
              <w:t>5</w:t>
            </w:r>
          </w:p>
        </w:tc>
        <w:tc>
          <w:tcPr>
            <w:tcW w:w="1091" w:type="pct"/>
            <w:vAlign w:val="center"/>
          </w:tcPr>
          <w:p w14:paraId="258798F6">
            <w:pPr>
              <w:pStyle w:val="58"/>
              <w:bidi w:val="0"/>
              <w:rPr>
                <w:rFonts w:hint="default"/>
                <w:highlight w:val="none"/>
              </w:rPr>
            </w:pPr>
            <w:r>
              <w:rPr>
                <w:rFonts w:hint="default"/>
                <w:highlight w:val="none"/>
                <w:lang w:val="en-US" w:eastAsia="zh-CN"/>
              </w:rPr>
              <w:t>0.024</w:t>
            </w:r>
          </w:p>
        </w:tc>
      </w:tr>
      <w:tr w14:paraId="1064794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4" w:hRule="atLeast"/>
        </w:trPr>
        <w:tc>
          <w:tcPr>
            <w:tcW w:w="405" w:type="pct"/>
            <w:vAlign w:val="center"/>
          </w:tcPr>
          <w:p w14:paraId="50653593">
            <w:pPr>
              <w:pStyle w:val="58"/>
              <w:numPr>
                <w:ilvl w:val="0"/>
                <w:numId w:val="40"/>
              </w:numPr>
              <w:bidi w:val="0"/>
              <w:ind w:left="425" w:leftChars="0" w:hanging="425" w:firstLineChars="0"/>
              <w:rPr>
                <w:rFonts w:hint="default"/>
                <w:highlight w:val="none"/>
              </w:rPr>
            </w:pPr>
          </w:p>
        </w:tc>
        <w:tc>
          <w:tcPr>
            <w:tcW w:w="939" w:type="pct"/>
            <w:vAlign w:val="center"/>
          </w:tcPr>
          <w:p w14:paraId="321B5106">
            <w:pPr>
              <w:pStyle w:val="58"/>
              <w:bidi w:val="0"/>
              <w:rPr>
                <w:rFonts w:hint="default"/>
                <w:highlight w:val="none"/>
              </w:rPr>
            </w:pPr>
            <w:r>
              <w:rPr>
                <w:rFonts w:hint="default"/>
                <w:highlight w:val="none"/>
              </w:rPr>
              <w:t>润滑油</w:t>
            </w:r>
          </w:p>
        </w:tc>
        <w:tc>
          <w:tcPr>
            <w:tcW w:w="662" w:type="pct"/>
            <w:vAlign w:val="center"/>
          </w:tcPr>
          <w:p w14:paraId="60E20699">
            <w:pPr>
              <w:pStyle w:val="58"/>
              <w:bidi w:val="0"/>
              <w:rPr>
                <w:rFonts w:hint="default"/>
                <w:highlight w:val="none"/>
              </w:rPr>
            </w:pPr>
            <w:r>
              <w:rPr>
                <w:rFonts w:hint="default"/>
                <w:highlight w:val="none"/>
              </w:rPr>
              <w:t>/</w:t>
            </w:r>
          </w:p>
        </w:tc>
        <w:tc>
          <w:tcPr>
            <w:tcW w:w="1085" w:type="pct"/>
            <w:vAlign w:val="center"/>
          </w:tcPr>
          <w:p w14:paraId="121854D4">
            <w:pPr>
              <w:pStyle w:val="58"/>
              <w:bidi w:val="0"/>
              <w:rPr>
                <w:rFonts w:hint="eastAsia" w:eastAsia="宋体"/>
                <w:highlight w:val="none"/>
                <w:lang w:eastAsia="zh-CN"/>
              </w:rPr>
            </w:pPr>
            <w:r>
              <w:rPr>
                <w:rFonts w:hint="default"/>
                <w:highlight w:val="none"/>
              </w:rPr>
              <w:t>0.0</w:t>
            </w:r>
            <w:r>
              <w:rPr>
                <w:rFonts w:hint="eastAsia"/>
                <w:highlight w:val="none"/>
                <w:lang w:val="en-US" w:eastAsia="zh-CN"/>
              </w:rPr>
              <w:t>5</w:t>
            </w:r>
          </w:p>
        </w:tc>
        <w:tc>
          <w:tcPr>
            <w:tcW w:w="817" w:type="pct"/>
            <w:vMerge w:val="restart"/>
            <w:vAlign w:val="center"/>
          </w:tcPr>
          <w:p w14:paraId="46420F5D">
            <w:pPr>
              <w:pStyle w:val="58"/>
              <w:bidi w:val="0"/>
              <w:rPr>
                <w:rFonts w:hint="default"/>
                <w:highlight w:val="none"/>
              </w:rPr>
            </w:pPr>
            <w:r>
              <w:rPr>
                <w:rFonts w:hint="default"/>
                <w:highlight w:val="none"/>
              </w:rPr>
              <w:t>2500</w:t>
            </w:r>
          </w:p>
        </w:tc>
        <w:tc>
          <w:tcPr>
            <w:tcW w:w="1091" w:type="pct"/>
            <w:vAlign w:val="center"/>
          </w:tcPr>
          <w:p w14:paraId="0B77391E">
            <w:pPr>
              <w:pStyle w:val="58"/>
              <w:bidi w:val="0"/>
              <w:rPr>
                <w:rFonts w:hint="default"/>
                <w:highlight w:val="none"/>
                <w:lang w:val="en-US" w:eastAsia="zh-CN"/>
              </w:rPr>
            </w:pPr>
            <w:r>
              <w:rPr>
                <w:rFonts w:hint="default"/>
                <w:highlight w:val="none"/>
                <w:lang w:val="en-US" w:eastAsia="zh-CN"/>
              </w:rPr>
              <w:t>0.00002</w:t>
            </w:r>
          </w:p>
        </w:tc>
      </w:tr>
      <w:tr w14:paraId="164DB27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8" w:hRule="atLeast"/>
        </w:trPr>
        <w:tc>
          <w:tcPr>
            <w:tcW w:w="405" w:type="pct"/>
            <w:vAlign w:val="center"/>
          </w:tcPr>
          <w:p w14:paraId="67EFE55C">
            <w:pPr>
              <w:pStyle w:val="58"/>
              <w:numPr>
                <w:ilvl w:val="0"/>
                <w:numId w:val="40"/>
              </w:numPr>
              <w:bidi w:val="0"/>
              <w:ind w:left="425" w:leftChars="0" w:hanging="425" w:firstLineChars="0"/>
              <w:rPr>
                <w:rFonts w:hint="default"/>
                <w:highlight w:val="none"/>
              </w:rPr>
            </w:pPr>
          </w:p>
        </w:tc>
        <w:tc>
          <w:tcPr>
            <w:tcW w:w="939" w:type="pct"/>
            <w:vAlign w:val="center"/>
          </w:tcPr>
          <w:p w14:paraId="06357946">
            <w:pPr>
              <w:pStyle w:val="58"/>
              <w:bidi w:val="0"/>
              <w:rPr>
                <w:rFonts w:hint="default"/>
                <w:highlight w:val="none"/>
              </w:rPr>
            </w:pPr>
            <w:r>
              <w:rPr>
                <w:rFonts w:hint="default"/>
                <w:highlight w:val="none"/>
              </w:rPr>
              <w:t>液压油</w:t>
            </w:r>
          </w:p>
        </w:tc>
        <w:tc>
          <w:tcPr>
            <w:tcW w:w="662" w:type="pct"/>
            <w:vAlign w:val="center"/>
          </w:tcPr>
          <w:p w14:paraId="1C9C7217">
            <w:pPr>
              <w:pStyle w:val="58"/>
              <w:bidi w:val="0"/>
              <w:rPr>
                <w:rFonts w:hint="default"/>
                <w:highlight w:val="none"/>
              </w:rPr>
            </w:pPr>
            <w:r>
              <w:rPr>
                <w:rFonts w:hint="default"/>
                <w:highlight w:val="none"/>
              </w:rPr>
              <w:t>/</w:t>
            </w:r>
          </w:p>
        </w:tc>
        <w:tc>
          <w:tcPr>
            <w:tcW w:w="1085" w:type="pct"/>
            <w:vAlign w:val="center"/>
          </w:tcPr>
          <w:p w14:paraId="35126CD3">
            <w:pPr>
              <w:pStyle w:val="58"/>
              <w:bidi w:val="0"/>
              <w:rPr>
                <w:rFonts w:hint="default"/>
                <w:highlight w:val="none"/>
                <w:lang w:val="en-US" w:eastAsia="zh-CN"/>
              </w:rPr>
            </w:pPr>
            <w:r>
              <w:rPr>
                <w:rFonts w:hint="default"/>
                <w:highlight w:val="none"/>
              </w:rPr>
              <w:t>0.0</w:t>
            </w:r>
            <w:r>
              <w:rPr>
                <w:rFonts w:hint="eastAsia"/>
                <w:highlight w:val="none"/>
                <w:lang w:val="en-US" w:eastAsia="zh-CN"/>
              </w:rPr>
              <w:t>25</w:t>
            </w:r>
          </w:p>
        </w:tc>
        <w:tc>
          <w:tcPr>
            <w:tcW w:w="817" w:type="pct"/>
            <w:vMerge w:val="continue"/>
            <w:vAlign w:val="center"/>
          </w:tcPr>
          <w:p w14:paraId="4DDE676A">
            <w:pPr>
              <w:pStyle w:val="58"/>
              <w:bidi w:val="0"/>
              <w:rPr>
                <w:rFonts w:hint="default"/>
                <w:highlight w:val="none"/>
              </w:rPr>
            </w:pPr>
          </w:p>
        </w:tc>
        <w:tc>
          <w:tcPr>
            <w:tcW w:w="1091" w:type="pct"/>
            <w:vAlign w:val="center"/>
          </w:tcPr>
          <w:p w14:paraId="049CF3C5">
            <w:pPr>
              <w:pStyle w:val="58"/>
              <w:bidi w:val="0"/>
              <w:rPr>
                <w:rFonts w:hint="default"/>
                <w:highlight w:val="none"/>
              </w:rPr>
            </w:pPr>
            <w:r>
              <w:rPr>
                <w:rFonts w:hint="default"/>
                <w:highlight w:val="none"/>
                <w:lang w:val="en-US" w:eastAsia="zh-CN"/>
              </w:rPr>
              <w:t>0.00001</w:t>
            </w:r>
          </w:p>
        </w:tc>
      </w:tr>
      <w:tr w14:paraId="574F764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26" w:hRule="atLeast"/>
        </w:trPr>
        <w:tc>
          <w:tcPr>
            <w:tcW w:w="405" w:type="pct"/>
            <w:vAlign w:val="center"/>
          </w:tcPr>
          <w:p w14:paraId="3F94292E">
            <w:pPr>
              <w:pStyle w:val="58"/>
              <w:numPr>
                <w:ilvl w:val="0"/>
                <w:numId w:val="40"/>
              </w:numPr>
              <w:bidi w:val="0"/>
              <w:ind w:left="425" w:leftChars="0" w:hanging="425" w:firstLineChars="0"/>
              <w:rPr>
                <w:rFonts w:hint="default"/>
                <w:highlight w:val="none"/>
              </w:rPr>
            </w:pPr>
          </w:p>
        </w:tc>
        <w:tc>
          <w:tcPr>
            <w:tcW w:w="939" w:type="pct"/>
            <w:vAlign w:val="center"/>
          </w:tcPr>
          <w:p w14:paraId="27C78D12">
            <w:pPr>
              <w:pStyle w:val="58"/>
              <w:bidi w:val="0"/>
              <w:rPr>
                <w:rFonts w:hint="default"/>
                <w:highlight w:val="none"/>
              </w:rPr>
            </w:pPr>
            <w:r>
              <w:rPr>
                <w:rFonts w:hint="default"/>
                <w:highlight w:val="none"/>
              </w:rPr>
              <w:t>废润滑油</w:t>
            </w:r>
          </w:p>
        </w:tc>
        <w:tc>
          <w:tcPr>
            <w:tcW w:w="662" w:type="pct"/>
            <w:vAlign w:val="center"/>
          </w:tcPr>
          <w:p w14:paraId="2B92FF0B">
            <w:pPr>
              <w:pStyle w:val="58"/>
              <w:bidi w:val="0"/>
              <w:rPr>
                <w:rFonts w:hint="default"/>
                <w:highlight w:val="none"/>
              </w:rPr>
            </w:pPr>
            <w:r>
              <w:rPr>
                <w:rFonts w:hint="default"/>
                <w:highlight w:val="none"/>
              </w:rPr>
              <w:t>/</w:t>
            </w:r>
          </w:p>
        </w:tc>
        <w:tc>
          <w:tcPr>
            <w:tcW w:w="1085" w:type="pct"/>
            <w:vAlign w:val="center"/>
          </w:tcPr>
          <w:p w14:paraId="689A8AE2">
            <w:pPr>
              <w:pStyle w:val="58"/>
              <w:bidi w:val="0"/>
              <w:rPr>
                <w:rFonts w:hint="default"/>
                <w:highlight w:val="none"/>
              </w:rPr>
            </w:pPr>
            <w:r>
              <w:rPr>
                <w:rFonts w:hint="default"/>
                <w:highlight w:val="none"/>
              </w:rPr>
              <w:t>0.01</w:t>
            </w:r>
          </w:p>
        </w:tc>
        <w:tc>
          <w:tcPr>
            <w:tcW w:w="817" w:type="pct"/>
            <w:vMerge w:val="restart"/>
            <w:vAlign w:val="center"/>
          </w:tcPr>
          <w:p w14:paraId="36CD6436">
            <w:pPr>
              <w:pStyle w:val="58"/>
              <w:bidi w:val="0"/>
              <w:rPr>
                <w:rFonts w:hint="default"/>
                <w:highlight w:val="none"/>
              </w:rPr>
            </w:pPr>
            <w:r>
              <w:rPr>
                <w:rFonts w:hint="default"/>
                <w:highlight w:val="none"/>
              </w:rPr>
              <w:t>100</w:t>
            </w:r>
          </w:p>
        </w:tc>
        <w:tc>
          <w:tcPr>
            <w:tcW w:w="1091" w:type="pct"/>
            <w:vAlign w:val="center"/>
          </w:tcPr>
          <w:p w14:paraId="24C2547A">
            <w:pPr>
              <w:pStyle w:val="58"/>
              <w:bidi w:val="0"/>
              <w:rPr>
                <w:rFonts w:hint="default"/>
                <w:highlight w:val="none"/>
                <w:lang w:val="en-US"/>
              </w:rPr>
            </w:pPr>
            <w:r>
              <w:rPr>
                <w:rFonts w:hint="default"/>
                <w:highlight w:val="none"/>
                <w:lang w:val="en-US" w:eastAsia="zh-CN"/>
              </w:rPr>
              <w:t>0.0001</w:t>
            </w:r>
          </w:p>
        </w:tc>
      </w:tr>
      <w:tr w14:paraId="4CB732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34" w:hRule="atLeast"/>
        </w:trPr>
        <w:tc>
          <w:tcPr>
            <w:tcW w:w="405" w:type="pct"/>
            <w:vAlign w:val="center"/>
          </w:tcPr>
          <w:p w14:paraId="3EED97BA">
            <w:pPr>
              <w:pStyle w:val="58"/>
              <w:numPr>
                <w:ilvl w:val="0"/>
                <w:numId w:val="40"/>
              </w:numPr>
              <w:bidi w:val="0"/>
              <w:ind w:left="425" w:leftChars="0" w:hanging="425" w:firstLineChars="0"/>
              <w:rPr>
                <w:rFonts w:hint="default"/>
                <w:highlight w:val="none"/>
              </w:rPr>
            </w:pPr>
          </w:p>
        </w:tc>
        <w:tc>
          <w:tcPr>
            <w:tcW w:w="939" w:type="pct"/>
            <w:vAlign w:val="center"/>
          </w:tcPr>
          <w:p w14:paraId="13D632DA">
            <w:pPr>
              <w:pStyle w:val="58"/>
              <w:bidi w:val="0"/>
              <w:rPr>
                <w:rFonts w:hint="default"/>
                <w:highlight w:val="none"/>
              </w:rPr>
            </w:pPr>
            <w:r>
              <w:rPr>
                <w:rFonts w:hint="default"/>
                <w:highlight w:val="none"/>
              </w:rPr>
              <w:t>废液压油</w:t>
            </w:r>
          </w:p>
        </w:tc>
        <w:tc>
          <w:tcPr>
            <w:tcW w:w="662" w:type="pct"/>
            <w:vAlign w:val="center"/>
          </w:tcPr>
          <w:p w14:paraId="2890D4F2">
            <w:pPr>
              <w:pStyle w:val="58"/>
              <w:bidi w:val="0"/>
              <w:rPr>
                <w:rFonts w:hint="default"/>
                <w:highlight w:val="none"/>
              </w:rPr>
            </w:pPr>
            <w:r>
              <w:rPr>
                <w:rFonts w:hint="default"/>
                <w:highlight w:val="none"/>
              </w:rPr>
              <w:t>/</w:t>
            </w:r>
          </w:p>
        </w:tc>
        <w:tc>
          <w:tcPr>
            <w:tcW w:w="1085" w:type="pct"/>
            <w:vAlign w:val="center"/>
          </w:tcPr>
          <w:p w14:paraId="4327748F">
            <w:pPr>
              <w:pStyle w:val="58"/>
              <w:bidi w:val="0"/>
              <w:rPr>
                <w:rFonts w:hint="eastAsia" w:eastAsia="宋体"/>
                <w:highlight w:val="none"/>
                <w:lang w:eastAsia="zh-CN"/>
              </w:rPr>
            </w:pPr>
            <w:r>
              <w:rPr>
                <w:rFonts w:hint="default"/>
                <w:highlight w:val="none"/>
              </w:rPr>
              <w:t>0.0</w:t>
            </w:r>
            <w:r>
              <w:rPr>
                <w:rFonts w:hint="eastAsia"/>
                <w:highlight w:val="none"/>
                <w:lang w:val="en-US" w:eastAsia="zh-CN"/>
              </w:rPr>
              <w:t>2</w:t>
            </w:r>
          </w:p>
        </w:tc>
        <w:tc>
          <w:tcPr>
            <w:tcW w:w="817" w:type="pct"/>
            <w:vMerge w:val="continue"/>
            <w:vAlign w:val="center"/>
          </w:tcPr>
          <w:p w14:paraId="05819928">
            <w:pPr>
              <w:pStyle w:val="58"/>
              <w:bidi w:val="0"/>
              <w:rPr>
                <w:rFonts w:hint="default"/>
                <w:highlight w:val="none"/>
              </w:rPr>
            </w:pPr>
          </w:p>
        </w:tc>
        <w:tc>
          <w:tcPr>
            <w:tcW w:w="1091" w:type="pct"/>
            <w:vAlign w:val="center"/>
          </w:tcPr>
          <w:p w14:paraId="6BA640D8">
            <w:pPr>
              <w:pStyle w:val="58"/>
              <w:bidi w:val="0"/>
              <w:rPr>
                <w:rFonts w:hint="default"/>
                <w:highlight w:val="none"/>
                <w:lang w:val="en-US"/>
              </w:rPr>
            </w:pPr>
            <w:r>
              <w:rPr>
                <w:rFonts w:hint="default"/>
                <w:highlight w:val="none"/>
                <w:lang w:val="en-US" w:eastAsia="zh-CN"/>
              </w:rPr>
              <w:t>0.0002</w:t>
            </w:r>
          </w:p>
        </w:tc>
      </w:tr>
      <w:tr w14:paraId="09193D5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405" w:type="pct"/>
            <w:vAlign w:val="center"/>
          </w:tcPr>
          <w:p w14:paraId="29DDC531">
            <w:pPr>
              <w:pStyle w:val="58"/>
              <w:numPr>
                <w:ilvl w:val="0"/>
                <w:numId w:val="40"/>
              </w:numPr>
              <w:bidi w:val="0"/>
              <w:ind w:left="425" w:leftChars="0" w:hanging="425" w:firstLineChars="0"/>
              <w:rPr>
                <w:rFonts w:hint="default"/>
                <w:highlight w:val="none"/>
              </w:rPr>
            </w:pPr>
          </w:p>
        </w:tc>
        <w:tc>
          <w:tcPr>
            <w:tcW w:w="939" w:type="pct"/>
            <w:vAlign w:val="center"/>
          </w:tcPr>
          <w:p w14:paraId="3B83F3DB">
            <w:pPr>
              <w:pStyle w:val="58"/>
              <w:bidi w:val="0"/>
              <w:rPr>
                <w:rFonts w:hint="default"/>
                <w:highlight w:val="none"/>
              </w:rPr>
            </w:pPr>
            <w:r>
              <w:rPr>
                <w:rFonts w:hint="default"/>
                <w:highlight w:val="none"/>
              </w:rPr>
              <w:t>废油桶</w:t>
            </w:r>
          </w:p>
        </w:tc>
        <w:tc>
          <w:tcPr>
            <w:tcW w:w="662" w:type="pct"/>
            <w:vAlign w:val="center"/>
          </w:tcPr>
          <w:p w14:paraId="0606E900">
            <w:pPr>
              <w:pStyle w:val="58"/>
              <w:bidi w:val="0"/>
              <w:rPr>
                <w:rFonts w:hint="default"/>
                <w:highlight w:val="none"/>
              </w:rPr>
            </w:pPr>
            <w:r>
              <w:rPr>
                <w:rFonts w:hint="default"/>
                <w:highlight w:val="none"/>
              </w:rPr>
              <w:t>/</w:t>
            </w:r>
          </w:p>
        </w:tc>
        <w:tc>
          <w:tcPr>
            <w:tcW w:w="1085" w:type="pct"/>
            <w:vAlign w:val="center"/>
          </w:tcPr>
          <w:p w14:paraId="623758C4">
            <w:pPr>
              <w:pStyle w:val="58"/>
              <w:bidi w:val="0"/>
              <w:rPr>
                <w:rFonts w:hint="default"/>
                <w:highlight w:val="none"/>
                <w:lang w:eastAsia="zh-CN"/>
              </w:rPr>
            </w:pPr>
            <w:r>
              <w:rPr>
                <w:rFonts w:hint="default"/>
                <w:highlight w:val="none"/>
              </w:rPr>
              <w:t>0.00</w:t>
            </w:r>
            <w:r>
              <w:rPr>
                <w:rFonts w:hint="eastAsia"/>
                <w:highlight w:val="none"/>
                <w:lang w:val="en-US" w:eastAsia="zh-CN"/>
              </w:rPr>
              <w:t>5</w:t>
            </w:r>
          </w:p>
        </w:tc>
        <w:tc>
          <w:tcPr>
            <w:tcW w:w="817" w:type="pct"/>
            <w:vMerge w:val="continue"/>
            <w:vAlign w:val="center"/>
          </w:tcPr>
          <w:p w14:paraId="088B1961">
            <w:pPr>
              <w:pStyle w:val="58"/>
              <w:bidi w:val="0"/>
              <w:rPr>
                <w:rFonts w:hint="default"/>
                <w:highlight w:val="none"/>
              </w:rPr>
            </w:pPr>
          </w:p>
        </w:tc>
        <w:tc>
          <w:tcPr>
            <w:tcW w:w="1091" w:type="pct"/>
            <w:vAlign w:val="center"/>
          </w:tcPr>
          <w:p w14:paraId="6292E02D">
            <w:pPr>
              <w:pStyle w:val="58"/>
              <w:bidi w:val="0"/>
              <w:rPr>
                <w:rFonts w:hint="default"/>
                <w:highlight w:val="none"/>
              </w:rPr>
            </w:pPr>
            <w:r>
              <w:rPr>
                <w:rFonts w:hint="default"/>
                <w:highlight w:val="none"/>
                <w:lang w:val="en-US" w:eastAsia="zh-CN"/>
              </w:rPr>
              <w:t>0.00005</w:t>
            </w:r>
          </w:p>
        </w:tc>
      </w:tr>
      <w:tr w14:paraId="1568CD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34" w:hRule="atLeast"/>
        </w:trPr>
        <w:tc>
          <w:tcPr>
            <w:tcW w:w="405" w:type="pct"/>
            <w:vAlign w:val="center"/>
          </w:tcPr>
          <w:p w14:paraId="644E7D6D">
            <w:pPr>
              <w:pStyle w:val="58"/>
              <w:numPr>
                <w:ilvl w:val="0"/>
                <w:numId w:val="40"/>
              </w:numPr>
              <w:bidi w:val="0"/>
              <w:ind w:left="425" w:leftChars="0" w:hanging="425" w:firstLineChars="0"/>
              <w:rPr>
                <w:rFonts w:hint="default"/>
                <w:highlight w:val="none"/>
              </w:rPr>
            </w:pPr>
          </w:p>
        </w:tc>
        <w:tc>
          <w:tcPr>
            <w:tcW w:w="939" w:type="pct"/>
            <w:vAlign w:val="center"/>
          </w:tcPr>
          <w:p w14:paraId="67609733">
            <w:pPr>
              <w:pStyle w:val="58"/>
              <w:bidi w:val="0"/>
              <w:rPr>
                <w:rFonts w:hint="default"/>
                <w:highlight w:val="none"/>
              </w:rPr>
            </w:pPr>
            <w:r>
              <w:rPr>
                <w:rFonts w:hint="default"/>
                <w:highlight w:val="none"/>
              </w:rPr>
              <w:t>硫酸</w:t>
            </w:r>
          </w:p>
        </w:tc>
        <w:tc>
          <w:tcPr>
            <w:tcW w:w="662" w:type="pct"/>
            <w:vAlign w:val="center"/>
          </w:tcPr>
          <w:p w14:paraId="5B038998">
            <w:pPr>
              <w:pStyle w:val="58"/>
              <w:bidi w:val="0"/>
              <w:rPr>
                <w:rFonts w:hint="default"/>
                <w:highlight w:val="none"/>
              </w:rPr>
            </w:pPr>
            <w:r>
              <w:rPr>
                <w:rFonts w:hint="default"/>
                <w:highlight w:val="none"/>
              </w:rPr>
              <w:t>7664-93-9</w:t>
            </w:r>
          </w:p>
        </w:tc>
        <w:tc>
          <w:tcPr>
            <w:tcW w:w="1085" w:type="pct"/>
            <w:vAlign w:val="center"/>
          </w:tcPr>
          <w:p w14:paraId="200DB1F7">
            <w:pPr>
              <w:pStyle w:val="58"/>
              <w:bidi w:val="0"/>
              <w:rPr>
                <w:rFonts w:hint="default"/>
                <w:highlight w:val="none"/>
                <w:lang w:val="en-US" w:eastAsia="zh-CN"/>
              </w:rPr>
            </w:pPr>
            <w:r>
              <w:rPr>
                <w:rFonts w:hint="default"/>
                <w:highlight w:val="none"/>
              </w:rPr>
              <w:t>0.0</w:t>
            </w:r>
            <w:r>
              <w:rPr>
                <w:rFonts w:hint="default"/>
                <w:highlight w:val="none"/>
                <w:lang w:val="en-US" w:eastAsia="zh-CN"/>
              </w:rPr>
              <w:t>092</w:t>
            </w:r>
          </w:p>
        </w:tc>
        <w:tc>
          <w:tcPr>
            <w:tcW w:w="817" w:type="pct"/>
            <w:vAlign w:val="center"/>
          </w:tcPr>
          <w:p w14:paraId="594DBB14">
            <w:pPr>
              <w:pStyle w:val="58"/>
              <w:bidi w:val="0"/>
              <w:rPr>
                <w:rFonts w:hint="default"/>
                <w:highlight w:val="none"/>
              </w:rPr>
            </w:pPr>
            <w:r>
              <w:rPr>
                <w:rFonts w:hint="default"/>
                <w:highlight w:val="none"/>
              </w:rPr>
              <w:t>10</w:t>
            </w:r>
          </w:p>
        </w:tc>
        <w:tc>
          <w:tcPr>
            <w:tcW w:w="1091" w:type="pct"/>
            <w:vAlign w:val="center"/>
          </w:tcPr>
          <w:p w14:paraId="7EBBA8F8">
            <w:pPr>
              <w:pStyle w:val="58"/>
              <w:bidi w:val="0"/>
              <w:rPr>
                <w:rFonts w:hint="default"/>
                <w:highlight w:val="none"/>
                <w:lang w:val="en-US" w:eastAsia="zh-CN"/>
              </w:rPr>
            </w:pPr>
            <w:r>
              <w:rPr>
                <w:rFonts w:hint="default"/>
                <w:highlight w:val="none"/>
                <w:lang w:val="en-US" w:eastAsia="zh-CN"/>
              </w:rPr>
              <w:t>0.0092</w:t>
            </w:r>
          </w:p>
        </w:tc>
      </w:tr>
      <w:tr w14:paraId="34B306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48" w:hRule="atLeast"/>
        </w:trPr>
        <w:tc>
          <w:tcPr>
            <w:tcW w:w="405" w:type="pct"/>
            <w:vAlign w:val="center"/>
          </w:tcPr>
          <w:p w14:paraId="71FA88E5">
            <w:pPr>
              <w:pStyle w:val="58"/>
              <w:numPr>
                <w:ilvl w:val="0"/>
                <w:numId w:val="40"/>
              </w:numPr>
              <w:bidi w:val="0"/>
              <w:ind w:left="425" w:leftChars="0" w:hanging="425" w:firstLineChars="0"/>
              <w:rPr>
                <w:rFonts w:hint="default"/>
                <w:highlight w:val="none"/>
              </w:rPr>
            </w:pPr>
          </w:p>
        </w:tc>
        <w:tc>
          <w:tcPr>
            <w:tcW w:w="939" w:type="pct"/>
            <w:vAlign w:val="center"/>
          </w:tcPr>
          <w:p w14:paraId="19FF0405">
            <w:pPr>
              <w:pStyle w:val="58"/>
              <w:bidi w:val="0"/>
              <w:rPr>
                <w:rFonts w:hint="default"/>
                <w:highlight w:val="none"/>
              </w:rPr>
            </w:pPr>
            <w:r>
              <w:rPr>
                <w:rFonts w:hint="default"/>
                <w:highlight w:val="none"/>
              </w:rPr>
              <w:t>重铬酸钾（以铬计）</w:t>
            </w:r>
          </w:p>
        </w:tc>
        <w:tc>
          <w:tcPr>
            <w:tcW w:w="662" w:type="pct"/>
            <w:vAlign w:val="center"/>
          </w:tcPr>
          <w:p w14:paraId="7788E5EC">
            <w:pPr>
              <w:pStyle w:val="58"/>
              <w:bidi w:val="0"/>
              <w:rPr>
                <w:rFonts w:hint="default"/>
                <w:highlight w:val="none"/>
              </w:rPr>
            </w:pPr>
            <w:r>
              <w:rPr>
                <w:rFonts w:hint="default"/>
                <w:highlight w:val="none"/>
              </w:rPr>
              <w:t>7778-50-9</w:t>
            </w:r>
          </w:p>
        </w:tc>
        <w:tc>
          <w:tcPr>
            <w:tcW w:w="1085" w:type="pct"/>
            <w:vAlign w:val="center"/>
          </w:tcPr>
          <w:p w14:paraId="30946E18">
            <w:pPr>
              <w:pStyle w:val="58"/>
              <w:bidi w:val="0"/>
              <w:rPr>
                <w:rFonts w:hint="default"/>
                <w:highlight w:val="none"/>
              </w:rPr>
            </w:pPr>
            <w:r>
              <w:rPr>
                <w:rFonts w:hint="default"/>
                <w:highlight w:val="none"/>
              </w:rPr>
              <w:t>1.768×10</w:t>
            </w:r>
            <w:r>
              <w:rPr>
                <w:rFonts w:hint="default"/>
                <w:highlight w:val="none"/>
                <w:vertAlign w:val="superscript"/>
              </w:rPr>
              <w:t>-4</w:t>
            </w:r>
          </w:p>
        </w:tc>
        <w:tc>
          <w:tcPr>
            <w:tcW w:w="817" w:type="pct"/>
            <w:vAlign w:val="center"/>
          </w:tcPr>
          <w:p w14:paraId="09E8BB91">
            <w:pPr>
              <w:pStyle w:val="58"/>
              <w:bidi w:val="0"/>
              <w:rPr>
                <w:rFonts w:hint="default"/>
                <w:highlight w:val="none"/>
              </w:rPr>
            </w:pPr>
            <w:r>
              <w:rPr>
                <w:rFonts w:hint="default"/>
                <w:highlight w:val="none"/>
              </w:rPr>
              <w:t>0.25</w:t>
            </w:r>
          </w:p>
        </w:tc>
        <w:tc>
          <w:tcPr>
            <w:tcW w:w="1091" w:type="pct"/>
            <w:vAlign w:val="center"/>
          </w:tcPr>
          <w:p w14:paraId="683C4AE3">
            <w:pPr>
              <w:pStyle w:val="58"/>
              <w:bidi w:val="0"/>
              <w:rPr>
                <w:rFonts w:hint="default"/>
                <w:highlight w:val="none"/>
                <w:lang w:val="en-US"/>
              </w:rPr>
            </w:pPr>
            <w:r>
              <w:rPr>
                <w:rFonts w:hint="eastAsia"/>
                <w:highlight w:val="none"/>
                <w:lang w:val="en-US" w:eastAsia="zh-CN"/>
              </w:rPr>
              <w:t>0.0007072</w:t>
            </w:r>
          </w:p>
        </w:tc>
      </w:tr>
      <w:tr w14:paraId="0DFBC98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405" w:type="pct"/>
            <w:vAlign w:val="center"/>
          </w:tcPr>
          <w:p w14:paraId="2DC953CB">
            <w:pPr>
              <w:pStyle w:val="58"/>
              <w:numPr>
                <w:ilvl w:val="0"/>
                <w:numId w:val="40"/>
              </w:numPr>
              <w:bidi w:val="0"/>
              <w:ind w:left="425" w:leftChars="0" w:hanging="425" w:firstLineChars="0"/>
              <w:rPr>
                <w:rFonts w:hint="default"/>
                <w:highlight w:val="none"/>
              </w:rPr>
            </w:pPr>
          </w:p>
        </w:tc>
        <w:tc>
          <w:tcPr>
            <w:tcW w:w="939" w:type="pct"/>
            <w:vAlign w:val="center"/>
          </w:tcPr>
          <w:p w14:paraId="10EEB0FE">
            <w:pPr>
              <w:pStyle w:val="58"/>
              <w:bidi w:val="0"/>
              <w:rPr>
                <w:rFonts w:hint="default"/>
                <w:highlight w:val="none"/>
              </w:rPr>
            </w:pPr>
            <w:r>
              <w:rPr>
                <w:rFonts w:hint="default"/>
                <w:highlight w:val="none"/>
              </w:rPr>
              <w:t>在线监测废液</w:t>
            </w:r>
          </w:p>
        </w:tc>
        <w:tc>
          <w:tcPr>
            <w:tcW w:w="662" w:type="pct"/>
            <w:vAlign w:val="center"/>
          </w:tcPr>
          <w:p w14:paraId="5565A61C">
            <w:pPr>
              <w:pStyle w:val="58"/>
              <w:bidi w:val="0"/>
              <w:rPr>
                <w:rFonts w:hint="default"/>
                <w:highlight w:val="none"/>
              </w:rPr>
            </w:pPr>
            <w:r>
              <w:rPr>
                <w:rFonts w:hint="default"/>
                <w:highlight w:val="none"/>
              </w:rPr>
              <w:t>/</w:t>
            </w:r>
          </w:p>
        </w:tc>
        <w:tc>
          <w:tcPr>
            <w:tcW w:w="1085" w:type="pct"/>
            <w:vAlign w:val="center"/>
          </w:tcPr>
          <w:p w14:paraId="7D5E9F74">
            <w:pPr>
              <w:pStyle w:val="58"/>
              <w:bidi w:val="0"/>
              <w:rPr>
                <w:rFonts w:hint="default" w:eastAsia="宋体"/>
                <w:highlight w:val="none"/>
                <w:lang w:val="en-US" w:eastAsia="zh-CN"/>
              </w:rPr>
            </w:pPr>
            <w:r>
              <w:rPr>
                <w:rFonts w:hint="default"/>
                <w:highlight w:val="none"/>
              </w:rPr>
              <w:t>0.</w:t>
            </w:r>
            <w:r>
              <w:rPr>
                <w:rFonts w:hint="eastAsia"/>
                <w:highlight w:val="none"/>
                <w:lang w:val="en-US" w:eastAsia="zh-CN"/>
              </w:rPr>
              <w:t>07</w:t>
            </w:r>
          </w:p>
        </w:tc>
        <w:tc>
          <w:tcPr>
            <w:tcW w:w="817" w:type="pct"/>
            <w:vMerge w:val="restart"/>
            <w:vAlign w:val="center"/>
          </w:tcPr>
          <w:p w14:paraId="7C8298AC">
            <w:pPr>
              <w:pStyle w:val="58"/>
              <w:bidi w:val="0"/>
              <w:rPr>
                <w:rFonts w:hint="default"/>
                <w:highlight w:val="none"/>
              </w:rPr>
            </w:pPr>
            <w:r>
              <w:rPr>
                <w:rFonts w:hint="default"/>
                <w:highlight w:val="none"/>
              </w:rPr>
              <w:t>100</w:t>
            </w:r>
          </w:p>
        </w:tc>
        <w:tc>
          <w:tcPr>
            <w:tcW w:w="1091" w:type="pct"/>
            <w:vAlign w:val="center"/>
          </w:tcPr>
          <w:p w14:paraId="2F97C698">
            <w:pPr>
              <w:pStyle w:val="58"/>
              <w:bidi w:val="0"/>
              <w:rPr>
                <w:rFonts w:hint="default"/>
                <w:highlight w:val="none"/>
                <w:lang w:val="en-US"/>
              </w:rPr>
            </w:pPr>
            <w:r>
              <w:rPr>
                <w:rFonts w:hint="eastAsia"/>
                <w:highlight w:val="none"/>
                <w:lang w:val="en-US" w:eastAsia="zh-CN"/>
              </w:rPr>
              <w:t>0.0007</w:t>
            </w:r>
          </w:p>
        </w:tc>
      </w:tr>
      <w:tr w14:paraId="680BA0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34" w:hRule="atLeast"/>
        </w:trPr>
        <w:tc>
          <w:tcPr>
            <w:tcW w:w="405" w:type="pct"/>
            <w:vAlign w:val="center"/>
          </w:tcPr>
          <w:p w14:paraId="6CF36914">
            <w:pPr>
              <w:pStyle w:val="58"/>
              <w:numPr>
                <w:ilvl w:val="0"/>
                <w:numId w:val="40"/>
              </w:numPr>
              <w:bidi w:val="0"/>
              <w:ind w:left="425" w:leftChars="0" w:hanging="425" w:firstLineChars="0"/>
              <w:rPr>
                <w:rFonts w:hint="default"/>
                <w:highlight w:val="none"/>
              </w:rPr>
            </w:pPr>
          </w:p>
        </w:tc>
        <w:tc>
          <w:tcPr>
            <w:tcW w:w="939" w:type="pct"/>
            <w:vAlign w:val="center"/>
          </w:tcPr>
          <w:p w14:paraId="48E016CA">
            <w:pPr>
              <w:pStyle w:val="58"/>
              <w:bidi w:val="0"/>
              <w:rPr>
                <w:rFonts w:hint="default"/>
                <w:highlight w:val="none"/>
              </w:rPr>
            </w:pPr>
            <w:r>
              <w:rPr>
                <w:rFonts w:hint="eastAsia"/>
                <w:highlight w:val="none"/>
                <w:lang w:eastAsia="zh-CN"/>
              </w:rPr>
              <w:t>实验室</w:t>
            </w:r>
            <w:r>
              <w:rPr>
                <w:rFonts w:hint="default"/>
                <w:highlight w:val="none"/>
              </w:rPr>
              <w:t>废液</w:t>
            </w:r>
          </w:p>
        </w:tc>
        <w:tc>
          <w:tcPr>
            <w:tcW w:w="662" w:type="pct"/>
            <w:vAlign w:val="center"/>
          </w:tcPr>
          <w:p w14:paraId="4902DBBD">
            <w:pPr>
              <w:pStyle w:val="58"/>
              <w:bidi w:val="0"/>
              <w:rPr>
                <w:rFonts w:hint="default"/>
                <w:highlight w:val="none"/>
              </w:rPr>
            </w:pPr>
            <w:r>
              <w:rPr>
                <w:rFonts w:hint="default"/>
                <w:highlight w:val="none"/>
              </w:rPr>
              <w:t>/</w:t>
            </w:r>
          </w:p>
        </w:tc>
        <w:tc>
          <w:tcPr>
            <w:tcW w:w="1085" w:type="pct"/>
            <w:vAlign w:val="center"/>
          </w:tcPr>
          <w:p w14:paraId="480A1869">
            <w:pPr>
              <w:pStyle w:val="58"/>
              <w:bidi w:val="0"/>
              <w:rPr>
                <w:rFonts w:hint="default"/>
                <w:highlight w:val="none"/>
              </w:rPr>
            </w:pPr>
            <w:r>
              <w:rPr>
                <w:rFonts w:hint="default"/>
                <w:highlight w:val="none"/>
              </w:rPr>
              <w:t>0.01</w:t>
            </w:r>
          </w:p>
        </w:tc>
        <w:tc>
          <w:tcPr>
            <w:tcW w:w="817" w:type="pct"/>
            <w:vMerge w:val="continue"/>
            <w:vAlign w:val="center"/>
          </w:tcPr>
          <w:p w14:paraId="509716E7">
            <w:pPr>
              <w:pStyle w:val="58"/>
              <w:bidi w:val="0"/>
              <w:rPr>
                <w:rFonts w:hint="default"/>
                <w:highlight w:val="none"/>
              </w:rPr>
            </w:pPr>
          </w:p>
        </w:tc>
        <w:tc>
          <w:tcPr>
            <w:tcW w:w="1091" w:type="pct"/>
            <w:vAlign w:val="center"/>
          </w:tcPr>
          <w:p w14:paraId="4A385D1B">
            <w:pPr>
              <w:pStyle w:val="58"/>
              <w:bidi w:val="0"/>
              <w:rPr>
                <w:rFonts w:hint="default"/>
                <w:highlight w:val="none"/>
                <w:lang w:val="en-US"/>
              </w:rPr>
            </w:pPr>
            <w:r>
              <w:rPr>
                <w:rFonts w:hint="eastAsia"/>
                <w:highlight w:val="none"/>
                <w:lang w:val="en-US" w:eastAsia="zh-CN"/>
              </w:rPr>
              <w:t>0.0001</w:t>
            </w:r>
          </w:p>
        </w:tc>
      </w:tr>
      <w:tr w14:paraId="500173A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405" w:type="pct"/>
            <w:vAlign w:val="center"/>
          </w:tcPr>
          <w:p w14:paraId="06B3CB58">
            <w:pPr>
              <w:pStyle w:val="58"/>
              <w:numPr>
                <w:ilvl w:val="0"/>
                <w:numId w:val="40"/>
              </w:numPr>
              <w:bidi w:val="0"/>
              <w:ind w:left="425" w:leftChars="0" w:hanging="425" w:firstLineChars="0"/>
              <w:rPr>
                <w:rFonts w:hint="default"/>
                <w:highlight w:val="none"/>
              </w:rPr>
            </w:pPr>
          </w:p>
        </w:tc>
        <w:tc>
          <w:tcPr>
            <w:tcW w:w="939" w:type="pct"/>
            <w:vAlign w:val="center"/>
          </w:tcPr>
          <w:p w14:paraId="389A243A">
            <w:pPr>
              <w:pStyle w:val="58"/>
              <w:bidi w:val="0"/>
              <w:rPr>
                <w:rFonts w:hint="default"/>
                <w:highlight w:val="none"/>
              </w:rPr>
            </w:pPr>
            <w:r>
              <w:rPr>
                <w:rFonts w:hint="default"/>
                <w:highlight w:val="none"/>
              </w:rPr>
              <w:t>废试剂瓶</w:t>
            </w:r>
          </w:p>
        </w:tc>
        <w:tc>
          <w:tcPr>
            <w:tcW w:w="662" w:type="pct"/>
            <w:vAlign w:val="center"/>
          </w:tcPr>
          <w:p w14:paraId="74AE2AD2">
            <w:pPr>
              <w:pStyle w:val="58"/>
              <w:bidi w:val="0"/>
              <w:rPr>
                <w:rFonts w:hint="default"/>
                <w:highlight w:val="none"/>
              </w:rPr>
            </w:pPr>
            <w:r>
              <w:rPr>
                <w:rFonts w:hint="default"/>
                <w:highlight w:val="none"/>
              </w:rPr>
              <w:t>/</w:t>
            </w:r>
          </w:p>
        </w:tc>
        <w:tc>
          <w:tcPr>
            <w:tcW w:w="1085" w:type="pct"/>
            <w:vAlign w:val="center"/>
          </w:tcPr>
          <w:p w14:paraId="056272F5">
            <w:pPr>
              <w:pStyle w:val="58"/>
              <w:bidi w:val="0"/>
              <w:rPr>
                <w:rFonts w:hint="default"/>
                <w:highlight w:val="none"/>
              </w:rPr>
            </w:pPr>
            <w:r>
              <w:rPr>
                <w:rFonts w:hint="default"/>
                <w:highlight w:val="none"/>
              </w:rPr>
              <w:t>3.2×10</w:t>
            </w:r>
            <w:r>
              <w:rPr>
                <w:rFonts w:hint="default"/>
                <w:highlight w:val="none"/>
                <w:vertAlign w:val="superscript"/>
                <w:lang w:val="en-US" w:eastAsia="zh-CN"/>
              </w:rPr>
              <w:t>-5</w:t>
            </w:r>
          </w:p>
        </w:tc>
        <w:tc>
          <w:tcPr>
            <w:tcW w:w="817" w:type="pct"/>
            <w:vMerge w:val="continue"/>
            <w:vAlign w:val="center"/>
          </w:tcPr>
          <w:p w14:paraId="37D125A5">
            <w:pPr>
              <w:pStyle w:val="58"/>
              <w:bidi w:val="0"/>
              <w:rPr>
                <w:rFonts w:hint="default"/>
                <w:highlight w:val="none"/>
              </w:rPr>
            </w:pPr>
          </w:p>
        </w:tc>
        <w:tc>
          <w:tcPr>
            <w:tcW w:w="1091" w:type="pct"/>
            <w:vAlign w:val="center"/>
          </w:tcPr>
          <w:p w14:paraId="018F277F">
            <w:pPr>
              <w:pStyle w:val="58"/>
              <w:bidi w:val="0"/>
              <w:rPr>
                <w:rFonts w:hint="default"/>
                <w:highlight w:val="none"/>
                <w:lang w:val="en-US"/>
              </w:rPr>
            </w:pPr>
            <w:r>
              <w:rPr>
                <w:rFonts w:hint="eastAsia"/>
                <w:highlight w:val="none"/>
                <w:lang w:val="en-US" w:eastAsia="zh-CN"/>
              </w:rPr>
              <w:t>0.00000032</w:t>
            </w:r>
          </w:p>
        </w:tc>
      </w:tr>
      <w:tr w14:paraId="18E2AA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47" w:hRule="atLeast"/>
        </w:trPr>
        <w:tc>
          <w:tcPr>
            <w:tcW w:w="405" w:type="pct"/>
            <w:vAlign w:val="center"/>
          </w:tcPr>
          <w:p w14:paraId="12055211">
            <w:pPr>
              <w:pStyle w:val="58"/>
              <w:numPr>
                <w:ilvl w:val="0"/>
                <w:numId w:val="40"/>
              </w:numPr>
              <w:bidi w:val="0"/>
              <w:ind w:left="425" w:leftChars="0" w:hanging="425" w:firstLineChars="0"/>
              <w:rPr>
                <w:rFonts w:hint="default"/>
                <w:highlight w:val="none"/>
              </w:rPr>
            </w:pPr>
          </w:p>
        </w:tc>
        <w:tc>
          <w:tcPr>
            <w:tcW w:w="939" w:type="pct"/>
            <w:vAlign w:val="center"/>
          </w:tcPr>
          <w:p w14:paraId="2904AB79">
            <w:pPr>
              <w:pStyle w:val="58"/>
              <w:bidi w:val="0"/>
              <w:rPr>
                <w:rFonts w:hint="default"/>
                <w:highlight w:val="none"/>
              </w:rPr>
            </w:pPr>
            <w:r>
              <w:rPr>
                <w:rFonts w:hint="default"/>
                <w:highlight w:val="none"/>
              </w:rPr>
              <w:t>纳氏试剂（以汞计）</w:t>
            </w:r>
          </w:p>
        </w:tc>
        <w:tc>
          <w:tcPr>
            <w:tcW w:w="662" w:type="pct"/>
            <w:vAlign w:val="center"/>
          </w:tcPr>
          <w:p w14:paraId="039D54AF">
            <w:pPr>
              <w:pStyle w:val="58"/>
              <w:bidi w:val="0"/>
              <w:rPr>
                <w:rFonts w:hint="default"/>
                <w:highlight w:val="none"/>
              </w:rPr>
            </w:pPr>
            <w:r>
              <w:rPr>
                <w:rFonts w:hint="default"/>
                <w:highlight w:val="none"/>
              </w:rPr>
              <w:t>7439-97</w:t>
            </w:r>
            <w:r>
              <w:rPr>
                <w:rFonts w:hint="default"/>
                <w:highlight w:val="none"/>
                <w:vertAlign w:val="superscript"/>
                <w:lang w:val="en-US" w:eastAsia="zh-CN"/>
              </w:rPr>
              <w:t>-6</w:t>
            </w:r>
            <w:r>
              <w:rPr>
                <w:rFonts w:hint="default"/>
                <w:highlight w:val="none"/>
              </w:rPr>
              <w:t>（汞）</w:t>
            </w:r>
          </w:p>
        </w:tc>
        <w:tc>
          <w:tcPr>
            <w:tcW w:w="1085" w:type="pct"/>
            <w:vAlign w:val="center"/>
          </w:tcPr>
          <w:p w14:paraId="40930988">
            <w:pPr>
              <w:pStyle w:val="58"/>
              <w:bidi w:val="0"/>
              <w:rPr>
                <w:rFonts w:hint="default"/>
                <w:highlight w:val="none"/>
              </w:rPr>
            </w:pPr>
            <w:r>
              <w:rPr>
                <w:rFonts w:hint="default"/>
                <w:highlight w:val="none"/>
              </w:rPr>
              <w:t>9.23×10</w:t>
            </w:r>
            <w:r>
              <w:rPr>
                <w:rFonts w:hint="default"/>
                <w:highlight w:val="none"/>
                <w:vertAlign w:val="superscript"/>
                <w:lang w:val="en-US" w:eastAsia="zh-CN"/>
              </w:rPr>
              <w:t>-5</w:t>
            </w:r>
            <w:r>
              <w:rPr>
                <w:rFonts w:hint="default"/>
                <w:highlight w:val="none"/>
              </w:rPr>
              <w:t>（折合为纯汞的量）</w:t>
            </w:r>
          </w:p>
        </w:tc>
        <w:tc>
          <w:tcPr>
            <w:tcW w:w="817" w:type="pct"/>
            <w:vAlign w:val="center"/>
          </w:tcPr>
          <w:p w14:paraId="0023D232">
            <w:pPr>
              <w:pStyle w:val="58"/>
              <w:bidi w:val="0"/>
              <w:rPr>
                <w:rFonts w:hint="default"/>
                <w:highlight w:val="none"/>
              </w:rPr>
            </w:pPr>
            <w:r>
              <w:rPr>
                <w:rFonts w:hint="default"/>
                <w:highlight w:val="none"/>
              </w:rPr>
              <w:t>0.5</w:t>
            </w:r>
          </w:p>
        </w:tc>
        <w:tc>
          <w:tcPr>
            <w:tcW w:w="1091" w:type="pct"/>
            <w:vAlign w:val="center"/>
          </w:tcPr>
          <w:p w14:paraId="03062121">
            <w:pPr>
              <w:pStyle w:val="58"/>
              <w:bidi w:val="0"/>
              <w:rPr>
                <w:rFonts w:hint="default"/>
                <w:highlight w:val="none"/>
              </w:rPr>
            </w:pPr>
            <w:r>
              <w:rPr>
                <w:rFonts w:hint="eastAsia"/>
                <w:highlight w:val="none"/>
                <w:lang w:val="en-US" w:eastAsia="zh-CN"/>
              </w:rPr>
              <w:t>0.000</w:t>
            </w:r>
            <w:r>
              <w:rPr>
                <w:rFonts w:hint="default"/>
                <w:highlight w:val="none"/>
                <w:lang w:val="en-US" w:eastAsia="zh-CN"/>
              </w:rPr>
              <w:t>1846</w:t>
            </w:r>
          </w:p>
        </w:tc>
      </w:tr>
      <w:tr w14:paraId="2265ED5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2" w:hRule="atLeast"/>
        </w:trPr>
        <w:tc>
          <w:tcPr>
            <w:tcW w:w="3908" w:type="pct"/>
            <w:gridSpan w:val="5"/>
            <w:vAlign w:val="center"/>
          </w:tcPr>
          <w:p w14:paraId="38C450FE">
            <w:pPr>
              <w:pStyle w:val="58"/>
              <w:bidi w:val="0"/>
              <w:rPr>
                <w:rFonts w:hint="default"/>
                <w:highlight w:val="none"/>
              </w:rPr>
            </w:pPr>
            <w:r>
              <w:rPr>
                <w:rFonts w:hint="default"/>
                <w:highlight w:val="none"/>
              </w:rPr>
              <w:t>项目Q值∑</w:t>
            </w:r>
          </w:p>
        </w:tc>
        <w:tc>
          <w:tcPr>
            <w:tcW w:w="1091" w:type="pct"/>
            <w:vAlign w:val="center"/>
          </w:tcPr>
          <w:p w14:paraId="07E681BD">
            <w:pPr>
              <w:pStyle w:val="58"/>
              <w:bidi w:val="0"/>
              <w:rPr>
                <w:rFonts w:hint="default"/>
                <w:highlight w:val="none"/>
                <w:lang w:val="en-US"/>
              </w:rPr>
            </w:pPr>
            <w:r>
              <w:rPr>
                <w:rFonts w:hint="eastAsia"/>
                <w:highlight w:val="none"/>
                <w:lang w:val="en-US" w:eastAsia="zh-CN"/>
              </w:rPr>
              <w:t>0.0353</w:t>
            </w:r>
          </w:p>
        </w:tc>
      </w:tr>
    </w:tbl>
    <w:p w14:paraId="1E247D7C">
      <w:pPr>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spacing w:val="-1"/>
          <w:sz w:val="24"/>
          <w:szCs w:val="24"/>
          <w:lang w:val="zh-CN"/>
        </w:rPr>
      </w:pPr>
      <w:r>
        <w:rPr>
          <w:rFonts w:hint="default" w:ascii="Times New Roman" w:hAnsi="Times New Roman" w:eastAsia="宋体" w:cs="Times New Roman"/>
          <w:spacing w:val="-2"/>
          <w:sz w:val="24"/>
          <w:szCs w:val="24"/>
        </w:rPr>
        <w:t>由上表可见，本项目Q值小于1，因此环境风险</w:t>
      </w:r>
      <w:r>
        <w:rPr>
          <w:rFonts w:hint="default" w:ascii="Times New Roman" w:hAnsi="Times New Roman" w:eastAsia="宋体" w:cs="Times New Roman"/>
          <w:spacing w:val="-3"/>
          <w:sz w:val="24"/>
          <w:szCs w:val="24"/>
        </w:rPr>
        <w:t>评价等级为简单分析。</w:t>
      </w:r>
    </w:p>
    <w:p w14:paraId="2B037A3A">
      <w:pPr>
        <w:pageBreakBefore w:val="0"/>
        <w:widowControl w:val="0"/>
        <w:kinsoku/>
        <w:wordWrap/>
        <w:overflowPunct/>
        <w:topLinePunct w:val="0"/>
        <w:autoSpaceDE/>
        <w:autoSpaceDN/>
        <w:bidi w:val="0"/>
        <w:adjustRightInd/>
        <w:snapToGrid/>
        <w:spacing w:line="480" w:lineRule="exact"/>
        <w:textAlignment w:val="auto"/>
        <w:rPr>
          <w:rFonts w:hint="default" w:ascii="Times New Roman" w:hAnsi="Times New Roman" w:eastAsia="宋体" w:cs="Times New Roman"/>
          <w:spacing w:val="-2"/>
          <w:sz w:val="24"/>
          <w:szCs w:val="24"/>
        </w:rPr>
      </w:pPr>
      <w:r>
        <w:rPr>
          <w:rFonts w:hint="default" w:ascii="Times New Roman" w:hAnsi="Times New Roman" w:eastAsia="宋体" w:cs="Times New Roman"/>
          <w:spacing w:val="-2"/>
          <w:sz w:val="24"/>
          <w:szCs w:val="24"/>
        </w:rPr>
        <w:t>各危险物质性质及危险特</w:t>
      </w:r>
      <w:r>
        <w:rPr>
          <w:rFonts w:hint="default" w:ascii="Times New Roman" w:hAnsi="Times New Roman" w:eastAsia="宋体" w:cs="Times New Roman"/>
          <w:spacing w:val="-2"/>
          <w:sz w:val="24"/>
          <w:szCs w:val="24"/>
          <w:highlight w:val="none"/>
        </w:rPr>
        <w:t>性见表</w:t>
      </w:r>
      <w:r>
        <w:rPr>
          <w:rFonts w:hint="default" w:ascii="Times New Roman" w:hAnsi="Times New Roman" w:eastAsia="宋体" w:cs="Times New Roman"/>
          <w:spacing w:val="-2"/>
          <w:sz w:val="24"/>
          <w:szCs w:val="24"/>
          <w:highlight w:val="none"/>
          <w:lang w:val="en-US" w:eastAsia="zh-CN"/>
        </w:rPr>
        <w:t>5.2</w:t>
      </w:r>
      <w:r>
        <w:rPr>
          <w:rFonts w:hint="default" w:ascii="Times New Roman" w:hAnsi="Times New Roman" w:eastAsia="宋体" w:cs="Times New Roman"/>
          <w:spacing w:val="-2"/>
          <w:sz w:val="24"/>
          <w:szCs w:val="24"/>
          <w:highlight w:val="none"/>
        </w:rPr>
        <w:t>-3</w:t>
      </w:r>
      <w:r>
        <w:rPr>
          <w:rFonts w:hint="eastAsia" w:cs="Times New Roman"/>
          <w:spacing w:val="-2"/>
          <w:sz w:val="24"/>
          <w:szCs w:val="24"/>
          <w:highlight w:val="none"/>
          <w:lang w:val="en-US" w:eastAsia="zh-CN"/>
        </w:rPr>
        <w:t>5</w:t>
      </w:r>
      <w:r>
        <w:rPr>
          <w:rFonts w:hint="default" w:ascii="Times New Roman" w:hAnsi="Times New Roman" w:eastAsia="宋体" w:cs="Times New Roman"/>
          <w:spacing w:val="-2"/>
          <w:sz w:val="24"/>
          <w:szCs w:val="24"/>
          <w:highlight w:val="none"/>
        </w:rPr>
        <w:t>至表</w:t>
      </w:r>
      <w:r>
        <w:rPr>
          <w:rFonts w:hint="default" w:ascii="Times New Roman" w:hAnsi="Times New Roman" w:eastAsia="宋体" w:cs="Times New Roman"/>
          <w:spacing w:val="-2"/>
          <w:sz w:val="24"/>
          <w:szCs w:val="24"/>
          <w:highlight w:val="none"/>
          <w:lang w:val="en-US" w:eastAsia="zh-CN"/>
        </w:rPr>
        <w:t>5.2</w:t>
      </w:r>
      <w:r>
        <w:rPr>
          <w:rFonts w:hint="default" w:ascii="Times New Roman" w:hAnsi="Times New Roman" w:eastAsia="宋体" w:cs="Times New Roman"/>
          <w:spacing w:val="-2"/>
          <w:sz w:val="24"/>
          <w:szCs w:val="24"/>
          <w:highlight w:val="none"/>
        </w:rPr>
        <w:t>-</w:t>
      </w:r>
      <w:r>
        <w:rPr>
          <w:rFonts w:hint="default" w:ascii="Times New Roman" w:hAnsi="Times New Roman" w:eastAsia="宋体" w:cs="Times New Roman"/>
          <w:spacing w:val="-2"/>
          <w:sz w:val="24"/>
          <w:szCs w:val="24"/>
          <w:highlight w:val="none"/>
          <w:lang w:val="en-US" w:eastAsia="zh-CN"/>
        </w:rPr>
        <w:t>3</w:t>
      </w:r>
      <w:r>
        <w:rPr>
          <w:rFonts w:hint="eastAsia" w:cs="Times New Roman"/>
          <w:spacing w:val="-2"/>
          <w:sz w:val="24"/>
          <w:szCs w:val="24"/>
          <w:highlight w:val="none"/>
          <w:lang w:val="en-US" w:eastAsia="zh-CN"/>
        </w:rPr>
        <w:t>9</w:t>
      </w:r>
      <w:r>
        <w:rPr>
          <w:rFonts w:hint="default" w:ascii="Times New Roman" w:hAnsi="Times New Roman" w:eastAsia="宋体" w:cs="Times New Roman"/>
          <w:spacing w:val="-2"/>
          <w:sz w:val="24"/>
          <w:szCs w:val="24"/>
          <w:highlight w:val="none"/>
        </w:rPr>
        <w:t>。</w:t>
      </w:r>
    </w:p>
    <w:p w14:paraId="4FAEBDA9">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次氯酸钠理化性质一览表</w:t>
      </w:r>
    </w:p>
    <w:tbl>
      <w:tblPr>
        <w:tblStyle w:val="88"/>
        <w:tblW w:w="4999" w:type="pct"/>
        <w:tblInd w:w="0" w:type="dxa"/>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autofit"/>
        <w:tblCellMar>
          <w:top w:w="0" w:type="dxa"/>
          <w:left w:w="0" w:type="dxa"/>
          <w:bottom w:w="0" w:type="dxa"/>
          <w:right w:w="0" w:type="dxa"/>
        </w:tblCellMar>
      </w:tblPr>
      <w:tblGrid>
        <w:gridCol w:w="480"/>
        <w:gridCol w:w="1828"/>
        <w:gridCol w:w="1065"/>
        <w:gridCol w:w="86"/>
        <w:gridCol w:w="1094"/>
        <w:gridCol w:w="1201"/>
        <w:gridCol w:w="1797"/>
        <w:gridCol w:w="1549"/>
      </w:tblGrid>
      <w:tr w14:paraId="4BF66EC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64" w:type="pct"/>
            <w:vMerge w:val="restart"/>
            <w:tcBorders>
              <w:bottom w:val="nil"/>
            </w:tcBorders>
            <w:textDirection w:val="tbRlV"/>
            <w:vAlign w:val="center"/>
          </w:tcPr>
          <w:p w14:paraId="3E71241E">
            <w:pPr>
              <w:pStyle w:val="58"/>
              <w:bidi w:val="0"/>
              <w:rPr>
                <w:rFonts w:hint="default"/>
              </w:rPr>
            </w:pPr>
            <w:r>
              <w:rPr>
                <w:rFonts w:hint="default"/>
              </w:rPr>
              <w:t>标识</w:t>
            </w:r>
          </w:p>
        </w:tc>
        <w:tc>
          <w:tcPr>
            <w:tcW w:w="2897" w:type="pct"/>
            <w:gridSpan w:val="5"/>
            <w:vAlign w:val="center"/>
          </w:tcPr>
          <w:p w14:paraId="3C49E6D0">
            <w:pPr>
              <w:pStyle w:val="58"/>
              <w:bidi w:val="0"/>
              <w:rPr>
                <w:rFonts w:hint="default"/>
              </w:rPr>
            </w:pPr>
            <w:r>
              <w:rPr>
                <w:rFonts w:hint="default"/>
              </w:rPr>
              <w:t>中文名：次氯酸钠</w:t>
            </w:r>
          </w:p>
        </w:tc>
        <w:tc>
          <w:tcPr>
            <w:tcW w:w="1838" w:type="pct"/>
            <w:gridSpan w:val="2"/>
            <w:vAlign w:val="center"/>
          </w:tcPr>
          <w:p w14:paraId="0CF1207A">
            <w:pPr>
              <w:pStyle w:val="58"/>
              <w:bidi w:val="0"/>
              <w:rPr>
                <w:rFonts w:hint="default"/>
              </w:rPr>
            </w:pPr>
            <w:r>
              <w:rPr>
                <w:rFonts w:hint="default"/>
              </w:rPr>
              <w:t>别称漂白水；漂水；次氯酸钠水溶液。</w:t>
            </w:r>
          </w:p>
        </w:tc>
      </w:tr>
      <w:tr w14:paraId="1CCEEF1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64" w:type="pct"/>
            <w:vMerge w:val="continue"/>
            <w:tcBorders>
              <w:top w:val="nil"/>
            </w:tcBorders>
            <w:textDirection w:val="tbRlV"/>
            <w:vAlign w:val="center"/>
          </w:tcPr>
          <w:p w14:paraId="36B24FD4">
            <w:pPr>
              <w:pStyle w:val="58"/>
              <w:bidi w:val="0"/>
              <w:rPr>
                <w:rFonts w:hint="default"/>
              </w:rPr>
            </w:pPr>
          </w:p>
        </w:tc>
        <w:tc>
          <w:tcPr>
            <w:tcW w:w="1636" w:type="pct"/>
            <w:gridSpan w:val="3"/>
            <w:vAlign w:val="center"/>
          </w:tcPr>
          <w:p w14:paraId="34C824AE">
            <w:pPr>
              <w:pStyle w:val="58"/>
              <w:bidi w:val="0"/>
              <w:rPr>
                <w:rFonts w:hint="default"/>
              </w:rPr>
            </w:pPr>
            <w:r>
              <w:rPr>
                <w:rFonts w:hint="default"/>
              </w:rPr>
              <w:t>分子式：NaClO</w:t>
            </w:r>
          </w:p>
        </w:tc>
        <w:tc>
          <w:tcPr>
            <w:tcW w:w="1261" w:type="pct"/>
            <w:gridSpan w:val="2"/>
            <w:vAlign w:val="center"/>
          </w:tcPr>
          <w:p w14:paraId="78BF24C7">
            <w:pPr>
              <w:pStyle w:val="58"/>
              <w:bidi w:val="0"/>
              <w:rPr>
                <w:rFonts w:hint="default"/>
              </w:rPr>
            </w:pPr>
            <w:r>
              <w:rPr>
                <w:rFonts w:hint="default"/>
              </w:rPr>
              <w:t>分子量：74.44</w:t>
            </w:r>
          </w:p>
        </w:tc>
        <w:tc>
          <w:tcPr>
            <w:tcW w:w="1838" w:type="pct"/>
            <w:gridSpan w:val="2"/>
            <w:vAlign w:val="center"/>
          </w:tcPr>
          <w:p w14:paraId="1D8056F2">
            <w:pPr>
              <w:pStyle w:val="58"/>
              <w:bidi w:val="0"/>
              <w:rPr>
                <w:rFonts w:hint="default"/>
              </w:rPr>
            </w:pPr>
            <w:r>
              <w:rPr>
                <w:rFonts w:hint="default"/>
              </w:rPr>
              <w:t>CAS号：7681-52-9</w:t>
            </w:r>
          </w:p>
        </w:tc>
      </w:tr>
      <w:tr w14:paraId="1220EE2B">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64" w:type="pct"/>
            <w:vMerge w:val="restart"/>
            <w:tcBorders>
              <w:bottom w:val="nil"/>
            </w:tcBorders>
            <w:textDirection w:val="tbRlV"/>
            <w:vAlign w:val="center"/>
          </w:tcPr>
          <w:p w14:paraId="6234F81A">
            <w:pPr>
              <w:pStyle w:val="58"/>
              <w:bidi w:val="0"/>
              <w:rPr>
                <w:rFonts w:hint="default"/>
              </w:rPr>
            </w:pPr>
            <w:r>
              <w:rPr>
                <w:rFonts w:hint="default"/>
              </w:rPr>
              <w:t>理化性质</w:t>
            </w:r>
          </w:p>
        </w:tc>
        <w:tc>
          <w:tcPr>
            <w:tcW w:w="1004" w:type="pct"/>
            <w:vAlign w:val="center"/>
          </w:tcPr>
          <w:p w14:paraId="7F19F9EA">
            <w:pPr>
              <w:pStyle w:val="58"/>
              <w:bidi w:val="0"/>
              <w:rPr>
                <w:rFonts w:hint="default"/>
              </w:rPr>
            </w:pPr>
            <w:r>
              <w:rPr>
                <w:rFonts w:hint="default"/>
              </w:rPr>
              <w:t>外观与性状</w:t>
            </w:r>
          </w:p>
        </w:tc>
        <w:tc>
          <w:tcPr>
            <w:tcW w:w="3731" w:type="pct"/>
            <w:gridSpan w:val="6"/>
            <w:vAlign w:val="center"/>
          </w:tcPr>
          <w:p w14:paraId="0E968DCC">
            <w:pPr>
              <w:pStyle w:val="58"/>
              <w:bidi w:val="0"/>
              <w:rPr>
                <w:rFonts w:hint="default"/>
              </w:rPr>
            </w:pPr>
            <w:r>
              <w:rPr>
                <w:rFonts w:hint="default"/>
              </w:rPr>
              <w:t>无色液体带有强烈的气味</w:t>
            </w:r>
          </w:p>
        </w:tc>
      </w:tr>
      <w:tr w14:paraId="6894F73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64" w:type="pct"/>
            <w:vMerge w:val="continue"/>
            <w:tcBorders>
              <w:top w:val="nil"/>
            </w:tcBorders>
            <w:textDirection w:val="tbRlV"/>
            <w:vAlign w:val="center"/>
          </w:tcPr>
          <w:p w14:paraId="64A78C3F">
            <w:pPr>
              <w:pStyle w:val="58"/>
              <w:bidi w:val="0"/>
              <w:rPr>
                <w:rFonts w:hint="default"/>
              </w:rPr>
            </w:pPr>
          </w:p>
        </w:tc>
        <w:tc>
          <w:tcPr>
            <w:tcW w:w="1004" w:type="pct"/>
            <w:vAlign w:val="center"/>
          </w:tcPr>
          <w:p w14:paraId="6D9D9267">
            <w:pPr>
              <w:pStyle w:val="58"/>
              <w:bidi w:val="0"/>
              <w:rPr>
                <w:rFonts w:hint="default"/>
              </w:rPr>
            </w:pPr>
            <w:r>
              <w:rPr>
                <w:rFonts w:hint="default"/>
              </w:rPr>
              <w:t>熔点(℃)</w:t>
            </w:r>
          </w:p>
        </w:tc>
        <w:tc>
          <w:tcPr>
            <w:tcW w:w="585" w:type="pct"/>
            <w:vAlign w:val="center"/>
          </w:tcPr>
          <w:p w14:paraId="7A8F0154">
            <w:pPr>
              <w:pStyle w:val="58"/>
              <w:bidi w:val="0"/>
              <w:rPr>
                <w:rFonts w:hint="default"/>
              </w:rPr>
            </w:pPr>
            <w:r>
              <w:rPr>
                <w:rFonts w:hint="default"/>
              </w:rPr>
              <w:t>-16</w:t>
            </w:r>
          </w:p>
        </w:tc>
        <w:tc>
          <w:tcPr>
            <w:tcW w:w="648" w:type="pct"/>
            <w:gridSpan w:val="2"/>
            <w:vAlign w:val="center"/>
          </w:tcPr>
          <w:p w14:paraId="02AD6547">
            <w:pPr>
              <w:pStyle w:val="58"/>
              <w:bidi w:val="0"/>
              <w:rPr>
                <w:rFonts w:hint="default"/>
              </w:rPr>
            </w:pPr>
            <w:r>
              <w:rPr>
                <w:rFonts w:hint="default"/>
              </w:rPr>
              <w:t>密度</w:t>
            </w:r>
          </w:p>
        </w:tc>
        <w:tc>
          <w:tcPr>
            <w:tcW w:w="658" w:type="pct"/>
            <w:vAlign w:val="center"/>
          </w:tcPr>
          <w:p w14:paraId="072F3532">
            <w:pPr>
              <w:pStyle w:val="58"/>
              <w:bidi w:val="0"/>
              <w:rPr>
                <w:rFonts w:hint="default"/>
              </w:rPr>
            </w:pPr>
            <w:r>
              <w:rPr>
                <w:rFonts w:hint="default"/>
              </w:rPr>
              <w:t>1.25g/mL（20°C）</w:t>
            </w:r>
          </w:p>
        </w:tc>
        <w:tc>
          <w:tcPr>
            <w:tcW w:w="987" w:type="pct"/>
            <w:vAlign w:val="center"/>
          </w:tcPr>
          <w:p w14:paraId="51D37653">
            <w:pPr>
              <w:pStyle w:val="58"/>
              <w:bidi w:val="0"/>
              <w:rPr>
                <w:rFonts w:hint="default"/>
              </w:rPr>
            </w:pPr>
            <w:r>
              <w:rPr>
                <w:rFonts w:hint="default"/>
              </w:rPr>
              <w:t>沸点(℃)</w:t>
            </w:r>
          </w:p>
        </w:tc>
        <w:tc>
          <w:tcPr>
            <w:tcW w:w="851" w:type="pct"/>
            <w:vAlign w:val="center"/>
          </w:tcPr>
          <w:p w14:paraId="61180EDD">
            <w:pPr>
              <w:pStyle w:val="58"/>
              <w:bidi w:val="0"/>
              <w:rPr>
                <w:rFonts w:hint="default"/>
              </w:rPr>
            </w:pPr>
            <w:r>
              <w:rPr>
                <w:rFonts w:hint="default"/>
              </w:rPr>
              <w:t>111</w:t>
            </w:r>
          </w:p>
        </w:tc>
      </w:tr>
      <w:tr w14:paraId="4217BD9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64" w:type="pct"/>
            <w:vMerge w:val="restart"/>
            <w:textDirection w:val="tbRlV"/>
            <w:vAlign w:val="center"/>
          </w:tcPr>
          <w:p w14:paraId="6BCCF58E">
            <w:pPr>
              <w:pStyle w:val="58"/>
              <w:bidi w:val="0"/>
              <w:rPr>
                <w:rFonts w:hint="default"/>
              </w:rPr>
            </w:pPr>
            <w:r>
              <w:rPr>
                <w:rFonts w:hint="default"/>
              </w:rPr>
              <w:t>危险特性</w:t>
            </w:r>
          </w:p>
        </w:tc>
        <w:tc>
          <w:tcPr>
            <w:tcW w:w="1004" w:type="pct"/>
            <w:vAlign w:val="center"/>
          </w:tcPr>
          <w:p w14:paraId="25A16815">
            <w:pPr>
              <w:pStyle w:val="58"/>
              <w:bidi w:val="0"/>
              <w:rPr>
                <w:rFonts w:hint="default"/>
              </w:rPr>
            </w:pPr>
            <w:r>
              <w:rPr>
                <w:rFonts w:hint="default"/>
              </w:rPr>
              <w:t>危险性类别</w:t>
            </w:r>
          </w:p>
        </w:tc>
        <w:tc>
          <w:tcPr>
            <w:tcW w:w="3731" w:type="pct"/>
            <w:gridSpan w:val="6"/>
            <w:vAlign w:val="center"/>
          </w:tcPr>
          <w:p w14:paraId="79442958">
            <w:pPr>
              <w:pStyle w:val="58"/>
              <w:bidi w:val="0"/>
              <w:rPr>
                <w:rFonts w:hint="default"/>
              </w:rPr>
            </w:pPr>
            <w:r>
              <w:rPr>
                <w:rFonts w:hint="default"/>
              </w:rPr>
              <w:t>第8.3类其它腐蚀品</w:t>
            </w:r>
          </w:p>
        </w:tc>
      </w:tr>
      <w:tr w14:paraId="2035BEC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64" w:type="pct"/>
            <w:vMerge w:val="continue"/>
            <w:textDirection w:val="tbRlV"/>
            <w:vAlign w:val="center"/>
          </w:tcPr>
          <w:p w14:paraId="0A9B329C">
            <w:pPr>
              <w:pStyle w:val="58"/>
              <w:bidi w:val="0"/>
              <w:rPr>
                <w:rFonts w:hint="default"/>
              </w:rPr>
            </w:pPr>
          </w:p>
        </w:tc>
        <w:tc>
          <w:tcPr>
            <w:tcW w:w="1004" w:type="pct"/>
            <w:vAlign w:val="center"/>
          </w:tcPr>
          <w:p w14:paraId="1D8993C7">
            <w:pPr>
              <w:pStyle w:val="58"/>
              <w:bidi w:val="0"/>
              <w:rPr>
                <w:rFonts w:hint="default"/>
              </w:rPr>
            </w:pPr>
            <w:r>
              <w:rPr>
                <w:rFonts w:hint="default"/>
              </w:rPr>
              <w:t>侵入途径</w:t>
            </w:r>
          </w:p>
        </w:tc>
        <w:tc>
          <w:tcPr>
            <w:tcW w:w="3731" w:type="pct"/>
            <w:gridSpan w:val="6"/>
            <w:vAlign w:val="center"/>
          </w:tcPr>
          <w:p w14:paraId="25251BFB">
            <w:pPr>
              <w:pStyle w:val="58"/>
              <w:bidi w:val="0"/>
              <w:rPr>
                <w:rFonts w:hint="default"/>
              </w:rPr>
            </w:pPr>
            <w:r>
              <w:rPr>
                <w:rFonts w:hint="default"/>
              </w:rPr>
              <w:t>无资料</w:t>
            </w:r>
          </w:p>
        </w:tc>
      </w:tr>
      <w:tr w14:paraId="346A5D8B">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64" w:type="pct"/>
            <w:vMerge w:val="continue"/>
            <w:textDirection w:val="tbRlV"/>
            <w:vAlign w:val="center"/>
          </w:tcPr>
          <w:p w14:paraId="6F8DCB25">
            <w:pPr>
              <w:pStyle w:val="58"/>
              <w:bidi w:val="0"/>
              <w:rPr>
                <w:rFonts w:hint="default"/>
              </w:rPr>
            </w:pPr>
          </w:p>
        </w:tc>
        <w:tc>
          <w:tcPr>
            <w:tcW w:w="1004" w:type="pct"/>
            <w:vAlign w:val="center"/>
          </w:tcPr>
          <w:p w14:paraId="268A286A">
            <w:pPr>
              <w:pStyle w:val="58"/>
              <w:bidi w:val="0"/>
              <w:rPr>
                <w:rFonts w:hint="default"/>
              </w:rPr>
            </w:pPr>
            <w:r>
              <w:rPr>
                <w:rFonts w:hint="default"/>
              </w:rPr>
              <w:t>急性毒性</w:t>
            </w:r>
          </w:p>
        </w:tc>
        <w:tc>
          <w:tcPr>
            <w:tcW w:w="3731" w:type="pct"/>
            <w:gridSpan w:val="6"/>
            <w:vAlign w:val="center"/>
          </w:tcPr>
          <w:p w14:paraId="3B0C3D22">
            <w:pPr>
              <w:pStyle w:val="58"/>
              <w:bidi w:val="0"/>
              <w:rPr>
                <w:rFonts w:hint="default"/>
              </w:rPr>
            </w:pPr>
            <w:r>
              <w:rPr>
                <w:rFonts w:hint="default"/>
              </w:rPr>
              <w:t>LD50：8500mg/kg(小鼠经口)，LC50：无资料</w:t>
            </w:r>
          </w:p>
        </w:tc>
      </w:tr>
      <w:tr w14:paraId="7A9A65C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64" w:type="pct"/>
            <w:vMerge w:val="continue"/>
            <w:textDirection w:val="tbRlV"/>
            <w:vAlign w:val="center"/>
          </w:tcPr>
          <w:p w14:paraId="3B64748E">
            <w:pPr>
              <w:pStyle w:val="58"/>
              <w:bidi w:val="0"/>
              <w:rPr>
                <w:rFonts w:hint="default"/>
              </w:rPr>
            </w:pPr>
          </w:p>
        </w:tc>
        <w:tc>
          <w:tcPr>
            <w:tcW w:w="1004" w:type="pct"/>
            <w:vAlign w:val="center"/>
          </w:tcPr>
          <w:p w14:paraId="21EFE79E">
            <w:pPr>
              <w:pStyle w:val="58"/>
              <w:bidi w:val="0"/>
              <w:rPr>
                <w:rFonts w:hint="default"/>
              </w:rPr>
            </w:pPr>
            <w:r>
              <w:rPr>
                <w:rFonts w:hint="default"/>
              </w:rPr>
              <w:t>健康危害</w:t>
            </w:r>
          </w:p>
        </w:tc>
        <w:tc>
          <w:tcPr>
            <w:tcW w:w="3731" w:type="pct"/>
            <w:gridSpan w:val="6"/>
            <w:vAlign w:val="center"/>
          </w:tcPr>
          <w:p w14:paraId="2F2C6A45">
            <w:pPr>
              <w:pStyle w:val="58"/>
              <w:bidi w:val="0"/>
              <w:rPr>
                <w:rFonts w:hint="default"/>
              </w:rPr>
            </w:pPr>
            <w:r>
              <w:rPr>
                <w:rFonts w:hint="default"/>
              </w:rPr>
              <w:t>经常用手接触本品的工人，手掌大量出汗，指甲变薄，毛发脱落。本品有致敏作用。本品放出的游离氯有可能引起中毒。</w:t>
            </w:r>
          </w:p>
        </w:tc>
      </w:tr>
      <w:tr w14:paraId="5CB7689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64" w:type="pct"/>
            <w:vMerge w:val="continue"/>
            <w:textDirection w:val="tbRlV"/>
            <w:vAlign w:val="center"/>
          </w:tcPr>
          <w:p w14:paraId="2F79E0AD">
            <w:pPr>
              <w:pStyle w:val="58"/>
              <w:bidi w:val="0"/>
              <w:rPr>
                <w:rFonts w:hint="default"/>
              </w:rPr>
            </w:pPr>
          </w:p>
        </w:tc>
        <w:tc>
          <w:tcPr>
            <w:tcW w:w="1004" w:type="pct"/>
            <w:vAlign w:val="center"/>
          </w:tcPr>
          <w:p w14:paraId="3478026E">
            <w:pPr>
              <w:pStyle w:val="58"/>
              <w:bidi w:val="0"/>
              <w:rPr>
                <w:rFonts w:hint="default"/>
              </w:rPr>
            </w:pPr>
            <w:r>
              <w:rPr>
                <w:rFonts w:hint="default"/>
              </w:rPr>
              <w:t>燃爆危险</w:t>
            </w:r>
          </w:p>
        </w:tc>
        <w:tc>
          <w:tcPr>
            <w:tcW w:w="3731" w:type="pct"/>
            <w:gridSpan w:val="6"/>
            <w:vAlign w:val="center"/>
          </w:tcPr>
          <w:p w14:paraId="546B6C18">
            <w:pPr>
              <w:pStyle w:val="58"/>
              <w:bidi w:val="0"/>
              <w:rPr>
                <w:rFonts w:hint="default"/>
              </w:rPr>
            </w:pPr>
            <w:r>
              <w:rPr>
                <w:rFonts w:hint="default"/>
              </w:rPr>
              <w:t>本品不燃，具腐蚀性，可致人体灼伤，具致敏性。</w:t>
            </w:r>
          </w:p>
        </w:tc>
      </w:tr>
      <w:tr w14:paraId="16D5F9D9">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64" w:type="pct"/>
            <w:vMerge w:val="continue"/>
            <w:textDirection w:val="tbRlV"/>
            <w:vAlign w:val="center"/>
          </w:tcPr>
          <w:p w14:paraId="489B26D3">
            <w:pPr>
              <w:pStyle w:val="58"/>
              <w:bidi w:val="0"/>
              <w:rPr>
                <w:rFonts w:hint="default"/>
              </w:rPr>
            </w:pPr>
          </w:p>
        </w:tc>
        <w:tc>
          <w:tcPr>
            <w:tcW w:w="1004" w:type="pct"/>
            <w:vAlign w:val="center"/>
          </w:tcPr>
          <w:p w14:paraId="0BBF8243">
            <w:pPr>
              <w:pStyle w:val="58"/>
              <w:bidi w:val="0"/>
              <w:rPr>
                <w:rFonts w:hint="default"/>
              </w:rPr>
            </w:pPr>
            <w:r>
              <w:rPr>
                <w:rFonts w:hint="default"/>
              </w:rPr>
              <w:t>急救方法</w:t>
            </w:r>
          </w:p>
        </w:tc>
        <w:tc>
          <w:tcPr>
            <w:tcW w:w="3731" w:type="pct"/>
            <w:gridSpan w:val="6"/>
            <w:vAlign w:val="center"/>
          </w:tcPr>
          <w:p w14:paraId="0B730398">
            <w:pPr>
              <w:pStyle w:val="58"/>
              <w:bidi w:val="0"/>
              <w:rPr>
                <w:rFonts w:hint="default"/>
              </w:rPr>
            </w:pPr>
            <w:r>
              <w:rPr>
                <w:rFonts w:hint="default"/>
              </w:rPr>
              <w:t>皮肤接触：脱去污染的衣着，用大量流动清水冲洗。眼睛接触：提起眼睑，用流动清水或生理盐水冲洗。就医。吸入：迅速脱离现场至空气新鲜处。保持呼吸道通畅。如呼吸困难，给输氧。如呼吸停止，立即进行人工呼吸。就医。食入：饮足量温水，催吐。就医。</w:t>
            </w:r>
          </w:p>
        </w:tc>
      </w:tr>
      <w:tr w14:paraId="61C0AAB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64" w:type="pct"/>
            <w:vMerge w:val="continue"/>
            <w:textDirection w:val="tbRlV"/>
            <w:vAlign w:val="center"/>
          </w:tcPr>
          <w:p w14:paraId="423596B0">
            <w:pPr>
              <w:pStyle w:val="58"/>
              <w:bidi w:val="0"/>
              <w:rPr>
                <w:rFonts w:hint="default"/>
              </w:rPr>
            </w:pPr>
          </w:p>
        </w:tc>
        <w:tc>
          <w:tcPr>
            <w:tcW w:w="1004" w:type="pct"/>
            <w:vAlign w:val="center"/>
          </w:tcPr>
          <w:p w14:paraId="0B858EC0">
            <w:pPr>
              <w:pStyle w:val="58"/>
              <w:bidi w:val="0"/>
              <w:rPr>
                <w:rFonts w:hint="default"/>
              </w:rPr>
            </w:pPr>
            <w:r>
              <w:rPr>
                <w:rFonts w:hint="default"/>
              </w:rPr>
              <w:t>消防措施</w:t>
            </w:r>
          </w:p>
        </w:tc>
        <w:tc>
          <w:tcPr>
            <w:tcW w:w="3731" w:type="pct"/>
            <w:gridSpan w:val="6"/>
            <w:vAlign w:val="center"/>
          </w:tcPr>
          <w:p w14:paraId="6E7DE3DB">
            <w:pPr>
              <w:pStyle w:val="58"/>
              <w:bidi w:val="0"/>
              <w:rPr>
                <w:rFonts w:hint="default"/>
              </w:rPr>
            </w:pPr>
            <w:r>
              <w:rPr>
                <w:rFonts w:hint="default"/>
              </w:rPr>
              <w:t>受高热分解产生有毒的腐蚀性烟气。具有腐蚀性。有害燃烧产物：氯化物。灭火方法及灭火剂：采用雾状水、二氧化碳、砂土灭火。</w:t>
            </w:r>
          </w:p>
        </w:tc>
      </w:tr>
      <w:tr w14:paraId="06D51E37">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64" w:type="pct"/>
            <w:vMerge w:val="continue"/>
            <w:textDirection w:val="tbRlV"/>
            <w:vAlign w:val="center"/>
          </w:tcPr>
          <w:p w14:paraId="7B6EDBD4">
            <w:pPr>
              <w:pStyle w:val="58"/>
              <w:bidi w:val="0"/>
              <w:rPr>
                <w:rFonts w:hint="default"/>
              </w:rPr>
            </w:pPr>
          </w:p>
        </w:tc>
        <w:tc>
          <w:tcPr>
            <w:tcW w:w="1004" w:type="pct"/>
            <w:vAlign w:val="center"/>
          </w:tcPr>
          <w:p w14:paraId="4A1ABE3F">
            <w:pPr>
              <w:pStyle w:val="58"/>
              <w:bidi w:val="0"/>
              <w:rPr>
                <w:rFonts w:hint="default"/>
              </w:rPr>
            </w:pPr>
            <w:r>
              <w:rPr>
                <w:rFonts w:hint="default"/>
              </w:rPr>
              <w:t>操作处置与储存</w:t>
            </w:r>
          </w:p>
        </w:tc>
        <w:tc>
          <w:tcPr>
            <w:tcW w:w="3731" w:type="pct"/>
            <w:gridSpan w:val="6"/>
            <w:vAlign w:val="center"/>
          </w:tcPr>
          <w:p w14:paraId="2552278E">
            <w:pPr>
              <w:pStyle w:val="58"/>
              <w:bidi w:val="0"/>
              <w:rPr>
                <w:rFonts w:hint="default"/>
              </w:rPr>
            </w:pPr>
            <w:r>
              <w:rPr>
                <w:rFonts w:hint="default"/>
              </w:rPr>
              <w:t>操作注意事项：密闭操作，全面通风。操作人员必须经过专门培训，严格遵守操作规程。建议操作人员佩戴直接式防毒面具（半面罩），戴化学安全防护眼镜，穿防腐工作服，戴橡胶手套。防止蒸气泄漏到工作场所空气中。避免与碱类接触。搬运时要轻装轻卸，防止包装及容器损坏。配备泄漏应急处理设备。倒空的容器可能残留有害物。储存注意事项：储存于阴凉、通风的库房。远离火种、热源。库温不宜超过30℃。应与碱类分开存放，切忌混储。储区应备有泄漏应急处理设备和合适的收容材料。</w:t>
            </w:r>
          </w:p>
        </w:tc>
      </w:tr>
    </w:tbl>
    <w:p w14:paraId="0D2FA193">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硫酸理化性质一览表</w:t>
      </w:r>
    </w:p>
    <w:tbl>
      <w:tblPr>
        <w:tblStyle w:val="88"/>
        <w:tblW w:w="5030" w:type="pct"/>
        <w:tblInd w:w="0" w:type="dxa"/>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Layout w:type="autofit"/>
        <w:tblCellMar>
          <w:top w:w="0" w:type="dxa"/>
          <w:left w:w="0" w:type="dxa"/>
          <w:bottom w:w="0" w:type="dxa"/>
          <w:right w:w="0" w:type="dxa"/>
        </w:tblCellMar>
      </w:tblPr>
      <w:tblGrid>
        <w:gridCol w:w="666"/>
        <w:gridCol w:w="954"/>
        <w:gridCol w:w="1083"/>
        <w:gridCol w:w="608"/>
        <w:gridCol w:w="1942"/>
        <w:gridCol w:w="1933"/>
        <w:gridCol w:w="1971"/>
      </w:tblGrid>
      <w:tr w14:paraId="7803DE85">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364" w:type="pct"/>
            <w:vMerge w:val="restart"/>
            <w:tcBorders>
              <w:bottom w:val="nil"/>
            </w:tcBorders>
            <w:textDirection w:val="tbRlV"/>
            <w:vAlign w:val="top"/>
          </w:tcPr>
          <w:p w14:paraId="1EDB6E52">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标识</w:t>
            </w:r>
          </w:p>
        </w:tc>
        <w:tc>
          <w:tcPr>
            <w:tcW w:w="1444" w:type="pct"/>
            <w:gridSpan w:val="3"/>
            <w:vAlign w:val="top"/>
          </w:tcPr>
          <w:p w14:paraId="4E18789F">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中文名：硫酸</w:t>
            </w:r>
          </w:p>
        </w:tc>
        <w:tc>
          <w:tcPr>
            <w:tcW w:w="1059" w:type="pct"/>
            <w:vAlign w:val="top"/>
          </w:tcPr>
          <w:p w14:paraId="230F3C80">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别名：磺镪水</w:t>
            </w:r>
          </w:p>
        </w:tc>
        <w:tc>
          <w:tcPr>
            <w:tcW w:w="2131" w:type="pct"/>
            <w:gridSpan w:val="2"/>
            <w:vAlign w:val="top"/>
          </w:tcPr>
          <w:p w14:paraId="087D9D23">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英文名：sulfuricacid</w:t>
            </w:r>
          </w:p>
        </w:tc>
      </w:tr>
      <w:tr w14:paraId="225D5634">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364" w:type="pct"/>
            <w:vMerge w:val="continue"/>
            <w:tcBorders>
              <w:top w:val="nil"/>
            </w:tcBorders>
            <w:textDirection w:val="tbRlV"/>
            <w:vAlign w:val="top"/>
          </w:tcPr>
          <w:p w14:paraId="74851070">
            <w:pPr>
              <w:pStyle w:val="58"/>
              <w:keepNext w:val="0"/>
              <w:keepLines w:val="0"/>
              <w:pageBreakBefore w:val="0"/>
              <w:widowControl w:val="0"/>
              <w:kinsoku/>
              <w:wordWrap/>
              <w:overflowPunct/>
              <w:topLinePunct w:val="0"/>
              <w:autoSpaceDE/>
              <w:autoSpaceDN/>
              <w:bidi w:val="0"/>
              <w:adjustRightInd/>
              <w:snapToGrid/>
              <w:textAlignment w:val="auto"/>
              <w:rPr>
                <w:rFonts w:hint="default"/>
              </w:rPr>
            </w:pPr>
          </w:p>
        </w:tc>
        <w:tc>
          <w:tcPr>
            <w:tcW w:w="1444" w:type="pct"/>
            <w:gridSpan w:val="3"/>
            <w:vAlign w:val="top"/>
          </w:tcPr>
          <w:p w14:paraId="40545250">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分子式：</w:t>
            </w:r>
            <w:r>
              <w:rPr>
                <w:rFonts w:hint="eastAsia"/>
                <w:lang w:eastAsia="zh-CN"/>
              </w:rPr>
              <w:t>H</w:t>
            </w:r>
            <w:r>
              <w:rPr>
                <w:rFonts w:hint="eastAsia"/>
                <w:vertAlign w:val="subscript"/>
                <w:lang w:eastAsia="zh-CN"/>
              </w:rPr>
              <w:t>2</w:t>
            </w:r>
            <w:r>
              <w:rPr>
                <w:rFonts w:hint="eastAsia"/>
                <w:lang w:eastAsia="zh-CN"/>
              </w:rPr>
              <w:t>S</w:t>
            </w:r>
            <w:r>
              <w:rPr>
                <w:rFonts w:hint="default"/>
              </w:rPr>
              <w:t>O</w:t>
            </w:r>
            <w:r>
              <w:rPr>
                <w:rFonts w:hint="default"/>
                <w:vertAlign w:val="subscript"/>
              </w:rPr>
              <w:t>4</w:t>
            </w:r>
          </w:p>
        </w:tc>
        <w:tc>
          <w:tcPr>
            <w:tcW w:w="1059" w:type="pct"/>
            <w:vAlign w:val="top"/>
          </w:tcPr>
          <w:p w14:paraId="51009BE9">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分子量：98.08</w:t>
            </w:r>
          </w:p>
        </w:tc>
        <w:tc>
          <w:tcPr>
            <w:tcW w:w="2131" w:type="pct"/>
            <w:gridSpan w:val="2"/>
            <w:vAlign w:val="top"/>
          </w:tcPr>
          <w:p w14:paraId="0477A029">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CAS号：7664-93-9</w:t>
            </w:r>
          </w:p>
        </w:tc>
      </w:tr>
      <w:tr w14:paraId="56597E32">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364" w:type="pct"/>
            <w:vMerge w:val="restart"/>
            <w:tcBorders>
              <w:bottom w:val="nil"/>
            </w:tcBorders>
            <w:textDirection w:val="tbRlV"/>
            <w:vAlign w:val="top"/>
          </w:tcPr>
          <w:p w14:paraId="524839B9">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理化性质</w:t>
            </w:r>
          </w:p>
        </w:tc>
        <w:tc>
          <w:tcPr>
            <w:tcW w:w="2504" w:type="pct"/>
            <w:gridSpan w:val="4"/>
            <w:vAlign w:val="top"/>
          </w:tcPr>
          <w:p w14:paraId="405B0A87">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外观与性状：纯品为无色透明油状液体，无臭</w:t>
            </w:r>
          </w:p>
        </w:tc>
        <w:tc>
          <w:tcPr>
            <w:tcW w:w="1055" w:type="pct"/>
            <w:vAlign w:val="top"/>
          </w:tcPr>
          <w:p w14:paraId="3D76CFAB">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熔点：10.5℃</w:t>
            </w:r>
          </w:p>
        </w:tc>
        <w:tc>
          <w:tcPr>
            <w:tcW w:w="1076" w:type="pct"/>
            <w:vAlign w:val="top"/>
          </w:tcPr>
          <w:p w14:paraId="0D9C49D3">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沸点：330℃</w:t>
            </w:r>
          </w:p>
        </w:tc>
      </w:tr>
      <w:tr w14:paraId="1DD83FDE">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364" w:type="pct"/>
            <w:vMerge w:val="continue"/>
            <w:tcBorders>
              <w:top w:val="nil"/>
              <w:bottom w:val="nil"/>
            </w:tcBorders>
            <w:textDirection w:val="tbRlV"/>
            <w:vAlign w:val="top"/>
          </w:tcPr>
          <w:p w14:paraId="127102CB">
            <w:pPr>
              <w:pStyle w:val="58"/>
              <w:keepNext w:val="0"/>
              <w:keepLines w:val="0"/>
              <w:pageBreakBefore w:val="0"/>
              <w:widowControl w:val="0"/>
              <w:kinsoku/>
              <w:wordWrap/>
              <w:overflowPunct/>
              <w:topLinePunct w:val="0"/>
              <w:autoSpaceDE/>
              <w:autoSpaceDN/>
              <w:bidi w:val="0"/>
              <w:adjustRightInd/>
              <w:snapToGrid/>
              <w:textAlignment w:val="auto"/>
              <w:rPr>
                <w:rFonts w:hint="default"/>
              </w:rPr>
            </w:pPr>
          </w:p>
        </w:tc>
        <w:tc>
          <w:tcPr>
            <w:tcW w:w="1444" w:type="pct"/>
            <w:gridSpan w:val="3"/>
            <w:vAlign w:val="top"/>
          </w:tcPr>
          <w:p w14:paraId="53D69517">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蒸汽压：0.13kPa（145.8℃)</w:t>
            </w:r>
          </w:p>
        </w:tc>
        <w:tc>
          <w:tcPr>
            <w:tcW w:w="1059" w:type="pct"/>
            <w:vAlign w:val="top"/>
          </w:tcPr>
          <w:p w14:paraId="01E11410">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闪点：无意义</w:t>
            </w:r>
          </w:p>
        </w:tc>
        <w:tc>
          <w:tcPr>
            <w:tcW w:w="1055" w:type="pct"/>
            <w:vAlign w:val="top"/>
          </w:tcPr>
          <w:p w14:paraId="2251FF23">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溶解性：与水混溶</w:t>
            </w:r>
          </w:p>
        </w:tc>
        <w:tc>
          <w:tcPr>
            <w:tcW w:w="1076" w:type="pct"/>
            <w:vAlign w:val="top"/>
          </w:tcPr>
          <w:p w14:paraId="0C8C2554">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稳定性：稳定</w:t>
            </w:r>
          </w:p>
        </w:tc>
      </w:tr>
      <w:tr w14:paraId="5374A0E0">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364" w:type="pct"/>
            <w:vMerge w:val="continue"/>
            <w:tcBorders>
              <w:top w:val="nil"/>
              <w:bottom w:val="nil"/>
            </w:tcBorders>
            <w:textDirection w:val="tbRlV"/>
            <w:vAlign w:val="top"/>
          </w:tcPr>
          <w:p w14:paraId="5C335222">
            <w:pPr>
              <w:pStyle w:val="58"/>
              <w:keepNext w:val="0"/>
              <w:keepLines w:val="0"/>
              <w:pageBreakBefore w:val="0"/>
              <w:widowControl w:val="0"/>
              <w:kinsoku/>
              <w:wordWrap/>
              <w:overflowPunct/>
              <w:topLinePunct w:val="0"/>
              <w:autoSpaceDE/>
              <w:autoSpaceDN/>
              <w:bidi w:val="0"/>
              <w:adjustRightInd/>
              <w:snapToGrid/>
              <w:textAlignment w:val="auto"/>
              <w:rPr>
                <w:rFonts w:hint="default"/>
              </w:rPr>
            </w:pPr>
          </w:p>
        </w:tc>
        <w:tc>
          <w:tcPr>
            <w:tcW w:w="4635" w:type="pct"/>
            <w:gridSpan w:val="6"/>
            <w:vAlign w:val="top"/>
          </w:tcPr>
          <w:p w14:paraId="31B144A7">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密度：相对水（水=1）1.83，相对空气（空气=1）3.4</w:t>
            </w:r>
          </w:p>
        </w:tc>
      </w:tr>
      <w:tr w14:paraId="7B707202">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364" w:type="pct"/>
            <w:vMerge w:val="continue"/>
            <w:tcBorders>
              <w:top w:val="nil"/>
            </w:tcBorders>
            <w:textDirection w:val="tbRlV"/>
            <w:vAlign w:val="top"/>
          </w:tcPr>
          <w:p w14:paraId="79FEFABB">
            <w:pPr>
              <w:pStyle w:val="58"/>
              <w:keepNext w:val="0"/>
              <w:keepLines w:val="0"/>
              <w:pageBreakBefore w:val="0"/>
              <w:widowControl w:val="0"/>
              <w:kinsoku/>
              <w:wordWrap/>
              <w:overflowPunct/>
              <w:topLinePunct w:val="0"/>
              <w:autoSpaceDE/>
              <w:autoSpaceDN/>
              <w:bidi w:val="0"/>
              <w:adjustRightInd/>
              <w:snapToGrid/>
              <w:textAlignment w:val="auto"/>
              <w:rPr>
                <w:rFonts w:hint="default"/>
              </w:rPr>
            </w:pPr>
          </w:p>
        </w:tc>
        <w:tc>
          <w:tcPr>
            <w:tcW w:w="1444" w:type="pct"/>
            <w:gridSpan w:val="3"/>
            <w:vAlign w:val="top"/>
          </w:tcPr>
          <w:p w14:paraId="3FAA0A1F">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引燃温度：无意义</w:t>
            </w:r>
          </w:p>
        </w:tc>
        <w:tc>
          <w:tcPr>
            <w:tcW w:w="1059" w:type="pct"/>
            <w:vAlign w:val="top"/>
          </w:tcPr>
          <w:p w14:paraId="288D5384">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爆炸极限：无意义</w:t>
            </w:r>
          </w:p>
        </w:tc>
        <w:tc>
          <w:tcPr>
            <w:tcW w:w="1055" w:type="pct"/>
            <w:vAlign w:val="top"/>
          </w:tcPr>
          <w:p w14:paraId="0ED5A3C0">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临界温度：无资料</w:t>
            </w:r>
          </w:p>
        </w:tc>
        <w:tc>
          <w:tcPr>
            <w:tcW w:w="1076" w:type="pct"/>
            <w:vAlign w:val="top"/>
          </w:tcPr>
          <w:p w14:paraId="04B982D8">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临界压力：无资料</w:t>
            </w:r>
          </w:p>
        </w:tc>
      </w:tr>
      <w:tr w14:paraId="6AA5A252">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364" w:type="pct"/>
            <w:vMerge w:val="restart"/>
            <w:textDirection w:val="tbRlV"/>
            <w:vAlign w:val="top"/>
          </w:tcPr>
          <w:p w14:paraId="0262C6A5">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危险特性</w:t>
            </w:r>
          </w:p>
        </w:tc>
        <w:tc>
          <w:tcPr>
            <w:tcW w:w="521" w:type="pct"/>
            <w:vAlign w:val="top"/>
          </w:tcPr>
          <w:p w14:paraId="70857B21">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危险性类别</w:t>
            </w:r>
          </w:p>
        </w:tc>
        <w:tc>
          <w:tcPr>
            <w:tcW w:w="4114" w:type="pct"/>
            <w:gridSpan w:val="5"/>
            <w:vAlign w:val="top"/>
          </w:tcPr>
          <w:p w14:paraId="2F875A9E">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第8.1类酸性腐蚀品</w:t>
            </w:r>
          </w:p>
        </w:tc>
      </w:tr>
      <w:tr w14:paraId="7ED9DE04">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364" w:type="pct"/>
            <w:vMerge w:val="continue"/>
            <w:textDirection w:val="tbRlV"/>
            <w:vAlign w:val="top"/>
          </w:tcPr>
          <w:p w14:paraId="2D6CCDF5">
            <w:pPr>
              <w:pStyle w:val="58"/>
              <w:keepNext w:val="0"/>
              <w:keepLines w:val="0"/>
              <w:pageBreakBefore w:val="0"/>
              <w:widowControl w:val="0"/>
              <w:kinsoku/>
              <w:wordWrap/>
              <w:overflowPunct/>
              <w:topLinePunct w:val="0"/>
              <w:autoSpaceDE/>
              <w:autoSpaceDN/>
              <w:bidi w:val="0"/>
              <w:adjustRightInd/>
              <w:snapToGrid/>
              <w:textAlignment w:val="auto"/>
              <w:rPr>
                <w:rFonts w:hint="default"/>
              </w:rPr>
            </w:pPr>
          </w:p>
        </w:tc>
        <w:tc>
          <w:tcPr>
            <w:tcW w:w="521" w:type="pct"/>
            <w:vAlign w:val="top"/>
          </w:tcPr>
          <w:p w14:paraId="6ED2349F">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毒性</w:t>
            </w:r>
          </w:p>
        </w:tc>
        <w:tc>
          <w:tcPr>
            <w:tcW w:w="4114" w:type="pct"/>
            <w:gridSpan w:val="5"/>
            <w:vAlign w:val="top"/>
          </w:tcPr>
          <w:p w14:paraId="32AEDF16">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急性毒性：LD50：80mg/kg（大鼠经口）；LC50：510mg/</w:t>
            </w:r>
            <w:r>
              <w:rPr>
                <w:rFonts w:hint="eastAsia"/>
                <w:lang w:eastAsia="zh-CN"/>
              </w:rPr>
              <w:t>m</w:t>
            </w:r>
            <w:r>
              <w:rPr>
                <w:rFonts w:hint="eastAsia"/>
                <w:vertAlign w:val="superscript"/>
                <w:lang w:eastAsia="zh-CN"/>
              </w:rPr>
              <w:t>3</w:t>
            </w:r>
            <w:r>
              <w:rPr>
                <w:rFonts w:hint="default"/>
              </w:rPr>
              <w:t>（2h大鼠吸入），320mg/</w:t>
            </w:r>
            <w:r>
              <w:rPr>
                <w:rFonts w:hint="eastAsia"/>
                <w:lang w:eastAsia="zh-CN"/>
              </w:rPr>
              <w:t>m</w:t>
            </w:r>
            <w:r>
              <w:rPr>
                <w:rFonts w:hint="eastAsia"/>
                <w:vertAlign w:val="superscript"/>
                <w:lang w:eastAsia="zh-CN"/>
              </w:rPr>
              <w:t>3</w:t>
            </w:r>
            <w:r>
              <w:rPr>
                <w:rFonts w:hint="default"/>
              </w:rPr>
              <w:t>（2h小鼠吸入）。</w:t>
            </w:r>
          </w:p>
        </w:tc>
      </w:tr>
      <w:tr w14:paraId="5D9E55A5">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364" w:type="pct"/>
            <w:vMerge w:val="continue"/>
            <w:textDirection w:val="tbRlV"/>
            <w:vAlign w:val="top"/>
          </w:tcPr>
          <w:p w14:paraId="00B2302E">
            <w:pPr>
              <w:pStyle w:val="58"/>
              <w:keepNext w:val="0"/>
              <w:keepLines w:val="0"/>
              <w:pageBreakBefore w:val="0"/>
              <w:widowControl w:val="0"/>
              <w:kinsoku/>
              <w:wordWrap/>
              <w:overflowPunct/>
              <w:topLinePunct w:val="0"/>
              <w:autoSpaceDE/>
              <w:autoSpaceDN/>
              <w:bidi w:val="0"/>
              <w:adjustRightInd/>
              <w:snapToGrid/>
              <w:textAlignment w:val="auto"/>
              <w:rPr>
                <w:rFonts w:hint="default"/>
              </w:rPr>
            </w:pPr>
          </w:p>
        </w:tc>
        <w:tc>
          <w:tcPr>
            <w:tcW w:w="521" w:type="pct"/>
            <w:vAlign w:val="top"/>
          </w:tcPr>
          <w:p w14:paraId="5B931137">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危险特性</w:t>
            </w:r>
          </w:p>
        </w:tc>
        <w:tc>
          <w:tcPr>
            <w:tcW w:w="4114" w:type="pct"/>
            <w:gridSpan w:val="5"/>
            <w:vAlign w:val="top"/>
          </w:tcPr>
          <w:p w14:paraId="1398EDD3">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属中等毒性。与易燃物(如苯)和有机物(如糖、纤维素等)接触会发生剧烈反应，甚至引起燃烧。能与一些活性金属粉末发生反应，放出氢气。遇水大量放热，可发生沸溅。具有强腐蚀性。</w:t>
            </w:r>
          </w:p>
        </w:tc>
      </w:tr>
      <w:tr w14:paraId="4149F4C3">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364" w:type="pct"/>
            <w:vMerge w:val="continue"/>
            <w:textDirection w:val="tbRlV"/>
            <w:vAlign w:val="top"/>
          </w:tcPr>
          <w:p w14:paraId="50AB7E79">
            <w:pPr>
              <w:pStyle w:val="58"/>
              <w:keepNext w:val="0"/>
              <w:keepLines w:val="0"/>
              <w:pageBreakBefore w:val="0"/>
              <w:widowControl w:val="0"/>
              <w:kinsoku/>
              <w:wordWrap/>
              <w:overflowPunct/>
              <w:topLinePunct w:val="0"/>
              <w:autoSpaceDE/>
              <w:autoSpaceDN/>
              <w:bidi w:val="0"/>
              <w:adjustRightInd/>
              <w:snapToGrid/>
              <w:textAlignment w:val="auto"/>
              <w:rPr>
                <w:rFonts w:hint="default"/>
              </w:rPr>
            </w:pPr>
          </w:p>
        </w:tc>
        <w:tc>
          <w:tcPr>
            <w:tcW w:w="521" w:type="pct"/>
            <w:vAlign w:val="top"/>
          </w:tcPr>
          <w:p w14:paraId="5B7008BC">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健康危害</w:t>
            </w:r>
          </w:p>
        </w:tc>
        <w:tc>
          <w:tcPr>
            <w:tcW w:w="4114" w:type="pct"/>
            <w:gridSpan w:val="5"/>
            <w:vAlign w:val="top"/>
          </w:tcPr>
          <w:p w14:paraId="2FF78FC0">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侵入途径：吸入、食入；健康危害：对皮肤、粘膜等组织有强烈的刺激和腐蚀作用。蒸气或雾可引起结膜炎、结膜水肿、角膜混浊，以致失明；引起呼吸道刺激，重者发生呼吸困难和肺水肿；高浓度引起喉痉挛或声门水肿而窒息死亡。口服后引起消化道烧伤以致溃疡形成；严重者可能有胃穿孔、腹膜炎、肾损害、休克等。皮肤灼伤轻者出现红斑、重者形成溃疡，愈后癍痕收缩影响功能。溅入眼内可造成灼伤，甚至角膜穿孔、全眼炎以至失明。慢性影响：牙齿酸蚀症、慢性支气管炎、肺气肿和肺硬化。</w:t>
            </w:r>
          </w:p>
        </w:tc>
      </w:tr>
      <w:tr w14:paraId="2528FF06">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364" w:type="pct"/>
            <w:vMerge w:val="continue"/>
            <w:textDirection w:val="tbRlV"/>
            <w:vAlign w:val="top"/>
          </w:tcPr>
          <w:p w14:paraId="3DBF7E50">
            <w:pPr>
              <w:pStyle w:val="58"/>
              <w:keepNext w:val="0"/>
              <w:keepLines w:val="0"/>
              <w:pageBreakBefore w:val="0"/>
              <w:widowControl w:val="0"/>
              <w:kinsoku/>
              <w:wordWrap/>
              <w:overflowPunct/>
              <w:topLinePunct w:val="0"/>
              <w:autoSpaceDE/>
              <w:autoSpaceDN/>
              <w:bidi w:val="0"/>
              <w:adjustRightInd/>
              <w:snapToGrid/>
              <w:textAlignment w:val="auto"/>
              <w:rPr>
                <w:rFonts w:hint="default"/>
              </w:rPr>
            </w:pPr>
          </w:p>
        </w:tc>
        <w:tc>
          <w:tcPr>
            <w:tcW w:w="521" w:type="pct"/>
            <w:vAlign w:val="top"/>
          </w:tcPr>
          <w:p w14:paraId="1FE16DA5">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环境危害</w:t>
            </w:r>
          </w:p>
        </w:tc>
        <w:tc>
          <w:tcPr>
            <w:tcW w:w="4114" w:type="pct"/>
            <w:gridSpan w:val="5"/>
            <w:vAlign w:val="top"/>
          </w:tcPr>
          <w:p w14:paraId="364A8644">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对环境有危害，对土壤和水体可造成污染。</w:t>
            </w:r>
          </w:p>
        </w:tc>
      </w:tr>
      <w:tr w14:paraId="6C086C26">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364" w:type="pct"/>
            <w:vMerge w:val="continue"/>
            <w:textDirection w:val="tbRlV"/>
            <w:vAlign w:val="top"/>
          </w:tcPr>
          <w:p w14:paraId="69C689AC">
            <w:pPr>
              <w:pStyle w:val="58"/>
              <w:keepNext w:val="0"/>
              <w:keepLines w:val="0"/>
              <w:pageBreakBefore w:val="0"/>
              <w:widowControl w:val="0"/>
              <w:kinsoku/>
              <w:wordWrap/>
              <w:overflowPunct/>
              <w:topLinePunct w:val="0"/>
              <w:autoSpaceDE/>
              <w:autoSpaceDN/>
              <w:bidi w:val="0"/>
              <w:adjustRightInd/>
              <w:snapToGrid/>
              <w:textAlignment w:val="auto"/>
              <w:rPr>
                <w:rFonts w:hint="default"/>
              </w:rPr>
            </w:pPr>
          </w:p>
        </w:tc>
        <w:tc>
          <w:tcPr>
            <w:tcW w:w="521" w:type="pct"/>
            <w:vAlign w:val="top"/>
          </w:tcPr>
          <w:p w14:paraId="781FB257">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急救措施</w:t>
            </w:r>
          </w:p>
        </w:tc>
        <w:tc>
          <w:tcPr>
            <w:tcW w:w="4114" w:type="pct"/>
            <w:gridSpan w:val="5"/>
            <w:vAlign w:val="top"/>
          </w:tcPr>
          <w:p w14:paraId="59DB7E31">
            <w:pPr>
              <w:pStyle w:val="58"/>
              <w:keepNext w:val="0"/>
              <w:keepLines w:val="0"/>
              <w:pageBreakBefore w:val="0"/>
              <w:widowControl w:val="0"/>
              <w:kinsoku/>
              <w:wordWrap/>
              <w:overflowPunct/>
              <w:topLinePunct w:val="0"/>
              <w:autoSpaceDE/>
              <w:autoSpaceDN/>
              <w:bidi w:val="0"/>
              <w:adjustRightInd/>
              <w:snapToGrid/>
              <w:jc w:val="left"/>
              <w:textAlignment w:val="auto"/>
              <w:rPr>
                <w:rFonts w:hint="default"/>
              </w:rPr>
            </w:pPr>
            <w:r>
              <w:rPr>
                <w:rFonts w:hint="default"/>
              </w:rPr>
              <w:t>皮肤接触：立即脱去污染的衣着，用大量流动清水冲洗至少15分钟。就医。眼睛接触：立即提起眼睑，用大量流动清水或生理盐水彻底冲洗至少15分钟。就医。吸入：迅速脱离现场至空气新鲜处。保持呼吸道通畅。如呼吸困难，给输氧。如呼吸停止，立即进行人工呼吸。就医。食入：用水漱口，给饮牛奶或蛋清。就医。</w:t>
            </w:r>
          </w:p>
        </w:tc>
      </w:tr>
      <w:tr w14:paraId="461913D0">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364" w:type="pct"/>
            <w:vMerge w:val="continue"/>
            <w:textDirection w:val="tbRlV"/>
            <w:vAlign w:val="top"/>
          </w:tcPr>
          <w:p w14:paraId="3AB97EC2">
            <w:pPr>
              <w:pStyle w:val="58"/>
              <w:keepNext w:val="0"/>
              <w:keepLines w:val="0"/>
              <w:pageBreakBefore w:val="0"/>
              <w:widowControl w:val="0"/>
              <w:kinsoku/>
              <w:wordWrap/>
              <w:overflowPunct/>
              <w:topLinePunct w:val="0"/>
              <w:autoSpaceDE/>
              <w:autoSpaceDN/>
              <w:bidi w:val="0"/>
              <w:adjustRightInd/>
              <w:snapToGrid/>
              <w:textAlignment w:val="auto"/>
              <w:rPr>
                <w:rFonts w:hint="default"/>
              </w:rPr>
            </w:pPr>
          </w:p>
        </w:tc>
        <w:tc>
          <w:tcPr>
            <w:tcW w:w="521" w:type="pct"/>
            <w:vAlign w:val="top"/>
          </w:tcPr>
          <w:p w14:paraId="05966300">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防护措施</w:t>
            </w:r>
          </w:p>
        </w:tc>
        <w:tc>
          <w:tcPr>
            <w:tcW w:w="4114" w:type="pct"/>
            <w:gridSpan w:val="5"/>
            <w:vAlign w:val="top"/>
          </w:tcPr>
          <w:p w14:paraId="01FA1C47">
            <w:pPr>
              <w:pStyle w:val="58"/>
              <w:keepNext w:val="0"/>
              <w:keepLines w:val="0"/>
              <w:pageBreakBefore w:val="0"/>
              <w:widowControl w:val="0"/>
              <w:kinsoku/>
              <w:wordWrap/>
              <w:overflowPunct/>
              <w:topLinePunct w:val="0"/>
              <w:autoSpaceDE/>
              <w:autoSpaceDN/>
              <w:bidi w:val="0"/>
              <w:adjustRightInd/>
              <w:snapToGrid/>
              <w:jc w:val="left"/>
              <w:textAlignment w:val="auto"/>
              <w:rPr>
                <w:rFonts w:hint="default"/>
              </w:rPr>
            </w:pPr>
            <w:r>
              <w:rPr>
                <w:rFonts w:hint="default"/>
              </w:rPr>
              <w:t>呼吸系统防护：可能接触其蒸气或烟雾时，必须佩戴防毒面具或供气式头盔。紧急事态抢救或逃生时，建议佩带自给式呼吸器。</w:t>
            </w:r>
          </w:p>
          <w:p w14:paraId="470C0891">
            <w:pPr>
              <w:pStyle w:val="58"/>
              <w:keepNext w:val="0"/>
              <w:keepLines w:val="0"/>
              <w:pageBreakBefore w:val="0"/>
              <w:widowControl w:val="0"/>
              <w:kinsoku/>
              <w:wordWrap/>
              <w:overflowPunct/>
              <w:topLinePunct w:val="0"/>
              <w:autoSpaceDE/>
              <w:autoSpaceDN/>
              <w:bidi w:val="0"/>
              <w:adjustRightInd/>
              <w:snapToGrid/>
              <w:jc w:val="left"/>
              <w:textAlignment w:val="auto"/>
              <w:rPr>
                <w:rFonts w:hint="default"/>
              </w:rPr>
            </w:pPr>
            <w:r>
              <w:rPr>
                <w:rFonts w:hint="default"/>
              </w:rPr>
              <w:t>眼睛防护：戴化学安全防护眼镜。</w:t>
            </w:r>
          </w:p>
          <w:p w14:paraId="2233187C">
            <w:pPr>
              <w:pStyle w:val="58"/>
              <w:keepNext w:val="0"/>
              <w:keepLines w:val="0"/>
              <w:pageBreakBefore w:val="0"/>
              <w:widowControl w:val="0"/>
              <w:kinsoku/>
              <w:wordWrap/>
              <w:overflowPunct/>
              <w:topLinePunct w:val="0"/>
              <w:autoSpaceDE/>
              <w:autoSpaceDN/>
              <w:bidi w:val="0"/>
              <w:adjustRightInd/>
              <w:snapToGrid/>
              <w:jc w:val="left"/>
              <w:textAlignment w:val="auto"/>
              <w:rPr>
                <w:rFonts w:hint="default"/>
              </w:rPr>
            </w:pPr>
            <w:r>
              <w:rPr>
                <w:rFonts w:hint="default"/>
              </w:rPr>
              <w:t>防护服：穿工作服(防腐材料制作)。</w:t>
            </w:r>
          </w:p>
          <w:p w14:paraId="6352957D">
            <w:pPr>
              <w:pStyle w:val="58"/>
              <w:keepNext w:val="0"/>
              <w:keepLines w:val="0"/>
              <w:pageBreakBefore w:val="0"/>
              <w:widowControl w:val="0"/>
              <w:kinsoku/>
              <w:wordWrap/>
              <w:overflowPunct/>
              <w:topLinePunct w:val="0"/>
              <w:autoSpaceDE/>
              <w:autoSpaceDN/>
              <w:bidi w:val="0"/>
              <w:adjustRightInd/>
              <w:snapToGrid/>
              <w:jc w:val="left"/>
              <w:textAlignment w:val="auto"/>
              <w:rPr>
                <w:rFonts w:hint="default"/>
              </w:rPr>
            </w:pPr>
            <w:r>
              <w:rPr>
                <w:rFonts w:hint="default"/>
              </w:rPr>
              <w:t>手防护：戴橡皮手套。</w:t>
            </w:r>
          </w:p>
          <w:p w14:paraId="712D909D">
            <w:pPr>
              <w:pStyle w:val="58"/>
              <w:keepNext w:val="0"/>
              <w:keepLines w:val="0"/>
              <w:pageBreakBefore w:val="0"/>
              <w:widowControl w:val="0"/>
              <w:kinsoku/>
              <w:wordWrap/>
              <w:overflowPunct/>
              <w:topLinePunct w:val="0"/>
              <w:autoSpaceDE/>
              <w:autoSpaceDN/>
              <w:bidi w:val="0"/>
              <w:adjustRightInd/>
              <w:snapToGrid/>
              <w:jc w:val="left"/>
              <w:textAlignment w:val="auto"/>
              <w:rPr>
                <w:rFonts w:hint="default"/>
              </w:rPr>
            </w:pPr>
            <w:r>
              <w:rPr>
                <w:rFonts w:hint="default"/>
              </w:rPr>
              <w:t>其它：工作后，淋浴更衣。单独存放被毒物污染的衣服，洗后再用。</w:t>
            </w:r>
          </w:p>
        </w:tc>
      </w:tr>
      <w:tr w14:paraId="3EF18E64">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364" w:type="pct"/>
            <w:vMerge w:val="continue"/>
            <w:textDirection w:val="tbRlV"/>
            <w:vAlign w:val="top"/>
          </w:tcPr>
          <w:p w14:paraId="7796455F">
            <w:pPr>
              <w:pStyle w:val="58"/>
              <w:keepNext w:val="0"/>
              <w:keepLines w:val="0"/>
              <w:pageBreakBefore w:val="0"/>
              <w:widowControl w:val="0"/>
              <w:kinsoku/>
              <w:wordWrap/>
              <w:overflowPunct/>
              <w:topLinePunct w:val="0"/>
              <w:autoSpaceDE/>
              <w:autoSpaceDN/>
              <w:bidi w:val="0"/>
              <w:adjustRightInd/>
              <w:snapToGrid/>
              <w:textAlignment w:val="auto"/>
              <w:rPr>
                <w:rFonts w:hint="default"/>
              </w:rPr>
            </w:pPr>
          </w:p>
        </w:tc>
        <w:tc>
          <w:tcPr>
            <w:tcW w:w="521" w:type="pct"/>
            <w:vMerge w:val="restart"/>
            <w:vAlign w:val="top"/>
          </w:tcPr>
          <w:p w14:paraId="3EF1FDE5">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应急处理处置方法</w:t>
            </w:r>
          </w:p>
        </w:tc>
        <w:tc>
          <w:tcPr>
            <w:tcW w:w="591" w:type="pct"/>
            <w:tcBorders>
              <w:right w:val="single" w:color="000000" w:sz="10" w:space="0"/>
            </w:tcBorders>
            <w:vAlign w:val="top"/>
          </w:tcPr>
          <w:p w14:paraId="7E801B46">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泄漏应急处理</w:t>
            </w:r>
          </w:p>
        </w:tc>
        <w:tc>
          <w:tcPr>
            <w:tcW w:w="3523" w:type="pct"/>
            <w:gridSpan w:val="4"/>
            <w:vAlign w:val="top"/>
          </w:tcPr>
          <w:p w14:paraId="6E85282B">
            <w:pPr>
              <w:pStyle w:val="58"/>
              <w:keepNext w:val="0"/>
              <w:keepLines w:val="0"/>
              <w:pageBreakBefore w:val="0"/>
              <w:widowControl w:val="0"/>
              <w:kinsoku/>
              <w:wordWrap/>
              <w:overflowPunct/>
              <w:topLinePunct w:val="0"/>
              <w:autoSpaceDE/>
              <w:autoSpaceDN/>
              <w:bidi w:val="0"/>
              <w:adjustRightInd/>
              <w:snapToGrid/>
              <w:jc w:val="left"/>
              <w:textAlignment w:val="auto"/>
              <w:rPr>
                <w:rFonts w:hint="default"/>
              </w:rPr>
            </w:pPr>
            <w:r>
              <w:rPr>
                <w:rFonts w:hint="default"/>
              </w:rPr>
              <w:t>迅速撤离泄漏污染区人员至安全区，污染范围不明的情况下，初始隔离至少300m，然后进行气体浓度检测，根据有害蒸气或烟雾的实际浓度，调整隔离距离，火场内如有储罐、槽车或罐车，隔离800m，严格限制出入。建议应急处理人员戴自给正压式呼吸器，穿防酸碱工作服。尽可能切断泄漏源，防止流入下水道，排洪沟等限制性空间。小量泄漏：用砂土、干燥石灰或苏打灰混合。也可以用大量水冲洗，稀释后排入废水收集系统。大量泄漏：构筑围堤或挖坑收容。用泵转移至槽车或专用收集器内，回收或运至废物处理场所处置。</w:t>
            </w:r>
          </w:p>
        </w:tc>
      </w:tr>
      <w:tr w14:paraId="28233F33">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364" w:type="pct"/>
            <w:vMerge w:val="continue"/>
            <w:textDirection w:val="tbRlV"/>
            <w:vAlign w:val="top"/>
          </w:tcPr>
          <w:p w14:paraId="17B4CD2A">
            <w:pPr>
              <w:pStyle w:val="58"/>
              <w:keepNext w:val="0"/>
              <w:keepLines w:val="0"/>
              <w:pageBreakBefore w:val="0"/>
              <w:widowControl w:val="0"/>
              <w:kinsoku/>
              <w:wordWrap/>
              <w:overflowPunct/>
              <w:topLinePunct w:val="0"/>
              <w:autoSpaceDE/>
              <w:autoSpaceDN/>
              <w:bidi w:val="0"/>
              <w:adjustRightInd/>
              <w:snapToGrid/>
              <w:textAlignment w:val="auto"/>
              <w:rPr>
                <w:rFonts w:hint="default"/>
              </w:rPr>
            </w:pPr>
          </w:p>
        </w:tc>
        <w:tc>
          <w:tcPr>
            <w:tcW w:w="521" w:type="pct"/>
            <w:vMerge w:val="continue"/>
            <w:vAlign w:val="top"/>
          </w:tcPr>
          <w:p w14:paraId="5BDEB782">
            <w:pPr>
              <w:pStyle w:val="58"/>
              <w:keepNext w:val="0"/>
              <w:keepLines w:val="0"/>
              <w:pageBreakBefore w:val="0"/>
              <w:widowControl w:val="0"/>
              <w:kinsoku/>
              <w:wordWrap/>
              <w:overflowPunct/>
              <w:topLinePunct w:val="0"/>
              <w:autoSpaceDE/>
              <w:autoSpaceDN/>
              <w:bidi w:val="0"/>
              <w:adjustRightInd/>
              <w:snapToGrid/>
              <w:textAlignment w:val="auto"/>
              <w:rPr>
                <w:rFonts w:hint="default"/>
              </w:rPr>
            </w:pPr>
          </w:p>
        </w:tc>
        <w:tc>
          <w:tcPr>
            <w:tcW w:w="591" w:type="pct"/>
            <w:tcBorders>
              <w:right w:val="single" w:color="000000" w:sz="10" w:space="0"/>
            </w:tcBorders>
            <w:vAlign w:val="top"/>
          </w:tcPr>
          <w:p w14:paraId="76B4C861">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灭火方法</w:t>
            </w:r>
          </w:p>
        </w:tc>
        <w:tc>
          <w:tcPr>
            <w:tcW w:w="3523" w:type="pct"/>
            <w:gridSpan w:val="4"/>
            <w:vAlign w:val="top"/>
          </w:tcPr>
          <w:p w14:paraId="6BCB9F19">
            <w:pPr>
              <w:pStyle w:val="58"/>
              <w:keepNext w:val="0"/>
              <w:keepLines w:val="0"/>
              <w:pageBreakBefore w:val="0"/>
              <w:widowControl w:val="0"/>
              <w:kinsoku/>
              <w:wordWrap/>
              <w:overflowPunct/>
              <w:topLinePunct w:val="0"/>
              <w:autoSpaceDE/>
              <w:autoSpaceDN/>
              <w:bidi w:val="0"/>
              <w:adjustRightInd/>
              <w:snapToGrid/>
              <w:textAlignment w:val="auto"/>
              <w:rPr>
                <w:rFonts w:hint="default"/>
              </w:rPr>
            </w:pPr>
            <w:r>
              <w:rPr>
                <w:rFonts w:hint="default"/>
              </w:rPr>
              <w:t>干粉、二氧化碳、砂土。避免水流冲击物品，以免遇水会放出大量热量发生喷溅而灼伤皮肤。</w:t>
            </w:r>
          </w:p>
        </w:tc>
      </w:tr>
    </w:tbl>
    <w:p w14:paraId="62FAE9EC">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重铬酸钾理化性质一览表</w:t>
      </w:r>
    </w:p>
    <w:tbl>
      <w:tblPr>
        <w:tblStyle w:val="88"/>
        <w:tblW w:w="5011" w:type="pct"/>
        <w:tblInd w:w="0" w:type="dxa"/>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autofit"/>
        <w:tblCellMar>
          <w:top w:w="0" w:type="dxa"/>
          <w:left w:w="0" w:type="dxa"/>
          <w:bottom w:w="0" w:type="dxa"/>
          <w:right w:w="0" w:type="dxa"/>
        </w:tblCellMar>
      </w:tblPr>
      <w:tblGrid>
        <w:gridCol w:w="484"/>
        <w:gridCol w:w="1524"/>
        <w:gridCol w:w="1387"/>
        <w:gridCol w:w="2557"/>
        <w:gridCol w:w="3170"/>
      </w:tblGrid>
      <w:tr w14:paraId="2F11B1CE">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66" w:type="pct"/>
            <w:vMerge w:val="restart"/>
            <w:tcBorders>
              <w:bottom w:val="nil"/>
            </w:tcBorders>
            <w:textDirection w:val="tbRlV"/>
            <w:vAlign w:val="center"/>
          </w:tcPr>
          <w:p w14:paraId="063FB43A">
            <w:pPr>
              <w:pStyle w:val="58"/>
              <w:bidi w:val="0"/>
              <w:rPr>
                <w:rFonts w:hint="default"/>
              </w:rPr>
            </w:pPr>
            <w:r>
              <w:rPr>
                <w:rFonts w:hint="default"/>
              </w:rPr>
              <w:t>标识</w:t>
            </w:r>
          </w:p>
        </w:tc>
        <w:tc>
          <w:tcPr>
            <w:tcW w:w="2996" w:type="pct"/>
            <w:gridSpan w:val="3"/>
            <w:vAlign w:val="center"/>
          </w:tcPr>
          <w:p w14:paraId="36930F5A">
            <w:pPr>
              <w:pStyle w:val="58"/>
              <w:bidi w:val="0"/>
              <w:rPr>
                <w:rFonts w:hint="default"/>
              </w:rPr>
            </w:pPr>
            <w:r>
              <w:rPr>
                <w:rFonts w:hint="default"/>
              </w:rPr>
              <w:t>中文名：重铬酸钾</w:t>
            </w:r>
          </w:p>
        </w:tc>
        <w:tc>
          <w:tcPr>
            <w:tcW w:w="1737" w:type="pct"/>
            <w:vAlign w:val="center"/>
          </w:tcPr>
          <w:p w14:paraId="7AD61F5A">
            <w:pPr>
              <w:pStyle w:val="58"/>
              <w:bidi w:val="0"/>
              <w:rPr>
                <w:rFonts w:hint="default"/>
              </w:rPr>
            </w:pPr>
            <w:r>
              <w:rPr>
                <w:rFonts w:hint="default"/>
              </w:rPr>
              <w:t>别名：红矾钾</w:t>
            </w:r>
          </w:p>
        </w:tc>
      </w:tr>
      <w:tr w14:paraId="4E71D82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66" w:type="pct"/>
            <w:vMerge w:val="continue"/>
            <w:tcBorders>
              <w:top w:val="nil"/>
            </w:tcBorders>
            <w:textDirection w:val="tbRlV"/>
            <w:vAlign w:val="center"/>
          </w:tcPr>
          <w:p w14:paraId="499AFDFD">
            <w:pPr>
              <w:pStyle w:val="58"/>
              <w:bidi w:val="0"/>
              <w:rPr>
                <w:rFonts w:hint="default"/>
              </w:rPr>
            </w:pPr>
          </w:p>
        </w:tc>
        <w:tc>
          <w:tcPr>
            <w:tcW w:w="1595" w:type="pct"/>
            <w:gridSpan w:val="2"/>
            <w:vAlign w:val="center"/>
          </w:tcPr>
          <w:p w14:paraId="00AD6C45">
            <w:pPr>
              <w:pStyle w:val="58"/>
              <w:bidi w:val="0"/>
              <w:rPr>
                <w:rFonts w:hint="default"/>
              </w:rPr>
            </w:pPr>
            <w:r>
              <w:rPr>
                <w:rFonts w:hint="default"/>
              </w:rPr>
              <w:t>分子式：K</w:t>
            </w:r>
            <w:r>
              <w:rPr>
                <w:rFonts w:hint="default"/>
                <w:vertAlign w:val="subscript"/>
              </w:rPr>
              <w:t>2</w:t>
            </w:r>
            <w:r>
              <w:rPr>
                <w:rFonts w:hint="default"/>
              </w:rPr>
              <w:t>Cr</w:t>
            </w:r>
            <w:r>
              <w:rPr>
                <w:rFonts w:hint="default"/>
                <w:vertAlign w:val="subscript"/>
              </w:rPr>
              <w:t>2</w:t>
            </w:r>
            <w:r>
              <w:rPr>
                <w:rFonts w:hint="default"/>
              </w:rPr>
              <w:t>O</w:t>
            </w:r>
            <w:r>
              <w:rPr>
                <w:rFonts w:hint="default"/>
                <w:vertAlign w:val="subscript"/>
              </w:rPr>
              <w:t>7</w:t>
            </w:r>
          </w:p>
        </w:tc>
        <w:tc>
          <w:tcPr>
            <w:tcW w:w="1401" w:type="pct"/>
            <w:vAlign w:val="center"/>
          </w:tcPr>
          <w:p w14:paraId="79055A13">
            <w:pPr>
              <w:pStyle w:val="58"/>
              <w:bidi w:val="0"/>
              <w:rPr>
                <w:rFonts w:hint="default"/>
              </w:rPr>
            </w:pPr>
            <w:r>
              <w:rPr>
                <w:rFonts w:hint="default"/>
              </w:rPr>
              <w:t>分子量：294.19</w:t>
            </w:r>
          </w:p>
        </w:tc>
        <w:tc>
          <w:tcPr>
            <w:tcW w:w="1737" w:type="pct"/>
            <w:vAlign w:val="center"/>
          </w:tcPr>
          <w:p w14:paraId="33049053">
            <w:pPr>
              <w:pStyle w:val="58"/>
              <w:bidi w:val="0"/>
              <w:rPr>
                <w:rFonts w:hint="default"/>
              </w:rPr>
            </w:pPr>
            <w:r>
              <w:rPr>
                <w:rFonts w:hint="default"/>
              </w:rPr>
              <w:t>CAS号：7778-50-9</w:t>
            </w:r>
          </w:p>
        </w:tc>
      </w:tr>
      <w:tr w14:paraId="3A830BA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66" w:type="pct"/>
            <w:vMerge w:val="restart"/>
            <w:tcBorders>
              <w:bottom w:val="nil"/>
            </w:tcBorders>
            <w:textDirection w:val="tbRlV"/>
            <w:vAlign w:val="center"/>
          </w:tcPr>
          <w:p w14:paraId="0D12C192">
            <w:pPr>
              <w:pStyle w:val="58"/>
              <w:bidi w:val="0"/>
              <w:rPr>
                <w:rFonts w:hint="default"/>
              </w:rPr>
            </w:pPr>
            <w:r>
              <w:rPr>
                <w:rFonts w:hint="default"/>
              </w:rPr>
              <w:t>理化性质</w:t>
            </w:r>
          </w:p>
        </w:tc>
        <w:tc>
          <w:tcPr>
            <w:tcW w:w="1595" w:type="pct"/>
            <w:gridSpan w:val="2"/>
            <w:tcBorders>
              <w:right w:val="single" w:color="000000" w:sz="2" w:space="0"/>
            </w:tcBorders>
            <w:vAlign w:val="center"/>
          </w:tcPr>
          <w:p w14:paraId="2A58E136">
            <w:pPr>
              <w:pStyle w:val="58"/>
              <w:bidi w:val="0"/>
              <w:rPr>
                <w:rFonts w:hint="default"/>
              </w:rPr>
            </w:pPr>
            <w:r>
              <w:rPr>
                <w:rFonts w:hint="default"/>
              </w:rPr>
              <w:t>外观与性状：橘红色结晶性粉末</w:t>
            </w:r>
          </w:p>
        </w:tc>
        <w:tc>
          <w:tcPr>
            <w:tcW w:w="1401" w:type="pct"/>
            <w:tcBorders>
              <w:left w:val="single" w:color="000000" w:sz="2" w:space="0"/>
              <w:right w:val="single" w:color="000000" w:sz="2" w:space="0"/>
            </w:tcBorders>
            <w:vAlign w:val="center"/>
          </w:tcPr>
          <w:p w14:paraId="364BB5B4">
            <w:pPr>
              <w:pStyle w:val="58"/>
              <w:bidi w:val="0"/>
              <w:rPr>
                <w:rFonts w:hint="default"/>
              </w:rPr>
            </w:pPr>
            <w:r>
              <w:rPr>
                <w:rFonts w:hint="default"/>
              </w:rPr>
              <w:t>溶解性：溶于水，不溶于乙醇</w:t>
            </w:r>
          </w:p>
        </w:tc>
        <w:tc>
          <w:tcPr>
            <w:tcW w:w="1737" w:type="pct"/>
            <w:tcBorders>
              <w:left w:val="single" w:color="000000" w:sz="2" w:space="0"/>
            </w:tcBorders>
            <w:vAlign w:val="center"/>
          </w:tcPr>
          <w:p w14:paraId="167749AB">
            <w:pPr>
              <w:pStyle w:val="58"/>
              <w:bidi w:val="0"/>
              <w:rPr>
                <w:rFonts w:hint="default"/>
              </w:rPr>
            </w:pPr>
            <w:r>
              <w:rPr>
                <w:rFonts w:hint="default"/>
              </w:rPr>
              <w:t>稳定性：稳定</w:t>
            </w:r>
          </w:p>
        </w:tc>
      </w:tr>
      <w:tr w14:paraId="539B9332">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66" w:type="pct"/>
            <w:vMerge w:val="continue"/>
            <w:tcBorders>
              <w:top w:val="nil"/>
            </w:tcBorders>
            <w:textDirection w:val="tbRlV"/>
            <w:vAlign w:val="center"/>
          </w:tcPr>
          <w:p w14:paraId="27A098D0">
            <w:pPr>
              <w:pStyle w:val="58"/>
              <w:bidi w:val="0"/>
              <w:rPr>
                <w:rFonts w:hint="default"/>
              </w:rPr>
            </w:pPr>
          </w:p>
        </w:tc>
        <w:tc>
          <w:tcPr>
            <w:tcW w:w="1595" w:type="pct"/>
            <w:gridSpan w:val="2"/>
            <w:vAlign w:val="center"/>
          </w:tcPr>
          <w:p w14:paraId="6AA4E10B">
            <w:pPr>
              <w:pStyle w:val="58"/>
              <w:bidi w:val="0"/>
              <w:rPr>
                <w:rFonts w:hint="default"/>
              </w:rPr>
            </w:pPr>
            <w:r>
              <w:rPr>
                <w:rFonts w:hint="default"/>
              </w:rPr>
              <w:t>熔点：398℃</w:t>
            </w:r>
          </w:p>
        </w:tc>
        <w:tc>
          <w:tcPr>
            <w:tcW w:w="1401" w:type="pct"/>
            <w:vAlign w:val="center"/>
          </w:tcPr>
          <w:p w14:paraId="641EA88B">
            <w:pPr>
              <w:pStyle w:val="58"/>
              <w:bidi w:val="0"/>
              <w:rPr>
                <w:rFonts w:hint="default"/>
              </w:rPr>
            </w:pPr>
            <w:r>
              <w:rPr>
                <w:rFonts w:hint="default"/>
              </w:rPr>
              <w:t>沸点：500℃（分解）</w:t>
            </w:r>
          </w:p>
        </w:tc>
        <w:tc>
          <w:tcPr>
            <w:tcW w:w="1737" w:type="pct"/>
            <w:vAlign w:val="center"/>
          </w:tcPr>
          <w:p w14:paraId="71FADDCB">
            <w:pPr>
              <w:pStyle w:val="58"/>
              <w:bidi w:val="0"/>
              <w:rPr>
                <w:rFonts w:hint="default"/>
                <w:lang w:eastAsia="zh-CN"/>
              </w:rPr>
            </w:pPr>
            <w:r>
              <w:rPr>
                <w:rFonts w:hint="default"/>
              </w:rPr>
              <w:t>密度：2.676g/c</w:t>
            </w:r>
            <w:r>
              <w:rPr>
                <w:rFonts w:hint="eastAsia"/>
                <w:lang w:eastAsia="zh-CN"/>
              </w:rPr>
              <w:t>m</w:t>
            </w:r>
            <w:r>
              <w:rPr>
                <w:rFonts w:hint="eastAsia"/>
                <w:vertAlign w:val="superscript"/>
                <w:lang w:eastAsia="zh-CN"/>
              </w:rPr>
              <w:t>3</w:t>
            </w:r>
          </w:p>
        </w:tc>
      </w:tr>
      <w:tr w14:paraId="32A02F0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66" w:type="pct"/>
            <w:vMerge w:val="restart"/>
            <w:textDirection w:val="tbRlV"/>
            <w:vAlign w:val="center"/>
          </w:tcPr>
          <w:p w14:paraId="34D333B0">
            <w:pPr>
              <w:pStyle w:val="58"/>
              <w:bidi w:val="0"/>
              <w:rPr>
                <w:rFonts w:hint="default"/>
              </w:rPr>
            </w:pPr>
            <w:r>
              <w:rPr>
                <w:rFonts w:hint="default"/>
              </w:rPr>
              <w:t>危险特性</w:t>
            </w:r>
          </w:p>
        </w:tc>
        <w:tc>
          <w:tcPr>
            <w:tcW w:w="835" w:type="pct"/>
            <w:vAlign w:val="center"/>
          </w:tcPr>
          <w:p w14:paraId="347559EF">
            <w:pPr>
              <w:pStyle w:val="58"/>
              <w:bidi w:val="0"/>
              <w:rPr>
                <w:rFonts w:hint="default"/>
              </w:rPr>
            </w:pPr>
            <w:r>
              <w:rPr>
                <w:rFonts w:hint="default"/>
              </w:rPr>
              <w:t>危险性类别</w:t>
            </w:r>
          </w:p>
        </w:tc>
        <w:tc>
          <w:tcPr>
            <w:tcW w:w="3898" w:type="pct"/>
            <w:gridSpan w:val="3"/>
            <w:vAlign w:val="center"/>
          </w:tcPr>
          <w:p w14:paraId="316F0CE2">
            <w:pPr>
              <w:pStyle w:val="58"/>
              <w:bidi w:val="0"/>
              <w:rPr>
                <w:rFonts w:hint="default"/>
              </w:rPr>
            </w:pPr>
            <w:r>
              <w:rPr>
                <w:rFonts w:hint="default"/>
              </w:rPr>
              <w:t>第5.1类氧化性物质</w:t>
            </w:r>
          </w:p>
        </w:tc>
      </w:tr>
      <w:tr w14:paraId="2607C1EB">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66" w:type="pct"/>
            <w:vMerge w:val="continue"/>
            <w:textDirection w:val="tbRlV"/>
            <w:vAlign w:val="center"/>
          </w:tcPr>
          <w:p w14:paraId="1513AF41">
            <w:pPr>
              <w:pStyle w:val="58"/>
              <w:bidi w:val="0"/>
              <w:rPr>
                <w:rFonts w:hint="default"/>
              </w:rPr>
            </w:pPr>
          </w:p>
        </w:tc>
        <w:tc>
          <w:tcPr>
            <w:tcW w:w="835" w:type="pct"/>
            <w:vAlign w:val="center"/>
          </w:tcPr>
          <w:p w14:paraId="79EB9D77">
            <w:pPr>
              <w:pStyle w:val="58"/>
              <w:bidi w:val="0"/>
              <w:rPr>
                <w:rFonts w:hint="default"/>
              </w:rPr>
            </w:pPr>
            <w:r>
              <w:rPr>
                <w:rFonts w:hint="default"/>
              </w:rPr>
              <w:t>侵入途径</w:t>
            </w:r>
          </w:p>
        </w:tc>
        <w:tc>
          <w:tcPr>
            <w:tcW w:w="3898" w:type="pct"/>
            <w:gridSpan w:val="3"/>
            <w:vAlign w:val="center"/>
          </w:tcPr>
          <w:p w14:paraId="66910F21">
            <w:pPr>
              <w:pStyle w:val="58"/>
              <w:bidi w:val="0"/>
              <w:rPr>
                <w:rFonts w:hint="default"/>
              </w:rPr>
            </w:pPr>
            <w:r>
              <w:rPr>
                <w:rFonts w:hint="default"/>
              </w:rPr>
              <w:t>吸入、食入、经皮吸收</w:t>
            </w:r>
          </w:p>
        </w:tc>
      </w:tr>
      <w:tr w14:paraId="138E148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66" w:type="pct"/>
            <w:vMerge w:val="continue"/>
            <w:textDirection w:val="tbRlV"/>
            <w:vAlign w:val="center"/>
          </w:tcPr>
          <w:p w14:paraId="41DCA477">
            <w:pPr>
              <w:pStyle w:val="58"/>
              <w:bidi w:val="0"/>
              <w:rPr>
                <w:rFonts w:hint="default"/>
              </w:rPr>
            </w:pPr>
          </w:p>
        </w:tc>
        <w:tc>
          <w:tcPr>
            <w:tcW w:w="835" w:type="pct"/>
            <w:vAlign w:val="center"/>
          </w:tcPr>
          <w:p w14:paraId="52EE40C5">
            <w:pPr>
              <w:pStyle w:val="58"/>
              <w:bidi w:val="0"/>
              <w:rPr>
                <w:rFonts w:hint="default"/>
              </w:rPr>
            </w:pPr>
            <w:r>
              <w:rPr>
                <w:rFonts w:hint="default"/>
              </w:rPr>
              <w:t>急性毒性</w:t>
            </w:r>
          </w:p>
        </w:tc>
        <w:tc>
          <w:tcPr>
            <w:tcW w:w="3898" w:type="pct"/>
            <w:gridSpan w:val="3"/>
            <w:vAlign w:val="center"/>
          </w:tcPr>
          <w:p w14:paraId="0454EE7E">
            <w:pPr>
              <w:pStyle w:val="58"/>
              <w:bidi w:val="0"/>
              <w:rPr>
                <w:rFonts w:hint="default"/>
              </w:rPr>
            </w:pPr>
            <w:r>
              <w:rPr>
                <w:rFonts w:hint="default"/>
              </w:rPr>
              <w:t>LD50：25mg/kg(大鼠经口)，190mg/kg(小鼠经口)，14mg/kg(免经皮)，LC50：无资料，属于GB3000.18中的健康危险急性毒性物质类别2。</w:t>
            </w:r>
          </w:p>
        </w:tc>
      </w:tr>
      <w:tr w14:paraId="799A9A6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66" w:type="pct"/>
            <w:vMerge w:val="continue"/>
            <w:textDirection w:val="tbRlV"/>
            <w:vAlign w:val="center"/>
          </w:tcPr>
          <w:p w14:paraId="373CDAEE">
            <w:pPr>
              <w:pStyle w:val="58"/>
              <w:bidi w:val="0"/>
              <w:rPr>
                <w:rFonts w:hint="default"/>
              </w:rPr>
            </w:pPr>
          </w:p>
        </w:tc>
        <w:tc>
          <w:tcPr>
            <w:tcW w:w="835" w:type="pct"/>
            <w:vAlign w:val="center"/>
          </w:tcPr>
          <w:p w14:paraId="4D53F61C">
            <w:pPr>
              <w:pStyle w:val="58"/>
              <w:bidi w:val="0"/>
              <w:rPr>
                <w:rFonts w:hint="default"/>
              </w:rPr>
            </w:pPr>
            <w:r>
              <w:rPr>
                <w:rFonts w:hint="default"/>
              </w:rPr>
              <w:t>健康危害</w:t>
            </w:r>
          </w:p>
        </w:tc>
        <w:tc>
          <w:tcPr>
            <w:tcW w:w="3898" w:type="pct"/>
            <w:gridSpan w:val="3"/>
            <w:vAlign w:val="center"/>
          </w:tcPr>
          <w:p w14:paraId="0A6870FE">
            <w:pPr>
              <w:pStyle w:val="58"/>
              <w:bidi w:val="0"/>
              <w:rPr>
                <w:rFonts w:hint="default"/>
              </w:rPr>
            </w:pPr>
            <w:r>
              <w:rPr>
                <w:rFonts w:hint="default"/>
              </w:rPr>
              <w:t>急性中毒：吸入后可引起急性呼吸道刺激症状、鼻出血、声音嘶哑、鼻粘膜萎缩，有时出现哮喘和紫绀。重者可发生化学性肺炎。口服可刺激和腐蚀消化道，引起恶心、呕吐、腹痛和血便等；重者出现呼吸困难、紫绀、休克、肝损害及急性肾功能衰竭等。慢性影响：有接触性皮炎、铬溃疡、鼻炎、鼻中隔穿孔及呼吸道炎症等。</w:t>
            </w:r>
          </w:p>
        </w:tc>
      </w:tr>
      <w:tr w14:paraId="3209BCA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66" w:type="pct"/>
            <w:vMerge w:val="continue"/>
            <w:textDirection w:val="tbRlV"/>
            <w:vAlign w:val="center"/>
          </w:tcPr>
          <w:p w14:paraId="69195C8E">
            <w:pPr>
              <w:pStyle w:val="58"/>
              <w:bidi w:val="0"/>
              <w:rPr>
                <w:rFonts w:hint="default"/>
              </w:rPr>
            </w:pPr>
          </w:p>
        </w:tc>
        <w:tc>
          <w:tcPr>
            <w:tcW w:w="835" w:type="pct"/>
            <w:tcBorders>
              <w:bottom w:val="single" w:color="000000" w:sz="2" w:space="0"/>
            </w:tcBorders>
            <w:vAlign w:val="center"/>
          </w:tcPr>
          <w:p w14:paraId="0A101646">
            <w:pPr>
              <w:pStyle w:val="58"/>
              <w:bidi w:val="0"/>
              <w:rPr>
                <w:rFonts w:hint="default"/>
              </w:rPr>
            </w:pPr>
            <w:r>
              <w:rPr>
                <w:rFonts w:hint="default"/>
              </w:rPr>
              <w:t>燃爆危险</w:t>
            </w:r>
          </w:p>
        </w:tc>
        <w:tc>
          <w:tcPr>
            <w:tcW w:w="3898" w:type="pct"/>
            <w:gridSpan w:val="3"/>
            <w:tcBorders>
              <w:bottom w:val="single" w:color="000000" w:sz="2" w:space="0"/>
            </w:tcBorders>
            <w:vAlign w:val="center"/>
          </w:tcPr>
          <w:p w14:paraId="7C60AC39">
            <w:pPr>
              <w:pStyle w:val="58"/>
              <w:bidi w:val="0"/>
              <w:rPr>
                <w:rFonts w:hint="default"/>
              </w:rPr>
            </w:pPr>
            <w:r>
              <w:rPr>
                <w:rFonts w:hint="default"/>
              </w:rPr>
              <w:t>本品助燃，为致癌物，具强腐蚀性、刺激性，可致人体灼伤。可能产生有害的毒性烟雾。</w:t>
            </w:r>
          </w:p>
        </w:tc>
      </w:tr>
      <w:tr w14:paraId="285D3287">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66" w:type="pct"/>
            <w:vMerge w:val="continue"/>
            <w:textDirection w:val="tbRlV"/>
            <w:vAlign w:val="center"/>
          </w:tcPr>
          <w:p w14:paraId="6BC457CB">
            <w:pPr>
              <w:pStyle w:val="58"/>
              <w:bidi w:val="0"/>
              <w:rPr>
                <w:rFonts w:hint="default"/>
              </w:rPr>
            </w:pPr>
          </w:p>
        </w:tc>
        <w:tc>
          <w:tcPr>
            <w:tcW w:w="835" w:type="pct"/>
            <w:tcBorders>
              <w:top w:val="single" w:color="000000" w:sz="2" w:space="0"/>
            </w:tcBorders>
            <w:vAlign w:val="center"/>
          </w:tcPr>
          <w:p w14:paraId="24D79CDD">
            <w:pPr>
              <w:pStyle w:val="58"/>
              <w:bidi w:val="0"/>
              <w:rPr>
                <w:rFonts w:hint="default"/>
              </w:rPr>
            </w:pPr>
            <w:r>
              <w:rPr>
                <w:rFonts w:hint="default"/>
              </w:rPr>
              <w:t>危险特性</w:t>
            </w:r>
          </w:p>
        </w:tc>
        <w:tc>
          <w:tcPr>
            <w:tcW w:w="3898" w:type="pct"/>
            <w:gridSpan w:val="3"/>
            <w:tcBorders>
              <w:top w:val="single" w:color="000000" w:sz="2" w:space="0"/>
            </w:tcBorders>
            <w:vAlign w:val="center"/>
          </w:tcPr>
          <w:p w14:paraId="2041870F">
            <w:pPr>
              <w:pStyle w:val="58"/>
              <w:bidi w:val="0"/>
              <w:rPr>
                <w:rFonts w:hint="default"/>
              </w:rPr>
            </w:pPr>
            <w:r>
              <w:rPr>
                <w:rFonts w:hint="default"/>
              </w:rPr>
              <w:t>强氧化剂。遇强酸或高温时能释出氧气，促使有机物燃烧。与还原剂、有机物、易燃物如硫、磷或金属粉末等混合可形成爆炸性混合物。有水时与硫化钠混合能引起自燃。与硝酸盐、氯酸盐接触剧烈反应。具有较强的腐蚀性。</w:t>
            </w:r>
          </w:p>
        </w:tc>
      </w:tr>
      <w:tr w14:paraId="38E4192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66" w:type="pct"/>
            <w:vMerge w:val="continue"/>
            <w:textDirection w:val="tbRlV"/>
            <w:vAlign w:val="center"/>
          </w:tcPr>
          <w:p w14:paraId="27C7D40A">
            <w:pPr>
              <w:pStyle w:val="58"/>
              <w:bidi w:val="0"/>
              <w:rPr>
                <w:rFonts w:hint="default"/>
              </w:rPr>
            </w:pPr>
          </w:p>
        </w:tc>
        <w:tc>
          <w:tcPr>
            <w:tcW w:w="835" w:type="pct"/>
            <w:vAlign w:val="center"/>
          </w:tcPr>
          <w:p w14:paraId="35E9C80F">
            <w:pPr>
              <w:pStyle w:val="58"/>
              <w:bidi w:val="0"/>
              <w:rPr>
                <w:rFonts w:hint="default"/>
              </w:rPr>
            </w:pPr>
            <w:r>
              <w:rPr>
                <w:rFonts w:hint="default"/>
              </w:rPr>
              <w:t>应急处理</w:t>
            </w:r>
          </w:p>
        </w:tc>
        <w:tc>
          <w:tcPr>
            <w:tcW w:w="3898" w:type="pct"/>
            <w:gridSpan w:val="3"/>
            <w:vAlign w:val="center"/>
          </w:tcPr>
          <w:p w14:paraId="5076E66A">
            <w:pPr>
              <w:pStyle w:val="58"/>
              <w:bidi w:val="0"/>
              <w:rPr>
                <w:rFonts w:hint="default"/>
              </w:rPr>
            </w:pPr>
            <w:r>
              <w:rPr>
                <w:rFonts w:hint="default"/>
              </w:rPr>
              <w:t>隔离泄漏污染区，限制出入。建议应急处理人员戴防尘面具（全面罩），穿防毒服。勿使泄漏物与还原剂、有机物、易燃物如硫、磷或金属粉末等混合可形成爆炸性混合物。有水时与硫化钠混合能引起自燃。与硝酸盐、氯酸盐接触剧烈反应。具有较强的腐蚀性。</w:t>
            </w:r>
          </w:p>
        </w:tc>
      </w:tr>
      <w:tr w14:paraId="7B80D95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66" w:type="pct"/>
            <w:vMerge w:val="continue"/>
            <w:textDirection w:val="tbRlV"/>
            <w:vAlign w:val="center"/>
          </w:tcPr>
          <w:p w14:paraId="3BB2F309">
            <w:pPr>
              <w:pStyle w:val="58"/>
              <w:bidi w:val="0"/>
              <w:rPr>
                <w:rFonts w:hint="default"/>
              </w:rPr>
            </w:pPr>
          </w:p>
        </w:tc>
        <w:tc>
          <w:tcPr>
            <w:tcW w:w="835" w:type="pct"/>
            <w:vAlign w:val="center"/>
          </w:tcPr>
          <w:p w14:paraId="0C4E5BA2">
            <w:pPr>
              <w:pStyle w:val="58"/>
              <w:bidi w:val="0"/>
              <w:rPr>
                <w:rFonts w:hint="default"/>
              </w:rPr>
            </w:pPr>
            <w:r>
              <w:rPr>
                <w:rFonts w:hint="default"/>
              </w:rPr>
              <w:t>急救方法</w:t>
            </w:r>
          </w:p>
        </w:tc>
        <w:tc>
          <w:tcPr>
            <w:tcW w:w="3898" w:type="pct"/>
            <w:gridSpan w:val="3"/>
            <w:vAlign w:val="center"/>
          </w:tcPr>
          <w:p w14:paraId="5F3BE399">
            <w:pPr>
              <w:pStyle w:val="58"/>
              <w:bidi w:val="0"/>
              <w:rPr>
                <w:rFonts w:hint="default"/>
              </w:rPr>
            </w:pPr>
            <w:r>
              <w:rPr>
                <w:rFonts w:hint="default"/>
              </w:rPr>
              <w:t>皮肤接触：脱去污染的衣着，用肥皂水和清水彻底冲洗皮肤。眼睛接触：提起眼睑，用流动清水或生理盐水冲洗。就医。吸入：迅速脱离现场至空气新鲜处。保持呼吸道通畅。如呼吸困难，给输氧。如呼吸停止，立即进行人工呼吸。就医。食入：用水漱口，用清水或1%硫代硫酸钠溶液洗胃。给饮牛奶或蛋清。就医。</w:t>
            </w:r>
          </w:p>
        </w:tc>
      </w:tr>
      <w:tr w14:paraId="7BB5E88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66" w:type="pct"/>
            <w:vMerge w:val="continue"/>
            <w:textDirection w:val="tbRlV"/>
            <w:vAlign w:val="center"/>
          </w:tcPr>
          <w:p w14:paraId="0320DB01">
            <w:pPr>
              <w:pStyle w:val="58"/>
              <w:bidi w:val="0"/>
              <w:rPr>
                <w:rFonts w:hint="default"/>
              </w:rPr>
            </w:pPr>
          </w:p>
        </w:tc>
        <w:tc>
          <w:tcPr>
            <w:tcW w:w="835" w:type="pct"/>
            <w:vAlign w:val="center"/>
          </w:tcPr>
          <w:p w14:paraId="6B515DC3">
            <w:pPr>
              <w:pStyle w:val="58"/>
              <w:bidi w:val="0"/>
              <w:rPr>
                <w:rFonts w:hint="default"/>
              </w:rPr>
            </w:pPr>
            <w:r>
              <w:rPr>
                <w:rFonts w:hint="default"/>
              </w:rPr>
              <w:t>消防措施</w:t>
            </w:r>
          </w:p>
        </w:tc>
        <w:tc>
          <w:tcPr>
            <w:tcW w:w="3898" w:type="pct"/>
            <w:gridSpan w:val="3"/>
            <w:vAlign w:val="center"/>
          </w:tcPr>
          <w:p w14:paraId="1521B13E">
            <w:pPr>
              <w:pStyle w:val="58"/>
              <w:bidi w:val="0"/>
              <w:rPr>
                <w:rFonts w:hint="default"/>
              </w:rPr>
            </w:pPr>
            <w:r>
              <w:rPr>
                <w:rFonts w:hint="default"/>
              </w:rPr>
              <w:t>灭火方法及灭火剂：采用雾状水、砂土灭火。</w:t>
            </w:r>
          </w:p>
        </w:tc>
      </w:tr>
      <w:tr w14:paraId="02660FE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66" w:type="pct"/>
            <w:vMerge w:val="continue"/>
            <w:textDirection w:val="tbRlV"/>
            <w:vAlign w:val="center"/>
          </w:tcPr>
          <w:p w14:paraId="4017969E">
            <w:pPr>
              <w:pStyle w:val="58"/>
              <w:bidi w:val="0"/>
              <w:rPr>
                <w:rFonts w:hint="default"/>
              </w:rPr>
            </w:pPr>
          </w:p>
        </w:tc>
        <w:tc>
          <w:tcPr>
            <w:tcW w:w="835" w:type="pct"/>
            <w:vAlign w:val="center"/>
          </w:tcPr>
          <w:p w14:paraId="3372DF6A">
            <w:pPr>
              <w:pStyle w:val="58"/>
              <w:bidi w:val="0"/>
              <w:rPr>
                <w:rFonts w:hint="default"/>
              </w:rPr>
            </w:pPr>
            <w:r>
              <w:rPr>
                <w:rFonts w:hint="default"/>
              </w:rPr>
              <w:t>操作处置与储存</w:t>
            </w:r>
          </w:p>
        </w:tc>
        <w:tc>
          <w:tcPr>
            <w:tcW w:w="3898" w:type="pct"/>
            <w:gridSpan w:val="3"/>
            <w:vAlign w:val="center"/>
          </w:tcPr>
          <w:p w14:paraId="2FA72A04">
            <w:pPr>
              <w:pStyle w:val="58"/>
              <w:bidi w:val="0"/>
              <w:rPr>
                <w:rFonts w:hint="default"/>
              </w:rPr>
            </w:pPr>
            <w:r>
              <w:rPr>
                <w:rFonts w:hint="default"/>
              </w:rPr>
              <w:t>操作注意事项：密闭操作，加强通风。操作人员必须经过专门培训，严格遵守操作规程。建议操作人员佩戴头罩型电动送风过滤式防尘呼吸器，穿聚乙烯防毒服，戴橡胶手套。远离火种、热源，工作场所严禁吸烟。远离易燃、可燃物。避免产生粉尘。避免与还原剂接触。搬运时要轻装轻卸，防止包装及容器损坏。配备相应品种和数量的消防器材及泄漏应急处理设备。倒空的容器可能残留有害物。储存注意事项：储存于阴凉、通风的库房。远离火种、热源。库温不超过35℃,相对湿度不超过75%。包装密封。应与易（可）燃物、还原剂等分开存放，切忌混储。储区应备有合适的材料收容泄漏物。</w:t>
            </w:r>
          </w:p>
        </w:tc>
      </w:tr>
    </w:tbl>
    <w:p w14:paraId="5C0327C4">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润滑油理化性质及危险性识别</w:t>
      </w:r>
    </w:p>
    <w:tbl>
      <w:tblPr>
        <w:tblStyle w:val="88"/>
        <w:tblW w:w="4998" w:type="pct"/>
        <w:tblInd w:w="0" w:type="dxa"/>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Layout w:type="autofit"/>
        <w:tblCellMar>
          <w:top w:w="0" w:type="dxa"/>
          <w:left w:w="0" w:type="dxa"/>
          <w:bottom w:w="0" w:type="dxa"/>
          <w:right w:w="0" w:type="dxa"/>
        </w:tblCellMar>
      </w:tblPr>
      <w:tblGrid>
        <w:gridCol w:w="1714"/>
        <w:gridCol w:w="2362"/>
        <w:gridCol w:w="1609"/>
        <w:gridCol w:w="1895"/>
        <w:gridCol w:w="1518"/>
      </w:tblGrid>
      <w:tr w14:paraId="2858DA30">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42" w:type="pct"/>
            <w:vAlign w:val="top"/>
          </w:tcPr>
          <w:p w14:paraId="49CDBE23">
            <w:pPr>
              <w:pStyle w:val="58"/>
              <w:bidi w:val="0"/>
              <w:rPr>
                <w:rFonts w:hint="default"/>
              </w:rPr>
            </w:pPr>
            <w:r>
              <w:rPr>
                <w:rFonts w:hint="default"/>
              </w:rPr>
              <w:t>物质名称</w:t>
            </w:r>
          </w:p>
        </w:tc>
        <w:tc>
          <w:tcPr>
            <w:tcW w:w="1298" w:type="pct"/>
            <w:vAlign w:val="top"/>
          </w:tcPr>
          <w:p w14:paraId="5AA67792">
            <w:pPr>
              <w:pStyle w:val="58"/>
              <w:bidi w:val="0"/>
              <w:rPr>
                <w:rFonts w:hint="default"/>
              </w:rPr>
            </w:pPr>
            <w:r>
              <w:rPr>
                <w:rFonts w:hint="default"/>
              </w:rPr>
              <w:t>分子式</w:t>
            </w:r>
          </w:p>
        </w:tc>
        <w:tc>
          <w:tcPr>
            <w:tcW w:w="884" w:type="pct"/>
            <w:vAlign w:val="top"/>
          </w:tcPr>
          <w:p w14:paraId="5E42F1C5">
            <w:pPr>
              <w:pStyle w:val="58"/>
              <w:bidi w:val="0"/>
              <w:rPr>
                <w:rFonts w:hint="default"/>
              </w:rPr>
            </w:pPr>
            <w:r>
              <w:rPr>
                <w:rFonts w:hint="default"/>
              </w:rPr>
              <w:t>分子量</w:t>
            </w:r>
          </w:p>
        </w:tc>
        <w:tc>
          <w:tcPr>
            <w:tcW w:w="1041" w:type="pct"/>
            <w:vAlign w:val="top"/>
          </w:tcPr>
          <w:p w14:paraId="42CAA585">
            <w:pPr>
              <w:pStyle w:val="58"/>
              <w:bidi w:val="0"/>
              <w:rPr>
                <w:rFonts w:hint="default"/>
              </w:rPr>
            </w:pPr>
            <w:r>
              <w:rPr>
                <w:rFonts w:hint="default"/>
              </w:rPr>
              <w:t>沸点</w:t>
            </w:r>
          </w:p>
        </w:tc>
        <w:tc>
          <w:tcPr>
            <w:tcW w:w="832" w:type="pct"/>
            <w:vAlign w:val="top"/>
          </w:tcPr>
          <w:p w14:paraId="38A906BC">
            <w:pPr>
              <w:pStyle w:val="58"/>
              <w:bidi w:val="0"/>
              <w:rPr>
                <w:rFonts w:hint="default"/>
              </w:rPr>
            </w:pPr>
            <w:r>
              <w:rPr>
                <w:rFonts w:hint="default"/>
              </w:rPr>
              <w:t>自燃点</w:t>
            </w:r>
          </w:p>
        </w:tc>
      </w:tr>
      <w:tr w14:paraId="07187EEE">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42" w:type="pct"/>
            <w:vAlign w:val="top"/>
          </w:tcPr>
          <w:p w14:paraId="6AAFD2F8">
            <w:pPr>
              <w:pStyle w:val="58"/>
              <w:bidi w:val="0"/>
              <w:rPr>
                <w:rFonts w:hint="default"/>
              </w:rPr>
            </w:pPr>
            <w:r>
              <w:rPr>
                <w:rFonts w:hint="default"/>
              </w:rPr>
              <w:t>润滑油</w:t>
            </w:r>
          </w:p>
        </w:tc>
        <w:tc>
          <w:tcPr>
            <w:tcW w:w="1298" w:type="pct"/>
            <w:vAlign w:val="top"/>
          </w:tcPr>
          <w:p w14:paraId="6B2770F1">
            <w:pPr>
              <w:pStyle w:val="58"/>
              <w:bidi w:val="0"/>
              <w:rPr>
                <w:rFonts w:hint="default"/>
              </w:rPr>
            </w:pPr>
            <w:r>
              <w:rPr>
                <w:rFonts w:hint="default"/>
              </w:rPr>
              <w:t>—</w:t>
            </w:r>
          </w:p>
        </w:tc>
        <w:tc>
          <w:tcPr>
            <w:tcW w:w="884" w:type="pct"/>
            <w:vAlign w:val="top"/>
          </w:tcPr>
          <w:p w14:paraId="63986C99">
            <w:pPr>
              <w:pStyle w:val="58"/>
              <w:bidi w:val="0"/>
              <w:rPr>
                <w:rFonts w:hint="default"/>
              </w:rPr>
            </w:pPr>
            <w:r>
              <w:rPr>
                <w:rFonts w:hint="default"/>
              </w:rPr>
              <w:t>290-360</w:t>
            </w:r>
          </w:p>
        </w:tc>
        <w:tc>
          <w:tcPr>
            <w:tcW w:w="1041" w:type="pct"/>
            <w:vAlign w:val="top"/>
          </w:tcPr>
          <w:p w14:paraId="23EC9056">
            <w:pPr>
              <w:pStyle w:val="58"/>
              <w:bidi w:val="0"/>
              <w:rPr>
                <w:rFonts w:hint="default"/>
              </w:rPr>
            </w:pPr>
            <w:r>
              <w:rPr>
                <w:rFonts w:hint="default"/>
              </w:rPr>
              <w:t>300-350℃</w:t>
            </w:r>
          </w:p>
        </w:tc>
        <w:tc>
          <w:tcPr>
            <w:tcW w:w="832" w:type="pct"/>
            <w:vAlign w:val="top"/>
          </w:tcPr>
          <w:p w14:paraId="6DE259CC">
            <w:pPr>
              <w:pStyle w:val="58"/>
              <w:bidi w:val="0"/>
              <w:rPr>
                <w:rFonts w:hint="default"/>
              </w:rPr>
            </w:pPr>
            <w:r>
              <w:rPr>
                <w:rFonts w:hint="default"/>
              </w:rPr>
              <w:t>180℃</w:t>
            </w:r>
          </w:p>
        </w:tc>
      </w:tr>
      <w:tr w14:paraId="7C698B41">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42" w:type="pct"/>
            <w:vAlign w:val="top"/>
          </w:tcPr>
          <w:p w14:paraId="07674D2C">
            <w:pPr>
              <w:pStyle w:val="58"/>
              <w:bidi w:val="0"/>
              <w:rPr>
                <w:rFonts w:hint="default"/>
              </w:rPr>
            </w:pPr>
            <w:r>
              <w:rPr>
                <w:rFonts w:hint="default"/>
              </w:rPr>
              <w:t>闪点（开口）</w:t>
            </w:r>
          </w:p>
        </w:tc>
        <w:tc>
          <w:tcPr>
            <w:tcW w:w="1298" w:type="pct"/>
            <w:vAlign w:val="top"/>
          </w:tcPr>
          <w:p w14:paraId="5ED304FD">
            <w:pPr>
              <w:pStyle w:val="58"/>
              <w:bidi w:val="0"/>
              <w:rPr>
                <w:rFonts w:hint="default"/>
              </w:rPr>
            </w:pPr>
            <w:r>
              <w:rPr>
                <w:rFonts w:hint="default"/>
              </w:rPr>
              <w:t>蒸汽压（145.8℃)</w:t>
            </w:r>
          </w:p>
        </w:tc>
        <w:tc>
          <w:tcPr>
            <w:tcW w:w="884" w:type="pct"/>
            <w:vAlign w:val="top"/>
          </w:tcPr>
          <w:p w14:paraId="18BDF980">
            <w:pPr>
              <w:pStyle w:val="58"/>
              <w:bidi w:val="0"/>
              <w:rPr>
                <w:rFonts w:hint="default"/>
              </w:rPr>
            </w:pPr>
            <w:r>
              <w:rPr>
                <w:rFonts w:hint="default"/>
              </w:rPr>
              <w:t>引燃温度</w:t>
            </w:r>
          </w:p>
        </w:tc>
        <w:tc>
          <w:tcPr>
            <w:tcW w:w="1041" w:type="pct"/>
            <w:vAlign w:val="top"/>
          </w:tcPr>
          <w:p w14:paraId="5F4CB71C">
            <w:pPr>
              <w:pStyle w:val="58"/>
              <w:bidi w:val="0"/>
              <w:rPr>
                <w:rFonts w:hint="default"/>
              </w:rPr>
            </w:pPr>
            <w:r>
              <w:rPr>
                <w:rFonts w:hint="default"/>
              </w:rPr>
              <w:t>密度（水=1）</w:t>
            </w:r>
          </w:p>
        </w:tc>
        <w:tc>
          <w:tcPr>
            <w:tcW w:w="832" w:type="pct"/>
            <w:vAlign w:val="top"/>
          </w:tcPr>
          <w:p w14:paraId="40351920">
            <w:pPr>
              <w:pStyle w:val="58"/>
              <w:bidi w:val="0"/>
              <w:rPr>
                <w:rFonts w:hint="default"/>
              </w:rPr>
            </w:pPr>
            <w:r>
              <w:rPr>
                <w:rFonts w:hint="default"/>
              </w:rPr>
              <w:t>爆炸下限</w:t>
            </w:r>
          </w:p>
        </w:tc>
      </w:tr>
      <w:tr w14:paraId="1F842728">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42" w:type="pct"/>
            <w:vAlign w:val="top"/>
          </w:tcPr>
          <w:p w14:paraId="16E6B2B3">
            <w:pPr>
              <w:pStyle w:val="58"/>
              <w:bidi w:val="0"/>
              <w:rPr>
                <w:rFonts w:hint="default"/>
              </w:rPr>
            </w:pPr>
            <w:r>
              <w:rPr>
                <w:rFonts w:hint="default"/>
              </w:rPr>
              <w:t>120-340℃</w:t>
            </w:r>
          </w:p>
        </w:tc>
        <w:tc>
          <w:tcPr>
            <w:tcW w:w="1298" w:type="pct"/>
            <w:vAlign w:val="top"/>
          </w:tcPr>
          <w:p w14:paraId="4B62F62C">
            <w:pPr>
              <w:pStyle w:val="58"/>
              <w:bidi w:val="0"/>
              <w:rPr>
                <w:rFonts w:hint="default"/>
              </w:rPr>
            </w:pPr>
            <w:r>
              <w:rPr>
                <w:rFonts w:hint="default"/>
              </w:rPr>
              <w:t>0.13Pa</w:t>
            </w:r>
          </w:p>
        </w:tc>
        <w:tc>
          <w:tcPr>
            <w:tcW w:w="884" w:type="pct"/>
            <w:vAlign w:val="top"/>
          </w:tcPr>
          <w:p w14:paraId="64699E21">
            <w:pPr>
              <w:pStyle w:val="58"/>
              <w:bidi w:val="0"/>
              <w:rPr>
                <w:rFonts w:hint="default"/>
              </w:rPr>
            </w:pPr>
            <w:r>
              <w:rPr>
                <w:rFonts w:hint="default"/>
              </w:rPr>
              <w:t>—</w:t>
            </w:r>
          </w:p>
        </w:tc>
        <w:tc>
          <w:tcPr>
            <w:tcW w:w="1041" w:type="pct"/>
            <w:vAlign w:val="top"/>
          </w:tcPr>
          <w:p w14:paraId="4502F947">
            <w:pPr>
              <w:pStyle w:val="58"/>
              <w:bidi w:val="0"/>
              <w:rPr>
                <w:rFonts w:hint="default"/>
              </w:rPr>
            </w:pPr>
            <w:r>
              <w:rPr>
                <w:rFonts w:hint="default"/>
              </w:rPr>
              <w:t>934.8</w:t>
            </w:r>
          </w:p>
        </w:tc>
        <w:tc>
          <w:tcPr>
            <w:tcW w:w="832" w:type="pct"/>
            <w:vAlign w:val="top"/>
          </w:tcPr>
          <w:p w14:paraId="60B33886">
            <w:pPr>
              <w:pStyle w:val="58"/>
              <w:bidi w:val="0"/>
              <w:rPr>
                <w:rFonts w:hint="default"/>
              </w:rPr>
            </w:pPr>
            <w:r>
              <w:rPr>
                <w:rFonts w:hint="default"/>
              </w:rPr>
              <w:t>—</w:t>
            </w:r>
          </w:p>
        </w:tc>
      </w:tr>
      <w:tr w14:paraId="58B60193">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42" w:type="pct"/>
            <w:vAlign w:val="top"/>
          </w:tcPr>
          <w:p w14:paraId="4EA13A02">
            <w:pPr>
              <w:pStyle w:val="58"/>
              <w:bidi w:val="0"/>
              <w:rPr>
                <w:rFonts w:hint="default"/>
              </w:rPr>
            </w:pPr>
            <w:r>
              <w:rPr>
                <w:rFonts w:hint="default"/>
              </w:rPr>
              <w:t>形状和溶解性</w:t>
            </w:r>
          </w:p>
        </w:tc>
        <w:tc>
          <w:tcPr>
            <w:tcW w:w="4057" w:type="pct"/>
            <w:gridSpan w:val="4"/>
            <w:vAlign w:val="top"/>
          </w:tcPr>
          <w:p w14:paraId="2485A42D">
            <w:pPr>
              <w:pStyle w:val="58"/>
              <w:bidi w:val="0"/>
              <w:rPr>
                <w:rFonts w:hint="default"/>
              </w:rPr>
            </w:pPr>
            <w:r>
              <w:rPr>
                <w:rFonts w:hint="default"/>
              </w:rPr>
              <w:t>淡黄色粘稠液体，溶于苯、乙醇、乙醚、氯仿、丙酮等多数有机溶剂。</w:t>
            </w:r>
          </w:p>
        </w:tc>
      </w:tr>
      <w:tr w14:paraId="58C5F4B0">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42" w:type="pct"/>
            <w:vAlign w:val="top"/>
          </w:tcPr>
          <w:p w14:paraId="1CE850B2">
            <w:pPr>
              <w:pStyle w:val="58"/>
              <w:bidi w:val="0"/>
              <w:rPr>
                <w:rFonts w:hint="default"/>
              </w:rPr>
            </w:pPr>
          </w:p>
          <w:p w14:paraId="5A2F9C04">
            <w:pPr>
              <w:pStyle w:val="58"/>
              <w:bidi w:val="0"/>
              <w:rPr>
                <w:rFonts w:hint="default"/>
              </w:rPr>
            </w:pPr>
            <w:r>
              <w:rPr>
                <w:rFonts w:hint="default"/>
              </w:rPr>
              <w:t>健康危害</w:t>
            </w:r>
          </w:p>
        </w:tc>
        <w:tc>
          <w:tcPr>
            <w:tcW w:w="4057" w:type="pct"/>
            <w:gridSpan w:val="4"/>
            <w:vAlign w:val="top"/>
          </w:tcPr>
          <w:p w14:paraId="6334F3B8">
            <w:pPr>
              <w:pStyle w:val="58"/>
              <w:bidi w:val="0"/>
              <w:rPr>
                <w:rFonts w:hint="default"/>
              </w:rPr>
            </w:pPr>
            <w:r>
              <w:rPr>
                <w:rFonts w:hint="default"/>
              </w:rPr>
              <w:t>急性吸入可出现乏力、头痛、头晕、恶心，严重者可引起油脂性肺炎。慢接触者，暴露部位可发生油性痤疮和接触性皮炎，可引发神经衰弱综合征，呼吸道和眼刺激症状及慢性油脂性肺炎。</w:t>
            </w:r>
          </w:p>
        </w:tc>
      </w:tr>
    </w:tbl>
    <w:p w14:paraId="03855028">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液压油理化性质及危险性识别</w:t>
      </w:r>
    </w:p>
    <w:tbl>
      <w:tblPr>
        <w:tblStyle w:val="88"/>
        <w:tblW w:w="4998" w:type="pct"/>
        <w:tblInd w:w="0" w:type="dxa"/>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Layout w:type="autofit"/>
        <w:tblCellMar>
          <w:top w:w="0" w:type="dxa"/>
          <w:left w:w="0" w:type="dxa"/>
          <w:bottom w:w="0" w:type="dxa"/>
          <w:right w:w="0" w:type="dxa"/>
        </w:tblCellMar>
      </w:tblPr>
      <w:tblGrid>
        <w:gridCol w:w="1607"/>
        <w:gridCol w:w="1876"/>
        <w:gridCol w:w="1947"/>
        <w:gridCol w:w="1871"/>
        <w:gridCol w:w="1797"/>
      </w:tblGrid>
      <w:tr w14:paraId="5D8B4B4C">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83" w:type="pct"/>
            <w:vAlign w:val="top"/>
          </w:tcPr>
          <w:p w14:paraId="3F16B360">
            <w:pPr>
              <w:pStyle w:val="58"/>
              <w:bidi w:val="0"/>
              <w:rPr>
                <w:rFonts w:hint="default"/>
              </w:rPr>
            </w:pPr>
            <w:r>
              <w:rPr>
                <w:rFonts w:hint="default"/>
              </w:rPr>
              <w:t>物质名称</w:t>
            </w:r>
          </w:p>
        </w:tc>
        <w:tc>
          <w:tcPr>
            <w:tcW w:w="1031" w:type="pct"/>
            <w:vAlign w:val="top"/>
          </w:tcPr>
          <w:p w14:paraId="48ED858B">
            <w:pPr>
              <w:pStyle w:val="58"/>
              <w:bidi w:val="0"/>
              <w:rPr>
                <w:rFonts w:hint="default"/>
              </w:rPr>
            </w:pPr>
            <w:r>
              <w:rPr>
                <w:rFonts w:hint="default"/>
              </w:rPr>
              <w:t>分子式</w:t>
            </w:r>
          </w:p>
        </w:tc>
        <w:tc>
          <w:tcPr>
            <w:tcW w:w="1070" w:type="pct"/>
            <w:vAlign w:val="top"/>
          </w:tcPr>
          <w:p w14:paraId="7182BAD4">
            <w:pPr>
              <w:pStyle w:val="58"/>
              <w:bidi w:val="0"/>
              <w:rPr>
                <w:rFonts w:hint="default"/>
              </w:rPr>
            </w:pPr>
            <w:r>
              <w:rPr>
                <w:rFonts w:hint="default"/>
              </w:rPr>
              <w:t>分子量</w:t>
            </w:r>
          </w:p>
        </w:tc>
        <w:tc>
          <w:tcPr>
            <w:tcW w:w="1028" w:type="pct"/>
            <w:vAlign w:val="top"/>
          </w:tcPr>
          <w:p w14:paraId="14B9CA76">
            <w:pPr>
              <w:pStyle w:val="58"/>
              <w:bidi w:val="0"/>
              <w:rPr>
                <w:rFonts w:hint="default"/>
              </w:rPr>
            </w:pPr>
            <w:r>
              <w:rPr>
                <w:rFonts w:hint="default"/>
              </w:rPr>
              <w:t>沸点</w:t>
            </w:r>
          </w:p>
        </w:tc>
        <w:tc>
          <w:tcPr>
            <w:tcW w:w="986" w:type="pct"/>
            <w:vAlign w:val="top"/>
          </w:tcPr>
          <w:p w14:paraId="5C6B25F8">
            <w:pPr>
              <w:pStyle w:val="58"/>
              <w:bidi w:val="0"/>
              <w:rPr>
                <w:rFonts w:hint="default"/>
              </w:rPr>
            </w:pPr>
            <w:r>
              <w:rPr>
                <w:rFonts w:hint="default"/>
              </w:rPr>
              <w:t>自燃点</w:t>
            </w:r>
          </w:p>
        </w:tc>
      </w:tr>
      <w:tr w14:paraId="389EEA5A">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83" w:type="pct"/>
            <w:vAlign w:val="top"/>
          </w:tcPr>
          <w:p w14:paraId="2252AE94">
            <w:pPr>
              <w:pStyle w:val="58"/>
              <w:bidi w:val="0"/>
              <w:rPr>
                <w:rFonts w:hint="default"/>
              </w:rPr>
            </w:pPr>
            <w:r>
              <w:rPr>
                <w:rFonts w:hint="default"/>
              </w:rPr>
              <w:t>液压油</w:t>
            </w:r>
          </w:p>
        </w:tc>
        <w:tc>
          <w:tcPr>
            <w:tcW w:w="1031" w:type="pct"/>
            <w:vAlign w:val="top"/>
          </w:tcPr>
          <w:p w14:paraId="2C641CD0">
            <w:pPr>
              <w:pStyle w:val="58"/>
              <w:bidi w:val="0"/>
              <w:rPr>
                <w:rFonts w:hint="default"/>
              </w:rPr>
            </w:pPr>
            <w:r>
              <w:rPr>
                <w:rFonts w:hint="default"/>
              </w:rPr>
              <w:t>—</w:t>
            </w:r>
          </w:p>
        </w:tc>
        <w:tc>
          <w:tcPr>
            <w:tcW w:w="1070" w:type="pct"/>
            <w:vAlign w:val="top"/>
          </w:tcPr>
          <w:p w14:paraId="1184685A">
            <w:pPr>
              <w:pStyle w:val="58"/>
              <w:bidi w:val="0"/>
              <w:rPr>
                <w:rFonts w:hint="default"/>
              </w:rPr>
            </w:pPr>
            <w:r>
              <w:rPr>
                <w:rFonts w:hint="default"/>
              </w:rPr>
              <w:t>230-500</w:t>
            </w:r>
          </w:p>
        </w:tc>
        <w:tc>
          <w:tcPr>
            <w:tcW w:w="1028" w:type="pct"/>
            <w:vAlign w:val="top"/>
          </w:tcPr>
          <w:p w14:paraId="6189C724">
            <w:pPr>
              <w:pStyle w:val="58"/>
              <w:bidi w:val="0"/>
              <w:rPr>
                <w:rFonts w:hint="default"/>
              </w:rPr>
            </w:pPr>
            <w:r>
              <w:rPr>
                <w:rFonts w:hint="default"/>
              </w:rPr>
              <w:t>&gt;290℃</w:t>
            </w:r>
          </w:p>
        </w:tc>
        <w:tc>
          <w:tcPr>
            <w:tcW w:w="986" w:type="pct"/>
            <w:vAlign w:val="top"/>
          </w:tcPr>
          <w:p w14:paraId="5F640707">
            <w:pPr>
              <w:pStyle w:val="58"/>
              <w:bidi w:val="0"/>
              <w:rPr>
                <w:rFonts w:hint="default"/>
              </w:rPr>
            </w:pPr>
            <w:r>
              <w:rPr>
                <w:rFonts w:hint="default"/>
              </w:rPr>
              <w:t>&gt;320℃</w:t>
            </w:r>
          </w:p>
        </w:tc>
      </w:tr>
      <w:tr w14:paraId="754BDE8C">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83" w:type="pct"/>
            <w:vAlign w:val="top"/>
          </w:tcPr>
          <w:p w14:paraId="52C68D93">
            <w:pPr>
              <w:pStyle w:val="58"/>
              <w:bidi w:val="0"/>
              <w:rPr>
                <w:rFonts w:hint="default"/>
              </w:rPr>
            </w:pPr>
            <w:r>
              <w:rPr>
                <w:rFonts w:hint="default"/>
              </w:rPr>
              <w:t>闪点</w:t>
            </w:r>
          </w:p>
        </w:tc>
        <w:tc>
          <w:tcPr>
            <w:tcW w:w="1031" w:type="pct"/>
            <w:vAlign w:val="top"/>
          </w:tcPr>
          <w:p w14:paraId="0A9A6AD3">
            <w:pPr>
              <w:pStyle w:val="58"/>
              <w:bidi w:val="0"/>
              <w:rPr>
                <w:rFonts w:hint="default"/>
              </w:rPr>
            </w:pPr>
            <w:r>
              <w:rPr>
                <w:rFonts w:hint="default"/>
              </w:rPr>
              <w:t>蒸汽压（20℃)</w:t>
            </w:r>
          </w:p>
        </w:tc>
        <w:tc>
          <w:tcPr>
            <w:tcW w:w="1070" w:type="pct"/>
            <w:vAlign w:val="top"/>
          </w:tcPr>
          <w:p w14:paraId="347323C6">
            <w:pPr>
              <w:pStyle w:val="58"/>
              <w:bidi w:val="0"/>
              <w:rPr>
                <w:rFonts w:hint="default"/>
              </w:rPr>
            </w:pPr>
            <w:r>
              <w:rPr>
                <w:rFonts w:hint="default"/>
              </w:rPr>
              <w:t>引燃温度</w:t>
            </w:r>
          </w:p>
        </w:tc>
        <w:tc>
          <w:tcPr>
            <w:tcW w:w="1028" w:type="pct"/>
            <w:vAlign w:val="top"/>
          </w:tcPr>
          <w:p w14:paraId="1DE31162">
            <w:pPr>
              <w:pStyle w:val="58"/>
              <w:bidi w:val="0"/>
              <w:rPr>
                <w:rFonts w:hint="default"/>
              </w:rPr>
            </w:pPr>
            <w:r>
              <w:rPr>
                <w:rFonts w:hint="default"/>
              </w:rPr>
              <w:t>密度（水=1）</w:t>
            </w:r>
          </w:p>
        </w:tc>
        <w:tc>
          <w:tcPr>
            <w:tcW w:w="986" w:type="pct"/>
            <w:vAlign w:val="top"/>
          </w:tcPr>
          <w:p w14:paraId="5E1EFD3B">
            <w:pPr>
              <w:pStyle w:val="58"/>
              <w:bidi w:val="0"/>
              <w:rPr>
                <w:rFonts w:hint="default"/>
              </w:rPr>
            </w:pPr>
            <w:r>
              <w:rPr>
                <w:rFonts w:hint="default"/>
              </w:rPr>
              <w:t>爆炸下限</w:t>
            </w:r>
          </w:p>
        </w:tc>
      </w:tr>
      <w:tr w14:paraId="5FA2BCCF">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83" w:type="pct"/>
            <w:vAlign w:val="top"/>
          </w:tcPr>
          <w:p w14:paraId="389D5054">
            <w:pPr>
              <w:pStyle w:val="58"/>
              <w:bidi w:val="0"/>
              <w:rPr>
                <w:rFonts w:hint="default"/>
              </w:rPr>
            </w:pPr>
            <w:r>
              <w:rPr>
                <w:rFonts w:hint="default"/>
              </w:rPr>
              <w:t>222℃</w:t>
            </w:r>
          </w:p>
        </w:tc>
        <w:tc>
          <w:tcPr>
            <w:tcW w:w="1031" w:type="pct"/>
            <w:vAlign w:val="top"/>
          </w:tcPr>
          <w:p w14:paraId="63F4E8E1">
            <w:pPr>
              <w:pStyle w:val="58"/>
              <w:bidi w:val="0"/>
              <w:rPr>
                <w:rFonts w:hint="default"/>
              </w:rPr>
            </w:pPr>
            <w:r>
              <w:rPr>
                <w:rFonts w:hint="default"/>
              </w:rPr>
              <w:t>0.5Pa</w:t>
            </w:r>
          </w:p>
        </w:tc>
        <w:tc>
          <w:tcPr>
            <w:tcW w:w="1070" w:type="pct"/>
            <w:vAlign w:val="top"/>
          </w:tcPr>
          <w:p w14:paraId="6AFECA64">
            <w:pPr>
              <w:pStyle w:val="58"/>
              <w:bidi w:val="0"/>
              <w:rPr>
                <w:rFonts w:hint="default"/>
              </w:rPr>
            </w:pPr>
            <w:r>
              <w:rPr>
                <w:rFonts w:hint="default"/>
              </w:rPr>
              <w:t>248</w:t>
            </w:r>
          </w:p>
        </w:tc>
        <w:tc>
          <w:tcPr>
            <w:tcW w:w="1028" w:type="pct"/>
            <w:vAlign w:val="top"/>
          </w:tcPr>
          <w:p w14:paraId="0EFF7E16">
            <w:pPr>
              <w:pStyle w:val="58"/>
              <w:bidi w:val="0"/>
              <w:rPr>
                <w:rFonts w:hint="default"/>
              </w:rPr>
            </w:pPr>
            <w:r>
              <w:rPr>
                <w:rFonts w:hint="default"/>
              </w:rPr>
              <w:t>0.896kg/m³</w:t>
            </w:r>
          </w:p>
        </w:tc>
        <w:tc>
          <w:tcPr>
            <w:tcW w:w="986" w:type="pct"/>
            <w:vAlign w:val="top"/>
          </w:tcPr>
          <w:p w14:paraId="5DA761DD">
            <w:pPr>
              <w:pStyle w:val="58"/>
              <w:bidi w:val="0"/>
              <w:rPr>
                <w:rFonts w:hint="default"/>
              </w:rPr>
            </w:pPr>
            <w:r>
              <w:rPr>
                <w:rFonts w:hint="default"/>
              </w:rPr>
              <w:t>—</w:t>
            </w:r>
          </w:p>
        </w:tc>
      </w:tr>
      <w:tr w14:paraId="415A197D">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83" w:type="pct"/>
            <w:vAlign w:val="top"/>
          </w:tcPr>
          <w:p w14:paraId="3242109C">
            <w:pPr>
              <w:pStyle w:val="58"/>
              <w:bidi w:val="0"/>
              <w:rPr>
                <w:rFonts w:hint="default"/>
              </w:rPr>
            </w:pPr>
            <w:r>
              <w:rPr>
                <w:rFonts w:hint="default"/>
              </w:rPr>
              <w:t>形状和溶解性</w:t>
            </w:r>
          </w:p>
        </w:tc>
        <w:tc>
          <w:tcPr>
            <w:tcW w:w="4116" w:type="pct"/>
            <w:gridSpan w:val="4"/>
            <w:vAlign w:val="top"/>
          </w:tcPr>
          <w:p w14:paraId="5766D37B">
            <w:pPr>
              <w:pStyle w:val="58"/>
              <w:bidi w:val="0"/>
              <w:rPr>
                <w:rFonts w:hint="default"/>
              </w:rPr>
            </w:pPr>
            <w:r>
              <w:rPr>
                <w:rFonts w:hint="default"/>
              </w:rPr>
              <w:t>琥珀色，室温下为液体，不溶于水。</w:t>
            </w:r>
          </w:p>
        </w:tc>
      </w:tr>
      <w:tr w14:paraId="5283B0F6">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83" w:type="pct"/>
            <w:vAlign w:val="top"/>
          </w:tcPr>
          <w:p w14:paraId="2640BB53">
            <w:pPr>
              <w:pStyle w:val="58"/>
              <w:bidi w:val="0"/>
              <w:rPr>
                <w:rFonts w:hint="default"/>
              </w:rPr>
            </w:pPr>
            <w:r>
              <w:rPr>
                <w:rFonts w:hint="default"/>
              </w:rPr>
              <w:t>健康危害</w:t>
            </w:r>
          </w:p>
        </w:tc>
        <w:tc>
          <w:tcPr>
            <w:tcW w:w="4116" w:type="pct"/>
            <w:gridSpan w:val="4"/>
            <w:vAlign w:val="top"/>
          </w:tcPr>
          <w:p w14:paraId="1A7C8D8E">
            <w:pPr>
              <w:pStyle w:val="58"/>
              <w:bidi w:val="0"/>
              <w:rPr>
                <w:rFonts w:hint="default"/>
              </w:rPr>
            </w:pPr>
            <w:r>
              <w:rPr>
                <w:rFonts w:hint="default"/>
              </w:rPr>
              <w:t>侵入途径：吸入。</w:t>
            </w:r>
          </w:p>
          <w:p w14:paraId="1D279C02">
            <w:pPr>
              <w:pStyle w:val="58"/>
              <w:bidi w:val="0"/>
              <w:rPr>
                <w:rFonts w:hint="default"/>
              </w:rPr>
            </w:pPr>
            <w:r>
              <w:rPr>
                <w:rFonts w:hint="default"/>
              </w:rPr>
              <w:t>健康危害：在正常条件下使用不应会成为健康危险源。长时间接触可造成眩晕或反胃。</w:t>
            </w:r>
          </w:p>
        </w:tc>
      </w:tr>
    </w:tbl>
    <w:p w14:paraId="7DD15044">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pPr>
      <w:r>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t>纳氏试剂（Nessler）是指一种利用紫外－可见分光光度法原理用于测定空气中、水体中氨氮含量的试剂。常温下略显淡黄绿色的透明溶液，随着暴光时间增加逐渐生成黄棕色沉淀，溶液会渐渐变黄。通常有两种，一：二氯化汞-碘化钾-氢氧化钾（HgCl</w:t>
      </w:r>
      <w:r>
        <w:rPr>
          <w:rFonts w:hint="default" w:ascii="Times New Roman" w:hAnsi="Times New Roman" w:eastAsia="宋体" w:cs="Times New Roman"/>
          <w:color w:val="000000" w:themeColor="text1"/>
          <w:kern w:val="0"/>
          <w:sz w:val="24"/>
          <w:szCs w:val="20"/>
          <w:highlight w:val="none"/>
          <w:vertAlign w:val="subscript"/>
          <w:lang w:val="zh-CN"/>
          <w14:textFill>
            <w14:solidFill>
              <w14:schemeClr w14:val="tx1"/>
            </w14:solidFill>
          </w14:textFill>
        </w:rPr>
        <w:t>2</w:t>
      </w:r>
      <w:r>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t>-KI-KOH）溶液，二、碘化汞-碘化钾-氢氧化钠（HgI</w:t>
      </w:r>
      <w:r>
        <w:rPr>
          <w:rFonts w:hint="default" w:ascii="Times New Roman" w:hAnsi="Times New Roman" w:eastAsia="宋体" w:cs="Times New Roman"/>
          <w:color w:val="000000" w:themeColor="text1"/>
          <w:kern w:val="0"/>
          <w:sz w:val="24"/>
          <w:szCs w:val="20"/>
          <w:highlight w:val="none"/>
          <w:vertAlign w:val="subscript"/>
          <w:lang w:val="zh-CN"/>
          <w14:textFill>
            <w14:solidFill>
              <w14:schemeClr w14:val="tx1"/>
            </w14:solidFill>
          </w14:textFill>
        </w:rPr>
        <w:t>2</w:t>
      </w:r>
      <w:r>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t>-KI-NaOH）溶液。本项目所用纳氏试剂为第一种，每100mL中含有汞18.46g。纳氏试剂中的汞有毒，使用时要小心，皮肤触碰时要及时清洗。</w:t>
      </w:r>
    </w:p>
    <w:p w14:paraId="239EBA98">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pPr>
      <w:r>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t>根据以上各表中各物质的理化性质、毒理性和燃爆性，本项目所涉及的危险物质，存在一定的泄漏风险，有一定的毒性或腐蚀性，泄漏后会对环境造成一定的影响。</w:t>
      </w:r>
    </w:p>
    <w:p w14:paraId="0E1954B6">
      <w:pPr>
        <w:pageBreakBefore w:val="0"/>
        <w:widowControl w:val="0"/>
        <w:numPr>
          <w:ilvl w:val="0"/>
          <w:numId w:val="41"/>
        </w:numPr>
        <w:kinsoku/>
        <w:wordWrap/>
        <w:overflowPunct/>
        <w:topLinePunct w:val="0"/>
        <w:autoSpaceDE/>
        <w:autoSpaceDN/>
        <w:bidi w:val="0"/>
        <w:adjustRightInd/>
        <w:snapToGrid/>
        <w:spacing w:line="480" w:lineRule="exact"/>
        <w:ind w:left="0" w:leftChars="0" w:firstLine="480" w:firstLineChars="200"/>
        <w:textAlignment w:val="auto"/>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pPr>
      <w:r>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t>生产系统危险性识别</w:t>
      </w:r>
    </w:p>
    <w:p w14:paraId="092EC170">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pPr>
      <w:r>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t>生产系统危险性识别包括主要生产装置、储运系统、公用工程系统、工程环保设施及辅助生产设施等。根据项目特点，本次评价生产系统危险性识别结果如下。</w:t>
      </w:r>
    </w:p>
    <w:p w14:paraId="1FC2BCFA">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pPr>
      <w:r>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t>①使用装置区</w:t>
      </w:r>
    </w:p>
    <w:p w14:paraId="6BA8B64F">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pPr>
      <w:r>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t>本项目运行过程使用的次氯酸钠溶液如管理操作不当或意外事故，存在着泄漏事故风险，主要危险单元为消毒加药间。一旦发生泄漏若不及时收集，可能会进入地表水体、地下水、土壤环境。</w:t>
      </w:r>
    </w:p>
    <w:p w14:paraId="2E88D18D">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pPr>
      <w:r>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t>泵、</w:t>
      </w:r>
      <w:r>
        <w:rPr>
          <w:rFonts w:hint="default" w:ascii="Times New Roman" w:hAnsi="Times New Roman" w:eastAsia="宋体" w:cs="Times New Roman"/>
          <w:color w:val="000000" w:themeColor="text1"/>
          <w:kern w:val="0"/>
          <w:sz w:val="24"/>
          <w:szCs w:val="20"/>
          <w:highlight w:val="none"/>
          <w:lang w:val="en-US" w:eastAsia="zh-CN"/>
          <w14:textFill>
            <w14:solidFill>
              <w14:schemeClr w14:val="tx1"/>
            </w14:solidFill>
          </w14:textFill>
        </w:rPr>
        <w:t>叠螺污泥脱水</w:t>
      </w:r>
      <w:r>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t>机等设备维护保养等过程如管理操作不当或发生意外事故，存在着矿物油泄漏事故风险，主要危险单元为污泥脱水间、</w:t>
      </w:r>
      <w:r>
        <w:rPr>
          <w:rFonts w:hint="default" w:ascii="Times New Roman" w:hAnsi="Times New Roman" w:eastAsia="宋体" w:cs="Times New Roman"/>
          <w:color w:val="000000" w:themeColor="text1"/>
          <w:kern w:val="0"/>
          <w:sz w:val="24"/>
          <w:szCs w:val="20"/>
          <w:highlight w:val="none"/>
          <w:lang w:val="en-US" w:eastAsia="zh-CN"/>
          <w14:textFill>
            <w14:solidFill>
              <w14:schemeClr w14:val="tx1"/>
            </w14:solidFill>
          </w14:textFill>
        </w:rPr>
        <w:t>格栅间及调节池</w:t>
      </w:r>
      <w:r>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t>、</w:t>
      </w:r>
      <w:r>
        <w:rPr>
          <w:rFonts w:hint="default" w:ascii="Times New Roman" w:hAnsi="Times New Roman" w:eastAsia="宋体" w:cs="Times New Roman"/>
          <w:color w:val="000000" w:themeColor="text1"/>
          <w:kern w:val="0"/>
          <w:sz w:val="24"/>
          <w:szCs w:val="20"/>
          <w:highlight w:val="none"/>
          <w:lang w:val="en-US" w:eastAsia="zh-CN"/>
          <w14:textFill>
            <w14:solidFill>
              <w14:schemeClr w14:val="tx1"/>
            </w14:solidFill>
          </w14:textFill>
        </w:rPr>
        <w:t>鼓风机房</w:t>
      </w:r>
      <w:r>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t>等，一旦发生泄漏若不及时收集，可能会进入地表水体、地下水、土壤环境。</w:t>
      </w:r>
    </w:p>
    <w:p w14:paraId="38F9F263">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pPr>
      <w:r>
        <w:rPr>
          <w:rFonts w:hint="eastAsia" w:cs="Times New Roman"/>
          <w:color w:val="000000" w:themeColor="text1"/>
          <w:kern w:val="0"/>
          <w:sz w:val="24"/>
          <w:szCs w:val="20"/>
          <w:highlight w:val="none"/>
          <w:lang w:val="zh-CN"/>
          <w14:textFill>
            <w14:solidFill>
              <w14:schemeClr w14:val="tx1"/>
            </w14:solidFill>
          </w14:textFill>
        </w:rPr>
        <w:t>实验室</w:t>
      </w:r>
      <w:r>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t>在水质</w:t>
      </w:r>
      <w:r>
        <w:rPr>
          <w:rFonts w:hint="eastAsia" w:cs="Times New Roman"/>
          <w:color w:val="000000" w:themeColor="text1"/>
          <w:kern w:val="0"/>
          <w:sz w:val="24"/>
          <w:szCs w:val="20"/>
          <w:highlight w:val="none"/>
          <w:lang w:val="zh-CN"/>
          <w14:textFill>
            <w14:solidFill>
              <w14:schemeClr w14:val="tx1"/>
            </w14:solidFill>
          </w14:textFill>
        </w:rPr>
        <w:t>实验</w:t>
      </w:r>
      <w:r>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t>过程存在硫酸、重铬酸钾等化学试剂如管理操作不当或发生意外事故，存在泄漏的硫酸、重铬酸钾、纳氏试剂等化学试剂的风险，主要危险单元为</w:t>
      </w:r>
      <w:r>
        <w:rPr>
          <w:rFonts w:hint="eastAsia" w:cs="Times New Roman"/>
          <w:color w:val="000000" w:themeColor="text1"/>
          <w:kern w:val="0"/>
          <w:sz w:val="24"/>
          <w:szCs w:val="20"/>
          <w:highlight w:val="none"/>
          <w:lang w:val="zh-CN"/>
          <w14:textFill>
            <w14:solidFill>
              <w14:schemeClr w14:val="tx1"/>
            </w14:solidFill>
          </w14:textFill>
        </w:rPr>
        <w:t>实验室</w:t>
      </w:r>
      <w:r>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t>，发生泄漏事故后若不及时收集处理，硫酸可能形成硫酸雾进入大气环境，另外硫酸、重铬酸钾、纳氏试剂可能腐蚀地面进入土壤和地下水。</w:t>
      </w:r>
    </w:p>
    <w:p w14:paraId="2E1C4DF6">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pPr>
      <w:r>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t>②储运工程</w:t>
      </w:r>
    </w:p>
    <w:p w14:paraId="55D9BF0A">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pPr>
      <w:r>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t>主要包括次氯酸钠加药罐、危废间、</w:t>
      </w:r>
      <w:r>
        <w:rPr>
          <w:rFonts w:hint="eastAsia" w:cs="Times New Roman"/>
          <w:color w:val="000000" w:themeColor="text1"/>
          <w:kern w:val="0"/>
          <w:sz w:val="24"/>
          <w:szCs w:val="20"/>
          <w:highlight w:val="none"/>
          <w:lang w:val="zh-CN"/>
          <w14:textFill>
            <w14:solidFill>
              <w14:schemeClr w14:val="tx1"/>
            </w14:solidFill>
          </w14:textFill>
        </w:rPr>
        <w:t>实验室</w:t>
      </w:r>
      <w:r>
        <w:rPr>
          <w:rFonts w:hint="default" w:ascii="Times New Roman" w:hAnsi="Times New Roman" w:eastAsia="宋体" w:cs="Times New Roman"/>
          <w:color w:val="000000" w:themeColor="text1"/>
          <w:kern w:val="0"/>
          <w:sz w:val="24"/>
          <w:szCs w:val="20"/>
          <w:highlight w:val="none"/>
          <w:lang w:val="zh-CN"/>
          <w14:textFill>
            <w14:solidFill>
              <w14:schemeClr w14:val="tx1"/>
            </w14:solidFill>
          </w14:textFill>
        </w:rPr>
        <w:t>危化品储柜等，如发生管理操作不当或储存容器破损等意外事故，存在着泄漏等事故风险，同时也可能会对地下水、地表水、环境空气造成污染。</w:t>
      </w:r>
    </w:p>
    <w:p w14:paraId="50E9261C">
      <w:pPr>
        <w:numPr>
          <w:ilvl w:val="0"/>
          <w:numId w:val="41"/>
        </w:numPr>
        <w:spacing w:line="480" w:lineRule="exact"/>
        <w:ind w:left="0" w:leftChars="0" w:firstLine="480" w:firstLineChars="200"/>
        <w:rPr>
          <w:rFonts w:hint="default" w:ascii="Times New Roman" w:hAnsi="Times New Roman" w:eastAsia="宋体" w:cs="Times New Roman"/>
          <w:color w:val="000000" w:themeColor="text1"/>
          <w:kern w:val="0"/>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4"/>
          <w:szCs w:val="20"/>
          <w:highlight w:val="none"/>
          <w:lang w:val="en-US" w:eastAsia="zh-CN"/>
          <w14:textFill>
            <w14:solidFill>
              <w14:schemeClr w14:val="tx1"/>
            </w14:solidFill>
          </w14:textFill>
        </w:rPr>
        <w:t>环境敏感目标调查</w:t>
      </w:r>
    </w:p>
    <w:p w14:paraId="6B4BFF18">
      <w:pPr>
        <w:spacing w:before="194" w:line="220" w:lineRule="auto"/>
        <w:ind w:left="530"/>
        <w:rPr>
          <w:rFonts w:hint="default" w:ascii="Times New Roman" w:hAnsi="Times New Roman" w:eastAsia="宋体" w:cs="Times New Roman"/>
          <w:spacing w:val="-1"/>
          <w:sz w:val="24"/>
          <w:szCs w:val="24"/>
        </w:rPr>
      </w:pPr>
      <w:r>
        <w:rPr>
          <w:rFonts w:hint="default" w:ascii="Times New Roman" w:hAnsi="Times New Roman" w:eastAsia="宋体" w:cs="Times New Roman"/>
          <w:spacing w:val="-1"/>
          <w:sz w:val="24"/>
          <w:szCs w:val="24"/>
        </w:rPr>
        <w:t>经现场踏勘，项目周边环境敏感情况见下表。</w:t>
      </w:r>
    </w:p>
    <w:p w14:paraId="02B469C5">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环境敏感特征表</w:t>
      </w:r>
    </w:p>
    <w:tbl>
      <w:tblPr>
        <w:tblStyle w:val="88"/>
        <w:tblW w:w="5202"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688"/>
        <w:gridCol w:w="940"/>
        <w:gridCol w:w="3026"/>
        <w:gridCol w:w="1378"/>
        <w:gridCol w:w="1207"/>
        <w:gridCol w:w="914"/>
        <w:gridCol w:w="1317"/>
      </w:tblGrid>
      <w:tr w14:paraId="4472E53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34" w:hRule="atLeast"/>
        </w:trPr>
        <w:tc>
          <w:tcPr>
            <w:tcW w:w="363" w:type="pct"/>
            <w:vAlign w:val="center"/>
          </w:tcPr>
          <w:p w14:paraId="24652CCD">
            <w:pPr>
              <w:pStyle w:val="58"/>
              <w:keepNext w:val="0"/>
              <w:keepLines w:val="0"/>
              <w:pageBreakBefore w:val="0"/>
              <w:widowControl w:val="0"/>
              <w:kinsoku/>
              <w:wordWrap/>
              <w:overflowPunct/>
              <w:topLinePunct w:val="0"/>
              <w:autoSpaceDE/>
              <w:autoSpaceDN/>
              <w:bidi w:val="0"/>
              <w:adjustRightInd/>
              <w:snapToGrid/>
              <w:textAlignment w:val="auto"/>
              <w:rPr>
                <w:rFonts w:hint="default"/>
                <w:lang w:eastAsia="zh-CN"/>
              </w:rPr>
            </w:pPr>
            <w:r>
              <w:rPr>
                <w:rFonts w:hint="default"/>
                <w:lang w:eastAsia="zh-CN"/>
              </w:rPr>
              <w:t>类别</w:t>
            </w:r>
          </w:p>
        </w:tc>
        <w:tc>
          <w:tcPr>
            <w:tcW w:w="4636" w:type="pct"/>
            <w:gridSpan w:val="6"/>
            <w:vAlign w:val="center"/>
          </w:tcPr>
          <w:p w14:paraId="13B42342">
            <w:pPr>
              <w:pStyle w:val="58"/>
              <w:keepNext w:val="0"/>
              <w:keepLines w:val="0"/>
              <w:pageBreakBefore w:val="0"/>
              <w:widowControl w:val="0"/>
              <w:kinsoku/>
              <w:wordWrap/>
              <w:overflowPunct/>
              <w:topLinePunct w:val="0"/>
              <w:autoSpaceDE/>
              <w:autoSpaceDN/>
              <w:bidi w:val="0"/>
              <w:adjustRightInd/>
              <w:snapToGrid/>
              <w:textAlignment w:val="auto"/>
              <w:rPr>
                <w:rFonts w:hint="default"/>
                <w:lang w:eastAsia="zh-CN"/>
              </w:rPr>
            </w:pPr>
            <w:r>
              <w:rPr>
                <w:rFonts w:hint="default"/>
                <w:lang w:eastAsia="zh-CN"/>
              </w:rPr>
              <w:t>环境敏感特征</w:t>
            </w:r>
          </w:p>
        </w:tc>
      </w:tr>
      <w:tr w14:paraId="4605DD1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26" w:hRule="atLeast"/>
        </w:trPr>
        <w:tc>
          <w:tcPr>
            <w:tcW w:w="363" w:type="pct"/>
            <w:vMerge w:val="restart"/>
            <w:vAlign w:val="center"/>
          </w:tcPr>
          <w:p w14:paraId="1309E517">
            <w:pPr>
              <w:pStyle w:val="58"/>
              <w:keepNext w:val="0"/>
              <w:keepLines w:val="0"/>
              <w:pageBreakBefore w:val="0"/>
              <w:widowControl w:val="0"/>
              <w:kinsoku/>
              <w:wordWrap/>
              <w:overflowPunct/>
              <w:topLinePunct w:val="0"/>
              <w:autoSpaceDE/>
              <w:autoSpaceDN/>
              <w:bidi w:val="0"/>
              <w:adjustRightInd/>
              <w:snapToGrid/>
              <w:textAlignment w:val="auto"/>
              <w:rPr>
                <w:rFonts w:hint="default"/>
                <w:lang w:eastAsia="zh-CN"/>
              </w:rPr>
            </w:pPr>
            <w:r>
              <w:rPr>
                <w:rFonts w:hint="default"/>
                <w:lang w:eastAsia="zh-CN"/>
              </w:rPr>
              <w:t>环境空气</w:t>
            </w:r>
          </w:p>
        </w:tc>
        <w:tc>
          <w:tcPr>
            <w:tcW w:w="4636" w:type="pct"/>
            <w:gridSpan w:val="6"/>
            <w:vAlign w:val="center"/>
          </w:tcPr>
          <w:p w14:paraId="0111B909">
            <w:pPr>
              <w:pStyle w:val="58"/>
              <w:keepNext w:val="0"/>
              <w:keepLines w:val="0"/>
              <w:pageBreakBefore w:val="0"/>
              <w:widowControl w:val="0"/>
              <w:kinsoku/>
              <w:wordWrap/>
              <w:overflowPunct/>
              <w:topLinePunct w:val="0"/>
              <w:autoSpaceDE/>
              <w:autoSpaceDN/>
              <w:bidi w:val="0"/>
              <w:adjustRightInd/>
              <w:snapToGrid/>
              <w:textAlignment w:val="auto"/>
              <w:rPr>
                <w:rFonts w:hint="default"/>
                <w:lang w:eastAsia="zh-CN"/>
              </w:rPr>
            </w:pPr>
            <w:r>
              <w:rPr>
                <w:rFonts w:hint="default"/>
                <w:lang w:eastAsia="zh-CN"/>
              </w:rPr>
              <w:t>厂址周边</w:t>
            </w:r>
            <w:r>
              <w:rPr>
                <w:rFonts w:hint="eastAsia"/>
                <w:lang w:val="en-US" w:eastAsia="zh-CN"/>
              </w:rPr>
              <w:t>500</w:t>
            </w:r>
            <w:r>
              <w:rPr>
                <w:rFonts w:hint="default"/>
                <w:lang w:eastAsia="zh-CN"/>
              </w:rPr>
              <w:t>m范围内</w:t>
            </w:r>
          </w:p>
        </w:tc>
      </w:tr>
      <w:tr w14:paraId="595147A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26" w:hRule="atLeast"/>
        </w:trPr>
        <w:tc>
          <w:tcPr>
            <w:tcW w:w="363" w:type="pct"/>
            <w:vMerge w:val="continue"/>
            <w:vAlign w:val="center"/>
          </w:tcPr>
          <w:p w14:paraId="2752841D">
            <w:pPr>
              <w:pStyle w:val="58"/>
              <w:keepNext w:val="0"/>
              <w:keepLines w:val="0"/>
              <w:pageBreakBefore w:val="0"/>
              <w:widowControl w:val="0"/>
              <w:kinsoku/>
              <w:wordWrap/>
              <w:overflowPunct/>
              <w:topLinePunct w:val="0"/>
              <w:autoSpaceDE/>
              <w:autoSpaceDN/>
              <w:bidi w:val="0"/>
              <w:adjustRightInd/>
              <w:snapToGrid/>
              <w:textAlignment w:val="auto"/>
              <w:rPr>
                <w:rFonts w:hint="default"/>
                <w:lang w:eastAsia="zh-CN"/>
              </w:rPr>
            </w:pPr>
          </w:p>
        </w:tc>
        <w:tc>
          <w:tcPr>
            <w:tcW w:w="496" w:type="pct"/>
            <w:vAlign w:val="center"/>
          </w:tcPr>
          <w:p w14:paraId="18DAE25B">
            <w:pPr>
              <w:pStyle w:val="58"/>
              <w:keepNext w:val="0"/>
              <w:keepLines w:val="0"/>
              <w:pageBreakBefore w:val="0"/>
              <w:widowControl w:val="0"/>
              <w:kinsoku/>
              <w:wordWrap/>
              <w:overflowPunct/>
              <w:topLinePunct w:val="0"/>
              <w:autoSpaceDE/>
              <w:autoSpaceDN/>
              <w:bidi w:val="0"/>
              <w:adjustRightInd/>
              <w:snapToGrid/>
              <w:textAlignment w:val="auto"/>
              <w:rPr>
                <w:rFonts w:hint="default"/>
                <w:lang w:eastAsia="zh-CN"/>
              </w:rPr>
            </w:pPr>
            <w:r>
              <w:rPr>
                <w:rFonts w:hint="default"/>
                <w:lang w:eastAsia="zh-CN"/>
              </w:rPr>
              <w:t>序号</w:t>
            </w:r>
          </w:p>
        </w:tc>
        <w:tc>
          <w:tcPr>
            <w:tcW w:w="1597" w:type="pct"/>
            <w:vAlign w:val="center"/>
          </w:tcPr>
          <w:p w14:paraId="663FC5AA">
            <w:pPr>
              <w:pStyle w:val="58"/>
              <w:keepNext w:val="0"/>
              <w:keepLines w:val="0"/>
              <w:pageBreakBefore w:val="0"/>
              <w:widowControl w:val="0"/>
              <w:kinsoku/>
              <w:wordWrap/>
              <w:overflowPunct/>
              <w:topLinePunct w:val="0"/>
              <w:autoSpaceDE/>
              <w:autoSpaceDN/>
              <w:bidi w:val="0"/>
              <w:adjustRightInd/>
              <w:snapToGrid/>
              <w:textAlignment w:val="auto"/>
              <w:rPr>
                <w:rFonts w:hint="default"/>
                <w:lang w:eastAsia="zh-CN"/>
              </w:rPr>
            </w:pPr>
            <w:r>
              <w:rPr>
                <w:rFonts w:hint="default"/>
                <w:lang w:eastAsia="zh-CN"/>
              </w:rPr>
              <w:t>敏感目标名称</w:t>
            </w:r>
          </w:p>
        </w:tc>
        <w:tc>
          <w:tcPr>
            <w:tcW w:w="727" w:type="pct"/>
            <w:vAlign w:val="center"/>
          </w:tcPr>
          <w:p w14:paraId="18F6DB1B">
            <w:pPr>
              <w:pStyle w:val="58"/>
              <w:keepNext w:val="0"/>
              <w:keepLines w:val="0"/>
              <w:pageBreakBefore w:val="0"/>
              <w:widowControl w:val="0"/>
              <w:kinsoku/>
              <w:wordWrap/>
              <w:overflowPunct/>
              <w:topLinePunct w:val="0"/>
              <w:autoSpaceDE/>
              <w:autoSpaceDN/>
              <w:bidi w:val="0"/>
              <w:adjustRightInd/>
              <w:snapToGrid/>
              <w:textAlignment w:val="auto"/>
              <w:rPr>
                <w:rFonts w:hint="default"/>
                <w:lang w:eastAsia="zh-CN"/>
              </w:rPr>
            </w:pPr>
            <w:r>
              <w:rPr>
                <w:rFonts w:hint="default"/>
                <w:lang w:eastAsia="zh-CN"/>
              </w:rPr>
              <w:t>相对方位</w:t>
            </w:r>
          </w:p>
        </w:tc>
        <w:tc>
          <w:tcPr>
            <w:tcW w:w="637" w:type="pct"/>
            <w:vAlign w:val="center"/>
          </w:tcPr>
          <w:p w14:paraId="7D1478C0">
            <w:pPr>
              <w:pStyle w:val="58"/>
              <w:keepNext w:val="0"/>
              <w:keepLines w:val="0"/>
              <w:pageBreakBefore w:val="0"/>
              <w:widowControl w:val="0"/>
              <w:kinsoku/>
              <w:wordWrap/>
              <w:overflowPunct/>
              <w:topLinePunct w:val="0"/>
              <w:autoSpaceDE/>
              <w:autoSpaceDN/>
              <w:bidi w:val="0"/>
              <w:adjustRightInd/>
              <w:snapToGrid/>
              <w:textAlignment w:val="auto"/>
              <w:rPr>
                <w:rFonts w:hint="default"/>
                <w:lang w:eastAsia="zh-CN"/>
              </w:rPr>
            </w:pPr>
            <w:r>
              <w:rPr>
                <w:rFonts w:hint="default"/>
                <w:lang w:eastAsia="zh-CN"/>
              </w:rPr>
              <w:t>距离/m</w:t>
            </w:r>
          </w:p>
        </w:tc>
        <w:tc>
          <w:tcPr>
            <w:tcW w:w="482" w:type="pct"/>
            <w:vAlign w:val="center"/>
          </w:tcPr>
          <w:p w14:paraId="3094E701">
            <w:pPr>
              <w:pStyle w:val="58"/>
              <w:keepNext w:val="0"/>
              <w:keepLines w:val="0"/>
              <w:pageBreakBefore w:val="0"/>
              <w:widowControl w:val="0"/>
              <w:kinsoku/>
              <w:wordWrap/>
              <w:overflowPunct/>
              <w:topLinePunct w:val="0"/>
              <w:autoSpaceDE/>
              <w:autoSpaceDN/>
              <w:bidi w:val="0"/>
              <w:adjustRightInd/>
              <w:snapToGrid/>
              <w:textAlignment w:val="auto"/>
              <w:rPr>
                <w:rFonts w:hint="default"/>
                <w:lang w:eastAsia="zh-CN"/>
              </w:rPr>
            </w:pPr>
            <w:r>
              <w:rPr>
                <w:rFonts w:hint="default"/>
                <w:lang w:eastAsia="zh-CN"/>
              </w:rPr>
              <w:t>属性</w:t>
            </w:r>
          </w:p>
        </w:tc>
        <w:tc>
          <w:tcPr>
            <w:tcW w:w="695" w:type="pct"/>
            <w:vAlign w:val="center"/>
          </w:tcPr>
          <w:p w14:paraId="72A396E4">
            <w:pPr>
              <w:pStyle w:val="58"/>
              <w:keepNext w:val="0"/>
              <w:keepLines w:val="0"/>
              <w:pageBreakBefore w:val="0"/>
              <w:widowControl w:val="0"/>
              <w:kinsoku/>
              <w:wordWrap/>
              <w:overflowPunct/>
              <w:topLinePunct w:val="0"/>
              <w:autoSpaceDE/>
              <w:autoSpaceDN/>
              <w:bidi w:val="0"/>
              <w:adjustRightInd/>
              <w:snapToGrid/>
              <w:textAlignment w:val="auto"/>
              <w:rPr>
                <w:rFonts w:hint="default"/>
                <w:lang w:eastAsia="zh-CN"/>
              </w:rPr>
            </w:pPr>
            <w:r>
              <w:rPr>
                <w:rFonts w:hint="default"/>
                <w:lang w:eastAsia="zh-CN"/>
              </w:rPr>
              <w:t>人口数</w:t>
            </w:r>
          </w:p>
        </w:tc>
      </w:tr>
      <w:tr w14:paraId="7DA364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25" w:hRule="atLeast"/>
        </w:trPr>
        <w:tc>
          <w:tcPr>
            <w:tcW w:w="363" w:type="pct"/>
            <w:vMerge w:val="continue"/>
            <w:vAlign w:val="center"/>
          </w:tcPr>
          <w:p w14:paraId="30F8606B">
            <w:pPr>
              <w:pStyle w:val="58"/>
              <w:keepNext w:val="0"/>
              <w:keepLines w:val="0"/>
              <w:pageBreakBefore w:val="0"/>
              <w:widowControl w:val="0"/>
              <w:kinsoku/>
              <w:wordWrap/>
              <w:overflowPunct/>
              <w:topLinePunct w:val="0"/>
              <w:autoSpaceDE/>
              <w:autoSpaceDN/>
              <w:bidi w:val="0"/>
              <w:adjustRightInd/>
              <w:snapToGrid/>
              <w:textAlignment w:val="auto"/>
              <w:rPr>
                <w:rFonts w:hint="default"/>
                <w:lang w:eastAsia="zh-CN"/>
              </w:rPr>
            </w:pPr>
          </w:p>
        </w:tc>
        <w:tc>
          <w:tcPr>
            <w:tcW w:w="496" w:type="pct"/>
            <w:vAlign w:val="center"/>
          </w:tcPr>
          <w:p w14:paraId="602D64C4">
            <w:pPr>
              <w:pStyle w:val="58"/>
              <w:keepNext w:val="0"/>
              <w:keepLines w:val="0"/>
              <w:pageBreakBefore w:val="0"/>
              <w:widowControl w:val="0"/>
              <w:kinsoku/>
              <w:wordWrap/>
              <w:overflowPunct/>
              <w:topLinePunct w:val="0"/>
              <w:autoSpaceDE/>
              <w:autoSpaceDN/>
              <w:bidi w:val="0"/>
              <w:adjustRightInd/>
              <w:snapToGrid/>
              <w:textAlignment w:val="auto"/>
              <w:rPr>
                <w:rFonts w:hint="default"/>
                <w:lang w:eastAsia="zh-CN"/>
              </w:rPr>
            </w:pPr>
            <w:r>
              <w:rPr>
                <w:rFonts w:hint="default"/>
                <w:lang w:eastAsia="zh-CN"/>
              </w:rPr>
              <w:t>1</w:t>
            </w:r>
          </w:p>
        </w:tc>
        <w:tc>
          <w:tcPr>
            <w:tcW w:w="1597" w:type="pct"/>
            <w:vAlign w:val="center"/>
          </w:tcPr>
          <w:p w14:paraId="67CC21E5">
            <w:pPr>
              <w:pStyle w:val="58"/>
              <w:keepNext w:val="0"/>
              <w:keepLines w:val="0"/>
              <w:pageBreakBefore w:val="0"/>
              <w:widowControl w:val="0"/>
              <w:kinsoku/>
              <w:wordWrap/>
              <w:overflowPunct/>
              <w:topLinePunct w:val="0"/>
              <w:autoSpaceDE/>
              <w:autoSpaceDN/>
              <w:bidi w:val="0"/>
              <w:adjustRightInd/>
              <w:snapToGrid/>
              <w:textAlignment w:val="auto"/>
              <w:rPr>
                <w:rFonts w:hint="default"/>
                <w:lang w:eastAsia="zh-CN"/>
              </w:rPr>
            </w:pPr>
            <w:r>
              <w:rPr>
                <w:rFonts w:hint="default"/>
                <w:lang w:eastAsia="zh-CN"/>
              </w:rPr>
              <w:t>唐山牧正饲料</w:t>
            </w:r>
          </w:p>
        </w:tc>
        <w:tc>
          <w:tcPr>
            <w:tcW w:w="727" w:type="pct"/>
            <w:vAlign w:val="center"/>
          </w:tcPr>
          <w:p w14:paraId="7C85DCF1">
            <w:pPr>
              <w:pStyle w:val="58"/>
              <w:keepNext w:val="0"/>
              <w:keepLines w:val="0"/>
              <w:pageBreakBefore w:val="0"/>
              <w:widowControl w:val="0"/>
              <w:kinsoku/>
              <w:wordWrap/>
              <w:overflowPunct/>
              <w:topLinePunct w:val="0"/>
              <w:autoSpaceDE/>
              <w:autoSpaceDN/>
              <w:bidi w:val="0"/>
              <w:adjustRightInd/>
              <w:snapToGrid/>
              <w:textAlignment w:val="auto"/>
              <w:rPr>
                <w:rFonts w:hint="eastAsia"/>
                <w:lang w:eastAsia="zh-CN"/>
              </w:rPr>
            </w:pPr>
            <w:r>
              <w:rPr>
                <w:rFonts w:hint="eastAsia"/>
                <w:lang w:val="en-US" w:eastAsia="zh-CN"/>
              </w:rPr>
              <w:t>东南</w:t>
            </w:r>
          </w:p>
        </w:tc>
        <w:tc>
          <w:tcPr>
            <w:tcW w:w="637" w:type="pct"/>
            <w:vAlign w:val="center"/>
          </w:tcPr>
          <w:p w14:paraId="2D56F945">
            <w:pPr>
              <w:pStyle w:val="58"/>
              <w:keepNext w:val="0"/>
              <w:keepLines w:val="0"/>
              <w:pageBreakBefore w:val="0"/>
              <w:widowControl w:val="0"/>
              <w:kinsoku/>
              <w:wordWrap/>
              <w:overflowPunct/>
              <w:topLinePunct w:val="0"/>
              <w:autoSpaceDE/>
              <w:autoSpaceDN/>
              <w:bidi w:val="0"/>
              <w:adjustRightInd/>
              <w:snapToGrid/>
              <w:textAlignment w:val="auto"/>
              <w:rPr>
                <w:rFonts w:hint="default"/>
                <w:lang w:val="en-US" w:eastAsia="zh-CN"/>
              </w:rPr>
            </w:pPr>
            <w:r>
              <w:rPr>
                <w:rFonts w:hint="eastAsia"/>
                <w:lang w:val="en-US" w:eastAsia="zh-CN"/>
              </w:rPr>
              <w:t>328</w:t>
            </w:r>
          </w:p>
        </w:tc>
        <w:tc>
          <w:tcPr>
            <w:tcW w:w="482" w:type="pct"/>
            <w:vMerge w:val="restart"/>
            <w:vAlign w:val="center"/>
          </w:tcPr>
          <w:p w14:paraId="3D7DBEAE">
            <w:pPr>
              <w:pStyle w:val="58"/>
              <w:keepNext w:val="0"/>
              <w:keepLines w:val="0"/>
              <w:pageBreakBefore w:val="0"/>
              <w:widowControl w:val="0"/>
              <w:kinsoku/>
              <w:wordWrap/>
              <w:overflowPunct/>
              <w:topLinePunct w:val="0"/>
              <w:autoSpaceDE/>
              <w:autoSpaceDN/>
              <w:bidi w:val="0"/>
              <w:adjustRightInd/>
              <w:snapToGrid/>
              <w:textAlignment w:val="auto"/>
              <w:rPr>
                <w:rFonts w:hint="eastAsia"/>
                <w:lang w:eastAsia="zh-CN"/>
              </w:rPr>
            </w:pPr>
            <w:r>
              <w:rPr>
                <w:rFonts w:hint="eastAsia"/>
                <w:lang w:val="en-US" w:eastAsia="zh-CN"/>
              </w:rPr>
              <w:t>企业</w:t>
            </w:r>
          </w:p>
        </w:tc>
        <w:tc>
          <w:tcPr>
            <w:tcW w:w="695" w:type="pct"/>
            <w:vAlign w:val="center"/>
          </w:tcPr>
          <w:p w14:paraId="5F5E68A7">
            <w:pPr>
              <w:pStyle w:val="58"/>
              <w:keepNext w:val="0"/>
              <w:keepLines w:val="0"/>
              <w:pageBreakBefore w:val="0"/>
              <w:widowControl w:val="0"/>
              <w:kinsoku/>
              <w:wordWrap/>
              <w:overflowPunct/>
              <w:topLinePunct w:val="0"/>
              <w:autoSpaceDE/>
              <w:autoSpaceDN/>
              <w:bidi w:val="0"/>
              <w:adjustRightInd/>
              <w:snapToGrid/>
              <w:textAlignment w:val="auto"/>
              <w:rPr>
                <w:rFonts w:hint="default"/>
                <w:lang w:eastAsia="zh-CN"/>
              </w:rPr>
            </w:pPr>
            <w:r>
              <w:rPr>
                <w:rFonts w:hint="default"/>
                <w:lang w:eastAsia="zh-CN"/>
              </w:rPr>
              <w:t>46</w:t>
            </w:r>
          </w:p>
        </w:tc>
      </w:tr>
      <w:tr w14:paraId="4C0DD24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34" w:hRule="atLeast"/>
        </w:trPr>
        <w:tc>
          <w:tcPr>
            <w:tcW w:w="363" w:type="pct"/>
            <w:vMerge w:val="continue"/>
            <w:vAlign w:val="center"/>
          </w:tcPr>
          <w:p w14:paraId="1577E1A9">
            <w:pPr>
              <w:pStyle w:val="58"/>
              <w:keepNext w:val="0"/>
              <w:keepLines w:val="0"/>
              <w:pageBreakBefore w:val="0"/>
              <w:widowControl w:val="0"/>
              <w:kinsoku/>
              <w:wordWrap/>
              <w:overflowPunct/>
              <w:topLinePunct w:val="0"/>
              <w:autoSpaceDE/>
              <w:autoSpaceDN/>
              <w:bidi w:val="0"/>
              <w:adjustRightInd/>
              <w:snapToGrid/>
              <w:textAlignment w:val="auto"/>
              <w:rPr>
                <w:rFonts w:hint="default"/>
                <w:lang w:eastAsia="zh-CN"/>
              </w:rPr>
            </w:pPr>
          </w:p>
        </w:tc>
        <w:tc>
          <w:tcPr>
            <w:tcW w:w="496" w:type="pct"/>
            <w:vAlign w:val="center"/>
          </w:tcPr>
          <w:p w14:paraId="5D6B6F79">
            <w:pPr>
              <w:pStyle w:val="58"/>
              <w:keepNext w:val="0"/>
              <w:keepLines w:val="0"/>
              <w:pageBreakBefore w:val="0"/>
              <w:widowControl w:val="0"/>
              <w:kinsoku/>
              <w:wordWrap/>
              <w:overflowPunct/>
              <w:topLinePunct w:val="0"/>
              <w:autoSpaceDE/>
              <w:autoSpaceDN/>
              <w:bidi w:val="0"/>
              <w:adjustRightInd/>
              <w:snapToGrid/>
              <w:textAlignment w:val="auto"/>
              <w:rPr>
                <w:rFonts w:hint="eastAsia"/>
                <w:lang w:eastAsia="zh-CN"/>
              </w:rPr>
            </w:pPr>
            <w:r>
              <w:rPr>
                <w:rFonts w:hint="eastAsia"/>
                <w:lang w:val="en-US" w:eastAsia="zh-CN"/>
              </w:rPr>
              <w:t>2</w:t>
            </w:r>
          </w:p>
        </w:tc>
        <w:tc>
          <w:tcPr>
            <w:tcW w:w="1597" w:type="pct"/>
            <w:vAlign w:val="center"/>
          </w:tcPr>
          <w:p w14:paraId="1179C423">
            <w:pPr>
              <w:pStyle w:val="58"/>
              <w:keepNext w:val="0"/>
              <w:keepLines w:val="0"/>
              <w:pageBreakBefore w:val="0"/>
              <w:widowControl w:val="0"/>
              <w:kinsoku/>
              <w:wordWrap/>
              <w:overflowPunct/>
              <w:topLinePunct w:val="0"/>
              <w:autoSpaceDE/>
              <w:autoSpaceDN/>
              <w:bidi w:val="0"/>
              <w:adjustRightInd/>
              <w:snapToGrid/>
              <w:textAlignment w:val="auto"/>
              <w:rPr>
                <w:rFonts w:hint="default"/>
                <w:lang w:eastAsia="zh-CN"/>
              </w:rPr>
            </w:pPr>
            <w:r>
              <w:rPr>
                <w:rFonts w:hint="default"/>
                <w:lang w:eastAsia="zh-CN"/>
              </w:rPr>
              <w:t>金木美佳（唐山）科技有限公司</w:t>
            </w:r>
          </w:p>
        </w:tc>
        <w:tc>
          <w:tcPr>
            <w:tcW w:w="727" w:type="pct"/>
            <w:vAlign w:val="center"/>
          </w:tcPr>
          <w:p w14:paraId="7352ADE2">
            <w:pPr>
              <w:pStyle w:val="58"/>
              <w:keepNext w:val="0"/>
              <w:keepLines w:val="0"/>
              <w:pageBreakBefore w:val="0"/>
              <w:widowControl w:val="0"/>
              <w:kinsoku/>
              <w:wordWrap/>
              <w:overflowPunct/>
              <w:topLinePunct w:val="0"/>
              <w:autoSpaceDE/>
              <w:autoSpaceDN/>
              <w:bidi w:val="0"/>
              <w:adjustRightInd/>
              <w:snapToGrid/>
              <w:textAlignment w:val="auto"/>
              <w:rPr>
                <w:rFonts w:hint="eastAsia"/>
                <w:lang w:eastAsia="zh-CN"/>
              </w:rPr>
            </w:pPr>
            <w:r>
              <w:rPr>
                <w:rFonts w:hint="eastAsia"/>
                <w:lang w:val="en-US" w:eastAsia="zh-CN"/>
              </w:rPr>
              <w:t>东</w:t>
            </w:r>
          </w:p>
        </w:tc>
        <w:tc>
          <w:tcPr>
            <w:tcW w:w="637" w:type="pct"/>
            <w:vAlign w:val="center"/>
          </w:tcPr>
          <w:p w14:paraId="51FFB12F">
            <w:pPr>
              <w:pStyle w:val="58"/>
              <w:keepNext w:val="0"/>
              <w:keepLines w:val="0"/>
              <w:pageBreakBefore w:val="0"/>
              <w:widowControl w:val="0"/>
              <w:kinsoku/>
              <w:wordWrap/>
              <w:overflowPunct/>
              <w:topLinePunct w:val="0"/>
              <w:autoSpaceDE/>
              <w:autoSpaceDN/>
              <w:bidi w:val="0"/>
              <w:adjustRightInd/>
              <w:snapToGrid/>
              <w:textAlignment w:val="auto"/>
              <w:rPr>
                <w:rFonts w:hint="default"/>
                <w:lang w:val="en-US" w:eastAsia="zh-CN"/>
              </w:rPr>
            </w:pPr>
            <w:r>
              <w:rPr>
                <w:rFonts w:hint="eastAsia"/>
                <w:lang w:val="en-US" w:eastAsia="zh-CN"/>
              </w:rPr>
              <w:t>11</w:t>
            </w:r>
          </w:p>
        </w:tc>
        <w:tc>
          <w:tcPr>
            <w:tcW w:w="482" w:type="pct"/>
            <w:vMerge w:val="continue"/>
            <w:vAlign w:val="center"/>
          </w:tcPr>
          <w:p w14:paraId="1086F837">
            <w:pPr>
              <w:pStyle w:val="58"/>
              <w:keepNext w:val="0"/>
              <w:keepLines w:val="0"/>
              <w:pageBreakBefore w:val="0"/>
              <w:widowControl w:val="0"/>
              <w:kinsoku/>
              <w:wordWrap/>
              <w:overflowPunct/>
              <w:topLinePunct w:val="0"/>
              <w:autoSpaceDE/>
              <w:autoSpaceDN/>
              <w:bidi w:val="0"/>
              <w:adjustRightInd/>
              <w:snapToGrid/>
              <w:textAlignment w:val="auto"/>
              <w:rPr>
                <w:rFonts w:hint="default"/>
                <w:lang w:eastAsia="zh-CN"/>
              </w:rPr>
            </w:pPr>
          </w:p>
        </w:tc>
        <w:tc>
          <w:tcPr>
            <w:tcW w:w="695" w:type="pct"/>
            <w:vAlign w:val="center"/>
          </w:tcPr>
          <w:p w14:paraId="2CD5583F">
            <w:pPr>
              <w:pStyle w:val="58"/>
              <w:keepNext w:val="0"/>
              <w:keepLines w:val="0"/>
              <w:pageBreakBefore w:val="0"/>
              <w:widowControl w:val="0"/>
              <w:kinsoku/>
              <w:wordWrap/>
              <w:overflowPunct/>
              <w:topLinePunct w:val="0"/>
              <w:autoSpaceDE/>
              <w:autoSpaceDN/>
              <w:bidi w:val="0"/>
              <w:adjustRightInd/>
              <w:snapToGrid/>
              <w:textAlignment w:val="auto"/>
              <w:rPr>
                <w:rFonts w:hint="default"/>
                <w:lang w:val="en-US" w:eastAsia="zh-CN"/>
              </w:rPr>
            </w:pPr>
            <w:r>
              <w:rPr>
                <w:rFonts w:hint="eastAsia"/>
                <w:lang w:val="en-US" w:eastAsia="zh-CN"/>
              </w:rPr>
              <w:t>380</w:t>
            </w:r>
          </w:p>
        </w:tc>
      </w:tr>
      <w:tr w14:paraId="116A47C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25" w:hRule="atLeast"/>
        </w:trPr>
        <w:tc>
          <w:tcPr>
            <w:tcW w:w="363" w:type="pct"/>
            <w:vMerge w:val="continue"/>
            <w:vAlign w:val="center"/>
          </w:tcPr>
          <w:p w14:paraId="0DEC6B84">
            <w:pPr>
              <w:pStyle w:val="58"/>
              <w:keepNext w:val="0"/>
              <w:keepLines w:val="0"/>
              <w:pageBreakBefore w:val="0"/>
              <w:widowControl w:val="0"/>
              <w:kinsoku/>
              <w:wordWrap/>
              <w:overflowPunct/>
              <w:topLinePunct w:val="0"/>
              <w:autoSpaceDE/>
              <w:autoSpaceDN/>
              <w:bidi w:val="0"/>
              <w:adjustRightInd/>
              <w:snapToGrid/>
              <w:textAlignment w:val="auto"/>
              <w:rPr>
                <w:rFonts w:hint="default"/>
                <w:lang w:eastAsia="zh-CN"/>
              </w:rPr>
            </w:pPr>
          </w:p>
        </w:tc>
        <w:tc>
          <w:tcPr>
            <w:tcW w:w="496" w:type="pct"/>
            <w:vAlign w:val="center"/>
          </w:tcPr>
          <w:p w14:paraId="744A497D">
            <w:pPr>
              <w:pStyle w:val="58"/>
              <w:keepNext w:val="0"/>
              <w:keepLines w:val="0"/>
              <w:pageBreakBefore w:val="0"/>
              <w:widowControl w:val="0"/>
              <w:kinsoku/>
              <w:wordWrap/>
              <w:overflowPunct/>
              <w:topLinePunct w:val="0"/>
              <w:autoSpaceDE/>
              <w:autoSpaceDN/>
              <w:bidi w:val="0"/>
              <w:adjustRightInd/>
              <w:snapToGrid/>
              <w:textAlignment w:val="auto"/>
              <w:rPr>
                <w:rFonts w:hint="default"/>
                <w:highlight w:val="none"/>
                <w:lang w:val="en-US" w:eastAsia="zh-CN"/>
              </w:rPr>
            </w:pPr>
            <w:r>
              <w:rPr>
                <w:rFonts w:hint="eastAsia"/>
                <w:highlight w:val="none"/>
                <w:lang w:val="en-US" w:eastAsia="zh-CN"/>
              </w:rPr>
              <w:t>3</w:t>
            </w:r>
          </w:p>
        </w:tc>
        <w:tc>
          <w:tcPr>
            <w:tcW w:w="1597" w:type="pct"/>
            <w:vAlign w:val="center"/>
          </w:tcPr>
          <w:p w14:paraId="2F8E9BE5">
            <w:pPr>
              <w:pStyle w:val="58"/>
              <w:keepNext w:val="0"/>
              <w:keepLines w:val="0"/>
              <w:pageBreakBefore w:val="0"/>
              <w:widowControl w:val="0"/>
              <w:kinsoku/>
              <w:wordWrap/>
              <w:overflowPunct/>
              <w:topLinePunct w:val="0"/>
              <w:autoSpaceDE/>
              <w:autoSpaceDN/>
              <w:bidi w:val="0"/>
              <w:adjustRightInd/>
              <w:snapToGrid/>
              <w:textAlignment w:val="auto"/>
              <w:rPr>
                <w:rFonts w:hint="default"/>
                <w:highlight w:val="none"/>
                <w:lang w:val="en-US" w:eastAsia="zh-CN"/>
              </w:rPr>
            </w:pPr>
            <w:r>
              <w:rPr>
                <w:rFonts w:hint="default" w:ascii="Times New Roman" w:hAnsi="Times New Roman" w:eastAsia="宋体" w:cs="Times New Roman"/>
                <w:color w:val="auto"/>
                <w:sz w:val="21"/>
                <w:szCs w:val="21"/>
                <w:highlight w:val="none"/>
                <w:lang w:eastAsia="zh-CN"/>
              </w:rPr>
              <w:t>唐山市海鹭家具有限公司</w:t>
            </w:r>
          </w:p>
        </w:tc>
        <w:tc>
          <w:tcPr>
            <w:tcW w:w="727" w:type="pct"/>
            <w:vAlign w:val="center"/>
          </w:tcPr>
          <w:p w14:paraId="5EE70F0E">
            <w:pPr>
              <w:pStyle w:val="58"/>
              <w:keepNext w:val="0"/>
              <w:keepLines w:val="0"/>
              <w:pageBreakBefore w:val="0"/>
              <w:widowControl w:val="0"/>
              <w:kinsoku/>
              <w:wordWrap/>
              <w:overflowPunct/>
              <w:topLinePunct w:val="0"/>
              <w:autoSpaceDE/>
              <w:autoSpaceDN/>
              <w:bidi w:val="0"/>
              <w:adjustRightInd/>
              <w:snapToGrid/>
              <w:textAlignment w:val="auto"/>
              <w:rPr>
                <w:rFonts w:hint="default"/>
                <w:highlight w:val="none"/>
                <w:lang w:val="en-US" w:eastAsia="zh-CN"/>
              </w:rPr>
            </w:pPr>
            <w:r>
              <w:rPr>
                <w:rFonts w:hint="eastAsia"/>
                <w:highlight w:val="none"/>
                <w:lang w:val="en-US" w:eastAsia="zh-CN"/>
              </w:rPr>
              <w:t>南</w:t>
            </w:r>
          </w:p>
        </w:tc>
        <w:tc>
          <w:tcPr>
            <w:tcW w:w="637" w:type="pct"/>
            <w:vAlign w:val="center"/>
          </w:tcPr>
          <w:p w14:paraId="3AE062B4">
            <w:pPr>
              <w:pStyle w:val="58"/>
              <w:keepNext w:val="0"/>
              <w:keepLines w:val="0"/>
              <w:pageBreakBefore w:val="0"/>
              <w:widowControl w:val="0"/>
              <w:kinsoku/>
              <w:wordWrap/>
              <w:overflowPunct/>
              <w:topLinePunct w:val="0"/>
              <w:autoSpaceDE/>
              <w:autoSpaceDN/>
              <w:bidi w:val="0"/>
              <w:adjustRightInd/>
              <w:snapToGrid/>
              <w:textAlignment w:val="auto"/>
              <w:rPr>
                <w:rFonts w:hint="default"/>
                <w:highlight w:val="none"/>
                <w:lang w:val="en-US" w:eastAsia="zh-CN"/>
              </w:rPr>
            </w:pPr>
            <w:r>
              <w:rPr>
                <w:rFonts w:hint="eastAsia"/>
                <w:highlight w:val="none"/>
                <w:lang w:val="en-US" w:eastAsia="zh-CN"/>
              </w:rPr>
              <w:t>紧邻</w:t>
            </w:r>
          </w:p>
        </w:tc>
        <w:tc>
          <w:tcPr>
            <w:tcW w:w="482" w:type="pct"/>
            <w:vMerge w:val="continue"/>
            <w:vAlign w:val="center"/>
          </w:tcPr>
          <w:p w14:paraId="4F3504B7">
            <w:pPr>
              <w:pStyle w:val="58"/>
              <w:keepNext w:val="0"/>
              <w:keepLines w:val="0"/>
              <w:pageBreakBefore w:val="0"/>
              <w:widowControl w:val="0"/>
              <w:kinsoku/>
              <w:wordWrap/>
              <w:overflowPunct/>
              <w:topLinePunct w:val="0"/>
              <w:autoSpaceDE/>
              <w:autoSpaceDN/>
              <w:bidi w:val="0"/>
              <w:adjustRightInd/>
              <w:snapToGrid/>
              <w:textAlignment w:val="auto"/>
              <w:rPr>
                <w:rFonts w:hint="default"/>
                <w:highlight w:val="none"/>
                <w:lang w:eastAsia="zh-CN"/>
              </w:rPr>
            </w:pPr>
          </w:p>
        </w:tc>
        <w:tc>
          <w:tcPr>
            <w:tcW w:w="695" w:type="pct"/>
            <w:vAlign w:val="center"/>
          </w:tcPr>
          <w:p w14:paraId="322EA7D8">
            <w:pPr>
              <w:pStyle w:val="58"/>
              <w:keepNext w:val="0"/>
              <w:keepLines w:val="0"/>
              <w:pageBreakBefore w:val="0"/>
              <w:widowControl w:val="0"/>
              <w:kinsoku/>
              <w:wordWrap/>
              <w:overflowPunct/>
              <w:topLinePunct w:val="0"/>
              <w:autoSpaceDE/>
              <w:autoSpaceDN/>
              <w:bidi w:val="0"/>
              <w:adjustRightInd/>
              <w:snapToGrid/>
              <w:textAlignment w:val="auto"/>
              <w:rPr>
                <w:rFonts w:hint="default"/>
                <w:highlight w:val="none"/>
                <w:lang w:val="en-US" w:eastAsia="zh-CN"/>
              </w:rPr>
            </w:pPr>
            <w:r>
              <w:rPr>
                <w:rFonts w:hint="eastAsia"/>
                <w:highlight w:val="none"/>
                <w:lang w:val="en-US" w:eastAsia="zh-CN"/>
              </w:rPr>
              <w:t>50</w:t>
            </w:r>
          </w:p>
        </w:tc>
      </w:tr>
      <w:tr w14:paraId="21E14DF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25" w:hRule="atLeast"/>
        </w:trPr>
        <w:tc>
          <w:tcPr>
            <w:tcW w:w="363" w:type="pct"/>
            <w:vAlign w:val="center"/>
          </w:tcPr>
          <w:p w14:paraId="38A21707">
            <w:pPr>
              <w:pStyle w:val="58"/>
              <w:keepNext w:val="0"/>
              <w:keepLines w:val="0"/>
              <w:pageBreakBefore w:val="0"/>
              <w:widowControl w:val="0"/>
              <w:kinsoku/>
              <w:wordWrap/>
              <w:overflowPunct/>
              <w:topLinePunct w:val="0"/>
              <w:autoSpaceDE/>
              <w:autoSpaceDN/>
              <w:bidi w:val="0"/>
              <w:adjustRightInd/>
              <w:snapToGrid/>
              <w:textAlignment w:val="auto"/>
              <w:rPr>
                <w:rFonts w:hint="eastAsia"/>
                <w:lang w:val="en-US" w:eastAsia="zh-CN"/>
              </w:rPr>
            </w:pPr>
            <w:r>
              <w:rPr>
                <w:rFonts w:hint="eastAsia"/>
                <w:lang w:val="en-US" w:eastAsia="zh-CN"/>
              </w:rPr>
              <w:t>地表水</w:t>
            </w:r>
          </w:p>
        </w:tc>
        <w:tc>
          <w:tcPr>
            <w:tcW w:w="496" w:type="pct"/>
            <w:vAlign w:val="center"/>
          </w:tcPr>
          <w:p w14:paraId="0814FEE9">
            <w:pPr>
              <w:pStyle w:val="58"/>
              <w:keepNext w:val="0"/>
              <w:keepLines w:val="0"/>
              <w:pageBreakBefore w:val="0"/>
              <w:widowControl w:val="0"/>
              <w:kinsoku/>
              <w:wordWrap/>
              <w:overflowPunct/>
              <w:topLinePunct w:val="0"/>
              <w:autoSpaceDE/>
              <w:autoSpaceDN/>
              <w:bidi w:val="0"/>
              <w:adjustRightInd/>
              <w:snapToGrid/>
              <w:textAlignment w:val="auto"/>
              <w:rPr>
                <w:rFonts w:hint="eastAsia"/>
                <w:lang w:val="en-US" w:eastAsia="zh-CN"/>
              </w:rPr>
            </w:pPr>
            <w:r>
              <w:rPr>
                <w:rFonts w:hint="eastAsia"/>
                <w:lang w:val="en-US" w:eastAsia="zh-CN"/>
              </w:rPr>
              <w:t>三排干渠</w:t>
            </w:r>
          </w:p>
        </w:tc>
        <w:tc>
          <w:tcPr>
            <w:tcW w:w="2962" w:type="pct"/>
            <w:gridSpan w:val="3"/>
            <w:vAlign w:val="center"/>
          </w:tcPr>
          <w:p w14:paraId="0842705B">
            <w:pPr>
              <w:pStyle w:val="58"/>
              <w:keepNext w:val="0"/>
              <w:keepLines w:val="0"/>
              <w:pageBreakBefore w:val="0"/>
              <w:widowControl w:val="0"/>
              <w:kinsoku/>
              <w:wordWrap/>
              <w:overflowPunct/>
              <w:topLinePunct w:val="0"/>
              <w:autoSpaceDE/>
              <w:autoSpaceDN/>
              <w:bidi w:val="0"/>
              <w:adjustRightInd/>
              <w:snapToGrid/>
              <w:textAlignment w:val="auto"/>
              <w:rPr>
                <w:rFonts w:hint="default"/>
                <w:lang w:eastAsia="zh-CN"/>
              </w:rPr>
            </w:pPr>
            <w:r>
              <w:rPr>
                <w:rFonts w:hint="default"/>
                <w:lang w:eastAsia="zh-CN"/>
              </w:rPr>
              <w:t>园区西侧紧邻</w:t>
            </w:r>
          </w:p>
        </w:tc>
        <w:tc>
          <w:tcPr>
            <w:tcW w:w="1178" w:type="pct"/>
            <w:gridSpan w:val="2"/>
            <w:vAlign w:val="center"/>
          </w:tcPr>
          <w:p w14:paraId="06F09E0D">
            <w:pPr>
              <w:pStyle w:val="58"/>
              <w:keepNext w:val="0"/>
              <w:keepLines w:val="0"/>
              <w:pageBreakBefore w:val="0"/>
              <w:widowControl w:val="0"/>
              <w:kinsoku/>
              <w:wordWrap/>
              <w:overflowPunct/>
              <w:topLinePunct w:val="0"/>
              <w:autoSpaceDE/>
              <w:autoSpaceDN/>
              <w:bidi w:val="0"/>
              <w:adjustRightInd/>
              <w:snapToGrid/>
              <w:textAlignment w:val="auto"/>
              <w:rPr>
                <w:rFonts w:hint="default"/>
                <w:lang w:eastAsia="zh-CN"/>
              </w:rPr>
            </w:pPr>
            <w:r>
              <w:rPr>
                <w:rFonts w:hint="default"/>
                <w:lang w:eastAsia="zh-CN"/>
              </w:rPr>
              <w:t>地表水Ⅴ类</w:t>
            </w:r>
          </w:p>
        </w:tc>
      </w:tr>
      <w:tr w14:paraId="312877D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25" w:hRule="atLeast"/>
        </w:trPr>
        <w:tc>
          <w:tcPr>
            <w:tcW w:w="363" w:type="pct"/>
            <w:vMerge w:val="restart"/>
            <w:vAlign w:val="center"/>
          </w:tcPr>
          <w:p w14:paraId="6811F842">
            <w:pPr>
              <w:pStyle w:val="58"/>
              <w:keepNext w:val="0"/>
              <w:keepLines w:val="0"/>
              <w:pageBreakBefore w:val="0"/>
              <w:widowControl w:val="0"/>
              <w:kinsoku/>
              <w:wordWrap/>
              <w:overflowPunct/>
              <w:topLinePunct w:val="0"/>
              <w:autoSpaceDE/>
              <w:autoSpaceDN/>
              <w:bidi w:val="0"/>
              <w:adjustRightInd/>
              <w:snapToGrid/>
              <w:textAlignment w:val="auto"/>
              <w:rPr>
                <w:rFonts w:hint="eastAsia"/>
                <w:lang w:val="en-US" w:eastAsia="zh-CN"/>
              </w:rPr>
            </w:pPr>
            <w:r>
              <w:rPr>
                <w:rFonts w:hint="eastAsia"/>
                <w:lang w:val="en-US" w:eastAsia="zh-CN"/>
              </w:rPr>
              <w:t>地下水</w:t>
            </w:r>
          </w:p>
        </w:tc>
        <w:tc>
          <w:tcPr>
            <w:tcW w:w="496" w:type="pct"/>
            <w:vAlign w:val="center"/>
          </w:tcPr>
          <w:p w14:paraId="58868800">
            <w:pPr>
              <w:pStyle w:val="58"/>
              <w:keepNext w:val="0"/>
              <w:keepLines w:val="0"/>
              <w:pageBreakBefore w:val="0"/>
              <w:widowControl w:val="0"/>
              <w:kinsoku/>
              <w:wordWrap/>
              <w:overflowPunct/>
              <w:topLinePunct w:val="0"/>
              <w:autoSpaceDE/>
              <w:autoSpaceDN/>
              <w:bidi w:val="0"/>
              <w:adjustRightInd/>
              <w:snapToGrid/>
              <w:textAlignment w:val="auto"/>
              <w:rPr>
                <w:rFonts w:hint="eastAsia"/>
                <w:lang w:val="en-US" w:eastAsia="zh-CN"/>
              </w:rPr>
            </w:pPr>
            <w:r>
              <w:rPr>
                <w:rFonts w:hint="eastAsia"/>
                <w:lang w:val="en-US" w:eastAsia="zh-CN"/>
              </w:rPr>
              <w:t>评价范围内潜水</w:t>
            </w:r>
          </w:p>
        </w:tc>
        <w:tc>
          <w:tcPr>
            <w:tcW w:w="1597" w:type="pct"/>
            <w:vAlign w:val="center"/>
          </w:tcPr>
          <w:p w14:paraId="38083079">
            <w:pPr>
              <w:pStyle w:val="58"/>
              <w:keepNext w:val="0"/>
              <w:keepLines w:val="0"/>
              <w:pageBreakBefore w:val="0"/>
              <w:widowControl w:val="0"/>
              <w:kinsoku/>
              <w:wordWrap/>
              <w:overflowPunct/>
              <w:topLinePunct w:val="0"/>
              <w:autoSpaceDE/>
              <w:autoSpaceDN/>
              <w:bidi w:val="0"/>
              <w:adjustRightInd/>
              <w:snapToGrid/>
              <w:textAlignment w:val="auto"/>
              <w:rPr>
                <w:rFonts w:hint="eastAsia"/>
                <w:lang w:val="en-US" w:eastAsia="zh-CN"/>
              </w:rPr>
            </w:pPr>
            <w:r>
              <w:rPr>
                <w:rFonts w:hint="eastAsia"/>
                <w:lang w:eastAsia="zh-CN"/>
              </w:rPr>
              <w:t>/</w:t>
            </w:r>
          </w:p>
        </w:tc>
        <w:tc>
          <w:tcPr>
            <w:tcW w:w="727" w:type="pct"/>
            <w:vAlign w:val="center"/>
          </w:tcPr>
          <w:p w14:paraId="428065A3">
            <w:pPr>
              <w:pStyle w:val="58"/>
              <w:keepNext w:val="0"/>
              <w:keepLines w:val="0"/>
              <w:pageBreakBefore w:val="0"/>
              <w:widowControl w:val="0"/>
              <w:kinsoku/>
              <w:wordWrap/>
              <w:overflowPunct/>
              <w:topLinePunct w:val="0"/>
              <w:autoSpaceDE/>
              <w:autoSpaceDN/>
              <w:bidi w:val="0"/>
              <w:adjustRightInd/>
              <w:snapToGrid/>
              <w:textAlignment w:val="auto"/>
              <w:rPr>
                <w:rFonts w:hint="eastAsia"/>
                <w:lang w:val="en-US" w:eastAsia="zh-CN"/>
              </w:rPr>
            </w:pPr>
            <w:r>
              <w:rPr>
                <w:rFonts w:hint="eastAsia"/>
                <w:lang w:eastAsia="zh-CN"/>
              </w:rPr>
              <w:t>/</w:t>
            </w:r>
          </w:p>
        </w:tc>
        <w:tc>
          <w:tcPr>
            <w:tcW w:w="637" w:type="pct"/>
            <w:vAlign w:val="center"/>
          </w:tcPr>
          <w:p w14:paraId="04948134">
            <w:pPr>
              <w:pStyle w:val="58"/>
              <w:keepNext w:val="0"/>
              <w:keepLines w:val="0"/>
              <w:pageBreakBefore w:val="0"/>
              <w:widowControl w:val="0"/>
              <w:kinsoku/>
              <w:wordWrap/>
              <w:overflowPunct/>
              <w:topLinePunct w:val="0"/>
              <w:autoSpaceDE/>
              <w:autoSpaceDN/>
              <w:bidi w:val="0"/>
              <w:adjustRightInd/>
              <w:snapToGrid/>
              <w:textAlignment w:val="auto"/>
              <w:rPr>
                <w:rFonts w:hint="eastAsia"/>
                <w:lang w:val="en-US" w:eastAsia="zh-CN"/>
              </w:rPr>
            </w:pPr>
            <w:r>
              <w:rPr>
                <w:rFonts w:hint="eastAsia"/>
                <w:lang w:eastAsia="zh-CN"/>
              </w:rPr>
              <w:t>/</w:t>
            </w:r>
          </w:p>
        </w:tc>
        <w:tc>
          <w:tcPr>
            <w:tcW w:w="1178" w:type="pct"/>
            <w:gridSpan w:val="2"/>
            <w:vMerge w:val="restart"/>
            <w:vAlign w:val="center"/>
          </w:tcPr>
          <w:p w14:paraId="59D9A403">
            <w:pPr>
              <w:pStyle w:val="58"/>
              <w:keepNext w:val="0"/>
              <w:keepLines w:val="0"/>
              <w:pageBreakBefore w:val="0"/>
              <w:widowControl w:val="0"/>
              <w:kinsoku/>
              <w:wordWrap/>
              <w:overflowPunct/>
              <w:topLinePunct w:val="0"/>
              <w:autoSpaceDE/>
              <w:autoSpaceDN/>
              <w:bidi w:val="0"/>
              <w:adjustRightInd/>
              <w:snapToGrid/>
              <w:textAlignment w:val="auto"/>
              <w:rPr>
                <w:rFonts w:hint="default"/>
                <w:lang w:val="en-US" w:eastAsia="zh-CN"/>
              </w:rPr>
            </w:pPr>
            <w:r>
              <w:rPr>
                <w:rFonts w:hint="default"/>
                <w:lang w:val="en-US" w:eastAsia="zh-CN"/>
              </w:rPr>
              <w:t>地下水Ⅲ类</w:t>
            </w:r>
          </w:p>
        </w:tc>
      </w:tr>
      <w:tr w14:paraId="785E15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25" w:hRule="atLeast"/>
        </w:trPr>
        <w:tc>
          <w:tcPr>
            <w:tcW w:w="363" w:type="pct"/>
            <w:vMerge w:val="continue"/>
            <w:vAlign w:val="center"/>
          </w:tcPr>
          <w:p w14:paraId="32CFEF41">
            <w:pPr>
              <w:pStyle w:val="58"/>
              <w:keepNext w:val="0"/>
              <w:keepLines w:val="0"/>
              <w:pageBreakBefore w:val="0"/>
              <w:widowControl w:val="0"/>
              <w:kinsoku/>
              <w:wordWrap/>
              <w:overflowPunct/>
              <w:topLinePunct w:val="0"/>
              <w:autoSpaceDE/>
              <w:autoSpaceDN/>
              <w:bidi w:val="0"/>
              <w:adjustRightInd/>
              <w:snapToGrid/>
              <w:textAlignment w:val="auto"/>
              <w:rPr>
                <w:rFonts w:hint="eastAsia"/>
                <w:lang w:val="en-US" w:eastAsia="zh-CN"/>
              </w:rPr>
            </w:pPr>
          </w:p>
        </w:tc>
        <w:tc>
          <w:tcPr>
            <w:tcW w:w="496" w:type="pct"/>
            <w:vAlign w:val="center"/>
          </w:tcPr>
          <w:p w14:paraId="5A306E9F">
            <w:pPr>
              <w:pStyle w:val="58"/>
              <w:keepNext w:val="0"/>
              <w:keepLines w:val="0"/>
              <w:pageBreakBefore w:val="0"/>
              <w:widowControl w:val="0"/>
              <w:kinsoku/>
              <w:wordWrap/>
              <w:overflowPunct/>
              <w:topLinePunct w:val="0"/>
              <w:autoSpaceDE/>
              <w:autoSpaceDN/>
              <w:bidi w:val="0"/>
              <w:adjustRightInd/>
              <w:snapToGrid/>
              <w:textAlignment w:val="auto"/>
              <w:rPr>
                <w:rFonts w:hint="default"/>
                <w:lang w:val="en-US" w:eastAsia="zh-CN"/>
              </w:rPr>
            </w:pPr>
            <w:r>
              <w:rPr>
                <w:rFonts w:hint="eastAsia"/>
                <w:lang w:val="en-US" w:eastAsia="zh-CN"/>
              </w:rPr>
              <w:t>园区深水井</w:t>
            </w:r>
          </w:p>
        </w:tc>
        <w:tc>
          <w:tcPr>
            <w:tcW w:w="1597" w:type="pct"/>
            <w:vAlign w:val="center"/>
          </w:tcPr>
          <w:p w14:paraId="1ACE00BA">
            <w:pPr>
              <w:pStyle w:val="58"/>
              <w:keepNext w:val="0"/>
              <w:keepLines w:val="0"/>
              <w:pageBreakBefore w:val="0"/>
              <w:widowControl w:val="0"/>
              <w:kinsoku/>
              <w:wordWrap/>
              <w:overflowPunct/>
              <w:topLinePunct w:val="0"/>
              <w:autoSpaceDE/>
              <w:autoSpaceDN/>
              <w:bidi w:val="0"/>
              <w:adjustRightInd/>
              <w:snapToGrid/>
              <w:textAlignment w:val="auto"/>
              <w:rPr>
                <w:rFonts w:hint="default"/>
                <w:lang w:val="en-US" w:eastAsia="zh-CN"/>
              </w:rPr>
            </w:pPr>
            <w:r>
              <w:rPr>
                <w:rFonts w:hint="eastAsia"/>
                <w:lang w:val="en-US" w:eastAsia="zh-CN"/>
              </w:rPr>
              <w:t>/</w:t>
            </w:r>
          </w:p>
        </w:tc>
        <w:tc>
          <w:tcPr>
            <w:tcW w:w="727" w:type="pct"/>
            <w:vAlign w:val="center"/>
          </w:tcPr>
          <w:p w14:paraId="5633104D">
            <w:pPr>
              <w:pStyle w:val="58"/>
              <w:keepNext w:val="0"/>
              <w:keepLines w:val="0"/>
              <w:pageBreakBefore w:val="0"/>
              <w:widowControl w:val="0"/>
              <w:kinsoku/>
              <w:wordWrap/>
              <w:overflowPunct/>
              <w:topLinePunct w:val="0"/>
              <w:autoSpaceDE/>
              <w:autoSpaceDN/>
              <w:bidi w:val="0"/>
              <w:adjustRightInd/>
              <w:snapToGrid/>
              <w:textAlignment w:val="auto"/>
              <w:rPr>
                <w:rFonts w:hint="eastAsia"/>
                <w:lang w:val="en-US" w:eastAsia="zh-CN"/>
              </w:rPr>
            </w:pPr>
            <w:r>
              <w:rPr>
                <w:rFonts w:hint="eastAsia"/>
                <w:lang w:val="en-US" w:eastAsia="zh-CN"/>
              </w:rPr>
              <w:t>东南</w:t>
            </w:r>
          </w:p>
        </w:tc>
        <w:tc>
          <w:tcPr>
            <w:tcW w:w="637" w:type="pct"/>
            <w:vAlign w:val="center"/>
          </w:tcPr>
          <w:p w14:paraId="425BC2F7">
            <w:pPr>
              <w:pStyle w:val="58"/>
              <w:keepNext w:val="0"/>
              <w:keepLines w:val="0"/>
              <w:pageBreakBefore w:val="0"/>
              <w:widowControl w:val="0"/>
              <w:kinsoku/>
              <w:wordWrap/>
              <w:overflowPunct/>
              <w:topLinePunct w:val="0"/>
              <w:autoSpaceDE/>
              <w:autoSpaceDN/>
              <w:bidi w:val="0"/>
              <w:adjustRightInd/>
              <w:snapToGrid/>
              <w:textAlignment w:val="auto"/>
              <w:rPr>
                <w:rFonts w:hint="default"/>
                <w:lang w:val="en-US" w:eastAsia="zh-CN"/>
              </w:rPr>
            </w:pPr>
            <w:r>
              <w:rPr>
                <w:rFonts w:hint="eastAsia"/>
                <w:lang w:val="en-US" w:eastAsia="zh-CN"/>
              </w:rPr>
              <w:t>478</w:t>
            </w:r>
          </w:p>
        </w:tc>
        <w:tc>
          <w:tcPr>
            <w:tcW w:w="1178" w:type="pct"/>
            <w:gridSpan w:val="2"/>
            <w:vMerge w:val="continue"/>
            <w:vAlign w:val="center"/>
          </w:tcPr>
          <w:p w14:paraId="0E78ABB0">
            <w:pPr>
              <w:pStyle w:val="58"/>
              <w:keepNext w:val="0"/>
              <w:keepLines w:val="0"/>
              <w:pageBreakBefore w:val="0"/>
              <w:widowControl w:val="0"/>
              <w:kinsoku/>
              <w:wordWrap/>
              <w:overflowPunct/>
              <w:topLinePunct w:val="0"/>
              <w:autoSpaceDE/>
              <w:autoSpaceDN/>
              <w:bidi w:val="0"/>
              <w:adjustRightInd/>
              <w:snapToGrid/>
              <w:textAlignment w:val="auto"/>
              <w:rPr>
                <w:rFonts w:hint="default"/>
                <w:lang w:val="en-US" w:eastAsia="zh-CN"/>
              </w:rPr>
            </w:pPr>
          </w:p>
        </w:tc>
      </w:tr>
    </w:tbl>
    <w:p w14:paraId="67A2D46A">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5.2.7.2环境风险影响分析</w:t>
      </w:r>
    </w:p>
    <w:p w14:paraId="51089DFE">
      <w:pPr>
        <w:rPr>
          <w:rFonts w:hint="default"/>
        </w:rPr>
      </w:pPr>
      <w:r>
        <w:rPr>
          <w:rFonts w:hint="default"/>
        </w:rPr>
        <w:t>（1）次氯酸钠泄漏</w:t>
      </w:r>
    </w:p>
    <w:p w14:paraId="1ED72E60">
      <w:pPr>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rPr>
        <w:t>次氯酸钠在常温下为液体，物质发生泄漏后，见光会发生分解，分解时</w:t>
      </w:r>
      <w:r>
        <w:rPr>
          <w:rFonts w:hint="default" w:ascii="Times New Roman" w:hAnsi="Times New Roman" w:eastAsia="宋体" w:cs="Times New Roman"/>
          <w:spacing w:val="-3"/>
          <w:sz w:val="24"/>
          <w:szCs w:val="24"/>
        </w:rPr>
        <w:t>中间产物有</w:t>
      </w:r>
      <w:r>
        <w:rPr>
          <w:rFonts w:hint="default" w:ascii="Times New Roman" w:hAnsi="Times New Roman" w:eastAsia="宋体" w:cs="Times New Roman"/>
          <w:spacing w:val="-1"/>
          <w:sz w:val="24"/>
          <w:szCs w:val="24"/>
        </w:rPr>
        <w:t>HClO、HCl，溶液中HCl挥发进入大气环境可能引起周围人群中毒。另外</w:t>
      </w:r>
      <w:r>
        <w:rPr>
          <w:rFonts w:hint="default" w:ascii="Times New Roman" w:hAnsi="Times New Roman" w:eastAsia="宋体" w:cs="Times New Roman"/>
          <w:spacing w:val="-2"/>
          <w:sz w:val="24"/>
          <w:szCs w:val="24"/>
        </w:rPr>
        <w:t>次氯酸钠泄</w:t>
      </w:r>
      <w:r>
        <w:rPr>
          <w:rFonts w:hint="default" w:ascii="Times New Roman" w:hAnsi="Times New Roman" w:eastAsia="宋体" w:cs="Times New Roman"/>
          <w:sz w:val="24"/>
          <w:szCs w:val="24"/>
        </w:rPr>
        <w:t>漏后，可能通过包气带下渗进入地下水环境，对地下水环</w:t>
      </w:r>
      <w:r>
        <w:rPr>
          <w:rFonts w:hint="default" w:ascii="Times New Roman" w:hAnsi="Times New Roman" w:eastAsia="宋体" w:cs="Times New Roman"/>
          <w:spacing w:val="-1"/>
          <w:sz w:val="24"/>
          <w:szCs w:val="24"/>
        </w:rPr>
        <w:t>境造成污染。</w:t>
      </w:r>
    </w:p>
    <w:p w14:paraId="645F5C58">
      <w:pPr>
        <w:rPr>
          <w:rFonts w:hint="default"/>
        </w:rPr>
      </w:pPr>
      <w:r>
        <w:rPr>
          <w:rFonts w:hint="default"/>
        </w:rPr>
        <w:t>（2）硫酸、重铬酸钾、纳氏试剂泄漏</w:t>
      </w:r>
    </w:p>
    <w:p w14:paraId="4619AA2A">
      <w:pPr>
        <w:rPr>
          <w:rFonts w:hint="default" w:ascii="Times New Roman" w:hAnsi="Times New Roman" w:eastAsia="宋体" w:cs="Times New Roman"/>
          <w:sz w:val="24"/>
          <w:szCs w:val="24"/>
        </w:rPr>
      </w:pPr>
      <w:r>
        <w:rPr>
          <w:rFonts w:hint="eastAsia" w:cs="Times New Roman"/>
          <w:sz w:val="24"/>
          <w:szCs w:val="24"/>
          <w:lang w:eastAsia="zh-CN"/>
        </w:rPr>
        <w:t>实验室</w:t>
      </w:r>
      <w:r>
        <w:rPr>
          <w:rFonts w:hint="default" w:ascii="Times New Roman" w:hAnsi="Times New Roman" w:eastAsia="宋体" w:cs="Times New Roman"/>
          <w:sz w:val="24"/>
          <w:szCs w:val="24"/>
        </w:rPr>
        <w:t>日常水质</w:t>
      </w:r>
      <w:r>
        <w:rPr>
          <w:rFonts w:hint="eastAsia" w:cs="Times New Roman"/>
          <w:sz w:val="24"/>
          <w:szCs w:val="24"/>
          <w:lang w:eastAsia="zh-CN"/>
        </w:rPr>
        <w:t>实验</w:t>
      </w:r>
      <w:r>
        <w:rPr>
          <w:rFonts w:hint="default" w:ascii="Times New Roman" w:hAnsi="Times New Roman" w:eastAsia="宋体" w:cs="Times New Roman"/>
          <w:sz w:val="24"/>
          <w:szCs w:val="24"/>
        </w:rPr>
        <w:t>用到的主要风险物质为硫酸、</w:t>
      </w:r>
      <w:r>
        <w:rPr>
          <w:rFonts w:hint="default" w:ascii="Times New Roman" w:hAnsi="Times New Roman" w:eastAsia="宋体" w:cs="Times New Roman"/>
          <w:spacing w:val="-1"/>
          <w:sz w:val="24"/>
          <w:szCs w:val="24"/>
        </w:rPr>
        <w:t>重铬酸钾、纳氏试剂（含汞</w:t>
      </w:r>
      <w:r>
        <w:rPr>
          <w:rFonts w:hint="default" w:ascii="Times New Roman" w:hAnsi="Times New Roman" w:eastAsia="宋体" w:cs="Times New Roman"/>
          <w:spacing w:val="10"/>
          <w:sz w:val="24"/>
          <w:szCs w:val="24"/>
        </w:rPr>
        <w:t>），</w:t>
      </w:r>
      <w:r>
        <w:rPr>
          <w:rFonts w:hint="default" w:ascii="Times New Roman" w:hAnsi="Times New Roman" w:eastAsia="宋体" w:cs="Times New Roman"/>
          <w:spacing w:val="1"/>
          <w:sz w:val="24"/>
          <w:szCs w:val="24"/>
        </w:rPr>
        <w:t>硫酸具有强酸性、强腐蚀性及氧化性，若泄漏后处理不当遇会产生硫酸</w:t>
      </w:r>
      <w:r>
        <w:rPr>
          <w:rFonts w:hint="default" w:ascii="Times New Roman" w:hAnsi="Times New Roman" w:eastAsia="宋体" w:cs="Times New Roman"/>
          <w:sz w:val="24"/>
          <w:szCs w:val="24"/>
        </w:rPr>
        <w:t>雾，造成大气</w:t>
      </w:r>
      <w:r>
        <w:rPr>
          <w:rFonts w:hint="default" w:ascii="Times New Roman" w:hAnsi="Times New Roman" w:eastAsia="宋体" w:cs="Times New Roman"/>
          <w:spacing w:val="1"/>
          <w:sz w:val="24"/>
          <w:szCs w:val="24"/>
        </w:rPr>
        <w:t>污染，且腐蚀地面后会通过包气带下渗进入地下水环境，对地下水环境</w:t>
      </w:r>
      <w:r>
        <w:rPr>
          <w:rFonts w:hint="default" w:ascii="Times New Roman" w:hAnsi="Times New Roman" w:eastAsia="宋体" w:cs="Times New Roman"/>
          <w:sz w:val="24"/>
          <w:szCs w:val="24"/>
        </w:rPr>
        <w:t>造成污染。本</w:t>
      </w:r>
      <w:r>
        <w:rPr>
          <w:rFonts w:hint="default" w:ascii="Times New Roman" w:hAnsi="Times New Roman" w:eastAsia="宋体" w:cs="Times New Roman"/>
          <w:spacing w:val="-3"/>
          <w:sz w:val="24"/>
          <w:szCs w:val="24"/>
        </w:rPr>
        <w:t>项目硫酸使用量小，且在专门的实验室内进行，由专人</w:t>
      </w:r>
      <w:r>
        <w:rPr>
          <w:rFonts w:hint="default" w:ascii="Times New Roman" w:hAnsi="Times New Roman" w:eastAsia="宋体" w:cs="Times New Roman"/>
          <w:spacing w:val="-4"/>
          <w:sz w:val="24"/>
          <w:szCs w:val="24"/>
        </w:rPr>
        <w:t>负责，发生泄漏的可能性很小。</w:t>
      </w:r>
    </w:p>
    <w:p w14:paraId="095ED92F">
      <w:pPr>
        <w:rPr>
          <w:rFonts w:hint="default" w:ascii="Times New Roman" w:hAnsi="Times New Roman" w:eastAsia="宋体" w:cs="Times New Roman"/>
          <w:sz w:val="24"/>
          <w:szCs w:val="24"/>
        </w:rPr>
      </w:pPr>
      <w:r>
        <w:rPr>
          <w:rFonts w:hint="default" w:ascii="Times New Roman" w:hAnsi="Times New Roman" w:eastAsia="宋体" w:cs="Times New Roman"/>
          <w:spacing w:val="-7"/>
          <w:sz w:val="24"/>
          <w:szCs w:val="24"/>
        </w:rPr>
        <w:t>重铬酸钾为固态，全厂年用量仅0.07kg，使用量小，0.19g/d，存在泄漏的风险很小，</w:t>
      </w:r>
      <w:r>
        <w:rPr>
          <w:rFonts w:hint="default" w:ascii="Times New Roman" w:hAnsi="Times New Roman" w:eastAsia="宋体" w:cs="Times New Roman"/>
          <w:spacing w:val="-1"/>
          <w:sz w:val="24"/>
          <w:szCs w:val="24"/>
        </w:rPr>
        <w:t>若发生少量泄漏可及时发现并收集，不会造成环境污染。</w:t>
      </w:r>
    </w:p>
    <w:p w14:paraId="619D6402">
      <w:pPr>
        <w:numPr>
          <w:ilvl w:val="0"/>
          <w:numId w:val="0"/>
        </w:numPr>
        <w:spacing w:line="480" w:lineRule="exact"/>
        <w:rPr>
          <w:rFonts w:hint="default" w:ascii="Times New Roman" w:hAnsi="Times New Roman" w:eastAsia="宋体" w:cs="Times New Roman"/>
          <w:spacing w:val="-1"/>
          <w:sz w:val="24"/>
          <w:szCs w:val="24"/>
        </w:rPr>
      </w:pPr>
      <w:r>
        <w:rPr>
          <w:rFonts w:hint="default" w:ascii="Times New Roman" w:hAnsi="Times New Roman" w:eastAsia="宋体" w:cs="Times New Roman"/>
          <w:spacing w:val="-2"/>
          <w:sz w:val="24"/>
          <w:szCs w:val="24"/>
        </w:rPr>
        <w:t>纳氏试剂中含有汞，有毒，具腐蚀性，若发生泄漏，腐蚀地面后会通过包气带下渗</w:t>
      </w:r>
      <w:r>
        <w:rPr>
          <w:rFonts w:hint="default" w:ascii="Times New Roman" w:hAnsi="Times New Roman" w:eastAsia="宋体" w:cs="Times New Roman"/>
          <w:spacing w:val="1"/>
          <w:sz w:val="24"/>
          <w:szCs w:val="24"/>
        </w:rPr>
        <w:t>进入地下水环境，对地下水环境造成污染，本项目纳氏试剂使用量小，且</w:t>
      </w:r>
      <w:r>
        <w:rPr>
          <w:rFonts w:hint="default" w:ascii="Times New Roman" w:hAnsi="Times New Roman" w:eastAsia="宋体" w:cs="Times New Roman"/>
          <w:sz w:val="24"/>
          <w:szCs w:val="24"/>
        </w:rPr>
        <w:t>在专门的实验室内进行，由专人负责，储存量仅1瓶（500mL</w:t>
      </w:r>
      <w:r>
        <w:rPr>
          <w:rFonts w:hint="default" w:ascii="Times New Roman" w:hAnsi="Times New Roman" w:eastAsia="宋体" w:cs="Times New Roman"/>
          <w:spacing w:val="14"/>
          <w:sz w:val="24"/>
          <w:szCs w:val="24"/>
        </w:rPr>
        <w:t>），</w:t>
      </w:r>
      <w:r>
        <w:rPr>
          <w:rFonts w:hint="default" w:ascii="Times New Roman" w:hAnsi="Times New Roman" w:eastAsia="宋体" w:cs="Times New Roman"/>
          <w:sz w:val="24"/>
          <w:szCs w:val="24"/>
        </w:rPr>
        <w:t>发生泄漏的可能性很小，若发</w:t>
      </w:r>
      <w:r>
        <w:rPr>
          <w:rFonts w:hint="default" w:ascii="Times New Roman" w:hAnsi="Times New Roman" w:eastAsia="宋体" w:cs="Times New Roman"/>
          <w:spacing w:val="-1"/>
          <w:sz w:val="24"/>
          <w:szCs w:val="24"/>
        </w:rPr>
        <w:t>生少量泄漏可及时发现并收集，不会造成环境污染。</w:t>
      </w:r>
    </w:p>
    <w:p w14:paraId="61CAB8DE">
      <w:pPr>
        <w:rPr>
          <w:rFonts w:hint="default"/>
        </w:rPr>
      </w:pPr>
      <w:r>
        <w:rPr>
          <w:rFonts w:hint="default"/>
        </w:rPr>
        <w:t>（3）危险废物泄漏</w:t>
      </w:r>
    </w:p>
    <w:p w14:paraId="10119873">
      <w:pPr>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rPr>
        <w:t>废润滑油和废液压油为高沸点、高闪点物质，不易挥发，若发生泄漏后对大气环境影响不大。根据实际运行情况来看，废润滑油、废液压油、</w:t>
      </w:r>
      <w:r>
        <w:rPr>
          <w:rFonts w:hint="eastAsia" w:cs="Times New Roman"/>
          <w:spacing w:val="-3"/>
          <w:sz w:val="24"/>
          <w:szCs w:val="24"/>
          <w:lang w:eastAsia="zh-CN"/>
        </w:rPr>
        <w:t>实验室</w:t>
      </w:r>
      <w:r>
        <w:rPr>
          <w:rFonts w:hint="default" w:ascii="Times New Roman" w:hAnsi="Times New Roman" w:eastAsia="宋体" w:cs="Times New Roman"/>
          <w:spacing w:val="-3"/>
          <w:sz w:val="24"/>
          <w:szCs w:val="24"/>
        </w:rPr>
        <w:t>废液、在线监测废液等产生和储存量很小，若发生泄漏事故，泄漏量较小，泄漏后第一时间采用消防沙或其</w:t>
      </w:r>
      <w:r>
        <w:rPr>
          <w:rFonts w:hint="default" w:ascii="Times New Roman" w:hAnsi="Times New Roman" w:eastAsia="宋体" w:cs="Times New Roman"/>
          <w:sz w:val="24"/>
          <w:szCs w:val="24"/>
        </w:rPr>
        <w:t>他吸附材料吸收，能够将泄漏物围堵在危废间内，</w:t>
      </w:r>
      <w:r>
        <w:rPr>
          <w:rFonts w:hint="default" w:ascii="Times New Roman" w:hAnsi="Times New Roman" w:eastAsia="宋体" w:cs="Times New Roman"/>
          <w:spacing w:val="-1"/>
          <w:sz w:val="24"/>
          <w:szCs w:val="24"/>
        </w:rPr>
        <w:t>不会对外环境产生影响。</w:t>
      </w:r>
    </w:p>
    <w:p w14:paraId="55B20ED6">
      <w:pPr>
        <w:rPr>
          <w:rFonts w:hint="default"/>
        </w:rPr>
      </w:pPr>
      <w:r>
        <w:rPr>
          <w:rFonts w:hint="default"/>
        </w:rPr>
        <w:t>（4）水质污染事故</w:t>
      </w:r>
    </w:p>
    <w:p w14:paraId="5B876386">
      <w:pPr>
        <w:rPr>
          <w:rFonts w:hint="default" w:ascii="Times New Roman" w:hAnsi="Times New Roman" w:eastAsia="宋体" w:cs="Times New Roman"/>
          <w:spacing w:val="-3"/>
          <w:sz w:val="24"/>
          <w:szCs w:val="24"/>
          <w:lang w:val="en-US" w:eastAsia="zh-CN"/>
        </w:rPr>
      </w:pPr>
      <w:r>
        <w:rPr>
          <w:rFonts w:hint="default" w:ascii="Times New Roman" w:hAnsi="Times New Roman" w:eastAsia="宋体" w:cs="Times New Roman"/>
          <w:spacing w:val="-3"/>
          <w:sz w:val="24"/>
          <w:szCs w:val="24"/>
        </w:rPr>
        <w:t>工业企业生产的不连续性、排水水质的不稳定、个别工业企业的生产设备或废水的预处理设施故障而发生污染事故等，都可能对污水处理厂的处理效率产生不利影响，造成出水水质超标。</w:t>
      </w:r>
    </w:p>
    <w:p w14:paraId="60CF1584">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5.2.7.3环境风险影响分析</w:t>
      </w:r>
    </w:p>
    <w:p w14:paraId="56B50A06">
      <w:pPr>
        <w:rPr>
          <w:rFonts w:hint="default"/>
        </w:rPr>
      </w:pPr>
      <w:r>
        <w:rPr>
          <w:rFonts w:hint="default"/>
        </w:rPr>
        <w:t>（1）次氯酸钠泄露事故风险防范措施</w:t>
      </w:r>
    </w:p>
    <w:p w14:paraId="317D0355">
      <w:pPr>
        <w:rPr>
          <w:rFonts w:hint="default"/>
        </w:rPr>
      </w:pPr>
      <w:r>
        <w:rPr>
          <w:rFonts w:hint="default"/>
        </w:rPr>
        <w:t>加药间内设有</w:t>
      </w:r>
      <w:r>
        <w:rPr>
          <w:rFonts w:hint="eastAsia"/>
          <w:lang w:val="en-US" w:eastAsia="zh-CN"/>
        </w:rPr>
        <w:t>1</w:t>
      </w:r>
      <w:r>
        <w:rPr>
          <w:rFonts w:hint="default"/>
        </w:rPr>
        <w:t>个容量为</w:t>
      </w:r>
      <w:r>
        <w:rPr>
          <w:rFonts w:hint="eastAsia"/>
          <w:lang w:val="en-US" w:eastAsia="zh-CN"/>
        </w:rPr>
        <w:t>1</w:t>
      </w:r>
      <w:r>
        <w:rPr>
          <w:rFonts w:hint="default"/>
        </w:rPr>
        <w:t>000L的次氯酸钠加药罐（塑料材质），罐区地坪已做防渗措施。罐体一旦发生泄漏，四周设有围堰，不会泄露到加药间外；围堰区域进行了防渗、防腐处理，从源头减少对土壤和水环境的污染，采用抗渗混凝土浇筑，抗渗等级不小于P6，内壁采用玻璃钢防腐防渗，厚度2mm，保证渗透系数小于10</w:t>
      </w:r>
      <w:r>
        <w:rPr>
          <w:rFonts w:hint="default"/>
          <w:vertAlign w:val="superscript"/>
        </w:rPr>
        <w:t>-10</w:t>
      </w:r>
      <w:r>
        <w:rPr>
          <w:rFonts w:hint="default"/>
        </w:rPr>
        <w:t>cm/s。</w:t>
      </w:r>
    </w:p>
    <w:p w14:paraId="384D3827">
      <w:pPr>
        <w:rPr>
          <w:rFonts w:hint="default"/>
        </w:rPr>
      </w:pPr>
      <w:r>
        <w:rPr>
          <w:rFonts w:hint="default"/>
        </w:rPr>
        <w:t>（2）硫酸、重铬酸钾、纳氏试剂泄露事故风险防范措施</w:t>
      </w:r>
    </w:p>
    <w:p w14:paraId="418BBF34">
      <w:pPr>
        <w:rPr>
          <w:rFonts w:hint="default"/>
        </w:rPr>
      </w:pPr>
      <w:r>
        <w:rPr>
          <w:rFonts w:hint="eastAsia"/>
          <w:lang w:eastAsia="zh-CN"/>
        </w:rPr>
        <w:t>实验室</w:t>
      </w:r>
      <w:r>
        <w:rPr>
          <w:rFonts w:hint="default"/>
        </w:rPr>
        <w:t>硫酸和重铬酸钾储存在</w:t>
      </w:r>
      <w:r>
        <w:rPr>
          <w:rFonts w:hint="eastAsia"/>
          <w:lang w:eastAsia="zh-CN"/>
        </w:rPr>
        <w:t>实验室</w:t>
      </w:r>
      <w:r>
        <w:rPr>
          <w:rFonts w:hint="default"/>
        </w:rPr>
        <w:t>专用危险品柜内，存储量很小，分别为0.0</w:t>
      </w:r>
      <w:r>
        <w:rPr>
          <w:rFonts w:hint="eastAsia"/>
          <w:lang w:val="en-US" w:eastAsia="zh-CN"/>
        </w:rPr>
        <w:t>092</w:t>
      </w:r>
      <w:r>
        <w:rPr>
          <w:rFonts w:hint="default"/>
        </w:rPr>
        <w:t>t/a、0.0005t/a、0.00058t/a，</w:t>
      </w:r>
      <w:r>
        <w:rPr>
          <w:rFonts w:hint="eastAsia"/>
          <w:lang w:eastAsia="zh-CN"/>
        </w:rPr>
        <w:t>实验室</w:t>
      </w:r>
      <w:r>
        <w:rPr>
          <w:rFonts w:hint="default"/>
        </w:rPr>
        <w:t>地面均已经做防渗处理，硫酸、重铬酸钾、纳氏试剂存储和使用量很小不会泄露到室外。</w:t>
      </w:r>
    </w:p>
    <w:p w14:paraId="7567BBC9">
      <w:pPr>
        <w:rPr>
          <w:rFonts w:hint="default"/>
        </w:rPr>
      </w:pPr>
      <w:r>
        <w:rPr>
          <w:rFonts w:hint="default"/>
        </w:rPr>
        <w:t>（3）废润滑油、废液压油、废油桶、在线监测废液、</w:t>
      </w:r>
      <w:r>
        <w:rPr>
          <w:rFonts w:hint="eastAsia"/>
          <w:lang w:eastAsia="zh-CN"/>
        </w:rPr>
        <w:t>实验室</w:t>
      </w:r>
      <w:r>
        <w:rPr>
          <w:rFonts w:hint="default"/>
        </w:rPr>
        <w:t>废液、废试剂瓶泄露事故风险防范措施</w:t>
      </w:r>
    </w:p>
    <w:p w14:paraId="10CF2953">
      <w:pPr>
        <w:rPr>
          <w:rFonts w:hint="default"/>
        </w:rPr>
      </w:pPr>
      <w:r>
        <w:rPr>
          <w:rFonts w:hint="default"/>
        </w:rPr>
        <w:t>实验室操作人员应经过专业的培训，持证上岗，规范操作，操作过程在通风橱内进行，实验后的废液和实验器具清洗水应作为危险废物收集与专门的废液收集容器内，加盖封闭，送危废间暂存，不得混入其他废水排放。废润滑油、废液压油均贮存在专用容器内，各危险危废分区均暂存于危废间，地面底层为水泥砂浆，防渗层为2mm厚高密度聚乙烯防渗层，最后以抗渗混凝土做地面，表面无裂隙，渗透系数≤1.0×10</w:t>
      </w:r>
      <w:r>
        <w:rPr>
          <w:rFonts w:hint="default"/>
          <w:vertAlign w:val="superscript"/>
        </w:rPr>
        <w:t>-10</w:t>
      </w:r>
      <w:r>
        <w:rPr>
          <w:rFonts w:hint="default"/>
        </w:rPr>
        <w:t>cm/s。</w:t>
      </w:r>
    </w:p>
    <w:p w14:paraId="7718676E">
      <w:pPr>
        <w:rPr>
          <w:rFonts w:hint="default" w:ascii="Times New Roman" w:hAnsi="Times New Roman" w:eastAsia="宋体" w:cs="Times New Roman"/>
          <w:spacing w:val="-3"/>
          <w:sz w:val="24"/>
          <w:szCs w:val="24"/>
        </w:rPr>
      </w:pPr>
      <w:r>
        <w:rPr>
          <w:rFonts w:hint="default" w:ascii="Times New Roman" w:hAnsi="Times New Roman" w:eastAsia="宋体" w:cs="Times New Roman"/>
          <w:spacing w:val="-3"/>
          <w:sz w:val="24"/>
          <w:szCs w:val="24"/>
        </w:rPr>
        <w:t>（4）水质污染防范措施</w:t>
      </w:r>
    </w:p>
    <w:p w14:paraId="16E65EC2">
      <w:pPr>
        <w:rPr>
          <w:rFonts w:hint="default"/>
        </w:rPr>
      </w:pPr>
      <w:r>
        <w:rPr>
          <w:rFonts w:hint="default"/>
        </w:rPr>
        <w:t>污水排放企业发生排水事故时，应调整生产，减少污水排放，并启动各企业的事故池，保证超出进水水质标准工业废水不进入污水处理厂。本污水处理厂建立可靠的运行监控系统，总进水口设置了监测装置，进水水质一旦出现异常，立即启动排查事故原因。污水处理厂应针对可能发生的进水污染事故，建立预防和处理污染事故应急方案，一旦发生风险事故应立即上报，并在排放口附近悬挂警示标志，同时采取部分或所有企业不排水等措施，防止环境风险事故扩大和产生次生灾害。</w:t>
      </w:r>
    </w:p>
    <w:p w14:paraId="712B3E9C">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spacing w:val="-1"/>
          <w:sz w:val="24"/>
          <w:szCs w:val="24"/>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5.2.7.4</w:t>
      </w:r>
      <w:r>
        <w:rPr>
          <w:rFonts w:hint="default" w:ascii="Times New Roman" w:hAnsi="Times New Roman" w:eastAsia="宋体" w:cs="Times New Roman"/>
          <w:b/>
          <w:bCs/>
          <w:spacing w:val="-2"/>
          <w:sz w:val="24"/>
          <w:szCs w:val="24"/>
          <w:lang w:val="en-US" w:eastAsia="zh-CN"/>
        </w:rPr>
        <w:t>突</w:t>
      </w:r>
      <w:r>
        <w:rPr>
          <w:rFonts w:hint="default" w:ascii="Times New Roman" w:hAnsi="Times New Roman" w:eastAsia="宋体" w:cs="Times New Roman"/>
          <w:b/>
          <w:bCs/>
          <w:spacing w:val="-2"/>
          <w:sz w:val="24"/>
          <w:szCs w:val="24"/>
        </w:rPr>
        <w:t>发环境事件应急应急预案</w:t>
      </w:r>
    </w:p>
    <w:p w14:paraId="682B8D76">
      <w:pPr>
        <w:rPr>
          <w:rFonts w:hint="default"/>
        </w:rPr>
      </w:pPr>
      <w:r>
        <w:rPr>
          <w:rFonts w:hint="default"/>
        </w:rPr>
        <w:t>制定应急预案的目的是在发生突发环境事件的紧急情况下，为组织和个人提供安全指引，使组织和个人对突发事故具有快速反应和应变处理能力，以最大限度地降低事故造成的财产损失和人员伤亡。</w:t>
      </w:r>
    </w:p>
    <w:p w14:paraId="4C734CE2">
      <w:pPr>
        <w:rPr>
          <w:rFonts w:hint="default"/>
        </w:rPr>
      </w:pPr>
      <w:r>
        <w:rPr>
          <w:rFonts w:hint="default"/>
        </w:rPr>
        <w:t>项目针对环境风险事故采取多种防范措施，可将风险事故的概率降至较低的水平，但概率不会降为零，一旦发生事故仍需采取应急措施，控制和减少事故危害，根据环境保护部发布的《企业突发环境事件风险分级方法》（HJ941-2018）、《突发环境事件应急管理办法》（环境保护部令34号）和《企业事业单位突发环境事件应急预案备案管理办法（试行）》（环发[2015]4号）要求，本项目建成后投入运行前应根据项目生产过程存在的风险物质存在量、防范措施等情况，对现有突发环境事件应急预案进行修编，并报主管部门备案。</w:t>
      </w:r>
    </w:p>
    <w:p w14:paraId="092CE74D">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spacing w:val="-1"/>
          <w:sz w:val="24"/>
          <w:szCs w:val="24"/>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5.2.7.5</w:t>
      </w:r>
      <w:r>
        <w:rPr>
          <w:rFonts w:hint="default" w:ascii="Times New Roman" w:hAnsi="Times New Roman" w:eastAsia="宋体" w:cs="Times New Roman"/>
          <w:b/>
          <w:bCs/>
          <w:spacing w:val="-5"/>
          <w:sz w:val="24"/>
          <w:szCs w:val="24"/>
        </w:rPr>
        <w:t>分析结论</w:t>
      </w:r>
    </w:p>
    <w:p w14:paraId="055EC245">
      <w:pPr>
        <w:spacing w:before="192" w:line="364" w:lineRule="auto"/>
        <w:ind w:left="9" w:right="17" w:firstLine="482"/>
        <w:jc w:val="both"/>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rPr>
        <w:t>综上所述，环境风险主要为加药间次氯酸钠溶液泄漏、危废间危险废物泄漏、</w:t>
      </w:r>
      <w:r>
        <w:rPr>
          <w:rFonts w:hint="eastAsia" w:cs="Times New Roman"/>
          <w:spacing w:val="-3"/>
          <w:sz w:val="24"/>
          <w:szCs w:val="24"/>
          <w:lang w:eastAsia="zh-CN"/>
        </w:rPr>
        <w:t>实验室</w:t>
      </w:r>
      <w:r>
        <w:rPr>
          <w:rFonts w:hint="default" w:ascii="Times New Roman" w:hAnsi="Times New Roman" w:eastAsia="宋体" w:cs="Times New Roman"/>
          <w:spacing w:val="-3"/>
          <w:sz w:val="24"/>
          <w:szCs w:val="24"/>
        </w:rPr>
        <w:t>硫酸、重铬酸钾、纳氏试剂等危险化学品泄漏等潜在风险。本项目从建设、使用、贮</w:t>
      </w:r>
      <w:r>
        <w:rPr>
          <w:rFonts w:hint="default" w:ascii="Times New Roman" w:hAnsi="Times New Roman" w:eastAsia="宋体" w:cs="Times New Roman"/>
          <w:spacing w:val="-7"/>
          <w:sz w:val="24"/>
          <w:szCs w:val="24"/>
        </w:rPr>
        <w:t>运等多方面积极采取防护措施，加强风险管理，通过相应的技术手段降</w:t>
      </w:r>
      <w:r>
        <w:rPr>
          <w:rFonts w:hint="default" w:ascii="Times New Roman" w:hAnsi="Times New Roman" w:eastAsia="宋体" w:cs="Times New Roman"/>
          <w:spacing w:val="-8"/>
          <w:sz w:val="24"/>
          <w:szCs w:val="24"/>
        </w:rPr>
        <w:t>低风险发生概率，</w:t>
      </w:r>
      <w:r>
        <w:rPr>
          <w:rFonts w:hint="default" w:ascii="Times New Roman" w:hAnsi="Times New Roman" w:eastAsia="宋体" w:cs="Times New Roman"/>
          <w:spacing w:val="-3"/>
          <w:sz w:val="24"/>
          <w:szCs w:val="24"/>
        </w:rPr>
        <w:t>并在风险事故发生后，及时采取风险防范措施及应急措施，可以使风险事故对环境的危</w:t>
      </w:r>
      <w:r>
        <w:rPr>
          <w:rFonts w:hint="default" w:ascii="Times New Roman" w:hAnsi="Times New Roman" w:eastAsia="宋体" w:cs="Times New Roman"/>
          <w:spacing w:val="-1"/>
          <w:sz w:val="24"/>
          <w:szCs w:val="24"/>
        </w:rPr>
        <w:t>害得到有效控制，将事故风险控制在可以接受的范围内。</w:t>
      </w:r>
    </w:p>
    <w:p w14:paraId="70061F54">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spacing w:val="-1"/>
          <w:sz w:val="24"/>
          <w:szCs w:val="24"/>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5.2.7.6</w:t>
      </w:r>
      <w:r>
        <w:rPr>
          <w:rFonts w:hint="default" w:ascii="Times New Roman" w:hAnsi="Times New Roman" w:eastAsia="宋体" w:cs="Times New Roman"/>
          <w:b/>
          <w:bCs/>
          <w:spacing w:val="-2"/>
          <w:sz w:val="24"/>
          <w:szCs w:val="24"/>
        </w:rPr>
        <w:t>环境风险简要分析内容表</w:t>
      </w:r>
    </w:p>
    <w:p w14:paraId="7B6D299C">
      <w:pPr>
        <w:rPr>
          <w:rFonts w:hint="default"/>
        </w:rPr>
      </w:pPr>
      <w:r>
        <w:rPr>
          <w:rFonts w:hint="default"/>
        </w:rPr>
        <w:t>本项目环境风险简要分析内容表见下表。</w:t>
      </w:r>
    </w:p>
    <w:p w14:paraId="3BC56964">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建设项目环境风险简单分析内容表</w:t>
      </w:r>
    </w:p>
    <w:p w14:paraId="57C9D44B">
      <w:pPr>
        <w:spacing w:line="16" w:lineRule="exact"/>
        <w:rPr>
          <w:rFonts w:hint="default" w:ascii="Times New Roman" w:hAnsi="Times New Roman" w:eastAsia="宋体" w:cs="Times New Roman"/>
        </w:rPr>
      </w:pPr>
    </w:p>
    <w:tbl>
      <w:tblPr>
        <w:tblStyle w:val="88"/>
        <w:tblW w:w="8911" w:type="dxa"/>
        <w:tblInd w:w="57" w:type="dxa"/>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Layout w:type="fixed"/>
        <w:tblCellMar>
          <w:top w:w="0" w:type="dxa"/>
          <w:left w:w="0" w:type="dxa"/>
          <w:bottom w:w="0" w:type="dxa"/>
          <w:right w:w="0" w:type="dxa"/>
        </w:tblCellMar>
      </w:tblPr>
      <w:tblGrid>
        <w:gridCol w:w="1356"/>
        <w:gridCol w:w="1831"/>
        <w:gridCol w:w="1418"/>
        <w:gridCol w:w="1354"/>
        <w:gridCol w:w="2952"/>
      </w:tblGrid>
      <w:tr w14:paraId="2AD59415">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356" w:type="dxa"/>
            <w:vAlign w:val="top"/>
          </w:tcPr>
          <w:p w14:paraId="4CFE0CD1">
            <w:pPr>
              <w:pStyle w:val="58"/>
              <w:bidi w:val="0"/>
              <w:rPr>
                <w:rFonts w:hint="default"/>
              </w:rPr>
            </w:pPr>
            <w:r>
              <w:rPr>
                <w:rFonts w:hint="default"/>
              </w:rPr>
              <w:t>建设项目名称</w:t>
            </w:r>
          </w:p>
        </w:tc>
        <w:tc>
          <w:tcPr>
            <w:tcW w:w="7555" w:type="dxa"/>
            <w:gridSpan w:val="4"/>
            <w:vAlign w:val="top"/>
          </w:tcPr>
          <w:p w14:paraId="43EF70DA">
            <w:pPr>
              <w:pStyle w:val="58"/>
              <w:bidi w:val="0"/>
              <w:rPr>
                <w:rFonts w:hint="default"/>
              </w:rPr>
            </w:pPr>
            <w:r>
              <w:rPr>
                <w:rFonts w:hint="default"/>
              </w:rPr>
              <w:t>唐山市曹妃甸区垦丰家居产业园区新建污水处理厂工程</w:t>
            </w:r>
          </w:p>
        </w:tc>
      </w:tr>
      <w:tr w14:paraId="13C22AD0">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356" w:type="dxa"/>
            <w:vAlign w:val="top"/>
          </w:tcPr>
          <w:p w14:paraId="54A2E64A">
            <w:pPr>
              <w:pStyle w:val="58"/>
              <w:bidi w:val="0"/>
              <w:rPr>
                <w:rFonts w:hint="default"/>
              </w:rPr>
            </w:pPr>
            <w:r>
              <w:rPr>
                <w:rFonts w:hint="default"/>
              </w:rPr>
              <w:t>建设地点</w:t>
            </w:r>
          </w:p>
        </w:tc>
        <w:tc>
          <w:tcPr>
            <w:tcW w:w="7555" w:type="dxa"/>
            <w:gridSpan w:val="4"/>
            <w:vAlign w:val="top"/>
          </w:tcPr>
          <w:p w14:paraId="5A8A79C4">
            <w:pPr>
              <w:pStyle w:val="58"/>
              <w:bidi w:val="0"/>
              <w:rPr>
                <w:rFonts w:hint="default"/>
              </w:rPr>
            </w:pPr>
            <w:r>
              <w:rPr>
                <w:rFonts w:hint="default"/>
              </w:rPr>
              <w:t>唐山市曹妃甸区垦丰家居产业园区</w:t>
            </w:r>
          </w:p>
        </w:tc>
      </w:tr>
      <w:tr w14:paraId="4F0F6481">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356" w:type="dxa"/>
            <w:vAlign w:val="top"/>
          </w:tcPr>
          <w:p w14:paraId="5BC4EF37">
            <w:pPr>
              <w:pStyle w:val="58"/>
              <w:bidi w:val="0"/>
              <w:rPr>
                <w:rFonts w:hint="default"/>
              </w:rPr>
            </w:pPr>
            <w:r>
              <w:rPr>
                <w:rFonts w:hint="default"/>
              </w:rPr>
              <w:t>地理坐标</w:t>
            </w:r>
          </w:p>
        </w:tc>
        <w:tc>
          <w:tcPr>
            <w:tcW w:w="1831" w:type="dxa"/>
            <w:vAlign w:val="top"/>
          </w:tcPr>
          <w:p w14:paraId="6AB6D65C">
            <w:pPr>
              <w:pStyle w:val="58"/>
              <w:bidi w:val="0"/>
              <w:rPr>
                <w:rFonts w:hint="default"/>
              </w:rPr>
            </w:pPr>
            <w:r>
              <w:rPr>
                <w:rFonts w:hint="default"/>
              </w:rPr>
              <w:t>经度</w:t>
            </w:r>
          </w:p>
        </w:tc>
        <w:tc>
          <w:tcPr>
            <w:tcW w:w="1418" w:type="dxa"/>
            <w:vAlign w:val="top"/>
          </w:tcPr>
          <w:p w14:paraId="1EAF66BE">
            <w:pPr>
              <w:pStyle w:val="58"/>
              <w:bidi w:val="0"/>
              <w:rPr>
                <w:rFonts w:hint="default"/>
              </w:rPr>
            </w:pPr>
            <w:r>
              <w:rPr>
                <w:rFonts w:hint="default"/>
                <w:lang w:val="en-US" w:eastAsia="zh-CN"/>
              </w:rPr>
              <w:t>118°16′2.316″</w:t>
            </w:r>
          </w:p>
        </w:tc>
        <w:tc>
          <w:tcPr>
            <w:tcW w:w="1354" w:type="dxa"/>
            <w:vAlign w:val="top"/>
          </w:tcPr>
          <w:p w14:paraId="6AAC9FB2">
            <w:pPr>
              <w:pStyle w:val="58"/>
              <w:bidi w:val="0"/>
              <w:rPr>
                <w:rFonts w:hint="default"/>
              </w:rPr>
            </w:pPr>
            <w:r>
              <w:rPr>
                <w:rFonts w:hint="default"/>
              </w:rPr>
              <w:t>纬度</w:t>
            </w:r>
          </w:p>
        </w:tc>
        <w:tc>
          <w:tcPr>
            <w:tcW w:w="2952" w:type="dxa"/>
            <w:vAlign w:val="top"/>
          </w:tcPr>
          <w:p w14:paraId="0780A5EB">
            <w:pPr>
              <w:pStyle w:val="58"/>
              <w:bidi w:val="0"/>
              <w:rPr>
                <w:rFonts w:hint="default"/>
              </w:rPr>
            </w:pPr>
            <w:r>
              <w:rPr>
                <w:rFonts w:hint="default"/>
                <w:lang w:val="en-US" w:eastAsia="zh-CN"/>
              </w:rPr>
              <w:t>39°15′58.796″</w:t>
            </w:r>
          </w:p>
        </w:tc>
      </w:tr>
      <w:tr w14:paraId="69508D24">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356" w:type="dxa"/>
            <w:vAlign w:val="top"/>
          </w:tcPr>
          <w:p w14:paraId="1AC328C3">
            <w:pPr>
              <w:pStyle w:val="58"/>
              <w:bidi w:val="0"/>
              <w:rPr>
                <w:rFonts w:hint="default"/>
              </w:rPr>
            </w:pPr>
            <w:r>
              <w:rPr>
                <w:rFonts w:hint="default"/>
              </w:rPr>
              <w:t>主要危险物质及分布</w:t>
            </w:r>
          </w:p>
        </w:tc>
        <w:tc>
          <w:tcPr>
            <w:tcW w:w="7555" w:type="dxa"/>
            <w:gridSpan w:val="4"/>
            <w:vAlign w:val="top"/>
          </w:tcPr>
          <w:p w14:paraId="366D120B">
            <w:pPr>
              <w:pStyle w:val="58"/>
              <w:bidi w:val="0"/>
              <w:rPr>
                <w:rFonts w:hint="default"/>
              </w:rPr>
            </w:pPr>
            <w:r>
              <w:rPr>
                <w:rFonts w:hint="default"/>
              </w:rPr>
              <w:t>主要危险物质：次氯酸钠，分布：加药间；</w:t>
            </w:r>
          </w:p>
          <w:p w14:paraId="7EE3B882">
            <w:pPr>
              <w:pStyle w:val="58"/>
              <w:bidi w:val="0"/>
              <w:rPr>
                <w:rFonts w:hint="default"/>
              </w:rPr>
            </w:pPr>
            <w:r>
              <w:rPr>
                <w:rFonts w:hint="default"/>
              </w:rPr>
              <w:t>主要危险物质：硫酸、重铬酸钾、纳氏试剂，分布：</w:t>
            </w:r>
            <w:r>
              <w:rPr>
                <w:rFonts w:hint="eastAsia"/>
                <w:lang w:eastAsia="zh-CN"/>
              </w:rPr>
              <w:t>实验室</w:t>
            </w:r>
            <w:r>
              <w:rPr>
                <w:rFonts w:hint="default"/>
              </w:rPr>
              <w:t>危化品柜；</w:t>
            </w:r>
          </w:p>
          <w:p w14:paraId="498ED81E">
            <w:pPr>
              <w:pStyle w:val="58"/>
              <w:bidi w:val="0"/>
              <w:rPr>
                <w:rFonts w:hint="default"/>
              </w:rPr>
            </w:pPr>
            <w:r>
              <w:rPr>
                <w:rFonts w:hint="default"/>
              </w:rPr>
              <w:t>主要危险物质：废润滑油、废液压油、废油桶、在线监测废液、</w:t>
            </w:r>
            <w:r>
              <w:rPr>
                <w:rFonts w:hint="eastAsia"/>
                <w:lang w:eastAsia="zh-CN"/>
              </w:rPr>
              <w:t>实验室</w:t>
            </w:r>
            <w:r>
              <w:rPr>
                <w:rFonts w:hint="default"/>
              </w:rPr>
              <w:t>废液、废试剂瓶等危险废物，分布：危废间。</w:t>
            </w:r>
          </w:p>
        </w:tc>
      </w:tr>
      <w:tr w14:paraId="1FA2B0DD">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356" w:type="dxa"/>
            <w:vAlign w:val="top"/>
          </w:tcPr>
          <w:p w14:paraId="2C78C668">
            <w:pPr>
              <w:pStyle w:val="58"/>
              <w:bidi w:val="0"/>
              <w:rPr>
                <w:rFonts w:hint="default"/>
              </w:rPr>
            </w:pPr>
            <w:r>
              <w:rPr>
                <w:rFonts w:hint="default"/>
              </w:rPr>
              <w:t>环境影响途径及危害后果（大气、地表水、地下水等）</w:t>
            </w:r>
          </w:p>
        </w:tc>
        <w:tc>
          <w:tcPr>
            <w:tcW w:w="7555" w:type="dxa"/>
            <w:gridSpan w:val="4"/>
            <w:vAlign w:val="top"/>
          </w:tcPr>
          <w:p w14:paraId="7F6ECBEC">
            <w:pPr>
              <w:pStyle w:val="58"/>
              <w:bidi w:val="0"/>
              <w:rPr>
                <w:rFonts w:hint="default"/>
              </w:rPr>
            </w:pPr>
            <w:r>
              <w:rPr>
                <w:rFonts w:hint="default"/>
              </w:rPr>
              <w:t>次氯酸钠泄漏次氯酸钠在常温下为液体，物质发生泄漏后，见光会发生分解，分解时中间产物有HClO、HCl，溶液中HCl挥发进入大气环境可能引起周围人群中毒。另外次氯酸钠泄漏后，可能通过包气带下渗进入地下水环境，对地下水环境造成污染。</w:t>
            </w:r>
          </w:p>
          <w:p w14:paraId="67F20329">
            <w:pPr>
              <w:pStyle w:val="58"/>
              <w:bidi w:val="0"/>
              <w:rPr>
                <w:rFonts w:hint="default"/>
              </w:rPr>
            </w:pPr>
            <w:r>
              <w:rPr>
                <w:rFonts w:hint="default"/>
              </w:rPr>
              <w:t>硫酸、重铬酸钾、纳氏试剂泄漏</w:t>
            </w:r>
            <w:r>
              <w:rPr>
                <w:rFonts w:hint="eastAsia"/>
                <w:lang w:eastAsia="zh-CN"/>
              </w:rPr>
              <w:t>实验室</w:t>
            </w:r>
            <w:r>
              <w:rPr>
                <w:rFonts w:hint="default"/>
              </w:rPr>
              <w:t>日常水质</w:t>
            </w:r>
            <w:r>
              <w:rPr>
                <w:rFonts w:hint="eastAsia"/>
                <w:lang w:eastAsia="zh-CN"/>
              </w:rPr>
              <w:t>实验</w:t>
            </w:r>
            <w:r>
              <w:rPr>
                <w:rFonts w:hint="default"/>
              </w:rPr>
              <w:t>用到的主要风险物质为硫酸和重铬酸钾，硫酸具有强酸性、强腐蚀性及氧化性，若泄漏后处理不当遇会产生硫酸雾，造成大气污染，且腐蚀地面后会通过包气带下渗进入地下水环境，对地下水环境造成污染。本项目硫酸使用量小，且在专门的实验室内进行，由专人负责，发生泄漏的可能想很小。重铬酸钾为固态，全厂年用量仅0.07kg，使用量小，0.19g/d，存在泄漏的风险很小，若发生少量泄漏可及时发现并收集，不会造成环境污染。纳氏试剂中含有汞，有毒，具腐蚀性，若发生泄漏，腐蚀地面后会通过包气带下渗进入地下水环境，对地下水环境造成污染，本项目纳氏试剂使用量小，且在专门的实验室内进行，由专人负责，储存量仅1瓶（500mL），发生泄漏的可能性很小，若发生少量泄漏可及时发现并收集，不会造成环境污染。</w:t>
            </w:r>
          </w:p>
          <w:p w14:paraId="190035D6">
            <w:pPr>
              <w:pStyle w:val="58"/>
              <w:bidi w:val="0"/>
              <w:rPr>
                <w:rFonts w:hint="default"/>
              </w:rPr>
            </w:pPr>
            <w:r>
              <w:rPr>
                <w:rFonts w:hint="default"/>
              </w:rPr>
              <w:t>危险废物泄漏废润滑油和废液压油为高沸点、高闪点物质，不易挥发，若发生泄漏后对大气环境影响不大。根据实际运行情况来看，废润滑油、废液压油、</w:t>
            </w:r>
            <w:r>
              <w:rPr>
                <w:rFonts w:hint="eastAsia"/>
                <w:lang w:eastAsia="zh-CN"/>
              </w:rPr>
              <w:t>实验室</w:t>
            </w:r>
            <w:r>
              <w:rPr>
                <w:rFonts w:hint="default"/>
              </w:rPr>
              <w:t>废液、在线监测废液等产生和储存量很小，若发生泄漏事故，泄漏量较小，泄漏后第一时间采用消防沙或其他吸附材料吸收，能够将泄漏物围堵在危废间内，不会对外环境产生影响。</w:t>
            </w:r>
          </w:p>
        </w:tc>
      </w:tr>
      <w:tr w14:paraId="74F5C979">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356" w:type="dxa"/>
            <w:vAlign w:val="top"/>
          </w:tcPr>
          <w:p w14:paraId="0911154B">
            <w:pPr>
              <w:pStyle w:val="58"/>
              <w:bidi w:val="0"/>
              <w:rPr>
                <w:rFonts w:hint="default"/>
              </w:rPr>
            </w:pPr>
            <w:r>
              <w:rPr>
                <w:rFonts w:hint="default"/>
              </w:rPr>
              <w:t>风险防范措施要求</w:t>
            </w:r>
          </w:p>
        </w:tc>
        <w:tc>
          <w:tcPr>
            <w:tcW w:w="7555" w:type="dxa"/>
            <w:gridSpan w:val="4"/>
            <w:vAlign w:val="top"/>
          </w:tcPr>
          <w:p w14:paraId="0C2ECDA7">
            <w:pPr>
              <w:pStyle w:val="58"/>
              <w:bidi w:val="0"/>
              <w:rPr>
                <w:rFonts w:hint="default"/>
              </w:rPr>
            </w:pPr>
            <w:r>
              <w:rPr>
                <w:rFonts w:hint="default"/>
              </w:rPr>
              <w:t>次氯酸钠泄露事故风险防范措施加药间内设有</w:t>
            </w:r>
            <w:r>
              <w:rPr>
                <w:rFonts w:hint="default"/>
                <w:lang w:val="en-US" w:eastAsia="zh-CN"/>
              </w:rPr>
              <w:t>1</w:t>
            </w:r>
            <w:r>
              <w:rPr>
                <w:rFonts w:hint="default"/>
              </w:rPr>
              <w:t>个容量为</w:t>
            </w:r>
            <w:r>
              <w:rPr>
                <w:rFonts w:hint="default"/>
                <w:lang w:val="en-US" w:eastAsia="zh-CN"/>
              </w:rPr>
              <w:t>1</w:t>
            </w:r>
            <w:r>
              <w:rPr>
                <w:rFonts w:hint="default"/>
              </w:rPr>
              <w:t>000L的次氯酸钠加药罐（塑料材质），罐区地坪已做防渗措施。罐体一旦发生泄漏，四周设有围堰，不会泄露到加药间外；围堰区域进行了防渗、防腐处理，从源头减少对土壤和水环境的污染，采用抗渗混凝土浇筑，抗渗等级不小于P6，内壁采用玻璃钢防腐防渗，厚度2mm，保证渗透系数小于10</w:t>
            </w:r>
            <w:r>
              <w:rPr>
                <w:rFonts w:hint="default"/>
                <w:vertAlign w:val="superscript"/>
              </w:rPr>
              <w:t>-10</w:t>
            </w:r>
            <w:r>
              <w:rPr>
                <w:rFonts w:hint="default"/>
              </w:rPr>
              <w:t>cm/s。</w:t>
            </w:r>
          </w:p>
          <w:p w14:paraId="0E773F44">
            <w:pPr>
              <w:pStyle w:val="58"/>
              <w:bidi w:val="0"/>
              <w:rPr>
                <w:rFonts w:hint="default"/>
              </w:rPr>
            </w:pPr>
            <w:r>
              <w:rPr>
                <w:rFonts w:hint="default"/>
              </w:rPr>
              <w:t>硫酸、重铬酸钾泄露事故风险防范措施</w:t>
            </w:r>
            <w:r>
              <w:rPr>
                <w:rFonts w:hint="eastAsia"/>
                <w:lang w:eastAsia="zh-CN"/>
              </w:rPr>
              <w:t>实验室</w:t>
            </w:r>
            <w:r>
              <w:rPr>
                <w:rFonts w:hint="default"/>
              </w:rPr>
              <w:t>硫酸、重铬酸钾、纳氏试剂储存在</w:t>
            </w:r>
            <w:r>
              <w:rPr>
                <w:rFonts w:hint="eastAsia"/>
                <w:lang w:eastAsia="zh-CN"/>
              </w:rPr>
              <w:t>实验室</w:t>
            </w:r>
            <w:r>
              <w:rPr>
                <w:rFonts w:hint="default"/>
              </w:rPr>
              <w:t>专用危险品柜内，存储量很小，分别为0.0</w:t>
            </w:r>
            <w:r>
              <w:rPr>
                <w:rFonts w:hint="default"/>
                <w:lang w:val="en-US" w:eastAsia="zh-CN"/>
              </w:rPr>
              <w:t>092</w:t>
            </w:r>
            <w:r>
              <w:rPr>
                <w:rFonts w:hint="default"/>
              </w:rPr>
              <w:t>/a、0.0005t/a、0.00058t/a，</w:t>
            </w:r>
            <w:r>
              <w:rPr>
                <w:rFonts w:hint="eastAsia"/>
                <w:lang w:eastAsia="zh-CN"/>
              </w:rPr>
              <w:t>实验室</w:t>
            </w:r>
            <w:r>
              <w:rPr>
                <w:rFonts w:hint="default"/>
              </w:rPr>
              <w:t>地面均已经做防渗处理，硫酸、重铬酸钾存储和使用量很小不会泄露到室外。</w:t>
            </w:r>
          </w:p>
          <w:p w14:paraId="5562C761">
            <w:pPr>
              <w:pStyle w:val="58"/>
              <w:bidi w:val="0"/>
              <w:rPr>
                <w:rFonts w:hint="default"/>
              </w:rPr>
            </w:pPr>
            <w:r>
              <w:rPr>
                <w:rFonts w:hint="default"/>
              </w:rPr>
              <w:t>废润滑油、废液压油、废油桶、在线监测废液、</w:t>
            </w:r>
            <w:r>
              <w:rPr>
                <w:rFonts w:hint="eastAsia"/>
                <w:lang w:eastAsia="zh-CN"/>
              </w:rPr>
              <w:t>实验室</w:t>
            </w:r>
            <w:r>
              <w:rPr>
                <w:rFonts w:hint="default"/>
              </w:rPr>
              <w:t>废液、废试剂瓶泄露事故风险防范措施实验室操作人员应经过专业的培训，持证上岗，规范操作，操作过程在通风橱内进行，实验后的废液和实验器具清洗水应作为危险废物收集与专门的废液收集容器内，加盖封闭，送危废间暂存，不得混入其他废水排放。废润滑油、废液压油均贮存在专用容器内，各危险危废分区均暂存于危废间，最底层采用夯实黏土，地面底层为水泥砂浆，防渗层为2mm厚高密度聚乙烯防渗层，最后以抗渗混凝土做地面，表面无裂隙，渗透系数≤1.0×10</w:t>
            </w:r>
            <w:r>
              <w:rPr>
                <w:rFonts w:hint="default"/>
                <w:vertAlign w:val="superscript"/>
              </w:rPr>
              <w:t>-10</w:t>
            </w:r>
            <w:r>
              <w:rPr>
                <w:rFonts w:hint="default"/>
              </w:rPr>
              <w:t>cm/s。</w:t>
            </w:r>
          </w:p>
          <w:p w14:paraId="4EC0A414">
            <w:pPr>
              <w:pStyle w:val="58"/>
              <w:bidi w:val="0"/>
              <w:rPr>
                <w:rFonts w:hint="default"/>
              </w:rPr>
            </w:pPr>
            <w:r>
              <w:rPr>
                <w:rFonts w:hint="default"/>
              </w:rPr>
              <w:t>水质污染防范措施污水排放企业发生排水事故时，应调整生产，减少污水排放，并启动各企业的事故池，保证超出进水水质标准工业废水不进入污水处理厂。本污水处理厂建立可靠的运行监控系统，总进水口设置了监测装置，进水水质一旦出现异常，立即启动排查事故原因。污水处理厂应针对可能发生的进水污染事故，建立预防和处理污染事故应急方案，一旦发生风险事故应立即上报，并在排放口附近悬挂警示标志，同时采取部分或所有企业不排水等措施，防止环境风险事故扩大和产生次生灾害。</w:t>
            </w:r>
          </w:p>
          <w:p w14:paraId="2D816BF6">
            <w:pPr>
              <w:pStyle w:val="58"/>
              <w:bidi w:val="0"/>
              <w:rPr>
                <w:rFonts w:hint="default"/>
              </w:rPr>
            </w:pPr>
            <w:r>
              <w:rPr>
                <w:rFonts w:hint="default"/>
              </w:rPr>
              <w:t>本项目建成后投入运行前应根据项目生产过程存在的风险物质存在量、防范措施等情况，对现有突发环境事件应急预案进行修编，并报主管部门备案</w:t>
            </w:r>
          </w:p>
        </w:tc>
      </w:tr>
      <w:tr w14:paraId="3541B538">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8911" w:type="dxa"/>
            <w:gridSpan w:val="5"/>
            <w:vAlign w:val="top"/>
          </w:tcPr>
          <w:p w14:paraId="111BDDB2">
            <w:pPr>
              <w:pStyle w:val="58"/>
              <w:bidi w:val="0"/>
              <w:rPr>
                <w:rFonts w:hint="default"/>
              </w:rPr>
            </w:pPr>
            <w:r>
              <w:rPr>
                <w:rFonts w:hint="default"/>
              </w:rPr>
              <w:t>填表说明（列出项目相关信息及评价说明）根据《建设项目环境风险评价技术导则》（HJ/T169-2018）附录B，本项目所涉及的风险物质经计算本项目风险物质数量与临界值比值（Q）小于1，则本项目环境风险潜势为Ⅰ,环境风险评级等级为简单分析。</w:t>
            </w:r>
          </w:p>
        </w:tc>
      </w:tr>
      <w:bookmarkEnd w:id="332"/>
      <w:bookmarkEnd w:id="333"/>
      <w:bookmarkEnd w:id="334"/>
    </w:tbl>
    <w:p w14:paraId="11E82C14">
      <w:pPr>
        <w:pStyle w:val="8"/>
        <w:keepNext/>
        <w:keepLines/>
        <w:pageBreakBefore w:val="0"/>
        <w:widowControl w:val="0"/>
        <w:kinsoku/>
        <w:wordWrap/>
        <w:overflowPunct/>
        <w:topLinePunct w:val="0"/>
        <w:autoSpaceDE/>
        <w:autoSpaceDN/>
        <w:bidi w:val="0"/>
        <w:adjustRightInd/>
        <w:snapToGrid/>
        <w:spacing w:line="480" w:lineRule="exact"/>
        <w:textAlignment w:val="auto"/>
        <w:outlineLvl w:val="3"/>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w:t>
      </w:r>
      <w:r>
        <w:rPr>
          <w:rFonts w:hint="default" w:ascii="Times New Roman" w:hAnsi="Times New Roman" w:eastAsia="宋体" w:cs="Times New Roman"/>
          <w:color w:val="000000" w:themeColor="text1"/>
          <w:highlight w:val="none"/>
          <w14:textFill>
            <w14:solidFill>
              <w14:schemeClr w14:val="tx1"/>
            </w14:solidFill>
          </w14:textFill>
        </w:rPr>
        <w:t>.7.</w:t>
      </w:r>
      <w:r>
        <w:rPr>
          <w:rFonts w:hint="default" w:ascii="Times New Roman" w:hAnsi="Times New Roman" w:eastAsia="宋体" w:cs="Times New Roman"/>
          <w:color w:val="000000" w:themeColor="text1"/>
          <w:highlight w:val="none"/>
          <w:lang w:val="en-US" w:eastAsia="zh-CN"/>
          <w14:textFill>
            <w14:solidFill>
              <w14:schemeClr w14:val="tx1"/>
            </w14:solidFill>
          </w14:textFill>
        </w:rPr>
        <w:t>7</w:t>
      </w:r>
      <w:r>
        <w:rPr>
          <w:rFonts w:hint="default" w:ascii="Times New Roman" w:hAnsi="Times New Roman" w:eastAsia="宋体" w:cs="Times New Roman"/>
          <w:color w:val="000000" w:themeColor="text1"/>
          <w:highlight w:val="none"/>
          <w:lang w:eastAsia="zh-CN"/>
          <w14:textFill>
            <w14:solidFill>
              <w14:schemeClr w14:val="tx1"/>
            </w14:solidFill>
          </w14:textFill>
        </w:rPr>
        <w:t>项目环境风险评价自查</w:t>
      </w:r>
    </w:p>
    <w:p w14:paraId="00A2EBAA">
      <w:pPr>
        <w:keepNext w:val="0"/>
        <w:keepLines w:val="0"/>
        <w:pageBreakBefore w:val="0"/>
        <w:widowControl w:val="0"/>
        <w:kinsoku/>
        <w:wordWrap/>
        <w:overflowPunct/>
        <w:topLinePunct w:val="0"/>
        <w:autoSpaceDE/>
        <w:autoSpaceDN/>
        <w:bidi w:val="0"/>
        <w:adjustRightInd/>
        <w:snapToGrid/>
        <w:spacing w:line="480" w:lineRule="exact"/>
        <w:ind w:left="0" w:leftChars="0" w:right="0" w:rightChars="0" w:firstLine="480" w:firstLineChars="200"/>
        <w:textAlignment w:val="auto"/>
        <w:rPr>
          <w:rFonts w:hint="default" w:ascii="Times New Roman" w:hAnsi="Times New Roman" w:eastAsia="宋体" w:cs="Times New Roman"/>
          <w:color w:val="000000" w:themeColor="text1"/>
          <w:kern w:val="0"/>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项目环境风险评价自查表见附表</w:t>
      </w:r>
      <w:r>
        <w:rPr>
          <w:rFonts w:hint="eastAsia" w:cs="Times New Roman"/>
          <w:color w:val="000000" w:themeColor="text1"/>
          <w:kern w:val="0"/>
          <w:sz w:val="24"/>
          <w:szCs w:val="24"/>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w:t>
      </w:r>
    </w:p>
    <w:p w14:paraId="05EF1F09">
      <w:pPr>
        <w:pStyle w:val="6"/>
        <w:keepNext/>
        <w:keepLines/>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5.2</w:t>
      </w:r>
      <w:r>
        <w:rPr>
          <w:rFonts w:hint="default" w:ascii="Times New Roman" w:hAnsi="Times New Roman" w:eastAsia="宋体" w:cs="Times New Roman"/>
          <w:color w:val="000000" w:themeColor="text1"/>
          <w:highlight w:val="none"/>
          <w14:textFill>
            <w14:solidFill>
              <w14:schemeClr w14:val="tx1"/>
            </w14:solidFill>
          </w14:textFill>
        </w:rPr>
        <w:t>.</w:t>
      </w:r>
      <w:r>
        <w:rPr>
          <w:rFonts w:hint="default" w:ascii="Times New Roman" w:hAnsi="Times New Roman" w:eastAsia="宋体" w:cs="Times New Roman"/>
          <w:color w:val="000000" w:themeColor="text1"/>
          <w:highlight w:val="none"/>
          <w:lang w:val="en-US" w:eastAsia="zh-CN"/>
          <w14:textFill>
            <w14:solidFill>
              <w14:schemeClr w14:val="tx1"/>
            </w14:solidFill>
          </w14:textFill>
        </w:rPr>
        <w:t>8</w:t>
      </w:r>
      <w:r>
        <w:rPr>
          <w:rFonts w:hint="default" w:ascii="Times New Roman" w:hAnsi="Times New Roman" w:eastAsia="宋体" w:cs="Times New Roman"/>
          <w:color w:val="000000" w:themeColor="text1"/>
          <w:highlight w:val="none"/>
          <w:lang w:eastAsia="zh-CN"/>
          <w14:textFill>
            <w14:solidFill>
              <w14:schemeClr w14:val="tx1"/>
            </w14:solidFill>
          </w14:textFill>
        </w:rPr>
        <w:t>土壤环境</w:t>
      </w:r>
      <w:r>
        <w:rPr>
          <w:rFonts w:hint="default" w:ascii="Times New Roman" w:hAnsi="Times New Roman" w:eastAsia="宋体" w:cs="Times New Roman"/>
          <w:color w:val="000000" w:themeColor="text1"/>
          <w:highlight w:val="none"/>
          <w14:textFill>
            <w14:solidFill>
              <w14:schemeClr w14:val="tx1"/>
            </w14:solidFill>
          </w14:textFill>
        </w:rPr>
        <w:t>影响分析</w:t>
      </w:r>
    </w:p>
    <w:bookmarkEnd w:id="274"/>
    <w:p w14:paraId="4592F112">
      <w:pPr>
        <w:spacing w:line="480" w:lineRule="exact"/>
        <w:outlineLvl w:val="3"/>
        <w:rPr>
          <w:rFonts w:hint="default" w:ascii="Times New Roman" w:hAnsi="Times New Roman" w:eastAsia="宋体" w:cs="Times New Roman"/>
          <w:b/>
          <w:bCs/>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highlight w:val="none"/>
          <w14:textFill>
            <w14:solidFill>
              <w14:schemeClr w14:val="tx1"/>
            </w14:solidFill>
          </w14:textFill>
        </w:rPr>
        <w:t>5.2.</w:t>
      </w:r>
      <w:r>
        <w:rPr>
          <w:rFonts w:hint="default" w:ascii="Times New Roman" w:hAnsi="Times New Roman" w:eastAsia="宋体" w:cs="Times New Roman"/>
          <w:b/>
          <w:bCs/>
          <w:color w:val="000000" w:themeColor="text1"/>
          <w:sz w:val="24"/>
          <w:highlight w:val="none"/>
          <w:lang w:val="en-US"/>
          <w14:textFill>
            <w14:solidFill>
              <w14:schemeClr w14:val="tx1"/>
            </w14:solidFill>
          </w14:textFill>
        </w:rPr>
        <w:t>8.1</w:t>
      </w:r>
      <w:r>
        <w:rPr>
          <w:rFonts w:hint="default" w:ascii="Times New Roman" w:hAnsi="Times New Roman" w:eastAsia="宋体" w:cs="Times New Roman"/>
          <w:b/>
          <w:bCs/>
          <w:color w:val="000000" w:themeColor="text1"/>
          <w:sz w:val="24"/>
          <w:highlight w:val="none"/>
          <w:lang w:val="en-US" w:eastAsia="zh-CN"/>
          <w14:textFill>
            <w14:solidFill>
              <w14:schemeClr w14:val="tx1"/>
            </w14:solidFill>
          </w14:textFill>
        </w:rPr>
        <w:t>环境影响评价等级判定</w:t>
      </w:r>
    </w:p>
    <w:p w14:paraId="6A409E8F">
      <w:pPr>
        <w:pStyle w:val="21"/>
        <w:keepNext w:val="0"/>
        <w:keepLines w:val="0"/>
        <w:pageBreakBefore w:val="0"/>
        <w:widowControl w:val="0"/>
        <w:kinsoku/>
        <w:wordWrap/>
        <w:overflowPunct/>
        <w:topLinePunct w:val="0"/>
        <w:autoSpaceDE/>
        <w:autoSpaceDN/>
        <w:bidi w:val="0"/>
        <w:adjustRightInd/>
        <w:snapToGrid/>
        <w:spacing w:line="480" w:lineRule="exact"/>
        <w:ind w:left="0" w:leftChars="0" w:right="0" w:rightChars="0" w:firstLine="480" w:firstLineChars="200"/>
        <w:textAlignment w:val="auto"/>
        <w:rPr>
          <w:rFonts w:hint="default" w:ascii="Times New Roman" w:hAnsi="Times New Roman" w:eastAsia="宋体" w:cs="Times New Roman"/>
          <w:color w:val="000000" w:themeColor="text1"/>
          <w:kern w:val="0"/>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4"/>
          <w:szCs w:val="20"/>
          <w:highlight w:val="none"/>
          <w:lang w:val="en-US" w:eastAsia="zh-CN"/>
          <w14:textFill>
            <w14:solidFill>
              <w14:schemeClr w14:val="tx1"/>
            </w14:solidFill>
          </w14:textFill>
        </w:rPr>
        <w:t>⑴土壤环境影响评价项目类别判定</w:t>
      </w:r>
    </w:p>
    <w:p w14:paraId="6B5EAAA4">
      <w:pPr>
        <w:spacing w:line="480" w:lineRule="exact"/>
        <w:ind w:firstLine="480" w:firstLineChars="200"/>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本项目属于“工业废水处理”，确定项目类别为Ⅱ类。</w:t>
      </w:r>
    </w:p>
    <w:p w14:paraId="47D8A7CA">
      <w:pPr>
        <w:spacing w:line="480" w:lineRule="exact"/>
        <w:ind w:firstLine="480" w:firstLineChars="200"/>
        <w:rPr>
          <w:rFonts w:hint="default" w:ascii="Times New Roman" w:hAnsi="Times New Roman" w:eastAsia="宋体" w:cs="Times New Roman"/>
          <w:color w:val="000000" w:themeColor="text1"/>
          <w:sz w:val="24"/>
          <w:highlight w:val="none"/>
          <w:lang w:val="en-US"/>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⑵</w:t>
      </w:r>
      <w:r>
        <w:rPr>
          <w:rFonts w:hint="default" w:ascii="Times New Roman" w:hAnsi="Times New Roman" w:eastAsia="宋体" w:cs="Times New Roman"/>
          <w:color w:val="000000" w:themeColor="text1"/>
          <w:sz w:val="24"/>
          <w:highlight w:val="none"/>
          <w:lang w:val="en-US"/>
          <w14:textFill>
            <w14:solidFill>
              <w14:schemeClr w14:val="tx1"/>
            </w14:solidFill>
          </w14:textFill>
        </w:rPr>
        <w:t>敏感度判定</w:t>
      </w:r>
    </w:p>
    <w:p w14:paraId="2B22F55E">
      <w:pPr>
        <w:spacing w:line="480" w:lineRule="exact"/>
        <w:ind w:firstLine="480" w:firstLineChars="200"/>
        <w:rPr>
          <w:rFonts w:hint="default" w:ascii="Times New Roman" w:hAnsi="Times New Roman" w:eastAsia="宋体" w:cs="Times New Roman"/>
          <w:color w:val="000000" w:themeColor="text1"/>
          <w:sz w:val="24"/>
          <w:highlight w:val="none"/>
          <w:lang w:val="en-US"/>
          <w14:textFill>
            <w14:solidFill>
              <w14:schemeClr w14:val="tx1"/>
            </w14:solidFill>
          </w14:textFill>
        </w:rPr>
      </w:pPr>
      <w:r>
        <w:rPr>
          <w:rFonts w:hint="default" w:ascii="Times New Roman" w:hAnsi="Times New Roman" w:eastAsia="宋体" w:cs="Times New Roman"/>
          <w:color w:val="000000" w:themeColor="text1"/>
          <w:sz w:val="24"/>
          <w:highlight w:val="none"/>
          <w:lang w:val="en-US"/>
          <w14:textFill>
            <w14:solidFill>
              <w14:schemeClr w14:val="tx1"/>
            </w14:solidFill>
          </w14:textFill>
        </w:rPr>
        <w:t>本项目位于</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唐山市曹妃甸区垦丰家居产业园区</w:t>
      </w:r>
      <w:r>
        <w:rPr>
          <w:rFonts w:hint="default" w:ascii="Times New Roman" w:hAnsi="Times New Roman" w:eastAsia="宋体" w:cs="Times New Roman"/>
          <w:color w:val="000000" w:themeColor="text1"/>
          <w:sz w:val="24"/>
          <w:highlight w:val="none"/>
          <w:lang w:val="en-US"/>
          <w14:textFill>
            <w14:solidFill>
              <w14:schemeClr w14:val="tx1"/>
            </w14:solidFill>
          </w14:textFill>
        </w:rPr>
        <w:t>，</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项目北侧50m处为养殖水面，因此</w:t>
      </w:r>
      <w:r>
        <w:rPr>
          <w:rFonts w:hint="default" w:ascii="Times New Roman" w:hAnsi="Times New Roman" w:eastAsia="宋体" w:cs="Times New Roman"/>
          <w:color w:val="000000" w:themeColor="text1"/>
          <w:sz w:val="24"/>
          <w:highlight w:val="none"/>
          <w:lang w:val="en-US"/>
          <w14:textFill>
            <w14:solidFill>
              <w14:schemeClr w14:val="tx1"/>
            </w14:solidFill>
          </w14:textFill>
        </w:rPr>
        <w:t>土壤环境敏感程度为</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“较敏感”</w:t>
      </w:r>
      <w:r>
        <w:rPr>
          <w:rFonts w:hint="default" w:ascii="Times New Roman" w:hAnsi="Times New Roman" w:eastAsia="宋体" w:cs="Times New Roman"/>
          <w:color w:val="000000" w:themeColor="text1"/>
          <w:sz w:val="24"/>
          <w:highlight w:val="none"/>
          <w:lang w:val="en-US"/>
          <w14:textFill>
            <w14:solidFill>
              <w14:schemeClr w14:val="tx1"/>
            </w14:solidFill>
          </w14:textFill>
        </w:rPr>
        <w:t>。</w:t>
      </w:r>
    </w:p>
    <w:p w14:paraId="58CD3961">
      <w:pPr>
        <w:spacing w:line="480" w:lineRule="exact"/>
        <w:ind w:firstLine="480" w:firstLineChars="200"/>
        <w:rPr>
          <w:rFonts w:hint="default" w:ascii="Times New Roman" w:hAnsi="Times New Roman" w:eastAsia="宋体" w:cs="Times New Roman"/>
          <w:color w:val="000000" w:themeColor="text1"/>
          <w:sz w:val="24"/>
          <w:highlight w:val="none"/>
          <w:lang w:val="en-US"/>
          <w14:textFill>
            <w14:solidFill>
              <w14:schemeClr w14:val="tx1"/>
            </w14:solidFill>
          </w14:textFill>
        </w:rPr>
      </w:pPr>
      <w:r>
        <w:rPr>
          <w:rFonts w:hint="default" w:ascii="Times New Roman" w:hAnsi="Times New Roman" w:eastAsia="宋体" w:cs="Times New Roman"/>
          <w:color w:val="000000" w:themeColor="text1"/>
          <w:sz w:val="24"/>
          <w:highlight w:val="none"/>
          <w:lang w:val="en-US"/>
          <w14:textFill>
            <w14:solidFill>
              <w14:schemeClr w14:val="tx1"/>
            </w14:solidFill>
          </w14:textFill>
        </w:rPr>
        <w:t>⑶项目占地规模</w:t>
      </w:r>
    </w:p>
    <w:p w14:paraId="73A9C7E7">
      <w:pPr>
        <w:spacing w:line="480" w:lineRule="exact"/>
        <w:ind w:firstLine="480" w:firstLineChars="200"/>
        <w:rPr>
          <w:rFonts w:hint="default" w:ascii="Times New Roman" w:hAnsi="Times New Roman" w:eastAsia="宋体" w:cs="Times New Roman"/>
          <w:color w:val="000000" w:themeColor="text1"/>
          <w:sz w:val="24"/>
          <w:highlight w:val="none"/>
          <w:lang w:val="en-US"/>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本项目</w:t>
      </w:r>
      <w:r>
        <w:rPr>
          <w:rFonts w:hint="default" w:ascii="Times New Roman" w:hAnsi="Times New Roman" w:eastAsia="宋体" w:cs="Times New Roman"/>
          <w:color w:val="000000" w:themeColor="text1"/>
          <w:sz w:val="24"/>
          <w:highlight w:val="none"/>
          <w:lang w:val="en-US"/>
          <w14:textFill>
            <w14:solidFill>
              <w14:schemeClr w14:val="tx1"/>
            </w14:solidFill>
          </w14:textFill>
        </w:rPr>
        <w:t>占地面积为</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11100</w:t>
      </w:r>
      <w:r>
        <w:rPr>
          <w:rFonts w:hint="default" w:ascii="Times New Roman" w:hAnsi="Times New Roman" w:eastAsia="宋体" w:cs="Times New Roman"/>
          <w:color w:val="000000" w:themeColor="text1"/>
          <w:sz w:val="24"/>
          <w:highlight w:val="none"/>
          <w14:textFill>
            <w14:solidFill>
              <w14:schemeClr w14:val="tx1"/>
            </w14:solidFill>
          </w14:textFill>
        </w:rPr>
        <w:t>m</w:t>
      </w:r>
      <w:r>
        <w:rPr>
          <w:rFonts w:hint="default" w:ascii="Times New Roman" w:hAnsi="Times New Roman" w:eastAsia="宋体" w:cs="Times New Roman"/>
          <w:color w:val="000000" w:themeColor="text1"/>
          <w:sz w:val="24"/>
          <w:highlight w:val="none"/>
          <w:vertAlign w:val="superscript"/>
          <w14:textFill>
            <w14:solidFill>
              <w14:schemeClr w14:val="tx1"/>
            </w14:solidFill>
          </w14:textFill>
        </w:rPr>
        <w:t>2</w:t>
      </w:r>
      <w:r>
        <w:rPr>
          <w:rFonts w:hint="default" w:ascii="Times New Roman" w:hAnsi="Times New Roman" w:eastAsia="宋体" w:cs="Times New Roman"/>
          <w:color w:val="000000" w:themeColor="text1"/>
          <w:sz w:val="24"/>
          <w:highlight w:val="none"/>
          <w:lang w:val="en-US"/>
          <w14:textFill>
            <w14:solidFill>
              <w14:schemeClr w14:val="tx1"/>
            </w14:solidFill>
          </w14:textFill>
        </w:rPr>
        <w:t>，占地规模为</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小</w:t>
      </w:r>
      <w:r>
        <w:rPr>
          <w:rFonts w:hint="default" w:ascii="Times New Roman" w:hAnsi="Times New Roman" w:eastAsia="宋体" w:cs="Times New Roman"/>
          <w:color w:val="000000" w:themeColor="text1"/>
          <w:sz w:val="24"/>
          <w:highlight w:val="none"/>
          <w:lang w:val="en-US"/>
          <w14:textFill>
            <w14:solidFill>
              <w14:schemeClr w14:val="tx1"/>
            </w14:solidFill>
          </w14:textFill>
        </w:rPr>
        <w:t>型。</w:t>
      </w:r>
    </w:p>
    <w:p w14:paraId="2EB70B2F">
      <w:pPr>
        <w:spacing w:line="480" w:lineRule="exact"/>
        <w:ind w:firstLine="480" w:firstLineChars="200"/>
        <w:rPr>
          <w:rFonts w:hint="default" w:ascii="Times New Roman" w:hAnsi="Times New Roman" w:eastAsia="宋体" w:cs="Times New Roman"/>
          <w:color w:val="000000" w:themeColor="text1"/>
          <w:sz w:val="24"/>
          <w:highlight w:val="none"/>
          <w:lang w:val="en-US"/>
          <w14:textFill>
            <w14:solidFill>
              <w14:schemeClr w14:val="tx1"/>
            </w14:solidFill>
          </w14:textFill>
        </w:rPr>
      </w:pPr>
      <w:r>
        <w:rPr>
          <w:rFonts w:hint="default" w:ascii="Times New Roman" w:hAnsi="Times New Roman" w:eastAsia="宋体" w:cs="Times New Roman"/>
          <w:color w:val="000000" w:themeColor="text1"/>
          <w:sz w:val="24"/>
          <w:highlight w:val="none"/>
          <w:lang w:val="en-US"/>
          <w14:textFill>
            <w14:solidFill>
              <w14:schemeClr w14:val="tx1"/>
            </w14:solidFill>
          </w14:textFill>
        </w:rPr>
        <w:t>⑷土壤环境等级确定</w:t>
      </w:r>
    </w:p>
    <w:p w14:paraId="1069E253">
      <w:pPr>
        <w:spacing w:line="480" w:lineRule="exact"/>
        <w:ind w:firstLine="480" w:firstLineChars="200"/>
        <w:rPr>
          <w:rFonts w:hint="default" w:ascii="Times New Roman" w:hAnsi="Times New Roman" w:eastAsia="宋体" w:cs="Times New Roman"/>
          <w:color w:val="000000" w:themeColor="text1"/>
          <w:sz w:val="24"/>
          <w:highlight w:val="none"/>
          <w:lang w:val="en-US"/>
          <w14:textFill>
            <w14:solidFill>
              <w14:schemeClr w14:val="tx1"/>
            </w14:solidFill>
          </w14:textFill>
        </w:rPr>
      </w:pPr>
      <w:r>
        <w:rPr>
          <w:rFonts w:hint="default" w:ascii="Times New Roman" w:hAnsi="Times New Roman" w:eastAsia="宋体" w:cs="Times New Roman"/>
          <w:color w:val="000000" w:themeColor="text1"/>
          <w:sz w:val="24"/>
          <w:highlight w:val="none"/>
          <w:lang w:val="en-US"/>
          <w14:textFill>
            <w14:solidFill>
              <w14:schemeClr w14:val="tx1"/>
            </w14:solidFill>
          </w14:textFill>
        </w:rPr>
        <w:t>本项目土壤环境影响评价项目类别为</w:t>
      </w:r>
      <w:r>
        <w:rPr>
          <w:rFonts w:hint="default" w:ascii="Times New Roman" w:hAnsi="Times New Roman" w:eastAsia="宋体" w:cs="Times New Roman"/>
          <w:bCs/>
          <w:color w:val="000000" w:themeColor="text1"/>
          <w:sz w:val="24"/>
          <w:szCs w:val="24"/>
          <w:highlight w:val="none"/>
          <w:lang w:val="en-US" w:eastAsia="zh-CN"/>
          <w14:textFill>
            <w14:solidFill>
              <w14:schemeClr w14:val="tx1"/>
            </w14:solidFill>
          </w14:textFill>
        </w:rPr>
        <w:t>Ⅱ</w:t>
      </w:r>
      <w:r>
        <w:rPr>
          <w:rFonts w:hint="default" w:ascii="Times New Roman" w:hAnsi="Times New Roman" w:eastAsia="宋体" w:cs="Times New Roman"/>
          <w:color w:val="000000" w:themeColor="text1"/>
          <w:sz w:val="24"/>
          <w:highlight w:val="none"/>
          <w:lang w:val="en-US"/>
          <w14:textFill>
            <w14:solidFill>
              <w14:schemeClr w14:val="tx1"/>
            </w14:solidFill>
          </w14:textFill>
        </w:rPr>
        <w:t>类，占地规模为</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小</w:t>
      </w:r>
      <w:r>
        <w:rPr>
          <w:rFonts w:hint="default" w:ascii="Times New Roman" w:hAnsi="Times New Roman" w:eastAsia="宋体" w:cs="Times New Roman"/>
          <w:color w:val="000000" w:themeColor="text1"/>
          <w:sz w:val="24"/>
          <w:highlight w:val="none"/>
          <w:lang w:val="en-US"/>
          <w14:textFill>
            <w14:solidFill>
              <w14:schemeClr w14:val="tx1"/>
            </w14:solidFill>
          </w14:textFill>
        </w:rPr>
        <w:t>型，敏感程度为</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较</w:t>
      </w:r>
      <w:r>
        <w:rPr>
          <w:rFonts w:hint="default" w:ascii="Times New Roman" w:hAnsi="Times New Roman" w:eastAsia="宋体" w:cs="Times New Roman"/>
          <w:color w:val="000000" w:themeColor="text1"/>
          <w:sz w:val="24"/>
          <w:highlight w:val="none"/>
          <w:lang w:val="en-US"/>
          <w14:textFill>
            <w14:solidFill>
              <w14:schemeClr w14:val="tx1"/>
            </w14:solidFill>
          </w14:textFill>
        </w:rPr>
        <w:t>敏感，因此确定土壤环境评价等级为</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三</w:t>
      </w:r>
      <w:r>
        <w:rPr>
          <w:rFonts w:hint="default" w:ascii="Times New Roman" w:hAnsi="Times New Roman" w:eastAsia="宋体" w:cs="Times New Roman"/>
          <w:color w:val="000000" w:themeColor="text1"/>
          <w:sz w:val="24"/>
          <w:highlight w:val="none"/>
          <w:lang w:val="en-US"/>
          <w14:textFill>
            <w14:solidFill>
              <w14:schemeClr w14:val="tx1"/>
            </w14:solidFill>
          </w14:textFill>
        </w:rPr>
        <w:t>级。</w:t>
      </w:r>
    </w:p>
    <w:p w14:paraId="5B42C8A8">
      <w:pPr>
        <w:spacing w:line="480" w:lineRule="exact"/>
        <w:outlineLvl w:val="3"/>
        <w:rPr>
          <w:rFonts w:hint="default" w:ascii="Times New Roman" w:hAnsi="Times New Roman" w:eastAsia="宋体" w:cs="Times New Roman"/>
          <w:b/>
          <w:bCs/>
          <w:color w:val="000000" w:themeColor="text1"/>
          <w:sz w:val="24"/>
          <w:highlight w:val="none"/>
          <w:lang w:eastAsia="zh-CN"/>
          <w14:textFill>
            <w14:solidFill>
              <w14:schemeClr w14:val="tx1"/>
            </w14:solidFill>
          </w14:textFill>
        </w:rPr>
      </w:pPr>
      <w:r>
        <w:rPr>
          <w:rFonts w:hint="default" w:ascii="Times New Roman" w:hAnsi="Times New Roman" w:eastAsia="宋体" w:cs="Times New Roman"/>
          <w:b/>
          <w:bCs/>
          <w:color w:val="000000" w:themeColor="text1"/>
          <w:sz w:val="24"/>
          <w:highlight w:val="none"/>
          <w14:textFill>
            <w14:solidFill>
              <w14:schemeClr w14:val="tx1"/>
            </w14:solidFill>
          </w14:textFill>
        </w:rPr>
        <w:t>5.2.</w:t>
      </w:r>
      <w:r>
        <w:rPr>
          <w:rFonts w:hint="default" w:ascii="Times New Roman" w:hAnsi="Times New Roman" w:eastAsia="宋体" w:cs="Times New Roman"/>
          <w:b/>
          <w:bCs/>
          <w:color w:val="000000" w:themeColor="text1"/>
          <w:sz w:val="24"/>
          <w:highlight w:val="none"/>
          <w:lang w:val="en-US"/>
          <w14:textFill>
            <w14:solidFill>
              <w14:schemeClr w14:val="tx1"/>
            </w14:solidFill>
          </w14:textFill>
        </w:rPr>
        <w:t>8.</w:t>
      </w:r>
      <w:r>
        <w:rPr>
          <w:rFonts w:hint="default" w:ascii="Times New Roman" w:hAnsi="Times New Roman" w:eastAsia="宋体" w:cs="Times New Roman"/>
          <w:b/>
          <w:bCs/>
          <w:color w:val="000000" w:themeColor="text1"/>
          <w:sz w:val="24"/>
          <w:highlight w:val="none"/>
          <w:lang w:val="en-US" w:eastAsia="zh-CN"/>
          <w14:textFill>
            <w14:solidFill>
              <w14:schemeClr w14:val="tx1"/>
            </w14:solidFill>
          </w14:textFill>
        </w:rPr>
        <w:t>2</w:t>
      </w:r>
      <w:r>
        <w:rPr>
          <w:rFonts w:hint="default" w:ascii="Times New Roman" w:hAnsi="Times New Roman" w:eastAsia="宋体" w:cs="Times New Roman"/>
          <w:b/>
          <w:bCs/>
          <w:color w:val="000000" w:themeColor="text1"/>
          <w:sz w:val="24"/>
          <w:highlight w:val="none"/>
          <w:lang w:val="en-US"/>
          <w14:textFill>
            <w14:solidFill>
              <w14:schemeClr w14:val="tx1"/>
            </w14:solidFill>
          </w14:textFill>
        </w:rPr>
        <w:t>土壤环境影响</w:t>
      </w:r>
      <w:r>
        <w:rPr>
          <w:rFonts w:hint="default" w:ascii="Times New Roman" w:hAnsi="Times New Roman" w:eastAsia="宋体" w:cs="Times New Roman"/>
          <w:b/>
          <w:bCs/>
          <w:color w:val="000000" w:themeColor="text1"/>
          <w:sz w:val="24"/>
          <w:highlight w:val="none"/>
          <w:lang w:val="en-US" w:eastAsia="zh-CN"/>
          <w14:textFill>
            <w14:solidFill>
              <w14:schemeClr w14:val="tx1"/>
            </w14:solidFill>
          </w14:textFill>
        </w:rPr>
        <w:t>评价范围</w:t>
      </w:r>
    </w:p>
    <w:p w14:paraId="5D38B47D">
      <w:pPr>
        <w:bidi w:val="0"/>
        <w:rPr>
          <w:rFonts w:hint="default"/>
          <w:highlight w:val="none"/>
          <w:lang w:val="en-US" w:eastAsia="zh-CN"/>
        </w:rPr>
      </w:pPr>
      <w:r>
        <w:rPr>
          <w:rFonts w:hint="default"/>
          <w:highlight w:val="none"/>
          <w:lang w:val="en-US" w:eastAsia="zh-CN"/>
        </w:rPr>
        <w:t>本项目土壤环境评价范围为厂区占地范围及周边50m范围。</w:t>
      </w:r>
    </w:p>
    <w:p w14:paraId="0B08ED7A">
      <w:pPr>
        <w:spacing w:line="480" w:lineRule="exact"/>
        <w:outlineLvl w:val="3"/>
        <w:rPr>
          <w:rFonts w:hint="default" w:ascii="Times New Roman" w:hAnsi="Times New Roman" w:eastAsia="宋体" w:cs="Times New Roman"/>
          <w:b/>
          <w:bCs/>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highlight w:val="none"/>
          <w14:textFill>
            <w14:solidFill>
              <w14:schemeClr w14:val="tx1"/>
            </w14:solidFill>
          </w14:textFill>
        </w:rPr>
        <w:t>5.2.</w:t>
      </w:r>
      <w:r>
        <w:rPr>
          <w:rFonts w:hint="default" w:ascii="Times New Roman" w:hAnsi="Times New Roman" w:eastAsia="宋体" w:cs="Times New Roman"/>
          <w:b/>
          <w:bCs/>
          <w:color w:val="000000" w:themeColor="text1"/>
          <w:sz w:val="24"/>
          <w:highlight w:val="none"/>
          <w:lang w:val="en-US"/>
          <w14:textFill>
            <w14:solidFill>
              <w14:schemeClr w14:val="tx1"/>
            </w14:solidFill>
          </w14:textFill>
        </w:rPr>
        <w:t>8.</w:t>
      </w:r>
      <w:r>
        <w:rPr>
          <w:rFonts w:hint="default" w:ascii="Times New Roman" w:hAnsi="Times New Roman" w:eastAsia="宋体" w:cs="Times New Roman"/>
          <w:b/>
          <w:bCs/>
          <w:color w:val="000000" w:themeColor="text1"/>
          <w:sz w:val="24"/>
          <w:highlight w:val="none"/>
          <w:lang w:val="en-US" w:eastAsia="zh-CN"/>
          <w14:textFill>
            <w14:solidFill>
              <w14:schemeClr w14:val="tx1"/>
            </w14:solidFill>
          </w14:textFill>
        </w:rPr>
        <w:t>3土壤类型调查</w:t>
      </w:r>
    </w:p>
    <w:p w14:paraId="4C2F4DD0">
      <w:pPr>
        <w:bidi w:val="0"/>
        <w:ind w:firstLine="720"/>
        <w:rPr>
          <w:rFonts w:hint="default" w:ascii="Times New Roman" w:hAnsi="Times New Roman" w:eastAsia="宋体"/>
          <w:highlight w:val="none"/>
          <w:lang w:val="en-US" w:eastAsia="zh-CN"/>
        </w:rPr>
      </w:pPr>
      <w:r>
        <w:rPr>
          <w:rFonts w:hint="default" w:ascii="Times New Roman" w:hAnsi="Times New Roman" w:eastAsia="宋体"/>
          <w:highlight w:val="none"/>
          <w:lang w:val="en-US" w:eastAsia="zh-CN"/>
        </w:rPr>
        <w:t>根据调查，评价范围内土壤类型为滨海盐土，土壤类型表见下表。</w:t>
      </w:r>
    </w:p>
    <w:p w14:paraId="4D838D79">
      <w:pPr>
        <w:numPr>
          <w:ilvl w:val="0"/>
          <w:numId w:val="3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土壤调查范围内土壤类型表</w:t>
      </w:r>
    </w:p>
    <w:tbl>
      <w:tblPr>
        <w:tblStyle w:val="47"/>
        <w:tblW w:w="4996"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004"/>
        <w:gridCol w:w="1851"/>
        <w:gridCol w:w="2405"/>
        <w:gridCol w:w="3021"/>
      </w:tblGrid>
      <w:tr w14:paraId="629639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79" w:type="pct"/>
            <w:tcBorders>
              <w:tl2br w:val="nil"/>
              <w:tr2bl w:val="nil"/>
            </w:tcBorders>
            <w:noWrap w:val="0"/>
            <w:vAlign w:val="center"/>
          </w:tcPr>
          <w:p w14:paraId="2A0E88FA">
            <w:pPr>
              <w:pStyle w:val="58"/>
              <w:bidi w:val="0"/>
              <w:jc w:val="center"/>
              <w:rPr>
                <w:rFonts w:hint="default"/>
                <w:highlight w:val="none"/>
              </w:rPr>
            </w:pPr>
            <w:r>
              <w:rPr>
                <w:rFonts w:hint="default"/>
                <w:highlight w:val="none"/>
              </w:rPr>
              <w:t>土壤类型</w:t>
            </w:r>
          </w:p>
        </w:tc>
        <w:tc>
          <w:tcPr>
            <w:tcW w:w="997" w:type="pct"/>
            <w:tcBorders>
              <w:tl2br w:val="nil"/>
              <w:tr2bl w:val="nil"/>
            </w:tcBorders>
            <w:noWrap w:val="0"/>
            <w:vAlign w:val="center"/>
          </w:tcPr>
          <w:p w14:paraId="1249C040">
            <w:pPr>
              <w:pStyle w:val="58"/>
              <w:bidi w:val="0"/>
              <w:jc w:val="center"/>
              <w:rPr>
                <w:rFonts w:hint="default"/>
                <w:highlight w:val="none"/>
              </w:rPr>
            </w:pPr>
            <w:r>
              <w:rPr>
                <w:rFonts w:hint="default"/>
                <w:highlight w:val="none"/>
              </w:rPr>
              <w:t>面积（</w:t>
            </w:r>
            <w:r>
              <w:rPr>
                <w:rFonts w:hint="default"/>
                <w:highlight w:val="none"/>
                <w:lang w:val="en-US" w:eastAsia="zh-CN"/>
              </w:rPr>
              <w:t>k</w:t>
            </w:r>
            <w:r>
              <w:rPr>
                <w:rFonts w:hint="default"/>
                <w:highlight w:val="none"/>
              </w:rPr>
              <w:t>m</w:t>
            </w:r>
            <w:r>
              <w:rPr>
                <w:rFonts w:hint="default"/>
                <w:highlight w:val="none"/>
                <w:vertAlign w:val="superscript"/>
              </w:rPr>
              <w:t>2</w:t>
            </w:r>
            <w:r>
              <w:rPr>
                <w:rFonts w:hint="default"/>
                <w:highlight w:val="none"/>
              </w:rPr>
              <w:t>）</w:t>
            </w:r>
          </w:p>
        </w:tc>
        <w:tc>
          <w:tcPr>
            <w:tcW w:w="1295" w:type="pct"/>
            <w:tcBorders>
              <w:tl2br w:val="nil"/>
              <w:tr2bl w:val="nil"/>
            </w:tcBorders>
            <w:noWrap w:val="0"/>
            <w:vAlign w:val="center"/>
          </w:tcPr>
          <w:p w14:paraId="42957926">
            <w:pPr>
              <w:pStyle w:val="58"/>
              <w:bidi w:val="0"/>
              <w:jc w:val="center"/>
              <w:rPr>
                <w:rFonts w:hint="default"/>
                <w:highlight w:val="none"/>
              </w:rPr>
            </w:pPr>
            <w:r>
              <w:rPr>
                <w:rFonts w:hint="default"/>
                <w:highlight w:val="none"/>
              </w:rPr>
              <w:t>占比（%）</w:t>
            </w:r>
          </w:p>
        </w:tc>
        <w:tc>
          <w:tcPr>
            <w:tcW w:w="1627" w:type="pct"/>
            <w:tcBorders>
              <w:tl2br w:val="nil"/>
              <w:tr2bl w:val="nil"/>
            </w:tcBorders>
            <w:noWrap w:val="0"/>
            <w:vAlign w:val="center"/>
          </w:tcPr>
          <w:p w14:paraId="1C84EE95">
            <w:pPr>
              <w:pStyle w:val="58"/>
              <w:bidi w:val="0"/>
              <w:jc w:val="center"/>
              <w:rPr>
                <w:rFonts w:hint="default"/>
                <w:highlight w:val="none"/>
              </w:rPr>
            </w:pPr>
            <w:r>
              <w:rPr>
                <w:rFonts w:hint="default"/>
                <w:highlight w:val="none"/>
              </w:rPr>
              <w:t>分布情况</w:t>
            </w:r>
          </w:p>
        </w:tc>
      </w:tr>
      <w:tr w14:paraId="5C78F9A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79" w:type="pct"/>
            <w:tcBorders>
              <w:tl2br w:val="nil"/>
              <w:tr2bl w:val="nil"/>
            </w:tcBorders>
            <w:noWrap w:val="0"/>
            <w:vAlign w:val="center"/>
          </w:tcPr>
          <w:p w14:paraId="6BD9E56A">
            <w:pPr>
              <w:pStyle w:val="58"/>
              <w:bidi w:val="0"/>
              <w:jc w:val="center"/>
              <w:rPr>
                <w:rFonts w:hint="default"/>
                <w:highlight w:val="none"/>
                <w:lang w:val="en-US" w:eastAsia="zh-CN"/>
              </w:rPr>
            </w:pPr>
            <w:r>
              <w:rPr>
                <w:rFonts w:hint="default"/>
                <w:highlight w:val="none"/>
                <w:lang w:val="en-US" w:eastAsia="zh-CN"/>
              </w:rPr>
              <w:t>滨海盐土</w:t>
            </w:r>
          </w:p>
        </w:tc>
        <w:tc>
          <w:tcPr>
            <w:tcW w:w="997" w:type="pct"/>
            <w:tcBorders>
              <w:tl2br w:val="nil"/>
              <w:tr2bl w:val="nil"/>
            </w:tcBorders>
            <w:noWrap w:val="0"/>
            <w:vAlign w:val="center"/>
          </w:tcPr>
          <w:p w14:paraId="512031B8">
            <w:pPr>
              <w:pStyle w:val="58"/>
              <w:bidi w:val="0"/>
              <w:jc w:val="center"/>
              <w:rPr>
                <w:rFonts w:hint="default"/>
                <w:highlight w:val="none"/>
                <w:lang w:val="en-US" w:eastAsia="zh-CN"/>
              </w:rPr>
            </w:pPr>
            <w:r>
              <w:rPr>
                <w:rFonts w:hint="default"/>
                <w:highlight w:val="none"/>
                <w:lang w:val="en-US" w:eastAsia="zh-CN"/>
              </w:rPr>
              <w:t>0.111</w:t>
            </w:r>
          </w:p>
        </w:tc>
        <w:tc>
          <w:tcPr>
            <w:tcW w:w="1295" w:type="pct"/>
            <w:tcBorders>
              <w:tl2br w:val="nil"/>
              <w:tr2bl w:val="nil"/>
            </w:tcBorders>
            <w:noWrap w:val="0"/>
            <w:vAlign w:val="center"/>
          </w:tcPr>
          <w:p w14:paraId="74E4CAD0">
            <w:pPr>
              <w:pStyle w:val="58"/>
              <w:bidi w:val="0"/>
              <w:jc w:val="center"/>
              <w:rPr>
                <w:rFonts w:hint="default"/>
                <w:highlight w:val="none"/>
              </w:rPr>
            </w:pPr>
            <w:r>
              <w:rPr>
                <w:rFonts w:hint="default"/>
                <w:highlight w:val="none"/>
              </w:rPr>
              <w:t>100</w:t>
            </w:r>
          </w:p>
        </w:tc>
        <w:tc>
          <w:tcPr>
            <w:tcW w:w="1627" w:type="pct"/>
            <w:tcBorders>
              <w:tl2br w:val="nil"/>
              <w:tr2bl w:val="nil"/>
            </w:tcBorders>
            <w:noWrap w:val="0"/>
            <w:vAlign w:val="center"/>
          </w:tcPr>
          <w:p w14:paraId="048ADBA2">
            <w:pPr>
              <w:pStyle w:val="58"/>
              <w:bidi w:val="0"/>
              <w:jc w:val="center"/>
              <w:rPr>
                <w:rFonts w:hint="default"/>
                <w:highlight w:val="none"/>
              </w:rPr>
            </w:pPr>
            <w:r>
              <w:rPr>
                <w:rFonts w:hint="default"/>
                <w:highlight w:val="none"/>
              </w:rPr>
              <w:t>调查范围的东、西、南、北部</w:t>
            </w:r>
          </w:p>
        </w:tc>
      </w:tr>
    </w:tbl>
    <w:p w14:paraId="43F1B7CA">
      <w:pPr>
        <w:spacing w:line="480" w:lineRule="exact"/>
        <w:outlineLvl w:val="3"/>
        <w:rPr>
          <w:rFonts w:hint="default" w:ascii="Times New Roman" w:hAnsi="Times New Roman" w:eastAsia="宋体" w:cs="Times New Roman"/>
          <w:b/>
          <w:bCs/>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highlight w:val="none"/>
          <w14:textFill>
            <w14:solidFill>
              <w14:schemeClr w14:val="tx1"/>
            </w14:solidFill>
          </w14:textFill>
        </w:rPr>
        <w:t>5.2.</w:t>
      </w:r>
      <w:r>
        <w:rPr>
          <w:rFonts w:hint="default" w:ascii="Times New Roman" w:hAnsi="Times New Roman" w:eastAsia="宋体" w:cs="Times New Roman"/>
          <w:b/>
          <w:bCs/>
          <w:color w:val="000000" w:themeColor="text1"/>
          <w:sz w:val="24"/>
          <w:highlight w:val="none"/>
          <w:lang w:val="en-US"/>
          <w14:textFill>
            <w14:solidFill>
              <w14:schemeClr w14:val="tx1"/>
            </w14:solidFill>
          </w14:textFill>
        </w:rPr>
        <w:t>8.</w:t>
      </w:r>
      <w:r>
        <w:rPr>
          <w:rFonts w:hint="default" w:ascii="Times New Roman" w:hAnsi="Times New Roman" w:eastAsia="宋体" w:cs="Times New Roman"/>
          <w:b/>
          <w:bCs/>
          <w:color w:val="000000" w:themeColor="text1"/>
          <w:sz w:val="24"/>
          <w:highlight w:val="none"/>
          <w:lang w:val="en-US" w:eastAsia="zh-CN"/>
          <w14:textFill>
            <w14:solidFill>
              <w14:schemeClr w14:val="tx1"/>
            </w14:solidFill>
          </w14:textFill>
        </w:rPr>
        <w:t>4污染途径及影响类型</w:t>
      </w:r>
    </w:p>
    <w:p w14:paraId="660C9C24">
      <w:pPr>
        <w:keepNext w:val="0"/>
        <w:keepLines w:val="0"/>
        <w:pageBreakBefore w:val="0"/>
        <w:widowControl w:val="0"/>
        <w:kinsoku/>
        <w:wordWrap/>
        <w:overflowPunct/>
        <w:topLinePunct w:val="0"/>
        <w:autoSpaceDE/>
        <w:autoSpaceDN/>
        <w:bidi w:val="0"/>
        <w:adjustRightInd/>
        <w:snapToGrid/>
        <w:spacing w:line="480" w:lineRule="exact"/>
        <w:ind w:left="0" w:right="0" w:firstLine="480" w:firstLineChars="200"/>
        <w:textAlignment w:val="auto"/>
        <w:outlineLvl w:val="9"/>
        <w:rPr>
          <w:rFonts w:hint="default" w:ascii="Times New Roman" w:hAnsi="Times New Roman" w:eastAsia="宋体" w:cs="Times New Roman"/>
          <w:color w:val="000000" w:themeColor="text1"/>
          <w:kern w:val="0"/>
          <w:sz w:val="24"/>
          <w:szCs w:val="20"/>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本项目可能涉及土壤污染的途径主要为垂直入渗。通过工程分析可知，项目厂区地面均进行硬化处理，</w:t>
      </w:r>
      <w:r>
        <w:rPr>
          <w:rFonts w:hint="eastAsia" w:cs="Times New Roman"/>
          <w:color w:val="000000" w:themeColor="text1"/>
          <w:sz w:val="24"/>
          <w:szCs w:val="24"/>
          <w:highlight w:val="none"/>
          <w:lang w:val="en-US" w:eastAsia="zh-CN"/>
          <w14:textFill>
            <w14:solidFill>
              <w14:schemeClr w14:val="tx1"/>
            </w14:solidFill>
          </w14:textFill>
        </w:rPr>
        <w:t>加药间、实验室</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、水池、危废暂存间按照相关要求进行了防腐防渗。因此，本项目涉及土壤污染的途径为</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润滑油、</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液压油</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、废润滑油、</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废液压油、实验室药品、实验废液等在防渗层防渗失效的情况下，入渗进入土壤，</w:t>
      </w:r>
      <w:r>
        <w:rPr>
          <w:rFonts w:hint="default" w:ascii="Times New Roman" w:hAnsi="Times New Roman" w:eastAsia="宋体" w:cs="Times New Roman"/>
          <w:color w:val="000000" w:themeColor="text1"/>
          <w:sz w:val="24"/>
          <w:szCs w:val="24"/>
          <w:highlight w:val="none"/>
          <w14:textFill>
            <w14:solidFill>
              <w14:schemeClr w14:val="tx1"/>
            </w14:solidFill>
          </w14:textFill>
        </w:rPr>
        <w:t>从而对土壤造成污染</w:t>
      </w:r>
      <w:r>
        <w:rPr>
          <w:rFonts w:hint="default" w:ascii="Times New Roman" w:hAnsi="Times New Roman" w:eastAsia="宋体" w:cs="Times New Roman"/>
          <w:color w:val="000000" w:themeColor="text1"/>
          <w:kern w:val="0"/>
          <w:sz w:val="24"/>
          <w:szCs w:val="20"/>
          <w:highlight w:val="none"/>
          <w:lang w:val="en-US" w:eastAsia="zh-CN"/>
          <w14:textFill>
            <w14:solidFill>
              <w14:schemeClr w14:val="tx1"/>
            </w14:solidFill>
          </w14:textFill>
        </w:rPr>
        <w:t>。</w:t>
      </w:r>
    </w:p>
    <w:p w14:paraId="74CD8476">
      <w:pPr>
        <w:spacing w:line="480" w:lineRule="exact"/>
        <w:outlineLvl w:val="3"/>
        <w:rPr>
          <w:rFonts w:hint="default" w:ascii="Times New Roman" w:hAnsi="Times New Roman" w:eastAsia="宋体" w:cs="Times New Roman"/>
          <w:b/>
          <w:bCs/>
          <w:color w:val="000000" w:themeColor="text1"/>
          <w:sz w:val="24"/>
          <w:highlight w:val="none"/>
          <w:lang w:eastAsia="zh-CN"/>
          <w14:textFill>
            <w14:solidFill>
              <w14:schemeClr w14:val="tx1"/>
            </w14:solidFill>
          </w14:textFill>
        </w:rPr>
      </w:pPr>
      <w:r>
        <w:rPr>
          <w:rFonts w:hint="default" w:ascii="Times New Roman" w:hAnsi="Times New Roman" w:eastAsia="宋体" w:cs="Times New Roman"/>
          <w:b/>
          <w:bCs/>
          <w:color w:val="000000" w:themeColor="text1"/>
          <w:sz w:val="24"/>
          <w:highlight w:val="none"/>
          <w14:textFill>
            <w14:solidFill>
              <w14:schemeClr w14:val="tx1"/>
            </w14:solidFill>
          </w14:textFill>
        </w:rPr>
        <w:t>5.2.</w:t>
      </w:r>
      <w:r>
        <w:rPr>
          <w:rFonts w:hint="default" w:ascii="Times New Roman" w:hAnsi="Times New Roman" w:eastAsia="宋体" w:cs="Times New Roman"/>
          <w:b/>
          <w:bCs/>
          <w:color w:val="000000" w:themeColor="text1"/>
          <w:sz w:val="24"/>
          <w:highlight w:val="none"/>
          <w:lang w:val="en-US" w:eastAsia="zh-CN"/>
          <w14:textFill>
            <w14:solidFill>
              <w14:schemeClr w14:val="tx1"/>
            </w14:solidFill>
          </w14:textFill>
        </w:rPr>
        <w:t>8.5</w:t>
      </w:r>
      <w:r>
        <w:rPr>
          <w:rFonts w:hint="default" w:ascii="Times New Roman" w:hAnsi="Times New Roman" w:eastAsia="宋体" w:cs="Times New Roman"/>
          <w:b/>
          <w:bCs/>
          <w:color w:val="000000" w:themeColor="text1"/>
          <w:sz w:val="24"/>
          <w:highlight w:val="none"/>
          <w:lang w:eastAsia="zh-CN"/>
          <w14:textFill>
            <w14:solidFill>
              <w14:schemeClr w14:val="tx1"/>
            </w14:solidFill>
          </w14:textFill>
        </w:rPr>
        <w:t>预测时段</w:t>
      </w:r>
    </w:p>
    <w:p w14:paraId="68C9D284">
      <w:pPr>
        <w:keepNext w:val="0"/>
        <w:keepLines w:val="0"/>
        <w:pageBreakBefore w:val="0"/>
        <w:widowControl w:val="0"/>
        <w:kinsoku/>
        <w:wordWrap/>
        <w:overflowPunct/>
        <w:topLinePunct w:val="0"/>
        <w:autoSpaceDE w:val="0"/>
        <w:autoSpaceDN w:val="0"/>
        <w:bidi w:val="0"/>
        <w:adjustRightInd/>
        <w:snapToGrid/>
        <w:spacing w:line="500" w:lineRule="exact"/>
        <w:ind w:firstLine="480" w:firstLineChars="200"/>
        <w:contextualSpacing/>
        <w:textAlignment w:val="baseline"/>
        <w:rPr>
          <w:rFonts w:hint="default" w:ascii="Times New Roman" w:hAnsi="Times New Roman" w:eastAsia="宋体" w:cs="Times New Roman"/>
          <w:b w:val="0"/>
          <w:bCs/>
          <w:color w:val="000000"/>
          <w:kern w:val="0"/>
          <w:sz w:val="24"/>
          <w:highlight w:val="none"/>
          <w:lang w:val="en-US" w:eastAsia="zh-CN"/>
        </w:rPr>
      </w:pPr>
      <w:r>
        <w:rPr>
          <w:rFonts w:hint="default" w:ascii="Times New Roman" w:hAnsi="Times New Roman" w:eastAsia="宋体" w:cs="Times New Roman"/>
          <w:b w:val="0"/>
          <w:bCs/>
          <w:color w:val="000000"/>
          <w:kern w:val="0"/>
          <w:sz w:val="24"/>
          <w:highlight w:val="none"/>
          <w:lang w:val="en-US" w:eastAsia="zh-CN"/>
        </w:rPr>
        <w:t>本项目重点预测时段为营运期。</w:t>
      </w:r>
    </w:p>
    <w:p w14:paraId="45A60103">
      <w:pPr>
        <w:spacing w:line="480" w:lineRule="exact"/>
        <w:outlineLvl w:val="3"/>
        <w:rPr>
          <w:rFonts w:hint="default" w:ascii="Times New Roman" w:hAnsi="Times New Roman" w:eastAsia="宋体" w:cs="Times New Roman"/>
          <w:b/>
          <w:bCs/>
          <w:color w:val="000000" w:themeColor="text1"/>
          <w:sz w:val="24"/>
          <w:highlight w:val="none"/>
          <w14:textFill>
            <w14:solidFill>
              <w14:schemeClr w14:val="tx1"/>
            </w14:solidFill>
          </w14:textFill>
        </w:rPr>
      </w:pPr>
      <w:r>
        <w:rPr>
          <w:rFonts w:hint="default" w:ascii="Times New Roman" w:hAnsi="Times New Roman" w:eastAsia="宋体" w:cs="Times New Roman"/>
          <w:b/>
          <w:bCs/>
          <w:color w:val="000000" w:themeColor="text1"/>
          <w:sz w:val="24"/>
          <w:highlight w:val="none"/>
          <w14:textFill>
            <w14:solidFill>
              <w14:schemeClr w14:val="tx1"/>
            </w14:solidFill>
          </w14:textFill>
        </w:rPr>
        <w:t>5.2.</w:t>
      </w:r>
      <w:r>
        <w:rPr>
          <w:rFonts w:hint="default" w:ascii="Times New Roman" w:hAnsi="Times New Roman" w:eastAsia="宋体" w:cs="Times New Roman"/>
          <w:b/>
          <w:bCs/>
          <w:color w:val="000000" w:themeColor="text1"/>
          <w:sz w:val="24"/>
          <w:highlight w:val="none"/>
          <w:lang w:val="en-US" w:eastAsia="zh-CN"/>
          <w14:textFill>
            <w14:solidFill>
              <w14:schemeClr w14:val="tx1"/>
            </w14:solidFill>
          </w14:textFill>
        </w:rPr>
        <w:t>8.6</w:t>
      </w:r>
      <w:r>
        <w:rPr>
          <w:rFonts w:hint="default" w:ascii="Times New Roman" w:hAnsi="Times New Roman" w:eastAsia="宋体" w:cs="Times New Roman"/>
          <w:b/>
          <w:bCs/>
          <w:color w:val="000000" w:themeColor="text1"/>
          <w:sz w:val="24"/>
          <w:highlight w:val="none"/>
          <w:lang w:eastAsia="zh-CN"/>
          <w14:textFill>
            <w14:solidFill>
              <w14:schemeClr w14:val="tx1"/>
            </w14:solidFill>
          </w14:textFill>
        </w:rPr>
        <w:t>土壤环境</w:t>
      </w:r>
      <w:r>
        <w:rPr>
          <w:rFonts w:hint="default" w:ascii="Times New Roman" w:hAnsi="Times New Roman" w:eastAsia="宋体" w:cs="Times New Roman"/>
          <w:b/>
          <w:bCs/>
          <w:color w:val="000000" w:themeColor="text1"/>
          <w:sz w:val="24"/>
          <w:highlight w:val="none"/>
          <w14:textFill>
            <w14:solidFill>
              <w14:schemeClr w14:val="tx1"/>
            </w14:solidFill>
          </w14:textFill>
        </w:rPr>
        <w:t>影响预测情景分析</w:t>
      </w:r>
    </w:p>
    <w:p w14:paraId="58E92829">
      <w:pPr>
        <w:keepNext w:val="0"/>
        <w:keepLines w:val="0"/>
        <w:pageBreakBefore w:val="0"/>
        <w:widowControl w:val="0"/>
        <w:kinsoku/>
        <w:wordWrap/>
        <w:overflowPunct/>
        <w:topLinePunct w:val="0"/>
        <w:autoSpaceDE/>
        <w:autoSpaceDN/>
        <w:bidi w:val="0"/>
        <w:adjustRightInd/>
        <w:snapToGrid w:val="0"/>
        <w:spacing w:line="500" w:lineRule="exact"/>
        <w:ind w:firstLine="480"/>
        <w:textAlignment w:val="auto"/>
        <w:rPr>
          <w:rFonts w:hint="default" w:ascii="Times New Roman" w:hAnsi="Times New Roman" w:eastAsia="宋体" w:cs="Times New Roman"/>
          <w:color w:val="000000"/>
          <w:sz w:val="24"/>
          <w:highlight w:val="none"/>
          <w:lang w:eastAsia="zh-CN"/>
        </w:rPr>
      </w:pPr>
      <w:r>
        <w:rPr>
          <w:rFonts w:hint="default" w:ascii="Times New Roman" w:hAnsi="Times New Roman" w:eastAsia="宋体" w:cs="Times New Roman"/>
          <w:color w:val="000000"/>
          <w:sz w:val="24"/>
          <w:highlight w:val="none"/>
        </w:rPr>
        <w:t>预测情景主要分为正常状况和非正常状况两种情景</w:t>
      </w:r>
      <w:r>
        <w:rPr>
          <w:rFonts w:hint="default" w:ascii="Times New Roman" w:hAnsi="Times New Roman" w:eastAsia="宋体" w:cs="Times New Roman"/>
          <w:color w:val="000000"/>
          <w:sz w:val="24"/>
          <w:highlight w:val="none"/>
          <w:lang w:eastAsia="zh-CN"/>
        </w:rPr>
        <w:t>。</w:t>
      </w:r>
    </w:p>
    <w:p w14:paraId="19388FB5">
      <w:pPr>
        <w:keepNext w:val="0"/>
        <w:keepLines w:val="0"/>
        <w:pageBreakBefore w:val="0"/>
        <w:widowControl w:val="0"/>
        <w:kinsoku/>
        <w:wordWrap/>
        <w:overflowPunct/>
        <w:topLinePunct w:val="0"/>
        <w:autoSpaceDE/>
        <w:autoSpaceDN/>
        <w:bidi w:val="0"/>
        <w:adjustRightInd/>
        <w:snapToGrid w:val="0"/>
        <w:spacing w:line="500" w:lineRule="exact"/>
        <w:ind w:firstLine="480"/>
        <w:textAlignment w:val="auto"/>
        <w:rPr>
          <w:rFonts w:hint="default" w:ascii="Times New Roman" w:hAnsi="Times New Roman" w:eastAsia="宋体" w:cs="Times New Roman"/>
          <w:color w:val="000000"/>
          <w:sz w:val="24"/>
          <w:highlight w:val="none"/>
        </w:rPr>
      </w:pPr>
      <w:r>
        <w:rPr>
          <w:rFonts w:hint="default" w:ascii="Times New Roman" w:hAnsi="Times New Roman" w:eastAsia="宋体" w:cs="Times New Roman"/>
          <w:color w:val="000000"/>
          <w:sz w:val="24"/>
          <w:highlight w:val="none"/>
        </w:rPr>
        <w:t>①正常运行状况下对</w:t>
      </w:r>
      <w:r>
        <w:rPr>
          <w:rFonts w:hint="default" w:ascii="Times New Roman" w:hAnsi="Times New Roman" w:eastAsia="宋体" w:cs="Times New Roman"/>
          <w:color w:val="000000"/>
          <w:sz w:val="24"/>
          <w:highlight w:val="none"/>
          <w:lang w:eastAsia="zh-CN"/>
        </w:rPr>
        <w:t>土壤</w:t>
      </w:r>
      <w:r>
        <w:rPr>
          <w:rFonts w:hint="default" w:ascii="Times New Roman" w:hAnsi="Times New Roman" w:eastAsia="宋体" w:cs="Times New Roman"/>
          <w:color w:val="000000"/>
          <w:sz w:val="24"/>
          <w:highlight w:val="none"/>
        </w:rPr>
        <w:t>环境影响</w:t>
      </w:r>
    </w:p>
    <w:p w14:paraId="3A0FB18D">
      <w:pPr>
        <w:bidi w:val="0"/>
        <w:rPr>
          <w:rFonts w:hint="default"/>
          <w:lang w:val="en-US" w:eastAsia="zh-CN"/>
        </w:rPr>
      </w:pPr>
      <w:r>
        <w:rPr>
          <w:rFonts w:hint="default"/>
        </w:rPr>
        <w:t>在正常运行时，</w:t>
      </w:r>
      <w:r>
        <w:rPr>
          <w:rFonts w:hint="eastAsia"/>
          <w:lang w:val="en-US" w:eastAsia="zh-CN"/>
        </w:rPr>
        <w:t>加药间、实验室</w:t>
      </w:r>
      <w:r>
        <w:rPr>
          <w:rFonts w:hint="default"/>
          <w:lang w:val="en-US" w:eastAsia="zh-CN"/>
        </w:rPr>
        <w:t>、水池、危废暂存间</w:t>
      </w:r>
      <w:r>
        <w:rPr>
          <w:rFonts w:hint="default"/>
          <w:lang w:eastAsia="zh-CN"/>
        </w:rPr>
        <w:t>采取了严格的防渗措施，</w:t>
      </w:r>
      <w:r>
        <w:rPr>
          <w:rFonts w:hint="default"/>
        </w:rPr>
        <w:t>防渗措施级别高，</w:t>
      </w:r>
      <w:r>
        <w:rPr>
          <w:rFonts w:hint="default"/>
          <w:lang w:eastAsia="zh-CN"/>
        </w:rPr>
        <w:t>污染物进入土壤环境的可能性较小</w:t>
      </w:r>
      <w:r>
        <w:rPr>
          <w:rFonts w:hint="default"/>
        </w:rPr>
        <w:t>，</w:t>
      </w:r>
      <w:r>
        <w:rPr>
          <w:rFonts w:hint="default"/>
          <w:lang w:eastAsia="zh-CN"/>
        </w:rPr>
        <w:t>污染物对土壤环境的影响较小，</w:t>
      </w:r>
      <w:r>
        <w:rPr>
          <w:rFonts w:hint="default"/>
        </w:rPr>
        <w:t>因此本次评价不进行正常状况下</w:t>
      </w:r>
      <w:r>
        <w:rPr>
          <w:rFonts w:hint="eastAsia"/>
          <w:lang w:val="en-US" w:eastAsia="zh-CN"/>
        </w:rPr>
        <w:t>加药间、实验室</w:t>
      </w:r>
      <w:r>
        <w:rPr>
          <w:rFonts w:hint="default"/>
          <w:lang w:val="en-US" w:eastAsia="zh-CN"/>
        </w:rPr>
        <w:t>、水池、危废暂存间下渗对</w:t>
      </w:r>
      <w:r>
        <w:rPr>
          <w:rFonts w:hint="default"/>
          <w:lang w:eastAsia="zh-CN"/>
        </w:rPr>
        <w:t>土壤环境的</w:t>
      </w:r>
      <w:r>
        <w:rPr>
          <w:rFonts w:hint="default"/>
        </w:rPr>
        <w:t>预测。</w:t>
      </w:r>
    </w:p>
    <w:p w14:paraId="6DD74FBF">
      <w:pPr>
        <w:bidi w:val="0"/>
        <w:rPr>
          <w:rFonts w:hint="default"/>
        </w:rPr>
      </w:pPr>
      <w:r>
        <w:rPr>
          <w:rFonts w:hint="default"/>
        </w:rPr>
        <w:t>②非正常（事故）状况下对</w:t>
      </w:r>
      <w:r>
        <w:rPr>
          <w:rFonts w:hint="default"/>
          <w:lang w:eastAsia="zh-CN"/>
        </w:rPr>
        <w:t>土壤</w:t>
      </w:r>
      <w:r>
        <w:rPr>
          <w:rFonts w:hint="default"/>
        </w:rPr>
        <w:t>环境影响</w:t>
      </w:r>
    </w:p>
    <w:p w14:paraId="484764DB">
      <w:pPr>
        <w:bidi w:val="0"/>
        <w:rPr>
          <w:rFonts w:hint="default"/>
          <w:lang w:eastAsia="zh-CN"/>
        </w:rPr>
      </w:pPr>
      <w:r>
        <w:rPr>
          <w:rFonts w:hint="default"/>
        </w:rPr>
        <w:t>事故是指因工程质量低劣、管理方面的疏漏、自然因素（地震、洪水冲刷）及人为破坏等多方面因素造成</w:t>
      </w:r>
      <w:r>
        <w:rPr>
          <w:rFonts w:hint="default"/>
          <w:lang w:val="en-US" w:eastAsia="zh-CN"/>
        </w:rPr>
        <w:t>冷却水池破损</w:t>
      </w:r>
      <w:r>
        <w:rPr>
          <w:rFonts w:hint="default"/>
        </w:rPr>
        <w:t>，从而导致大量</w:t>
      </w:r>
      <w:r>
        <w:rPr>
          <w:rFonts w:hint="default"/>
          <w:lang w:val="en-US" w:eastAsia="zh-CN"/>
        </w:rPr>
        <w:t>冷却水泄露</w:t>
      </w:r>
      <w:r>
        <w:rPr>
          <w:rFonts w:hint="default"/>
        </w:rPr>
        <w:t>，造成污染的事件。事故情况下造成的</w:t>
      </w:r>
      <w:r>
        <w:rPr>
          <w:rFonts w:hint="eastAsia"/>
          <w:lang w:val="en-US" w:eastAsia="zh-CN"/>
        </w:rPr>
        <w:t>加药间、实验室</w:t>
      </w:r>
      <w:r>
        <w:rPr>
          <w:rFonts w:hint="default"/>
          <w:lang w:val="en-US" w:eastAsia="zh-CN"/>
        </w:rPr>
        <w:t>、水池、危废暂存间防渗层破裂，</w:t>
      </w:r>
      <w:r>
        <w:rPr>
          <w:rFonts w:hint="default"/>
          <w:lang w:eastAsia="zh-CN"/>
        </w:rPr>
        <w:t>润滑油、</w:t>
      </w:r>
      <w:r>
        <w:rPr>
          <w:rFonts w:hint="default"/>
          <w:lang w:val="en-US" w:eastAsia="zh-CN"/>
        </w:rPr>
        <w:t>液压油</w:t>
      </w:r>
      <w:r>
        <w:rPr>
          <w:rFonts w:hint="default"/>
          <w:lang w:eastAsia="zh-CN"/>
        </w:rPr>
        <w:t>、废润滑油、</w:t>
      </w:r>
      <w:r>
        <w:rPr>
          <w:rFonts w:hint="default"/>
          <w:lang w:val="en-US" w:eastAsia="zh-CN"/>
        </w:rPr>
        <w:t>废液压油、实验室药品、实验废液等泄</w:t>
      </w:r>
      <w:r>
        <w:rPr>
          <w:rFonts w:hint="default"/>
        </w:rPr>
        <w:t>漏</w:t>
      </w:r>
      <w:r>
        <w:rPr>
          <w:rFonts w:hint="default"/>
          <w:lang w:val="en-US" w:eastAsia="zh-CN"/>
        </w:rPr>
        <w:t>后并下渗</w:t>
      </w:r>
      <w:r>
        <w:rPr>
          <w:rFonts w:hint="default"/>
        </w:rPr>
        <w:t>对</w:t>
      </w:r>
      <w:r>
        <w:rPr>
          <w:rFonts w:hint="default"/>
          <w:lang w:eastAsia="zh-CN"/>
        </w:rPr>
        <w:t>土壤</w:t>
      </w:r>
      <w:r>
        <w:rPr>
          <w:rFonts w:hint="default"/>
        </w:rPr>
        <w:t>环境的影响。</w:t>
      </w:r>
    </w:p>
    <w:p w14:paraId="4AD5E981">
      <w:pPr>
        <w:spacing w:line="480" w:lineRule="exact"/>
        <w:outlineLvl w:val="3"/>
        <w:rPr>
          <w:rFonts w:hint="default" w:ascii="Times New Roman" w:hAnsi="Times New Roman" w:eastAsia="宋体" w:cs="Times New Roman"/>
          <w:b/>
          <w:bCs/>
          <w:color w:val="000000" w:themeColor="text1"/>
          <w:sz w:val="24"/>
          <w:highlight w:val="none"/>
          <w14:textFill>
            <w14:solidFill>
              <w14:schemeClr w14:val="tx1"/>
            </w14:solidFill>
          </w14:textFill>
        </w:rPr>
      </w:pPr>
      <w:r>
        <w:rPr>
          <w:rFonts w:hint="default" w:ascii="Times New Roman" w:hAnsi="Times New Roman" w:eastAsia="宋体" w:cs="Times New Roman"/>
          <w:b/>
          <w:bCs/>
          <w:color w:val="000000" w:themeColor="text1"/>
          <w:sz w:val="24"/>
          <w:highlight w:val="none"/>
          <w14:textFill>
            <w14:solidFill>
              <w14:schemeClr w14:val="tx1"/>
            </w14:solidFill>
          </w14:textFill>
        </w:rPr>
        <w:t>5.2.</w:t>
      </w:r>
      <w:r>
        <w:rPr>
          <w:rFonts w:hint="default" w:ascii="Times New Roman" w:hAnsi="Times New Roman" w:eastAsia="宋体" w:cs="Times New Roman"/>
          <w:b/>
          <w:bCs/>
          <w:color w:val="000000" w:themeColor="text1"/>
          <w:sz w:val="24"/>
          <w:highlight w:val="none"/>
          <w:lang w:val="en-US" w:eastAsia="zh-CN"/>
          <w14:textFill>
            <w14:solidFill>
              <w14:schemeClr w14:val="tx1"/>
            </w14:solidFill>
          </w14:textFill>
        </w:rPr>
        <w:t>8.7</w:t>
      </w:r>
      <w:r>
        <w:rPr>
          <w:rFonts w:hint="default" w:ascii="Times New Roman" w:hAnsi="Times New Roman" w:eastAsia="宋体" w:cs="Times New Roman"/>
          <w:b/>
          <w:bCs/>
          <w:color w:val="000000" w:themeColor="text1"/>
          <w:sz w:val="24"/>
          <w:highlight w:val="none"/>
          <w:lang w:eastAsia="zh-CN"/>
          <w14:textFill>
            <w14:solidFill>
              <w14:schemeClr w14:val="tx1"/>
            </w14:solidFill>
          </w14:textFill>
        </w:rPr>
        <w:t>土壤环境</w:t>
      </w:r>
      <w:r>
        <w:rPr>
          <w:rFonts w:hint="default" w:ascii="Times New Roman" w:hAnsi="Times New Roman" w:eastAsia="宋体" w:cs="Times New Roman"/>
          <w:b/>
          <w:bCs/>
          <w:color w:val="000000" w:themeColor="text1"/>
          <w:sz w:val="24"/>
          <w:highlight w:val="none"/>
          <w14:textFill>
            <w14:solidFill>
              <w14:schemeClr w14:val="tx1"/>
            </w14:solidFill>
          </w14:textFill>
        </w:rPr>
        <w:t>影响预测</w:t>
      </w:r>
    </w:p>
    <w:p w14:paraId="44D69B49">
      <w:pPr>
        <w:keepNext w:val="0"/>
        <w:keepLines w:val="0"/>
        <w:pageBreakBefore w:val="0"/>
        <w:widowControl w:val="0"/>
        <w:kinsoku/>
        <w:wordWrap/>
        <w:overflowPunct/>
        <w:topLinePunct w:val="0"/>
        <w:bidi w:val="0"/>
        <w:adjustRightInd/>
        <w:snapToGrid/>
        <w:spacing w:line="500" w:lineRule="exact"/>
        <w:ind w:firstLine="496" w:firstLineChars="207"/>
        <w:rPr>
          <w:rFonts w:hint="default" w:ascii="Times New Roman" w:hAnsi="Times New Roman" w:eastAsia="宋体" w:cs="Times New Roman"/>
          <w:bCs/>
          <w:color w:val="000000"/>
          <w:kern w:val="0"/>
          <w:sz w:val="24"/>
          <w:highlight w:val="none"/>
          <w:lang w:val="en-US" w:eastAsia="zh-CN"/>
        </w:rPr>
      </w:pPr>
      <w:r>
        <w:rPr>
          <w:rFonts w:hint="default" w:ascii="Times New Roman" w:hAnsi="Times New Roman" w:eastAsia="宋体" w:cs="Times New Roman"/>
          <w:color w:val="000000"/>
          <w:sz w:val="24"/>
          <w:highlight w:val="none"/>
          <w:lang w:eastAsia="zh-CN"/>
        </w:rPr>
        <w:t>根据</w:t>
      </w:r>
      <w:r>
        <w:rPr>
          <w:rFonts w:hint="default" w:ascii="Times New Roman" w:hAnsi="Times New Roman" w:eastAsia="宋体" w:cs="Times New Roman"/>
          <w:b w:val="0"/>
          <w:bCs w:val="0"/>
          <w:color w:val="000000"/>
          <w:sz w:val="24"/>
          <w:szCs w:val="24"/>
          <w:highlight w:val="none"/>
          <w:vertAlign w:val="baseline"/>
          <w:lang w:val="en-US" w:eastAsia="zh-CN"/>
        </w:rPr>
        <w:t>《环境影响评价技术导则土壤环境（试行）》（HJ964-2018）中“8.7.3”，污染影响型建设项目三级评价预测方法可采用定性描述或进行类比分析。本项目涉及土壤污染的途径为润滑油、液压油、废润滑油、废液压油、实验室药品、实验废液等</w:t>
      </w:r>
      <w:r>
        <w:rPr>
          <w:rFonts w:hint="default" w:ascii="Times New Roman" w:hAnsi="Times New Roman" w:eastAsia="宋体" w:cs="Times New Roman"/>
          <w:color w:val="000000"/>
          <w:sz w:val="24"/>
          <w:highlight w:val="none"/>
          <w:lang w:val="en-US" w:eastAsia="zh-CN"/>
        </w:rPr>
        <w:t>通过垂直入渗对土壤的影响</w:t>
      </w:r>
      <w:r>
        <w:rPr>
          <w:rFonts w:hint="default" w:ascii="Times New Roman" w:hAnsi="Times New Roman" w:eastAsia="宋体" w:cs="Times New Roman"/>
          <w:b w:val="0"/>
          <w:bCs w:val="0"/>
          <w:color w:val="000000"/>
          <w:sz w:val="24"/>
          <w:szCs w:val="24"/>
          <w:highlight w:val="none"/>
          <w:vertAlign w:val="baseline"/>
          <w:lang w:val="en-US" w:eastAsia="zh-CN"/>
        </w:rPr>
        <w:t>，采用定性描述分析</w:t>
      </w:r>
      <w:r>
        <w:rPr>
          <w:rFonts w:hint="default" w:ascii="Times New Roman" w:hAnsi="Times New Roman" w:eastAsia="宋体" w:cs="Times New Roman"/>
          <w:bCs/>
          <w:color w:val="000000"/>
          <w:kern w:val="0"/>
          <w:sz w:val="24"/>
          <w:szCs w:val="24"/>
          <w:highlight w:val="none"/>
        </w:rPr>
        <w:t>。</w:t>
      </w:r>
    </w:p>
    <w:p w14:paraId="26F2CD5A">
      <w:pPr>
        <w:keepNext w:val="0"/>
        <w:keepLines w:val="0"/>
        <w:pageBreakBefore w:val="0"/>
        <w:widowControl w:val="0"/>
        <w:kinsoku/>
        <w:wordWrap/>
        <w:overflowPunct/>
        <w:topLinePunct w:val="0"/>
        <w:autoSpaceDE/>
        <w:autoSpaceDN/>
        <w:bidi w:val="0"/>
        <w:spacing w:line="500" w:lineRule="exact"/>
        <w:ind w:firstLine="496" w:firstLineChars="207"/>
        <w:textAlignment w:val="auto"/>
        <w:rPr>
          <w:rFonts w:hint="default" w:ascii="Times New Roman" w:hAnsi="Times New Roman" w:eastAsia="宋体" w:cs="Times New Roman"/>
          <w:color w:val="000000"/>
          <w:sz w:val="24"/>
          <w:highlight w:val="none"/>
          <w:lang w:eastAsia="zh-CN"/>
        </w:rPr>
      </w:pPr>
      <w:r>
        <w:rPr>
          <w:rFonts w:hint="default" w:ascii="Times New Roman" w:hAnsi="Times New Roman" w:eastAsia="宋体" w:cs="Times New Roman"/>
          <w:color w:val="000000"/>
          <w:sz w:val="24"/>
          <w:highlight w:val="none"/>
          <w:lang w:eastAsia="zh-CN"/>
        </w:rPr>
        <w:t>根据企业的实际情况类比分析，如果装置区、加药间等防渗地面和</w:t>
      </w:r>
      <w:r>
        <w:rPr>
          <w:rFonts w:hint="default" w:ascii="Times New Roman" w:hAnsi="Times New Roman" w:eastAsia="宋体" w:cs="Times New Roman"/>
          <w:color w:val="000000"/>
          <w:sz w:val="24"/>
          <w:highlight w:val="none"/>
          <w:lang w:val="en-US" w:eastAsia="zh-CN"/>
        </w:rPr>
        <w:t>危废间</w:t>
      </w:r>
      <w:r>
        <w:rPr>
          <w:rFonts w:hint="default" w:ascii="Times New Roman" w:hAnsi="Times New Roman" w:eastAsia="宋体" w:cs="Times New Roman"/>
          <w:color w:val="000000"/>
          <w:sz w:val="24"/>
          <w:highlight w:val="none"/>
          <w:lang w:eastAsia="zh-CN"/>
        </w:rPr>
        <w:t>等可视场所发生破损，容易及时发现，可以及时采取修复措施，即使有物料或污水等泄漏，建设单位及时采取措施，不会任由污水漫流渗漏，任其渗入土壤。</w:t>
      </w:r>
    </w:p>
    <w:p w14:paraId="3981D355">
      <w:pPr>
        <w:keepNext w:val="0"/>
        <w:keepLines w:val="0"/>
        <w:pageBreakBefore w:val="0"/>
        <w:widowControl w:val="0"/>
        <w:kinsoku/>
        <w:wordWrap/>
        <w:overflowPunct/>
        <w:topLinePunct w:val="0"/>
        <w:autoSpaceDE/>
        <w:autoSpaceDN/>
        <w:bidi w:val="0"/>
        <w:spacing w:line="500" w:lineRule="exact"/>
        <w:ind w:firstLine="496" w:firstLineChars="207"/>
        <w:textAlignment w:val="auto"/>
        <w:rPr>
          <w:rFonts w:hint="default" w:ascii="Times New Roman" w:hAnsi="Times New Roman" w:eastAsia="宋体" w:cs="Times New Roman"/>
          <w:color w:val="000000"/>
          <w:sz w:val="24"/>
          <w:highlight w:val="none"/>
          <w:lang w:eastAsia="zh-CN"/>
        </w:rPr>
      </w:pPr>
      <w:r>
        <w:rPr>
          <w:rFonts w:hint="default" w:ascii="Times New Roman" w:hAnsi="Times New Roman" w:eastAsia="宋体" w:cs="Times New Roman"/>
          <w:color w:val="000000"/>
          <w:sz w:val="24"/>
          <w:highlight w:val="none"/>
          <w:lang w:eastAsia="zh-CN"/>
        </w:rPr>
        <w:t>只有在加药间、污水池、污水管线等这些非可视部位发生小面积渗漏时，才可能有少量物料或污水通过渗漏点逐渐渗入土壤。</w:t>
      </w:r>
    </w:p>
    <w:p w14:paraId="7E104F52">
      <w:pPr>
        <w:keepNext w:val="0"/>
        <w:keepLines w:val="0"/>
        <w:pageBreakBefore w:val="0"/>
        <w:widowControl w:val="0"/>
        <w:kinsoku/>
        <w:wordWrap/>
        <w:overflowPunct/>
        <w:topLinePunct w:val="0"/>
        <w:autoSpaceDE/>
        <w:autoSpaceDN/>
        <w:bidi w:val="0"/>
        <w:spacing w:line="500" w:lineRule="exact"/>
        <w:ind w:firstLine="496" w:firstLineChars="207"/>
        <w:textAlignment w:val="auto"/>
        <w:rPr>
          <w:rFonts w:hint="default" w:ascii="Times New Roman" w:hAnsi="Times New Roman" w:eastAsia="宋体" w:cs="Times New Roman"/>
          <w:color w:val="000000"/>
          <w:sz w:val="24"/>
          <w:highlight w:val="none"/>
          <w:lang w:eastAsia="zh-CN"/>
        </w:rPr>
      </w:pPr>
      <w:r>
        <w:rPr>
          <w:rFonts w:hint="default" w:ascii="Times New Roman" w:hAnsi="Times New Roman" w:eastAsia="宋体" w:cs="Times New Roman"/>
          <w:color w:val="000000"/>
          <w:sz w:val="24"/>
          <w:highlight w:val="none"/>
          <w:lang w:eastAsia="zh-CN"/>
        </w:rPr>
        <w:t>污水处理厂对污水处理构筑物采取了分区防渗措施，同时对路面进行硬化，厂区内空地进行绿化并种植具有较强吸附能力的植物，实现厂区内不见黄土。通过采取上述措施，控制项目污染物沉积对土壤环境的影响。同时本评价要求企业按照《国务院关于印发土壤污染防治行动计划的通知》(国发[2016]31号)、《工矿用地土壤环境管理办法(试行)》(生态环境部令第3号)相关文件要求，控制本工程对土壤环境的影响。经类比同类型的污水处理厂，污水和物料发生泄漏的几率很小，在采取有效防治措施的基础上，本项目不会对土壤环境造成不良影响。</w:t>
      </w:r>
    </w:p>
    <w:p w14:paraId="6DCA0B11">
      <w:pPr>
        <w:spacing w:line="480" w:lineRule="exact"/>
        <w:outlineLvl w:val="3"/>
        <w:rPr>
          <w:rFonts w:hint="default" w:ascii="Times New Roman" w:hAnsi="Times New Roman" w:eastAsia="宋体" w:cs="Times New Roman"/>
          <w:b/>
          <w:bCs/>
          <w:color w:val="000000" w:themeColor="text1"/>
          <w:sz w:val="24"/>
          <w:highlight w:val="none"/>
          <w14:textFill>
            <w14:solidFill>
              <w14:schemeClr w14:val="tx1"/>
            </w14:solidFill>
          </w14:textFill>
        </w:rPr>
      </w:pPr>
      <w:r>
        <w:rPr>
          <w:rFonts w:hint="default" w:ascii="Times New Roman" w:hAnsi="Times New Roman" w:eastAsia="宋体" w:cs="Times New Roman"/>
          <w:b/>
          <w:bCs/>
          <w:color w:val="000000" w:themeColor="text1"/>
          <w:sz w:val="24"/>
          <w:highlight w:val="none"/>
          <w:lang w:val="en-US" w:eastAsia="zh-CN"/>
          <w14:textFill>
            <w14:solidFill>
              <w14:schemeClr w14:val="tx1"/>
            </w14:solidFill>
          </w14:textFill>
        </w:rPr>
        <w:t>5.2.8.8</w:t>
      </w:r>
      <w:r>
        <w:rPr>
          <w:rFonts w:hint="default" w:ascii="Times New Roman" w:hAnsi="Times New Roman" w:eastAsia="宋体" w:cs="Times New Roman"/>
          <w:b/>
          <w:bCs/>
          <w:color w:val="000000" w:themeColor="text1"/>
          <w:sz w:val="24"/>
          <w:highlight w:val="none"/>
          <w14:textFill>
            <w14:solidFill>
              <w14:schemeClr w14:val="tx1"/>
            </w14:solidFill>
          </w14:textFill>
        </w:rPr>
        <w:t>土壤环境保护措施</w:t>
      </w:r>
    </w:p>
    <w:p w14:paraId="4D2BB1B2">
      <w:pPr>
        <w:bidi w:val="0"/>
        <w:rPr>
          <w:rFonts w:hint="default" w:eastAsia="宋体"/>
          <w:highlight w:val="none"/>
          <w:lang w:val="en-US" w:eastAsia="zh-CN"/>
        </w:rPr>
      </w:pPr>
      <w:r>
        <w:rPr>
          <w:rFonts w:hint="default" w:eastAsia="宋体"/>
          <w:highlight w:val="none"/>
          <w:lang w:val="en-US" w:eastAsia="zh-CN"/>
        </w:rPr>
        <w:t>本项目土壤污染防治措施按照“源头控制、过程防控、跟踪监测”相结合的原则，从污染物的产生、运移、扩散、应急响应全阶段进行控制。</w:t>
      </w:r>
    </w:p>
    <w:p w14:paraId="17A877A8">
      <w:pPr>
        <w:bidi w:val="0"/>
        <w:rPr>
          <w:rFonts w:hint="default"/>
          <w:highlight w:val="none"/>
        </w:rPr>
      </w:pPr>
      <w:r>
        <w:rPr>
          <w:rFonts w:hint="eastAsia"/>
          <w:highlight w:val="none"/>
          <w:lang w:val="en-US" w:eastAsia="zh-CN"/>
        </w:rPr>
        <w:t>1</w:t>
      </w:r>
      <w:r>
        <w:rPr>
          <w:rFonts w:hint="default"/>
          <w:highlight w:val="none"/>
        </w:rPr>
        <w:t>源头控制措施</w:t>
      </w:r>
    </w:p>
    <w:p w14:paraId="7E1DEEAD">
      <w:pPr>
        <w:bidi w:val="0"/>
        <w:rPr>
          <w:rFonts w:hint="default"/>
        </w:rPr>
      </w:pPr>
      <w:r>
        <w:rPr>
          <w:rFonts w:hint="default"/>
        </w:rPr>
        <w:t>对产生的废水进行合理的治理和综合利用，以先进工艺、管道、设备、污废水储存，尽可能从源头上减少可能污染物产生；严格按照国家相关规范要求，对工艺、管道、设备、污废水储存及处理构筑物采取相应的措施，以防止和降低可能污染物的跑、冒、滴、漏，将废水泄漏的环境风险事故降低到最低程度；优化水处理系统设计，管线铺设尽量采用“可视化”原则，即管道尽可能地上铺设，做到污染物“早发现、早处理”，以减少由于埋地管道泄漏而可能造成的地下水污染，主装置生产废水管道沿地上的管廊铺设。将污染物泄漏至土壤中的环境风险事故降至最低限度。</w:t>
      </w:r>
    </w:p>
    <w:p w14:paraId="7BC04460">
      <w:pPr>
        <w:bidi w:val="0"/>
        <w:rPr>
          <w:rFonts w:hint="default"/>
        </w:rPr>
      </w:pPr>
      <w:r>
        <w:rPr>
          <w:rFonts w:hint="eastAsia"/>
          <w:lang w:val="en-US" w:eastAsia="zh-CN"/>
        </w:rPr>
        <w:t>2</w:t>
      </w:r>
      <w:r>
        <w:rPr>
          <w:rFonts w:hint="default"/>
        </w:rPr>
        <w:t>过程防控措施</w:t>
      </w:r>
    </w:p>
    <w:p w14:paraId="0A0D8153">
      <w:pPr>
        <w:bidi w:val="0"/>
        <w:rPr>
          <w:rFonts w:hint="default"/>
        </w:rPr>
      </w:pPr>
      <w:r>
        <w:rPr>
          <w:rFonts w:hint="default"/>
        </w:rPr>
        <w:t>各建构筑物在建设时已按原环评要求进行了分区防渗，具体如下：</w:t>
      </w:r>
    </w:p>
    <w:p w14:paraId="1DFDAB1E">
      <w:pPr>
        <w:bidi w:val="0"/>
        <w:rPr>
          <w:rFonts w:hint="default"/>
          <w:lang w:val="en-US" w:eastAsia="zh-CN"/>
        </w:rPr>
      </w:pPr>
      <w:r>
        <w:rPr>
          <w:rFonts w:hint="default"/>
          <w:lang w:val="en-US" w:eastAsia="zh-CN"/>
        </w:rPr>
        <w:t>⑴重点防渗区</w:t>
      </w:r>
    </w:p>
    <w:p w14:paraId="3CCA6432">
      <w:pPr>
        <w:bidi w:val="0"/>
        <w:rPr>
          <w:rFonts w:hint="default"/>
          <w:lang w:val="en-US" w:eastAsia="zh-CN"/>
        </w:rPr>
      </w:pPr>
      <w:r>
        <w:rPr>
          <w:rFonts w:hint="default"/>
          <w:lang w:val="en-US" w:eastAsia="zh-CN"/>
        </w:rPr>
        <w:t>本项目重点防渗区主要包括危废间等。</w:t>
      </w:r>
    </w:p>
    <w:p w14:paraId="2D2A77AD">
      <w:pPr>
        <w:bidi w:val="0"/>
        <w:rPr>
          <w:rFonts w:hint="default"/>
          <w:highlight w:val="none"/>
          <w:lang w:val="en-US" w:eastAsia="zh-CN"/>
        </w:rPr>
      </w:pPr>
      <w:r>
        <w:rPr>
          <w:rFonts w:hint="default"/>
          <w:highlight w:val="none"/>
          <w:lang w:val="en-US" w:eastAsia="zh-CN"/>
        </w:rPr>
        <w:t>危废间：最底层采用夯实黏土，地面底层为水泥砂浆，防渗层为2mm厚高密度聚乙烯防渗层，最后以抗渗混凝土做地面，表面无裂隙，渗透系数≤1×10</w:t>
      </w:r>
      <w:r>
        <w:rPr>
          <w:rFonts w:hint="default"/>
          <w:highlight w:val="none"/>
          <w:vertAlign w:val="superscript"/>
          <w:lang w:val="en-US" w:eastAsia="zh-CN"/>
        </w:rPr>
        <w:t>-10</w:t>
      </w:r>
      <w:r>
        <w:rPr>
          <w:rFonts w:hint="default"/>
          <w:highlight w:val="none"/>
          <w:lang w:val="en-US" w:eastAsia="zh-CN"/>
        </w:rPr>
        <w:t>cm/s。危废间内设围堰（高度为20cm），围堰及裙体均涂刷玻璃钢进行防腐防渗。</w:t>
      </w:r>
    </w:p>
    <w:p w14:paraId="457D3DBE">
      <w:pPr>
        <w:bidi w:val="0"/>
        <w:rPr>
          <w:rFonts w:hint="default"/>
          <w:highlight w:val="none"/>
          <w:lang w:val="en-US" w:eastAsia="zh-CN"/>
        </w:rPr>
      </w:pPr>
      <w:r>
        <w:rPr>
          <w:rFonts w:hint="default"/>
          <w:highlight w:val="none"/>
          <w:lang w:val="en-US" w:eastAsia="zh-CN"/>
        </w:rPr>
        <w:t>⑵一般防渗区</w:t>
      </w:r>
    </w:p>
    <w:p w14:paraId="44207D2B">
      <w:pPr>
        <w:bidi w:val="0"/>
        <w:rPr>
          <w:rFonts w:hint="default"/>
          <w:lang w:val="en-US" w:eastAsia="zh-CN"/>
        </w:rPr>
      </w:pPr>
      <w:r>
        <w:rPr>
          <w:rFonts w:hint="default"/>
          <w:highlight w:val="none"/>
          <w:lang w:val="en-US" w:eastAsia="zh-CN"/>
        </w:rPr>
        <w:t>一般防渗区包括</w:t>
      </w:r>
      <w:r>
        <w:rPr>
          <w:rFonts w:hint="default"/>
          <w:highlight w:val="none"/>
        </w:rPr>
        <w:t>各污水处理构筑物池体、污泥脱水间</w:t>
      </w:r>
      <w:r>
        <w:rPr>
          <w:rFonts w:hint="eastAsia"/>
          <w:highlight w:val="none"/>
          <w:lang w:eastAsia="zh-CN"/>
        </w:rPr>
        <w:t>、</w:t>
      </w:r>
      <w:r>
        <w:rPr>
          <w:rFonts w:hint="default"/>
          <w:highlight w:val="none"/>
        </w:rPr>
        <w:t>泵房、</w:t>
      </w:r>
      <w:r>
        <w:rPr>
          <w:rFonts w:hint="default"/>
          <w:highlight w:val="none"/>
          <w:lang w:val="en-US" w:eastAsia="zh-CN"/>
        </w:rPr>
        <w:t>配电室</w:t>
      </w:r>
      <w:r>
        <w:rPr>
          <w:rFonts w:hint="default"/>
          <w:highlight w:val="none"/>
        </w:rPr>
        <w:t>、</w:t>
      </w:r>
      <w:r>
        <w:rPr>
          <w:rFonts w:hint="default"/>
          <w:highlight w:val="none"/>
          <w:lang w:val="en-US" w:eastAsia="zh-CN"/>
        </w:rPr>
        <w:t>加药</w:t>
      </w:r>
      <w:r>
        <w:rPr>
          <w:rFonts w:hint="default"/>
          <w:lang w:val="en-US" w:eastAsia="zh-CN"/>
        </w:rPr>
        <w:t>间</w:t>
      </w:r>
      <w:r>
        <w:rPr>
          <w:rFonts w:hint="default"/>
        </w:rPr>
        <w:t>、</w:t>
      </w:r>
      <w:r>
        <w:rPr>
          <w:rFonts w:hint="default"/>
          <w:lang w:val="en-US" w:eastAsia="zh-CN"/>
        </w:rPr>
        <w:t>鼓风机房等</w:t>
      </w:r>
      <w:r>
        <w:rPr>
          <w:rFonts w:hint="default"/>
        </w:rPr>
        <w:t>区域</w:t>
      </w:r>
      <w:r>
        <w:rPr>
          <w:rFonts w:hint="default"/>
          <w:lang w:val="en-US" w:eastAsia="zh-CN"/>
        </w:rPr>
        <w:t>，要求基础进行防渗，防渗层等效1.5m厚的粘土层，地面采用抗渗混凝土硬化，渗透系数≤10</w:t>
      </w:r>
      <w:r>
        <w:rPr>
          <w:rFonts w:hint="default"/>
          <w:vertAlign w:val="superscript"/>
          <w:lang w:val="en-US" w:eastAsia="zh-CN"/>
        </w:rPr>
        <w:t>-7</w:t>
      </w:r>
      <w:r>
        <w:rPr>
          <w:rFonts w:hint="default"/>
          <w:lang w:val="en-US" w:eastAsia="zh-CN"/>
        </w:rPr>
        <w:t>cm/s。</w:t>
      </w:r>
    </w:p>
    <w:p w14:paraId="004D1FE9">
      <w:pPr>
        <w:bidi w:val="0"/>
        <w:rPr>
          <w:rFonts w:hint="default"/>
          <w:lang w:val="en-US" w:eastAsia="zh-CN"/>
        </w:rPr>
      </w:pPr>
      <w:r>
        <w:rPr>
          <w:rFonts w:hint="default"/>
          <w:lang w:val="en-US" w:eastAsia="zh-CN"/>
        </w:rPr>
        <w:t>⑶简单防渗区</w:t>
      </w:r>
    </w:p>
    <w:p w14:paraId="1195985F">
      <w:pPr>
        <w:bidi w:val="0"/>
        <w:rPr>
          <w:rFonts w:hint="default" w:eastAsia="宋体"/>
          <w:lang w:val="en-US" w:eastAsia="zh-CN"/>
        </w:rPr>
      </w:pPr>
      <w:r>
        <w:rPr>
          <w:rFonts w:hint="default"/>
          <w:lang w:val="en-US" w:eastAsia="zh-CN"/>
        </w:rPr>
        <w:t>指一般不会对地下水环境造成污染的区域，主要包括厂区除绿化区域以外地面等，该区域不做专门的防渗处理，地面一般硬化即可。</w:t>
      </w:r>
    </w:p>
    <w:p w14:paraId="408AD8BE">
      <w:pPr>
        <w:spacing w:line="480" w:lineRule="exact"/>
        <w:outlineLvl w:val="3"/>
        <w:rPr>
          <w:rFonts w:hint="default" w:ascii="Times New Roman" w:hAnsi="Times New Roman" w:eastAsia="宋体" w:cs="Times New Roman"/>
          <w:b/>
          <w:bCs/>
          <w:color w:val="000000" w:themeColor="text1"/>
          <w:sz w:val="24"/>
          <w:highlight w:val="none"/>
          <w14:textFill>
            <w14:solidFill>
              <w14:schemeClr w14:val="tx1"/>
            </w14:solidFill>
          </w14:textFill>
        </w:rPr>
      </w:pPr>
      <w:r>
        <w:rPr>
          <w:rFonts w:hint="default" w:ascii="Times New Roman" w:hAnsi="Times New Roman" w:eastAsia="宋体" w:cs="Times New Roman"/>
          <w:b/>
          <w:bCs/>
          <w:color w:val="000000" w:themeColor="text1"/>
          <w:sz w:val="24"/>
          <w:highlight w:val="none"/>
          <w14:textFill>
            <w14:solidFill>
              <w14:schemeClr w14:val="tx1"/>
            </w14:solidFill>
          </w14:textFill>
        </w:rPr>
        <w:t>5.2.</w:t>
      </w:r>
      <w:r>
        <w:rPr>
          <w:rFonts w:hint="default" w:ascii="Times New Roman" w:hAnsi="Times New Roman" w:eastAsia="宋体" w:cs="Times New Roman"/>
          <w:b/>
          <w:bCs/>
          <w:color w:val="000000" w:themeColor="text1"/>
          <w:sz w:val="24"/>
          <w:highlight w:val="none"/>
          <w:lang w:val="en-US" w:eastAsia="zh-CN"/>
          <w14:textFill>
            <w14:solidFill>
              <w14:schemeClr w14:val="tx1"/>
            </w14:solidFill>
          </w14:textFill>
        </w:rPr>
        <w:t>8.9</w:t>
      </w:r>
      <w:r>
        <w:rPr>
          <w:rFonts w:hint="default" w:ascii="Times New Roman" w:hAnsi="Times New Roman" w:eastAsia="宋体" w:cs="Times New Roman"/>
          <w:b/>
          <w:bCs/>
          <w:color w:val="000000" w:themeColor="text1"/>
          <w:sz w:val="24"/>
          <w:highlight w:val="none"/>
          <w14:textFill>
            <w14:solidFill>
              <w14:schemeClr w14:val="tx1"/>
            </w14:solidFill>
          </w14:textFill>
        </w:rPr>
        <w:t>土壤环境影响结论</w:t>
      </w:r>
    </w:p>
    <w:p w14:paraId="028CBD2A">
      <w:pPr>
        <w:keepNext w:val="0"/>
        <w:keepLines w:val="0"/>
        <w:pageBreakBefore w:val="0"/>
        <w:widowControl w:val="0"/>
        <w:kinsoku/>
        <w:wordWrap/>
        <w:overflowPunct/>
        <w:topLinePunct w:val="0"/>
        <w:autoSpaceDE w:val="0"/>
        <w:autoSpaceDN w:val="0"/>
        <w:bidi w:val="0"/>
        <w:adjustRightInd/>
        <w:snapToGrid/>
        <w:spacing w:line="500" w:lineRule="exact"/>
        <w:ind w:firstLine="480" w:firstLineChars="200"/>
        <w:contextualSpacing/>
        <w:textAlignment w:val="baseline"/>
        <w:rPr>
          <w:rFonts w:hint="default" w:ascii="Times New Roman" w:hAnsi="Times New Roman" w:eastAsia="宋体" w:cs="Times New Roman"/>
          <w:color w:val="000000"/>
          <w:sz w:val="24"/>
          <w:highlight w:val="none"/>
          <w:lang w:val="sq-AL"/>
        </w:rPr>
      </w:pPr>
      <w:r>
        <w:rPr>
          <w:rFonts w:hint="default" w:ascii="Times New Roman" w:hAnsi="Times New Roman" w:eastAsia="宋体" w:cs="Times New Roman"/>
          <w:color w:val="000000"/>
          <w:sz w:val="24"/>
          <w:highlight w:val="none"/>
          <w:lang w:val="sq-AL"/>
        </w:rPr>
        <w:t>项目采取了相应的土壤防控措施。在落实好土壤防控措施的情况下，项目土壤环境影响可控，从土壤环境影响的角度，项目建设可行。</w:t>
      </w:r>
    </w:p>
    <w:p w14:paraId="48ED2322">
      <w:pPr>
        <w:spacing w:line="480" w:lineRule="exact"/>
        <w:outlineLvl w:val="3"/>
        <w:rPr>
          <w:rFonts w:hint="default" w:ascii="Times New Roman" w:hAnsi="Times New Roman" w:eastAsia="宋体" w:cs="Times New Roman"/>
          <w:b/>
          <w:bCs/>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highlight w:val="none"/>
          <w14:textFill>
            <w14:solidFill>
              <w14:schemeClr w14:val="tx1"/>
            </w14:solidFill>
          </w14:textFill>
        </w:rPr>
        <w:t>5.2.</w:t>
      </w:r>
      <w:r>
        <w:rPr>
          <w:rFonts w:hint="default" w:ascii="Times New Roman" w:hAnsi="Times New Roman" w:eastAsia="宋体" w:cs="Times New Roman"/>
          <w:b/>
          <w:bCs/>
          <w:color w:val="000000" w:themeColor="text1"/>
          <w:sz w:val="24"/>
          <w:highlight w:val="none"/>
          <w:lang w:val="en-US"/>
          <w14:textFill>
            <w14:solidFill>
              <w14:schemeClr w14:val="tx1"/>
            </w14:solidFill>
          </w14:textFill>
        </w:rPr>
        <w:t>8.</w:t>
      </w:r>
      <w:r>
        <w:rPr>
          <w:rFonts w:hint="default" w:ascii="Times New Roman" w:hAnsi="Times New Roman" w:eastAsia="宋体" w:cs="Times New Roman"/>
          <w:b/>
          <w:bCs/>
          <w:color w:val="000000" w:themeColor="text1"/>
          <w:sz w:val="24"/>
          <w:highlight w:val="none"/>
          <w:lang w:val="en-US" w:eastAsia="zh-CN"/>
          <w14:textFill>
            <w14:solidFill>
              <w14:schemeClr w14:val="tx1"/>
            </w14:solidFill>
          </w14:textFill>
        </w:rPr>
        <w:t>10</w:t>
      </w:r>
      <w:r>
        <w:rPr>
          <w:rFonts w:hint="default" w:ascii="Times New Roman" w:hAnsi="Times New Roman" w:eastAsia="宋体" w:cs="Times New Roman"/>
          <w:b/>
          <w:bCs/>
          <w:color w:val="000000" w:themeColor="text1"/>
          <w:sz w:val="24"/>
          <w:highlight w:val="none"/>
          <w:lang w:val="en-US"/>
          <w14:textFill>
            <w14:solidFill>
              <w14:schemeClr w14:val="tx1"/>
            </w14:solidFill>
          </w14:textFill>
        </w:rPr>
        <w:t>土壤环境影响</w:t>
      </w:r>
      <w:r>
        <w:rPr>
          <w:rFonts w:hint="default" w:ascii="Times New Roman" w:hAnsi="Times New Roman" w:eastAsia="宋体" w:cs="Times New Roman"/>
          <w:b/>
          <w:bCs/>
          <w:color w:val="000000" w:themeColor="text1"/>
          <w:sz w:val="24"/>
          <w:highlight w:val="none"/>
          <w:lang w:val="en-US" w:eastAsia="zh-CN"/>
          <w14:textFill>
            <w14:solidFill>
              <w14:schemeClr w14:val="tx1"/>
            </w14:solidFill>
          </w14:textFill>
        </w:rPr>
        <w:t>评价自查表</w:t>
      </w:r>
    </w:p>
    <w:p w14:paraId="7475A8A9">
      <w:pPr>
        <w:autoSpaceDE w:val="0"/>
        <w:autoSpaceDN w:val="0"/>
        <w:spacing w:line="480" w:lineRule="exact"/>
        <w:ind w:firstLine="480" w:firstLineChars="200"/>
        <w:jc w:val="left"/>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土壤环境影响</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评价自查表见附表</w:t>
      </w:r>
      <w:r>
        <w:rPr>
          <w:rFonts w:hint="eastAsia" w:cs="Times New Roman"/>
          <w:color w:val="000000" w:themeColor="text1"/>
          <w:sz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w:t>
      </w:r>
    </w:p>
    <w:p w14:paraId="42586043">
      <w:pPr>
        <w:rPr>
          <w:rFonts w:hint="default" w:ascii="Times New Roman" w:hAnsi="Times New Roman" w:eastAsia="宋体" w:cs="Times New Roman"/>
          <w:color w:val="000000" w:themeColor="text1"/>
          <w:sz w:val="24"/>
          <w:highlight w:val="yellow"/>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yellow"/>
          <w:lang w:val="en-US" w:eastAsia="zh-CN"/>
          <w14:textFill>
            <w14:solidFill>
              <w14:schemeClr w14:val="tx1"/>
            </w14:solidFill>
          </w14:textFill>
        </w:rPr>
        <w:br w:type="page"/>
      </w:r>
    </w:p>
    <w:p w14:paraId="09F32F8B">
      <w:pPr>
        <w:pStyle w:val="5"/>
        <w:bidi w:val="0"/>
        <w:rPr>
          <w:rFonts w:hint="default"/>
        </w:rPr>
      </w:pPr>
      <w:bookmarkStart w:id="340" w:name="_Toc23212"/>
      <w:r>
        <w:rPr>
          <w:rFonts w:hint="default"/>
          <w:lang w:val="en-US" w:eastAsia="zh-CN"/>
        </w:rPr>
        <w:t>6</w:t>
      </w:r>
      <w:r>
        <w:rPr>
          <w:rFonts w:hint="default"/>
        </w:rPr>
        <w:t>环境保护措施及其可行性论证</w:t>
      </w:r>
      <w:bookmarkEnd w:id="340"/>
    </w:p>
    <w:p w14:paraId="5BAAC62F">
      <w:pPr>
        <w:pStyle w:val="7"/>
        <w:bidi w:val="0"/>
        <w:rPr>
          <w:rFonts w:hint="default"/>
        </w:rPr>
      </w:pPr>
      <w:bookmarkStart w:id="341" w:name="_Toc28104"/>
      <w:bookmarkStart w:id="342" w:name="_Toc296169650"/>
      <w:bookmarkStart w:id="343" w:name="_Toc246763551"/>
      <w:bookmarkStart w:id="344" w:name="_Toc296169651"/>
      <w:bookmarkStart w:id="345" w:name="_Toc246763552"/>
      <w:r>
        <w:rPr>
          <w:rFonts w:hint="default"/>
          <w:lang w:val="en-US" w:eastAsia="zh-CN"/>
        </w:rPr>
        <w:t>6</w:t>
      </w:r>
      <w:r>
        <w:rPr>
          <w:rFonts w:hint="default"/>
        </w:rPr>
        <w:t>.1废气治理措施可行性论证</w:t>
      </w:r>
      <w:bookmarkEnd w:id="341"/>
      <w:bookmarkEnd w:id="342"/>
      <w:bookmarkEnd w:id="343"/>
    </w:p>
    <w:p w14:paraId="19840424">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本项目废气为污水处理和污泥处理过程产生的臭气</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w:t>
      </w:r>
    </w:p>
    <w:p w14:paraId="4EFEC36D">
      <w:pPr>
        <w:pStyle w:val="6"/>
        <w:bidi w:val="0"/>
        <w:rPr>
          <w:rFonts w:hint="default"/>
        </w:rPr>
      </w:pPr>
      <w:bookmarkStart w:id="346" w:name="_Toc390963155"/>
      <w:r>
        <w:rPr>
          <w:rFonts w:hint="default"/>
        </w:rPr>
        <w:t>6.1.1废气治理措施可行性论证</w:t>
      </w:r>
    </w:p>
    <w:p w14:paraId="6EF3E64C">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本项目在粗细格栅及调节池加设盖板，</w:t>
      </w:r>
      <w:r>
        <w:rPr>
          <w:rFonts w:hint="eastAsia" w:cs="Times New Roman"/>
          <w:color w:val="000000" w:themeColor="text1"/>
          <w:sz w:val="24"/>
          <w:szCs w:val="24"/>
          <w:highlight w:val="none"/>
          <w:lang w:val="en-US" w:eastAsia="zh-CN"/>
          <w14:textFill>
            <w14:solidFill>
              <w14:schemeClr w14:val="tx1"/>
            </w14:solidFill>
          </w14:textFill>
        </w:rPr>
        <w:t>A</w:t>
      </w:r>
      <w:r>
        <w:rPr>
          <w:rFonts w:hint="eastAsia" w:cs="Times New Roman"/>
          <w:color w:val="000000" w:themeColor="text1"/>
          <w:sz w:val="24"/>
          <w:szCs w:val="24"/>
          <w:highlight w:val="none"/>
          <w:vertAlign w:val="superscript"/>
          <w:lang w:val="en-US" w:eastAsia="zh-CN"/>
          <w14:textFill>
            <w14:solidFill>
              <w14:schemeClr w14:val="tx1"/>
            </w14:solidFill>
          </w14:textFill>
        </w:rPr>
        <w:t>2</w:t>
      </w:r>
      <w:r>
        <w:rPr>
          <w:rFonts w:hint="eastAsia" w:cs="Times New Roman"/>
          <w:color w:val="000000" w:themeColor="text1"/>
          <w:sz w:val="24"/>
          <w:szCs w:val="24"/>
          <w:highlight w:val="none"/>
          <w:lang w:val="en-US" w:eastAsia="zh-CN"/>
          <w14:textFill>
            <w14:solidFill>
              <w14:schemeClr w14:val="tx1"/>
            </w14:solidFill>
          </w14:textFill>
        </w:rPr>
        <w:t>O</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生反池及污泥脱水单元均为封闭结构，内设排风管道，将臭气在引风机的作用下，进入等离子光电一体机进行净化，净化后的气体经一根15m排气筒（DA001）排放。</w:t>
      </w:r>
    </w:p>
    <w:p w14:paraId="7BAC1491">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等离子光电一体机净化作用机理包含两个方面：</w:t>
      </w:r>
    </w:p>
    <w:p w14:paraId="24A8ABC5">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一是在产生等离子体的过程中，高频放电所产生的瞬间高能足够打开一些有害气体分子的化学能，使之分解为单质原子或无害分子；二是等离子体中包含大量的高能电子、正负离子、激发态粒子和具有强氧化性的自由基，这些活性粒子和部分臭气分子碰撞结合，在电场作用下，使臭气分子处于激发态。当臭气分子获得的能量大于其分子键能的结合能时，臭气分子的化学键断裂，直接分解成单质原子或由单一原子构成得无害气体分子。同时产生的大量·OH、·HO</w:t>
      </w:r>
      <w:r>
        <w:rPr>
          <w:rFonts w:hint="default" w:ascii="Times New Roman" w:hAnsi="Times New Roman" w:eastAsia="宋体" w:cs="Times New Roman"/>
          <w:color w:val="000000" w:themeColor="text1"/>
          <w:sz w:val="24"/>
          <w:szCs w:val="24"/>
          <w:highlight w:val="none"/>
          <w:vertAlign w:val="subscript"/>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、·O等活性自由基和氧化性极强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O</w:t>
      </w:r>
      <w:r>
        <w:rPr>
          <w:rFonts w:hint="eastAsia" w:ascii="Times New Roman" w:hAnsi="Times New Roman" w:eastAsia="宋体" w:cs="Times New Roman"/>
          <w:color w:val="000000" w:themeColor="text1"/>
          <w:sz w:val="24"/>
          <w:szCs w:val="24"/>
          <w:highlight w:val="none"/>
          <w:vertAlign w:val="sub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与有害气体分子发生化学反应，最终生成无害产物。等离子体中的高能电子可使电负性高的气体分子（如氧分子、氮分子）带上电子而成为负离子，它具有许多良好的效应，对人体及其他生物的生命活动有着十分重要的影响，被人们誉为“空气维生素”、“长寿素”。等离子体的净化作用还具备显著的生物效应。发生的静电作用在各种细菌、病毒等微生物表面产生的电能剪切力大于细胞膜表面张力，使细胞膜遭到破坏，导致微生物死亡。因此低温等离子体除臭技术具有优秀的消毒杀菌之功效。</w:t>
      </w:r>
    </w:p>
    <w:p w14:paraId="3B521618">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具有如下优点：</w:t>
      </w:r>
    </w:p>
    <w:p w14:paraId="4EB5184E">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①技术高端，工艺简洁：开机后，即自行运转，受工况限制非常少，无需专人操作。</w:t>
      </w:r>
    </w:p>
    <w:p w14:paraId="1A8153DD">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②节能：无机械设备，空气阻力小，耗电量约为0.003kw/</w:t>
      </w:r>
      <w:r>
        <w:rPr>
          <w:rFonts w:hint="eastAsia" w:cs="Times New Roman"/>
          <w:color w:val="000000" w:themeColor="text1"/>
          <w:sz w:val="24"/>
          <w:szCs w:val="24"/>
          <w:highlight w:val="none"/>
          <w:lang w:val="en-US" w:eastAsia="zh-CN"/>
          <w14:textFill>
            <w14:solidFill>
              <w14:schemeClr w14:val="tx1"/>
            </w14:solidFill>
          </w14:textFill>
        </w:rPr>
        <w:t>m</w:t>
      </w:r>
      <w:r>
        <w:rPr>
          <w:rFonts w:hint="eastAsia" w:cs="Times New Roman"/>
          <w:color w:val="000000" w:themeColor="text1"/>
          <w:sz w:val="24"/>
          <w:szCs w:val="24"/>
          <w:highlight w:val="none"/>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废气。</w:t>
      </w:r>
    </w:p>
    <w:p w14:paraId="5F3A2FAC">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③适应工况范围宽：设备启动、停止十分迅速，随用随开，不受气温的影响。在25℃以下和在雾态工况环境中均可正常运转。在-50℃至+50℃的环境温度仍可正常运转。</w:t>
      </w:r>
    </w:p>
    <w:p w14:paraId="756E2323">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④设备使用寿命长：本设备由不锈钢材，铜材、铝材、环氧树脂等材料组成，抗氧化，采用防腐蚀材料，电极与废气不直接接触，根本上解决了设备腐蚀问题。</w:t>
      </w:r>
    </w:p>
    <w:p w14:paraId="19E8CFEF">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⑤结构简单：只需用电，操作极为简单，无需派专职人员看守，基本不占用人工费。机械设备故障率低，维修容易。</w:t>
      </w:r>
    </w:p>
    <w:p w14:paraId="3D2F444E">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⑥应用范围广：介质阻挡放电产生的低温等离子体中，电子能量高，几乎可以将所有的异味气体分子降解。</w:t>
      </w:r>
    </w:p>
    <w:p w14:paraId="773FFBAE">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项目在格栅间及调节池、</w:t>
      </w:r>
      <w:r>
        <w:rPr>
          <w:rFonts w:hint="eastAsia"/>
          <w:highlight w:val="none"/>
          <w:lang w:val="en-US" w:eastAsia="zh-CN"/>
        </w:rPr>
        <w:t>A</w:t>
      </w:r>
      <w:r>
        <w:rPr>
          <w:rFonts w:hint="eastAsia"/>
          <w:highlight w:val="none"/>
          <w:vertAlign w:val="superscript"/>
          <w:lang w:val="en-US" w:eastAsia="zh-CN"/>
        </w:rPr>
        <w:t>2</w:t>
      </w:r>
      <w:r>
        <w:rPr>
          <w:rFonts w:hint="eastAsia"/>
          <w:highlight w:val="none"/>
          <w:lang w:val="en-US" w:eastAsia="zh-CN"/>
        </w:rPr>
        <w:t>O</w:t>
      </w:r>
      <w:r>
        <w:rPr>
          <w:rFonts w:hint="default"/>
          <w:highlight w:val="none"/>
          <w:lang w:val="en-US" w:eastAsia="zh-CN"/>
        </w:rPr>
        <w:t>一体化处理设备</w:t>
      </w:r>
      <w:r>
        <w:rPr>
          <w:rFonts w:hint="eastAsia"/>
          <w:highlight w:val="none"/>
          <w:lang w:val="en-US" w:eastAsia="zh-CN"/>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污泥脱水间、污泥池共用1套处理风量5000</w:t>
      </w:r>
      <w:r>
        <w:rPr>
          <w:rFonts w:hint="eastAsia" w:cs="Times New Roman"/>
          <w:color w:val="000000" w:themeColor="text1"/>
          <w:sz w:val="24"/>
          <w:szCs w:val="24"/>
          <w:highlight w:val="none"/>
          <w:lang w:val="en-US" w:eastAsia="zh-CN"/>
          <w14:textFill>
            <w14:solidFill>
              <w14:schemeClr w14:val="tx1"/>
            </w14:solidFill>
          </w14:textFill>
        </w:rPr>
        <w:t>m</w:t>
      </w:r>
      <w:r>
        <w:rPr>
          <w:rFonts w:hint="eastAsia" w:cs="Times New Roman"/>
          <w:color w:val="000000" w:themeColor="text1"/>
          <w:sz w:val="24"/>
          <w:szCs w:val="24"/>
          <w:highlight w:val="none"/>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h的等离子光电一体机，产生的臭气收集至等离子光电一体机处理后通过一根15m高排气筒排放，设计废气的处理效率85%-95%。类比《交城县污水处理厂进水调节池建设工程项目竣工环境保护验收监测报告表》中的检测数据，其采用离子光电一体机对</w:t>
      </w:r>
      <w:r>
        <w:rPr>
          <w:rFonts w:hint="eastAsia" w:cs="Times New Roman"/>
          <w:color w:val="000000" w:themeColor="text1"/>
          <w:sz w:val="24"/>
          <w:szCs w:val="24"/>
          <w:highlight w:val="none"/>
          <w:lang w:val="en-US" w:eastAsia="zh-CN"/>
          <w14:textFill>
            <w14:solidFill>
              <w14:schemeClr w14:val="tx1"/>
            </w14:solidFill>
          </w14:textFill>
        </w:rPr>
        <w:t>H</w:t>
      </w:r>
      <w:r>
        <w:rPr>
          <w:rFonts w:hint="eastAsia" w:cs="Times New Roman"/>
          <w:color w:val="000000" w:themeColor="text1"/>
          <w:sz w:val="24"/>
          <w:szCs w:val="24"/>
          <w:highlight w:val="none"/>
          <w:vertAlign w:val="subscript"/>
          <w:lang w:val="en-US" w:eastAsia="zh-CN"/>
          <w14:textFill>
            <w14:solidFill>
              <w14:schemeClr w14:val="tx1"/>
            </w14:solidFill>
          </w14:textFill>
        </w:rPr>
        <w:t>2</w:t>
      </w:r>
      <w:r>
        <w:rPr>
          <w:rFonts w:hint="eastAsia" w:cs="Times New Roman"/>
          <w:color w:val="000000" w:themeColor="text1"/>
          <w:sz w:val="24"/>
          <w:szCs w:val="24"/>
          <w:highlight w:val="none"/>
          <w:lang w:val="en-US" w:eastAsia="zh-CN"/>
          <w14:textFill>
            <w14:solidFill>
              <w14:schemeClr w14:val="tx1"/>
            </w14:solidFill>
          </w14:textFill>
        </w:rPr>
        <w:t>S</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、氨、臭气浓度去除效率分别为：90.6%~91.4%，90.9%~91.3%，92.23%~92.4%。本评价按设计最低去除效率85%计算，经预测，</w:t>
      </w:r>
      <w:r>
        <w:rPr>
          <w:rFonts w:hint="eastAsia" w:cs="Times New Roman"/>
          <w:color w:val="000000" w:themeColor="text1"/>
          <w:sz w:val="24"/>
          <w:szCs w:val="24"/>
          <w:highlight w:val="none"/>
          <w:lang w:val="en-US" w:eastAsia="zh-CN"/>
          <w14:textFill>
            <w14:solidFill>
              <w14:schemeClr w14:val="tx1"/>
            </w14:solidFill>
          </w14:textFill>
        </w:rPr>
        <w:t>NH</w:t>
      </w:r>
      <w:r>
        <w:rPr>
          <w:rFonts w:hint="eastAsia" w:cs="Times New Roman"/>
          <w:color w:val="000000" w:themeColor="text1"/>
          <w:sz w:val="24"/>
          <w:szCs w:val="24"/>
          <w:highlight w:val="none"/>
          <w:vertAlign w:val="sub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eastAsia" w:cs="Times New Roman"/>
          <w:color w:val="000000" w:themeColor="text1"/>
          <w:sz w:val="24"/>
          <w:szCs w:val="24"/>
          <w:highlight w:val="none"/>
          <w:lang w:val="en-US" w:eastAsia="zh-CN"/>
          <w14:textFill>
            <w14:solidFill>
              <w14:schemeClr w14:val="tx1"/>
            </w14:solidFill>
          </w14:textFill>
        </w:rPr>
        <w:t>H</w:t>
      </w:r>
      <w:r>
        <w:rPr>
          <w:rFonts w:hint="eastAsia" w:cs="Times New Roman"/>
          <w:color w:val="000000" w:themeColor="text1"/>
          <w:sz w:val="24"/>
          <w:szCs w:val="24"/>
          <w:highlight w:val="none"/>
          <w:vertAlign w:val="subscript"/>
          <w:lang w:val="en-US" w:eastAsia="zh-CN"/>
          <w14:textFill>
            <w14:solidFill>
              <w14:schemeClr w14:val="tx1"/>
            </w14:solidFill>
          </w14:textFill>
        </w:rPr>
        <w:t>2</w:t>
      </w:r>
      <w:r>
        <w:rPr>
          <w:rFonts w:hint="eastAsia" w:cs="Times New Roman"/>
          <w:color w:val="000000" w:themeColor="text1"/>
          <w:sz w:val="24"/>
          <w:szCs w:val="24"/>
          <w:highlight w:val="none"/>
          <w:lang w:val="en-US" w:eastAsia="zh-CN"/>
          <w14:textFill>
            <w14:solidFill>
              <w14:schemeClr w14:val="tx1"/>
            </w14:solidFill>
          </w14:textFill>
        </w:rPr>
        <w:t>S</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的排放速率、臭气浓度均满足《恶臭污染物排放标准》（GB14554-93）表2标准要求。措施可行。</w:t>
      </w:r>
    </w:p>
    <w:p w14:paraId="79596181">
      <w:pPr>
        <w:pStyle w:val="6"/>
        <w:bidi w:val="0"/>
        <w:rPr>
          <w:rFonts w:hint="default"/>
          <w:highlight w:val="none"/>
        </w:rPr>
      </w:pPr>
      <w:r>
        <w:rPr>
          <w:rFonts w:hint="default"/>
          <w:highlight w:val="none"/>
          <w:lang w:val="en-US" w:eastAsia="zh-CN"/>
        </w:rPr>
        <w:t>6.1.2</w:t>
      </w:r>
      <w:r>
        <w:rPr>
          <w:rFonts w:hint="default"/>
          <w:highlight w:val="none"/>
        </w:rPr>
        <w:t>其他措施</w:t>
      </w:r>
    </w:p>
    <w:p w14:paraId="029BB6A3">
      <w:pPr>
        <w:bidi w:val="0"/>
        <w:rPr>
          <w:rFonts w:hint="default"/>
          <w:highlight w:val="none"/>
        </w:rPr>
      </w:pPr>
      <w:r>
        <w:rPr>
          <w:rFonts w:hint="default"/>
          <w:highlight w:val="none"/>
        </w:rPr>
        <w:t>⑴设置卫生防护距离，加强绿化</w:t>
      </w:r>
    </w:p>
    <w:p w14:paraId="69D81016">
      <w:pPr>
        <w:bidi w:val="0"/>
        <w:rPr>
          <w:rFonts w:hint="default"/>
          <w:highlight w:val="none"/>
        </w:rPr>
      </w:pPr>
      <w:r>
        <w:rPr>
          <w:rFonts w:hint="default"/>
          <w:highlight w:val="none"/>
        </w:rPr>
        <w:t>除了采取恶臭集中治理措施外，项目还设置了100m的卫生防护距离，加强厂区绿化工程。在反应池周边设置绿化带，脱水机房厂区道路之间种植绿化带，在辅助生产及管理区均设置绿化带；在厂区空地、路边等种植其它灌木、花草，绿化面积30%，有效防止臭气污染、影响自身及周边环境。</w:t>
      </w:r>
    </w:p>
    <w:p w14:paraId="58B58707">
      <w:pPr>
        <w:bidi w:val="0"/>
        <w:rPr>
          <w:rFonts w:hint="default"/>
          <w:highlight w:val="none"/>
        </w:rPr>
      </w:pPr>
      <w:r>
        <w:rPr>
          <w:rFonts w:hint="default"/>
          <w:highlight w:val="none"/>
        </w:rPr>
        <w:t>⑵加强管理，减少臭气排放</w:t>
      </w:r>
    </w:p>
    <w:p w14:paraId="46DF00CC">
      <w:pPr>
        <w:bidi w:val="0"/>
        <w:rPr>
          <w:rFonts w:hint="default"/>
          <w:highlight w:val="none"/>
        </w:rPr>
      </w:pPr>
      <w:r>
        <w:rPr>
          <w:rFonts w:hint="default"/>
          <w:highlight w:val="none"/>
        </w:rPr>
        <w:t>污水处理厂运行后，削减恶臭污染的主要措施是在污水处理厂的运行操作中加强管理。如脱水后污泥应及时运出厂区，在厂区内存放不能超过一天；堆放点建成能遮阳挡雨的半封闭式堆放点；各个有臭气产生的设施定期检修、更换等。</w:t>
      </w:r>
    </w:p>
    <w:p w14:paraId="7D2550A1">
      <w:pPr>
        <w:bidi w:val="0"/>
        <w:rPr>
          <w:rFonts w:hint="default"/>
          <w:highlight w:val="none"/>
        </w:rPr>
      </w:pPr>
      <w:r>
        <w:rPr>
          <w:rFonts w:hint="default"/>
          <w:highlight w:val="none"/>
        </w:rPr>
        <w:t>⑶合理布局，防止恶臭对附近敏感点的污染</w:t>
      </w:r>
    </w:p>
    <w:p w14:paraId="265FFBAE">
      <w:pPr>
        <w:bidi w:val="0"/>
        <w:rPr>
          <w:rFonts w:hint="default"/>
          <w:highlight w:val="none"/>
        </w:rPr>
      </w:pPr>
      <w:r>
        <w:rPr>
          <w:rFonts w:hint="default"/>
          <w:highlight w:val="none"/>
        </w:rPr>
        <w:t>通过厂区的合理布局，减缓臭气对周围环境的影响。在卫生防护距离内，不得规划学校，医院，居住小区等对大气较为敏感的建筑。</w:t>
      </w:r>
    </w:p>
    <w:bookmarkEnd w:id="346"/>
    <w:p w14:paraId="7C96284A">
      <w:pPr>
        <w:pStyle w:val="7"/>
        <w:bidi w:val="0"/>
        <w:rPr>
          <w:rFonts w:hint="default"/>
          <w:highlight w:val="none"/>
          <w:lang w:eastAsia="zh-CN"/>
        </w:rPr>
      </w:pPr>
      <w:bookmarkStart w:id="347" w:name="_Toc390963157"/>
      <w:bookmarkStart w:id="348" w:name="_Toc32449"/>
      <w:r>
        <w:rPr>
          <w:rFonts w:hint="default"/>
          <w:highlight w:val="none"/>
          <w:lang w:val="en-US" w:eastAsia="zh-CN"/>
        </w:rPr>
        <w:t>6</w:t>
      </w:r>
      <w:r>
        <w:rPr>
          <w:rFonts w:hint="default"/>
          <w:highlight w:val="none"/>
        </w:rPr>
        <w:t>.2废水治理措施</w:t>
      </w:r>
      <w:bookmarkEnd w:id="347"/>
      <w:r>
        <w:rPr>
          <w:rFonts w:hint="default"/>
          <w:highlight w:val="none"/>
          <w:lang w:eastAsia="zh-CN"/>
        </w:rPr>
        <w:t>可行性论证</w:t>
      </w:r>
      <w:bookmarkEnd w:id="348"/>
    </w:p>
    <w:p w14:paraId="4C707910">
      <w:pPr>
        <w:keepNext w:val="0"/>
        <w:keepLines w:val="0"/>
        <w:widowControl/>
        <w:suppressLineNumbers w:val="0"/>
        <w:jc w:val="both"/>
        <w:rPr>
          <w:highlight w:val="none"/>
        </w:rPr>
      </w:pPr>
      <w:r>
        <w:rPr>
          <w:rFonts w:hint="eastAsia" w:ascii="宋体" w:hAnsi="宋体" w:eastAsia="宋体" w:cs="宋体"/>
          <w:color w:val="000000"/>
          <w:kern w:val="0"/>
          <w:sz w:val="24"/>
          <w:szCs w:val="24"/>
          <w:highlight w:val="none"/>
          <w:lang w:val="en-US" w:eastAsia="zh-CN" w:bidi="ar"/>
        </w:rPr>
        <w:t>根据企业提供的设计材料及其他资料，本项目污水处理工艺为预处理+生化处理+深度处理工艺，预处理采用“粗格栅+细格栅+调节池”，生化处理采用“A</w:t>
      </w:r>
      <w:r>
        <w:rPr>
          <w:rFonts w:hint="eastAsia" w:ascii="宋体" w:hAnsi="宋体" w:eastAsia="宋体" w:cs="宋体"/>
          <w:color w:val="000000"/>
          <w:kern w:val="0"/>
          <w:sz w:val="24"/>
          <w:szCs w:val="24"/>
          <w:highlight w:val="none"/>
          <w:vertAlign w:val="superscript"/>
          <w:lang w:val="en-US" w:eastAsia="zh-CN" w:bidi="ar"/>
        </w:rPr>
        <w:t>2</w:t>
      </w:r>
      <w:r>
        <w:rPr>
          <w:rFonts w:hint="eastAsia" w:ascii="宋体" w:hAnsi="宋体" w:eastAsia="宋体" w:cs="宋体"/>
          <w:color w:val="000000"/>
          <w:kern w:val="0"/>
          <w:sz w:val="24"/>
          <w:szCs w:val="24"/>
          <w:highlight w:val="none"/>
          <w:lang w:val="en-US" w:eastAsia="zh-CN" w:bidi="ar"/>
        </w:rPr>
        <w:t>O工艺”，深度处理工艺采用“混凝沉淀+活性砂过滤+次氯酸钠消毒”工艺。废水经处理后污染物出水指标满足《城镇污水处理厂污染物排放标准》(GB18918-2002)中一级A标准，同时满足《城市污水再生利用 工业用水水质》（GB/T19923-2024）、《城市污水再生利用 城市杂用水水质》（GB/T18920-2020）、《城市污水再生利用 绿地灌溉水质》（GB/T25499-2010）标准限值。</w:t>
      </w:r>
    </w:p>
    <w:p w14:paraId="021462DE">
      <w:pPr>
        <w:spacing w:before="34" w:line="220" w:lineRule="auto"/>
        <w:rPr>
          <w:rFonts w:hint="default" w:ascii="Times New Roman" w:hAnsi="Times New Roman" w:eastAsia="宋体" w:cs="Times New Roman"/>
          <w:spacing w:val="-2"/>
          <w:sz w:val="24"/>
          <w:szCs w:val="24"/>
          <w:highlight w:val="none"/>
        </w:rPr>
      </w:pPr>
      <w:bookmarkStart w:id="349" w:name="_Toc390963166"/>
      <w:r>
        <w:rPr>
          <w:rFonts w:hint="default" w:ascii="Times New Roman" w:hAnsi="Times New Roman" w:eastAsia="宋体" w:cs="Times New Roman"/>
          <w:spacing w:val="-2"/>
          <w:sz w:val="24"/>
          <w:szCs w:val="24"/>
          <w:highlight w:val="none"/>
        </w:rPr>
        <w:t>根据设计单位提供的资料，本项目污水处理各单元对进水主要污染物的处理效率见表</w:t>
      </w:r>
      <w:r>
        <w:rPr>
          <w:rFonts w:hint="eastAsia" w:cs="Times New Roman"/>
          <w:spacing w:val="-2"/>
          <w:sz w:val="24"/>
          <w:szCs w:val="24"/>
          <w:highlight w:val="none"/>
          <w:lang w:val="en-US" w:eastAsia="zh-CN"/>
        </w:rPr>
        <w:t>6</w:t>
      </w:r>
      <w:r>
        <w:rPr>
          <w:rFonts w:hint="default" w:ascii="Times New Roman" w:hAnsi="Times New Roman" w:eastAsia="宋体" w:cs="Times New Roman"/>
          <w:spacing w:val="-2"/>
          <w:sz w:val="24"/>
          <w:szCs w:val="24"/>
          <w:highlight w:val="none"/>
        </w:rPr>
        <w:t>.</w:t>
      </w:r>
      <w:r>
        <w:rPr>
          <w:rFonts w:hint="eastAsia" w:cs="Times New Roman"/>
          <w:spacing w:val="-2"/>
          <w:sz w:val="24"/>
          <w:szCs w:val="24"/>
          <w:highlight w:val="none"/>
          <w:lang w:val="en-US" w:eastAsia="zh-CN"/>
        </w:rPr>
        <w:t>2</w:t>
      </w:r>
      <w:r>
        <w:rPr>
          <w:rFonts w:hint="default" w:ascii="Times New Roman" w:hAnsi="Times New Roman" w:eastAsia="宋体" w:cs="Times New Roman"/>
          <w:spacing w:val="-2"/>
          <w:sz w:val="24"/>
          <w:szCs w:val="24"/>
          <w:highlight w:val="none"/>
        </w:rPr>
        <w:t>-</w:t>
      </w:r>
      <w:r>
        <w:rPr>
          <w:rFonts w:hint="eastAsia" w:cs="Times New Roman"/>
          <w:spacing w:val="-2"/>
          <w:sz w:val="24"/>
          <w:szCs w:val="24"/>
          <w:highlight w:val="none"/>
          <w:lang w:val="en-US" w:eastAsia="zh-CN"/>
        </w:rPr>
        <w:t>1</w:t>
      </w:r>
      <w:r>
        <w:rPr>
          <w:rFonts w:hint="default" w:ascii="Times New Roman" w:hAnsi="Times New Roman" w:eastAsia="宋体" w:cs="Times New Roman"/>
          <w:spacing w:val="-2"/>
          <w:sz w:val="24"/>
          <w:szCs w:val="24"/>
          <w:highlight w:val="none"/>
        </w:rPr>
        <w:t>。</w:t>
      </w:r>
    </w:p>
    <w:p w14:paraId="12A673BD">
      <w:pPr>
        <w:pStyle w:val="20"/>
        <w:numPr>
          <w:ilvl w:val="0"/>
          <w:numId w:val="42"/>
        </w:numPr>
        <w:spacing w:after="0" w:line="440" w:lineRule="exact"/>
        <w:ind w:left="425" w:leftChars="0" w:hanging="425" w:firstLineChars="0"/>
        <w:jc w:val="center"/>
        <w:rPr>
          <w:rFonts w:hint="default" w:ascii="Times New Roman" w:hAnsi="Times New Roman" w:eastAsia="宋体" w:cs="Times New Roman"/>
          <w:b/>
          <w:color w:val="000000"/>
          <w:sz w:val="24"/>
          <w:szCs w:val="24"/>
          <w:highlight w:val="none"/>
        </w:rPr>
      </w:pPr>
      <w:r>
        <w:rPr>
          <w:rFonts w:hint="default" w:ascii="Times New Roman" w:hAnsi="Times New Roman" w:eastAsia="宋体" w:cs="Times New Roman"/>
          <w:b/>
          <w:color w:val="000000"/>
          <w:sz w:val="24"/>
          <w:szCs w:val="24"/>
          <w:highlight w:val="none"/>
        </w:rPr>
        <w:t>工程主要污染物去除效率一览表</w:t>
      </w:r>
    </w:p>
    <w:tbl>
      <w:tblPr>
        <w:tblStyle w:val="88"/>
        <w:tblW w:w="4996" w:type="pct"/>
        <w:tblInd w:w="0" w:type="dxa"/>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autofit"/>
        <w:tblCellMar>
          <w:top w:w="0" w:type="dxa"/>
          <w:left w:w="0" w:type="dxa"/>
          <w:bottom w:w="0" w:type="dxa"/>
          <w:right w:w="0" w:type="dxa"/>
        </w:tblCellMar>
      </w:tblPr>
      <w:tblGrid>
        <w:gridCol w:w="782"/>
        <w:gridCol w:w="1079"/>
        <w:gridCol w:w="747"/>
        <w:gridCol w:w="782"/>
        <w:gridCol w:w="671"/>
        <w:gridCol w:w="669"/>
        <w:gridCol w:w="774"/>
        <w:gridCol w:w="701"/>
        <w:gridCol w:w="805"/>
        <w:gridCol w:w="708"/>
        <w:gridCol w:w="736"/>
        <w:gridCol w:w="641"/>
      </w:tblGrid>
      <w:tr w14:paraId="16355A9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490" w:hRule="atLeast"/>
        </w:trPr>
        <w:tc>
          <w:tcPr>
            <w:tcW w:w="430" w:type="pct"/>
            <w:vMerge w:val="restart"/>
            <w:tcBorders>
              <w:bottom w:val="nil"/>
            </w:tcBorders>
            <w:vAlign w:val="center"/>
          </w:tcPr>
          <w:p w14:paraId="281EAB04">
            <w:pPr>
              <w:pStyle w:val="58"/>
              <w:bidi w:val="0"/>
              <w:rPr>
                <w:rFonts w:hint="default"/>
                <w:highlight w:val="none"/>
              </w:rPr>
            </w:pPr>
            <w:r>
              <w:rPr>
                <w:rFonts w:hint="default"/>
                <w:highlight w:val="none"/>
                <w:lang w:val="en-US" w:eastAsia="zh-CN"/>
              </w:rPr>
              <w:t>处理工段</w:t>
            </w:r>
          </w:p>
        </w:tc>
        <w:tc>
          <w:tcPr>
            <w:tcW w:w="592" w:type="pct"/>
            <w:vAlign w:val="center"/>
          </w:tcPr>
          <w:p w14:paraId="39114CB1">
            <w:pPr>
              <w:pStyle w:val="58"/>
              <w:bidi w:val="0"/>
              <w:rPr>
                <w:rFonts w:hint="default"/>
                <w:highlight w:val="none"/>
              </w:rPr>
            </w:pPr>
            <w:r>
              <w:rPr>
                <w:rFonts w:hint="default"/>
                <w:highlight w:val="none"/>
                <w:lang w:val="en-US" w:eastAsia="zh-CN"/>
              </w:rPr>
              <w:t>指标</w:t>
            </w:r>
          </w:p>
        </w:tc>
        <w:tc>
          <w:tcPr>
            <w:tcW w:w="411" w:type="pct"/>
            <w:vAlign w:val="center"/>
          </w:tcPr>
          <w:p w14:paraId="3E1DC3AE">
            <w:pPr>
              <w:pStyle w:val="58"/>
              <w:bidi w:val="0"/>
              <w:rPr>
                <w:rFonts w:hint="default"/>
                <w:highlight w:val="none"/>
              </w:rPr>
            </w:pPr>
            <w:r>
              <w:rPr>
                <w:rFonts w:hint="default"/>
                <w:highlight w:val="none"/>
                <w:lang w:val="en-US" w:eastAsia="zh-CN"/>
              </w:rPr>
              <w:t>CODcr</w:t>
            </w:r>
          </w:p>
        </w:tc>
        <w:tc>
          <w:tcPr>
            <w:tcW w:w="430" w:type="pct"/>
            <w:vAlign w:val="center"/>
          </w:tcPr>
          <w:p w14:paraId="18614043">
            <w:pPr>
              <w:pStyle w:val="58"/>
              <w:bidi w:val="0"/>
              <w:rPr>
                <w:rFonts w:hint="default"/>
                <w:highlight w:val="none"/>
              </w:rPr>
            </w:pPr>
            <w:r>
              <w:rPr>
                <w:rFonts w:hint="eastAsia"/>
                <w:highlight w:val="none"/>
                <w:lang w:val="en-US" w:eastAsia="zh-CN"/>
              </w:rPr>
              <w:t>BOD</w:t>
            </w:r>
            <w:r>
              <w:rPr>
                <w:rFonts w:hint="eastAsia"/>
                <w:highlight w:val="none"/>
                <w:vertAlign w:val="subscript"/>
                <w:lang w:val="en-US" w:eastAsia="zh-CN"/>
              </w:rPr>
              <w:t>5</w:t>
            </w:r>
          </w:p>
        </w:tc>
        <w:tc>
          <w:tcPr>
            <w:tcW w:w="367" w:type="pct"/>
            <w:vAlign w:val="center"/>
          </w:tcPr>
          <w:p w14:paraId="6DAB71CD">
            <w:pPr>
              <w:pStyle w:val="58"/>
              <w:bidi w:val="0"/>
              <w:rPr>
                <w:rFonts w:hint="default"/>
                <w:highlight w:val="none"/>
              </w:rPr>
            </w:pPr>
            <w:r>
              <w:rPr>
                <w:rFonts w:hint="default"/>
                <w:highlight w:val="none"/>
                <w:lang w:val="en-US" w:eastAsia="zh-CN"/>
              </w:rPr>
              <w:t>SS</w:t>
            </w:r>
          </w:p>
        </w:tc>
        <w:tc>
          <w:tcPr>
            <w:tcW w:w="367" w:type="pct"/>
            <w:tcBorders>
              <w:right w:val="single" w:color="000000" w:sz="2" w:space="0"/>
            </w:tcBorders>
            <w:vAlign w:val="center"/>
          </w:tcPr>
          <w:p w14:paraId="6DD4C38E">
            <w:pPr>
              <w:pStyle w:val="58"/>
              <w:bidi w:val="0"/>
              <w:rPr>
                <w:rFonts w:hint="default"/>
                <w:highlight w:val="none"/>
              </w:rPr>
            </w:pPr>
            <w:r>
              <w:rPr>
                <w:rFonts w:hint="default"/>
                <w:highlight w:val="none"/>
                <w:lang w:val="en-US" w:eastAsia="zh-CN"/>
              </w:rPr>
              <w:t>TN</w:t>
            </w:r>
          </w:p>
        </w:tc>
        <w:tc>
          <w:tcPr>
            <w:tcW w:w="425" w:type="pct"/>
            <w:tcBorders>
              <w:left w:val="single" w:color="000000" w:sz="2" w:space="0"/>
            </w:tcBorders>
            <w:vAlign w:val="center"/>
          </w:tcPr>
          <w:p w14:paraId="39E26896">
            <w:pPr>
              <w:pStyle w:val="58"/>
              <w:bidi w:val="0"/>
              <w:rPr>
                <w:rFonts w:hint="default"/>
                <w:highlight w:val="none"/>
              </w:rPr>
            </w:pPr>
            <w:r>
              <w:rPr>
                <w:rFonts w:hint="eastAsia"/>
                <w:highlight w:val="none"/>
                <w:lang w:val="en-US" w:eastAsia="zh-CN"/>
              </w:rPr>
              <w:t>NH</w:t>
            </w:r>
            <w:r>
              <w:rPr>
                <w:rFonts w:hint="eastAsia"/>
                <w:highlight w:val="none"/>
                <w:vertAlign w:val="subscript"/>
                <w:lang w:val="en-US" w:eastAsia="zh-CN"/>
              </w:rPr>
              <w:t>3</w:t>
            </w:r>
            <w:r>
              <w:rPr>
                <w:rFonts w:hint="default"/>
                <w:highlight w:val="none"/>
                <w:lang w:val="en-US" w:eastAsia="zh-CN"/>
              </w:rPr>
              <w:t>-N</w:t>
            </w:r>
          </w:p>
        </w:tc>
        <w:tc>
          <w:tcPr>
            <w:tcW w:w="385" w:type="pct"/>
            <w:tcBorders>
              <w:right w:val="single" w:color="000000" w:sz="2" w:space="0"/>
            </w:tcBorders>
            <w:vAlign w:val="center"/>
          </w:tcPr>
          <w:p w14:paraId="3762490B">
            <w:pPr>
              <w:pStyle w:val="58"/>
              <w:bidi w:val="0"/>
              <w:rPr>
                <w:rFonts w:hint="default"/>
                <w:highlight w:val="none"/>
              </w:rPr>
            </w:pPr>
            <w:r>
              <w:rPr>
                <w:rFonts w:hint="default"/>
                <w:highlight w:val="none"/>
                <w:lang w:val="en-US" w:eastAsia="zh-CN"/>
              </w:rPr>
              <w:t>TP</w:t>
            </w:r>
          </w:p>
        </w:tc>
        <w:tc>
          <w:tcPr>
            <w:tcW w:w="442" w:type="pct"/>
            <w:tcBorders>
              <w:left w:val="single" w:color="000000" w:sz="2" w:space="0"/>
              <w:right w:val="single" w:color="000000" w:sz="2" w:space="0"/>
            </w:tcBorders>
            <w:vAlign w:val="center"/>
          </w:tcPr>
          <w:p w14:paraId="000FC149">
            <w:pPr>
              <w:pStyle w:val="58"/>
              <w:bidi w:val="0"/>
              <w:rPr>
                <w:rFonts w:hint="default"/>
                <w:highlight w:val="none"/>
              </w:rPr>
            </w:pPr>
            <w:r>
              <w:rPr>
                <w:rFonts w:hint="default"/>
                <w:highlight w:val="none"/>
                <w:lang w:val="en-US" w:eastAsia="zh-CN"/>
              </w:rPr>
              <w:t>粪大肠菌群</w:t>
            </w:r>
          </w:p>
        </w:tc>
        <w:tc>
          <w:tcPr>
            <w:tcW w:w="389" w:type="pct"/>
            <w:tcBorders>
              <w:left w:val="single" w:color="000000" w:sz="2" w:space="0"/>
            </w:tcBorders>
            <w:vAlign w:val="center"/>
          </w:tcPr>
          <w:p w14:paraId="6D2D4F25">
            <w:pPr>
              <w:pStyle w:val="58"/>
              <w:bidi w:val="0"/>
              <w:rPr>
                <w:rFonts w:hint="default"/>
                <w:highlight w:val="none"/>
              </w:rPr>
            </w:pPr>
            <w:r>
              <w:rPr>
                <w:rFonts w:hint="default"/>
                <w:highlight w:val="none"/>
                <w:lang w:val="en-US" w:eastAsia="zh-CN"/>
              </w:rPr>
              <w:t>石油类</w:t>
            </w:r>
          </w:p>
        </w:tc>
        <w:tc>
          <w:tcPr>
            <w:tcW w:w="404" w:type="pct"/>
            <w:tcBorders>
              <w:right w:val="single" w:color="000000" w:sz="2" w:space="0"/>
            </w:tcBorders>
            <w:vAlign w:val="center"/>
          </w:tcPr>
          <w:p w14:paraId="2F4115DE">
            <w:pPr>
              <w:pStyle w:val="58"/>
              <w:bidi w:val="0"/>
              <w:rPr>
                <w:rFonts w:hint="default"/>
                <w:highlight w:val="none"/>
              </w:rPr>
            </w:pPr>
            <w:r>
              <w:rPr>
                <w:rFonts w:hint="default"/>
                <w:highlight w:val="none"/>
                <w:lang w:val="en-US" w:eastAsia="zh-CN"/>
              </w:rPr>
              <w:t>动植物油</w:t>
            </w:r>
          </w:p>
        </w:tc>
        <w:tc>
          <w:tcPr>
            <w:tcW w:w="352" w:type="pct"/>
            <w:tcBorders>
              <w:left w:val="single" w:color="000000" w:sz="2" w:space="0"/>
            </w:tcBorders>
            <w:vAlign w:val="center"/>
          </w:tcPr>
          <w:p w14:paraId="2092BA93">
            <w:pPr>
              <w:pStyle w:val="58"/>
              <w:bidi w:val="0"/>
              <w:rPr>
                <w:rFonts w:hint="default"/>
                <w:highlight w:val="none"/>
              </w:rPr>
            </w:pPr>
            <w:r>
              <w:rPr>
                <w:rFonts w:hint="default"/>
                <w:highlight w:val="none"/>
                <w:lang w:val="en-US" w:eastAsia="zh-CN"/>
              </w:rPr>
              <w:t>LAS</w:t>
            </w:r>
          </w:p>
        </w:tc>
      </w:tr>
      <w:tr w14:paraId="5829DD5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430" w:type="pct"/>
            <w:vMerge w:val="continue"/>
            <w:tcBorders>
              <w:top w:val="nil"/>
            </w:tcBorders>
            <w:vAlign w:val="center"/>
          </w:tcPr>
          <w:p w14:paraId="0EAEADBD">
            <w:pPr>
              <w:pStyle w:val="58"/>
              <w:bidi w:val="0"/>
              <w:rPr>
                <w:rFonts w:hint="default"/>
                <w:highlight w:val="none"/>
              </w:rPr>
            </w:pPr>
          </w:p>
        </w:tc>
        <w:tc>
          <w:tcPr>
            <w:tcW w:w="592" w:type="pct"/>
            <w:vAlign w:val="center"/>
          </w:tcPr>
          <w:p w14:paraId="696EA2AE">
            <w:pPr>
              <w:pStyle w:val="58"/>
              <w:bidi w:val="0"/>
              <w:rPr>
                <w:rFonts w:hint="default"/>
                <w:highlight w:val="none"/>
              </w:rPr>
            </w:pPr>
            <w:r>
              <w:rPr>
                <w:rFonts w:hint="default"/>
                <w:highlight w:val="none"/>
                <w:lang w:val="en-US" w:eastAsia="zh-CN"/>
              </w:rPr>
              <w:t>单位</w:t>
            </w:r>
          </w:p>
        </w:tc>
        <w:tc>
          <w:tcPr>
            <w:tcW w:w="411" w:type="pct"/>
            <w:vAlign w:val="center"/>
          </w:tcPr>
          <w:p w14:paraId="48E3642D">
            <w:pPr>
              <w:pStyle w:val="58"/>
              <w:bidi w:val="0"/>
              <w:rPr>
                <w:rFonts w:hint="default"/>
                <w:highlight w:val="none"/>
              </w:rPr>
            </w:pPr>
            <w:r>
              <w:rPr>
                <w:rFonts w:hint="default"/>
                <w:highlight w:val="none"/>
                <w:lang w:val="en-US" w:eastAsia="zh-CN"/>
              </w:rPr>
              <w:t>mg/L</w:t>
            </w:r>
          </w:p>
        </w:tc>
        <w:tc>
          <w:tcPr>
            <w:tcW w:w="430" w:type="pct"/>
            <w:vAlign w:val="center"/>
          </w:tcPr>
          <w:p w14:paraId="5D741C75">
            <w:pPr>
              <w:pStyle w:val="58"/>
              <w:bidi w:val="0"/>
              <w:rPr>
                <w:rFonts w:hint="default"/>
                <w:highlight w:val="none"/>
              </w:rPr>
            </w:pPr>
            <w:r>
              <w:rPr>
                <w:rFonts w:hint="default"/>
                <w:highlight w:val="none"/>
                <w:lang w:val="en-US" w:eastAsia="zh-CN"/>
              </w:rPr>
              <w:t>mg/L</w:t>
            </w:r>
          </w:p>
        </w:tc>
        <w:tc>
          <w:tcPr>
            <w:tcW w:w="367" w:type="pct"/>
            <w:vAlign w:val="center"/>
          </w:tcPr>
          <w:p w14:paraId="39D80C99">
            <w:pPr>
              <w:pStyle w:val="58"/>
              <w:bidi w:val="0"/>
              <w:rPr>
                <w:rFonts w:hint="default"/>
                <w:highlight w:val="none"/>
              </w:rPr>
            </w:pPr>
            <w:r>
              <w:rPr>
                <w:rFonts w:hint="default"/>
                <w:highlight w:val="none"/>
                <w:lang w:val="en-US" w:eastAsia="zh-CN"/>
              </w:rPr>
              <w:t>mg/L</w:t>
            </w:r>
          </w:p>
        </w:tc>
        <w:tc>
          <w:tcPr>
            <w:tcW w:w="367" w:type="pct"/>
            <w:tcBorders>
              <w:right w:val="single" w:color="000000" w:sz="2" w:space="0"/>
            </w:tcBorders>
            <w:vAlign w:val="center"/>
          </w:tcPr>
          <w:p w14:paraId="771A91F5">
            <w:pPr>
              <w:pStyle w:val="58"/>
              <w:bidi w:val="0"/>
              <w:rPr>
                <w:rFonts w:hint="default"/>
                <w:highlight w:val="none"/>
              </w:rPr>
            </w:pPr>
            <w:r>
              <w:rPr>
                <w:rFonts w:hint="default"/>
                <w:highlight w:val="none"/>
                <w:lang w:val="en-US" w:eastAsia="zh-CN"/>
              </w:rPr>
              <w:t>mg/L</w:t>
            </w:r>
          </w:p>
        </w:tc>
        <w:tc>
          <w:tcPr>
            <w:tcW w:w="425" w:type="pct"/>
            <w:tcBorders>
              <w:left w:val="single" w:color="000000" w:sz="2" w:space="0"/>
            </w:tcBorders>
            <w:vAlign w:val="center"/>
          </w:tcPr>
          <w:p w14:paraId="0E1288C0">
            <w:pPr>
              <w:pStyle w:val="58"/>
              <w:bidi w:val="0"/>
              <w:rPr>
                <w:rFonts w:hint="default"/>
                <w:highlight w:val="none"/>
              </w:rPr>
            </w:pPr>
            <w:r>
              <w:rPr>
                <w:rFonts w:hint="default"/>
                <w:highlight w:val="none"/>
                <w:lang w:val="en-US" w:eastAsia="zh-CN"/>
              </w:rPr>
              <w:t>mg/L</w:t>
            </w:r>
          </w:p>
        </w:tc>
        <w:tc>
          <w:tcPr>
            <w:tcW w:w="385" w:type="pct"/>
            <w:tcBorders>
              <w:right w:val="single" w:color="000000" w:sz="2" w:space="0"/>
            </w:tcBorders>
            <w:vAlign w:val="center"/>
          </w:tcPr>
          <w:p w14:paraId="6A8FF71B">
            <w:pPr>
              <w:pStyle w:val="58"/>
              <w:bidi w:val="0"/>
              <w:rPr>
                <w:rFonts w:hint="default"/>
                <w:highlight w:val="none"/>
              </w:rPr>
            </w:pPr>
            <w:r>
              <w:rPr>
                <w:rFonts w:hint="default"/>
                <w:highlight w:val="none"/>
                <w:lang w:val="en-US" w:eastAsia="zh-CN"/>
              </w:rPr>
              <w:t>mg/L</w:t>
            </w:r>
          </w:p>
        </w:tc>
        <w:tc>
          <w:tcPr>
            <w:tcW w:w="442" w:type="pct"/>
            <w:tcBorders>
              <w:left w:val="single" w:color="000000" w:sz="2" w:space="0"/>
              <w:right w:val="single" w:color="000000" w:sz="2" w:space="0"/>
            </w:tcBorders>
            <w:vAlign w:val="center"/>
          </w:tcPr>
          <w:p w14:paraId="7B11E7E4">
            <w:pPr>
              <w:pStyle w:val="58"/>
              <w:bidi w:val="0"/>
              <w:rPr>
                <w:rFonts w:hint="default"/>
                <w:highlight w:val="none"/>
              </w:rPr>
            </w:pPr>
            <w:r>
              <w:rPr>
                <w:rFonts w:hint="default"/>
                <w:highlight w:val="none"/>
                <w:lang w:val="en-US" w:eastAsia="zh-CN"/>
              </w:rPr>
              <w:t>个/L</w:t>
            </w:r>
          </w:p>
        </w:tc>
        <w:tc>
          <w:tcPr>
            <w:tcW w:w="389" w:type="pct"/>
            <w:tcBorders>
              <w:left w:val="single" w:color="000000" w:sz="2" w:space="0"/>
            </w:tcBorders>
            <w:vAlign w:val="center"/>
          </w:tcPr>
          <w:p w14:paraId="68A18365">
            <w:pPr>
              <w:pStyle w:val="58"/>
              <w:bidi w:val="0"/>
              <w:rPr>
                <w:rFonts w:hint="default"/>
                <w:highlight w:val="none"/>
              </w:rPr>
            </w:pPr>
            <w:r>
              <w:rPr>
                <w:rFonts w:hint="default"/>
                <w:highlight w:val="none"/>
                <w:lang w:val="en-US" w:eastAsia="zh-CN"/>
              </w:rPr>
              <w:t>mg/L</w:t>
            </w:r>
          </w:p>
        </w:tc>
        <w:tc>
          <w:tcPr>
            <w:tcW w:w="404" w:type="pct"/>
            <w:tcBorders>
              <w:right w:val="single" w:color="000000" w:sz="2" w:space="0"/>
            </w:tcBorders>
            <w:vAlign w:val="center"/>
          </w:tcPr>
          <w:p w14:paraId="6A946A35">
            <w:pPr>
              <w:pStyle w:val="58"/>
              <w:bidi w:val="0"/>
              <w:rPr>
                <w:rFonts w:hint="default"/>
                <w:highlight w:val="none"/>
              </w:rPr>
            </w:pPr>
            <w:r>
              <w:rPr>
                <w:rFonts w:hint="default"/>
                <w:highlight w:val="none"/>
                <w:lang w:val="en-US" w:eastAsia="zh-CN"/>
              </w:rPr>
              <w:t>mg/L</w:t>
            </w:r>
          </w:p>
        </w:tc>
        <w:tc>
          <w:tcPr>
            <w:tcW w:w="352" w:type="pct"/>
            <w:tcBorders>
              <w:left w:val="single" w:color="000000" w:sz="2" w:space="0"/>
            </w:tcBorders>
            <w:vAlign w:val="center"/>
          </w:tcPr>
          <w:p w14:paraId="251020F5">
            <w:pPr>
              <w:pStyle w:val="58"/>
              <w:bidi w:val="0"/>
              <w:rPr>
                <w:rFonts w:hint="default"/>
                <w:highlight w:val="none"/>
              </w:rPr>
            </w:pPr>
            <w:r>
              <w:rPr>
                <w:rFonts w:hint="default"/>
                <w:highlight w:val="none"/>
                <w:lang w:val="en-US" w:eastAsia="zh-CN"/>
              </w:rPr>
              <w:t>mg/L</w:t>
            </w:r>
          </w:p>
        </w:tc>
      </w:tr>
      <w:tr w14:paraId="75899669">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430" w:type="pct"/>
            <w:vMerge w:val="restart"/>
            <w:tcBorders>
              <w:bottom w:val="nil"/>
            </w:tcBorders>
            <w:vAlign w:val="center"/>
          </w:tcPr>
          <w:p w14:paraId="103C130D">
            <w:pPr>
              <w:pStyle w:val="58"/>
              <w:bidi w:val="0"/>
              <w:rPr>
                <w:rFonts w:hint="default"/>
                <w:highlight w:val="none"/>
                <w:lang w:val="en-US" w:eastAsia="zh-CN"/>
              </w:rPr>
            </w:pPr>
            <w:r>
              <w:rPr>
                <w:rFonts w:hint="default"/>
                <w:highlight w:val="none"/>
                <w:lang w:val="en-US" w:eastAsia="zh-CN"/>
              </w:rPr>
              <w:t>格栅及调节池</w:t>
            </w:r>
          </w:p>
        </w:tc>
        <w:tc>
          <w:tcPr>
            <w:tcW w:w="592" w:type="pct"/>
            <w:vAlign w:val="center"/>
          </w:tcPr>
          <w:p w14:paraId="697604AB">
            <w:pPr>
              <w:pStyle w:val="58"/>
              <w:bidi w:val="0"/>
              <w:rPr>
                <w:rFonts w:hint="default"/>
                <w:highlight w:val="none"/>
              </w:rPr>
            </w:pPr>
            <w:r>
              <w:rPr>
                <w:rFonts w:hint="default"/>
                <w:highlight w:val="none"/>
                <w:lang w:val="en-US" w:eastAsia="zh-CN"/>
              </w:rPr>
              <w:t>进水水质</w:t>
            </w:r>
          </w:p>
        </w:tc>
        <w:tc>
          <w:tcPr>
            <w:tcW w:w="411" w:type="pct"/>
            <w:vAlign w:val="center"/>
          </w:tcPr>
          <w:p w14:paraId="65E903E9">
            <w:pPr>
              <w:pStyle w:val="58"/>
              <w:bidi w:val="0"/>
              <w:rPr>
                <w:rFonts w:hint="default"/>
                <w:highlight w:val="none"/>
              </w:rPr>
            </w:pPr>
            <w:r>
              <w:rPr>
                <w:rFonts w:hint="default"/>
                <w:highlight w:val="none"/>
                <w:lang w:val="en-US" w:eastAsia="zh-CN"/>
              </w:rPr>
              <w:t>350</w:t>
            </w:r>
          </w:p>
        </w:tc>
        <w:tc>
          <w:tcPr>
            <w:tcW w:w="430" w:type="pct"/>
            <w:vAlign w:val="center"/>
          </w:tcPr>
          <w:p w14:paraId="375661E7">
            <w:pPr>
              <w:pStyle w:val="58"/>
              <w:bidi w:val="0"/>
              <w:rPr>
                <w:rFonts w:hint="default"/>
                <w:highlight w:val="none"/>
              </w:rPr>
            </w:pPr>
            <w:r>
              <w:rPr>
                <w:rFonts w:hint="default"/>
                <w:highlight w:val="none"/>
                <w:lang w:val="en-US" w:eastAsia="zh-CN"/>
              </w:rPr>
              <w:t>100</w:t>
            </w:r>
          </w:p>
        </w:tc>
        <w:tc>
          <w:tcPr>
            <w:tcW w:w="367" w:type="pct"/>
            <w:vAlign w:val="center"/>
          </w:tcPr>
          <w:p w14:paraId="4D5D60B7">
            <w:pPr>
              <w:pStyle w:val="58"/>
              <w:bidi w:val="0"/>
              <w:rPr>
                <w:rFonts w:hint="default"/>
                <w:highlight w:val="none"/>
              </w:rPr>
            </w:pPr>
            <w:r>
              <w:rPr>
                <w:rFonts w:hint="default"/>
                <w:highlight w:val="none"/>
                <w:lang w:val="en-US" w:eastAsia="zh-CN"/>
              </w:rPr>
              <w:t>250</w:t>
            </w:r>
          </w:p>
        </w:tc>
        <w:tc>
          <w:tcPr>
            <w:tcW w:w="367" w:type="pct"/>
            <w:tcBorders>
              <w:right w:val="single" w:color="000000" w:sz="2" w:space="0"/>
            </w:tcBorders>
            <w:vAlign w:val="center"/>
          </w:tcPr>
          <w:p w14:paraId="4C561952">
            <w:pPr>
              <w:pStyle w:val="58"/>
              <w:bidi w:val="0"/>
              <w:rPr>
                <w:rFonts w:hint="default"/>
                <w:highlight w:val="none"/>
                <w:lang w:val="en-US" w:eastAsia="zh-CN"/>
              </w:rPr>
            </w:pPr>
            <w:r>
              <w:rPr>
                <w:rFonts w:hint="default"/>
                <w:highlight w:val="none"/>
                <w:lang w:val="en-US" w:eastAsia="zh-CN"/>
              </w:rPr>
              <w:t>30</w:t>
            </w:r>
          </w:p>
        </w:tc>
        <w:tc>
          <w:tcPr>
            <w:tcW w:w="425" w:type="pct"/>
            <w:tcBorders>
              <w:left w:val="single" w:color="000000" w:sz="2" w:space="0"/>
            </w:tcBorders>
            <w:vAlign w:val="center"/>
          </w:tcPr>
          <w:p w14:paraId="6B7BE4DC">
            <w:pPr>
              <w:pStyle w:val="58"/>
              <w:bidi w:val="0"/>
              <w:rPr>
                <w:rFonts w:hint="default"/>
                <w:highlight w:val="none"/>
              </w:rPr>
            </w:pPr>
            <w:r>
              <w:rPr>
                <w:rFonts w:hint="default"/>
                <w:highlight w:val="none"/>
                <w:lang w:val="en-US" w:eastAsia="zh-CN"/>
              </w:rPr>
              <w:t>45</w:t>
            </w:r>
          </w:p>
        </w:tc>
        <w:tc>
          <w:tcPr>
            <w:tcW w:w="703" w:type="dxa"/>
            <w:tcBorders>
              <w:right w:val="single" w:color="000000" w:sz="2" w:space="0"/>
            </w:tcBorders>
            <w:vAlign w:val="center"/>
          </w:tcPr>
          <w:p w14:paraId="34DD5854">
            <w:pPr>
              <w:pStyle w:val="58"/>
              <w:bidi w:val="0"/>
              <w:rPr>
                <w:rFonts w:hint="default"/>
                <w:highlight w:val="none"/>
                <w:lang w:eastAsia="zh-CN"/>
              </w:rPr>
            </w:pPr>
            <w:r>
              <w:rPr>
                <w:rFonts w:hint="default"/>
                <w:highlight w:val="none"/>
                <w:lang w:val="en-US" w:eastAsia="zh-CN"/>
              </w:rPr>
              <w:t>8</w:t>
            </w:r>
          </w:p>
        </w:tc>
        <w:tc>
          <w:tcPr>
            <w:tcW w:w="442" w:type="pct"/>
            <w:tcBorders>
              <w:left w:val="single" w:color="000000" w:sz="2" w:space="0"/>
              <w:right w:val="single" w:color="000000" w:sz="2" w:space="0"/>
            </w:tcBorders>
            <w:vAlign w:val="center"/>
          </w:tcPr>
          <w:p w14:paraId="432D8A97">
            <w:pPr>
              <w:pStyle w:val="58"/>
              <w:bidi w:val="0"/>
              <w:rPr>
                <w:rFonts w:hint="default"/>
                <w:highlight w:val="none"/>
                <w:lang w:val="en-US" w:eastAsia="zh-CN"/>
              </w:rPr>
            </w:pPr>
            <w:r>
              <w:rPr>
                <w:rFonts w:hint="default"/>
                <w:highlight w:val="none"/>
                <w:lang w:val="en-US" w:eastAsia="zh-CN"/>
              </w:rPr>
              <w:t>1000000</w:t>
            </w:r>
          </w:p>
        </w:tc>
        <w:tc>
          <w:tcPr>
            <w:tcW w:w="389" w:type="pct"/>
            <w:tcBorders>
              <w:left w:val="single" w:color="000000" w:sz="2" w:space="0"/>
            </w:tcBorders>
            <w:vAlign w:val="center"/>
          </w:tcPr>
          <w:p w14:paraId="49CBCF92">
            <w:pPr>
              <w:pStyle w:val="58"/>
              <w:bidi w:val="0"/>
              <w:rPr>
                <w:rFonts w:hint="default"/>
                <w:highlight w:val="none"/>
              </w:rPr>
            </w:pPr>
            <w:r>
              <w:rPr>
                <w:rFonts w:hint="default"/>
                <w:highlight w:val="none"/>
                <w:lang w:val="en-US" w:eastAsia="zh-CN"/>
              </w:rPr>
              <w:t>0.19</w:t>
            </w:r>
          </w:p>
        </w:tc>
        <w:tc>
          <w:tcPr>
            <w:tcW w:w="404" w:type="pct"/>
            <w:tcBorders>
              <w:right w:val="single" w:color="000000" w:sz="2" w:space="0"/>
            </w:tcBorders>
            <w:vAlign w:val="center"/>
          </w:tcPr>
          <w:p w14:paraId="00CC3775">
            <w:pPr>
              <w:pStyle w:val="58"/>
              <w:bidi w:val="0"/>
              <w:rPr>
                <w:rFonts w:hint="default"/>
                <w:highlight w:val="none"/>
              </w:rPr>
            </w:pPr>
            <w:r>
              <w:rPr>
                <w:rFonts w:hint="default"/>
                <w:highlight w:val="none"/>
                <w:lang w:val="en-US" w:eastAsia="zh-CN"/>
              </w:rPr>
              <w:t>2.17</w:t>
            </w:r>
          </w:p>
        </w:tc>
        <w:tc>
          <w:tcPr>
            <w:tcW w:w="352" w:type="pct"/>
            <w:tcBorders>
              <w:left w:val="single" w:color="000000" w:sz="2" w:space="0"/>
            </w:tcBorders>
            <w:vAlign w:val="center"/>
          </w:tcPr>
          <w:p w14:paraId="173D0DF3">
            <w:pPr>
              <w:pStyle w:val="58"/>
              <w:bidi w:val="0"/>
              <w:rPr>
                <w:rFonts w:hint="default"/>
                <w:highlight w:val="none"/>
              </w:rPr>
            </w:pPr>
            <w:r>
              <w:rPr>
                <w:rFonts w:hint="default"/>
                <w:highlight w:val="none"/>
                <w:lang w:val="en-US" w:eastAsia="zh-CN"/>
              </w:rPr>
              <w:t>1.81</w:t>
            </w:r>
          </w:p>
        </w:tc>
      </w:tr>
      <w:tr w14:paraId="3B60A3A7">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286" w:hRule="atLeast"/>
        </w:trPr>
        <w:tc>
          <w:tcPr>
            <w:tcW w:w="430" w:type="pct"/>
            <w:vMerge w:val="continue"/>
            <w:tcBorders>
              <w:top w:val="nil"/>
              <w:bottom w:val="nil"/>
            </w:tcBorders>
            <w:vAlign w:val="center"/>
          </w:tcPr>
          <w:p w14:paraId="503E7363">
            <w:pPr>
              <w:pStyle w:val="58"/>
              <w:bidi w:val="0"/>
              <w:rPr>
                <w:rFonts w:hint="default"/>
                <w:highlight w:val="none"/>
              </w:rPr>
            </w:pPr>
          </w:p>
        </w:tc>
        <w:tc>
          <w:tcPr>
            <w:tcW w:w="592" w:type="pct"/>
            <w:vAlign w:val="center"/>
          </w:tcPr>
          <w:p w14:paraId="04173818">
            <w:pPr>
              <w:pStyle w:val="58"/>
              <w:bidi w:val="0"/>
              <w:rPr>
                <w:rFonts w:hint="default"/>
                <w:highlight w:val="none"/>
              </w:rPr>
            </w:pPr>
            <w:r>
              <w:rPr>
                <w:rFonts w:hint="default"/>
                <w:highlight w:val="none"/>
                <w:lang w:val="en-US" w:eastAsia="zh-CN"/>
              </w:rPr>
              <w:t>出水水质</w:t>
            </w:r>
          </w:p>
        </w:tc>
        <w:tc>
          <w:tcPr>
            <w:tcW w:w="411" w:type="pct"/>
            <w:vAlign w:val="center"/>
          </w:tcPr>
          <w:p w14:paraId="7DE0E118">
            <w:pPr>
              <w:pStyle w:val="58"/>
              <w:bidi w:val="0"/>
              <w:rPr>
                <w:rFonts w:hint="default"/>
                <w:highlight w:val="none"/>
                <w:lang w:val="en-US" w:eastAsia="zh-CN"/>
              </w:rPr>
            </w:pPr>
            <w:r>
              <w:rPr>
                <w:rFonts w:hint="default"/>
                <w:highlight w:val="none"/>
                <w:lang w:val="en-US" w:eastAsia="zh-CN"/>
              </w:rPr>
              <w:t>350</w:t>
            </w:r>
          </w:p>
        </w:tc>
        <w:tc>
          <w:tcPr>
            <w:tcW w:w="430" w:type="pct"/>
            <w:vAlign w:val="center"/>
          </w:tcPr>
          <w:p w14:paraId="78D6B898">
            <w:pPr>
              <w:pStyle w:val="58"/>
              <w:bidi w:val="0"/>
              <w:rPr>
                <w:rFonts w:hint="default"/>
                <w:highlight w:val="none"/>
                <w:lang w:val="en-US" w:eastAsia="zh-CN"/>
              </w:rPr>
            </w:pPr>
            <w:r>
              <w:rPr>
                <w:rFonts w:hint="default"/>
                <w:highlight w:val="none"/>
                <w:lang w:val="en-US" w:eastAsia="zh-CN"/>
              </w:rPr>
              <w:t>100</w:t>
            </w:r>
          </w:p>
        </w:tc>
        <w:tc>
          <w:tcPr>
            <w:tcW w:w="367" w:type="pct"/>
            <w:vAlign w:val="center"/>
          </w:tcPr>
          <w:p w14:paraId="0B2E3320">
            <w:pPr>
              <w:pStyle w:val="58"/>
              <w:bidi w:val="0"/>
              <w:rPr>
                <w:rFonts w:hint="default"/>
                <w:highlight w:val="none"/>
                <w:lang w:val="en-US" w:eastAsia="zh-CN"/>
              </w:rPr>
            </w:pPr>
            <w:r>
              <w:rPr>
                <w:rFonts w:hint="default"/>
                <w:highlight w:val="none"/>
                <w:lang w:val="en-US" w:eastAsia="zh-CN"/>
              </w:rPr>
              <w:t>225</w:t>
            </w:r>
          </w:p>
        </w:tc>
        <w:tc>
          <w:tcPr>
            <w:tcW w:w="367" w:type="pct"/>
            <w:tcBorders>
              <w:right w:val="single" w:color="000000" w:sz="2" w:space="0"/>
            </w:tcBorders>
            <w:vAlign w:val="center"/>
          </w:tcPr>
          <w:p w14:paraId="4A8F860B">
            <w:pPr>
              <w:pStyle w:val="58"/>
              <w:bidi w:val="0"/>
              <w:rPr>
                <w:rFonts w:hint="default"/>
                <w:highlight w:val="none"/>
                <w:lang w:val="en-US" w:eastAsia="zh-CN"/>
              </w:rPr>
            </w:pPr>
            <w:r>
              <w:rPr>
                <w:rFonts w:hint="default"/>
                <w:highlight w:val="none"/>
                <w:lang w:val="en-US" w:eastAsia="zh-CN"/>
              </w:rPr>
              <w:t>30</w:t>
            </w:r>
          </w:p>
        </w:tc>
        <w:tc>
          <w:tcPr>
            <w:tcW w:w="425" w:type="pct"/>
            <w:tcBorders>
              <w:left w:val="single" w:color="000000" w:sz="2" w:space="0"/>
            </w:tcBorders>
            <w:vAlign w:val="center"/>
          </w:tcPr>
          <w:p w14:paraId="0B14B35A">
            <w:pPr>
              <w:pStyle w:val="58"/>
              <w:bidi w:val="0"/>
              <w:rPr>
                <w:rFonts w:hint="default"/>
                <w:highlight w:val="none"/>
                <w:lang w:val="en-US" w:eastAsia="zh-CN"/>
              </w:rPr>
            </w:pPr>
            <w:r>
              <w:rPr>
                <w:rFonts w:hint="default"/>
                <w:highlight w:val="none"/>
                <w:lang w:val="en-US" w:eastAsia="zh-CN"/>
              </w:rPr>
              <w:t>45</w:t>
            </w:r>
          </w:p>
        </w:tc>
        <w:tc>
          <w:tcPr>
            <w:tcW w:w="703" w:type="dxa"/>
            <w:tcBorders>
              <w:right w:val="single" w:color="000000" w:sz="2" w:space="0"/>
            </w:tcBorders>
            <w:vAlign w:val="center"/>
          </w:tcPr>
          <w:p w14:paraId="76D3B5FF">
            <w:pPr>
              <w:pStyle w:val="58"/>
              <w:bidi w:val="0"/>
              <w:rPr>
                <w:rFonts w:hint="default"/>
                <w:highlight w:val="none"/>
                <w:lang w:val="en-US" w:eastAsia="zh-CN"/>
              </w:rPr>
            </w:pPr>
            <w:r>
              <w:rPr>
                <w:rFonts w:hint="default"/>
                <w:highlight w:val="none"/>
                <w:lang w:val="en-US" w:eastAsia="zh-CN"/>
              </w:rPr>
              <w:t>8</w:t>
            </w:r>
          </w:p>
        </w:tc>
        <w:tc>
          <w:tcPr>
            <w:tcW w:w="442" w:type="pct"/>
            <w:tcBorders>
              <w:left w:val="single" w:color="000000" w:sz="2" w:space="0"/>
              <w:right w:val="single" w:color="000000" w:sz="2" w:space="0"/>
            </w:tcBorders>
            <w:vAlign w:val="center"/>
          </w:tcPr>
          <w:p w14:paraId="50F6CC6C">
            <w:pPr>
              <w:pStyle w:val="58"/>
              <w:bidi w:val="0"/>
              <w:rPr>
                <w:rFonts w:hint="default"/>
                <w:highlight w:val="none"/>
                <w:lang w:val="en-US" w:eastAsia="zh-CN"/>
              </w:rPr>
            </w:pPr>
            <w:r>
              <w:rPr>
                <w:rFonts w:hint="default"/>
                <w:highlight w:val="none"/>
                <w:lang w:val="en-US" w:eastAsia="zh-CN"/>
              </w:rPr>
              <w:t>1000000</w:t>
            </w:r>
          </w:p>
        </w:tc>
        <w:tc>
          <w:tcPr>
            <w:tcW w:w="389" w:type="pct"/>
            <w:tcBorders>
              <w:left w:val="single" w:color="000000" w:sz="2" w:space="0"/>
            </w:tcBorders>
            <w:vAlign w:val="center"/>
          </w:tcPr>
          <w:p w14:paraId="77072797">
            <w:pPr>
              <w:pStyle w:val="58"/>
              <w:bidi w:val="0"/>
              <w:rPr>
                <w:rFonts w:hint="default"/>
                <w:highlight w:val="none"/>
                <w:lang w:val="en-US" w:eastAsia="zh-CN"/>
              </w:rPr>
            </w:pPr>
            <w:r>
              <w:rPr>
                <w:rFonts w:hint="default"/>
                <w:highlight w:val="none"/>
                <w:lang w:val="en-US" w:eastAsia="zh-CN"/>
              </w:rPr>
              <w:t>0.19</w:t>
            </w:r>
          </w:p>
        </w:tc>
        <w:tc>
          <w:tcPr>
            <w:tcW w:w="404" w:type="pct"/>
            <w:tcBorders>
              <w:right w:val="single" w:color="000000" w:sz="2" w:space="0"/>
            </w:tcBorders>
            <w:vAlign w:val="center"/>
          </w:tcPr>
          <w:p w14:paraId="0A2066E4">
            <w:pPr>
              <w:pStyle w:val="58"/>
              <w:bidi w:val="0"/>
              <w:rPr>
                <w:rFonts w:hint="default"/>
                <w:highlight w:val="none"/>
                <w:lang w:val="en-US" w:eastAsia="zh-CN"/>
              </w:rPr>
            </w:pPr>
            <w:r>
              <w:rPr>
                <w:rFonts w:hint="default"/>
                <w:highlight w:val="none"/>
                <w:lang w:val="en-US" w:eastAsia="zh-CN"/>
              </w:rPr>
              <w:t>2.17</w:t>
            </w:r>
          </w:p>
        </w:tc>
        <w:tc>
          <w:tcPr>
            <w:tcW w:w="352" w:type="pct"/>
            <w:tcBorders>
              <w:left w:val="single" w:color="000000" w:sz="2" w:space="0"/>
            </w:tcBorders>
            <w:vAlign w:val="center"/>
          </w:tcPr>
          <w:p w14:paraId="1009183B">
            <w:pPr>
              <w:pStyle w:val="58"/>
              <w:bidi w:val="0"/>
              <w:rPr>
                <w:rFonts w:hint="default"/>
                <w:highlight w:val="none"/>
                <w:lang w:val="en-US" w:eastAsia="zh-CN"/>
              </w:rPr>
            </w:pPr>
            <w:r>
              <w:rPr>
                <w:rFonts w:hint="default"/>
                <w:highlight w:val="none"/>
                <w:lang w:val="en-US" w:eastAsia="zh-CN"/>
              </w:rPr>
              <w:t>1.81</w:t>
            </w:r>
          </w:p>
        </w:tc>
      </w:tr>
      <w:tr w14:paraId="29AE55D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430" w:type="pct"/>
            <w:vMerge w:val="continue"/>
            <w:tcBorders>
              <w:top w:val="nil"/>
            </w:tcBorders>
            <w:vAlign w:val="center"/>
          </w:tcPr>
          <w:p w14:paraId="27A87DC5">
            <w:pPr>
              <w:pStyle w:val="58"/>
              <w:bidi w:val="0"/>
              <w:rPr>
                <w:rFonts w:hint="default"/>
                <w:highlight w:val="none"/>
              </w:rPr>
            </w:pPr>
          </w:p>
        </w:tc>
        <w:tc>
          <w:tcPr>
            <w:tcW w:w="592" w:type="pct"/>
            <w:vAlign w:val="center"/>
          </w:tcPr>
          <w:p w14:paraId="5D0E3642">
            <w:pPr>
              <w:pStyle w:val="58"/>
              <w:bidi w:val="0"/>
              <w:rPr>
                <w:rFonts w:hint="default"/>
                <w:highlight w:val="none"/>
              </w:rPr>
            </w:pPr>
            <w:r>
              <w:rPr>
                <w:rFonts w:hint="default"/>
                <w:highlight w:val="none"/>
                <w:lang w:val="en-US" w:eastAsia="zh-CN"/>
              </w:rPr>
              <w:t>处理率</w:t>
            </w:r>
          </w:p>
        </w:tc>
        <w:tc>
          <w:tcPr>
            <w:tcW w:w="411" w:type="pct"/>
            <w:vAlign w:val="center"/>
          </w:tcPr>
          <w:p w14:paraId="1A49584D">
            <w:pPr>
              <w:pStyle w:val="58"/>
              <w:bidi w:val="0"/>
              <w:rPr>
                <w:rFonts w:hint="default"/>
                <w:highlight w:val="none"/>
              </w:rPr>
            </w:pPr>
            <w:r>
              <w:rPr>
                <w:rFonts w:hint="default"/>
                <w:highlight w:val="none"/>
                <w:lang w:val="en-US" w:eastAsia="zh-CN"/>
              </w:rPr>
              <w:t>0%</w:t>
            </w:r>
          </w:p>
        </w:tc>
        <w:tc>
          <w:tcPr>
            <w:tcW w:w="430" w:type="pct"/>
            <w:vAlign w:val="center"/>
          </w:tcPr>
          <w:p w14:paraId="03B01ED3">
            <w:pPr>
              <w:pStyle w:val="58"/>
              <w:bidi w:val="0"/>
              <w:rPr>
                <w:rFonts w:hint="default"/>
                <w:highlight w:val="none"/>
              </w:rPr>
            </w:pPr>
            <w:r>
              <w:rPr>
                <w:rFonts w:hint="default"/>
                <w:highlight w:val="none"/>
                <w:lang w:val="en-US" w:eastAsia="zh-CN"/>
              </w:rPr>
              <w:t>0%</w:t>
            </w:r>
          </w:p>
        </w:tc>
        <w:tc>
          <w:tcPr>
            <w:tcW w:w="367" w:type="pct"/>
            <w:vAlign w:val="center"/>
          </w:tcPr>
          <w:p w14:paraId="05419FC0">
            <w:pPr>
              <w:pStyle w:val="58"/>
              <w:bidi w:val="0"/>
              <w:rPr>
                <w:rFonts w:hint="default"/>
                <w:highlight w:val="none"/>
              </w:rPr>
            </w:pPr>
            <w:r>
              <w:rPr>
                <w:rFonts w:hint="default"/>
                <w:highlight w:val="none"/>
                <w:lang w:val="en-US" w:eastAsia="zh-CN"/>
              </w:rPr>
              <w:t>10%</w:t>
            </w:r>
          </w:p>
        </w:tc>
        <w:tc>
          <w:tcPr>
            <w:tcW w:w="367" w:type="pct"/>
            <w:tcBorders>
              <w:right w:val="single" w:color="000000" w:sz="2" w:space="0"/>
            </w:tcBorders>
            <w:vAlign w:val="center"/>
          </w:tcPr>
          <w:p w14:paraId="2FFD8C57">
            <w:pPr>
              <w:pStyle w:val="58"/>
              <w:bidi w:val="0"/>
              <w:rPr>
                <w:rFonts w:hint="default"/>
                <w:highlight w:val="none"/>
              </w:rPr>
            </w:pPr>
            <w:r>
              <w:rPr>
                <w:rFonts w:hint="default"/>
                <w:highlight w:val="none"/>
                <w:lang w:val="en-US" w:eastAsia="zh-CN"/>
              </w:rPr>
              <w:t>0%</w:t>
            </w:r>
          </w:p>
        </w:tc>
        <w:tc>
          <w:tcPr>
            <w:tcW w:w="425" w:type="pct"/>
            <w:tcBorders>
              <w:left w:val="single" w:color="000000" w:sz="2" w:space="0"/>
            </w:tcBorders>
            <w:vAlign w:val="center"/>
          </w:tcPr>
          <w:p w14:paraId="1C82A5DA">
            <w:pPr>
              <w:pStyle w:val="58"/>
              <w:bidi w:val="0"/>
              <w:rPr>
                <w:rFonts w:hint="default"/>
                <w:highlight w:val="none"/>
              </w:rPr>
            </w:pPr>
            <w:r>
              <w:rPr>
                <w:rFonts w:hint="default"/>
                <w:highlight w:val="none"/>
                <w:lang w:val="en-US" w:eastAsia="zh-CN"/>
              </w:rPr>
              <w:t>0%</w:t>
            </w:r>
          </w:p>
        </w:tc>
        <w:tc>
          <w:tcPr>
            <w:tcW w:w="703" w:type="dxa"/>
            <w:tcBorders>
              <w:right w:val="single" w:color="000000" w:sz="2" w:space="0"/>
            </w:tcBorders>
            <w:vAlign w:val="center"/>
          </w:tcPr>
          <w:p w14:paraId="6905D855">
            <w:pPr>
              <w:pStyle w:val="58"/>
              <w:bidi w:val="0"/>
              <w:rPr>
                <w:rFonts w:hint="default"/>
                <w:highlight w:val="none"/>
              </w:rPr>
            </w:pPr>
            <w:r>
              <w:rPr>
                <w:rFonts w:hint="default"/>
                <w:highlight w:val="none"/>
                <w:lang w:val="en-US" w:eastAsia="zh-CN"/>
              </w:rPr>
              <w:t>0%</w:t>
            </w:r>
          </w:p>
        </w:tc>
        <w:tc>
          <w:tcPr>
            <w:tcW w:w="442" w:type="pct"/>
            <w:tcBorders>
              <w:left w:val="single" w:color="000000" w:sz="2" w:space="0"/>
              <w:right w:val="single" w:color="000000" w:sz="2" w:space="0"/>
            </w:tcBorders>
            <w:vAlign w:val="center"/>
          </w:tcPr>
          <w:p w14:paraId="35EC91AE">
            <w:pPr>
              <w:pStyle w:val="58"/>
              <w:bidi w:val="0"/>
              <w:rPr>
                <w:rFonts w:hint="default"/>
                <w:highlight w:val="none"/>
              </w:rPr>
            </w:pPr>
            <w:r>
              <w:rPr>
                <w:rFonts w:hint="default"/>
                <w:highlight w:val="none"/>
                <w:lang w:val="en-US" w:eastAsia="zh-CN"/>
              </w:rPr>
              <w:t>0%</w:t>
            </w:r>
          </w:p>
        </w:tc>
        <w:tc>
          <w:tcPr>
            <w:tcW w:w="389" w:type="pct"/>
            <w:tcBorders>
              <w:left w:val="single" w:color="000000" w:sz="2" w:space="0"/>
            </w:tcBorders>
            <w:vAlign w:val="center"/>
          </w:tcPr>
          <w:p w14:paraId="6298CEAF">
            <w:pPr>
              <w:pStyle w:val="58"/>
              <w:bidi w:val="0"/>
              <w:rPr>
                <w:rFonts w:hint="default"/>
                <w:highlight w:val="none"/>
              </w:rPr>
            </w:pPr>
            <w:r>
              <w:rPr>
                <w:rFonts w:hint="default"/>
                <w:highlight w:val="none"/>
                <w:lang w:val="en-US" w:eastAsia="zh-CN"/>
              </w:rPr>
              <w:t>0%</w:t>
            </w:r>
          </w:p>
        </w:tc>
        <w:tc>
          <w:tcPr>
            <w:tcW w:w="404" w:type="pct"/>
            <w:tcBorders>
              <w:right w:val="single" w:color="000000" w:sz="2" w:space="0"/>
            </w:tcBorders>
            <w:vAlign w:val="center"/>
          </w:tcPr>
          <w:p w14:paraId="331C1A06">
            <w:pPr>
              <w:pStyle w:val="58"/>
              <w:bidi w:val="0"/>
              <w:rPr>
                <w:rFonts w:hint="default"/>
                <w:highlight w:val="none"/>
              </w:rPr>
            </w:pPr>
            <w:r>
              <w:rPr>
                <w:rFonts w:hint="default"/>
                <w:highlight w:val="none"/>
                <w:lang w:val="en-US" w:eastAsia="zh-CN"/>
              </w:rPr>
              <w:t>0%</w:t>
            </w:r>
          </w:p>
        </w:tc>
        <w:tc>
          <w:tcPr>
            <w:tcW w:w="352" w:type="pct"/>
            <w:tcBorders>
              <w:left w:val="single" w:color="000000" w:sz="2" w:space="0"/>
            </w:tcBorders>
            <w:vAlign w:val="center"/>
          </w:tcPr>
          <w:p w14:paraId="009A96E2">
            <w:pPr>
              <w:pStyle w:val="58"/>
              <w:bidi w:val="0"/>
              <w:rPr>
                <w:rFonts w:hint="default"/>
                <w:highlight w:val="none"/>
              </w:rPr>
            </w:pPr>
            <w:r>
              <w:rPr>
                <w:rFonts w:hint="default"/>
                <w:highlight w:val="none"/>
                <w:lang w:val="en-US" w:eastAsia="zh-CN"/>
              </w:rPr>
              <w:t>0%</w:t>
            </w:r>
          </w:p>
        </w:tc>
      </w:tr>
      <w:tr w14:paraId="4B3817EB">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430" w:type="pct"/>
            <w:vMerge w:val="restart"/>
            <w:tcBorders>
              <w:bottom w:val="nil"/>
            </w:tcBorders>
            <w:vAlign w:val="center"/>
          </w:tcPr>
          <w:p w14:paraId="71F72A7B">
            <w:pPr>
              <w:pStyle w:val="58"/>
              <w:bidi w:val="0"/>
              <w:rPr>
                <w:rFonts w:hint="default"/>
                <w:highlight w:val="none"/>
              </w:rPr>
            </w:pPr>
            <w:r>
              <w:rPr>
                <w:rFonts w:hint="eastAsia"/>
                <w:highlight w:val="none"/>
                <w:lang w:val="en-US" w:eastAsia="zh-CN"/>
              </w:rPr>
              <w:t>A</w:t>
            </w:r>
            <w:r>
              <w:rPr>
                <w:rFonts w:hint="eastAsia"/>
                <w:highlight w:val="none"/>
                <w:vertAlign w:val="superscript"/>
                <w:lang w:val="en-US" w:eastAsia="zh-CN"/>
              </w:rPr>
              <w:t>2</w:t>
            </w:r>
            <w:r>
              <w:rPr>
                <w:rFonts w:hint="eastAsia"/>
                <w:highlight w:val="none"/>
                <w:lang w:val="en-US" w:eastAsia="zh-CN"/>
              </w:rPr>
              <w:t>O</w:t>
            </w:r>
            <w:r>
              <w:rPr>
                <w:rFonts w:hint="default"/>
                <w:highlight w:val="none"/>
                <w:lang w:val="en-US" w:eastAsia="zh-CN"/>
              </w:rPr>
              <w:t>一体化设备</w:t>
            </w:r>
          </w:p>
        </w:tc>
        <w:tc>
          <w:tcPr>
            <w:tcW w:w="592" w:type="pct"/>
            <w:vAlign w:val="center"/>
          </w:tcPr>
          <w:p w14:paraId="6E6F128B">
            <w:pPr>
              <w:pStyle w:val="58"/>
              <w:bidi w:val="0"/>
              <w:rPr>
                <w:rFonts w:hint="default"/>
                <w:highlight w:val="none"/>
              </w:rPr>
            </w:pPr>
            <w:r>
              <w:rPr>
                <w:rFonts w:hint="default"/>
                <w:highlight w:val="none"/>
                <w:lang w:val="en-US" w:eastAsia="zh-CN"/>
              </w:rPr>
              <w:t>进水水质</w:t>
            </w:r>
          </w:p>
        </w:tc>
        <w:tc>
          <w:tcPr>
            <w:tcW w:w="411" w:type="pct"/>
            <w:vAlign w:val="center"/>
          </w:tcPr>
          <w:p w14:paraId="31E0AEB8">
            <w:pPr>
              <w:pStyle w:val="58"/>
              <w:bidi w:val="0"/>
              <w:rPr>
                <w:rFonts w:hint="default"/>
                <w:highlight w:val="none"/>
                <w:lang w:val="en-US" w:eastAsia="zh-CN"/>
              </w:rPr>
            </w:pPr>
            <w:r>
              <w:rPr>
                <w:rFonts w:hint="default"/>
                <w:highlight w:val="none"/>
                <w:lang w:val="en-US" w:eastAsia="zh-CN"/>
              </w:rPr>
              <w:t>350</w:t>
            </w:r>
          </w:p>
        </w:tc>
        <w:tc>
          <w:tcPr>
            <w:tcW w:w="430" w:type="pct"/>
            <w:vAlign w:val="center"/>
          </w:tcPr>
          <w:p w14:paraId="6DA11F6F">
            <w:pPr>
              <w:pStyle w:val="58"/>
              <w:bidi w:val="0"/>
              <w:rPr>
                <w:rFonts w:hint="default"/>
                <w:highlight w:val="none"/>
                <w:lang w:val="en-US" w:eastAsia="zh-CN"/>
              </w:rPr>
            </w:pPr>
            <w:r>
              <w:rPr>
                <w:rFonts w:hint="default"/>
                <w:highlight w:val="none"/>
                <w:lang w:val="en-US" w:eastAsia="zh-CN"/>
              </w:rPr>
              <w:t>100</w:t>
            </w:r>
          </w:p>
        </w:tc>
        <w:tc>
          <w:tcPr>
            <w:tcW w:w="367" w:type="pct"/>
            <w:vAlign w:val="center"/>
          </w:tcPr>
          <w:p w14:paraId="42C7170F">
            <w:pPr>
              <w:pStyle w:val="58"/>
              <w:bidi w:val="0"/>
              <w:rPr>
                <w:rFonts w:hint="default"/>
                <w:highlight w:val="none"/>
                <w:lang w:val="en-US" w:eastAsia="zh-CN"/>
              </w:rPr>
            </w:pPr>
            <w:r>
              <w:rPr>
                <w:rFonts w:hint="default"/>
                <w:highlight w:val="none"/>
                <w:lang w:val="en-US" w:eastAsia="zh-CN"/>
              </w:rPr>
              <w:t>225</w:t>
            </w:r>
          </w:p>
        </w:tc>
        <w:tc>
          <w:tcPr>
            <w:tcW w:w="367" w:type="pct"/>
            <w:tcBorders>
              <w:right w:val="single" w:color="000000" w:sz="2" w:space="0"/>
            </w:tcBorders>
            <w:vAlign w:val="center"/>
          </w:tcPr>
          <w:p w14:paraId="4E1D28F1">
            <w:pPr>
              <w:pStyle w:val="58"/>
              <w:bidi w:val="0"/>
              <w:rPr>
                <w:rFonts w:hint="default"/>
                <w:highlight w:val="none"/>
                <w:lang w:val="en-US" w:eastAsia="zh-CN"/>
              </w:rPr>
            </w:pPr>
            <w:r>
              <w:rPr>
                <w:rFonts w:hint="default"/>
                <w:highlight w:val="none"/>
                <w:lang w:val="en-US" w:eastAsia="zh-CN"/>
              </w:rPr>
              <w:t>30</w:t>
            </w:r>
          </w:p>
        </w:tc>
        <w:tc>
          <w:tcPr>
            <w:tcW w:w="425" w:type="pct"/>
            <w:tcBorders>
              <w:left w:val="single" w:color="000000" w:sz="2" w:space="0"/>
            </w:tcBorders>
            <w:vAlign w:val="center"/>
          </w:tcPr>
          <w:p w14:paraId="6E124CD6">
            <w:pPr>
              <w:pStyle w:val="58"/>
              <w:bidi w:val="0"/>
              <w:rPr>
                <w:rFonts w:hint="default"/>
                <w:highlight w:val="none"/>
                <w:lang w:val="en-US" w:eastAsia="zh-CN"/>
              </w:rPr>
            </w:pPr>
            <w:r>
              <w:rPr>
                <w:rFonts w:hint="default"/>
                <w:highlight w:val="none"/>
                <w:lang w:val="en-US" w:eastAsia="zh-CN"/>
              </w:rPr>
              <w:t>45</w:t>
            </w:r>
          </w:p>
        </w:tc>
        <w:tc>
          <w:tcPr>
            <w:tcW w:w="703" w:type="dxa"/>
            <w:tcBorders>
              <w:right w:val="single" w:color="000000" w:sz="2" w:space="0"/>
            </w:tcBorders>
            <w:vAlign w:val="center"/>
          </w:tcPr>
          <w:p w14:paraId="00CC5992">
            <w:pPr>
              <w:pStyle w:val="58"/>
              <w:bidi w:val="0"/>
              <w:rPr>
                <w:rFonts w:hint="default"/>
                <w:highlight w:val="none"/>
                <w:lang w:val="en-US" w:eastAsia="zh-CN"/>
              </w:rPr>
            </w:pPr>
            <w:r>
              <w:rPr>
                <w:rFonts w:hint="default"/>
                <w:highlight w:val="none"/>
                <w:lang w:val="en-US" w:eastAsia="zh-CN"/>
              </w:rPr>
              <w:t>8</w:t>
            </w:r>
          </w:p>
        </w:tc>
        <w:tc>
          <w:tcPr>
            <w:tcW w:w="442" w:type="pct"/>
            <w:tcBorders>
              <w:left w:val="single" w:color="000000" w:sz="2" w:space="0"/>
              <w:right w:val="single" w:color="000000" w:sz="2" w:space="0"/>
            </w:tcBorders>
            <w:vAlign w:val="center"/>
          </w:tcPr>
          <w:p w14:paraId="5AD4532D">
            <w:pPr>
              <w:pStyle w:val="58"/>
              <w:bidi w:val="0"/>
              <w:rPr>
                <w:rFonts w:hint="default"/>
                <w:highlight w:val="none"/>
                <w:lang w:val="en-US" w:eastAsia="zh-CN"/>
              </w:rPr>
            </w:pPr>
            <w:r>
              <w:rPr>
                <w:rFonts w:hint="default"/>
                <w:highlight w:val="none"/>
                <w:lang w:val="en-US" w:eastAsia="zh-CN"/>
              </w:rPr>
              <w:t>1000000</w:t>
            </w:r>
          </w:p>
        </w:tc>
        <w:tc>
          <w:tcPr>
            <w:tcW w:w="389" w:type="pct"/>
            <w:tcBorders>
              <w:left w:val="single" w:color="000000" w:sz="2" w:space="0"/>
            </w:tcBorders>
            <w:vAlign w:val="center"/>
          </w:tcPr>
          <w:p w14:paraId="5A1C2A35">
            <w:pPr>
              <w:pStyle w:val="58"/>
              <w:bidi w:val="0"/>
              <w:rPr>
                <w:rFonts w:hint="default"/>
                <w:highlight w:val="none"/>
                <w:lang w:val="en-US" w:eastAsia="zh-CN"/>
              </w:rPr>
            </w:pPr>
            <w:r>
              <w:rPr>
                <w:rFonts w:hint="default"/>
                <w:highlight w:val="none"/>
                <w:lang w:val="en-US" w:eastAsia="zh-CN"/>
              </w:rPr>
              <w:t>0.19</w:t>
            </w:r>
          </w:p>
        </w:tc>
        <w:tc>
          <w:tcPr>
            <w:tcW w:w="404" w:type="pct"/>
            <w:tcBorders>
              <w:right w:val="single" w:color="000000" w:sz="2" w:space="0"/>
            </w:tcBorders>
            <w:vAlign w:val="center"/>
          </w:tcPr>
          <w:p w14:paraId="63EF7D43">
            <w:pPr>
              <w:pStyle w:val="58"/>
              <w:bidi w:val="0"/>
              <w:rPr>
                <w:rFonts w:hint="default"/>
                <w:highlight w:val="none"/>
                <w:lang w:val="en-US" w:eastAsia="zh-CN"/>
              </w:rPr>
            </w:pPr>
            <w:r>
              <w:rPr>
                <w:rFonts w:hint="default"/>
                <w:highlight w:val="none"/>
                <w:lang w:val="en-US" w:eastAsia="zh-CN"/>
              </w:rPr>
              <w:t>2.17</w:t>
            </w:r>
          </w:p>
        </w:tc>
        <w:tc>
          <w:tcPr>
            <w:tcW w:w="352" w:type="pct"/>
            <w:tcBorders>
              <w:left w:val="single" w:color="000000" w:sz="2" w:space="0"/>
            </w:tcBorders>
            <w:vAlign w:val="center"/>
          </w:tcPr>
          <w:p w14:paraId="607A6710">
            <w:pPr>
              <w:pStyle w:val="58"/>
              <w:bidi w:val="0"/>
              <w:rPr>
                <w:rFonts w:hint="default"/>
                <w:highlight w:val="none"/>
                <w:lang w:val="en-US" w:eastAsia="zh-CN"/>
              </w:rPr>
            </w:pPr>
            <w:r>
              <w:rPr>
                <w:rFonts w:hint="default"/>
                <w:highlight w:val="none"/>
                <w:lang w:val="en-US" w:eastAsia="zh-CN"/>
              </w:rPr>
              <w:t>1.81</w:t>
            </w:r>
          </w:p>
        </w:tc>
      </w:tr>
      <w:tr w14:paraId="0874D775">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286" w:hRule="atLeast"/>
        </w:trPr>
        <w:tc>
          <w:tcPr>
            <w:tcW w:w="430" w:type="pct"/>
            <w:vMerge w:val="continue"/>
            <w:tcBorders>
              <w:top w:val="nil"/>
              <w:bottom w:val="nil"/>
            </w:tcBorders>
            <w:vAlign w:val="center"/>
          </w:tcPr>
          <w:p w14:paraId="43F7B1CE">
            <w:pPr>
              <w:pStyle w:val="58"/>
              <w:bidi w:val="0"/>
              <w:rPr>
                <w:rFonts w:hint="default"/>
                <w:highlight w:val="none"/>
              </w:rPr>
            </w:pPr>
          </w:p>
        </w:tc>
        <w:tc>
          <w:tcPr>
            <w:tcW w:w="592" w:type="pct"/>
            <w:vAlign w:val="center"/>
          </w:tcPr>
          <w:p w14:paraId="055E418A">
            <w:pPr>
              <w:pStyle w:val="58"/>
              <w:bidi w:val="0"/>
              <w:rPr>
                <w:rFonts w:hint="default"/>
                <w:highlight w:val="none"/>
              </w:rPr>
            </w:pPr>
            <w:r>
              <w:rPr>
                <w:rFonts w:hint="default"/>
                <w:highlight w:val="none"/>
                <w:lang w:val="en-US" w:eastAsia="zh-CN"/>
              </w:rPr>
              <w:t>出水水质</w:t>
            </w:r>
          </w:p>
        </w:tc>
        <w:tc>
          <w:tcPr>
            <w:tcW w:w="411" w:type="pct"/>
            <w:vAlign w:val="center"/>
          </w:tcPr>
          <w:p w14:paraId="6B6F6040">
            <w:pPr>
              <w:pStyle w:val="58"/>
              <w:bidi w:val="0"/>
              <w:rPr>
                <w:rFonts w:hint="default"/>
                <w:highlight w:val="none"/>
              </w:rPr>
            </w:pPr>
            <w:r>
              <w:rPr>
                <w:rFonts w:hint="default"/>
                <w:highlight w:val="none"/>
                <w:lang w:val="en-US" w:eastAsia="zh-CN"/>
              </w:rPr>
              <w:t>48.65</w:t>
            </w:r>
          </w:p>
        </w:tc>
        <w:tc>
          <w:tcPr>
            <w:tcW w:w="430" w:type="pct"/>
            <w:vAlign w:val="center"/>
          </w:tcPr>
          <w:p w14:paraId="61906879">
            <w:pPr>
              <w:pStyle w:val="58"/>
              <w:bidi w:val="0"/>
              <w:rPr>
                <w:rFonts w:hint="default"/>
                <w:highlight w:val="none"/>
              </w:rPr>
            </w:pPr>
            <w:r>
              <w:rPr>
                <w:rFonts w:hint="default"/>
                <w:highlight w:val="none"/>
                <w:lang w:val="en-US" w:eastAsia="zh-CN"/>
              </w:rPr>
              <w:t>7</w:t>
            </w:r>
          </w:p>
        </w:tc>
        <w:tc>
          <w:tcPr>
            <w:tcW w:w="367" w:type="pct"/>
            <w:vAlign w:val="center"/>
          </w:tcPr>
          <w:p w14:paraId="3526A4BD">
            <w:pPr>
              <w:pStyle w:val="58"/>
              <w:bidi w:val="0"/>
              <w:rPr>
                <w:rFonts w:hint="default"/>
                <w:highlight w:val="none"/>
              </w:rPr>
            </w:pPr>
            <w:r>
              <w:rPr>
                <w:rFonts w:hint="default"/>
                <w:highlight w:val="none"/>
                <w:lang w:val="en-US" w:eastAsia="zh-CN"/>
              </w:rPr>
              <w:t>22.5</w:t>
            </w:r>
          </w:p>
        </w:tc>
        <w:tc>
          <w:tcPr>
            <w:tcW w:w="367" w:type="pct"/>
            <w:tcBorders>
              <w:right w:val="single" w:color="000000" w:sz="2" w:space="0"/>
            </w:tcBorders>
            <w:vAlign w:val="center"/>
          </w:tcPr>
          <w:p w14:paraId="120C8978">
            <w:pPr>
              <w:pStyle w:val="58"/>
              <w:bidi w:val="0"/>
              <w:rPr>
                <w:rFonts w:hint="default"/>
                <w:highlight w:val="none"/>
              </w:rPr>
            </w:pPr>
            <w:r>
              <w:rPr>
                <w:rFonts w:hint="default"/>
                <w:highlight w:val="none"/>
                <w:lang w:val="en-US" w:eastAsia="zh-CN"/>
              </w:rPr>
              <w:t>9.99</w:t>
            </w:r>
          </w:p>
        </w:tc>
        <w:tc>
          <w:tcPr>
            <w:tcW w:w="425" w:type="pct"/>
            <w:tcBorders>
              <w:left w:val="single" w:color="000000" w:sz="2" w:space="0"/>
            </w:tcBorders>
            <w:vAlign w:val="center"/>
          </w:tcPr>
          <w:p w14:paraId="6ABC730E">
            <w:pPr>
              <w:pStyle w:val="58"/>
              <w:bidi w:val="0"/>
              <w:rPr>
                <w:rFonts w:hint="default"/>
                <w:highlight w:val="none"/>
              </w:rPr>
            </w:pPr>
            <w:r>
              <w:rPr>
                <w:rFonts w:hint="default"/>
                <w:highlight w:val="none"/>
                <w:lang w:val="en-US" w:eastAsia="zh-CN"/>
              </w:rPr>
              <w:t>4.725</w:t>
            </w:r>
          </w:p>
        </w:tc>
        <w:tc>
          <w:tcPr>
            <w:tcW w:w="703" w:type="dxa"/>
            <w:tcBorders>
              <w:right w:val="single" w:color="000000" w:sz="2" w:space="0"/>
            </w:tcBorders>
            <w:vAlign w:val="center"/>
          </w:tcPr>
          <w:p w14:paraId="649183E0">
            <w:pPr>
              <w:pStyle w:val="58"/>
              <w:bidi w:val="0"/>
              <w:rPr>
                <w:rFonts w:hint="default"/>
                <w:highlight w:val="none"/>
              </w:rPr>
            </w:pPr>
            <w:r>
              <w:rPr>
                <w:rFonts w:hint="default"/>
                <w:highlight w:val="none"/>
                <w:lang w:val="en-US" w:eastAsia="zh-CN"/>
              </w:rPr>
              <w:t>2.4</w:t>
            </w:r>
          </w:p>
        </w:tc>
        <w:tc>
          <w:tcPr>
            <w:tcW w:w="442" w:type="pct"/>
            <w:tcBorders>
              <w:left w:val="single" w:color="000000" w:sz="2" w:space="0"/>
              <w:right w:val="single" w:color="000000" w:sz="2" w:space="0"/>
            </w:tcBorders>
            <w:vAlign w:val="center"/>
          </w:tcPr>
          <w:p w14:paraId="0785B3C7">
            <w:pPr>
              <w:pStyle w:val="58"/>
              <w:bidi w:val="0"/>
              <w:rPr>
                <w:rFonts w:hint="default"/>
                <w:highlight w:val="none"/>
              </w:rPr>
            </w:pPr>
            <w:r>
              <w:rPr>
                <w:rFonts w:hint="default"/>
                <w:highlight w:val="none"/>
                <w:lang w:val="en-US" w:eastAsia="zh-CN"/>
              </w:rPr>
              <w:t>1000000</w:t>
            </w:r>
          </w:p>
        </w:tc>
        <w:tc>
          <w:tcPr>
            <w:tcW w:w="389" w:type="pct"/>
            <w:tcBorders>
              <w:left w:val="single" w:color="000000" w:sz="2" w:space="0"/>
            </w:tcBorders>
            <w:vAlign w:val="center"/>
          </w:tcPr>
          <w:p w14:paraId="22C76E51">
            <w:pPr>
              <w:pStyle w:val="58"/>
              <w:bidi w:val="0"/>
              <w:rPr>
                <w:rFonts w:hint="default"/>
                <w:highlight w:val="none"/>
              </w:rPr>
            </w:pPr>
            <w:r>
              <w:rPr>
                <w:rFonts w:hint="default"/>
                <w:highlight w:val="none"/>
                <w:lang w:val="en-US" w:eastAsia="zh-CN"/>
              </w:rPr>
              <w:t>0.076</w:t>
            </w:r>
          </w:p>
        </w:tc>
        <w:tc>
          <w:tcPr>
            <w:tcW w:w="404" w:type="pct"/>
            <w:tcBorders>
              <w:right w:val="single" w:color="000000" w:sz="2" w:space="0"/>
            </w:tcBorders>
            <w:vAlign w:val="center"/>
          </w:tcPr>
          <w:p w14:paraId="7A3748B9">
            <w:pPr>
              <w:pStyle w:val="58"/>
              <w:bidi w:val="0"/>
              <w:rPr>
                <w:rFonts w:hint="default"/>
                <w:highlight w:val="none"/>
              </w:rPr>
            </w:pPr>
            <w:r>
              <w:rPr>
                <w:rFonts w:hint="default"/>
                <w:highlight w:val="none"/>
                <w:lang w:val="en-US" w:eastAsia="zh-CN"/>
              </w:rPr>
              <w:t>0.651</w:t>
            </w:r>
          </w:p>
        </w:tc>
        <w:tc>
          <w:tcPr>
            <w:tcW w:w="352" w:type="pct"/>
            <w:tcBorders>
              <w:left w:val="single" w:color="000000" w:sz="2" w:space="0"/>
            </w:tcBorders>
            <w:vAlign w:val="center"/>
          </w:tcPr>
          <w:p w14:paraId="65E8A97E">
            <w:pPr>
              <w:pStyle w:val="58"/>
              <w:bidi w:val="0"/>
              <w:rPr>
                <w:rFonts w:hint="default"/>
                <w:highlight w:val="none"/>
              </w:rPr>
            </w:pPr>
            <w:r>
              <w:rPr>
                <w:rFonts w:hint="default"/>
                <w:highlight w:val="none"/>
                <w:lang w:val="en-US" w:eastAsia="zh-CN"/>
              </w:rPr>
              <w:t>1.81</w:t>
            </w:r>
          </w:p>
        </w:tc>
      </w:tr>
      <w:tr w14:paraId="16321029">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430" w:type="pct"/>
            <w:vMerge w:val="continue"/>
            <w:tcBorders>
              <w:top w:val="nil"/>
            </w:tcBorders>
            <w:vAlign w:val="center"/>
          </w:tcPr>
          <w:p w14:paraId="1901342F">
            <w:pPr>
              <w:pStyle w:val="58"/>
              <w:bidi w:val="0"/>
              <w:rPr>
                <w:rFonts w:hint="default"/>
                <w:highlight w:val="none"/>
              </w:rPr>
            </w:pPr>
          </w:p>
        </w:tc>
        <w:tc>
          <w:tcPr>
            <w:tcW w:w="592" w:type="pct"/>
            <w:vAlign w:val="center"/>
          </w:tcPr>
          <w:p w14:paraId="2A89EFF2">
            <w:pPr>
              <w:pStyle w:val="58"/>
              <w:bidi w:val="0"/>
              <w:rPr>
                <w:rFonts w:hint="default"/>
                <w:highlight w:val="none"/>
              </w:rPr>
            </w:pPr>
            <w:r>
              <w:rPr>
                <w:rFonts w:hint="default"/>
                <w:highlight w:val="none"/>
                <w:lang w:val="en-US" w:eastAsia="zh-CN"/>
              </w:rPr>
              <w:t>处理率</w:t>
            </w:r>
          </w:p>
        </w:tc>
        <w:tc>
          <w:tcPr>
            <w:tcW w:w="411" w:type="pct"/>
            <w:vAlign w:val="center"/>
          </w:tcPr>
          <w:p w14:paraId="1AF934AD">
            <w:pPr>
              <w:pStyle w:val="58"/>
              <w:bidi w:val="0"/>
              <w:rPr>
                <w:rFonts w:hint="default"/>
                <w:highlight w:val="none"/>
              </w:rPr>
            </w:pPr>
            <w:r>
              <w:rPr>
                <w:rFonts w:hint="default"/>
                <w:highlight w:val="none"/>
                <w:lang w:val="en-US" w:eastAsia="zh-CN"/>
              </w:rPr>
              <w:t>86.10%</w:t>
            </w:r>
          </w:p>
        </w:tc>
        <w:tc>
          <w:tcPr>
            <w:tcW w:w="430" w:type="pct"/>
            <w:vAlign w:val="center"/>
          </w:tcPr>
          <w:p w14:paraId="677F1DCA">
            <w:pPr>
              <w:pStyle w:val="58"/>
              <w:bidi w:val="0"/>
              <w:rPr>
                <w:rFonts w:hint="default"/>
                <w:highlight w:val="none"/>
              </w:rPr>
            </w:pPr>
            <w:r>
              <w:rPr>
                <w:rFonts w:hint="default"/>
                <w:highlight w:val="none"/>
                <w:lang w:val="en-US" w:eastAsia="zh-CN"/>
              </w:rPr>
              <w:t>93%</w:t>
            </w:r>
          </w:p>
        </w:tc>
        <w:tc>
          <w:tcPr>
            <w:tcW w:w="367" w:type="pct"/>
            <w:vAlign w:val="center"/>
          </w:tcPr>
          <w:p w14:paraId="0C8A1E76">
            <w:pPr>
              <w:pStyle w:val="58"/>
              <w:bidi w:val="0"/>
              <w:rPr>
                <w:rFonts w:hint="default"/>
                <w:highlight w:val="none"/>
              </w:rPr>
            </w:pPr>
            <w:r>
              <w:rPr>
                <w:rFonts w:hint="default"/>
                <w:highlight w:val="none"/>
                <w:lang w:val="en-US" w:eastAsia="zh-CN"/>
              </w:rPr>
              <w:t>90%</w:t>
            </w:r>
          </w:p>
        </w:tc>
        <w:tc>
          <w:tcPr>
            <w:tcW w:w="367" w:type="pct"/>
            <w:tcBorders>
              <w:right w:val="single" w:color="000000" w:sz="2" w:space="0"/>
            </w:tcBorders>
            <w:vAlign w:val="center"/>
          </w:tcPr>
          <w:p w14:paraId="2626818E">
            <w:pPr>
              <w:pStyle w:val="58"/>
              <w:bidi w:val="0"/>
              <w:rPr>
                <w:rFonts w:hint="default"/>
                <w:highlight w:val="none"/>
              </w:rPr>
            </w:pPr>
            <w:r>
              <w:rPr>
                <w:rFonts w:hint="default"/>
                <w:highlight w:val="none"/>
                <w:lang w:val="en-US" w:eastAsia="zh-CN"/>
              </w:rPr>
              <w:t>66.70%</w:t>
            </w:r>
          </w:p>
        </w:tc>
        <w:tc>
          <w:tcPr>
            <w:tcW w:w="425" w:type="pct"/>
            <w:tcBorders>
              <w:left w:val="single" w:color="000000" w:sz="2" w:space="0"/>
            </w:tcBorders>
            <w:vAlign w:val="center"/>
          </w:tcPr>
          <w:p w14:paraId="19C1ADA5">
            <w:pPr>
              <w:pStyle w:val="58"/>
              <w:bidi w:val="0"/>
              <w:rPr>
                <w:rFonts w:hint="default"/>
                <w:highlight w:val="none"/>
              </w:rPr>
            </w:pPr>
            <w:r>
              <w:rPr>
                <w:rFonts w:hint="default"/>
                <w:highlight w:val="none"/>
                <w:lang w:val="en-US" w:eastAsia="zh-CN"/>
              </w:rPr>
              <w:t>89.50%</w:t>
            </w:r>
          </w:p>
        </w:tc>
        <w:tc>
          <w:tcPr>
            <w:tcW w:w="703" w:type="dxa"/>
            <w:tcBorders>
              <w:right w:val="single" w:color="000000" w:sz="2" w:space="0"/>
            </w:tcBorders>
            <w:vAlign w:val="center"/>
          </w:tcPr>
          <w:p w14:paraId="6F09E369">
            <w:pPr>
              <w:pStyle w:val="58"/>
              <w:bidi w:val="0"/>
              <w:rPr>
                <w:rFonts w:hint="default"/>
                <w:highlight w:val="none"/>
              </w:rPr>
            </w:pPr>
            <w:r>
              <w:rPr>
                <w:rFonts w:hint="default"/>
                <w:highlight w:val="none"/>
                <w:lang w:val="en-US" w:eastAsia="zh-CN"/>
              </w:rPr>
              <w:t>70%</w:t>
            </w:r>
          </w:p>
        </w:tc>
        <w:tc>
          <w:tcPr>
            <w:tcW w:w="442" w:type="pct"/>
            <w:tcBorders>
              <w:left w:val="single" w:color="000000" w:sz="2" w:space="0"/>
              <w:right w:val="single" w:color="000000" w:sz="2" w:space="0"/>
            </w:tcBorders>
            <w:vAlign w:val="center"/>
          </w:tcPr>
          <w:p w14:paraId="7AAD9655">
            <w:pPr>
              <w:pStyle w:val="58"/>
              <w:bidi w:val="0"/>
              <w:rPr>
                <w:rFonts w:hint="default"/>
                <w:highlight w:val="none"/>
              </w:rPr>
            </w:pPr>
            <w:r>
              <w:rPr>
                <w:rFonts w:hint="default"/>
                <w:highlight w:val="none"/>
                <w:lang w:val="en-US" w:eastAsia="zh-CN"/>
              </w:rPr>
              <w:t>0%</w:t>
            </w:r>
          </w:p>
        </w:tc>
        <w:tc>
          <w:tcPr>
            <w:tcW w:w="389" w:type="pct"/>
            <w:tcBorders>
              <w:left w:val="single" w:color="000000" w:sz="2" w:space="0"/>
            </w:tcBorders>
            <w:vAlign w:val="center"/>
          </w:tcPr>
          <w:p w14:paraId="54191862">
            <w:pPr>
              <w:pStyle w:val="58"/>
              <w:bidi w:val="0"/>
              <w:rPr>
                <w:rFonts w:hint="default"/>
                <w:highlight w:val="none"/>
              </w:rPr>
            </w:pPr>
            <w:r>
              <w:rPr>
                <w:rFonts w:hint="default"/>
                <w:highlight w:val="none"/>
                <w:lang w:val="en-US" w:eastAsia="zh-CN"/>
              </w:rPr>
              <w:t>60%</w:t>
            </w:r>
          </w:p>
        </w:tc>
        <w:tc>
          <w:tcPr>
            <w:tcW w:w="404" w:type="pct"/>
            <w:tcBorders>
              <w:right w:val="single" w:color="000000" w:sz="2" w:space="0"/>
            </w:tcBorders>
            <w:vAlign w:val="center"/>
          </w:tcPr>
          <w:p w14:paraId="51030525">
            <w:pPr>
              <w:pStyle w:val="58"/>
              <w:bidi w:val="0"/>
              <w:rPr>
                <w:rFonts w:hint="default"/>
                <w:highlight w:val="none"/>
              </w:rPr>
            </w:pPr>
            <w:r>
              <w:rPr>
                <w:rFonts w:hint="default"/>
                <w:highlight w:val="none"/>
                <w:lang w:val="en-US" w:eastAsia="zh-CN"/>
              </w:rPr>
              <w:t>70%</w:t>
            </w:r>
          </w:p>
        </w:tc>
        <w:tc>
          <w:tcPr>
            <w:tcW w:w="352" w:type="pct"/>
            <w:tcBorders>
              <w:left w:val="single" w:color="000000" w:sz="2" w:space="0"/>
            </w:tcBorders>
            <w:vAlign w:val="center"/>
          </w:tcPr>
          <w:p w14:paraId="42C7B35F">
            <w:pPr>
              <w:pStyle w:val="58"/>
              <w:bidi w:val="0"/>
              <w:rPr>
                <w:rFonts w:hint="default"/>
                <w:highlight w:val="none"/>
              </w:rPr>
            </w:pPr>
            <w:r>
              <w:rPr>
                <w:rFonts w:hint="default"/>
                <w:highlight w:val="none"/>
                <w:lang w:val="en-US" w:eastAsia="zh-CN"/>
              </w:rPr>
              <w:t>0%</w:t>
            </w:r>
          </w:p>
        </w:tc>
      </w:tr>
      <w:tr w14:paraId="5E5B6F07">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286" w:hRule="atLeast"/>
        </w:trPr>
        <w:tc>
          <w:tcPr>
            <w:tcW w:w="430" w:type="pct"/>
            <w:vMerge w:val="restart"/>
            <w:tcBorders>
              <w:bottom w:val="nil"/>
            </w:tcBorders>
            <w:vAlign w:val="center"/>
          </w:tcPr>
          <w:p w14:paraId="465431C2">
            <w:pPr>
              <w:pStyle w:val="58"/>
              <w:bidi w:val="0"/>
              <w:rPr>
                <w:rFonts w:hint="default"/>
                <w:highlight w:val="none"/>
                <w:lang w:val="en-US" w:eastAsia="zh-CN"/>
              </w:rPr>
            </w:pPr>
            <w:r>
              <w:rPr>
                <w:rFonts w:hint="eastAsia"/>
                <w:highlight w:val="none"/>
                <w:lang w:val="en-US" w:eastAsia="zh-CN"/>
              </w:rPr>
              <w:t>混凝沉淀池</w:t>
            </w:r>
          </w:p>
        </w:tc>
        <w:tc>
          <w:tcPr>
            <w:tcW w:w="592" w:type="pct"/>
            <w:vAlign w:val="center"/>
          </w:tcPr>
          <w:p w14:paraId="5904DD4D">
            <w:pPr>
              <w:pStyle w:val="58"/>
              <w:bidi w:val="0"/>
              <w:rPr>
                <w:rFonts w:hint="default"/>
                <w:highlight w:val="none"/>
              </w:rPr>
            </w:pPr>
            <w:r>
              <w:rPr>
                <w:rFonts w:hint="default"/>
                <w:highlight w:val="none"/>
                <w:lang w:val="en-US" w:eastAsia="zh-CN"/>
              </w:rPr>
              <w:t>进水水质</w:t>
            </w:r>
          </w:p>
        </w:tc>
        <w:tc>
          <w:tcPr>
            <w:tcW w:w="411" w:type="pct"/>
            <w:vAlign w:val="center"/>
          </w:tcPr>
          <w:p w14:paraId="339B3E79">
            <w:pPr>
              <w:pStyle w:val="58"/>
              <w:bidi w:val="0"/>
              <w:rPr>
                <w:rFonts w:hint="default"/>
                <w:highlight w:val="none"/>
              </w:rPr>
            </w:pPr>
            <w:r>
              <w:rPr>
                <w:rFonts w:hint="default"/>
                <w:highlight w:val="none"/>
                <w:lang w:val="en-US" w:eastAsia="zh-CN"/>
              </w:rPr>
              <w:t>48.65</w:t>
            </w:r>
          </w:p>
        </w:tc>
        <w:tc>
          <w:tcPr>
            <w:tcW w:w="430" w:type="pct"/>
            <w:vAlign w:val="center"/>
          </w:tcPr>
          <w:p w14:paraId="35640C1A">
            <w:pPr>
              <w:pStyle w:val="58"/>
              <w:bidi w:val="0"/>
              <w:rPr>
                <w:rFonts w:hint="default"/>
                <w:highlight w:val="none"/>
              </w:rPr>
            </w:pPr>
            <w:r>
              <w:rPr>
                <w:rFonts w:hint="default"/>
                <w:highlight w:val="none"/>
                <w:lang w:val="en-US" w:eastAsia="zh-CN"/>
              </w:rPr>
              <w:t>7</w:t>
            </w:r>
          </w:p>
        </w:tc>
        <w:tc>
          <w:tcPr>
            <w:tcW w:w="367" w:type="pct"/>
            <w:vAlign w:val="center"/>
          </w:tcPr>
          <w:p w14:paraId="18CAB4AB">
            <w:pPr>
              <w:pStyle w:val="58"/>
              <w:bidi w:val="0"/>
              <w:rPr>
                <w:rFonts w:hint="default"/>
                <w:highlight w:val="none"/>
              </w:rPr>
            </w:pPr>
            <w:r>
              <w:rPr>
                <w:rFonts w:hint="default"/>
                <w:highlight w:val="none"/>
                <w:lang w:val="en-US" w:eastAsia="zh-CN"/>
              </w:rPr>
              <w:t>22.5</w:t>
            </w:r>
          </w:p>
        </w:tc>
        <w:tc>
          <w:tcPr>
            <w:tcW w:w="367" w:type="pct"/>
            <w:tcBorders>
              <w:right w:val="single" w:color="000000" w:sz="2" w:space="0"/>
            </w:tcBorders>
            <w:vAlign w:val="center"/>
          </w:tcPr>
          <w:p w14:paraId="7B79CE82">
            <w:pPr>
              <w:pStyle w:val="58"/>
              <w:bidi w:val="0"/>
              <w:rPr>
                <w:rFonts w:hint="default"/>
                <w:highlight w:val="none"/>
              </w:rPr>
            </w:pPr>
            <w:r>
              <w:rPr>
                <w:rFonts w:hint="default"/>
                <w:highlight w:val="none"/>
                <w:lang w:val="en-US" w:eastAsia="zh-CN"/>
              </w:rPr>
              <w:t>9.99</w:t>
            </w:r>
          </w:p>
        </w:tc>
        <w:tc>
          <w:tcPr>
            <w:tcW w:w="425" w:type="pct"/>
            <w:tcBorders>
              <w:left w:val="single" w:color="000000" w:sz="2" w:space="0"/>
            </w:tcBorders>
            <w:vAlign w:val="center"/>
          </w:tcPr>
          <w:p w14:paraId="4AFDDA2B">
            <w:pPr>
              <w:pStyle w:val="58"/>
              <w:bidi w:val="0"/>
              <w:rPr>
                <w:rFonts w:hint="default"/>
                <w:highlight w:val="none"/>
              </w:rPr>
            </w:pPr>
            <w:r>
              <w:rPr>
                <w:rFonts w:hint="default"/>
                <w:highlight w:val="none"/>
                <w:lang w:val="en-US" w:eastAsia="zh-CN"/>
              </w:rPr>
              <w:t>4.725</w:t>
            </w:r>
          </w:p>
        </w:tc>
        <w:tc>
          <w:tcPr>
            <w:tcW w:w="703" w:type="dxa"/>
            <w:tcBorders>
              <w:right w:val="single" w:color="000000" w:sz="2" w:space="0"/>
            </w:tcBorders>
            <w:vAlign w:val="center"/>
          </w:tcPr>
          <w:p w14:paraId="2488C0B7">
            <w:pPr>
              <w:pStyle w:val="58"/>
              <w:bidi w:val="0"/>
              <w:rPr>
                <w:rFonts w:hint="default"/>
                <w:highlight w:val="none"/>
              </w:rPr>
            </w:pPr>
            <w:r>
              <w:rPr>
                <w:rFonts w:hint="default"/>
                <w:highlight w:val="none"/>
                <w:lang w:val="en-US" w:eastAsia="zh-CN"/>
              </w:rPr>
              <w:t>2.4</w:t>
            </w:r>
          </w:p>
        </w:tc>
        <w:tc>
          <w:tcPr>
            <w:tcW w:w="442" w:type="pct"/>
            <w:tcBorders>
              <w:left w:val="single" w:color="000000" w:sz="2" w:space="0"/>
              <w:right w:val="single" w:color="000000" w:sz="2" w:space="0"/>
            </w:tcBorders>
            <w:vAlign w:val="center"/>
          </w:tcPr>
          <w:p w14:paraId="610808FB">
            <w:pPr>
              <w:pStyle w:val="58"/>
              <w:bidi w:val="0"/>
              <w:rPr>
                <w:rFonts w:hint="default"/>
                <w:highlight w:val="none"/>
              </w:rPr>
            </w:pPr>
            <w:r>
              <w:rPr>
                <w:rFonts w:hint="default"/>
                <w:highlight w:val="none"/>
                <w:lang w:val="en-US" w:eastAsia="zh-CN"/>
              </w:rPr>
              <w:t>1000000</w:t>
            </w:r>
          </w:p>
        </w:tc>
        <w:tc>
          <w:tcPr>
            <w:tcW w:w="389" w:type="pct"/>
            <w:tcBorders>
              <w:left w:val="single" w:color="000000" w:sz="2" w:space="0"/>
            </w:tcBorders>
            <w:vAlign w:val="center"/>
          </w:tcPr>
          <w:p w14:paraId="5EBF7B4C">
            <w:pPr>
              <w:pStyle w:val="58"/>
              <w:bidi w:val="0"/>
              <w:rPr>
                <w:rFonts w:hint="default"/>
                <w:highlight w:val="none"/>
              </w:rPr>
            </w:pPr>
            <w:r>
              <w:rPr>
                <w:rFonts w:hint="default"/>
                <w:highlight w:val="none"/>
                <w:lang w:val="en-US" w:eastAsia="zh-CN"/>
              </w:rPr>
              <w:t>0.076</w:t>
            </w:r>
          </w:p>
        </w:tc>
        <w:tc>
          <w:tcPr>
            <w:tcW w:w="404" w:type="pct"/>
            <w:tcBorders>
              <w:right w:val="single" w:color="000000" w:sz="2" w:space="0"/>
            </w:tcBorders>
            <w:vAlign w:val="center"/>
          </w:tcPr>
          <w:p w14:paraId="7AF540EC">
            <w:pPr>
              <w:pStyle w:val="58"/>
              <w:bidi w:val="0"/>
              <w:rPr>
                <w:rFonts w:hint="default"/>
                <w:highlight w:val="none"/>
              </w:rPr>
            </w:pPr>
            <w:r>
              <w:rPr>
                <w:rFonts w:hint="default"/>
                <w:highlight w:val="none"/>
                <w:lang w:val="en-US" w:eastAsia="zh-CN"/>
              </w:rPr>
              <w:t>0.651</w:t>
            </w:r>
          </w:p>
        </w:tc>
        <w:tc>
          <w:tcPr>
            <w:tcW w:w="352" w:type="pct"/>
            <w:tcBorders>
              <w:left w:val="single" w:color="000000" w:sz="2" w:space="0"/>
            </w:tcBorders>
            <w:vAlign w:val="center"/>
          </w:tcPr>
          <w:p w14:paraId="5E878705">
            <w:pPr>
              <w:pStyle w:val="58"/>
              <w:bidi w:val="0"/>
              <w:rPr>
                <w:rFonts w:hint="default"/>
                <w:highlight w:val="none"/>
              </w:rPr>
            </w:pPr>
            <w:r>
              <w:rPr>
                <w:rFonts w:hint="default"/>
                <w:highlight w:val="none"/>
                <w:lang w:val="en-US" w:eastAsia="zh-CN"/>
              </w:rPr>
              <w:t>1.81</w:t>
            </w:r>
          </w:p>
        </w:tc>
      </w:tr>
      <w:tr w14:paraId="596FEF1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430" w:type="pct"/>
            <w:vMerge w:val="continue"/>
            <w:tcBorders>
              <w:top w:val="nil"/>
              <w:bottom w:val="nil"/>
            </w:tcBorders>
            <w:vAlign w:val="center"/>
          </w:tcPr>
          <w:p w14:paraId="0DE79E4D">
            <w:pPr>
              <w:pStyle w:val="58"/>
              <w:bidi w:val="0"/>
              <w:rPr>
                <w:rFonts w:hint="default"/>
                <w:highlight w:val="none"/>
              </w:rPr>
            </w:pPr>
          </w:p>
        </w:tc>
        <w:tc>
          <w:tcPr>
            <w:tcW w:w="592" w:type="pct"/>
            <w:vAlign w:val="center"/>
          </w:tcPr>
          <w:p w14:paraId="33ED6C1A">
            <w:pPr>
              <w:pStyle w:val="58"/>
              <w:bidi w:val="0"/>
              <w:rPr>
                <w:rFonts w:hint="default"/>
                <w:highlight w:val="none"/>
              </w:rPr>
            </w:pPr>
            <w:r>
              <w:rPr>
                <w:rFonts w:hint="default"/>
                <w:highlight w:val="none"/>
                <w:lang w:val="en-US" w:eastAsia="zh-CN"/>
              </w:rPr>
              <w:t>出水水质</w:t>
            </w:r>
          </w:p>
        </w:tc>
        <w:tc>
          <w:tcPr>
            <w:tcW w:w="411" w:type="pct"/>
            <w:vAlign w:val="center"/>
          </w:tcPr>
          <w:p w14:paraId="2759CD99">
            <w:pPr>
              <w:pStyle w:val="58"/>
              <w:bidi w:val="0"/>
              <w:rPr>
                <w:rFonts w:hint="default"/>
                <w:highlight w:val="none"/>
              </w:rPr>
            </w:pPr>
            <w:r>
              <w:rPr>
                <w:rFonts w:hint="default"/>
                <w:highlight w:val="none"/>
                <w:lang w:val="en-US" w:eastAsia="zh-CN"/>
              </w:rPr>
              <w:t>38.92</w:t>
            </w:r>
          </w:p>
        </w:tc>
        <w:tc>
          <w:tcPr>
            <w:tcW w:w="430" w:type="pct"/>
            <w:vAlign w:val="center"/>
          </w:tcPr>
          <w:p w14:paraId="6AB86F20">
            <w:pPr>
              <w:pStyle w:val="58"/>
              <w:bidi w:val="0"/>
              <w:rPr>
                <w:rFonts w:hint="default"/>
                <w:highlight w:val="none"/>
              </w:rPr>
            </w:pPr>
            <w:r>
              <w:rPr>
                <w:rFonts w:hint="default"/>
                <w:highlight w:val="none"/>
                <w:lang w:val="en-US" w:eastAsia="zh-CN"/>
              </w:rPr>
              <w:t>4.998</w:t>
            </w:r>
          </w:p>
        </w:tc>
        <w:tc>
          <w:tcPr>
            <w:tcW w:w="367" w:type="pct"/>
            <w:vAlign w:val="center"/>
          </w:tcPr>
          <w:p w14:paraId="306D6D01">
            <w:pPr>
              <w:pStyle w:val="58"/>
              <w:bidi w:val="0"/>
              <w:rPr>
                <w:rFonts w:hint="default"/>
                <w:highlight w:val="none"/>
              </w:rPr>
            </w:pPr>
            <w:r>
              <w:rPr>
                <w:rFonts w:hint="default"/>
                <w:highlight w:val="none"/>
                <w:lang w:val="en-US" w:eastAsia="zh-CN"/>
              </w:rPr>
              <w:t>11.25</w:t>
            </w:r>
          </w:p>
        </w:tc>
        <w:tc>
          <w:tcPr>
            <w:tcW w:w="367" w:type="pct"/>
            <w:tcBorders>
              <w:right w:val="single" w:color="000000" w:sz="2" w:space="0"/>
            </w:tcBorders>
            <w:vAlign w:val="center"/>
          </w:tcPr>
          <w:p w14:paraId="308F82EE">
            <w:pPr>
              <w:pStyle w:val="58"/>
              <w:bidi w:val="0"/>
              <w:rPr>
                <w:rFonts w:hint="default"/>
                <w:highlight w:val="none"/>
              </w:rPr>
            </w:pPr>
            <w:r>
              <w:rPr>
                <w:rFonts w:hint="default"/>
                <w:highlight w:val="none"/>
                <w:lang w:val="en-US" w:eastAsia="zh-CN"/>
              </w:rPr>
              <w:t>9.99</w:t>
            </w:r>
          </w:p>
        </w:tc>
        <w:tc>
          <w:tcPr>
            <w:tcW w:w="425" w:type="pct"/>
            <w:tcBorders>
              <w:left w:val="single" w:color="000000" w:sz="2" w:space="0"/>
            </w:tcBorders>
            <w:vAlign w:val="center"/>
          </w:tcPr>
          <w:p w14:paraId="4B138CEE">
            <w:pPr>
              <w:pStyle w:val="58"/>
              <w:bidi w:val="0"/>
              <w:rPr>
                <w:rFonts w:hint="default"/>
                <w:highlight w:val="none"/>
              </w:rPr>
            </w:pPr>
            <w:r>
              <w:rPr>
                <w:rFonts w:hint="default"/>
                <w:highlight w:val="none"/>
                <w:lang w:val="en-US" w:eastAsia="zh-CN"/>
              </w:rPr>
              <w:t>4.725</w:t>
            </w:r>
          </w:p>
        </w:tc>
        <w:tc>
          <w:tcPr>
            <w:tcW w:w="703" w:type="dxa"/>
            <w:tcBorders>
              <w:right w:val="single" w:color="000000" w:sz="2" w:space="0"/>
            </w:tcBorders>
            <w:vAlign w:val="center"/>
          </w:tcPr>
          <w:p w14:paraId="78EA066A">
            <w:pPr>
              <w:pStyle w:val="58"/>
              <w:bidi w:val="0"/>
              <w:rPr>
                <w:rFonts w:hint="default"/>
                <w:highlight w:val="none"/>
              </w:rPr>
            </w:pPr>
            <w:r>
              <w:rPr>
                <w:rFonts w:hint="default"/>
                <w:highlight w:val="none"/>
                <w:lang w:val="en-US" w:eastAsia="zh-CN"/>
              </w:rPr>
              <w:t>0.48</w:t>
            </w:r>
          </w:p>
        </w:tc>
        <w:tc>
          <w:tcPr>
            <w:tcW w:w="442" w:type="pct"/>
            <w:tcBorders>
              <w:left w:val="single" w:color="000000" w:sz="2" w:space="0"/>
              <w:right w:val="single" w:color="000000" w:sz="2" w:space="0"/>
            </w:tcBorders>
            <w:vAlign w:val="center"/>
          </w:tcPr>
          <w:p w14:paraId="0A4B7837">
            <w:pPr>
              <w:pStyle w:val="58"/>
              <w:bidi w:val="0"/>
              <w:rPr>
                <w:rFonts w:hint="default"/>
                <w:highlight w:val="none"/>
              </w:rPr>
            </w:pPr>
            <w:r>
              <w:rPr>
                <w:rFonts w:hint="default"/>
                <w:highlight w:val="none"/>
                <w:lang w:val="en-US" w:eastAsia="zh-CN"/>
              </w:rPr>
              <w:t>1000000</w:t>
            </w:r>
          </w:p>
        </w:tc>
        <w:tc>
          <w:tcPr>
            <w:tcW w:w="389" w:type="pct"/>
            <w:tcBorders>
              <w:left w:val="single" w:color="000000" w:sz="2" w:space="0"/>
            </w:tcBorders>
            <w:vAlign w:val="center"/>
          </w:tcPr>
          <w:p w14:paraId="33E17915">
            <w:pPr>
              <w:pStyle w:val="58"/>
              <w:bidi w:val="0"/>
              <w:rPr>
                <w:rFonts w:hint="default"/>
                <w:highlight w:val="none"/>
              </w:rPr>
            </w:pPr>
            <w:r>
              <w:rPr>
                <w:rFonts w:hint="default"/>
                <w:highlight w:val="none"/>
                <w:lang w:val="en-US" w:eastAsia="zh-CN"/>
              </w:rPr>
              <w:t>0.057</w:t>
            </w:r>
          </w:p>
        </w:tc>
        <w:tc>
          <w:tcPr>
            <w:tcW w:w="404" w:type="pct"/>
            <w:tcBorders>
              <w:right w:val="single" w:color="000000" w:sz="2" w:space="0"/>
            </w:tcBorders>
            <w:vAlign w:val="center"/>
          </w:tcPr>
          <w:p w14:paraId="2AC6BEEC">
            <w:pPr>
              <w:pStyle w:val="58"/>
              <w:bidi w:val="0"/>
              <w:rPr>
                <w:rFonts w:hint="default"/>
                <w:highlight w:val="none"/>
              </w:rPr>
            </w:pPr>
            <w:r>
              <w:rPr>
                <w:rFonts w:hint="default"/>
                <w:highlight w:val="none"/>
                <w:lang w:val="en-US" w:eastAsia="zh-CN"/>
              </w:rPr>
              <w:t>0.42966</w:t>
            </w:r>
          </w:p>
        </w:tc>
        <w:tc>
          <w:tcPr>
            <w:tcW w:w="352" w:type="pct"/>
            <w:tcBorders>
              <w:left w:val="single" w:color="000000" w:sz="2" w:space="0"/>
            </w:tcBorders>
            <w:vAlign w:val="center"/>
          </w:tcPr>
          <w:p w14:paraId="57481D26">
            <w:pPr>
              <w:pStyle w:val="58"/>
              <w:bidi w:val="0"/>
              <w:rPr>
                <w:rFonts w:hint="default"/>
                <w:highlight w:val="none"/>
              </w:rPr>
            </w:pPr>
            <w:r>
              <w:rPr>
                <w:rFonts w:hint="default"/>
                <w:highlight w:val="none"/>
                <w:lang w:val="en-US" w:eastAsia="zh-CN"/>
              </w:rPr>
              <w:t>0.4525</w:t>
            </w:r>
          </w:p>
        </w:tc>
      </w:tr>
      <w:tr w14:paraId="33364E3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430" w:type="pct"/>
            <w:vMerge w:val="continue"/>
            <w:tcBorders>
              <w:top w:val="nil"/>
            </w:tcBorders>
            <w:vAlign w:val="center"/>
          </w:tcPr>
          <w:p w14:paraId="3F31F2FD">
            <w:pPr>
              <w:pStyle w:val="58"/>
              <w:bidi w:val="0"/>
              <w:rPr>
                <w:rFonts w:hint="default"/>
                <w:highlight w:val="none"/>
              </w:rPr>
            </w:pPr>
          </w:p>
        </w:tc>
        <w:tc>
          <w:tcPr>
            <w:tcW w:w="592" w:type="pct"/>
            <w:vAlign w:val="center"/>
          </w:tcPr>
          <w:p w14:paraId="24ECA70E">
            <w:pPr>
              <w:pStyle w:val="58"/>
              <w:bidi w:val="0"/>
              <w:rPr>
                <w:rFonts w:hint="default"/>
                <w:highlight w:val="none"/>
              </w:rPr>
            </w:pPr>
            <w:r>
              <w:rPr>
                <w:rFonts w:hint="default"/>
                <w:highlight w:val="none"/>
                <w:lang w:val="en-US" w:eastAsia="zh-CN"/>
              </w:rPr>
              <w:t>处理率</w:t>
            </w:r>
          </w:p>
        </w:tc>
        <w:tc>
          <w:tcPr>
            <w:tcW w:w="411" w:type="pct"/>
            <w:vAlign w:val="center"/>
          </w:tcPr>
          <w:p w14:paraId="6B60D628">
            <w:pPr>
              <w:pStyle w:val="58"/>
              <w:bidi w:val="0"/>
              <w:rPr>
                <w:rFonts w:hint="default"/>
                <w:highlight w:val="none"/>
              </w:rPr>
            </w:pPr>
            <w:r>
              <w:rPr>
                <w:rFonts w:hint="default"/>
                <w:highlight w:val="none"/>
                <w:lang w:val="en-US" w:eastAsia="zh-CN"/>
              </w:rPr>
              <w:t>20%</w:t>
            </w:r>
          </w:p>
        </w:tc>
        <w:tc>
          <w:tcPr>
            <w:tcW w:w="430" w:type="pct"/>
            <w:vAlign w:val="center"/>
          </w:tcPr>
          <w:p w14:paraId="04BC27A7">
            <w:pPr>
              <w:pStyle w:val="58"/>
              <w:bidi w:val="0"/>
              <w:rPr>
                <w:rFonts w:hint="default"/>
                <w:highlight w:val="none"/>
              </w:rPr>
            </w:pPr>
            <w:r>
              <w:rPr>
                <w:rFonts w:hint="default"/>
                <w:highlight w:val="none"/>
                <w:lang w:val="en-US" w:eastAsia="zh-CN"/>
              </w:rPr>
              <w:t>28.60%</w:t>
            </w:r>
          </w:p>
        </w:tc>
        <w:tc>
          <w:tcPr>
            <w:tcW w:w="367" w:type="pct"/>
            <w:vAlign w:val="center"/>
          </w:tcPr>
          <w:p w14:paraId="27D541C7">
            <w:pPr>
              <w:pStyle w:val="58"/>
              <w:bidi w:val="0"/>
              <w:rPr>
                <w:rFonts w:hint="default"/>
                <w:highlight w:val="none"/>
              </w:rPr>
            </w:pPr>
            <w:r>
              <w:rPr>
                <w:rFonts w:hint="default"/>
                <w:highlight w:val="none"/>
                <w:lang w:val="en-US" w:eastAsia="zh-CN"/>
              </w:rPr>
              <w:t>50%</w:t>
            </w:r>
          </w:p>
        </w:tc>
        <w:tc>
          <w:tcPr>
            <w:tcW w:w="367" w:type="pct"/>
            <w:tcBorders>
              <w:right w:val="single" w:color="000000" w:sz="2" w:space="0"/>
            </w:tcBorders>
            <w:vAlign w:val="center"/>
          </w:tcPr>
          <w:p w14:paraId="5312D153">
            <w:pPr>
              <w:pStyle w:val="58"/>
              <w:bidi w:val="0"/>
              <w:rPr>
                <w:rFonts w:hint="default"/>
                <w:highlight w:val="none"/>
              </w:rPr>
            </w:pPr>
            <w:r>
              <w:rPr>
                <w:rFonts w:hint="default"/>
                <w:highlight w:val="none"/>
                <w:lang w:val="en-US" w:eastAsia="zh-CN"/>
              </w:rPr>
              <w:t>0%</w:t>
            </w:r>
          </w:p>
        </w:tc>
        <w:tc>
          <w:tcPr>
            <w:tcW w:w="425" w:type="pct"/>
            <w:tcBorders>
              <w:left w:val="single" w:color="000000" w:sz="2" w:space="0"/>
            </w:tcBorders>
            <w:vAlign w:val="center"/>
          </w:tcPr>
          <w:p w14:paraId="48DE6347">
            <w:pPr>
              <w:pStyle w:val="58"/>
              <w:bidi w:val="0"/>
              <w:rPr>
                <w:rFonts w:hint="default"/>
                <w:highlight w:val="none"/>
              </w:rPr>
            </w:pPr>
            <w:r>
              <w:rPr>
                <w:rFonts w:hint="default"/>
                <w:highlight w:val="none"/>
                <w:lang w:val="en-US" w:eastAsia="zh-CN"/>
              </w:rPr>
              <w:t>0%</w:t>
            </w:r>
          </w:p>
        </w:tc>
        <w:tc>
          <w:tcPr>
            <w:tcW w:w="703" w:type="dxa"/>
            <w:tcBorders>
              <w:right w:val="single" w:color="000000" w:sz="2" w:space="0"/>
            </w:tcBorders>
            <w:vAlign w:val="center"/>
          </w:tcPr>
          <w:p w14:paraId="2CF63158">
            <w:pPr>
              <w:pStyle w:val="58"/>
              <w:bidi w:val="0"/>
              <w:rPr>
                <w:rFonts w:hint="default"/>
                <w:highlight w:val="none"/>
              </w:rPr>
            </w:pPr>
            <w:r>
              <w:rPr>
                <w:rFonts w:hint="default"/>
                <w:highlight w:val="none"/>
                <w:lang w:val="en-US" w:eastAsia="zh-CN"/>
              </w:rPr>
              <w:t>80%</w:t>
            </w:r>
          </w:p>
        </w:tc>
        <w:tc>
          <w:tcPr>
            <w:tcW w:w="442" w:type="pct"/>
            <w:tcBorders>
              <w:left w:val="single" w:color="000000" w:sz="2" w:space="0"/>
              <w:right w:val="single" w:color="000000" w:sz="2" w:space="0"/>
            </w:tcBorders>
            <w:vAlign w:val="center"/>
          </w:tcPr>
          <w:p w14:paraId="71A0A031">
            <w:pPr>
              <w:pStyle w:val="58"/>
              <w:bidi w:val="0"/>
              <w:rPr>
                <w:rFonts w:hint="default"/>
                <w:highlight w:val="none"/>
              </w:rPr>
            </w:pPr>
            <w:r>
              <w:rPr>
                <w:rFonts w:hint="default"/>
                <w:highlight w:val="none"/>
                <w:lang w:val="en-US" w:eastAsia="zh-CN"/>
              </w:rPr>
              <w:t>0%</w:t>
            </w:r>
          </w:p>
        </w:tc>
        <w:tc>
          <w:tcPr>
            <w:tcW w:w="389" w:type="pct"/>
            <w:tcBorders>
              <w:left w:val="single" w:color="000000" w:sz="2" w:space="0"/>
            </w:tcBorders>
            <w:vAlign w:val="center"/>
          </w:tcPr>
          <w:p w14:paraId="605CFDDC">
            <w:pPr>
              <w:pStyle w:val="58"/>
              <w:bidi w:val="0"/>
              <w:rPr>
                <w:rFonts w:hint="default"/>
                <w:highlight w:val="none"/>
              </w:rPr>
            </w:pPr>
            <w:r>
              <w:rPr>
                <w:rFonts w:hint="default"/>
                <w:highlight w:val="none"/>
                <w:lang w:val="en-US" w:eastAsia="zh-CN"/>
              </w:rPr>
              <w:t>25%</w:t>
            </w:r>
          </w:p>
        </w:tc>
        <w:tc>
          <w:tcPr>
            <w:tcW w:w="404" w:type="pct"/>
            <w:tcBorders>
              <w:right w:val="single" w:color="000000" w:sz="2" w:space="0"/>
            </w:tcBorders>
            <w:vAlign w:val="center"/>
          </w:tcPr>
          <w:p w14:paraId="7C5E1028">
            <w:pPr>
              <w:pStyle w:val="58"/>
              <w:bidi w:val="0"/>
              <w:rPr>
                <w:rFonts w:hint="default"/>
                <w:highlight w:val="none"/>
              </w:rPr>
            </w:pPr>
            <w:r>
              <w:rPr>
                <w:rFonts w:hint="default"/>
                <w:highlight w:val="none"/>
                <w:lang w:val="en-US" w:eastAsia="zh-CN"/>
              </w:rPr>
              <w:t>34%</w:t>
            </w:r>
          </w:p>
        </w:tc>
        <w:tc>
          <w:tcPr>
            <w:tcW w:w="352" w:type="pct"/>
            <w:tcBorders>
              <w:left w:val="single" w:color="000000" w:sz="2" w:space="0"/>
            </w:tcBorders>
            <w:vAlign w:val="center"/>
          </w:tcPr>
          <w:p w14:paraId="3019D0D1">
            <w:pPr>
              <w:pStyle w:val="58"/>
              <w:bidi w:val="0"/>
              <w:rPr>
                <w:rFonts w:hint="default"/>
                <w:highlight w:val="none"/>
              </w:rPr>
            </w:pPr>
            <w:r>
              <w:rPr>
                <w:rFonts w:hint="default"/>
                <w:highlight w:val="none"/>
                <w:lang w:val="en-US" w:eastAsia="zh-CN"/>
              </w:rPr>
              <w:t>75%</w:t>
            </w:r>
          </w:p>
        </w:tc>
      </w:tr>
      <w:tr w14:paraId="355EBE7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286" w:hRule="atLeast"/>
        </w:trPr>
        <w:tc>
          <w:tcPr>
            <w:tcW w:w="430" w:type="pct"/>
            <w:vMerge w:val="restart"/>
            <w:tcBorders>
              <w:bottom w:val="nil"/>
            </w:tcBorders>
            <w:vAlign w:val="center"/>
          </w:tcPr>
          <w:p w14:paraId="306B7953">
            <w:pPr>
              <w:pStyle w:val="58"/>
              <w:bidi w:val="0"/>
              <w:rPr>
                <w:rFonts w:hint="default"/>
                <w:highlight w:val="none"/>
              </w:rPr>
            </w:pPr>
            <w:r>
              <w:rPr>
                <w:rFonts w:hint="eastAsia"/>
                <w:highlight w:val="none"/>
                <w:lang w:val="en-US" w:eastAsia="zh-CN"/>
              </w:rPr>
              <w:t>砂滤</w:t>
            </w:r>
            <w:r>
              <w:rPr>
                <w:rFonts w:hint="default"/>
                <w:highlight w:val="none"/>
                <w:lang w:val="en-US" w:eastAsia="zh-CN"/>
              </w:rPr>
              <w:t>池</w:t>
            </w:r>
          </w:p>
        </w:tc>
        <w:tc>
          <w:tcPr>
            <w:tcW w:w="592" w:type="pct"/>
            <w:vAlign w:val="center"/>
          </w:tcPr>
          <w:p w14:paraId="17837E85">
            <w:pPr>
              <w:pStyle w:val="58"/>
              <w:bidi w:val="0"/>
              <w:rPr>
                <w:rFonts w:hint="default"/>
                <w:highlight w:val="none"/>
              </w:rPr>
            </w:pPr>
            <w:r>
              <w:rPr>
                <w:rFonts w:hint="default"/>
                <w:highlight w:val="none"/>
                <w:lang w:val="en-US" w:eastAsia="zh-CN"/>
              </w:rPr>
              <w:t>进水水质</w:t>
            </w:r>
          </w:p>
        </w:tc>
        <w:tc>
          <w:tcPr>
            <w:tcW w:w="411" w:type="pct"/>
            <w:vAlign w:val="center"/>
          </w:tcPr>
          <w:p w14:paraId="51E47B65">
            <w:pPr>
              <w:pStyle w:val="58"/>
              <w:bidi w:val="0"/>
              <w:rPr>
                <w:rFonts w:hint="default"/>
                <w:highlight w:val="none"/>
              </w:rPr>
            </w:pPr>
            <w:r>
              <w:rPr>
                <w:rFonts w:hint="default"/>
                <w:highlight w:val="none"/>
                <w:lang w:val="en-US" w:eastAsia="zh-CN"/>
              </w:rPr>
              <w:t>38.92</w:t>
            </w:r>
          </w:p>
        </w:tc>
        <w:tc>
          <w:tcPr>
            <w:tcW w:w="430" w:type="pct"/>
            <w:vAlign w:val="center"/>
          </w:tcPr>
          <w:p w14:paraId="5C68D9D6">
            <w:pPr>
              <w:pStyle w:val="58"/>
              <w:bidi w:val="0"/>
              <w:rPr>
                <w:rFonts w:hint="default"/>
                <w:highlight w:val="none"/>
              </w:rPr>
            </w:pPr>
            <w:r>
              <w:rPr>
                <w:rFonts w:hint="default"/>
                <w:highlight w:val="none"/>
                <w:lang w:val="en-US" w:eastAsia="zh-CN"/>
              </w:rPr>
              <w:t>4.998</w:t>
            </w:r>
          </w:p>
        </w:tc>
        <w:tc>
          <w:tcPr>
            <w:tcW w:w="367" w:type="pct"/>
            <w:vAlign w:val="center"/>
          </w:tcPr>
          <w:p w14:paraId="791CB733">
            <w:pPr>
              <w:pStyle w:val="58"/>
              <w:bidi w:val="0"/>
              <w:rPr>
                <w:rFonts w:hint="default"/>
                <w:highlight w:val="none"/>
              </w:rPr>
            </w:pPr>
            <w:r>
              <w:rPr>
                <w:rFonts w:hint="default"/>
                <w:highlight w:val="none"/>
                <w:lang w:val="en-US" w:eastAsia="zh-CN"/>
              </w:rPr>
              <w:t>11.25</w:t>
            </w:r>
          </w:p>
        </w:tc>
        <w:tc>
          <w:tcPr>
            <w:tcW w:w="367" w:type="pct"/>
            <w:tcBorders>
              <w:right w:val="single" w:color="000000" w:sz="2" w:space="0"/>
            </w:tcBorders>
            <w:vAlign w:val="center"/>
          </w:tcPr>
          <w:p w14:paraId="1621AF6F">
            <w:pPr>
              <w:pStyle w:val="58"/>
              <w:bidi w:val="0"/>
              <w:rPr>
                <w:rFonts w:hint="default"/>
                <w:highlight w:val="none"/>
              </w:rPr>
            </w:pPr>
            <w:r>
              <w:rPr>
                <w:rFonts w:hint="default"/>
                <w:highlight w:val="none"/>
                <w:lang w:val="en-US" w:eastAsia="zh-CN"/>
              </w:rPr>
              <w:t>9.99</w:t>
            </w:r>
          </w:p>
        </w:tc>
        <w:tc>
          <w:tcPr>
            <w:tcW w:w="425" w:type="pct"/>
            <w:tcBorders>
              <w:left w:val="single" w:color="000000" w:sz="2" w:space="0"/>
            </w:tcBorders>
            <w:vAlign w:val="center"/>
          </w:tcPr>
          <w:p w14:paraId="247C0B19">
            <w:pPr>
              <w:pStyle w:val="58"/>
              <w:bidi w:val="0"/>
              <w:rPr>
                <w:rFonts w:hint="default"/>
                <w:highlight w:val="none"/>
              </w:rPr>
            </w:pPr>
            <w:r>
              <w:rPr>
                <w:rFonts w:hint="default"/>
                <w:highlight w:val="none"/>
                <w:lang w:val="en-US" w:eastAsia="zh-CN"/>
              </w:rPr>
              <w:t>4.725</w:t>
            </w:r>
          </w:p>
        </w:tc>
        <w:tc>
          <w:tcPr>
            <w:tcW w:w="703" w:type="dxa"/>
            <w:tcBorders>
              <w:right w:val="single" w:color="000000" w:sz="2" w:space="0"/>
            </w:tcBorders>
            <w:vAlign w:val="center"/>
          </w:tcPr>
          <w:p w14:paraId="7BF3926C">
            <w:pPr>
              <w:pStyle w:val="58"/>
              <w:bidi w:val="0"/>
              <w:rPr>
                <w:rFonts w:hint="default"/>
                <w:highlight w:val="none"/>
              </w:rPr>
            </w:pPr>
            <w:r>
              <w:rPr>
                <w:rFonts w:hint="default"/>
                <w:highlight w:val="none"/>
                <w:lang w:val="en-US" w:eastAsia="zh-CN"/>
              </w:rPr>
              <w:t>0.48</w:t>
            </w:r>
          </w:p>
        </w:tc>
        <w:tc>
          <w:tcPr>
            <w:tcW w:w="442" w:type="pct"/>
            <w:tcBorders>
              <w:left w:val="single" w:color="000000" w:sz="2" w:space="0"/>
              <w:right w:val="single" w:color="000000" w:sz="2" w:space="0"/>
            </w:tcBorders>
            <w:vAlign w:val="center"/>
          </w:tcPr>
          <w:p w14:paraId="42E343CB">
            <w:pPr>
              <w:pStyle w:val="58"/>
              <w:bidi w:val="0"/>
              <w:rPr>
                <w:rFonts w:hint="default"/>
                <w:highlight w:val="none"/>
              </w:rPr>
            </w:pPr>
            <w:r>
              <w:rPr>
                <w:rFonts w:hint="default"/>
                <w:highlight w:val="none"/>
                <w:lang w:val="en-US" w:eastAsia="zh-CN"/>
              </w:rPr>
              <w:t>1000000</w:t>
            </w:r>
          </w:p>
        </w:tc>
        <w:tc>
          <w:tcPr>
            <w:tcW w:w="389" w:type="pct"/>
            <w:tcBorders>
              <w:left w:val="single" w:color="000000" w:sz="2" w:space="0"/>
            </w:tcBorders>
            <w:vAlign w:val="center"/>
          </w:tcPr>
          <w:p w14:paraId="335E7827">
            <w:pPr>
              <w:pStyle w:val="58"/>
              <w:bidi w:val="0"/>
              <w:rPr>
                <w:rFonts w:hint="default"/>
                <w:highlight w:val="none"/>
              </w:rPr>
            </w:pPr>
            <w:r>
              <w:rPr>
                <w:rFonts w:hint="default"/>
                <w:highlight w:val="none"/>
                <w:lang w:val="en-US" w:eastAsia="zh-CN"/>
              </w:rPr>
              <w:t>0.057</w:t>
            </w:r>
          </w:p>
        </w:tc>
        <w:tc>
          <w:tcPr>
            <w:tcW w:w="404" w:type="pct"/>
            <w:tcBorders>
              <w:right w:val="single" w:color="000000" w:sz="2" w:space="0"/>
            </w:tcBorders>
            <w:vAlign w:val="center"/>
          </w:tcPr>
          <w:p w14:paraId="49D21D61">
            <w:pPr>
              <w:pStyle w:val="58"/>
              <w:bidi w:val="0"/>
              <w:rPr>
                <w:rFonts w:hint="default"/>
                <w:highlight w:val="none"/>
              </w:rPr>
            </w:pPr>
            <w:r>
              <w:rPr>
                <w:rFonts w:hint="default"/>
                <w:highlight w:val="none"/>
                <w:lang w:val="en-US" w:eastAsia="zh-CN"/>
              </w:rPr>
              <w:t>0.42966</w:t>
            </w:r>
          </w:p>
        </w:tc>
        <w:tc>
          <w:tcPr>
            <w:tcW w:w="352" w:type="pct"/>
            <w:tcBorders>
              <w:left w:val="single" w:color="000000" w:sz="2" w:space="0"/>
            </w:tcBorders>
            <w:vAlign w:val="center"/>
          </w:tcPr>
          <w:p w14:paraId="43A1C0B5">
            <w:pPr>
              <w:pStyle w:val="58"/>
              <w:bidi w:val="0"/>
              <w:rPr>
                <w:rFonts w:hint="default"/>
                <w:highlight w:val="none"/>
              </w:rPr>
            </w:pPr>
            <w:r>
              <w:rPr>
                <w:rFonts w:hint="default"/>
                <w:highlight w:val="none"/>
                <w:lang w:val="en-US" w:eastAsia="zh-CN"/>
              </w:rPr>
              <w:t>0.4525</w:t>
            </w:r>
          </w:p>
        </w:tc>
      </w:tr>
      <w:tr w14:paraId="5A239DA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430" w:type="pct"/>
            <w:vMerge w:val="continue"/>
            <w:tcBorders>
              <w:top w:val="nil"/>
              <w:bottom w:val="nil"/>
            </w:tcBorders>
            <w:vAlign w:val="center"/>
          </w:tcPr>
          <w:p w14:paraId="6D46C332">
            <w:pPr>
              <w:pStyle w:val="58"/>
              <w:bidi w:val="0"/>
              <w:rPr>
                <w:rFonts w:hint="default"/>
                <w:highlight w:val="none"/>
              </w:rPr>
            </w:pPr>
          </w:p>
        </w:tc>
        <w:tc>
          <w:tcPr>
            <w:tcW w:w="592" w:type="pct"/>
            <w:vAlign w:val="center"/>
          </w:tcPr>
          <w:p w14:paraId="5C7CA721">
            <w:pPr>
              <w:pStyle w:val="58"/>
              <w:bidi w:val="0"/>
              <w:rPr>
                <w:rFonts w:hint="default"/>
                <w:highlight w:val="none"/>
              </w:rPr>
            </w:pPr>
            <w:r>
              <w:rPr>
                <w:rFonts w:hint="default"/>
                <w:highlight w:val="none"/>
                <w:lang w:val="en-US" w:eastAsia="zh-CN"/>
              </w:rPr>
              <w:t>出水水质</w:t>
            </w:r>
          </w:p>
        </w:tc>
        <w:tc>
          <w:tcPr>
            <w:tcW w:w="411" w:type="pct"/>
            <w:vAlign w:val="center"/>
          </w:tcPr>
          <w:p w14:paraId="65C3C0FD">
            <w:pPr>
              <w:pStyle w:val="58"/>
              <w:bidi w:val="0"/>
              <w:rPr>
                <w:rFonts w:hint="default"/>
                <w:highlight w:val="none"/>
              </w:rPr>
            </w:pPr>
            <w:r>
              <w:rPr>
                <w:rFonts w:hint="default"/>
                <w:highlight w:val="none"/>
                <w:lang w:val="en-US" w:eastAsia="zh-CN"/>
              </w:rPr>
              <w:t>38.92</w:t>
            </w:r>
          </w:p>
        </w:tc>
        <w:tc>
          <w:tcPr>
            <w:tcW w:w="430" w:type="pct"/>
            <w:vAlign w:val="center"/>
          </w:tcPr>
          <w:p w14:paraId="339897EE">
            <w:pPr>
              <w:pStyle w:val="58"/>
              <w:bidi w:val="0"/>
              <w:rPr>
                <w:rFonts w:hint="default"/>
                <w:highlight w:val="none"/>
              </w:rPr>
            </w:pPr>
            <w:r>
              <w:rPr>
                <w:rFonts w:hint="default"/>
                <w:highlight w:val="none"/>
                <w:lang w:val="en-US" w:eastAsia="zh-CN"/>
              </w:rPr>
              <w:t>4.998</w:t>
            </w:r>
          </w:p>
        </w:tc>
        <w:tc>
          <w:tcPr>
            <w:tcW w:w="367" w:type="pct"/>
            <w:vAlign w:val="center"/>
          </w:tcPr>
          <w:p w14:paraId="233D9539">
            <w:pPr>
              <w:pStyle w:val="58"/>
              <w:bidi w:val="0"/>
              <w:rPr>
                <w:rFonts w:hint="default"/>
                <w:highlight w:val="none"/>
              </w:rPr>
            </w:pPr>
            <w:r>
              <w:rPr>
                <w:rFonts w:hint="default"/>
                <w:highlight w:val="none"/>
                <w:lang w:val="en-US" w:eastAsia="zh-CN"/>
              </w:rPr>
              <w:t>9.3375</w:t>
            </w:r>
          </w:p>
        </w:tc>
        <w:tc>
          <w:tcPr>
            <w:tcW w:w="367" w:type="pct"/>
            <w:tcBorders>
              <w:right w:val="single" w:color="000000" w:sz="2" w:space="0"/>
            </w:tcBorders>
            <w:vAlign w:val="center"/>
          </w:tcPr>
          <w:p w14:paraId="26FDFB3B">
            <w:pPr>
              <w:pStyle w:val="58"/>
              <w:bidi w:val="0"/>
              <w:rPr>
                <w:rFonts w:hint="default"/>
                <w:highlight w:val="none"/>
              </w:rPr>
            </w:pPr>
            <w:r>
              <w:rPr>
                <w:rFonts w:hint="default"/>
                <w:highlight w:val="none"/>
                <w:lang w:val="en-US" w:eastAsia="zh-CN"/>
              </w:rPr>
              <w:t>9.99</w:t>
            </w:r>
          </w:p>
        </w:tc>
        <w:tc>
          <w:tcPr>
            <w:tcW w:w="425" w:type="pct"/>
            <w:tcBorders>
              <w:left w:val="single" w:color="000000" w:sz="2" w:space="0"/>
            </w:tcBorders>
            <w:vAlign w:val="center"/>
          </w:tcPr>
          <w:p w14:paraId="6F30EAFF">
            <w:pPr>
              <w:pStyle w:val="58"/>
              <w:bidi w:val="0"/>
              <w:rPr>
                <w:rFonts w:hint="default"/>
                <w:highlight w:val="none"/>
              </w:rPr>
            </w:pPr>
            <w:r>
              <w:rPr>
                <w:rFonts w:hint="default"/>
                <w:highlight w:val="none"/>
                <w:lang w:val="en-US" w:eastAsia="zh-CN"/>
              </w:rPr>
              <w:t>4.725</w:t>
            </w:r>
          </w:p>
        </w:tc>
        <w:tc>
          <w:tcPr>
            <w:tcW w:w="703" w:type="dxa"/>
            <w:tcBorders>
              <w:right w:val="single" w:color="000000" w:sz="2" w:space="0"/>
            </w:tcBorders>
            <w:vAlign w:val="center"/>
          </w:tcPr>
          <w:p w14:paraId="6C3620D0">
            <w:pPr>
              <w:pStyle w:val="58"/>
              <w:bidi w:val="0"/>
              <w:rPr>
                <w:rFonts w:hint="default"/>
                <w:highlight w:val="none"/>
              </w:rPr>
            </w:pPr>
            <w:r>
              <w:rPr>
                <w:rFonts w:hint="default"/>
                <w:highlight w:val="none"/>
                <w:lang w:val="en-US" w:eastAsia="zh-CN"/>
              </w:rPr>
              <w:t>0.3984</w:t>
            </w:r>
          </w:p>
        </w:tc>
        <w:tc>
          <w:tcPr>
            <w:tcW w:w="442" w:type="pct"/>
            <w:tcBorders>
              <w:left w:val="single" w:color="000000" w:sz="2" w:space="0"/>
              <w:right w:val="single" w:color="000000" w:sz="2" w:space="0"/>
            </w:tcBorders>
            <w:vAlign w:val="center"/>
          </w:tcPr>
          <w:p w14:paraId="35DC11C9">
            <w:pPr>
              <w:pStyle w:val="58"/>
              <w:bidi w:val="0"/>
              <w:rPr>
                <w:rFonts w:hint="default"/>
                <w:highlight w:val="none"/>
              </w:rPr>
            </w:pPr>
            <w:r>
              <w:rPr>
                <w:rFonts w:hint="default"/>
                <w:highlight w:val="none"/>
                <w:lang w:val="en-US" w:eastAsia="zh-CN"/>
              </w:rPr>
              <w:t>1000000</w:t>
            </w:r>
          </w:p>
        </w:tc>
        <w:tc>
          <w:tcPr>
            <w:tcW w:w="389" w:type="pct"/>
            <w:tcBorders>
              <w:left w:val="single" w:color="000000" w:sz="2" w:space="0"/>
            </w:tcBorders>
            <w:vAlign w:val="center"/>
          </w:tcPr>
          <w:p w14:paraId="54197606">
            <w:pPr>
              <w:pStyle w:val="58"/>
              <w:bidi w:val="0"/>
              <w:rPr>
                <w:rFonts w:hint="default"/>
                <w:highlight w:val="none"/>
              </w:rPr>
            </w:pPr>
            <w:r>
              <w:rPr>
                <w:rFonts w:hint="default"/>
                <w:highlight w:val="none"/>
                <w:lang w:val="en-US" w:eastAsia="zh-CN"/>
              </w:rPr>
              <w:t>0.057</w:t>
            </w:r>
          </w:p>
        </w:tc>
        <w:tc>
          <w:tcPr>
            <w:tcW w:w="404" w:type="pct"/>
            <w:tcBorders>
              <w:right w:val="single" w:color="000000" w:sz="2" w:space="0"/>
            </w:tcBorders>
            <w:vAlign w:val="center"/>
          </w:tcPr>
          <w:p w14:paraId="75871C91">
            <w:pPr>
              <w:pStyle w:val="58"/>
              <w:bidi w:val="0"/>
              <w:rPr>
                <w:rFonts w:hint="default"/>
                <w:highlight w:val="none"/>
              </w:rPr>
            </w:pPr>
            <w:r>
              <w:rPr>
                <w:rFonts w:hint="default"/>
                <w:highlight w:val="none"/>
                <w:lang w:val="en-US" w:eastAsia="zh-CN"/>
              </w:rPr>
              <w:t>0.42966</w:t>
            </w:r>
          </w:p>
        </w:tc>
        <w:tc>
          <w:tcPr>
            <w:tcW w:w="352" w:type="pct"/>
            <w:tcBorders>
              <w:left w:val="single" w:color="000000" w:sz="2" w:space="0"/>
            </w:tcBorders>
            <w:vAlign w:val="center"/>
          </w:tcPr>
          <w:p w14:paraId="34635DC8">
            <w:pPr>
              <w:pStyle w:val="58"/>
              <w:bidi w:val="0"/>
              <w:rPr>
                <w:rFonts w:hint="default"/>
                <w:highlight w:val="none"/>
              </w:rPr>
            </w:pPr>
            <w:r>
              <w:rPr>
                <w:rFonts w:hint="default"/>
                <w:highlight w:val="none"/>
                <w:lang w:val="en-US" w:eastAsia="zh-CN"/>
              </w:rPr>
              <w:t>0.4525</w:t>
            </w:r>
          </w:p>
        </w:tc>
      </w:tr>
      <w:tr w14:paraId="656CC495">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286" w:hRule="atLeast"/>
        </w:trPr>
        <w:tc>
          <w:tcPr>
            <w:tcW w:w="430" w:type="pct"/>
            <w:vMerge w:val="continue"/>
            <w:tcBorders>
              <w:top w:val="nil"/>
            </w:tcBorders>
            <w:vAlign w:val="center"/>
          </w:tcPr>
          <w:p w14:paraId="7E6EA892">
            <w:pPr>
              <w:pStyle w:val="58"/>
              <w:bidi w:val="0"/>
              <w:rPr>
                <w:rFonts w:hint="default"/>
                <w:highlight w:val="none"/>
              </w:rPr>
            </w:pPr>
          </w:p>
        </w:tc>
        <w:tc>
          <w:tcPr>
            <w:tcW w:w="592" w:type="pct"/>
            <w:vAlign w:val="center"/>
          </w:tcPr>
          <w:p w14:paraId="2A9CA9E2">
            <w:pPr>
              <w:pStyle w:val="58"/>
              <w:bidi w:val="0"/>
              <w:rPr>
                <w:rFonts w:hint="default"/>
                <w:highlight w:val="none"/>
              </w:rPr>
            </w:pPr>
            <w:r>
              <w:rPr>
                <w:rFonts w:hint="default"/>
                <w:highlight w:val="none"/>
                <w:lang w:val="en-US" w:eastAsia="zh-CN"/>
              </w:rPr>
              <w:t>处理率</w:t>
            </w:r>
          </w:p>
        </w:tc>
        <w:tc>
          <w:tcPr>
            <w:tcW w:w="411" w:type="pct"/>
            <w:vAlign w:val="center"/>
          </w:tcPr>
          <w:p w14:paraId="0F85A734">
            <w:pPr>
              <w:pStyle w:val="58"/>
              <w:bidi w:val="0"/>
              <w:rPr>
                <w:rFonts w:hint="default"/>
                <w:highlight w:val="none"/>
              </w:rPr>
            </w:pPr>
            <w:r>
              <w:rPr>
                <w:rFonts w:hint="default"/>
                <w:highlight w:val="none"/>
                <w:lang w:val="en-US" w:eastAsia="zh-CN"/>
              </w:rPr>
              <w:t>0%</w:t>
            </w:r>
          </w:p>
        </w:tc>
        <w:tc>
          <w:tcPr>
            <w:tcW w:w="430" w:type="pct"/>
            <w:vAlign w:val="center"/>
          </w:tcPr>
          <w:p w14:paraId="564C054B">
            <w:pPr>
              <w:pStyle w:val="58"/>
              <w:bidi w:val="0"/>
              <w:rPr>
                <w:rFonts w:hint="default"/>
                <w:highlight w:val="none"/>
              </w:rPr>
            </w:pPr>
            <w:r>
              <w:rPr>
                <w:rFonts w:hint="default"/>
                <w:highlight w:val="none"/>
                <w:lang w:val="en-US" w:eastAsia="zh-CN"/>
              </w:rPr>
              <w:t>0%</w:t>
            </w:r>
          </w:p>
        </w:tc>
        <w:tc>
          <w:tcPr>
            <w:tcW w:w="367" w:type="pct"/>
            <w:vAlign w:val="center"/>
          </w:tcPr>
          <w:p w14:paraId="4A171F17">
            <w:pPr>
              <w:pStyle w:val="58"/>
              <w:bidi w:val="0"/>
              <w:rPr>
                <w:rFonts w:hint="default"/>
                <w:highlight w:val="none"/>
              </w:rPr>
            </w:pPr>
            <w:r>
              <w:rPr>
                <w:rFonts w:hint="default"/>
                <w:highlight w:val="none"/>
                <w:lang w:val="en-US" w:eastAsia="zh-CN"/>
              </w:rPr>
              <w:t>17%</w:t>
            </w:r>
          </w:p>
        </w:tc>
        <w:tc>
          <w:tcPr>
            <w:tcW w:w="367" w:type="pct"/>
            <w:tcBorders>
              <w:right w:val="single" w:color="000000" w:sz="2" w:space="0"/>
            </w:tcBorders>
            <w:vAlign w:val="center"/>
          </w:tcPr>
          <w:p w14:paraId="18E49506">
            <w:pPr>
              <w:pStyle w:val="58"/>
              <w:bidi w:val="0"/>
              <w:rPr>
                <w:rFonts w:hint="default"/>
                <w:highlight w:val="none"/>
              </w:rPr>
            </w:pPr>
            <w:r>
              <w:rPr>
                <w:rFonts w:hint="default"/>
                <w:highlight w:val="none"/>
                <w:lang w:val="en-US" w:eastAsia="zh-CN"/>
              </w:rPr>
              <w:t>0%</w:t>
            </w:r>
          </w:p>
        </w:tc>
        <w:tc>
          <w:tcPr>
            <w:tcW w:w="425" w:type="pct"/>
            <w:tcBorders>
              <w:left w:val="single" w:color="000000" w:sz="2" w:space="0"/>
            </w:tcBorders>
            <w:vAlign w:val="center"/>
          </w:tcPr>
          <w:p w14:paraId="0B9A57B4">
            <w:pPr>
              <w:pStyle w:val="58"/>
              <w:bidi w:val="0"/>
              <w:rPr>
                <w:rFonts w:hint="default"/>
                <w:highlight w:val="none"/>
              </w:rPr>
            </w:pPr>
            <w:r>
              <w:rPr>
                <w:rFonts w:hint="default"/>
                <w:highlight w:val="none"/>
                <w:lang w:val="en-US" w:eastAsia="zh-CN"/>
              </w:rPr>
              <w:t>0%</w:t>
            </w:r>
          </w:p>
        </w:tc>
        <w:tc>
          <w:tcPr>
            <w:tcW w:w="703" w:type="dxa"/>
            <w:tcBorders>
              <w:right w:val="single" w:color="000000" w:sz="2" w:space="0"/>
            </w:tcBorders>
            <w:vAlign w:val="center"/>
          </w:tcPr>
          <w:p w14:paraId="2A29F138">
            <w:pPr>
              <w:pStyle w:val="58"/>
              <w:bidi w:val="0"/>
              <w:rPr>
                <w:rFonts w:hint="default"/>
                <w:highlight w:val="none"/>
              </w:rPr>
            </w:pPr>
            <w:r>
              <w:rPr>
                <w:rFonts w:hint="default"/>
                <w:highlight w:val="none"/>
                <w:lang w:val="en-US" w:eastAsia="zh-CN"/>
              </w:rPr>
              <w:t>17%</w:t>
            </w:r>
          </w:p>
        </w:tc>
        <w:tc>
          <w:tcPr>
            <w:tcW w:w="442" w:type="pct"/>
            <w:tcBorders>
              <w:left w:val="single" w:color="000000" w:sz="2" w:space="0"/>
              <w:right w:val="single" w:color="000000" w:sz="2" w:space="0"/>
            </w:tcBorders>
            <w:vAlign w:val="center"/>
          </w:tcPr>
          <w:p w14:paraId="511EB2C5">
            <w:pPr>
              <w:pStyle w:val="58"/>
              <w:bidi w:val="0"/>
              <w:rPr>
                <w:rFonts w:hint="default"/>
                <w:highlight w:val="none"/>
              </w:rPr>
            </w:pPr>
            <w:r>
              <w:rPr>
                <w:rFonts w:hint="default"/>
                <w:highlight w:val="none"/>
                <w:lang w:val="en-US" w:eastAsia="zh-CN"/>
              </w:rPr>
              <w:t>0%</w:t>
            </w:r>
          </w:p>
        </w:tc>
        <w:tc>
          <w:tcPr>
            <w:tcW w:w="389" w:type="pct"/>
            <w:tcBorders>
              <w:left w:val="single" w:color="000000" w:sz="2" w:space="0"/>
            </w:tcBorders>
            <w:vAlign w:val="center"/>
          </w:tcPr>
          <w:p w14:paraId="0BDB5051">
            <w:pPr>
              <w:pStyle w:val="58"/>
              <w:bidi w:val="0"/>
              <w:rPr>
                <w:rFonts w:hint="default"/>
                <w:highlight w:val="none"/>
              </w:rPr>
            </w:pPr>
            <w:r>
              <w:rPr>
                <w:rFonts w:hint="default"/>
                <w:highlight w:val="none"/>
                <w:lang w:val="en-US" w:eastAsia="zh-CN"/>
              </w:rPr>
              <w:t>0%</w:t>
            </w:r>
          </w:p>
        </w:tc>
        <w:tc>
          <w:tcPr>
            <w:tcW w:w="404" w:type="pct"/>
            <w:tcBorders>
              <w:right w:val="single" w:color="000000" w:sz="2" w:space="0"/>
            </w:tcBorders>
            <w:vAlign w:val="center"/>
          </w:tcPr>
          <w:p w14:paraId="3EF80F8A">
            <w:pPr>
              <w:pStyle w:val="58"/>
              <w:bidi w:val="0"/>
              <w:rPr>
                <w:rFonts w:hint="default"/>
                <w:highlight w:val="none"/>
              </w:rPr>
            </w:pPr>
            <w:r>
              <w:rPr>
                <w:rFonts w:hint="default"/>
                <w:highlight w:val="none"/>
                <w:lang w:val="en-US" w:eastAsia="zh-CN"/>
              </w:rPr>
              <w:t>0%</w:t>
            </w:r>
          </w:p>
        </w:tc>
        <w:tc>
          <w:tcPr>
            <w:tcW w:w="352" w:type="pct"/>
            <w:tcBorders>
              <w:left w:val="single" w:color="000000" w:sz="2" w:space="0"/>
            </w:tcBorders>
            <w:vAlign w:val="center"/>
          </w:tcPr>
          <w:p w14:paraId="5552E638">
            <w:pPr>
              <w:pStyle w:val="58"/>
              <w:bidi w:val="0"/>
              <w:rPr>
                <w:rFonts w:hint="default"/>
                <w:highlight w:val="none"/>
              </w:rPr>
            </w:pPr>
            <w:r>
              <w:rPr>
                <w:rFonts w:hint="default"/>
                <w:highlight w:val="none"/>
                <w:lang w:val="en-US" w:eastAsia="zh-CN"/>
              </w:rPr>
              <w:t>0%</w:t>
            </w:r>
          </w:p>
        </w:tc>
      </w:tr>
      <w:tr w14:paraId="164A943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430" w:type="pct"/>
            <w:vMerge w:val="restart"/>
            <w:tcBorders>
              <w:bottom w:val="nil"/>
            </w:tcBorders>
            <w:vAlign w:val="center"/>
          </w:tcPr>
          <w:p w14:paraId="34CB97F8">
            <w:pPr>
              <w:pStyle w:val="58"/>
              <w:bidi w:val="0"/>
              <w:rPr>
                <w:rFonts w:hint="default"/>
                <w:highlight w:val="none"/>
              </w:rPr>
            </w:pPr>
            <w:r>
              <w:rPr>
                <w:rFonts w:hint="default"/>
                <w:highlight w:val="none"/>
                <w:lang w:val="en-US" w:eastAsia="zh-CN"/>
              </w:rPr>
              <w:t>次氯酸钠消毒</w:t>
            </w:r>
          </w:p>
        </w:tc>
        <w:tc>
          <w:tcPr>
            <w:tcW w:w="592" w:type="pct"/>
            <w:vAlign w:val="center"/>
          </w:tcPr>
          <w:p w14:paraId="3AD4CF6D">
            <w:pPr>
              <w:pStyle w:val="58"/>
              <w:bidi w:val="0"/>
              <w:rPr>
                <w:rFonts w:hint="default"/>
                <w:highlight w:val="none"/>
              </w:rPr>
            </w:pPr>
            <w:r>
              <w:rPr>
                <w:rFonts w:hint="default"/>
                <w:highlight w:val="none"/>
                <w:lang w:val="en-US" w:eastAsia="zh-CN"/>
              </w:rPr>
              <w:t>进水水质</w:t>
            </w:r>
          </w:p>
        </w:tc>
        <w:tc>
          <w:tcPr>
            <w:tcW w:w="411" w:type="pct"/>
            <w:vAlign w:val="center"/>
          </w:tcPr>
          <w:p w14:paraId="6D95A979">
            <w:pPr>
              <w:pStyle w:val="58"/>
              <w:bidi w:val="0"/>
              <w:rPr>
                <w:rFonts w:hint="default"/>
                <w:highlight w:val="none"/>
              </w:rPr>
            </w:pPr>
            <w:r>
              <w:rPr>
                <w:rFonts w:hint="default"/>
                <w:highlight w:val="none"/>
                <w:lang w:val="en-US" w:eastAsia="zh-CN"/>
              </w:rPr>
              <w:t>38.92</w:t>
            </w:r>
          </w:p>
        </w:tc>
        <w:tc>
          <w:tcPr>
            <w:tcW w:w="430" w:type="pct"/>
            <w:vAlign w:val="center"/>
          </w:tcPr>
          <w:p w14:paraId="76774C84">
            <w:pPr>
              <w:pStyle w:val="58"/>
              <w:bidi w:val="0"/>
              <w:rPr>
                <w:rFonts w:hint="default"/>
                <w:highlight w:val="none"/>
              </w:rPr>
            </w:pPr>
            <w:r>
              <w:rPr>
                <w:rFonts w:hint="default"/>
                <w:highlight w:val="none"/>
                <w:lang w:val="en-US" w:eastAsia="zh-CN"/>
              </w:rPr>
              <w:t>4.998</w:t>
            </w:r>
          </w:p>
        </w:tc>
        <w:tc>
          <w:tcPr>
            <w:tcW w:w="367" w:type="pct"/>
            <w:vAlign w:val="center"/>
          </w:tcPr>
          <w:p w14:paraId="0A5D372B">
            <w:pPr>
              <w:pStyle w:val="58"/>
              <w:bidi w:val="0"/>
              <w:rPr>
                <w:rFonts w:hint="default"/>
                <w:highlight w:val="none"/>
              </w:rPr>
            </w:pPr>
            <w:r>
              <w:rPr>
                <w:rFonts w:hint="default"/>
                <w:highlight w:val="none"/>
                <w:lang w:val="en-US" w:eastAsia="zh-CN"/>
              </w:rPr>
              <w:t>9.3375</w:t>
            </w:r>
          </w:p>
        </w:tc>
        <w:tc>
          <w:tcPr>
            <w:tcW w:w="367" w:type="pct"/>
            <w:tcBorders>
              <w:right w:val="single" w:color="000000" w:sz="2" w:space="0"/>
            </w:tcBorders>
            <w:vAlign w:val="center"/>
          </w:tcPr>
          <w:p w14:paraId="22962E08">
            <w:pPr>
              <w:pStyle w:val="58"/>
              <w:bidi w:val="0"/>
              <w:rPr>
                <w:rFonts w:hint="default"/>
                <w:highlight w:val="none"/>
              </w:rPr>
            </w:pPr>
            <w:r>
              <w:rPr>
                <w:rFonts w:hint="default"/>
                <w:highlight w:val="none"/>
                <w:lang w:val="en-US" w:eastAsia="zh-CN"/>
              </w:rPr>
              <w:t>9.99</w:t>
            </w:r>
          </w:p>
        </w:tc>
        <w:tc>
          <w:tcPr>
            <w:tcW w:w="425" w:type="pct"/>
            <w:tcBorders>
              <w:left w:val="single" w:color="000000" w:sz="2" w:space="0"/>
            </w:tcBorders>
            <w:vAlign w:val="center"/>
          </w:tcPr>
          <w:p w14:paraId="7C1610CC">
            <w:pPr>
              <w:pStyle w:val="58"/>
              <w:bidi w:val="0"/>
              <w:rPr>
                <w:rFonts w:hint="default"/>
                <w:highlight w:val="none"/>
              </w:rPr>
            </w:pPr>
            <w:r>
              <w:rPr>
                <w:rFonts w:hint="default"/>
                <w:highlight w:val="none"/>
                <w:lang w:val="en-US" w:eastAsia="zh-CN"/>
              </w:rPr>
              <w:t>4.725</w:t>
            </w:r>
          </w:p>
        </w:tc>
        <w:tc>
          <w:tcPr>
            <w:tcW w:w="703" w:type="dxa"/>
            <w:tcBorders>
              <w:right w:val="single" w:color="000000" w:sz="2" w:space="0"/>
            </w:tcBorders>
            <w:vAlign w:val="center"/>
          </w:tcPr>
          <w:p w14:paraId="041BB59A">
            <w:pPr>
              <w:pStyle w:val="58"/>
              <w:bidi w:val="0"/>
              <w:rPr>
                <w:rFonts w:hint="default"/>
                <w:highlight w:val="none"/>
              </w:rPr>
            </w:pPr>
            <w:r>
              <w:rPr>
                <w:rFonts w:hint="default"/>
                <w:highlight w:val="none"/>
                <w:lang w:val="en-US" w:eastAsia="zh-CN"/>
              </w:rPr>
              <w:t>0.3984</w:t>
            </w:r>
          </w:p>
        </w:tc>
        <w:tc>
          <w:tcPr>
            <w:tcW w:w="442" w:type="pct"/>
            <w:tcBorders>
              <w:left w:val="single" w:color="000000" w:sz="2" w:space="0"/>
              <w:right w:val="single" w:color="000000" w:sz="2" w:space="0"/>
            </w:tcBorders>
            <w:vAlign w:val="center"/>
          </w:tcPr>
          <w:p w14:paraId="4997F496">
            <w:pPr>
              <w:pStyle w:val="58"/>
              <w:bidi w:val="0"/>
              <w:rPr>
                <w:rFonts w:hint="default"/>
                <w:highlight w:val="none"/>
              </w:rPr>
            </w:pPr>
            <w:r>
              <w:rPr>
                <w:rFonts w:hint="default"/>
                <w:highlight w:val="none"/>
                <w:lang w:val="en-US" w:eastAsia="zh-CN"/>
              </w:rPr>
              <w:t>1000000</w:t>
            </w:r>
          </w:p>
        </w:tc>
        <w:tc>
          <w:tcPr>
            <w:tcW w:w="389" w:type="pct"/>
            <w:tcBorders>
              <w:left w:val="single" w:color="000000" w:sz="2" w:space="0"/>
            </w:tcBorders>
            <w:vAlign w:val="center"/>
          </w:tcPr>
          <w:p w14:paraId="6E4FA3FF">
            <w:pPr>
              <w:pStyle w:val="58"/>
              <w:bidi w:val="0"/>
              <w:rPr>
                <w:rFonts w:hint="default"/>
                <w:highlight w:val="none"/>
              </w:rPr>
            </w:pPr>
            <w:r>
              <w:rPr>
                <w:rFonts w:hint="default"/>
                <w:highlight w:val="none"/>
                <w:lang w:val="en-US" w:eastAsia="zh-CN"/>
              </w:rPr>
              <w:t>0.057</w:t>
            </w:r>
          </w:p>
        </w:tc>
        <w:tc>
          <w:tcPr>
            <w:tcW w:w="404" w:type="pct"/>
            <w:tcBorders>
              <w:right w:val="single" w:color="000000" w:sz="2" w:space="0"/>
            </w:tcBorders>
            <w:vAlign w:val="center"/>
          </w:tcPr>
          <w:p w14:paraId="33C0CE87">
            <w:pPr>
              <w:pStyle w:val="58"/>
              <w:bidi w:val="0"/>
              <w:rPr>
                <w:rFonts w:hint="default"/>
                <w:highlight w:val="none"/>
              </w:rPr>
            </w:pPr>
            <w:r>
              <w:rPr>
                <w:rFonts w:hint="default"/>
                <w:highlight w:val="none"/>
                <w:lang w:val="en-US" w:eastAsia="zh-CN"/>
              </w:rPr>
              <w:t>0.42966</w:t>
            </w:r>
          </w:p>
        </w:tc>
        <w:tc>
          <w:tcPr>
            <w:tcW w:w="352" w:type="pct"/>
            <w:tcBorders>
              <w:left w:val="single" w:color="000000" w:sz="2" w:space="0"/>
            </w:tcBorders>
            <w:vAlign w:val="center"/>
          </w:tcPr>
          <w:p w14:paraId="5F567FCE">
            <w:pPr>
              <w:pStyle w:val="58"/>
              <w:bidi w:val="0"/>
              <w:rPr>
                <w:rFonts w:hint="default"/>
                <w:highlight w:val="none"/>
              </w:rPr>
            </w:pPr>
            <w:r>
              <w:rPr>
                <w:rFonts w:hint="default"/>
                <w:highlight w:val="none"/>
                <w:lang w:val="en-US" w:eastAsia="zh-CN"/>
              </w:rPr>
              <w:t>0.4525</w:t>
            </w:r>
          </w:p>
        </w:tc>
      </w:tr>
      <w:tr w14:paraId="44AF7BDE">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430" w:type="pct"/>
            <w:vMerge w:val="continue"/>
            <w:tcBorders>
              <w:top w:val="nil"/>
              <w:bottom w:val="nil"/>
            </w:tcBorders>
            <w:vAlign w:val="center"/>
          </w:tcPr>
          <w:p w14:paraId="32C14E8B">
            <w:pPr>
              <w:pStyle w:val="58"/>
              <w:bidi w:val="0"/>
              <w:rPr>
                <w:rFonts w:hint="default"/>
                <w:highlight w:val="none"/>
              </w:rPr>
            </w:pPr>
          </w:p>
        </w:tc>
        <w:tc>
          <w:tcPr>
            <w:tcW w:w="592" w:type="pct"/>
            <w:vAlign w:val="center"/>
          </w:tcPr>
          <w:p w14:paraId="49E51045">
            <w:pPr>
              <w:pStyle w:val="58"/>
              <w:bidi w:val="0"/>
              <w:rPr>
                <w:rFonts w:hint="default"/>
                <w:highlight w:val="none"/>
              </w:rPr>
            </w:pPr>
            <w:r>
              <w:rPr>
                <w:rFonts w:hint="default"/>
                <w:highlight w:val="none"/>
                <w:lang w:val="en-US" w:eastAsia="zh-CN"/>
              </w:rPr>
              <w:t>出水水质</w:t>
            </w:r>
          </w:p>
        </w:tc>
        <w:tc>
          <w:tcPr>
            <w:tcW w:w="411" w:type="pct"/>
            <w:vAlign w:val="center"/>
          </w:tcPr>
          <w:p w14:paraId="0898BD7A">
            <w:pPr>
              <w:pStyle w:val="58"/>
              <w:bidi w:val="0"/>
              <w:rPr>
                <w:rFonts w:hint="default"/>
                <w:highlight w:val="none"/>
              </w:rPr>
            </w:pPr>
            <w:r>
              <w:rPr>
                <w:rFonts w:hint="default"/>
                <w:highlight w:val="none"/>
                <w:lang w:val="en-US" w:eastAsia="zh-CN"/>
              </w:rPr>
              <w:t>38.92</w:t>
            </w:r>
          </w:p>
        </w:tc>
        <w:tc>
          <w:tcPr>
            <w:tcW w:w="430" w:type="pct"/>
            <w:vAlign w:val="center"/>
          </w:tcPr>
          <w:p w14:paraId="79EA95C3">
            <w:pPr>
              <w:pStyle w:val="58"/>
              <w:bidi w:val="0"/>
              <w:rPr>
                <w:rFonts w:hint="default"/>
                <w:highlight w:val="none"/>
              </w:rPr>
            </w:pPr>
            <w:r>
              <w:rPr>
                <w:rFonts w:hint="default"/>
                <w:highlight w:val="none"/>
                <w:lang w:val="en-US" w:eastAsia="zh-CN"/>
              </w:rPr>
              <w:t>4.998</w:t>
            </w:r>
          </w:p>
        </w:tc>
        <w:tc>
          <w:tcPr>
            <w:tcW w:w="367" w:type="pct"/>
            <w:vAlign w:val="center"/>
          </w:tcPr>
          <w:p w14:paraId="620BF041">
            <w:pPr>
              <w:pStyle w:val="58"/>
              <w:bidi w:val="0"/>
              <w:rPr>
                <w:rFonts w:hint="default"/>
                <w:highlight w:val="none"/>
              </w:rPr>
            </w:pPr>
            <w:r>
              <w:rPr>
                <w:rFonts w:hint="default"/>
                <w:highlight w:val="none"/>
                <w:lang w:val="en-US" w:eastAsia="zh-CN"/>
              </w:rPr>
              <w:t>9.3375</w:t>
            </w:r>
          </w:p>
        </w:tc>
        <w:tc>
          <w:tcPr>
            <w:tcW w:w="367" w:type="pct"/>
            <w:tcBorders>
              <w:right w:val="single" w:color="000000" w:sz="2" w:space="0"/>
            </w:tcBorders>
            <w:vAlign w:val="center"/>
          </w:tcPr>
          <w:p w14:paraId="49771866">
            <w:pPr>
              <w:pStyle w:val="58"/>
              <w:bidi w:val="0"/>
              <w:rPr>
                <w:rFonts w:hint="default"/>
                <w:highlight w:val="none"/>
              </w:rPr>
            </w:pPr>
            <w:r>
              <w:rPr>
                <w:rFonts w:hint="default"/>
                <w:highlight w:val="none"/>
                <w:lang w:val="en-US" w:eastAsia="zh-CN"/>
              </w:rPr>
              <w:t>9.99</w:t>
            </w:r>
          </w:p>
        </w:tc>
        <w:tc>
          <w:tcPr>
            <w:tcW w:w="425" w:type="pct"/>
            <w:tcBorders>
              <w:left w:val="single" w:color="000000" w:sz="2" w:space="0"/>
            </w:tcBorders>
            <w:vAlign w:val="center"/>
          </w:tcPr>
          <w:p w14:paraId="7E84AA29">
            <w:pPr>
              <w:pStyle w:val="58"/>
              <w:bidi w:val="0"/>
              <w:rPr>
                <w:rFonts w:hint="default"/>
                <w:highlight w:val="none"/>
              </w:rPr>
            </w:pPr>
            <w:r>
              <w:rPr>
                <w:rFonts w:hint="default"/>
                <w:highlight w:val="none"/>
                <w:lang w:val="en-US" w:eastAsia="zh-CN"/>
              </w:rPr>
              <w:t>4.725</w:t>
            </w:r>
          </w:p>
        </w:tc>
        <w:tc>
          <w:tcPr>
            <w:tcW w:w="703" w:type="dxa"/>
            <w:tcBorders>
              <w:right w:val="single" w:color="000000" w:sz="2" w:space="0"/>
            </w:tcBorders>
            <w:vAlign w:val="center"/>
          </w:tcPr>
          <w:p w14:paraId="65A7186F">
            <w:pPr>
              <w:pStyle w:val="58"/>
              <w:bidi w:val="0"/>
              <w:rPr>
                <w:rFonts w:hint="default"/>
                <w:highlight w:val="none"/>
              </w:rPr>
            </w:pPr>
            <w:r>
              <w:rPr>
                <w:rFonts w:hint="default"/>
                <w:highlight w:val="none"/>
                <w:lang w:val="en-US" w:eastAsia="zh-CN"/>
              </w:rPr>
              <w:t>0.3984</w:t>
            </w:r>
          </w:p>
        </w:tc>
        <w:tc>
          <w:tcPr>
            <w:tcW w:w="442" w:type="pct"/>
            <w:tcBorders>
              <w:left w:val="single" w:color="000000" w:sz="2" w:space="0"/>
              <w:right w:val="single" w:color="000000" w:sz="2" w:space="0"/>
            </w:tcBorders>
            <w:vAlign w:val="center"/>
          </w:tcPr>
          <w:p w14:paraId="7CE9B51F">
            <w:pPr>
              <w:pStyle w:val="58"/>
              <w:bidi w:val="0"/>
              <w:rPr>
                <w:rFonts w:hint="default"/>
                <w:highlight w:val="none"/>
              </w:rPr>
            </w:pPr>
            <w:r>
              <w:rPr>
                <w:rFonts w:hint="default"/>
                <w:highlight w:val="none"/>
                <w:lang w:val="en-US" w:eastAsia="zh-CN"/>
              </w:rPr>
              <w:t>1000</w:t>
            </w:r>
          </w:p>
        </w:tc>
        <w:tc>
          <w:tcPr>
            <w:tcW w:w="389" w:type="pct"/>
            <w:tcBorders>
              <w:left w:val="single" w:color="000000" w:sz="2" w:space="0"/>
            </w:tcBorders>
            <w:vAlign w:val="center"/>
          </w:tcPr>
          <w:p w14:paraId="3C888496">
            <w:pPr>
              <w:pStyle w:val="58"/>
              <w:bidi w:val="0"/>
              <w:rPr>
                <w:rFonts w:hint="default"/>
                <w:highlight w:val="none"/>
              </w:rPr>
            </w:pPr>
            <w:r>
              <w:rPr>
                <w:rFonts w:hint="default"/>
                <w:highlight w:val="none"/>
                <w:lang w:val="en-US" w:eastAsia="zh-CN"/>
              </w:rPr>
              <w:t>0.057</w:t>
            </w:r>
          </w:p>
        </w:tc>
        <w:tc>
          <w:tcPr>
            <w:tcW w:w="404" w:type="pct"/>
            <w:tcBorders>
              <w:right w:val="single" w:color="000000" w:sz="2" w:space="0"/>
            </w:tcBorders>
            <w:vAlign w:val="center"/>
          </w:tcPr>
          <w:p w14:paraId="4A1E864C">
            <w:pPr>
              <w:pStyle w:val="58"/>
              <w:bidi w:val="0"/>
              <w:rPr>
                <w:rFonts w:hint="default"/>
                <w:highlight w:val="none"/>
              </w:rPr>
            </w:pPr>
            <w:r>
              <w:rPr>
                <w:rFonts w:hint="default"/>
                <w:highlight w:val="none"/>
                <w:lang w:val="en-US" w:eastAsia="zh-CN"/>
              </w:rPr>
              <w:t>0.42966</w:t>
            </w:r>
          </w:p>
        </w:tc>
        <w:tc>
          <w:tcPr>
            <w:tcW w:w="352" w:type="pct"/>
            <w:tcBorders>
              <w:left w:val="single" w:color="000000" w:sz="2" w:space="0"/>
            </w:tcBorders>
            <w:vAlign w:val="center"/>
          </w:tcPr>
          <w:p w14:paraId="39250D01">
            <w:pPr>
              <w:pStyle w:val="58"/>
              <w:bidi w:val="0"/>
              <w:rPr>
                <w:rFonts w:hint="default"/>
                <w:highlight w:val="none"/>
              </w:rPr>
            </w:pPr>
            <w:r>
              <w:rPr>
                <w:rFonts w:hint="default"/>
                <w:highlight w:val="none"/>
                <w:lang w:val="en-US" w:eastAsia="zh-CN"/>
              </w:rPr>
              <w:t>0.4525</w:t>
            </w:r>
          </w:p>
        </w:tc>
      </w:tr>
      <w:tr w14:paraId="137F4315">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286" w:hRule="atLeast"/>
        </w:trPr>
        <w:tc>
          <w:tcPr>
            <w:tcW w:w="430" w:type="pct"/>
            <w:vMerge w:val="continue"/>
            <w:tcBorders>
              <w:top w:val="nil"/>
            </w:tcBorders>
            <w:vAlign w:val="center"/>
          </w:tcPr>
          <w:p w14:paraId="0388D175">
            <w:pPr>
              <w:pStyle w:val="58"/>
              <w:bidi w:val="0"/>
              <w:rPr>
                <w:rFonts w:hint="default"/>
                <w:highlight w:val="none"/>
              </w:rPr>
            </w:pPr>
          </w:p>
        </w:tc>
        <w:tc>
          <w:tcPr>
            <w:tcW w:w="592" w:type="pct"/>
            <w:vAlign w:val="center"/>
          </w:tcPr>
          <w:p w14:paraId="723D3DA6">
            <w:pPr>
              <w:pStyle w:val="58"/>
              <w:bidi w:val="0"/>
              <w:rPr>
                <w:rFonts w:hint="default"/>
                <w:highlight w:val="none"/>
              </w:rPr>
            </w:pPr>
            <w:r>
              <w:rPr>
                <w:rFonts w:hint="default"/>
                <w:highlight w:val="none"/>
                <w:lang w:val="en-US" w:eastAsia="zh-CN"/>
              </w:rPr>
              <w:t>处理率</w:t>
            </w:r>
          </w:p>
        </w:tc>
        <w:tc>
          <w:tcPr>
            <w:tcW w:w="411" w:type="pct"/>
            <w:vAlign w:val="center"/>
          </w:tcPr>
          <w:p w14:paraId="35F3DA42">
            <w:pPr>
              <w:pStyle w:val="58"/>
              <w:bidi w:val="0"/>
              <w:rPr>
                <w:rFonts w:hint="default"/>
                <w:highlight w:val="none"/>
              </w:rPr>
            </w:pPr>
            <w:r>
              <w:rPr>
                <w:rFonts w:hint="default"/>
                <w:highlight w:val="none"/>
                <w:lang w:val="en-US" w:eastAsia="zh-CN"/>
              </w:rPr>
              <w:t>0%</w:t>
            </w:r>
          </w:p>
        </w:tc>
        <w:tc>
          <w:tcPr>
            <w:tcW w:w="430" w:type="pct"/>
            <w:vAlign w:val="center"/>
          </w:tcPr>
          <w:p w14:paraId="5D0E0C4A">
            <w:pPr>
              <w:pStyle w:val="58"/>
              <w:bidi w:val="0"/>
              <w:rPr>
                <w:rFonts w:hint="default"/>
                <w:highlight w:val="none"/>
              </w:rPr>
            </w:pPr>
            <w:r>
              <w:rPr>
                <w:rFonts w:hint="default"/>
                <w:highlight w:val="none"/>
                <w:lang w:val="en-US" w:eastAsia="zh-CN"/>
              </w:rPr>
              <w:t>0%</w:t>
            </w:r>
          </w:p>
        </w:tc>
        <w:tc>
          <w:tcPr>
            <w:tcW w:w="367" w:type="pct"/>
            <w:vAlign w:val="center"/>
          </w:tcPr>
          <w:p w14:paraId="38E74316">
            <w:pPr>
              <w:pStyle w:val="58"/>
              <w:bidi w:val="0"/>
              <w:rPr>
                <w:rFonts w:hint="default"/>
                <w:highlight w:val="none"/>
              </w:rPr>
            </w:pPr>
            <w:r>
              <w:rPr>
                <w:rFonts w:hint="default"/>
                <w:highlight w:val="none"/>
                <w:lang w:val="en-US" w:eastAsia="zh-CN"/>
              </w:rPr>
              <w:t>0%</w:t>
            </w:r>
          </w:p>
        </w:tc>
        <w:tc>
          <w:tcPr>
            <w:tcW w:w="367" w:type="pct"/>
            <w:tcBorders>
              <w:right w:val="single" w:color="000000" w:sz="2" w:space="0"/>
            </w:tcBorders>
            <w:vAlign w:val="center"/>
          </w:tcPr>
          <w:p w14:paraId="558254BE">
            <w:pPr>
              <w:pStyle w:val="58"/>
              <w:bidi w:val="0"/>
              <w:rPr>
                <w:rFonts w:hint="default"/>
                <w:highlight w:val="none"/>
              </w:rPr>
            </w:pPr>
            <w:r>
              <w:rPr>
                <w:rFonts w:hint="default"/>
                <w:highlight w:val="none"/>
                <w:lang w:val="en-US" w:eastAsia="zh-CN"/>
              </w:rPr>
              <w:t>0%</w:t>
            </w:r>
          </w:p>
        </w:tc>
        <w:tc>
          <w:tcPr>
            <w:tcW w:w="425" w:type="pct"/>
            <w:tcBorders>
              <w:left w:val="single" w:color="000000" w:sz="2" w:space="0"/>
            </w:tcBorders>
            <w:vAlign w:val="center"/>
          </w:tcPr>
          <w:p w14:paraId="72ABC05C">
            <w:pPr>
              <w:pStyle w:val="58"/>
              <w:bidi w:val="0"/>
              <w:rPr>
                <w:rFonts w:hint="default"/>
                <w:highlight w:val="none"/>
              </w:rPr>
            </w:pPr>
            <w:r>
              <w:rPr>
                <w:rFonts w:hint="default"/>
                <w:highlight w:val="none"/>
                <w:lang w:val="en-US" w:eastAsia="zh-CN"/>
              </w:rPr>
              <w:t>0%</w:t>
            </w:r>
          </w:p>
        </w:tc>
        <w:tc>
          <w:tcPr>
            <w:tcW w:w="703" w:type="dxa"/>
            <w:tcBorders>
              <w:right w:val="single" w:color="000000" w:sz="2" w:space="0"/>
            </w:tcBorders>
            <w:vAlign w:val="center"/>
          </w:tcPr>
          <w:p w14:paraId="01897D9A">
            <w:pPr>
              <w:pStyle w:val="58"/>
              <w:bidi w:val="0"/>
              <w:rPr>
                <w:rFonts w:hint="default"/>
                <w:highlight w:val="none"/>
              </w:rPr>
            </w:pPr>
            <w:r>
              <w:rPr>
                <w:rFonts w:hint="default"/>
                <w:highlight w:val="none"/>
                <w:lang w:val="en-US" w:eastAsia="zh-CN"/>
              </w:rPr>
              <w:t>0%</w:t>
            </w:r>
          </w:p>
        </w:tc>
        <w:tc>
          <w:tcPr>
            <w:tcW w:w="442" w:type="pct"/>
            <w:tcBorders>
              <w:left w:val="single" w:color="000000" w:sz="2" w:space="0"/>
              <w:right w:val="single" w:color="000000" w:sz="2" w:space="0"/>
            </w:tcBorders>
            <w:vAlign w:val="center"/>
          </w:tcPr>
          <w:p w14:paraId="4B36290D">
            <w:pPr>
              <w:pStyle w:val="58"/>
              <w:bidi w:val="0"/>
              <w:rPr>
                <w:rFonts w:hint="default"/>
                <w:highlight w:val="none"/>
              </w:rPr>
            </w:pPr>
            <w:r>
              <w:rPr>
                <w:rFonts w:hint="default"/>
                <w:highlight w:val="none"/>
                <w:lang w:val="en-US" w:eastAsia="zh-CN"/>
              </w:rPr>
              <w:t>99.9%</w:t>
            </w:r>
          </w:p>
        </w:tc>
        <w:tc>
          <w:tcPr>
            <w:tcW w:w="389" w:type="pct"/>
            <w:tcBorders>
              <w:left w:val="single" w:color="000000" w:sz="2" w:space="0"/>
            </w:tcBorders>
            <w:vAlign w:val="center"/>
          </w:tcPr>
          <w:p w14:paraId="483C6D63">
            <w:pPr>
              <w:pStyle w:val="58"/>
              <w:bidi w:val="0"/>
              <w:rPr>
                <w:rFonts w:hint="default"/>
                <w:highlight w:val="none"/>
              </w:rPr>
            </w:pPr>
            <w:r>
              <w:rPr>
                <w:rFonts w:hint="default"/>
                <w:highlight w:val="none"/>
                <w:lang w:val="en-US" w:eastAsia="zh-CN"/>
              </w:rPr>
              <w:t>0%</w:t>
            </w:r>
          </w:p>
        </w:tc>
        <w:tc>
          <w:tcPr>
            <w:tcW w:w="404" w:type="pct"/>
            <w:tcBorders>
              <w:right w:val="single" w:color="000000" w:sz="2" w:space="0"/>
            </w:tcBorders>
            <w:vAlign w:val="center"/>
          </w:tcPr>
          <w:p w14:paraId="7C855BF5">
            <w:pPr>
              <w:pStyle w:val="58"/>
              <w:bidi w:val="0"/>
              <w:rPr>
                <w:rFonts w:hint="default"/>
                <w:highlight w:val="none"/>
              </w:rPr>
            </w:pPr>
            <w:r>
              <w:rPr>
                <w:rFonts w:hint="default"/>
                <w:highlight w:val="none"/>
                <w:lang w:val="en-US" w:eastAsia="zh-CN"/>
              </w:rPr>
              <w:t>0%</w:t>
            </w:r>
          </w:p>
        </w:tc>
        <w:tc>
          <w:tcPr>
            <w:tcW w:w="352" w:type="pct"/>
            <w:tcBorders>
              <w:left w:val="single" w:color="000000" w:sz="2" w:space="0"/>
            </w:tcBorders>
            <w:vAlign w:val="center"/>
          </w:tcPr>
          <w:p w14:paraId="7CB574E5">
            <w:pPr>
              <w:pStyle w:val="58"/>
              <w:bidi w:val="0"/>
              <w:rPr>
                <w:rFonts w:hint="default"/>
                <w:highlight w:val="none"/>
              </w:rPr>
            </w:pPr>
            <w:r>
              <w:rPr>
                <w:rFonts w:hint="default"/>
                <w:highlight w:val="none"/>
                <w:lang w:val="en-US" w:eastAsia="zh-CN"/>
              </w:rPr>
              <w:t>0%</w:t>
            </w:r>
          </w:p>
        </w:tc>
      </w:tr>
      <w:tr w14:paraId="6CB03EA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08" w:hRule="atLeast"/>
        </w:trPr>
        <w:tc>
          <w:tcPr>
            <w:tcW w:w="1023" w:type="pct"/>
            <w:gridSpan w:val="2"/>
            <w:vAlign w:val="center"/>
          </w:tcPr>
          <w:p w14:paraId="3F555A66">
            <w:pPr>
              <w:pStyle w:val="58"/>
              <w:bidi w:val="0"/>
              <w:rPr>
                <w:rFonts w:hint="default"/>
                <w:highlight w:val="none"/>
              </w:rPr>
            </w:pPr>
            <w:r>
              <w:rPr>
                <w:rFonts w:hint="default"/>
                <w:highlight w:val="none"/>
                <w:lang w:val="en-US" w:eastAsia="zh-CN"/>
              </w:rPr>
              <w:t>总处理效率</w:t>
            </w:r>
          </w:p>
        </w:tc>
        <w:tc>
          <w:tcPr>
            <w:tcW w:w="411" w:type="pct"/>
            <w:vAlign w:val="center"/>
          </w:tcPr>
          <w:p w14:paraId="701FC3CE">
            <w:pPr>
              <w:pStyle w:val="58"/>
              <w:bidi w:val="0"/>
              <w:rPr>
                <w:rFonts w:hint="default"/>
                <w:highlight w:val="none"/>
              </w:rPr>
            </w:pPr>
            <w:r>
              <w:rPr>
                <w:rFonts w:hint="default"/>
                <w:highlight w:val="none"/>
                <w:lang w:val="en-US" w:eastAsia="zh-CN"/>
              </w:rPr>
              <w:t>&gt;88.9%</w:t>
            </w:r>
          </w:p>
        </w:tc>
        <w:tc>
          <w:tcPr>
            <w:tcW w:w="430" w:type="pct"/>
            <w:vAlign w:val="center"/>
          </w:tcPr>
          <w:p w14:paraId="210BEABB">
            <w:pPr>
              <w:pStyle w:val="58"/>
              <w:bidi w:val="0"/>
              <w:rPr>
                <w:rFonts w:hint="default"/>
                <w:highlight w:val="none"/>
              </w:rPr>
            </w:pPr>
            <w:r>
              <w:rPr>
                <w:rFonts w:hint="default"/>
                <w:highlight w:val="none"/>
                <w:lang w:val="en-US" w:eastAsia="zh-CN"/>
              </w:rPr>
              <w:t>&gt;95%</w:t>
            </w:r>
          </w:p>
        </w:tc>
        <w:tc>
          <w:tcPr>
            <w:tcW w:w="367" w:type="pct"/>
            <w:vAlign w:val="center"/>
          </w:tcPr>
          <w:p w14:paraId="68B9D50D">
            <w:pPr>
              <w:pStyle w:val="58"/>
              <w:bidi w:val="0"/>
              <w:rPr>
                <w:rFonts w:hint="default"/>
                <w:highlight w:val="none"/>
              </w:rPr>
            </w:pPr>
            <w:r>
              <w:rPr>
                <w:rFonts w:hint="default"/>
                <w:highlight w:val="none"/>
                <w:lang w:val="en-US" w:eastAsia="zh-CN"/>
              </w:rPr>
              <w:t>&gt;96.7%</w:t>
            </w:r>
          </w:p>
        </w:tc>
        <w:tc>
          <w:tcPr>
            <w:tcW w:w="367" w:type="pct"/>
            <w:tcBorders>
              <w:right w:val="single" w:color="000000" w:sz="2" w:space="0"/>
            </w:tcBorders>
            <w:vAlign w:val="center"/>
          </w:tcPr>
          <w:p w14:paraId="015B9A42">
            <w:pPr>
              <w:pStyle w:val="58"/>
              <w:bidi w:val="0"/>
              <w:rPr>
                <w:rFonts w:hint="default"/>
                <w:highlight w:val="none"/>
              </w:rPr>
            </w:pPr>
            <w:r>
              <w:rPr>
                <w:rFonts w:hint="default"/>
                <w:highlight w:val="none"/>
                <w:lang w:val="en-US" w:eastAsia="zh-CN"/>
              </w:rPr>
              <w:t>&gt;66.7%</w:t>
            </w:r>
          </w:p>
        </w:tc>
        <w:tc>
          <w:tcPr>
            <w:tcW w:w="425" w:type="pct"/>
            <w:tcBorders>
              <w:left w:val="single" w:color="000000" w:sz="2" w:space="0"/>
            </w:tcBorders>
            <w:vAlign w:val="center"/>
          </w:tcPr>
          <w:p w14:paraId="1F1A07AB">
            <w:pPr>
              <w:pStyle w:val="58"/>
              <w:bidi w:val="0"/>
              <w:rPr>
                <w:rFonts w:hint="default"/>
                <w:highlight w:val="none"/>
              </w:rPr>
            </w:pPr>
            <w:r>
              <w:rPr>
                <w:rFonts w:hint="default"/>
                <w:highlight w:val="none"/>
                <w:lang w:val="en-US" w:eastAsia="zh-CN"/>
              </w:rPr>
              <w:t>&gt;89.5%</w:t>
            </w:r>
          </w:p>
        </w:tc>
        <w:tc>
          <w:tcPr>
            <w:tcW w:w="703" w:type="dxa"/>
            <w:tcBorders>
              <w:right w:val="single" w:color="000000" w:sz="2" w:space="0"/>
            </w:tcBorders>
            <w:vAlign w:val="center"/>
          </w:tcPr>
          <w:p w14:paraId="3E20EBDC">
            <w:pPr>
              <w:pStyle w:val="58"/>
              <w:bidi w:val="0"/>
              <w:rPr>
                <w:rFonts w:hint="default"/>
                <w:highlight w:val="none"/>
              </w:rPr>
            </w:pPr>
            <w:r>
              <w:rPr>
                <w:rFonts w:hint="default"/>
                <w:highlight w:val="none"/>
                <w:lang w:val="en-US" w:eastAsia="zh-CN"/>
              </w:rPr>
              <w:t>&gt;95.0%</w:t>
            </w:r>
          </w:p>
        </w:tc>
        <w:tc>
          <w:tcPr>
            <w:tcW w:w="442" w:type="pct"/>
            <w:tcBorders>
              <w:left w:val="single" w:color="000000" w:sz="2" w:space="0"/>
              <w:right w:val="single" w:color="000000" w:sz="2" w:space="0"/>
            </w:tcBorders>
            <w:vAlign w:val="center"/>
          </w:tcPr>
          <w:p w14:paraId="63566989">
            <w:pPr>
              <w:pStyle w:val="58"/>
              <w:bidi w:val="0"/>
              <w:rPr>
                <w:rFonts w:hint="default"/>
                <w:highlight w:val="none"/>
              </w:rPr>
            </w:pPr>
            <w:r>
              <w:rPr>
                <w:rFonts w:hint="default"/>
                <w:highlight w:val="none"/>
                <w:lang w:val="en-US" w:eastAsia="zh-CN"/>
              </w:rPr>
              <w:t>&gt;99.9%</w:t>
            </w:r>
          </w:p>
        </w:tc>
        <w:tc>
          <w:tcPr>
            <w:tcW w:w="389" w:type="pct"/>
            <w:tcBorders>
              <w:left w:val="single" w:color="000000" w:sz="2" w:space="0"/>
            </w:tcBorders>
            <w:vAlign w:val="center"/>
          </w:tcPr>
          <w:p w14:paraId="45CBF8A3">
            <w:pPr>
              <w:pStyle w:val="58"/>
              <w:bidi w:val="0"/>
              <w:rPr>
                <w:rFonts w:hint="default"/>
                <w:highlight w:val="none"/>
              </w:rPr>
            </w:pPr>
            <w:r>
              <w:rPr>
                <w:rFonts w:hint="default"/>
                <w:highlight w:val="none"/>
                <w:lang w:val="en-US" w:eastAsia="zh-CN"/>
              </w:rPr>
              <w:t>&gt;70%</w:t>
            </w:r>
          </w:p>
        </w:tc>
        <w:tc>
          <w:tcPr>
            <w:tcW w:w="404" w:type="pct"/>
            <w:tcBorders>
              <w:right w:val="single" w:color="000000" w:sz="2" w:space="0"/>
            </w:tcBorders>
            <w:vAlign w:val="center"/>
          </w:tcPr>
          <w:p w14:paraId="375C9EA7">
            <w:pPr>
              <w:pStyle w:val="58"/>
              <w:bidi w:val="0"/>
              <w:rPr>
                <w:rFonts w:hint="default"/>
                <w:highlight w:val="none"/>
              </w:rPr>
            </w:pPr>
            <w:r>
              <w:rPr>
                <w:rFonts w:hint="default"/>
                <w:highlight w:val="none"/>
                <w:lang w:val="en-US" w:eastAsia="zh-CN"/>
              </w:rPr>
              <w:t>&gt;80%</w:t>
            </w:r>
          </w:p>
        </w:tc>
        <w:tc>
          <w:tcPr>
            <w:tcW w:w="352" w:type="pct"/>
            <w:tcBorders>
              <w:left w:val="single" w:color="000000" w:sz="2" w:space="0"/>
            </w:tcBorders>
            <w:vAlign w:val="center"/>
          </w:tcPr>
          <w:p w14:paraId="232F8A5F">
            <w:pPr>
              <w:pStyle w:val="58"/>
              <w:bidi w:val="0"/>
              <w:rPr>
                <w:rFonts w:hint="default"/>
                <w:highlight w:val="none"/>
              </w:rPr>
            </w:pPr>
            <w:r>
              <w:rPr>
                <w:rFonts w:hint="default"/>
                <w:highlight w:val="none"/>
                <w:lang w:val="en-US" w:eastAsia="zh-CN"/>
              </w:rPr>
              <w:t>75%</w:t>
            </w:r>
          </w:p>
        </w:tc>
      </w:tr>
    </w:tbl>
    <w:p w14:paraId="75DD5639">
      <w:pPr>
        <w:pStyle w:val="6"/>
        <w:bidi w:val="0"/>
        <w:rPr>
          <w:rFonts w:hint="default" w:ascii="Times New Roman" w:hAnsi="Times New Roman" w:eastAsia="宋体" w:cs="Times New Roman"/>
          <w:sz w:val="24"/>
          <w:szCs w:val="24"/>
          <w:highlight w:val="none"/>
        </w:rPr>
      </w:pPr>
      <w:r>
        <w:rPr>
          <w:rFonts w:hint="default" w:ascii="Times New Roman" w:hAnsi="Times New Roman" w:eastAsia="宋体" w:cs="Times New Roman"/>
          <w:b/>
          <w:bCs/>
          <w:spacing w:val="-2"/>
          <w:sz w:val="24"/>
          <w:szCs w:val="24"/>
          <w:highlight w:val="none"/>
          <w:lang w:val="en-US" w:eastAsia="zh-CN"/>
        </w:rPr>
        <w:t>6</w:t>
      </w:r>
      <w:r>
        <w:rPr>
          <w:rFonts w:hint="default" w:ascii="Times New Roman" w:hAnsi="Times New Roman" w:eastAsia="宋体" w:cs="Times New Roman"/>
          <w:b/>
          <w:bCs/>
          <w:spacing w:val="-2"/>
          <w:sz w:val="24"/>
          <w:szCs w:val="24"/>
          <w:highlight w:val="none"/>
        </w:rPr>
        <w:t>.2.</w:t>
      </w:r>
      <w:r>
        <w:rPr>
          <w:rFonts w:hint="eastAsia" w:cs="Times New Roman"/>
          <w:b/>
          <w:bCs/>
          <w:spacing w:val="-2"/>
          <w:sz w:val="24"/>
          <w:szCs w:val="24"/>
          <w:highlight w:val="none"/>
          <w:lang w:val="en-US" w:eastAsia="zh-CN"/>
        </w:rPr>
        <w:t>1生物处理</w:t>
      </w:r>
      <w:r>
        <w:rPr>
          <w:rFonts w:hint="default" w:ascii="Times New Roman" w:hAnsi="Times New Roman" w:eastAsia="宋体" w:cs="Times New Roman"/>
          <w:b/>
          <w:bCs/>
          <w:spacing w:val="-2"/>
          <w:sz w:val="24"/>
          <w:szCs w:val="24"/>
          <w:highlight w:val="none"/>
        </w:rPr>
        <w:t>工艺</w:t>
      </w:r>
    </w:p>
    <w:p w14:paraId="2EAA98A0">
      <w:pPr>
        <w:tabs>
          <w:tab w:val="left" w:pos="9225"/>
        </w:tabs>
        <w:spacing w:before="196" w:line="356" w:lineRule="auto"/>
        <w:ind w:left="9" w:firstLine="483"/>
        <w:jc w:val="both"/>
        <w:rPr>
          <w:rFonts w:hint="eastAsia" w:ascii="Times New Roman" w:hAnsi="Times New Roman" w:eastAsia="宋体" w:cs="Times New Roman"/>
          <w:color w:val="auto"/>
          <w:spacing w:val="2"/>
          <w:sz w:val="24"/>
          <w:szCs w:val="24"/>
          <w:highlight w:val="none"/>
          <w:lang w:val="en-US" w:eastAsia="zh-CN"/>
        </w:rPr>
      </w:pPr>
      <w:r>
        <w:rPr>
          <w:rFonts w:hint="eastAsia" w:ascii="Times New Roman" w:hAnsi="Times New Roman" w:eastAsia="宋体" w:cs="Times New Roman"/>
          <w:color w:val="auto"/>
          <w:spacing w:val="2"/>
          <w:sz w:val="24"/>
          <w:szCs w:val="24"/>
          <w:highlight w:val="none"/>
          <w:lang w:val="en-US" w:eastAsia="zh-CN"/>
        </w:rPr>
        <w:t>生物处理单元是整个污水处理系统的核心，直接关系到能否达标去除污水中有机物、氮、磷和悬浮物，也是影响到污水处理厂运行费用、建设投资及管理维护的关键因素。选择合适的污水处理工艺，不仅可以降低工程投资，保证出水水质，还有利于污水处理厂的运行管理以及减少污水处理厂的运行费用。本项目污水处理厂进水包括生活污水及园区企业预处理达标后的生产废水，水质较为接近生活污水</w:t>
      </w:r>
      <w:r>
        <w:rPr>
          <w:rFonts w:hint="eastAsia" w:cs="Times New Roman"/>
          <w:color w:val="auto"/>
          <w:spacing w:val="2"/>
          <w:sz w:val="24"/>
          <w:szCs w:val="24"/>
          <w:highlight w:val="none"/>
          <w:lang w:val="en-US" w:eastAsia="zh-CN"/>
        </w:rPr>
        <w:t>，</w:t>
      </w:r>
      <w:r>
        <w:rPr>
          <w:rFonts w:hint="eastAsia" w:ascii="Times New Roman" w:hAnsi="Times New Roman" w:eastAsia="宋体" w:cs="Times New Roman"/>
          <w:color w:val="auto"/>
          <w:spacing w:val="2"/>
          <w:sz w:val="24"/>
          <w:szCs w:val="24"/>
          <w:highlight w:val="none"/>
          <w:lang w:val="en-US" w:eastAsia="zh-CN"/>
        </w:rPr>
        <w:t>本工程主要去除的污染物以悬浮物、有机物、氮、磷为主。因此，要求生化处理需要的处理功能除能够去除有机污染物外还需要具有脱氮和除磷功能。生物脱氮除磷技术由于具有同时脱除</w:t>
      </w:r>
      <w:r>
        <w:rPr>
          <w:rFonts w:hint="default" w:ascii="Times New Roman" w:hAnsi="Times New Roman" w:eastAsia="宋体" w:cs="Times New Roman"/>
          <w:color w:val="auto"/>
          <w:spacing w:val="2"/>
          <w:sz w:val="24"/>
          <w:szCs w:val="24"/>
          <w:highlight w:val="none"/>
          <w:lang w:val="en-US" w:eastAsia="zh-CN"/>
        </w:rPr>
        <w:t>C</w:t>
      </w:r>
      <w:r>
        <w:rPr>
          <w:rFonts w:hint="eastAsia" w:ascii="Times New Roman" w:hAnsi="Times New Roman" w:eastAsia="宋体" w:cs="Times New Roman"/>
          <w:color w:val="auto"/>
          <w:spacing w:val="2"/>
          <w:sz w:val="24"/>
          <w:szCs w:val="24"/>
          <w:highlight w:val="none"/>
          <w:lang w:val="en-US" w:eastAsia="zh-CN"/>
        </w:rPr>
        <w:t>、</w:t>
      </w:r>
      <w:r>
        <w:rPr>
          <w:rFonts w:hint="default" w:ascii="Times New Roman" w:hAnsi="Times New Roman" w:eastAsia="宋体" w:cs="Times New Roman"/>
          <w:color w:val="auto"/>
          <w:spacing w:val="2"/>
          <w:sz w:val="24"/>
          <w:szCs w:val="24"/>
          <w:highlight w:val="none"/>
          <w:lang w:val="en-US" w:eastAsia="zh-CN"/>
        </w:rPr>
        <w:t>N</w:t>
      </w:r>
      <w:r>
        <w:rPr>
          <w:rFonts w:hint="eastAsia" w:ascii="Times New Roman" w:hAnsi="Times New Roman" w:eastAsia="宋体" w:cs="Times New Roman"/>
          <w:color w:val="auto"/>
          <w:spacing w:val="2"/>
          <w:sz w:val="24"/>
          <w:szCs w:val="24"/>
          <w:highlight w:val="none"/>
          <w:lang w:val="en-US" w:eastAsia="zh-CN"/>
        </w:rPr>
        <w:t>、</w:t>
      </w:r>
      <w:r>
        <w:rPr>
          <w:rFonts w:hint="default" w:ascii="Times New Roman" w:hAnsi="Times New Roman" w:eastAsia="宋体" w:cs="Times New Roman"/>
          <w:color w:val="auto"/>
          <w:spacing w:val="2"/>
          <w:sz w:val="24"/>
          <w:szCs w:val="24"/>
          <w:highlight w:val="none"/>
          <w:lang w:val="en-US" w:eastAsia="zh-CN"/>
        </w:rPr>
        <w:t>P</w:t>
      </w:r>
      <w:r>
        <w:rPr>
          <w:rFonts w:hint="eastAsia" w:ascii="Times New Roman" w:hAnsi="Times New Roman" w:eastAsia="宋体" w:cs="Times New Roman"/>
          <w:color w:val="auto"/>
          <w:spacing w:val="2"/>
          <w:sz w:val="24"/>
          <w:szCs w:val="24"/>
          <w:highlight w:val="none"/>
          <w:lang w:val="en-US" w:eastAsia="zh-CN"/>
        </w:rPr>
        <w:t>且处理成本低等优点而得到广泛应用。国内外以去除污水中的有机物、悬浮固体为主要目的兼顾一定程度的氮磷去除的污水生物处理工艺很多，如</w:t>
      </w:r>
      <w:r>
        <w:rPr>
          <w:rFonts w:hint="default" w:ascii="Times New Roman" w:hAnsi="Times New Roman" w:eastAsia="宋体" w:cs="Times New Roman"/>
          <w:color w:val="auto"/>
          <w:spacing w:val="2"/>
          <w:sz w:val="24"/>
          <w:szCs w:val="24"/>
          <w:highlight w:val="none"/>
          <w:lang w:val="en-US" w:eastAsia="zh-CN"/>
        </w:rPr>
        <w:t>A</w:t>
      </w:r>
      <w:r>
        <w:rPr>
          <w:rFonts w:hint="default" w:ascii="Times New Roman" w:hAnsi="Times New Roman" w:eastAsia="宋体" w:cs="Times New Roman"/>
          <w:color w:val="auto"/>
          <w:spacing w:val="2"/>
          <w:sz w:val="24"/>
          <w:szCs w:val="24"/>
          <w:highlight w:val="none"/>
          <w:vertAlign w:val="superscript"/>
          <w:lang w:val="en-US" w:eastAsia="zh-CN"/>
        </w:rPr>
        <w:t>2</w:t>
      </w:r>
      <w:r>
        <w:rPr>
          <w:rFonts w:hint="default" w:ascii="Times New Roman" w:hAnsi="Times New Roman" w:eastAsia="宋体" w:cs="Times New Roman"/>
          <w:color w:val="auto"/>
          <w:spacing w:val="2"/>
          <w:sz w:val="24"/>
          <w:szCs w:val="24"/>
          <w:highlight w:val="none"/>
          <w:lang w:val="en-US" w:eastAsia="zh-CN"/>
        </w:rPr>
        <w:t>O</w:t>
      </w:r>
      <w:r>
        <w:rPr>
          <w:rFonts w:hint="eastAsia" w:ascii="Times New Roman" w:hAnsi="Times New Roman" w:eastAsia="宋体" w:cs="Times New Roman"/>
          <w:color w:val="auto"/>
          <w:spacing w:val="2"/>
          <w:sz w:val="24"/>
          <w:szCs w:val="24"/>
          <w:highlight w:val="none"/>
          <w:lang w:val="en-US" w:eastAsia="zh-CN"/>
        </w:rPr>
        <w:t>法、氧化沟、</w:t>
      </w:r>
      <w:r>
        <w:rPr>
          <w:rFonts w:hint="default" w:ascii="Times New Roman" w:hAnsi="Times New Roman" w:eastAsia="宋体" w:cs="Times New Roman"/>
          <w:color w:val="auto"/>
          <w:spacing w:val="2"/>
          <w:sz w:val="24"/>
          <w:szCs w:val="24"/>
          <w:highlight w:val="none"/>
          <w:lang w:val="en-US" w:eastAsia="zh-CN"/>
        </w:rPr>
        <w:t>SBR</w:t>
      </w:r>
      <w:r>
        <w:rPr>
          <w:rFonts w:hint="eastAsia" w:ascii="Times New Roman" w:hAnsi="Times New Roman" w:eastAsia="宋体" w:cs="Times New Roman"/>
          <w:color w:val="auto"/>
          <w:spacing w:val="2"/>
          <w:sz w:val="24"/>
          <w:szCs w:val="24"/>
          <w:highlight w:val="none"/>
          <w:lang w:val="en-US" w:eastAsia="zh-CN"/>
        </w:rPr>
        <w:t>及其各种变形、生物接触氧化等。根据各种污水处理厂处理工艺的技术经济性能和本工程的建设规模、进水特性和处理要求，本污水处理厂进水以生活污水为主，二级生物处理</w:t>
      </w:r>
      <w:r>
        <w:rPr>
          <w:rFonts w:hint="eastAsia" w:cs="Times New Roman"/>
          <w:color w:val="auto"/>
          <w:spacing w:val="2"/>
          <w:sz w:val="24"/>
          <w:szCs w:val="24"/>
          <w:highlight w:val="none"/>
          <w:lang w:val="en-US" w:eastAsia="zh-CN"/>
        </w:rPr>
        <w:t>选择</w:t>
      </w:r>
      <w:r>
        <w:rPr>
          <w:rFonts w:hint="default" w:ascii="Times New Roman" w:hAnsi="Times New Roman" w:eastAsia="宋体" w:cs="Times New Roman"/>
          <w:color w:val="auto"/>
          <w:spacing w:val="2"/>
          <w:sz w:val="24"/>
          <w:szCs w:val="24"/>
          <w:highlight w:val="none"/>
          <w:lang w:val="en-US" w:eastAsia="zh-CN"/>
        </w:rPr>
        <w:t>A</w:t>
      </w:r>
      <w:r>
        <w:rPr>
          <w:rFonts w:hint="eastAsia" w:cs="Times New Roman"/>
          <w:color w:val="auto"/>
          <w:spacing w:val="2"/>
          <w:sz w:val="24"/>
          <w:szCs w:val="24"/>
          <w:highlight w:val="none"/>
          <w:vertAlign w:val="superscript"/>
          <w:lang w:val="en-US" w:eastAsia="zh-CN"/>
        </w:rPr>
        <w:t>2</w:t>
      </w:r>
      <w:r>
        <w:rPr>
          <w:rFonts w:hint="default" w:ascii="Times New Roman" w:hAnsi="Times New Roman" w:eastAsia="宋体" w:cs="Times New Roman"/>
          <w:color w:val="auto"/>
          <w:spacing w:val="2"/>
          <w:sz w:val="24"/>
          <w:szCs w:val="24"/>
          <w:highlight w:val="none"/>
          <w:lang w:val="en-US" w:eastAsia="zh-CN"/>
        </w:rPr>
        <w:t>O</w:t>
      </w:r>
      <w:r>
        <w:rPr>
          <w:rFonts w:hint="eastAsia" w:cs="Times New Roman"/>
          <w:color w:val="auto"/>
          <w:spacing w:val="2"/>
          <w:sz w:val="24"/>
          <w:szCs w:val="24"/>
          <w:highlight w:val="none"/>
          <w:lang w:val="en-US" w:eastAsia="zh-CN"/>
        </w:rPr>
        <w:t>一体化处理设备</w:t>
      </w:r>
      <w:r>
        <w:rPr>
          <w:rFonts w:hint="eastAsia" w:ascii="Times New Roman" w:hAnsi="Times New Roman" w:eastAsia="宋体" w:cs="Times New Roman"/>
          <w:color w:val="auto"/>
          <w:spacing w:val="2"/>
          <w:sz w:val="24"/>
          <w:szCs w:val="24"/>
          <w:highlight w:val="none"/>
          <w:lang w:val="en-US" w:eastAsia="zh-CN"/>
        </w:rPr>
        <w:t>。</w:t>
      </w:r>
      <w:r>
        <w:rPr>
          <w:rFonts w:hint="eastAsia" w:cs="Times New Roman"/>
          <w:color w:val="auto"/>
          <w:spacing w:val="2"/>
          <w:sz w:val="24"/>
          <w:szCs w:val="24"/>
          <w:highlight w:val="none"/>
          <w:lang w:val="en-US" w:eastAsia="zh-CN"/>
        </w:rPr>
        <w:t>A</w:t>
      </w:r>
      <w:r>
        <w:rPr>
          <w:rFonts w:hint="eastAsia" w:cs="Times New Roman"/>
          <w:color w:val="auto"/>
          <w:spacing w:val="2"/>
          <w:sz w:val="24"/>
          <w:szCs w:val="24"/>
          <w:highlight w:val="none"/>
          <w:vertAlign w:val="superscript"/>
          <w:lang w:val="en-US" w:eastAsia="zh-CN"/>
        </w:rPr>
        <w:t>2</w:t>
      </w:r>
      <w:r>
        <w:rPr>
          <w:rFonts w:hint="eastAsia" w:cs="Times New Roman"/>
          <w:color w:val="auto"/>
          <w:spacing w:val="2"/>
          <w:sz w:val="24"/>
          <w:szCs w:val="24"/>
          <w:highlight w:val="none"/>
          <w:lang w:val="en-US" w:eastAsia="zh-CN"/>
        </w:rPr>
        <w:t>O一体化处理设备分为厌氧池、缺氧池、好氧池</w:t>
      </w:r>
      <w:r>
        <w:rPr>
          <w:rFonts w:hint="eastAsia" w:ascii="Times New Roman" w:hAnsi="Times New Roman" w:eastAsia="宋体" w:cs="Times New Roman"/>
          <w:color w:val="auto"/>
          <w:spacing w:val="2"/>
          <w:sz w:val="24"/>
          <w:szCs w:val="24"/>
          <w:highlight w:val="none"/>
          <w:lang w:val="en-US" w:eastAsia="zh-CN"/>
        </w:rPr>
        <w:t>，可以为反硝化菌、硝化菌的生长创造合适的环境。</w:t>
      </w:r>
      <w:r>
        <w:rPr>
          <w:rFonts w:hint="eastAsia" w:cs="Times New Roman"/>
          <w:color w:val="auto"/>
          <w:spacing w:val="2"/>
          <w:sz w:val="24"/>
          <w:szCs w:val="24"/>
          <w:highlight w:val="none"/>
          <w:lang w:val="en-US" w:eastAsia="zh-CN"/>
        </w:rPr>
        <w:t>该设备</w:t>
      </w:r>
      <w:r>
        <w:rPr>
          <w:rFonts w:hint="eastAsia" w:ascii="Times New Roman" w:hAnsi="Times New Roman" w:eastAsia="宋体" w:cs="Times New Roman"/>
          <w:color w:val="auto"/>
          <w:spacing w:val="2"/>
          <w:sz w:val="24"/>
          <w:szCs w:val="24"/>
          <w:highlight w:val="none"/>
          <w:lang w:val="en-US" w:eastAsia="zh-CN"/>
        </w:rPr>
        <w:t>可充分利用原水中的有机碳源进行反硝化，在各段硝化反硝化完全的情况下，或者投加少量碳源的情况下，可以达到出水</w:t>
      </w:r>
      <w:r>
        <w:rPr>
          <w:rFonts w:hint="default" w:ascii="Times New Roman" w:hAnsi="Times New Roman" w:eastAsia="宋体" w:cs="Times New Roman"/>
          <w:color w:val="auto"/>
          <w:spacing w:val="2"/>
          <w:sz w:val="24"/>
          <w:szCs w:val="24"/>
          <w:highlight w:val="none"/>
          <w:lang w:val="en-US" w:eastAsia="zh-CN"/>
        </w:rPr>
        <w:t>TN</w:t>
      </w:r>
      <w:r>
        <w:rPr>
          <w:rFonts w:hint="eastAsia" w:ascii="Times New Roman" w:hAnsi="Times New Roman" w:eastAsia="宋体" w:cs="Times New Roman"/>
          <w:color w:val="auto"/>
          <w:spacing w:val="2"/>
          <w:sz w:val="24"/>
          <w:szCs w:val="24"/>
          <w:highlight w:val="none"/>
          <w:lang w:val="en-US" w:eastAsia="zh-CN"/>
        </w:rPr>
        <w:t>小于</w:t>
      </w:r>
      <w:r>
        <w:rPr>
          <w:rFonts w:hint="default" w:ascii="Times New Roman" w:hAnsi="Times New Roman" w:eastAsia="宋体" w:cs="Times New Roman"/>
          <w:color w:val="auto"/>
          <w:spacing w:val="2"/>
          <w:sz w:val="24"/>
          <w:szCs w:val="24"/>
          <w:highlight w:val="none"/>
          <w:lang w:val="en-US" w:eastAsia="zh-CN"/>
        </w:rPr>
        <w:t>1mg/L</w:t>
      </w:r>
      <w:r>
        <w:rPr>
          <w:rFonts w:hint="eastAsia" w:ascii="Times New Roman" w:hAnsi="Times New Roman" w:eastAsia="宋体" w:cs="Times New Roman"/>
          <w:color w:val="auto"/>
          <w:spacing w:val="2"/>
          <w:sz w:val="24"/>
          <w:szCs w:val="24"/>
          <w:highlight w:val="none"/>
          <w:lang w:val="en-US" w:eastAsia="zh-CN"/>
        </w:rPr>
        <w:t>处理效果。对进水水质适应性较强，运行管理简单，投资节省，易于维护管理。</w:t>
      </w:r>
    </w:p>
    <w:p w14:paraId="0085C844">
      <w:pPr>
        <w:pStyle w:val="6"/>
        <w:bidi w:val="0"/>
        <w:rPr>
          <w:rFonts w:hint="eastAsia" w:eastAsia="宋体"/>
          <w:highlight w:val="none"/>
          <w:lang w:eastAsia="zh-CN"/>
        </w:rPr>
      </w:pPr>
      <w:r>
        <w:rPr>
          <w:rFonts w:hint="default"/>
          <w:highlight w:val="none"/>
          <w:lang w:val="en-US" w:eastAsia="zh-CN"/>
        </w:rPr>
        <w:t>6</w:t>
      </w:r>
      <w:r>
        <w:rPr>
          <w:rFonts w:hint="default"/>
          <w:highlight w:val="none"/>
        </w:rPr>
        <w:t>.2.</w:t>
      </w:r>
      <w:r>
        <w:rPr>
          <w:rFonts w:hint="eastAsia"/>
          <w:highlight w:val="none"/>
          <w:lang w:val="en-US" w:eastAsia="zh-CN"/>
        </w:rPr>
        <w:t>2深度处理工艺</w:t>
      </w:r>
    </w:p>
    <w:p w14:paraId="21F96F1E">
      <w:pPr>
        <w:keepNext w:val="0"/>
        <w:keepLines w:val="0"/>
        <w:widowControl/>
        <w:suppressLineNumbers w:val="0"/>
        <w:jc w:val="left"/>
        <w:rPr>
          <w:highlight w:val="none"/>
        </w:rPr>
      </w:pPr>
      <w:r>
        <w:rPr>
          <w:rFonts w:hint="eastAsia" w:ascii="宋体" w:hAnsi="宋体" w:eastAsia="宋体" w:cs="宋体"/>
          <w:color w:val="000000"/>
          <w:kern w:val="0"/>
          <w:sz w:val="24"/>
          <w:szCs w:val="24"/>
          <w:highlight w:val="none"/>
          <w:lang w:val="en-US" w:eastAsia="zh-CN" w:bidi="ar"/>
        </w:rPr>
        <w:t>深度处理主要去除污水中的少量</w:t>
      </w:r>
      <w:r>
        <w:rPr>
          <w:rFonts w:hint="default" w:ascii="Times New Roman" w:hAnsi="Times New Roman" w:eastAsia="宋体" w:cs="Times New Roman"/>
          <w:color w:val="000000"/>
          <w:kern w:val="0"/>
          <w:sz w:val="24"/>
          <w:szCs w:val="24"/>
          <w:highlight w:val="none"/>
          <w:lang w:val="en-US" w:eastAsia="zh-CN" w:bidi="ar"/>
        </w:rPr>
        <w:t>COD</w:t>
      </w:r>
      <w:r>
        <w:rPr>
          <w:rFonts w:hint="eastAsia" w:ascii="宋体" w:hAnsi="宋体" w:eastAsia="宋体" w:cs="宋体"/>
          <w:color w:val="000000"/>
          <w:kern w:val="0"/>
          <w:sz w:val="24"/>
          <w:szCs w:val="24"/>
          <w:highlight w:val="none"/>
          <w:lang w:val="en-US" w:eastAsia="zh-CN" w:bidi="ar"/>
        </w:rPr>
        <w:t>、</w:t>
      </w:r>
      <w:r>
        <w:rPr>
          <w:rFonts w:hint="default" w:ascii="Times New Roman" w:hAnsi="Times New Roman" w:eastAsia="宋体" w:cs="Times New Roman"/>
          <w:color w:val="000000"/>
          <w:kern w:val="0"/>
          <w:sz w:val="24"/>
          <w:szCs w:val="24"/>
          <w:highlight w:val="none"/>
          <w:lang w:val="en-US" w:eastAsia="zh-CN" w:bidi="ar"/>
        </w:rPr>
        <w:t>SS</w:t>
      </w:r>
      <w:r>
        <w:rPr>
          <w:rFonts w:hint="eastAsia" w:ascii="宋体" w:hAnsi="宋体" w:eastAsia="宋体" w:cs="宋体"/>
          <w:color w:val="000000"/>
          <w:kern w:val="0"/>
          <w:sz w:val="24"/>
          <w:szCs w:val="24"/>
          <w:highlight w:val="none"/>
          <w:lang w:val="en-US" w:eastAsia="zh-CN" w:bidi="ar"/>
        </w:rPr>
        <w:t>、</w:t>
      </w:r>
      <w:r>
        <w:rPr>
          <w:rFonts w:hint="default" w:ascii="Times New Roman" w:hAnsi="Times New Roman" w:eastAsia="宋体" w:cs="Times New Roman"/>
          <w:color w:val="000000"/>
          <w:kern w:val="0"/>
          <w:sz w:val="24"/>
          <w:szCs w:val="24"/>
          <w:highlight w:val="none"/>
          <w:lang w:val="en-US" w:eastAsia="zh-CN" w:bidi="ar"/>
        </w:rPr>
        <w:t>TP</w:t>
      </w:r>
      <w:r>
        <w:rPr>
          <w:rFonts w:hint="eastAsia" w:ascii="宋体" w:hAnsi="宋体" w:eastAsia="宋体" w:cs="宋体"/>
          <w:color w:val="000000"/>
          <w:kern w:val="0"/>
          <w:sz w:val="24"/>
          <w:szCs w:val="24"/>
          <w:highlight w:val="none"/>
          <w:lang w:val="en-US" w:eastAsia="zh-CN" w:bidi="ar"/>
        </w:rPr>
        <w:t>等指标，本项目深度处理工艺采用絮凝沉淀</w:t>
      </w:r>
      <w:r>
        <w:rPr>
          <w:rFonts w:hint="default" w:ascii="Times New Roman" w:hAnsi="Times New Roman" w:eastAsia="宋体" w:cs="Times New Roman"/>
          <w:color w:val="000000"/>
          <w:kern w:val="0"/>
          <w:sz w:val="24"/>
          <w:szCs w:val="24"/>
          <w:highlight w:val="none"/>
          <w:lang w:val="en-US" w:eastAsia="zh-CN" w:bidi="ar"/>
        </w:rPr>
        <w:t>+</w:t>
      </w:r>
      <w:r>
        <w:rPr>
          <w:rFonts w:hint="eastAsia" w:ascii="宋体" w:hAnsi="宋体" w:eastAsia="宋体" w:cs="宋体"/>
          <w:color w:val="000000"/>
          <w:kern w:val="0"/>
          <w:sz w:val="24"/>
          <w:szCs w:val="24"/>
          <w:highlight w:val="none"/>
          <w:lang w:val="en-US" w:eastAsia="zh-CN" w:bidi="ar"/>
        </w:rPr>
        <w:t>活性砂滤</w:t>
      </w:r>
      <w:r>
        <w:rPr>
          <w:rFonts w:hint="default" w:ascii="Times New Roman" w:hAnsi="Times New Roman" w:eastAsia="宋体" w:cs="Times New Roman"/>
          <w:color w:val="000000"/>
          <w:kern w:val="0"/>
          <w:sz w:val="24"/>
          <w:szCs w:val="24"/>
          <w:highlight w:val="none"/>
          <w:lang w:val="en-US" w:eastAsia="zh-CN" w:bidi="ar"/>
        </w:rPr>
        <w:t>+</w:t>
      </w:r>
      <w:r>
        <w:rPr>
          <w:rFonts w:hint="eastAsia" w:ascii="宋体" w:hAnsi="宋体" w:eastAsia="宋体" w:cs="宋体"/>
          <w:color w:val="000000"/>
          <w:kern w:val="0"/>
          <w:sz w:val="24"/>
          <w:szCs w:val="24"/>
          <w:highlight w:val="none"/>
          <w:lang w:val="en-US" w:eastAsia="zh-CN" w:bidi="ar"/>
        </w:rPr>
        <w:t>消毒的组合处理工艺。</w:t>
      </w:r>
    </w:p>
    <w:p w14:paraId="3C330FC8">
      <w:pPr>
        <w:keepNext w:val="0"/>
        <w:keepLines w:val="0"/>
        <w:widowControl/>
        <w:suppressLineNumbers w:val="0"/>
        <w:jc w:val="left"/>
        <w:rPr>
          <w:highlight w:val="none"/>
        </w:rPr>
      </w:pPr>
      <w:r>
        <w:rPr>
          <w:rFonts w:hint="eastAsia" w:ascii="宋体" w:hAnsi="宋体" w:eastAsia="宋体" w:cs="宋体"/>
          <w:color w:val="000000"/>
          <w:kern w:val="0"/>
          <w:sz w:val="24"/>
          <w:szCs w:val="24"/>
          <w:highlight w:val="none"/>
          <w:lang w:val="en-US" w:eastAsia="zh-CN" w:bidi="ar"/>
        </w:rPr>
        <w:t>⑴絮凝沉淀：本项目的絮凝沉淀池出水水质稳定良好、节省占地面积、节约运行费用及能耗、抗冲击负荷能力强、运行管理简便。</w:t>
      </w:r>
    </w:p>
    <w:p w14:paraId="383CFF67">
      <w:pPr>
        <w:keepNext w:val="0"/>
        <w:keepLines w:val="0"/>
        <w:widowControl/>
        <w:suppressLineNumbers w:val="0"/>
        <w:jc w:val="left"/>
        <w:rPr>
          <w:highlight w:val="none"/>
        </w:rPr>
      </w:pPr>
      <w:r>
        <w:rPr>
          <w:rFonts w:hint="eastAsia" w:ascii="宋体" w:hAnsi="宋体" w:eastAsia="宋体" w:cs="宋体"/>
          <w:color w:val="000000"/>
          <w:kern w:val="0"/>
          <w:sz w:val="24"/>
          <w:szCs w:val="24"/>
          <w:highlight w:val="none"/>
          <w:lang w:val="en-US" w:eastAsia="zh-CN" w:bidi="ar"/>
        </w:rPr>
        <w:t>⑵过滤：根据本工程需要，污水经过絮凝沉淀后需要进行过滤处理，选用砂滤罐。</w:t>
      </w:r>
    </w:p>
    <w:p w14:paraId="27A04BDB">
      <w:pPr>
        <w:keepNext w:val="0"/>
        <w:keepLines w:val="0"/>
        <w:widowControl/>
        <w:suppressLineNumbers w:val="0"/>
        <w:jc w:val="left"/>
        <w:rPr>
          <w:highlight w:val="none"/>
        </w:rPr>
      </w:pPr>
      <w:r>
        <w:rPr>
          <w:rFonts w:hint="eastAsia"/>
          <w:highlight w:val="none"/>
          <w:lang w:val="en-US" w:eastAsia="zh-CN"/>
        </w:rPr>
        <w:t>混凝沉淀池</w:t>
      </w:r>
      <w:r>
        <w:rPr>
          <w:rFonts w:hint="default"/>
          <w:highlight w:val="none"/>
          <w:lang w:val="en-US" w:eastAsia="zh-CN"/>
        </w:rPr>
        <w:t>上清液用提升泵提升至</w:t>
      </w:r>
      <w:r>
        <w:rPr>
          <w:rFonts w:hint="eastAsia"/>
          <w:highlight w:val="none"/>
          <w:lang w:val="en-US" w:eastAsia="zh-CN"/>
        </w:rPr>
        <w:t>砂滤</w:t>
      </w:r>
      <w:r>
        <w:rPr>
          <w:rFonts w:hint="default"/>
          <w:highlight w:val="none"/>
          <w:lang w:val="en-US" w:eastAsia="zh-CN"/>
        </w:rPr>
        <w:t>罐进一步去除杂质。</w:t>
      </w:r>
      <w:r>
        <w:rPr>
          <w:rFonts w:hint="eastAsia"/>
          <w:highlight w:val="none"/>
          <w:lang w:val="en-US" w:eastAsia="zh-CN"/>
        </w:rPr>
        <w:t>本项目采用活性砂滤工艺，活性砂过滤器基于逆流原理，絮凝反应出水经进水管，通过上面的进入过滤器，过滤器底部的布水器均匀分配后向上逆流通过滤料层并外排。在此过程中，污水被过滤，水中的污染物含量降低；同时石英砂滤料中污染物的含量增加，并且下层滤料层的污染物含量高于上层滤料。位于过滤器中央的空气提升泵在空压机的作用下将底层的石英砂滤料提升至过滤器顶部的洗砂器中清洗。杂质通过清洗水出口排出，净砂利用自重返回砂床从而实现连续过滤。砂滤后的出水泵入消毒池进一步处理</w:t>
      </w:r>
      <w:r>
        <w:rPr>
          <w:rFonts w:hint="eastAsia" w:ascii="宋体" w:hAnsi="宋体" w:eastAsia="宋体" w:cs="宋体"/>
          <w:color w:val="000000"/>
          <w:kern w:val="0"/>
          <w:sz w:val="24"/>
          <w:szCs w:val="24"/>
          <w:highlight w:val="none"/>
          <w:lang w:val="en-US" w:eastAsia="zh-CN" w:bidi="ar"/>
        </w:rPr>
        <w:t>。</w:t>
      </w:r>
    </w:p>
    <w:p w14:paraId="75FA19CB">
      <w:pPr>
        <w:keepNext w:val="0"/>
        <w:keepLines w:val="0"/>
        <w:widowControl/>
        <w:suppressLineNumbers w:val="0"/>
        <w:jc w:val="left"/>
        <w:rPr>
          <w:highlight w:val="none"/>
        </w:rPr>
      </w:pPr>
      <w:r>
        <w:rPr>
          <w:rFonts w:hint="eastAsia" w:ascii="宋体" w:hAnsi="宋体" w:eastAsia="宋体" w:cs="宋体"/>
          <w:color w:val="000000"/>
          <w:kern w:val="0"/>
          <w:sz w:val="24"/>
          <w:szCs w:val="24"/>
          <w:highlight w:val="none"/>
          <w:lang w:val="en-US" w:eastAsia="zh-CN" w:bidi="ar"/>
        </w:rPr>
        <w:t xml:space="preserve">⑶消毒 </w:t>
      </w:r>
    </w:p>
    <w:p w14:paraId="043F5E4B">
      <w:pPr>
        <w:keepNext w:val="0"/>
        <w:keepLines w:val="0"/>
        <w:widowControl/>
        <w:suppressLineNumbers w:val="0"/>
        <w:jc w:val="left"/>
        <w:rPr>
          <w:highlight w:val="none"/>
        </w:rPr>
      </w:pPr>
      <w:r>
        <w:rPr>
          <w:rFonts w:hint="eastAsia" w:ascii="宋体" w:hAnsi="宋体" w:eastAsia="宋体" w:cs="宋体"/>
          <w:color w:val="000000"/>
          <w:kern w:val="0"/>
          <w:sz w:val="24"/>
          <w:szCs w:val="24"/>
          <w:highlight w:val="none"/>
          <w:lang w:val="en-US" w:eastAsia="zh-CN" w:bidi="ar"/>
        </w:rPr>
        <w:t>消毒方法大体可分为两类：物理方法和化学方法。物理方法主要有加热、冷冻、紫外线和微波消毒等方法。化学方法是利用各种化学药剂进行消毒，常用的化学消毒剂有多种氧化剂（液氯、次氯酸钠、二氧化氯、臭氧、溴、碘、高锰酸钾等）、某些重金属离子（银、铜等）等。</w:t>
      </w:r>
    </w:p>
    <w:p w14:paraId="1BC7EFD9">
      <w:pPr>
        <w:pStyle w:val="20"/>
        <w:numPr>
          <w:ilvl w:val="0"/>
          <w:numId w:val="42"/>
        </w:numPr>
        <w:spacing w:after="0" w:line="440" w:lineRule="exact"/>
        <w:ind w:left="425" w:leftChars="0" w:hanging="425" w:firstLineChars="0"/>
        <w:jc w:val="center"/>
        <w:rPr>
          <w:rFonts w:hint="default" w:ascii="Times New Roman" w:hAnsi="Times New Roman" w:eastAsia="宋体" w:cs="Times New Roman"/>
          <w:b/>
          <w:color w:val="000000"/>
          <w:sz w:val="24"/>
          <w:szCs w:val="24"/>
          <w:highlight w:val="none"/>
        </w:rPr>
      </w:pPr>
      <w:r>
        <w:rPr>
          <w:rFonts w:hint="default" w:ascii="Times New Roman" w:hAnsi="Times New Roman" w:eastAsia="宋体" w:cs="Times New Roman"/>
          <w:b/>
          <w:color w:val="000000"/>
          <w:sz w:val="24"/>
          <w:szCs w:val="24"/>
          <w:highlight w:val="none"/>
          <w:lang w:val="en-US" w:eastAsia="zh-CN"/>
        </w:rPr>
        <w:t xml:space="preserve"> </w:t>
      </w:r>
      <w:r>
        <w:rPr>
          <w:rFonts w:hint="eastAsia" w:ascii="Times New Roman" w:hAnsi="Times New Roman" w:eastAsia="宋体" w:cs="Times New Roman"/>
          <w:b/>
          <w:color w:val="000000"/>
          <w:sz w:val="24"/>
          <w:szCs w:val="24"/>
          <w:highlight w:val="none"/>
          <w:lang w:val="en-US" w:eastAsia="zh-CN"/>
        </w:rPr>
        <w:t>为几种最常用的尾水消毒技术的优缺点比较。</w:t>
      </w:r>
    </w:p>
    <w:tbl>
      <w:tblPr>
        <w:tblStyle w:val="48"/>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089"/>
        <w:gridCol w:w="2862"/>
        <w:gridCol w:w="2862"/>
        <w:gridCol w:w="2475"/>
      </w:tblGrid>
      <w:tr w14:paraId="10E6FA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089" w:type="dxa"/>
            <w:vAlign w:val="center"/>
          </w:tcPr>
          <w:p w14:paraId="3D6CD37F">
            <w:pPr>
              <w:pStyle w:val="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b w:val="0"/>
                <w:bCs w:val="0"/>
                <w:sz w:val="21"/>
                <w:szCs w:val="21"/>
                <w:highlight w:val="none"/>
                <w:vertAlign w:val="baseline"/>
                <w:lang w:val="en-US" w:eastAsia="zh-CN"/>
              </w:rPr>
            </w:pPr>
            <w:r>
              <w:rPr>
                <w:rFonts w:hint="eastAsia"/>
                <w:b w:val="0"/>
                <w:bCs w:val="0"/>
                <w:sz w:val="21"/>
                <w:szCs w:val="21"/>
                <w:highlight w:val="none"/>
                <w:vertAlign w:val="baseline"/>
                <w:lang w:val="en-US" w:eastAsia="zh-CN"/>
              </w:rPr>
              <w:t>消毒剂</w:t>
            </w:r>
          </w:p>
        </w:tc>
        <w:tc>
          <w:tcPr>
            <w:tcW w:w="2862" w:type="dxa"/>
            <w:vAlign w:val="center"/>
          </w:tcPr>
          <w:p w14:paraId="4D11EFBF">
            <w:pPr>
              <w:pStyle w:val="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b w:val="0"/>
                <w:bCs w:val="0"/>
                <w:sz w:val="21"/>
                <w:szCs w:val="21"/>
                <w:highlight w:val="none"/>
                <w:vertAlign w:val="baseline"/>
                <w:lang w:val="en-US" w:eastAsia="zh-CN"/>
              </w:rPr>
            </w:pPr>
            <w:r>
              <w:rPr>
                <w:rFonts w:hint="eastAsia"/>
                <w:b w:val="0"/>
                <w:bCs w:val="0"/>
                <w:sz w:val="21"/>
                <w:szCs w:val="21"/>
                <w:highlight w:val="none"/>
                <w:vertAlign w:val="baseline"/>
                <w:lang w:val="en-US" w:eastAsia="zh-CN"/>
              </w:rPr>
              <w:t>优点</w:t>
            </w:r>
          </w:p>
        </w:tc>
        <w:tc>
          <w:tcPr>
            <w:tcW w:w="2862" w:type="dxa"/>
            <w:vAlign w:val="center"/>
          </w:tcPr>
          <w:p w14:paraId="1343FAAD">
            <w:pPr>
              <w:pStyle w:val="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b w:val="0"/>
                <w:bCs w:val="0"/>
                <w:sz w:val="21"/>
                <w:szCs w:val="21"/>
                <w:highlight w:val="none"/>
                <w:vertAlign w:val="baseline"/>
                <w:lang w:val="en-US" w:eastAsia="zh-CN"/>
              </w:rPr>
            </w:pPr>
            <w:r>
              <w:rPr>
                <w:rFonts w:hint="eastAsia"/>
                <w:b w:val="0"/>
                <w:bCs w:val="0"/>
                <w:sz w:val="21"/>
                <w:szCs w:val="21"/>
                <w:highlight w:val="none"/>
                <w:vertAlign w:val="baseline"/>
                <w:lang w:val="en-US" w:eastAsia="zh-CN"/>
              </w:rPr>
              <w:t>缺点</w:t>
            </w:r>
          </w:p>
        </w:tc>
        <w:tc>
          <w:tcPr>
            <w:tcW w:w="2475" w:type="dxa"/>
            <w:vAlign w:val="center"/>
          </w:tcPr>
          <w:p w14:paraId="23EA3E6F">
            <w:pPr>
              <w:pStyle w:val="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b w:val="0"/>
                <w:bCs w:val="0"/>
                <w:sz w:val="21"/>
                <w:szCs w:val="21"/>
                <w:highlight w:val="none"/>
                <w:vertAlign w:val="baseline"/>
                <w:lang w:val="en-US" w:eastAsia="zh-CN"/>
              </w:rPr>
            </w:pPr>
            <w:r>
              <w:rPr>
                <w:rFonts w:hint="eastAsia"/>
                <w:b w:val="0"/>
                <w:bCs w:val="0"/>
                <w:sz w:val="21"/>
                <w:szCs w:val="21"/>
                <w:highlight w:val="none"/>
                <w:vertAlign w:val="baseline"/>
                <w:lang w:val="en-US" w:eastAsia="zh-CN"/>
              </w:rPr>
              <w:t>消毒效果</w:t>
            </w:r>
          </w:p>
        </w:tc>
      </w:tr>
      <w:tr w14:paraId="2D7730D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089" w:type="dxa"/>
            <w:vAlign w:val="center"/>
          </w:tcPr>
          <w:p w14:paraId="383C8D7B">
            <w:pPr>
              <w:pStyle w:val="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b w:val="0"/>
                <w:bCs w:val="0"/>
                <w:sz w:val="21"/>
                <w:szCs w:val="21"/>
                <w:highlight w:val="none"/>
                <w:vertAlign w:val="baseline"/>
                <w:lang w:val="en-US" w:eastAsia="zh-CN"/>
              </w:rPr>
            </w:pPr>
            <w:r>
              <w:rPr>
                <w:rFonts w:hint="eastAsia"/>
                <w:b w:val="0"/>
                <w:bCs w:val="0"/>
                <w:sz w:val="21"/>
                <w:szCs w:val="21"/>
                <w:highlight w:val="none"/>
                <w:vertAlign w:val="baseline"/>
                <w:lang w:val="en-US" w:eastAsia="zh-CN"/>
              </w:rPr>
              <w:t>氯Cl</w:t>
            </w:r>
            <w:r>
              <w:rPr>
                <w:rFonts w:hint="eastAsia"/>
                <w:b w:val="0"/>
                <w:bCs w:val="0"/>
                <w:sz w:val="21"/>
                <w:szCs w:val="21"/>
                <w:highlight w:val="none"/>
                <w:vertAlign w:val="subscript"/>
                <w:lang w:val="en-US" w:eastAsia="zh-CN"/>
              </w:rPr>
              <w:t>2</w:t>
            </w:r>
          </w:p>
        </w:tc>
        <w:tc>
          <w:tcPr>
            <w:tcW w:w="2862" w:type="dxa"/>
            <w:vAlign w:val="center"/>
          </w:tcPr>
          <w:p w14:paraId="7C3B4533">
            <w:pPr>
              <w:pStyle w:val="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b w:val="0"/>
                <w:bCs w:val="0"/>
                <w:sz w:val="21"/>
                <w:szCs w:val="21"/>
                <w:highlight w:val="none"/>
                <w:vertAlign w:val="baseline"/>
                <w:lang w:val="en-US" w:eastAsia="zh-CN"/>
              </w:rPr>
            </w:pPr>
            <w:r>
              <w:rPr>
                <w:rFonts w:hint="eastAsia"/>
                <w:b w:val="0"/>
                <w:bCs w:val="0"/>
                <w:sz w:val="21"/>
                <w:szCs w:val="21"/>
                <w:highlight w:val="none"/>
                <w:vertAlign w:val="baseline"/>
                <w:lang w:val="en-US" w:eastAsia="zh-CN"/>
              </w:rPr>
              <w:t>具有持续消毒作用：工艺简单，技术成熟；操作简单，投量准确。</w:t>
            </w:r>
          </w:p>
        </w:tc>
        <w:tc>
          <w:tcPr>
            <w:tcW w:w="2862" w:type="dxa"/>
            <w:vAlign w:val="center"/>
          </w:tcPr>
          <w:p w14:paraId="205B42B9">
            <w:pPr>
              <w:pStyle w:val="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b w:val="0"/>
                <w:bCs w:val="0"/>
                <w:sz w:val="21"/>
                <w:szCs w:val="21"/>
                <w:highlight w:val="none"/>
                <w:vertAlign w:val="baseline"/>
                <w:lang w:val="en-US" w:eastAsia="zh-CN"/>
              </w:rPr>
            </w:pPr>
            <w:r>
              <w:rPr>
                <w:rFonts w:hint="eastAsia"/>
                <w:b w:val="0"/>
                <w:bCs w:val="0"/>
                <w:sz w:val="21"/>
                <w:szCs w:val="21"/>
                <w:highlight w:val="none"/>
                <w:vertAlign w:val="baseline"/>
                <w:lang w:val="en-US" w:eastAsia="zh-CN"/>
              </w:rPr>
              <w:t>产生具致癌、致畸作用的有机氯化物（THMs）;处理水有氯或氯酚味；氯气腐蚀性强；运行管理有一定的危险性。</w:t>
            </w:r>
          </w:p>
        </w:tc>
        <w:tc>
          <w:tcPr>
            <w:tcW w:w="2475" w:type="dxa"/>
            <w:vAlign w:val="center"/>
          </w:tcPr>
          <w:p w14:paraId="5475E388">
            <w:pPr>
              <w:pStyle w:val="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b w:val="0"/>
                <w:bCs w:val="0"/>
                <w:sz w:val="21"/>
                <w:szCs w:val="21"/>
                <w:highlight w:val="none"/>
                <w:vertAlign w:val="baseline"/>
                <w:lang w:val="en-US" w:eastAsia="zh-CN"/>
              </w:rPr>
            </w:pPr>
            <w:r>
              <w:rPr>
                <w:rFonts w:hint="eastAsia"/>
                <w:b w:val="0"/>
                <w:bCs w:val="0"/>
                <w:sz w:val="21"/>
                <w:szCs w:val="21"/>
                <w:highlight w:val="none"/>
                <w:vertAlign w:val="baseline"/>
                <w:lang w:val="en-US" w:eastAsia="zh-CN"/>
              </w:rPr>
              <w:t>能有效杀菌，但杀灭病毒效果较差。</w:t>
            </w:r>
          </w:p>
        </w:tc>
      </w:tr>
      <w:tr w14:paraId="4A655E2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089" w:type="dxa"/>
            <w:vAlign w:val="center"/>
          </w:tcPr>
          <w:p w14:paraId="6E488C67">
            <w:pPr>
              <w:pStyle w:val="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b w:val="0"/>
                <w:bCs w:val="0"/>
                <w:sz w:val="21"/>
                <w:szCs w:val="21"/>
                <w:highlight w:val="none"/>
                <w:vertAlign w:val="baseline"/>
                <w:lang w:val="en-US" w:eastAsia="zh-CN"/>
              </w:rPr>
            </w:pPr>
            <w:r>
              <w:rPr>
                <w:rFonts w:hint="eastAsia"/>
                <w:b w:val="0"/>
                <w:bCs w:val="0"/>
                <w:sz w:val="21"/>
                <w:szCs w:val="21"/>
                <w:highlight w:val="none"/>
                <w:vertAlign w:val="baseline"/>
                <w:lang w:val="en-US" w:eastAsia="zh-CN"/>
              </w:rPr>
              <w:t>次氯酸钠</w:t>
            </w:r>
          </w:p>
        </w:tc>
        <w:tc>
          <w:tcPr>
            <w:tcW w:w="2862" w:type="dxa"/>
            <w:vAlign w:val="center"/>
          </w:tcPr>
          <w:p w14:paraId="21FD71F2">
            <w:pPr>
              <w:pStyle w:val="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b w:val="0"/>
                <w:bCs w:val="0"/>
                <w:sz w:val="21"/>
                <w:szCs w:val="21"/>
                <w:highlight w:val="none"/>
                <w:vertAlign w:val="baseline"/>
                <w:lang w:val="en-US" w:eastAsia="zh-CN"/>
              </w:rPr>
            </w:pPr>
            <w:r>
              <w:rPr>
                <w:rFonts w:hint="eastAsia"/>
                <w:b w:val="0"/>
                <w:bCs w:val="0"/>
                <w:sz w:val="21"/>
                <w:szCs w:val="21"/>
                <w:highlight w:val="none"/>
                <w:vertAlign w:val="baseline"/>
                <w:lang w:val="en-US" w:eastAsia="zh-CN"/>
              </w:rPr>
              <w:t>无毒，运行、管理五危险性。</w:t>
            </w:r>
          </w:p>
        </w:tc>
        <w:tc>
          <w:tcPr>
            <w:tcW w:w="2862" w:type="dxa"/>
            <w:vAlign w:val="center"/>
          </w:tcPr>
          <w:p w14:paraId="65B80553">
            <w:pPr>
              <w:pStyle w:val="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b w:val="0"/>
                <w:bCs w:val="0"/>
                <w:sz w:val="21"/>
                <w:szCs w:val="21"/>
                <w:highlight w:val="none"/>
                <w:vertAlign w:val="baseline"/>
                <w:lang w:val="en-US" w:eastAsia="zh-CN"/>
              </w:rPr>
            </w:pPr>
            <w:r>
              <w:rPr>
                <w:rFonts w:hint="eastAsia"/>
                <w:b w:val="0"/>
                <w:bCs w:val="0"/>
                <w:sz w:val="21"/>
                <w:szCs w:val="21"/>
                <w:highlight w:val="none"/>
                <w:vertAlign w:val="baseline"/>
                <w:lang w:val="en-US" w:eastAsia="zh-CN"/>
              </w:rPr>
              <w:t>产生具致癌、致畸作用的有机氯化物（THMs）;使水的pH值升高。</w:t>
            </w:r>
          </w:p>
        </w:tc>
        <w:tc>
          <w:tcPr>
            <w:tcW w:w="2475" w:type="dxa"/>
            <w:vAlign w:val="center"/>
          </w:tcPr>
          <w:p w14:paraId="6D58F355">
            <w:pPr>
              <w:pStyle w:val="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b w:val="0"/>
                <w:bCs w:val="0"/>
                <w:sz w:val="21"/>
                <w:szCs w:val="21"/>
                <w:highlight w:val="none"/>
                <w:vertAlign w:val="baseline"/>
                <w:lang w:val="en-US" w:eastAsia="zh-CN"/>
              </w:rPr>
            </w:pPr>
            <w:r>
              <w:rPr>
                <w:rFonts w:hint="eastAsia"/>
                <w:b w:val="0"/>
                <w:bCs w:val="0"/>
                <w:sz w:val="21"/>
                <w:szCs w:val="21"/>
                <w:highlight w:val="none"/>
                <w:vertAlign w:val="baseline"/>
                <w:lang w:val="en-US" w:eastAsia="zh-CN"/>
              </w:rPr>
              <w:t>能有效杀菌，运行简单，效果很好。</w:t>
            </w:r>
          </w:p>
        </w:tc>
      </w:tr>
      <w:tr w14:paraId="06D261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089" w:type="dxa"/>
            <w:vAlign w:val="center"/>
          </w:tcPr>
          <w:p w14:paraId="0CBD876D">
            <w:pPr>
              <w:pStyle w:val="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b w:val="0"/>
                <w:bCs w:val="0"/>
                <w:sz w:val="21"/>
                <w:szCs w:val="21"/>
                <w:highlight w:val="none"/>
                <w:vertAlign w:val="baseline"/>
                <w:lang w:val="en-US" w:eastAsia="zh-CN"/>
              </w:rPr>
            </w:pPr>
            <w:r>
              <w:rPr>
                <w:rFonts w:hint="eastAsia"/>
                <w:b w:val="0"/>
                <w:bCs w:val="0"/>
                <w:sz w:val="21"/>
                <w:szCs w:val="21"/>
                <w:highlight w:val="none"/>
                <w:vertAlign w:val="baseline"/>
                <w:lang w:val="en-US" w:eastAsia="zh-CN"/>
              </w:rPr>
              <w:t>二氧化氯</w:t>
            </w:r>
          </w:p>
        </w:tc>
        <w:tc>
          <w:tcPr>
            <w:tcW w:w="2862" w:type="dxa"/>
            <w:vAlign w:val="center"/>
          </w:tcPr>
          <w:p w14:paraId="36798125">
            <w:pPr>
              <w:pStyle w:val="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b w:val="0"/>
                <w:bCs w:val="0"/>
                <w:sz w:val="21"/>
                <w:szCs w:val="21"/>
                <w:highlight w:val="none"/>
                <w:vertAlign w:val="baseline"/>
                <w:lang w:val="en-US" w:eastAsia="zh-CN"/>
              </w:rPr>
            </w:pPr>
            <w:r>
              <w:rPr>
                <w:rFonts w:hint="eastAsia"/>
                <w:b w:val="0"/>
                <w:bCs w:val="0"/>
                <w:sz w:val="21"/>
                <w:szCs w:val="21"/>
                <w:highlight w:val="none"/>
                <w:vertAlign w:val="baseline"/>
                <w:lang w:val="en-US" w:eastAsia="zh-CN"/>
              </w:rPr>
              <w:t>具有强烈的氧化作用，不产生邮寄卤化物（THMs）:投放简单方便，不受pH影响。</w:t>
            </w:r>
          </w:p>
        </w:tc>
        <w:tc>
          <w:tcPr>
            <w:tcW w:w="2862" w:type="dxa"/>
            <w:vAlign w:val="center"/>
          </w:tcPr>
          <w:p w14:paraId="49E21306">
            <w:pPr>
              <w:pStyle w:val="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b w:val="0"/>
                <w:bCs w:val="0"/>
                <w:sz w:val="21"/>
                <w:szCs w:val="21"/>
                <w:highlight w:val="none"/>
                <w:vertAlign w:val="baseline"/>
                <w:lang w:val="en-US" w:eastAsia="zh-CN"/>
              </w:rPr>
            </w:pPr>
            <w:r>
              <w:rPr>
                <w:rFonts w:hint="eastAsia"/>
                <w:b w:val="0"/>
                <w:bCs w:val="0"/>
                <w:sz w:val="21"/>
                <w:szCs w:val="21"/>
                <w:highlight w:val="none"/>
                <w:vertAlign w:val="baseline"/>
                <w:lang w:val="en-US" w:eastAsia="zh-CN"/>
              </w:rPr>
              <w:t>二氧化氯运行、管理有一定的危险性；只能就地生产，就地使用；制取设备复杂；操作管理要求高。</w:t>
            </w:r>
          </w:p>
        </w:tc>
        <w:tc>
          <w:tcPr>
            <w:tcW w:w="2475" w:type="dxa"/>
            <w:vAlign w:val="center"/>
          </w:tcPr>
          <w:p w14:paraId="4A824C91">
            <w:pPr>
              <w:pStyle w:val="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b w:val="0"/>
                <w:bCs w:val="0"/>
                <w:sz w:val="21"/>
                <w:szCs w:val="21"/>
                <w:highlight w:val="none"/>
                <w:vertAlign w:val="baseline"/>
                <w:lang w:val="en-US" w:eastAsia="zh-CN"/>
              </w:rPr>
            </w:pPr>
            <w:r>
              <w:rPr>
                <w:rFonts w:hint="eastAsia"/>
                <w:b w:val="0"/>
                <w:bCs w:val="0"/>
                <w:sz w:val="21"/>
                <w:szCs w:val="21"/>
                <w:highlight w:val="none"/>
                <w:vertAlign w:val="baseline"/>
                <w:lang w:val="en-US" w:eastAsia="zh-CN"/>
              </w:rPr>
              <w:t>能有效杀菌，但要求管理水平较高。</w:t>
            </w:r>
          </w:p>
        </w:tc>
      </w:tr>
      <w:tr w14:paraId="206596A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089" w:type="dxa"/>
            <w:vAlign w:val="center"/>
          </w:tcPr>
          <w:p w14:paraId="7FE3DB55">
            <w:pPr>
              <w:pStyle w:val="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b w:val="0"/>
                <w:bCs w:val="0"/>
                <w:sz w:val="21"/>
                <w:szCs w:val="21"/>
                <w:highlight w:val="none"/>
                <w:vertAlign w:val="baseline"/>
                <w:lang w:eastAsia="zh-CN"/>
              </w:rPr>
            </w:pPr>
            <w:r>
              <w:rPr>
                <w:rFonts w:hint="eastAsia"/>
                <w:b w:val="0"/>
                <w:bCs w:val="0"/>
                <w:sz w:val="21"/>
                <w:szCs w:val="21"/>
                <w:highlight w:val="none"/>
                <w:vertAlign w:val="baseline"/>
                <w:lang w:val="en-US" w:eastAsia="zh-CN"/>
              </w:rPr>
              <w:t>臭氧</w:t>
            </w:r>
          </w:p>
        </w:tc>
        <w:tc>
          <w:tcPr>
            <w:tcW w:w="2862" w:type="dxa"/>
            <w:vAlign w:val="center"/>
          </w:tcPr>
          <w:p w14:paraId="1CA2C9A8">
            <w:pPr>
              <w:pStyle w:val="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b w:val="0"/>
                <w:bCs w:val="0"/>
                <w:sz w:val="21"/>
                <w:szCs w:val="21"/>
                <w:highlight w:val="none"/>
                <w:vertAlign w:val="baseline"/>
                <w:lang w:val="en-US" w:eastAsia="zh-CN"/>
              </w:rPr>
            </w:pPr>
            <w:r>
              <w:rPr>
                <w:rFonts w:hint="eastAsia"/>
                <w:b w:val="0"/>
                <w:bCs w:val="0"/>
                <w:sz w:val="21"/>
                <w:szCs w:val="21"/>
                <w:highlight w:val="none"/>
                <w:vertAlign w:val="baseline"/>
                <w:lang w:val="en-US" w:eastAsia="zh-CN"/>
              </w:rPr>
              <w:t>有强氧化能力，接触时间短；不产生有机氯化物；不受pH影响；能增加水中溶解氧。</w:t>
            </w:r>
          </w:p>
        </w:tc>
        <w:tc>
          <w:tcPr>
            <w:tcW w:w="2862" w:type="dxa"/>
            <w:vAlign w:val="center"/>
          </w:tcPr>
          <w:p w14:paraId="1BD2D590">
            <w:pPr>
              <w:pStyle w:val="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b w:val="0"/>
                <w:bCs w:val="0"/>
                <w:sz w:val="21"/>
                <w:szCs w:val="21"/>
                <w:highlight w:val="none"/>
                <w:vertAlign w:val="baseline"/>
                <w:lang w:val="en-US" w:eastAsia="zh-CN"/>
              </w:rPr>
            </w:pPr>
            <w:r>
              <w:rPr>
                <w:rFonts w:hint="eastAsia"/>
                <w:b w:val="0"/>
                <w:bCs w:val="0"/>
                <w:sz w:val="21"/>
                <w:szCs w:val="21"/>
                <w:highlight w:val="none"/>
                <w:vertAlign w:val="baseline"/>
                <w:lang w:val="en-US" w:eastAsia="zh-CN"/>
              </w:rPr>
              <w:t>臭氧运行、管理有一定的危险性；操作复杂；制取臭氧的产率低；电能消耗大；基建投资较大；运行成本高。</w:t>
            </w:r>
          </w:p>
        </w:tc>
        <w:tc>
          <w:tcPr>
            <w:tcW w:w="2475" w:type="dxa"/>
            <w:vAlign w:val="center"/>
          </w:tcPr>
          <w:p w14:paraId="2FA946AC">
            <w:pPr>
              <w:pStyle w:val="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b w:val="0"/>
                <w:bCs w:val="0"/>
                <w:sz w:val="21"/>
                <w:szCs w:val="21"/>
                <w:highlight w:val="none"/>
                <w:vertAlign w:val="baseline"/>
                <w:lang w:val="en-US" w:eastAsia="zh-CN"/>
              </w:rPr>
            </w:pPr>
            <w:r>
              <w:rPr>
                <w:rFonts w:hint="eastAsia"/>
                <w:b w:val="0"/>
                <w:bCs w:val="0"/>
                <w:sz w:val="21"/>
                <w:szCs w:val="21"/>
                <w:highlight w:val="none"/>
                <w:vertAlign w:val="baseline"/>
                <w:lang w:val="en-US" w:eastAsia="zh-CN"/>
              </w:rPr>
              <w:t>杀菌和杀病毒的效果均很好。</w:t>
            </w:r>
          </w:p>
        </w:tc>
      </w:tr>
      <w:tr w14:paraId="14DA193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089" w:type="dxa"/>
            <w:vAlign w:val="center"/>
          </w:tcPr>
          <w:p w14:paraId="25FA1486">
            <w:pPr>
              <w:pStyle w:val="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b w:val="0"/>
                <w:bCs w:val="0"/>
                <w:sz w:val="21"/>
                <w:szCs w:val="21"/>
                <w:highlight w:val="none"/>
                <w:vertAlign w:val="baseline"/>
                <w:lang w:val="en-US" w:eastAsia="zh-CN"/>
              </w:rPr>
            </w:pPr>
            <w:r>
              <w:rPr>
                <w:rFonts w:hint="eastAsia"/>
                <w:b w:val="0"/>
                <w:bCs w:val="0"/>
                <w:sz w:val="21"/>
                <w:szCs w:val="21"/>
                <w:highlight w:val="none"/>
                <w:vertAlign w:val="baseline"/>
                <w:lang w:val="en-US" w:eastAsia="zh-CN"/>
              </w:rPr>
              <w:t>紫外线</w:t>
            </w:r>
          </w:p>
        </w:tc>
        <w:tc>
          <w:tcPr>
            <w:tcW w:w="2862" w:type="dxa"/>
            <w:vAlign w:val="center"/>
          </w:tcPr>
          <w:p w14:paraId="0D5027FC">
            <w:pPr>
              <w:pStyle w:val="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b w:val="0"/>
                <w:bCs w:val="0"/>
                <w:sz w:val="21"/>
                <w:szCs w:val="21"/>
                <w:highlight w:val="none"/>
                <w:vertAlign w:val="baseline"/>
                <w:lang w:val="en-US" w:eastAsia="zh-CN"/>
              </w:rPr>
            </w:pPr>
            <w:r>
              <w:rPr>
                <w:rFonts w:hint="eastAsia"/>
                <w:b w:val="0"/>
                <w:bCs w:val="0"/>
                <w:sz w:val="21"/>
                <w:szCs w:val="21"/>
                <w:highlight w:val="none"/>
                <w:vertAlign w:val="baseline"/>
                <w:lang w:val="en-US" w:eastAsia="zh-CN"/>
              </w:rPr>
              <w:t>无有害的残余物质；无臭味；操作简单，易实现自动化；运行管理和维修费用低。</w:t>
            </w:r>
          </w:p>
        </w:tc>
        <w:tc>
          <w:tcPr>
            <w:tcW w:w="2862" w:type="dxa"/>
            <w:vAlign w:val="center"/>
          </w:tcPr>
          <w:p w14:paraId="538BF2A9">
            <w:pPr>
              <w:pStyle w:val="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b w:val="0"/>
                <w:bCs w:val="0"/>
                <w:sz w:val="21"/>
                <w:szCs w:val="21"/>
                <w:highlight w:val="none"/>
                <w:vertAlign w:val="baseline"/>
                <w:lang w:val="en-US" w:eastAsia="zh-CN"/>
              </w:rPr>
            </w:pPr>
            <w:r>
              <w:rPr>
                <w:rFonts w:hint="eastAsia"/>
                <w:b w:val="0"/>
                <w:bCs w:val="0"/>
                <w:sz w:val="21"/>
                <w:szCs w:val="21"/>
                <w:highlight w:val="none"/>
                <w:vertAlign w:val="baseline"/>
                <w:lang w:val="en-US" w:eastAsia="zh-CN"/>
              </w:rPr>
              <w:t>电耗大；紫外灯管与石英套管需定期更换；对处理水的水质要求较高；无后续杀菌作用。</w:t>
            </w:r>
          </w:p>
        </w:tc>
        <w:tc>
          <w:tcPr>
            <w:tcW w:w="2475" w:type="dxa"/>
            <w:vAlign w:val="center"/>
          </w:tcPr>
          <w:p w14:paraId="1F217AFF">
            <w:pPr>
              <w:pStyle w:val="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b w:val="0"/>
                <w:bCs w:val="0"/>
                <w:sz w:val="21"/>
                <w:szCs w:val="21"/>
                <w:highlight w:val="none"/>
                <w:vertAlign w:val="baseline"/>
                <w:lang w:val="en-US" w:eastAsia="zh-CN"/>
              </w:rPr>
            </w:pPr>
            <w:r>
              <w:rPr>
                <w:rFonts w:hint="eastAsia"/>
                <w:b w:val="0"/>
                <w:bCs w:val="0"/>
                <w:sz w:val="21"/>
                <w:szCs w:val="21"/>
                <w:highlight w:val="none"/>
                <w:vertAlign w:val="baseline"/>
                <w:lang w:val="en-US" w:eastAsia="zh-CN"/>
              </w:rPr>
              <w:t>效果好，但对悬浮物浓度有要求。</w:t>
            </w:r>
          </w:p>
        </w:tc>
      </w:tr>
    </w:tbl>
    <w:p w14:paraId="073BEFD4">
      <w:pPr>
        <w:keepNext w:val="0"/>
        <w:keepLines w:val="0"/>
        <w:widowControl/>
        <w:suppressLineNumbers w:val="0"/>
        <w:jc w:val="left"/>
        <w:rPr>
          <w:highlight w:val="none"/>
        </w:rPr>
      </w:pPr>
      <w:r>
        <w:rPr>
          <w:rFonts w:hint="eastAsia" w:ascii="宋体" w:hAnsi="宋体" w:eastAsia="宋体" w:cs="宋体"/>
          <w:color w:val="000000"/>
          <w:kern w:val="0"/>
          <w:sz w:val="24"/>
          <w:szCs w:val="24"/>
          <w:highlight w:val="none"/>
          <w:lang w:val="en-US" w:eastAsia="zh-CN" w:bidi="ar"/>
        </w:rPr>
        <w:t>在水处理中常用的消毒剂有液氯、次氯酸钠、臭氧、二氧化氯和紫外线等。根据设计单位设计，本项目选用次氯酸钠进行消毒，是污水厂常见的消毒方式，运行管理均较可靠。</w:t>
      </w:r>
    </w:p>
    <w:p w14:paraId="53935BB2">
      <w:pPr>
        <w:pStyle w:val="6"/>
        <w:bidi w:val="0"/>
        <w:rPr>
          <w:rFonts w:hint="default"/>
          <w:highlight w:val="none"/>
        </w:rPr>
      </w:pPr>
      <w:r>
        <w:rPr>
          <w:rFonts w:hint="default"/>
          <w:highlight w:val="none"/>
          <w:lang w:val="en-US" w:eastAsia="zh-CN"/>
        </w:rPr>
        <w:t>6</w:t>
      </w:r>
      <w:r>
        <w:rPr>
          <w:rFonts w:hint="default"/>
          <w:highlight w:val="none"/>
        </w:rPr>
        <w:t>.2.</w:t>
      </w:r>
      <w:r>
        <w:rPr>
          <w:rFonts w:hint="eastAsia"/>
          <w:highlight w:val="none"/>
          <w:lang w:val="en-US" w:eastAsia="zh-CN"/>
        </w:rPr>
        <w:t>3</w:t>
      </w:r>
      <w:r>
        <w:rPr>
          <w:rFonts w:hint="default"/>
          <w:highlight w:val="none"/>
        </w:rPr>
        <w:t>出水水质达标可行性分析</w:t>
      </w:r>
    </w:p>
    <w:p w14:paraId="54A258BB">
      <w:pPr>
        <w:spacing w:before="194" w:line="359" w:lineRule="auto"/>
        <w:ind w:left="10" w:right="164" w:firstLine="480"/>
        <w:jc w:val="both"/>
        <w:rPr>
          <w:rFonts w:hint="default" w:ascii="Times New Roman" w:hAnsi="Times New Roman" w:eastAsia="宋体" w:cs="Times New Roman"/>
          <w:color w:val="auto"/>
          <w:spacing w:val="2"/>
          <w:sz w:val="24"/>
          <w:szCs w:val="24"/>
          <w:highlight w:val="none"/>
        </w:rPr>
      </w:pPr>
      <w:r>
        <w:rPr>
          <w:rFonts w:hint="default" w:ascii="Times New Roman" w:hAnsi="Times New Roman" w:eastAsia="宋体" w:cs="Times New Roman"/>
          <w:color w:val="auto"/>
          <w:spacing w:val="2"/>
          <w:sz w:val="24"/>
          <w:szCs w:val="24"/>
          <w:highlight w:val="none"/>
        </w:rPr>
        <w:t>根据《排污许可证申请与核发技术规范水处理（试行）》（HJ978-2018），处理单一行业废水的工业污水集中处理厂，按相应行业的排污许可证申请与核发技术规范执行，其他水处理排污单位污水处理可行技术参照下表。</w:t>
      </w:r>
    </w:p>
    <w:p w14:paraId="5C64390E">
      <w:pPr>
        <w:pStyle w:val="20"/>
        <w:numPr>
          <w:ilvl w:val="0"/>
          <w:numId w:val="42"/>
        </w:numPr>
        <w:spacing w:after="0" w:line="44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污水处理可行技术参照表</w:t>
      </w:r>
    </w:p>
    <w:p w14:paraId="00B44EE8">
      <w:pPr>
        <w:spacing w:line="18" w:lineRule="exact"/>
        <w:rPr>
          <w:rFonts w:hint="default" w:ascii="Times New Roman" w:hAnsi="Times New Roman" w:eastAsia="宋体" w:cs="Times New Roman"/>
          <w:highlight w:val="none"/>
        </w:rPr>
      </w:pPr>
    </w:p>
    <w:tbl>
      <w:tblPr>
        <w:tblStyle w:val="88"/>
        <w:tblW w:w="4998"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1150"/>
        <w:gridCol w:w="2300"/>
        <w:gridCol w:w="5648"/>
      </w:tblGrid>
      <w:tr w14:paraId="47BEE3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95" w:hRule="atLeast"/>
        </w:trPr>
        <w:tc>
          <w:tcPr>
            <w:tcW w:w="632" w:type="pct"/>
            <w:vAlign w:val="center"/>
          </w:tcPr>
          <w:p w14:paraId="2A9DE597">
            <w:pPr>
              <w:pStyle w:val="58"/>
              <w:bidi w:val="0"/>
              <w:rPr>
                <w:rFonts w:hint="default"/>
                <w:highlight w:val="none"/>
              </w:rPr>
            </w:pPr>
            <w:r>
              <w:rPr>
                <w:rFonts w:hint="default"/>
                <w:highlight w:val="none"/>
              </w:rPr>
              <w:t>废水类别</w:t>
            </w:r>
          </w:p>
        </w:tc>
        <w:tc>
          <w:tcPr>
            <w:tcW w:w="1264" w:type="pct"/>
            <w:vAlign w:val="center"/>
          </w:tcPr>
          <w:p w14:paraId="4A3F9C7F">
            <w:pPr>
              <w:pStyle w:val="58"/>
              <w:bidi w:val="0"/>
              <w:rPr>
                <w:rFonts w:hint="default"/>
                <w:highlight w:val="none"/>
              </w:rPr>
            </w:pPr>
            <w:r>
              <w:rPr>
                <w:rFonts w:hint="default"/>
                <w:highlight w:val="none"/>
              </w:rPr>
              <w:t>执行标准</w:t>
            </w:r>
          </w:p>
        </w:tc>
        <w:tc>
          <w:tcPr>
            <w:tcW w:w="3103" w:type="pct"/>
            <w:vAlign w:val="center"/>
          </w:tcPr>
          <w:p w14:paraId="0447288B">
            <w:pPr>
              <w:pStyle w:val="58"/>
              <w:bidi w:val="0"/>
              <w:rPr>
                <w:rFonts w:hint="default"/>
                <w:highlight w:val="none"/>
              </w:rPr>
            </w:pPr>
            <w:r>
              <w:rPr>
                <w:rFonts w:hint="default"/>
                <w:highlight w:val="none"/>
              </w:rPr>
              <w:t>可行技术</w:t>
            </w:r>
          </w:p>
        </w:tc>
      </w:tr>
      <w:tr w14:paraId="3C110ED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962" w:hRule="atLeast"/>
        </w:trPr>
        <w:tc>
          <w:tcPr>
            <w:tcW w:w="632" w:type="pct"/>
            <w:vMerge w:val="restart"/>
            <w:vAlign w:val="center"/>
          </w:tcPr>
          <w:p w14:paraId="7EED347E">
            <w:pPr>
              <w:pStyle w:val="58"/>
              <w:bidi w:val="0"/>
              <w:rPr>
                <w:rFonts w:hint="default"/>
                <w:highlight w:val="none"/>
              </w:rPr>
            </w:pPr>
            <w:r>
              <w:rPr>
                <w:rFonts w:hint="default"/>
                <w:highlight w:val="none"/>
              </w:rPr>
              <w:t>生活污水</w:t>
            </w:r>
          </w:p>
        </w:tc>
        <w:tc>
          <w:tcPr>
            <w:tcW w:w="1264" w:type="pct"/>
            <w:vAlign w:val="center"/>
          </w:tcPr>
          <w:p w14:paraId="715C9B83">
            <w:pPr>
              <w:pStyle w:val="58"/>
              <w:bidi w:val="0"/>
              <w:rPr>
                <w:rFonts w:hint="default"/>
                <w:highlight w:val="none"/>
              </w:rPr>
            </w:pPr>
            <w:r>
              <w:rPr>
                <w:rFonts w:hint="default"/>
                <w:highlight w:val="none"/>
              </w:rPr>
              <w:t>GB18918中二级标准、一级标准的B标准</w:t>
            </w:r>
          </w:p>
        </w:tc>
        <w:tc>
          <w:tcPr>
            <w:tcW w:w="3103" w:type="pct"/>
            <w:vAlign w:val="center"/>
          </w:tcPr>
          <w:p w14:paraId="6BBE81FB">
            <w:pPr>
              <w:pStyle w:val="58"/>
              <w:bidi w:val="0"/>
              <w:jc w:val="left"/>
              <w:rPr>
                <w:rFonts w:hint="default"/>
                <w:highlight w:val="none"/>
              </w:rPr>
            </w:pPr>
            <w:r>
              <w:rPr>
                <w:rFonts w:hint="default"/>
                <w:highlight w:val="none"/>
              </w:rPr>
              <w:t>预处理：格栅、沉淀（沉砂、初沉）、调节；</w:t>
            </w:r>
          </w:p>
          <w:p w14:paraId="4583B98E">
            <w:pPr>
              <w:pStyle w:val="58"/>
              <w:bidi w:val="0"/>
              <w:jc w:val="left"/>
              <w:rPr>
                <w:rFonts w:hint="default"/>
                <w:highlight w:val="none"/>
              </w:rPr>
            </w:pPr>
            <w:r>
              <w:rPr>
                <w:rFonts w:hint="default"/>
                <w:highlight w:val="none"/>
              </w:rPr>
              <w:t>生化处理：缺氧好氧、厌氧缺氧好氧、序批式活性污泥、氧化沟、曝气生物滤池、移动生物床反应器、膜生物反应器；</w:t>
            </w:r>
          </w:p>
          <w:p w14:paraId="535F4519">
            <w:pPr>
              <w:pStyle w:val="58"/>
              <w:bidi w:val="0"/>
              <w:jc w:val="left"/>
              <w:rPr>
                <w:rFonts w:hint="default"/>
                <w:highlight w:val="none"/>
              </w:rPr>
            </w:pPr>
            <w:r>
              <w:rPr>
                <w:rFonts w:hint="default"/>
                <w:highlight w:val="none"/>
              </w:rPr>
              <w:t>深度处理：消毒（次氯酸钠、臭氧、紫外、二氧化氯）。</w:t>
            </w:r>
          </w:p>
        </w:tc>
      </w:tr>
      <w:tr w14:paraId="662E18D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202" w:hRule="atLeast"/>
        </w:trPr>
        <w:tc>
          <w:tcPr>
            <w:tcW w:w="632" w:type="pct"/>
            <w:vMerge w:val="continue"/>
            <w:vAlign w:val="center"/>
          </w:tcPr>
          <w:p w14:paraId="744DA175">
            <w:pPr>
              <w:pStyle w:val="58"/>
              <w:bidi w:val="0"/>
              <w:rPr>
                <w:rFonts w:hint="default"/>
                <w:highlight w:val="none"/>
              </w:rPr>
            </w:pPr>
          </w:p>
        </w:tc>
        <w:tc>
          <w:tcPr>
            <w:tcW w:w="1264" w:type="pct"/>
            <w:vAlign w:val="center"/>
          </w:tcPr>
          <w:p w14:paraId="56D5B3BF">
            <w:pPr>
              <w:pStyle w:val="58"/>
              <w:bidi w:val="0"/>
              <w:rPr>
                <w:rFonts w:hint="default"/>
                <w:highlight w:val="none"/>
              </w:rPr>
            </w:pPr>
            <w:r>
              <w:rPr>
                <w:rFonts w:hint="default"/>
                <w:highlight w:val="none"/>
              </w:rPr>
              <w:t>执行GB18918中一级标准的A标准或更严格标准</w:t>
            </w:r>
          </w:p>
        </w:tc>
        <w:tc>
          <w:tcPr>
            <w:tcW w:w="3103" w:type="pct"/>
            <w:vAlign w:val="center"/>
          </w:tcPr>
          <w:p w14:paraId="63C24081">
            <w:pPr>
              <w:pStyle w:val="58"/>
              <w:bidi w:val="0"/>
              <w:jc w:val="left"/>
              <w:rPr>
                <w:rFonts w:hint="default"/>
                <w:highlight w:val="none"/>
              </w:rPr>
            </w:pPr>
            <w:r>
              <w:rPr>
                <w:rFonts w:hint="default"/>
                <w:highlight w:val="none"/>
              </w:rPr>
              <w:t>预处理：格栅、沉淀（沉砂、初沉）、调节；</w:t>
            </w:r>
          </w:p>
          <w:p w14:paraId="695D9A81">
            <w:pPr>
              <w:pStyle w:val="58"/>
              <w:bidi w:val="0"/>
              <w:jc w:val="left"/>
              <w:rPr>
                <w:rFonts w:hint="default"/>
                <w:highlight w:val="none"/>
              </w:rPr>
            </w:pPr>
            <w:r>
              <w:rPr>
                <w:rFonts w:hint="default"/>
                <w:highlight w:val="none"/>
              </w:rPr>
              <w:t>生化处理：缺氧好氧、厌氧缺氧好氧、序批式活性污泥、接触氧化、氧化沟、移动生物床反应器、膜生物反应器；</w:t>
            </w:r>
          </w:p>
          <w:p w14:paraId="655976C3">
            <w:pPr>
              <w:pStyle w:val="58"/>
              <w:bidi w:val="0"/>
              <w:jc w:val="left"/>
              <w:rPr>
                <w:rFonts w:hint="default"/>
                <w:highlight w:val="none"/>
              </w:rPr>
            </w:pPr>
            <w:r>
              <w:rPr>
                <w:rFonts w:hint="default"/>
                <w:highlight w:val="none"/>
              </w:rPr>
              <w:t>深度处理：混凝沉淀、过滤、曝气生物滤池、微滤、超滤、消毒（次氯酸钠、臭氧、紫外、二氧化氯）。</w:t>
            </w:r>
          </w:p>
        </w:tc>
      </w:tr>
      <w:tr w14:paraId="1425A4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04" w:hRule="atLeast"/>
        </w:trPr>
        <w:tc>
          <w:tcPr>
            <w:tcW w:w="632" w:type="pct"/>
            <w:vAlign w:val="center"/>
          </w:tcPr>
          <w:p w14:paraId="3B8980E4">
            <w:pPr>
              <w:pStyle w:val="58"/>
              <w:bidi w:val="0"/>
              <w:rPr>
                <w:rFonts w:hint="default"/>
                <w:highlight w:val="none"/>
              </w:rPr>
            </w:pPr>
            <w:r>
              <w:rPr>
                <w:rFonts w:hint="default"/>
                <w:highlight w:val="none"/>
              </w:rPr>
              <w:t>工业废水</w:t>
            </w:r>
          </w:p>
        </w:tc>
        <w:tc>
          <w:tcPr>
            <w:tcW w:w="1264" w:type="pct"/>
            <w:vAlign w:val="center"/>
          </w:tcPr>
          <w:p w14:paraId="6D2C42CC">
            <w:pPr>
              <w:pStyle w:val="58"/>
              <w:bidi w:val="0"/>
              <w:rPr>
                <w:rFonts w:hint="default"/>
                <w:highlight w:val="none"/>
              </w:rPr>
            </w:pPr>
            <w:r>
              <w:rPr>
                <w:rFonts w:hint="default"/>
                <w:highlight w:val="none"/>
              </w:rPr>
              <w:t>—</w:t>
            </w:r>
          </w:p>
        </w:tc>
        <w:tc>
          <w:tcPr>
            <w:tcW w:w="3103" w:type="pct"/>
            <w:vAlign w:val="center"/>
          </w:tcPr>
          <w:p w14:paraId="2359F0D1">
            <w:pPr>
              <w:pStyle w:val="58"/>
              <w:bidi w:val="0"/>
              <w:jc w:val="left"/>
              <w:rPr>
                <w:rFonts w:hint="default"/>
                <w:highlight w:val="none"/>
              </w:rPr>
            </w:pPr>
            <w:r>
              <w:rPr>
                <w:rFonts w:hint="default"/>
                <w:highlight w:val="none"/>
              </w:rPr>
              <w:t>预处理：沉淀、调节、气浮、水解酸化；</w:t>
            </w:r>
          </w:p>
          <w:p w14:paraId="30DB9C73">
            <w:pPr>
              <w:pStyle w:val="58"/>
              <w:bidi w:val="0"/>
              <w:jc w:val="left"/>
              <w:rPr>
                <w:rFonts w:hint="default"/>
                <w:highlight w:val="none"/>
              </w:rPr>
            </w:pPr>
            <w:r>
              <w:rPr>
                <w:rFonts w:hint="default"/>
                <w:highlight w:val="none"/>
              </w:rPr>
              <w:t>生化处理：好氧、缺氧好氧、厌氧缺氧好氧、序批式活性污泥、氧化沟、移动生物床反应器、膜生物反应器；</w:t>
            </w:r>
          </w:p>
          <w:p w14:paraId="4F7AB796">
            <w:pPr>
              <w:pStyle w:val="58"/>
              <w:bidi w:val="0"/>
              <w:jc w:val="left"/>
              <w:rPr>
                <w:rFonts w:hint="default"/>
                <w:highlight w:val="none"/>
              </w:rPr>
            </w:pPr>
            <w:r>
              <w:rPr>
                <w:rFonts w:hint="default"/>
                <w:highlight w:val="none"/>
              </w:rPr>
              <w:t>深度处理：反硝化滤池、化学沉淀、过滤、高级氧化、曝气生物滤池、生物接触氧化、膜分离、离子交换。</w:t>
            </w:r>
          </w:p>
        </w:tc>
      </w:tr>
    </w:tbl>
    <w:p w14:paraId="6AB06845">
      <w:pPr>
        <w:keepNext w:val="0"/>
        <w:keepLines w:val="0"/>
        <w:widowControl/>
        <w:suppressLineNumbers w:val="0"/>
        <w:jc w:val="left"/>
        <w:rPr>
          <w:highlight w:val="none"/>
        </w:rPr>
      </w:pPr>
      <w:r>
        <w:rPr>
          <w:rFonts w:hint="eastAsia" w:ascii="宋体" w:hAnsi="宋体" w:eastAsia="宋体" w:cs="宋体"/>
          <w:color w:val="000000"/>
          <w:kern w:val="0"/>
          <w:sz w:val="24"/>
          <w:szCs w:val="24"/>
          <w:highlight w:val="none"/>
          <w:lang w:val="en-US" w:eastAsia="zh-CN" w:bidi="ar"/>
        </w:rPr>
        <w:t>本项目污水厂工艺为：“格栅+调节池+A</w:t>
      </w:r>
      <w:r>
        <w:rPr>
          <w:rFonts w:hint="eastAsia" w:ascii="宋体" w:hAnsi="宋体" w:eastAsia="宋体" w:cs="宋体"/>
          <w:color w:val="000000"/>
          <w:kern w:val="0"/>
          <w:sz w:val="24"/>
          <w:szCs w:val="24"/>
          <w:highlight w:val="none"/>
          <w:vertAlign w:val="superscript"/>
          <w:lang w:val="en-US" w:eastAsia="zh-CN" w:bidi="ar"/>
        </w:rPr>
        <w:t>2</w:t>
      </w:r>
      <w:r>
        <w:rPr>
          <w:rFonts w:hint="eastAsia" w:ascii="宋体" w:hAnsi="宋体" w:eastAsia="宋体" w:cs="宋体"/>
          <w:color w:val="000000"/>
          <w:kern w:val="0"/>
          <w:sz w:val="24"/>
          <w:szCs w:val="24"/>
          <w:highlight w:val="none"/>
          <w:lang w:val="en-US" w:eastAsia="zh-CN" w:bidi="ar"/>
        </w:rPr>
        <w:t xml:space="preserve">O一体化处理设备+混凝沉淀池+砂滤+次氯酸钠消毒”。属于污水处理可行技术。 </w:t>
      </w:r>
    </w:p>
    <w:p w14:paraId="4B1E47EE">
      <w:pPr>
        <w:keepNext w:val="0"/>
        <w:keepLines w:val="0"/>
        <w:widowControl/>
        <w:suppressLineNumbers w:val="0"/>
        <w:jc w:val="left"/>
        <w:rPr>
          <w:highlight w:val="none"/>
        </w:rPr>
      </w:pPr>
      <w:r>
        <w:rPr>
          <w:rFonts w:hint="eastAsia" w:ascii="宋体" w:hAnsi="宋体" w:eastAsia="宋体" w:cs="宋体"/>
          <w:color w:val="000000"/>
          <w:kern w:val="0"/>
          <w:sz w:val="24"/>
          <w:szCs w:val="24"/>
          <w:highlight w:val="none"/>
          <w:lang w:val="en-US" w:eastAsia="zh-CN" w:bidi="ar"/>
        </w:rPr>
        <w:t xml:space="preserve">且该工艺可以根据进水水量、水质特性和环境条件的变化，灵活调整运行模式，在提高处理效果基础上，保证工艺可靠性。因此更能适应进水水质的变化，可灵活根据进水水质进行相应调整，从而确保出水水质稳定达标。 </w:t>
      </w:r>
    </w:p>
    <w:p w14:paraId="43794C56">
      <w:pPr>
        <w:keepNext w:val="0"/>
        <w:keepLines w:val="0"/>
        <w:widowControl/>
        <w:suppressLineNumbers w:val="0"/>
        <w:jc w:val="left"/>
        <w:rPr>
          <w:highlight w:val="none"/>
        </w:rPr>
      </w:pPr>
      <w:r>
        <w:rPr>
          <w:rFonts w:hint="eastAsia" w:ascii="宋体" w:hAnsi="宋体" w:eastAsia="宋体" w:cs="宋体"/>
          <w:color w:val="000000"/>
          <w:kern w:val="0"/>
          <w:sz w:val="24"/>
          <w:szCs w:val="24"/>
          <w:highlight w:val="none"/>
          <w:lang w:val="en-US" w:eastAsia="zh-CN" w:bidi="ar"/>
        </w:rPr>
        <w:t>此外，项目应加强进水、排水水质的监控，并安装在线监测系统对各项指标</w:t>
      </w:r>
      <w:r>
        <w:rPr>
          <w:rFonts w:hint="default" w:ascii="Times New Roman" w:hAnsi="Times New Roman" w:eastAsia="宋体" w:cs="Times New Roman"/>
          <w:color w:val="000000"/>
          <w:kern w:val="0"/>
          <w:sz w:val="24"/>
          <w:szCs w:val="24"/>
          <w:highlight w:val="none"/>
          <w:lang w:val="en-US" w:eastAsia="zh-CN" w:bidi="ar"/>
        </w:rPr>
        <w:t>(</w:t>
      </w:r>
      <w:r>
        <w:rPr>
          <w:rFonts w:hint="eastAsia" w:ascii="宋体" w:hAnsi="宋体" w:eastAsia="宋体" w:cs="宋体"/>
          <w:color w:val="000000"/>
          <w:kern w:val="0"/>
          <w:sz w:val="24"/>
          <w:szCs w:val="24"/>
          <w:highlight w:val="none"/>
          <w:lang w:val="en-US" w:eastAsia="zh-CN" w:bidi="ar"/>
        </w:rPr>
        <w:t>尤其是</w:t>
      </w:r>
      <w:r>
        <w:rPr>
          <w:rFonts w:hint="default" w:ascii="Times New Roman" w:hAnsi="Times New Roman" w:eastAsia="宋体" w:cs="Times New Roman"/>
          <w:color w:val="000000"/>
          <w:kern w:val="0"/>
          <w:sz w:val="24"/>
          <w:szCs w:val="24"/>
          <w:highlight w:val="none"/>
          <w:lang w:val="en-US" w:eastAsia="zh-CN" w:bidi="ar"/>
        </w:rPr>
        <w:t>pH</w:t>
      </w:r>
      <w:r>
        <w:rPr>
          <w:rFonts w:hint="eastAsia" w:ascii="宋体" w:hAnsi="宋体" w:eastAsia="宋体" w:cs="宋体"/>
          <w:color w:val="000000"/>
          <w:kern w:val="0"/>
          <w:sz w:val="24"/>
          <w:szCs w:val="24"/>
          <w:highlight w:val="none"/>
          <w:lang w:val="en-US" w:eastAsia="zh-CN" w:bidi="ar"/>
        </w:rPr>
        <w:t>、</w:t>
      </w:r>
      <w:r>
        <w:rPr>
          <w:rFonts w:hint="default" w:ascii="Times New Roman" w:hAnsi="Times New Roman" w:eastAsia="宋体" w:cs="Times New Roman"/>
          <w:color w:val="000000"/>
          <w:kern w:val="0"/>
          <w:sz w:val="24"/>
          <w:szCs w:val="24"/>
          <w:highlight w:val="none"/>
          <w:lang w:val="en-US" w:eastAsia="zh-CN" w:bidi="ar"/>
        </w:rPr>
        <w:t>COD</w:t>
      </w:r>
      <w:r>
        <w:rPr>
          <w:rFonts w:hint="eastAsia" w:ascii="宋体" w:hAnsi="宋体" w:eastAsia="宋体" w:cs="宋体"/>
          <w:color w:val="000000"/>
          <w:kern w:val="0"/>
          <w:sz w:val="24"/>
          <w:szCs w:val="24"/>
          <w:highlight w:val="none"/>
          <w:lang w:val="en-US" w:eastAsia="zh-CN" w:bidi="ar"/>
        </w:rPr>
        <w:t>、氨氮、总</w:t>
      </w:r>
      <w:r>
        <w:rPr>
          <w:rFonts w:hint="default" w:ascii="Times New Roman" w:hAnsi="Times New Roman" w:eastAsia="宋体" w:cs="Times New Roman"/>
          <w:color w:val="000000"/>
          <w:kern w:val="0"/>
          <w:sz w:val="24"/>
          <w:szCs w:val="24"/>
          <w:highlight w:val="none"/>
          <w:lang w:val="en-US" w:eastAsia="zh-CN" w:bidi="ar"/>
        </w:rPr>
        <w:t>N</w:t>
      </w:r>
      <w:r>
        <w:rPr>
          <w:rFonts w:hint="eastAsia" w:ascii="宋体" w:hAnsi="宋体" w:eastAsia="宋体" w:cs="宋体"/>
          <w:color w:val="000000"/>
          <w:kern w:val="0"/>
          <w:sz w:val="24"/>
          <w:szCs w:val="24"/>
          <w:highlight w:val="none"/>
          <w:lang w:val="en-US" w:eastAsia="zh-CN" w:bidi="ar"/>
        </w:rPr>
        <w:t>、总</w:t>
      </w:r>
      <w:r>
        <w:rPr>
          <w:rFonts w:hint="default" w:ascii="Times New Roman" w:hAnsi="Times New Roman" w:eastAsia="宋体" w:cs="Times New Roman"/>
          <w:color w:val="000000"/>
          <w:kern w:val="0"/>
          <w:sz w:val="24"/>
          <w:szCs w:val="24"/>
          <w:highlight w:val="none"/>
          <w:lang w:val="en-US" w:eastAsia="zh-CN" w:bidi="ar"/>
        </w:rPr>
        <w:t>P</w:t>
      </w:r>
      <w:r>
        <w:rPr>
          <w:rFonts w:hint="eastAsia" w:ascii="宋体" w:hAnsi="宋体" w:eastAsia="宋体" w:cs="宋体"/>
          <w:color w:val="000000"/>
          <w:kern w:val="0"/>
          <w:sz w:val="24"/>
          <w:szCs w:val="24"/>
          <w:highlight w:val="none"/>
          <w:lang w:val="en-US" w:eastAsia="zh-CN" w:bidi="ar"/>
        </w:rPr>
        <w:t>等</w:t>
      </w:r>
      <w:r>
        <w:rPr>
          <w:rFonts w:hint="default" w:ascii="Times New Roman" w:hAnsi="Times New Roman" w:eastAsia="宋体" w:cs="Times New Roman"/>
          <w:color w:val="000000"/>
          <w:kern w:val="0"/>
          <w:sz w:val="24"/>
          <w:szCs w:val="24"/>
          <w:highlight w:val="none"/>
          <w:lang w:val="en-US" w:eastAsia="zh-CN" w:bidi="ar"/>
        </w:rPr>
        <w:t>)</w:t>
      </w:r>
      <w:r>
        <w:rPr>
          <w:rFonts w:hint="eastAsia" w:ascii="宋体" w:hAnsi="宋体" w:eastAsia="宋体" w:cs="宋体"/>
          <w:color w:val="000000"/>
          <w:kern w:val="0"/>
          <w:sz w:val="24"/>
          <w:szCs w:val="24"/>
          <w:highlight w:val="none"/>
          <w:lang w:val="en-US" w:eastAsia="zh-CN" w:bidi="ar"/>
        </w:rPr>
        <w:t xml:space="preserve">进行实时监测，在日常运行中应加强管理、及时排泥和添加药剂等，确保处理效果稳定。 </w:t>
      </w:r>
    </w:p>
    <w:p w14:paraId="4A3E3C71">
      <w:pPr>
        <w:keepNext w:val="0"/>
        <w:keepLines w:val="0"/>
        <w:widowControl/>
        <w:suppressLineNumbers w:val="0"/>
        <w:jc w:val="left"/>
        <w:rPr>
          <w:highlight w:val="none"/>
        </w:rPr>
      </w:pPr>
      <w:r>
        <w:rPr>
          <w:rFonts w:hint="eastAsia" w:ascii="宋体" w:hAnsi="宋体" w:eastAsia="宋体" w:cs="宋体"/>
          <w:color w:val="000000"/>
          <w:kern w:val="0"/>
          <w:sz w:val="24"/>
          <w:szCs w:val="24"/>
          <w:highlight w:val="none"/>
          <w:lang w:val="en-US" w:eastAsia="zh-CN" w:bidi="ar"/>
        </w:rPr>
        <w:t xml:space="preserve">综上，水质较为接近生活污水，采取上述工艺，能够达标排放，废水处理工艺可行。 </w:t>
      </w:r>
    </w:p>
    <w:p w14:paraId="71CFAEF6">
      <w:pPr>
        <w:pStyle w:val="6"/>
        <w:bidi w:val="0"/>
        <w:rPr>
          <w:rFonts w:hint="default"/>
          <w:highlight w:val="none"/>
          <w:lang w:val="en-US"/>
        </w:rPr>
      </w:pPr>
      <w:r>
        <w:rPr>
          <w:rFonts w:hint="default"/>
          <w:highlight w:val="none"/>
          <w:lang w:val="en-US" w:eastAsia="zh-CN"/>
        </w:rPr>
        <w:t>6</w:t>
      </w:r>
      <w:r>
        <w:rPr>
          <w:rFonts w:hint="default"/>
          <w:highlight w:val="none"/>
        </w:rPr>
        <w:t>.2.</w:t>
      </w:r>
      <w:r>
        <w:rPr>
          <w:rFonts w:hint="eastAsia"/>
          <w:highlight w:val="none"/>
          <w:lang w:val="en-US" w:eastAsia="zh-CN"/>
        </w:rPr>
        <w:t>4中</w:t>
      </w:r>
      <w:r>
        <w:rPr>
          <w:rFonts w:hint="eastAsia"/>
          <w:highlight w:val="none"/>
          <w:lang w:eastAsia="zh-CN"/>
        </w:rPr>
        <w:t>水全部回用的可行性</w:t>
      </w:r>
      <w:r>
        <w:rPr>
          <w:rFonts w:hint="eastAsia"/>
          <w:highlight w:val="none"/>
          <w:lang w:val="en-US" w:eastAsia="zh-CN"/>
        </w:rPr>
        <w:t>分析</w:t>
      </w:r>
    </w:p>
    <w:p w14:paraId="522822A9">
      <w:pPr>
        <w:keepNext w:val="0"/>
        <w:keepLines w:val="0"/>
        <w:pageBreakBefore w:val="0"/>
        <w:widowControl w:val="0"/>
        <w:numPr>
          <w:ilvl w:val="0"/>
          <w:numId w:val="0"/>
        </w:numPr>
        <w:kinsoku/>
        <w:wordWrap/>
        <w:overflowPunct/>
        <w:topLinePunct w:val="0"/>
        <w:autoSpaceDE/>
        <w:autoSpaceDN/>
        <w:bidi w:val="0"/>
        <w:adjustRightInd w:val="0"/>
        <w:snapToGrid w:val="0"/>
        <w:spacing w:line="480" w:lineRule="exact"/>
        <w:ind w:leftChars="0" w:firstLine="480" w:firstLineChars="200"/>
        <w:textAlignment w:val="auto"/>
        <w:rPr>
          <w:rFonts w:hint="eastAsia"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本项目废水</w:t>
      </w:r>
      <w:r>
        <w:rPr>
          <w:rFonts w:hint="eastAsia"/>
          <w:highlight w:val="none"/>
          <w:lang w:val="en-US" w:eastAsia="zh-CN"/>
        </w:rPr>
        <w:t>经处理</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达标后首先作为中水回用厂区生产用水，剩余污水</w:t>
      </w:r>
      <w:r>
        <w:rPr>
          <w:rFonts w:hint="eastAsia" w:cs="Times New Roman"/>
          <w:color w:val="000000" w:themeColor="text1"/>
          <w:sz w:val="24"/>
          <w:highlight w:val="none"/>
          <w:lang w:val="en-US" w:eastAsia="zh-CN"/>
          <w14:textFill>
            <w14:solidFill>
              <w14:schemeClr w14:val="tx1"/>
            </w14:solidFill>
          </w14:textFill>
        </w:rPr>
        <w:t>回用于园区绿化、道路喷洒及园区企业生产用水。</w:t>
      </w:r>
    </w:p>
    <w:p w14:paraId="18730BBF">
      <w:pPr>
        <w:keepNext w:val="0"/>
        <w:keepLines w:val="0"/>
        <w:pageBreakBefore w:val="0"/>
        <w:widowControl w:val="0"/>
        <w:numPr>
          <w:ilvl w:val="0"/>
          <w:numId w:val="0"/>
        </w:numPr>
        <w:kinsoku/>
        <w:wordWrap/>
        <w:overflowPunct/>
        <w:topLinePunct w:val="0"/>
        <w:autoSpaceDE/>
        <w:autoSpaceDN/>
        <w:bidi w:val="0"/>
        <w:adjustRightInd w:val="0"/>
        <w:snapToGrid w:val="0"/>
        <w:spacing w:line="480" w:lineRule="exact"/>
        <w:ind w:leftChars="0" w:firstLine="480" w:firstLineChars="200"/>
        <w:textAlignment w:val="auto"/>
        <w:rPr>
          <w:rFonts w:hint="eastAsia" w:cs="Times New Roman"/>
          <w:color w:val="000000" w:themeColor="text1"/>
          <w:sz w:val="24"/>
          <w:highlight w:val="none"/>
          <w:lang w:val="en-US" w:eastAsia="zh-CN"/>
          <w14:textFill>
            <w14:solidFill>
              <w14:schemeClr w14:val="tx1"/>
            </w14:solidFill>
          </w14:textFill>
        </w:rPr>
      </w:pPr>
      <w:r>
        <w:rPr>
          <w:rFonts w:hint="eastAsia" w:cs="Times New Roman"/>
          <w:color w:val="000000" w:themeColor="text1"/>
          <w:sz w:val="24"/>
          <w:highlight w:val="none"/>
          <w:lang w:val="en-US" w:eastAsia="zh-CN"/>
          <w14:textFill>
            <w14:solidFill>
              <w14:schemeClr w14:val="tx1"/>
            </w14:solidFill>
          </w14:textFill>
        </w:rPr>
        <w:t>经调查，</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厂区生产用水</w:t>
      </w:r>
      <w:r>
        <w:rPr>
          <w:rFonts w:hint="eastAsia" w:cs="Times New Roman"/>
          <w:color w:val="000000" w:themeColor="text1"/>
          <w:sz w:val="24"/>
          <w:highlight w:val="none"/>
          <w:lang w:val="en-US" w:eastAsia="zh-CN"/>
          <w14:textFill>
            <w14:solidFill>
              <w14:schemeClr w14:val="tx1"/>
            </w14:solidFill>
          </w14:textFill>
        </w:rPr>
        <w:t>需用</w:t>
      </w:r>
      <w:r>
        <w:rPr>
          <w:rFonts w:hint="eastAsia"/>
          <w:highlight w:val="none"/>
          <w:lang w:val="en-US" w:eastAsia="zh-CN"/>
        </w:rPr>
        <w:t>中水9.0</w:t>
      </w:r>
      <w:r>
        <w:rPr>
          <w:rFonts w:hint="eastAsia" w:cs="Times New Roman"/>
          <w:color w:val="000000" w:themeColor="text1"/>
          <w:sz w:val="24"/>
          <w:highlight w:val="none"/>
          <w:lang w:val="en-US" w:eastAsia="zh-CN"/>
          <w14:textFill>
            <w14:solidFill>
              <w14:schemeClr w14:val="tx1"/>
            </w14:solidFill>
          </w14:textFill>
        </w:rPr>
        <w:t>m</w:t>
      </w:r>
      <w:r>
        <w:rPr>
          <w:rFonts w:hint="eastAsia" w:cs="Times New Roman"/>
          <w:color w:val="000000" w:themeColor="text1"/>
          <w:sz w:val="24"/>
          <w:highlight w:val="none"/>
          <w:vertAlign w:val="superscript"/>
          <w:lang w:val="en-US" w:eastAsia="zh-CN"/>
          <w14:textFill>
            <w14:solidFill>
              <w14:schemeClr w14:val="tx1"/>
            </w14:solidFill>
          </w14:textFill>
        </w:rPr>
        <w:t>3</w:t>
      </w:r>
      <w:r>
        <w:rPr>
          <w:rFonts w:hint="eastAsia" w:cs="Times New Roman"/>
          <w:color w:val="000000" w:themeColor="text1"/>
          <w:sz w:val="24"/>
          <w:highlight w:val="none"/>
          <w:lang w:val="en-US" w:eastAsia="zh-CN"/>
          <w14:textFill>
            <w14:solidFill>
              <w14:schemeClr w14:val="tx1"/>
            </w14:solidFill>
          </w14:textFill>
        </w:rPr>
        <w:t>/d(3285m</w:t>
      </w:r>
      <w:r>
        <w:rPr>
          <w:rFonts w:hint="eastAsia" w:cs="Times New Roman"/>
          <w:color w:val="000000" w:themeColor="text1"/>
          <w:sz w:val="24"/>
          <w:highlight w:val="none"/>
          <w:vertAlign w:val="superscript"/>
          <w:lang w:val="en-US" w:eastAsia="zh-CN"/>
          <w14:textFill>
            <w14:solidFill>
              <w14:schemeClr w14:val="tx1"/>
            </w14:solidFill>
          </w14:textFill>
        </w:rPr>
        <w:t>3</w:t>
      </w:r>
      <w:r>
        <w:rPr>
          <w:rFonts w:hint="eastAsia" w:cs="Times New Roman"/>
          <w:color w:val="000000" w:themeColor="text1"/>
          <w:sz w:val="24"/>
          <w:highlight w:val="none"/>
          <w:lang w:val="en-US" w:eastAsia="zh-CN"/>
          <w14:textFill>
            <w14:solidFill>
              <w14:schemeClr w14:val="tx1"/>
            </w14:solidFill>
          </w14:textFill>
        </w:rPr>
        <w:t>/a)，园区绿化用水量为21m</w:t>
      </w:r>
      <w:r>
        <w:rPr>
          <w:rFonts w:hint="eastAsia" w:cs="Times New Roman"/>
          <w:color w:val="000000" w:themeColor="text1"/>
          <w:sz w:val="24"/>
          <w:highlight w:val="none"/>
          <w:vertAlign w:val="superscript"/>
          <w:lang w:val="en-US" w:eastAsia="zh-CN"/>
          <w14:textFill>
            <w14:solidFill>
              <w14:schemeClr w14:val="tx1"/>
            </w14:solidFill>
          </w14:textFill>
        </w:rPr>
        <w:t>3</w:t>
      </w:r>
      <w:r>
        <w:rPr>
          <w:rFonts w:hint="eastAsia" w:cs="Times New Roman"/>
          <w:color w:val="000000" w:themeColor="text1"/>
          <w:sz w:val="24"/>
          <w:highlight w:val="none"/>
          <w:lang w:val="en-US" w:eastAsia="zh-CN"/>
          <w14:textFill>
            <w14:solidFill>
              <w14:schemeClr w14:val="tx1"/>
            </w14:solidFill>
          </w14:textFill>
        </w:rPr>
        <w:t>/d(7644m</w:t>
      </w:r>
      <w:r>
        <w:rPr>
          <w:rFonts w:hint="eastAsia" w:cs="Times New Roman"/>
          <w:color w:val="000000" w:themeColor="text1"/>
          <w:sz w:val="24"/>
          <w:highlight w:val="none"/>
          <w:vertAlign w:val="superscript"/>
          <w:lang w:val="en-US" w:eastAsia="zh-CN"/>
          <w14:textFill>
            <w14:solidFill>
              <w14:schemeClr w14:val="tx1"/>
            </w14:solidFill>
          </w14:textFill>
        </w:rPr>
        <w:t>3</w:t>
      </w:r>
      <w:r>
        <w:rPr>
          <w:rFonts w:hint="eastAsia" w:cs="Times New Roman"/>
          <w:color w:val="000000" w:themeColor="text1"/>
          <w:sz w:val="24"/>
          <w:highlight w:val="none"/>
          <w:lang w:val="en-US" w:eastAsia="zh-CN"/>
          <w14:textFill>
            <w14:solidFill>
              <w14:schemeClr w14:val="tx1"/>
            </w14:solidFill>
          </w14:textFill>
        </w:rPr>
        <w:t>/a)，园区道路喷洒用水为31m</w:t>
      </w:r>
      <w:r>
        <w:rPr>
          <w:rFonts w:hint="eastAsia" w:cs="Times New Roman"/>
          <w:color w:val="000000" w:themeColor="text1"/>
          <w:sz w:val="24"/>
          <w:highlight w:val="none"/>
          <w:vertAlign w:val="superscript"/>
          <w:lang w:val="en-US" w:eastAsia="zh-CN"/>
          <w14:textFill>
            <w14:solidFill>
              <w14:schemeClr w14:val="tx1"/>
            </w14:solidFill>
          </w14:textFill>
        </w:rPr>
        <w:t>3</w:t>
      </w:r>
      <w:r>
        <w:rPr>
          <w:rFonts w:hint="eastAsia" w:cs="Times New Roman"/>
          <w:color w:val="000000" w:themeColor="text1"/>
          <w:sz w:val="24"/>
          <w:highlight w:val="none"/>
          <w:lang w:val="en-US" w:eastAsia="zh-CN"/>
          <w14:textFill>
            <w14:solidFill>
              <w14:schemeClr w14:val="tx1"/>
            </w14:solidFill>
          </w14:textFill>
        </w:rPr>
        <w:t>/d(11304m</w:t>
      </w:r>
      <w:r>
        <w:rPr>
          <w:rFonts w:hint="eastAsia" w:cs="Times New Roman"/>
          <w:color w:val="000000" w:themeColor="text1"/>
          <w:sz w:val="24"/>
          <w:highlight w:val="none"/>
          <w:vertAlign w:val="superscript"/>
          <w:lang w:val="en-US" w:eastAsia="zh-CN"/>
          <w14:textFill>
            <w14:solidFill>
              <w14:schemeClr w14:val="tx1"/>
            </w14:solidFill>
          </w14:textFill>
        </w:rPr>
        <w:t>3</w:t>
      </w:r>
      <w:r>
        <w:rPr>
          <w:rFonts w:hint="eastAsia" w:cs="Times New Roman"/>
          <w:color w:val="000000" w:themeColor="text1"/>
          <w:sz w:val="24"/>
          <w:highlight w:val="none"/>
          <w:lang w:val="en-US" w:eastAsia="zh-CN"/>
          <w14:textFill>
            <w14:solidFill>
              <w14:schemeClr w14:val="tx1"/>
            </w14:solidFill>
          </w14:textFill>
        </w:rPr>
        <w:t>/a)。</w:t>
      </w:r>
    </w:p>
    <w:p w14:paraId="40631CB3">
      <w:pPr>
        <w:keepNext w:val="0"/>
        <w:keepLines w:val="0"/>
        <w:pageBreakBefore w:val="0"/>
        <w:widowControl w:val="0"/>
        <w:numPr>
          <w:ilvl w:val="0"/>
          <w:numId w:val="0"/>
        </w:numPr>
        <w:kinsoku/>
        <w:wordWrap/>
        <w:overflowPunct/>
        <w:topLinePunct w:val="0"/>
        <w:autoSpaceDE/>
        <w:autoSpaceDN/>
        <w:bidi w:val="0"/>
        <w:adjustRightInd w:val="0"/>
        <w:snapToGrid w:val="0"/>
        <w:spacing w:line="480" w:lineRule="exact"/>
        <w:ind w:leftChars="0" w:firstLine="480" w:firstLineChars="200"/>
        <w:jc w:val="both"/>
        <w:textAlignment w:val="auto"/>
        <w:rPr>
          <w:rFonts w:hint="eastAsia"/>
          <w:highlight w:val="none"/>
          <w:lang w:val="en-US" w:eastAsia="zh-CN"/>
        </w:rPr>
      </w:pPr>
      <w:r>
        <w:rPr>
          <w:rFonts w:hint="eastAsia" w:cs="Times New Roman"/>
          <w:color w:val="000000" w:themeColor="text1"/>
          <w:sz w:val="24"/>
          <w:highlight w:val="none"/>
          <w:lang w:val="en-US" w:eastAsia="zh-CN"/>
          <w14:textFill>
            <w14:solidFill>
              <w14:schemeClr w14:val="tx1"/>
            </w14:solidFill>
          </w14:textFill>
        </w:rPr>
        <w:t>目前园区可以利用中水的企业为本项目东侧</w:t>
      </w:r>
      <w:r>
        <w:rPr>
          <w:rFonts w:hint="default"/>
          <w:highlight w:val="none"/>
          <w:lang w:eastAsia="zh-CN"/>
        </w:rPr>
        <w:t>金木美佳（唐山）科技有限公司</w:t>
      </w:r>
      <w:r>
        <w:rPr>
          <w:rFonts w:hint="eastAsia"/>
          <w:highlight w:val="none"/>
          <w:lang w:eastAsia="zh-CN"/>
        </w:rPr>
        <w:t>，</w:t>
      </w:r>
      <w:r>
        <w:rPr>
          <w:rFonts w:hint="eastAsia" w:ascii="Times New Roman" w:hAnsi="Times New Roman" w:cs="Times New Roman"/>
          <w:caps w:val="0"/>
          <w:smallCaps w:val="0"/>
          <w:color w:val="auto"/>
          <w:sz w:val="24"/>
          <w:szCs w:val="24"/>
          <w:highlight w:val="none"/>
          <w:lang w:val="en-US" w:eastAsia="zh-CN"/>
        </w:rPr>
        <w:t>金木美佳</w:t>
      </w:r>
      <w:r>
        <w:rPr>
          <w:rFonts w:hint="eastAsia" w:ascii="Times New Roman" w:hAnsi="Times New Roman" w:eastAsia="宋体" w:cs="Times New Roman"/>
          <w:caps w:val="0"/>
          <w:smallCaps w:val="0"/>
          <w:color w:val="auto"/>
          <w:sz w:val="24"/>
          <w:szCs w:val="24"/>
          <w:highlight w:val="none"/>
          <w:lang w:val="en-US" w:eastAsia="zh-CN"/>
        </w:rPr>
        <w:t>是一家专业从事人造板生产、销售的企业，占地面积250231.64m</w:t>
      </w:r>
      <w:r>
        <w:rPr>
          <w:rFonts w:hint="eastAsia" w:ascii="Times New Roman" w:hAnsi="Times New Roman" w:eastAsia="宋体" w:cs="Times New Roman"/>
          <w:caps w:val="0"/>
          <w:smallCaps w:val="0"/>
          <w:color w:val="auto"/>
          <w:sz w:val="24"/>
          <w:szCs w:val="24"/>
          <w:highlight w:val="none"/>
          <w:vertAlign w:val="superscript"/>
          <w:lang w:val="en-US" w:eastAsia="zh-CN"/>
        </w:rPr>
        <w:t>2</w:t>
      </w:r>
      <w:r>
        <w:rPr>
          <w:rFonts w:hint="eastAsia" w:ascii="Times New Roman" w:hAnsi="Times New Roman" w:eastAsia="宋体" w:cs="Times New Roman"/>
          <w:caps w:val="0"/>
          <w:smallCaps w:val="0"/>
          <w:color w:val="auto"/>
          <w:sz w:val="24"/>
          <w:szCs w:val="24"/>
          <w:highlight w:val="none"/>
          <w:lang w:val="en-US" w:eastAsia="zh-CN"/>
        </w:rPr>
        <w:t>（25.023hm</w:t>
      </w:r>
      <w:r>
        <w:rPr>
          <w:rFonts w:hint="eastAsia" w:ascii="Times New Roman" w:hAnsi="Times New Roman" w:eastAsia="宋体" w:cs="Times New Roman"/>
          <w:caps w:val="0"/>
          <w:smallCaps w:val="0"/>
          <w:color w:val="auto"/>
          <w:sz w:val="24"/>
          <w:szCs w:val="24"/>
          <w:highlight w:val="none"/>
          <w:vertAlign w:val="superscript"/>
          <w:lang w:val="en-US" w:eastAsia="zh-CN"/>
        </w:rPr>
        <w:t>2</w:t>
      </w:r>
      <w:r>
        <w:rPr>
          <w:rFonts w:hint="eastAsia" w:ascii="Times New Roman" w:hAnsi="Times New Roman" w:eastAsia="宋体" w:cs="Times New Roman"/>
          <w:caps w:val="0"/>
          <w:smallCaps w:val="0"/>
          <w:color w:val="auto"/>
          <w:sz w:val="24"/>
          <w:szCs w:val="24"/>
          <w:highlight w:val="none"/>
          <w:lang w:val="en-US" w:eastAsia="zh-CN"/>
        </w:rPr>
        <w:t>）。公司主要有</w:t>
      </w:r>
      <w:r>
        <w:rPr>
          <w:rFonts w:hint="default" w:ascii="Times New Roman" w:hAnsi="Times New Roman" w:eastAsia="宋体" w:cs="Times New Roman"/>
          <w:caps w:val="0"/>
          <w:smallCaps w:val="0"/>
          <w:color w:val="auto"/>
          <w:sz w:val="24"/>
          <w:szCs w:val="24"/>
          <w:highlight w:val="none"/>
          <w:lang w:eastAsia="zh-CN"/>
        </w:rPr>
        <w:t>年产</w:t>
      </w:r>
      <w:r>
        <w:rPr>
          <w:rFonts w:hint="eastAsia" w:ascii="Times New Roman" w:hAnsi="Times New Roman" w:cs="Times New Roman"/>
          <w:caps w:val="0"/>
          <w:smallCaps w:val="0"/>
          <w:color w:val="auto"/>
          <w:sz w:val="24"/>
          <w:szCs w:val="24"/>
          <w:highlight w:val="none"/>
          <w:lang w:val="en-US" w:eastAsia="zh-CN"/>
        </w:rPr>
        <w:t>18万方环保型人造板项目（一期）和</w:t>
      </w:r>
      <w:r>
        <w:rPr>
          <w:rFonts w:hint="eastAsia" w:ascii="Times New Roman" w:hAnsi="Times New Roman" w:cs="Times New Roman"/>
          <w:bCs w:val="0"/>
          <w:snapToGrid/>
          <w:color w:val="auto"/>
          <w:spacing w:val="5"/>
          <w:kern w:val="2"/>
          <w:sz w:val="24"/>
          <w:szCs w:val="24"/>
          <w:highlight w:val="none"/>
          <w:lang w:val="en-US" w:eastAsia="zh-CN" w:bidi="ar-SA"/>
        </w:rPr>
        <w:t>年产18万立方米LSB薄型刨花板项目（二期）两个项目</w:t>
      </w:r>
      <w:r>
        <w:rPr>
          <w:rFonts w:hint="eastAsia" w:ascii="Times New Roman" w:hAnsi="Times New Roman" w:cs="Times New Roman"/>
          <w:caps w:val="0"/>
          <w:smallCaps w:val="0"/>
          <w:color w:val="auto"/>
          <w:sz w:val="24"/>
          <w:szCs w:val="24"/>
          <w:highlight w:val="none"/>
          <w:lang w:val="en-US" w:eastAsia="zh-CN"/>
        </w:rPr>
        <w:t>。</w:t>
      </w:r>
      <w:r>
        <w:rPr>
          <w:rFonts w:hint="eastAsia"/>
          <w:highlight w:val="none"/>
          <w:lang w:val="en-US" w:eastAsia="zh-CN"/>
        </w:rPr>
        <w:t>经调查，</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燃料加湿、制胶尾气喷淋系统补水、干燥尾气喷淋系统补水、热能中心冷渣、厂区绿化、厂内道路泼洒抑尘对水质要求不高（详见表6.2-4），可以利用本项目中水</w:t>
      </w:r>
      <w:r>
        <w:rPr>
          <w:rFonts w:hint="eastAsia"/>
          <w:highlight w:val="none"/>
          <w:lang w:val="en-US" w:eastAsia="zh-CN"/>
        </w:rPr>
        <w:t>，金木美佳需中水量约为164m</w:t>
      </w:r>
      <w:r>
        <w:rPr>
          <w:rFonts w:hint="eastAsia"/>
          <w:highlight w:val="none"/>
          <w:vertAlign w:val="superscript"/>
          <w:lang w:val="en-US" w:eastAsia="zh-CN"/>
        </w:rPr>
        <w:t>3</w:t>
      </w:r>
      <w:r>
        <w:rPr>
          <w:rFonts w:hint="eastAsia"/>
          <w:highlight w:val="none"/>
          <w:lang w:val="en-US" w:eastAsia="zh-CN"/>
        </w:rPr>
        <w:t>/d，详见下图。</w:t>
      </w:r>
    </w:p>
    <w:p w14:paraId="29EA1FE3">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Chars="0" w:firstLine="0" w:firstLineChars="0"/>
        <w:jc w:val="center"/>
        <w:textAlignment w:val="auto"/>
        <w:rPr>
          <w:rFonts w:hint="eastAsia"/>
          <w:highlight w:val="none"/>
          <w:lang w:val="en-US" w:eastAsia="zh-CN"/>
        </w:rPr>
      </w:pPr>
      <w:r>
        <w:rPr>
          <w:rFonts w:hint="eastAsia"/>
          <w:highlight w:val="none"/>
          <w:lang w:val="en-US" w:eastAsia="zh-CN"/>
        </w:rPr>
        <w:object>
          <v:shape id="_x0000_i1044" o:spt="75" type="#_x0000_t75" style="height:196pt;width:231pt;" o:ole="t" filled="f" o:preferrelative="t" stroked="f" coordsize="21600,21600">
            <v:path/>
            <v:fill on="f" focussize="0,0"/>
            <v:stroke on="f"/>
            <v:imagedata r:id="rId127" o:title=""/>
            <o:lock v:ext="edit" aspectratio="f"/>
            <w10:wrap type="none"/>
            <w10:anchorlock/>
          </v:shape>
          <o:OLEObject Type="Embed" ProgID="Visio.Drawing.11" ShapeID="_x0000_i1044" DrawAspect="Content" ObjectID="_1468075747" r:id="rId126">
            <o:LockedField>false</o:LockedField>
          </o:OLEObject>
        </w:object>
      </w:r>
    </w:p>
    <w:p w14:paraId="03E7AC6A">
      <w:pPr>
        <w:pStyle w:val="2"/>
        <w:jc w:val="center"/>
        <w:rPr>
          <w:rFonts w:hint="eastAsia"/>
          <w:b/>
          <w:bCs/>
          <w:sz w:val="24"/>
          <w:szCs w:val="24"/>
          <w:highlight w:val="none"/>
          <w:lang w:val="en-US" w:eastAsia="zh-CN"/>
        </w:rPr>
      </w:pPr>
      <w:r>
        <w:rPr>
          <w:rFonts w:hint="eastAsia"/>
          <w:b/>
          <w:bCs/>
          <w:sz w:val="24"/>
          <w:szCs w:val="24"/>
          <w:highlight w:val="none"/>
          <w:lang w:val="en-US" w:eastAsia="zh-CN"/>
        </w:rPr>
        <w:t>图6.2-1</w:t>
      </w:r>
      <w:r>
        <w:rPr>
          <w:rFonts w:hint="default"/>
          <w:b/>
          <w:bCs/>
          <w:sz w:val="24"/>
          <w:szCs w:val="24"/>
          <w:highlight w:val="none"/>
          <w:lang w:eastAsia="zh-CN"/>
        </w:rPr>
        <w:t>金木美佳（唐山）科技有限公司</w:t>
      </w:r>
      <w:r>
        <w:rPr>
          <w:rFonts w:hint="eastAsia"/>
          <w:b/>
          <w:bCs/>
          <w:sz w:val="24"/>
          <w:szCs w:val="24"/>
          <w:highlight w:val="none"/>
          <w:lang w:val="en-US" w:eastAsia="zh-CN"/>
        </w:rPr>
        <w:t>中水去向</w:t>
      </w:r>
    </w:p>
    <w:p w14:paraId="1479604F">
      <w:pPr>
        <w:pStyle w:val="20"/>
        <w:numPr>
          <w:ilvl w:val="0"/>
          <w:numId w:val="42"/>
        </w:numPr>
        <w:spacing w:after="0" w:line="440" w:lineRule="exact"/>
        <w:ind w:left="425" w:leftChars="0" w:hanging="425" w:firstLineChars="0"/>
        <w:jc w:val="center"/>
        <w:rPr>
          <w:rFonts w:hint="default" w:ascii="Times New Roman" w:hAnsi="Times New Roman" w:eastAsia="宋体" w:cs="Times New Roman"/>
          <w:b/>
          <w:bCs/>
          <w:color w:val="auto"/>
          <w:sz w:val="24"/>
          <w:highlight w:val="none"/>
          <w:lang w:val="en-US" w:eastAsia="zh-CN"/>
        </w:rPr>
      </w:pPr>
      <w:r>
        <w:rPr>
          <w:rFonts w:hint="eastAsia" w:ascii="Times New Roman" w:hAnsi="Times New Roman" w:eastAsia="宋体" w:cs="Times New Roman"/>
          <w:b/>
          <w:bCs/>
          <w:color w:val="auto"/>
          <w:sz w:val="24"/>
          <w:highlight w:val="none"/>
          <w:lang w:val="en-US" w:eastAsia="zh-CN"/>
        </w:rPr>
        <w:t>金木美佳</w:t>
      </w:r>
      <w:r>
        <w:rPr>
          <w:rFonts w:hint="default" w:ascii="Times New Roman" w:hAnsi="Times New Roman" w:eastAsia="宋体" w:cs="Times New Roman"/>
          <w:b/>
          <w:bCs/>
          <w:color w:val="auto"/>
          <w:sz w:val="24"/>
          <w:highlight w:val="none"/>
          <w:lang w:eastAsia="zh-CN"/>
        </w:rPr>
        <w:t>（唐山）科技有限公司</w:t>
      </w:r>
      <w:r>
        <w:rPr>
          <w:rFonts w:hint="eastAsia" w:ascii="Times New Roman" w:hAnsi="Times New Roman" w:eastAsia="宋体" w:cs="Times New Roman"/>
          <w:b/>
          <w:bCs/>
          <w:color w:val="auto"/>
          <w:sz w:val="24"/>
          <w:highlight w:val="none"/>
          <w:lang w:val="en-US" w:eastAsia="zh-CN"/>
        </w:rPr>
        <w:t>中水回用水质要求</w:t>
      </w:r>
    </w:p>
    <w:tbl>
      <w:tblPr>
        <w:tblStyle w:val="48"/>
        <w:tblW w:w="499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913"/>
        <w:gridCol w:w="2188"/>
        <w:gridCol w:w="1535"/>
        <w:gridCol w:w="1528"/>
        <w:gridCol w:w="1559"/>
        <w:gridCol w:w="1558"/>
      </w:tblGrid>
      <w:tr w14:paraId="0C408A6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92" w:type="pct"/>
            <w:vAlign w:val="center"/>
          </w:tcPr>
          <w:p w14:paraId="1DB108E3">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序号</w:t>
            </w:r>
          </w:p>
        </w:tc>
        <w:tc>
          <w:tcPr>
            <w:tcW w:w="1179" w:type="pct"/>
            <w:vAlign w:val="center"/>
          </w:tcPr>
          <w:p w14:paraId="73366F91">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项目</w:t>
            </w:r>
          </w:p>
        </w:tc>
        <w:tc>
          <w:tcPr>
            <w:tcW w:w="827" w:type="pct"/>
            <w:vAlign w:val="center"/>
          </w:tcPr>
          <w:p w14:paraId="1175D94D">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单位</w:t>
            </w:r>
          </w:p>
        </w:tc>
        <w:tc>
          <w:tcPr>
            <w:tcW w:w="823" w:type="pct"/>
            <w:vAlign w:val="center"/>
          </w:tcPr>
          <w:p w14:paraId="1AA0D640">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污水出水水质</w:t>
            </w:r>
          </w:p>
        </w:tc>
        <w:tc>
          <w:tcPr>
            <w:tcW w:w="840" w:type="pct"/>
            <w:vAlign w:val="center"/>
          </w:tcPr>
          <w:p w14:paraId="0850F97C">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eastAsia"/>
                <w:sz w:val="21"/>
                <w:szCs w:val="21"/>
                <w:highlight w:val="none"/>
                <w:lang w:val="en-US" w:eastAsia="zh-CN"/>
              </w:rPr>
              <w:t>回用水质要求</w:t>
            </w:r>
          </w:p>
        </w:tc>
        <w:tc>
          <w:tcPr>
            <w:tcW w:w="837" w:type="pct"/>
            <w:vAlign w:val="center"/>
          </w:tcPr>
          <w:p w14:paraId="1D1ABE7E">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eastAsia"/>
                <w:sz w:val="21"/>
                <w:szCs w:val="21"/>
                <w:highlight w:val="none"/>
                <w:lang w:val="en-US" w:eastAsia="zh-CN"/>
              </w:rPr>
              <w:t>符合性</w:t>
            </w:r>
          </w:p>
        </w:tc>
      </w:tr>
      <w:tr w14:paraId="2D15CF3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92" w:type="pct"/>
            <w:vAlign w:val="center"/>
          </w:tcPr>
          <w:p w14:paraId="23075CBA">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1</w:t>
            </w:r>
          </w:p>
        </w:tc>
        <w:tc>
          <w:tcPr>
            <w:tcW w:w="1179" w:type="pct"/>
            <w:vAlign w:val="center"/>
          </w:tcPr>
          <w:p w14:paraId="20555CB6">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COD</w:t>
            </w:r>
            <w:r>
              <w:rPr>
                <w:rFonts w:hint="default"/>
                <w:sz w:val="21"/>
                <w:szCs w:val="21"/>
                <w:highlight w:val="none"/>
                <w:vertAlign w:val="subscript"/>
                <w:lang w:val="en-US" w:eastAsia="zh-CN"/>
              </w:rPr>
              <w:t>Cr</w:t>
            </w:r>
          </w:p>
        </w:tc>
        <w:tc>
          <w:tcPr>
            <w:tcW w:w="827" w:type="pct"/>
            <w:vAlign w:val="center"/>
          </w:tcPr>
          <w:p w14:paraId="2246B607">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mg/L</w:t>
            </w:r>
          </w:p>
        </w:tc>
        <w:tc>
          <w:tcPr>
            <w:tcW w:w="823" w:type="pct"/>
            <w:vAlign w:val="center"/>
          </w:tcPr>
          <w:p w14:paraId="1758ACAD">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50</w:t>
            </w:r>
          </w:p>
        </w:tc>
        <w:tc>
          <w:tcPr>
            <w:tcW w:w="840" w:type="pct"/>
            <w:vAlign w:val="center"/>
          </w:tcPr>
          <w:p w14:paraId="6BB6BF72">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50</w:t>
            </w:r>
          </w:p>
        </w:tc>
        <w:tc>
          <w:tcPr>
            <w:tcW w:w="837" w:type="pct"/>
            <w:vAlign w:val="center"/>
          </w:tcPr>
          <w:p w14:paraId="4302498C">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eastAsia"/>
                <w:sz w:val="21"/>
                <w:szCs w:val="21"/>
                <w:highlight w:val="none"/>
                <w:lang w:val="en-US" w:eastAsia="zh-CN"/>
              </w:rPr>
              <w:t>符合</w:t>
            </w:r>
          </w:p>
        </w:tc>
      </w:tr>
      <w:tr w14:paraId="7D92015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92" w:type="pct"/>
            <w:vAlign w:val="center"/>
          </w:tcPr>
          <w:p w14:paraId="75898325">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2</w:t>
            </w:r>
          </w:p>
        </w:tc>
        <w:tc>
          <w:tcPr>
            <w:tcW w:w="1179" w:type="pct"/>
            <w:vAlign w:val="center"/>
          </w:tcPr>
          <w:p w14:paraId="3D185B5D">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eastAsia"/>
                <w:sz w:val="21"/>
                <w:szCs w:val="21"/>
                <w:highlight w:val="none"/>
                <w:lang w:val="en-US" w:eastAsia="zh-CN"/>
              </w:rPr>
              <w:t>BOD</w:t>
            </w:r>
            <w:r>
              <w:rPr>
                <w:rFonts w:hint="eastAsia"/>
                <w:sz w:val="21"/>
                <w:szCs w:val="21"/>
                <w:highlight w:val="none"/>
                <w:vertAlign w:val="subscript"/>
                <w:lang w:val="en-US" w:eastAsia="zh-CN"/>
              </w:rPr>
              <w:t>5</w:t>
            </w:r>
          </w:p>
        </w:tc>
        <w:tc>
          <w:tcPr>
            <w:tcW w:w="827" w:type="pct"/>
            <w:vAlign w:val="center"/>
          </w:tcPr>
          <w:p w14:paraId="04A427F7">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mg/L</w:t>
            </w:r>
          </w:p>
        </w:tc>
        <w:tc>
          <w:tcPr>
            <w:tcW w:w="823" w:type="pct"/>
            <w:vAlign w:val="center"/>
          </w:tcPr>
          <w:p w14:paraId="3C393FFC">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10</w:t>
            </w:r>
          </w:p>
        </w:tc>
        <w:tc>
          <w:tcPr>
            <w:tcW w:w="840" w:type="pct"/>
            <w:vAlign w:val="center"/>
          </w:tcPr>
          <w:p w14:paraId="371978F1">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10</w:t>
            </w:r>
          </w:p>
        </w:tc>
        <w:tc>
          <w:tcPr>
            <w:tcW w:w="837" w:type="pct"/>
            <w:vAlign w:val="center"/>
          </w:tcPr>
          <w:p w14:paraId="6928B7B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eastAsia"/>
                <w:sz w:val="21"/>
                <w:szCs w:val="21"/>
                <w:highlight w:val="none"/>
                <w:lang w:val="en-US" w:eastAsia="zh-CN"/>
              </w:rPr>
              <w:t>符合</w:t>
            </w:r>
          </w:p>
        </w:tc>
      </w:tr>
      <w:tr w14:paraId="443C246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92" w:type="pct"/>
            <w:vAlign w:val="center"/>
          </w:tcPr>
          <w:p w14:paraId="53EE6698">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3</w:t>
            </w:r>
          </w:p>
        </w:tc>
        <w:tc>
          <w:tcPr>
            <w:tcW w:w="1179" w:type="pct"/>
            <w:vAlign w:val="center"/>
          </w:tcPr>
          <w:p w14:paraId="1498BD32">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SS</w:t>
            </w:r>
          </w:p>
        </w:tc>
        <w:tc>
          <w:tcPr>
            <w:tcW w:w="827" w:type="pct"/>
            <w:vAlign w:val="center"/>
          </w:tcPr>
          <w:p w14:paraId="36D65A40">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mg/L</w:t>
            </w:r>
          </w:p>
        </w:tc>
        <w:tc>
          <w:tcPr>
            <w:tcW w:w="823" w:type="pct"/>
            <w:vAlign w:val="center"/>
          </w:tcPr>
          <w:p w14:paraId="1337C42E">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10</w:t>
            </w:r>
          </w:p>
        </w:tc>
        <w:tc>
          <w:tcPr>
            <w:tcW w:w="840" w:type="pct"/>
            <w:vAlign w:val="center"/>
          </w:tcPr>
          <w:p w14:paraId="747EA61F">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10</w:t>
            </w:r>
          </w:p>
        </w:tc>
        <w:tc>
          <w:tcPr>
            <w:tcW w:w="837" w:type="pct"/>
            <w:vAlign w:val="center"/>
          </w:tcPr>
          <w:p w14:paraId="20559C7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eastAsia"/>
                <w:sz w:val="21"/>
                <w:szCs w:val="21"/>
                <w:highlight w:val="none"/>
                <w:lang w:val="en-US" w:eastAsia="zh-CN"/>
              </w:rPr>
              <w:t>符合</w:t>
            </w:r>
          </w:p>
        </w:tc>
      </w:tr>
      <w:tr w14:paraId="6F39059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92" w:type="pct"/>
            <w:vAlign w:val="center"/>
          </w:tcPr>
          <w:p w14:paraId="4E1E032F">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4</w:t>
            </w:r>
          </w:p>
        </w:tc>
        <w:tc>
          <w:tcPr>
            <w:tcW w:w="1179" w:type="pct"/>
            <w:vAlign w:val="center"/>
          </w:tcPr>
          <w:p w14:paraId="16EF2A37">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总氮（TN）</w:t>
            </w:r>
          </w:p>
        </w:tc>
        <w:tc>
          <w:tcPr>
            <w:tcW w:w="827" w:type="pct"/>
            <w:vAlign w:val="center"/>
          </w:tcPr>
          <w:p w14:paraId="5F6DD373">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mg/L</w:t>
            </w:r>
          </w:p>
        </w:tc>
        <w:tc>
          <w:tcPr>
            <w:tcW w:w="823" w:type="pct"/>
            <w:vAlign w:val="center"/>
          </w:tcPr>
          <w:p w14:paraId="45C422F8">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15</w:t>
            </w:r>
          </w:p>
        </w:tc>
        <w:tc>
          <w:tcPr>
            <w:tcW w:w="840" w:type="pct"/>
            <w:vAlign w:val="center"/>
          </w:tcPr>
          <w:p w14:paraId="4F298F33">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15</w:t>
            </w:r>
          </w:p>
        </w:tc>
        <w:tc>
          <w:tcPr>
            <w:tcW w:w="837" w:type="pct"/>
            <w:vAlign w:val="center"/>
          </w:tcPr>
          <w:p w14:paraId="2C5CC2E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eastAsia"/>
                <w:sz w:val="21"/>
                <w:szCs w:val="21"/>
                <w:highlight w:val="none"/>
                <w:lang w:val="en-US" w:eastAsia="zh-CN"/>
              </w:rPr>
              <w:t>符合</w:t>
            </w:r>
          </w:p>
        </w:tc>
      </w:tr>
      <w:tr w14:paraId="3BC5074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92" w:type="pct"/>
            <w:vAlign w:val="center"/>
          </w:tcPr>
          <w:p w14:paraId="4A0FDCC7">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5</w:t>
            </w:r>
          </w:p>
        </w:tc>
        <w:tc>
          <w:tcPr>
            <w:tcW w:w="1179" w:type="pct"/>
            <w:vAlign w:val="center"/>
          </w:tcPr>
          <w:p w14:paraId="0F81F2B9">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氨氮（</w:t>
            </w:r>
            <w:r>
              <w:rPr>
                <w:rFonts w:hint="eastAsia"/>
                <w:sz w:val="21"/>
                <w:szCs w:val="21"/>
                <w:highlight w:val="none"/>
                <w:lang w:val="en-US" w:eastAsia="zh-CN"/>
              </w:rPr>
              <w:t>NH</w:t>
            </w:r>
            <w:r>
              <w:rPr>
                <w:rFonts w:hint="eastAsia"/>
                <w:sz w:val="21"/>
                <w:szCs w:val="21"/>
                <w:highlight w:val="none"/>
                <w:vertAlign w:val="subscript"/>
                <w:lang w:val="en-US" w:eastAsia="zh-CN"/>
              </w:rPr>
              <w:t>3</w:t>
            </w:r>
            <w:r>
              <w:rPr>
                <w:rFonts w:hint="default"/>
                <w:sz w:val="21"/>
                <w:szCs w:val="21"/>
                <w:highlight w:val="none"/>
                <w:lang w:val="en-US" w:eastAsia="zh-CN"/>
              </w:rPr>
              <w:t>-N）</w:t>
            </w:r>
          </w:p>
        </w:tc>
        <w:tc>
          <w:tcPr>
            <w:tcW w:w="827" w:type="pct"/>
            <w:vAlign w:val="center"/>
          </w:tcPr>
          <w:p w14:paraId="708EA3EE">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mg/L</w:t>
            </w:r>
          </w:p>
        </w:tc>
        <w:tc>
          <w:tcPr>
            <w:tcW w:w="823" w:type="pct"/>
            <w:vAlign w:val="center"/>
          </w:tcPr>
          <w:p w14:paraId="26A7BD13">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5（8）</w:t>
            </w:r>
          </w:p>
        </w:tc>
        <w:tc>
          <w:tcPr>
            <w:tcW w:w="840" w:type="pct"/>
            <w:vAlign w:val="center"/>
          </w:tcPr>
          <w:p w14:paraId="4D6F4545">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5（8）</w:t>
            </w:r>
          </w:p>
        </w:tc>
        <w:tc>
          <w:tcPr>
            <w:tcW w:w="837" w:type="pct"/>
            <w:vAlign w:val="center"/>
          </w:tcPr>
          <w:p w14:paraId="06F152E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eastAsia"/>
                <w:sz w:val="21"/>
                <w:szCs w:val="21"/>
                <w:highlight w:val="none"/>
                <w:lang w:val="en-US" w:eastAsia="zh-CN"/>
              </w:rPr>
              <w:t>符合</w:t>
            </w:r>
          </w:p>
        </w:tc>
      </w:tr>
      <w:tr w14:paraId="66ED397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92" w:type="pct"/>
            <w:vAlign w:val="center"/>
          </w:tcPr>
          <w:p w14:paraId="4D5FB676">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6</w:t>
            </w:r>
          </w:p>
        </w:tc>
        <w:tc>
          <w:tcPr>
            <w:tcW w:w="1179" w:type="pct"/>
            <w:vAlign w:val="center"/>
          </w:tcPr>
          <w:p w14:paraId="6530C347">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总磷（TP）</w:t>
            </w:r>
          </w:p>
        </w:tc>
        <w:tc>
          <w:tcPr>
            <w:tcW w:w="827" w:type="pct"/>
            <w:vAlign w:val="center"/>
          </w:tcPr>
          <w:p w14:paraId="7EA1A274">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mg/L</w:t>
            </w:r>
          </w:p>
        </w:tc>
        <w:tc>
          <w:tcPr>
            <w:tcW w:w="823" w:type="pct"/>
            <w:vAlign w:val="center"/>
          </w:tcPr>
          <w:p w14:paraId="0380D487">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0.5</w:t>
            </w:r>
          </w:p>
        </w:tc>
        <w:tc>
          <w:tcPr>
            <w:tcW w:w="840" w:type="pct"/>
            <w:vAlign w:val="center"/>
          </w:tcPr>
          <w:p w14:paraId="34F1F40D">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0.5</w:t>
            </w:r>
          </w:p>
        </w:tc>
        <w:tc>
          <w:tcPr>
            <w:tcW w:w="837" w:type="pct"/>
            <w:vAlign w:val="center"/>
          </w:tcPr>
          <w:p w14:paraId="73D6E86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eastAsia"/>
                <w:sz w:val="21"/>
                <w:szCs w:val="21"/>
                <w:highlight w:val="none"/>
                <w:lang w:val="en-US" w:eastAsia="zh-CN"/>
              </w:rPr>
              <w:t>符合</w:t>
            </w:r>
          </w:p>
        </w:tc>
      </w:tr>
      <w:tr w14:paraId="633226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92" w:type="pct"/>
            <w:vAlign w:val="center"/>
          </w:tcPr>
          <w:p w14:paraId="4C9B14E5">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7</w:t>
            </w:r>
          </w:p>
        </w:tc>
        <w:tc>
          <w:tcPr>
            <w:tcW w:w="1179" w:type="pct"/>
            <w:vAlign w:val="center"/>
          </w:tcPr>
          <w:p w14:paraId="39DEDDDE">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粪大肠菌群数</w:t>
            </w:r>
          </w:p>
        </w:tc>
        <w:tc>
          <w:tcPr>
            <w:tcW w:w="827" w:type="pct"/>
            <w:vAlign w:val="center"/>
          </w:tcPr>
          <w:p w14:paraId="2C8FC2C7">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个/L</w:t>
            </w:r>
          </w:p>
        </w:tc>
        <w:tc>
          <w:tcPr>
            <w:tcW w:w="823" w:type="pct"/>
            <w:vAlign w:val="center"/>
          </w:tcPr>
          <w:p w14:paraId="34D9EF8D">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≤10</w:t>
            </w:r>
            <w:r>
              <w:rPr>
                <w:rFonts w:hint="default"/>
                <w:sz w:val="21"/>
                <w:szCs w:val="21"/>
                <w:highlight w:val="none"/>
                <w:vertAlign w:val="superscript"/>
                <w:lang w:val="en-US" w:eastAsia="zh-CN"/>
              </w:rPr>
              <w:t>3</w:t>
            </w:r>
          </w:p>
        </w:tc>
        <w:tc>
          <w:tcPr>
            <w:tcW w:w="840" w:type="pct"/>
            <w:vAlign w:val="center"/>
          </w:tcPr>
          <w:p w14:paraId="5C847CA0">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≤10</w:t>
            </w:r>
            <w:r>
              <w:rPr>
                <w:rFonts w:hint="default"/>
                <w:sz w:val="21"/>
                <w:szCs w:val="21"/>
                <w:highlight w:val="none"/>
                <w:vertAlign w:val="superscript"/>
                <w:lang w:val="en-US" w:eastAsia="zh-CN"/>
              </w:rPr>
              <w:t>3</w:t>
            </w:r>
          </w:p>
        </w:tc>
        <w:tc>
          <w:tcPr>
            <w:tcW w:w="837" w:type="pct"/>
            <w:vAlign w:val="center"/>
          </w:tcPr>
          <w:p w14:paraId="0548348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eastAsia"/>
                <w:sz w:val="21"/>
                <w:szCs w:val="21"/>
                <w:highlight w:val="none"/>
                <w:lang w:val="en-US" w:eastAsia="zh-CN"/>
              </w:rPr>
              <w:t>符合</w:t>
            </w:r>
          </w:p>
        </w:tc>
      </w:tr>
      <w:tr w14:paraId="1379F79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6"/>
            <w:vAlign w:val="center"/>
          </w:tcPr>
          <w:p w14:paraId="32832B9B">
            <w:pPr>
              <w:pStyle w:val="5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highlight w:val="none"/>
                <w:lang w:val="en-US" w:eastAsia="zh-CN"/>
              </w:rPr>
            </w:pPr>
            <w:r>
              <w:rPr>
                <w:rFonts w:hint="default"/>
                <w:sz w:val="21"/>
                <w:szCs w:val="21"/>
                <w:highlight w:val="none"/>
                <w:lang w:val="en-US" w:eastAsia="zh-CN"/>
              </w:rPr>
              <w:t>注：氨氮指标中，括号外数值为水温＞12℃时的控制指标，括号内数值为水温≤12℃时的控制指标。</w:t>
            </w:r>
          </w:p>
        </w:tc>
      </w:tr>
    </w:tbl>
    <w:p w14:paraId="54B8CA55">
      <w:pPr>
        <w:keepNext w:val="0"/>
        <w:keepLines w:val="0"/>
        <w:pageBreakBefore w:val="0"/>
        <w:widowControl w:val="0"/>
        <w:numPr>
          <w:ilvl w:val="0"/>
          <w:numId w:val="0"/>
        </w:numPr>
        <w:kinsoku/>
        <w:wordWrap/>
        <w:overflowPunct/>
        <w:topLinePunct w:val="0"/>
        <w:autoSpaceDE/>
        <w:autoSpaceDN/>
        <w:bidi w:val="0"/>
        <w:adjustRightInd w:val="0"/>
        <w:snapToGrid w:val="0"/>
        <w:spacing w:line="480" w:lineRule="exact"/>
        <w:ind w:leftChars="0" w:firstLine="480" w:firstLineChars="200"/>
        <w:textAlignment w:val="auto"/>
        <w:rPr>
          <w:rFonts w:hint="eastAsia"/>
          <w:highlight w:val="none"/>
          <w:lang w:val="en-US" w:eastAsia="zh-CN"/>
        </w:rPr>
      </w:pPr>
      <w:r>
        <w:rPr>
          <w:rFonts w:hint="eastAsia"/>
          <w:highlight w:val="none"/>
          <w:lang w:val="en-US" w:eastAsia="zh-CN"/>
        </w:rPr>
        <w:t>本项目与金木美佳中间只隔一条经三路，此次设置中水回用水池和与金木美佳之间的中水回用管道并预留接口，将来可以回用于园区其他入驻的企业。</w:t>
      </w:r>
    </w:p>
    <w:p w14:paraId="1930D518">
      <w:pPr>
        <w:keepNext w:val="0"/>
        <w:keepLines w:val="0"/>
        <w:pageBreakBefore w:val="0"/>
        <w:widowControl w:val="0"/>
        <w:numPr>
          <w:ilvl w:val="0"/>
          <w:numId w:val="0"/>
        </w:numPr>
        <w:kinsoku/>
        <w:wordWrap/>
        <w:overflowPunct/>
        <w:topLinePunct w:val="0"/>
        <w:autoSpaceDE/>
        <w:autoSpaceDN/>
        <w:bidi w:val="0"/>
        <w:adjustRightInd w:val="0"/>
        <w:snapToGrid w:val="0"/>
        <w:spacing w:line="480" w:lineRule="exact"/>
        <w:ind w:leftChars="0" w:firstLine="480" w:firstLineChars="200"/>
        <w:textAlignment w:val="auto"/>
        <w:rPr>
          <w:rFonts w:hint="default" w:cs="Times New Roman"/>
          <w:color w:val="000000" w:themeColor="text1"/>
          <w:sz w:val="24"/>
          <w:highlight w:val="none"/>
          <w:vertAlign w:val="baseline"/>
          <w:lang w:val="en-US" w:eastAsia="zh-CN"/>
          <w14:textFill>
            <w14:solidFill>
              <w14:schemeClr w14:val="tx1"/>
            </w14:solidFill>
          </w14:textFill>
        </w:rPr>
      </w:pPr>
      <w:r>
        <w:rPr>
          <w:rFonts w:hint="eastAsia"/>
          <w:highlight w:val="none"/>
          <w:lang w:val="en-US" w:eastAsia="zh-CN"/>
        </w:rPr>
        <w:t>如遇重污染天气应急响应，金木美佳停产，中水仅回用于厂区生产、园区绿化和道路喷洒，消耗量约为61</w:t>
      </w:r>
      <w:r>
        <w:rPr>
          <w:rFonts w:hint="eastAsia" w:cs="Times New Roman"/>
          <w:color w:val="000000" w:themeColor="text1"/>
          <w:sz w:val="24"/>
          <w:highlight w:val="none"/>
          <w:lang w:val="en-US" w:eastAsia="zh-CN"/>
          <w14:textFill>
            <w14:solidFill>
              <w14:schemeClr w14:val="tx1"/>
            </w14:solidFill>
          </w14:textFill>
        </w:rPr>
        <w:t>m</w:t>
      </w:r>
      <w:r>
        <w:rPr>
          <w:rFonts w:hint="eastAsia" w:cs="Times New Roman"/>
          <w:color w:val="000000" w:themeColor="text1"/>
          <w:sz w:val="24"/>
          <w:highlight w:val="none"/>
          <w:vertAlign w:val="superscript"/>
          <w:lang w:val="en-US" w:eastAsia="zh-CN"/>
          <w14:textFill>
            <w14:solidFill>
              <w14:schemeClr w14:val="tx1"/>
            </w14:solidFill>
          </w14:textFill>
        </w:rPr>
        <w:t>3</w:t>
      </w:r>
      <w:r>
        <w:rPr>
          <w:rFonts w:hint="eastAsia" w:cs="Times New Roman"/>
          <w:color w:val="000000" w:themeColor="text1"/>
          <w:sz w:val="24"/>
          <w:highlight w:val="none"/>
          <w:lang w:val="en-US" w:eastAsia="zh-CN"/>
          <w14:textFill>
            <w14:solidFill>
              <w14:schemeClr w14:val="tx1"/>
            </w14:solidFill>
          </w14:textFill>
        </w:rPr>
        <w:t>/d，园区设置500m</w:t>
      </w:r>
      <w:r>
        <w:rPr>
          <w:rFonts w:hint="eastAsia" w:cs="Times New Roman"/>
          <w:color w:val="000000" w:themeColor="text1"/>
          <w:sz w:val="24"/>
          <w:highlight w:val="none"/>
          <w:vertAlign w:val="superscript"/>
          <w:lang w:val="en-US" w:eastAsia="zh-CN"/>
          <w14:textFill>
            <w14:solidFill>
              <w14:schemeClr w14:val="tx1"/>
            </w14:solidFill>
          </w14:textFill>
        </w:rPr>
        <w:t>3</w:t>
      </w:r>
      <w:r>
        <w:rPr>
          <w:rFonts w:hint="eastAsia" w:cs="Times New Roman"/>
          <w:color w:val="000000" w:themeColor="text1"/>
          <w:sz w:val="24"/>
          <w:highlight w:val="none"/>
          <w:vertAlign w:val="baseline"/>
          <w:lang w:val="en-US" w:eastAsia="zh-CN"/>
          <w14:textFill>
            <w14:solidFill>
              <w14:schemeClr w14:val="tx1"/>
            </w14:solidFill>
          </w14:textFill>
        </w:rPr>
        <w:t>加盖的中水回用水池，阴雨天气及冬季中水不能及时利用时可以用于中水的储存。</w:t>
      </w:r>
    </w:p>
    <w:p w14:paraId="13BBCF92">
      <w:pPr>
        <w:keepNext w:val="0"/>
        <w:keepLines w:val="0"/>
        <w:pageBreakBefore w:val="0"/>
        <w:widowControl w:val="0"/>
        <w:numPr>
          <w:ilvl w:val="0"/>
          <w:numId w:val="0"/>
        </w:numPr>
        <w:kinsoku/>
        <w:wordWrap/>
        <w:overflowPunct/>
        <w:topLinePunct w:val="0"/>
        <w:autoSpaceDE/>
        <w:autoSpaceDN/>
        <w:bidi w:val="0"/>
        <w:adjustRightInd w:val="0"/>
        <w:snapToGrid w:val="0"/>
        <w:spacing w:line="480" w:lineRule="exact"/>
        <w:ind w:leftChars="0" w:firstLine="480" w:firstLineChars="200"/>
        <w:textAlignment w:val="auto"/>
        <w:rPr>
          <w:rFonts w:hint="default" w:cs="Times New Roman"/>
          <w:color w:val="000000" w:themeColor="text1"/>
          <w:sz w:val="24"/>
          <w:highlight w:val="none"/>
          <w:vertAlign w:val="baseline"/>
          <w:lang w:val="en-US" w:eastAsia="zh-CN"/>
          <w14:textFill>
            <w14:solidFill>
              <w14:schemeClr w14:val="tx1"/>
            </w14:solidFill>
          </w14:textFill>
        </w:rPr>
      </w:pPr>
      <w:r>
        <w:rPr>
          <w:rFonts w:hint="eastAsia"/>
          <w:highlight w:val="none"/>
          <w:lang w:val="en-US" w:eastAsia="zh-CN"/>
        </w:rPr>
        <w:t>目前园区入住率尚低，产生中水约为44m</w:t>
      </w:r>
      <w:r>
        <w:rPr>
          <w:rFonts w:hint="eastAsia"/>
          <w:highlight w:val="none"/>
          <w:vertAlign w:val="superscript"/>
          <w:lang w:val="en-US" w:eastAsia="zh-CN"/>
        </w:rPr>
        <w:t>3</w:t>
      </w:r>
      <w:r>
        <w:rPr>
          <w:rFonts w:hint="eastAsia"/>
          <w:highlight w:val="none"/>
          <w:lang w:val="en-US" w:eastAsia="zh-CN"/>
        </w:rPr>
        <w:t>/d，远低于厂区生产、园区绿化、园区道路喷洒抑尘、金木美佳目前中水需求量，中水全部回用方案可行。本项目预留中水回用接口，将来园区入驻率增加，多余中水可以供给其他需要的企业，确保中水全部回用，不外排。</w:t>
      </w:r>
    </w:p>
    <w:p w14:paraId="77F35AC4">
      <w:pPr>
        <w:spacing w:before="65" w:line="356" w:lineRule="auto"/>
        <w:ind w:left="10" w:right="201" w:firstLine="502"/>
        <w:rPr>
          <w:rFonts w:hint="default" w:ascii="Times New Roman" w:hAnsi="Times New Roman" w:eastAsia="宋体" w:cs="Times New Roman"/>
          <w:sz w:val="24"/>
          <w:szCs w:val="24"/>
          <w:highlight w:val="none"/>
        </w:rPr>
      </w:pPr>
      <w:r>
        <w:rPr>
          <w:rFonts w:hint="default" w:ascii="Times New Roman" w:hAnsi="Times New Roman" w:eastAsia="宋体" w:cs="Times New Roman"/>
          <w:spacing w:val="-4"/>
          <w:sz w:val="24"/>
          <w:szCs w:val="24"/>
          <w:highlight w:val="none"/>
        </w:rPr>
        <w:t>同时为了确保污水处理厂的正常运转和处理后的出水稳定达标排放行，</w:t>
      </w:r>
      <w:r>
        <w:rPr>
          <w:rFonts w:hint="default" w:ascii="Times New Roman" w:hAnsi="Times New Roman" w:eastAsia="宋体" w:cs="Times New Roman"/>
          <w:spacing w:val="-4"/>
          <w:sz w:val="24"/>
          <w:szCs w:val="24"/>
          <w:highlight w:val="none"/>
          <w:lang w:val="en-US" w:eastAsia="zh-CN"/>
        </w:rPr>
        <w:t>唐山市曹妃甸区垦丰家居产业园区污水处理厂</w:t>
      </w:r>
      <w:r>
        <w:rPr>
          <w:rFonts w:hint="default" w:ascii="Times New Roman" w:hAnsi="Times New Roman" w:eastAsia="宋体" w:cs="Times New Roman"/>
          <w:spacing w:val="-1"/>
          <w:sz w:val="24"/>
          <w:szCs w:val="24"/>
          <w:highlight w:val="none"/>
        </w:rPr>
        <w:t>制定了相应的管理制度和要求。</w:t>
      </w:r>
    </w:p>
    <w:p w14:paraId="5C646A17">
      <w:pPr>
        <w:spacing w:before="36" w:line="332" w:lineRule="auto"/>
        <w:ind w:left="9" w:right="201" w:firstLine="491"/>
        <w:rPr>
          <w:rFonts w:hint="default" w:ascii="Times New Roman" w:hAnsi="Times New Roman" w:eastAsia="宋体" w:cs="Times New Roman"/>
          <w:sz w:val="24"/>
          <w:szCs w:val="24"/>
          <w:highlight w:val="none"/>
        </w:rPr>
      </w:pPr>
      <w:r>
        <w:rPr>
          <w:rFonts w:hint="default" w:ascii="Times New Roman" w:hAnsi="Times New Roman" w:eastAsia="宋体" w:cs="Times New Roman"/>
          <w:sz w:val="24"/>
          <w:szCs w:val="24"/>
          <w:highlight w:val="none"/>
        </w:rPr>
        <w:t>（1）制定严格的污水排入许可制度，进入污水处理厂处理的废水必须达到接管要</w:t>
      </w:r>
      <w:r>
        <w:rPr>
          <w:rFonts w:hint="default" w:ascii="Times New Roman" w:hAnsi="Times New Roman" w:eastAsia="宋体" w:cs="Times New Roman"/>
          <w:spacing w:val="-3"/>
          <w:sz w:val="24"/>
          <w:szCs w:val="24"/>
          <w:highlight w:val="none"/>
        </w:rPr>
        <w:t>求后方可进入污水管网。进水水量或水质发生异常情况并影响稳定达标排放时</w:t>
      </w:r>
      <w:r>
        <w:rPr>
          <w:rFonts w:hint="default" w:ascii="Times New Roman" w:hAnsi="Times New Roman" w:eastAsia="宋体" w:cs="Times New Roman"/>
          <w:spacing w:val="-3"/>
          <w:sz w:val="24"/>
          <w:szCs w:val="24"/>
          <w:highlight w:val="none"/>
          <w:lang w:val="en-US" w:eastAsia="zh-CN"/>
        </w:rPr>
        <w:t>唐山市曹妃甸区垦丰家居产业园区污水处理厂</w:t>
      </w:r>
      <w:r>
        <w:rPr>
          <w:rFonts w:hint="default" w:ascii="Times New Roman" w:hAnsi="Times New Roman" w:eastAsia="宋体" w:cs="Times New Roman"/>
          <w:spacing w:val="-3"/>
          <w:sz w:val="24"/>
          <w:szCs w:val="24"/>
          <w:highlight w:val="none"/>
        </w:rPr>
        <w:t>立即采取有效控制措施，及时调整污水处理运行参数，防止发生</w:t>
      </w:r>
      <w:r>
        <w:rPr>
          <w:rFonts w:hint="default" w:ascii="Times New Roman" w:hAnsi="Times New Roman" w:eastAsia="宋体" w:cs="Times New Roman"/>
          <w:spacing w:val="-2"/>
          <w:sz w:val="24"/>
          <w:szCs w:val="24"/>
          <w:highlight w:val="none"/>
        </w:rPr>
        <w:t>运行事故。</w:t>
      </w:r>
    </w:p>
    <w:p w14:paraId="1476AF86">
      <w:pPr>
        <w:pageBreakBefore w:val="0"/>
        <w:widowControl w:val="0"/>
        <w:kinsoku/>
        <w:wordWrap/>
        <w:overflowPunct/>
        <w:topLinePunct w:val="0"/>
        <w:autoSpaceDE w:val="0"/>
        <w:autoSpaceDN w:val="0"/>
        <w:bidi w:val="0"/>
        <w:spacing w:line="480" w:lineRule="exact"/>
        <w:ind w:firstLine="480" w:firstLineChars="200"/>
        <w:jc w:val="left"/>
        <w:textAlignment w:val="auto"/>
        <w:rPr>
          <w:rFonts w:hint="default" w:ascii="Times New Roman" w:hAnsi="Times New Roman" w:eastAsia="宋体" w:cs="Times New Roman"/>
          <w:spacing w:val="-1"/>
          <w:sz w:val="24"/>
          <w:szCs w:val="24"/>
          <w:highlight w:val="none"/>
        </w:rPr>
      </w:pPr>
      <w:r>
        <w:rPr>
          <w:rFonts w:hint="default" w:ascii="Times New Roman" w:hAnsi="Times New Roman" w:eastAsia="宋体" w:cs="Times New Roman"/>
          <w:sz w:val="24"/>
          <w:szCs w:val="24"/>
          <w:highlight w:val="none"/>
        </w:rPr>
        <w:t>（2）污水处理厂需与主要的污水排放企业之间有畅通的信息交流渠道，建立企业</w:t>
      </w:r>
      <w:r>
        <w:rPr>
          <w:rFonts w:hint="default" w:ascii="Times New Roman" w:hAnsi="Times New Roman" w:eastAsia="宋体" w:cs="Times New Roman"/>
          <w:spacing w:val="-3"/>
          <w:sz w:val="24"/>
          <w:szCs w:val="24"/>
          <w:highlight w:val="none"/>
        </w:rPr>
        <w:t>的事故报告制度。一旦排水进入污水处理厂的企业发生事故，应要求企业在第一时间向</w:t>
      </w:r>
      <w:r>
        <w:rPr>
          <w:rFonts w:hint="default" w:ascii="Times New Roman" w:hAnsi="Times New Roman" w:eastAsia="宋体" w:cs="Times New Roman"/>
          <w:spacing w:val="-7"/>
          <w:sz w:val="24"/>
          <w:szCs w:val="24"/>
          <w:highlight w:val="none"/>
        </w:rPr>
        <w:t>污水处理厂报告事故的类型，估计事故源强，并关闭出水阀，停止将水送入污水处理厂。</w:t>
      </w:r>
      <w:r>
        <w:rPr>
          <w:rFonts w:hint="default" w:ascii="Times New Roman" w:hAnsi="Times New Roman" w:eastAsia="宋体" w:cs="Times New Roman"/>
          <w:spacing w:val="-1"/>
          <w:sz w:val="24"/>
          <w:szCs w:val="24"/>
          <w:highlight w:val="none"/>
        </w:rPr>
        <w:t>重污染企业应设置事故池。</w:t>
      </w:r>
    </w:p>
    <w:p w14:paraId="7A8BE501">
      <w:pPr>
        <w:spacing w:before="193" w:line="295" w:lineRule="auto"/>
        <w:ind w:left="9" w:right="123" w:firstLine="491"/>
        <w:rPr>
          <w:rFonts w:hint="default" w:ascii="Times New Roman" w:hAnsi="Times New Roman" w:eastAsia="宋体" w:cs="Times New Roman"/>
          <w:sz w:val="24"/>
          <w:szCs w:val="24"/>
          <w:highlight w:val="none"/>
        </w:rPr>
      </w:pPr>
      <w:r>
        <w:rPr>
          <w:rFonts w:hint="default" w:ascii="Times New Roman" w:hAnsi="Times New Roman" w:eastAsia="宋体" w:cs="Times New Roman"/>
          <w:spacing w:val="-1"/>
          <w:sz w:val="24"/>
          <w:szCs w:val="24"/>
          <w:highlight w:val="none"/>
        </w:rPr>
        <w:t>（3）厂内污水输送管道布设合理，并按要求进行防渗漏处理，防止跑、冒、</w:t>
      </w:r>
      <w:r>
        <w:rPr>
          <w:rFonts w:hint="default" w:ascii="Times New Roman" w:hAnsi="Times New Roman" w:eastAsia="宋体" w:cs="Times New Roman"/>
          <w:spacing w:val="-2"/>
          <w:sz w:val="24"/>
          <w:szCs w:val="24"/>
          <w:highlight w:val="none"/>
        </w:rPr>
        <w:t>滴、</w:t>
      </w:r>
      <w:r>
        <w:rPr>
          <w:rFonts w:hint="default" w:ascii="Times New Roman" w:hAnsi="Times New Roman" w:eastAsia="宋体" w:cs="Times New Roman"/>
          <w:spacing w:val="-5"/>
          <w:sz w:val="24"/>
          <w:szCs w:val="24"/>
          <w:highlight w:val="none"/>
        </w:rPr>
        <w:t>漏。</w:t>
      </w:r>
    </w:p>
    <w:p w14:paraId="1F281D03">
      <w:pPr>
        <w:spacing w:before="191" w:line="295" w:lineRule="auto"/>
        <w:ind w:left="10" w:right="83" w:firstLine="490"/>
        <w:rPr>
          <w:rFonts w:hint="default" w:ascii="Times New Roman" w:hAnsi="Times New Roman" w:eastAsia="宋体" w:cs="Times New Roman"/>
          <w:sz w:val="24"/>
          <w:szCs w:val="24"/>
          <w:highlight w:val="none"/>
        </w:rPr>
      </w:pPr>
      <w:r>
        <w:rPr>
          <w:rFonts w:hint="default" w:ascii="Times New Roman" w:hAnsi="Times New Roman" w:eastAsia="宋体" w:cs="Times New Roman"/>
          <w:sz w:val="24"/>
          <w:szCs w:val="24"/>
          <w:highlight w:val="none"/>
        </w:rPr>
        <w:t>（4）污染治理设施运行应满足设计工况条件，并根据工艺要求，定期对设备、电</w:t>
      </w:r>
      <w:r>
        <w:rPr>
          <w:rFonts w:hint="default" w:ascii="Times New Roman" w:hAnsi="Times New Roman" w:eastAsia="宋体" w:cs="Times New Roman"/>
          <w:spacing w:val="-2"/>
          <w:sz w:val="24"/>
          <w:szCs w:val="24"/>
          <w:highlight w:val="none"/>
        </w:rPr>
        <w:t>气、自控仪表及构筑物进行检查维护，确保污染治理设施可靠运行。</w:t>
      </w:r>
    </w:p>
    <w:p w14:paraId="0C05353B">
      <w:pPr>
        <w:spacing w:before="193" w:line="295" w:lineRule="auto"/>
        <w:ind w:left="10" w:right="83" w:firstLine="490"/>
        <w:rPr>
          <w:rFonts w:hint="default" w:ascii="Times New Roman" w:hAnsi="Times New Roman" w:eastAsia="宋体" w:cs="Times New Roman"/>
          <w:sz w:val="24"/>
          <w:szCs w:val="24"/>
          <w:highlight w:val="none"/>
        </w:rPr>
      </w:pPr>
      <w:r>
        <w:rPr>
          <w:rFonts w:hint="default" w:ascii="Times New Roman" w:hAnsi="Times New Roman" w:eastAsia="宋体" w:cs="Times New Roman"/>
          <w:sz w:val="24"/>
          <w:szCs w:val="24"/>
          <w:highlight w:val="none"/>
        </w:rPr>
        <w:t>（5）做好排放口管控，正常情况下，厂区内除雨水排放口和废水总排放口外，不</w:t>
      </w:r>
      <w:r>
        <w:rPr>
          <w:rFonts w:hint="default" w:ascii="Times New Roman" w:hAnsi="Times New Roman" w:eastAsia="宋体" w:cs="Times New Roman"/>
          <w:spacing w:val="-1"/>
          <w:sz w:val="24"/>
          <w:szCs w:val="24"/>
          <w:highlight w:val="none"/>
        </w:rPr>
        <w:t>得设置其他未纳入监管的排放口。</w:t>
      </w:r>
    </w:p>
    <w:p w14:paraId="4418A255">
      <w:pPr>
        <w:spacing w:before="192" w:line="345" w:lineRule="auto"/>
        <w:ind w:left="9" w:right="17" w:firstLine="482"/>
        <w:jc w:val="both"/>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spacing w:val="-3"/>
          <w:sz w:val="24"/>
          <w:szCs w:val="24"/>
          <w:highlight w:val="none"/>
        </w:rPr>
        <w:t>综上，项目采取合理的处理工艺，并加强运行管理，可确保污水处理厂出水水质稳定达到《城镇污水处理厂污染物排放标准》(GB18918-2002)表1中一级A标准要求，</w:t>
      </w:r>
      <w:r>
        <w:rPr>
          <w:rFonts w:hint="default" w:ascii="Times New Roman" w:hAnsi="Times New Roman" w:eastAsia="宋体" w:cs="Times New Roman"/>
          <w:spacing w:val="-2"/>
          <w:sz w:val="24"/>
          <w:szCs w:val="24"/>
          <w:highlight w:val="none"/>
        </w:rPr>
        <w:t>措施可行。</w:t>
      </w:r>
    </w:p>
    <w:p w14:paraId="2A8B2454">
      <w:pPr>
        <w:pStyle w:val="7"/>
        <w:bidi w:val="0"/>
        <w:rPr>
          <w:rFonts w:hint="default"/>
          <w:highlight w:val="none"/>
        </w:rPr>
      </w:pPr>
      <w:bookmarkStart w:id="350" w:name="_Toc3422"/>
      <w:r>
        <w:rPr>
          <w:rFonts w:hint="default"/>
          <w:highlight w:val="none"/>
          <w:lang w:val="en-US" w:eastAsia="zh-CN"/>
        </w:rPr>
        <w:t>6</w:t>
      </w:r>
      <w:r>
        <w:rPr>
          <w:rFonts w:hint="default"/>
          <w:highlight w:val="none"/>
        </w:rPr>
        <w:t>.3噪声治理措施可行性论证</w:t>
      </w:r>
      <w:bookmarkEnd w:id="349"/>
      <w:bookmarkEnd w:id="350"/>
      <w:bookmarkStart w:id="351" w:name="_Toc390963167"/>
    </w:p>
    <w:p w14:paraId="757F34E9">
      <w:pPr>
        <w:spacing w:line="480" w:lineRule="exact"/>
        <w:ind w:firstLine="480" w:firstLineChars="200"/>
        <w:rPr>
          <w:rFonts w:hint="default" w:ascii="Times New Roman" w:hAnsi="Times New Roman" w:eastAsia="宋体" w:cs="Times New Roman"/>
          <w:color w:val="000000" w:themeColor="text1"/>
          <w:kern w:val="0"/>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24"/>
          <w:sz w:val="24"/>
          <w:highlight w:val="none"/>
          <w:lang w:eastAsia="zh-CN"/>
          <w14:textFill>
            <w14:solidFill>
              <w14:schemeClr w14:val="tx1"/>
            </w14:solidFill>
          </w14:textFill>
        </w:rPr>
        <w:t>项目新增噪声主要为鼓风机、泵类、叠螺污泥脱水机、废气处理风机等设备运行噪声，拟采用的降噪措施主要是选用低噪声设备、厂房隔声、安装减振垫、鼓风机加消声器，引风机加隔声罩、出口与管道连接处采用软连接等防治措施。根据现有工程采取相同的噪声污染防治措施的实际运行情况来看，上述措施均为合理有效的措施。采取以上措施后，经预测厂界噪声可满足《工业企业厂界环境噪声排放标准》(GB12348-2008)3类标准要求，噪声防治措施可行。</w:t>
      </w:r>
    </w:p>
    <w:p w14:paraId="394D00B2">
      <w:pPr>
        <w:pStyle w:val="7"/>
        <w:bidi w:val="0"/>
        <w:rPr>
          <w:rFonts w:hint="default"/>
          <w:highlight w:val="none"/>
          <w:lang w:val="en-US" w:eastAsia="zh-CN"/>
        </w:rPr>
      </w:pPr>
      <w:bookmarkStart w:id="352" w:name="_Toc31647"/>
      <w:r>
        <w:rPr>
          <w:rFonts w:hint="default"/>
          <w:highlight w:val="none"/>
          <w:lang w:val="en-US" w:eastAsia="zh-CN"/>
        </w:rPr>
        <w:t>6</w:t>
      </w:r>
      <w:r>
        <w:rPr>
          <w:rFonts w:hint="default"/>
          <w:highlight w:val="none"/>
        </w:rPr>
        <w:t>.4固体废物治理措施可行性论证</w:t>
      </w:r>
      <w:bookmarkEnd w:id="351"/>
      <w:bookmarkEnd w:id="352"/>
    </w:p>
    <w:p w14:paraId="7E42EE90">
      <w:pPr>
        <w:pStyle w:val="6"/>
        <w:bidi w:val="0"/>
        <w:rPr>
          <w:rFonts w:hint="default"/>
          <w:highlight w:val="none"/>
          <w:lang w:val="en-US" w:eastAsia="zh-CN"/>
        </w:rPr>
      </w:pPr>
      <w:r>
        <w:rPr>
          <w:rFonts w:hint="default"/>
          <w:highlight w:val="none"/>
          <w:lang w:val="en-US" w:eastAsia="zh-CN"/>
        </w:rPr>
        <w:t>6.4.1一般固废治理措施的可行性论证</w:t>
      </w:r>
    </w:p>
    <w:p w14:paraId="143245B2">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lang w:val="zh-CN" w:eastAsia="zh-CN"/>
          <w14:textFill>
            <w14:solidFill>
              <w14:schemeClr w14:val="tx1"/>
            </w14:solidFill>
          </w14:textFill>
        </w:rPr>
      </w:pPr>
      <w:r>
        <w:rPr>
          <w:rFonts w:hint="default" w:ascii="Times New Roman" w:hAnsi="Times New Roman" w:eastAsia="宋体" w:cs="Times New Roman"/>
          <w:b w:val="0"/>
          <w:bCs/>
          <w:snapToGrid w:val="0"/>
          <w:color w:val="000000" w:themeColor="text1"/>
          <w:kern w:val="0"/>
          <w:sz w:val="24"/>
          <w:szCs w:val="24"/>
          <w:highlight w:val="none"/>
          <w:lang w:val="en-US" w:eastAsia="zh-CN"/>
          <w14:textFill>
            <w14:solidFill>
              <w14:schemeClr w14:val="tx1"/>
            </w14:solidFill>
          </w14:textFill>
        </w:rPr>
        <w:t>本项目一般固废如下：粗格栅、细格栅产生的栅渣、调节池产生的沉砂定期送往</w:t>
      </w:r>
      <w:r>
        <w:rPr>
          <w:rFonts w:hint="eastAsia" w:cs="Times New Roman"/>
          <w:b w:val="0"/>
          <w:bCs/>
          <w:snapToGrid w:val="0"/>
          <w:color w:val="000000" w:themeColor="text1"/>
          <w:kern w:val="0"/>
          <w:sz w:val="24"/>
          <w:szCs w:val="24"/>
          <w:highlight w:val="none"/>
          <w:lang w:val="en-US" w:eastAsia="zh-CN"/>
          <w14:textFill>
            <w14:solidFill>
              <w14:schemeClr w14:val="tx1"/>
            </w14:solidFill>
          </w14:textFill>
        </w:rPr>
        <w:t>水泥厂协同处置</w:t>
      </w:r>
      <w:r>
        <w:rPr>
          <w:rFonts w:hint="default" w:ascii="Times New Roman" w:hAnsi="Times New Roman" w:eastAsia="宋体" w:cs="Times New Roman"/>
          <w:b w:val="0"/>
          <w:bCs/>
          <w:snapToGrid w:val="0"/>
          <w:color w:val="000000" w:themeColor="text1"/>
          <w:kern w:val="0"/>
          <w:sz w:val="24"/>
          <w:szCs w:val="24"/>
          <w:highlight w:val="none"/>
          <w:lang w:val="en-US" w:eastAsia="zh-CN"/>
          <w14:textFill>
            <w14:solidFill>
              <w14:schemeClr w14:val="tx1"/>
            </w14:solidFill>
          </w14:textFill>
        </w:rPr>
        <w:t>；</w:t>
      </w:r>
      <w:r>
        <w:rPr>
          <w:rFonts w:hint="eastAsia" w:cs="Times New Roman"/>
          <w:b w:val="0"/>
          <w:bCs/>
          <w:snapToGrid w:val="0"/>
          <w:color w:val="000000" w:themeColor="text1"/>
          <w:kern w:val="0"/>
          <w:sz w:val="24"/>
          <w:szCs w:val="24"/>
          <w:highlight w:val="none"/>
          <w:lang w:val="en-US" w:eastAsia="zh-CN"/>
          <w14:textFill>
            <w14:solidFill>
              <w14:schemeClr w14:val="tx1"/>
            </w14:solidFill>
          </w14:textFill>
        </w:rPr>
        <w:t>A</w:t>
      </w:r>
      <w:r>
        <w:rPr>
          <w:rFonts w:hint="eastAsia" w:cs="Times New Roman"/>
          <w:b w:val="0"/>
          <w:bCs/>
          <w:snapToGrid w:val="0"/>
          <w:color w:val="000000" w:themeColor="text1"/>
          <w:kern w:val="0"/>
          <w:sz w:val="24"/>
          <w:szCs w:val="24"/>
          <w:highlight w:val="none"/>
          <w:vertAlign w:val="superscript"/>
          <w:lang w:val="en-US" w:eastAsia="zh-CN"/>
          <w14:textFill>
            <w14:solidFill>
              <w14:schemeClr w14:val="tx1"/>
            </w14:solidFill>
          </w14:textFill>
        </w:rPr>
        <w:t>2</w:t>
      </w:r>
      <w:r>
        <w:rPr>
          <w:rFonts w:hint="eastAsia" w:cs="Times New Roman"/>
          <w:b w:val="0"/>
          <w:bCs/>
          <w:snapToGrid w:val="0"/>
          <w:color w:val="000000" w:themeColor="text1"/>
          <w:kern w:val="0"/>
          <w:sz w:val="24"/>
          <w:szCs w:val="24"/>
          <w:highlight w:val="none"/>
          <w:lang w:val="en-US" w:eastAsia="zh-CN"/>
          <w14:textFill>
            <w14:solidFill>
              <w14:schemeClr w14:val="tx1"/>
            </w14:solidFill>
          </w14:textFill>
        </w:rPr>
        <w:t>O</w:t>
      </w:r>
      <w:r>
        <w:rPr>
          <w:rFonts w:hint="default" w:ascii="Times New Roman" w:hAnsi="Times New Roman" w:eastAsia="宋体" w:cs="Times New Roman"/>
          <w:b w:val="0"/>
          <w:bCs/>
          <w:snapToGrid w:val="0"/>
          <w:color w:val="000000" w:themeColor="text1"/>
          <w:kern w:val="0"/>
          <w:sz w:val="24"/>
          <w:szCs w:val="24"/>
          <w:highlight w:val="none"/>
          <w:lang w:val="en-US" w:eastAsia="zh-CN"/>
          <w14:textFill>
            <w14:solidFill>
              <w14:schemeClr w14:val="tx1"/>
            </w14:solidFill>
          </w14:textFill>
        </w:rPr>
        <w:t>一体化设备、</w:t>
      </w:r>
      <w:r>
        <w:rPr>
          <w:rFonts w:hint="eastAsia" w:cs="Times New Roman"/>
          <w:b w:val="0"/>
          <w:bCs/>
          <w:snapToGrid w:val="0"/>
          <w:color w:val="000000" w:themeColor="text1"/>
          <w:kern w:val="0"/>
          <w:sz w:val="24"/>
          <w:szCs w:val="24"/>
          <w:highlight w:val="none"/>
          <w:lang w:val="en-US" w:eastAsia="zh-CN"/>
          <w14:textFill>
            <w14:solidFill>
              <w14:schemeClr w14:val="tx1"/>
            </w14:solidFill>
          </w14:textFill>
        </w:rPr>
        <w:t>混凝沉淀池</w:t>
      </w:r>
      <w:r>
        <w:rPr>
          <w:rFonts w:hint="default" w:ascii="Times New Roman" w:hAnsi="Times New Roman" w:eastAsia="宋体" w:cs="Times New Roman"/>
          <w:b w:val="0"/>
          <w:bCs/>
          <w:snapToGrid w:val="0"/>
          <w:color w:val="000000" w:themeColor="text1"/>
          <w:kern w:val="0"/>
          <w:sz w:val="24"/>
          <w:szCs w:val="24"/>
          <w:highlight w:val="none"/>
          <w:lang w:val="en-US" w:eastAsia="zh-CN"/>
          <w14:textFill>
            <w14:solidFill>
              <w14:schemeClr w14:val="tx1"/>
            </w14:solidFill>
          </w14:textFill>
        </w:rPr>
        <w:t>、污泥脱水间等产生的污泥经脱水后（含水率60%以下）外运委托水泥厂协</w:t>
      </w:r>
      <w:r>
        <w:rPr>
          <w:rFonts w:hint="eastAsia" w:cs="Times New Roman"/>
          <w:b w:val="0"/>
          <w:bCs/>
          <w:snapToGrid w:val="0"/>
          <w:color w:val="000000" w:themeColor="text1"/>
          <w:kern w:val="0"/>
          <w:sz w:val="24"/>
          <w:szCs w:val="24"/>
          <w:highlight w:val="none"/>
          <w:lang w:val="en-US" w:eastAsia="zh-CN"/>
          <w14:textFill>
            <w14:solidFill>
              <w14:schemeClr w14:val="tx1"/>
            </w14:solidFill>
          </w14:textFill>
        </w:rPr>
        <w:t>同</w:t>
      </w:r>
      <w:r>
        <w:rPr>
          <w:rFonts w:hint="default" w:ascii="Times New Roman" w:hAnsi="Times New Roman" w:eastAsia="宋体" w:cs="Times New Roman"/>
          <w:b w:val="0"/>
          <w:bCs/>
          <w:snapToGrid w:val="0"/>
          <w:color w:val="000000" w:themeColor="text1"/>
          <w:kern w:val="0"/>
          <w:sz w:val="24"/>
          <w:szCs w:val="24"/>
          <w:highlight w:val="none"/>
          <w:lang w:val="en-US" w:eastAsia="zh-CN"/>
          <w14:textFill>
            <w14:solidFill>
              <w14:schemeClr w14:val="tx1"/>
            </w14:solidFill>
          </w14:textFill>
        </w:rPr>
        <w:t>处置；</w:t>
      </w:r>
      <w:r>
        <w:rPr>
          <w:rFonts w:hint="eastAsia" w:cs="Times New Roman"/>
          <w:b w:val="0"/>
          <w:bCs/>
          <w:snapToGrid w:val="0"/>
          <w:color w:val="000000" w:themeColor="text1"/>
          <w:kern w:val="0"/>
          <w:sz w:val="24"/>
          <w:szCs w:val="24"/>
          <w:highlight w:val="none"/>
          <w:lang w:val="en-US" w:eastAsia="zh-CN"/>
          <w14:textFill>
            <w14:solidFill>
              <w14:schemeClr w14:val="tx1"/>
            </w14:solidFill>
          </w14:textFill>
        </w:rPr>
        <w:t>砂滤</w:t>
      </w:r>
      <w:r>
        <w:rPr>
          <w:rFonts w:hint="default" w:ascii="Times New Roman" w:hAnsi="Times New Roman" w:eastAsia="宋体" w:cs="Times New Roman"/>
          <w:b w:val="0"/>
          <w:bCs/>
          <w:snapToGrid w:val="0"/>
          <w:color w:val="000000" w:themeColor="text1"/>
          <w:kern w:val="0"/>
          <w:sz w:val="24"/>
          <w:szCs w:val="24"/>
          <w:highlight w:val="none"/>
          <w:lang w:val="en-US" w:eastAsia="zh-CN"/>
          <w14:textFill>
            <w14:solidFill>
              <w14:schemeClr w14:val="tx1"/>
            </w14:solidFill>
          </w14:textFill>
        </w:rPr>
        <w:t>罐产生的废石英砂五年更换一次，由厂家回收。</w:t>
      </w:r>
    </w:p>
    <w:p w14:paraId="0F6CEAB0">
      <w:pPr>
        <w:bidi w:val="0"/>
        <w:rPr>
          <w:rFonts w:hint="default"/>
          <w:highlight w:val="none"/>
          <w:lang w:val="en-US" w:eastAsia="zh-CN"/>
        </w:rPr>
      </w:pPr>
      <w:r>
        <w:rPr>
          <w:rFonts w:hint="default"/>
          <w:highlight w:val="none"/>
          <w:lang w:eastAsia="zh-CN"/>
        </w:rPr>
        <w:t>项目产生的一般固体</w:t>
      </w:r>
      <w:r>
        <w:rPr>
          <w:rFonts w:hint="default"/>
          <w:highlight w:val="none"/>
          <w:lang w:val="en-US" w:eastAsia="zh-CN"/>
        </w:rPr>
        <w:t>如果不能立即运走，</w:t>
      </w:r>
      <w:r>
        <w:rPr>
          <w:rFonts w:hint="default"/>
          <w:highlight w:val="none"/>
          <w:lang w:eastAsia="zh-CN"/>
        </w:rPr>
        <w:t>储存于厂内一般固废暂存区</w:t>
      </w:r>
      <w:r>
        <w:rPr>
          <w:rFonts w:hint="eastAsia"/>
          <w:highlight w:val="none"/>
          <w:lang w:val="en-US" w:eastAsia="zh-CN"/>
        </w:rPr>
        <w:t>(位于污泥脱水间内)</w:t>
      </w:r>
      <w:r>
        <w:rPr>
          <w:rFonts w:hint="default"/>
          <w:highlight w:val="none"/>
          <w:lang w:eastAsia="zh-CN"/>
        </w:rPr>
        <w:t>，储存区做到三防，即：防风、防雨、防晒。废物全部资源化、无害化处置。</w:t>
      </w:r>
    </w:p>
    <w:p w14:paraId="1B5BD720">
      <w:pPr>
        <w:pStyle w:val="6"/>
        <w:bidi w:val="0"/>
        <w:rPr>
          <w:rFonts w:hint="default"/>
          <w:lang w:val="en-US" w:eastAsia="zh-CN"/>
        </w:rPr>
      </w:pPr>
      <w:r>
        <w:rPr>
          <w:rFonts w:hint="default"/>
          <w:lang w:val="en-US" w:eastAsia="zh-CN"/>
        </w:rPr>
        <w:t>6.4.2危险废物治理措施的可行性论证</w:t>
      </w:r>
    </w:p>
    <w:p w14:paraId="2811F46C">
      <w:pPr>
        <w:pageBreakBefore w:val="0"/>
        <w:kinsoku/>
        <w:wordWrap/>
        <w:overflowPunct/>
        <w:topLinePunct w:val="0"/>
        <w:autoSpaceDE/>
        <w:autoSpaceDN/>
        <w:bidi w:val="0"/>
        <w:spacing w:line="480" w:lineRule="exact"/>
        <w:ind w:firstLine="480" w:firstLineChars="200"/>
        <w:textAlignment w:val="auto"/>
        <w:rPr>
          <w:rFonts w:hint="default" w:ascii="Times New Roman" w:hAnsi="Times New Roman" w:eastAsia="宋体" w:cs="Times New Roman"/>
          <w:color w:val="000000" w:themeColor="text1"/>
          <w:sz w:val="24"/>
          <w:highlight w:val="yellow"/>
          <w:lang w:val="en-US" w:eastAsia="zh-CN"/>
          <w14:textFill>
            <w14:solidFill>
              <w14:schemeClr w14:val="tx1"/>
            </w14:solidFill>
          </w14:textFill>
        </w:rPr>
      </w:pPr>
      <w:r>
        <w:rPr>
          <w:rFonts w:hint="default" w:ascii="Times New Roman" w:hAnsi="Times New Roman" w:eastAsia="宋体" w:cs="Times New Roman"/>
          <w:b w:val="0"/>
          <w:bCs/>
          <w:snapToGrid w:val="0"/>
          <w:color w:val="000000" w:themeColor="text1"/>
          <w:kern w:val="0"/>
          <w:sz w:val="24"/>
          <w:szCs w:val="24"/>
          <w:highlight w:val="none"/>
          <w:lang w:val="en-US" w:eastAsia="zh-CN"/>
          <w14:textFill>
            <w14:solidFill>
              <w14:schemeClr w14:val="tx1"/>
            </w14:solidFill>
          </w14:textFill>
        </w:rPr>
        <w:t>本项目建设完成后全厂危险废物如下：</w:t>
      </w:r>
      <w:r>
        <w:rPr>
          <w:rFonts w:hint="eastAsia" w:cs="Times New Roman"/>
          <w:b w:val="0"/>
          <w:bCs/>
          <w:snapToGrid w:val="0"/>
          <w:color w:val="000000" w:themeColor="text1"/>
          <w:kern w:val="0"/>
          <w:sz w:val="24"/>
          <w:szCs w:val="24"/>
          <w:highlight w:val="none"/>
          <w:lang w:val="en-US" w:eastAsia="zh-CN"/>
          <w14:textFill>
            <w14:solidFill>
              <w14:schemeClr w14:val="tx1"/>
            </w14:solidFill>
          </w14:textFill>
        </w:rPr>
        <w:t>实验室</w:t>
      </w:r>
      <w:r>
        <w:rPr>
          <w:rFonts w:hint="default" w:ascii="Times New Roman" w:hAnsi="Times New Roman" w:eastAsia="宋体" w:cs="Times New Roman"/>
          <w:b w:val="0"/>
          <w:bCs/>
          <w:snapToGrid w:val="0"/>
          <w:color w:val="000000" w:themeColor="text1"/>
          <w:kern w:val="0"/>
          <w:sz w:val="24"/>
          <w:szCs w:val="24"/>
          <w:highlight w:val="none"/>
          <w:lang w:val="en-US" w:eastAsia="zh-CN"/>
          <w14:textFill>
            <w14:solidFill>
              <w14:schemeClr w14:val="tx1"/>
            </w14:solidFill>
          </w14:textFill>
        </w:rPr>
        <w:t>及在线监测设备产生的残液废瓶</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、设备维护产生的废润滑、废液压油、废油桶等暂存于危废间，定期委托有资质单位进行处理。</w:t>
      </w:r>
    </w:p>
    <w:p w14:paraId="5E1906AB">
      <w:pPr>
        <w:numPr>
          <w:ilvl w:val="0"/>
          <w:numId w:val="0"/>
        </w:numPr>
        <w:spacing w:line="480" w:lineRule="exact"/>
        <w:ind w:firstLine="480" w:firstLineChars="200"/>
        <w:rPr>
          <w:rFonts w:hint="default" w:ascii="Times New Roman" w:hAnsi="Times New Roman" w:eastAsia="宋体" w:cs="Times New Roman"/>
          <w:color w:val="auto"/>
          <w:sz w:val="24"/>
          <w:highlight w:val="none"/>
          <w:lang w:eastAsia="zh-CN"/>
        </w:rPr>
      </w:pPr>
      <w:r>
        <w:rPr>
          <w:rFonts w:hint="default" w:ascii="Times New Roman" w:hAnsi="Times New Roman" w:eastAsia="宋体" w:cs="Times New Roman"/>
          <w:color w:val="auto"/>
          <w:sz w:val="24"/>
          <w:highlight w:val="none"/>
          <w:lang w:eastAsia="zh-CN"/>
        </w:rPr>
        <w:t>⑴贮存场所选址可行性分析</w:t>
      </w:r>
    </w:p>
    <w:p w14:paraId="338A3FDA">
      <w:pPr>
        <w:spacing w:line="480" w:lineRule="exact"/>
        <w:ind w:firstLine="470" w:firstLineChars="196"/>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rPr>
        <w:t>为防止危险废物在厂内临时存储过程中对环境产生污染影响，根据《危险废物贮存污染控制标准》(</w:t>
      </w:r>
      <w:r>
        <w:rPr>
          <w:rFonts w:hint="default" w:ascii="Times New Roman" w:hAnsi="Times New Roman" w:eastAsia="宋体" w:cs="Times New Roman"/>
          <w:color w:val="auto"/>
          <w:sz w:val="24"/>
          <w:highlight w:val="none"/>
          <w:lang w:eastAsia="zh-CN"/>
        </w:rPr>
        <w:t>GB18597-2023</w:t>
      </w:r>
      <w:r>
        <w:rPr>
          <w:rFonts w:hint="default" w:ascii="Times New Roman" w:hAnsi="Times New Roman" w:eastAsia="宋体" w:cs="Times New Roman"/>
          <w:color w:val="auto"/>
          <w:sz w:val="24"/>
          <w:highlight w:val="none"/>
        </w:rPr>
        <w:t>)中相关</w:t>
      </w:r>
      <w:r>
        <w:rPr>
          <w:rFonts w:hint="default" w:ascii="Times New Roman" w:hAnsi="Times New Roman" w:eastAsia="宋体" w:cs="Times New Roman"/>
          <w:color w:val="auto"/>
          <w:sz w:val="24"/>
          <w:highlight w:val="none"/>
          <w:lang w:eastAsia="zh-CN"/>
        </w:rPr>
        <w:t>选址要求</w:t>
      </w:r>
      <w:r>
        <w:rPr>
          <w:rFonts w:hint="default" w:ascii="Times New Roman" w:hAnsi="Times New Roman" w:eastAsia="宋体" w:cs="Times New Roman"/>
          <w:color w:val="auto"/>
          <w:sz w:val="24"/>
          <w:highlight w:val="none"/>
        </w:rPr>
        <w:t>，</w:t>
      </w:r>
      <w:r>
        <w:rPr>
          <w:rFonts w:hint="default" w:ascii="Times New Roman" w:hAnsi="Times New Roman" w:eastAsia="宋体" w:cs="Times New Roman"/>
          <w:color w:val="auto"/>
          <w:sz w:val="24"/>
          <w:highlight w:val="none"/>
          <w:lang w:eastAsia="zh-CN"/>
        </w:rPr>
        <w:t>选址要求对比见表</w:t>
      </w:r>
      <w:r>
        <w:rPr>
          <w:rFonts w:hint="default" w:ascii="Times New Roman" w:hAnsi="Times New Roman" w:eastAsia="宋体" w:cs="Times New Roman"/>
          <w:color w:val="auto"/>
          <w:sz w:val="24"/>
          <w:highlight w:val="none"/>
          <w:lang w:val="en-US" w:eastAsia="zh-CN"/>
        </w:rPr>
        <w:t>6.4-</w:t>
      </w:r>
      <w:r>
        <w:rPr>
          <w:rFonts w:hint="eastAsia" w:cs="Times New Roman"/>
          <w:color w:val="auto"/>
          <w:sz w:val="24"/>
          <w:highlight w:val="none"/>
          <w:lang w:val="en-US" w:eastAsia="zh-CN"/>
        </w:rPr>
        <w:t>1</w:t>
      </w:r>
      <w:r>
        <w:rPr>
          <w:rFonts w:hint="default" w:ascii="Times New Roman" w:hAnsi="Times New Roman" w:eastAsia="宋体" w:cs="Times New Roman"/>
          <w:color w:val="auto"/>
          <w:sz w:val="24"/>
          <w:highlight w:val="none"/>
          <w:lang w:val="en-US" w:eastAsia="zh-CN"/>
        </w:rPr>
        <w:t>。</w:t>
      </w:r>
    </w:p>
    <w:p w14:paraId="1B150C88">
      <w:pPr>
        <w:numPr>
          <w:ilvl w:val="0"/>
          <w:numId w:val="43"/>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lang w:eastAsia="zh-CN"/>
        </w:rPr>
        <w:t>危废间选址符合性分析表</w:t>
      </w:r>
    </w:p>
    <w:tbl>
      <w:tblPr>
        <w:tblStyle w:val="47"/>
        <w:tblW w:w="5031"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4434"/>
        <w:gridCol w:w="3934"/>
        <w:gridCol w:w="790"/>
      </w:tblGrid>
      <w:tr w14:paraId="49A2B0E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562" w:hRule="atLeast"/>
        </w:trPr>
        <w:tc>
          <w:tcPr>
            <w:tcW w:w="2420" w:type="pct"/>
            <w:tcBorders>
              <w:tl2br w:val="nil"/>
              <w:tr2bl w:val="nil"/>
            </w:tcBorders>
            <w:noWrap w:val="0"/>
            <w:vAlign w:val="center"/>
          </w:tcPr>
          <w:p w14:paraId="4AD36E67">
            <w:pPr>
              <w:pStyle w:val="58"/>
              <w:bidi w:val="0"/>
              <w:rPr>
                <w:rFonts w:hint="default"/>
              </w:rPr>
            </w:pPr>
            <w:r>
              <w:rPr>
                <w:rFonts w:hint="default"/>
                <w:lang w:eastAsia="zh-CN"/>
              </w:rPr>
              <w:t>GB18597-2023</w:t>
            </w:r>
            <w:r>
              <w:rPr>
                <w:rFonts w:hint="default"/>
              </w:rPr>
              <w:t>选址要求</w:t>
            </w:r>
          </w:p>
        </w:tc>
        <w:tc>
          <w:tcPr>
            <w:tcW w:w="2147" w:type="pct"/>
            <w:tcBorders>
              <w:tl2br w:val="nil"/>
              <w:tr2bl w:val="nil"/>
            </w:tcBorders>
            <w:noWrap w:val="0"/>
            <w:vAlign w:val="center"/>
          </w:tcPr>
          <w:p w14:paraId="0C47FF5A">
            <w:pPr>
              <w:pStyle w:val="58"/>
              <w:bidi w:val="0"/>
              <w:rPr>
                <w:rFonts w:hint="default"/>
              </w:rPr>
            </w:pPr>
            <w:r>
              <w:rPr>
                <w:rFonts w:hint="default"/>
              </w:rPr>
              <w:t>对应内容</w:t>
            </w:r>
          </w:p>
        </w:tc>
        <w:tc>
          <w:tcPr>
            <w:tcW w:w="431" w:type="pct"/>
            <w:tcBorders>
              <w:tl2br w:val="nil"/>
              <w:tr2bl w:val="nil"/>
            </w:tcBorders>
            <w:noWrap w:val="0"/>
            <w:vAlign w:val="center"/>
          </w:tcPr>
          <w:p w14:paraId="615D6483">
            <w:pPr>
              <w:pStyle w:val="58"/>
              <w:bidi w:val="0"/>
              <w:rPr>
                <w:rFonts w:hint="default"/>
              </w:rPr>
            </w:pPr>
            <w:r>
              <w:rPr>
                <w:rFonts w:hint="default"/>
              </w:rPr>
              <w:t>符合性</w:t>
            </w:r>
          </w:p>
          <w:p w14:paraId="6734B7E8">
            <w:pPr>
              <w:pStyle w:val="58"/>
              <w:bidi w:val="0"/>
              <w:rPr>
                <w:rFonts w:hint="default"/>
              </w:rPr>
            </w:pPr>
            <w:r>
              <w:rPr>
                <w:rFonts w:hint="default"/>
              </w:rPr>
              <w:t>分析</w:t>
            </w:r>
          </w:p>
        </w:tc>
      </w:tr>
      <w:tr w14:paraId="26CC0B0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813" w:hRule="atLeast"/>
        </w:trPr>
        <w:tc>
          <w:tcPr>
            <w:tcW w:w="2420" w:type="pct"/>
            <w:tcBorders>
              <w:tl2br w:val="nil"/>
              <w:tr2bl w:val="nil"/>
            </w:tcBorders>
            <w:noWrap w:val="0"/>
            <w:vAlign w:val="center"/>
          </w:tcPr>
          <w:p w14:paraId="496E8592">
            <w:pPr>
              <w:pStyle w:val="58"/>
              <w:bidi w:val="0"/>
              <w:rPr>
                <w:rFonts w:hint="default"/>
              </w:rPr>
            </w:pPr>
            <w:r>
              <w:rPr>
                <w:rFonts w:hint="default"/>
              </w:rPr>
              <w:t>贮存设施选址应满足生态环境保护法律法规、规划和“三线一单”生态环境分区管控的要求，建设项目应依法进行环境影响评价。</w:t>
            </w:r>
          </w:p>
        </w:tc>
        <w:tc>
          <w:tcPr>
            <w:tcW w:w="2147" w:type="pct"/>
            <w:tcBorders>
              <w:tl2br w:val="nil"/>
              <w:tr2bl w:val="nil"/>
            </w:tcBorders>
            <w:noWrap w:val="0"/>
            <w:vAlign w:val="center"/>
          </w:tcPr>
          <w:p w14:paraId="7680870A">
            <w:pPr>
              <w:pStyle w:val="58"/>
              <w:bidi w:val="0"/>
              <w:rPr>
                <w:rFonts w:hint="default"/>
              </w:rPr>
            </w:pPr>
            <w:r>
              <w:rPr>
                <w:rFonts w:hint="default"/>
                <w:lang w:eastAsia="zh-CN"/>
              </w:rPr>
              <w:t>本项目危废间</w:t>
            </w:r>
            <w:r>
              <w:rPr>
                <w:rFonts w:hint="default"/>
              </w:rPr>
              <w:t>选址满足生态环境保护法律法规、规划和“三线一单”生态环境分区管控的要求，依法进行环境影响评价。</w:t>
            </w:r>
          </w:p>
        </w:tc>
        <w:tc>
          <w:tcPr>
            <w:tcW w:w="431" w:type="pct"/>
            <w:tcBorders>
              <w:tl2br w:val="nil"/>
              <w:tr2bl w:val="nil"/>
            </w:tcBorders>
            <w:noWrap w:val="0"/>
            <w:vAlign w:val="center"/>
          </w:tcPr>
          <w:p w14:paraId="170EF672">
            <w:pPr>
              <w:pStyle w:val="58"/>
              <w:bidi w:val="0"/>
              <w:rPr>
                <w:rFonts w:hint="default"/>
              </w:rPr>
            </w:pPr>
            <w:r>
              <w:rPr>
                <w:rFonts w:hint="default"/>
              </w:rPr>
              <w:t>符合</w:t>
            </w:r>
          </w:p>
        </w:tc>
      </w:tr>
      <w:tr w14:paraId="3581D10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83" w:hRule="atLeast"/>
        </w:trPr>
        <w:tc>
          <w:tcPr>
            <w:tcW w:w="2420" w:type="pct"/>
            <w:tcBorders>
              <w:tl2br w:val="nil"/>
              <w:tr2bl w:val="nil"/>
            </w:tcBorders>
            <w:noWrap w:val="0"/>
            <w:vAlign w:val="center"/>
          </w:tcPr>
          <w:p w14:paraId="3E557BF7">
            <w:pPr>
              <w:pStyle w:val="58"/>
              <w:bidi w:val="0"/>
              <w:rPr>
                <w:rFonts w:hint="default"/>
              </w:rPr>
            </w:pPr>
            <w:r>
              <w:rPr>
                <w:rFonts w:hint="default"/>
              </w:rPr>
              <w:t>集中贮存设施不应选在生态保护红线区域、永久基本农田和其他需要特别保护的区域内，不应建在溶洞区或易遭受洪水、滑坡、泥石流、潮汐等严重自然灾害影响的地区。</w:t>
            </w:r>
          </w:p>
        </w:tc>
        <w:tc>
          <w:tcPr>
            <w:tcW w:w="2147" w:type="pct"/>
            <w:tcBorders>
              <w:tl2br w:val="nil"/>
              <w:tr2bl w:val="nil"/>
            </w:tcBorders>
            <w:noWrap w:val="0"/>
            <w:vAlign w:val="center"/>
          </w:tcPr>
          <w:p w14:paraId="0D79227C">
            <w:pPr>
              <w:pStyle w:val="58"/>
              <w:bidi w:val="0"/>
              <w:rPr>
                <w:rFonts w:hint="default"/>
                <w:lang w:eastAsia="zh-CN"/>
              </w:rPr>
            </w:pPr>
            <w:r>
              <w:rPr>
                <w:rFonts w:hint="default"/>
              </w:rPr>
              <w:t>本项目</w:t>
            </w:r>
            <w:r>
              <w:rPr>
                <w:rFonts w:hint="default"/>
                <w:lang w:eastAsia="zh-CN"/>
              </w:rPr>
              <w:t>危废间选址不在生态保护红线区域，</w:t>
            </w:r>
            <w:r>
              <w:rPr>
                <w:rFonts w:hint="default"/>
              </w:rPr>
              <w:t>永久基本农田和其他需要特别保护的区域内，所在区域不属于溶洞区，属于平原区</w:t>
            </w:r>
            <w:r>
              <w:rPr>
                <w:rFonts w:hint="default"/>
                <w:lang w:eastAsia="zh-CN"/>
              </w:rPr>
              <w:t>，</w:t>
            </w:r>
            <w:r>
              <w:rPr>
                <w:rFonts w:hint="default"/>
              </w:rPr>
              <w:t>不易遭受洪水、滑坡、泥石流、潮汐等严重自然灾害影响</w:t>
            </w:r>
            <w:r>
              <w:rPr>
                <w:rFonts w:hint="default"/>
                <w:lang w:eastAsia="zh-CN"/>
              </w:rPr>
              <w:t>。</w:t>
            </w:r>
          </w:p>
        </w:tc>
        <w:tc>
          <w:tcPr>
            <w:tcW w:w="431" w:type="pct"/>
            <w:tcBorders>
              <w:tl2br w:val="nil"/>
              <w:tr2bl w:val="nil"/>
            </w:tcBorders>
            <w:noWrap w:val="0"/>
            <w:vAlign w:val="center"/>
          </w:tcPr>
          <w:p w14:paraId="014BDFB6">
            <w:pPr>
              <w:pStyle w:val="58"/>
              <w:bidi w:val="0"/>
              <w:rPr>
                <w:rFonts w:hint="default"/>
              </w:rPr>
            </w:pPr>
            <w:r>
              <w:rPr>
                <w:rFonts w:hint="default"/>
              </w:rPr>
              <w:t>符合</w:t>
            </w:r>
          </w:p>
        </w:tc>
      </w:tr>
      <w:tr w14:paraId="528024C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1349" w:hRule="atLeast"/>
        </w:trPr>
        <w:tc>
          <w:tcPr>
            <w:tcW w:w="2420" w:type="pct"/>
            <w:tcBorders>
              <w:tl2br w:val="nil"/>
              <w:tr2bl w:val="nil"/>
            </w:tcBorders>
            <w:noWrap w:val="0"/>
            <w:vAlign w:val="center"/>
          </w:tcPr>
          <w:p w14:paraId="7B8C3572">
            <w:pPr>
              <w:pStyle w:val="58"/>
              <w:bidi w:val="0"/>
              <w:rPr>
                <w:rFonts w:hint="default"/>
              </w:rPr>
            </w:pPr>
            <w:r>
              <w:rPr>
                <w:rFonts w:hint="default"/>
              </w:rPr>
              <w:t>贮存设施不应选在江河、湖泊、运河、渠道、水库及其最高水位线以下的滩地和岸坡，以及法律法规规定禁止贮存危险废物的其他地点。</w:t>
            </w:r>
          </w:p>
        </w:tc>
        <w:tc>
          <w:tcPr>
            <w:tcW w:w="2147" w:type="pct"/>
            <w:tcBorders>
              <w:tl2br w:val="nil"/>
              <w:tr2bl w:val="nil"/>
            </w:tcBorders>
            <w:noWrap w:val="0"/>
            <w:vAlign w:val="center"/>
          </w:tcPr>
          <w:p w14:paraId="1EECD6F7">
            <w:pPr>
              <w:pStyle w:val="58"/>
              <w:bidi w:val="0"/>
              <w:rPr>
                <w:rFonts w:hint="default"/>
              </w:rPr>
            </w:pPr>
            <w:r>
              <w:rPr>
                <w:rFonts w:hint="default"/>
                <w:lang w:eastAsia="zh-CN"/>
              </w:rPr>
              <w:t>危废间位于</w:t>
            </w:r>
            <w:r>
              <w:rPr>
                <w:rFonts w:hint="default"/>
                <w:lang w:val="en-US" w:eastAsia="zh-CN"/>
              </w:rPr>
              <w:t>唐山市曹妃甸区垦丰家居产业园区污水处理厂</w:t>
            </w:r>
            <w:r>
              <w:rPr>
                <w:rFonts w:hint="default"/>
                <w:lang w:eastAsia="zh-CN"/>
              </w:rPr>
              <w:t>内，</w:t>
            </w:r>
            <w:r>
              <w:rPr>
                <w:rFonts w:hint="default"/>
              </w:rPr>
              <w:t>贮存设施</w:t>
            </w:r>
            <w:r>
              <w:rPr>
                <w:rFonts w:hint="default"/>
                <w:lang w:eastAsia="zh-CN"/>
              </w:rPr>
              <w:t>未</w:t>
            </w:r>
            <w:r>
              <w:rPr>
                <w:rFonts w:hint="default"/>
              </w:rPr>
              <w:t>选在江河、湖泊、运河、渠道、水库及其最高水位线以下的滩地和岸坡，以及法律法规规定禁止贮存危险废物的其他地点。</w:t>
            </w:r>
          </w:p>
        </w:tc>
        <w:tc>
          <w:tcPr>
            <w:tcW w:w="431" w:type="pct"/>
            <w:tcBorders>
              <w:tl2br w:val="nil"/>
              <w:tr2bl w:val="nil"/>
            </w:tcBorders>
            <w:noWrap w:val="0"/>
            <w:vAlign w:val="center"/>
          </w:tcPr>
          <w:p w14:paraId="2731D405">
            <w:pPr>
              <w:pStyle w:val="58"/>
              <w:bidi w:val="0"/>
              <w:rPr>
                <w:rFonts w:hint="default"/>
              </w:rPr>
            </w:pPr>
            <w:r>
              <w:rPr>
                <w:rFonts w:hint="default"/>
              </w:rPr>
              <w:t>符合</w:t>
            </w:r>
          </w:p>
        </w:tc>
      </w:tr>
      <w:tr w14:paraId="27300D2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807" w:hRule="atLeast"/>
        </w:trPr>
        <w:tc>
          <w:tcPr>
            <w:tcW w:w="2420" w:type="pct"/>
            <w:tcBorders>
              <w:tl2br w:val="nil"/>
              <w:tr2bl w:val="nil"/>
            </w:tcBorders>
            <w:noWrap w:val="0"/>
            <w:vAlign w:val="center"/>
          </w:tcPr>
          <w:p w14:paraId="1701ADD0">
            <w:pPr>
              <w:pStyle w:val="58"/>
              <w:bidi w:val="0"/>
              <w:rPr>
                <w:rFonts w:hint="default"/>
                <w:lang w:eastAsia="zh-CN"/>
              </w:rPr>
            </w:pPr>
            <w:r>
              <w:rPr>
                <w:rFonts w:hint="default"/>
              </w:rPr>
              <w:t>贮存设施场址的位置以及其与周围环境敏感目标的距离应依据环境影响评价文件确定</w:t>
            </w:r>
            <w:r>
              <w:rPr>
                <w:rFonts w:hint="default"/>
                <w:lang w:eastAsia="zh-CN"/>
              </w:rPr>
              <w:t>。</w:t>
            </w:r>
          </w:p>
        </w:tc>
        <w:tc>
          <w:tcPr>
            <w:tcW w:w="2147" w:type="pct"/>
            <w:tcBorders>
              <w:tl2br w:val="nil"/>
              <w:tr2bl w:val="nil"/>
            </w:tcBorders>
            <w:noWrap w:val="0"/>
            <w:vAlign w:val="center"/>
          </w:tcPr>
          <w:p w14:paraId="7BCA29A3">
            <w:pPr>
              <w:pStyle w:val="58"/>
              <w:bidi w:val="0"/>
              <w:rPr>
                <w:rFonts w:hint="default"/>
              </w:rPr>
            </w:pPr>
            <w:r>
              <w:rPr>
                <w:rFonts w:hint="default"/>
                <w:lang w:eastAsia="zh-CN"/>
              </w:rPr>
              <w:t>危废间</w:t>
            </w:r>
            <w:r>
              <w:rPr>
                <w:rFonts w:hint="default"/>
              </w:rPr>
              <w:t>的位置以及其与周围环境敏感目标的距离依据环境影响评价文件确定</w:t>
            </w:r>
            <w:r>
              <w:rPr>
                <w:rFonts w:hint="default"/>
                <w:lang w:eastAsia="zh-CN"/>
              </w:rPr>
              <w:t>。</w:t>
            </w:r>
          </w:p>
        </w:tc>
        <w:tc>
          <w:tcPr>
            <w:tcW w:w="431" w:type="pct"/>
            <w:tcBorders>
              <w:tl2br w:val="nil"/>
              <w:tr2bl w:val="nil"/>
            </w:tcBorders>
            <w:noWrap w:val="0"/>
            <w:vAlign w:val="center"/>
          </w:tcPr>
          <w:p w14:paraId="1C152E02">
            <w:pPr>
              <w:pStyle w:val="58"/>
              <w:bidi w:val="0"/>
              <w:rPr>
                <w:rFonts w:hint="default"/>
              </w:rPr>
            </w:pPr>
            <w:r>
              <w:rPr>
                <w:rFonts w:hint="default"/>
              </w:rPr>
              <w:t>符合</w:t>
            </w:r>
          </w:p>
        </w:tc>
      </w:tr>
    </w:tbl>
    <w:p w14:paraId="128C7C56">
      <w:pPr>
        <w:numPr>
          <w:ilvl w:val="0"/>
          <w:numId w:val="0"/>
        </w:numPr>
        <w:spacing w:line="480" w:lineRule="exact"/>
        <w:ind w:firstLine="480" w:firstLineChars="200"/>
        <w:rPr>
          <w:rFonts w:hint="default" w:ascii="Times New Roman" w:hAnsi="Times New Roman" w:eastAsia="宋体" w:cs="Times New Roman"/>
          <w:color w:val="auto"/>
          <w:sz w:val="24"/>
          <w:highlight w:val="none"/>
          <w:lang w:eastAsia="zh-CN"/>
        </w:rPr>
      </w:pPr>
      <w:r>
        <w:rPr>
          <w:rFonts w:hint="default" w:ascii="Times New Roman" w:hAnsi="Times New Roman" w:eastAsia="宋体" w:cs="Times New Roman"/>
          <w:color w:val="auto"/>
          <w:sz w:val="24"/>
          <w:highlight w:val="none"/>
          <w:lang w:eastAsia="zh-CN"/>
        </w:rPr>
        <w:t>根据上表可知，本项目危废间符合</w:t>
      </w:r>
      <w:r>
        <w:rPr>
          <w:rFonts w:hint="default" w:ascii="Times New Roman" w:hAnsi="Times New Roman" w:eastAsia="宋体" w:cs="Times New Roman"/>
          <w:color w:val="auto"/>
          <w:sz w:val="24"/>
          <w:highlight w:val="none"/>
        </w:rPr>
        <w:t>《危险废物贮存污染控制标准》(</w:t>
      </w:r>
      <w:r>
        <w:rPr>
          <w:rFonts w:hint="default" w:ascii="Times New Roman" w:hAnsi="Times New Roman" w:eastAsia="宋体" w:cs="Times New Roman"/>
          <w:color w:val="auto"/>
          <w:sz w:val="24"/>
          <w:highlight w:val="none"/>
          <w:lang w:eastAsia="zh-CN"/>
        </w:rPr>
        <w:t>GB18597-2023</w:t>
      </w:r>
      <w:r>
        <w:rPr>
          <w:rFonts w:hint="default" w:ascii="Times New Roman" w:hAnsi="Times New Roman" w:eastAsia="宋体" w:cs="Times New Roman"/>
          <w:color w:val="auto"/>
          <w:sz w:val="24"/>
          <w:highlight w:val="none"/>
        </w:rPr>
        <w:t>)中相关</w:t>
      </w:r>
      <w:r>
        <w:rPr>
          <w:rFonts w:hint="default" w:ascii="Times New Roman" w:hAnsi="Times New Roman" w:eastAsia="宋体" w:cs="Times New Roman"/>
          <w:color w:val="auto"/>
          <w:sz w:val="24"/>
          <w:highlight w:val="none"/>
          <w:lang w:eastAsia="zh-CN"/>
        </w:rPr>
        <w:t>选址要求。</w:t>
      </w:r>
    </w:p>
    <w:p w14:paraId="2B96AFDA">
      <w:pPr>
        <w:numPr>
          <w:ilvl w:val="0"/>
          <w:numId w:val="0"/>
        </w:numPr>
        <w:spacing w:line="480" w:lineRule="exact"/>
        <w:ind w:firstLine="480" w:firstLineChars="200"/>
        <w:rPr>
          <w:rFonts w:hint="default" w:ascii="Times New Roman" w:hAnsi="Times New Roman" w:eastAsia="宋体" w:cs="Times New Roman"/>
          <w:color w:val="auto"/>
          <w:sz w:val="24"/>
          <w:highlight w:val="none"/>
          <w:lang w:eastAsia="zh-CN"/>
        </w:rPr>
      </w:pPr>
      <w:r>
        <w:rPr>
          <w:rFonts w:hint="default" w:ascii="Times New Roman" w:hAnsi="Times New Roman" w:eastAsia="宋体" w:cs="Times New Roman"/>
          <w:color w:val="auto"/>
          <w:sz w:val="24"/>
          <w:highlight w:val="none"/>
          <w:lang w:eastAsia="zh-CN"/>
        </w:rPr>
        <w:t>⑵贮存环境可行性分析</w:t>
      </w:r>
    </w:p>
    <w:p w14:paraId="7969D993">
      <w:pPr>
        <w:numPr>
          <w:ilvl w:val="0"/>
          <w:numId w:val="43"/>
        </w:numPr>
        <w:spacing w:line="480" w:lineRule="exact"/>
        <w:ind w:left="425" w:leftChars="0" w:hanging="425" w:firstLineChars="0"/>
        <w:jc w:val="center"/>
        <w:rPr>
          <w:rFonts w:hint="default" w:cs="Times New Roman"/>
          <w:b/>
          <w:bCs/>
          <w:color w:val="auto"/>
          <w:sz w:val="24"/>
          <w:highlight w:val="none"/>
          <w:lang w:val="en-US" w:eastAsia="zh-CN"/>
        </w:rPr>
      </w:pPr>
      <w:r>
        <w:rPr>
          <w:rFonts w:hint="default" w:cs="Times New Roman"/>
          <w:b/>
          <w:bCs/>
          <w:color w:val="auto"/>
          <w:sz w:val="24"/>
          <w:highlight w:val="none"/>
          <w:lang w:val="en-US" w:eastAsia="zh-CN"/>
        </w:rPr>
        <w:t>建设项目危险废物贮存场所（设施）基本情况表</w:t>
      </w:r>
    </w:p>
    <w:tbl>
      <w:tblPr>
        <w:tblStyle w:val="47"/>
        <w:tblW w:w="4912"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567"/>
        <w:gridCol w:w="1271"/>
        <w:gridCol w:w="1346"/>
        <w:gridCol w:w="1039"/>
        <w:gridCol w:w="1609"/>
        <w:gridCol w:w="928"/>
        <w:gridCol w:w="1439"/>
        <w:gridCol w:w="926"/>
      </w:tblGrid>
      <w:tr w14:paraId="43A848F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62" w:hRule="atLeast"/>
          <w:jc w:val="center"/>
        </w:trPr>
        <w:tc>
          <w:tcPr>
            <w:tcW w:w="311" w:type="pct"/>
            <w:tcBorders>
              <w:tl2br w:val="nil"/>
              <w:tr2bl w:val="nil"/>
            </w:tcBorders>
            <w:noWrap w:val="0"/>
            <w:vAlign w:val="center"/>
          </w:tcPr>
          <w:p w14:paraId="2196F4C2">
            <w:pPr>
              <w:pStyle w:val="58"/>
              <w:bidi w:val="0"/>
              <w:rPr>
                <w:rFonts w:hint="default"/>
                <w:highlight w:val="none"/>
              </w:rPr>
            </w:pPr>
            <w:r>
              <w:rPr>
                <w:rFonts w:hint="default"/>
                <w:highlight w:val="none"/>
              </w:rPr>
              <w:t>序号</w:t>
            </w:r>
          </w:p>
        </w:tc>
        <w:tc>
          <w:tcPr>
            <w:tcW w:w="696" w:type="pct"/>
            <w:tcBorders>
              <w:tl2br w:val="nil"/>
              <w:tr2bl w:val="nil"/>
            </w:tcBorders>
            <w:noWrap w:val="0"/>
            <w:vAlign w:val="center"/>
          </w:tcPr>
          <w:p w14:paraId="6445C33B">
            <w:pPr>
              <w:pStyle w:val="58"/>
              <w:bidi w:val="0"/>
              <w:rPr>
                <w:rFonts w:hint="default"/>
                <w:highlight w:val="none"/>
              </w:rPr>
            </w:pPr>
            <w:r>
              <w:rPr>
                <w:rFonts w:hint="default"/>
                <w:highlight w:val="none"/>
              </w:rPr>
              <w:t>贮存场所（设施）名称</w:t>
            </w:r>
          </w:p>
        </w:tc>
        <w:tc>
          <w:tcPr>
            <w:tcW w:w="737" w:type="pct"/>
            <w:tcBorders>
              <w:tl2br w:val="nil"/>
              <w:tr2bl w:val="nil"/>
            </w:tcBorders>
            <w:noWrap w:val="0"/>
            <w:vAlign w:val="center"/>
          </w:tcPr>
          <w:p w14:paraId="6F510EE2">
            <w:pPr>
              <w:pStyle w:val="58"/>
              <w:bidi w:val="0"/>
              <w:rPr>
                <w:rFonts w:hint="default"/>
                <w:highlight w:val="none"/>
              </w:rPr>
            </w:pPr>
            <w:r>
              <w:rPr>
                <w:rFonts w:hint="default"/>
                <w:highlight w:val="none"/>
              </w:rPr>
              <w:t>危险废物名称</w:t>
            </w:r>
          </w:p>
        </w:tc>
        <w:tc>
          <w:tcPr>
            <w:tcW w:w="569" w:type="pct"/>
            <w:tcBorders>
              <w:tl2br w:val="nil"/>
              <w:tr2bl w:val="nil"/>
            </w:tcBorders>
            <w:noWrap w:val="0"/>
            <w:vAlign w:val="center"/>
          </w:tcPr>
          <w:p w14:paraId="0223AC0D">
            <w:pPr>
              <w:pStyle w:val="58"/>
              <w:bidi w:val="0"/>
              <w:rPr>
                <w:rFonts w:hint="default"/>
                <w:highlight w:val="none"/>
              </w:rPr>
            </w:pPr>
            <w:r>
              <w:rPr>
                <w:rFonts w:hint="default"/>
                <w:highlight w:val="none"/>
              </w:rPr>
              <w:t>危险废物类别</w:t>
            </w:r>
          </w:p>
        </w:tc>
        <w:tc>
          <w:tcPr>
            <w:tcW w:w="881" w:type="pct"/>
            <w:tcBorders>
              <w:tl2br w:val="nil"/>
              <w:tr2bl w:val="nil"/>
            </w:tcBorders>
            <w:noWrap w:val="0"/>
            <w:vAlign w:val="center"/>
          </w:tcPr>
          <w:p w14:paraId="516EE9A6">
            <w:pPr>
              <w:pStyle w:val="58"/>
              <w:bidi w:val="0"/>
              <w:rPr>
                <w:rFonts w:hint="default"/>
                <w:highlight w:val="none"/>
              </w:rPr>
            </w:pPr>
            <w:r>
              <w:rPr>
                <w:rFonts w:hint="default"/>
                <w:highlight w:val="none"/>
              </w:rPr>
              <w:t>危险废物代码</w:t>
            </w:r>
          </w:p>
        </w:tc>
        <w:tc>
          <w:tcPr>
            <w:tcW w:w="508" w:type="pct"/>
            <w:tcBorders>
              <w:tl2br w:val="nil"/>
              <w:tr2bl w:val="nil"/>
            </w:tcBorders>
            <w:noWrap w:val="0"/>
            <w:vAlign w:val="center"/>
          </w:tcPr>
          <w:p w14:paraId="14848487">
            <w:pPr>
              <w:pStyle w:val="58"/>
              <w:bidi w:val="0"/>
              <w:rPr>
                <w:rFonts w:hint="default"/>
                <w:highlight w:val="none"/>
              </w:rPr>
            </w:pPr>
            <w:r>
              <w:rPr>
                <w:rFonts w:hint="default"/>
                <w:highlight w:val="none"/>
              </w:rPr>
              <w:t>位置</w:t>
            </w:r>
          </w:p>
        </w:tc>
        <w:tc>
          <w:tcPr>
            <w:tcW w:w="788" w:type="pct"/>
            <w:tcBorders>
              <w:tl2br w:val="nil"/>
              <w:tr2bl w:val="nil"/>
            </w:tcBorders>
            <w:noWrap w:val="0"/>
            <w:vAlign w:val="center"/>
          </w:tcPr>
          <w:p w14:paraId="235D3EC5">
            <w:pPr>
              <w:pStyle w:val="58"/>
              <w:bidi w:val="0"/>
              <w:rPr>
                <w:rFonts w:hint="default"/>
                <w:highlight w:val="none"/>
              </w:rPr>
            </w:pPr>
            <w:r>
              <w:rPr>
                <w:rFonts w:hint="default"/>
                <w:highlight w:val="none"/>
              </w:rPr>
              <w:t>贮存方式</w:t>
            </w:r>
          </w:p>
        </w:tc>
        <w:tc>
          <w:tcPr>
            <w:tcW w:w="507" w:type="pct"/>
            <w:tcBorders>
              <w:tl2br w:val="nil"/>
              <w:tr2bl w:val="nil"/>
            </w:tcBorders>
            <w:noWrap w:val="0"/>
            <w:vAlign w:val="center"/>
          </w:tcPr>
          <w:p w14:paraId="0F0B1361">
            <w:pPr>
              <w:pStyle w:val="58"/>
              <w:bidi w:val="0"/>
              <w:rPr>
                <w:rFonts w:hint="default"/>
                <w:highlight w:val="none"/>
              </w:rPr>
            </w:pPr>
            <w:r>
              <w:rPr>
                <w:rFonts w:hint="default"/>
                <w:highlight w:val="none"/>
              </w:rPr>
              <w:t>贮存</w:t>
            </w:r>
          </w:p>
          <w:p w14:paraId="3B8EA142">
            <w:pPr>
              <w:pStyle w:val="58"/>
              <w:bidi w:val="0"/>
              <w:rPr>
                <w:rFonts w:hint="default"/>
                <w:highlight w:val="none"/>
              </w:rPr>
            </w:pPr>
            <w:r>
              <w:rPr>
                <w:rFonts w:hint="default"/>
                <w:highlight w:val="none"/>
              </w:rPr>
              <w:t>能力</w:t>
            </w:r>
          </w:p>
        </w:tc>
      </w:tr>
      <w:tr w14:paraId="4F92798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311" w:type="pct"/>
            <w:vMerge w:val="restart"/>
            <w:tcBorders>
              <w:tl2br w:val="nil"/>
              <w:tr2bl w:val="nil"/>
            </w:tcBorders>
            <w:noWrap w:val="0"/>
            <w:vAlign w:val="center"/>
          </w:tcPr>
          <w:p w14:paraId="12E59F61">
            <w:pPr>
              <w:pStyle w:val="58"/>
              <w:bidi w:val="0"/>
              <w:rPr>
                <w:rFonts w:hint="default"/>
                <w:highlight w:val="none"/>
              </w:rPr>
            </w:pPr>
            <w:r>
              <w:rPr>
                <w:rFonts w:hint="default"/>
                <w:highlight w:val="none"/>
                <w:lang w:val="en-US" w:eastAsia="zh-CN"/>
              </w:rPr>
              <w:t>1</w:t>
            </w:r>
          </w:p>
        </w:tc>
        <w:tc>
          <w:tcPr>
            <w:tcW w:w="696" w:type="pct"/>
            <w:vMerge w:val="restart"/>
            <w:tcBorders>
              <w:tl2br w:val="nil"/>
              <w:tr2bl w:val="nil"/>
            </w:tcBorders>
            <w:noWrap w:val="0"/>
            <w:vAlign w:val="center"/>
          </w:tcPr>
          <w:p w14:paraId="02099108">
            <w:pPr>
              <w:pStyle w:val="58"/>
              <w:bidi w:val="0"/>
              <w:rPr>
                <w:rFonts w:hint="default"/>
                <w:highlight w:val="none"/>
              </w:rPr>
            </w:pPr>
            <w:r>
              <w:rPr>
                <w:rFonts w:hint="default"/>
                <w:highlight w:val="none"/>
              </w:rPr>
              <w:t>危废间</w:t>
            </w:r>
            <w:r>
              <w:rPr>
                <w:rFonts w:hint="default"/>
                <w:highlight w:val="none"/>
                <w:lang w:eastAsia="zh-CN"/>
              </w:rPr>
              <w:t>（共</w:t>
            </w:r>
            <w:r>
              <w:rPr>
                <w:rFonts w:hint="eastAsia"/>
                <w:highlight w:val="none"/>
                <w:lang w:val="en-US" w:eastAsia="zh-CN"/>
              </w:rPr>
              <w:t>22.5</w:t>
            </w:r>
            <w:r>
              <w:rPr>
                <w:rFonts w:hint="default"/>
                <w:highlight w:val="none"/>
                <w:lang w:val="en-US" w:eastAsia="zh-CN"/>
              </w:rPr>
              <w:t>m</w:t>
            </w:r>
            <w:r>
              <w:rPr>
                <w:rFonts w:hint="default"/>
                <w:highlight w:val="none"/>
                <w:vertAlign w:val="superscript"/>
                <w:lang w:val="en-US" w:eastAsia="zh-CN"/>
              </w:rPr>
              <w:t>2</w:t>
            </w:r>
            <w:r>
              <w:rPr>
                <w:rFonts w:hint="default"/>
                <w:highlight w:val="none"/>
                <w:lang w:eastAsia="zh-CN"/>
              </w:rPr>
              <w:t>）</w:t>
            </w:r>
          </w:p>
        </w:tc>
        <w:tc>
          <w:tcPr>
            <w:tcW w:w="737" w:type="pct"/>
            <w:tcBorders>
              <w:tl2br w:val="nil"/>
              <w:tr2bl w:val="nil"/>
            </w:tcBorders>
            <w:noWrap w:val="0"/>
            <w:vAlign w:val="center"/>
          </w:tcPr>
          <w:p w14:paraId="15C10B95">
            <w:pPr>
              <w:pStyle w:val="58"/>
              <w:bidi w:val="0"/>
              <w:rPr>
                <w:rFonts w:hint="default"/>
                <w:highlight w:val="none"/>
                <w:lang w:val="en-US" w:eastAsia="zh-CN"/>
              </w:rPr>
            </w:pPr>
            <w:r>
              <w:rPr>
                <w:rFonts w:hint="default"/>
                <w:highlight w:val="none"/>
                <w:lang w:val="en-US" w:eastAsia="zh-CN"/>
              </w:rPr>
              <w:t>实验废液</w:t>
            </w:r>
          </w:p>
        </w:tc>
        <w:tc>
          <w:tcPr>
            <w:tcW w:w="569" w:type="pct"/>
            <w:tcBorders>
              <w:tl2br w:val="nil"/>
              <w:tr2bl w:val="nil"/>
            </w:tcBorders>
            <w:noWrap w:val="0"/>
            <w:vAlign w:val="center"/>
          </w:tcPr>
          <w:p w14:paraId="5AE4D89A">
            <w:pPr>
              <w:pStyle w:val="58"/>
              <w:bidi w:val="0"/>
              <w:rPr>
                <w:rFonts w:hint="default"/>
                <w:highlight w:val="none"/>
                <w:lang w:val="en-US" w:eastAsia="zh-CN"/>
              </w:rPr>
            </w:pPr>
            <w:r>
              <w:rPr>
                <w:rFonts w:hint="default"/>
                <w:highlight w:val="none"/>
              </w:rPr>
              <w:t>HW</w:t>
            </w:r>
            <w:r>
              <w:rPr>
                <w:rFonts w:hint="default"/>
                <w:highlight w:val="none"/>
                <w:lang w:val="en-US" w:eastAsia="zh-CN"/>
              </w:rPr>
              <w:t>49</w:t>
            </w:r>
          </w:p>
        </w:tc>
        <w:tc>
          <w:tcPr>
            <w:tcW w:w="881" w:type="pct"/>
            <w:tcBorders>
              <w:tl2br w:val="nil"/>
              <w:tr2bl w:val="nil"/>
            </w:tcBorders>
            <w:noWrap w:val="0"/>
            <w:vAlign w:val="center"/>
          </w:tcPr>
          <w:p w14:paraId="358A9ED7">
            <w:pPr>
              <w:pStyle w:val="58"/>
              <w:bidi w:val="0"/>
              <w:rPr>
                <w:rFonts w:hint="default"/>
                <w:highlight w:val="none"/>
                <w:lang w:val="en-US" w:eastAsia="zh-CN"/>
              </w:rPr>
            </w:pPr>
            <w:r>
              <w:rPr>
                <w:rFonts w:hint="default"/>
                <w:highlight w:val="none"/>
              </w:rPr>
              <w:t>900-</w:t>
            </w:r>
            <w:r>
              <w:rPr>
                <w:rFonts w:hint="default"/>
                <w:highlight w:val="none"/>
                <w:lang w:val="en-US" w:eastAsia="zh-CN"/>
              </w:rPr>
              <w:t>047</w:t>
            </w:r>
            <w:r>
              <w:rPr>
                <w:rFonts w:hint="default"/>
                <w:highlight w:val="none"/>
              </w:rPr>
              <w:t>-</w:t>
            </w:r>
            <w:r>
              <w:rPr>
                <w:rFonts w:hint="default"/>
                <w:highlight w:val="none"/>
                <w:lang w:val="en-US" w:eastAsia="zh-CN"/>
              </w:rPr>
              <w:t>49</w:t>
            </w:r>
          </w:p>
        </w:tc>
        <w:tc>
          <w:tcPr>
            <w:tcW w:w="508" w:type="pct"/>
            <w:vMerge w:val="restart"/>
            <w:tcBorders>
              <w:tl2br w:val="nil"/>
              <w:tr2bl w:val="nil"/>
            </w:tcBorders>
            <w:noWrap w:val="0"/>
            <w:vAlign w:val="center"/>
          </w:tcPr>
          <w:p w14:paraId="754A732B">
            <w:pPr>
              <w:pStyle w:val="58"/>
              <w:bidi w:val="0"/>
              <w:rPr>
                <w:rFonts w:hint="default"/>
                <w:highlight w:val="none"/>
                <w:lang w:eastAsia="zh-CN"/>
              </w:rPr>
            </w:pPr>
            <w:r>
              <w:rPr>
                <w:rFonts w:hint="default"/>
                <w:highlight w:val="none"/>
                <w:lang w:eastAsia="zh-CN"/>
              </w:rPr>
              <w:t>危废间内</w:t>
            </w:r>
          </w:p>
        </w:tc>
        <w:tc>
          <w:tcPr>
            <w:tcW w:w="788" w:type="pct"/>
            <w:tcBorders>
              <w:tl2br w:val="nil"/>
              <w:tr2bl w:val="nil"/>
            </w:tcBorders>
            <w:noWrap w:val="0"/>
            <w:vAlign w:val="center"/>
          </w:tcPr>
          <w:p w14:paraId="069938D5">
            <w:pPr>
              <w:pStyle w:val="58"/>
              <w:bidi w:val="0"/>
              <w:rPr>
                <w:rFonts w:hint="default"/>
                <w:highlight w:val="none"/>
                <w:lang w:val="en-US" w:eastAsia="zh-CN"/>
              </w:rPr>
            </w:pPr>
            <w:r>
              <w:rPr>
                <w:rFonts w:hint="default"/>
                <w:highlight w:val="none"/>
                <w:lang w:val="en-US" w:eastAsia="zh-CN"/>
              </w:rPr>
              <w:t>密闭容器</w:t>
            </w:r>
          </w:p>
        </w:tc>
        <w:tc>
          <w:tcPr>
            <w:tcW w:w="507" w:type="pct"/>
            <w:vMerge w:val="restart"/>
            <w:tcBorders>
              <w:tl2br w:val="nil"/>
              <w:tr2bl w:val="nil"/>
            </w:tcBorders>
            <w:noWrap w:val="0"/>
            <w:vAlign w:val="center"/>
          </w:tcPr>
          <w:p w14:paraId="4ED70696">
            <w:pPr>
              <w:pStyle w:val="58"/>
              <w:bidi w:val="0"/>
              <w:rPr>
                <w:rFonts w:hint="default"/>
                <w:highlight w:val="none"/>
                <w:lang w:val="en-US" w:eastAsia="zh-CN"/>
              </w:rPr>
            </w:pPr>
            <w:r>
              <w:rPr>
                <w:rFonts w:hint="eastAsia"/>
                <w:highlight w:val="none"/>
                <w:lang w:val="en-US" w:eastAsia="zh-CN"/>
              </w:rPr>
              <w:t>25t</w:t>
            </w:r>
          </w:p>
        </w:tc>
      </w:tr>
      <w:tr w14:paraId="6815B5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1" w:hRule="atLeast"/>
          <w:jc w:val="center"/>
        </w:trPr>
        <w:tc>
          <w:tcPr>
            <w:tcW w:w="311" w:type="pct"/>
            <w:vMerge w:val="continue"/>
            <w:tcBorders>
              <w:tl2br w:val="nil"/>
              <w:tr2bl w:val="nil"/>
            </w:tcBorders>
            <w:noWrap w:val="0"/>
            <w:vAlign w:val="center"/>
          </w:tcPr>
          <w:p w14:paraId="71F7175C">
            <w:pPr>
              <w:pStyle w:val="58"/>
              <w:bidi w:val="0"/>
              <w:rPr>
                <w:rFonts w:hint="default"/>
                <w:highlight w:val="none"/>
              </w:rPr>
            </w:pPr>
          </w:p>
        </w:tc>
        <w:tc>
          <w:tcPr>
            <w:tcW w:w="696" w:type="pct"/>
            <w:vMerge w:val="continue"/>
            <w:tcBorders>
              <w:tl2br w:val="nil"/>
              <w:tr2bl w:val="nil"/>
            </w:tcBorders>
            <w:noWrap w:val="0"/>
            <w:vAlign w:val="center"/>
          </w:tcPr>
          <w:p w14:paraId="10737430">
            <w:pPr>
              <w:pStyle w:val="58"/>
              <w:bidi w:val="0"/>
              <w:rPr>
                <w:rFonts w:hint="default"/>
                <w:highlight w:val="none"/>
              </w:rPr>
            </w:pPr>
          </w:p>
        </w:tc>
        <w:tc>
          <w:tcPr>
            <w:tcW w:w="737" w:type="pct"/>
            <w:tcBorders>
              <w:tl2br w:val="nil"/>
              <w:tr2bl w:val="nil"/>
            </w:tcBorders>
            <w:noWrap w:val="0"/>
            <w:vAlign w:val="center"/>
          </w:tcPr>
          <w:p w14:paraId="434B6F33">
            <w:pPr>
              <w:pStyle w:val="58"/>
              <w:bidi w:val="0"/>
              <w:rPr>
                <w:rFonts w:hint="default"/>
                <w:highlight w:val="none"/>
                <w:lang w:val="en-US" w:eastAsia="zh-CN"/>
              </w:rPr>
            </w:pPr>
            <w:r>
              <w:rPr>
                <w:rFonts w:hint="eastAsia"/>
                <w:highlight w:val="none"/>
                <w:lang w:val="en-US" w:eastAsia="zh-CN"/>
              </w:rPr>
              <w:t>在线监测废液</w:t>
            </w:r>
          </w:p>
        </w:tc>
        <w:tc>
          <w:tcPr>
            <w:tcW w:w="569" w:type="pct"/>
            <w:tcBorders>
              <w:tl2br w:val="nil"/>
              <w:tr2bl w:val="nil"/>
            </w:tcBorders>
            <w:noWrap w:val="0"/>
            <w:vAlign w:val="center"/>
          </w:tcPr>
          <w:p w14:paraId="2A8C7F3B">
            <w:pPr>
              <w:pStyle w:val="58"/>
              <w:bidi w:val="0"/>
              <w:rPr>
                <w:rFonts w:hint="default"/>
                <w:highlight w:val="none"/>
              </w:rPr>
            </w:pPr>
            <w:r>
              <w:rPr>
                <w:rFonts w:hint="default"/>
                <w:highlight w:val="none"/>
              </w:rPr>
              <w:t>HW49</w:t>
            </w:r>
          </w:p>
        </w:tc>
        <w:tc>
          <w:tcPr>
            <w:tcW w:w="881" w:type="pct"/>
            <w:tcBorders>
              <w:tl2br w:val="nil"/>
              <w:tr2bl w:val="nil"/>
            </w:tcBorders>
            <w:noWrap w:val="0"/>
            <w:vAlign w:val="center"/>
          </w:tcPr>
          <w:p w14:paraId="6BED414C">
            <w:pPr>
              <w:pStyle w:val="58"/>
              <w:bidi w:val="0"/>
              <w:rPr>
                <w:rFonts w:hint="default"/>
                <w:highlight w:val="none"/>
              </w:rPr>
            </w:pPr>
            <w:r>
              <w:rPr>
                <w:rFonts w:hint="default"/>
                <w:highlight w:val="none"/>
              </w:rPr>
              <w:t>900-047-49</w:t>
            </w:r>
          </w:p>
        </w:tc>
        <w:tc>
          <w:tcPr>
            <w:tcW w:w="508" w:type="pct"/>
            <w:vMerge w:val="continue"/>
            <w:tcBorders>
              <w:tl2br w:val="nil"/>
              <w:tr2bl w:val="nil"/>
            </w:tcBorders>
            <w:noWrap w:val="0"/>
            <w:vAlign w:val="center"/>
          </w:tcPr>
          <w:p w14:paraId="54BAA81F">
            <w:pPr>
              <w:pStyle w:val="58"/>
              <w:bidi w:val="0"/>
              <w:rPr>
                <w:rFonts w:hint="default"/>
                <w:highlight w:val="none"/>
              </w:rPr>
            </w:pPr>
          </w:p>
        </w:tc>
        <w:tc>
          <w:tcPr>
            <w:tcW w:w="788" w:type="pct"/>
            <w:tcBorders>
              <w:tl2br w:val="nil"/>
              <w:tr2bl w:val="nil"/>
            </w:tcBorders>
            <w:noWrap w:val="0"/>
            <w:vAlign w:val="center"/>
          </w:tcPr>
          <w:p w14:paraId="377BF00C">
            <w:pPr>
              <w:pStyle w:val="58"/>
              <w:bidi w:val="0"/>
              <w:rPr>
                <w:rFonts w:hint="default"/>
                <w:highlight w:val="none"/>
                <w:lang w:val="en-US" w:eastAsia="zh-CN"/>
              </w:rPr>
            </w:pPr>
            <w:r>
              <w:rPr>
                <w:rFonts w:hint="default"/>
                <w:highlight w:val="none"/>
                <w:lang w:val="en-US" w:eastAsia="zh-CN"/>
              </w:rPr>
              <w:t>密闭容器</w:t>
            </w:r>
          </w:p>
        </w:tc>
        <w:tc>
          <w:tcPr>
            <w:tcW w:w="507" w:type="pct"/>
            <w:vMerge w:val="continue"/>
            <w:tcBorders>
              <w:tl2br w:val="nil"/>
              <w:tr2bl w:val="nil"/>
            </w:tcBorders>
            <w:noWrap w:val="0"/>
            <w:vAlign w:val="center"/>
          </w:tcPr>
          <w:p w14:paraId="6E2A5B09">
            <w:pPr>
              <w:pStyle w:val="58"/>
              <w:bidi w:val="0"/>
              <w:rPr>
                <w:rFonts w:hint="default"/>
                <w:highlight w:val="none"/>
                <w:lang w:val="en-US" w:eastAsia="zh-CN"/>
              </w:rPr>
            </w:pPr>
          </w:p>
        </w:tc>
      </w:tr>
      <w:tr w14:paraId="7157D0E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1" w:hRule="atLeast"/>
          <w:jc w:val="center"/>
        </w:trPr>
        <w:tc>
          <w:tcPr>
            <w:tcW w:w="311" w:type="pct"/>
            <w:vMerge w:val="continue"/>
            <w:tcBorders>
              <w:tl2br w:val="nil"/>
              <w:tr2bl w:val="nil"/>
            </w:tcBorders>
            <w:noWrap w:val="0"/>
            <w:vAlign w:val="center"/>
          </w:tcPr>
          <w:p w14:paraId="53A10AEE">
            <w:pPr>
              <w:pStyle w:val="58"/>
              <w:bidi w:val="0"/>
              <w:rPr>
                <w:rFonts w:hint="default"/>
                <w:highlight w:val="none"/>
              </w:rPr>
            </w:pPr>
          </w:p>
        </w:tc>
        <w:tc>
          <w:tcPr>
            <w:tcW w:w="696" w:type="pct"/>
            <w:vMerge w:val="continue"/>
            <w:tcBorders>
              <w:tl2br w:val="nil"/>
              <w:tr2bl w:val="nil"/>
            </w:tcBorders>
            <w:noWrap w:val="0"/>
            <w:vAlign w:val="center"/>
          </w:tcPr>
          <w:p w14:paraId="0D6937E5">
            <w:pPr>
              <w:pStyle w:val="58"/>
              <w:bidi w:val="0"/>
              <w:rPr>
                <w:rFonts w:hint="default"/>
                <w:highlight w:val="none"/>
              </w:rPr>
            </w:pPr>
          </w:p>
        </w:tc>
        <w:tc>
          <w:tcPr>
            <w:tcW w:w="737" w:type="pct"/>
            <w:tcBorders>
              <w:tl2br w:val="nil"/>
              <w:tr2bl w:val="nil"/>
            </w:tcBorders>
            <w:noWrap w:val="0"/>
            <w:vAlign w:val="center"/>
          </w:tcPr>
          <w:p w14:paraId="372ACFEC">
            <w:pPr>
              <w:pStyle w:val="58"/>
              <w:bidi w:val="0"/>
              <w:rPr>
                <w:rFonts w:hint="default"/>
                <w:highlight w:val="none"/>
                <w:lang w:val="en-US" w:eastAsia="zh-CN"/>
              </w:rPr>
            </w:pPr>
            <w:r>
              <w:rPr>
                <w:rFonts w:hint="default"/>
                <w:highlight w:val="none"/>
                <w:lang w:val="en-US" w:eastAsia="zh-CN"/>
              </w:rPr>
              <w:t>废试剂瓶</w:t>
            </w:r>
          </w:p>
        </w:tc>
        <w:tc>
          <w:tcPr>
            <w:tcW w:w="569" w:type="pct"/>
            <w:tcBorders>
              <w:tl2br w:val="nil"/>
              <w:tr2bl w:val="nil"/>
            </w:tcBorders>
            <w:noWrap w:val="0"/>
            <w:vAlign w:val="center"/>
          </w:tcPr>
          <w:p w14:paraId="66864D3E">
            <w:pPr>
              <w:pStyle w:val="58"/>
              <w:bidi w:val="0"/>
              <w:rPr>
                <w:rFonts w:hint="default"/>
                <w:highlight w:val="none"/>
                <w:lang w:val="en-US" w:eastAsia="zh-CN"/>
              </w:rPr>
            </w:pPr>
            <w:r>
              <w:rPr>
                <w:rFonts w:hint="default"/>
                <w:highlight w:val="none"/>
              </w:rPr>
              <w:t>HW</w:t>
            </w:r>
            <w:r>
              <w:rPr>
                <w:rFonts w:hint="default"/>
                <w:highlight w:val="none"/>
                <w:lang w:val="en-US" w:eastAsia="zh-CN"/>
              </w:rPr>
              <w:t>49</w:t>
            </w:r>
          </w:p>
        </w:tc>
        <w:tc>
          <w:tcPr>
            <w:tcW w:w="881" w:type="pct"/>
            <w:tcBorders>
              <w:tl2br w:val="nil"/>
              <w:tr2bl w:val="nil"/>
            </w:tcBorders>
            <w:noWrap w:val="0"/>
            <w:vAlign w:val="center"/>
          </w:tcPr>
          <w:p w14:paraId="6FD15372">
            <w:pPr>
              <w:pStyle w:val="58"/>
              <w:bidi w:val="0"/>
              <w:rPr>
                <w:rFonts w:hint="default"/>
                <w:highlight w:val="none"/>
                <w:lang w:val="en-US" w:eastAsia="zh-CN"/>
              </w:rPr>
            </w:pPr>
            <w:r>
              <w:rPr>
                <w:rFonts w:hint="default"/>
                <w:highlight w:val="none"/>
              </w:rPr>
              <w:t>900-</w:t>
            </w:r>
            <w:r>
              <w:rPr>
                <w:rFonts w:hint="default"/>
                <w:highlight w:val="none"/>
                <w:lang w:val="en-US" w:eastAsia="zh-CN"/>
              </w:rPr>
              <w:t>047</w:t>
            </w:r>
            <w:r>
              <w:rPr>
                <w:rFonts w:hint="default"/>
                <w:highlight w:val="none"/>
              </w:rPr>
              <w:t>-</w:t>
            </w:r>
            <w:r>
              <w:rPr>
                <w:rFonts w:hint="default"/>
                <w:highlight w:val="none"/>
                <w:lang w:val="en-US" w:eastAsia="zh-CN"/>
              </w:rPr>
              <w:t>49</w:t>
            </w:r>
          </w:p>
        </w:tc>
        <w:tc>
          <w:tcPr>
            <w:tcW w:w="508" w:type="pct"/>
            <w:vMerge w:val="continue"/>
            <w:tcBorders>
              <w:tl2br w:val="nil"/>
              <w:tr2bl w:val="nil"/>
            </w:tcBorders>
            <w:noWrap w:val="0"/>
            <w:vAlign w:val="center"/>
          </w:tcPr>
          <w:p w14:paraId="27C59EDE">
            <w:pPr>
              <w:pStyle w:val="58"/>
              <w:bidi w:val="0"/>
              <w:rPr>
                <w:rFonts w:hint="default"/>
                <w:highlight w:val="none"/>
              </w:rPr>
            </w:pPr>
          </w:p>
        </w:tc>
        <w:tc>
          <w:tcPr>
            <w:tcW w:w="788" w:type="pct"/>
            <w:tcBorders>
              <w:tl2br w:val="nil"/>
              <w:tr2bl w:val="nil"/>
            </w:tcBorders>
            <w:noWrap w:val="0"/>
            <w:vAlign w:val="center"/>
          </w:tcPr>
          <w:p w14:paraId="7DADE586">
            <w:pPr>
              <w:pStyle w:val="58"/>
              <w:bidi w:val="0"/>
              <w:rPr>
                <w:rFonts w:hint="default"/>
                <w:highlight w:val="none"/>
                <w:lang w:val="en-US" w:eastAsia="zh-CN"/>
              </w:rPr>
            </w:pPr>
            <w:r>
              <w:rPr>
                <w:rFonts w:hint="eastAsia"/>
                <w:highlight w:val="none"/>
                <w:lang w:val="en-US" w:eastAsia="zh-CN"/>
              </w:rPr>
              <w:t>/</w:t>
            </w:r>
          </w:p>
        </w:tc>
        <w:tc>
          <w:tcPr>
            <w:tcW w:w="507" w:type="pct"/>
            <w:vMerge w:val="continue"/>
            <w:tcBorders>
              <w:tl2br w:val="nil"/>
              <w:tr2bl w:val="nil"/>
            </w:tcBorders>
            <w:noWrap w:val="0"/>
            <w:vAlign w:val="center"/>
          </w:tcPr>
          <w:p w14:paraId="5D62FE20">
            <w:pPr>
              <w:pStyle w:val="58"/>
              <w:bidi w:val="0"/>
              <w:rPr>
                <w:rFonts w:hint="default"/>
                <w:highlight w:val="none"/>
                <w:lang w:val="en-US" w:eastAsia="zh-CN"/>
              </w:rPr>
            </w:pPr>
          </w:p>
        </w:tc>
      </w:tr>
      <w:tr w14:paraId="1C209C2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311" w:type="pct"/>
            <w:vMerge w:val="continue"/>
            <w:tcBorders>
              <w:tl2br w:val="nil"/>
              <w:tr2bl w:val="nil"/>
            </w:tcBorders>
            <w:noWrap w:val="0"/>
            <w:vAlign w:val="center"/>
          </w:tcPr>
          <w:p w14:paraId="41095F11">
            <w:pPr>
              <w:pStyle w:val="58"/>
              <w:bidi w:val="0"/>
              <w:rPr>
                <w:rFonts w:hint="default"/>
                <w:highlight w:val="none"/>
              </w:rPr>
            </w:pPr>
          </w:p>
        </w:tc>
        <w:tc>
          <w:tcPr>
            <w:tcW w:w="696" w:type="pct"/>
            <w:vMerge w:val="continue"/>
            <w:tcBorders>
              <w:tl2br w:val="nil"/>
              <w:tr2bl w:val="nil"/>
            </w:tcBorders>
            <w:noWrap w:val="0"/>
            <w:vAlign w:val="center"/>
          </w:tcPr>
          <w:p w14:paraId="58315CFA">
            <w:pPr>
              <w:pStyle w:val="58"/>
              <w:bidi w:val="0"/>
              <w:rPr>
                <w:rFonts w:hint="default"/>
                <w:highlight w:val="none"/>
              </w:rPr>
            </w:pPr>
          </w:p>
        </w:tc>
        <w:tc>
          <w:tcPr>
            <w:tcW w:w="737" w:type="pct"/>
            <w:tcBorders>
              <w:tl2br w:val="nil"/>
              <w:tr2bl w:val="nil"/>
            </w:tcBorders>
            <w:noWrap w:val="0"/>
            <w:vAlign w:val="center"/>
          </w:tcPr>
          <w:p w14:paraId="2923E12D">
            <w:pPr>
              <w:pStyle w:val="58"/>
              <w:bidi w:val="0"/>
              <w:rPr>
                <w:rFonts w:hint="default"/>
                <w:highlight w:val="none"/>
                <w:lang w:val="en-US" w:eastAsia="zh-CN"/>
              </w:rPr>
            </w:pPr>
            <w:r>
              <w:rPr>
                <w:rFonts w:hint="default"/>
                <w:highlight w:val="none"/>
                <w:lang w:val="en-US" w:eastAsia="zh-CN"/>
              </w:rPr>
              <w:t>废润滑油</w:t>
            </w:r>
          </w:p>
        </w:tc>
        <w:tc>
          <w:tcPr>
            <w:tcW w:w="569" w:type="pct"/>
            <w:tcBorders>
              <w:tl2br w:val="nil"/>
              <w:tr2bl w:val="nil"/>
            </w:tcBorders>
            <w:noWrap w:val="0"/>
            <w:vAlign w:val="center"/>
          </w:tcPr>
          <w:p w14:paraId="756432AC">
            <w:pPr>
              <w:pStyle w:val="58"/>
              <w:bidi w:val="0"/>
              <w:rPr>
                <w:rFonts w:hint="default"/>
                <w:highlight w:val="none"/>
                <w:lang w:val="en-US" w:eastAsia="zh-CN"/>
              </w:rPr>
            </w:pPr>
            <w:r>
              <w:rPr>
                <w:rFonts w:hint="default"/>
                <w:highlight w:val="none"/>
                <w:lang w:val="en-US" w:eastAsia="zh-CN"/>
              </w:rPr>
              <w:t>HW08</w:t>
            </w:r>
          </w:p>
        </w:tc>
        <w:tc>
          <w:tcPr>
            <w:tcW w:w="881" w:type="pct"/>
            <w:tcBorders>
              <w:tl2br w:val="nil"/>
              <w:tr2bl w:val="nil"/>
            </w:tcBorders>
            <w:noWrap w:val="0"/>
            <w:vAlign w:val="center"/>
          </w:tcPr>
          <w:p w14:paraId="4ECFED1E">
            <w:pPr>
              <w:pStyle w:val="58"/>
              <w:bidi w:val="0"/>
              <w:rPr>
                <w:rFonts w:hint="default"/>
                <w:highlight w:val="none"/>
                <w:lang w:val="en-US" w:eastAsia="zh-CN"/>
              </w:rPr>
            </w:pPr>
            <w:r>
              <w:rPr>
                <w:rFonts w:hint="default"/>
                <w:highlight w:val="none"/>
              </w:rPr>
              <w:t>900-21</w:t>
            </w:r>
            <w:r>
              <w:rPr>
                <w:rFonts w:hint="default"/>
                <w:highlight w:val="none"/>
                <w:lang w:val="en-US" w:eastAsia="zh-CN"/>
              </w:rPr>
              <w:t>7</w:t>
            </w:r>
            <w:r>
              <w:rPr>
                <w:rFonts w:hint="default"/>
                <w:highlight w:val="none"/>
              </w:rPr>
              <w:t>-08</w:t>
            </w:r>
          </w:p>
        </w:tc>
        <w:tc>
          <w:tcPr>
            <w:tcW w:w="508" w:type="pct"/>
            <w:vMerge w:val="continue"/>
            <w:tcBorders>
              <w:tl2br w:val="nil"/>
              <w:tr2bl w:val="nil"/>
            </w:tcBorders>
            <w:noWrap w:val="0"/>
            <w:vAlign w:val="center"/>
          </w:tcPr>
          <w:p w14:paraId="78F6D0D0">
            <w:pPr>
              <w:pStyle w:val="58"/>
              <w:bidi w:val="0"/>
              <w:rPr>
                <w:rFonts w:hint="default"/>
                <w:highlight w:val="none"/>
              </w:rPr>
            </w:pPr>
          </w:p>
        </w:tc>
        <w:tc>
          <w:tcPr>
            <w:tcW w:w="788" w:type="pct"/>
            <w:tcBorders>
              <w:tl2br w:val="nil"/>
              <w:tr2bl w:val="nil"/>
            </w:tcBorders>
            <w:noWrap w:val="0"/>
            <w:vAlign w:val="center"/>
          </w:tcPr>
          <w:p w14:paraId="6FF19FE1">
            <w:pPr>
              <w:pStyle w:val="58"/>
              <w:bidi w:val="0"/>
              <w:rPr>
                <w:rFonts w:hint="default"/>
                <w:highlight w:val="none"/>
                <w:lang w:val="en-US" w:eastAsia="zh-CN"/>
              </w:rPr>
            </w:pPr>
            <w:r>
              <w:rPr>
                <w:rFonts w:hint="eastAsia"/>
                <w:highlight w:val="none"/>
                <w:lang w:val="en-US" w:eastAsia="zh-CN"/>
              </w:rPr>
              <w:t>密闭容器</w:t>
            </w:r>
          </w:p>
        </w:tc>
        <w:tc>
          <w:tcPr>
            <w:tcW w:w="507" w:type="pct"/>
            <w:vMerge w:val="continue"/>
            <w:tcBorders>
              <w:tl2br w:val="nil"/>
              <w:tr2bl w:val="nil"/>
            </w:tcBorders>
            <w:noWrap w:val="0"/>
            <w:vAlign w:val="center"/>
          </w:tcPr>
          <w:p w14:paraId="7010AB1B">
            <w:pPr>
              <w:pStyle w:val="58"/>
              <w:bidi w:val="0"/>
              <w:rPr>
                <w:rFonts w:hint="default"/>
                <w:highlight w:val="none"/>
                <w:lang w:val="en-US" w:eastAsia="zh-CN"/>
              </w:rPr>
            </w:pPr>
          </w:p>
        </w:tc>
      </w:tr>
      <w:tr w14:paraId="758D833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311" w:type="pct"/>
            <w:vMerge w:val="continue"/>
            <w:tcBorders>
              <w:tl2br w:val="nil"/>
              <w:tr2bl w:val="nil"/>
            </w:tcBorders>
            <w:noWrap w:val="0"/>
            <w:vAlign w:val="center"/>
          </w:tcPr>
          <w:p w14:paraId="2563BCFB">
            <w:pPr>
              <w:pStyle w:val="58"/>
              <w:bidi w:val="0"/>
              <w:rPr>
                <w:rFonts w:hint="default"/>
                <w:highlight w:val="none"/>
              </w:rPr>
            </w:pPr>
          </w:p>
        </w:tc>
        <w:tc>
          <w:tcPr>
            <w:tcW w:w="696" w:type="pct"/>
            <w:vMerge w:val="continue"/>
            <w:tcBorders>
              <w:tl2br w:val="nil"/>
              <w:tr2bl w:val="nil"/>
            </w:tcBorders>
            <w:noWrap w:val="0"/>
            <w:vAlign w:val="center"/>
          </w:tcPr>
          <w:p w14:paraId="6E88F95A">
            <w:pPr>
              <w:pStyle w:val="58"/>
              <w:bidi w:val="0"/>
              <w:rPr>
                <w:rFonts w:hint="default"/>
                <w:highlight w:val="none"/>
              </w:rPr>
            </w:pPr>
          </w:p>
        </w:tc>
        <w:tc>
          <w:tcPr>
            <w:tcW w:w="737" w:type="pct"/>
            <w:tcBorders>
              <w:tl2br w:val="nil"/>
              <w:tr2bl w:val="nil"/>
            </w:tcBorders>
            <w:noWrap w:val="0"/>
            <w:vAlign w:val="center"/>
          </w:tcPr>
          <w:p w14:paraId="77EA6972">
            <w:pPr>
              <w:pStyle w:val="58"/>
              <w:bidi w:val="0"/>
              <w:rPr>
                <w:rFonts w:hint="default"/>
                <w:highlight w:val="none"/>
                <w:lang w:val="en-US" w:eastAsia="zh-CN"/>
              </w:rPr>
            </w:pPr>
            <w:r>
              <w:rPr>
                <w:rFonts w:hint="default"/>
                <w:highlight w:val="none"/>
                <w:lang w:val="en-US" w:eastAsia="zh-CN"/>
              </w:rPr>
              <w:t>废液压油</w:t>
            </w:r>
          </w:p>
        </w:tc>
        <w:tc>
          <w:tcPr>
            <w:tcW w:w="569" w:type="pct"/>
            <w:tcBorders>
              <w:tl2br w:val="nil"/>
              <w:tr2bl w:val="nil"/>
            </w:tcBorders>
            <w:noWrap w:val="0"/>
            <w:vAlign w:val="center"/>
          </w:tcPr>
          <w:p w14:paraId="08ED6BC7">
            <w:pPr>
              <w:pStyle w:val="58"/>
              <w:bidi w:val="0"/>
              <w:rPr>
                <w:rFonts w:hint="default"/>
                <w:highlight w:val="none"/>
                <w:lang w:val="en-US" w:eastAsia="zh-CN"/>
              </w:rPr>
            </w:pPr>
            <w:r>
              <w:rPr>
                <w:rFonts w:hint="default"/>
                <w:highlight w:val="none"/>
                <w:lang w:val="en-US" w:eastAsia="zh-CN"/>
              </w:rPr>
              <w:t>HW08</w:t>
            </w:r>
          </w:p>
        </w:tc>
        <w:tc>
          <w:tcPr>
            <w:tcW w:w="881" w:type="pct"/>
            <w:tcBorders>
              <w:tl2br w:val="nil"/>
              <w:tr2bl w:val="nil"/>
            </w:tcBorders>
            <w:noWrap w:val="0"/>
            <w:vAlign w:val="center"/>
          </w:tcPr>
          <w:p w14:paraId="7700D6F1">
            <w:pPr>
              <w:pStyle w:val="58"/>
              <w:bidi w:val="0"/>
              <w:rPr>
                <w:rFonts w:hint="default"/>
                <w:highlight w:val="none"/>
              </w:rPr>
            </w:pPr>
            <w:r>
              <w:rPr>
                <w:rFonts w:hint="default"/>
                <w:highlight w:val="none"/>
              </w:rPr>
              <w:t>900-21</w:t>
            </w:r>
            <w:r>
              <w:rPr>
                <w:rFonts w:hint="default"/>
                <w:highlight w:val="none"/>
                <w:lang w:val="en-US" w:eastAsia="zh-CN"/>
              </w:rPr>
              <w:t>8</w:t>
            </w:r>
            <w:r>
              <w:rPr>
                <w:rFonts w:hint="default"/>
                <w:highlight w:val="none"/>
              </w:rPr>
              <w:t>-08</w:t>
            </w:r>
          </w:p>
        </w:tc>
        <w:tc>
          <w:tcPr>
            <w:tcW w:w="508" w:type="pct"/>
            <w:vMerge w:val="continue"/>
            <w:tcBorders>
              <w:tl2br w:val="nil"/>
              <w:tr2bl w:val="nil"/>
            </w:tcBorders>
            <w:noWrap w:val="0"/>
            <w:vAlign w:val="center"/>
          </w:tcPr>
          <w:p w14:paraId="36A00443">
            <w:pPr>
              <w:pStyle w:val="58"/>
              <w:bidi w:val="0"/>
              <w:rPr>
                <w:rFonts w:hint="default"/>
                <w:highlight w:val="none"/>
              </w:rPr>
            </w:pPr>
          </w:p>
        </w:tc>
        <w:tc>
          <w:tcPr>
            <w:tcW w:w="788" w:type="pct"/>
            <w:tcBorders>
              <w:tl2br w:val="nil"/>
              <w:tr2bl w:val="nil"/>
            </w:tcBorders>
            <w:noWrap w:val="0"/>
            <w:vAlign w:val="center"/>
          </w:tcPr>
          <w:p w14:paraId="43C0F701">
            <w:pPr>
              <w:pStyle w:val="58"/>
              <w:bidi w:val="0"/>
              <w:rPr>
                <w:rFonts w:hint="default"/>
                <w:highlight w:val="none"/>
                <w:lang w:val="en-US" w:eastAsia="zh-CN"/>
              </w:rPr>
            </w:pPr>
            <w:r>
              <w:rPr>
                <w:rFonts w:hint="eastAsia"/>
                <w:highlight w:val="none"/>
                <w:lang w:val="en-US" w:eastAsia="zh-CN"/>
              </w:rPr>
              <w:t>密闭容器</w:t>
            </w:r>
          </w:p>
        </w:tc>
        <w:tc>
          <w:tcPr>
            <w:tcW w:w="507" w:type="pct"/>
            <w:vMerge w:val="continue"/>
            <w:tcBorders>
              <w:tl2br w:val="nil"/>
              <w:tr2bl w:val="nil"/>
            </w:tcBorders>
            <w:noWrap w:val="0"/>
            <w:vAlign w:val="center"/>
          </w:tcPr>
          <w:p w14:paraId="21F670C4">
            <w:pPr>
              <w:pStyle w:val="58"/>
              <w:bidi w:val="0"/>
              <w:rPr>
                <w:rFonts w:hint="default"/>
                <w:highlight w:val="none"/>
                <w:lang w:val="en-US" w:eastAsia="zh-CN"/>
              </w:rPr>
            </w:pPr>
          </w:p>
        </w:tc>
      </w:tr>
      <w:tr w14:paraId="6C61E5C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311" w:type="pct"/>
            <w:vMerge w:val="continue"/>
            <w:tcBorders>
              <w:tl2br w:val="nil"/>
              <w:tr2bl w:val="nil"/>
            </w:tcBorders>
            <w:noWrap w:val="0"/>
            <w:vAlign w:val="center"/>
          </w:tcPr>
          <w:p w14:paraId="6A5D7C40">
            <w:pPr>
              <w:pStyle w:val="58"/>
              <w:bidi w:val="0"/>
              <w:rPr>
                <w:rFonts w:hint="default"/>
                <w:highlight w:val="none"/>
              </w:rPr>
            </w:pPr>
          </w:p>
        </w:tc>
        <w:tc>
          <w:tcPr>
            <w:tcW w:w="696" w:type="pct"/>
            <w:vMerge w:val="continue"/>
            <w:tcBorders>
              <w:tl2br w:val="nil"/>
              <w:tr2bl w:val="nil"/>
            </w:tcBorders>
            <w:noWrap w:val="0"/>
            <w:vAlign w:val="center"/>
          </w:tcPr>
          <w:p w14:paraId="7526DA01">
            <w:pPr>
              <w:pStyle w:val="58"/>
              <w:bidi w:val="0"/>
              <w:rPr>
                <w:rFonts w:hint="default"/>
                <w:highlight w:val="none"/>
              </w:rPr>
            </w:pPr>
          </w:p>
        </w:tc>
        <w:tc>
          <w:tcPr>
            <w:tcW w:w="737" w:type="pct"/>
            <w:tcBorders>
              <w:tl2br w:val="nil"/>
              <w:tr2bl w:val="nil"/>
            </w:tcBorders>
            <w:noWrap w:val="0"/>
            <w:vAlign w:val="center"/>
          </w:tcPr>
          <w:p w14:paraId="0EBEE2A0">
            <w:pPr>
              <w:pStyle w:val="58"/>
              <w:bidi w:val="0"/>
              <w:rPr>
                <w:rFonts w:hint="default"/>
                <w:highlight w:val="none"/>
                <w:lang w:val="en-US" w:eastAsia="zh-CN"/>
              </w:rPr>
            </w:pPr>
            <w:r>
              <w:rPr>
                <w:rFonts w:hint="default"/>
                <w:highlight w:val="none"/>
                <w:lang w:val="en-US" w:eastAsia="zh-CN"/>
              </w:rPr>
              <w:t>废油桶</w:t>
            </w:r>
          </w:p>
        </w:tc>
        <w:tc>
          <w:tcPr>
            <w:tcW w:w="569" w:type="pct"/>
            <w:tcBorders>
              <w:tl2br w:val="nil"/>
              <w:tr2bl w:val="nil"/>
            </w:tcBorders>
            <w:noWrap w:val="0"/>
            <w:vAlign w:val="center"/>
          </w:tcPr>
          <w:p w14:paraId="68E5EE22">
            <w:pPr>
              <w:pStyle w:val="58"/>
              <w:bidi w:val="0"/>
              <w:rPr>
                <w:rFonts w:hint="default"/>
                <w:highlight w:val="none"/>
                <w:lang w:val="en-US" w:eastAsia="zh-CN"/>
              </w:rPr>
            </w:pPr>
            <w:r>
              <w:rPr>
                <w:rFonts w:hint="default"/>
                <w:highlight w:val="none"/>
                <w:lang w:val="en-US" w:eastAsia="zh-CN"/>
              </w:rPr>
              <w:t>HW08</w:t>
            </w:r>
          </w:p>
        </w:tc>
        <w:tc>
          <w:tcPr>
            <w:tcW w:w="881" w:type="pct"/>
            <w:tcBorders>
              <w:tl2br w:val="nil"/>
              <w:tr2bl w:val="nil"/>
            </w:tcBorders>
            <w:noWrap w:val="0"/>
            <w:vAlign w:val="center"/>
          </w:tcPr>
          <w:p w14:paraId="3AC9BCE0">
            <w:pPr>
              <w:pStyle w:val="58"/>
              <w:bidi w:val="0"/>
              <w:rPr>
                <w:rFonts w:hint="default"/>
                <w:highlight w:val="none"/>
                <w:lang w:val="en-US" w:eastAsia="zh-CN"/>
              </w:rPr>
            </w:pPr>
            <w:r>
              <w:rPr>
                <w:rFonts w:hint="default"/>
                <w:highlight w:val="none"/>
                <w:lang w:val="en-US" w:eastAsia="zh-CN"/>
              </w:rPr>
              <w:t>900-249-08</w:t>
            </w:r>
          </w:p>
        </w:tc>
        <w:tc>
          <w:tcPr>
            <w:tcW w:w="508" w:type="pct"/>
            <w:vMerge w:val="continue"/>
            <w:tcBorders>
              <w:tl2br w:val="nil"/>
              <w:tr2bl w:val="nil"/>
            </w:tcBorders>
            <w:noWrap w:val="0"/>
            <w:vAlign w:val="center"/>
          </w:tcPr>
          <w:p w14:paraId="377A95E0">
            <w:pPr>
              <w:pStyle w:val="58"/>
              <w:bidi w:val="0"/>
              <w:rPr>
                <w:rFonts w:hint="default"/>
                <w:highlight w:val="none"/>
              </w:rPr>
            </w:pPr>
          </w:p>
        </w:tc>
        <w:tc>
          <w:tcPr>
            <w:tcW w:w="788" w:type="pct"/>
            <w:tcBorders>
              <w:tl2br w:val="nil"/>
              <w:tr2bl w:val="nil"/>
            </w:tcBorders>
            <w:noWrap w:val="0"/>
            <w:vAlign w:val="center"/>
          </w:tcPr>
          <w:p w14:paraId="1C667370">
            <w:pPr>
              <w:pStyle w:val="58"/>
              <w:bidi w:val="0"/>
              <w:rPr>
                <w:rFonts w:hint="default"/>
                <w:highlight w:val="none"/>
                <w:lang w:val="en-US" w:eastAsia="zh-CN"/>
              </w:rPr>
            </w:pPr>
            <w:r>
              <w:rPr>
                <w:rFonts w:hint="default"/>
                <w:highlight w:val="none"/>
                <w:lang w:val="en-US" w:eastAsia="zh-CN"/>
              </w:rPr>
              <w:t>/</w:t>
            </w:r>
          </w:p>
        </w:tc>
        <w:tc>
          <w:tcPr>
            <w:tcW w:w="507" w:type="pct"/>
            <w:vMerge w:val="continue"/>
            <w:tcBorders>
              <w:tl2br w:val="nil"/>
              <w:tr2bl w:val="nil"/>
            </w:tcBorders>
            <w:noWrap w:val="0"/>
            <w:vAlign w:val="center"/>
          </w:tcPr>
          <w:p w14:paraId="2F0EACF3">
            <w:pPr>
              <w:pStyle w:val="58"/>
              <w:bidi w:val="0"/>
              <w:rPr>
                <w:rFonts w:hint="default"/>
                <w:highlight w:val="none"/>
                <w:lang w:val="en-US" w:eastAsia="zh-CN"/>
              </w:rPr>
            </w:pPr>
          </w:p>
        </w:tc>
      </w:tr>
    </w:tbl>
    <w:p w14:paraId="151F4E3A">
      <w:pPr>
        <w:keepNext w:val="0"/>
        <w:keepLines w:val="0"/>
        <w:pageBreakBefore w:val="0"/>
        <w:numPr>
          <w:ilvl w:val="0"/>
          <w:numId w:val="0"/>
        </w:numPr>
        <w:kinsoku/>
        <w:wordWrap/>
        <w:overflowPunct/>
        <w:topLinePunct w:val="0"/>
        <w:autoSpaceDE/>
        <w:autoSpaceDN/>
        <w:bidi w:val="0"/>
        <w:spacing w:line="480" w:lineRule="exact"/>
        <w:ind w:firstLine="480" w:firstLineChars="200"/>
        <w:textAlignment w:val="auto"/>
        <w:rPr>
          <w:rFonts w:hint="default" w:ascii="Times New Roman" w:hAnsi="Times New Roman" w:eastAsia="宋体" w:cs="Times New Roman"/>
          <w:bCs/>
          <w:color w:val="auto"/>
          <w:kern w:val="24"/>
          <w:sz w:val="24"/>
          <w:szCs w:val="24"/>
          <w:highlight w:val="none"/>
          <w:lang w:eastAsia="zh-CN"/>
        </w:rPr>
      </w:pPr>
      <w:r>
        <w:rPr>
          <w:rFonts w:hint="default" w:ascii="Times New Roman" w:hAnsi="Times New Roman" w:eastAsia="宋体" w:cs="Times New Roman"/>
          <w:bCs/>
          <w:color w:val="auto"/>
          <w:kern w:val="24"/>
          <w:sz w:val="24"/>
          <w:szCs w:val="24"/>
          <w:highlight w:val="none"/>
          <w:lang w:eastAsia="zh-CN"/>
        </w:rPr>
        <w:t>根据分析结果，项目危废贮存间可以满足危废贮存需求。</w:t>
      </w:r>
    </w:p>
    <w:p w14:paraId="4B1160B2">
      <w:pPr>
        <w:keepNext w:val="0"/>
        <w:keepLines w:val="0"/>
        <w:pageBreakBefore w:val="0"/>
        <w:numPr>
          <w:ilvl w:val="0"/>
          <w:numId w:val="0"/>
        </w:numPr>
        <w:kinsoku/>
        <w:wordWrap/>
        <w:overflowPunct/>
        <w:topLinePunct w:val="0"/>
        <w:autoSpaceDE/>
        <w:autoSpaceDN/>
        <w:bidi w:val="0"/>
        <w:spacing w:line="480" w:lineRule="exact"/>
        <w:ind w:firstLine="480" w:firstLineChars="200"/>
        <w:textAlignment w:val="auto"/>
        <w:rPr>
          <w:rFonts w:hint="default" w:ascii="Times New Roman" w:hAnsi="Times New Roman" w:eastAsia="宋体" w:cs="Times New Roman"/>
          <w:color w:val="auto"/>
          <w:sz w:val="24"/>
          <w:szCs w:val="24"/>
          <w:highlight w:val="none"/>
          <w:lang w:eastAsia="zh-CN"/>
        </w:rPr>
      </w:pPr>
      <w:r>
        <w:rPr>
          <w:rFonts w:hint="default" w:ascii="Times New Roman" w:hAnsi="Times New Roman" w:eastAsia="宋体" w:cs="Times New Roman"/>
          <w:bCs/>
          <w:color w:val="auto"/>
          <w:kern w:val="24"/>
          <w:sz w:val="24"/>
          <w:szCs w:val="24"/>
          <w:highlight w:val="none"/>
          <w:lang w:eastAsia="zh-CN"/>
        </w:rPr>
        <w:t>本项目危废间内建设情况：①危废间内分区，</w:t>
      </w:r>
      <w:r>
        <w:rPr>
          <w:rFonts w:hint="default" w:ascii="Times New Roman" w:hAnsi="Times New Roman" w:eastAsia="宋体" w:cs="Times New Roman"/>
          <w:color w:val="auto"/>
          <w:sz w:val="24"/>
          <w:szCs w:val="24"/>
          <w:highlight w:val="none"/>
        </w:rPr>
        <w:t>不同废物之间采</w:t>
      </w:r>
      <w:r>
        <w:rPr>
          <w:rFonts w:hint="default" w:ascii="Times New Roman" w:hAnsi="Times New Roman" w:eastAsia="宋体" w:cs="Times New Roman"/>
          <w:color w:val="auto"/>
          <w:sz w:val="24"/>
          <w:szCs w:val="24"/>
          <w:highlight w:val="none"/>
          <w:lang w:eastAsia="zh-CN"/>
        </w:rPr>
        <w:t>用</w:t>
      </w:r>
      <w:r>
        <w:rPr>
          <w:rFonts w:hint="default" w:ascii="Times New Roman" w:hAnsi="Times New Roman" w:eastAsia="宋体" w:cs="Times New Roman"/>
          <w:color w:val="auto"/>
          <w:sz w:val="24"/>
          <w:szCs w:val="24"/>
          <w:highlight w:val="none"/>
        </w:rPr>
        <w:t>分</w:t>
      </w:r>
      <w:r>
        <w:rPr>
          <w:rFonts w:hint="default" w:ascii="Times New Roman" w:hAnsi="Times New Roman" w:eastAsia="宋体" w:cs="Times New Roman"/>
          <w:color w:val="auto"/>
          <w:sz w:val="24"/>
          <w:szCs w:val="24"/>
          <w:highlight w:val="none"/>
          <w:lang w:eastAsia="zh-CN"/>
        </w:rPr>
        <w:t>区隔断。</w:t>
      </w:r>
      <w:r>
        <w:rPr>
          <w:rFonts w:hint="default" w:ascii="Times New Roman" w:hAnsi="Times New Roman" w:eastAsia="宋体" w:cs="Times New Roman"/>
          <w:bCs/>
          <w:color w:val="auto"/>
          <w:kern w:val="24"/>
          <w:sz w:val="24"/>
          <w:szCs w:val="24"/>
          <w:highlight w:val="none"/>
          <w:lang w:val="en-US" w:eastAsia="zh-CN"/>
        </w:rPr>
        <w:t>②</w:t>
      </w:r>
      <w:r>
        <w:rPr>
          <w:rFonts w:hint="default" w:ascii="Times New Roman" w:hAnsi="Times New Roman" w:eastAsia="宋体" w:cs="Times New Roman"/>
          <w:bCs/>
          <w:color w:val="auto"/>
          <w:kern w:val="24"/>
          <w:sz w:val="24"/>
          <w:szCs w:val="24"/>
          <w:highlight w:val="none"/>
          <w:lang w:eastAsia="zh-CN"/>
        </w:rPr>
        <w:t>贮存液态危险废物的，设有液体泄漏堵截设施，堵截设施最小容积高于对应贮存区域最大液态废物容器容积或液态废物总储量1/10(二者取较大者)。</w:t>
      </w:r>
      <w:r>
        <w:rPr>
          <w:rFonts w:hint="default" w:ascii="Times New Roman" w:hAnsi="Times New Roman" w:eastAsia="宋体" w:cs="Times New Roman"/>
          <w:color w:val="auto"/>
          <w:sz w:val="24"/>
          <w:szCs w:val="24"/>
          <w:highlight w:val="none"/>
          <w:lang w:val="en-US" w:eastAsia="zh-CN"/>
        </w:rPr>
        <w:t>③</w:t>
      </w:r>
      <w:r>
        <w:rPr>
          <w:rFonts w:hint="default" w:ascii="Times New Roman" w:hAnsi="Times New Roman" w:eastAsia="宋体" w:cs="Times New Roman"/>
          <w:bCs/>
          <w:color w:val="auto"/>
          <w:kern w:val="24"/>
          <w:sz w:val="24"/>
          <w:szCs w:val="24"/>
          <w:highlight w:val="none"/>
          <w:lang w:eastAsia="zh-CN"/>
        </w:rPr>
        <w:t>设计渗滤液收集设施，收集设施满足渗滤液的收集要求。④危废间防腐防渗：</w:t>
      </w:r>
      <w:r>
        <w:rPr>
          <w:rFonts w:hint="default" w:ascii="Times New Roman" w:hAnsi="Times New Roman" w:eastAsia="宋体" w:cs="Times New Roman"/>
          <w:color w:val="auto"/>
          <w:kern w:val="2"/>
          <w:sz w:val="24"/>
          <w:szCs w:val="24"/>
          <w:highlight w:val="none"/>
          <w:lang w:val="en-US" w:eastAsia="zh-CN" w:bidi="ar-SA"/>
        </w:rPr>
        <w:t>危废间地面及裙角作防渗防腐处理，防渗系数≤10</w:t>
      </w:r>
      <w:r>
        <w:rPr>
          <w:rFonts w:hint="default" w:ascii="Times New Roman" w:hAnsi="Times New Roman" w:eastAsia="宋体" w:cs="Times New Roman"/>
          <w:color w:val="auto"/>
          <w:kern w:val="2"/>
          <w:sz w:val="24"/>
          <w:szCs w:val="24"/>
          <w:highlight w:val="none"/>
          <w:vertAlign w:val="superscript"/>
          <w:lang w:val="en-US" w:eastAsia="zh-CN" w:bidi="ar-SA"/>
        </w:rPr>
        <w:t>-7</w:t>
      </w:r>
      <w:r>
        <w:rPr>
          <w:rFonts w:hint="default" w:ascii="Times New Roman" w:hAnsi="Times New Roman" w:eastAsia="宋体" w:cs="Times New Roman"/>
          <w:color w:val="auto"/>
          <w:kern w:val="2"/>
          <w:sz w:val="24"/>
          <w:szCs w:val="24"/>
          <w:highlight w:val="none"/>
          <w:lang w:val="en-US" w:eastAsia="zh-CN" w:bidi="ar-SA"/>
        </w:rPr>
        <w:t>cm/s</w:t>
      </w:r>
      <w:r>
        <w:rPr>
          <w:rFonts w:hint="default" w:ascii="Times New Roman" w:hAnsi="Times New Roman" w:eastAsia="宋体" w:cs="Times New Roman"/>
          <w:color w:val="auto"/>
          <w:sz w:val="24"/>
          <w:szCs w:val="24"/>
          <w:highlight w:val="none"/>
          <w:lang w:eastAsia="zh-CN"/>
        </w:rPr>
        <w:t>。</w:t>
      </w:r>
    </w:p>
    <w:p w14:paraId="03C9531E">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outlineLvl w:val="9"/>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危险废物贮存器要求：①盛装危险废物的容器材质和衬里与危险废物相容（不互相反应）。②装载危险废物的容器及包装物满足防渗、防漏、防腐和强度等要求。③硬质容器和包装物及其支护结构堆叠码放时无明显变形，无破损泄漏。④柔性容器和包装物堆叠码放时封口严密，无破损泄漏。⑤使用容器盛装液态、半固态危险废物时，容器内部留有适当的空间，以适应因温度变化等可能引发的收缩和膨胀，防止其导致容器滲漏或永久变形。⑥容器和包装物外表面保持清洁。</w:t>
      </w:r>
    </w:p>
    <w:p w14:paraId="6BA9D210">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outlineLvl w:val="9"/>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本项目液态危险废物使用桶装密闭储存，固态危险废物使用密闭袋装收集贮存，定期清运，不会对环境产生明显影响；此外，本项目危废贮存间设置备用桶，事故状态下可对泄漏的危险废物进行收集。</w:t>
      </w:r>
    </w:p>
    <w:p w14:paraId="13AF7B1C">
      <w:pPr>
        <w:numPr>
          <w:ilvl w:val="0"/>
          <w:numId w:val="0"/>
        </w:numPr>
        <w:spacing w:line="480" w:lineRule="exact"/>
        <w:ind w:firstLine="480" w:firstLineChars="200"/>
        <w:rPr>
          <w:rFonts w:hint="default" w:ascii="Times New Roman" w:hAnsi="Times New Roman" w:eastAsia="宋体" w:cs="Times New Roman"/>
          <w:color w:val="auto"/>
          <w:sz w:val="24"/>
          <w:highlight w:val="none"/>
          <w:lang w:eastAsia="zh-CN"/>
        </w:rPr>
      </w:pPr>
      <w:r>
        <w:rPr>
          <w:rFonts w:hint="default" w:ascii="Times New Roman" w:hAnsi="Times New Roman" w:eastAsia="宋体" w:cs="Times New Roman"/>
          <w:color w:val="auto"/>
          <w:sz w:val="24"/>
          <w:highlight w:val="none"/>
          <w:lang w:eastAsia="zh-CN"/>
        </w:rPr>
        <w:t>⑶运输过程影响分析</w:t>
      </w:r>
    </w:p>
    <w:p w14:paraId="65C8C784">
      <w:pPr>
        <w:bidi w:val="0"/>
        <w:rPr>
          <w:rFonts w:hint="default"/>
          <w:lang w:val="en-US" w:eastAsia="zh-CN"/>
        </w:rPr>
      </w:pPr>
      <w:r>
        <w:rPr>
          <w:rFonts w:hint="default"/>
          <w:lang w:eastAsia="zh-CN"/>
        </w:rPr>
        <w:t>危险废物在生产车间产生后按要求进行包装，根据要求，小件包装后放在防渗托盘上由叉车转运至危废间，废油桶等大件直接由叉车转运至危废间储存。</w:t>
      </w:r>
    </w:p>
    <w:p w14:paraId="6D5CDDB4">
      <w:pPr>
        <w:bidi w:val="0"/>
        <w:rPr>
          <w:rFonts w:hint="default"/>
          <w:lang w:eastAsia="zh-CN"/>
        </w:rPr>
      </w:pPr>
      <w:r>
        <w:rPr>
          <w:rFonts w:hint="default"/>
          <w:lang w:eastAsia="zh-CN"/>
        </w:rPr>
        <w:t>本项目产生危险废物运输过程中全部采用密闭容器储存，厂区运输道路较短，且路线不经过办公区等人员密集区。转运结束后相关工作人员及时对转运路线进行检查和清理，确保无危险废物散落或泄漏在转运路线上。危险废物运输过程中全部采用密闭容器储存，正常情况下不会发生散落或泄漏，同时公司厂区道路均将进行硬化，可有效阻止泄漏后危险废物的下渗，因此危险废物在运输过程发生散落或泄漏时，及时清理，可避免对周边环境产生明显影响。</w:t>
      </w:r>
    </w:p>
    <w:p w14:paraId="2939DAEC">
      <w:pPr>
        <w:numPr>
          <w:ilvl w:val="0"/>
          <w:numId w:val="0"/>
        </w:numPr>
        <w:spacing w:line="480" w:lineRule="exact"/>
        <w:ind w:firstLine="480" w:firstLineChars="200"/>
        <w:rPr>
          <w:rFonts w:hint="default" w:ascii="Times New Roman" w:hAnsi="Times New Roman" w:eastAsia="宋体" w:cs="Times New Roman"/>
          <w:color w:val="auto"/>
          <w:sz w:val="24"/>
          <w:highlight w:val="none"/>
          <w:lang w:eastAsia="zh-CN"/>
        </w:rPr>
      </w:pPr>
      <w:r>
        <w:rPr>
          <w:rFonts w:hint="default" w:ascii="Times New Roman" w:hAnsi="Times New Roman" w:eastAsia="宋体" w:cs="Times New Roman"/>
          <w:color w:val="auto"/>
          <w:sz w:val="24"/>
          <w:highlight w:val="none"/>
          <w:lang w:eastAsia="zh-CN"/>
        </w:rPr>
        <w:t>⑷利用或处置环境影响分析</w:t>
      </w:r>
    </w:p>
    <w:p w14:paraId="57A62F6F">
      <w:pPr>
        <w:numPr>
          <w:ilvl w:val="0"/>
          <w:numId w:val="0"/>
        </w:numPr>
        <w:spacing w:line="480" w:lineRule="exact"/>
        <w:ind w:firstLine="480" w:firstLineChars="200"/>
        <w:rPr>
          <w:rFonts w:hint="default" w:ascii="Times New Roman" w:hAnsi="Times New Roman" w:eastAsia="宋体" w:cs="Times New Roman"/>
          <w:color w:val="auto"/>
          <w:sz w:val="24"/>
          <w:highlight w:val="none"/>
          <w:lang w:eastAsia="zh-CN"/>
        </w:rPr>
      </w:pPr>
      <w:r>
        <w:rPr>
          <w:rFonts w:hint="default" w:ascii="Times New Roman" w:hAnsi="Times New Roman" w:eastAsia="宋体" w:cs="Times New Roman"/>
          <w:color w:val="auto"/>
          <w:sz w:val="24"/>
          <w:highlight w:val="none"/>
          <w:lang w:eastAsia="zh-CN"/>
        </w:rPr>
        <w:t>企业危险废物按照要求，委托有资质单位回收处理，企业附近有多家危险废物处置单位，可处理本企业危险废物，对环境影响较小。</w:t>
      </w:r>
    </w:p>
    <w:p w14:paraId="0178D4CC">
      <w:pPr>
        <w:numPr>
          <w:ilvl w:val="0"/>
          <w:numId w:val="0"/>
        </w:numPr>
        <w:spacing w:line="480" w:lineRule="exact"/>
        <w:ind w:firstLine="480" w:firstLineChars="200"/>
        <w:rPr>
          <w:rFonts w:hint="default" w:ascii="Times New Roman" w:hAnsi="Times New Roman" w:eastAsia="宋体" w:cs="Times New Roman"/>
          <w:color w:val="auto"/>
          <w:sz w:val="24"/>
          <w:highlight w:val="none"/>
          <w:lang w:eastAsia="zh-CN"/>
        </w:rPr>
      </w:pPr>
      <w:r>
        <w:rPr>
          <w:rFonts w:hint="default" w:ascii="Times New Roman" w:hAnsi="Times New Roman" w:eastAsia="宋体" w:cs="Times New Roman"/>
          <w:color w:val="auto"/>
          <w:sz w:val="24"/>
          <w:highlight w:val="none"/>
          <w:lang w:eastAsia="zh-CN"/>
        </w:rPr>
        <w:t>⑸日常管理要求</w:t>
      </w:r>
    </w:p>
    <w:p w14:paraId="11119BA6">
      <w:pPr>
        <w:keepNext w:val="0"/>
        <w:keepLines w:val="0"/>
        <w:pageBreakBefore w:val="0"/>
        <w:widowControl w:val="0"/>
        <w:kinsoku/>
        <w:wordWrap/>
        <w:overflowPunct/>
        <w:topLinePunct w:val="0"/>
        <w:autoSpaceDE/>
        <w:autoSpaceDN/>
        <w:bidi w:val="0"/>
        <w:spacing w:line="48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①危废间按照相关要求设置危险废物警告标志、危险废物标签、危险废物管理制度、危险废物管理台账等。</w:t>
      </w:r>
    </w:p>
    <w:p w14:paraId="2BF1E2AF">
      <w:pPr>
        <w:bidi w:val="0"/>
        <w:rPr>
          <w:rFonts w:hint="default"/>
          <w:lang w:eastAsia="zh-CN"/>
        </w:rPr>
      </w:pPr>
      <w:r>
        <w:rPr>
          <w:rFonts w:hint="default"/>
          <w:lang w:val="en-US" w:eastAsia="zh-CN"/>
        </w:rPr>
        <w:t>②</w:t>
      </w:r>
      <w:r>
        <w:rPr>
          <w:rFonts w:hint="default"/>
          <w:lang w:eastAsia="zh-CN"/>
        </w:rPr>
        <w:t>本项目实施后在收集、贮存、处置过程中应做好危险废物情况记录，记录上须注明危险废物的名称、来源、数量、特性和包装容器的类别、入库日期、存放库位、废物出库日期及接收单位名称。危险废物的记录和货单在危险废物回收后继续保留三年。</w:t>
      </w:r>
    </w:p>
    <w:p w14:paraId="71D86B55">
      <w:pPr>
        <w:bidi w:val="0"/>
        <w:rPr>
          <w:rFonts w:hint="default"/>
          <w:lang w:val="en-US" w:eastAsia="zh-CN"/>
        </w:rPr>
      </w:pPr>
      <w:r>
        <w:rPr>
          <w:rFonts w:hint="default"/>
          <w:lang w:val="en-US" w:eastAsia="zh-CN"/>
        </w:rPr>
        <w:t>③危废间做到防风、防雨、防晒、防渗漏，危废间设置专人管理。</w:t>
      </w:r>
    </w:p>
    <w:p w14:paraId="0BE84C47">
      <w:pPr>
        <w:bidi w:val="0"/>
        <w:rPr>
          <w:rFonts w:hint="default"/>
          <w:lang w:val="zh-CN" w:eastAsia="zh-CN"/>
        </w:rPr>
      </w:pPr>
      <w:r>
        <w:rPr>
          <w:rFonts w:hint="default"/>
          <w:lang w:val="en-US" w:eastAsia="zh-CN"/>
        </w:rPr>
        <w:t>④其他《危险废物贮存污染控制标准》（GB18597-2023）</w:t>
      </w:r>
      <w:r>
        <w:rPr>
          <w:rFonts w:hint="default"/>
          <w:lang w:val="zh-CN" w:eastAsia="zh-CN"/>
        </w:rPr>
        <w:t>的相关规定。</w:t>
      </w:r>
    </w:p>
    <w:p w14:paraId="020D9B42">
      <w:pPr>
        <w:bidi w:val="0"/>
        <w:rPr>
          <w:rFonts w:hint="default"/>
        </w:rPr>
      </w:pPr>
      <w:r>
        <w:rPr>
          <w:rFonts w:hint="default"/>
        </w:rPr>
        <w:t>综上所述，项目各类固体废物均得到合理处置，处置措施均符合标准、政策要求，因此，采取的固废处置措施可行。</w:t>
      </w:r>
    </w:p>
    <w:bookmarkEnd w:id="344"/>
    <w:bookmarkEnd w:id="345"/>
    <w:p w14:paraId="773DDCA9">
      <w:pPr>
        <w:pStyle w:val="20"/>
        <w:keepNext w:val="0"/>
        <w:keepLines w:val="0"/>
        <w:pageBreakBefore w:val="0"/>
        <w:widowControl w:val="0"/>
        <w:kinsoku/>
        <w:wordWrap/>
        <w:overflowPunct/>
        <w:topLinePunct w:val="0"/>
        <w:autoSpaceDE w:val="0"/>
        <w:autoSpaceDN w:val="0"/>
        <w:bidi w:val="0"/>
        <w:adjustRightInd/>
        <w:snapToGrid w:val="0"/>
        <w:spacing w:before="0" w:after="0" w:afterLines="0" w:line="480" w:lineRule="exact"/>
        <w:ind w:left="0" w:firstLine="496" w:firstLineChars="200"/>
        <w:textAlignment w:val="auto"/>
        <w:outlineLvl w:val="9"/>
        <w:rPr>
          <w:rFonts w:hint="default" w:ascii="Times New Roman" w:hAnsi="Times New Roman" w:eastAsia="宋体" w:cs="Times New Roman"/>
          <w:color w:val="000000" w:themeColor="text1"/>
          <w:spacing w:val="4"/>
          <w:sz w:val="24"/>
          <w:szCs w:val="24"/>
          <w:highlight w:val="yellow"/>
          <w:lang w:val="en-US" w:eastAsia="zh-CN"/>
          <w14:textFill>
            <w14:solidFill>
              <w14:schemeClr w14:val="tx1"/>
            </w14:solidFill>
          </w14:textFill>
        </w:rPr>
      </w:pPr>
    </w:p>
    <w:p w14:paraId="781DC43E">
      <w:pPr>
        <w:pageBreakBefore w:val="0"/>
        <w:widowControl w:val="0"/>
        <w:kinsoku/>
        <w:wordWrap/>
        <w:overflowPunct/>
        <w:topLinePunct w:val="0"/>
        <w:autoSpaceDE/>
        <w:autoSpaceDN/>
        <w:bidi w:val="0"/>
        <w:adjustRightInd/>
        <w:snapToGrid/>
        <w:spacing w:before="0" w:beforeLines="0" w:after="0" w:afterLines="0" w:line="480" w:lineRule="exact"/>
        <w:textAlignment w:val="auto"/>
        <w:outlineLvl w:val="9"/>
        <w:rPr>
          <w:rFonts w:hint="default" w:ascii="Times New Roman" w:hAnsi="Times New Roman" w:eastAsia="宋体" w:cs="Times New Roman"/>
          <w:color w:val="000000" w:themeColor="text1"/>
          <w:sz w:val="24"/>
          <w:szCs w:val="24"/>
          <w:highlight w:val="yellow"/>
          <w:lang w:val="en-US" w:eastAsia="zh-CN"/>
          <w14:textFill>
            <w14:solidFill>
              <w14:schemeClr w14:val="tx1"/>
            </w14:solidFill>
          </w14:textFill>
        </w:rPr>
        <w:sectPr>
          <w:footerReference r:id="rId25" w:type="default"/>
          <w:pgSz w:w="11906" w:h="16838"/>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bookmarkStart w:id="353" w:name="_Toc14558"/>
      <w:bookmarkStart w:id="354" w:name="_Toc246763571"/>
      <w:bookmarkStart w:id="355" w:name="_Toc157136210"/>
      <w:bookmarkStart w:id="356" w:name="_Toc246763561"/>
    </w:p>
    <w:p w14:paraId="582E6088">
      <w:pPr>
        <w:pStyle w:val="5"/>
        <w:bidi w:val="0"/>
        <w:rPr>
          <w:rFonts w:hint="default"/>
        </w:rPr>
      </w:pPr>
      <w:bookmarkStart w:id="357" w:name="_Toc1665"/>
      <w:r>
        <w:rPr>
          <w:rFonts w:hint="default"/>
          <w:lang w:val="en-US" w:eastAsia="zh-CN"/>
        </w:rPr>
        <w:t>7</w:t>
      </w:r>
      <w:r>
        <w:rPr>
          <w:rFonts w:hint="default"/>
        </w:rPr>
        <w:t>环境影响经济损益分析</w:t>
      </w:r>
      <w:bookmarkEnd w:id="353"/>
      <w:bookmarkEnd w:id="354"/>
      <w:bookmarkEnd w:id="357"/>
    </w:p>
    <w:p w14:paraId="31BF935E">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环境经济损益分析是从经济学的角度来分析，预测该项目的设施应体现的经济效益，社会效益和环境效益。项目的环境经济损益分析内容主要是统计分析环保措施投入的资金，运行费用，并分析项目投产后取得的经济效益、环境效益和社会效益。</w:t>
      </w:r>
    </w:p>
    <w:p w14:paraId="110D395D">
      <w:pPr>
        <w:pStyle w:val="7"/>
        <w:bidi w:val="0"/>
        <w:rPr>
          <w:rFonts w:hint="default"/>
          <w:lang w:val="en-US" w:eastAsia="zh-CN"/>
        </w:rPr>
      </w:pPr>
      <w:bookmarkStart w:id="358" w:name="_Toc14614"/>
      <w:r>
        <w:rPr>
          <w:rFonts w:hint="default"/>
          <w:lang w:val="en-US" w:eastAsia="zh-CN"/>
        </w:rPr>
        <w:t>7.1环保投资估算</w:t>
      </w:r>
      <w:bookmarkEnd w:id="358"/>
    </w:p>
    <w:p w14:paraId="74FE68F9">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污水处理厂工程是一项城市基础设施建设和环境改善项目，工程建设对自然环境、社会经济的影响包含有利和不利两方面，因此，评价污水处理厂工程的可行性必须从正反两方面论述。</w:t>
      </w:r>
    </w:p>
    <w:p w14:paraId="0B087BCE">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⑴环保投资</w:t>
      </w:r>
    </w:p>
    <w:p w14:paraId="575655AB">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本工程总投资</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290.76</w:t>
      </w:r>
      <w:r>
        <w:rPr>
          <w:rFonts w:hint="default" w:ascii="Times New Roman" w:hAnsi="Times New Roman" w:eastAsia="宋体" w:cs="Times New Roman"/>
          <w:color w:val="000000" w:themeColor="text1"/>
          <w:sz w:val="24"/>
          <w:highlight w:val="none"/>
          <w14:textFill>
            <w14:solidFill>
              <w14:schemeClr w14:val="tx1"/>
            </w14:solidFill>
          </w14:textFill>
        </w:rPr>
        <w:t>万元，全部为环保投资，主要包括废气治理设施、废水治理设施、噪声治理设施和固废治理设施等。</w:t>
      </w:r>
    </w:p>
    <w:p w14:paraId="226AE9BE">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⑵环保设施运行费用：包括环保设施折旧费、运行费和环保管理费。</w:t>
      </w:r>
    </w:p>
    <w:p w14:paraId="54992898">
      <w:pPr>
        <w:bidi w:val="0"/>
        <w:rPr>
          <w:rFonts w:hint="default"/>
        </w:rPr>
      </w:pPr>
      <w:r>
        <w:rPr>
          <w:rFonts w:hint="default"/>
          <w:lang w:val="en-US" w:eastAsia="zh-CN"/>
        </w:rPr>
        <w:t>①环保设施折旧费</w:t>
      </w:r>
      <w:r>
        <w:rPr>
          <w:rFonts w:hint="default"/>
        </w:rPr>
        <w:t>C</w:t>
      </w:r>
      <w:r>
        <w:rPr>
          <w:rFonts w:hint="default"/>
          <w:vertAlign w:val="subscript"/>
        </w:rPr>
        <w:t>1</w:t>
      </w:r>
    </w:p>
    <w:p w14:paraId="4C7751A0">
      <w:pPr>
        <w:bidi w:val="0"/>
        <w:rPr>
          <w:rFonts w:hint="default"/>
        </w:rPr>
      </w:pPr>
      <w:r>
        <w:rPr>
          <w:rFonts w:hint="default"/>
        </w:rPr>
        <w:t>C</w:t>
      </w:r>
      <w:r>
        <w:rPr>
          <w:rFonts w:hint="default"/>
          <w:vertAlign w:val="subscript"/>
        </w:rPr>
        <w:t>1</w:t>
      </w:r>
      <w:r>
        <w:rPr>
          <w:rFonts w:hint="default"/>
        </w:rPr>
        <w:t>=a×C</w:t>
      </w:r>
      <w:r>
        <w:rPr>
          <w:rFonts w:hint="default"/>
          <w:vertAlign w:val="subscript"/>
        </w:rPr>
        <w:t>0</w:t>
      </w:r>
      <w:r>
        <w:rPr>
          <w:rFonts w:hint="default"/>
        </w:rPr>
        <w:t>/n</w:t>
      </w:r>
    </w:p>
    <w:p w14:paraId="18BB0F66">
      <w:pPr>
        <w:bidi w:val="0"/>
        <w:rPr>
          <w:rFonts w:hint="default"/>
        </w:rPr>
      </w:pPr>
      <w:r>
        <w:rPr>
          <w:rFonts w:hint="default"/>
        </w:rPr>
        <w:t>式中：a—固定资产形成率，取95%；</w:t>
      </w:r>
    </w:p>
    <w:p w14:paraId="0515A43C">
      <w:pPr>
        <w:keepNext w:val="0"/>
        <w:keepLines w:val="0"/>
        <w:pageBreakBefore w:val="0"/>
        <w:widowControl w:val="0"/>
        <w:kinsoku/>
        <w:wordWrap/>
        <w:overflowPunct/>
        <w:topLinePunct w:val="0"/>
        <w:autoSpaceDE/>
        <w:autoSpaceDN/>
        <w:bidi w:val="0"/>
        <w:adjustRightInd/>
        <w:snapToGrid/>
        <w:ind w:firstLine="1080" w:firstLineChars="450"/>
        <w:textAlignment w:val="auto"/>
        <w:rPr>
          <w:rFonts w:hint="default"/>
        </w:rPr>
      </w:pPr>
      <w:r>
        <w:rPr>
          <w:rFonts w:hint="default"/>
        </w:rPr>
        <w:t>C</w:t>
      </w:r>
      <w:r>
        <w:rPr>
          <w:rFonts w:hint="default"/>
          <w:vertAlign w:val="subscript"/>
        </w:rPr>
        <w:t>0</w:t>
      </w:r>
      <w:r>
        <w:rPr>
          <w:rFonts w:hint="default"/>
        </w:rPr>
        <w:t>—环保总投资（万元）；</w:t>
      </w:r>
    </w:p>
    <w:p w14:paraId="072BB1F7">
      <w:pPr>
        <w:keepNext w:val="0"/>
        <w:keepLines w:val="0"/>
        <w:pageBreakBefore w:val="0"/>
        <w:widowControl w:val="0"/>
        <w:kinsoku/>
        <w:wordWrap/>
        <w:overflowPunct/>
        <w:topLinePunct w:val="0"/>
        <w:autoSpaceDE/>
        <w:autoSpaceDN/>
        <w:bidi w:val="0"/>
        <w:adjustRightInd/>
        <w:snapToGrid/>
        <w:ind w:firstLine="1080" w:firstLineChars="450"/>
        <w:textAlignment w:val="auto"/>
        <w:rPr>
          <w:rFonts w:hint="default"/>
        </w:rPr>
      </w:pPr>
      <w:r>
        <w:rPr>
          <w:rFonts w:hint="default"/>
        </w:rPr>
        <w:t>n—折旧年限，取30年；</w:t>
      </w:r>
    </w:p>
    <w:p w14:paraId="7F6A0E20">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vertAlign w:val="subscript"/>
          <w:lang w:val="en-US" w:eastAsia="zh-CN"/>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②环保设施运行费C</w:t>
      </w:r>
      <w:r>
        <w:rPr>
          <w:rFonts w:hint="default" w:ascii="Times New Roman" w:hAnsi="Times New Roman" w:eastAsia="宋体" w:cs="Times New Roman"/>
          <w:color w:val="000000" w:themeColor="text1"/>
          <w:kern w:val="2"/>
          <w:sz w:val="24"/>
          <w:szCs w:val="24"/>
          <w:highlight w:val="none"/>
          <w:vertAlign w:val="subscript"/>
          <w:lang w:val="en-US" w:eastAsia="zh-CN" w:bidi="ar-SA"/>
          <w14:textFill>
            <w14:solidFill>
              <w14:schemeClr w14:val="tx1"/>
            </w14:solidFill>
          </w14:textFill>
        </w:rPr>
        <w:t>2</w:t>
      </w:r>
    </w:p>
    <w:p w14:paraId="225AE21D">
      <w:pPr>
        <w:bidi w:val="0"/>
        <w:rPr>
          <w:rFonts w:hint="default"/>
          <w:lang w:val="en-US" w:eastAsia="zh-CN"/>
        </w:rPr>
      </w:pPr>
      <w:r>
        <w:rPr>
          <w:rFonts w:hint="default"/>
          <w:lang w:val="en-US" w:eastAsia="zh-CN"/>
        </w:rPr>
        <w:t>参照国内其它企业的有关资料，环保及综合利用设施的年运行费可按环保总投资的10%计算。</w:t>
      </w:r>
    </w:p>
    <w:p w14:paraId="079B4BAF">
      <w:pPr>
        <w:bidi w:val="0"/>
        <w:rPr>
          <w:rFonts w:hint="default"/>
          <w:lang w:eastAsia="zh-CN"/>
        </w:rPr>
      </w:pPr>
      <w:r>
        <w:rPr>
          <w:rFonts w:hint="default"/>
        </w:rPr>
        <w:t>C</w:t>
      </w:r>
      <w:r>
        <w:rPr>
          <w:rFonts w:hint="default"/>
          <w:vertAlign w:val="subscript"/>
        </w:rPr>
        <w:t>2</w:t>
      </w:r>
      <w:r>
        <w:rPr>
          <w:rFonts w:hint="default"/>
        </w:rPr>
        <w:t>=C</w:t>
      </w:r>
      <w:r>
        <w:rPr>
          <w:rFonts w:hint="default"/>
          <w:vertAlign w:val="subscript"/>
        </w:rPr>
        <w:t>0</w:t>
      </w:r>
      <w:r>
        <w:rPr>
          <w:rFonts w:hint="default"/>
        </w:rPr>
        <w:t>×10%</w:t>
      </w:r>
    </w:p>
    <w:p w14:paraId="6C5B330C">
      <w:pPr>
        <w:bidi w:val="0"/>
        <w:rPr>
          <w:rFonts w:hint="default"/>
        </w:rPr>
      </w:pPr>
      <w:r>
        <w:rPr>
          <w:rFonts w:hint="default"/>
        </w:rPr>
        <w:t>③管理费C</w:t>
      </w:r>
      <w:r>
        <w:rPr>
          <w:rFonts w:hint="default"/>
          <w:vertAlign w:val="subscript"/>
        </w:rPr>
        <w:t>3</w:t>
      </w:r>
    </w:p>
    <w:p w14:paraId="0A6A3C97">
      <w:pPr>
        <w:bidi w:val="0"/>
        <w:rPr>
          <w:rFonts w:hint="default"/>
        </w:rPr>
      </w:pPr>
      <w:r>
        <w:rPr>
          <w:rFonts w:hint="default"/>
        </w:rPr>
        <w:t>C</w:t>
      </w:r>
      <w:r>
        <w:rPr>
          <w:rFonts w:hint="default"/>
          <w:vertAlign w:val="subscript"/>
        </w:rPr>
        <w:t>3</w:t>
      </w:r>
      <w:r>
        <w:rPr>
          <w:rFonts w:hint="default"/>
        </w:rPr>
        <w:t>=（C</w:t>
      </w:r>
      <w:r>
        <w:rPr>
          <w:rFonts w:hint="default"/>
          <w:vertAlign w:val="subscript"/>
        </w:rPr>
        <w:t>1</w:t>
      </w:r>
      <w:r>
        <w:rPr>
          <w:rFonts w:hint="default"/>
        </w:rPr>
        <w:t>+C</w:t>
      </w:r>
      <w:r>
        <w:rPr>
          <w:rFonts w:hint="default"/>
          <w:vertAlign w:val="subscript"/>
        </w:rPr>
        <w:t>2</w:t>
      </w:r>
      <w:r>
        <w:rPr>
          <w:rFonts w:hint="default"/>
        </w:rPr>
        <w:t>）×15%</w:t>
      </w:r>
    </w:p>
    <w:p w14:paraId="7A05EDEB">
      <w:pPr>
        <w:bidi w:val="0"/>
        <w:rPr>
          <w:rFonts w:hint="default"/>
        </w:rPr>
      </w:pPr>
      <w:r>
        <w:rPr>
          <w:rFonts w:hint="default"/>
        </w:rPr>
        <w:t>④环保设施经营支出C。环保设施经营支出计算结果见表8-1。</w:t>
      </w:r>
    </w:p>
    <w:p w14:paraId="6AD259A1">
      <w:pPr>
        <w:numPr>
          <w:ilvl w:val="0"/>
          <w:numId w:val="44"/>
        </w:numPr>
        <w:spacing w:line="480" w:lineRule="exact"/>
        <w:ind w:left="425" w:leftChars="0" w:hanging="425" w:firstLineChars="0"/>
        <w:jc w:val="center"/>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表8-1环保设施经营支出费用一览表</w:t>
      </w:r>
    </w:p>
    <w:tbl>
      <w:tblPr>
        <w:tblStyle w:val="88"/>
        <w:tblW w:w="4998"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1169"/>
        <w:gridCol w:w="2499"/>
        <w:gridCol w:w="2823"/>
        <w:gridCol w:w="2607"/>
      </w:tblGrid>
      <w:tr w14:paraId="68073BD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642" w:type="pct"/>
            <w:vAlign w:val="top"/>
          </w:tcPr>
          <w:p w14:paraId="03C6BB74">
            <w:pPr>
              <w:pStyle w:val="58"/>
              <w:bidi w:val="0"/>
              <w:rPr>
                <w:rFonts w:hint="default"/>
              </w:rPr>
            </w:pPr>
            <w:r>
              <w:rPr>
                <w:rFonts w:hint="default"/>
              </w:rPr>
              <w:t>序号</w:t>
            </w:r>
          </w:p>
        </w:tc>
        <w:tc>
          <w:tcPr>
            <w:tcW w:w="1373" w:type="pct"/>
            <w:vAlign w:val="top"/>
          </w:tcPr>
          <w:p w14:paraId="747FCD94">
            <w:pPr>
              <w:pStyle w:val="58"/>
              <w:bidi w:val="0"/>
              <w:rPr>
                <w:rFonts w:hint="default"/>
              </w:rPr>
            </w:pPr>
            <w:r>
              <w:rPr>
                <w:rFonts w:hint="default"/>
              </w:rPr>
              <w:t>项目</w:t>
            </w:r>
          </w:p>
        </w:tc>
        <w:tc>
          <w:tcPr>
            <w:tcW w:w="1551" w:type="pct"/>
            <w:vAlign w:val="top"/>
          </w:tcPr>
          <w:p w14:paraId="1DC63730">
            <w:pPr>
              <w:pStyle w:val="58"/>
              <w:bidi w:val="0"/>
              <w:rPr>
                <w:rFonts w:hint="default"/>
              </w:rPr>
            </w:pPr>
            <w:r>
              <w:rPr>
                <w:rFonts w:hint="default"/>
              </w:rPr>
              <w:t>计算方法</w:t>
            </w:r>
          </w:p>
        </w:tc>
        <w:tc>
          <w:tcPr>
            <w:tcW w:w="1432" w:type="pct"/>
            <w:vAlign w:val="top"/>
          </w:tcPr>
          <w:p w14:paraId="1BEC72CE">
            <w:pPr>
              <w:pStyle w:val="58"/>
              <w:bidi w:val="0"/>
              <w:rPr>
                <w:rFonts w:hint="default"/>
              </w:rPr>
            </w:pPr>
            <w:r>
              <w:rPr>
                <w:rFonts w:hint="default"/>
              </w:rPr>
              <w:t>费用（万元）</w:t>
            </w:r>
          </w:p>
        </w:tc>
      </w:tr>
      <w:tr w14:paraId="7531895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33" w:hRule="atLeast"/>
        </w:trPr>
        <w:tc>
          <w:tcPr>
            <w:tcW w:w="642" w:type="pct"/>
            <w:vAlign w:val="top"/>
          </w:tcPr>
          <w:p w14:paraId="2BD97BB2">
            <w:pPr>
              <w:pStyle w:val="58"/>
              <w:bidi w:val="0"/>
              <w:rPr>
                <w:rFonts w:hint="default"/>
              </w:rPr>
            </w:pPr>
            <w:r>
              <w:rPr>
                <w:rFonts w:hint="default"/>
              </w:rPr>
              <w:t>1</w:t>
            </w:r>
          </w:p>
        </w:tc>
        <w:tc>
          <w:tcPr>
            <w:tcW w:w="1373" w:type="pct"/>
            <w:vAlign w:val="top"/>
          </w:tcPr>
          <w:p w14:paraId="7CF8518C">
            <w:pPr>
              <w:pStyle w:val="58"/>
              <w:bidi w:val="0"/>
              <w:rPr>
                <w:rFonts w:hint="default"/>
              </w:rPr>
            </w:pPr>
            <w:r>
              <w:rPr>
                <w:rFonts w:hint="default"/>
              </w:rPr>
              <w:t>环保设施折旧费C</w:t>
            </w:r>
            <w:r>
              <w:rPr>
                <w:rFonts w:hint="default" w:ascii="Times New Roman" w:hAnsi="Times New Roman" w:eastAsia="宋体" w:cs="Times New Roman"/>
                <w:kern w:val="2"/>
                <w:sz w:val="24"/>
                <w:szCs w:val="24"/>
                <w:vertAlign w:val="subscript"/>
                <w:lang w:val="en-US" w:eastAsia="zh-CN" w:bidi="ar-SA"/>
              </w:rPr>
              <w:t>1</w:t>
            </w:r>
          </w:p>
        </w:tc>
        <w:tc>
          <w:tcPr>
            <w:tcW w:w="1551" w:type="pct"/>
            <w:vAlign w:val="top"/>
          </w:tcPr>
          <w:p w14:paraId="6677F2D0">
            <w:pPr>
              <w:pStyle w:val="58"/>
              <w:bidi w:val="0"/>
              <w:rPr>
                <w:rFonts w:hint="default"/>
              </w:rPr>
            </w:pPr>
            <w:r>
              <w:rPr>
                <w:rFonts w:hint="default"/>
              </w:rPr>
              <w:t>C</w:t>
            </w:r>
            <w:r>
              <w:rPr>
                <w:rFonts w:hint="default" w:ascii="Times New Roman" w:hAnsi="Times New Roman" w:eastAsia="宋体" w:cs="Times New Roman"/>
                <w:kern w:val="2"/>
                <w:sz w:val="24"/>
                <w:szCs w:val="24"/>
                <w:vertAlign w:val="subscript"/>
                <w:lang w:val="en-US" w:eastAsia="zh-CN" w:bidi="ar-SA"/>
              </w:rPr>
              <w:t>1</w:t>
            </w:r>
            <w:r>
              <w:rPr>
                <w:rFonts w:hint="default"/>
              </w:rPr>
              <w:t>=a×C</w:t>
            </w:r>
            <w:r>
              <w:rPr>
                <w:rFonts w:hint="default" w:ascii="Times New Roman" w:hAnsi="Times New Roman" w:eastAsia="宋体" w:cs="Times New Roman"/>
                <w:kern w:val="2"/>
                <w:sz w:val="24"/>
                <w:szCs w:val="24"/>
                <w:vertAlign w:val="subscript"/>
                <w:lang w:val="en-US" w:eastAsia="zh-CN" w:bidi="ar-SA"/>
              </w:rPr>
              <w:t>0</w:t>
            </w:r>
            <w:r>
              <w:rPr>
                <w:rFonts w:hint="default"/>
              </w:rPr>
              <w:t>/n</w:t>
            </w:r>
          </w:p>
        </w:tc>
        <w:tc>
          <w:tcPr>
            <w:tcW w:w="1432" w:type="pct"/>
            <w:vAlign w:val="top"/>
          </w:tcPr>
          <w:p w14:paraId="2CC0A1CA">
            <w:pPr>
              <w:pStyle w:val="58"/>
              <w:bidi w:val="0"/>
              <w:rPr>
                <w:rFonts w:hint="default"/>
                <w:lang w:val="en-US" w:eastAsia="zh-CN"/>
              </w:rPr>
            </w:pPr>
            <w:r>
              <w:rPr>
                <w:rFonts w:hint="default"/>
                <w:lang w:val="en-US" w:eastAsia="zh-CN"/>
              </w:rPr>
              <w:t>9.2</w:t>
            </w:r>
          </w:p>
        </w:tc>
      </w:tr>
      <w:tr w14:paraId="561E00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34" w:hRule="atLeast"/>
        </w:trPr>
        <w:tc>
          <w:tcPr>
            <w:tcW w:w="642" w:type="pct"/>
            <w:vAlign w:val="top"/>
          </w:tcPr>
          <w:p w14:paraId="560B4789">
            <w:pPr>
              <w:pStyle w:val="58"/>
              <w:bidi w:val="0"/>
              <w:rPr>
                <w:rFonts w:hint="default"/>
              </w:rPr>
            </w:pPr>
            <w:r>
              <w:rPr>
                <w:rFonts w:hint="default"/>
              </w:rPr>
              <w:t>2</w:t>
            </w:r>
          </w:p>
        </w:tc>
        <w:tc>
          <w:tcPr>
            <w:tcW w:w="1373" w:type="pct"/>
            <w:vAlign w:val="top"/>
          </w:tcPr>
          <w:p w14:paraId="61349910">
            <w:pPr>
              <w:pStyle w:val="58"/>
              <w:bidi w:val="0"/>
              <w:rPr>
                <w:rFonts w:hint="default"/>
              </w:rPr>
            </w:pPr>
            <w:r>
              <w:rPr>
                <w:rFonts w:hint="default"/>
              </w:rPr>
              <w:t>环保设施运行费C</w:t>
            </w:r>
            <w:r>
              <w:rPr>
                <w:rFonts w:hint="default" w:ascii="Times New Roman" w:hAnsi="Times New Roman" w:eastAsia="宋体" w:cs="Times New Roman"/>
                <w:kern w:val="2"/>
                <w:sz w:val="24"/>
                <w:szCs w:val="24"/>
                <w:vertAlign w:val="subscript"/>
                <w:lang w:val="en-US" w:eastAsia="zh-CN" w:bidi="ar-SA"/>
              </w:rPr>
              <w:t>2</w:t>
            </w:r>
          </w:p>
        </w:tc>
        <w:tc>
          <w:tcPr>
            <w:tcW w:w="1551" w:type="pct"/>
            <w:vAlign w:val="top"/>
          </w:tcPr>
          <w:p w14:paraId="6B52772B">
            <w:pPr>
              <w:pStyle w:val="58"/>
              <w:bidi w:val="0"/>
              <w:rPr>
                <w:rFonts w:hint="default"/>
              </w:rPr>
            </w:pPr>
            <w:r>
              <w:rPr>
                <w:rFonts w:hint="default"/>
              </w:rPr>
              <w:t>C</w:t>
            </w:r>
            <w:r>
              <w:rPr>
                <w:rFonts w:hint="default" w:ascii="Times New Roman" w:hAnsi="Times New Roman" w:eastAsia="宋体" w:cs="Times New Roman"/>
                <w:kern w:val="2"/>
                <w:sz w:val="24"/>
                <w:szCs w:val="24"/>
                <w:vertAlign w:val="subscript"/>
                <w:lang w:val="en-US" w:eastAsia="zh-CN" w:bidi="ar-SA"/>
              </w:rPr>
              <w:t>2</w:t>
            </w:r>
            <w:r>
              <w:rPr>
                <w:rFonts w:hint="default"/>
              </w:rPr>
              <w:t>=C</w:t>
            </w:r>
            <w:r>
              <w:rPr>
                <w:rFonts w:hint="default" w:ascii="Times New Roman" w:hAnsi="Times New Roman" w:eastAsia="宋体" w:cs="Times New Roman"/>
                <w:kern w:val="2"/>
                <w:sz w:val="24"/>
                <w:szCs w:val="24"/>
                <w:vertAlign w:val="subscript"/>
                <w:lang w:val="en-US" w:eastAsia="zh-CN" w:bidi="ar-SA"/>
              </w:rPr>
              <w:t>0</w:t>
            </w:r>
            <w:r>
              <w:rPr>
                <w:rFonts w:hint="default"/>
              </w:rPr>
              <w:t>×10%</w:t>
            </w:r>
          </w:p>
        </w:tc>
        <w:tc>
          <w:tcPr>
            <w:tcW w:w="1432" w:type="pct"/>
            <w:vAlign w:val="top"/>
          </w:tcPr>
          <w:p w14:paraId="677D9569">
            <w:pPr>
              <w:pStyle w:val="58"/>
              <w:bidi w:val="0"/>
              <w:rPr>
                <w:rFonts w:hint="default"/>
                <w:lang w:val="en-US" w:eastAsia="zh-CN"/>
              </w:rPr>
            </w:pPr>
            <w:r>
              <w:rPr>
                <w:rFonts w:hint="default"/>
                <w:lang w:val="en-US" w:eastAsia="zh-CN"/>
              </w:rPr>
              <w:t>29.1</w:t>
            </w:r>
          </w:p>
        </w:tc>
      </w:tr>
      <w:tr w14:paraId="41F029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33" w:hRule="atLeast"/>
        </w:trPr>
        <w:tc>
          <w:tcPr>
            <w:tcW w:w="642" w:type="pct"/>
            <w:vAlign w:val="top"/>
          </w:tcPr>
          <w:p w14:paraId="4702EF2E">
            <w:pPr>
              <w:pStyle w:val="58"/>
              <w:bidi w:val="0"/>
              <w:rPr>
                <w:rFonts w:hint="default"/>
              </w:rPr>
            </w:pPr>
            <w:r>
              <w:rPr>
                <w:rFonts w:hint="default"/>
              </w:rPr>
              <w:t>3</w:t>
            </w:r>
          </w:p>
        </w:tc>
        <w:tc>
          <w:tcPr>
            <w:tcW w:w="1373" w:type="pct"/>
            <w:vAlign w:val="top"/>
          </w:tcPr>
          <w:p w14:paraId="3A871B34">
            <w:pPr>
              <w:pStyle w:val="58"/>
              <w:bidi w:val="0"/>
              <w:rPr>
                <w:rFonts w:hint="default"/>
              </w:rPr>
            </w:pPr>
            <w:r>
              <w:rPr>
                <w:rFonts w:hint="default"/>
              </w:rPr>
              <w:t>环保管理费用C</w:t>
            </w:r>
            <w:r>
              <w:rPr>
                <w:rFonts w:hint="default" w:ascii="Times New Roman" w:hAnsi="Times New Roman" w:eastAsia="宋体" w:cs="Times New Roman"/>
                <w:kern w:val="2"/>
                <w:sz w:val="24"/>
                <w:szCs w:val="24"/>
                <w:vertAlign w:val="subscript"/>
                <w:lang w:val="en-US" w:eastAsia="zh-CN" w:bidi="ar-SA"/>
              </w:rPr>
              <w:t>3</w:t>
            </w:r>
          </w:p>
        </w:tc>
        <w:tc>
          <w:tcPr>
            <w:tcW w:w="1551" w:type="pct"/>
            <w:vAlign w:val="top"/>
          </w:tcPr>
          <w:p w14:paraId="038A2713">
            <w:pPr>
              <w:pStyle w:val="58"/>
              <w:bidi w:val="0"/>
              <w:rPr>
                <w:rFonts w:hint="default"/>
              </w:rPr>
            </w:pPr>
            <w:r>
              <w:rPr>
                <w:rFonts w:hint="default"/>
              </w:rPr>
              <w:t>C</w:t>
            </w:r>
            <w:r>
              <w:rPr>
                <w:rFonts w:hint="default" w:ascii="Times New Roman" w:hAnsi="Times New Roman" w:eastAsia="宋体" w:cs="Times New Roman"/>
                <w:kern w:val="2"/>
                <w:sz w:val="24"/>
                <w:szCs w:val="24"/>
                <w:vertAlign w:val="subscript"/>
                <w:lang w:val="en-US" w:eastAsia="zh-CN" w:bidi="ar-SA"/>
              </w:rPr>
              <w:t>3</w:t>
            </w:r>
            <w:r>
              <w:rPr>
                <w:rFonts w:hint="default"/>
              </w:rPr>
              <w:t>=（C</w:t>
            </w:r>
            <w:r>
              <w:rPr>
                <w:rFonts w:hint="default" w:ascii="Times New Roman" w:hAnsi="Times New Roman" w:eastAsia="宋体" w:cs="Times New Roman"/>
                <w:kern w:val="2"/>
                <w:sz w:val="24"/>
                <w:szCs w:val="24"/>
                <w:vertAlign w:val="subscript"/>
                <w:lang w:val="en-US" w:eastAsia="zh-CN" w:bidi="ar-SA"/>
              </w:rPr>
              <w:t>1</w:t>
            </w:r>
            <w:r>
              <w:rPr>
                <w:rFonts w:hint="default"/>
              </w:rPr>
              <w:t>+C</w:t>
            </w:r>
            <w:r>
              <w:rPr>
                <w:rFonts w:hint="default" w:ascii="Times New Roman" w:hAnsi="Times New Roman" w:eastAsia="宋体" w:cs="Times New Roman"/>
                <w:kern w:val="2"/>
                <w:sz w:val="24"/>
                <w:szCs w:val="24"/>
                <w:vertAlign w:val="subscript"/>
                <w:lang w:val="en-US" w:eastAsia="zh-CN" w:bidi="ar-SA"/>
              </w:rPr>
              <w:t>2</w:t>
            </w:r>
            <w:r>
              <w:rPr>
                <w:rFonts w:hint="default"/>
              </w:rPr>
              <w:t>）×15%</w:t>
            </w:r>
          </w:p>
        </w:tc>
        <w:tc>
          <w:tcPr>
            <w:tcW w:w="1432" w:type="pct"/>
            <w:vAlign w:val="top"/>
          </w:tcPr>
          <w:p w14:paraId="4E3E4E64">
            <w:pPr>
              <w:pStyle w:val="58"/>
              <w:bidi w:val="0"/>
              <w:rPr>
                <w:rFonts w:hint="default"/>
                <w:lang w:val="en-US" w:eastAsia="zh-CN"/>
              </w:rPr>
            </w:pPr>
            <w:r>
              <w:rPr>
                <w:rFonts w:hint="default"/>
                <w:lang w:val="en-US" w:eastAsia="zh-CN"/>
              </w:rPr>
              <w:t>5.7</w:t>
            </w:r>
          </w:p>
        </w:tc>
      </w:tr>
      <w:tr w14:paraId="25EE32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64" w:hRule="atLeast"/>
        </w:trPr>
        <w:tc>
          <w:tcPr>
            <w:tcW w:w="642" w:type="pct"/>
            <w:vAlign w:val="top"/>
          </w:tcPr>
          <w:p w14:paraId="1BA78453">
            <w:pPr>
              <w:pStyle w:val="58"/>
              <w:bidi w:val="0"/>
              <w:rPr>
                <w:rFonts w:hint="default"/>
              </w:rPr>
            </w:pPr>
            <w:r>
              <w:rPr>
                <w:rFonts w:hint="default"/>
              </w:rPr>
              <w:t>4</w:t>
            </w:r>
          </w:p>
        </w:tc>
        <w:tc>
          <w:tcPr>
            <w:tcW w:w="1373" w:type="pct"/>
            <w:vAlign w:val="top"/>
          </w:tcPr>
          <w:p w14:paraId="3CE7CFC8">
            <w:pPr>
              <w:pStyle w:val="58"/>
              <w:bidi w:val="0"/>
              <w:rPr>
                <w:rFonts w:hint="default"/>
              </w:rPr>
            </w:pPr>
            <w:r>
              <w:rPr>
                <w:rFonts w:hint="default"/>
              </w:rPr>
              <w:t>环保设施经营支出C</w:t>
            </w:r>
          </w:p>
        </w:tc>
        <w:tc>
          <w:tcPr>
            <w:tcW w:w="1551" w:type="pct"/>
            <w:vAlign w:val="top"/>
          </w:tcPr>
          <w:p w14:paraId="0C93B44D">
            <w:pPr>
              <w:pStyle w:val="58"/>
              <w:bidi w:val="0"/>
              <w:rPr>
                <w:rFonts w:hint="default"/>
              </w:rPr>
            </w:pPr>
            <w:r>
              <w:rPr>
                <w:rFonts w:hint="default"/>
              </w:rPr>
              <w:t>C=C</w:t>
            </w:r>
            <w:r>
              <w:rPr>
                <w:rFonts w:hint="default" w:ascii="Times New Roman" w:hAnsi="Times New Roman" w:eastAsia="宋体" w:cs="Times New Roman"/>
                <w:kern w:val="2"/>
                <w:sz w:val="24"/>
                <w:szCs w:val="24"/>
                <w:vertAlign w:val="subscript"/>
                <w:lang w:val="en-US" w:eastAsia="zh-CN" w:bidi="ar-SA"/>
              </w:rPr>
              <w:t>1</w:t>
            </w:r>
            <w:r>
              <w:rPr>
                <w:rFonts w:hint="default"/>
              </w:rPr>
              <w:t>+C</w:t>
            </w:r>
            <w:r>
              <w:rPr>
                <w:rFonts w:hint="default" w:ascii="Times New Roman" w:hAnsi="Times New Roman" w:eastAsia="宋体" w:cs="Times New Roman"/>
                <w:kern w:val="2"/>
                <w:sz w:val="24"/>
                <w:szCs w:val="24"/>
                <w:vertAlign w:val="subscript"/>
                <w:lang w:val="en-US" w:eastAsia="zh-CN" w:bidi="ar-SA"/>
              </w:rPr>
              <w:t>2</w:t>
            </w:r>
            <w:r>
              <w:rPr>
                <w:rFonts w:hint="default"/>
              </w:rPr>
              <w:t>+C</w:t>
            </w:r>
            <w:r>
              <w:rPr>
                <w:rFonts w:hint="default" w:ascii="Times New Roman" w:hAnsi="Times New Roman" w:eastAsia="宋体" w:cs="Times New Roman"/>
                <w:kern w:val="2"/>
                <w:sz w:val="24"/>
                <w:szCs w:val="24"/>
                <w:vertAlign w:val="subscript"/>
                <w:lang w:val="en-US" w:eastAsia="zh-CN" w:bidi="ar-SA"/>
              </w:rPr>
              <w:t>3</w:t>
            </w:r>
          </w:p>
        </w:tc>
        <w:tc>
          <w:tcPr>
            <w:tcW w:w="1432" w:type="pct"/>
            <w:vAlign w:val="top"/>
          </w:tcPr>
          <w:p w14:paraId="1FEA0A45">
            <w:pPr>
              <w:pStyle w:val="58"/>
              <w:bidi w:val="0"/>
              <w:rPr>
                <w:rFonts w:hint="default"/>
                <w:lang w:val="en-US" w:eastAsia="zh-CN"/>
              </w:rPr>
            </w:pPr>
            <w:r>
              <w:rPr>
                <w:rFonts w:hint="default"/>
                <w:lang w:val="en-US" w:eastAsia="zh-CN"/>
              </w:rPr>
              <w:t>44.0</w:t>
            </w:r>
          </w:p>
        </w:tc>
      </w:tr>
    </w:tbl>
    <w:p w14:paraId="3847E36B">
      <w:pPr>
        <w:bidi w:val="0"/>
        <w:rPr>
          <w:rFonts w:hint="default"/>
        </w:rPr>
      </w:pPr>
      <w:r>
        <w:rPr>
          <w:rFonts w:hint="default"/>
        </w:rPr>
        <w:t>⑶环保投资效益分析</w:t>
      </w:r>
    </w:p>
    <w:p w14:paraId="7247F964">
      <w:pPr>
        <w:bidi w:val="0"/>
        <w:rPr>
          <w:rFonts w:hint="default"/>
        </w:rPr>
      </w:pPr>
      <w:r>
        <w:rPr>
          <w:rFonts w:hint="default"/>
        </w:rPr>
        <w:t>本工程环保设施经营支出费用为</w:t>
      </w:r>
      <w:r>
        <w:rPr>
          <w:rFonts w:hint="default"/>
          <w:lang w:val="en-US" w:eastAsia="zh-CN"/>
        </w:rPr>
        <w:t>44.0</w:t>
      </w:r>
      <w:r>
        <w:rPr>
          <w:rFonts w:hint="default"/>
        </w:rPr>
        <w:t>万元/年。环保设施的投资费用及运行费用较合理。</w:t>
      </w:r>
    </w:p>
    <w:p w14:paraId="2EE5B63E">
      <w:pPr>
        <w:pStyle w:val="7"/>
        <w:bidi w:val="0"/>
        <w:rPr>
          <w:rFonts w:hint="default"/>
          <w:lang w:val="en-US" w:eastAsia="zh-CN"/>
        </w:rPr>
      </w:pPr>
      <w:bookmarkStart w:id="359" w:name="_Toc19913"/>
      <w:bookmarkStart w:id="360" w:name="_Toc282122991"/>
      <w:bookmarkStart w:id="361" w:name="_Toc301852827"/>
      <w:bookmarkStart w:id="362" w:name="_Toc27418"/>
      <w:r>
        <w:rPr>
          <w:rFonts w:hint="default"/>
          <w:lang w:val="en-US" w:eastAsia="zh-CN"/>
        </w:rPr>
        <w:t>7.2经济效益分析</w:t>
      </w:r>
      <w:bookmarkEnd w:id="359"/>
      <w:bookmarkEnd w:id="360"/>
      <w:bookmarkEnd w:id="361"/>
      <w:bookmarkEnd w:id="362"/>
    </w:p>
    <w:p w14:paraId="5CAA6166">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000000" w:themeColor="text1"/>
          <w:sz w:val="24"/>
          <w:highlight w:val="none"/>
          <w14:textFill>
            <w14:solidFill>
              <w14:schemeClr w14:val="tx1"/>
            </w14:solidFill>
          </w14:textFill>
        </w:rPr>
        <w:t>本项目的建设将改变</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园区</w:t>
      </w:r>
      <w:r>
        <w:rPr>
          <w:rFonts w:hint="default" w:ascii="Times New Roman" w:hAnsi="Times New Roman" w:eastAsia="宋体" w:cs="Times New Roman"/>
          <w:color w:val="000000" w:themeColor="text1"/>
          <w:sz w:val="24"/>
          <w:highlight w:val="none"/>
          <w14:textFill>
            <w14:solidFill>
              <w14:schemeClr w14:val="tx1"/>
            </w14:solidFill>
          </w14:textFill>
        </w:rPr>
        <w:t>污水排放的状况，项目实施后对周边水域的保护作用是显著，有效改善附近地表水水环境质量，与此同时浅层地下水的环境质量也会相应得到改善，使人类生存及可持续发展有了保证。</w:t>
      </w:r>
      <w:r>
        <w:rPr>
          <w:rFonts w:hint="default" w:ascii="Times New Roman" w:hAnsi="Times New Roman" w:eastAsia="宋体" w:cs="Times New Roman"/>
          <w:color w:val="auto"/>
          <w:sz w:val="24"/>
          <w:highlight w:val="none"/>
        </w:rPr>
        <w:t>同时出水满足中水回用标准回用，中水回用解决了新水的用量，降低地下水开采，保护区域水环境，这些巨大的间接环境效益是长远的。</w:t>
      </w:r>
    </w:p>
    <w:p w14:paraId="1A51D066">
      <w:pPr>
        <w:pStyle w:val="7"/>
        <w:bidi w:val="0"/>
        <w:rPr>
          <w:rFonts w:hint="default"/>
          <w:lang w:val="en-US" w:eastAsia="zh-CN"/>
        </w:rPr>
      </w:pPr>
      <w:bookmarkStart w:id="363" w:name="_Toc282122992"/>
      <w:bookmarkStart w:id="364" w:name="_Toc301852828"/>
      <w:bookmarkStart w:id="365" w:name="_Toc28023"/>
      <w:bookmarkStart w:id="366" w:name="_Toc12868"/>
      <w:r>
        <w:rPr>
          <w:rFonts w:hint="default"/>
          <w:lang w:val="en-US" w:eastAsia="zh-CN"/>
        </w:rPr>
        <w:t>7.3社会效益分析</w:t>
      </w:r>
      <w:bookmarkEnd w:id="363"/>
      <w:bookmarkEnd w:id="364"/>
      <w:bookmarkEnd w:id="365"/>
      <w:bookmarkEnd w:id="366"/>
    </w:p>
    <w:p w14:paraId="5598C023">
      <w:pPr>
        <w:pageBreakBefore w:val="0"/>
        <w:widowControl w:val="0"/>
        <w:kinsoku/>
        <w:wordWrap/>
        <w:overflowPunct/>
        <w:topLinePunct w:val="0"/>
        <w:autoSpaceDE/>
        <w:autoSpaceDN/>
        <w:bidi w:val="0"/>
        <w:adjustRightInd/>
        <w:snapToGrid/>
        <w:spacing w:line="480" w:lineRule="exact"/>
        <w:ind w:firstLine="480"/>
        <w:textAlignment w:val="auto"/>
        <w:rPr>
          <w:rFonts w:hint="default" w:ascii="Times New Roman" w:hAnsi="Times New Roman" w:eastAsia="宋体" w:cs="Times New Roman"/>
          <w:color w:val="000000" w:themeColor="text1"/>
          <w:kern w:val="0"/>
          <w:sz w:val="24"/>
          <w:highlight w:val="none"/>
          <w14:textFill>
            <w14:solidFill>
              <w14:schemeClr w14:val="tx1"/>
            </w14:solidFill>
          </w14:textFill>
        </w:rPr>
      </w:pPr>
      <w:bookmarkStart w:id="367" w:name="_Toc282122993"/>
      <w:bookmarkStart w:id="368" w:name="_Toc301852829"/>
      <w:r>
        <w:rPr>
          <w:rFonts w:hint="default" w:ascii="Times New Roman" w:hAnsi="Times New Roman" w:eastAsia="宋体" w:cs="Times New Roman"/>
          <w:color w:val="000000" w:themeColor="text1"/>
          <w:kern w:val="0"/>
          <w:sz w:val="24"/>
          <w:highlight w:val="none"/>
          <w14:textFill>
            <w14:solidFill>
              <w14:schemeClr w14:val="tx1"/>
            </w14:solidFill>
          </w14:textFill>
        </w:rPr>
        <w:t>本项目主要对</w:t>
      </w:r>
      <w:r>
        <w:rPr>
          <w:rFonts w:hint="default" w:ascii="Times New Roman" w:hAnsi="Times New Roman" w:eastAsia="宋体" w:cs="Times New Roman"/>
          <w:color w:val="000000" w:themeColor="text1"/>
          <w:kern w:val="0"/>
          <w:sz w:val="24"/>
          <w:highlight w:val="none"/>
          <w:lang w:val="en-US" w:eastAsia="zh-CN"/>
          <w14:textFill>
            <w14:solidFill>
              <w14:schemeClr w14:val="tx1"/>
            </w14:solidFill>
          </w14:textFill>
        </w:rPr>
        <w:t>唐山市曹妃甸区垦丰家居产业园区内企业</w:t>
      </w:r>
      <w:r>
        <w:rPr>
          <w:rFonts w:hint="default" w:ascii="Times New Roman" w:hAnsi="Times New Roman" w:eastAsia="宋体" w:cs="Times New Roman"/>
          <w:color w:val="000000" w:themeColor="text1"/>
          <w:kern w:val="0"/>
          <w:sz w:val="24"/>
          <w:highlight w:val="none"/>
          <w14:textFill>
            <w14:solidFill>
              <w14:schemeClr w14:val="tx1"/>
            </w14:solidFill>
          </w14:textFill>
        </w:rPr>
        <w:t>污水进行处理，为今后招商引资顺利开展和当地经济的可持续发展打下良好的基础。由此可见，本项目的建设社会效益明显。</w:t>
      </w:r>
    </w:p>
    <w:p w14:paraId="1A42A5FE">
      <w:pPr>
        <w:pageBreakBefore w:val="0"/>
        <w:widowControl w:val="0"/>
        <w:kinsoku/>
        <w:wordWrap/>
        <w:overflowPunct/>
        <w:topLinePunct w:val="0"/>
        <w:autoSpaceDE/>
        <w:autoSpaceDN/>
        <w:bidi w:val="0"/>
        <w:adjustRightInd/>
        <w:snapToGrid/>
        <w:spacing w:line="480" w:lineRule="exact"/>
        <w:ind w:firstLine="480"/>
        <w:textAlignment w:val="auto"/>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本项目建设是一项保护环境、为子孙后代造福的公用事业工程，其效益主要表现为社会效益。本项目实施后，可有效控制了服务区域附近的水环境污染问题，为地区经济的可持续发展奠定了基础，同时也会带来诸如占有土地资源、高额投资和运行维护费用、产生恶臭、噪声、污泥等二次污染问题。</w:t>
      </w:r>
    </w:p>
    <w:p w14:paraId="6D2724B3">
      <w:pPr>
        <w:pageBreakBefore w:val="0"/>
        <w:widowControl w:val="0"/>
        <w:kinsoku/>
        <w:wordWrap/>
        <w:overflowPunct/>
        <w:topLinePunct w:val="0"/>
        <w:autoSpaceDE/>
        <w:autoSpaceDN/>
        <w:bidi w:val="0"/>
        <w:adjustRightInd/>
        <w:snapToGrid/>
        <w:spacing w:line="480" w:lineRule="exact"/>
        <w:ind w:firstLine="480"/>
        <w:textAlignment w:val="auto"/>
        <w:rPr>
          <w:rFonts w:hint="default" w:ascii="Times New Roman" w:hAnsi="Times New Roman" w:eastAsia="宋体" w:cs="Times New Roman"/>
          <w:color w:val="000000" w:themeColor="text1"/>
          <w:kern w:val="0"/>
          <w:sz w:val="24"/>
          <w:highlight w:val="none"/>
          <w14:textFill>
            <w14:solidFill>
              <w14:schemeClr w14:val="tx1"/>
            </w14:solidFill>
          </w14:textFill>
        </w:rPr>
      </w:pPr>
      <w:r>
        <w:rPr>
          <w:rFonts w:hint="default" w:ascii="Times New Roman" w:hAnsi="Times New Roman" w:eastAsia="宋体" w:cs="Times New Roman"/>
          <w:color w:val="000000" w:themeColor="text1"/>
          <w:kern w:val="0"/>
          <w:sz w:val="24"/>
          <w:highlight w:val="none"/>
          <w14:textFill>
            <w14:solidFill>
              <w14:schemeClr w14:val="tx1"/>
            </w14:solidFill>
          </w14:textFill>
        </w:rPr>
        <w:t>工程施工使用的建筑材料，将带动建筑材料业以及运输业的发展，并促进了其他相关产业的发展，对区域经济的发展、增加地方税收和财政收入具有积极意义。</w:t>
      </w:r>
    </w:p>
    <w:p w14:paraId="0E009E3E">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本项目为环境改善项目，但仍会具有一定的二次污染及对环境的破坏等问题，主要表现在：</w:t>
      </w:r>
    </w:p>
    <w:p w14:paraId="4922612B">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⑴恶臭污染：本项目恶臭污染范围较小，主要集中在厂区内，厂区四周相对较为开阔，通过采取措施及设置防护距离可以减轻其影响。</w:t>
      </w:r>
    </w:p>
    <w:p w14:paraId="679D44F4">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⑵污泥二次污染：污水处理厂产生污泥等固体废物，需要妥善处置。污泥处理处置过程中会影响区域空气环境质量。</w:t>
      </w:r>
    </w:p>
    <w:p w14:paraId="3A909D6D">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⑶生态影响：工程占用土地会对区域生态环境有一定影响，但影响范围很小。</w:t>
      </w:r>
    </w:p>
    <w:p w14:paraId="44C91AA5">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综上所述，只要企业切实落实本环评提出的各项污染防治措施，使各类污染物均做到达标排放，则该项目的建设和营运对周围环境的影响是可以承受的，能够做到社会效益、环境效益和经济效益三者的统一。</w:t>
      </w:r>
    </w:p>
    <w:bookmarkEnd w:id="367"/>
    <w:bookmarkEnd w:id="368"/>
    <w:p w14:paraId="7CA2F4FF">
      <w:pPr>
        <w:pStyle w:val="5"/>
        <w:bidi w:val="0"/>
        <w:rPr>
          <w:rStyle w:val="59"/>
          <w:rFonts w:hint="default"/>
          <w:b/>
          <w:lang w:val="en-US" w:eastAsia="zh-CN"/>
        </w:rPr>
      </w:pPr>
      <w:r>
        <w:rPr>
          <w:rFonts w:hint="default" w:ascii="Times New Roman" w:hAnsi="Times New Roman" w:eastAsia="宋体" w:cs="Times New Roman"/>
          <w:b/>
          <w:color w:val="000000" w:themeColor="text1"/>
          <w:sz w:val="24"/>
          <w:highlight w:val="yellow"/>
          <w14:textFill>
            <w14:solidFill>
              <w14:schemeClr w14:val="tx1"/>
            </w14:solidFill>
          </w14:textFill>
        </w:rPr>
        <w:br w:type="page"/>
      </w:r>
      <w:bookmarkStart w:id="369" w:name="_Toc17437"/>
      <w:bookmarkStart w:id="370" w:name="_Toc31760"/>
      <w:r>
        <w:rPr>
          <w:rStyle w:val="59"/>
          <w:rFonts w:hint="default"/>
          <w:b/>
          <w:lang w:val="en-US" w:eastAsia="zh-CN"/>
        </w:rPr>
        <w:t>8环境管理与监测计划</w:t>
      </w:r>
      <w:bookmarkEnd w:id="369"/>
      <w:bookmarkEnd w:id="370"/>
    </w:p>
    <w:p w14:paraId="4B3549AF">
      <w:pPr>
        <w:pStyle w:val="7"/>
        <w:bidi w:val="0"/>
        <w:rPr>
          <w:rFonts w:hint="default"/>
        </w:rPr>
      </w:pPr>
      <w:bookmarkStart w:id="371" w:name="_Toc12904"/>
      <w:bookmarkStart w:id="372" w:name="_Toc4495"/>
      <w:bookmarkStart w:id="373" w:name="_Toc246763577"/>
      <w:r>
        <w:rPr>
          <w:rFonts w:hint="default"/>
          <w:lang w:val="en-US" w:eastAsia="zh-CN"/>
        </w:rPr>
        <w:t>8</w:t>
      </w:r>
      <w:r>
        <w:rPr>
          <w:rFonts w:hint="default"/>
        </w:rPr>
        <w:t>.1施工期环境管理</w:t>
      </w:r>
      <w:bookmarkEnd w:id="371"/>
      <w:bookmarkEnd w:id="372"/>
      <w:bookmarkEnd w:id="373"/>
    </w:p>
    <w:p w14:paraId="0E7F4837">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为加强施工现场管理，</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防止</w:t>
      </w:r>
      <w:r>
        <w:rPr>
          <w:rFonts w:hint="default" w:ascii="Times New Roman" w:hAnsi="Times New Roman" w:eastAsia="宋体" w:cs="Times New Roman"/>
          <w:color w:val="000000" w:themeColor="text1"/>
          <w:sz w:val="24"/>
          <w:highlight w:val="none"/>
          <w14:textFill>
            <w14:solidFill>
              <w14:schemeClr w14:val="tx1"/>
            </w14:solidFill>
          </w14:textFill>
        </w:rPr>
        <w:t>施工扬尘污染和施工噪声污染，本评价对项目施工期环境管理提出如下要求：</w:t>
      </w:r>
    </w:p>
    <w:p w14:paraId="0A919367">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bCs/>
          <w:color w:val="000000" w:themeColor="text1"/>
          <w:sz w:val="24"/>
          <w:highlight w:val="none"/>
          <w14:textFill>
            <w14:solidFill>
              <w14:schemeClr w14:val="tx1"/>
            </w14:solidFill>
          </w14:textFill>
        </w:rPr>
        <w:t>⑴</w:t>
      </w:r>
      <w:r>
        <w:rPr>
          <w:rFonts w:hint="default" w:ascii="Times New Roman" w:hAnsi="Times New Roman" w:eastAsia="宋体" w:cs="Times New Roman"/>
          <w:color w:val="000000" w:themeColor="text1"/>
          <w:sz w:val="24"/>
          <w:highlight w:val="none"/>
          <w14:textFill>
            <w14:solidFill>
              <w14:schemeClr w14:val="tx1"/>
            </w14:solidFill>
          </w14:textFill>
        </w:rPr>
        <w:t>项目筹建处应配备1名具有环保专业知识的技术人员，专职或兼职负责施工期的环境保护工作，其主要职责如下：</w:t>
      </w:r>
    </w:p>
    <w:p w14:paraId="376306B6">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①根据国家及地方政策有关施工管理条例和施工操作规范，结合项目的特点，制定施工环境管理条例，为施工单位的施工活动提出具体要求；</w:t>
      </w:r>
    </w:p>
    <w:p w14:paraId="027BB95F">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②监督、检查施工单位对防污和治污的执行情况；</w:t>
      </w:r>
    </w:p>
    <w:p w14:paraId="6B6FE4BF">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③参与有关环境纠纷和污染事故的调查处理工作。</w:t>
      </w:r>
    </w:p>
    <w:p w14:paraId="35912EF6">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bCs/>
          <w:color w:val="000000" w:themeColor="text1"/>
          <w:sz w:val="24"/>
          <w:highlight w:val="none"/>
          <w14:textFill>
            <w14:solidFill>
              <w14:schemeClr w14:val="tx1"/>
            </w14:solidFill>
          </w14:textFill>
        </w:rPr>
        <w:t>⑵</w:t>
      </w:r>
      <w:r>
        <w:rPr>
          <w:rFonts w:hint="default" w:ascii="Times New Roman" w:hAnsi="Times New Roman" w:eastAsia="宋体" w:cs="Times New Roman"/>
          <w:color w:val="000000" w:themeColor="text1"/>
          <w:sz w:val="24"/>
          <w:highlight w:val="none"/>
          <w14:textFill>
            <w14:solidFill>
              <w14:schemeClr w14:val="tx1"/>
            </w14:solidFill>
          </w14:textFill>
        </w:rPr>
        <w:t>施工单位设置一名专职或兼职环境保护人员，其主要职责为：</w:t>
      </w:r>
    </w:p>
    <w:p w14:paraId="72429857">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①按建设单位和环境影响评价要求制定文明施工计划，向当地环保行政部</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门</w:t>
      </w:r>
      <w:r>
        <w:rPr>
          <w:rFonts w:hint="default" w:ascii="Times New Roman" w:hAnsi="Times New Roman" w:eastAsia="宋体" w:cs="Times New Roman"/>
          <w:color w:val="000000" w:themeColor="text1"/>
          <w:sz w:val="24"/>
          <w:highlight w:val="none"/>
          <w14:textFill>
            <w14:solidFill>
              <w14:schemeClr w14:val="tx1"/>
            </w14:solidFill>
          </w14:textFill>
        </w:rPr>
        <w:t>提交环境保护报告，内容应包括：工程进度、主要施工内容及方法、造成的环境影响评述以级减缓环境影响措施的落实情况；</w:t>
      </w:r>
    </w:p>
    <w:p w14:paraId="7A2965CB">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②与建设单位环保人员一同制定工程施工环境管理条例；</w:t>
      </w:r>
    </w:p>
    <w:p w14:paraId="78DB970F">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③定期检查施工过程中环境管理条例设施情况，并督促有关人员进行整改；</w:t>
      </w:r>
    </w:p>
    <w:p w14:paraId="129240D6">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④定期听取环保部门、建设单位对施工污染影响的意见，以便进一步加强文明施工。</w:t>
      </w:r>
    </w:p>
    <w:p w14:paraId="44A398B9">
      <w:pPr>
        <w:pStyle w:val="7"/>
        <w:bidi w:val="0"/>
        <w:rPr>
          <w:rFonts w:hint="default"/>
        </w:rPr>
      </w:pPr>
      <w:bookmarkStart w:id="374" w:name="_Toc457301616"/>
      <w:bookmarkStart w:id="375" w:name="_Toc16232"/>
      <w:bookmarkStart w:id="376" w:name="_Toc378345797"/>
      <w:bookmarkStart w:id="377" w:name="_Toc515269270"/>
      <w:bookmarkStart w:id="378" w:name="_Toc361729388"/>
      <w:bookmarkStart w:id="379" w:name="_Toc32197"/>
      <w:bookmarkStart w:id="380" w:name="_Toc455416292"/>
      <w:bookmarkStart w:id="381" w:name="_Toc437951386"/>
      <w:bookmarkStart w:id="382" w:name="_Toc510583003"/>
      <w:bookmarkStart w:id="383" w:name="_Toc376521013"/>
      <w:bookmarkStart w:id="384" w:name="_Toc456279395"/>
      <w:bookmarkStart w:id="385" w:name="_Toc378688927"/>
      <w:bookmarkStart w:id="386" w:name="_Toc438285823"/>
      <w:bookmarkStart w:id="387" w:name="_Toc455416504"/>
      <w:bookmarkStart w:id="388" w:name="_Toc246763578"/>
      <w:bookmarkStart w:id="389" w:name="_Toc11295"/>
      <w:bookmarkStart w:id="390" w:name="_Toc502266211"/>
      <w:bookmarkStart w:id="391" w:name="_Toc377414497"/>
      <w:bookmarkStart w:id="392" w:name="_Toc404353700"/>
      <w:bookmarkStart w:id="393" w:name="_Toc13992"/>
      <w:bookmarkStart w:id="394" w:name="_Toc437618743"/>
      <w:bookmarkStart w:id="395" w:name="_Toc455416397"/>
      <w:bookmarkStart w:id="396" w:name="_Toc7769"/>
      <w:bookmarkStart w:id="397" w:name="_Toc438472859"/>
      <w:bookmarkStart w:id="398" w:name="_Toc438646372"/>
      <w:bookmarkStart w:id="399" w:name="_Toc17098"/>
      <w:bookmarkStart w:id="400" w:name="_Toc376521419"/>
      <w:r>
        <w:rPr>
          <w:rFonts w:hint="default"/>
          <w:lang w:val="en-US" w:eastAsia="zh-CN"/>
        </w:rPr>
        <w:t>8</w:t>
      </w:r>
      <w:r>
        <w:rPr>
          <w:rFonts w:hint="default"/>
        </w:rPr>
        <w:t>.2营运期环境管理</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14:paraId="5469DF89">
      <w:pPr>
        <w:pStyle w:val="6"/>
        <w:bidi w:val="0"/>
        <w:rPr>
          <w:rFonts w:hint="default"/>
        </w:rPr>
      </w:pPr>
      <w:bookmarkStart w:id="401" w:name="_Toc27711"/>
      <w:r>
        <w:rPr>
          <w:rFonts w:hint="default"/>
          <w:lang w:val="en-US" w:eastAsia="zh-CN"/>
        </w:rPr>
        <w:t>8</w:t>
      </w:r>
      <w:r>
        <w:rPr>
          <w:rFonts w:hint="default"/>
        </w:rPr>
        <w:t>.2.1机构设置</w:t>
      </w:r>
      <w:bookmarkEnd w:id="401"/>
    </w:p>
    <w:p w14:paraId="248791E4">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根据有关环境管理和环境监测的规定，</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唐山市曹妃甸区垦丰家居产业园区污水处理厂</w:t>
      </w:r>
      <w:r>
        <w:rPr>
          <w:rFonts w:hint="default" w:ascii="Times New Roman" w:hAnsi="Times New Roman" w:eastAsia="宋体" w:cs="Times New Roman"/>
          <w:color w:val="000000" w:themeColor="text1"/>
          <w:sz w:val="24"/>
          <w:highlight w:val="none"/>
          <w14:textFill>
            <w14:solidFill>
              <w14:schemeClr w14:val="tx1"/>
            </w14:solidFill>
          </w14:textFill>
        </w:rPr>
        <w:t>设立</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了</w:t>
      </w:r>
      <w:r>
        <w:rPr>
          <w:rFonts w:hint="default" w:ascii="Times New Roman" w:hAnsi="Times New Roman" w:eastAsia="宋体" w:cs="Times New Roman"/>
          <w:color w:val="000000" w:themeColor="text1"/>
          <w:sz w:val="24"/>
          <w:highlight w:val="none"/>
          <w14:textFill>
            <w14:solidFill>
              <w14:schemeClr w14:val="tx1"/>
            </w14:solidFill>
          </w14:textFill>
        </w:rPr>
        <w:t>环保管理机构，配备环保管理专业人员1名，负责全</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厂</w:t>
      </w:r>
      <w:r>
        <w:rPr>
          <w:rFonts w:hint="default" w:ascii="Times New Roman" w:hAnsi="Times New Roman" w:eastAsia="宋体" w:cs="Times New Roman"/>
          <w:color w:val="000000" w:themeColor="text1"/>
          <w:sz w:val="24"/>
          <w:highlight w:val="none"/>
          <w14:textFill>
            <w14:solidFill>
              <w14:schemeClr w14:val="tx1"/>
            </w14:solidFill>
          </w14:textFill>
        </w:rPr>
        <w:t>的环境管理、污染源治理及监测管理工作。</w:t>
      </w:r>
    </w:p>
    <w:p w14:paraId="10AFBBD8">
      <w:pPr>
        <w:pStyle w:val="6"/>
        <w:bidi w:val="0"/>
        <w:rPr>
          <w:rFonts w:hint="default"/>
        </w:rPr>
      </w:pPr>
      <w:bookmarkStart w:id="402" w:name="_Toc14206"/>
      <w:r>
        <w:rPr>
          <w:rFonts w:hint="default"/>
          <w:lang w:val="en-US" w:eastAsia="zh-CN"/>
        </w:rPr>
        <w:t>8</w:t>
      </w:r>
      <w:r>
        <w:rPr>
          <w:rFonts w:hint="default"/>
        </w:rPr>
        <w:t>.2.2主要职责</w:t>
      </w:r>
      <w:bookmarkEnd w:id="402"/>
    </w:p>
    <w:p w14:paraId="4A1D364A">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⑴贯彻执行《中华人民共和国环境保护法》及其</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相关</w:t>
      </w:r>
      <w:r>
        <w:rPr>
          <w:rFonts w:hint="default" w:ascii="Times New Roman" w:hAnsi="Times New Roman" w:eastAsia="宋体" w:cs="Times New Roman"/>
          <w:color w:val="000000" w:themeColor="text1"/>
          <w:sz w:val="24"/>
          <w:highlight w:val="none"/>
          <w14:textFill>
            <w14:solidFill>
              <w14:schemeClr w14:val="tx1"/>
            </w14:solidFill>
          </w14:textFill>
        </w:rPr>
        <w:t>法律法规，建立污染控制管理档案。</w:t>
      </w:r>
    </w:p>
    <w:p w14:paraId="599E98CB">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⑵掌握本企业污染源治理工艺原理，设备运行及运行维修资料，建立污染控制管理档案。</w:t>
      </w:r>
    </w:p>
    <w:p w14:paraId="05B810E9">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⑶定期检查企业环保设施的运行，</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及时</w:t>
      </w:r>
      <w:r>
        <w:rPr>
          <w:rFonts w:hint="default" w:ascii="Times New Roman" w:hAnsi="Times New Roman" w:eastAsia="宋体" w:cs="Times New Roman"/>
          <w:color w:val="000000" w:themeColor="text1"/>
          <w:sz w:val="24"/>
          <w:highlight w:val="none"/>
          <w14:textFill>
            <w14:solidFill>
              <w14:schemeClr w14:val="tx1"/>
            </w14:solidFill>
          </w14:textFill>
        </w:rPr>
        <w:t>进行维修，确保环保设施的正常运行，领导和组织本企业的环境监测工作，防止污染事故的发生。</w:t>
      </w:r>
    </w:p>
    <w:p w14:paraId="2C1EF2F3">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⑷制定生产项目中各污染物的排放指标和各项环保设施的运行指标，定期考核统计。</w:t>
      </w:r>
    </w:p>
    <w:p w14:paraId="4FEACA1B">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⑸推广应用先进的污染源治理技术和环保管理经验，定期培训全厂环保专业技术人员。搞好环境保护的宣传工作，提高员工的环境保护意识。</w:t>
      </w:r>
    </w:p>
    <w:p w14:paraId="534C56F7">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⑹监督项目环保设施的安装调试工作。</w:t>
      </w:r>
    </w:p>
    <w:p w14:paraId="4F2267A5">
      <w:pPr>
        <w:spacing w:line="480" w:lineRule="exact"/>
        <w:ind w:firstLine="480" w:firstLineChars="200"/>
        <w:rPr>
          <w:rFonts w:hint="default" w:ascii="Times New Roman" w:hAnsi="Times New Roman" w:eastAsia="宋体" w:cs="Times New Roman"/>
          <w:color w:val="000000" w:themeColor="text1"/>
          <w:sz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⑺搞好场区绿化工作</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w:t>
      </w:r>
    </w:p>
    <w:p w14:paraId="600AAAEB">
      <w:pPr>
        <w:pStyle w:val="6"/>
        <w:bidi w:val="0"/>
        <w:rPr>
          <w:rFonts w:hint="default"/>
          <w:lang w:val="en-US" w:eastAsia="zh-CN"/>
        </w:rPr>
      </w:pPr>
      <w:r>
        <w:rPr>
          <w:rFonts w:hint="default"/>
          <w:lang w:val="en-US" w:eastAsia="zh-CN"/>
        </w:rPr>
        <w:t>8</w:t>
      </w:r>
      <w:r>
        <w:rPr>
          <w:rFonts w:hint="default"/>
        </w:rPr>
        <w:t>.2.</w:t>
      </w:r>
      <w:r>
        <w:rPr>
          <w:rFonts w:hint="default"/>
          <w:lang w:val="en-US" w:eastAsia="zh-CN"/>
        </w:rPr>
        <w:t>3污染物排放清单及环境管理要求</w:t>
      </w:r>
    </w:p>
    <w:p w14:paraId="7BDFF3BF">
      <w:pPr>
        <w:pStyle w:val="2"/>
        <w:rPr>
          <w:rFonts w:hint="default" w:ascii="Times New Roman" w:hAnsi="Times New Roman" w:eastAsia="宋体" w:cs="Times New Roman"/>
          <w:color w:val="000000" w:themeColor="text1"/>
          <w:highlight w:val="none"/>
          <w14:textFill>
            <w14:solidFill>
              <w14:schemeClr w14:val="tx1"/>
            </w14:solidFill>
          </w14:textFill>
        </w:rPr>
        <w:sectPr>
          <w:footerReference r:id="rId26" w:type="default"/>
          <w:pgSz w:w="11906" w:h="16838"/>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p>
    <w:p w14:paraId="3BD02C7D">
      <w:pPr>
        <w:spacing w:line="480" w:lineRule="exact"/>
        <w:jc w:val="center"/>
        <w:rPr>
          <w:rFonts w:hint="default" w:ascii="Times New Roman" w:hAnsi="Times New Roman" w:eastAsia="宋体" w:cs="Times New Roman"/>
          <w:b/>
          <w:bCs/>
          <w:color w:val="000000" w:themeColor="text1"/>
          <w:sz w:val="24"/>
          <w:highlight w:val="none"/>
          <w:lang w:eastAsia="zh-CN"/>
          <w14:textFill>
            <w14:solidFill>
              <w14:schemeClr w14:val="tx1"/>
            </w14:solidFill>
          </w14:textFill>
        </w:rPr>
      </w:pPr>
      <w:r>
        <w:rPr>
          <w:rFonts w:hint="default" w:ascii="Times New Roman" w:hAnsi="Times New Roman" w:eastAsia="宋体" w:cs="Times New Roman"/>
          <w:b/>
          <w:bCs/>
          <w:color w:val="000000" w:themeColor="text1"/>
          <w:sz w:val="24"/>
          <w:highlight w:val="none"/>
          <w:lang w:eastAsia="zh-CN"/>
          <w14:textFill>
            <w14:solidFill>
              <w14:schemeClr w14:val="tx1"/>
            </w14:solidFill>
          </w14:textFill>
        </w:rPr>
        <w:t>表</w:t>
      </w:r>
      <w:r>
        <w:rPr>
          <w:rFonts w:hint="default" w:ascii="Times New Roman" w:hAnsi="Times New Roman" w:eastAsia="宋体" w:cs="Times New Roman"/>
          <w:b/>
          <w:bCs/>
          <w:color w:val="000000" w:themeColor="text1"/>
          <w:sz w:val="24"/>
          <w:highlight w:val="none"/>
          <w:lang w:val="en-US" w:eastAsia="zh-CN"/>
          <w14:textFill>
            <w14:solidFill>
              <w14:schemeClr w14:val="tx1"/>
            </w14:solidFill>
          </w14:textFill>
        </w:rPr>
        <w:t>8.2-1本项目</w:t>
      </w:r>
      <w:r>
        <w:rPr>
          <w:rFonts w:hint="default" w:ascii="Times New Roman" w:hAnsi="Times New Roman" w:eastAsia="宋体" w:cs="Times New Roman"/>
          <w:b/>
          <w:bCs/>
          <w:color w:val="000000" w:themeColor="text1"/>
          <w:sz w:val="24"/>
          <w:highlight w:val="none"/>
          <w:lang w:eastAsia="zh-CN"/>
          <w14:textFill>
            <w14:solidFill>
              <w14:schemeClr w14:val="tx1"/>
            </w14:solidFill>
          </w14:textFill>
        </w:rPr>
        <w:t>污染物排放清单</w:t>
      </w:r>
      <w:r>
        <w:rPr>
          <w:rFonts w:hint="default" w:ascii="Times New Roman" w:hAnsi="Times New Roman" w:eastAsia="宋体" w:cs="Times New Roman"/>
          <w:b/>
          <w:bCs/>
          <w:color w:val="000000" w:themeColor="text1"/>
          <w:sz w:val="24"/>
          <w:szCs w:val="24"/>
          <w:highlight w:val="none"/>
          <w14:textFill>
            <w14:solidFill>
              <w14:schemeClr w14:val="tx1"/>
            </w14:solidFill>
          </w14:textFill>
        </w:rPr>
        <w:t>及环境管理要求</w:t>
      </w:r>
    </w:p>
    <w:tbl>
      <w:tblPr>
        <w:tblStyle w:val="47"/>
        <w:tblW w:w="497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
      <w:tblGrid>
        <w:gridCol w:w="451"/>
        <w:gridCol w:w="1203"/>
        <w:gridCol w:w="846"/>
        <w:gridCol w:w="735"/>
        <w:gridCol w:w="1192"/>
        <w:gridCol w:w="735"/>
        <w:gridCol w:w="896"/>
        <w:gridCol w:w="1017"/>
        <w:gridCol w:w="963"/>
        <w:gridCol w:w="59"/>
        <w:gridCol w:w="1113"/>
        <w:gridCol w:w="1195"/>
        <w:gridCol w:w="1006"/>
        <w:gridCol w:w="1845"/>
        <w:gridCol w:w="739"/>
      </w:tblGrid>
      <w:tr w14:paraId="5417629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227" w:hRule="atLeast"/>
          <w:jc w:val="center"/>
        </w:trPr>
        <w:tc>
          <w:tcPr>
            <w:tcW w:w="161" w:type="pct"/>
            <w:vMerge w:val="restart"/>
            <w:tcBorders>
              <w:tl2br w:val="nil"/>
              <w:tr2bl w:val="nil"/>
            </w:tcBorders>
            <w:noWrap w:val="0"/>
            <w:vAlign w:val="center"/>
          </w:tcPr>
          <w:p w14:paraId="20BC2105">
            <w:pPr>
              <w:pStyle w:val="58"/>
              <w:bidi w:val="0"/>
              <w:rPr>
                <w:rFonts w:hint="default"/>
                <w:highlight w:val="none"/>
              </w:rPr>
            </w:pPr>
            <w:r>
              <w:rPr>
                <w:rFonts w:hint="default"/>
                <w:highlight w:val="none"/>
                <w:lang w:eastAsia="zh-CN"/>
              </w:rPr>
              <w:t>污染种类</w:t>
            </w:r>
          </w:p>
        </w:tc>
        <w:tc>
          <w:tcPr>
            <w:tcW w:w="429" w:type="pct"/>
            <w:vMerge w:val="restart"/>
            <w:tcBorders>
              <w:tl2br w:val="nil"/>
              <w:tr2bl w:val="nil"/>
            </w:tcBorders>
            <w:noWrap w:val="0"/>
            <w:vAlign w:val="center"/>
          </w:tcPr>
          <w:p w14:paraId="255A8CBC">
            <w:pPr>
              <w:pStyle w:val="58"/>
              <w:bidi w:val="0"/>
              <w:rPr>
                <w:rFonts w:hint="default"/>
                <w:highlight w:val="none"/>
              </w:rPr>
            </w:pPr>
            <w:r>
              <w:rPr>
                <w:rFonts w:hint="default"/>
                <w:highlight w:val="none"/>
              </w:rPr>
              <w:t>污染产生工序</w:t>
            </w:r>
          </w:p>
        </w:tc>
        <w:tc>
          <w:tcPr>
            <w:tcW w:w="302" w:type="pct"/>
            <w:vMerge w:val="restart"/>
            <w:tcBorders>
              <w:tl2br w:val="nil"/>
              <w:tr2bl w:val="nil"/>
            </w:tcBorders>
            <w:noWrap w:val="0"/>
            <w:vAlign w:val="center"/>
          </w:tcPr>
          <w:p w14:paraId="154F34B8">
            <w:pPr>
              <w:pStyle w:val="58"/>
              <w:bidi w:val="0"/>
              <w:rPr>
                <w:rFonts w:hint="default"/>
                <w:highlight w:val="none"/>
              </w:rPr>
            </w:pPr>
            <w:r>
              <w:rPr>
                <w:rFonts w:hint="default"/>
                <w:highlight w:val="none"/>
              </w:rPr>
              <w:t>废气量</w:t>
            </w:r>
          </w:p>
          <w:p w14:paraId="3D86AACE">
            <w:pPr>
              <w:pStyle w:val="58"/>
              <w:bidi w:val="0"/>
              <w:rPr>
                <w:rFonts w:hint="default"/>
                <w:highlight w:val="none"/>
              </w:rPr>
            </w:pPr>
            <w:r>
              <w:rPr>
                <w:rFonts w:hint="eastAsia"/>
                <w:highlight w:val="none"/>
                <w:lang w:eastAsia="zh-CN"/>
              </w:rPr>
              <w:t>m</w:t>
            </w:r>
            <w:r>
              <w:rPr>
                <w:rFonts w:hint="eastAsia"/>
                <w:highlight w:val="none"/>
                <w:vertAlign w:val="superscript"/>
                <w:lang w:eastAsia="zh-CN"/>
              </w:rPr>
              <w:t>3</w:t>
            </w:r>
            <w:r>
              <w:rPr>
                <w:rFonts w:hint="default"/>
                <w:highlight w:val="none"/>
              </w:rPr>
              <w:t>/h</w:t>
            </w:r>
          </w:p>
        </w:tc>
        <w:tc>
          <w:tcPr>
            <w:tcW w:w="262" w:type="pct"/>
            <w:vMerge w:val="restart"/>
            <w:tcBorders>
              <w:tl2br w:val="nil"/>
              <w:tr2bl w:val="nil"/>
            </w:tcBorders>
            <w:noWrap w:val="0"/>
            <w:vAlign w:val="center"/>
          </w:tcPr>
          <w:p w14:paraId="053FC011">
            <w:pPr>
              <w:pStyle w:val="58"/>
              <w:bidi w:val="0"/>
              <w:rPr>
                <w:rFonts w:hint="default"/>
                <w:highlight w:val="none"/>
              </w:rPr>
            </w:pPr>
            <w:r>
              <w:rPr>
                <w:rFonts w:hint="default"/>
                <w:highlight w:val="none"/>
              </w:rPr>
              <w:t>污染物</w:t>
            </w:r>
          </w:p>
        </w:tc>
        <w:tc>
          <w:tcPr>
            <w:tcW w:w="1008" w:type="pct"/>
            <w:gridSpan w:val="3"/>
            <w:tcBorders>
              <w:tl2br w:val="nil"/>
              <w:tr2bl w:val="nil"/>
            </w:tcBorders>
            <w:noWrap w:val="0"/>
            <w:vAlign w:val="center"/>
          </w:tcPr>
          <w:p w14:paraId="725DF8D5">
            <w:pPr>
              <w:pStyle w:val="58"/>
              <w:bidi w:val="0"/>
              <w:rPr>
                <w:rFonts w:hint="default"/>
                <w:highlight w:val="none"/>
                <w:lang w:eastAsia="zh-CN"/>
              </w:rPr>
            </w:pPr>
            <w:r>
              <w:rPr>
                <w:rFonts w:hint="default"/>
                <w:highlight w:val="none"/>
                <w:lang w:eastAsia="zh-CN"/>
              </w:rPr>
              <w:t>排污口信息</w:t>
            </w:r>
          </w:p>
        </w:tc>
        <w:tc>
          <w:tcPr>
            <w:tcW w:w="363" w:type="pct"/>
            <w:vMerge w:val="restart"/>
            <w:tcBorders>
              <w:tl2br w:val="nil"/>
              <w:tr2bl w:val="nil"/>
            </w:tcBorders>
            <w:noWrap w:val="0"/>
            <w:vAlign w:val="center"/>
          </w:tcPr>
          <w:p w14:paraId="55E96AC5">
            <w:pPr>
              <w:pStyle w:val="58"/>
              <w:bidi w:val="0"/>
              <w:rPr>
                <w:rFonts w:hint="default"/>
                <w:highlight w:val="none"/>
              </w:rPr>
            </w:pPr>
            <w:r>
              <w:rPr>
                <w:rFonts w:hint="default"/>
                <w:highlight w:val="none"/>
              </w:rPr>
              <w:t>治理措施</w:t>
            </w:r>
          </w:p>
        </w:tc>
        <w:tc>
          <w:tcPr>
            <w:tcW w:w="1189" w:type="pct"/>
            <w:gridSpan w:val="4"/>
            <w:tcBorders>
              <w:tl2br w:val="nil"/>
              <w:tr2bl w:val="nil"/>
            </w:tcBorders>
            <w:noWrap w:val="0"/>
            <w:vAlign w:val="center"/>
          </w:tcPr>
          <w:p w14:paraId="3E68B362">
            <w:pPr>
              <w:pStyle w:val="58"/>
              <w:bidi w:val="0"/>
              <w:rPr>
                <w:rFonts w:hint="default"/>
                <w:highlight w:val="none"/>
              </w:rPr>
            </w:pPr>
            <w:r>
              <w:rPr>
                <w:rFonts w:hint="default"/>
                <w:highlight w:val="none"/>
              </w:rPr>
              <w:t>排放</w:t>
            </w:r>
            <w:r>
              <w:rPr>
                <w:rFonts w:hint="default"/>
                <w:highlight w:val="none"/>
                <w:lang w:eastAsia="zh-CN"/>
              </w:rPr>
              <w:t>情况</w:t>
            </w:r>
          </w:p>
        </w:tc>
        <w:tc>
          <w:tcPr>
            <w:tcW w:w="1018" w:type="pct"/>
            <w:gridSpan w:val="2"/>
            <w:tcBorders>
              <w:tl2br w:val="nil"/>
              <w:tr2bl w:val="nil"/>
            </w:tcBorders>
            <w:noWrap w:val="0"/>
            <w:vAlign w:val="center"/>
          </w:tcPr>
          <w:p w14:paraId="5CBC6DD7">
            <w:pPr>
              <w:pStyle w:val="58"/>
              <w:bidi w:val="0"/>
              <w:rPr>
                <w:rFonts w:hint="default"/>
                <w:highlight w:val="none"/>
                <w:lang w:eastAsia="zh-CN"/>
              </w:rPr>
            </w:pPr>
            <w:r>
              <w:rPr>
                <w:rFonts w:hint="default"/>
                <w:highlight w:val="none"/>
              </w:rPr>
              <w:t>执行</w:t>
            </w:r>
            <w:r>
              <w:rPr>
                <w:rFonts w:hint="default"/>
                <w:highlight w:val="none"/>
                <w:lang w:eastAsia="zh-CN"/>
              </w:rPr>
              <w:t>标准</w:t>
            </w:r>
          </w:p>
        </w:tc>
        <w:tc>
          <w:tcPr>
            <w:tcW w:w="264" w:type="pct"/>
            <w:vMerge w:val="restart"/>
            <w:tcBorders>
              <w:tl2br w:val="nil"/>
              <w:tr2bl w:val="nil"/>
            </w:tcBorders>
            <w:noWrap w:val="0"/>
            <w:vAlign w:val="center"/>
          </w:tcPr>
          <w:p w14:paraId="1552AB64">
            <w:pPr>
              <w:pStyle w:val="58"/>
              <w:bidi w:val="0"/>
              <w:rPr>
                <w:rFonts w:hint="default"/>
                <w:highlight w:val="none"/>
              </w:rPr>
            </w:pPr>
            <w:r>
              <w:rPr>
                <w:rFonts w:hint="default"/>
                <w:highlight w:val="none"/>
              </w:rPr>
              <w:t>达标</w:t>
            </w:r>
          </w:p>
          <w:p w14:paraId="1E0E0043">
            <w:pPr>
              <w:pStyle w:val="58"/>
              <w:bidi w:val="0"/>
              <w:rPr>
                <w:rFonts w:hint="default"/>
                <w:highlight w:val="none"/>
              </w:rPr>
            </w:pPr>
            <w:r>
              <w:rPr>
                <w:rFonts w:hint="default"/>
                <w:highlight w:val="none"/>
              </w:rPr>
              <w:t>情况</w:t>
            </w:r>
          </w:p>
        </w:tc>
      </w:tr>
      <w:tr w14:paraId="5F82F7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227" w:hRule="atLeast"/>
          <w:jc w:val="center"/>
        </w:trPr>
        <w:tc>
          <w:tcPr>
            <w:tcW w:w="161" w:type="pct"/>
            <w:vMerge w:val="continue"/>
            <w:tcBorders>
              <w:tl2br w:val="nil"/>
              <w:tr2bl w:val="nil"/>
            </w:tcBorders>
            <w:noWrap w:val="0"/>
            <w:vAlign w:val="center"/>
          </w:tcPr>
          <w:p w14:paraId="4F62C5A8">
            <w:pPr>
              <w:pStyle w:val="58"/>
              <w:bidi w:val="0"/>
              <w:rPr>
                <w:rFonts w:hint="default"/>
                <w:highlight w:val="none"/>
              </w:rPr>
            </w:pPr>
          </w:p>
        </w:tc>
        <w:tc>
          <w:tcPr>
            <w:tcW w:w="429" w:type="pct"/>
            <w:vMerge w:val="continue"/>
            <w:tcBorders>
              <w:tl2br w:val="nil"/>
              <w:tr2bl w:val="nil"/>
            </w:tcBorders>
            <w:noWrap w:val="0"/>
            <w:vAlign w:val="center"/>
          </w:tcPr>
          <w:p w14:paraId="52585601">
            <w:pPr>
              <w:pStyle w:val="58"/>
              <w:bidi w:val="0"/>
              <w:rPr>
                <w:rFonts w:hint="default"/>
                <w:highlight w:val="none"/>
              </w:rPr>
            </w:pPr>
          </w:p>
        </w:tc>
        <w:tc>
          <w:tcPr>
            <w:tcW w:w="302" w:type="pct"/>
            <w:vMerge w:val="continue"/>
            <w:tcBorders>
              <w:tl2br w:val="nil"/>
              <w:tr2bl w:val="nil"/>
            </w:tcBorders>
            <w:noWrap w:val="0"/>
            <w:vAlign w:val="center"/>
          </w:tcPr>
          <w:p w14:paraId="21E1B5DE">
            <w:pPr>
              <w:pStyle w:val="58"/>
              <w:bidi w:val="0"/>
              <w:rPr>
                <w:rFonts w:hint="default"/>
                <w:highlight w:val="none"/>
              </w:rPr>
            </w:pPr>
          </w:p>
        </w:tc>
        <w:tc>
          <w:tcPr>
            <w:tcW w:w="262" w:type="pct"/>
            <w:vMerge w:val="continue"/>
            <w:tcBorders>
              <w:tl2br w:val="nil"/>
              <w:tr2bl w:val="nil"/>
            </w:tcBorders>
            <w:noWrap w:val="0"/>
            <w:vAlign w:val="center"/>
          </w:tcPr>
          <w:p w14:paraId="0C271184">
            <w:pPr>
              <w:pStyle w:val="58"/>
              <w:bidi w:val="0"/>
              <w:rPr>
                <w:rFonts w:hint="default"/>
                <w:highlight w:val="none"/>
              </w:rPr>
            </w:pPr>
          </w:p>
        </w:tc>
        <w:tc>
          <w:tcPr>
            <w:tcW w:w="425" w:type="pct"/>
            <w:tcBorders>
              <w:tl2br w:val="nil"/>
              <w:tr2bl w:val="nil"/>
            </w:tcBorders>
            <w:noWrap w:val="0"/>
            <w:vAlign w:val="center"/>
          </w:tcPr>
          <w:p w14:paraId="6AD776B9">
            <w:pPr>
              <w:pStyle w:val="58"/>
              <w:bidi w:val="0"/>
              <w:rPr>
                <w:rFonts w:hint="default"/>
                <w:highlight w:val="none"/>
                <w:lang w:eastAsia="zh-CN"/>
              </w:rPr>
            </w:pPr>
            <w:r>
              <w:rPr>
                <w:rFonts w:hint="default"/>
                <w:highlight w:val="none"/>
                <w:lang w:eastAsia="zh-CN"/>
              </w:rPr>
              <w:t>排气筒编号</w:t>
            </w:r>
          </w:p>
        </w:tc>
        <w:tc>
          <w:tcPr>
            <w:tcW w:w="262" w:type="pct"/>
            <w:tcBorders>
              <w:tl2br w:val="nil"/>
              <w:tr2bl w:val="nil"/>
            </w:tcBorders>
            <w:noWrap w:val="0"/>
            <w:vAlign w:val="center"/>
          </w:tcPr>
          <w:p w14:paraId="44F7E6B8">
            <w:pPr>
              <w:pStyle w:val="58"/>
              <w:bidi w:val="0"/>
              <w:rPr>
                <w:rFonts w:hint="default"/>
                <w:highlight w:val="none"/>
                <w:lang w:val="en-US" w:eastAsia="zh-CN"/>
              </w:rPr>
            </w:pPr>
            <w:r>
              <w:rPr>
                <w:rFonts w:hint="default"/>
                <w:highlight w:val="none"/>
                <w:lang w:val="en-US" w:eastAsia="zh-CN"/>
              </w:rPr>
              <w:t>排气筒高度m</w:t>
            </w:r>
          </w:p>
        </w:tc>
        <w:tc>
          <w:tcPr>
            <w:tcW w:w="320" w:type="pct"/>
            <w:tcBorders>
              <w:tl2br w:val="nil"/>
              <w:tr2bl w:val="nil"/>
            </w:tcBorders>
            <w:noWrap w:val="0"/>
            <w:vAlign w:val="center"/>
          </w:tcPr>
          <w:p w14:paraId="291D51EE">
            <w:pPr>
              <w:pStyle w:val="58"/>
              <w:bidi w:val="0"/>
              <w:rPr>
                <w:rFonts w:hint="default"/>
                <w:highlight w:val="none"/>
                <w:lang w:val="en-US" w:eastAsia="zh-CN"/>
              </w:rPr>
            </w:pPr>
            <w:r>
              <w:rPr>
                <w:rFonts w:hint="default"/>
                <w:highlight w:val="none"/>
                <w:lang w:eastAsia="zh-CN"/>
              </w:rPr>
              <w:t>排气筒内径</w:t>
            </w:r>
            <w:r>
              <w:rPr>
                <w:rFonts w:hint="default"/>
                <w:highlight w:val="none"/>
                <w:lang w:val="en-US" w:eastAsia="zh-CN"/>
              </w:rPr>
              <w:t>m</w:t>
            </w:r>
          </w:p>
        </w:tc>
        <w:tc>
          <w:tcPr>
            <w:tcW w:w="363" w:type="pct"/>
            <w:vMerge w:val="continue"/>
            <w:tcBorders>
              <w:tl2br w:val="nil"/>
              <w:tr2bl w:val="nil"/>
            </w:tcBorders>
            <w:noWrap w:val="0"/>
            <w:vAlign w:val="center"/>
          </w:tcPr>
          <w:p w14:paraId="3CB84434">
            <w:pPr>
              <w:pStyle w:val="58"/>
              <w:bidi w:val="0"/>
              <w:rPr>
                <w:rFonts w:hint="default"/>
                <w:highlight w:val="none"/>
              </w:rPr>
            </w:pPr>
          </w:p>
        </w:tc>
        <w:tc>
          <w:tcPr>
            <w:tcW w:w="344" w:type="pct"/>
            <w:tcBorders>
              <w:tl2br w:val="nil"/>
              <w:tr2bl w:val="nil"/>
            </w:tcBorders>
            <w:noWrap w:val="0"/>
            <w:vAlign w:val="center"/>
          </w:tcPr>
          <w:p w14:paraId="5E2D4554">
            <w:pPr>
              <w:pStyle w:val="58"/>
              <w:bidi w:val="0"/>
              <w:rPr>
                <w:rFonts w:hint="default"/>
                <w:highlight w:val="none"/>
              </w:rPr>
            </w:pPr>
            <w:r>
              <w:rPr>
                <w:rFonts w:hint="default"/>
                <w:highlight w:val="none"/>
                <w:lang w:val="en-US" w:eastAsia="zh-CN"/>
              </w:rPr>
              <w:t>排放</w:t>
            </w:r>
            <w:r>
              <w:rPr>
                <w:rFonts w:hint="default"/>
                <w:highlight w:val="none"/>
              </w:rPr>
              <w:t>浓度</w:t>
            </w:r>
          </w:p>
          <w:p w14:paraId="23EAB03F">
            <w:pPr>
              <w:pStyle w:val="58"/>
              <w:bidi w:val="0"/>
              <w:rPr>
                <w:rFonts w:hint="default"/>
                <w:highlight w:val="none"/>
                <w:lang w:eastAsia="zh-CN"/>
              </w:rPr>
            </w:pPr>
            <w:r>
              <w:rPr>
                <w:rFonts w:hint="default"/>
                <w:highlight w:val="none"/>
              </w:rPr>
              <w:t>mg/</w:t>
            </w:r>
            <w:r>
              <w:rPr>
                <w:rFonts w:hint="eastAsia"/>
                <w:highlight w:val="none"/>
                <w:lang w:eastAsia="zh-CN"/>
              </w:rPr>
              <w:t>m</w:t>
            </w:r>
            <w:r>
              <w:rPr>
                <w:rFonts w:hint="eastAsia"/>
                <w:highlight w:val="none"/>
                <w:vertAlign w:val="superscript"/>
                <w:lang w:eastAsia="zh-CN"/>
              </w:rPr>
              <w:t>3</w:t>
            </w:r>
          </w:p>
        </w:tc>
        <w:tc>
          <w:tcPr>
            <w:tcW w:w="418" w:type="pct"/>
            <w:gridSpan w:val="2"/>
            <w:tcBorders>
              <w:tl2br w:val="nil"/>
              <w:tr2bl w:val="nil"/>
            </w:tcBorders>
            <w:noWrap w:val="0"/>
            <w:vAlign w:val="center"/>
          </w:tcPr>
          <w:p w14:paraId="283EBB08">
            <w:pPr>
              <w:pStyle w:val="58"/>
              <w:bidi w:val="0"/>
              <w:rPr>
                <w:rFonts w:hint="default"/>
                <w:highlight w:val="none"/>
              </w:rPr>
            </w:pPr>
            <w:r>
              <w:rPr>
                <w:rFonts w:hint="default"/>
                <w:highlight w:val="none"/>
              </w:rPr>
              <w:t>排放量</w:t>
            </w:r>
          </w:p>
          <w:p w14:paraId="3FCD08AB">
            <w:pPr>
              <w:pStyle w:val="58"/>
              <w:bidi w:val="0"/>
              <w:rPr>
                <w:rFonts w:hint="default"/>
                <w:highlight w:val="none"/>
                <w:lang w:val="en-US" w:eastAsia="zh-CN"/>
              </w:rPr>
            </w:pPr>
            <w:r>
              <w:rPr>
                <w:rFonts w:hint="default"/>
                <w:highlight w:val="none"/>
                <w:lang w:val="en-US" w:eastAsia="zh-CN"/>
              </w:rPr>
              <w:t>kg/h</w:t>
            </w:r>
          </w:p>
        </w:tc>
        <w:tc>
          <w:tcPr>
            <w:tcW w:w="426" w:type="pct"/>
            <w:tcBorders>
              <w:tl2br w:val="nil"/>
              <w:tr2bl w:val="nil"/>
            </w:tcBorders>
            <w:noWrap w:val="0"/>
            <w:vAlign w:val="center"/>
          </w:tcPr>
          <w:p w14:paraId="4EC802AE">
            <w:pPr>
              <w:pStyle w:val="58"/>
              <w:bidi w:val="0"/>
              <w:rPr>
                <w:rFonts w:hint="default"/>
                <w:highlight w:val="none"/>
              </w:rPr>
            </w:pPr>
            <w:r>
              <w:rPr>
                <w:rFonts w:hint="default"/>
                <w:highlight w:val="none"/>
              </w:rPr>
              <w:t>排放量</w:t>
            </w:r>
          </w:p>
          <w:p w14:paraId="11D7A8BD">
            <w:pPr>
              <w:pStyle w:val="58"/>
              <w:bidi w:val="0"/>
              <w:rPr>
                <w:rFonts w:hint="default"/>
                <w:highlight w:val="none"/>
              </w:rPr>
            </w:pPr>
            <w:r>
              <w:rPr>
                <w:rFonts w:hint="default"/>
                <w:highlight w:val="none"/>
              </w:rPr>
              <w:t>t/a</w:t>
            </w:r>
          </w:p>
        </w:tc>
        <w:tc>
          <w:tcPr>
            <w:tcW w:w="359" w:type="pct"/>
            <w:tcBorders>
              <w:tl2br w:val="nil"/>
              <w:tr2bl w:val="nil"/>
            </w:tcBorders>
            <w:noWrap w:val="0"/>
            <w:vAlign w:val="center"/>
          </w:tcPr>
          <w:p w14:paraId="4072A915">
            <w:pPr>
              <w:pStyle w:val="58"/>
              <w:bidi w:val="0"/>
              <w:rPr>
                <w:rFonts w:hint="default"/>
                <w:highlight w:val="none"/>
                <w:lang w:eastAsia="zh-CN"/>
              </w:rPr>
            </w:pPr>
            <w:r>
              <w:rPr>
                <w:rFonts w:hint="default"/>
                <w:highlight w:val="none"/>
              </w:rPr>
              <w:t>标准</w:t>
            </w:r>
            <w:r>
              <w:rPr>
                <w:rFonts w:hint="default"/>
                <w:highlight w:val="none"/>
                <w:lang w:eastAsia="zh-CN"/>
              </w:rPr>
              <w:t>限值</w:t>
            </w:r>
          </w:p>
        </w:tc>
        <w:tc>
          <w:tcPr>
            <w:tcW w:w="659" w:type="pct"/>
            <w:tcBorders>
              <w:tl2br w:val="nil"/>
              <w:tr2bl w:val="nil"/>
            </w:tcBorders>
            <w:noWrap w:val="0"/>
            <w:vAlign w:val="center"/>
          </w:tcPr>
          <w:p w14:paraId="0595694D">
            <w:pPr>
              <w:pStyle w:val="58"/>
              <w:bidi w:val="0"/>
              <w:rPr>
                <w:rFonts w:hint="default"/>
                <w:highlight w:val="none"/>
                <w:lang w:eastAsia="zh-CN"/>
              </w:rPr>
            </w:pPr>
            <w:r>
              <w:rPr>
                <w:rFonts w:hint="default"/>
                <w:highlight w:val="none"/>
                <w:lang w:eastAsia="zh-CN"/>
              </w:rPr>
              <w:t>标准名称</w:t>
            </w:r>
          </w:p>
        </w:tc>
        <w:tc>
          <w:tcPr>
            <w:tcW w:w="264" w:type="pct"/>
            <w:vMerge w:val="continue"/>
            <w:tcBorders>
              <w:tl2br w:val="nil"/>
              <w:tr2bl w:val="nil"/>
            </w:tcBorders>
            <w:noWrap w:val="0"/>
            <w:vAlign w:val="center"/>
          </w:tcPr>
          <w:p w14:paraId="315FB6B4">
            <w:pPr>
              <w:pStyle w:val="58"/>
              <w:bidi w:val="0"/>
              <w:rPr>
                <w:rFonts w:hint="default"/>
                <w:highlight w:val="none"/>
              </w:rPr>
            </w:pPr>
          </w:p>
        </w:tc>
      </w:tr>
      <w:tr w14:paraId="6BF344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227" w:hRule="atLeast"/>
          <w:jc w:val="center"/>
        </w:trPr>
        <w:tc>
          <w:tcPr>
            <w:tcW w:w="161" w:type="pct"/>
            <w:vMerge w:val="restart"/>
            <w:tcBorders>
              <w:tl2br w:val="nil"/>
              <w:tr2bl w:val="nil"/>
            </w:tcBorders>
            <w:noWrap w:val="0"/>
            <w:vAlign w:val="center"/>
          </w:tcPr>
          <w:p w14:paraId="382AB736">
            <w:pPr>
              <w:pStyle w:val="58"/>
              <w:bidi w:val="0"/>
              <w:rPr>
                <w:rFonts w:hint="default"/>
                <w:highlight w:val="none"/>
                <w:lang w:val="en-US" w:eastAsia="zh-CN"/>
              </w:rPr>
            </w:pPr>
            <w:bookmarkStart w:id="403" w:name="OLE_LINK6" w:colFirst="3" w:colLast="3"/>
            <w:r>
              <w:rPr>
                <w:rFonts w:hint="default"/>
                <w:highlight w:val="none"/>
                <w:lang w:val="en-US" w:eastAsia="zh-CN"/>
              </w:rPr>
              <w:t>废气</w:t>
            </w:r>
          </w:p>
        </w:tc>
        <w:tc>
          <w:tcPr>
            <w:tcW w:w="429" w:type="pct"/>
            <w:vMerge w:val="restart"/>
            <w:tcBorders>
              <w:tl2br w:val="nil"/>
              <w:tr2bl w:val="nil"/>
            </w:tcBorders>
            <w:noWrap w:val="0"/>
            <w:vAlign w:val="center"/>
          </w:tcPr>
          <w:p w14:paraId="6ECD2B3C">
            <w:pPr>
              <w:pStyle w:val="58"/>
              <w:bidi w:val="0"/>
              <w:rPr>
                <w:rFonts w:hint="default"/>
                <w:highlight w:val="none"/>
                <w:lang w:val="en-US" w:eastAsia="zh-CN"/>
              </w:rPr>
            </w:pPr>
            <w:r>
              <w:rPr>
                <w:rFonts w:hint="default"/>
                <w:highlight w:val="none"/>
                <w:lang w:val="en-US" w:eastAsia="zh-CN"/>
              </w:rPr>
              <w:t>除臭排气筒</w:t>
            </w:r>
          </w:p>
        </w:tc>
        <w:tc>
          <w:tcPr>
            <w:tcW w:w="302" w:type="pct"/>
            <w:vMerge w:val="restart"/>
            <w:tcBorders>
              <w:tl2br w:val="nil"/>
              <w:tr2bl w:val="nil"/>
            </w:tcBorders>
            <w:noWrap w:val="0"/>
            <w:vAlign w:val="center"/>
          </w:tcPr>
          <w:p w14:paraId="21E21899">
            <w:pPr>
              <w:pStyle w:val="58"/>
              <w:bidi w:val="0"/>
              <w:rPr>
                <w:rFonts w:hint="default"/>
                <w:highlight w:val="none"/>
                <w:lang w:val="en-US" w:eastAsia="zh-CN"/>
              </w:rPr>
            </w:pPr>
            <w:r>
              <w:rPr>
                <w:rFonts w:hint="default"/>
                <w:highlight w:val="none"/>
                <w:lang w:val="en-US" w:eastAsia="zh-CN"/>
              </w:rPr>
              <w:t>5000</w:t>
            </w:r>
          </w:p>
        </w:tc>
        <w:tc>
          <w:tcPr>
            <w:tcW w:w="262" w:type="pct"/>
            <w:tcBorders>
              <w:tl2br w:val="nil"/>
              <w:tr2bl w:val="nil"/>
            </w:tcBorders>
            <w:noWrap w:val="0"/>
            <w:vAlign w:val="center"/>
          </w:tcPr>
          <w:p w14:paraId="633D69C6">
            <w:pPr>
              <w:pStyle w:val="58"/>
              <w:bidi w:val="0"/>
              <w:rPr>
                <w:rFonts w:hint="default"/>
                <w:highlight w:val="none"/>
                <w:lang w:val="en-US" w:eastAsia="zh-CN"/>
              </w:rPr>
            </w:pPr>
            <w:r>
              <w:rPr>
                <w:rFonts w:hint="eastAsia"/>
                <w:highlight w:val="none"/>
                <w:lang w:eastAsia="zh-CN"/>
              </w:rPr>
              <w:t>NH</w:t>
            </w:r>
            <w:r>
              <w:rPr>
                <w:rFonts w:hint="eastAsia"/>
                <w:highlight w:val="none"/>
                <w:vertAlign w:val="subscript"/>
                <w:lang w:eastAsia="zh-CN"/>
              </w:rPr>
              <w:t>3</w:t>
            </w:r>
          </w:p>
        </w:tc>
        <w:tc>
          <w:tcPr>
            <w:tcW w:w="425" w:type="pct"/>
            <w:vMerge w:val="restart"/>
            <w:tcBorders>
              <w:tl2br w:val="nil"/>
              <w:tr2bl w:val="nil"/>
            </w:tcBorders>
            <w:noWrap w:val="0"/>
            <w:vAlign w:val="center"/>
          </w:tcPr>
          <w:p w14:paraId="519CBE81">
            <w:pPr>
              <w:pStyle w:val="58"/>
              <w:bidi w:val="0"/>
              <w:rPr>
                <w:rFonts w:hint="default"/>
                <w:highlight w:val="none"/>
                <w:lang w:val="en-US" w:eastAsia="zh-CN"/>
              </w:rPr>
            </w:pPr>
            <w:r>
              <w:rPr>
                <w:rFonts w:hint="default"/>
                <w:highlight w:val="none"/>
                <w:lang w:val="en-US" w:eastAsia="zh-CN"/>
              </w:rPr>
              <w:t>DA001</w:t>
            </w:r>
          </w:p>
        </w:tc>
        <w:tc>
          <w:tcPr>
            <w:tcW w:w="262" w:type="pct"/>
            <w:vMerge w:val="restart"/>
            <w:tcBorders>
              <w:tl2br w:val="nil"/>
              <w:tr2bl w:val="nil"/>
            </w:tcBorders>
            <w:noWrap w:val="0"/>
            <w:vAlign w:val="center"/>
          </w:tcPr>
          <w:p w14:paraId="628AAF75">
            <w:pPr>
              <w:pStyle w:val="58"/>
              <w:bidi w:val="0"/>
              <w:rPr>
                <w:rFonts w:hint="default"/>
                <w:highlight w:val="none"/>
                <w:lang w:val="en-US" w:eastAsia="zh-CN"/>
              </w:rPr>
            </w:pPr>
            <w:r>
              <w:rPr>
                <w:rFonts w:hint="default"/>
                <w:highlight w:val="none"/>
                <w:lang w:val="en-US" w:eastAsia="zh-CN"/>
              </w:rPr>
              <w:t>15</w:t>
            </w:r>
          </w:p>
        </w:tc>
        <w:tc>
          <w:tcPr>
            <w:tcW w:w="320" w:type="pct"/>
            <w:vMerge w:val="restart"/>
            <w:tcBorders>
              <w:tl2br w:val="nil"/>
              <w:tr2bl w:val="nil"/>
            </w:tcBorders>
            <w:noWrap w:val="0"/>
            <w:vAlign w:val="center"/>
          </w:tcPr>
          <w:p w14:paraId="172D909D">
            <w:pPr>
              <w:pStyle w:val="58"/>
              <w:bidi w:val="0"/>
              <w:rPr>
                <w:rFonts w:hint="default"/>
                <w:highlight w:val="none"/>
                <w:lang w:val="en-US" w:eastAsia="zh-CN"/>
              </w:rPr>
            </w:pPr>
            <w:r>
              <w:rPr>
                <w:rFonts w:hint="eastAsia"/>
                <w:highlight w:val="none"/>
                <w:lang w:val="en-US" w:eastAsia="zh-CN"/>
              </w:rPr>
              <w:t>0.32</w:t>
            </w:r>
          </w:p>
        </w:tc>
        <w:tc>
          <w:tcPr>
            <w:tcW w:w="363" w:type="pct"/>
            <w:vMerge w:val="restart"/>
            <w:tcBorders>
              <w:tl2br w:val="nil"/>
              <w:tr2bl w:val="nil"/>
            </w:tcBorders>
            <w:noWrap w:val="0"/>
            <w:vAlign w:val="center"/>
          </w:tcPr>
          <w:p w14:paraId="71871F3C">
            <w:pPr>
              <w:pStyle w:val="58"/>
              <w:bidi w:val="0"/>
              <w:rPr>
                <w:rFonts w:hint="default"/>
                <w:highlight w:val="none"/>
                <w:lang w:val="en-US" w:eastAsia="zh-CN"/>
              </w:rPr>
            </w:pPr>
            <w:r>
              <w:rPr>
                <w:rFonts w:hint="default"/>
                <w:highlight w:val="none"/>
                <w:lang w:val="en-US" w:eastAsia="zh-CN"/>
              </w:rPr>
              <w:t>等离子光电一体机+15m高排气筒</w:t>
            </w:r>
          </w:p>
        </w:tc>
        <w:tc>
          <w:tcPr>
            <w:tcW w:w="344" w:type="pct"/>
            <w:tcBorders>
              <w:tl2br w:val="nil"/>
              <w:tr2bl w:val="nil"/>
            </w:tcBorders>
            <w:noWrap w:val="0"/>
            <w:vAlign w:val="center"/>
          </w:tcPr>
          <w:p w14:paraId="42A81F9A">
            <w:pPr>
              <w:pStyle w:val="58"/>
              <w:bidi w:val="0"/>
              <w:rPr>
                <w:rFonts w:hint="default"/>
                <w:highlight w:val="none"/>
                <w:lang w:val="en-US" w:eastAsia="zh-CN"/>
              </w:rPr>
            </w:pPr>
            <w:r>
              <w:rPr>
                <w:rFonts w:hint="eastAsia"/>
                <w:highlight w:val="none"/>
                <w:lang w:val="en-US" w:eastAsia="zh-CN"/>
              </w:rPr>
              <w:t>3.1680</w:t>
            </w:r>
          </w:p>
        </w:tc>
        <w:tc>
          <w:tcPr>
            <w:tcW w:w="418" w:type="pct"/>
            <w:gridSpan w:val="2"/>
            <w:tcBorders>
              <w:tl2br w:val="nil"/>
              <w:tr2bl w:val="nil"/>
            </w:tcBorders>
            <w:noWrap w:val="0"/>
            <w:vAlign w:val="center"/>
          </w:tcPr>
          <w:p w14:paraId="38BEAE1B">
            <w:pPr>
              <w:pStyle w:val="58"/>
              <w:bidi w:val="0"/>
              <w:rPr>
                <w:rFonts w:hint="default" w:eastAsia="宋体"/>
                <w:highlight w:val="none"/>
                <w:lang w:val="en-US" w:eastAsia="zh-CN"/>
              </w:rPr>
            </w:pPr>
            <w:r>
              <w:rPr>
                <w:rFonts w:hint="eastAsia"/>
                <w:highlight w:val="none"/>
                <w:lang w:val="en-US" w:eastAsia="zh-CN"/>
              </w:rPr>
              <w:t>0.0158</w:t>
            </w:r>
          </w:p>
        </w:tc>
        <w:tc>
          <w:tcPr>
            <w:tcW w:w="426" w:type="pct"/>
            <w:tcBorders>
              <w:tl2br w:val="nil"/>
              <w:tr2bl w:val="nil"/>
            </w:tcBorders>
            <w:noWrap w:val="0"/>
            <w:vAlign w:val="center"/>
          </w:tcPr>
          <w:p w14:paraId="4629B50B">
            <w:pPr>
              <w:pStyle w:val="58"/>
              <w:bidi w:val="0"/>
              <w:rPr>
                <w:rFonts w:hint="default"/>
                <w:highlight w:val="none"/>
                <w:lang w:val="en-US" w:eastAsia="zh-CN"/>
              </w:rPr>
            </w:pPr>
            <w:r>
              <w:rPr>
                <w:rFonts w:hint="eastAsia"/>
                <w:highlight w:val="none"/>
                <w:lang w:val="en-US" w:eastAsia="zh-CN"/>
              </w:rPr>
              <w:t>0.1388</w:t>
            </w:r>
          </w:p>
        </w:tc>
        <w:tc>
          <w:tcPr>
            <w:tcW w:w="359" w:type="pct"/>
            <w:tcBorders>
              <w:tl2br w:val="nil"/>
              <w:tr2bl w:val="nil"/>
            </w:tcBorders>
            <w:noWrap w:val="0"/>
            <w:vAlign w:val="center"/>
          </w:tcPr>
          <w:p w14:paraId="4AF6C1A2">
            <w:pPr>
              <w:pStyle w:val="58"/>
              <w:bidi w:val="0"/>
              <w:rPr>
                <w:rFonts w:hint="default"/>
                <w:highlight w:val="none"/>
                <w:lang w:val="en-US" w:eastAsia="zh-CN"/>
              </w:rPr>
            </w:pPr>
            <w:r>
              <w:rPr>
                <w:rFonts w:hint="eastAsia"/>
                <w:highlight w:val="none"/>
                <w:lang w:val="en-US" w:eastAsia="zh-CN"/>
              </w:rPr>
              <w:t>4.9kg/h</w:t>
            </w:r>
          </w:p>
        </w:tc>
        <w:tc>
          <w:tcPr>
            <w:tcW w:w="659" w:type="pct"/>
            <w:vMerge w:val="restart"/>
            <w:tcBorders>
              <w:tl2br w:val="nil"/>
              <w:tr2bl w:val="nil"/>
            </w:tcBorders>
            <w:noWrap w:val="0"/>
            <w:vAlign w:val="center"/>
          </w:tcPr>
          <w:p w14:paraId="4E9B6360">
            <w:pPr>
              <w:pStyle w:val="58"/>
              <w:bidi w:val="0"/>
              <w:rPr>
                <w:rFonts w:hint="default"/>
                <w:highlight w:val="none"/>
              </w:rPr>
            </w:pPr>
            <w:r>
              <w:rPr>
                <w:rFonts w:hint="default"/>
                <w:highlight w:val="none"/>
              </w:rPr>
              <w:t>《恶臭污染物排放标准》（GB14554-93）表2标准</w:t>
            </w:r>
          </w:p>
        </w:tc>
        <w:tc>
          <w:tcPr>
            <w:tcW w:w="264" w:type="pct"/>
            <w:tcBorders>
              <w:tl2br w:val="nil"/>
              <w:tr2bl w:val="nil"/>
            </w:tcBorders>
            <w:noWrap w:val="0"/>
            <w:vAlign w:val="center"/>
          </w:tcPr>
          <w:p w14:paraId="378F48FE">
            <w:pPr>
              <w:pStyle w:val="58"/>
              <w:bidi w:val="0"/>
              <w:rPr>
                <w:rFonts w:hint="default"/>
                <w:highlight w:val="none"/>
                <w:lang w:val="en-US" w:eastAsia="zh-CN"/>
              </w:rPr>
            </w:pPr>
            <w:bookmarkStart w:id="404" w:name="OLE_LINK5"/>
            <w:r>
              <w:rPr>
                <w:rFonts w:hint="default"/>
                <w:highlight w:val="none"/>
              </w:rPr>
              <w:t>达标</w:t>
            </w:r>
            <w:bookmarkEnd w:id="404"/>
          </w:p>
        </w:tc>
      </w:tr>
      <w:tr w14:paraId="58C3196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227" w:hRule="atLeast"/>
          <w:jc w:val="center"/>
        </w:trPr>
        <w:tc>
          <w:tcPr>
            <w:tcW w:w="161" w:type="pct"/>
            <w:vMerge w:val="continue"/>
            <w:tcBorders>
              <w:tl2br w:val="nil"/>
              <w:tr2bl w:val="nil"/>
            </w:tcBorders>
            <w:noWrap w:val="0"/>
            <w:vAlign w:val="center"/>
          </w:tcPr>
          <w:p w14:paraId="309C3C9D">
            <w:pPr>
              <w:pStyle w:val="58"/>
              <w:bidi w:val="0"/>
              <w:rPr>
                <w:rFonts w:hint="default"/>
                <w:highlight w:val="none"/>
                <w:lang w:val="en-US" w:eastAsia="zh-CN"/>
              </w:rPr>
            </w:pPr>
          </w:p>
        </w:tc>
        <w:tc>
          <w:tcPr>
            <w:tcW w:w="429" w:type="pct"/>
            <w:vMerge w:val="continue"/>
            <w:tcBorders>
              <w:tl2br w:val="nil"/>
              <w:tr2bl w:val="nil"/>
            </w:tcBorders>
            <w:noWrap w:val="0"/>
            <w:vAlign w:val="center"/>
          </w:tcPr>
          <w:p w14:paraId="53DF3579">
            <w:pPr>
              <w:pStyle w:val="58"/>
              <w:bidi w:val="0"/>
              <w:rPr>
                <w:rFonts w:hint="default"/>
                <w:highlight w:val="none"/>
                <w:lang w:val="en-US" w:eastAsia="zh-CN"/>
              </w:rPr>
            </w:pPr>
          </w:p>
        </w:tc>
        <w:tc>
          <w:tcPr>
            <w:tcW w:w="302" w:type="pct"/>
            <w:vMerge w:val="continue"/>
            <w:tcBorders>
              <w:tl2br w:val="nil"/>
              <w:tr2bl w:val="nil"/>
            </w:tcBorders>
            <w:noWrap w:val="0"/>
            <w:vAlign w:val="center"/>
          </w:tcPr>
          <w:p w14:paraId="0081C756">
            <w:pPr>
              <w:pStyle w:val="58"/>
              <w:bidi w:val="0"/>
              <w:rPr>
                <w:rFonts w:hint="default"/>
                <w:highlight w:val="none"/>
                <w:lang w:val="en-US" w:eastAsia="zh-CN"/>
              </w:rPr>
            </w:pPr>
          </w:p>
        </w:tc>
        <w:tc>
          <w:tcPr>
            <w:tcW w:w="262" w:type="pct"/>
            <w:tcBorders>
              <w:tl2br w:val="nil"/>
              <w:tr2bl w:val="nil"/>
            </w:tcBorders>
            <w:noWrap w:val="0"/>
            <w:vAlign w:val="center"/>
          </w:tcPr>
          <w:p w14:paraId="3CD8A91C">
            <w:pPr>
              <w:pStyle w:val="58"/>
              <w:bidi w:val="0"/>
              <w:rPr>
                <w:rFonts w:hint="default"/>
                <w:highlight w:val="none"/>
                <w:lang w:val="en-US" w:eastAsia="zh-CN"/>
              </w:rPr>
            </w:pPr>
            <w:r>
              <w:rPr>
                <w:rFonts w:hint="eastAsia"/>
                <w:highlight w:val="none"/>
                <w:lang w:eastAsia="zh-CN"/>
              </w:rPr>
              <w:t>H</w:t>
            </w:r>
            <w:r>
              <w:rPr>
                <w:rFonts w:hint="eastAsia"/>
                <w:highlight w:val="none"/>
                <w:vertAlign w:val="subscript"/>
                <w:lang w:eastAsia="zh-CN"/>
              </w:rPr>
              <w:t>2</w:t>
            </w:r>
            <w:r>
              <w:rPr>
                <w:rFonts w:hint="eastAsia"/>
                <w:highlight w:val="none"/>
                <w:lang w:eastAsia="zh-CN"/>
              </w:rPr>
              <w:t>S</w:t>
            </w:r>
          </w:p>
        </w:tc>
        <w:tc>
          <w:tcPr>
            <w:tcW w:w="425" w:type="pct"/>
            <w:vMerge w:val="continue"/>
            <w:tcBorders>
              <w:tl2br w:val="nil"/>
              <w:tr2bl w:val="nil"/>
            </w:tcBorders>
            <w:noWrap w:val="0"/>
            <w:vAlign w:val="center"/>
          </w:tcPr>
          <w:p w14:paraId="22EC70B2">
            <w:pPr>
              <w:pStyle w:val="58"/>
              <w:bidi w:val="0"/>
              <w:rPr>
                <w:rFonts w:hint="default"/>
                <w:highlight w:val="none"/>
                <w:lang w:val="en-US" w:eastAsia="zh-CN"/>
              </w:rPr>
            </w:pPr>
          </w:p>
        </w:tc>
        <w:tc>
          <w:tcPr>
            <w:tcW w:w="262" w:type="pct"/>
            <w:vMerge w:val="continue"/>
            <w:tcBorders>
              <w:tl2br w:val="nil"/>
              <w:tr2bl w:val="nil"/>
            </w:tcBorders>
            <w:noWrap w:val="0"/>
            <w:vAlign w:val="center"/>
          </w:tcPr>
          <w:p w14:paraId="1D6118A0">
            <w:pPr>
              <w:pStyle w:val="58"/>
              <w:bidi w:val="0"/>
              <w:rPr>
                <w:rFonts w:hint="default"/>
                <w:highlight w:val="none"/>
                <w:lang w:val="en-US" w:eastAsia="zh-CN"/>
              </w:rPr>
            </w:pPr>
          </w:p>
        </w:tc>
        <w:tc>
          <w:tcPr>
            <w:tcW w:w="320" w:type="pct"/>
            <w:vMerge w:val="continue"/>
            <w:tcBorders>
              <w:tl2br w:val="nil"/>
              <w:tr2bl w:val="nil"/>
            </w:tcBorders>
            <w:noWrap w:val="0"/>
            <w:vAlign w:val="center"/>
          </w:tcPr>
          <w:p w14:paraId="48FE3966">
            <w:pPr>
              <w:pStyle w:val="58"/>
              <w:bidi w:val="0"/>
              <w:rPr>
                <w:rFonts w:hint="default"/>
                <w:highlight w:val="none"/>
                <w:lang w:val="en-US" w:eastAsia="zh-CN"/>
              </w:rPr>
            </w:pPr>
          </w:p>
        </w:tc>
        <w:tc>
          <w:tcPr>
            <w:tcW w:w="363" w:type="pct"/>
            <w:vMerge w:val="continue"/>
            <w:tcBorders>
              <w:tl2br w:val="nil"/>
              <w:tr2bl w:val="nil"/>
            </w:tcBorders>
            <w:noWrap w:val="0"/>
            <w:vAlign w:val="center"/>
          </w:tcPr>
          <w:p w14:paraId="3EB47117">
            <w:pPr>
              <w:pStyle w:val="58"/>
              <w:bidi w:val="0"/>
              <w:rPr>
                <w:rFonts w:hint="default"/>
                <w:highlight w:val="none"/>
                <w:lang w:val="en-US" w:eastAsia="zh-CN"/>
              </w:rPr>
            </w:pPr>
          </w:p>
        </w:tc>
        <w:tc>
          <w:tcPr>
            <w:tcW w:w="344" w:type="pct"/>
            <w:tcBorders>
              <w:tl2br w:val="nil"/>
              <w:tr2bl w:val="nil"/>
            </w:tcBorders>
            <w:noWrap w:val="0"/>
            <w:vAlign w:val="center"/>
          </w:tcPr>
          <w:p w14:paraId="2832396E">
            <w:pPr>
              <w:pStyle w:val="58"/>
              <w:bidi w:val="0"/>
              <w:rPr>
                <w:rFonts w:hint="default"/>
                <w:highlight w:val="none"/>
                <w:lang w:val="en-US" w:eastAsia="zh-CN"/>
              </w:rPr>
            </w:pPr>
            <w:r>
              <w:rPr>
                <w:rFonts w:hint="eastAsia"/>
                <w:highlight w:val="none"/>
                <w:lang w:val="en-US" w:eastAsia="zh-CN"/>
              </w:rPr>
              <w:t>0.0576</w:t>
            </w:r>
          </w:p>
        </w:tc>
        <w:tc>
          <w:tcPr>
            <w:tcW w:w="418" w:type="pct"/>
            <w:gridSpan w:val="2"/>
            <w:tcBorders>
              <w:tl2br w:val="nil"/>
              <w:tr2bl w:val="nil"/>
            </w:tcBorders>
            <w:noWrap w:val="0"/>
            <w:vAlign w:val="center"/>
          </w:tcPr>
          <w:p w14:paraId="36DD4F4B">
            <w:pPr>
              <w:pStyle w:val="58"/>
              <w:bidi w:val="0"/>
              <w:rPr>
                <w:rFonts w:hint="eastAsia" w:eastAsia="宋体"/>
                <w:highlight w:val="none"/>
                <w:lang w:val="en-US" w:eastAsia="zh-CN"/>
              </w:rPr>
            </w:pPr>
            <w:r>
              <w:rPr>
                <w:rFonts w:hint="eastAsia"/>
                <w:highlight w:val="none"/>
                <w:lang w:eastAsia="zh-CN"/>
              </w:rPr>
              <w:t>0.0003</w:t>
            </w:r>
          </w:p>
        </w:tc>
        <w:tc>
          <w:tcPr>
            <w:tcW w:w="426" w:type="pct"/>
            <w:tcBorders>
              <w:tl2br w:val="nil"/>
              <w:tr2bl w:val="nil"/>
            </w:tcBorders>
            <w:noWrap w:val="0"/>
            <w:vAlign w:val="center"/>
          </w:tcPr>
          <w:p w14:paraId="2A03410D">
            <w:pPr>
              <w:pStyle w:val="58"/>
              <w:bidi w:val="0"/>
              <w:rPr>
                <w:rFonts w:hint="default" w:eastAsia="宋体"/>
                <w:highlight w:val="none"/>
                <w:lang w:val="en-US" w:eastAsia="zh-CN"/>
              </w:rPr>
            </w:pPr>
            <w:r>
              <w:rPr>
                <w:rFonts w:hint="eastAsia"/>
                <w:highlight w:val="none"/>
                <w:lang w:val="en-US" w:eastAsia="zh-CN"/>
              </w:rPr>
              <w:t>0.0025</w:t>
            </w:r>
          </w:p>
        </w:tc>
        <w:tc>
          <w:tcPr>
            <w:tcW w:w="359" w:type="pct"/>
            <w:tcBorders>
              <w:tl2br w:val="nil"/>
              <w:tr2bl w:val="nil"/>
            </w:tcBorders>
            <w:noWrap w:val="0"/>
            <w:vAlign w:val="center"/>
          </w:tcPr>
          <w:p w14:paraId="40CFB941">
            <w:pPr>
              <w:pStyle w:val="58"/>
              <w:bidi w:val="0"/>
              <w:rPr>
                <w:rFonts w:hint="default"/>
                <w:highlight w:val="none"/>
                <w:lang w:val="en-US" w:eastAsia="zh-CN"/>
              </w:rPr>
            </w:pPr>
            <w:r>
              <w:rPr>
                <w:rFonts w:hint="eastAsia"/>
                <w:highlight w:val="none"/>
                <w:lang w:val="en-US" w:eastAsia="zh-CN"/>
              </w:rPr>
              <w:t>0.33kg/h</w:t>
            </w:r>
          </w:p>
        </w:tc>
        <w:tc>
          <w:tcPr>
            <w:tcW w:w="659" w:type="pct"/>
            <w:vMerge w:val="continue"/>
            <w:tcBorders>
              <w:tl2br w:val="nil"/>
              <w:tr2bl w:val="nil"/>
            </w:tcBorders>
            <w:noWrap w:val="0"/>
            <w:vAlign w:val="center"/>
          </w:tcPr>
          <w:p w14:paraId="7DD2B860">
            <w:pPr>
              <w:pStyle w:val="58"/>
              <w:bidi w:val="0"/>
              <w:rPr>
                <w:rFonts w:hint="default"/>
                <w:highlight w:val="none"/>
                <w:lang w:eastAsia="zh-CN"/>
              </w:rPr>
            </w:pPr>
          </w:p>
        </w:tc>
        <w:tc>
          <w:tcPr>
            <w:tcW w:w="264" w:type="pct"/>
            <w:tcBorders>
              <w:tl2br w:val="nil"/>
              <w:tr2bl w:val="nil"/>
            </w:tcBorders>
            <w:noWrap w:val="0"/>
            <w:vAlign w:val="center"/>
          </w:tcPr>
          <w:p w14:paraId="0D1A625D">
            <w:pPr>
              <w:pStyle w:val="58"/>
              <w:bidi w:val="0"/>
              <w:rPr>
                <w:rFonts w:hint="default"/>
                <w:highlight w:val="none"/>
              </w:rPr>
            </w:pPr>
            <w:r>
              <w:rPr>
                <w:rFonts w:hint="default"/>
                <w:highlight w:val="none"/>
              </w:rPr>
              <w:t>达标</w:t>
            </w:r>
          </w:p>
        </w:tc>
      </w:tr>
      <w:bookmarkEnd w:id="403"/>
      <w:tr w14:paraId="2A9201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227" w:hRule="atLeast"/>
          <w:jc w:val="center"/>
        </w:trPr>
        <w:tc>
          <w:tcPr>
            <w:tcW w:w="161" w:type="pct"/>
            <w:vMerge w:val="continue"/>
            <w:tcBorders>
              <w:tl2br w:val="nil"/>
              <w:tr2bl w:val="nil"/>
            </w:tcBorders>
            <w:noWrap w:val="0"/>
            <w:vAlign w:val="center"/>
          </w:tcPr>
          <w:p w14:paraId="45C57F41">
            <w:pPr>
              <w:pStyle w:val="58"/>
              <w:bidi w:val="0"/>
              <w:rPr>
                <w:rFonts w:hint="default"/>
                <w:highlight w:val="none"/>
                <w:lang w:val="en-US" w:eastAsia="zh-CN"/>
              </w:rPr>
            </w:pPr>
          </w:p>
        </w:tc>
        <w:tc>
          <w:tcPr>
            <w:tcW w:w="429" w:type="pct"/>
            <w:vMerge w:val="continue"/>
            <w:tcBorders>
              <w:tl2br w:val="nil"/>
              <w:tr2bl w:val="nil"/>
            </w:tcBorders>
            <w:noWrap w:val="0"/>
            <w:vAlign w:val="center"/>
          </w:tcPr>
          <w:p w14:paraId="594AF43B">
            <w:pPr>
              <w:pStyle w:val="58"/>
              <w:bidi w:val="0"/>
              <w:rPr>
                <w:rFonts w:hint="default"/>
                <w:highlight w:val="none"/>
                <w:lang w:val="en-US" w:eastAsia="zh-CN"/>
              </w:rPr>
            </w:pPr>
          </w:p>
        </w:tc>
        <w:tc>
          <w:tcPr>
            <w:tcW w:w="302" w:type="pct"/>
            <w:vMerge w:val="continue"/>
            <w:tcBorders>
              <w:tl2br w:val="nil"/>
              <w:tr2bl w:val="nil"/>
            </w:tcBorders>
            <w:noWrap w:val="0"/>
            <w:vAlign w:val="center"/>
          </w:tcPr>
          <w:p w14:paraId="7C1E9688">
            <w:pPr>
              <w:pStyle w:val="58"/>
              <w:bidi w:val="0"/>
              <w:rPr>
                <w:rFonts w:hint="default"/>
                <w:highlight w:val="none"/>
                <w:lang w:val="en-US" w:eastAsia="zh-CN"/>
              </w:rPr>
            </w:pPr>
          </w:p>
        </w:tc>
        <w:tc>
          <w:tcPr>
            <w:tcW w:w="262" w:type="pct"/>
            <w:tcBorders>
              <w:tl2br w:val="nil"/>
              <w:tr2bl w:val="nil"/>
            </w:tcBorders>
            <w:noWrap w:val="0"/>
            <w:vAlign w:val="center"/>
          </w:tcPr>
          <w:p w14:paraId="5F2AF465">
            <w:pPr>
              <w:pStyle w:val="58"/>
              <w:bidi w:val="0"/>
              <w:rPr>
                <w:rFonts w:hint="default"/>
                <w:highlight w:val="none"/>
                <w:lang w:val="en-US" w:eastAsia="zh-CN"/>
              </w:rPr>
            </w:pPr>
            <w:r>
              <w:rPr>
                <w:rFonts w:hint="default"/>
                <w:highlight w:val="none"/>
              </w:rPr>
              <w:t>臭气浓度</w:t>
            </w:r>
          </w:p>
        </w:tc>
        <w:tc>
          <w:tcPr>
            <w:tcW w:w="425" w:type="pct"/>
            <w:vMerge w:val="continue"/>
            <w:tcBorders>
              <w:tl2br w:val="nil"/>
              <w:tr2bl w:val="nil"/>
            </w:tcBorders>
            <w:noWrap w:val="0"/>
            <w:vAlign w:val="center"/>
          </w:tcPr>
          <w:p w14:paraId="2EBA4A32">
            <w:pPr>
              <w:pStyle w:val="58"/>
              <w:bidi w:val="0"/>
              <w:rPr>
                <w:rFonts w:hint="default"/>
                <w:highlight w:val="none"/>
                <w:lang w:val="en-US" w:eastAsia="zh-CN"/>
              </w:rPr>
            </w:pPr>
          </w:p>
        </w:tc>
        <w:tc>
          <w:tcPr>
            <w:tcW w:w="262" w:type="pct"/>
            <w:vMerge w:val="continue"/>
            <w:tcBorders>
              <w:tl2br w:val="nil"/>
              <w:tr2bl w:val="nil"/>
            </w:tcBorders>
            <w:noWrap w:val="0"/>
            <w:vAlign w:val="center"/>
          </w:tcPr>
          <w:p w14:paraId="49DB3573">
            <w:pPr>
              <w:pStyle w:val="58"/>
              <w:bidi w:val="0"/>
              <w:rPr>
                <w:rFonts w:hint="default"/>
                <w:highlight w:val="none"/>
                <w:lang w:val="en-US" w:eastAsia="zh-CN"/>
              </w:rPr>
            </w:pPr>
          </w:p>
        </w:tc>
        <w:tc>
          <w:tcPr>
            <w:tcW w:w="320" w:type="pct"/>
            <w:vMerge w:val="continue"/>
            <w:tcBorders>
              <w:tl2br w:val="nil"/>
              <w:tr2bl w:val="nil"/>
            </w:tcBorders>
            <w:noWrap w:val="0"/>
            <w:vAlign w:val="center"/>
          </w:tcPr>
          <w:p w14:paraId="3A80A718">
            <w:pPr>
              <w:pStyle w:val="58"/>
              <w:bidi w:val="0"/>
              <w:rPr>
                <w:rFonts w:hint="default"/>
                <w:highlight w:val="none"/>
                <w:lang w:val="en-US" w:eastAsia="zh-CN"/>
              </w:rPr>
            </w:pPr>
          </w:p>
        </w:tc>
        <w:tc>
          <w:tcPr>
            <w:tcW w:w="363" w:type="pct"/>
            <w:vMerge w:val="continue"/>
            <w:tcBorders>
              <w:tl2br w:val="nil"/>
              <w:tr2bl w:val="nil"/>
            </w:tcBorders>
            <w:noWrap w:val="0"/>
            <w:vAlign w:val="center"/>
          </w:tcPr>
          <w:p w14:paraId="08416CB3">
            <w:pPr>
              <w:pStyle w:val="58"/>
              <w:bidi w:val="0"/>
              <w:rPr>
                <w:rFonts w:hint="default"/>
                <w:highlight w:val="none"/>
                <w:lang w:val="en-US" w:eastAsia="zh-CN"/>
              </w:rPr>
            </w:pPr>
          </w:p>
        </w:tc>
        <w:tc>
          <w:tcPr>
            <w:tcW w:w="762" w:type="pct"/>
            <w:gridSpan w:val="3"/>
            <w:tcBorders>
              <w:tl2br w:val="nil"/>
              <w:tr2bl w:val="nil"/>
            </w:tcBorders>
            <w:noWrap w:val="0"/>
            <w:vAlign w:val="center"/>
          </w:tcPr>
          <w:p w14:paraId="03EEBD79">
            <w:pPr>
              <w:pStyle w:val="58"/>
              <w:bidi w:val="0"/>
              <w:rPr>
                <w:rFonts w:hint="default"/>
                <w:highlight w:val="none"/>
                <w:lang w:val="en-US" w:eastAsia="zh-CN"/>
              </w:rPr>
            </w:pPr>
            <w:r>
              <w:rPr>
                <w:rFonts w:hint="default"/>
                <w:highlight w:val="none"/>
              </w:rPr>
              <w:t>≤2000（无量纲）</w:t>
            </w:r>
          </w:p>
        </w:tc>
        <w:tc>
          <w:tcPr>
            <w:tcW w:w="426" w:type="pct"/>
            <w:tcBorders>
              <w:tl2br w:val="nil"/>
              <w:tr2bl w:val="nil"/>
            </w:tcBorders>
            <w:noWrap w:val="0"/>
            <w:vAlign w:val="center"/>
          </w:tcPr>
          <w:p w14:paraId="237318CF">
            <w:pPr>
              <w:pStyle w:val="58"/>
              <w:bidi w:val="0"/>
              <w:rPr>
                <w:rFonts w:hint="default"/>
                <w:highlight w:val="none"/>
                <w:lang w:val="en-US" w:eastAsia="zh-CN"/>
              </w:rPr>
            </w:pPr>
            <w:r>
              <w:rPr>
                <w:rFonts w:hint="default"/>
                <w:highlight w:val="none"/>
              </w:rPr>
              <w:t>--</w:t>
            </w:r>
          </w:p>
        </w:tc>
        <w:tc>
          <w:tcPr>
            <w:tcW w:w="359" w:type="pct"/>
            <w:tcBorders>
              <w:tl2br w:val="nil"/>
              <w:tr2bl w:val="nil"/>
            </w:tcBorders>
            <w:noWrap w:val="0"/>
            <w:vAlign w:val="center"/>
          </w:tcPr>
          <w:p w14:paraId="7910694A">
            <w:pPr>
              <w:pStyle w:val="58"/>
              <w:bidi w:val="0"/>
              <w:rPr>
                <w:rFonts w:hint="default" w:eastAsia="宋体"/>
                <w:highlight w:val="none"/>
                <w:lang w:val="en-US" w:eastAsia="zh-CN"/>
              </w:rPr>
            </w:pPr>
            <w:r>
              <w:rPr>
                <w:rFonts w:hint="eastAsia"/>
                <w:highlight w:val="none"/>
                <w:lang w:val="en-US" w:eastAsia="zh-CN"/>
              </w:rPr>
              <w:t>2000</w:t>
            </w:r>
            <w:r>
              <w:rPr>
                <w:rFonts w:hint="default"/>
                <w:highlight w:val="none"/>
              </w:rPr>
              <w:t>（无量纲）</w:t>
            </w:r>
          </w:p>
        </w:tc>
        <w:tc>
          <w:tcPr>
            <w:tcW w:w="659" w:type="pct"/>
            <w:vMerge w:val="continue"/>
            <w:tcBorders>
              <w:tl2br w:val="nil"/>
              <w:tr2bl w:val="nil"/>
            </w:tcBorders>
            <w:noWrap w:val="0"/>
            <w:vAlign w:val="center"/>
          </w:tcPr>
          <w:p w14:paraId="75E7E790">
            <w:pPr>
              <w:pStyle w:val="58"/>
              <w:bidi w:val="0"/>
              <w:rPr>
                <w:rFonts w:hint="default"/>
                <w:highlight w:val="none"/>
                <w:lang w:eastAsia="zh-CN"/>
              </w:rPr>
            </w:pPr>
          </w:p>
        </w:tc>
        <w:tc>
          <w:tcPr>
            <w:tcW w:w="264" w:type="pct"/>
            <w:tcBorders>
              <w:tl2br w:val="nil"/>
              <w:tr2bl w:val="nil"/>
            </w:tcBorders>
            <w:noWrap w:val="0"/>
            <w:vAlign w:val="center"/>
          </w:tcPr>
          <w:p w14:paraId="33409270">
            <w:pPr>
              <w:pStyle w:val="58"/>
              <w:bidi w:val="0"/>
              <w:rPr>
                <w:rFonts w:hint="default"/>
                <w:highlight w:val="none"/>
              </w:rPr>
            </w:pPr>
            <w:r>
              <w:rPr>
                <w:rFonts w:hint="default"/>
                <w:highlight w:val="none"/>
              </w:rPr>
              <w:t>达标</w:t>
            </w:r>
          </w:p>
        </w:tc>
      </w:tr>
      <w:tr w14:paraId="397544E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227" w:hRule="atLeast"/>
          <w:jc w:val="center"/>
        </w:trPr>
        <w:tc>
          <w:tcPr>
            <w:tcW w:w="161" w:type="pct"/>
            <w:vMerge w:val="continue"/>
            <w:tcBorders>
              <w:tl2br w:val="nil"/>
              <w:tr2bl w:val="nil"/>
            </w:tcBorders>
            <w:noWrap w:val="0"/>
            <w:vAlign w:val="center"/>
          </w:tcPr>
          <w:p w14:paraId="34F7C14E">
            <w:pPr>
              <w:pStyle w:val="58"/>
              <w:bidi w:val="0"/>
              <w:rPr>
                <w:rFonts w:hint="default"/>
                <w:highlight w:val="none"/>
                <w:lang w:val="en-US" w:eastAsia="zh-CN"/>
              </w:rPr>
            </w:pPr>
          </w:p>
        </w:tc>
        <w:tc>
          <w:tcPr>
            <w:tcW w:w="429" w:type="pct"/>
            <w:vMerge w:val="restart"/>
            <w:tcBorders>
              <w:tl2br w:val="nil"/>
              <w:tr2bl w:val="nil"/>
            </w:tcBorders>
            <w:noWrap w:val="0"/>
            <w:vAlign w:val="center"/>
          </w:tcPr>
          <w:p w14:paraId="2CC72DC5">
            <w:pPr>
              <w:pStyle w:val="58"/>
              <w:bidi w:val="0"/>
              <w:rPr>
                <w:rFonts w:hint="default"/>
                <w:highlight w:val="none"/>
                <w:lang w:val="en-US" w:eastAsia="zh-CN"/>
              </w:rPr>
            </w:pPr>
            <w:r>
              <w:rPr>
                <w:rFonts w:hint="eastAsia"/>
                <w:highlight w:val="none"/>
                <w:lang w:val="en-US" w:eastAsia="zh-CN"/>
              </w:rPr>
              <w:t>厂界</w:t>
            </w:r>
          </w:p>
        </w:tc>
        <w:tc>
          <w:tcPr>
            <w:tcW w:w="302" w:type="pct"/>
            <w:tcBorders>
              <w:tl2br w:val="nil"/>
              <w:tr2bl w:val="nil"/>
            </w:tcBorders>
            <w:noWrap w:val="0"/>
            <w:vAlign w:val="center"/>
          </w:tcPr>
          <w:p w14:paraId="5C254ADF">
            <w:pPr>
              <w:pStyle w:val="58"/>
              <w:bidi w:val="0"/>
              <w:rPr>
                <w:rFonts w:hint="default"/>
                <w:highlight w:val="none"/>
                <w:lang w:val="en-US" w:eastAsia="zh-CN"/>
              </w:rPr>
            </w:pPr>
            <w:r>
              <w:rPr>
                <w:rFonts w:hint="eastAsia"/>
                <w:highlight w:val="none"/>
                <w:lang w:val="en-US" w:eastAsia="zh-CN"/>
              </w:rPr>
              <w:t>/</w:t>
            </w:r>
          </w:p>
        </w:tc>
        <w:tc>
          <w:tcPr>
            <w:tcW w:w="262" w:type="pct"/>
            <w:tcBorders>
              <w:tl2br w:val="nil"/>
              <w:tr2bl w:val="nil"/>
            </w:tcBorders>
            <w:noWrap w:val="0"/>
            <w:vAlign w:val="center"/>
          </w:tcPr>
          <w:p w14:paraId="411E4695">
            <w:pPr>
              <w:pStyle w:val="58"/>
              <w:bidi w:val="0"/>
              <w:ind w:firstLine="0" w:firstLineChars="0"/>
              <w:rPr>
                <w:rFonts w:hint="default"/>
                <w:highlight w:val="none"/>
              </w:rPr>
            </w:pPr>
            <w:r>
              <w:rPr>
                <w:rFonts w:hint="eastAsia"/>
                <w:highlight w:val="none"/>
                <w:lang w:eastAsia="zh-CN"/>
              </w:rPr>
              <w:t>NH</w:t>
            </w:r>
            <w:r>
              <w:rPr>
                <w:rFonts w:hint="eastAsia"/>
                <w:highlight w:val="none"/>
                <w:vertAlign w:val="subscript"/>
                <w:lang w:eastAsia="zh-CN"/>
              </w:rPr>
              <w:t>3</w:t>
            </w:r>
          </w:p>
        </w:tc>
        <w:tc>
          <w:tcPr>
            <w:tcW w:w="425" w:type="pct"/>
            <w:tcBorders>
              <w:tl2br w:val="nil"/>
              <w:tr2bl w:val="nil"/>
            </w:tcBorders>
            <w:noWrap w:val="0"/>
            <w:vAlign w:val="center"/>
          </w:tcPr>
          <w:p w14:paraId="2158EB7E">
            <w:pPr>
              <w:pStyle w:val="58"/>
              <w:bidi w:val="0"/>
              <w:ind w:firstLine="0" w:firstLineChars="0"/>
              <w:rPr>
                <w:rFonts w:hint="default"/>
                <w:highlight w:val="none"/>
                <w:lang w:val="en-US" w:eastAsia="zh-CN"/>
              </w:rPr>
            </w:pPr>
            <w:r>
              <w:rPr>
                <w:rFonts w:hint="eastAsia"/>
                <w:highlight w:val="none"/>
                <w:lang w:val="en-US" w:eastAsia="zh-CN"/>
              </w:rPr>
              <w:t>/</w:t>
            </w:r>
          </w:p>
        </w:tc>
        <w:tc>
          <w:tcPr>
            <w:tcW w:w="262" w:type="pct"/>
            <w:tcBorders>
              <w:tl2br w:val="nil"/>
              <w:tr2bl w:val="nil"/>
            </w:tcBorders>
            <w:noWrap w:val="0"/>
            <w:vAlign w:val="center"/>
          </w:tcPr>
          <w:p w14:paraId="6249263B">
            <w:pPr>
              <w:pStyle w:val="58"/>
              <w:bidi w:val="0"/>
              <w:ind w:firstLine="0" w:firstLineChars="0"/>
              <w:rPr>
                <w:rFonts w:hint="default"/>
                <w:highlight w:val="none"/>
                <w:lang w:val="en-US" w:eastAsia="zh-CN"/>
              </w:rPr>
            </w:pPr>
            <w:r>
              <w:rPr>
                <w:rFonts w:hint="eastAsia"/>
                <w:highlight w:val="none"/>
                <w:lang w:val="en-US" w:eastAsia="zh-CN"/>
              </w:rPr>
              <w:t>/</w:t>
            </w:r>
          </w:p>
        </w:tc>
        <w:tc>
          <w:tcPr>
            <w:tcW w:w="320" w:type="pct"/>
            <w:tcBorders>
              <w:tl2br w:val="nil"/>
              <w:tr2bl w:val="nil"/>
            </w:tcBorders>
            <w:noWrap w:val="0"/>
            <w:vAlign w:val="center"/>
          </w:tcPr>
          <w:p w14:paraId="76A9A33B">
            <w:pPr>
              <w:pStyle w:val="58"/>
              <w:bidi w:val="0"/>
              <w:ind w:firstLine="0" w:firstLineChars="0"/>
              <w:rPr>
                <w:rFonts w:hint="default"/>
                <w:highlight w:val="none"/>
                <w:lang w:val="en-US" w:eastAsia="zh-CN"/>
              </w:rPr>
            </w:pPr>
            <w:r>
              <w:rPr>
                <w:rFonts w:hint="eastAsia"/>
                <w:highlight w:val="none"/>
                <w:lang w:val="en-US" w:eastAsia="zh-CN"/>
              </w:rPr>
              <w:t>/</w:t>
            </w:r>
          </w:p>
        </w:tc>
        <w:tc>
          <w:tcPr>
            <w:tcW w:w="363" w:type="pct"/>
            <w:vMerge w:val="restart"/>
            <w:tcBorders>
              <w:tl2br w:val="nil"/>
              <w:tr2bl w:val="nil"/>
            </w:tcBorders>
            <w:noWrap w:val="0"/>
            <w:vAlign w:val="center"/>
          </w:tcPr>
          <w:p w14:paraId="3B974166">
            <w:pPr>
              <w:pStyle w:val="58"/>
              <w:bidi w:val="0"/>
              <w:rPr>
                <w:rFonts w:hint="default"/>
                <w:highlight w:val="none"/>
                <w:lang w:val="en-US" w:eastAsia="zh-CN"/>
              </w:rPr>
            </w:pPr>
            <w:r>
              <w:rPr>
                <w:rFonts w:hint="default" w:ascii="Times New Roman" w:hAnsi="Times New Roman" w:eastAsia="宋体" w:cs="Times New Roman"/>
                <w:highlight w:val="none"/>
                <w:lang w:val="en-US" w:eastAsia="zh-CN"/>
              </w:rPr>
              <w:t>加强密闭加强绿化</w:t>
            </w:r>
          </w:p>
        </w:tc>
        <w:tc>
          <w:tcPr>
            <w:tcW w:w="365" w:type="pct"/>
            <w:gridSpan w:val="2"/>
            <w:tcBorders>
              <w:tl2br w:val="nil"/>
              <w:tr2bl w:val="nil"/>
            </w:tcBorders>
            <w:noWrap w:val="0"/>
            <w:vAlign w:val="center"/>
          </w:tcPr>
          <w:p w14:paraId="253D64C8">
            <w:pPr>
              <w:pStyle w:val="58"/>
              <w:bidi w:val="0"/>
              <w:ind w:firstLine="0" w:firstLineChars="0"/>
              <w:rPr>
                <w:rFonts w:hint="default"/>
                <w:highlight w:val="none"/>
              </w:rPr>
            </w:pPr>
            <w:r>
              <w:rPr>
                <w:rFonts w:hint="default" w:ascii="Times New Roman" w:hAnsi="Times New Roman" w:eastAsia="宋体" w:cs="Times New Roman"/>
                <w:highlight w:val="none"/>
              </w:rPr>
              <w:t>/</w:t>
            </w:r>
          </w:p>
        </w:tc>
        <w:tc>
          <w:tcPr>
            <w:tcW w:w="397" w:type="pct"/>
            <w:tcBorders>
              <w:tl2br w:val="nil"/>
              <w:tr2bl w:val="nil"/>
            </w:tcBorders>
            <w:noWrap w:val="0"/>
            <w:vAlign w:val="center"/>
          </w:tcPr>
          <w:p w14:paraId="535C20E0">
            <w:pPr>
              <w:pStyle w:val="58"/>
              <w:bidi w:val="0"/>
              <w:ind w:firstLine="0" w:firstLineChars="0"/>
              <w:rPr>
                <w:rFonts w:hint="default"/>
                <w:highlight w:val="none"/>
              </w:rPr>
            </w:pPr>
            <w:r>
              <w:rPr>
                <w:rFonts w:hint="default" w:ascii="Times New Roman" w:hAnsi="Times New Roman" w:eastAsia="宋体" w:cs="Times New Roman"/>
                <w:highlight w:val="none"/>
              </w:rPr>
              <w:t>0.00</w:t>
            </w:r>
            <w:r>
              <w:rPr>
                <w:rFonts w:hint="eastAsia" w:cs="Times New Roman"/>
                <w:highlight w:val="none"/>
                <w:lang w:val="en-US" w:eastAsia="zh-CN"/>
              </w:rPr>
              <w:t>38</w:t>
            </w:r>
          </w:p>
        </w:tc>
        <w:tc>
          <w:tcPr>
            <w:tcW w:w="426" w:type="pct"/>
            <w:tcBorders>
              <w:tl2br w:val="nil"/>
              <w:tr2bl w:val="nil"/>
            </w:tcBorders>
            <w:noWrap w:val="0"/>
            <w:vAlign w:val="center"/>
          </w:tcPr>
          <w:p w14:paraId="18CDE5EC">
            <w:pPr>
              <w:pStyle w:val="58"/>
              <w:bidi w:val="0"/>
              <w:ind w:firstLine="0" w:firstLineChars="0"/>
              <w:rPr>
                <w:rFonts w:hint="default"/>
                <w:highlight w:val="none"/>
              </w:rPr>
            </w:pPr>
            <w:r>
              <w:rPr>
                <w:rFonts w:hint="default" w:ascii="Times New Roman" w:hAnsi="Times New Roman" w:eastAsia="宋体" w:cs="Times New Roman"/>
                <w:highlight w:val="none"/>
              </w:rPr>
              <w:t>--</w:t>
            </w:r>
          </w:p>
        </w:tc>
        <w:tc>
          <w:tcPr>
            <w:tcW w:w="359" w:type="pct"/>
            <w:tcBorders>
              <w:tl2br w:val="nil"/>
              <w:tr2bl w:val="nil"/>
            </w:tcBorders>
            <w:noWrap w:val="0"/>
            <w:vAlign w:val="center"/>
          </w:tcPr>
          <w:p w14:paraId="12C453E9">
            <w:pPr>
              <w:pStyle w:val="58"/>
              <w:bidi w:val="0"/>
              <w:ind w:firstLine="0" w:firstLineChars="0"/>
              <w:rPr>
                <w:rFonts w:hint="eastAsia"/>
                <w:highlight w:val="none"/>
                <w:lang w:val="en-US" w:eastAsia="zh-CN"/>
              </w:rPr>
            </w:pPr>
            <w:r>
              <w:rPr>
                <w:rFonts w:hint="default" w:ascii="Times New Roman" w:hAnsi="Times New Roman" w:eastAsia="宋体" w:cs="Times New Roman"/>
                <w:highlight w:val="none"/>
                <w:lang w:val="en-US" w:eastAsia="zh-CN"/>
              </w:rPr>
              <w:t>1.</w:t>
            </w:r>
            <w:r>
              <w:rPr>
                <w:rFonts w:hint="eastAsia" w:cs="Times New Roman"/>
                <w:highlight w:val="none"/>
                <w:lang w:val="en-US" w:eastAsia="zh-CN"/>
              </w:rPr>
              <w:t>5</w:t>
            </w:r>
            <w:r>
              <w:rPr>
                <w:rFonts w:hint="default" w:ascii="Times New Roman" w:hAnsi="Times New Roman" w:eastAsia="宋体" w:cs="Times New Roman"/>
                <w:highlight w:val="none"/>
                <w:lang w:val="en-US" w:eastAsia="zh-CN"/>
              </w:rPr>
              <w:t>mg/m</w:t>
            </w:r>
            <w:r>
              <w:rPr>
                <w:rFonts w:hint="default" w:ascii="Times New Roman" w:hAnsi="Times New Roman" w:eastAsia="宋体" w:cs="Times New Roman"/>
                <w:highlight w:val="none"/>
                <w:vertAlign w:val="superscript"/>
                <w:lang w:val="en-US" w:eastAsia="zh-CN"/>
              </w:rPr>
              <w:t>3</w:t>
            </w:r>
          </w:p>
        </w:tc>
        <w:tc>
          <w:tcPr>
            <w:tcW w:w="659" w:type="pct"/>
            <w:vMerge w:val="restart"/>
            <w:tcBorders>
              <w:tl2br w:val="nil"/>
              <w:tr2bl w:val="nil"/>
            </w:tcBorders>
            <w:noWrap w:val="0"/>
            <w:vAlign w:val="center"/>
          </w:tcPr>
          <w:p w14:paraId="2624F80A">
            <w:pPr>
              <w:pStyle w:val="58"/>
              <w:bidi w:val="0"/>
              <w:rPr>
                <w:rFonts w:hint="default"/>
                <w:highlight w:val="none"/>
                <w:lang w:eastAsia="zh-CN"/>
              </w:rPr>
            </w:pPr>
            <w:r>
              <w:rPr>
                <w:rFonts w:hint="default" w:ascii="Times New Roman" w:hAnsi="Times New Roman" w:eastAsia="宋体" w:cs="Times New Roman"/>
                <w:highlight w:val="none"/>
              </w:rPr>
              <w:t>《城镇污水处理厂污染物排放标准》（GB18918-2002）表4二级标准</w:t>
            </w:r>
          </w:p>
        </w:tc>
        <w:tc>
          <w:tcPr>
            <w:tcW w:w="264" w:type="pct"/>
            <w:tcBorders>
              <w:tl2br w:val="nil"/>
              <w:tr2bl w:val="nil"/>
            </w:tcBorders>
            <w:noWrap w:val="0"/>
            <w:vAlign w:val="center"/>
          </w:tcPr>
          <w:p w14:paraId="38CF393F">
            <w:pPr>
              <w:pStyle w:val="58"/>
              <w:bidi w:val="0"/>
              <w:ind w:firstLine="0" w:firstLineChars="0"/>
              <w:rPr>
                <w:rFonts w:hint="default"/>
                <w:highlight w:val="none"/>
              </w:rPr>
            </w:pPr>
            <w:r>
              <w:rPr>
                <w:rFonts w:hint="default"/>
                <w:highlight w:val="none"/>
              </w:rPr>
              <w:t>达标</w:t>
            </w:r>
          </w:p>
        </w:tc>
      </w:tr>
      <w:tr w14:paraId="79F7F66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227" w:hRule="atLeast"/>
          <w:jc w:val="center"/>
        </w:trPr>
        <w:tc>
          <w:tcPr>
            <w:tcW w:w="161" w:type="pct"/>
            <w:vMerge w:val="continue"/>
            <w:tcBorders>
              <w:tl2br w:val="nil"/>
              <w:tr2bl w:val="nil"/>
            </w:tcBorders>
            <w:noWrap w:val="0"/>
            <w:vAlign w:val="center"/>
          </w:tcPr>
          <w:p w14:paraId="1BAF59C0">
            <w:pPr>
              <w:pStyle w:val="58"/>
              <w:bidi w:val="0"/>
              <w:rPr>
                <w:rFonts w:hint="default"/>
                <w:highlight w:val="none"/>
                <w:lang w:val="en-US" w:eastAsia="zh-CN"/>
              </w:rPr>
            </w:pPr>
          </w:p>
        </w:tc>
        <w:tc>
          <w:tcPr>
            <w:tcW w:w="429" w:type="pct"/>
            <w:vMerge w:val="continue"/>
            <w:tcBorders>
              <w:tl2br w:val="nil"/>
              <w:tr2bl w:val="nil"/>
            </w:tcBorders>
            <w:noWrap w:val="0"/>
            <w:vAlign w:val="center"/>
          </w:tcPr>
          <w:p w14:paraId="6A36C9AB">
            <w:pPr>
              <w:pStyle w:val="58"/>
              <w:bidi w:val="0"/>
              <w:rPr>
                <w:rFonts w:hint="default"/>
                <w:highlight w:val="none"/>
                <w:lang w:val="en-US" w:eastAsia="zh-CN"/>
              </w:rPr>
            </w:pPr>
          </w:p>
        </w:tc>
        <w:tc>
          <w:tcPr>
            <w:tcW w:w="302" w:type="pct"/>
            <w:tcBorders>
              <w:tl2br w:val="nil"/>
              <w:tr2bl w:val="nil"/>
            </w:tcBorders>
            <w:noWrap w:val="0"/>
            <w:vAlign w:val="center"/>
          </w:tcPr>
          <w:p w14:paraId="0172B630">
            <w:pPr>
              <w:pStyle w:val="58"/>
              <w:bidi w:val="0"/>
              <w:rPr>
                <w:rFonts w:hint="default"/>
                <w:highlight w:val="none"/>
                <w:lang w:val="en-US" w:eastAsia="zh-CN"/>
              </w:rPr>
            </w:pPr>
            <w:r>
              <w:rPr>
                <w:rFonts w:hint="eastAsia"/>
                <w:highlight w:val="none"/>
                <w:lang w:val="en-US" w:eastAsia="zh-CN"/>
              </w:rPr>
              <w:t>/</w:t>
            </w:r>
          </w:p>
        </w:tc>
        <w:tc>
          <w:tcPr>
            <w:tcW w:w="262" w:type="pct"/>
            <w:tcBorders>
              <w:tl2br w:val="nil"/>
              <w:tr2bl w:val="nil"/>
            </w:tcBorders>
            <w:noWrap w:val="0"/>
            <w:vAlign w:val="center"/>
          </w:tcPr>
          <w:p w14:paraId="7EFC8ECD">
            <w:pPr>
              <w:pStyle w:val="58"/>
              <w:bidi w:val="0"/>
              <w:ind w:firstLine="0" w:firstLineChars="0"/>
              <w:rPr>
                <w:rFonts w:hint="default"/>
                <w:highlight w:val="none"/>
              </w:rPr>
            </w:pPr>
            <w:r>
              <w:rPr>
                <w:rFonts w:hint="eastAsia"/>
                <w:highlight w:val="none"/>
                <w:lang w:eastAsia="zh-CN"/>
              </w:rPr>
              <w:t>H</w:t>
            </w:r>
            <w:r>
              <w:rPr>
                <w:rFonts w:hint="eastAsia"/>
                <w:highlight w:val="none"/>
                <w:vertAlign w:val="subscript"/>
                <w:lang w:eastAsia="zh-CN"/>
              </w:rPr>
              <w:t>2</w:t>
            </w:r>
            <w:r>
              <w:rPr>
                <w:rFonts w:hint="eastAsia"/>
                <w:highlight w:val="none"/>
                <w:lang w:eastAsia="zh-CN"/>
              </w:rPr>
              <w:t>S</w:t>
            </w:r>
          </w:p>
        </w:tc>
        <w:tc>
          <w:tcPr>
            <w:tcW w:w="425" w:type="pct"/>
            <w:tcBorders>
              <w:tl2br w:val="nil"/>
              <w:tr2bl w:val="nil"/>
            </w:tcBorders>
            <w:noWrap w:val="0"/>
            <w:vAlign w:val="center"/>
          </w:tcPr>
          <w:p w14:paraId="47D2D84E">
            <w:pPr>
              <w:pStyle w:val="58"/>
              <w:bidi w:val="0"/>
              <w:ind w:firstLine="0" w:firstLineChars="0"/>
              <w:rPr>
                <w:rFonts w:hint="default"/>
                <w:highlight w:val="none"/>
                <w:lang w:val="en-US" w:eastAsia="zh-CN"/>
              </w:rPr>
            </w:pPr>
            <w:r>
              <w:rPr>
                <w:rFonts w:hint="eastAsia"/>
                <w:highlight w:val="none"/>
                <w:lang w:val="en-US" w:eastAsia="zh-CN"/>
              </w:rPr>
              <w:t>/</w:t>
            </w:r>
          </w:p>
        </w:tc>
        <w:tc>
          <w:tcPr>
            <w:tcW w:w="262" w:type="pct"/>
            <w:tcBorders>
              <w:tl2br w:val="nil"/>
              <w:tr2bl w:val="nil"/>
            </w:tcBorders>
            <w:noWrap w:val="0"/>
            <w:vAlign w:val="center"/>
          </w:tcPr>
          <w:p w14:paraId="06496D85">
            <w:pPr>
              <w:pStyle w:val="58"/>
              <w:bidi w:val="0"/>
              <w:ind w:firstLine="0" w:firstLineChars="0"/>
              <w:rPr>
                <w:rFonts w:hint="default"/>
                <w:highlight w:val="none"/>
                <w:lang w:val="en-US" w:eastAsia="zh-CN"/>
              </w:rPr>
            </w:pPr>
            <w:r>
              <w:rPr>
                <w:rFonts w:hint="eastAsia"/>
                <w:highlight w:val="none"/>
                <w:lang w:val="en-US" w:eastAsia="zh-CN"/>
              </w:rPr>
              <w:t>/</w:t>
            </w:r>
          </w:p>
        </w:tc>
        <w:tc>
          <w:tcPr>
            <w:tcW w:w="320" w:type="pct"/>
            <w:tcBorders>
              <w:tl2br w:val="nil"/>
              <w:tr2bl w:val="nil"/>
            </w:tcBorders>
            <w:noWrap w:val="0"/>
            <w:vAlign w:val="center"/>
          </w:tcPr>
          <w:p w14:paraId="3DBC8AD7">
            <w:pPr>
              <w:pStyle w:val="58"/>
              <w:bidi w:val="0"/>
              <w:ind w:firstLine="0" w:firstLineChars="0"/>
              <w:rPr>
                <w:rFonts w:hint="default"/>
                <w:highlight w:val="none"/>
                <w:lang w:val="en-US" w:eastAsia="zh-CN"/>
              </w:rPr>
            </w:pPr>
            <w:r>
              <w:rPr>
                <w:rFonts w:hint="eastAsia"/>
                <w:highlight w:val="none"/>
                <w:lang w:val="en-US" w:eastAsia="zh-CN"/>
              </w:rPr>
              <w:t>/</w:t>
            </w:r>
          </w:p>
        </w:tc>
        <w:tc>
          <w:tcPr>
            <w:tcW w:w="363" w:type="pct"/>
            <w:vMerge w:val="continue"/>
            <w:tcBorders>
              <w:tl2br w:val="nil"/>
              <w:tr2bl w:val="nil"/>
            </w:tcBorders>
            <w:noWrap w:val="0"/>
            <w:vAlign w:val="center"/>
          </w:tcPr>
          <w:p w14:paraId="3A9D1A16">
            <w:pPr>
              <w:pStyle w:val="58"/>
              <w:bidi w:val="0"/>
              <w:rPr>
                <w:rFonts w:hint="default"/>
                <w:highlight w:val="none"/>
                <w:lang w:val="en-US" w:eastAsia="zh-CN"/>
              </w:rPr>
            </w:pPr>
          </w:p>
        </w:tc>
        <w:tc>
          <w:tcPr>
            <w:tcW w:w="365" w:type="pct"/>
            <w:gridSpan w:val="2"/>
            <w:tcBorders>
              <w:tl2br w:val="nil"/>
              <w:tr2bl w:val="nil"/>
            </w:tcBorders>
            <w:noWrap w:val="0"/>
            <w:vAlign w:val="center"/>
          </w:tcPr>
          <w:p w14:paraId="00141535">
            <w:pPr>
              <w:pStyle w:val="58"/>
              <w:bidi w:val="0"/>
              <w:ind w:firstLine="0" w:firstLineChars="0"/>
              <w:rPr>
                <w:rFonts w:hint="default"/>
                <w:highlight w:val="none"/>
              </w:rPr>
            </w:pPr>
            <w:r>
              <w:rPr>
                <w:rFonts w:hint="default" w:ascii="Times New Roman" w:hAnsi="Times New Roman" w:eastAsia="宋体" w:cs="Times New Roman"/>
                <w:highlight w:val="none"/>
              </w:rPr>
              <w:t>/</w:t>
            </w:r>
          </w:p>
        </w:tc>
        <w:tc>
          <w:tcPr>
            <w:tcW w:w="397" w:type="pct"/>
            <w:tcBorders>
              <w:tl2br w:val="nil"/>
              <w:tr2bl w:val="nil"/>
            </w:tcBorders>
            <w:noWrap w:val="0"/>
            <w:vAlign w:val="center"/>
          </w:tcPr>
          <w:p w14:paraId="3C2D7F1A">
            <w:pPr>
              <w:pStyle w:val="58"/>
              <w:bidi w:val="0"/>
              <w:ind w:firstLine="0" w:firstLineChars="0"/>
              <w:rPr>
                <w:rFonts w:hint="default"/>
                <w:highlight w:val="none"/>
              </w:rPr>
            </w:pPr>
            <w:r>
              <w:rPr>
                <w:rFonts w:hint="default" w:ascii="Times New Roman" w:hAnsi="Times New Roman" w:eastAsia="宋体" w:cs="Times New Roman"/>
                <w:highlight w:val="none"/>
              </w:rPr>
              <w:t>0.00</w:t>
            </w:r>
            <w:r>
              <w:rPr>
                <w:rFonts w:hint="eastAsia" w:cs="Times New Roman"/>
                <w:highlight w:val="none"/>
                <w:lang w:val="en-US" w:eastAsia="zh-CN"/>
              </w:rPr>
              <w:t>4</w:t>
            </w:r>
            <w:r>
              <w:rPr>
                <w:rFonts w:hint="default" w:ascii="Times New Roman" w:hAnsi="Times New Roman" w:eastAsia="宋体" w:cs="Times New Roman"/>
                <w:highlight w:val="none"/>
              </w:rPr>
              <w:t>2</w:t>
            </w:r>
          </w:p>
        </w:tc>
        <w:tc>
          <w:tcPr>
            <w:tcW w:w="426" w:type="pct"/>
            <w:tcBorders>
              <w:tl2br w:val="nil"/>
              <w:tr2bl w:val="nil"/>
            </w:tcBorders>
            <w:noWrap w:val="0"/>
            <w:vAlign w:val="center"/>
          </w:tcPr>
          <w:p w14:paraId="47A5DE03">
            <w:pPr>
              <w:pStyle w:val="58"/>
              <w:bidi w:val="0"/>
              <w:ind w:firstLine="0" w:firstLineChars="0"/>
              <w:rPr>
                <w:rFonts w:hint="default"/>
                <w:highlight w:val="none"/>
              </w:rPr>
            </w:pPr>
            <w:r>
              <w:rPr>
                <w:rFonts w:hint="default" w:ascii="Times New Roman" w:hAnsi="Times New Roman" w:eastAsia="宋体" w:cs="Times New Roman"/>
                <w:highlight w:val="none"/>
              </w:rPr>
              <w:t>--</w:t>
            </w:r>
          </w:p>
        </w:tc>
        <w:tc>
          <w:tcPr>
            <w:tcW w:w="359" w:type="pct"/>
            <w:tcBorders>
              <w:tl2br w:val="nil"/>
              <w:tr2bl w:val="nil"/>
            </w:tcBorders>
            <w:noWrap w:val="0"/>
            <w:vAlign w:val="center"/>
          </w:tcPr>
          <w:p w14:paraId="7354D50D">
            <w:pPr>
              <w:pStyle w:val="58"/>
              <w:bidi w:val="0"/>
              <w:ind w:firstLine="0" w:firstLineChars="0"/>
              <w:rPr>
                <w:rFonts w:hint="eastAsia"/>
                <w:highlight w:val="none"/>
                <w:lang w:val="en-US" w:eastAsia="zh-CN"/>
              </w:rPr>
            </w:pPr>
            <w:r>
              <w:rPr>
                <w:rFonts w:hint="default" w:ascii="Times New Roman" w:hAnsi="Times New Roman" w:eastAsia="宋体" w:cs="Times New Roman"/>
                <w:highlight w:val="none"/>
                <w:lang w:val="en-US" w:eastAsia="zh-CN"/>
              </w:rPr>
              <w:t>0.06mg/m</w:t>
            </w:r>
            <w:r>
              <w:rPr>
                <w:rFonts w:hint="default" w:ascii="Times New Roman" w:hAnsi="Times New Roman" w:eastAsia="宋体" w:cs="Times New Roman"/>
                <w:highlight w:val="none"/>
                <w:vertAlign w:val="superscript"/>
                <w:lang w:val="en-US" w:eastAsia="zh-CN"/>
              </w:rPr>
              <w:t>3</w:t>
            </w:r>
          </w:p>
        </w:tc>
        <w:tc>
          <w:tcPr>
            <w:tcW w:w="659" w:type="pct"/>
            <w:vMerge w:val="continue"/>
            <w:tcBorders>
              <w:tl2br w:val="nil"/>
              <w:tr2bl w:val="nil"/>
            </w:tcBorders>
            <w:noWrap w:val="0"/>
            <w:vAlign w:val="center"/>
          </w:tcPr>
          <w:p w14:paraId="3688FB59">
            <w:pPr>
              <w:pStyle w:val="58"/>
              <w:bidi w:val="0"/>
              <w:rPr>
                <w:rFonts w:hint="default"/>
                <w:highlight w:val="none"/>
                <w:lang w:eastAsia="zh-CN"/>
              </w:rPr>
            </w:pPr>
          </w:p>
        </w:tc>
        <w:tc>
          <w:tcPr>
            <w:tcW w:w="264" w:type="pct"/>
            <w:tcBorders>
              <w:tl2br w:val="nil"/>
              <w:tr2bl w:val="nil"/>
            </w:tcBorders>
            <w:noWrap w:val="0"/>
            <w:vAlign w:val="center"/>
          </w:tcPr>
          <w:p w14:paraId="4AABEEA0">
            <w:pPr>
              <w:pStyle w:val="58"/>
              <w:bidi w:val="0"/>
              <w:ind w:firstLine="0" w:firstLineChars="0"/>
              <w:rPr>
                <w:rFonts w:hint="default"/>
                <w:highlight w:val="none"/>
              </w:rPr>
            </w:pPr>
            <w:r>
              <w:rPr>
                <w:rFonts w:hint="default"/>
                <w:highlight w:val="none"/>
              </w:rPr>
              <w:t>达标</w:t>
            </w:r>
          </w:p>
        </w:tc>
      </w:tr>
      <w:tr w14:paraId="377F64D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227" w:hRule="atLeast"/>
          <w:jc w:val="center"/>
        </w:trPr>
        <w:tc>
          <w:tcPr>
            <w:tcW w:w="161" w:type="pct"/>
            <w:vMerge w:val="continue"/>
            <w:tcBorders>
              <w:tl2br w:val="nil"/>
              <w:tr2bl w:val="nil"/>
            </w:tcBorders>
            <w:noWrap w:val="0"/>
            <w:vAlign w:val="center"/>
          </w:tcPr>
          <w:p w14:paraId="4AFC6350">
            <w:pPr>
              <w:pStyle w:val="58"/>
              <w:bidi w:val="0"/>
              <w:rPr>
                <w:rFonts w:hint="default"/>
                <w:highlight w:val="none"/>
                <w:lang w:val="en-US" w:eastAsia="zh-CN"/>
              </w:rPr>
            </w:pPr>
          </w:p>
        </w:tc>
        <w:tc>
          <w:tcPr>
            <w:tcW w:w="429" w:type="pct"/>
            <w:vMerge w:val="continue"/>
            <w:tcBorders>
              <w:tl2br w:val="nil"/>
              <w:tr2bl w:val="nil"/>
            </w:tcBorders>
            <w:noWrap w:val="0"/>
            <w:vAlign w:val="center"/>
          </w:tcPr>
          <w:p w14:paraId="5188E16F">
            <w:pPr>
              <w:pStyle w:val="58"/>
              <w:bidi w:val="0"/>
              <w:rPr>
                <w:rFonts w:hint="default"/>
                <w:highlight w:val="none"/>
                <w:lang w:val="en-US" w:eastAsia="zh-CN"/>
              </w:rPr>
            </w:pPr>
          </w:p>
        </w:tc>
        <w:tc>
          <w:tcPr>
            <w:tcW w:w="302" w:type="pct"/>
            <w:tcBorders>
              <w:tl2br w:val="nil"/>
              <w:tr2bl w:val="nil"/>
            </w:tcBorders>
            <w:noWrap w:val="0"/>
            <w:vAlign w:val="center"/>
          </w:tcPr>
          <w:p w14:paraId="0AAC885D">
            <w:pPr>
              <w:pStyle w:val="58"/>
              <w:bidi w:val="0"/>
              <w:rPr>
                <w:rFonts w:hint="default"/>
                <w:highlight w:val="none"/>
                <w:lang w:val="en-US" w:eastAsia="zh-CN"/>
              </w:rPr>
            </w:pPr>
            <w:r>
              <w:rPr>
                <w:rFonts w:hint="eastAsia"/>
                <w:highlight w:val="none"/>
                <w:lang w:val="en-US" w:eastAsia="zh-CN"/>
              </w:rPr>
              <w:t>/</w:t>
            </w:r>
          </w:p>
        </w:tc>
        <w:tc>
          <w:tcPr>
            <w:tcW w:w="262" w:type="pct"/>
            <w:tcBorders>
              <w:tl2br w:val="nil"/>
              <w:tr2bl w:val="nil"/>
            </w:tcBorders>
            <w:noWrap w:val="0"/>
            <w:vAlign w:val="center"/>
          </w:tcPr>
          <w:p w14:paraId="08C7FFD4">
            <w:pPr>
              <w:pStyle w:val="58"/>
              <w:bidi w:val="0"/>
              <w:ind w:firstLine="0" w:firstLineChars="0"/>
              <w:rPr>
                <w:rFonts w:hint="default"/>
                <w:highlight w:val="none"/>
              </w:rPr>
            </w:pPr>
            <w:r>
              <w:rPr>
                <w:rFonts w:hint="default" w:ascii="Times New Roman" w:hAnsi="Times New Roman" w:eastAsia="宋体" w:cs="Times New Roman"/>
                <w:highlight w:val="none"/>
                <w:lang w:val="en-US" w:eastAsia="zh-CN"/>
              </w:rPr>
              <w:t>臭气浓度</w:t>
            </w:r>
          </w:p>
        </w:tc>
        <w:tc>
          <w:tcPr>
            <w:tcW w:w="425" w:type="pct"/>
            <w:tcBorders>
              <w:tl2br w:val="nil"/>
              <w:tr2bl w:val="nil"/>
            </w:tcBorders>
            <w:noWrap w:val="0"/>
            <w:vAlign w:val="center"/>
          </w:tcPr>
          <w:p w14:paraId="57860A82">
            <w:pPr>
              <w:pStyle w:val="58"/>
              <w:bidi w:val="0"/>
              <w:ind w:firstLine="0" w:firstLineChars="0"/>
              <w:rPr>
                <w:rFonts w:hint="default"/>
                <w:highlight w:val="none"/>
                <w:lang w:val="en-US" w:eastAsia="zh-CN"/>
              </w:rPr>
            </w:pPr>
            <w:r>
              <w:rPr>
                <w:rFonts w:hint="eastAsia"/>
                <w:highlight w:val="none"/>
                <w:lang w:val="en-US" w:eastAsia="zh-CN"/>
              </w:rPr>
              <w:t>/</w:t>
            </w:r>
          </w:p>
        </w:tc>
        <w:tc>
          <w:tcPr>
            <w:tcW w:w="262" w:type="pct"/>
            <w:tcBorders>
              <w:tl2br w:val="nil"/>
              <w:tr2bl w:val="nil"/>
            </w:tcBorders>
            <w:noWrap w:val="0"/>
            <w:vAlign w:val="center"/>
          </w:tcPr>
          <w:p w14:paraId="63C92E85">
            <w:pPr>
              <w:pStyle w:val="58"/>
              <w:bidi w:val="0"/>
              <w:ind w:firstLine="0" w:firstLineChars="0"/>
              <w:rPr>
                <w:rFonts w:hint="default"/>
                <w:highlight w:val="none"/>
                <w:lang w:val="en-US" w:eastAsia="zh-CN"/>
              </w:rPr>
            </w:pPr>
            <w:r>
              <w:rPr>
                <w:rFonts w:hint="eastAsia"/>
                <w:highlight w:val="none"/>
                <w:lang w:val="en-US" w:eastAsia="zh-CN"/>
              </w:rPr>
              <w:t>/</w:t>
            </w:r>
          </w:p>
        </w:tc>
        <w:tc>
          <w:tcPr>
            <w:tcW w:w="320" w:type="pct"/>
            <w:tcBorders>
              <w:tl2br w:val="nil"/>
              <w:tr2bl w:val="nil"/>
            </w:tcBorders>
            <w:noWrap w:val="0"/>
            <w:vAlign w:val="center"/>
          </w:tcPr>
          <w:p w14:paraId="7CDF43D4">
            <w:pPr>
              <w:pStyle w:val="58"/>
              <w:bidi w:val="0"/>
              <w:ind w:firstLine="0" w:firstLineChars="0"/>
              <w:rPr>
                <w:rFonts w:hint="default"/>
                <w:highlight w:val="none"/>
                <w:lang w:val="en-US" w:eastAsia="zh-CN"/>
              </w:rPr>
            </w:pPr>
            <w:r>
              <w:rPr>
                <w:rFonts w:hint="eastAsia"/>
                <w:highlight w:val="none"/>
                <w:lang w:val="en-US" w:eastAsia="zh-CN"/>
              </w:rPr>
              <w:t>/</w:t>
            </w:r>
          </w:p>
        </w:tc>
        <w:tc>
          <w:tcPr>
            <w:tcW w:w="363" w:type="pct"/>
            <w:vMerge w:val="continue"/>
            <w:tcBorders>
              <w:tl2br w:val="nil"/>
              <w:tr2bl w:val="nil"/>
            </w:tcBorders>
            <w:noWrap w:val="0"/>
            <w:vAlign w:val="center"/>
          </w:tcPr>
          <w:p w14:paraId="1301BA37">
            <w:pPr>
              <w:pStyle w:val="58"/>
              <w:bidi w:val="0"/>
              <w:rPr>
                <w:rFonts w:hint="default"/>
                <w:highlight w:val="none"/>
                <w:lang w:val="en-US" w:eastAsia="zh-CN"/>
              </w:rPr>
            </w:pPr>
          </w:p>
        </w:tc>
        <w:tc>
          <w:tcPr>
            <w:tcW w:w="365" w:type="pct"/>
            <w:gridSpan w:val="2"/>
            <w:tcBorders>
              <w:tl2br w:val="nil"/>
              <w:tr2bl w:val="nil"/>
            </w:tcBorders>
            <w:noWrap w:val="0"/>
            <w:vAlign w:val="center"/>
          </w:tcPr>
          <w:p w14:paraId="377558BE">
            <w:pPr>
              <w:pStyle w:val="58"/>
              <w:bidi w:val="0"/>
              <w:ind w:firstLine="0" w:firstLineChars="0"/>
              <w:rPr>
                <w:rFonts w:hint="default" w:eastAsia="宋体"/>
                <w:highlight w:val="none"/>
                <w:lang w:val="en-US" w:eastAsia="zh-CN"/>
              </w:rPr>
            </w:pPr>
            <w:r>
              <w:rPr>
                <w:rFonts w:hint="eastAsia"/>
                <w:highlight w:val="none"/>
                <w:lang w:val="en-US" w:eastAsia="zh-CN"/>
              </w:rPr>
              <w:t>/</w:t>
            </w:r>
          </w:p>
        </w:tc>
        <w:tc>
          <w:tcPr>
            <w:tcW w:w="397" w:type="pct"/>
            <w:tcBorders>
              <w:tl2br w:val="nil"/>
              <w:tr2bl w:val="nil"/>
            </w:tcBorders>
            <w:noWrap w:val="0"/>
            <w:vAlign w:val="center"/>
          </w:tcPr>
          <w:p w14:paraId="3412700E">
            <w:pPr>
              <w:pStyle w:val="58"/>
              <w:bidi w:val="0"/>
              <w:ind w:firstLine="0" w:firstLineChars="0"/>
              <w:rPr>
                <w:rFonts w:hint="default"/>
                <w:highlight w:val="none"/>
              </w:rPr>
            </w:pPr>
            <w:r>
              <w:rPr>
                <w:rFonts w:hint="default" w:ascii="Times New Roman" w:hAnsi="Times New Roman" w:eastAsia="宋体" w:cs="Times New Roman"/>
                <w:highlight w:val="none"/>
              </w:rPr>
              <w:t>≤20（无量纲）</w:t>
            </w:r>
          </w:p>
        </w:tc>
        <w:tc>
          <w:tcPr>
            <w:tcW w:w="426" w:type="pct"/>
            <w:tcBorders>
              <w:tl2br w:val="nil"/>
              <w:tr2bl w:val="nil"/>
            </w:tcBorders>
            <w:noWrap w:val="0"/>
            <w:vAlign w:val="center"/>
          </w:tcPr>
          <w:p w14:paraId="6477AE0D">
            <w:pPr>
              <w:pStyle w:val="58"/>
              <w:bidi w:val="0"/>
              <w:ind w:firstLine="0" w:firstLineChars="0"/>
              <w:rPr>
                <w:rFonts w:hint="default"/>
                <w:highlight w:val="none"/>
              </w:rPr>
            </w:pPr>
            <w:r>
              <w:rPr>
                <w:rFonts w:hint="default" w:ascii="Times New Roman" w:hAnsi="Times New Roman" w:eastAsia="宋体" w:cs="Times New Roman"/>
                <w:highlight w:val="none"/>
              </w:rPr>
              <w:t>--</w:t>
            </w:r>
          </w:p>
        </w:tc>
        <w:tc>
          <w:tcPr>
            <w:tcW w:w="359" w:type="pct"/>
            <w:tcBorders>
              <w:tl2br w:val="nil"/>
              <w:tr2bl w:val="nil"/>
            </w:tcBorders>
            <w:noWrap w:val="0"/>
            <w:vAlign w:val="center"/>
          </w:tcPr>
          <w:p w14:paraId="5A92F675">
            <w:pPr>
              <w:pStyle w:val="58"/>
              <w:bidi w:val="0"/>
              <w:ind w:firstLine="0" w:firstLineChars="0"/>
              <w:rPr>
                <w:rFonts w:hint="eastAsia"/>
                <w:highlight w:val="none"/>
                <w:lang w:val="en-US" w:eastAsia="zh-CN"/>
              </w:rPr>
            </w:pPr>
            <w:r>
              <w:rPr>
                <w:rFonts w:hint="default" w:ascii="Times New Roman" w:hAnsi="Times New Roman" w:eastAsia="宋体" w:cs="Times New Roman"/>
                <w:highlight w:val="none"/>
                <w:lang w:val="en-US" w:eastAsia="zh-CN"/>
              </w:rPr>
              <w:t>20（无量纲）</w:t>
            </w:r>
          </w:p>
        </w:tc>
        <w:tc>
          <w:tcPr>
            <w:tcW w:w="659" w:type="pct"/>
            <w:vMerge w:val="continue"/>
            <w:tcBorders>
              <w:tl2br w:val="nil"/>
              <w:tr2bl w:val="nil"/>
            </w:tcBorders>
            <w:noWrap w:val="0"/>
            <w:vAlign w:val="center"/>
          </w:tcPr>
          <w:p w14:paraId="07EEA3CD">
            <w:pPr>
              <w:pStyle w:val="58"/>
              <w:bidi w:val="0"/>
              <w:rPr>
                <w:rFonts w:hint="default"/>
                <w:highlight w:val="none"/>
                <w:lang w:eastAsia="zh-CN"/>
              </w:rPr>
            </w:pPr>
          </w:p>
        </w:tc>
        <w:tc>
          <w:tcPr>
            <w:tcW w:w="264" w:type="pct"/>
            <w:tcBorders>
              <w:tl2br w:val="nil"/>
              <w:tr2bl w:val="nil"/>
            </w:tcBorders>
            <w:noWrap w:val="0"/>
            <w:vAlign w:val="center"/>
          </w:tcPr>
          <w:p w14:paraId="2D1B99B0">
            <w:pPr>
              <w:pStyle w:val="58"/>
              <w:bidi w:val="0"/>
              <w:ind w:firstLine="0" w:firstLineChars="0"/>
              <w:rPr>
                <w:rFonts w:hint="default"/>
                <w:highlight w:val="none"/>
              </w:rPr>
            </w:pPr>
            <w:r>
              <w:rPr>
                <w:rFonts w:hint="default"/>
                <w:highlight w:val="none"/>
              </w:rPr>
              <w:t>达标</w:t>
            </w:r>
          </w:p>
        </w:tc>
      </w:tr>
      <w:tr w14:paraId="1E317D2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227" w:hRule="atLeast"/>
          <w:jc w:val="center"/>
        </w:trPr>
        <w:tc>
          <w:tcPr>
            <w:tcW w:w="161" w:type="pct"/>
            <w:vMerge w:val="continue"/>
            <w:tcBorders>
              <w:tl2br w:val="nil"/>
              <w:tr2bl w:val="nil"/>
            </w:tcBorders>
            <w:noWrap w:val="0"/>
            <w:vAlign w:val="center"/>
          </w:tcPr>
          <w:p w14:paraId="09BA681D">
            <w:pPr>
              <w:pStyle w:val="58"/>
              <w:bidi w:val="0"/>
              <w:rPr>
                <w:rFonts w:hint="default"/>
                <w:highlight w:val="none"/>
                <w:lang w:val="en-US" w:eastAsia="zh-CN"/>
              </w:rPr>
            </w:pPr>
          </w:p>
        </w:tc>
        <w:tc>
          <w:tcPr>
            <w:tcW w:w="429" w:type="pct"/>
            <w:tcBorders>
              <w:tl2br w:val="nil"/>
              <w:tr2bl w:val="nil"/>
            </w:tcBorders>
            <w:noWrap w:val="0"/>
            <w:vAlign w:val="center"/>
          </w:tcPr>
          <w:p w14:paraId="71427CAE">
            <w:pPr>
              <w:pStyle w:val="58"/>
              <w:bidi w:val="0"/>
              <w:rPr>
                <w:rFonts w:hint="default"/>
                <w:highlight w:val="none"/>
                <w:lang w:val="en-US" w:eastAsia="zh-CN"/>
              </w:rPr>
            </w:pPr>
            <w:r>
              <w:rPr>
                <w:rFonts w:hint="default"/>
                <w:highlight w:val="none"/>
                <w:lang w:val="en-US" w:eastAsia="zh-CN"/>
              </w:rPr>
              <w:t>厂区甲烷最高体积浓度</w:t>
            </w:r>
          </w:p>
        </w:tc>
        <w:tc>
          <w:tcPr>
            <w:tcW w:w="302" w:type="pct"/>
            <w:tcBorders>
              <w:tl2br w:val="nil"/>
              <w:tr2bl w:val="nil"/>
            </w:tcBorders>
            <w:noWrap w:val="0"/>
            <w:vAlign w:val="center"/>
          </w:tcPr>
          <w:p w14:paraId="19B4545F">
            <w:pPr>
              <w:pStyle w:val="58"/>
              <w:bidi w:val="0"/>
              <w:rPr>
                <w:rFonts w:hint="default"/>
                <w:highlight w:val="none"/>
                <w:lang w:val="en-US" w:eastAsia="zh-CN"/>
              </w:rPr>
            </w:pPr>
            <w:r>
              <w:rPr>
                <w:rFonts w:hint="eastAsia"/>
                <w:highlight w:val="none"/>
                <w:lang w:val="en-US" w:eastAsia="zh-CN"/>
              </w:rPr>
              <w:t>/</w:t>
            </w:r>
          </w:p>
        </w:tc>
        <w:tc>
          <w:tcPr>
            <w:tcW w:w="262" w:type="pct"/>
            <w:tcBorders>
              <w:tl2br w:val="nil"/>
              <w:tr2bl w:val="nil"/>
            </w:tcBorders>
            <w:noWrap w:val="0"/>
            <w:vAlign w:val="center"/>
          </w:tcPr>
          <w:p w14:paraId="5A6A087C">
            <w:pPr>
              <w:pStyle w:val="58"/>
              <w:bidi w:val="0"/>
              <w:rPr>
                <w:rFonts w:hint="default" w:eastAsia="宋体"/>
                <w:highlight w:val="none"/>
                <w:lang w:val="en-US" w:eastAsia="zh-CN"/>
              </w:rPr>
            </w:pPr>
            <w:r>
              <w:rPr>
                <w:rFonts w:hint="eastAsia"/>
                <w:highlight w:val="none"/>
                <w:lang w:val="en-US" w:eastAsia="zh-CN"/>
              </w:rPr>
              <w:t>甲烷</w:t>
            </w:r>
          </w:p>
        </w:tc>
        <w:tc>
          <w:tcPr>
            <w:tcW w:w="425" w:type="pct"/>
            <w:tcBorders>
              <w:tl2br w:val="nil"/>
              <w:tr2bl w:val="nil"/>
            </w:tcBorders>
            <w:noWrap w:val="0"/>
            <w:vAlign w:val="center"/>
          </w:tcPr>
          <w:p w14:paraId="32349F7B">
            <w:pPr>
              <w:pStyle w:val="58"/>
              <w:bidi w:val="0"/>
              <w:ind w:firstLine="0" w:firstLineChars="0"/>
              <w:rPr>
                <w:rFonts w:hint="default"/>
                <w:highlight w:val="none"/>
                <w:lang w:val="en-US" w:eastAsia="zh-CN"/>
              </w:rPr>
            </w:pPr>
            <w:r>
              <w:rPr>
                <w:rFonts w:hint="eastAsia"/>
                <w:highlight w:val="none"/>
                <w:lang w:val="en-US" w:eastAsia="zh-CN"/>
              </w:rPr>
              <w:t>/</w:t>
            </w:r>
          </w:p>
        </w:tc>
        <w:tc>
          <w:tcPr>
            <w:tcW w:w="262" w:type="pct"/>
            <w:tcBorders>
              <w:tl2br w:val="nil"/>
              <w:tr2bl w:val="nil"/>
            </w:tcBorders>
            <w:noWrap w:val="0"/>
            <w:vAlign w:val="center"/>
          </w:tcPr>
          <w:p w14:paraId="4C4B5537">
            <w:pPr>
              <w:pStyle w:val="58"/>
              <w:bidi w:val="0"/>
              <w:ind w:firstLine="0" w:firstLineChars="0"/>
              <w:rPr>
                <w:rFonts w:hint="default"/>
                <w:highlight w:val="none"/>
                <w:lang w:val="en-US" w:eastAsia="zh-CN"/>
              </w:rPr>
            </w:pPr>
            <w:r>
              <w:rPr>
                <w:rFonts w:hint="eastAsia"/>
                <w:highlight w:val="none"/>
                <w:lang w:val="en-US" w:eastAsia="zh-CN"/>
              </w:rPr>
              <w:t>/</w:t>
            </w:r>
          </w:p>
        </w:tc>
        <w:tc>
          <w:tcPr>
            <w:tcW w:w="320" w:type="pct"/>
            <w:tcBorders>
              <w:tl2br w:val="nil"/>
              <w:tr2bl w:val="nil"/>
            </w:tcBorders>
            <w:noWrap w:val="0"/>
            <w:vAlign w:val="center"/>
          </w:tcPr>
          <w:p w14:paraId="39CE9E2F">
            <w:pPr>
              <w:pStyle w:val="58"/>
              <w:bidi w:val="0"/>
              <w:ind w:firstLine="0" w:firstLineChars="0"/>
              <w:rPr>
                <w:rFonts w:hint="default"/>
                <w:highlight w:val="none"/>
                <w:lang w:val="en-US" w:eastAsia="zh-CN"/>
              </w:rPr>
            </w:pPr>
            <w:r>
              <w:rPr>
                <w:rFonts w:hint="eastAsia"/>
                <w:highlight w:val="none"/>
                <w:lang w:val="en-US" w:eastAsia="zh-CN"/>
              </w:rPr>
              <w:t>/</w:t>
            </w:r>
          </w:p>
        </w:tc>
        <w:tc>
          <w:tcPr>
            <w:tcW w:w="363" w:type="pct"/>
            <w:vMerge w:val="continue"/>
            <w:tcBorders>
              <w:tl2br w:val="nil"/>
              <w:tr2bl w:val="nil"/>
            </w:tcBorders>
            <w:noWrap w:val="0"/>
            <w:vAlign w:val="center"/>
          </w:tcPr>
          <w:p w14:paraId="015AB94A">
            <w:pPr>
              <w:pStyle w:val="58"/>
              <w:bidi w:val="0"/>
              <w:rPr>
                <w:rFonts w:hint="default"/>
                <w:highlight w:val="none"/>
                <w:lang w:val="en-US" w:eastAsia="zh-CN"/>
              </w:rPr>
            </w:pPr>
          </w:p>
        </w:tc>
        <w:tc>
          <w:tcPr>
            <w:tcW w:w="1189" w:type="pct"/>
            <w:gridSpan w:val="4"/>
            <w:tcBorders>
              <w:tl2br w:val="nil"/>
              <w:tr2bl w:val="nil"/>
            </w:tcBorders>
            <w:noWrap w:val="0"/>
            <w:vAlign w:val="center"/>
          </w:tcPr>
          <w:p w14:paraId="6E42DB8A">
            <w:pPr>
              <w:pStyle w:val="58"/>
              <w:bidi w:val="0"/>
              <w:rPr>
                <w:rFonts w:hint="default"/>
                <w:highlight w:val="none"/>
              </w:rPr>
            </w:pPr>
            <w:r>
              <w:rPr>
                <w:rFonts w:hint="default"/>
                <w:highlight w:val="none"/>
              </w:rPr>
              <w:t>厂区甲烷最大浓度体积&lt;1%</w:t>
            </w:r>
          </w:p>
        </w:tc>
        <w:tc>
          <w:tcPr>
            <w:tcW w:w="359" w:type="pct"/>
            <w:tcBorders>
              <w:tl2br w:val="nil"/>
              <w:tr2bl w:val="nil"/>
            </w:tcBorders>
            <w:noWrap w:val="0"/>
            <w:vAlign w:val="center"/>
          </w:tcPr>
          <w:p w14:paraId="7AE6F954">
            <w:pPr>
              <w:pStyle w:val="58"/>
              <w:bidi w:val="0"/>
              <w:rPr>
                <w:rFonts w:hint="default"/>
                <w:highlight w:val="none"/>
                <w:lang w:val="en-US" w:eastAsia="zh-CN"/>
              </w:rPr>
            </w:pPr>
            <w:r>
              <w:rPr>
                <w:rFonts w:hint="eastAsia"/>
                <w:highlight w:val="none"/>
                <w:lang w:val="en-US" w:eastAsia="zh-CN"/>
              </w:rPr>
              <w:t>4%</w:t>
            </w:r>
          </w:p>
        </w:tc>
        <w:tc>
          <w:tcPr>
            <w:tcW w:w="659" w:type="pct"/>
            <w:vMerge w:val="continue"/>
            <w:tcBorders>
              <w:tl2br w:val="nil"/>
              <w:tr2bl w:val="nil"/>
            </w:tcBorders>
            <w:noWrap w:val="0"/>
            <w:vAlign w:val="center"/>
          </w:tcPr>
          <w:p w14:paraId="6C8F95D3">
            <w:pPr>
              <w:pStyle w:val="58"/>
              <w:bidi w:val="0"/>
              <w:rPr>
                <w:rFonts w:hint="default"/>
                <w:highlight w:val="none"/>
                <w:lang w:eastAsia="zh-CN"/>
              </w:rPr>
            </w:pPr>
          </w:p>
        </w:tc>
        <w:tc>
          <w:tcPr>
            <w:tcW w:w="264" w:type="pct"/>
            <w:tcBorders>
              <w:tl2br w:val="nil"/>
              <w:tr2bl w:val="nil"/>
            </w:tcBorders>
            <w:noWrap w:val="0"/>
            <w:vAlign w:val="center"/>
          </w:tcPr>
          <w:p w14:paraId="0B6E7FDD">
            <w:pPr>
              <w:pStyle w:val="58"/>
              <w:bidi w:val="0"/>
              <w:ind w:firstLine="0" w:firstLineChars="0"/>
              <w:rPr>
                <w:rFonts w:hint="default"/>
                <w:highlight w:val="none"/>
              </w:rPr>
            </w:pPr>
            <w:r>
              <w:rPr>
                <w:rFonts w:hint="default"/>
                <w:highlight w:val="none"/>
              </w:rPr>
              <w:t>达标</w:t>
            </w:r>
          </w:p>
        </w:tc>
      </w:tr>
      <w:tr w14:paraId="3167947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227" w:hRule="atLeast"/>
          <w:jc w:val="center"/>
        </w:trPr>
        <w:tc>
          <w:tcPr>
            <w:tcW w:w="161" w:type="pct"/>
            <w:tcBorders>
              <w:tl2br w:val="nil"/>
              <w:tr2bl w:val="nil"/>
            </w:tcBorders>
            <w:noWrap w:val="0"/>
            <w:vAlign w:val="center"/>
          </w:tcPr>
          <w:p w14:paraId="491A5733">
            <w:pPr>
              <w:pStyle w:val="58"/>
              <w:bidi w:val="0"/>
              <w:rPr>
                <w:rFonts w:hint="default"/>
                <w:highlight w:val="none"/>
                <w:lang w:val="en-US" w:eastAsia="zh-CN"/>
              </w:rPr>
            </w:pPr>
            <w:r>
              <w:rPr>
                <w:rFonts w:hint="eastAsia"/>
                <w:highlight w:val="none"/>
                <w:lang w:val="en-US" w:eastAsia="zh-CN"/>
              </w:rPr>
              <w:t>噪声</w:t>
            </w:r>
          </w:p>
        </w:tc>
        <w:tc>
          <w:tcPr>
            <w:tcW w:w="429" w:type="pct"/>
            <w:tcBorders>
              <w:tl2br w:val="nil"/>
              <w:tr2bl w:val="nil"/>
            </w:tcBorders>
            <w:noWrap w:val="0"/>
            <w:vAlign w:val="center"/>
          </w:tcPr>
          <w:p w14:paraId="20B429A3">
            <w:pPr>
              <w:pStyle w:val="58"/>
              <w:bidi w:val="0"/>
              <w:ind w:firstLine="0" w:firstLineChars="0"/>
              <w:rPr>
                <w:rFonts w:hint="default"/>
                <w:highlight w:val="none"/>
                <w:lang w:val="en-US" w:eastAsia="zh-CN"/>
              </w:rPr>
            </w:pPr>
            <w:r>
              <w:rPr>
                <w:rFonts w:hint="default" w:ascii="Times New Roman" w:hAnsi="Times New Roman" w:eastAsia="宋体" w:cs="Times New Roman"/>
                <w:highlight w:val="none"/>
                <w:lang w:val="en-US" w:eastAsia="zh-CN"/>
              </w:rPr>
              <w:t>厂界噪声</w:t>
            </w:r>
          </w:p>
        </w:tc>
        <w:tc>
          <w:tcPr>
            <w:tcW w:w="302" w:type="pct"/>
            <w:tcBorders>
              <w:tl2br w:val="nil"/>
              <w:tr2bl w:val="nil"/>
            </w:tcBorders>
            <w:noWrap w:val="0"/>
            <w:vAlign w:val="center"/>
          </w:tcPr>
          <w:p w14:paraId="30FEB6D3">
            <w:pPr>
              <w:pStyle w:val="58"/>
              <w:bidi w:val="0"/>
              <w:ind w:firstLine="0" w:firstLineChars="0"/>
              <w:rPr>
                <w:rFonts w:hint="default"/>
                <w:highlight w:val="none"/>
                <w:lang w:val="en-US" w:eastAsia="zh-CN"/>
              </w:rPr>
            </w:pPr>
            <w:r>
              <w:rPr>
                <w:rFonts w:hint="default" w:ascii="Times New Roman" w:hAnsi="Times New Roman" w:eastAsia="宋体" w:cs="Times New Roman"/>
                <w:highlight w:val="none"/>
                <w:lang w:val="en-US" w:eastAsia="zh-CN"/>
              </w:rPr>
              <w:t>/</w:t>
            </w:r>
          </w:p>
        </w:tc>
        <w:tc>
          <w:tcPr>
            <w:tcW w:w="262" w:type="pct"/>
            <w:tcBorders>
              <w:tl2br w:val="nil"/>
              <w:tr2bl w:val="nil"/>
            </w:tcBorders>
            <w:noWrap w:val="0"/>
            <w:vAlign w:val="center"/>
          </w:tcPr>
          <w:p w14:paraId="0E26F03C">
            <w:pPr>
              <w:pStyle w:val="58"/>
              <w:bidi w:val="0"/>
              <w:ind w:firstLine="0" w:firstLineChars="0"/>
              <w:rPr>
                <w:rFonts w:hint="default"/>
                <w:highlight w:val="none"/>
              </w:rPr>
            </w:pPr>
            <w:r>
              <w:rPr>
                <w:rFonts w:hint="default" w:ascii="Times New Roman" w:hAnsi="Times New Roman" w:eastAsia="宋体" w:cs="Times New Roman"/>
                <w:highlight w:val="none"/>
              </w:rPr>
              <w:t>等效连续A声级</w:t>
            </w:r>
          </w:p>
        </w:tc>
        <w:tc>
          <w:tcPr>
            <w:tcW w:w="425" w:type="pct"/>
            <w:tcBorders>
              <w:tl2br w:val="nil"/>
              <w:tr2bl w:val="nil"/>
            </w:tcBorders>
            <w:noWrap w:val="0"/>
            <w:vAlign w:val="center"/>
          </w:tcPr>
          <w:p w14:paraId="28308A34">
            <w:pPr>
              <w:pStyle w:val="58"/>
              <w:bidi w:val="0"/>
              <w:ind w:firstLine="0" w:firstLineChars="0"/>
              <w:rPr>
                <w:rFonts w:hint="default"/>
                <w:highlight w:val="none"/>
                <w:lang w:val="en-US" w:eastAsia="zh-CN"/>
              </w:rPr>
            </w:pPr>
            <w:r>
              <w:rPr>
                <w:rFonts w:hint="eastAsia"/>
                <w:highlight w:val="none"/>
                <w:lang w:val="en-US" w:eastAsia="zh-CN"/>
              </w:rPr>
              <w:t>/</w:t>
            </w:r>
          </w:p>
        </w:tc>
        <w:tc>
          <w:tcPr>
            <w:tcW w:w="262" w:type="pct"/>
            <w:tcBorders>
              <w:tl2br w:val="nil"/>
              <w:tr2bl w:val="nil"/>
            </w:tcBorders>
            <w:noWrap w:val="0"/>
            <w:vAlign w:val="center"/>
          </w:tcPr>
          <w:p w14:paraId="47248A01">
            <w:pPr>
              <w:pStyle w:val="58"/>
              <w:bidi w:val="0"/>
              <w:ind w:firstLine="0" w:firstLineChars="0"/>
              <w:rPr>
                <w:rFonts w:hint="default"/>
                <w:highlight w:val="none"/>
                <w:lang w:val="en-US" w:eastAsia="zh-CN"/>
              </w:rPr>
            </w:pPr>
            <w:r>
              <w:rPr>
                <w:rFonts w:hint="eastAsia"/>
                <w:highlight w:val="none"/>
                <w:lang w:val="en-US" w:eastAsia="zh-CN"/>
              </w:rPr>
              <w:t>/</w:t>
            </w:r>
          </w:p>
        </w:tc>
        <w:tc>
          <w:tcPr>
            <w:tcW w:w="320" w:type="pct"/>
            <w:tcBorders>
              <w:tl2br w:val="nil"/>
              <w:tr2bl w:val="nil"/>
            </w:tcBorders>
            <w:noWrap w:val="0"/>
            <w:vAlign w:val="center"/>
          </w:tcPr>
          <w:p w14:paraId="1EFF54C4">
            <w:pPr>
              <w:pStyle w:val="58"/>
              <w:bidi w:val="0"/>
              <w:ind w:firstLine="0" w:firstLineChars="0"/>
              <w:rPr>
                <w:rFonts w:hint="default"/>
                <w:highlight w:val="none"/>
                <w:lang w:val="en-US" w:eastAsia="zh-CN"/>
              </w:rPr>
            </w:pPr>
            <w:r>
              <w:rPr>
                <w:rFonts w:hint="eastAsia"/>
                <w:highlight w:val="none"/>
                <w:lang w:val="en-US" w:eastAsia="zh-CN"/>
              </w:rPr>
              <w:t>/</w:t>
            </w:r>
          </w:p>
        </w:tc>
        <w:tc>
          <w:tcPr>
            <w:tcW w:w="363" w:type="pct"/>
            <w:tcBorders>
              <w:tl2br w:val="nil"/>
              <w:tr2bl w:val="nil"/>
            </w:tcBorders>
            <w:noWrap w:val="0"/>
            <w:vAlign w:val="center"/>
          </w:tcPr>
          <w:p w14:paraId="29EBC01E">
            <w:pPr>
              <w:pStyle w:val="58"/>
              <w:bidi w:val="0"/>
              <w:rPr>
                <w:rFonts w:hint="default"/>
                <w:highlight w:val="none"/>
                <w:lang w:val="en-US" w:eastAsia="zh-CN"/>
              </w:rPr>
            </w:pPr>
            <w:r>
              <w:rPr>
                <w:rFonts w:hint="default"/>
                <w:highlight w:val="none"/>
              </w:rPr>
              <w:t>厂房隔声（钢砼结构）地下布置、基础减振</w:t>
            </w:r>
            <w:r>
              <w:rPr>
                <w:rFonts w:hint="eastAsia"/>
                <w:highlight w:val="none"/>
                <w:lang w:eastAsia="zh-CN"/>
              </w:rPr>
              <w:t>，</w:t>
            </w:r>
            <w:r>
              <w:rPr>
                <w:rFonts w:hint="eastAsia"/>
                <w:highlight w:val="none"/>
                <w:lang w:val="en-US" w:eastAsia="zh-CN"/>
              </w:rPr>
              <w:t>风机</w:t>
            </w:r>
            <w:r>
              <w:rPr>
                <w:rFonts w:hint="default"/>
                <w:highlight w:val="none"/>
              </w:rPr>
              <w:t>基础减振+隔声罩+软连接</w:t>
            </w:r>
          </w:p>
        </w:tc>
        <w:tc>
          <w:tcPr>
            <w:tcW w:w="1189" w:type="pct"/>
            <w:gridSpan w:val="4"/>
            <w:tcBorders>
              <w:tl2br w:val="nil"/>
              <w:tr2bl w:val="nil"/>
            </w:tcBorders>
            <w:noWrap w:val="0"/>
            <w:vAlign w:val="center"/>
          </w:tcPr>
          <w:p w14:paraId="0E135B16">
            <w:pPr>
              <w:pStyle w:val="58"/>
              <w:bidi w:val="0"/>
              <w:rPr>
                <w:rFonts w:hint="default" w:ascii="Times New Roman" w:hAnsi="Times New Roman" w:eastAsia="宋体" w:cs="Times New Roman"/>
                <w:highlight w:val="none"/>
              </w:rPr>
            </w:pPr>
            <w:r>
              <w:rPr>
                <w:rFonts w:hint="default" w:ascii="Times New Roman" w:hAnsi="Times New Roman" w:eastAsia="宋体" w:cs="Times New Roman"/>
                <w:highlight w:val="none"/>
                <w:lang w:val="en-US" w:eastAsia="zh-CN"/>
              </w:rPr>
              <w:t>昼间：</w:t>
            </w:r>
            <w:r>
              <w:rPr>
                <w:rFonts w:hint="eastAsia" w:ascii="Times New Roman" w:hAnsi="Times New Roman" w:eastAsia="宋体" w:cs="Times New Roman"/>
                <w:highlight w:val="none"/>
                <w:lang w:val="en-US" w:eastAsia="zh-CN"/>
              </w:rPr>
              <w:t>41.4</w:t>
            </w:r>
            <w:r>
              <w:rPr>
                <w:rFonts w:hint="default" w:ascii="Times New Roman" w:hAnsi="Times New Roman" w:eastAsia="宋体" w:cs="Times New Roman"/>
                <w:highlight w:val="none"/>
                <w:lang w:val="en-US" w:eastAsia="zh-CN"/>
              </w:rPr>
              <w:t>～</w:t>
            </w:r>
            <w:r>
              <w:rPr>
                <w:rFonts w:hint="eastAsia" w:ascii="Times New Roman" w:hAnsi="Times New Roman" w:eastAsia="宋体" w:cs="Times New Roman"/>
                <w:highlight w:val="none"/>
                <w:lang w:val="en-US" w:eastAsia="zh-CN"/>
              </w:rPr>
              <w:t>53.7</w:t>
            </w:r>
            <w:r>
              <w:rPr>
                <w:rFonts w:hint="default" w:ascii="Times New Roman" w:hAnsi="Times New Roman" w:eastAsia="宋体" w:cs="Times New Roman"/>
                <w:highlight w:val="none"/>
              </w:rPr>
              <w:t>dB(A)</w:t>
            </w:r>
          </w:p>
          <w:p w14:paraId="45241A72">
            <w:pPr>
              <w:pStyle w:val="58"/>
              <w:bidi w:val="0"/>
              <w:rPr>
                <w:rFonts w:hint="default"/>
                <w:highlight w:val="none"/>
              </w:rPr>
            </w:pPr>
            <w:r>
              <w:rPr>
                <w:rFonts w:hint="default" w:ascii="Times New Roman" w:hAnsi="Times New Roman" w:eastAsia="宋体" w:cs="Times New Roman"/>
                <w:highlight w:val="none"/>
                <w:lang w:eastAsia="zh-CN"/>
              </w:rPr>
              <w:t>夜间：</w:t>
            </w:r>
            <w:r>
              <w:rPr>
                <w:rFonts w:hint="eastAsia" w:ascii="Times New Roman" w:hAnsi="Times New Roman" w:eastAsia="宋体" w:cs="Times New Roman"/>
                <w:highlight w:val="none"/>
                <w:lang w:val="en-US" w:eastAsia="zh-CN"/>
              </w:rPr>
              <w:t>41.4</w:t>
            </w:r>
            <w:r>
              <w:rPr>
                <w:rFonts w:hint="default" w:ascii="Times New Roman" w:hAnsi="Times New Roman" w:eastAsia="宋体" w:cs="Times New Roman"/>
                <w:highlight w:val="none"/>
                <w:lang w:val="en-US" w:eastAsia="zh-CN"/>
              </w:rPr>
              <w:t>～</w:t>
            </w:r>
            <w:r>
              <w:rPr>
                <w:rFonts w:hint="eastAsia" w:ascii="Times New Roman" w:hAnsi="Times New Roman" w:eastAsia="宋体" w:cs="Times New Roman"/>
                <w:highlight w:val="none"/>
                <w:lang w:val="en-US" w:eastAsia="zh-CN"/>
              </w:rPr>
              <w:t>53.7</w:t>
            </w:r>
            <w:r>
              <w:rPr>
                <w:rFonts w:hint="default" w:ascii="Times New Roman" w:hAnsi="Times New Roman" w:eastAsia="宋体" w:cs="Times New Roman"/>
                <w:highlight w:val="none"/>
              </w:rPr>
              <w:t>dB(A)</w:t>
            </w:r>
          </w:p>
        </w:tc>
        <w:tc>
          <w:tcPr>
            <w:tcW w:w="359" w:type="pct"/>
            <w:tcBorders>
              <w:tl2br w:val="nil"/>
              <w:tr2bl w:val="nil"/>
            </w:tcBorders>
            <w:noWrap w:val="0"/>
            <w:vAlign w:val="center"/>
          </w:tcPr>
          <w:p w14:paraId="108A810D">
            <w:pPr>
              <w:pStyle w:val="58"/>
              <w:bidi w:val="0"/>
              <w:rPr>
                <w:rFonts w:hint="eastAsia"/>
                <w:highlight w:val="none"/>
                <w:lang w:val="en-US" w:eastAsia="zh-CN"/>
              </w:rPr>
            </w:pPr>
            <w:r>
              <w:rPr>
                <w:rFonts w:hint="default" w:ascii="Times New Roman" w:hAnsi="Times New Roman" w:eastAsia="宋体" w:cs="Times New Roman"/>
                <w:highlight w:val="none"/>
              </w:rPr>
              <w:t>昼间：</w:t>
            </w:r>
            <w:r>
              <w:rPr>
                <w:rFonts w:hint="default" w:ascii="Times New Roman" w:hAnsi="Times New Roman" w:eastAsia="宋体" w:cs="Times New Roman"/>
                <w:highlight w:val="none"/>
                <w:lang w:val="en-US"/>
              </w:rPr>
              <w:t>65</w:t>
            </w:r>
            <w:r>
              <w:rPr>
                <w:rFonts w:hint="default" w:ascii="Times New Roman" w:hAnsi="Times New Roman" w:eastAsia="宋体" w:cs="Times New Roman"/>
                <w:highlight w:val="none"/>
              </w:rPr>
              <w:t>dB(A)</w:t>
            </w:r>
            <w:r>
              <w:rPr>
                <w:rFonts w:hint="default" w:ascii="Times New Roman" w:hAnsi="Times New Roman" w:eastAsia="宋体" w:cs="Times New Roman"/>
                <w:highlight w:val="none"/>
                <w:lang w:eastAsia="zh-CN"/>
              </w:rPr>
              <w:t>，</w:t>
            </w:r>
            <w:r>
              <w:rPr>
                <w:rFonts w:hint="default" w:ascii="Times New Roman" w:hAnsi="Times New Roman" w:eastAsia="宋体" w:cs="Times New Roman"/>
                <w:highlight w:val="none"/>
                <w:lang w:val="en-US"/>
              </w:rPr>
              <w:t>夜间55</w:t>
            </w:r>
            <w:r>
              <w:rPr>
                <w:rFonts w:hint="default" w:ascii="Times New Roman" w:hAnsi="Times New Roman" w:eastAsia="宋体" w:cs="Times New Roman"/>
                <w:highlight w:val="none"/>
              </w:rPr>
              <w:t>dB(A)</w:t>
            </w:r>
          </w:p>
        </w:tc>
        <w:tc>
          <w:tcPr>
            <w:tcW w:w="659" w:type="pct"/>
            <w:tcBorders>
              <w:tl2br w:val="nil"/>
              <w:tr2bl w:val="nil"/>
            </w:tcBorders>
            <w:noWrap w:val="0"/>
            <w:vAlign w:val="center"/>
          </w:tcPr>
          <w:p w14:paraId="4325EC45">
            <w:pPr>
              <w:pStyle w:val="58"/>
              <w:bidi w:val="0"/>
              <w:rPr>
                <w:rFonts w:hint="default"/>
                <w:highlight w:val="none"/>
                <w:lang w:eastAsia="zh-CN"/>
              </w:rPr>
            </w:pPr>
            <w:r>
              <w:rPr>
                <w:rFonts w:hint="default" w:ascii="Times New Roman" w:hAnsi="Times New Roman" w:eastAsia="宋体" w:cs="Times New Roman"/>
                <w:highlight w:val="none"/>
              </w:rPr>
              <w:t>《工业企业厂界环境噪声排放标准》（GB12348-2008）</w:t>
            </w:r>
            <w:r>
              <w:rPr>
                <w:rFonts w:hint="eastAsia" w:cs="Times New Roman"/>
                <w:highlight w:val="none"/>
                <w:lang w:val="en-US" w:eastAsia="zh-CN"/>
              </w:rPr>
              <w:t>3类标准</w:t>
            </w:r>
          </w:p>
        </w:tc>
        <w:tc>
          <w:tcPr>
            <w:tcW w:w="264" w:type="pct"/>
            <w:tcBorders>
              <w:tl2br w:val="nil"/>
              <w:tr2bl w:val="nil"/>
            </w:tcBorders>
            <w:noWrap w:val="0"/>
            <w:vAlign w:val="center"/>
          </w:tcPr>
          <w:p w14:paraId="3B756506">
            <w:pPr>
              <w:pStyle w:val="58"/>
              <w:bidi w:val="0"/>
              <w:rPr>
                <w:rFonts w:hint="default"/>
                <w:highlight w:val="none"/>
              </w:rPr>
            </w:pPr>
            <w:r>
              <w:rPr>
                <w:rFonts w:hint="default"/>
                <w:highlight w:val="none"/>
              </w:rPr>
              <w:t>达标</w:t>
            </w:r>
          </w:p>
        </w:tc>
      </w:tr>
      <w:tr w14:paraId="3EFA5C1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227" w:hRule="atLeast"/>
          <w:jc w:val="center"/>
        </w:trPr>
        <w:tc>
          <w:tcPr>
            <w:tcW w:w="161" w:type="pct"/>
            <w:vMerge w:val="restart"/>
            <w:tcBorders>
              <w:tl2br w:val="nil"/>
              <w:tr2bl w:val="nil"/>
            </w:tcBorders>
            <w:noWrap w:val="0"/>
            <w:vAlign w:val="center"/>
          </w:tcPr>
          <w:p w14:paraId="1A1D7B5D">
            <w:pPr>
              <w:pStyle w:val="58"/>
              <w:bidi w:val="0"/>
              <w:rPr>
                <w:rFonts w:hint="default"/>
                <w:highlight w:val="none"/>
                <w:lang w:val="en-US" w:eastAsia="zh-CN"/>
              </w:rPr>
            </w:pPr>
            <w:r>
              <w:rPr>
                <w:rFonts w:hint="eastAsia"/>
                <w:highlight w:val="none"/>
                <w:lang w:val="en-US" w:eastAsia="zh-CN"/>
              </w:rPr>
              <w:t>固体废物</w:t>
            </w:r>
          </w:p>
        </w:tc>
        <w:tc>
          <w:tcPr>
            <w:tcW w:w="429" w:type="pct"/>
            <w:tcBorders>
              <w:tl2br w:val="nil"/>
              <w:tr2bl w:val="nil"/>
            </w:tcBorders>
            <w:noWrap w:val="0"/>
            <w:vAlign w:val="center"/>
          </w:tcPr>
          <w:p w14:paraId="1F45FEBA">
            <w:pPr>
              <w:pStyle w:val="58"/>
              <w:bidi w:val="0"/>
              <w:rPr>
                <w:rFonts w:hint="default"/>
                <w:highlight w:val="none"/>
                <w:lang w:val="en-US" w:eastAsia="zh-CN"/>
              </w:rPr>
            </w:pPr>
            <w:r>
              <w:rPr>
                <w:rFonts w:hint="eastAsia"/>
                <w:highlight w:val="none"/>
                <w:lang w:val="en-US" w:eastAsia="zh-CN"/>
              </w:rPr>
              <w:t>一般固废</w:t>
            </w:r>
          </w:p>
        </w:tc>
        <w:tc>
          <w:tcPr>
            <w:tcW w:w="3126" w:type="pct"/>
            <w:gridSpan w:val="10"/>
            <w:tcBorders>
              <w:tl2br w:val="nil"/>
              <w:tr2bl w:val="nil"/>
            </w:tcBorders>
            <w:noWrap w:val="0"/>
            <w:vAlign w:val="center"/>
          </w:tcPr>
          <w:p w14:paraId="228B748D">
            <w:pPr>
              <w:pStyle w:val="58"/>
              <w:bidi w:val="0"/>
              <w:rPr>
                <w:rFonts w:hint="eastAsia"/>
                <w:highlight w:val="none"/>
                <w:lang w:val="en-US" w:eastAsia="zh-CN"/>
              </w:rPr>
            </w:pPr>
            <w:r>
              <w:rPr>
                <w:rFonts w:hint="eastAsia"/>
                <w:highlight w:val="none"/>
                <w:lang w:val="en-US" w:eastAsia="zh-CN"/>
              </w:rPr>
              <w:t>0t/a</w:t>
            </w:r>
          </w:p>
        </w:tc>
        <w:tc>
          <w:tcPr>
            <w:tcW w:w="359" w:type="pct"/>
            <w:tcBorders>
              <w:tl2br w:val="nil"/>
              <w:tr2bl w:val="nil"/>
            </w:tcBorders>
            <w:noWrap w:val="0"/>
            <w:vAlign w:val="center"/>
          </w:tcPr>
          <w:p w14:paraId="6329FA7B">
            <w:pPr>
              <w:pStyle w:val="58"/>
              <w:bidi w:val="0"/>
              <w:ind w:firstLine="0" w:firstLineChars="0"/>
              <w:rPr>
                <w:rFonts w:hint="eastAsia"/>
                <w:highlight w:val="none"/>
                <w:lang w:val="en-US" w:eastAsia="zh-CN"/>
              </w:rPr>
            </w:pPr>
            <w:r>
              <w:rPr>
                <w:rFonts w:hint="default" w:ascii="Times New Roman" w:hAnsi="Times New Roman" w:eastAsia="宋体" w:cs="Times New Roman"/>
                <w:highlight w:val="none"/>
                <w:lang w:val="en-US" w:eastAsia="zh-CN"/>
              </w:rPr>
              <w:t>不外排</w:t>
            </w:r>
          </w:p>
        </w:tc>
        <w:tc>
          <w:tcPr>
            <w:tcW w:w="659" w:type="pct"/>
            <w:tcBorders>
              <w:tl2br w:val="nil"/>
              <w:tr2bl w:val="nil"/>
            </w:tcBorders>
            <w:noWrap w:val="0"/>
            <w:vAlign w:val="center"/>
          </w:tcPr>
          <w:p w14:paraId="2292307C">
            <w:pPr>
              <w:pStyle w:val="58"/>
              <w:bidi w:val="0"/>
              <w:ind w:firstLine="0" w:firstLineChars="0"/>
              <w:rPr>
                <w:rFonts w:hint="default"/>
                <w:highlight w:val="none"/>
                <w:lang w:eastAsia="zh-CN"/>
              </w:rPr>
            </w:pPr>
            <w:r>
              <w:rPr>
                <w:rFonts w:hint="default" w:ascii="Times New Roman" w:hAnsi="Times New Roman" w:eastAsia="宋体" w:cs="Times New Roman"/>
                <w:highlight w:val="none"/>
                <w:lang w:val="en-US" w:eastAsia="zh-CN"/>
              </w:rPr>
              <w:t>/</w:t>
            </w:r>
          </w:p>
        </w:tc>
        <w:tc>
          <w:tcPr>
            <w:tcW w:w="264" w:type="pct"/>
            <w:tcBorders>
              <w:tl2br w:val="nil"/>
              <w:tr2bl w:val="nil"/>
            </w:tcBorders>
            <w:noWrap w:val="0"/>
            <w:vAlign w:val="center"/>
          </w:tcPr>
          <w:p w14:paraId="353E5B86">
            <w:pPr>
              <w:pStyle w:val="58"/>
              <w:bidi w:val="0"/>
              <w:ind w:firstLine="0" w:firstLineChars="0"/>
              <w:rPr>
                <w:rFonts w:hint="default"/>
                <w:highlight w:val="none"/>
              </w:rPr>
            </w:pPr>
            <w:r>
              <w:rPr>
                <w:rFonts w:hint="default" w:ascii="Times New Roman" w:hAnsi="Times New Roman" w:eastAsia="宋体" w:cs="Times New Roman"/>
                <w:highlight w:val="none"/>
                <w:lang w:val="en-US" w:eastAsia="zh-CN"/>
              </w:rPr>
              <w:t>不外排</w:t>
            </w:r>
          </w:p>
        </w:tc>
      </w:tr>
      <w:tr w14:paraId="662D96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227" w:hRule="atLeast"/>
          <w:jc w:val="center"/>
        </w:trPr>
        <w:tc>
          <w:tcPr>
            <w:tcW w:w="161" w:type="pct"/>
            <w:vMerge w:val="continue"/>
            <w:tcBorders>
              <w:tl2br w:val="nil"/>
              <w:tr2bl w:val="nil"/>
            </w:tcBorders>
            <w:noWrap w:val="0"/>
            <w:vAlign w:val="center"/>
          </w:tcPr>
          <w:p w14:paraId="46A1116F">
            <w:pPr>
              <w:pStyle w:val="58"/>
              <w:bidi w:val="0"/>
              <w:rPr>
                <w:rFonts w:hint="default"/>
                <w:highlight w:val="none"/>
                <w:lang w:val="en-US" w:eastAsia="zh-CN"/>
              </w:rPr>
            </w:pPr>
          </w:p>
        </w:tc>
        <w:tc>
          <w:tcPr>
            <w:tcW w:w="429" w:type="pct"/>
            <w:tcBorders>
              <w:tl2br w:val="nil"/>
              <w:tr2bl w:val="nil"/>
            </w:tcBorders>
            <w:noWrap w:val="0"/>
            <w:vAlign w:val="center"/>
          </w:tcPr>
          <w:p w14:paraId="3587A1C3">
            <w:pPr>
              <w:pStyle w:val="58"/>
              <w:bidi w:val="0"/>
              <w:rPr>
                <w:rFonts w:hint="default"/>
                <w:highlight w:val="none"/>
                <w:lang w:val="en-US" w:eastAsia="zh-CN"/>
              </w:rPr>
            </w:pPr>
            <w:r>
              <w:rPr>
                <w:rFonts w:hint="eastAsia"/>
                <w:highlight w:val="none"/>
                <w:lang w:val="en-US" w:eastAsia="zh-CN"/>
              </w:rPr>
              <w:t>危险废物</w:t>
            </w:r>
          </w:p>
        </w:tc>
        <w:tc>
          <w:tcPr>
            <w:tcW w:w="3126" w:type="pct"/>
            <w:gridSpan w:val="10"/>
            <w:tcBorders>
              <w:tl2br w:val="nil"/>
              <w:tr2bl w:val="nil"/>
            </w:tcBorders>
            <w:noWrap w:val="0"/>
            <w:vAlign w:val="center"/>
          </w:tcPr>
          <w:p w14:paraId="39230844">
            <w:pPr>
              <w:pStyle w:val="58"/>
              <w:bidi w:val="0"/>
              <w:rPr>
                <w:rFonts w:hint="eastAsia"/>
                <w:highlight w:val="none"/>
                <w:lang w:val="en-US" w:eastAsia="zh-CN"/>
              </w:rPr>
            </w:pPr>
            <w:r>
              <w:rPr>
                <w:rFonts w:hint="eastAsia"/>
                <w:highlight w:val="none"/>
                <w:lang w:val="en-US" w:eastAsia="zh-CN"/>
              </w:rPr>
              <w:t>0t/a</w:t>
            </w:r>
          </w:p>
        </w:tc>
        <w:tc>
          <w:tcPr>
            <w:tcW w:w="359" w:type="pct"/>
            <w:tcBorders>
              <w:tl2br w:val="nil"/>
              <w:tr2bl w:val="nil"/>
            </w:tcBorders>
            <w:noWrap w:val="0"/>
            <w:vAlign w:val="center"/>
          </w:tcPr>
          <w:p w14:paraId="4D09DC36">
            <w:pPr>
              <w:pStyle w:val="58"/>
              <w:bidi w:val="0"/>
              <w:ind w:firstLine="0" w:firstLineChars="0"/>
              <w:rPr>
                <w:rFonts w:hint="eastAsia"/>
                <w:highlight w:val="none"/>
                <w:lang w:val="en-US" w:eastAsia="zh-CN"/>
              </w:rPr>
            </w:pPr>
            <w:r>
              <w:rPr>
                <w:rFonts w:hint="default" w:ascii="Times New Roman" w:hAnsi="Times New Roman" w:eastAsia="宋体" w:cs="Times New Roman"/>
                <w:highlight w:val="none"/>
                <w:lang w:val="en-US" w:eastAsia="zh-CN"/>
              </w:rPr>
              <w:t>不外排</w:t>
            </w:r>
          </w:p>
        </w:tc>
        <w:tc>
          <w:tcPr>
            <w:tcW w:w="659" w:type="pct"/>
            <w:tcBorders>
              <w:tl2br w:val="nil"/>
              <w:tr2bl w:val="nil"/>
            </w:tcBorders>
            <w:noWrap w:val="0"/>
            <w:vAlign w:val="center"/>
          </w:tcPr>
          <w:p w14:paraId="1F49BBA5">
            <w:pPr>
              <w:pStyle w:val="58"/>
              <w:bidi w:val="0"/>
              <w:ind w:firstLine="0" w:firstLineChars="0"/>
              <w:rPr>
                <w:rFonts w:hint="default"/>
                <w:highlight w:val="none"/>
                <w:lang w:eastAsia="zh-CN"/>
              </w:rPr>
            </w:pPr>
            <w:r>
              <w:rPr>
                <w:rFonts w:hint="default" w:ascii="Times New Roman" w:hAnsi="Times New Roman" w:eastAsia="宋体" w:cs="Times New Roman"/>
                <w:highlight w:val="none"/>
              </w:rPr>
              <w:t>《危险废物贮存污染控制标准》（</w:t>
            </w:r>
            <w:r>
              <w:rPr>
                <w:rFonts w:hint="default" w:ascii="Times New Roman" w:hAnsi="Times New Roman" w:eastAsia="宋体" w:cs="Times New Roman"/>
                <w:highlight w:val="none"/>
                <w:lang w:eastAsia="zh-CN"/>
              </w:rPr>
              <w:t>GB18597-2023</w:t>
            </w:r>
            <w:r>
              <w:rPr>
                <w:rFonts w:hint="default" w:ascii="Times New Roman" w:hAnsi="Times New Roman" w:eastAsia="宋体" w:cs="Times New Roman"/>
                <w:highlight w:val="none"/>
              </w:rPr>
              <w:t>）</w:t>
            </w:r>
          </w:p>
        </w:tc>
        <w:tc>
          <w:tcPr>
            <w:tcW w:w="264" w:type="pct"/>
            <w:tcBorders>
              <w:tl2br w:val="nil"/>
              <w:tr2bl w:val="nil"/>
            </w:tcBorders>
            <w:noWrap w:val="0"/>
            <w:vAlign w:val="center"/>
          </w:tcPr>
          <w:p w14:paraId="3F4D791C">
            <w:pPr>
              <w:pStyle w:val="58"/>
              <w:bidi w:val="0"/>
              <w:ind w:firstLine="0" w:firstLineChars="0"/>
              <w:rPr>
                <w:rFonts w:hint="default"/>
                <w:highlight w:val="none"/>
              </w:rPr>
            </w:pPr>
            <w:r>
              <w:rPr>
                <w:rFonts w:hint="default" w:ascii="Times New Roman" w:hAnsi="Times New Roman" w:eastAsia="宋体" w:cs="Times New Roman"/>
                <w:highlight w:val="none"/>
                <w:lang w:val="en-US" w:eastAsia="zh-CN"/>
              </w:rPr>
              <w:t>不外排</w:t>
            </w:r>
          </w:p>
        </w:tc>
      </w:tr>
    </w:tbl>
    <w:p w14:paraId="29C95783">
      <w:pPr>
        <w:adjustRightInd w:val="0"/>
        <w:snapToGrid w:val="0"/>
        <w:ind w:firstLine="482"/>
        <w:jc w:val="center"/>
        <w:rPr>
          <w:rFonts w:hint="default" w:ascii="Times New Roman" w:hAnsi="Times New Roman" w:eastAsia="宋体" w:cs="Times New Roman"/>
          <w:color w:val="000000" w:themeColor="text1"/>
          <w:sz w:val="24"/>
          <w:highlight w:val="yellow"/>
          <w:lang w:val="en-US" w:eastAsia="zh-CN"/>
          <w14:textFill>
            <w14:solidFill>
              <w14:schemeClr w14:val="tx1"/>
            </w14:solidFill>
          </w14:textFill>
        </w:rPr>
        <w:sectPr>
          <w:pgSz w:w="16838" w:h="11906" w:orient="landscape"/>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p>
    <w:p w14:paraId="327A2138">
      <w:pPr>
        <w:pStyle w:val="6"/>
        <w:bidi w:val="0"/>
        <w:rPr>
          <w:rFonts w:hint="default"/>
        </w:rPr>
      </w:pPr>
      <w:bookmarkStart w:id="405" w:name="_Toc14874"/>
      <w:bookmarkStart w:id="406" w:name="_Toc17515"/>
      <w:bookmarkStart w:id="407" w:name="_Toc246763579"/>
      <w:r>
        <w:rPr>
          <w:rFonts w:hint="default"/>
          <w:lang w:val="en-US" w:eastAsia="zh-CN"/>
        </w:rPr>
        <w:t>8.2.4</w:t>
      </w:r>
      <w:r>
        <w:rPr>
          <w:rFonts w:hint="default"/>
        </w:rPr>
        <w:t>项目环境信息公开</w:t>
      </w:r>
      <w:bookmarkEnd w:id="405"/>
      <w:bookmarkEnd w:id="406"/>
    </w:p>
    <w:p w14:paraId="220B0E03">
      <w:pPr>
        <w:spacing w:line="480" w:lineRule="exact"/>
        <w:ind w:firstLine="482"/>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szCs w:val="20"/>
          <w:highlight w:val="none"/>
          <w:lang w:eastAsia="zh-CN"/>
          <w14:textFill>
            <w14:solidFill>
              <w14:schemeClr w14:val="tx1"/>
            </w14:solidFill>
          </w14:textFill>
        </w:rPr>
        <w:t>根据《企业事业单位环境信息公开办法》（环保部令第31号）的有关规定，唐山市曹妃甸区第十一农场应建议专门机构对本单位真实环境信息进行公开，</w:t>
      </w:r>
      <w:r>
        <w:rPr>
          <w:rFonts w:hint="default" w:ascii="Times New Roman" w:hAnsi="Times New Roman" w:eastAsia="宋体" w:cs="Times New Roman"/>
          <w:color w:val="000000" w:themeColor="text1"/>
          <w:sz w:val="24"/>
          <w:highlight w:val="none"/>
          <w14:textFill>
            <w14:solidFill>
              <w14:schemeClr w14:val="tx1"/>
            </w14:solidFill>
          </w14:textFill>
        </w:rPr>
        <w:t>具体要求如下：</w:t>
      </w:r>
    </w:p>
    <w:p w14:paraId="075A5941">
      <w:pPr>
        <w:autoSpaceDE w:val="0"/>
        <w:spacing w:line="480" w:lineRule="exact"/>
        <w:ind w:firstLine="480" w:firstLineChars="200"/>
        <w:rPr>
          <w:rFonts w:hint="default" w:ascii="Times New Roman" w:hAnsi="Times New Roman" w:eastAsia="宋体" w:cs="Times New Roman"/>
          <w:color w:val="000000" w:themeColor="text1"/>
          <w:sz w:val="24"/>
          <w:highlight w:val="none"/>
          <w:lang w:bidi="ar"/>
          <w14:textFill>
            <w14:solidFill>
              <w14:schemeClr w14:val="tx1"/>
            </w14:solidFill>
          </w14:textFill>
        </w:rPr>
      </w:pPr>
      <w:r>
        <w:rPr>
          <w:rFonts w:hint="default" w:ascii="Times New Roman" w:hAnsi="Times New Roman" w:eastAsia="宋体" w:cs="Times New Roman"/>
          <w:color w:val="000000" w:themeColor="text1"/>
          <w:sz w:val="24"/>
          <w:highlight w:val="none"/>
          <w:lang w:bidi="ar"/>
          <w14:textFill>
            <w14:solidFill>
              <w14:schemeClr w14:val="tx1"/>
            </w14:solidFill>
          </w14:textFill>
        </w:rPr>
        <w:t>⑴企业事业单位应当建立健全本单位环境信息公开制度，指定机构负责本单位环境信息公开日常工作，应当按照强制公开和自愿公开相结合的原则，及时、如实地公开其环境信息。环境信息涉及国家秘密、商业秘密或者个人隐私的，依法可以不公开；法律、法规另有规定的，从其规定。</w:t>
      </w:r>
    </w:p>
    <w:p w14:paraId="52A2D4C3">
      <w:pPr>
        <w:autoSpaceDE w:val="0"/>
        <w:spacing w:line="480" w:lineRule="exact"/>
        <w:ind w:firstLine="480" w:firstLineChars="200"/>
        <w:rPr>
          <w:rFonts w:hint="default" w:ascii="Times New Roman" w:hAnsi="Times New Roman" w:eastAsia="宋体" w:cs="Times New Roman"/>
          <w:color w:val="000000" w:themeColor="text1"/>
          <w:sz w:val="24"/>
          <w:highlight w:val="none"/>
          <w:lang w:bidi="ar"/>
          <w14:textFill>
            <w14:solidFill>
              <w14:schemeClr w14:val="tx1"/>
            </w14:solidFill>
          </w14:textFill>
        </w:rPr>
      </w:pPr>
      <w:r>
        <w:rPr>
          <w:rFonts w:hint="default" w:ascii="Times New Roman" w:hAnsi="Times New Roman" w:eastAsia="宋体" w:cs="Times New Roman"/>
          <w:color w:val="000000" w:themeColor="text1"/>
          <w:sz w:val="24"/>
          <w:highlight w:val="none"/>
          <w:lang w:bidi="ar"/>
          <w14:textFill>
            <w14:solidFill>
              <w14:schemeClr w14:val="tx1"/>
            </w14:solidFill>
          </w14:textFill>
        </w:rPr>
        <w:t>⑵排污单位应当公开下列信息：</w:t>
      </w:r>
    </w:p>
    <w:p w14:paraId="1C4813FF">
      <w:pPr>
        <w:autoSpaceDE w:val="0"/>
        <w:spacing w:line="480" w:lineRule="exact"/>
        <w:ind w:firstLine="480" w:firstLineChars="200"/>
        <w:rPr>
          <w:rFonts w:hint="default" w:ascii="Times New Roman" w:hAnsi="Times New Roman" w:eastAsia="宋体" w:cs="Times New Roman"/>
          <w:color w:val="000000" w:themeColor="text1"/>
          <w:sz w:val="24"/>
          <w:highlight w:val="none"/>
          <w:lang w:bidi="ar"/>
          <w14:textFill>
            <w14:solidFill>
              <w14:schemeClr w14:val="tx1"/>
            </w14:solidFill>
          </w14:textFill>
        </w:rPr>
      </w:pPr>
      <w:r>
        <w:rPr>
          <w:rFonts w:hint="default" w:ascii="Times New Roman" w:hAnsi="Times New Roman" w:eastAsia="宋体" w:cs="Times New Roman"/>
          <w:color w:val="000000" w:themeColor="text1"/>
          <w:sz w:val="24"/>
          <w:highlight w:val="none"/>
          <w:lang w:bidi="ar"/>
          <w14:textFill>
            <w14:solidFill>
              <w14:schemeClr w14:val="tx1"/>
            </w14:solidFill>
          </w14:textFill>
        </w:rPr>
        <w:t>①基础信息，包括单位名称、组织机构代码、法定代表人、生产地址、联系方式，以及生产经营和管理服务的主要内容、产品及规模；</w:t>
      </w:r>
    </w:p>
    <w:p w14:paraId="24115674">
      <w:pPr>
        <w:autoSpaceDE w:val="0"/>
        <w:spacing w:line="480" w:lineRule="exact"/>
        <w:ind w:firstLine="482"/>
        <w:rPr>
          <w:rFonts w:hint="default" w:ascii="Times New Roman" w:hAnsi="Times New Roman" w:eastAsia="宋体" w:cs="Times New Roman"/>
          <w:color w:val="000000" w:themeColor="text1"/>
          <w:sz w:val="24"/>
          <w:highlight w:val="none"/>
          <w:lang w:bidi="ar"/>
          <w14:textFill>
            <w14:solidFill>
              <w14:schemeClr w14:val="tx1"/>
            </w14:solidFill>
          </w14:textFill>
        </w:rPr>
      </w:pPr>
      <w:r>
        <w:rPr>
          <w:rFonts w:hint="default" w:ascii="Times New Roman" w:hAnsi="Times New Roman" w:eastAsia="宋体" w:cs="Times New Roman"/>
          <w:color w:val="000000" w:themeColor="text1"/>
          <w:sz w:val="24"/>
          <w:highlight w:val="none"/>
          <w:lang w:bidi="ar"/>
          <w14:textFill>
            <w14:solidFill>
              <w14:schemeClr w14:val="tx1"/>
            </w14:solidFill>
          </w14:textFill>
        </w:rPr>
        <w:t>②排污信息，包括主要污染物及特征污染物的名称、排放方式、排放口数</w:t>
      </w:r>
      <w:r>
        <w:rPr>
          <w:rFonts w:hint="default" w:ascii="Times New Roman" w:hAnsi="Times New Roman" w:eastAsia="宋体" w:cs="Times New Roman"/>
          <w:color w:val="000000" w:themeColor="text1"/>
          <w:kern w:val="0"/>
          <w:szCs w:val="21"/>
          <w:highlight w:val="none"/>
          <w14:textFill>
            <w14:solidFill>
              <w14:schemeClr w14:val="tx1"/>
            </w14:solidFill>
          </w14:textFill>
        </w:rPr>
        <w:pict>
          <v:line id="直线 1063" o:spid="_x0000_s1059" o:spt="20" style="position:absolute;left:0pt;margin-left:0pt;margin-top:708.65pt;height:0pt;width:414.15pt;z-index:251663360;mso-width-relative:page;mso-height-relative:page;" filled="f" stroked="t" coordsize="21600,21600">
            <v:path arrowok="t"/>
            <v:fill on="f" focussize="0,0"/>
            <v:stroke/>
            <v:imagedata o:title=""/>
            <o:lock v:ext="edit" grouping="f" rotation="f" text="f" aspectratio="f"/>
          </v:line>
        </w:pict>
      </w:r>
      <w:r>
        <w:rPr>
          <w:rFonts w:hint="default" w:ascii="Times New Roman" w:hAnsi="Times New Roman" w:eastAsia="宋体" w:cs="Times New Roman"/>
          <w:color w:val="000000" w:themeColor="text1"/>
          <w:sz w:val="24"/>
          <w:highlight w:val="none"/>
          <w:lang w:bidi="ar"/>
          <w14:textFill>
            <w14:solidFill>
              <w14:schemeClr w14:val="tx1"/>
            </w14:solidFill>
          </w14:textFill>
        </w:rPr>
        <w:t>量和分布情况、排放浓度和总量情况，以及执行的污染物排放标准、核定的排放总量；</w:t>
      </w:r>
    </w:p>
    <w:p w14:paraId="0EE794CE">
      <w:pPr>
        <w:autoSpaceDE w:val="0"/>
        <w:spacing w:line="480" w:lineRule="exact"/>
        <w:ind w:firstLine="482"/>
        <w:rPr>
          <w:rFonts w:hint="default" w:ascii="Times New Roman" w:hAnsi="Times New Roman" w:eastAsia="宋体" w:cs="Times New Roman"/>
          <w:color w:val="000000" w:themeColor="text1"/>
          <w:sz w:val="24"/>
          <w:highlight w:val="none"/>
          <w:lang w:bidi="ar"/>
          <w14:textFill>
            <w14:solidFill>
              <w14:schemeClr w14:val="tx1"/>
            </w14:solidFill>
          </w14:textFill>
        </w:rPr>
      </w:pPr>
      <w:r>
        <w:rPr>
          <w:rFonts w:hint="default" w:ascii="Times New Roman" w:hAnsi="Times New Roman" w:eastAsia="宋体" w:cs="Times New Roman"/>
          <w:color w:val="000000" w:themeColor="text1"/>
          <w:sz w:val="24"/>
          <w:highlight w:val="none"/>
          <w:lang w:bidi="ar"/>
          <w14:textFill>
            <w14:solidFill>
              <w14:schemeClr w14:val="tx1"/>
            </w14:solidFill>
          </w14:textFill>
        </w:rPr>
        <w:t>③防治污染设施的建设和运行情况；</w:t>
      </w:r>
    </w:p>
    <w:p w14:paraId="2086ABE0">
      <w:pPr>
        <w:autoSpaceDE w:val="0"/>
        <w:spacing w:line="480" w:lineRule="exact"/>
        <w:ind w:firstLine="482"/>
        <w:rPr>
          <w:rFonts w:hint="default" w:ascii="Times New Roman" w:hAnsi="Times New Roman" w:eastAsia="宋体" w:cs="Times New Roman"/>
          <w:color w:val="000000" w:themeColor="text1"/>
          <w:sz w:val="24"/>
          <w:highlight w:val="none"/>
          <w:lang w:bidi="ar"/>
          <w14:textFill>
            <w14:solidFill>
              <w14:schemeClr w14:val="tx1"/>
            </w14:solidFill>
          </w14:textFill>
        </w:rPr>
      </w:pPr>
      <w:r>
        <w:rPr>
          <w:rFonts w:hint="default" w:ascii="Times New Roman" w:hAnsi="Times New Roman" w:eastAsia="宋体" w:cs="Times New Roman"/>
          <w:color w:val="000000" w:themeColor="text1"/>
          <w:sz w:val="24"/>
          <w:highlight w:val="none"/>
          <w:lang w:bidi="ar"/>
          <w14:textFill>
            <w14:solidFill>
              <w14:schemeClr w14:val="tx1"/>
            </w14:solidFill>
          </w14:textFill>
        </w:rPr>
        <w:t>④建设项目环境影响评价及其他环境保护行政许可情况；</w:t>
      </w:r>
    </w:p>
    <w:p w14:paraId="13011A7E">
      <w:pPr>
        <w:autoSpaceDE w:val="0"/>
        <w:spacing w:line="480" w:lineRule="exact"/>
        <w:ind w:firstLine="482"/>
        <w:rPr>
          <w:rFonts w:hint="default" w:ascii="Times New Roman" w:hAnsi="Times New Roman" w:eastAsia="宋体" w:cs="Times New Roman"/>
          <w:color w:val="000000" w:themeColor="text1"/>
          <w:sz w:val="24"/>
          <w:highlight w:val="none"/>
          <w:lang w:bidi="ar"/>
          <w14:textFill>
            <w14:solidFill>
              <w14:schemeClr w14:val="tx1"/>
            </w14:solidFill>
          </w14:textFill>
        </w:rPr>
      </w:pPr>
      <w:r>
        <w:rPr>
          <w:rFonts w:hint="default" w:ascii="Times New Roman" w:hAnsi="Times New Roman" w:eastAsia="宋体" w:cs="Times New Roman"/>
          <w:color w:val="000000" w:themeColor="text1"/>
          <w:sz w:val="24"/>
          <w:highlight w:val="none"/>
          <w:lang w:bidi="ar"/>
          <w14:textFill>
            <w14:solidFill>
              <w14:schemeClr w14:val="tx1"/>
            </w14:solidFill>
          </w14:textFill>
        </w:rPr>
        <w:t>⑤突发环境事件应急预案；</w:t>
      </w:r>
    </w:p>
    <w:p w14:paraId="0F8E5701">
      <w:pPr>
        <w:autoSpaceDE w:val="0"/>
        <w:spacing w:line="480" w:lineRule="exact"/>
        <w:ind w:firstLine="482"/>
        <w:rPr>
          <w:rFonts w:hint="default" w:ascii="Times New Roman" w:hAnsi="Times New Roman" w:eastAsia="宋体" w:cs="Times New Roman"/>
          <w:color w:val="000000" w:themeColor="text1"/>
          <w:sz w:val="24"/>
          <w:highlight w:val="none"/>
          <w:lang w:bidi="ar"/>
          <w14:textFill>
            <w14:solidFill>
              <w14:schemeClr w14:val="tx1"/>
            </w14:solidFill>
          </w14:textFill>
        </w:rPr>
      </w:pPr>
      <w:r>
        <w:rPr>
          <w:rFonts w:hint="default" w:ascii="Times New Roman" w:hAnsi="Times New Roman" w:eastAsia="宋体" w:cs="Times New Roman"/>
          <w:color w:val="000000" w:themeColor="text1"/>
          <w:sz w:val="24"/>
          <w:highlight w:val="none"/>
          <w:lang w:bidi="ar"/>
          <w14:textFill>
            <w14:solidFill>
              <w14:schemeClr w14:val="tx1"/>
            </w14:solidFill>
          </w14:textFill>
        </w:rPr>
        <w:t>⑥其他应当公开的环境信息。</w:t>
      </w:r>
    </w:p>
    <w:p w14:paraId="14004DBD">
      <w:pPr>
        <w:autoSpaceDE w:val="0"/>
        <w:spacing w:line="480" w:lineRule="exact"/>
        <w:ind w:firstLine="482"/>
        <w:rPr>
          <w:rFonts w:hint="default" w:ascii="Times New Roman" w:hAnsi="Times New Roman" w:eastAsia="宋体" w:cs="Times New Roman"/>
          <w:color w:val="000000" w:themeColor="text1"/>
          <w:sz w:val="24"/>
          <w:highlight w:val="none"/>
          <w:lang w:bidi="ar"/>
          <w14:textFill>
            <w14:solidFill>
              <w14:schemeClr w14:val="tx1"/>
            </w14:solidFill>
          </w14:textFill>
        </w:rPr>
      </w:pPr>
      <w:r>
        <w:rPr>
          <w:rFonts w:hint="default" w:ascii="Times New Roman" w:hAnsi="Times New Roman" w:eastAsia="宋体" w:cs="Times New Roman"/>
          <w:color w:val="000000" w:themeColor="text1"/>
          <w:sz w:val="24"/>
          <w:highlight w:val="none"/>
          <w:lang w:bidi="ar"/>
          <w14:textFill>
            <w14:solidFill>
              <w14:schemeClr w14:val="tx1"/>
            </w14:solidFill>
          </w14:textFill>
        </w:rPr>
        <w:t>⑶排污单位应当通过其网站、企业事业单位环境信息公开平台或者当地报刊等便于公众知晓的方式公开环境信息，同时可以采取以下一种或者几种方式予以公开：</w:t>
      </w:r>
    </w:p>
    <w:p w14:paraId="6322A594">
      <w:pPr>
        <w:autoSpaceDE w:val="0"/>
        <w:spacing w:line="480" w:lineRule="exact"/>
        <w:ind w:firstLine="482"/>
        <w:rPr>
          <w:rFonts w:hint="default" w:ascii="Times New Roman" w:hAnsi="Times New Roman" w:eastAsia="宋体" w:cs="Times New Roman"/>
          <w:color w:val="000000" w:themeColor="text1"/>
          <w:sz w:val="24"/>
          <w:highlight w:val="none"/>
          <w:lang w:bidi="ar"/>
          <w14:textFill>
            <w14:solidFill>
              <w14:schemeClr w14:val="tx1"/>
            </w14:solidFill>
          </w14:textFill>
        </w:rPr>
      </w:pPr>
      <w:r>
        <w:rPr>
          <w:rFonts w:hint="default" w:ascii="Times New Roman" w:hAnsi="Times New Roman" w:eastAsia="宋体" w:cs="Times New Roman"/>
          <w:color w:val="000000" w:themeColor="text1"/>
          <w:sz w:val="24"/>
          <w:highlight w:val="none"/>
          <w:lang w:bidi="ar"/>
          <w14:textFill>
            <w14:solidFill>
              <w14:schemeClr w14:val="tx1"/>
            </w14:solidFill>
          </w14:textFill>
        </w:rPr>
        <w:t>①公告或者公开发行的信息专刊；</w:t>
      </w:r>
    </w:p>
    <w:p w14:paraId="0385B2D0">
      <w:pPr>
        <w:autoSpaceDE w:val="0"/>
        <w:spacing w:line="480" w:lineRule="exact"/>
        <w:ind w:firstLine="482"/>
        <w:rPr>
          <w:rFonts w:hint="default" w:ascii="Times New Roman" w:hAnsi="Times New Roman" w:eastAsia="宋体" w:cs="Times New Roman"/>
          <w:color w:val="000000" w:themeColor="text1"/>
          <w:sz w:val="24"/>
          <w:highlight w:val="none"/>
          <w:lang w:bidi="ar"/>
          <w14:textFill>
            <w14:solidFill>
              <w14:schemeClr w14:val="tx1"/>
            </w14:solidFill>
          </w14:textFill>
        </w:rPr>
      </w:pPr>
      <w:r>
        <w:rPr>
          <w:rFonts w:hint="default" w:ascii="Times New Roman" w:hAnsi="Times New Roman" w:eastAsia="宋体" w:cs="Times New Roman"/>
          <w:color w:val="000000" w:themeColor="text1"/>
          <w:sz w:val="24"/>
          <w:highlight w:val="none"/>
          <w:lang w:bidi="ar"/>
          <w14:textFill>
            <w14:solidFill>
              <w14:schemeClr w14:val="tx1"/>
            </w14:solidFill>
          </w14:textFill>
        </w:rPr>
        <w:t>②广播、电视等新闻媒体；</w:t>
      </w:r>
    </w:p>
    <w:p w14:paraId="7D8FA3B0">
      <w:pPr>
        <w:autoSpaceDE w:val="0"/>
        <w:spacing w:line="480" w:lineRule="exact"/>
        <w:ind w:firstLine="482"/>
        <w:rPr>
          <w:rFonts w:hint="default" w:ascii="Times New Roman" w:hAnsi="Times New Roman" w:eastAsia="宋体" w:cs="Times New Roman"/>
          <w:color w:val="000000" w:themeColor="text1"/>
          <w:sz w:val="24"/>
          <w:highlight w:val="none"/>
          <w:lang w:bidi="ar"/>
          <w14:textFill>
            <w14:solidFill>
              <w14:schemeClr w14:val="tx1"/>
            </w14:solidFill>
          </w14:textFill>
        </w:rPr>
      </w:pPr>
      <w:r>
        <w:rPr>
          <w:rFonts w:hint="default" w:ascii="Times New Roman" w:hAnsi="Times New Roman" w:eastAsia="宋体" w:cs="Times New Roman"/>
          <w:color w:val="000000" w:themeColor="text1"/>
          <w:sz w:val="24"/>
          <w:highlight w:val="none"/>
          <w:lang w:bidi="ar"/>
          <w14:textFill>
            <w14:solidFill>
              <w14:schemeClr w14:val="tx1"/>
            </w14:solidFill>
          </w14:textFill>
        </w:rPr>
        <w:t>③信息公开服务、监督热线电话；</w:t>
      </w:r>
    </w:p>
    <w:p w14:paraId="0E40C12E">
      <w:pPr>
        <w:autoSpaceDE w:val="0"/>
        <w:spacing w:line="480" w:lineRule="exact"/>
        <w:ind w:firstLine="482"/>
        <w:rPr>
          <w:rFonts w:hint="default" w:ascii="Times New Roman" w:hAnsi="Times New Roman" w:eastAsia="宋体" w:cs="Times New Roman"/>
          <w:color w:val="000000" w:themeColor="text1"/>
          <w:sz w:val="24"/>
          <w:highlight w:val="none"/>
          <w:lang w:bidi="ar"/>
          <w14:textFill>
            <w14:solidFill>
              <w14:schemeClr w14:val="tx1"/>
            </w14:solidFill>
          </w14:textFill>
        </w:rPr>
      </w:pPr>
      <w:r>
        <w:rPr>
          <w:rFonts w:hint="default" w:ascii="Times New Roman" w:hAnsi="Times New Roman" w:eastAsia="宋体" w:cs="Times New Roman"/>
          <w:color w:val="000000" w:themeColor="text1"/>
          <w:sz w:val="24"/>
          <w:highlight w:val="none"/>
          <w:lang w:bidi="ar"/>
          <w14:textFill>
            <w14:solidFill>
              <w14:schemeClr w14:val="tx1"/>
            </w14:solidFill>
          </w14:textFill>
        </w:rPr>
        <w:t>④本单位的资料索取点、信息公开栏、信息亭、电子屏幕、电子触摸屏等场所或者设施；</w:t>
      </w:r>
    </w:p>
    <w:p w14:paraId="6AF438EF">
      <w:pPr>
        <w:autoSpaceDE w:val="0"/>
        <w:spacing w:line="480" w:lineRule="exact"/>
        <w:ind w:firstLine="482"/>
        <w:rPr>
          <w:rFonts w:hint="default" w:ascii="Times New Roman" w:hAnsi="Times New Roman" w:eastAsia="宋体" w:cs="Times New Roman"/>
          <w:color w:val="000000" w:themeColor="text1"/>
          <w:sz w:val="24"/>
          <w:highlight w:val="none"/>
          <w:lang w:bidi="ar"/>
          <w14:textFill>
            <w14:solidFill>
              <w14:schemeClr w14:val="tx1"/>
            </w14:solidFill>
          </w14:textFill>
        </w:rPr>
      </w:pPr>
      <w:r>
        <w:rPr>
          <w:rFonts w:hint="default" w:ascii="Times New Roman" w:hAnsi="Times New Roman" w:eastAsia="宋体" w:cs="Times New Roman"/>
          <w:color w:val="000000" w:themeColor="text1"/>
          <w:sz w:val="24"/>
          <w:highlight w:val="none"/>
          <w:lang w:bidi="ar"/>
          <w14:textFill>
            <w14:solidFill>
              <w14:schemeClr w14:val="tx1"/>
            </w14:solidFill>
          </w14:textFill>
        </w:rPr>
        <w:t>⑤其他便于公众及时、准确获得信息的方式。</w:t>
      </w:r>
    </w:p>
    <w:p w14:paraId="3C5F71CF">
      <w:pPr>
        <w:spacing w:line="480" w:lineRule="exact"/>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lang w:bidi="ar"/>
          <w14:textFill>
            <w14:solidFill>
              <w14:schemeClr w14:val="tx1"/>
            </w14:solidFill>
          </w14:textFill>
        </w:rPr>
        <w:t>⑷自愿公开有利于保护生态、防治污染、履行社会环境责任的相关信息。</w:t>
      </w:r>
    </w:p>
    <w:p w14:paraId="06F09D95">
      <w:pPr>
        <w:pStyle w:val="7"/>
        <w:bidi w:val="0"/>
        <w:rPr>
          <w:rFonts w:hint="default"/>
        </w:rPr>
      </w:pPr>
      <w:bookmarkStart w:id="408" w:name="_Toc17664"/>
      <w:bookmarkStart w:id="409" w:name="_Toc28994"/>
      <w:r>
        <w:rPr>
          <w:rFonts w:hint="default"/>
          <w:lang w:val="en-US" w:eastAsia="zh-CN"/>
        </w:rPr>
        <w:t>8</w:t>
      </w:r>
      <w:r>
        <w:rPr>
          <w:rFonts w:hint="default"/>
        </w:rPr>
        <w:t>.3环境监测</w:t>
      </w:r>
      <w:bookmarkEnd w:id="407"/>
      <w:bookmarkEnd w:id="408"/>
      <w:bookmarkEnd w:id="409"/>
    </w:p>
    <w:p w14:paraId="752D60AC">
      <w:pPr>
        <w:pStyle w:val="6"/>
        <w:bidi w:val="0"/>
        <w:rPr>
          <w:rFonts w:hint="default"/>
          <w:lang w:val="en-US" w:eastAsia="zh-CN"/>
        </w:rPr>
      </w:pPr>
      <w:r>
        <w:rPr>
          <w:rFonts w:hint="default"/>
          <w:lang w:val="en-US" w:eastAsia="zh-CN"/>
        </w:rPr>
        <w:t>8.3.1监测计划</w:t>
      </w:r>
    </w:p>
    <w:p w14:paraId="438C2880">
      <w:pPr>
        <w:keepNext w:val="0"/>
        <w:keepLines w:val="0"/>
        <w:pageBreakBefore w:val="0"/>
        <w:widowControl w:val="0"/>
        <w:kinsoku/>
        <w:wordWrap/>
        <w:overflowPunct/>
        <w:topLinePunct w:val="0"/>
        <w:autoSpaceDE/>
        <w:autoSpaceDN/>
        <w:bidi w:val="0"/>
        <w:adjustRightInd/>
        <w:snapToGrid/>
        <w:spacing w:line="480" w:lineRule="exact"/>
        <w:ind w:firstLine="472" w:firstLineChars="200"/>
        <w:textAlignment w:val="auto"/>
        <w:rPr>
          <w:rFonts w:hint="default" w:ascii="Times New Roman" w:hAnsi="Times New Roman" w:eastAsia="宋体" w:cs="Times New Roman"/>
          <w:color w:val="000000" w:themeColor="text1"/>
          <w:spacing w:val="-2"/>
          <w:sz w:val="24"/>
          <w:highlight w:val="none"/>
          <w14:textFill>
            <w14:solidFill>
              <w14:schemeClr w14:val="tx1"/>
            </w14:solidFill>
          </w14:textFill>
        </w:rPr>
      </w:pPr>
      <w:r>
        <w:rPr>
          <w:rFonts w:hint="default" w:ascii="Times New Roman" w:hAnsi="Times New Roman" w:eastAsia="宋体" w:cs="Times New Roman"/>
          <w:color w:val="000000" w:themeColor="text1"/>
          <w:spacing w:val="-2"/>
          <w:sz w:val="24"/>
          <w:highlight w:val="none"/>
          <w14:textFill>
            <w14:solidFill>
              <w14:schemeClr w14:val="tx1"/>
            </w14:solidFill>
          </w14:textFill>
        </w:rPr>
        <w:t>为了掌握污染防治设施的运行状况，了解项目建成后产生的实际环境影响和区域环境质量的变化，能及时发现问题和环保设计不足并给予纠正，因而必须建立相应的监测制度，对项目影响区域内环境要素和污染物排放状况进行监测，并对监测资料进行收集整理，建立监测档案，按时将监测数据上报公司有关领导及上级有关主管部门。</w:t>
      </w:r>
    </w:p>
    <w:p w14:paraId="67EFCF36">
      <w:pPr>
        <w:keepNext w:val="0"/>
        <w:keepLines w:val="0"/>
        <w:pageBreakBefore w:val="0"/>
        <w:widowControl w:val="0"/>
        <w:kinsoku/>
        <w:wordWrap/>
        <w:overflowPunct/>
        <w:topLinePunct w:val="0"/>
        <w:autoSpaceDE/>
        <w:autoSpaceDN/>
        <w:bidi w:val="0"/>
        <w:adjustRightInd/>
        <w:snapToGrid/>
        <w:spacing w:line="480" w:lineRule="exact"/>
        <w:ind w:firstLine="472" w:firstLineChars="200"/>
        <w:textAlignment w:val="auto"/>
        <w:rPr>
          <w:rFonts w:hint="default" w:ascii="Times New Roman" w:hAnsi="Times New Roman" w:eastAsia="宋体" w:cs="Times New Roman"/>
          <w:color w:val="000000" w:themeColor="text1"/>
          <w:spacing w:val="-2"/>
          <w:sz w:val="24"/>
          <w:highlight w:val="none"/>
          <w14:textFill>
            <w14:solidFill>
              <w14:schemeClr w14:val="tx1"/>
            </w14:solidFill>
          </w14:textFill>
        </w:rPr>
      </w:pPr>
      <w:r>
        <w:rPr>
          <w:rFonts w:hint="default" w:ascii="Times New Roman" w:hAnsi="Times New Roman" w:eastAsia="宋体" w:cs="Times New Roman"/>
          <w:color w:val="000000" w:themeColor="text1"/>
          <w:spacing w:val="-2"/>
          <w:sz w:val="24"/>
          <w:highlight w:val="none"/>
          <w14:textFill>
            <w14:solidFill>
              <w14:schemeClr w14:val="tx1"/>
            </w14:solidFill>
          </w14:textFill>
        </w:rPr>
        <w:t>参照关于印发《国家重点监控企业自行监测及信息公开办法(试行)》和《排污单位自行监测技术指南</w:t>
      </w:r>
      <w:r>
        <w:rPr>
          <w:rFonts w:hint="eastAsia"/>
          <w:lang w:val="en-US" w:eastAsia="zh-CN"/>
        </w:rPr>
        <w:t xml:space="preserve">  水处理</w:t>
      </w:r>
      <w:r>
        <w:rPr>
          <w:rFonts w:hint="default" w:ascii="Times New Roman" w:hAnsi="Times New Roman" w:eastAsia="宋体" w:cs="Times New Roman"/>
          <w:color w:val="000000" w:themeColor="text1"/>
          <w:spacing w:val="-2"/>
          <w:sz w:val="24"/>
          <w:highlight w:val="none"/>
          <w14:textFill>
            <w14:solidFill>
              <w14:schemeClr w14:val="tx1"/>
            </w14:solidFill>
          </w14:textFill>
        </w:rPr>
        <w:t>》</w:t>
      </w:r>
      <w:r>
        <w:rPr>
          <w:rFonts w:hint="default" w:ascii="Times New Roman" w:hAnsi="Times New Roman" w:eastAsia="宋体" w:cs="Times New Roman"/>
          <w:color w:val="000000" w:themeColor="text1"/>
          <w:spacing w:val="-2"/>
          <w:sz w:val="24"/>
          <w:highlight w:val="none"/>
          <w:lang w:eastAsia="zh-CN"/>
          <w14:textFill>
            <w14:solidFill>
              <w14:schemeClr w14:val="tx1"/>
            </w14:solidFill>
          </w14:textFill>
        </w:rPr>
        <w:t>（</w:t>
      </w:r>
      <w:r>
        <w:rPr>
          <w:rFonts w:hint="default" w:ascii="Times New Roman" w:hAnsi="Times New Roman" w:eastAsia="宋体" w:cs="Times New Roman"/>
          <w:color w:val="000000" w:themeColor="text1"/>
          <w:spacing w:val="-2"/>
          <w:sz w:val="24"/>
          <w:highlight w:val="none"/>
          <w14:textFill>
            <w14:solidFill>
              <w14:schemeClr w14:val="tx1"/>
            </w14:solidFill>
          </w14:textFill>
        </w:rPr>
        <w:t>HJ</w:t>
      </w:r>
      <w:r>
        <w:rPr>
          <w:rFonts w:hint="eastAsia" w:cs="Times New Roman"/>
          <w:color w:val="000000" w:themeColor="text1"/>
          <w:spacing w:val="-2"/>
          <w:sz w:val="24"/>
          <w:highlight w:val="none"/>
          <w:lang w:val="en-US" w:eastAsia="zh-CN"/>
          <w14:textFill>
            <w14:solidFill>
              <w14:schemeClr w14:val="tx1"/>
            </w14:solidFill>
          </w14:textFill>
        </w:rPr>
        <w:t>1083</w:t>
      </w:r>
      <w:r>
        <w:rPr>
          <w:rFonts w:hint="default" w:ascii="Times New Roman" w:hAnsi="Times New Roman" w:eastAsia="宋体" w:cs="Times New Roman"/>
          <w:color w:val="000000" w:themeColor="text1"/>
          <w:spacing w:val="-2"/>
          <w:sz w:val="24"/>
          <w:highlight w:val="none"/>
          <w14:textFill>
            <w14:solidFill>
              <w14:schemeClr w14:val="tx1"/>
            </w14:solidFill>
          </w14:textFill>
        </w:rPr>
        <w:t>-20</w:t>
      </w:r>
      <w:r>
        <w:rPr>
          <w:rFonts w:hint="eastAsia" w:cs="Times New Roman"/>
          <w:color w:val="000000" w:themeColor="text1"/>
          <w:spacing w:val="-2"/>
          <w:sz w:val="24"/>
          <w:highlight w:val="none"/>
          <w:lang w:val="en-US" w:eastAsia="zh-CN"/>
          <w14:textFill>
            <w14:solidFill>
              <w14:schemeClr w14:val="tx1"/>
            </w14:solidFill>
          </w14:textFill>
        </w:rPr>
        <w:t>20</w:t>
      </w:r>
      <w:r>
        <w:rPr>
          <w:rFonts w:hint="default" w:ascii="Times New Roman" w:hAnsi="Times New Roman" w:eastAsia="宋体" w:cs="Times New Roman"/>
          <w:color w:val="000000" w:themeColor="text1"/>
          <w:spacing w:val="-2"/>
          <w:sz w:val="24"/>
          <w:highlight w:val="none"/>
          <w:lang w:eastAsia="zh-CN"/>
          <w14:textFill>
            <w14:solidFill>
              <w14:schemeClr w14:val="tx1"/>
            </w14:solidFill>
          </w14:textFill>
        </w:rPr>
        <w:t>）</w:t>
      </w:r>
      <w:r>
        <w:rPr>
          <w:rFonts w:hint="default" w:ascii="Times New Roman" w:hAnsi="Times New Roman" w:eastAsia="宋体" w:cs="Times New Roman"/>
          <w:color w:val="000000" w:themeColor="text1"/>
          <w:spacing w:val="-2"/>
          <w:sz w:val="24"/>
          <w:highlight w:val="none"/>
          <w14:textFill>
            <w14:solidFill>
              <w14:schemeClr w14:val="tx1"/>
            </w14:solidFill>
          </w14:textFill>
        </w:rPr>
        <w:t>中的有关规定要求，针对本项目产排污特点，制定本项目的监测方案。监测项目、周期及采样位置具体见表</w:t>
      </w:r>
      <w:r>
        <w:rPr>
          <w:rFonts w:hint="default" w:ascii="Times New Roman" w:hAnsi="Times New Roman" w:eastAsia="宋体" w:cs="Times New Roman"/>
          <w:color w:val="000000" w:themeColor="text1"/>
          <w:spacing w:val="-2"/>
          <w:sz w:val="24"/>
          <w:highlight w:val="none"/>
          <w:lang w:val="en-US" w:eastAsia="zh-CN"/>
          <w14:textFill>
            <w14:solidFill>
              <w14:schemeClr w14:val="tx1"/>
            </w14:solidFill>
          </w14:textFill>
        </w:rPr>
        <w:t>8</w:t>
      </w:r>
      <w:r>
        <w:rPr>
          <w:rFonts w:hint="default" w:ascii="Times New Roman" w:hAnsi="Times New Roman" w:eastAsia="宋体" w:cs="Times New Roman"/>
          <w:color w:val="000000" w:themeColor="text1"/>
          <w:spacing w:val="-2"/>
          <w:sz w:val="24"/>
          <w:highlight w:val="none"/>
          <w14:textFill>
            <w14:solidFill>
              <w14:schemeClr w14:val="tx1"/>
            </w14:solidFill>
          </w14:textFill>
        </w:rPr>
        <w:t>.3-1。</w:t>
      </w:r>
    </w:p>
    <w:p w14:paraId="325C44DF">
      <w:pPr>
        <w:spacing w:line="440" w:lineRule="exact"/>
        <w:jc w:val="both"/>
        <w:rPr>
          <w:rFonts w:hint="default" w:ascii="Times New Roman" w:hAnsi="Times New Roman" w:eastAsia="宋体" w:cs="Times New Roman"/>
          <w:b/>
          <w:bCs/>
          <w:color w:val="000000" w:themeColor="text1"/>
          <w:spacing w:val="-2"/>
          <w:sz w:val="24"/>
          <w:highlight w:val="yellow"/>
          <w14:textFill>
            <w14:solidFill>
              <w14:schemeClr w14:val="tx1"/>
            </w14:solidFill>
          </w14:textFill>
        </w:rPr>
      </w:pPr>
    </w:p>
    <w:p w14:paraId="38BB6250">
      <w:pPr>
        <w:spacing w:line="440" w:lineRule="exact"/>
        <w:jc w:val="center"/>
        <w:rPr>
          <w:rFonts w:hint="default" w:ascii="Times New Roman" w:hAnsi="Times New Roman" w:eastAsia="宋体" w:cs="Times New Roman"/>
          <w:b/>
          <w:bCs/>
          <w:color w:val="000000" w:themeColor="text1"/>
          <w:spacing w:val="-2"/>
          <w:sz w:val="24"/>
          <w:highlight w:val="yellow"/>
          <w14:textFill>
            <w14:solidFill>
              <w14:schemeClr w14:val="tx1"/>
            </w14:solidFill>
          </w14:textFill>
        </w:rPr>
        <w:sectPr>
          <w:pgSz w:w="11906" w:h="16838"/>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p>
    <w:p w14:paraId="50AF68C9">
      <w:pPr>
        <w:numPr>
          <w:ilvl w:val="0"/>
          <w:numId w:val="45"/>
        </w:numPr>
        <w:spacing w:line="440" w:lineRule="exact"/>
        <w:ind w:left="425" w:leftChars="0" w:hanging="425" w:firstLineChars="0"/>
        <w:jc w:val="center"/>
        <w:rPr>
          <w:rFonts w:hint="default" w:ascii="Times New Roman" w:hAnsi="Times New Roman" w:eastAsia="宋体" w:cs="Times New Roman"/>
          <w:b/>
          <w:bCs/>
          <w:color w:val="000000" w:themeColor="text1"/>
          <w:spacing w:val="-2"/>
          <w:sz w:val="24"/>
          <w:highlight w:val="none"/>
          <w14:textFill>
            <w14:solidFill>
              <w14:schemeClr w14:val="tx1"/>
            </w14:solidFill>
          </w14:textFill>
        </w:rPr>
      </w:pPr>
      <w:bookmarkStart w:id="410" w:name="_Toc246763580"/>
      <w:bookmarkStart w:id="411" w:name="_Toc390963232"/>
      <w:r>
        <w:rPr>
          <w:rFonts w:hint="eastAsia" w:cs="Times New Roman"/>
          <w:b/>
          <w:bCs/>
          <w:color w:val="000000" w:themeColor="text1"/>
          <w:spacing w:val="-2"/>
          <w:sz w:val="24"/>
          <w:highlight w:val="none"/>
          <w:lang w:val="en-US" w:eastAsia="zh-CN"/>
          <w14:textFill>
            <w14:solidFill>
              <w14:schemeClr w14:val="tx1"/>
            </w14:solidFill>
          </w14:textFill>
        </w:rPr>
        <w:t>废气</w:t>
      </w:r>
      <w:r>
        <w:rPr>
          <w:rFonts w:hint="default" w:ascii="Times New Roman" w:hAnsi="Times New Roman" w:eastAsia="宋体" w:cs="Times New Roman"/>
          <w:b/>
          <w:bCs/>
          <w:color w:val="000000" w:themeColor="text1"/>
          <w:spacing w:val="-2"/>
          <w:sz w:val="24"/>
          <w:highlight w:val="none"/>
          <w14:textFill>
            <w14:solidFill>
              <w14:schemeClr w14:val="tx1"/>
            </w14:solidFill>
          </w14:textFill>
        </w:rPr>
        <w:t>监测计划一览表</w:t>
      </w:r>
    </w:p>
    <w:tbl>
      <w:tblPr>
        <w:tblStyle w:val="47"/>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28" w:type="dxa"/>
          <w:bottom w:w="0" w:type="dxa"/>
          <w:right w:w="28" w:type="dxa"/>
        </w:tblCellMar>
      </w:tblPr>
      <w:tblGrid>
        <w:gridCol w:w="481"/>
        <w:gridCol w:w="546"/>
        <w:gridCol w:w="425"/>
        <w:gridCol w:w="1333"/>
        <w:gridCol w:w="934"/>
        <w:gridCol w:w="754"/>
        <w:gridCol w:w="1333"/>
        <w:gridCol w:w="1080"/>
        <w:gridCol w:w="5935"/>
        <w:gridCol w:w="1233"/>
      </w:tblGrid>
      <w:tr w14:paraId="54CA695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171" w:type="pct"/>
            <w:vMerge w:val="restart"/>
            <w:tcBorders>
              <w:tl2br w:val="nil"/>
              <w:tr2bl w:val="nil"/>
            </w:tcBorders>
            <w:noWrap w:val="0"/>
            <w:vAlign w:val="center"/>
          </w:tcPr>
          <w:p w14:paraId="45B1ED3E">
            <w:pPr>
              <w:pStyle w:val="58"/>
              <w:bidi w:val="0"/>
              <w:rPr>
                <w:rFonts w:hint="default"/>
                <w:highlight w:val="none"/>
              </w:rPr>
            </w:pPr>
            <w:r>
              <w:rPr>
                <w:rFonts w:hint="default"/>
                <w:highlight w:val="none"/>
              </w:rPr>
              <w:t>序号</w:t>
            </w:r>
          </w:p>
        </w:tc>
        <w:tc>
          <w:tcPr>
            <w:tcW w:w="345" w:type="pct"/>
            <w:gridSpan w:val="2"/>
            <w:vMerge w:val="restart"/>
            <w:tcBorders>
              <w:tl2br w:val="nil"/>
              <w:tr2bl w:val="nil"/>
            </w:tcBorders>
            <w:noWrap w:val="0"/>
            <w:vAlign w:val="center"/>
          </w:tcPr>
          <w:p w14:paraId="0B4F6DCE">
            <w:pPr>
              <w:pStyle w:val="58"/>
              <w:bidi w:val="0"/>
              <w:rPr>
                <w:rFonts w:hint="default"/>
                <w:highlight w:val="none"/>
              </w:rPr>
            </w:pPr>
            <w:r>
              <w:rPr>
                <w:rFonts w:hint="default"/>
                <w:highlight w:val="none"/>
              </w:rPr>
              <w:t>项目</w:t>
            </w:r>
          </w:p>
        </w:tc>
        <w:tc>
          <w:tcPr>
            <w:tcW w:w="474" w:type="pct"/>
            <w:vMerge w:val="restart"/>
            <w:tcBorders>
              <w:tl2br w:val="nil"/>
              <w:tr2bl w:val="nil"/>
            </w:tcBorders>
            <w:noWrap w:val="0"/>
            <w:vAlign w:val="center"/>
          </w:tcPr>
          <w:p w14:paraId="3A1DC34A">
            <w:pPr>
              <w:pStyle w:val="58"/>
              <w:bidi w:val="0"/>
              <w:rPr>
                <w:rFonts w:hint="default"/>
                <w:highlight w:val="none"/>
                <w:lang w:eastAsia="zh-CN"/>
              </w:rPr>
            </w:pPr>
            <w:r>
              <w:rPr>
                <w:rFonts w:hint="default"/>
                <w:highlight w:val="none"/>
              </w:rPr>
              <w:t>监测</w:t>
            </w:r>
            <w:r>
              <w:rPr>
                <w:rFonts w:hint="default"/>
                <w:highlight w:val="none"/>
                <w:lang w:eastAsia="zh-CN"/>
              </w:rPr>
              <w:t>点位</w:t>
            </w:r>
          </w:p>
        </w:tc>
        <w:tc>
          <w:tcPr>
            <w:tcW w:w="332" w:type="pct"/>
            <w:vMerge w:val="restart"/>
            <w:tcBorders>
              <w:tl2br w:val="nil"/>
              <w:tr2bl w:val="nil"/>
            </w:tcBorders>
            <w:noWrap w:val="0"/>
            <w:vAlign w:val="center"/>
          </w:tcPr>
          <w:p w14:paraId="46D8A5EF">
            <w:pPr>
              <w:pStyle w:val="58"/>
              <w:bidi w:val="0"/>
              <w:rPr>
                <w:rFonts w:hint="default"/>
                <w:highlight w:val="none"/>
              </w:rPr>
            </w:pPr>
            <w:r>
              <w:rPr>
                <w:rFonts w:hint="default"/>
                <w:highlight w:val="none"/>
              </w:rPr>
              <w:t>监测因子</w:t>
            </w:r>
          </w:p>
        </w:tc>
        <w:tc>
          <w:tcPr>
            <w:tcW w:w="268" w:type="pct"/>
            <w:vMerge w:val="restart"/>
            <w:tcBorders>
              <w:tl2br w:val="nil"/>
              <w:tr2bl w:val="nil"/>
            </w:tcBorders>
            <w:noWrap w:val="0"/>
            <w:vAlign w:val="center"/>
          </w:tcPr>
          <w:p w14:paraId="6F6B6532">
            <w:pPr>
              <w:pStyle w:val="58"/>
              <w:bidi w:val="0"/>
              <w:rPr>
                <w:rFonts w:hint="default"/>
                <w:highlight w:val="none"/>
                <w:lang w:val="en-US" w:eastAsia="zh-CN"/>
              </w:rPr>
            </w:pPr>
            <w:r>
              <w:rPr>
                <w:rFonts w:hint="default"/>
                <w:highlight w:val="none"/>
                <w:lang w:val="en-US" w:eastAsia="zh-CN"/>
              </w:rPr>
              <w:t>排气筒数量</w:t>
            </w:r>
          </w:p>
        </w:tc>
        <w:tc>
          <w:tcPr>
            <w:tcW w:w="474" w:type="pct"/>
            <w:vMerge w:val="restart"/>
            <w:tcBorders>
              <w:tl2br w:val="nil"/>
              <w:tr2bl w:val="nil"/>
            </w:tcBorders>
            <w:noWrap w:val="0"/>
            <w:vAlign w:val="center"/>
          </w:tcPr>
          <w:p w14:paraId="4F66EAAF">
            <w:pPr>
              <w:pStyle w:val="58"/>
              <w:bidi w:val="0"/>
              <w:rPr>
                <w:rFonts w:hint="default"/>
                <w:highlight w:val="none"/>
              </w:rPr>
            </w:pPr>
            <w:r>
              <w:rPr>
                <w:rFonts w:hint="default"/>
                <w:highlight w:val="none"/>
              </w:rPr>
              <w:t>取样位置</w:t>
            </w:r>
          </w:p>
        </w:tc>
        <w:tc>
          <w:tcPr>
            <w:tcW w:w="384" w:type="pct"/>
            <w:vMerge w:val="restart"/>
            <w:tcBorders>
              <w:tl2br w:val="nil"/>
              <w:tr2bl w:val="nil"/>
            </w:tcBorders>
            <w:noWrap w:val="0"/>
            <w:vAlign w:val="center"/>
          </w:tcPr>
          <w:p w14:paraId="20F7E91C">
            <w:pPr>
              <w:pStyle w:val="58"/>
              <w:bidi w:val="0"/>
              <w:rPr>
                <w:rFonts w:hint="default"/>
                <w:highlight w:val="none"/>
              </w:rPr>
            </w:pPr>
            <w:r>
              <w:rPr>
                <w:rFonts w:hint="default"/>
                <w:highlight w:val="none"/>
              </w:rPr>
              <w:t>监测频率</w:t>
            </w:r>
          </w:p>
        </w:tc>
        <w:tc>
          <w:tcPr>
            <w:tcW w:w="2548" w:type="pct"/>
            <w:gridSpan w:val="2"/>
            <w:tcBorders>
              <w:tl2br w:val="nil"/>
              <w:tr2bl w:val="nil"/>
            </w:tcBorders>
            <w:noWrap w:val="0"/>
            <w:vAlign w:val="center"/>
          </w:tcPr>
          <w:p w14:paraId="25B96A9E">
            <w:pPr>
              <w:pStyle w:val="58"/>
              <w:bidi w:val="0"/>
              <w:rPr>
                <w:rFonts w:hint="default"/>
                <w:highlight w:val="none"/>
                <w:lang w:eastAsia="zh-CN"/>
              </w:rPr>
            </w:pPr>
            <w:r>
              <w:rPr>
                <w:rFonts w:hint="default"/>
                <w:highlight w:val="none"/>
                <w:lang w:eastAsia="zh-CN"/>
              </w:rPr>
              <w:t>执行标准及限值</w:t>
            </w:r>
          </w:p>
        </w:tc>
      </w:tr>
      <w:tr w14:paraId="536347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171" w:type="pct"/>
            <w:vMerge w:val="continue"/>
            <w:tcBorders>
              <w:tl2br w:val="nil"/>
              <w:tr2bl w:val="nil"/>
            </w:tcBorders>
            <w:noWrap w:val="0"/>
            <w:vAlign w:val="center"/>
          </w:tcPr>
          <w:p w14:paraId="0FCF7452">
            <w:pPr>
              <w:pStyle w:val="58"/>
              <w:bidi w:val="0"/>
              <w:rPr>
                <w:rFonts w:hint="default"/>
                <w:highlight w:val="none"/>
              </w:rPr>
            </w:pPr>
          </w:p>
        </w:tc>
        <w:tc>
          <w:tcPr>
            <w:tcW w:w="345" w:type="pct"/>
            <w:gridSpan w:val="2"/>
            <w:vMerge w:val="continue"/>
            <w:tcBorders>
              <w:tl2br w:val="nil"/>
              <w:tr2bl w:val="nil"/>
            </w:tcBorders>
            <w:noWrap w:val="0"/>
            <w:vAlign w:val="center"/>
          </w:tcPr>
          <w:p w14:paraId="2654FEF7">
            <w:pPr>
              <w:pStyle w:val="58"/>
              <w:bidi w:val="0"/>
              <w:rPr>
                <w:rFonts w:hint="default"/>
                <w:highlight w:val="none"/>
              </w:rPr>
            </w:pPr>
          </w:p>
        </w:tc>
        <w:tc>
          <w:tcPr>
            <w:tcW w:w="474" w:type="pct"/>
            <w:vMerge w:val="continue"/>
            <w:tcBorders>
              <w:tl2br w:val="nil"/>
              <w:tr2bl w:val="nil"/>
            </w:tcBorders>
            <w:noWrap w:val="0"/>
            <w:vAlign w:val="center"/>
          </w:tcPr>
          <w:p w14:paraId="6F792C36">
            <w:pPr>
              <w:pStyle w:val="58"/>
              <w:bidi w:val="0"/>
              <w:rPr>
                <w:rFonts w:hint="default"/>
                <w:highlight w:val="none"/>
              </w:rPr>
            </w:pPr>
          </w:p>
        </w:tc>
        <w:tc>
          <w:tcPr>
            <w:tcW w:w="332" w:type="pct"/>
            <w:vMerge w:val="continue"/>
            <w:tcBorders>
              <w:tl2br w:val="nil"/>
              <w:tr2bl w:val="nil"/>
            </w:tcBorders>
            <w:noWrap w:val="0"/>
            <w:vAlign w:val="center"/>
          </w:tcPr>
          <w:p w14:paraId="055A15D7">
            <w:pPr>
              <w:pStyle w:val="58"/>
              <w:bidi w:val="0"/>
              <w:rPr>
                <w:rFonts w:hint="default"/>
                <w:highlight w:val="none"/>
              </w:rPr>
            </w:pPr>
          </w:p>
        </w:tc>
        <w:tc>
          <w:tcPr>
            <w:tcW w:w="268" w:type="pct"/>
            <w:vMerge w:val="continue"/>
            <w:tcBorders>
              <w:tl2br w:val="nil"/>
              <w:tr2bl w:val="nil"/>
            </w:tcBorders>
            <w:noWrap w:val="0"/>
            <w:vAlign w:val="center"/>
          </w:tcPr>
          <w:p w14:paraId="6A7805F8">
            <w:pPr>
              <w:pStyle w:val="58"/>
              <w:bidi w:val="0"/>
              <w:rPr>
                <w:rFonts w:hint="default"/>
                <w:highlight w:val="none"/>
              </w:rPr>
            </w:pPr>
          </w:p>
        </w:tc>
        <w:tc>
          <w:tcPr>
            <w:tcW w:w="474" w:type="pct"/>
            <w:vMerge w:val="continue"/>
            <w:tcBorders>
              <w:tl2br w:val="nil"/>
              <w:tr2bl w:val="nil"/>
            </w:tcBorders>
            <w:noWrap w:val="0"/>
            <w:vAlign w:val="center"/>
          </w:tcPr>
          <w:p w14:paraId="35BFCAEE">
            <w:pPr>
              <w:pStyle w:val="58"/>
              <w:bidi w:val="0"/>
              <w:rPr>
                <w:rFonts w:hint="default"/>
                <w:highlight w:val="none"/>
              </w:rPr>
            </w:pPr>
          </w:p>
        </w:tc>
        <w:tc>
          <w:tcPr>
            <w:tcW w:w="384" w:type="pct"/>
            <w:vMerge w:val="continue"/>
            <w:tcBorders>
              <w:tl2br w:val="nil"/>
              <w:tr2bl w:val="nil"/>
            </w:tcBorders>
            <w:noWrap w:val="0"/>
            <w:vAlign w:val="center"/>
          </w:tcPr>
          <w:p w14:paraId="2A12952A">
            <w:pPr>
              <w:pStyle w:val="58"/>
              <w:bidi w:val="0"/>
              <w:rPr>
                <w:rFonts w:hint="default"/>
                <w:highlight w:val="none"/>
              </w:rPr>
            </w:pPr>
          </w:p>
        </w:tc>
        <w:tc>
          <w:tcPr>
            <w:tcW w:w="2110" w:type="pct"/>
            <w:tcBorders>
              <w:tl2br w:val="nil"/>
              <w:tr2bl w:val="nil"/>
            </w:tcBorders>
            <w:noWrap w:val="0"/>
            <w:vAlign w:val="center"/>
          </w:tcPr>
          <w:p w14:paraId="11A1560F">
            <w:pPr>
              <w:pStyle w:val="58"/>
              <w:bidi w:val="0"/>
              <w:rPr>
                <w:rFonts w:hint="default"/>
                <w:highlight w:val="none"/>
                <w:lang w:eastAsia="zh-CN"/>
              </w:rPr>
            </w:pPr>
            <w:r>
              <w:rPr>
                <w:rFonts w:hint="default"/>
                <w:highlight w:val="none"/>
                <w:lang w:eastAsia="zh-CN"/>
              </w:rPr>
              <w:t>标准名称</w:t>
            </w:r>
          </w:p>
        </w:tc>
        <w:tc>
          <w:tcPr>
            <w:tcW w:w="437" w:type="pct"/>
            <w:tcBorders>
              <w:tl2br w:val="nil"/>
              <w:tr2bl w:val="nil"/>
            </w:tcBorders>
            <w:noWrap w:val="0"/>
            <w:vAlign w:val="center"/>
          </w:tcPr>
          <w:p w14:paraId="4C72A8BD">
            <w:pPr>
              <w:pStyle w:val="58"/>
              <w:bidi w:val="0"/>
              <w:rPr>
                <w:rFonts w:hint="default"/>
                <w:highlight w:val="none"/>
                <w:lang w:eastAsia="zh-CN"/>
              </w:rPr>
            </w:pPr>
            <w:r>
              <w:rPr>
                <w:rFonts w:hint="default"/>
                <w:highlight w:val="none"/>
                <w:lang w:eastAsia="zh-CN"/>
              </w:rPr>
              <w:t>限值要求</w:t>
            </w:r>
          </w:p>
        </w:tc>
      </w:tr>
      <w:tr w14:paraId="4F5BF3D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171" w:type="pct"/>
            <w:vMerge w:val="restart"/>
            <w:tcBorders>
              <w:tl2br w:val="nil"/>
              <w:tr2bl w:val="nil"/>
            </w:tcBorders>
            <w:noWrap w:val="0"/>
            <w:vAlign w:val="center"/>
          </w:tcPr>
          <w:p w14:paraId="7FA1C311">
            <w:pPr>
              <w:pStyle w:val="58"/>
              <w:bidi w:val="0"/>
              <w:rPr>
                <w:rFonts w:hint="default"/>
                <w:highlight w:val="none"/>
              </w:rPr>
            </w:pPr>
            <w:r>
              <w:rPr>
                <w:rFonts w:hint="default"/>
                <w:highlight w:val="none"/>
              </w:rPr>
              <w:t>1</w:t>
            </w:r>
          </w:p>
        </w:tc>
        <w:tc>
          <w:tcPr>
            <w:tcW w:w="194" w:type="pct"/>
            <w:vMerge w:val="restart"/>
            <w:tcBorders>
              <w:tl2br w:val="nil"/>
              <w:tr2bl w:val="nil"/>
            </w:tcBorders>
            <w:noWrap w:val="0"/>
            <w:vAlign w:val="center"/>
          </w:tcPr>
          <w:p w14:paraId="617F46CF">
            <w:pPr>
              <w:pStyle w:val="58"/>
              <w:bidi w:val="0"/>
              <w:rPr>
                <w:rFonts w:hint="default"/>
                <w:highlight w:val="none"/>
                <w:lang w:eastAsia="zh-CN"/>
              </w:rPr>
            </w:pPr>
            <w:r>
              <w:rPr>
                <w:rFonts w:hint="default"/>
                <w:highlight w:val="none"/>
              </w:rPr>
              <w:t>废气</w:t>
            </w:r>
            <w:r>
              <w:rPr>
                <w:rFonts w:hint="default"/>
                <w:highlight w:val="none"/>
                <w:lang w:eastAsia="zh-CN"/>
              </w:rPr>
              <w:t>污染源监测</w:t>
            </w:r>
          </w:p>
        </w:tc>
        <w:tc>
          <w:tcPr>
            <w:tcW w:w="151" w:type="pct"/>
            <w:vMerge w:val="restart"/>
            <w:tcBorders>
              <w:tl2br w:val="nil"/>
              <w:tr2bl w:val="nil"/>
            </w:tcBorders>
            <w:noWrap w:val="0"/>
            <w:vAlign w:val="center"/>
          </w:tcPr>
          <w:p w14:paraId="2022A9DF">
            <w:pPr>
              <w:pStyle w:val="58"/>
              <w:bidi w:val="0"/>
              <w:rPr>
                <w:rFonts w:hint="default"/>
                <w:highlight w:val="none"/>
              </w:rPr>
            </w:pPr>
            <w:r>
              <w:rPr>
                <w:rFonts w:hint="default"/>
                <w:highlight w:val="none"/>
              </w:rPr>
              <w:t>点源</w:t>
            </w:r>
          </w:p>
        </w:tc>
        <w:tc>
          <w:tcPr>
            <w:tcW w:w="474" w:type="pct"/>
            <w:vMerge w:val="restart"/>
            <w:tcBorders>
              <w:tl2br w:val="nil"/>
              <w:tr2bl w:val="nil"/>
            </w:tcBorders>
            <w:noWrap w:val="0"/>
            <w:vAlign w:val="center"/>
          </w:tcPr>
          <w:p w14:paraId="2CE23C16">
            <w:pPr>
              <w:pStyle w:val="58"/>
              <w:bidi w:val="0"/>
              <w:rPr>
                <w:rFonts w:hint="default"/>
                <w:highlight w:val="none"/>
                <w:lang w:val="en-US" w:eastAsia="zh-CN"/>
              </w:rPr>
            </w:pPr>
            <w:r>
              <w:rPr>
                <w:rFonts w:hint="default"/>
                <w:highlight w:val="none"/>
                <w:lang w:val="en-US" w:eastAsia="zh-CN"/>
              </w:rPr>
              <w:t>除臭排气筒</w:t>
            </w:r>
          </w:p>
        </w:tc>
        <w:tc>
          <w:tcPr>
            <w:tcW w:w="332" w:type="pct"/>
            <w:tcBorders>
              <w:tl2br w:val="nil"/>
              <w:tr2bl w:val="nil"/>
            </w:tcBorders>
            <w:noWrap w:val="0"/>
            <w:vAlign w:val="center"/>
          </w:tcPr>
          <w:p w14:paraId="618EB95C">
            <w:pPr>
              <w:pStyle w:val="58"/>
              <w:bidi w:val="0"/>
              <w:rPr>
                <w:rFonts w:hint="default"/>
                <w:highlight w:val="none"/>
                <w:lang w:val="en-US" w:eastAsia="zh-CN"/>
              </w:rPr>
            </w:pPr>
            <w:r>
              <w:rPr>
                <w:rFonts w:hint="default"/>
                <w:highlight w:val="none"/>
                <w:lang w:val="en-US" w:eastAsia="zh-CN"/>
              </w:rPr>
              <w:t>氨</w:t>
            </w:r>
          </w:p>
        </w:tc>
        <w:tc>
          <w:tcPr>
            <w:tcW w:w="268" w:type="pct"/>
            <w:vMerge w:val="restart"/>
            <w:tcBorders>
              <w:tl2br w:val="nil"/>
              <w:tr2bl w:val="nil"/>
            </w:tcBorders>
            <w:noWrap w:val="0"/>
            <w:vAlign w:val="center"/>
          </w:tcPr>
          <w:p w14:paraId="3EC9F195">
            <w:pPr>
              <w:pStyle w:val="58"/>
              <w:bidi w:val="0"/>
              <w:rPr>
                <w:rFonts w:hint="default"/>
                <w:highlight w:val="none"/>
                <w:lang w:val="en-US" w:eastAsia="zh-CN"/>
              </w:rPr>
            </w:pPr>
            <w:r>
              <w:rPr>
                <w:rFonts w:hint="default"/>
                <w:highlight w:val="none"/>
                <w:lang w:val="en-US" w:eastAsia="zh-CN"/>
              </w:rPr>
              <w:t>1</w:t>
            </w:r>
          </w:p>
        </w:tc>
        <w:tc>
          <w:tcPr>
            <w:tcW w:w="474" w:type="pct"/>
            <w:vMerge w:val="restart"/>
            <w:tcBorders>
              <w:tl2br w:val="nil"/>
              <w:tr2bl w:val="nil"/>
            </w:tcBorders>
            <w:noWrap w:val="0"/>
            <w:vAlign w:val="center"/>
          </w:tcPr>
          <w:p w14:paraId="5D08A915">
            <w:pPr>
              <w:pStyle w:val="58"/>
              <w:bidi w:val="0"/>
              <w:rPr>
                <w:rFonts w:hint="default"/>
                <w:highlight w:val="none"/>
              </w:rPr>
            </w:pPr>
            <w:r>
              <w:rPr>
                <w:rFonts w:hint="default"/>
                <w:highlight w:val="none"/>
                <w:lang w:val="en-US" w:eastAsia="zh-CN"/>
              </w:rPr>
              <w:t>DA001</w:t>
            </w:r>
            <w:r>
              <w:rPr>
                <w:rFonts w:hint="default"/>
                <w:highlight w:val="none"/>
              </w:rPr>
              <w:t>排气筒采样孔</w:t>
            </w:r>
          </w:p>
        </w:tc>
        <w:tc>
          <w:tcPr>
            <w:tcW w:w="384" w:type="pct"/>
            <w:tcBorders>
              <w:tl2br w:val="nil"/>
              <w:tr2bl w:val="nil"/>
            </w:tcBorders>
            <w:noWrap w:val="0"/>
            <w:vAlign w:val="center"/>
          </w:tcPr>
          <w:p w14:paraId="6FF10844">
            <w:pPr>
              <w:pStyle w:val="58"/>
              <w:bidi w:val="0"/>
              <w:rPr>
                <w:rFonts w:hint="default"/>
                <w:highlight w:val="none"/>
                <w:lang w:val="en-US" w:eastAsia="zh-CN"/>
              </w:rPr>
            </w:pPr>
            <w:r>
              <w:rPr>
                <w:rFonts w:hint="default"/>
                <w:highlight w:val="none"/>
                <w:lang w:val="en-US" w:eastAsia="zh-CN"/>
              </w:rPr>
              <w:t>1次/半年</w:t>
            </w:r>
          </w:p>
        </w:tc>
        <w:tc>
          <w:tcPr>
            <w:tcW w:w="2110" w:type="pct"/>
            <w:vMerge w:val="restart"/>
            <w:tcBorders>
              <w:tl2br w:val="nil"/>
              <w:tr2bl w:val="nil"/>
            </w:tcBorders>
            <w:noWrap w:val="0"/>
            <w:vAlign w:val="center"/>
          </w:tcPr>
          <w:p w14:paraId="6C1F9513">
            <w:pPr>
              <w:pStyle w:val="58"/>
              <w:bidi w:val="0"/>
              <w:rPr>
                <w:rFonts w:hint="default"/>
                <w:highlight w:val="none"/>
                <w:lang w:val="en-US" w:eastAsia="zh-CN"/>
              </w:rPr>
            </w:pPr>
            <w:r>
              <w:rPr>
                <w:rFonts w:hint="default"/>
                <w:highlight w:val="none"/>
                <w:lang w:val="en-US" w:eastAsia="zh-CN"/>
              </w:rPr>
              <w:t>《恶臭污染物排放标准》（GB14554-1993）表2</w:t>
            </w:r>
          </w:p>
        </w:tc>
        <w:tc>
          <w:tcPr>
            <w:tcW w:w="437" w:type="pct"/>
            <w:tcBorders>
              <w:tl2br w:val="nil"/>
              <w:tr2bl w:val="nil"/>
            </w:tcBorders>
            <w:noWrap w:val="0"/>
            <w:vAlign w:val="center"/>
          </w:tcPr>
          <w:p w14:paraId="18BE32A0">
            <w:pPr>
              <w:pStyle w:val="58"/>
              <w:bidi w:val="0"/>
              <w:rPr>
                <w:rFonts w:hint="default"/>
                <w:highlight w:val="none"/>
                <w:lang w:val="en-US" w:eastAsia="zh-CN"/>
              </w:rPr>
            </w:pPr>
            <w:r>
              <w:rPr>
                <w:rFonts w:hint="default"/>
                <w:highlight w:val="none"/>
                <w:lang w:val="en-US" w:eastAsia="zh-CN"/>
              </w:rPr>
              <w:t>4.9kg/h</w:t>
            </w:r>
          </w:p>
        </w:tc>
      </w:tr>
      <w:tr w14:paraId="0EE0CD3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171" w:type="pct"/>
            <w:vMerge w:val="continue"/>
            <w:tcBorders>
              <w:tl2br w:val="nil"/>
              <w:tr2bl w:val="nil"/>
            </w:tcBorders>
            <w:noWrap w:val="0"/>
            <w:vAlign w:val="center"/>
          </w:tcPr>
          <w:p w14:paraId="3E8B819C">
            <w:pPr>
              <w:pStyle w:val="58"/>
              <w:bidi w:val="0"/>
              <w:rPr>
                <w:rFonts w:hint="default"/>
                <w:highlight w:val="none"/>
              </w:rPr>
            </w:pPr>
          </w:p>
        </w:tc>
        <w:tc>
          <w:tcPr>
            <w:tcW w:w="194" w:type="pct"/>
            <w:vMerge w:val="continue"/>
            <w:tcBorders>
              <w:tl2br w:val="nil"/>
              <w:tr2bl w:val="nil"/>
            </w:tcBorders>
            <w:noWrap w:val="0"/>
            <w:vAlign w:val="center"/>
          </w:tcPr>
          <w:p w14:paraId="2C1498B1">
            <w:pPr>
              <w:pStyle w:val="58"/>
              <w:bidi w:val="0"/>
              <w:rPr>
                <w:rFonts w:hint="default"/>
                <w:highlight w:val="none"/>
              </w:rPr>
            </w:pPr>
          </w:p>
        </w:tc>
        <w:tc>
          <w:tcPr>
            <w:tcW w:w="151" w:type="pct"/>
            <w:vMerge w:val="continue"/>
            <w:tcBorders>
              <w:tl2br w:val="nil"/>
              <w:tr2bl w:val="nil"/>
            </w:tcBorders>
            <w:noWrap w:val="0"/>
            <w:vAlign w:val="center"/>
          </w:tcPr>
          <w:p w14:paraId="2DD052BD">
            <w:pPr>
              <w:pStyle w:val="58"/>
              <w:bidi w:val="0"/>
              <w:rPr>
                <w:rFonts w:hint="default"/>
                <w:highlight w:val="none"/>
              </w:rPr>
            </w:pPr>
          </w:p>
        </w:tc>
        <w:tc>
          <w:tcPr>
            <w:tcW w:w="474" w:type="pct"/>
            <w:vMerge w:val="continue"/>
            <w:tcBorders>
              <w:tl2br w:val="nil"/>
              <w:tr2bl w:val="nil"/>
            </w:tcBorders>
            <w:noWrap w:val="0"/>
            <w:vAlign w:val="center"/>
          </w:tcPr>
          <w:p w14:paraId="413EFCBB">
            <w:pPr>
              <w:pStyle w:val="58"/>
              <w:bidi w:val="0"/>
              <w:rPr>
                <w:rFonts w:hint="default"/>
                <w:highlight w:val="none"/>
                <w:lang w:val="en-US" w:eastAsia="zh-CN"/>
              </w:rPr>
            </w:pPr>
          </w:p>
        </w:tc>
        <w:tc>
          <w:tcPr>
            <w:tcW w:w="332" w:type="pct"/>
            <w:tcBorders>
              <w:tl2br w:val="nil"/>
              <w:tr2bl w:val="nil"/>
            </w:tcBorders>
            <w:noWrap w:val="0"/>
            <w:vAlign w:val="center"/>
          </w:tcPr>
          <w:p w14:paraId="0C3AFA8A">
            <w:pPr>
              <w:pStyle w:val="58"/>
              <w:bidi w:val="0"/>
              <w:rPr>
                <w:rFonts w:hint="default"/>
                <w:highlight w:val="none"/>
                <w:lang w:val="en-US" w:eastAsia="zh-CN"/>
              </w:rPr>
            </w:pPr>
            <w:r>
              <w:rPr>
                <w:rFonts w:hint="default"/>
                <w:highlight w:val="none"/>
                <w:lang w:val="en-US" w:eastAsia="zh-CN"/>
              </w:rPr>
              <w:t>硫化氢</w:t>
            </w:r>
          </w:p>
        </w:tc>
        <w:tc>
          <w:tcPr>
            <w:tcW w:w="268" w:type="pct"/>
            <w:vMerge w:val="continue"/>
            <w:tcBorders>
              <w:tl2br w:val="nil"/>
              <w:tr2bl w:val="nil"/>
            </w:tcBorders>
            <w:noWrap w:val="0"/>
            <w:vAlign w:val="center"/>
          </w:tcPr>
          <w:p w14:paraId="518A3504">
            <w:pPr>
              <w:pStyle w:val="58"/>
              <w:bidi w:val="0"/>
              <w:rPr>
                <w:rFonts w:hint="default"/>
                <w:highlight w:val="none"/>
                <w:lang w:val="en-US" w:eastAsia="zh-CN"/>
              </w:rPr>
            </w:pPr>
          </w:p>
        </w:tc>
        <w:tc>
          <w:tcPr>
            <w:tcW w:w="474" w:type="pct"/>
            <w:vMerge w:val="continue"/>
            <w:tcBorders>
              <w:tl2br w:val="nil"/>
              <w:tr2bl w:val="nil"/>
            </w:tcBorders>
            <w:noWrap w:val="0"/>
            <w:vAlign w:val="center"/>
          </w:tcPr>
          <w:p w14:paraId="2F8D61E8">
            <w:pPr>
              <w:pStyle w:val="58"/>
              <w:bidi w:val="0"/>
              <w:rPr>
                <w:rFonts w:hint="default"/>
                <w:highlight w:val="none"/>
                <w:lang w:val="en-US" w:eastAsia="zh-CN"/>
              </w:rPr>
            </w:pPr>
          </w:p>
        </w:tc>
        <w:tc>
          <w:tcPr>
            <w:tcW w:w="384" w:type="pct"/>
            <w:tcBorders>
              <w:tl2br w:val="nil"/>
              <w:tr2bl w:val="nil"/>
            </w:tcBorders>
            <w:noWrap w:val="0"/>
            <w:vAlign w:val="center"/>
          </w:tcPr>
          <w:p w14:paraId="28B56006">
            <w:pPr>
              <w:pStyle w:val="58"/>
              <w:bidi w:val="0"/>
              <w:rPr>
                <w:rFonts w:hint="default"/>
                <w:highlight w:val="none"/>
                <w:lang w:val="en-US" w:eastAsia="zh-CN"/>
              </w:rPr>
            </w:pPr>
            <w:r>
              <w:rPr>
                <w:rFonts w:hint="default"/>
                <w:highlight w:val="none"/>
                <w:lang w:val="en-US" w:eastAsia="zh-CN"/>
              </w:rPr>
              <w:t>1次/半年</w:t>
            </w:r>
          </w:p>
        </w:tc>
        <w:tc>
          <w:tcPr>
            <w:tcW w:w="2110" w:type="pct"/>
            <w:vMerge w:val="continue"/>
            <w:tcBorders>
              <w:tl2br w:val="nil"/>
              <w:tr2bl w:val="nil"/>
            </w:tcBorders>
            <w:noWrap w:val="0"/>
            <w:vAlign w:val="center"/>
          </w:tcPr>
          <w:p w14:paraId="099A7F7F">
            <w:pPr>
              <w:pStyle w:val="58"/>
              <w:bidi w:val="0"/>
              <w:rPr>
                <w:rFonts w:hint="default"/>
                <w:highlight w:val="none"/>
                <w:lang w:val="en-US" w:eastAsia="zh-CN"/>
              </w:rPr>
            </w:pPr>
          </w:p>
        </w:tc>
        <w:tc>
          <w:tcPr>
            <w:tcW w:w="437" w:type="pct"/>
            <w:tcBorders>
              <w:tl2br w:val="nil"/>
              <w:tr2bl w:val="nil"/>
            </w:tcBorders>
            <w:noWrap w:val="0"/>
            <w:vAlign w:val="center"/>
          </w:tcPr>
          <w:p w14:paraId="0A9D1941">
            <w:pPr>
              <w:pStyle w:val="58"/>
              <w:bidi w:val="0"/>
              <w:rPr>
                <w:rFonts w:hint="default"/>
                <w:highlight w:val="none"/>
              </w:rPr>
            </w:pPr>
            <w:r>
              <w:rPr>
                <w:rFonts w:hint="default"/>
                <w:highlight w:val="none"/>
              </w:rPr>
              <w:t>0.33kg/h</w:t>
            </w:r>
          </w:p>
        </w:tc>
      </w:tr>
      <w:tr w14:paraId="383682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171" w:type="pct"/>
            <w:vMerge w:val="continue"/>
            <w:tcBorders>
              <w:tl2br w:val="nil"/>
              <w:tr2bl w:val="nil"/>
            </w:tcBorders>
            <w:noWrap w:val="0"/>
            <w:vAlign w:val="center"/>
          </w:tcPr>
          <w:p w14:paraId="7BC98466">
            <w:pPr>
              <w:pStyle w:val="58"/>
              <w:bidi w:val="0"/>
              <w:rPr>
                <w:rFonts w:hint="default"/>
                <w:highlight w:val="none"/>
              </w:rPr>
            </w:pPr>
          </w:p>
        </w:tc>
        <w:tc>
          <w:tcPr>
            <w:tcW w:w="194" w:type="pct"/>
            <w:vMerge w:val="continue"/>
            <w:tcBorders>
              <w:tl2br w:val="nil"/>
              <w:tr2bl w:val="nil"/>
            </w:tcBorders>
            <w:noWrap w:val="0"/>
            <w:vAlign w:val="center"/>
          </w:tcPr>
          <w:p w14:paraId="702F8B1D">
            <w:pPr>
              <w:pStyle w:val="58"/>
              <w:bidi w:val="0"/>
              <w:rPr>
                <w:rFonts w:hint="default"/>
                <w:highlight w:val="none"/>
              </w:rPr>
            </w:pPr>
          </w:p>
        </w:tc>
        <w:tc>
          <w:tcPr>
            <w:tcW w:w="151" w:type="pct"/>
            <w:vMerge w:val="continue"/>
            <w:tcBorders>
              <w:tl2br w:val="nil"/>
              <w:tr2bl w:val="nil"/>
            </w:tcBorders>
            <w:noWrap w:val="0"/>
            <w:vAlign w:val="center"/>
          </w:tcPr>
          <w:p w14:paraId="2C480DFD">
            <w:pPr>
              <w:pStyle w:val="58"/>
              <w:bidi w:val="0"/>
              <w:rPr>
                <w:rFonts w:hint="default"/>
                <w:highlight w:val="none"/>
              </w:rPr>
            </w:pPr>
          </w:p>
        </w:tc>
        <w:tc>
          <w:tcPr>
            <w:tcW w:w="474" w:type="pct"/>
            <w:vMerge w:val="continue"/>
            <w:tcBorders>
              <w:tl2br w:val="nil"/>
              <w:tr2bl w:val="nil"/>
            </w:tcBorders>
            <w:noWrap w:val="0"/>
            <w:vAlign w:val="center"/>
          </w:tcPr>
          <w:p w14:paraId="41F6FBFF">
            <w:pPr>
              <w:pStyle w:val="58"/>
              <w:bidi w:val="0"/>
              <w:rPr>
                <w:rFonts w:hint="default"/>
                <w:highlight w:val="none"/>
                <w:lang w:val="en-US" w:eastAsia="zh-CN"/>
              </w:rPr>
            </w:pPr>
          </w:p>
        </w:tc>
        <w:tc>
          <w:tcPr>
            <w:tcW w:w="332" w:type="pct"/>
            <w:tcBorders>
              <w:tl2br w:val="nil"/>
              <w:tr2bl w:val="nil"/>
            </w:tcBorders>
            <w:noWrap w:val="0"/>
            <w:vAlign w:val="center"/>
          </w:tcPr>
          <w:p w14:paraId="29560808">
            <w:pPr>
              <w:pStyle w:val="58"/>
              <w:bidi w:val="0"/>
              <w:rPr>
                <w:rFonts w:hint="default"/>
                <w:highlight w:val="none"/>
                <w:lang w:val="en-US" w:eastAsia="zh-CN"/>
              </w:rPr>
            </w:pPr>
            <w:r>
              <w:rPr>
                <w:rFonts w:hint="default"/>
                <w:highlight w:val="none"/>
                <w:lang w:val="en-US" w:eastAsia="zh-CN"/>
              </w:rPr>
              <w:t>臭气浓度</w:t>
            </w:r>
          </w:p>
        </w:tc>
        <w:tc>
          <w:tcPr>
            <w:tcW w:w="268" w:type="pct"/>
            <w:vMerge w:val="continue"/>
            <w:tcBorders>
              <w:tl2br w:val="nil"/>
              <w:tr2bl w:val="nil"/>
            </w:tcBorders>
            <w:noWrap w:val="0"/>
            <w:vAlign w:val="center"/>
          </w:tcPr>
          <w:p w14:paraId="437A172C">
            <w:pPr>
              <w:pStyle w:val="58"/>
              <w:bidi w:val="0"/>
              <w:rPr>
                <w:rFonts w:hint="default"/>
                <w:highlight w:val="none"/>
                <w:lang w:val="en-US" w:eastAsia="zh-CN"/>
              </w:rPr>
            </w:pPr>
          </w:p>
        </w:tc>
        <w:tc>
          <w:tcPr>
            <w:tcW w:w="474" w:type="pct"/>
            <w:vMerge w:val="continue"/>
            <w:tcBorders>
              <w:tl2br w:val="nil"/>
              <w:tr2bl w:val="nil"/>
            </w:tcBorders>
            <w:noWrap w:val="0"/>
            <w:vAlign w:val="center"/>
          </w:tcPr>
          <w:p w14:paraId="62F8176F">
            <w:pPr>
              <w:pStyle w:val="58"/>
              <w:bidi w:val="0"/>
              <w:rPr>
                <w:rFonts w:hint="default"/>
                <w:highlight w:val="none"/>
                <w:lang w:val="en-US" w:eastAsia="zh-CN"/>
              </w:rPr>
            </w:pPr>
          </w:p>
        </w:tc>
        <w:tc>
          <w:tcPr>
            <w:tcW w:w="384" w:type="pct"/>
            <w:tcBorders>
              <w:tl2br w:val="nil"/>
              <w:tr2bl w:val="nil"/>
            </w:tcBorders>
            <w:noWrap w:val="0"/>
            <w:vAlign w:val="center"/>
          </w:tcPr>
          <w:p w14:paraId="2F65D1E1">
            <w:pPr>
              <w:pStyle w:val="58"/>
              <w:bidi w:val="0"/>
              <w:rPr>
                <w:rFonts w:hint="default"/>
                <w:highlight w:val="none"/>
                <w:lang w:val="en-US" w:eastAsia="zh-CN"/>
              </w:rPr>
            </w:pPr>
            <w:r>
              <w:rPr>
                <w:rFonts w:hint="default"/>
                <w:highlight w:val="none"/>
                <w:lang w:val="en-US" w:eastAsia="zh-CN"/>
              </w:rPr>
              <w:t>1次/半年</w:t>
            </w:r>
          </w:p>
        </w:tc>
        <w:tc>
          <w:tcPr>
            <w:tcW w:w="2110" w:type="pct"/>
            <w:vMerge w:val="continue"/>
            <w:tcBorders>
              <w:tl2br w:val="nil"/>
              <w:tr2bl w:val="nil"/>
            </w:tcBorders>
            <w:noWrap w:val="0"/>
            <w:vAlign w:val="center"/>
          </w:tcPr>
          <w:p w14:paraId="575E47D7">
            <w:pPr>
              <w:pStyle w:val="58"/>
              <w:bidi w:val="0"/>
              <w:rPr>
                <w:rFonts w:hint="default"/>
                <w:highlight w:val="none"/>
                <w:lang w:val="en-US" w:eastAsia="zh-CN"/>
              </w:rPr>
            </w:pPr>
          </w:p>
        </w:tc>
        <w:tc>
          <w:tcPr>
            <w:tcW w:w="437" w:type="pct"/>
            <w:tcBorders>
              <w:tl2br w:val="nil"/>
              <w:tr2bl w:val="nil"/>
            </w:tcBorders>
            <w:noWrap w:val="0"/>
            <w:vAlign w:val="center"/>
          </w:tcPr>
          <w:p w14:paraId="6F53BF6C">
            <w:pPr>
              <w:pStyle w:val="58"/>
              <w:bidi w:val="0"/>
              <w:rPr>
                <w:rFonts w:hint="default"/>
                <w:highlight w:val="none"/>
              </w:rPr>
            </w:pPr>
            <w:r>
              <w:rPr>
                <w:rFonts w:hint="default"/>
                <w:highlight w:val="none"/>
              </w:rPr>
              <w:t>2000(无量</w:t>
            </w:r>
          </w:p>
          <w:p w14:paraId="24230785">
            <w:pPr>
              <w:pStyle w:val="58"/>
              <w:bidi w:val="0"/>
              <w:rPr>
                <w:rFonts w:hint="default"/>
                <w:highlight w:val="none"/>
              </w:rPr>
            </w:pPr>
            <w:r>
              <w:rPr>
                <w:rFonts w:hint="default"/>
                <w:highlight w:val="none"/>
              </w:rPr>
              <w:t>纲)</w:t>
            </w:r>
          </w:p>
        </w:tc>
      </w:tr>
      <w:tr w14:paraId="67E7F2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171" w:type="pct"/>
            <w:vMerge w:val="continue"/>
            <w:tcBorders>
              <w:tl2br w:val="nil"/>
              <w:tr2bl w:val="nil"/>
            </w:tcBorders>
            <w:noWrap w:val="0"/>
            <w:vAlign w:val="center"/>
          </w:tcPr>
          <w:p w14:paraId="2B9770E6">
            <w:pPr>
              <w:pStyle w:val="58"/>
              <w:bidi w:val="0"/>
              <w:rPr>
                <w:rFonts w:hint="default"/>
                <w:highlight w:val="none"/>
              </w:rPr>
            </w:pPr>
          </w:p>
        </w:tc>
        <w:tc>
          <w:tcPr>
            <w:tcW w:w="194" w:type="pct"/>
            <w:vMerge w:val="continue"/>
            <w:tcBorders>
              <w:tl2br w:val="nil"/>
              <w:tr2bl w:val="nil"/>
            </w:tcBorders>
            <w:noWrap w:val="0"/>
            <w:vAlign w:val="center"/>
          </w:tcPr>
          <w:p w14:paraId="41A0AC6A">
            <w:pPr>
              <w:pStyle w:val="58"/>
              <w:bidi w:val="0"/>
              <w:rPr>
                <w:rFonts w:hint="default"/>
                <w:highlight w:val="none"/>
              </w:rPr>
            </w:pPr>
          </w:p>
        </w:tc>
        <w:tc>
          <w:tcPr>
            <w:tcW w:w="151" w:type="pct"/>
            <w:vMerge w:val="restart"/>
            <w:tcBorders>
              <w:tl2br w:val="nil"/>
              <w:tr2bl w:val="nil"/>
            </w:tcBorders>
            <w:noWrap w:val="0"/>
            <w:vAlign w:val="center"/>
          </w:tcPr>
          <w:p w14:paraId="2F2607C3">
            <w:pPr>
              <w:pStyle w:val="58"/>
              <w:bidi w:val="0"/>
              <w:rPr>
                <w:rFonts w:hint="default"/>
                <w:highlight w:val="none"/>
              </w:rPr>
            </w:pPr>
            <w:r>
              <w:rPr>
                <w:rFonts w:hint="default"/>
                <w:highlight w:val="none"/>
              </w:rPr>
              <w:t>面源</w:t>
            </w:r>
          </w:p>
        </w:tc>
        <w:tc>
          <w:tcPr>
            <w:tcW w:w="474" w:type="pct"/>
            <w:vMerge w:val="restart"/>
            <w:tcBorders>
              <w:tl2br w:val="nil"/>
              <w:tr2bl w:val="nil"/>
            </w:tcBorders>
            <w:noWrap w:val="0"/>
            <w:vAlign w:val="center"/>
          </w:tcPr>
          <w:p w14:paraId="0A6477C6">
            <w:pPr>
              <w:pStyle w:val="58"/>
              <w:bidi w:val="0"/>
              <w:rPr>
                <w:rFonts w:hint="default"/>
                <w:highlight w:val="none"/>
                <w:lang w:val="en-US" w:eastAsia="zh-CN"/>
              </w:rPr>
            </w:pPr>
            <w:r>
              <w:rPr>
                <w:rFonts w:hint="default"/>
                <w:highlight w:val="none"/>
                <w:lang w:val="en-US" w:eastAsia="zh-CN"/>
              </w:rPr>
              <w:t>厂界</w:t>
            </w:r>
          </w:p>
        </w:tc>
        <w:tc>
          <w:tcPr>
            <w:tcW w:w="332" w:type="pct"/>
            <w:tcBorders>
              <w:tl2br w:val="nil"/>
              <w:tr2bl w:val="nil"/>
            </w:tcBorders>
            <w:noWrap w:val="0"/>
            <w:vAlign w:val="center"/>
          </w:tcPr>
          <w:p w14:paraId="4BCE36F4">
            <w:pPr>
              <w:pStyle w:val="58"/>
              <w:bidi w:val="0"/>
              <w:rPr>
                <w:rFonts w:hint="default"/>
                <w:highlight w:val="none"/>
                <w:lang w:val="en-US" w:eastAsia="zh-CN"/>
              </w:rPr>
            </w:pPr>
            <w:r>
              <w:rPr>
                <w:rFonts w:hint="default"/>
                <w:highlight w:val="none"/>
                <w:lang w:val="en-US" w:eastAsia="zh-CN"/>
              </w:rPr>
              <w:t>氨</w:t>
            </w:r>
          </w:p>
        </w:tc>
        <w:tc>
          <w:tcPr>
            <w:tcW w:w="268" w:type="pct"/>
            <w:tcBorders>
              <w:tl2br w:val="nil"/>
              <w:tr2bl w:val="nil"/>
            </w:tcBorders>
            <w:noWrap w:val="0"/>
            <w:vAlign w:val="center"/>
          </w:tcPr>
          <w:p w14:paraId="1C40FEB9">
            <w:pPr>
              <w:pStyle w:val="58"/>
              <w:bidi w:val="0"/>
              <w:rPr>
                <w:rFonts w:hint="default"/>
                <w:highlight w:val="none"/>
                <w:lang w:val="en-US" w:eastAsia="zh-CN"/>
              </w:rPr>
            </w:pPr>
            <w:r>
              <w:rPr>
                <w:rFonts w:hint="default"/>
                <w:highlight w:val="none"/>
                <w:lang w:val="en-US" w:eastAsia="zh-CN"/>
              </w:rPr>
              <w:t>/</w:t>
            </w:r>
          </w:p>
        </w:tc>
        <w:tc>
          <w:tcPr>
            <w:tcW w:w="474" w:type="pct"/>
            <w:vMerge w:val="restart"/>
            <w:tcBorders>
              <w:tl2br w:val="nil"/>
              <w:tr2bl w:val="nil"/>
            </w:tcBorders>
            <w:noWrap w:val="0"/>
            <w:vAlign w:val="center"/>
          </w:tcPr>
          <w:p w14:paraId="4649D3D5">
            <w:pPr>
              <w:pStyle w:val="58"/>
              <w:bidi w:val="0"/>
              <w:rPr>
                <w:rFonts w:hint="default"/>
                <w:highlight w:val="none"/>
                <w:lang w:eastAsia="zh-CN"/>
              </w:rPr>
            </w:pPr>
            <w:r>
              <w:rPr>
                <w:rFonts w:hint="default"/>
                <w:highlight w:val="none"/>
              </w:rPr>
              <w:t>厂区边界主导风向上风向1个、下风向3个</w:t>
            </w:r>
          </w:p>
        </w:tc>
        <w:tc>
          <w:tcPr>
            <w:tcW w:w="384" w:type="pct"/>
            <w:tcBorders>
              <w:tl2br w:val="nil"/>
              <w:tr2bl w:val="nil"/>
            </w:tcBorders>
            <w:noWrap w:val="0"/>
            <w:vAlign w:val="center"/>
          </w:tcPr>
          <w:p w14:paraId="5462495A">
            <w:pPr>
              <w:pStyle w:val="58"/>
              <w:bidi w:val="0"/>
              <w:rPr>
                <w:rFonts w:hint="default"/>
                <w:highlight w:val="none"/>
                <w:lang w:val="en-US" w:eastAsia="zh-CN"/>
              </w:rPr>
            </w:pPr>
            <w:r>
              <w:rPr>
                <w:rFonts w:hint="default"/>
                <w:highlight w:val="none"/>
                <w:lang w:val="en-US" w:eastAsia="zh-CN"/>
              </w:rPr>
              <w:t>1次/半年</w:t>
            </w:r>
          </w:p>
        </w:tc>
        <w:tc>
          <w:tcPr>
            <w:tcW w:w="2110" w:type="pct"/>
            <w:vMerge w:val="restart"/>
            <w:tcBorders>
              <w:tl2br w:val="nil"/>
              <w:tr2bl w:val="nil"/>
            </w:tcBorders>
            <w:noWrap w:val="0"/>
            <w:vAlign w:val="center"/>
          </w:tcPr>
          <w:p w14:paraId="2E90BC56">
            <w:pPr>
              <w:pStyle w:val="58"/>
              <w:bidi w:val="0"/>
              <w:rPr>
                <w:rFonts w:hint="default"/>
                <w:highlight w:val="none"/>
                <w:lang w:val="en-US" w:eastAsia="zh-CN"/>
              </w:rPr>
            </w:pPr>
            <w:r>
              <w:rPr>
                <w:rFonts w:hint="default"/>
                <w:highlight w:val="none"/>
                <w:lang w:val="en-US" w:eastAsia="zh-CN"/>
              </w:rPr>
              <w:t>《城镇污水处理厂污染物排放标准》（GB18918-2002）要求</w:t>
            </w:r>
          </w:p>
        </w:tc>
        <w:tc>
          <w:tcPr>
            <w:tcW w:w="437" w:type="pct"/>
            <w:tcBorders>
              <w:tl2br w:val="nil"/>
              <w:tr2bl w:val="nil"/>
            </w:tcBorders>
            <w:noWrap w:val="0"/>
            <w:vAlign w:val="center"/>
          </w:tcPr>
          <w:p w14:paraId="774E3CE8">
            <w:pPr>
              <w:pStyle w:val="58"/>
              <w:bidi w:val="0"/>
              <w:rPr>
                <w:rFonts w:hint="default"/>
                <w:highlight w:val="none"/>
                <w:lang w:val="en-US" w:eastAsia="zh-CN"/>
              </w:rPr>
            </w:pPr>
            <w:r>
              <w:rPr>
                <w:rFonts w:hint="default"/>
                <w:highlight w:val="none"/>
                <w:lang w:eastAsia="zh-CN"/>
              </w:rPr>
              <w:t>1.5mg/</w:t>
            </w:r>
            <w:r>
              <w:rPr>
                <w:rFonts w:hint="eastAsia"/>
                <w:highlight w:val="none"/>
                <w:lang w:eastAsia="zh-CN"/>
              </w:rPr>
              <w:t>m</w:t>
            </w:r>
            <w:r>
              <w:rPr>
                <w:rFonts w:hint="eastAsia"/>
                <w:highlight w:val="none"/>
                <w:vertAlign w:val="superscript"/>
                <w:lang w:eastAsia="zh-CN"/>
              </w:rPr>
              <w:t>3</w:t>
            </w:r>
          </w:p>
        </w:tc>
      </w:tr>
      <w:tr w14:paraId="5F9C43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171" w:type="pct"/>
            <w:vMerge w:val="continue"/>
            <w:tcBorders>
              <w:tl2br w:val="nil"/>
              <w:tr2bl w:val="nil"/>
            </w:tcBorders>
            <w:noWrap w:val="0"/>
            <w:vAlign w:val="center"/>
          </w:tcPr>
          <w:p w14:paraId="2088EC12">
            <w:pPr>
              <w:pStyle w:val="58"/>
              <w:bidi w:val="0"/>
              <w:rPr>
                <w:rFonts w:hint="default"/>
                <w:highlight w:val="none"/>
              </w:rPr>
            </w:pPr>
          </w:p>
        </w:tc>
        <w:tc>
          <w:tcPr>
            <w:tcW w:w="194" w:type="pct"/>
            <w:vMerge w:val="continue"/>
            <w:tcBorders>
              <w:tl2br w:val="nil"/>
              <w:tr2bl w:val="nil"/>
            </w:tcBorders>
            <w:noWrap w:val="0"/>
            <w:vAlign w:val="center"/>
          </w:tcPr>
          <w:p w14:paraId="6ACEF28B">
            <w:pPr>
              <w:pStyle w:val="58"/>
              <w:bidi w:val="0"/>
              <w:rPr>
                <w:rFonts w:hint="default"/>
                <w:highlight w:val="none"/>
              </w:rPr>
            </w:pPr>
          </w:p>
        </w:tc>
        <w:tc>
          <w:tcPr>
            <w:tcW w:w="151" w:type="pct"/>
            <w:vMerge w:val="continue"/>
            <w:tcBorders>
              <w:tl2br w:val="nil"/>
              <w:tr2bl w:val="nil"/>
            </w:tcBorders>
            <w:noWrap w:val="0"/>
            <w:vAlign w:val="center"/>
          </w:tcPr>
          <w:p w14:paraId="708FC36D">
            <w:pPr>
              <w:pStyle w:val="58"/>
              <w:bidi w:val="0"/>
              <w:rPr>
                <w:rFonts w:hint="default"/>
                <w:highlight w:val="none"/>
              </w:rPr>
            </w:pPr>
          </w:p>
        </w:tc>
        <w:tc>
          <w:tcPr>
            <w:tcW w:w="474" w:type="pct"/>
            <w:vMerge w:val="continue"/>
            <w:tcBorders>
              <w:tl2br w:val="nil"/>
              <w:tr2bl w:val="nil"/>
            </w:tcBorders>
            <w:noWrap w:val="0"/>
            <w:vAlign w:val="center"/>
          </w:tcPr>
          <w:p w14:paraId="1631C263">
            <w:pPr>
              <w:pStyle w:val="58"/>
              <w:bidi w:val="0"/>
              <w:rPr>
                <w:rFonts w:hint="default"/>
                <w:highlight w:val="none"/>
                <w:lang w:val="en-US" w:eastAsia="zh-CN"/>
              </w:rPr>
            </w:pPr>
          </w:p>
        </w:tc>
        <w:tc>
          <w:tcPr>
            <w:tcW w:w="332" w:type="pct"/>
            <w:tcBorders>
              <w:tl2br w:val="nil"/>
              <w:tr2bl w:val="nil"/>
            </w:tcBorders>
            <w:noWrap w:val="0"/>
            <w:vAlign w:val="center"/>
          </w:tcPr>
          <w:p w14:paraId="089FD75E">
            <w:pPr>
              <w:pStyle w:val="58"/>
              <w:bidi w:val="0"/>
              <w:rPr>
                <w:rFonts w:hint="default"/>
                <w:highlight w:val="none"/>
                <w:lang w:val="en-US" w:eastAsia="zh-CN"/>
              </w:rPr>
            </w:pPr>
            <w:r>
              <w:rPr>
                <w:rFonts w:hint="default"/>
                <w:highlight w:val="none"/>
                <w:lang w:val="en-US" w:eastAsia="zh-CN"/>
              </w:rPr>
              <w:t>硫化氢</w:t>
            </w:r>
          </w:p>
        </w:tc>
        <w:tc>
          <w:tcPr>
            <w:tcW w:w="268" w:type="pct"/>
            <w:tcBorders>
              <w:tl2br w:val="nil"/>
              <w:tr2bl w:val="nil"/>
            </w:tcBorders>
            <w:noWrap w:val="0"/>
            <w:vAlign w:val="center"/>
          </w:tcPr>
          <w:p w14:paraId="23A55CC6">
            <w:pPr>
              <w:pStyle w:val="58"/>
              <w:bidi w:val="0"/>
              <w:rPr>
                <w:rFonts w:hint="default"/>
                <w:highlight w:val="none"/>
                <w:lang w:val="en-US" w:eastAsia="zh-CN"/>
              </w:rPr>
            </w:pPr>
            <w:r>
              <w:rPr>
                <w:rFonts w:hint="default"/>
                <w:highlight w:val="none"/>
                <w:lang w:val="en-US" w:eastAsia="zh-CN"/>
              </w:rPr>
              <w:t>/</w:t>
            </w:r>
          </w:p>
        </w:tc>
        <w:tc>
          <w:tcPr>
            <w:tcW w:w="474" w:type="pct"/>
            <w:vMerge w:val="continue"/>
            <w:tcBorders>
              <w:tl2br w:val="nil"/>
              <w:tr2bl w:val="nil"/>
            </w:tcBorders>
            <w:noWrap w:val="0"/>
            <w:vAlign w:val="center"/>
          </w:tcPr>
          <w:p w14:paraId="59254F40">
            <w:pPr>
              <w:pStyle w:val="58"/>
              <w:bidi w:val="0"/>
              <w:rPr>
                <w:rFonts w:hint="default"/>
                <w:highlight w:val="none"/>
                <w:lang w:val="en-US" w:eastAsia="zh-CN"/>
              </w:rPr>
            </w:pPr>
          </w:p>
        </w:tc>
        <w:tc>
          <w:tcPr>
            <w:tcW w:w="384" w:type="pct"/>
            <w:tcBorders>
              <w:tl2br w:val="nil"/>
              <w:tr2bl w:val="nil"/>
            </w:tcBorders>
            <w:noWrap w:val="0"/>
            <w:vAlign w:val="center"/>
          </w:tcPr>
          <w:p w14:paraId="105E2D40">
            <w:pPr>
              <w:pStyle w:val="58"/>
              <w:bidi w:val="0"/>
              <w:rPr>
                <w:rFonts w:hint="default"/>
                <w:highlight w:val="none"/>
                <w:lang w:val="en-US" w:eastAsia="zh-CN"/>
              </w:rPr>
            </w:pPr>
            <w:r>
              <w:rPr>
                <w:rFonts w:hint="default"/>
                <w:highlight w:val="none"/>
                <w:lang w:val="en-US" w:eastAsia="zh-CN"/>
              </w:rPr>
              <w:t>1次/半年</w:t>
            </w:r>
          </w:p>
        </w:tc>
        <w:tc>
          <w:tcPr>
            <w:tcW w:w="2110" w:type="pct"/>
            <w:vMerge w:val="continue"/>
            <w:tcBorders>
              <w:tl2br w:val="nil"/>
              <w:tr2bl w:val="nil"/>
            </w:tcBorders>
            <w:noWrap w:val="0"/>
            <w:vAlign w:val="center"/>
          </w:tcPr>
          <w:p w14:paraId="6434FB18">
            <w:pPr>
              <w:pStyle w:val="58"/>
              <w:bidi w:val="0"/>
              <w:rPr>
                <w:rFonts w:hint="default"/>
                <w:highlight w:val="none"/>
                <w:lang w:val="en-US" w:eastAsia="zh-CN"/>
              </w:rPr>
            </w:pPr>
          </w:p>
        </w:tc>
        <w:tc>
          <w:tcPr>
            <w:tcW w:w="437" w:type="pct"/>
            <w:tcBorders>
              <w:tl2br w:val="nil"/>
              <w:tr2bl w:val="nil"/>
            </w:tcBorders>
            <w:noWrap w:val="0"/>
            <w:vAlign w:val="center"/>
          </w:tcPr>
          <w:p w14:paraId="34BD9F24">
            <w:pPr>
              <w:pStyle w:val="58"/>
              <w:bidi w:val="0"/>
              <w:rPr>
                <w:rFonts w:hint="default"/>
                <w:highlight w:val="none"/>
                <w:lang w:eastAsia="zh-CN"/>
              </w:rPr>
            </w:pPr>
            <w:r>
              <w:rPr>
                <w:rFonts w:hint="default"/>
                <w:highlight w:val="none"/>
                <w:lang w:val="en-US" w:eastAsia="zh-CN"/>
              </w:rPr>
              <w:t>0.06</w:t>
            </w:r>
            <w:r>
              <w:rPr>
                <w:rFonts w:hint="default"/>
                <w:highlight w:val="none"/>
                <w:lang w:eastAsia="zh-CN"/>
              </w:rPr>
              <w:t>mg/</w:t>
            </w:r>
            <w:r>
              <w:rPr>
                <w:rFonts w:hint="eastAsia"/>
                <w:highlight w:val="none"/>
                <w:lang w:eastAsia="zh-CN"/>
              </w:rPr>
              <w:t>m</w:t>
            </w:r>
            <w:r>
              <w:rPr>
                <w:rFonts w:hint="eastAsia"/>
                <w:highlight w:val="none"/>
                <w:vertAlign w:val="superscript"/>
                <w:lang w:eastAsia="zh-CN"/>
              </w:rPr>
              <w:t>3</w:t>
            </w:r>
          </w:p>
        </w:tc>
      </w:tr>
      <w:tr w14:paraId="6C8586B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171" w:type="pct"/>
            <w:vMerge w:val="continue"/>
            <w:tcBorders>
              <w:tl2br w:val="nil"/>
              <w:tr2bl w:val="nil"/>
            </w:tcBorders>
            <w:noWrap w:val="0"/>
            <w:vAlign w:val="center"/>
          </w:tcPr>
          <w:p w14:paraId="5341D7E9">
            <w:pPr>
              <w:pStyle w:val="58"/>
              <w:bidi w:val="0"/>
              <w:rPr>
                <w:rFonts w:hint="default"/>
                <w:highlight w:val="none"/>
              </w:rPr>
            </w:pPr>
          </w:p>
        </w:tc>
        <w:tc>
          <w:tcPr>
            <w:tcW w:w="194" w:type="pct"/>
            <w:vMerge w:val="continue"/>
            <w:tcBorders>
              <w:tl2br w:val="nil"/>
              <w:tr2bl w:val="nil"/>
            </w:tcBorders>
            <w:noWrap w:val="0"/>
            <w:vAlign w:val="center"/>
          </w:tcPr>
          <w:p w14:paraId="5AA2554C">
            <w:pPr>
              <w:pStyle w:val="58"/>
              <w:bidi w:val="0"/>
              <w:rPr>
                <w:rFonts w:hint="default"/>
                <w:highlight w:val="none"/>
              </w:rPr>
            </w:pPr>
          </w:p>
        </w:tc>
        <w:tc>
          <w:tcPr>
            <w:tcW w:w="151" w:type="pct"/>
            <w:vMerge w:val="continue"/>
            <w:tcBorders>
              <w:tl2br w:val="nil"/>
              <w:tr2bl w:val="nil"/>
            </w:tcBorders>
            <w:noWrap w:val="0"/>
            <w:vAlign w:val="center"/>
          </w:tcPr>
          <w:p w14:paraId="7B59927B">
            <w:pPr>
              <w:pStyle w:val="58"/>
              <w:bidi w:val="0"/>
              <w:rPr>
                <w:rFonts w:hint="default"/>
                <w:highlight w:val="none"/>
              </w:rPr>
            </w:pPr>
          </w:p>
        </w:tc>
        <w:tc>
          <w:tcPr>
            <w:tcW w:w="474" w:type="pct"/>
            <w:vMerge w:val="continue"/>
            <w:tcBorders>
              <w:tl2br w:val="nil"/>
              <w:tr2bl w:val="nil"/>
            </w:tcBorders>
            <w:noWrap w:val="0"/>
            <w:vAlign w:val="center"/>
          </w:tcPr>
          <w:p w14:paraId="26AF9EC8">
            <w:pPr>
              <w:pStyle w:val="58"/>
              <w:bidi w:val="0"/>
              <w:rPr>
                <w:rFonts w:hint="default"/>
                <w:highlight w:val="none"/>
                <w:lang w:val="en-US" w:eastAsia="zh-CN"/>
              </w:rPr>
            </w:pPr>
          </w:p>
        </w:tc>
        <w:tc>
          <w:tcPr>
            <w:tcW w:w="332" w:type="pct"/>
            <w:tcBorders>
              <w:bottom w:val="single" w:color="000000" w:sz="4" w:space="0"/>
              <w:tl2br w:val="nil"/>
              <w:tr2bl w:val="nil"/>
            </w:tcBorders>
            <w:noWrap w:val="0"/>
            <w:vAlign w:val="center"/>
          </w:tcPr>
          <w:p w14:paraId="31976CDC">
            <w:pPr>
              <w:pStyle w:val="58"/>
              <w:bidi w:val="0"/>
              <w:rPr>
                <w:rFonts w:hint="default"/>
                <w:highlight w:val="none"/>
                <w:lang w:val="en-US" w:eastAsia="zh-CN"/>
              </w:rPr>
            </w:pPr>
            <w:r>
              <w:rPr>
                <w:rFonts w:hint="default"/>
                <w:highlight w:val="none"/>
                <w:lang w:val="en-US" w:eastAsia="zh-CN"/>
              </w:rPr>
              <w:t>臭气浓度</w:t>
            </w:r>
          </w:p>
        </w:tc>
        <w:tc>
          <w:tcPr>
            <w:tcW w:w="268" w:type="pct"/>
            <w:tcBorders>
              <w:tl2br w:val="nil"/>
              <w:tr2bl w:val="nil"/>
            </w:tcBorders>
            <w:noWrap w:val="0"/>
            <w:vAlign w:val="center"/>
          </w:tcPr>
          <w:p w14:paraId="7C14DD97">
            <w:pPr>
              <w:pStyle w:val="58"/>
              <w:bidi w:val="0"/>
              <w:rPr>
                <w:rFonts w:hint="default"/>
                <w:highlight w:val="none"/>
                <w:lang w:val="en-US" w:eastAsia="zh-CN"/>
              </w:rPr>
            </w:pPr>
            <w:r>
              <w:rPr>
                <w:rFonts w:hint="default"/>
                <w:highlight w:val="none"/>
                <w:lang w:val="en-US" w:eastAsia="zh-CN"/>
              </w:rPr>
              <w:t>/</w:t>
            </w:r>
          </w:p>
        </w:tc>
        <w:tc>
          <w:tcPr>
            <w:tcW w:w="474" w:type="pct"/>
            <w:vMerge w:val="continue"/>
            <w:tcBorders>
              <w:tl2br w:val="nil"/>
              <w:tr2bl w:val="nil"/>
            </w:tcBorders>
            <w:noWrap w:val="0"/>
            <w:vAlign w:val="center"/>
          </w:tcPr>
          <w:p w14:paraId="6D9098E8">
            <w:pPr>
              <w:pStyle w:val="58"/>
              <w:bidi w:val="0"/>
              <w:rPr>
                <w:rFonts w:hint="default"/>
                <w:highlight w:val="none"/>
                <w:lang w:eastAsia="zh-CN"/>
              </w:rPr>
            </w:pPr>
          </w:p>
        </w:tc>
        <w:tc>
          <w:tcPr>
            <w:tcW w:w="384" w:type="pct"/>
            <w:tcBorders>
              <w:tl2br w:val="nil"/>
              <w:tr2bl w:val="nil"/>
            </w:tcBorders>
            <w:noWrap w:val="0"/>
            <w:vAlign w:val="center"/>
          </w:tcPr>
          <w:p w14:paraId="787A81C3">
            <w:pPr>
              <w:pStyle w:val="58"/>
              <w:bidi w:val="0"/>
              <w:rPr>
                <w:rFonts w:hint="default"/>
                <w:highlight w:val="none"/>
                <w:lang w:val="en-US" w:eastAsia="zh-CN"/>
              </w:rPr>
            </w:pPr>
            <w:r>
              <w:rPr>
                <w:rFonts w:hint="default"/>
                <w:highlight w:val="none"/>
                <w:lang w:val="en-US" w:eastAsia="zh-CN"/>
              </w:rPr>
              <w:t>1次/半年</w:t>
            </w:r>
          </w:p>
        </w:tc>
        <w:tc>
          <w:tcPr>
            <w:tcW w:w="2110" w:type="pct"/>
            <w:vMerge w:val="continue"/>
            <w:tcBorders>
              <w:tl2br w:val="nil"/>
              <w:tr2bl w:val="nil"/>
            </w:tcBorders>
            <w:noWrap w:val="0"/>
            <w:vAlign w:val="center"/>
          </w:tcPr>
          <w:p w14:paraId="657B1BE1">
            <w:pPr>
              <w:pStyle w:val="58"/>
              <w:bidi w:val="0"/>
              <w:rPr>
                <w:rFonts w:hint="default"/>
                <w:highlight w:val="none"/>
                <w:lang w:val="en-US" w:eastAsia="zh-CN"/>
              </w:rPr>
            </w:pPr>
          </w:p>
        </w:tc>
        <w:tc>
          <w:tcPr>
            <w:tcW w:w="437" w:type="pct"/>
            <w:tcBorders>
              <w:tl2br w:val="nil"/>
              <w:tr2bl w:val="nil"/>
            </w:tcBorders>
            <w:noWrap w:val="0"/>
            <w:vAlign w:val="center"/>
          </w:tcPr>
          <w:p w14:paraId="3C41D1A5">
            <w:pPr>
              <w:pStyle w:val="58"/>
              <w:bidi w:val="0"/>
              <w:rPr>
                <w:rFonts w:hint="default"/>
                <w:highlight w:val="none"/>
                <w:lang w:eastAsia="zh-CN"/>
              </w:rPr>
            </w:pPr>
            <w:r>
              <w:rPr>
                <w:rFonts w:hint="default"/>
                <w:highlight w:val="none"/>
                <w:lang w:val="en-US" w:eastAsia="zh-CN"/>
              </w:rPr>
              <w:t>20</w:t>
            </w:r>
            <w:r>
              <w:rPr>
                <w:rFonts w:hint="default"/>
                <w:highlight w:val="none"/>
                <w:lang w:eastAsia="zh-CN"/>
              </w:rPr>
              <w:t>(无量</w:t>
            </w:r>
          </w:p>
          <w:p w14:paraId="443E2D4D">
            <w:pPr>
              <w:pStyle w:val="58"/>
              <w:bidi w:val="0"/>
              <w:rPr>
                <w:rFonts w:hint="default"/>
                <w:highlight w:val="none"/>
                <w:lang w:val="en-US" w:eastAsia="zh-CN"/>
              </w:rPr>
            </w:pPr>
            <w:r>
              <w:rPr>
                <w:rFonts w:hint="default"/>
                <w:highlight w:val="none"/>
                <w:lang w:eastAsia="zh-CN"/>
              </w:rPr>
              <w:t>纲)</w:t>
            </w:r>
          </w:p>
        </w:tc>
      </w:tr>
      <w:tr w14:paraId="0EF0DC8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171" w:type="pct"/>
            <w:vMerge w:val="continue"/>
            <w:tcBorders>
              <w:tl2br w:val="nil"/>
              <w:tr2bl w:val="nil"/>
            </w:tcBorders>
            <w:noWrap w:val="0"/>
            <w:vAlign w:val="center"/>
          </w:tcPr>
          <w:p w14:paraId="331364D5">
            <w:pPr>
              <w:pStyle w:val="58"/>
              <w:bidi w:val="0"/>
              <w:rPr>
                <w:rFonts w:hint="default"/>
                <w:highlight w:val="none"/>
              </w:rPr>
            </w:pPr>
          </w:p>
        </w:tc>
        <w:tc>
          <w:tcPr>
            <w:tcW w:w="194" w:type="pct"/>
            <w:vMerge w:val="continue"/>
            <w:tcBorders>
              <w:tl2br w:val="nil"/>
              <w:tr2bl w:val="nil"/>
            </w:tcBorders>
            <w:noWrap w:val="0"/>
            <w:vAlign w:val="center"/>
          </w:tcPr>
          <w:p w14:paraId="40E1F657">
            <w:pPr>
              <w:pStyle w:val="58"/>
              <w:bidi w:val="0"/>
              <w:rPr>
                <w:rFonts w:hint="default"/>
                <w:highlight w:val="none"/>
              </w:rPr>
            </w:pPr>
          </w:p>
        </w:tc>
        <w:tc>
          <w:tcPr>
            <w:tcW w:w="151" w:type="pct"/>
            <w:vMerge w:val="continue"/>
            <w:tcBorders>
              <w:tl2br w:val="nil"/>
              <w:tr2bl w:val="nil"/>
            </w:tcBorders>
            <w:noWrap w:val="0"/>
            <w:vAlign w:val="center"/>
          </w:tcPr>
          <w:p w14:paraId="1D9CB31C">
            <w:pPr>
              <w:pStyle w:val="58"/>
              <w:bidi w:val="0"/>
              <w:rPr>
                <w:rFonts w:hint="default"/>
                <w:highlight w:val="none"/>
              </w:rPr>
            </w:pPr>
          </w:p>
        </w:tc>
        <w:tc>
          <w:tcPr>
            <w:tcW w:w="474" w:type="pct"/>
            <w:vMerge w:val="continue"/>
            <w:tcBorders>
              <w:bottom w:val="single" w:color="000000" w:sz="4" w:space="0"/>
              <w:tl2br w:val="nil"/>
              <w:tr2bl w:val="nil"/>
            </w:tcBorders>
            <w:noWrap w:val="0"/>
            <w:vAlign w:val="center"/>
          </w:tcPr>
          <w:p w14:paraId="6197C2FD">
            <w:pPr>
              <w:pStyle w:val="58"/>
              <w:bidi w:val="0"/>
              <w:rPr>
                <w:rFonts w:hint="default"/>
                <w:highlight w:val="none"/>
                <w:lang w:val="en-US" w:eastAsia="zh-CN"/>
              </w:rPr>
            </w:pPr>
          </w:p>
        </w:tc>
        <w:tc>
          <w:tcPr>
            <w:tcW w:w="332" w:type="pct"/>
            <w:tcBorders>
              <w:bottom w:val="single" w:color="000000" w:sz="4" w:space="0"/>
              <w:tl2br w:val="nil"/>
              <w:tr2bl w:val="nil"/>
            </w:tcBorders>
            <w:noWrap w:val="0"/>
            <w:vAlign w:val="center"/>
          </w:tcPr>
          <w:p w14:paraId="3D7F852A">
            <w:pPr>
              <w:pStyle w:val="58"/>
              <w:bidi w:val="0"/>
              <w:rPr>
                <w:rFonts w:hint="default"/>
                <w:highlight w:val="none"/>
                <w:lang w:val="en-US" w:eastAsia="zh-CN"/>
              </w:rPr>
            </w:pPr>
            <w:r>
              <w:rPr>
                <w:rFonts w:hint="default"/>
                <w:highlight w:val="none"/>
                <w:lang w:val="en-US" w:eastAsia="zh-CN"/>
              </w:rPr>
              <w:t>甲烷</w:t>
            </w:r>
          </w:p>
        </w:tc>
        <w:tc>
          <w:tcPr>
            <w:tcW w:w="268" w:type="pct"/>
            <w:tcBorders>
              <w:tl2br w:val="nil"/>
              <w:tr2bl w:val="nil"/>
            </w:tcBorders>
            <w:noWrap w:val="0"/>
            <w:vAlign w:val="center"/>
          </w:tcPr>
          <w:p w14:paraId="12028A2D">
            <w:pPr>
              <w:pStyle w:val="58"/>
              <w:bidi w:val="0"/>
              <w:rPr>
                <w:rFonts w:hint="default"/>
                <w:highlight w:val="none"/>
                <w:lang w:val="en-US" w:eastAsia="zh-CN"/>
              </w:rPr>
            </w:pPr>
            <w:r>
              <w:rPr>
                <w:rFonts w:hint="default"/>
                <w:highlight w:val="none"/>
                <w:lang w:val="en-US" w:eastAsia="zh-CN"/>
              </w:rPr>
              <w:t>/</w:t>
            </w:r>
          </w:p>
        </w:tc>
        <w:tc>
          <w:tcPr>
            <w:tcW w:w="474" w:type="pct"/>
            <w:tcBorders>
              <w:tl2br w:val="nil"/>
              <w:tr2bl w:val="nil"/>
            </w:tcBorders>
            <w:noWrap w:val="0"/>
            <w:vAlign w:val="center"/>
          </w:tcPr>
          <w:p w14:paraId="49F44238">
            <w:pPr>
              <w:pStyle w:val="58"/>
              <w:bidi w:val="0"/>
              <w:rPr>
                <w:rFonts w:hint="default"/>
                <w:highlight w:val="none"/>
                <w:lang w:val="en-US" w:eastAsia="zh-CN"/>
              </w:rPr>
            </w:pPr>
            <w:r>
              <w:rPr>
                <w:rFonts w:hint="default"/>
                <w:highlight w:val="none"/>
              </w:rPr>
              <w:t>厂区</w:t>
            </w:r>
            <w:r>
              <w:rPr>
                <w:rFonts w:hint="default"/>
                <w:highlight w:val="none"/>
                <w:lang w:val="en-US" w:eastAsia="zh-CN"/>
              </w:rPr>
              <w:t>内浓度最高点</w:t>
            </w:r>
          </w:p>
        </w:tc>
        <w:tc>
          <w:tcPr>
            <w:tcW w:w="384" w:type="pct"/>
            <w:tcBorders>
              <w:tl2br w:val="nil"/>
              <w:tr2bl w:val="nil"/>
            </w:tcBorders>
            <w:noWrap w:val="0"/>
            <w:vAlign w:val="center"/>
          </w:tcPr>
          <w:p w14:paraId="1BFF249B">
            <w:pPr>
              <w:pStyle w:val="58"/>
              <w:bidi w:val="0"/>
              <w:rPr>
                <w:rFonts w:hint="default"/>
                <w:highlight w:val="none"/>
                <w:lang w:val="en-US" w:eastAsia="zh-CN"/>
              </w:rPr>
            </w:pPr>
            <w:r>
              <w:rPr>
                <w:rFonts w:hint="default"/>
                <w:highlight w:val="none"/>
              </w:rPr>
              <w:t>1次/年</w:t>
            </w:r>
          </w:p>
        </w:tc>
        <w:tc>
          <w:tcPr>
            <w:tcW w:w="2110" w:type="pct"/>
            <w:vMerge w:val="continue"/>
            <w:tcBorders>
              <w:tl2br w:val="nil"/>
              <w:tr2bl w:val="nil"/>
            </w:tcBorders>
            <w:noWrap w:val="0"/>
            <w:vAlign w:val="center"/>
          </w:tcPr>
          <w:p w14:paraId="29BCBA8B">
            <w:pPr>
              <w:pStyle w:val="58"/>
              <w:bidi w:val="0"/>
              <w:rPr>
                <w:rFonts w:hint="default"/>
                <w:highlight w:val="none"/>
                <w:lang w:val="en-US" w:eastAsia="zh-CN"/>
              </w:rPr>
            </w:pPr>
          </w:p>
        </w:tc>
        <w:tc>
          <w:tcPr>
            <w:tcW w:w="437" w:type="pct"/>
            <w:tcBorders>
              <w:tl2br w:val="nil"/>
              <w:tr2bl w:val="nil"/>
            </w:tcBorders>
            <w:noWrap w:val="0"/>
            <w:vAlign w:val="center"/>
          </w:tcPr>
          <w:p w14:paraId="1204D68E">
            <w:pPr>
              <w:pStyle w:val="58"/>
              <w:bidi w:val="0"/>
              <w:rPr>
                <w:rFonts w:hint="default"/>
                <w:highlight w:val="none"/>
                <w:lang w:val="en-US" w:eastAsia="zh-CN"/>
              </w:rPr>
            </w:pPr>
            <w:r>
              <w:rPr>
                <w:rFonts w:hint="default"/>
                <w:highlight w:val="none"/>
                <w:lang w:val="en-US" w:eastAsia="zh-CN"/>
              </w:rPr>
              <w:t>1%</w:t>
            </w:r>
          </w:p>
        </w:tc>
      </w:tr>
    </w:tbl>
    <w:p w14:paraId="19A0ADEF">
      <w:pPr>
        <w:numPr>
          <w:ilvl w:val="0"/>
          <w:numId w:val="45"/>
        </w:numPr>
        <w:spacing w:line="440" w:lineRule="exact"/>
        <w:ind w:left="425" w:leftChars="0" w:hanging="425" w:firstLineChars="0"/>
        <w:jc w:val="center"/>
        <w:rPr>
          <w:rFonts w:hint="eastAsia" w:cs="Times New Roman"/>
          <w:b/>
          <w:bCs/>
          <w:color w:val="000000" w:themeColor="text1"/>
          <w:spacing w:val="-2"/>
          <w:sz w:val="24"/>
          <w:highlight w:val="none"/>
          <w:lang w:val="en-US" w:eastAsia="zh-CN"/>
          <w14:textFill>
            <w14:solidFill>
              <w14:schemeClr w14:val="tx1"/>
            </w14:solidFill>
          </w14:textFill>
        </w:rPr>
      </w:pPr>
      <w:r>
        <w:rPr>
          <w:rFonts w:hint="eastAsia" w:cs="Times New Roman"/>
          <w:b/>
          <w:bCs/>
          <w:color w:val="000000" w:themeColor="text1"/>
          <w:spacing w:val="-2"/>
          <w:sz w:val="24"/>
          <w:highlight w:val="none"/>
          <w:lang w:val="en-US" w:eastAsia="zh-CN"/>
          <w14:textFill>
            <w14:solidFill>
              <w14:schemeClr w14:val="tx1"/>
            </w14:solidFill>
          </w14:textFill>
        </w:rPr>
        <w:t>废水监测计划一览表</w:t>
      </w:r>
    </w:p>
    <w:tbl>
      <w:tblPr>
        <w:tblStyle w:val="88"/>
        <w:tblW w:w="5048"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780"/>
        <w:gridCol w:w="1358"/>
        <w:gridCol w:w="1639"/>
        <w:gridCol w:w="1370"/>
        <w:gridCol w:w="1585"/>
        <w:gridCol w:w="2291"/>
        <w:gridCol w:w="683"/>
        <w:gridCol w:w="1832"/>
        <w:gridCol w:w="863"/>
        <w:gridCol w:w="1768"/>
      </w:tblGrid>
      <w:tr w14:paraId="005B93E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7" w:hRule="atLeast"/>
        </w:trPr>
        <w:tc>
          <w:tcPr>
            <w:tcW w:w="275" w:type="pct"/>
            <w:vAlign w:val="center"/>
          </w:tcPr>
          <w:p w14:paraId="6015041D">
            <w:pPr>
              <w:pStyle w:val="58"/>
              <w:bidi w:val="0"/>
              <w:jc w:val="center"/>
              <w:rPr>
                <w:rFonts w:hint="default"/>
                <w:highlight w:val="none"/>
              </w:rPr>
            </w:pPr>
            <w:r>
              <w:rPr>
                <w:rFonts w:hint="default"/>
                <w:highlight w:val="none"/>
              </w:rPr>
              <w:t>序号</w:t>
            </w:r>
          </w:p>
        </w:tc>
        <w:tc>
          <w:tcPr>
            <w:tcW w:w="479" w:type="pct"/>
            <w:vAlign w:val="center"/>
          </w:tcPr>
          <w:p w14:paraId="1BAAE062">
            <w:pPr>
              <w:pStyle w:val="58"/>
              <w:bidi w:val="0"/>
              <w:jc w:val="center"/>
              <w:rPr>
                <w:rFonts w:hint="default"/>
                <w:highlight w:val="none"/>
              </w:rPr>
            </w:pPr>
            <w:r>
              <w:rPr>
                <w:rFonts w:hint="default"/>
                <w:highlight w:val="none"/>
              </w:rPr>
              <w:t>排放口编号</w:t>
            </w:r>
          </w:p>
        </w:tc>
        <w:tc>
          <w:tcPr>
            <w:tcW w:w="578" w:type="pct"/>
            <w:vAlign w:val="center"/>
          </w:tcPr>
          <w:p w14:paraId="5753DC6A">
            <w:pPr>
              <w:pStyle w:val="58"/>
              <w:bidi w:val="0"/>
              <w:jc w:val="center"/>
              <w:rPr>
                <w:rFonts w:hint="default"/>
                <w:highlight w:val="none"/>
              </w:rPr>
            </w:pPr>
            <w:r>
              <w:rPr>
                <w:rFonts w:hint="default"/>
                <w:highlight w:val="none"/>
              </w:rPr>
              <w:t>污染物名称</w:t>
            </w:r>
          </w:p>
        </w:tc>
        <w:tc>
          <w:tcPr>
            <w:tcW w:w="483" w:type="pct"/>
            <w:vAlign w:val="center"/>
          </w:tcPr>
          <w:p w14:paraId="12B5C8CD">
            <w:pPr>
              <w:pStyle w:val="58"/>
              <w:bidi w:val="0"/>
              <w:jc w:val="center"/>
              <w:rPr>
                <w:rFonts w:hint="default"/>
                <w:highlight w:val="none"/>
              </w:rPr>
            </w:pPr>
            <w:r>
              <w:rPr>
                <w:rFonts w:hint="default"/>
                <w:highlight w:val="none"/>
              </w:rPr>
              <w:t>监测设施</w:t>
            </w:r>
          </w:p>
        </w:tc>
        <w:tc>
          <w:tcPr>
            <w:tcW w:w="559" w:type="pct"/>
            <w:vAlign w:val="center"/>
          </w:tcPr>
          <w:p w14:paraId="616E1A64">
            <w:pPr>
              <w:pStyle w:val="58"/>
              <w:bidi w:val="0"/>
              <w:jc w:val="center"/>
              <w:rPr>
                <w:rFonts w:hint="default"/>
                <w:highlight w:val="none"/>
              </w:rPr>
            </w:pPr>
            <w:r>
              <w:rPr>
                <w:rFonts w:hint="default"/>
                <w:highlight w:val="none"/>
              </w:rPr>
              <w:t>自动监测设施安装位置</w:t>
            </w:r>
          </w:p>
        </w:tc>
        <w:tc>
          <w:tcPr>
            <w:tcW w:w="808" w:type="pct"/>
            <w:vAlign w:val="center"/>
          </w:tcPr>
          <w:p w14:paraId="67A238FD">
            <w:pPr>
              <w:pStyle w:val="58"/>
              <w:bidi w:val="0"/>
              <w:jc w:val="center"/>
              <w:rPr>
                <w:rFonts w:hint="default"/>
                <w:highlight w:val="none"/>
              </w:rPr>
            </w:pPr>
            <w:r>
              <w:rPr>
                <w:rFonts w:hint="default"/>
                <w:highlight w:val="none"/>
              </w:rPr>
              <w:t>自动监测设施的安装、运行、维护等相关管理要求</w:t>
            </w:r>
          </w:p>
        </w:tc>
        <w:tc>
          <w:tcPr>
            <w:tcW w:w="241" w:type="pct"/>
            <w:vAlign w:val="center"/>
          </w:tcPr>
          <w:p w14:paraId="4E7C2EEE">
            <w:pPr>
              <w:pStyle w:val="58"/>
              <w:bidi w:val="0"/>
              <w:jc w:val="center"/>
              <w:rPr>
                <w:rFonts w:hint="default"/>
                <w:highlight w:val="none"/>
              </w:rPr>
            </w:pPr>
            <w:r>
              <w:rPr>
                <w:rFonts w:hint="default"/>
                <w:highlight w:val="none"/>
              </w:rPr>
              <w:t>自动监测是否联网</w:t>
            </w:r>
          </w:p>
        </w:tc>
        <w:tc>
          <w:tcPr>
            <w:tcW w:w="646" w:type="pct"/>
            <w:vAlign w:val="center"/>
          </w:tcPr>
          <w:p w14:paraId="66A1C2A6">
            <w:pPr>
              <w:pStyle w:val="58"/>
              <w:bidi w:val="0"/>
              <w:jc w:val="center"/>
              <w:rPr>
                <w:rFonts w:hint="default"/>
                <w:highlight w:val="none"/>
              </w:rPr>
            </w:pPr>
            <w:r>
              <w:rPr>
                <w:rFonts w:hint="default"/>
                <w:highlight w:val="none"/>
              </w:rPr>
              <w:t>自动监测仪器名称</w:t>
            </w:r>
          </w:p>
        </w:tc>
        <w:tc>
          <w:tcPr>
            <w:tcW w:w="304" w:type="pct"/>
            <w:vAlign w:val="center"/>
          </w:tcPr>
          <w:p w14:paraId="64517500">
            <w:pPr>
              <w:pStyle w:val="58"/>
              <w:bidi w:val="0"/>
              <w:jc w:val="center"/>
              <w:rPr>
                <w:rFonts w:hint="default"/>
                <w:highlight w:val="none"/>
              </w:rPr>
            </w:pPr>
            <w:r>
              <w:rPr>
                <w:rFonts w:hint="default"/>
                <w:highlight w:val="none"/>
              </w:rPr>
              <w:t>手工监测采样方法及个数</w:t>
            </w:r>
          </w:p>
        </w:tc>
        <w:tc>
          <w:tcPr>
            <w:tcW w:w="623" w:type="pct"/>
            <w:vAlign w:val="center"/>
          </w:tcPr>
          <w:p w14:paraId="317BFC31">
            <w:pPr>
              <w:pStyle w:val="58"/>
              <w:bidi w:val="0"/>
              <w:jc w:val="center"/>
              <w:rPr>
                <w:rFonts w:hint="default"/>
                <w:highlight w:val="none"/>
              </w:rPr>
            </w:pPr>
            <w:r>
              <w:rPr>
                <w:rFonts w:hint="default"/>
                <w:highlight w:val="none"/>
              </w:rPr>
              <w:t>手工监测频次</w:t>
            </w:r>
          </w:p>
        </w:tc>
      </w:tr>
      <w:tr w14:paraId="4469E1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7" w:hRule="atLeast"/>
        </w:trPr>
        <w:tc>
          <w:tcPr>
            <w:tcW w:w="275" w:type="pct"/>
            <w:vMerge w:val="restart"/>
            <w:vAlign w:val="center"/>
          </w:tcPr>
          <w:p w14:paraId="48E886EF">
            <w:pPr>
              <w:pStyle w:val="58"/>
              <w:bidi w:val="0"/>
              <w:jc w:val="center"/>
              <w:rPr>
                <w:rFonts w:hint="default"/>
                <w:highlight w:val="none"/>
              </w:rPr>
            </w:pPr>
            <w:r>
              <w:rPr>
                <w:rFonts w:hint="default"/>
                <w:highlight w:val="none"/>
              </w:rPr>
              <w:t>1</w:t>
            </w:r>
          </w:p>
        </w:tc>
        <w:tc>
          <w:tcPr>
            <w:tcW w:w="479" w:type="pct"/>
            <w:vMerge w:val="restart"/>
            <w:vAlign w:val="center"/>
          </w:tcPr>
          <w:p w14:paraId="0BBE07E2">
            <w:pPr>
              <w:pStyle w:val="58"/>
              <w:bidi w:val="0"/>
              <w:jc w:val="center"/>
              <w:rPr>
                <w:rFonts w:hint="default"/>
                <w:highlight w:val="none"/>
              </w:rPr>
            </w:pPr>
            <w:r>
              <w:rPr>
                <w:rFonts w:hint="default"/>
                <w:highlight w:val="none"/>
              </w:rPr>
              <w:t>废水进水总管</w:t>
            </w:r>
          </w:p>
        </w:tc>
        <w:tc>
          <w:tcPr>
            <w:tcW w:w="578" w:type="pct"/>
            <w:vAlign w:val="center"/>
          </w:tcPr>
          <w:p w14:paraId="14E03FDD">
            <w:pPr>
              <w:pStyle w:val="58"/>
              <w:bidi w:val="0"/>
              <w:jc w:val="center"/>
              <w:rPr>
                <w:rFonts w:hint="default"/>
                <w:highlight w:val="none"/>
              </w:rPr>
            </w:pPr>
            <w:r>
              <w:rPr>
                <w:rFonts w:hint="default"/>
                <w:highlight w:val="none"/>
              </w:rPr>
              <w:t>流量</w:t>
            </w:r>
          </w:p>
        </w:tc>
        <w:tc>
          <w:tcPr>
            <w:tcW w:w="483" w:type="pct"/>
            <w:vMerge w:val="restart"/>
            <w:vAlign w:val="center"/>
          </w:tcPr>
          <w:p w14:paraId="511CEFB4">
            <w:pPr>
              <w:pStyle w:val="58"/>
              <w:bidi w:val="0"/>
              <w:jc w:val="center"/>
              <w:rPr>
                <w:rFonts w:hint="default"/>
                <w:highlight w:val="none"/>
              </w:rPr>
            </w:pPr>
            <w:r>
              <w:rPr>
                <w:rFonts w:hint="eastAsia"/>
                <w:highlight w:val="none"/>
                <w:lang w:eastAsia="zh-CN"/>
              </w:rPr>
              <w:t>☑</w:t>
            </w:r>
            <w:r>
              <w:rPr>
                <w:rFonts w:hint="default"/>
                <w:highlight w:val="none"/>
              </w:rPr>
              <w:t>自动□手动</w:t>
            </w:r>
          </w:p>
        </w:tc>
        <w:tc>
          <w:tcPr>
            <w:tcW w:w="559" w:type="pct"/>
            <w:vMerge w:val="restart"/>
            <w:vAlign w:val="center"/>
          </w:tcPr>
          <w:p w14:paraId="21229CE7">
            <w:pPr>
              <w:pStyle w:val="58"/>
              <w:bidi w:val="0"/>
              <w:jc w:val="center"/>
              <w:rPr>
                <w:rFonts w:hint="default"/>
                <w:highlight w:val="none"/>
              </w:rPr>
            </w:pPr>
            <w:r>
              <w:rPr>
                <w:rFonts w:hint="default"/>
                <w:highlight w:val="none"/>
              </w:rPr>
              <w:t>进水在线监测室</w:t>
            </w:r>
          </w:p>
        </w:tc>
        <w:tc>
          <w:tcPr>
            <w:tcW w:w="808" w:type="pct"/>
            <w:vMerge w:val="restart"/>
            <w:vAlign w:val="center"/>
          </w:tcPr>
          <w:p w14:paraId="3A17EA0F">
            <w:pPr>
              <w:pStyle w:val="58"/>
              <w:bidi w:val="0"/>
              <w:jc w:val="center"/>
              <w:rPr>
                <w:rFonts w:hint="default"/>
                <w:highlight w:val="none"/>
              </w:rPr>
            </w:pPr>
            <w:r>
              <w:rPr>
                <w:rFonts w:hint="default"/>
                <w:highlight w:val="none"/>
              </w:rPr>
              <w:t>按照《污染源自动监控设施运行管理办法》（环发[2008]6号）执行</w:t>
            </w:r>
          </w:p>
        </w:tc>
        <w:tc>
          <w:tcPr>
            <w:tcW w:w="241" w:type="pct"/>
            <w:vMerge w:val="restart"/>
            <w:vAlign w:val="center"/>
          </w:tcPr>
          <w:p w14:paraId="5267FFBF">
            <w:pPr>
              <w:pStyle w:val="58"/>
              <w:bidi w:val="0"/>
              <w:jc w:val="center"/>
              <w:rPr>
                <w:rFonts w:hint="default"/>
                <w:highlight w:val="none"/>
              </w:rPr>
            </w:pPr>
            <w:r>
              <w:rPr>
                <w:rFonts w:hint="default"/>
                <w:highlight w:val="none"/>
              </w:rPr>
              <w:t>是</w:t>
            </w:r>
          </w:p>
        </w:tc>
        <w:tc>
          <w:tcPr>
            <w:tcW w:w="646" w:type="pct"/>
            <w:vAlign w:val="center"/>
          </w:tcPr>
          <w:p w14:paraId="6FC94239">
            <w:pPr>
              <w:pStyle w:val="58"/>
              <w:bidi w:val="0"/>
              <w:jc w:val="center"/>
              <w:rPr>
                <w:rFonts w:hint="default"/>
                <w:highlight w:val="none"/>
              </w:rPr>
            </w:pPr>
            <w:r>
              <w:rPr>
                <w:rFonts w:hint="default"/>
                <w:highlight w:val="none"/>
              </w:rPr>
              <w:t>流量计</w:t>
            </w:r>
          </w:p>
        </w:tc>
        <w:tc>
          <w:tcPr>
            <w:tcW w:w="304" w:type="pct"/>
            <w:vMerge w:val="restart"/>
            <w:vAlign w:val="center"/>
          </w:tcPr>
          <w:p w14:paraId="64C97600">
            <w:pPr>
              <w:pStyle w:val="58"/>
              <w:bidi w:val="0"/>
              <w:jc w:val="center"/>
              <w:rPr>
                <w:rFonts w:hint="default"/>
                <w:highlight w:val="none"/>
              </w:rPr>
            </w:pPr>
            <w:r>
              <w:rPr>
                <w:rFonts w:hint="default"/>
                <w:highlight w:val="none"/>
              </w:rPr>
              <w:t>瞬时采样至少3个瞬时样</w:t>
            </w:r>
          </w:p>
        </w:tc>
        <w:tc>
          <w:tcPr>
            <w:tcW w:w="623" w:type="pct"/>
            <w:vMerge w:val="restart"/>
            <w:vAlign w:val="center"/>
          </w:tcPr>
          <w:p w14:paraId="01ADCC6C">
            <w:pPr>
              <w:pStyle w:val="58"/>
              <w:bidi w:val="0"/>
              <w:jc w:val="center"/>
              <w:rPr>
                <w:rFonts w:hint="default"/>
                <w:highlight w:val="none"/>
              </w:rPr>
            </w:pPr>
            <w:r>
              <w:rPr>
                <w:rFonts w:hint="default"/>
                <w:highlight w:val="none"/>
              </w:rPr>
              <w:t>在线监测故障期间应采取手工监测，每天不少于4次，每次间隔不超过6小时</w:t>
            </w:r>
          </w:p>
        </w:tc>
      </w:tr>
      <w:tr w14:paraId="15C4DA7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7" w:hRule="atLeast"/>
        </w:trPr>
        <w:tc>
          <w:tcPr>
            <w:tcW w:w="275" w:type="pct"/>
            <w:vMerge w:val="continue"/>
            <w:vAlign w:val="center"/>
          </w:tcPr>
          <w:p w14:paraId="5C0D8486">
            <w:pPr>
              <w:pStyle w:val="58"/>
              <w:bidi w:val="0"/>
              <w:jc w:val="center"/>
              <w:rPr>
                <w:rFonts w:hint="default"/>
                <w:highlight w:val="none"/>
              </w:rPr>
            </w:pPr>
          </w:p>
        </w:tc>
        <w:tc>
          <w:tcPr>
            <w:tcW w:w="479" w:type="pct"/>
            <w:vMerge w:val="continue"/>
            <w:vAlign w:val="center"/>
          </w:tcPr>
          <w:p w14:paraId="4A20F63D">
            <w:pPr>
              <w:pStyle w:val="58"/>
              <w:bidi w:val="0"/>
              <w:jc w:val="center"/>
              <w:rPr>
                <w:rFonts w:hint="default"/>
                <w:highlight w:val="none"/>
              </w:rPr>
            </w:pPr>
          </w:p>
        </w:tc>
        <w:tc>
          <w:tcPr>
            <w:tcW w:w="578" w:type="pct"/>
            <w:vAlign w:val="center"/>
          </w:tcPr>
          <w:p w14:paraId="217A8D1D">
            <w:pPr>
              <w:pStyle w:val="58"/>
              <w:bidi w:val="0"/>
              <w:jc w:val="center"/>
              <w:rPr>
                <w:rFonts w:hint="default"/>
                <w:highlight w:val="none"/>
              </w:rPr>
            </w:pPr>
            <w:r>
              <w:rPr>
                <w:rFonts w:hint="default"/>
                <w:highlight w:val="none"/>
              </w:rPr>
              <w:t>COD</w:t>
            </w:r>
          </w:p>
        </w:tc>
        <w:tc>
          <w:tcPr>
            <w:tcW w:w="483" w:type="pct"/>
            <w:vMerge w:val="continue"/>
            <w:vAlign w:val="center"/>
          </w:tcPr>
          <w:p w14:paraId="178665D0">
            <w:pPr>
              <w:pStyle w:val="58"/>
              <w:bidi w:val="0"/>
              <w:jc w:val="center"/>
              <w:rPr>
                <w:rFonts w:hint="default"/>
                <w:highlight w:val="none"/>
              </w:rPr>
            </w:pPr>
          </w:p>
        </w:tc>
        <w:tc>
          <w:tcPr>
            <w:tcW w:w="559" w:type="pct"/>
            <w:vMerge w:val="continue"/>
            <w:vAlign w:val="center"/>
          </w:tcPr>
          <w:p w14:paraId="57B9EC79">
            <w:pPr>
              <w:pStyle w:val="58"/>
              <w:bidi w:val="0"/>
              <w:jc w:val="center"/>
              <w:rPr>
                <w:rFonts w:hint="default"/>
                <w:highlight w:val="none"/>
              </w:rPr>
            </w:pPr>
          </w:p>
        </w:tc>
        <w:tc>
          <w:tcPr>
            <w:tcW w:w="808" w:type="pct"/>
            <w:vMerge w:val="continue"/>
            <w:vAlign w:val="center"/>
          </w:tcPr>
          <w:p w14:paraId="469FA767">
            <w:pPr>
              <w:pStyle w:val="58"/>
              <w:bidi w:val="0"/>
              <w:jc w:val="center"/>
              <w:rPr>
                <w:rFonts w:hint="default"/>
                <w:highlight w:val="none"/>
              </w:rPr>
            </w:pPr>
          </w:p>
        </w:tc>
        <w:tc>
          <w:tcPr>
            <w:tcW w:w="241" w:type="pct"/>
            <w:vMerge w:val="continue"/>
            <w:vAlign w:val="center"/>
          </w:tcPr>
          <w:p w14:paraId="4019B4E3">
            <w:pPr>
              <w:pStyle w:val="58"/>
              <w:bidi w:val="0"/>
              <w:jc w:val="center"/>
              <w:rPr>
                <w:rFonts w:hint="default"/>
                <w:highlight w:val="none"/>
              </w:rPr>
            </w:pPr>
          </w:p>
        </w:tc>
        <w:tc>
          <w:tcPr>
            <w:tcW w:w="646" w:type="pct"/>
            <w:vAlign w:val="center"/>
          </w:tcPr>
          <w:p w14:paraId="6DAED35E">
            <w:pPr>
              <w:pStyle w:val="58"/>
              <w:bidi w:val="0"/>
              <w:jc w:val="center"/>
              <w:rPr>
                <w:rFonts w:hint="default"/>
                <w:highlight w:val="none"/>
              </w:rPr>
            </w:pPr>
            <w:r>
              <w:rPr>
                <w:rFonts w:hint="default"/>
                <w:highlight w:val="none"/>
              </w:rPr>
              <w:t>COD在线监测仪</w:t>
            </w:r>
          </w:p>
        </w:tc>
        <w:tc>
          <w:tcPr>
            <w:tcW w:w="304" w:type="pct"/>
            <w:vMerge w:val="continue"/>
            <w:vAlign w:val="center"/>
          </w:tcPr>
          <w:p w14:paraId="2355BA2E">
            <w:pPr>
              <w:pStyle w:val="58"/>
              <w:bidi w:val="0"/>
              <w:jc w:val="center"/>
              <w:rPr>
                <w:rFonts w:hint="default"/>
                <w:highlight w:val="none"/>
              </w:rPr>
            </w:pPr>
          </w:p>
        </w:tc>
        <w:tc>
          <w:tcPr>
            <w:tcW w:w="623" w:type="pct"/>
            <w:vMerge w:val="continue"/>
            <w:vAlign w:val="center"/>
          </w:tcPr>
          <w:p w14:paraId="63B8EEF0">
            <w:pPr>
              <w:pStyle w:val="58"/>
              <w:bidi w:val="0"/>
              <w:jc w:val="center"/>
              <w:rPr>
                <w:rFonts w:hint="default"/>
                <w:highlight w:val="none"/>
              </w:rPr>
            </w:pPr>
          </w:p>
        </w:tc>
      </w:tr>
      <w:tr w14:paraId="226A9F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57" w:hRule="atLeast"/>
        </w:trPr>
        <w:tc>
          <w:tcPr>
            <w:tcW w:w="275" w:type="pct"/>
            <w:vMerge w:val="continue"/>
            <w:vAlign w:val="center"/>
          </w:tcPr>
          <w:p w14:paraId="6C58EC95">
            <w:pPr>
              <w:pStyle w:val="58"/>
              <w:bidi w:val="0"/>
              <w:jc w:val="center"/>
              <w:rPr>
                <w:rFonts w:hint="default"/>
                <w:highlight w:val="none"/>
              </w:rPr>
            </w:pPr>
          </w:p>
        </w:tc>
        <w:tc>
          <w:tcPr>
            <w:tcW w:w="479" w:type="pct"/>
            <w:vMerge w:val="continue"/>
            <w:vAlign w:val="center"/>
          </w:tcPr>
          <w:p w14:paraId="6CA17EEB">
            <w:pPr>
              <w:pStyle w:val="58"/>
              <w:bidi w:val="0"/>
              <w:jc w:val="center"/>
              <w:rPr>
                <w:rFonts w:hint="default"/>
                <w:highlight w:val="none"/>
              </w:rPr>
            </w:pPr>
          </w:p>
        </w:tc>
        <w:tc>
          <w:tcPr>
            <w:tcW w:w="578" w:type="pct"/>
            <w:vAlign w:val="center"/>
          </w:tcPr>
          <w:p w14:paraId="062010B6">
            <w:pPr>
              <w:pStyle w:val="58"/>
              <w:bidi w:val="0"/>
              <w:jc w:val="center"/>
              <w:rPr>
                <w:rFonts w:hint="default"/>
                <w:highlight w:val="none"/>
              </w:rPr>
            </w:pPr>
            <w:r>
              <w:rPr>
                <w:rFonts w:hint="default"/>
                <w:highlight w:val="none"/>
              </w:rPr>
              <w:t>氨氮</w:t>
            </w:r>
          </w:p>
        </w:tc>
        <w:tc>
          <w:tcPr>
            <w:tcW w:w="483" w:type="pct"/>
            <w:vMerge w:val="continue"/>
            <w:vAlign w:val="center"/>
          </w:tcPr>
          <w:p w14:paraId="3BCD099C">
            <w:pPr>
              <w:pStyle w:val="58"/>
              <w:bidi w:val="0"/>
              <w:jc w:val="center"/>
              <w:rPr>
                <w:rFonts w:hint="default"/>
                <w:highlight w:val="none"/>
              </w:rPr>
            </w:pPr>
          </w:p>
        </w:tc>
        <w:tc>
          <w:tcPr>
            <w:tcW w:w="559" w:type="pct"/>
            <w:vMerge w:val="continue"/>
            <w:vAlign w:val="center"/>
          </w:tcPr>
          <w:p w14:paraId="77DDAB47">
            <w:pPr>
              <w:pStyle w:val="58"/>
              <w:bidi w:val="0"/>
              <w:jc w:val="center"/>
              <w:rPr>
                <w:rFonts w:hint="default"/>
                <w:highlight w:val="none"/>
              </w:rPr>
            </w:pPr>
          </w:p>
        </w:tc>
        <w:tc>
          <w:tcPr>
            <w:tcW w:w="808" w:type="pct"/>
            <w:vMerge w:val="continue"/>
            <w:vAlign w:val="center"/>
          </w:tcPr>
          <w:p w14:paraId="5C8783AD">
            <w:pPr>
              <w:pStyle w:val="58"/>
              <w:bidi w:val="0"/>
              <w:jc w:val="center"/>
              <w:rPr>
                <w:rFonts w:hint="default"/>
                <w:highlight w:val="none"/>
              </w:rPr>
            </w:pPr>
          </w:p>
        </w:tc>
        <w:tc>
          <w:tcPr>
            <w:tcW w:w="241" w:type="pct"/>
            <w:vMerge w:val="continue"/>
            <w:vAlign w:val="center"/>
          </w:tcPr>
          <w:p w14:paraId="4315E7E2">
            <w:pPr>
              <w:pStyle w:val="58"/>
              <w:bidi w:val="0"/>
              <w:jc w:val="center"/>
              <w:rPr>
                <w:rFonts w:hint="default"/>
                <w:highlight w:val="none"/>
              </w:rPr>
            </w:pPr>
          </w:p>
        </w:tc>
        <w:tc>
          <w:tcPr>
            <w:tcW w:w="646" w:type="pct"/>
            <w:vAlign w:val="center"/>
          </w:tcPr>
          <w:p w14:paraId="51893431">
            <w:pPr>
              <w:pStyle w:val="58"/>
              <w:bidi w:val="0"/>
              <w:jc w:val="center"/>
              <w:rPr>
                <w:rFonts w:hint="default"/>
                <w:highlight w:val="none"/>
              </w:rPr>
            </w:pPr>
            <w:r>
              <w:rPr>
                <w:rFonts w:hint="default"/>
                <w:highlight w:val="none"/>
              </w:rPr>
              <w:t>氨氮在线监测仪</w:t>
            </w:r>
          </w:p>
        </w:tc>
        <w:tc>
          <w:tcPr>
            <w:tcW w:w="304" w:type="pct"/>
            <w:vMerge w:val="continue"/>
            <w:vAlign w:val="center"/>
          </w:tcPr>
          <w:p w14:paraId="693C380B">
            <w:pPr>
              <w:pStyle w:val="58"/>
              <w:bidi w:val="0"/>
              <w:jc w:val="center"/>
              <w:rPr>
                <w:rFonts w:hint="default"/>
                <w:highlight w:val="none"/>
              </w:rPr>
            </w:pPr>
          </w:p>
        </w:tc>
        <w:tc>
          <w:tcPr>
            <w:tcW w:w="623" w:type="pct"/>
            <w:vMerge w:val="continue"/>
            <w:vAlign w:val="center"/>
          </w:tcPr>
          <w:p w14:paraId="4C139B7F">
            <w:pPr>
              <w:pStyle w:val="58"/>
              <w:bidi w:val="0"/>
              <w:jc w:val="center"/>
              <w:rPr>
                <w:rFonts w:hint="default"/>
                <w:highlight w:val="none"/>
              </w:rPr>
            </w:pPr>
          </w:p>
        </w:tc>
      </w:tr>
      <w:tr w14:paraId="42139B5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7" w:hRule="atLeast"/>
        </w:trPr>
        <w:tc>
          <w:tcPr>
            <w:tcW w:w="275" w:type="pct"/>
            <w:vMerge w:val="continue"/>
            <w:vAlign w:val="center"/>
          </w:tcPr>
          <w:p w14:paraId="7C909284">
            <w:pPr>
              <w:pStyle w:val="58"/>
              <w:bidi w:val="0"/>
              <w:jc w:val="center"/>
              <w:rPr>
                <w:rFonts w:hint="default"/>
                <w:highlight w:val="none"/>
              </w:rPr>
            </w:pPr>
          </w:p>
        </w:tc>
        <w:tc>
          <w:tcPr>
            <w:tcW w:w="479" w:type="pct"/>
            <w:vMerge w:val="continue"/>
            <w:vAlign w:val="center"/>
          </w:tcPr>
          <w:p w14:paraId="2D530A27">
            <w:pPr>
              <w:pStyle w:val="58"/>
              <w:bidi w:val="0"/>
              <w:jc w:val="center"/>
              <w:rPr>
                <w:rFonts w:hint="default"/>
                <w:highlight w:val="none"/>
              </w:rPr>
            </w:pPr>
          </w:p>
        </w:tc>
        <w:tc>
          <w:tcPr>
            <w:tcW w:w="578" w:type="pct"/>
            <w:vAlign w:val="center"/>
          </w:tcPr>
          <w:p w14:paraId="1AC49130">
            <w:pPr>
              <w:pStyle w:val="58"/>
              <w:bidi w:val="0"/>
              <w:jc w:val="center"/>
              <w:rPr>
                <w:rFonts w:hint="default"/>
                <w:highlight w:val="none"/>
              </w:rPr>
            </w:pPr>
            <w:r>
              <w:rPr>
                <w:rFonts w:hint="eastAsia"/>
                <w:highlight w:val="none"/>
              </w:rPr>
              <w:t>总氮</w:t>
            </w:r>
          </w:p>
        </w:tc>
        <w:tc>
          <w:tcPr>
            <w:tcW w:w="483" w:type="pct"/>
            <w:vMerge w:val="restart"/>
            <w:vAlign w:val="center"/>
          </w:tcPr>
          <w:p w14:paraId="7B9A9E3F">
            <w:pPr>
              <w:pStyle w:val="58"/>
              <w:bidi w:val="0"/>
              <w:jc w:val="center"/>
              <w:rPr>
                <w:rFonts w:hint="default"/>
                <w:highlight w:val="none"/>
              </w:rPr>
            </w:pPr>
            <w:r>
              <w:rPr>
                <w:rFonts w:hint="eastAsia"/>
                <w:highlight w:val="none"/>
                <w:lang w:eastAsia="zh-CN"/>
              </w:rPr>
              <w:t>□</w:t>
            </w:r>
            <w:r>
              <w:rPr>
                <w:rFonts w:hint="default"/>
                <w:highlight w:val="none"/>
              </w:rPr>
              <w:t>自动</w:t>
            </w:r>
            <w:r>
              <w:rPr>
                <w:rFonts w:hint="eastAsia"/>
                <w:highlight w:val="none"/>
                <w:lang w:eastAsia="zh-CN"/>
              </w:rPr>
              <w:t>☑</w:t>
            </w:r>
            <w:r>
              <w:rPr>
                <w:rFonts w:hint="default"/>
                <w:highlight w:val="none"/>
              </w:rPr>
              <w:t>手动</w:t>
            </w:r>
          </w:p>
        </w:tc>
        <w:tc>
          <w:tcPr>
            <w:tcW w:w="559" w:type="pct"/>
            <w:vMerge w:val="restart"/>
            <w:vAlign w:val="center"/>
          </w:tcPr>
          <w:p w14:paraId="428EB8AE">
            <w:pPr>
              <w:pStyle w:val="58"/>
              <w:bidi w:val="0"/>
              <w:jc w:val="center"/>
              <w:rPr>
                <w:rFonts w:hint="eastAsia" w:eastAsia="宋体"/>
                <w:highlight w:val="none"/>
                <w:lang w:val="en-US" w:eastAsia="zh-CN"/>
              </w:rPr>
            </w:pPr>
            <w:r>
              <w:rPr>
                <w:rFonts w:hint="eastAsia"/>
                <w:highlight w:val="none"/>
                <w:lang w:val="en-US" w:eastAsia="zh-CN"/>
              </w:rPr>
              <w:t>/</w:t>
            </w:r>
          </w:p>
        </w:tc>
        <w:tc>
          <w:tcPr>
            <w:tcW w:w="808" w:type="pct"/>
            <w:vMerge w:val="restart"/>
            <w:vAlign w:val="center"/>
          </w:tcPr>
          <w:p w14:paraId="25B9D3AA">
            <w:pPr>
              <w:pStyle w:val="58"/>
              <w:bidi w:val="0"/>
              <w:jc w:val="center"/>
              <w:rPr>
                <w:rFonts w:hint="eastAsia" w:eastAsia="宋体"/>
                <w:highlight w:val="none"/>
                <w:lang w:val="en-US" w:eastAsia="zh-CN"/>
              </w:rPr>
            </w:pPr>
            <w:r>
              <w:rPr>
                <w:rFonts w:hint="eastAsia"/>
                <w:highlight w:val="none"/>
                <w:lang w:val="en-US" w:eastAsia="zh-CN"/>
              </w:rPr>
              <w:t>/</w:t>
            </w:r>
          </w:p>
        </w:tc>
        <w:tc>
          <w:tcPr>
            <w:tcW w:w="241" w:type="pct"/>
            <w:vMerge w:val="restart"/>
            <w:vAlign w:val="center"/>
          </w:tcPr>
          <w:p w14:paraId="2725EB26">
            <w:pPr>
              <w:pStyle w:val="58"/>
              <w:bidi w:val="0"/>
              <w:jc w:val="center"/>
              <w:rPr>
                <w:rFonts w:hint="default" w:eastAsia="宋体"/>
                <w:highlight w:val="none"/>
                <w:lang w:val="en-US" w:eastAsia="zh-CN"/>
              </w:rPr>
            </w:pPr>
            <w:r>
              <w:rPr>
                <w:rFonts w:hint="eastAsia"/>
                <w:highlight w:val="none"/>
                <w:lang w:val="en-US" w:eastAsia="zh-CN"/>
              </w:rPr>
              <w:t>/</w:t>
            </w:r>
          </w:p>
        </w:tc>
        <w:tc>
          <w:tcPr>
            <w:tcW w:w="646" w:type="pct"/>
            <w:vMerge w:val="restart"/>
            <w:vAlign w:val="center"/>
          </w:tcPr>
          <w:p w14:paraId="3F6DDA64">
            <w:pPr>
              <w:pStyle w:val="58"/>
              <w:bidi w:val="0"/>
              <w:jc w:val="center"/>
              <w:rPr>
                <w:rFonts w:hint="eastAsia" w:eastAsia="宋体"/>
                <w:highlight w:val="none"/>
                <w:lang w:val="en-US" w:eastAsia="zh-CN"/>
              </w:rPr>
            </w:pPr>
            <w:r>
              <w:rPr>
                <w:rFonts w:hint="eastAsia"/>
                <w:highlight w:val="none"/>
                <w:lang w:val="en-US" w:eastAsia="zh-CN"/>
              </w:rPr>
              <w:t>/</w:t>
            </w:r>
          </w:p>
        </w:tc>
        <w:tc>
          <w:tcPr>
            <w:tcW w:w="304" w:type="pct"/>
            <w:vMerge w:val="restart"/>
            <w:vAlign w:val="center"/>
          </w:tcPr>
          <w:p w14:paraId="105F89AA">
            <w:pPr>
              <w:pStyle w:val="58"/>
              <w:bidi w:val="0"/>
              <w:jc w:val="center"/>
              <w:rPr>
                <w:rFonts w:hint="default"/>
                <w:highlight w:val="none"/>
              </w:rPr>
            </w:pPr>
            <w:r>
              <w:rPr>
                <w:rFonts w:hint="default"/>
                <w:highlight w:val="none"/>
              </w:rPr>
              <w:t>混合采样(4个)</w:t>
            </w:r>
          </w:p>
        </w:tc>
        <w:tc>
          <w:tcPr>
            <w:tcW w:w="623" w:type="pct"/>
            <w:vMerge w:val="restart"/>
            <w:vAlign w:val="center"/>
          </w:tcPr>
          <w:p w14:paraId="5E6AFEE5">
            <w:pPr>
              <w:pStyle w:val="58"/>
              <w:bidi w:val="0"/>
              <w:jc w:val="center"/>
              <w:rPr>
                <w:rFonts w:hint="default"/>
                <w:highlight w:val="none"/>
              </w:rPr>
            </w:pPr>
            <w:r>
              <w:rPr>
                <w:rFonts w:hint="default"/>
                <w:highlight w:val="none"/>
              </w:rPr>
              <w:t>每日1次</w:t>
            </w:r>
          </w:p>
        </w:tc>
      </w:tr>
      <w:tr w14:paraId="2161AE3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7" w:hRule="atLeast"/>
        </w:trPr>
        <w:tc>
          <w:tcPr>
            <w:tcW w:w="275" w:type="pct"/>
            <w:vMerge w:val="continue"/>
            <w:vAlign w:val="center"/>
          </w:tcPr>
          <w:p w14:paraId="407E94EA">
            <w:pPr>
              <w:pStyle w:val="58"/>
              <w:bidi w:val="0"/>
              <w:jc w:val="center"/>
              <w:rPr>
                <w:rFonts w:hint="default"/>
                <w:highlight w:val="none"/>
              </w:rPr>
            </w:pPr>
          </w:p>
        </w:tc>
        <w:tc>
          <w:tcPr>
            <w:tcW w:w="479" w:type="pct"/>
            <w:vMerge w:val="continue"/>
            <w:vAlign w:val="center"/>
          </w:tcPr>
          <w:p w14:paraId="7B3966D0">
            <w:pPr>
              <w:pStyle w:val="58"/>
              <w:bidi w:val="0"/>
              <w:jc w:val="center"/>
              <w:rPr>
                <w:rFonts w:hint="default"/>
                <w:highlight w:val="none"/>
              </w:rPr>
            </w:pPr>
          </w:p>
        </w:tc>
        <w:tc>
          <w:tcPr>
            <w:tcW w:w="578" w:type="pct"/>
            <w:vAlign w:val="center"/>
          </w:tcPr>
          <w:p w14:paraId="0220E18C">
            <w:pPr>
              <w:pStyle w:val="58"/>
              <w:bidi w:val="0"/>
              <w:jc w:val="center"/>
              <w:rPr>
                <w:rFonts w:hint="default"/>
                <w:highlight w:val="none"/>
              </w:rPr>
            </w:pPr>
            <w:r>
              <w:rPr>
                <w:rFonts w:hint="eastAsia"/>
                <w:highlight w:val="none"/>
              </w:rPr>
              <w:t>总磷</w:t>
            </w:r>
          </w:p>
        </w:tc>
        <w:tc>
          <w:tcPr>
            <w:tcW w:w="483" w:type="pct"/>
            <w:vMerge w:val="continue"/>
            <w:vAlign w:val="center"/>
          </w:tcPr>
          <w:p w14:paraId="6A7CFCBE">
            <w:pPr>
              <w:pStyle w:val="58"/>
              <w:bidi w:val="0"/>
              <w:jc w:val="center"/>
              <w:rPr>
                <w:rFonts w:hint="default"/>
                <w:highlight w:val="none"/>
              </w:rPr>
            </w:pPr>
          </w:p>
        </w:tc>
        <w:tc>
          <w:tcPr>
            <w:tcW w:w="559" w:type="pct"/>
            <w:vMerge w:val="continue"/>
            <w:vAlign w:val="center"/>
          </w:tcPr>
          <w:p w14:paraId="64A1922B">
            <w:pPr>
              <w:pStyle w:val="58"/>
              <w:bidi w:val="0"/>
              <w:jc w:val="center"/>
              <w:rPr>
                <w:rFonts w:hint="default"/>
                <w:highlight w:val="none"/>
              </w:rPr>
            </w:pPr>
          </w:p>
        </w:tc>
        <w:tc>
          <w:tcPr>
            <w:tcW w:w="808" w:type="pct"/>
            <w:vMerge w:val="continue"/>
            <w:vAlign w:val="center"/>
          </w:tcPr>
          <w:p w14:paraId="4EA0553F">
            <w:pPr>
              <w:pStyle w:val="58"/>
              <w:bidi w:val="0"/>
              <w:jc w:val="center"/>
              <w:rPr>
                <w:rFonts w:hint="default"/>
                <w:highlight w:val="none"/>
              </w:rPr>
            </w:pPr>
          </w:p>
        </w:tc>
        <w:tc>
          <w:tcPr>
            <w:tcW w:w="241" w:type="pct"/>
            <w:vMerge w:val="continue"/>
            <w:vAlign w:val="center"/>
          </w:tcPr>
          <w:p w14:paraId="796D86BB">
            <w:pPr>
              <w:pStyle w:val="58"/>
              <w:bidi w:val="0"/>
              <w:jc w:val="center"/>
              <w:rPr>
                <w:rFonts w:hint="default"/>
                <w:highlight w:val="none"/>
              </w:rPr>
            </w:pPr>
          </w:p>
        </w:tc>
        <w:tc>
          <w:tcPr>
            <w:tcW w:w="646" w:type="pct"/>
            <w:vMerge w:val="continue"/>
            <w:vAlign w:val="center"/>
          </w:tcPr>
          <w:p w14:paraId="02B0003F">
            <w:pPr>
              <w:pStyle w:val="58"/>
              <w:bidi w:val="0"/>
              <w:jc w:val="center"/>
              <w:rPr>
                <w:rFonts w:hint="default"/>
                <w:highlight w:val="none"/>
              </w:rPr>
            </w:pPr>
          </w:p>
        </w:tc>
        <w:tc>
          <w:tcPr>
            <w:tcW w:w="304" w:type="pct"/>
            <w:vMerge w:val="continue"/>
            <w:vAlign w:val="center"/>
          </w:tcPr>
          <w:p w14:paraId="22FEBECD">
            <w:pPr>
              <w:pStyle w:val="58"/>
              <w:bidi w:val="0"/>
              <w:jc w:val="center"/>
              <w:rPr>
                <w:rFonts w:hint="default"/>
                <w:highlight w:val="none"/>
              </w:rPr>
            </w:pPr>
          </w:p>
        </w:tc>
        <w:tc>
          <w:tcPr>
            <w:tcW w:w="623" w:type="pct"/>
            <w:vMerge w:val="continue"/>
            <w:vAlign w:val="center"/>
          </w:tcPr>
          <w:p w14:paraId="0D02E935">
            <w:pPr>
              <w:pStyle w:val="58"/>
              <w:bidi w:val="0"/>
              <w:jc w:val="center"/>
              <w:rPr>
                <w:rFonts w:hint="default"/>
                <w:highlight w:val="none"/>
              </w:rPr>
            </w:pPr>
          </w:p>
        </w:tc>
      </w:tr>
      <w:tr w14:paraId="4BAA41E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57" w:hRule="atLeast"/>
        </w:trPr>
        <w:tc>
          <w:tcPr>
            <w:tcW w:w="275" w:type="pct"/>
            <w:vMerge w:val="restart"/>
            <w:vAlign w:val="center"/>
          </w:tcPr>
          <w:p w14:paraId="50DDA15A">
            <w:pPr>
              <w:pStyle w:val="58"/>
              <w:bidi w:val="0"/>
              <w:jc w:val="center"/>
              <w:rPr>
                <w:rFonts w:hint="default"/>
                <w:highlight w:val="none"/>
              </w:rPr>
            </w:pPr>
            <w:r>
              <w:rPr>
                <w:rFonts w:hint="default"/>
                <w:highlight w:val="none"/>
              </w:rPr>
              <w:t>2</w:t>
            </w:r>
          </w:p>
        </w:tc>
        <w:tc>
          <w:tcPr>
            <w:tcW w:w="479" w:type="pct"/>
            <w:vMerge w:val="restart"/>
            <w:vAlign w:val="center"/>
          </w:tcPr>
          <w:p w14:paraId="6A8EE8CC">
            <w:pPr>
              <w:pStyle w:val="58"/>
              <w:bidi w:val="0"/>
              <w:jc w:val="center"/>
              <w:rPr>
                <w:rFonts w:hint="default"/>
                <w:highlight w:val="none"/>
              </w:rPr>
            </w:pPr>
            <w:r>
              <w:rPr>
                <w:rFonts w:hint="default"/>
                <w:highlight w:val="none"/>
              </w:rPr>
              <w:t>废水排放口DW001</w:t>
            </w:r>
          </w:p>
        </w:tc>
        <w:tc>
          <w:tcPr>
            <w:tcW w:w="578" w:type="pct"/>
            <w:vAlign w:val="center"/>
          </w:tcPr>
          <w:p w14:paraId="24C1EC46">
            <w:pPr>
              <w:pStyle w:val="58"/>
              <w:bidi w:val="0"/>
              <w:jc w:val="center"/>
              <w:rPr>
                <w:rFonts w:hint="default"/>
                <w:highlight w:val="none"/>
              </w:rPr>
            </w:pPr>
            <w:r>
              <w:rPr>
                <w:rFonts w:hint="default"/>
                <w:highlight w:val="none"/>
              </w:rPr>
              <w:t>流量</w:t>
            </w:r>
          </w:p>
        </w:tc>
        <w:tc>
          <w:tcPr>
            <w:tcW w:w="483" w:type="pct"/>
            <w:vMerge w:val="restart"/>
            <w:vAlign w:val="center"/>
          </w:tcPr>
          <w:p w14:paraId="57A5A15F">
            <w:pPr>
              <w:pStyle w:val="58"/>
              <w:bidi w:val="0"/>
              <w:jc w:val="center"/>
              <w:rPr>
                <w:rFonts w:hint="default"/>
                <w:highlight w:val="none"/>
              </w:rPr>
            </w:pPr>
            <w:r>
              <w:rPr>
                <w:rFonts w:hint="eastAsia"/>
                <w:highlight w:val="none"/>
                <w:lang w:eastAsia="zh-CN"/>
              </w:rPr>
              <w:t>☑</w:t>
            </w:r>
            <w:r>
              <w:rPr>
                <w:rFonts w:hint="default"/>
                <w:highlight w:val="none"/>
              </w:rPr>
              <w:t>自动□手动</w:t>
            </w:r>
          </w:p>
        </w:tc>
        <w:tc>
          <w:tcPr>
            <w:tcW w:w="559" w:type="pct"/>
            <w:vMerge w:val="restart"/>
            <w:vAlign w:val="center"/>
          </w:tcPr>
          <w:p w14:paraId="06398CC5">
            <w:pPr>
              <w:pStyle w:val="58"/>
              <w:bidi w:val="0"/>
              <w:jc w:val="center"/>
              <w:rPr>
                <w:rFonts w:hint="default"/>
                <w:highlight w:val="none"/>
              </w:rPr>
            </w:pPr>
            <w:r>
              <w:rPr>
                <w:rFonts w:hint="default"/>
                <w:highlight w:val="none"/>
              </w:rPr>
              <w:t>进、出水在线检测设备间</w:t>
            </w:r>
          </w:p>
        </w:tc>
        <w:tc>
          <w:tcPr>
            <w:tcW w:w="808" w:type="pct"/>
            <w:vMerge w:val="restart"/>
            <w:vAlign w:val="center"/>
          </w:tcPr>
          <w:p w14:paraId="57D0E4EB">
            <w:pPr>
              <w:pStyle w:val="58"/>
              <w:bidi w:val="0"/>
              <w:jc w:val="center"/>
              <w:rPr>
                <w:rFonts w:hint="default"/>
                <w:highlight w:val="none"/>
              </w:rPr>
            </w:pPr>
            <w:r>
              <w:rPr>
                <w:rFonts w:hint="default"/>
                <w:highlight w:val="none"/>
              </w:rPr>
              <w:t>按照《污染源自动监控设施运行管理办法》（环发[2008]6号）执行</w:t>
            </w:r>
          </w:p>
        </w:tc>
        <w:tc>
          <w:tcPr>
            <w:tcW w:w="241" w:type="pct"/>
            <w:vMerge w:val="restart"/>
            <w:vAlign w:val="center"/>
          </w:tcPr>
          <w:p w14:paraId="6F8E3AB8">
            <w:pPr>
              <w:pStyle w:val="58"/>
              <w:bidi w:val="0"/>
              <w:jc w:val="center"/>
              <w:rPr>
                <w:rFonts w:hint="default"/>
                <w:highlight w:val="none"/>
              </w:rPr>
            </w:pPr>
            <w:r>
              <w:rPr>
                <w:rFonts w:hint="default"/>
                <w:highlight w:val="none"/>
              </w:rPr>
              <w:t>是</w:t>
            </w:r>
          </w:p>
        </w:tc>
        <w:tc>
          <w:tcPr>
            <w:tcW w:w="646" w:type="pct"/>
            <w:vAlign w:val="center"/>
          </w:tcPr>
          <w:p w14:paraId="2A67A497">
            <w:pPr>
              <w:pStyle w:val="58"/>
              <w:bidi w:val="0"/>
              <w:jc w:val="center"/>
              <w:rPr>
                <w:rFonts w:hint="default"/>
                <w:highlight w:val="none"/>
              </w:rPr>
            </w:pPr>
            <w:r>
              <w:rPr>
                <w:rFonts w:hint="default"/>
                <w:highlight w:val="none"/>
              </w:rPr>
              <w:t>流量计</w:t>
            </w:r>
          </w:p>
        </w:tc>
        <w:tc>
          <w:tcPr>
            <w:tcW w:w="304" w:type="pct"/>
            <w:vMerge w:val="restart"/>
            <w:vAlign w:val="center"/>
          </w:tcPr>
          <w:p w14:paraId="4B40EB25">
            <w:pPr>
              <w:pStyle w:val="58"/>
              <w:bidi w:val="0"/>
              <w:jc w:val="center"/>
              <w:rPr>
                <w:rFonts w:hint="default"/>
                <w:highlight w:val="none"/>
              </w:rPr>
            </w:pPr>
            <w:r>
              <w:rPr>
                <w:rFonts w:hint="default"/>
                <w:highlight w:val="none"/>
              </w:rPr>
              <w:t>瞬时采样至少3个瞬时样</w:t>
            </w:r>
          </w:p>
        </w:tc>
        <w:tc>
          <w:tcPr>
            <w:tcW w:w="623" w:type="pct"/>
            <w:vMerge w:val="restart"/>
            <w:vAlign w:val="center"/>
          </w:tcPr>
          <w:p w14:paraId="6C8C8623">
            <w:pPr>
              <w:pStyle w:val="58"/>
              <w:bidi w:val="0"/>
              <w:jc w:val="center"/>
              <w:rPr>
                <w:rFonts w:hint="default"/>
                <w:highlight w:val="none"/>
              </w:rPr>
            </w:pPr>
            <w:r>
              <w:rPr>
                <w:rFonts w:hint="default"/>
                <w:highlight w:val="none"/>
              </w:rPr>
              <w:t>在线监测故障期间应采取手工监测，每天不少于4次，每次间隔不超过6小时</w:t>
            </w:r>
          </w:p>
        </w:tc>
      </w:tr>
      <w:tr w14:paraId="20F97C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7" w:hRule="atLeast"/>
        </w:trPr>
        <w:tc>
          <w:tcPr>
            <w:tcW w:w="275" w:type="pct"/>
            <w:vMerge w:val="continue"/>
            <w:vAlign w:val="center"/>
          </w:tcPr>
          <w:p w14:paraId="1F1CF13F">
            <w:pPr>
              <w:pStyle w:val="58"/>
              <w:bidi w:val="0"/>
              <w:jc w:val="center"/>
              <w:rPr>
                <w:rFonts w:hint="default"/>
                <w:highlight w:val="none"/>
              </w:rPr>
            </w:pPr>
          </w:p>
        </w:tc>
        <w:tc>
          <w:tcPr>
            <w:tcW w:w="479" w:type="pct"/>
            <w:vMerge w:val="continue"/>
            <w:vAlign w:val="center"/>
          </w:tcPr>
          <w:p w14:paraId="446CDA6C">
            <w:pPr>
              <w:pStyle w:val="58"/>
              <w:bidi w:val="0"/>
              <w:jc w:val="center"/>
              <w:rPr>
                <w:rFonts w:hint="default"/>
                <w:highlight w:val="none"/>
              </w:rPr>
            </w:pPr>
          </w:p>
        </w:tc>
        <w:tc>
          <w:tcPr>
            <w:tcW w:w="578" w:type="pct"/>
            <w:vAlign w:val="center"/>
          </w:tcPr>
          <w:p w14:paraId="0BDF5DF1">
            <w:pPr>
              <w:pStyle w:val="58"/>
              <w:bidi w:val="0"/>
              <w:jc w:val="center"/>
              <w:rPr>
                <w:rFonts w:hint="default"/>
                <w:highlight w:val="none"/>
              </w:rPr>
            </w:pPr>
            <w:r>
              <w:rPr>
                <w:rFonts w:hint="default"/>
                <w:highlight w:val="none"/>
              </w:rPr>
              <w:t>水温</w:t>
            </w:r>
          </w:p>
        </w:tc>
        <w:tc>
          <w:tcPr>
            <w:tcW w:w="483" w:type="pct"/>
            <w:vMerge w:val="continue"/>
            <w:vAlign w:val="center"/>
          </w:tcPr>
          <w:p w14:paraId="552C513E">
            <w:pPr>
              <w:pStyle w:val="58"/>
              <w:bidi w:val="0"/>
              <w:jc w:val="center"/>
              <w:rPr>
                <w:rFonts w:hint="default"/>
                <w:highlight w:val="none"/>
              </w:rPr>
            </w:pPr>
          </w:p>
        </w:tc>
        <w:tc>
          <w:tcPr>
            <w:tcW w:w="559" w:type="pct"/>
            <w:vMerge w:val="continue"/>
            <w:vAlign w:val="center"/>
          </w:tcPr>
          <w:p w14:paraId="14E5E636">
            <w:pPr>
              <w:pStyle w:val="58"/>
              <w:bidi w:val="0"/>
              <w:jc w:val="center"/>
              <w:rPr>
                <w:rFonts w:hint="default"/>
                <w:highlight w:val="none"/>
              </w:rPr>
            </w:pPr>
          </w:p>
        </w:tc>
        <w:tc>
          <w:tcPr>
            <w:tcW w:w="808" w:type="pct"/>
            <w:vMerge w:val="continue"/>
            <w:vAlign w:val="center"/>
          </w:tcPr>
          <w:p w14:paraId="12356A61">
            <w:pPr>
              <w:pStyle w:val="58"/>
              <w:bidi w:val="0"/>
              <w:jc w:val="center"/>
              <w:rPr>
                <w:rFonts w:hint="default"/>
                <w:highlight w:val="none"/>
              </w:rPr>
            </w:pPr>
          </w:p>
        </w:tc>
        <w:tc>
          <w:tcPr>
            <w:tcW w:w="241" w:type="pct"/>
            <w:vMerge w:val="continue"/>
            <w:vAlign w:val="center"/>
          </w:tcPr>
          <w:p w14:paraId="323557AC">
            <w:pPr>
              <w:pStyle w:val="58"/>
              <w:bidi w:val="0"/>
              <w:jc w:val="center"/>
              <w:rPr>
                <w:rFonts w:hint="default"/>
                <w:highlight w:val="none"/>
              </w:rPr>
            </w:pPr>
          </w:p>
        </w:tc>
        <w:tc>
          <w:tcPr>
            <w:tcW w:w="646" w:type="pct"/>
            <w:vAlign w:val="center"/>
          </w:tcPr>
          <w:p w14:paraId="76B5A74F">
            <w:pPr>
              <w:pStyle w:val="58"/>
              <w:bidi w:val="0"/>
              <w:jc w:val="center"/>
              <w:rPr>
                <w:rFonts w:hint="default"/>
                <w:highlight w:val="none"/>
              </w:rPr>
            </w:pPr>
            <w:r>
              <w:rPr>
                <w:rFonts w:hint="default"/>
                <w:highlight w:val="none"/>
              </w:rPr>
              <w:t>温度计</w:t>
            </w:r>
          </w:p>
        </w:tc>
        <w:tc>
          <w:tcPr>
            <w:tcW w:w="304" w:type="pct"/>
            <w:vMerge w:val="continue"/>
            <w:vAlign w:val="center"/>
          </w:tcPr>
          <w:p w14:paraId="6434A839">
            <w:pPr>
              <w:pStyle w:val="58"/>
              <w:bidi w:val="0"/>
              <w:jc w:val="center"/>
              <w:rPr>
                <w:rFonts w:hint="default"/>
                <w:highlight w:val="none"/>
              </w:rPr>
            </w:pPr>
          </w:p>
        </w:tc>
        <w:tc>
          <w:tcPr>
            <w:tcW w:w="623" w:type="pct"/>
            <w:vMerge w:val="continue"/>
            <w:vAlign w:val="center"/>
          </w:tcPr>
          <w:p w14:paraId="146B6309">
            <w:pPr>
              <w:pStyle w:val="58"/>
              <w:bidi w:val="0"/>
              <w:jc w:val="center"/>
              <w:rPr>
                <w:rFonts w:hint="default"/>
                <w:highlight w:val="none"/>
              </w:rPr>
            </w:pPr>
          </w:p>
        </w:tc>
      </w:tr>
      <w:tr w14:paraId="65C851C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57" w:hRule="atLeast"/>
        </w:trPr>
        <w:tc>
          <w:tcPr>
            <w:tcW w:w="275" w:type="pct"/>
            <w:vMerge w:val="continue"/>
            <w:vAlign w:val="center"/>
          </w:tcPr>
          <w:p w14:paraId="66187F32">
            <w:pPr>
              <w:pStyle w:val="58"/>
              <w:bidi w:val="0"/>
              <w:jc w:val="center"/>
              <w:rPr>
                <w:rFonts w:hint="default"/>
                <w:highlight w:val="none"/>
              </w:rPr>
            </w:pPr>
          </w:p>
        </w:tc>
        <w:tc>
          <w:tcPr>
            <w:tcW w:w="479" w:type="pct"/>
            <w:vMerge w:val="continue"/>
            <w:vAlign w:val="center"/>
          </w:tcPr>
          <w:p w14:paraId="0EFC3145">
            <w:pPr>
              <w:pStyle w:val="58"/>
              <w:bidi w:val="0"/>
              <w:jc w:val="center"/>
              <w:rPr>
                <w:rFonts w:hint="default"/>
                <w:highlight w:val="none"/>
              </w:rPr>
            </w:pPr>
          </w:p>
        </w:tc>
        <w:tc>
          <w:tcPr>
            <w:tcW w:w="578" w:type="pct"/>
            <w:vAlign w:val="center"/>
          </w:tcPr>
          <w:p w14:paraId="4CB7482A">
            <w:pPr>
              <w:pStyle w:val="58"/>
              <w:bidi w:val="0"/>
              <w:jc w:val="center"/>
              <w:rPr>
                <w:rFonts w:hint="default"/>
                <w:highlight w:val="none"/>
              </w:rPr>
            </w:pPr>
            <w:r>
              <w:rPr>
                <w:rFonts w:hint="default"/>
                <w:highlight w:val="none"/>
              </w:rPr>
              <w:t>pH</w:t>
            </w:r>
          </w:p>
        </w:tc>
        <w:tc>
          <w:tcPr>
            <w:tcW w:w="483" w:type="pct"/>
            <w:vMerge w:val="continue"/>
            <w:vAlign w:val="center"/>
          </w:tcPr>
          <w:p w14:paraId="55720331">
            <w:pPr>
              <w:pStyle w:val="58"/>
              <w:bidi w:val="0"/>
              <w:jc w:val="center"/>
              <w:rPr>
                <w:rFonts w:hint="default"/>
                <w:highlight w:val="none"/>
              </w:rPr>
            </w:pPr>
          </w:p>
        </w:tc>
        <w:tc>
          <w:tcPr>
            <w:tcW w:w="559" w:type="pct"/>
            <w:vMerge w:val="continue"/>
            <w:vAlign w:val="center"/>
          </w:tcPr>
          <w:p w14:paraId="020DFE06">
            <w:pPr>
              <w:pStyle w:val="58"/>
              <w:bidi w:val="0"/>
              <w:jc w:val="center"/>
              <w:rPr>
                <w:rFonts w:hint="default"/>
                <w:highlight w:val="none"/>
              </w:rPr>
            </w:pPr>
          </w:p>
        </w:tc>
        <w:tc>
          <w:tcPr>
            <w:tcW w:w="808" w:type="pct"/>
            <w:vMerge w:val="continue"/>
            <w:vAlign w:val="center"/>
          </w:tcPr>
          <w:p w14:paraId="743C9FE8">
            <w:pPr>
              <w:pStyle w:val="58"/>
              <w:bidi w:val="0"/>
              <w:jc w:val="center"/>
              <w:rPr>
                <w:rFonts w:hint="default"/>
                <w:highlight w:val="none"/>
              </w:rPr>
            </w:pPr>
          </w:p>
        </w:tc>
        <w:tc>
          <w:tcPr>
            <w:tcW w:w="241" w:type="pct"/>
            <w:vMerge w:val="continue"/>
            <w:vAlign w:val="center"/>
          </w:tcPr>
          <w:p w14:paraId="5D136520">
            <w:pPr>
              <w:pStyle w:val="58"/>
              <w:bidi w:val="0"/>
              <w:jc w:val="center"/>
              <w:rPr>
                <w:rFonts w:hint="default"/>
                <w:highlight w:val="none"/>
              </w:rPr>
            </w:pPr>
          </w:p>
        </w:tc>
        <w:tc>
          <w:tcPr>
            <w:tcW w:w="646" w:type="pct"/>
            <w:vAlign w:val="center"/>
          </w:tcPr>
          <w:p w14:paraId="564CC065">
            <w:pPr>
              <w:pStyle w:val="58"/>
              <w:bidi w:val="0"/>
              <w:jc w:val="center"/>
              <w:rPr>
                <w:rFonts w:hint="default"/>
                <w:highlight w:val="none"/>
              </w:rPr>
            </w:pPr>
            <w:r>
              <w:rPr>
                <w:rFonts w:hint="default"/>
                <w:highlight w:val="none"/>
              </w:rPr>
              <w:t>pH在线监测仪</w:t>
            </w:r>
          </w:p>
        </w:tc>
        <w:tc>
          <w:tcPr>
            <w:tcW w:w="304" w:type="pct"/>
            <w:vMerge w:val="continue"/>
            <w:vAlign w:val="center"/>
          </w:tcPr>
          <w:p w14:paraId="1CF5661D">
            <w:pPr>
              <w:pStyle w:val="58"/>
              <w:bidi w:val="0"/>
              <w:jc w:val="center"/>
              <w:rPr>
                <w:rFonts w:hint="default"/>
                <w:highlight w:val="none"/>
              </w:rPr>
            </w:pPr>
          </w:p>
        </w:tc>
        <w:tc>
          <w:tcPr>
            <w:tcW w:w="623" w:type="pct"/>
            <w:vMerge w:val="continue"/>
            <w:vAlign w:val="center"/>
          </w:tcPr>
          <w:p w14:paraId="0CC33C48">
            <w:pPr>
              <w:pStyle w:val="58"/>
              <w:bidi w:val="0"/>
              <w:jc w:val="center"/>
              <w:rPr>
                <w:rFonts w:hint="default"/>
                <w:highlight w:val="none"/>
              </w:rPr>
            </w:pPr>
          </w:p>
        </w:tc>
      </w:tr>
      <w:tr w14:paraId="3EAEDC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7" w:hRule="atLeast"/>
        </w:trPr>
        <w:tc>
          <w:tcPr>
            <w:tcW w:w="275" w:type="pct"/>
            <w:vMerge w:val="continue"/>
            <w:vAlign w:val="center"/>
          </w:tcPr>
          <w:p w14:paraId="49AB8C29">
            <w:pPr>
              <w:pStyle w:val="58"/>
              <w:bidi w:val="0"/>
              <w:jc w:val="center"/>
              <w:rPr>
                <w:rFonts w:hint="default"/>
                <w:highlight w:val="none"/>
              </w:rPr>
            </w:pPr>
          </w:p>
        </w:tc>
        <w:tc>
          <w:tcPr>
            <w:tcW w:w="479" w:type="pct"/>
            <w:vMerge w:val="continue"/>
            <w:vAlign w:val="center"/>
          </w:tcPr>
          <w:p w14:paraId="02D1C16E">
            <w:pPr>
              <w:pStyle w:val="58"/>
              <w:bidi w:val="0"/>
              <w:jc w:val="center"/>
              <w:rPr>
                <w:rFonts w:hint="default"/>
                <w:highlight w:val="none"/>
              </w:rPr>
            </w:pPr>
          </w:p>
        </w:tc>
        <w:tc>
          <w:tcPr>
            <w:tcW w:w="578" w:type="pct"/>
            <w:vAlign w:val="center"/>
          </w:tcPr>
          <w:p w14:paraId="377CDF0C">
            <w:pPr>
              <w:pStyle w:val="58"/>
              <w:bidi w:val="0"/>
              <w:jc w:val="center"/>
              <w:rPr>
                <w:rFonts w:hint="default"/>
                <w:highlight w:val="none"/>
              </w:rPr>
            </w:pPr>
            <w:r>
              <w:rPr>
                <w:rFonts w:hint="default"/>
                <w:highlight w:val="none"/>
              </w:rPr>
              <w:t>COD</w:t>
            </w:r>
          </w:p>
        </w:tc>
        <w:tc>
          <w:tcPr>
            <w:tcW w:w="483" w:type="pct"/>
            <w:vMerge w:val="continue"/>
            <w:vAlign w:val="center"/>
          </w:tcPr>
          <w:p w14:paraId="2A9F527E">
            <w:pPr>
              <w:pStyle w:val="58"/>
              <w:bidi w:val="0"/>
              <w:jc w:val="center"/>
              <w:rPr>
                <w:rFonts w:hint="default"/>
                <w:highlight w:val="none"/>
              </w:rPr>
            </w:pPr>
          </w:p>
        </w:tc>
        <w:tc>
          <w:tcPr>
            <w:tcW w:w="559" w:type="pct"/>
            <w:vMerge w:val="continue"/>
            <w:vAlign w:val="center"/>
          </w:tcPr>
          <w:p w14:paraId="42901DE8">
            <w:pPr>
              <w:pStyle w:val="58"/>
              <w:bidi w:val="0"/>
              <w:jc w:val="center"/>
              <w:rPr>
                <w:rFonts w:hint="default"/>
                <w:highlight w:val="none"/>
              </w:rPr>
            </w:pPr>
          </w:p>
        </w:tc>
        <w:tc>
          <w:tcPr>
            <w:tcW w:w="808" w:type="pct"/>
            <w:vMerge w:val="continue"/>
            <w:vAlign w:val="center"/>
          </w:tcPr>
          <w:p w14:paraId="51C0BAD6">
            <w:pPr>
              <w:pStyle w:val="58"/>
              <w:bidi w:val="0"/>
              <w:jc w:val="center"/>
              <w:rPr>
                <w:rFonts w:hint="default"/>
                <w:highlight w:val="none"/>
              </w:rPr>
            </w:pPr>
          </w:p>
        </w:tc>
        <w:tc>
          <w:tcPr>
            <w:tcW w:w="241" w:type="pct"/>
            <w:vMerge w:val="continue"/>
            <w:vAlign w:val="center"/>
          </w:tcPr>
          <w:p w14:paraId="35D4E6EC">
            <w:pPr>
              <w:pStyle w:val="58"/>
              <w:bidi w:val="0"/>
              <w:jc w:val="center"/>
              <w:rPr>
                <w:rFonts w:hint="default"/>
                <w:highlight w:val="none"/>
              </w:rPr>
            </w:pPr>
          </w:p>
        </w:tc>
        <w:tc>
          <w:tcPr>
            <w:tcW w:w="646" w:type="pct"/>
            <w:vAlign w:val="center"/>
          </w:tcPr>
          <w:p w14:paraId="47F9F289">
            <w:pPr>
              <w:pStyle w:val="58"/>
              <w:bidi w:val="0"/>
              <w:jc w:val="center"/>
              <w:rPr>
                <w:rFonts w:hint="default"/>
                <w:highlight w:val="none"/>
              </w:rPr>
            </w:pPr>
            <w:r>
              <w:rPr>
                <w:rFonts w:hint="default"/>
                <w:highlight w:val="none"/>
              </w:rPr>
              <w:t>COD在线监测仪</w:t>
            </w:r>
          </w:p>
        </w:tc>
        <w:tc>
          <w:tcPr>
            <w:tcW w:w="304" w:type="pct"/>
            <w:vMerge w:val="continue"/>
            <w:vAlign w:val="center"/>
          </w:tcPr>
          <w:p w14:paraId="5EA2D50E">
            <w:pPr>
              <w:pStyle w:val="58"/>
              <w:bidi w:val="0"/>
              <w:jc w:val="center"/>
              <w:rPr>
                <w:rFonts w:hint="default"/>
                <w:highlight w:val="none"/>
              </w:rPr>
            </w:pPr>
          </w:p>
        </w:tc>
        <w:tc>
          <w:tcPr>
            <w:tcW w:w="623" w:type="pct"/>
            <w:vMerge w:val="continue"/>
            <w:vAlign w:val="center"/>
          </w:tcPr>
          <w:p w14:paraId="02DDA5D1">
            <w:pPr>
              <w:pStyle w:val="58"/>
              <w:bidi w:val="0"/>
              <w:jc w:val="center"/>
              <w:rPr>
                <w:rFonts w:hint="default"/>
                <w:highlight w:val="none"/>
              </w:rPr>
            </w:pPr>
          </w:p>
        </w:tc>
      </w:tr>
      <w:tr w14:paraId="0D93CA4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7" w:hRule="atLeast"/>
        </w:trPr>
        <w:tc>
          <w:tcPr>
            <w:tcW w:w="275" w:type="pct"/>
            <w:vMerge w:val="continue"/>
            <w:vAlign w:val="center"/>
          </w:tcPr>
          <w:p w14:paraId="7C621C1F">
            <w:pPr>
              <w:pStyle w:val="58"/>
              <w:bidi w:val="0"/>
              <w:jc w:val="center"/>
              <w:rPr>
                <w:rFonts w:hint="default"/>
                <w:highlight w:val="none"/>
              </w:rPr>
            </w:pPr>
          </w:p>
        </w:tc>
        <w:tc>
          <w:tcPr>
            <w:tcW w:w="479" w:type="pct"/>
            <w:vMerge w:val="continue"/>
            <w:vAlign w:val="center"/>
          </w:tcPr>
          <w:p w14:paraId="2AC8452C">
            <w:pPr>
              <w:pStyle w:val="58"/>
              <w:bidi w:val="0"/>
              <w:jc w:val="center"/>
              <w:rPr>
                <w:rFonts w:hint="default"/>
                <w:highlight w:val="none"/>
              </w:rPr>
            </w:pPr>
          </w:p>
        </w:tc>
        <w:tc>
          <w:tcPr>
            <w:tcW w:w="578" w:type="pct"/>
            <w:vAlign w:val="center"/>
          </w:tcPr>
          <w:p w14:paraId="1491687E">
            <w:pPr>
              <w:pStyle w:val="58"/>
              <w:bidi w:val="0"/>
              <w:jc w:val="center"/>
              <w:rPr>
                <w:rFonts w:hint="default"/>
                <w:highlight w:val="none"/>
              </w:rPr>
            </w:pPr>
            <w:r>
              <w:rPr>
                <w:rFonts w:hint="default"/>
                <w:highlight w:val="none"/>
              </w:rPr>
              <w:t>氨氮</w:t>
            </w:r>
          </w:p>
        </w:tc>
        <w:tc>
          <w:tcPr>
            <w:tcW w:w="483" w:type="pct"/>
            <w:vMerge w:val="continue"/>
            <w:vAlign w:val="center"/>
          </w:tcPr>
          <w:p w14:paraId="16C46384">
            <w:pPr>
              <w:pStyle w:val="58"/>
              <w:bidi w:val="0"/>
              <w:jc w:val="center"/>
              <w:rPr>
                <w:rFonts w:hint="default"/>
                <w:highlight w:val="none"/>
              </w:rPr>
            </w:pPr>
          </w:p>
        </w:tc>
        <w:tc>
          <w:tcPr>
            <w:tcW w:w="559" w:type="pct"/>
            <w:vMerge w:val="continue"/>
            <w:vAlign w:val="center"/>
          </w:tcPr>
          <w:p w14:paraId="5185F3DC">
            <w:pPr>
              <w:pStyle w:val="58"/>
              <w:bidi w:val="0"/>
              <w:jc w:val="center"/>
              <w:rPr>
                <w:rFonts w:hint="default"/>
                <w:highlight w:val="none"/>
              </w:rPr>
            </w:pPr>
          </w:p>
        </w:tc>
        <w:tc>
          <w:tcPr>
            <w:tcW w:w="808" w:type="pct"/>
            <w:vMerge w:val="continue"/>
            <w:vAlign w:val="center"/>
          </w:tcPr>
          <w:p w14:paraId="4F386268">
            <w:pPr>
              <w:pStyle w:val="58"/>
              <w:bidi w:val="0"/>
              <w:jc w:val="center"/>
              <w:rPr>
                <w:rFonts w:hint="default"/>
                <w:highlight w:val="none"/>
              </w:rPr>
            </w:pPr>
          </w:p>
        </w:tc>
        <w:tc>
          <w:tcPr>
            <w:tcW w:w="241" w:type="pct"/>
            <w:vMerge w:val="continue"/>
            <w:vAlign w:val="center"/>
          </w:tcPr>
          <w:p w14:paraId="64A0F6E9">
            <w:pPr>
              <w:pStyle w:val="58"/>
              <w:bidi w:val="0"/>
              <w:jc w:val="center"/>
              <w:rPr>
                <w:rFonts w:hint="default"/>
                <w:highlight w:val="none"/>
              </w:rPr>
            </w:pPr>
          </w:p>
        </w:tc>
        <w:tc>
          <w:tcPr>
            <w:tcW w:w="646" w:type="pct"/>
            <w:vAlign w:val="center"/>
          </w:tcPr>
          <w:p w14:paraId="75B921B5">
            <w:pPr>
              <w:pStyle w:val="58"/>
              <w:bidi w:val="0"/>
              <w:jc w:val="center"/>
              <w:rPr>
                <w:rFonts w:hint="default"/>
                <w:highlight w:val="none"/>
              </w:rPr>
            </w:pPr>
            <w:r>
              <w:rPr>
                <w:rFonts w:hint="default"/>
                <w:highlight w:val="none"/>
              </w:rPr>
              <w:t>氨氮在线监测仪</w:t>
            </w:r>
          </w:p>
        </w:tc>
        <w:tc>
          <w:tcPr>
            <w:tcW w:w="304" w:type="pct"/>
            <w:vMerge w:val="continue"/>
            <w:vAlign w:val="center"/>
          </w:tcPr>
          <w:p w14:paraId="74CB5430">
            <w:pPr>
              <w:pStyle w:val="58"/>
              <w:bidi w:val="0"/>
              <w:jc w:val="center"/>
              <w:rPr>
                <w:rFonts w:hint="default"/>
                <w:highlight w:val="none"/>
              </w:rPr>
            </w:pPr>
          </w:p>
        </w:tc>
        <w:tc>
          <w:tcPr>
            <w:tcW w:w="623" w:type="pct"/>
            <w:vMerge w:val="continue"/>
            <w:vAlign w:val="center"/>
          </w:tcPr>
          <w:p w14:paraId="2FD07B8A">
            <w:pPr>
              <w:pStyle w:val="58"/>
              <w:bidi w:val="0"/>
              <w:jc w:val="center"/>
              <w:rPr>
                <w:rFonts w:hint="default"/>
                <w:highlight w:val="none"/>
              </w:rPr>
            </w:pPr>
          </w:p>
        </w:tc>
      </w:tr>
      <w:tr w14:paraId="3403B20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7" w:hRule="atLeast"/>
        </w:trPr>
        <w:tc>
          <w:tcPr>
            <w:tcW w:w="275" w:type="pct"/>
            <w:vMerge w:val="continue"/>
            <w:vAlign w:val="center"/>
          </w:tcPr>
          <w:p w14:paraId="31A4B502">
            <w:pPr>
              <w:pStyle w:val="58"/>
              <w:bidi w:val="0"/>
              <w:jc w:val="center"/>
              <w:rPr>
                <w:rFonts w:hint="default"/>
                <w:highlight w:val="none"/>
              </w:rPr>
            </w:pPr>
          </w:p>
        </w:tc>
        <w:tc>
          <w:tcPr>
            <w:tcW w:w="479" w:type="pct"/>
            <w:vMerge w:val="continue"/>
            <w:vAlign w:val="center"/>
          </w:tcPr>
          <w:p w14:paraId="4A98F9BC">
            <w:pPr>
              <w:pStyle w:val="58"/>
              <w:bidi w:val="0"/>
              <w:jc w:val="center"/>
              <w:rPr>
                <w:rFonts w:hint="default"/>
                <w:highlight w:val="none"/>
              </w:rPr>
            </w:pPr>
          </w:p>
        </w:tc>
        <w:tc>
          <w:tcPr>
            <w:tcW w:w="578" w:type="pct"/>
            <w:vAlign w:val="center"/>
          </w:tcPr>
          <w:p w14:paraId="7C90EB7D">
            <w:pPr>
              <w:pStyle w:val="58"/>
              <w:bidi w:val="0"/>
              <w:jc w:val="center"/>
              <w:rPr>
                <w:rFonts w:hint="default"/>
                <w:highlight w:val="none"/>
              </w:rPr>
            </w:pPr>
            <w:r>
              <w:rPr>
                <w:rFonts w:hint="default"/>
                <w:highlight w:val="none"/>
              </w:rPr>
              <w:t>总氮</w:t>
            </w:r>
          </w:p>
        </w:tc>
        <w:tc>
          <w:tcPr>
            <w:tcW w:w="483" w:type="pct"/>
            <w:vMerge w:val="continue"/>
            <w:vAlign w:val="center"/>
          </w:tcPr>
          <w:p w14:paraId="68B6B890">
            <w:pPr>
              <w:pStyle w:val="58"/>
              <w:bidi w:val="0"/>
              <w:jc w:val="center"/>
              <w:rPr>
                <w:rFonts w:hint="default"/>
                <w:highlight w:val="none"/>
              </w:rPr>
            </w:pPr>
          </w:p>
        </w:tc>
        <w:tc>
          <w:tcPr>
            <w:tcW w:w="559" w:type="pct"/>
            <w:vMerge w:val="continue"/>
            <w:vAlign w:val="center"/>
          </w:tcPr>
          <w:p w14:paraId="49C8E114">
            <w:pPr>
              <w:pStyle w:val="58"/>
              <w:bidi w:val="0"/>
              <w:jc w:val="center"/>
              <w:rPr>
                <w:rFonts w:hint="default"/>
                <w:highlight w:val="none"/>
              </w:rPr>
            </w:pPr>
          </w:p>
        </w:tc>
        <w:tc>
          <w:tcPr>
            <w:tcW w:w="808" w:type="pct"/>
            <w:vMerge w:val="continue"/>
            <w:vAlign w:val="center"/>
          </w:tcPr>
          <w:p w14:paraId="70A96932">
            <w:pPr>
              <w:pStyle w:val="58"/>
              <w:bidi w:val="0"/>
              <w:jc w:val="center"/>
              <w:rPr>
                <w:rFonts w:hint="default"/>
                <w:highlight w:val="none"/>
              </w:rPr>
            </w:pPr>
          </w:p>
        </w:tc>
        <w:tc>
          <w:tcPr>
            <w:tcW w:w="241" w:type="pct"/>
            <w:vMerge w:val="continue"/>
            <w:vAlign w:val="center"/>
          </w:tcPr>
          <w:p w14:paraId="5CF499D1">
            <w:pPr>
              <w:pStyle w:val="58"/>
              <w:bidi w:val="0"/>
              <w:jc w:val="center"/>
              <w:rPr>
                <w:rFonts w:hint="default"/>
                <w:highlight w:val="none"/>
              </w:rPr>
            </w:pPr>
          </w:p>
        </w:tc>
        <w:tc>
          <w:tcPr>
            <w:tcW w:w="646" w:type="pct"/>
            <w:vAlign w:val="center"/>
          </w:tcPr>
          <w:p w14:paraId="4C84B0A8">
            <w:pPr>
              <w:pStyle w:val="58"/>
              <w:bidi w:val="0"/>
              <w:jc w:val="center"/>
              <w:rPr>
                <w:rFonts w:hint="default"/>
                <w:highlight w:val="none"/>
              </w:rPr>
            </w:pPr>
            <w:r>
              <w:rPr>
                <w:rFonts w:hint="default"/>
                <w:highlight w:val="none"/>
              </w:rPr>
              <w:t>总磷在线监测仪</w:t>
            </w:r>
          </w:p>
        </w:tc>
        <w:tc>
          <w:tcPr>
            <w:tcW w:w="304" w:type="pct"/>
            <w:vMerge w:val="continue"/>
            <w:vAlign w:val="center"/>
          </w:tcPr>
          <w:p w14:paraId="6FF07867">
            <w:pPr>
              <w:pStyle w:val="58"/>
              <w:bidi w:val="0"/>
              <w:jc w:val="center"/>
              <w:rPr>
                <w:rFonts w:hint="default"/>
                <w:highlight w:val="none"/>
              </w:rPr>
            </w:pPr>
          </w:p>
        </w:tc>
        <w:tc>
          <w:tcPr>
            <w:tcW w:w="623" w:type="pct"/>
            <w:vMerge w:val="continue"/>
            <w:vAlign w:val="center"/>
          </w:tcPr>
          <w:p w14:paraId="10ECB2A1">
            <w:pPr>
              <w:pStyle w:val="58"/>
              <w:bidi w:val="0"/>
              <w:jc w:val="center"/>
              <w:rPr>
                <w:rFonts w:hint="default"/>
                <w:highlight w:val="none"/>
              </w:rPr>
            </w:pPr>
          </w:p>
        </w:tc>
      </w:tr>
      <w:tr w14:paraId="4CF461D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7" w:hRule="atLeast"/>
        </w:trPr>
        <w:tc>
          <w:tcPr>
            <w:tcW w:w="275" w:type="pct"/>
            <w:vMerge w:val="continue"/>
            <w:vAlign w:val="center"/>
          </w:tcPr>
          <w:p w14:paraId="108929BA">
            <w:pPr>
              <w:pStyle w:val="58"/>
              <w:bidi w:val="0"/>
              <w:jc w:val="center"/>
              <w:rPr>
                <w:rFonts w:hint="default"/>
                <w:highlight w:val="none"/>
              </w:rPr>
            </w:pPr>
          </w:p>
        </w:tc>
        <w:tc>
          <w:tcPr>
            <w:tcW w:w="479" w:type="pct"/>
            <w:vMerge w:val="continue"/>
            <w:vAlign w:val="center"/>
          </w:tcPr>
          <w:p w14:paraId="58A72A26">
            <w:pPr>
              <w:pStyle w:val="58"/>
              <w:bidi w:val="0"/>
              <w:jc w:val="center"/>
              <w:rPr>
                <w:rFonts w:hint="default"/>
                <w:highlight w:val="none"/>
              </w:rPr>
            </w:pPr>
          </w:p>
        </w:tc>
        <w:tc>
          <w:tcPr>
            <w:tcW w:w="578" w:type="pct"/>
            <w:vAlign w:val="center"/>
          </w:tcPr>
          <w:p w14:paraId="6AD89305">
            <w:pPr>
              <w:pStyle w:val="58"/>
              <w:bidi w:val="0"/>
              <w:jc w:val="center"/>
              <w:rPr>
                <w:rFonts w:hint="default"/>
                <w:highlight w:val="none"/>
              </w:rPr>
            </w:pPr>
            <w:r>
              <w:rPr>
                <w:rFonts w:hint="default"/>
                <w:highlight w:val="none"/>
              </w:rPr>
              <w:t>总磷</w:t>
            </w:r>
          </w:p>
        </w:tc>
        <w:tc>
          <w:tcPr>
            <w:tcW w:w="483" w:type="pct"/>
            <w:vMerge w:val="continue"/>
            <w:vAlign w:val="center"/>
          </w:tcPr>
          <w:p w14:paraId="26FAB389">
            <w:pPr>
              <w:pStyle w:val="58"/>
              <w:bidi w:val="0"/>
              <w:jc w:val="center"/>
              <w:rPr>
                <w:rFonts w:hint="default"/>
                <w:highlight w:val="none"/>
              </w:rPr>
            </w:pPr>
          </w:p>
        </w:tc>
        <w:tc>
          <w:tcPr>
            <w:tcW w:w="559" w:type="pct"/>
            <w:vMerge w:val="continue"/>
            <w:vAlign w:val="center"/>
          </w:tcPr>
          <w:p w14:paraId="780385A1">
            <w:pPr>
              <w:pStyle w:val="58"/>
              <w:bidi w:val="0"/>
              <w:jc w:val="center"/>
              <w:rPr>
                <w:rFonts w:hint="default"/>
                <w:highlight w:val="none"/>
              </w:rPr>
            </w:pPr>
          </w:p>
        </w:tc>
        <w:tc>
          <w:tcPr>
            <w:tcW w:w="808" w:type="pct"/>
            <w:vMerge w:val="continue"/>
            <w:vAlign w:val="center"/>
          </w:tcPr>
          <w:p w14:paraId="7A992757">
            <w:pPr>
              <w:pStyle w:val="58"/>
              <w:bidi w:val="0"/>
              <w:jc w:val="center"/>
              <w:rPr>
                <w:rFonts w:hint="default"/>
                <w:highlight w:val="none"/>
              </w:rPr>
            </w:pPr>
          </w:p>
        </w:tc>
        <w:tc>
          <w:tcPr>
            <w:tcW w:w="241" w:type="pct"/>
            <w:vMerge w:val="continue"/>
            <w:vAlign w:val="center"/>
          </w:tcPr>
          <w:p w14:paraId="6D47AB11">
            <w:pPr>
              <w:pStyle w:val="58"/>
              <w:bidi w:val="0"/>
              <w:jc w:val="center"/>
              <w:rPr>
                <w:rFonts w:hint="default"/>
                <w:highlight w:val="none"/>
              </w:rPr>
            </w:pPr>
          </w:p>
        </w:tc>
        <w:tc>
          <w:tcPr>
            <w:tcW w:w="646" w:type="pct"/>
            <w:vAlign w:val="center"/>
          </w:tcPr>
          <w:p w14:paraId="68435B56">
            <w:pPr>
              <w:pStyle w:val="58"/>
              <w:bidi w:val="0"/>
              <w:jc w:val="center"/>
              <w:rPr>
                <w:rFonts w:hint="default"/>
                <w:highlight w:val="none"/>
              </w:rPr>
            </w:pPr>
            <w:r>
              <w:rPr>
                <w:rFonts w:hint="default"/>
                <w:highlight w:val="none"/>
              </w:rPr>
              <w:t>总氮在线监测仪</w:t>
            </w:r>
          </w:p>
        </w:tc>
        <w:tc>
          <w:tcPr>
            <w:tcW w:w="304" w:type="pct"/>
            <w:vMerge w:val="continue"/>
            <w:vAlign w:val="center"/>
          </w:tcPr>
          <w:p w14:paraId="0A97C192">
            <w:pPr>
              <w:pStyle w:val="58"/>
              <w:bidi w:val="0"/>
              <w:jc w:val="center"/>
              <w:rPr>
                <w:rFonts w:hint="default"/>
                <w:highlight w:val="none"/>
              </w:rPr>
            </w:pPr>
          </w:p>
        </w:tc>
        <w:tc>
          <w:tcPr>
            <w:tcW w:w="623" w:type="pct"/>
            <w:vMerge w:val="continue"/>
            <w:vAlign w:val="center"/>
          </w:tcPr>
          <w:p w14:paraId="4CC0E8BF">
            <w:pPr>
              <w:pStyle w:val="58"/>
              <w:bidi w:val="0"/>
              <w:jc w:val="center"/>
              <w:rPr>
                <w:rFonts w:hint="default"/>
                <w:highlight w:val="none"/>
              </w:rPr>
            </w:pPr>
          </w:p>
        </w:tc>
      </w:tr>
      <w:tr w14:paraId="16819B1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7" w:hRule="atLeast"/>
        </w:trPr>
        <w:tc>
          <w:tcPr>
            <w:tcW w:w="275" w:type="pct"/>
            <w:vMerge w:val="continue"/>
            <w:vAlign w:val="center"/>
          </w:tcPr>
          <w:p w14:paraId="5A82D426">
            <w:pPr>
              <w:pStyle w:val="58"/>
              <w:bidi w:val="0"/>
              <w:jc w:val="center"/>
              <w:rPr>
                <w:rFonts w:hint="default"/>
                <w:highlight w:val="none"/>
              </w:rPr>
            </w:pPr>
          </w:p>
        </w:tc>
        <w:tc>
          <w:tcPr>
            <w:tcW w:w="479" w:type="pct"/>
            <w:vMerge w:val="continue"/>
            <w:vAlign w:val="center"/>
          </w:tcPr>
          <w:p w14:paraId="313FB804">
            <w:pPr>
              <w:pStyle w:val="58"/>
              <w:bidi w:val="0"/>
              <w:jc w:val="center"/>
              <w:rPr>
                <w:rFonts w:hint="default"/>
                <w:highlight w:val="none"/>
              </w:rPr>
            </w:pPr>
          </w:p>
        </w:tc>
        <w:tc>
          <w:tcPr>
            <w:tcW w:w="578" w:type="pct"/>
            <w:vAlign w:val="center"/>
          </w:tcPr>
          <w:p w14:paraId="65D770AE">
            <w:pPr>
              <w:pStyle w:val="58"/>
              <w:bidi w:val="0"/>
              <w:jc w:val="center"/>
              <w:rPr>
                <w:rFonts w:hint="default"/>
                <w:highlight w:val="none"/>
              </w:rPr>
            </w:pPr>
            <w:r>
              <w:rPr>
                <w:rFonts w:hint="default"/>
                <w:highlight w:val="none"/>
              </w:rPr>
              <w:t>SS</w:t>
            </w:r>
          </w:p>
        </w:tc>
        <w:tc>
          <w:tcPr>
            <w:tcW w:w="483" w:type="pct"/>
            <w:vMerge w:val="restart"/>
            <w:vAlign w:val="center"/>
          </w:tcPr>
          <w:p w14:paraId="21F63464">
            <w:pPr>
              <w:pStyle w:val="58"/>
              <w:bidi w:val="0"/>
              <w:jc w:val="center"/>
              <w:rPr>
                <w:rFonts w:hint="default"/>
                <w:highlight w:val="none"/>
              </w:rPr>
            </w:pPr>
            <w:r>
              <w:rPr>
                <w:rFonts w:hint="default"/>
                <w:highlight w:val="none"/>
              </w:rPr>
              <w:t>□自动</w:t>
            </w:r>
            <w:r>
              <w:rPr>
                <w:rFonts w:hint="eastAsia"/>
                <w:highlight w:val="none"/>
                <w:lang w:eastAsia="zh-CN"/>
              </w:rPr>
              <w:t>☑</w:t>
            </w:r>
            <w:r>
              <w:rPr>
                <w:rFonts w:hint="default"/>
                <w:highlight w:val="none"/>
              </w:rPr>
              <w:t>手动</w:t>
            </w:r>
          </w:p>
        </w:tc>
        <w:tc>
          <w:tcPr>
            <w:tcW w:w="559" w:type="pct"/>
            <w:vMerge w:val="restart"/>
            <w:vAlign w:val="center"/>
          </w:tcPr>
          <w:p w14:paraId="180E002B">
            <w:pPr>
              <w:pStyle w:val="58"/>
              <w:bidi w:val="0"/>
              <w:jc w:val="center"/>
              <w:rPr>
                <w:rFonts w:hint="default"/>
                <w:highlight w:val="none"/>
              </w:rPr>
            </w:pPr>
            <w:r>
              <w:rPr>
                <w:rFonts w:hint="default"/>
                <w:highlight w:val="none"/>
              </w:rPr>
              <w:t>/</w:t>
            </w:r>
          </w:p>
        </w:tc>
        <w:tc>
          <w:tcPr>
            <w:tcW w:w="808" w:type="pct"/>
            <w:vMerge w:val="restart"/>
            <w:vAlign w:val="center"/>
          </w:tcPr>
          <w:p w14:paraId="300612B3">
            <w:pPr>
              <w:pStyle w:val="58"/>
              <w:bidi w:val="0"/>
              <w:jc w:val="center"/>
              <w:rPr>
                <w:rFonts w:hint="default"/>
                <w:highlight w:val="none"/>
              </w:rPr>
            </w:pPr>
            <w:r>
              <w:rPr>
                <w:rFonts w:hint="default"/>
                <w:highlight w:val="none"/>
              </w:rPr>
              <w:t>/</w:t>
            </w:r>
          </w:p>
        </w:tc>
        <w:tc>
          <w:tcPr>
            <w:tcW w:w="241" w:type="pct"/>
            <w:vMerge w:val="restart"/>
            <w:vAlign w:val="center"/>
          </w:tcPr>
          <w:p w14:paraId="0D66CFAC">
            <w:pPr>
              <w:pStyle w:val="58"/>
              <w:bidi w:val="0"/>
              <w:jc w:val="center"/>
              <w:rPr>
                <w:rFonts w:hint="default"/>
                <w:highlight w:val="none"/>
              </w:rPr>
            </w:pPr>
            <w:r>
              <w:rPr>
                <w:rFonts w:hint="default"/>
                <w:highlight w:val="none"/>
              </w:rPr>
              <w:t>/</w:t>
            </w:r>
          </w:p>
        </w:tc>
        <w:tc>
          <w:tcPr>
            <w:tcW w:w="646" w:type="pct"/>
            <w:vMerge w:val="restart"/>
            <w:vAlign w:val="center"/>
          </w:tcPr>
          <w:p w14:paraId="12DDDAB5">
            <w:pPr>
              <w:pStyle w:val="58"/>
              <w:bidi w:val="0"/>
              <w:jc w:val="center"/>
              <w:rPr>
                <w:rFonts w:hint="default"/>
                <w:highlight w:val="none"/>
              </w:rPr>
            </w:pPr>
            <w:r>
              <w:rPr>
                <w:rFonts w:hint="default"/>
                <w:highlight w:val="none"/>
              </w:rPr>
              <w:t>/</w:t>
            </w:r>
          </w:p>
        </w:tc>
        <w:tc>
          <w:tcPr>
            <w:tcW w:w="304" w:type="pct"/>
            <w:vMerge w:val="restart"/>
            <w:vAlign w:val="center"/>
          </w:tcPr>
          <w:p w14:paraId="14BF2BE4">
            <w:pPr>
              <w:pStyle w:val="58"/>
              <w:bidi w:val="0"/>
              <w:jc w:val="center"/>
              <w:rPr>
                <w:rFonts w:hint="default"/>
                <w:highlight w:val="none"/>
              </w:rPr>
            </w:pPr>
            <w:r>
              <w:rPr>
                <w:rFonts w:hint="default"/>
                <w:highlight w:val="none"/>
              </w:rPr>
              <w:t>混合采样(4个)</w:t>
            </w:r>
          </w:p>
        </w:tc>
        <w:tc>
          <w:tcPr>
            <w:tcW w:w="623" w:type="pct"/>
            <w:vMerge w:val="restart"/>
            <w:vAlign w:val="center"/>
          </w:tcPr>
          <w:p w14:paraId="06655DC0">
            <w:pPr>
              <w:pStyle w:val="58"/>
              <w:bidi w:val="0"/>
              <w:jc w:val="center"/>
              <w:rPr>
                <w:rFonts w:hint="default"/>
                <w:highlight w:val="none"/>
              </w:rPr>
            </w:pPr>
            <w:r>
              <w:rPr>
                <w:rFonts w:hint="default"/>
                <w:highlight w:val="none"/>
              </w:rPr>
              <w:t>每</w:t>
            </w:r>
            <w:r>
              <w:rPr>
                <w:rFonts w:hint="eastAsia"/>
                <w:highlight w:val="none"/>
                <w:lang w:val="en-US" w:eastAsia="zh-CN"/>
              </w:rPr>
              <w:t>季度</w:t>
            </w:r>
            <w:r>
              <w:rPr>
                <w:rFonts w:hint="default"/>
                <w:highlight w:val="none"/>
              </w:rPr>
              <w:t>1次</w:t>
            </w:r>
          </w:p>
        </w:tc>
      </w:tr>
      <w:tr w14:paraId="4B2123D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7" w:hRule="atLeast"/>
        </w:trPr>
        <w:tc>
          <w:tcPr>
            <w:tcW w:w="275" w:type="pct"/>
            <w:vMerge w:val="continue"/>
            <w:vAlign w:val="center"/>
          </w:tcPr>
          <w:p w14:paraId="707332A9">
            <w:pPr>
              <w:pStyle w:val="58"/>
              <w:bidi w:val="0"/>
              <w:jc w:val="center"/>
              <w:rPr>
                <w:rFonts w:hint="default"/>
                <w:highlight w:val="none"/>
              </w:rPr>
            </w:pPr>
          </w:p>
        </w:tc>
        <w:tc>
          <w:tcPr>
            <w:tcW w:w="479" w:type="pct"/>
            <w:vMerge w:val="continue"/>
            <w:vAlign w:val="center"/>
          </w:tcPr>
          <w:p w14:paraId="015A233B">
            <w:pPr>
              <w:pStyle w:val="58"/>
              <w:bidi w:val="0"/>
              <w:jc w:val="center"/>
              <w:rPr>
                <w:rFonts w:hint="default"/>
                <w:highlight w:val="none"/>
              </w:rPr>
            </w:pPr>
          </w:p>
        </w:tc>
        <w:tc>
          <w:tcPr>
            <w:tcW w:w="578" w:type="pct"/>
            <w:vAlign w:val="center"/>
          </w:tcPr>
          <w:p w14:paraId="6DF80FD4">
            <w:pPr>
              <w:pStyle w:val="58"/>
              <w:bidi w:val="0"/>
              <w:jc w:val="center"/>
              <w:rPr>
                <w:rFonts w:hint="default"/>
                <w:highlight w:val="none"/>
              </w:rPr>
            </w:pPr>
            <w:r>
              <w:rPr>
                <w:rFonts w:hint="default"/>
                <w:highlight w:val="none"/>
              </w:rPr>
              <w:t>色度</w:t>
            </w:r>
          </w:p>
        </w:tc>
        <w:tc>
          <w:tcPr>
            <w:tcW w:w="483" w:type="pct"/>
            <w:vMerge w:val="continue"/>
            <w:vAlign w:val="center"/>
          </w:tcPr>
          <w:p w14:paraId="2A714E84">
            <w:pPr>
              <w:pStyle w:val="58"/>
              <w:bidi w:val="0"/>
              <w:jc w:val="center"/>
              <w:rPr>
                <w:rFonts w:hint="default"/>
                <w:highlight w:val="none"/>
              </w:rPr>
            </w:pPr>
          </w:p>
        </w:tc>
        <w:tc>
          <w:tcPr>
            <w:tcW w:w="559" w:type="pct"/>
            <w:vMerge w:val="continue"/>
            <w:vAlign w:val="center"/>
          </w:tcPr>
          <w:p w14:paraId="14FCC633">
            <w:pPr>
              <w:pStyle w:val="58"/>
              <w:bidi w:val="0"/>
              <w:jc w:val="center"/>
              <w:rPr>
                <w:rFonts w:hint="default"/>
                <w:highlight w:val="none"/>
              </w:rPr>
            </w:pPr>
          </w:p>
        </w:tc>
        <w:tc>
          <w:tcPr>
            <w:tcW w:w="808" w:type="pct"/>
            <w:vMerge w:val="continue"/>
            <w:vAlign w:val="center"/>
          </w:tcPr>
          <w:p w14:paraId="727DE31F">
            <w:pPr>
              <w:pStyle w:val="58"/>
              <w:bidi w:val="0"/>
              <w:jc w:val="center"/>
              <w:rPr>
                <w:rFonts w:hint="default"/>
                <w:highlight w:val="none"/>
              </w:rPr>
            </w:pPr>
          </w:p>
        </w:tc>
        <w:tc>
          <w:tcPr>
            <w:tcW w:w="241" w:type="pct"/>
            <w:vMerge w:val="continue"/>
            <w:vAlign w:val="center"/>
          </w:tcPr>
          <w:p w14:paraId="3C717B7C">
            <w:pPr>
              <w:pStyle w:val="58"/>
              <w:bidi w:val="0"/>
              <w:jc w:val="center"/>
              <w:rPr>
                <w:rFonts w:hint="default"/>
                <w:highlight w:val="none"/>
              </w:rPr>
            </w:pPr>
          </w:p>
        </w:tc>
        <w:tc>
          <w:tcPr>
            <w:tcW w:w="646" w:type="pct"/>
            <w:vMerge w:val="continue"/>
            <w:vAlign w:val="center"/>
          </w:tcPr>
          <w:p w14:paraId="642FC61F">
            <w:pPr>
              <w:pStyle w:val="58"/>
              <w:bidi w:val="0"/>
              <w:jc w:val="center"/>
              <w:rPr>
                <w:rFonts w:hint="default"/>
                <w:highlight w:val="none"/>
              </w:rPr>
            </w:pPr>
          </w:p>
        </w:tc>
        <w:tc>
          <w:tcPr>
            <w:tcW w:w="304" w:type="pct"/>
            <w:vMerge w:val="continue"/>
            <w:vAlign w:val="center"/>
          </w:tcPr>
          <w:p w14:paraId="7FAD7015">
            <w:pPr>
              <w:pStyle w:val="58"/>
              <w:bidi w:val="0"/>
              <w:jc w:val="center"/>
              <w:rPr>
                <w:rFonts w:hint="default"/>
                <w:highlight w:val="none"/>
              </w:rPr>
            </w:pPr>
          </w:p>
        </w:tc>
        <w:tc>
          <w:tcPr>
            <w:tcW w:w="623" w:type="pct"/>
            <w:vMerge w:val="continue"/>
            <w:vAlign w:val="center"/>
          </w:tcPr>
          <w:p w14:paraId="40643EDA">
            <w:pPr>
              <w:pStyle w:val="58"/>
              <w:bidi w:val="0"/>
              <w:jc w:val="center"/>
              <w:rPr>
                <w:rFonts w:hint="default"/>
                <w:highlight w:val="none"/>
              </w:rPr>
            </w:pPr>
          </w:p>
        </w:tc>
      </w:tr>
      <w:tr w14:paraId="74BE125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7" w:hRule="atLeast"/>
        </w:trPr>
        <w:tc>
          <w:tcPr>
            <w:tcW w:w="275" w:type="pct"/>
            <w:vMerge w:val="continue"/>
            <w:vAlign w:val="center"/>
          </w:tcPr>
          <w:p w14:paraId="1158D6A7">
            <w:pPr>
              <w:pStyle w:val="58"/>
              <w:bidi w:val="0"/>
              <w:jc w:val="center"/>
              <w:rPr>
                <w:rFonts w:hint="default"/>
                <w:highlight w:val="none"/>
              </w:rPr>
            </w:pPr>
          </w:p>
        </w:tc>
        <w:tc>
          <w:tcPr>
            <w:tcW w:w="479" w:type="pct"/>
            <w:vMerge w:val="continue"/>
            <w:vAlign w:val="center"/>
          </w:tcPr>
          <w:p w14:paraId="6BC6F17F">
            <w:pPr>
              <w:pStyle w:val="58"/>
              <w:bidi w:val="0"/>
              <w:jc w:val="center"/>
              <w:rPr>
                <w:rFonts w:hint="default"/>
                <w:highlight w:val="none"/>
              </w:rPr>
            </w:pPr>
          </w:p>
        </w:tc>
        <w:tc>
          <w:tcPr>
            <w:tcW w:w="578" w:type="pct"/>
            <w:vAlign w:val="center"/>
          </w:tcPr>
          <w:p w14:paraId="7F9A89E9">
            <w:pPr>
              <w:pStyle w:val="58"/>
              <w:bidi w:val="0"/>
              <w:jc w:val="center"/>
              <w:rPr>
                <w:rFonts w:hint="default"/>
                <w:highlight w:val="none"/>
              </w:rPr>
            </w:pPr>
            <w:r>
              <w:rPr>
                <w:rFonts w:hint="default"/>
                <w:highlight w:val="none"/>
              </w:rPr>
              <w:t>BOD</w:t>
            </w:r>
            <w:r>
              <w:rPr>
                <w:rFonts w:hint="default"/>
                <w:highlight w:val="none"/>
                <w:vertAlign w:val="subscript"/>
              </w:rPr>
              <w:t>5</w:t>
            </w:r>
          </w:p>
        </w:tc>
        <w:tc>
          <w:tcPr>
            <w:tcW w:w="483" w:type="pct"/>
            <w:vMerge w:val="continue"/>
            <w:vAlign w:val="center"/>
          </w:tcPr>
          <w:p w14:paraId="2BEDC1BA">
            <w:pPr>
              <w:pStyle w:val="58"/>
              <w:bidi w:val="0"/>
              <w:jc w:val="center"/>
              <w:rPr>
                <w:rFonts w:hint="default"/>
                <w:highlight w:val="none"/>
              </w:rPr>
            </w:pPr>
          </w:p>
        </w:tc>
        <w:tc>
          <w:tcPr>
            <w:tcW w:w="559" w:type="pct"/>
            <w:vMerge w:val="continue"/>
            <w:vAlign w:val="center"/>
          </w:tcPr>
          <w:p w14:paraId="4EE610FB">
            <w:pPr>
              <w:pStyle w:val="58"/>
              <w:bidi w:val="0"/>
              <w:jc w:val="center"/>
              <w:rPr>
                <w:rFonts w:hint="default"/>
                <w:highlight w:val="none"/>
              </w:rPr>
            </w:pPr>
          </w:p>
        </w:tc>
        <w:tc>
          <w:tcPr>
            <w:tcW w:w="808" w:type="pct"/>
            <w:vMerge w:val="continue"/>
            <w:vAlign w:val="center"/>
          </w:tcPr>
          <w:p w14:paraId="246A4975">
            <w:pPr>
              <w:pStyle w:val="58"/>
              <w:bidi w:val="0"/>
              <w:jc w:val="center"/>
              <w:rPr>
                <w:rFonts w:hint="default"/>
                <w:highlight w:val="none"/>
              </w:rPr>
            </w:pPr>
          </w:p>
        </w:tc>
        <w:tc>
          <w:tcPr>
            <w:tcW w:w="241" w:type="pct"/>
            <w:vMerge w:val="continue"/>
            <w:vAlign w:val="center"/>
          </w:tcPr>
          <w:p w14:paraId="5D570E5A">
            <w:pPr>
              <w:pStyle w:val="58"/>
              <w:bidi w:val="0"/>
              <w:jc w:val="center"/>
              <w:rPr>
                <w:rFonts w:hint="default"/>
                <w:highlight w:val="none"/>
              </w:rPr>
            </w:pPr>
          </w:p>
        </w:tc>
        <w:tc>
          <w:tcPr>
            <w:tcW w:w="646" w:type="pct"/>
            <w:vMerge w:val="continue"/>
            <w:vAlign w:val="center"/>
          </w:tcPr>
          <w:p w14:paraId="5058F19F">
            <w:pPr>
              <w:pStyle w:val="58"/>
              <w:bidi w:val="0"/>
              <w:jc w:val="center"/>
              <w:rPr>
                <w:rFonts w:hint="default"/>
                <w:highlight w:val="none"/>
              </w:rPr>
            </w:pPr>
          </w:p>
        </w:tc>
        <w:tc>
          <w:tcPr>
            <w:tcW w:w="304" w:type="pct"/>
            <w:vMerge w:val="continue"/>
            <w:vAlign w:val="center"/>
          </w:tcPr>
          <w:p w14:paraId="3884BF0B">
            <w:pPr>
              <w:pStyle w:val="58"/>
              <w:bidi w:val="0"/>
              <w:jc w:val="center"/>
              <w:rPr>
                <w:rFonts w:hint="default"/>
                <w:highlight w:val="none"/>
              </w:rPr>
            </w:pPr>
          </w:p>
        </w:tc>
        <w:tc>
          <w:tcPr>
            <w:tcW w:w="623" w:type="pct"/>
            <w:vMerge w:val="continue"/>
            <w:vAlign w:val="center"/>
          </w:tcPr>
          <w:p w14:paraId="130842B1">
            <w:pPr>
              <w:pStyle w:val="58"/>
              <w:bidi w:val="0"/>
              <w:jc w:val="center"/>
              <w:rPr>
                <w:rFonts w:hint="default"/>
                <w:highlight w:val="none"/>
              </w:rPr>
            </w:pPr>
          </w:p>
        </w:tc>
      </w:tr>
      <w:tr w14:paraId="62F6691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7" w:hRule="atLeast"/>
        </w:trPr>
        <w:tc>
          <w:tcPr>
            <w:tcW w:w="275" w:type="pct"/>
            <w:vMerge w:val="continue"/>
            <w:vAlign w:val="center"/>
          </w:tcPr>
          <w:p w14:paraId="29F2A1B6">
            <w:pPr>
              <w:pStyle w:val="58"/>
              <w:bidi w:val="0"/>
              <w:jc w:val="center"/>
              <w:rPr>
                <w:rFonts w:hint="default"/>
                <w:highlight w:val="none"/>
              </w:rPr>
            </w:pPr>
          </w:p>
        </w:tc>
        <w:tc>
          <w:tcPr>
            <w:tcW w:w="479" w:type="pct"/>
            <w:vMerge w:val="continue"/>
            <w:vAlign w:val="center"/>
          </w:tcPr>
          <w:p w14:paraId="2B398953">
            <w:pPr>
              <w:pStyle w:val="58"/>
              <w:bidi w:val="0"/>
              <w:jc w:val="center"/>
              <w:rPr>
                <w:rFonts w:hint="default"/>
                <w:highlight w:val="none"/>
              </w:rPr>
            </w:pPr>
          </w:p>
        </w:tc>
        <w:tc>
          <w:tcPr>
            <w:tcW w:w="578" w:type="pct"/>
            <w:vAlign w:val="center"/>
          </w:tcPr>
          <w:p w14:paraId="6F9D5E3C">
            <w:pPr>
              <w:pStyle w:val="58"/>
              <w:bidi w:val="0"/>
              <w:jc w:val="center"/>
              <w:rPr>
                <w:rFonts w:hint="default"/>
                <w:highlight w:val="none"/>
              </w:rPr>
            </w:pPr>
            <w:r>
              <w:rPr>
                <w:rFonts w:hint="default"/>
                <w:highlight w:val="none"/>
              </w:rPr>
              <w:t>动植物油</w:t>
            </w:r>
          </w:p>
        </w:tc>
        <w:tc>
          <w:tcPr>
            <w:tcW w:w="483" w:type="pct"/>
            <w:vMerge w:val="continue"/>
            <w:vAlign w:val="center"/>
          </w:tcPr>
          <w:p w14:paraId="1CB4E984">
            <w:pPr>
              <w:pStyle w:val="58"/>
              <w:bidi w:val="0"/>
              <w:jc w:val="center"/>
              <w:rPr>
                <w:rFonts w:hint="default"/>
                <w:highlight w:val="none"/>
              </w:rPr>
            </w:pPr>
          </w:p>
        </w:tc>
        <w:tc>
          <w:tcPr>
            <w:tcW w:w="559" w:type="pct"/>
            <w:vMerge w:val="continue"/>
            <w:vAlign w:val="center"/>
          </w:tcPr>
          <w:p w14:paraId="0C584DDE">
            <w:pPr>
              <w:pStyle w:val="58"/>
              <w:bidi w:val="0"/>
              <w:jc w:val="center"/>
              <w:rPr>
                <w:rFonts w:hint="default"/>
                <w:highlight w:val="none"/>
              </w:rPr>
            </w:pPr>
          </w:p>
        </w:tc>
        <w:tc>
          <w:tcPr>
            <w:tcW w:w="808" w:type="pct"/>
            <w:vMerge w:val="continue"/>
            <w:vAlign w:val="center"/>
          </w:tcPr>
          <w:p w14:paraId="1568BC6C">
            <w:pPr>
              <w:pStyle w:val="58"/>
              <w:bidi w:val="0"/>
              <w:jc w:val="center"/>
              <w:rPr>
                <w:rFonts w:hint="default"/>
                <w:highlight w:val="none"/>
              </w:rPr>
            </w:pPr>
          </w:p>
        </w:tc>
        <w:tc>
          <w:tcPr>
            <w:tcW w:w="241" w:type="pct"/>
            <w:vMerge w:val="continue"/>
            <w:vAlign w:val="center"/>
          </w:tcPr>
          <w:p w14:paraId="2440228C">
            <w:pPr>
              <w:pStyle w:val="58"/>
              <w:bidi w:val="0"/>
              <w:jc w:val="center"/>
              <w:rPr>
                <w:rFonts w:hint="default"/>
                <w:highlight w:val="none"/>
              </w:rPr>
            </w:pPr>
          </w:p>
        </w:tc>
        <w:tc>
          <w:tcPr>
            <w:tcW w:w="646" w:type="pct"/>
            <w:vMerge w:val="continue"/>
            <w:vAlign w:val="center"/>
          </w:tcPr>
          <w:p w14:paraId="3878FEA4">
            <w:pPr>
              <w:pStyle w:val="58"/>
              <w:bidi w:val="0"/>
              <w:jc w:val="center"/>
              <w:rPr>
                <w:rFonts w:hint="default"/>
                <w:highlight w:val="none"/>
              </w:rPr>
            </w:pPr>
          </w:p>
        </w:tc>
        <w:tc>
          <w:tcPr>
            <w:tcW w:w="304" w:type="pct"/>
            <w:vMerge w:val="continue"/>
            <w:vAlign w:val="center"/>
          </w:tcPr>
          <w:p w14:paraId="4DC8BBE1">
            <w:pPr>
              <w:pStyle w:val="58"/>
              <w:bidi w:val="0"/>
              <w:jc w:val="center"/>
              <w:rPr>
                <w:rFonts w:hint="default"/>
                <w:highlight w:val="none"/>
              </w:rPr>
            </w:pPr>
          </w:p>
        </w:tc>
        <w:tc>
          <w:tcPr>
            <w:tcW w:w="623" w:type="pct"/>
            <w:vMerge w:val="continue"/>
            <w:vAlign w:val="center"/>
          </w:tcPr>
          <w:p w14:paraId="28977F4B">
            <w:pPr>
              <w:pStyle w:val="58"/>
              <w:bidi w:val="0"/>
              <w:jc w:val="center"/>
              <w:rPr>
                <w:rFonts w:hint="default"/>
                <w:highlight w:val="none"/>
              </w:rPr>
            </w:pPr>
          </w:p>
        </w:tc>
      </w:tr>
      <w:tr w14:paraId="259F763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7" w:hRule="atLeast"/>
        </w:trPr>
        <w:tc>
          <w:tcPr>
            <w:tcW w:w="275" w:type="pct"/>
            <w:vMerge w:val="continue"/>
            <w:vAlign w:val="center"/>
          </w:tcPr>
          <w:p w14:paraId="560F64E6">
            <w:pPr>
              <w:pStyle w:val="58"/>
              <w:bidi w:val="0"/>
              <w:jc w:val="center"/>
              <w:rPr>
                <w:rFonts w:hint="default"/>
                <w:highlight w:val="none"/>
              </w:rPr>
            </w:pPr>
          </w:p>
        </w:tc>
        <w:tc>
          <w:tcPr>
            <w:tcW w:w="479" w:type="pct"/>
            <w:vMerge w:val="continue"/>
            <w:vAlign w:val="center"/>
          </w:tcPr>
          <w:p w14:paraId="4B6F40FC">
            <w:pPr>
              <w:pStyle w:val="58"/>
              <w:bidi w:val="0"/>
              <w:jc w:val="center"/>
              <w:rPr>
                <w:rFonts w:hint="default"/>
                <w:highlight w:val="none"/>
              </w:rPr>
            </w:pPr>
          </w:p>
        </w:tc>
        <w:tc>
          <w:tcPr>
            <w:tcW w:w="578" w:type="pct"/>
            <w:vAlign w:val="center"/>
          </w:tcPr>
          <w:p w14:paraId="59BB6472">
            <w:pPr>
              <w:pStyle w:val="58"/>
              <w:bidi w:val="0"/>
              <w:jc w:val="center"/>
              <w:rPr>
                <w:rFonts w:hint="default"/>
                <w:highlight w:val="none"/>
              </w:rPr>
            </w:pPr>
            <w:r>
              <w:rPr>
                <w:rFonts w:hint="default"/>
                <w:highlight w:val="none"/>
              </w:rPr>
              <w:t>石油类</w:t>
            </w:r>
          </w:p>
        </w:tc>
        <w:tc>
          <w:tcPr>
            <w:tcW w:w="483" w:type="pct"/>
            <w:vMerge w:val="continue"/>
            <w:vAlign w:val="center"/>
          </w:tcPr>
          <w:p w14:paraId="16AEE87B">
            <w:pPr>
              <w:pStyle w:val="58"/>
              <w:bidi w:val="0"/>
              <w:jc w:val="center"/>
              <w:rPr>
                <w:rFonts w:hint="default"/>
                <w:highlight w:val="none"/>
              </w:rPr>
            </w:pPr>
          </w:p>
        </w:tc>
        <w:tc>
          <w:tcPr>
            <w:tcW w:w="559" w:type="pct"/>
            <w:vMerge w:val="continue"/>
            <w:vAlign w:val="center"/>
          </w:tcPr>
          <w:p w14:paraId="5E1A7992">
            <w:pPr>
              <w:pStyle w:val="58"/>
              <w:bidi w:val="0"/>
              <w:jc w:val="center"/>
              <w:rPr>
                <w:rFonts w:hint="default"/>
                <w:highlight w:val="none"/>
              </w:rPr>
            </w:pPr>
          </w:p>
        </w:tc>
        <w:tc>
          <w:tcPr>
            <w:tcW w:w="808" w:type="pct"/>
            <w:vMerge w:val="continue"/>
            <w:vAlign w:val="center"/>
          </w:tcPr>
          <w:p w14:paraId="03A93126">
            <w:pPr>
              <w:pStyle w:val="58"/>
              <w:bidi w:val="0"/>
              <w:jc w:val="center"/>
              <w:rPr>
                <w:rFonts w:hint="default"/>
                <w:highlight w:val="none"/>
              </w:rPr>
            </w:pPr>
          </w:p>
        </w:tc>
        <w:tc>
          <w:tcPr>
            <w:tcW w:w="241" w:type="pct"/>
            <w:vMerge w:val="continue"/>
            <w:vAlign w:val="center"/>
          </w:tcPr>
          <w:p w14:paraId="2ADCCA9D">
            <w:pPr>
              <w:pStyle w:val="58"/>
              <w:bidi w:val="0"/>
              <w:jc w:val="center"/>
              <w:rPr>
                <w:rFonts w:hint="default"/>
                <w:highlight w:val="none"/>
              </w:rPr>
            </w:pPr>
          </w:p>
        </w:tc>
        <w:tc>
          <w:tcPr>
            <w:tcW w:w="646" w:type="pct"/>
            <w:vMerge w:val="continue"/>
            <w:vAlign w:val="center"/>
          </w:tcPr>
          <w:p w14:paraId="151102DF">
            <w:pPr>
              <w:pStyle w:val="58"/>
              <w:bidi w:val="0"/>
              <w:jc w:val="center"/>
              <w:rPr>
                <w:rFonts w:hint="default"/>
                <w:highlight w:val="none"/>
              </w:rPr>
            </w:pPr>
          </w:p>
        </w:tc>
        <w:tc>
          <w:tcPr>
            <w:tcW w:w="304" w:type="pct"/>
            <w:vMerge w:val="continue"/>
            <w:vAlign w:val="center"/>
          </w:tcPr>
          <w:p w14:paraId="57B322FA">
            <w:pPr>
              <w:pStyle w:val="58"/>
              <w:bidi w:val="0"/>
              <w:jc w:val="center"/>
              <w:rPr>
                <w:rFonts w:hint="default"/>
                <w:highlight w:val="none"/>
              </w:rPr>
            </w:pPr>
          </w:p>
        </w:tc>
        <w:tc>
          <w:tcPr>
            <w:tcW w:w="623" w:type="pct"/>
            <w:vMerge w:val="continue"/>
            <w:vAlign w:val="center"/>
          </w:tcPr>
          <w:p w14:paraId="0AC9234D">
            <w:pPr>
              <w:pStyle w:val="58"/>
              <w:bidi w:val="0"/>
              <w:jc w:val="center"/>
              <w:rPr>
                <w:rFonts w:hint="default"/>
                <w:highlight w:val="none"/>
              </w:rPr>
            </w:pPr>
          </w:p>
        </w:tc>
      </w:tr>
      <w:tr w14:paraId="3AF565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7" w:hRule="atLeast"/>
        </w:trPr>
        <w:tc>
          <w:tcPr>
            <w:tcW w:w="275" w:type="pct"/>
            <w:vMerge w:val="continue"/>
            <w:vAlign w:val="center"/>
          </w:tcPr>
          <w:p w14:paraId="6B5A55F2">
            <w:pPr>
              <w:pStyle w:val="58"/>
              <w:bidi w:val="0"/>
              <w:jc w:val="center"/>
              <w:rPr>
                <w:rFonts w:hint="default"/>
                <w:highlight w:val="none"/>
              </w:rPr>
            </w:pPr>
          </w:p>
        </w:tc>
        <w:tc>
          <w:tcPr>
            <w:tcW w:w="479" w:type="pct"/>
            <w:vMerge w:val="continue"/>
            <w:vAlign w:val="center"/>
          </w:tcPr>
          <w:p w14:paraId="2FA3AB25">
            <w:pPr>
              <w:pStyle w:val="58"/>
              <w:bidi w:val="0"/>
              <w:jc w:val="center"/>
              <w:rPr>
                <w:rFonts w:hint="default"/>
                <w:highlight w:val="none"/>
              </w:rPr>
            </w:pPr>
          </w:p>
        </w:tc>
        <w:tc>
          <w:tcPr>
            <w:tcW w:w="578" w:type="pct"/>
            <w:vAlign w:val="center"/>
          </w:tcPr>
          <w:p w14:paraId="3C2C9F5C">
            <w:pPr>
              <w:pStyle w:val="58"/>
              <w:bidi w:val="0"/>
              <w:ind w:firstLine="0" w:firstLineChars="0"/>
              <w:jc w:val="center"/>
              <w:rPr>
                <w:rFonts w:hint="default"/>
                <w:highlight w:val="none"/>
              </w:rPr>
            </w:pPr>
            <w:r>
              <w:rPr>
                <w:rFonts w:hint="default"/>
                <w:highlight w:val="none"/>
              </w:rPr>
              <w:t>粪大肠菌群</w:t>
            </w:r>
          </w:p>
        </w:tc>
        <w:tc>
          <w:tcPr>
            <w:tcW w:w="483" w:type="pct"/>
            <w:vMerge w:val="continue"/>
            <w:vAlign w:val="center"/>
          </w:tcPr>
          <w:p w14:paraId="23E47DDF">
            <w:pPr>
              <w:pStyle w:val="58"/>
              <w:bidi w:val="0"/>
              <w:jc w:val="center"/>
              <w:rPr>
                <w:rFonts w:hint="default"/>
                <w:highlight w:val="none"/>
              </w:rPr>
            </w:pPr>
          </w:p>
        </w:tc>
        <w:tc>
          <w:tcPr>
            <w:tcW w:w="559" w:type="pct"/>
            <w:vMerge w:val="continue"/>
            <w:vAlign w:val="center"/>
          </w:tcPr>
          <w:p w14:paraId="18B6FAF3">
            <w:pPr>
              <w:pStyle w:val="58"/>
              <w:bidi w:val="0"/>
              <w:jc w:val="center"/>
              <w:rPr>
                <w:rFonts w:hint="default"/>
                <w:highlight w:val="none"/>
              </w:rPr>
            </w:pPr>
          </w:p>
        </w:tc>
        <w:tc>
          <w:tcPr>
            <w:tcW w:w="808" w:type="pct"/>
            <w:vMerge w:val="continue"/>
            <w:vAlign w:val="center"/>
          </w:tcPr>
          <w:p w14:paraId="6128A0A3">
            <w:pPr>
              <w:pStyle w:val="58"/>
              <w:bidi w:val="0"/>
              <w:jc w:val="center"/>
              <w:rPr>
                <w:rFonts w:hint="default"/>
                <w:highlight w:val="none"/>
              </w:rPr>
            </w:pPr>
          </w:p>
        </w:tc>
        <w:tc>
          <w:tcPr>
            <w:tcW w:w="241" w:type="pct"/>
            <w:vMerge w:val="continue"/>
            <w:vAlign w:val="center"/>
          </w:tcPr>
          <w:p w14:paraId="476C43D3">
            <w:pPr>
              <w:pStyle w:val="58"/>
              <w:bidi w:val="0"/>
              <w:jc w:val="center"/>
              <w:rPr>
                <w:rFonts w:hint="default"/>
                <w:highlight w:val="none"/>
              </w:rPr>
            </w:pPr>
          </w:p>
        </w:tc>
        <w:tc>
          <w:tcPr>
            <w:tcW w:w="646" w:type="pct"/>
            <w:vMerge w:val="continue"/>
            <w:vAlign w:val="center"/>
          </w:tcPr>
          <w:p w14:paraId="66D0B6A1">
            <w:pPr>
              <w:pStyle w:val="58"/>
              <w:bidi w:val="0"/>
              <w:jc w:val="center"/>
              <w:rPr>
                <w:rFonts w:hint="default"/>
                <w:highlight w:val="none"/>
              </w:rPr>
            </w:pPr>
          </w:p>
        </w:tc>
        <w:tc>
          <w:tcPr>
            <w:tcW w:w="304" w:type="pct"/>
            <w:vMerge w:val="continue"/>
            <w:vAlign w:val="center"/>
          </w:tcPr>
          <w:p w14:paraId="58CA532B">
            <w:pPr>
              <w:pStyle w:val="58"/>
              <w:bidi w:val="0"/>
              <w:jc w:val="center"/>
              <w:rPr>
                <w:rFonts w:hint="default"/>
                <w:highlight w:val="none"/>
              </w:rPr>
            </w:pPr>
          </w:p>
        </w:tc>
        <w:tc>
          <w:tcPr>
            <w:tcW w:w="623" w:type="pct"/>
            <w:vMerge w:val="continue"/>
            <w:vAlign w:val="center"/>
          </w:tcPr>
          <w:p w14:paraId="5399087C">
            <w:pPr>
              <w:pStyle w:val="58"/>
              <w:bidi w:val="0"/>
              <w:jc w:val="center"/>
              <w:rPr>
                <w:rFonts w:hint="default"/>
                <w:highlight w:val="none"/>
              </w:rPr>
            </w:pPr>
          </w:p>
        </w:tc>
      </w:tr>
      <w:tr w14:paraId="244FDB3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7" w:hRule="atLeast"/>
        </w:trPr>
        <w:tc>
          <w:tcPr>
            <w:tcW w:w="275" w:type="pct"/>
            <w:vMerge w:val="continue"/>
            <w:vAlign w:val="center"/>
          </w:tcPr>
          <w:p w14:paraId="605B49E4">
            <w:pPr>
              <w:pStyle w:val="58"/>
              <w:bidi w:val="0"/>
              <w:jc w:val="center"/>
              <w:rPr>
                <w:rFonts w:hint="default"/>
                <w:highlight w:val="none"/>
              </w:rPr>
            </w:pPr>
          </w:p>
        </w:tc>
        <w:tc>
          <w:tcPr>
            <w:tcW w:w="479" w:type="pct"/>
            <w:vMerge w:val="continue"/>
            <w:vAlign w:val="center"/>
          </w:tcPr>
          <w:p w14:paraId="104DB18F">
            <w:pPr>
              <w:pStyle w:val="58"/>
              <w:bidi w:val="0"/>
              <w:jc w:val="center"/>
              <w:rPr>
                <w:rFonts w:hint="default"/>
                <w:highlight w:val="none"/>
              </w:rPr>
            </w:pPr>
          </w:p>
        </w:tc>
        <w:tc>
          <w:tcPr>
            <w:tcW w:w="578" w:type="pct"/>
            <w:vAlign w:val="center"/>
          </w:tcPr>
          <w:p w14:paraId="76D9A2F3">
            <w:pPr>
              <w:pStyle w:val="58"/>
              <w:bidi w:val="0"/>
              <w:ind w:firstLine="0" w:firstLineChars="0"/>
              <w:jc w:val="center"/>
              <w:rPr>
                <w:rFonts w:hint="default"/>
                <w:highlight w:val="none"/>
              </w:rPr>
            </w:pPr>
            <w:r>
              <w:rPr>
                <w:rFonts w:hint="default"/>
                <w:highlight w:val="none"/>
              </w:rPr>
              <w:t>LAS</w:t>
            </w:r>
          </w:p>
        </w:tc>
        <w:tc>
          <w:tcPr>
            <w:tcW w:w="483" w:type="pct"/>
            <w:vMerge w:val="continue"/>
            <w:vAlign w:val="center"/>
          </w:tcPr>
          <w:p w14:paraId="17670843">
            <w:pPr>
              <w:pStyle w:val="58"/>
              <w:bidi w:val="0"/>
              <w:jc w:val="center"/>
              <w:rPr>
                <w:rFonts w:hint="default"/>
                <w:highlight w:val="none"/>
              </w:rPr>
            </w:pPr>
          </w:p>
        </w:tc>
        <w:tc>
          <w:tcPr>
            <w:tcW w:w="559" w:type="pct"/>
            <w:vMerge w:val="continue"/>
            <w:vAlign w:val="center"/>
          </w:tcPr>
          <w:p w14:paraId="0809963D">
            <w:pPr>
              <w:pStyle w:val="58"/>
              <w:bidi w:val="0"/>
              <w:jc w:val="center"/>
              <w:rPr>
                <w:rFonts w:hint="default"/>
                <w:highlight w:val="none"/>
              </w:rPr>
            </w:pPr>
          </w:p>
        </w:tc>
        <w:tc>
          <w:tcPr>
            <w:tcW w:w="808" w:type="pct"/>
            <w:vMerge w:val="continue"/>
            <w:vAlign w:val="center"/>
          </w:tcPr>
          <w:p w14:paraId="7804D4F5">
            <w:pPr>
              <w:pStyle w:val="58"/>
              <w:bidi w:val="0"/>
              <w:jc w:val="center"/>
              <w:rPr>
                <w:rFonts w:hint="default"/>
                <w:highlight w:val="none"/>
              </w:rPr>
            </w:pPr>
          </w:p>
        </w:tc>
        <w:tc>
          <w:tcPr>
            <w:tcW w:w="241" w:type="pct"/>
            <w:vMerge w:val="continue"/>
            <w:vAlign w:val="center"/>
          </w:tcPr>
          <w:p w14:paraId="659DA0E6">
            <w:pPr>
              <w:pStyle w:val="58"/>
              <w:bidi w:val="0"/>
              <w:jc w:val="center"/>
              <w:rPr>
                <w:rFonts w:hint="default"/>
                <w:highlight w:val="none"/>
              </w:rPr>
            </w:pPr>
          </w:p>
        </w:tc>
        <w:tc>
          <w:tcPr>
            <w:tcW w:w="646" w:type="pct"/>
            <w:vMerge w:val="continue"/>
            <w:vAlign w:val="center"/>
          </w:tcPr>
          <w:p w14:paraId="5B314BE2">
            <w:pPr>
              <w:pStyle w:val="58"/>
              <w:bidi w:val="0"/>
              <w:jc w:val="center"/>
              <w:rPr>
                <w:rFonts w:hint="default"/>
                <w:highlight w:val="none"/>
              </w:rPr>
            </w:pPr>
          </w:p>
        </w:tc>
        <w:tc>
          <w:tcPr>
            <w:tcW w:w="304" w:type="pct"/>
            <w:vMerge w:val="continue"/>
            <w:vAlign w:val="center"/>
          </w:tcPr>
          <w:p w14:paraId="4A817D5E">
            <w:pPr>
              <w:pStyle w:val="58"/>
              <w:bidi w:val="0"/>
              <w:jc w:val="center"/>
              <w:rPr>
                <w:rFonts w:hint="default"/>
                <w:highlight w:val="none"/>
              </w:rPr>
            </w:pPr>
          </w:p>
        </w:tc>
        <w:tc>
          <w:tcPr>
            <w:tcW w:w="623" w:type="pct"/>
            <w:vMerge w:val="continue"/>
            <w:vAlign w:val="center"/>
          </w:tcPr>
          <w:p w14:paraId="32B56B1E">
            <w:pPr>
              <w:pStyle w:val="58"/>
              <w:bidi w:val="0"/>
              <w:jc w:val="center"/>
              <w:rPr>
                <w:rFonts w:hint="default"/>
                <w:highlight w:val="none"/>
              </w:rPr>
            </w:pPr>
          </w:p>
        </w:tc>
      </w:tr>
      <w:tr w14:paraId="53DD7B6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7" w:hRule="atLeast"/>
        </w:trPr>
        <w:tc>
          <w:tcPr>
            <w:tcW w:w="275" w:type="pct"/>
            <w:vMerge w:val="continue"/>
            <w:vAlign w:val="center"/>
          </w:tcPr>
          <w:p w14:paraId="22EDD2F9">
            <w:pPr>
              <w:pStyle w:val="58"/>
              <w:bidi w:val="0"/>
              <w:jc w:val="center"/>
              <w:rPr>
                <w:rFonts w:hint="default"/>
                <w:highlight w:val="none"/>
              </w:rPr>
            </w:pPr>
          </w:p>
        </w:tc>
        <w:tc>
          <w:tcPr>
            <w:tcW w:w="479" w:type="pct"/>
            <w:vMerge w:val="continue"/>
            <w:vAlign w:val="center"/>
          </w:tcPr>
          <w:p w14:paraId="2E256E2D">
            <w:pPr>
              <w:pStyle w:val="58"/>
              <w:bidi w:val="0"/>
              <w:jc w:val="center"/>
              <w:rPr>
                <w:rFonts w:hint="default"/>
                <w:highlight w:val="none"/>
              </w:rPr>
            </w:pPr>
          </w:p>
        </w:tc>
        <w:tc>
          <w:tcPr>
            <w:tcW w:w="578" w:type="pct"/>
            <w:vAlign w:val="center"/>
          </w:tcPr>
          <w:p w14:paraId="3B049E60">
            <w:pPr>
              <w:pStyle w:val="58"/>
              <w:bidi w:val="0"/>
              <w:jc w:val="center"/>
              <w:rPr>
                <w:rFonts w:hint="default"/>
                <w:highlight w:val="none"/>
              </w:rPr>
            </w:pPr>
            <w:r>
              <w:rPr>
                <w:rFonts w:hint="default"/>
                <w:highlight w:val="none"/>
              </w:rPr>
              <w:t>总镉</w:t>
            </w:r>
          </w:p>
        </w:tc>
        <w:tc>
          <w:tcPr>
            <w:tcW w:w="483" w:type="pct"/>
            <w:vMerge w:val="continue"/>
            <w:vAlign w:val="center"/>
          </w:tcPr>
          <w:p w14:paraId="16DFC3D4">
            <w:pPr>
              <w:pStyle w:val="58"/>
              <w:bidi w:val="0"/>
              <w:jc w:val="center"/>
              <w:rPr>
                <w:rFonts w:hint="default"/>
                <w:highlight w:val="none"/>
              </w:rPr>
            </w:pPr>
          </w:p>
        </w:tc>
        <w:tc>
          <w:tcPr>
            <w:tcW w:w="559" w:type="pct"/>
            <w:vMerge w:val="continue"/>
            <w:vAlign w:val="center"/>
          </w:tcPr>
          <w:p w14:paraId="3524B467">
            <w:pPr>
              <w:pStyle w:val="58"/>
              <w:bidi w:val="0"/>
              <w:jc w:val="center"/>
              <w:rPr>
                <w:rFonts w:hint="default"/>
                <w:highlight w:val="none"/>
              </w:rPr>
            </w:pPr>
          </w:p>
        </w:tc>
        <w:tc>
          <w:tcPr>
            <w:tcW w:w="808" w:type="pct"/>
            <w:vMerge w:val="continue"/>
            <w:vAlign w:val="center"/>
          </w:tcPr>
          <w:p w14:paraId="2AFF6467">
            <w:pPr>
              <w:pStyle w:val="58"/>
              <w:bidi w:val="0"/>
              <w:jc w:val="center"/>
              <w:rPr>
                <w:rFonts w:hint="default"/>
                <w:highlight w:val="none"/>
              </w:rPr>
            </w:pPr>
          </w:p>
        </w:tc>
        <w:tc>
          <w:tcPr>
            <w:tcW w:w="241" w:type="pct"/>
            <w:vMerge w:val="continue"/>
            <w:vAlign w:val="center"/>
          </w:tcPr>
          <w:p w14:paraId="3D5BF6C9">
            <w:pPr>
              <w:pStyle w:val="58"/>
              <w:bidi w:val="0"/>
              <w:jc w:val="center"/>
              <w:rPr>
                <w:rFonts w:hint="default"/>
                <w:highlight w:val="none"/>
              </w:rPr>
            </w:pPr>
          </w:p>
        </w:tc>
        <w:tc>
          <w:tcPr>
            <w:tcW w:w="646" w:type="pct"/>
            <w:vMerge w:val="continue"/>
            <w:vAlign w:val="center"/>
          </w:tcPr>
          <w:p w14:paraId="0708324C">
            <w:pPr>
              <w:pStyle w:val="58"/>
              <w:bidi w:val="0"/>
              <w:jc w:val="center"/>
              <w:rPr>
                <w:rFonts w:hint="default"/>
                <w:highlight w:val="none"/>
              </w:rPr>
            </w:pPr>
          </w:p>
        </w:tc>
        <w:tc>
          <w:tcPr>
            <w:tcW w:w="304" w:type="pct"/>
            <w:vMerge w:val="continue"/>
            <w:vAlign w:val="center"/>
          </w:tcPr>
          <w:p w14:paraId="73F47846">
            <w:pPr>
              <w:pStyle w:val="58"/>
              <w:bidi w:val="0"/>
              <w:jc w:val="center"/>
              <w:rPr>
                <w:rFonts w:hint="default"/>
                <w:highlight w:val="none"/>
              </w:rPr>
            </w:pPr>
          </w:p>
        </w:tc>
        <w:tc>
          <w:tcPr>
            <w:tcW w:w="623" w:type="pct"/>
            <w:vMerge w:val="restart"/>
            <w:vAlign w:val="center"/>
          </w:tcPr>
          <w:p w14:paraId="68914DE4">
            <w:pPr>
              <w:pStyle w:val="58"/>
              <w:bidi w:val="0"/>
              <w:jc w:val="center"/>
              <w:rPr>
                <w:rFonts w:hint="default" w:eastAsia="宋体"/>
                <w:highlight w:val="none"/>
                <w:lang w:val="en-US" w:eastAsia="zh-CN"/>
              </w:rPr>
            </w:pPr>
            <w:r>
              <w:rPr>
                <w:rFonts w:hint="eastAsia"/>
                <w:highlight w:val="none"/>
                <w:lang w:val="en-US" w:eastAsia="zh-CN"/>
              </w:rPr>
              <w:t>每半年1次</w:t>
            </w:r>
          </w:p>
        </w:tc>
      </w:tr>
      <w:tr w14:paraId="6B1D1FE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7" w:hRule="atLeast"/>
        </w:trPr>
        <w:tc>
          <w:tcPr>
            <w:tcW w:w="275" w:type="pct"/>
            <w:vMerge w:val="continue"/>
            <w:vAlign w:val="center"/>
          </w:tcPr>
          <w:p w14:paraId="44F7A93A">
            <w:pPr>
              <w:pStyle w:val="58"/>
              <w:bidi w:val="0"/>
              <w:jc w:val="center"/>
              <w:rPr>
                <w:rFonts w:hint="default"/>
                <w:highlight w:val="none"/>
              </w:rPr>
            </w:pPr>
          </w:p>
        </w:tc>
        <w:tc>
          <w:tcPr>
            <w:tcW w:w="479" w:type="pct"/>
            <w:vMerge w:val="continue"/>
            <w:vAlign w:val="center"/>
          </w:tcPr>
          <w:p w14:paraId="6CF8D4F5">
            <w:pPr>
              <w:pStyle w:val="58"/>
              <w:bidi w:val="0"/>
              <w:jc w:val="center"/>
              <w:rPr>
                <w:rFonts w:hint="default"/>
                <w:highlight w:val="none"/>
              </w:rPr>
            </w:pPr>
          </w:p>
        </w:tc>
        <w:tc>
          <w:tcPr>
            <w:tcW w:w="578" w:type="pct"/>
            <w:vAlign w:val="center"/>
          </w:tcPr>
          <w:p w14:paraId="37A57DB4">
            <w:pPr>
              <w:pStyle w:val="58"/>
              <w:bidi w:val="0"/>
              <w:jc w:val="center"/>
              <w:rPr>
                <w:rFonts w:hint="default"/>
                <w:highlight w:val="none"/>
              </w:rPr>
            </w:pPr>
            <w:r>
              <w:rPr>
                <w:rFonts w:hint="default"/>
                <w:highlight w:val="none"/>
              </w:rPr>
              <w:t>总铬</w:t>
            </w:r>
          </w:p>
        </w:tc>
        <w:tc>
          <w:tcPr>
            <w:tcW w:w="483" w:type="pct"/>
            <w:vMerge w:val="continue"/>
            <w:vAlign w:val="center"/>
          </w:tcPr>
          <w:p w14:paraId="00AC3191">
            <w:pPr>
              <w:pStyle w:val="58"/>
              <w:bidi w:val="0"/>
              <w:jc w:val="center"/>
              <w:rPr>
                <w:rFonts w:hint="default"/>
                <w:highlight w:val="none"/>
              </w:rPr>
            </w:pPr>
          </w:p>
        </w:tc>
        <w:tc>
          <w:tcPr>
            <w:tcW w:w="559" w:type="pct"/>
            <w:vMerge w:val="continue"/>
            <w:vAlign w:val="center"/>
          </w:tcPr>
          <w:p w14:paraId="6BF5C094">
            <w:pPr>
              <w:pStyle w:val="58"/>
              <w:bidi w:val="0"/>
              <w:jc w:val="center"/>
              <w:rPr>
                <w:rFonts w:hint="default"/>
                <w:highlight w:val="none"/>
              </w:rPr>
            </w:pPr>
          </w:p>
        </w:tc>
        <w:tc>
          <w:tcPr>
            <w:tcW w:w="808" w:type="pct"/>
            <w:vMerge w:val="continue"/>
            <w:vAlign w:val="center"/>
          </w:tcPr>
          <w:p w14:paraId="5A2BA0FD">
            <w:pPr>
              <w:pStyle w:val="58"/>
              <w:bidi w:val="0"/>
              <w:jc w:val="center"/>
              <w:rPr>
                <w:rFonts w:hint="default"/>
                <w:highlight w:val="none"/>
              </w:rPr>
            </w:pPr>
          </w:p>
        </w:tc>
        <w:tc>
          <w:tcPr>
            <w:tcW w:w="241" w:type="pct"/>
            <w:vMerge w:val="continue"/>
            <w:vAlign w:val="center"/>
          </w:tcPr>
          <w:p w14:paraId="42AFAA22">
            <w:pPr>
              <w:pStyle w:val="58"/>
              <w:bidi w:val="0"/>
              <w:jc w:val="center"/>
              <w:rPr>
                <w:rFonts w:hint="default"/>
                <w:highlight w:val="none"/>
              </w:rPr>
            </w:pPr>
          </w:p>
        </w:tc>
        <w:tc>
          <w:tcPr>
            <w:tcW w:w="646" w:type="pct"/>
            <w:vMerge w:val="continue"/>
            <w:vAlign w:val="center"/>
          </w:tcPr>
          <w:p w14:paraId="3AB3C7B8">
            <w:pPr>
              <w:pStyle w:val="58"/>
              <w:bidi w:val="0"/>
              <w:jc w:val="center"/>
              <w:rPr>
                <w:rFonts w:hint="default"/>
                <w:highlight w:val="none"/>
              </w:rPr>
            </w:pPr>
          </w:p>
        </w:tc>
        <w:tc>
          <w:tcPr>
            <w:tcW w:w="304" w:type="pct"/>
            <w:vMerge w:val="continue"/>
            <w:vAlign w:val="center"/>
          </w:tcPr>
          <w:p w14:paraId="2708E2C4">
            <w:pPr>
              <w:pStyle w:val="58"/>
              <w:bidi w:val="0"/>
              <w:jc w:val="center"/>
              <w:rPr>
                <w:rFonts w:hint="default"/>
                <w:highlight w:val="none"/>
              </w:rPr>
            </w:pPr>
          </w:p>
        </w:tc>
        <w:tc>
          <w:tcPr>
            <w:tcW w:w="623" w:type="pct"/>
            <w:vMerge w:val="continue"/>
            <w:vAlign w:val="center"/>
          </w:tcPr>
          <w:p w14:paraId="2BE985EA">
            <w:pPr>
              <w:pStyle w:val="58"/>
              <w:bidi w:val="0"/>
              <w:jc w:val="center"/>
              <w:rPr>
                <w:rFonts w:hint="default"/>
                <w:highlight w:val="none"/>
              </w:rPr>
            </w:pPr>
          </w:p>
        </w:tc>
      </w:tr>
      <w:tr w14:paraId="077B59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7" w:hRule="atLeast"/>
        </w:trPr>
        <w:tc>
          <w:tcPr>
            <w:tcW w:w="275" w:type="pct"/>
            <w:vMerge w:val="continue"/>
            <w:vAlign w:val="center"/>
          </w:tcPr>
          <w:p w14:paraId="5A6FE15C">
            <w:pPr>
              <w:pStyle w:val="58"/>
              <w:bidi w:val="0"/>
              <w:jc w:val="center"/>
              <w:rPr>
                <w:rFonts w:hint="default"/>
                <w:highlight w:val="none"/>
              </w:rPr>
            </w:pPr>
          </w:p>
        </w:tc>
        <w:tc>
          <w:tcPr>
            <w:tcW w:w="479" w:type="pct"/>
            <w:vMerge w:val="continue"/>
            <w:vAlign w:val="center"/>
          </w:tcPr>
          <w:p w14:paraId="4ED87191">
            <w:pPr>
              <w:pStyle w:val="58"/>
              <w:bidi w:val="0"/>
              <w:jc w:val="center"/>
              <w:rPr>
                <w:rFonts w:hint="default"/>
                <w:highlight w:val="none"/>
              </w:rPr>
            </w:pPr>
          </w:p>
        </w:tc>
        <w:tc>
          <w:tcPr>
            <w:tcW w:w="578" w:type="pct"/>
            <w:vAlign w:val="center"/>
          </w:tcPr>
          <w:p w14:paraId="1ADA8805">
            <w:pPr>
              <w:pStyle w:val="58"/>
              <w:bidi w:val="0"/>
              <w:jc w:val="center"/>
              <w:rPr>
                <w:rFonts w:hint="default"/>
                <w:highlight w:val="none"/>
              </w:rPr>
            </w:pPr>
            <w:r>
              <w:rPr>
                <w:rFonts w:hint="default"/>
                <w:highlight w:val="none"/>
              </w:rPr>
              <w:t>总汞</w:t>
            </w:r>
          </w:p>
        </w:tc>
        <w:tc>
          <w:tcPr>
            <w:tcW w:w="483" w:type="pct"/>
            <w:vMerge w:val="continue"/>
            <w:vAlign w:val="center"/>
          </w:tcPr>
          <w:p w14:paraId="0A9FA3C9">
            <w:pPr>
              <w:pStyle w:val="58"/>
              <w:bidi w:val="0"/>
              <w:jc w:val="center"/>
              <w:rPr>
                <w:rFonts w:hint="default"/>
                <w:highlight w:val="none"/>
              </w:rPr>
            </w:pPr>
          </w:p>
        </w:tc>
        <w:tc>
          <w:tcPr>
            <w:tcW w:w="559" w:type="pct"/>
            <w:vMerge w:val="continue"/>
            <w:vAlign w:val="center"/>
          </w:tcPr>
          <w:p w14:paraId="775E6EB0">
            <w:pPr>
              <w:pStyle w:val="58"/>
              <w:bidi w:val="0"/>
              <w:jc w:val="center"/>
              <w:rPr>
                <w:rFonts w:hint="default"/>
                <w:highlight w:val="none"/>
              </w:rPr>
            </w:pPr>
          </w:p>
        </w:tc>
        <w:tc>
          <w:tcPr>
            <w:tcW w:w="808" w:type="pct"/>
            <w:vMerge w:val="continue"/>
            <w:vAlign w:val="center"/>
          </w:tcPr>
          <w:p w14:paraId="5AB06320">
            <w:pPr>
              <w:pStyle w:val="58"/>
              <w:bidi w:val="0"/>
              <w:jc w:val="center"/>
              <w:rPr>
                <w:rFonts w:hint="default"/>
                <w:highlight w:val="none"/>
              </w:rPr>
            </w:pPr>
          </w:p>
        </w:tc>
        <w:tc>
          <w:tcPr>
            <w:tcW w:w="241" w:type="pct"/>
            <w:vMerge w:val="continue"/>
            <w:vAlign w:val="center"/>
          </w:tcPr>
          <w:p w14:paraId="63C8B612">
            <w:pPr>
              <w:pStyle w:val="58"/>
              <w:bidi w:val="0"/>
              <w:jc w:val="center"/>
              <w:rPr>
                <w:rFonts w:hint="default"/>
                <w:highlight w:val="none"/>
              </w:rPr>
            </w:pPr>
          </w:p>
        </w:tc>
        <w:tc>
          <w:tcPr>
            <w:tcW w:w="646" w:type="pct"/>
            <w:vMerge w:val="continue"/>
            <w:vAlign w:val="center"/>
          </w:tcPr>
          <w:p w14:paraId="54A83679">
            <w:pPr>
              <w:pStyle w:val="58"/>
              <w:bidi w:val="0"/>
              <w:jc w:val="center"/>
              <w:rPr>
                <w:rFonts w:hint="default"/>
                <w:highlight w:val="none"/>
              </w:rPr>
            </w:pPr>
          </w:p>
        </w:tc>
        <w:tc>
          <w:tcPr>
            <w:tcW w:w="304" w:type="pct"/>
            <w:vMerge w:val="continue"/>
            <w:vAlign w:val="center"/>
          </w:tcPr>
          <w:p w14:paraId="1B8ACA3B">
            <w:pPr>
              <w:pStyle w:val="58"/>
              <w:bidi w:val="0"/>
              <w:jc w:val="center"/>
              <w:rPr>
                <w:rFonts w:hint="default"/>
                <w:highlight w:val="none"/>
              </w:rPr>
            </w:pPr>
          </w:p>
        </w:tc>
        <w:tc>
          <w:tcPr>
            <w:tcW w:w="623" w:type="pct"/>
            <w:vMerge w:val="continue"/>
            <w:vAlign w:val="center"/>
          </w:tcPr>
          <w:p w14:paraId="4A069787">
            <w:pPr>
              <w:pStyle w:val="58"/>
              <w:bidi w:val="0"/>
              <w:jc w:val="center"/>
              <w:rPr>
                <w:rFonts w:hint="default"/>
                <w:highlight w:val="none"/>
              </w:rPr>
            </w:pPr>
          </w:p>
        </w:tc>
      </w:tr>
      <w:tr w14:paraId="74E7D7E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7" w:hRule="atLeast"/>
        </w:trPr>
        <w:tc>
          <w:tcPr>
            <w:tcW w:w="275" w:type="pct"/>
            <w:vMerge w:val="continue"/>
            <w:vAlign w:val="center"/>
          </w:tcPr>
          <w:p w14:paraId="677630E5">
            <w:pPr>
              <w:pStyle w:val="58"/>
              <w:bidi w:val="0"/>
              <w:jc w:val="center"/>
              <w:rPr>
                <w:rFonts w:hint="default"/>
                <w:highlight w:val="none"/>
              </w:rPr>
            </w:pPr>
          </w:p>
        </w:tc>
        <w:tc>
          <w:tcPr>
            <w:tcW w:w="479" w:type="pct"/>
            <w:vMerge w:val="continue"/>
            <w:vAlign w:val="center"/>
          </w:tcPr>
          <w:p w14:paraId="4F049C95">
            <w:pPr>
              <w:pStyle w:val="58"/>
              <w:bidi w:val="0"/>
              <w:jc w:val="center"/>
              <w:rPr>
                <w:rFonts w:hint="default"/>
                <w:highlight w:val="none"/>
              </w:rPr>
            </w:pPr>
          </w:p>
        </w:tc>
        <w:tc>
          <w:tcPr>
            <w:tcW w:w="578" w:type="pct"/>
            <w:vAlign w:val="center"/>
          </w:tcPr>
          <w:p w14:paraId="6705E85A">
            <w:pPr>
              <w:pStyle w:val="58"/>
              <w:bidi w:val="0"/>
              <w:jc w:val="center"/>
              <w:rPr>
                <w:rFonts w:hint="default"/>
                <w:highlight w:val="none"/>
              </w:rPr>
            </w:pPr>
            <w:r>
              <w:rPr>
                <w:rFonts w:hint="default"/>
                <w:highlight w:val="none"/>
              </w:rPr>
              <w:t>总铅</w:t>
            </w:r>
          </w:p>
        </w:tc>
        <w:tc>
          <w:tcPr>
            <w:tcW w:w="483" w:type="pct"/>
            <w:vMerge w:val="continue"/>
            <w:vAlign w:val="center"/>
          </w:tcPr>
          <w:p w14:paraId="6E720B35">
            <w:pPr>
              <w:pStyle w:val="58"/>
              <w:bidi w:val="0"/>
              <w:jc w:val="center"/>
              <w:rPr>
                <w:rFonts w:hint="default"/>
                <w:highlight w:val="none"/>
              </w:rPr>
            </w:pPr>
          </w:p>
        </w:tc>
        <w:tc>
          <w:tcPr>
            <w:tcW w:w="559" w:type="pct"/>
            <w:vMerge w:val="continue"/>
            <w:vAlign w:val="center"/>
          </w:tcPr>
          <w:p w14:paraId="7EF39FDC">
            <w:pPr>
              <w:pStyle w:val="58"/>
              <w:bidi w:val="0"/>
              <w:jc w:val="center"/>
              <w:rPr>
                <w:rFonts w:hint="default"/>
                <w:highlight w:val="none"/>
              </w:rPr>
            </w:pPr>
          </w:p>
        </w:tc>
        <w:tc>
          <w:tcPr>
            <w:tcW w:w="808" w:type="pct"/>
            <w:vMerge w:val="continue"/>
            <w:vAlign w:val="center"/>
          </w:tcPr>
          <w:p w14:paraId="7B0BDB12">
            <w:pPr>
              <w:pStyle w:val="58"/>
              <w:bidi w:val="0"/>
              <w:jc w:val="center"/>
              <w:rPr>
                <w:rFonts w:hint="default"/>
                <w:highlight w:val="none"/>
              </w:rPr>
            </w:pPr>
          </w:p>
        </w:tc>
        <w:tc>
          <w:tcPr>
            <w:tcW w:w="241" w:type="pct"/>
            <w:vMerge w:val="continue"/>
            <w:vAlign w:val="center"/>
          </w:tcPr>
          <w:p w14:paraId="7AC7B191">
            <w:pPr>
              <w:pStyle w:val="58"/>
              <w:bidi w:val="0"/>
              <w:jc w:val="center"/>
              <w:rPr>
                <w:rFonts w:hint="default"/>
                <w:highlight w:val="none"/>
              </w:rPr>
            </w:pPr>
          </w:p>
        </w:tc>
        <w:tc>
          <w:tcPr>
            <w:tcW w:w="646" w:type="pct"/>
            <w:vMerge w:val="continue"/>
            <w:vAlign w:val="center"/>
          </w:tcPr>
          <w:p w14:paraId="05D8D6C9">
            <w:pPr>
              <w:pStyle w:val="58"/>
              <w:bidi w:val="0"/>
              <w:jc w:val="center"/>
              <w:rPr>
                <w:rFonts w:hint="default"/>
                <w:highlight w:val="none"/>
              </w:rPr>
            </w:pPr>
          </w:p>
        </w:tc>
        <w:tc>
          <w:tcPr>
            <w:tcW w:w="304" w:type="pct"/>
            <w:vMerge w:val="continue"/>
            <w:vAlign w:val="center"/>
          </w:tcPr>
          <w:p w14:paraId="037C1B46">
            <w:pPr>
              <w:pStyle w:val="58"/>
              <w:bidi w:val="0"/>
              <w:jc w:val="center"/>
              <w:rPr>
                <w:rFonts w:hint="default"/>
                <w:highlight w:val="none"/>
              </w:rPr>
            </w:pPr>
          </w:p>
        </w:tc>
        <w:tc>
          <w:tcPr>
            <w:tcW w:w="623" w:type="pct"/>
            <w:vMerge w:val="continue"/>
            <w:vAlign w:val="center"/>
          </w:tcPr>
          <w:p w14:paraId="115908F9">
            <w:pPr>
              <w:pStyle w:val="58"/>
              <w:bidi w:val="0"/>
              <w:jc w:val="center"/>
              <w:rPr>
                <w:rFonts w:hint="default"/>
                <w:highlight w:val="none"/>
              </w:rPr>
            </w:pPr>
          </w:p>
        </w:tc>
      </w:tr>
      <w:tr w14:paraId="53D6544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7" w:hRule="atLeast"/>
        </w:trPr>
        <w:tc>
          <w:tcPr>
            <w:tcW w:w="275" w:type="pct"/>
            <w:vMerge w:val="continue"/>
            <w:vAlign w:val="center"/>
          </w:tcPr>
          <w:p w14:paraId="60DAD352">
            <w:pPr>
              <w:pStyle w:val="58"/>
              <w:bidi w:val="0"/>
              <w:jc w:val="center"/>
              <w:rPr>
                <w:rFonts w:hint="default"/>
                <w:highlight w:val="none"/>
              </w:rPr>
            </w:pPr>
          </w:p>
        </w:tc>
        <w:tc>
          <w:tcPr>
            <w:tcW w:w="479" w:type="pct"/>
            <w:vMerge w:val="continue"/>
            <w:vAlign w:val="center"/>
          </w:tcPr>
          <w:p w14:paraId="3FE1300D">
            <w:pPr>
              <w:pStyle w:val="58"/>
              <w:bidi w:val="0"/>
              <w:jc w:val="center"/>
              <w:rPr>
                <w:rFonts w:hint="default"/>
                <w:highlight w:val="none"/>
              </w:rPr>
            </w:pPr>
          </w:p>
        </w:tc>
        <w:tc>
          <w:tcPr>
            <w:tcW w:w="578" w:type="pct"/>
            <w:vAlign w:val="center"/>
          </w:tcPr>
          <w:p w14:paraId="31FF993A">
            <w:pPr>
              <w:pStyle w:val="58"/>
              <w:bidi w:val="0"/>
              <w:jc w:val="center"/>
              <w:rPr>
                <w:rFonts w:hint="default"/>
                <w:highlight w:val="none"/>
              </w:rPr>
            </w:pPr>
            <w:r>
              <w:rPr>
                <w:rFonts w:hint="default"/>
                <w:highlight w:val="none"/>
              </w:rPr>
              <w:t>总砷</w:t>
            </w:r>
          </w:p>
        </w:tc>
        <w:tc>
          <w:tcPr>
            <w:tcW w:w="483" w:type="pct"/>
            <w:vMerge w:val="continue"/>
            <w:vAlign w:val="center"/>
          </w:tcPr>
          <w:p w14:paraId="280C60E4">
            <w:pPr>
              <w:pStyle w:val="58"/>
              <w:bidi w:val="0"/>
              <w:jc w:val="center"/>
              <w:rPr>
                <w:rFonts w:hint="default"/>
                <w:highlight w:val="none"/>
              </w:rPr>
            </w:pPr>
          </w:p>
        </w:tc>
        <w:tc>
          <w:tcPr>
            <w:tcW w:w="559" w:type="pct"/>
            <w:vMerge w:val="continue"/>
            <w:vAlign w:val="center"/>
          </w:tcPr>
          <w:p w14:paraId="1F29D400">
            <w:pPr>
              <w:pStyle w:val="58"/>
              <w:bidi w:val="0"/>
              <w:jc w:val="center"/>
              <w:rPr>
                <w:rFonts w:hint="default"/>
                <w:highlight w:val="none"/>
              </w:rPr>
            </w:pPr>
          </w:p>
        </w:tc>
        <w:tc>
          <w:tcPr>
            <w:tcW w:w="808" w:type="pct"/>
            <w:vMerge w:val="continue"/>
            <w:vAlign w:val="center"/>
          </w:tcPr>
          <w:p w14:paraId="1D754BF9">
            <w:pPr>
              <w:pStyle w:val="58"/>
              <w:bidi w:val="0"/>
              <w:jc w:val="center"/>
              <w:rPr>
                <w:rFonts w:hint="default"/>
                <w:highlight w:val="none"/>
              </w:rPr>
            </w:pPr>
          </w:p>
        </w:tc>
        <w:tc>
          <w:tcPr>
            <w:tcW w:w="241" w:type="pct"/>
            <w:vMerge w:val="continue"/>
            <w:vAlign w:val="center"/>
          </w:tcPr>
          <w:p w14:paraId="5246618F">
            <w:pPr>
              <w:pStyle w:val="58"/>
              <w:bidi w:val="0"/>
              <w:jc w:val="center"/>
              <w:rPr>
                <w:rFonts w:hint="default"/>
                <w:highlight w:val="none"/>
              </w:rPr>
            </w:pPr>
          </w:p>
        </w:tc>
        <w:tc>
          <w:tcPr>
            <w:tcW w:w="646" w:type="pct"/>
            <w:vMerge w:val="continue"/>
            <w:vAlign w:val="center"/>
          </w:tcPr>
          <w:p w14:paraId="36EB0B33">
            <w:pPr>
              <w:pStyle w:val="58"/>
              <w:bidi w:val="0"/>
              <w:jc w:val="center"/>
              <w:rPr>
                <w:rFonts w:hint="default"/>
                <w:highlight w:val="none"/>
              </w:rPr>
            </w:pPr>
          </w:p>
        </w:tc>
        <w:tc>
          <w:tcPr>
            <w:tcW w:w="304" w:type="pct"/>
            <w:vMerge w:val="continue"/>
            <w:vAlign w:val="center"/>
          </w:tcPr>
          <w:p w14:paraId="0ADC152D">
            <w:pPr>
              <w:pStyle w:val="58"/>
              <w:bidi w:val="0"/>
              <w:jc w:val="center"/>
              <w:rPr>
                <w:rFonts w:hint="default"/>
                <w:highlight w:val="none"/>
              </w:rPr>
            </w:pPr>
          </w:p>
        </w:tc>
        <w:tc>
          <w:tcPr>
            <w:tcW w:w="623" w:type="pct"/>
            <w:vMerge w:val="continue"/>
            <w:vAlign w:val="center"/>
          </w:tcPr>
          <w:p w14:paraId="48778694">
            <w:pPr>
              <w:pStyle w:val="58"/>
              <w:bidi w:val="0"/>
              <w:jc w:val="center"/>
              <w:rPr>
                <w:rFonts w:hint="default"/>
                <w:highlight w:val="none"/>
              </w:rPr>
            </w:pPr>
          </w:p>
        </w:tc>
      </w:tr>
      <w:tr w14:paraId="35AFFBA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7" w:hRule="atLeast"/>
        </w:trPr>
        <w:tc>
          <w:tcPr>
            <w:tcW w:w="275" w:type="pct"/>
            <w:vMerge w:val="continue"/>
            <w:vAlign w:val="center"/>
          </w:tcPr>
          <w:p w14:paraId="7D59FB60">
            <w:pPr>
              <w:pStyle w:val="58"/>
              <w:bidi w:val="0"/>
              <w:jc w:val="center"/>
              <w:rPr>
                <w:rFonts w:hint="default"/>
                <w:highlight w:val="none"/>
              </w:rPr>
            </w:pPr>
          </w:p>
        </w:tc>
        <w:tc>
          <w:tcPr>
            <w:tcW w:w="479" w:type="pct"/>
            <w:vMerge w:val="continue"/>
            <w:vAlign w:val="center"/>
          </w:tcPr>
          <w:p w14:paraId="7275BC8E">
            <w:pPr>
              <w:pStyle w:val="58"/>
              <w:bidi w:val="0"/>
              <w:jc w:val="center"/>
              <w:rPr>
                <w:rFonts w:hint="default"/>
                <w:highlight w:val="none"/>
              </w:rPr>
            </w:pPr>
          </w:p>
        </w:tc>
        <w:tc>
          <w:tcPr>
            <w:tcW w:w="578" w:type="pct"/>
            <w:vAlign w:val="center"/>
          </w:tcPr>
          <w:p w14:paraId="255DDDA5">
            <w:pPr>
              <w:pStyle w:val="58"/>
              <w:bidi w:val="0"/>
              <w:jc w:val="center"/>
              <w:rPr>
                <w:rFonts w:hint="default"/>
                <w:highlight w:val="none"/>
              </w:rPr>
            </w:pPr>
            <w:r>
              <w:rPr>
                <w:rFonts w:hint="default"/>
                <w:highlight w:val="none"/>
              </w:rPr>
              <w:t>六价铬</w:t>
            </w:r>
          </w:p>
        </w:tc>
        <w:tc>
          <w:tcPr>
            <w:tcW w:w="483" w:type="pct"/>
            <w:vMerge w:val="continue"/>
            <w:vAlign w:val="center"/>
          </w:tcPr>
          <w:p w14:paraId="4F2E4983">
            <w:pPr>
              <w:pStyle w:val="58"/>
              <w:bidi w:val="0"/>
              <w:jc w:val="center"/>
              <w:rPr>
                <w:rFonts w:hint="default"/>
                <w:highlight w:val="none"/>
              </w:rPr>
            </w:pPr>
          </w:p>
        </w:tc>
        <w:tc>
          <w:tcPr>
            <w:tcW w:w="559" w:type="pct"/>
            <w:vMerge w:val="continue"/>
            <w:vAlign w:val="center"/>
          </w:tcPr>
          <w:p w14:paraId="29B30E2E">
            <w:pPr>
              <w:pStyle w:val="58"/>
              <w:bidi w:val="0"/>
              <w:jc w:val="center"/>
              <w:rPr>
                <w:rFonts w:hint="default"/>
                <w:highlight w:val="none"/>
              </w:rPr>
            </w:pPr>
          </w:p>
        </w:tc>
        <w:tc>
          <w:tcPr>
            <w:tcW w:w="808" w:type="pct"/>
            <w:vMerge w:val="continue"/>
            <w:vAlign w:val="center"/>
          </w:tcPr>
          <w:p w14:paraId="0742B3B1">
            <w:pPr>
              <w:pStyle w:val="58"/>
              <w:bidi w:val="0"/>
              <w:jc w:val="center"/>
              <w:rPr>
                <w:rFonts w:hint="default"/>
                <w:highlight w:val="none"/>
              </w:rPr>
            </w:pPr>
          </w:p>
        </w:tc>
        <w:tc>
          <w:tcPr>
            <w:tcW w:w="241" w:type="pct"/>
            <w:vMerge w:val="continue"/>
            <w:vAlign w:val="center"/>
          </w:tcPr>
          <w:p w14:paraId="5B9F66A0">
            <w:pPr>
              <w:pStyle w:val="58"/>
              <w:bidi w:val="0"/>
              <w:jc w:val="center"/>
              <w:rPr>
                <w:rFonts w:hint="default"/>
                <w:highlight w:val="none"/>
              </w:rPr>
            </w:pPr>
          </w:p>
        </w:tc>
        <w:tc>
          <w:tcPr>
            <w:tcW w:w="646" w:type="pct"/>
            <w:vMerge w:val="continue"/>
            <w:vAlign w:val="center"/>
          </w:tcPr>
          <w:p w14:paraId="50C86086">
            <w:pPr>
              <w:pStyle w:val="58"/>
              <w:bidi w:val="0"/>
              <w:jc w:val="center"/>
              <w:rPr>
                <w:rFonts w:hint="default"/>
                <w:highlight w:val="none"/>
              </w:rPr>
            </w:pPr>
          </w:p>
        </w:tc>
        <w:tc>
          <w:tcPr>
            <w:tcW w:w="304" w:type="pct"/>
            <w:vMerge w:val="continue"/>
            <w:vAlign w:val="center"/>
          </w:tcPr>
          <w:p w14:paraId="348332E4">
            <w:pPr>
              <w:pStyle w:val="58"/>
              <w:bidi w:val="0"/>
              <w:jc w:val="center"/>
              <w:rPr>
                <w:rFonts w:hint="default"/>
                <w:highlight w:val="none"/>
              </w:rPr>
            </w:pPr>
          </w:p>
        </w:tc>
        <w:tc>
          <w:tcPr>
            <w:tcW w:w="623" w:type="pct"/>
            <w:vMerge w:val="continue"/>
            <w:vAlign w:val="center"/>
          </w:tcPr>
          <w:p w14:paraId="13EB026D">
            <w:pPr>
              <w:pStyle w:val="58"/>
              <w:bidi w:val="0"/>
              <w:jc w:val="center"/>
              <w:rPr>
                <w:rFonts w:hint="default"/>
                <w:highlight w:val="none"/>
              </w:rPr>
            </w:pPr>
          </w:p>
        </w:tc>
      </w:tr>
      <w:tr w14:paraId="6EFEEF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7" w:hRule="atLeast"/>
        </w:trPr>
        <w:tc>
          <w:tcPr>
            <w:tcW w:w="275" w:type="pct"/>
            <w:vMerge w:val="restart"/>
            <w:vAlign w:val="center"/>
          </w:tcPr>
          <w:p w14:paraId="3B8A18E6">
            <w:pPr>
              <w:pStyle w:val="58"/>
              <w:bidi w:val="0"/>
              <w:jc w:val="center"/>
              <w:rPr>
                <w:rFonts w:hint="default"/>
                <w:highlight w:val="none"/>
              </w:rPr>
            </w:pPr>
            <w:r>
              <w:rPr>
                <w:rFonts w:hint="default"/>
                <w:highlight w:val="none"/>
              </w:rPr>
              <w:t>3</w:t>
            </w:r>
          </w:p>
        </w:tc>
        <w:tc>
          <w:tcPr>
            <w:tcW w:w="479" w:type="pct"/>
            <w:vMerge w:val="restart"/>
            <w:vAlign w:val="center"/>
          </w:tcPr>
          <w:p w14:paraId="71C39239">
            <w:pPr>
              <w:pStyle w:val="58"/>
              <w:bidi w:val="0"/>
              <w:jc w:val="center"/>
              <w:rPr>
                <w:rFonts w:hint="default"/>
                <w:highlight w:val="none"/>
              </w:rPr>
            </w:pPr>
            <w:r>
              <w:rPr>
                <w:rFonts w:hint="default"/>
                <w:highlight w:val="none"/>
              </w:rPr>
              <w:t>雨水排放口DW002</w:t>
            </w:r>
          </w:p>
        </w:tc>
        <w:tc>
          <w:tcPr>
            <w:tcW w:w="578" w:type="pct"/>
            <w:vAlign w:val="center"/>
          </w:tcPr>
          <w:p w14:paraId="2EEC36D9">
            <w:pPr>
              <w:pStyle w:val="58"/>
              <w:bidi w:val="0"/>
              <w:jc w:val="center"/>
              <w:rPr>
                <w:rFonts w:hint="default"/>
                <w:highlight w:val="none"/>
              </w:rPr>
            </w:pPr>
            <w:r>
              <w:rPr>
                <w:rFonts w:hint="default"/>
                <w:highlight w:val="none"/>
              </w:rPr>
              <w:t>pH</w:t>
            </w:r>
          </w:p>
        </w:tc>
        <w:tc>
          <w:tcPr>
            <w:tcW w:w="483" w:type="pct"/>
            <w:vMerge w:val="restart"/>
            <w:vAlign w:val="center"/>
          </w:tcPr>
          <w:p w14:paraId="46242BE8">
            <w:pPr>
              <w:pStyle w:val="58"/>
              <w:bidi w:val="0"/>
              <w:jc w:val="center"/>
              <w:rPr>
                <w:rFonts w:hint="default"/>
                <w:highlight w:val="none"/>
              </w:rPr>
            </w:pPr>
            <w:r>
              <w:rPr>
                <w:rFonts w:hint="default"/>
                <w:highlight w:val="none"/>
              </w:rPr>
              <w:t>□自动</w:t>
            </w:r>
            <w:r>
              <w:rPr>
                <w:rFonts w:hint="eastAsia"/>
                <w:highlight w:val="none"/>
                <w:lang w:eastAsia="zh-CN"/>
              </w:rPr>
              <w:t>☑</w:t>
            </w:r>
            <w:r>
              <w:rPr>
                <w:rFonts w:hint="default"/>
                <w:highlight w:val="none"/>
              </w:rPr>
              <w:t>手动</w:t>
            </w:r>
          </w:p>
        </w:tc>
        <w:tc>
          <w:tcPr>
            <w:tcW w:w="559" w:type="pct"/>
            <w:vMerge w:val="restart"/>
            <w:vAlign w:val="center"/>
          </w:tcPr>
          <w:p w14:paraId="0A8E2248">
            <w:pPr>
              <w:pStyle w:val="58"/>
              <w:bidi w:val="0"/>
              <w:jc w:val="center"/>
              <w:rPr>
                <w:rFonts w:hint="default"/>
                <w:highlight w:val="none"/>
              </w:rPr>
            </w:pPr>
            <w:r>
              <w:rPr>
                <w:rFonts w:hint="default"/>
                <w:highlight w:val="none"/>
              </w:rPr>
              <w:t>/</w:t>
            </w:r>
          </w:p>
        </w:tc>
        <w:tc>
          <w:tcPr>
            <w:tcW w:w="808" w:type="pct"/>
            <w:vMerge w:val="restart"/>
            <w:vAlign w:val="center"/>
          </w:tcPr>
          <w:p w14:paraId="58A5E3B2">
            <w:pPr>
              <w:pStyle w:val="58"/>
              <w:bidi w:val="0"/>
              <w:jc w:val="center"/>
              <w:rPr>
                <w:rFonts w:hint="default"/>
                <w:highlight w:val="none"/>
              </w:rPr>
            </w:pPr>
            <w:r>
              <w:rPr>
                <w:rFonts w:hint="default"/>
                <w:highlight w:val="none"/>
              </w:rPr>
              <w:t>/</w:t>
            </w:r>
          </w:p>
        </w:tc>
        <w:tc>
          <w:tcPr>
            <w:tcW w:w="241" w:type="pct"/>
            <w:vMerge w:val="restart"/>
            <w:vAlign w:val="center"/>
          </w:tcPr>
          <w:p w14:paraId="721A7E19">
            <w:pPr>
              <w:pStyle w:val="58"/>
              <w:bidi w:val="0"/>
              <w:jc w:val="center"/>
              <w:rPr>
                <w:rFonts w:hint="default"/>
                <w:highlight w:val="none"/>
              </w:rPr>
            </w:pPr>
            <w:r>
              <w:rPr>
                <w:rFonts w:hint="default"/>
                <w:highlight w:val="none"/>
              </w:rPr>
              <w:t>/</w:t>
            </w:r>
          </w:p>
        </w:tc>
        <w:tc>
          <w:tcPr>
            <w:tcW w:w="646" w:type="pct"/>
            <w:vMerge w:val="restart"/>
            <w:vAlign w:val="center"/>
          </w:tcPr>
          <w:p w14:paraId="36D6DF06">
            <w:pPr>
              <w:pStyle w:val="58"/>
              <w:bidi w:val="0"/>
              <w:jc w:val="center"/>
              <w:rPr>
                <w:rFonts w:hint="default"/>
                <w:highlight w:val="none"/>
              </w:rPr>
            </w:pPr>
            <w:r>
              <w:rPr>
                <w:rFonts w:hint="default"/>
                <w:highlight w:val="none"/>
              </w:rPr>
              <w:t>/</w:t>
            </w:r>
          </w:p>
        </w:tc>
        <w:tc>
          <w:tcPr>
            <w:tcW w:w="304" w:type="pct"/>
            <w:vMerge w:val="restart"/>
            <w:vAlign w:val="center"/>
          </w:tcPr>
          <w:p w14:paraId="33D5E079">
            <w:pPr>
              <w:pStyle w:val="58"/>
              <w:bidi w:val="0"/>
              <w:jc w:val="center"/>
              <w:rPr>
                <w:rFonts w:hint="default"/>
                <w:highlight w:val="none"/>
              </w:rPr>
            </w:pPr>
            <w:r>
              <w:rPr>
                <w:rFonts w:hint="default"/>
                <w:highlight w:val="none"/>
              </w:rPr>
              <w:t>雨后15分钟内采样</w:t>
            </w:r>
          </w:p>
        </w:tc>
        <w:tc>
          <w:tcPr>
            <w:tcW w:w="623" w:type="pct"/>
            <w:vMerge w:val="restart"/>
            <w:vAlign w:val="center"/>
          </w:tcPr>
          <w:p w14:paraId="23513820">
            <w:pPr>
              <w:pStyle w:val="58"/>
              <w:bidi w:val="0"/>
              <w:jc w:val="center"/>
              <w:rPr>
                <w:rFonts w:hint="default"/>
                <w:highlight w:val="none"/>
              </w:rPr>
            </w:pPr>
            <w:r>
              <w:rPr>
                <w:rFonts w:hint="default"/>
                <w:highlight w:val="none"/>
              </w:rPr>
              <w:t>每</w:t>
            </w:r>
            <w:r>
              <w:rPr>
                <w:rFonts w:hint="eastAsia"/>
                <w:highlight w:val="none"/>
                <w:lang w:val="en-US" w:eastAsia="zh-CN"/>
              </w:rPr>
              <w:t>月</w:t>
            </w:r>
            <w:r>
              <w:rPr>
                <w:rFonts w:hint="default"/>
                <w:highlight w:val="none"/>
              </w:rPr>
              <w:t>(有流动水排放时按</w:t>
            </w:r>
            <w:r>
              <w:rPr>
                <w:rFonts w:hint="eastAsia"/>
                <w:highlight w:val="none"/>
                <w:lang w:val="en-US" w:eastAsia="zh-CN"/>
              </w:rPr>
              <w:t>月</w:t>
            </w:r>
            <w:r>
              <w:rPr>
                <w:rFonts w:hint="default"/>
                <w:highlight w:val="none"/>
              </w:rPr>
              <w:t>监测，若一年无异常情况，放宽至每季度开展一次监测)</w:t>
            </w:r>
          </w:p>
        </w:tc>
      </w:tr>
      <w:tr w14:paraId="16E224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7" w:hRule="atLeast"/>
        </w:trPr>
        <w:tc>
          <w:tcPr>
            <w:tcW w:w="275" w:type="pct"/>
            <w:vMerge w:val="continue"/>
            <w:vAlign w:val="center"/>
          </w:tcPr>
          <w:p w14:paraId="47908F1B">
            <w:pPr>
              <w:pStyle w:val="58"/>
              <w:bidi w:val="0"/>
              <w:jc w:val="center"/>
              <w:rPr>
                <w:rFonts w:hint="default"/>
                <w:highlight w:val="none"/>
              </w:rPr>
            </w:pPr>
          </w:p>
        </w:tc>
        <w:tc>
          <w:tcPr>
            <w:tcW w:w="479" w:type="pct"/>
            <w:vMerge w:val="continue"/>
            <w:vAlign w:val="center"/>
          </w:tcPr>
          <w:p w14:paraId="1A4A2D80">
            <w:pPr>
              <w:pStyle w:val="58"/>
              <w:bidi w:val="0"/>
              <w:jc w:val="center"/>
              <w:rPr>
                <w:rFonts w:hint="default"/>
                <w:highlight w:val="none"/>
              </w:rPr>
            </w:pPr>
          </w:p>
        </w:tc>
        <w:tc>
          <w:tcPr>
            <w:tcW w:w="578" w:type="pct"/>
            <w:vAlign w:val="center"/>
          </w:tcPr>
          <w:p w14:paraId="63EE19D0">
            <w:pPr>
              <w:pStyle w:val="58"/>
              <w:bidi w:val="0"/>
              <w:jc w:val="center"/>
              <w:rPr>
                <w:rFonts w:hint="default"/>
                <w:highlight w:val="none"/>
              </w:rPr>
            </w:pPr>
            <w:r>
              <w:rPr>
                <w:rFonts w:hint="default"/>
                <w:highlight w:val="none"/>
              </w:rPr>
              <w:t>COD</w:t>
            </w:r>
          </w:p>
        </w:tc>
        <w:tc>
          <w:tcPr>
            <w:tcW w:w="483" w:type="pct"/>
            <w:vMerge w:val="continue"/>
            <w:vAlign w:val="center"/>
          </w:tcPr>
          <w:p w14:paraId="1A842090">
            <w:pPr>
              <w:pStyle w:val="58"/>
              <w:bidi w:val="0"/>
              <w:jc w:val="center"/>
              <w:rPr>
                <w:rFonts w:hint="default"/>
                <w:highlight w:val="none"/>
              </w:rPr>
            </w:pPr>
          </w:p>
        </w:tc>
        <w:tc>
          <w:tcPr>
            <w:tcW w:w="559" w:type="pct"/>
            <w:vMerge w:val="continue"/>
            <w:vAlign w:val="center"/>
          </w:tcPr>
          <w:p w14:paraId="647FF1A7">
            <w:pPr>
              <w:pStyle w:val="58"/>
              <w:bidi w:val="0"/>
              <w:jc w:val="center"/>
              <w:rPr>
                <w:rFonts w:hint="default"/>
                <w:highlight w:val="none"/>
              </w:rPr>
            </w:pPr>
          </w:p>
        </w:tc>
        <w:tc>
          <w:tcPr>
            <w:tcW w:w="808" w:type="pct"/>
            <w:vMerge w:val="continue"/>
            <w:vAlign w:val="center"/>
          </w:tcPr>
          <w:p w14:paraId="26EA642F">
            <w:pPr>
              <w:pStyle w:val="58"/>
              <w:bidi w:val="0"/>
              <w:jc w:val="center"/>
              <w:rPr>
                <w:rFonts w:hint="default"/>
                <w:highlight w:val="none"/>
              </w:rPr>
            </w:pPr>
          </w:p>
        </w:tc>
        <w:tc>
          <w:tcPr>
            <w:tcW w:w="241" w:type="pct"/>
            <w:vMerge w:val="continue"/>
            <w:vAlign w:val="center"/>
          </w:tcPr>
          <w:p w14:paraId="32F43CE3">
            <w:pPr>
              <w:pStyle w:val="58"/>
              <w:bidi w:val="0"/>
              <w:jc w:val="center"/>
              <w:rPr>
                <w:rFonts w:hint="default"/>
                <w:highlight w:val="none"/>
              </w:rPr>
            </w:pPr>
          </w:p>
        </w:tc>
        <w:tc>
          <w:tcPr>
            <w:tcW w:w="646" w:type="pct"/>
            <w:vMerge w:val="continue"/>
            <w:vAlign w:val="center"/>
          </w:tcPr>
          <w:p w14:paraId="0563C03F">
            <w:pPr>
              <w:pStyle w:val="58"/>
              <w:bidi w:val="0"/>
              <w:jc w:val="center"/>
              <w:rPr>
                <w:rFonts w:hint="default"/>
                <w:highlight w:val="none"/>
              </w:rPr>
            </w:pPr>
          </w:p>
        </w:tc>
        <w:tc>
          <w:tcPr>
            <w:tcW w:w="304" w:type="pct"/>
            <w:vMerge w:val="continue"/>
            <w:vAlign w:val="center"/>
          </w:tcPr>
          <w:p w14:paraId="4FFBC957">
            <w:pPr>
              <w:pStyle w:val="58"/>
              <w:bidi w:val="0"/>
              <w:jc w:val="center"/>
              <w:rPr>
                <w:rFonts w:hint="default"/>
                <w:highlight w:val="none"/>
              </w:rPr>
            </w:pPr>
          </w:p>
        </w:tc>
        <w:tc>
          <w:tcPr>
            <w:tcW w:w="623" w:type="pct"/>
            <w:vMerge w:val="continue"/>
            <w:vAlign w:val="center"/>
          </w:tcPr>
          <w:p w14:paraId="2A8E1FF9">
            <w:pPr>
              <w:pStyle w:val="58"/>
              <w:bidi w:val="0"/>
              <w:jc w:val="center"/>
              <w:rPr>
                <w:rFonts w:hint="default"/>
                <w:highlight w:val="none"/>
              </w:rPr>
            </w:pPr>
          </w:p>
        </w:tc>
      </w:tr>
      <w:tr w14:paraId="732A72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7" w:hRule="atLeast"/>
        </w:trPr>
        <w:tc>
          <w:tcPr>
            <w:tcW w:w="275" w:type="pct"/>
            <w:vMerge w:val="continue"/>
            <w:vAlign w:val="center"/>
          </w:tcPr>
          <w:p w14:paraId="1345073B">
            <w:pPr>
              <w:pStyle w:val="58"/>
              <w:bidi w:val="0"/>
              <w:jc w:val="center"/>
              <w:rPr>
                <w:rFonts w:hint="default"/>
                <w:highlight w:val="none"/>
              </w:rPr>
            </w:pPr>
          </w:p>
        </w:tc>
        <w:tc>
          <w:tcPr>
            <w:tcW w:w="479" w:type="pct"/>
            <w:vMerge w:val="continue"/>
            <w:vAlign w:val="center"/>
          </w:tcPr>
          <w:p w14:paraId="5F07D143">
            <w:pPr>
              <w:pStyle w:val="58"/>
              <w:bidi w:val="0"/>
              <w:jc w:val="center"/>
              <w:rPr>
                <w:rFonts w:hint="default"/>
                <w:highlight w:val="none"/>
              </w:rPr>
            </w:pPr>
          </w:p>
        </w:tc>
        <w:tc>
          <w:tcPr>
            <w:tcW w:w="578" w:type="pct"/>
            <w:vAlign w:val="center"/>
          </w:tcPr>
          <w:p w14:paraId="3BD9E1FE">
            <w:pPr>
              <w:pStyle w:val="58"/>
              <w:bidi w:val="0"/>
              <w:jc w:val="center"/>
              <w:rPr>
                <w:rFonts w:hint="default"/>
                <w:highlight w:val="none"/>
              </w:rPr>
            </w:pPr>
            <w:r>
              <w:rPr>
                <w:rFonts w:hint="default"/>
                <w:highlight w:val="none"/>
              </w:rPr>
              <w:t>氨氮</w:t>
            </w:r>
          </w:p>
        </w:tc>
        <w:tc>
          <w:tcPr>
            <w:tcW w:w="483" w:type="pct"/>
            <w:vMerge w:val="continue"/>
            <w:vAlign w:val="center"/>
          </w:tcPr>
          <w:p w14:paraId="1DE381B5">
            <w:pPr>
              <w:pStyle w:val="58"/>
              <w:bidi w:val="0"/>
              <w:jc w:val="center"/>
              <w:rPr>
                <w:rFonts w:hint="default"/>
                <w:highlight w:val="none"/>
              </w:rPr>
            </w:pPr>
          </w:p>
        </w:tc>
        <w:tc>
          <w:tcPr>
            <w:tcW w:w="559" w:type="pct"/>
            <w:vMerge w:val="continue"/>
            <w:vAlign w:val="center"/>
          </w:tcPr>
          <w:p w14:paraId="5325293C">
            <w:pPr>
              <w:pStyle w:val="58"/>
              <w:bidi w:val="0"/>
              <w:jc w:val="center"/>
              <w:rPr>
                <w:rFonts w:hint="default"/>
                <w:highlight w:val="none"/>
              </w:rPr>
            </w:pPr>
          </w:p>
        </w:tc>
        <w:tc>
          <w:tcPr>
            <w:tcW w:w="808" w:type="pct"/>
            <w:vMerge w:val="continue"/>
            <w:vAlign w:val="center"/>
          </w:tcPr>
          <w:p w14:paraId="056B9EBB">
            <w:pPr>
              <w:pStyle w:val="58"/>
              <w:bidi w:val="0"/>
              <w:jc w:val="center"/>
              <w:rPr>
                <w:rFonts w:hint="default"/>
                <w:highlight w:val="none"/>
              </w:rPr>
            </w:pPr>
          </w:p>
        </w:tc>
        <w:tc>
          <w:tcPr>
            <w:tcW w:w="241" w:type="pct"/>
            <w:vMerge w:val="continue"/>
            <w:vAlign w:val="center"/>
          </w:tcPr>
          <w:p w14:paraId="3B2EF416">
            <w:pPr>
              <w:pStyle w:val="58"/>
              <w:bidi w:val="0"/>
              <w:jc w:val="center"/>
              <w:rPr>
                <w:rFonts w:hint="default"/>
                <w:highlight w:val="none"/>
              </w:rPr>
            </w:pPr>
          </w:p>
        </w:tc>
        <w:tc>
          <w:tcPr>
            <w:tcW w:w="646" w:type="pct"/>
            <w:vMerge w:val="continue"/>
            <w:vAlign w:val="center"/>
          </w:tcPr>
          <w:p w14:paraId="230F1F16">
            <w:pPr>
              <w:pStyle w:val="58"/>
              <w:bidi w:val="0"/>
              <w:jc w:val="center"/>
              <w:rPr>
                <w:rFonts w:hint="default"/>
                <w:highlight w:val="none"/>
              </w:rPr>
            </w:pPr>
          </w:p>
        </w:tc>
        <w:tc>
          <w:tcPr>
            <w:tcW w:w="304" w:type="pct"/>
            <w:vMerge w:val="continue"/>
            <w:vAlign w:val="center"/>
          </w:tcPr>
          <w:p w14:paraId="6688CA6C">
            <w:pPr>
              <w:pStyle w:val="58"/>
              <w:bidi w:val="0"/>
              <w:jc w:val="center"/>
              <w:rPr>
                <w:rFonts w:hint="default"/>
                <w:highlight w:val="none"/>
              </w:rPr>
            </w:pPr>
          </w:p>
        </w:tc>
        <w:tc>
          <w:tcPr>
            <w:tcW w:w="623" w:type="pct"/>
            <w:vMerge w:val="continue"/>
            <w:vAlign w:val="center"/>
          </w:tcPr>
          <w:p w14:paraId="1AEAA520">
            <w:pPr>
              <w:pStyle w:val="58"/>
              <w:bidi w:val="0"/>
              <w:jc w:val="center"/>
              <w:rPr>
                <w:rFonts w:hint="default"/>
                <w:highlight w:val="none"/>
              </w:rPr>
            </w:pPr>
          </w:p>
        </w:tc>
      </w:tr>
      <w:tr w14:paraId="44C9D30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7" w:hRule="atLeast"/>
        </w:trPr>
        <w:tc>
          <w:tcPr>
            <w:tcW w:w="275" w:type="pct"/>
            <w:vMerge w:val="continue"/>
            <w:vAlign w:val="center"/>
          </w:tcPr>
          <w:p w14:paraId="7C536E18">
            <w:pPr>
              <w:pStyle w:val="58"/>
              <w:bidi w:val="0"/>
              <w:jc w:val="center"/>
              <w:rPr>
                <w:rFonts w:hint="default"/>
                <w:highlight w:val="none"/>
              </w:rPr>
            </w:pPr>
          </w:p>
        </w:tc>
        <w:tc>
          <w:tcPr>
            <w:tcW w:w="479" w:type="pct"/>
            <w:vMerge w:val="continue"/>
            <w:vAlign w:val="center"/>
          </w:tcPr>
          <w:p w14:paraId="1ABEC890">
            <w:pPr>
              <w:pStyle w:val="58"/>
              <w:bidi w:val="0"/>
              <w:jc w:val="center"/>
              <w:rPr>
                <w:rFonts w:hint="default"/>
                <w:highlight w:val="none"/>
              </w:rPr>
            </w:pPr>
          </w:p>
        </w:tc>
        <w:tc>
          <w:tcPr>
            <w:tcW w:w="578" w:type="pct"/>
            <w:vAlign w:val="center"/>
          </w:tcPr>
          <w:p w14:paraId="3299B1A1">
            <w:pPr>
              <w:pStyle w:val="58"/>
              <w:bidi w:val="0"/>
              <w:jc w:val="center"/>
              <w:rPr>
                <w:rFonts w:hint="default"/>
                <w:highlight w:val="none"/>
              </w:rPr>
            </w:pPr>
            <w:r>
              <w:rPr>
                <w:rFonts w:hint="default"/>
                <w:highlight w:val="none"/>
              </w:rPr>
              <w:t>SS</w:t>
            </w:r>
          </w:p>
        </w:tc>
        <w:tc>
          <w:tcPr>
            <w:tcW w:w="483" w:type="pct"/>
            <w:vMerge w:val="continue"/>
            <w:vAlign w:val="center"/>
          </w:tcPr>
          <w:p w14:paraId="6F2DD8EB">
            <w:pPr>
              <w:pStyle w:val="58"/>
              <w:bidi w:val="0"/>
              <w:jc w:val="center"/>
              <w:rPr>
                <w:rFonts w:hint="default"/>
                <w:highlight w:val="none"/>
              </w:rPr>
            </w:pPr>
          </w:p>
        </w:tc>
        <w:tc>
          <w:tcPr>
            <w:tcW w:w="559" w:type="pct"/>
            <w:vMerge w:val="continue"/>
            <w:vAlign w:val="center"/>
          </w:tcPr>
          <w:p w14:paraId="6B1CF23C">
            <w:pPr>
              <w:pStyle w:val="58"/>
              <w:bidi w:val="0"/>
              <w:jc w:val="center"/>
              <w:rPr>
                <w:rFonts w:hint="default"/>
                <w:highlight w:val="none"/>
              </w:rPr>
            </w:pPr>
          </w:p>
        </w:tc>
        <w:tc>
          <w:tcPr>
            <w:tcW w:w="808" w:type="pct"/>
            <w:vMerge w:val="continue"/>
            <w:vAlign w:val="center"/>
          </w:tcPr>
          <w:p w14:paraId="149FB4A5">
            <w:pPr>
              <w:pStyle w:val="58"/>
              <w:bidi w:val="0"/>
              <w:jc w:val="center"/>
              <w:rPr>
                <w:rFonts w:hint="default"/>
                <w:highlight w:val="none"/>
              </w:rPr>
            </w:pPr>
          </w:p>
        </w:tc>
        <w:tc>
          <w:tcPr>
            <w:tcW w:w="241" w:type="pct"/>
            <w:vMerge w:val="continue"/>
            <w:vAlign w:val="center"/>
          </w:tcPr>
          <w:p w14:paraId="1E38F5EC">
            <w:pPr>
              <w:pStyle w:val="58"/>
              <w:bidi w:val="0"/>
              <w:jc w:val="center"/>
              <w:rPr>
                <w:rFonts w:hint="default"/>
                <w:highlight w:val="none"/>
              </w:rPr>
            </w:pPr>
          </w:p>
        </w:tc>
        <w:tc>
          <w:tcPr>
            <w:tcW w:w="646" w:type="pct"/>
            <w:vMerge w:val="continue"/>
            <w:vAlign w:val="center"/>
          </w:tcPr>
          <w:p w14:paraId="77FBA0AE">
            <w:pPr>
              <w:pStyle w:val="58"/>
              <w:bidi w:val="0"/>
              <w:jc w:val="center"/>
              <w:rPr>
                <w:rFonts w:hint="default"/>
                <w:highlight w:val="none"/>
              </w:rPr>
            </w:pPr>
          </w:p>
        </w:tc>
        <w:tc>
          <w:tcPr>
            <w:tcW w:w="304" w:type="pct"/>
            <w:vMerge w:val="continue"/>
            <w:vAlign w:val="center"/>
          </w:tcPr>
          <w:p w14:paraId="077B3C52">
            <w:pPr>
              <w:pStyle w:val="58"/>
              <w:bidi w:val="0"/>
              <w:jc w:val="center"/>
              <w:rPr>
                <w:rFonts w:hint="default"/>
                <w:highlight w:val="none"/>
              </w:rPr>
            </w:pPr>
          </w:p>
        </w:tc>
        <w:tc>
          <w:tcPr>
            <w:tcW w:w="623" w:type="pct"/>
            <w:vMerge w:val="continue"/>
            <w:vAlign w:val="center"/>
          </w:tcPr>
          <w:p w14:paraId="12ACC970">
            <w:pPr>
              <w:pStyle w:val="58"/>
              <w:bidi w:val="0"/>
              <w:jc w:val="center"/>
              <w:rPr>
                <w:rFonts w:hint="default"/>
                <w:highlight w:val="none"/>
              </w:rPr>
            </w:pPr>
          </w:p>
        </w:tc>
      </w:tr>
    </w:tbl>
    <w:p w14:paraId="0F4BF15A">
      <w:pPr>
        <w:numPr>
          <w:ilvl w:val="0"/>
          <w:numId w:val="45"/>
        </w:numPr>
        <w:spacing w:line="440" w:lineRule="exact"/>
        <w:ind w:left="425" w:leftChars="0" w:hanging="425" w:firstLineChars="0"/>
        <w:jc w:val="center"/>
        <w:rPr>
          <w:rFonts w:hint="eastAsia" w:cs="Times New Roman"/>
          <w:b/>
          <w:bCs/>
          <w:color w:val="000000" w:themeColor="text1"/>
          <w:spacing w:val="-2"/>
          <w:sz w:val="24"/>
          <w:highlight w:val="none"/>
          <w:lang w:val="en-US" w:eastAsia="zh-CN"/>
          <w14:textFill>
            <w14:solidFill>
              <w14:schemeClr w14:val="tx1"/>
            </w14:solidFill>
          </w14:textFill>
        </w:rPr>
      </w:pPr>
      <w:r>
        <w:rPr>
          <w:rFonts w:hint="eastAsia" w:cs="Times New Roman"/>
          <w:b/>
          <w:bCs/>
          <w:color w:val="000000" w:themeColor="text1"/>
          <w:spacing w:val="-2"/>
          <w:sz w:val="24"/>
          <w:highlight w:val="none"/>
          <w:lang w:val="en-US" w:eastAsia="zh-CN"/>
          <w14:textFill>
            <w14:solidFill>
              <w14:schemeClr w14:val="tx1"/>
            </w14:solidFill>
          </w14:textFill>
        </w:rPr>
        <w:t xml:space="preserve"> 噪声监测计划</w:t>
      </w:r>
    </w:p>
    <w:tbl>
      <w:tblPr>
        <w:tblStyle w:val="88"/>
        <w:tblW w:w="14017"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484"/>
        <w:gridCol w:w="1166"/>
        <w:gridCol w:w="1680"/>
        <w:gridCol w:w="6165"/>
        <w:gridCol w:w="1526"/>
        <w:gridCol w:w="1577"/>
        <w:gridCol w:w="473"/>
        <w:gridCol w:w="946"/>
      </w:tblGrid>
      <w:tr w14:paraId="775161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69" w:hRule="atLeast"/>
        </w:trPr>
        <w:tc>
          <w:tcPr>
            <w:tcW w:w="0" w:type="auto"/>
            <w:vMerge w:val="restart"/>
            <w:vAlign w:val="center"/>
          </w:tcPr>
          <w:p w14:paraId="17F3EE16">
            <w:pPr>
              <w:pStyle w:val="58"/>
              <w:bidi w:val="0"/>
              <w:jc w:val="center"/>
              <w:rPr>
                <w:rFonts w:hint="default"/>
                <w:highlight w:val="none"/>
                <w:lang w:val="en-US" w:eastAsia="zh-CN"/>
              </w:rPr>
            </w:pPr>
            <w:r>
              <w:rPr>
                <w:rFonts w:hint="default"/>
                <w:highlight w:val="none"/>
                <w:lang w:val="en-US" w:eastAsia="zh-CN"/>
              </w:rPr>
              <w:t>类别</w:t>
            </w:r>
          </w:p>
        </w:tc>
        <w:tc>
          <w:tcPr>
            <w:tcW w:w="0" w:type="auto"/>
            <w:vMerge w:val="restart"/>
            <w:vAlign w:val="center"/>
          </w:tcPr>
          <w:p w14:paraId="023FE98C">
            <w:pPr>
              <w:pStyle w:val="58"/>
              <w:bidi w:val="0"/>
              <w:jc w:val="center"/>
              <w:rPr>
                <w:rFonts w:hint="default"/>
                <w:highlight w:val="none"/>
                <w:lang w:val="en-US" w:eastAsia="zh-CN"/>
              </w:rPr>
            </w:pPr>
            <w:r>
              <w:rPr>
                <w:rFonts w:hint="default"/>
                <w:highlight w:val="none"/>
                <w:lang w:val="en-US" w:eastAsia="zh-CN"/>
              </w:rPr>
              <w:t>污染源</w:t>
            </w:r>
          </w:p>
        </w:tc>
        <w:tc>
          <w:tcPr>
            <w:tcW w:w="0" w:type="auto"/>
            <w:vMerge w:val="restart"/>
            <w:vAlign w:val="center"/>
          </w:tcPr>
          <w:p w14:paraId="67414F5A">
            <w:pPr>
              <w:pStyle w:val="58"/>
              <w:bidi w:val="0"/>
              <w:jc w:val="center"/>
              <w:rPr>
                <w:rFonts w:hint="default"/>
                <w:highlight w:val="none"/>
                <w:lang w:val="en-US" w:eastAsia="zh-CN"/>
              </w:rPr>
            </w:pPr>
            <w:r>
              <w:rPr>
                <w:rFonts w:hint="default"/>
                <w:highlight w:val="none"/>
                <w:lang w:val="en-US" w:eastAsia="zh-CN"/>
              </w:rPr>
              <w:t>监测指标</w:t>
            </w:r>
          </w:p>
        </w:tc>
        <w:tc>
          <w:tcPr>
            <w:tcW w:w="0" w:type="auto"/>
            <w:gridSpan w:val="2"/>
            <w:vAlign w:val="center"/>
          </w:tcPr>
          <w:p w14:paraId="0480BB9D">
            <w:pPr>
              <w:pStyle w:val="58"/>
              <w:bidi w:val="0"/>
              <w:jc w:val="center"/>
              <w:rPr>
                <w:rFonts w:hint="default"/>
                <w:highlight w:val="none"/>
                <w:lang w:val="en-US" w:eastAsia="zh-CN"/>
              </w:rPr>
            </w:pPr>
            <w:r>
              <w:rPr>
                <w:rFonts w:hint="default"/>
                <w:highlight w:val="none"/>
                <w:lang w:val="en-US" w:eastAsia="zh-CN"/>
              </w:rPr>
              <w:t>执行标准及限值</w:t>
            </w:r>
          </w:p>
        </w:tc>
        <w:tc>
          <w:tcPr>
            <w:tcW w:w="0" w:type="auto"/>
            <w:vMerge w:val="restart"/>
            <w:vAlign w:val="center"/>
          </w:tcPr>
          <w:p w14:paraId="4FCD18FB">
            <w:pPr>
              <w:pStyle w:val="58"/>
              <w:bidi w:val="0"/>
              <w:jc w:val="center"/>
              <w:rPr>
                <w:rFonts w:hint="default"/>
                <w:highlight w:val="none"/>
                <w:lang w:val="en-US" w:eastAsia="zh-CN"/>
              </w:rPr>
            </w:pPr>
            <w:r>
              <w:rPr>
                <w:rFonts w:hint="default"/>
                <w:highlight w:val="none"/>
                <w:lang w:val="en-US" w:eastAsia="zh-CN"/>
              </w:rPr>
              <w:t>监测点位</w:t>
            </w:r>
          </w:p>
        </w:tc>
        <w:tc>
          <w:tcPr>
            <w:tcW w:w="0" w:type="auto"/>
            <w:vMerge w:val="restart"/>
            <w:vAlign w:val="center"/>
          </w:tcPr>
          <w:p w14:paraId="69343479">
            <w:pPr>
              <w:pStyle w:val="58"/>
              <w:bidi w:val="0"/>
              <w:jc w:val="center"/>
              <w:rPr>
                <w:rFonts w:hint="default"/>
                <w:highlight w:val="none"/>
                <w:lang w:val="en-US" w:eastAsia="zh-CN"/>
              </w:rPr>
            </w:pPr>
            <w:r>
              <w:rPr>
                <w:rFonts w:hint="default"/>
                <w:highlight w:val="none"/>
                <w:lang w:val="en-US" w:eastAsia="zh-CN"/>
              </w:rPr>
              <w:t>数量</w:t>
            </w:r>
          </w:p>
        </w:tc>
        <w:tc>
          <w:tcPr>
            <w:tcW w:w="0" w:type="auto"/>
            <w:vMerge w:val="restart"/>
            <w:vAlign w:val="center"/>
          </w:tcPr>
          <w:p w14:paraId="7AF5E791">
            <w:pPr>
              <w:pStyle w:val="58"/>
              <w:bidi w:val="0"/>
              <w:jc w:val="center"/>
              <w:rPr>
                <w:rFonts w:hint="default"/>
                <w:highlight w:val="none"/>
                <w:lang w:val="en-US" w:eastAsia="zh-CN"/>
              </w:rPr>
            </w:pPr>
            <w:r>
              <w:rPr>
                <w:rFonts w:hint="default"/>
                <w:highlight w:val="none"/>
                <w:lang w:val="en-US" w:eastAsia="zh-CN"/>
              </w:rPr>
              <w:t>监测频率</w:t>
            </w:r>
          </w:p>
        </w:tc>
      </w:tr>
      <w:tr w14:paraId="5A07181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62" w:hRule="atLeast"/>
        </w:trPr>
        <w:tc>
          <w:tcPr>
            <w:tcW w:w="0" w:type="auto"/>
            <w:vMerge w:val="continue"/>
            <w:vAlign w:val="center"/>
          </w:tcPr>
          <w:p w14:paraId="12E601F8">
            <w:pPr>
              <w:pStyle w:val="58"/>
              <w:bidi w:val="0"/>
              <w:jc w:val="center"/>
              <w:rPr>
                <w:rFonts w:hint="default"/>
                <w:highlight w:val="none"/>
                <w:lang w:val="en-US" w:eastAsia="zh-CN"/>
              </w:rPr>
            </w:pPr>
          </w:p>
        </w:tc>
        <w:tc>
          <w:tcPr>
            <w:tcW w:w="0" w:type="auto"/>
            <w:vMerge w:val="continue"/>
            <w:vAlign w:val="center"/>
          </w:tcPr>
          <w:p w14:paraId="64B58A25">
            <w:pPr>
              <w:pStyle w:val="58"/>
              <w:bidi w:val="0"/>
              <w:jc w:val="center"/>
              <w:rPr>
                <w:rFonts w:hint="default"/>
                <w:highlight w:val="none"/>
                <w:lang w:val="en-US" w:eastAsia="zh-CN"/>
              </w:rPr>
            </w:pPr>
          </w:p>
        </w:tc>
        <w:tc>
          <w:tcPr>
            <w:tcW w:w="0" w:type="auto"/>
            <w:vMerge w:val="continue"/>
            <w:vAlign w:val="center"/>
          </w:tcPr>
          <w:p w14:paraId="7C778539">
            <w:pPr>
              <w:pStyle w:val="58"/>
              <w:bidi w:val="0"/>
              <w:jc w:val="center"/>
              <w:rPr>
                <w:rFonts w:hint="default"/>
                <w:highlight w:val="none"/>
                <w:lang w:val="en-US" w:eastAsia="zh-CN"/>
              </w:rPr>
            </w:pPr>
          </w:p>
        </w:tc>
        <w:tc>
          <w:tcPr>
            <w:tcW w:w="0" w:type="auto"/>
            <w:vAlign w:val="center"/>
          </w:tcPr>
          <w:p w14:paraId="760E7E4F">
            <w:pPr>
              <w:pStyle w:val="58"/>
              <w:bidi w:val="0"/>
              <w:jc w:val="center"/>
              <w:rPr>
                <w:rFonts w:hint="default"/>
                <w:highlight w:val="none"/>
                <w:lang w:val="en-US" w:eastAsia="zh-CN"/>
              </w:rPr>
            </w:pPr>
            <w:r>
              <w:rPr>
                <w:rFonts w:hint="default"/>
                <w:highlight w:val="none"/>
                <w:lang w:val="en-US" w:eastAsia="zh-CN"/>
              </w:rPr>
              <w:t>标准名称</w:t>
            </w:r>
          </w:p>
        </w:tc>
        <w:tc>
          <w:tcPr>
            <w:tcW w:w="0" w:type="auto"/>
            <w:vAlign w:val="center"/>
          </w:tcPr>
          <w:p w14:paraId="181983DD">
            <w:pPr>
              <w:pStyle w:val="58"/>
              <w:bidi w:val="0"/>
              <w:jc w:val="center"/>
              <w:rPr>
                <w:rFonts w:hint="default"/>
                <w:highlight w:val="none"/>
                <w:lang w:val="en-US" w:eastAsia="zh-CN"/>
              </w:rPr>
            </w:pPr>
            <w:r>
              <w:rPr>
                <w:rFonts w:hint="default"/>
                <w:highlight w:val="none"/>
                <w:lang w:val="en-US" w:eastAsia="zh-CN"/>
              </w:rPr>
              <w:t>标准限值</w:t>
            </w:r>
          </w:p>
        </w:tc>
        <w:tc>
          <w:tcPr>
            <w:tcW w:w="0" w:type="auto"/>
            <w:vMerge w:val="continue"/>
            <w:vAlign w:val="center"/>
          </w:tcPr>
          <w:p w14:paraId="63228CA3">
            <w:pPr>
              <w:pStyle w:val="58"/>
              <w:bidi w:val="0"/>
              <w:jc w:val="center"/>
              <w:rPr>
                <w:rFonts w:hint="default"/>
                <w:highlight w:val="none"/>
                <w:lang w:val="en-US" w:eastAsia="zh-CN"/>
              </w:rPr>
            </w:pPr>
          </w:p>
        </w:tc>
        <w:tc>
          <w:tcPr>
            <w:tcW w:w="0" w:type="auto"/>
            <w:vMerge w:val="continue"/>
            <w:vAlign w:val="center"/>
          </w:tcPr>
          <w:p w14:paraId="53B46795">
            <w:pPr>
              <w:pStyle w:val="58"/>
              <w:bidi w:val="0"/>
              <w:jc w:val="center"/>
              <w:rPr>
                <w:rFonts w:hint="default"/>
                <w:highlight w:val="none"/>
                <w:lang w:val="en-US" w:eastAsia="zh-CN"/>
              </w:rPr>
            </w:pPr>
          </w:p>
        </w:tc>
        <w:tc>
          <w:tcPr>
            <w:tcW w:w="0" w:type="auto"/>
            <w:vMerge w:val="continue"/>
            <w:vAlign w:val="center"/>
          </w:tcPr>
          <w:p w14:paraId="7910A8CB">
            <w:pPr>
              <w:pStyle w:val="58"/>
              <w:bidi w:val="0"/>
              <w:jc w:val="center"/>
              <w:rPr>
                <w:rFonts w:hint="default"/>
                <w:highlight w:val="none"/>
                <w:lang w:val="en-US" w:eastAsia="zh-CN"/>
              </w:rPr>
            </w:pPr>
          </w:p>
        </w:tc>
      </w:tr>
      <w:tr w14:paraId="7FD0D05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281" w:hRule="atLeast"/>
        </w:trPr>
        <w:tc>
          <w:tcPr>
            <w:tcW w:w="0" w:type="auto"/>
            <w:vAlign w:val="center"/>
          </w:tcPr>
          <w:p w14:paraId="3E4B3F86">
            <w:pPr>
              <w:pStyle w:val="58"/>
              <w:bidi w:val="0"/>
              <w:jc w:val="center"/>
              <w:rPr>
                <w:rFonts w:hint="default"/>
                <w:highlight w:val="none"/>
                <w:lang w:val="en-US" w:eastAsia="zh-CN"/>
              </w:rPr>
            </w:pPr>
            <w:r>
              <w:rPr>
                <w:rFonts w:hint="default"/>
                <w:highlight w:val="none"/>
                <w:lang w:val="en-US" w:eastAsia="zh-CN"/>
              </w:rPr>
              <w:t>噪声</w:t>
            </w:r>
          </w:p>
        </w:tc>
        <w:tc>
          <w:tcPr>
            <w:tcW w:w="0" w:type="auto"/>
            <w:vAlign w:val="center"/>
          </w:tcPr>
          <w:p w14:paraId="52B5E8B4">
            <w:pPr>
              <w:pStyle w:val="58"/>
              <w:bidi w:val="0"/>
              <w:jc w:val="center"/>
              <w:rPr>
                <w:rFonts w:hint="default"/>
                <w:highlight w:val="none"/>
                <w:lang w:val="en-US" w:eastAsia="zh-CN"/>
              </w:rPr>
            </w:pPr>
            <w:r>
              <w:rPr>
                <w:rFonts w:hint="default"/>
                <w:highlight w:val="none"/>
                <w:lang w:val="en-US" w:eastAsia="zh-CN"/>
              </w:rPr>
              <w:t>各生产设备</w:t>
            </w:r>
          </w:p>
        </w:tc>
        <w:tc>
          <w:tcPr>
            <w:tcW w:w="0" w:type="auto"/>
            <w:vAlign w:val="center"/>
          </w:tcPr>
          <w:p w14:paraId="51E8E3F5">
            <w:pPr>
              <w:pStyle w:val="58"/>
              <w:bidi w:val="0"/>
              <w:jc w:val="center"/>
              <w:rPr>
                <w:rFonts w:hint="default"/>
                <w:highlight w:val="none"/>
                <w:lang w:val="en-US" w:eastAsia="zh-CN"/>
              </w:rPr>
            </w:pPr>
            <w:r>
              <w:rPr>
                <w:rFonts w:hint="default"/>
                <w:highlight w:val="none"/>
                <w:lang w:val="en-US" w:eastAsia="zh-CN"/>
              </w:rPr>
              <w:t>等效连续A声级</w:t>
            </w:r>
          </w:p>
        </w:tc>
        <w:tc>
          <w:tcPr>
            <w:tcW w:w="0" w:type="auto"/>
            <w:vAlign w:val="center"/>
          </w:tcPr>
          <w:p w14:paraId="2B92EA30">
            <w:pPr>
              <w:pStyle w:val="58"/>
              <w:bidi w:val="0"/>
              <w:jc w:val="center"/>
              <w:rPr>
                <w:rFonts w:hint="default"/>
                <w:highlight w:val="none"/>
                <w:lang w:val="en-US" w:eastAsia="zh-CN"/>
              </w:rPr>
            </w:pPr>
            <w:r>
              <w:rPr>
                <w:rFonts w:hint="default"/>
                <w:highlight w:val="none"/>
                <w:lang w:val="en-US" w:eastAsia="zh-CN"/>
              </w:rPr>
              <w:t>《工业企业厂界环境噪声排放标准》(GB12348-2008)3类标准</w:t>
            </w:r>
          </w:p>
        </w:tc>
        <w:tc>
          <w:tcPr>
            <w:tcW w:w="0" w:type="auto"/>
            <w:vAlign w:val="center"/>
          </w:tcPr>
          <w:p w14:paraId="136474DE">
            <w:pPr>
              <w:pStyle w:val="58"/>
              <w:bidi w:val="0"/>
              <w:jc w:val="center"/>
              <w:rPr>
                <w:rFonts w:hint="default"/>
                <w:highlight w:val="none"/>
                <w:lang w:val="en-US" w:eastAsia="zh-CN"/>
              </w:rPr>
            </w:pPr>
            <w:r>
              <w:rPr>
                <w:rFonts w:hint="default"/>
                <w:highlight w:val="none"/>
                <w:lang w:val="en-US" w:eastAsia="zh-CN"/>
              </w:rPr>
              <w:t>昼间：65dB(A)</w:t>
            </w:r>
          </w:p>
          <w:p w14:paraId="60170D40">
            <w:pPr>
              <w:pStyle w:val="58"/>
              <w:bidi w:val="0"/>
              <w:jc w:val="center"/>
              <w:rPr>
                <w:rFonts w:hint="default"/>
                <w:highlight w:val="none"/>
                <w:lang w:val="en-US" w:eastAsia="zh-CN"/>
              </w:rPr>
            </w:pPr>
            <w:r>
              <w:rPr>
                <w:rFonts w:hint="default"/>
                <w:highlight w:val="none"/>
                <w:lang w:val="en-US" w:eastAsia="zh-CN"/>
              </w:rPr>
              <w:t>夜间：55dB(A)</w:t>
            </w:r>
          </w:p>
        </w:tc>
        <w:tc>
          <w:tcPr>
            <w:tcW w:w="0" w:type="auto"/>
            <w:vAlign w:val="center"/>
          </w:tcPr>
          <w:p w14:paraId="53D9F8A8">
            <w:pPr>
              <w:pStyle w:val="58"/>
              <w:bidi w:val="0"/>
              <w:jc w:val="center"/>
              <w:rPr>
                <w:rFonts w:hint="default"/>
                <w:highlight w:val="none"/>
                <w:lang w:val="en-US" w:eastAsia="zh-CN"/>
              </w:rPr>
            </w:pPr>
            <w:r>
              <w:rPr>
                <w:rFonts w:hint="default"/>
                <w:highlight w:val="none"/>
                <w:lang w:val="en-US" w:eastAsia="zh-CN"/>
              </w:rPr>
              <w:t>各厂界外1m处</w:t>
            </w:r>
          </w:p>
        </w:tc>
        <w:tc>
          <w:tcPr>
            <w:tcW w:w="0" w:type="auto"/>
            <w:vAlign w:val="center"/>
          </w:tcPr>
          <w:p w14:paraId="16AEFCBA">
            <w:pPr>
              <w:pStyle w:val="58"/>
              <w:bidi w:val="0"/>
              <w:jc w:val="center"/>
              <w:rPr>
                <w:rFonts w:hint="default"/>
                <w:highlight w:val="none"/>
                <w:lang w:val="en-US" w:eastAsia="zh-CN"/>
              </w:rPr>
            </w:pPr>
            <w:r>
              <w:rPr>
                <w:rFonts w:hint="eastAsia"/>
                <w:highlight w:val="none"/>
                <w:lang w:val="en-US" w:eastAsia="zh-CN"/>
              </w:rPr>
              <w:t>4</w:t>
            </w:r>
            <w:r>
              <w:rPr>
                <w:rFonts w:hint="default"/>
                <w:highlight w:val="none"/>
                <w:lang w:val="en-US" w:eastAsia="zh-CN"/>
              </w:rPr>
              <w:t>个</w:t>
            </w:r>
          </w:p>
        </w:tc>
        <w:tc>
          <w:tcPr>
            <w:tcW w:w="0" w:type="auto"/>
            <w:vAlign w:val="center"/>
          </w:tcPr>
          <w:p w14:paraId="37E57773">
            <w:pPr>
              <w:pStyle w:val="58"/>
              <w:bidi w:val="0"/>
              <w:jc w:val="center"/>
              <w:rPr>
                <w:rFonts w:hint="default"/>
                <w:highlight w:val="none"/>
                <w:lang w:val="en-US" w:eastAsia="zh-CN"/>
              </w:rPr>
            </w:pPr>
            <w:r>
              <w:rPr>
                <w:rFonts w:hint="default"/>
                <w:highlight w:val="none"/>
                <w:lang w:val="en-US" w:eastAsia="zh-CN"/>
              </w:rPr>
              <w:t>1次/季</w:t>
            </w:r>
          </w:p>
        </w:tc>
      </w:tr>
    </w:tbl>
    <w:p w14:paraId="1FED6D7A">
      <w:pPr>
        <w:numPr>
          <w:ilvl w:val="0"/>
          <w:numId w:val="45"/>
        </w:numPr>
        <w:spacing w:line="440" w:lineRule="exact"/>
        <w:ind w:left="425" w:leftChars="0" w:hanging="425" w:firstLineChars="0"/>
        <w:jc w:val="center"/>
        <w:rPr>
          <w:rFonts w:hint="default" w:cs="Times New Roman"/>
          <w:b/>
          <w:bCs/>
          <w:color w:val="000000" w:themeColor="text1"/>
          <w:spacing w:val="-2"/>
          <w:sz w:val="24"/>
          <w:highlight w:val="none"/>
          <w:lang w:val="en-US" w:eastAsia="zh-CN"/>
          <w14:textFill>
            <w14:solidFill>
              <w14:schemeClr w14:val="tx1"/>
            </w14:solidFill>
          </w14:textFill>
        </w:rPr>
      </w:pPr>
      <w:r>
        <w:rPr>
          <w:rFonts w:hint="default" w:cs="Times New Roman"/>
          <w:b/>
          <w:bCs/>
          <w:color w:val="000000" w:themeColor="text1"/>
          <w:spacing w:val="-2"/>
          <w:sz w:val="24"/>
          <w:highlight w:val="none"/>
          <w:lang w:val="en-US" w:eastAsia="zh-CN"/>
          <w14:textFill>
            <w14:solidFill>
              <w14:schemeClr w14:val="tx1"/>
            </w14:solidFill>
          </w14:textFill>
        </w:rPr>
        <w:t xml:space="preserve"> 地下水水质监测计划一览表</w:t>
      </w:r>
    </w:p>
    <w:tbl>
      <w:tblPr>
        <w:tblStyle w:val="88"/>
        <w:tblpPr w:leftFromText="180" w:rightFromText="180" w:vertAnchor="text" w:horzAnchor="page" w:tblpX="1399" w:tblpY="12"/>
        <w:tblOverlap w:val="never"/>
        <w:tblW w:w="4998"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1176"/>
        <w:gridCol w:w="1725"/>
        <w:gridCol w:w="1574"/>
        <w:gridCol w:w="1899"/>
        <w:gridCol w:w="1406"/>
        <w:gridCol w:w="1599"/>
        <w:gridCol w:w="3409"/>
        <w:gridCol w:w="1240"/>
      </w:tblGrid>
      <w:tr w14:paraId="49FD49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19" w:type="pct"/>
            <w:vAlign w:val="center"/>
          </w:tcPr>
          <w:p w14:paraId="1AEAE35D">
            <w:pPr>
              <w:pStyle w:val="58"/>
              <w:bidi w:val="0"/>
              <w:jc w:val="center"/>
              <w:rPr>
                <w:rFonts w:hint="default"/>
                <w:highlight w:val="none"/>
                <w:lang w:val="en-US" w:eastAsia="zh-CN"/>
              </w:rPr>
            </w:pPr>
            <w:r>
              <w:rPr>
                <w:rFonts w:hint="default"/>
                <w:highlight w:val="none"/>
                <w:lang w:val="en-US" w:eastAsia="zh-CN"/>
              </w:rPr>
              <w:t>编号</w:t>
            </w:r>
          </w:p>
        </w:tc>
        <w:tc>
          <w:tcPr>
            <w:tcW w:w="615" w:type="pct"/>
            <w:vAlign w:val="center"/>
          </w:tcPr>
          <w:p w14:paraId="0F6C5440">
            <w:pPr>
              <w:pStyle w:val="58"/>
              <w:bidi w:val="0"/>
              <w:jc w:val="center"/>
              <w:rPr>
                <w:rFonts w:hint="default"/>
                <w:highlight w:val="none"/>
                <w:lang w:val="en-US" w:eastAsia="zh-CN"/>
              </w:rPr>
            </w:pPr>
            <w:r>
              <w:rPr>
                <w:rFonts w:hint="default"/>
                <w:highlight w:val="none"/>
                <w:lang w:val="en-US" w:eastAsia="zh-CN"/>
              </w:rPr>
              <w:t>监测点位</w:t>
            </w:r>
          </w:p>
        </w:tc>
        <w:tc>
          <w:tcPr>
            <w:tcW w:w="561" w:type="pct"/>
            <w:vAlign w:val="center"/>
          </w:tcPr>
          <w:p w14:paraId="59F71C5F">
            <w:pPr>
              <w:pStyle w:val="58"/>
              <w:bidi w:val="0"/>
              <w:jc w:val="center"/>
              <w:rPr>
                <w:rFonts w:hint="default"/>
                <w:highlight w:val="none"/>
                <w:lang w:val="en-US" w:eastAsia="zh-CN"/>
              </w:rPr>
            </w:pPr>
            <w:r>
              <w:rPr>
                <w:rFonts w:hint="default"/>
                <w:highlight w:val="none"/>
                <w:lang w:val="en-US" w:eastAsia="zh-CN"/>
              </w:rPr>
              <w:t>性质</w:t>
            </w:r>
          </w:p>
        </w:tc>
        <w:tc>
          <w:tcPr>
            <w:tcW w:w="677" w:type="pct"/>
            <w:vAlign w:val="center"/>
          </w:tcPr>
          <w:p w14:paraId="1B175FB2">
            <w:pPr>
              <w:pStyle w:val="58"/>
              <w:bidi w:val="0"/>
              <w:jc w:val="center"/>
              <w:rPr>
                <w:rFonts w:hint="default"/>
                <w:highlight w:val="none"/>
                <w:lang w:val="en-US" w:eastAsia="zh-CN"/>
              </w:rPr>
            </w:pPr>
            <w:r>
              <w:rPr>
                <w:rFonts w:hint="default"/>
                <w:highlight w:val="none"/>
                <w:lang w:val="en-US" w:eastAsia="zh-CN"/>
              </w:rPr>
              <w:t>监测井设置参数</w:t>
            </w:r>
          </w:p>
        </w:tc>
        <w:tc>
          <w:tcPr>
            <w:tcW w:w="501" w:type="pct"/>
            <w:vAlign w:val="center"/>
          </w:tcPr>
          <w:p w14:paraId="58E16641">
            <w:pPr>
              <w:pStyle w:val="58"/>
              <w:bidi w:val="0"/>
              <w:jc w:val="center"/>
              <w:rPr>
                <w:rFonts w:hint="default"/>
                <w:highlight w:val="none"/>
                <w:lang w:val="en-US" w:eastAsia="zh-CN"/>
              </w:rPr>
            </w:pPr>
            <w:r>
              <w:rPr>
                <w:rFonts w:hint="default"/>
                <w:highlight w:val="none"/>
                <w:lang w:val="en-US" w:eastAsia="zh-CN"/>
              </w:rPr>
              <w:t>监测项目</w:t>
            </w:r>
          </w:p>
        </w:tc>
        <w:tc>
          <w:tcPr>
            <w:tcW w:w="570" w:type="pct"/>
            <w:vAlign w:val="center"/>
          </w:tcPr>
          <w:p w14:paraId="21C2E576">
            <w:pPr>
              <w:pStyle w:val="58"/>
              <w:bidi w:val="0"/>
              <w:jc w:val="center"/>
              <w:rPr>
                <w:rFonts w:hint="default"/>
                <w:highlight w:val="none"/>
                <w:lang w:val="en-US" w:eastAsia="zh-CN"/>
              </w:rPr>
            </w:pPr>
            <w:r>
              <w:rPr>
                <w:rFonts w:hint="default"/>
                <w:highlight w:val="none"/>
                <w:lang w:val="en-US" w:eastAsia="zh-CN"/>
              </w:rPr>
              <w:t>监测频率</w:t>
            </w:r>
          </w:p>
        </w:tc>
        <w:tc>
          <w:tcPr>
            <w:tcW w:w="1215" w:type="pct"/>
            <w:vAlign w:val="center"/>
          </w:tcPr>
          <w:p w14:paraId="2E7D0C12">
            <w:pPr>
              <w:pStyle w:val="58"/>
              <w:bidi w:val="0"/>
              <w:jc w:val="center"/>
              <w:rPr>
                <w:rFonts w:hint="default"/>
                <w:highlight w:val="none"/>
                <w:lang w:val="en-US" w:eastAsia="zh-CN"/>
              </w:rPr>
            </w:pPr>
            <w:r>
              <w:rPr>
                <w:rFonts w:hint="default"/>
                <w:highlight w:val="none"/>
                <w:lang w:val="en-US" w:eastAsia="zh-CN"/>
              </w:rPr>
              <w:t>标准</w:t>
            </w:r>
          </w:p>
        </w:tc>
        <w:tc>
          <w:tcPr>
            <w:tcW w:w="439" w:type="pct"/>
            <w:vAlign w:val="center"/>
          </w:tcPr>
          <w:p w14:paraId="1AB9F919">
            <w:pPr>
              <w:pStyle w:val="58"/>
              <w:bidi w:val="0"/>
              <w:jc w:val="center"/>
              <w:rPr>
                <w:rFonts w:hint="default"/>
                <w:highlight w:val="none"/>
                <w:lang w:val="en-US" w:eastAsia="zh-CN"/>
              </w:rPr>
            </w:pPr>
            <w:r>
              <w:rPr>
                <w:rFonts w:hint="default"/>
                <w:highlight w:val="none"/>
                <w:lang w:val="en-US" w:eastAsia="zh-CN"/>
              </w:rPr>
              <w:t>备注</w:t>
            </w:r>
          </w:p>
        </w:tc>
      </w:tr>
      <w:tr w14:paraId="4BEB7F2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19" w:type="pct"/>
            <w:vAlign w:val="center"/>
          </w:tcPr>
          <w:p w14:paraId="7175BCA8">
            <w:pPr>
              <w:pStyle w:val="58"/>
              <w:bidi w:val="0"/>
              <w:jc w:val="center"/>
              <w:rPr>
                <w:rFonts w:hint="default"/>
                <w:highlight w:val="none"/>
                <w:lang w:val="en-US" w:eastAsia="zh-CN"/>
              </w:rPr>
            </w:pPr>
            <w:r>
              <w:rPr>
                <w:rFonts w:hint="default"/>
                <w:highlight w:val="none"/>
                <w:lang w:val="en-US" w:eastAsia="zh-CN"/>
              </w:rPr>
              <w:t>JKJ1</w:t>
            </w:r>
          </w:p>
        </w:tc>
        <w:tc>
          <w:tcPr>
            <w:tcW w:w="615" w:type="pct"/>
            <w:vAlign w:val="center"/>
          </w:tcPr>
          <w:p w14:paraId="627083E0">
            <w:pPr>
              <w:pStyle w:val="58"/>
              <w:bidi w:val="0"/>
              <w:jc w:val="center"/>
              <w:rPr>
                <w:rFonts w:hint="default"/>
                <w:highlight w:val="none"/>
                <w:lang w:val="en-US" w:eastAsia="zh-CN"/>
              </w:rPr>
            </w:pPr>
            <w:r>
              <w:rPr>
                <w:rFonts w:hint="default"/>
                <w:highlight w:val="none"/>
                <w:lang w:val="en-US" w:eastAsia="zh-CN"/>
              </w:rPr>
              <w:t>厂区</w:t>
            </w:r>
            <w:r>
              <w:rPr>
                <w:rFonts w:hint="eastAsia"/>
                <w:highlight w:val="none"/>
                <w:lang w:val="en-US" w:eastAsia="zh-CN"/>
              </w:rPr>
              <w:t>东</w:t>
            </w:r>
            <w:r>
              <w:rPr>
                <w:rFonts w:hint="default"/>
                <w:highlight w:val="none"/>
                <w:lang w:val="en-US" w:eastAsia="zh-CN"/>
              </w:rPr>
              <w:t>北侧</w:t>
            </w:r>
          </w:p>
        </w:tc>
        <w:tc>
          <w:tcPr>
            <w:tcW w:w="561" w:type="pct"/>
            <w:vAlign w:val="center"/>
          </w:tcPr>
          <w:p w14:paraId="3562F48E">
            <w:pPr>
              <w:pStyle w:val="58"/>
              <w:bidi w:val="0"/>
              <w:jc w:val="center"/>
              <w:rPr>
                <w:rFonts w:hint="default"/>
                <w:highlight w:val="none"/>
                <w:lang w:val="en-US" w:eastAsia="zh-CN"/>
              </w:rPr>
            </w:pPr>
            <w:r>
              <w:rPr>
                <w:rFonts w:hint="default"/>
                <w:highlight w:val="none"/>
                <w:lang w:val="en-US" w:eastAsia="zh-CN"/>
              </w:rPr>
              <w:t>背景监测井</w:t>
            </w:r>
          </w:p>
        </w:tc>
        <w:tc>
          <w:tcPr>
            <w:tcW w:w="677" w:type="pct"/>
            <w:vMerge w:val="restart"/>
            <w:vAlign w:val="center"/>
          </w:tcPr>
          <w:p w14:paraId="26772FDE">
            <w:pPr>
              <w:pStyle w:val="58"/>
              <w:bidi w:val="0"/>
              <w:jc w:val="center"/>
              <w:rPr>
                <w:rFonts w:hint="default"/>
                <w:highlight w:val="none"/>
                <w:lang w:val="en-US" w:eastAsia="zh-CN"/>
              </w:rPr>
            </w:pPr>
            <w:r>
              <w:rPr>
                <w:rFonts w:hint="default"/>
                <w:highlight w:val="none"/>
                <w:lang w:val="en-US" w:eastAsia="zh-CN"/>
              </w:rPr>
              <w:t>井深约</w:t>
            </w:r>
            <w:r>
              <w:rPr>
                <w:rFonts w:hint="eastAsia"/>
                <w:highlight w:val="none"/>
                <w:lang w:val="en-US" w:eastAsia="zh-CN"/>
              </w:rPr>
              <w:t>10</w:t>
            </w:r>
            <w:r>
              <w:rPr>
                <w:rFonts w:hint="default"/>
                <w:highlight w:val="none"/>
                <w:lang w:val="en-US" w:eastAsia="zh-CN"/>
              </w:rPr>
              <w:t>m，井口直径不小于150mm。</w:t>
            </w:r>
          </w:p>
        </w:tc>
        <w:tc>
          <w:tcPr>
            <w:tcW w:w="501" w:type="pct"/>
            <w:vMerge w:val="restart"/>
            <w:vAlign w:val="center"/>
          </w:tcPr>
          <w:p w14:paraId="22F81158">
            <w:pPr>
              <w:pStyle w:val="58"/>
              <w:bidi w:val="0"/>
              <w:jc w:val="center"/>
              <w:rPr>
                <w:rFonts w:hint="default"/>
                <w:highlight w:val="none"/>
                <w:lang w:val="en-US" w:eastAsia="zh-CN"/>
              </w:rPr>
            </w:pPr>
            <w:r>
              <w:rPr>
                <w:rFonts w:hint="default"/>
                <w:highlight w:val="none"/>
                <w:lang w:val="en-US" w:eastAsia="zh-CN"/>
              </w:rPr>
              <w:t>pH、氨氮、硝酸盐氮、亚硝酸盐氮、总硬度、溶解性总固体、耗氧量、硫酸盐、氯化物、石油类</w:t>
            </w:r>
          </w:p>
        </w:tc>
        <w:tc>
          <w:tcPr>
            <w:tcW w:w="570" w:type="pct"/>
            <w:vAlign w:val="center"/>
          </w:tcPr>
          <w:p w14:paraId="575196BF">
            <w:pPr>
              <w:pStyle w:val="58"/>
              <w:bidi w:val="0"/>
              <w:jc w:val="center"/>
              <w:rPr>
                <w:rFonts w:hint="default"/>
                <w:highlight w:val="none"/>
                <w:lang w:val="en-US" w:eastAsia="zh-CN"/>
              </w:rPr>
            </w:pPr>
            <w:r>
              <w:rPr>
                <w:rFonts w:hint="default"/>
                <w:highlight w:val="none"/>
                <w:lang w:val="en-US" w:eastAsia="zh-CN"/>
              </w:rPr>
              <w:t>1次/年</w:t>
            </w:r>
          </w:p>
        </w:tc>
        <w:tc>
          <w:tcPr>
            <w:tcW w:w="1215" w:type="pct"/>
            <w:vMerge w:val="restart"/>
            <w:vAlign w:val="center"/>
          </w:tcPr>
          <w:p w14:paraId="58BE5C92">
            <w:pPr>
              <w:pStyle w:val="58"/>
              <w:bidi w:val="0"/>
              <w:jc w:val="center"/>
              <w:rPr>
                <w:rFonts w:hint="default"/>
                <w:highlight w:val="none"/>
                <w:lang w:val="en-US" w:eastAsia="zh-CN"/>
              </w:rPr>
            </w:pPr>
            <w:r>
              <w:rPr>
                <w:rFonts w:hint="default"/>
                <w:highlight w:val="none"/>
                <w:lang w:val="en-US" w:eastAsia="zh-CN"/>
              </w:rPr>
              <w:t>满足《地下水质量标准》(GB/T14848-</w:t>
            </w:r>
            <w:r>
              <w:rPr>
                <w:rFonts w:hint="eastAsia"/>
                <w:highlight w:val="none"/>
                <w:lang w:val="en-US" w:eastAsia="zh-CN"/>
              </w:rPr>
              <w:t>2017</w:t>
            </w:r>
            <w:r>
              <w:rPr>
                <w:rFonts w:hint="default"/>
                <w:highlight w:val="none"/>
                <w:lang w:val="en-US" w:eastAsia="zh-CN"/>
              </w:rPr>
              <w:t>)Ⅲ类标准，石油类满足《地表水环境质量标准》(GB3838-2002)Ⅲ类标准</w:t>
            </w:r>
          </w:p>
        </w:tc>
        <w:tc>
          <w:tcPr>
            <w:tcW w:w="439" w:type="pct"/>
            <w:vAlign w:val="center"/>
          </w:tcPr>
          <w:p w14:paraId="1DC4AEE9">
            <w:pPr>
              <w:pStyle w:val="58"/>
              <w:bidi w:val="0"/>
              <w:jc w:val="center"/>
              <w:rPr>
                <w:rFonts w:hint="default"/>
                <w:highlight w:val="none"/>
                <w:lang w:val="en-US" w:eastAsia="zh-CN"/>
              </w:rPr>
            </w:pPr>
            <w:r>
              <w:rPr>
                <w:rFonts w:hint="eastAsia"/>
                <w:highlight w:val="none"/>
                <w:lang w:val="en-US" w:eastAsia="zh-CN"/>
              </w:rPr>
              <w:t>新建</w:t>
            </w:r>
          </w:p>
        </w:tc>
      </w:tr>
      <w:tr w14:paraId="0DF4508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19" w:type="pct"/>
            <w:vAlign w:val="center"/>
          </w:tcPr>
          <w:p w14:paraId="6726DC73">
            <w:pPr>
              <w:pStyle w:val="58"/>
              <w:bidi w:val="0"/>
              <w:jc w:val="center"/>
              <w:rPr>
                <w:rFonts w:hint="default"/>
                <w:highlight w:val="none"/>
                <w:lang w:val="en-US" w:eastAsia="zh-CN"/>
              </w:rPr>
            </w:pPr>
            <w:r>
              <w:rPr>
                <w:rFonts w:hint="default"/>
                <w:highlight w:val="none"/>
                <w:lang w:val="en-US" w:eastAsia="zh-CN"/>
              </w:rPr>
              <w:t>JKJ2</w:t>
            </w:r>
          </w:p>
        </w:tc>
        <w:tc>
          <w:tcPr>
            <w:tcW w:w="615" w:type="pct"/>
            <w:vAlign w:val="center"/>
          </w:tcPr>
          <w:p w14:paraId="5906A2C8">
            <w:pPr>
              <w:pStyle w:val="58"/>
              <w:bidi w:val="0"/>
              <w:jc w:val="center"/>
              <w:rPr>
                <w:rFonts w:hint="default"/>
                <w:highlight w:val="none"/>
                <w:lang w:val="en-US" w:eastAsia="zh-CN"/>
              </w:rPr>
            </w:pPr>
            <w:r>
              <w:rPr>
                <w:rFonts w:hint="eastAsia"/>
                <w:highlight w:val="none"/>
                <w:lang w:val="en-US" w:eastAsia="zh-CN"/>
              </w:rPr>
              <w:t>厂区调节池</w:t>
            </w:r>
            <w:r>
              <w:rPr>
                <w:rFonts w:hint="default"/>
                <w:highlight w:val="none"/>
                <w:lang w:val="en-US" w:eastAsia="zh-CN"/>
              </w:rPr>
              <w:t>南侧</w:t>
            </w:r>
          </w:p>
        </w:tc>
        <w:tc>
          <w:tcPr>
            <w:tcW w:w="561" w:type="pct"/>
            <w:vAlign w:val="center"/>
          </w:tcPr>
          <w:p w14:paraId="11360C42">
            <w:pPr>
              <w:pStyle w:val="58"/>
              <w:bidi w:val="0"/>
              <w:jc w:val="center"/>
              <w:rPr>
                <w:rFonts w:hint="default"/>
                <w:highlight w:val="none"/>
                <w:lang w:val="en-US" w:eastAsia="zh-CN"/>
              </w:rPr>
            </w:pPr>
            <w:r>
              <w:rPr>
                <w:rFonts w:hint="default"/>
                <w:highlight w:val="none"/>
                <w:lang w:val="en-US" w:eastAsia="zh-CN"/>
              </w:rPr>
              <w:t>污染监测井</w:t>
            </w:r>
          </w:p>
        </w:tc>
        <w:tc>
          <w:tcPr>
            <w:tcW w:w="677" w:type="pct"/>
            <w:vMerge w:val="continue"/>
            <w:vAlign w:val="center"/>
          </w:tcPr>
          <w:p w14:paraId="6599F1D1">
            <w:pPr>
              <w:pStyle w:val="58"/>
              <w:bidi w:val="0"/>
              <w:jc w:val="center"/>
              <w:rPr>
                <w:rFonts w:hint="default"/>
                <w:highlight w:val="none"/>
                <w:lang w:val="en-US" w:eastAsia="zh-CN"/>
              </w:rPr>
            </w:pPr>
          </w:p>
        </w:tc>
        <w:tc>
          <w:tcPr>
            <w:tcW w:w="501" w:type="pct"/>
            <w:vMerge w:val="continue"/>
            <w:vAlign w:val="center"/>
          </w:tcPr>
          <w:p w14:paraId="7D89ECEB">
            <w:pPr>
              <w:pStyle w:val="58"/>
              <w:bidi w:val="0"/>
              <w:jc w:val="center"/>
              <w:rPr>
                <w:rFonts w:hint="default"/>
                <w:highlight w:val="none"/>
                <w:lang w:val="en-US" w:eastAsia="zh-CN"/>
              </w:rPr>
            </w:pPr>
          </w:p>
        </w:tc>
        <w:tc>
          <w:tcPr>
            <w:tcW w:w="570" w:type="pct"/>
            <w:vMerge w:val="restart"/>
            <w:vAlign w:val="center"/>
          </w:tcPr>
          <w:p w14:paraId="386D18EC">
            <w:pPr>
              <w:pStyle w:val="58"/>
              <w:bidi w:val="0"/>
              <w:jc w:val="center"/>
              <w:rPr>
                <w:rFonts w:hint="default"/>
                <w:highlight w:val="none"/>
                <w:lang w:val="en-US" w:eastAsia="zh-CN"/>
              </w:rPr>
            </w:pPr>
            <w:r>
              <w:rPr>
                <w:rFonts w:hint="default"/>
                <w:highlight w:val="none"/>
                <w:lang w:val="en-US" w:eastAsia="zh-CN"/>
              </w:rPr>
              <w:t>2次/年(枯、丰水期)</w:t>
            </w:r>
          </w:p>
        </w:tc>
        <w:tc>
          <w:tcPr>
            <w:tcW w:w="1215" w:type="pct"/>
            <w:vMerge w:val="continue"/>
            <w:vAlign w:val="center"/>
          </w:tcPr>
          <w:p w14:paraId="38AD541A">
            <w:pPr>
              <w:pStyle w:val="58"/>
              <w:bidi w:val="0"/>
              <w:jc w:val="center"/>
              <w:rPr>
                <w:rFonts w:hint="default"/>
                <w:highlight w:val="none"/>
                <w:lang w:val="en-US" w:eastAsia="zh-CN"/>
              </w:rPr>
            </w:pPr>
          </w:p>
        </w:tc>
        <w:tc>
          <w:tcPr>
            <w:tcW w:w="439" w:type="pct"/>
            <w:vAlign w:val="center"/>
          </w:tcPr>
          <w:p w14:paraId="32FBB9FB">
            <w:pPr>
              <w:pStyle w:val="58"/>
              <w:bidi w:val="0"/>
              <w:jc w:val="center"/>
              <w:rPr>
                <w:rFonts w:hint="default"/>
                <w:highlight w:val="none"/>
                <w:lang w:val="en-US" w:eastAsia="zh-CN"/>
              </w:rPr>
            </w:pPr>
            <w:r>
              <w:rPr>
                <w:rFonts w:hint="eastAsia"/>
                <w:highlight w:val="none"/>
                <w:lang w:val="en-US" w:eastAsia="zh-CN"/>
              </w:rPr>
              <w:t>原有</w:t>
            </w:r>
          </w:p>
        </w:tc>
      </w:tr>
      <w:tr w14:paraId="09F0A26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19" w:type="pct"/>
            <w:vAlign w:val="center"/>
          </w:tcPr>
          <w:p w14:paraId="58300205">
            <w:pPr>
              <w:pStyle w:val="58"/>
              <w:bidi w:val="0"/>
              <w:jc w:val="center"/>
              <w:rPr>
                <w:rFonts w:hint="default"/>
                <w:highlight w:val="none"/>
                <w:lang w:val="en-US" w:eastAsia="zh-CN"/>
              </w:rPr>
            </w:pPr>
            <w:r>
              <w:rPr>
                <w:rFonts w:hint="default"/>
                <w:highlight w:val="none"/>
                <w:lang w:val="en-US" w:eastAsia="zh-CN"/>
              </w:rPr>
              <w:t>JKJ3</w:t>
            </w:r>
          </w:p>
        </w:tc>
        <w:tc>
          <w:tcPr>
            <w:tcW w:w="615" w:type="pct"/>
            <w:vAlign w:val="center"/>
          </w:tcPr>
          <w:p w14:paraId="58235CA2">
            <w:pPr>
              <w:pStyle w:val="58"/>
              <w:bidi w:val="0"/>
              <w:jc w:val="center"/>
              <w:rPr>
                <w:rFonts w:hint="default"/>
                <w:highlight w:val="none"/>
                <w:lang w:val="en-US" w:eastAsia="zh-CN"/>
              </w:rPr>
            </w:pPr>
            <w:r>
              <w:rPr>
                <w:rFonts w:hint="default"/>
                <w:highlight w:val="none"/>
                <w:lang w:val="en-US" w:eastAsia="zh-CN"/>
              </w:rPr>
              <w:t>厂区</w:t>
            </w:r>
            <w:r>
              <w:rPr>
                <w:rFonts w:hint="eastAsia"/>
                <w:highlight w:val="none"/>
                <w:lang w:val="en-US" w:eastAsia="zh-CN"/>
              </w:rPr>
              <w:t>污泥池</w:t>
            </w:r>
            <w:r>
              <w:rPr>
                <w:rFonts w:hint="default"/>
                <w:highlight w:val="none"/>
                <w:lang w:val="en-US" w:eastAsia="zh-CN"/>
              </w:rPr>
              <w:t>南侧</w:t>
            </w:r>
          </w:p>
        </w:tc>
        <w:tc>
          <w:tcPr>
            <w:tcW w:w="561" w:type="pct"/>
            <w:vAlign w:val="center"/>
          </w:tcPr>
          <w:p w14:paraId="00CE9A64">
            <w:pPr>
              <w:pStyle w:val="58"/>
              <w:bidi w:val="0"/>
              <w:jc w:val="center"/>
              <w:rPr>
                <w:rFonts w:hint="default"/>
                <w:highlight w:val="none"/>
                <w:lang w:val="en-US" w:eastAsia="zh-CN"/>
              </w:rPr>
            </w:pPr>
            <w:r>
              <w:rPr>
                <w:rFonts w:hint="default"/>
                <w:highlight w:val="none"/>
                <w:lang w:val="en-US" w:eastAsia="zh-CN"/>
              </w:rPr>
              <w:t>污染监测井</w:t>
            </w:r>
          </w:p>
        </w:tc>
        <w:tc>
          <w:tcPr>
            <w:tcW w:w="677" w:type="pct"/>
            <w:vMerge w:val="continue"/>
            <w:vAlign w:val="center"/>
          </w:tcPr>
          <w:p w14:paraId="58F33C7F">
            <w:pPr>
              <w:pStyle w:val="58"/>
              <w:bidi w:val="0"/>
              <w:jc w:val="center"/>
              <w:rPr>
                <w:rFonts w:hint="default"/>
                <w:highlight w:val="none"/>
                <w:lang w:val="en-US" w:eastAsia="zh-CN"/>
              </w:rPr>
            </w:pPr>
          </w:p>
        </w:tc>
        <w:tc>
          <w:tcPr>
            <w:tcW w:w="501" w:type="pct"/>
            <w:vMerge w:val="continue"/>
            <w:vAlign w:val="center"/>
          </w:tcPr>
          <w:p w14:paraId="00C4449B">
            <w:pPr>
              <w:pStyle w:val="58"/>
              <w:bidi w:val="0"/>
              <w:jc w:val="center"/>
              <w:rPr>
                <w:rFonts w:hint="default"/>
                <w:highlight w:val="none"/>
                <w:lang w:val="en-US" w:eastAsia="zh-CN"/>
              </w:rPr>
            </w:pPr>
          </w:p>
        </w:tc>
        <w:tc>
          <w:tcPr>
            <w:tcW w:w="570" w:type="pct"/>
            <w:vMerge w:val="continue"/>
            <w:vAlign w:val="center"/>
          </w:tcPr>
          <w:p w14:paraId="4968B5F1">
            <w:pPr>
              <w:pStyle w:val="58"/>
              <w:bidi w:val="0"/>
              <w:jc w:val="center"/>
              <w:rPr>
                <w:rFonts w:hint="default"/>
                <w:highlight w:val="none"/>
                <w:lang w:val="en-US" w:eastAsia="zh-CN"/>
              </w:rPr>
            </w:pPr>
          </w:p>
        </w:tc>
        <w:tc>
          <w:tcPr>
            <w:tcW w:w="1215" w:type="pct"/>
            <w:vMerge w:val="continue"/>
            <w:vAlign w:val="center"/>
          </w:tcPr>
          <w:p w14:paraId="0BC1F49A">
            <w:pPr>
              <w:pStyle w:val="58"/>
              <w:bidi w:val="0"/>
              <w:jc w:val="center"/>
              <w:rPr>
                <w:rFonts w:hint="default"/>
                <w:highlight w:val="none"/>
                <w:lang w:val="en-US" w:eastAsia="zh-CN"/>
              </w:rPr>
            </w:pPr>
          </w:p>
        </w:tc>
        <w:tc>
          <w:tcPr>
            <w:tcW w:w="439" w:type="pct"/>
            <w:vAlign w:val="center"/>
          </w:tcPr>
          <w:p w14:paraId="4595BF1B">
            <w:pPr>
              <w:pStyle w:val="58"/>
              <w:bidi w:val="0"/>
              <w:jc w:val="center"/>
              <w:rPr>
                <w:rFonts w:hint="default"/>
                <w:highlight w:val="none"/>
                <w:lang w:val="en-US" w:eastAsia="zh-CN"/>
              </w:rPr>
            </w:pPr>
            <w:r>
              <w:rPr>
                <w:rFonts w:hint="eastAsia"/>
                <w:highlight w:val="none"/>
                <w:lang w:val="en-US" w:eastAsia="zh-CN"/>
              </w:rPr>
              <w:t>新建</w:t>
            </w:r>
          </w:p>
        </w:tc>
      </w:tr>
      <w:tr w14:paraId="390C608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000" w:type="pct"/>
            <w:gridSpan w:val="8"/>
            <w:vAlign w:val="center"/>
          </w:tcPr>
          <w:p w14:paraId="4DE64788">
            <w:pPr>
              <w:pStyle w:val="58"/>
              <w:bidi w:val="0"/>
              <w:jc w:val="center"/>
              <w:rPr>
                <w:rFonts w:hint="default"/>
                <w:highlight w:val="none"/>
                <w:lang w:val="en-US" w:eastAsia="zh-CN"/>
              </w:rPr>
            </w:pPr>
            <w:r>
              <w:rPr>
                <w:rFonts w:hint="default"/>
                <w:highlight w:val="none"/>
                <w:lang w:val="en-US" w:eastAsia="zh-CN"/>
              </w:rPr>
              <w:t>备注：监测井建议单独成井，具体在凿井见水后，向下继续凿深大于5米，保证枯水期不干涸，可根据实际情况进行调整。为保护监测井，应建设监测井井口保护装置，包括井口保护筒、井台或井盖等部分。</w:t>
            </w:r>
          </w:p>
        </w:tc>
      </w:tr>
    </w:tbl>
    <w:p w14:paraId="05D37B96">
      <w:pPr>
        <w:rPr>
          <w:highlight w:val="none"/>
        </w:rPr>
      </w:pPr>
    </w:p>
    <w:p w14:paraId="44BC5FB6">
      <w:pPr>
        <w:rPr>
          <w:highlight w:val="none"/>
        </w:rPr>
      </w:pPr>
    </w:p>
    <w:p w14:paraId="7EDB649F">
      <w:pPr>
        <w:rPr>
          <w:highlight w:val="none"/>
        </w:rPr>
      </w:pPr>
    </w:p>
    <w:p w14:paraId="76D35D9F">
      <w:pPr>
        <w:ind w:left="0" w:leftChars="0" w:firstLine="0" w:firstLineChars="0"/>
        <w:rPr>
          <w:rFonts w:hint="default" w:ascii="Times New Roman" w:hAnsi="Times New Roman" w:eastAsia="宋体" w:cs="Times New Roman"/>
          <w:color w:val="000000" w:themeColor="text1"/>
          <w:highlight w:val="none"/>
          <w14:textFill>
            <w14:solidFill>
              <w14:schemeClr w14:val="tx1"/>
            </w14:solidFill>
          </w14:textFill>
        </w:rPr>
        <w:sectPr>
          <w:pgSz w:w="16838" w:h="11906" w:orient="landscape"/>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p>
    <w:p w14:paraId="6A281892">
      <w:pPr>
        <w:pStyle w:val="6"/>
        <w:bidi w:val="0"/>
        <w:rPr>
          <w:rFonts w:hint="default"/>
          <w:highlight w:val="none"/>
        </w:rPr>
      </w:pPr>
      <w:r>
        <w:rPr>
          <w:rFonts w:hint="default"/>
          <w:highlight w:val="none"/>
          <w:lang w:val="en-US" w:eastAsia="zh-CN"/>
        </w:rPr>
        <w:t>8</w:t>
      </w:r>
      <w:r>
        <w:rPr>
          <w:rFonts w:hint="default"/>
          <w:highlight w:val="none"/>
        </w:rPr>
        <w:t>.</w:t>
      </w:r>
      <w:r>
        <w:rPr>
          <w:rFonts w:hint="default"/>
          <w:highlight w:val="none"/>
          <w:lang w:val="en-US" w:eastAsia="zh-CN"/>
        </w:rPr>
        <w:t>3.2</w:t>
      </w:r>
      <w:r>
        <w:rPr>
          <w:rFonts w:hint="default"/>
          <w:highlight w:val="none"/>
        </w:rPr>
        <w:t>排污口规范化管理</w:t>
      </w:r>
    </w:p>
    <w:p w14:paraId="15B38557">
      <w:pPr>
        <w:pageBreakBefore w:val="0"/>
        <w:widowControl w:val="0"/>
        <w:kinsoku/>
        <w:wordWrap/>
        <w:overflowPunct/>
        <w:topLinePunct w:val="0"/>
        <w:autoSpaceDE/>
        <w:autoSpaceDN/>
        <w:bidi w:val="0"/>
        <w:adjustRightInd w:val="0"/>
        <w:snapToGrid w:val="0"/>
        <w:spacing w:line="480" w:lineRule="exact"/>
        <w:ind w:firstLine="482"/>
        <w:jc w:val="both"/>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排污口是企业污染物进入受纳环境的通道，做好排污口管理是实施污染物总量控制和达标排放的基础工作之—，必须实行规范化管理。</w:t>
      </w:r>
    </w:p>
    <w:p w14:paraId="73031FBC">
      <w:pPr>
        <w:keepNext w:val="0"/>
        <w:keepLines w:val="0"/>
        <w:pageBreakBefore w:val="0"/>
        <w:widowControl w:val="0"/>
        <w:kinsoku/>
        <w:wordWrap/>
        <w:overflowPunct/>
        <w:topLinePunct w:val="0"/>
        <w:autoSpaceDE/>
        <w:autoSpaceDN/>
        <w:bidi w:val="0"/>
        <w:adjustRightInd w:val="0"/>
        <w:snapToGrid w:val="0"/>
        <w:spacing w:line="480" w:lineRule="exact"/>
        <w:ind w:firstLine="482"/>
        <w:jc w:val="both"/>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⑴排污口的设置</w:t>
      </w:r>
    </w:p>
    <w:p w14:paraId="19AECA1C">
      <w:pPr>
        <w:keepNext w:val="0"/>
        <w:keepLines w:val="0"/>
        <w:pageBreakBefore w:val="0"/>
        <w:widowControl w:val="0"/>
        <w:kinsoku/>
        <w:wordWrap/>
        <w:overflowPunct/>
        <w:topLinePunct w:val="0"/>
        <w:autoSpaceDE/>
        <w:autoSpaceDN/>
        <w:bidi w:val="0"/>
        <w:adjustRightInd w:val="0"/>
        <w:snapToGrid w:val="0"/>
        <w:spacing w:line="480" w:lineRule="exact"/>
        <w:ind w:firstLine="482"/>
        <w:jc w:val="both"/>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①废气排放口：厂区现有</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工程无废气排气筒，本项目新增1根15m高排气筒，全厂共设置1根15m高排气筒。</w:t>
      </w:r>
    </w:p>
    <w:p w14:paraId="6AB1B3BA">
      <w:pPr>
        <w:keepNext w:val="0"/>
        <w:keepLines w:val="0"/>
        <w:pageBreakBefore w:val="0"/>
        <w:widowControl w:val="0"/>
        <w:kinsoku/>
        <w:wordWrap/>
        <w:overflowPunct/>
        <w:topLinePunct w:val="0"/>
        <w:autoSpaceDE/>
        <w:autoSpaceDN/>
        <w:bidi w:val="0"/>
        <w:adjustRightInd w:val="0"/>
        <w:snapToGrid w:val="0"/>
        <w:spacing w:line="480" w:lineRule="exact"/>
        <w:ind w:firstLine="482"/>
        <w:jc w:val="both"/>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排气筒应设置便于采样、监测的采样口和采样平台，当采样平台设置在离地面高度≥5米的位置时，应有通往平台的Z字梯/旋梯/升降梯。在各排气筒近地面处，按国家《环境保护图形标志》（15562.1-1995）规定，设置符合环保要求的环境保护图形标志牌。排污口规范化应符合国家、省、市有关规定。</w:t>
      </w:r>
    </w:p>
    <w:p w14:paraId="07324BFB">
      <w:pPr>
        <w:keepNext w:val="0"/>
        <w:keepLines w:val="0"/>
        <w:pageBreakBefore w:val="0"/>
        <w:widowControl w:val="0"/>
        <w:kinsoku/>
        <w:wordWrap/>
        <w:overflowPunct/>
        <w:topLinePunct w:val="0"/>
        <w:autoSpaceDE/>
        <w:autoSpaceDN/>
        <w:bidi w:val="0"/>
        <w:adjustRightInd w:val="0"/>
        <w:snapToGrid w:val="0"/>
        <w:spacing w:line="480" w:lineRule="exact"/>
        <w:ind w:firstLine="482"/>
        <w:jc w:val="both"/>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②废水排污口：厂区</w:t>
      </w:r>
      <w:r>
        <w:rPr>
          <w:rFonts w:hint="eastAsia" w:cs="Times New Roman"/>
          <w:color w:val="000000" w:themeColor="text1"/>
          <w:sz w:val="24"/>
          <w:szCs w:val="24"/>
          <w:highlight w:val="none"/>
          <w:lang w:val="en-US" w:eastAsia="zh-CN"/>
          <w14:textFill>
            <w14:solidFill>
              <w14:schemeClr w14:val="tx1"/>
            </w14:solidFill>
          </w14:textFill>
        </w:rPr>
        <w:t>废水全部回用，不</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设</w:t>
      </w:r>
      <w:r>
        <w:rPr>
          <w:rFonts w:hint="eastAsia" w:cs="Times New Roman"/>
          <w:color w:val="000000" w:themeColor="text1"/>
          <w:sz w:val="24"/>
          <w:szCs w:val="24"/>
          <w:highlight w:val="none"/>
          <w:lang w:val="en-US" w:eastAsia="zh-CN"/>
          <w14:textFill>
            <w14:solidFill>
              <w14:schemeClr w14:val="tx1"/>
            </w14:solidFill>
          </w14:textFill>
        </w:rPr>
        <w:t>废水排放口</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p>
    <w:p w14:paraId="4441256D">
      <w:pPr>
        <w:keepNext w:val="0"/>
        <w:keepLines w:val="0"/>
        <w:pageBreakBefore w:val="0"/>
        <w:widowControl w:val="0"/>
        <w:kinsoku/>
        <w:wordWrap/>
        <w:overflowPunct/>
        <w:topLinePunct w:val="0"/>
        <w:autoSpaceDE/>
        <w:autoSpaceDN/>
        <w:bidi w:val="0"/>
        <w:adjustRightInd w:val="0"/>
        <w:snapToGrid w:val="0"/>
        <w:spacing w:line="480" w:lineRule="exact"/>
        <w:ind w:firstLine="482"/>
        <w:jc w:val="both"/>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根据国家标准《环境保护图形标志—排放口（源）》和国家环保总局《排污口规范化整治要求（试行）》的技术要求，排污口的规范化要符合环境监理部门的有关要求。污染物排放口应按国家《环境保护图形标志》（15562.1-1995）规定，设置符合环保要求的环境保护图形标志牌。</w:t>
      </w:r>
    </w:p>
    <w:p w14:paraId="550AB02A">
      <w:pPr>
        <w:keepNext w:val="0"/>
        <w:keepLines w:val="0"/>
        <w:pageBreakBefore w:val="0"/>
        <w:widowControl w:val="0"/>
        <w:kinsoku/>
        <w:wordWrap/>
        <w:overflowPunct/>
        <w:topLinePunct w:val="0"/>
        <w:autoSpaceDE/>
        <w:autoSpaceDN/>
        <w:bidi w:val="0"/>
        <w:adjustRightInd w:val="0"/>
        <w:snapToGrid w:val="0"/>
        <w:spacing w:line="480" w:lineRule="exact"/>
        <w:ind w:firstLine="482"/>
        <w:jc w:val="both"/>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污染物排放口的环境保护图形标志牌应设置在靠近采样点的醒目处，标志牌设置高度为其上缘距地面约2m，排污口附近1m范围内有建筑物的，设平面式标志牌，无建筑物的设立式标志牌。</w:t>
      </w:r>
    </w:p>
    <w:p w14:paraId="05C2A1ED">
      <w:pPr>
        <w:keepNext w:val="0"/>
        <w:keepLines w:val="0"/>
        <w:pageBreakBefore w:val="0"/>
        <w:widowControl w:val="0"/>
        <w:kinsoku/>
        <w:wordWrap/>
        <w:overflowPunct/>
        <w:topLinePunct w:val="0"/>
        <w:autoSpaceDE/>
        <w:autoSpaceDN/>
        <w:bidi w:val="0"/>
        <w:adjustRightInd w:val="0"/>
        <w:snapToGrid w:val="0"/>
        <w:spacing w:line="480" w:lineRule="exact"/>
        <w:ind w:firstLine="482"/>
        <w:jc w:val="both"/>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③噪声排放口</w:t>
      </w:r>
    </w:p>
    <w:p w14:paraId="3AC6702E">
      <w:pPr>
        <w:keepNext w:val="0"/>
        <w:keepLines w:val="0"/>
        <w:pageBreakBefore w:val="0"/>
        <w:widowControl w:val="0"/>
        <w:kinsoku/>
        <w:wordWrap/>
        <w:overflowPunct/>
        <w:topLinePunct w:val="0"/>
        <w:autoSpaceDE/>
        <w:autoSpaceDN/>
        <w:bidi w:val="0"/>
        <w:adjustRightInd w:val="0"/>
        <w:snapToGrid w:val="0"/>
        <w:spacing w:line="480" w:lineRule="exact"/>
        <w:ind w:firstLine="482"/>
        <w:jc w:val="both"/>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须按《工业企业厂界环境噪声排放标准》（GB12348-2008）的规定，设置环境噪声监测点，并在该处附近醒目处设置环境保护图形标志牌。</w:t>
      </w:r>
    </w:p>
    <w:p w14:paraId="728AE766">
      <w:pPr>
        <w:keepNext w:val="0"/>
        <w:keepLines w:val="0"/>
        <w:pageBreakBefore w:val="0"/>
        <w:widowControl w:val="0"/>
        <w:kinsoku/>
        <w:wordWrap/>
        <w:overflowPunct/>
        <w:topLinePunct w:val="0"/>
        <w:autoSpaceDE/>
        <w:autoSpaceDN/>
        <w:bidi w:val="0"/>
        <w:adjustRightInd w:val="0"/>
        <w:snapToGrid w:val="0"/>
        <w:spacing w:line="480" w:lineRule="exact"/>
        <w:ind w:firstLine="482"/>
        <w:jc w:val="both"/>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④固废排放口</w:t>
      </w:r>
    </w:p>
    <w:p w14:paraId="66DABBCD">
      <w:pPr>
        <w:keepNext w:val="0"/>
        <w:keepLines w:val="0"/>
        <w:pageBreakBefore w:val="0"/>
        <w:widowControl w:val="0"/>
        <w:kinsoku/>
        <w:wordWrap/>
        <w:overflowPunct/>
        <w:topLinePunct w:val="0"/>
        <w:autoSpaceDE/>
        <w:autoSpaceDN/>
        <w:bidi w:val="0"/>
        <w:adjustRightInd w:val="0"/>
        <w:snapToGrid w:val="0"/>
        <w:spacing w:line="480" w:lineRule="exact"/>
        <w:ind w:firstLine="482"/>
        <w:jc w:val="both"/>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危险废物执行《危险废物贮存污染控制标准》（GB18597-2023）、《危险废物收集贮存运输技术规范》（HJ2025-2012），厂内设置危废间</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座，按要求进行防腐防渗处理。根据《环境保护图形标志—</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固体废物贮存（处置）场</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》（GB15562.2-1995）及其修改单（</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2023年7月1日执行</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）的规定，设置危险废物标志。</w:t>
      </w:r>
    </w:p>
    <w:p w14:paraId="537CFE15">
      <w:pPr>
        <w:keepNext w:val="0"/>
        <w:keepLines w:val="0"/>
        <w:pageBreakBefore w:val="0"/>
        <w:widowControl w:val="0"/>
        <w:kinsoku/>
        <w:wordWrap/>
        <w:overflowPunct/>
        <w:topLinePunct w:val="0"/>
        <w:autoSpaceDE/>
        <w:autoSpaceDN/>
        <w:bidi w:val="0"/>
        <w:adjustRightInd w:val="0"/>
        <w:snapToGrid w:val="0"/>
        <w:spacing w:line="480" w:lineRule="exact"/>
        <w:ind w:firstLine="482"/>
        <w:jc w:val="both"/>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⑵排污口建档管理</w:t>
      </w:r>
    </w:p>
    <w:p w14:paraId="540FB4B3">
      <w:pPr>
        <w:keepNext w:val="0"/>
        <w:keepLines w:val="0"/>
        <w:pageBreakBefore w:val="0"/>
        <w:widowControl w:val="0"/>
        <w:kinsoku/>
        <w:wordWrap/>
        <w:overflowPunct/>
        <w:topLinePunct w:val="0"/>
        <w:autoSpaceDE/>
        <w:autoSpaceDN/>
        <w:bidi w:val="0"/>
        <w:adjustRightInd w:val="0"/>
        <w:snapToGrid w:val="0"/>
        <w:spacing w:line="480" w:lineRule="exact"/>
        <w:ind w:firstLine="482"/>
        <w:jc w:val="both"/>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使用国家环保部统一印制的《中华人民共和国规范化排污口标志登记证》，并按要求填写有关内容，项目建成后，应将主要污染物种类、数量、浓度、排放去向、立标情况及设施运行情况记录于档案。</w:t>
      </w:r>
    </w:p>
    <w:p w14:paraId="1CB07A0F">
      <w:pPr>
        <w:keepNext w:val="0"/>
        <w:keepLines w:val="0"/>
        <w:pageBreakBefore w:val="0"/>
        <w:widowControl w:val="0"/>
        <w:kinsoku/>
        <w:wordWrap/>
        <w:overflowPunct/>
        <w:topLinePunct w:val="0"/>
        <w:autoSpaceDE/>
        <w:autoSpaceDN/>
        <w:bidi w:val="0"/>
        <w:adjustRightInd w:val="0"/>
        <w:snapToGrid w:val="0"/>
        <w:spacing w:line="480" w:lineRule="exact"/>
        <w:ind w:firstLine="482"/>
        <w:jc w:val="both"/>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排污口规范化管理要求见表</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8.3-2。</w:t>
      </w:r>
    </w:p>
    <w:p w14:paraId="3C01BF1C">
      <w:pPr>
        <w:keepNext w:val="0"/>
        <w:keepLines w:val="0"/>
        <w:pageBreakBefore w:val="0"/>
        <w:widowControl/>
        <w:kinsoku/>
        <w:wordWrap/>
        <w:overflowPunct/>
        <w:topLinePunct w:val="0"/>
        <w:autoSpaceDE/>
        <w:autoSpaceDN/>
        <w:bidi w:val="0"/>
        <w:adjustRightInd w:val="0"/>
        <w:snapToGrid w:val="0"/>
        <w:spacing w:line="480" w:lineRule="exact"/>
        <w:jc w:val="center"/>
        <w:textAlignment w:val="auto"/>
        <w:outlineLvl w:val="9"/>
        <w:rPr>
          <w:rFonts w:hint="default" w:ascii="Times New Roman" w:hAnsi="Times New Roman" w:eastAsia="宋体" w:cs="Times New Roman"/>
          <w:b/>
          <w:bCs/>
          <w:color w:val="000000" w:themeColor="text1"/>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highlight w:val="none"/>
          <w:lang w:eastAsia="zh-CN"/>
          <w14:textFill>
            <w14:solidFill>
              <w14:schemeClr w14:val="tx1"/>
            </w14:solidFill>
          </w14:textFill>
        </w:rPr>
        <w:t>表</w:t>
      </w: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8.3-2排污口规范化管理要求表</w:t>
      </w:r>
    </w:p>
    <w:tbl>
      <w:tblPr>
        <w:tblStyle w:val="48"/>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086"/>
        <w:gridCol w:w="8198"/>
      </w:tblGrid>
      <w:tr w14:paraId="292A0D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585" w:type="pct"/>
            <w:tcBorders>
              <w:tl2br w:val="nil"/>
              <w:tr2bl w:val="nil"/>
            </w:tcBorders>
            <w:noWrap w:val="0"/>
            <w:vAlign w:val="center"/>
          </w:tcPr>
          <w:p w14:paraId="4B002906">
            <w:pPr>
              <w:pStyle w:val="58"/>
              <w:bidi w:val="0"/>
              <w:rPr>
                <w:rFonts w:hint="default"/>
                <w:lang w:eastAsia="zh-CN"/>
              </w:rPr>
            </w:pPr>
            <w:r>
              <w:rPr>
                <w:rFonts w:hint="default"/>
                <w:lang w:eastAsia="zh-CN"/>
              </w:rPr>
              <w:t>项目</w:t>
            </w:r>
          </w:p>
        </w:tc>
        <w:tc>
          <w:tcPr>
            <w:tcW w:w="4414" w:type="pct"/>
            <w:tcBorders>
              <w:tl2br w:val="nil"/>
              <w:tr2bl w:val="nil"/>
            </w:tcBorders>
            <w:noWrap w:val="0"/>
            <w:vAlign w:val="center"/>
          </w:tcPr>
          <w:p w14:paraId="52B35434">
            <w:pPr>
              <w:pStyle w:val="58"/>
              <w:bidi w:val="0"/>
              <w:rPr>
                <w:rFonts w:hint="default"/>
                <w:lang w:eastAsia="zh-CN"/>
              </w:rPr>
            </w:pPr>
            <w:r>
              <w:rPr>
                <w:rFonts w:hint="default"/>
                <w:lang w:eastAsia="zh-CN"/>
              </w:rPr>
              <w:t>主要要求内容</w:t>
            </w:r>
          </w:p>
        </w:tc>
      </w:tr>
      <w:tr w14:paraId="7159BDE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29" w:hRule="atLeast"/>
          <w:jc w:val="center"/>
        </w:trPr>
        <w:tc>
          <w:tcPr>
            <w:tcW w:w="585" w:type="pct"/>
            <w:tcBorders>
              <w:tl2br w:val="nil"/>
              <w:tr2bl w:val="nil"/>
            </w:tcBorders>
            <w:noWrap w:val="0"/>
            <w:vAlign w:val="center"/>
          </w:tcPr>
          <w:p w14:paraId="1CC1CFC6">
            <w:pPr>
              <w:pStyle w:val="58"/>
              <w:bidi w:val="0"/>
              <w:rPr>
                <w:rFonts w:hint="default"/>
                <w:lang w:eastAsia="zh-CN"/>
              </w:rPr>
            </w:pPr>
            <w:r>
              <w:rPr>
                <w:rFonts w:hint="default"/>
                <w:lang w:eastAsia="zh-CN"/>
              </w:rPr>
              <w:t>基本原则</w:t>
            </w:r>
          </w:p>
        </w:tc>
        <w:tc>
          <w:tcPr>
            <w:tcW w:w="4414" w:type="pct"/>
            <w:tcBorders>
              <w:tl2br w:val="nil"/>
              <w:tr2bl w:val="nil"/>
            </w:tcBorders>
            <w:noWrap w:val="0"/>
            <w:vAlign w:val="center"/>
          </w:tcPr>
          <w:p w14:paraId="5AA63DF9">
            <w:pPr>
              <w:pStyle w:val="58"/>
              <w:bidi w:val="0"/>
              <w:jc w:val="left"/>
              <w:rPr>
                <w:rFonts w:hint="default"/>
                <w:lang w:eastAsia="zh-CN"/>
              </w:rPr>
            </w:pPr>
            <w:r>
              <w:rPr>
                <w:rFonts w:hint="default"/>
                <w:lang w:eastAsia="zh-CN"/>
              </w:rPr>
              <w:t>1、凡向环境排放污染物的排污口必须进行规范化管理</w:t>
            </w:r>
          </w:p>
          <w:p w14:paraId="1B5B814E">
            <w:pPr>
              <w:pStyle w:val="58"/>
              <w:bidi w:val="0"/>
              <w:jc w:val="left"/>
              <w:rPr>
                <w:rFonts w:hint="default"/>
                <w:lang w:eastAsia="zh-CN"/>
              </w:rPr>
            </w:pPr>
            <w:r>
              <w:rPr>
                <w:rFonts w:hint="default"/>
                <w:lang w:eastAsia="zh-CN"/>
              </w:rPr>
              <w:t>2、将总量控制污染物排污口及行业特征污染物排放口列为环境管理的重点</w:t>
            </w:r>
          </w:p>
          <w:p w14:paraId="71A7722B">
            <w:pPr>
              <w:pStyle w:val="58"/>
              <w:bidi w:val="0"/>
              <w:jc w:val="left"/>
              <w:rPr>
                <w:rFonts w:hint="default"/>
                <w:lang w:eastAsia="zh-CN"/>
              </w:rPr>
            </w:pPr>
            <w:r>
              <w:rPr>
                <w:rFonts w:hint="default"/>
                <w:lang w:eastAsia="zh-CN"/>
              </w:rPr>
              <w:t>3、排污口设置应便于采样和计量监测，便于日常现场监督与检查</w:t>
            </w:r>
          </w:p>
          <w:p w14:paraId="727D440E">
            <w:pPr>
              <w:pStyle w:val="58"/>
              <w:bidi w:val="0"/>
              <w:jc w:val="left"/>
              <w:rPr>
                <w:rFonts w:hint="default"/>
                <w:lang w:eastAsia="zh-CN"/>
              </w:rPr>
            </w:pPr>
            <w:r>
              <w:rPr>
                <w:rFonts w:hint="default"/>
                <w:lang w:eastAsia="zh-CN"/>
              </w:rPr>
              <w:t>4、如实向环保管理部门申报排污口数量、位置，排放主要污染物种类、数量和浓度与排放去向等方面情况。</w:t>
            </w:r>
          </w:p>
        </w:tc>
      </w:tr>
      <w:tr w14:paraId="01E7DB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585" w:type="pct"/>
            <w:tcBorders>
              <w:tl2br w:val="nil"/>
              <w:tr2bl w:val="nil"/>
            </w:tcBorders>
            <w:noWrap w:val="0"/>
            <w:vAlign w:val="center"/>
          </w:tcPr>
          <w:p w14:paraId="7644D0F8">
            <w:pPr>
              <w:pStyle w:val="58"/>
              <w:bidi w:val="0"/>
              <w:rPr>
                <w:rFonts w:hint="default"/>
                <w:lang w:eastAsia="zh-CN"/>
              </w:rPr>
            </w:pPr>
            <w:r>
              <w:rPr>
                <w:rFonts w:hint="default"/>
                <w:lang w:eastAsia="zh-CN"/>
              </w:rPr>
              <w:t>技术要求</w:t>
            </w:r>
          </w:p>
        </w:tc>
        <w:tc>
          <w:tcPr>
            <w:tcW w:w="4414" w:type="pct"/>
            <w:tcBorders>
              <w:tl2br w:val="nil"/>
              <w:tr2bl w:val="nil"/>
            </w:tcBorders>
            <w:noWrap w:val="0"/>
            <w:vAlign w:val="center"/>
          </w:tcPr>
          <w:p w14:paraId="193985F3">
            <w:pPr>
              <w:pStyle w:val="58"/>
              <w:bidi w:val="0"/>
              <w:jc w:val="left"/>
              <w:rPr>
                <w:rFonts w:hint="default"/>
                <w:lang w:eastAsia="zh-CN"/>
              </w:rPr>
            </w:pPr>
            <w:r>
              <w:rPr>
                <w:rFonts w:hint="default"/>
                <w:lang w:eastAsia="zh-CN"/>
              </w:rPr>
              <w:t>1、排污口设置必须应按照环监（1996）470号文要求，实行规范化管理</w:t>
            </w:r>
          </w:p>
          <w:p w14:paraId="0D68F91B">
            <w:pPr>
              <w:pStyle w:val="58"/>
              <w:bidi w:val="0"/>
              <w:jc w:val="left"/>
              <w:rPr>
                <w:rFonts w:hint="default"/>
                <w:lang w:eastAsia="zh-CN"/>
              </w:rPr>
            </w:pPr>
            <w:r>
              <w:rPr>
                <w:rFonts w:hint="default"/>
                <w:lang w:eastAsia="zh-CN"/>
              </w:rPr>
              <w:t>2、废水采样点应按照《污染源监测技术规范》要求设在总排口</w:t>
            </w:r>
          </w:p>
        </w:tc>
      </w:tr>
      <w:tr w14:paraId="72CCA6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75" w:hRule="atLeast"/>
          <w:jc w:val="center"/>
        </w:trPr>
        <w:tc>
          <w:tcPr>
            <w:tcW w:w="585" w:type="pct"/>
            <w:tcBorders>
              <w:tl2br w:val="nil"/>
              <w:tr2bl w:val="nil"/>
            </w:tcBorders>
            <w:noWrap w:val="0"/>
            <w:vAlign w:val="center"/>
          </w:tcPr>
          <w:p w14:paraId="0383FF46">
            <w:pPr>
              <w:pStyle w:val="58"/>
              <w:bidi w:val="0"/>
              <w:rPr>
                <w:rFonts w:hint="default"/>
                <w:lang w:eastAsia="zh-CN"/>
              </w:rPr>
            </w:pPr>
            <w:r>
              <w:rPr>
                <w:rFonts w:hint="default"/>
                <w:lang w:eastAsia="zh-CN"/>
              </w:rPr>
              <w:t>立标管理</w:t>
            </w:r>
          </w:p>
        </w:tc>
        <w:tc>
          <w:tcPr>
            <w:tcW w:w="4414" w:type="pct"/>
            <w:tcBorders>
              <w:tl2br w:val="nil"/>
              <w:tr2bl w:val="nil"/>
            </w:tcBorders>
            <w:noWrap w:val="0"/>
            <w:vAlign w:val="center"/>
          </w:tcPr>
          <w:p w14:paraId="31AE503F">
            <w:pPr>
              <w:pStyle w:val="58"/>
              <w:bidi w:val="0"/>
              <w:jc w:val="left"/>
              <w:rPr>
                <w:rFonts w:hint="default"/>
                <w:lang w:eastAsia="zh-CN"/>
              </w:rPr>
            </w:pPr>
            <w:r>
              <w:rPr>
                <w:rFonts w:hint="default"/>
                <w:lang w:eastAsia="zh-CN"/>
              </w:rPr>
              <w:t>1、污染物排放口必须实行规范化整治，应按照国家《环境保护图形标志》（GB</w:t>
            </w:r>
            <w:r>
              <w:rPr>
                <w:rFonts w:hint="default"/>
                <w:lang w:val="en-US" w:eastAsia="zh-CN"/>
              </w:rPr>
              <w:t>1</w:t>
            </w:r>
            <w:r>
              <w:rPr>
                <w:rFonts w:hint="default"/>
                <w:lang w:eastAsia="zh-CN"/>
              </w:rPr>
              <w:t>5562</w:t>
            </w:r>
            <w:r>
              <w:rPr>
                <w:rFonts w:hint="default"/>
                <w:lang w:val="en-US" w:eastAsia="zh-CN"/>
              </w:rPr>
              <w:t>.</w:t>
            </w:r>
            <w:r>
              <w:rPr>
                <w:rFonts w:hint="default"/>
                <w:lang w:eastAsia="zh-CN"/>
              </w:rPr>
              <w:t>1－1995）与（GB15562</w:t>
            </w:r>
            <w:r>
              <w:rPr>
                <w:rFonts w:hint="default"/>
                <w:lang w:val="en-US" w:eastAsia="zh-CN"/>
              </w:rPr>
              <w:t>.</w:t>
            </w:r>
            <w:r>
              <w:rPr>
                <w:rFonts w:hint="default"/>
                <w:lang w:eastAsia="zh-CN"/>
              </w:rPr>
              <w:t>2－95）相关规定，设置由国家环保总局统一定点制作和监制的环保图形标志牌</w:t>
            </w:r>
          </w:p>
          <w:p w14:paraId="6652B258">
            <w:pPr>
              <w:pStyle w:val="58"/>
              <w:bidi w:val="0"/>
              <w:jc w:val="left"/>
              <w:rPr>
                <w:rFonts w:hint="default"/>
                <w:lang w:eastAsia="zh-CN"/>
              </w:rPr>
            </w:pPr>
            <w:r>
              <w:rPr>
                <w:rFonts w:hint="default"/>
                <w:lang w:eastAsia="zh-CN"/>
              </w:rPr>
              <w:t>2、环保图形标志牌位置应距污染物排放口（源）及排矸场或采样点较近且醒日处，设置高度一般为标志牌上缘距离地面2m处</w:t>
            </w:r>
          </w:p>
          <w:p w14:paraId="65EAA360">
            <w:pPr>
              <w:pStyle w:val="58"/>
              <w:bidi w:val="0"/>
              <w:jc w:val="left"/>
              <w:rPr>
                <w:rFonts w:hint="default"/>
                <w:lang w:eastAsia="zh-CN"/>
              </w:rPr>
            </w:pPr>
            <w:r>
              <w:rPr>
                <w:rFonts w:hint="default"/>
                <w:lang w:eastAsia="zh-CN"/>
              </w:rPr>
              <w:t>3、重点排污单位污染物排放口，以设置立式标志牌为主，一般排污单位污染物排放口可根据情况设立式或平面固定式标志牌</w:t>
            </w:r>
          </w:p>
          <w:p w14:paraId="11422ED2">
            <w:pPr>
              <w:pStyle w:val="58"/>
              <w:bidi w:val="0"/>
              <w:jc w:val="left"/>
              <w:rPr>
                <w:rFonts w:hint="default"/>
                <w:lang w:eastAsia="zh-CN"/>
              </w:rPr>
            </w:pPr>
            <w:r>
              <w:rPr>
                <w:rFonts w:hint="default"/>
                <w:lang w:eastAsia="zh-CN"/>
              </w:rPr>
              <w:t>4、对一般性污染物排放口应设置提示性环保图形标志牌</w:t>
            </w:r>
          </w:p>
        </w:tc>
      </w:tr>
      <w:tr w14:paraId="79601D9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38" w:hRule="atLeast"/>
          <w:jc w:val="center"/>
        </w:trPr>
        <w:tc>
          <w:tcPr>
            <w:tcW w:w="585" w:type="pct"/>
            <w:tcBorders>
              <w:tl2br w:val="nil"/>
              <w:tr2bl w:val="nil"/>
            </w:tcBorders>
            <w:noWrap w:val="0"/>
            <w:vAlign w:val="center"/>
          </w:tcPr>
          <w:p w14:paraId="1171D4A2">
            <w:pPr>
              <w:pStyle w:val="58"/>
              <w:bidi w:val="0"/>
              <w:rPr>
                <w:rFonts w:hint="default"/>
                <w:lang w:eastAsia="zh-CN"/>
              </w:rPr>
            </w:pPr>
            <w:r>
              <w:rPr>
                <w:rFonts w:hint="default"/>
                <w:lang w:eastAsia="zh-CN"/>
              </w:rPr>
              <w:t>规范化建设</w:t>
            </w:r>
          </w:p>
        </w:tc>
        <w:tc>
          <w:tcPr>
            <w:tcW w:w="4414" w:type="pct"/>
            <w:tcBorders>
              <w:tl2br w:val="nil"/>
              <w:tr2bl w:val="nil"/>
            </w:tcBorders>
            <w:noWrap w:val="0"/>
            <w:vAlign w:val="center"/>
          </w:tcPr>
          <w:p w14:paraId="3A09DF90">
            <w:pPr>
              <w:pStyle w:val="58"/>
              <w:bidi w:val="0"/>
              <w:jc w:val="left"/>
              <w:rPr>
                <w:rFonts w:hint="default"/>
                <w:lang w:eastAsia="zh-CN"/>
              </w:rPr>
            </w:pPr>
            <w:r>
              <w:rPr>
                <w:rFonts w:hint="default"/>
              </w:rPr>
              <w:t>1、采样孔：内径≥80mm，采样孔管长度不大于50mm，不使用时应用盖板封闭</w:t>
            </w:r>
            <w:r>
              <w:rPr>
                <w:rFonts w:hint="default"/>
                <w:lang w:eastAsia="zh-CN"/>
              </w:rPr>
              <w:t>，采集气态污染物时,内径≥40mm。</w:t>
            </w:r>
          </w:p>
          <w:p w14:paraId="17DCB9F0">
            <w:pPr>
              <w:pStyle w:val="58"/>
              <w:bidi w:val="0"/>
              <w:jc w:val="left"/>
              <w:rPr>
                <w:rFonts w:hint="default"/>
                <w:lang w:eastAsia="zh-CN"/>
              </w:rPr>
            </w:pPr>
            <w:r>
              <w:rPr>
                <w:rFonts w:hint="default"/>
              </w:rPr>
              <w:t>2、采样平台：面积≥1.5m2，并设有≥1.1m高护栏</w:t>
            </w:r>
            <w:r>
              <w:rPr>
                <w:rFonts w:hint="default"/>
                <w:lang w:eastAsia="zh-CN"/>
              </w:rPr>
              <w:t>，脚部挡板≥10cm，承重≥</w:t>
            </w:r>
            <w:r>
              <w:rPr>
                <w:rFonts w:hint="default"/>
                <w:lang w:val="en-US" w:eastAsia="zh-CN"/>
              </w:rPr>
              <w:t>2</w:t>
            </w:r>
            <w:r>
              <w:rPr>
                <w:rFonts w:hint="default"/>
                <w:lang w:eastAsia="zh-CN"/>
              </w:rPr>
              <w:t>00kg/m2，采样孔距平台面约为</w:t>
            </w:r>
            <w:r>
              <w:rPr>
                <w:rFonts w:hint="default"/>
                <w:lang w:val="en-US" w:eastAsia="zh-CN"/>
              </w:rPr>
              <w:t>1.2m-1.3m</w:t>
            </w:r>
            <w:r>
              <w:rPr>
                <w:rFonts w:hint="default"/>
                <w:lang w:eastAsia="zh-CN"/>
              </w:rPr>
              <w:t>。采样平台设置在离地面高度≥5米的位置时，应有通往平台的Z字梯/旋梯/升降梯。</w:t>
            </w:r>
          </w:p>
          <w:p w14:paraId="09CE8BF9">
            <w:pPr>
              <w:pStyle w:val="58"/>
              <w:bidi w:val="0"/>
              <w:jc w:val="left"/>
              <w:rPr>
                <w:rFonts w:hint="default"/>
                <w:lang w:eastAsia="zh-CN"/>
              </w:rPr>
            </w:pPr>
            <w:r>
              <w:rPr>
                <w:rFonts w:hint="default"/>
                <w:lang w:val="en-US" w:eastAsia="zh-CN"/>
              </w:rPr>
              <w:t>3</w:t>
            </w:r>
            <w:r>
              <w:rPr>
                <w:rFonts w:hint="default"/>
              </w:rPr>
              <w:t>、标识：每个排放口均按照国家标准《环境保护图形标志》(GB15562.1—1995)(GB15562.2—1995)的规定，设置与之相适应的环境保护图形标志牌。</w:t>
            </w:r>
          </w:p>
        </w:tc>
      </w:tr>
      <w:bookmarkEnd w:id="410"/>
      <w:bookmarkEnd w:id="411"/>
    </w:tbl>
    <w:p w14:paraId="3B1D860E">
      <w:pPr>
        <w:pStyle w:val="6"/>
        <w:bidi w:val="0"/>
        <w:rPr>
          <w:rFonts w:hint="default"/>
          <w:lang w:val="en-US" w:eastAsia="zh-CN"/>
        </w:rPr>
      </w:pPr>
      <w:r>
        <w:rPr>
          <w:rFonts w:hint="default"/>
          <w:lang w:val="en-US" w:eastAsia="zh-CN"/>
        </w:rPr>
        <w:t>8.3.3环境影响评价制度与排污许可制衔接</w:t>
      </w:r>
    </w:p>
    <w:p w14:paraId="53987F03">
      <w:pPr>
        <w:pageBreakBefore w:val="0"/>
        <w:widowControl w:val="0"/>
        <w:kinsoku/>
        <w:wordWrap/>
        <w:overflowPunct/>
        <w:topLinePunct w:val="0"/>
        <w:autoSpaceDE/>
        <w:autoSpaceDN/>
        <w:bidi w:val="0"/>
        <w:spacing w:line="480" w:lineRule="exact"/>
        <w:ind w:firstLine="480" w:firstLineChars="200"/>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根据《排污许可管理办法(试行)》</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highlight w:val="none"/>
          <w14:textFill>
            <w14:solidFill>
              <w14:schemeClr w14:val="tx1"/>
            </w14:solidFill>
          </w14:textFill>
        </w:rPr>
        <w:t>部令第48号</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highlight w:val="none"/>
          <w14:textFill>
            <w14:solidFill>
              <w14:schemeClr w14:val="tx1"/>
            </w14:solidFill>
          </w14:textFill>
        </w:rPr>
        <w:t>、环境保护部办公厅《关于做好环境影响评价制度与排污许可制衔接相关工作的通知》(环办环评[2017]84号)</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要求，</w:t>
      </w:r>
      <w:r>
        <w:rPr>
          <w:rFonts w:hint="default" w:ascii="Times New Roman" w:hAnsi="Times New Roman" w:eastAsia="宋体" w:cs="Times New Roman"/>
          <w:color w:val="000000" w:themeColor="text1"/>
          <w:sz w:val="24"/>
          <w:highlight w:val="none"/>
          <w14:textFill>
            <w14:solidFill>
              <w14:schemeClr w14:val="tx1"/>
            </w14:solidFill>
          </w14:textFill>
        </w:rPr>
        <w:t>应当按照国家环境保护相关法律法规以及排污许可证申请与核发技术规范要求申请排污许可证，不得无证排污或不按证排污，环境保护部门通过对企事业单位发放排污许可证并依证监管实施排污许可制</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w:t>
      </w:r>
    </w:p>
    <w:p w14:paraId="1BEFD4F2">
      <w:pPr>
        <w:rPr>
          <w:rFonts w:hint="default"/>
          <w:lang w:val="en-US" w:eastAsia="zh-CN"/>
        </w:rPr>
      </w:pPr>
      <w:r>
        <w:rPr>
          <w:rFonts w:hint="default"/>
          <w:lang w:val="en-US" w:eastAsia="zh-CN"/>
        </w:rPr>
        <w:t>公司于2022年11月10日取得了固定污染源排污登记回执，登记编号：911302307183965422001Z，有效期：2022年11月10日至2027年11月09日。企业</w:t>
      </w:r>
      <w:r>
        <w:rPr>
          <w:rFonts w:hint="default"/>
          <w:lang w:eastAsia="zh-CN"/>
        </w:rPr>
        <w:t>应当在</w:t>
      </w:r>
      <w:r>
        <w:rPr>
          <w:rFonts w:hint="default"/>
          <w:lang w:val="en-US" w:eastAsia="zh-CN"/>
        </w:rPr>
        <w:t>本项目建成后及时</w:t>
      </w:r>
      <w:r>
        <w:rPr>
          <w:rFonts w:hint="default"/>
          <w:lang w:eastAsia="zh-CN"/>
        </w:rPr>
        <w:t>在全国排污许可证管理信息平台</w:t>
      </w:r>
      <w:r>
        <w:rPr>
          <w:rFonts w:hint="default"/>
          <w:lang w:val="en-US" w:eastAsia="zh-CN"/>
        </w:rPr>
        <w:t>填报</w:t>
      </w:r>
      <w:r>
        <w:rPr>
          <w:rFonts w:hint="default"/>
          <w:lang w:eastAsia="zh-CN"/>
        </w:rPr>
        <w:t>排污信息</w:t>
      </w:r>
      <w:r>
        <w:rPr>
          <w:rFonts w:hint="default"/>
          <w:lang w:val="en-US" w:eastAsia="zh-CN"/>
        </w:rPr>
        <w:t>。</w:t>
      </w:r>
    </w:p>
    <w:p w14:paraId="44B096E9">
      <w:pPr>
        <w:pStyle w:val="7"/>
        <w:bidi w:val="0"/>
        <w:rPr>
          <w:rFonts w:hint="default"/>
        </w:rPr>
      </w:pPr>
      <w:bookmarkStart w:id="412" w:name="_Toc32228"/>
      <w:bookmarkStart w:id="413" w:name="_Toc14427"/>
      <w:r>
        <w:rPr>
          <w:rFonts w:hint="default"/>
          <w:lang w:val="en-US" w:eastAsia="zh-CN"/>
        </w:rPr>
        <w:t>8</w:t>
      </w:r>
      <w:r>
        <w:rPr>
          <w:rFonts w:hint="default"/>
        </w:rPr>
        <w:t>.4</w:t>
      </w:r>
      <w:r>
        <w:rPr>
          <w:rFonts w:hint="default"/>
          <w:lang w:eastAsia="zh-CN"/>
        </w:rPr>
        <w:t>环境保护“</w:t>
      </w:r>
      <w:r>
        <w:rPr>
          <w:rFonts w:hint="default"/>
        </w:rPr>
        <w:t>三同时</w:t>
      </w:r>
      <w:r>
        <w:rPr>
          <w:rFonts w:hint="default"/>
          <w:lang w:eastAsia="zh-CN"/>
        </w:rPr>
        <w:t>”</w:t>
      </w:r>
      <w:r>
        <w:rPr>
          <w:rFonts w:hint="default"/>
        </w:rPr>
        <w:t>验收一览表</w:t>
      </w:r>
      <w:bookmarkEnd w:id="412"/>
      <w:bookmarkEnd w:id="413"/>
    </w:p>
    <w:p w14:paraId="07907498">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根据建设项目环境管理办法，环境污染防治设施必须与主体工程同时设计、同时施工、同时投产使用。</w:t>
      </w:r>
    </w:p>
    <w:p w14:paraId="4F76130B">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highlight w:val="yellow"/>
          <w14:textFill>
            <w14:solidFill>
              <w14:schemeClr w14:val="tx1"/>
            </w14:solidFill>
          </w14:textFill>
        </w:rPr>
        <w:sectPr>
          <w:pgSz w:w="11906" w:h="16838"/>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p>
    <w:bookmarkEnd w:id="355"/>
    <w:bookmarkEnd w:id="356"/>
    <w:p w14:paraId="3E0DC176">
      <w:pPr>
        <w:bidi w:val="0"/>
        <w:rPr>
          <w:rFonts w:hint="default"/>
        </w:rPr>
      </w:pPr>
      <w:r>
        <w:rPr>
          <w:rFonts w:hint="default"/>
          <w:lang w:eastAsia="zh-CN"/>
        </w:rPr>
        <w:t>本项目“三同时”验收一览表表</w:t>
      </w:r>
      <w:r>
        <w:rPr>
          <w:rFonts w:hint="default"/>
          <w:lang w:val="en-US" w:eastAsia="zh-CN"/>
        </w:rPr>
        <w:t>8.4-1。</w:t>
      </w:r>
    </w:p>
    <w:p w14:paraId="05F30589">
      <w:pPr>
        <w:keepNext w:val="0"/>
        <w:keepLines w:val="0"/>
        <w:pageBreakBefore w:val="0"/>
        <w:widowControl w:val="0"/>
        <w:kinsoku/>
        <w:wordWrap/>
        <w:overflowPunct/>
        <w:topLinePunct w:val="0"/>
        <w:autoSpaceDE/>
        <w:autoSpaceDN/>
        <w:bidi w:val="0"/>
        <w:adjustRightInd/>
        <w:snapToGrid/>
        <w:spacing w:line="240" w:lineRule="auto"/>
        <w:ind w:firstLine="843" w:firstLineChars="350"/>
        <w:jc w:val="center"/>
        <w:textAlignment w:val="auto"/>
        <w:rPr>
          <w:rFonts w:hint="default" w:ascii="Times New Roman" w:hAnsi="Times New Roman" w:eastAsia="宋体" w:cs="Times New Roman"/>
          <w:b/>
          <w:color w:val="000000" w:themeColor="text1"/>
          <w:sz w:val="24"/>
          <w:highlight w:val="none"/>
          <w14:textFill>
            <w14:solidFill>
              <w14:schemeClr w14:val="tx1"/>
            </w14:solidFill>
          </w14:textFill>
        </w:rPr>
      </w:pPr>
      <w:r>
        <w:rPr>
          <w:rFonts w:hint="default" w:ascii="Times New Roman" w:hAnsi="Times New Roman" w:eastAsia="宋体" w:cs="Times New Roman"/>
          <w:b/>
          <w:color w:val="000000" w:themeColor="text1"/>
          <w:sz w:val="24"/>
          <w:highlight w:val="none"/>
          <w14:textFill>
            <w14:solidFill>
              <w14:schemeClr w14:val="tx1"/>
            </w14:solidFill>
          </w14:textFill>
        </w:rPr>
        <w:t>表</w:t>
      </w:r>
      <w:r>
        <w:rPr>
          <w:rFonts w:hint="default" w:ascii="Times New Roman" w:hAnsi="Times New Roman" w:eastAsia="宋体" w:cs="Times New Roman"/>
          <w:b/>
          <w:color w:val="000000" w:themeColor="text1"/>
          <w:sz w:val="24"/>
          <w:highlight w:val="none"/>
          <w:lang w:val="en-US" w:eastAsia="zh-CN"/>
          <w14:textFill>
            <w14:solidFill>
              <w14:schemeClr w14:val="tx1"/>
            </w14:solidFill>
          </w14:textFill>
        </w:rPr>
        <w:t>8</w:t>
      </w:r>
      <w:r>
        <w:rPr>
          <w:rFonts w:hint="default" w:ascii="Times New Roman" w:hAnsi="Times New Roman" w:eastAsia="宋体" w:cs="Times New Roman"/>
          <w:b/>
          <w:color w:val="000000" w:themeColor="text1"/>
          <w:sz w:val="24"/>
          <w:highlight w:val="none"/>
          <w14:textFill>
            <w14:solidFill>
              <w14:schemeClr w14:val="tx1"/>
            </w14:solidFill>
          </w14:textFill>
        </w:rPr>
        <w:t>.4-</w:t>
      </w:r>
      <w:r>
        <w:rPr>
          <w:rFonts w:hint="default" w:ascii="Times New Roman" w:hAnsi="Times New Roman" w:eastAsia="宋体" w:cs="Times New Roman"/>
          <w:b/>
          <w:color w:val="000000" w:themeColor="text1"/>
          <w:sz w:val="24"/>
          <w:highlight w:val="none"/>
          <w:lang w:val="en-US" w:eastAsia="zh-CN"/>
          <w14:textFill>
            <w14:solidFill>
              <w14:schemeClr w14:val="tx1"/>
            </w14:solidFill>
          </w14:textFill>
        </w:rPr>
        <w:t>1本项目</w:t>
      </w:r>
      <w:r>
        <w:rPr>
          <w:rFonts w:hint="default" w:ascii="Times New Roman" w:hAnsi="Times New Roman" w:eastAsia="宋体" w:cs="Times New Roman"/>
          <w:b/>
          <w:color w:val="000000" w:themeColor="text1"/>
          <w:sz w:val="24"/>
          <w:highlight w:val="none"/>
          <w:lang w:eastAsia="zh-CN"/>
          <w14:textFill>
            <w14:solidFill>
              <w14:schemeClr w14:val="tx1"/>
            </w14:solidFill>
          </w14:textFill>
        </w:rPr>
        <w:t>“</w:t>
      </w:r>
      <w:r>
        <w:rPr>
          <w:rFonts w:hint="default" w:ascii="Times New Roman" w:hAnsi="Times New Roman" w:eastAsia="宋体" w:cs="Times New Roman"/>
          <w:b/>
          <w:color w:val="000000" w:themeColor="text1"/>
          <w:sz w:val="24"/>
          <w:highlight w:val="none"/>
          <w14:textFill>
            <w14:solidFill>
              <w14:schemeClr w14:val="tx1"/>
            </w14:solidFill>
          </w14:textFill>
        </w:rPr>
        <w:t>三同时</w:t>
      </w:r>
      <w:r>
        <w:rPr>
          <w:rFonts w:hint="default" w:ascii="Times New Roman" w:hAnsi="Times New Roman" w:eastAsia="宋体" w:cs="Times New Roman"/>
          <w:b/>
          <w:color w:val="000000" w:themeColor="text1"/>
          <w:sz w:val="24"/>
          <w:highlight w:val="none"/>
          <w:lang w:eastAsia="zh-CN"/>
          <w14:textFill>
            <w14:solidFill>
              <w14:schemeClr w14:val="tx1"/>
            </w14:solidFill>
          </w14:textFill>
        </w:rPr>
        <w:t>”</w:t>
      </w:r>
      <w:r>
        <w:rPr>
          <w:rFonts w:hint="default" w:ascii="Times New Roman" w:hAnsi="Times New Roman" w:eastAsia="宋体" w:cs="Times New Roman"/>
          <w:b/>
          <w:color w:val="000000" w:themeColor="text1"/>
          <w:sz w:val="24"/>
          <w:highlight w:val="none"/>
          <w14:textFill>
            <w14:solidFill>
              <w14:schemeClr w14:val="tx1"/>
            </w14:solidFill>
          </w14:textFill>
        </w:rPr>
        <w:t>验收一览表</w:t>
      </w:r>
    </w:p>
    <w:tbl>
      <w:tblPr>
        <w:tblStyle w:val="47"/>
        <w:tblW w:w="5141"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
      <w:tblGrid>
        <w:gridCol w:w="590"/>
        <w:gridCol w:w="1793"/>
        <w:gridCol w:w="1178"/>
        <w:gridCol w:w="3216"/>
        <w:gridCol w:w="650"/>
        <w:gridCol w:w="999"/>
        <w:gridCol w:w="1660"/>
        <w:gridCol w:w="3142"/>
        <w:gridCol w:w="1229"/>
      </w:tblGrid>
      <w:tr w14:paraId="50FA31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04" w:type="pct"/>
            <w:tcBorders>
              <w:tl2br w:val="nil"/>
              <w:tr2bl w:val="nil"/>
            </w:tcBorders>
            <w:noWrap w:val="0"/>
            <w:vAlign w:val="center"/>
          </w:tcPr>
          <w:p w14:paraId="6E12992D">
            <w:pPr>
              <w:pStyle w:val="58"/>
              <w:bidi w:val="0"/>
              <w:rPr>
                <w:rFonts w:hint="default"/>
                <w:highlight w:val="none"/>
              </w:rPr>
            </w:pPr>
            <w:r>
              <w:rPr>
                <w:rFonts w:hint="default"/>
                <w:highlight w:val="none"/>
                <w:lang w:eastAsia="zh-CN"/>
              </w:rPr>
              <w:t>污染种类</w:t>
            </w:r>
          </w:p>
        </w:tc>
        <w:tc>
          <w:tcPr>
            <w:tcW w:w="620" w:type="pct"/>
            <w:tcBorders>
              <w:tl2br w:val="nil"/>
              <w:tr2bl w:val="nil"/>
            </w:tcBorders>
            <w:noWrap w:val="0"/>
            <w:vAlign w:val="center"/>
          </w:tcPr>
          <w:p w14:paraId="1F091816">
            <w:pPr>
              <w:pStyle w:val="58"/>
              <w:bidi w:val="0"/>
              <w:rPr>
                <w:rFonts w:hint="default"/>
                <w:highlight w:val="none"/>
              </w:rPr>
            </w:pPr>
            <w:r>
              <w:rPr>
                <w:rFonts w:hint="default"/>
                <w:highlight w:val="none"/>
              </w:rPr>
              <w:t>污染产生工序</w:t>
            </w:r>
          </w:p>
        </w:tc>
        <w:tc>
          <w:tcPr>
            <w:tcW w:w="407" w:type="pct"/>
            <w:tcBorders>
              <w:tl2br w:val="nil"/>
              <w:tr2bl w:val="nil"/>
            </w:tcBorders>
            <w:noWrap w:val="0"/>
            <w:vAlign w:val="center"/>
          </w:tcPr>
          <w:p w14:paraId="177822FF">
            <w:pPr>
              <w:pStyle w:val="58"/>
              <w:bidi w:val="0"/>
              <w:rPr>
                <w:rFonts w:hint="default"/>
                <w:highlight w:val="none"/>
              </w:rPr>
            </w:pPr>
            <w:r>
              <w:rPr>
                <w:rFonts w:hint="default"/>
                <w:highlight w:val="none"/>
              </w:rPr>
              <w:t>污染物</w:t>
            </w:r>
          </w:p>
        </w:tc>
        <w:tc>
          <w:tcPr>
            <w:tcW w:w="1112" w:type="pct"/>
            <w:tcBorders>
              <w:tl2br w:val="nil"/>
              <w:tr2bl w:val="nil"/>
            </w:tcBorders>
            <w:noWrap w:val="0"/>
            <w:vAlign w:val="center"/>
          </w:tcPr>
          <w:p w14:paraId="5733A7DD">
            <w:pPr>
              <w:pStyle w:val="58"/>
              <w:bidi w:val="0"/>
              <w:rPr>
                <w:rFonts w:hint="default"/>
                <w:highlight w:val="none"/>
              </w:rPr>
            </w:pPr>
            <w:r>
              <w:rPr>
                <w:rFonts w:hint="default"/>
                <w:highlight w:val="none"/>
              </w:rPr>
              <w:t>治理措施</w:t>
            </w:r>
          </w:p>
        </w:tc>
        <w:tc>
          <w:tcPr>
            <w:tcW w:w="224" w:type="pct"/>
            <w:tcBorders>
              <w:tl2br w:val="nil"/>
              <w:tr2bl w:val="nil"/>
            </w:tcBorders>
            <w:noWrap w:val="0"/>
            <w:vAlign w:val="center"/>
          </w:tcPr>
          <w:p w14:paraId="6C80FDE1">
            <w:pPr>
              <w:pStyle w:val="58"/>
              <w:bidi w:val="0"/>
              <w:rPr>
                <w:rFonts w:hint="default"/>
                <w:highlight w:val="none"/>
                <w:lang w:val="en-US"/>
              </w:rPr>
            </w:pPr>
            <w:r>
              <w:rPr>
                <w:rFonts w:hint="default"/>
                <w:highlight w:val="none"/>
                <w:lang w:val="en-US" w:eastAsia="zh-CN"/>
              </w:rPr>
              <w:t>数量</w:t>
            </w:r>
            <w:r>
              <w:rPr>
                <w:rFonts w:hint="eastAsia"/>
                <w:highlight w:val="none"/>
                <w:lang w:val="en-US" w:eastAsia="zh-CN"/>
              </w:rPr>
              <w:t>及单位</w:t>
            </w:r>
          </w:p>
        </w:tc>
        <w:tc>
          <w:tcPr>
            <w:tcW w:w="345" w:type="pct"/>
            <w:tcBorders>
              <w:tl2br w:val="nil"/>
              <w:tr2bl w:val="nil"/>
            </w:tcBorders>
            <w:noWrap w:val="0"/>
            <w:vAlign w:val="center"/>
          </w:tcPr>
          <w:p w14:paraId="211E468E">
            <w:pPr>
              <w:pStyle w:val="58"/>
              <w:bidi w:val="0"/>
              <w:rPr>
                <w:rFonts w:hint="default"/>
                <w:highlight w:val="none"/>
                <w:lang w:val="en-US" w:eastAsia="zh-CN"/>
              </w:rPr>
            </w:pPr>
            <w:r>
              <w:rPr>
                <w:rFonts w:hint="default"/>
                <w:highlight w:val="none"/>
                <w:lang w:eastAsia="zh-CN"/>
              </w:rPr>
              <w:t>处理能力</w:t>
            </w:r>
            <w:r>
              <w:rPr>
                <w:rFonts w:hint="eastAsia"/>
                <w:highlight w:val="none"/>
                <w:lang w:eastAsia="zh-CN"/>
              </w:rPr>
              <w:t>m</w:t>
            </w:r>
            <w:r>
              <w:rPr>
                <w:rFonts w:hint="eastAsia"/>
                <w:highlight w:val="none"/>
                <w:vertAlign w:val="superscript"/>
                <w:lang w:eastAsia="zh-CN"/>
              </w:rPr>
              <w:t>3</w:t>
            </w:r>
            <w:r>
              <w:rPr>
                <w:rFonts w:hint="default"/>
                <w:highlight w:val="none"/>
              </w:rPr>
              <w:t>/h</w:t>
            </w:r>
          </w:p>
        </w:tc>
        <w:tc>
          <w:tcPr>
            <w:tcW w:w="574" w:type="pct"/>
            <w:tcBorders>
              <w:tl2br w:val="nil"/>
              <w:tr2bl w:val="nil"/>
            </w:tcBorders>
            <w:noWrap w:val="0"/>
            <w:vAlign w:val="center"/>
          </w:tcPr>
          <w:p w14:paraId="5A88141F">
            <w:pPr>
              <w:pStyle w:val="58"/>
              <w:bidi w:val="0"/>
              <w:rPr>
                <w:rFonts w:hint="default"/>
                <w:highlight w:val="none"/>
                <w:lang w:eastAsia="zh-CN"/>
              </w:rPr>
            </w:pPr>
            <w:r>
              <w:rPr>
                <w:rFonts w:hint="default"/>
                <w:highlight w:val="none"/>
                <w:lang w:eastAsia="zh-CN"/>
              </w:rPr>
              <w:t>处理</w:t>
            </w:r>
          </w:p>
          <w:p w14:paraId="189A659A">
            <w:pPr>
              <w:pStyle w:val="58"/>
              <w:bidi w:val="0"/>
              <w:rPr>
                <w:rFonts w:hint="default"/>
                <w:highlight w:val="none"/>
              </w:rPr>
            </w:pPr>
            <w:r>
              <w:rPr>
                <w:rFonts w:hint="default"/>
                <w:highlight w:val="none"/>
                <w:lang w:eastAsia="zh-CN"/>
              </w:rPr>
              <w:t>效果</w:t>
            </w:r>
          </w:p>
        </w:tc>
        <w:tc>
          <w:tcPr>
            <w:tcW w:w="1086" w:type="pct"/>
            <w:tcBorders>
              <w:tl2br w:val="nil"/>
              <w:tr2bl w:val="nil"/>
            </w:tcBorders>
            <w:noWrap w:val="0"/>
            <w:vAlign w:val="center"/>
          </w:tcPr>
          <w:p w14:paraId="745967AF">
            <w:pPr>
              <w:pStyle w:val="58"/>
              <w:bidi w:val="0"/>
              <w:rPr>
                <w:rFonts w:hint="default"/>
                <w:highlight w:val="none"/>
                <w:lang w:eastAsia="zh-CN"/>
              </w:rPr>
            </w:pPr>
            <w:r>
              <w:rPr>
                <w:rFonts w:hint="default"/>
                <w:highlight w:val="none"/>
                <w:lang w:eastAsia="zh-CN"/>
              </w:rPr>
              <w:t>验收标准</w:t>
            </w:r>
          </w:p>
        </w:tc>
        <w:tc>
          <w:tcPr>
            <w:tcW w:w="425" w:type="pct"/>
            <w:tcBorders>
              <w:tl2br w:val="nil"/>
              <w:tr2bl w:val="nil"/>
            </w:tcBorders>
            <w:noWrap w:val="0"/>
            <w:vAlign w:val="center"/>
          </w:tcPr>
          <w:p w14:paraId="25A4740E">
            <w:pPr>
              <w:pStyle w:val="58"/>
              <w:bidi w:val="0"/>
              <w:rPr>
                <w:rFonts w:hint="default"/>
                <w:highlight w:val="none"/>
              </w:rPr>
            </w:pPr>
            <w:r>
              <w:rPr>
                <w:rFonts w:hint="default"/>
                <w:highlight w:val="none"/>
                <w:lang w:val="en-US" w:eastAsia="zh-CN"/>
              </w:rPr>
              <w:t>环保投资万元</w:t>
            </w:r>
          </w:p>
        </w:tc>
      </w:tr>
      <w:tr w14:paraId="7E403AB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04" w:type="pct"/>
            <w:vMerge w:val="restart"/>
            <w:tcBorders>
              <w:tl2br w:val="nil"/>
              <w:tr2bl w:val="nil"/>
            </w:tcBorders>
            <w:noWrap w:val="0"/>
            <w:vAlign w:val="center"/>
          </w:tcPr>
          <w:p w14:paraId="319D9C44">
            <w:pPr>
              <w:pStyle w:val="58"/>
              <w:bidi w:val="0"/>
              <w:rPr>
                <w:rFonts w:hint="default"/>
                <w:highlight w:val="none"/>
                <w:lang w:val="en-US" w:eastAsia="zh-CN"/>
              </w:rPr>
            </w:pPr>
            <w:r>
              <w:rPr>
                <w:rFonts w:hint="default"/>
                <w:highlight w:val="none"/>
                <w:lang w:val="en-US" w:eastAsia="zh-CN"/>
              </w:rPr>
              <w:t>废气</w:t>
            </w:r>
          </w:p>
        </w:tc>
        <w:tc>
          <w:tcPr>
            <w:tcW w:w="620" w:type="pct"/>
            <w:vMerge w:val="restart"/>
            <w:tcBorders>
              <w:tl2br w:val="nil"/>
              <w:tr2bl w:val="nil"/>
            </w:tcBorders>
            <w:noWrap w:val="0"/>
            <w:vAlign w:val="center"/>
          </w:tcPr>
          <w:p w14:paraId="683224E8">
            <w:pPr>
              <w:pStyle w:val="58"/>
              <w:bidi w:val="0"/>
              <w:rPr>
                <w:rFonts w:hint="default"/>
                <w:highlight w:val="none"/>
                <w:lang w:val="en-US" w:eastAsia="zh-CN"/>
              </w:rPr>
            </w:pPr>
            <w:r>
              <w:rPr>
                <w:rFonts w:hint="default"/>
                <w:highlight w:val="none"/>
                <w:lang w:val="en-US" w:eastAsia="zh-CN"/>
              </w:rPr>
              <w:t>污水处理单元废气</w:t>
            </w:r>
          </w:p>
        </w:tc>
        <w:tc>
          <w:tcPr>
            <w:tcW w:w="407" w:type="pct"/>
            <w:tcBorders>
              <w:tl2br w:val="nil"/>
              <w:tr2bl w:val="nil"/>
            </w:tcBorders>
            <w:noWrap w:val="0"/>
            <w:vAlign w:val="center"/>
          </w:tcPr>
          <w:p w14:paraId="117FECD0">
            <w:pPr>
              <w:pStyle w:val="58"/>
              <w:bidi w:val="0"/>
              <w:rPr>
                <w:rFonts w:hint="default"/>
                <w:highlight w:val="none"/>
                <w:lang w:val="en-US" w:eastAsia="zh-CN"/>
              </w:rPr>
            </w:pPr>
            <w:r>
              <w:rPr>
                <w:rFonts w:hint="default"/>
                <w:highlight w:val="none"/>
              </w:rPr>
              <w:t>氨</w:t>
            </w:r>
          </w:p>
        </w:tc>
        <w:tc>
          <w:tcPr>
            <w:tcW w:w="1112" w:type="pct"/>
            <w:vMerge w:val="restart"/>
            <w:tcBorders>
              <w:tl2br w:val="nil"/>
              <w:tr2bl w:val="nil"/>
            </w:tcBorders>
            <w:noWrap w:val="0"/>
            <w:vAlign w:val="center"/>
          </w:tcPr>
          <w:p w14:paraId="4707FC34">
            <w:pPr>
              <w:pStyle w:val="58"/>
              <w:bidi w:val="0"/>
              <w:rPr>
                <w:rFonts w:hint="default"/>
                <w:highlight w:val="none"/>
                <w:lang w:val="en-US" w:eastAsia="zh-CN"/>
              </w:rPr>
            </w:pPr>
            <w:r>
              <w:rPr>
                <w:rFonts w:hint="default"/>
                <w:highlight w:val="none"/>
                <w:lang w:val="en-US" w:eastAsia="zh-CN"/>
              </w:rPr>
              <w:t>等离子光电一体机+15m高排气筒</w:t>
            </w:r>
          </w:p>
        </w:tc>
        <w:tc>
          <w:tcPr>
            <w:tcW w:w="224" w:type="pct"/>
            <w:vMerge w:val="restart"/>
            <w:tcBorders>
              <w:tl2br w:val="nil"/>
              <w:tr2bl w:val="nil"/>
            </w:tcBorders>
            <w:noWrap w:val="0"/>
            <w:vAlign w:val="center"/>
          </w:tcPr>
          <w:p w14:paraId="05F7D6D6">
            <w:pPr>
              <w:pStyle w:val="58"/>
              <w:bidi w:val="0"/>
              <w:rPr>
                <w:rFonts w:hint="default"/>
                <w:highlight w:val="none"/>
                <w:lang w:val="en-US" w:eastAsia="zh-CN"/>
              </w:rPr>
            </w:pPr>
            <w:r>
              <w:rPr>
                <w:rFonts w:hint="default"/>
                <w:highlight w:val="none"/>
                <w:lang w:val="en-US" w:eastAsia="zh-CN"/>
              </w:rPr>
              <w:t>1</w:t>
            </w:r>
            <w:r>
              <w:rPr>
                <w:rFonts w:hint="eastAsia"/>
                <w:highlight w:val="none"/>
                <w:lang w:val="en-US" w:eastAsia="zh-CN"/>
              </w:rPr>
              <w:t>套</w:t>
            </w:r>
          </w:p>
        </w:tc>
        <w:tc>
          <w:tcPr>
            <w:tcW w:w="345" w:type="pct"/>
            <w:vMerge w:val="restart"/>
            <w:tcBorders>
              <w:tl2br w:val="nil"/>
              <w:tr2bl w:val="nil"/>
            </w:tcBorders>
            <w:noWrap w:val="0"/>
            <w:vAlign w:val="center"/>
          </w:tcPr>
          <w:p w14:paraId="3A1EBD56">
            <w:pPr>
              <w:pStyle w:val="58"/>
              <w:bidi w:val="0"/>
              <w:rPr>
                <w:rFonts w:hint="default"/>
                <w:highlight w:val="none"/>
                <w:lang w:val="en-US" w:eastAsia="zh-CN"/>
              </w:rPr>
            </w:pPr>
            <w:r>
              <w:rPr>
                <w:rFonts w:hint="default"/>
                <w:highlight w:val="none"/>
                <w:lang w:val="en-US" w:eastAsia="zh-CN"/>
              </w:rPr>
              <w:t>5000</w:t>
            </w:r>
          </w:p>
        </w:tc>
        <w:tc>
          <w:tcPr>
            <w:tcW w:w="574" w:type="pct"/>
            <w:tcBorders>
              <w:tl2br w:val="nil"/>
              <w:tr2bl w:val="nil"/>
            </w:tcBorders>
            <w:noWrap w:val="0"/>
            <w:vAlign w:val="center"/>
          </w:tcPr>
          <w:p w14:paraId="27484FDF">
            <w:pPr>
              <w:pStyle w:val="58"/>
              <w:bidi w:val="0"/>
              <w:rPr>
                <w:rFonts w:hint="default"/>
                <w:highlight w:val="none"/>
                <w:lang w:val="en-US" w:eastAsia="zh-CN"/>
              </w:rPr>
            </w:pPr>
            <w:r>
              <w:rPr>
                <w:rFonts w:hint="default"/>
                <w:highlight w:val="none"/>
              </w:rPr>
              <w:t>排放速率&lt;4.9kg/h</w:t>
            </w:r>
          </w:p>
        </w:tc>
        <w:tc>
          <w:tcPr>
            <w:tcW w:w="1086" w:type="pct"/>
            <w:vMerge w:val="restart"/>
            <w:tcBorders>
              <w:tl2br w:val="nil"/>
              <w:tr2bl w:val="nil"/>
            </w:tcBorders>
            <w:noWrap w:val="0"/>
            <w:vAlign w:val="center"/>
          </w:tcPr>
          <w:p w14:paraId="4EA4634A">
            <w:pPr>
              <w:pStyle w:val="58"/>
              <w:bidi w:val="0"/>
              <w:rPr>
                <w:rFonts w:hint="default"/>
                <w:highlight w:val="none"/>
              </w:rPr>
            </w:pPr>
            <w:r>
              <w:rPr>
                <w:rFonts w:hint="default"/>
                <w:highlight w:val="none"/>
              </w:rPr>
              <w:t>《恶臭污染物排放标准》（GB14554-93）表2排放标准</w:t>
            </w:r>
          </w:p>
        </w:tc>
        <w:tc>
          <w:tcPr>
            <w:tcW w:w="425" w:type="pct"/>
            <w:vMerge w:val="restart"/>
            <w:tcBorders>
              <w:tl2br w:val="nil"/>
              <w:tr2bl w:val="nil"/>
            </w:tcBorders>
            <w:noWrap w:val="0"/>
            <w:vAlign w:val="center"/>
          </w:tcPr>
          <w:p w14:paraId="51082AC9">
            <w:pPr>
              <w:pStyle w:val="58"/>
              <w:bidi w:val="0"/>
              <w:rPr>
                <w:rFonts w:hint="default"/>
                <w:highlight w:val="none"/>
                <w:lang w:val="en-US" w:eastAsia="zh-CN"/>
              </w:rPr>
            </w:pPr>
            <w:r>
              <w:rPr>
                <w:rFonts w:hint="default"/>
                <w:highlight w:val="none"/>
                <w:lang w:val="en-US" w:eastAsia="zh-CN"/>
              </w:rPr>
              <w:t>8</w:t>
            </w:r>
          </w:p>
        </w:tc>
      </w:tr>
      <w:tr w14:paraId="2943AA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04" w:type="pct"/>
            <w:vMerge w:val="continue"/>
            <w:tcBorders>
              <w:tl2br w:val="nil"/>
              <w:tr2bl w:val="nil"/>
            </w:tcBorders>
            <w:noWrap w:val="0"/>
            <w:vAlign w:val="center"/>
          </w:tcPr>
          <w:p w14:paraId="3F1F0751">
            <w:pPr>
              <w:pStyle w:val="58"/>
              <w:bidi w:val="0"/>
              <w:rPr>
                <w:rFonts w:hint="default"/>
                <w:highlight w:val="none"/>
                <w:lang w:val="en-US" w:eastAsia="zh-CN"/>
              </w:rPr>
            </w:pPr>
          </w:p>
        </w:tc>
        <w:tc>
          <w:tcPr>
            <w:tcW w:w="620" w:type="pct"/>
            <w:vMerge w:val="continue"/>
            <w:tcBorders>
              <w:tl2br w:val="nil"/>
              <w:tr2bl w:val="nil"/>
            </w:tcBorders>
            <w:noWrap w:val="0"/>
            <w:vAlign w:val="center"/>
          </w:tcPr>
          <w:p w14:paraId="61F59B8E">
            <w:pPr>
              <w:pStyle w:val="58"/>
              <w:bidi w:val="0"/>
              <w:rPr>
                <w:rFonts w:hint="default"/>
                <w:highlight w:val="none"/>
                <w:lang w:val="en-US" w:eastAsia="zh-CN"/>
              </w:rPr>
            </w:pPr>
          </w:p>
        </w:tc>
        <w:tc>
          <w:tcPr>
            <w:tcW w:w="407" w:type="pct"/>
            <w:tcBorders>
              <w:tl2br w:val="nil"/>
              <w:tr2bl w:val="nil"/>
            </w:tcBorders>
            <w:noWrap w:val="0"/>
            <w:vAlign w:val="center"/>
          </w:tcPr>
          <w:p w14:paraId="280FC78C">
            <w:pPr>
              <w:pStyle w:val="58"/>
              <w:bidi w:val="0"/>
              <w:rPr>
                <w:rFonts w:hint="default"/>
                <w:highlight w:val="none"/>
                <w:lang w:val="en-US" w:eastAsia="zh-CN"/>
              </w:rPr>
            </w:pPr>
            <w:r>
              <w:rPr>
                <w:rFonts w:hint="default"/>
                <w:highlight w:val="none"/>
              </w:rPr>
              <w:t>硫化氢</w:t>
            </w:r>
          </w:p>
        </w:tc>
        <w:tc>
          <w:tcPr>
            <w:tcW w:w="1112" w:type="pct"/>
            <w:vMerge w:val="continue"/>
            <w:tcBorders>
              <w:tl2br w:val="nil"/>
              <w:tr2bl w:val="nil"/>
            </w:tcBorders>
            <w:noWrap w:val="0"/>
            <w:vAlign w:val="center"/>
          </w:tcPr>
          <w:p w14:paraId="6FD578D8">
            <w:pPr>
              <w:pStyle w:val="58"/>
              <w:bidi w:val="0"/>
              <w:rPr>
                <w:rFonts w:hint="default"/>
                <w:highlight w:val="none"/>
                <w:lang w:val="en-US" w:eastAsia="zh-CN"/>
              </w:rPr>
            </w:pPr>
          </w:p>
        </w:tc>
        <w:tc>
          <w:tcPr>
            <w:tcW w:w="224" w:type="pct"/>
            <w:vMerge w:val="continue"/>
            <w:tcBorders>
              <w:tl2br w:val="nil"/>
              <w:tr2bl w:val="nil"/>
            </w:tcBorders>
            <w:noWrap w:val="0"/>
            <w:vAlign w:val="center"/>
          </w:tcPr>
          <w:p w14:paraId="33EABE66">
            <w:pPr>
              <w:pStyle w:val="58"/>
              <w:bidi w:val="0"/>
              <w:rPr>
                <w:rFonts w:hint="default"/>
                <w:highlight w:val="none"/>
                <w:lang w:val="en-US" w:eastAsia="zh-CN"/>
              </w:rPr>
            </w:pPr>
          </w:p>
        </w:tc>
        <w:tc>
          <w:tcPr>
            <w:tcW w:w="345" w:type="pct"/>
            <w:vMerge w:val="continue"/>
            <w:tcBorders>
              <w:tl2br w:val="nil"/>
              <w:tr2bl w:val="nil"/>
            </w:tcBorders>
            <w:noWrap w:val="0"/>
            <w:vAlign w:val="center"/>
          </w:tcPr>
          <w:p w14:paraId="4594C3AC">
            <w:pPr>
              <w:pStyle w:val="58"/>
              <w:bidi w:val="0"/>
              <w:rPr>
                <w:rFonts w:hint="default"/>
                <w:highlight w:val="none"/>
                <w:lang w:val="en-US" w:eastAsia="zh-CN"/>
              </w:rPr>
            </w:pPr>
          </w:p>
        </w:tc>
        <w:tc>
          <w:tcPr>
            <w:tcW w:w="574" w:type="pct"/>
            <w:tcBorders>
              <w:tl2br w:val="nil"/>
              <w:tr2bl w:val="nil"/>
            </w:tcBorders>
            <w:noWrap w:val="0"/>
            <w:vAlign w:val="center"/>
          </w:tcPr>
          <w:p w14:paraId="53DC982C">
            <w:pPr>
              <w:pStyle w:val="58"/>
              <w:bidi w:val="0"/>
              <w:rPr>
                <w:rFonts w:hint="default"/>
                <w:highlight w:val="none"/>
                <w:lang w:val="en-US" w:eastAsia="zh-CN"/>
              </w:rPr>
            </w:pPr>
            <w:r>
              <w:rPr>
                <w:rFonts w:hint="default"/>
                <w:highlight w:val="none"/>
              </w:rPr>
              <w:t>排放速率&lt;0.33kg/h</w:t>
            </w:r>
          </w:p>
        </w:tc>
        <w:tc>
          <w:tcPr>
            <w:tcW w:w="1086" w:type="pct"/>
            <w:vMerge w:val="continue"/>
            <w:tcBorders>
              <w:tl2br w:val="nil"/>
              <w:tr2bl w:val="nil"/>
            </w:tcBorders>
            <w:noWrap w:val="0"/>
            <w:vAlign w:val="center"/>
          </w:tcPr>
          <w:p w14:paraId="7CAB8AEF">
            <w:pPr>
              <w:pStyle w:val="58"/>
              <w:bidi w:val="0"/>
              <w:rPr>
                <w:rFonts w:hint="default"/>
                <w:highlight w:val="none"/>
                <w:lang w:eastAsia="zh-CN"/>
              </w:rPr>
            </w:pPr>
          </w:p>
        </w:tc>
        <w:tc>
          <w:tcPr>
            <w:tcW w:w="425" w:type="pct"/>
            <w:vMerge w:val="continue"/>
            <w:tcBorders>
              <w:tl2br w:val="nil"/>
              <w:tr2bl w:val="nil"/>
            </w:tcBorders>
            <w:noWrap w:val="0"/>
            <w:vAlign w:val="center"/>
          </w:tcPr>
          <w:p w14:paraId="61ECFA17">
            <w:pPr>
              <w:pStyle w:val="58"/>
              <w:bidi w:val="0"/>
              <w:rPr>
                <w:rFonts w:hint="default"/>
                <w:highlight w:val="none"/>
                <w:lang w:val="en-US" w:eastAsia="zh-CN"/>
              </w:rPr>
            </w:pPr>
          </w:p>
        </w:tc>
      </w:tr>
      <w:tr w14:paraId="6991AA3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04" w:type="pct"/>
            <w:vMerge w:val="continue"/>
            <w:tcBorders>
              <w:tl2br w:val="nil"/>
              <w:tr2bl w:val="nil"/>
            </w:tcBorders>
            <w:noWrap w:val="0"/>
            <w:vAlign w:val="center"/>
          </w:tcPr>
          <w:p w14:paraId="65CC8769">
            <w:pPr>
              <w:pStyle w:val="58"/>
              <w:bidi w:val="0"/>
              <w:rPr>
                <w:rFonts w:hint="default"/>
                <w:highlight w:val="none"/>
                <w:lang w:val="en-US" w:eastAsia="zh-CN"/>
              </w:rPr>
            </w:pPr>
          </w:p>
        </w:tc>
        <w:tc>
          <w:tcPr>
            <w:tcW w:w="620" w:type="pct"/>
            <w:vMerge w:val="continue"/>
            <w:tcBorders>
              <w:tl2br w:val="nil"/>
              <w:tr2bl w:val="nil"/>
            </w:tcBorders>
            <w:noWrap w:val="0"/>
            <w:vAlign w:val="center"/>
          </w:tcPr>
          <w:p w14:paraId="15034E2F">
            <w:pPr>
              <w:pStyle w:val="58"/>
              <w:bidi w:val="0"/>
              <w:rPr>
                <w:rFonts w:hint="default"/>
                <w:highlight w:val="none"/>
                <w:lang w:val="en-US" w:eastAsia="zh-CN"/>
              </w:rPr>
            </w:pPr>
          </w:p>
        </w:tc>
        <w:tc>
          <w:tcPr>
            <w:tcW w:w="407" w:type="pct"/>
            <w:tcBorders>
              <w:tl2br w:val="nil"/>
              <w:tr2bl w:val="nil"/>
            </w:tcBorders>
            <w:noWrap w:val="0"/>
            <w:vAlign w:val="center"/>
          </w:tcPr>
          <w:p w14:paraId="54F64BC9">
            <w:pPr>
              <w:pStyle w:val="58"/>
              <w:bidi w:val="0"/>
              <w:rPr>
                <w:rFonts w:hint="default"/>
                <w:highlight w:val="none"/>
                <w:lang w:val="en-US" w:eastAsia="zh-CN"/>
              </w:rPr>
            </w:pPr>
            <w:r>
              <w:rPr>
                <w:rFonts w:hint="default"/>
                <w:highlight w:val="none"/>
              </w:rPr>
              <w:t>臭气浓度</w:t>
            </w:r>
          </w:p>
        </w:tc>
        <w:tc>
          <w:tcPr>
            <w:tcW w:w="1112" w:type="pct"/>
            <w:vMerge w:val="continue"/>
            <w:tcBorders>
              <w:tl2br w:val="nil"/>
              <w:tr2bl w:val="nil"/>
            </w:tcBorders>
            <w:noWrap w:val="0"/>
            <w:vAlign w:val="center"/>
          </w:tcPr>
          <w:p w14:paraId="05FE5BAE">
            <w:pPr>
              <w:pStyle w:val="58"/>
              <w:bidi w:val="0"/>
              <w:rPr>
                <w:rFonts w:hint="default"/>
                <w:highlight w:val="none"/>
                <w:lang w:val="en-US" w:eastAsia="zh-CN"/>
              </w:rPr>
            </w:pPr>
          </w:p>
        </w:tc>
        <w:tc>
          <w:tcPr>
            <w:tcW w:w="224" w:type="pct"/>
            <w:vMerge w:val="continue"/>
            <w:tcBorders>
              <w:tl2br w:val="nil"/>
              <w:tr2bl w:val="nil"/>
            </w:tcBorders>
            <w:noWrap w:val="0"/>
            <w:vAlign w:val="center"/>
          </w:tcPr>
          <w:p w14:paraId="101744C4">
            <w:pPr>
              <w:pStyle w:val="58"/>
              <w:bidi w:val="0"/>
              <w:rPr>
                <w:rFonts w:hint="default"/>
                <w:highlight w:val="none"/>
                <w:lang w:val="en-US" w:eastAsia="zh-CN"/>
              </w:rPr>
            </w:pPr>
          </w:p>
        </w:tc>
        <w:tc>
          <w:tcPr>
            <w:tcW w:w="345" w:type="pct"/>
            <w:vMerge w:val="continue"/>
            <w:tcBorders>
              <w:tl2br w:val="nil"/>
              <w:tr2bl w:val="nil"/>
            </w:tcBorders>
            <w:noWrap w:val="0"/>
            <w:vAlign w:val="center"/>
          </w:tcPr>
          <w:p w14:paraId="66C47CE6">
            <w:pPr>
              <w:pStyle w:val="58"/>
              <w:bidi w:val="0"/>
              <w:rPr>
                <w:rFonts w:hint="default"/>
                <w:highlight w:val="none"/>
                <w:lang w:val="en-US" w:eastAsia="zh-CN"/>
              </w:rPr>
            </w:pPr>
          </w:p>
        </w:tc>
        <w:tc>
          <w:tcPr>
            <w:tcW w:w="574" w:type="pct"/>
            <w:tcBorders>
              <w:tl2br w:val="nil"/>
              <w:tr2bl w:val="nil"/>
            </w:tcBorders>
            <w:noWrap w:val="0"/>
            <w:vAlign w:val="center"/>
          </w:tcPr>
          <w:p w14:paraId="4C692325">
            <w:pPr>
              <w:pStyle w:val="58"/>
              <w:bidi w:val="0"/>
              <w:rPr>
                <w:rFonts w:hint="default"/>
                <w:highlight w:val="none"/>
                <w:lang w:val="en-US" w:eastAsia="zh-CN"/>
              </w:rPr>
            </w:pPr>
            <w:r>
              <w:rPr>
                <w:rFonts w:hint="default"/>
                <w:highlight w:val="none"/>
              </w:rPr>
              <w:t>排放浓度&lt;2000（无量纲）</w:t>
            </w:r>
          </w:p>
        </w:tc>
        <w:tc>
          <w:tcPr>
            <w:tcW w:w="1086" w:type="pct"/>
            <w:vMerge w:val="continue"/>
            <w:tcBorders>
              <w:tl2br w:val="nil"/>
              <w:tr2bl w:val="nil"/>
            </w:tcBorders>
            <w:noWrap w:val="0"/>
            <w:vAlign w:val="center"/>
          </w:tcPr>
          <w:p w14:paraId="2F7C5EB1">
            <w:pPr>
              <w:pStyle w:val="58"/>
              <w:bidi w:val="0"/>
              <w:rPr>
                <w:rFonts w:hint="default"/>
                <w:highlight w:val="none"/>
                <w:lang w:eastAsia="zh-CN"/>
              </w:rPr>
            </w:pPr>
          </w:p>
        </w:tc>
        <w:tc>
          <w:tcPr>
            <w:tcW w:w="425" w:type="pct"/>
            <w:vMerge w:val="continue"/>
            <w:tcBorders>
              <w:tl2br w:val="nil"/>
              <w:tr2bl w:val="nil"/>
            </w:tcBorders>
            <w:noWrap w:val="0"/>
            <w:vAlign w:val="center"/>
          </w:tcPr>
          <w:p w14:paraId="25CE84E2">
            <w:pPr>
              <w:pStyle w:val="58"/>
              <w:bidi w:val="0"/>
              <w:rPr>
                <w:rFonts w:hint="default"/>
                <w:highlight w:val="none"/>
                <w:lang w:val="en-US" w:eastAsia="zh-CN"/>
              </w:rPr>
            </w:pPr>
          </w:p>
        </w:tc>
      </w:tr>
      <w:tr w14:paraId="71C5F3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04" w:type="pct"/>
            <w:vMerge w:val="continue"/>
            <w:tcBorders>
              <w:tl2br w:val="nil"/>
              <w:tr2bl w:val="nil"/>
            </w:tcBorders>
            <w:noWrap w:val="0"/>
            <w:vAlign w:val="center"/>
          </w:tcPr>
          <w:p w14:paraId="312C6151">
            <w:pPr>
              <w:pStyle w:val="58"/>
              <w:bidi w:val="0"/>
              <w:rPr>
                <w:rFonts w:hint="default"/>
                <w:highlight w:val="none"/>
                <w:lang w:val="en-US" w:eastAsia="zh-CN"/>
              </w:rPr>
            </w:pPr>
          </w:p>
        </w:tc>
        <w:tc>
          <w:tcPr>
            <w:tcW w:w="620" w:type="pct"/>
            <w:vMerge w:val="restart"/>
            <w:tcBorders>
              <w:tl2br w:val="nil"/>
              <w:tr2bl w:val="nil"/>
            </w:tcBorders>
            <w:noWrap w:val="0"/>
            <w:vAlign w:val="center"/>
          </w:tcPr>
          <w:p w14:paraId="367D0D12">
            <w:pPr>
              <w:pStyle w:val="58"/>
              <w:bidi w:val="0"/>
              <w:rPr>
                <w:rFonts w:hint="default"/>
                <w:highlight w:val="none"/>
                <w:lang w:val="en-US" w:eastAsia="zh-CN"/>
              </w:rPr>
            </w:pPr>
            <w:r>
              <w:rPr>
                <w:rFonts w:hint="default"/>
                <w:highlight w:val="none"/>
                <w:lang w:val="en-US" w:eastAsia="zh-CN"/>
              </w:rPr>
              <w:t>未被捕集的无组织恶臭气体</w:t>
            </w:r>
          </w:p>
        </w:tc>
        <w:tc>
          <w:tcPr>
            <w:tcW w:w="407" w:type="pct"/>
            <w:tcBorders>
              <w:tl2br w:val="nil"/>
              <w:tr2bl w:val="nil"/>
            </w:tcBorders>
            <w:noWrap w:val="0"/>
            <w:vAlign w:val="center"/>
          </w:tcPr>
          <w:p w14:paraId="5AB832CC">
            <w:pPr>
              <w:pStyle w:val="58"/>
              <w:bidi w:val="0"/>
              <w:rPr>
                <w:rFonts w:hint="default"/>
                <w:highlight w:val="none"/>
                <w:lang w:val="en-US" w:eastAsia="zh-CN"/>
              </w:rPr>
            </w:pPr>
            <w:r>
              <w:rPr>
                <w:rFonts w:hint="default"/>
                <w:highlight w:val="none"/>
                <w:lang w:val="en-US" w:eastAsia="zh-CN"/>
              </w:rPr>
              <w:t>氨</w:t>
            </w:r>
          </w:p>
        </w:tc>
        <w:tc>
          <w:tcPr>
            <w:tcW w:w="1112" w:type="pct"/>
            <w:vMerge w:val="restart"/>
            <w:tcBorders>
              <w:tl2br w:val="nil"/>
              <w:tr2bl w:val="nil"/>
            </w:tcBorders>
            <w:noWrap w:val="0"/>
            <w:vAlign w:val="center"/>
          </w:tcPr>
          <w:p w14:paraId="68D880C5">
            <w:pPr>
              <w:pStyle w:val="58"/>
              <w:bidi w:val="0"/>
              <w:rPr>
                <w:rFonts w:hint="default"/>
                <w:highlight w:val="none"/>
                <w:lang w:val="en-US" w:eastAsia="zh-CN"/>
              </w:rPr>
            </w:pPr>
            <w:r>
              <w:rPr>
                <w:rFonts w:hint="default"/>
                <w:highlight w:val="none"/>
              </w:rPr>
              <w:t>加强密闭，加强绿化</w:t>
            </w:r>
          </w:p>
        </w:tc>
        <w:tc>
          <w:tcPr>
            <w:tcW w:w="224" w:type="pct"/>
            <w:tcBorders>
              <w:tl2br w:val="nil"/>
              <w:tr2bl w:val="nil"/>
            </w:tcBorders>
            <w:noWrap w:val="0"/>
            <w:vAlign w:val="center"/>
          </w:tcPr>
          <w:p w14:paraId="6F601914">
            <w:pPr>
              <w:pStyle w:val="58"/>
              <w:bidi w:val="0"/>
              <w:rPr>
                <w:rFonts w:hint="default"/>
                <w:highlight w:val="none"/>
                <w:lang w:val="en-US" w:eastAsia="zh-CN"/>
              </w:rPr>
            </w:pPr>
            <w:r>
              <w:rPr>
                <w:rFonts w:hint="default"/>
                <w:highlight w:val="none"/>
                <w:lang w:val="en-US" w:eastAsia="zh-CN"/>
              </w:rPr>
              <w:t>/</w:t>
            </w:r>
          </w:p>
        </w:tc>
        <w:tc>
          <w:tcPr>
            <w:tcW w:w="345" w:type="pct"/>
            <w:tcBorders>
              <w:tl2br w:val="nil"/>
              <w:tr2bl w:val="nil"/>
            </w:tcBorders>
            <w:noWrap w:val="0"/>
            <w:vAlign w:val="center"/>
          </w:tcPr>
          <w:p w14:paraId="66636A62">
            <w:pPr>
              <w:pStyle w:val="58"/>
              <w:bidi w:val="0"/>
              <w:rPr>
                <w:rFonts w:hint="default"/>
                <w:highlight w:val="none"/>
                <w:lang w:val="en-US" w:eastAsia="zh-CN"/>
              </w:rPr>
            </w:pPr>
            <w:r>
              <w:rPr>
                <w:rFonts w:hint="default"/>
                <w:highlight w:val="none"/>
                <w:lang w:val="en-US" w:eastAsia="zh-CN"/>
              </w:rPr>
              <w:t>/</w:t>
            </w:r>
          </w:p>
        </w:tc>
        <w:tc>
          <w:tcPr>
            <w:tcW w:w="574" w:type="pct"/>
            <w:tcBorders>
              <w:tl2br w:val="nil"/>
              <w:tr2bl w:val="nil"/>
            </w:tcBorders>
            <w:noWrap w:val="0"/>
            <w:vAlign w:val="center"/>
          </w:tcPr>
          <w:p w14:paraId="3FD425C6">
            <w:pPr>
              <w:pStyle w:val="58"/>
              <w:bidi w:val="0"/>
              <w:rPr>
                <w:rFonts w:hint="default"/>
                <w:highlight w:val="none"/>
                <w:lang w:val="en-US" w:eastAsia="zh-CN"/>
              </w:rPr>
            </w:pPr>
            <w:r>
              <w:rPr>
                <w:rFonts w:hint="default"/>
                <w:highlight w:val="none"/>
              </w:rPr>
              <w:t>厂界浓度&lt;1.5mg/</w:t>
            </w:r>
            <w:r>
              <w:rPr>
                <w:rFonts w:hint="eastAsia"/>
                <w:highlight w:val="none"/>
                <w:lang w:eastAsia="zh-CN"/>
              </w:rPr>
              <w:t>m</w:t>
            </w:r>
            <w:r>
              <w:rPr>
                <w:rFonts w:hint="eastAsia"/>
                <w:highlight w:val="none"/>
                <w:vertAlign w:val="superscript"/>
                <w:lang w:eastAsia="zh-CN"/>
              </w:rPr>
              <w:t>3</w:t>
            </w:r>
          </w:p>
        </w:tc>
        <w:tc>
          <w:tcPr>
            <w:tcW w:w="1086" w:type="pct"/>
            <w:vMerge w:val="restart"/>
            <w:tcBorders>
              <w:tl2br w:val="nil"/>
              <w:tr2bl w:val="nil"/>
            </w:tcBorders>
            <w:noWrap w:val="0"/>
            <w:vAlign w:val="center"/>
          </w:tcPr>
          <w:p w14:paraId="0E216E07">
            <w:pPr>
              <w:pStyle w:val="58"/>
              <w:bidi w:val="0"/>
              <w:rPr>
                <w:rFonts w:hint="default"/>
                <w:highlight w:val="none"/>
                <w:lang w:eastAsia="zh-CN"/>
              </w:rPr>
            </w:pPr>
            <w:r>
              <w:rPr>
                <w:rFonts w:hint="default"/>
                <w:highlight w:val="none"/>
              </w:rPr>
              <w:t>《城镇污水处理厂污染物排放标准》（GB18918-2002）及2006年修改单表4二级标准</w:t>
            </w:r>
          </w:p>
        </w:tc>
        <w:tc>
          <w:tcPr>
            <w:tcW w:w="425" w:type="pct"/>
            <w:vMerge w:val="restart"/>
            <w:tcBorders>
              <w:tl2br w:val="nil"/>
              <w:tr2bl w:val="nil"/>
            </w:tcBorders>
            <w:noWrap w:val="0"/>
            <w:vAlign w:val="center"/>
          </w:tcPr>
          <w:p w14:paraId="6331C9C6">
            <w:pPr>
              <w:pStyle w:val="58"/>
              <w:bidi w:val="0"/>
              <w:rPr>
                <w:rFonts w:hint="default"/>
                <w:highlight w:val="none"/>
                <w:lang w:val="en-US" w:eastAsia="zh-CN"/>
              </w:rPr>
            </w:pPr>
            <w:r>
              <w:rPr>
                <w:rFonts w:hint="default"/>
                <w:highlight w:val="none"/>
                <w:lang w:val="en-US" w:eastAsia="zh-CN"/>
              </w:rPr>
              <w:t>1</w:t>
            </w:r>
          </w:p>
        </w:tc>
      </w:tr>
      <w:tr w14:paraId="0DF319C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04" w:type="pct"/>
            <w:vMerge w:val="continue"/>
            <w:tcBorders>
              <w:tl2br w:val="nil"/>
              <w:tr2bl w:val="nil"/>
            </w:tcBorders>
            <w:noWrap w:val="0"/>
            <w:vAlign w:val="center"/>
          </w:tcPr>
          <w:p w14:paraId="0928DB69">
            <w:pPr>
              <w:pStyle w:val="58"/>
              <w:bidi w:val="0"/>
              <w:rPr>
                <w:rFonts w:hint="default"/>
                <w:highlight w:val="none"/>
                <w:lang w:val="en-US" w:eastAsia="zh-CN"/>
              </w:rPr>
            </w:pPr>
          </w:p>
        </w:tc>
        <w:tc>
          <w:tcPr>
            <w:tcW w:w="620" w:type="pct"/>
            <w:vMerge w:val="continue"/>
            <w:tcBorders>
              <w:tl2br w:val="nil"/>
              <w:tr2bl w:val="nil"/>
            </w:tcBorders>
            <w:noWrap w:val="0"/>
            <w:vAlign w:val="center"/>
          </w:tcPr>
          <w:p w14:paraId="5064FD56">
            <w:pPr>
              <w:pStyle w:val="58"/>
              <w:bidi w:val="0"/>
              <w:rPr>
                <w:rFonts w:hint="default"/>
                <w:highlight w:val="none"/>
                <w:lang w:val="en-US" w:eastAsia="zh-CN"/>
              </w:rPr>
            </w:pPr>
          </w:p>
        </w:tc>
        <w:tc>
          <w:tcPr>
            <w:tcW w:w="407" w:type="pct"/>
            <w:tcBorders>
              <w:tl2br w:val="nil"/>
              <w:tr2bl w:val="nil"/>
            </w:tcBorders>
            <w:noWrap w:val="0"/>
            <w:vAlign w:val="center"/>
          </w:tcPr>
          <w:p w14:paraId="171D5582">
            <w:pPr>
              <w:pStyle w:val="58"/>
              <w:bidi w:val="0"/>
              <w:rPr>
                <w:rFonts w:hint="default"/>
                <w:highlight w:val="none"/>
                <w:lang w:val="en-US" w:eastAsia="zh-CN"/>
              </w:rPr>
            </w:pPr>
            <w:r>
              <w:rPr>
                <w:rFonts w:hint="default"/>
                <w:highlight w:val="none"/>
                <w:lang w:val="en-US" w:eastAsia="zh-CN"/>
              </w:rPr>
              <w:t>硫化氢</w:t>
            </w:r>
          </w:p>
        </w:tc>
        <w:tc>
          <w:tcPr>
            <w:tcW w:w="1112" w:type="pct"/>
            <w:vMerge w:val="continue"/>
            <w:tcBorders>
              <w:tl2br w:val="nil"/>
              <w:tr2bl w:val="nil"/>
            </w:tcBorders>
            <w:noWrap w:val="0"/>
            <w:vAlign w:val="center"/>
          </w:tcPr>
          <w:p w14:paraId="71EA27F5">
            <w:pPr>
              <w:pStyle w:val="58"/>
              <w:bidi w:val="0"/>
              <w:rPr>
                <w:rFonts w:hint="default"/>
                <w:highlight w:val="none"/>
                <w:lang w:val="en-US" w:eastAsia="zh-CN"/>
              </w:rPr>
            </w:pPr>
          </w:p>
        </w:tc>
        <w:tc>
          <w:tcPr>
            <w:tcW w:w="224" w:type="pct"/>
            <w:tcBorders>
              <w:left w:val="single" w:color="000000" w:sz="4" w:space="0"/>
              <w:tl2br w:val="nil"/>
              <w:tr2bl w:val="nil"/>
            </w:tcBorders>
            <w:noWrap w:val="0"/>
            <w:vAlign w:val="center"/>
          </w:tcPr>
          <w:p w14:paraId="6BF81BBD">
            <w:pPr>
              <w:pStyle w:val="58"/>
              <w:bidi w:val="0"/>
              <w:rPr>
                <w:rFonts w:hint="default"/>
                <w:highlight w:val="none"/>
                <w:lang w:val="en-US" w:eastAsia="zh-CN"/>
              </w:rPr>
            </w:pPr>
            <w:r>
              <w:rPr>
                <w:rFonts w:hint="default"/>
                <w:highlight w:val="none"/>
                <w:lang w:val="en-US" w:eastAsia="zh-CN"/>
              </w:rPr>
              <w:t>/</w:t>
            </w:r>
          </w:p>
        </w:tc>
        <w:tc>
          <w:tcPr>
            <w:tcW w:w="345" w:type="pct"/>
            <w:tcBorders>
              <w:tl2br w:val="nil"/>
              <w:tr2bl w:val="nil"/>
            </w:tcBorders>
            <w:noWrap w:val="0"/>
            <w:vAlign w:val="center"/>
          </w:tcPr>
          <w:p w14:paraId="43DB4C50">
            <w:pPr>
              <w:pStyle w:val="58"/>
              <w:bidi w:val="0"/>
              <w:rPr>
                <w:rFonts w:hint="default"/>
                <w:highlight w:val="none"/>
                <w:lang w:val="en-US" w:eastAsia="zh-CN"/>
              </w:rPr>
            </w:pPr>
            <w:r>
              <w:rPr>
                <w:rFonts w:hint="default"/>
                <w:highlight w:val="none"/>
                <w:lang w:val="en-US" w:eastAsia="zh-CN"/>
              </w:rPr>
              <w:t>/</w:t>
            </w:r>
          </w:p>
        </w:tc>
        <w:tc>
          <w:tcPr>
            <w:tcW w:w="574" w:type="pct"/>
            <w:tcBorders>
              <w:tl2br w:val="nil"/>
              <w:tr2bl w:val="nil"/>
            </w:tcBorders>
            <w:noWrap w:val="0"/>
            <w:vAlign w:val="center"/>
          </w:tcPr>
          <w:p w14:paraId="0EB19AD9">
            <w:pPr>
              <w:pStyle w:val="58"/>
              <w:bidi w:val="0"/>
              <w:rPr>
                <w:rFonts w:hint="default"/>
                <w:highlight w:val="none"/>
                <w:lang w:val="en-US" w:eastAsia="zh-CN"/>
              </w:rPr>
            </w:pPr>
            <w:r>
              <w:rPr>
                <w:rFonts w:hint="default"/>
                <w:highlight w:val="none"/>
              </w:rPr>
              <w:t>厂界浓度&lt;0.06mg/</w:t>
            </w:r>
            <w:r>
              <w:rPr>
                <w:rFonts w:hint="eastAsia"/>
                <w:highlight w:val="none"/>
                <w:lang w:eastAsia="zh-CN"/>
              </w:rPr>
              <w:t>m</w:t>
            </w:r>
            <w:r>
              <w:rPr>
                <w:rFonts w:hint="eastAsia"/>
                <w:highlight w:val="none"/>
                <w:vertAlign w:val="superscript"/>
                <w:lang w:eastAsia="zh-CN"/>
              </w:rPr>
              <w:t>3</w:t>
            </w:r>
          </w:p>
        </w:tc>
        <w:tc>
          <w:tcPr>
            <w:tcW w:w="1086" w:type="pct"/>
            <w:vMerge w:val="continue"/>
            <w:tcBorders>
              <w:tl2br w:val="nil"/>
              <w:tr2bl w:val="nil"/>
            </w:tcBorders>
            <w:noWrap w:val="0"/>
            <w:vAlign w:val="center"/>
          </w:tcPr>
          <w:p w14:paraId="388B0F68">
            <w:pPr>
              <w:pStyle w:val="58"/>
              <w:bidi w:val="0"/>
              <w:rPr>
                <w:rFonts w:hint="default"/>
                <w:highlight w:val="none"/>
                <w:lang w:val="en-US" w:eastAsia="zh-CN"/>
              </w:rPr>
            </w:pPr>
          </w:p>
        </w:tc>
        <w:tc>
          <w:tcPr>
            <w:tcW w:w="425" w:type="pct"/>
            <w:vMerge w:val="continue"/>
            <w:tcBorders>
              <w:tl2br w:val="nil"/>
              <w:tr2bl w:val="nil"/>
            </w:tcBorders>
            <w:noWrap w:val="0"/>
            <w:vAlign w:val="center"/>
          </w:tcPr>
          <w:p w14:paraId="075FBE42">
            <w:pPr>
              <w:pStyle w:val="58"/>
              <w:bidi w:val="0"/>
              <w:rPr>
                <w:rFonts w:hint="default"/>
                <w:highlight w:val="none"/>
                <w:lang w:val="en-US" w:eastAsia="zh-CN"/>
              </w:rPr>
            </w:pPr>
          </w:p>
        </w:tc>
      </w:tr>
      <w:tr w14:paraId="1ECC310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04" w:type="pct"/>
            <w:vMerge w:val="continue"/>
            <w:tcBorders>
              <w:tl2br w:val="nil"/>
              <w:tr2bl w:val="nil"/>
            </w:tcBorders>
            <w:noWrap w:val="0"/>
            <w:vAlign w:val="center"/>
          </w:tcPr>
          <w:p w14:paraId="355A9B8E">
            <w:pPr>
              <w:pStyle w:val="58"/>
              <w:bidi w:val="0"/>
              <w:rPr>
                <w:rFonts w:hint="default"/>
                <w:highlight w:val="none"/>
                <w:lang w:val="en-US" w:eastAsia="zh-CN"/>
              </w:rPr>
            </w:pPr>
          </w:p>
        </w:tc>
        <w:tc>
          <w:tcPr>
            <w:tcW w:w="620" w:type="pct"/>
            <w:vMerge w:val="continue"/>
            <w:tcBorders>
              <w:tl2br w:val="nil"/>
              <w:tr2bl w:val="nil"/>
            </w:tcBorders>
            <w:noWrap w:val="0"/>
            <w:vAlign w:val="center"/>
          </w:tcPr>
          <w:p w14:paraId="192A3859">
            <w:pPr>
              <w:pStyle w:val="58"/>
              <w:bidi w:val="0"/>
              <w:rPr>
                <w:rFonts w:hint="default"/>
                <w:highlight w:val="none"/>
                <w:lang w:val="en-US" w:eastAsia="zh-CN"/>
              </w:rPr>
            </w:pPr>
          </w:p>
        </w:tc>
        <w:tc>
          <w:tcPr>
            <w:tcW w:w="407" w:type="pct"/>
            <w:tcBorders>
              <w:tl2br w:val="nil"/>
              <w:tr2bl w:val="nil"/>
            </w:tcBorders>
            <w:noWrap w:val="0"/>
            <w:vAlign w:val="center"/>
          </w:tcPr>
          <w:p w14:paraId="195C2559">
            <w:pPr>
              <w:pStyle w:val="58"/>
              <w:bidi w:val="0"/>
              <w:rPr>
                <w:rFonts w:hint="default"/>
                <w:highlight w:val="none"/>
                <w:lang w:val="en-US" w:eastAsia="zh-CN"/>
              </w:rPr>
            </w:pPr>
            <w:r>
              <w:rPr>
                <w:rFonts w:hint="default"/>
                <w:highlight w:val="none"/>
                <w:lang w:val="en-US" w:eastAsia="zh-CN"/>
              </w:rPr>
              <w:t>臭气浓度</w:t>
            </w:r>
          </w:p>
        </w:tc>
        <w:tc>
          <w:tcPr>
            <w:tcW w:w="1112" w:type="pct"/>
            <w:vMerge w:val="continue"/>
            <w:tcBorders>
              <w:tl2br w:val="nil"/>
              <w:tr2bl w:val="nil"/>
            </w:tcBorders>
            <w:noWrap w:val="0"/>
            <w:vAlign w:val="center"/>
          </w:tcPr>
          <w:p w14:paraId="5BFB5EED">
            <w:pPr>
              <w:pStyle w:val="58"/>
              <w:bidi w:val="0"/>
              <w:rPr>
                <w:rFonts w:hint="default"/>
                <w:highlight w:val="none"/>
                <w:lang w:val="en-US" w:eastAsia="zh-CN"/>
              </w:rPr>
            </w:pPr>
          </w:p>
        </w:tc>
        <w:tc>
          <w:tcPr>
            <w:tcW w:w="224" w:type="pct"/>
            <w:tcBorders>
              <w:left w:val="single" w:color="000000" w:sz="4" w:space="0"/>
              <w:tl2br w:val="nil"/>
              <w:tr2bl w:val="nil"/>
            </w:tcBorders>
            <w:noWrap w:val="0"/>
            <w:vAlign w:val="center"/>
          </w:tcPr>
          <w:p w14:paraId="7FB0C879">
            <w:pPr>
              <w:pStyle w:val="58"/>
              <w:bidi w:val="0"/>
              <w:rPr>
                <w:rFonts w:hint="default"/>
                <w:highlight w:val="none"/>
                <w:lang w:val="en-US" w:eastAsia="zh-CN"/>
              </w:rPr>
            </w:pPr>
            <w:r>
              <w:rPr>
                <w:rFonts w:hint="default"/>
                <w:highlight w:val="none"/>
                <w:lang w:val="en-US" w:eastAsia="zh-CN"/>
              </w:rPr>
              <w:t>/</w:t>
            </w:r>
          </w:p>
        </w:tc>
        <w:tc>
          <w:tcPr>
            <w:tcW w:w="345" w:type="pct"/>
            <w:tcBorders>
              <w:tl2br w:val="nil"/>
              <w:tr2bl w:val="nil"/>
            </w:tcBorders>
            <w:noWrap w:val="0"/>
            <w:vAlign w:val="center"/>
          </w:tcPr>
          <w:p w14:paraId="6F37F2B3">
            <w:pPr>
              <w:pStyle w:val="58"/>
              <w:bidi w:val="0"/>
              <w:rPr>
                <w:rFonts w:hint="default"/>
                <w:highlight w:val="none"/>
                <w:lang w:val="en-US" w:eastAsia="zh-CN"/>
              </w:rPr>
            </w:pPr>
            <w:r>
              <w:rPr>
                <w:rFonts w:hint="default"/>
                <w:highlight w:val="none"/>
                <w:lang w:val="en-US" w:eastAsia="zh-CN"/>
              </w:rPr>
              <w:t>/</w:t>
            </w:r>
          </w:p>
        </w:tc>
        <w:tc>
          <w:tcPr>
            <w:tcW w:w="574" w:type="pct"/>
            <w:tcBorders>
              <w:tl2br w:val="nil"/>
              <w:tr2bl w:val="nil"/>
            </w:tcBorders>
            <w:noWrap w:val="0"/>
            <w:vAlign w:val="center"/>
          </w:tcPr>
          <w:p w14:paraId="380E1E94">
            <w:pPr>
              <w:pStyle w:val="58"/>
              <w:bidi w:val="0"/>
              <w:rPr>
                <w:rFonts w:hint="default"/>
                <w:highlight w:val="none"/>
                <w:lang w:val="en-US" w:eastAsia="zh-CN"/>
              </w:rPr>
            </w:pPr>
            <w:r>
              <w:rPr>
                <w:rFonts w:hint="default"/>
                <w:highlight w:val="none"/>
              </w:rPr>
              <w:t>厂界浓度&lt;20（无量纲）</w:t>
            </w:r>
          </w:p>
        </w:tc>
        <w:tc>
          <w:tcPr>
            <w:tcW w:w="1086" w:type="pct"/>
            <w:vMerge w:val="continue"/>
            <w:tcBorders>
              <w:tl2br w:val="nil"/>
              <w:tr2bl w:val="nil"/>
            </w:tcBorders>
            <w:noWrap w:val="0"/>
            <w:vAlign w:val="center"/>
          </w:tcPr>
          <w:p w14:paraId="23AA780D">
            <w:pPr>
              <w:pStyle w:val="58"/>
              <w:bidi w:val="0"/>
              <w:rPr>
                <w:rFonts w:hint="default"/>
                <w:highlight w:val="none"/>
                <w:lang w:eastAsia="zh-CN"/>
              </w:rPr>
            </w:pPr>
          </w:p>
        </w:tc>
        <w:tc>
          <w:tcPr>
            <w:tcW w:w="425" w:type="pct"/>
            <w:vMerge w:val="continue"/>
            <w:tcBorders>
              <w:tl2br w:val="nil"/>
              <w:tr2bl w:val="nil"/>
            </w:tcBorders>
            <w:noWrap w:val="0"/>
            <w:vAlign w:val="center"/>
          </w:tcPr>
          <w:p w14:paraId="14CCC607">
            <w:pPr>
              <w:pStyle w:val="58"/>
              <w:bidi w:val="0"/>
              <w:rPr>
                <w:rFonts w:hint="default"/>
                <w:highlight w:val="none"/>
                <w:lang w:val="en-US" w:eastAsia="zh-CN"/>
              </w:rPr>
            </w:pPr>
          </w:p>
        </w:tc>
      </w:tr>
      <w:tr w14:paraId="5DB4123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04" w:type="pct"/>
            <w:vMerge w:val="continue"/>
            <w:tcBorders>
              <w:tl2br w:val="nil"/>
              <w:tr2bl w:val="nil"/>
            </w:tcBorders>
            <w:noWrap w:val="0"/>
            <w:vAlign w:val="center"/>
          </w:tcPr>
          <w:p w14:paraId="0C8A8355">
            <w:pPr>
              <w:pStyle w:val="58"/>
              <w:bidi w:val="0"/>
              <w:rPr>
                <w:rFonts w:hint="default"/>
                <w:highlight w:val="none"/>
                <w:lang w:val="en-US" w:eastAsia="zh-CN"/>
              </w:rPr>
            </w:pPr>
          </w:p>
        </w:tc>
        <w:tc>
          <w:tcPr>
            <w:tcW w:w="620" w:type="pct"/>
            <w:tcBorders>
              <w:tl2br w:val="nil"/>
              <w:tr2bl w:val="nil"/>
            </w:tcBorders>
            <w:noWrap w:val="0"/>
            <w:vAlign w:val="center"/>
          </w:tcPr>
          <w:p w14:paraId="75F1220C">
            <w:pPr>
              <w:pStyle w:val="58"/>
              <w:bidi w:val="0"/>
              <w:rPr>
                <w:rFonts w:hint="default"/>
                <w:highlight w:val="none"/>
                <w:lang w:val="en-US" w:eastAsia="zh-CN"/>
              </w:rPr>
            </w:pPr>
            <w:r>
              <w:rPr>
                <w:rFonts w:hint="default"/>
                <w:highlight w:val="none"/>
                <w:lang w:val="en-US" w:eastAsia="zh-CN"/>
              </w:rPr>
              <w:t>厂区甲烷最高体积浓度</w:t>
            </w:r>
          </w:p>
        </w:tc>
        <w:tc>
          <w:tcPr>
            <w:tcW w:w="407" w:type="pct"/>
            <w:tcBorders>
              <w:tl2br w:val="nil"/>
              <w:tr2bl w:val="nil"/>
            </w:tcBorders>
            <w:noWrap w:val="0"/>
            <w:vAlign w:val="center"/>
          </w:tcPr>
          <w:p w14:paraId="58924C6C">
            <w:pPr>
              <w:pStyle w:val="58"/>
              <w:bidi w:val="0"/>
              <w:rPr>
                <w:rFonts w:hint="default"/>
                <w:highlight w:val="none"/>
                <w:lang w:val="en-US" w:eastAsia="zh-CN"/>
              </w:rPr>
            </w:pPr>
            <w:r>
              <w:rPr>
                <w:rFonts w:hint="default"/>
                <w:highlight w:val="none"/>
                <w:lang w:val="en-US" w:eastAsia="zh-CN"/>
              </w:rPr>
              <w:t>甲烷</w:t>
            </w:r>
          </w:p>
        </w:tc>
        <w:tc>
          <w:tcPr>
            <w:tcW w:w="1112" w:type="pct"/>
            <w:vMerge w:val="continue"/>
            <w:tcBorders>
              <w:tl2br w:val="nil"/>
              <w:tr2bl w:val="nil"/>
            </w:tcBorders>
            <w:noWrap w:val="0"/>
            <w:vAlign w:val="center"/>
          </w:tcPr>
          <w:p w14:paraId="12E5AB87">
            <w:pPr>
              <w:pStyle w:val="58"/>
              <w:bidi w:val="0"/>
              <w:rPr>
                <w:rFonts w:hint="default"/>
                <w:highlight w:val="none"/>
                <w:lang w:val="en-US" w:eastAsia="zh-CN"/>
              </w:rPr>
            </w:pPr>
          </w:p>
        </w:tc>
        <w:tc>
          <w:tcPr>
            <w:tcW w:w="224" w:type="pct"/>
            <w:tcBorders>
              <w:left w:val="single" w:color="000000" w:sz="4" w:space="0"/>
              <w:tl2br w:val="nil"/>
              <w:tr2bl w:val="nil"/>
            </w:tcBorders>
            <w:noWrap w:val="0"/>
            <w:vAlign w:val="center"/>
          </w:tcPr>
          <w:p w14:paraId="6B88EF9F">
            <w:pPr>
              <w:pStyle w:val="58"/>
              <w:bidi w:val="0"/>
              <w:rPr>
                <w:rFonts w:hint="default"/>
                <w:highlight w:val="none"/>
                <w:lang w:val="en-US" w:eastAsia="zh-CN"/>
              </w:rPr>
            </w:pPr>
            <w:r>
              <w:rPr>
                <w:rFonts w:hint="default"/>
                <w:highlight w:val="none"/>
                <w:lang w:val="en-US" w:eastAsia="zh-CN"/>
              </w:rPr>
              <w:t>/</w:t>
            </w:r>
          </w:p>
        </w:tc>
        <w:tc>
          <w:tcPr>
            <w:tcW w:w="345" w:type="pct"/>
            <w:tcBorders>
              <w:tl2br w:val="nil"/>
              <w:tr2bl w:val="nil"/>
            </w:tcBorders>
            <w:noWrap w:val="0"/>
            <w:vAlign w:val="center"/>
          </w:tcPr>
          <w:p w14:paraId="508471A8">
            <w:pPr>
              <w:pStyle w:val="58"/>
              <w:bidi w:val="0"/>
              <w:rPr>
                <w:rFonts w:hint="default"/>
                <w:highlight w:val="none"/>
                <w:lang w:val="en-US" w:eastAsia="zh-CN"/>
              </w:rPr>
            </w:pPr>
            <w:r>
              <w:rPr>
                <w:rFonts w:hint="default"/>
                <w:highlight w:val="none"/>
                <w:lang w:val="en-US" w:eastAsia="zh-CN"/>
              </w:rPr>
              <w:t>/</w:t>
            </w:r>
          </w:p>
        </w:tc>
        <w:tc>
          <w:tcPr>
            <w:tcW w:w="574" w:type="pct"/>
            <w:tcBorders>
              <w:tl2br w:val="nil"/>
              <w:tr2bl w:val="nil"/>
            </w:tcBorders>
            <w:noWrap w:val="0"/>
            <w:vAlign w:val="center"/>
          </w:tcPr>
          <w:p w14:paraId="7E53F82F">
            <w:pPr>
              <w:pStyle w:val="58"/>
              <w:bidi w:val="0"/>
              <w:rPr>
                <w:rFonts w:hint="default"/>
                <w:highlight w:val="none"/>
                <w:lang w:val="en-US" w:eastAsia="zh-CN"/>
              </w:rPr>
            </w:pPr>
            <w:r>
              <w:rPr>
                <w:rFonts w:hint="default"/>
                <w:highlight w:val="none"/>
              </w:rPr>
              <w:t>厂区甲烷最大浓度体积&lt;1%</w:t>
            </w:r>
          </w:p>
        </w:tc>
        <w:tc>
          <w:tcPr>
            <w:tcW w:w="1086" w:type="pct"/>
            <w:vMerge w:val="continue"/>
            <w:tcBorders>
              <w:tl2br w:val="nil"/>
              <w:tr2bl w:val="nil"/>
            </w:tcBorders>
            <w:noWrap w:val="0"/>
            <w:vAlign w:val="center"/>
          </w:tcPr>
          <w:p w14:paraId="1C720C95">
            <w:pPr>
              <w:pStyle w:val="58"/>
              <w:bidi w:val="0"/>
              <w:rPr>
                <w:rFonts w:hint="default"/>
                <w:highlight w:val="none"/>
                <w:lang w:eastAsia="zh-CN"/>
              </w:rPr>
            </w:pPr>
          </w:p>
        </w:tc>
        <w:tc>
          <w:tcPr>
            <w:tcW w:w="425" w:type="pct"/>
            <w:vMerge w:val="continue"/>
            <w:tcBorders>
              <w:tl2br w:val="nil"/>
              <w:tr2bl w:val="nil"/>
            </w:tcBorders>
            <w:noWrap w:val="0"/>
            <w:vAlign w:val="center"/>
          </w:tcPr>
          <w:p w14:paraId="3F06BACA">
            <w:pPr>
              <w:pStyle w:val="58"/>
              <w:bidi w:val="0"/>
              <w:rPr>
                <w:rFonts w:hint="default"/>
                <w:highlight w:val="none"/>
                <w:lang w:val="en-US" w:eastAsia="zh-CN"/>
              </w:rPr>
            </w:pPr>
          </w:p>
        </w:tc>
      </w:tr>
      <w:tr w14:paraId="2F98642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04" w:type="pct"/>
            <w:vMerge w:val="restart"/>
            <w:tcBorders>
              <w:tl2br w:val="nil"/>
              <w:tr2bl w:val="nil"/>
            </w:tcBorders>
            <w:noWrap w:val="0"/>
            <w:vAlign w:val="center"/>
          </w:tcPr>
          <w:p w14:paraId="3CE49915">
            <w:pPr>
              <w:pStyle w:val="58"/>
              <w:bidi w:val="0"/>
              <w:rPr>
                <w:rFonts w:hint="default"/>
                <w:highlight w:val="none"/>
                <w:lang w:val="en-US" w:eastAsia="zh-CN"/>
              </w:rPr>
            </w:pPr>
            <w:r>
              <w:rPr>
                <w:rFonts w:hint="default"/>
                <w:highlight w:val="none"/>
                <w:lang w:val="en-US" w:eastAsia="zh-CN"/>
              </w:rPr>
              <w:t>废水</w:t>
            </w:r>
          </w:p>
        </w:tc>
        <w:tc>
          <w:tcPr>
            <w:tcW w:w="620" w:type="pct"/>
            <w:vMerge w:val="restart"/>
            <w:tcBorders>
              <w:tl2br w:val="nil"/>
              <w:tr2bl w:val="nil"/>
            </w:tcBorders>
            <w:noWrap w:val="0"/>
            <w:vAlign w:val="center"/>
          </w:tcPr>
          <w:p w14:paraId="2C6C89FF">
            <w:pPr>
              <w:pStyle w:val="58"/>
              <w:bidi w:val="0"/>
              <w:rPr>
                <w:rFonts w:hint="default"/>
                <w:highlight w:val="none"/>
                <w:lang w:val="en-US" w:eastAsia="zh-CN"/>
              </w:rPr>
            </w:pPr>
            <w:r>
              <w:rPr>
                <w:rFonts w:hint="default"/>
                <w:highlight w:val="none"/>
                <w:lang w:val="en-US" w:eastAsia="zh-CN"/>
              </w:rPr>
              <w:t>污水处理厂进水、生活污水、生产废水（250</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/d）</w:t>
            </w:r>
          </w:p>
        </w:tc>
        <w:tc>
          <w:tcPr>
            <w:tcW w:w="407" w:type="pct"/>
            <w:tcBorders>
              <w:tl2br w:val="nil"/>
              <w:tr2bl w:val="nil"/>
            </w:tcBorders>
            <w:noWrap w:val="0"/>
            <w:vAlign w:val="center"/>
          </w:tcPr>
          <w:p w14:paraId="1D12154E">
            <w:pPr>
              <w:pStyle w:val="58"/>
              <w:bidi w:val="0"/>
              <w:rPr>
                <w:rFonts w:hint="default"/>
                <w:highlight w:val="none"/>
                <w:lang w:val="en-US" w:eastAsia="zh-CN"/>
              </w:rPr>
            </w:pPr>
            <w:r>
              <w:rPr>
                <w:rFonts w:hint="default"/>
                <w:highlight w:val="none"/>
                <w:lang w:val="en-US" w:eastAsia="zh-CN"/>
              </w:rPr>
              <w:t>pH</w:t>
            </w:r>
          </w:p>
        </w:tc>
        <w:tc>
          <w:tcPr>
            <w:tcW w:w="1112" w:type="pct"/>
            <w:vMerge w:val="restart"/>
            <w:tcBorders>
              <w:right w:val="single" w:color="000000" w:sz="4" w:space="0"/>
              <w:tl2br w:val="nil"/>
              <w:tr2bl w:val="nil"/>
            </w:tcBorders>
            <w:noWrap w:val="0"/>
            <w:vAlign w:val="center"/>
          </w:tcPr>
          <w:p w14:paraId="32509AB9">
            <w:pPr>
              <w:pStyle w:val="58"/>
              <w:bidi w:val="0"/>
              <w:rPr>
                <w:rFonts w:hint="default"/>
                <w:highlight w:val="none"/>
                <w:lang w:val="en-US" w:eastAsia="zh-CN"/>
              </w:rPr>
            </w:pPr>
            <w:r>
              <w:rPr>
                <w:rFonts w:hint="default"/>
                <w:highlight w:val="none"/>
                <w:lang w:val="en-US" w:eastAsia="zh-CN"/>
              </w:rPr>
              <w:t>采用“格栅+调节池+</w:t>
            </w:r>
            <w:r>
              <w:rPr>
                <w:rFonts w:hint="eastAsia"/>
                <w:highlight w:val="none"/>
                <w:lang w:val="en-US" w:eastAsia="zh-CN"/>
              </w:rPr>
              <w:t>A</w:t>
            </w:r>
            <w:r>
              <w:rPr>
                <w:rFonts w:hint="eastAsia"/>
                <w:highlight w:val="none"/>
                <w:vertAlign w:val="superscript"/>
                <w:lang w:val="en-US" w:eastAsia="zh-CN"/>
              </w:rPr>
              <w:t>2</w:t>
            </w:r>
            <w:r>
              <w:rPr>
                <w:rFonts w:hint="eastAsia"/>
                <w:highlight w:val="none"/>
                <w:lang w:val="en-US" w:eastAsia="zh-CN"/>
              </w:rPr>
              <w:t>O</w:t>
            </w:r>
            <w:r>
              <w:rPr>
                <w:rFonts w:hint="default"/>
                <w:highlight w:val="none"/>
                <w:lang w:val="en-US" w:eastAsia="zh-CN"/>
              </w:rPr>
              <w:t>一体化处理设备+混凝沉淀池+</w:t>
            </w:r>
            <w:r>
              <w:rPr>
                <w:rFonts w:hint="eastAsia"/>
                <w:highlight w:val="none"/>
                <w:lang w:val="en-US" w:eastAsia="zh-CN"/>
              </w:rPr>
              <w:t>砂滤</w:t>
            </w:r>
            <w:r>
              <w:rPr>
                <w:rFonts w:hint="default"/>
                <w:highlight w:val="none"/>
                <w:lang w:val="en-US" w:eastAsia="zh-CN"/>
              </w:rPr>
              <w:t>+</w:t>
            </w:r>
            <w:r>
              <w:rPr>
                <w:rFonts w:hint="eastAsia"/>
                <w:highlight w:val="none"/>
                <w:lang w:val="en-US" w:eastAsia="zh-CN"/>
              </w:rPr>
              <w:t>次氯酸钠消毒</w:t>
            </w:r>
            <w:r>
              <w:rPr>
                <w:rFonts w:hint="default"/>
                <w:highlight w:val="none"/>
                <w:lang w:val="en-US" w:eastAsia="zh-CN"/>
              </w:rPr>
              <w:t>”工艺</w:t>
            </w:r>
          </w:p>
        </w:tc>
        <w:tc>
          <w:tcPr>
            <w:tcW w:w="224" w:type="pct"/>
            <w:vMerge w:val="restart"/>
            <w:tcBorders>
              <w:left w:val="single" w:color="000000" w:sz="4" w:space="0"/>
              <w:tl2br w:val="nil"/>
              <w:tr2bl w:val="nil"/>
            </w:tcBorders>
            <w:noWrap w:val="0"/>
            <w:vAlign w:val="center"/>
          </w:tcPr>
          <w:p w14:paraId="5F893F8D">
            <w:pPr>
              <w:pStyle w:val="58"/>
              <w:bidi w:val="0"/>
              <w:rPr>
                <w:rFonts w:hint="default"/>
                <w:highlight w:val="none"/>
                <w:lang w:val="en-US" w:eastAsia="zh-CN"/>
              </w:rPr>
            </w:pPr>
            <w:r>
              <w:rPr>
                <w:rFonts w:hint="default"/>
                <w:highlight w:val="none"/>
                <w:lang w:val="en-US" w:eastAsia="zh-CN"/>
              </w:rPr>
              <w:t>1</w:t>
            </w:r>
            <w:r>
              <w:rPr>
                <w:rFonts w:hint="eastAsia"/>
                <w:highlight w:val="none"/>
                <w:lang w:val="en-US" w:eastAsia="zh-CN"/>
              </w:rPr>
              <w:t>套</w:t>
            </w:r>
          </w:p>
        </w:tc>
        <w:tc>
          <w:tcPr>
            <w:tcW w:w="345" w:type="pct"/>
            <w:vMerge w:val="restart"/>
            <w:tcBorders>
              <w:tl2br w:val="nil"/>
              <w:tr2bl w:val="nil"/>
            </w:tcBorders>
            <w:noWrap w:val="0"/>
            <w:vAlign w:val="center"/>
          </w:tcPr>
          <w:p w14:paraId="66B914B3">
            <w:pPr>
              <w:pStyle w:val="58"/>
              <w:bidi w:val="0"/>
              <w:rPr>
                <w:rFonts w:hint="default"/>
                <w:highlight w:val="none"/>
                <w:lang w:val="en-US" w:eastAsia="zh-CN"/>
              </w:rPr>
            </w:pPr>
            <w:r>
              <w:rPr>
                <w:rFonts w:hint="default"/>
                <w:highlight w:val="none"/>
                <w:lang w:val="en-US" w:eastAsia="zh-CN"/>
              </w:rPr>
              <w:t>250</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/d</w:t>
            </w:r>
          </w:p>
        </w:tc>
        <w:tc>
          <w:tcPr>
            <w:tcW w:w="574" w:type="pct"/>
            <w:tcBorders>
              <w:tl2br w:val="nil"/>
              <w:tr2bl w:val="nil"/>
            </w:tcBorders>
            <w:noWrap w:val="0"/>
            <w:vAlign w:val="center"/>
          </w:tcPr>
          <w:p w14:paraId="2A0B1012">
            <w:pPr>
              <w:pStyle w:val="58"/>
              <w:bidi w:val="0"/>
              <w:rPr>
                <w:rFonts w:hint="default"/>
                <w:highlight w:val="none"/>
                <w:lang w:val="en-US" w:eastAsia="zh-CN"/>
              </w:rPr>
            </w:pPr>
            <w:r>
              <w:rPr>
                <w:rFonts w:hint="default"/>
                <w:highlight w:val="none"/>
                <w:lang w:val="en-US" w:eastAsia="zh-CN"/>
              </w:rPr>
              <w:t>6-9</w:t>
            </w:r>
          </w:p>
        </w:tc>
        <w:tc>
          <w:tcPr>
            <w:tcW w:w="1086" w:type="pct"/>
            <w:vMerge w:val="restart"/>
            <w:tcBorders>
              <w:tl2br w:val="nil"/>
              <w:tr2bl w:val="nil"/>
            </w:tcBorders>
            <w:noWrap w:val="0"/>
            <w:vAlign w:val="center"/>
          </w:tcPr>
          <w:p w14:paraId="32974050">
            <w:pPr>
              <w:pStyle w:val="58"/>
              <w:bidi w:val="0"/>
              <w:rPr>
                <w:rFonts w:hint="default"/>
                <w:highlight w:val="none"/>
                <w:lang w:val="en-US"/>
              </w:rPr>
            </w:pPr>
            <w:r>
              <w:rPr>
                <w:rFonts w:hint="default"/>
                <w:highlight w:val="none"/>
                <w:lang w:eastAsia="zh-CN"/>
              </w:rPr>
              <w:t>《城镇污水处理厂污染物排放标准》(GB18918-2002)中一级A标准，</w:t>
            </w:r>
            <w:r>
              <w:rPr>
                <w:rFonts w:hint="default"/>
                <w:highlight w:val="none"/>
                <w:lang w:val="en-US" w:eastAsia="zh-CN"/>
              </w:rPr>
              <w:t>同时满足</w:t>
            </w:r>
            <w:r>
              <w:rPr>
                <w:rFonts w:hint="default" w:ascii="Times New Roman" w:hAnsi="Times New Roman" w:cs="Times New Roman"/>
                <w:highlight w:val="none"/>
                <w:lang w:val="en-US" w:eastAsia="zh-CN"/>
              </w:rPr>
              <w:t>《城市污水再生利用  工业用水水质》（GB/T19923-2024）、《城市污水再生利用 城市杂用水水质》（GB/T18920-2020）</w:t>
            </w:r>
            <w:r>
              <w:rPr>
                <w:rFonts w:hint="eastAsia"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城市污水再生利用 绿地灌溉水质</w:t>
            </w: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GB/T</w:t>
            </w:r>
            <w:r>
              <w:rPr>
                <w:rFonts w:hint="eastAsia" w:ascii="Times New Roman" w:hAnsi="Times New Roman" w:eastAsia="宋体" w:cs="Times New Roman"/>
                <w:color w:val="auto"/>
                <w:sz w:val="21"/>
                <w:szCs w:val="21"/>
                <w:highlight w:val="none"/>
                <w:lang w:val="en-US" w:eastAsia="zh-CN"/>
              </w:rPr>
              <w:t>25499</w:t>
            </w:r>
            <w:r>
              <w:rPr>
                <w:rFonts w:hint="default"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2010）</w:t>
            </w:r>
            <w:r>
              <w:rPr>
                <w:rFonts w:hint="default" w:ascii="Times New Roman" w:hAnsi="Times New Roman" w:cs="Times New Roman"/>
                <w:highlight w:val="none"/>
                <w:lang w:val="en-US" w:eastAsia="zh-CN"/>
              </w:rPr>
              <w:t>标准限值。</w:t>
            </w:r>
          </w:p>
        </w:tc>
        <w:tc>
          <w:tcPr>
            <w:tcW w:w="425" w:type="pct"/>
            <w:vMerge w:val="restart"/>
            <w:tcBorders>
              <w:tl2br w:val="nil"/>
              <w:tr2bl w:val="nil"/>
            </w:tcBorders>
            <w:noWrap w:val="0"/>
            <w:vAlign w:val="center"/>
          </w:tcPr>
          <w:p w14:paraId="07FE0F25">
            <w:pPr>
              <w:pStyle w:val="58"/>
              <w:bidi w:val="0"/>
              <w:rPr>
                <w:rFonts w:hint="default"/>
                <w:highlight w:val="none"/>
                <w:lang w:val="en-US" w:eastAsia="zh-CN"/>
              </w:rPr>
            </w:pPr>
            <w:r>
              <w:rPr>
                <w:rFonts w:hint="default"/>
                <w:highlight w:val="none"/>
                <w:lang w:val="en-US" w:eastAsia="zh-CN"/>
              </w:rPr>
              <w:t>259.26</w:t>
            </w:r>
          </w:p>
        </w:tc>
      </w:tr>
      <w:tr w14:paraId="7B0539A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04" w:type="pct"/>
            <w:vMerge w:val="continue"/>
          </w:tcPr>
          <w:p w14:paraId="042D7EF9">
            <w:pPr>
              <w:pStyle w:val="58"/>
              <w:bidi w:val="0"/>
              <w:rPr>
                <w:rFonts w:hint="default"/>
                <w:highlight w:val="none"/>
                <w:lang w:val="en-US" w:eastAsia="zh-CN"/>
              </w:rPr>
            </w:pPr>
          </w:p>
        </w:tc>
        <w:tc>
          <w:tcPr>
            <w:tcW w:w="620" w:type="pct"/>
            <w:vMerge w:val="continue"/>
          </w:tcPr>
          <w:p w14:paraId="3D9DF9F2">
            <w:pPr>
              <w:pStyle w:val="58"/>
              <w:bidi w:val="0"/>
              <w:rPr>
                <w:rFonts w:hint="default"/>
                <w:highlight w:val="none"/>
                <w:lang w:val="en-US" w:eastAsia="zh-CN"/>
              </w:rPr>
            </w:pPr>
          </w:p>
        </w:tc>
        <w:tc>
          <w:tcPr>
            <w:tcW w:w="407" w:type="pct"/>
            <w:vAlign w:val="center"/>
          </w:tcPr>
          <w:p w14:paraId="1327EE67">
            <w:pPr>
              <w:pStyle w:val="58"/>
              <w:bidi w:val="0"/>
              <w:rPr>
                <w:rFonts w:hint="default"/>
                <w:highlight w:val="none"/>
                <w:lang w:val="en-US" w:eastAsia="zh-CN"/>
              </w:rPr>
            </w:pPr>
            <w:r>
              <w:rPr>
                <w:rFonts w:hint="default"/>
                <w:highlight w:val="none"/>
                <w:lang w:val="zh-CN"/>
              </w:rPr>
              <w:t>COD</w:t>
            </w:r>
          </w:p>
        </w:tc>
        <w:tc>
          <w:tcPr>
            <w:tcW w:w="1112" w:type="pct"/>
            <w:vMerge w:val="continue"/>
            <w:tcBorders>
              <w:right w:val="single" w:color="000000" w:sz="4" w:space="0"/>
            </w:tcBorders>
          </w:tcPr>
          <w:p w14:paraId="0219BD55">
            <w:pPr>
              <w:pStyle w:val="58"/>
              <w:bidi w:val="0"/>
              <w:rPr>
                <w:rFonts w:hint="default"/>
                <w:highlight w:val="none"/>
                <w:lang w:val="en-US" w:eastAsia="zh-CN"/>
              </w:rPr>
            </w:pPr>
          </w:p>
        </w:tc>
        <w:tc>
          <w:tcPr>
            <w:tcW w:w="224" w:type="pct"/>
            <w:vMerge w:val="continue"/>
            <w:tcBorders>
              <w:left w:val="single" w:color="000000" w:sz="4" w:space="0"/>
            </w:tcBorders>
          </w:tcPr>
          <w:p w14:paraId="63D11E26">
            <w:pPr>
              <w:pStyle w:val="58"/>
              <w:bidi w:val="0"/>
              <w:rPr>
                <w:rFonts w:hint="default"/>
                <w:highlight w:val="none"/>
                <w:lang w:val="en-US" w:eastAsia="zh-CN"/>
              </w:rPr>
            </w:pPr>
          </w:p>
        </w:tc>
        <w:tc>
          <w:tcPr>
            <w:tcW w:w="345" w:type="pct"/>
            <w:vMerge w:val="continue"/>
          </w:tcPr>
          <w:p w14:paraId="2DD58596">
            <w:pPr>
              <w:pStyle w:val="58"/>
              <w:bidi w:val="0"/>
              <w:rPr>
                <w:rFonts w:hint="default"/>
                <w:highlight w:val="none"/>
                <w:lang w:val="en-US" w:eastAsia="zh-CN"/>
              </w:rPr>
            </w:pPr>
          </w:p>
        </w:tc>
        <w:tc>
          <w:tcPr>
            <w:tcW w:w="574" w:type="pct"/>
            <w:vAlign w:val="center"/>
          </w:tcPr>
          <w:p w14:paraId="49FA2B11">
            <w:pPr>
              <w:pStyle w:val="58"/>
              <w:bidi w:val="0"/>
              <w:rPr>
                <w:rFonts w:hint="default"/>
                <w:highlight w:val="none"/>
                <w:lang w:val="en-US" w:eastAsia="zh-CN"/>
              </w:rPr>
            </w:pPr>
            <w:r>
              <w:rPr>
                <w:rFonts w:hint="default"/>
                <w:highlight w:val="none"/>
                <w:lang w:val="en-US" w:eastAsia="zh-CN"/>
              </w:rPr>
              <w:t>＜50mg/L</w:t>
            </w:r>
          </w:p>
        </w:tc>
        <w:tc>
          <w:tcPr>
            <w:tcW w:w="1086" w:type="pct"/>
            <w:vMerge w:val="continue"/>
          </w:tcPr>
          <w:p w14:paraId="5F1F501D">
            <w:pPr>
              <w:pStyle w:val="58"/>
              <w:bidi w:val="0"/>
              <w:rPr>
                <w:rFonts w:hint="default"/>
                <w:highlight w:val="none"/>
              </w:rPr>
            </w:pPr>
          </w:p>
        </w:tc>
        <w:tc>
          <w:tcPr>
            <w:tcW w:w="425" w:type="pct"/>
            <w:vMerge w:val="continue"/>
          </w:tcPr>
          <w:p w14:paraId="1BBC286C">
            <w:pPr>
              <w:pStyle w:val="58"/>
              <w:bidi w:val="0"/>
              <w:rPr>
                <w:rFonts w:hint="default"/>
                <w:highlight w:val="none"/>
                <w:lang w:val="en-US" w:eastAsia="zh-CN"/>
              </w:rPr>
            </w:pPr>
          </w:p>
        </w:tc>
      </w:tr>
      <w:tr w14:paraId="3D08D94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04" w:type="pct"/>
            <w:vMerge w:val="continue"/>
          </w:tcPr>
          <w:p w14:paraId="5598EE83">
            <w:pPr>
              <w:pStyle w:val="58"/>
              <w:bidi w:val="0"/>
              <w:rPr>
                <w:rFonts w:hint="default"/>
                <w:highlight w:val="none"/>
                <w:lang w:val="en-US" w:eastAsia="zh-CN"/>
              </w:rPr>
            </w:pPr>
          </w:p>
        </w:tc>
        <w:tc>
          <w:tcPr>
            <w:tcW w:w="620" w:type="pct"/>
            <w:vMerge w:val="continue"/>
          </w:tcPr>
          <w:p w14:paraId="49B14B36">
            <w:pPr>
              <w:pStyle w:val="58"/>
              <w:bidi w:val="0"/>
              <w:rPr>
                <w:rFonts w:hint="default"/>
                <w:highlight w:val="none"/>
                <w:lang w:val="en-US" w:eastAsia="zh-CN"/>
              </w:rPr>
            </w:pPr>
          </w:p>
        </w:tc>
        <w:tc>
          <w:tcPr>
            <w:tcW w:w="407" w:type="pct"/>
            <w:vAlign w:val="center"/>
          </w:tcPr>
          <w:p w14:paraId="5A2D1C30">
            <w:pPr>
              <w:pStyle w:val="58"/>
              <w:bidi w:val="0"/>
              <w:rPr>
                <w:rFonts w:hint="default"/>
                <w:highlight w:val="none"/>
                <w:lang w:val="en-US" w:eastAsia="zh-CN"/>
              </w:rPr>
            </w:pPr>
            <w:r>
              <w:rPr>
                <w:rFonts w:hint="eastAsia"/>
                <w:highlight w:val="none"/>
                <w:lang w:val="zh-CN"/>
              </w:rPr>
              <w:t>BOD</w:t>
            </w:r>
            <w:r>
              <w:rPr>
                <w:rFonts w:hint="eastAsia"/>
                <w:highlight w:val="none"/>
                <w:vertAlign w:val="subscript"/>
                <w:lang w:val="zh-CN"/>
              </w:rPr>
              <w:t>5</w:t>
            </w:r>
          </w:p>
        </w:tc>
        <w:tc>
          <w:tcPr>
            <w:tcW w:w="1112" w:type="pct"/>
            <w:vMerge w:val="continue"/>
            <w:tcBorders>
              <w:right w:val="single" w:color="000000" w:sz="4" w:space="0"/>
            </w:tcBorders>
          </w:tcPr>
          <w:p w14:paraId="59286AFF">
            <w:pPr>
              <w:pStyle w:val="58"/>
              <w:bidi w:val="0"/>
              <w:rPr>
                <w:rFonts w:hint="default"/>
                <w:highlight w:val="none"/>
                <w:lang w:val="en-US" w:eastAsia="zh-CN"/>
              </w:rPr>
            </w:pPr>
          </w:p>
        </w:tc>
        <w:tc>
          <w:tcPr>
            <w:tcW w:w="224" w:type="pct"/>
            <w:vMerge w:val="continue"/>
            <w:tcBorders>
              <w:left w:val="single" w:color="000000" w:sz="4" w:space="0"/>
            </w:tcBorders>
          </w:tcPr>
          <w:p w14:paraId="2AA70F36">
            <w:pPr>
              <w:pStyle w:val="58"/>
              <w:bidi w:val="0"/>
              <w:rPr>
                <w:rFonts w:hint="default"/>
                <w:highlight w:val="none"/>
                <w:lang w:val="en-US" w:eastAsia="zh-CN"/>
              </w:rPr>
            </w:pPr>
          </w:p>
        </w:tc>
        <w:tc>
          <w:tcPr>
            <w:tcW w:w="345" w:type="pct"/>
            <w:vMerge w:val="continue"/>
          </w:tcPr>
          <w:p w14:paraId="2E34DA00">
            <w:pPr>
              <w:pStyle w:val="58"/>
              <w:bidi w:val="0"/>
              <w:rPr>
                <w:rFonts w:hint="default"/>
                <w:highlight w:val="none"/>
                <w:lang w:val="en-US" w:eastAsia="zh-CN"/>
              </w:rPr>
            </w:pPr>
          </w:p>
        </w:tc>
        <w:tc>
          <w:tcPr>
            <w:tcW w:w="574" w:type="pct"/>
            <w:vAlign w:val="center"/>
          </w:tcPr>
          <w:p w14:paraId="100FDCC7">
            <w:pPr>
              <w:pStyle w:val="58"/>
              <w:bidi w:val="0"/>
              <w:rPr>
                <w:rFonts w:hint="default"/>
                <w:highlight w:val="none"/>
                <w:lang w:val="en-US" w:eastAsia="zh-CN"/>
              </w:rPr>
            </w:pPr>
            <w:r>
              <w:rPr>
                <w:rFonts w:hint="default"/>
                <w:highlight w:val="none"/>
                <w:lang w:val="en-US" w:eastAsia="zh-CN"/>
              </w:rPr>
              <w:t>＜10mg/L</w:t>
            </w:r>
          </w:p>
        </w:tc>
        <w:tc>
          <w:tcPr>
            <w:tcW w:w="1086" w:type="pct"/>
            <w:vMerge w:val="continue"/>
          </w:tcPr>
          <w:p w14:paraId="2B78C02B">
            <w:pPr>
              <w:pStyle w:val="58"/>
              <w:bidi w:val="0"/>
              <w:rPr>
                <w:rFonts w:hint="default"/>
                <w:highlight w:val="none"/>
              </w:rPr>
            </w:pPr>
          </w:p>
        </w:tc>
        <w:tc>
          <w:tcPr>
            <w:tcW w:w="425" w:type="pct"/>
            <w:vMerge w:val="continue"/>
          </w:tcPr>
          <w:p w14:paraId="5BCA4130">
            <w:pPr>
              <w:pStyle w:val="58"/>
              <w:bidi w:val="0"/>
              <w:rPr>
                <w:rFonts w:hint="default"/>
                <w:highlight w:val="none"/>
                <w:lang w:val="en-US" w:eastAsia="zh-CN"/>
              </w:rPr>
            </w:pPr>
          </w:p>
        </w:tc>
      </w:tr>
      <w:tr w14:paraId="6B2DBCA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04" w:type="pct"/>
            <w:vMerge w:val="continue"/>
          </w:tcPr>
          <w:p w14:paraId="472E3A14">
            <w:pPr>
              <w:pStyle w:val="58"/>
              <w:bidi w:val="0"/>
              <w:rPr>
                <w:rFonts w:hint="default"/>
                <w:highlight w:val="none"/>
                <w:lang w:val="en-US" w:eastAsia="zh-CN"/>
              </w:rPr>
            </w:pPr>
          </w:p>
        </w:tc>
        <w:tc>
          <w:tcPr>
            <w:tcW w:w="620" w:type="pct"/>
            <w:vMerge w:val="continue"/>
          </w:tcPr>
          <w:p w14:paraId="49CD8CC8">
            <w:pPr>
              <w:pStyle w:val="58"/>
              <w:bidi w:val="0"/>
              <w:rPr>
                <w:rFonts w:hint="default"/>
                <w:highlight w:val="none"/>
                <w:lang w:val="en-US" w:eastAsia="zh-CN"/>
              </w:rPr>
            </w:pPr>
          </w:p>
        </w:tc>
        <w:tc>
          <w:tcPr>
            <w:tcW w:w="407" w:type="pct"/>
            <w:vAlign w:val="center"/>
          </w:tcPr>
          <w:p w14:paraId="78A043F2">
            <w:pPr>
              <w:pStyle w:val="58"/>
              <w:bidi w:val="0"/>
              <w:rPr>
                <w:rFonts w:hint="default"/>
                <w:highlight w:val="none"/>
                <w:lang w:val="en-US" w:eastAsia="zh-CN"/>
              </w:rPr>
            </w:pPr>
            <w:r>
              <w:rPr>
                <w:rFonts w:hint="default"/>
                <w:highlight w:val="none"/>
                <w:lang w:val="zh-CN"/>
              </w:rPr>
              <w:t>SS</w:t>
            </w:r>
          </w:p>
        </w:tc>
        <w:tc>
          <w:tcPr>
            <w:tcW w:w="1112" w:type="pct"/>
            <w:vMerge w:val="continue"/>
            <w:tcBorders>
              <w:right w:val="single" w:color="000000" w:sz="4" w:space="0"/>
            </w:tcBorders>
          </w:tcPr>
          <w:p w14:paraId="0DCF50E9">
            <w:pPr>
              <w:pStyle w:val="58"/>
              <w:bidi w:val="0"/>
              <w:rPr>
                <w:rFonts w:hint="default"/>
                <w:highlight w:val="none"/>
                <w:lang w:val="en-US" w:eastAsia="zh-CN"/>
              </w:rPr>
            </w:pPr>
          </w:p>
        </w:tc>
        <w:tc>
          <w:tcPr>
            <w:tcW w:w="224" w:type="pct"/>
            <w:vMerge w:val="continue"/>
            <w:tcBorders>
              <w:left w:val="single" w:color="000000" w:sz="4" w:space="0"/>
            </w:tcBorders>
          </w:tcPr>
          <w:p w14:paraId="02DA6C1E">
            <w:pPr>
              <w:pStyle w:val="58"/>
              <w:bidi w:val="0"/>
              <w:rPr>
                <w:rFonts w:hint="default"/>
                <w:highlight w:val="none"/>
                <w:lang w:val="en-US" w:eastAsia="zh-CN"/>
              </w:rPr>
            </w:pPr>
          </w:p>
        </w:tc>
        <w:tc>
          <w:tcPr>
            <w:tcW w:w="345" w:type="pct"/>
            <w:vMerge w:val="continue"/>
          </w:tcPr>
          <w:p w14:paraId="30DD01D4">
            <w:pPr>
              <w:pStyle w:val="58"/>
              <w:bidi w:val="0"/>
              <w:rPr>
                <w:rFonts w:hint="default"/>
                <w:highlight w:val="none"/>
                <w:lang w:val="en-US" w:eastAsia="zh-CN"/>
              </w:rPr>
            </w:pPr>
          </w:p>
        </w:tc>
        <w:tc>
          <w:tcPr>
            <w:tcW w:w="574" w:type="pct"/>
            <w:vAlign w:val="center"/>
          </w:tcPr>
          <w:p w14:paraId="37A8E8A5">
            <w:pPr>
              <w:pStyle w:val="58"/>
              <w:bidi w:val="0"/>
              <w:rPr>
                <w:rFonts w:hint="default"/>
                <w:highlight w:val="none"/>
                <w:lang w:val="en-US" w:eastAsia="zh-CN"/>
              </w:rPr>
            </w:pPr>
            <w:r>
              <w:rPr>
                <w:rFonts w:hint="default"/>
                <w:highlight w:val="none"/>
                <w:lang w:val="en-US" w:eastAsia="zh-CN"/>
              </w:rPr>
              <w:t>＜10mg/L</w:t>
            </w:r>
          </w:p>
        </w:tc>
        <w:tc>
          <w:tcPr>
            <w:tcW w:w="1086" w:type="pct"/>
            <w:vMerge w:val="continue"/>
          </w:tcPr>
          <w:p w14:paraId="474FC0C8">
            <w:pPr>
              <w:pStyle w:val="58"/>
              <w:bidi w:val="0"/>
              <w:rPr>
                <w:rFonts w:hint="default"/>
                <w:highlight w:val="none"/>
              </w:rPr>
            </w:pPr>
          </w:p>
        </w:tc>
        <w:tc>
          <w:tcPr>
            <w:tcW w:w="425" w:type="pct"/>
            <w:vMerge w:val="continue"/>
          </w:tcPr>
          <w:p w14:paraId="7AEC097E">
            <w:pPr>
              <w:pStyle w:val="58"/>
              <w:bidi w:val="0"/>
              <w:rPr>
                <w:rFonts w:hint="default"/>
                <w:highlight w:val="none"/>
                <w:lang w:val="en-US" w:eastAsia="zh-CN"/>
              </w:rPr>
            </w:pPr>
          </w:p>
        </w:tc>
      </w:tr>
      <w:tr w14:paraId="5093D0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04" w:type="pct"/>
            <w:vMerge w:val="continue"/>
          </w:tcPr>
          <w:p w14:paraId="294CFD78">
            <w:pPr>
              <w:pStyle w:val="58"/>
              <w:bidi w:val="0"/>
              <w:rPr>
                <w:rFonts w:hint="default"/>
                <w:highlight w:val="none"/>
                <w:lang w:val="en-US" w:eastAsia="zh-CN"/>
              </w:rPr>
            </w:pPr>
          </w:p>
        </w:tc>
        <w:tc>
          <w:tcPr>
            <w:tcW w:w="620" w:type="pct"/>
            <w:vMerge w:val="continue"/>
          </w:tcPr>
          <w:p w14:paraId="077314A8">
            <w:pPr>
              <w:pStyle w:val="58"/>
              <w:bidi w:val="0"/>
              <w:rPr>
                <w:rFonts w:hint="default"/>
                <w:highlight w:val="none"/>
                <w:lang w:val="en-US" w:eastAsia="zh-CN"/>
              </w:rPr>
            </w:pPr>
          </w:p>
        </w:tc>
        <w:tc>
          <w:tcPr>
            <w:tcW w:w="407" w:type="pct"/>
            <w:vAlign w:val="center"/>
          </w:tcPr>
          <w:p w14:paraId="3F7EB724">
            <w:pPr>
              <w:pStyle w:val="58"/>
              <w:bidi w:val="0"/>
              <w:rPr>
                <w:rFonts w:hint="default"/>
                <w:highlight w:val="none"/>
                <w:lang w:val="en-US" w:eastAsia="zh-CN"/>
              </w:rPr>
            </w:pPr>
            <w:r>
              <w:rPr>
                <w:rFonts w:hint="default"/>
                <w:highlight w:val="none"/>
                <w:lang w:val="zh-CN"/>
              </w:rPr>
              <w:t>石油类</w:t>
            </w:r>
          </w:p>
        </w:tc>
        <w:tc>
          <w:tcPr>
            <w:tcW w:w="1112" w:type="pct"/>
            <w:vMerge w:val="continue"/>
            <w:tcBorders>
              <w:right w:val="single" w:color="000000" w:sz="4" w:space="0"/>
            </w:tcBorders>
          </w:tcPr>
          <w:p w14:paraId="75F6FE83">
            <w:pPr>
              <w:pStyle w:val="58"/>
              <w:bidi w:val="0"/>
              <w:rPr>
                <w:rFonts w:hint="default"/>
                <w:highlight w:val="none"/>
                <w:lang w:val="en-US" w:eastAsia="zh-CN"/>
              </w:rPr>
            </w:pPr>
          </w:p>
        </w:tc>
        <w:tc>
          <w:tcPr>
            <w:tcW w:w="224" w:type="pct"/>
            <w:vMerge w:val="continue"/>
            <w:tcBorders>
              <w:left w:val="single" w:color="000000" w:sz="4" w:space="0"/>
            </w:tcBorders>
          </w:tcPr>
          <w:p w14:paraId="5646C757">
            <w:pPr>
              <w:pStyle w:val="58"/>
              <w:bidi w:val="0"/>
              <w:rPr>
                <w:rFonts w:hint="default"/>
                <w:highlight w:val="none"/>
                <w:lang w:val="en-US" w:eastAsia="zh-CN"/>
              </w:rPr>
            </w:pPr>
          </w:p>
        </w:tc>
        <w:tc>
          <w:tcPr>
            <w:tcW w:w="345" w:type="pct"/>
            <w:vMerge w:val="continue"/>
          </w:tcPr>
          <w:p w14:paraId="0F4E5942">
            <w:pPr>
              <w:pStyle w:val="58"/>
              <w:bidi w:val="0"/>
              <w:rPr>
                <w:rFonts w:hint="default"/>
                <w:highlight w:val="none"/>
                <w:lang w:val="en-US" w:eastAsia="zh-CN"/>
              </w:rPr>
            </w:pPr>
          </w:p>
        </w:tc>
        <w:tc>
          <w:tcPr>
            <w:tcW w:w="574" w:type="pct"/>
            <w:vAlign w:val="center"/>
          </w:tcPr>
          <w:p w14:paraId="711F888C">
            <w:pPr>
              <w:pStyle w:val="58"/>
              <w:bidi w:val="0"/>
              <w:rPr>
                <w:rFonts w:hint="default"/>
                <w:highlight w:val="none"/>
                <w:lang w:val="en-US" w:eastAsia="zh-CN"/>
              </w:rPr>
            </w:pPr>
            <w:r>
              <w:rPr>
                <w:rFonts w:hint="default"/>
                <w:highlight w:val="none"/>
                <w:lang w:val="en-US" w:eastAsia="zh-CN"/>
              </w:rPr>
              <w:t>＜1mg/L</w:t>
            </w:r>
          </w:p>
        </w:tc>
        <w:tc>
          <w:tcPr>
            <w:tcW w:w="1086" w:type="pct"/>
            <w:vMerge w:val="continue"/>
          </w:tcPr>
          <w:p w14:paraId="27894A79">
            <w:pPr>
              <w:pStyle w:val="58"/>
              <w:bidi w:val="0"/>
              <w:rPr>
                <w:rFonts w:hint="default"/>
                <w:highlight w:val="none"/>
              </w:rPr>
            </w:pPr>
          </w:p>
        </w:tc>
        <w:tc>
          <w:tcPr>
            <w:tcW w:w="425" w:type="pct"/>
            <w:vMerge w:val="continue"/>
          </w:tcPr>
          <w:p w14:paraId="2400510B">
            <w:pPr>
              <w:pStyle w:val="58"/>
              <w:bidi w:val="0"/>
              <w:rPr>
                <w:rFonts w:hint="default"/>
                <w:highlight w:val="none"/>
                <w:lang w:val="en-US" w:eastAsia="zh-CN"/>
              </w:rPr>
            </w:pPr>
          </w:p>
        </w:tc>
      </w:tr>
      <w:tr w14:paraId="4145D93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04" w:type="pct"/>
            <w:vMerge w:val="continue"/>
          </w:tcPr>
          <w:p w14:paraId="66933EAA">
            <w:pPr>
              <w:pStyle w:val="58"/>
              <w:bidi w:val="0"/>
              <w:rPr>
                <w:rFonts w:hint="default"/>
                <w:highlight w:val="none"/>
                <w:lang w:val="en-US" w:eastAsia="zh-CN"/>
              </w:rPr>
            </w:pPr>
          </w:p>
        </w:tc>
        <w:tc>
          <w:tcPr>
            <w:tcW w:w="620" w:type="pct"/>
            <w:vMerge w:val="continue"/>
          </w:tcPr>
          <w:p w14:paraId="60D6F6E0">
            <w:pPr>
              <w:pStyle w:val="58"/>
              <w:bidi w:val="0"/>
              <w:rPr>
                <w:rFonts w:hint="default"/>
                <w:highlight w:val="none"/>
                <w:lang w:val="en-US" w:eastAsia="zh-CN"/>
              </w:rPr>
            </w:pPr>
          </w:p>
        </w:tc>
        <w:tc>
          <w:tcPr>
            <w:tcW w:w="407" w:type="pct"/>
            <w:vAlign w:val="center"/>
          </w:tcPr>
          <w:p w14:paraId="5DBC7D64">
            <w:pPr>
              <w:pStyle w:val="58"/>
              <w:bidi w:val="0"/>
              <w:rPr>
                <w:rFonts w:hint="default"/>
                <w:highlight w:val="none"/>
                <w:lang w:val="en-US" w:eastAsia="zh-CN"/>
              </w:rPr>
            </w:pPr>
            <w:r>
              <w:rPr>
                <w:rFonts w:hint="default"/>
                <w:highlight w:val="none"/>
                <w:lang w:val="zh-CN"/>
              </w:rPr>
              <w:t>氨氮</w:t>
            </w:r>
          </w:p>
        </w:tc>
        <w:tc>
          <w:tcPr>
            <w:tcW w:w="1112" w:type="pct"/>
            <w:vMerge w:val="continue"/>
            <w:tcBorders>
              <w:right w:val="single" w:color="000000" w:sz="4" w:space="0"/>
            </w:tcBorders>
          </w:tcPr>
          <w:p w14:paraId="32DF8205">
            <w:pPr>
              <w:pStyle w:val="58"/>
              <w:bidi w:val="0"/>
              <w:rPr>
                <w:rFonts w:hint="default"/>
                <w:highlight w:val="none"/>
                <w:lang w:val="en-US" w:eastAsia="zh-CN"/>
              </w:rPr>
            </w:pPr>
          </w:p>
        </w:tc>
        <w:tc>
          <w:tcPr>
            <w:tcW w:w="224" w:type="pct"/>
            <w:vMerge w:val="continue"/>
            <w:tcBorders>
              <w:left w:val="single" w:color="000000" w:sz="4" w:space="0"/>
            </w:tcBorders>
          </w:tcPr>
          <w:p w14:paraId="069DF8CD">
            <w:pPr>
              <w:pStyle w:val="58"/>
              <w:bidi w:val="0"/>
              <w:rPr>
                <w:rFonts w:hint="default"/>
                <w:highlight w:val="none"/>
                <w:lang w:val="en-US" w:eastAsia="zh-CN"/>
              </w:rPr>
            </w:pPr>
          </w:p>
        </w:tc>
        <w:tc>
          <w:tcPr>
            <w:tcW w:w="345" w:type="pct"/>
            <w:vMerge w:val="continue"/>
          </w:tcPr>
          <w:p w14:paraId="7A47E54A">
            <w:pPr>
              <w:pStyle w:val="58"/>
              <w:bidi w:val="0"/>
              <w:rPr>
                <w:rFonts w:hint="default"/>
                <w:highlight w:val="none"/>
                <w:lang w:val="en-US" w:eastAsia="zh-CN"/>
              </w:rPr>
            </w:pPr>
          </w:p>
        </w:tc>
        <w:tc>
          <w:tcPr>
            <w:tcW w:w="574" w:type="pct"/>
            <w:vAlign w:val="center"/>
          </w:tcPr>
          <w:p w14:paraId="723656F0">
            <w:pPr>
              <w:pStyle w:val="58"/>
              <w:bidi w:val="0"/>
              <w:rPr>
                <w:rFonts w:hint="default"/>
                <w:highlight w:val="none"/>
                <w:lang w:val="en-US" w:eastAsia="zh-CN"/>
              </w:rPr>
            </w:pPr>
            <w:r>
              <w:rPr>
                <w:rFonts w:hint="default"/>
                <w:highlight w:val="none"/>
                <w:lang w:val="en-US" w:eastAsia="zh-CN"/>
              </w:rPr>
              <w:t>＜5mg/L</w:t>
            </w:r>
          </w:p>
        </w:tc>
        <w:tc>
          <w:tcPr>
            <w:tcW w:w="1086" w:type="pct"/>
            <w:vMerge w:val="continue"/>
          </w:tcPr>
          <w:p w14:paraId="72515BFE">
            <w:pPr>
              <w:pStyle w:val="58"/>
              <w:bidi w:val="0"/>
              <w:rPr>
                <w:rFonts w:hint="default"/>
                <w:highlight w:val="none"/>
              </w:rPr>
            </w:pPr>
          </w:p>
        </w:tc>
        <w:tc>
          <w:tcPr>
            <w:tcW w:w="425" w:type="pct"/>
            <w:vMerge w:val="continue"/>
          </w:tcPr>
          <w:p w14:paraId="74A03FF0">
            <w:pPr>
              <w:pStyle w:val="58"/>
              <w:bidi w:val="0"/>
              <w:rPr>
                <w:rFonts w:hint="default"/>
                <w:highlight w:val="none"/>
                <w:lang w:val="en-US" w:eastAsia="zh-CN"/>
              </w:rPr>
            </w:pPr>
          </w:p>
        </w:tc>
      </w:tr>
      <w:tr w14:paraId="65E6464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04" w:type="pct"/>
            <w:vMerge w:val="continue"/>
          </w:tcPr>
          <w:p w14:paraId="4B3E76A3">
            <w:pPr>
              <w:pStyle w:val="58"/>
              <w:bidi w:val="0"/>
              <w:rPr>
                <w:rFonts w:hint="default"/>
                <w:highlight w:val="none"/>
                <w:lang w:val="en-US" w:eastAsia="zh-CN"/>
              </w:rPr>
            </w:pPr>
          </w:p>
        </w:tc>
        <w:tc>
          <w:tcPr>
            <w:tcW w:w="620" w:type="pct"/>
            <w:vAlign w:val="center"/>
          </w:tcPr>
          <w:p w14:paraId="41DCB5BB">
            <w:pPr>
              <w:pStyle w:val="58"/>
              <w:bidi w:val="0"/>
              <w:jc w:val="center"/>
              <w:rPr>
                <w:rFonts w:hint="default"/>
                <w:highlight w:val="none"/>
                <w:lang w:val="en-US" w:eastAsia="zh-CN"/>
              </w:rPr>
            </w:pPr>
            <w:r>
              <w:rPr>
                <w:rFonts w:hint="default"/>
                <w:highlight w:val="none"/>
                <w:lang w:val="en-US" w:eastAsia="zh-CN"/>
              </w:rPr>
              <w:t>进、出水口</w:t>
            </w:r>
          </w:p>
        </w:tc>
        <w:tc>
          <w:tcPr>
            <w:tcW w:w="407" w:type="pct"/>
            <w:vAlign w:val="center"/>
          </w:tcPr>
          <w:p w14:paraId="556640E0">
            <w:pPr>
              <w:pStyle w:val="58"/>
              <w:bidi w:val="0"/>
              <w:jc w:val="center"/>
              <w:rPr>
                <w:rFonts w:hint="default"/>
                <w:highlight w:val="none"/>
                <w:lang w:val="zh-CN"/>
              </w:rPr>
            </w:pPr>
            <w:r>
              <w:rPr>
                <w:rFonts w:hint="default"/>
                <w:highlight w:val="none"/>
                <w:lang w:val="zh-CN"/>
              </w:rPr>
              <w:t>在线自动监测仪及自动流量计，COD、NH3-N、总磷、总氮等</w:t>
            </w:r>
          </w:p>
        </w:tc>
        <w:tc>
          <w:tcPr>
            <w:tcW w:w="1112" w:type="pct"/>
            <w:tcBorders>
              <w:right w:val="single" w:color="000000" w:sz="4" w:space="0"/>
            </w:tcBorders>
            <w:vAlign w:val="center"/>
          </w:tcPr>
          <w:p w14:paraId="0612E9CD">
            <w:pPr>
              <w:pStyle w:val="58"/>
              <w:bidi w:val="0"/>
              <w:jc w:val="center"/>
              <w:rPr>
                <w:rFonts w:hint="default"/>
                <w:highlight w:val="none"/>
                <w:lang w:val="en-US" w:eastAsia="zh-CN"/>
              </w:rPr>
            </w:pPr>
            <w:r>
              <w:rPr>
                <w:rFonts w:hint="eastAsia"/>
                <w:highlight w:val="none"/>
                <w:lang w:val="en-US" w:eastAsia="zh-CN"/>
              </w:rPr>
              <w:t>/</w:t>
            </w:r>
          </w:p>
        </w:tc>
        <w:tc>
          <w:tcPr>
            <w:tcW w:w="224" w:type="pct"/>
            <w:tcBorders>
              <w:left w:val="single" w:color="000000" w:sz="4" w:space="0"/>
            </w:tcBorders>
            <w:vAlign w:val="center"/>
          </w:tcPr>
          <w:p w14:paraId="4F93B663">
            <w:pPr>
              <w:pStyle w:val="58"/>
              <w:bidi w:val="0"/>
              <w:jc w:val="center"/>
              <w:rPr>
                <w:rFonts w:hint="default"/>
                <w:highlight w:val="none"/>
                <w:lang w:val="en-US" w:eastAsia="zh-CN"/>
              </w:rPr>
            </w:pPr>
            <w:r>
              <w:rPr>
                <w:rFonts w:hint="eastAsia"/>
                <w:highlight w:val="none"/>
                <w:lang w:val="en-US" w:eastAsia="zh-CN"/>
              </w:rPr>
              <w:t>2套</w:t>
            </w:r>
          </w:p>
        </w:tc>
        <w:tc>
          <w:tcPr>
            <w:tcW w:w="345" w:type="pct"/>
            <w:vAlign w:val="center"/>
          </w:tcPr>
          <w:p w14:paraId="64712190">
            <w:pPr>
              <w:pStyle w:val="58"/>
              <w:bidi w:val="0"/>
              <w:jc w:val="center"/>
              <w:rPr>
                <w:rFonts w:hint="default"/>
                <w:highlight w:val="none"/>
                <w:lang w:val="en-US" w:eastAsia="zh-CN"/>
              </w:rPr>
            </w:pPr>
            <w:r>
              <w:rPr>
                <w:rFonts w:hint="eastAsia"/>
                <w:highlight w:val="none"/>
                <w:lang w:val="en-US" w:eastAsia="zh-CN"/>
              </w:rPr>
              <w:t>/</w:t>
            </w:r>
          </w:p>
        </w:tc>
        <w:tc>
          <w:tcPr>
            <w:tcW w:w="574" w:type="pct"/>
            <w:vAlign w:val="center"/>
          </w:tcPr>
          <w:p w14:paraId="7B222F2D">
            <w:pPr>
              <w:pStyle w:val="58"/>
              <w:bidi w:val="0"/>
              <w:jc w:val="center"/>
              <w:rPr>
                <w:rFonts w:hint="default"/>
                <w:highlight w:val="none"/>
                <w:lang w:val="en-US" w:eastAsia="zh-CN"/>
              </w:rPr>
            </w:pPr>
            <w:r>
              <w:rPr>
                <w:rFonts w:hint="eastAsia"/>
                <w:highlight w:val="none"/>
                <w:lang w:val="en-US" w:eastAsia="zh-CN"/>
              </w:rPr>
              <w:t>/</w:t>
            </w:r>
          </w:p>
        </w:tc>
        <w:tc>
          <w:tcPr>
            <w:tcW w:w="1086" w:type="pct"/>
            <w:vAlign w:val="center"/>
          </w:tcPr>
          <w:p w14:paraId="7310C620">
            <w:pPr>
              <w:pStyle w:val="58"/>
              <w:bidi w:val="0"/>
              <w:jc w:val="center"/>
              <w:rPr>
                <w:rFonts w:hint="eastAsia" w:eastAsia="宋体"/>
                <w:highlight w:val="none"/>
                <w:lang w:val="en-US" w:eastAsia="zh-CN"/>
              </w:rPr>
            </w:pPr>
            <w:r>
              <w:rPr>
                <w:rFonts w:hint="eastAsia"/>
                <w:highlight w:val="none"/>
                <w:lang w:val="en-US" w:eastAsia="zh-CN"/>
              </w:rPr>
              <w:t>/</w:t>
            </w:r>
          </w:p>
        </w:tc>
        <w:tc>
          <w:tcPr>
            <w:tcW w:w="425" w:type="pct"/>
            <w:vMerge w:val="continue"/>
          </w:tcPr>
          <w:p w14:paraId="601403A3">
            <w:pPr>
              <w:pStyle w:val="58"/>
              <w:bidi w:val="0"/>
              <w:rPr>
                <w:rFonts w:hint="default"/>
                <w:highlight w:val="none"/>
                <w:lang w:val="en-US" w:eastAsia="zh-CN"/>
              </w:rPr>
            </w:pPr>
          </w:p>
        </w:tc>
      </w:tr>
      <w:tr w14:paraId="1CF4A9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04" w:type="pct"/>
            <w:vAlign w:val="center"/>
          </w:tcPr>
          <w:p w14:paraId="6E6C8747">
            <w:pPr>
              <w:pStyle w:val="58"/>
              <w:bidi w:val="0"/>
              <w:rPr>
                <w:rFonts w:hint="default"/>
                <w:highlight w:val="none"/>
                <w:lang w:val="en-US" w:eastAsia="zh-CN"/>
              </w:rPr>
            </w:pPr>
            <w:r>
              <w:rPr>
                <w:rFonts w:hint="default"/>
                <w:highlight w:val="none"/>
                <w:lang w:val="en-US" w:eastAsia="zh-CN"/>
              </w:rPr>
              <w:t>噪声</w:t>
            </w:r>
          </w:p>
        </w:tc>
        <w:tc>
          <w:tcPr>
            <w:tcW w:w="620" w:type="pct"/>
            <w:vAlign w:val="center"/>
          </w:tcPr>
          <w:p w14:paraId="320FE5D7">
            <w:pPr>
              <w:pStyle w:val="58"/>
              <w:bidi w:val="0"/>
              <w:rPr>
                <w:rFonts w:hint="default"/>
                <w:highlight w:val="none"/>
                <w:lang w:val="en-US" w:eastAsia="zh-CN"/>
              </w:rPr>
            </w:pPr>
            <w:r>
              <w:rPr>
                <w:rFonts w:hint="default"/>
                <w:highlight w:val="none"/>
                <w:lang w:val="en-US" w:eastAsia="zh-CN"/>
              </w:rPr>
              <w:t>生产设备</w:t>
            </w:r>
          </w:p>
        </w:tc>
        <w:tc>
          <w:tcPr>
            <w:tcW w:w="407" w:type="pct"/>
            <w:vAlign w:val="center"/>
          </w:tcPr>
          <w:p w14:paraId="6C4BCDB6">
            <w:pPr>
              <w:pStyle w:val="58"/>
              <w:bidi w:val="0"/>
              <w:rPr>
                <w:rFonts w:hint="default"/>
                <w:highlight w:val="none"/>
                <w:lang w:val="en-US" w:eastAsia="zh-CN"/>
              </w:rPr>
            </w:pPr>
            <w:r>
              <w:rPr>
                <w:rFonts w:hint="default"/>
                <w:highlight w:val="none"/>
                <w:lang w:val="en-US" w:eastAsia="zh-CN"/>
              </w:rPr>
              <w:t>等效连续A声级</w:t>
            </w:r>
          </w:p>
        </w:tc>
        <w:tc>
          <w:tcPr>
            <w:tcW w:w="1112" w:type="pct"/>
            <w:vAlign w:val="center"/>
          </w:tcPr>
          <w:p w14:paraId="2AB351C9">
            <w:pPr>
              <w:pStyle w:val="58"/>
              <w:bidi w:val="0"/>
              <w:rPr>
                <w:rFonts w:hint="default"/>
                <w:highlight w:val="none"/>
                <w:lang w:val="en-US" w:eastAsia="zh-CN"/>
              </w:rPr>
            </w:pPr>
            <w:r>
              <w:rPr>
                <w:rFonts w:hint="default"/>
                <w:highlight w:val="none"/>
                <w:lang w:val="en-US" w:eastAsia="zh-CN"/>
              </w:rPr>
              <w:t>选用低噪声设备，</w:t>
            </w:r>
            <w:r>
              <w:rPr>
                <w:rFonts w:hint="default"/>
                <w:highlight w:val="none"/>
                <w:lang w:eastAsia="zh-CN"/>
              </w:rPr>
              <w:t>厂房隔声，</w:t>
            </w:r>
            <w:r>
              <w:rPr>
                <w:rFonts w:hint="default"/>
                <w:highlight w:val="none"/>
                <w:lang w:val="en-US" w:eastAsia="zh-CN"/>
              </w:rPr>
              <w:t>基础减振，风机风管软连接</w:t>
            </w:r>
          </w:p>
        </w:tc>
        <w:tc>
          <w:tcPr>
            <w:tcW w:w="224" w:type="pct"/>
            <w:vAlign w:val="center"/>
          </w:tcPr>
          <w:p w14:paraId="160546B6">
            <w:pPr>
              <w:pStyle w:val="58"/>
              <w:bidi w:val="0"/>
              <w:rPr>
                <w:rFonts w:hint="default"/>
                <w:highlight w:val="none"/>
                <w:lang w:val="en-US" w:eastAsia="zh-CN"/>
              </w:rPr>
            </w:pPr>
            <w:r>
              <w:rPr>
                <w:rFonts w:hint="default"/>
                <w:highlight w:val="none"/>
                <w:lang w:val="en-US" w:eastAsia="zh-CN"/>
              </w:rPr>
              <w:t>/</w:t>
            </w:r>
          </w:p>
        </w:tc>
        <w:tc>
          <w:tcPr>
            <w:tcW w:w="345" w:type="pct"/>
            <w:vAlign w:val="center"/>
          </w:tcPr>
          <w:p w14:paraId="2DAF364B">
            <w:pPr>
              <w:pStyle w:val="58"/>
              <w:bidi w:val="0"/>
              <w:rPr>
                <w:rFonts w:hint="default"/>
                <w:highlight w:val="none"/>
                <w:lang w:val="en-US" w:eastAsia="zh-CN"/>
              </w:rPr>
            </w:pPr>
            <w:r>
              <w:rPr>
                <w:rFonts w:hint="eastAsia"/>
                <w:highlight w:val="none"/>
                <w:lang w:val="en-US" w:eastAsia="zh-CN"/>
              </w:rPr>
              <w:t>/</w:t>
            </w:r>
          </w:p>
        </w:tc>
        <w:tc>
          <w:tcPr>
            <w:tcW w:w="574" w:type="pct"/>
            <w:vAlign w:val="center"/>
          </w:tcPr>
          <w:p w14:paraId="44F76C1D">
            <w:pPr>
              <w:pStyle w:val="58"/>
              <w:bidi w:val="0"/>
              <w:rPr>
                <w:rFonts w:hint="default"/>
                <w:highlight w:val="none"/>
                <w:lang w:val="en-US" w:eastAsia="zh-CN"/>
              </w:rPr>
            </w:pPr>
            <w:r>
              <w:rPr>
                <w:rFonts w:hint="default"/>
                <w:highlight w:val="none"/>
                <w:lang w:val="en-US" w:eastAsia="zh-CN"/>
              </w:rPr>
              <w:t>昼间65</w:t>
            </w:r>
            <w:r>
              <w:rPr>
                <w:rFonts w:hint="default"/>
                <w:highlight w:val="none"/>
              </w:rPr>
              <w:t>dB(A)</w:t>
            </w:r>
          </w:p>
          <w:p w14:paraId="39E6FD1C">
            <w:pPr>
              <w:pStyle w:val="58"/>
              <w:bidi w:val="0"/>
              <w:rPr>
                <w:rFonts w:hint="default"/>
                <w:highlight w:val="none"/>
                <w:lang w:val="en-US" w:eastAsia="zh-CN"/>
              </w:rPr>
            </w:pPr>
            <w:r>
              <w:rPr>
                <w:rFonts w:hint="default"/>
                <w:highlight w:val="none"/>
                <w:lang w:val="en-US" w:eastAsia="zh-CN"/>
              </w:rPr>
              <w:t>夜间55</w:t>
            </w:r>
            <w:r>
              <w:rPr>
                <w:rFonts w:hint="default"/>
                <w:highlight w:val="none"/>
              </w:rPr>
              <w:t>dB(A)</w:t>
            </w:r>
          </w:p>
        </w:tc>
        <w:tc>
          <w:tcPr>
            <w:tcW w:w="1086" w:type="pct"/>
            <w:vAlign w:val="center"/>
          </w:tcPr>
          <w:p w14:paraId="1A0E51AE">
            <w:pPr>
              <w:pStyle w:val="58"/>
              <w:bidi w:val="0"/>
              <w:rPr>
                <w:rFonts w:hint="default"/>
                <w:highlight w:val="none"/>
                <w:lang w:val="en-US" w:eastAsia="zh-CN"/>
              </w:rPr>
            </w:pPr>
            <w:r>
              <w:rPr>
                <w:rFonts w:hint="default"/>
                <w:highlight w:val="none"/>
              </w:rPr>
              <w:t>《工业企业厂界环境噪声排放标准》(GBl2348-2008)3</w:t>
            </w:r>
            <w:r>
              <w:rPr>
                <w:rFonts w:hint="default"/>
                <w:highlight w:val="none"/>
                <w:lang w:val="en-US" w:eastAsia="zh-CN"/>
              </w:rPr>
              <w:t>类</w:t>
            </w:r>
            <w:r>
              <w:rPr>
                <w:rFonts w:hint="default"/>
                <w:highlight w:val="none"/>
              </w:rPr>
              <w:t>标准限值要求</w:t>
            </w:r>
          </w:p>
        </w:tc>
        <w:tc>
          <w:tcPr>
            <w:tcW w:w="425" w:type="pct"/>
            <w:vAlign w:val="center"/>
          </w:tcPr>
          <w:p w14:paraId="17B0F362">
            <w:pPr>
              <w:pStyle w:val="58"/>
              <w:bidi w:val="0"/>
              <w:rPr>
                <w:rFonts w:hint="default"/>
                <w:highlight w:val="none"/>
                <w:lang w:val="en-US" w:eastAsia="zh-CN"/>
              </w:rPr>
            </w:pPr>
            <w:r>
              <w:rPr>
                <w:rFonts w:hint="default"/>
                <w:highlight w:val="none"/>
                <w:lang w:val="en-US" w:eastAsia="zh-CN"/>
              </w:rPr>
              <w:t>5</w:t>
            </w:r>
          </w:p>
        </w:tc>
      </w:tr>
      <w:tr w14:paraId="2BCEB03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04" w:type="pct"/>
            <w:vMerge w:val="restart"/>
            <w:vAlign w:val="center"/>
          </w:tcPr>
          <w:p w14:paraId="3663C8A9">
            <w:pPr>
              <w:pStyle w:val="58"/>
              <w:bidi w:val="0"/>
              <w:rPr>
                <w:rFonts w:hint="default"/>
                <w:highlight w:val="none"/>
                <w:lang w:val="en-US" w:eastAsia="zh-CN"/>
              </w:rPr>
            </w:pPr>
            <w:r>
              <w:rPr>
                <w:rFonts w:hint="default"/>
                <w:highlight w:val="none"/>
                <w:lang w:val="en-US" w:eastAsia="zh-CN"/>
              </w:rPr>
              <w:t>固废</w:t>
            </w:r>
          </w:p>
        </w:tc>
        <w:tc>
          <w:tcPr>
            <w:tcW w:w="3284" w:type="pct"/>
            <w:gridSpan w:val="6"/>
          </w:tcPr>
          <w:p w14:paraId="76B4BC50">
            <w:pPr>
              <w:pStyle w:val="58"/>
              <w:bidi w:val="0"/>
              <w:rPr>
                <w:rFonts w:hint="default"/>
                <w:highlight w:val="none"/>
                <w:lang w:val="en-US" w:eastAsia="zh-CN"/>
              </w:rPr>
            </w:pPr>
            <w:r>
              <w:rPr>
                <w:rFonts w:hint="default"/>
                <w:highlight w:val="none"/>
                <w:lang w:val="en-US" w:eastAsia="zh-CN"/>
              </w:rPr>
              <w:t>一</w:t>
            </w:r>
            <w:r>
              <w:rPr>
                <w:rFonts w:hint="default"/>
                <w:highlight w:val="none"/>
                <w:lang w:eastAsia="zh-CN"/>
              </w:rPr>
              <w:t>般固废：</w:t>
            </w:r>
            <w:r>
              <w:rPr>
                <w:rFonts w:hint="default"/>
                <w:highlight w:val="none"/>
                <w:lang w:val="en-US" w:eastAsia="zh-CN"/>
              </w:rPr>
              <w:t>栅渣、沉</w:t>
            </w:r>
            <w:r>
              <w:rPr>
                <w:rFonts w:hint="eastAsia"/>
                <w:highlight w:val="none"/>
                <w:lang w:val="en-US" w:eastAsia="zh-CN"/>
              </w:rPr>
              <w:t>砂</w:t>
            </w:r>
            <w:r>
              <w:rPr>
                <w:rFonts w:hint="eastAsia"/>
                <w:highlight w:val="none"/>
                <w:lang w:eastAsia="zh-CN"/>
              </w:rPr>
              <w:t>、</w:t>
            </w:r>
            <w:r>
              <w:rPr>
                <w:rFonts w:hint="default"/>
                <w:highlight w:val="none"/>
                <w:lang w:val="en-US" w:eastAsia="zh-CN"/>
              </w:rPr>
              <w:t>污泥委托水泥厂协同处置</w:t>
            </w:r>
            <w:r>
              <w:rPr>
                <w:rFonts w:hint="eastAsia"/>
                <w:highlight w:val="none"/>
                <w:lang w:val="en-US" w:eastAsia="zh-CN"/>
              </w:rPr>
              <w:t>，废石英砂五年更换一次，由厂家回收</w:t>
            </w:r>
            <w:r>
              <w:rPr>
                <w:rFonts w:hint="default"/>
                <w:highlight w:val="none"/>
                <w:lang w:val="en-US" w:eastAsia="zh-CN"/>
              </w:rPr>
              <w:t>。</w:t>
            </w:r>
          </w:p>
        </w:tc>
        <w:tc>
          <w:tcPr>
            <w:tcW w:w="1086" w:type="pct"/>
            <w:vAlign w:val="center"/>
          </w:tcPr>
          <w:p w14:paraId="2D4DCEFB">
            <w:pPr>
              <w:pStyle w:val="58"/>
              <w:bidi w:val="0"/>
              <w:rPr>
                <w:rFonts w:hint="default"/>
                <w:highlight w:val="none"/>
                <w:lang w:val="en-US" w:eastAsia="zh-CN"/>
              </w:rPr>
            </w:pPr>
            <w:r>
              <w:rPr>
                <w:rFonts w:hint="default"/>
                <w:highlight w:val="none"/>
                <w:lang w:val="en-US" w:eastAsia="zh-CN"/>
              </w:rPr>
              <w:t>/</w:t>
            </w:r>
          </w:p>
        </w:tc>
        <w:tc>
          <w:tcPr>
            <w:tcW w:w="425" w:type="pct"/>
            <w:vAlign w:val="center"/>
          </w:tcPr>
          <w:p w14:paraId="01DC5B15">
            <w:pPr>
              <w:pStyle w:val="58"/>
              <w:bidi w:val="0"/>
              <w:rPr>
                <w:rFonts w:hint="default"/>
                <w:highlight w:val="none"/>
                <w:lang w:val="en-US" w:eastAsia="zh-CN"/>
              </w:rPr>
            </w:pPr>
            <w:r>
              <w:rPr>
                <w:rFonts w:hint="default"/>
                <w:highlight w:val="none"/>
                <w:lang w:val="en-US" w:eastAsia="zh-CN"/>
              </w:rPr>
              <w:t>2</w:t>
            </w:r>
          </w:p>
        </w:tc>
      </w:tr>
      <w:tr w14:paraId="4A6C27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04" w:type="pct"/>
            <w:vMerge w:val="continue"/>
          </w:tcPr>
          <w:p w14:paraId="73C3606A">
            <w:pPr>
              <w:pStyle w:val="58"/>
              <w:bidi w:val="0"/>
              <w:rPr>
                <w:rFonts w:hint="default"/>
                <w:highlight w:val="none"/>
                <w:lang w:val="en-US" w:eastAsia="zh-CN"/>
              </w:rPr>
            </w:pPr>
          </w:p>
        </w:tc>
        <w:tc>
          <w:tcPr>
            <w:tcW w:w="3284" w:type="pct"/>
            <w:gridSpan w:val="6"/>
          </w:tcPr>
          <w:p w14:paraId="75B40D92">
            <w:pPr>
              <w:pStyle w:val="58"/>
              <w:bidi w:val="0"/>
              <w:rPr>
                <w:rFonts w:hint="default"/>
                <w:highlight w:val="none"/>
                <w:lang w:val="en-US" w:eastAsia="zh-CN"/>
              </w:rPr>
            </w:pPr>
            <w:r>
              <w:rPr>
                <w:rFonts w:hint="default"/>
                <w:highlight w:val="none"/>
                <w:lang w:eastAsia="zh-CN"/>
              </w:rPr>
              <w:t>危险废物：</w:t>
            </w:r>
            <w:r>
              <w:rPr>
                <w:rFonts w:hint="eastAsia"/>
                <w:highlight w:val="none"/>
                <w:lang w:val="en-US" w:eastAsia="zh-CN"/>
              </w:rPr>
              <w:t>等离子光电一体机更换下来的废UV灯管、实验室</w:t>
            </w:r>
            <w:r>
              <w:rPr>
                <w:rFonts w:hint="default"/>
                <w:highlight w:val="none"/>
                <w:lang w:val="en-US" w:eastAsia="zh-CN"/>
              </w:rPr>
              <w:t>废液</w:t>
            </w:r>
            <w:r>
              <w:rPr>
                <w:rFonts w:hint="default"/>
                <w:highlight w:val="none"/>
                <w:lang w:eastAsia="zh-CN"/>
              </w:rPr>
              <w:t>、</w:t>
            </w:r>
            <w:r>
              <w:rPr>
                <w:rFonts w:hint="default"/>
                <w:highlight w:val="none"/>
                <w:lang w:val="en-US" w:eastAsia="zh-CN"/>
              </w:rPr>
              <w:t>在线监测废液、废试剂瓶、</w:t>
            </w:r>
            <w:r>
              <w:rPr>
                <w:rFonts w:hint="default"/>
                <w:highlight w:val="none"/>
                <w:lang w:eastAsia="zh-CN"/>
              </w:rPr>
              <w:t>设备维护产生的废润滑油、废液压油、废油桶等暂存于现有危废间，定期委托有资质单位进行处理</w:t>
            </w:r>
          </w:p>
        </w:tc>
        <w:tc>
          <w:tcPr>
            <w:tcW w:w="1086" w:type="pct"/>
            <w:vAlign w:val="center"/>
          </w:tcPr>
          <w:p w14:paraId="25317E8E">
            <w:pPr>
              <w:pStyle w:val="58"/>
              <w:bidi w:val="0"/>
              <w:rPr>
                <w:rFonts w:hint="default"/>
                <w:highlight w:val="none"/>
                <w:lang w:val="en-US" w:eastAsia="zh-CN"/>
              </w:rPr>
            </w:pPr>
            <w:r>
              <w:rPr>
                <w:rFonts w:hint="default"/>
                <w:highlight w:val="none"/>
                <w:lang w:val="en-US" w:eastAsia="zh-CN"/>
              </w:rPr>
              <w:t>《危险废物贮存污染控制标准》（GB18597-2023）中标准要求</w:t>
            </w:r>
          </w:p>
        </w:tc>
        <w:tc>
          <w:tcPr>
            <w:tcW w:w="425" w:type="pct"/>
            <w:vAlign w:val="center"/>
          </w:tcPr>
          <w:p w14:paraId="4938162D">
            <w:pPr>
              <w:pStyle w:val="58"/>
              <w:bidi w:val="0"/>
              <w:rPr>
                <w:rFonts w:hint="default"/>
                <w:highlight w:val="none"/>
                <w:lang w:val="en-US" w:eastAsia="zh-CN"/>
              </w:rPr>
            </w:pPr>
            <w:r>
              <w:rPr>
                <w:rFonts w:hint="default"/>
                <w:highlight w:val="none"/>
                <w:lang w:val="en-US" w:eastAsia="zh-CN"/>
              </w:rPr>
              <w:t>2</w:t>
            </w:r>
          </w:p>
        </w:tc>
      </w:tr>
      <w:tr w14:paraId="2F02D1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04" w:type="pct"/>
            <w:vAlign w:val="center"/>
          </w:tcPr>
          <w:p w14:paraId="0555BDC9">
            <w:pPr>
              <w:pStyle w:val="58"/>
              <w:bidi w:val="0"/>
              <w:rPr>
                <w:rFonts w:hint="default"/>
                <w:highlight w:val="none"/>
                <w:lang w:val="en-US" w:eastAsia="zh-CN"/>
              </w:rPr>
            </w:pPr>
            <w:r>
              <w:rPr>
                <w:rFonts w:hint="default"/>
                <w:highlight w:val="none"/>
                <w:lang w:val="en-US" w:eastAsia="zh-CN"/>
              </w:rPr>
              <w:t>防腐防渗</w:t>
            </w:r>
          </w:p>
        </w:tc>
        <w:tc>
          <w:tcPr>
            <w:tcW w:w="4370" w:type="pct"/>
            <w:gridSpan w:val="7"/>
          </w:tcPr>
          <w:p w14:paraId="6B13FE78">
            <w:pPr>
              <w:pStyle w:val="58"/>
              <w:bidi w:val="0"/>
              <w:jc w:val="left"/>
              <w:rPr>
                <w:rFonts w:hint="default"/>
                <w:highlight w:val="none"/>
                <w:lang w:val="en-US" w:eastAsia="zh-CN"/>
              </w:rPr>
            </w:pPr>
            <w:r>
              <w:rPr>
                <w:rFonts w:hint="default"/>
                <w:highlight w:val="none"/>
                <w:lang w:val="en-US" w:eastAsia="zh-CN"/>
              </w:rPr>
              <w:t>1、重点防渗区</w:t>
            </w:r>
          </w:p>
          <w:p w14:paraId="79C06713">
            <w:pPr>
              <w:pStyle w:val="58"/>
              <w:bidi w:val="0"/>
              <w:jc w:val="left"/>
              <w:rPr>
                <w:rFonts w:hint="default"/>
                <w:highlight w:val="none"/>
                <w:lang w:val="en-US" w:eastAsia="zh-CN"/>
              </w:rPr>
            </w:pPr>
            <w:r>
              <w:rPr>
                <w:rFonts w:hint="default"/>
                <w:highlight w:val="none"/>
                <w:lang w:val="en-US" w:eastAsia="zh-CN"/>
              </w:rPr>
              <w:t>本项目重点防渗区主要包括危废间等。</w:t>
            </w:r>
          </w:p>
          <w:p w14:paraId="57730639">
            <w:pPr>
              <w:pStyle w:val="58"/>
              <w:bidi w:val="0"/>
              <w:jc w:val="left"/>
              <w:rPr>
                <w:rFonts w:hint="default"/>
                <w:highlight w:val="none"/>
                <w:lang w:val="en-US" w:eastAsia="zh-CN"/>
              </w:rPr>
            </w:pPr>
            <w:r>
              <w:rPr>
                <w:rFonts w:hint="default"/>
                <w:highlight w:val="none"/>
                <w:lang w:val="en-US" w:eastAsia="zh-CN"/>
              </w:rPr>
              <w:t>危废间：最底层采用夯实黏土，地面底层为水泥砂浆，防渗层为2mm厚高密度聚乙烯防渗层，最后以抗渗混凝土做地面，表面无裂隙，渗透系数≤1×10</w:t>
            </w:r>
            <w:r>
              <w:rPr>
                <w:rFonts w:hint="default"/>
                <w:highlight w:val="none"/>
                <w:vertAlign w:val="superscript"/>
                <w:lang w:val="en-US" w:eastAsia="zh-CN"/>
              </w:rPr>
              <w:t>-10</w:t>
            </w:r>
            <w:r>
              <w:rPr>
                <w:rFonts w:hint="default"/>
                <w:highlight w:val="none"/>
                <w:lang w:val="en-US" w:eastAsia="zh-CN"/>
              </w:rPr>
              <w:t>cm/s。危废间内设围堰（高度为20cm），围堰及裙体均涂刷玻璃钢进行防腐防渗。</w:t>
            </w:r>
          </w:p>
          <w:p w14:paraId="1019C416">
            <w:pPr>
              <w:pStyle w:val="58"/>
              <w:bidi w:val="0"/>
              <w:jc w:val="left"/>
              <w:rPr>
                <w:rFonts w:hint="default"/>
                <w:highlight w:val="none"/>
                <w:lang w:val="en-US" w:eastAsia="zh-CN"/>
              </w:rPr>
            </w:pPr>
            <w:r>
              <w:rPr>
                <w:rFonts w:hint="default"/>
                <w:highlight w:val="none"/>
                <w:lang w:val="en-US" w:eastAsia="zh-CN"/>
              </w:rPr>
              <w:t>2、一般防渗区</w:t>
            </w:r>
          </w:p>
          <w:p w14:paraId="2BE84AFE">
            <w:pPr>
              <w:pStyle w:val="58"/>
              <w:bidi w:val="0"/>
              <w:jc w:val="left"/>
              <w:rPr>
                <w:rFonts w:hint="default"/>
                <w:highlight w:val="none"/>
                <w:lang w:val="en-US" w:eastAsia="zh-CN"/>
              </w:rPr>
            </w:pPr>
            <w:r>
              <w:rPr>
                <w:rFonts w:hint="default"/>
                <w:highlight w:val="none"/>
                <w:lang w:val="en-US" w:eastAsia="zh-CN"/>
              </w:rPr>
              <w:t>一般防渗区包括各污水处理构筑物池体、</w:t>
            </w:r>
            <w:r>
              <w:rPr>
                <w:rFonts w:hint="eastAsia"/>
                <w:highlight w:val="none"/>
                <w:lang w:val="en-US" w:eastAsia="zh-CN"/>
              </w:rPr>
              <w:t>污泥脱水间、</w:t>
            </w:r>
            <w:r>
              <w:rPr>
                <w:rFonts w:hint="default"/>
                <w:highlight w:val="none"/>
                <w:lang w:val="en-US" w:eastAsia="zh-CN"/>
              </w:rPr>
              <w:t>泵房、配电室、加药间、鼓风机房等区域，要求基础进行防渗，防渗层等效1.5m厚的粘土层，地面采用抗渗混凝土硬化，渗透系数≤10</w:t>
            </w:r>
            <w:r>
              <w:rPr>
                <w:rFonts w:hint="default"/>
                <w:highlight w:val="none"/>
                <w:vertAlign w:val="superscript"/>
                <w:lang w:val="en-US" w:eastAsia="zh-CN"/>
              </w:rPr>
              <w:t>-7</w:t>
            </w:r>
            <w:r>
              <w:rPr>
                <w:rFonts w:hint="default"/>
                <w:highlight w:val="none"/>
                <w:lang w:val="en-US" w:eastAsia="zh-CN"/>
              </w:rPr>
              <w:t>cm/s。</w:t>
            </w:r>
          </w:p>
          <w:p w14:paraId="2DCA28C1">
            <w:pPr>
              <w:pStyle w:val="58"/>
              <w:bidi w:val="0"/>
              <w:jc w:val="left"/>
              <w:rPr>
                <w:rFonts w:hint="default"/>
                <w:highlight w:val="none"/>
                <w:lang w:val="en-US" w:eastAsia="zh-CN"/>
              </w:rPr>
            </w:pPr>
            <w:r>
              <w:rPr>
                <w:rFonts w:hint="default"/>
                <w:highlight w:val="none"/>
                <w:lang w:val="en-US" w:eastAsia="zh-CN"/>
              </w:rPr>
              <w:t>3、简单防渗区</w:t>
            </w:r>
          </w:p>
          <w:p w14:paraId="136E41BC">
            <w:pPr>
              <w:pStyle w:val="58"/>
              <w:bidi w:val="0"/>
              <w:jc w:val="left"/>
              <w:rPr>
                <w:rFonts w:hint="default"/>
                <w:highlight w:val="none"/>
                <w:lang w:val="en-US" w:eastAsia="zh-CN"/>
              </w:rPr>
            </w:pPr>
            <w:r>
              <w:rPr>
                <w:rFonts w:hint="default"/>
                <w:highlight w:val="none"/>
                <w:lang w:val="en-US" w:eastAsia="zh-CN"/>
              </w:rPr>
              <w:t>指一般不会对地下水环境造成污染的区域，主要包括厂区除绿化区域以外地面等，该区域不做专门的防渗处理，地面一般硬化即可。</w:t>
            </w:r>
          </w:p>
        </w:tc>
        <w:tc>
          <w:tcPr>
            <w:tcW w:w="425" w:type="pct"/>
            <w:vAlign w:val="center"/>
          </w:tcPr>
          <w:p w14:paraId="59923579">
            <w:pPr>
              <w:pStyle w:val="58"/>
              <w:bidi w:val="0"/>
              <w:rPr>
                <w:rFonts w:hint="default"/>
                <w:highlight w:val="none"/>
                <w:lang w:val="en-US" w:eastAsia="zh-CN"/>
              </w:rPr>
            </w:pPr>
            <w:r>
              <w:rPr>
                <w:rFonts w:hint="default"/>
                <w:highlight w:val="none"/>
                <w:lang w:val="en-US" w:eastAsia="zh-CN"/>
              </w:rPr>
              <w:t>10</w:t>
            </w:r>
          </w:p>
        </w:tc>
      </w:tr>
      <w:tr w14:paraId="750F8E2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04" w:type="pct"/>
            <w:vMerge w:val="restart"/>
            <w:vAlign w:val="center"/>
          </w:tcPr>
          <w:p w14:paraId="2FE12DD3">
            <w:pPr>
              <w:pStyle w:val="58"/>
              <w:bidi w:val="0"/>
              <w:rPr>
                <w:rFonts w:hint="default"/>
                <w:highlight w:val="none"/>
                <w:lang w:val="en-US" w:eastAsia="zh-CN"/>
              </w:rPr>
            </w:pPr>
            <w:r>
              <w:rPr>
                <w:rFonts w:hint="default"/>
                <w:highlight w:val="none"/>
                <w:lang w:val="en-US" w:eastAsia="zh-CN"/>
              </w:rPr>
              <w:t>环境风险</w:t>
            </w:r>
          </w:p>
        </w:tc>
        <w:tc>
          <w:tcPr>
            <w:tcW w:w="4370" w:type="pct"/>
            <w:gridSpan w:val="7"/>
            <w:vAlign w:val="center"/>
          </w:tcPr>
          <w:p w14:paraId="2CF03421">
            <w:pPr>
              <w:pStyle w:val="58"/>
              <w:bidi w:val="0"/>
              <w:jc w:val="left"/>
              <w:rPr>
                <w:rFonts w:hint="default"/>
                <w:highlight w:val="none"/>
                <w:lang w:val="en-US" w:eastAsia="zh-CN"/>
              </w:rPr>
            </w:pPr>
            <w:r>
              <w:rPr>
                <w:rFonts w:hint="eastAsia"/>
                <w:highlight w:val="none"/>
                <w:lang w:val="en-US" w:eastAsia="zh-CN"/>
              </w:rPr>
              <w:t>(1)</w:t>
            </w:r>
            <w:r>
              <w:rPr>
                <w:rFonts w:hint="default"/>
                <w:highlight w:val="none"/>
                <w:lang w:val="en-US" w:eastAsia="zh-CN"/>
              </w:rPr>
              <w:t>次氯酸钠泄露事故风险防范措施：加药间内次氯酸钠加药罐周设有围堰，围堰区域进行防渗、防腐处理，保证渗透系数小于10</w:t>
            </w:r>
            <w:r>
              <w:rPr>
                <w:rFonts w:hint="default"/>
                <w:highlight w:val="none"/>
                <w:vertAlign w:val="superscript"/>
                <w:lang w:val="en-US" w:eastAsia="zh-CN"/>
              </w:rPr>
              <w:t>-10</w:t>
            </w:r>
            <w:r>
              <w:rPr>
                <w:rFonts w:hint="default"/>
                <w:highlight w:val="none"/>
                <w:lang w:val="en-US" w:eastAsia="zh-CN"/>
              </w:rPr>
              <w:t>cm/s。</w:t>
            </w:r>
          </w:p>
          <w:p w14:paraId="446C23D0">
            <w:pPr>
              <w:pStyle w:val="58"/>
              <w:bidi w:val="0"/>
              <w:jc w:val="left"/>
              <w:rPr>
                <w:rFonts w:hint="default"/>
                <w:highlight w:val="none"/>
                <w:lang w:val="en-US" w:eastAsia="zh-CN"/>
              </w:rPr>
            </w:pPr>
            <w:r>
              <w:rPr>
                <w:rFonts w:hint="default"/>
                <w:highlight w:val="none"/>
                <w:lang w:val="en-US" w:eastAsia="zh-CN"/>
              </w:rPr>
              <w:t>(2)硫酸、重铬酸钾泄露事故风险防范措施：</w:t>
            </w:r>
            <w:r>
              <w:rPr>
                <w:rFonts w:hint="eastAsia"/>
                <w:highlight w:val="none"/>
                <w:lang w:val="en-US" w:eastAsia="zh-CN"/>
              </w:rPr>
              <w:t>实验室</w:t>
            </w:r>
            <w:r>
              <w:rPr>
                <w:rFonts w:hint="default"/>
                <w:highlight w:val="none"/>
                <w:lang w:val="en-US" w:eastAsia="zh-CN"/>
              </w:rPr>
              <w:t>硫酸、重铬酸钾、纳氏试剂储存在</w:t>
            </w:r>
            <w:r>
              <w:rPr>
                <w:rFonts w:hint="eastAsia"/>
                <w:highlight w:val="none"/>
                <w:lang w:val="en-US" w:eastAsia="zh-CN"/>
              </w:rPr>
              <w:t>实验室</w:t>
            </w:r>
            <w:r>
              <w:rPr>
                <w:rFonts w:hint="default"/>
                <w:highlight w:val="none"/>
                <w:lang w:val="en-US" w:eastAsia="zh-CN"/>
              </w:rPr>
              <w:t>专用危险品柜内，</w:t>
            </w:r>
            <w:r>
              <w:rPr>
                <w:rFonts w:hint="eastAsia"/>
                <w:highlight w:val="none"/>
                <w:lang w:val="en-US" w:eastAsia="zh-CN"/>
              </w:rPr>
              <w:t>实验室</w:t>
            </w:r>
            <w:r>
              <w:rPr>
                <w:rFonts w:hint="default"/>
                <w:highlight w:val="none"/>
                <w:lang w:val="en-US" w:eastAsia="zh-CN"/>
              </w:rPr>
              <w:t>地面做防渗处理。</w:t>
            </w:r>
          </w:p>
          <w:p w14:paraId="085D89BC">
            <w:pPr>
              <w:pStyle w:val="58"/>
              <w:bidi w:val="0"/>
              <w:jc w:val="left"/>
              <w:rPr>
                <w:rFonts w:hint="default"/>
                <w:highlight w:val="none"/>
                <w:lang w:val="en-US" w:eastAsia="zh-CN"/>
              </w:rPr>
            </w:pPr>
            <w:r>
              <w:rPr>
                <w:rFonts w:hint="default"/>
                <w:highlight w:val="none"/>
                <w:lang w:val="en-US" w:eastAsia="zh-CN"/>
              </w:rPr>
              <w:t>(3)废润滑油、废液压油、废油桶、在线监测废液、</w:t>
            </w:r>
            <w:r>
              <w:rPr>
                <w:rFonts w:hint="eastAsia"/>
                <w:highlight w:val="none"/>
                <w:lang w:val="en-US" w:eastAsia="zh-CN"/>
              </w:rPr>
              <w:t>实验室</w:t>
            </w:r>
            <w:r>
              <w:rPr>
                <w:rFonts w:hint="default"/>
                <w:highlight w:val="none"/>
                <w:lang w:val="en-US" w:eastAsia="zh-CN"/>
              </w:rPr>
              <w:t>废液、废试剂瓶泄露事故风险防范措施：</w:t>
            </w:r>
          </w:p>
          <w:p w14:paraId="722D503C">
            <w:pPr>
              <w:pStyle w:val="58"/>
              <w:bidi w:val="0"/>
              <w:jc w:val="left"/>
              <w:rPr>
                <w:rFonts w:hint="default"/>
                <w:highlight w:val="none"/>
                <w:lang w:val="en-US" w:eastAsia="zh-CN"/>
              </w:rPr>
            </w:pPr>
            <w:r>
              <w:rPr>
                <w:rFonts w:hint="default"/>
                <w:highlight w:val="none"/>
                <w:lang w:val="en-US" w:eastAsia="zh-CN"/>
              </w:rPr>
              <w:t>在线监测废液、</w:t>
            </w:r>
            <w:r>
              <w:rPr>
                <w:rFonts w:hint="eastAsia"/>
                <w:highlight w:val="none"/>
                <w:lang w:val="en-US" w:eastAsia="zh-CN"/>
              </w:rPr>
              <w:t>实验室</w:t>
            </w:r>
            <w:r>
              <w:rPr>
                <w:rFonts w:hint="default"/>
                <w:highlight w:val="none"/>
                <w:lang w:val="en-US" w:eastAsia="zh-CN"/>
              </w:rPr>
              <w:t>废液、废润滑油均贮存在专用容器内，各危险危废分区均暂存于危废间，地面采用三油两布+环氧玻璃钢防渗，渗透系数≤1.0×10</w:t>
            </w:r>
            <w:r>
              <w:rPr>
                <w:rFonts w:hint="default"/>
                <w:highlight w:val="none"/>
                <w:vertAlign w:val="superscript"/>
                <w:lang w:val="en-US" w:eastAsia="zh-CN"/>
              </w:rPr>
              <w:t>-10</w:t>
            </w:r>
            <w:r>
              <w:rPr>
                <w:rFonts w:hint="default"/>
                <w:highlight w:val="none"/>
                <w:lang w:val="en-US" w:eastAsia="zh-CN"/>
              </w:rPr>
              <w:t>cm/s。</w:t>
            </w:r>
          </w:p>
          <w:p w14:paraId="0603FBF9">
            <w:pPr>
              <w:pStyle w:val="58"/>
              <w:bidi w:val="0"/>
              <w:jc w:val="left"/>
              <w:rPr>
                <w:rFonts w:hint="default"/>
                <w:highlight w:val="none"/>
                <w:lang w:val="en-US" w:eastAsia="zh-CN"/>
              </w:rPr>
            </w:pPr>
            <w:r>
              <w:rPr>
                <w:rFonts w:hint="eastAsia"/>
                <w:highlight w:val="none"/>
                <w:lang w:val="en-US" w:eastAsia="zh-CN"/>
              </w:rPr>
              <w:t>(4)</w:t>
            </w:r>
            <w:r>
              <w:rPr>
                <w:rFonts w:hint="default"/>
                <w:highlight w:val="none"/>
                <w:lang w:val="en-US" w:eastAsia="zh-CN"/>
              </w:rPr>
              <w:t>水质污染防范措施：污水排放企业发生排水事故时，应调整生产，减少污水排放，并启动各企业的事故池，保证超出进水水质标准工业废水不进入污水处理厂。本污水处理厂建立可靠的运行监控系统，总进水口设置了监测装置，进水水质一旦出现异常，立即启动排查事故原因。污水处理厂应针对可能发生的进水污染事故，建立预防和处理污染事故应急方案，一旦发生风险事故应立即上报，并在排放口附近悬挂警示标志，同时采取部分或所有企业不排水等措施，防止环境风险事故扩大和产生次生灾害。</w:t>
            </w:r>
          </w:p>
          <w:p w14:paraId="4EB54A93">
            <w:pPr>
              <w:pStyle w:val="58"/>
              <w:bidi w:val="0"/>
              <w:jc w:val="left"/>
              <w:rPr>
                <w:rFonts w:hint="default"/>
                <w:highlight w:val="none"/>
                <w:lang w:val="en-US" w:eastAsia="zh-CN"/>
              </w:rPr>
            </w:pPr>
            <w:r>
              <w:rPr>
                <w:rFonts w:hint="eastAsia"/>
                <w:highlight w:val="none"/>
                <w:lang w:val="en-US" w:eastAsia="zh-CN"/>
              </w:rPr>
              <w:t>(5)</w:t>
            </w:r>
            <w:r>
              <w:rPr>
                <w:rFonts w:hint="default"/>
                <w:highlight w:val="none"/>
                <w:lang w:val="en-US" w:eastAsia="zh-CN"/>
              </w:rPr>
              <w:t>本项目建成后投入运行前应根据项目生产过程存在的风险物质存在量、防范措施等情况，对现有突发环境事件应急预案进行修编，并报主管部门备案。</w:t>
            </w:r>
          </w:p>
        </w:tc>
        <w:tc>
          <w:tcPr>
            <w:tcW w:w="425" w:type="pct"/>
            <w:vMerge w:val="restart"/>
            <w:vAlign w:val="center"/>
          </w:tcPr>
          <w:p w14:paraId="032E5B31">
            <w:pPr>
              <w:pStyle w:val="58"/>
              <w:bidi w:val="0"/>
              <w:rPr>
                <w:rFonts w:hint="default"/>
                <w:highlight w:val="none"/>
                <w:lang w:val="en-US" w:eastAsia="zh-CN"/>
              </w:rPr>
            </w:pPr>
            <w:r>
              <w:rPr>
                <w:rFonts w:hint="default"/>
                <w:highlight w:val="none"/>
                <w:lang w:val="en-US" w:eastAsia="zh-CN"/>
              </w:rPr>
              <w:t>3</w:t>
            </w:r>
          </w:p>
        </w:tc>
      </w:tr>
      <w:tr w14:paraId="20B0E8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04" w:type="pct"/>
            <w:vMerge w:val="continue"/>
            <w:vAlign w:val="center"/>
          </w:tcPr>
          <w:p w14:paraId="2BDC0681">
            <w:pPr>
              <w:pStyle w:val="58"/>
              <w:bidi w:val="0"/>
              <w:rPr>
                <w:rFonts w:hint="default"/>
                <w:highlight w:val="none"/>
                <w:lang w:val="en-US" w:eastAsia="zh-CN"/>
              </w:rPr>
            </w:pPr>
          </w:p>
        </w:tc>
        <w:tc>
          <w:tcPr>
            <w:tcW w:w="4370" w:type="pct"/>
            <w:gridSpan w:val="7"/>
            <w:vAlign w:val="center"/>
          </w:tcPr>
          <w:p w14:paraId="75CD3AF2">
            <w:pPr>
              <w:pStyle w:val="58"/>
              <w:bidi w:val="0"/>
              <w:rPr>
                <w:rFonts w:hint="default"/>
                <w:highlight w:val="none"/>
                <w:lang w:val="en-US" w:eastAsia="zh-CN"/>
              </w:rPr>
            </w:pPr>
            <w:r>
              <w:rPr>
                <w:rFonts w:hint="default"/>
                <w:highlight w:val="none"/>
              </w:rPr>
              <w:t>危险物质标识</w:t>
            </w:r>
          </w:p>
        </w:tc>
        <w:tc>
          <w:tcPr>
            <w:tcW w:w="425" w:type="pct"/>
            <w:vMerge w:val="continue"/>
            <w:vAlign w:val="center"/>
          </w:tcPr>
          <w:p w14:paraId="2FF6D554">
            <w:pPr>
              <w:pStyle w:val="58"/>
              <w:bidi w:val="0"/>
              <w:rPr>
                <w:rFonts w:hint="default"/>
                <w:highlight w:val="none"/>
                <w:lang w:val="en-US" w:eastAsia="zh-CN"/>
              </w:rPr>
            </w:pPr>
          </w:p>
        </w:tc>
      </w:tr>
      <w:tr w14:paraId="6AC303B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04" w:type="pct"/>
            <w:vMerge w:val="continue"/>
            <w:vAlign w:val="center"/>
          </w:tcPr>
          <w:p w14:paraId="52B36F39">
            <w:pPr>
              <w:pStyle w:val="58"/>
              <w:bidi w:val="0"/>
              <w:rPr>
                <w:rFonts w:hint="default"/>
                <w:highlight w:val="none"/>
                <w:lang w:val="en-US" w:eastAsia="zh-CN"/>
              </w:rPr>
            </w:pPr>
          </w:p>
        </w:tc>
        <w:tc>
          <w:tcPr>
            <w:tcW w:w="4370" w:type="pct"/>
            <w:gridSpan w:val="7"/>
            <w:vAlign w:val="center"/>
          </w:tcPr>
          <w:p w14:paraId="7FEF0E0A">
            <w:pPr>
              <w:pStyle w:val="58"/>
              <w:bidi w:val="0"/>
              <w:rPr>
                <w:rFonts w:hint="default"/>
                <w:highlight w:val="none"/>
                <w:lang w:val="en-US" w:eastAsia="zh-CN"/>
              </w:rPr>
            </w:pPr>
            <w:r>
              <w:rPr>
                <w:rFonts w:hint="default"/>
                <w:highlight w:val="none"/>
                <w:lang w:val="en-US" w:eastAsia="zh-CN"/>
              </w:rPr>
              <w:t>厂区雨水排放口和污水排放口设总阀门</w:t>
            </w:r>
          </w:p>
        </w:tc>
        <w:tc>
          <w:tcPr>
            <w:tcW w:w="425" w:type="pct"/>
            <w:vMerge w:val="continue"/>
            <w:vAlign w:val="center"/>
          </w:tcPr>
          <w:p w14:paraId="5573CC62">
            <w:pPr>
              <w:pStyle w:val="58"/>
              <w:bidi w:val="0"/>
              <w:rPr>
                <w:rFonts w:hint="default"/>
                <w:highlight w:val="none"/>
                <w:lang w:val="en-US" w:eastAsia="zh-CN"/>
              </w:rPr>
            </w:pPr>
          </w:p>
        </w:tc>
      </w:tr>
      <w:tr w14:paraId="6DA0BA1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04" w:type="pct"/>
            <w:vAlign w:val="center"/>
          </w:tcPr>
          <w:p w14:paraId="5654026A">
            <w:pPr>
              <w:pStyle w:val="58"/>
              <w:bidi w:val="0"/>
              <w:rPr>
                <w:rFonts w:hint="default"/>
                <w:highlight w:val="none"/>
                <w:lang w:val="en-US" w:eastAsia="zh-CN"/>
              </w:rPr>
            </w:pPr>
            <w:r>
              <w:rPr>
                <w:rFonts w:hint="default"/>
                <w:highlight w:val="none"/>
                <w:lang w:val="en-US" w:eastAsia="zh-CN"/>
              </w:rPr>
              <w:t>环境管理</w:t>
            </w:r>
          </w:p>
        </w:tc>
        <w:tc>
          <w:tcPr>
            <w:tcW w:w="4370" w:type="pct"/>
            <w:gridSpan w:val="7"/>
            <w:vAlign w:val="center"/>
          </w:tcPr>
          <w:p w14:paraId="02CEA888">
            <w:pPr>
              <w:pStyle w:val="58"/>
              <w:bidi w:val="0"/>
              <w:rPr>
                <w:rFonts w:hint="default"/>
                <w:highlight w:val="none"/>
                <w:lang w:val="en-US" w:eastAsia="zh-CN"/>
              </w:rPr>
            </w:pPr>
            <w:r>
              <w:rPr>
                <w:rFonts w:hint="default"/>
                <w:highlight w:val="none"/>
                <w:lang w:val="en-US" w:eastAsia="zh-CN"/>
              </w:rPr>
              <w:t>有专业人员，有相应环境管理和监测制度，排污口建设规范化</w:t>
            </w:r>
          </w:p>
        </w:tc>
        <w:tc>
          <w:tcPr>
            <w:tcW w:w="425" w:type="pct"/>
            <w:vAlign w:val="center"/>
          </w:tcPr>
          <w:p w14:paraId="066C0025">
            <w:pPr>
              <w:pStyle w:val="58"/>
              <w:bidi w:val="0"/>
              <w:rPr>
                <w:rFonts w:hint="default"/>
                <w:highlight w:val="none"/>
                <w:lang w:val="en-US" w:eastAsia="zh-CN"/>
              </w:rPr>
            </w:pPr>
            <w:r>
              <w:rPr>
                <w:rFonts w:hint="default"/>
                <w:highlight w:val="none"/>
                <w:lang w:val="en-US" w:eastAsia="zh-CN"/>
              </w:rPr>
              <w:t>/</w:t>
            </w:r>
          </w:p>
        </w:tc>
      </w:tr>
      <w:tr w14:paraId="1A27D66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04" w:type="pct"/>
            <w:vAlign w:val="center"/>
          </w:tcPr>
          <w:p w14:paraId="1E05BDE6">
            <w:pPr>
              <w:pStyle w:val="58"/>
              <w:bidi w:val="0"/>
              <w:rPr>
                <w:rFonts w:hint="default"/>
                <w:highlight w:val="none"/>
                <w:lang w:val="en-US" w:eastAsia="zh-CN"/>
              </w:rPr>
            </w:pPr>
            <w:r>
              <w:rPr>
                <w:rFonts w:hint="default"/>
                <w:highlight w:val="none"/>
                <w:lang w:val="en-US" w:eastAsia="zh-CN"/>
              </w:rPr>
              <w:t>其他</w:t>
            </w:r>
          </w:p>
        </w:tc>
        <w:tc>
          <w:tcPr>
            <w:tcW w:w="4370" w:type="pct"/>
            <w:gridSpan w:val="7"/>
            <w:vAlign w:val="center"/>
          </w:tcPr>
          <w:p w14:paraId="357C2A67">
            <w:pPr>
              <w:pStyle w:val="58"/>
              <w:bidi w:val="0"/>
              <w:rPr>
                <w:rFonts w:hint="default"/>
                <w:highlight w:val="none"/>
                <w:lang w:val="en-US" w:eastAsia="zh-CN"/>
              </w:rPr>
            </w:pPr>
            <w:r>
              <w:rPr>
                <w:rFonts w:hint="default"/>
                <w:highlight w:val="none"/>
                <w:lang w:val="en-US" w:eastAsia="zh-CN"/>
              </w:rPr>
              <w:t>地下水监控井：厂区</w:t>
            </w:r>
            <w:r>
              <w:rPr>
                <w:rFonts w:hint="eastAsia"/>
                <w:highlight w:val="none"/>
                <w:lang w:val="en-US" w:eastAsia="zh-CN"/>
              </w:rPr>
              <w:t>东</w:t>
            </w:r>
            <w:r>
              <w:rPr>
                <w:rFonts w:hint="default"/>
                <w:highlight w:val="none"/>
                <w:lang w:val="en-US" w:eastAsia="zh-CN"/>
              </w:rPr>
              <w:t>北侧、厂区</w:t>
            </w:r>
            <w:r>
              <w:rPr>
                <w:rFonts w:hint="eastAsia"/>
                <w:highlight w:val="none"/>
                <w:lang w:val="en-US" w:eastAsia="zh-CN"/>
              </w:rPr>
              <w:t>调节池</w:t>
            </w:r>
            <w:r>
              <w:rPr>
                <w:rFonts w:hint="default"/>
                <w:highlight w:val="none"/>
                <w:lang w:val="en-US" w:eastAsia="zh-CN"/>
              </w:rPr>
              <w:t>南侧、厂区</w:t>
            </w:r>
            <w:r>
              <w:rPr>
                <w:rFonts w:hint="eastAsia"/>
                <w:highlight w:val="none"/>
                <w:lang w:val="en-US" w:eastAsia="zh-CN"/>
              </w:rPr>
              <w:t>污水池</w:t>
            </w:r>
            <w:r>
              <w:rPr>
                <w:rFonts w:hint="default"/>
                <w:highlight w:val="none"/>
                <w:lang w:val="en-US" w:eastAsia="zh-CN"/>
              </w:rPr>
              <w:t>南侧</w:t>
            </w:r>
          </w:p>
        </w:tc>
        <w:tc>
          <w:tcPr>
            <w:tcW w:w="425" w:type="pct"/>
            <w:vAlign w:val="center"/>
          </w:tcPr>
          <w:p w14:paraId="1E2BE696">
            <w:pPr>
              <w:pStyle w:val="58"/>
              <w:bidi w:val="0"/>
              <w:rPr>
                <w:rFonts w:hint="default"/>
                <w:highlight w:val="none"/>
                <w:lang w:val="en-US" w:eastAsia="zh-CN"/>
              </w:rPr>
            </w:pPr>
            <w:r>
              <w:rPr>
                <w:rFonts w:hint="default"/>
                <w:highlight w:val="none"/>
                <w:lang w:val="en-US" w:eastAsia="zh-CN"/>
              </w:rPr>
              <w:t>0.5</w:t>
            </w:r>
          </w:p>
        </w:tc>
      </w:tr>
      <w:tr w14:paraId="5591C3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04" w:type="pct"/>
            <w:vAlign w:val="center"/>
          </w:tcPr>
          <w:p w14:paraId="5E9DDA7C">
            <w:pPr>
              <w:pStyle w:val="58"/>
              <w:bidi w:val="0"/>
              <w:rPr>
                <w:rFonts w:hint="default"/>
                <w:highlight w:val="none"/>
                <w:lang w:val="en-US" w:eastAsia="zh-CN"/>
              </w:rPr>
            </w:pPr>
            <w:r>
              <w:rPr>
                <w:rFonts w:hint="default"/>
                <w:highlight w:val="none"/>
                <w:lang w:val="en-US" w:eastAsia="zh-CN"/>
              </w:rPr>
              <w:t>合计</w:t>
            </w:r>
          </w:p>
        </w:tc>
        <w:tc>
          <w:tcPr>
            <w:tcW w:w="4370" w:type="pct"/>
            <w:gridSpan w:val="7"/>
            <w:vAlign w:val="center"/>
          </w:tcPr>
          <w:p w14:paraId="14A0BD28">
            <w:pPr>
              <w:pStyle w:val="58"/>
              <w:bidi w:val="0"/>
              <w:rPr>
                <w:rFonts w:hint="default"/>
                <w:highlight w:val="none"/>
                <w:lang w:val="en-US" w:eastAsia="zh-CN"/>
              </w:rPr>
            </w:pPr>
            <w:r>
              <w:rPr>
                <w:rFonts w:hint="default"/>
                <w:highlight w:val="none"/>
                <w:lang w:val="en-US" w:eastAsia="zh-CN"/>
              </w:rPr>
              <w:t>项目本身为环保项目，总投资为290.76万，全部为环保投资。</w:t>
            </w:r>
          </w:p>
        </w:tc>
        <w:tc>
          <w:tcPr>
            <w:tcW w:w="425" w:type="pct"/>
            <w:vAlign w:val="center"/>
          </w:tcPr>
          <w:p w14:paraId="276A5F2C">
            <w:pPr>
              <w:pStyle w:val="58"/>
              <w:bidi w:val="0"/>
              <w:rPr>
                <w:rFonts w:hint="default"/>
                <w:highlight w:val="none"/>
                <w:lang w:val="en-US" w:eastAsia="zh-CN"/>
              </w:rPr>
            </w:pPr>
            <w:r>
              <w:rPr>
                <w:rFonts w:hint="default"/>
                <w:highlight w:val="none"/>
                <w:lang w:val="en-US" w:eastAsia="zh-CN"/>
              </w:rPr>
              <w:t>290.76</w:t>
            </w:r>
          </w:p>
        </w:tc>
      </w:tr>
    </w:tbl>
    <w:p w14:paraId="3233AB4C">
      <w:pPr>
        <w:rPr>
          <w:rFonts w:hint="default" w:ascii="Times New Roman" w:hAnsi="Times New Roman" w:eastAsia="宋体" w:cs="Times New Roman"/>
          <w:color w:val="000000" w:themeColor="text1"/>
          <w:sz w:val="24"/>
          <w:szCs w:val="24"/>
          <w:highlight w:val="yellow"/>
          <w:lang w:val="en-US" w:eastAsia="zh-CN"/>
          <w14:textFill>
            <w14:solidFill>
              <w14:schemeClr w14:val="tx1"/>
            </w14:solidFill>
          </w14:textFill>
        </w:rPr>
        <w:sectPr>
          <w:pgSz w:w="16838" w:h="11906" w:orient="landscape"/>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pPr>
    </w:p>
    <w:p w14:paraId="3DBB2B9F">
      <w:pPr>
        <w:pStyle w:val="5"/>
        <w:bidi w:val="0"/>
        <w:rPr>
          <w:rFonts w:hint="default" w:ascii="Times New Roman" w:hAnsi="Times New Roman" w:eastAsia="宋体" w:cs="Times New Roman"/>
          <w:color w:val="000000" w:themeColor="text1"/>
          <w:sz w:val="24"/>
          <w:szCs w:val="24"/>
          <w:highlight w:val="none"/>
          <w14:textFill>
            <w14:solidFill>
              <w14:schemeClr w14:val="tx1"/>
            </w14:solidFill>
          </w14:textFill>
        </w:rPr>
      </w:pPr>
      <w:bookmarkStart w:id="414" w:name="_Toc29716"/>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环境影响评价</w:t>
      </w:r>
      <w:r>
        <w:rPr>
          <w:rFonts w:hint="default" w:ascii="Times New Roman" w:hAnsi="Times New Roman" w:eastAsia="宋体" w:cs="Times New Roman"/>
          <w:color w:val="000000" w:themeColor="text1"/>
          <w:sz w:val="24"/>
          <w:szCs w:val="24"/>
          <w:highlight w:val="none"/>
          <w14:textFill>
            <w14:solidFill>
              <w14:schemeClr w14:val="tx1"/>
            </w14:solidFill>
          </w14:textFill>
        </w:rPr>
        <w:t>结论</w:t>
      </w:r>
      <w:bookmarkEnd w:id="414"/>
    </w:p>
    <w:p w14:paraId="221FD92C">
      <w:pPr>
        <w:pStyle w:val="7"/>
        <w:bidi w:val="0"/>
        <w:rPr>
          <w:rFonts w:hint="default"/>
        </w:rPr>
      </w:pPr>
      <w:bookmarkStart w:id="415" w:name="_Toc12603"/>
      <w:bookmarkStart w:id="416" w:name="_Toc22786"/>
      <w:r>
        <w:rPr>
          <w:rFonts w:hint="default"/>
          <w:lang w:val="en-US" w:eastAsia="zh-CN"/>
        </w:rPr>
        <w:t>9</w:t>
      </w:r>
      <w:r>
        <w:rPr>
          <w:rFonts w:hint="default"/>
        </w:rPr>
        <w:t>.1建设项目情况</w:t>
      </w:r>
      <w:bookmarkEnd w:id="415"/>
      <w:bookmarkEnd w:id="416"/>
    </w:p>
    <w:p w14:paraId="6650C09A">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⑴项目名称：</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唐山市曹妃甸区垦丰家居产业园区新建污水处理厂工程</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w:t>
      </w:r>
    </w:p>
    <w:p w14:paraId="00390DC7">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⑵建设单位：</w:t>
      </w: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唐山市曹妃甸区第十一农场</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w:t>
      </w:r>
    </w:p>
    <w:p w14:paraId="743C1F0E">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⑶建设地点：</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唐山市曹妃甸区垦丰家居产业园区污水处理厂现有厂区内，厂区位于唐山市曹妃甸区垦丰家居产业园区西北侧，位于经三路西侧、纬二道北侧。厂区东侧隔经三路为</w:t>
      </w:r>
      <w:r>
        <w:rPr>
          <w:rFonts w:hint="eastAsia" w:cs="Times New Roman"/>
          <w:snapToGrid w:val="0"/>
          <w:color w:val="000000" w:themeColor="text1"/>
          <w:sz w:val="24"/>
          <w:szCs w:val="24"/>
          <w:highlight w:val="none"/>
          <w:lang w:val="en-US" w:eastAsia="zh-CN"/>
          <w14:textFill>
            <w14:solidFill>
              <w14:schemeClr w14:val="tx1"/>
            </w14:solidFill>
          </w14:textFill>
        </w:rPr>
        <w:t>金木美佳（唐山）科技有限公司</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，南侧为</w:t>
      </w:r>
      <w:r>
        <w:rPr>
          <w:rFonts w:hint="eastAsia" w:cs="Times New Roman"/>
          <w:snapToGrid w:val="0"/>
          <w:color w:val="000000" w:themeColor="text1"/>
          <w:sz w:val="24"/>
          <w:szCs w:val="24"/>
          <w:highlight w:val="none"/>
          <w:lang w:val="en-US" w:eastAsia="zh-CN"/>
          <w14:textFill>
            <w14:solidFill>
              <w14:schemeClr w14:val="tx1"/>
            </w14:solidFill>
          </w14:textFill>
        </w:rPr>
        <w:t>唐山市海鹭家具有限公司</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，西北侧为十一农场沟渠，中心坐标为：北纬39°15′59.114″，东经118°16′3.267″。地理位置见附图1。</w:t>
      </w:r>
    </w:p>
    <w:p w14:paraId="52FC2348">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⑷占地面积：</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11100</w:t>
      </w:r>
      <w:r>
        <w:rPr>
          <w:rFonts w:hint="eastAsia" w:cs="Times New Roman"/>
          <w:snapToGrid w:val="0"/>
          <w:color w:val="000000" w:themeColor="text1"/>
          <w:sz w:val="24"/>
          <w:szCs w:val="24"/>
          <w:highlight w:val="none"/>
          <w:lang w:eastAsia="zh-CN"/>
          <w14:textFill>
            <w14:solidFill>
              <w14:schemeClr w14:val="tx1"/>
            </w14:solidFill>
          </w14:textFill>
        </w:rPr>
        <w:t>m</w:t>
      </w:r>
      <w:r>
        <w:rPr>
          <w:rFonts w:hint="default" w:ascii="Times New Roman" w:hAnsi="Times New Roman" w:eastAsia="宋体" w:cs="Times New Roman"/>
          <w:snapToGrid w:val="0"/>
          <w:color w:val="000000" w:themeColor="text1"/>
          <w:sz w:val="24"/>
          <w:szCs w:val="24"/>
          <w:highlight w:val="none"/>
          <w:vertAlign w:val="superscript"/>
          <w:lang w:eastAsia="zh-CN"/>
          <w14:textFill>
            <w14:solidFill>
              <w14:schemeClr w14:val="tx1"/>
            </w14:solidFill>
          </w14:textFill>
        </w:rPr>
        <w:t>2</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w:t>
      </w:r>
    </w:p>
    <w:p w14:paraId="031599F5">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⑸建设性质：</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扩建</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w:t>
      </w:r>
    </w:p>
    <w:p w14:paraId="3600FC2D">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⑹劳动定员及工作制度：本项目</w:t>
      </w: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新增劳动定员</w:t>
      </w:r>
      <w:r>
        <w:rPr>
          <w:rFonts w:hint="eastAsia" w:cs="Times New Roman"/>
          <w:snapToGrid w:val="0"/>
          <w:color w:val="000000" w:themeColor="text1"/>
          <w:sz w:val="24"/>
          <w:szCs w:val="24"/>
          <w:highlight w:val="none"/>
          <w:lang w:val="en-US" w:eastAsia="zh-CN"/>
          <w14:textFill>
            <w14:solidFill>
              <w14:schemeClr w14:val="tx1"/>
            </w14:solidFill>
          </w14:textFill>
        </w:rPr>
        <w:t>2人，扩建完成后全厂劳动定员5人</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w:t>
      </w: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年工作</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365</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天，污水厂每日24h运行</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w:t>
      </w:r>
    </w:p>
    <w:p w14:paraId="0A725E41">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⑺</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污水处理工艺</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：扩建污水处理主体工艺采用“格栅+调节池+</w:t>
      </w:r>
      <w:r>
        <w:rPr>
          <w:rFonts w:hint="eastAsia" w:cs="Times New Roman"/>
          <w:snapToGrid w:val="0"/>
          <w:color w:val="000000" w:themeColor="text1"/>
          <w:sz w:val="24"/>
          <w:szCs w:val="24"/>
          <w:highlight w:val="none"/>
          <w:lang w:eastAsia="zh-CN"/>
          <w14:textFill>
            <w14:solidFill>
              <w14:schemeClr w14:val="tx1"/>
            </w14:solidFill>
          </w14:textFill>
        </w:rPr>
        <w:t>A</w:t>
      </w:r>
      <w:r>
        <w:rPr>
          <w:rFonts w:hint="eastAsia" w:cs="Times New Roman"/>
          <w:snapToGrid w:val="0"/>
          <w:color w:val="000000" w:themeColor="text1"/>
          <w:sz w:val="24"/>
          <w:szCs w:val="24"/>
          <w:highlight w:val="none"/>
          <w:vertAlign w:val="superscript"/>
          <w:lang w:eastAsia="zh-CN"/>
          <w14:textFill>
            <w14:solidFill>
              <w14:schemeClr w14:val="tx1"/>
            </w14:solidFill>
          </w14:textFill>
        </w:rPr>
        <w:t>2</w:t>
      </w:r>
      <w:r>
        <w:rPr>
          <w:rFonts w:hint="eastAsia" w:cs="Times New Roman"/>
          <w:snapToGrid w:val="0"/>
          <w:color w:val="000000" w:themeColor="text1"/>
          <w:sz w:val="24"/>
          <w:szCs w:val="24"/>
          <w:highlight w:val="none"/>
          <w:lang w:eastAsia="zh-CN"/>
          <w14:textFill>
            <w14:solidFill>
              <w14:schemeClr w14:val="tx1"/>
            </w14:solidFill>
          </w14:textFill>
        </w:rPr>
        <w:t>O</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一体化处理设备+混凝沉淀池+</w:t>
      </w:r>
      <w:r>
        <w:rPr>
          <w:rFonts w:hint="eastAsia" w:cs="Times New Roman"/>
          <w:snapToGrid w:val="0"/>
          <w:color w:val="000000" w:themeColor="text1"/>
          <w:sz w:val="24"/>
          <w:szCs w:val="24"/>
          <w:highlight w:val="none"/>
          <w:vertAlign w:val="baseline"/>
          <w:lang w:eastAsia="zh-CN"/>
          <w14:textFill>
            <w14:solidFill>
              <w14:schemeClr w14:val="tx1"/>
            </w14:solidFill>
          </w14:textFill>
        </w:rPr>
        <w:t>砂滤</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w:t>
      </w:r>
      <w:r>
        <w:rPr>
          <w:rFonts w:hint="eastAsia" w:cs="Times New Roman"/>
          <w:snapToGrid w:val="0"/>
          <w:color w:val="000000" w:themeColor="text1"/>
          <w:sz w:val="24"/>
          <w:szCs w:val="24"/>
          <w:highlight w:val="none"/>
          <w:lang w:eastAsia="zh-CN"/>
          <w14:textFill>
            <w14:solidFill>
              <w14:schemeClr w14:val="tx1"/>
            </w14:solidFill>
          </w14:textFill>
        </w:rPr>
        <w:t>次氯酸钠消毒</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”，污泥处理工艺采用“叠螺污泥脱水机”，消毒工艺采用“次氯酸钠”消毒工艺。废水经处理达到《城镇污水处理厂污染物排放标准》(GB18918-2002)中一级A排放标准</w:t>
      </w: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同时满足</w:t>
      </w:r>
      <w:r>
        <w:rPr>
          <w:rFonts w:hint="default"/>
          <w:highlight w:val="none"/>
          <w:lang w:val="en-US" w:eastAsia="zh-CN"/>
        </w:rPr>
        <w:t>《城市污水再生利用  工业用水水质》（GB/T19923-2024）、《城市污水再生利用 城市杂用水水质》（GB/T18920-2020）、《城市污水再生利用 绿地灌溉水质》（GB/T25499-2010）标准限值。</w:t>
      </w:r>
      <w:r>
        <w:rPr>
          <w:rFonts w:hint="eastAsia"/>
          <w:highlight w:val="none"/>
          <w:lang w:val="en-US" w:eastAsia="zh-CN"/>
        </w:rPr>
        <w:t>废水经处理</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达标后首先作为中水回用厂区生产用水，剩余污水</w:t>
      </w:r>
      <w:r>
        <w:rPr>
          <w:rFonts w:hint="eastAsia" w:cs="Times New Roman"/>
          <w:color w:val="000000" w:themeColor="text1"/>
          <w:sz w:val="24"/>
          <w:highlight w:val="none"/>
          <w:lang w:val="en-US" w:eastAsia="zh-CN"/>
          <w14:textFill>
            <w14:solidFill>
              <w14:schemeClr w14:val="tx1"/>
            </w14:solidFill>
          </w14:textFill>
        </w:rPr>
        <w:t>回用于园区绿化、道路喷洒及园区企业生产用水。</w:t>
      </w:r>
    </w:p>
    <w:p w14:paraId="6647AED1">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⑻工程投资：总投资估算为</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290.76</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万元</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全部为环保投资</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w:t>
      </w:r>
    </w:p>
    <w:p w14:paraId="743460F2">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⑼建设内容</w:t>
      </w: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及规模</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在垦丰家居产业园区新建日处理200吨的污水处理厂一座，包含新建污水处理装置及配套设施、管网，安装一体化设备等工程。详细建设内容：新建格栅及调节池、</w:t>
      </w:r>
      <w:r>
        <w:rPr>
          <w:rFonts w:hint="eastAsia" w:cs="Times New Roman"/>
          <w:snapToGrid w:val="0"/>
          <w:color w:val="000000" w:themeColor="text1"/>
          <w:sz w:val="24"/>
          <w:szCs w:val="24"/>
          <w:highlight w:val="none"/>
          <w:lang w:val="en-US" w:eastAsia="zh-CN"/>
          <w14:textFill>
            <w14:solidFill>
              <w14:schemeClr w14:val="tx1"/>
            </w14:solidFill>
          </w14:textFill>
        </w:rPr>
        <w:t>A</w:t>
      </w:r>
      <w:r>
        <w:rPr>
          <w:rFonts w:hint="eastAsia" w:cs="Times New Roman"/>
          <w:snapToGrid w:val="0"/>
          <w:color w:val="000000" w:themeColor="text1"/>
          <w:sz w:val="24"/>
          <w:szCs w:val="24"/>
          <w:highlight w:val="none"/>
          <w:vertAlign w:val="superscript"/>
          <w:lang w:val="en-US" w:eastAsia="zh-CN"/>
          <w14:textFill>
            <w14:solidFill>
              <w14:schemeClr w14:val="tx1"/>
            </w14:solidFill>
          </w14:textFill>
        </w:rPr>
        <w:t>2</w:t>
      </w:r>
      <w:r>
        <w:rPr>
          <w:rFonts w:hint="eastAsia" w:cs="Times New Roman"/>
          <w:snapToGrid w:val="0"/>
          <w:color w:val="000000" w:themeColor="text1"/>
          <w:sz w:val="24"/>
          <w:szCs w:val="24"/>
          <w:highlight w:val="none"/>
          <w:lang w:val="en-US" w:eastAsia="zh-CN"/>
          <w14:textFill>
            <w14:solidFill>
              <w14:schemeClr w14:val="tx1"/>
            </w14:solidFill>
          </w14:textFill>
        </w:rPr>
        <w:t>O</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一体化处理设备、混凝沉淀池、消毒池、污泥池、配电室、污泥脱水间、加药间、鼓风机房、电气、自控及配套管网等。扩建完成后，全厂处理规模为250</w:t>
      </w:r>
      <w:r>
        <w:rPr>
          <w:rFonts w:hint="eastAsia" w:cs="Times New Roman"/>
          <w:snapToGrid w:val="0"/>
          <w:color w:val="000000" w:themeColor="text1"/>
          <w:sz w:val="24"/>
          <w:szCs w:val="24"/>
          <w:highlight w:val="none"/>
          <w:lang w:val="en-US" w:eastAsia="zh-CN"/>
          <w14:textFill>
            <w14:solidFill>
              <w14:schemeClr w14:val="tx1"/>
            </w14:solidFill>
          </w14:textFill>
        </w:rPr>
        <w:t>m</w:t>
      </w:r>
      <w:r>
        <w:rPr>
          <w:rFonts w:hint="default" w:ascii="Times New Roman" w:hAnsi="Times New Roman" w:eastAsia="宋体" w:cs="Times New Roman"/>
          <w:snapToGrid w:val="0"/>
          <w:color w:val="000000" w:themeColor="text1"/>
          <w:sz w:val="24"/>
          <w:szCs w:val="24"/>
          <w:highlight w:val="none"/>
          <w:vertAlign w:val="superscript"/>
          <w:lang w:val="en-US" w:eastAsia="zh-CN"/>
          <w14:textFill>
            <w14:solidFill>
              <w14:schemeClr w14:val="tx1"/>
            </w14:solidFill>
          </w14:textFill>
        </w:rPr>
        <w:t>3</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/d。</w:t>
      </w:r>
    </w:p>
    <w:p w14:paraId="5855DB47">
      <w:pPr>
        <w:pageBreakBefore w:val="0"/>
        <w:widowControl w:val="0"/>
        <w:kinsoku/>
        <w:wordWrap/>
        <w:overflowPunct/>
        <w:topLinePunct w:val="0"/>
        <w:bidi w:val="0"/>
        <w:spacing w:line="480" w:lineRule="exact"/>
        <w:ind w:firstLine="480" w:firstLineChars="200"/>
        <w:textAlignment w:val="auto"/>
        <w:rPr>
          <w:rFonts w:hint="eastAsia"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snapToGrid w:val="0"/>
          <w:color w:val="000000" w:themeColor="text1"/>
          <w:sz w:val="24"/>
          <w:szCs w:val="24"/>
          <w:highlight w:val="none"/>
          <w14:textFill>
            <w14:solidFill>
              <w14:schemeClr w14:val="tx1"/>
            </w14:solidFill>
          </w14:textFill>
        </w:rPr>
        <w:t>⑽</w:t>
      </w:r>
      <w:r>
        <w:rPr>
          <w:rFonts w:hint="eastAsia"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进出水质</w:t>
      </w:r>
    </w:p>
    <w:p w14:paraId="16006456">
      <w:pPr>
        <w:pageBreakBefore w:val="0"/>
        <w:widowControl w:val="0"/>
        <w:kinsoku/>
        <w:wordWrap/>
        <w:overflowPunct/>
        <w:topLinePunct w:val="0"/>
        <w:bidi w:val="0"/>
        <w:spacing w:line="480" w:lineRule="exact"/>
        <w:ind w:firstLine="480" w:firstLineChars="200"/>
        <w:textAlignment w:val="auto"/>
        <w:rPr>
          <w:rFonts w:hint="eastAsia"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扩建前后进出水质要求不变。</w:t>
      </w:r>
    </w:p>
    <w:p w14:paraId="5DCB88E8">
      <w:pPr>
        <w:pageBreakBefore w:val="0"/>
        <w:widowControl w:val="0"/>
        <w:kinsoku/>
        <w:wordWrap/>
        <w:overflowPunct/>
        <w:topLinePunct w:val="0"/>
        <w:bidi w:val="0"/>
        <w:spacing w:line="480" w:lineRule="exact"/>
        <w:ind w:firstLine="480" w:firstLineChars="200"/>
        <w:textAlignment w:val="auto"/>
        <w:rPr>
          <w:rFonts w:hint="eastAsia"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pPr>
    </w:p>
    <w:p w14:paraId="7FCBACDE">
      <w:pPr>
        <w:widowControl/>
        <w:numPr>
          <w:ilvl w:val="0"/>
          <w:numId w:val="0"/>
        </w:numPr>
        <w:ind w:leftChars="0"/>
        <w:jc w:val="center"/>
        <w:rPr>
          <w:rFonts w:hint="eastAsia" w:ascii="Times New Roman" w:hAnsi="Times New Roman" w:eastAsia="宋体" w:cs="Times New Roman"/>
          <w:b/>
          <w:color w:val="auto"/>
          <w:highlight w:val="none"/>
          <w:lang w:val="en-US" w:eastAsia="zh-CN"/>
        </w:rPr>
      </w:pPr>
      <w:r>
        <w:rPr>
          <w:rFonts w:hint="eastAsia" w:cs="Times New Roman"/>
          <w:b/>
          <w:color w:val="auto"/>
          <w:highlight w:val="none"/>
          <w:lang w:val="en-US" w:eastAsia="zh-CN"/>
        </w:rPr>
        <w:t xml:space="preserve">表9.1-1 </w:t>
      </w:r>
      <w:r>
        <w:rPr>
          <w:rFonts w:hint="eastAsia" w:ascii="Times New Roman" w:hAnsi="Times New Roman" w:eastAsia="宋体" w:cs="Times New Roman"/>
          <w:b/>
          <w:color w:val="auto"/>
          <w:highlight w:val="none"/>
          <w:lang w:val="en-US" w:eastAsia="zh-CN"/>
        </w:rPr>
        <w:t>本项目设计进出水水质一览表</w:t>
      </w:r>
    </w:p>
    <w:tbl>
      <w:tblPr>
        <w:tblStyle w:val="48"/>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099"/>
        <w:gridCol w:w="2634"/>
        <w:gridCol w:w="1850"/>
        <w:gridCol w:w="1835"/>
        <w:gridCol w:w="1870"/>
      </w:tblGrid>
      <w:tr w14:paraId="6BEC16B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92" w:type="pct"/>
            <w:vAlign w:val="center"/>
          </w:tcPr>
          <w:p w14:paraId="16577BF0">
            <w:pPr>
              <w:pStyle w:val="58"/>
              <w:bidi w:val="0"/>
              <w:rPr>
                <w:rFonts w:hint="default"/>
                <w:highlight w:val="none"/>
                <w:lang w:val="en-US" w:eastAsia="zh-CN"/>
              </w:rPr>
            </w:pPr>
            <w:r>
              <w:rPr>
                <w:rFonts w:hint="default"/>
                <w:highlight w:val="none"/>
                <w:lang w:val="en-US" w:eastAsia="zh-CN"/>
              </w:rPr>
              <w:t>序号</w:t>
            </w:r>
          </w:p>
        </w:tc>
        <w:tc>
          <w:tcPr>
            <w:tcW w:w="1417" w:type="pct"/>
            <w:vAlign w:val="center"/>
          </w:tcPr>
          <w:p w14:paraId="4FD6690F">
            <w:pPr>
              <w:pStyle w:val="58"/>
              <w:bidi w:val="0"/>
              <w:rPr>
                <w:rFonts w:hint="default"/>
                <w:highlight w:val="none"/>
                <w:lang w:val="en-US" w:eastAsia="zh-CN"/>
              </w:rPr>
            </w:pPr>
            <w:r>
              <w:rPr>
                <w:rFonts w:hint="default"/>
                <w:highlight w:val="none"/>
                <w:lang w:val="en-US" w:eastAsia="zh-CN"/>
              </w:rPr>
              <w:t>项目</w:t>
            </w:r>
          </w:p>
        </w:tc>
        <w:tc>
          <w:tcPr>
            <w:tcW w:w="995" w:type="pct"/>
            <w:vAlign w:val="center"/>
          </w:tcPr>
          <w:p w14:paraId="45FE6B1F">
            <w:pPr>
              <w:pStyle w:val="58"/>
              <w:bidi w:val="0"/>
              <w:rPr>
                <w:rFonts w:hint="default"/>
                <w:highlight w:val="none"/>
                <w:lang w:val="en-US" w:eastAsia="zh-CN"/>
              </w:rPr>
            </w:pPr>
            <w:r>
              <w:rPr>
                <w:rFonts w:hint="default"/>
                <w:highlight w:val="none"/>
                <w:lang w:val="en-US" w:eastAsia="zh-CN"/>
              </w:rPr>
              <w:t>单位</w:t>
            </w:r>
          </w:p>
        </w:tc>
        <w:tc>
          <w:tcPr>
            <w:tcW w:w="987" w:type="pct"/>
            <w:vAlign w:val="center"/>
          </w:tcPr>
          <w:p w14:paraId="7F47147D">
            <w:pPr>
              <w:pStyle w:val="58"/>
              <w:bidi w:val="0"/>
              <w:rPr>
                <w:rFonts w:hint="default"/>
                <w:highlight w:val="none"/>
                <w:lang w:val="en-US" w:eastAsia="zh-CN"/>
              </w:rPr>
            </w:pPr>
            <w:r>
              <w:rPr>
                <w:rFonts w:hint="default"/>
                <w:highlight w:val="none"/>
                <w:lang w:val="en-US" w:eastAsia="zh-CN"/>
              </w:rPr>
              <w:t>设计进水水质</w:t>
            </w:r>
          </w:p>
        </w:tc>
        <w:tc>
          <w:tcPr>
            <w:tcW w:w="1006" w:type="pct"/>
            <w:vAlign w:val="center"/>
          </w:tcPr>
          <w:p w14:paraId="4DD45F9A">
            <w:pPr>
              <w:pStyle w:val="58"/>
              <w:bidi w:val="0"/>
              <w:rPr>
                <w:rFonts w:hint="default"/>
                <w:highlight w:val="none"/>
                <w:lang w:val="en-US" w:eastAsia="zh-CN"/>
              </w:rPr>
            </w:pPr>
            <w:r>
              <w:rPr>
                <w:rFonts w:hint="default"/>
                <w:highlight w:val="none"/>
                <w:lang w:val="en-US" w:eastAsia="zh-CN"/>
              </w:rPr>
              <w:t>污水出水水质</w:t>
            </w:r>
          </w:p>
        </w:tc>
      </w:tr>
      <w:tr w14:paraId="19E674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92" w:type="pct"/>
            <w:vAlign w:val="center"/>
          </w:tcPr>
          <w:p w14:paraId="72A5B218">
            <w:pPr>
              <w:pStyle w:val="58"/>
              <w:bidi w:val="0"/>
              <w:rPr>
                <w:rFonts w:hint="default"/>
                <w:highlight w:val="none"/>
                <w:lang w:val="en-US" w:eastAsia="zh-CN"/>
              </w:rPr>
            </w:pPr>
            <w:r>
              <w:rPr>
                <w:rFonts w:hint="default"/>
                <w:highlight w:val="none"/>
                <w:lang w:val="en-US" w:eastAsia="zh-CN"/>
              </w:rPr>
              <w:t>1</w:t>
            </w:r>
          </w:p>
        </w:tc>
        <w:tc>
          <w:tcPr>
            <w:tcW w:w="1417" w:type="pct"/>
            <w:vAlign w:val="center"/>
          </w:tcPr>
          <w:p w14:paraId="33A171E3">
            <w:pPr>
              <w:pStyle w:val="58"/>
              <w:bidi w:val="0"/>
              <w:rPr>
                <w:rFonts w:hint="default"/>
                <w:highlight w:val="none"/>
                <w:lang w:val="en-US" w:eastAsia="zh-CN"/>
              </w:rPr>
            </w:pPr>
            <w:r>
              <w:rPr>
                <w:rFonts w:hint="default"/>
                <w:highlight w:val="none"/>
                <w:lang w:val="en-US" w:eastAsia="zh-CN"/>
              </w:rPr>
              <w:t>COD</w:t>
            </w:r>
            <w:r>
              <w:rPr>
                <w:rFonts w:hint="default"/>
                <w:highlight w:val="none"/>
                <w:vertAlign w:val="subscript"/>
                <w:lang w:val="en-US" w:eastAsia="zh-CN"/>
              </w:rPr>
              <w:t>Cr</w:t>
            </w:r>
          </w:p>
        </w:tc>
        <w:tc>
          <w:tcPr>
            <w:tcW w:w="995" w:type="pct"/>
            <w:vAlign w:val="center"/>
          </w:tcPr>
          <w:p w14:paraId="67712B58">
            <w:pPr>
              <w:pStyle w:val="58"/>
              <w:bidi w:val="0"/>
              <w:rPr>
                <w:rFonts w:hint="default"/>
                <w:highlight w:val="none"/>
                <w:lang w:val="en-US" w:eastAsia="zh-CN"/>
              </w:rPr>
            </w:pPr>
            <w:r>
              <w:rPr>
                <w:rFonts w:hint="default"/>
                <w:highlight w:val="none"/>
                <w:lang w:val="en-US" w:eastAsia="zh-CN"/>
              </w:rPr>
              <w:t>mg/L</w:t>
            </w:r>
          </w:p>
        </w:tc>
        <w:tc>
          <w:tcPr>
            <w:tcW w:w="987" w:type="pct"/>
            <w:vAlign w:val="center"/>
          </w:tcPr>
          <w:p w14:paraId="17EA5FB3">
            <w:pPr>
              <w:pStyle w:val="58"/>
              <w:bidi w:val="0"/>
              <w:rPr>
                <w:rFonts w:hint="default"/>
                <w:highlight w:val="none"/>
                <w:lang w:val="en-US" w:eastAsia="zh-CN"/>
              </w:rPr>
            </w:pPr>
            <w:r>
              <w:rPr>
                <w:rFonts w:hint="default"/>
                <w:highlight w:val="none"/>
                <w:lang w:val="en-US" w:eastAsia="zh-CN"/>
              </w:rPr>
              <w:t>350</w:t>
            </w:r>
          </w:p>
        </w:tc>
        <w:tc>
          <w:tcPr>
            <w:tcW w:w="1006" w:type="pct"/>
            <w:vAlign w:val="center"/>
          </w:tcPr>
          <w:p w14:paraId="51B47B31">
            <w:pPr>
              <w:pStyle w:val="58"/>
              <w:bidi w:val="0"/>
              <w:rPr>
                <w:rFonts w:hint="default"/>
                <w:highlight w:val="none"/>
                <w:lang w:val="en-US" w:eastAsia="zh-CN"/>
              </w:rPr>
            </w:pPr>
            <w:r>
              <w:rPr>
                <w:rFonts w:hint="default"/>
                <w:highlight w:val="none"/>
                <w:lang w:val="en-US" w:eastAsia="zh-CN"/>
              </w:rPr>
              <w:t>50</w:t>
            </w:r>
          </w:p>
        </w:tc>
      </w:tr>
      <w:tr w14:paraId="67F7DD2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92" w:type="pct"/>
            <w:vAlign w:val="center"/>
          </w:tcPr>
          <w:p w14:paraId="60FA787C">
            <w:pPr>
              <w:pStyle w:val="58"/>
              <w:bidi w:val="0"/>
              <w:rPr>
                <w:rFonts w:hint="default"/>
                <w:highlight w:val="none"/>
                <w:lang w:val="en-US" w:eastAsia="zh-CN"/>
              </w:rPr>
            </w:pPr>
            <w:r>
              <w:rPr>
                <w:rFonts w:hint="default"/>
                <w:highlight w:val="none"/>
                <w:lang w:val="en-US" w:eastAsia="zh-CN"/>
              </w:rPr>
              <w:t>2</w:t>
            </w:r>
          </w:p>
        </w:tc>
        <w:tc>
          <w:tcPr>
            <w:tcW w:w="1417" w:type="pct"/>
            <w:vAlign w:val="center"/>
          </w:tcPr>
          <w:p w14:paraId="0C52C805">
            <w:pPr>
              <w:pStyle w:val="58"/>
              <w:bidi w:val="0"/>
              <w:rPr>
                <w:rFonts w:hint="default"/>
                <w:highlight w:val="none"/>
                <w:lang w:val="en-US" w:eastAsia="zh-CN"/>
              </w:rPr>
            </w:pPr>
            <w:r>
              <w:rPr>
                <w:rFonts w:hint="eastAsia"/>
                <w:highlight w:val="none"/>
                <w:lang w:val="en-US" w:eastAsia="zh-CN"/>
              </w:rPr>
              <w:t>BOD</w:t>
            </w:r>
            <w:r>
              <w:rPr>
                <w:rFonts w:hint="eastAsia"/>
                <w:highlight w:val="none"/>
                <w:vertAlign w:val="subscript"/>
                <w:lang w:val="en-US" w:eastAsia="zh-CN"/>
              </w:rPr>
              <w:t>5</w:t>
            </w:r>
          </w:p>
        </w:tc>
        <w:tc>
          <w:tcPr>
            <w:tcW w:w="995" w:type="pct"/>
            <w:vAlign w:val="center"/>
          </w:tcPr>
          <w:p w14:paraId="2B6F8E6E">
            <w:pPr>
              <w:pStyle w:val="58"/>
              <w:bidi w:val="0"/>
              <w:rPr>
                <w:rFonts w:hint="default"/>
                <w:highlight w:val="none"/>
                <w:lang w:val="en-US" w:eastAsia="zh-CN"/>
              </w:rPr>
            </w:pPr>
            <w:r>
              <w:rPr>
                <w:rFonts w:hint="default"/>
                <w:highlight w:val="none"/>
                <w:lang w:val="en-US" w:eastAsia="zh-CN"/>
              </w:rPr>
              <w:t>mg/L</w:t>
            </w:r>
          </w:p>
        </w:tc>
        <w:tc>
          <w:tcPr>
            <w:tcW w:w="987" w:type="pct"/>
            <w:vAlign w:val="center"/>
          </w:tcPr>
          <w:p w14:paraId="2225AB68">
            <w:pPr>
              <w:pStyle w:val="58"/>
              <w:bidi w:val="0"/>
              <w:rPr>
                <w:rFonts w:hint="default"/>
                <w:highlight w:val="none"/>
                <w:lang w:val="en-US" w:eastAsia="zh-CN"/>
              </w:rPr>
            </w:pPr>
            <w:r>
              <w:rPr>
                <w:rFonts w:hint="default"/>
                <w:highlight w:val="none"/>
                <w:lang w:val="en-US" w:eastAsia="zh-CN"/>
              </w:rPr>
              <w:t>150</w:t>
            </w:r>
          </w:p>
        </w:tc>
        <w:tc>
          <w:tcPr>
            <w:tcW w:w="1006" w:type="pct"/>
            <w:vAlign w:val="center"/>
          </w:tcPr>
          <w:p w14:paraId="7C720D5C">
            <w:pPr>
              <w:pStyle w:val="58"/>
              <w:bidi w:val="0"/>
              <w:rPr>
                <w:rFonts w:hint="default"/>
                <w:highlight w:val="none"/>
                <w:lang w:val="en-US" w:eastAsia="zh-CN"/>
              </w:rPr>
            </w:pPr>
            <w:r>
              <w:rPr>
                <w:rFonts w:hint="default"/>
                <w:highlight w:val="none"/>
                <w:lang w:val="en-US" w:eastAsia="zh-CN"/>
              </w:rPr>
              <w:t>10</w:t>
            </w:r>
          </w:p>
        </w:tc>
      </w:tr>
      <w:tr w14:paraId="2112A49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92" w:type="pct"/>
            <w:vAlign w:val="center"/>
          </w:tcPr>
          <w:p w14:paraId="6CABBA9E">
            <w:pPr>
              <w:pStyle w:val="58"/>
              <w:bidi w:val="0"/>
              <w:rPr>
                <w:rFonts w:hint="default"/>
                <w:highlight w:val="none"/>
                <w:lang w:val="en-US" w:eastAsia="zh-CN"/>
              </w:rPr>
            </w:pPr>
            <w:r>
              <w:rPr>
                <w:rFonts w:hint="default"/>
                <w:highlight w:val="none"/>
                <w:lang w:val="en-US" w:eastAsia="zh-CN"/>
              </w:rPr>
              <w:t>3</w:t>
            </w:r>
          </w:p>
        </w:tc>
        <w:tc>
          <w:tcPr>
            <w:tcW w:w="1417" w:type="pct"/>
            <w:vAlign w:val="center"/>
          </w:tcPr>
          <w:p w14:paraId="4B5A053C">
            <w:pPr>
              <w:pStyle w:val="58"/>
              <w:bidi w:val="0"/>
              <w:rPr>
                <w:rFonts w:hint="default"/>
                <w:highlight w:val="none"/>
                <w:lang w:val="en-US" w:eastAsia="zh-CN"/>
              </w:rPr>
            </w:pPr>
            <w:r>
              <w:rPr>
                <w:rFonts w:hint="default"/>
                <w:highlight w:val="none"/>
                <w:lang w:val="en-US" w:eastAsia="zh-CN"/>
              </w:rPr>
              <w:t>SS</w:t>
            </w:r>
          </w:p>
        </w:tc>
        <w:tc>
          <w:tcPr>
            <w:tcW w:w="995" w:type="pct"/>
            <w:vAlign w:val="center"/>
          </w:tcPr>
          <w:p w14:paraId="4134B0B7">
            <w:pPr>
              <w:pStyle w:val="58"/>
              <w:bidi w:val="0"/>
              <w:rPr>
                <w:rFonts w:hint="default"/>
                <w:highlight w:val="none"/>
                <w:lang w:val="en-US" w:eastAsia="zh-CN"/>
              </w:rPr>
            </w:pPr>
            <w:r>
              <w:rPr>
                <w:rFonts w:hint="default"/>
                <w:highlight w:val="none"/>
                <w:lang w:val="en-US" w:eastAsia="zh-CN"/>
              </w:rPr>
              <w:t>mg/L</w:t>
            </w:r>
          </w:p>
        </w:tc>
        <w:tc>
          <w:tcPr>
            <w:tcW w:w="987" w:type="pct"/>
            <w:vAlign w:val="center"/>
          </w:tcPr>
          <w:p w14:paraId="38CCEBC5">
            <w:pPr>
              <w:pStyle w:val="58"/>
              <w:bidi w:val="0"/>
              <w:rPr>
                <w:rFonts w:hint="default"/>
                <w:highlight w:val="none"/>
                <w:lang w:val="en-US" w:eastAsia="zh-CN"/>
              </w:rPr>
            </w:pPr>
            <w:r>
              <w:rPr>
                <w:rFonts w:hint="default"/>
                <w:highlight w:val="none"/>
                <w:lang w:val="en-US" w:eastAsia="zh-CN"/>
              </w:rPr>
              <w:t>250</w:t>
            </w:r>
          </w:p>
        </w:tc>
        <w:tc>
          <w:tcPr>
            <w:tcW w:w="1006" w:type="pct"/>
            <w:vAlign w:val="center"/>
          </w:tcPr>
          <w:p w14:paraId="0075F45D">
            <w:pPr>
              <w:pStyle w:val="58"/>
              <w:bidi w:val="0"/>
              <w:rPr>
                <w:rFonts w:hint="default"/>
                <w:highlight w:val="none"/>
                <w:lang w:val="en-US" w:eastAsia="zh-CN"/>
              </w:rPr>
            </w:pPr>
            <w:r>
              <w:rPr>
                <w:rFonts w:hint="default"/>
                <w:highlight w:val="none"/>
                <w:lang w:val="en-US" w:eastAsia="zh-CN"/>
              </w:rPr>
              <w:t>10</w:t>
            </w:r>
          </w:p>
        </w:tc>
      </w:tr>
      <w:tr w14:paraId="368B190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92" w:type="pct"/>
            <w:vAlign w:val="center"/>
          </w:tcPr>
          <w:p w14:paraId="001121E4">
            <w:pPr>
              <w:pStyle w:val="58"/>
              <w:bidi w:val="0"/>
              <w:rPr>
                <w:rFonts w:hint="default"/>
                <w:highlight w:val="none"/>
                <w:lang w:val="en-US" w:eastAsia="zh-CN"/>
              </w:rPr>
            </w:pPr>
            <w:r>
              <w:rPr>
                <w:rFonts w:hint="default"/>
                <w:highlight w:val="none"/>
                <w:lang w:val="en-US" w:eastAsia="zh-CN"/>
              </w:rPr>
              <w:t>4</w:t>
            </w:r>
          </w:p>
        </w:tc>
        <w:tc>
          <w:tcPr>
            <w:tcW w:w="1417" w:type="pct"/>
            <w:vAlign w:val="center"/>
          </w:tcPr>
          <w:p w14:paraId="1ADC04FF">
            <w:pPr>
              <w:pStyle w:val="58"/>
              <w:bidi w:val="0"/>
              <w:rPr>
                <w:rFonts w:hint="default"/>
                <w:highlight w:val="none"/>
                <w:lang w:val="en-US" w:eastAsia="zh-CN"/>
              </w:rPr>
            </w:pPr>
            <w:r>
              <w:rPr>
                <w:rFonts w:hint="default"/>
                <w:highlight w:val="none"/>
                <w:lang w:val="en-US" w:eastAsia="zh-CN"/>
              </w:rPr>
              <w:t>总氮（TN）</w:t>
            </w:r>
          </w:p>
        </w:tc>
        <w:tc>
          <w:tcPr>
            <w:tcW w:w="995" w:type="pct"/>
            <w:vAlign w:val="center"/>
          </w:tcPr>
          <w:p w14:paraId="59DA0DFA">
            <w:pPr>
              <w:pStyle w:val="58"/>
              <w:bidi w:val="0"/>
              <w:rPr>
                <w:rFonts w:hint="default"/>
                <w:highlight w:val="none"/>
                <w:lang w:val="en-US" w:eastAsia="zh-CN"/>
              </w:rPr>
            </w:pPr>
            <w:r>
              <w:rPr>
                <w:rFonts w:hint="default"/>
                <w:highlight w:val="none"/>
                <w:lang w:val="en-US" w:eastAsia="zh-CN"/>
              </w:rPr>
              <w:t>mg/L</w:t>
            </w:r>
          </w:p>
        </w:tc>
        <w:tc>
          <w:tcPr>
            <w:tcW w:w="987" w:type="pct"/>
            <w:vAlign w:val="center"/>
          </w:tcPr>
          <w:p w14:paraId="280F7925">
            <w:pPr>
              <w:pStyle w:val="58"/>
              <w:bidi w:val="0"/>
              <w:rPr>
                <w:rFonts w:hint="default"/>
                <w:highlight w:val="none"/>
                <w:lang w:val="en-US" w:eastAsia="zh-CN"/>
              </w:rPr>
            </w:pPr>
            <w:r>
              <w:rPr>
                <w:rFonts w:hint="default"/>
                <w:highlight w:val="none"/>
                <w:lang w:val="en-US" w:eastAsia="zh-CN"/>
              </w:rPr>
              <w:t>30</w:t>
            </w:r>
          </w:p>
        </w:tc>
        <w:tc>
          <w:tcPr>
            <w:tcW w:w="1006" w:type="pct"/>
            <w:vAlign w:val="center"/>
          </w:tcPr>
          <w:p w14:paraId="51C8A131">
            <w:pPr>
              <w:pStyle w:val="58"/>
              <w:bidi w:val="0"/>
              <w:rPr>
                <w:rFonts w:hint="default"/>
                <w:highlight w:val="none"/>
                <w:lang w:val="en-US" w:eastAsia="zh-CN"/>
              </w:rPr>
            </w:pPr>
            <w:r>
              <w:rPr>
                <w:rFonts w:hint="default"/>
                <w:highlight w:val="none"/>
                <w:lang w:val="en-US" w:eastAsia="zh-CN"/>
              </w:rPr>
              <w:t>15</w:t>
            </w:r>
          </w:p>
        </w:tc>
      </w:tr>
      <w:tr w14:paraId="1F3385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92" w:type="pct"/>
            <w:vAlign w:val="center"/>
          </w:tcPr>
          <w:p w14:paraId="3017743A">
            <w:pPr>
              <w:pStyle w:val="58"/>
              <w:bidi w:val="0"/>
              <w:rPr>
                <w:rFonts w:hint="default"/>
                <w:highlight w:val="none"/>
                <w:lang w:val="en-US" w:eastAsia="zh-CN"/>
              </w:rPr>
            </w:pPr>
            <w:r>
              <w:rPr>
                <w:rFonts w:hint="default"/>
                <w:highlight w:val="none"/>
                <w:lang w:val="en-US" w:eastAsia="zh-CN"/>
              </w:rPr>
              <w:t>5</w:t>
            </w:r>
          </w:p>
        </w:tc>
        <w:tc>
          <w:tcPr>
            <w:tcW w:w="1417" w:type="pct"/>
            <w:vAlign w:val="center"/>
          </w:tcPr>
          <w:p w14:paraId="4FBB49EF">
            <w:pPr>
              <w:pStyle w:val="58"/>
              <w:bidi w:val="0"/>
              <w:rPr>
                <w:rFonts w:hint="default"/>
                <w:highlight w:val="none"/>
                <w:lang w:val="en-US" w:eastAsia="zh-CN"/>
              </w:rPr>
            </w:pPr>
            <w:r>
              <w:rPr>
                <w:rFonts w:hint="default"/>
                <w:highlight w:val="none"/>
                <w:lang w:val="en-US" w:eastAsia="zh-CN"/>
              </w:rPr>
              <w:t>氨氮（</w:t>
            </w:r>
            <w:r>
              <w:rPr>
                <w:rFonts w:hint="eastAsia"/>
                <w:highlight w:val="none"/>
                <w:lang w:val="en-US" w:eastAsia="zh-CN"/>
              </w:rPr>
              <w:t>NH</w:t>
            </w:r>
            <w:r>
              <w:rPr>
                <w:rFonts w:hint="eastAsia"/>
                <w:highlight w:val="none"/>
                <w:vertAlign w:val="subscript"/>
                <w:lang w:val="en-US" w:eastAsia="zh-CN"/>
              </w:rPr>
              <w:t>3</w:t>
            </w:r>
            <w:r>
              <w:rPr>
                <w:rFonts w:hint="default"/>
                <w:highlight w:val="none"/>
                <w:lang w:val="en-US" w:eastAsia="zh-CN"/>
              </w:rPr>
              <w:t>-N）</w:t>
            </w:r>
          </w:p>
        </w:tc>
        <w:tc>
          <w:tcPr>
            <w:tcW w:w="995" w:type="pct"/>
            <w:vAlign w:val="center"/>
          </w:tcPr>
          <w:p w14:paraId="53EB5DC3">
            <w:pPr>
              <w:pStyle w:val="58"/>
              <w:bidi w:val="0"/>
              <w:rPr>
                <w:rFonts w:hint="default"/>
                <w:highlight w:val="none"/>
                <w:lang w:val="en-US" w:eastAsia="zh-CN"/>
              </w:rPr>
            </w:pPr>
            <w:r>
              <w:rPr>
                <w:rFonts w:hint="default"/>
                <w:highlight w:val="none"/>
                <w:lang w:val="en-US" w:eastAsia="zh-CN"/>
              </w:rPr>
              <w:t>mg/L</w:t>
            </w:r>
          </w:p>
        </w:tc>
        <w:tc>
          <w:tcPr>
            <w:tcW w:w="987" w:type="pct"/>
            <w:vAlign w:val="center"/>
          </w:tcPr>
          <w:p w14:paraId="5F0C1BB4">
            <w:pPr>
              <w:pStyle w:val="58"/>
              <w:bidi w:val="0"/>
              <w:rPr>
                <w:rFonts w:hint="default"/>
                <w:highlight w:val="none"/>
                <w:lang w:val="en-US" w:eastAsia="zh-CN"/>
              </w:rPr>
            </w:pPr>
            <w:r>
              <w:rPr>
                <w:rFonts w:hint="default"/>
                <w:highlight w:val="none"/>
                <w:lang w:val="en-US" w:eastAsia="zh-CN"/>
              </w:rPr>
              <w:t>45</w:t>
            </w:r>
          </w:p>
        </w:tc>
        <w:tc>
          <w:tcPr>
            <w:tcW w:w="1006" w:type="pct"/>
            <w:vAlign w:val="center"/>
          </w:tcPr>
          <w:p w14:paraId="308EECA6">
            <w:pPr>
              <w:pStyle w:val="58"/>
              <w:bidi w:val="0"/>
              <w:rPr>
                <w:rFonts w:hint="default"/>
                <w:highlight w:val="none"/>
                <w:lang w:val="en-US" w:eastAsia="zh-CN"/>
              </w:rPr>
            </w:pPr>
            <w:r>
              <w:rPr>
                <w:rFonts w:hint="default"/>
                <w:highlight w:val="none"/>
                <w:lang w:val="en-US" w:eastAsia="zh-CN"/>
              </w:rPr>
              <w:t>5（8）</w:t>
            </w:r>
          </w:p>
        </w:tc>
      </w:tr>
      <w:tr w14:paraId="730F43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92" w:type="pct"/>
            <w:vAlign w:val="center"/>
          </w:tcPr>
          <w:p w14:paraId="5B64C13F">
            <w:pPr>
              <w:pStyle w:val="58"/>
              <w:bidi w:val="0"/>
              <w:rPr>
                <w:rFonts w:hint="default"/>
                <w:highlight w:val="none"/>
                <w:lang w:val="en-US" w:eastAsia="zh-CN"/>
              </w:rPr>
            </w:pPr>
            <w:r>
              <w:rPr>
                <w:rFonts w:hint="default"/>
                <w:highlight w:val="none"/>
                <w:lang w:val="en-US" w:eastAsia="zh-CN"/>
              </w:rPr>
              <w:t>6</w:t>
            </w:r>
          </w:p>
        </w:tc>
        <w:tc>
          <w:tcPr>
            <w:tcW w:w="1417" w:type="pct"/>
            <w:vAlign w:val="center"/>
          </w:tcPr>
          <w:p w14:paraId="0FFA5122">
            <w:pPr>
              <w:pStyle w:val="58"/>
              <w:bidi w:val="0"/>
              <w:rPr>
                <w:rFonts w:hint="default"/>
                <w:highlight w:val="none"/>
                <w:lang w:val="en-US" w:eastAsia="zh-CN"/>
              </w:rPr>
            </w:pPr>
            <w:r>
              <w:rPr>
                <w:rFonts w:hint="default"/>
                <w:highlight w:val="none"/>
                <w:lang w:val="en-US" w:eastAsia="zh-CN"/>
              </w:rPr>
              <w:t>总磷（TP）</w:t>
            </w:r>
          </w:p>
        </w:tc>
        <w:tc>
          <w:tcPr>
            <w:tcW w:w="995" w:type="pct"/>
            <w:vAlign w:val="center"/>
          </w:tcPr>
          <w:p w14:paraId="19D99DD1">
            <w:pPr>
              <w:pStyle w:val="58"/>
              <w:bidi w:val="0"/>
              <w:rPr>
                <w:rFonts w:hint="default"/>
                <w:highlight w:val="none"/>
                <w:lang w:val="en-US" w:eastAsia="zh-CN"/>
              </w:rPr>
            </w:pPr>
            <w:r>
              <w:rPr>
                <w:rFonts w:hint="default"/>
                <w:highlight w:val="none"/>
                <w:lang w:val="en-US" w:eastAsia="zh-CN"/>
              </w:rPr>
              <w:t>mg/L</w:t>
            </w:r>
          </w:p>
        </w:tc>
        <w:tc>
          <w:tcPr>
            <w:tcW w:w="987" w:type="pct"/>
            <w:vAlign w:val="center"/>
          </w:tcPr>
          <w:p w14:paraId="12A11C6D">
            <w:pPr>
              <w:pStyle w:val="58"/>
              <w:bidi w:val="0"/>
              <w:rPr>
                <w:rFonts w:hint="default"/>
                <w:highlight w:val="none"/>
                <w:lang w:val="en-US" w:eastAsia="zh-CN"/>
              </w:rPr>
            </w:pPr>
            <w:r>
              <w:rPr>
                <w:rFonts w:hint="default"/>
                <w:highlight w:val="none"/>
                <w:lang w:val="en-US" w:eastAsia="zh-CN"/>
              </w:rPr>
              <w:t>8</w:t>
            </w:r>
          </w:p>
        </w:tc>
        <w:tc>
          <w:tcPr>
            <w:tcW w:w="1006" w:type="pct"/>
            <w:vAlign w:val="center"/>
          </w:tcPr>
          <w:p w14:paraId="3AE58FAD">
            <w:pPr>
              <w:pStyle w:val="58"/>
              <w:bidi w:val="0"/>
              <w:rPr>
                <w:rFonts w:hint="default"/>
                <w:highlight w:val="none"/>
                <w:lang w:val="en-US" w:eastAsia="zh-CN"/>
              </w:rPr>
            </w:pPr>
            <w:r>
              <w:rPr>
                <w:rFonts w:hint="default"/>
                <w:highlight w:val="none"/>
                <w:lang w:val="en-US" w:eastAsia="zh-CN"/>
              </w:rPr>
              <w:t>0.5</w:t>
            </w:r>
          </w:p>
        </w:tc>
      </w:tr>
      <w:tr w14:paraId="0F0140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92" w:type="pct"/>
            <w:vAlign w:val="center"/>
          </w:tcPr>
          <w:p w14:paraId="0676203F">
            <w:pPr>
              <w:pStyle w:val="58"/>
              <w:bidi w:val="0"/>
              <w:rPr>
                <w:rFonts w:hint="default"/>
                <w:highlight w:val="none"/>
                <w:lang w:val="en-US" w:eastAsia="zh-CN"/>
              </w:rPr>
            </w:pPr>
            <w:r>
              <w:rPr>
                <w:rFonts w:hint="default"/>
                <w:highlight w:val="none"/>
                <w:lang w:val="en-US" w:eastAsia="zh-CN"/>
              </w:rPr>
              <w:t>7</w:t>
            </w:r>
          </w:p>
        </w:tc>
        <w:tc>
          <w:tcPr>
            <w:tcW w:w="1417" w:type="pct"/>
            <w:vAlign w:val="center"/>
          </w:tcPr>
          <w:p w14:paraId="72E0EBCC">
            <w:pPr>
              <w:pStyle w:val="58"/>
              <w:bidi w:val="0"/>
              <w:rPr>
                <w:rFonts w:hint="default"/>
                <w:highlight w:val="none"/>
                <w:lang w:val="en-US" w:eastAsia="zh-CN"/>
              </w:rPr>
            </w:pPr>
            <w:r>
              <w:rPr>
                <w:rFonts w:hint="default"/>
                <w:highlight w:val="none"/>
                <w:lang w:val="en-US" w:eastAsia="zh-CN"/>
              </w:rPr>
              <w:t>粪大肠菌群数</w:t>
            </w:r>
          </w:p>
        </w:tc>
        <w:tc>
          <w:tcPr>
            <w:tcW w:w="995" w:type="pct"/>
            <w:vAlign w:val="center"/>
          </w:tcPr>
          <w:p w14:paraId="7505E8A2">
            <w:pPr>
              <w:pStyle w:val="58"/>
              <w:bidi w:val="0"/>
              <w:rPr>
                <w:rFonts w:hint="default"/>
                <w:highlight w:val="none"/>
                <w:lang w:val="en-US" w:eastAsia="zh-CN"/>
              </w:rPr>
            </w:pPr>
            <w:r>
              <w:rPr>
                <w:rFonts w:hint="default"/>
                <w:highlight w:val="none"/>
                <w:lang w:val="en-US" w:eastAsia="zh-CN"/>
              </w:rPr>
              <w:t>个/L</w:t>
            </w:r>
          </w:p>
        </w:tc>
        <w:tc>
          <w:tcPr>
            <w:tcW w:w="987" w:type="pct"/>
            <w:vAlign w:val="center"/>
          </w:tcPr>
          <w:p w14:paraId="72C247E1">
            <w:pPr>
              <w:pStyle w:val="58"/>
              <w:bidi w:val="0"/>
              <w:rPr>
                <w:rFonts w:hint="default"/>
                <w:highlight w:val="none"/>
                <w:lang w:val="en-US" w:eastAsia="zh-CN"/>
              </w:rPr>
            </w:pPr>
            <w:r>
              <w:rPr>
                <w:rFonts w:hint="default"/>
                <w:highlight w:val="none"/>
                <w:lang w:val="en-US" w:eastAsia="zh-CN"/>
              </w:rPr>
              <w:t>10</w:t>
            </w:r>
            <w:r>
              <w:rPr>
                <w:rFonts w:hint="default"/>
                <w:highlight w:val="none"/>
                <w:vertAlign w:val="superscript"/>
                <w:lang w:val="en-US" w:eastAsia="zh-CN"/>
              </w:rPr>
              <w:t>6</w:t>
            </w:r>
          </w:p>
        </w:tc>
        <w:tc>
          <w:tcPr>
            <w:tcW w:w="1006" w:type="pct"/>
            <w:vAlign w:val="center"/>
          </w:tcPr>
          <w:p w14:paraId="5CFD22C4">
            <w:pPr>
              <w:pStyle w:val="58"/>
              <w:bidi w:val="0"/>
              <w:rPr>
                <w:rFonts w:hint="default"/>
                <w:highlight w:val="none"/>
                <w:lang w:val="en-US" w:eastAsia="zh-CN"/>
              </w:rPr>
            </w:pPr>
            <w:r>
              <w:rPr>
                <w:rFonts w:hint="default"/>
                <w:highlight w:val="none"/>
                <w:lang w:val="en-US" w:eastAsia="zh-CN"/>
              </w:rPr>
              <w:t>≤10</w:t>
            </w:r>
            <w:r>
              <w:rPr>
                <w:rFonts w:hint="default"/>
                <w:highlight w:val="none"/>
                <w:vertAlign w:val="superscript"/>
                <w:lang w:val="en-US" w:eastAsia="zh-CN"/>
              </w:rPr>
              <w:t>3</w:t>
            </w:r>
          </w:p>
        </w:tc>
      </w:tr>
    </w:tbl>
    <w:p w14:paraId="5C93AA9E">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⑾</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服务范围：唐山市曹妃甸区垦丰家居产业园区所有企业。</w:t>
      </w:r>
    </w:p>
    <w:p w14:paraId="1F117BCF">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⑿</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建设周期：建设周期为2024年</w:t>
      </w:r>
      <w:r>
        <w:rPr>
          <w:rFonts w:hint="eastAsia"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11</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月-202</w:t>
      </w:r>
      <w:r>
        <w:rPr>
          <w:rFonts w:hint="eastAsia"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5</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年2月</w:t>
      </w:r>
      <w:r>
        <w:rPr>
          <w:rFonts w:hint="eastAsia"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w:t>
      </w:r>
    </w:p>
    <w:p w14:paraId="7208AE18">
      <w:pPr>
        <w:pStyle w:val="7"/>
        <w:bidi w:val="0"/>
        <w:rPr>
          <w:rFonts w:hint="default"/>
        </w:rPr>
      </w:pPr>
      <w:bookmarkStart w:id="417" w:name="_Toc5532"/>
      <w:r>
        <w:rPr>
          <w:rFonts w:hint="default"/>
          <w:lang w:val="en-US" w:eastAsia="zh-CN"/>
        </w:rPr>
        <w:t>9</w:t>
      </w:r>
      <w:r>
        <w:rPr>
          <w:rFonts w:hint="default"/>
        </w:rPr>
        <w:t>.2环境质量现状</w:t>
      </w:r>
      <w:bookmarkEnd w:id="417"/>
    </w:p>
    <w:p w14:paraId="33A1B542">
      <w:pPr>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bCs/>
          <w:color w:val="000000" w:themeColor="text1"/>
          <w:sz w:val="24"/>
          <w:szCs w:val="24"/>
          <w:highlight w:val="none"/>
          <w14:textFill>
            <w14:solidFill>
              <w14:schemeClr w14:val="tx1"/>
            </w14:solidFill>
          </w14:textFill>
        </w:rPr>
        <w:t>(1)大气环境质量</w:t>
      </w:r>
      <w:r>
        <w:rPr>
          <w:rFonts w:hint="default" w:ascii="Times New Roman" w:hAnsi="Times New Roman" w:eastAsia="宋体" w:cs="Times New Roman"/>
          <w:color w:val="000000" w:themeColor="text1"/>
          <w:sz w:val="24"/>
          <w:szCs w:val="24"/>
          <w:highlight w:val="none"/>
          <w14:textFill>
            <w14:solidFill>
              <w14:schemeClr w14:val="tx1"/>
            </w14:solidFill>
          </w14:textFill>
        </w:rPr>
        <w:t>现状评</w:t>
      </w:r>
      <w:r>
        <w:rPr>
          <w:rFonts w:hint="default" w:ascii="Times New Roman" w:hAnsi="Times New Roman" w:eastAsia="宋体" w:cs="Times New Roman"/>
          <w:color w:val="000000" w:themeColor="text1"/>
          <w:sz w:val="24"/>
          <w:highlight w:val="none"/>
          <w14:textFill>
            <w14:solidFill>
              <w14:schemeClr w14:val="tx1"/>
            </w14:solidFill>
          </w14:textFill>
        </w:rPr>
        <w:t>价</w:t>
      </w:r>
    </w:p>
    <w:p w14:paraId="1A9871F6">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pPr>
      <w:bookmarkStart w:id="418" w:name="_Toc23481"/>
      <w:bookmarkStart w:id="419" w:name="_Toc499462857"/>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本项目位于唐山市曹妃甸区垦丰家居产业园区，本项目所在区域环境空气质量达标判断采用唐山市生态环境局发布的2023年唐山市环境状况公报；</w:t>
      </w:r>
      <w:r>
        <w:rPr>
          <w:rFonts w:hint="eastAsia" w:cs="Times New Roman"/>
          <w:snapToGrid w:val="0"/>
          <w:color w:val="000000" w:themeColor="text1"/>
          <w:sz w:val="24"/>
          <w:szCs w:val="24"/>
          <w:highlight w:val="none"/>
          <w:lang w:val="en-US" w:eastAsia="zh-CN"/>
          <w14:textFill>
            <w14:solidFill>
              <w14:schemeClr w14:val="tx1"/>
            </w14:solidFill>
          </w14:textFill>
        </w:rPr>
        <w:t>NH</w:t>
      </w:r>
      <w:r>
        <w:rPr>
          <w:rFonts w:hint="eastAsia" w:cs="Times New Roman"/>
          <w:snapToGrid w:val="0"/>
          <w:color w:val="000000" w:themeColor="text1"/>
          <w:sz w:val="24"/>
          <w:szCs w:val="24"/>
          <w:highlight w:val="none"/>
          <w:vertAlign w:val="subscript"/>
          <w:lang w:val="en-US" w:eastAsia="zh-CN"/>
          <w14:textFill>
            <w14:solidFill>
              <w14:schemeClr w14:val="tx1"/>
            </w14:solidFill>
          </w14:textFill>
        </w:rPr>
        <w:t>3</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w:t>
      </w:r>
      <w:r>
        <w:rPr>
          <w:rFonts w:hint="eastAsia" w:cs="Times New Roman"/>
          <w:snapToGrid w:val="0"/>
          <w:color w:val="000000" w:themeColor="text1"/>
          <w:sz w:val="24"/>
          <w:szCs w:val="24"/>
          <w:highlight w:val="none"/>
          <w:lang w:val="en-US" w:eastAsia="zh-CN"/>
          <w14:textFill>
            <w14:solidFill>
              <w14:schemeClr w14:val="tx1"/>
            </w14:solidFill>
          </w14:textFill>
        </w:rPr>
        <w:t>H</w:t>
      </w:r>
      <w:r>
        <w:rPr>
          <w:rFonts w:hint="eastAsia" w:cs="Times New Roman"/>
          <w:snapToGrid w:val="0"/>
          <w:color w:val="000000" w:themeColor="text1"/>
          <w:sz w:val="24"/>
          <w:szCs w:val="24"/>
          <w:highlight w:val="none"/>
          <w:vertAlign w:val="subscript"/>
          <w:lang w:val="en-US" w:eastAsia="zh-CN"/>
          <w14:textFill>
            <w14:solidFill>
              <w14:schemeClr w14:val="tx1"/>
            </w14:solidFill>
          </w14:textFill>
        </w:rPr>
        <w:t>2</w:t>
      </w:r>
      <w:r>
        <w:rPr>
          <w:rFonts w:hint="eastAsia" w:cs="Times New Roman"/>
          <w:snapToGrid w:val="0"/>
          <w:color w:val="000000" w:themeColor="text1"/>
          <w:sz w:val="24"/>
          <w:szCs w:val="24"/>
          <w:highlight w:val="none"/>
          <w:lang w:val="en-US" w:eastAsia="zh-CN"/>
          <w14:textFill>
            <w14:solidFill>
              <w14:schemeClr w14:val="tx1"/>
            </w14:solidFill>
          </w14:textFill>
        </w:rPr>
        <w:t>S</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环境质量现状数据引用《曹妃甸区垦丰家居产业园控制性详细规划环境影响跟踪评价报告书》中数据，监测时间为2023年8月8日-2023年8月14日。</w:t>
      </w:r>
    </w:p>
    <w:p w14:paraId="4D6DF3DA">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㈠</w:t>
      </w: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区域达标性判断</w:t>
      </w:r>
    </w:p>
    <w:p w14:paraId="5CA22AF0">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项目所在区域一氧化碳年均浓度值、二氧化氮、二氧化硫年均浓度值满足空气质量标准要求；</w:t>
      </w:r>
      <w:r>
        <w:rPr>
          <w:rFonts w:hint="eastAsia" w:ascii="Times New Roman" w:hAnsi="Times New Roman" w:eastAsia="宋体" w:cs="Times New Roman"/>
          <w:snapToGrid w:val="0"/>
          <w:color w:val="000000" w:themeColor="text1"/>
          <w:sz w:val="24"/>
          <w:szCs w:val="24"/>
          <w:highlight w:val="none"/>
          <w:lang w:eastAsia="zh-CN"/>
          <w14:textFill>
            <w14:solidFill>
              <w14:schemeClr w14:val="tx1"/>
            </w14:solidFill>
          </w14:textFill>
        </w:rPr>
        <w:t>PM</w:t>
      </w:r>
      <w:r>
        <w:rPr>
          <w:rFonts w:hint="eastAsia" w:ascii="Times New Roman" w:hAnsi="Times New Roman" w:eastAsia="宋体" w:cs="Times New Roman"/>
          <w:snapToGrid w:val="0"/>
          <w:color w:val="000000" w:themeColor="text1"/>
          <w:sz w:val="24"/>
          <w:szCs w:val="24"/>
          <w:highlight w:val="none"/>
          <w:vertAlign w:val="subscript"/>
          <w:lang w:eastAsia="zh-CN"/>
          <w14:textFill>
            <w14:solidFill>
              <w14:schemeClr w14:val="tx1"/>
            </w14:solidFill>
          </w14:textFill>
        </w:rPr>
        <w:t>10</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w:t>
      </w:r>
      <w:r>
        <w:rPr>
          <w:rFonts w:hint="eastAsia" w:ascii="Times New Roman" w:hAnsi="Times New Roman" w:eastAsia="宋体" w:cs="Times New Roman"/>
          <w:snapToGrid w:val="0"/>
          <w:color w:val="000000" w:themeColor="text1"/>
          <w:sz w:val="24"/>
          <w:szCs w:val="24"/>
          <w:highlight w:val="none"/>
          <w:lang w:eastAsia="zh-CN"/>
          <w14:textFill>
            <w14:solidFill>
              <w14:schemeClr w14:val="tx1"/>
            </w14:solidFill>
          </w14:textFill>
        </w:rPr>
        <w:t>PM</w:t>
      </w:r>
      <w:r>
        <w:rPr>
          <w:rFonts w:hint="eastAsia" w:ascii="Times New Roman" w:hAnsi="Times New Roman" w:eastAsia="宋体" w:cs="Times New Roman"/>
          <w:snapToGrid w:val="0"/>
          <w:color w:val="000000" w:themeColor="text1"/>
          <w:sz w:val="24"/>
          <w:szCs w:val="24"/>
          <w:highlight w:val="none"/>
          <w:vertAlign w:val="subscript"/>
          <w:lang w:eastAsia="zh-CN"/>
          <w14:textFill>
            <w14:solidFill>
              <w14:schemeClr w14:val="tx1"/>
            </w14:solidFill>
          </w14:textFill>
        </w:rPr>
        <w:t>2.5</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年均浓度、臭氧日最大8小时平均浓度值超过环境质量标准要求，即项目所在区域为不达标区。</w:t>
      </w:r>
    </w:p>
    <w:p w14:paraId="224C9033">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㈡</w:t>
      </w: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区域环境质量状况</w:t>
      </w:r>
    </w:p>
    <w:p w14:paraId="35D4BF3C">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按《环境影响评价技术导则大气环境》(HJ2.2-2018)相关规定，</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本项目</w:t>
      </w:r>
      <w:r>
        <w:rPr>
          <w:rFonts w:hint="eastAsia" w:ascii="Times New Roman" w:hAnsi="Times New Roman" w:eastAsia="宋体" w:cs="Times New Roman"/>
          <w:snapToGrid w:val="0"/>
          <w:color w:val="000000" w:themeColor="text1"/>
          <w:sz w:val="24"/>
          <w:szCs w:val="24"/>
          <w:highlight w:val="none"/>
          <w:lang w:eastAsia="zh-CN"/>
          <w14:textFill>
            <w14:solidFill>
              <w14:schemeClr w14:val="tx1"/>
            </w14:solidFill>
          </w14:textFill>
        </w:rPr>
        <w:t>PM</w:t>
      </w:r>
      <w:r>
        <w:rPr>
          <w:rFonts w:hint="eastAsia" w:ascii="Times New Roman" w:hAnsi="Times New Roman" w:eastAsia="宋体" w:cs="Times New Roman"/>
          <w:snapToGrid w:val="0"/>
          <w:color w:val="000000" w:themeColor="text1"/>
          <w:sz w:val="24"/>
          <w:szCs w:val="24"/>
          <w:highlight w:val="none"/>
          <w:vertAlign w:val="subscript"/>
          <w:lang w:eastAsia="zh-CN"/>
          <w14:textFill>
            <w14:solidFill>
              <w14:schemeClr w14:val="tx1"/>
            </w14:solidFill>
          </w14:textFill>
        </w:rPr>
        <w:t>10</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、P</w:t>
      </w:r>
      <w:r>
        <w:rPr>
          <w:rFonts w:hint="eastAsia" w:cs="Times New Roman"/>
          <w:snapToGrid w:val="0"/>
          <w:color w:val="000000" w:themeColor="text1"/>
          <w:sz w:val="24"/>
          <w:szCs w:val="24"/>
          <w:highlight w:val="none"/>
          <w:lang w:eastAsia="zh-CN"/>
          <w14:textFill>
            <w14:solidFill>
              <w14:schemeClr w14:val="tx1"/>
            </w14:solidFill>
          </w14:textFill>
        </w:rPr>
        <w:t>m</w:t>
      </w:r>
      <w:r>
        <w:rPr>
          <w:rFonts w:hint="default" w:ascii="Times New Roman" w:hAnsi="Times New Roman" w:eastAsia="宋体" w:cs="Times New Roman"/>
          <w:snapToGrid w:val="0"/>
          <w:color w:val="000000" w:themeColor="text1"/>
          <w:sz w:val="24"/>
          <w:szCs w:val="24"/>
          <w:highlight w:val="none"/>
          <w:vertAlign w:val="subscript"/>
          <w14:textFill>
            <w14:solidFill>
              <w14:schemeClr w14:val="tx1"/>
            </w14:solidFill>
          </w14:textFill>
        </w:rPr>
        <w:t>2.5</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w:t>
      </w:r>
      <w:r>
        <w:rPr>
          <w:rFonts w:hint="eastAsia" w:ascii="Times New Roman" w:hAnsi="Times New Roman" w:eastAsia="宋体" w:cs="Times New Roman"/>
          <w:snapToGrid w:val="0"/>
          <w:color w:val="000000" w:themeColor="text1"/>
          <w:sz w:val="24"/>
          <w:szCs w:val="24"/>
          <w:highlight w:val="none"/>
          <w:lang w:eastAsia="zh-CN"/>
          <w14:textFill>
            <w14:solidFill>
              <w14:schemeClr w14:val="tx1"/>
            </w14:solidFill>
          </w14:textFill>
        </w:rPr>
        <w:t>SO</w:t>
      </w:r>
      <w:r>
        <w:rPr>
          <w:rFonts w:hint="eastAsia" w:ascii="Times New Roman" w:hAnsi="Times New Roman" w:eastAsia="宋体" w:cs="Times New Roman"/>
          <w:snapToGrid w:val="0"/>
          <w:color w:val="000000" w:themeColor="text1"/>
          <w:sz w:val="24"/>
          <w:szCs w:val="24"/>
          <w:highlight w:val="none"/>
          <w:vertAlign w:val="subscript"/>
          <w:lang w:eastAsia="zh-CN"/>
          <w14:textFill>
            <w14:solidFill>
              <w14:schemeClr w14:val="tx1"/>
            </w14:solidFill>
          </w14:textFill>
        </w:rPr>
        <w:t>2</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w:t>
      </w:r>
      <w:r>
        <w:rPr>
          <w:rFonts w:hint="eastAsia" w:ascii="Times New Roman" w:hAnsi="Times New Roman" w:eastAsia="宋体" w:cs="Times New Roman"/>
          <w:snapToGrid w:val="0"/>
          <w:color w:val="000000" w:themeColor="text1"/>
          <w:sz w:val="24"/>
          <w:szCs w:val="24"/>
          <w:highlight w:val="none"/>
          <w:lang w:eastAsia="zh-CN"/>
          <w14:textFill>
            <w14:solidFill>
              <w14:schemeClr w14:val="tx1"/>
            </w14:solidFill>
          </w14:textFill>
        </w:rPr>
        <w:t>NO</w:t>
      </w:r>
      <w:r>
        <w:rPr>
          <w:rFonts w:hint="eastAsia" w:ascii="Times New Roman" w:hAnsi="Times New Roman" w:eastAsia="宋体" w:cs="Times New Roman"/>
          <w:snapToGrid w:val="0"/>
          <w:color w:val="000000" w:themeColor="text1"/>
          <w:sz w:val="24"/>
          <w:szCs w:val="24"/>
          <w:highlight w:val="none"/>
          <w:vertAlign w:val="subscript"/>
          <w:lang w:eastAsia="zh-CN"/>
          <w14:textFill>
            <w14:solidFill>
              <w14:schemeClr w14:val="tx1"/>
            </w14:solidFill>
          </w14:textFill>
        </w:rPr>
        <w:t>2</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、CO、</w:t>
      </w:r>
      <w:r>
        <w:rPr>
          <w:rFonts w:hint="eastAsia" w:ascii="Times New Roman" w:hAnsi="Times New Roman" w:eastAsia="宋体" w:cs="Times New Roman"/>
          <w:snapToGrid w:val="0"/>
          <w:color w:val="000000" w:themeColor="text1"/>
          <w:sz w:val="24"/>
          <w:szCs w:val="24"/>
          <w:highlight w:val="none"/>
          <w:lang w:eastAsia="zh-CN"/>
          <w14:textFill>
            <w14:solidFill>
              <w14:schemeClr w14:val="tx1"/>
            </w14:solidFill>
          </w14:textFill>
        </w:rPr>
        <w:t>O</w:t>
      </w:r>
      <w:r>
        <w:rPr>
          <w:rFonts w:hint="eastAsia" w:ascii="Times New Roman" w:hAnsi="Times New Roman" w:eastAsia="宋体" w:cs="Times New Roman"/>
          <w:snapToGrid w:val="0"/>
          <w:color w:val="000000" w:themeColor="text1"/>
          <w:sz w:val="24"/>
          <w:szCs w:val="24"/>
          <w:highlight w:val="none"/>
          <w:vertAlign w:val="subscript"/>
          <w:lang w:eastAsia="zh-CN"/>
          <w14:textFill>
            <w14:solidFill>
              <w14:schemeClr w14:val="tx1"/>
            </w14:solidFill>
          </w14:textFill>
        </w:rPr>
        <w:t>3</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引用《</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2023</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年唐山市环境状况公报》</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中曹妃甸区</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的六项污染物浓度</w:t>
      </w: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本区域环境空气质量</w:t>
      </w:r>
      <w:r>
        <w:rPr>
          <w:rFonts w:hint="eastAsia" w:ascii="Times New Roman" w:hAnsi="Times New Roman" w:eastAsia="宋体" w:cs="Times New Roman"/>
          <w:snapToGrid w:val="0"/>
          <w:color w:val="000000" w:themeColor="text1"/>
          <w:sz w:val="24"/>
          <w:szCs w:val="24"/>
          <w:highlight w:val="none"/>
          <w:lang w:eastAsia="zh-CN"/>
          <w14:textFill>
            <w14:solidFill>
              <w14:schemeClr w14:val="tx1"/>
            </w14:solidFill>
          </w14:textFill>
        </w:rPr>
        <w:t>PM</w:t>
      </w:r>
      <w:r>
        <w:rPr>
          <w:rFonts w:hint="eastAsia" w:ascii="Times New Roman" w:hAnsi="Times New Roman" w:eastAsia="宋体" w:cs="Times New Roman"/>
          <w:snapToGrid w:val="0"/>
          <w:color w:val="000000" w:themeColor="text1"/>
          <w:sz w:val="24"/>
          <w:szCs w:val="24"/>
          <w:highlight w:val="none"/>
          <w:vertAlign w:val="subscript"/>
          <w:lang w:eastAsia="zh-CN"/>
          <w14:textFill>
            <w14:solidFill>
              <w14:schemeClr w14:val="tx1"/>
            </w14:solidFill>
          </w14:textFill>
        </w:rPr>
        <w:t>2.5</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w:t>
      </w:r>
      <w:r>
        <w:rPr>
          <w:rFonts w:hint="eastAsia" w:ascii="Times New Roman" w:hAnsi="Times New Roman" w:eastAsia="宋体" w:cs="Times New Roman"/>
          <w:snapToGrid w:val="0"/>
          <w:color w:val="000000" w:themeColor="text1"/>
          <w:sz w:val="24"/>
          <w:szCs w:val="24"/>
          <w:highlight w:val="none"/>
          <w:lang w:eastAsia="zh-CN"/>
          <w14:textFill>
            <w14:solidFill>
              <w14:schemeClr w14:val="tx1"/>
            </w14:solidFill>
          </w14:textFill>
        </w:rPr>
        <w:t>O</w:t>
      </w:r>
      <w:r>
        <w:rPr>
          <w:rFonts w:hint="eastAsia" w:ascii="Times New Roman" w:hAnsi="Times New Roman" w:eastAsia="宋体" w:cs="Times New Roman"/>
          <w:snapToGrid w:val="0"/>
          <w:color w:val="000000" w:themeColor="text1"/>
          <w:sz w:val="24"/>
          <w:szCs w:val="24"/>
          <w:highlight w:val="none"/>
          <w:vertAlign w:val="subscript"/>
          <w:lang w:eastAsia="zh-CN"/>
          <w14:textFill>
            <w14:solidFill>
              <w14:schemeClr w14:val="tx1"/>
            </w14:solidFill>
          </w14:textFill>
        </w:rPr>
        <w:t>3</w:t>
      </w: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不</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能满足《环境空气质量标准》（GB3095-2012）及其修改单中二级标准要求。</w:t>
      </w:r>
    </w:p>
    <w:p w14:paraId="71FCDD35">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㈢</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其他污染物</w:t>
      </w:r>
    </w:p>
    <w:p w14:paraId="08FFD8D0">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本项目其他污染物主要为</w:t>
      </w:r>
      <w:r>
        <w:rPr>
          <w:rFonts w:hint="eastAsia" w:cs="Times New Roman"/>
          <w:snapToGrid w:val="0"/>
          <w:color w:val="000000" w:themeColor="text1"/>
          <w:sz w:val="24"/>
          <w:szCs w:val="24"/>
          <w:highlight w:val="none"/>
          <w:lang w:val="en-US" w:eastAsia="zh-CN"/>
          <w14:textFill>
            <w14:solidFill>
              <w14:schemeClr w14:val="tx1"/>
            </w14:solidFill>
          </w14:textFill>
        </w:rPr>
        <w:t>NH</w:t>
      </w:r>
      <w:r>
        <w:rPr>
          <w:rFonts w:hint="eastAsia" w:cs="Times New Roman"/>
          <w:snapToGrid w:val="0"/>
          <w:color w:val="000000" w:themeColor="text1"/>
          <w:sz w:val="24"/>
          <w:szCs w:val="24"/>
          <w:highlight w:val="none"/>
          <w:vertAlign w:val="subscript"/>
          <w:lang w:val="en-US" w:eastAsia="zh-CN"/>
          <w14:textFill>
            <w14:solidFill>
              <w14:schemeClr w14:val="tx1"/>
            </w14:solidFill>
          </w14:textFill>
        </w:rPr>
        <w:t>3</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w:t>
      </w:r>
      <w:r>
        <w:rPr>
          <w:rFonts w:hint="eastAsia" w:cs="Times New Roman"/>
          <w:snapToGrid w:val="0"/>
          <w:color w:val="000000" w:themeColor="text1"/>
          <w:sz w:val="24"/>
          <w:szCs w:val="24"/>
          <w:highlight w:val="none"/>
          <w:lang w:val="en-US" w:eastAsia="zh-CN"/>
          <w14:textFill>
            <w14:solidFill>
              <w14:schemeClr w14:val="tx1"/>
            </w14:solidFill>
          </w14:textFill>
        </w:rPr>
        <w:t>H</w:t>
      </w:r>
      <w:r>
        <w:rPr>
          <w:rFonts w:hint="eastAsia" w:cs="Times New Roman"/>
          <w:snapToGrid w:val="0"/>
          <w:color w:val="000000" w:themeColor="text1"/>
          <w:sz w:val="24"/>
          <w:szCs w:val="24"/>
          <w:highlight w:val="none"/>
          <w:vertAlign w:val="subscript"/>
          <w:lang w:val="en-US" w:eastAsia="zh-CN"/>
          <w14:textFill>
            <w14:solidFill>
              <w14:schemeClr w14:val="tx1"/>
            </w14:solidFill>
          </w14:textFill>
        </w:rPr>
        <w:t>2</w:t>
      </w:r>
      <w:r>
        <w:rPr>
          <w:rFonts w:hint="eastAsia" w:cs="Times New Roman"/>
          <w:snapToGrid w:val="0"/>
          <w:color w:val="000000" w:themeColor="text1"/>
          <w:sz w:val="24"/>
          <w:szCs w:val="24"/>
          <w:highlight w:val="none"/>
          <w:lang w:val="en-US" w:eastAsia="zh-CN"/>
          <w14:textFill>
            <w14:solidFill>
              <w14:schemeClr w14:val="tx1"/>
            </w14:solidFill>
          </w14:textFill>
        </w:rPr>
        <w:t>S</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w:t>
      </w:r>
    </w:p>
    <w:p w14:paraId="7F3D26BB">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pPr>
      <w:r>
        <w:rPr>
          <w:rFonts w:hint="eastAsia" w:cs="Times New Roman"/>
          <w:snapToGrid w:val="0"/>
          <w:color w:val="000000" w:themeColor="text1"/>
          <w:sz w:val="24"/>
          <w:szCs w:val="24"/>
          <w:highlight w:val="none"/>
          <w:lang w:val="en-US" w:eastAsia="zh-CN"/>
          <w14:textFill>
            <w14:solidFill>
              <w14:schemeClr w14:val="tx1"/>
            </w14:solidFill>
          </w14:textFill>
        </w:rPr>
        <w:t>NH</w:t>
      </w:r>
      <w:r>
        <w:rPr>
          <w:rFonts w:hint="eastAsia" w:cs="Times New Roman"/>
          <w:snapToGrid w:val="0"/>
          <w:color w:val="000000" w:themeColor="text1"/>
          <w:sz w:val="24"/>
          <w:szCs w:val="24"/>
          <w:highlight w:val="none"/>
          <w:vertAlign w:val="subscript"/>
          <w:lang w:val="en-US" w:eastAsia="zh-CN"/>
          <w14:textFill>
            <w14:solidFill>
              <w14:schemeClr w14:val="tx1"/>
            </w14:solidFill>
          </w14:textFill>
        </w:rPr>
        <w:t>3</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w:t>
      </w:r>
      <w:r>
        <w:rPr>
          <w:rFonts w:hint="eastAsia" w:cs="Times New Roman"/>
          <w:snapToGrid w:val="0"/>
          <w:color w:val="000000" w:themeColor="text1"/>
          <w:sz w:val="24"/>
          <w:szCs w:val="24"/>
          <w:highlight w:val="none"/>
          <w:lang w:val="en-US" w:eastAsia="zh-CN"/>
          <w14:textFill>
            <w14:solidFill>
              <w14:schemeClr w14:val="tx1"/>
            </w14:solidFill>
          </w14:textFill>
        </w:rPr>
        <w:t>H</w:t>
      </w:r>
      <w:r>
        <w:rPr>
          <w:rFonts w:hint="eastAsia" w:cs="Times New Roman"/>
          <w:snapToGrid w:val="0"/>
          <w:color w:val="000000" w:themeColor="text1"/>
          <w:sz w:val="24"/>
          <w:szCs w:val="24"/>
          <w:highlight w:val="none"/>
          <w:vertAlign w:val="subscript"/>
          <w:lang w:val="en-US" w:eastAsia="zh-CN"/>
          <w14:textFill>
            <w14:solidFill>
              <w14:schemeClr w14:val="tx1"/>
            </w14:solidFill>
          </w14:textFill>
        </w:rPr>
        <w:t>2</w:t>
      </w:r>
      <w:r>
        <w:rPr>
          <w:rFonts w:hint="eastAsia" w:cs="Times New Roman"/>
          <w:snapToGrid w:val="0"/>
          <w:color w:val="000000" w:themeColor="text1"/>
          <w:sz w:val="24"/>
          <w:szCs w:val="24"/>
          <w:highlight w:val="none"/>
          <w:lang w:val="en-US" w:eastAsia="zh-CN"/>
          <w14:textFill>
            <w14:solidFill>
              <w14:schemeClr w14:val="tx1"/>
            </w14:solidFill>
          </w14:textFill>
        </w:rPr>
        <w:t>S</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环境质量现状数据引用《曹妃甸区垦丰家居产业园控制性详细规划环境影响跟踪评价报告书》中数据，监测时间为2023年8月8日-2023年8月14日。</w:t>
      </w:r>
    </w:p>
    <w:p w14:paraId="4FDF825A">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根据</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《环境影响评价技术导则－大气环境》（</w:t>
      </w: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HJ2.2-2018</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w:t>
      </w: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6.3.2监测布点：以近20年统计的当地主导风向为轴向，在厂址及主导风向下风向5km范围内设置1~2个监测点。</w:t>
      </w: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项目所在地主导风向</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不明显</w:t>
      </w: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监测点位（曹妃甸区垦丰家居产业园园区北侧区域）位于本项目东北侧962m，监测点位（曹妃甸湿地鸟类自然保护区实验区）位于本项目东南侧1985m，均小于5000m，满足</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《环境影响评价技术导则－大气环境》（</w:t>
      </w: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HJ2.2-2018</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中要求。</w:t>
      </w:r>
    </w:p>
    <w:p w14:paraId="1FD82219">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根据检测结果，</w:t>
      </w:r>
      <w:r>
        <w:rPr>
          <w:rFonts w:hint="eastAsia" w:cs="Times New Roman"/>
          <w:snapToGrid w:val="0"/>
          <w:color w:val="000000" w:themeColor="text1"/>
          <w:sz w:val="24"/>
          <w:szCs w:val="24"/>
          <w:highlight w:val="none"/>
          <w:lang w:eastAsia="zh-CN"/>
          <w14:textFill>
            <w14:solidFill>
              <w14:schemeClr w14:val="tx1"/>
            </w14:solidFill>
          </w14:textFill>
        </w:rPr>
        <w:t>H</w:t>
      </w:r>
      <w:r>
        <w:rPr>
          <w:rFonts w:hint="eastAsia" w:cs="Times New Roman"/>
          <w:snapToGrid w:val="0"/>
          <w:color w:val="000000" w:themeColor="text1"/>
          <w:sz w:val="24"/>
          <w:szCs w:val="24"/>
          <w:highlight w:val="none"/>
          <w:vertAlign w:val="subscript"/>
          <w:lang w:eastAsia="zh-CN"/>
          <w14:textFill>
            <w14:solidFill>
              <w14:schemeClr w14:val="tx1"/>
            </w14:solidFill>
          </w14:textFill>
        </w:rPr>
        <w:t>2</w:t>
      </w:r>
      <w:r>
        <w:rPr>
          <w:rFonts w:hint="eastAsia" w:cs="Times New Roman"/>
          <w:snapToGrid w:val="0"/>
          <w:color w:val="000000" w:themeColor="text1"/>
          <w:sz w:val="24"/>
          <w:szCs w:val="24"/>
          <w:highlight w:val="none"/>
          <w:lang w:eastAsia="zh-CN"/>
          <w14:textFill>
            <w14:solidFill>
              <w14:schemeClr w14:val="tx1"/>
            </w14:solidFill>
          </w14:textFill>
        </w:rPr>
        <w:t>S</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w:t>
      </w:r>
      <w:r>
        <w:rPr>
          <w:rFonts w:hint="eastAsia" w:cs="Times New Roman"/>
          <w:snapToGrid w:val="0"/>
          <w:color w:val="000000" w:themeColor="text1"/>
          <w:sz w:val="24"/>
          <w:szCs w:val="24"/>
          <w:highlight w:val="none"/>
          <w:lang w:val="en-US" w:eastAsia="zh-CN"/>
          <w14:textFill>
            <w14:solidFill>
              <w14:schemeClr w14:val="tx1"/>
            </w14:solidFill>
          </w14:textFill>
        </w:rPr>
        <w:t>NH</w:t>
      </w:r>
      <w:r>
        <w:rPr>
          <w:rFonts w:hint="eastAsia" w:cs="Times New Roman"/>
          <w:snapToGrid w:val="0"/>
          <w:color w:val="000000" w:themeColor="text1"/>
          <w:sz w:val="24"/>
          <w:szCs w:val="24"/>
          <w:highlight w:val="none"/>
          <w:vertAlign w:val="subscript"/>
          <w:lang w:val="en-US" w:eastAsia="zh-CN"/>
          <w14:textFill>
            <w14:solidFill>
              <w14:schemeClr w14:val="tx1"/>
            </w14:solidFill>
          </w14:textFill>
        </w:rPr>
        <w:t>3</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的1小时平均浓度满足</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《环境影响评价技术导则－大气环境》（</w:t>
      </w: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HJ2.2-2018</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附录D其他污染物空气质量浓度参考限值要求。</w:t>
      </w:r>
    </w:p>
    <w:p w14:paraId="41CA3FF8">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(2)地下水环境质量现状评价</w:t>
      </w:r>
      <w:bookmarkEnd w:id="418"/>
      <w:bookmarkEnd w:id="419"/>
    </w:p>
    <w:p w14:paraId="5EB7E2A7">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pPr>
      <w:bookmarkStart w:id="420" w:name="_Toc19900"/>
      <w:bookmarkStart w:id="421" w:name="_Toc499462858"/>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根据《环境影响评价技术导则--地下水环境》（HJ610-2016）</w:t>
      </w: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委托河北正联环保科技有限公司对项目所在地地下水进行补充监测（1个潜水点位），监测时间为2024年5月28日。引用《曹妃甸区垦丰家居产业园控制性详细规划环境影响跟踪评价报告书》中6个地下水监测点位数据（5个潜水点位和1个承压水点位）和金木美佳（唐山）科技有限公司《年产18万立方米LSB薄型刨花板项目环境影响评价报告书》（2022年4月30日）中1个潜水监测数据和2个承压水监测数据。</w:t>
      </w:r>
    </w:p>
    <w:p w14:paraId="2CE712CB">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地下水环境质量现状监测结果表明：评价区域内各监测点中，潜水监测因子中总硬度、溶解性总固体、氯化物、硫酸盐、高</w:t>
      </w:r>
      <w:r>
        <w:rPr>
          <w:rFonts w:hint="eastAsia" w:cs="Times New Roman"/>
          <w:snapToGrid w:val="0"/>
          <w:color w:val="000000" w:themeColor="text1"/>
          <w:sz w:val="24"/>
          <w:szCs w:val="24"/>
          <w:highlight w:val="none"/>
          <w:lang w:val="en-US" w:eastAsia="zh-CN"/>
          <w14:textFill>
            <w14:solidFill>
              <w14:schemeClr w14:val="tx1"/>
            </w14:solidFill>
          </w14:textFill>
        </w:rPr>
        <w:t>锰</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酸盐指数不满足《地下水质量标准》（GB/T14848-2017）中Ⅲ类标准。分析其原因，是由于开发区所在区域受海水侵蚀，潜水与海水之间存在密切的联系，因此，潜水地下水多为苦咸水导致多个因子超标。</w:t>
      </w:r>
    </w:p>
    <w:p w14:paraId="66EDFB4D">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评价区域内各监测点中，承压水监测因子中所有因子均满足《地下水质量标准》（GB/T14848-2017）中Ⅲ类标准。</w:t>
      </w:r>
    </w:p>
    <w:p w14:paraId="32EC8834">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(3)声环境质量现状</w:t>
      </w:r>
      <w:bookmarkEnd w:id="420"/>
      <w:bookmarkEnd w:id="421"/>
    </w:p>
    <w:p w14:paraId="5C87691A">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pPr>
      <w:bookmarkStart w:id="422" w:name="_Toc499462859"/>
      <w:bookmarkStart w:id="423" w:name="_Toc20977"/>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本项目委托河北正联环保科技有限公司对项目所在地厂界进行了监测，监测时间为2024年5月28日。根据检测结果，</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四周厂界环境噪声监测值</w:t>
      </w: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昼间</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为</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48</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55</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dB(A)，</w:t>
      </w: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夜间为</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48</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51</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dB(A)，</w:t>
      </w: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四周厂界</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均满足《声环境质量标准》(GB3096-2008)</w:t>
      </w: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3类区</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标准要求。</w:t>
      </w:r>
    </w:p>
    <w:p w14:paraId="272A8237">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(4)土壤质量现状</w:t>
      </w:r>
    </w:p>
    <w:bookmarkEnd w:id="422"/>
    <w:bookmarkEnd w:id="423"/>
    <w:p w14:paraId="33AA319C">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pPr>
      <w:bookmarkStart w:id="424" w:name="_Toc13830"/>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土壤环境质量现状委托河北欣蓝环境科技有限公司，检测时间为2024年5月30日。同时引用《曹妃甸区垦丰家居产业园控制性详细规划环境影响跟踪评价报告书环境质量现状监测》中一个表层样监测数据。</w:t>
      </w:r>
    </w:p>
    <w:p w14:paraId="0D5AE73C">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由土壤环境质量现状评价结果可知，建设用地监测点位所有因子均能满足《土壤环境质量建设用地土壤污染风险管控标准（试行）》（GB36600-2018）表1第二类用地风险筛选值要求。</w:t>
      </w:r>
    </w:p>
    <w:p w14:paraId="41D4E7FA">
      <w:pPr>
        <w:pStyle w:val="7"/>
        <w:pageBreakBefore w:val="0"/>
        <w:widowControl w:val="0"/>
        <w:kinsoku/>
        <w:wordWrap/>
        <w:overflowPunct/>
        <w:topLinePunct w:val="0"/>
        <w:autoSpaceDE/>
        <w:autoSpaceDN/>
        <w:bidi w:val="0"/>
        <w:adjustRightInd/>
        <w:snapToGrid/>
        <w:spacing w:before="0" w:beforeLines="0" w:after="0" w:afterLines="0"/>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bookmarkStart w:id="425" w:name="_Toc17041"/>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highlight w:val="none"/>
          <w14:textFill>
            <w14:solidFill>
              <w14:schemeClr w14:val="tx1"/>
            </w14:solidFill>
          </w14:textFill>
        </w:rPr>
        <w:t>.3拟采取环保措施</w:t>
      </w:r>
      <w:bookmarkEnd w:id="424"/>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及可行性分析结论</w:t>
      </w:r>
      <w:bookmarkEnd w:id="425"/>
    </w:p>
    <w:p w14:paraId="1C9073BB">
      <w:pPr>
        <w:pStyle w:val="6"/>
        <w:bidi w:val="0"/>
        <w:rPr>
          <w:rFonts w:hint="default"/>
          <w:lang w:val="en-US" w:eastAsia="zh-CN"/>
        </w:rPr>
      </w:pPr>
      <w:r>
        <w:rPr>
          <w:rFonts w:hint="default"/>
          <w:lang w:val="en-US" w:eastAsia="zh-CN"/>
        </w:rPr>
        <w:t>9.3.1废气治理措施</w:t>
      </w:r>
    </w:p>
    <w:p w14:paraId="2F895127">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本项目废气为污水处理及污泥处理过程产生的臭气。</w:t>
      </w:r>
    </w:p>
    <w:p w14:paraId="7B558F47">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本项目</w:t>
      </w:r>
      <w:r>
        <w:rPr>
          <w:rFonts w:hint="eastAsia"/>
          <w:highlight w:val="none"/>
          <w:lang w:val="en-US" w:eastAsia="zh-CN"/>
        </w:rPr>
        <w:t>格栅渠及</w:t>
      </w:r>
      <w:r>
        <w:rPr>
          <w:rFonts w:hint="default"/>
          <w:highlight w:val="none"/>
          <w:lang w:val="en-US" w:eastAsia="zh-CN"/>
        </w:rPr>
        <w:t>调节池</w:t>
      </w:r>
      <w:r>
        <w:rPr>
          <w:rFonts w:hint="default"/>
          <w:highlight w:val="none"/>
        </w:rPr>
        <w:t>、污泥池进行加盖处理，</w:t>
      </w:r>
      <w:r>
        <w:rPr>
          <w:rFonts w:hint="eastAsia"/>
          <w:highlight w:val="none"/>
          <w:lang w:val="en-US" w:eastAsia="zh-CN"/>
        </w:rPr>
        <w:t>A</w:t>
      </w:r>
      <w:r>
        <w:rPr>
          <w:rFonts w:hint="eastAsia"/>
          <w:highlight w:val="none"/>
          <w:vertAlign w:val="superscript"/>
          <w:lang w:val="en-US" w:eastAsia="zh-CN"/>
        </w:rPr>
        <w:t>2</w:t>
      </w:r>
      <w:r>
        <w:rPr>
          <w:rFonts w:hint="eastAsia"/>
          <w:highlight w:val="none"/>
          <w:lang w:val="en-US" w:eastAsia="zh-CN"/>
        </w:rPr>
        <w:t>O</w:t>
      </w:r>
      <w:r>
        <w:rPr>
          <w:rFonts w:hint="default"/>
          <w:highlight w:val="none"/>
          <w:lang w:val="en-US" w:eastAsia="zh-CN"/>
        </w:rPr>
        <w:t>一体化处理设备</w:t>
      </w:r>
      <w:r>
        <w:rPr>
          <w:rFonts w:hint="eastAsia"/>
          <w:highlight w:val="none"/>
          <w:lang w:val="en-US" w:eastAsia="zh-CN"/>
        </w:rPr>
        <w:t>、</w:t>
      </w:r>
      <w:r>
        <w:rPr>
          <w:rFonts w:hint="default"/>
          <w:highlight w:val="none"/>
        </w:rPr>
        <w:t>污泥脱水机房密闭，废气经负压收集后通过管道引入</w:t>
      </w:r>
      <w:r>
        <w:rPr>
          <w:rFonts w:hint="default"/>
          <w:highlight w:val="none"/>
          <w:lang w:val="en-US" w:eastAsia="zh-CN"/>
        </w:rPr>
        <w:t>一套等离子光电一体机（风机风量5000</w:t>
      </w:r>
      <w:r>
        <w:rPr>
          <w:rFonts w:hint="eastAsia"/>
          <w:highlight w:val="none"/>
          <w:lang w:val="en-US" w:eastAsia="zh-CN"/>
        </w:rPr>
        <w:t>m</w:t>
      </w:r>
      <w:r>
        <w:rPr>
          <w:rFonts w:hint="eastAsia"/>
          <w:highlight w:val="none"/>
          <w:vertAlign w:val="superscript"/>
          <w:lang w:val="en-US" w:eastAsia="zh-CN"/>
        </w:rPr>
        <w:t>3</w:t>
      </w:r>
      <w:r>
        <w:rPr>
          <w:rFonts w:hint="default"/>
          <w:highlight w:val="none"/>
          <w:lang w:val="en-US" w:eastAsia="zh-CN"/>
        </w:rPr>
        <w:t>/h）处理，处理后经15m高排气筒（DA001）排放。</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本评价按设计最低去除效率85%计算，经预测，</w:t>
      </w:r>
      <w:r>
        <w:rPr>
          <w:rFonts w:hint="eastAsia" w:cs="Times New Roman"/>
          <w:snapToGrid w:val="0"/>
          <w:color w:val="000000" w:themeColor="text1"/>
          <w:sz w:val="24"/>
          <w:szCs w:val="24"/>
          <w:highlight w:val="none"/>
          <w:lang w:val="en-US" w:eastAsia="zh-CN"/>
          <w14:textFill>
            <w14:solidFill>
              <w14:schemeClr w14:val="tx1"/>
            </w14:solidFill>
          </w14:textFill>
        </w:rPr>
        <w:t>NH</w:t>
      </w:r>
      <w:r>
        <w:rPr>
          <w:rFonts w:hint="eastAsia" w:cs="Times New Roman"/>
          <w:snapToGrid w:val="0"/>
          <w:color w:val="000000" w:themeColor="text1"/>
          <w:sz w:val="24"/>
          <w:szCs w:val="24"/>
          <w:highlight w:val="none"/>
          <w:vertAlign w:val="subscript"/>
          <w:lang w:val="en-US" w:eastAsia="zh-CN"/>
          <w14:textFill>
            <w14:solidFill>
              <w14:schemeClr w14:val="tx1"/>
            </w14:solidFill>
          </w14:textFill>
        </w:rPr>
        <w:t>3</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w:t>
      </w:r>
      <w:r>
        <w:rPr>
          <w:rFonts w:hint="eastAsia" w:cs="Times New Roman"/>
          <w:snapToGrid w:val="0"/>
          <w:color w:val="000000" w:themeColor="text1"/>
          <w:sz w:val="24"/>
          <w:szCs w:val="24"/>
          <w:highlight w:val="none"/>
          <w:lang w:val="en-US" w:eastAsia="zh-CN"/>
          <w14:textFill>
            <w14:solidFill>
              <w14:schemeClr w14:val="tx1"/>
            </w14:solidFill>
          </w14:textFill>
        </w:rPr>
        <w:t>H</w:t>
      </w:r>
      <w:r>
        <w:rPr>
          <w:rFonts w:hint="eastAsia" w:cs="Times New Roman"/>
          <w:snapToGrid w:val="0"/>
          <w:color w:val="000000" w:themeColor="text1"/>
          <w:sz w:val="24"/>
          <w:szCs w:val="24"/>
          <w:highlight w:val="none"/>
          <w:vertAlign w:val="subscript"/>
          <w:lang w:val="en-US" w:eastAsia="zh-CN"/>
          <w14:textFill>
            <w14:solidFill>
              <w14:schemeClr w14:val="tx1"/>
            </w14:solidFill>
          </w14:textFill>
        </w:rPr>
        <w:t>2</w:t>
      </w:r>
      <w:r>
        <w:rPr>
          <w:rFonts w:hint="eastAsia" w:cs="Times New Roman"/>
          <w:snapToGrid w:val="0"/>
          <w:color w:val="000000" w:themeColor="text1"/>
          <w:sz w:val="24"/>
          <w:szCs w:val="24"/>
          <w:highlight w:val="none"/>
          <w:lang w:val="en-US" w:eastAsia="zh-CN"/>
          <w14:textFill>
            <w14:solidFill>
              <w14:schemeClr w14:val="tx1"/>
            </w14:solidFill>
          </w14:textFill>
        </w:rPr>
        <w:t>S</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的排放速率、臭气浓度均满足《恶臭污染物排放标准》（GB14554-93）表2标准要求。措施可行。</w:t>
      </w:r>
    </w:p>
    <w:p w14:paraId="0DA96B8F">
      <w:pPr>
        <w:pStyle w:val="6"/>
        <w:pageBreakBefore w:val="0"/>
        <w:widowControl w:val="0"/>
        <w:kinsoku/>
        <w:wordWrap/>
        <w:overflowPunct/>
        <w:topLinePunct w:val="0"/>
        <w:autoSpaceDE/>
        <w:autoSpaceDN/>
        <w:bidi w:val="0"/>
        <w:adjustRightInd/>
        <w:snapToGrid/>
        <w:spacing w:before="0" w:beforeLines="0" w:after="0" w:afterLines="0"/>
        <w:textAlignment w:val="auto"/>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9.3.2废水治理措施</w:t>
      </w:r>
    </w:p>
    <w:p w14:paraId="22D80437">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pPr>
      <w:bookmarkStart w:id="426" w:name="_Toc389681354"/>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①地表水影响</w:t>
      </w:r>
    </w:p>
    <w:p w14:paraId="40C0A5CC">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本项目</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扩建完成后</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污水厂设计处理规模</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250</w:t>
      </w:r>
      <w:r>
        <w:rPr>
          <w:rFonts w:hint="eastAsia" w:cs="Times New Roman"/>
          <w:snapToGrid w:val="0"/>
          <w:color w:val="000000" w:themeColor="text1"/>
          <w:sz w:val="24"/>
          <w:szCs w:val="24"/>
          <w:highlight w:val="none"/>
          <w:lang w:eastAsia="zh-CN"/>
          <w14:textFill>
            <w14:solidFill>
              <w14:schemeClr w14:val="tx1"/>
            </w14:solidFill>
          </w14:textFill>
        </w:rPr>
        <w:t>m</w:t>
      </w:r>
      <w:r>
        <w:rPr>
          <w:rFonts w:hint="default" w:ascii="Times New Roman" w:hAnsi="Times New Roman" w:eastAsia="宋体" w:cs="Times New Roman"/>
          <w:snapToGrid w:val="0"/>
          <w:color w:val="000000" w:themeColor="text1"/>
          <w:sz w:val="24"/>
          <w:szCs w:val="24"/>
          <w:highlight w:val="none"/>
          <w:vertAlign w:val="superscript"/>
          <w:lang w:val="en-US" w:eastAsia="zh-CN"/>
          <w14:textFill>
            <w14:solidFill>
              <w14:schemeClr w14:val="tx1"/>
            </w14:solidFill>
          </w14:textFill>
        </w:rPr>
        <w:t>3</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/d。正常工况下废水经污水处理厂处理达到</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《城镇污水处理厂污染物排放标准》（GB18918-2002）一级A标准，同时满足《城市污水再生利用  工业用水水质》（GB/T19923-2024）、《城市污水再生利用 城市杂用水水质》（GB/T18920-2020）、《城市污水再生利用 绿地灌溉水质》（GB/T25499-2010）标准限值：</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COD</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5</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0mg/L、</w:t>
      </w:r>
      <w:r>
        <w:rPr>
          <w:rFonts w:hint="eastAsia" w:ascii="Times New Roman" w:hAnsi="Times New Roman" w:eastAsia="宋体" w:cs="Times New Roman"/>
          <w:snapToGrid w:val="0"/>
          <w:color w:val="000000" w:themeColor="text1"/>
          <w:sz w:val="24"/>
          <w:szCs w:val="24"/>
          <w:highlight w:val="none"/>
          <w:lang w:eastAsia="zh-CN"/>
          <w14:textFill>
            <w14:solidFill>
              <w14:schemeClr w14:val="tx1"/>
            </w14:solidFill>
          </w14:textFill>
        </w:rPr>
        <w:t>BOD</w:t>
      </w:r>
      <w:r>
        <w:rPr>
          <w:rFonts w:hint="eastAsia" w:ascii="Times New Roman" w:hAnsi="Times New Roman" w:eastAsia="宋体" w:cs="Times New Roman"/>
          <w:snapToGrid w:val="0"/>
          <w:color w:val="000000" w:themeColor="text1"/>
          <w:sz w:val="24"/>
          <w:szCs w:val="24"/>
          <w:highlight w:val="none"/>
          <w:vertAlign w:val="subscript"/>
          <w:lang w:eastAsia="zh-CN"/>
          <w14:textFill>
            <w14:solidFill>
              <w14:schemeClr w14:val="tx1"/>
            </w14:solidFill>
          </w14:textFill>
        </w:rPr>
        <w:t>5</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10</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mg/L、SS</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10</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mg/L、</w:t>
      </w:r>
      <w:r>
        <w:rPr>
          <w:rFonts w:hint="eastAsia" w:cs="Times New Roman"/>
          <w:snapToGrid w:val="0"/>
          <w:color w:val="000000" w:themeColor="text1"/>
          <w:sz w:val="24"/>
          <w:szCs w:val="24"/>
          <w:highlight w:val="none"/>
          <w:lang w:eastAsia="zh-CN"/>
          <w14:textFill>
            <w14:solidFill>
              <w14:schemeClr w14:val="tx1"/>
            </w14:solidFill>
          </w14:textFill>
        </w:rPr>
        <w:t>NH</w:t>
      </w:r>
      <w:r>
        <w:rPr>
          <w:rFonts w:hint="eastAsia" w:cs="Times New Roman"/>
          <w:snapToGrid w:val="0"/>
          <w:color w:val="000000" w:themeColor="text1"/>
          <w:sz w:val="24"/>
          <w:szCs w:val="24"/>
          <w:highlight w:val="none"/>
          <w:vertAlign w:val="subscript"/>
          <w:lang w:eastAsia="zh-CN"/>
          <w14:textFill>
            <w14:solidFill>
              <w14:schemeClr w14:val="tx1"/>
            </w14:solidFill>
          </w14:textFill>
        </w:rPr>
        <w:t>3</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-N</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5</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mg/L、TN15mg/L、TP0.</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5</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mg/L</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等</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要求，</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废水经处理达标后</w:t>
      </w:r>
      <w:r>
        <w:rPr>
          <w:rFonts w:hint="eastAsia" w:cs="Times New Roman"/>
          <w:snapToGrid w:val="0"/>
          <w:color w:val="000000" w:themeColor="text1"/>
          <w:sz w:val="24"/>
          <w:szCs w:val="24"/>
          <w:highlight w:val="none"/>
          <w:lang w:val="en-US" w:eastAsia="zh-CN"/>
          <w14:textFill>
            <w14:solidFill>
              <w14:schemeClr w14:val="tx1"/>
            </w14:solidFill>
          </w14:textFill>
        </w:rPr>
        <w:t>回用于厂区生产用水、园区绿化、道路喷洒及园区企业生产用水。</w:t>
      </w:r>
    </w:p>
    <w:p w14:paraId="3C4E4730">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非正常工况下，废水排放对</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区域</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水环境产生影响，因此污水处理厂应做好运营期管理，建立应急事故处置预案，避免非正常工况下废水未经处理直接排入纳污水体。</w:t>
      </w:r>
    </w:p>
    <w:p w14:paraId="3283E3CE">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②地下水影响</w:t>
      </w:r>
    </w:p>
    <w:p w14:paraId="321E2CCA">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拟建工程废水经厂内处理达标后</w:t>
      </w:r>
      <w:bookmarkStart w:id="427" w:name="OLE_LINK40"/>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回用于厂区生产用水</w:t>
      </w:r>
      <w:bookmarkEnd w:id="427"/>
      <w:r>
        <w:rPr>
          <w:rFonts w:hint="eastAsia" w:cs="Times New Roman"/>
          <w:snapToGrid w:val="0"/>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园区绿化、道路喷洒及园区企业生产用水</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在污水处理厂正常运行的情况下对评价区域地下水水质没有影响。污水池</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等</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发生泄漏事故时，容易对地下水产生污染。但随着泄漏发现、封堵后，地下水中的污染物会在地下水流的稀释下浓度逐渐降低，将大大降低泄漏产生的影响。</w:t>
      </w:r>
    </w:p>
    <w:p w14:paraId="35A5864C">
      <w:pPr>
        <w:pStyle w:val="6"/>
        <w:pageBreakBefore w:val="0"/>
        <w:widowControl w:val="0"/>
        <w:kinsoku/>
        <w:wordWrap/>
        <w:overflowPunct/>
        <w:topLinePunct w:val="0"/>
        <w:autoSpaceDE/>
        <w:autoSpaceDN/>
        <w:bidi w:val="0"/>
        <w:adjustRightInd/>
        <w:snapToGrid/>
        <w:spacing w:before="0" w:beforeLines="0" w:after="0" w:afterLines="0"/>
        <w:textAlignment w:val="auto"/>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9.3.3</w:t>
      </w:r>
      <w:bookmarkEnd w:id="426"/>
      <w:r>
        <w:rPr>
          <w:rFonts w:hint="default" w:ascii="Times New Roman" w:hAnsi="Times New Roman" w:eastAsia="宋体" w:cs="Times New Roman"/>
          <w:color w:val="000000" w:themeColor="text1"/>
          <w:highlight w:val="none"/>
          <w14:textFill>
            <w14:solidFill>
              <w14:schemeClr w14:val="tx1"/>
            </w14:solidFill>
          </w14:textFill>
        </w:rPr>
        <w:t>噪声污染治理措施</w:t>
      </w:r>
    </w:p>
    <w:p w14:paraId="38F0861F">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pPr>
      <w:bookmarkStart w:id="428" w:name="_Toc389681355"/>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本项目新增噪声主要为鼓风机、泵类、</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叠螺污泥脱水机</w:t>
      </w: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废气处理风机等设备运行噪声，拟采用的降噪措施主要是选用低噪声设备、厂房隔声、安装减振垫、鼓风机加消声器，引风机加隔声罩、出口与管道连接处采用软连接等防治措施。根据现有工程采取相同的噪声污染防治措施的实际运行情况来看，上述措施均为合理有效的措施。采取以上措施后，经预测厂界噪声可满足《工业企业厂界环境噪声排放标准》(GB12348-2008)3类标准要求，噪声防治措施可行。</w:t>
      </w:r>
    </w:p>
    <w:p w14:paraId="713444F2">
      <w:pPr>
        <w:pStyle w:val="6"/>
        <w:pageBreakBefore w:val="0"/>
        <w:widowControl w:val="0"/>
        <w:kinsoku/>
        <w:wordWrap/>
        <w:overflowPunct/>
        <w:topLinePunct w:val="0"/>
        <w:autoSpaceDE/>
        <w:autoSpaceDN/>
        <w:bidi w:val="0"/>
        <w:adjustRightInd/>
        <w:snapToGrid/>
        <w:spacing w:before="0" w:beforeLines="0" w:after="0" w:afterLines="0"/>
        <w:textAlignment w:val="auto"/>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9.3.4</w:t>
      </w:r>
      <w:r>
        <w:rPr>
          <w:rFonts w:hint="default" w:ascii="Times New Roman" w:hAnsi="Times New Roman" w:eastAsia="宋体" w:cs="Times New Roman"/>
          <w:color w:val="000000" w:themeColor="text1"/>
          <w:highlight w:val="none"/>
          <w14:textFill>
            <w14:solidFill>
              <w14:schemeClr w14:val="tx1"/>
            </w14:solidFill>
          </w14:textFill>
        </w:rPr>
        <w:t>固体废物</w:t>
      </w:r>
      <w:bookmarkEnd w:id="428"/>
    </w:p>
    <w:p w14:paraId="5C2C6AC3">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pPr>
      <w:bookmarkStart w:id="429" w:name="_Toc457301624"/>
      <w:bookmarkStart w:id="430" w:name="_Toc437618750"/>
      <w:bookmarkStart w:id="431" w:name="_Toc438472867"/>
      <w:bookmarkStart w:id="432" w:name="_Toc378688934"/>
      <w:bookmarkStart w:id="433" w:name="_Toc404353708"/>
      <w:bookmarkStart w:id="434" w:name="_Toc438646380"/>
      <w:bookmarkStart w:id="435" w:name="_Toc437951394"/>
      <w:bookmarkStart w:id="436" w:name="_Toc455416512"/>
      <w:bookmarkStart w:id="437" w:name="_Toc455416300"/>
      <w:bookmarkStart w:id="438" w:name="_Toc438285831"/>
      <w:bookmarkStart w:id="439" w:name="_Toc378345804"/>
      <w:bookmarkStart w:id="440" w:name="_Toc455416405"/>
      <w:bookmarkStart w:id="441" w:name="_Toc456279403"/>
      <w:bookmarkStart w:id="442" w:name="_Toc30408"/>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本项目所产生的一般工业固体废物主要包括栅渣、沉砂、污泥。栅渣、沉砂</w:t>
      </w:r>
      <w:r>
        <w:rPr>
          <w:rFonts w:hint="eastAsia" w:cs="Times New Roman"/>
          <w:snapToGrid w:val="0"/>
          <w:color w:val="000000" w:themeColor="text1"/>
          <w:sz w:val="24"/>
          <w:szCs w:val="24"/>
          <w:highlight w:val="none"/>
          <w:lang w:val="en-US" w:eastAsia="zh-CN"/>
          <w14:textFill>
            <w14:solidFill>
              <w14:schemeClr w14:val="tx1"/>
            </w14:solidFill>
          </w14:textFill>
        </w:rPr>
        <w:t>和脱水后</w:t>
      </w: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污泥</w:t>
      </w:r>
      <w:r>
        <w:rPr>
          <w:rFonts w:hint="eastAsia" w:cs="Times New Roman"/>
          <w:snapToGrid w:val="0"/>
          <w:color w:val="000000" w:themeColor="text1"/>
          <w:sz w:val="24"/>
          <w:szCs w:val="24"/>
          <w:highlight w:val="none"/>
          <w:lang w:val="en-US" w:eastAsia="zh-CN"/>
          <w14:textFill>
            <w14:solidFill>
              <w14:schemeClr w14:val="tx1"/>
            </w14:solidFill>
          </w14:textFill>
        </w:rPr>
        <w:t>一同</w:t>
      </w: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运至</w:t>
      </w:r>
      <w:r>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t>水泥厂协同</w:t>
      </w: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处置。</w:t>
      </w:r>
    </w:p>
    <w:p w14:paraId="5574F3CF">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危险废物主要包括废润滑油、废液压油和废油桶、</w:t>
      </w:r>
      <w:r>
        <w:rPr>
          <w:rFonts w:hint="eastAsia" w:cs="Times New Roman"/>
          <w:snapToGrid w:val="0"/>
          <w:color w:val="000000" w:themeColor="text1"/>
          <w:sz w:val="24"/>
          <w:szCs w:val="24"/>
          <w:highlight w:val="none"/>
          <w:lang w:eastAsia="zh-CN"/>
          <w14:textFill>
            <w14:solidFill>
              <w14:schemeClr w14:val="tx1"/>
            </w14:solidFill>
          </w14:textFill>
        </w:rPr>
        <w:t>实验室</w:t>
      </w: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及在线监测废液、废试剂瓶。将各危险废物分类收集，并用专用密闭容器贮存，分区暂存于危废间内，定期委托有危废处理资质的单位统一处理。</w:t>
      </w:r>
    </w:p>
    <w:p w14:paraId="47865349">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本项目各固体废物均可得到合理利用或处置，措施可行。</w:t>
      </w:r>
    </w:p>
    <w:p w14:paraId="3ED3D375">
      <w:pPr>
        <w:pStyle w:val="7"/>
        <w:pageBreakBefore w:val="0"/>
        <w:widowControl w:val="0"/>
        <w:kinsoku/>
        <w:wordWrap/>
        <w:overflowPunct/>
        <w:topLinePunct w:val="0"/>
        <w:autoSpaceDE/>
        <w:autoSpaceDN/>
        <w:bidi w:val="0"/>
        <w:adjustRightInd/>
        <w:snapToGrid/>
        <w:spacing w:before="0" w:beforeLines="0" w:after="0" w:afterLines="0"/>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bookmarkStart w:id="443" w:name="_Toc25754"/>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环境影响分析结论</w:t>
      </w:r>
      <w:bookmarkEnd w:id="443"/>
    </w:p>
    <w:p w14:paraId="2CF4FD8A">
      <w:pPr>
        <w:bidi w:val="0"/>
        <w:rPr>
          <w:rFonts w:hint="default"/>
          <w:lang w:eastAsia="zh-CN"/>
        </w:rPr>
      </w:pPr>
      <w:r>
        <w:rPr>
          <w:rFonts w:hint="default"/>
          <w:lang w:eastAsia="zh-CN"/>
        </w:rPr>
        <w:t>⑴大气环境影响分析结论</w:t>
      </w:r>
    </w:p>
    <w:p w14:paraId="2270D723">
      <w:pPr>
        <w:bidi w:val="0"/>
        <w:rPr>
          <w:rFonts w:hint="default"/>
        </w:rPr>
      </w:pPr>
      <w:r>
        <w:rPr>
          <w:rFonts w:hint="default"/>
        </w:rPr>
        <w:t>根据估算模型AERSCREEN计算结果，拟建项目各污染源排放的污染物最大落地浓度均不超标。拟建项目不需设置大气环境防护距离。拟建工程采用的废气处理设施可确保</w:t>
      </w:r>
      <w:r>
        <w:rPr>
          <w:rFonts w:hint="default"/>
          <w:lang w:val="en-US" w:eastAsia="zh-CN"/>
        </w:rPr>
        <w:t>氨</w:t>
      </w:r>
      <w:r>
        <w:rPr>
          <w:rFonts w:hint="default"/>
        </w:rPr>
        <w:t>、</w:t>
      </w:r>
      <w:r>
        <w:rPr>
          <w:rFonts w:hint="default"/>
          <w:lang w:val="en-US" w:eastAsia="zh-CN"/>
        </w:rPr>
        <w:t>硫</w:t>
      </w:r>
      <w:r>
        <w:rPr>
          <w:rFonts w:hint="default"/>
          <w:lang w:eastAsia="zh-CN"/>
        </w:rPr>
        <w:t>化氢</w:t>
      </w:r>
      <w:r>
        <w:rPr>
          <w:rFonts w:hint="default"/>
        </w:rPr>
        <w:t>等达标排放。综上所述，拟建项目建设对区域环境空气的环境影响可以接受。</w:t>
      </w:r>
    </w:p>
    <w:p w14:paraId="2C1FFF57">
      <w:pPr>
        <w:bidi w:val="0"/>
        <w:rPr>
          <w:rFonts w:hint="default"/>
          <w:lang w:eastAsia="zh-CN"/>
        </w:rPr>
      </w:pPr>
      <w:r>
        <w:rPr>
          <w:rFonts w:hint="default"/>
          <w:lang w:eastAsia="zh-CN"/>
        </w:rPr>
        <w:t>⑵水环境影响分析结论</w:t>
      </w:r>
    </w:p>
    <w:p w14:paraId="69603C1A">
      <w:pPr>
        <w:bidi w:val="0"/>
        <w:rPr>
          <w:rFonts w:hint="default"/>
          <w:lang w:eastAsia="zh-CN"/>
        </w:rPr>
      </w:pPr>
      <w:r>
        <w:rPr>
          <w:rFonts w:hint="default"/>
          <w:lang w:eastAsia="zh-CN"/>
        </w:rPr>
        <w:t>①地</w:t>
      </w:r>
      <w:r>
        <w:rPr>
          <w:rFonts w:hint="default"/>
          <w:lang w:val="en-US" w:eastAsia="zh-CN"/>
        </w:rPr>
        <w:t>表</w:t>
      </w:r>
      <w:r>
        <w:rPr>
          <w:rFonts w:hint="default"/>
          <w:lang w:eastAsia="zh-CN"/>
        </w:rPr>
        <w:t>水影响</w:t>
      </w:r>
    </w:p>
    <w:p w14:paraId="4ACA2B41">
      <w:pPr>
        <w:bidi w:val="0"/>
        <w:rPr>
          <w:rFonts w:hint="default"/>
          <w:highlight w:val="none"/>
          <w:lang w:eastAsia="zh-CN"/>
        </w:rPr>
      </w:pPr>
      <w:r>
        <w:rPr>
          <w:rFonts w:hint="default"/>
          <w:lang w:eastAsia="zh-CN"/>
        </w:rPr>
        <w:t>本项目</w:t>
      </w:r>
      <w:r>
        <w:rPr>
          <w:rFonts w:hint="default"/>
          <w:lang w:val="en-US" w:eastAsia="zh-CN"/>
        </w:rPr>
        <w:t>扩建完成后</w:t>
      </w:r>
      <w:r>
        <w:rPr>
          <w:rFonts w:hint="default"/>
          <w:lang w:eastAsia="zh-CN"/>
        </w:rPr>
        <w:t>污水厂设计处理规模</w:t>
      </w:r>
      <w:r>
        <w:rPr>
          <w:rFonts w:hint="default"/>
          <w:lang w:val="en-US" w:eastAsia="zh-CN"/>
        </w:rPr>
        <w:t>250</w:t>
      </w:r>
      <w:r>
        <w:rPr>
          <w:rFonts w:hint="default"/>
          <w:lang w:eastAsia="zh-CN"/>
        </w:rPr>
        <w:t>万</w:t>
      </w:r>
      <w:r>
        <w:rPr>
          <w:rFonts w:hint="eastAsia"/>
          <w:lang w:eastAsia="zh-CN"/>
        </w:rPr>
        <w:t>m</w:t>
      </w:r>
      <w:r>
        <w:rPr>
          <w:rFonts w:hint="eastAsia"/>
          <w:vertAlign w:val="superscript"/>
          <w:lang w:eastAsia="zh-CN"/>
        </w:rPr>
        <w:t>3</w:t>
      </w:r>
      <w:r>
        <w:rPr>
          <w:rFonts w:hint="default"/>
          <w:lang w:eastAsia="zh-CN"/>
        </w:rPr>
        <w:t>/d。正常工况下污水处理厂采取合理的处理工艺，并加强运行管理，可确保出水水质稳定达到《城镇污水处理厂污染物排放标准》(GB18918-2002)表1中一</w:t>
      </w:r>
      <w:r>
        <w:rPr>
          <w:rFonts w:hint="default"/>
          <w:highlight w:val="none"/>
          <w:lang w:eastAsia="zh-CN"/>
        </w:rPr>
        <w:t>级A标准要求，</w:t>
      </w:r>
      <w:r>
        <w:rPr>
          <w:rFonts w:hint="default"/>
          <w:highlight w:val="none"/>
          <w:lang w:val="en-US" w:eastAsia="zh-CN"/>
        </w:rPr>
        <w:t>同时满足《城市污水再生利用  工业用水水质》（GB/T19923-2024）、《城市污水再生利用 城市杂用水水质》（GB/T18920-2020）、《城市污水再生利用 绿地灌溉水质》（GB/T25499-2010）标准限值：</w:t>
      </w:r>
      <w:r>
        <w:rPr>
          <w:rFonts w:hint="default"/>
          <w:highlight w:val="none"/>
          <w:lang w:eastAsia="zh-CN"/>
        </w:rPr>
        <w:t>COD</w:t>
      </w:r>
      <w:r>
        <w:rPr>
          <w:rFonts w:hint="default"/>
          <w:highlight w:val="none"/>
          <w:lang w:val="en-US" w:eastAsia="zh-CN"/>
        </w:rPr>
        <w:t>5</w:t>
      </w:r>
      <w:r>
        <w:rPr>
          <w:rFonts w:hint="default"/>
          <w:highlight w:val="none"/>
          <w:lang w:eastAsia="zh-CN"/>
        </w:rPr>
        <w:t>0mg/L、BOD</w:t>
      </w:r>
      <w:r>
        <w:rPr>
          <w:rFonts w:hint="default"/>
          <w:highlight w:val="none"/>
          <w:vertAlign w:val="subscript"/>
          <w:lang w:eastAsia="zh-CN"/>
        </w:rPr>
        <w:t>5</w:t>
      </w:r>
      <w:r>
        <w:rPr>
          <w:rFonts w:hint="default"/>
          <w:highlight w:val="none"/>
          <w:lang w:val="en-US" w:eastAsia="zh-CN"/>
        </w:rPr>
        <w:t>10</w:t>
      </w:r>
      <w:r>
        <w:rPr>
          <w:rFonts w:hint="default"/>
          <w:highlight w:val="none"/>
          <w:lang w:eastAsia="zh-CN"/>
        </w:rPr>
        <w:t>mg/L、SS</w:t>
      </w:r>
      <w:r>
        <w:rPr>
          <w:rFonts w:hint="default"/>
          <w:highlight w:val="none"/>
          <w:lang w:val="en-US" w:eastAsia="zh-CN"/>
        </w:rPr>
        <w:t>10</w:t>
      </w:r>
      <w:r>
        <w:rPr>
          <w:rFonts w:hint="default"/>
          <w:highlight w:val="none"/>
          <w:lang w:eastAsia="zh-CN"/>
        </w:rPr>
        <w:t>mg/L、NH</w:t>
      </w:r>
      <w:r>
        <w:rPr>
          <w:rFonts w:hint="default"/>
          <w:highlight w:val="none"/>
          <w:vertAlign w:val="subscript"/>
          <w:lang w:eastAsia="zh-CN"/>
        </w:rPr>
        <w:t>3</w:t>
      </w:r>
      <w:r>
        <w:rPr>
          <w:rFonts w:hint="default"/>
          <w:highlight w:val="none"/>
          <w:lang w:eastAsia="zh-CN"/>
        </w:rPr>
        <w:t>-N</w:t>
      </w:r>
      <w:r>
        <w:rPr>
          <w:rFonts w:hint="default"/>
          <w:highlight w:val="none"/>
          <w:lang w:val="en-US" w:eastAsia="zh-CN"/>
        </w:rPr>
        <w:t>5</w:t>
      </w:r>
      <w:r>
        <w:rPr>
          <w:rFonts w:hint="default"/>
          <w:highlight w:val="none"/>
          <w:lang w:eastAsia="zh-CN"/>
        </w:rPr>
        <w:t>mg/L、TN15mg/L、TP0.</w:t>
      </w:r>
      <w:r>
        <w:rPr>
          <w:rFonts w:hint="default"/>
          <w:highlight w:val="none"/>
          <w:lang w:val="en-US" w:eastAsia="zh-CN"/>
        </w:rPr>
        <w:t>5</w:t>
      </w:r>
      <w:r>
        <w:rPr>
          <w:rFonts w:hint="default"/>
          <w:highlight w:val="none"/>
          <w:lang w:eastAsia="zh-CN"/>
        </w:rPr>
        <w:t>mg/L</w:t>
      </w:r>
      <w:r>
        <w:rPr>
          <w:rFonts w:hint="default"/>
          <w:highlight w:val="none"/>
          <w:lang w:val="en-US" w:eastAsia="zh-CN"/>
        </w:rPr>
        <w:t>等</w:t>
      </w:r>
      <w:r>
        <w:rPr>
          <w:rFonts w:hint="default"/>
          <w:highlight w:val="none"/>
          <w:lang w:eastAsia="zh-CN"/>
        </w:rPr>
        <w:t>要求，</w:t>
      </w:r>
      <w:r>
        <w:rPr>
          <w:rFonts w:hint="default"/>
          <w:highlight w:val="none"/>
          <w:lang w:val="en-US" w:eastAsia="zh-CN"/>
        </w:rPr>
        <w:t>废水经处理达标后首先作为中水回用厂区生产用水，剩余污水</w:t>
      </w:r>
      <w:r>
        <w:rPr>
          <w:rFonts w:hint="eastAsia"/>
          <w:highlight w:val="none"/>
          <w:lang w:val="en-US" w:eastAsia="zh-CN"/>
        </w:rPr>
        <w:t>回用于园区绿化、道路喷洒及园区企业生产用水。</w:t>
      </w:r>
    </w:p>
    <w:p w14:paraId="4460670D">
      <w:pPr>
        <w:bidi w:val="0"/>
        <w:rPr>
          <w:rFonts w:hint="default"/>
          <w:lang w:eastAsia="zh-CN"/>
        </w:rPr>
      </w:pPr>
      <w:r>
        <w:rPr>
          <w:rFonts w:hint="default"/>
          <w:lang w:eastAsia="zh-CN"/>
        </w:rPr>
        <w:t>非正常工况下，废水排放对区域水环境产生影响，因此污水处理厂应做好运营期管理，建立应急事故处置预案，避免非正常工况下废水未经处理直接排入纳污水体。</w:t>
      </w:r>
    </w:p>
    <w:p w14:paraId="3366D673">
      <w:pPr>
        <w:bidi w:val="0"/>
        <w:rPr>
          <w:rFonts w:hint="default"/>
          <w:lang w:eastAsia="zh-CN"/>
        </w:rPr>
      </w:pPr>
      <w:r>
        <w:rPr>
          <w:rFonts w:hint="default"/>
          <w:lang w:eastAsia="zh-CN"/>
        </w:rPr>
        <w:t>②地下水影响</w:t>
      </w:r>
    </w:p>
    <w:p w14:paraId="54677160">
      <w:pPr>
        <w:bidi w:val="0"/>
        <w:rPr>
          <w:rFonts w:hint="default"/>
          <w:lang w:eastAsia="zh-CN"/>
        </w:rPr>
      </w:pPr>
      <w:r>
        <w:rPr>
          <w:rFonts w:hint="default"/>
          <w:lang w:eastAsia="zh-CN"/>
        </w:rPr>
        <w:t>拟建工程废水经厂内处理达标</w:t>
      </w:r>
      <w:r>
        <w:rPr>
          <w:rFonts w:hint="default"/>
          <w:highlight w:val="none"/>
          <w:lang w:eastAsia="zh-CN"/>
        </w:rPr>
        <w:t>后</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回用于厂区生产用水</w:t>
      </w:r>
      <w:r>
        <w:rPr>
          <w:rFonts w:hint="eastAsia" w:cs="Times New Roman"/>
          <w:snapToGrid w:val="0"/>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园区绿化、道路喷洒及园区企业生产用水</w:t>
      </w:r>
      <w:r>
        <w:rPr>
          <w:rFonts w:hint="default"/>
          <w:highlight w:val="none"/>
          <w:lang w:eastAsia="zh-CN"/>
        </w:rPr>
        <w:t>，在污水处理厂正常运行的情况下对评价区域地下水水</w:t>
      </w:r>
      <w:r>
        <w:rPr>
          <w:rFonts w:hint="default"/>
          <w:lang w:eastAsia="zh-CN"/>
        </w:rPr>
        <w:t>质没有影响。</w:t>
      </w:r>
      <w:r>
        <w:rPr>
          <w:rFonts w:hint="eastAsia"/>
          <w:lang w:val="en-US" w:eastAsia="zh-CN"/>
        </w:rPr>
        <w:t>调节</w:t>
      </w:r>
      <w:r>
        <w:rPr>
          <w:rFonts w:hint="default"/>
          <w:lang w:eastAsia="zh-CN"/>
        </w:rPr>
        <w:t>池等发生泄漏事故时，容易对地下水产生污染。但随着泄漏发现、封堵后，地下水中的污染物会在地下水流的稀释下浓度逐渐降低，将大大降低泄漏产生的影响。</w:t>
      </w:r>
    </w:p>
    <w:p w14:paraId="63D4F46A">
      <w:pPr>
        <w:bidi w:val="0"/>
        <w:rPr>
          <w:rFonts w:hint="default"/>
          <w:lang w:eastAsia="zh-CN"/>
        </w:rPr>
      </w:pPr>
      <w:r>
        <w:rPr>
          <w:rFonts w:hint="default"/>
          <w:lang w:eastAsia="zh-CN"/>
        </w:rPr>
        <w:t>⑶声环境影响</w:t>
      </w:r>
      <w:bookmarkStart w:id="444" w:name="OLE_LINK28"/>
      <w:r>
        <w:rPr>
          <w:rFonts w:hint="default"/>
          <w:lang w:eastAsia="zh-CN"/>
        </w:rPr>
        <w:t>分析结论</w:t>
      </w:r>
      <w:bookmarkEnd w:id="444"/>
    </w:p>
    <w:p w14:paraId="336378CE">
      <w:pPr>
        <w:bidi w:val="0"/>
        <w:rPr>
          <w:rFonts w:hint="default"/>
          <w:lang w:eastAsia="zh-CN"/>
        </w:rPr>
      </w:pPr>
      <w:r>
        <w:rPr>
          <w:rFonts w:hint="default"/>
          <w:lang w:val="en-US" w:eastAsia="zh-CN"/>
        </w:rPr>
        <w:t>项目建设完成后，</w:t>
      </w:r>
      <w:r>
        <w:rPr>
          <w:rFonts w:hint="default"/>
        </w:rPr>
        <w:t>项目</w:t>
      </w:r>
      <w:r>
        <w:rPr>
          <w:rFonts w:hint="default"/>
          <w:lang w:eastAsia="zh-CN"/>
        </w:rPr>
        <w:t>各厂界</w:t>
      </w:r>
      <w:r>
        <w:rPr>
          <w:rFonts w:hint="default"/>
        </w:rPr>
        <w:t>噪声</w:t>
      </w:r>
      <w:r>
        <w:rPr>
          <w:rFonts w:hint="default"/>
          <w:lang w:eastAsia="zh-CN"/>
        </w:rPr>
        <w:t>贡献值</w:t>
      </w:r>
      <w:r>
        <w:rPr>
          <w:rFonts w:hint="default"/>
        </w:rPr>
        <w:t>均可满足《工业企业厂界环境噪声排放标准》(GBl2348-2008)3</w:t>
      </w:r>
      <w:r>
        <w:rPr>
          <w:rFonts w:hint="default"/>
          <w:lang w:val="en-US" w:eastAsia="zh-CN"/>
        </w:rPr>
        <w:t>类</w:t>
      </w:r>
      <w:r>
        <w:rPr>
          <w:rFonts w:hint="default"/>
        </w:rPr>
        <w:t>标准限值要求。</w:t>
      </w:r>
      <w:r>
        <w:rPr>
          <w:rFonts w:hint="default"/>
          <w:lang w:eastAsia="zh-CN"/>
        </w:rPr>
        <w:t>不会对区域声环境产生明显影响。</w:t>
      </w:r>
    </w:p>
    <w:p w14:paraId="19AF73C0">
      <w:pPr>
        <w:bidi w:val="0"/>
        <w:rPr>
          <w:rFonts w:hint="default"/>
          <w:lang w:eastAsia="zh-CN"/>
        </w:rPr>
      </w:pPr>
      <w:r>
        <w:rPr>
          <w:rFonts w:hint="default"/>
          <w:lang w:eastAsia="zh-CN"/>
        </w:rPr>
        <w:t>⑷固体废物环境影响分析结论</w:t>
      </w:r>
    </w:p>
    <w:p w14:paraId="4E04BDE3">
      <w:pPr>
        <w:bidi w:val="0"/>
        <w:rPr>
          <w:rFonts w:hint="default"/>
          <w:lang w:val="en-US" w:eastAsia="zh-CN"/>
        </w:rPr>
      </w:pPr>
      <w:r>
        <w:rPr>
          <w:rFonts w:hint="default"/>
          <w:lang w:eastAsia="zh-CN"/>
        </w:rPr>
        <w:t>项目产生的一般固体储存于一般固废暂存区，暂存区做到三防，即：防风、防雨、防晒。废物全部资源化、无害化处置。</w:t>
      </w:r>
      <w:r>
        <w:rPr>
          <w:rFonts w:hint="default"/>
          <w:lang w:val="en-US" w:eastAsia="zh-CN"/>
        </w:rPr>
        <w:t>本项目危险废物储存及管理均严格按照</w:t>
      </w:r>
      <w:r>
        <w:rPr>
          <w:rFonts w:hint="default"/>
        </w:rPr>
        <w:t>《危险废物贮存污染控制标准》(</w:t>
      </w:r>
      <w:r>
        <w:rPr>
          <w:rFonts w:hint="default"/>
          <w:lang w:eastAsia="zh-CN"/>
        </w:rPr>
        <w:t>GB18597-2023</w:t>
      </w:r>
      <w:r>
        <w:rPr>
          <w:rFonts w:hint="default"/>
        </w:rPr>
        <w:t>)</w:t>
      </w:r>
      <w:r>
        <w:rPr>
          <w:rFonts w:hint="default"/>
          <w:lang w:eastAsia="zh-CN"/>
        </w:rPr>
        <w:t>标准执行，对周边影响较小。</w:t>
      </w:r>
    </w:p>
    <w:p w14:paraId="785C0D4D">
      <w:pPr>
        <w:bidi w:val="0"/>
        <w:rPr>
          <w:rFonts w:hint="default"/>
          <w:lang w:val="en-US" w:eastAsia="zh-CN"/>
        </w:rPr>
      </w:pPr>
      <w:r>
        <w:rPr>
          <w:rFonts w:hint="default"/>
          <w:lang w:val="en-US" w:eastAsia="zh-CN"/>
        </w:rPr>
        <w:t>综上所述，本项目产生的固体废物均能够得到有效合理的处置。</w:t>
      </w:r>
    </w:p>
    <w:p w14:paraId="4A644C1D">
      <w:pPr>
        <w:pStyle w:val="7"/>
        <w:pageBreakBefore w:val="0"/>
        <w:widowControl w:val="0"/>
        <w:kinsoku/>
        <w:wordWrap/>
        <w:overflowPunct/>
        <w:topLinePunct w:val="0"/>
        <w:bidi w:val="0"/>
        <w:snapToGrid/>
        <w:spacing w:before="0" w:beforeLines="0" w:after="0" w:afterLines="0"/>
        <w:ind w:right="0" w:rightChars="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bookmarkStart w:id="445" w:name="_Toc20533"/>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bookmarkEnd w:id="429"/>
      <w:bookmarkEnd w:id="430"/>
      <w:bookmarkEnd w:id="431"/>
      <w:bookmarkEnd w:id="432"/>
      <w:bookmarkEnd w:id="433"/>
      <w:bookmarkEnd w:id="434"/>
      <w:bookmarkEnd w:id="435"/>
      <w:bookmarkEnd w:id="436"/>
      <w:bookmarkEnd w:id="437"/>
      <w:bookmarkEnd w:id="438"/>
      <w:bookmarkEnd w:id="439"/>
      <w:bookmarkEnd w:id="440"/>
      <w:bookmarkEnd w:id="441"/>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sz w:val="24"/>
          <w:szCs w:val="24"/>
          <w:highlight w:val="none"/>
          <w14:textFill>
            <w14:solidFill>
              <w14:schemeClr w14:val="tx1"/>
            </w14:solidFill>
          </w14:textFill>
        </w:rPr>
        <w:t>公众意见采纳情况结论</w:t>
      </w:r>
      <w:bookmarkEnd w:id="442"/>
      <w:bookmarkEnd w:id="445"/>
    </w:p>
    <w:p w14:paraId="5334B48D">
      <w:pPr>
        <w:bidi w:val="0"/>
        <w:rPr>
          <w:rFonts w:hint="default"/>
          <w:lang w:val="en-US"/>
        </w:rPr>
      </w:pPr>
      <w:bookmarkStart w:id="446" w:name="_Toc246763586"/>
      <w:bookmarkStart w:id="447" w:name="_Toc376521427"/>
      <w:bookmarkStart w:id="448" w:name="_Toc376521021"/>
      <w:bookmarkStart w:id="449" w:name="_Toc378345805"/>
      <w:bookmarkStart w:id="450" w:name="_Toc361729396"/>
      <w:bookmarkStart w:id="451" w:name="_Toc378688935"/>
      <w:bookmarkStart w:id="452" w:name="_Toc377414505"/>
      <w:r>
        <w:rPr>
          <w:rFonts w:hint="default"/>
          <w:lang w:val="zh-CN"/>
        </w:rPr>
        <w:t>根据《环境影响评价公众参与办法》（生态环境部令第4号）的相关要求，</w:t>
      </w:r>
      <w:r>
        <w:rPr>
          <w:rFonts w:hint="default"/>
          <w:lang w:eastAsia="zh-CN"/>
        </w:rPr>
        <w:t>建设单位</w:t>
      </w:r>
      <w:r>
        <w:rPr>
          <w:rFonts w:hint="default"/>
        </w:rPr>
        <w:t>在确定环境影响评价报告书编制单位后7个工作日内（</w:t>
      </w:r>
      <w:r>
        <w:rPr>
          <w:rFonts w:hint="default"/>
          <w:lang w:val="en-US" w:eastAsia="zh-CN"/>
        </w:rPr>
        <w:t>2024年5月6日</w:t>
      </w:r>
      <w:r>
        <w:rPr>
          <w:rFonts w:hint="default"/>
        </w:rPr>
        <w:t>）在</w:t>
      </w:r>
      <w:r>
        <w:rPr>
          <w:rFonts w:hint="default"/>
          <w:lang w:eastAsia="zh-CN"/>
        </w:rPr>
        <w:t>曹妃甸区人民政府网站上</w:t>
      </w:r>
      <w:r>
        <w:rPr>
          <w:rFonts w:hint="default"/>
        </w:rPr>
        <w:t>对项目基本情况进行了首次公示</w:t>
      </w:r>
      <w:r>
        <w:rPr>
          <w:rFonts w:hint="default"/>
          <w:lang w:eastAsia="zh-CN"/>
        </w:rPr>
        <w:t>。</w:t>
      </w:r>
      <w:r>
        <w:rPr>
          <w:rFonts w:hint="default"/>
        </w:rPr>
        <w:t>在得到环评初步结论后，</w:t>
      </w:r>
      <w:r>
        <w:rPr>
          <w:rFonts w:hint="default"/>
          <w:lang w:val="en-US" w:eastAsia="zh-CN"/>
        </w:rPr>
        <w:t>建设单位于2024年7月15日至2024年7月26日进行第二次公众意见调查工作</w:t>
      </w:r>
      <w:r>
        <w:rPr>
          <w:rFonts w:hint="default"/>
          <w:lang w:val="en-US"/>
        </w:rPr>
        <w:t>，</w:t>
      </w:r>
      <w:r>
        <w:rPr>
          <w:rFonts w:hint="default"/>
        </w:rPr>
        <w:t>在</w:t>
      </w:r>
      <w:r>
        <w:rPr>
          <w:rFonts w:hint="default"/>
          <w:lang w:val="en-US" w:eastAsia="zh-CN"/>
        </w:rPr>
        <w:t>曹妃甸区人民政府网站上</w:t>
      </w:r>
      <w:r>
        <w:rPr>
          <w:rFonts w:hint="default"/>
        </w:rPr>
        <w:t>进行了网上公示、报纸公示(</w:t>
      </w:r>
      <w:r>
        <w:rPr>
          <w:rFonts w:hint="default"/>
          <w:lang w:eastAsia="zh-CN"/>
        </w:rPr>
        <w:t>河北青年报</w:t>
      </w:r>
      <w:r>
        <w:rPr>
          <w:rFonts w:hint="default"/>
        </w:rPr>
        <w:t>)、在村庄等敏感点现场粘贴公示同步进行，</w:t>
      </w:r>
      <w:r>
        <w:rPr>
          <w:rFonts w:hint="default"/>
          <w:lang w:val="en-US"/>
        </w:rPr>
        <w:t>公示期间未收到反馈意见。</w:t>
      </w:r>
    </w:p>
    <w:p w14:paraId="20F8D8D9">
      <w:pPr>
        <w:pStyle w:val="7"/>
        <w:pageBreakBefore w:val="0"/>
        <w:widowControl w:val="0"/>
        <w:kinsoku/>
        <w:wordWrap/>
        <w:overflowPunct/>
        <w:topLinePunct w:val="0"/>
        <w:bidi w:val="0"/>
        <w:snapToGrid/>
        <w:spacing w:before="0" w:beforeLines="0" w:after="0" w:afterLines="0"/>
        <w:ind w:right="0" w:rightChars="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bookmarkStart w:id="453" w:name="_Toc29423"/>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6</w:t>
      </w:r>
      <w:r>
        <w:rPr>
          <w:rFonts w:hint="default" w:ascii="Times New Roman" w:hAnsi="Times New Roman" w:eastAsia="宋体" w:cs="Times New Roman"/>
          <w:color w:val="000000" w:themeColor="text1"/>
          <w:sz w:val="24"/>
          <w:szCs w:val="24"/>
          <w:highlight w:val="none"/>
          <w14:textFill>
            <w14:solidFill>
              <w14:schemeClr w14:val="tx1"/>
            </w14:solidFill>
          </w14:textFill>
        </w:rPr>
        <w:t>总量控制结论</w:t>
      </w:r>
      <w:bookmarkEnd w:id="453"/>
    </w:p>
    <w:bookmarkEnd w:id="446"/>
    <w:bookmarkEnd w:id="447"/>
    <w:bookmarkEnd w:id="448"/>
    <w:bookmarkEnd w:id="449"/>
    <w:bookmarkEnd w:id="450"/>
    <w:bookmarkEnd w:id="451"/>
    <w:bookmarkEnd w:id="452"/>
    <w:p w14:paraId="47A9A1FA">
      <w:pPr>
        <w:bidi w:val="0"/>
        <w:rPr>
          <w:rFonts w:hint="default"/>
          <w:lang w:val="en-US" w:eastAsia="zh-CN"/>
        </w:rPr>
      </w:pPr>
      <w:bookmarkStart w:id="454" w:name="_Toc32021"/>
      <w:r>
        <w:rPr>
          <w:rFonts w:hint="default"/>
          <w:lang w:eastAsia="zh-CN"/>
        </w:rPr>
        <w:t>本项目污染物排放总量按照国家或地方污染物排放标准核定。</w:t>
      </w:r>
      <w:r>
        <w:rPr>
          <w:rFonts w:hint="default"/>
          <w:lang w:val="en-US" w:eastAsia="zh-CN"/>
        </w:rPr>
        <w:t>根据核算，本项目总量控制指标目标值分别为：</w:t>
      </w:r>
    </w:p>
    <w:p w14:paraId="59C27972">
      <w:pPr>
        <w:bidi w:val="0"/>
        <w:rPr>
          <w:rFonts w:hint="default"/>
          <w:lang w:val="en-US" w:eastAsia="zh-CN"/>
        </w:rPr>
      </w:pPr>
      <w:r>
        <w:rPr>
          <w:rFonts w:hint="default"/>
          <w:lang w:val="en-US" w:eastAsia="zh-CN"/>
        </w:rPr>
        <w:fldChar w:fldCharType="begin"/>
      </w:r>
      <w:r>
        <w:rPr>
          <w:rFonts w:hint="default"/>
          <w:lang w:val="en-US" w:eastAsia="zh-CN"/>
        </w:rPr>
        <w:instrText xml:space="preserve"> = 1 \* GB3 \* MERGEFORMAT </w:instrText>
      </w:r>
      <w:r>
        <w:rPr>
          <w:rFonts w:hint="default"/>
          <w:lang w:val="en-US" w:eastAsia="zh-CN"/>
        </w:rPr>
        <w:fldChar w:fldCharType="separate"/>
      </w:r>
      <w:r>
        <w:rPr>
          <w:rFonts w:hint="default"/>
          <w:lang w:val="en-US" w:eastAsia="zh-CN"/>
        </w:rPr>
        <w:t>①</w:t>
      </w:r>
      <w:r>
        <w:rPr>
          <w:rFonts w:hint="default"/>
          <w:lang w:val="en-US" w:eastAsia="zh-CN"/>
        </w:rPr>
        <w:fldChar w:fldCharType="end"/>
      </w:r>
      <w:r>
        <w:rPr>
          <w:rFonts w:hint="default"/>
          <w:lang w:val="en-US" w:eastAsia="zh-CN"/>
        </w:rPr>
        <w:t>废气</w:t>
      </w:r>
    </w:p>
    <w:p w14:paraId="72528571">
      <w:pPr>
        <w:bidi w:val="0"/>
        <w:rPr>
          <w:rFonts w:hint="default"/>
          <w:lang w:val="en-US" w:eastAsia="zh-CN"/>
        </w:rPr>
      </w:pPr>
      <w:r>
        <w:rPr>
          <w:rFonts w:hint="eastAsia"/>
          <w:lang w:val="en-US" w:eastAsia="zh-CN"/>
        </w:rPr>
        <w:t>SO</w:t>
      </w:r>
      <w:r>
        <w:rPr>
          <w:rFonts w:hint="eastAsia"/>
          <w:vertAlign w:val="subscript"/>
          <w:lang w:val="en-US" w:eastAsia="zh-CN"/>
        </w:rPr>
        <w:t>2</w:t>
      </w:r>
      <w:r>
        <w:rPr>
          <w:rFonts w:hint="default"/>
          <w:lang w:val="en-US" w:eastAsia="zh-CN"/>
        </w:rPr>
        <w:t>：0t/a、NOx：0t/a。</w:t>
      </w:r>
    </w:p>
    <w:p w14:paraId="6ABFCD1E">
      <w:pPr>
        <w:bidi w:val="0"/>
        <w:rPr>
          <w:rFonts w:hint="default"/>
          <w:lang w:val="en-US" w:eastAsia="zh-CN"/>
        </w:rPr>
      </w:pPr>
      <w:r>
        <w:rPr>
          <w:rFonts w:hint="default"/>
          <w:lang w:val="en-US" w:eastAsia="zh-CN"/>
        </w:rPr>
        <w:t>②废水</w:t>
      </w:r>
    </w:p>
    <w:p w14:paraId="60964DB0">
      <w:pPr>
        <w:bidi w:val="0"/>
        <w:rPr>
          <w:rFonts w:hint="default"/>
          <w:lang w:val="en-US" w:eastAsia="zh-CN"/>
        </w:rPr>
      </w:pPr>
      <w:r>
        <w:rPr>
          <w:rFonts w:hint="default"/>
          <w:lang w:val="en-US" w:eastAsia="zh-CN"/>
        </w:rPr>
        <w:t>COD：0t/a、氨氮：0t/a。</w:t>
      </w:r>
    </w:p>
    <w:p w14:paraId="2195EB47">
      <w:pPr>
        <w:pStyle w:val="7"/>
        <w:pageBreakBefore w:val="0"/>
        <w:widowControl w:val="0"/>
        <w:kinsoku/>
        <w:wordWrap/>
        <w:overflowPunct/>
        <w:topLinePunct w:val="0"/>
        <w:bidi w:val="0"/>
        <w:spacing w:before="0" w:beforeLines="0" w:after="0" w:afterLines="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bookmarkStart w:id="455" w:name="_Toc2575"/>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7</w:t>
      </w:r>
      <w:r>
        <w:rPr>
          <w:rFonts w:hint="default" w:ascii="Times New Roman" w:hAnsi="Times New Roman" w:eastAsia="宋体" w:cs="Times New Roman"/>
          <w:color w:val="000000" w:themeColor="text1"/>
          <w:sz w:val="24"/>
          <w:szCs w:val="24"/>
          <w:highlight w:val="none"/>
          <w14:textFill>
            <w14:solidFill>
              <w14:schemeClr w14:val="tx1"/>
            </w14:solidFill>
          </w14:textFill>
        </w:rPr>
        <w:t>环境影响经济损益分析结论</w:t>
      </w:r>
      <w:bookmarkEnd w:id="454"/>
      <w:bookmarkEnd w:id="455"/>
    </w:p>
    <w:p w14:paraId="122EB484">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通过本项目建设的社会、经济和环境效益分析可知，在落实本评价所提出各项污染防治措施的前提下，本项目的建设能够达到经济效益、社会效益和环境效益相统一的要求，既为地方经济发展做出贡献，又通过环保投资减少了污染物排放量，使污染物排放量在环境容量容许的范围内。本项目的建设满足可持续发展的要求，从环境经济角度而言，项目建设是可行的。</w:t>
      </w:r>
    </w:p>
    <w:p w14:paraId="779B0A48">
      <w:pPr>
        <w:pStyle w:val="7"/>
        <w:pageBreakBefore w:val="0"/>
        <w:widowControl w:val="0"/>
        <w:kinsoku/>
        <w:wordWrap/>
        <w:overflowPunct/>
        <w:topLinePunct w:val="0"/>
        <w:bidi w:val="0"/>
        <w:spacing w:before="0" w:beforeLines="0" w:after="0" w:afterLines="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bookmarkStart w:id="456" w:name="_Toc13649"/>
      <w:bookmarkStart w:id="457" w:name="_Toc23824"/>
      <w:bookmarkStart w:id="458" w:name="_Toc30452"/>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8</w:t>
      </w:r>
      <w:r>
        <w:rPr>
          <w:rFonts w:hint="default" w:ascii="Times New Roman" w:hAnsi="Times New Roman" w:eastAsia="宋体" w:cs="Times New Roman"/>
          <w:color w:val="000000" w:themeColor="text1"/>
          <w:sz w:val="24"/>
          <w:szCs w:val="24"/>
          <w:highlight w:val="none"/>
          <w14:textFill>
            <w14:solidFill>
              <w14:schemeClr w14:val="tx1"/>
            </w14:solidFill>
          </w14:textFill>
        </w:rPr>
        <w:t>环境</w:t>
      </w:r>
      <w:bookmarkEnd w:id="456"/>
      <w:r>
        <w:rPr>
          <w:rFonts w:hint="default" w:ascii="Times New Roman" w:hAnsi="Times New Roman" w:eastAsia="宋体" w:cs="Times New Roman"/>
          <w:color w:val="000000" w:themeColor="text1"/>
          <w:sz w:val="24"/>
          <w:szCs w:val="24"/>
          <w:highlight w:val="none"/>
          <w14:textFill>
            <w14:solidFill>
              <w14:schemeClr w14:val="tx1"/>
            </w14:solidFill>
          </w14:textFill>
        </w:rPr>
        <w:t>管理与监控计划结论</w:t>
      </w:r>
      <w:bookmarkEnd w:id="457"/>
      <w:bookmarkEnd w:id="458"/>
    </w:p>
    <w:p w14:paraId="092F2C89">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1、企业应建立健全环境管理制度体系，将环保纳入考核体系，严格执行</w:t>
      </w: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三同时</w:t>
      </w: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制度，污染治理设施的管理制度、排污口规范化设置，确保在日常运行中将环保目标</w:t>
      </w:r>
      <w:r>
        <w:rPr>
          <w:rFonts w:hint="eastAsia" w:cs="Times New Roman"/>
          <w:snapToGrid w:val="0"/>
          <w:color w:val="000000" w:themeColor="text1"/>
          <w:sz w:val="24"/>
          <w:szCs w:val="24"/>
          <w:highlight w:val="none"/>
          <w:lang w:eastAsia="zh-CN"/>
          <w14:textFill>
            <w14:solidFill>
              <w14:schemeClr w14:val="tx1"/>
            </w14:solidFill>
          </w14:textFill>
        </w:rPr>
        <w:t>落到实处</w:t>
      </w: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w:t>
      </w:r>
    </w:p>
    <w:p w14:paraId="05C35E1C">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t>2、本项目主要在运行期会对环境质量造成一定影响，因此，除了加强环境管理，还应定期进行环境监测，了解项目在不同时期对周围环境的影响，以便采取相应措施，最大程度上减轻不利影响。</w:t>
      </w:r>
    </w:p>
    <w:p w14:paraId="67D62BE0">
      <w:pPr>
        <w:pStyle w:val="7"/>
        <w:pageBreakBefore w:val="0"/>
        <w:widowControl w:val="0"/>
        <w:kinsoku/>
        <w:wordWrap/>
        <w:overflowPunct/>
        <w:topLinePunct w:val="0"/>
        <w:bidi w:val="0"/>
        <w:spacing w:before="0" w:beforeLines="0" w:after="0" w:afterLines="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bookmarkStart w:id="459" w:name="_Toc18663"/>
      <w:bookmarkStart w:id="460" w:name="_Toc18475"/>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highlight w:val="none"/>
          <w14:textFill>
            <w14:solidFill>
              <w14:schemeClr w14:val="tx1"/>
            </w14:solidFill>
          </w14:textFill>
        </w:rPr>
        <w:t>项目可行性结论</w:t>
      </w:r>
      <w:bookmarkEnd w:id="459"/>
      <w:bookmarkEnd w:id="460"/>
    </w:p>
    <w:p w14:paraId="010FAEAF">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pPr>
      <w:bookmarkStart w:id="461" w:name="_Toc26328"/>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唐山市曹妃甸区垦丰家居产业园区新建污水处理厂工程符合国家产业政策要求，厂址选择可行，符合清洁生产要求，满足卫生防护距离要求，环境风险水平可以接受，拟采取的污染防治措施技术经济可行、措施有效，能实现达标排放；项目建设不会对项目所在区域环境质量产生明显影响。从环保的角度考虑，本项目建设是可行的。</w:t>
      </w:r>
    </w:p>
    <w:p w14:paraId="147899FA">
      <w:pPr>
        <w:pStyle w:val="7"/>
        <w:pageBreakBefore w:val="0"/>
        <w:widowControl w:val="0"/>
        <w:kinsoku/>
        <w:wordWrap/>
        <w:overflowPunct/>
        <w:topLinePunct w:val="0"/>
        <w:bidi w:val="0"/>
        <w:spacing w:before="0" w:beforeLines="0" w:after="0" w:afterLines="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bookmarkStart w:id="462" w:name="_Toc15067"/>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10</w:t>
      </w:r>
      <w:r>
        <w:rPr>
          <w:rFonts w:hint="default" w:ascii="Times New Roman" w:hAnsi="Times New Roman" w:eastAsia="宋体" w:cs="Times New Roman"/>
          <w:color w:val="000000" w:themeColor="text1"/>
          <w:sz w:val="24"/>
          <w:szCs w:val="24"/>
          <w:highlight w:val="none"/>
          <w14:textFill>
            <w14:solidFill>
              <w14:schemeClr w14:val="tx1"/>
            </w14:solidFill>
          </w14:textFill>
        </w:rPr>
        <w:t>建议</w:t>
      </w:r>
      <w:bookmarkEnd w:id="461"/>
      <w:bookmarkEnd w:id="462"/>
    </w:p>
    <w:p w14:paraId="5B2C6A3F">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为确保项目正常生产，进一步降低项目运行对环境的影响，同时加强厂区节能降耗工作，本评价提出如下建议：</w:t>
      </w:r>
    </w:p>
    <w:p w14:paraId="2CCFF9A4">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⑴项目建设过程中应严格执行环保“三同时”制度，建立完善的环保管理制度，建立、健全环保资料档案。</w:t>
      </w:r>
    </w:p>
    <w:p w14:paraId="4B20ECBA">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⑵加强生产管理和污染防治设备设施的日常维护和监控，确保污染防治设施的正常稳定运行。做好各生产设备及管道的日常维护和管理，杜绝事故隐患。</w:t>
      </w:r>
    </w:p>
    <w:p w14:paraId="496F6CD6">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⑶管网沿线设置标识牌，避免其他施工破坏管网。</w:t>
      </w:r>
    </w:p>
    <w:p w14:paraId="4DFED2CD">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⑷加强污水管网及污水处理厂的巡查，避免污水渗漏事故的发生。</w:t>
      </w:r>
    </w:p>
    <w:p w14:paraId="59E0A783">
      <w:pPr>
        <w:pageBreakBefore w:val="0"/>
        <w:widowControl w:val="0"/>
        <w:kinsoku/>
        <w:wordWrap/>
        <w:overflowPunct/>
        <w:topLinePunct w:val="0"/>
        <w:bidi w:val="0"/>
        <w:spacing w:line="480" w:lineRule="exact"/>
        <w:ind w:firstLine="480" w:firstLineChars="200"/>
        <w:textAlignment w:val="auto"/>
        <w:rPr>
          <w:rFonts w:hint="default" w:ascii="Times New Roman" w:hAnsi="Times New Roman" w:eastAsia="宋体" w:cs="Times New Roman"/>
          <w:snapToGrid w:val="0"/>
          <w:color w:val="000000" w:themeColor="text1"/>
          <w:sz w:val="24"/>
          <w:szCs w:val="24"/>
          <w:highlight w:val="none"/>
          <w14:textFill>
            <w14:solidFill>
              <w14:schemeClr w14:val="tx1"/>
            </w14:solidFill>
          </w14:textFill>
        </w:rPr>
      </w:pPr>
      <w:r>
        <w:rPr>
          <w:rFonts w:hint="default" w:ascii="Times New Roman" w:hAnsi="Times New Roman" w:eastAsia="宋体" w:cs="Times New Roman"/>
          <w:snapToGrid w:val="0"/>
          <w:color w:val="000000" w:themeColor="text1"/>
          <w:sz w:val="24"/>
          <w:szCs w:val="24"/>
          <w:highlight w:val="none"/>
          <w:lang w:eastAsia="zh-CN"/>
          <w14:textFill>
            <w14:solidFill>
              <w14:schemeClr w14:val="tx1"/>
            </w14:solidFill>
          </w14:textFill>
        </w:rPr>
        <w:t>⑸施工前应及时与有关部门沟通，施工前进行详细、周密调查，了解各道路沿线现状管网、管线的铺设情况，加强施工管理，强化责任意识。</w:t>
      </w:r>
    </w:p>
    <w:sectPr>
      <w:footerReference r:id="rId27" w:type="default"/>
      <w:pgSz w:w="11906" w:h="16838"/>
      <w:pgMar w:top="1417" w:right="1417" w:bottom="1417" w:left="1417" w:header="850" w:footer="992" w:gutter="0"/>
      <w:pgBorders>
        <w:top w:val="none" w:sz="0" w:space="0"/>
        <w:left w:val="none" w:sz="0" w:space="0"/>
        <w:bottom w:val="none" w:sz="0" w:space="0"/>
        <w:right w:val="none" w:sz="0" w:space="0"/>
      </w:pgBorders>
      <w:pgNumType w:fmt="decimal"/>
      <w:cols w:space="0" w:num="1"/>
      <w:rtlGutter w:val="0"/>
      <w:docGrid w:type="lines" w:linePitch="318"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楷体">
    <w:panose1 w:val="02010609060101010101"/>
    <w:charset w:val="86"/>
    <w:family w:val="auto"/>
    <w:pitch w:val="default"/>
    <w:sig w:usb0="800002BF" w:usb1="38CF7CFA" w:usb2="00000016" w:usb3="00000000" w:csb0="00040001" w:csb1="00000000"/>
  </w:font>
  <w:font w:name="Matisse ITC">
    <w:altName w:val="Gabriola"/>
    <w:panose1 w:val="04040403030D02020704"/>
    <w:charset w:val="00"/>
    <w:family w:val="decorative"/>
    <w:pitch w:val="default"/>
    <w:sig w:usb0="00000000" w:usb1="00000000" w:usb2="00000000" w:usb3="00000000" w:csb0="00000001" w:csb1="00000000"/>
  </w:font>
  <w:font w:name="Gabriola">
    <w:panose1 w:val="04040605051002020D02"/>
    <w:charset w:val="00"/>
    <w:family w:val="auto"/>
    <w:pitch w:val="default"/>
    <w:sig w:usb0="E00002EF" w:usb1="5000204B" w:usb2="00000000" w:usb3="00000000" w:csb0="2000009F" w:csb1="00000000"/>
  </w:font>
  <w:font w:name="TimesNewRomanPSMT">
    <w:altName w:val="Times New Roman"/>
    <w:panose1 w:val="00000000000000000000"/>
    <w:charset w:val="00"/>
    <w:family w:val="roman"/>
    <w:pitch w:val="default"/>
    <w:sig w:usb0="00000000" w:usb1="00000000" w:usb2="00000000" w:usb3="00000000" w:csb0="00000001" w:csb1="00000000"/>
  </w:font>
  <w:font w:name="Tms Rmn">
    <w:altName w:val="Times New Roman"/>
    <w:panose1 w:val="02020603040505020304"/>
    <w:charset w:val="00"/>
    <w:family w:val="roman"/>
    <w:pitch w:val="default"/>
    <w:sig w:usb0="00000000" w:usb1="00000000" w:usb2="00000000" w:usb3="00000000" w:csb0="00000001" w:csb1="00000000"/>
  </w:font>
  <w:font w:name="TimesNewRomanPS-ItalicMT">
    <w:altName w:val="Times New Roman"/>
    <w:panose1 w:val="00000000000000000000"/>
    <w:charset w:val="00"/>
    <w:family w:val="roman"/>
    <w:pitch w:val="default"/>
    <w:sig w:usb0="00000000" w:usb1="00000000" w:usb2="00000000" w:usb3="00000000" w:csb0="00040001" w:csb1="00000000"/>
  </w:font>
  <w:font w:name="新宋体">
    <w:panose1 w:val="02010609030101010101"/>
    <w:charset w:val="86"/>
    <w:family w:val="modern"/>
    <w:pitch w:val="default"/>
    <w:sig w:usb0="00000003" w:usb1="288F0000" w:usb2="00000006" w:usb3="00000000" w:csb0="00040001" w:csb1="00000000"/>
  </w:font>
  <w:font w:name="Verdana">
    <w:panose1 w:val="020B0604030504040204"/>
    <w:charset w:val="00"/>
    <w:family w:val="swiss"/>
    <w:pitch w:val="default"/>
    <w:sig w:usb0="A10006FF" w:usb1="4000205B" w:usb2="0000001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Times New Roman”“">
    <w:altName w:val="宋体"/>
    <w:panose1 w:val="00000000000000000000"/>
    <w:charset w:val="86"/>
    <w:family w:val="roman"/>
    <w:pitch w:val="default"/>
    <w:sig w:usb0="00000000" w:usb1="00000000" w:usb2="00000010" w:usb3="00000000" w:csb0="00040000" w:csb1="00000000"/>
  </w:font>
  <w:font w:name="Tahoma">
    <w:panose1 w:val="020B0604030504040204"/>
    <w:charset w:val="00"/>
    <w:family w:val="auto"/>
    <w:pitch w:val="default"/>
    <w:sig w:usb0="E1002EFF" w:usb1="C000605B" w:usb2="00000029" w:usb3="00000000" w:csb0="200101FF" w:csb1="20280000"/>
  </w:font>
  <w:font w:name="Arial Unicode MS">
    <w:altName w:val="宋体"/>
    <w:panose1 w:val="020B0604020202020204"/>
    <w:charset w:val="86"/>
    <w:family w:val="swiss"/>
    <w:pitch w:val="default"/>
    <w:sig w:usb0="00000000" w:usb1="00000000" w:usb2="0000003F" w:usb3="00000000" w:csb0="603F01FF" w:csb1="FFFF0000"/>
  </w:font>
  <w:font w:name="Cambria Math">
    <w:panose1 w:val="02040503050406030204"/>
    <w:charset w:val="00"/>
    <w:family w:val="auto"/>
    <w:pitch w:val="default"/>
    <w:sig w:usb0="E00002FF" w:usb1="420024FF" w:usb2="00000000" w:usb3="00000000" w:csb0="2000019F" w:csb1="00000000"/>
  </w:font>
  <w:font w:name="微软雅黑">
    <w:panose1 w:val="020B0503020204020204"/>
    <w:charset w:val="86"/>
    <w:family w:val="auto"/>
    <w:pitch w:val="default"/>
    <w:sig w:usb0="80000287" w:usb1="280F3C52" w:usb2="00000016" w:usb3="00000000" w:csb0="0004001F" w:csb1="00000000"/>
  </w:font>
  <w:font w:name="MS PGothic">
    <w:panose1 w:val="020B0600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01C74D">
    <w:pPr>
      <w:pStyle w:val="30"/>
      <w:tabs>
        <w:tab w:val="center" w:pos="6979"/>
        <w:tab w:val="clear" w:pos="4153"/>
      </w:tabs>
    </w:pPr>
    <w:r>
      <w:rPr>
        <w:rFonts w:hint="eastAsia"/>
        <w:lang w:eastAsia="zh-CN"/>
      </w:rPr>
      <w:tab/>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69A733">
    <w:pPr>
      <w:pStyle w:val="30"/>
    </w:pPr>
    <w:r>
      <w:pict>
        <v:shape id="文本框 2089" o:spid="_x0000_s2059" o:spt="202" type="#_x0000_t202" style="position:absolute;left:0pt;margin-top:0pt;height:144pt;width:40.2pt;mso-position-horizontal:center;mso-position-horizontal-relative:margin;z-index:251663360;mso-width-relative:page;mso-height-relative:page;" filled="f" stroked="f" coordsize="21600,21600">
          <v:path/>
          <v:fill on="f" focussize="0,0"/>
          <v:stroke on="f"/>
          <v:imagedata o:title=""/>
          <o:lock v:ext="edit" aspectratio="f"/>
          <v:textbox inset="0mm,0mm,0mm,0mm" style="mso-fit-shape-to-text:t;">
            <w:txbxContent>
              <w:p w14:paraId="57BA0614">
                <w:pPr>
                  <w:pStyle w:val="30"/>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241</w:t>
                </w:r>
                <w:r>
                  <w:rPr>
                    <w:rFonts w:hint="default" w:ascii="Times New Roman" w:hAnsi="Times New Roman" w:cs="Times New Roman"/>
                  </w:rPr>
                  <w:fldChar w:fldCharType="end"/>
                </w:r>
              </w:p>
            </w:txbxContent>
          </v:textbox>
        </v:shape>
      </w:pic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4C0432">
    <w:pPr>
      <w:spacing w:line="186" w:lineRule="auto"/>
      <w:ind w:left="4238"/>
      <w:rPr>
        <w:rFonts w:hint="default" w:ascii="Times New Roman" w:hAnsi="Times New Roman" w:eastAsia="宋体" w:cs="Times New Roman"/>
        <w:sz w:val="18"/>
        <w:szCs w:val="18"/>
        <w:lang w:val="en-US" w:eastAsia="zh-CN"/>
      </w:rP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97" name="文本框 9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94CB2A9">
                          <w:pPr>
                            <w:pStyle w:val="30"/>
                          </w:pPr>
                          <w:r>
                            <w:fldChar w:fldCharType="begin"/>
                          </w:r>
                          <w:r>
                            <w:instrText xml:space="preserve"> PAGE  \* MERGEFORMAT </w:instrText>
                          </w:r>
                          <w:r>
                            <w:fldChar w:fldCharType="separate"/>
                          </w:r>
                          <w:r>
                            <w:t>207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JWEWwzAgAAYwQAAA4AAABkcnMvZTJvRG9jLnhtbK1UzY7TMBC+I/EO&#10;lu80aRFLqZ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JWEWwzAgAAYwQAAA4AAAAAAAAAAQAgAAAAHwEAAGRycy9lMm9Eb2MueG1sUEsF&#10;BgAAAAAGAAYAWQEAAMQFAAAAAA==&#10;">
              <v:fill on="f" focussize="0,0"/>
              <v:stroke on="f" weight="0.5pt"/>
              <v:imagedata o:title=""/>
              <o:lock v:ext="edit" aspectratio="f"/>
              <v:textbox inset="0mm,0mm,0mm,0mm" style="mso-fit-shape-to-text:t;">
                <w:txbxContent>
                  <w:p w14:paraId="294CB2A9">
                    <w:pPr>
                      <w:pStyle w:val="30"/>
                    </w:pPr>
                    <w:r>
                      <w:fldChar w:fldCharType="begin"/>
                    </w:r>
                    <w:r>
                      <w:instrText xml:space="preserve"> PAGE  \* MERGEFORMAT </w:instrText>
                    </w:r>
                    <w:r>
                      <w:fldChar w:fldCharType="separate"/>
                    </w:r>
                    <w:r>
                      <w:t>207</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F16B64">
    <w:pPr>
      <w:pStyle w:val="30"/>
    </w:pPr>
    <w: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61" name="文本框 6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D965058">
                          <w:pPr>
                            <w:pStyle w:val="30"/>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241</w:t>
                          </w:r>
                          <w:r>
                            <w:rPr>
                              <w:rFonts w:hint="default" w:ascii="Times New Roman" w:hAnsi="Times New Roman" w:cs="Times New Roman"/>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D7m1j1yQEAAJsDAAAOAAAAAAAAAAEAIAAAAB4BAABkcnMvZTJvRG9j&#10;LnhtbFBLBQYAAAAABgAGAFkBAABZBQAAAAA=&#10;">
              <v:fill on="f" focussize="0,0"/>
              <v:stroke on="f"/>
              <v:imagedata o:title=""/>
              <o:lock v:ext="edit" aspectratio="f"/>
              <v:textbox inset="0mm,0mm,0mm,0mm" style="mso-fit-shape-to-text:t;">
                <w:txbxContent>
                  <w:p w14:paraId="0D965058">
                    <w:pPr>
                      <w:pStyle w:val="30"/>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241</w:t>
                    </w:r>
                    <w:r>
                      <w:rPr>
                        <w:rFonts w:hint="default" w:ascii="Times New Roman" w:hAnsi="Times New Roman" w:cs="Times New Roman"/>
                      </w:rP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AC5F63">
    <w:pPr>
      <w:pStyle w:val="30"/>
      <w:keepNext w:val="0"/>
      <w:keepLines w:val="0"/>
      <w:pageBreakBefore w:val="0"/>
      <w:widowControl w:val="0"/>
      <w:kinsoku/>
      <w:wordWrap/>
      <w:overflowPunct/>
      <w:topLinePunct w:val="0"/>
      <w:bidi w:val="0"/>
      <w:adjustRightInd/>
      <w:snapToGrid w:val="0"/>
      <w:ind w:firstLine="0" w:firstLineChars="0"/>
      <w:textAlignment w:val="auto"/>
    </w:pPr>
    <w:r>
      <w:rPr>
        <w:sz w:val="18"/>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52" name="文本框 5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AA62540">
                          <w:pPr>
                            <w:pStyle w:val="30"/>
                          </w:pPr>
                          <w:r>
                            <w:fldChar w:fldCharType="begin"/>
                          </w:r>
                          <w:r>
                            <w:instrText xml:space="preserve"> PAGE  \* MERGEFORMAT </w:instrText>
                          </w:r>
                          <w:r>
                            <w:fldChar w:fldCharType="separate"/>
                          </w:r>
                          <w:r>
                            <w:t>191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8olJw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dT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P8olJwzAgAAYwQAAA4AAAAAAAAAAQAgAAAAHwEAAGRycy9lMm9Eb2MueG1sUEsF&#10;BgAAAAAGAAYAWQEAAMQFAAAAAA==&#10;">
              <v:fill on="f" focussize="0,0"/>
              <v:stroke on="f" weight="0.5pt"/>
              <v:imagedata o:title=""/>
              <o:lock v:ext="edit" aspectratio="f"/>
              <v:textbox inset="0mm,0mm,0mm,0mm" style="mso-fit-shape-to-text:t;">
                <w:txbxContent>
                  <w:p w14:paraId="7AA62540">
                    <w:pPr>
                      <w:pStyle w:val="30"/>
                    </w:pPr>
                    <w:r>
                      <w:fldChar w:fldCharType="begin"/>
                    </w:r>
                    <w:r>
                      <w:instrText xml:space="preserve"> PAGE  \* MERGEFORMAT </w:instrText>
                    </w:r>
                    <w:r>
                      <w:fldChar w:fldCharType="separate"/>
                    </w:r>
                    <w:r>
                      <w:t>191</w:t>
                    </w:r>
                    <w: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C946BF">
    <w:pPr>
      <w:pStyle w:val="30"/>
    </w:pPr>
    <w:r>
      <w:rPr>
        <w:sz w:val="18"/>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53" name="文本框 5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2CC868">
                          <w:pPr>
                            <w:pStyle w:val="30"/>
                          </w:pPr>
                          <w:r>
                            <w:fldChar w:fldCharType="begin"/>
                          </w:r>
                          <w:r>
                            <w:instrText xml:space="preserve"> PAGE  \* MERGEFORMAT </w:instrText>
                          </w:r>
                          <w:r>
                            <w:fldChar w:fldCharType="separate"/>
                          </w:r>
                          <w:r>
                            <w:t>28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2AA3MzAgAAYw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2AA3MzAgAAYwQAAA4AAAAAAAAAAQAgAAAAHwEAAGRycy9lMm9Eb2MueG1sUEsF&#10;BgAAAAAGAAYAWQEAAMQFAAAAAA==&#10;">
              <v:fill on="f" focussize="0,0"/>
              <v:stroke on="f" weight="0.5pt"/>
              <v:imagedata o:title=""/>
              <o:lock v:ext="edit" aspectratio="f"/>
              <v:textbox inset="0mm,0mm,0mm,0mm" style="mso-fit-shape-to-text:t;">
                <w:txbxContent>
                  <w:p w14:paraId="192CC868">
                    <w:pPr>
                      <w:pStyle w:val="30"/>
                    </w:pPr>
                    <w:r>
                      <w:fldChar w:fldCharType="begin"/>
                    </w:r>
                    <w:r>
                      <w:instrText xml:space="preserve"> PAGE  \* MERGEFORMAT </w:instrText>
                    </w:r>
                    <w:r>
                      <w:fldChar w:fldCharType="separate"/>
                    </w:r>
                    <w:r>
                      <w:t>28</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F28DBE">
    <w:pPr>
      <w:spacing w:before="43" w:line="177" w:lineRule="auto"/>
      <w:ind w:left="4381"/>
      <w:rPr>
        <w:rFonts w:ascii="Times New Roman" w:hAnsi="Times New Roman" w:eastAsia="Times New Roman" w:cs="Times New Roman"/>
        <w:sz w:val="18"/>
        <w:szCs w:val="18"/>
      </w:rPr>
    </w:pPr>
    <w:r>
      <w:rPr>
        <w:sz w:val="24"/>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54" name="文本框 5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B5EEAE7">
                          <w:pPr>
                            <w:pStyle w:val="30"/>
                          </w:pPr>
                          <w:r>
                            <w:fldChar w:fldCharType="begin"/>
                          </w:r>
                          <w:r>
                            <w:instrText xml:space="preserve"> PAGE  \* MERGEFORMAT </w:instrText>
                          </w:r>
                          <w:r>
                            <w:fldChar w:fldCharType="separate"/>
                          </w:r>
                          <w:r>
                            <w:t>43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DTdpAzAgAAYwQAAA4AAABkcnMvZTJvRG9jLnhtbK1UzY7TMBC+I/EO&#10;lu80aWFX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oU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DTdpAzAgAAYwQAAA4AAAAAAAAAAQAgAAAAHwEAAGRycy9lMm9Eb2MueG1sUEsF&#10;BgAAAAAGAAYAWQEAAMQFAAAAAA==&#10;">
              <v:fill on="f" focussize="0,0"/>
              <v:stroke on="f" weight="0.5pt"/>
              <v:imagedata o:title=""/>
              <o:lock v:ext="edit" aspectratio="f"/>
              <v:textbox inset="0mm,0mm,0mm,0mm" style="mso-fit-shape-to-text:t;">
                <w:txbxContent>
                  <w:p w14:paraId="1B5EEAE7">
                    <w:pPr>
                      <w:pStyle w:val="30"/>
                    </w:pPr>
                    <w:r>
                      <w:fldChar w:fldCharType="begin"/>
                    </w:r>
                    <w:r>
                      <w:instrText xml:space="preserve"> PAGE  \* MERGEFORMAT </w:instrText>
                    </w:r>
                    <w:r>
                      <w:fldChar w:fldCharType="separate"/>
                    </w:r>
                    <w:r>
                      <w:t>43</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CFC562">
    <w:pPr>
      <w:pStyle w:val="30"/>
      <w:tabs>
        <w:tab w:val="center" w:pos="6979"/>
        <w:tab w:val="clear" w:pos="4153"/>
      </w:tabs>
    </w:pPr>
    <w:r>
      <w:rPr>
        <w:rFonts w:hint="eastAsia"/>
        <w:lang w:eastAsia="zh-CN"/>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AD08EF">
    <w:pPr>
      <w:pStyle w:val="30"/>
      <w:tabs>
        <w:tab w:val="center" w:pos="6979"/>
        <w:tab w:val="clear" w:pos="4153"/>
      </w:tabs>
    </w:pPr>
    <w:r>
      <w:rPr>
        <w:rFonts w:hint="eastAsia"/>
        <w:lang w:eastAsia="zh-CN"/>
      </w:rP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A850DB">
    <w:pPr>
      <w:keepNext w:val="0"/>
      <w:keepLines w:val="0"/>
      <w:pageBreakBefore w:val="0"/>
      <w:widowControl w:val="0"/>
      <w:kinsoku/>
      <w:wordWrap/>
      <w:overflowPunct/>
      <w:topLinePunct w:val="0"/>
      <w:bidi w:val="0"/>
      <w:adjustRightInd/>
      <w:snapToGrid/>
      <w:spacing w:line="240" w:lineRule="auto"/>
      <w:ind w:left="0" w:firstLine="0" w:firstLineChars="0"/>
      <w:textAlignment w:val="auto"/>
      <w:rPr>
        <w:rFonts w:ascii="Times New Roman" w:hAnsi="Times New Roman" w:eastAsia="Times New Roman" w:cs="Times New Roman"/>
        <w:sz w:val="18"/>
        <w:szCs w:val="18"/>
      </w:rPr>
    </w:pPr>
    <w:r>
      <w:rPr>
        <w:sz w:val="24"/>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391795" cy="182880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391795"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914BC6">
                          <w:pPr>
                            <w:pStyle w:val="30"/>
                          </w:pPr>
                          <w:r>
                            <w:fldChar w:fldCharType="begin"/>
                          </w:r>
                          <w:r>
                            <w:instrText xml:space="preserve"> PAGE  \* MERGEFORMAT </w:instrText>
                          </w:r>
                          <w:r>
                            <w:fldChar w:fldCharType="separate"/>
                          </w:r>
                          <w:r>
                            <w:t>7</w:t>
                          </w:r>
                          <w:r>
                            <w:fldChar w:fldCharType="end"/>
                          </w:r>
                        </w:p>
                      </w:txbxContent>
                    </wps:txbx>
                    <wps:bodyPr rot="0" spcFirstLastPara="0" vertOverflow="overflow" horzOverflow="overflow" vert="horz" wrap="squar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30.85pt;mso-position-horizontal:center;mso-position-horizontal-relative:margin;z-index:251674624;mso-width-relative:page;mso-height-relative:page;" filled="f" stroked="f" coordsize="21600,21600" o:gfxdata="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Mxi2RvTAAAABAEAAA8AAAAAAAAAAQAgAAAAIgAAAGRycy9kb3ducmV2&#10;LnhtbFBLAQIUABQAAAAIAIdO4kAHUJrZOgIAAGQEAAAOAAAAAAAAAAEAIAAAACIBAABkcnMvZTJv&#10;RG9jLnhtbFBLBQYAAAAABgAGAFkBAADOBQAAAAA=&#10;">
              <v:fill on="f" focussize="0,0"/>
              <v:stroke on="f" weight="0.5pt"/>
              <v:imagedata o:title=""/>
              <o:lock v:ext="edit" aspectratio="f"/>
              <v:textbox inset="0mm,0mm,0mm,0mm" style="mso-fit-shape-to-text:t;">
                <w:txbxContent>
                  <w:p w14:paraId="7B914BC6">
                    <w:pPr>
                      <w:pStyle w:val="30"/>
                    </w:pPr>
                    <w:r>
                      <w:fldChar w:fldCharType="begin"/>
                    </w:r>
                    <w:r>
                      <w:instrText xml:space="preserve"> PAGE  \* MERGEFORMAT </w:instrText>
                    </w:r>
                    <w:r>
                      <w:fldChar w:fldCharType="separate"/>
                    </w:r>
                    <w:r>
                      <w:t>7</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AD25FB">
    <w:pPr>
      <w:pStyle w:val="30"/>
      <w:keepNext w:val="0"/>
      <w:keepLines w:val="0"/>
      <w:pageBreakBefore w:val="0"/>
      <w:widowControl w:val="0"/>
      <w:kinsoku/>
      <w:wordWrap/>
      <w:overflowPunct/>
      <w:topLinePunct w:val="0"/>
      <w:bidi w:val="0"/>
      <w:adjustRightInd/>
      <w:snapToGrid w:val="0"/>
      <w:ind w:firstLine="0" w:firstLineChars="0"/>
      <w:textAlignment w:val="auto"/>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5A5C0A9">
                          <w:pPr>
                            <w:pStyle w:val="30"/>
                            <w:rPr>
                              <w:rFonts w:hint="eastAsia"/>
                            </w:rPr>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DUX5QmyQEAAJkDAAAOAAAAAAAAAAEAIAAAAB4BAABkcnMvZTJvRG9j&#10;LnhtbFBLBQYAAAAABgAGAFkBAABZBQAAAAA=&#10;">
              <v:fill on="f" focussize="0,0"/>
              <v:stroke on="f"/>
              <v:imagedata o:title=""/>
              <o:lock v:ext="edit" aspectratio="f"/>
              <v:textbox inset="0mm,0mm,0mm,0mm" style="mso-fit-shape-to-text:t;">
                <w:txbxContent>
                  <w:p w14:paraId="75A5C0A9">
                    <w:pPr>
                      <w:pStyle w:val="30"/>
                      <w:rPr>
                        <w:rFonts w:hint="eastAsia"/>
                      </w:rPr>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CC10A1">
    <w:pPr>
      <w:pStyle w:val="30"/>
      <w:tabs>
        <w:tab w:val="center" w:pos="6979"/>
        <w:tab w:val="clear" w:pos="4153"/>
      </w:tabs>
    </w:pPr>
    <w: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455295" cy="182880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455295" cy="1828800"/>
                      </a:xfrm>
                      <a:prstGeom prst="rect">
                        <a:avLst/>
                      </a:prstGeom>
                      <a:noFill/>
                      <a:ln>
                        <a:noFill/>
                      </a:ln>
                    </wps:spPr>
                    <wps:txbx>
                      <w:txbxContent>
                        <w:p w14:paraId="5BB5F688">
                          <w:pPr>
                            <w:pStyle w:val="30"/>
                            <w:rPr>
                              <w:rFonts w:hint="eastAsia"/>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p>
                      </w:txbxContent>
                    </wps:txbx>
                    <wps:bodyPr wrap="square" lIns="0" tIns="0" rIns="0" bIns="0" upright="0">
                      <a:spAutoFit/>
                    </wps:bodyPr>
                  </wps:wsp>
                </a:graphicData>
              </a:graphic>
            </wp:anchor>
          </w:drawing>
        </mc:Choice>
        <mc:Fallback>
          <w:pict>
            <v:shape id="_x0000_s1026" o:spid="_x0000_s1026" o:spt="202" type="#_x0000_t202" style="position:absolute;left:0pt;margin-top:0pt;height:144pt;width:35.85pt;mso-position-horizontal:center;mso-position-horizontal-relative:margin;z-index:251667456;mso-width-relative:page;mso-height-relative:page;" filled="f" stroked="f" coordsize="21600,21600" o:gfxdata="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EWxw67SAAAABAEAAA8AAAAAAAAAAQAgAAAAIgAAAGRy&#10;cy9kb3ducmV2LnhtbFBLAQIUABQAAAAIAIdO4kA4/ReP0gEAAJwDAAAOAAAAAAAAAAEAIAAAACEB&#10;AABkcnMvZTJvRG9jLnhtbFBLBQYAAAAABgAGAFkBAABlBQAAAAA=&#10;">
              <v:fill on="f" focussize="0,0"/>
              <v:stroke on="f"/>
              <v:imagedata o:title=""/>
              <o:lock v:ext="edit" aspectratio="f"/>
              <v:textbox inset="0mm,0mm,0mm,0mm" style="mso-fit-shape-to-text:t;">
                <w:txbxContent>
                  <w:p w14:paraId="5BB5F688">
                    <w:pPr>
                      <w:pStyle w:val="30"/>
                      <w:rPr>
                        <w:rFonts w:hint="eastAsia"/>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p>
                </w:txbxContent>
              </v:textbox>
            </v:shape>
          </w:pict>
        </mc:Fallback>
      </mc:AlternateContent>
    </w:r>
    <w:r>
      <w:rPr>
        <w:rFonts w:hint="eastAsia"/>
        <w:lang w:eastAsia="zh-CN"/>
      </w:rPr>
      <w:tab/>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A20262">
    <w:pPr>
      <w:pStyle w:val="30"/>
      <w:tabs>
        <w:tab w:val="center" w:pos="6979"/>
        <w:tab w:val="clear" w:pos="4153"/>
      </w:tabs>
    </w:pPr>
    <w: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2AFFE43">
                          <w:pPr>
                            <w:pStyle w:val="30"/>
                            <w:rPr>
                              <w:rFonts w:hint="eastAsia"/>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CdLckgyQEAAJsDAAAOAAAAAAAAAAEAIAAAAB4BAABkcnMvZTJvRG9j&#10;LnhtbFBLBQYAAAAABgAGAFkBAABZBQAAAAA=&#10;">
              <v:fill on="f" focussize="0,0"/>
              <v:stroke on="f"/>
              <v:imagedata o:title=""/>
              <o:lock v:ext="edit" aspectratio="f"/>
              <v:textbox inset="0mm,0mm,0mm,0mm" style="mso-fit-shape-to-text:t;">
                <w:txbxContent>
                  <w:p w14:paraId="52AFFE43">
                    <w:pPr>
                      <w:pStyle w:val="30"/>
                      <w:rPr>
                        <w:rFonts w:hint="eastAsia"/>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p>
                </w:txbxContent>
              </v:textbox>
            </v:shape>
          </w:pict>
        </mc:Fallback>
      </mc:AlternateContent>
    </w:r>
    <w:r>
      <w:rPr>
        <w:rFonts w:hint="eastAsia"/>
        <w:lang w:eastAsia="zh-CN"/>
      </w:rPr>
      <w:tab/>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6663A3">
    <w:pPr>
      <w:pStyle w:val="30"/>
    </w:pPr>
    <w: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33" name="文本框 3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DD325B2">
                          <w:pPr>
                            <w:pStyle w:val="30"/>
                            <w:rPr>
                              <w:rFonts w:hint="eastAsia"/>
                            </w:rPr>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OqXm5zwAAAAUBAAAPAAAAAAAAAAEAIAAAACIAAABkcnMvZG93bnJldi54&#10;bWxQSwECFAAUAAAACACHTuJANQLugMoBAACbAwAADgAAAAAAAAABACAAAAAeAQAAZHJzL2Uyb0Rv&#10;Yy54bWxQSwUGAAAAAAYABgBZAQAAWgUAAAAA&#10;">
              <v:fill on="f" focussize="0,0"/>
              <v:stroke on="f"/>
              <v:imagedata o:title=""/>
              <o:lock v:ext="edit" aspectratio="f"/>
              <v:textbox inset="0mm,0mm,0mm,0mm" style="mso-fit-shape-to-text:t;">
                <w:txbxContent>
                  <w:p w14:paraId="7DD325B2">
                    <w:pPr>
                      <w:pStyle w:val="30"/>
                      <w:rPr>
                        <w:rFonts w:hint="eastAsia"/>
                      </w:rPr>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F66D38">
    <w:pPr>
      <w:pStyle w:val="30"/>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65" name="文本框 6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9955DA7">
                          <w:pPr>
                            <w:pStyle w:val="30"/>
                          </w:pPr>
                          <w:r>
                            <w:fldChar w:fldCharType="begin"/>
                          </w:r>
                          <w:r>
                            <w:instrText xml:space="preserve"> PAGE  \* MERGEFORMAT </w:instrText>
                          </w:r>
                          <w:r>
                            <w:fldChar w:fldCharType="separate"/>
                          </w:r>
                          <w:r>
                            <w:t>109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k1gw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k1gwzAgAAYwQAAA4AAAAAAAAAAQAgAAAAHwEAAGRycy9lMm9Eb2MueG1sUEsF&#10;BgAAAAAGAAYAWQEAAMQFAAAAAA==&#10;">
              <v:fill on="f" focussize="0,0"/>
              <v:stroke on="f" weight="0.5pt"/>
              <v:imagedata o:title=""/>
              <o:lock v:ext="edit" aspectratio="f"/>
              <v:textbox inset="0mm,0mm,0mm,0mm" style="mso-fit-shape-to-text:t;">
                <w:txbxContent>
                  <w:p w14:paraId="49955DA7">
                    <w:pPr>
                      <w:pStyle w:val="30"/>
                    </w:pPr>
                    <w:r>
                      <w:fldChar w:fldCharType="begin"/>
                    </w:r>
                    <w:r>
                      <w:instrText xml:space="preserve"> PAGE  \* MERGEFORMAT </w:instrText>
                    </w:r>
                    <w:r>
                      <w:fldChar w:fldCharType="separate"/>
                    </w:r>
                    <w:r>
                      <w:t>109</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480"/>
      </w:pPr>
      <w:r>
        <w:separator/>
      </w:r>
    </w:p>
  </w:footnote>
  <w:footnote w:type="continuationSeparator" w:id="1">
    <w:p>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FE70A0">
    <w:pPr>
      <w:pStyle w:val="31"/>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BC8189">
    <w:pPr>
      <w:pStyle w:val="31"/>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E1C071">
    <w:pPr>
      <w:pStyle w:val="31"/>
      <w:pBdr>
        <w:bottom w:val="none" w:color="auto" w:sz="0" w:space="1"/>
      </w:pBdr>
      <w:ind w:left="0" w:leftChars="0" w:firstLine="0" w:firstLineChars="0"/>
      <w:jc w:val="both"/>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3B4AEF">
    <w:pPr>
      <w:pStyle w:val="31"/>
      <w:pBdr>
        <w:bottom w:val="single" w:color="auto" w:sz="4" w:space="1"/>
      </w:pBdr>
      <w:ind w:left="0" w:leftChars="0" w:firstLine="0" w:firstLineChars="0"/>
      <w:jc w:val="center"/>
    </w:pPr>
    <w:r>
      <w:rPr>
        <w:rFonts w:hint="eastAsia"/>
      </w:rPr>
      <w:t>唐山市曹妃甸区垦丰家居产业园区新建污水处理厂工程环境影响报告书</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34C550">
    <w:pPr>
      <w:pStyle w:val="31"/>
      <w:rPr>
        <w:rFonts w:hint="eastAsia"/>
      </w:rPr>
    </w:pPr>
    <w:r>
      <w:rPr>
        <w:rFonts w:hint="eastAsia"/>
        <w:lang w:eastAsia="zh-CN"/>
      </w:rPr>
      <w:t>唐山市曹妃甸区垦丰家居产业园区新建污水处理厂工程环境影响报告书</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8CE076">
    <w:pPr>
      <w:pStyle w:val="31"/>
      <w:keepNext w:val="0"/>
      <w:keepLines w:val="0"/>
      <w:pageBreakBefore w:val="0"/>
      <w:widowControl w:val="0"/>
      <w:kinsoku/>
      <w:wordWrap/>
      <w:overflowPunct/>
      <w:topLinePunct w:val="0"/>
      <w:autoSpaceDE/>
      <w:autoSpaceDN/>
      <w:bidi w:val="0"/>
      <w:adjustRightInd/>
      <w:snapToGrid w:val="0"/>
      <w:textAlignment w:val="auto"/>
      <w:rPr>
        <w:rFonts w:hint="default" w:eastAsia="宋体"/>
        <w:lang w:val="en-US" w:eastAsia="zh-CN"/>
      </w:rPr>
    </w:pPr>
    <w:r>
      <w:rPr>
        <w:rFonts w:hint="eastAsia"/>
        <w:lang w:eastAsia="zh-CN"/>
      </w:rPr>
      <w:t>唐山市曹妃甸区垦丰家居产业园区新建污水处理厂工程环境影响报告书</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B2797C">
    <w:pPr>
      <w:pStyle w:val="31"/>
      <w:keepNext w:val="0"/>
      <w:keepLines w:val="0"/>
      <w:pageBreakBefore w:val="0"/>
      <w:widowControl w:val="0"/>
      <w:kinsoku/>
      <w:wordWrap/>
      <w:overflowPunct/>
      <w:topLinePunct w:val="0"/>
      <w:bidi w:val="0"/>
      <w:adjustRightInd/>
      <w:snapToGrid w:val="0"/>
      <w:ind w:firstLine="0" w:firstLineChars="0"/>
      <w:textAlignment w:val="auto"/>
      <w:rPr>
        <w:rFonts w:hint="default" w:ascii="Times New Roman" w:hAnsi="Times New Roman" w:eastAsia="宋体" w:cs="Times New Roman"/>
        <w:lang w:val="en-US" w:eastAsia="zh-CN"/>
      </w:rPr>
    </w:pPr>
    <w:r>
      <w:rPr>
        <w:rFonts w:hint="eastAsia"/>
        <w:lang w:val="en-US" w:eastAsia="zh-CN"/>
      </w:rPr>
      <w:t>唐山市曹妃甸区垦丰家居产业园区新建污水处理厂工程环境影响报告书</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407737">
    <w:pPr>
      <w:pStyle w:val="31"/>
      <w:keepNext w:val="0"/>
      <w:keepLines w:val="0"/>
      <w:pageBreakBefore w:val="0"/>
      <w:widowControl w:val="0"/>
      <w:kinsoku/>
      <w:wordWrap/>
      <w:overflowPunct/>
      <w:topLinePunct w:val="0"/>
      <w:bidi w:val="0"/>
      <w:adjustRightInd/>
      <w:snapToGrid w:val="0"/>
      <w:ind w:firstLine="0" w:firstLineChars="0"/>
      <w:textAlignment w:val="auto"/>
      <w:rPr>
        <w:rFonts w:hint="eastAsia"/>
      </w:rPr>
    </w:pPr>
    <w:r>
      <w:rPr>
        <w:rFonts w:hint="eastAsia"/>
        <w:lang w:val="en-US" w:eastAsia="zh-CN"/>
      </w:rPr>
      <w:t>唐山市曹妃甸区垦丰家居产业园区新建污水处理厂工程环境影响报告书</w:t>
    </w:r>
  </w:p>
  <w:p w14:paraId="4C39E7C4">
    <w:pPr>
      <w:spacing w:line="14" w:lineRule="auto"/>
      <w:rPr>
        <w:rFonts w:ascii="Arial"/>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A1CF89"/>
    <w:multiLevelType w:val="singleLevel"/>
    <w:tmpl w:val="8DA1CF89"/>
    <w:lvl w:ilvl="0" w:tentative="0">
      <w:start w:val="1"/>
      <w:numFmt w:val="decimal"/>
      <w:suff w:val="nothing"/>
      <w:lvlText w:val="%1"/>
      <w:lvlJc w:val="left"/>
      <w:pPr>
        <w:ind w:left="425" w:leftChars="0" w:hanging="425" w:firstLineChars="0"/>
      </w:pPr>
      <w:rPr>
        <w:rFonts w:hint="default"/>
      </w:rPr>
    </w:lvl>
  </w:abstractNum>
  <w:abstractNum w:abstractNumId="1">
    <w:nsid w:val="9BACFEE2"/>
    <w:multiLevelType w:val="singleLevel"/>
    <w:tmpl w:val="9BACFEE2"/>
    <w:lvl w:ilvl="0" w:tentative="0">
      <w:start w:val="1"/>
      <w:numFmt w:val="decimal"/>
      <w:lvlText w:val="%1."/>
      <w:lvlJc w:val="left"/>
      <w:pPr>
        <w:tabs>
          <w:tab w:val="left" w:pos="312"/>
        </w:tabs>
      </w:pPr>
    </w:lvl>
  </w:abstractNum>
  <w:abstractNum w:abstractNumId="2">
    <w:nsid w:val="A792B6A2"/>
    <w:multiLevelType w:val="singleLevel"/>
    <w:tmpl w:val="A792B6A2"/>
    <w:lvl w:ilvl="0" w:tentative="0">
      <w:start w:val="10"/>
      <w:numFmt w:val="decimal"/>
      <w:suff w:val="nothing"/>
      <w:lvlText w:val="（%1）"/>
      <w:lvlJc w:val="left"/>
    </w:lvl>
  </w:abstractNum>
  <w:abstractNum w:abstractNumId="3">
    <w:nsid w:val="A86E3D3B"/>
    <w:multiLevelType w:val="singleLevel"/>
    <w:tmpl w:val="A86E3D3B"/>
    <w:lvl w:ilvl="0" w:tentative="0">
      <w:start w:val="1"/>
      <w:numFmt w:val="decimal"/>
      <w:lvlText w:val="表2.6-%1"/>
      <w:lvlJc w:val="left"/>
      <w:pPr>
        <w:tabs>
          <w:tab w:val="left" w:pos="420"/>
        </w:tabs>
        <w:ind w:left="425" w:leftChars="0" w:hanging="425" w:firstLineChars="0"/>
      </w:pPr>
      <w:rPr>
        <w:rFonts w:hint="default"/>
      </w:rPr>
    </w:lvl>
  </w:abstractNum>
  <w:abstractNum w:abstractNumId="4">
    <w:nsid w:val="B0148B8F"/>
    <w:multiLevelType w:val="singleLevel"/>
    <w:tmpl w:val="B0148B8F"/>
    <w:lvl w:ilvl="0" w:tentative="0">
      <w:start w:val="1"/>
      <w:numFmt w:val="decimal"/>
      <w:suff w:val="nothing"/>
      <w:lvlText w:val="%1"/>
      <w:lvlJc w:val="left"/>
      <w:pPr>
        <w:ind w:left="425" w:leftChars="0" w:hanging="425" w:firstLineChars="0"/>
      </w:pPr>
      <w:rPr>
        <w:rFonts w:hint="default"/>
      </w:rPr>
    </w:lvl>
  </w:abstractNum>
  <w:abstractNum w:abstractNumId="5">
    <w:nsid w:val="B4D984F0"/>
    <w:multiLevelType w:val="singleLevel"/>
    <w:tmpl w:val="B4D984F0"/>
    <w:lvl w:ilvl="0" w:tentative="0">
      <w:start w:val="1"/>
      <w:numFmt w:val="decimal"/>
      <w:suff w:val="nothing"/>
      <w:lvlText w:val="(%1)"/>
      <w:lvlJc w:val="left"/>
      <w:pPr>
        <w:ind w:left="425" w:hanging="425"/>
      </w:pPr>
      <w:rPr>
        <w:rFonts w:hint="default"/>
      </w:rPr>
    </w:lvl>
  </w:abstractNum>
  <w:abstractNum w:abstractNumId="6">
    <w:nsid w:val="B9385A5E"/>
    <w:multiLevelType w:val="singleLevel"/>
    <w:tmpl w:val="B9385A5E"/>
    <w:lvl w:ilvl="0" w:tentative="0">
      <w:start w:val="1"/>
      <w:numFmt w:val="decimal"/>
      <w:suff w:val="nothing"/>
      <w:lvlText w:val="%1"/>
      <w:lvlJc w:val="left"/>
      <w:pPr>
        <w:ind w:left="425" w:leftChars="0" w:hanging="425" w:firstLineChars="0"/>
      </w:pPr>
      <w:rPr>
        <w:rFonts w:hint="default"/>
      </w:rPr>
    </w:lvl>
  </w:abstractNum>
  <w:abstractNum w:abstractNumId="7">
    <w:nsid w:val="C7F468D7"/>
    <w:multiLevelType w:val="singleLevel"/>
    <w:tmpl w:val="C7F468D7"/>
    <w:lvl w:ilvl="0" w:tentative="0">
      <w:start w:val="1"/>
      <w:numFmt w:val="decimal"/>
      <w:lvlText w:val="表5.2-%1"/>
      <w:lvlJc w:val="left"/>
      <w:pPr>
        <w:tabs>
          <w:tab w:val="left" w:pos="420"/>
        </w:tabs>
        <w:ind w:left="425" w:leftChars="0" w:hanging="425" w:firstLineChars="0"/>
      </w:pPr>
      <w:rPr>
        <w:rFonts w:hint="default"/>
      </w:rPr>
    </w:lvl>
  </w:abstractNum>
  <w:abstractNum w:abstractNumId="8">
    <w:nsid w:val="C9889579"/>
    <w:multiLevelType w:val="singleLevel"/>
    <w:tmpl w:val="C9889579"/>
    <w:lvl w:ilvl="0" w:tentative="0">
      <w:start w:val="1"/>
      <w:numFmt w:val="decimal"/>
      <w:lvlText w:val="表2.4-%1"/>
      <w:lvlJc w:val="left"/>
      <w:pPr>
        <w:tabs>
          <w:tab w:val="left" w:pos="420"/>
        </w:tabs>
        <w:ind w:left="425" w:leftChars="0" w:hanging="425" w:firstLineChars="0"/>
      </w:pPr>
      <w:rPr>
        <w:rFonts w:hint="default"/>
      </w:rPr>
    </w:lvl>
  </w:abstractNum>
  <w:abstractNum w:abstractNumId="9">
    <w:nsid w:val="CBC423A6"/>
    <w:multiLevelType w:val="singleLevel"/>
    <w:tmpl w:val="CBC423A6"/>
    <w:lvl w:ilvl="0" w:tentative="0">
      <w:start w:val="1"/>
      <w:numFmt w:val="decimal"/>
      <w:suff w:val="nothing"/>
      <w:lvlText w:val="%1"/>
      <w:lvlJc w:val="left"/>
      <w:pPr>
        <w:ind w:left="425" w:leftChars="0" w:hanging="425" w:firstLineChars="0"/>
      </w:pPr>
      <w:rPr>
        <w:rFonts w:hint="default"/>
      </w:rPr>
    </w:lvl>
  </w:abstractNum>
  <w:abstractNum w:abstractNumId="10">
    <w:nsid w:val="D0B0C975"/>
    <w:multiLevelType w:val="singleLevel"/>
    <w:tmpl w:val="D0B0C975"/>
    <w:lvl w:ilvl="0" w:tentative="0">
      <w:start w:val="1"/>
      <w:numFmt w:val="none"/>
      <w:lvlText w:val="表4.1-1"/>
      <w:lvlJc w:val="left"/>
      <w:pPr>
        <w:tabs>
          <w:tab w:val="left" w:pos="420"/>
        </w:tabs>
        <w:ind w:left="425" w:leftChars="0" w:hanging="425" w:firstLineChars="0"/>
      </w:pPr>
      <w:rPr>
        <w:rFonts w:hint="default"/>
      </w:rPr>
    </w:lvl>
  </w:abstractNum>
  <w:abstractNum w:abstractNumId="11">
    <w:nsid w:val="D8BCB837"/>
    <w:multiLevelType w:val="singleLevel"/>
    <w:tmpl w:val="D8BCB837"/>
    <w:lvl w:ilvl="0" w:tentative="0">
      <w:start w:val="1"/>
      <w:numFmt w:val="decimal"/>
      <w:suff w:val="nothing"/>
      <w:lvlText w:val="%1"/>
      <w:lvlJc w:val="left"/>
      <w:pPr>
        <w:ind w:left="425" w:leftChars="0" w:hanging="425" w:firstLineChars="0"/>
      </w:pPr>
      <w:rPr>
        <w:rFonts w:hint="default"/>
      </w:rPr>
    </w:lvl>
  </w:abstractNum>
  <w:abstractNum w:abstractNumId="12">
    <w:nsid w:val="DE4F66B9"/>
    <w:multiLevelType w:val="singleLevel"/>
    <w:tmpl w:val="DE4F66B9"/>
    <w:lvl w:ilvl="0" w:tentative="0">
      <w:start w:val="1"/>
      <w:numFmt w:val="decimal"/>
      <w:lvlText w:val="图5.2-%1"/>
      <w:lvlJc w:val="left"/>
      <w:pPr>
        <w:tabs>
          <w:tab w:val="left" w:pos="420"/>
        </w:tabs>
        <w:ind w:left="425" w:leftChars="0" w:hanging="425" w:firstLineChars="0"/>
      </w:pPr>
      <w:rPr>
        <w:rFonts w:hint="default"/>
      </w:rPr>
    </w:lvl>
  </w:abstractNum>
  <w:abstractNum w:abstractNumId="13">
    <w:nsid w:val="E4A6DAF3"/>
    <w:multiLevelType w:val="singleLevel"/>
    <w:tmpl w:val="E4A6DAF3"/>
    <w:lvl w:ilvl="0" w:tentative="0">
      <w:start w:val="1"/>
      <w:numFmt w:val="decimal"/>
      <w:suff w:val="nothing"/>
      <w:lvlText w:val="%1"/>
      <w:lvlJc w:val="left"/>
      <w:pPr>
        <w:ind w:left="425" w:leftChars="0" w:hanging="425" w:firstLineChars="0"/>
      </w:pPr>
      <w:rPr>
        <w:rFonts w:hint="default"/>
      </w:rPr>
    </w:lvl>
  </w:abstractNum>
  <w:abstractNum w:abstractNumId="14">
    <w:nsid w:val="E9A2966A"/>
    <w:multiLevelType w:val="singleLevel"/>
    <w:tmpl w:val="E9A2966A"/>
    <w:lvl w:ilvl="0" w:tentative="0">
      <w:start w:val="1"/>
      <w:numFmt w:val="decimal"/>
      <w:suff w:val="nothing"/>
      <w:lvlText w:val="(%1)"/>
      <w:lvlJc w:val="left"/>
      <w:pPr>
        <w:ind w:left="425" w:hanging="425"/>
      </w:pPr>
      <w:rPr>
        <w:rFonts w:hint="default"/>
      </w:rPr>
    </w:lvl>
  </w:abstractNum>
  <w:abstractNum w:abstractNumId="15">
    <w:nsid w:val="EC35CBB2"/>
    <w:multiLevelType w:val="singleLevel"/>
    <w:tmpl w:val="EC35CBB2"/>
    <w:lvl w:ilvl="0" w:tentative="0">
      <w:start w:val="1"/>
      <w:numFmt w:val="decimal"/>
      <w:suff w:val="nothing"/>
      <w:lvlText w:val="(%1)"/>
      <w:lvlJc w:val="left"/>
      <w:pPr>
        <w:ind w:left="425" w:hanging="425"/>
      </w:pPr>
      <w:rPr>
        <w:rFonts w:hint="default"/>
      </w:rPr>
    </w:lvl>
  </w:abstractNum>
  <w:abstractNum w:abstractNumId="16">
    <w:nsid w:val="EC9CE873"/>
    <w:multiLevelType w:val="singleLevel"/>
    <w:tmpl w:val="EC9CE873"/>
    <w:lvl w:ilvl="0" w:tentative="0">
      <w:start w:val="1"/>
      <w:numFmt w:val="decimal"/>
      <w:lvlText w:val="表3.3-%1"/>
      <w:lvlJc w:val="left"/>
      <w:pPr>
        <w:tabs>
          <w:tab w:val="left" w:pos="420"/>
        </w:tabs>
        <w:ind w:left="425" w:leftChars="0" w:hanging="425" w:firstLineChars="0"/>
      </w:pPr>
      <w:rPr>
        <w:rFonts w:hint="default"/>
      </w:rPr>
    </w:lvl>
  </w:abstractNum>
  <w:abstractNum w:abstractNumId="17">
    <w:nsid w:val="EF229297"/>
    <w:multiLevelType w:val="singleLevel"/>
    <w:tmpl w:val="EF229297"/>
    <w:lvl w:ilvl="0" w:tentative="0">
      <w:start w:val="1"/>
      <w:numFmt w:val="decimal"/>
      <w:suff w:val="nothing"/>
      <w:lvlText w:val="%1"/>
      <w:lvlJc w:val="left"/>
      <w:pPr>
        <w:ind w:left="425" w:leftChars="0" w:hanging="425" w:firstLineChars="0"/>
      </w:pPr>
      <w:rPr>
        <w:rFonts w:hint="default"/>
      </w:rPr>
    </w:lvl>
  </w:abstractNum>
  <w:abstractNum w:abstractNumId="18">
    <w:nsid w:val="F39791CD"/>
    <w:multiLevelType w:val="singleLevel"/>
    <w:tmpl w:val="F39791CD"/>
    <w:lvl w:ilvl="0" w:tentative="0">
      <w:start w:val="1"/>
      <w:numFmt w:val="decimal"/>
      <w:suff w:val="nothing"/>
      <w:lvlText w:val="(%1)"/>
      <w:lvlJc w:val="left"/>
      <w:pPr>
        <w:ind w:left="425" w:hanging="425"/>
      </w:pPr>
      <w:rPr>
        <w:rFonts w:hint="default"/>
      </w:rPr>
    </w:lvl>
  </w:abstractNum>
  <w:abstractNum w:abstractNumId="19">
    <w:nsid w:val="F8D8F540"/>
    <w:multiLevelType w:val="singleLevel"/>
    <w:tmpl w:val="F8D8F540"/>
    <w:lvl w:ilvl="0" w:tentative="0">
      <w:start w:val="1"/>
      <w:numFmt w:val="decimal"/>
      <w:lvlText w:val="表2.5-%1"/>
      <w:lvlJc w:val="left"/>
      <w:pPr>
        <w:tabs>
          <w:tab w:val="left" w:pos="420"/>
        </w:tabs>
        <w:ind w:left="425" w:leftChars="0" w:hanging="425" w:firstLineChars="0"/>
      </w:pPr>
      <w:rPr>
        <w:rFonts w:hint="default"/>
      </w:rPr>
    </w:lvl>
  </w:abstractNum>
  <w:abstractNum w:abstractNumId="20">
    <w:nsid w:val="FB289036"/>
    <w:multiLevelType w:val="singleLevel"/>
    <w:tmpl w:val="FB289036"/>
    <w:lvl w:ilvl="0" w:tentative="0">
      <w:start w:val="1"/>
      <w:numFmt w:val="decimal"/>
      <w:lvlText w:val="表4.3-%1"/>
      <w:lvlJc w:val="left"/>
      <w:pPr>
        <w:tabs>
          <w:tab w:val="left" w:pos="420"/>
        </w:tabs>
        <w:ind w:left="425" w:leftChars="0" w:hanging="425" w:firstLineChars="0"/>
      </w:pPr>
      <w:rPr>
        <w:rFonts w:hint="default"/>
      </w:rPr>
    </w:lvl>
  </w:abstractNum>
  <w:abstractNum w:abstractNumId="21">
    <w:nsid w:val="FFC98BEB"/>
    <w:multiLevelType w:val="singleLevel"/>
    <w:tmpl w:val="FFC98BEB"/>
    <w:lvl w:ilvl="0" w:tentative="0">
      <w:start w:val="1"/>
      <w:numFmt w:val="decimal"/>
      <w:lvlText w:val="图3.1-%1"/>
      <w:lvlJc w:val="left"/>
      <w:pPr>
        <w:tabs>
          <w:tab w:val="left" w:pos="420"/>
        </w:tabs>
        <w:ind w:left="425" w:leftChars="0" w:hanging="425" w:firstLineChars="0"/>
      </w:pPr>
      <w:rPr>
        <w:rFonts w:hint="default"/>
      </w:rPr>
    </w:lvl>
  </w:abstractNum>
  <w:abstractNum w:abstractNumId="22">
    <w:nsid w:val="00000000"/>
    <w:multiLevelType w:val="multilevel"/>
    <w:tmpl w:val="00000000"/>
    <w:lvl w:ilvl="0" w:tentative="0">
      <w:start w:val="1"/>
      <w:numFmt w:val="decimal"/>
      <w:pStyle w:val="145"/>
      <w:lvlText w:val="表%1"/>
      <w:lvlJc w:val="center"/>
      <w:pPr>
        <w:tabs>
          <w:tab w:val="left" w:pos="0"/>
        </w:tabs>
        <w:ind w:left="0" w:firstLine="0"/>
      </w:pPr>
      <w:rPr>
        <w:rFonts w:hint="eastAsia"/>
      </w:rPr>
    </w:lvl>
    <w:lvl w:ilvl="1" w:tentative="0">
      <w:start w:val="1"/>
      <w:numFmt w:val="decimal"/>
      <w:lvlText w:val="%1.%2"/>
      <w:lvlJc w:val="left"/>
      <w:pPr>
        <w:tabs>
          <w:tab w:val="left" w:pos="1625"/>
        </w:tabs>
        <w:ind w:left="1472" w:hanging="567"/>
      </w:pPr>
      <w:rPr>
        <w:rFonts w:hint="eastAsia"/>
      </w:rPr>
    </w:lvl>
    <w:lvl w:ilvl="2" w:tentative="0">
      <w:start w:val="1"/>
      <w:numFmt w:val="decimal"/>
      <w:lvlText w:val="%1.%2.%3"/>
      <w:lvlJc w:val="left"/>
      <w:pPr>
        <w:tabs>
          <w:tab w:val="left" w:pos="2411"/>
        </w:tabs>
        <w:ind w:left="1898" w:hanging="567"/>
      </w:pPr>
      <w:rPr>
        <w:rFonts w:hint="eastAsia"/>
      </w:rPr>
    </w:lvl>
    <w:lvl w:ilvl="3" w:tentative="0">
      <w:start w:val="1"/>
      <w:numFmt w:val="decimal"/>
      <w:lvlText w:val="%1.%2.%3.%4"/>
      <w:lvlJc w:val="left"/>
      <w:pPr>
        <w:tabs>
          <w:tab w:val="left" w:pos="3196"/>
        </w:tabs>
        <w:ind w:left="2464" w:hanging="708"/>
      </w:pPr>
      <w:rPr>
        <w:rFonts w:hint="eastAsia"/>
      </w:rPr>
    </w:lvl>
    <w:lvl w:ilvl="4" w:tentative="0">
      <w:start w:val="1"/>
      <w:numFmt w:val="decimal"/>
      <w:lvlText w:val="%1.%2.%3.%4.%5"/>
      <w:lvlJc w:val="left"/>
      <w:pPr>
        <w:tabs>
          <w:tab w:val="left" w:pos="3981"/>
        </w:tabs>
        <w:ind w:left="3031" w:hanging="850"/>
      </w:pPr>
      <w:rPr>
        <w:rFonts w:hint="eastAsia"/>
      </w:rPr>
    </w:lvl>
    <w:lvl w:ilvl="5" w:tentative="0">
      <w:start w:val="1"/>
      <w:numFmt w:val="decimal"/>
      <w:lvlText w:val="%1.%2.%3.%4.%5.%6"/>
      <w:lvlJc w:val="left"/>
      <w:pPr>
        <w:tabs>
          <w:tab w:val="left" w:pos="4766"/>
        </w:tabs>
        <w:ind w:left="3740" w:hanging="1134"/>
      </w:pPr>
      <w:rPr>
        <w:rFonts w:hint="eastAsia"/>
      </w:rPr>
    </w:lvl>
    <w:lvl w:ilvl="6" w:tentative="0">
      <w:start w:val="1"/>
      <w:numFmt w:val="decimal"/>
      <w:lvlText w:val="%1.%2.%3.%4.%5.%6.%7"/>
      <w:lvlJc w:val="left"/>
      <w:pPr>
        <w:tabs>
          <w:tab w:val="left" w:pos="5551"/>
        </w:tabs>
        <w:ind w:left="4307" w:hanging="1276"/>
      </w:pPr>
      <w:rPr>
        <w:rFonts w:hint="eastAsia"/>
      </w:rPr>
    </w:lvl>
    <w:lvl w:ilvl="7" w:tentative="0">
      <w:start w:val="1"/>
      <w:numFmt w:val="decimal"/>
      <w:lvlText w:val="%1.%2.%3.%4.%5.%6.%7.%8"/>
      <w:lvlJc w:val="left"/>
      <w:pPr>
        <w:tabs>
          <w:tab w:val="left" w:pos="6336"/>
        </w:tabs>
        <w:ind w:left="4874" w:hanging="1418"/>
      </w:pPr>
      <w:rPr>
        <w:rFonts w:hint="eastAsia"/>
      </w:rPr>
    </w:lvl>
    <w:lvl w:ilvl="8" w:tentative="0">
      <w:start w:val="1"/>
      <w:numFmt w:val="decimal"/>
      <w:lvlText w:val="%1.%2.%3.%4.%5.%6.%7.%8.%9"/>
      <w:lvlJc w:val="left"/>
      <w:pPr>
        <w:tabs>
          <w:tab w:val="left" w:pos="7122"/>
        </w:tabs>
        <w:ind w:left="5582" w:hanging="1700"/>
      </w:pPr>
      <w:rPr>
        <w:rFonts w:hint="eastAsia"/>
      </w:rPr>
    </w:lvl>
  </w:abstractNum>
  <w:abstractNum w:abstractNumId="23">
    <w:nsid w:val="00000001"/>
    <w:multiLevelType w:val="multilevel"/>
    <w:tmpl w:val="00000001"/>
    <w:lvl w:ilvl="0" w:tentative="0">
      <w:start w:val="1"/>
      <w:numFmt w:val="none"/>
      <w:pStyle w:val="170"/>
      <w:lvlText w:val="13."/>
      <w:legacy w:legacy="1" w:legacySpace="0" w:legacyIndent="425"/>
      <w:lvlJc w:val="left"/>
      <w:pPr>
        <w:ind w:left="425" w:hanging="425"/>
      </w:pPr>
    </w:lvl>
    <w:lvl w:ilvl="1" w:tentative="0">
      <w:start w:val="1"/>
      <w:numFmt w:val="upperLetter"/>
      <w:pStyle w:val="208"/>
      <w:lvlText w:val="%2."/>
      <w:legacy w:legacy="1" w:legacySpace="0" w:legacyIndent="425"/>
      <w:lvlJc w:val="left"/>
      <w:pPr>
        <w:ind w:left="850" w:hanging="425"/>
      </w:pPr>
    </w:lvl>
    <w:lvl w:ilvl="2" w:tentative="0">
      <w:start w:val="1"/>
      <w:numFmt w:val="decimal"/>
      <w:pStyle w:val="207"/>
      <w:lvlText w:val="%3."/>
      <w:legacy w:legacy="1" w:legacySpace="0" w:legacyIndent="425"/>
      <w:lvlJc w:val="left"/>
      <w:pPr>
        <w:ind w:left="1275" w:hanging="425"/>
      </w:pPr>
    </w:lvl>
    <w:lvl w:ilvl="3" w:tentative="0">
      <w:start w:val="1"/>
      <w:numFmt w:val="lowerLetter"/>
      <w:pStyle w:val="261"/>
      <w:lvlText w:val="%4)"/>
      <w:legacy w:legacy="1" w:legacySpace="0" w:legacyIndent="425"/>
      <w:lvlJc w:val="left"/>
      <w:pPr>
        <w:ind w:left="1700" w:hanging="425"/>
      </w:pPr>
    </w:lvl>
    <w:lvl w:ilvl="4" w:tentative="0">
      <w:start w:val="1"/>
      <w:numFmt w:val="decimal"/>
      <w:pStyle w:val="217"/>
      <w:lvlText w:val="(%5)"/>
      <w:legacy w:legacy="1" w:legacySpace="0" w:legacyIndent="425"/>
      <w:lvlJc w:val="left"/>
      <w:pPr>
        <w:ind w:left="2125" w:hanging="425"/>
      </w:pPr>
    </w:lvl>
    <w:lvl w:ilvl="5" w:tentative="0">
      <w:start w:val="1"/>
      <w:numFmt w:val="lowerLetter"/>
      <w:pStyle w:val="216"/>
      <w:lvlText w:val="(%6)"/>
      <w:legacy w:legacy="1" w:legacySpace="0" w:legacyIndent="425"/>
      <w:lvlJc w:val="left"/>
      <w:pPr>
        <w:ind w:left="2550" w:hanging="425"/>
      </w:pPr>
    </w:lvl>
    <w:lvl w:ilvl="6" w:tentative="0">
      <w:start w:val="1"/>
      <w:numFmt w:val="lowerRoman"/>
      <w:pStyle w:val="215"/>
      <w:lvlText w:val="(%7)"/>
      <w:legacy w:legacy="1" w:legacySpace="0" w:legacyIndent="425"/>
      <w:lvlJc w:val="left"/>
      <w:pPr>
        <w:ind w:left="2975" w:hanging="425"/>
      </w:pPr>
    </w:lvl>
    <w:lvl w:ilvl="7" w:tentative="0">
      <w:start w:val="1"/>
      <w:numFmt w:val="lowerLetter"/>
      <w:lvlText w:val="(%8)"/>
      <w:legacy w:legacy="1" w:legacySpace="0" w:legacyIndent="425"/>
      <w:lvlJc w:val="left"/>
      <w:pPr>
        <w:ind w:left="3400" w:hanging="425"/>
      </w:pPr>
    </w:lvl>
    <w:lvl w:ilvl="8" w:tentative="0">
      <w:start w:val="1"/>
      <w:numFmt w:val="lowerRoman"/>
      <w:pStyle w:val="14"/>
      <w:lvlText w:val="(%9)"/>
      <w:legacy w:legacy="1" w:legacySpace="0" w:legacyIndent="425"/>
      <w:lvlJc w:val="left"/>
      <w:pPr>
        <w:ind w:left="3825" w:hanging="425"/>
      </w:pPr>
    </w:lvl>
  </w:abstractNum>
  <w:abstractNum w:abstractNumId="24">
    <w:nsid w:val="0317B2D0"/>
    <w:multiLevelType w:val="singleLevel"/>
    <w:tmpl w:val="0317B2D0"/>
    <w:lvl w:ilvl="0" w:tentative="0">
      <w:start w:val="1"/>
      <w:numFmt w:val="decimal"/>
      <w:suff w:val="nothing"/>
      <w:lvlText w:val="(%1)"/>
      <w:lvlJc w:val="left"/>
      <w:pPr>
        <w:ind w:left="425" w:hanging="425"/>
      </w:pPr>
      <w:rPr>
        <w:rFonts w:hint="default"/>
      </w:rPr>
    </w:lvl>
  </w:abstractNum>
  <w:abstractNum w:abstractNumId="25">
    <w:nsid w:val="03BDC470"/>
    <w:multiLevelType w:val="singleLevel"/>
    <w:tmpl w:val="03BDC470"/>
    <w:lvl w:ilvl="0" w:tentative="0">
      <w:start w:val="1"/>
      <w:numFmt w:val="decimal"/>
      <w:lvlText w:val="表6.2-%1"/>
      <w:lvlJc w:val="left"/>
      <w:pPr>
        <w:tabs>
          <w:tab w:val="left" w:pos="420"/>
        </w:tabs>
        <w:ind w:left="425" w:leftChars="0" w:hanging="425" w:firstLineChars="0"/>
      </w:pPr>
      <w:rPr>
        <w:rFonts w:hint="default"/>
      </w:rPr>
    </w:lvl>
  </w:abstractNum>
  <w:abstractNum w:abstractNumId="26">
    <w:nsid w:val="08B7FDF5"/>
    <w:multiLevelType w:val="singleLevel"/>
    <w:tmpl w:val="08B7FDF5"/>
    <w:lvl w:ilvl="0" w:tentative="0">
      <w:start w:val="1"/>
      <w:numFmt w:val="decimal"/>
      <w:suff w:val="nothing"/>
      <w:lvlText w:val="(%1)"/>
      <w:lvlJc w:val="left"/>
      <w:pPr>
        <w:ind w:left="425" w:hanging="425"/>
      </w:pPr>
      <w:rPr>
        <w:rFonts w:hint="default"/>
      </w:rPr>
    </w:lvl>
  </w:abstractNum>
  <w:abstractNum w:abstractNumId="27">
    <w:nsid w:val="0EB8C88E"/>
    <w:multiLevelType w:val="singleLevel"/>
    <w:tmpl w:val="0EB8C88E"/>
    <w:lvl w:ilvl="0" w:tentative="0">
      <w:start w:val="1"/>
      <w:numFmt w:val="decimal"/>
      <w:lvlText w:val="表6.4-%1"/>
      <w:lvlJc w:val="left"/>
      <w:pPr>
        <w:tabs>
          <w:tab w:val="left" w:pos="420"/>
        </w:tabs>
        <w:ind w:left="425" w:leftChars="0" w:hanging="425" w:firstLineChars="0"/>
      </w:pPr>
      <w:rPr>
        <w:rFonts w:hint="default"/>
      </w:rPr>
    </w:lvl>
  </w:abstractNum>
  <w:abstractNum w:abstractNumId="28">
    <w:nsid w:val="1312DA5F"/>
    <w:multiLevelType w:val="singleLevel"/>
    <w:tmpl w:val="1312DA5F"/>
    <w:lvl w:ilvl="0" w:tentative="0">
      <w:start w:val="1"/>
      <w:numFmt w:val="decimal"/>
      <w:lvlText w:val="表5.1-%1"/>
      <w:lvlJc w:val="left"/>
      <w:pPr>
        <w:tabs>
          <w:tab w:val="left" w:pos="420"/>
        </w:tabs>
        <w:ind w:left="425" w:leftChars="0" w:hanging="425" w:firstLineChars="0"/>
      </w:pPr>
      <w:rPr>
        <w:rFonts w:hint="default"/>
      </w:rPr>
    </w:lvl>
  </w:abstractNum>
  <w:abstractNum w:abstractNumId="29">
    <w:nsid w:val="15EF0033"/>
    <w:multiLevelType w:val="singleLevel"/>
    <w:tmpl w:val="15EF0033"/>
    <w:lvl w:ilvl="0" w:tentative="0">
      <w:start w:val="1"/>
      <w:numFmt w:val="decimal"/>
      <w:suff w:val="nothing"/>
      <w:lvlText w:val="(%1)"/>
      <w:lvlJc w:val="left"/>
      <w:pPr>
        <w:ind w:left="425" w:hanging="425"/>
      </w:pPr>
      <w:rPr>
        <w:rFonts w:hint="default"/>
      </w:rPr>
    </w:lvl>
  </w:abstractNum>
  <w:abstractNum w:abstractNumId="30">
    <w:nsid w:val="1E857AC2"/>
    <w:multiLevelType w:val="singleLevel"/>
    <w:tmpl w:val="1E857AC2"/>
    <w:lvl w:ilvl="0" w:tentative="0">
      <w:start w:val="1"/>
      <w:numFmt w:val="decimal"/>
      <w:lvlText w:val="图4.1-%1"/>
      <w:lvlJc w:val="left"/>
      <w:pPr>
        <w:tabs>
          <w:tab w:val="left" w:pos="420"/>
        </w:tabs>
        <w:ind w:left="425" w:leftChars="0" w:hanging="425" w:firstLineChars="0"/>
      </w:pPr>
      <w:rPr>
        <w:rFonts w:hint="default"/>
        <w:b/>
        <w:bCs/>
      </w:rPr>
    </w:lvl>
  </w:abstractNum>
  <w:abstractNum w:abstractNumId="31">
    <w:nsid w:val="248CE380"/>
    <w:multiLevelType w:val="singleLevel"/>
    <w:tmpl w:val="248CE380"/>
    <w:lvl w:ilvl="0" w:tentative="0">
      <w:start w:val="1"/>
      <w:numFmt w:val="decimal"/>
      <w:lvlText w:val="表8.3-%1"/>
      <w:lvlJc w:val="left"/>
      <w:pPr>
        <w:tabs>
          <w:tab w:val="left" w:pos="420"/>
        </w:tabs>
        <w:ind w:left="425" w:leftChars="0" w:hanging="425" w:firstLineChars="0"/>
      </w:pPr>
      <w:rPr>
        <w:rFonts w:hint="default"/>
      </w:rPr>
    </w:lvl>
  </w:abstractNum>
  <w:abstractNum w:abstractNumId="32">
    <w:nsid w:val="2D726A8E"/>
    <w:multiLevelType w:val="singleLevel"/>
    <w:tmpl w:val="2D726A8E"/>
    <w:lvl w:ilvl="0" w:tentative="0">
      <w:start w:val="1"/>
      <w:numFmt w:val="decimal"/>
      <w:lvlText w:val="表3.2-%1"/>
      <w:lvlJc w:val="left"/>
      <w:pPr>
        <w:tabs>
          <w:tab w:val="left" w:pos="420"/>
        </w:tabs>
        <w:ind w:left="425" w:leftChars="0" w:hanging="425" w:firstLineChars="0"/>
      </w:pPr>
      <w:rPr>
        <w:rFonts w:hint="default"/>
      </w:rPr>
    </w:lvl>
  </w:abstractNum>
  <w:abstractNum w:abstractNumId="33">
    <w:nsid w:val="2FA8FF73"/>
    <w:multiLevelType w:val="singleLevel"/>
    <w:tmpl w:val="2FA8FF73"/>
    <w:lvl w:ilvl="0" w:tentative="0">
      <w:start w:val="1"/>
      <w:numFmt w:val="decimal"/>
      <w:lvlText w:val="表2.8-%1"/>
      <w:lvlJc w:val="left"/>
      <w:pPr>
        <w:tabs>
          <w:tab w:val="left" w:pos="420"/>
        </w:tabs>
        <w:ind w:left="425" w:leftChars="0" w:hanging="425" w:firstLineChars="0"/>
      </w:pPr>
      <w:rPr>
        <w:rFonts w:hint="default"/>
      </w:rPr>
    </w:lvl>
  </w:abstractNum>
  <w:abstractNum w:abstractNumId="34">
    <w:nsid w:val="34C7FB7B"/>
    <w:multiLevelType w:val="singleLevel"/>
    <w:tmpl w:val="34C7FB7B"/>
    <w:lvl w:ilvl="0" w:tentative="0">
      <w:start w:val="1"/>
      <w:numFmt w:val="decimal"/>
      <w:lvlText w:val="表2.7-%1"/>
      <w:lvlJc w:val="left"/>
      <w:pPr>
        <w:tabs>
          <w:tab w:val="left" w:pos="420"/>
        </w:tabs>
        <w:ind w:left="425" w:leftChars="0" w:hanging="425" w:firstLineChars="0"/>
      </w:pPr>
      <w:rPr>
        <w:rFonts w:hint="default"/>
      </w:rPr>
    </w:lvl>
  </w:abstractNum>
  <w:abstractNum w:abstractNumId="35">
    <w:nsid w:val="35DF378B"/>
    <w:multiLevelType w:val="singleLevel"/>
    <w:tmpl w:val="35DF378B"/>
    <w:lvl w:ilvl="0" w:tentative="0">
      <w:start w:val="1"/>
      <w:numFmt w:val="decimal"/>
      <w:lvlText w:val="图5.2-%1"/>
      <w:lvlJc w:val="left"/>
      <w:pPr>
        <w:tabs>
          <w:tab w:val="left" w:pos="420"/>
        </w:tabs>
        <w:ind w:left="425" w:leftChars="0" w:hanging="425" w:firstLineChars="0"/>
      </w:pPr>
      <w:rPr>
        <w:rFonts w:hint="default"/>
      </w:rPr>
    </w:lvl>
  </w:abstractNum>
  <w:abstractNum w:abstractNumId="36">
    <w:nsid w:val="3C343B48"/>
    <w:multiLevelType w:val="singleLevel"/>
    <w:tmpl w:val="3C343B48"/>
    <w:lvl w:ilvl="0" w:tentative="0">
      <w:start w:val="1"/>
      <w:numFmt w:val="decimal"/>
      <w:suff w:val="nothing"/>
      <w:lvlText w:val="（%1）"/>
      <w:lvlJc w:val="left"/>
    </w:lvl>
  </w:abstractNum>
  <w:abstractNum w:abstractNumId="37">
    <w:nsid w:val="3FEA6A8E"/>
    <w:multiLevelType w:val="singleLevel"/>
    <w:tmpl w:val="3FEA6A8E"/>
    <w:lvl w:ilvl="0" w:tentative="0">
      <w:start w:val="1"/>
      <w:numFmt w:val="decimal"/>
      <w:lvlText w:val="表3.1-%1"/>
      <w:lvlJc w:val="left"/>
      <w:pPr>
        <w:tabs>
          <w:tab w:val="left" w:pos="420"/>
        </w:tabs>
        <w:ind w:left="425" w:leftChars="0" w:hanging="425" w:firstLineChars="0"/>
      </w:pPr>
      <w:rPr>
        <w:rFonts w:hint="default"/>
      </w:rPr>
    </w:lvl>
  </w:abstractNum>
  <w:abstractNum w:abstractNumId="38">
    <w:nsid w:val="54046A3C"/>
    <w:multiLevelType w:val="singleLevel"/>
    <w:tmpl w:val="54046A3C"/>
    <w:lvl w:ilvl="0" w:tentative="0">
      <w:start w:val="1"/>
      <w:numFmt w:val="decimal"/>
      <w:lvlText w:val="表7.1-%1"/>
      <w:lvlJc w:val="left"/>
      <w:pPr>
        <w:tabs>
          <w:tab w:val="left" w:pos="420"/>
        </w:tabs>
        <w:ind w:left="425" w:leftChars="0" w:hanging="425" w:firstLineChars="0"/>
      </w:pPr>
      <w:rPr>
        <w:rFonts w:hint="default"/>
      </w:rPr>
    </w:lvl>
  </w:abstractNum>
  <w:abstractNum w:abstractNumId="39">
    <w:nsid w:val="55E638D0"/>
    <w:multiLevelType w:val="singleLevel"/>
    <w:tmpl w:val="55E638D0"/>
    <w:lvl w:ilvl="0" w:tentative="0">
      <w:start w:val="1"/>
      <w:numFmt w:val="bullet"/>
      <w:pStyle w:val="17"/>
      <w:lvlText w:val=""/>
      <w:lvlJc w:val="left"/>
      <w:pPr>
        <w:tabs>
          <w:tab w:val="left" w:pos="360"/>
        </w:tabs>
        <w:ind w:left="360" w:hanging="360"/>
      </w:pPr>
      <w:rPr>
        <w:rFonts w:hint="default" w:ascii="Wingdings" w:hAnsi="Wingdings"/>
      </w:rPr>
    </w:lvl>
  </w:abstractNum>
  <w:abstractNum w:abstractNumId="40">
    <w:nsid w:val="5EBBF55A"/>
    <w:multiLevelType w:val="singleLevel"/>
    <w:tmpl w:val="5EBBF55A"/>
    <w:lvl w:ilvl="0" w:tentative="0">
      <w:start w:val="1"/>
      <w:numFmt w:val="decimal"/>
      <w:lvlText w:val="%1."/>
      <w:lvlJc w:val="left"/>
      <w:pPr>
        <w:tabs>
          <w:tab w:val="left" w:pos="312"/>
        </w:tabs>
      </w:pPr>
    </w:lvl>
  </w:abstractNum>
  <w:abstractNum w:abstractNumId="41">
    <w:nsid w:val="68575D5B"/>
    <w:multiLevelType w:val="singleLevel"/>
    <w:tmpl w:val="68575D5B"/>
    <w:lvl w:ilvl="0" w:tentative="0">
      <w:start w:val="1"/>
      <w:numFmt w:val="decimal"/>
      <w:suff w:val="nothing"/>
      <w:lvlText w:val="%1"/>
      <w:lvlJc w:val="left"/>
      <w:pPr>
        <w:ind w:left="425" w:leftChars="0" w:hanging="425" w:firstLineChars="0"/>
      </w:pPr>
      <w:rPr>
        <w:rFonts w:hint="default"/>
      </w:rPr>
    </w:lvl>
  </w:abstractNum>
  <w:abstractNum w:abstractNumId="42">
    <w:nsid w:val="6D4DE856"/>
    <w:multiLevelType w:val="singleLevel"/>
    <w:tmpl w:val="6D4DE856"/>
    <w:lvl w:ilvl="0" w:tentative="0">
      <w:start w:val="1"/>
      <w:numFmt w:val="decimal"/>
      <w:suff w:val="nothing"/>
      <w:lvlText w:val="%1"/>
      <w:lvlJc w:val="left"/>
      <w:pPr>
        <w:ind w:left="425" w:leftChars="0" w:hanging="425" w:firstLineChars="0"/>
      </w:pPr>
      <w:rPr>
        <w:rFonts w:hint="default"/>
      </w:rPr>
    </w:lvl>
  </w:abstractNum>
  <w:abstractNum w:abstractNumId="43">
    <w:nsid w:val="6E2F7C8F"/>
    <w:multiLevelType w:val="singleLevel"/>
    <w:tmpl w:val="6E2F7C8F"/>
    <w:lvl w:ilvl="0" w:tentative="0">
      <w:start w:val="1"/>
      <w:numFmt w:val="decimal"/>
      <w:lvlText w:val="图6.2-%1"/>
      <w:lvlJc w:val="left"/>
      <w:pPr>
        <w:tabs>
          <w:tab w:val="left" w:pos="420"/>
        </w:tabs>
        <w:ind w:left="425" w:leftChars="0" w:hanging="425" w:firstLineChars="0"/>
      </w:pPr>
      <w:rPr>
        <w:rFonts w:hint="default"/>
      </w:rPr>
    </w:lvl>
  </w:abstractNum>
  <w:abstractNum w:abstractNumId="44">
    <w:nsid w:val="70A59BA3"/>
    <w:multiLevelType w:val="singleLevel"/>
    <w:tmpl w:val="70A59BA3"/>
    <w:lvl w:ilvl="0" w:tentative="0">
      <w:start w:val="1"/>
      <w:numFmt w:val="decimal"/>
      <w:suff w:val="nothing"/>
      <w:lvlText w:val="%1、"/>
      <w:lvlJc w:val="left"/>
    </w:lvl>
  </w:abstractNum>
  <w:num w:numId="1">
    <w:abstractNumId w:val="23"/>
  </w:num>
  <w:num w:numId="2">
    <w:abstractNumId w:val="39"/>
  </w:num>
  <w:num w:numId="3">
    <w:abstractNumId w:val="22"/>
  </w:num>
  <w:num w:numId="4">
    <w:abstractNumId w:val="14"/>
  </w:num>
  <w:num w:numId="5">
    <w:abstractNumId w:val="29"/>
  </w:num>
  <w:num w:numId="6">
    <w:abstractNumId w:val="18"/>
  </w:num>
  <w:num w:numId="7">
    <w:abstractNumId w:val="5"/>
  </w:num>
  <w:num w:numId="8">
    <w:abstractNumId w:val="26"/>
  </w:num>
  <w:num w:numId="9">
    <w:abstractNumId w:val="15"/>
  </w:num>
  <w:num w:numId="10">
    <w:abstractNumId w:val="24"/>
  </w:num>
  <w:num w:numId="11">
    <w:abstractNumId w:val="8"/>
  </w:num>
  <w:num w:numId="12">
    <w:abstractNumId w:val="19"/>
  </w:num>
  <w:num w:numId="13">
    <w:abstractNumId w:val="9"/>
  </w:num>
  <w:num w:numId="14">
    <w:abstractNumId w:val="3"/>
  </w:num>
  <w:num w:numId="15">
    <w:abstractNumId w:val="42"/>
  </w:num>
  <w:num w:numId="16">
    <w:abstractNumId w:val="34"/>
  </w:num>
  <w:num w:numId="17">
    <w:abstractNumId w:val="40"/>
  </w:num>
  <w:num w:numId="18">
    <w:abstractNumId w:val="1"/>
  </w:num>
  <w:num w:numId="19">
    <w:abstractNumId w:val="44"/>
  </w:num>
  <w:num w:numId="20">
    <w:abstractNumId w:val="33"/>
  </w:num>
  <w:num w:numId="21">
    <w:abstractNumId w:val="21"/>
  </w:num>
  <w:num w:numId="22">
    <w:abstractNumId w:val="37"/>
  </w:num>
  <w:num w:numId="23">
    <w:abstractNumId w:val="2"/>
  </w:num>
  <w:num w:numId="24">
    <w:abstractNumId w:val="32"/>
  </w:num>
  <w:num w:numId="25">
    <w:abstractNumId w:val="11"/>
  </w:num>
  <w:num w:numId="26">
    <w:abstractNumId w:val="43"/>
  </w:num>
  <w:num w:numId="27">
    <w:abstractNumId w:val="16"/>
  </w:num>
  <w:num w:numId="28">
    <w:abstractNumId w:val="10"/>
  </w:num>
  <w:num w:numId="29">
    <w:abstractNumId w:val="30"/>
  </w:num>
  <w:num w:numId="30">
    <w:abstractNumId w:val="20"/>
  </w:num>
  <w:num w:numId="31">
    <w:abstractNumId w:val="0"/>
  </w:num>
  <w:num w:numId="32">
    <w:abstractNumId w:val="4"/>
  </w:num>
  <w:num w:numId="33">
    <w:abstractNumId w:val="28"/>
  </w:num>
  <w:num w:numId="34">
    <w:abstractNumId w:val="7"/>
  </w:num>
  <w:num w:numId="35">
    <w:abstractNumId w:val="35"/>
  </w:num>
  <w:num w:numId="36">
    <w:abstractNumId w:val="12"/>
  </w:num>
  <w:num w:numId="37">
    <w:abstractNumId w:val="17"/>
  </w:num>
  <w:num w:numId="38">
    <w:abstractNumId w:val="6"/>
  </w:num>
  <w:num w:numId="39">
    <w:abstractNumId w:val="41"/>
  </w:num>
  <w:num w:numId="40">
    <w:abstractNumId w:val="13"/>
  </w:num>
  <w:num w:numId="41">
    <w:abstractNumId w:val="36"/>
  </w:num>
  <w:num w:numId="42">
    <w:abstractNumId w:val="25"/>
  </w:num>
  <w:num w:numId="43">
    <w:abstractNumId w:val="27"/>
  </w:num>
  <w:num w:numId="44">
    <w:abstractNumId w:val="38"/>
  </w:num>
  <w:num w:numId="45">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HorizontalSpacing w:val="210"/>
  <w:drawingGridVerticalSpacing w:val="159"/>
  <w:displayHorizontalDrawingGridEvery w:val="1"/>
  <w:displayVerticalDrawingGridEvery w:val="1"/>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U1MjI5MmIyY2U5YTU1YTUxNTBlMmZlYzdhMTAwZTMifQ=="/>
  </w:docVars>
  <w:rsids>
    <w:rsidRoot w:val="00172A27"/>
    <w:rsid w:val="00005402"/>
    <w:rsid w:val="00043924"/>
    <w:rsid w:val="00061821"/>
    <w:rsid w:val="000777BF"/>
    <w:rsid w:val="000962B0"/>
    <w:rsid w:val="000C3DA7"/>
    <w:rsid w:val="000D178E"/>
    <w:rsid w:val="000D7D96"/>
    <w:rsid w:val="000E77B1"/>
    <w:rsid w:val="00104C3F"/>
    <w:rsid w:val="00193B94"/>
    <w:rsid w:val="00196C96"/>
    <w:rsid w:val="001C048E"/>
    <w:rsid w:val="001C5716"/>
    <w:rsid w:val="001F5191"/>
    <w:rsid w:val="00202719"/>
    <w:rsid w:val="00226454"/>
    <w:rsid w:val="002443FD"/>
    <w:rsid w:val="0026645F"/>
    <w:rsid w:val="002A3B4D"/>
    <w:rsid w:val="002C74D2"/>
    <w:rsid w:val="00311A5F"/>
    <w:rsid w:val="00326C91"/>
    <w:rsid w:val="00333727"/>
    <w:rsid w:val="00340B59"/>
    <w:rsid w:val="00353223"/>
    <w:rsid w:val="00364239"/>
    <w:rsid w:val="00370B08"/>
    <w:rsid w:val="003733F3"/>
    <w:rsid w:val="003A2E8B"/>
    <w:rsid w:val="003B750F"/>
    <w:rsid w:val="00406EBD"/>
    <w:rsid w:val="00411EFF"/>
    <w:rsid w:val="00420FEB"/>
    <w:rsid w:val="00433A52"/>
    <w:rsid w:val="00434640"/>
    <w:rsid w:val="00494521"/>
    <w:rsid w:val="004C5EDE"/>
    <w:rsid w:val="004C7761"/>
    <w:rsid w:val="004D43A1"/>
    <w:rsid w:val="004E4E45"/>
    <w:rsid w:val="004F34C4"/>
    <w:rsid w:val="00500098"/>
    <w:rsid w:val="00505106"/>
    <w:rsid w:val="00526ED2"/>
    <w:rsid w:val="005429DF"/>
    <w:rsid w:val="005746C9"/>
    <w:rsid w:val="00581317"/>
    <w:rsid w:val="00597218"/>
    <w:rsid w:val="005E06BB"/>
    <w:rsid w:val="005F7447"/>
    <w:rsid w:val="00612345"/>
    <w:rsid w:val="0063326A"/>
    <w:rsid w:val="006479CF"/>
    <w:rsid w:val="00674803"/>
    <w:rsid w:val="006B4990"/>
    <w:rsid w:val="0070161A"/>
    <w:rsid w:val="007630CA"/>
    <w:rsid w:val="007A294C"/>
    <w:rsid w:val="007B1552"/>
    <w:rsid w:val="007C3865"/>
    <w:rsid w:val="007C4B92"/>
    <w:rsid w:val="007E1368"/>
    <w:rsid w:val="00834D62"/>
    <w:rsid w:val="00845BCD"/>
    <w:rsid w:val="0088085A"/>
    <w:rsid w:val="00895C3B"/>
    <w:rsid w:val="008E2A0E"/>
    <w:rsid w:val="008F02C5"/>
    <w:rsid w:val="00913486"/>
    <w:rsid w:val="00927B99"/>
    <w:rsid w:val="009471F9"/>
    <w:rsid w:val="00953D9C"/>
    <w:rsid w:val="00982012"/>
    <w:rsid w:val="00991ADF"/>
    <w:rsid w:val="00994ADA"/>
    <w:rsid w:val="009B0878"/>
    <w:rsid w:val="009F1BFB"/>
    <w:rsid w:val="009F7072"/>
    <w:rsid w:val="00A01148"/>
    <w:rsid w:val="00A035B9"/>
    <w:rsid w:val="00A11EB7"/>
    <w:rsid w:val="00A2598B"/>
    <w:rsid w:val="00A70ED8"/>
    <w:rsid w:val="00A81A53"/>
    <w:rsid w:val="00A857E3"/>
    <w:rsid w:val="00A95A9A"/>
    <w:rsid w:val="00A95C7D"/>
    <w:rsid w:val="00AA0077"/>
    <w:rsid w:val="00AA328B"/>
    <w:rsid w:val="00B46918"/>
    <w:rsid w:val="00B80EC0"/>
    <w:rsid w:val="00B972CC"/>
    <w:rsid w:val="00BA2582"/>
    <w:rsid w:val="00BF5B77"/>
    <w:rsid w:val="00C13927"/>
    <w:rsid w:val="00C1555C"/>
    <w:rsid w:val="00C32A34"/>
    <w:rsid w:val="00C50B26"/>
    <w:rsid w:val="00C555E3"/>
    <w:rsid w:val="00C60A4F"/>
    <w:rsid w:val="00C9033F"/>
    <w:rsid w:val="00CA7EEA"/>
    <w:rsid w:val="00CC2DEB"/>
    <w:rsid w:val="00D04AA3"/>
    <w:rsid w:val="00D075B0"/>
    <w:rsid w:val="00D15019"/>
    <w:rsid w:val="00D15633"/>
    <w:rsid w:val="00D32D33"/>
    <w:rsid w:val="00D700BF"/>
    <w:rsid w:val="00D71C3F"/>
    <w:rsid w:val="00D91C50"/>
    <w:rsid w:val="00D9407D"/>
    <w:rsid w:val="00DC64F4"/>
    <w:rsid w:val="00DE4D0A"/>
    <w:rsid w:val="00E04CCA"/>
    <w:rsid w:val="00E10511"/>
    <w:rsid w:val="00E30FAC"/>
    <w:rsid w:val="00E36500"/>
    <w:rsid w:val="00E56177"/>
    <w:rsid w:val="00E86928"/>
    <w:rsid w:val="00ED5A99"/>
    <w:rsid w:val="00ED7991"/>
    <w:rsid w:val="00F10B92"/>
    <w:rsid w:val="00F11D6C"/>
    <w:rsid w:val="00F418DD"/>
    <w:rsid w:val="00F817A6"/>
    <w:rsid w:val="00F90224"/>
    <w:rsid w:val="00FC3E78"/>
    <w:rsid w:val="00FC4A2A"/>
    <w:rsid w:val="00FD1136"/>
    <w:rsid w:val="00FF56BA"/>
    <w:rsid w:val="010140A3"/>
    <w:rsid w:val="01014731"/>
    <w:rsid w:val="0103212E"/>
    <w:rsid w:val="01032D66"/>
    <w:rsid w:val="010351AA"/>
    <w:rsid w:val="01054F49"/>
    <w:rsid w:val="01062EEC"/>
    <w:rsid w:val="01080A12"/>
    <w:rsid w:val="01091A5C"/>
    <w:rsid w:val="0109711F"/>
    <w:rsid w:val="010A1FD4"/>
    <w:rsid w:val="010B1D94"/>
    <w:rsid w:val="010B603C"/>
    <w:rsid w:val="010D2661"/>
    <w:rsid w:val="010D3EEE"/>
    <w:rsid w:val="0112363F"/>
    <w:rsid w:val="011277A1"/>
    <w:rsid w:val="01131326"/>
    <w:rsid w:val="011454A5"/>
    <w:rsid w:val="01150185"/>
    <w:rsid w:val="0115105E"/>
    <w:rsid w:val="011A3CBD"/>
    <w:rsid w:val="011C626C"/>
    <w:rsid w:val="011F0779"/>
    <w:rsid w:val="012102A5"/>
    <w:rsid w:val="01233C61"/>
    <w:rsid w:val="01245F0A"/>
    <w:rsid w:val="01260151"/>
    <w:rsid w:val="01284C97"/>
    <w:rsid w:val="012932C0"/>
    <w:rsid w:val="012B3168"/>
    <w:rsid w:val="012B5600"/>
    <w:rsid w:val="012B6B50"/>
    <w:rsid w:val="012C6703"/>
    <w:rsid w:val="01301550"/>
    <w:rsid w:val="01320582"/>
    <w:rsid w:val="0132246B"/>
    <w:rsid w:val="01330AC1"/>
    <w:rsid w:val="01341807"/>
    <w:rsid w:val="01374E54"/>
    <w:rsid w:val="01376DD5"/>
    <w:rsid w:val="013869A4"/>
    <w:rsid w:val="01390BCC"/>
    <w:rsid w:val="01391E73"/>
    <w:rsid w:val="013B6D1D"/>
    <w:rsid w:val="013D57E1"/>
    <w:rsid w:val="013F1C5E"/>
    <w:rsid w:val="014063FE"/>
    <w:rsid w:val="01463034"/>
    <w:rsid w:val="014B08FF"/>
    <w:rsid w:val="014D4677"/>
    <w:rsid w:val="01506159"/>
    <w:rsid w:val="01522156"/>
    <w:rsid w:val="01534698"/>
    <w:rsid w:val="015629C2"/>
    <w:rsid w:val="01573F57"/>
    <w:rsid w:val="01574C53"/>
    <w:rsid w:val="015974C0"/>
    <w:rsid w:val="015C38D0"/>
    <w:rsid w:val="015D43A1"/>
    <w:rsid w:val="01614FD0"/>
    <w:rsid w:val="016320EC"/>
    <w:rsid w:val="01680463"/>
    <w:rsid w:val="01683C73"/>
    <w:rsid w:val="016B7D27"/>
    <w:rsid w:val="016C33D1"/>
    <w:rsid w:val="016E6FA6"/>
    <w:rsid w:val="016F45ED"/>
    <w:rsid w:val="01720CA6"/>
    <w:rsid w:val="01733656"/>
    <w:rsid w:val="01765E0B"/>
    <w:rsid w:val="017A2DB9"/>
    <w:rsid w:val="017C706E"/>
    <w:rsid w:val="017D777B"/>
    <w:rsid w:val="018021D1"/>
    <w:rsid w:val="01806EA3"/>
    <w:rsid w:val="01872B03"/>
    <w:rsid w:val="01876453"/>
    <w:rsid w:val="01892395"/>
    <w:rsid w:val="018A076E"/>
    <w:rsid w:val="018F209A"/>
    <w:rsid w:val="01905C60"/>
    <w:rsid w:val="0192527A"/>
    <w:rsid w:val="019374DF"/>
    <w:rsid w:val="01957568"/>
    <w:rsid w:val="0196601E"/>
    <w:rsid w:val="019E3EE0"/>
    <w:rsid w:val="019F182C"/>
    <w:rsid w:val="01A4707C"/>
    <w:rsid w:val="01A633AF"/>
    <w:rsid w:val="01A74764"/>
    <w:rsid w:val="01A82CD2"/>
    <w:rsid w:val="01A95FC4"/>
    <w:rsid w:val="01A96691"/>
    <w:rsid w:val="01AA11E2"/>
    <w:rsid w:val="01AD791D"/>
    <w:rsid w:val="01AE14E7"/>
    <w:rsid w:val="01AF1BBE"/>
    <w:rsid w:val="01B04209"/>
    <w:rsid w:val="01B32221"/>
    <w:rsid w:val="01B34B38"/>
    <w:rsid w:val="01B34F5E"/>
    <w:rsid w:val="01B56DD0"/>
    <w:rsid w:val="01B6221C"/>
    <w:rsid w:val="01BD6378"/>
    <w:rsid w:val="01BF77EA"/>
    <w:rsid w:val="01C31360"/>
    <w:rsid w:val="01C61BCC"/>
    <w:rsid w:val="01C66436"/>
    <w:rsid w:val="01C71782"/>
    <w:rsid w:val="01C77C93"/>
    <w:rsid w:val="01CB731F"/>
    <w:rsid w:val="01CC1A40"/>
    <w:rsid w:val="01CC5EE4"/>
    <w:rsid w:val="01D052DF"/>
    <w:rsid w:val="01D06073"/>
    <w:rsid w:val="01D2381C"/>
    <w:rsid w:val="01D54BFB"/>
    <w:rsid w:val="01D67DD7"/>
    <w:rsid w:val="01DE3794"/>
    <w:rsid w:val="01DE5357"/>
    <w:rsid w:val="01DF13F2"/>
    <w:rsid w:val="01E276A3"/>
    <w:rsid w:val="01E7720C"/>
    <w:rsid w:val="01E943A0"/>
    <w:rsid w:val="01EB1398"/>
    <w:rsid w:val="01EC0956"/>
    <w:rsid w:val="01EF3C34"/>
    <w:rsid w:val="01F0752B"/>
    <w:rsid w:val="01F26E4E"/>
    <w:rsid w:val="01F359D5"/>
    <w:rsid w:val="01F37F8F"/>
    <w:rsid w:val="01F42D45"/>
    <w:rsid w:val="01F46BC7"/>
    <w:rsid w:val="01F83720"/>
    <w:rsid w:val="01FB16D2"/>
    <w:rsid w:val="01FD7A9B"/>
    <w:rsid w:val="02011859"/>
    <w:rsid w:val="02031A7A"/>
    <w:rsid w:val="0205631C"/>
    <w:rsid w:val="020D1BA9"/>
    <w:rsid w:val="020E2A2C"/>
    <w:rsid w:val="0210051F"/>
    <w:rsid w:val="02112B07"/>
    <w:rsid w:val="02124A80"/>
    <w:rsid w:val="02127DEB"/>
    <w:rsid w:val="02137340"/>
    <w:rsid w:val="02186A33"/>
    <w:rsid w:val="02187751"/>
    <w:rsid w:val="02196516"/>
    <w:rsid w:val="021A3364"/>
    <w:rsid w:val="021D04ED"/>
    <w:rsid w:val="0222357F"/>
    <w:rsid w:val="022335B8"/>
    <w:rsid w:val="022460C6"/>
    <w:rsid w:val="02275960"/>
    <w:rsid w:val="02290757"/>
    <w:rsid w:val="02293E7D"/>
    <w:rsid w:val="0233083A"/>
    <w:rsid w:val="02333F36"/>
    <w:rsid w:val="02341CAF"/>
    <w:rsid w:val="023B14A4"/>
    <w:rsid w:val="023B2F7F"/>
    <w:rsid w:val="023E40C6"/>
    <w:rsid w:val="02426CC3"/>
    <w:rsid w:val="024767D3"/>
    <w:rsid w:val="02477318"/>
    <w:rsid w:val="024C3D76"/>
    <w:rsid w:val="02502C8C"/>
    <w:rsid w:val="02505E8B"/>
    <w:rsid w:val="025261C8"/>
    <w:rsid w:val="025442F0"/>
    <w:rsid w:val="02544FBF"/>
    <w:rsid w:val="02574081"/>
    <w:rsid w:val="025832D3"/>
    <w:rsid w:val="0258743F"/>
    <w:rsid w:val="025A704C"/>
    <w:rsid w:val="025B2DC4"/>
    <w:rsid w:val="025B3071"/>
    <w:rsid w:val="025E0DF1"/>
    <w:rsid w:val="025E10B7"/>
    <w:rsid w:val="025F4E8C"/>
    <w:rsid w:val="02624AED"/>
    <w:rsid w:val="02625073"/>
    <w:rsid w:val="02637A3C"/>
    <w:rsid w:val="026453F7"/>
    <w:rsid w:val="026659F0"/>
    <w:rsid w:val="02673C67"/>
    <w:rsid w:val="02685C0C"/>
    <w:rsid w:val="02691F20"/>
    <w:rsid w:val="026A6706"/>
    <w:rsid w:val="026B3007"/>
    <w:rsid w:val="026B3AC6"/>
    <w:rsid w:val="026B4FD3"/>
    <w:rsid w:val="026C2E96"/>
    <w:rsid w:val="026D6B9C"/>
    <w:rsid w:val="026F72AC"/>
    <w:rsid w:val="027339B7"/>
    <w:rsid w:val="027424F3"/>
    <w:rsid w:val="02782C25"/>
    <w:rsid w:val="027B759D"/>
    <w:rsid w:val="027C420C"/>
    <w:rsid w:val="027E6D1F"/>
    <w:rsid w:val="0280478B"/>
    <w:rsid w:val="028139A0"/>
    <w:rsid w:val="0283628C"/>
    <w:rsid w:val="02845190"/>
    <w:rsid w:val="0284683D"/>
    <w:rsid w:val="028B4221"/>
    <w:rsid w:val="028E140F"/>
    <w:rsid w:val="028F1AC6"/>
    <w:rsid w:val="029056C4"/>
    <w:rsid w:val="02912A19"/>
    <w:rsid w:val="0291428F"/>
    <w:rsid w:val="029177A4"/>
    <w:rsid w:val="02936198"/>
    <w:rsid w:val="02955E61"/>
    <w:rsid w:val="02974AD8"/>
    <w:rsid w:val="029B47FA"/>
    <w:rsid w:val="029C0CA0"/>
    <w:rsid w:val="029D2AA4"/>
    <w:rsid w:val="029D58C6"/>
    <w:rsid w:val="02A1111E"/>
    <w:rsid w:val="02A258D8"/>
    <w:rsid w:val="02A26915"/>
    <w:rsid w:val="02A52744"/>
    <w:rsid w:val="02A82808"/>
    <w:rsid w:val="02A8425B"/>
    <w:rsid w:val="02A8699A"/>
    <w:rsid w:val="02AB2BC5"/>
    <w:rsid w:val="02AC473A"/>
    <w:rsid w:val="02AD5394"/>
    <w:rsid w:val="02AD58E0"/>
    <w:rsid w:val="02AE4195"/>
    <w:rsid w:val="02AF1D29"/>
    <w:rsid w:val="02B1662E"/>
    <w:rsid w:val="02B1727E"/>
    <w:rsid w:val="02B35C12"/>
    <w:rsid w:val="02B618C6"/>
    <w:rsid w:val="02BB5881"/>
    <w:rsid w:val="02BD5687"/>
    <w:rsid w:val="02BF0A2A"/>
    <w:rsid w:val="02C0135D"/>
    <w:rsid w:val="02C03316"/>
    <w:rsid w:val="02C059F6"/>
    <w:rsid w:val="02C12630"/>
    <w:rsid w:val="02C25844"/>
    <w:rsid w:val="02C46324"/>
    <w:rsid w:val="02C53A78"/>
    <w:rsid w:val="02C673B7"/>
    <w:rsid w:val="02C851A8"/>
    <w:rsid w:val="02C87DB6"/>
    <w:rsid w:val="02C904D5"/>
    <w:rsid w:val="02C964F0"/>
    <w:rsid w:val="02CA34FC"/>
    <w:rsid w:val="02CB0181"/>
    <w:rsid w:val="02CC79B8"/>
    <w:rsid w:val="02CE3596"/>
    <w:rsid w:val="02CE492D"/>
    <w:rsid w:val="02CF458B"/>
    <w:rsid w:val="02CF755D"/>
    <w:rsid w:val="02D00AF2"/>
    <w:rsid w:val="02D3111E"/>
    <w:rsid w:val="02D3133F"/>
    <w:rsid w:val="02D33D82"/>
    <w:rsid w:val="02D90E2D"/>
    <w:rsid w:val="02DA4BC1"/>
    <w:rsid w:val="02DA540B"/>
    <w:rsid w:val="02DB1EEE"/>
    <w:rsid w:val="02DC5445"/>
    <w:rsid w:val="02DC6E72"/>
    <w:rsid w:val="02DD029C"/>
    <w:rsid w:val="02DD620B"/>
    <w:rsid w:val="02DE5737"/>
    <w:rsid w:val="02DE5D8B"/>
    <w:rsid w:val="02E83D3D"/>
    <w:rsid w:val="02E856E7"/>
    <w:rsid w:val="02E85D21"/>
    <w:rsid w:val="02E8611F"/>
    <w:rsid w:val="02EB20C5"/>
    <w:rsid w:val="02ED6112"/>
    <w:rsid w:val="02F02E31"/>
    <w:rsid w:val="02F054BA"/>
    <w:rsid w:val="02F110C0"/>
    <w:rsid w:val="02F50F11"/>
    <w:rsid w:val="02F5487A"/>
    <w:rsid w:val="02FC0146"/>
    <w:rsid w:val="02FC1A0F"/>
    <w:rsid w:val="03003097"/>
    <w:rsid w:val="03043B87"/>
    <w:rsid w:val="03043E5A"/>
    <w:rsid w:val="030563C2"/>
    <w:rsid w:val="03057A7C"/>
    <w:rsid w:val="03067DF1"/>
    <w:rsid w:val="03091C40"/>
    <w:rsid w:val="030D10C0"/>
    <w:rsid w:val="030D1D3E"/>
    <w:rsid w:val="03103451"/>
    <w:rsid w:val="0313640C"/>
    <w:rsid w:val="03136421"/>
    <w:rsid w:val="03143BD9"/>
    <w:rsid w:val="03151588"/>
    <w:rsid w:val="0317654E"/>
    <w:rsid w:val="03184671"/>
    <w:rsid w:val="03192A63"/>
    <w:rsid w:val="03195FC2"/>
    <w:rsid w:val="03197E4C"/>
    <w:rsid w:val="031A4D1B"/>
    <w:rsid w:val="031C3D59"/>
    <w:rsid w:val="031E65DE"/>
    <w:rsid w:val="031E7361"/>
    <w:rsid w:val="031F29ED"/>
    <w:rsid w:val="031F6C4A"/>
    <w:rsid w:val="0320136D"/>
    <w:rsid w:val="03204725"/>
    <w:rsid w:val="03262035"/>
    <w:rsid w:val="03264B1B"/>
    <w:rsid w:val="03280C72"/>
    <w:rsid w:val="032820DD"/>
    <w:rsid w:val="03290E2A"/>
    <w:rsid w:val="032B76DD"/>
    <w:rsid w:val="032E5BB1"/>
    <w:rsid w:val="032F6E5A"/>
    <w:rsid w:val="03317788"/>
    <w:rsid w:val="03324DDD"/>
    <w:rsid w:val="0332621A"/>
    <w:rsid w:val="03333319"/>
    <w:rsid w:val="033369D2"/>
    <w:rsid w:val="03346D40"/>
    <w:rsid w:val="033667B6"/>
    <w:rsid w:val="03394411"/>
    <w:rsid w:val="033A0257"/>
    <w:rsid w:val="033B2BDA"/>
    <w:rsid w:val="033B50CF"/>
    <w:rsid w:val="033F5834"/>
    <w:rsid w:val="03411F30"/>
    <w:rsid w:val="03433F84"/>
    <w:rsid w:val="03453639"/>
    <w:rsid w:val="03470E64"/>
    <w:rsid w:val="03472CA9"/>
    <w:rsid w:val="034E6553"/>
    <w:rsid w:val="03514064"/>
    <w:rsid w:val="035241C7"/>
    <w:rsid w:val="0353659C"/>
    <w:rsid w:val="03547FFA"/>
    <w:rsid w:val="03563CB7"/>
    <w:rsid w:val="03590605"/>
    <w:rsid w:val="035A4B55"/>
    <w:rsid w:val="035B12CD"/>
    <w:rsid w:val="036075F0"/>
    <w:rsid w:val="03640894"/>
    <w:rsid w:val="0364551D"/>
    <w:rsid w:val="0364565C"/>
    <w:rsid w:val="03647EA4"/>
    <w:rsid w:val="0365089C"/>
    <w:rsid w:val="036612E3"/>
    <w:rsid w:val="03662BFE"/>
    <w:rsid w:val="036828CB"/>
    <w:rsid w:val="03683527"/>
    <w:rsid w:val="036B1785"/>
    <w:rsid w:val="036F3AD5"/>
    <w:rsid w:val="03727875"/>
    <w:rsid w:val="03732C9C"/>
    <w:rsid w:val="03740401"/>
    <w:rsid w:val="037568BD"/>
    <w:rsid w:val="037A67F1"/>
    <w:rsid w:val="037B196F"/>
    <w:rsid w:val="037D203A"/>
    <w:rsid w:val="037D56E7"/>
    <w:rsid w:val="037F1069"/>
    <w:rsid w:val="03800D34"/>
    <w:rsid w:val="03845024"/>
    <w:rsid w:val="038570B9"/>
    <w:rsid w:val="03857201"/>
    <w:rsid w:val="03860423"/>
    <w:rsid w:val="03860A60"/>
    <w:rsid w:val="038671FC"/>
    <w:rsid w:val="03871C7F"/>
    <w:rsid w:val="0387294E"/>
    <w:rsid w:val="03874E75"/>
    <w:rsid w:val="0387685C"/>
    <w:rsid w:val="03884D39"/>
    <w:rsid w:val="03885C03"/>
    <w:rsid w:val="0388705B"/>
    <w:rsid w:val="038B59DF"/>
    <w:rsid w:val="038C76D9"/>
    <w:rsid w:val="038D3451"/>
    <w:rsid w:val="039177F8"/>
    <w:rsid w:val="03942D6D"/>
    <w:rsid w:val="03966E26"/>
    <w:rsid w:val="039854F9"/>
    <w:rsid w:val="03993BA4"/>
    <w:rsid w:val="039A4A0E"/>
    <w:rsid w:val="039F6D34"/>
    <w:rsid w:val="03A024A3"/>
    <w:rsid w:val="03A03184"/>
    <w:rsid w:val="03A161FE"/>
    <w:rsid w:val="03A23A58"/>
    <w:rsid w:val="03A52548"/>
    <w:rsid w:val="03A937C8"/>
    <w:rsid w:val="03AA4003"/>
    <w:rsid w:val="03AA724D"/>
    <w:rsid w:val="03AB599C"/>
    <w:rsid w:val="03AD2EEB"/>
    <w:rsid w:val="03AE5A0E"/>
    <w:rsid w:val="03AF33C7"/>
    <w:rsid w:val="03B016C5"/>
    <w:rsid w:val="03B07815"/>
    <w:rsid w:val="03B1789B"/>
    <w:rsid w:val="03B65FB3"/>
    <w:rsid w:val="03B73C4E"/>
    <w:rsid w:val="03BD0FCC"/>
    <w:rsid w:val="03C00B44"/>
    <w:rsid w:val="03C351BA"/>
    <w:rsid w:val="03C45FB8"/>
    <w:rsid w:val="03C50E3C"/>
    <w:rsid w:val="03CC3B7D"/>
    <w:rsid w:val="03CE6D49"/>
    <w:rsid w:val="03CE6DBD"/>
    <w:rsid w:val="03D22895"/>
    <w:rsid w:val="03D30218"/>
    <w:rsid w:val="03D41D48"/>
    <w:rsid w:val="03D45CF5"/>
    <w:rsid w:val="03D7082A"/>
    <w:rsid w:val="03D779AE"/>
    <w:rsid w:val="03D80BF3"/>
    <w:rsid w:val="03D87E90"/>
    <w:rsid w:val="03DA01B7"/>
    <w:rsid w:val="03DA09F6"/>
    <w:rsid w:val="03DC5520"/>
    <w:rsid w:val="03DD3055"/>
    <w:rsid w:val="03DF5F27"/>
    <w:rsid w:val="03E25A43"/>
    <w:rsid w:val="03E546FE"/>
    <w:rsid w:val="03E84FE9"/>
    <w:rsid w:val="03E86EBD"/>
    <w:rsid w:val="03E97FDF"/>
    <w:rsid w:val="03F17894"/>
    <w:rsid w:val="03F33913"/>
    <w:rsid w:val="03F34A3E"/>
    <w:rsid w:val="03F62F71"/>
    <w:rsid w:val="03F71210"/>
    <w:rsid w:val="03F8719D"/>
    <w:rsid w:val="03FA0D42"/>
    <w:rsid w:val="03FB6189"/>
    <w:rsid w:val="03FC43FD"/>
    <w:rsid w:val="03FD4AC5"/>
    <w:rsid w:val="03FD6B4B"/>
    <w:rsid w:val="03FF18A0"/>
    <w:rsid w:val="04025BED"/>
    <w:rsid w:val="0403656F"/>
    <w:rsid w:val="04036BF3"/>
    <w:rsid w:val="04050F40"/>
    <w:rsid w:val="04053B49"/>
    <w:rsid w:val="040B0631"/>
    <w:rsid w:val="040C432D"/>
    <w:rsid w:val="040D4673"/>
    <w:rsid w:val="04131BA8"/>
    <w:rsid w:val="04133956"/>
    <w:rsid w:val="04143935"/>
    <w:rsid w:val="0414699B"/>
    <w:rsid w:val="04174C21"/>
    <w:rsid w:val="04184A6C"/>
    <w:rsid w:val="041865A0"/>
    <w:rsid w:val="041C34A9"/>
    <w:rsid w:val="041C46E0"/>
    <w:rsid w:val="041D2D23"/>
    <w:rsid w:val="041D3180"/>
    <w:rsid w:val="041D64C8"/>
    <w:rsid w:val="041E2F29"/>
    <w:rsid w:val="041F679F"/>
    <w:rsid w:val="04237645"/>
    <w:rsid w:val="04245B63"/>
    <w:rsid w:val="042469E7"/>
    <w:rsid w:val="04247911"/>
    <w:rsid w:val="04261F6F"/>
    <w:rsid w:val="04263563"/>
    <w:rsid w:val="04277401"/>
    <w:rsid w:val="04287F18"/>
    <w:rsid w:val="04292A47"/>
    <w:rsid w:val="04293179"/>
    <w:rsid w:val="042952A1"/>
    <w:rsid w:val="042A77ED"/>
    <w:rsid w:val="042C2DCF"/>
    <w:rsid w:val="042F0668"/>
    <w:rsid w:val="04310280"/>
    <w:rsid w:val="0432158C"/>
    <w:rsid w:val="043251F6"/>
    <w:rsid w:val="0432542E"/>
    <w:rsid w:val="043444AA"/>
    <w:rsid w:val="04352970"/>
    <w:rsid w:val="04363A88"/>
    <w:rsid w:val="043D28B9"/>
    <w:rsid w:val="043E7468"/>
    <w:rsid w:val="04401CBE"/>
    <w:rsid w:val="04406715"/>
    <w:rsid w:val="04407058"/>
    <w:rsid w:val="044216F8"/>
    <w:rsid w:val="04447DA0"/>
    <w:rsid w:val="04471193"/>
    <w:rsid w:val="04477FBF"/>
    <w:rsid w:val="044924B2"/>
    <w:rsid w:val="044C3ED0"/>
    <w:rsid w:val="04503957"/>
    <w:rsid w:val="04504BAA"/>
    <w:rsid w:val="04552A50"/>
    <w:rsid w:val="045C354F"/>
    <w:rsid w:val="045D2E23"/>
    <w:rsid w:val="045D681E"/>
    <w:rsid w:val="04614883"/>
    <w:rsid w:val="0463320A"/>
    <w:rsid w:val="04644EC2"/>
    <w:rsid w:val="046714DC"/>
    <w:rsid w:val="046A3B03"/>
    <w:rsid w:val="046B4ADE"/>
    <w:rsid w:val="046F3947"/>
    <w:rsid w:val="04711CE9"/>
    <w:rsid w:val="0474162F"/>
    <w:rsid w:val="0474619A"/>
    <w:rsid w:val="0478065E"/>
    <w:rsid w:val="047947DC"/>
    <w:rsid w:val="047D33F2"/>
    <w:rsid w:val="047D3625"/>
    <w:rsid w:val="047E5B90"/>
    <w:rsid w:val="048206B5"/>
    <w:rsid w:val="04830313"/>
    <w:rsid w:val="04842AA6"/>
    <w:rsid w:val="04845225"/>
    <w:rsid w:val="04845D8A"/>
    <w:rsid w:val="04861A9C"/>
    <w:rsid w:val="048713EF"/>
    <w:rsid w:val="048817AF"/>
    <w:rsid w:val="048A6D19"/>
    <w:rsid w:val="048B6407"/>
    <w:rsid w:val="048C0510"/>
    <w:rsid w:val="048D2164"/>
    <w:rsid w:val="048E6A27"/>
    <w:rsid w:val="048E726F"/>
    <w:rsid w:val="048F48BB"/>
    <w:rsid w:val="04921C4C"/>
    <w:rsid w:val="04932990"/>
    <w:rsid w:val="049359FD"/>
    <w:rsid w:val="04944EB6"/>
    <w:rsid w:val="04951CBF"/>
    <w:rsid w:val="0495202A"/>
    <w:rsid w:val="04955A5E"/>
    <w:rsid w:val="0496494E"/>
    <w:rsid w:val="04984ED9"/>
    <w:rsid w:val="049A248F"/>
    <w:rsid w:val="04A03726"/>
    <w:rsid w:val="04A07718"/>
    <w:rsid w:val="04A44EF6"/>
    <w:rsid w:val="04A9156D"/>
    <w:rsid w:val="04AB2B73"/>
    <w:rsid w:val="04AC02DD"/>
    <w:rsid w:val="04AD0342"/>
    <w:rsid w:val="04B52C5F"/>
    <w:rsid w:val="04B57055"/>
    <w:rsid w:val="04B91D6A"/>
    <w:rsid w:val="04BA596B"/>
    <w:rsid w:val="04BE28F1"/>
    <w:rsid w:val="04BE5FB8"/>
    <w:rsid w:val="04BF5BE7"/>
    <w:rsid w:val="04BF6D95"/>
    <w:rsid w:val="04C43A04"/>
    <w:rsid w:val="04C70BD4"/>
    <w:rsid w:val="04C73782"/>
    <w:rsid w:val="04C81921"/>
    <w:rsid w:val="04C91231"/>
    <w:rsid w:val="04CB4739"/>
    <w:rsid w:val="04CB4E4D"/>
    <w:rsid w:val="04CE62CF"/>
    <w:rsid w:val="04CF2A46"/>
    <w:rsid w:val="04CF4824"/>
    <w:rsid w:val="04CF64EA"/>
    <w:rsid w:val="04D307A2"/>
    <w:rsid w:val="04D37D9F"/>
    <w:rsid w:val="04D41DFF"/>
    <w:rsid w:val="04D53301"/>
    <w:rsid w:val="04DA2FA4"/>
    <w:rsid w:val="04DB13B8"/>
    <w:rsid w:val="04E420C7"/>
    <w:rsid w:val="04E46E31"/>
    <w:rsid w:val="04E506E7"/>
    <w:rsid w:val="04E52E81"/>
    <w:rsid w:val="04E534A8"/>
    <w:rsid w:val="04E67276"/>
    <w:rsid w:val="04E767D3"/>
    <w:rsid w:val="04E83035"/>
    <w:rsid w:val="04E92909"/>
    <w:rsid w:val="04EB0AF9"/>
    <w:rsid w:val="04EF521A"/>
    <w:rsid w:val="04F000CC"/>
    <w:rsid w:val="04F10D64"/>
    <w:rsid w:val="04F233DB"/>
    <w:rsid w:val="04F46A0C"/>
    <w:rsid w:val="04F8176E"/>
    <w:rsid w:val="05013EFD"/>
    <w:rsid w:val="050334CA"/>
    <w:rsid w:val="05042D26"/>
    <w:rsid w:val="050A124F"/>
    <w:rsid w:val="050A2FFD"/>
    <w:rsid w:val="050B631F"/>
    <w:rsid w:val="050E5137"/>
    <w:rsid w:val="05110341"/>
    <w:rsid w:val="05117001"/>
    <w:rsid w:val="05121C5E"/>
    <w:rsid w:val="05145BD8"/>
    <w:rsid w:val="05151950"/>
    <w:rsid w:val="05156725"/>
    <w:rsid w:val="05163A08"/>
    <w:rsid w:val="0516409E"/>
    <w:rsid w:val="051A0FFD"/>
    <w:rsid w:val="051C2CDE"/>
    <w:rsid w:val="051D07AA"/>
    <w:rsid w:val="051E25B2"/>
    <w:rsid w:val="0520352A"/>
    <w:rsid w:val="05221FE0"/>
    <w:rsid w:val="052304CB"/>
    <w:rsid w:val="05243EE9"/>
    <w:rsid w:val="05273270"/>
    <w:rsid w:val="05280382"/>
    <w:rsid w:val="052850FC"/>
    <w:rsid w:val="05285B7D"/>
    <w:rsid w:val="052B4BC6"/>
    <w:rsid w:val="052C261F"/>
    <w:rsid w:val="052D46C2"/>
    <w:rsid w:val="052E2BE3"/>
    <w:rsid w:val="053062DE"/>
    <w:rsid w:val="05324183"/>
    <w:rsid w:val="053451B4"/>
    <w:rsid w:val="05362CA7"/>
    <w:rsid w:val="053A1536"/>
    <w:rsid w:val="053D23A2"/>
    <w:rsid w:val="053E6B2F"/>
    <w:rsid w:val="053E72B3"/>
    <w:rsid w:val="05402DB2"/>
    <w:rsid w:val="05412EA7"/>
    <w:rsid w:val="054142AC"/>
    <w:rsid w:val="05424276"/>
    <w:rsid w:val="05432019"/>
    <w:rsid w:val="05435CF3"/>
    <w:rsid w:val="05436CC0"/>
    <w:rsid w:val="0545698F"/>
    <w:rsid w:val="05461B09"/>
    <w:rsid w:val="05467BC3"/>
    <w:rsid w:val="054A237B"/>
    <w:rsid w:val="054A68D8"/>
    <w:rsid w:val="054E425C"/>
    <w:rsid w:val="055103AE"/>
    <w:rsid w:val="05513FB0"/>
    <w:rsid w:val="05515E4D"/>
    <w:rsid w:val="055235BC"/>
    <w:rsid w:val="05524952"/>
    <w:rsid w:val="05531864"/>
    <w:rsid w:val="055424D5"/>
    <w:rsid w:val="05551EE2"/>
    <w:rsid w:val="05552B2C"/>
    <w:rsid w:val="055723D0"/>
    <w:rsid w:val="05574803"/>
    <w:rsid w:val="05585C09"/>
    <w:rsid w:val="05596F2A"/>
    <w:rsid w:val="055B3806"/>
    <w:rsid w:val="055B6A5A"/>
    <w:rsid w:val="055F636D"/>
    <w:rsid w:val="056041A1"/>
    <w:rsid w:val="0560706F"/>
    <w:rsid w:val="05630A04"/>
    <w:rsid w:val="05667C0B"/>
    <w:rsid w:val="056758FF"/>
    <w:rsid w:val="056B2455"/>
    <w:rsid w:val="056D2B7D"/>
    <w:rsid w:val="056D52E8"/>
    <w:rsid w:val="056D7096"/>
    <w:rsid w:val="056F23CF"/>
    <w:rsid w:val="056F2E0E"/>
    <w:rsid w:val="0570395A"/>
    <w:rsid w:val="05754519"/>
    <w:rsid w:val="05756F99"/>
    <w:rsid w:val="057678F0"/>
    <w:rsid w:val="05776166"/>
    <w:rsid w:val="05792B48"/>
    <w:rsid w:val="057A73CF"/>
    <w:rsid w:val="057B74C5"/>
    <w:rsid w:val="05806706"/>
    <w:rsid w:val="05815ADA"/>
    <w:rsid w:val="0581763D"/>
    <w:rsid w:val="05822B58"/>
    <w:rsid w:val="0583025C"/>
    <w:rsid w:val="05847952"/>
    <w:rsid w:val="058A5D10"/>
    <w:rsid w:val="058B66B3"/>
    <w:rsid w:val="058C1C12"/>
    <w:rsid w:val="058C7A50"/>
    <w:rsid w:val="05902331"/>
    <w:rsid w:val="05902B8D"/>
    <w:rsid w:val="05905F78"/>
    <w:rsid w:val="05906BF9"/>
    <w:rsid w:val="05935398"/>
    <w:rsid w:val="05943B9C"/>
    <w:rsid w:val="059524E7"/>
    <w:rsid w:val="05953E16"/>
    <w:rsid w:val="059615AE"/>
    <w:rsid w:val="0599429B"/>
    <w:rsid w:val="059B71C4"/>
    <w:rsid w:val="059E1559"/>
    <w:rsid w:val="05A00835"/>
    <w:rsid w:val="05A02640"/>
    <w:rsid w:val="05A0458D"/>
    <w:rsid w:val="05A35A58"/>
    <w:rsid w:val="05A37284"/>
    <w:rsid w:val="05A5094A"/>
    <w:rsid w:val="05A51749"/>
    <w:rsid w:val="05A52091"/>
    <w:rsid w:val="05A61007"/>
    <w:rsid w:val="05A936DE"/>
    <w:rsid w:val="05AC6CB5"/>
    <w:rsid w:val="05AD5183"/>
    <w:rsid w:val="05AF5900"/>
    <w:rsid w:val="05B1320D"/>
    <w:rsid w:val="05B66C8F"/>
    <w:rsid w:val="05BD48AB"/>
    <w:rsid w:val="05BE4B42"/>
    <w:rsid w:val="05BF131F"/>
    <w:rsid w:val="05C13BDE"/>
    <w:rsid w:val="05C24C2B"/>
    <w:rsid w:val="05C25135"/>
    <w:rsid w:val="05C378A0"/>
    <w:rsid w:val="05C53FE7"/>
    <w:rsid w:val="05C65B2D"/>
    <w:rsid w:val="05CC0260"/>
    <w:rsid w:val="05CC23A6"/>
    <w:rsid w:val="05D03444"/>
    <w:rsid w:val="05D21EF1"/>
    <w:rsid w:val="05D26247"/>
    <w:rsid w:val="05D345D8"/>
    <w:rsid w:val="05D578CD"/>
    <w:rsid w:val="05D64218"/>
    <w:rsid w:val="05D6774F"/>
    <w:rsid w:val="05D736D7"/>
    <w:rsid w:val="05D9297D"/>
    <w:rsid w:val="05D93422"/>
    <w:rsid w:val="05D9651D"/>
    <w:rsid w:val="05DA6884"/>
    <w:rsid w:val="05E04888"/>
    <w:rsid w:val="05E07152"/>
    <w:rsid w:val="05E24C6E"/>
    <w:rsid w:val="05E362E2"/>
    <w:rsid w:val="05EC228E"/>
    <w:rsid w:val="05F01E9E"/>
    <w:rsid w:val="05F033F0"/>
    <w:rsid w:val="05F03837"/>
    <w:rsid w:val="05F40100"/>
    <w:rsid w:val="05F4796C"/>
    <w:rsid w:val="05F60845"/>
    <w:rsid w:val="05F74A07"/>
    <w:rsid w:val="05F95072"/>
    <w:rsid w:val="05FC68B8"/>
    <w:rsid w:val="05FD31B5"/>
    <w:rsid w:val="05FD7FD8"/>
    <w:rsid w:val="05FF7C72"/>
    <w:rsid w:val="06014010"/>
    <w:rsid w:val="0601512F"/>
    <w:rsid w:val="06057E4F"/>
    <w:rsid w:val="06076F7A"/>
    <w:rsid w:val="06084D8F"/>
    <w:rsid w:val="060B693F"/>
    <w:rsid w:val="060C6C0B"/>
    <w:rsid w:val="06117D17"/>
    <w:rsid w:val="06146555"/>
    <w:rsid w:val="06157635"/>
    <w:rsid w:val="06163B27"/>
    <w:rsid w:val="06187281"/>
    <w:rsid w:val="061D0C37"/>
    <w:rsid w:val="061F1EDE"/>
    <w:rsid w:val="061F2593"/>
    <w:rsid w:val="06274041"/>
    <w:rsid w:val="06295D19"/>
    <w:rsid w:val="062D72A5"/>
    <w:rsid w:val="062F4794"/>
    <w:rsid w:val="06322BFE"/>
    <w:rsid w:val="06322E4B"/>
    <w:rsid w:val="06343B93"/>
    <w:rsid w:val="06353FF5"/>
    <w:rsid w:val="0636392C"/>
    <w:rsid w:val="06365B59"/>
    <w:rsid w:val="06385A43"/>
    <w:rsid w:val="06386E2C"/>
    <w:rsid w:val="063A1598"/>
    <w:rsid w:val="0640109F"/>
    <w:rsid w:val="064067FD"/>
    <w:rsid w:val="064641C0"/>
    <w:rsid w:val="06473D8B"/>
    <w:rsid w:val="06480ADC"/>
    <w:rsid w:val="064A5629"/>
    <w:rsid w:val="064B297A"/>
    <w:rsid w:val="064C4615"/>
    <w:rsid w:val="064D6C37"/>
    <w:rsid w:val="064E3B9E"/>
    <w:rsid w:val="064F263C"/>
    <w:rsid w:val="064F4AB4"/>
    <w:rsid w:val="06510766"/>
    <w:rsid w:val="06520FAC"/>
    <w:rsid w:val="06525FE0"/>
    <w:rsid w:val="06526E7E"/>
    <w:rsid w:val="06546100"/>
    <w:rsid w:val="06555D07"/>
    <w:rsid w:val="0657067D"/>
    <w:rsid w:val="06573C36"/>
    <w:rsid w:val="0657479B"/>
    <w:rsid w:val="0657763A"/>
    <w:rsid w:val="06580F2E"/>
    <w:rsid w:val="06594F85"/>
    <w:rsid w:val="065C13DB"/>
    <w:rsid w:val="065E42DA"/>
    <w:rsid w:val="066132BF"/>
    <w:rsid w:val="06616B6F"/>
    <w:rsid w:val="0662312F"/>
    <w:rsid w:val="06625D5E"/>
    <w:rsid w:val="066345DD"/>
    <w:rsid w:val="06654CF1"/>
    <w:rsid w:val="0669079A"/>
    <w:rsid w:val="066D34EA"/>
    <w:rsid w:val="066E0C28"/>
    <w:rsid w:val="06720E9B"/>
    <w:rsid w:val="067233C6"/>
    <w:rsid w:val="06732DD2"/>
    <w:rsid w:val="06734885"/>
    <w:rsid w:val="067455E0"/>
    <w:rsid w:val="067520B0"/>
    <w:rsid w:val="067662B7"/>
    <w:rsid w:val="067A3140"/>
    <w:rsid w:val="067F3C85"/>
    <w:rsid w:val="06834CD9"/>
    <w:rsid w:val="0685375C"/>
    <w:rsid w:val="06886970"/>
    <w:rsid w:val="06892183"/>
    <w:rsid w:val="068B6787"/>
    <w:rsid w:val="068E3768"/>
    <w:rsid w:val="06901047"/>
    <w:rsid w:val="069014EB"/>
    <w:rsid w:val="069069BD"/>
    <w:rsid w:val="06935222"/>
    <w:rsid w:val="06936FD0"/>
    <w:rsid w:val="069A6FA5"/>
    <w:rsid w:val="069C696D"/>
    <w:rsid w:val="069D475C"/>
    <w:rsid w:val="06A56D0E"/>
    <w:rsid w:val="06A57113"/>
    <w:rsid w:val="06A905D1"/>
    <w:rsid w:val="06A96C9C"/>
    <w:rsid w:val="06AA3545"/>
    <w:rsid w:val="06AB0369"/>
    <w:rsid w:val="06AB04BE"/>
    <w:rsid w:val="06AB0AE2"/>
    <w:rsid w:val="06AB1B81"/>
    <w:rsid w:val="06AC6560"/>
    <w:rsid w:val="06B020F8"/>
    <w:rsid w:val="06B06B32"/>
    <w:rsid w:val="06B256F9"/>
    <w:rsid w:val="06B65510"/>
    <w:rsid w:val="06B71783"/>
    <w:rsid w:val="06B91D2B"/>
    <w:rsid w:val="06BA7D75"/>
    <w:rsid w:val="06BB7523"/>
    <w:rsid w:val="06BC70AC"/>
    <w:rsid w:val="06C17368"/>
    <w:rsid w:val="06C30DEF"/>
    <w:rsid w:val="06C44823"/>
    <w:rsid w:val="06C536BD"/>
    <w:rsid w:val="06C7006B"/>
    <w:rsid w:val="06C824AF"/>
    <w:rsid w:val="06CD24E2"/>
    <w:rsid w:val="06CE3441"/>
    <w:rsid w:val="06D01FD2"/>
    <w:rsid w:val="06D03D80"/>
    <w:rsid w:val="06D122D1"/>
    <w:rsid w:val="06D34541"/>
    <w:rsid w:val="06D9075C"/>
    <w:rsid w:val="06DA139C"/>
    <w:rsid w:val="06DA74A2"/>
    <w:rsid w:val="06DB35B9"/>
    <w:rsid w:val="06E033E4"/>
    <w:rsid w:val="06E41EC4"/>
    <w:rsid w:val="06E54E76"/>
    <w:rsid w:val="06E56AA5"/>
    <w:rsid w:val="06E65352"/>
    <w:rsid w:val="06E84F64"/>
    <w:rsid w:val="06E857A1"/>
    <w:rsid w:val="06ED1D81"/>
    <w:rsid w:val="06EE688E"/>
    <w:rsid w:val="06F01CDA"/>
    <w:rsid w:val="06F43C9A"/>
    <w:rsid w:val="06F44B15"/>
    <w:rsid w:val="06F832D7"/>
    <w:rsid w:val="06F873B3"/>
    <w:rsid w:val="06FC4A9B"/>
    <w:rsid w:val="06FC7B5E"/>
    <w:rsid w:val="06FD2125"/>
    <w:rsid w:val="06FE0372"/>
    <w:rsid w:val="07030D81"/>
    <w:rsid w:val="07071162"/>
    <w:rsid w:val="07081231"/>
    <w:rsid w:val="07094A2E"/>
    <w:rsid w:val="0709748C"/>
    <w:rsid w:val="070D46D9"/>
    <w:rsid w:val="070E6B91"/>
    <w:rsid w:val="070E7624"/>
    <w:rsid w:val="07140562"/>
    <w:rsid w:val="07154C86"/>
    <w:rsid w:val="071C2473"/>
    <w:rsid w:val="07202889"/>
    <w:rsid w:val="07234F68"/>
    <w:rsid w:val="07262B1F"/>
    <w:rsid w:val="07291136"/>
    <w:rsid w:val="072C653C"/>
    <w:rsid w:val="072E6AD8"/>
    <w:rsid w:val="072F2A65"/>
    <w:rsid w:val="073027C4"/>
    <w:rsid w:val="07316C77"/>
    <w:rsid w:val="0734144B"/>
    <w:rsid w:val="073A689E"/>
    <w:rsid w:val="073C7668"/>
    <w:rsid w:val="073E7A31"/>
    <w:rsid w:val="074373B3"/>
    <w:rsid w:val="074402CA"/>
    <w:rsid w:val="07452927"/>
    <w:rsid w:val="07463F1D"/>
    <w:rsid w:val="074B7716"/>
    <w:rsid w:val="074C0E0F"/>
    <w:rsid w:val="074C3F69"/>
    <w:rsid w:val="074E3F4C"/>
    <w:rsid w:val="075105B8"/>
    <w:rsid w:val="075207E5"/>
    <w:rsid w:val="075269E8"/>
    <w:rsid w:val="07580CBE"/>
    <w:rsid w:val="07590631"/>
    <w:rsid w:val="075B3EDF"/>
    <w:rsid w:val="075C1725"/>
    <w:rsid w:val="075D30ED"/>
    <w:rsid w:val="075E1ACB"/>
    <w:rsid w:val="075F1681"/>
    <w:rsid w:val="07735BA5"/>
    <w:rsid w:val="077366AD"/>
    <w:rsid w:val="07744289"/>
    <w:rsid w:val="07746E01"/>
    <w:rsid w:val="077540B5"/>
    <w:rsid w:val="07776B78"/>
    <w:rsid w:val="077852B9"/>
    <w:rsid w:val="077B558B"/>
    <w:rsid w:val="07800129"/>
    <w:rsid w:val="07802C47"/>
    <w:rsid w:val="0781501D"/>
    <w:rsid w:val="07830C18"/>
    <w:rsid w:val="07856603"/>
    <w:rsid w:val="07856F17"/>
    <w:rsid w:val="078579BD"/>
    <w:rsid w:val="07864EEA"/>
    <w:rsid w:val="07881352"/>
    <w:rsid w:val="07885728"/>
    <w:rsid w:val="0789639D"/>
    <w:rsid w:val="078A10A8"/>
    <w:rsid w:val="078B03DB"/>
    <w:rsid w:val="078C0329"/>
    <w:rsid w:val="078F5995"/>
    <w:rsid w:val="07901E52"/>
    <w:rsid w:val="07904A5A"/>
    <w:rsid w:val="0792597B"/>
    <w:rsid w:val="07935964"/>
    <w:rsid w:val="07940CBE"/>
    <w:rsid w:val="079416A8"/>
    <w:rsid w:val="07955750"/>
    <w:rsid w:val="0797780F"/>
    <w:rsid w:val="079930F5"/>
    <w:rsid w:val="0799770D"/>
    <w:rsid w:val="079A12CF"/>
    <w:rsid w:val="079A1608"/>
    <w:rsid w:val="079B1E16"/>
    <w:rsid w:val="079B3307"/>
    <w:rsid w:val="079F688C"/>
    <w:rsid w:val="07A001F4"/>
    <w:rsid w:val="07A0147A"/>
    <w:rsid w:val="07A21F57"/>
    <w:rsid w:val="07A416E1"/>
    <w:rsid w:val="07A44385"/>
    <w:rsid w:val="07A62FF5"/>
    <w:rsid w:val="07AA3BE6"/>
    <w:rsid w:val="07AD5E6F"/>
    <w:rsid w:val="07AE4DF0"/>
    <w:rsid w:val="07B04894"/>
    <w:rsid w:val="07B21F18"/>
    <w:rsid w:val="07B54D24"/>
    <w:rsid w:val="07B75653"/>
    <w:rsid w:val="07B9739D"/>
    <w:rsid w:val="07BA630D"/>
    <w:rsid w:val="07BB0834"/>
    <w:rsid w:val="07BB67DE"/>
    <w:rsid w:val="07BC399E"/>
    <w:rsid w:val="07BC60B3"/>
    <w:rsid w:val="07C30C6D"/>
    <w:rsid w:val="07C329C5"/>
    <w:rsid w:val="07C338E5"/>
    <w:rsid w:val="07C34A85"/>
    <w:rsid w:val="07C66F31"/>
    <w:rsid w:val="07C7295E"/>
    <w:rsid w:val="07C82EB7"/>
    <w:rsid w:val="07CD47E1"/>
    <w:rsid w:val="07D04AA4"/>
    <w:rsid w:val="07D078EC"/>
    <w:rsid w:val="07D246B8"/>
    <w:rsid w:val="07D73F1C"/>
    <w:rsid w:val="07D86D83"/>
    <w:rsid w:val="07DC4B18"/>
    <w:rsid w:val="07DE3A30"/>
    <w:rsid w:val="07E025A2"/>
    <w:rsid w:val="07E029D7"/>
    <w:rsid w:val="07E25610"/>
    <w:rsid w:val="07E41EDC"/>
    <w:rsid w:val="07E47047"/>
    <w:rsid w:val="07E86502"/>
    <w:rsid w:val="07EA0B6D"/>
    <w:rsid w:val="07EA0E53"/>
    <w:rsid w:val="07EB13F5"/>
    <w:rsid w:val="07EB7AA4"/>
    <w:rsid w:val="07F11050"/>
    <w:rsid w:val="07F11A3A"/>
    <w:rsid w:val="07F4592D"/>
    <w:rsid w:val="07F535C3"/>
    <w:rsid w:val="07F703A5"/>
    <w:rsid w:val="07FB21D2"/>
    <w:rsid w:val="07FC2953"/>
    <w:rsid w:val="08000695"/>
    <w:rsid w:val="080216BE"/>
    <w:rsid w:val="08040E04"/>
    <w:rsid w:val="080412F5"/>
    <w:rsid w:val="08052780"/>
    <w:rsid w:val="08064D6E"/>
    <w:rsid w:val="08064E81"/>
    <w:rsid w:val="08087EF2"/>
    <w:rsid w:val="080D6CA7"/>
    <w:rsid w:val="08101344"/>
    <w:rsid w:val="081128A2"/>
    <w:rsid w:val="0814374D"/>
    <w:rsid w:val="08164F5F"/>
    <w:rsid w:val="081843D8"/>
    <w:rsid w:val="081A422C"/>
    <w:rsid w:val="08201EDF"/>
    <w:rsid w:val="082157A6"/>
    <w:rsid w:val="08242EFD"/>
    <w:rsid w:val="08243E59"/>
    <w:rsid w:val="08250EED"/>
    <w:rsid w:val="08253C58"/>
    <w:rsid w:val="08273934"/>
    <w:rsid w:val="08273FF3"/>
    <w:rsid w:val="0827660C"/>
    <w:rsid w:val="082804CD"/>
    <w:rsid w:val="08287C44"/>
    <w:rsid w:val="082C1A3C"/>
    <w:rsid w:val="082D0FA0"/>
    <w:rsid w:val="082D134F"/>
    <w:rsid w:val="082E0BEF"/>
    <w:rsid w:val="0830785C"/>
    <w:rsid w:val="083738C5"/>
    <w:rsid w:val="08387E2F"/>
    <w:rsid w:val="083D5B23"/>
    <w:rsid w:val="083E0013"/>
    <w:rsid w:val="083E11BD"/>
    <w:rsid w:val="083E6ACD"/>
    <w:rsid w:val="084343DB"/>
    <w:rsid w:val="08434CC6"/>
    <w:rsid w:val="08446307"/>
    <w:rsid w:val="08472B32"/>
    <w:rsid w:val="08476776"/>
    <w:rsid w:val="08487B5E"/>
    <w:rsid w:val="084916B8"/>
    <w:rsid w:val="08491912"/>
    <w:rsid w:val="084A5DB4"/>
    <w:rsid w:val="084B3DF1"/>
    <w:rsid w:val="084D31C3"/>
    <w:rsid w:val="084E5DED"/>
    <w:rsid w:val="084F3961"/>
    <w:rsid w:val="085207C5"/>
    <w:rsid w:val="08523CFE"/>
    <w:rsid w:val="085373CA"/>
    <w:rsid w:val="08577581"/>
    <w:rsid w:val="08634DF6"/>
    <w:rsid w:val="086B1572"/>
    <w:rsid w:val="086C1887"/>
    <w:rsid w:val="086D16CA"/>
    <w:rsid w:val="087064AC"/>
    <w:rsid w:val="08733518"/>
    <w:rsid w:val="08780672"/>
    <w:rsid w:val="08796EBF"/>
    <w:rsid w:val="087E2A35"/>
    <w:rsid w:val="0885719B"/>
    <w:rsid w:val="08867C05"/>
    <w:rsid w:val="088956BA"/>
    <w:rsid w:val="088968DD"/>
    <w:rsid w:val="088E3097"/>
    <w:rsid w:val="088F2BBD"/>
    <w:rsid w:val="08915425"/>
    <w:rsid w:val="08915791"/>
    <w:rsid w:val="089231D2"/>
    <w:rsid w:val="08925A2A"/>
    <w:rsid w:val="08960429"/>
    <w:rsid w:val="08966904"/>
    <w:rsid w:val="08977541"/>
    <w:rsid w:val="089A50BC"/>
    <w:rsid w:val="089B2ABE"/>
    <w:rsid w:val="089B442C"/>
    <w:rsid w:val="089B49B6"/>
    <w:rsid w:val="089D1DD6"/>
    <w:rsid w:val="089D6D8B"/>
    <w:rsid w:val="089F57CF"/>
    <w:rsid w:val="08A20764"/>
    <w:rsid w:val="08A35C0B"/>
    <w:rsid w:val="08A361DE"/>
    <w:rsid w:val="08A37E64"/>
    <w:rsid w:val="08A7548D"/>
    <w:rsid w:val="08AC6133"/>
    <w:rsid w:val="08AD04E5"/>
    <w:rsid w:val="08AD16E0"/>
    <w:rsid w:val="08AE15E0"/>
    <w:rsid w:val="08B1198F"/>
    <w:rsid w:val="08B24C25"/>
    <w:rsid w:val="08B374B6"/>
    <w:rsid w:val="08B540A3"/>
    <w:rsid w:val="08BB11CA"/>
    <w:rsid w:val="08BD20E2"/>
    <w:rsid w:val="08BF0442"/>
    <w:rsid w:val="08C02FD5"/>
    <w:rsid w:val="08C3327F"/>
    <w:rsid w:val="08C416C3"/>
    <w:rsid w:val="08C64238"/>
    <w:rsid w:val="08CA6E5C"/>
    <w:rsid w:val="08CB1855"/>
    <w:rsid w:val="08CB2A51"/>
    <w:rsid w:val="08CE4919"/>
    <w:rsid w:val="08CF1C08"/>
    <w:rsid w:val="08CF1E16"/>
    <w:rsid w:val="08D43E55"/>
    <w:rsid w:val="08D53EB0"/>
    <w:rsid w:val="08D566F0"/>
    <w:rsid w:val="08D63CCC"/>
    <w:rsid w:val="08D807BC"/>
    <w:rsid w:val="08D85AD7"/>
    <w:rsid w:val="08D97DE1"/>
    <w:rsid w:val="08DC47CD"/>
    <w:rsid w:val="08DF1F39"/>
    <w:rsid w:val="08E22D5A"/>
    <w:rsid w:val="08E32FB5"/>
    <w:rsid w:val="08E4099D"/>
    <w:rsid w:val="08E93873"/>
    <w:rsid w:val="08EB2E4D"/>
    <w:rsid w:val="08EB4AE5"/>
    <w:rsid w:val="08F13780"/>
    <w:rsid w:val="08F204A5"/>
    <w:rsid w:val="08F258E8"/>
    <w:rsid w:val="08F31B9A"/>
    <w:rsid w:val="08F63CAD"/>
    <w:rsid w:val="08F64EF4"/>
    <w:rsid w:val="08F94E9C"/>
    <w:rsid w:val="08F972F8"/>
    <w:rsid w:val="08FC314C"/>
    <w:rsid w:val="08FE7E6B"/>
    <w:rsid w:val="0901256F"/>
    <w:rsid w:val="090530F8"/>
    <w:rsid w:val="0905342C"/>
    <w:rsid w:val="09064923"/>
    <w:rsid w:val="09080430"/>
    <w:rsid w:val="090B6D5A"/>
    <w:rsid w:val="090E6DE2"/>
    <w:rsid w:val="090F5B60"/>
    <w:rsid w:val="0913522B"/>
    <w:rsid w:val="091810F0"/>
    <w:rsid w:val="091861F8"/>
    <w:rsid w:val="091A5471"/>
    <w:rsid w:val="091A6EE1"/>
    <w:rsid w:val="091D0B02"/>
    <w:rsid w:val="091E2F8B"/>
    <w:rsid w:val="09232705"/>
    <w:rsid w:val="09265ED9"/>
    <w:rsid w:val="09271CD0"/>
    <w:rsid w:val="092953E3"/>
    <w:rsid w:val="092C3C90"/>
    <w:rsid w:val="092D0F4E"/>
    <w:rsid w:val="092E2FE0"/>
    <w:rsid w:val="092F0963"/>
    <w:rsid w:val="09336BF3"/>
    <w:rsid w:val="09337B63"/>
    <w:rsid w:val="0936228C"/>
    <w:rsid w:val="09371E95"/>
    <w:rsid w:val="09393527"/>
    <w:rsid w:val="09397714"/>
    <w:rsid w:val="093A3733"/>
    <w:rsid w:val="093A787D"/>
    <w:rsid w:val="09433CCB"/>
    <w:rsid w:val="09434CDD"/>
    <w:rsid w:val="09445DE1"/>
    <w:rsid w:val="09453AA1"/>
    <w:rsid w:val="094840E0"/>
    <w:rsid w:val="094A2CBF"/>
    <w:rsid w:val="094C44F7"/>
    <w:rsid w:val="094E78AE"/>
    <w:rsid w:val="095459AB"/>
    <w:rsid w:val="09581E0B"/>
    <w:rsid w:val="0958402C"/>
    <w:rsid w:val="09591F96"/>
    <w:rsid w:val="095926EE"/>
    <w:rsid w:val="095B727F"/>
    <w:rsid w:val="095F2E72"/>
    <w:rsid w:val="095F56CD"/>
    <w:rsid w:val="0961770F"/>
    <w:rsid w:val="09646A02"/>
    <w:rsid w:val="0968591C"/>
    <w:rsid w:val="09687EEB"/>
    <w:rsid w:val="09690565"/>
    <w:rsid w:val="096C6DDC"/>
    <w:rsid w:val="097523BA"/>
    <w:rsid w:val="09757CDF"/>
    <w:rsid w:val="097707FD"/>
    <w:rsid w:val="0979219A"/>
    <w:rsid w:val="097B24B6"/>
    <w:rsid w:val="097B7DE6"/>
    <w:rsid w:val="097C7D1B"/>
    <w:rsid w:val="097D1872"/>
    <w:rsid w:val="097D6FAF"/>
    <w:rsid w:val="09805D0D"/>
    <w:rsid w:val="0982234C"/>
    <w:rsid w:val="098245E4"/>
    <w:rsid w:val="098278B2"/>
    <w:rsid w:val="0984153B"/>
    <w:rsid w:val="09847033"/>
    <w:rsid w:val="098C5BAC"/>
    <w:rsid w:val="098F24E3"/>
    <w:rsid w:val="09915336"/>
    <w:rsid w:val="0995243A"/>
    <w:rsid w:val="09963183"/>
    <w:rsid w:val="099B69C8"/>
    <w:rsid w:val="099D4EBE"/>
    <w:rsid w:val="099D5870"/>
    <w:rsid w:val="09A01029"/>
    <w:rsid w:val="09A038B1"/>
    <w:rsid w:val="09A15202"/>
    <w:rsid w:val="09A235D9"/>
    <w:rsid w:val="09A87D45"/>
    <w:rsid w:val="09AB6432"/>
    <w:rsid w:val="09AD0D02"/>
    <w:rsid w:val="09AD709F"/>
    <w:rsid w:val="09AF1586"/>
    <w:rsid w:val="09B0593A"/>
    <w:rsid w:val="09B07E99"/>
    <w:rsid w:val="09B22E56"/>
    <w:rsid w:val="09B30FCA"/>
    <w:rsid w:val="09B42289"/>
    <w:rsid w:val="09B53BDA"/>
    <w:rsid w:val="09B5725D"/>
    <w:rsid w:val="09B70607"/>
    <w:rsid w:val="09B76E25"/>
    <w:rsid w:val="09B96CF4"/>
    <w:rsid w:val="09BA169C"/>
    <w:rsid w:val="09BE7CE3"/>
    <w:rsid w:val="09C0670B"/>
    <w:rsid w:val="09C3131F"/>
    <w:rsid w:val="09C318CD"/>
    <w:rsid w:val="09C43516"/>
    <w:rsid w:val="09CD27F9"/>
    <w:rsid w:val="09CF2D4B"/>
    <w:rsid w:val="09D21BBD"/>
    <w:rsid w:val="09D22EF8"/>
    <w:rsid w:val="09D32A23"/>
    <w:rsid w:val="09D44003"/>
    <w:rsid w:val="09D5345C"/>
    <w:rsid w:val="09D65502"/>
    <w:rsid w:val="09D74327"/>
    <w:rsid w:val="09D9299C"/>
    <w:rsid w:val="09DA3E39"/>
    <w:rsid w:val="09DA536D"/>
    <w:rsid w:val="09DC4963"/>
    <w:rsid w:val="09DC7E13"/>
    <w:rsid w:val="09DE1A5A"/>
    <w:rsid w:val="09E50806"/>
    <w:rsid w:val="09E85885"/>
    <w:rsid w:val="09EA447A"/>
    <w:rsid w:val="09EC0E17"/>
    <w:rsid w:val="09ED76BA"/>
    <w:rsid w:val="09EE5CDB"/>
    <w:rsid w:val="09F45CD5"/>
    <w:rsid w:val="09FC677C"/>
    <w:rsid w:val="09FD009A"/>
    <w:rsid w:val="0A030C19"/>
    <w:rsid w:val="0A0324C9"/>
    <w:rsid w:val="0A040B18"/>
    <w:rsid w:val="0A0431A6"/>
    <w:rsid w:val="0A057E21"/>
    <w:rsid w:val="0A063898"/>
    <w:rsid w:val="0A064819"/>
    <w:rsid w:val="0A071903"/>
    <w:rsid w:val="0A086645"/>
    <w:rsid w:val="0A0B40FB"/>
    <w:rsid w:val="0A0E38BB"/>
    <w:rsid w:val="0A0E7B4A"/>
    <w:rsid w:val="0A1229F7"/>
    <w:rsid w:val="0A1A5025"/>
    <w:rsid w:val="0A1A5038"/>
    <w:rsid w:val="0A1C0B01"/>
    <w:rsid w:val="0A1E73F4"/>
    <w:rsid w:val="0A1F21C0"/>
    <w:rsid w:val="0A20501F"/>
    <w:rsid w:val="0A217B4B"/>
    <w:rsid w:val="0A222CEC"/>
    <w:rsid w:val="0A223F48"/>
    <w:rsid w:val="0A247E0B"/>
    <w:rsid w:val="0A2535B6"/>
    <w:rsid w:val="0A266794"/>
    <w:rsid w:val="0A276702"/>
    <w:rsid w:val="0A276D7A"/>
    <w:rsid w:val="0A282D9B"/>
    <w:rsid w:val="0A283F48"/>
    <w:rsid w:val="0A2847F4"/>
    <w:rsid w:val="0A285037"/>
    <w:rsid w:val="0A286BB9"/>
    <w:rsid w:val="0A29202F"/>
    <w:rsid w:val="0A2A1BAF"/>
    <w:rsid w:val="0A335163"/>
    <w:rsid w:val="0A382DBB"/>
    <w:rsid w:val="0A39111B"/>
    <w:rsid w:val="0A392B99"/>
    <w:rsid w:val="0A3A7DED"/>
    <w:rsid w:val="0A3B0A18"/>
    <w:rsid w:val="0A3E1213"/>
    <w:rsid w:val="0A3F1A67"/>
    <w:rsid w:val="0A417208"/>
    <w:rsid w:val="0A426D43"/>
    <w:rsid w:val="0A470523"/>
    <w:rsid w:val="0A47792E"/>
    <w:rsid w:val="0A4B74C5"/>
    <w:rsid w:val="0A4B75EA"/>
    <w:rsid w:val="0A4C51F1"/>
    <w:rsid w:val="0A4C6BA8"/>
    <w:rsid w:val="0A4C786B"/>
    <w:rsid w:val="0A4D0541"/>
    <w:rsid w:val="0A4F7972"/>
    <w:rsid w:val="0A51342A"/>
    <w:rsid w:val="0A586566"/>
    <w:rsid w:val="0A587164"/>
    <w:rsid w:val="0A5A02D7"/>
    <w:rsid w:val="0A5C2EAF"/>
    <w:rsid w:val="0A5D071A"/>
    <w:rsid w:val="0A5E6E7F"/>
    <w:rsid w:val="0A5F0594"/>
    <w:rsid w:val="0A633B8A"/>
    <w:rsid w:val="0A652A31"/>
    <w:rsid w:val="0A655F8F"/>
    <w:rsid w:val="0A6776DC"/>
    <w:rsid w:val="0A677FC8"/>
    <w:rsid w:val="0A680A72"/>
    <w:rsid w:val="0A687BB8"/>
    <w:rsid w:val="0A6A397B"/>
    <w:rsid w:val="0A6B0950"/>
    <w:rsid w:val="0A6B0D72"/>
    <w:rsid w:val="0A6F0AC3"/>
    <w:rsid w:val="0A7373CD"/>
    <w:rsid w:val="0A7469AE"/>
    <w:rsid w:val="0A7565AC"/>
    <w:rsid w:val="0A7809B7"/>
    <w:rsid w:val="0A783095"/>
    <w:rsid w:val="0A790545"/>
    <w:rsid w:val="0A7F1790"/>
    <w:rsid w:val="0A7F677B"/>
    <w:rsid w:val="0A851FFA"/>
    <w:rsid w:val="0A892935"/>
    <w:rsid w:val="0A8A5833"/>
    <w:rsid w:val="0A8B16DA"/>
    <w:rsid w:val="0A8B5655"/>
    <w:rsid w:val="0A8E4543"/>
    <w:rsid w:val="0A90590C"/>
    <w:rsid w:val="0A9173AA"/>
    <w:rsid w:val="0A9209FC"/>
    <w:rsid w:val="0A93649C"/>
    <w:rsid w:val="0A957745"/>
    <w:rsid w:val="0A9640CA"/>
    <w:rsid w:val="0A9870A9"/>
    <w:rsid w:val="0A9D03E6"/>
    <w:rsid w:val="0A9D65F2"/>
    <w:rsid w:val="0AA23C86"/>
    <w:rsid w:val="0AA34E3E"/>
    <w:rsid w:val="0AA47BB1"/>
    <w:rsid w:val="0AA5493E"/>
    <w:rsid w:val="0AA64C5E"/>
    <w:rsid w:val="0AA73D86"/>
    <w:rsid w:val="0AA866FC"/>
    <w:rsid w:val="0AA90687"/>
    <w:rsid w:val="0AA916F9"/>
    <w:rsid w:val="0AA92146"/>
    <w:rsid w:val="0AAA48E8"/>
    <w:rsid w:val="0AAB1000"/>
    <w:rsid w:val="0AAB4E38"/>
    <w:rsid w:val="0AAF0151"/>
    <w:rsid w:val="0AB30550"/>
    <w:rsid w:val="0AB66125"/>
    <w:rsid w:val="0AB739B5"/>
    <w:rsid w:val="0AB74E1A"/>
    <w:rsid w:val="0ABA23B7"/>
    <w:rsid w:val="0ABB1440"/>
    <w:rsid w:val="0ABB187D"/>
    <w:rsid w:val="0ABC0110"/>
    <w:rsid w:val="0ABC2ED4"/>
    <w:rsid w:val="0AC1629C"/>
    <w:rsid w:val="0AC9315B"/>
    <w:rsid w:val="0ACA3EAC"/>
    <w:rsid w:val="0ACA7AB0"/>
    <w:rsid w:val="0ACB5125"/>
    <w:rsid w:val="0AD14BF1"/>
    <w:rsid w:val="0AD3674A"/>
    <w:rsid w:val="0AD62C6B"/>
    <w:rsid w:val="0AD672D0"/>
    <w:rsid w:val="0AD6738D"/>
    <w:rsid w:val="0ADC2257"/>
    <w:rsid w:val="0ADD2E1A"/>
    <w:rsid w:val="0AE15B3D"/>
    <w:rsid w:val="0AE711C7"/>
    <w:rsid w:val="0AE83634"/>
    <w:rsid w:val="0AE85C12"/>
    <w:rsid w:val="0AEC1A70"/>
    <w:rsid w:val="0AED2AE4"/>
    <w:rsid w:val="0AEE1A50"/>
    <w:rsid w:val="0AEF054D"/>
    <w:rsid w:val="0AF57FAE"/>
    <w:rsid w:val="0AFB7026"/>
    <w:rsid w:val="0AFD04FA"/>
    <w:rsid w:val="0AFD2090"/>
    <w:rsid w:val="0AFF1CC3"/>
    <w:rsid w:val="0B00275A"/>
    <w:rsid w:val="0B024A34"/>
    <w:rsid w:val="0B031D8E"/>
    <w:rsid w:val="0B0638DD"/>
    <w:rsid w:val="0B07284C"/>
    <w:rsid w:val="0B082A4D"/>
    <w:rsid w:val="0B0832E3"/>
    <w:rsid w:val="0B0B6153"/>
    <w:rsid w:val="0B0C7017"/>
    <w:rsid w:val="0B0D27C9"/>
    <w:rsid w:val="0B0F20FC"/>
    <w:rsid w:val="0B0F5292"/>
    <w:rsid w:val="0B151DE3"/>
    <w:rsid w:val="0B156206"/>
    <w:rsid w:val="0B161E0B"/>
    <w:rsid w:val="0B172F10"/>
    <w:rsid w:val="0B182FCE"/>
    <w:rsid w:val="0B1934E7"/>
    <w:rsid w:val="0B206521"/>
    <w:rsid w:val="0B2355E3"/>
    <w:rsid w:val="0B275D7E"/>
    <w:rsid w:val="0B2964A9"/>
    <w:rsid w:val="0B2A05A0"/>
    <w:rsid w:val="0B2B5A29"/>
    <w:rsid w:val="0B305B51"/>
    <w:rsid w:val="0B3373F3"/>
    <w:rsid w:val="0B35450F"/>
    <w:rsid w:val="0B390D90"/>
    <w:rsid w:val="0B3A2DAA"/>
    <w:rsid w:val="0B3B6515"/>
    <w:rsid w:val="0B3C4546"/>
    <w:rsid w:val="0B3C6AB9"/>
    <w:rsid w:val="0B3C7C36"/>
    <w:rsid w:val="0B3E2722"/>
    <w:rsid w:val="0B403C60"/>
    <w:rsid w:val="0B460AB5"/>
    <w:rsid w:val="0B481FE1"/>
    <w:rsid w:val="0B486653"/>
    <w:rsid w:val="0B496DAC"/>
    <w:rsid w:val="0B4A4A35"/>
    <w:rsid w:val="0B4B5547"/>
    <w:rsid w:val="0B4D2AD7"/>
    <w:rsid w:val="0B4D6243"/>
    <w:rsid w:val="0B4F1A5D"/>
    <w:rsid w:val="0B51004E"/>
    <w:rsid w:val="0B511137"/>
    <w:rsid w:val="0B5247AB"/>
    <w:rsid w:val="0B54431B"/>
    <w:rsid w:val="0B546EF4"/>
    <w:rsid w:val="0B55001E"/>
    <w:rsid w:val="0B552AA6"/>
    <w:rsid w:val="0B575C4B"/>
    <w:rsid w:val="0B582779"/>
    <w:rsid w:val="0B5930B7"/>
    <w:rsid w:val="0B5B1335"/>
    <w:rsid w:val="0B5D308C"/>
    <w:rsid w:val="0B5E1C73"/>
    <w:rsid w:val="0B5F56D3"/>
    <w:rsid w:val="0B615813"/>
    <w:rsid w:val="0B627D72"/>
    <w:rsid w:val="0B633B13"/>
    <w:rsid w:val="0B6341BD"/>
    <w:rsid w:val="0B684CC0"/>
    <w:rsid w:val="0B6947A3"/>
    <w:rsid w:val="0B6D0D9F"/>
    <w:rsid w:val="0B6F1793"/>
    <w:rsid w:val="0B7063F3"/>
    <w:rsid w:val="0B7423F7"/>
    <w:rsid w:val="0B745622"/>
    <w:rsid w:val="0B7A250D"/>
    <w:rsid w:val="0B7C1556"/>
    <w:rsid w:val="0B7C68FE"/>
    <w:rsid w:val="0B7F5D75"/>
    <w:rsid w:val="0B811AED"/>
    <w:rsid w:val="0B813AA4"/>
    <w:rsid w:val="0B82593E"/>
    <w:rsid w:val="0B826E88"/>
    <w:rsid w:val="0B832C2A"/>
    <w:rsid w:val="0B84290B"/>
    <w:rsid w:val="0B843E0A"/>
    <w:rsid w:val="0B87588E"/>
    <w:rsid w:val="0B8D0EF3"/>
    <w:rsid w:val="0B982E92"/>
    <w:rsid w:val="0B9B3705"/>
    <w:rsid w:val="0B9B6FE5"/>
    <w:rsid w:val="0B9D05E2"/>
    <w:rsid w:val="0BA06D28"/>
    <w:rsid w:val="0BA10FDF"/>
    <w:rsid w:val="0BA219FB"/>
    <w:rsid w:val="0BA34545"/>
    <w:rsid w:val="0BA34651"/>
    <w:rsid w:val="0BA349A2"/>
    <w:rsid w:val="0BA34F5B"/>
    <w:rsid w:val="0BAC3645"/>
    <w:rsid w:val="0BB0038E"/>
    <w:rsid w:val="0BB21CA6"/>
    <w:rsid w:val="0BB37654"/>
    <w:rsid w:val="0BB42452"/>
    <w:rsid w:val="0BB43758"/>
    <w:rsid w:val="0BB552C6"/>
    <w:rsid w:val="0BB87FE9"/>
    <w:rsid w:val="0BBA7E48"/>
    <w:rsid w:val="0BBB123E"/>
    <w:rsid w:val="0BBB3FD6"/>
    <w:rsid w:val="0BBC2B25"/>
    <w:rsid w:val="0BBF0DBF"/>
    <w:rsid w:val="0BBF4539"/>
    <w:rsid w:val="0BC363C6"/>
    <w:rsid w:val="0BC43D89"/>
    <w:rsid w:val="0BC540AC"/>
    <w:rsid w:val="0BC625E6"/>
    <w:rsid w:val="0BC65428"/>
    <w:rsid w:val="0BCB3A84"/>
    <w:rsid w:val="0BCB6ACE"/>
    <w:rsid w:val="0BCF6C70"/>
    <w:rsid w:val="0BD00A48"/>
    <w:rsid w:val="0BD46F1B"/>
    <w:rsid w:val="0BDA48CB"/>
    <w:rsid w:val="0BDB3285"/>
    <w:rsid w:val="0BDF0A13"/>
    <w:rsid w:val="0BDF1122"/>
    <w:rsid w:val="0BDF1D26"/>
    <w:rsid w:val="0BDF7258"/>
    <w:rsid w:val="0BE004EC"/>
    <w:rsid w:val="0BE05ADC"/>
    <w:rsid w:val="0BEB5DF1"/>
    <w:rsid w:val="0BEE3B84"/>
    <w:rsid w:val="0BF031B2"/>
    <w:rsid w:val="0BF22B7C"/>
    <w:rsid w:val="0BF23784"/>
    <w:rsid w:val="0BF56524"/>
    <w:rsid w:val="0BF7652A"/>
    <w:rsid w:val="0BF81C07"/>
    <w:rsid w:val="0BF901E0"/>
    <w:rsid w:val="0BFB5B6D"/>
    <w:rsid w:val="0BFC5617"/>
    <w:rsid w:val="0BFD0D88"/>
    <w:rsid w:val="0BFD43C4"/>
    <w:rsid w:val="0C0307DD"/>
    <w:rsid w:val="0C05603B"/>
    <w:rsid w:val="0C074DF8"/>
    <w:rsid w:val="0C0843AB"/>
    <w:rsid w:val="0C086A80"/>
    <w:rsid w:val="0C0D597D"/>
    <w:rsid w:val="0C104C1F"/>
    <w:rsid w:val="0C1141B1"/>
    <w:rsid w:val="0C163011"/>
    <w:rsid w:val="0C175AE8"/>
    <w:rsid w:val="0C1A6041"/>
    <w:rsid w:val="0C1A799D"/>
    <w:rsid w:val="0C1C3811"/>
    <w:rsid w:val="0C1D556A"/>
    <w:rsid w:val="0C1E7D68"/>
    <w:rsid w:val="0C1F79E0"/>
    <w:rsid w:val="0C210682"/>
    <w:rsid w:val="0C214A5E"/>
    <w:rsid w:val="0C2461AA"/>
    <w:rsid w:val="0C252B5D"/>
    <w:rsid w:val="0C264442"/>
    <w:rsid w:val="0C2D5056"/>
    <w:rsid w:val="0C2F749C"/>
    <w:rsid w:val="0C302E6B"/>
    <w:rsid w:val="0C303AED"/>
    <w:rsid w:val="0C311177"/>
    <w:rsid w:val="0C326F5D"/>
    <w:rsid w:val="0C327A8A"/>
    <w:rsid w:val="0C364D58"/>
    <w:rsid w:val="0C393981"/>
    <w:rsid w:val="0C3C2840"/>
    <w:rsid w:val="0C3D1EB8"/>
    <w:rsid w:val="0C3D6871"/>
    <w:rsid w:val="0C3F0D3F"/>
    <w:rsid w:val="0C4333C0"/>
    <w:rsid w:val="0C463A95"/>
    <w:rsid w:val="0C471361"/>
    <w:rsid w:val="0C4A02E4"/>
    <w:rsid w:val="0C4B4D7E"/>
    <w:rsid w:val="0C4C20FB"/>
    <w:rsid w:val="0C4D35C4"/>
    <w:rsid w:val="0C4D43A3"/>
    <w:rsid w:val="0C4F778C"/>
    <w:rsid w:val="0C5040A6"/>
    <w:rsid w:val="0C5306D8"/>
    <w:rsid w:val="0C580AA0"/>
    <w:rsid w:val="0C5B2140"/>
    <w:rsid w:val="0C5C7E64"/>
    <w:rsid w:val="0C5D628D"/>
    <w:rsid w:val="0C620AC4"/>
    <w:rsid w:val="0C626AF9"/>
    <w:rsid w:val="0C664627"/>
    <w:rsid w:val="0C6A59BE"/>
    <w:rsid w:val="0C6A64A0"/>
    <w:rsid w:val="0C6B6556"/>
    <w:rsid w:val="0C6C00A7"/>
    <w:rsid w:val="0C6C68FE"/>
    <w:rsid w:val="0C6E3971"/>
    <w:rsid w:val="0C747A2B"/>
    <w:rsid w:val="0C755551"/>
    <w:rsid w:val="0C797B24"/>
    <w:rsid w:val="0C7B0432"/>
    <w:rsid w:val="0C7B3702"/>
    <w:rsid w:val="0C7E0E36"/>
    <w:rsid w:val="0C7E427E"/>
    <w:rsid w:val="0C8828C8"/>
    <w:rsid w:val="0C8C6D7F"/>
    <w:rsid w:val="0C8F1361"/>
    <w:rsid w:val="0C9037E9"/>
    <w:rsid w:val="0C9070ED"/>
    <w:rsid w:val="0C926A4C"/>
    <w:rsid w:val="0C965124"/>
    <w:rsid w:val="0C971850"/>
    <w:rsid w:val="0C9C41CC"/>
    <w:rsid w:val="0C9D5958"/>
    <w:rsid w:val="0C9E009D"/>
    <w:rsid w:val="0C9F7BC0"/>
    <w:rsid w:val="0CA17127"/>
    <w:rsid w:val="0CA36489"/>
    <w:rsid w:val="0CA41806"/>
    <w:rsid w:val="0CA5180D"/>
    <w:rsid w:val="0CA554C7"/>
    <w:rsid w:val="0CA63B13"/>
    <w:rsid w:val="0CAB1FE9"/>
    <w:rsid w:val="0CAB47DA"/>
    <w:rsid w:val="0CAD25E0"/>
    <w:rsid w:val="0CAD2F32"/>
    <w:rsid w:val="0CAD6C8E"/>
    <w:rsid w:val="0CAF268A"/>
    <w:rsid w:val="0CB0044F"/>
    <w:rsid w:val="0CB06F02"/>
    <w:rsid w:val="0CB24D4E"/>
    <w:rsid w:val="0CB26262"/>
    <w:rsid w:val="0CB358A1"/>
    <w:rsid w:val="0CB429CF"/>
    <w:rsid w:val="0CB80022"/>
    <w:rsid w:val="0CB83BC3"/>
    <w:rsid w:val="0CB83C7F"/>
    <w:rsid w:val="0CBC57C0"/>
    <w:rsid w:val="0CBE7C07"/>
    <w:rsid w:val="0CBF0B1F"/>
    <w:rsid w:val="0CBF11A0"/>
    <w:rsid w:val="0CC067E5"/>
    <w:rsid w:val="0CC15794"/>
    <w:rsid w:val="0CC2155C"/>
    <w:rsid w:val="0CC24044"/>
    <w:rsid w:val="0CC247C7"/>
    <w:rsid w:val="0CC40EB7"/>
    <w:rsid w:val="0CC46135"/>
    <w:rsid w:val="0CC53565"/>
    <w:rsid w:val="0CC946E5"/>
    <w:rsid w:val="0CCC4651"/>
    <w:rsid w:val="0CCF4ADA"/>
    <w:rsid w:val="0CD06115"/>
    <w:rsid w:val="0CD165BA"/>
    <w:rsid w:val="0CD369BE"/>
    <w:rsid w:val="0CD5706E"/>
    <w:rsid w:val="0CD602F9"/>
    <w:rsid w:val="0CD905FB"/>
    <w:rsid w:val="0CDA7707"/>
    <w:rsid w:val="0CDE5515"/>
    <w:rsid w:val="0CE157B2"/>
    <w:rsid w:val="0CE42CE7"/>
    <w:rsid w:val="0CE6515B"/>
    <w:rsid w:val="0CE757E1"/>
    <w:rsid w:val="0CE916F8"/>
    <w:rsid w:val="0CEB6F97"/>
    <w:rsid w:val="0CEC1641"/>
    <w:rsid w:val="0CED7B0B"/>
    <w:rsid w:val="0CF06885"/>
    <w:rsid w:val="0CF124AC"/>
    <w:rsid w:val="0CF32131"/>
    <w:rsid w:val="0CF462EF"/>
    <w:rsid w:val="0CF50B05"/>
    <w:rsid w:val="0CF71C68"/>
    <w:rsid w:val="0CFF716D"/>
    <w:rsid w:val="0D0056D3"/>
    <w:rsid w:val="0D0240AD"/>
    <w:rsid w:val="0D02589F"/>
    <w:rsid w:val="0D043887"/>
    <w:rsid w:val="0D054BED"/>
    <w:rsid w:val="0D0670DB"/>
    <w:rsid w:val="0D0A0DB5"/>
    <w:rsid w:val="0D0D613C"/>
    <w:rsid w:val="0D0E7B2D"/>
    <w:rsid w:val="0D0F2B25"/>
    <w:rsid w:val="0D0F5A1D"/>
    <w:rsid w:val="0D130F4C"/>
    <w:rsid w:val="0D15791A"/>
    <w:rsid w:val="0D164648"/>
    <w:rsid w:val="0D167099"/>
    <w:rsid w:val="0D1A3355"/>
    <w:rsid w:val="0D1B4771"/>
    <w:rsid w:val="0D1C5E08"/>
    <w:rsid w:val="0D1F336B"/>
    <w:rsid w:val="0D210EE8"/>
    <w:rsid w:val="0D2B0801"/>
    <w:rsid w:val="0D2D0D05"/>
    <w:rsid w:val="0D2F148D"/>
    <w:rsid w:val="0D301AE4"/>
    <w:rsid w:val="0D335069"/>
    <w:rsid w:val="0D3B5D2B"/>
    <w:rsid w:val="0D3C3714"/>
    <w:rsid w:val="0D3D2AEB"/>
    <w:rsid w:val="0D3F5BA2"/>
    <w:rsid w:val="0D416BD0"/>
    <w:rsid w:val="0D416C27"/>
    <w:rsid w:val="0D420862"/>
    <w:rsid w:val="0D446FD3"/>
    <w:rsid w:val="0D4622FB"/>
    <w:rsid w:val="0D4721AB"/>
    <w:rsid w:val="0D475F0D"/>
    <w:rsid w:val="0D476762"/>
    <w:rsid w:val="0D4A5F0F"/>
    <w:rsid w:val="0D4D72E7"/>
    <w:rsid w:val="0D4E2564"/>
    <w:rsid w:val="0D4E38AC"/>
    <w:rsid w:val="0D4E61A6"/>
    <w:rsid w:val="0D4E6D9A"/>
    <w:rsid w:val="0D4F051A"/>
    <w:rsid w:val="0D5263B3"/>
    <w:rsid w:val="0D533015"/>
    <w:rsid w:val="0D5376F8"/>
    <w:rsid w:val="0D547284"/>
    <w:rsid w:val="0D5476CB"/>
    <w:rsid w:val="0D55658B"/>
    <w:rsid w:val="0D565C89"/>
    <w:rsid w:val="0D57268F"/>
    <w:rsid w:val="0D573800"/>
    <w:rsid w:val="0D575B77"/>
    <w:rsid w:val="0D5C09E0"/>
    <w:rsid w:val="0D5C7213"/>
    <w:rsid w:val="0D5D4D85"/>
    <w:rsid w:val="0D60792A"/>
    <w:rsid w:val="0D6209FF"/>
    <w:rsid w:val="0D641804"/>
    <w:rsid w:val="0D6477DD"/>
    <w:rsid w:val="0D6607DE"/>
    <w:rsid w:val="0D6A1F32"/>
    <w:rsid w:val="0D6A6764"/>
    <w:rsid w:val="0D6C5103"/>
    <w:rsid w:val="0D6C5C7C"/>
    <w:rsid w:val="0D6C6136"/>
    <w:rsid w:val="0D6D273A"/>
    <w:rsid w:val="0D6D5E4B"/>
    <w:rsid w:val="0D701E19"/>
    <w:rsid w:val="0D71793F"/>
    <w:rsid w:val="0D742A8C"/>
    <w:rsid w:val="0D7454C4"/>
    <w:rsid w:val="0D752F90"/>
    <w:rsid w:val="0D7874A3"/>
    <w:rsid w:val="0D822DD9"/>
    <w:rsid w:val="0D841421"/>
    <w:rsid w:val="0D84773D"/>
    <w:rsid w:val="0D8920AF"/>
    <w:rsid w:val="0D894E61"/>
    <w:rsid w:val="0D8A4A58"/>
    <w:rsid w:val="0D8B0C57"/>
    <w:rsid w:val="0D8D0975"/>
    <w:rsid w:val="0D8D78E5"/>
    <w:rsid w:val="0D8E6ADB"/>
    <w:rsid w:val="0D901C48"/>
    <w:rsid w:val="0D920D65"/>
    <w:rsid w:val="0D927FE1"/>
    <w:rsid w:val="0D942B6F"/>
    <w:rsid w:val="0D9526A0"/>
    <w:rsid w:val="0D955621"/>
    <w:rsid w:val="0D957AD2"/>
    <w:rsid w:val="0D974FAD"/>
    <w:rsid w:val="0D9A380F"/>
    <w:rsid w:val="0D9A65CA"/>
    <w:rsid w:val="0D9D24E2"/>
    <w:rsid w:val="0D9D7EC5"/>
    <w:rsid w:val="0DA128A6"/>
    <w:rsid w:val="0DA27AF9"/>
    <w:rsid w:val="0DA314C2"/>
    <w:rsid w:val="0DA41AC3"/>
    <w:rsid w:val="0DA467F1"/>
    <w:rsid w:val="0DA630FF"/>
    <w:rsid w:val="0DAA6076"/>
    <w:rsid w:val="0DB232D4"/>
    <w:rsid w:val="0DB461AA"/>
    <w:rsid w:val="0DB550EB"/>
    <w:rsid w:val="0DBC0152"/>
    <w:rsid w:val="0DC07158"/>
    <w:rsid w:val="0DC102D1"/>
    <w:rsid w:val="0DC45046"/>
    <w:rsid w:val="0DC50BB4"/>
    <w:rsid w:val="0DC50BED"/>
    <w:rsid w:val="0DC54A30"/>
    <w:rsid w:val="0DC60906"/>
    <w:rsid w:val="0DC72328"/>
    <w:rsid w:val="0DC84030"/>
    <w:rsid w:val="0DC933A2"/>
    <w:rsid w:val="0DC97DD1"/>
    <w:rsid w:val="0DCB704F"/>
    <w:rsid w:val="0DCC0A89"/>
    <w:rsid w:val="0DCC478E"/>
    <w:rsid w:val="0DCD2DC7"/>
    <w:rsid w:val="0DCE7A32"/>
    <w:rsid w:val="0DD04627"/>
    <w:rsid w:val="0DD203DE"/>
    <w:rsid w:val="0DD353C1"/>
    <w:rsid w:val="0DD52490"/>
    <w:rsid w:val="0DD61B3B"/>
    <w:rsid w:val="0DD80623"/>
    <w:rsid w:val="0DD859D5"/>
    <w:rsid w:val="0DD92C86"/>
    <w:rsid w:val="0DDA0C1F"/>
    <w:rsid w:val="0DDE2FF5"/>
    <w:rsid w:val="0DE17CA0"/>
    <w:rsid w:val="0DE54E05"/>
    <w:rsid w:val="0DE55BFE"/>
    <w:rsid w:val="0DE63E89"/>
    <w:rsid w:val="0DE87C01"/>
    <w:rsid w:val="0DE93ADE"/>
    <w:rsid w:val="0DE95C19"/>
    <w:rsid w:val="0DEA1791"/>
    <w:rsid w:val="0DEF6F43"/>
    <w:rsid w:val="0DF26CD2"/>
    <w:rsid w:val="0DF465A6"/>
    <w:rsid w:val="0DF72E5B"/>
    <w:rsid w:val="0DFD6761"/>
    <w:rsid w:val="0DFE5716"/>
    <w:rsid w:val="0E02600C"/>
    <w:rsid w:val="0E027ED6"/>
    <w:rsid w:val="0E037399"/>
    <w:rsid w:val="0E071122"/>
    <w:rsid w:val="0E0E2948"/>
    <w:rsid w:val="0E0E7662"/>
    <w:rsid w:val="0E100F06"/>
    <w:rsid w:val="0E165210"/>
    <w:rsid w:val="0E166901"/>
    <w:rsid w:val="0E184E7F"/>
    <w:rsid w:val="0E1B2660"/>
    <w:rsid w:val="0E1B561E"/>
    <w:rsid w:val="0E1C0AFC"/>
    <w:rsid w:val="0E1D1880"/>
    <w:rsid w:val="0E1E2201"/>
    <w:rsid w:val="0E1E3196"/>
    <w:rsid w:val="0E1E4016"/>
    <w:rsid w:val="0E1E4AE2"/>
    <w:rsid w:val="0E2033B1"/>
    <w:rsid w:val="0E2071C1"/>
    <w:rsid w:val="0E2302EC"/>
    <w:rsid w:val="0E2322D4"/>
    <w:rsid w:val="0E2328D0"/>
    <w:rsid w:val="0E26479D"/>
    <w:rsid w:val="0E2944D7"/>
    <w:rsid w:val="0E300473"/>
    <w:rsid w:val="0E341F3F"/>
    <w:rsid w:val="0E347A39"/>
    <w:rsid w:val="0E350E4A"/>
    <w:rsid w:val="0E370000"/>
    <w:rsid w:val="0E3E3CC5"/>
    <w:rsid w:val="0E403E53"/>
    <w:rsid w:val="0E4227ED"/>
    <w:rsid w:val="0E457A35"/>
    <w:rsid w:val="0E480D6C"/>
    <w:rsid w:val="0E4868F2"/>
    <w:rsid w:val="0E4A4418"/>
    <w:rsid w:val="0E4A6D78"/>
    <w:rsid w:val="0E4B2949"/>
    <w:rsid w:val="0E4D215A"/>
    <w:rsid w:val="0E4E60AE"/>
    <w:rsid w:val="0E4F26E5"/>
    <w:rsid w:val="0E4F5DEA"/>
    <w:rsid w:val="0E560DA4"/>
    <w:rsid w:val="0E571BB3"/>
    <w:rsid w:val="0E5A1580"/>
    <w:rsid w:val="0E5B16D9"/>
    <w:rsid w:val="0E5E55E9"/>
    <w:rsid w:val="0E601E16"/>
    <w:rsid w:val="0E607571"/>
    <w:rsid w:val="0E6125D9"/>
    <w:rsid w:val="0E62163C"/>
    <w:rsid w:val="0E626FE7"/>
    <w:rsid w:val="0E6460E3"/>
    <w:rsid w:val="0E657107"/>
    <w:rsid w:val="0E66589E"/>
    <w:rsid w:val="0E671889"/>
    <w:rsid w:val="0E67321C"/>
    <w:rsid w:val="0E68047A"/>
    <w:rsid w:val="0E681C43"/>
    <w:rsid w:val="0E695530"/>
    <w:rsid w:val="0E6B6937"/>
    <w:rsid w:val="0E6F6C21"/>
    <w:rsid w:val="0E70039C"/>
    <w:rsid w:val="0E703FCA"/>
    <w:rsid w:val="0E7236CC"/>
    <w:rsid w:val="0E732DB4"/>
    <w:rsid w:val="0E762D7D"/>
    <w:rsid w:val="0E7F4981"/>
    <w:rsid w:val="0E7F664A"/>
    <w:rsid w:val="0E836B8B"/>
    <w:rsid w:val="0E843108"/>
    <w:rsid w:val="0E843DC3"/>
    <w:rsid w:val="0E855F0E"/>
    <w:rsid w:val="0E8778F9"/>
    <w:rsid w:val="0E880F36"/>
    <w:rsid w:val="0E8B42B6"/>
    <w:rsid w:val="0E8D483B"/>
    <w:rsid w:val="0E8F1A5C"/>
    <w:rsid w:val="0E9012EB"/>
    <w:rsid w:val="0E912EFD"/>
    <w:rsid w:val="0E9170C0"/>
    <w:rsid w:val="0E931305"/>
    <w:rsid w:val="0E980E5F"/>
    <w:rsid w:val="0E9A5996"/>
    <w:rsid w:val="0E9B0090"/>
    <w:rsid w:val="0E9F2D8D"/>
    <w:rsid w:val="0EA0084E"/>
    <w:rsid w:val="0EA21E2B"/>
    <w:rsid w:val="0EA24062"/>
    <w:rsid w:val="0EA2723F"/>
    <w:rsid w:val="0EA44739"/>
    <w:rsid w:val="0EA83436"/>
    <w:rsid w:val="0EA95755"/>
    <w:rsid w:val="0EAB4AA5"/>
    <w:rsid w:val="0EAC4513"/>
    <w:rsid w:val="0EB138A1"/>
    <w:rsid w:val="0EB209F1"/>
    <w:rsid w:val="0EB31F2A"/>
    <w:rsid w:val="0EB46B69"/>
    <w:rsid w:val="0EBB34F9"/>
    <w:rsid w:val="0EBC6E34"/>
    <w:rsid w:val="0EBF5C0A"/>
    <w:rsid w:val="0EBF6315"/>
    <w:rsid w:val="0EC14792"/>
    <w:rsid w:val="0EC17605"/>
    <w:rsid w:val="0EC4012C"/>
    <w:rsid w:val="0EC44A51"/>
    <w:rsid w:val="0EC46C1D"/>
    <w:rsid w:val="0EC60C0C"/>
    <w:rsid w:val="0ECD0820"/>
    <w:rsid w:val="0ECD4FED"/>
    <w:rsid w:val="0ECE7406"/>
    <w:rsid w:val="0ED02F8A"/>
    <w:rsid w:val="0ED63EFE"/>
    <w:rsid w:val="0ED8015C"/>
    <w:rsid w:val="0ED81E12"/>
    <w:rsid w:val="0ED91C40"/>
    <w:rsid w:val="0EDE7FAD"/>
    <w:rsid w:val="0EE05D20"/>
    <w:rsid w:val="0EE20AF5"/>
    <w:rsid w:val="0EE55220"/>
    <w:rsid w:val="0EEA79A9"/>
    <w:rsid w:val="0EED5AC7"/>
    <w:rsid w:val="0EED7F6C"/>
    <w:rsid w:val="0EEF07A1"/>
    <w:rsid w:val="0EF25743"/>
    <w:rsid w:val="0EF35D8A"/>
    <w:rsid w:val="0EF41263"/>
    <w:rsid w:val="0EF7048E"/>
    <w:rsid w:val="0EF70FF3"/>
    <w:rsid w:val="0EF76074"/>
    <w:rsid w:val="0EF77132"/>
    <w:rsid w:val="0EFA5D43"/>
    <w:rsid w:val="0EFB4E85"/>
    <w:rsid w:val="0EFC7C27"/>
    <w:rsid w:val="0EFD148A"/>
    <w:rsid w:val="0EFD3584"/>
    <w:rsid w:val="0EFD3B60"/>
    <w:rsid w:val="0EFD7DB8"/>
    <w:rsid w:val="0F0726D7"/>
    <w:rsid w:val="0F0C791F"/>
    <w:rsid w:val="0F0E09E8"/>
    <w:rsid w:val="0F0F6199"/>
    <w:rsid w:val="0F11147B"/>
    <w:rsid w:val="0F146A72"/>
    <w:rsid w:val="0F1A0FD9"/>
    <w:rsid w:val="0F1E1875"/>
    <w:rsid w:val="0F1F29F2"/>
    <w:rsid w:val="0F200877"/>
    <w:rsid w:val="0F221DC4"/>
    <w:rsid w:val="0F23401E"/>
    <w:rsid w:val="0F2527A0"/>
    <w:rsid w:val="0F265CE1"/>
    <w:rsid w:val="0F2A6E04"/>
    <w:rsid w:val="0F2D1E53"/>
    <w:rsid w:val="0F2D2402"/>
    <w:rsid w:val="0F2D3CF8"/>
    <w:rsid w:val="0F2E20C7"/>
    <w:rsid w:val="0F2F7816"/>
    <w:rsid w:val="0F301E5F"/>
    <w:rsid w:val="0F3251FC"/>
    <w:rsid w:val="0F37187D"/>
    <w:rsid w:val="0F3824C8"/>
    <w:rsid w:val="0F39623B"/>
    <w:rsid w:val="0F3F2ABE"/>
    <w:rsid w:val="0F3F7152"/>
    <w:rsid w:val="0F406F7B"/>
    <w:rsid w:val="0F470A11"/>
    <w:rsid w:val="0F475288"/>
    <w:rsid w:val="0F48634A"/>
    <w:rsid w:val="0F493C65"/>
    <w:rsid w:val="0F4C6A04"/>
    <w:rsid w:val="0F501CBA"/>
    <w:rsid w:val="0F502325"/>
    <w:rsid w:val="0F512918"/>
    <w:rsid w:val="0F551D48"/>
    <w:rsid w:val="0F5666CB"/>
    <w:rsid w:val="0F5959B4"/>
    <w:rsid w:val="0F5C485D"/>
    <w:rsid w:val="0F5F1246"/>
    <w:rsid w:val="0F612333"/>
    <w:rsid w:val="0F6639EB"/>
    <w:rsid w:val="0F6C06DD"/>
    <w:rsid w:val="0F6E3D4E"/>
    <w:rsid w:val="0F7340FD"/>
    <w:rsid w:val="0F736EA3"/>
    <w:rsid w:val="0F761A26"/>
    <w:rsid w:val="0F782BC3"/>
    <w:rsid w:val="0F79726B"/>
    <w:rsid w:val="0F7B4BCE"/>
    <w:rsid w:val="0F7B68E3"/>
    <w:rsid w:val="0F7E1B1A"/>
    <w:rsid w:val="0F7F47D4"/>
    <w:rsid w:val="0F7F5473"/>
    <w:rsid w:val="0F80465E"/>
    <w:rsid w:val="0F813B7B"/>
    <w:rsid w:val="0F832689"/>
    <w:rsid w:val="0F8341D6"/>
    <w:rsid w:val="0F834B09"/>
    <w:rsid w:val="0F836C7B"/>
    <w:rsid w:val="0F847DFE"/>
    <w:rsid w:val="0F85379F"/>
    <w:rsid w:val="0F863661"/>
    <w:rsid w:val="0F864C9F"/>
    <w:rsid w:val="0F87344A"/>
    <w:rsid w:val="0F882B09"/>
    <w:rsid w:val="0F890BBF"/>
    <w:rsid w:val="0F893D97"/>
    <w:rsid w:val="0F8D1589"/>
    <w:rsid w:val="0F915454"/>
    <w:rsid w:val="0F921F72"/>
    <w:rsid w:val="0F937F0A"/>
    <w:rsid w:val="0F944883"/>
    <w:rsid w:val="0F98158B"/>
    <w:rsid w:val="0F99736D"/>
    <w:rsid w:val="0F9B0608"/>
    <w:rsid w:val="0F9B5AA2"/>
    <w:rsid w:val="0F9F2EE1"/>
    <w:rsid w:val="0FA1275E"/>
    <w:rsid w:val="0FA34D16"/>
    <w:rsid w:val="0FA42F68"/>
    <w:rsid w:val="0FA57C7A"/>
    <w:rsid w:val="0FA91660"/>
    <w:rsid w:val="0FAB52A3"/>
    <w:rsid w:val="0FAC2247"/>
    <w:rsid w:val="0FAD1102"/>
    <w:rsid w:val="0FAD6A96"/>
    <w:rsid w:val="0FB12C82"/>
    <w:rsid w:val="0FB512A5"/>
    <w:rsid w:val="0FB619D9"/>
    <w:rsid w:val="0FC0598E"/>
    <w:rsid w:val="0FC34D51"/>
    <w:rsid w:val="0FC4022D"/>
    <w:rsid w:val="0FC56EFA"/>
    <w:rsid w:val="0FCD43D2"/>
    <w:rsid w:val="0FD04741"/>
    <w:rsid w:val="0FD1178B"/>
    <w:rsid w:val="0FD127AB"/>
    <w:rsid w:val="0FD146C5"/>
    <w:rsid w:val="0FD47DF5"/>
    <w:rsid w:val="0FD6070C"/>
    <w:rsid w:val="0FD85A54"/>
    <w:rsid w:val="0FDB34E2"/>
    <w:rsid w:val="0FDD5944"/>
    <w:rsid w:val="0FDE7A48"/>
    <w:rsid w:val="0FE332FC"/>
    <w:rsid w:val="0FE443F8"/>
    <w:rsid w:val="0FE51D86"/>
    <w:rsid w:val="0FE903BB"/>
    <w:rsid w:val="0FEB3DA7"/>
    <w:rsid w:val="0FED6855"/>
    <w:rsid w:val="0FF16311"/>
    <w:rsid w:val="0FF63D3F"/>
    <w:rsid w:val="0FF677AC"/>
    <w:rsid w:val="0FF70D7E"/>
    <w:rsid w:val="0FFA03B2"/>
    <w:rsid w:val="0FFE370C"/>
    <w:rsid w:val="0FFE527C"/>
    <w:rsid w:val="0FFF2EBC"/>
    <w:rsid w:val="10007450"/>
    <w:rsid w:val="10012EAA"/>
    <w:rsid w:val="100234BC"/>
    <w:rsid w:val="10043EEC"/>
    <w:rsid w:val="10063BC4"/>
    <w:rsid w:val="10094A06"/>
    <w:rsid w:val="100E60B9"/>
    <w:rsid w:val="10123E52"/>
    <w:rsid w:val="10181B90"/>
    <w:rsid w:val="10182B28"/>
    <w:rsid w:val="101E5ECF"/>
    <w:rsid w:val="10223601"/>
    <w:rsid w:val="10274C29"/>
    <w:rsid w:val="102940A6"/>
    <w:rsid w:val="102B2962"/>
    <w:rsid w:val="102C6550"/>
    <w:rsid w:val="102D3FF1"/>
    <w:rsid w:val="102F36D4"/>
    <w:rsid w:val="102F4407"/>
    <w:rsid w:val="1030467F"/>
    <w:rsid w:val="1034712E"/>
    <w:rsid w:val="103602CF"/>
    <w:rsid w:val="10375915"/>
    <w:rsid w:val="10393754"/>
    <w:rsid w:val="10394FB0"/>
    <w:rsid w:val="103A670E"/>
    <w:rsid w:val="103C32F5"/>
    <w:rsid w:val="103E20C5"/>
    <w:rsid w:val="103F6DA4"/>
    <w:rsid w:val="1040279C"/>
    <w:rsid w:val="1044123E"/>
    <w:rsid w:val="10464BF4"/>
    <w:rsid w:val="10466206"/>
    <w:rsid w:val="10470B4A"/>
    <w:rsid w:val="104A1E7E"/>
    <w:rsid w:val="104B2FC0"/>
    <w:rsid w:val="10526E24"/>
    <w:rsid w:val="105721D0"/>
    <w:rsid w:val="10572E9F"/>
    <w:rsid w:val="10594115"/>
    <w:rsid w:val="105B5F13"/>
    <w:rsid w:val="105C196F"/>
    <w:rsid w:val="105F45C6"/>
    <w:rsid w:val="10644B2A"/>
    <w:rsid w:val="10661055"/>
    <w:rsid w:val="106709D3"/>
    <w:rsid w:val="106851B2"/>
    <w:rsid w:val="106B6143"/>
    <w:rsid w:val="106C390C"/>
    <w:rsid w:val="106F25AF"/>
    <w:rsid w:val="10707CC2"/>
    <w:rsid w:val="10717783"/>
    <w:rsid w:val="10720A60"/>
    <w:rsid w:val="10755F6E"/>
    <w:rsid w:val="10783A6B"/>
    <w:rsid w:val="107A370A"/>
    <w:rsid w:val="107C103F"/>
    <w:rsid w:val="107C72DD"/>
    <w:rsid w:val="107F2274"/>
    <w:rsid w:val="10815548"/>
    <w:rsid w:val="10831BAB"/>
    <w:rsid w:val="10860989"/>
    <w:rsid w:val="10865189"/>
    <w:rsid w:val="10892CC4"/>
    <w:rsid w:val="108A4150"/>
    <w:rsid w:val="108B3AB8"/>
    <w:rsid w:val="108D0688"/>
    <w:rsid w:val="108F0FE8"/>
    <w:rsid w:val="1090146B"/>
    <w:rsid w:val="109113A8"/>
    <w:rsid w:val="109127D2"/>
    <w:rsid w:val="109650F9"/>
    <w:rsid w:val="1096559D"/>
    <w:rsid w:val="109B38FD"/>
    <w:rsid w:val="109B5B30"/>
    <w:rsid w:val="10A05D3F"/>
    <w:rsid w:val="10A42239"/>
    <w:rsid w:val="10A516CA"/>
    <w:rsid w:val="10A81E6D"/>
    <w:rsid w:val="10AD756B"/>
    <w:rsid w:val="10AE7B10"/>
    <w:rsid w:val="10B00D63"/>
    <w:rsid w:val="10B04A6F"/>
    <w:rsid w:val="10B1169D"/>
    <w:rsid w:val="10B13ABE"/>
    <w:rsid w:val="10B56A01"/>
    <w:rsid w:val="10B90F67"/>
    <w:rsid w:val="10BB680D"/>
    <w:rsid w:val="10BE10ED"/>
    <w:rsid w:val="10C0771D"/>
    <w:rsid w:val="10CC25E7"/>
    <w:rsid w:val="10CD7582"/>
    <w:rsid w:val="10CF50A9"/>
    <w:rsid w:val="10D253A0"/>
    <w:rsid w:val="10D326D1"/>
    <w:rsid w:val="10DC0EB0"/>
    <w:rsid w:val="10DE1497"/>
    <w:rsid w:val="10DE709A"/>
    <w:rsid w:val="10DF7DF4"/>
    <w:rsid w:val="10E5667A"/>
    <w:rsid w:val="10E60E76"/>
    <w:rsid w:val="10E751CB"/>
    <w:rsid w:val="10E943BC"/>
    <w:rsid w:val="10EA6A20"/>
    <w:rsid w:val="10EB0A4C"/>
    <w:rsid w:val="10EC0E75"/>
    <w:rsid w:val="10EE1F6E"/>
    <w:rsid w:val="10EF0222"/>
    <w:rsid w:val="10F051BF"/>
    <w:rsid w:val="10F324D1"/>
    <w:rsid w:val="10F33947"/>
    <w:rsid w:val="10F93ED3"/>
    <w:rsid w:val="10F9616A"/>
    <w:rsid w:val="10FA5385"/>
    <w:rsid w:val="10FC5772"/>
    <w:rsid w:val="10FD54B4"/>
    <w:rsid w:val="11047421"/>
    <w:rsid w:val="11052747"/>
    <w:rsid w:val="11061968"/>
    <w:rsid w:val="11096040"/>
    <w:rsid w:val="110C6AB4"/>
    <w:rsid w:val="110D0CB0"/>
    <w:rsid w:val="11121B88"/>
    <w:rsid w:val="11130854"/>
    <w:rsid w:val="11167CE3"/>
    <w:rsid w:val="111B02EE"/>
    <w:rsid w:val="111C55A0"/>
    <w:rsid w:val="112278CE"/>
    <w:rsid w:val="11253B43"/>
    <w:rsid w:val="112562A8"/>
    <w:rsid w:val="112850AC"/>
    <w:rsid w:val="1129227D"/>
    <w:rsid w:val="112A5910"/>
    <w:rsid w:val="112A7733"/>
    <w:rsid w:val="112C6F49"/>
    <w:rsid w:val="112F6F8A"/>
    <w:rsid w:val="11320DFB"/>
    <w:rsid w:val="113557D4"/>
    <w:rsid w:val="113634D2"/>
    <w:rsid w:val="11364C2B"/>
    <w:rsid w:val="113A1943"/>
    <w:rsid w:val="113A2EC1"/>
    <w:rsid w:val="113C67AA"/>
    <w:rsid w:val="113C6F1F"/>
    <w:rsid w:val="113C7763"/>
    <w:rsid w:val="113E4DF9"/>
    <w:rsid w:val="11400DCB"/>
    <w:rsid w:val="11457CC4"/>
    <w:rsid w:val="11490A08"/>
    <w:rsid w:val="114B4B5E"/>
    <w:rsid w:val="114D7CCA"/>
    <w:rsid w:val="114E5810"/>
    <w:rsid w:val="11535CDA"/>
    <w:rsid w:val="11551FB6"/>
    <w:rsid w:val="11562B06"/>
    <w:rsid w:val="11573845"/>
    <w:rsid w:val="115757C9"/>
    <w:rsid w:val="115771DA"/>
    <w:rsid w:val="1158778F"/>
    <w:rsid w:val="115C057E"/>
    <w:rsid w:val="115F03B8"/>
    <w:rsid w:val="115F6B8A"/>
    <w:rsid w:val="1160518A"/>
    <w:rsid w:val="11627CCB"/>
    <w:rsid w:val="116629C7"/>
    <w:rsid w:val="11672570"/>
    <w:rsid w:val="11676F3F"/>
    <w:rsid w:val="11682D74"/>
    <w:rsid w:val="116A6B7F"/>
    <w:rsid w:val="116B706D"/>
    <w:rsid w:val="116C0A9B"/>
    <w:rsid w:val="116C0B49"/>
    <w:rsid w:val="116C5E0E"/>
    <w:rsid w:val="116E2B13"/>
    <w:rsid w:val="11704101"/>
    <w:rsid w:val="11721BDA"/>
    <w:rsid w:val="117B5227"/>
    <w:rsid w:val="11802A02"/>
    <w:rsid w:val="118149C2"/>
    <w:rsid w:val="118231A1"/>
    <w:rsid w:val="11831153"/>
    <w:rsid w:val="1186103B"/>
    <w:rsid w:val="11874B4E"/>
    <w:rsid w:val="118868A1"/>
    <w:rsid w:val="118F08F6"/>
    <w:rsid w:val="118F6025"/>
    <w:rsid w:val="1190172B"/>
    <w:rsid w:val="11902A8A"/>
    <w:rsid w:val="119057B6"/>
    <w:rsid w:val="119122FE"/>
    <w:rsid w:val="119169B4"/>
    <w:rsid w:val="1193257A"/>
    <w:rsid w:val="119A166B"/>
    <w:rsid w:val="119B2164"/>
    <w:rsid w:val="119C228C"/>
    <w:rsid w:val="119D0FC0"/>
    <w:rsid w:val="11A03CA7"/>
    <w:rsid w:val="11A233E0"/>
    <w:rsid w:val="11A2456B"/>
    <w:rsid w:val="11A54AB1"/>
    <w:rsid w:val="11A72553"/>
    <w:rsid w:val="11A73DC0"/>
    <w:rsid w:val="11A76830"/>
    <w:rsid w:val="11AC1C99"/>
    <w:rsid w:val="11AD05E4"/>
    <w:rsid w:val="11AE2EB2"/>
    <w:rsid w:val="11B204E1"/>
    <w:rsid w:val="11B43C58"/>
    <w:rsid w:val="11B6545A"/>
    <w:rsid w:val="11B7071B"/>
    <w:rsid w:val="11BD3DC4"/>
    <w:rsid w:val="11BD41C0"/>
    <w:rsid w:val="11BF5650"/>
    <w:rsid w:val="11C049F1"/>
    <w:rsid w:val="11C2064E"/>
    <w:rsid w:val="11C27493"/>
    <w:rsid w:val="11C444E1"/>
    <w:rsid w:val="11C81DF4"/>
    <w:rsid w:val="11CC275F"/>
    <w:rsid w:val="11CE35B2"/>
    <w:rsid w:val="11D11493"/>
    <w:rsid w:val="11D51B2D"/>
    <w:rsid w:val="11D527E6"/>
    <w:rsid w:val="11D81D3B"/>
    <w:rsid w:val="11D87B61"/>
    <w:rsid w:val="11D90AD7"/>
    <w:rsid w:val="11DD1C72"/>
    <w:rsid w:val="11DD257B"/>
    <w:rsid w:val="11DF01F5"/>
    <w:rsid w:val="11E0622B"/>
    <w:rsid w:val="11E07003"/>
    <w:rsid w:val="11E40991"/>
    <w:rsid w:val="11E571D9"/>
    <w:rsid w:val="11E9068D"/>
    <w:rsid w:val="11EB0F01"/>
    <w:rsid w:val="11ED179F"/>
    <w:rsid w:val="11ED7BAF"/>
    <w:rsid w:val="11F122AF"/>
    <w:rsid w:val="11F13278"/>
    <w:rsid w:val="11F33B59"/>
    <w:rsid w:val="11F50FE4"/>
    <w:rsid w:val="11F631C1"/>
    <w:rsid w:val="11F65363"/>
    <w:rsid w:val="11F74B6A"/>
    <w:rsid w:val="11F9149A"/>
    <w:rsid w:val="11F945A8"/>
    <w:rsid w:val="11FE4F32"/>
    <w:rsid w:val="11FE6066"/>
    <w:rsid w:val="12002C1A"/>
    <w:rsid w:val="12011292"/>
    <w:rsid w:val="120174E4"/>
    <w:rsid w:val="12056584"/>
    <w:rsid w:val="120609B4"/>
    <w:rsid w:val="12064AFA"/>
    <w:rsid w:val="120E7A73"/>
    <w:rsid w:val="120F2F6C"/>
    <w:rsid w:val="121301FF"/>
    <w:rsid w:val="121423A8"/>
    <w:rsid w:val="12171463"/>
    <w:rsid w:val="12175565"/>
    <w:rsid w:val="12182B15"/>
    <w:rsid w:val="12184CA2"/>
    <w:rsid w:val="121A5BF5"/>
    <w:rsid w:val="121D1E44"/>
    <w:rsid w:val="12213197"/>
    <w:rsid w:val="12223326"/>
    <w:rsid w:val="12223636"/>
    <w:rsid w:val="1226519C"/>
    <w:rsid w:val="12267601"/>
    <w:rsid w:val="12283BD2"/>
    <w:rsid w:val="122F0B7C"/>
    <w:rsid w:val="123141F1"/>
    <w:rsid w:val="1231668E"/>
    <w:rsid w:val="1231749B"/>
    <w:rsid w:val="12334399"/>
    <w:rsid w:val="123467BF"/>
    <w:rsid w:val="12353135"/>
    <w:rsid w:val="12367689"/>
    <w:rsid w:val="1238244B"/>
    <w:rsid w:val="123C4D16"/>
    <w:rsid w:val="123D1575"/>
    <w:rsid w:val="123F54A9"/>
    <w:rsid w:val="12413D84"/>
    <w:rsid w:val="1241461C"/>
    <w:rsid w:val="12435B7F"/>
    <w:rsid w:val="1245157F"/>
    <w:rsid w:val="12462BCD"/>
    <w:rsid w:val="124B0764"/>
    <w:rsid w:val="124D2729"/>
    <w:rsid w:val="12503FC7"/>
    <w:rsid w:val="12555D17"/>
    <w:rsid w:val="12562774"/>
    <w:rsid w:val="12573511"/>
    <w:rsid w:val="12597320"/>
    <w:rsid w:val="125A5C6B"/>
    <w:rsid w:val="126020B2"/>
    <w:rsid w:val="12614426"/>
    <w:rsid w:val="126206D6"/>
    <w:rsid w:val="1266244E"/>
    <w:rsid w:val="126721FC"/>
    <w:rsid w:val="12682580"/>
    <w:rsid w:val="12683752"/>
    <w:rsid w:val="126A10AA"/>
    <w:rsid w:val="126A5FFC"/>
    <w:rsid w:val="126D5B17"/>
    <w:rsid w:val="126E068F"/>
    <w:rsid w:val="126F1DD1"/>
    <w:rsid w:val="1271151D"/>
    <w:rsid w:val="12751A6E"/>
    <w:rsid w:val="12760343"/>
    <w:rsid w:val="127C6B6A"/>
    <w:rsid w:val="127F48AC"/>
    <w:rsid w:val="127F5E2D"/>
    <w:rsid w:val="12835860"/>
    <w:rsid w:val="1284260A"/>
    <w:rsid w:val="12873960"/>
    <w:rsid w:val="128B4CC4"/>
    <w:rsid w:val="128F02C8"/>
    <w:rsid w:val="12907407"/>
    <w:rsid w:val="12916676"/>
    <w:rsid w:val="12981758"/>
    <w:rsid w:val="129902B7"/>
    <w:rsid w:val="129A394B"/>
    <w:rsid w:val="129B15B0"/>
    <w:rsid w:val="12A03364"/>
    <w:rsid w:val="12A33189"/>
    <w:rsid w:val="12A472EF"/>
    <w:rsid w:val="12A47364"/>
    <w:rsid w:val="12A822B9"/>
    <w:rsid w:val="12A827B0"/>
    <w:rsid w:val="12AA1929"/>
    <w:rsid w:val="12AB608E"/>
    <w:rsid w:val="12AC08D0"/>
    <w:rsid w:val="12AD6653"/>
    <w:rsid w:val="12AD766B"/>
    <w:rsid w:val="12AF0CEE"/>
    <w:rsid w:val="12B0084A"/>
    <w:rsid w:val="12B1558A"/>
    <w:rsid w:val="12B91DAA"/>
    <w:rsid w:val="12BB30ED"/>
    <w:rsid w:val="12BC0317"/>
    <w:rsid w:val="12BE207F"/>
    <w:rsid w:val="12C14A78"/>
    <w:rsid w:val="12C21A04"/>
    <w:rsid w:val="12C26341"/>
    <w:rsid w:val="12C47BD2"/>
    <w:rsid w:val="12C5219C"/>
    <w:rsid w:val="12C94B7C"/>
    <w:rsid w:val="12CA7B28"/>
    <w:rsid w:val="12CC6BD5"/>
    <w:rsid w:val="12CD2F6E"/>
    <w:rsid w:val="12CD386A"/>
    <w:rsid w:val="12CF5C7E"/>
    <w:rsid w:val="12CF6473"/>
    <w:rsid w:val="12D41678"/>
    <w:rsid w:val="12D449C7"/>
    <w:rsid w:val="12D4707A"/>
    <w:rsid w:val="12DF5A48"/>
    <w:rsid w:val="12E60488"/>
    <w:rsid w:val="12E62B88"/>
    <w:rsid w:val="12E82452"/>
    <w:rsid w:val="12E863BF"/>
    <w:rsid w:val="12EA441C"/>
    <w:rsid w:val="12EC1F42"/>
    <w:rsid w:val="12ED7A68"/>
    <w:rsid w:val="12EE77FA"/>
    <w:rsid w:val="12EF2D4C"/>
    <w:rsid w:val="12F06D4C"/>
    <w:rsid w:val="12F160A0"/>
    <w:rsid w:val="12F17F57"/>
    <w:rsid w:val="12F415E0"/>
    <w:rsid w:val="12F46AFE"/>
    <w:rsid w:val="12F860F9"/>
    <w:rsid w:val="12F93DA2"/>
    <w:rsid w:val="12FE0B73"/>
    <w:rsid w:val="12FE14BB"/>
    <w:rsid w:val="12FE51D3"/>
    <w:rsid w:val="13016055"/>
    <w:rsid w:val="1303728B"/>
    <w:rsid w:val="13065C10"/>
    <w:rsid w:val="130769CC"/>
    <w:rsid w:val="13093DD7"/>
    <w:rsid w:val="130B645A"/>
    <w:rsid w:val="130C4747"/>
    <w:rsid w:val="130C6CF4"/>
    <w:rsid w:val="130E78B9"/>
    <w:rsid w:val="130F0991"/>
    <w:rsid w:val="13110D2A"/>
    <w:rsid w:val="13126943"/>
    <w:rsid w:val="131276E5"/>
    <w:rsid w:val="131401DF"/>
    <w:rsid w:val="131671A1"/>
    <w:rsid w:val="13176620"/>
    <w:rsid w:val="131B6383"/>
    <w:rsid w:val="131C5C77"/>
    <w:rsid w:val="132227B1"/>
    <w:rsid w:val="13225800"/>
    <w:rsid w:val="13225EB2"/>
    <w:rsid w:val="13232457"/>
    <w:rsid w:val="13245E77"/>
    <w:rsid w:val="13256E95"/>
    <w:rsid w:val="13263376"/>
    <w:rsid w:val="132650A5"/>
    <w:rsid w:val="13273EFA"/>
    <w:rsid w:val="1328280E"/>
    <w:rsid w:val="13283B0D"/>
    <w:rsid w:val="132A2A6A"/>
    <w:rsid w:val="132A676A"/>
    <w:rsid w:val="132B55EA"/>
    <w:rsid w:val="132C4C04"/>
    <w:rsid w:val="132D3006"/>
    <w:rsid w:val="132E040D"/>
    <w:rsid w:val="132F5C63"/>
    <w:rsid w:val="132F62D2"/>
    <w:rsid w:val="133104C1"/>
    <w:rsid w:val="13322F61"/>
    <w:rsid w:val="13350F81"/>
    <w:rsid w:val="13355794"/>
    <w:rsid w:val="13377DEB"/>
    <w:rsid w:val="133B57CD"/>
    <w:rsid w:val="133F5DEC"/>
    <w:rsid w:val="13401AF5"/>
    <w:rsid w:val="134318D8"/>
    <w:rsid w:val="134621D2"/>
    <w:rsid w:val="134753CA"/>
    <w:rsid w:val="134776F3"/>
    <w:rsid w:val="134B747D"/>
    <w:rsid w:val="134C62DB"/>
    <w:rsid w:val="134D5AC0"/>
    <w:rsid w:val="134D5C20"/>
    <w:rsid w:val="134D5CD2"/>
    <w:rsid w:val="13536BD2"/>
    <w:rsid w:val="135621B9"/>
    <w:rsid w:val="135B2555"/>
    <w:rsid w:val="135F5842"/>
    <w:rsid w:val="136046DE"/>
    <w:rsid w:val="13613F69"/>
    <w:rsid w:val="13620BD6"/>
    <w:rsid w:val="1363583E"/>
    <w:rsid w:val="13643C91"/>
    <w:rsid w:val="13655850"/>
    <w:rsid w:val="13685340"/>
    <w:rsid w:val="13685482"/>
    <w:rsid w:val="136A6A94"/>
    <w:rsid w:val="136B1A82"/>
    <w:rsid w:val="136C6BDF"/>
    <w:rsid w:val="13700FB7"/>
    <w:rsid w:val="137361BF"/>
    <w:rsid w:val="13742126"/>
    <w:rsid w:val="13755F6D"/>
    <w:rsid w:val="13797C58"/>
    <w:rsid w:val="137C323F"/>
    <w:rsid w:val="137C39B5"/>
    <w:rsid w:val="137D4E59"/>
    <w:rsid w:val="137F054F"/>
    <w:rsid w:val="1380268A"/>
    <w:rsid w:val="138173B9"/>
    <w:rsid w:val="13825903"/>
    <w:rsid w:val="13827DA5"/>
    <w:rsid w:val="13843E6A"/>
    <w:rsid w:val="138447FB"/>
    <w:rsid w:val="138620CA"/>
    <w:rsid w:val="13863631"/>
    <w:rsid w:val="1387511A"/>
    <w:rsid w:val="138A766E"/>
    <w:rsid w:val="138D0DD9"/>
    <w:rsid w:val="138D4ED9"/>
    <w:rsid w:val="138D7F1B"/>
    <w:rsid w:val="138E2FF9"/>
    <w:rsid w:val="138F127E"/>
    <w:rsid w:val="138F1693"/>
    <w:rsid w:val="138F76A8"/>
    <w:rsid w:val="13907E31"/>
    <w:rsid w:val="13910DC8"/>
    <w:rsid w:val="139261D0"/>
    <w:rsid w:val="13970DC3"/>
    <w:rsid w:val="13987F9F"/>
    <w:rsid w:val="139A1431"/>
    <w:rsid w:val="139A2667"/>
    <w:rsid w:val="139A637E"/>
    <w:rsid w:val="139C0230"/>
    <w:rsid w:val="139F6FB4"/>
    <w:rsid w:val="13A1383E"/>
    <w:rsid w:val="13A263C4"/>
    <w:rsid w:val="13A4402C"/>
    <w:rsid w:val="13A46379"/>
    <w:rsid w:val="13A5000D"/>
    <w:rsid w:val="13A73D90"/>
    <w:rsid w:val="13AA5CC1"/>
    <w:rsid w:val="13AB5D65"/>
    <w:rsid w:val="13AE71F7"/>
    <w:rsid w:val="13AF0463"/>
    <w:rsid w:val="13AF7468"/>
    <w:rsid w:val="13B220F8"/>
    <w:rsid w:val="13B50FA2"/>
    <w:rsid w:val="13B9117E"/>
    <w:rsid w:val="13BA2967"/>
    <w:rsid w:val="13BA52D8"/>
    <w:rsid w:val="13BC3E5B"/>
    <w:rsid w:val="13BD35B8"/>
    <w:rsid w:val="13BD72D6"/>
    <w:rsid w:val="13C14907"/>
    <w:rsid w:val="13C206D8"/>
    <w:rsid w:val="13C702B9"/>
    <w:rsid w:val="13C73898"/>
    <w:rsid w:val="13D86810"/>
    <w:rsid w:val="13DA399E"/>
    <w:rsid w:val="13DA7E9F"/>
    <w:rsid w:val="13DC67F7"/>
    <w:rsid w:val="13DD4D41"/>
    <w:rsid w:val="13DE3D50"/>
    <w:rsid w:val="13E250F3"/>
    <w:rsid w:val="13E855E7"/>
    <w:rsid w:val="13E858DC"/>
    <w:rsid w:val="13EC1865"/>
    <w:rsid w:val="13EC258D"/>
    <w:rsid w:val="13EC7261"/>
    <w:rsid w:val="13EF4D0F"/>
    <w:rsid w:val="13EF701B"/>
    <w:rsid w:val="13F044BD"/>
    <w:rsid w:val="13F3048A"/>
    <w:rsid w:val="13F32A6C"/>
    <w:rsid w:val="13F5101B"/>
    <w:rsid w:val="13F55D6D"/>
    <w:rsid w:val="13F653D3"/>
    <w:rsid w:val="13F84465"/>
    <w:rsid w:val="13F856DB"/>
    <w:rsid w:val="13F94AEF"/>
    <w:rsid w:val="13FB270E"/>
    <w:rsid w:val="13FB6C3A"/>
    <w:rsid w:val="13FE141F"/>
    <w:rsid w:val="13FF323A"/>
    <w:rsid w:val="14002FE6"/>
    <w:rsid w:val="14014127"/>
    <w:rsid w:val="14037DAE"/>
    <w:rsid w:val="14050A7A"/>
    <w:rsid w:val="140878F7"/>
    <w:rsid w:val="140C0C38"/>
    <w:rsid w:val="140D1BAB"/>
    <w:rsid w:val="140D6B80"/>
    <w:rsid w:val="140E0F02"/>
    <w:rsid w:val="140F7FCE"/>
    <w:rsid w:val="14110D09"/>
    <w:rsid w:val="1413563B"/>
    <w:rsid w:val="14140D11"/>
    <w:rsid w:val="14195773"/>
    <w:rsid w:val="141B0D46"/>
    <w:rsid w:val="141F00F5"/>
    <w:rsid w:val="141F4960"/>
    <w:rsid w:val="1421009C"/>
    <w:rsid w:val="14212CBE"/>
    <w:rsid w:val="142233E0"/>
    <w:rsid w:val="14233D40"/>
    <w:rsid w:val="142344EC"/>
    <w:rsid w:val="142421A9"/>
    <w:rsid w:val="14277C18"/>
    <w:rsid w:val="142838F9"/>
    <w:rsid w:val="142A68EE"/>
    <w:rsid w:val="14304FFB"/>
    <w:rsid w:val="14331CB2"/>
    <w:rsid w:val="14376036"/>
    <w:rsid w:val="14382A12"/>
    <w:rsid w:val="14394EBD"/>
    <w:rsid w:val="143E6E0D"/>
    <w:rsid w:val="144265EC"/>
    <w:rsid w:val="14432035"/>
    <w:rsid w:val="14445C13"/>
    <w:rsid w:val="144A7827"/>
    <w:rsid w:val="144C2BF4"/>
    <w:rsid w:val="14524026"/>
    <w:rsid w:val="145305C9"/>
    <w:rsid w:val="14542357"/>
    <w:rsid w:val="145768F4"/>
    <w:rsid w:val="1458051E"/>
    <w:rsid w:val="14585387"/>
    <w:rsid w:val="145B0BCD"/>
    <w:rsid w:val="145B288C"/>
    <w:rsid w:val="145E680E"/>
    <w:rsid w:val="145F2125"/>
    <w:rsid w:val="146062F4"/>
    <w:rsid w:val="14655B1E"/>
    <w:rsid w:val="146834B6"/>
    <w:rsid w:val="146911C3"/>
    <w:rsid w:val="146A559D"/>
    <w:rsid w:val="146B03FF"/>
    <w:rsid w:val="146B333A"/>
    <w:rsid w:val="14700FB9"/>
    <w:rsid w:val="14753584"/>
    <w:rsid w:val="147643A3"/>
    <w:rsid w:val="1478439A"/>
    <w:rsid w:val="14795106"/>
    <w:rsid w:val="147B120E"/>
    <w:rsid w:val="147B7B9D"/>
    <w:rsid w:val="147D5462"/>
    <w:rsid w:val="147D6236"/>
    <w:rsid w:val="147E12BF"/>
    <w:rsid w:val="14822DF9"/>
    <w:rsid w:val="148438BA"/>
    <w:rsid w:val="148464E2"/>
    <w:rsid w:val="1487267A"/>
    <w:rsid w:val="148758AC"/>
    <w:rsid w:val="148826BC"/>
    <w:rsid w:val="1489528F"/>
    <w:rsid w:val="1489657D"/>
    <w:rsid w:val="148A01A5"/>
    <w:rsid w:val="148A23AA"/>
    <w:rsid w:val="148A5F48"/>
    <w:rsid w:val="148B7387"/>
    <w:rsid w:val="148D73BB"/>
    <w:rsid w:val="148F37E8"/>
    <w:rsid w:val="148F5FE4"/>
    <w:rsid w:val="14900D3B"/>
    <w:rsid w:val="14904B4F"/>
    <w:rsid w:val="14925053"/>
    <w:rsid w:val="149433CE"/>
    <w:rsid w:val="14953BEB"/>
    <w:rsid w:val="149716A2"/>
    <w:rsid w:val="14977C8B"/>
    <w:rsid w:val="1498218C"/>
    <w:rsid w:val="149874A3"/>
    <w:rsid w:val="149A7627"/>
    <w:rsid w:val="149D4095"/>
    <w:rsid w:val="149E3606"/>
    <w:rsid w:val="14A32472"/>
    <w:rsid w:val="14A67C1B"/>
    <w:rsid w:val="14A90F12"/>
    <w:rsid w:val="14A970BF"/>
    <w:rsid w:val="14AA7320"/>
    <w:rsid w:val="14AB198F"/>
    <w:rsid w:val="14AC4D3A"/>
    <w:rsid w:val="14AF7BC7"/>
    <w:rsid w:val="14B17A5D"/>
    <w:rsid w:val="14B20F69"/>
    <w:rsid w:val="14B2200D"/>
    <w:rsid w:val="14B52F69"/>
    <w:rsid w:val="14B54485"/>
    <w:rsid w:val="14B62680"/>
    <w:rsid w:val="14B7076C"/>
    <w:rsid w:val="14BB3A73"/>
    <w:rsid w:val="14BB6070"/>
    <w:rsid w:val="14BE3906"/>
    <w:rsid w:val="14C06766"/>
    <w:rsid w:val="14C165D0"/>
    <w:rsid w:val="14C667C2"/>
    <w:rsid w:val="14CB3DD9"/>
    <w:rsid w:val="14CD3288"/>
    <w:rsid w:val="14CD3BFC"/>
    <w:rsid w:val="14D02B99"/>
    <w:rsid w:val="14D0561A"/>
    <w:rsid w:val="14D250FF"/>
    <w:rsid w:val="14D3230B"/>
    <w:rsid w:val="14D85D5A"/>
    <w:rsid w:val="14D87DB8"/>
    <w:rsid w:val="14DB0B0D"/>
    <w:rsid w:val="14DD2C23"/>
    <w:rsid w:val="14DD78E0"/>
    <w:rsid w:val="14DE3E86"/>
    <w:rsid w:val="14DE442F"/>
    <w:rsid w:val="14DF5B94"/>
    <w:rsid w:val="14E02C0B"/>
    <w:rsid w:val="14E32D76"/>
    <w:rsid w:val="14E42F81"/>
    <w:rsid w:val="14E63FA8"/>
    <w:rsid w:val="14F65D22"/>
    <w:rsid w:val="14FD48E9"/>
    <w:rsid w:val="14FD6CD7"/>
    <w:rsid w:val="14FE2788"/>
    <w:rsid w:val="15025520"/>
    <w:rsid w:val="15053B1C"/>
    <w:rsid w:val="15100D07"/>
    <w:rsid w:val="15106E94"/>
    <w:rsid w:val="151347D9"/>
    <w:rsid w:val="1514624F"/>
    <w:rsid w:val="15194D3A"/>
    <w:rsid w:val="151A1C5C"/>
    <w:rsid w:val="151C7ABB"/>
    <w:rsid w:val="15202377"/>
    <w:rsid w:val="152368FB"/>
    <w:rsid w:val="1524591F"/>
    <w:rsid w:val="15267C81"/>
    <w:rsid w:val="1529052A"/>
    <w:rsid w:val="152A70D8"/>
    <w:rsid w:val="152B28EA"/>
    <w:rsid w:val="152B5ECF"/>
    <w:rsid w:val="152C4319"/>
    <w:rsid w:val="152D34B6"/>
    <w:rsid w:val="15314E2E"/>
    <w:rsid w:val="15322B67"/>
    <w:rsid w:val="15333917"/>
    <w:rsid w:val="1533619E"/>
    <w:rsid w:val="15351477"/>
    <w:rsid w:val="153629B1"/>
    <w:rsid w:val="15385FAB"/>
    <w:rsid w:val="153A1FBB"/>
    <w:rsid w:val="153B2434"/>
    <w:rsid w:val="153E45AB"/>
    <w:rsid w:val="153F3A17"/>
    <w:rsid w:val="1542187A"/>
    <w:rsid w:val="1542546B"/>
    <w:rsid w:val="15425F4C"/>
    <w:rsid w:val="15437E13"/>
    <w:rsid w:val="154462C0"/>
    <w:rsid w:val="154567DD"/>
    <w:rsid w:val="15482680"/>
    <w:rsid w:val="154A1523"/>
    <w:rsid w:val="154A2F50"/>
    <w:rsid w:val="154B304D"/>
    <w:rsid w:val="154D5ADF"/>
    <w:rsid w:val="155017AE"/>
    <w:rsid w:val="15504E6C"/>
    <w:rsid w:val="15520467"/>
    <w:rsid w:val="1552782F"/>
    <w:rsid w:val="155468B8"/>
    <w:rsid w:val="15561574"/>
    <w:rsid w:val="15561D05"/>
    <w:rsid w:val="155D3714"/>
    <w:rsid w:val="156279EC"/>
    <w:rsid w:val="15654DDE"/>
    <w:rsid w:val="15662F04"/>
    <w:rsid w:val="156E1C8F"/>
    <w:rsid w:val="15712009"/>
    <w:rsid w:val="15716630"/>
    <w:rsid w:val="157827A5"/>
    <w:rsid w:val="15785999"/>
    <w:rsid w:val="158130F2"/>
    <w:rsid w:val="158626B8"/>
    <w:rsid w:val="15885BE5"/>
    <w:rsid w:val="158B0A9F"/>
    <w:rsid w:val="158E0AA7"/>
    <w:rsid w:val="15967500"/>
    <w:rsid w:val="15974943"/>
    <w:rsid w:val="15987853"/>
    <w:rsid w:val="159B77DF"/>
    <w:rsid w:val="159C2891"/>
    <w:rsid w:val="159D7423"/>
    <w:rsid w:val="159E57FE"/>
    <w:rsid w:val="15A035FC"/>
    <w:rsid w:val="15A270F6"/>
    <w:rsid w:val="15A47FE4"/>
    <w:rsid w:val="15A72226"/>
    <w:rsid w:val="15A82027"/>
    <w:rsid w:val="15B3501C"/>
    <w:rsid w:val="15B6746E"/>
    <w:rsid w:val="15B8172B"/>
    <w:rsid w:val="15BE1E52"/>
    <w:rsid w:val="15C16716"/>
    <w:rsid w:val="15C5718A"/>
    <w:rsid w:val="15C9003D"/>
    <w:rsid w:val="15C94082"/>
    <w:rsid w:val="15CA5F34"/>
    <w:rsid w:val="15CB7200"/>
    <w:rsid w:val="15CC00A8"/>
    <w:rsid w:val="15CC7A09"/>
    <w:rsid w:val="15CD4B5E"/>
    <w:rsid w:val="15CF0370"/>
    <w:rsid w:val="15D046A3"/>
    <w:rsid w:val="15D072B2"/>
    <w:rsid w:val="15D078F9"/>
    <w:rsid w:val="15D13671"/>
    <w:rsid w:val="15D31197"/>
    <w:rsid w:val="15D50096"/>
    <w:rsid w:val="15D5070E"/>
    <w:rsid w:val="15D74999"/>
    <w:rsid w:val="15D90595"/>
    <w:rsid w:val="15DC069C"/>
    <w:rsid w:val="15DD0CAC"/>
    <w:rsid w:val="15E02EDF"/>
    <w:rsid w:val="15E06685"/>
    <w:rsid w:val="15E20541"/>
    <w:rsid w:val="15E757E1"/>
    <w:rsid w:val="15EC0372"/>
    <w:rsid w:val="15EC4559"/>
    <w:rsid w:val="15EC7917"/>
    <w:rsid w:val="15ED1553"/>
    <w:rsid w:val="15EE0841"/>
    <w:rsid w:val="15EE2DCD"/>
    <w:rsid w:val="15F26488"/>
    <w:rsid w:val="15F335E7"/>
    <w:rsid w:val="15F50B9B"/>
    <w:rsid w:val="15F50DB9"/>
    <w:rsid w:val="15F5198D"/>
    <w:rsid w:val="15FA7687"/>
    <w:rsid w:val="15FC18A1"/>
    <w:rsid w:val="15FE3840"/>
    <w:rsid w:val="1600623D"/>
    <w:rsid w:val="160175C1"/>
    <w:rsid w:val="160225CF"/>
    <w:rsid w:val="160550C9"/>
    <w:rsid w:val="1606041D"/>
    <w:rsid w:val="160D1050"/>
    <w:rsid w:val="160F2F89"/>
    <w:rsid w:val="160F4CE1"/>
    <w:rsid w:val="1616109E"/>
    <w:rsid w:val="161715D6"/>
    <w:rsid w:val="161A49BD"/>
    <w:rsid w:val="161C79E0"/>
    <w:rsid w:val="161E7370"/>
    <w:rsid w:val="161F7C05"/>
    <w:rsid w:val="1621208D"/>
    <w:rsid w:val="16214031"/>
    <w:rsid w:val="16221617"/>
    <w:rsid w:val="1622411D"/>
    <w:rsid w:val="16241495"/>
    <w:rsid w:val="16246CA7"/>
    <w:rsid w:val="16257519"/>
    <w:rsid w:val="162828C8"/>
    <w:rsid w:val="162B180D"/>
    <w:rsid w:val="162D644C"/>
    <w:rsid w:val="162F229D"/>
    <w:rsid w:val="16320EDE"/>
    <w:rsid w:val="163212F9"/>
    <w:rsid w:val="163220FF"/>
    <w:rsid w:val="16331FC1"/>
    <w:rsid w:val="16332E09"/>
    <w:rsid w:val="16363140"/>
    <w:rsid w:val="16374DBA"/>
    <w:rsid w:val="163811F0"/>
    <w:rsid w:val="163B2800"/>
    <w:rsid w:val="163D5268"/>
    <w:rsid w:val="164024AE"/>
    <w:rsid w:val="16405C5E"/>
    <w:rsid w:val="16415D80"/>
    <w:rsid w:val="16433E47"/>
    <w:rsid w:val="164400B1"/>
    <w:rsid w:val="16443E43"/>
    <w:rsid w:val="164441F1"/>
    <w:rsid w:val="164634EA"/>
    <w:rsid w:val="16480669"/>
    <w:rsid w:val="164F304B"/>
    <w:rsid w:val="164F4068"/>
    <w:rsid w:val="16520A36"/>
    <w:rsid w:val="165214B8"/>
    <w:rsid w:val="165231B1"/>
    <w:rsid w:val="165252AC"/>
    <w:rsid w:val="1652579B"/>
    <w:rsid w:val="16526784"/>
    <w:rsid w:val="165472B4"/>
    <w:rsid w:val="165945AA"/>
    <w:rsid w:val="165B309C"/>
    <w:rsid w:val="166161FB"/>
    <w:rsid w:val="16634AAE"/>
    <w:rsid w:val="166879E3"/>
    <w:rsid w:val="16691B37"/>
    <w:rsid w:val="16695933"/>
    <w:rsid w:val="166A2AAC"/>
    <w:rsid w:val="166A6660"/>
    <w:rsid w:val="166B31F1"/>
    <w:rsid w:val="166D26C2"/>
    <w:rsid w:val="166E01BC"/>
    <w:rsid w:val="166E0BD9"/>
    <w:rsid w:val="16721BD3"/>
    <w:rsid w:val="16724808"/>
    <w:rsid w:val="16753A45"/>
    <w:rsid w:val="167C04A1"/>
    <w:rsid w:val="16800E8A"/>
    <w:rsid w:val="168345E9"/>
    <w:rsid w:val="1684329D"/>
    <w:rsid w:val="16846D84"/>
    <w:rsid w:val="168769AA"/>
    <w:rsid w:val="16893F4C"/>
    <w:rsid w:val="168B4830"/>
    <w:rsid w:val="168B6001"/>
    <w:rsid w:val="168C249A"/>
    <w:rsid w:val="168D17F2"/>
    <w:rsid w:val="168E6F48"/>
    <w:rsid w:val="1693388E"/>
    <w:rsid w:val="16937510"/>
    <w:rsid w:val="16952DF5"/>
    <w:rsid w:val="16974770"/>
    <w:rsid w:val="16976668"/>
    <w:rsid w:val="1698683A"/>
    <w:rsid w:val="169976C3"/>
    <w:rsid w:val="169A3277"/>
    <w:rsid w:val="169B20F5"/>
    <w:rsid w:val="169D7D23"/>
    <w:rsid w:val="169E51E6"/>
    <w:rsid w:val="16A13043"/>
    <w:rsid w:val="16A26A8D"/>
    <w:rsid w:val="16A274C4"/>
    <w:rsid w:val="16A41C29"/>
    <w:rsid w:val="16A7111D"/>
    <w:rsid w:val="16A800CC"/>
    <w:rsid w:val="16AB1F26"/>
    <w:rsid w:val="16AD3796"/>
    <w:rsid w:val="16AF0065"/>
    <w:rsid w:val="16BA58B7"/>
    <w:rsid w:val="16BB506B"/>
    <w:rsid w:val="16C27C5C"/>
    <w:rsid w:val="16C31050"/>
    <w:rsid w:val="16C32FBA"/>
    <w:rsid w:val="16C46D32"/>
    <w:rsid w:val="16C60533"/>
    <w:rsid w:val="16C629B1"/>
    <w:rsid w:val="16C80263"/>
    <w:rsid w:val="16C80457"/>
    <w:rsid w:val="16CD31E0"/>
    <w:rsid w:val="16CF70F4"/>
    <w:rsid w:val="16D100EC"/>
    <w:rsid w:val="16D54F1A"/>
    <w:rsid w:val="16D66648"/>
    <w:rsid w:val="16D76A65"/>
    <w:rsid w:val="16D927DD"/>
    <w:rsid w:val="16DA5024"/>
    <w:rsid w:val="16DA6555"/>
    <w:rsid w:val="16E010B9"/>
    <w:rsid w:val="16E134C2"/>
    <w:rsid w:val="16E15B36"/>
    <w:rsid w:val="16E35FEA"/>
    <w:rsid w:val="16E46522"/>
    <w:rsid w:val="16E51236"/>
    <w:rsid w:val="16E55626"/>
    <w:rsid w:val="16E8461F"/>
    <w:rsid w:val="16EF3DAF"/>
    <w:rsid w:val="16EF3ED6"/>
    <w:rsid w:val="16F31E2E"/>
    <w:rsid w:val="16F36E8B"/>
    <w:rsid w:val="16F403B7"/>
    <w:rsid w:val="16F8308C"/>
    <w:rsid w:val="16FA2753"/>
    <w:rsid w:val="16FB6330"/>
    <w:rsid w:val="16FC0310"/>
    <w:rsid w:val="16FE3FF2"/>
    <w:rsid w:val="1702117E"/>
    <w:rsid w:val="17024222"/>
    <w:rsid w:val="17032801"/>
    <w:rsid w:val="17043D27"/>
    <w:rsid w:val="17046831"/>
    <w:rsid w:val="170533EF"/>
    <w:rsid w:val="170539A1"/>
    <w:rsid w:val="1706559C"/>
    <w:rsid w:val="17074EF8"/>
    <w:rsid w:val="170E11DF"/>
    <w:rsid w:val="17113173"/>
    <w:rsid w:val="17127B91"/>
    <w:rsid w:val="1715758D"/>
    <w:rsid w:val="1717110E"/>
    <w:rsid w:val="171A2ED2"/>
    <w:rsid w:val="171A4BD2"/>
    <w:rsid w:val="171C0E58"/>
    <w:rsid w:val="171D6872"/>
    <w:rsid w:val="17212ADD"/>
    <w:rsid w:val="172647A2"/>
    <w:rsid w:val="1726591C"/>
    <w:rsid w:val="17273DE1"/>
    <w:rsid w:val="17283E87"/>
    <w:rsid w:val="172A4B69"/>
    <w:rsid w:val="172B6DB1"/>
    <w:rsid w:val="172C134C"/>
    <w:rsid w:val="172C5B69"/>
    <w:rsid w:val="172E4660"/>
    <w:rsid w:val="1731216D"/>
    <w:rsid w:val="1734173A"/>
    <w:rsid w:val="17355576"/>
    <w:rsid w:val="173758EE"/>
    <w:rsid w:val="1738302C"/>
    <w:rsid w:val="173927D1"/>
    <w:rsid w:val="173A42AC"/>
    <w:rsid w:val="173B26B7"/>
    <w:rsid w:val="173B373C"/>
    <w:rsid w:val="173C29A9"/>
    <w:rsid w:val="173C4D24"/>
    <w:rsid w:val="173E53BE"/>
    <w:rsid w:val="174115CC"/>
    <w:rsid w:val="174340FA"/>
    <w:rsid w:val="17443A90"/>
    <w:rsid w:val="17456618"/>
    <w:rsid w:val="17465ACA"/>
    <w:rsid w:val="17480CAB"/>
    <w:rsid w:val="17493D72"/>
    <w:rsid w:val="174B0750"/>
    <w:rsid w:val="174C06B5"/>
    <w:rsid w:val="174D6F00"/>
    <w:rsid w:val="17504571"/>
    <w:rsid w:val="17507F5D"/>
    <w:rsid w:val="17512A48"/>
    <w:rsid w:val="175426D6"/>
    <w:rsid w:val="17560B48"/>
    <w:rsid w:val="17571997"/>
    <w:rsid w:val="175B590F"/>
    <w:rsid w:val="175B6422"/>
    <w:rsid w:val="175C21B7"/>
    <w:rsid w:val="175C50B3"/>
    <w:rsid w:val="175D3AB3"/>
    <w:rsid w:val="17630700"/>
    <w:rsid w:val="1763113E"/>
    <w:rsid w:val="1765348C"/>
    <w:rsid w:val="176815D2"/>
    <w:rsid w:val="17681DB3"/>
    <w:rsid w:val="17692CEE"/>
    <w:rsid w:val="17693CFC"/>
    <w:rsid w:val="176944B9"/>
    <w:rsid w:val="17694CCB"/>
    <w:rsid w:val="176A71DF"/>
    <w:rsid w:val="176E561B"/>
    <w:rsid w:val="17721C35"/>
    <w:rsid w:val="177775EE"/>
    <w:rsid w:val="17780248"/>
    <w:rsid w:val="177B09A3"/>
    <w:rsid w:val="177D3433"/>
    <w:rsid w:val="177E15D6"/>
    <w:rsid w:val="17815ABA"/>
    <w:rsid w:val="17854227"/>
    <w:rsid w:val="17911B3C"/>
    <w:rsid w:val="179563F9"/>
    <w:rsid w:val="179630D4"/>
    <w:rsid w:val="1797497F"/>
    <w:rsid w:val="179A2D19"/>
    <w:rsid w:val="179A2D20"/>
    <w:rsid w:val="179D54CA"/>
    <w:rsid w:val="17A0584A"/>
    <w:rsid w:val="17A252C5"/>
    <w:rsid w:val="17A26C20"/>
    <w:rsid w:val="17A40418"/>
    <w:rsid w:val="17A66BBC"/>
    <w:rsid w:val="17A728DB"/>
    <w:rsid w:val="17AD5A18"/>
    <w:rsid w:val="17AE15BA"/>
    <w:rsid w:val="17AE1CD5"/>
    <w:rsid w:val="17AF4615"/>
    <w:rsid w:val="17B524F6"/>
    <w:rsid w:val="17B56E5D"/>
    <w:rsid w:val="17B80EF7"/>
    <w:rsid w:val="17BB1662"/>
    <w:rsid w:val="17C01E48"/>
    <w:rsid w:val="17C060B9"/>
    <w:rsid w:val="17C21281"/>
    <w:rsid w:val="17C87FFF"/>
    <w:rsid w:val="17C9382F"/>
    <w:rsid w:val="17CC2342"/>
    <w:rsid w:val="17CD14B2"/>
    <w:rsid w:val="17CD1C16"/>
    <w:rsid w:val="17CE7E68"/>
    <w:rsid w:val="17CF198A"/>
    <w:rsid w:val="17D279A0"/>
    <w:rsid w:val="17D3735B"/>
    <w:rsid w:val="17D5644E"/>
    <w:rsid w:val="17D710CE"/>
    <w:rsid w:val="17DB0AB2"/>
    <w:rsid w:val="17DD4930"/>
    <w:rsid w:val="17DE43D7"/>
    <w:rsid w:val="17DF3192"/>
    <w:rsid w:val="17E25BDA"/>
    <w:rsid w:val="17E416D6"/>
    <w:rsid w:val="17EE38C1"/>
    <w:rsid w:val="17F047E8"/>
    <w:rsid w:val="17F04CCD"/>
    <w:rsid w:val="17F16308"/>
    <w:rsid w:val="17F21984"/>
    <w:rsid w:val="17F40D78"/>
    <w:rsid w:val="17F4110C"/>
    <w:rsid w:val="17F56204"/>
    <w:rsid w:val="17F94C16"/>
    <w:rsid w:val="17FE2B80"/>
    <w:rsid w:val="17FE618D"/>
    <w:rsid w:val="1800005E"/>
    <w:rsid w:val="18011CA3"/>
    <w:rsid w:val="1802187A"/>
    <w:rsid w:val="18036271"/>
    <w:rsid w:val="18041376"/>
    <w:rsid w:val="18047AA2"/>
    <w:rsid w:val="18073E35"/>
    <w:rsid w:val="18074364"/>
    <w:rsid w:val="180933D0"/>
    <w:rsid w:val="180979F1"/>
    <w:rsid w:val="180C6BE2"/>
    <w:rsid w:val="180D6E49"/>
    <w:rsid w:val="180E4708"/>
    <w:rsid w:val="180F2A24"/>
    <w:rsid w:val="18106A2C"/>
    <w:rsid w:val="181234EC"/>
    <w:rsid w:val="1815111E"/>
    <w:rsid w:val="18171961"/>
    <w:rsid w:val="18177F93"/>
    <w:rsid w:val="181A365F"/>
    <w:rsid w:val="181B0BD3"/>
    <w:rsid w:val="181C0CF2"/>
    <w:rsid w:val="181C6EA2"/>
    <w:rsid w:val="181D3DDE"/>
    <w:rsid w:val="181F226C"/>
    <w:rsid w:val="18204577"/>
    <w:rsid w:val="1821563E"/>
    <w:rsid w:val="1823117B"/>
    <w:rsid w:val="1824649D"/>
    <w:rsid w:val="18270000"/>
    <w:rsid w:val="182776D8"/>
    <w:rsid w:val="18281A79"/>
    <w:rsid w:val="18294E20"/>
    <w:rsid w:val="182C1565"/>
    <w:rsid w:val="182C3E14"/>
    <w:rsid w:val="18306656"/>
    <w:rsid w:val="183103E3"/>
    <w:rsid w:val="18322661"/>
    <w:rsid w:val="183232F4"/>
    <w:rsid w:val="18327168"/>
    <w:rsid w:val="18372CF5"/>
    <w:rsid w:val="18372E35"/>
    <w:rsid w:val="18376532"/>
    <w:rsid w:val="18382A9C"/>
    <w:rsid w:val="183A72AB"/>
    <w:rsid w:val="183C2E16"/>
    <w:rsid w:val="183D0F90"/>
    <w:rsid w:val="1840126B"/>
    <w:rsid w:val="18402764"/>
    <w:rsid w:val="184324FF"/>
    <w:rsid w:val="184333BD"/>
    <w:rsid w:val="18447754"/>
    <w:rsid w:val="184778B7"/>
    <w:rsid w:val="18494731"/>
    <w:rsid w:val="184A5501"/>
    <w:rsid w:val="184C034D"/>
    <w:rsid w:val="185448A8"/>
    <w:rsid w:val="1854750B"/>
    <w:rsid w:val="185540E5"/>
    <w:rsid w:val="18567985"/>
    <w:rsid w:val="18570252"/>
    <w:rsid w:val="18570780"/>
    <w:rsid w:val="18585984"/>
    <w:rsid w:val="18590412"/>
    <w:rsid w:val="18590A44"/>
    <w:rsid w:val="185F0E4A"/>
    <w:rsid w:val="185F2B8B"/>
    <w:rsid w:val="18641892"/>
    <w:rsid w:val="186500A0"/>
    <w:rsid w:val="1867215B"/>
    <w:rsid w:val="18683816"/>
    <w:rsid w:val="186A0F86"/>
    <w:rsid w:val="186C0EBB"/>
    <w:rsid w:val="186E5216"/>
    <w:rsid w:val="186E52C3"/>
    <w:rsid w:val="18700EB0"/>
    <w:rsid w:val="1870270E"/>
    <w:rsid w:val="18704E03"/>
    <w:rsid w:val="18707171"/>
    <w:rsid w:val="1875714E"/>
    <w:rsid w:val="18757419"/>
    <w:rsid w:val="18782DA2"/>
    <w:rsid w:val="18787ABC"/>
    <w:rsid w:val="187A4FD6"/>
    <w:rsid w:val="187B27A1"/>
    <w:rsid w:val="187B576B"/>
    <w:rsid w:val="187C0195"/>
    <w:rsid w:val="187C37EC"/>
    <w:rsid w:val="187E4911"/>
    <w:rsid w:val="18830052"/>
    <w:rsid w:val="18831176"/>
    <w:rsid w:val="18895623"/>
    <w:rsid w:val="188A282C"/>
    <w:rsid w:val="188F3F31"/>
    <w:rsid w:val="188F7BDD"/>
    <w:rsid w:val="189032A3"/>
    <w:rsid w:val="18903970"/>
    <w:rsid w:val="18904BA3"/>
    <w:rsid w:val="18911210"/>
    <w:rsid w:val="1892730C"/>
    <w:rsid w:val="18940035"/>
    <w:rsid w:val="189425EB"/>
    <w:rsid w:val="18956641"/>
    <w:rsid w:val="18965052"/>
    <w:rsid w:val="18966F30"/>
    <w:rsid w:val="18972950"/>
    <w:rsid w:val="18983324"/>
    <w:rsid w:val="18985349"/>
    <w:rsid w:val="18991FA2"/>
    <w:rsid w:val="189978DE"/>
    <w:rsid w:val="189B146D"/>
    <w:rsid w:val="189C0710"/>
    <w:rsid w:val="189C3C33"/>
    <w:rsid w:val="189C7934"/>
    <w:rsid w:val="189E6096"/>
    <w:rsid w:val="18A037D1"/>
    <w:rsid w:val="18A04DD9"/>
    <w:rsid w:val="18A6410C"/>
    <w:rsid w:val="18A70FAF"/>
    <w:rsid w:val="18A74318"/>
    <w:rsid w:val="18AB3DA1"/>
    <w:rsid w:val="18AC15AA"/>
    <w:rsid w:val="18B2249B"/>
    <w:rsid w:val="18B266E5"/>
    <w:rsid w:val="18B2778A"/>
    <w:rsid w:val="18B30472"/>
    <w:rsid w:val="18B71EBF"/>
    <w:rsid w:val="18B76B4E"/>
    <w:rsid w:val="18B82F51"/>
    <w:rsid w:val="18B9233C"/>
    <w:rsid w:val="18BC4904"/>
    <w:rsid w:val="18BC6EEB"/>
    <w:rsid w:val="18BE4822"/>
    <w:rsid w:val="18BF4A78"/>
    <w:rsid w:val="18BF60DA"/>
    <w:rsid w:val="18BF7381"/>
    <w:rsid w:val="18C112C4"/>
    <w:rsid w:val="18C232C6"/>
    <w:rsid w:val="18C411C2"/>
    <w:rsid w:val="18C922B6"/>
    <w:rsid w:val="18CD2D15"/>
    <w:rsid w:val="18D22F1C"/>
    <w:rsid w:val="18D23241"/>
    <w:rsid w:val="18D64DA3"/>
    <w:rsid w:val="18D6718F"/>
    <w:rsid w:val="18D86F6D"/>
    <w:rsid w:val="18DA66B4"/>
    <w:rsid w:val="18E15276"/>
    <w:rsid w:val="18E32BD3"/>
    <w:rsid w:val="18E433EF"/>
    <w:rsid w:val="18E500A1"/>
    <w:rsid w:val="18EE1E59"/>
    <w:rsid w:val="18F12E1C"/>
    <w:rsid w:val="18FA4EEE"/>
    <w:rsid w:val="18FB2651"/>
    <w:rsid w:val="18FD0C1D"/>
    <w:rsid w:val="18FE6311"/>
    <w:rsid w:val="19051CB5"/>
    <w:rsid w:val="19060411"/>
    <w:rsid w:val="1909734F"/>
    <w:rsid w:val="190A06E1"/>
    <w:rsid w:val="190A1B29"/>
    <w:rsid w:val="19102D28"/>
    <w:rsid w:val="19150B5E"/>
    <w:rsid w:val="1916280B"/>
    <w:rsid w:val="19196711"/>
    <w:rsid w:val="19197772"/>
    <w:rsid w:val="19197809"/>
    <w:rsid w:val="191B0C29"/>
    <w:rsid w:val="191B78FF"/>
    <w:rsid w:val="191C2E55"/>
    <w:rsid w:val="19200CB3"/>
    <w:rsid w:val="192341E3"/>
    <w:rsid w:val="19246339"/>
    <w:rsid w:val="19252E28"/>
    <w:rsid w:val="192A144A"/>
    <w:rsid w:val="192A5572"/>
    <w:rsid w:val="19320529"/>
    <w:rsid w:val="193208CA"/>
    <w:rsid w:val="19335404"/>
    <w:rsid w:val="1936453E"/>
    <w:rsid w:val="19383A4E"/>
    <w:rsid w:val="19385B2A"/>
    <w:rsid w:val="19391E1C"/>
    <w:rsid w:val="193957B5"/>
    <w:rsid w:val="193C424D"/>
    <w:rsid w:val="193E726F"/>
    <w:rsid w:val="19435EEC"/>
    <w:rsid w:val="19477ADA"/>
    <w:rsid w:val="19485262"/>
    <w:rsid w:val="194A49D4"/>
    <w:rsid w:val="194C103D"/>
    <w:rsid w:val="194D6B7F"/>
    <w:rsid w:val="194E497A"/>
    <w:rsid w:val="194E65FF"/>
    <w:rsid w:val="194F74BE"/>
    <w:rsid w:val="19523DD8"/>
    <w:rsid w:val="19530808"/>
    <w:rsid w:val="19547150"/>
    <w:rsid w:val="19550115"/>
    <w:rsid w:val="19551C57"/>
    <w:rsid w:val="195828E7"/>
    <w:rsid w:val="195A1473"/>
    <w:rsid w:val="195A3214"/>
    <w:rsid w:val="195E6456"/>
    <w:rsid w:val="19613C74"/>
    <w:rsid w:val="196318ED"/>
    <w:rsid w:val="196343E2"/>
    <w:rsid w:val="19657156"/>
    <w:rsid w:val="19670574"/>
    <w:rsid w:val="196728D0"/>
    <w:rsid w:val="19692B3B"/>
    <w:rsid w:val="196D545F"/>
    <w:rsid w:val="196F7EE7"/>
    <w:rsid w:val="19775DB0"/>
    <w:rsid w:val="197762DD"/>
    <w:rsid w:val="1978162D"/>
    <w:rsid w:val="197829A5"/>
    <w:rsid w:val="197A688E"/>
    <w:rsid w:val="19812BDF"/>
    <w:rsid w:val="19895473"/>
    <w:rsid w:val="198A0E49"/>
    <w:rsid w:val="198A4786"/>
    <w:rsid w:val="198C1D89"/>
    <w:rsid w:val="198C5C2D"/>
    <w:rsid w:val="198E2270"/>
    <w:rsid w:val="198E3045"/>
    <w:rsid w:val="19987C96"/>
    <w:rsid w:val="199B019A"/>
    <w:rsid w:val="199D7BE5"/>
    <w:rsid w:val="199E4FDA"/>
    <w:rsid w:val="199E7767"/>
    <w:rsid w:val="19A156DE"/>
    <w:rsid w:val="19A201B5"/>
    <w:rsid w:val="19A332DC"/>
    <w:rsid w:val="19A407FA"/>
    <w:rsid w:val="19A557AF"/>
    <w:rsid w:val="19A828FB"/>
    <w:rsid w:val="19A86430"/>
    <w:rsid w:val="19A9394D"/>
    <w:rsid w:val="19A95DA6"/>
    <w:rsid w:val="19A95E1C"/>
    <w:rsid w:val="19AA2DAE"/>
    <w:rsid w:val="19B7157C"/>
    <w:rsid w:val="19BB436A"/>
    <w:rsid w:val="19BD38CA"/>
    <w:rsid w:val="19BF2DF7"/>
    <w:rsid w:val="19C21CCC"/>
    <w:rsid w:val="19C22FCB"/>
    <w:rsid w:val="19C232BC"/>
    <w:rsid w:val="19C36037"/>
    <w:rsid w:val="19C505A8"/>
    <w:rsid w:val="19C5642A"/>
    <w:rsid w:val="19C8209A"/>
    <w:rsid w:val="19CB4BE3"/>
    <w:rsid w:val="19CD6CFD"/>
    <w:rsid w:val="19D16BBD"/>
    <w:rsid w:val="19D91616"/>
    <w:rsid w:val="19DB4FC8"/>
    <w:rsid w:val="19DC5B70"/>
    <w:rsid w:val="19DE3FA9"/>
    <w:rsid w:val="19E005E7"/>
    <w:rsid w:val="19E00846"/>
    <w:rsid w:val="19E03B10"/>
    <w:rsid w:val="19E14D75"/>
    <w:rsid w:val="19E263F5"/>
    <w:rsid w:val="19EA6550"/>
    <w:rsid w:val="19EC5BA7"/>
    <w:rsid w:val="19F02C52"/>
    <w:rsid w:val="19F11B87"/>
    <w:rsid w:val="19F16838"/>
    <w:rsid w:val="19F519C0"/>
    <w:rsid w:val="19F804DB"/>
    <w:rsid w:val="19FB6926"/>
    <w:rsid w:val="19FF32E9"/>
    <w:rsid w:val="19FF4C56"/>
    <w:rsid w:val="19FF7E4F"/>
    <w:rsid w:val="1A013134"/>
    <w:rsid w:val="1A022A24"/>
    <w:rsid w:val="1A032E11"/>
    <w:rsid w:val="1A034896"/>
    <w:rsid w:val="1A095DCD"/>
    <w:rsid w:val="1A0D24BA"/>
    <w:rsid w:val="1A0D33F9"/>
    <w:rsid w:val="1A1419DB"/>
    <w:rsid w:val="1A156316"/>
    <w:rsid w:val="1A16345F"/>
    <w:rsid w:val="1A1B70EC"/>
    <w:rsid w:val="1A1F0E4F"/>
    <w:rsid w:val="1A203609"/>
    <w:rsid w:val="1A2102C8"/>
    <w:rsid w:val="1A227C2B"/>
    <w:rsid w:val="1A2312CA"/>
    <w:rsid w:val="1A240F08"/>
    <w:rsid w:val="1A27514B"/>
    <w:rsid w:val="1A291331"/>
    <w:rsid w:val="1A2C356C"/>
    <w:rsid w:val="1A31645D"/>
    <w:rsid w:val="1A3348FA"/>
    <w:rsid w:val="1A3464FF"/>
    <w:rsid w:val="1A3502C9"/>
    <w:rsid w:val="1A370BCA"/>
    <w:rsid w:val="1A381F10"/>
    <w:rsid w:val="1A3926E3"/>
    <w:rsid w:val="1A396F41"/>
    <w:rsid w:val="1A3A701D"/>
    <w:rsid w:val="1A3B4C67"/>
    <w:rsid w:val="1A3B4EA6"/>
    <w:rsid w:val="1A3F329F"/>
    <w:rsid w:val="1A404921"/>
    <w:rsid w:val="1A413614"/>
    <w:rsid w:val="1A43014F"/>
    <w:rsid w:val="1A456BD7"/>
    <w:rsid w:val="1A467F2D"/>
    <w:rsid w:val="1A467FC3"/>
    <w:rsid w:val="1A475600"/>
    <w:rsid w:val="1A48055E"/>
    <w:rsid w:val="1A481658"/>
    <w:rsid w:val="1A512287"/>
    <w:rsid w:val="1A53452D"/>
    <w:rsid w:val="1A580C7C"/>
    <w:rsid w:val="1A58610F"/>
    <w:rsid w:val="1A5B175B"/>
    <w:rsid w:val="1A5B18DA"/>
    <w:rsid w:val="1A5B5FB6"/>
    <w:rsid w:val="1A5C6A11"/>
    <w:rsid w:val="1A5D54D3"/>
    <w:rsid w:val="1A5E4D9F"/>
    <w:rsid w:val="1A626BC5"/>
    <w:rsid w:val="1A641C77"/>
    <w:rsid w:val="1A66219E"/>
    <w:rsid w:val="1A6918D7"/>
    <w:rsid w:val="1A6925B0"/>
    <w:rsid w:val="1A6A6D65"/>
    <w:rsid w:val="1A6B07CE"/>
    <w:rsid w:val="1A6B7461"/>
    <w:rsid w:val="1A6D131F"/>
    <w:rsid w:val="1A701364"/>
    <w:rsid w:val="1A705484"/>
    <w:rsid w:val="1A742023"/>
    <w:rsid w:val="1A790394"/>
    <w:rsid w:val="1A7B191A"/>
    <w:rsid w:val="1A7B1CF9"/>
    <w:rsid w:val="1A7C4248"/>
    <w:rsid w:val="1A7C71FE"/>
    <w:rsid w:val="1A7E1AE6"/>
    <w:rsid w:val="1A7F02FD"/>
    <w:rsid w:val="1A801E51"/>
    <w:rsid w:val="1A832E60"/>
    <w:rsid w:val="1A841FDD"/>
    <w:rsid w:val="1A846F04"/>
    <w:rsid w:val="1A853304"/>
    <w:rsid w:val="1A857E11"/>
    <w:rsid w:val="1A862C7C"/>
    <w:rsid w:val="1A892204"/>
    <w:rsid w:val="1A8A4B8E"/>
    <w:rsid w:val="1A8A533F"/>
    <w:rsid w:val="1A8B657F"/>
    <w:rsid w:val="1A8C119A"/>
    <w:rsid w:val="1A8D3F8A"/>
    <w:rsid w:val="1A8D7497"/>
    <w:rsid w:val="1A8F1503"/>
    <w:rsid w:val="1A8F4259"/>
    <w:rsid w:val="1A9040CB"/>
    <w:rsid w:val="1A925FD9"/>
    <w:rsid w:val="1A930EF5"/>
    <w:rsid w:val="1A935966"/>
    <w:rsid w:val="1A950190"/>
    <w:rsid w:val="1A98490D"/>
    <w:rsid w:val="1A996E64"/>
    <w:rsid w:val="1A9A0910"/>
    <w:rsid w:val="1A9A343B"/>
    <w:rsid w:val="1A9B0A48"/>
    <w:rsid w:val="1A9B1437"/>
    <w:rsid w:val="1A9B40F4"/>
    <w:rsid w:val="1A9C2189"/>
    <w:rsid w:val="1A9D50FD"/>
    <w:rsid w:val="1A9D7B45"/>
    <w:rsid w:val="1A9F2300"/>
    <w:rsid w:val="1AA366C3"/>
    <w:rsid w:val="1AA61630"/>
    <w:rsid w:val="1AA83A5C"/>
    <w:rsid w:val="1AA841E8"/>
    <w:rsid w:val="1AA92545"/>
    <w:rsid w:val="1AA955C0"/>
    <w:rsid w:val="1AAC0082"/>
    <w:rsid w:val="1AAD3B84"/>
    <w:rsid w:val="1AAE0E96"/>
    <w:rsid w:val="1AB14970"/>
    <w:rsid w:val="1AB230F7"/>
    <w:rsid w:val="1AB24738"/>
    <w:rsid w:val="1AB4387B"/>
    <w:rsid w:val="1AB45AE3"/>
    <w:rsid w:val="1AB46597"/>
    <w:rsid w:val="1AB468C1"/>
    <w:rsid w:val="1AB74A25"/>
    <w:rsid w:val="1ABA5F3E"/>
    <w:rsid w:val="1ABB5942"/>
    <w:rsid w:val="1ABC7365"/>
    <w:rsid w:val="1ABE3F9A"/>
    <w:rsid w:val="1AC10126"/>
    <w:rsid w:val="1AC10EF9"/>
    <w:rsid w:val="1AC53F84"/>
    <w:rsid w:val="1AC76427"/>
    <w:rsid w:val="1AD10055"/>
    <w:rsid w:val="1AD209CC"/>
    <w:rsid w:val="1AD76961"/>
    <w:rsid w:val="1AD852DC"/>
    <w:rsid w:val="1ADA4D76"/>
    <w:rsid w:val="1ADD2413"/>
    <w:rsid w:val="1ADF05DE"/>
    <w:rsid w:val="1AE20153"/>
    <w:rsid w:val="1AE67E00"/>
    <w:rsid w:val="1AE717FA"/>
    <w:rsid w:val="1AE856E5"/>
    <w:rsid w:val="1AE9220B"/>
    <w:rsid w:val="1AEB624F"/>
    <w:rsid w:val="1AEC63AF"/>
    <w:rsid w:val="1AED4279"/>
    <w:rsid w:val="1AF21695"/>
    <w:rsid w:val="1AF31AFA"/>
    <w:rsid w:val="1AF37582"/>
    <w:rsid w:val="1AF51BB0"/>
    <w:rsid w:val="1AF666DD"/>
    <w:rsid w:val="1AFA6897"/>
    <w:rsid w:val="1AFC4F54"/>
    <w:rsid w:val="1AFD3A58"/>
    <w:rsid w:val="1AFE0D7D"/>
    <w:rsid w:val="1AFE6061"/>
    <w:rsid w:val="1AFF221A"/>
    <w:rsid w:val="1B032B70"/>
    <w:rsid w:val="1B075A0D"/>
    <w:rsid w:val="1B0771E7"/>
    <w:rsid w:val="1B0857BE"/>
    <w:rsid w:val="1B0A1A51"/>
    <w:rsid w:val="1B0C46FD"/>
    <w:rsid w:val="1B0E2C71"/>
    <w:rsid w:val="1B0F2DDF"/>
    <w:rsid w:val="1B0F309E"/>
    <w:rsid w:val="1B0F7E4E"/>
    <w:rsid w:val="1B10006E"/>
    <w:rsid w:val="1B122762"/>
    <w:rsid w:val="1B124510"/>
    <w:rsid w:val="1B136D58"/>
    <w:rsid w:val="1B1A7B1B"/>
    <w:rsid w:val="1B1B6A10"/>
    <w:rsid w:val="1B1C3DF4"/>
    <w:rsid w:val="1B1C7C8A"/>
    <w:rsid w:val="1B1D0044"/>
    <w:rsid w:val="1B207015"/>
    <w:rsid w:val="1B225A67"/>
    <w:rsid w:val="1B227264"/>
    <w:rsid w:val="1B236D0C"/>
    <w:rsid w:val="1B265E26"/>
    <w:rsid w:val="1B2C14EF"/>
    <w:rsid w:val="1B2C2C2E"/>
    <w:rsid w:val="1B2C700B"/>
    <w:rsid w:val="1B2F0BAA"/>
    <w:rsid w:val="1B2F5A70"/>
    <w:rsid w:val="1B2F716F"/>
    <w:rsid w:val="1B2F7DBA"/>
    <w:rsid w:val="1B3055A6"/>
    <w:rsid w:val="1B3B3D8B"/>
    <w:rsid w:val="1B4043BC"/>
    <w:rsid w:val="1B44628D"/>
    <w:rsid w:val="1B454CEB"/>
    <w:rsid w:val="1B456A48"/>
    <w:rsid w:val="1B4A060F"/>
    <w:rsid w:val="1B4C465B"/>
    <w:rsid w:val="1B4D0CDC"/>
    <w:rsid w:val="1B545645"/>
    <w:rsid w:val="1B574120"/>
    <w:rsid w:val="1B576446"/>
    <w:rsid w:val="1B616A57"/>
    <w:rsid w:val="1B630B00"/>
    <w:rsid w:val="1B663E4F"/>
    <w:rsid w:val="1B666E0F"/>
    <w:rsid w:val="1B67003A"/>
    <w:rsid w:val="1B696ADA"/>
    <w:rsid w:val="1B6D1B9A"/>
    <w:rsid w:val="1B6E0E95"/>
    <w:rsid w:val="1B6F604F"/>
    <w:rsid w:val="1B7065B9"/>
    <w:rsid w:val="1B715101"/>
    <w:rsid w:val="1B7156DA"/>
    <w:rsid w:val="1B71710F"/>
    <w:rsid w:val="1B7419BA"/>
    <w:rsid w:val="1B786987"/>
    <w:rsid w:val="1B787A45"/>
    <w:rsid w:val="1B791EF7"/>
    <w:rsid w:val="1B79618B"/>
    <w:rsid w:val="1B7A4E52"/>
    <w:rsid w:val="1B7A6F37"/>
    <w:rsid w:val="1B7B1F74"/>
    <w:rsid w:val="1B7B51E9"/>
    <w:rsid w:val="1B7F088A"/>
    <w:rsid w:val="1B7F088E"/>
    <w:rsid w:val="1B8C4094"/>
    <w:rsid w:val="1B8C49B5"/>
    <w:rsid w:val="1B8F4C9C"/>
    <w:rsid w:val="1B90013A"/>
    <w:rsid w:val="1B9079BF"/>
    <w:rsid w:val="1B914131"/>
    <w:rsid w:val="1B923E93"/>
    <w:rsid w:val="1B932104"/>
    <w:rsid w:val="1B9863A5"/>
    <w:rsid w:val="1B987AAC"/>
    <w:rsid w:val="1B9C53D7"/>
    <w:rsid w:val="1B9D7EA2"/>
    <w:rsid w:val="1B9F6266"/>
    <w:rsid w:val="1BA06301"/>
    <w:rsid w:val="1BA21902"/>
    <w:rsid w:val="1BA23AEC"/>
    <w:rsid w:val="1BA2648A"/>
    <w:rsid w:val="1BA942AD"/>
    <w:rsid w:val="1BAD5E32"/>
    <w:rsid w:val="1BAE60D9"/>
    <w:rsid w:val="1BAF620C"/>
    <w:rsid w:val="1BB3087F"/>
    <w:rsid w:val="1BBA4C5D"/>
    <w:rsid w:val="1BBC26CD"/>
    <w:rsid w:val="1BBE13DE"/>
    <w:rsid w:val="1BC10D18"/>
    <w:rsid w:val="1BCA3871"/>
    <w:rsid w:val="1BCC00F3"/>
    <w:rsid w:val="1BCC283C"/>
    <w:rsid w:val="1BCD4640"/>
    <w:rsid w:val="1BD042EF"/>
    <w:rsid w:val="1BD17C91"/>
    <w:rsid w:val="1BD2272B"/>
    <w:rsid w:val="1BD34784"/>
    <w:rsid w:val="1BD46D63"/>
    <w:rsid w:val="1BD522B1"/>
    <w:rsid w:val="1BD5330A"/>
    <w:rsid w:val="1BD6478D"/>
    <w:rsid w:val="1BD772E3"/>
    <w:rsid w:val="1BD8659F"/>
    <w:rsid w:val="1BDA74AC"/>
    <w:rsid w:val="1BDA74E2"/>
    <w:rsid w:val="1BDC16F7"/>
    <w:rsid w:val="1BDE3269"/>
    <w:rsid w:val="1BE0016A"/>
    <w:rsid w:val="1BE04BE7"/>
    <w:rsid w:val="1BE34461"/>
    <w:rsid w:val="1BE95683"/>
    <w:rsid w:val="1BED2833"/>
    <w:rsid w:val="1BEF65FF"/>
    <w:rsid w:val="1BF12493"/>
    <w:rsid w:val="1BF36DFC"/>
    <w:rsid w:val="1BF61F3C"/>
    <w:rsid w:val="1BF730C8"/>
    <w:rsid w:val="1BF7372F"/>
    <w:rsid w:val="1BF8493F"/>
    <w:rsid w:val="1BF9747E"/>
    <w:rsid w:val="1BFC6C81"/>
    <w:rsid w:val="1BFE7F99"/>
    <w:rsid w:val="1C02478B"/>
    <w:rsid w:val="1C046842"/>
    <w:rsid w:val="1C054074"/>
    <w:rsid w:val="1C055104"/>
    <w:rsid w:val="1C0D55A8"/>
    <w:rsid w:val="1C1364AA"/>
    <w:rsid w:val="1C14490B"/>
    <w:rsid w:val="1C1B05A4"/>
    <w:rsid w:val="1C2024A8"/>
    <w:rsid w:val="1C2271E7"/>
    <w:rsid w:val="1C232EF1"/>
    <w:rsid w:val="1C23763F"/>
    <w:rsid w:val="1C252CBA"/>
    <w:rsid w:val="1C2A278D"/>
    <w:rsid w:val="1C2B0EBC"/>
    <w:rsid w:val="1C2B2A07"/>
    <w:rsid w:val="1C2B3CB9"/>
    <w:rsid w:val="1C2C087D"/>
    <w:rsid w:val="1C2D1204"/>
    <w:rsid w:val="1C310935"/>
    <w:rsid w:val="1C31120B"/>
    <w:rsid w:val="1C332BD1"/>
    <w:rsid w:val="1C3B1E84"/>
    <w:rsid w:val="1C3C0983"/>
    <w:rsid w:val="1C3F7736"/>
    <w:rsid w:val="1C422BD3"/>
    <w:rsid w:val="1C437D64"/>
    <w:rsid w:val="1C4426EE"/>
    <w:rsid w:val="1C4F3767"/>
    <w:rsid w:val="1C544189"/>
    <w:rsid w:val="1C555922"/>
    <w:rsid w:val="1C573903"/>
    <w:rsid w:val="1C586CFB"/>
    <w:rsid w:val="1C5A24AB"/>
    <w:rsid w:val="1C602F08"/>
    <w:rsid w:val="1C60776B"/>
    <w:rsid w:val="1C626685"/>
    <w:rsid w:val="1C630E1C"/>
    <w:rsid w:val="1C640ECC"/>
    <w:rsid w:val="1C6509A5"/>
    <w:rsid w:val="1C6535C0"/>
    <w:rsid w:val="1C6545FA"/>
    <w:rsid w:val="1C666260"/>
    <w:rsid w:val="1C6841CC"/>
    <w:rsid w:val="1C6D093A"/>
    <w:rsid w:val="1C6E7E6B"/>
    <w:rsid w:val="1C7134B8"/>
    <w:rsid w:val="1C717AD9"/>
    <w:rsid w:val="1C726EE0"/>
    <w:rsid w:val="1C72752A"/>
    <w:rsid w:val="1C755CDE"/>
    <w:rsid w:val="1C7A05BE"/>
    <w:rsid w:val="1C7D2DE2"/>
    <w:rsid w:val="1C7F5BD1"/>
    <w:rsid w:val="1C835B03"/>
    <w:rsid w:val="1C871AAC"/>
    <w:rsid w:val="1C890801"/>
    <w:rsid w:val="1C8B6CAA"/>
    <w:rsid w:val="1C8D1CBE"/>
    <w:rsid w:val="1C901B90"/>
    <w:rsid w:val="1C9261F9"/>
    <w:rsid w:val="1C966BB1"/>
    <w:rsid w:val="1C9C49DE"/>
    <w:rsid w:val="1C9C6D7B"/>
    <w:rsid w:val="1C9F608B"/>
    <w:rsid w:val="1CA15AAB"/>
    <w:rsid w:val="1CA235F4"/>
    <w:rsid w:val="1CA27F14"/>
    <w:rsid w:val="1CA442AB"/>
    <w:rsid w:val="1CA613B3"/>
    <w:rsid w:val="1CA67605"/>
    <w:rsid w:val="1CA847C9"/>
    <w:rsid w:val="1CA875A4"/>
    <w:rsid w:val="1CA9338C"/>
    <w:rsid w:val="1CA946D0"/>
    <w:rsid w:val="1CAD4543"/>
    <w:rsid w:val="1CB34025"/>
    <w:rsid w:val="1CB637D1"/>
    <w:rsid w:val="1CB741A3"/>
    <w:rsid w:val="1CBB3541"/>
    <w:rsid w:val="1CBE5F5A"/>
    <w:rsid w:val="1CBF3A30"/>
    <w:rsid w:val="1CC443C6"/>
    <w:rsid w:val="1CC61A56"/>
    <w:rsid w:val="1CC91200"/>
    <w:rsid w:val="1CCB0452"/>
    <w:rsid w:val="1CCB4CAC"/>
    <w:rsid w:val="1CCB56CB"/>
    <w:rsid w:val="1CCE0875"/>
    <w:rsid w:val="1CCE5DBB"/>
    <w:rsid w:val="1CCF0278"/>
    <w:rsid w:val="1CCF28AB"/>
    <w:rsid w:val="1CD272EB"/>
    <w:rsid w:val="1CD4189E"/>
    <w:rsid w:val="1CD85AC8"/>
    <w:rsid w:val="1CD952BA"/>
    <w:rsid w:val="1CDA105D"/>
    <w:rsid w:val="1CDB20ED"/>
    <w:rsid w:val="1CDB564A"/>
    <w:rsid w:val="1CDC2DE5"/>
    <w:rsid w:val="1CDC6CA5"/>
    <w:rsid w:val="1CDD2B1B"/>
    <w:rsid w:val="1CDF4452"/>
    <w:rsid w:val="1CE123EB"/>
    <w:rsid w:val="1CE62838"/>
    <w:rsid w:val="1CE72D8F"/>
    <w:rsid w:val="1CE81B16"/>
    <w:rsid w:val="1CEB1269"/>
    <w:rsid w:val="1CEB14BC"/>
    <w:rsid w:val="1CEC2B3E"/>
    <w:rsid w:val="1CEE68B6"/>
    <w:rsid w:val="1CEF7A2D"/>
    <w:rsid w:val="1CF26646"/>
    <w:rsid w:val="1CF26F26"/>
    <w:rsid w:val="1CF36A04"/>
    <w:rsid w:val="1CF46268"/>
    <w:rsid w:val="1CF500F3"/>
    <w:rsid w:val="1CF540E9"/>
    <w:rsid w:val="1CF843F8"/>
    <w:rsid w:val="1CF949C5"/>
    <w:rsid w:val="1CFD1E1D"/>
    <w:rsid w:val="1CFE544C"/>
    <w:rsid w:val="1D001E79"/>
    <w:rsid w:val="1D002947"/>
    <w:rsid w:val="1D025355"/>
    <w:rsid w:val="1D0253CA"/>
    <w:rsid w:val="1D082D78"/>
    <w:rsid w:val="1D083E79"/>
    <w:rsid w:val="1D0F7BA0"/>
    <w:rsid w:val="1D167457"/>
    <w:rsid w:val="1D181D79"/>
    <w:rsid w:val="1D1A7646"/>
    <w:rsid w:val="1D1C0DEA"/>
    <w:rsid w:val="1D202AB9"/>
    <w:rsid w:val="1D216C8C"/>
    <w:rsid w:val="1D22169E"/>
    <w:rsid w:val="1D250895"/>
    <w:rsid w:val="1D254DE8"/>
    <w:rsid w:val="1D260B21"/>
    <w:rsid w:val="1D2769EB"/>
    <w:rsid w:val="1D2A0CA5"/>
    <w:rsid w:val="1D2B4EE2"/>
    <w:rsid w:val="1D332901"/>
    <w:rsid w:val="1D340059"/>
    <w:rsid w:val="1D352737"/>
    <w:rsid w:val="1D3812A5"/>
    <w:rsid w:val="1D387E57"/>
    <w:rsid w:val="1D3B1F1F"/>
    <w:rsid w:val="1D3D2B90"/>
    <w:rsid w:val="1D3E6464"/>
    <w:rsid w:val="1D412000"/>
    <w:rsid w:val="1D475933"/>
    <w:rsid w:val="1D48186E"/>
    <w:rsid w:val="1D4F254C"/>
    <w:rsid w:val="1D534068"/>
    <w:rsid w:val="1D551894"/>
    <w:rsid w:val="1D580F04"/>
    <w:rsid w:val="1D5811C7"/>
    <w:rsid w:val="1D591986"/>
    <w:rsid w:val="1D596426"/>
    <w:rsid w:val="1D5A35F5"/>
    <w:rsid w:val="1D5A69D2"/>
    <w:rsid w:val="1D5B2CCA"/>
    <w:rsid w:val="1D5B3813"/>
    <w:rsid w:val="1D5C499A"/>
    <w:rsid w:val="1D5C6986"/>
    <w:rsid w:val="1D5E41A1"/>
    <w:rsid w:val="1D5E794A"/>
    <w:rsid w:val="1D5F77B4"/>
    <w:rsid w:val="1D61177E"/>
    <w:rsid w:val="1D632B53"/>
    <w:rsid w:val="1D645188"/>
    <w:rsid w:val="1D6773EA"/>
    <w:rsid w:val="1D6A7A5A"/>
    <w:rsid w:val="1D6B6159"/>
    <w:rsid w:val="1D6F0291"/>
    <w:rsid w:val="1D700DB2"/>
    <w:rsid w:val="1D72247A"/>
    <w:rsid w:val="1D733EAC"/>
    <w:rsid w:val="1D763E92"/>
    <w:rsid w:val="1D7768AC"/>
    <w:rsid w:val="1D7A0432"/>
    <w:rsid w:val="1D7B74EF"/>
    <w:rsid w:val="1D7D0AAB"/>
    <w:rsid w:val="1D843686"/>
    <w:rsid w:val="1D8552A9"/>
    <w:rsid w:val="1D8B05A9"/>
    <w:rsid w:val="1D8B6242"/>
    <w:rsid w:val="1D8E462A"/>
    <w:rsid w:val="1D924F0A"/>
    <w:rsid w:val="1D942873"/>
    <w:rsid w:val="1D95194F"/>
    <w:rsid w:val="1D9776DD"/>
    <w:rsid w:val="1D98429F"/>
    <w:rsid w:val="1D996832"/>
    <w:rsid w:val="1D9B210B"/>
    <w:rsid w:val="1D9D1EDD"/>
    <w:rsid w:val="1D9D77FF"/>
    <w:rsid w:val="1D9F1C9B"/>
    <w:rsid w:val="1D9F4A3C"/>
    <w:rsid w:val="1DA01993"/>
    <w:rsid w:val="1DA10913"/>
    <w:rsid w:val="1DA17DCD"/>
    <w:rsid w:val="1DA41C5A"/>
    <w:rsid w:val="1DA66010"/>
    <w:rsid w:val="1DAB4552"/>
    <w:rsid w:val="1DAC622F"/>
    <w:rsid w:val="1DAE4C92"/>
    <w:rsid w:val="1DB1535E"/>
    <w:rsid w:val="1DB20A4F"/>
    <w:rsid w:val="1DB219B4"/>
    <w:rsid w:val="1DB21B60"/>
    <w:rsid w:val="1DB73863"/>
    <w:rsid w:val="1DB76D58"/>
    <w:rsid w:val="1DB77396"/>
    <w:rsid w:val="1DB8718E"/>
    <w:rsid w:val="1DBC4C07"/>
    <w:rsid w:val="1DBF593D"/>
    <w:rsid w:val="1DC25C78"/>
    <w:rsid w:val="1DC27FB3"/>
    <w:rsid w:val="1DC4186A"/>
    <w:rsid w:val="1DC42091"/>
    <w:rsid w:val="1DC42E9F"/>
    <w:rsid w:val="1DC53ABB"/>
    <w:rsid w:val="1DC55DB2"/>
    <w:rsid w:val="1DC572AE"/>
    <w:rsid w:val="1DC761F8"/>
    <w:rsid w:val="1DC7793A"/>
    <w:rsid w:val="1DCD17CF"/>
    <w:rsid w:val="1DD30FFD"/>
    <w:rsid w:val="1DD5060D"/>
    <w:rsid w:val="1DD50AC1"/>
    <w:rsid w:val="1DD64366"/>
    <w:rsid w:val="1DD664C9"/>
    <w:rsid w:val="1DD75C82"/>
    <w:rsid w:val="1DD81FFF"/>
    <w:rsid w:val="1DD86F33"/>
    <w:rsid w:val="1DDA6186"/>
    <w:rsid w:val="1DDA6E3B"/>
    <w:rsid w:val="1DDD33DC"/>
    <w:rsid w:val="1DDE1454"/>
    <w:rsid w:val="1DDE7EC0"/>
    <w:rsid w:val="1DE2166C"/>
    <w:rsid w:val="1DE5415D"/>
    <w:rsid w:val="1DE76F7C"/>
    <w:rsid w:val="1DE859FC"/>
    <w:rsid w:val="1DE97EBE"/>
    <w:rsid w:val="1DEB2175"/>
    <w:rsid w:val="1DEB34D3"/>
    <w:rsid w:val="1DEC54EC"/>
    <w:rsid w:val="1DED2F36"/>
    <w:rsid w:val="1DED465D"/>
    <w:rsid w:val="1DED7DFD"/>
    <w:rsid w:val="1DEF71D4"/>
    <w:rsid w:val="1DF26A18"/>
    <w:rsid w:val="1DF42D49"/>
    <w:rsid w:val="1DF569CA"/>
    <w:rsid w:val="1DF61EC7"/>
    <w:rsid w:val="1DF63C75"/>
    <w:rsid w:val="1DF77D2F"/>
    <w:rsid w:val="1DF97B73"/>
    <w:rsid w:val="1DFB4982"/>
    <w:rsid w:val="1E013429"/>
    <w:rsid w:val="1E017B21"/>
    <w:rsid w:val="1E02366E"/>
    <w:rsid w:val="1E0345E3"/>
    <w:rsid w:val="1E0543B6"/>
    <w:rsid w:val="1E055053"/>
    <w:rsid w:val="1E064E5C"/>
    <w:rsid w:val="1E0653AF"/>
    <w:rsid w:val="1E07743C"/>
    <w:rsid w:val="1E0B2809"/>
    <w:rsid w:val="1E0B330A"/>
    <w:rsid w:val="1E0C1D2C"/>
    <w:rsid w:val="1E0D18B0"/>
    <w:rsid w:val="1E116D00"/>
    <w:rsid w:val="1E1270BD"/>
    <w:rsid w:val="1E14381A"/>
    <w:rsid w:val="1E193E07"/>
    <w:rsid w:val="1E1E01BA"/>
    <w:rsid w:val="1E1E1E69"/>
    <w:rsid w:val="1E2126B5"/>
    <w:rsid w:val="1E250BFC"/>
    <w:rsid w:val="1E25259E"/>
    <w:rsid w:val="1E2701C0"/>
    <w:rsid w:val="1E2849B3"/>
    <w:rsid w:val="1E2D0D23"/>
    <w:rsid w:val="1E2D1660"/>
    <w:rsid w:val="1E2E2B58"/>
    <w:rsid w:val="1E311151"/>
    <w:rsid w:val="1E3176E8"/>
    <w:rsid w:val="1E330BC1"/>
    <w:rsid w:val="1E332DF7"/>
    <w:rsid w:val="1E375D1C"/>
    <w:rsid w:val="1E39720A"/>
    <w:rsid w:val="1E3C46FB"/>
    <w:rsid w:val="1E3C513F"/>
    <w:rsid w:val="1E3F4E4D"/>
    <w:rsid w:val="1E403142"/>
    <w:rsid w:val="1E426EBA"/>
    <w:rsid w:val="1E487AAB"/>
    <w:rsid w:val="1E4A61DA"/>
    <w:rsid w:val="1E4B3796"/>
    <w:rsid w:val="1E4C03ED"/>
    <w:rsid w:val="1E4F11BB"/>
    <w:rsid w:val="1E4F76D9"/>
    <w:rsid w:val="1E565D05"/>
    <w:rsid w:val="1E576BA8"/>
    <w:rsid w:val="1E581379"/>
    <w:rsid w:val="1E5B61CE"/>
    <w:rsid w:val="1E5D3B81"/>
    <w:rsid w:val="1E5D45B2"/>
    <w:rsid w:val="1E5F2484"/>
    <w:rsid w:val="1E5F4971"/>
    <w:rsid w:val="1E6000B3"/>
    <w:rsid w:val="1E630C7A"/>
    <w:rsid w:val="1E6429BC"/>
    <w:rsid w:val="1E676920"/>
    <w:rsid w:val="1E6933ED"/>
    <w:rsid w:val="1E6A635D"/>
    <w:rsid w:val="1E6B783F"/>
    <w:rsid w:val="1E6D0066"/>
    <w:rsid w:val="1E6D6B7A"/>
    <w:rsid w:val="1E705ACA"/>
    <w:rsid w:val="1E72748D"/>
    <w:rsid w:val="1E730811"/>
    <w:rsid w:val="1E76478F"/>
    <w:rsid w:val="1E777E2B"/>
    <w:rsid w:val="1E7A7627"/>
    <w:rsid w:val="1E7B782E"/>
    <w:rsid w:val="1E7C342B"/>
    <w:rsid w:val="1E7D00AA"/>
    <w:rsid w:val="1E800BEB"/>
    <w:rsid w:val="1E826046"/>
    <w:rsid w:val="1E887D9D"/>
    <w:rsid w:val="1E8A4D32"/>
    <w:rsid w:val="1E8B4EF7"/>
    <w:rsid w:val="1E8D2F52"/>
    <w:rsid w:val="1E8E6C9D"/>
    <w:rsid w:val="1E900F07"/>
    <w:rsid w:val="1E91426E"/>
    <w:rsid w:val="1E933BB9"/>
    <w:rsid w:val="1E9551D3"/>
    <w:rsid w:val="1E957CBC"/>
    <w:rsid w:val="1E982C85"/>
    <w:rsid w:val="1E990AA4"/>
    <w:rsid w:val="1E9A34E3"/>
    <w:rsid w:val="1EA23DFC"/>
    <w:rsid w:val="1EA34312"/>
    <w:rsid w:val="1EA47B74"/>
    <w:rsid w:val="1EA703F8"/>
    <w:rsid w:val="1EA72EC7"/>
    <w:rsid w:val="1EA90CE7"/>
    <w:rsid w:val="1EAE4B61"/>
    <w:rsid w:val="1EB31B66"/>
    <w:rsid w:val="1EC000A6"/>
    <w:rsid w:val="1EC23E84"/>
    <w:rsid w:val="1EC90420"/>
    <w:rsid w:val="1EC91389"/>
    <w:rsid w:val="1EC96ACA"/>
    <w:rsid w:val="1ECC0E79"/>
    <w:rsid w:val="1ECC5A86"/>
    <w:rsid w:val="1ED068A2"/>
    <w:rsid w:val="1ED10DD5"/>
    <w:rsid w:val="1ED146E2"/>
    <w:rsid w:val="1EDA5D59"/>
    <w:rsid w:val="1EDD2BFC"/>
    <w:rsid w:val="1EDD31CC"/>
    <w:rsid w:val="1EE012DF"/>
    <w:rsid w:val="1EE2559F"/>
    <w:rsid w:val="1EE5214F"/>
    <w:rsid w:val="1EEA72D2"/>
    <w:rsid w:val="1EEC1A08"/>
    <w:rsid w:val="1EED151B"/>
    <w:rsid w:val="1EEE1259"/>
    <w:rsid w:val="1EF322EF"/>
    <w:rsid w:val="1EF72AA7"/>
    <w:rsid w:val="1EF8388E"/>
    <w:rsid w:val="1EFA5624"/>
    <w:rsid w:val="1EFB68EF"/>
    <w:rsid w:val="1EFC0024"/>
    <w:rsid w:val="1F002A0E"/>
    <w:rsid w:val="1F0265B9"/>
    <w:rsid w:val="1F0413D6"/>
    <w:rsid w:val="1F093E7B"/>
    <w:rsid w:val="1F0B47B9"/>
    <w:rsid w:val="1F0C7A69"/>
    <w:rsid w:val="1F0F68C6"/>
    <w:rsid w:val="1F1073A5"/>
    <w:rsid w:val="1F125FC6"/>
    <w:rsid w:val="1F135708"/>
    <w:rsid w:val="1F152820"/>
    <w:rsid w:val="1F15731D"/>
    <w:rsid w:val="1F184030"/>
    <w:rsid w:val="1F184FAF"/>
    <w:rsid w:val="1F1B58B4"/>
    <w:rsid w:val="1F1E0CA6"/>
    <w:rsid w:val="1F1E1F8C"/>
    <w:rsid w:val="1F1E2628"/>
    <w:rsid w:val="1F2202DD"/>
    <w:rsid w:val="1F220A99"/>
    <w:rsid w:val="1F232E6F"/>
    <w:rsid w:val="1F2446DA"/>
    <w:rsid w:val="1F244811"/>
    <w:rsid w:val="1F246243"/>
    <w:rsid w:val="1F251FB0"/>
    <w:rsid w:val="1F291E28"/>
    <w:rsid w:val="1F2A3EE4"/>
    <w:rsid w:val="1F307738"/>
    <w:rsid w:val="1F336601"/>
    <w:rsid w:val="1F336F14"/>
    <w:rsid w:val="1F3417AF"/>
    <w:rsid w:val="1F3444D7"/>
    <w:rsid w:val="1F34671C"/>
    <w:rsid w:val="1F3D0C55"/>
    <w:rsid w:val="1F423E8E"/>
    <w:rsid w:val="1F441B09"/>
    <w:rsid w:val="1F444EB4"/>
    <w:rsid w:val="1F45702F"/>
    <w:rsid w:val="1F475507"/>
    <w:rsid w:val="1F483AA3"/>
    <w:rsid w:val="1F486752"/>
    <w:rsid w:val="1F4924C1"/>
    <w:rsid w:val="1F4B6333"/>
    <w:rsid w:val="1F4C2284"/>
    <w:rsid w:val="1F4F0BC1"/>
    <w:rsid w:val="1F565181"/>
    <w:rsid w:val="1F582389"/>
    <w:rsid w:val="1F582803"/>
    <w:rsid w:val="1F5B522A"/>
    <w:rsid w:val="1F5D38E6"/>
    <w:rsid w:val="1F5F1CED"/>
    <w:rsid w:val="1F5F584A"/>
    <w:rsid w:val="1F60629D"/>
    <w:rsid w:val="1F62515F"/>
    <w:rsid w:val="1F65376A"/>
    <w:rsid w:val="1F6566FC"/>
    <w:rsid w:val="1F686DF4"/>
    <w:rsid w:val="1F6A73DD"/>
    <w:rsid w:val="1F6C13AD"/>
    <w:rsid w:val="1F6D1EE1"/>
    <w:rsid w:val="1F6D76D3"/>
    <w:rsid w:val="1F70417C"/>
    <w:rsid w:val="1F70522D"/>
    <w:rsid w:val="1F735D75"/>
    <w:rsid w:val="1F7532BF"/>
    <w:rsid w:val="1F7546FD"/>
    <w:rsid w:val="1F76729B"/>
    <w:rsid w:val="1F7851C4"/>
    <w:rsid w:val="1F7A50E4"/>
    <w:rsid w:val="1F7B710D"/>
    <w:rsid w:val="1F7E22D6"/>
    <w:rsid w:val="1F836769"/>
    <w:rsid w:val="1F85408E"/>
    <w:rsid w:val="1F89405A"/>
    <w:rsid w:val="1F9118BE"/>
    <w:rsid w:val="1F911FCC"/>
    <w:rsid w:val="1F926A07"/>
    <w:rsid w:val="1F927410"/>
    <w:rsid w:val="1F93161E"/>
    <w:rsid w:val="1F961D57"/>
    <w:rsid w:val="1F9B20D8"/>
    <w:rsid w:val="1F9C34B7"/>
    <w:rsid w:val="1F9D09E6"/>
    <w:rsid w:val="1F9E45C4"/>
    <w:rsid w:val="1F9F033C"/>
    <w:rsid w:val="1F9F4E40"/>
    <w:rsid w:val="1FA14487"/>
    <w:rsid w:val="1FA82B2F"/>
    <w:rsid w:val="1FA974D5"/>
    <w:rsid w:val="1FAA4BF9"/>
    <w:rsid w:val="1FAA6AF4"/>
    <w:rsid w:val="1FAB6CE1"/>
    <w:rsid w:val="1FAB7F3A"/>
    <w:rsid w:val="1FB4259C"/>
    <w:rsid w:val="1FB702CA"/>
    <w:rsid w:val="1FB80CE5"/>
    <w:rsid w:val="1FB85F7D"/>
    <w:rsid w:val="1FB95173"/>
    <w:rsid w:val="1FBF1997"/>
    <w:rsid w:val="1FBF218E"/>
    <w:rsid w:val="1FC043F0"/>
    <w:rsid w:val="1FC14599"/>
    <w:rsid w:val="1FC52D1A"/>
    <w:rsid w:val="1FC54882"/>
    <w:rsid w:val="1FC6283B"/>
    <w:rsid w:val="1FC635AF"/>
    <w:rsid w:val="1FC94DA2"/>
    <w:rsid w:val="1FCA2DAB"/>
    <w:rsid w:val="1FCA5201"/>
    <w:rsid w:val="1FCD4526"/>
    <w:rsid w:val="1FCF491A"/>
    <w:rsid w:val="1FD1532B"/>
    <w:rsid w:val="1FD31205"/>
    <w:rsid w:val="1FD60202"/>
    <w:rsid w:val="1FD92515"/>
    <w:rsid w:val="1FD965FC"/>
    <w:rsid w:val="1FDA1F23"/>
    <w:rsid w:val="1FDA7886"/>
    <w:rsid w:val="1FDB528A"/>
    <w:rsid w:val="1FDD57E6"/>
    <w:rsid w:val="1FE056E3"/>
    <w:rsid w:val="1FE11D3B"/>
    <w:rsid w:val="1FE12599"/>
    <w:rsid w:val="1FE33CC2"/>
    <w:rsid w:val="1FE445DA"/>
    <w:rsid w:val="1FE61442"/>
    <w:rsid w:val="1FE842D9"/>
    <w:rsid w:val="1FE86F1C"/>
    <w:rsid w:val="1FEA1E1D"/>
    <w:rsid w:val="1FEB2DC6"/>
    <w:rsid w:val="1FEB3988"/>
    <w:rsid w:val="1FEB49B2"/>
    <w:rsid w:val="1FED10A7"/>
    <w:rsid w:val="1FF01386"/>
    <w:rsid w:val="1FF01FE4"/>
    <w:rsid w:val="1FF1558A"/>
    <w:rsid w:val="1FF448F8"/>
    <w:rsid w:val="1FF62E8F"/>
    <w:rsid w:val="1FFA476F"/>
    <w:rsid w:val="1FFB3227"/>
    <w:rsid w:val="1FFC6A95"/>
    <w:rsid w:val="1FFC6D5F"/>
    <w:rsid w:val="1FFD20E2"/>
    <w:rsid w:val="200308CB"/>
    <w:rsid w:val="200427A4"/>
    <w:rsid w:val="2004400E"/>
    <w:rsid w:val="20056587"/>
    <w:rsid w:val="20060E64"/>
    <w:rsid w:val="200966CF"/>
    <w:rsid w:val="200A7EAB"/>
    <w:rsid w:val="200F7089"/>
    <w:rsid w:val="201001F1"/>
    <w:rsid w:val="20175B2C"/>
    <w:rsid w:val="201B3987"/>
    <w:rsid w:val="201B5785"/>
    <w:rsid w:val="201D7C4A"/>
    <w:rsid w:val="201F6B3A"/>
    <w:rsid w:val="2020166D"/>
    <w:rsid w:val="202076CF"/>
    <w:rsid w:val="20245E40"/>
    <w:rsid w:val="20293706"/>
    <w:rsid w:val="202B1998"/>
    <w:rsid w:val="202D1962"/>
    <w:rsid w:val="202D27EF"/>
    <w:rsid w:val="20312B6A"/>
    <w:rsid w:val="20333B74"/>
    <w:rsid w:val="2036210F"/>
    <w:rsid w:val="203926DE"/>
    <w:rsid w:val="203A52E0"/>
    <w:rsid w:val="203C020F"/>
    <w:rsid w:val="203D37A8"/>
    <w:rsid w:val="203D714E"/>
    <w:rsid w:val="203E619B"/>
    <w:rsid w:val="203E6B3D"/>
    <w:rsid w:val="2040567B"/>
    <w:rsid w:val="20413373"/>
    <w:rsid w:val="20415ADB"/>
    <w:rsid w:val="2045159E"/>
    <w:rsid w:val="20456C50"/>
    <w:rsid w:val="204576A6"/>
    <w:rsid w:val="20464EA0"/>
    <w:rsid w:val="20482F03"/>
    <w:rsid w:val="204A27A0"/>
    <w:rsid w:val="204E21D2"/>
    <w:rsid w:val="2053206B"/>
    <w:rsid w:val="205327A0"/>
    <w:rsid w:val="205748C0"/>
    <w:rsid w:val="205776E7"/>
    <w:rsid w:val="20596837"/>
    <w:rsid w:val="205B24B5"/>
    <w:rsid w:val="205E5B5B"/>
    <w:rsid w:val="20603535"/>
    <w:rsid w:val="206456D7"/>
    <w:rsid w:val="20654580"/>
    <w:rsid w:val="206D3F90"/>
    <w:rsid w:val="206F25FD"/>
    <w:rsid w:val="206F41B2"/>
    <w:rsid w:val="206F4DEE"/>
    <w:rsid w:val="207239AE"/>
    <w:rsid w:val="2072715F"/>
    <w:rsid w:val="2074303C"/>
    <w:rsid w:val="20753608"/>
    <w:rsid w:val="20755B58"/>
    <w:rsid w:val="20781C98"/>
    <w:rsid w:val="20792232"/>
    <w:rsid w:val="207C57E9"/>
    <w:rsid w:val="207C5EC8"/>
    <w:rsid w:val="207D1365"/>
    <w:rsid w:val="20815C2F"/>
    <w:rsid w:val="20850CC2"/>
    <w:rsid w:val="20853C77"/>
    <w:rsid w:val="20854327"/>
    <w:rsid w:val="20877C62"/>
    <w:rsid w:val="20892F15"/>
    <w:rsid w:val="208A28BD"/>
    <w:rsid w:val="208A4CD0"/>
    <w:rsid w:val="208D6A5E"/>
    <w:rsid w:val="208E43EA"/>
    <w:rsid w:val="20905BF7"/>
    <w:rsid w:val="20911451"/>
    <w:rsid w:val="209323A1"/>
    <w:rsid w:val="209B6D55"/>
    <w:rsid w:val="209F67D3"/>
    <w:rsid w:val="20A0192F"/>
    <w:rsid w:val="20A3611D"/>
    <w:rsid w:val="20A6050C"/>
    <w:rsid w:val="20A80758"/>
    <w:rsid w:val="20A85589"/>
    <w:rsid w:val="20A943F9"/>
    <w:rsid w:val="20AD4CED"/>
    <w:rsid w:val="20AF2801"/>
    <w:rsid w:val="20B0207F"/>
    <w:rsid w:val="20B04AA4"/>
    <w:rsid w:val="20B32CA3"/>
    <w:rsid w:val="20B5632A"/>
    <w:rsid w:val="20B80CAC"/>
    <w:rsid w:val="20B81D5F"/>
    <w:rsid w:val="20BA48D4"/>
    <w:rsid w:val="20BD3BAE"/>
    <w:rsid w:val="20BF3BC2"/>
    <w:rsid w:val="20C102B8"/>
    <w:rsid w:val="20C30171"/>
    <w:rsid w:val="20C36F34"/>
    <w:rsid w:val="20C55B80"/>
    <w:rsid w:val="20C75F53"/>
    <w:rsid w:val="20CC5161"/>
    <w:rsid w:val="20CC6F0F"/>
    <w:rsid w:val="20CD1726"/>
    <w:rsid w:val="20CE2908"/>
    <w:rsid w:val="20CF4FD5"/>
    <w:rsid w:val="20CF69A0"/>
    <w:rsid w:val="20D12777"/>
    <w:rsid w:val="20D4229B"/>
    <w:rsid w:val="20D55642"/>
    <w:rsid w:val="20DB6815"/>
    <w:rsid w:val="20DD111C"/>
    <w:rsid w:val="20E17D34"/>
    <w:rsid w:val="20E24339"/>
    <w:rsid w:val="20E83197"/>
    <w:rsid w:val="20F0786F"/>
    <w:rsid w:val="20F74E57"/>
    <w:rsid w:val="20F80D7D"/>
    <w:rsid w:val="20FD16CD"/>
    <w:rsid w:val="20FD76A8"/>
    <w:rsid w:val="20FE44DF"/>
    <w:rsid w:val="2102092F"/>
    <w:rsid w:val="21030E64"/>
    <w:rsid w:val="21031ECC"/>
    <w:rsid w:val="21041D09"/>
    <w:rsid w:val="21055C21"/>
    <w:rsid w:val="2109210F"/>
    <w:rsid w:val="210963B5"/>
    <w:rsid w:val="210A3843"/>
    <w:rsid w:val="210F1952"/>
    <w:rsid w:val="211014F1"/>
    <w:rsid w:val="2115200D"/>
    <w:rsid w:val="2115312B"/>
    <w:rsid w:val="2116462E"/>
    <w:rsid w:val="211A411E"/>
    <w:rsid w:val="211A4ECE"/>
    <w:rsid w:val="211C4D78"/>
    <w:rsid w:val="211F0081"/>
    <w:rsid w:val="211F3884"/>
    <w:rsid w:val="21205533"/>
    <w:rsid w:val="21207C73"/>
    <w:rsid w:val="21221DC8"/>
    <w:rsid w:val="21270A89"/>
    <w:rsid w:val="212B4181"/>
    <w:rsid w:val="212B4790"/>
    <w:rsid w:val="212D20A3"/>
    <w:rsid w:val="212D2621"/>
    <w:rsid w:val="212E2B3B"/>
    <w:rsid w:val="212E30F7"/>
    <w:rsid w:val="212F35F8"/>
    <w:rsid w:val="21315536"/>
    <w:rsid w:val="21337969"/>
    <w:rsid w:val="21367A76"/>
    <w:rsid w:val="21395AE3"/>
    <w:rsid w:val="213A5971"/>
    <w:rsid w:val="213A73D7"/>
    <w:rsid w:val="213C0F4E"/>
    <w:rsid w:val="213D60AE"/>
    <w:rsid w:val="213F26B4"/>
    <w:rsid w:val="21417E6E"/>
    <w:rsid w:val="21426520"/>
    <w:rsid w:val="2149504D"/>
    <w:rsid w:val="21496412"/>
    <w:rsid w:val="21497252"/>
    <w:rsid w:val="214C1DA1"/>
    <w:rsid w:val="214E0F4B"/>
    <w:rsid w:val="214E67CA"/>
    <w:rsid w:val="214F7CFF"/>
    <w:rsid w:val="21516682"/>
    <w:rsid w:val="2153431D"/>
    <w:rsid w:val="21552679"/>
    <w:rsid w:val="21556F04"/>
    <w:rsid w:val="21566FA3"/>
    <w:rsid w:val="21584C46"/>
    <w:rsid w:val="215862CC"/>
    <w:rsid w:val="215D04AF"/>
    <w:rsid w:val="215F28EA"/>
    <w:rsid w:val="2161236A"/>
    <w:rsid w:val="216173D6"/>
    <w:rsid w:val="21643FE2"/>
    <w:rsid w:val="21677A4B"/>
    <w:rsid w:val="21694B43"/>
    <w:rsid w:val="216B4D3F"/>
    <w:rsid w:val="216B6F57"/>
    <w:rsid w:val="216F63BB"/>
    <w:rsid w:val="21775ED8"/>
    <w:rsid w:val="217D246B"/>
    <w:rsid w:val="217E20E9"/>
    <w:rsid w:val="217F0425"/>
    <w:rsid w:val="217F53F8"/>
    <w:rsid w:val="21821CC3"/>
    <w:rsid w:val="2184105A"/>
    <w:rsid w:val="21853EF2"/>
    <w:rsid w:val="2188552B"/>
    <w:rsid w:val="218933C2"/>
    <w:rsid w:val="218B5670"/>
    <w:rsid w:val="218C4172"/>
    <w:rsid w:val="218D2C62"/>
    <w:rsid w:val="218D6956"/>
    <w:rsid w:val="21935555"/>
    <w:rsid w:val="21962B43"/>
    <w:rsid w:val="21963F8E"/>
    <w:rsid w:val="219739C1"/>
    <w:rsid w:val="219931C8"/>
    <w:rsid w:val="219938D1"/>
    <w:rsid w:val="21996B8D"/>
    <w:rsid w:val="219A0DBB"/>
    <w:rsid w:val="219A3FCD"/>
    <w:rsid w:val="219A490C"/>
    <w:rsid w:val="219C0831"/>
    <w:rsid w:val="219E0BC3"/>
    <w:rsid w:val="219F1D48"/>
    <w:rsid w:val="21A34D4B"/>
    <w:rsid w:val="21A517FC"/>
    <w:rsid w:val="21A60F77"/>
    <w:rsid w:val="21A61561"/>
    <w:rsid w:val="21A70192"/>
    <w:rsid w:val="21AA4754"/>
    <w:rsid w:val="21AB5C6E"/>
    <w:rsid w:val="21AC196D"/>
    <w:rsid w:val="21AD5C84"/>
    <w:rsid w:val="21B17FE2"/>
    <w:rsid w:val="21B360F9"/>
    <w:rsid w:val="21B5794E"/>
    <w:rsid w:val="21B7551C"/>
    <w:rsid w:val="21BB0B38"/>
    <w:rsid w:val="21BD4694"/>
    <w:rsid w:val="21BD7A34"/>
    <w:rsid w:val="21BE120B"/>
    <w:rsid w:val="21BE19B9"/>
    <w:rsid w:val="21BF3219"/>
    <w:rsid w:val="21C1459A"/>
    <w:rsid w:val="21C16935"/>
    <w:rsid w:val="21C42689"/>
    <w:rsid w:val="21C47D0A"/>
    <w:rsid w:val="21C5505D"/>
    <w:rsid w:val="21C96E93"/>
    <w:rsid w:val="21CB3A0E"/>
    <w:rsid w:val="21D00C81"/>
    <w:rsid w:val="21D24CD9"/>
    <w:rsid w:val="21D2656B"/>
    <w:rsid w:val="21D978EC"/>
    <w:rsid w:val="21DC7625"/>
    <w:rsid w:val="21DD7190"/>
    <w:rsid w:val="21DF376D"/>
    <w:rsid w:val="21E0636A"/>
    <w:rsid w:val="21E06557"/>
    <w:rsid w:val="21E237FA"/>
    <w:rsid w:val="21E62252"/>
    <w:rsid w:val="21E758B6"/>
    <w:rsid w:val="21E963D3"/>
    <w:rsid w:val="21EB29AE"/>
    <w:rsid w:val="21EB5428"/>
    <w:rsid w:val="21EE2ACA"/>
    <w:rsid w:val="21F01485"/>
    <w:rsid w:val="21F01558"/>
    <w:rsid w:val="21F04E7F"/>
    <w:rsid w:val="21F23E81"/>
    <w:rsid w:val="21F60BA0"/>
    <w:rsid w:val="21F67839"/>
    <w:rsid w:val="21F76F36"/>
    <w:rsid w:val="21FC72FA"/>
    <w:rsid w:val="21FF118D"/>
    <w:rsid w:val="21FF2D6F"/>
    <w:rsid w:val="21FF42CA"/>
    <w:rsid w:val="220146EE"/>
    <w:rsid w:val="2201708C"/>
    <w:rsid w:val="22032AC6"/>
    <w:rsid w:val="22033E02"/>
    <w:rsid w:val="22071D39"/>
    <w:rsid w:val="22091D98"/>
    <w:rsid w:val="220A2370"/>
    <w:rsid w:val="220B7CE2"/>
    <w:rsid w:val="220E19FD"/>
    <w:rsid w:val="220E30F7"/>
    <w:rsid w:val="220E3D88"/>
    <w:rsid w:val="220E4FD7"/>
    <w:rsid w:val="220E5E0B"/>
    <w:rsid w:val="220F79FB"/>
    <w:rsid w:val="22103219"/>
    <w:rsid w:val="22113E6D"/>
    <w:rsid w:val="22116706"/>
    <w:rsid w:val="221768AF"/>
    <w:rsid w:val="221861E8"/>
    <w:rsid w:val="22191457"/>
    <w:rsid w:val="221B357A"/>
    <w:rsid w:val="221D1320"/>
    <w:rsid w:val="221D7C49"/>
    <w:rsid w:val="221E15EF"/>
    <w:rsid w:val="221E24FA"/>
    <w:rsid w:val="22204BC0"/>
    <w:rsid w:val="222608A0"/>
    <w:rsid w:val="2229454E"/>
    <w:rsid w:val="222B0586"/>
    <w:rsid w:val="222C392A"/>
    <w:rsid w:val="223013EE"/>
    <w:rsid w:val="22361CBE"/>
    <w:rsid w:val="22393E47"/>
    <w:rsid w:val="223C53EB"/>
    <w:rsid w:val="22436045"/>
    <w:rsid w:val="224608D3"/>
    <w:rsid w:val="22482F0D"/>
    <w:rsid w:val="224A1660"/>
    <w:rsid w:val="224B32A4"/>
    <w:rsid w:val="224B666F"/>
    <w:rsid w:val="224C47AB"/>
    <w:rsid w:val="224C4924"/>
    <w:rsid w:val="224D5EE4"/>
    <w:rsid w:val="22501A61"/>
    <w:rsid w:val="22511C97"/>
    <w:rsid w:val="22513EA0"/>
    <w:rsid w:val="22574EFE"/>
    <w:rsid w:val="225847D9"/>
    <w:rsid w:val="2259254B"/>
    <w:rsid w:val="225C6C06"/>
    <w:rsid w:val="22605C99"/>
    <w:rsid w:val="22614350"/>
    <w:rsid w:val="22615C40"/>
    <w:rsid w:val="22615CA4"/>
    <w:rsid w:val="22621B21"/>
    <w:rsid w:val="22642FCD"/>
    <w:rsid w:val="22661EE6"/>
    <w:rsid w:val="22685C6D"/>
    <w:rsid w:val="22686B31"/>
    <w:rsid w:val="22693802"/>
    <w:rsid w:val="22722616"/>
    <w:rsid w:val="2273396A"/>
    <w:rsid w:val="227535B1"/>
    <w:rsid w:val="227C07FD"/>
    <w:rsid w:val="227F1617"/>
    <w:rsid w:val="228026A7"/>
    <w:rsid w:val="22837AA1"/>
    <w:rsid w:val="228523FF"/>
    <w:rsid w:val="22860A67"/>
    <w:rsid w:val="22883309"/>
    <w:rsid w:val="228906BB"/>
    <w:rsid w:val="22893189"/>
    <w:rsid w:val="228A2034"/>
    <w:rsid w:val="228A50E3"/>
    <w:rsid w:val="22924352"/>
    <w:rsid w:val="22935D63"/>
    <w:rsid w:val="22945785"/>
    <w:rsid w:val="22956F82"/>
    <w:rsid w:val="22961914"/>
    <w:rsid w:val="22966679"/>
    <w:rsid w:val="22993CF1"/>
    <w:rsid w:val="22997D0A"/>
    <w:rsid w:val="229A202C"/>
    <w:rsid w:val="22A10FB4"/>
    <w:rsid w:val="22A40429"/>
    <w:rsid w:val="22A4446D"/>
    <w:rsid w:val="22A45BB9"/>
    <w:rsid w:val="22A70724"/>
    <w:rsid w:val="22A818B5"/>
    <w:rsid w:val="22A87507"/>
    <w:rsid w:val="22AA3362"/>
    <w:rsid w:val="22AC3A14"/>
    <w:rsid w:val="22B12860"/>
    <w:rsid w:val="22B300C0"/>
    <w:rsid w:val="22B82E6D"/>
    <w:rsid w:val="22BA2F68"/>
    <w:rsid w:val="22BA7C6F"/>
    <w:rsid w:val="22BC1D49"/>
    <w:rsid w:val="22BF6927"/>
    <w:rsid w:val="22C0354E"/>
    <w:rsid w:val="22C114B1"/>
    <w:rsid w:val="22C12D03"/>
    <w:rsid w:val="22C215A8"/>
    <w:rsid w:val="22C34341"/>
    <w:rsid w:val="22C56BF1"/>
    <w:rsid w:val="22C64F30"/>
    <w:rsid w:val="22C7731F"/>
    <w:rsid w:val="22C80BE5"/>
    <w:rsid w:val="22C8446E"/>
    <w:rsid w:val="22CC58EC"/>
    <w:rsid w:val="22CD157D"/>
    <w:rsid w:val="22CE3412"/>
    <w:rsid w:val="22D7780E"/>
    <w:rsid w:val="22D8648C"/>
    <w:rsid w:val="22D90D4E"/>
    <w:rsid w:val="22DC5CCD"/>
    <w:rsid w:val="22DC7E37"/>
    <w:rsid w:val="22DE0050"/>
    <w:rsid w:val="22E0384C"/>
    <w:rsid w:val="22E1791E"/>
    <w:rsid w:val="22E82B76"/>
    <w:rsid w:val="22E96A7F"/>
    <w:rsid w:val="22EA5B4C"/>
    <w:rsid w:val="22EB165C"/>
    <w:rsid w:val="22F17100"/>
    <w:rsid w:val="22F32E79"/>
    <w:rsid w:val="22F50248"/>
    <w:rsid w:val="22F94089"/>
    <w:rsid w:val="230606D4"/>
    <w:rsid w:val="230877A0"/>
    <w:rsid w:val="2309332A"/>
    <w:rsid w:val="230A268C"/>
    <w:rsid w:val="231132FF"/>
    <w:rsid w:val="23137C67"/>
    <w:rsid w:val="23146D3D"/>
    <w:rsid w:val="23157269"/>
    <w:rsid w:val="231654FD"/>
    <w:rsid w:val="23194255"/>
    <w:rsid w:val="2319612C"/>
    <w:rsid w:val="231B4993"/>
    <w:rsid w:val="231F4833"/>
    <w:rsid w:val="232255D8"/>
    <w:rsid w:val="23231679"/>
    <w:rsid w:val="2324569B"/>
    <w:rsid w:val="2325152E"/>
    <w:rsid w:val="232B5CC5"/>
    <w:rsid w:val="232F786A"/>
    <w:rsid w:val="23300FFE"/>
    <w:rsid w:val="23304817"/>
    <w:rsid w:val="23306EC9"/>
    <w:rsid w:val="2332081A"/>
    <w:rsid w:val="23324265"/>
    <w:rsid w:val="233264FD"/>
    <w:rsid w:val="233608A7"/>
    <w:rsid w:val="23363B6C"/>
    <w:rsid w:val="233953C2"/>
    <w:rsid w:val="233A31BF"/>
    <w:rsid w:val="233A7F46"/>
    <w:rsid w:val="233B5671"/>
    <w:rsid w:val="233C1E4F"/>
    <w:rsid w:val="233E1603"/>
    <w:rsid w:val="23412051"/>
    <w:rsid w:val="23414435"/>
    <w:rsid w:val="23417025"/>
    <w:rsid w:val="234731C4"/>
    <w:rsid w:val="23473A71"/>
    <w:rsid w:val="234753D7"/>
    <w:rsid w:val="23476908"/>
    <w:rsid w:val="234A05BF"/>
    <w:rsid w:val="234A343F"/>
    <w:rsid w:val="234C3EBF"/>
    <w:rsid w:val="23502540"/>
    <w:rsid w:val="23515D2F"/>
    <w:rsid w:val="23576F5A"/>
    <w:rsid w:val="23591E90"/>
    <w:rsid w:val="235C64DA"/>
    <w:rsid w:val="235C70E1"/>
    <w:rsid w:val="235C755F"/>
    <w:rsid w:val="235D1246"/>
    <w:rsid w:val="23637CE0"/>
    <w:rsid w:val="23654101"/>
    <w:rsid w:val="23673FD9"/>
    <w:rsid w:val="23696B99"/>
    <w:rsid w:val="236A081D"/>
    <w:rsid w:val="236B109F"/>
    <w:rsid w:val="236B2E67"/>
    <w:rsid w:val="236F50B8"/>
    <w:rsid w:val="236F72FB"/>
    <w:rsid w:val="23707334"/>
    <w:rsid w:val="23711FEF"/>
    <w:rsid w:val="23737B15"/>
    <w:rsid w:val="23744181"/>
    <w:rsid w:val="237525CE"/>
    <w:rsid w:val="237963D7"/>
    <w:rsid w:val="237A0E0D"/>
    <w:rsid w:val="237A275E"/>
    <w:rsid w:val="237B46A8"/>
    <w:rsid w:val="237F50CA"/>
    <w:rsid w:val="23825630"/>
    <w:rsid w:val="23826925"/>
    <w:rsid w:val="238349FB"/>
    <w:rsid w:val="23857CE7"/>
    <w:rsid w:val="2387020F"/>
    <w:rsid w:val="23874D6B"/>
    <w:rsid w:val="238914BB"/>
    <w:rsid w:val="238936DF"/>
    <w:rsid w:val="238D06EB"/>
    <w:rsid w:val="238D2136"/>
    <w:rsid w:val="239A6553"/>
    <w:rsid w:val="239A7CD2"/>
    <w:rsid w:val="239D0029"/>
    <w:rsid w:val="239D7913"/>
    <w:rsid w:val="239E16EE"/>
    <w:rsid w:val="239F55FA"/>
    <w:rsid w:val="23A03AEB"/>
    <w:rsid w:val="23A52D51"/>
    <w:rsid w:val="23A6480F"/>
    <w:rsid w:val="23A660E5"/>
    <w:rsid w:val="23A7528B"/>
    <w:rsid w:val="23A83955"/>
    <w:rsid w:val="23AB1136"/>
    <w:rsid w:val="23AB5F82"/>
    <w:rsid w:val="23AC4508"/>
    <w:rsid w:val="23AC79AE"/>
    <w:rsid w:val="23AE0960"/>
    <w:rsid w:val="23AF23EC"/>
    <w:rsid w:val="23B0364C"/>
    <w:rsid w:val="23B13ED7"/>
    <w:rsid w:val="23B166BF"/>
    <w:rsid w:val="23B30461"/>
    <w:rsid w:val="23B4465B"/>
    <w:rsid w:val="23B44A92"/>
    <w:rsid w:val="23B4787B"/>
    <w:rsid w:val="23B65095"/>
    <w:rsid w:val="23B71372"/>
    <w:rsid w:val="23B77C55"/>
    <w:rsid w:val="23B87A7D"/>
    <w:rsid w:val="23B87C1E"/>
    <w:rsid w:val="23BC52BD"/>
    <w:rsid w:val="23BD17A3"/>
    <w:rsid w:val="23C0777E"/>
    <w:rsid w:val="23C10508"/>
    <w:rsid w:val="23C34AFE"/>
    <w:rsid w:val="23C355EA"/>
    <w:rsid w:val="23C50E78"/>
    <w:rsid w:val="23C526B3"/>
    <w:rsid w:val="23C60DF8"/>
    <w:rsid w:val="23C63506"/>
    <w:rsid w:val="23C658BD"/>
    <w:rsid w:val="23C661CA"/>
    <w:rsid w:val="23C8368E"/>
    <w:rsid w:val="23CC23A3"/>
    <w:rsid w:val="23CC44B0"/>
    <w:rsid w:val="23CD579E"/>
    <w:rsid w:val="23CF543F"/>
    <w:rsid w:val="23D155D9"/>
    <w:rsid w:val="23D23020"/>
    <w:rsid w:val="23D405AC"/>
    <w:rsid w:val="23D61712"/>
    <w:rsid w:val="23D74548"/>
    <w:rsid w:val="23D8324F"/>
    <w:rsid w:val="23D94554"/>
    <w:rsid w:val="23DC13C3"/>
    <w:rsid w:val="23DC173A"/>
    <w:rsid w:val="23DF42E4"/>
    <w:rsid w:val="23E006A4"/>
    <w:rsid w:val="23E02215"/>
    <w:rsid w:val="23EA13CC"/>
    <w:rsid w:val="23EA7931"/>
    <w:rsid w:val="23F252F8"/>
    <w:rsid w:val="23F379E2"/>
    <w:rsid w:val="23F42005"/>
    <w:rsid w:val="23F541B9"/>
    <w:rsid w:val="23FB11F4"/>
    <w:rsid w:val="23FB3AE4"/>
    <w:rsid w:val="23FC2374"/>
    <w:rsid w:val="23FE1AD5"/>
    <w:rsid w:val="23FF21EC"/>
    <w:rsid w:val="23FF75A1"/>
    <w:rsid w:val="24001793"/>
    <w:rsid w:val="240036B7"/>
    <w:rsid w:val="24014120"/>
    <w:rsid w:val="24017986"/>
    <w:rsid w:val="2402440D"/>
    <w:rsid w:val="240315FC"/>
    <w:rsid w:val="24045935"/>
    <w:rsid w:val="24073605"/>
    <w:rsid w:val="240B07C3"/>
    <w:rsid w:val="240B736E"/>
    <w:rsid w:val="240C35DC"/>
    <w:rsid w:val="240E7F22"/>
    <w:rsid w:val="2410560D"/>
    <w:rsid w:val="24107A5A"/>
    <w:rsid w:val="24125FF6"/>
    <w:rsid w:val="24171B04"/>
    <w:rsid w:val="241922F9"/>
    <w:rsid w:val="241A098F"/>
    <w:rsid w:val="241C3519"/>
    <w:rsid w:val="241E0AD2"/>
    <w:rsid w:val="24225464"/>
    <w:rsid w:val="2426102C"/>
    <w:rsid w:val="2426154C"/>
    <w:rsid w:val="24271D63"/>
    <w:rsid w:val="24290213"/>
    <w:rsid w:val="24295DB1"/>
    <w:rsid w:val="242A51D2"/>
    <w:rsid w:val="242C34F3"/>
    <w:rsid w:val="242D0738"/>
    <w:rsid w:val="24311EAA"/>
    <w:rsid w:val="243472A5"/>
    <w:rsid w:val="24386A21"/>
    <w:rsid w:val="243D4665"/>
    <w:rsid w:val="243F7FA9"/>
    <w:rsid w:val="24403C5E"/>
    <w:rsid w:val="2441276F"/>
    <w:rsid w:val="244201DF"/>
    <w:rsid w:val="244654BB"/>
    <w:rsid w:val="2449667B"/>
    <w:rsid w:val="24497457"/>
    <w:rsid w:val="244A2163"/>
    <w:rsid w:val="244C2905"/>
    <w:rsid w:val="244F40DF"/>
    <w:rsid w:val="24505EA2"/>
    <w:rsid w:val="2454416F"/>
    <w:rsid w:val="2457158C"/>
    <w:rsid w:val="24574DEC"/>
    <w:rsid w:val="245A2757"/>
    <w:rsid w:val="245E4322"/>
    <w:rsid w:val="24682ABC"/>
    <w:rsid w:val="246A716A"/>
    <w:rsid w:val="246A77E2"/>
    <w:rsid w:val="246C171C"/>
    <w:rsid w:val="246C4004"/>
    <w:rsid w:val="246C44E8"/>
    <w:rsid w:val="246E2C45"/>
    <w:rsid w:val="246E59C8"/>
    <w:rsid w:val="24704055"/>
    <w:rsid w:val="2471118F"/>
    <w:rsid w:val="24737E44"/>
    <w:rsid w:val="2474172F"/>
    <w:rsid w:val="247A0D51"/>
    <w:rsid w:val="247A62B2"/>
    <w:rsid w:val="247E0C91"/>
    <w:rsid w:val="247F3122"/>
    <w:rsid w:val="247F34C9"/>
    <w:rsid w:val="24813E04"/>
    <w:rsid w:val="2481612F"/>
    <w:rsid w:val="24822706"/>
    <w:rsid w:val="24830637"/>
    <w:rsid w:val="248541D1"/>
    <w:rsid w:val="24870CE4"/>
    <w:rsid w:val="2489693D"/>
    <w:rsid w:val="248D5502"/>
    <w:rsid w:val="248D6315"/>
    <w:rsid w:val="248E07B5"/>
    <w:rsid w:val="248F0FE4"/>
    <w:rsid w:val="248F13D9"/>
    <w:rsid w:val="24944B5A"/>
    <w:rsid w:val="24963A9C"/>
    <w:rsid w:val="24973CD7"/>
    <w:rsid w:val="24974C7F"/>
    <w:rsid w:val="249A33A6"/>
    <w:rsid w:val="249B41B0"/>
    <w:rsid w:val="249B6723"/>
    <w:rsid w:val="249D30C2"/>
    <w:rsid w:val="24A0312B"/>
    <w:rsid w:val="24A112A4"/>
    <w:rsid w:val="24A26D5D"/>
    <w:rsid w:val="24A51EAC"/>
    <w:rsid w:val="24A924A3"/>
    <w:rsid w:val="24AB712D"/>
    <w:rsid w:val="24AD52A9"/>
    <w:rsid w:val="24B14317"/>
    <w:rsid w:val="24B44889"/>
    <w:rsid w:val="24B61E73"/>
    <w:rsid w:val="24B71A2F"/>
    <w:rsid w:val="24B864BD"/>
    <w:rsid w:val="24BD5037"/>
    <w:rsid w:val="24BE09BA"/>
    <w:rsid w:val="24C252F4"/>
    <w:rsid w:val="24C36192"/>
    <w:rsid w:val="24C45836"/>
    <w:rsid w:val="24C8543E"/>
    <w:rsid w:val="24CC25B5"/>
    <w:rsid w:val="24CD3CAF"/>
    <w:rsid w:val="24CD4A79"/>
    <w:rsid w:val="24CD71E0"/>
    <w:rsid w:val="24CF3471"/>
    <w:rsid w:val="24D20C60"/>
    <w:rsid w:val="24D23E58"/>
    <w:rsid w:val="24D26ABE"/>
    <w:rsid w:val="24D40A88"/>
    <w:rsid w:val="24D46BC7"/>
    <w:rsid w:val="24D60F2A"/>
    <w:rsid w:val="24D6343D"/>
    <w:rsid w:val="24D91E5B"/>
    <w:rsid w:val="24D96D29"/>
    <w:rsid w:val="24DB564E"/>
    <w:rsid w:val="24DE04E9"/>
    <w:rsid w:val="24DE1E12"/>
    <w:rsid w:val="24DE7060"/>
    <w:rsid w:val="24DF179B"/>
    <w:rsid w:val="24E43F7D"/>
    <w:rsid w:val="24E53073"/>
    <w:rsid w:val="24E55833"/>
    <w:rsid w:val="24E572D2"/>
    <w:rsid w:val="24E63234"/>
    <w:rsid w:val="24E87355"/>
    <w:rsid w:val="24F27517"/>
    <w:rsid w:val="24F329C4"/>
    <w:rsid w:val="24F37F92"/>
    <w:rsid w:val="24F43D13"/>
    <w:rsid w:val="24F51E93"/>
    <w:rsid w:val="24F93034"/>
    <w:rsid w:val="24F96D59"/>
    <w:rsid w:val="24FA4576"/>
    <w:rsid w:val="250324EC"/>
    <w:rsid w:val="25052C97"/>
    <w:rsid w:val="2505578E"/>
    <w:rsid w:val="2505618E"/>
    <w:rsid w:val="25066D70"/>
    <w:rsid w:val="25070DFE"/>
    <w:rsid w:val="2507143C"/>
    <w:rsid w:val="25072424"/>
    <w:rsid w:val="25073373"/>
    <w:rsid w:val="250779EC"/>
    <w:rsid w:val="25080F37"/>
    <w:rsid w:val="250A503F"/>
    <w:rsid w:val="250B71C5"/>
    <w:rsid w:val="250C031A"/>
    <w:rsid w:val="250E4396"/>
    <w:rsid w:val="251056F4"/>
    <w:rsid w:val="25107971"/>
    <w:rsid w:val="25127835"/>
    <w:rsid w:val="25167E79"/>
    <w:rsid w:val="25177056"/>
    <w:rsid w:val="251A2D41"/>
    <w:rsid w:val="251C7DCA"/>
    <w:rsid w:val="25202874"/>
    <w:rsid w:val="25207BE8"/>
    <w:rsid w:val="25213106"/>
    <w:rsid w:val="25243F47"/>
    <w:rsid w:val="25256CA5"/>
    <w:rsid w:val="25271AEB"/>
    <w:rsid w:val="25282518"/>
    <w:rsid w:val="25284129"/>
    <w:rsid w:val="252F6DC0"/>
    <w:rsid w:val="25311A36"/>
    <w:rsid w:val="25331A65"/>
    <w:rsid w:val="25356D05"/>
    <w:rsid w:val="25367C62"/>
    <w:rsid w:val="25375090"/>
    <w:rsid w:val="25383249"/>
    <w:rsid w:val="253A4B4A"/>
    <w:rsid w:val="253D662D"/>
    <w:rsid w:val="25403F4A"/>
    <w:rsid w:val="254137D8"/>
    <w:rsid w:val="25434E08"/>
    <w:rsid w:val="2549492A"/>
    <w:rsid w:val="254F438D"/>
    <w:rsid w:val="25506CF5"/>
    <w:rsid w:val="255124B9"/>
    <w:rsid w:val="25520B11"/>
    <w:rsid w:val="25522BAE"/>
    <w:rsid w:val="25551BC9"/>
    <w:rsid w:val="25553977"/>
    <w:rsid w:val="25585215"/>
    <w:rsid w:val="255C2BBA"/>
    <w:rsid w:val="255C71A7"/>
    <w:rsid w:val="255D2DA4"/>
    <w:rsid w:val="255D409B"/>
    <w:rsid w:val="255F47F5"/>
    <w:rsid w:val="255F7822"/>
    <w:rsid w:val="25617C52"/>
    <w:rsid w:val="256260B1"/>
    <w:rsid w:val="25650F58"/>
    <w:rsid w:val="256816B9"/>
    <w:rsid w:val="256D52AD"/>
    <w:rsid w:val="256E2C8A"/>
    <w:rsid w:val="256E7419"/>
    <w:rsid w:val="25710E91"/>
    <w:rsid w:val="25711C6C"/>
    <w:rsid w:val="25717E04"/>
    <w:rsid w:val="257227BA"/>
    <w:rsid w:val="257510F7"/>
    <w:rsid w:val="25753E27"/>
    <w:rsid w:val="25771898"/>
    <w:rsid w:val="2577313A"/>
    <w:rsid w:val="257770F3"/>
    <w:rsid w:val="25790A5F"/>
    <w:rsid w:val="257967E2"/>
    <w:rsid w:val="257C231C"/>
    <w:rsid w:val="257C3F56"/>
    <w:rsid w:val="25820BA4"/>
    <w:rsid w:val="25825784"/>
    <w:rsid w:val="258F5981"/>
    <w:rsid w:val="25905A6E"/>
    <w:rsid w:val="2592070B"/>
    <w:rsid w:val="2596640B"/>
    <w:rsid w:val="2596686F"/>
    <w:rsid w:val="259678A8"/>
    <w:rsid w:val="2597016E"/>
    <w:rsid w:val="25992DC3"/>
    <w:rsid w:val="259C3EEA"/>
    <w:rsid w:val="259E4DB4"/>
    <w:rsid w:val="259F79AF"/>
    <w:rsid w:val="25A15107"/>
    <w:rsid w:val="25A51F52"/>
    <w:rsid w:val="25A73778"/>
    <w:rsid w:val="25A7736A"/>
    <w:rsid w:val="25AC5561"/>
    <w:rsid w:val="25AE752B"/>
    <w:rsid w:val="25AF55B6"/>
    <w:rsid w:val="25B34C06"/>
    <w:rsid w:val="25B47BE0"/>
    <w:rsid w:val="25B508B9"/>
    <w:rsid w:val="25BD43CF"/>
    <w:rsid w:val="25C314E1"/>
    <w:rsid w:val="25C33248"/>
    <w:rsid w:val="25C556B3"/>
    <w:rsid w:val="25C929A4"/>
    <w:rsid w:val="25C94365"/>
    <w:rsid w:val="25CE7C20"/>
    <w:rsid w:val="25D009FC"/>
    <w:rsid w:val="25D04F03"/>
    <w:rsid w:val="25D10748"/>
    <w:rsid w:val="25D132C0"/>
    <w:rsid w:val="25D32AED"/>
    <w:rsid w:val="25D57938"/>
    <w:rsid w:val="25D7082F"/>
    <w:rsid w:val="25D76B71"/>
    <w:rsid w:val="25D95936"/>
    <w:rsid w:val="25DA20CE"/>
    <w:rsid w:val="25DA34E2"/>
    <w:rsid w:val="25DF1E4C"/>
    <w:rsid w:val="25E15573"/>
    <w:rsid w:val="25E25014"/>
    <w:rsid w:val="25E2599C"/>
    <w:rsid w:val="25E35C1F"/>
    <w:rsid w:val="25E6052F"/>
    <w:rsid w:val="25E71C21"/>
    <w:rsid w:val="25EB0406"/>
    <w:rsid w:val="25ED014A"/>
    <w:rsid w:val="25F3065B"/>
    <w:rsid w:val="25F87EEA"/>
    <w:rsid w:val="25FA6A8B"/>
    <w:rsid w:val="25FB762A"/>
    <w:rsid w:val="25FC0458"/>
    <w:rsid w:val="25FC2044"/>
    <w:rsid w:val="2600744D"/>
    <w:rsid w:val="260234CC"/>
    <w:rsid w:val="26030B2E"/>
    <w:rsid w:val="26034B6D"/>
    <w:rsid w:val="26035B0A"/>
    <w:rsid w:val="2604714B"/>
    <w:rsid w:val="26050D66"/>
    <w:rsid w:val="26060CD7"/>
    <w:rsid w:val="260C2553"/>
    <w:rsid w:val="260D38D7"/>
    <w:rsid w:val="260E058C"/>
    <w:rsid w:val="260E2237"/>
    <w:rsid w:val="26106118"/>
    <w:rsid w:val="26117836"/>
    <w:rsid w:val="26121042"/>
    <w:rsid w:val="2614487E"/>
    <w:rsid w:val="26153FFE"/>
    <w:rsid w:val="261714B7"/>
    <w:rsid w:val="26186526"/>
    <w:rsid w:val="26190E48"/>
    <w:rsid w:val="26192BF6"/>
    <w:rsid w:val="261C0B55"/>
    <w:rsid w:val="261D758D"/>
    <w:rsid w:val="261E4032"/>
    <w:rsid w:val="261F1E04"/>
    <w:rsid w:val="26205890"/>
    <w:rsid w:val="262104DF"/>
    <w:rsid w:val="2624043D"/>
    <w:rsid w:val="26261E4C"/>
    <w:rsid w:val="262644C2"/>
    <w:rsid w:val="262671F3"/>
    <w:rsid w:val="26270ED4"/>
    <w:rsid w:val="26283DDF"/>
    <w:rsid w:val="262A02F2"/>
    <w:rsid w:val="262A4E03"/>
    <w:rsid w:val="262A5097"/>
    <w:rsid w:val="262D4312"/>
    <w:rsid w:val="262D75A8"/>
    <w:rsid w:val="262E2DBE"/>
    <w:rsid w:val="26302EF3"/>
    <w:rsid w:val="26350945"/>
    <w:rsid w:val="26360FD5"/>
    <w:rsid w:val="26364EE9"/>
    <w:rsid w:val="26396DF4"/>
    <w:rsid w:val="263A491A"/>
    <w:rsid w:val="263D656D"/>
    <w:rsid w:val="264762F2"/>
    <w:rsid w:val="264D0AF2"/>
    <w:rsid w:val="264F6D71"/>
    <w:rsid w:val="265013FD"/>
    <w:rsid w:val="26517991"/>
    <w:rsid w:val="26544441"/>
    <w:rsid w:val="265A0F5D"/>
    <w:rsid w:val="265A729C"/>
    <w:rsid w:val="265B2BA0"/>
    <w:rsid w:val="265D3C2F"/>
    <w:rsid w:val="26614879"/>
    <w:rsid w:val="2665408D"/>
    <w:rsid w:val="26655BEB"/>
    <w:rsid w:val="2667130C"/>
    <w:rsid w:val="266B771E"/>
    <w:rsid w:val="266D4960"/>
    <w:rsid w:val="266D6A9E"/>
    <w:rsid w:val="266E5D0E"/>
    <w:rsid w:val="266E6F09"/>
    <w:rsid w:val="26751697"/>
    <w:rsid w:val="26761B5A"/>
    <w:rsid w:val="26786427"/>
    <w:rsid w:val="267918E7"/>
    <w:rsid w:val="26794610"/>
    <w:rsid w:val="267B4F47"/>
    <w:rsid w:val="267B531E"/>
    <w:rsid w:val="2683629D"/>
    <w:rsid w:val="26837BDC"/>
    <w:rsid w:val="2684786C"/>
    <w:rsid w:val="268A526B"/>
    <w:rsid w:val="268C2F32"/>
    <w:rsid w:val="268D1FF4"/>
    <w:rsid w:val="268F110A"/>
    <w:rsid w:val="269229A8"/>
    <w:rsid w:val="2694500D"/>
    <w:rsid w:val="2694794B"/>
    <w:rsid w:val="26951712"/>
    <w:rsid w:val="26960B11"/>
    <w:rsid w:val="26983542"/>
    <w:rsid w:val="269B185D"/>
    <w:rsid w:val="269C7DD7"/>
    <w:rsid w:val="269E61C2"/>
    <w:rsid w:val="269E67C9"/>
    <w:rsid w:val="26A01270"/>
    <w:rsid w:val="26A10E3D"/>
    <w:rsid w:val="26A23222"/>
    <w:rsid w:val="26A31FD6"/>
    <w:rsid w:val="26A36964"/>
    <w:rsid w:val="26A54F0B"/>
    <w:rsid w:val="26A56238"/>
    <w:rsid w:val="26A80D3F"/>
    <w:rsid w:val="26AB68F8"/>
    <w:rsid w:val="26AB79C4"/>
    <w:rsid w:val="26AC51E8"/>
    <w:rsid w:val="26AC75A2"/>
    <w:rsid w:val="26AF6B23"/>
    <w:rsid w:val="26B163E4"/>
    <w:rsid w:val="26B22D9C"/>
    <w:rsid w:val="26B24DF9"/>
    <w:rsid w:val="26B55F9F"/>
    <w:rsid w:val="26B641C5"/>
    <w:rsid w:val="26B67217"/>
    <w:rsid w:val="26B67E02"/>
    <w:rsid w:val="26B821C9"/>
    <w:rsid w:val="26BB1E22"/>
    <w:rsid w:val="26BC3438"/>
    <w:rsid w:val="26BD729A"/>
    <w:rsid w:val="26BE6835"/>
    <w:rsid w:val="26BF540C"/>
    <w:rsid w:val="26C07349"/>
    <w:rsid w:val="26C1297C"/>
    <w:rsid w:val="26C33155"/>
    <w:rsid w:val="26C61519"/>
    <w:rsid w:val="26C75AD5"/>
    <w:rsid w:val="26CA15F0"/>
    <w:rsid w:val="26CB0165"/>
    <w:rsid w:val="26CD2DF8"/>
    <w:rsid w:val="26CE6434"/>
    <w:rsid w:val="26D13B59"/>
    <w:rsid w:val="26D64F67"/>
    <w:rsid w:val="26DB381A"/>
    <w:rsid w:val="26E20633"/>
    <w:rsid w:val="26E566F9"/>
    <w:rsid w:val="26EA155D"/>
    <w:rsid w:val="26EC20B9"/>
    <w:rsid w:val="26EC61D5"/>
    <w:rsid w:val="26EC6F99"/>
    <w:rsid w:val="26ED4891"/>
    <w:rsid w:val="26EF48CA"/>
    <w:rsid w:val="26F43C54"/>
    <w:rsid w:val="26F62622"/>
    <w:rsid w:val="26F64738"/>
    <w:rsid w:val="26F660A6"/>
    <w:rsid w:val="26F709F6"/>
    <w:rsid w:val="26FC6074"/>
    <w:rsid w:val="26FD037B"/>
    <w:rsid w:val="26FE3B9A"/>
    <w:rsid w:val="26FE7379"/>
    <w:rsid w:val="27005B64"/>
    <w:rsid w:val="27010F3A"/>
    <w:rsid w:val="270469F3"/>
    <w:rsid w:val="27084A19"/>
    <w:rsid w:val="27091ED4"/>
    <w:rsid w:val="270A28CC"/>
    <w:rsid w:val="270A2F4F"/>
    <w:rsid w:val="270A41DB"/>
    <w:rsid w:val="270D27BB"/>
    <w:rsid w:val="271320F5"/>
    <w:rsid w:val="27137521"/>
    <w:rsid w:val="271635D9"/>
    <w:rsid w:val="2716768F"/>
    <w:rsid w:val="27182EAE"/>
    <w:rsid w:val="271C3274"/>
    <w:rsid w:val="272027ED"/>
    <w:rsid w:val="27204DC6"/>
    <w:rsid w:val="272070D5"/>
    <w:rsid w:val="27233601"/>
    <w:rsid w:val="27271A28"/>
    <w:rsid w:val="272A6F52"/>
    <w:rsid w:val="272D7445"/>
    <w:rsid w:val="2731082D"/>
    <w:rsid w:val="27315D1D"/>
    <w:rsid w:val="27357B7B"/>
    <w:rsid w:val="273723B6"/>
    <w:rsid w:val="273813D1"/>
    <w:rsid w:val="27391076"/>
    <w:rsid w:val="27396011"/>
    <w:rsid w:val="273C6A8B"/>
    <w:rsid w:val="273D6854"/>
    <w:rsid w:val="273E167D"/>
    <w:rsid w:val="273E2A11"/>
    <w:rsid w:val="27421C21"/>
    <w:rsid w:val="27457A1B"/>
    <w:rsid w:val="274613DF"/>
    <w:rsid w:val="274E2A7F"/>
    <w:rsid w:val="2754511E"/>
    <w:rsid w:val="27547C5E"/>
    <w:rsid w:val="275516FB"/>
    <w:rsid w:val="27593A66"/>
    <w:rsid w:val="275A4B9D"/>
    <w:rsid w:val="275E2EB4"/>
    <w:rsid w:val="275F557D"/>
    <w:rsid w:val="275F58BF"/>
    <w:rsid w:val="275F6D2E"/>
    <w:rsid w:val="276145DF"/>
    <w:rsid w:val="2762237B"/>
    <w:rsid w:val="27623B80"/>
    <w:rsid w:val="276310F4"/>
    <w:rsid w:val="276460F3"/>
    <w:rsid w:val="276837A3"/>
    <w:rsid w:val="2768641D"/>
    <w:rsid w:val="27694C78"/>
    <w:rsid w:val="276A7481"/>
    <w:rsid w:val="276B00DB"/>
    <w:rsid w:val="276F528A"/>
    <w:rsid w:val="27704B96"/>
    <w:rsid w:val="277276BC"/>
    <w:rsid w:val="27732A43"/>
    <w:rsid w:val="2774174E"/>
    <w:rsid w:val="277658CE"/>
    <w:rsid w:val="27766C07"/>
    <w:rsid w:val="2778352E"/>
    <w:rsid w:val="277A4594"/>
    <w:rsid w:val="277C1EB5"/>
    <w:rsid w:val="277C3C73"/>
    <w:rsid w:val="277D5B55"/>
    <w:rsid w:val="277E37DE"/>
    <w:rsid w:val="27807B2A"/>
    <w:rsid w:val="2783053F"/>
    <w:rsid w:val="27870033"/>
    <w:rsid w:val="2787409E"/>
    <w:rsid w:val="278B181B"/>
    <w:rsid w:val="278B2C84"/>
    <w:rsid w:val="278F102D"/>
    <w:rsid w:val="279221A8"/>
    <w:rsid w:val="2792654B"/>
    <w:rsid w:val="27934B14"/>
    <w:rsid w:val="279A4287"/>
    <w:rsid w:val="279E0121"/>
    <w:rsid w:val="27A40BE5"/>
    <w:rsid w:val="27A76BC9"/>
    <w:rsid w:val="27A866BC"/>
    <w:rsid w:val="27AA55B9"/>
    <w:rsid w:val="27AC0152"/>
    <w:rsid w:val="27AC20D6"/>
    <w:rsid w:val="27AC35F6"/>
    <w:rsid w:val="27AD149C"/>
    <w:rsid w:val="27AE270F"/>
    <w:rsid w:val="27AE752E"/>
    <w:rsid w:val="27AF0E7F"/>
    <w:rsid w:val="27B5694E"/>
    <w:rsid w:val="27B81EF9"/>
    <w:rsid w:val="27BA489E"/>
    <w:rsid w:val="27BB3F01"/>
    <w:rsid w:val="27BB4FE5"/>
    <w:rsid w:val="27BC5F2F"/>
    <w:rsid w:val="27C13BC6"/>
    <w:rsid w:val="27C20174"/>
    <w:rsid w:val="27C34E6B"/>
    <w:rsid w:val="27C36869"/>
    <w:rsid w:val="27C5369C"/>
    <w:rsid w:val="27CA10C4"/>
    <w:rsid w:val="27CB298B"/>
    <w:rsid w:val="27CC0841"/>
    <w:rsid w:val="27CD39E2"/>
    <w:rsid w:val="27CD4C01"/>
    <w:rsid w:val="27D03788"/>
    <w:rsid w:val="27D16159"/>
    <w:rsid w:val="27D25752"/>
    <w:rsid w:val="27D337BD"/>
    <w:rsid w:val="27D618F8"/>
    <w:rsid w:val="27D63884"/>
    <w:rsid w:val="27D71387"/>
    <w:rsid w:val="27D9501B"/>
    <w:rsid w:val="27DB4CBC"/>
    <w:rsid w:val="27DF722F"/>
    <w:rsid w:val="27E226E6"/>
    <w:rsid w:val="27E62FAC"/>
    <w:rsid w:val="27E7244C"/>
    <w:rsid w:val="27E94944"/>
    <w:rsid w:val="27EB51D5"/>
    <w:rsid w:val="27EE7DE4"/>
    <w:rsid w:val="27EF3969"/>
    <w:rsid w:val="27F154AD"/>
    <w:rsid w:val="27F15C9B"/>
    <w:rsid w:val="27F16C0B"/>
    <w:rsid w:val="27F228D2"/>
    <w:rsid w:val="27F531EF"/>
    <w:rsid w:val="27F7396A"/>
    <w:rsid w:val="27F8493C"/>
    <w:rsid w:val="27FD2501"/>
    <w:rsid w:val="27FD4B51"/>
    <w:rsid w:val="27FF1EA3"/>
    <w:rsid w:val="28003347"/>
    <w:rsid w:val="28003AB3"/>
    <w:rsid w:val="28015344"/>
    <w:rsid w:val="28017DE6"/>
    <w:rsid w:val="28021F74"/>
    <w:rsid w:val="280257A5"/>
    <w:rsid w:val="28030821"/>
    <w:rsid w:val="28041684"/>
    <w:rsid w:val="28047CD8"/>
    <w:rsid w:val="280853C9"/>
    <w:rsid w:val="280A4B59"/>
    <w:rsid w:val="280A5F11"/>
    <w:rsid w:val="281121EC"/>
    <w:rsid w:val="281141CE"/>
    <w:rsid w:val="281178FD"/>
    <w:rsid w:val="28123DA1"/>
    <w:rsid w:val="281B33C2"/>
    <w:rsid w:val="281F768A"/>
    <w:rsid w:val="282354BA"/>
    <w:rsid w:val="282473E2"/>
    <w:rsid w:val="282633A8"/>
    <w:rsid w:val="282835C4"/>
    <w:rsid w:val="282B2F4F"/>
    <w:rsid w:val="282E17F9"/>
    <w:rsid w:val="282E311B"/>
    <w:rsid w:val="283350CE"/>
    <w:rsid w:val="28341F69"/>
    <w:rsid w:val="28342F93"/>
    <w:rsid w:val="28356CC8"/>
    <w:rsid w:val="28357B48"/>
    <w:rsid w:val="28375D92"/>
    <w:rsid w:val="28384E97"/>
    <w:rsid w:val="283A50A6"/>
    <w:rsid w:val="283D00A6"/>
    <w:rsid w:val="283D48B8"/>
    <w:rsid w:val="283F2938"/>
    <w:rsid w:val="28404D58"/>
    <w:rsid w:val="28426601"/>
    <w:rsid w:val="28440823"/>
    <w:rsid w:val="284464E7"/>
    <w:rsid w:val="28452C36"/>
    <w:rsid w:val="28487E01"/>
    <w:rsid w:val="284D4DD9"/>
    <w:rsid w:val="284D6B87"/>
    <w:rsid w:val="284E4578"/>
    <w:rsid w:val="28500425"/>
    <w:rsid w:val="28504F24"/>
    <w:rsid w:val="28510EC8"/>
    <w:rsid w:val="285316AF"/>
    <w:rsid w:val="2854777C"/>
    <w:rsid w:val="285554E4"/>
    <w:rsid w:val="28574C91"/>
    <w:rsid w:val="285B17D3"/>
    <w:rsid w:val="285B196C"/>
    <w:rsid w:val="285E5080"/>
    <w:rsid w:val="285F4B0C"/>
    <w:rsid w:val="2860031B"/>
    <w:rsid w:val="28640926"/>
    <w:rsid w:val="28650F27"/>
    <w:rsid w:val="286638E0"/>
    <w:rsid w:val="28681956"/>
    <w:rsid w:val="286A000F"/>
    <w:rsid w:val="286B525F"/>
    <w:rsid w:val="286F62A5"/>
    <w:rsid w:val="286F78E3"/>
    <w:rsid w:val="287070A1"/>
    <w:rsid w:val="287224D5"/>
    <w:rsid w:val="287421AB"/>
    <w:rsid w:val="28750189"/>
    <w:rsid w:val="2875332C"/>
    <w:rsid w:val="28755B97"/>
    <w:rsid w:val="287711B3"/>
    <w:rsid w:val="28783202"/>
    <w:rsid w:val="287B20F1"/>
    <w:rsid w:val="287F6E7C"/>
    <w:rsid w:val="288324AB"/>
    <w:rsid w:val="28845449"/>
    <w:rsid w:val="28860B2C"/>
    <w:rsid w:val="28897C6D"/>
    <w:rsid w:val="288B0D33"/>
    <w:rsid w:val="288C4FE2"/>
    <w:rsid w:val="288F53F1"/>
    <w:rsid w:val="28941471"/>
    <w:rsid w:val="2895233D"/>
    <w:rsid w:val="289A2123"/>
    <w:rsid w:val="289A5DA7"/>
    <w:rsid w:val="28A028F6"/>
    <w:rsid w:val="28A24364"/>
    <w:rsid w:val="28A259AD"/>
    <w:rsid w:val="28A25A06"/>
    <w:rsid w:val="28A538C1"/>
    <w:rsid w:val="28A55AAE"/>
    <w:rsid w:val="28A60355"/>
    <w:rsid w:val="28A70759"/>
    <w:rsid w:val="28A70FF7"/>
    <w:rsid w:val="28AA14B5"/>
    <w:rsid w:val="28AF0C60"/>
    <w:rsid w:val="28B040B5"/>
    <w:rsid w:val="28B05368"/>
    <w:rsid w:val="28B20D88"/>
    <w:rsid w:val="28B35D45"/>
    <w:rsid w:val="28B46C06"/>
    <w:rsid w:val="28B72B02"/>
    <w:rsid w:val="28BC45D8"/>
    <w:rsid w:val="28BD195C"/>
    <w:rsid w:val="28BD3D8A"/>
    <w:rsid w:val="28BD5EE7"/>
    <w:rsid w:val="28C04312"/>
    <w:rsid w:val="28C07CF1"/>
    <w:rsid w:val="28C10167"/>
    <w:rsid w:val="28C12DC3"/>
    <w:rsid w:val="28C17575"/>
    <w:rsid w:val="28C22E84"/>
    <w:rsid w:val="28C513FE"/>
    <w:rsid w:val="28C57BDA"/>
    <w:rsid w:val="28C72768"/>
    <w:rsid w:val="28CC21F1"/>
    <w:rsid w:val="28CD5D86"/>
    <w:rsid w:val="28CE5D75"/>
    <w:rsid w:val="28CF4FC9"/>
    <w:rsid w:val="28D123D3"/>
    <w:rsid w:val="28D71189"/>
    <w:rsid w:val="28D7340F"/>
    <w:rsid w:val="28D84BB6"/>
    <w:rsid w:val="28D92B11"/>
    <w:rsid w:val="28DA30ED"/>
    <w:rsid w:val="28DA564B"/>
    <w:rsid w:val="28DD3698"/>
    <w:rsid w:val="28E05BD7"/>
    <w:rsid w:val="28E33293"/>
    <w:rsid w:val="28E5623E"/>
    <w:rsid w:val="28E84AD1"/>
    <w:rsid w:val="28EA2982"/>
    <w:rsid w:val="28EA7B95"/>
    <w:rsid w:val="28EB0D81"/>
    <w:rsid w:val="28EC2855"/>
    <w:rsid w:val="28ED2118"/>
    <w:rsid w:val="28EE4793"/>
    <w:rsid w:val="28F321A1"/>
    <w:rsid w:val="28F425DD"/>
    <w:rsid w:val="28F62B07"/>
    <w:rsid w:val="28F74D45"/>
    <w:rsid w:val="28F758D5"/>
    <w:rsid w:val="28FB5E1E"/>
    <w:rsid w:val="28FE23CD"/>
    <w:rsid w:val="290133A4"/>
    <w:rsid w:val="290214E9"/>
    <w:rsid w:val="29026198"/>
    <w:rsid w:val="29035918"/>
    <w:rsid w:val="2909690F"/>
    <w:rsid w:val="290C6A42"/>
    <w:rsid w:val="290E7E1A"/>
    <w:rsid w:val="29102C1B"/>
    <w:rsid w:val="291122AA"/>
    <w:rsid w:val="2916267C"/>
    <w:rsid w:val="291842B4"/>
    <w:rsid w:val="291A7906"/>
    <w:rsid w:val="291B1D32"/>
    <w:rsid w:val="291B46D5"/>
    <w:rsid w:val="291B6C85"/>
    <w:rsid w:val="291C5B87"/>
    <w:rsid w:val="291F0E80"/>
    <w:rsid w:val="292316B5"/>
    <w:rsid w:val="292454AD"/>
    <w:rsid w:val="292524F4"/>
    <w:rsid w:val="29263ADB"/>
    <w:rsid w:val="292673D8"/>
    <w:rsid w:val="2929360E"/>
    <w:rsid w:val="29293F65"/>
    <w:rsid w:val="292E4CE9"/>
    <w:rsid w:val="29300B39"/>
    <w:rsid w:val="2930629A"/>
    <w:rsid w:val="29323960"/>
    <w:rsid w:val="29325E87"/>
    <w:rsid w:val="29342943"/>
    <w:rsid w:val="29345493"/>
    <w:rsid w:val="293612B8"/>
    <w:rsid w:val="29362D8D"/>
    <w:rsid w:val="2939374A"/>
    <w:rsid w:val="29396E04"/>
    <w:rsid w:val="293B10C1"/>
    <w:rsid w:val="293B7F5E"/>
    <w:rsid w:val="293C2633"/>
    <w:rsid w:val="293D2133"/>
    <w:rsid w:val="293F1527"/>
    <w:rsid w:val="293F5A42"/>
    <w:rsid w:val="293F5ACC"/>
    <w:rsid w:val="29427C5C"/>
    <w:rsid w:val="2943707E"/>
    <w:rsid w:val="2945353C"/>
    <w:rsid w:val="29464CEE"/>
    <w:rsid w:val="29474572"/>
    <w:rsid w:val="2948192B"/>
    <w:rsid w:val="29492330"/>
    <w:rsid w:val="294C70F4"/>
    <w:rsid w:val="294D376E"/>
    <w:rsid w:val="294E2159"/>
    <w:rsid w:val="294E7604"/>
    <w:rsid w:val="2951462D"/>
    <w:rsid w:val="29542197"/>
    <w:rsid w:val="2958679B"/>
    <w:rsid w:val="295C7E8D"/>
    <w:rsid w:val="295F58A9"/>
    <w:rsid w:val="29601181"/>
    <w:rsid w:val="29652B72"/>
    <w:rsid w:val="2965585B"/>
    <w:rsid w:val="29656152"/>
    <w:rsid w:val="29662C17"/>
    <w:rsid w:val="296B2F49"/>
    <w:rsid w:val="296C2693"/>
    <w:rsid w:val="296D5695"/>
    <w:rsid w:val="29705D42"/>
    <w:rsid w:val="297268AD"/>
    <w:rsid w:val="2973544C"/>
    <w:rsid w:val="29762033"/>
    <w:rsid w:val="29764806"/>
    <w:rsid w:val="297960E3"/>
    <w:rsid w:val="297B7F6B"/>
    <w:rsid w:val="29802A07"/>
    <w:rsid w:val="29837F42"/>
    <w:rsid w:val="29851E22"/>
    <w:rsid w:val="298716C3"/>
    <w:rsid w:val="29884BAD"/>
    <w:rsid w:val="2988509B"/>
    <w:rsid w:val="298B4B11"/>
    <w:rsid w:val="298C36FB"/>
    <w:rsid w:val="298C3CA3"/>
    <w:rsid w:val="298D13C8"/>
    <w:rsid w:val="298D5B85"/>
    <w:rsid w:val="298E458A"/>
    <w:rsid w:val="298F0A3F"/>
    <w:rsid w:val="298F7321"/>
    <w:rsid w:val="2990624F"/>
    <w:rsid w:val="299813D7"/>
    <w:rsid w:val="29983220"/>
    <w:rsid w:val="29991A0B"/>
    <w:rsid w:val="29997FA3"/>
    <w:rsid w:val="299A57C8"/>
    <w:rsid w:val="299B35A4"/>
    <w:rsid w:val="29A010DA"/>
    <w:rsid w:val="29A50C45"/>
    <w:rsid w:val="29A57C3D"/>
    <w:rsid w:val="29A713A4"/>
    <w:rsid w:val="29A7465B"/>
    <w:rsid w:val="29A775B1"/>
    <w:rsid w:val="29A77D22"/>
    <w:rsid w:val="29A85259"/>
    <w:rsid w:val="29A924BE"/>
    <w:rsid w:val="29AB765A"/>
    <w:rsid w:val="29AC371E"/>
    <w:rsid w:val="29AC3804"/>
    <w:rsid w:val="29AC5F04"/>
    <w:rsid w:val="29AE31D5"/>
    <w:rsid w:val="29B27C53"/>
    <w:rsid w:val="29B458AF"/>
    <w:rsid w:val="29B50D13"/>
    <w:rsid w:val="29B641A3"/>
    <w:rsid w:val="29B776E3"/>
    <w:rsid w:val="29B82726"/>
    <w:rsid w:val="29BA766A"/>
    <w:rsid w:val="29C00539"/>
    <w:rsid w:val="29C25D33"/>
    <w:rsid w:val="29C64576"/>
    <w:rsid w:val="29C71314"/>
    <w:rsid w:val="29CB6DB1"/>
    <w:rsid w:val="29CB73EF"/>
    <w:rsid w:val="29CD3664"/>
    <w:rsid w:val="29CE064E"/>
    <w:rsid w:val="29D10E01"/>
    <w:rsid w:val="29D15596"/>
    <w:rsid w:val="29D1699A"/>
    <w:rsid w:val="29D37333"/>
    <w:rsid w:val="29D4241E"/>
    <w:rsid w:val="29D55449"/>
    <w:rsid w:val="29D677E0"/>
    <w:rsid w:val="29D90402"/>
    <w:rsid w:val="29E007E7"/>
    <w:rsid w:val="29E4176D"/>
    <w:rsid w:val="29E43BC8"/>
    <w:rsid w:val="29E928DF"/>
    <w:rsid w:val="29E9525E"/>
    <w:rsid w:val="29EE439A"/>
    <w:rsid w:val="29F40987"/>
    <w:rsid w:val="29F45E55"/>
    <w:rsid w:val="29F644DE"/>
    <w:rsid w:val="29FB1F53"/>
    <w:rsid w:val="29FD6A01"/>
    <w:rsid w:val="29FF7E40"/>
    <w:rsid w:val="2A037D96"/>
    <w:rsid w:val="2A040EFB"/>
    <w:rsid w:val="2A062E45"/>
    <w:rsid w:val="2A0B2933"/>
    <w:rsid w:val="2A0B4F4C"/>
    <w:rsid w:val="2A0B6CFA"/>
    <w:rsid w:val="2A0D1896"/>
    <w:rsid w:val="2A0E728C"/>
    <w:rsid w:val="2A14054B"/>
    <w:rsid w:val="2A140921"/>
    <w:rsid w:val="2A153459"/>
    <w:rsid w:val="2A1831C5"/>
    <w:rsid w:val="2A1856A2"/>
    <w:rsid w:val="2A1970BC"/>
    <w:rsid w:val="2A1A1D86"/>
    <w:rsid w:val="2A1C708B"/>
    <w:rsid w:val="2A1D3C8D"/>
    <w:rsid w:val="2A1D51ED"/>
    <w:rsid w:val="2A222BC7"/>
    <w:rsid w:val="2A225DF1"/>
    <w:rsid w:val="2A226F6A"/>
    <w:rsid w:val="2A2631B4"/>
    <w:rsid w:val="2A272727"/>
    <w:rsid w:val="2A2A1ADF"/>
    <w:rsid w:val="2A2A419B"/>
    <w:rsid w:val="2A2E4E47"/>
    <w:rsid w:val="2A3042D8"/>
    <w:rsid w:val="2A34375B"/>
    <w:rsid w:val="2A370FF3"/>
    <w:rsid w:val="2A377AEF"/>
    <w:rsid w:val="2A3B141D"/>
    <w:rsid w:val="2A3D56A3"/>
    <w:rsid w:val="2A3F41CF"/>
    <w:rsid w:val="2A420242"/>
    <w:rsid w:val="2A465F84"/>
    <w:rsid w:val="2A4B3E2F"/>
    <w:rsid w:val="2A4C7AA9"/>
    <w:rsid w:val="2A4D0CDA"/>
    <w:rsid w:val="2A504D09"/>
    <w:rsid w:val="2A524929"/>
    <w:rsid w:val="2A526DD5"/>
    <w:rsid w:val="2A527D88"/>
    <w:rsid w:val="2A53657E"/>
    <w:rsid w:val="2A545DC9"/>
    <w:rsid w:val="2A5B4831"/>
    <w:rsid w:val="2A5D0810"/>
    <w:rsid w:val="2A5D6E94"/>
    <w:rsid w:val="2A6047ED"/>
    <w:rsid w:val="2A61691A"/>
    <w:rsid w:val="2A627F80"/>
    <w:rsid w:val="2A661E6A"/>
    <w:rsid w:val="2A6626D1"/>
    <w:rsid w:val="2A6E2F7D"/>
    <w:rsid w:val="2A6F54DA"/>
    <w:rsid w:val="2A6F7A33"/>
    <w:rsid w:val="2A782CAB"/>
    <w:rsid w:val="2A7C43F3"/>
    <w:rsid w:val="2A7F7A10"/>
    <w:rsid w:val="2A812A99"/>
    <w:rsid w:val="2A8244CF"/>
    <w:rsid w:val="2A84252B"/>
    <w:rsid w:val="2A857F5F"/>
    <w:rsid w:val="2A860DED"/>
    <w:rsid w:val="2A8940C2"/>
    <w:rsid w:val="2A917599"/>
    <w:rsid w:val="2A9276AA"/>
    <w:rsid w:val="2A930EB0"/>
    <w:rsid w:val="2A962251"/>
    <w:rsid w:val="2A972876"/>
    <w:rsid w:val="2A9827B9"/>
    <w:rsid w:val="2A9A703D"/>
    <w:rsid w:val="2A9D45B5"/>
    <w:rsid w:val="2A9F38E6"/>
    <w:rsid w:val="2AA139EA"/>
    <w:rsid w:val="2AA14632"/>
    <w:rsid w:val="2AA30035"/>
    <w:rsid w:val="2AA5638C"/>
    <w:rsid w:val="2AA60CC2"/>
    <w:rsid w:val="2AA64D9A"/>
    <w:rsid w:val="2AA75CDF"/>
    <w:rsid w:val="2AA81E00"/>
    <w:rsid w:val="2AA84D36"/>
    <w:rsid w:val="2AA87AC4"/>
    <w:rsid w:val="2AA943DB"/>
    <w:rsid w:val="2AAC16DD"/>
    <w:rsid w:val="2AAC44F6"/>
    <w:rsid w:val="2AAD1BAD"/>
    <w:rsid w:val="2AAD7290"/>
    <w:rsid w:val="2AAF7A65"/>
    <w:rsid w:val="2AB05683"/>
    <w:rsid w:val="2AB2184B"/>
    <w:rsid w:val="2AB62F45"/>
    <w:rsid w:val="2AB71F1B"/>
    <w:rsid w:val="2AB96756"/>
    <w:rsid w:val="2ABA048B"/>
    <w:rsid w:val="2ABA71F1"/>
    <w:rsid w:val="2ABB2F14"/>
    <w:rsid w:val="2ABB450C"/>
    <w:rsid w:val="2ABD11E8"/>
    <w:rsid w:val="2ABD24AF"/>
    <w:rsid w:val="2ABD5116"/>
    <w:rsid w:val="2ABE38D4"/>
    <w:rsid w:val="2AC33156"/>
    <w:rsid w:val="2AC37EFD"/>
    <w:rsid w:val="2ACD5A50"/>
    <w:rsid w:val="2ACE64B9"/>
    <w:rsid w:val="2ACF01D7"/>
    <w:rsid w:val="2ACF2C00"/>
    <w:rsid w:val="2AD07D8B"/>
    <w:rsid w:val="2AD2709E"/>
    <w:rsid w:val="2AD417E1"/>
    <w:rsid w:val="2AD92954"/>
    <w:rsid w:val="2AD94FB7"/>
    <w:rsid w:val="2ADA71F7"/>
    <w:rsid w:val="2ADB3FC3"/>
    <w:rsid w:val="2ADD1EF9"/>
    <w:rsid w:val="2ADD2188"/>
    <w:rsid w:val="2ADD4575"/>
    <w:rsid w:val="2AE02865"/>
    <w:rsid w:val="2AE12B7D"/>
    <w:rsid w:val="2AE25329"/>
    <w:rsid w:val="2AE26CDF"/>
    <w:rsid w:val="2AE46414"/>
    <w:rsid w:val="2AE51E4B"/>
    <w:rsid w:val="2AE632C3"/>
    <w:rsid w:val="2AEB3712"/>
    <w:rsid w:val="2AED4651"/>
    <w:rsid w:val="2AF37359"/>
    <w:rsid w:val="2AF7102C"/>
    <w:rsid w:val="2AFA54E8"/>
    <w:rsid w:val="2AFA767D"/>
    <w:rsid w:val="2AFF0777"/>
    <w:rsid w:val="2AFF7E0A"/>
    <w:rsid w:val="2B0025D7"/>
    <w:rsid w:val="2B0163E4"/>
    <w:rsid w:val="2B035C23"/>
    <w:rsid w:val="2B0454AF"/>
    <w:rsid w:val="2B067527"/>
    <w:rsid w:val="2B084FE7"/>
    <w:rsid w:val="2B092D35"/>
    <w:rsid w:val="2B0A5D1A"/>
    <w:rsid w:val="2B0B0750"/>
    <w:rsid w:val="2B0B2108"/>
    <w:rsid w:val="2B0E3246"/>
    <w:rsid w:val="2B125B9D"/>
    <w:rsid w:val="2B132400"/>
    <w:rsid w:val="2B140FE0"/>
    <w:rsid w:val="2B155786"/>
    <w:rsid w:val="2B1625B5"/>
    <w:rsid w:val="2B184671"/>
    <w:rsid w:val="2B1A4527"/>
    <w:rsid w:val="2B1C2804"/>
    <w:rsid w:val="2B1C45DD"/>
    <w:rsid w:val="2B1D3C74"/>
    <w:rsid w:val="2B1E2053"/>
    <w:rsid w:val="2B203DD5"/>
    <w:rsid w:val="2B204A27"/>
    <w:rsid w:val="2B211690"/>
    <w:rsid w:val="2B21628B"/>
    <w:rsid w:val="2B2229D3"/>
    <w:rsid w:val="2B2360DA"/>
    <w:rsid w:val="2B2707C9"/>
    <w:rsid w:val="2B275DB5"/>
    <w:rsid w:val="2B2765E8"/>
    <w:rsid w:val="2B286B43"/>
    <w:rsid w:val="2B3163EF"/>
    <w:rsid w:val="2B367DA6"/>
    <w:rsid w:val="2B3806DB"/>
    <w:rsid w:val="2B3B537D"/>
    <w:rsid w:val="2B3B5E16"/>
    <w:rsid w:val="2B3D2D3C"/>
    <w:rsid w:val="2B3E058E"/>
    <w:rsid w:val="2B403337"/>
    <w:rsid w:val="2B404781"/>
    <w:rsid w:val="2B413DA0"/>
    <w:rsid w:val="2B4210BF"/>
    <w:rsid w:val="2B422A8B"/>
    <w:rsid w:val="2B4273A7"/>
    <w:rsid w:val="2B433F3B"/>
    <w:rsid w:val="2B4C3820"/>
    <w:rsid w:val="2B4C6FCD"/>
    <w:rsid w:val="2B4C7871"/>
    <w:rsid w:val="2B4F5B91"/>
    <w:rsid w:val="2B51698E"/>
    <w:rsid w:val="2B535855"/>
    <w:rsid w:val="2B5E0320"/>
    <w:rsid w:val="2B5F2F59"/>
    <w:rsid w:val="2B5F5F0A"/>
    <w:rsid w:val="2B607D2C"/>
    <w:rsid w:val="2B621FE5"/>
    <w:rsid w:val="2B6306C9"/>
    <w:rsid w:val="2B651C97"/>
    <w:rsid w:val="2B653ECA"/>
    <w:rsid w:val="2B6C095D"/>
    <w:rsid w:val="2B6C37C8"/>
    <w:rsid w:val="2B6C6210"/>
    <w:rsid w:val="2B7331F4"/>
    <w:rsid w:val="2B75455E"/>
    <w:rsid w:val="2B764647"/>
    <w:rsid w:val="2B764CE5"/>
    <w:rsid w:val="2B7858EC"/>
    <w:rsid w:val="2B7878B1"/>
    <w:rsid w:val="2B793DB9"/>
    <w:rsid w:val="2B7D7993"/>
    <w:rsid w:val="2B82526A"/>
    <w:rsid w:val="2B855870"/>
    <w:rsid w:val="2B890DB9"/>
    <w:rsid w:val="2B8A40E7"/>
    <w:rsid w:val="2B926A79"/>
    <w:rsid w:val="2B941F12"/>
    <w:rsid w:val="2B9A66D9"/>
    <w:rsid w:val="2B9B191F"/>
    <w:rsid w:val="2BA10635"/>
    <w:rsid w:val="2BA44BCB"/>
    <w:rsid w:val="2BA61C9E"/>
    <w:rsid w:val="2BA70CA4"/>
    <w:rsid w:val="2BA7413C"/>
    <w:rsid w:val="2BA87FEC"/>
    <w:rsid w:val="2BAA1284"/>
    <w:rsid w:val="2BAC4991"/>
    <w:rsid w:val="2BAC62BA"/>
    <w:rsid w:val="2BAD45C6"/>
    <w:rsid w:val="2BAD679F"/>
    <w:rsid w:val="2BAE029D"/>
    <w:rsid w:val="2BB0373C"/>
    <w:rsid w:val="2BB33C54"/>
    <w:rsid w:val="2BB546DF"/>
    <w:rsid w:val="2BB67631"/>
    <w:rsid w:val="2BB911AC"/>
    <w:rsid w:val="2BBA45C1"/>
    <w:rsid w:val="2BBE30C8"/>
    <w:rsid w:val="2BBF1A94"/>
    <w:rsid w:val="2BBF460F"/>
    <w:rsid w:val="2BC15A21"/>
    <w:rsid w:val="2BC20663"/>
    <w:rsid w:val="2BC53FB8"/>
    <w:rsid w:val="2BC851B6"/>
    <w:rsid w:val="2BC90B7A"/>
    <w:rsid w:val="2BC9141B"/>
    <w:rsid w:val="2BCA7970"/>
    <w:rsid w:val="2BCB2929"/>
    <w:rsid w:val="2BCE54AB"/>
    <w:rsid w:val="2BCF3756"/>
    <w:rsid w:val="2BD0421D"/>
    <w:rsid w:val="2BD34A33"/>
    <w:rsid w:val="2BD5498E"/>
    <w:rsid w:val="2BD82770"/>
    <w:rsid w:val="2BD86EA7"/>
    <w:rsid w:val="2BD96984"/>
    <w:rsid w:val="2BE04D9E"/>
    <w:rsid w:val="2BE66E7A"/>
    <w:rsid w:val="2BE94E19"/>
    <w:rsid w:val="2BEC768E"/>
    <w:rsid w:val="2BED0F80"/>
    <w:rsid w:val="2BED42D8"/>
    <w:rsid w:val="2BEE36D3"/>
    <w:rsid w:val="2BEF2A5A"/>
    <w:rsid w:val="2BEF4A81"/>
    <w:rsid w:val="2BF11F1F"/>
    <w:rsid w:val="2BF46A64"/>
    <w:rsid w:val="2BF612E4"/>
    <w:rsid w:val="2BF97811"/>
    <w:rsid w:val="2BFB0BF3"/>
    <w:rsid w:val="2BFB4B4C"/>
    <w:rsid w:val="2C02237E"/>
    <w:rsid w:val="2C03618B"/>
    <w:rsid w:val="2C0A597D"/>
    <w:rsid w:val="2C0B0B7B"/>
    <w:rsid w:val="2C0B3B18"/>
    <w:rsid w:val="2C0B5BF5"/>
    <w:rsid w:val="2C0C4FAB"/>
    <w:rsid w:val="2C0D5876"/>
    <w:rsid w:val="2C0E2DAF"/>
    <w:rsid w:val="2C0E474A"/>
    <w:rsid w:val="2C1508B0"/>
    <w:rsid w:val="2C155BBB"/>
    <w:rsid w:val="2C192F4B"/>
    <w:rsid w:val="2C1B367B"/>
    <w:rsid w:val="2C1E2D50"/>
    <w:rsid w:val="2C226639"/>
    <w:rsid w:val="2C240E10"/>
    <w:rsid w:val="2C2465D9"/>
    <w:rsid w:val="2C2505C6"/>
    <w:rsid w:val="2C256E49"/>
    <w:rsid w:val="2C26793D"/>
    <w:rsid w:val="2C267FD2"/>
    <w:rsid w:val="2C28557F"/>
    <w:rsid w:val="2C2A56CC"/>
    <w:rsid w:val="2C2C1D56"/>
    <w:rsid w:val="2C2E151D"/>
    <w:rsid w:val="2C334154"/>
    <w:rsid w:val="2C345244"/>
    <w:rsid w:val="2C346DFD"/>
    <w:rsid w:val="2C37792C"/>
    <w:rsid w:val="2C386056"/>
    <w:rsid w:val="2C3C3AFC"/>
    <w:rsid w:val="2C4251CC"/>
    <w:rsid w:val="2C4276D0"/>
    <w:rsid w:val="2C4768FF"/>
    <w:rsid w:val="2C493B38"/>
    <w:rsid w:val="2C4A2D8B"/>
    <w:rsid w:val="2C4B1F3A"/>
    <w:rsid w:val="2C4E7372"/>
    <w:rsid w:val="2C515116"/>
    <w:rsid w:val="2C535C0E"/>
    <w:rsid w:val="2C535C27"/>
    <w:rsid w:val="2C5569B1"/>
    <w:rsid w:val="2C557197"/>
    <w:rsid w:val="2C563576"/>
    <w:rsid w:val="2C5A6EF8"/>
    <w:rsid w:val="2C5C5ED6"/>
    <w:rsid w:val="2C5E33CB"/>
    <w:rsid w:val="2C5E3BD6"/>
    <w:rsid w:val="2C5E49F2"/>
    <w:rsid w:val="2C5F7E63"/>
    <w:rsid w:val="2C607852"/>
    <w:rsid w:val="2C6170A5"/>
    <w:rsid w:val="2C6277EC"/>
    <w:rsid w:val="2C6341C0"/>
    <w:rsid w:val="2C6455E7"/>
    <w:rsid w:val="2C6E015B"/>
    <w:rsid w:val="2C772424"/>
    <w:rsid w:val="2C782B7B"/>
    <w:rsid w:val="2C7F752B"/>
    <w:rsid w:val="2C81768D"/>
    <w:rsid w:val="2C8227BD"/>
    <w:rsid w:val="2C8248C9"/>
    <w:rsid w:val="2C846AA7"/>
    <w:rsid w:val="2C861DCA"/>
    <w:rsid w:val="2C8758F7"/>
    <w:rsid w:val="2C891B94"/>
    <w:rsid w:val="2C911DE5"/>
    <w:rsid w:val="2C913E5D"/>
    <w:rsid w:val="2C925621"/>
    <w:rsid w:val="2C964DB5"/>
    <w:rsid w:val="2C997461"/>
    <w:rsid w:val="2C9F3729"/>
    <w:rsid w:val="2CA03ED2"/>
    <w:rsid w:val="2CA300EB"/>
    <w:rsid w:val="2CA62CA5"/>
    <w:rsid w:val="2CA64AB8"/>
    <w:rsid w:val="2CA83B1A"/>
    <w:rsid w:val="2CAD511D"/>
    <w:rsid w:val="2CAF58CD"/>
    <w:rsid w:val="2CB0060B"/>
    <w:rsid w:val="2CB15C6F"/>
    <w:rsid w:val="2CB52C4B"/>
    <w:rsid w:val="2CB80F55"/>
    <w:rsid w:val="2CB94FB2"/>
    <w:rsid w:val="2CBF0186"/>
    <w:rsid w:val="2CC0092B"/>
    <w:rsid w:val="2CC017A7"/>
    <w:rsid w:val="2CC212E5"/>
    <w:rsid w:val="2CC33DDF"/>
    <w:rsid w:val="2CC54439"/>
    <w:rsid w:val="2CC5620A"/>
    <w:rsid w:val="2CC8179E"/>
    <w:rsid w:val="2CCB0BCB"/>
    <w:rsid w:val="2CD31625"/>
    <w:rsid w:val="2CD5045B"/>
    <w:rsid w:val="2CD52A42"/>
    <w:rsid w:val="2CD5511A"/>
    <w:rsid w:val="2CD55165"/>
    <w:rsid w:val="2CD84C2C"/>
    <w:rsid w:val="2CDF1359"/>
    <w:rsid w:val="2CE03EBB"/>
    <w:rsid w:val="2CE533E5"/>
    <w:rsid w:val="2CE616D4"/>
    <w:rsid w:val="2CE62002"/>
    <w:rsid w:val="2CE66711"/>
    <w:rsid w:val="2CE8269C"/>
    <w:rsid w:val="2CEB2B60"/>
    <w:rsid w:val="2CED6B8B"/>
    <w:rsid w:val="2CF26871"/>
    <w:rsid w:val="2CF27CFD"/>
    <w:rsid w:val="2CF41E8B"/>
    <w:rsid w:val="2CF67A4A"/>
    <w:rsid w:val="2CFA241D"/>
    <w:rsid w:val="2CFA3825"/>
    <w:rsid w:val="2CFC67E6"/>
    <w:rsid w:val="2CFC7C67"/>
    <w:rsid w:val="2CFF04EF"/>
    <w:rsid w:val="2CFF241A"/>
    <w:rsid w:val="2D027808"/>
    <w:rsid w:val="2D0401AC"/>
    <w:rsid w:val="2D056C19"/>
    <w:rsid w:val="2D061115"/>
    <w:rsid w:val="2D06505A"/>
    <w:rsid w:val="2D083445"/>
    <w:rsid w:val="2D090EDE"/>
    <w:rsid w:val="2D0E0F38"/>
    <w:rsid w:val="2D106852"/>
    <w:rsid w:val="2D133C9F"/>
    <w:rsid w:val="2D142601"/>
    <w:rsid w:val="2D1A5F77"/>
    <w:rsid w:val="2D1A7254"/>
    <w:rsid w:val="2D1B36F8"/>
    <w:rsid w:val="2D1D0DAC"/>
    <w:rsid w:val="2D1F1421"/>
    <w:rsid w:val="2D206EDE"/>
    <w:rsid w:val="2D236D1F"/>
    <w:rsid w:val="2D2475C7"/>
    <w:rsid w:val="2D264FC0"/>
    <w:rsid w:val="2D2950C9"/>
    <w:rsid w:val="2D2B448B"/>
    <w:rsid w:val="2D2C450A"/>
    <w:rsid w:val="2D2E07E0"/>
    <w:rsid w:val="2D3018EE"/>
    <w:rsid w:val="2D31120A"/>
    <w:rsid w:val="2D3120E4"/>
    <w:rsid w:val="2D341A05"/>
    <w:rsid w:val="2D352E3D"/>
    <w:rsid w:val="2D3536F4"/>
    <w:rsid w:val="2D355F60"/>
    <w:rsid w:val="2D3612D9"/>
    <w:rsid w:val="2D3613BD"/>
    <w:rsid w:val="2D38564D"/>
    <w:rsid w:val="2D391DD0"/>
    <w:rsid w:val="2D3A2D4B"/>
    <w:rsid w:val="2D3B2315"/>
    <w:rsid w:val="2D3D5623"/>
    <w:rsid w:val="2D417095"/>
    <w:rsid w:val="2D4631B4"/>
    <w:rsid w:val="2D4753BF"/>
    <w:rsid w:val="2D4959DD"/>
    <w:rsid w:val="2D4E5C4A"/>
    <w:rsid w:val="2D4F7D03"/>
    <w:rsid w:val="2D502C75"/>
    <w:rsid w:val="2D5403E0"/>
    <w:rsid w:val="2D546C0A"/>
    <w:rsid w:val="2D557317"/>
    <w:rsid w:val="2D5620A8"/>
    <w:rsid w:val="2D564D06"/>
    <w:rsid w:val="2D573603"/>
    <w:rsid w:val="2D576880"/>
    <w:rsid w:val="2D581170"/>
    <w:rsid w:val="2D58376F"/>
    <w:rsid w:val="2D5962D0"/>
    <w:rsid w:val="2D5C4C59"/>
    <w:rsid w:val="2D5C6F4C"/>
    <w:rsid w:val="2D5D55B2"/>
    <w:rsid w:val="2D5D58C3"/>
    <w:rsid w:val="2D5E4AE7"/>
    <w:rsid w:val="2D622632"/>
    <w:rsid w:val="2D635A95"/>
    <w:rsid w:val="2D655B05"/>
    <w:rsid w:val="2D687FBF"/>
    <w:rsid w:val="2D6A1F89"/>
    <w:rsid w:val="2D6A2E39"/>
    <w:rsid w:val="2D6A38F6"/>
    <w:rsid w:val="2D6A4341"/>
    <w:rsid w:val="2D6C263C"/>
    <w:rsid w:val="2D6D65BA"/>
    <w:rsid w:val="2D6F35C2"/>
    <w:rsid w:val="2D6F7AFF"/>
    <w:rsid w:val="2D717886"/>
    <w:rsid w:val="2D7275F5"/>
    <w:rsid w:val="2D7601A5"/>
    <w:rsid w:val="2D76092E"/>
    <w:rsid w:val="2D7626DC"/>
    <w:rsid w:val="2D7660BD"/>
    <w:rsid w:val="2D77324E"/>
    <w:rsid w:val="2D7A4A2D"/>
    <w:rsid w:val="2D7B515B"/>
    <w:rsid w:val="2D832920"/>
    <w:rsid w:val="2D896AE8"/>
    <w:rsid w:val="2D8A5FBC"/>
    <w:rsid w:val="2D8A7AD0"/>
    <w:rsid w:val="2D8B0CD6"/>
    <w:rsid w:val="2D8B1F4A"/>
    <w:rsid w:val="2D8B2278"/>
    <w:rsid w:val="2D8B4EAC"/>
    <w:rsid w:val="2D8D7A26"/>
    <w:rsid w:val="2D8E2A13"/>
    <w:rsid w:val="2D8E3641"/>
    <w:rsid w:val="2D9055B4"/>
    <w:rsid w:val="2D947892"/>
    <w:rsid w:val="2D960F78"/>
    <w:rsid w:val="2D962D7E"/>
    <w:rsid w:val="2D9805CD"/>
    <w:rsid w:val="2D990AC0"/>
    <w:rsid w:val="2D9B68FF"/>
    <w:rsid w:val="2DA114A3"/>
    <w:rsid w:val="2DA27B36"/>
    <w:rsid w:val="2DA34AA4"/>
    <w:rsid w:val="2DA43FE8"/>
    <w:rsid w:val="2DA453D1"/>
    <w:rsid w:val="2DA460D2"/>
    <w:rsid w:val="2DA85132"/>
    <w:rsid w:val="2DAB59BD"/>
    <w:rsid w:val="2DAC6406"/>
    <w:rsid w:val="2DAE298B"/>
    <w:rsid w:val="2DB16265"/>
    <w:rsid w:val="2DB656CC"/>
    <w:rsid w:val="2DB847A2"/>
    <w:rsid w:val="2DBB27E5"/>
    <w:rsid w:val="2DBD5BBD"/>
    <w:rsid w:val="2DC15541"/>
    <w:rsid w:val="2DC3709A"/>
    <w:rsid w:val="2DC66474"/>
    <w:rsid w:val="2DC9746E"/>
    <w:rsid w:val="2DCA1523"/>
    <w:rsid w:val="2DCB3874"/>
    <w:rsid w:val="2DCD34D0"/>
    <w:rsid w:val="2DD0701F"/>
    <w:rsid w:val="2DD335CD"/>
    <w:rsid w:val="2DD5539E"/>
    <w:rsid w:val="2DD60020"/>
    <w:rsid w:val="2DD72BCF"/>
    <w:rsid w:val="2DD83D88"/>
    <w:rsid w:val="2DD84A79"/>
    <w:rsid w:val="2DDA3C6A"/>
    <w:rsid w:val="2DDD7D95"/>
    <w:rsid w:val="2DDE4FD6"/>
    <w:rsid w:val="2DE10F12"/>
    <w:rsid w:val="2DE27D71"/>
    <w:rsid w:val="2DE411DE"/>
    <w:rsid w:val="2DE45E92"/>
    <w:rsid w:val="2DE647AA"/>
    <w:rsid w:val="2DEE0B8D"/>
    <w:rsid w:val="2DEF248E"/>
    <w:rsid w:val="2DF247A4"/>
    <w:rsid w:val="2DF301D1"/>
    <w:rsid w:val="2DF629AC"/>
    <w:rsid w:val="2DF74C1D"/>
    <w:rsid w:val="2DF76B85"/>
    <w:rsid w:val="2DF9330D"/>
    <w:rsid w:val="2DFA4083"/>
    <w:rsid w:val="2DFC1EBD"/>
    <w:rsid w:val="2DFD2FF1"/>
    <w:rsid w:val="2DFD6E11"/>
    <w:rsid w:val="2DFE5058"/>
    <w:rsid w:val="2E017CE1"/>
    <w:rsid w:val="2E060B46"/>
    <w:rsid w:val="2E0B303F"/>
    <w:rsid w:val="2E0E3FB6"/>
    <w:rsid w:val="2E131D07"/>
    <w:rsid w:val="2E154FCB"/>
    <w:rsid w:val="2E1819E5"/>
    <w:rsid w:val="2E1865CC"/>
    <w:rsid w:val="2E187A77"/>
    <w:rsid w:val="2E1A3C52"/>
    <w:rsid w:val="2E1B270E"/>
    <w:rsid w:val="2E1B5F9B"/>
    <w:rsid w:val="2E1E0749"/>
    <w:rsid w:val="2E203EA4"/>
    <w:rsid w:val="2E216FBF"/>
    <w:rsid w:val="2E2244D4"/>
    <w:rsid w:val="2E236C2F"/>
    <w:rsid w:val="2E24440F"/>
    <w:rsid w:val="2E250C19"/>
    <w:rsid w:val="2E25737D"/>
    <w:rsid w:val="2E2702C0"/>
    <w:rsid w:val="2E277E9F"/>
    <w:rsid w:val="2E2A2A69"/>
    <w:rsid w:val="2E3055DB"/>
    <w:rsid w:val="2E332289"/>
    <w:rsid w:val="2E357618"/>
    <w:rsid w:val="2E36684C"/>
    <w:rsid w:val="2E367D6F"/>
    <w:rsid w:val="2E392FCC"/>
    <w:rsid w:val="2E3A0E67"/>
    <w:rsid w:val="2E3C4CA4"/>
    <w:rsid w:val="2E3C642F"/>
    <w:rsid w:val="2E3D4AB2"/>
    <w:rsid w:val="2E3D4F25"/>
    <w:rsid w:val="2E3F4A74"/>
    <w:rsid w:val="2E40171A"/>
    <w:rsid w:val="2E427FFA"/>
    <w:rsid w:val="2E4656FD"/>
    <w:rsid w:val="2E47276C"/>
    <w:rsid w:val="2E4811FE"/>
    <w:rsid w:val="2E4A22C6"/>
    <w:rsid w:val="2E4B0B05"/>
    <w:rsid w:val="2E4B1307"/>
    <w:rsid w:val="2E4B4A50"/>
    <w:rsid w:val="2E4E5407"/>
    <w:rsid w:val="2E511D56"/>
    <w:rsid w:val="2E527EE3"/>
    <w:rsid w:val="2E547D13"/>
    <w:rsid w:val="2E551E60"/>
    <w:rsid w:val="2E5778EF"/>
    <w:rsid w:val="2E581F67"/>
    <w:rsid w:val="2E5844D8"/>
    <w:rsid w:val="2E5914A4"/>
    <w:rsid w:val="2E5B43CB"/>
    <w:rsid w:val="2E5C2FFE"/>
    <w:rsid w:val="2E5C6DF3"/>
    <w:rsid w:val="2E5F13C2"/>
    <w:rsid w:val="2E61486A"/>
    <w:rsid w:val="2E6500E7"/>
    <w:rsid w:val="2E652F0D"/>
    <w:rsid w:val="2E695E1E"/>
    <w:rsid w:val="2E6E0941"/>
    <w:rsid w:val="2E701821"/>
    <w:rsid w:val="2E7779DA"/>
    <w:rsid w:val="2E783A28"/>
    <w:rsid w:val="2E7A22E1"/>
    <w:rsid w:val="2E7C355B"/>
    <w:rsid w:val="2E7E1CAA"/>
    <w:rsid w:val="2E7F12ED"/>
    <w:rsid w:val="2E7F57D9"/>
    <w:rsid w:val="2E812D00"/>
    <w:rsid w:val="2E825C96"/>
    <w:rsid w:val="2E8452CD"/>
    <w:rsid w:val="2E8500A9"/>
    <w:rsid w:val="2E857151"/>
    <w:rsid w:val="2E8A2ACD"/>
    <w:rsid w:val="2E8A2C0A"/>
    <w:rsid w:val="2E8B4A59"/>
    <w:rsid w:val="2E8F7EEB"/>
    <w:rsid w:val="2E91056D"/>
    <w:rsid w:val="2E921707"/>
    <w:rsid w:val="2E9479A4"/>
    <w:rsid w:val="2E9567CA"/>
    <w:rsid w:val="2E971691"/>
    <w:rsid w:val="2E9A4AB3"/>
    <w:rsid w:val="2E9D7C9D"/>
    <w:rsid w:val="2E9E177F"/>
    <w:rsid w:val="2E9E3B59"/>
    <w:rsid w:val="2E9F540A"/>
    <w:rsid w:val="2EA033B5"/>
    <w:rsid w:val="2EA278B8"/>
    <w:rsid w:val="2EA52675"/>
    <w:rsid w:val="2EA66FF1"/>
    <w:rsid w:val="2EA76D00"/>
    <w:rsid w:val="2EA9136E"/>
    <w:rsid w:val="2EAA7938"/>
    <w:rsid w:val="2EAD5D07"/>
    <w:rsid w:val="2EAE2A4C"/>
    <w:rsid w:val="2EAF2A3B"/>
    <w:rsid w:val="2EB75E68"/>
    <w:rsid w:val="2EB95E98"/>
    <w:rsid w:val="2EBD5E14"/>
    <w:rsid w:val="2EBF419E"/>
    <w:rsid w:val="2EC07A7A"/>
    <w:rsid w:val="2EC102CF"/>
    <w:rsid w:val="2EC40C64"/>
    <w:rsid w:val="2EC4391B"/>
    <w:rsid w:val="2EC549A2"/>
    <w:rsid w:val="2EC61726"/>
    <w:rsid w:val="2EC67693"/>
    <w:rsid w:val="2EC846FA"/>
    <w:rsid w:val="2ECA511B"/>
    <w:rsid w:val="2ECB2846"/>
    <w:rsid w:val="2ECC564A"/>
    <w:rsid w:val="2ECF2E35"/>
    <w:rsid w:val="2ED00512"/>
    <w:rsid w:val="2ED11C12"/>
    <w:rsid w:val="2ED31C74"/>
    <w:rsid w:val="2ED52C70"/>
    <w:rsid w:val="2ED639F8"/>
    <w:rsid w:val="2ED6426D"/>
    <w:rsid w:val="2EDB7E2C"/>
    <w:rsid w:val="2EDC2A13"/>
    <w:rsid w:val="2EDE2F63"/>
    <w:rsid w:val="2EDF76BF"/>
    <w:rsid w:val="2EE03295"/>
    <w:rsid w:val="2EE10DB7"/>
    <w:rsid w:val="2EE26ED7"/>
    <w:rsid w:val="2EE27DE6"/>
    <w:rsid w:val="2EE35BC0"/>
    <w:rsid w:val="2EE66F58"/>
    <w:rsid w:val="2EE708D6"/>
    <w:rsid w:val="2EE84340"/>
    <w:rsid w:val="2EEA3017"/>
    <w:rsid w:val="2EEB70FA"/>
    <w:rsid w:val="2EEC2077"/>
    <w:rsid w:val="2EEC5A29"/>
    <w:rsid w:val="2EF52797"/>
    <w:rsid w:val="2EF87B63"/>
    <w:rsid w:val="2EF92BE0"/>
    <w:rsid w:val="2EFF3A61"/>
    <w:rsid w:val="2F013324"/>
    <w:rsid w:val="2F020061"/>
    <w:rsid w:val="2F032695"/>
    <w:rsid w:val="2F067A90"/>
    <w:rsid w:val="2F0748DF"/>
    <w:rsid w:val="2F08219B"/>
    <w:rsid w:val="2F09764B"/>
    <w:rsid w:val="2F0A51B9"/>
    <w:rsid w:val="2F0D4B2C"/>
    <w:rsid w:val="2F103532"/>
    <w:rsid w:val="2F1321AD"/>
    <w:rsid w:val="2F134BA2"/>
    <w:rsid w:val="2F143FA5"/>
    <w:rsid w:val="2F156383"/>
    <w:rsid w:val="2F186642"/>
    <w:rsid w:val="2F1B1C13"/>
    <w:rsid w:val="2F212B1B"/>
    <w:rsid w:val="2F25085E"/>
    <w:rsid w:val="2F2605D4"/>
    <w:rsid w:val="2F2652D4"/>
    <w:rsid w:val="2F2743E1"/>
    <w:rsid w:val="2F274DF9"/>
    <w:rsid w:val="2F287E89"/>
    <w:rsid w:val="2F290835"/>
    <w:rsid w:val="2F29134C"/>
    <w:rsid w:val="2F296812"/>
    <w:rsid w:val="2F2B30BA"/>
    <w:rsid w:val="2F2B399A"/>
    <w:rsid w:val="2F2C3239"/>
    <w:rsid w:val="2F2E359F"/>
    <w:rsid w:val="2F2E3FE3"/>
    <w:rsid w:val="2F302D5E"/>
    <w:rsid w:val="2F3061DD"/>
    <w:rsid w:val="2F320950"/>
    <w:rsid w:val="2F323051"/>
    <w:rsid w:val="2F3245A3"/>
    <w:rsid w:val="2F3A2E75"/>
    <w:rsid w:val="2F3B2CFF"/>
    <w:rsid w:val="2F3E7048"/>
    <w:rsid w:val="2F406D0A"/>
    <w:rsid w:val="2F413A4F"/>
    <w:rsid w:val="2F446888"/>
    <w:rsid w:val="2F4559C3"/>
    <w:rsid w:val="2F45644C"/>
    <w:rsid w:val="2F4A215A"/>
    <w:rsid w:val="2F4A4723"/>
    <w:rsid w:val="2F4B22C6"/>
    <w:rsid w:val="2F4C150B"/>
    <w:rsid w:val="2F4E42F0"/>
    <w:rsid w:val="2F4E4FE4"/>
    <w:rsid w:val="2F4F0BE9"/>
    <w:rsid w:val="2F4F6AEC"/>
    <w:rsid w:val="2F501C44"/>
    <w:rsid w:val="2F503B57"/>
    <w:rsid w:val="2F514D14"/>
    <w:rsid w:val="2F532FCE"/>
    <w:rsid w:val="2F54076F"/>
    <w:rsid w:val="2F560A17"/>
    <w:rsid w:val="2F5662E0"/>
    <w:rsid w:val="2F572ED3"/>
    <w:rsid w:val="2F577F9B"/>
    <w:rsid w:val="2F5A1732"/>
    <w:rsid w:val="2F5B3949"/>
    <w:rsid w:val="2F5D05E8"/>
    <w:rsid w:val="2F601055"/>
    <w:rsid w:val="2F615379"/>
    <w:rsid w:val="2F627B4F"/>
    <w:rsid w:val="2F696E57"/>
    <w:rsid w:val="2F6B2C2A"/>
    <w:rsid w:val="2F6B3D97"/>
    <w:rsid w:val="2F6D3490"/>
    <w:rsid w:val="2F73744C"/>
    <w:rsid w:val="2F754094"/>
    <w:rsid w:val="2F760FF8"/>
    <w:rsid w:val="2F7655F9"/>
    <w:rsid w:val="2F766B88"/>
    <w:rsid w:val="2F786223"/>
    <w:rsid w:val="2F7912E1"/>
    <w:rsid w:val="2F7B0965"/>
    <w:rsid w:val="2F7D2448"/>
    <w:rsid w:val="2F8414E1"/>
    <w:rsid w:val="2F847589"/>
    <w:rsid w:val="2F8512FC"/>
    <w:rsid w:val="2F8530AA"/>
    <w:rsid w:val="2F856001"/>
    <w:rsid w:val="2F8E4E9E"/>
    <w:rsid w:val="2F8E665F"/>
    <w:rsid w:val="2F911A38"/>
    <w:rsid w:val="2F9257C7"/>
    <w:rsid w:val="2F941338"/>
    <w:rsid w:val="2F963509"/>
    <w:rsid w:val="2F9A2D58"/>
    <w:rsid w:val="2F9B0237"/>
    <w:rsid w:val="2F9B5DAC"/>
    <w:rsid w:val="2F9D56B3"/>
    <w:rsid w:val="2F9F55D0"/>
    <w:rsid w:val="2FA21EAE"/>
    <w:rsid w:val="2FA22E7F"/>
    <w:rsid w:val="2FA50457"/>
    <w:rsid w:val="2FAD1DFD"/>
    <w:rsid w:val="2FB01C86"/>
    <w:rsid w:val="2FB44544"/>
    <w:rsid w:val="2FB81417"/>
    <w:rsid w:val="2FB823A9"/>
    <w:rsid w:val="2FC006A7"/>
    <w:rsid w:val="2FC050F1"/>
    <w:rsid w:val="2FC13683"/>
    <w:rsid w:val="2FC26256"/>
    <w:rsid w:val="2FC31570"/>
    <w:rsid w:val="2FC33BD3"/>
    <w:rsid w:val="2FC34209"/>
    <w:rsid w:val="2FC414C6"/>
    <w:rsid w:val="2FCC3A51"/>
    <w:rsid w:val="2FD01F4D"/>
    <w:rsid w:val="2FD4424C"/>
    <w:rsid w:val="2FD50A77"/>
    <w:rsid w:val="2FD63906"/>
    <w:rsid w:val="2FD80F9A"/>
    <w:rsid w:val="2FD84B05"/>
    <w:rsid w:val="2FDD1FE2"/>
    <w:rsid w:val="2FE131FF"/>
    <w:rsid w:val="2FE33AC1"/>
    <w:rsid w:val="2FE34275"/>
    <w:rsid w:val="2FE37DD1"/>
    <w:rsid w:val="2FE91BD0"/>
    <w:rsid w:val="2FEA467D"/>
    <w:rsid w:val="2FEA5642"/>
    <w:rsid w:val="2FEC7ABD"/>
    <w:rsid w:val="2FEE5071"/>
    <w:rsid w:val="2FEF5106"/>
    <w:rsid w:val="2FF0696C"/>
    <w:rsid w:val="2FF2129F"/>
    <w:rsid w:val="2FF2296B"/>
    <w:rsid w:val="2FF40A01"/>
    <w:rsid w:val="2FF76305"/>
    <w:rsid w:val="30035C54"/>
    <w:rsid w:val="30047174"/>
    <w:rsid w:val="30054436"/>
    <w:rsid w:val="3005680E"/>
    <w:rsid w:val="300603AF"/>
    <w:rsid w:val="30063CA6"/>
    <w:rsid w:val="30096830"/>
    <w:rsid w:val="300C557A"/>
    <w:rsid w:val="300D155D"/>
    <w:rsid w:val="300E07C7"/>
    <w:rsid w:val="30123C14"/>
    <w:rsid w:val="30140294"/>
    <w:rsid w:val="30153170"/>
    <w:rsid w:val="30176AF3"/>
    <w:rsid w:val="301A24AA"/>
    <w:rsid w:val="301C2EF1"/>
    <w:rsid w:val="301F3016"/>
    <w:rsid w:val="302B3959"/>
    <w:rsid w:val="302C38A8"/>
    <w:rsid w:val="302E129D"/>
    <w:rsid w:val="302F5E11"/>
    <w:rsid w:val="30306A92"/>
    <w:rsid w:val="30345E01"/>
    <w:rsid w:val="303941B3"/>
    <w:rsid w:val="303B08DF"/>
    <w:rsid w:val="303C50CD"/>
    <w:rsid w:val="303E64E8"/>
    <w:rsid w:val="303F71A5"/>
    <w:rsid w:val="30423F9B"/>
    <w:rsid w:val="304253A2"/>
    <w:rsid w:val="30427B31"/>
    <w:rsid w:val="30436BF9"/>
    <w:rsid w:val="3046260D"/>
    <w:rsid w:val="3046417D"/>
    <w:rsid w:val="30493B25"/>
    <w:rsid w:val="304A178D"/>
    <w:rsid w:val="304F051A"/>
    <w:rsid w:val="30501C37"/>
    <w:rsid w:val="3052398C"/>
    <w:rsid w:val="30542A7D"/>
    <w:rsid w:val="305665AE"/>
    <w:rsid w:val="3057004C"/>
    <w:rsid w:val="30573DCC"/>
    <w:rsid w:val="30584FC6"/>
    <w:rsid w:val="30592A8B"/>
    <w:rsid w:val="305934C6"/>
    <w:rsid w:val="305946A1"/>
    <w:rsid w:val="305A002A"/>
    <w:rsid w:val="305A37D9"/>
    <w:rsid w:val="305D4B37"/>
    <w:rsid w:val="30682182"/>
    <w:rsid w:val="3069477A"/>
    <w:rsid w:val="306A3F6F"/>
    <w:rsid w:val="306D4CDF"/>
    <w:rsid w:val="307069D7"/>
    <w:rsid w:val="30713197"/>
    <w:rsid w:val="30761ED6"/>
    <w:rsid w:val="30797A40"/>
    <w:rsid w:val="307A18DD"/>
    <w:rsid w:val="307C7803"/>
    <w:rsid w:val="307E02D2"/>
    <w:rsid w:val="30824CC9"/>
    <w:rsid w:val="3085103D"/>
    <w:rsid w:val="30871AC6"/>
    <w:rsid w:val="30874C00"/>
    <w:rsid w:val="3090632F"/>
    <w:rsid w:val="3091782D"/>
    <w:rsid w:val="30933411"/>
    <w:rsid w:val="30956355"/>
    <w:rsid w:val="3096441D"/>
    <w:rsid w:val="30985192"/>
    <w:rsid w:val="309B42E0"/>
    <w:rsid w:val="309D4424"/>
    <w:rsid w:val="309E30D4"/>
    <w:rsid w:val="30A4599E"/>
    <w:rsid w:val="30A56A9D"/>
    <w:rsid w:val="30A73668"/>
    <w:rsid w:val="30A75277"/>
    <w:rsid w:val="30A84338"/>
    <w:rsid w:val="30A912AC"/>
    <w:rsid w:val="30A914DA"/>
    <w:rsid w:val="30AB7BB4"/>
    <w:rsid w:val="30AC28B9"/>
    <w:rsid w:val="30AC6A79"/>
    <w:rsid w:val="30AD5453"/>
    <w:rsid w:val="30B0524D"/>
    <w:rsid w:val="30B34FFE"/>
    <w:rsid w:val="30B706ED"/>
    <w:rsid w:val="30B93EE6"/>
    <w:rsid w:val="30BA0AEA"/>
    <w:rsid w:val="30BB25FE"/>
    <w:rsid w:val="30BF0BBA"/>
    <w:rsid w:val="30C00BD2"/>
    <w:rsid w:val="30C0621D"/>
    <w:rsid w:val="30C06E47"/>
    <w:rsid w:val="30C23E8A"/>
    <w:rsid w:val="30C73654"/>
    <w:rsid w:val="30C76922"/>
    <w:rsid w:val="30C771C3"/>
    <w:rsid w:val="30CA3D6F"/>
    <w:rsid w:val="30CC276C"/>
    <w:rsid w:val="30D1519F"/>
    <w:rsid w:val="30DC4F4C"/>
    <w:rsid w:val="30DD1BA9"/>
    <w:rsid w:val="30DD6F16"/>
    <w:rsid w:val="30E04CCB"/>
    <w:rsid w:val="30E12E46"/>
    <w:rsid w:val="30E14AF3"/>
    <w:rsid w:val="30E16F69"/>
    <w:rsid w:val="30E550AD"/>
    <w:rsid w:val="30E62F6D"/>
    <w:rsid w:val="30E670AF"/>
    <w:rsid w:val="30E74116"/>
    <w:rsid w:val="30E86793"/>
    <w:rsid w:val="30EA565B"/>
    <w:rsid w:val="30EC47FB"/>
    <w:rsid w:val="30ED22E1"/>
    <w:rsid w:val="30EF505C"/>
    <w:rsid w:val="30EF60E4"/>
    <w:rsid w:val="30F16336"/>
    <w:rsid w:val="30F34FAB"/>
    <w:rsid w:val="30F839C1"/>
    <w:rsid w:val="30FA5937"/>
    <w:rsid w:val="30FA7133"/>
    <w:rsid w:val="30FA7BA7"/>
    <w:rsid w:val="30FA7DA8"/>
    <w:rsid w:val="30FB03B1"/>
    <w:rsid w:val="30FD4F51"/>
    <w:rsid w:val="30FE2A91"/>
    <w:rsid w:val="30FF3E5C"/>
    <w:rsid w:val="31005BE5"/>
    <w:rsid w:val="31010E56"/>
    <w:rsid w:val="31013267"/>
    <w:rsid w:val="310252EB"/>
    <w:rsid w:val="310401CD"/>
    <w:rsid w:val="3109698C"/>
    <w:rsid w:val="310B40AA"/>
    <w:rsid w:val="310C4356"/>
    <w:rsid w:val="310D49FE"/>
    <w:rsid w:val="31110640"/>
    <w:rsid w:val="31135BD8"/>
    <w:rsid w:val="311513AC"/>
    <w:rsid w:val="311C4627"/>
    <w:rsid w:val="311D1504"/>
    <w:rsid w:val="311F308B"/>
    <w:rsid w:val="3125690B"/>
    <w:rsid w:val="3127303E"/>
    <w:rsid w:val="312924B0"/>
    <w:rsid w:val="312E16A3"/>
    <w:rsid w:val="312F5FE6"/>
    <w:rsid w:val="31310166"/>
    <w:rsid w:val="31342FDA"/>
    <w:rsid w:val="313A1F15"/>
    <w:rsid w:val="313B795F"/>
    <w:rsid w:val="313D0271"/>
    <w:rsid w:val="3140433C"/>
    <w:rsid w:val="3141795F"/>
    <w:rsid w:val="31426933"/>
    <w:rsid w:val="31430BEF"/>
    <w:rsid w:val="314314D2"/>
    <w:rsid w:val="3143515C"/>
    <w:rsid w:val="314578F6"/>
    <w:rsid w:val="31462D0D"/>
    <w:rsid w:val="31481A6D"/>
    <w:rsid w:val="31496060"/>
    <w:rsid w:val="314C343E"/>
    <w:rsid w:val="314C551E"/>
    <w:rsid w:val="314C7F27"/>
    <w:rsid w:val="314D7BF8"/>
    <w:rsid w:val="31505B21"/>
    <w:rsid w:val="3151208F"/>
    <w:rsid w:val="315321AE"/>
    <w:rsid w:val="31533FA9"/>
    <w:rsid w:val="31560685"/>
    <w:rsid w:val="31562613"/>
    <w:rsid w:val="31574F64"/>
    <w:rsid w:val="31581242"/>
    <w:rsid w:val="315B2503"/>
    <w:rsid w:val="315B712F"/>
    <w:rsid w:val="315E1182"/>
    <w:rsid w:val="315E1206"/>
    <w:rsid w:val="315E7F9F"/>
    <w:rsid w:val="315F44FD"/>
    <w:rsid w:val="316001E0"/>
    <w:rsid w:val="31605A6B"/>
    <w:rsid w:val="31617AAC"/>
    <w:rsid w:val="31621BA1"/>
    <w:rsid w:val="316B3DE8"/>
    <w:rsid w:val="316C6786"/>
    <w:rsid w:val="316F4575"/>
    <w:rsid w:val="316F5DC0"/>
    <w:rsid w:val="31745184"/>
    <w:rsid w:val="31774C75"/>
    <w:rsid w:val="317821A9"/>
    <w:rsid w:val="317975EE"/>
    <w:rsid w:val="317A4765"/>
    <w:rsid w:val="317C3DE9"/>
    <w:rsid w:val="317C5FA9"/>
    <w:rsid w:val="317D63FA"/>
    <w:rsid w:val="31845CFA"/>
    <w:rsid w:val="31871138"/>
    <w:rsid w:val="3187460B"/>
    <w:rsid w:val="31876A2E"/>
    <w:rsid w:val="318908BB"/>
    <w:rsid w:val="318C1589"/>
    <w:rsid w:val="31994BEB"/>
    <w:rsid w:val="319A36CA"/>
    <w:rsid w:val="319A5A25"/>
    <w:rsid w:val="319F692B"/>
    <w:rsid w:val="31A16195"/>
    <w:rsid w:val="31A27AD3"/>
    <w:rsid w:val="31A62664"/>
    <w:rsid w:val="31A77AAF"/>
    <w:rsid w:val="31AA4E1C"/>
    <w:rsid w:val="31AA6D6B"/>
    <w:rsid w:val="31AB23CD"/>
    <w:rsid w:val="31AE436C"/>
    <w:rsid w:val="31B009FC"/>
    <w:rsid w:val="31B01C61"/>
    <w:rsid w:val="31B02BF8"/>
    <w:rsid w:val="31B163D9"/>
    <w:rsid w:val="31B23EFB"/>
    <w:rsid w:val="31B451E8"/>
    <w:rsid w:val="31B475B5"/>
    <w:rsid w:val="31B53949"/>
    <w:rsid w:val="31B8056C"/>
    <w:rsid w:val="31BA4A28"/>
    <w:rsid w:val="31BF1AB8"/>
    <w:rsid w:val="31C0071A"/>
    <w:rsid w:val="31C01638"/>
    <w:rsid w:val="31C06F1C"/>
    <w:rsid w:val="31C22069"/>
    <w:rsid w:val="31C256CC"/>
    <w:rsid w:val="31C47EDA"/>
    <w:rsid w:val="31C73E13"/>
    <w:rsid w:val="31C8180A"/>
    <w:rsid w:val="31CA1163"/>
    <w:rsid w:val="31CD3AF5"/>
    <w:rsid w:val="31D11D36"/>
    <w:rsid w:val="31D51C07"/>
    <w:rsid w:val="31D60A45"/>
    <w:rsid w:val="31D63B27"/>
    <w:rsid w:val="31D64B13"/>
    <w:rsid w:val="31D769F0"/>
    <w:rsid w:val="31D81C93"/>
    <w:rsid w:val="31D90C3E"/>
    <w:rsid w:val="31D93593"/>
    <w:rsid w:val="31DA7878"/>
    <w:rsid w:val="31DC15BC"/>
    <w:rsid w:val="31DD311B"/>
    <w:rsid w:val="31DD3FA5"/>
    <w:rsid w:val="31DE619F"/>
    <w:rsid w:val="31DE6AA2"/>
    <w:rsid w:val="31E14E72"/>
    <w:rsid w:val="31E26503"/>
    <w:rsid w:val="31E3378D"/>
    <w:rsid w:val="31E46C40"/>
    <w:rsid w:val="31E53626"/>
    <w:rsid w:val="31E70653"/>
    <w:rsid w:val="31E96FA2"/>
    <w:rsid w:val="31EA5447"/>
    <w:rsid w:val="31EC2F8C"/>
    <w:rsid w:val="31EC4FF5"/>
    <w:rsid w:val="31ED7D17"/>
    <w:rsid w:val="31EF5426"/>
    <w:rsid w:val="31F161BB"/>
    <w:rsid w:val="31F410DD"/>
    <w:rsid w:val="31F44517"/>
    <w:rsid w:val="31F543D6"/>
    <w:rsid w:val="31F84007"/>
    <w:rsid w:val="31F91F82"/>
    <w:rsid w:val="31FA4CBF"/>
    <w:rsid w:val="31FB0208"/>
    <w:rsid w:val="31FB265E"/>
    <w:rsid w:val="31FB3CFD"/>
    <w:rsid w:val="31FF5AA0"/>
    <w:rsid w:val="3202063B"/>
    <w:rsid w:val="32087097"/>
    <w:rsid w:val="320A019A"/>
    <w:rsid w:val="320C2DDB"/>
    <w:rsid w:val="32121CBC"/>
    <w:rsid w:val="3212498C"/>
    <w:rsid w:val="32140A1F"/>
    <w:rsid w:val="321775DB"/>
    <w:rsid w:val="321807F7"/>
    <w:rsid w:val="32182F37"/>
    <w:rsid w:val="32184239"/>
    <w:rsid w:val="321921D0"/>
    <w:rsid w:val="321A315F"/>
    <w:rsid w:val="321C3CCD"/>
    <w:rsid w:val="321D31F5"/>
    <w:rsid w:val="321F3FB7"/>
    <w:rsid w:val="32200693"/>
    <w:rsid w:val="32215696"/>
    <w:rsid w:val="32230203"/>
    <w:rsid w:val="32263BE0"/>
    <w:rsid w:val="32275074"/>
    <w:rsid w:val="322B0AED"/>
    <w:rsid w:val="322E7148"/>
    <w:rsid w:val="322F0F71"/>
    <w:rsid w:val="322F1744"/>
    <w:rsid w:val="32307B58"/>
    <w:rsid w:val="32314F98"/>
    <w:rsid w:val="32330705"/>
    <w:rsid w:val="32342E60"/>
    <w:rsid w:val="3234700A"/>
    <w:rsid w:val="32364072"/>
    <w:rsid w:val="32384404"/>
    <w:rsid w:val="32385280"/>
    <w:rsid w:val="323B11A0"/>
    <w:rsid w:val="323F3E0C"/>
    <w:rsid w:val="3240775C"/>
    <w:rsid w:val="324109D1"/>
    <w:rsid w:val="32417BF4"/>
    <w:rsid w:val="32474AEE"/>
    <w:rsid w:val="3247712F"/>
    <w:rsid w:val="324A121E"/>
    <w:rsid w:val="324A6920"/>
    <w:rsid w:val="325617E2"/>
    <w:rsid w:val="32566F80"/>
    <w:rsid w:val="32580095"/>
    <w:rsid w:val="325B687D"/>
    <w:rsid w:val="325B7A3B"/>
    <w:rsid w:val="325C242E"/>
    <w:rsid w:val="325C6DF4"/>
    <w:rsid w:val="325E2888"/>
    <w:rsid w:val="325E62A9"/>
    <w:rsid w:val="32601BAD"/>
    <w:rsid w:val="32607DFF"/>
    <w:rsid w:val="32644F98"/>
    <w:rsid w:val="3267118D"/>
    <w:rsid w:val="3268280F"/>
    <w:rsid w:val="32686DA1"/>
    <w:rsid w:val="326907AD"/>
    <w:rsid w:val="32693339"/>
    <w:rsid w:val="326B36EC"/>
    <w:rsid w:val="326D0398"/>
    <w:rsid w:val="326F2B9E"/>
    <w:rsid w:val="326F45AC"/>
    <w:rsid w:val="327218CD"/>
    <w:rsid w:val="32732BE4"/>
    <w:rsid w:val="32754BDD"/>
    <w:rsid w:val="327749B5"/>
    <w:rsid w:val="327B655E"/>
    <w:rsid w:val="327E0669"/>
    <w:rsid w:val="327E7239"/>
    <w:rsid w:val="32810D4C"/>
    <w:rsid w:val="32836B4A"/>
    <w:rsid w:val="32856372"/>
    <w:rsid w:val="32894836"/>
    <w:rsid w:val="328A6B67"/>
    <w:rsid w:val="328C29A2"/>
    <w:rsid w:val="328C3DE5"/>
    <w:rsid w:val="328D2AE5"/>
    <w:rsid w:val="328D56D3"/>
    <w:rsid w:val="328E6C87"/>
    <w:rsid w:val="32904240"/>
    <w:rsid w:val="3294779D"/>
    <w:rsid w:val="32952F8C"/>
    <w:rsid w:val="32974EC3"/>
    <w:rsid w:val="32975E5E"/>
    <w:rsid w:val="32990FD7"/>
    <w:rsid w:val="329B5905"/>
    <w:rsid w:val="32A013CA"/>
    <w:rsid w:val="32A0210B"/>
    <w:rsid w:val="32A059E3"/>
    <w:rsid w:val="32A54E82"/>
    <w:rsid w:val="32AA123A"/>
    <w:rsid w:val="32AB72CC"/>
    <w:rsid w:val="32AB79A3"/>
    <w:rsid w:val="32AC44A7"/>
    <w:rsid w:val="32B64797"/>
    <w:rsid w:val="32B668F0"/>
    <w:rsid w:val="32B67BF9"/>
    <w:rsid w:val="32B81E20"/>
    <w:rsid w:val="32BB6DE3"/>
    <w:rsid w:val="32BC52BE"/>
    <w:rsid w:val="32BF0C98"/>
    <w:rsid w:val="32BF3417"/>
    <w:rsid w:val="32C03EF8"/>
    <w:rsid w:val="32C1303A"/>
    <w:rsid w:val="32C26A65"/>
    <w:rsid w:val="32C415A9"/>
    <w:rsid w:val="32C77526"/>
    <w:rsid w:val="32C85F8D"/>
    <w:rsid w:val="32C9700B"/>
    <w:rsid w:val="32CA46C1"/>
    <w:rsid w:val="32CC4E95"/>
    <w:rsid w:val="32D0443D"/>
    <w:rsid w:val="32D06266"/>
    <w:rsid w:val="32D07B10"/>
    <w:rsid w:val="32D14858"/>
    <w:rsid w:val="32D25034"/>
    <w:rsid w:val="32D41E31"/>
    <w:rsid w:val="32D82B8B"/>
    <w:rsid w:val="32D83E39"/>
    <w:rsid w:val="32DB3752"/>
    <w:rsid w:val="32DC76E5"/>
    <w:rsid w:val="32E10084"/>
    <w:rsid w:val="32E11D35"/>
    <w:rsid w:val="32E32C26"/>
    <w:rsid w:val="32E51776"/>
    <w:rsid w:val="32E57B94"/>
    <w:rsid w:val="32E7487E"/>
    <w:rsid w:val="32E77178"/>
    <w:rsid w:val="32E92485"/>
    <w:rsid w:val="32EA4606"/>
    <w:rsid w:val="32EA519F"/>
    <w:rsid w:val="32EB3B6C"/>
    <w:rsid w:val="32EB6433"/>
    <w:rsid w:val="32EC5520"/>
    <w:rsid w:val="32ED206E"/>
    <w:rsid w:val="32F167A5"/>
    <w:rsid w:val="32F36211"/>
    <w:rsid w:val="32F435DC"/>
    <w:rsid w:val="32F77F2F"/>
    <w:rsid w:val="32F868AE"/>
    <w:rsid w:val="32FA279F"/>
    <w:rsid w:val="32FA3A14"/>
    <w:rsid w:val="32FA7EE6"/>
    <w:rsid w:val="32FE1024"/>
    <w:rsid w:val="32FE6A86"/>
    <w:rsid w:val="3304202C"/>
    <w:rsid w:val="330420A0"/>
    <w:rsid w:val="330763A2"/>
    <w:rsid w:val="33085F5D"/>
    <w:rsid w:val="33095248"/>
    <w:rsid w:val="330A7AFB"/>
    <w:rsid w:val="330C2B56"/>
    <w:rsid w:val="330C5891"/>
    <w:rsid w:val="330D423C"/>
    <w:rsid w:val="330D6FE6"/>
    <w:rsid w:val="330E63E5"/>
    <w:rsid w:val="330F4606"/>
    <w:rsid w:val="33104C9A"/>
    <w:rsid w:val="3311539B"/>
    <w:rsid w:val="3313042D"/>
    <w:rsid w:val="33132F34"/>
    <w:rsid w:val="33136C2B"/>
    <w:rsid w:val="331505AF"/>
    <w:rsid w:val="331513B0"/>
    <w:rsid w:val="3316226B"/>
    <w:rsid w:val="33181B18"/>
    <w:rsid w:val="331836BC"/>
    <w:rsid w:val="331A4522"/>
    <w:rsid w:val="331C74FA"/>
    <w:rsid w:val="331F3FE4"/>
    <w:rsid w:val="331F64BB"/>
    <w:rsid w:val="33202684"/>
    <w:rsid w:val="33224F6A"/>
    <w:rsid w:val="332473C0"/>
    <w:rsid w:val="3325721A"/>
    <w:rsid w:val="33277CF9"/>
    <w:rsid w:val="332A24E5"/>
    <w:rsid w:val="332A4581"/>
    <w:rsid w:val="332B2D61"/>
    <w:rsid w:val="332C0127"/>
    <w:rsid w:val="332C0971"/>
    <w:rsid w:val="332D4114"/>
    <w:rsid w:val="332D4BC0"/>
    <w:rsid w:val="332F1039"/>
    <w:rsid w:val="3330157F"/>
    <w:rsid w:val="33304225"/>
    <w:rsid w:val="33311AFA"/>
    <w:rsid w:val="33315E45"/>
    <w:rsid w:val="33322C6E"/>
    <w:rsid w:val="3334697E"/>
    <w:rsid w:val="33370916"/>
    <w:rsid w:val="3337223A"/>
    <w:rsid w:val="33382AA3"/>
    <w:rsid w:val="333B605B"/>
    <w:rsid w:val="333B65BD"/>
    <w:rsid w:val="333C0D0A"/>
    <w:rsid w:val="333F20AC"/>
    <w:rsid w:val="3340190A"/>
    <w:rsid w:val="33427C5B"/>
    <w:rsid w:val="334320FF"/>
    <w:rsid w:val="33442F57"/>
    <w:rsid w:val="334436B3"/>
    <w:rsid w:val="33456022"/>
    <w:rsid w:val="33464357"/>
    <w:rsid w:val="33490F53"/>
    <w:rsid w:val="334B521F"/>
    <w:rsid w:val="334D219B"/>
    <w:rsid w:val="334F40FB"/>
    <w:rsid w:val="335152A9"/>
    <w:rsid w:val="33515D23"/>
    <w:rsid w:val="33523428"/>
    <w:rsid w:val="33524431"/>
    <w:rsid w:val="33524B3C"/>
    <w:rsid w:val="33525424"/>
    <w:rsid w:val="33530418"/>
    <w:rsid w:val="33542982"/>
    <w:rsid w:val="33551314"/>
    <w:rsid w:val="335563C7"/>
    <w:rsid w:val="33564983"/>
    <w:rsid w:val="335918A9"/>
    <w:rsid w:val="335978A4"/>
    <w:rsid w:val="335A1B12"/>
    <w:rsid w:val="3361117D"/>
    <w:rsid w:val="33633703"/>
    <w:rsid w:val="33642564"/>
    <w:rsid w:val="33655D82"/>
    <w:rsid w:val="33674A3E"/>
    <w:rsid w:val="336A3DD3"/>
    <w:rsid w:val="336F02F9"/>
    <w:rsid w:val="336F131E"/>
    <w:rsid w:val="33701887"/>
    <w:rsid w:val="33705505"/>
    <w:rsid w:val="337119B8"/>
    <w:rsid w:val="33720CD2"/>
    <w:rsid w:val="3375265D"/>
    <w:rsid w:val="337754B0"/>
    <w:rsid w:val="337D7E59"/>
    <w:rsid w:val="337F71B5"/>
    <w:rsid w:val="33802075"/>
    <w:rsid w:val="3381365F"/>
    <w:rsid w:val="3382384D"/>
    <w:rsid w:val="33827E8E"/>
    <w:rsid w:val="338360E3"/>
    <w:rsid w:val="33862806"/>
    <w:rsid w:val="338650FF"/>
    <w:rsid w:val="33884F17"/>
    <w:rsid w:val="338867FC"/>
    <w:rsid w:val="339169C1"/>
    <w:rsid w:val="339C22D2"/>
    <w:rsid w:val="339D70D4"/>
    <w:rsid w:val="339E2DAA"/>
    <w:rsid w:val="339F43AD"/>
    <w:rsid w:val="33A43C2C"/>
    <w:rsid w:val="33A66F21"/>
    <w:rsid w:val="33A930D1"/>
    <w:rsid w:val="33AA5070"/>
    <w:rsid w:val="33AB1E75"/>
    <w:rsid w:val="33AE18D2"/>
    <w:rsid w:val="33AF32A4"/>
    <w:rsid w:val="33B43D55"/>
    <w:rsid w:val="33B463DD"/>
    <w:rsid w:val="33B52B2A"/>
    <w:rsid w:val="33BC2595"/>
    <w:rsid w:val="33BC5DDD"/>
    <w:rsid w:val="33BE1D4A"/>
    <w:rsid w:val="33C07E5E"/>
    <w:rsid w:val="33C1093E"/>
    <w:rsid w:val="33C148CD"/>
    <w:rsid w:val="33C35837"/>
    <w:rsid w:val="33C82DCC"/>
    <w:rsid w:val="33CD6DCC"/>
    <w:rsid w:val="33CE6683"/>
    <w:rsid w:val="33D05A65"/>
    <w:rsid w:val="33D209B0"/>
    <w:rsid w:val="33D22636"/>
    <w:rsid w:val="33D24B97"/>
    <w:rsid w:val="33D26395"/>
    <w:rsid w:val="33D27356"/>
    <w:rsid w:val="33D551DF"/>
    <w:rsid w:val="33D55F5A"/>
    <w:rsid w:val="33D71E02"/>
    <w:rsid w:val="33D73D1D"/>
    <w:rsid w:val="33D86D54"/>
    <w:rsid w:val="33DA7F3B"/>
    <w:rsid w:val="33DB4E19"/>
    <w:rsid w:val="33DC540A"/>
    <w:rsid w:val="33DD3B9A"/>
    <w:rsid w:val="33DD6C6C"/>
    <w:rsid w:val="33E017E4"/>
    <w:rsid w:val="33E869C3"/>
    <w:rsid w:val="33E902D9"/>
    <w:rsid w:val="33EA1864"/>
    <w:rsid w:val="33EA444A"/>
    <w:rsid w:val="33EB1D39"/>
    <w:rsid w:val="33EB6A45"/>
    <w:rsid w:val="33EF1AEE"/>
    <w:rsid w:val="33F22C6F"/>
    <w:rsid w:val="33F366B2"/>
    <w:rsid w:val="33F41991"/>
    <w:rsid w:val="33F46A50"/>
    <w:rsid w:val="33F56325"/>
    <w:rsid w:val="33F62B80"/>
    <w:rsid w:val="33F6600A"/>
    <w:rsid w:val="33F83A23"/>
    <w:rsid w:val="33FA597B"/>
    <w:rsid w:val="33FB1391"/>
    <w:rsid w:val="33FC62B8"/>
    <w:rsid w:val="33FE06C5"/>
    <w:rsid w:val="34003791"/>
    <w:rsid w:val="3402755B"/>
    <w:rsid w:val="3404545E"/>
    <w:rsid w:val="340824FC"/>
    <w:rsid w:val="340D1B3C"/>
    <w:rsid w:val="3412680B"/>
    <w:rsid w:val="341449FD"/>
    <w:rsid w:val="34144E2D"/>
    <w:rsid w:val="341A6ACF"/>
    <w:rsid w:val="341B78B1"/>
    <w:rsid w:val="341E3970"/>
    <w:rsid w:val="342348AA"/>
    <w:rsid w:val="34256FB9"/>
    <w:rsid w:val="34266FE9"/>
    <w:rsid w:val="34293CCB"/>
    <w:rsid w:val="342A04A9"/>
    <w:rsid w:val="342D1CB8"/>
    <w:rsid w:val="342F3F8B"/>
    <w:rsid w:val="342F645F"/>
    <w:rsid w:val="34314E8B"/>
    <w:rsid w:val="34346FAC"/>
    <w:rsid w:val="343471C7"/>
    <w:rsid w:val="343618FC"/>
    <w:rsid w:val="343821FC"/>
    <w:rsid w:val="34393AF6"/>
    <w:rsid w:val="343E05E1"/>
    <w:rsid w:val="34404263"/>
    <w:rsid w:val="344078BE"/>
    <w:rsid w:val="3441252B"/>
    <w:rsid w:val="34416D8F"/>
    <w:rsid w:val="344352E2"/>
    <w:rsid w:val="344355FA"/>
    <w:rsid w:val="34441786"/>
    <w:rsid w:val="34446F69"/>
    <w:rsid w:val="3445098B"/>
    <w:rsid w:val="344A62A8"/>
    <w:rsid w:val="344A77E8"/>
    <w:rsid w:val="344B3C26"/>
    <w:rsid w:val="344B5EAF"/>
    <w:rsid w:val="344C12F7"/>
    <w:rsid w:val="344C36A5"/>
    <w:rsid w:val="344C39FD"/>
    <w:rsid w:val="34501EC7"/>
    <w:rsid w:val="34534C61"/>
    <w:rsid w:val="34545741"/>
    <w:rsid w:val="345542F9"/>
    <w:rsid w:val="345623B1"/>
    <w:rsid w:val="345647BA"/>
    <w:rsid w:val="34571236"/>
    <w:rsid w:val="34580C85"/>
    <w:rsid w:val="34581492"/>
    <w:rsid w:val="345A26D9"/>
    <w:rsid w:val="345B773B"/>
    <w:rsid w:val="345D4AD9"/>
    <w:rsid w:val="345E184D"/>
    <w:rsid w:val="346002C9"/>
    <w:rsid w:val="34602E36"/>
    <w:rsid w:val="34614816"/>
    <w:rsid w:val="34640A7D"/>
    <w:rsid w:val="346507A2"/>
    <w:rsid w:val="34672CC8"/>
    <w:rsid w:val="34681FF8"/>
    <w:rsid w:val="34692F9B"/>
    <w:rsid w:val="346C56F5"/>
    <w:rsid w:val="34730C8F"/>
    <w:rsid w:val="34734C22"/>
    <w:rsid w:val="34772FC5"/>
    <w:rsid w:val="34781033"/>
    <w:rsid w:val="347B3672"/>
    <w:rsid w:val="347C0BD9"/>
    <w:rsid w:val="347D4D3B"/>
    <w:rsid w:val="347E09FD"/>
    <w:rsid w:val="34836724"/>
    <w:rsid w:val="34860E6D"/>
    <w:rsid w:val="34864193"/>
    <w:rsid w:val="348810BA"/>
    <w:rsid w:val="348A2F11"/>
    <w:rsid w:val="348A5271"/>
    <w:rsid w:val="348F3C1A"/>
    <w:rsid w:val="3490103A"/>
    <w:rsid w:val="34911F15"/>
    <w:rsid w:val="34924EEA"/>
    <w:rsid w:val="349573D3"/>
    <w:rsid w:val="349A0F0F"/>
    <w:rsid w:val="349B2C1A"/>
    <w:rsid w:val="349D2293"/>
    <w:rsid w:val="349D60F5"/>
    <w:rsid w:val="349F69BC"/>
    <w:rsid w:val="34A62397"/>
    <w:rsid w:val="34A7339B"/>
    <w:rsid w:val="34A81300"/>
    <w:rsid w:val="34A86B8C"/>
    <w:rsid w:val="34A932D2"/>
    <w:rsid w:val="34B13F4A"/>
    <w:rsid w:val="34B24F3A"/>
    <w:rsid w:val="34B63CCC"/>
    <w:rsid w:val="34B837DE"/>
    <w:rsid w:val="34B95D8E"/>
    <w:rsid w:val="34BB0449"/>
    <w:rsid w:val="34BD02AF"/>
    <w:rsid w:val="34BD157F"/>
    <w:rsid w:val="34BD32E6"/>
    <w:rsid w:val="34BF4FB0"/>
    <w:rsid w:val="34C420FE"/>
    <w:rsid w:val="34C75F13"/>
    <w:rsid w:val="34C85262"/>
    <w:rsid w:val="34CA3B99"/>
    <w:rsid w:val="34CE091C"/>
    <w:rsid w:val="34CE1A96"/>
    <w:rsid w:val="34CE33E9"/>
    <w:rsid w:val="34CF6B76"/>
    <w:rsid w:val="34CF7E9B"/>
    <w:rsid w:val="34D643A8"/>
    <w:rsid w:val="34D67D8A"/>
    <w:rsid w:val="34D85111"/>
    <w:rsid w:val="34DC1208"/>
    <w:rsid w:val="34DD5737"/>
    <w:rsid w:val="34DD6221"/>
    <w:rsid w:val="34DE0924"/>
    <w:rsid w:val="34DE6F67"/>
    <w:rsid w:val="34E06CBC"/>
    <w:rsid w:val="34E31EA4"/>
    <w:rsid w:val="34E55A2C"/>
    <w:rsid w:val="34E566B3"/>
    <w:rsid w:val="34E95E89"/>
    <w:rsid w:val="34EF373E"/>
    <w:rsid w:val="34F10FC3"/>
    <w:rsid w:val="34F11083"/>
    <w:rsid w:val="34F7071D"/>
    <w:rsid w:val="34F81E55"/>
    <w:rsid w:val="34FC3F0C"/>
    <w:rsid w:val="34FD36E3"/>
    <w:rsid w:val="35015961"/>
    <w:rsid w:val="35037A33"/>
    <w:rsid w:val="350607E9"/>
    <w:rsid w:val="350A4F1B"/>
    <w:rsid w:val="350C1B78"/>
    <w:rsid w:val="350D2079"/>
    <w:rsid w:val="350E3B42"/>
    <w:rsid w:val="350F0E3B"/>
    <w:rsid w:val="35133797"/>
    <w:rsid w:val="35134302"/>
    <w:rsid w:val="351474F3"/>
    <w:rsid w:val="351501E5"/>
    <w:rsid w:val="35181582"/>
    <w:rsid w:val="351B050A"/>
    <w:rsid w:val="351F2462"/>
    <w:rsid w:val="35201D2D"/>
    <w:rsid w:val="35213E78"/>
    <w:rsid w:val="35221BA4"/>
    <w:rsid w:val="35291A0E"/>
    <w:rsid w:val="352C2241"/>
    <w:rsid w:val="35320F67"/>
    <w:rsid w:val="35326385"/>
    <w:rsid w:val="35394E22"/>
    <w:rsid w:val="35396BC4"/>
    <w:rsid w:val="353A30D6"/>
    <w:rsid w:val="353B1AA1"/>
    <w:rsid w:val="353C3C6D"/>
    <w:rsid w:val="353D79CB"/>
    <w:rsid w:val="353E3167"/>
    <w:rsid w:val="353E3447"/>
    <w:rsid w:val="353E4427"/>
    <w:rsid w:val="353F1F4D"/>
    <w:rsid w:val="353F4F24"/>
    <w:rsid w:val="35437FB5"/>
    <w:rsid w:val="35454ABC"/>
    <w:rsid w:val="3546005F"/>
    <w:rsid w:val="354A5F24"/>
    <w:rsid w:val="354B565D"/>
    <w:rsid w:val="354B5C10"/>
    <w:rsid w:val="354C01C6"/>
    <w:rsid w:val="354F2123"/>
    <w:rsid w:val="354F2615"/>
    <w:rsid w:val="354F67F1"/>
    <w:rsid w:val="35514A3F"/>
    <w:rsid w:val="35555F8F"/>
    <w:rsid w:val="35564CA2"/>
    <w:rsid w:val="35584060"/>
    <w:rsid w:val="355D4BB3"/>
    <w:rsid w:val="35607C7E"/>
    <w:rsid w:val="35607F35"/>
    <w:rsid w:val="35611B8C"/>
    <w:rsid w:val="35622DBD"/>
    <w:rsid w:val="35635C3C"/>
    <w:rsid w:val="35683252"/>
    <w:rsid w:val="35687DDF"/>
    <w:rsid w:val="35690584"/>
    <w:rsid w:val="356C23F3"/>
    <w:rsid w:val="356C6D7C"/>
    <w:rsid w:val="356D277C"/>
    <w:rsid w:val="35702ECB"/>
    <w:rsid w:val="35711921"/>
    <w:rsid w:val="35767E13"/>
    <w:rsid w:val="35783726"/>
    <w:rsid w:val="35794187"/>
    <w:rsid w:val="357B31D2"/>
    <w:rsid w:val="35866952"/>
    <w:rsid w:val="35870CDC"/>
    <w:rsid w:val="358866EC"/>
    <w:rsid w:val="358D0827"/>
    <w:rsid w:val="358D468B"/>
    <w:rsid w:val="358F04CE"/>
    <w:rsid w:val="35912597"/>
    <w:rsid w:val="359402C1"/>
    <w:rsid w:val="35983724"/>
    <w:rsid w:val="359863D0"/>
    <w:rsid w:val="359C7CA5"/>
    <w:rsid w:val="359F29EC"/>
    <w:rsid w:val="359F3539"/>
    <w:rsid w:val="35A00F27"/>
    <w:rsid w:val="35A05931"/>
    <w:rsid w:val="35A06C81"/>
    <w:rsid w:val="35A34462"/>
    <w:rsid w:val="35A57A97"/>
    <w:rsid w:val="35A66F8B"/>
    <w:rsid w:val="35A70F55"/>
    <w:rsid w:val="35A76DB6"/>
    <w:rsid w:val="35AA4EA6"/>
    <w:rsid w:val="35AB6BCA"/>
    <w:rsid w:val="35AD46F6"/>
    <w:rsid w:val="35AF1556"/>
    <w:rsid w:val="35B03972"/>
    <w:rsid w:val="35C00AA9"/>
    <w:rsid w:val="35C0404B"/>
    <w:rsid w:val="35C07A92"/>
    <w:rsid w:val="35C246E2"/>
    <w:rsid w:val="35C80195"/>
    <w:rsid w:val="35C86AEA"/>
    <w:rsid w:val="35CF15D9"/>
    <w:rsid w:val="35D00473"/>
    <w:rsid w:val="35D00EBB"/>
    <w:rsid w:val="35D413B5"/>
    <w:rsid w:val="35D43F4B"/>
    <w:rsid w:val="35D5640E"/>
    <w:rsid w:val="35D93B74"/>
    <w:rsid w:val="35D97822"/>
    <w:rsid w:val="35DB4ED5"/>
    <w:rsid w:val="35DC6069"/>
    <w:rsid w:val="35DF103A"/>
    <w:rsid w:val="35E238E6"/>
    <w:rsid w:val="35E34207"/>
    <w:rsid w:val="35E705B7"/>
    <w:rsid w:val="35E851D4"/>
    <w:rsid w:val="35E868E3"/>
    <w:rsid w:val="35E9276F"/>
    <w:rsid w:val="35EB1FB9"/>
    <w:rsid w:val="35EB3360"/>
    <w:rsid w:val="35F15EA8"/>
    <w:rsid w:val="35F5579B"/>
    <w:rsid w:val="35F87CF9"/>
    <w:rsid w:val="35F93A54"/>
    <w:rsid w:val="35FA7BB6"/>
    <w:rsid w:val="35FB3A04"/>
    <w:rsid w:val="35FC58ED"/>
    <w:rsid w:val="35FE3A42"/>
    <w:rsid w:val="35FF1D63"/>
    <w:rsid w:val="35FF7D3C"/>
    <w:rsid w:val="360016DD"/>
    <w:rsid w:val="360344A4"/>
    <w:rsid w:val="36070C4C"/>
    <w:rsid w:val="3608585D"/>
    <w:rsid w:val="360B30C4"/>
    <w:rsid w:val="360C62D3"/>
    <w:rsid w:val="360D00BD"/>
    <w:rsid w:val="360D0560"/>
    <w:rsid w:val="360D7F09"/>
    <w:rsid w:val="360E5DC3"/>
    <w:rsid w:val="36100ADA"/>
    <w:rsid w:val="36107F27"/>
    <w:rsid w:val="3611394C"/>
    <w:rsid w:val="361142B7"/>
    <w:rsid w:val="36141A30"/>
    <w:rsid w:val="36157E59"/>
    <w:rsid w:val="36164DD2"/>
    <w:rsid w:val="36176A26"/>
    <w:rsid w:val="36184849"/>
    <w:rsid w:val="36185250"/>
    <w:rsid w:val="361A16BC"/>
    <w:rsid w:val="361B0D1B"/>
    <w:rsid w:val="361D3AC6"/>
    <w:rsid w:val="361F3462"/>
    <w:rsid w:val="362264AF"/>
    <w:rsid w:val="362506FD"/>
    <w:rsid w:val="3626438D"/>
    <w:rsid w:val="362C2EF1"/>
    <w:rsid w:val="362C303D"/>
    <w:rsid w:val="362E648B"/>
    <w:rsid w:val="36315D3A"/>
    <w:rsid w:val="36316132"/>
    <w:rsid w:val="363423A1"/>
    <w:rsid w:val="363440F6"/>
    <w:rsid w:val="363610D4"/>
    <w:rsid w:val="3636737A"/>
    <w:rsid w:val="363806E4"/>
    <w:rsid w:val="363958B2"/>
    <w:rsid w:val="363C0AC3"/>
    <w:rsid w:val="363D1818"/>
    <w:rsid w:val="363D4937"/>
    <w:rsid w:val="363F254A"/>
    <w:rsid w:val="363F60D4"/>
    <w:rsid w:val="36400FA7"/>
    <w:rsid w:val="3641287E"/>
    <w:rsid w:val="36415913"/>
    <w:rsid w:val="36460630"/>
    <w:rsid w:val="364761E0"/>
    <w:rsid w:val="364962ED"/>
    <w:rsid w:val="364C4922"/>
    <w:rsid w:val="364D20C4"/>
    <w:rsid w:val="364F2CBA"/>
    <w:rsid w:val="36543F7A"/>
    <w:rsid w:val="3657412F"/>
    <w:rsid w:val="36574A1F"/>
    <w:rsid w:val="365A15AB"/>
    <w:rsid w:val="365B272F"/>
    <w:rsid w:val="365C268B"/>
    <w:rsid w:val="365C34E1"/>
    <w:rsid w:val="365D10B6"/>
    <w:rsid w:val="36607A70"/>
    <w:rsid w:val="36633A19"/>
    <w:rsid w:val="36637AB4"/>
    <w:rsid w:val="3665433E"/>
    <w:rsid w:val="36670EF4"/>
    <w:rsid w:val="3667350A"/>
    <w:rsid w:val="36675E7B"/>
    <w:rsid w:val="366C4FC4"/>
    <w:rsid w:val="366F3C3A"/>
    <w:rsid w:val="36734E27"/>
    <w:rsid w:val="367633DC"/>
    <w:rsid w:val="36782F37"/>
    <w:rsid w:val="36794FEB"/>
    <w:rsid w:val="367A1287"/>
    <w:rsid w:val="367A60B4"/>
    <w:rsid w:val="367D2D2D"/>
    <w:rsid w:val="367F0B16"/>
    <w:rsid w:val="367F0C87"/>
    <w:rsid w:val="3680390B"/>
    <w:rsid w:val="368341A0"/>
    <w:rsid w:val="368378CC"/>
    <w:rsid w:val="3684172A"/>
    <w:rsid w:val="36845E20"/>
    <w:rsid w:val="36846C88"/>
    <w:rsid w:val="36862055"/>
    <w:rsid w:val="36876B22"/>
    <w:rsid w:val="368A0281"/>
    <w:rsid w:val="368B3F6D"/>
    <w:rsid w:val="368F1E4F"/>
    <w:rsid w:val="369212CE"/>
    <w:rsid w:val="369248EB"/>
    <w:rsid w:val="369302B6"/>
    <w:rsid w:val="36936BF6"/>
    <w:rsid w:val="36950220"/>
    <w:rsid w:val="369D46F3"/>
    <w:rsid w:val="369E18DF"/>
    <w:rsid w:val="369E1D6C"/>
    <w:rsid w:val="369E45D6"/>
    <w:rsid w:val="36A04C6E"/>
    <w:rsid w:val="36A7220A"/>
    <w:rsid w:val="36A735F6"/>
    <w:rsid w:val="36A74B40"/>
    <w:rsid w:val="36A8771A"/>
    <w:rsid w:val="36AA0A98"/>
    <w:rsid w:val="36AA33F6"/>
    <w:rsid w:val="36AB2123"/>
    <w:rsid w:val="36AC4696"/>
    <w:rsid w:val="36AF62C0"/>
    <w:rsid w:val="36B00E41"/>
    <w:rsid w:val="36B01247"/>
    <w:rsid w:val="36B06E9A"/>
    <w:rsid w:val="36B17BD1"/>
    <w:rsid w:val="36B206DB"/>
    <w:rsid w:val="36B267C4"/>
    <w:rsid w:val="36B31859"/>
    <w:rsid w:val="36B56E01"/>
    <w:rsid w:val="36B86E51"/>
    <w:rsid w:val="36B92C00"/>
    <w:rsid w:val="36BC0E5F"/>
    <w:rsid w:val="36BC3F23"/>
    <w:rsid w:val="36BD34B8"/>
    <w:rsid w:val="36BD5C8C"/>
    <w:rsid w:val="36BE6EA2"/>
    <w:rsid w:val="36BE7AB6"/>
    <w:rsid w:val="36C22876"/>
    <w:rsid w:val="36C3092B"/>
    <w:rsid w:val="36C42267"/>
    <w:rsid w:val="36C60BA4"/>
    <w:rsid w:val="36C66066"/>
    <w:rsid w:val="36C8077A"/>
    <w:rsid w:val="36C86BBD"/>
    <w:rsid w:val="36CA6C74"/>
    <w:rsid w:val="36CC0DBA"/>
    <w:rsid w:val="36CC6AA8"/>
    <w:rsid w:val="36CF7A52"/>
    <w:rsid w:val="36D05F45"/>
    <w:rsid w:val="36D12B4E"/>
    <w:rsid w:val="36D22EB4"/>
    <w:rsid w:val="36D51C81"/>
    <w:rsid w:val="36D6769E"/>
    <w:rsid w:val="36D83D15"/>
    <w:rsid w:val="36D92F05"/>
    <w:rsid w:val="36DA0258"/>
    <w:rsid w:val="36DB2AF7"/>
    <w:rsid w:val="36DF5C67"/>
    <w:rsid w:val="36E1176A"/>
    <w:rsid w:val="36E25286"/>
    <w:rsid w:val="36E26A33"/>
    <w:rsid w:val="36E34609"/>
    <w:rsid w:val="36E64D7B"/>
    <w:rsid w:val="36E7595F"/>
    <w:rsid w:val="36E84BB5"/>
    <w:rsid w:val="36E85F52"/>
    <w:rsid w:val="36ED01D8"/>
    <w:rsid w:val="36ED02CA"/>
    <w:rsid w:val="36F6423D"/>
    <w:rsid w:val="36F65FEB"/>
    <w:rsid w:val="36F83851"/>
    <w:rsid w:val="36FB6EEF"/>
    <w:rsid w:val="36FD5C1C"/>
    <w:rsid w:val="36FE0295"/>
    <w:rsid w:val="37001BE1"/>
    <w:rsid w:val="37001CBD"/>
    <w:rsid w:val="37016AC2"/>
    <w:rsid w:val="37056086"/>
    <w:rsid w:val="3706083A"/>
    <w:rsid w:val="3709636F"/>
    <w:rsid w:val="370A4EA2"/>
    <w:rsid w:val="370B63D2"/>
    <w:rsid w:val="370E2CE4"/>
    <w:rsid w:val="370E2FDC"/>
    <w:rsid w:val="370F444D"/>
    <w:rsid w:val="370F485A"/>
    <w:rsid w:val="37114391"/>
    <w:rsid w:val="371233A7"/>
    <w:rsid w:val="37151624"/>
    <w:rsid w:val="371A05B0"/>
    <w:rsid w:val="371B0CEA"/>
    <w:rsid w:val="371C1A25"/>
    <w:rsid w:val="371D124E"/>
    <w:rsid w:val="371D3E12"/>
    <w:rsid w:val="371E3FF8"/>
    <w:rsid w:val="371F0A02"/>
    <w:rsid w:val="37214CA3"/>
    <w:rsid w:val="37224719"/>
    <w:rsid w:val="37233BE9"/>
    <w:rsid w:val="3724359E"/>
    <w:rsid w:val="372749C7"/>
    <w:rsid w:val="372918BA"/>
    <w:rsid w:val="372D2778"/>
    <w:rsid w:val="373016B9"/>
    <w:rsid w:val="373166AB"/>
    <w:rsid w:val="373534B1"/>
    <w:rsid w:val="37373044"/>
    <w:rsid w:val="37380174"/>
    <w:rsid w:val="37387A2E"/>
    <w:rsid w:val="37391BF7"/>
    <w:rsid w:val="373B04F2"/>
    <w:rsid w:val="373D2FB5"/>
    <w:rsid w:val="373E3EFE"/>
    <w:rsid w:val="373E5D46"/>
    <w:rsid w:val="373F08BC"/>
    <w:rsid w:val="37447A38"/>
    <w:rsid w:val="37447DA9"/>
    <w:rsid w:val="3749100C"/>
    <w:rsid w:val="374D0DBF"/>
    <w:rsid w:val="374D3FB2"/>
    <w:rsid w:val="375717D0"/>
    <w:rsid w:val="375838FE"/>
    <w:rsid w:val="37583C55"/>
    <w:rsid w:val="375E11B3"/>
    <w:rsid w:val="375F110B"/>
    <w:rsid w:val="375F5170"/>
    <w:rsid w:val="37612219"/>
    <w:rsid w:val="37621F23"/>
    <w:rsid w:val="37647A49"/>
    <w:rsid w:val="37666DC5"/>
    <w:rsid w:val="376753B5"/>
    <w:rsid w:val="3768578B"/>
    <w:rsid w:val="376932B2"/>
    <w:rsid w:val="376A7700"/>
    <w:rsid w:val="376F7D85"/>
    <w:rsid w:val="377663CA"/>
    <w:rsid w:val="3779679F"/>
    <w:rsid w:val="377A7C1D"/>
    <w:rsid w:val="377C3AB1"/>
    <w:rsid w:val="377F6E1A"/>
    <w:rsid w:val="37810CC4"/>
    <w:rsid w:val="37821429"/>
    <w:rsid w:val="37847C58"/>
    <w:rsid w:val="3785336E"/>
    <w:rsid w:val="37883AC2"/>
    <w:rsid w:val="37883FD7"/>
    <w:rsid w:val="378C69C1"/>
    <w:rsid w:val="378E308F"/>
    <w:rsid w:val="37911C4E"/>
    <w:rsid w:val="37936580"/>
    <w:rsid w:val="37941178"/>
    <w:rsid w:val="37951913"/>
    <w:rsid w:val="37957C67"/>
    <w:rsid w:val="3798289A"/>
    <w:rsid w:val="379A16BD"/>
    <w:rsid w:val="379A6885"/>
    <w:rsid w:val="379B2EAC"/>
    <w:rsid w:val="379D3AE8"/>
    <w:rsid w:val="379E73FF"/>
    <w:rsid w:val="379F795F"/>
    <w:rsid w:val="37A07923"/>
    <w:rsid w:val="37A34A15"/>
    <w:rsid w:val="37A4579B"/>
    <w:rsid w:val="37A53131"/>
    <w:rsid w:val="37A57646"/>
    <w:rsid w:val="37A64E40"/>
    <w:rsid w:val="37A67FA6"/>
    <w:rsid w:val="37A92F64"/>
    <w:rsid w:val="37AA016B"/>
    <w:rsid w:val="37AD6BDB"/>
    <w:rsid w:val="37AE2DFA"/>
    <w:rsid w:val="37B04B05"/>
    <w:rsid w:val="37B40528"/>
    <w:rsid w:val="37B75A65"/>
    <w:rsid w:val="37B80340"/>
    <w:rsid w:val="37B8593C"/>
    <w:rsid w:val="37B85AAA"/>
    <w:rsid w:val="37B95C17"/>
    <w:rsid w:val="37B95FE7"/>
    <w:rsid w:val="37B96D32"/>
    <w:rsid w:val="37BB7035"/>
    <w:rsid w:val="37BD11DC"/>
    <w:rsid w:val="37BD5273"/>
    <w:rsid w:val="37C01E81"/>
    <w:rsid w:val="37C0630C"/>
    <w:rsid w:val="37C21A0F"/>
    <w:rsid w:val="37C2297C"/>
    <w:rsid w:val="37C417AA"/>
    <w:rsid w:val="37C4205C"/>
    <w:rsid w:val="37C45D94"/>
    <w:rsid w:val="37C84DA3"/>
    <w:rsid w:val="37CC2E58"/>
    <w:rsid w:val="37CD1A92"/>
    <w:rsid w:val="37CD71FF"/>
    <w:rsid w:val="37CE28C3"/>
    <w:rsid w:val="37CF1D30"/>
    <w:rsid w:val="37CF70BA"/>
    <w:rsid w:val="37D04316"/>
    <w:rsid w:val="37D15C41"/>
    <w:rsid w:val="37D229B7"/>
    <w:rsid w:val="37D529C2"/>
    <w:rsid w:val="37D73FD1"/>
    <w:rsid w:val="37DA3ADB"/>
    <w:rsid w:val="37DE529D"/>
    <w:rsid w:val="37DF56A5"/>
    <w:rsid w:val="37E10F22"/>
    <w:rsid w:val="37E25B3A"/>
    <w:rsid w:val="37E51162"/>
    <w:rsid w:val="37E661B1"/>
    <w:rsid w:val="37E71DD9"/>
    <w:rsid w:val="37EA4FE4"/>
    <w:rsid w:val="37EC5D78"/>
    <w:rsid w:val="37EC7DDB"/>
    <w:rsid w:val="37EE4F5C"/>
    <w:rsid w:val="37F27CE4"/>
    <w:rsid w:val="37F40AB9"/>
    <w:rsid w:val="37F718CE"/>
    <w:rsid w:val="37FA3293"/>
    <w:rsid w:val="37FB444A"/>
    <w:rsid w:val="37FD48B4"/>
    <w:rsid w:val="38014C62"/>
    <w:rsid w:val="380337BF"/>
    <w:rsid w:val="380A1A10"/>
    <w:rsid w:val="380E5D7C"/>
    <w:rsid w:val="38107D30"/>
    <w:rsid w:val="38123949"/>
    <w:rsid w:val="381607FB"/>
    <w:rsid w:val="38177823"/>
    <w:rsid w:val="381D169F"/>
    <w:rsid w:val="381D1D42"/>
    <w:rsid w:val="38237486"/>
    <w:rsid w:val="38266CCC"/>
    <w:rsid w:val="382848BF"/>
    <w:rsid w:val="38297F9C"/>
    <w:rsid w:val="382A431E"/>
    <w:rsid w:val="382D2F0D"/>
    <w:rsid w:val="382F67C5"/>
    <w:rsid w:val="38306D36"/>
    <w:rsid w:val="38341A41"/>
    <w:rsid w:val="38343EF7"/>
    <w:rsid w:val="38361D6B"/>
    <w:rsid w:val="38371746"/>
    <w:rsid w:val="383823C8"/>
    <w:rsid w:val="38384C76"/>
    <w:rsid w:val="383906DB"/>
    <w:rsid w:val="383A6032"/>
    <w:rsid w:val="383B03D6"/>
    <w:rsid w:val="383C63A6"/>
    <w:rsid w:val="3842248C"/>
    <w:rsid w:val="3842422E"/>
    <w:rsid w:val="38454BB3"/>
    <w:rsid w:val="38470C08"/>
    <w:rsid w:val="38473D83"/>
    <w:rsid w:val="38487BCB"/>
    <w:rsid w:val="384C2BFF"/>
    <w:rsid w:val="38505140"/>
    <w:rsid w:val="38526ADE"/>
    <w:rsid w:val="38545D10"/>
    <w:rsid w:val="38575800"/>
    <w:rsid w:val="38580C88"/>
    <w:rsid w:val="385840DC"/>
    <w:rsid w:val="38593326"/>
    <w:rsid w:val="385C4AB1"/>
    <w:rsid w:val="385D745D"/>
    <w:rsid w:val="38611C0A"/>
    <w:rsid w:val="3863114D"/>
    <w:rsid w:val="386405D9"/>
    <w:rsid w:val="38652C56"/>
    <w:rsid w:val="386D55E0"/>
    <w:rsid w:val="386E2E95"/>
    <w:rsid w:val="386E4A29"/>
    <w:rsid w:val="386F5844"/>
    <w:rsid w:val="3874127D"/>
    <w:rsid w:val="3874392D"/>
    <w:rsid w:val="38746E9D"/>
    <w:rsid w:val="387765AA"/>
    <w:rsid w:val="38780BD2"/>
    <w:rsid w:val="38783080"/>
    <w:rsid w:val="38791413"/>
    <w:rsid w:val="387B3988"/>
    <w:rsid w:val="387C365D"/>
    <w:rsid w:val="387E1092"/>
    <w:rsid w:val="388035B7"/>
    <w:rsid w:val="38804FB2"/>
    <w:rsid w:val="38811FA3"/>
    <w:rsid w:val="38835427"/>
    <w:rsid w:val="38840D1C"/>
    <w:rsid w:val="38847005"/>
    <w:rsid w:val="38883C0B"/>
    <w:rsid w:val="38883CFD"/>
    <w:rsid w:val="38897451"/>
    <w:rsid w:val="388C0031"/>
    <w:rsid w:val="388C4C0A"/>
    <w:rsid w:val="388E6971"/>
    <w:rsid w:val="389434FA"/>
    <w:rsid w:val="38962DB0"/>
    <w:rsid w:val="389655B6"/>
    <w:rsid w:val="38967CF8"/>
    <w:rsid w:val="38993E43"/>
    <w:rsid w:val="3899602C"/>
    <w:rsid w:val="389E3B71"/>
    <w:rsid w:val="38A12101"/>
    <w:rsid w:val="38A12E78"/>
    <w:rsid w:val="38A24CCD"/>
    <w:rsid w:val="38A507B8"/>
    <w:rsid w:val="38A61741"/>
    <w:rsid w:val="38A61D87"/>
    <w:rsid w:val="38A77592"/>
    <w:rsid w:val="38AA4ED5"/>
    <w:rsid w:val="38AC158C"/>
    <w:rsid w:val="38AD0C19"/>
    <w:rsid w:val="38AD10DA"/>
    <w:rsid w:val="38AD3A18"/>
    <w:rsid w:val="38AE368D"/>
    <w:rsid w:val="38AF2268"/>
    <w:rsid w:val="38AF3BC2"/>
    <w:rsid w:val="38B137D7"/>
    <w:rsid w:val="38B300DF"/>
    <w:rsid w:val="38B35A1A"/>
    <w:rsid w:val="38B4337B"/>
    <w:rsid w:val="38B5751A"/>
    <w:rsid w:val="38B642D4"/>
    <w:rsid w:val="38B87C39"/>
    <w:rsid w:val="38B93DC5"/>
    <w:rsid w:val="38BF1D00"/>
    <w:rsid w:val="38C03A07"/>
    <w:rsid w:val="38C14141"/>
    <w:rsid w:val="38C53ABB"/>
    <w:rsid w:val="38CC7E25"/>
    <w:rsid w:val="38CF3CF1"/>
    <w:rsid w:val="38D05356"/>
    <w:rsid w:val="38D21632"/>
    <w:rsid w:val="38D94467"/>
    <w:rsid w:val="38D97FC3"/>
    <w:rsid w:val="38DA5067"/>
    <w:rsid w:val="38DB01DF"/>
    <w:rsid w:val="38DC30CD"/>
    <w:rsid w:val="38DD2066"/>
    <w:rsid w:val="38DE45D5"/>
    <w:rsid w:val="38E135EA"/>
    <w:rsid w:val="38E21C7C"/>
    <w:rsid w:val="38E70635"/>
    <w:rsid w:val="38E928FC"/>
    <w:rsid w:val="38EA3E77"/>
    <w:rsid w:val="38EA616C"/>
    <w:rsid w:val="38EB064A"/>
    <w:rsid w:val="38EE07A4"/>
    <w:rsid w:val="38F46454"/>
    <w:rsid w:val="38F93EF5"/>
    <w:rsid w:val="38FC74BA"/>
    <w:rsid w:val="38FE4993"/>
    <w:rsid w:val="38FF1568"/>
    <w:rsid w:val="39003CF7"/>
    <w:rsid w:val="39017F4E"/>
    <w:rsid w:val="390205F1"/>
    <w:rsid w:val="390253C7"/>
    <w:rsid w:val="390357C3"/>
    <w:rsid w:val="3904725B"/>
    <w:rsid w:val="39050DB8"/>
    <w:rsid w:val="390857A7"/>
    <w:rsid w:val="390B1801"/>
    <w:rsid w:val="390E39D1"/>
    <w:rsid w:val="390F370E"/>
    <w:rsid w:val="39137979"/>
    <w:rsid w:val="39161B40"/>
    <w:rsid w:val="39173F3C"/>
    <w:rsid w:val="39195D37"/>
    <w:rsid w:val="391B5FE0"/>
    <w:rsid w:val="391D5E29"/>
    <w:rsid w:val="391E154B"/>
    <w:rsid w:val="391E5F0C"/>
    <w:rsid w:val="3921501E"/>
    <w:rsid w:val="39231492"/>
    <w:rsid w:val="3923777C"/>
    <w:rsid w:val="39260F98"/>
    <w:rsid w:val="392652D3"/>
    <w:rsid w:val="392A2323"/>
    <w:rsid w:val="392A23B5"/>
    <w:rsid w:val="392D61AD"/>
    <w:rsid w:val="392D72A6"/>
    <w:rsid w:val="392E6382"/>
    <w:rsid w:val="39382F3B"/>
    <w:rsid w:val="39384FAF"/>
    <w:rsid w:val="393A4995"/>
    <w:rsid w:val="393B0FF6"/>
    <w:rsid w:val="393C183A"/>
    <w:rsid w:val="393C57D0"/>
    <w:rsid w:val="393D7BA4"/>
    <w:rsid w:val="393E6E76"/>
    <w:rsid w:val="393E73A4"/>
    <w:rsid w:val="3940310C"/>
    <w:rsid w:val="39406294"/>
    <w:rsid w:val="39425A7C"/>
    <w:rsid w:val="39440BF8"/>
    <w:rsid w:val="3945342C"/>
    <w:rsid w:val="39465E29"/>
    <w:rsid w:val="3947194A"/>
    <w:rsid w:val="394D0ED4"/>
    <w:rsid w:val="394D5E45"/>
    <w:rsid w:val="394E18E0"/>
    <w:rsid w:val="3950002B"/>
    <w:rsid w:val="39500766"/>
    <w:rsid w:val="39511D2B"/>
    <w:rsid w:val="39512442"/>
    <w:rsid w:val="39563591"/>
    <w:rsid w:val="395A71FE"/>
    <w:rsid w:val="395F02D7"/>
    <w:rsid w:val="395F66D7"/>
    <w:rsid w:val="396070AB"/>
    <w:rsid w:val="396553B4"/>
    <w:rsid w:val="39682125"/>
    <w:rsid w:val="396904BA"/>
    <w:rsid w:val="396A1AAF"/>
    <w:rsid w:val="396C7089"/>
    <w:rsid w:val="396D02B2"/>
    <w:rsid w:val="396D47ED"/>
    <w:rsid w:val="396D7F2B"/>
    <w:rsid w:val="396E4ED6"/>
    <w:rsid w:val="3972512E"/>
    <w:rsid w:val="39727318"/>
    <w:rsid w:val="397358E6"/>
    <w:rsid w:val="3975299C"/>
    <w:rsid w:val="397530D2"/>
    <w:rsid w:val="397661B8"/>
    <w:rsid w:val="39771E02"/>
    <w:rsid w:val="39772E73"/>
    <w:rsid w:val="39777330"/>
    <w:rsid w:val="3978445F"/>
    <w:rsid w:val="397906E9"/>
    <w:rsid w:val="39791BEB"/>
    <w:rsid w:val="397C241A"/>
    <w:rsid w:val="39855F48"/>
    <w:rsid w:val="39857717"/>
    <w:rsid w:val="39865192"/>
    <w:rsid w:val="39872274"/>
    <w:rsid w:val="398A649E"/>
    <w:rsid w:val="398D7A88"/>
    <w:rsid w:val="39902AB0"/>
    <w:rsid w:val="399051AF"/>
    <w:rsid w:val="3991089E"/>
    <w:rsid w:val="399128AD"/>
    <w:rsid w:val="39931B4A"/>
    <w:rsid w:val="39932868"/>
    <w:rsid w:val="39933067"/>
    <w:rsid w:val="399B1761"/>
    <w:rsid w:val="399B7A73"/>
    <w:rsid w:val="39A16D33"/>
    <w:rsid w:val="39A3136D"/>
    <w:rsid w:val="39A70017"/>
    <w:rsid w:val="39A82BD3"/>
    <w:rsid w:val="39AA6841"/>
    <w:rsid w:val="39AE3820"/>
    <w:rsid w:val="39B2151F"/>
    <w:rsid w:val="39B60304"/>
    <w:rsid w:val="39B64E8A"/>
    <w:rsid w:val="39B92FBC"/>
    <w:rsid w:val="39B95218"/>
    <w:rsid w:val="39BA4574"/>
    <w:rsid w:val="39C07882"/>
    <w:rsid w:val="39C12DFB"/>
    <w:rsid w:val="39C2541D"/>
    <w:rsid w:val="39C468CC"/>
    <w:rsid w:val="39C57777"/>
    <w:rsid w:val="39C635F0"/>
    <w:rsid w:val="39C65A4B"/>
    <w:rsid w:val="39C9080A"/>
    <w:rsid w:val="39CA1AD4"/>
    <w:rsid w:val="39CA1C94"/>
    <w:rsid w:val="39CB2C85"/>
    <w:rsid w:val="39CE05ED"/>
    <w:rsid w:val="39D215E2"/>
    <w:rsid w:val="39D82C48"/>
    <w:rsid w:val="39DA0871"/>
    <w:rsid w:val="39DA66C8"/>
    <w:rsid w:val="39E11594"/>
    <w:rsid w:val="39E15381"/>
    <w:rsid w:val="39E176B2"/>
    <w:rsid w:val="39E31991"/>
    <w:rsid w:val="39E717C3"/>
    <w:rsid w:val="39E76710"/>
    <w:rsid w:val="39E83A37"/>
    <w:rsid w:val="39EA01A2"/>
    <w:rsid w:val="39EC1146"/>
    <w:rsid w:val="39ED559D"/>
    <w:rsid w:val="39EE7470"/>
    <w:rsid w:val="39EF64B2"/>
    <w:rsid w:val="39F10580"/>
    <w:rsid w:val="39F1433D"/>
    <w:rsid w:val="39F17EAF"/>
    <w:rsid w:val="39F30A1D"/>
    <w:rsid w:val="39F34C26"/>
    <w:rsid w:val="39F70544"/>
    <w:rsid w:val="39F71049"/>
    <w:rsid w:val="39F72E11"/>
    <w:rsid w:val="39F75C89"/>
    <w:rsid w:val="39F7651F"/>
    <w:rsid w:val="39F92496"/>
    <w:rsid w:val="39F96B6F"/>
    <w:rsid w:val="39FA6B96"/>
    <w:rsid w:val="39FA7F62"/>
    <w:rsid w:val="39FE0F50"/>
    <w:rsid w:val="39FE76A9"/>
    <w:rsid w:val="39FE7811"/>
    <w:rsid w:val="3A005796"/>
    <w:rsid w:val="3A06128C"/>
    <w:rsid w:val="3A083E21"/>
    <w:rsid w:val="3A0A1425"/>
    <w:rsid w:val="3A0D4264"/>
    <w:rsid w:val="3A0D44A8"/>
    <w:rsid w:val="3A100283"/>
    <w:rsid w:val="3A120734"/>
    <w:rsid w:val="3A120AA6"/>
    <w:rsid w:val="3A1276EE"/>
    <w:rsid w:val="3A144021"/>
    <w:rsid w:val="3A1C0AAF"/>
    <w:rsid w:val="3A204B40"/>
    <w:rsid w:val="3A243667"/>
    <w:rsid w:val="3A2636DC"/>
    <w:rsid w:val="3A295E76"/>
    <w:rsid w:val="3A2B6D8A"/>
    <w:rsid w:val="3A2C046F"/>
    <w:rsid w:val="3A2F4DAB"/>
    <w:rsid w:val="3A31046F"/>
    <w:rsid w:val="3A311FDD"/>
    <w:rsid w:val="3A324D37"/>
    <w:rsid w:val="3A345DF9"/>
    <w:rsid w:val="3A3A1690"/>
    <w:rsid w:val="3A4122C4"/>
    <w:rsid w:val="3A412E2D"/>
    <w:rsid w:val="3A4554C0"/>
    <w:rsid w:val="3A49336B"/>
    <w:rsid w:val="3A4B0F9F"/>
    <w:rsid w:val="3A4F1A5F"/>
    <w:rsid w:val="3A541AEC"/>
    <w:rsid w:val="3A54256B"/>
    <w:rsid w:val="3A544C97"/>
    <w:rsid w:val="3A577053"/>
    <w:rsid w:val="3A594963"/>
    <w:rsid w:val="3A5A3468"/>
    <w:rsid w:val="3A5B0938"/>
    <w:rsid w:val="3A5E69D2"/>
    <w:rsid w:val="3A630F4B"/>
    <w:rsid w:val="3A646D7D"/>
    <w:rsid w:val="3A647D60"/>
    <w:rsid w:val="3A663EEE"/>
    <w:rsid w:val="3A677DE0"/>
    <w:rsid w:val="3A683F3D"/>
    <w:rsid w:val="3A6C542A"/>
    <w:rsid w:val="3A6D08E4"/>
    <w:rsid w:val="3A6E6D52"/>
    <w:rsid w:val="3A716098"/>
    <w:rsid w:val="3A722408"/>
    <w:rsid w:val="3A742BA6"/>
    <w:rsid w:val="3A7513ED"/>
    <w:rsid w:val="3A7667F7"/>
    <w:rsid w:val="3A781DE2"/>
    <w:rsid w:val="3A795103"/>
    <w:rsid w:val="3A795E28"/>
    <w:rsid w:val="3A797471"/>
    <w:rsid w:val="3A7B2254"/>
    <w:rsid w:val="3A7B6F02"/>
    <w:rsid w:val="3A7D7507"/>
    <w:rsid w:val="3A7F34DD"/>
    <w:rsid w:val="3A804B9A"/>
    <w:rsid w:val="3A817318"/>
    <w:rsid w:val="3A847ABA"/>
    <w:rsid w:val="3A86417A"/>
    <w:rsid w:val="3A886B6C"/>
    <w:rsid w:val="3A8D76B8"/>
    <w:rsid w:val="3A8E74FE"/>
    <w:rsid w:val="3A921FA0"/>
    <w:rsid w:val="3A9562B0"/>
    <w:rsid w:val="3A964DF7"/>
    <w:rsid w:val="3A970136"/>
    <w:rsid w:val="3A9B17A5"/>
    <w:rsid w:val="3AA37B03"/>
    <w:rsid w:val="3AA66C87"/>
    <w:rsid w:val="3AAC44BA"/>
    <w:rsid w:val="3AAD39AC"/>
    <w:rsid w:val="3AAE378E"/>
    <w:rsid w:val="3AAF1923"/>
    <w:rsid w:val="3AAF281D"/>
    <w:rsid w:val="3AB0194F"/>
    <w:rsid w:val="3AB41F5A"/>
    <w:rsid w:val="3AB6617E"/>
    <w:rsid w:val="3AB86AB8"/>
    <w:rsid w:val="3ABC1400"/>
    <w:rsid w:val="3ABC7BE3"/>
    <w:rsid w:val="3AC35CEA"/>
    <w:rsid w:val="3AC41EE1"/>
    <w:rsid w:val="3AC44868"/>
    <w:rsid w:val="3AC471E0"/>
    <w:rsid w:val="3AC50D67"/>
    <w:rsid w:val="3AC57063"/>
    <w:rsid w:val="3AC63491"/>
    <w:rsid w:val="3AC7071D"/>
    <w:rsid w:val="3AC811E8"/>
    <w:rsid w:val="3ACA09EC"/>
    <w:rsid w:val="3ACB10CC"/>
    <w:rsid w:val="3ACC0959"/>
    <w:rsid w:val="3ACC4283"/>
    <w:rsid w:val="3ACD3BBF"/>
    <w:rsid w:val="3ACE5C14"/>
    <w:rsid w:val="3ACF6899"/>
    <w:rsid w:val="3AD15E6A"/>
    <w:rsid w:val="3AD17672"/>
    <w:rsid w:val="3AD36AFD"/>
    <w:rsid w:val="3AD4525D"/>
    <w:rsid w:val="3AD75F6B"/>
    <w:rsid w:val="3ADB2718"/>
    <w:rsid w:val="3ADD4F51"/>
    <w:rsid w:val="3ADF718D"/>
    <w:rsid w:val="3AE11EC9"/>
    <w:rsid w:val="3AE3337B"/>
    <w:rsid w:val="3AE465A8"/>
    <w:rsid w:val="3AE5577C"/>
    <w:rsid w:val="3AE628EC"/>
    <w:rsid w:val="3AE81960"/>
    <w:rsid w:val="3AE9027A"/>
    <w:rsid w:val="3AE91FF5"/>
    <w:rsid w:val="3AEB070C"/>
    <w:rsid w:val="3AEE280A"/>
    <w:rsid w:val="3AEF1E1C"/>
    <w:rsid w:val="3AF22461"/>
    <w:rsid w:val="3AF451F4"/>
    <w:rsid w:val="3AF47AF7"/>
    <w:rsid w:val="3AF5043A"/>
    <w:rsid w:val="3AF51E83"/>
    <w:rsid w:val="3AF60F5D"/>
    <w:rsid w:val="3AF630AE"/>
    <w:rsid w:val="3AF73F72"/>
    <w:rsid w:val="3AF865CC"/>
    <w:rsid w:val="3AF92B9E"/>
    <w:rsid w:val="3AFA0082"/>
    <w:rsid w:val="3AFA7139"/>
    <w:rsid w:val="3AFB0CAE"/>
    <w:rsid w:val="3AFB341F"/>
    <w:rsid w:val="3AFE579B"/>
    <w:rsid w:val="3B005A4E"/>
    <w:rsid w:val="3B071BEE"/>
    <w:rsid w:val="3B07238E"/>
    <w:rsid w:val="3B082A3F"/>
    <w:rsid w:val="3B093BED"/>
    <w:rsid w:val="3B097910"/>
    <w:rsid w:val="3B0A0293"/>
    <w:rsid w:val="3B0C453B"/>
    <w:rsid w:val="3B0D7C5A"/>
    <w:rsid w:val="3B0F4170"/>
    <w:rsid w:val="3B106F7A"/>
    <w:rsid w:val="3B113B81"/>
    <w:rsid w:val="3B1368EC"/>
    <w:rsid w:val="3B163750"/>
    <w:rsid w:val="3B173B4B"/>
    <w:rsid w:val="3B1C7722"/>
    <w:rsid w:val="3B1F654D"/>
    <w:rsid w:val="3B2045D8"/>
    <w:rsid w:val="3B2734F6"/>
    <w:rsid w:val="3B277184"/>
    <w:rsid w:val="3B281E9B"/>
    <w:rsid w:val="3B285868"/>
    <w:rsid w:val="3B2B51B8"/>
    <w:rsid w:val="3B2F3FD0"/>
    <w:rsid w:val="3B2F7165"/>
    <w:rsid w:val="3B304EBC"/>
    <w:rsid w:val="3B323019"/>
    <w:rsid w:val="3B340A0C"/>
    <w:rsid w:val="3B347C57"/>
    <w:rsid w:val="3B354097"/>
    <w:rsid w:val="3B396790"/>
    <w:rsid w:val="3B3970BB"/>
    <w:rsid w:val="3B3B0A2E"/>
    <w:rsid w:val="3B3D7731"/>
    <w:rsid w:val="3B3F46D3"/>
    <w:rsid w:val="3B411AE5"/>
    <w:rsid w:val="3B432C66"/>
    <w:rsid w:val="3B43685C"/>
    <w:rsid w:val="3B4650D2"/>
    <w:rsid w:val="3B4A0FE1"/>
    <w:rsid w:val="3B4B20BD"/>
    <w:rsid w:val="3B4D3B3F"/>
    <w:rsid w:val="3B4D6361"/>
    <w:rsid w:val="3B4F5F76"/>
    <w:rsid w:val="3B4F5F79"/>
    <w:rsid w:val="3B5518DB"/>
    <w:rsid w:val="3B5559A6"/>
    <w:rsid w:val="3B564044"/>
    <w:rsid w:val="3B564CF4"/>
    <w:rsid w:val="3B5A30DA"/>
    <w:rsid w:val="3B5B7FE3"/>
    <w:rsid w:val="3B5D0562"/>
    <w:rsid w:val="3B5E0047"/>
    <w:rsid w:val="3B65272F"/>
    <w:rsid w:val="3B67038F"/>
    <w:rsid w:val="3B69428A"/>
    <w:rsid w:val="3B6D0019"/>
    <w:rsid w:val="3B6D282B"/>
    <w:rsid w:val="3B6F00BB"/>
    <w:rsid w:val="3B702FD4"/>
    <w:rsid w:val="3B712E36"/>
    <w:rsid w:val="3B730B4B"/>
    <w:rsid w:val="3B74501B"/>
    <w:rsid w:val="3B7455C0"/>
    <w:rsid w:val="3B75394A"/>
    <w:rsid w:val="3B7D0C83"/>
    <w:rsid w:val="3B7F12F6"/>
    <w:rsid w:val="3B806E1C"/>
    <w:rsid w:val="3B827B2F"/>
    <w:rsid w:val="3B860986"/>
    <w:rsid w:val="3B870276"/>
    <w:rsid w:val="3B872795"/>
    <w:rsid w:val="3B8C66FD"/>
    <w:rsid w:val="3B8E1F0D"/>
    <w:rsid w:val="3B8E2625"/>
    <w:rsid w:val="3B8E5727"/>
    <w:rsid w:val="3B8E70B5"/>
    <w:rsid w:val="3B90623F"/>
    <w:rsid w:val="3B914366"/>
    <w:rsid w:val="3B934DA1"/>
    <w:rsid w:val="3B950B19"/>
    <w:rsid w:val="3B9718F3"/>
    <w:rsid w:val="3B97354A"/>
    <w:rsid w:val="3B9A1C8B"/>
    <w:rsid w:val="3B9A612F"/>
    <w:rsid w:val="3B9E0BA1"/>
    <w:rsid w:val="3BA10C9A"/>
    <w:rsid w:val="3BA74916"/>
    <w:rsid w:val="3BA96372"/>
    <w:rsid w:val="3BAA6561"/>
    <w:rsid w:val="3BAE11D0"/>
    <w:rsid w:val="3BB019B0"/>
    <w:rsid w:val="3BB0468B"/>
    <w:rsid w:val="3BB16FD5"/>
    <w:rsid w:val="3BB205AE"/>
    <w:rsid w:val="3BB378E9"/>
    <w:rsid w:val="3BB852D1"/>
    <w:rsid w:val="3BB9263E"/>
    <w:rsid w:val="3BBD1E1E"/>
    <w:rsid w:val="3BBE16DA"/>
    <w:rsid w:val="3BC10A2B"/>
    <w:rsid w:val="3BC1546A"/>
    <w:rsid w:val="3BC42FA6"/>
    <w:rsid w:val="3BC84DAE"/>
    <w:rsid w:val="3BC90F23"/>
    <w:rsid w:val="3BC94573"/>
    <w:rsid w:val="3BCA306E"/>
    <w:rsid w:val="3BCC1441"/>
    <w:rsid w:val="3BCF1E22"/>
    <w:rsid w:val="3BCF6115"/>
    <w:rsid w:val="3BD34A99"/>
    <w:rsid w:val="3BD67308"/>
    <w:rsid w:val="3BD67A8A"/>
    <w:rsid w:val="3BDA2C02"/>
    <w:rsid w:val="3BDA2C19"/>
    <w:rsid w:val="3BDA477E"/>
    <w:rsid w:val="3BDB6E3F"/>
    <w:rsid w:val="3BDC22A4"/>
    <w:rsid w:val="3BDE08D9"/>
    <w:rsid w:val="3BDE77C4"/>
    <w:rsid w:val="3BDF17CE"/>
    <w:rsid w:val="3BDF4B0F"/>
    <w:rsid w:val="3BDF5217"/>
    <w:rsid w:val="3BE1664C"/>
    <w:rsid w:val="3BE31E43"/>
    <w:rsid w:val="3BE3627D"/>
    <w:rsid w:val="3BE473AB"/>
    <w:rsid w:val="3BE5214F"/>
    <w:rsid w:val="3BE607D2"/>
    <w:rsid w:val="3BE63A76"/>
    <w:rsid w:val="3BEA702A"/>
    <w:rsid w:val="3BEB2CCD"/>
    <w:rsid w:val="3BF0473A"/>
    <w:rsid w:val="3BF160D7"/>
    <w:rsid w:val="3BF27D19"/>
    <w:rsid w:val="3BF426EE"/>
    <w:rsid w:val="3BF449C1"/>
    <w:rsid w:val="3BF462D3"/>
    <w:rsid w:val="3BF60027"/>
    <w:rsid w:val="3BF87B5A"/>
    <w:rsid w:val="3BF90BB4"/>
    <w:rsid w:val="3BFA1EF3"/>
    <w:rsid w:val="3BFA4E20"/>
    <w:rsid w:val="3BFB108D"/>
    <w:rsid w:val="3BFB485A"/>
    <w:rsid w:val="3BFD18BC"/>
    <w:rsid w:val="3BFF0128"/>
    <w:rsid w:val="3C02546E"/>
    <w:rsid w:val="3C034EE0"/>
    <w:rsid w:val="3C0407BD"/>
    <w:rsid w:val="3C060E01"/>
    <w:rsid w:val="3C06318F"/>
    <w:rsid w:val="3C075B02"/>
    <w:rsid w:val="3C086F86"/>
    <w:rsid w:val="3C0969F8"/>
    <w:rsid w:val="3C0B7BDD"/>
    <w:rsid w:val="3C0C1052"/>
    <w:rsid w:val="3C0E2F64"/>
    <w:rsid w:val="3C0F3721"/>
    <w:rsid w:val="3C112012"/>
    <w:rsid w:val="3C141F45"/>
    <w:rsid w:val="3C1557B6"/>
    <w:rsid w:val="3C18626D"/>
    <w:rsid w:val="3C187651"/>
    <w:rsid w:val="3C1F0634"/>
    <w:rsid w:val="3C1F32A8"/>
    <w:rsid w:val="3C237A58"/>
    <w:rsid w:val="3C272617"/>
    <w:rsid w:val="3C285A3F"/>
    <w:rsid w:val="3C2A784C"/>
    <w:rsid w:val="3C2C5254"/>
    <w:rsid w:val="3C2E661F"/>
    <w:rsid w:val="3C2E6DB2"/>
    <w:rsid w:val="3C2F408B"/>
    <w:rsid w:val="3C306D0A"/>
    <w:rsid w:val="3C325069"/>
    <w:rsid w:val="3C334869"/>
    <w:rsid w:val="3C353CC0"/>
    <w:rsid w:val="3C354B53"/>
    <w:rsid w:val="3C360616"/>
    <w:rsid w:val="3C3C0F95"/>
    <w:rsid w:val="3C3C49D9"/>
    <w:rsid w:val="3C3C6200"/>
    <w:rsid w:val="3C3E620A"/>
    <w:rsid w:val="3C3F33B4"/>
    <w:rsid w:val="3C401DDA"/>
    <w:rsid w:val="3C4104D1"/>
    <w:rsid w:val="3C42600C"/>
    <w:rsid w:val="3C432795"/>
    <w:rsid w:val="3C440968"/>
    <w:rsid w:val="3C442EBF"/>
    <w:rsid w:val="3C444866"/>
    <w:rsid w:val="3C4900F1"/>
    <w:rsid w:val="3C4953D6"/>
    <w:rsid w:val="3C4D13F4"/>
    <w:rsid w:val="3C4E4731"/>
    <w:rsid w:val="3C4E5D79"/>
    <w:rsid w:val="3C4E691C"/>
    <w:rsid w:val="3C4F799A"/>
    <w:rsid w:val="3C58524F"/>
    <w:rsid w:val="3C592604"/>
    <w:rsid w:val="3C5A407D"/>
    <w:rsid w:val="3C616506"/>
    <w:rsid w:val="3C6245D4"/>
    <w:rsid w:val="3C6259CB"/>
    <w:rsid w:val="3C636521"/>
    <w:rsid w:val="3C641EF7"/>
    <w:rsid w:val="3C645A86"/>
    <w:rsid w:val="3C652594"/>
    <w:rsid w:val="3C654997"/>
    <w:rsid w:val="3C670F3B"/>
    <w:rsid w:val="3C6A1E36"/>
    <w:rsid w:val="3C6D55A7"/>
    <w:rsid w:val="3C737942"/>
    <w:rsid w:val="3C737F31"/>
    <w:rsid w:val="3C747DE7"/>
    <w:rsid w:val="3C7626F9"/>
    <w:rsid w:val="3C76513F"/>
    <w:rsid w:val="3C79265A"/>
    <w:rsid w:val="3C7E326D"/>
    <w:rsid w:val="3C802D02"/>
    <w:rsid w:val="3C812B82"/>
    <w:rsid w:val="3C823B3E"/>
    <w:rsid w:val="3C8446EA"/>
    <w:rsid w:val="3C8A7963"/>
    <w:rsid w:val="3C8B6187"/>
    <w:rsid w:val="3C924985"/>
    <w:rsid w:val="3C926E07"/>
    <w:rsid w:val="3C9368AF"/>
    <w:rsid w:val="3C93740D"/>
    <w:rsid w:val="3C94037A"/>
    <w:rsid w:val="3C947C02"/>
    <w:rsid w:val="3C953186"/>
    <w:rsid w:val="3C9760E8"/>
    <w:rsid w:val="3C994603"/>
    <w:rsid w:val="3C9D6677"/>
    <w:rsid w:val="3CA01523"/>
    <w:rsid w:val="3CA02F21"/>
    <w:rsid w:val="3CA118A8"/>
    <w:rsid w:val="3CA21A6A"/>
    <w:rsid w:val="3CA333CB"/>
    <w:rsid w:val="3CA36E5C"/>
    <w:rsid w:val="3CA440C9"/>
    <w:rsid w:val="3CA644CF"/>
    <w:rsid w:val="3CA937C6"/>
    <w:rsid w:val="3CAA0CAB"/>
    <w:rsid w:val="3CAC24D2"/>
    <w:rsid w:val="3CAC3262"/>
    <w:rsid w:val="3CAC5625"/>
    <w:rsid w:val="3CAC611A"/>
    <w:rsid w:val="3CAF5C0A"/>
    <w:rsid w:val="3CB212CE"/>
    <w:rsid w:val="3CB21C00"/>
    <w:rsid w:val="3CB23E84"/>
    <w:rsid w:val="3CB27762"/>
    <w:rsid w:val="3CB5591D"/>
    <w:rsid w:val="3CB62C2F"/>
    <w:rsid w:val="3CB7309E"/>
    <w:rsid w:val="3CB82EE6"/>
    <w:rsid w:val="3CB91BA5"/>
    <w:rsid w:val="3CBA6CB8"/>
    <w:rsid w:val="3CBB011A"/>
    <w:rsid w:val="3CBC20D5"/>
    <w:rsid w:val="3CBC2F3E"/>
    <w:rsid w:val="3CBD0327"/>
    <w:rsid w:val="3CBE2FEC"/>
    <w:rsid w:val="3CBE3E00"/>
    <w:rsid w:val="3CBF1B14"/>
    <w:rsid w:val="3CC1422D"/>
    <w:rsid w:val="3CC25731"/>
    <w:rsid w:val="3CCD1949"/>
    <w:rsid w:val="3CCD655B"/>
    <w:rsid w:val="3CCD6635"/>
    <w:rsid w:val="3CD11494"/>
    <w:rsid w:val="3CD256EE"/>
    <w:rsid w:val="3CD26BDE"/>
    <w:rsid w:val="3CD45671"/>
    <w:rsid w:val="3CD57554"/>
    <w:rsid w:val="3CD811B4"/>
    <w:rsid w:val="3CD84EC4"/>
    <w:rsid w:val="3CDA5D5C"/>
    <w:rsid w:val="3CDC1B5F"/>
    <w:rsid w:val="3CE031DA"/>
    <w:rsid w:val="3CE07B72"/>
    <w:rsid w:val="3CE3300C"/>
    <w:rsid w:val="3CE427AA"/>
    <w:rsid w:val="3CE5222C"/>
    <w:rsid w:val="3CE578AD"/>
    <w:rsid w:val="3CE64969"/>
    <w:rsid w:val="3CE651E3"/>
    <w:rsid w:val="3CE708E0"/>
    <w:rsid w:val="3CE77152"/>
    <w:rsid w:val="3CEE79DB"/>
    <w:rsid w:val="3CF15864"/>
    <w:rsid w:val="3CF25415"/>
    <w:rsid w:val="3CF2777E"/>
    <w:rsid w:val="3CF34C40"/>
    <w:rsid w:val="3CF9259B"/>
    <w:rsid w:val="3CFE76E0"/>
    <w:rsid w:val="3D0476A4"/>
    <w:rsid w:val="3D077C30"/>
    <w:rsid w:val="3D085C4C"/>
    <w:rsid w:val="3D0B371D"/>
    <w:rsid w:val="3D0B4CCF"/>
    <w:rsid w:val="3D0F414A"/>
    <w:rsid w:val="3D106783"/>
    <w:rsid w:val="3D16487E"/>
    <w:rsid w:val="3D1916A8"/>
    <w:rsid w:val="3D1951D8"/>
    <w:rsid w:val="3D1967EF"/>
    <w:rsid w:val="3D1A1050"/>
    <w:rsid w:val="3D1B0C37"/>
    <w:rsid w:val="3D1B1EF8"/>
    <w:rsid w:val="3D1E7A36"/>
    <w:rsid w:val="3D1F7522"/>
    <w:rsid w:val="3D203688"/>
    <w:rsid w:val="3D232155"/>
    <w:rsid w:val="3D2362EC"/>
    <w:rsid w:val="3D256982"/>
    <w:rsid w:val="3D256D80"/>
    <w:rsid w:val="3D25791A"/>
    <w:rsid w:val="3D2675E9"/>
    <w:rsid w:val="3D2774AD"/>
    <w:rsid w:val="3D287FDB"/>
    <w:rsid w:val="3D2B43D8"/>
    <w:rsid w:val="3D2B7D7A"/>
    <w:rsid w:val="3D2C0D1B"/>
    <w:rsid w:val="3D2C1009"/>
    <w:rsid w:val="3D2D1FA7"/>
    <w:rsid w:val="3D2F47C5"/>
    <w:rsid w:val="3D300521"/>
    <w:rsid w:val="3D317C2E"/>
    <w:rsid w:val="3D335934"/>
    <w:rsid w:val="3D366CA5"/>
    <w:rsid w:val="3D3A0C91"/>
    <w:rsid w:val="3D3D4F3C"/>
    <w:rsid w:val="3D4076EC"/>
    <w:rsid w:val="3D441436"/>
    <w:rsid w:val="3D441A12"/>
    <w:rsid w:val="3D445B98"/>
    <w:rsid w:val="3D4520CB"/>
    <w:rsid w:val="3D463125"/>
    <w:rsid w:val="3D467405"/>
    <w:rsid w:val="3D475309"/>
    <w:rsid w:val="3D475B7B"/>
    <w:rsid w:val="3D4878A5"/>
    <w:rsid w:val="3D4A2C5B"/>
    <w:rsid w:val="3D4A69E6"/>
    <w:rsid w:val="3D4C6231"/>
    <w:rsid w:val="3D4D645A"/>
    <w:rsid w:val="3D4E5673"/>
    <w:rsid w:val="3D4E7338"/>
    <w:rsid w:val="3D513BA1"/>
    <w:rsid w:val="3D550C17"/>
    <w:rsid w:val="3D566086"/>
    <w:rsid w:val="3D580050"/>
    <w:rsid w:val="3D581DFE"/>
    <w:rsid w:val="3D5F4842"/>
    <w:rsid w:val="3D6110CE"/>
    <w:rsid w:val="3D620993"/>
    <w:rsid w:val="3D640D71"/>
    <w:rsid w:val="3D6469F5"/>
    <w:rsid w:val="3D6524CE"/>
    <w:rsid w:val="3D695DB9"/>
    <w:rsid w:val="3D6A4B8C"/>
    <w:rsid w:val="3D6C52C9"/>
    <w:rsid w:val="3D6E0B45"/>
    <w:rsid w:val="3D6F433B"/>
    <w:rsid w:val="3D712EC0"/>
    <w:rsid w:val="3D730F0D"/>
    <w:rsid w:val="3D756C5B"/>
    <w:rsid w:val="3D7642EF"/>
    <w:rsid w:val="3D7A4695"/>
    <w:rsid w:val="3D7B6C40"/>
    <w:rsid w:val="3D7D39E7"/>
    <w:rsid w:val="3D7E7FAF"/>
    <w:rsid w:val="3D810FF6"/>
    <w:rsid w:val="3D820D4D"/>
    <w:rsid w:val="3D8451E7"/>
    <w:rsid w:val="3D8726E3"/>
    <w:rsid w:val="3D873C1E"/>
    <w:rsid w:val="3D89645B"/>
    <w:rsid w:val="3D8C254D"/>
    <w:rsid w:val="3D9048FF"/>
    <w:rsid w:val="3D9120BE"/>
    <w:rsid w:val="3D9250BB"/>
    <w:rsid w:val="3D9372DA"/>
    <w:rsid w:val="3D9410C7"/>
    <w:rsid w:val="3D941F0D"/>
    <w:rsid w:val="3D955A6B"/>
    <w:rsid w:val="3D960AC3"/>
    <w:rsid w:val="3D96325E"/>
    <w:rsid w:val="3D971373"/>
    <w:rsid w:val="3D9B7F3D"/>
    <w:rsid w:val="3D9D5A63"/>
    <w:rsid w:val="3D9E7F29"/>
    <w:rsid w:val="3D9F17DB"/>
    <w:rsid w:val="3D9F63DB"/>
    <w:rsid w:val="3DA1600A"/>
    <w:rsid w:val="3DA323FA"/>
    <w:rsid w:val="3DA87898"/>
    <w:rsid w:val="3DA9579A"/>
    <w:rsid w:val="3DA961B8"/>
    <w:rsid w:val="3DB13A54"/>
    <w:rsid w:val="3DB2125D"/>
    <w:rsid w:val="3DB27012"/>
    <w:rsid w:val="3DB377AC"/>
    <w:rsid w:val="3DB641BB"/>
    <w:rsid w:val="3DB71795"/>
    <w:rsid w:val="3DB751F3"/>
    <w:rsid w:val="3DBB1FDE"/>
    <w:rsid w:val="3DBB5095"/>
    <w:rsid w:val="3DBE047E"/>
    <w:rsid w:val="3DBE1FC2"/>
    <w:rsid w:val="3DBF1646"/>
    <w:rsid w:val="3DBF40D8"/>
    <w:rsid w:val="3DC01751"/>
    <w:rsid w:val="3DC26686"/>
    <w:rsid w:val="3DC300EC"/>
    <w:rsid w:val="3DC32822"/>
    <w:rsid w:val="3DC3760E"/>
    <w:rsid w:val="3DC56D68"/>
    <w:rsid w:val="3DC67C1F"/>
    <w:rsid w:val="3DC95824"/>
    <w:rsid w:val="3DD1322D"/>
    <w:rsid w:val="3DD154B1"/>
    <w:rsid w:val="3DD47D73"/>
    <w:rsid w:val="3DDE3B39"/>
    <w:rsid w:val="3DEA6B38"/>
    <w:rsid w:val="3DEB0EC4"/>
    <w:rsid w:val="3DED0A68"/>
    <w:rsid w:val="3DED5B23"/>
    <w:rsid w:val="3DEF1C36"/>
    <w:rsid w:val="3DF04DD0"/>
    <w:rsid w:val="3DF31941"/>
    <w:rsid w:val="3DF3266A"/>
    <w:rsid w:val="3DF50D88"/>
    <w:rsid w:val="3DF8315E"/>
    <w:rsid w:val="3DF8674A"/>
    <w:rsid w:val="3DF97CAD"/>
    <w:rsid w:val="3DFA4C63"/>
    <w:rsid w:val="3DFD1D09"/>
    <w:rsid w:val="3DFE0993"/>
    <w:rsid w:val="3DFE56A5"/>
    <w:rsid w:val="3E011B11"/>
    <w:rsid w:val="3E03620E"/>
    <w:rsid w:val="3E0755D2"/>
    <w:rsid w:val="3E0B069D"/>
    <w:rsid w:val="3E0B364C"/>
    <w:rsid w:val="3E0D4AC1"/>
    <w:rsid w:val="3E0D58FD"/>
    <w:rsid w:val="3E0D73A0"/>
    <w:rsid w:val="3E0D781F"/>
    <w:rsid w:val="3E120509"/>
    <w:rsid w:val="3E1321C9"/>
    <w:rsid w:val="3E150C73"/>
    <w:rsid w:val="3E185A91"/>
    <w:rsid w:val="3E1A287B"/>
    <w:rsid w:val="3E1A62E1"/>
    <w:rsid w:val="3E1C3EA9"/>
    <w:rsid w:val="3E1F5160"/>
    <w:rsid w:val="3E214483"/>
    <w:rsid w:val="3E2208FB"/>
    <w:rsid w:val="3E236DF7"/>
    <w:rsid w:val="3E256C81"/>
    <w:rsid w:val="3E263039"/>
    <w:rsid w:val="3E29652B"/>
    <w:rsid w:val="3E2A1840"/>
    <w:rsid w:val="3E2D1723"/>
    <w:rsid w:val="3E2F1727"/>
    <w:rsid w:val="3E2F2463"/>
    <w:rsid w:val="3E304EAC"/>
    <w:rsid w:val="3E310D7B"/>
    <w:rsid w:val="3E350391"/>
    <w:rsid w:val="3E362DAF"/>
    <w:rsid w:val="3E391E89"/>
    <w:rsid w:val="3E396BD6"/>
    <w:rsid w:val="3E3A7756"/>
    <w:rsid w:val="3E3A7EB4"/>
    <w:rsid w:val="3E3E7246"/>
    <w:rsid w:val="3E3F1F13"/>
    <w:rsid w:val="3E400D65"/>
    <w:rsid w:val="3E40507B"/>
    <w:rsid w:val="3E4441F4"/>
    <w:rsid w:val="3E447D10"/>
    <w:rsid w:val="3E483C41"/>
    <w:rsid w:val="3E495BEB"/>
    <w:rsid w:val="3E4A4685"/>
    <w:rsid w:val="3E4F12B3"/>
    <w:rsid w:val="3E4F1453"/>
    <w:rsid w:val="3E506CB1"/>
    <w:rsid w:val="3E5461F2"/>
    <w:rsid w:val="3E5B52E8"/>
    <w:rsid w:val="3E5E0C55"/>
    <w:rsid w:val="3E5F4EFB"/>
    <w:rsid w:val="3E60124F"/>
    <w:rsid w:val="3E605E19"/>
    <w:rsid w:val="3E643DC7"/>
    <w:rsid w:val="3E655FA5"/>
    <w:rsid w:val="3E675DCC"/>
    <w:rsid w:val="3E695522"/>
    <w:rsid w:val="3E6D709C"/>
    <w:rsid w:val="3E733747"/>
    <w:rsid w:val="3E741F23"/>
    <w:rsid w:val="3E7455E0"/>
    <w:rsid w:val="3E764011"/>
    <w:rsid w:val="3E76588C"/>
    <w:rsid w:val="3E782A16"/>
    <w:rsid w:val="3E7D72D8"/>
    <w:rsid w:val="3E7E1978"/>
    <w:rsid w:val="3E7F4319"/>
    <w:rsid w:val="3E802EFE"/>
    <w:rsid w:val="3E812C94"/>
    <w:rsid w:val="3E816440"/>
    <w:rsid w:val="3E8228C9"/>
    <w:rsid w:val="3E871A0E"/>
    <w:rsid w:val="3E8842A4"/>
    <w:rsid w:val="3E894172"/>
    <w:rsid w:val="3E8970AF"/>
    <w:rsid w:val="3E8A248B"/>
    <w:rsid w:val="3E8A2806"/>
    <w:rsid w:val="3E8A2B81"/>
    <w:rsid w:val="3E8A7B89"/>
    <w:rsid w:val="3E8C1233"/>
    <w:rsid w:val="3E8C2DD5"/>
    <w:rsid w:val="3E8E7ADD"/>
    <w:rsid w:val="3E95301F"/>
    <w:rsid w:val="3E96180B"/>
    <w:rsid w:val="3E9822AB"/>
    <w:rsid w:val="3E9A4B98"/>
    <w:rsid w:val="3E9A6446"/>
    <w:rsid w:val="3EA03A5D"/>
    <w:rsid w:val="3EA109D0"/>
    <w:rsid w:val="3EA354C2"/>
    <w:rsid w:val="3EA370A9"/>
    <w:rsid w:val="3EA457B7"/>
    <w:rsid w:val="3EA54E8C"/>
    <w:rsid w:val="3EA64DEB"/>
    <w:rsid w:val="3EA75FA8"/>
    <w:rsid w:val="3EAA3F34"/>
    <w:rsid w:val="3EAC1A3A"/>
    <w:rsid w:val="3EAC67AC"/>
    <w:rsid w:val="3EAD3B3D"/>
    <w:rsid w:val="3EAD617A"/>
    <w:rsid w:val="3EAF50EF"/>
    <w:rsid w:val="3EB03AF1"/>
    <w:rsid w:val="3EB0705E"/>
    <w:rsid w:val="3EB47508"/>
    <w:rsid w:val="3EB50271"/>
    <w:rsid w:val="3EB702C8"/>
    <w:rsid w:val="3EB72B5C"/>
    <w:rsid w:val="3EB941B7"/>
    <w:rsid w:val="3EBA43F3"/>
    <w:rsid w:val="3EBA6CCA"/>
    <w:rsid w:val="3EBB6271"/>
    <w:rsid w:val="3EBC6518"/>
    <w:rsid w:val="3EBD48A4"/>
    <w:rsid w:val="3EBD7192"/>
    <w:rsid w:val="3EBE24AF"/>
    <w:rsid w:val="3EC16B42"/>
    <w:rsid w:val="3EC274D0"/>
    <w:rsid w:val="3EC31D68"/>
    <w:rsid w:val="3EC3774B"/>
    <w:rsid w:val="3EC4602C"/>
    <w:rsid w:val="3EC53C3A"/>
    <w:rsid w:val="3EC55274"/>
    <w:rsid w:val="3EC728A9"/>
    <w:rsid w:val="3EC84D62"/>
    <w:rsid w:val="3ECA4AF0"/>
    <w:rsid w:val="3ECB4852"/>
    <w:rsid w:val="3ED656D0"/>
    <w:rsid w:val="3ED66823"/>
    <w:rsid w:val="3ED71449"/>
    <w:rsid w:val="3EDC336A"/>
    <w:rsid w:val="3EDE27D7"/>
    <w:rsid w:val="3EDF34B1"/>
    <w:rsid w:val="3EE175E9"/>
    <w:rsid w:val="3EE36AA1"/>
    <w:rsid w:val="3EE36C62"/>
    <w:rsid w:val="3EED2813"/>
    <w:rsid w:val="3EEF0540"/>
    <w:rsid w:val="3EEF54ED"/>
    <w:rsid w:val="3EF23193"/>
    <w:rsid w:val="3EF42CE6"/>
    <w:rsid w:val="3EF519FB"/>
    <w:rsid w:val="3EF60558"/>
    <w:rsid w:val="3EF67AF6"/>
    <w:rsid w:val="3EF67B21"/>
    <w:rsid w:val="3EF7105F"/>
    <w:rsid w:val="3EFA2C53"/>
    <w:rsid w:val="3EFB2DF5"/>
    <w:rsid w:val="3EFC04AD"/>
    <w:rsid w:val="3EFE3BE5"/>
    <w:rsid w:val="3EFE5C40"/>
    <w:rsid w:val="3F0424E2"/>
    <w:rsid w:val="3F067EA5"/>
    <w:rsid w:val="3F0B1C5A"/>
    <w:rsid w:val="3F0B31F6"/>
    <w:rsid w:val="3F0C5E76"/>
    <w:rsid w:val="3F0D43AC"/>
    <w:rsid w:val="3F136D06"/>
    <w:rsid w:val="3F14150D"/>
    <w:rsid w:val="3F152377"/>
    <w:rsid w:val="3F1555B2"/>
    <w:rsid w:val="3F15572F"/>
    <w:rsid w:val="3F17564E"/>
    <w:rsid w:val="3F1800FB"/>
    <w:rsid w:val="3F183BF3"/>
    <w:rsid w:val="3F1B3F54"/>
    <w:rsid w:val="3F1C3916"/>
    <w:rsid w:val="3F1D2B44"/>
    <w:rsid w:val="3F2177B8"/>
    <w:rsid w:val="3F23468E"/>
    <w:rsid w:val="3F2413E3"/>
    <w:rsid w:val="3F285B7E"/>
    <w:rsid w:val="3F292F72"/>
    <w:rsid w:val="3F296F36"/>
    <w:rsid w:val="3F2A5FE5"/>
    <w:rsid w:val="3F2D2E17"/>
    <w:rsid w:val="3F332168"/>
    <w:rsid w:val="3F34065D"/>
    <w:rsid w:val="3F3444FB"/>
    <w:rsid w:val="3F36114D"/>
    <w:rsid w:val="3F3921ED"/>
    <w:rsid w:val="3F3A3882"/>
    <w:rsid w:val="3F3B1FDA"/>
    <w:rsid w:val="3F3E1254"/>
    <w:rsid w:val="3F4113FA"/>
    <w:rsid w:val="3F471243"/>
    <w:rsid w:val="3F4A3F72"/>
    <w:rsid w:val="3F4E7207"/>
    <w:rsid w:val="3F4F3FB4"/>
    <w:rsid w:val="3F4F5E8E"/>
    <w:rsid w:val="3F500A0F"/>
    <w:rsid w:val="3F5409CD"/>
    <w:rsid w:val="3F545C21"/>
    <w:rsid w:val="3F576237"/>
    <w:rsid w:val="3F580B0C"/>
    <w:rsid w:val="3F5B32E6"/>
    <w:rsid w:val="3F5F1BAF"/>
    <w:rsid w:val="3F634EC7"/>
    <w:rsid w:val="3F662433"/>
    <w:rsid w:val="3F6A42C9"/>
    <w:rsid w:val="3F6B13F1"/>
    <w:rsid w:val="3F6E53DC"/>
    <w:rsid w:val="3F6E5909"/>
    <w:rsid w:val="3F6F62CA"/>
    <w:rsid w:val="3F702B14"/>
    <w:rsid w:val="3F720E72"/>
    <w:rsid w:val="3F732286"/>
    <w:rsid w:val="3F744BFC"/>
    <w:rsid w:val="3F765B29"/>
    <w:rsid w:val="3F7C0C93"/>
    <w:rsid w:val="3F7D5633"/>
    <w:rsid w:val="3F801269"/>
    <w:rsid w:val="3F81469A"/>
    <w:rsid w:val="3F81528E"/>
    <w:rsid w:val="3F8212A1"/>
    <w:rsid w:val="3F862E15"/>
    <w:rsid w:val="3F883CDB"/>
    <w:rsid w:val="3F892C91"/>
    <w:rsid w:val="3F8C465D"/>
    <w:rsid w:val="3F8E34D2"/>
    <w:rsid w:val="3F8E5FAB"/>
    <w:rsid w:val="3F8F62CF"/>
    <w:rsid w:val="3F90740B"/>
    <w:rsid w:val="3F933D02"/>
    <w:rsid w:val="3F9609BC"/>
    <w:rsid w:val="3F960B32"/>
    <w:rsid w:val="3F962E2D"/>
    <w:rsid w:val="3F971C7B"/>
    <w:rsid w:val="3F977D7B"/>
    <w:rsid w:val="3F984EDB"/>
    <w:rsid w:val="3FA15EE6"/>
    <w:rsid w:val="3FA23805"/>
    <w:rsid w:val="3FA53A1C"/>
    <w:rsid w:val="3FA62785"/>
    <w:rsid w:val="3FA97BA1"/>
    <w:rsid w:val="3FAA4D6E"/>
    <w:rsid w:val="3FAB162D"/>
    <w:rsid w:val="3FAC7EC1"/>
    <w:rsid w:val="3FAD5875"/>
    <w:rsid w:val="3FAE4924"/>
    <w:rsid w:val="3FB11D11"/>
    <w:rsid w:val="3FB56C03"/>
    <w:rsid w:val="3FB9279C"/>
    <w:rsid w:val="3FBB47C2"/>
    <w:rsid w:val="3FBC279B"/>
    <w:rsid w:val="3FBF7A0C"/>
    <w:rsid w:val="3FC07FAA"/>
    <w:rsid w:val="3FC15D43"/>
    <w:rsid w:val="3FC16502"/>
    <w:rsid w:val="3FC600EC"/>
    <w:rsid w:val="3FC65C8F"/>
    <w:rsid w:val="3FC67F34"/>
    <w:rsid w:val="3FC92687"/>
    <w:rsid w:val="3FCA1C69"/>
    <w:rsid w:val="3FCA3D3D"/>
    <w:rsid w:val="3FCB068C"/>
    <w:rsid w:val="3FCB4DA8"/>
    <w:rsid w:val="3FCD08B5"/>
    <w:rsid w:val="3FCE22A4"/>
    <w:rsid w:val="3FCE5C61"/>
    <w:rsid w:val="3FCE72D3"/>
    <w:rsid w:val="3FCF3FA9"/>
    <w:rsid w:val="3FD20E97"/>
    <w:rsid w:val="3FD243A1"/>
    <w:rsid w:val="3FD41937"/>
    <w:rsid w:val="3FD55F53"/>
    <w:rsid w:val="3FD77E87"/>
    <w:rsid w:val="3FDA2673"/>
    <w:rsid w:val="3FDC44BD"/>
    <w:rsid w:val="3FDE6B60"/>
    <w:rsid w:val="3FE466AF"/>
    <w:rsid w:val="3FE638F2"/>
    <w:rsid w:val="3FE6700D"/>
    <w:rsid w:val="3FE67CD0"/>
    <w:rsid w:val="3FE713AC"/>
    <w:rsid w:val="3FED6EDC"/>
    <w:rsid w:val="3FED711E"/>
    <w:rsid w:val="3FEE558B"/>
    <w:rsid w:val="3FEE5A97"/>
    <w:rsid w:val="3FEF2119"/>
    <w:rsid w:val="3FF34060"/>
    <w:rsid w:val="3FF4063C"/>
    <w:rsid w:val="3FF4350D"/>
    <w:rsid w:val="3FF70B35"/>
    <w:rsid w:val="3FF90202"/>
    <w:rsid w:val="3FFD61D0"/>
    <w:rsid w:val="40023438"/>
    <w:rsid w:val="400312EA"/>
    <w:rsid w:val="40045959"/>
    <w:rsid w:val="40060CB4"/>
    <w:rsid w:val="40092DC2"/>
    <w:rsid w:val="400B271F"/>
    <w:rsid w:val="400B6992"/>
    <w:rsid w:val="400D7310"/>
    <w:rsid w:val="40102027"/>
    <w:rsid w:val="40116EF7"/>
    <w:rsid w:val="40165601"/>
    <w:rsid w:val="401A697D"/>
    <w:rsid w:val="401E07C4"/>
    <w:rsid w:val="401F40E6"/>
    <w:rsid w:val="402245AA"/>
    <w:rsid w:val="402609B4"/>
    <w:rsid w:val="402701AF"/>
    <w:rsid w:val="40292B31"/>
    <w:rsid w:val="402A6288"/>
    <w:rsid w:val="402C61C6"/>
    <w:rsid w:val="402E1998"/>
    <w:rsid w:val="402E1D70"/>
    <w:rsid w:val="40320998"/>
    <w:rsid w:val="403251EF"/>
    <w:rsid w:val="40340453"/>
    <w:rsid w:val="403441E7"/>
    <w:rsid w:val="4036760A"/>
    <w:rsid w:val="40380859"/>
    <w:rsid w:val="40385409"/>
    <w:rsid w:val="403A38AC"/>
    <w:rsid w:val="403A57EB"/>
    <w:rsid w:val="403A5F0D"/>
    <w:rsid w:val="403C142A"/>
    <w:rsid w:val="403E5F5F"/>
    <w:rsid w:val="403F6A69"/>
    <w:rsid w:val="40414095"/>
    <w:rsid w:val="40427FE2"/>
    <w:rsid w:val="404362E7"/>
    <w:rsid w:val="4044666A"/>
    <w:rsid w:val="4047615A"/>
    <w:rsid w:val="40492C3D"/>
    <w:rsid w:val="404D6A4F"/>
    <w:rsid w:val="40511BB1"/>
    <w:rsid w:val="40526D81"/>
    <w:rsid w:val="40561BBE"/>
    <w:rsid w:val="40590140"/>
    <w:rsid w:val="4059449C"/>
    <w:rsid w:val="405B62F0"/>
    <w:rsid w:val="405D2B16"/>
    <w:rsid w:val="405D41CE"/>
    <w:rsid w:val="405D772B"/>
    <w:rsid w:val="40630846"/>
    <w:rsid w:val="4063102A"/>
    <w:rsid w:val="40674B13"/>
    <w:rsid w:val="4069006D"/>
    <w:rsid w:val="40695FB2"/>
    <w:rsid w:val="406B67D0"/>
    <w:rsid w:val="40760E21"/>
    <w:rsid w:val="4076407C"/>
    <w:rsid w:val="407720DD"/>
    <w:rsid w:val="4078367A"/>
    <w:rsid w:val="4079336A"/>
    <w:rsid w:val="407936B3"/>
    <w:rsid w:val="407A1641"/>
    <w:rsid w:val="407E3EB9"/>
    <w:rsid w:val="407E4E37"/>
    <w:rsid w:val="40831915"/>
    <w:rsid w:val="40860ECA"/>
    <w:rsid w:val="408721ED"/>
    <w:rsid w:val="408753F1"/>
    <w:rsid w:val="408860CB"/>
    <w:rsid w:val="408911BA"/>
    <w:rsid w:val="408D629C"/>
    <w:rsid w:val="408E35F9"/>
    <w:rsid w:val="408F0DE0"/>
    <w:rsid w:val="409031E7"/>
    <w:rsid w:val="40932F08"/>
    <w:rsid w:val="40970E8F"/>
    <w:rsid w:val="409A0980"/>
    <w:rsid w:val="409A6F2E"/>
    <w:rsid w:val="409C031A"/>
    <w:rsid w:val="409D5D7A"/>
    <w:rsid w:val="409E5797"/>
    <w:rsid w:val="40A10254"/>
    <w:rsid w:val="40A476D1"/>
    <w:rsid w:val="40A8309D"/>
    <w:rsid w:val="40AB00CE"/>
    <w:rsid w:val="40AB493B"/>
    <w:rsid w:val="40AC2C5C"/>
    <w:rsid w:val="40AC5148"/>
    <w:rsid w:val="40B05874"/>
    <w:rsid w:val="40B21825"/>
    <w:rsid w:val="40B250C5"/>
    <w:rsid w:val="40B5577F"/>
    <w:rsid w:val="40B65FD1"/>
    <w:rsid w:val="40B76267"/>
    <w:rsid w:val="40B818F7"/>
    <w:rsid w:val="40B879B2"/>
    <w:rsid w:val="40BB013A"/>
    <w:rsid w:val="40BB3BCC"/>
    <w:rsid w:val="40BC6B48"/>
    <w:rsid w:val="40C26262"/>
    <w:rsid w:val="40C5695E"/>
    <w:rsid w:val="40C816BF"/>
    <w:rsid w:val="40C907DD"/>
    <w:rsid w:val="40CB0ADA"/>
    <w:rsid w:val="40CB3875"/>
    <w:rsid w:val="40CC613C"/>
    <w:rsid w:val="40CD2CF1"/>
    <w:rsid w:val="40CE0259"/>
    <w:rsid w:val="40CF687B"/>
    <w:rsid w:val="40D200EC"/>
    <w:rsid w:val="40D23C76"/>
    <w:rsid w:val="40D43E92"/>
    <w:rsid w:val="40D55519"/>
    <w:rsid w:val="40D71D36"/>
    <w:rsid w:val="40D73C00"/>
    <w:rsid w:val="40D77D88"/>
    <w:rsid w:val="40D95877"/>
    <w:rsid w:val="40DB2874"/>
    <w:rsid w:val="40DE23EE"/>
    <w:rsid w:val="40DE378A"/>
    <w:rsid w:val="40E165AE"/>
    <w:rsid w:val="40E26B9A"/>
    <w:rsid w:val="40E37E77"/>
    <w:rsid w:val="40E42E0B"/>
    <w:rsid w:val="40E632FE"/>
    <w:rsid w:val="40E9771C"/>
    <w:rsid w:val="40EE12E8"/>
    <w:rsid w:val="40F05295"/>
    <w:rsid w:val="40F2078E"/>
    <w:rsid w:val="40F43A65"/>
    <w:rsid w:val="40F47F05"/>
    <w:rsid w:val="40F63E08"/>
    <w:rsid w:val="40F67F3D"/>
    <w:rsid w:val="40F8111D"/>
    <w:rsid w:val="40F82B25"/>
    <w:rsid w:val="40F91B1E"/>
    <w:rsid w:val="40FA5668"/>
    <w:rsid w:val="40FC0223"/>
    <w:rsid w:val="40FD6CDC"/>
    <w:rsid w:val="40FE477E"/>
    <w:rsid w:val="40FE4BC1"/>
    <w:rsid w:val="41015B75"/>
    <w:rsid w:val="4107723E"/>
    <w:rsid w:val="4108775C"/>
    <w:rsid w:val="41087888"/>
    <w:rsid w:val="410B6D87"/>
    <w:rsid w:val="410C57C3"/>
    <w:rsid w:val="410C77AB"/>
    <w:rsid w:val="41157191"/>
    <w:rsid w:val="4117763E"/>
    <w:rsid w:val="411962C3"/>
    <w:rsid w:val="411A6E6B"/>
    <w:rsid w:val="411B0BC7"/>
    <w:rsid w:val="411E1920"/>
    <w:rsid w:val="411E4BDE"/>
    <w:rsid w:val="411E6CFE"/>
    <w:rsid w:val="412073E8"/>
    <w:rsid w:val="41210759"/>
    <w:rsid w:val="4122719E"/>
    <w:rsid w:val="41254CD8"/>
    <w:rsid w:val="41261DEB"/>
    <w:rsid w:val="4129420C"/>
    <w:rsid w:val="412C1693"/>
    <w:rsid w:val="412C5EA9"/>
    <w:rsid w:val="412D2B6A"/>
    <w:rsid w:val="41342ADB"/>
    <w:rsid w:val="4138620D"/>
    <w:rsid w:val="41386761"/>
    <w:rsid w:val="413A0E62"/>
    <w:rsid w:val="413A761E"/>
    <w:rsid w:val="413B37C7"/>
    <w:rsid w:val="413E1434"/>
    <w:rsid w:val="41401C4B"/>
    <w:rsid w:val="414214A5"/>
    <w:rsid w:val="4144146F"/>
    <w:rsid w:val="41446659"/>
    <w:rsid w:val="41447CA7"/>
    <w:rsid w:val="4145052B"/>
    <w:rsid w:val="4145352C"/>
    <w:rsid w:val="41464053"/>
    <w:rsid w:val="41497890"/>
    <w:rsid w:val="414A5F02"/>
    <w:rsid w:val="414D59F2"/>
    <w:rsid w:val="414F5A44"/>
    <w:rsid w:val="41537BCA"/>
    <w:rsid w:val="41540B2E"/>
    <w:rsid w:val="41550F25"/>
    <w:rsid w:val="41551DED"/>
    <w:rsid w:val="41581111"/>
    <w:rsid w:val="4159130B"/>
    <w:rsid w:val="41595F9C"/>
    <w:rsid w:val="415C6B57"/>
    <w:rsid w:val="415E38CD"/>
    <w:rsid w:val="41636FC4"/>
    <w:rsid w:val="41647B05"/>
    <w:rsid w:val="4166453D"/>
    <w:rsid w:val="416D1BF0"/>
    <w:rsid w:val="416E133C"/>
    <w:rsid w:val="416E411C"/>
    <w:rsid w:val="416F25AE"/>
    <w:rsid w:val="41702106"/>
    <w:rsid w:val="41727D28"/>
    <w:rsid w:val="417541C1"/>
    <w:rsid w:val="41790FB6"/>
    <w:rsid w:val="41793F28"/>
    <w:rsid w:val="417967E7"/>
    <w:rsid w:val="417B4FE1"/>
    <w:rsid w:val="417D089F"/>
    <w:rsid w:val="417E2880"/>
    <w:rsid w:val="417E7E3B"/>
    <w:rsid w:val="41802459"/>
    <w:rsid w:val="418050C6"/>
    <w:rsid w:val="4181131A"/>
    <w:rsid w:val="4183444F"/>
    <w:rsid w:val="41863D86"/>
    <w:rsid w:val="41867997"/>
    <w:rsid w:val="418C03BF"/>
    <w:rsid w:val="418C44D7"/>
    <w:rsid w:val="418E006F"/>
    <w:rsid w:val="418F4ED9"/>
    <w:rsid w:val="41906CB3"/>
    <w:rsid w:val="41917446"/>
    <w:rsid w:val="41917FFC"/>
    <w:rsid w:val="41933F5A"/>
    <w:rsid w:val="41955AF5"/>
    <w:rsid w:val="41967399"/>
    <w:rsid w:val="419708C4"/>
    <w:rsid w:val="419803C2"/>
    <w:rsid w:val="419B502D"/>
    <w:rsid w:val="419D38CC"/>
    <w:rsid w:val="419E624E"/>
    <w:rsid w:val="419F644D"/>
    <w:rsid w:val="41A075EA"/>
    <w:rsid w:val="41A14976"/>
    <w:rsid w:val="41A379AD"/>
    <w:rsid w:val="41A41AB6"/>
    <w:rsid w:val="41A75102"/>
    <w:rsid w:val="41AA2E44"/>
    <w:rsid w:val="41AA4E23"/>
    <w:rsid w:val="41AD392A"/>
    <w:rsid w:val="41B01E77"/>
    <w:rsid w:val="41B077F8"/>
    <w:rsid w:val="41B74548"/>
    <w:rsid w:val="41BB5C97"/>
    <w:rsid w:val="41BB6E00"/>
    <w:rsid w:val="41C03005"/>
    <w:rsid w:val="41C0662F"/>
    <w:rsid w:val="41C10754"/>
    <w:rsid w:val="41C42E8A"/>
    <w:rsid w:val="41C5402A"/>
    <w:rsid w:val="41C7243F"/>
    <w:rsid w:val="41C746AD"/>
    <w:rsid w:val="41C77B45"/>
    <w:rsid w:val="41CB48C6"/>
    <w:rsid w:val="41CC2434"/>
    <w:rsid w:val="41CD45FB"/>
    <w:rsid w:val="41CE3574"/>
    <w:rsid w:val="41CF7D19"/>
    <w:rsid w:val="41D0550A"/>
    <w:rsid w:val="41D154FE"/>
    <w:rsid w:val="41D35531"/>
    <w:rsid w:val="41D4167D"/>
    <w:rsid w:val="41D57EC1"/>
    <w:rsid w:val="41D613A8"/>
    <w:rsid w:val="41D642ED"/>
    <w:rsid w:val="41D8350E"/>
    <w:rsid w:val="41D852BC"/>
    <w:rsid w:val="41DE386C"/>
    <w:rsid w:val="41DE43E4"/>
    <w:rsid w:val="41DF581D"/>
    <w:rsid w:val="41E07D19"/>
    <w:rsid w:val="41E33DBA"/>
    <w:rsid w:val="41E64FD3"/>
    <w:rsid w:val="41E70F59"/>
    <w:rsid w:val="41E719A3"/>
    <w:rsid w:val="41E974C9"/>
    <w:rsid w:val="41EE0171"/>
    <w:rsid w:val="41EF043E"/>
    <w:rsid w:val="41EF37EC"/>
    <w:rsid w:val="41F013F0"/>
    <w:rsid w:val="41F01D88"/>
    <w:rsid w:val="41F0262D"/>
    <w:rsid w:val="41F43B74"/>
    <w:rsid w:val="41F64CED"/>
    <w:rsid w:val="41FA1694"/>
    <w:rsid w:val="41FC3947"/>
    <w:rsid w:val="41FD1EB7"/>
    <w:rsid w:val="41FD697B"/>
    <w:rsid w:val="41FE47B6"/>
    <w:rsid w:val="42085DF7"/>
    <w:rsid w:val="420B7360"/>
    <w:rsid w:val="420D7285"/>
    <w:rsid w:val="420D7CBD"/>
    <w:rsid w:val="420F2AA2"/>
    <w:rsid w:val="42102539"/>
    <w:rsid w:val="4212511D"/>
    <w:rsid w:val="42131504"/>
    <w:rsid w:val="42166C79"/>
    <w:rsid w:val="42171E44"/>
    <w:rsid w:val="42191BDC"/>
    <w:rsid w:val="421A2BDC"/>
    <w:rsid w:val="421C1A36"/>
    <w:rsid w:val="421C2D2D"/>
    <w:rsid w:val="421C6076"/>
    <w:rsid w:val="421E7C09"/>
    <w:rsid w:val="421F7AC8"/>
    <w:rsid w:val="4221002B"/>
    <w:rsid w:val="42253DA0"/>
    <w:rsid w:val="42293CD4"/>
    <w:rsid w:val="4232066E"/>
    <w:rsid w:val="423736F4"/>
    <w:rsid w:val="42377049"/>
    <w:rsid w:val="423C5951"/>
    <w:rsid w:val="423D23FC"/>
    <w:rsid w:val="424067A1"/>
    <w:rsid w:val="424071B3"/>
    <w:rsid w:val="42451853"/>
    <w:rsid w:val="42467CA0"/>
    <w:rsid w:val="424730E0"/>
    <w:rsid w:val="4248433C"/>
    <w:rsid w:val="424B7C36"/>
    <w:rsid w:val="424C24BF"/>
    <w:rsid w:val="425239F1"/>
    <w:rsid w:val="42532856"/>
    <w:rsid w:val="425924D4"/>
    <w:rsid w:val="4259397E"/>
    <w:rsid w:val="42593F4D"/>
    <w:rsid w:val="42597D5A"/>
    <w:rsid w:val="425B261D"/>
    <w:rsid w:val="425F50F7"/>
    <w:rsid w:val="42621029"/>
    <w:rsid w:val="42644DA1"/>
    <w:rsid w:val="42666C42"/>
    <w:rsid w:val="42695F2B"/>
    <w:rsid w:val="426E6659"/>
    <w:rsid w:val="427119CE"/>
    <w:rsid w:val="427238C3"/>
    <w:rsid w:val="42723962"/>
    <w:rsid w:val="42731488"/>
    <w:rsid w:val="42750FEC"/>
    <w:rsid w:val="42765618"/>
    <w:rsid w:val="4278084D"/>
    <w:rsid w:val="427B23CA"/>
    <w:rsid w:val="427B5B42"/>
    <w:rsid w:val="42826E21"/>
    <w:rsid w:val="428F7412"/>
    <w:rsid w:val="428F75B7"/>
    <w:rsid w:val="429368CB"/>
    <w:rsid w:val="42953EBA"/>
    <w:rsid w:val="429733C9"/>
    <w:rsid w:val="429735B8"/>
    <w:rsid w:val="42973B8A"/>
    <w:rsid w:val="4298243B"/>
    <w:rsid w:val="42993E63"/>
    <w:rsid w:val="429A1D8C"/>
    <w:rsid w:val="429F45A6"/>
    <w:rsid w:val="42A0457F"/>
    <w:rsid w:val="42A11B51"/>
    <w:rsid w:val="42A16EC6"/>
    <w:rsid w:val="42A3372E"/>
    <w:rsid w:val="42A67168"/>
    <w:rsid w:val="42A67446"/>
    <w:rsid w:val="42AA1761"/>
    <w:rsid w:val="42AF2814"/>
    <w:rsid w:val="42B743E3"/>
    <w:rsid w:val="42BC698B"/>
    <w:rsid w:val="42BE6BA7"/>
    <w:rsid w:val="42C00D9C"/>
    <w:rsid w:val="42C20434"/>
    <w:rsid w:val="42C6121E"/>
    <w:rsid w:val="42C65A5C"/>
    <w:rsid w:val="42C66C41"/>
    <w:rsid w:val="42C713DB"/>
    <w:rsid w:val="42C768B8"/>
    <w:rsid w:val="42C8766D"/>
    <w:rsid w:val="42CB0623"/>
    <w:rsid w:val="42CB5C3F"/>
    <w:rsid w:val="42CD55DC"/>
    <w:rsid w:val="42CF1AFB"/>
    <w:rsid w:val="42CF22E2"/>
    <w:rsid w:val="42D148FE"/>
    <w:rsid w:val="42D153B3"/>
    <w:rsid w:val="42D53EF1"/>
    <w:rsid w:val="42D71439"/>
    <w:rsid w:val="42D85722"/>
    <w:rsid w:val="42DC73EC"/>
    <w:rsid w:val="42EE60EE"/>
    <w:rsid w:val="42F02AD9"/>
    <w:rsid w:val="42F17DBB"/>
    <w:rsid w:val="42F33AFD"/>
    <w:rsid w:val="42F54488"/>
    <w:rsid w:val="42F8226D"/>
    <w:rsid w:val="42FB2DF6"/>
    <w:rsid w:val="42FD0FC2"/>
    <w:rsid w:val="42FD126E"/>
    <w:rsid w:val="42FE1059"/>
    <w:rsid w:val="43010842"/>
    <w:rsid w:val="43065E58"/>
    <w:rsid w:val="43096AA6"/>
    <w:rsid w:val="430A5286"/>
    <w:rsid w:val="430B1487"/>
    <w:rsid w:val="430C5E38"/>
    <w:rsid w:val="430E1731"/>
    <w:rsid w:val="43100A85"/>
    <w:rsid w:val="43121C10"/>
    <w:rsid w:val="43136813"/>
    <w:rsid w:val="4313778C"/>
    <w:rsid w:val="431465F4"/>
    <w:rsid w:val="43152CF6"/>
    <w:rsid w:val="431542ED"/>
    <w:rsid w:val="43162EE3"/>
    <w:rsid w:val="431E719B"/>
    <w:rsid w:val="4320779E"/>
    <w:rsid w:val="432307B8"/>
    <w:rsid w:val="43247F62"/>
    <w:rsid w:val="43252AA3"/>
    <w:rsid w:val="43281729"/>
    <w:rsid w:val="432830F9"/>
    <w:rsid w:val="4328479D"/>
    <w:rsid w:val="43292D0C"/>
    <w:rsid w:val="432B04F7"/>
    <w:rsid w:val="432D0A95"/>
    <w:rsid w:val="432D1C9A"/>
    <w:rsid w:val="432D56F4"/>
    <w:rsid w:val="432D7D59"/>
    <w:rsid w:val="43317C68"/>
    <w:rsid w:val="43336E44"/>
    <w:rsid w:val="433453AC"/>
    <w:rsid w:val="43356238"/>
    <w:rsid w:val="43356CF9"/>
    <w:rsid w:val="433B1E2A"/>
    <w:rsid w:val="433C1FBD"/>
    <w:rsid w:val="433D17BB"/>
    <w:rsid w:val="433E5048"/>
    <w:rsid w:val="433E78CA"/>
    <w:rsid w:val="433F46D5"/>
    <w:rsid w:val="433F5972"/>
    <w:rsid w:val="43405822"/>
    <w:rsid w:val="434075BC"/>
    <w:rsid w:val="43407976"/>
    <w:rsid w:val="43431FC5"/>
    <w:rsid w:val="43432C09"/>
    <w:rsid w:val="43436877"/>
    <w:rsid w:val="434465ED"/>
    <w:rsid w:val="43495C8C"/>
    <w:rsid w:val="434A2561"/>
    <w:rsid w:val="434B4453"/>
    <w:rsid w:val="434D2811"/>
    <w:rsid w:val="4354130A"/>
    <w:rsid w:val="43544AF1"/>
    <w:rsid w:val="435740CD"/>
    <w:rsid w:val="4359798C"/>
    <w:rsid w:val="435B152F"/>
    <w:rsid w:val="435E3B9D"/>
    <w:rsid w:val="43625059"/>
    <w:rsid w:val="436548B3"/>
    <w:rsid w:val="43664B49"/>
    <w:rsid w:val="43666E73"/>
    <w:rsid w:val="436B068D"/>
    <w:rsid w:val="436B215F"/>
    <w:rsid w:val="436C2EA4"/>
    <w:rsid w:val="436D5ED7"/>
    <w:rsid w:val="436E1B5C"/>
    <w:rsid w:val="436E323E"/>
    <w:rsid w:val="4371610B"/>
    <w:rsid w:val="43723BD4"/>
    <w:rsid w:val="43727992"/>
    <w:rsid w:val="43762D0A"/>
    <w:rsid w:val="437663C8"/>
    <w:rsid w:val="43780E1D"/>
    <w:rsid w:val="437A46BE"/>
    <w:rsid w:val="437D056E"/>
    <w:rsid w:val="437F14A4"/>
    <w:rsid w:val="43802258"/>
    <w:rsid w:val="438026D3"/>
    <w:rsid w:val="4382300A"/>
    <w:rsid w:val="438238C2"/>
    <w:rsid w:val="43831914"/>
    <w:rsid w:val="438356FB"/>
    <w:rsid w:val="43840004"/>
    <w:rsid w:val="438602F4"/>
    <w:rsid w:val="438C0937"/>
    <w:rsid w:val="438E5E75"/>
    <w:rsid w:val="439120C6"/>
    <w:rsid w:val="43914129"/>
    <w:rsid w:val="43943A69"/>
    <w:rsid w:val="439456E1"/>
    <w:rsid w:val="43960FF5"/>
    <w:rsid w:val="43962224"/>
    <w:rsid w:val="43982048"/>
    <w:rsid w:val="439A1030"/>
    <w:rsid w:val="439A5365"/>
    <w:rsid w:val="439B031A"/>
    <w:rsid w:val="439E5C16"/>
    <w:rsid w:val="439F48C0"/>
    <w:rsid w:val="439F7D76"/>
    <w:rsid w:val="43A26C8D"/>
    <w:rsid w:val="43A35252"/>
    <w:rsid w:val="43A55BAF"/>
    <w:rsid w:val="43A740AB"/>
    <w:rsid w:val="43A870C0"/>
    <w:rsid w:val="43AA6BEF"/>
    <w:rsid w:val="43AB0BC9"/>
    <w:rsid w:val="43B14016"/>
    <w:rsid w:val="43B2643A"/>
    <w:rsid w:val="43B35FE0"/>
    <w:rsid w:val="43B6352D"/>
    <w:rsid w:val="43B936F2"/>
    <w:rsid w:val="43C17F41"/>
    <w:rsid w:val="43C22E89"/>
    <w:rsid w:val="43C71BC4"/>
    <w:rsid w:val="43CA5E41"/>
    <w:rsid w:val="43CC4FAD"/>
    <w:rsid w:val="43D71319"/>
    <w:rsid w:val="43D77A54"/>
    <w:rsid w:val="43DA05FA"/>
    <w:rsid w:val="43DA4D8B"/>
    <w:rsid w:val="43DD30C6"/>
    <w:rsid w:val="43DF5027"/>
    <w:rsid w:val="43E068AF"/>
    <w:rsid w:val="43E1795A"/>
    <w:rsid w:val="43E60E15"/>
    <w:rsid w:val="43E7145B"/>
    <w:rsid w:val="43E9753F"/>
    <w:rsid w:val="43EB2713"/>
    <w:rsid w:val="43EB48B5"/>
    <w:rsid w:val="43ED6737"/>
    <w:rsid w:val="43EF26F7"/>
    <w:rsid w:val="43F212EB"/>
    <w:rsid w:val="43F6243F"/>
    <w:rsid w:val="43F64574"/>
    <w:rsid w:val="43F64BA3"/>
    <w:rsid w:val="43FD21AE"/>
    <w:rsid w:val="43FE4D82"/>
    <w:rsid w:val="4400305B"/>
    <w:rsid w:val="4400424E"/>
    <w:rsid w:val="44012BE6"/>
    <w:rsid w:val="44012DB7"/>
    <w:rsid w:val="440349D9"/>
    <w:rsid w:val="440605E2"/>
    <w:rsid w:val="44060641"/>
    <w:rsid w:val="44094911"/>
    <w:rsid w:val="440C5A1E"/>
    <w:rsid w:val="440D2B36"/>
    <w:rsid w:val="440D4CCC"/>
    <w:rsid w:val="440E5F07"/>
    <w:rsid w:val="44132AE2"/>
    <w:rsid w:val="44165DB4"/>
    <w:rsid w:val="44165DD6"/>
    <w:rsid w:val="441C7A3D"/>
    <w:rsid w:val="441D4920"/>
    <w:rsid w:val="441E01FD"/>
    <w:rsid w:val="4421391C"/>
    <w:rsid w:val="44220BE9"/>
    <w:rsid w:val="44242190"/>
    <w:rsid w:val="442567B2"/>
    <w:rsid w:val="4426229D"/>
    <w:rsid w:val="442742D8"/>
    <w:rsid w:val="442A1EE1"/>
    <w:rsid w:val="442F337D"/>
    <w:rsid w:val="4431224C"/>
    <w:rsid w:val="44367D54"/>
    <w:rsid w:val="4438241D"/>
    <w:rsid w:val="44387DAC"/>
    <w:rsid w:val="44393A70"/>
    <w:rsid w:val="443A225E"/>
    <w:rsid w:val="443E0B5E"/>
    <w:rsid w:val="443E1DDD"/>
    <w:rsid w:val="443F085A"/>
    <w:rsid w:val="443F6391"/>
    <w:rsid w:val="44447CFA"/>
    <w:rsid w:val="44463CD5"/>
    <w:rsid w:val="444672D9"/>
    <w:rsid w:val="44484437"/>
    <w:rsid w:val="44493A00"/>
    <w:rsid w:val="444C1D6C"/>
    <w:rsid w:val="444C1EB7"/>
    <w:rsid w:val="444F58A1"/>
    <w:rsid w:val="44515B32"/>
    <w:rsid w:val="445B09FA"/>
    <w:rsid w:val="445C7928"/>
    <w:rsid w:val="44620593"/>
    <w:rsid w:val="4462226C"/>
    <w:rsid w:val="44622BE2"/>
    <w:rsid w:val="4463314D"/>
    <w:rsid w:val="44634009"/>
    <w:rsid w:val="446605D3"/>
    <w:rsid w:val="44665D86"/>
    <w:rsid w:val="44667DDE"/>
    <w:rsid w:val="4467501D"/>
    <w:rsid w:val="44676B83"/>
    <w:rsid w:val="44693909"/>
    <w:rsid w:val="446D56C1"/>
    <w:rsid w:val="447702FA"/>
    <w:rsid w:val="44791734"/>
    <w:rsid w:val="447B6B6F"/>
    <w:rsid w:val="447B737A"/>
    <w:rsid w:val="447B7FE6"/>
    <w:rsid w:val="447D5802"/>
    <w:rsid w:val="447E0241"/>
    <w:rsid w:val="447E3E7F"/>
    <w:rsid w:val="447E7E2A"/>
    <w:rsid w:val="447F1251"/>
    <w:rsid w:val="447F2366"/>
    <w:rsid w:val="44802CDC"/>
    <w:rsid w:val="44803665"/>
    <w:rsid w:val="448040F9"/>
    <w:rsid w:val="44811125"/>
    <w:rsid w:val="44824384"/>
    <w:rsid w:val="44840313"/>
    <w:rsid w:val="44851902"/>
    <w:rsid w:val="44877D35"/>
    <w:rsid w:val="44887970"/>
    <w:rsid w:val="448A724B"/>
    <w:rsid w:val="448C1935"/>
    <w:rsid w:val="448E25A9"/>
    <w:rsid w:val="448E3A0A"/>
    <w:rsid w:val="449015FD"/>
    <w:rsid w:val="44910588"/>
    <w:rsid w:val="4492151B"/>
    <w:rsid w:val="4492441D"/>
    <w:rsid w:val="449325CF"/>
    <w:rsid w:val="44964FD9"/>
    <w:rsid w:val="4498683D"/>
    <w:rsid w:val="44986E10"/>
    <w:rsid w:val="44987E3C"/>
    <w:rsid w:val="449B6B1A"/>
    <w:rsid w:val="449D0A3E"/>
    <w:rsid w:val="449D1132"/>
    <w:rsid w:val="449E6BA9"/>
    <w:rsid w:val="449F3163"/>
    <w:rsid w:val="44A27E03"/>
    <w:rsid w:val="44A665F1"/>
    <w:rsid w:val="44A7494C"/>
    <w:rsid w:val="44AB315B"/>
    <w:rsid w:val="44AB4F09"/>
    <w:rsid w:val="44AC47F5"/>
    <w:rsid w:val="44AC678F"/>
    <w:rsid w:val="44AD7322"/>
    <w:rsid w:val="44AE19D7"/>
    <w:rsid w:val="44B048AE"/>
    <w:rsid w:val="44B17BF0"/>
    <w:rsid w:val="44B35194"/>
    <w:rsid w:val="44B43714"/>
    <w:rsid w:val="44B55BEE"/>
    <w:rsid w:val="44B871AF"/>
    <w:rsid w:val="44B9057F"/>
    <w:rsid w:val="44BA2103"/>
    <w:rsid w:val="44BB7D42"/>
    <w:rsid w:val="44BD188C"/>
    <w:rsid w:val="44BD714E"/>
    <w:rsid w:val="44BE787F"/>
    <w:rsid w:val="44C03894"/>
    <w:rsid w:val="44C1715C"/>
    <w:rsid w:val="44C207ED"/>
    <w:rsid w:val="44C22253"/>
    <w:rsid w:val="44C7440A"/>
    <w:rsid w:val="44CA2273"/>
    <w:rsid w:val="44CB4B8F"/>
    <w:rsid w:val="44CC2B55"/>
    <w:rsid w:val="44CD4E80"/>
    <w:rsid w:val="44D014BF"/>
    <w:rsid w:val="44D10B59"/>
    <w:rsid w:val="44D17637"/>
    <w:rsid w:val="44D350F5"/>
    <w:rsid w:val="44D43882"/>
    <w:rsid w:val="44D55B01"/>
    <w:rsid w:val="44D73F50"/>
    <w:rsid w:val="44D82F8A"/>
    <w:rsid w:val="44D84579"/>
    <w:rsid w:val="44D852B9"/>
    <w:rsid w:val="44DD4DE7"/>
    <w:rsid w:val="44DE4361"/>
    <w:rsid w:val="44DF7453"/>
    <w:rsid w:val="44E040C0"/>
    <w:rsid w:val="44E10D03"/>
    <w:rsid w:val="44E16A53"/>
    <w:rsid w:val="44E22605"/>
    <w:rsid w:val="44E77988"/>
    <w:rsid w:val="44E870EC"/>
    <w:rsid w:val="44ED0F52"/>
    <w:rsid w:val="44ED3AA5"/>
    <w:rsid w:val="44EF3F5D"/>
    <w:rsid w:val="44F47813"/>
    <w:rsid w:val="44F872F4"/>
    <w:rsid w:val="44F921A0"/>
    <w:rsid w:val="44FC39B7"/>
    <w:rsid w:val="45006C99"/>
    <w:rsid w:val="45012D7B"/>
    <w:rsid w:val="45017448"/>
    <w:rsid w:val="450215A0"/>
    <w:rsid w:val="4502762A"/>
    <w:rsid w:val="45056B04"/>
    <w:rsid w:val="450B1211"/>
    <w:rsid w:val="450F67F8"/>
    <w:rsid w:val="45120BE3"/>
    <w:rsid w:val="45125111"/>
    <w:rsid w:val="45127D12"/>
    <w:rsid w:val="4513485D"/>
    <w:rsid w:val="45163422"/>
    <w:rsid w:val="451A1E03"/>
    <w:rsid w:val="451A28DF"/>
    <w:rsid w:val="451A7D82"/>
    <w:rsid w:val="451C7BB5"/>
    <w:rsid w:val="451E392D"/>
    <w:rsid w:val="452003B8"/>
    <w:rsid w:val="45204578"/>
    <w:rsid w:val="452225A2"/>
    <w:rsid w:val="45230D59"/>
    <w:rsid w:val="4526669A"/>
    <w:rsid w:val="452748C3"/>
    <w:rsid w:val="452B5749"/>
    <w:rsid w:val="452C5A6A"/>
    <w:rsid w:val="45301579"/>
    <w:rsid w:val="45312679"/>
    <w:rsid w:val="45322E89"/>
    <w:rsid w:val="453273D9"/>
    <w:rsid w:val="45343DF3"/>
    <w:rsid w:val="453526E7"/>
    <w:rsid w:val="453825F9"/>
    <w:rsid w:val="453946FB"/>
    <w:rsid w:val="453958BC"/>
    <w:rsid w:val="45396990"/>
    <w:rsid w:val="453D1776"/>
    <w:rsid w:val="453E5D8E"/>
    <w:rsid w:val="45466CB8"/>
    <w:rsid w:val="45467F62"/>
    <w:rsid w:val="454E035F"/>
    <w:rsid w:val="45500781"/>
    <w:rsid w:val="45501E04"/>
    <w:rsid w:val="45514E22"/>
    <w:rsid w:val="455239C6"/>
    <w:rsid w:val="455455A1"/>
    <w:rsid w:val="4554734F"/>
    <w:rsid w:val="45566FD9"/>
    <w:rsid w:val="455700B6"/>
    <w:rsid w:val="45570CA7"/>
    <w:rsid w:val="455A1FF5"/>
    <w:rsid w:val="455B01A4"/>
    <w:rsid w:val="455C0589"/>
    <w:rsid w:val="455F45CB"/>
    <w:rsid w:val="45600F64"/>
    <w:rsid w:val="45610314"/>
    <w:rsid w:val="45617B7A"/>
    <w:rsid w:val="45625755"/>
    <w:rsid w:val="4565330A"/>
    <w:rsid w:val="4569187A"/>
    <w:rsid w:val="456A6710"/>
    <w:rsid w:val="456D681A"/>
    <w:rsid w:val="456F78FB"/>
    <w:rsid w:val="4571549B"/>
    <w:rsid w:val="4575716E"/>
    <w:rsid w:val="45784DF9"/>
    <w:rsid w:val="45797EFD"/>
    <w:rsid w:val="45800144"/>
    <w:rsid w:val="45803AB2"/>
    <w:rsid w:val="45810C73"/>
    <w:rsid w:val="4581187D"/>
    <w:rsid w:val="458240B5"/>
    <w:rsid w:val="45844999"/>
    <w:rsid w:val="4586341D"/>
    <w:rsid w:val="4587521F"/>
    <w:rsid w:val="45884142"/>
    <w:rsid w:val="45891D92"/>
    <w:rsid w:val="458A2E0C"/>
    <w:rsid w:val="458D0808"/>
    <w:rsid w:val="458D0AB3"/>
    <w:rsid w:val="458D3D54"/>
    <w:rsid w:val="458F34B6"/>
    <w:rsid w:val="458F5EF7"/>
    <w:rsid w:val="45904079"/>
    <w:rsid w:val="4591129E"/>
    <w:rsid w:val="45930284"/>
    <w:rsid w:val="45943929"/>
    <w:rsid w:val="45976D3C"/>
    <w:rsid w:val="459A3F1A"/>
    <w:rsid w:val="459B6D2C"/>
    <w:rsid w:val="459E0F80"/>
    <w:rsid w:val="459E4A6E"/>
    <w:rsid w:val="459F3024"/>
    <w:rsid w:val="45A12686"/>
    <w:rsid w:val="45A1622E"/>
    <w:rsid w:val="45A32084"/>
    <w:rsid w:val="45A33E32"/>
    <w:rsid w:val="45A33EBF"/>
    <w:rsid w:val="45A356F9"/>
    <w:rsid w:val="45A4772A"/>
    <w:rsid w:val="45A524A0"/>
    <w:rsid w:val="45A77DEC"/>
    <w:rsid w:val="45AA5F96"/>
    <w:rsid w:val="45AE269D"/>
    <w:rsid w:val="45B50941"/>
    <w:rsid w:val="45B6270B"/>
    <w:rsid w:val="45BB51FD"/>
    <w:rsid w:val="45BD041E"/>
    <w:rsid w:val="45C064F0"/>
    <w:rsid w:val="45C34CF1"/>
    <w:rsid w:val="45C5544D"/>
    <w:rsid w:val="45C66AA0"/>
    <w:rsid w:val="45C95EA4"/>
    <w:rsid w:val="45CA3563"/>
    <w:rsid w:val="45CC15DB"/>
    <w:rsid w:val="45CD27DF"/>
    <w:rsid w:val="45CE5353"/>
    <w:rsid w:val="45D22C46"/>
    <w:rsid w:val="45D27793"/>
    <w:rsid w:val="45DB5A63"/>
    <w:rsid w:val="45DC35E3"/>
    <w:rsid w:val="45E23EA3"/>
    <w:rsid w:val="45E32481"/>
    <w:rsid w:val="45E47D77"/>
    <w:rsid w:val="45E61710"/>
    <w:rsid w:val="45E67645"/>
    <w:rsid w:val="45E96C0B"/>
    <w:rsid w:val="45F10B16"/>
    <w:rsid w:val="45F32FB9"/>
    <w:rsid w:val="45F35D3F"/>
    <w:rsid w:val="45F63961"/>
    <w:rsid w:val="45F75138"/>
    <w:rsid w:val="45F75F2C"/>
    <w:rsid w:val="45F8096D"/>
    <w:rsid w:val="45F8417E"/>
    <w:rsid w:val="45FA0D28"/>
    <w:rsid w:val="45FA7DF2"/>
    <w:rsid w:val="45FE638A"/>
    <w:rsid w:val="46004DE1"/>
    <w:rsid w:val="46024B82"/>
    <w:rsid w:val="4602649D"/>
    <w:rsid w:val="46075011"/>
    <w:rsid w:val="46090C5B"/>
    <w:rsid w:val="460B77F9"/>
    <w:rsid w:val="460E71B8"/>
    <w:rsid w:val="461155B4"/>
    <w:rsid w:val="461408DA"/>
    <w:rsid w:val="46146ADE"/>
    <w:rsid w:val="4619307F"/>
    <w:rsid w:val="461D0A38"/>
    <w:rsid w:val="46202762"/>
    <w:rsid w:val="46203326"/>
    <w:rsid w:val="4620731B"/>
    <w:rsid w:val="462211A8"/>
    <w:rsid w:val="462705C0"/>
    <w:rsid w:val="46277CE2"/>
    <w:rsid w:val="462943CA"/>
    <w:rsid w:val="462B157D"/>
    <w:rsid w:val="462B3B30"/>
    <w:rsid w:val="462C497E"/>
    <w:rsid w:val="46310CD1"/>
    <w:rsid w:val="46377A12"/>
    <w:rsid w:val="463940C2"/>
    <w:rsid w:val="463942F3"/>
    <w:rsid w:val="463C2D3B"/>
    <w:rsid w:val="463C4EB6"/>
    <w:rsid w:val="463D0C18"/>
    <w:rsid w:val="463D4118"/>
    <w:rsid w:val="463F62A4"/>
    <w:rsid w:val="46432D15"/>
    <w:rsid w:val="4645313C"/>
    <w:rsid w:val="464603FA"/>
    <w:rsid w:val="46466807"/>
    <w:rsid w:val="4646759D"/>
    <w:rsid w:val="46474855"/>
    <w:rsid w:val="464753FC"/>
    <w:rsid w:val="46481DE0"/>
    <w:rsid w:val="464B2FDE"/>
    <w:rsid w:val="464C0BA0"/>
    <w:rsid w:val="464E477E"/>
    <w:rsid w:val="464F546F"/>
    <w:rsid w:val="4650551F"/>
    <w:rsid w:val="465215A1"/>
    <w:rsid w:val="46524D54"/>
    <w:rsid w:val="46553470"/>
    <w:rsid w:val="4655744B"/>
    <w:rsid w:val="465A5AFF"/>
    <w:rsid w:val="465D5E51"/>
    <w:rsid w:val="466104EA"/>
    <w:rsid w:val="46611DBA"/>
    <w:rsid w:val="46621C7C"/>
    <w:rsid w:val="46651B78"/>
    <w:rsid w:val="46652CFD"/>
    <w:rsid w:val="4669507C"/>
    <w:rsid w:val="4669795D"/>
    <w:rsid w:val="466B56BF"/>
    <w:rsid w:val="466C6EEB"/>
    <w:rsid w:val="466D3DCC"/>
    <w:rsid w:val="46710B07"/>
    <w:rsid w:val="46711659"/>
    <w:rsid w:val="46712C25"/>
    <w:rsid w:val="467A4F01"/>
    <w:rsid w:val="467B427C"/>
    <w:rsid w:val="467B51DF"/>
    <w:rsid w:val="467E0A66"/>
    <w:rsid w:val="46803B82"/>
    <w:rsid w:val="46804582"/>
    <w:rsid w:val="46811A20"/>
    <w:rsid w:val="468123C6"/>
    <w:rsid w:val="46821C9A"/>
    <w:rsid w:val="46835CFE"/>
    <w:rsid w:val="468365B4"/>
    <w:rsid w:val="46841C38"/>
    <w:rsid w:val="468747DC"/>
    <w:rsid w:val="46880ACF"/>
    <w:rsid w:val="46895093"/>
    <w:rsid w:val="468C7B77"/>
    <w:rsid w:val="468D0C7B"/>
    <w:rsid w:val="468E3E63"/>
    <w:rsid w:val="468F68AA"/>
    <w:rsid w:val="46910EFF"/>
    <w:rsid w:val="46953C33"/>
    <w:rsid w:val="46986547"/>
    <w:rsid w:val="469C0A4F"/>
    <w:rsid w:val="46A03653"/>
    <w:rsid w:val="46A0448E"/>
    <w:rsid w:val="46A40995"/>
    <w:rsid w:val="46A4110E"/>
    <w:rsid w:val="46A5527D"/>
    <w:rsid w:val="46A64B24"/>
    <w:rsid w:val="46AA5D72"/>
    <w:rsid w:val="46AB79BD"/>
    <w:rsid w:val="46AC2F85"/>
    <w:rsid w:val="46AE7B45"/>
    <w:rsid w:val="46B00617"/>
    <w:rsid w:val="46B00635"/>
    <w:rsid w:val="46B207D1"/>
    <w:rsid w:val="46B23E09"/>
    <w:rsid w:val="46B356EA"/>
    <w:rsid w:val="46B45036"/>
    <w:rsid w:val="46B621F0"/>
    <w:rsid w:val="46B941AA"/>
    <w:rsid w:val="46BA489C"/>
    <w:rsid w:val="46BB3BD7"/>
    <w:rsid w:val="46BC1650"/>
    <w:rsid w:val="46BD1201"/>
    <w:rsid w:val="46BD3F1A"/>
    <w:rsid w:val="46C30041"/>
    <w:rsid w:val="46C53D02"/>
    <w:rsid w:val="46C66040"/>
    <w:rsid w:val="46C6639E"/>
    <w:rsid w:val="46C715FC"/>
    <w:rsid w:val="46C902AF"/>
    <w:rsid w:val="46CB5CD3"/>
    <w:rsid w:val="46CD4C78"/>
    <w:rsid w:val="46CE2FDB"/>
    <w:rsid w:val="46CE3131"/>
    <w:rsid w:val="46D43940"/>
    <w:rsid w:val="46E14ACA"/>
    <w:rsid w:val="46E77E94"/>
    <w:rsid w:val="46EA28CC"/>
    <w:rsid w:val="46EA5319"/>
    <w:rsid w:val="46EA775B"/>
    <w:rsid w:val="46EB2438"/>
    <w:rsid w:val="46EC038F"/>
    <w:rsid w:val="46EC0F77"/>
    <w:rsid w:val="46F075CF"/>
    <w:rsid w:val="46F26E20"/>
    <w:rsid w:val="46F3775E"/>
    <w:rsid w:val="46F4420F"/>
    <w:rsid w:val="46F53F81"/>
    <w:rsid w:val="46F75208"/>
    <w:rsid w:val="46F87D23"/>
    <w:rsid w:val="46F96400"/>
    <w:rsid w:val="46FA01F5"/>
    <w:rsid w:val="46FA53D2"/>
    <w:rsid w:val="46FC1211"/>
    <w:rsid w:val="46FC25D1"/>
    <w:rsid w:val="46FC2CDA"/>
    <w:rsid w:val="46FD0F09"/>
    <w:rsid w:val="46FE36E9"/>
    <w:rsid w:val="47045E10"/>
    <w:rsid w:val="47057A49"/>
    <w:rsid w:val="47090F39"/>
    <w:rsid w:val="470962FE"/>
    <w:rsid w:val="47097B02"/>
    <w:rsid w:val="470B0171"/>
    <w:rsid w:val="470F08BB"/>
    <w:rsid w:val="471072A6"/>
    <w:rsid w:val="47112274"/>
    <w:rsid w:val="4711781B"/>
    <w:rsid w:val="47135144"/>
    <w:rsid w:val="471770AD"/>
    <w:rsid w:val="471A0B51"/>
    <w:rsid w:val="471B472B"/>
    <w:rsid w:val="471F0487"/>
    <w:rsid w:val="471F04D0"/>
    <w:rsid w:val="471F1BDF"/>
    <w:rsid w:val="471F5462"/>
    <w:rsid w:val="472313F0"/>
    <w:rsid w:val="47280A93"/>
    <w:rsid w:val="47285816"/>
    <w:rsid w:val="472874CD"/>
    <w:rsid w:val="47290367"/>
    <w:rsid w:val="472F1447"/>
    <w:rsid w:val="472F2C43"/>
    <w:rsid w:val="473436BF"/>
    <w:rsid w:val="4735649E"/>
    <w:rsid w:val="4735673E"/>
    <w:rsid w:val="473B2C32"/>
    <w:rsid w:val="473D60F3"/>
    <w:rsid w:val="473D671F"/>
    <w:rsid w:val="473E3938"/>
    <w:rsid w:val="473F6589"/>
    <w:rsid w:val="47406C4A"/>
    <w:rsid w:val="47411B55"/>
    <w:rsid w:val="474247F9"/>
    <w:rsid w:val="47444A9C"/>
    <w:rsid w:val="47473900"/>
    <w:rsid w:val="47496FCD"/>
    <w:rsid w:val="474B7EE4"/>
    <w:rsid w:val="474D1701"/>
    <w:rsid w:val="474D314A"/>
    <w:rsid w:val="474E6020"/>
    <w:rsid w:val="47512509"/>
    <w:rsid w:val="475240B2"/>
    <w:rsid w:val="47531F39"/>
    <w:rsid w:val="47537C15"/>
    <w:rsid w:val="475415F5"/>
    <w:rsid w:val="47562C26"/>
    <w:rsid w:val="475708F2"/>
    <w:rsid w:val="47574ED5"/>
    <w:rsid w:val="475A173E"/>
    <w:rsid w:val="475A2C17"/>
    <w:rsid w:val="475A77B6"/>
    <w:rsid w:val="475C74B6"/>
    <w:rsid w:val="475E6439"/>
    <w:rsid w:val="475F357A"/>
    <w:rsid w:val="476046C0"/>
    <w:rsid w:val="476228B6"/>
    <w:rsid w:val="476358B2"/>
    <w:rsid w:val="47677425"/>
    <w:rsid w:val="476870E2"/>
    <w:rsid w:val="476A324C"/>
    <w:rsid w:val="476A342B"/>
    <w:rsid w:val="476A63AC"/>
    <w:rsid w:val="476C25AF"/>
    <w:rsid w:val="476D1967"/>
    <w:rsid w:val="476D3CD0"/>
    <w:rsid w:val="476E4FD7"/>
    <w:rsid w:val="47710799"/>
    <w:rsid w:val="47716689"/>
    <w:rsid w:val="47733399"/>
    <w:rsid w:val="477555D6"/>
    <w:rsid w:val="477A3EDB"/>
    <w:rsid w:val="477B4BFA"/>
    <w:rsid w:val="477F2FDD"/>
    <w:rsid w:val="47811F51"/>
    <w:rsid w:val="478305F4"/>
    <w:rsid w:val="4783216D"/>
    <w:rsid w:val="47832B25"/>
    <w:rsid w:val="47833B7C"/>
    <w:rsid w:val="4786602C"/>
    <w:rsid w:val="478A2DD1"/>
    <w:rsid w:val="478C3BD4"/>
    <w:rsid w:val="478C510A"/>
    <w:rsid w:val="478C7274"/>
    <w:rsid w:val="479206B4"/>
    <w:rsid w:val="47920B1C"/>
    <w:rsid w:val="479559FD"/>
    <w:rsid w:val="47956484"/>
    <w:rsid w:val="47962EDE"/>
    <w:rsid w:val="479B20CD"/>
    <w:rsid w:val="479B4C24"/>
    <w:rsid w:val="479E325C"/>
    <w:rsid w:val="47A0186C"/>
    <w:rsid w:val="47A0445E"/>
    <w:rsid w:val="47A04ACD"/>
    <w:rsid w:val="47A237CD"/>
    <w:rsid w:val="47A53E92"/>
    <w:rsid w:val="47A74860"/>
    <w:rsid w:val="47AA1D65"/>
    <w:rsid w:val="47AB73AA"/>
    <w:rsid w:val="47AD67FD"/>
    <w:rsid w:val="47AE61DF"/>
    <w:rsid w:val="47B021DC"/>
    <w:rsid w:val="47B030A3"/>
    <w:rsid w:val="47B349BC"/>
    <w:rsid w:val="47BA0ACC"/>
    <w:rsid w:val="47BE73FC"/>
    <w:rsid w:val="47C0269C"/>
    <w:rsid w:val="47C60061"/>
    <w:rsid w:val="47C8308D"/>
    <w:rsid w:val="47CA12E8"/>
    <w:rsid w:val="47CC6397"/>
    <w:rsid w:val="47CF3149"/>
    <w:rsid w:val="47D2553B"/>
    <w:rsid w:val="47D26EE0"/>
    <w:rsid w:val="47D279F1"/>
    <w:rsid w:val="47D3317D"/>
    <w:rsid w:val="47D4691E"/>
    <w:rsid w:val="47D502B9"/>
    <w:rsid w:val="47D604EF"/>
    <w:rsid w:val="47D624FA"/>
    <w:rsid w:val="47D87813"/>
    <w:rsid w:val="47D973A1"/>
    <w:rsid w:val="47DA5337"/>
    <w:rsid w:val="47DB1751"/>
    <w:rsid w:val="47DE3E48"/>
    <w:rsid w:val="47DE7D57"/>
    <w:rsid w:val="47E1263F"/>
    <w:rsid w:val="47E1606E"/>
    <w:rsid w:val="47E23ECF"/>
    <w:rsid w:val="47E36C7C"/>
    <w:rsid w:val="47E72D9D"/>
    <w:rsid w:val="47EA4F39"/>
    <w:rsid w:val="47EC2F56"/>
    <w:rsid w:val="47EE00CA"/>
    <w:rsid w:val="47EF08E5"/>
    <w:rsid w:val="47F170D7"/>
    <w:rsid w:val="47F43743"/>
    <w:rsid w:val="47F56630"/>
    <w:rsid w:val="47FB32DA"/>
    <w:rsid w:val="47FB78DB"/>
    <w:rsid w:val="47FC782A"/>
    <w:rsid w:val="48014792"/>
    <w:rsid w:val="480171EE"/>
    <w:rsid w:val="480204E8"/>
    <w:rsid w:val="480303E8"/>
    <w:rsid w:val="4805399C"/>
    <w:rsid w:val="48080A80"/>
    <w:rsid w:val="48093B6E"/>
    <w:rsid w:val="480D60A9"/>
    <w:rsid w:val="48104033"/>
    <w:rsid w:val="48133D7F"/>
    <w:rsid w:val="481873DC"/>
    <w:rsid w:val="481A203E"/>
    <w:rsid w:val="481C32EB"/>
    <w:rsid w:val="481D5113"/>
    <w:rsid w:val="4820094F"/>
    <w:rsid w:val="48204838"/>
    <w:rsid w:val="48233B75"/>
    <w:rsid w:val="48272AF9"/>
    <w:rsid w:val="482801DB"/>
    <w:rsid w:val="482931BF"/>
    <w:rsid w:val="482D45CC"/>
    <w:rsid w:val="482E1951"/>
    <w:rsid w:val="482E6986"/>
    <w:rsid w:val="48300CAC"/>
    <w:rsid w:val="483025FD"/>
    <w:rsid w:val="48335942"/>
    <w:rsid w:val="4836048C"/>
    <w:rsid w:val="48374B80"/>
    <w:rsid w:val="483B037A"/>
    <w:rsid w:val="483B65A4"/>
    <w:rsid w:val="483D5D94"/>
    <w:rsid w:val="483E3BCA"/>
    <w:rsid w:val="483E69D2"/>
    <w:rsid w:val="483F3716"/>
    <w:rsid w:val="483F5C81"/>
    <w:rsid w:val="48405FC5"/>
    <w:rsid w:val="484153D6"/>
    <w:rsid w:val="48420045"/>
    <w:rsid w:val="48425B85"/>
    <w:rsid w:val="484F01BF"/>
    <w:rsid w:val="484F02A2"/>
    <w:rsid w:val="484F765B"/>
    <w:rsid w:val="48512937"/>
    <w:rsid w:val="48520D93"/>
    <w:rsid w:val="4853677A"/>
    <w:rsid w:val="4854149C"/>
    <w:rsid w:val="48544659"/>
    <w:rsid w:val="485451CF"/>
    <w:rsid w:val="485D26D1"/>
    <w:rsid w:val="485E2B3B"/>
    <w:rsid w:val="4861281D"/>
    <w:rsid w:val="4861325F"/>
    <w:rsid w:val="486427C8"/>
    <w:rsid w:val="48657BC3"/>
    <w:rsid w:val="48662628"/>
    <w:rsid w:val="4866768E"/>
    <w:rsid w:val="48670232"/>
    <w:rsid w:val="48683E23"/>
    <w:rsid w:val="486A3237"/>
    <w:rsid w:val="486D2D8B"/>
    <w:rsid w:val="486F0571"/>
    <w:rsid w:val="487128AA"/>
    <w:rsid w:val="487315B2"/>
    <w:rsid w:val="48744E63"/>
    <w:rsid w:val="487815A6"/>
    <w:rsid w:val="487821CC"/>
    <w:rsid w:val="48792797"/>
    <w:rsid w:val="487B0237"/>
    <w:rsid w:val="487B4BF3"/>
    <w:rsid w:val="487C3CAB"/>
    <w:rsid w:val="48852883"/>
    <w:rsid w:val="488776B1"/>
    <w:rsid w:val="488840ED"/>
    <w:rsid w:val="48897D1E"/>
    <w:rsid w:val="488A09EA"/>
    <w:rsid w:val="48905A05"/>
    <w:rsid w:val="489343F4"/>
    <w:rsid w:val="48942BF4"/>
    <w:rsid w:val="48951F61"/>
    <w:rsid w:val="48981F49"/>
    <w:rsid w:val="48986D93"/>
    <w:rsid w:val="489A151D"/>
    <w:rsid w:val="489C6793"/>
    <w:rsid w:val="489D21AB"/>
    <w:rsid w:val="489E35F8"/>
    <w:rsid w:val="489F2FD7"/>
    <w:rsid w:val="489F6A68"/>
    <w:rsid w:val="48A137E7"/>
    <w:rsid w:val="48A20121"/>
    <w:rsid w:val="48A645B4"/>
    <w:rsid w:val="48A66397"/>
    <w:rsid w:val="48AB61E6"/>
    <w:rsid w:val="48AE069B"/>
    <w:rsid w:val="48AE0DAA"/>
    <w:rsid w:val="48AF2AEE"/>
    <w:rsid w:val="48AF6CAA"/>
    <w:rsid w:val="48B35C23"/>
    <w:rsid w:val="48B408CC"/>
    <w:rsid w:val="48B775EC"/>
    <w:rsid w:val="48B867A4"/>
    <w:rsid w:val="48B9754B"/>
    <w:rsid w:val="48C22822"/>
    <w:rsid w:val="48C3045C"/>
    <w:rsid w:val="48C91E02"/>
    <w:rsid w:val="48C9232F"/>
    <w:rsid w:val="48CA2980"/>
    <w:rsid w:val="48CA3732"/>
    <w:rsid w:val="48CD03FE"/>
    <w:rsid w:val="48CE1A05"/>
    <w:rsid w:val="48CE1BA7"/>
    <w:rsid w:val="48CE3E35"/>
    <w:rsid w:val="48D149D7"/>
    <w:rsid w:val="48D448D5"/>
    <w:rsid w:val="48D52213"/>
    <w:rsid w:val="48DA070A"/>
    <w:rsid w:val="48DE4868"/>
    <w:rsid w:val="48DE5CD8"/>
    <w:rsid w:val="48DF3034"/>
    <w:rsid w:val="48E41236"/>
    <w:rsid w:val="48E50CD8"/>
    <w:rsid w:val="48E5278E"/>
    <w:rsid w:val="48E637F8"/>
    <w:rsid w:val="48E677FF"/>
    <w:rsid w:val="48F21627"/>
    <w:rsid w:val="48F277EE"/>
    <w:rsid w:val="48F325E8"/>
    <w:rsid w:val="48F457AD"/>
    <w:rsid w:val="48F50E49"/>
    <w:rsid w:val="48F549A5"/>
    <w:rsid w:val="48F5541E"/>
    <w:rsid w:val="48F61C8C"/>
    <w:rsid w:val="48F74BC1"/>
    <w:rsid w:val="48FA72AD"/>
    <w:rsid w:val="48FB1CE5"/>
    <w:rsid w:val="48FC12A7"/>
    <w:rsid w:val="48FF7B7C"/>
    <w:rsid w:val="49021800"/>
    <w:rsid w:val="49021E29"/>
    <w:rsid w:val="4906639D"/>
    <w:rsid w:val="490A020D"/>
    <w:rsid w:val="490B575F"/>
    <w:rsid w:val="490D55C6"/>
    <w:rsid w:val="490E30B0"/>
    <w:rsid w:val="491167B6"/>
    <w:rsid w:val="491237A9"/>
    <w:rsid w:val="49124334"/>
    <w:rsid w:val="4917130B"/>
    <w:rsid w:val="49172F2B"/>
    <w:rsid w:val="4918641F"/>
    <w:rsid w:val="4919196D"/>
    <w:rsid w:val="49216A29"/>
    <w:rsid w:val="49223898"/>
    <w:rsid w:val="49240F0A"/>
    <w:rsid w:val="4925387C"/>
    <w:rsid w:val="49274DC7"/>
    <w:rsid w:val="49277EF5"/>
    <w:rsid w:val="49284AFE"/>
    <w:rsid w:val="492B059A"/>
    <w:rsid w:val="492B35C7"/>
    <w:rsid w:val="492D2E05"/>
    <w:rsid w:val="492D31FE"/>
    <w:rsid w:val="492E00B6"/>
    <w:rsid w:val="492F6188"/>
    <w:rsid w:val="493030D9"/>
    <w:rsid w:val="493048DB"/>
    <w:rsid w:val="493059DD"/>
    <w:rsid w:val="4938438A"/>
    <w:rsid w:val="49392251"/>
    <w:rsid w:val="493C6FD3"/>
    <w:rsid w:val="493E2D1C"/>
    <w:rsid w:val="493E36CD"/>
    <w:rsid w:val="493F792E"/>
    <w:rsid w:val="49497870"/>
    <w:rsid w:val="494A7DB3"/>
    <w:rsid w:val="494C5574"/>
    <w:rsid w:val="494D3B27"/>
    <w:rsid w:val="494F300B"/>
    <w:rsid w:val="494F67AB"/>
    <w:rsid w:val="495042D1"/>
    <w:rsid w:val="495078A8"/>
    <w:rsid w:val="49554674"/>
    <w:rsid w:val="495874F9"/>
    <w:rsid w:val="495A5134"/>
    <w:rsid w:val="495E69EE"/>
    <w:rsid w:val="495F17E9"/>
    <w:rsid w:val="495F6A1F"/>
    <w:rsid w:val="49651A5B"/>
    <w:rsid w:val="49665861"/>
    <w:rsid w:val="49685FEF"/>
    <w:rsid w:val="49691CF0"/>
    <w:rsid w:val="49693801"/>
    <w:rsid w:val="496A4A6A"/>
    <w:rsid w:val="496F29A9"/>
    <w:rsid w:val="49713048"/>
    <w:rsid w:val="49721F3E"/>
    <w:rsid w:val="49727003"/>
    <w:rsid w:val="497376C0"/>
    <w:rsid w:val="497415C3"/>
    <w:rsid w:val="49745043"/>
    <w:rsid w:val="49757894"/>
    <w:rsid w:val="49782299"/>
    <w:rsid w:val="497944D9"/>
    <w:rsid w:val="497B086A"/>
    <w:rsid w:val="497B6828"/>
    <w:rsid w:val="497B7003"/>
    <w:rsid w:val="497C5446"/>
    <w:rsid w:val="497F57E1"/>
    <w:rsid w:val="49840792"/>
    <w:rsid w:val="49855F2B"/>
    <w:rsid w:val="49877ECC"/>
    <w:rsid w:val="49892EAB"/>
    <w:rsid w:val="498B42F4"/>
    <w:rsid w:val="499331C1"/>
    <w:rsid w:val="49945C10"/>
    <w:rsid w:val="499911CB"/>
    <w:rsid w:val="49997175"/>
    <w:rsid w:val="49997A26"/>
    <w:rsid w:val="499C048C"/>
    <w:rsid w:val="499F0F5F"/>
    <w:rsid w:val="499F56C8"/>
    <w:rsid w:val="49A11B55"/>
    <w:rsid w:val="49A128D3"/>
    <w:rsid w:val="49A21619"/>
    <w:rsid w:val="49A247A8"/>
    <w:rsid w:val="49A364E6"/>
    <w:rsid w:val="49AA2E58"/>
    <w:rsid w:val="49AF4FB0"/>
    <w:rsid w:val="49B212E4"/>
    <w:rsid w:val="49B358F7"/>
    <w:rsid w:val="49B372ED"/>
    <w:rsid w:val="49B41817"/>
    <w:rsid w:val="49B938BB"/>
    <w:rsid w:val="49B97D68"/>
    <w:rsid w:val="49BA0DF7"/>
    <w:rsid w:val="49BE32B6"/>
    <w:rsid w:val="49BE748D"/>
    <w:rsid w:val="49C24A54"/>
    <w:rsid w:val="49C47708"/>
    <w:rsid w:val="49C536B6"/>
    <w:rsid w:val="49C6326C"/>
    <w:rsid w:val="49C724A8"/>
    <w:rsid w:val="49C73BF1"/>
    <w:rsid w:val="49CD43D0"/>
    <w:rsid w:val="49CD7A49"/>
    <w:rsid w:val="49CF0AF2"/>
    <w:rsid w:val="49D15B80"/>
    <w:rsid w:val="49D4280C"/>
    <w:rsid w:val="49D67550"/>
    <w:rsid w:val="49DA7D18"/>
    <w:rsid w:val="49DD4DEF"/>
    <w:rsid w:val="49DE6724"/>
    <w:rsid w:val="49E06B0A"/>
    <w:rsid w:val="49E57208"/>
    <w:rsid w:val="49E669E4"/>
    <w:rsid w:val="49E776E3"/>
    <w:rsid w:val="49E800EF"/>
    <w:rsid w:val="49EB06AE"/>
    <w:rsid w:val="49EB0F52"/>
    <w:rsid w:val="49EC253C"/>
    <w:rsid w:val="49EC7721"/>
    <w:rsid w:val="49ED7D72"/>
    <w:rsid w:val="49EE2D18"/>
    <w:rsid w:val="49EF3AEA"/>
    <w:rsid w:val="49F04DE4"/>
    <w:rsid w:val="49F45850"/>
    <w:rsid w:val="49F64896"/>
    <w:rsid w:val="49F678FD"/>
    <w:rsid w:val="49F7299F"/>
    <w:rsid w:val="49F91CF9"/>
    <w:rsid w:val="49FC6163"/>
    <w:rsid w:val="49FD4AE8"/>
    <w:rsid w:val="49FF0EFB"/>
    <w:rsid w:val="4A002AD3"/>
    <w:rsid w:val="4A011E96"/>
    <w:rsid w:val="4A073F9E"/>
    <w:rsid w:val="4A0A1043"/>
    <w:rsid w:val="4A0B1769"/>
    <w:rsid w:val="4A0B1FA6"/>
    <w:rsid w:val="4A0B5441"/>
    <w:rsid w:val="4A0C644A"/>
    <w:rsid w:val="4A0C6614"/>
    <w:rsid w:val="4A0D7FED"/>
    <w:rsid w:val="4A0F1A0C"/>
    <w:rsid w:val="4A1279CA"/>
    <w:rsid w:val="4A15751E"/>
    <w:rsid w:val="4A162CF7"/>
    <w:rsid w:val="4A1A56EC"/>
    <w:rsid w:val="4A1B67B7"/>
    <w:rsid w:val="4A1C683A"/>
    <w:rsid w:val="4A1E1A11"/>
    <w:rsid w:val="4A1F56F2"/>
    <w:rsid w:val="4A215502"/>
    <w:rsid w:val="4A227A1C"/>
    <w:rsid w:val="4A2303A3"/>
    <w:rsid w:val="4A235D70"/>
    <w:rsid w:val="4A274E0D"/>
    <w:rsid w:val="4A282289"/>
    <w:rsid w:val="4A282B58"/>
    <w:rsid w:val="4A292ECB"/>
    <w:rsid w:val="4A2F038B"/>
    <w:rsid w:val="4A307420"/>
    <w:rsid w:val="4A311421"/>
    <w:rsid w:val="4A33473F"/>
    <w:rsid w:val="4A353A24"/>
    <w:rsid w:val="4A365EDC"/>
    <w:rsid w:val="4A371FA0"/>
    <w:rsid w:val="4A372D9B"/>
    <w:rsid w:val="4A377B59"/>
    <w:rsid w:val="4A3837B4"/>
    <w:rsid w:val="4A3A09B6"/>
    <w:rsid w:val="4A3B1654"/>
    <w:rsid w:val="4A3E3CF7"/>
    <w:rsid w:val="4A3F022D"/>
    <w:rsid w:val="4A3F19FE"/>
    <w:rsid w:val="4A411ECF"/>
    <w:rsid w:val="4A442E47"/>
    <w:rsid w:val="4A45370A"/>
    <w:rsid w:val="4A481252"/>
    <w:rsid w:val="4A4816B8"/>
    <w:rsid w:val="4A487027"/>
    <w:rsid w:val="4A4B755B"/>
    <w:rsid w:val="4A5027B3"/>
    <w:rsid w:val="4A5307B6"/>
    <w:rsid w:val="4A53348B"/>
    <w:rsid w:val="4A535ED9"/>
    <w:rsid w:val="4A546364"/>
    <w:rsid w:val="4A5474F0"/>
    <w:rsid w:val="4A554E02"/>
    <w:rsid w:val="4A560191"/>
    <w:rsid w:val="4A5747CD"/>
    <w:rsid w:val="4A574F31"/>
    <w:rsid w:val="4A5971B6"/>
    <w:rsid w:val="4A5C3C17"/>
    <w:rsid w:val="4A5D3B10"/>
    <w:rsid w:val="4A653DAC"/>
    <w:rsid w:val="4A6873F9"/>
    <w:rsid w:val="4A6920B6"/>
    <w:rsid w:val="4A69564B"/>
    <w:rsid w:val="4A6D4003"/>
    <w:rsid w:val="4A7123F7"/>
    <w:rsid w:val="4A7162AD"/>
    <w:rsid w:val="4A731411"/>
    <w:rsid w:val="4A761D66"/>
    <w:rsid w:val="4A76571D"/>
    <w:rsid w:val="4A7840E5"/>
    <w:rsid w:val="4A7B5FFB"/>
    <w:rsid w:val="4A7C5245"/>
    <w:rsid w:val="4A824948"/>
    <w:rsid w:val="4A844305"/>
    <w:rsid w:val="4A8766B8"/>
    <w:rsid w:val="4A88368E"/>
    <w:rsid w:val="4A887D26"/>
    <w:rsid w:val="4A89281A"/>
    <w:rsid w:val="4A8E06E2"/>
    <w:rsid w:val="4A9049FF"/>
    <w:rsid w:val="4A911511"/>
    <w:rsid w:val="4A9253C2"/>
    <w:rsid w:val="4A9266F1"/>
    <w:rsid w:val="4A93731C"/>
    <w:rsid w:val="4A944430"/>
    <w:rsid w:val="4A95408E"/>
    <w:rsid w:val="4A961475"/>
    <w:rsid w:val="4A964EAC"/>
    <w:rsid w:val="4A993B9C"/>
    <w:rsid w:val="4A9A523B"/>
    <w:rsid w:val="4A9A7D8D"/>
    <w:rsid w:val="4A9C2CF3"/>
    <w:rsid w:val="4AA1516A"/>
    <w:rsid w:val="4AA22146"/>
    <w:rsid w:val="4AA909B5"/>
    <w:rsid w:val="4AA973F5"/>
    <w:rsid w:val="4AAF6DD6"/>
    <w:rsid w:val="4AB17614"/>
    <w:rsid w:val="4AB32E57"/>
    <w:rsid w:val="4AB649CD"/>
    <w:rsid w:val="4ABC2C99"/>
    <w:rsid w:val="4AC151E1"/>
    <w:rsid w:val="4AC23F5C"/>
    <w:rsid w:val="4AC46D25"/>
    <w:rsid w:val="4AC56CD0"/>
    <w:rsid w:val="4AC63570"/>
    <w:rsid w:val="4AC90103"/>
    <w:rsid w:val="4AC97E02"/>
    <w:rsid w:val="4AD05B9D"/>
    <w:rsid w:val="4AD252FD"/>
    <w:rsid w:val="4AD30035"/>
    <w:rsid w:val="4AD33EDF"/>
    <w:rsid w:val="4AD625B4"/>
    <w:rsid w:val="4AD64A28"/>
    <w:rsid w:val="4AD64EF9"/>
    <w:rsid w:val="4AD86E13"/>
    <w:rsid w:val="4ADD575F"/>
    <w:rsid w:val="4AE0620D"/>
    <w:rsid w:val="4AE116EB"/>
    <w:rsid w:val="4AE15CAC"/>
    <w:rsid w:val="4AE52D03"/>
    <w:rsid w:val="4AE52D08"/>
    <w:rsid w:val="4AE80548"/>
    <w:rsid w:val="4AEC002A"/>
    <w:rsid w:val="4AED7DF0"/>
    <w:rsid w:val="4AEF150C"/>
    <w:rsid w:val="4AF0272E"/>
    <w:rsid w:val="4AF07B1A"/>
    <w:rsid w:val="4AF2663F"/>
    <w:rsid w:val="4AF33166"/>
    <w:rsid w:val="4AF3760A"/>
    <w:rsid w:val="4AF555B7"/>
    <w:rsid w:val="4AF60CFE"/>
    <w:rsid w:val="4AF61B0F"/>
    <w:rsid w:val="4AF67034"/>
    <w:rsid w:val="4AFC5D33"/>
    <w:rsid w:val="4AFD3FE5"/>
    <w:rsid w:val="4AFE699A"/>
    <w:rsid w:val="4AFF0233"/>
    <w:rsid w:val="4B006192"/>
    <w:rsid w:val="4B051AFE"/>
    <w:rsid w:val="4B06126E"/>
    <w:rsid w:val="4B0C3AF5"/>
    <w:rsid w:val="4B0E5F42"/>
    <w:rsid w:val="4B0F491A"/>
    <w:rsid w:val="4B0F5424"/>
    <w:rsid w:val="4B143891"/>
    <w:rsid w:val="4B1749D9"/>
    <w:rsid w:val="4B1B0A37"/>
    <w:rsid w:val="4B1C7631"/>
    <w:rsid w:val="4B1D271B"/>
    <w:rsid w:val="4B1D551B"/>
    <w:rsid w:val="4B232FE5"/>
    <w:rsid w:val="4B25312B"/>
    <w:rsid w:val="4B2549E2"/>
    <w:rsid w:val="4B256129"/>
    <w:rsid w:val="4B2652EA"/>
    <w:rsid w:val="4B265BA3"/>
    <w:rsid w:val="4B277A0C"/>
    <w:rsid w:val="4B2A4830"/>
    <w:rsid w:val="4B2A5C5A"/>
    <w:rsid w:val="4B2D51B8"/>
    <w:rsid w:val="4B2F5856"/>
    <w:rsid w:val="4B317F1B"/>
    <w:rsid w:val="4B33609B"/>
    <w:rsid w:val="4B3A4E3C"/>
    <w:rsid w:val="4B3A591A"/>
    <w:rsid w:val="4B3A5F33"/>
    <w:rsid w:val="4B3B06EC"/>
    <w:rsid w:val="4B3C2D5F"/>
    <w:rsid w:val="4B3C3085"/>
    <w:rsid w:val="4B3C34E7"/>
    <w:rsid w:val="4B3D4DF0"/>
    <w:rsid w:val="4B3E33F7"/>
    <w:rsid w:val="4B4004C0"/>
    <w:rsid w:val="4B41730E"/>
    <w:rsid w:val="4B424C94"/>
    <w:rsid w:val="4B4445A7"/>
    <w:rsid w:val="4B4530F7"/>
    <w:rsid w:val="4B491587"/>
    <w:rsid w:val="4B493F16"/>
    <w:rsid w:val="4B497037"/>
    <w:rsid w:val="4B4F2FD5"/>
    <w:rsid w:val="4B5109C9"/>
    <w:rsid w:val="4B541D15"/>
    <w:rsid w:val="4B5A6812"/>
    <w:rsid w:val="4B5B3221"/>
    <w:rsid w:val="4B5E27DE"/>
    <w:rsid w:val="4B617617"/>
    <w:rsid w:val="4B630BA5"/>
    <w:rsid w:val="4B634D16"/>
    <w:rsid w:val="4B6418AF"/>
    <w:rsid w:val="4B6473E0"/>
    <w:rsid w:val="4B661265"/>
    <w:rsid w:val="4B677522"/>
    <w:rsid w:val="4B6B53F2"/>
    <w:rsid w:val="4B6D116B"/>
    <w:rsid w:val="4B6F17F8"/>
    <w:rsid w:val="4B6F2A74"/>
    <w:rsid w:val="4B6F53DB"/>
    <w:rsid w:val="4B715BA0"/>
    <w:rsid w:val="4B7253D3"/>
    <w:rsid w:val="4B744DC1"/>
    <w:rsid w:val="4B766A70"/>
    <w:rsid w:val="4B7A50B8"/>
    <w:rsid w:val="4B8414B6"/>
    <w:rsid w:val="4B841D24"/>
    <w:rsid w:val="4B850135"/>
    <w:rsid w:val="4B860CCB"/>
    <w:rsid w:val="4B87144C"/>
    <w:rsid w:val="4B872F95"/>
    <w:rsid w:val="4B8C6608"/>
    <w:rsid w:val="4B8E2E8F"/>
    <w:rsid w:val="4B8F0220"/>
    <w:rsid w:val="4B8F3C0A"/>
    <w:rsid w:val="4B9960F6"/>
    <w:rsid w:val="4B9A61AF"/>
    <w:rsid w:val="4B9B736C"/>
    <w:rsid w:val="4B9C1A50"/>
    <w:rsid w:val="4B9D0E9D"/>
    <w:rsid w:val="4BA014E6"/>
    <w:rsid w:val="4BA23228"/>
    <w:rsid w:val="4BA55E99"/>
    <w:rsid w:val="4BA66EBE"/>
    <w:rsid w:val="4BAE0F1C"/>
    <w:rsid w:val="4BB01057"/>
    <w:rsid w:val="4BB25918"/>
    <w:rsid w:val="4BB7608E"/>
    <w:rsid w:val="4BB864B4"/>
    <w:rsid w:val="4BB87D89"/>
    <w:rsid w:val="4BBF6467"/>
    <w:rsid w:val="4BC11A14"/>
    <w:rsid w:val="4BC27F66"/>
    <w:rsid w:val="4BC30E1A"/>
    <w:rsid w:val="4BC36FDC"/>
    <w:rsid w:val="4BC47239"/>
    <w:rsid w:val="4BC85189"/>
    <w:rsid w:val="4BC87037"/>
    <w:rsid w:val="4BC92AD8"/>
    <w:rsid w:val="4BCC3AA6"/>
    <w:rsid w:val="4BCF63F1"/>
    <w:rsid w:val="4BCF7A94"/>
    <w:rsid w:val="4BD02FCC"/>
    <w:rsid w:val="4BD22949"/>
    <w:rsid w:val="4BD34162"/>
    <w:rsid w:val="4BD42C4E"/>
    <w:rsid w:val="4BDA7FE8"/>
    <w:rsid w:val="4BDB2578"/>
    <w:rsid w:val="4BDC58A6"/>
    <w:rsid w:val="4BDD1DA1"/>
    <w:rsid w:val="4BDD4C28"/>
    <w:rsid w:val="4BE322A1"/>
    <w:rsid w:val="4BE72028"/>
    <w:rsid w:val="4BE726C3"/>
    <w:rsid w:val="4BE75315"/>
    <w:rsid w:val="4BE83B46"/>
    <w:rsid w:val="4BE940F7"/>
    <w:rsid w:val="4BEB2AF4"/>
    <w:rsid w:val="4BEB5919"/>
    <w:rsid w:val="4BF00163"/>
    <w:rsid w:val="4BF0151C"/>
    <w:rsid w:val="4BF278C2"/>
    <w:rsid w:val="4BF4172F"/>
    <w:rsid w:val="4BF434CB"/>
    <w:rsid w:val="4BF44B67"/>
    <w:rsid w:val="4BF475EF"/>
    <w:rsid w:val="4BFA7C77"/>
    <w:rsid w:val="4BFC3FBD"/>
    <w:rsid w:val="4BFE22F7"/>
    <w:rsid w:val="4BFE6267"/>
    <w:rsid w:val="4BFF4D1E"/>
    <w:rsid w:val="4C0C755B"/>
    <w:rsid w:val="4C0D386D"/>
    <w:rsid w:val="4C1233B9"/>
    <w:rsid w:val="4C126A1A"/>
    <w:rsid w:val="4C133A89"/>
    <w:rsid w:val="4C15535E"/>
    <w:rsid w:val="4C181925"/>
    <w:rsid w:val="4C193DE3"/>
    <w:rsid w:val="4C1D7393"/>
    <w:rsid w:val="4C20166C"/>
    <w:rsid w:val="4C2061DD"/>
    <w:rsid w:val="4C247344"/>
    <w:rsid w:val="4C247D24"/>
    <w:rsid w:val="4C26150D"/>
    <w:rsid w:val="4C277C86"/>
    <w:rsid w:val="4C2B783B"/>
    <w:rsid w:val="4C2C7D74"/>
    <w:rsid w:val="4C2E72AF"/>
    <w:rsid w:val="4C2F4DF5"/>
    <w:rsid w:val="4C327CBE"/>
    <w:rsid w:val="4C356326"/>
    <w:rsid w:val="4C373527"/>
    <w:rsid w:val="4C3A0258"/>
    <w:rsid w:val="4C3A3229"/>
    <w:rsid w:val="4C3A4C7D"/>
    <w:rsid w:val="4C3B19DF"/>
    <w:rsid w:val="4C3D1B5A"/>
    <w:rsid w:val="4C3F72D1"/>
    <w:rsid w:val="4C3F770D"/>
    <w:rsid w:val="4C400B96"/>
    <w:rsid w:val="4C4024A9"/>
    <w:rsid w:val="4C420070"/>
    <w:rsid w:val="4C435DC4"/>
    <w:rsid w:val="4C440671"/>
    <w:rsid w:val="4C441880"/>
    <w:rsid w:val="4C453E95"/>
    <w:rsid w:val="4C465518"/>
    <w:rsid w:val="4C474598"/>
    <w:rsid w:val="4C484FCD"/>
    <w:rsid w:val="4C485734"/>
    <w:rsid w:val="4C4A23E9"/>
    <w:rsid w:val="4C4A4B47"/>
    <w:rsid w:val="4C4D0EAA"/>
    <w:rsid w:val="4C4D6F48"/>
    <w:rsid w:val="4C4E4C4F"/>
    <w:rsid w:val="4C4F086E"/>
    <w:rsid w:val="4C4F18D8"/>
    <w:rsid w:val="4C532B80"/>
    <w:rsid w:val="4C553181"/>
    <w:rsid w:val="4C570FB7"/>
    <w:rsid w:val="4C58245F"/>
    <w:rsid w:val="4C59349D"/>
    <w:rsid w:val="4C5C4D3B"/>
    <w:rsid w:val="4C5F1073"/>
    <w:rsid w:val="4C5F474C"/>
    <w:rsid w:val="4C6023DE"/>
    <w:rsid w:val="4C603792"/>
    <w:rsid w:val="4C620687"/>
    <w:rsid w:val="4C6521E8"/>
    <w:rsid w:val="4C661CA3"/>
    <w:rsid w:val="4C671948"/>
    <w:rsid w:val="4C684154"/>
    <w:rsid w:val="4C684DB4"/>
    <w:rsid w:val="4C695E99"/>
    <w:rsid w:val="4C6B106C"/>
    <w:rsid w:val="4C6C2EE9"/>
    <w:rsid w:val="4C6C4B16"/>
    <w:rsid w:val="4C6D4813"/>
    <w:rsid w:val="4C724E33"/>
    <w:rsid w:val="4C727F56"/>
    <w:rsid w:val="4C745EC4"/>
    <w:rsid w:val="4C747419"/>
    <w:rsid w:val="4C7570C4"/>
    <w:rsid w:val="4C76404F"/>
    <w:rsid w:val="4C7705AF"/>
    <w:rsid w:val="4C786FB8"/>
    <w:rsid w:val="4C7B2148"/>
    <w:rsid w:val="4C812FC8"/>
    <w:rsid w:val="4C815E38"/>
    <w:rsid w:val="4C847A82"/>
    <w:rsid w:val="4C8533F6"/>
    <w:rsid w:val="4C870607"/>
    <w:rsid w:val="4C87625C"/>
    <w:rsid w:val="4C8D79DA"/>
    <w:rsid w:val="4C8F28A4"/>
    <w:rsid w:val="4C8F3A07"/>
    <w:rsid w:val="4C905C41"/>
    <w:rsid w:val="4C9117C4"/>
    <w:rsid w:val="4C9318D8"/>
    <w:rsid w:val="4C93501C"/>
    <w:rsid w:val="4C937341"/>
    <w:rsid w:val="4C980378"/>
    <w:rsid w:val="4C982542"/>
    <w:rsid w:val="4C99384F"/>
    <w:rsid w:val="4C996C76"/>
    <w:rsid w:val="4C9A21FA"/>
    <w:rsid w:val="4C9C16FD"/>
    <w:rsid w:val="4C9D4F58"/>
    <w:rsid w:val="4C9D7031"/>
    <w:rsid w:val="4CA00C22"/>
    <w:rsid w:val="4CA202B9"/>
    <w:rsid w:val="4CA22DB0"/>
    <w:rsid w:val="4CA50490"/>
    <w:rsid w:val="4CAD5597"/>
    <w:rsid w:val="4CAE3458"/>
    <w:rsid w:val="4CAE598E"/>
    <w:rsid w:val="4CB06406"/>
    <w:rsid w:val="4CB211A5"/>
    <w:rsid w:val="4CB426AA"/>
    <w:rsid w:val="4CB47695"/>
    <w:rsid w:val="4CB604BD"/>
    <w:rsid w:val="4CB90E32"/>
    <w:rsid w:val="4CB97F67"/>
    <w:rsid w:val="4CBB2761"/>
    <w:rsid w:val="4CBC273C"/>
    <w:rsid w:val="4CBE5105"/>
    <w:rsid w:val="4CBF4C7F"/>
    <w:rsid w:val="4CBF6408"/>
    <w:rsid w:val="4CC605D0"/>
    <w:rsid w:val="4CCA1F74"/>
    <w:rsid w:val="4CCA47B3"/>
    <w:rsid w:val="4CCB2CC8"/>
    <w:rsid w:val="4CCD5C50"/>
    <w:rsid w:val="4CCE5447"/>
    <w:rsid w:val="4CD06CB4"/>
    <w:rsid w:val="4CD619A9"/>
    <w:rsid w:val="4CD90CE0"/>
    <w:rsid w:val="4CD9515C"/>
    <w:rsid w:val="4CDB6284"/>
    <w:rsid w:val="4CDD5E7C"/>
    <w:rsid w:val="4CDF143C"/>
    <w:rsid w:val="4CDF1BF4"/>
    <w:rsid w:val="4CDF5113"/>
    <w:rsid w:val="4CE5642B"/>
    <w:rsid w:val="4CE76FB1"/>
    <w:rsid w:val="4CE91613"/>
    <w:rsid w:val="4CEA2A74"/>
    <w:rsid w:val="4CEC60BF"/>
    <w:rsid w:val="4CED3D1E"/>
    <w:rsid w:val="4CED7880"/>
    <w:rsid w:val="4CF01E39"/>
    <w:rsid w:val="4CF20201"/>
    <w:rsid w:val="4CF35E12"/>
    <w:rsid w:val="4CF37CA0"/>
    <w:rsid w:val="4CF51418"/>
    <w:rsid w:val="4CF5619F"/>
    <w:rsid w:val="4CFA453C"/>
    <w:rsid w:val="4CFB4B46"/>
    <w:rsid w:val="4CFD081B"/>
    <w:rsid w:val="4CFD684F"/>
    <w:rsid w:val="4CFF57A4"/>
    <w:rsid w:val="4CFF5F7F"/>
    <w:rsid w:val="4D000B2F"/>
    <w:rsid w:val="4D00524E"/>
    <w:rsid w:val="4D04436A"/>
    <w:rsid w:val="4D090068"/>
    <w:rsid w:val="4D0A2E07"/>
    <w:rsid w:val="4D0A4201"/>
    <w:rsid w:val="4D0E7282"/>
    <w:rsid w:val="4D106251"/>
    <w:rsid w:val="4D106946"/>
    <w:rsid w:val="4D1155CD"/>
    <w:rsid w:val="4D116E7D"/>
    <w:rsid w:val="4D16593E"/>
    <w:rsid w:val="4D17757F"/>
    <w:rsid w:val="4D194967"/>
    <w:rsid w:val="4D197DC0"/>
    <w:rsid w:val="4D1A70D0"/>
    <w:rsid w:val="4D1A752F"/>
    <w:rsid w:val="4D1B6AC7"/>
    <w:rsid w:val="4D1C7A49"/>
    <w:rsid w:val="4D1D0CED"/>
    <w:rsid w:val="4D1D35FD"/>
    <w:rsid w:val="4D1F46E6"/>
    <w:rsid w:val="4D226631"/>
    <w:rsid w:val="4D241CAE"/>
    <w:rsid w:val="4D244C0B"/>
    <w:rsid w:val="4D247A5E"/>
    <w:rsid w:val="4D2635BC"/>
    <w:rsid w:val="4D27119D"/>
    <w:rsid w:val="4D2B308B"/>
    <w:rsid w:val="4D2D752C"/>
    <w:rsid w:val="4D2D7744"/>
    <w:rsid w:val="4D2E25AD"/>
    <w:rsid w:val="4D31395E"/>
    <w:rsid w:val="4D324DAA"/>
    <w:rsid w:val="4D357A22"/>
    <w:rsid w:val="4D3737E3"/>
    <w:rsid w:val="4D375799"/>
    <w:rsid w:val="4D380B07"/>
    <w:rsid w:val="4D3A53B0"/>
    <w:rsid w:val="4D3B534F"/>
    <w:rsid w:val="4D3D4B6D"/>
    <w:rsid w:val="4D3D7270"/>
    <w:rsid w:val="4D3E648F"/>
    <w:rsid w:val="4D423AB9"/>
    <w:rsid w:val="4D443DC8"/>
    <w:rsid w:val="4D511609"/>
    <w:rsid w:val="4D513103"/>
    <w:rsid w:val="4D5137FB"/>
    <w:rsid w:val="4D514F7B"/>
    <w:rsid w:val="4D5376A7"/>
    <w:rsid w:val="4D573E80"/>
    <w:rsid w:val="4D592608"/>
    <w:rsid w:val="4D5B073A"/>
    <w:rsid w:val="4D5B0AEE"/>
    <w:rsid w:val="4D5B181C"/>
    <w:rsid w:val="4D5B3802"/>
    <w:rsid w:val="4D5B79B0"/>
    <w:rsid w:val="4D5F73A5"/>
    <w:rsid w:val="4D6100DE"/>
    <w:rsid w:val="4D6328B5"/>
    <w:rsid w:val="4D6926BC"/>
    <w:rsid w:val="4D6E5920"/>
    <w:rsid w:val="4D6F194C"/>
    <w:rsid w:val="4D7065E3"/>
    <w:rsid w:val="4D710416"/>
    <w:rsid w:val="4D715A93"/>
    <w:rsid w:val="4D7350E1"/>
    <w:rsid w:val="4D743088"/>
    <w:rsid w:val="4D771804"/>
    <w:rsid w:val="4D784E42"/>
    <w:rsid w:val="4D79789D"/>
    <w:rsid w:val="4D7B13FE"/>
    <w:rsid w:val="4D7C464D"/>
    <w:rsid w:val="4D807A6F"/>
    <w:rsid w:val="4D8360C9"/>
    <w:rsid w:val="4D855668"/>
    <w:rsid w:val="4D871443"/>
    <w:rsid w:val="4D895D43"/>
    <w:rsid w:val="4D8A0EC9"/>
    <w:rsid w:val="4D8B3B2A"/>
    <w:rsid w:val="4D8B7567"/>
    <w:rsid w:val="4D8C1650"/>
    <w:rsid w:val="4D8D5778"/>
    <w:rsid w:val="4D8F04FD"/>
    <w:rsid w:val="4D956DBB"/>
    <w:rsid w:val="4D962B20"/>
    <w:rsid w:val="4D9A52B0"/>
    <w:rsid w:val="4D9B0794"/>
    <w:rsid w:val="4D9D742E"/>
    <w:rsid w:val="4D9E5DF1"/>
    <w:rsid w:val="4DA23A6C"/>
    <w:rsid w:val="4DA273C7"/>
    <w:rsid w:val="4DA30E74"/>
    <w:rsid w:val="4DA4449C"/>
    <w:rsid w:val="4DA8017F"/>
    <w:rsid w:val="4DA8648A"/>
    <w:rsid w:val="4DAA100B"/>
    <w:rsid w:val="4DAA530C"/>
    <w:rsid w:val="4DAB38A8"/>
    <w:rsid w:val="4DAC5679"/>
    <w:rsid w:val="4DB03590"/>
    <w:rsid w:val="4DB122A1"/>
    <w:rsid w:val="4DB84A60"/>
    <w:rsid w:val="4DBA002C"/>
    <w:rsid w:val="4DBA440F"/>
    <w:rsid w:val="4DBD3C76"/>
    <w:rsid w:val="4DBE5CAD"/>
    <w:rsid w:val="4DCA7C93"/>
    <w:rsid w:val="4DCB2AA3"/>
    <w:rsid w:val="4DCB5839"/>
    <w:rsid w:val="4DCD2023"/>
    <w:rsid w:val="4DD0580A"/>
    <w:rsid w:val="4DD74419"/>
    <w:rsid w:val="4DD816B6"/>
    <w:rsid w:val="4DDC7152"/>
    <w:rsid w:val="4DDD0215"/>
    <w:rsid w:val="4DDF5C24"/>
    <w:rsid w:val="4DE25C31"/>
    <w:rsid w:val="4DE374F7"/>
    <w:rsid w:val="4DE42B35"/>
    <w:rsid w:val="4DE53A92"/>
    <w:rsid w:val="4DE66FB2"/>
    <w:rsid w:val="4DE674A6"/>
    <w:rsid w:val="4DE75F6D"/>
    <w:rsid w:val="4DE967E1"/>
    <w:rsid w:val="4DED6593"/>
    <w:rsid w:val="4DEE2F8E"/>
    <w:rsid w:val="4DEF0F96"/>
    <w:rsid w:val="4DF165B7"/>
    <w:rsid w:val="4DF3078E"/>
    <w:rsid w:val="4DF656B5"/>
    <w:rsid w:val="4DF75E2F"/>
    <w:rsid w:val="4DF960B3"/>
    <w:rsid w:val="4DFD28AF"/>
    <w:rsid w:val="4E03535F"/>
    <w:rsid w:val="4E053CB4"/>
    <w:rsid w:val="4E0555D0"/>
    <w:rsid w:val="4E067654"/>
    <w:rsid w:val="4E080DC2"/>
    <w:rsid w:val="4E093883"/>
    <w:rsid w:val="4E0A476D"/>
    <w:rsid w:val="4E0A7308"/>
    <w:rsid w:val="4E100124"/>
    <w:rsid w:val="4E113AE3"/>
    <w:rsid w:val="4E1173DB"/>
    <w:rsid w:val="4E124E08"/>
    <w:rsid w:val="4E131916"/>
    <w:rsid w:val="4E1356A0"/>
    <w:rsid w:val="4E1405C0"/>
    <w:rsid w:val="4E143B1F"/>
    <w:rsid w:val="4E15634A"/>
    <w:rsid w:val="4E166921"/>
    <w:rsid w:val="4E1753BE"/>
    <w:rsid w:val="4E18029E"/>
    <w:rsid w:val="4E1954F9"/>
    <w:rsid w:val="4E1B3100"/>
    <w:rsid w:val="4E1B4105"/>
    <w:rsid w:val="4E1D06F0"/>
    <w:rsid w:val="4E1F6871"/>
    <w:rsid w:val="4E200716"/>
    <w:rsid w:val="4E2420DA"/>
    <w:rsid w:val="4E277AC5"/>
    <w:rsid w:val="4E2B16EB"/>
    <w:rsid w:val="4E2E44B5"/>
    <w:rsid w:val="4E2F6BAB"/>
    <w:rsid w:val="4E317DA1"/>
    <w:rsid w:val="4E3567A8"/>
    <w:rsid w:val="4E3609D7"/>
    <w:rsid w:val="4E376D0B"/>
    <w:rsid w:val="4E384595"/>
    <w:rsid w:val="4E393586"/>
    <w:rsid w:val="4E3A1BC7"/>
    <w:rsid w:val="4E3A3EF1"/>
    <w:rsid w:val="4E3B167E"/>
    <w:rsid w:val="4E3E7292"/>
    <w:rsid w:val="4E401AE3"/>
    <w:rsid w:val="4E465CA3"/>
    <w:rsid w:val="4E473EF5"/>
    <w:rsid w:val="4E495189"/>
    <w:rsid w:val="4E4C29BC"/>
    <w:rsid w:val="4E571C1E"/>
    <w:rsid w:val="4E572FE3"/>
    <w:rsid w:val="4E574B31"/>
    <w:rsid w:val="4E5B16C3"/>
    <w:rsid w:val="4E5C494D"/>
    <w:rsid w:val="4E5C7A2E"/>
    <w:rsid w:val="4E5D755A"/>
    <w:rsid w:val="4E5E6D50"/>
    <w:rsid w:val="4E5F61B8"/>
    <w:rsid w:val="4E63198C"/>
    <w:rsid w:val="4E661620"/>
    <w:rsid w:val="4E685C19"/>
    <w:rsid w:val="4E692FA1"/>
    <w:rsid w:val="4E6C3325"/>
    <w:rsid w:val="4E6C6B80"/>
    <w:rsid w:val="4E6E1EAF"/>
    <w:rsid w:val="4E6F0D56"/>
    <w:rsid w:val="4E712459"/>
    <w:rsid w:val="4E74297A"/>
    <w:rsid w:val="4E750E54"/>
    <w:rsid w:val="4E7A0A87"/>
    <w:rsid w:val="4E7A11F5"/>
    <w:rsid w:val="4E7B3A31"/>
    <w:rsid w:val="4E7B72AA"/>
    <w:rsid w:val="4E7D7AE7"/>
    <w:rsid w:val="4E802F63"/>
    <w:rsid w:val="4E821D07"/>
    <w:rsid w:val="4E824A04"/>
    <w:rsid w:val="4E83240F"/>
    <w:rsid w:val="4E866DF4"/>
    <w:rsid w:val="4E880069"/>
    <w:rsid w:val="4E894195"/>
    <w:rsid w:val="4E8B2071"/>
    <w:rsid w:val="4E8C2EBA"/>
    <w:rsid w:val="4E8F298E"/>
    <w:rsid w:val="4E905E3B"/>
    <w:rsid w:val="4E967BC4"/>
    <w:rsid w:val="4E975D4F"/>
    <w:rsid w:val="4E9905C5"/>
    <w:rsid w:val="4E9A68D0"/>
    <w:rsid w:val="4EA02FAC"/>
    <w:rsid w:val="4EA11FB5"/>
    <w:rsid w:val="4EA62CB7"/>
    <w:rsid w:val="4EA8670A"/>
    <w:rsid w:val="4EA9164F"/>
    <w:rsid w:val="4EAA26C6"/>
    <w:rsid w:val="4EAC0222"/>
    <w:rsid w:val="4EAD5D22"/>
    <w:rsid w:val="4EB3387A"/>
    <w:rsid w:val="4EB62C5B"/>
    <w:rsid w:val="4EB6664E"/>
    <w:rsid w:val="4EB77433"/>
    <w:rsid w:val="4EB9562B"/>
    <w:rsid w:val="4EC0790F"/>
    <w:rsid w:val="4EC340DE"/>
    <w:rsid w:val="4EC502DB"/>
    <w:rsid w:val="4EC5113D"/>
    <w:rsid w:val="4EC54E1A"/>
    <w:rsid w:val="4EC62E45"/>
    <w:rsid w:val="4EC73D05"/>
    <w:rsid w:val="4EC8439B"/>
    <w:rsid w:val="4EC94D51"/>
    <w:rsid w:val="4ECB26BB"/>
    <w:rsid w:val="4ECD1F20"/>
    <w:rsid w:val="4ECE774C"/>
    <w:rsid w:val="4ECF7A46"/>
    <w:rsid w:val="4ED212E5"/>
    <w:rsid w:val="4ED22C5D"/>
    <w:rsid w:val="4ED42A7D"/>
    <w:rsid w:val="4ED454A8"/>
    <w:rsid w:val="4ED65279"/>
    <w:rsid w:val="4ED77C94"/>
    <w:rsid w:val="4EDC2D33"/>
    <w:rsid w:val="4EDC2FF5"/>
    <w:rsid w:val="4EDC4542"/>
    <w:rsid w:val="4EDF4058"/>
    <w:rsid w:val="4EE20C94"/>
    <w:rsid w:val="4EE25B3A"/>
    <w:rsid w:val="4EE50707"/>
    <w:rsid w:val="4EE62E37"/>
    <w:rsid w:val="4EE71234"/>
    <w:rsid w:val="4EEA2AD2"/>
    <w:rsid w:val="4EEB589A"/>
    <w:rsid w:val="4EEC0C78"/>
    <w:rsid w:val="4EEF5761"/>
    <w:rsid w:val="4EF07F64"/>
    <w:rsid w:val="4EF4170B"/>
    <w:rsid w:val="4EF450AF"/>
    <w:rsid w:val="4EF567B4"/>
    <w:rsid w:val="4EF67107"/>
    <w:rsid w:val="4EF91787"/>
    <w:rsid w:val="4EFC225F"/>
    <w:rsid w:val="4EFD0A57"/>
    <w:rsid w:val="4EFE44C0"/>
    <w:rsid w:val="4EFF317A"/>
    <w:rsid w:val="4EFF657E"/>
    <w:rsid w:val="4F0022F6"/>
    <w:rsid w:val="4F011CB2"/>
    <w:rsid w:val="4F043436"/>
    <w:rsid w:val="4F057DFB"/>
    <w:rsid w:val="4F0C663F"/>
    <w:rsid w:val="4F0E213C"/>
    <w:rsid w:val="4F116E2D"/>
    <w:rsid w:val="4F1332D9"/>
    <w:rsid w:val="4F143997"/>
    <w:rsid w:val="4F147B4F"/>
    <w:rsid w:val="4F195165"/>
    <w:rsid w:val="4F1B209B"/>
    <w:rsid w:val="4F1B2C8C"/>
    <w:rsid w:val="4F1C0321"/>
    <w:rsid w:val="4F1C0C25"/>
    <w:rsid w:val="4F1E0CCE"/>
    <w:rsid w:val="4F1E547E"/>
    <w:rsid w:val="4F1F3F7D"/>
    <w:rsid w:val="4F201784"/>
    <w:rsid w:val="4F2A4796"/>
    <w:rsid w:val="4F2A7373"/>
    <w:rsid w:val="4F2C4E99"/>
    <w:rsid w:val="4F2F1CE2"/>
    <w:rsid w:val="4F332370"/>
    <w:rsid w:val="4F360B7D"/>
    <w:rsid w:val="4F36313C"/>
    <w:rsid w:val="4F385596"/>
    <w:rsid w:val="4F3C459C"/>
    <w:rsid w:val="4F3C5EE9"/>
    <w:rsid w:val="4F3D6400"/>
    <w:rsid w:val="4F422DF9"/>
    <w:rsid w:val="4F4274C8"/>
    <w:rsid w:val="4F463A91"/>
    <w:rsid w:val="4F4872C9"/>
    <w:rsid w:val="4F5277F4"/>
    <w:rsid w:val="4F54209C"/>
    <w:rsid w:val="4F553217"/>
    <w:rsid w:val="4F573B7F"/>
    <w:rsid w:val="4F5C20A2"/>
    <w:rsid w:val="4F5D14F6"/>
    <w:rsid w:val="4F5E2BE8"/>
    <w:rsid w:val="4F5E61AB"/>
    <w:rsid w:val="4F607180"/>
    <w:rsid w:val="4F6530E2"/>
    <w:rsid w:val="4F6735F1"/>
    <w:rsid w:val="4F6828E2"/>
    <w:rsid w:val="4F692019"/>
    <w:rsid w:val="4F69313E"/>
    <w:rsid w:val="4F6960B5"/>
    <w:rsid w:val="4F6B091A"/>
    <w:rsid w:val="4F6E436F"/>
    <w:rsid w:val="4F6F323E"/>
    <w:rsid w:val="4F6F5FB3"/>
    <w:rsid w:val="4F714FA1"/>
    <w:rsid w:val="4F750717"/>
    <w:rsid w:val="4F782AF8"/>
    <w:rsid w:val="4F791DB2"/>
    <w:rsid w:val="4F795035"/>
    <w:rsid w:val="4F7B197C"/>
    <w:rsid w:val="4F7D2D37"/>
    <w:rsid w:val="4F7F4E05"/>
    <w:rsid w:val="4F837E86"/>
    <w:rsid w:val="4F840CD1"/>
    <w:rsid w:val="4F845A5B"/>
    <w:rsid w:val="4F857393"/>
    <w:rsid w:val="4F86182F"/>
    <w:rsid w:val="4F861F38"/>
    <w:rsid w:val="4F8B1D0C"/>
    <w:rsid w:val="4F8B32CC"/>
    <w:rsid w:val="4F8C664C"/>
    <w:rsid w:val="4F8E51C8"/>
    <w:rsid w:val="4F924539"/>
    <w:rsid w:val="4F93316A"/>
    <w:rsid w:val="4F961AEF"/>
    <w:rsid w:val="4F98367E"/>
    <w:rsid w:val="4F991759"/>
    <w:rsid w:val="4F995F94"/>
    <w:rsid w:val="4F9A3E9B"/>
    <w:rsid w:val="4F9A66AA"/>
    <w:rsid w:val="4F9F6673"/>
    <w:rsid w:val="4FA34CEB"/>
    <w:rsid w:val="4FA41B92"/>
    <w:rsid w:val="4FA54DEC"/>
    <w:rsid w:val="4FA626C1"/>
    <w:rsid w:val="4FA75572"/>
    <w:rsid w:val="4FA866B7"/>
    <w:rsid w:val="4FAB158B"/>
    <w:rsid w:val="4FAC7D88"/>
    <w:rsid w:val="4FAD3C6A"/>
    <w:rsid w:val="4FAD6A22"/>
    <w:rsid w:val="4FAE61D7"/>
    <w:rsid w:val="4FB154CB"/>
    <w:rsid w:val="4FB401E6"/>
    <w:rsid w:val="4FB4415D"/>
    <w:rsid w:val="4FB500CE"/>
    <w:rsid w:val="4FBA0CF3"/>
    <w:rsid w:val="4FBD1653"/>
    <w:rsid w:val="4FBD177B"/>
    <w:rsid w:val="4FC0249E"/>
    <w:rsid w:val="4FC14B53"/>
    <w:rsid w:val="4FC229D6"/>
    <w:rsid w:val="4FC33FCB"/>
    <w:rsid w:val="4FC37782"/>
    <w:rsid w:val="4FC539B6"/>
    <w:rsid w:val="4FC610EE"/>
    <w:rsid w:val="4FC926E8"/>
    <w:rsid w:val="4FC92737"/>
    <w:rsid w:val="4FCC0870"/>
    <w:rsid w:val="4FCE236A"/>
    <w:rsid w:val="4FD63388"/>
    <w:rsid w:val="4FD633C2"/>
    <w:rsid w:val="4FD6497E"/>
    <w:rsid w:val="4FD67DEC"/>
    <w:rsid w:val="4FD94BF3"/>
    <w:rsid w:val="4FDA1A67"/>
    <w:rsid w:val="4FDD6FCD"/>
    <w:rsid w:val="4FDE49DB"/>
    <w:rsid w:val="4FDF30C7"/>
    <w:rsid w:val="4FE0292C"/>
    <w:rsid w:val="4FE74196"/>
    <w:rsid w:val="4FEB5740"/>
    <w:rsid w:val="4FED225A"/>
    <w:rsid w:val="4FED6DBE"/>
    <w:rsid w:val="4FEE1DA8"/>
    <w:rsid w:val="4FF6464C"/>
    <w:rsid w:val="4FF7432B"/>
    <w:rsid w:val="4FF74444"/>
    <w:rsid w:val="50013376"/>
    <w:rsid w:val="500266FA"/>
    <w:rsid w:val="50030CD9"/>
    <w:rsid w:val="50033E4B"/>
    <w:rsid w:val="500544EC"/>
    <w:rsid w:val="500656EA"/>
    <w:rsid w:val="500F0723"/>
    <w:rsid w:val="500F7272"/>
    <w:rsid w:val="50114C28"/>
    <w:rsid w:val="50115082"/>
    <w:rsid w:val="50120B97"/>
    <w:rsid w:val="501305FE"/>
    <w:rsid w:val="50160033"/>
    <w:rsid w:val="501741BC"/>
    <w:rsid w:val="50182758"/>
    <w:rsid w:val="501A52D2"/>
    <w:rsid w:val="501A781D"/>
    <w:rsid w:val="501B08D8"/>
    <w:rsid w:val="501B6580"/>
    <w:rsid w:val="501D203E"/>
    <w:rsid w:val="50223CF2"/>
    <w:rsid w:val="50235DC0"/>
    <w:rsid w:val="50243996"/>
    <w:rsid w:val="5026448C"/>
    <w:rsid w:val="50264CA1"/>
    <w:rsid w:val="50290746"/>
    <w:rsid w:val="502A77EB"/>
    <w:rsid w:val="502D6171"/>
    <w:rsid w:val="502F3C95"/>
    <w:rsid w:val="502F4B3E"/>
    <w:rsid w:val="50311328"/>
    <w:rsid w:val="50330F14"/>
    <w:rsid w:val="50333829"/>
    <w:rsid w:val="5034461E"/>
    <w:rsid w:val="50377F99"/>
    <w:rsid w:val="504741B7"/>
    <w:rsid w:val="50487C81"/>
    <w:rsid w:val="504E46A3"/>
    <w:rsid w:val="50517870"/>
    <w:rsid w:val="50533027"/>
    <w:rsid w:val="50540476"/>
    <w:rsid w:val="50570293"/>
    <w:rsid w:val="5059643C"/>
    <w:rsid w:val="505A0414"/>
    <w:rsid w:val="505C18D6"/>
    <w:rsid w:val="505C6021"/>
    <w:rsid w:val="505E4BDC"/>
    <w:rsid w:val="505F1CFB"/>
    <w:rsid w:val="5060231A"/>
    <w:rsid w:val="50602D1A"/>
    <w:rsid w:val="50621B02"/>
    <w:rsid w:val="50624626"/>
    <w:rsid w:val="50640D82"/>
    <w:rsid w:val="50671F15"/>
    <w:rsid w:val="506A6FE1"/>
    <w:rsid w:val="506C4F41"/>
    <w:rsid w:val="506F3497"/>
    <w:rsid w:val="50720FD1"/>
    <w:rsid w:val="50727A41"/>
    <w:rsid w:val="50733DE9"/>
    <w:rsid w:val="507375E3"/>
    <w:rsid w:val="50745888"/>
    <w:rsid w:val="50762188"/>
    <w:rsid w:val="50770EB8"/>
    <w:rsid w:val="507928DB"/>
    <w:rsid w:val="507E076C"/>
    <w:rsid w:val="5081797E"/>
    <w:rsid w:val="50855939"/>
    <w:rsid w:val="50884C4F"/>
    <w:rsid w:val="50895C64"/>
    <w:rsid w:val="508A7830"/>
    <w:rsid w:val="508B7E2A"/>
    <w:rsid w:val="508C5AC1"/>
    <w:rsid w:val="508E1051"/>
    <w:rsid w:val="508E65D8"/>
    <w:rsid w:val="50923421"/>
    <w:rsid w:val="50932F63"/>
    <w:rsid w:val="509563FD"/>
    <w:rsid w:val="509735A2"/>
    <w:rsid w:val="509A4A0E"/>
    <w:rsid w:val="509B590E"/>
    <w:rsid w:val="509E3F16"/>
    <w:rsid w:val="50A12CAB"/>
    <w:rsid w:val="50A15412"/>
    <w:rsid w:val="50A30C14"/>
    <w:rsid w:val="50A7164C"/>
    <w:rsid w:val="50A86F8F"/>
    <w:rsid w:val="50AC438A"/>
    <w:rsid w:val="50AD2BC7"/>
    <w:rsid w:val="50AE02D4"/>
    <w:rsid w:val="50B0071E"/>
    <w:rsid w:val="50B031B0"/>
    <w:rsid w:val="50B072A8"/>
    <w:rsid w:val="50B11722"/>
    <w:rsid w:val="50B23481"/>
    <w:rsid w:val="50B259A0"/>
    <w:rsid w:val="50B27620"/>
    <w:rsid w:val="50B5306A"/>
    <w:rsid w:val="50BB20A6"/>
    <w:rsid w:val="50BB64DD"/>
    <w:rsid w:val="50BE7CA0"/>
    <w:rsid w:val="50C11257"/>
    <w:rsid w:val="50C24BB4"/>
    <w:rsid w:val="50C9062E"/>
    <w:rsid w:val="50CA21F5"/>
    <w:rsid w:val="50CE6319"/>
    <w:rsid w:val="50CF01D2"/>
    <w:rsid w:val="50CF04FB"/>
    <w:rsid w:val="50D34F60"/>
    <w:rsid w:val="50D47596"/>
    <w:rsid w:val="50D7717C"/>
    <w:rsid w:val="50D8084B"/>
    <w:rsid w:val="50DB5093"/>
    <w:rsid w:val="50DC1890"/>
    <w:rsid w:val="50DE0789"/>
    <w:rsid w:val="50DE6C5E"/>
    <w:rsid w:val="50E006CA"/>
    <w:rsid w:val="50E0304C"/>
    <w:rsid w:val="50E070CE"/>
    <w:rsid w:val="50E11165"/>
    <w:rsid w:val="50E50970"/>
    <w:rsid w:val="50E6066F"/>
    <w:rsid w:val="50E827B4"/>
    <w:rsid w:val="50E83041"/>
    <w:rsid w:val="50EC449A"/>
    <w:rsid w:val="50EC49EB"/>
    <w:rsid w:val="50ED1E82"/>
    <w:rsid w:val="50EF29F4"/>
    <w:rsid w:val="50EF5076"/>
    <w:rsid w:val="50F25C6E"/>
    <w:rsid w:val="50F578FE"/>
    <w:rsid w:val="50F6397C"/>
    <w:rsid w:val="50F67CD2"/>
    <w:rsid w:val="50FA2697"/>
    <w:rsid w:val="50FD1E1E"/>
    <w:rsid w:val="50FF2D77"/>
    <w:rsid w:val="510508EF"/>
    <w:rsid w:val="51073398"/>
    <w:rsid w:val="510C5156"/>
    <w:rsid w:val="51122AE4"/>
    <w:rsid w:val="511242D0"/>
    <w:rsid w:val="511275C7"/>
    <w:rsid w:val="51127D26"/>
    <w:rsid w:val="511576FB"/>
    <w:rsid w:val="511B1414"/>
    <w:rsid w:val="511C3BD8"/>
    <w:rsid w:val="511F0CB2"/>
    <w:rsid w:val="51216463"/>
    <w:rsid w:val="51241EF1"/>
    <w:rsid w:val="51272660"/>
    <w:rsid w:val="51272B8B"/>
    <w:rsid w:val="512A0FD9"/>
    <w:rsid w:val="512C6558"/>
    <w:rsid w:val="51306BB7"/>
    <w:rsid w:val="51311D61"/>
    <w:rsid w:val="51311D85"/>
    <w:rsid w:val="51331A6E"/>
    <w:rsid w:val="51370108"/>
    <w:rsid w:val="51390F33"/>
    <w:rsid w:val="513B13C3"/>
    <w:rsid w:val="513F70DC"/>
    <w:rsid w:val="51432163"/>
    <w:rsid w:val="5144471C"/>
    <w:rsid w:val="514804C9"/>
    <w:rsid w:val="5149461E"/>
    <w:rsid w:val="514B7F89"/>
    <w:rsid w:val="514C0E91"/>
    <w:rsid w:val="514F6499"/>
    <w:rsid w:val="51545560"/>
    <w:rsid w:val="515D6A27"/>
    <w:rsid w:val="516144ED"/>
    <w:rsid w:val="51624F78"/>
    <w:rsid w:val="51625A78"/>
    <w:rsid w:val="51642929"/>
    <w:rsid w:val="516455DB"/>
    <w:rsid w:val="51654345"/>
    <w:rsid w:val="516714B7"/>
    <w:rsid w:val="51672DCC"/>
    <w:rsid w:val="51675CBB"/>
    <w:rsid w:val="516A3A56"/>
    <w:rsid w:val="516C4B0B"/>
    <w:rsid w:val="516E3547"/>
    <w:rsid w:val="51724808"/>
    <w:rsid w:val="517728D5"/>
    <w:rsid w:val="517A2B47"/>
    <w:rsid w:val="517B6A89"/>
    <w:rsid w:val="51814848"/>
    <w:rsid w:val="518256FB"/>
    <w:rsid w:val="51840FBC"/>
    <w:rsid w:val="518E0214"/>
    <w:rsid w:val="518E23FC"/>
    <w:rsid w:val="518E6D6C"/>
    <w:rsid w:val="519212DB"/>
    <w:rsid w:val="51933919"/>
    <w:rsid w:val="519368E9"/>
    <w:rsid w:val="51936CAD"/>
    <w:rsid w:val="5194178F"/>
    <w:rsid w:val="51944272"/>
    <w:rsid w:val="51976F41"/>
    <w:rsid w:val="51991327"/>
    <w:rsid w:val="519B478C"/>
    <w:rsid w:val="519D2913"/>
    <w:rsid w:val="519E092E"/>
    <w:rsid w:val="51A118F3"/>
    <w:rsid w:val="51A23362"/>
    <w:rsid w:val="51A302AE"/>
    <w:rsid w:val="51A456C1"/>
    <w:rsid w:val="51A90A23"/>
    <w:rsid w:val="51AA3AB8"/>
    <w:rsid w:val="51AB1D8E"/>
    <w:rsid w:val="51AB3E8F"/>
    <w:rsid w:val="51B21806"/>
    <w:rsid w:val="51B314E4"/>
    <w:rsid w:val="51B83F49"/>
    <w:rsid w:val="51BC02A7"/>
    <w:rsid w:val="51BD627C"/>
    <w:rsid w:val="51C31008"/>
    <w:rsid w:val="51C36FD6"/>
    <w:rsid w:val="51C53804"/>
    <w:rsid w:val="51C66EAE"/>
    <w:rsid w:val="51C73B76"/>
    <w:rsid w:val="51C770FB"/>
    <w:rsid w:val="51C772E8"/>
    <w:rsid w:val="51C86B10"/>
    <w:rsid w:val="51C93524"/>
    <w:rsid w:val="51CE661C"/>
    <w:rsid w:val="51D35033"/>
    <w:rsid w:val="51D37FDF"/>
    <w:rsid w:val="51D974BE"/>
    <w:rsid w:val="51DA1980"/>
    <w:rsid w:val="51DA6D55"/>
    <w:rsid w:val="51DB31D3"/>
    <w:rsid w:val="51DB548B"/>
    <w:rsid w:val="51DC5D7F"/>
    <w:rsid w:val="51DF0CB0"/>
    <w:rsid w:val="51DF3A39"/>
    <w:rsid w:val="51DF41E7"/>
    <w:rsid w:val="51E1616A"/>
    <w:rsid w:val="51E32764"/>
    <w:rsid w:val="51E4738A"/>
    <w:rsid w:val="51E55530"/>
    <w:rsid w:val="51E66B85"/>
    <w:rsid w:val="51E67F3E"/>
    <w:rsid w:val="51E8714A"/>
    <w:rsid w:val="51EA75CD"/>
    <w:rsid w:val="51EB26A9"/>
    <w:rsid w:val="51EC06D0"/>
    <w:rsid w:val="51ED78FC"/>
    <w:rsid w:val="51F27985"/>
    <w:rsid w:val="51F501CB"/>
    <w:rsid w:val="51F55EAB"/>
    <w:rsid w:val="51F60AB7"/>
    <w:rsid w:val="51F7620A"/>
    <w:rsid w:val="51FE18AF"/>
    <w:rsid w:val="5200558E"/>
    <w:rsid w:val="5203749E"/>
    <w:rsid w:val="520459C5"/>
    <w:rsid w:val="52083407"/>
    <w:rsid w:val="52096CED"/>
    <w:rsid w:val="52096D8A"/>
    <w:rsid w:val="520A01CE"/>
    <w:rsid w:val="520F4B74"/>
    <w:rsid w:val="52144CBD"/>
    <w:rsid w:val="52145715"/>
    <w:rsid w:val="52162DCC"/>
    <w:rsid w:val="52174C69"/>
    <w:rsid w:val="522061CF"/>
    <w:rsid w:val="52207453"/>
    <w:rsid w:val="522233BB"/>
    <w:rsid w:val="522404FC"/>
    <w:rsid w:val="522462FB"/>
    <w:rsid w:val="52262073"/>
    <w:rsid w:val="52271B1F"/>
    <w:rsid w:val="522769B6"/>
    <w:rsid w:val="522C6783"/>
    <w:rsid w:val="52310786"/>
    <w:rsid w:val="52334BEA"/>
    <w:rsid w:val="52344660"/>
    <w:rsid w:val="52344790"/>
    <w:rsid w:val="5237602E"/>
    <w:rsid w:val="52391777"/>
    <w:rsid w:val="5239534D"/>
    <w:rsid w:val="523A167B"/>
    <w:rsid w:val="523C74F8"/>
    <w:rsid w:val="523E121A"/>
    <w:rsid w:val="523E7C53"/>
    <w:rsid w:val="523F1F4C"/>
    <w:rsid w:val="523F352D"/>
    <w:rsid w:val="523F6DA7"/>
    <w:rsid w:val="52402DA2"/>
    <w:rsid w:val="5242619B"/>
    <w:rsid w:val="5246001F"/>
    <w:rsid w:val="52466E60"/>
    <w:rsid w:val="52481FEA"/>
    <w:rsid w:val="524A6D03"/>
    <w:rsid w:val="524C02B2"/>
    <w:rsid w:val="524C2169"/>
    <w:rsid w:val="5255503B"/>
    <w:rsid w:val="52566C5B"/>
    <w:rsid w:val="525C4E2A"/>
    <w:rsid w:val="525D102C"/>
    <w:rsid w:val="525F20F9"/>
    <w:rsid w:val="526966BB"/>
    <w:rsid w:val="526C1153"/>
    <w:rsid w:val="526E1288"/>
    <w:rsid w:val="526E4871"/>
    <w:rsid w:val="526F78D9"/>
    <w:rsid w:val="52713C6C"/>
    <w:rsid w:val="52716A99"/>
    <w:rsid w:val="52724748"/>
    <w:rsid w:val="5273095F"/>
    <w:rsid w:val="52772604"/>
    <w:rsid w:val="527A03BD"/>
    <w:rsid w:val="527C7EE5"/>
    <w:rsid w:val="52815D9B"/>
    <w:rsid w:val="52827A64"/>
    <w:rsid w:val="52833022"/>
    <w:rsid w:val="528447AA"/>
    <w:rsid w:val="52863220"/>
    <w:rsid w:val="52874B5C"/>
    <w:rsid w:val="528A2602"/>
    <w:rsid w:val="528C2EC5"/>
    <w:rsid w:val="528E1F5E"/>
    <w:rsid w:val="529159C3"/>
    <w:rsid w:val="529332EF"/>
    <w:rsid w:val="52934C21"/>
    <w:rsid w:val="52957735"/>
    <w:rsid w:val="52957D89"/>
    <w:rsid w:val="529609F2"/>
    <w:rsid w:val="529631F3"/>
    <w:rsid w:val="52972F71"/>
    <w:rsid w:val="529C40E3"/>
    <w:rsid w:val="529F4E2A"/>
    <w:rsid w:val="529F7451"/>
    <w:rsid w:val="52A112D6"/>
    <w:rsid w:val="52A11B2C"/>
    <w:rsid w:val="52A3463A"/>
    <w:rsid w:val="52A51E65"/>
    <w:rsid w:val="52A9653D"/>
    <w:rsid w:val="52AB328F"/>
    <w:rsid w:val="52AC1780"/>
    <w:rsid w:val="52AE134E"/>
    <w:rsid w:val="52AE18DD"/>
    <w:rsid w:val="52AF20EB"/>
    <w:rsid w:val="52B26765"/>
    <w:rsid w:val="52B412C6"/>
    <w:rsid w:val="52B57B4B"/>
    <w:rsid w:val="52B73225"/>
    <w:rsid w:val="52B9379E"/>
    <w:rsid w:val="52BB78E5"/>
    <w:rsid w:val="52BC29D7"/>
    <w:rsid w:val="52BF2C15"/>
    <w:rsid w:val="52BF7DD2"/>
    <w:rsid w:val="52C10D63"/>
    <w:rsid w:val="52C16585"/>
    <w:rsid w:val="52C35F8D"/>
    <w:rsid w:val="52C4710F"/>
    <w:rsid w:val="52C54290"/>
    <w:rsid w:val="52C629DF"/>
    <w:rsid w:val="52C6514B"/>
    <w:rsid w:val="52CA2580"/>
    <w:rsid w:val="52CB3591"/>
    <w:rsid w:val="52CB51B2"/>
    <w:rsid w:val="52CB718B"/>
    <w:rsid w:val="52CC2FBC"/>
    <w:rsid w:val="52CC389C"/>
    <w:rsid w:val="52CC3FAB"/>
    <w:rsid w:val="52CD18DA"/>
    <w:rsid w:val="52D25BCE"/>
    <w:rsid w:val="52D516C6"/>
    <w:rsid w:val="52D526E6"/>
    <w:rsid w:val="52D650EB"/>
    <w:rsid w:val="52D9493E"/>
    <w:rsid w:val="52D97FB7"/>
    <w:rsid w:val="52DC49C8"/>
    <w:rsid w:val="52DF0663"/>
    <w:rsid w:val="52DF37C7"/>
    <w:rsid w:val="52E43A5C"/>
    <w:rsid w:val="52E5030D"/>
    <w:rsid w:val="52E540D4"/>
    <w:rsid w:val="52E602C6"/>
    <w:rsid w:val="52E62257"/>
    <w:rsid w:val="52E833BE"/>
    <w:rsid w:val="52E9215C"/>
    <w:rsid w:val="52EB766F"/>
    <w:rsid w:val="52ED5A3F"/>
    <w:rsid w:val="52EE5A10"/>
    <w:rsid w:val="52EF06B7"/>
    <w:rsid w:val="52EF6909"/>
    <w:rsid w:val="52F00475"/>
    <w:rsid w:val="52F20911"/>
    <w:rsid w:val="52F2656E"/>
    <w:rsid w:val="52F45CCD"/>
    <w:rsid w:val="52F93421"/>
    <w:rsid w:val="52F94837"/>
    <w:rsid w:val="52FA2AAF"/>
    <w:rsid w:val="52FA4AD5"/>
    <w:rsid w:val="52FA5EE1"/>
    <w:rsid w:val="52FC4E1C"/>
    <w:rsid w:val="52FC78C9"/>
    <w:rsid w:val="53037326"/>
    <w:rsid w:val="5304288C"/>
    <w:rsid w:val="530524D1"/>
    <w:rsid w:val="53061E8E"/>
    <w:rsid w:val="5307441F"/>
    <w:rsid w:val="53085D16"/>
    <w:rsid w:val="530D4C83"/>
    <w:rsid w:val="530E7AAC"/>
    <w:rsid w:val="530F5804"/>
    <w:rsid w:val="531473A4"/>
    <w:rsid w:val="53192714"/>
    <w:rsid w:val="532103EE"/>
    <w:rsid w:val="53223358"/>
    <w:rsid w:val="53226CDE"/>
    <w:rsid w:val="53240566"/>
    <w:rsid w:val="532540D9"/>
    <w:rsid w:val="53261279"/>
    <w:rsid w:val="532713EC"/>
    <w:rsid w:val="532C36B9"/>
    <w:rsid w:val="532D5A6C"/>
    <w:rsid w:val="532D709E"/>
    <w:rsid w:val="532F1870"/>
    <w:rsid w:val="532F4F57"/>
    <w:rsid w:val="53313B01"/>
    <w:rsid w:val="53322218"/>
    <w:rsid w:val="53327796"/>
    <w:rsid w:val="5337101A"/>
    <w:rsid w:val="53373FC9"/>
    <w:rsid w:val="53397B95"/>
    <w:rsid w:val="533A28C4"/>
    <w:rsid w:val="533B30E5"/>
    <w:rsid w:val="533C25AA"/>
    <w:rsid w:val="533F4C16"/>
    <w:rsid w:val="53426960"/>
    <w:rsid w:val="534713F0"/>
    <w:rsid w:val="53475521"/>
    <w:rsid w:val="53482E9F"/>
    <w:rsid w:val="534A189B"/>
    <w:rsid w:val="534B5726"/>
    <w:rsid w:val="5352610D"/>
    <w:rsid w:val="53530C46"/>
    <w:rsid w:val="53534D91"/>
    <w:rsid w:val="535436D9"/>
    <w:rsid w:val="53544A60"/>
    <w:rsid w:val="535520C1"/>
    <w:rsid w:val="535D2BE6"/>
    <w:rsid w:val="535F0A3E"/>
    <w:rsid w:val="53630F4A"/>
    <w:rsid w:val="53654111"/>
    <w:rsid w:val="536A42B3"/>
    <w:rsid w:val="536B48F1"/>
    <w:rsid w:val="536D32AA"/>
    <w:rsid w:val="536E5A80"/>
    <w:rsid w:val="536E74EF"/>
    <w:rsid w:val="53712346"/>
    <w:rsid w:val="53727BEB"/>
    <w:rsid w:val="5376637D"/>
    <w:rsid w:val="53777819"/>
    <w:rsid w:val="53780180"/>
    <w:rsid w:val="53781444"/>
    <w:rsid w:val="5379358D"/>
    <w:rsid w:val="537956B9"/>
    <w:rsid w:val="537A69C2"/>
    <w:rsid w:val="537C6A73"/>
    <w:rsid w:val="537F7EC8"/>
    <w:rsid w:val="538150E7"/>
    <w:rsid w:val="538751F8"/>
    <w:rsid w:val="53882C4C"/>
    <w:rsid w:val="53892C66"/>
    <w:rsid w:val="538B1883"/>
    <w:rsid w:val="538C1A14"/>
    <w:rsid w:val="538C5F06"/>
    <w:rsid w:val="539737F3"/>
    <w:rsid w:val="5397518A"/>
    <w:rsid w:val="539A432A"/>
    <w:rsid w:val="539B22CD"/>
    <w:rsid w:val="539F4C17"/>
    <w:rsid w:val="53A330AE"/>
    <w:rsid w:val="53A6103B"/>
    <w:rsid w:val="53A66616"/>
    <w:rsid w:val="53A73894"/>
    <w:rsid w:val="53A83B6F"/>
    <w:rsid w:val="53AB29A6"/>
    <w:rsid w:val="53AB2E27"/>
    <w:rsid w:val="53AC65A8"/>
    <w:rsid w:val="53AD074D"/>
    <w:rsid w:val="53AF7ACE"/>
    <w:rsid w:val="53BE7A0C"/>
    <w:rsid w:val="53BF7A9F"/>
    <w:rsid w:val="53C01135"/>
    <w:rsid w:val="53C307C0"/>
    <w:rsid w:val="53C30E00"/>
    <w:rsid w:val="53C3328D"/>
    <w:rsid w:val="53C914FC"/>
    <w:rsid w:val="53CA67EE"/>
    <w:rsid w:val="53CB01A5"/>
    <w:rsid w:val="53CF453C"/>
    <w:rsid w:val="53D011EC"/>
    <w:rsid w:val="53D12677"/>
    <w:rsid w:val="53D36885"/>
    <w:rsid w:val="53D436D0"/>
    <w:rsid w:val="53DA0FD4"/>
    <w:rsid w:val="53DB23C8"/>
    <w:rsid w:val="53DC6795"/>
    <w:rsid w:val="53DD428C"/>
    <w:rsid w:val="53E03FA2"/>
    <w:rsid w:val="53E269E8"/>
    <w:rsid w:val="53E353D9"/>
    <w:rsid w:val="53E915AA"/>
    <w:rsid w:val="53EB1FB1"/>
    <w:rsid w:val="53EE522A"/>
    <w:rsid w:val="53F30A03"/>
    <w:rsid w:val="53F35F92"/>
    <w:rsid w:val="53F51374"/>
    <w:rsid w:val="53F775BE"/>
    <w:rsid w:val="53FA641C"/>
    <w:rsid w:val="53FC25FE"/>
    <w:rsid w:val="54001829"/>
    <w:rsid w:val="540128A2"/>
    <w:rsid w:val="54043CF2"/>
    <w:rsid w:val="5408620F"/>
    <w:rsid w:val="540869AE"/>
    <w:rsid w:val="540A0544"/>
    <w:rsid w:val="540A15B0"/>
    <w:rsid w:val="540C500F"/>
    <w:rsid w:val="540D115F"/>
    <w:rsid w:val="540D1DE0"/>
    <w:rsid w:val="540E478F"/>
    <w:rsid w:val="540E7AAC"/>
    <w:rsid w:val="540F5FD7"/>
    <w:rsid w:val="54132761"/>
    <w:rsid w:val="541337D4"/>
    <w:rsid w:val="541402D0"/>
    <w:rsid w:val="541421D6"/>
    <w:rsid w:val="54143C8D"/>
    <w:rsid w:val="541537F0"/>
    <w:rsid w:val="54172DA2"/>
    <w:rsid w:val="54197171"/>
    <w:rsid w:val="541A0C11"/>
    <w:rsid w:val="541D2099"/>
    <w:rsid w:val="541D681F"/>
    <w:rsid w:val="541E299D"/>
    <w:rsid w:val="541F2597"/>
    <w:rsid w:val="541F2FD2"/>
    <w:rsid w:val="5427043F"/>
    <w:rsid w:val="542720D3"/>
    <w:rsid w:val="54273E68"/>
    <w:rsid w:val="54282663"/>
    <w:rsid w:val="54283F32"/>
    <w:rsid w:val="542E44A6"/>
    <w:rsid w:val="542F1BA6"/>
    <w:rsid w:val="542F6DBB"/>
    <w:rsid w:val="543030BB"/>
    <w:rsid w:val="5431774E"/>
    <w:rsid w:val="54320F2B"/>
    <w:rsid w:val="5436650C"/>
    <w:rsid w:val="54377E22"/>
    <w:rsid w:val="543B0B39"/>
    <w:rsid w:val="543C6754"/>
    <w:rsid w:val="543D3225"/>
    <w:rsid w:val="54407E57"/>
    <w:rsid w:val="54416B82"/>
    <w:rsid w:val="54437DFB"/>
    <w:rsid w:val="54446ED9"/>
    <w:rsid w:val="544516AA"/>
    <w:rsid w:val="544A782F"/>
    <w:rsid w:val="544B7102"/>
    <w:rsid w:val="544D7D8B"/>
    <w:rsid w:val="544F66BB"/>
    <w:rsid w:val="54521A06"/>
    <w:rsid w:val="5452714F"/>
    <w:rsid w:val="54530B73"/>
    <w:rsid w:val="54534C76"/>
    <w:rsid w:val="54537EA5"/>
    <w:rsid w:val="545438D2"/>
    <w:rsid w:val="54546126"/>
    <w:rsid w:val="54556802"/>
    <w:rsid w:val="545909DC"/>
    <w:rsid w:val="545A6004"/>
    <w:rsid w:val="545C1D7C"/>
    <w:rsid w:val="545D7289"/>
    <w:rsid w:val="545F186C"/>
    <w:rsid w:val="5461627A"/>
    <w:rsid w:val="54643F49"/>
    <w:rsid w:val="546711FB"/>
    <w:rsid w:val="546A4ECC"/>
    <w:rsid w:val="54714FC0"/>
    <w:rsid w:val="5473108B"/>
    <w:rsid w:val="54750E06"/>
    <w:rsid w:val="547D1325"/>
    <w:rsid w:val="547D695F"/>
    <w:rsid w:val="547F4A02"/>
    <w:rsid w:val="54807F5C"/>
    <w:rsid w:val="5482441D"/>
    <w:rsid w:val="54830684"/>
    <w:rsid w:val="54830DDF"/>
    <w:rsid w:val="5484668C"/>
    <w:rsid w:val="54855D0A"/>
    <w:rsid w:val="54855E55"/>
    <w:rsid w:val="54857A08"/>
    <w:rsid w:val="54857C3B"/>
    <w:rsid w:val="54891286"/>
    <w:rsid w:val="54891F50"/>
    <w:rsid w:val="54896EAB"/>
    <w:rsid w:val="5489739D"/>
    <w:rsid w:val="548A3FD4"/>
    <w:rsid w:val="548A4441"/>
    <w:rsid w:val="548A6C56"/>
    <w:rsid w:val="548A74E9"/>
    <w:rsid w:val="548B368B"/>
    <w:rsid w:val="54920C2D"/>
    <w:rsid w:val="549546C9"/>
    <w:rsid w:val="54956D7E"/>
    <w:rsid w:val="549B0231"/>
    <w:rsid w:val="549B52D9"/>
    <w:rsid w:val="549E0B9F"/>
    <w:rsid w:val="549F0B68"/>
    <w:rsid w:val="549F7EBB"/>
    <w:rsid w:val="54A0435F"/>
    <w:rsid w:val="54A07FCB"/>
    <w:rsid w:val="54A34B26"/>
    <w:rsid w:val="54A43723"/>
    <w:rsid w:val="54A51085"/>
    <w:rsid w:val="54A548D2"/>
    <w:rsid w:val="54A7301E"/>
    <w:rsid w:val="54A76E71"/>
    <w:rsid w:val="54A9091A"/>
    <w:rsid w:val="54AA775A"/>
    <w:rsid w:val="54B00F41"/>
    <w:rsid w:val="54B03E76"/>
    <w:rsid w:val="54B55D42"/>
    <w:rsid w:val="54B70010"/>
    <w:rsid w:val="54BA3B4B"/>
    <w:rsid w:val="54BA4C46"/>
    <w:rsid w:val="54BA4F3B"/>
    <w:rsid w:val="54BB6190"/>
    <w:rsid w:val="54BF6C5C"/>
    <w:rsid w:val="54C00206"/>
    <w:rsid w:val="54C04B93"/>
    <w:rsid w:val="54C60E46"/>
    <w:rsid w:val="54C87C37"/>
    <w:rsid w:val="54CA200C"/>
    <w:rsid w:val="54CC57AB"/>
    <w:rsid w:val="54CD4A28"/>
    <w:rsid w:val="54D14CA2"/>
    <w:rsid w:val="54DA4444"/>
    <w:rsid w:val="54DE1FBF"/>
    <w:rsid w:val="54E12BE1"/>
    <w:rsid w:val="54E45AC5"/>
    <w:rsid w:val="54ED53B6"/>
    <w:rsid w:val="54EE1FED"/>
    <w:rsid w:val="54F04415"/>
    <w:rsid w:val="54F226E1"/>
    <w:rsid w:val="54F573E9"/>
    <w:rsid w:val="54F64668"/>
    <w:rsid w:val="54FE162E"/>
    <w:rsid w:val="54FE53B7"/>
    <w:rsid w:val="54FE6602"/>
    <w:rsid w:val="5503081F"/>
    <w:rsid w:val="55043E74"/>
    <w:rsid w:val="550575CA"/>
    <w:rsid w:val="55091D6F"/>
    <w:rsid w:val="550A0B81"/>
    <w:rsid w:val="550A4638"/>
    <w:rsid w:val="550B581F"/>
    <w:rsid w:val="550C5017"/>
    <w:rsid w:val="550D77A1"/>
    <w:rsid w:val="551036AD"/>
    <w:rsid w:val="551144C1"/>
    <w:rsid w:val="55135898"/>
    <w:rsid w:val="5515208C"/>
    <w:rsid w:val="551748B0"/>
    <w:rsid w:val="551927A7"/>
    <w:rsid w:val="551C7498"/>
    <w:rsid w:val="551E5478"/>
    <w:rsid w:val="551F0FD6"/>
    <w:rsid w:val="551F5751"/>
    <w:rsid w:val="551F65E5"/>
    <w:rsid w:val="551F7BCD"/>
    <w:rsid w:val="55202F01"/>
    <w:rsid w:val="55213B45"/>
    <w:rsid w:val="552705DC"/>
    <w:rsid w:val="552A6510"/>
    <w:rsid w:val="552F4BD8"/>
    <w:rsid w:val="552F56E3"/>
    <w:rsid w:val="55351AD7"/>
    <w:rsid w:val="55360136"/>
    <w:rsid w:val="55383E4D"/>
    <w:rsid w:val="55384194"/>
    <w:rsid w:val="55384597"/>
    <w:rsid w:val="553E5754"/>
    <w:rsid w:val="55444503"/>
    <w:rsid w:val="5548769D"/>
    <w:rsid w:val="554A7002"/>
    <w:rsid w:val="554D0888"/>
    <w:rsid w:val="555832A9"/>
    <w:rsid w:val="555869E7"/>
    <w:rsid w:val="55592A03"/>
    <w:rsid w:val="555B64D8"/>
    <w:rsid w:val="555F3C6F"/>
    <w:rsid w:val="55617F62"/>
    <w:rsid w:val="55642195"/>
    <w:rsid w:val="55654DD8"/>
    <w:rsid w:val="556709D9"/>
    <w:rsid w:val="556C2493"/>
    <w:rsid w:val="556D4CB5"/>
    <w:rsid w:val="556F50CC"/>
    <w:rsid w:val="557030AA"/>
    <w:rsid w:val="557139B6"/>
    <w:rsid w:val="55723D88"/>
    <w:rsid w:val="557630D8"/>
    <w:rsid w:val="557651F0"/>
    <w:rsid w:val="55774B49"/>
    <w:rsid w:val="55780E38"/>
    <w:rsid w:val="557814C7"/>
    <w:rsid w:val="557C6CD4"/>
    <w:rsid w:val="557E5D22"/>
    <w:rsid w:val="557F258A"/>
    <w:rsid w:val="55843380"/>
    <w:rsid w:val="55851AF7"/>
    <w:rsid w:val="558524AF"/>
    <w:rsid w:val="55865F9E"/>
    <w:rsid w:val="55867D85"/>
    <w:rsid w:val="558A4FDB"/>
    <w:rsid w:val="558A6381"/>
    <w:rsid w:val="558B028B"/>
    <w:rsid w:val="558C26B7"/>
    <w:rsid w:val="558E4FB1"/>
    <w:rsid w:val="558F6F3A"/>
    <w:rsid w:val="55920483"/>
    <w:rsid w:val="55977FED"/>
    <w:rsid w:val="55982662"/>
    <w:rsid w:val="559B09EA"/>
    <w:rsid w:val="55A1018E"/>
    <w:rsid w:val="55A102FF"/>
    <w:rsid w:val="55A430E3"/>
    <w:rsid w:val="55A83099"/>
    <w:rsid w:val="55AA3FBA"/>
    <w:rsid w:val="55B10070"/>
    <w:rsid w:val="55B24C8D"/>
    <w:rsid w:val="55B55D2E"/>
    <w:rsid w:val="55B85F1D"/>
    <w:rsid w:val="55BE2D9E"/>
    <w:rsid w:val="55BF108B"/>
    <w:rsid w:val="55C073CF"/>
    <w:rsid w:val="55C17265"/>
    <w:rsid w:val="55C31C88"/>
    <w:rsid w:val="55C4407D"/>
    <w:rsid w:val="55C532A7"/>
    <w:rsid w:val="55C63870"/>
    <w:rsid w:val="55C92BCA"/>
    <w:rsid w:val="55C951EF"/>
    <w:rsid w:val="55C97BB4"/>
    <w:rsid w:val="55CD49B0"/>
    <w:rsid w:val="55CD5F2D"/>
    <w:rsid w:val="55CE2D83"/>
    <w:rsid w:val="55D24A32"/>
    <w:rsid w:val="55D32512"/>
    <w:rsid w:val="55D621CB"/>
    <w:rsid w:val="55DA799C"/>
    <w:rsid w:val="55E033C8"/>
    <w:rsid w:val="55E551D3"/>
    <w:rsid w:val="55E90517"/>
    <w:rsid w:val="55E93AE3"/>
    <w:rsid w:val="55ED62F7"/>
    <w:rsid w:val="55EF7A71"/>
    <w:rsid w:val="55F213BA"/>
    <w:rsid w:val="55F34962"/>
    <w:rsid w:val="55F859A0"/>
    <w:rsid w:val="55F914E6"/>
    <w:rsid w:val="55FA0960"/>
    <w:rsid w:val="55FA64E9"/>
    <w:rsid w:val="55FD1AE4"/>
    <w:rsid w:val="55FD5A77"/>
    <w:rsid w:val="55FE1563"/>
    <w:rsid w:val="560113E7"/>
    <w:rsid w:val="560451F4"/>
    <w:rsid w:val="5608596C"/>
    <w:rsid w:val="560E3C6B"/>
    <w:rsid w:val="560F0085"/>
    <w:rsid w:val="561045CC"/>
    <w:rsid w:val="5611479E"/>
    <w:rsid w:val="56126808"/>
    <w:rsid w:val="56157AE4"/>
    <w:rsid w:val="5616328A"/>
    <w:rsid w:val="56167A5E"/>
    <w:rsid w:val="561B17C3"/>
    <w:rsid w:val="561B293B"/>
    <w:rsid w:val="561B3BA0"/>
    <w:rsid w:val="561C4882"/>
    <w:rsid w:val="561F46CE"/>
    <w:rsid w:val="562148B0"/>
    <w:rsid w:val="562213B6"/>
    <w:rsid w:val="56227B46"/>
    <w:rsid w:val="56241415"/>
    <w:rsid w:val="562440E1"/>
    <w:rsid w:val="562529D0"/>
    <w:rsid w:val="5626108E"/>
    <w:rsid w:val="56263D1A"/>
    <w:rsid w:val="56274C76"/>
    <w:rsid w:val="56291560"/>
    <w:rsid w:val="562B0959"/>
    <w:rsid w:val="562D5660"/>
    <w:rsid w:val="562E2A06"/>
    <w:rsid w:val="562E3B28"/>
    <w:rsid w:val="562E74ED"/>
    <w:rsid w:val="562F3B6B"/>
    <w:rsid w:val="56313019"/>
    <w:rsid w:val="56336C40"/>
    <w:rsid w:val="56355AEB"/>
    <w:rsid w:val="56364980"/>
    <w:rsid w:val="563746BE"/>
    <w:rsid w:val="5637484F"/>
    <w:rsid w:val="563B32B8"/>
    <w:rsid w:val="563E35A3"/>
    <w:rsid w:val="563F54B2"/>
    <w:rsid w:val="5640290F"/>
    <w:rsid w:val="56411871"/>
    <w:rsid w:val="56454A4B"/>
    <w:rsid w:val="56477AA1"/>
    <w:rsid w:val="564D64D1"/>
    <w:rsid w:val="56505911"/>
    <w:rsid w:val="565063D1"/>
    <w:rsid w:val="56517228"/>
    <w:rsid w:val="565252C8"/>
    <w:rsid w:val="565329A1"/>
    <w:rsid w:val="56570371"/>
    <w:rsid w:val="56570A4D"/>
    <w:rsid w:val="56582A17"/>
    <w:rsid w:val="565A293E"/>
    <w:rsid w:val="56611AFE"/>
    <w:rsid w:val="56624195"/>
    <w:rsid w:val="566477AE"/>
    <w:rsid w:val="56652AC4"/>
    <w:rsid w:val="56664057"/>
    <w:rsid w:val="56666EE2"/>
    <w:rsid w:val="56673AF6"/>
    <w:rsid w:val="56682C5A"/>
    <w:rsid w:val="566A149A"/>
    <w:rsid w:val="566B3897"/>
    <w:rsid w:val="566C4C6F"/>
    <w:rsid w:val="566D2368"/>
    <w:rsid w:val="566D4C52"/>
    <w:rsid w:val="566E1ADC"/>
    <w:rsid w:val="56777341"/>
    <w:rsid w:val="56780765"/>
    <w:rsid w:val="5678216E"/>
    <w:rsid w:val="56785365"/>
    <w:rsid w:val="567929C1"/>
    <w:rsid w:val="56796FA8"/>
    <w:rsid w:val="567A6560"/>
    <w:rsid w:val="567C01BA"/>
    <w:rsid w:val="567E6284"/>
    <w:rsid w:val="56824C68"/>
    <w:rsid w:val="56826904"/>
    <w:rsid w:val="56863CE2"/>
    <w:rsid w:val="5687697F"/>
    <w:rsid w:val="56894EBB"/>
    <w:rsid w:val="568F6E96"/>
    <w:rsid w:val="56943741"/>
    <w:rsid w:val="56950F16"/>
    <w:rsid w:val="569C6F6F"/>
    <w:rsid w:val="569E043B"/>
    <w:rsid w:val="569E3795"/>
    <w:rsid w:val="56A007FF"/>
    <w:rsid w:val="56A24164"/>
    <w:rsid w:val="56A54F45"/>
    <w:rsid w:val="56A70A87"/>
    <w:rsid w:val="56A827A7"/>
    <w:rsid w:val="56A86E60"/>
    <w:rsid w:val="56A930B4"/>
    <w:rsid w:val="56AA1BF7"/>
    <w:rsid w:val="56AA68CC"/>
    <w:rsid w:val="56AB3B32"/>
    <w:rsid w:val="56AC5E51"/>
    <w:rsid w:val="56AE4588"/>
    <w:rsid w:val="56AF4C1A"/>
    <w:rsid w:val="56B23F1D"/>
    <w:rsid w:val="56B240BE"/>
    <w:rsid w:val="56B52006"/>
    <w:rsid w:val="56B635BD"/>
    <w:rsid w:val="56B721F1"/>
    <w:rsid w:val="56B82EA9"/>
    <w:rsid w:val="56BA7531"/>
    <w:rsid w:val="56BC0E2D"/>
    <w:rsid w:val="56BC7E85"/>
    <w:rsid w:val="56C15CD7"/>
    <w:rsid w:val="56C3608A"/>
    <w:rsid w:val="56C71AA1"/>
    <w:rsid w:val="56C73CD3"/>
    <w:rsid w:val="56C819E2"/>
    <w:rsid w:val="56CA13F7"/>
    <w:rsid w:val="56CC3CE2"/>
    <w:rsid w:val="56CC5330"/>
    <w:rsid w:val="56CC7CA2"/>
    <w:rsid w:val="56CF609A"/>
    <w:rsid w:val="56D04A99"/>
    <w:rsid w:val="56D30ED9"/>
    <w:rsid w:val="56D340C3"/>
    <w:rsid w:val="56D377D6"/>
    <w:rsid w:val="56DC3E7E"/>
    <w:rsid w:val="56E2245B"/>
    <w:rsid w:val="56E44B24"/>
    <w:rsid w:val="56E542AB"/>
    <w:rsid w:val="56E643D6"/>
    <w:rsid w:val="56E649F2"/>
    <w:rsid w:val="56E84C1A"/>
    <w:rsid w:val="56EB4529"/>
    <w:rsid w:val="56F03621"/>
    <w:rsid w:val="56F15E96"/>
    <w:rsid w:val="56F4003C"/>
    <w:rsid w:val="56F654B0"/>
    <w:rsid w:val="56FA762A"/>
    <w:rsid w:val="56FE536D"/>
    <w:rsid w:val="57033EC9"/>
    <w:rsid w:val="5707228F"/>
    <w:rsid w:val="5709098B"/>
    <w:rsid w:val="570A1F63"/>
    <w:rsid w:val="570D2D5C"/>
    <w:rsid w:val="570E62E8"/>
    <w:rsid w:val="570F0F99"/>
    <w:rsid w:val="570F6671"/>
    <w:rsid w:val="571004F6"/>
    <w:rsid w:val="571050A0"/>
    <w:rsid w:val="57125D6E"/>
    <w:rsid w:val="57146D43"/>
    <w:rsid w:val="57174DE4"/>
    <w:rsid w:val="57196BD8"/>
    <w:rsid w:val="571B63B7"/>
    <w:rsid w:val="571C5CE8"/>
    <w:rsid w:val="571E5A0F"/>
    <w:rsid w:val="572067F6"/>
    <w:rsid w:val="57213F32"/>
    <w:rsid w:val="5721544C"/>
    <w:rsid w:val="57216DB1"/>
    <w:rsid w:val="57224EEC"/>
    <w:rsid w:val="57241174"/>
    <w:rsid w:val="572471D0"/>
    <w:rsid w:val="572732CF"/>
    <w:rsid w:val="5728063B"/>
    <w:rsid w:val="572C2C74"/>
    <w:rsid w:val="572E17CB"/>
    <w:rsid w:val="573008CE"/>
    <w:rsid w:val="57322F6C"/>
    <w:rsid w:val="57325AD4"/>
    <w:rsid w:val="57346EEE"/>
    <w:rsid w:val="57366AC7"/>
    <w:rsid w:val="57370217"/>
    <w:rsid w:val="573F7D3F"/>
    <w:rsid w:val="57406E35"/>
    <w:rsid w:val="574E106A"/>
    <w:rsid w:val="574E3496"/>
    <w:rsid w:val="575257F4"/>
    <w:rsid w:val="5753390A"/>
    <w:rsid w:val="57541359"/>
    <w:rsid w:val="57562E40"/>
    <w:rsid w:val="57580FA7"/>
    <w:rsid w:val="575A1507"/>
    <w:rsid w:val="575A233E"/>
    <w:rsid w:val="575C7705"/>
    <w:rsid w:val="575E16E2"/>
    <w:rsid w:val="57610C43"/>
    <w:rsid w:val="5764202D"/>
    <w:rsid w:val="576A599B"/>
    <w:rsid w:val="576D01BC"/>
    <w:rsid w:val="576E5A20"/>
    <w:rsid w:val="576F1917"/>
    <w:rsid w:val="576F4284"/>
    <w:rsid w:val="576F660E"/>
    <w:rsid w:val="57723665"/>
    <w:rsid w:val="5775676C"/>
    <w:rsid w:val="57764054"/>
    <w:rsid w:val="57780215"/>
    <w:rsid w:val="577B4C0F"/>
    <w:rsid w:val="577C4928"/>
    <w:rsid w:val="577C7BAB"/>
    <w:rsid w:val="577D14F9"/>
    <w:rsid w:val="577F506A"/>
    <w:rsid w:val="577F7666"/>
    <w:rsid w:val="578006F8"/>
    <w:rsid w:val="57803FD4"/>
    <w:rsid w:val="57831D16"/>
    <w:rsid w:val="57874BD4"/>
    <w:rsid w:val="578B566C"/>
    <w:rsid w:val="578D049F"/>
    <w:rsid w:val="579123DE"/>
    <w:rsid w:val="57914433"/>
    <w:rsid w:val="579161E1"/>
    <w:rsid w:val="57931115"/>
    <w:rsid w:val="579559B6"/>
    <w:rsid w:val="5799456C"/>
    <w:rsid w:val="579C4AA3"/>
    <w:rsid w:val="579D1ECA"/>
    <w:rsid w:val="579E08FE"/>
    <w:rsid w:val="579E445A"/>
    <w:rsid w:val="57A40B93"/>
    <w:rsid w:val="57A44033"/>
    <w:rsid w:val="57A641BF"/>
    <w:rsid w:val="57AE01DE"/>
    <w:rsid w:val="57AE4C88"/>
    <w:rsid w:val="57AF6C7B"/>
    <w:rsid w:val="57B2019D"/>
    <w:rsid w:val="57B721BF"/>
    <w:rsid w:val="57B7761D"/>
    <w:rsid w:val="57B829AE"/>
    <w:rsid w:val="57B9315E"/>
    <w:rsid w:val="57BD2C71"/>
    <w:rsid w:val="57BE6F51"/>
    <w:rsid w:val="57BF092E"/>
    <w:rsid w:val="57C00874"/>
    <w:rsid w:val="57C15E41"/>
    <w:rsid w:val="57C30BAF"/>
    <w:rsid w:val="57C45BE7"/>
    <w:rsid w:val="57C540DC"/>
    <w:rsid w:val="57C64CA6"/>
    <w:rsid w:val="57C8566A"/>
    <w:rsid w:val="57C9265C"/>
    <w:rsid w:val="57C9774C"/>
    <w:rsid w:val="57CA41EB"/>
    <w:rsid w:val="57CA72FC"/>
    <w:rsid w:val="57CB183A"/>
    <w:rsid w:val="57CD39E4"/>
    <w:rsid w:val="57CF08AC"/>
    <w:rsid w:val="57CF6339"/>
    <w:rsid w:val="57D367F9"/>
    <w:rsid w:val="57D4062A"/>
    <w:rsid w:val="57D447EF"/>
    <w:rsid w:val="57D46DC1"/>
    <w:rsid w:val="57D66403"/>
    <w:rsid w:val="57DC670D"/>
    <w:rsid w:val="57DF41FD"/>
    <w:rsid w:val="57DF5238"/>
    <w:rsid w:val="57E00D89"/>
    <w:rsid w:val="57E31DAB"/>
    <w:rsid w:val="57E35FDC"/>
    <w:rsid w:val="57E42883"/>
    <w:rsid w:val="57E44562"/>
    <w:rsid w:val="57E50E10"/>
    <w:rsid w:val="57E765B5"/>
    <w:rsid w:val="57EA3529"/>
    <w:rsid w:val="57ED7EC0"/>
    <w:rsid w:val="57F1374F"/>
    <w:rsid w:val="57F16CD6"/>
    <w:rsid w:val="57F60553"/>
    <w:rsid w:val="57F93B8D"/>
    <w:rsid w:val="57F95F93"/>
    <w:rsid w:val="57FB201B"/>
    <w:rsid w:val="57FB799A"/>
    <w:rsid w:val="57FE479A"/>
    <w:rsid w:val="57FF139C"/>
    <w:rsid w:val="580206B8"/>
    <w:rsid w:val="58020E8D"/>
    <w:rsid w:val="5802516F"/>
    <w:rsid w:val="580320B2"/>
    <w:rsid w:val="58050506"/>
    <w:rsid w:val="5807667E"/>
    <w:rsid w:val="580A36D8"/>
    <w:rsid w:val="580B1CE3"/>
    <w:rsid w:val="580C0461"/>
    <w:rsid w:val="580C32A5"/>
    <w:rsid w:val="580E1B1C"/>
    <w:rsid w:val="580E4E32"/>
    <w:rsid w:val="581249CB"/>
    <w:rsid w:val="58140DF3"/>
    <w:rsid w:val="58151F5F"/>
    <w:rsid w:val="5819592A"/>
    <w:rsid w:val="581B36D9"/>
    <w:rsid w:val="581E3CDA"/>
    <w:rsid w:val="581F576C"/>
    <w:rsid w:val="582044C3"/>
    <w:rsid w:val="58212D6C"/>
    <w:rsid w:val="58217ED2"/>
    <w:rsid w:val="582463EF"/>
    <w:rsid w:val="582621FD"/>
    <w:rsid w:val="58285DF6"/>
    <w:rsid w:val="582A7989"/>
    <w:rsid w:val="582D1516"/>
    <w:rsid w:val="582F0470"/>
    <w:rsid w:val="58300840"/>
    <w:rsid w:val="5831638D"/>
    <w:rsid w:val="583305D8"/>
    <w:rsid w:val="583340F5"/>
    <w:rsid w:val="583567C9"/>
    <w:rsid w:val="583711D0"/>
    <w:rsid w:val="583813E5"/>
    <w:rsid w:val="583979E8"/>
    <w:rsid w:val="583D0583"/>
    <w:rsid w:val="583D6607"/>
    <w:rsid w:val="583E1858"/>
    <w:rsid w:val="58406C16"/>
    <w:rsid w:val="58411E6A"/>
    <w:rsid w:val="58423503"/>
    <w:rsid w:val="5842572D"/>
    <w:rsid w:val="584414A5"/>
    <w:rsid w:val="58445419"/>
    <w:rsid w:val="58452341"/>
    <w:rsid w:val="58484F31"/>
    <w:rsid w:val="584959C8"/>
    <w:rsid w:val="584A1219"/>
    <w:rsid w:val="584B688B"/>
    <w:rsid w:val="584C641F"/>
    <w:rsid w:val="584D5481"/>
    <w:rsid w:val="584E256E"/>
    <w:rsid w:val="58513C94"/>
    <w:rsid w:val="585311FD"/>
    <w:rsid w:val="58537B46"/>
    <w:rsid w:val="585606D2"/>
    <w:rsid w:val="585D2850"/>
    <w:rsid w:val="585D7E65"/>
    <w:rsid w:val="58647374"/>
    <w:rsid w:val="586579E4"/>
    <w:rsid w:val="58675193"/>
    <w:rsid w:val="586B05AD"/>
    <w:rsid w:val="586B7AC7"/>
    <w:rsid w:val="586D0C07"/>
    <w:rsid w:val="586F4BDD"/>
    <w:rsid w:val="58722AB0"/>
    <w:rsid w:val="587617AF"/>
    <w:rsid w:val="58777C6C"/>
    <w:rsid w:val="5879637C"/>
    <w:rsid w:val="587A4828"/>
    <w:rsid w:val="587B7C5F"/>
    <w:rsid w:val="587F12C8"/>
    <w:rsid w:val="587F688B"/>
    <w:rsid w:val="58801DB1"/>
    <w:rsid w:val="58804644"/>
    <w:rsid w:val="58806041"/>
    <w:rsid w:val="5882528E"/>
    <w:rsid w:val="58855686"/>
    <w:rsid w:val="58882F5B"/>
    <w:rsid w:val="588B2C30"/>
    <w:rsid w:val="588D4DAA"/>
    <w:rsid w:val="588F6BDF"/>
    <w:rsid w:val="589528D7"/>
    <w:rsid w:val="58954731"/>
    <w:rsid w:val="58954760"/>
    <w:rsid w:val="58964226"/>
    <w:rsid w:val="5898519E"/>
    <w:rsid w:val="589858EC"/>
    <w:rsid w:val="58995051"/>
    <w:rsid w:val="589A4C1C"/>
    <w:rsid w:val="589D2963"/>
    <w:rsid w:val="589E4BB4"/>
    <w:rsid w:val="589F1060"/>
    <w:rsid w:val="58A14EFF"/>
    <w:rsid w:val="58A30D39"/>
    <w:rsid w:val="58A52FBB"/>
    <w:rsid w:val="58A66EEC"/>
    <w:rsid w:val="58A9356E"/>
    <w:rsid w:val="58AA13DB"/>
    <w:rsid w:val="58AB139D"/>
    <w:rsid w:val="58AC607C"/>
    <w:rsid w:val="58AF34FE"/>
    <w:rsid w:val="58AF5C24"/>
    <w:rsid w:val="58AF6DC9"/>
    <w:rsid w:val="58B118B8"/>
    <w:rsid w:val="58B14A89"/>
    <w:rsid w:val="58B55574"/>
    <w:rsid w:val="58B55ECF"/>
    <w:rsid w:val="58B579E6"/>
    <w:rsid w:val="58B77EC9"/>
    <w:rsid w:val="58BA1409"/>
    <w:rsid w:val="58BA4BA8"/>
    <w:rsid w:val="58BD2422"/>
    <w:rsid w:val="58BF6C70"/>
    <w:rsid w:val="58C171C6"/>
    <w:rsid w:val="58C240F6"/>
    <w:rsid w:val="58C25F37"/>
    <w:rsid w:val="58C3363E"/>
    <w:rsid w:val="58C94263"/>
    <w:rsid w:val="58CA7DCD"/>
    <w:rsid w:val="58CF25CF"/>
    <w:rsid w:val="58D5468D"/>
    <w:rsid w:val="58D570AB"/>
    <w:rsid w:val="58D67AF9"/>
    <w:rsid w:val="58DB7616"/>
    <w:rsid w:val="58DF052A"/>
    <w:rsid w:val="58DF488B"/>
    <w:rsid w:val="58E168C8"/>
    <w:rsid w:val="58E37D79"/>
    <w:rsid w:val="58E508F2"/>
    <w:rsid w:val="58E65358"/>
    <w:rsid w:val="58E94A42"/>
    <w:rsid w:val="58EC5186"/>
    <w:rsid w:val="58EC649C"/>
    <w:rsid w:val="58ED400D"/>
    <w:rsid w:val="58ED5CF2"/>
    <w:rsid w:val="58EE139E"/>
    <w:rsid w:val="58EE21A0"/>
    <w:rsid w:val="58EE3A78"/>
    <w:rsid w:val="58EF35D8"/>
    <w:rsid w:val="58EF50C6"/>
    <w:rsid w:val="58EF5DF2"/>
    <w:rsid w:val="58F03722"/>
    <w:rsid w:val="58F22CAF"/>
    <w:rsid w:val="58F3184B"/>
    <w:rsid w:val="58F44C79"/>
    <w:rsid w:val="58F45959"/>
    <w:rsid w:val="58F53B38"/>
    <w:rsid w:val="58F566BF"/>
    <w:rsid w:val="58F95881"/>
    <w:rsid w:val="58FA1B64"/>
    <w:rsid w:val="58FD504F"/>
    <w:rsid w:val="58FE7B56"/>
    <w:rsid w:val="59013D18"/>
    <w:rsid w:val="59020202"/>
    <w:rsid w:val="5906056F"/>
    <w:rsid w:val="590939A7"/>
    <w:rsid w:val="590962E2"/>
    <w:rsid w:val="590B1FC3"/>
    <w:rsid w:val="590C6902"/>
    <w:rsid w:val="590D0371"/>
    <w:rsid w:val="590D0B61"/>
    <w:rsid w:val="590E049E"/>
    <w:rsid w:val="590E4703"/>
    <w:rsid w:val="590F45CD"/>
    <w:rsid w:val="591075D9"/>
    <w:rsid w:val="591244FC"/>
    <w:rsid w:val="59136EAE"/>
    <w:rsid w:val="59145AB6"/>
    <w:rsid w:val="59153B47"/>
    <w:rsid w:val="591832D2"/>
    <w:rsid w:val="591A212B"/>
    <w:rsid w:val="591A26DF"/>
    <w:rsid w:val="591A2CC5"/>
    <w:rsid w:val="591A6F43"/>
    <w:rsid w:val="591C1F67"/>
    <w:rsid w:val="591D3DA3"/>
    <w:rsid w:val="591E148C"/>
    <w:rsid w:val="59215342"/>
    <w:rsid w:val="59215645"/>
    <w:rsid w:val="592337ED"/>
    <w:rsid w:val="5925085C"/>
    <w:rsid w:val="59263FBA"/>
    <w:rsid w:val="5927454F"/>
    <w:rsid w:val="592916BB"/>
    <w:rsid w:val="5929431A"/>
    <w:rsid w:val="592B2432"/>
    <w:rsid w:val="592B52B0"/>
    <w:rsid w:val="592D506D"/>
    <w:rsid w:val="592F3736"/>
    <w:rsid w:val="592F4E99"/>
    <w:rsid w:val="593023B2"/>
    <w:rsid w:val="59345379"/>
    <w:rsid w:val="593617A8"/>
    <w:rsid w:val="593B443E"/>
    <w:rsid w:val="593E3626"/>
    <w:rsid w:val="593F702D"/>
    <w:rsid w:val="5940780D"/>
    <w:rsid w:val="59413645"/>
    <w:rsid w:val="59422C8F"/>
    <w:rsid w:val="59425927"/>
    <w:rsid w:val="594332AE"/>
    <w:rsid w:val="5943784E"/>
    <w:rsid w:val="59441031"/>
    <w:rsid w:val="59466395"/>
    <w:rsid w:val="59472D7D"/>
    <w:rsid w:val="5948567B"/>
    <w:rsid w:val="59487595"/>
    <w:rsid w:val="594A57FB"/>
    <w:rsid w:val="594B7688"/>
    <w:rsid w:val="594C3715"/>
    <w:rsid w:val="594D11A6"/>
    <w:rsid w:val="594F0101"/>
    <w:rsid w:val="594F7101"/>
    <w:rsid w:val="59570BAF"/>
    <w:rsid w:val="595A2F05"/>
    <w:rsid w:val="595C281E"/>
    <w:rsid w:val="595C4959"/>
    <w:rsid w:val="595D6C4A"/>
    <w:rsid w:val="595E5227"/>
    <w:rsid w:val="59601E8E"/>
    <w:rsid w:val="596128C9"/>
    <w:rsid w:val="596344FB"/>
    <w:rsid w:val="596718E2"/>
    <w:rsid w:val="596A1FD6"/>
    <w:rsid w:val="596A6AA6"/>
    <w:rsid w:val="596B4076"/>
    <w:rsid w:val="596C328C"/>
    <w:rsid w:val="597452C1"/>
    <w:rsid w:val="59751D23"/>
    <w:rsid w:val="59763403"/>
    <w:rsid w:val="597956E3"/>
    <w:rsid w:val="59797C3C"/>
    <w:rsid w:val="597E45FB"/>
    <w:rsid w:val="598035C3"/>
    <w:rsid w:val="59841580"/>
    <w:rsid w:val="59860F75"/>
    <w:rsid w:val="59864A9A"/>
    <w:rsid w:val="59876219"/>
    <w:rsid w:val="59882A96"/>
    <w:rsid w:val="59883613"/>
    <w:rsid w:val="598A0501"/>
    <w:rsid w:val="598A5139"/>
    <w:rsid w:val="598A7EC9"/>
    <w:rsid w:val="598C3104"/>
    <w:rsid w:val="598D4357"/>
    <w:rsid w:val="598F53CC"/>
    <w:rsid w:val="598F7E64"/>
    <w:rsid w:val="59915BE7"/>
    <w:rsid w:val="59922D07"/>
    <w:rsid w:val="59927FEE"/>
    <w:rsid w:val="59965891"/>
    <w:rsid w:val="59987692"/>
    <w:rsid w:val="599C5453"/>
    <w:rsid w:val="599E4A42"/>
    <w:rsid w:val="59A14C34"/>
    <w:rsid w:val="59A166D4"/>
    <w:rsid w:val="59A25534"/>
    <w:rsid w:val="59A42962"/>
    <w:rsid w:val="59A51A24"/>
    <w:rsid w:val="59A5475C"/>
    <w:rsid w:val="59A62523"/>
    <w:rsid w:val="59A715EC"/>
    <w:rsid w:val="59A76A8D"/>
    <w:rsid w:val="59AB6FB2"/>
    <w:rsid w:val="59AB7BAE"/>
    <w:rsid w:val="59AF2604"/>
    <w:rsid w:val="59B072B2"/>
    <w:rsid w:val="59B50AC2"/>
    <w:rsid w:val="59B60895"/>
    <w:rsid w:val="59B640E9"/>
    <w:rsid w:val="59B66C77"/>
    <w:rsid w:val="59B93835"/>
    <w:rsid w:val="59BB28FD"/>
    <w:rsid w:val="59BC0744"/>
    <w:rsid w:val="59BC6B38"/>
    <w:rsid w:val="59BE2C52"/>
    <w:rsid w:val="59C76163"/>
    <w:rsid w:val="59C779EC"/>
    <w:rsid w:val="59C81C62"/>
    <w:rsid w:val="59C85501"/>
    <w:rsid w:val="59C86C77"/>
    <w:rsid w:val="59C93F90"/>
    <w:rsid w:val="59C961D0"/>
    <w:rsid w:val="59CA6EA0"/>
    <w:rsid w:val="59CC3500"/>
    <w:rsid w:val="59CC52AE"/>
    <w:rsid w:val="59CC6DA4"/>
    <w:rsid w:val="59D143A1"/>
    <w:rsid w:val="59D16184"/>
    <w:rsid w:val="59D5275D"/>
    <w:rsid w:val="59D55C3A"/>
    <w:rsid w:val="59D72D37"/>
    <w:rsid w:val="59D74F50"/>
    <w:rsid w:val="59D871DB"/>
    <w:rsid w:val="59E31446"/>
    <w:rsid w:val="59E670AF"/>
    <w:rsid w:val="59E76BFA"/>
    <w:rsid w:val="59EC76FE"/>
    <w:rsid w:val="59EE664B"/>
    <w:rsid w:val="59F72D77"/>
    <w:rsid w:val="59F82547"/>
    <w:rsid w:val="59FB2F0A"/>
    <w:rsid w:val="59FB5B93"/>
    <w:rsid w:val="59FC01B8"/>
    <w:rsid w:val="5A0106C0"/>
    <w:rsid w:val="5A025CA1"/>
    <w:rsid w:val="5A0311AB"/>
    <w:rsid w:val="5A03641C"/>
    <w:rsid w:val="5A042AF0"/>
    <w:rsid w:val="5A047091"/>
    <w:rsid w:val="5A055BA3"/>
    <w:rsid w:val="5A0606A5"/>
    <w:rsid w:val="5A07080E"/>
    <w:rsid w:val="5A0974D8"/>
    <w:rsid w:val="5A0A04CC"/>
    <w:rsid w:val="5A0A5DD6"/>
    <w:rsid w:val="5A0C44EE"/>
    <w:rsid w:val="5A0C4DE9"/>
    <w:rsid w:val="5A0E3B19"/>
    <w:rsid w:val="5A0F2DB9"/>
    <w:rsid w:val="5A113042"/>
    <w:rsid w:val="5A115BC5"/>
    <w:rsid w:val="5A130881"/>
    <w:rsid w:val="5A144D37"/>
    <w:rsid w:val="5A191775"/>
    <w:rsid w:val="5A1A070F"/>
    <w:rsid w:val="5A1C637A"/>
    <w:rsid w:val="5A1D1EA3"/>
    <w:rsid w:val="5A207097"/>
    <w:rsid w:val="5A210697"/>
    <w:rsid w:val="5A243D22"/>
    <w:rsid w:val="5A284C31"/>
    <w:rsid w:val="5A286AE8"/>
    <w:rsid w:val="5A290D3E"/>
    <w:rsid w:val="5A292701"/>
    <w:rsid w:val="5A296B13"/>
    <w:rsid w:val="5A2B6F0D"/>
    <w:rsid w:val="5A2C78B3"/>
    <w:rsid w:val="5A2D3F75"/>
    <w:rsid w:val="5A2D5FD8"/>
    <w:rsid w:val="5A3006C2"/>
    <w:rsid w:val="5A307F33"/>
    <w:rsid w:val="5A3568CB"/>
    <w:rsid w:val="5A397EF2"/>
    <w:rsid w:val="5A3F0176"/>
    <w:rsid w:val="5A3F58EA"/>
    <w:rsid w:val="5A4068BF"/>
    <w:rsid w:val="5A407B76"/>
    <w:rsid w:val="5A4237C2"/>
    <w:rsid w:val="5A434E13"/>
    <w:rsid w:val="5A471943"/>
    <w:rsid w:val="5A47527D"/>
    <w:rsid w:val="5A4753D1"/>
    <w:rsid w:val="5A4A665B"/>
    <w:rsid w:val="5A4B706B"/>
    <w:rsid w:val="5A4C28B1"/>
    <w:rsid w:val="5A4F24D5"/>
    <w:rsid w:val="5A56176F"/>
    <w:rsid w:val="5A563C82"/>
    <w:rsid w:val="5A570933"/>
    <w:rsid w:val="5A581581"/>
    <w:rsid w:val="5A5A041C"/>
    <w:rsid w:val="5A5A6D5E"/>
    <w:rsid w:val="5A5E1040"/>
    <w:rsid w:val="5A5F559C"/>
    <w:rsid w:val="5A637679"/>
    <w:rsid w:val="5A6545E3"/>
    <w:rsid w:val="5A655703"/>
    <w:rsid w:val="5A65704C"/>
    <w:rsid w:val="5A6F5745"/>
    <w:rsid w:val="5A707114"/>
    <w:rsid w:val="5A733758"/>
    <w:rsid w:val="5A73553C"/>
    <w:rsid w:val="5A7700FC"/>
    <w:rsid w:val="5A7716AE"/>
    <w:rsid w:val="5A7950CF"/>
    <w:rsid w:val="5A7A7400"/>
    <w:rsid w:val="5A7D282D"/>
    <w:rsid w:val="5A815478"/>
    <w:rsid w:val="5A8335F1"/>
    <w:rsid w:val="5A853191"/>
    <w:rsid w:val="5A854B37"/>
    <w:rsid w:val="5A894A59"/>
    <w:rsid w:val="5A8A0441"/>
    <w:rsid w:val="5A8B30FB"/>
    <w:rsid w:val="5A8E72E1"/>
    <w:rsid w:val="5A907087"/>
    <w:rsid w:val="5A911D54"/>
    <w:rsid w:val="5A9373F8"/>
    <w:rsid w:val="5A964385"/>
    <w:rsid w:val="5A97340C"/>
    <w:rsid w:val="5A981659"/>
    <w:rsid w:val="5A9D1B21"/>
    <w:rsid w:val="5A9D4E9D"/>
    <w:rsid w:val="5A9D4F97"/>
    <w:rsid w:val="5A9F3CAF"/>
    <w:rsid w:val="5AA0282E"/>
    <w:rsid w:val="5AA05CD2"/>
    <w:rsid w:val="5AA11031"/>
    <w:rsid w:val="5AA247F9"/>
    <w:rsid w:val="5AA301A8"/>
    <w:rsid w:val="5AA71269"/>
    <w:rsid w:val="5AA86F80"/>
    <w:rsid w:val="5AAB0C10"/>
    <w:rsid w:val="5AAC3A1E"/>
    <w:rsid w:val="5AAF4A82"/>
    <w:rsid w:val="5AAF77B5"/>
    <w:rsid w:val="5AB15C20"/>
    <w:rsid w:val="5AB50438"/>
    <w:rsid w:val="5AB54BB7"/>
    <w:rsid w:val="5ABA012F"/>
    <w:rsid w:val="5ABA70CB"/>
    <w:rsid w:val="5ABA760A"/>
    <w:rsid w:val="5ABB16A5"/>
    <w:rsid w:val="5ABC7FC6"/>
    <w:rsid w:val="5ABD710F"/>
    <w:rsid w:val="5AC076E8"/>
    <w:rsid w:val="5AC50AE9"/>
    <w:rsid w:val="5AC64505"/>
    <w:rsid w:val="5ACE1400"/>
    <w:rsid w:val="5ACE5056"/>
    <w:rsid w:val="5ACF1711"/>
    <w:rsid w:val="5AD32573"/>
    <w:rsid w:val="5AD533AA"/>
    <w:rsid w:val="5AD63346"/>
    <w:rsid w:val="5AD87E56"/>
    <w:rsid w:val="5ADC59C5"/>
    <w:rsid w:val="5ADD78CD"/>
    <w:rsid w:val="5ADE6EC2"/>
    <w:rsid w:val="5AE10EED"/>
    <w:rsid w:val="5AE26D53"/>
    <w:rsid w:val="5AEB16D4"/>
    <w:rsid w:val="5AEB5C08"/>
    <w:rsid w:val="5AEC7C19"/>
    <w:rsid w:val="5AEE300C"/>
    <w:rsid w:val="5AEF3A91"/>
    <w:rsid w:val="5AF0321E"/>
    <w:rsid w:val="5AF1080A"/>
    <w:rsid w:val="5AF412F5"/>
    <w:rsid w:val="5AF54632"/>
    <w:rsid w:val="5AF55593"/>
    <w:rsid w:val="5AF7044F"/>
    <w:rsid w:val="5AF71AEE"/>
    <w:rsid w:val="5AF727FF"/>
    <w:rsid w:val="5AF80F2E"/>
    <w:rsid w:val="5AF82A2A"/>
    <w:rsid w:val="5AFB09D6"/>
    <w:rsid w:val="5AFD0083"/>
    <w:rsid w:val="5AFE0B43"/>
    <w:rsid w:val="5B011303"/>
    <w:rsid w:val="5B0411AB"/>
    <w:rsid w:val="5B06398A"/>
    <w:rsid w:val="5B0A0784"/>
    <w:rsid w:val="5B0B44FC"/>
    <w:rsid w:val="5B0B6123"/>
    <w:rsid w:val="5B0B62AA"/>
    <w:rsid w:val="5B0E3F55"/>
    <w:rsid w:val="5B0F58A0"/>
    <w:rsid w:val="5B111816"/>
    <w:rsid w:val="5B113A85"/>
    <w:rsid w:val="5B15447B"/>
    <w:rsid w:val="5B1B4C89"/>
    <w:rsid w:val="5B1D65B3"/>
    <w:rsid w:val="5B20581B"/>
    <w:rsid w:val="5B21280E"/>
    <w:rsid w:val="5B226C1C"/>
    <w:rsid w:val="5B22711E"/>
    <w:rsid w:val="5B227900"/>
    <w:rsid w:val="5B23548E"/>
    <w:rsid w:val="5B292975"/>
    <w:rsid w:val="5B294982"/>
    <w:rsid w:val="5B2C4FA3"/>
    <w:rsid w:val="5B2E79DB"/>
    <w:rsid w:val="5B311780"/>
    <w:rsid w:val="5B34229E"/>
    <w:rsid w:val="5B343DA9"/>
    <w:rsid w:val="5B3502B1"/>
    <w:rsid w:val="5B3537E1"/>
    <w:rsid w:val="5B371DE3"/>
    <w:rsid w:val="5B380160"/>
    <w:rsid w:val="5B3B0367"/>
    <w:rsid w:val="5B3D2532"/>
    <w:rsid w:val="5B3D3261"/>
    <w:rsid w:val="5B3F4B7D"/>
    <w:rsid w:val="5B407838"/>
    <w:rsid w:val="5B460D14"/>
    <w:rsid w:val="5B462714"/>
    <w:rsid w:val="5B465534"/>
    <w:rsid w:val="5B4A59E0"/>
    <w:rsid w:val="5B4B471E"/>
    <w:rsid w:val="5B544C12"/>
    <w:rsid w:val="5B5914AB"/>
    <w:rsid w:val="5B5932EC"/>
    <w:rsid w:val="5B5A6BDF"/>
    <w:rsid w:val="5B5C5826"/>
    <w:rsid w:val="5B613118"/>
    <w:rsid w:val="5B6305C0"/>
    <w:rsid w:val="5B64342B"/>
    <w:rsid w:val="5B64691D"/>
    <w:rsid w:val="5B6672FE"/>
    <w:rsid w:val="5B680279"/>
    <w:rsid w:val="5B6836FC"/>
    <w:rsid w:val="5B6A0AEC"/>
    <w:rsid w:val="5B6B0265"/>
    <w:rsid w:val="5B6E5575"/>
    <w:rsid w:val="5B730737"/>
    <w:rsid w:val="5B780FDF"/>
    <w:rsid w:val="5B785FA9"/>
    <w:rsid w:val="5B7A6525"/>
    <w:rsid w:val="5B7E0254"/>
    <w:rsid w:val="5B7F4C71"/>
    <w:rsid w:val="5B804CE4"/>
    <w:rsid w:val="5B82511A"/>
    <w:rsid w:val="5B825C3B"/>
    <w:rsid w:val="5B825FFF"/>
    <w:rsid w:val="5B84051B"/>
    <w:rsid w:val="5B856DFB"/>
    <w:rsid w:val="5B8E08BA"/>
    <w:rsid w:val="5B8F6EDB"/>
    <w:rsid w:val="5B912DAD"/>
    <w:rsid w:val="5B922FCF"/>
    <w:rsid w:val="5B934E07"/>
    <w:rsid w:val="5B9518BB"/>
    <w:rsid w:val="5B96163C"/>
    <w:rsid w:val="5BA016AE"/>
    <w:rsid w:val="5BA028DA"/>
    <w:rsid w:val="5BA364E3"/>
    <w:rsid w:val="5BA8769F"/>
    <w:rsid w:val="5BA94D49"/>
    <w:rsid w:val="5BAC58FD"/>
    <w:rsid w:val="5BAD791A"/>
    <w:rsid w:val="5BAD7BC4"/>
    <w:rsid w:val="5BAE0CD2"/>
    <w:rsid w:val="5BB2695F"/>
    <w:rsid w:val="5BB31288"/>
    <w:rsid w:val="5BB57FC4"/>
    <w:rsid w:val="5BB861B5"/>
    <w:rsid w:val="5BBC6F6C"/>
    <w:rsid w:val="5BBD28B5"/>
    <w:rsid w:val="5BBF08DD"/>
    <w:rsid w:val="5BC00E43"/>
    <w:rsid w:val="5BC079F3"/>
    <w:rsid w:val="5BC10A5A"/>
    <w:rsid w:val="5BC443D3"/>
    <w:rsid w:val="5BC472D0"/>
    <w:rsid w:val="5BC56E39"/>
    <w:rsid w:val="5BC6313A"/>
    <w:rsid w:val="5BC634CC"/>
    <w:rsid w:val="5BCA19D5"/>
    <w:rsid w:val="5BCD7492"/>
    <w:rsid w:val="5BCF1086"/>
    <w:rsid w:val="5BD07AE1"/>
    <w:rsid w:val="5BD336E4"/>
    <w:rsid w:val="5BD3501A"/>
    <w:rsid w:val="5BD4357B"/>
    <w:rsid w:val="5BD51BEA"/>
    <w:rsid w:val="5BD55255"/>
    <w:rsid w:val="5BD56355"/>
    <w:rsid w:val="5BD57746"/>
    <w:rsid w:val="5BD777D9"/>
    <w:rsid w:val="5BDA581C"/>
    <w:rsid w:val="5BDC0135"/>
    <w:rsid w:val="5BDE1FE3"/>
    <w:rsid w:val="5BDE29D6"/>
    <w:rsid w:val="5BDF5AE0"/>
    <w:rsid w:val="5BE03923"/>
    <w:rsid w:val="5BE16FF9"/>
    <w:rsid w:val="5BE417C4"/>
    <w:rsid w:val="5BEC54A1"/>
    <w:rsid w:val="5BED3C02"/>
    <w:rsid w:val="5BEE1B33"/>
    <w:rsid w:val="5BEF7D40"/>
    <w:rsid w:val="5BF17CB4"/>
    <w:rsid w:val="5BF21259"/>
    <w:rsid w:val="5BF47C28"/>
    <w:rsid w:val="5BF700D7"/>
    <w:rsid w:val="5BF90958"/>
    <w:rsid w:val="5BF91841"/>
    <w:rsid w:val="5BFC7055"/>
    <w:rsid w:val="5C00230A"/>
    <w:rsid w:val="5C012E89"/>
    <w:rsid w:val="5C01333C"/>
    <w:rsid w:val="5C047095"/>
    <w:rsid w:val="5C0838A4"/>
    <w:rsid w:val="5C0D55E1"/>
    <w:rsid w:val="5C103290"/>
    <w:rsid w:val="5C1109DE"/>
    <w:rsid w:val="5C123B5C"/>
    <w:rsid w:val="5C1271C4"/>
    <w:rsid w:val="5C1362C4"/>
    <w:rsid w:val="5C137D0C"/>
    <w:rsid w:val="5C157C76"/>
    <w:rsid w:val="5C166CD7"/>
    <w:rsid w:val="5C1E2002"/>
    <w:rsid w:val="5C1E200D"/>
    <w:rsid w:val="5C1F0DD9"/>
    <w:rsid w:val="5C1F5015"/>
    <w:rsid w:val="5C227284"/>
    <w:rsid w:val="5C2615A9"/>
    <w:rsid w:val="5C272C70"/>
    <w:rsid w:val="5C28605D"/>
    <w:rsid w:val="5C2C124B"/>
    <w:rsid w:val="5C2E2F6B"/>
    <w:rsid w:val="5C320412"/>
    <w:rsid w:val="5C337866"/>
    <w:rsid w:val="5C346071"/>
    <w:rsid w:val="5C38593F"/>
    <w:rsid w:val="5C3927C9"/>
    <w:rsid w:val="5C3A35F0"/>
    <w:rsid w:val="5C3D0E80"/>
    <w:rsid w:val="5C3D23CB"/>
    <w:rsid w:val="5C3F59E6"/>
    <w:rsid w:val="5C407854"/>
    <w:rsid w:val="5C41671C"/>
    <w:rsid w:val="5C430C22"/>
    <w:rsid w:val="5C4557EC"/>
    <w:rsid w:val="5C467983"/>
    <w:rsid w:val="5C4943A0"/>
    <w:rsid w:val="5C497226"/>
    <w:rsid w:val="5C4A4E35"/>
    <w:rsid w:val="5C4C0928"/>
    <w:rsid w:val="5C4F0020"/>
    <w:rsid w:val="5C5025CA"/>
    <w:rsid w:val="5C517399"/>
    <w:rsid w:val="5C527A52"/>
    <w:rsid w:val="5C536E86"/>
    <w:rsid w:val="5C5510C9"/>
    <w:rsid w:val="5C5725D5"/>
    <w:rsid w:val="5C5B7D35"/>
    <w:rsid w:val="5C5C21A6"/>
    <w:rsid w:val="5C5C5D35"/>
    <w:rsid w:val="5C5F2582"/>
    <w:rsid w:val="5C5F3809"/>
    <w:rsid w:val="5C600CF4"/>
    <w:rsid w:val="5C6100BD"/>
    <w:rsid w:val="5C62185E"/>
    <w:rsid w:val="5C68466A"/>
    <w:rsid w:val="5C6A5252"/>
    <w:rsid w:val="5C6C1FE2"/>
    <w:rsid w:val="5C6F7FF9"/>
    <w:rsid w:val="5C714555"/>
    <w:rsid w:val="5C720A8A"/>
    <w:rsid w:val="5C730765"/>
    <w:rsid w:val="5C7347DE"/>
    <w:rsid w:val="5C735EB5"/>
    <w:rsid w:val="5C741C2D"/>
    <w:rsid w:val="5C755530"/>
    <w:rsid w:val="5C78461E"/>
    <w:rsid w:val="5C7B0666"/>
    <w:rsid w:val="5C7B2939"/>
    <w:rsid w:val="5C7C1214"/>
    <w:rsid w:val="5C7E485A"/>
    <w:rsid w:val="5C7F5B09"/>
    <w:rsid w:val="5C85709B"/>
    <w:rsid w:val="5C870F0E"/>
    <w:rsid w:val="5C8C5FE2"/>
    <w:rsid w:val="5C8D529F"/>
    <w:rsid w:val="5C906C30"/>
    <w:rsid w:val="5C914876"/>
    <w:rsid w:val="5C920D2F"/>
    <w:rsid w:val="5C943929"/>
    <w:rsid w:val="5C951E56"/>
    <w:rsid w:val="5C985375"/>
    <w:rsid w:val="5C9952FD"/>
    <w:rsid w:val="5C9E288B"/>
    <w:rsid w:val="5CA00C74"/>
    <w:rsid w:val="5CA21A54"/>
    <w:rsid w:val="5CA6278E"/>
    <w:rsid w:val="5CA72B2D"/>
    <w:rsid w:val="5CAA65FD"/>
    <w:rsid w:val="5CAB1461"/>
    <w:rsid w:val="5CAF61A0"/>
    <w:rsid w:val="5CB1046A"/>
    <w:rsid w:val="5CB918F6"/>
    <w:rsid w:val="5CBA39BB"/>
    <w:rsid w:val="5CBA46C4"/>
    <w:rsid w:val="5CBA7F88"/>
    <w:rsid w:val="5CBB3C5F"/>
    <w:rsid w:val="5CBC6962"/>
    <w:rsid w:val="5CC04E72"/>
    <w:rsid w:val="5CC15B2C"/>
    <w:rsid w:val="5CC26546"/>
    <w:rsid w:val="5CC52450"/>
    <w:rsid w:val="5CC632CD"/>
    <w:rsid w:val="5CC95629"/>
    <w:rsid w:val="5CCE3AD4"/>
    <w:rsid w:val="5CCE7F4F"/>
    <w:rsid w:val="5CD132CD"/>
    <w:rsid w:val="5CD37BD5"/>
    <w:rsid w:val="5CD66C9C"/>
    <w:rsid w:val="5CD74554"/>
    <w:rsid w:val="5CD86660"/>
    <w:rsid w:val="5CD96F4B"/>
    <w:rsid w:val="5CD97AA1"/>
    <w:rsid w:val="5CDA1370"/>
    <w:rsid w:val="5CDE5E93"/>
    <w:rsid w:val="5CE312A0"/>
    <w:rsid w:val="5CE50020"/>
    <w:rsid w:val="5CE551E8"/>
    <w:rsid w:val="5CE5710F"/>
    <w:rsid w:val="5CE744E1"/>
    <w:rsid w:val="5CE8169A"/>
    <w:rsid w:val="5CEA05B3"/>
    <w:rsid w:val="5CEC4D8D"/>
    <w:rsid w:val="5CEE1E01"/>
    <w:rsid w:val="5CEF5BFB"/>
    <w:rsid w:val="5CF026B5"/>
    <w:rsid w:val="5CF039A9"/>
    <w:rsid w:val="5CF133D0"/>
    <w:rsid w:val="5CF97EA2"/>
    <w:rsid w:val="5CFB21CA"/>
    <w:rsid w:val="5CFD7E74"/>
    <w:rsid w:val="5CFF0310"/>
    <w:rsid w:val="5D0175DE"/>
    <w:rsid w:val="5D0313A1"/>
    <w:rsid w:val="5D0349C8"/>
    <w:rsid w:val="5D037FF4"/>
    <w:rsid w:val="5D066D29"/>
    <w:rsid w:val="5D071883"/>
    <w:rsid w:val="5D0723C2"/>
    <w:rsid w:val="5D095ADD"/>
    <w:rsid w:val="5D0A35C8"/>
    <w:rsid w:val="5D1008A9"/>
    <w:rsid w:val="5D10559C"/>
    <w:rsid w:val="5D152EF2"/>
    <w:rsid w:val="5D156F6C"/>
    <w:rsid w:val="5D16031A"/>
    <w:rsid w:val="5D173452"/>
    <w:rsid w:val="5D1844E0"/>
    <w:rsid w:val="5D192F00"/>
    <w:rsid w:val="5D1D3AF5"/>
    <w:rsid w:val="5D235B2D"/>
    <w:rsid w:val="5D24024D"/>
    <w:rsid w:val="5D2562C5"/>
    <w:rsid w:val="5D275E83"/>
    <w:rsid w:val="5D291C7A"/>
    <w:rsid w:val="5D2A0517"/>
    <w:rsid w:val="5D305621"/>
    <w:rsid w:val="5D31769B"/>
    <w:rsid w:val="5D327E32"/>
    <w:rsid w:val="5D330AB6"/>
    <w:rsid w:val="5D36471C"/>
    <w:rsid w:val="5D384982"/>
    <w:rsid w:val="5D385C60"/>
    <w:rsid w:val="5D3A5069"/>
    <w:rsid w:val="5D3B7A98"/>
    <w:rsid w:val="5D3C099D"/>
    <w:rsid w:val="5D3E2E01"/>
    <w:rsid w:val="5D3F04EC"/>
    <w:rsid w:val="5D434AAD"/>
    <w:rsid w:val="5D445AA3"/>
    <w:rsid w:val="5D4646A8"/>
    <w:rsid w:val="5D495077"/>
    <w:rsid w:val="5D4B103D"/>
    <w:rsid w:val="5D4C5C95"/>
    <w:rsid w:val="5D4D68F3"/>
    <w:rsid w:val="5D4F2855"/>
    <w:rsid w:val="5D540041"/>
    <w:rsid w:val="5D572CD1"/>
    <w:rsid w:val="5D581B23"/>
    <w:rsid w:val="5D59449F"/>
    <w:rsid w:val="5D596555"/>
    <w:rsid w:val="5D5D3436"/>
    <w:rsid w:val="5D5F468B"/>
    <w:rsid w:val="5D600ADC"/>
    <w:rsid w:val="5D643ED9"/>
    <w:rsid w:val="5D645AAE"/>
    <w:rsid w:val="5D67030F"/>
    <w:rsid w:val="5D683878"/>
    <w:rsid w:val="5D6A2E9E"/>
    <w:rsid w:val="5D735C71"/>
    <w:rsid w:val="5D737467"/>
    <w:rsid w:val="5D737DB7"/>
    <w:rsid w:val="5D7723C3"/>
    <w:rsid w:val="5D7D3901"/>
    <w:rsid w:val="5D7E68DA"/>
    <w:rsid w:val="5D7E7207"/>
    <w:rsid w:val="5D7F435F"/>
    <w:rsid w:val="5D815248"/>
    <w:rsid w:val="5D83481E"/>
    <w:rsid w:val="5D840B39"/>
    <w:rsid w:val="5D844554"/>
    <w:rsid w:val="5D856B02"/>
    <w:rsid w:val="5D8660BC"/>
    <w:rsid w:val="5D8A435B"/>
    <w:rsid w:val="5D8C06A4"/>
    <w:rsid w:val="5D8F19FB"/>
    <w:rsid w:val="5D903694"/>
    <w:rsid w:val="5D916F3A"/>
    <w:rsid w:val="5D9200D4"/>
    <w:rsid w:val="5D943F19"/>
    <w:rsid w:val="5D9442CB"/>
    <w:rsid w:val="5D9676A8"/>
    <w:rsid w:val="5D997B9D"/>
    <w:rsid w:val="5D9B17D8"/>
    <w:rsid w:val="5D9C143B"/>
    <w:rsid w:val="5DA26AD8"/>
    <w:rsid w:val="5DAA1A87"/>
    <w:rsid w:val="5DAA2979"/>
    <w:rsid w:val="5DAB0EFD"/>
    <w:rsid w:val="5DAB1991"/>
    <w:rsid w:val="5DAB3448"/>
    <w:rsid w:val="5DAB709F"/>
    <w:rsid w:val="5DAB78D0"/>
    <w:rsid w:val="5DAC1F98"/>
    <w:rsid w:val="5DAD3E44"/>
    <w:rsid w:val="5DAF0AC8"/>
    <w:rsid w:val="5DB154A7"/>
    <w:rsid w:val="5DBA5E11"/>
    <w:rsid w:val="5DBD3A14"/>
    <w:rsid w:val="5DBE18B8"/>
    <w:rsid w:val="5DC012E2"/>
    <w:rsid w:val="5DC11F2F"/>
    <w:rsid w:val="5DC42893"/>
    <w:rsid w:val="5DC664B8"/>
    <w:rsid w:val="5DCA24B9"/>
    <w:rsid w:val="5DCD55D1"/>
    <w:rsid w:val="5DCE2141"/>
    <w:rsid w:val="5DCF4E90"/>
    <w:rsid w:val="5DCF5727"/>
    <w:rsid w:val="5DD166DF"/>
    <w:rsid w:val="5DD272E5"/>
    <w:rsid w:val="5DDA600C"/>
    <w:rsid w:val="5DDC7D59"/>
    <w:rsid w:val="5DE52DE2"/>
    <w:rsid w:val="5DE80890"/>
    <w:rsid w:val="5DE81E98"/>
    <w:rsid w:val="5DE9043D"/>
    <w:rsid w:val="5DE9371B"/>
    <w:rsid w:val="5DE94656"/>
    <w:rsid w:val="5DEA21A7"/>
    <w:rsid w:val="5DEB10F3"/>
    <w:rsid w:val="5DF16CC4"/>
    <w:rsid w:val="5DF57E6A"/>
    <w:rsid w:val="5DF6548A"/>
    <w:rsid w:val="5DF70F72"/>
    <w:rsid w:val="5DF8087E"/>
    <w:rsid w:val="5DF83520"/>
    <w:rsid w:val="5DFA7791"/>
    <w:rsid w:val="5DFB48D0"/>
    <w:rsid w:val="5E004DA4"/>
    <w:rsid w:val="5E00558D"/>
    <w:rsid w:val="5E015301"/>
    <w:rsid w:val="5E0153F5"/>
    <w:rsid w:val="5E02391A"/>
    <w:rsid w:val="5E04015E"/>
    <w:rsid w:val="5E0613AF"/>
    <w:rsid w:val="5E086CDD"/>
    <w:rsid w:val="5E0B048C"/>
    <w:rsid w:val="5E0B58C8"/>
    <w:rsid w:val="5E0D21B5"/>
    <w:rsid w:val="5E0F5A64"/>
    <w:rsid w:val="5E105508"/>
    <w:rsid w:val="5E110272"/>
    <w:rsid w:val="5E130E05"/>
    <w:rsid w:val="5E1311B0"/>
    <w:rsid w:val="5E180840"/>
    <w:rsid w:val="5E183FF7"/>
    <w:rsid w:val="5E1B16E8"/>
    <w:rsid w:val="5E1E4546"/>
    <w:rsid w:val="5E2023F9"/>
    <w:rsid w:val="5E206900"/>
    <w:rsid w:val="5E2142A2"/>
    <w:rsid w:val="5E254213"/>
    <w:rsid w:val="5E27164D"/>
    <w:rsid w:val="5E2722FF"/>
    <w:rsid w:val="5E281664"/>
    <w:rsid w:val="5E2B74B9"/>
    <w:rsid w:val="5E315976"/>
    <w:rsid w:val="5E34780F"/>
    <w:rsid w:val="5E3577AE"/>
    <w:rsid w:val="5E3C4ECD"/>
    <w:rsid w:val="5E3E2C02"/>
    <w:rsid w:val="5E3F0A60"/>
    <w:rsid w:val="5E406009"/>
    <w:rsid w:val="5E433929"/>
    <w:rsid w:val="5E447D75"/>
    <w:rsid w:val="5E4665A9"/>
    <w:rsid w:val="5E482B33"/>
    <w:rsid w:val="5E491B9C"/>
    <w:rsid w:val="5E4957DF"/>
    <w:rsid w:val="5E4A2E7C"/>
    <w:rsid w:val="5E4B4A92"/>
    <w:rsid w:val="5E4C10B3"/>
    <w:rsid w:val="5E4E5A28"/>
    <w:rsid w:val="5E4F04F6"/>
    <w:rsid w:val="5E506F75"/>
    <w:rsid w:val="5E520D95"/>
    <w:rsid w:val="5E524F38"/>
    <w:rsid w:val="5E530941"/>
    <w:rsid w:val="5E530D4C"/>
    <w:rsid w:val="5E57515E"/>
    <w:rsid w:val="5E587A58"/>
    <w:rsid w:val="5E597647"/>
    <w:rsid w:val="5E5B1CC9"/>
    <w:rsid w:val="5E5B2CD2"/>
    <w:rsid w:val="5E5B4E53"/>
    <w:rsid w:val="5E5C1C43"/>
    <w:rsid w:val="5E5C6463"/>
    <w:rsid w:val="5E5E2B95"/>
    <w:rsid w:val="5E5F7C5B"/>
    <w:rsid w:val="5E6028CD"/>
    <w:rsid w:val="5E6029DE"/>
    <w:rsid w:val="5E6A04E6"/>
    <w:rsid w:val="5E6C27DD"/>
    <w:rsid w:val="5E6D1432"/>
    <w:rsid w:val="5E6E4530"/>
    <w:rsid w:val="5E6F1760"/>
    <w:rsid w:val="5E6F714E"/>
    <w:rsid w:val="5E704539"/>
    <w:rsid w:val="5E73338A"/>
    <w:rsid w:val="5E757C37"/>
    <w:rsid w:val="5E767EDE"/>
    <w:rsid w:val="5E79352B"/>
    <w:rsid w:val="5E79627B"/>
    <w:rsid w:val="5E7D24C8"/>
    <w:rsid w:val="5E8048B9"/>
    <w:rsid w:val="5E805D4E"/>
    <w:rsid w:val="5E8651AD"/>
    <w:rsid w:val="5E8724A6"/>
    <w:rsid w:val="5E874EF1"/>
    <w:rsid w:val="5E884FBD"/>
    <w:rsid w:val="5E88582B"/>
    <w:rsid w:val="5E8D3037"/>
    <w:rsid w:val="5E8F7C3F"/>
    <w:rsid w:val="5E9009BF"/>
    <w:rsid w:val="5E9029A0"/>
    <w:rsid w:val="5E9141A3"/>
    <w:rsid w:val="5E943453"/>
    <w:rsid w:val="5E950AD8"/>
    <w:rsid w:val="5E9768D7"/>
    <w:rsid w:val="5E983BFB"/>
    <w:rsid w:val="5E9F3033"/>
    <w:rsid w:val="5EA04F5B"/>
    <w:rsid w:val="5EA0677E"/>
    <w:rsid w:val="5EA26C2B"/>
    <w:rsid w:val="5EA31778"/>
    <w:rsid w:val="5EA416F5"/>
    <w:rsid w:val="5EA42D09"/>
    <w:rsid w:val="5EA552AC"/>
    <w:rsid w:val="5EA73B89"/>
    <w:rsid w:val="5EA93DF5"/>
    <w:rsid w:val="5EAA2B99"/>
    <w:rsid w:val="5EAA3FCC"/>
    <w:rsid w:val="5EAF4658"/>
    <w:rsid w:val="5EB0005B"/>
    <w:rsid w:val="5EB07D14"/>
    <w:rsid w:val="5EB2240D"/>
    <w:rsid w:val="5EB24E8D"/>
    <w:rsid w:val="5EB41873"/>
    <w:rsid w:val="5EB54DAB"/>
    <w:rsid w:val="5EB838C8"/>
    <w:rsid w:val="5EBA4D07"/>
    <w:rsid w:val="5EBA7DC4"/>
    <w:rsid w:val="5EBD635A"/>
    <w:rsid w:val="5EBE6849"/>
    <w:rsid w:val="5EBF0E2D"/>
    <w:rsid w:val="5EBF5D45"/>
    <w:rsid w:val="5EC13DED"/>
    <w:rsid w:val="5EC155FD"/>
    <w:rsid w:val="5EC2345F"/>
    <w:rsid w:val="5EC50390"/>
    <w:rsid w:val="5EC5081D"/>
    <w:rsid w:val="5EC918DC"/>
    <w:rsid w:val="5ECF3DA7"/>
    <w:rsid w:val="5ED26D6D"/>
    <w:rsid w:val="5ED3427B"/>
    <w:rsid w:val="5ED5177F"/>
    <w:rsid w:val="5ED968DB"/>
    <w:rsid w:val="5EDC0152"/>
    <w:rsid w:val="5EE14252"/>
    <w:rsid w:val="5EE2658E"/>
    <w:rsid w:val="5EE27322"/>
    <w:rsid w:val="5EEA37C1"/>
    <w:rsid w:val="5EED0D2F"/>
    <w:rsid w:val="5EEE2A7E"/>
    <w:rsid w:val="5EEE6F3E"/>
    <w:rsid w:val="5EF15193"/>
    <w:rsid w:val="5EF44BD2"/>
    <w:rsid w:val="5EF47FE1"/>
    <w:rsid w:val="5EF96FA7"/>
    <w:rsid w:val="5EFA5A4B"/>
    <w:rsid w:val="5EFB03E4"/>
    <w:rsid w:val="5F001042"/>
    <w:rsid w:val="5F031D53"/>
    <w:rsid w:val="5F0367BA"/>
    <w:rsid w:val="5F061642"/>
    <w:rsid w:val="5F062F77"/>
    <w:rsid w:val="5F0903D6"/>
    <w:rsid w:val="5F090D52"/>
    <w:rsid w:val="5F096CC6"/>
    <w:rsid w:val="5F0C1C0E"/>
    <w:rsid w:val="5F0C7FE6"/>
    <w:rsid w:val="5F105390"/>
    <w:rsid w:val="5F192596"/>
    <w:rsid w:val="5F1A1670"/>
    <w:rsid w:val="5F1B2D0C"/>
    <w:rsid w:val="5F1C2D94"/>
    <w:rsid w:val="5F1D1D75"/>
    <w:rsid w:val="5F1E34C8"/>
    <w:rsid w:val="5F1F4736"/>
    <w:rsid w:val="5F2178E5"/>
    <w:rsid w:val="5F225970"/>
    <w:rsid w:val="5F23246C"/>
    <w:rsid w:val="5F25363F"/>
    <w:rsid w:val="5F284494"/>
    <w:rsid w:val="5F2846E2"/>
    <w:rsid w:val="5F28585D"/>
    <w:rsid w:val="5F2931A3"/>
    <w:rsid w:val="5F2A1C7D"/>
    <w:rsid w:val="5F2A36D7"/>
    <w:rsid w:val="5F2F6EED"/>
    <w:rsid w:val="5F313E05"/>
    <w:rsid w:val="5F3202A9"/>
    <w:rsid w:val="5F325C3D"/>
    <w:rsid w:val="5F3275C4"/>
    <w:rsid w:val="5F335F9E"/>
    <w:rsid w:val="5F3411DE"/>
    <w:rsid w:val="5F37747F"/>
    <w:rsid w:val="5F3913A5"/>
    <w:rsid w:val="5F3A0F0C"/>
    <w:rsid w:val="5F3A0FBF"/>
    <w:rsid w:val="5F3A103F"/>
    <w:rsid w:val="5F3E5A24"/>
    <w:rsid w:val="5F43214D"/>
    <w:rsid w:val="5F446B96"/>
    <w:rsid w:val="5F454B1B"/>
    <w:rsid w:val="5F4A5E02"/>
    <w:rsid w:val="5F4B67F8"/>
    <w:rsid w:val="5F4D46C1"/>
    <w:rsid w:val="5F4D6E91"/>
    <w:rsid w:val="5F5054A2"/>
    <w:rsid w:val="5F5076DA"/>
    <w:rsid w:val="5F5752B9"/>
    <w:rsid w:val="5F58061A"/>
    <w:rsid w:val="5F5930E0"/>
    <w:rsid w:val="5F5958B9"/>
    <w:rsid w:val="5F5976B6"/>
    <w:rsid w:val="5F5D57F5"/>
    <w:rsid w:val="5F5E5886"/>
    <w:rsid w:val="5F62398D"/>
    <w:rsid w:val="5F6260AF"/>
    <w:rsid w:val="5F697A43"/>
    <w:rsid w:val="5F6A5DCE"/>
    <w:rsid w:val="5F6C1E63"/>
    <w:rsid w:val="5F6D308F"/>
    <w:rsid w:val="5F6F0570"/>
    <w:rsid w:val="5F7214E7"/>
    <w:rsid w:val="5F745504"/>
    <w:rsid w:val="5F745FD4"/>
    <w:rsid w:val="5F746983"/>
    <w:rsid w:val="5F772396"/>
    <w:rsid w:val="5F773A19"/>
    <w:rsid w:val="5F781309"/>
    <w:rsid w:val="5F7B4E04"/>
    <w:rsid w:val="5F7F1015"/>
    <w:rsid w:val="5F801BD4"/>
    <w:rsid w:val="5F830A2C"/>
    <w:rsid w:val="5F835C4C"/>
    <w:rsid w:val="5F856466"/>
    <w:rsid w:val="5F860A9B"/>
    <w:rsid w:val="5F865E81"/>
    <w:rsid w:val="5F886144"/>
    <w:rsid w:val="5F8B458E"/>
    <w:rsid w:val="5F8E706F"/>
    <w:rsid w:val="5F8F1BC9"/>
    <w:rsid w:val="5F956391"/>
    <w:rsid w:val="5F957340"/>
    <w:rsid w:val="5F9D1716"/>
    <w:rsid w:val="5F9E7DC9"/>
    <w:rsid w:val="5F9F6031"/>
    <w:rsid w:val="5FA135C6"/>
    <w:rsid w:val="5FA15E47"/>
    <w:rsid w:val="5FA17AEB"/>
    <w:rsid w:val="5FA32F55"/>
    <w:rsid w:val="5FA647F3"/>
    <w:rsid w:val="5FA7613A"/>
    <w:rsid w:val="5FA90594"/>
    <w:rsid w:val="5FA9384D"/>
    <w:rsid w:val="5FB43246"/>
    <w:rsid w:val="5FB45E83"/>
    <w:rsid w:val="5FB640D5"/>
    <w:rsid w:val="5FB76C83"/>
    <w:rsid w:val="5FBF1563"/>
    <w:rsid w:val="5FBF43F1"/>
    <w:rsid w:val="5FC03B07"/>
    <w:rsid w:val="5FC23ECA"/>
    <w:rsid w:val="5FC24F86"/>
    <w:rsid w:val="5FC36536"/>
    <w:rsid w:val="5FC759EC"/>
    <w:rsid w:val="5FC91E3D"/>
    <w:rsid w:val="5FCA6FC2"/>
    <w:rsid w:val="5FCC76C4"/>
    <w:rsid w:val="5FCD617E"/>
    <w:rsid w:val="5FD27D80"/>
    <w:rsid w:val="5FD47AEA"/>
    <w:rsid w:val="5FD842FC"/>
    <w:rsid w:val="5FD90725"/>
    <w:rsid w:val="5FD910FB"/>
    <w:rsid w:val="5FD93FF4"/>
    <w:rsid w:val="5FDC3D2F"/>
    <w:rsid w:val="5FDE0E36"/>
    <w:rsid w:val="5FDE4D70"/>
    <w:rsid w:val="5FDE53D7"/>
    <w:rsid w:val="5FE25FB6"/>
    <w:rsid w:val="5FE266AC"/>
    <w:rsid w:val="5FE6150F"/>
    <w:rsid w:val="5FE66AF7"/>
    <w:rsid w:val="5FE7627B"/>
    <w:rsid w:val="5FE84E54"/>
    <w:rsid w:val="5FEB5D86"/>
    <w:rsid w:val="5FEB670C"/>
    <w:rsid w:val="5FEE1858"/>
    <w:rsid w:val="5FEE72BE"/>
    <w:rsid w:val="5FEF604D"/>
    <w:rsid w:val="5FF46A26"/>
    <w:rsid w:val="5FF546FB"/>
    <w:rsid w:val="5FF6120F"/>
    <w:rsid w:val="5FF67529"/>
    <w:rsid w:val="5FF82F72"/>
    <w:rsid w:val="5FF94923"/>
    <w:rsid w:val="5FF9722A"/>
    <w:rsid w:val="5FFC537D"/>
    <w:rsid w:val="5FFC54AE"/>
    <w:rsid w:val="5FFD55A9"/>
    <w:rsid w:val="5FFF567E"/>
    <w:rsid w:val="6005151A"/>
    <w:rsid w:val="60096557"/>
    <w:rsid w:val="600D730A"/>
    <w:rsid w:val="600E394B"/>
    <w:rsid w:val="600E590F"/>
    <w:rsid w:val="60106A70"/>
    <w:rsid w:val="60110FE2"/>
    <w:rsid w:val="60134574"/>
    <w:rsid w:val="6017124D"/>
    <w:rsid w:val="60171B37"/>
    <w:rsid w:val="60185C0E"/>
    <w:rsid w:val="601927FD"/>
    <w:rsid w:val="60192A34"/>
    <w:rsid w:val="601E08CB"/>
    <w:rsid w:val="601E4438"/>
    <w:rsid w:val="601F3433"/>
    <w:rsid w:val="6020331B"/>
    <w:rsid w:val="602313F2"/>
    <w:rsid w:val="60240587"/>
    <w:rsid w:val="60245FAD"/>
    <w:rsid w:val="6025396A"/>
    <w:rsid w:val="6028345A"/>
    <w:rsid w:val="602945AE"/>
    <w:rsid w:val="60294717"/>
    <w:rsid w:val="602A2849"/>
    <w:rsid w:val="602A77F2"/>
    <w:rsid w:val="602B4484"/>
    <w:rsid w:val="602B48FB"/>
    <w:rsid w:val="602B525B"/>
    <w:rsid w:val="602E65B5"/>
    <w:rsid w:val="602F0BAA"/>
    <w:rsid w:val="603039BA"/>
    <w:rsid w:val="6030702D"/>
    <w:rsid w:val="60323529"/>
    <w:rsid w:val="603451D7"/>
    <w:rsid w:val="60356F74"/>
    <w:rsid w:val="60366852"/>
    <w:rsid w:val="60386946"/>
    <w:rsid w:val="60387D15"/>
    <w:rsid w:val="603D46E7"/>
    <w:rsid w:val="603E152E"/>
    <w:rsid w:val="603E4A2C"/>
    <w:rsid w:val="603E705D"/>
    <w:rsid w:val="604253E1"/>
    <w:rsid w:val="60435C0A"/>
    <w:rsid w:val="60491880"/>
    <w:rsid w:val="60494B5A"/>
    <w:rsid w:val="604E7697"/>
    <w:rsid w:val="60536911"/>
    <w:rsid w:val="60546C4D"/>
    <w:rsid w:val="60547EA2"/>
    <w:rsid w:val="605674B6"/>
    <w:rsid w:val="60571B80"/>
    <w:rsid w:val="60574429"/>
    <w:rsid w:val="6059007A"/>
    <w:rsid w:val="60591866"/>
    <w:rsid w:val="605A0CF3"/>
    <w:rsid w:val="605B6C7D"/>
    <w:rsid w:val="605C1E93"/>
    <w:rsid w:val="605D2375"/>
    <w:rsid w:val="605D4568"/>
    <w:rsid w:val="605F4C17"/>
    <w:rsid w:val="60616B7E"/>
    <w:rsid w:val="60645515"/>
    <w:rsid w:val="6065350E"/>
    <w:rsid w:val="60656CCD"/>
    <w:rsid w:val="606A2BC7"/>
    <w:rsid w:val="606A4C0C"/>
    <w:rsid w:val="606C79D7"/>
    <w:rsid w:val="606F5438"/>
    <w:rsid w:val="606F5582"/>
    <w:rsid w:val="60700D91"/>
    <w:rsid w:val="60703EBB"/>
    <w:rsid w:val="60705FA0"/>
    <w:rsid w:val="60723D33"/>
    <w:rsid w:val="607535C7"/>
    <w:rsid w:val="60754CB3"/>
    <w:rsid w:val="60783430"/>
    <w:rsid w:val="6078666F"/>
    <w:rsid w:val="60793420"/>
    <w:rsid w:val="607958AA"/>
    <w:rsid w:val="60796C88"/>
    <w:rsid w:val="607A682B"/>
    <w:rsid w:val="607D2E10"/>
    <w:rsid w:val="607D78CB"/>
    <w:rsid w:val="607E160C"/>
    <w:rsid w:val="607E790A"/>
    <w:rsid w:val="60805044"/>
    <w:rsid w:val="60806DF2"/>
    <w:rsid w:val="608171BB"/>
    <w:rsid w:val="60847D90"/>
    <w:rsid w:val="6085711B"/>
    <w:rsid w:val="60877A6B"/>
    <w:rsid w:val="608B35E4"/>
    <w:rsid w:val="60923B0B"/>
    <w:rsid w:val="609447D7"/>
    <w:rsid w:val="60946895"/>
    <w:rsid w:val="60964EAA"/>
    <w:rsid w:val="60966433"/>
    <w:rsid w:val="60973061"/>
    <w:rsid w:val="609A690A"/>
    <w:rsid w:val="609B2909"/>
    <w:rsid w:val="609E371C"/>
    <w:rsid w:val="60A02235"/>
    <w:rsid w:val="60A36EC0"/>
    <w:rsid w:val="60A426D1"/>
    <w:rsid w:val="60A829F3"/>
    <w:rsid w:val="60AA735C"/>
    <w:rsid w:val="60AE1200"/>
    <w:rsid w:val="60AF7689"/>
    <w:rsid w:val="60B14B5D"/>
    <w:rsid w:val="60B4226A"/>
    <w:rsid w:val="60BC2879"/>
    <w:rsid w:val="60BC5736"/>
    <w:rsid w:val="60BD5D2A"/>
    <w:rsid w:val="60BE3266"/>
    <w:rsid w:val="60BE392E"/>
    <w:rsid w:val="60BE59A6"/>
    <w:rsid w:val="60C145C5"/>
    <w:rsid w:val="60C56EFB"/>
    <w:rsid w:val="60C93BEA"/>
    <w:rsid w:val="60C94DE5"/>
    <w:rsid w:val="60CB2055"/>
    <w:rsid w:val="60CB39B8"/>
    <w:rsid w:val="60CB70A9"/>
    <w:rsid w:val="60CD68C0"/>
    <w:rsid w:val="60D1764E"/>
    <w:rsid w:val="60D26DBF"/>
    <w:rsid w:val="60D55431"/>
    <w:rsid w:val="60D64C64"/>
    <w:rsid w:val="60D66826"/>
    <w:rsid w:val="60D800D9"/>
    <w:rsid w:val="60D80917"/>
    <w:rsid w:val="60DE23AD"/>
    <w:rsid w:val="60DE5DF4"/>
    <w:rsid w:val="60E012CB"/>
    <w:rsid w:val="60E03AAA"/>
    <w:rsid w:val="60E17A17"/>
    <w:rsid w:val="60E26DAD"/>
    <w:rsid w:val="60E362CF"/>
    <w:rsid w:val="60E51CD7"/>
    <w:rsid w:val="60E530F9"/>
    <w:rsid w:val="60E84E63"/>
    <w:rsid w:val="60EA042D"/>
    <w:rsid w:val="60EB69F2"/>
    <w:rsid w:val="60EC46A8"/>
    <w:rsid w:val="60ED482E"/>
    <w:rsid w:val="60EE029A"/>
    <w:rsid w:val="60EE1D48"/>
    <w:rsid w:val="60EF3E4C"/>
    <w:rsid w:val="60F27F20"/>
    <w:rsid w:val="60F3009D"/>
    <w:rsid w:val="60F43501"/>
    <w:rsid w:val="60F47CB9"/>
    <w:rsid w:val="60F55697"/>
    <w:rsid w:val="60F652FE"/>
    <w:rsid w:val="60F751CC"/>
    <w:rsid w:val="60F7743E"/>
    <w:rsid w:val="60F872D1"/>
    <w:rsid w:val="60F95EBB"/>
    <w:rsid w:val="60FA3725"/>
    <w:rsid w:val="60FC09B2"/>
    <w:rsid w:val="60FE5728"/>
    <w:rsid w:val="60FF1462"/>
    <w:rsid w:val="61000140"/>
    <w:rsid w:val="61041C9E"/>
    <w:rsid w:val="61055846"/>
    <w:rsid w:val="61075CCF"/>
    <w:rsid w:val="610907B8"/>
    <w:rsid w:val="610A1F38"/>
    <w:rsid w:val="610D24B8"/>
    <w:rsid w:val="610E08A2"/>
    <w:rsid w:val="611063C8"/>
    <w:rsid w:val="61157E86"/>
    <w:rsid w:val="61163473"/>
    <w:rsid w:val="61247089"/>
    <w:rsid w:val="612541DB"/>
    <w:rsid w:val="61263081"/>
    <w:rsid w:val="61264993"/>
    <w:rsid w:val="612866DD"/>
    <w:rsid w:val="612C3281"/>
    <w:rsid w:val="612C5DFA"/>
    <w:rsid w:val="61306A6A"/>
    <w:rsid w:val="61311274"/>
    <w:rsid w:val="613441BC"/>
    <w:rsid w:val="61383DEE"/>
    <w:rsid w:val="613B0F6B"/>
    <w:rsid w:val="613D26FA"/>
    <w:rsid w:val="61404335"/>
    <w:rsid w:val="61471027"/>
    <w:rsid w:val="61486C50"/>
    <w:rsid w:val="614A068A"/>
    <w:rsid w:val="614B6E68"/>
    <w:rsid w:val="6150369A"/>
    <w:rsid w:val="61507385"/>
    <w:rsid w:val="61524A95"/>
    <w:rsid w:val="61537E80"/>
    <w:rsid w:val="61552B6B"/>
    <w:rsid w:val="61571624"/>
    <w:rsid w:val="61581339"/>
    <w:rsid w:val="615822C8"/>
    <w:rsid w:val="61582F86"/>
    <w:rsid w:val="615901E6"/>
    <w:rsid w:val="615A0575"/>
    <w:rsid w:val="615D0E5C"/>
    <w:rsid w:val="615D4384"/>
    <w:rsid w:val="615D4DE7"/>
    <w:rsid w:val="61600751"/>
    <w:rsid w:val="61616C24"/>
    <w:rsid w:val="6161785A"/>
    <w:rsid w:val="6167503B"/>
    <w:rsid w:val="616E1519"/>
    <w:rsid w:val="616E222B"/>
    <w:rsid w:val="616E787A"/>
    <w:rsid w:val="616F62E4"/>
    <w:rsid w:val="616F78FC"/>
    <w:rsid w:val="61720A34"/>
    <w:rsid w:val="61725689"/>
    <w:rsid w:val="6174106A"/>
    <w:rsid w:val="61743E5B"/>
    <w:rsid w:val="61756C2D"/>
    <w:rsid w:val="617B5B85"/>
    <w:rsid w:val="617C609A"/>
    <w:rsid w:val="617D3F6E"/>
    <w:rsid w:val="6180113F"/>
    <w:rsid w:val="61843B36"/>
    <w:rsid w:val="61854A5D"/>
    <w:rsid w:val="61895575"/>
    <w:rsid w:val="618B6398"/>
    <w:rsid w:val="618C51AB"/>
    <w:rsid w:val="61922D16"/>
    <w:rsid w:val="61943E75"/>
    <w:rsid w:val="61991DAA"/>
    <w:rsid w:val="619A2136"/>
    <w:rsid w:val="619C3477"/>
    <w:rsid w:val="619C563E"/>
    <w:rsid w:val="619D39D4"/>
    <w:rsid w:val="619F37E5"/>
    <w:rsid w:val="61A107F5"/>
    <w:rsid w:val="61A16EDD"/>
    <w:rsid w:val="61A36346"/>
    <w:rsid w:val="61A403AF"/>
    <w:rsid w:val="61A920E9"/>
    <w:rsid w:val="61AA31EF"/>
    <w:rsid w:val="61AA68C1"/>
    <w:rsid w:val="61AB2557"/>
    <w:rsid w:val="61AE0451"/>
    <w:rsid w:val="61AE3650"/>
    <w:rsid w:val="61AE740E"/>
    <w:rsid w:val="61AF089F"/>
    <w:rsid w:val="61B07526"/>
    <w:rsid w:val="61B11577"/>
    <w:rsid w:val="61B1451C"/>
    <w:rsid w:val="61B4201A"/>
    <w:rsid w:val="61B50D1E"/>
    <w:rsid w:val="61B57C5B"/>
    <w:rsid w:val="61B65912"/>
    <w:rsid w:val="61BB4A01"/>
    <w:rsid w:val="61BB760E"/>
    <w:rsid w:val="61BC02FE"/>
    <w:rsid w:val="61BD3D66"/>
    <w:rsid w:val="61BF1B9C"/>
    <w:rsid w:val="61C23CD7"/>
    <w:rsid w:val="61C23F7A"/>
    <w:rsid w:val="61C70352"/>
    <w:rsid w:val="61C82A59"/>
    <w:rsid w:val="61C86D86"/>
    <w:rsid w:val="61C9358C"/>
    <w:rsid w:val="61C94A42"/>
    <w:rsid w:val="61C97197"/>
    <w:rsid w:val="61CC0587"/>
    <w:rsid w:val="61CE3B8D"/>
    <w:rsid w:val="61CF3482"/>
    <w:rsid w:val="61D17CE7"/>
    <w:rsid w:val="61D22599"/>
    <w:rsid w:val="61D36758"/>
    <w:rsid w:val="61D45A67"/>
    <w:rsid w:val="61D94CB7"/>
    <w:rsid w:val="61DA552F"/>
    <w:rsid w:val="61DC7100"/>
    <w:rsid w:val="61E136A3"/>
    <w:rsid w:val="61E17D65"/>
    <w:rsid w:val="61E261FD"/>
    <w:rsid w:val="61E55A53"/>
    <w:rsid w:val="61E63537"/>
    <w:rsid w:val="61EA2F91"/>
    <w:rsid w:val="61EA72B0"/>
    <w:rsid w:val="61EB4B6B"/>
    <w:rsid w:val="61EB5EBA"/>
    <w:rsid w:val="61EB7279"/>
    <w:rsid w:val="61ED0206"/>
    <w:rsid w:val="61EE7AFA"/>
    <w:rsid w:val="61F300C4"/>
    <w:rsid w:val="61F41846"/>
    <w:rsid w:val="61F527E6"/>
    <w:rsid w:val="61F770B0"/>
    <w:rsid w:val="61F90C88"/>
    <w:rsid w:val="61FA7402"/>
    <w:rsid w:val="61FB08DA"/>
    <w:rsid w:val="61FB6B75"/>
    <w:rsid w:val="61FB74FC"/>
    <w:rsid w:val="61FC4CAF"/>
    <w:rsid w:val="61FC6549"/>
    <w:rsid w:val="61FD0DFE"/>
    <w:rsid w:val="61FE660B"/>
    <w:rsid w:val="6200468F"/>
    <w:rsid w:val="6200643D"/>
    <w:rsid w:val="6202036F"/>
    <w:rsid w:val="620266BC"/>
    <w:rsid w:val="62033EB2"/>
    <w:rsid w:val="62044598"/>
    <w:rsid w:val="62060110"/>
    <w:rsid w:val="62066F53"/>
    <w:rsid w:val="62087542"/>
    <w:rsid w:val="620905EA"/>
    <w:rsid w:val="620C545B"/>
    <w:rsid w:val="620D1ECE"/>
    <w:rsid w:val="620E56B4"/>
    <w:rsid w:val="620E5D51"/>
    <w:rsid w:val="620F12D2"/>
    <w:rsid w:val="62105E36"/>
    <w:rsid w:val="621168ED"/>
    <w:rsid w:val="621431C6"/>
    <w:rsid w:val="621750B6"/>
    <w:rsid w:val="621975AC"/>
    <w:rsid w:val="621B0F19"/>
    <w:rsid w:val="62204984"/>
    <w:rsid w:val="62267617"/>
    <w:rsid w:val="622814F0"/>
    <w:rsid w:val="62282B6C"/>
    <w:rsid w:val="622874D4"/>
    <w:rsid w:val="622B5A72"/>
    <w:rsid w:val="622D2089"/>
    <w:rsid w:val="622E048E"/>
    <w:rsid w:val="62304F70"/>
    <w:rsid w:val="62331F7E"/>
    <w:rsid w:val="623473F3"/>
    <w:rsid w:val="623A1223"/>
    <w:rsid w:val="623D68BD"/>
    <w:rsid w:val="623D7CF2"/>
    <w:rsid w:val="623E30BC"/>
    <w:rsid w:val="624028B4"/>
    <w:rsid w:val="624125B1"/>
    <w:rsid w:val="62424323"/>
    <w:rsid w:val="624259F0"/>
    <w:rsid w:val="62432CA9"/>
    <w:rsid w:val="62446F9B"/>
    <w:rsid w:val="624571F1"/>
    <w:rsid w:val="62496CF7"/>
    <w:rsid w:val="624A47EB"/>
    <w:rsid w:val="624D2976"/>
    <w:rsid w:val="624F22F0"/>
    <w:rsid w:val="62526C56"/>
    <w:rsid w:val="6253032D"/>
    <w:rsid w:val="62543811"/>
    <w:rsid w:val="62550A6C"/>
    <w:rsid w:val="62556150"/>
    <w:rsid w:val="62566553"/>
    <w:rsid w:val="62581F53"/>
    <w:rsid w:val="625B1092"/>
    <w:rsid w:val="625C02D3"/>
    <w:rsid w:val="62617BB5"/>
    <w:rsid w:val="626505B3"/>
    <w:rsid w:val="62664423"/>
    <w:rsid w:val="62677537"/>
    <w:rsid w:val="6268036B"/>
    <w:rsid w:val="62683D9E"/>
    <w:rsid w:val="6268727A"/>
    <w:rsid w:val="62696635"/>
    <w:rsid w:val="626B6D78"/>
    <w:rsid w:val="626D7324"/>
    <w:rsid w:val="626E6958"/>
    <w:rsid w:val="627418BB"/>
    <w:rsid w:val="62747E65"/>
    <w:rsid w:val="62786079"/>
    <w:rsid w:val="627B3D15"/>
    <w:rsid w:val="627C386B"/>
    <w:rsid w:val="627E51F6"/>
    <w:rsid w:val="62807710"/>
    <w:rsid w:val="62815BEE"/>
    <w:rsid w:val="628479A3"/>
    <w:rsid w:val="62854CB0"/>
    <w:rsid w:val="62871BA3"/>
    <w:rsid w:val="628841B8"/>
    <w:rsid w:val="62886665"/>
    <w:rsid w:val="628937D6"/>
    <w:rsid w:val="628967B2"/>
    <w:rsid w:val="62912ED1"/>
    <w:rsid w:val="62921AC7"/>
    <w:rsid w:val="62924DF1"/>
    <w:rsid w:val="62942157"/>
    <w:rsid w:val="6294412B"/>
    <w:rsid w:val="629745D0"/>
    <w:rsid w:val="629B6165"/>
    <w:rsid w:val="629B6CDC"/>
    <w:rsid w:val="629C2DBD"/>
    <w:rsid w:val="629E7AD7"/>
    <w:rsid w:val="62A052CE"/>
    <w:rsid w:val="62A16831"/>
    <w:rsid w:val="62A27200"/>
    <w:rsid w:val="62A43941"/>
    <w:rsid w:val="62A50D33"/>
    <w:rsid w:val="62A55431"/>
    <w:rsid w:val="62AA0FF0"/>
    <w:rsid w:val="62AE0BF3"/>
    <w:rsid w:val="62B37B50"/>
    <w:rsid w:val="62B757FA"/>
    <w:rsid w:val="62B75E23"/>
    <w:rsid w:val="62B969BB"/>
    <w:rsid w:val="62BB48C4"/>
    <w:rsid w:val="62BC7E8A"/>
    <w:rsid w:val="62BD1F84"/>
    <w:rsid w:val="62BE5DFA"/>
    <w:rsid w:val="62C01D67"/>
    <w:rsid w:val="62C22BB8"/>
    <w:rsid w:val="62C65578"/>
    <w:rsid w:val="62C671C4"/>
    <w:rsid w:val="62C93F87"/>
    <w:rsid w:val="62CA588B"/>
    <w:rsid w:val="62CA741B"/>
    <w:rsid w:val="62CF20A1"/>
    <w:rsid w:val="62D51727"/>
    <w:rsid w:val="62D81AD4"/>
    <w:rsid w:val="62D93388"/>
    <w:rsid w:val="62D935AC"/>
    <w:rsid w:val="62DB7923"/>
    <w:rsid w:val="62DF1B70"/>
    <w:rsid w:val="62E47BC9"/>
    <w:rsid w:val="62E5763C"/>
    <w:rsid w:val="62E925DF"/>
    <w:rsid w:val="62ED3838"/>
    <w:rsid w:val="62EE4129"/>
    <w:rsid w:val="62EE7230"/>
    <w:rsid w:val="62EF437B"/>
    <w:rsid w:val="62F41CC2"/>
    <w:rsid w:val="62F971EE"/>
    <w:rsid w:val="62FA001A"/>
    <w:rsid w:val="62FA029B"/>
    <w:rsid w:val="62FC1F47"/>
    <w:rsid w:val="62FC7275"/>
    <w:rsid w:val="62FD4FFB"/>
    <w:rsid w:val="62FE4435"/>
    <w:rsid w:val="63010535"/>
    <w:rsid w:val="63012426"/>
    <w:rsid w:val="630261E5"/>
    <w:rsid w:val="63031603"/>
    <w:rsid w:val="63041B2C"/>
    <w:rsid w:val="6304426E"/>
    <w:rsid w:val="63077937"/>
    <w:rsid w:val="63087939"/>
    <w:rsid w:val="630913C8"/>
    <w:rsid w:val="630A03A1"/>
    <w:rsid w:val="630B6BD4"/>
    <w:rsid w:val="630F6C7C"/>
    <w:rsid w:val="63154618"/>
    <w:rsid w:val="631831EE"/>
    <w:rsid w:val="631C3E5D"/>
    <w:rsid w:val="632301F5"/>
    <w:rsid w:val="63260AD7"/>
    <w:rsid w:val="63265B50"/>
    <w:rsid w:val="63266C4A"/>
    <w:rsid w:val="63267FBB"/>
    <w:rsid w:val="63275C8E"/>
    <w:rsid w:val="632C71FF"/>
    <w:rsid w:val="632F26D1"/>
    <w:rsid w:val="63311369"/>
    <w:rsid w:val="63325F34"/>
    <w:rsid w:val="63330C1B"/>
    <w:rsid w:val="63352186"/>
    <w:rsid w:val="63365252"/>
    <w:rsid w:val="633C24B3"/>
    <w:rsid w:val="633D16A3"/>
    <w:rsid w:val="633D5182"/>
    <w:rsid w:val="634171D8"/>
    <w:rsid w:val="63432BBF"/>
    <w:rsid w:val="63444A97"/>
    <w:rsid w:val="63471784"/>
    <w:rsid w:val="6347270F"/>
    <w:rsid w:val="63475F10"/>
    <w:rsid w:val="6348022B"/>
    <w:rsid w:val="634A719C"/>
    <w:rsid w:val="634C1798"/>
    <w:rsid w:val="634C670A"/>
    <w:rsid w:val="634D0150"/>
    <w:rsid w:val="634E142A"/>
    <w:rsid w:val="634E6DB1"/>
    <w:rsid w:val="634F3A42"/>
    <w:rsid w:val="635327F7"/>
    <w:rsid w:val="6359068C"/>
    <w:rsid w:val="63593DFE"/>
    <w:rsid w:val="635B5CD2"/>
    <w:rsid w:val="635C7743"/>
    <w:rsid w:val="635E0580"/>
    <w:rsid w:val="635F08A1"/>
    <w:rsid w:val="63610329"/>
    <w:rsid w:val="63621436"/>
    <w:rsid w:val="63626C83"/>
    <w:rsid w:val="63631A9B"/>
    <w:rsid w:val="63640C4D"/>
    <w:rsid w:val="63660EC3"/>
    <w:rsid w:val="636731F6"/>
    <w:rsid w:val="63673C54"/>
    <w:rsid w:val="6369079E"/>
    <w:rsid w:val="636B04C5"/>
    <w:rsid w:val="636E48F3"/>
    <w:rsid w:val="63763D22"/>
    <w:rsid w:val="63772DAA"/>
    <w:rsid w:val="63777E26"/>
    <w:rsid w:val="637A440B"/>
    <w:rsid w:val="637A789E"/>
    <w:rsid w:val="637B1B68"/>
    <w:rsid w:val="637B2B73"/>
    <w:rsid w:val="637C2327"/>
    <w:rsid w:val="637C4405"/>
    <w:rsid w:val="637F2FEE"/>
    <w:rsid w:val="63842286"/>
    <w:rsid w:val="63843A36"/>
    <w:rsid w:val="63844E4C"/>
    <w:rsid w:val="63862928"/>
    <w:rsid w:val="63876A84"/>
    <w:rsid w:val="638A2F36"/>
    <w:rsid w:val="638B144F"/>
    <w:rsid w:val="63907E44"/>
    <w:rsid w:val="63921563"/>
    <w:rsid w:val="63923D8D"/>
    <w:rsid w:val="63925655"/>
    <w:rsid w:val="63976E34"/>
    <w:rsid w:val="639A01CB"/>
    <w:rsid w:val="639C223B"/>
    <w:rsid w:val="63A03AA6"/>
    <w:rsid w:val="63A064C6"/>
    <w:rsid w:val="63A14472"/>
    <w:rsid w:val="63A55F3B"/>
    <w:rsid w:val="63A70B3A"/>
    <w:rsid w:val="63A728E8"/>
    <w:rsid w:val="63A9218B"/>
    <w:rsid w:val="63A92A36"/>
    <w:rsid w:val="63AA4866"/>
    <w:rsid w:val="63AB3B4E"/>
    <w:rsid w:val="63AC1FBF"/>
    <w:rsid w:val="63AC7CF2"/>
    <w:rsid w:val="63B31DD7"/>
    <w:rsid w:val="63B35731"/>
    <w:rsid w:val="63B62548"/>
    <w:rsid w:val="63B6521A"/>
    <w:rsid w:val="63B7259E"/>
    <w:rsid w:val="63B86E20"/>
    <w:rsid w:val="63BC2837"/>
    <w:rsid w:val="63BD2C83"/>
    <w:rsid w:val="63C0532C"/>
    <w:rsid w:val="63C07706"/>
    <w:rsid w:val="63C14D0E"/>
    <w:rsid w:val="63C22232"/>
    <w:rsid w:val="63C34B88"/>
    <w:rsid w:val="63C74D38"/>
    <w:rsid w:val="63C94EB6"/>
    <w:rsid w:val="63C96D02"/>
    <w:rsid w:val="63CA4C38"/>
    <w:rsid w:val="63CD4D93"/>
    <w:rsid w:val="63CE3D76"/>
    <w:rsid w:val="63CF1FE4"/>
    <w:rsid w:val="63D062E3"/>
    <w:rsid w:val="63D132B2"/>
    <w:rsid w:val="63D24F2E"/>
    <w:rsid w:val="63D25BB7"/>
    <w:rsid w:val="63D574D6"/>
    <w:rsid w:val="63D7141F"/>
    <w:rsid w:val="63D731CD"/>
    <w:rsid w:val="63D77A74"/>
    <w:rsid w:val="63DA78A9"/>
    <w:rsid w:val="63DD2EBD"/>
    <w:rsid w:val="63E449D7"/>
    <w:rsid w:val="63E55038"/>
    <w:rsid w:val="63E82C7E"/>
    <w:rsid w:val="63EA4F80"/>
    <w:rsid w:val="63EB6214"/>
    <w:rsid w:val="63EB6B53"/>
    <w:rsid w:val="63EE1588"/>
    <w:rsid w:val="63EE1ECA"/>
    <w:rsid w:val="63EF0F5A"/>
    <w:rsid w:val="63EF46A9"/>
    <w:rsid w:val="63EF623D"/>
    <w:rsid w:val="63F0428F"/>
    <w:rsid w:val="63F22042"/>
    <w:rsid w:val="63F4434C"/>
    <w:rsid w:val="63F444CE"/>
    <w:rsid w:val="63F45DB0"/>
    <w:rsid w:val="63F97606"/>
    <w:rsid w:val="63FB32CD"/>
    <w:rsid w:val="63FB358A"/>
    <w:rsid w:val="63FC354A"/>
    <w:rsid w:val="63FE69AC"/>
    <w:rsid w:val="63FE72E2"/>
    <w:rsid w:val="64010329"/>
    <w:rsid w:val="6401033B"/>
    <w:rsid w:val="640114E7"/>
    <w:rsid w:val="64042B23"/>
    <w:rsid w:val="64056D39"/>
    <w:rsid w:val="64070409"/>
    <w:rsid w:val="6407794F"/>
    <w:rsid w:val="6408027A"/>
    <w:rsid w:val="64086D94"/>
    <w:rsid w:val="640935D3"/>
    <w:rsid w:val="640A021E"/>
    <w:rsid w:val="640C4AA2"/>
    <w:rsid w:val="640D2640"/>
    <w:rsid w:val="640D3DA2"/>
    <w:rsid w:val="640D4E41"/>
    <w:rsid w:val="640F5C8A"/>
    <w:rsid w:val="64126160"/>
    <w:rsid w:val="64162E8C"/>
    <w:rsid w:val="64177A6E"/>
    <w:rsid w:val="641937E6"/>
    <w:rsid w:val="64197DE4"/>
    <w:rsid w:val="641B3716"/>
    <w:rsid w:val="641B57B0"/>
    <w:rsid w:val="641C5084"/>
    <w:rsid w:val="641C50EA"/>
    <w:rsid w:val="641C6E32"/>
    <w:rsid w:val="641F11E0"/>
    <w:rsid w:val="642167B2"/>
    <w:rsid w:val="64235646"/>
    <w:rsid w:val="64264155"/>
    <w:rsid w:val="64283A2C"/>
    <w:rsid w:val="6429033A"/>
    <w:rsid w:val="642A27B6"/>
    <w:rsid w:val="642B3519"/>
    <w:rsid w:val="642E39AF"/>
    <w:rsid w:val="642E5637"/>
    <w:rsid w:val="642F42D5"/>
    <w:rsid w:val="64315134"/>
    <w:rsid w:val="64354252"/>
    <w:rsid w:val="64381AAC"/>
    <w:rsid w:val="64384788"/>
    <w:rsid w:val="64390A51"/>
    <w:rsid w:val="643A375C"/>
    <w:rsid w:val="643B42B9"/>
    <w:rsid w:val="64410319"/>
    <w:rsid w:val="644155B1"/>
    <w:rsid w:val="64446A01"/>
    <w:rsid w:val="64457145"/>
    <w:rsid w:val="6446179C"/>
    <w:rsid w:val="644B4006"/>
    <w:rsid w:val="644C0CF4"/>
    <w:rsid w:val="644E0DD9"/>
    <w:rsid w:val="644F672B"/>
    <w:rsid w:val="64513F59"/>
    <w:rsid w:val="64560660"/>
    <w:rsid w:val="64562648"/>
    <w:rsid w:val="64581300"/>
    <w:rsid w:val="64591D7B"/>
    <w:rsid w:val="645A681A"/>
    <w:rsid w:val="645E44CD"/>
    <w:rsid w:val="64600C87"/>
    <w:rsid w:val="6463163A"/>
    <w:rsid w:val="64636230"/>
    <w:rsid w:val="64660C7C"/>
    <w:rsid w:val="64663B76"/>
    <w:rsid w:val="6466622E"/>
    <w:rsid w:val="64687CA0"/>
    <w:rsid w:val="646B3375"/>
    <w:rsid w:val="646B6404"/>
    <w:rsid w:val="646D4D78"/>
    <w:rsid w:val="646F5C2D"/>
    <w:rsid w:val="6471292F"/>
    <w:rsid w:val="64724A8E"/>
    <w:rsid w:val="64745EA8"/>
    <w:rsid w:val="647737EA"/>
    <w:rsid w:val="647905D2"/>
    <w:rsid w:val="6479100E"/>
    <w:rsid w:val="647929B7"/>
    <w:rsid w:val="647A412F"/>
    <w:rsid w:val="647A43B5"/>
    <w:rsid w:val="647A6564"/>
    <w:rsid w:val="647A6AF1"/>
    <w:rsid w:val="647C113B"/>
    <w:rsid w:val="647D1E59"/>
    <w:rsid w:val="6480321C"/>
    <w:rsid w:val="648118D7"/>
    <w:rsid w:val="64821314"/>
    <w:rsid w:val="648540BD"/>
    <w:rsid w:val="648710BF"/>
    <w:rsid w:val="648803F5"/>
    <w:rsid w:val="648A62F1"/>
    <w:rsid w:val="648B0855"/>
    <w:rsid w:val="648E31A4"/>
    <w:rsid w:val="648F00F7"/>
    <w:rsid w:val="64921BDB"/>
    <w:rsid w:val="64934CFB"/>
    <w:rsid w:val="64955254"/>
    <w:rsid w:val="64963088"/>
    <w:rsid w:val="64995D00"/>
    <w:rsid w:val="649C31FA"/>
    <w:rsid w:val="649D30FD"/>
    <w:rsid w:val="649D722B"/>
    <w:rsid w:val="649F1C9A"/>
    <w:rsid w:val="649F3345"/>
    <w:rsid w:val="64A0004C"/>
    <w:rsid w:val="64A043F8"/>
    <w:rsid w:val="64A679EE"/>
    <w:rsid w:val="64A719FA"/>
    <w:rsid w:val="64A72D44"/>
    <w:rsid w:val="64AB3587"/>
    <w:rsid w:val="64AC29C6"/>
    <w:rsid w:val="64AC33BB"/>
    <w:rsid w:val="64AC4A40"/>
    <w:rsid w:val="64AD2180"/>
    <w:rsid w:val="64AD4747"/>
    <w:rsid w:val="64B072CE"/>
    <w:rsid w:val="64B32F2D"/>
    <w:rsid w:val="64B51B04"/>
    <w:rsid w:val="64B56AD3"/>
    <w:rsid w:val="64B576DC"/>
    <w:rsid w:val="64B60048"/>
    <w:rsid w:val="64B64472"/>
    <w:rsid w:val="64B73942"/>
    <w:rsid w:val="64BB2AEF"/>
    <w:rsid w:val="64BE1825"/>
    <w:rsid w:val="64C00F8D"/>
    <w:rsid w:val="64C13B4F"/>
    <w:rsid w:val="64C23E7D"/>
    <w:rsid w:val="64C33078"/>
    <w:rsid w:val="64CC2DAD"/>
    <w:rsid w:val="64CD6F41"/>
    <w:rsid w:val="64CE1B5C"/>
    <w:rsid w:val="64CF4D08"/>
    <w:rsid w:val="64D16F22"/>
    <w:rsid w:val="64D34E23"/>
    <w:rsid w:val="64D45839"/>
    <w:rsid w:val="64D52999"/>
    <w:rsid w:val="64D61B55"/>
    <w:rsid w:val="64D8234A"/>
    <w:rsid w:val="64D8713B"/>
    <w:rsid w:val="64E162A4"/>
    <w:rsid w:val="64E4006A"/>
    <w:rsid w:val="64E63914"/>
    <w:rsid w:val="64E658AF"/>
    <w:rsid w:val="64F0304B"/>
    <w:rsid w:val="64F22A91"/>
    <w:rsid w:val="64FA668E"/>
    <w:rsid w:val="64FB57CF"/>
    <w:rsid w:val="64FC4FB3"/>
    <w:rsid w:val="64FC5D73"/>
    <w:rsid w:val="64FE28C9"/>
    <w:rsid w:val="650105D2"/>
    <w:rsid w:val="650160A1"/>
    <w:rsid w:val="65034937"/>
    <w:rsid w:val="650577B7"/>
    <w:rsid w:val="65064940"/>
    <w:rsid w:val="6508203E"/>
    <w:rsid w:val="65085E7F"/>
    <w:rsid w:val="650A0390"/>
    <w:rsid w:val="650D2802"/>
    <w:rsid w:val="650D733B"/>
    <w:rsid w:val="650E1074"/>
    <w:rsid w:val="650F4BE9"/>
    <w:rsid w:val="65130CB1"/>
    <w:rsid w:val="65152023"/>
    <w:rsid w:val="65154456"/>
    <w:rsid w:val="65156A2D"/>
    <w:rsid w:val="65183AA3"/>
    <w:rsid w:val="65190012"/>
    <w:rsid w:val="65197208"/>
    <w:rsid w:val="651A3732"/>
    <w:rsid w:val="651B7F22"/>
    <w:rsid w:val="651D1198"/>
    <w:rsid w:val="652004D7"/>
    <w:rsid w:val="65204D9D"/>
    <w:rsid w:val="6520580C"/>
    <w:rsid w:val="65215F21"/>
    <w:rsid w:val="65242442"/>
    <w:rsid w:val="65270F75"/>
    <w:rsid w:val="65276678"/>
    <w:rsid w:val="652838E6"/>
    <w:rsid w:val="65295B76"/>
    <w:rsid w:val="6529700A"/>
    <w:rsid w:val="652C09C4"/>
    <w:rsid w:val="652C3332"/>
    <w:rsid w:val="652C7C92"/>
    <w:rsid w:val="652E0AD9"/>
    <w:rsid w:val="652F2B95"/>
    <w:rsid w:val="6531219C"/>
    <w:rsid w:val="65312EAC"/>
    <w:rsid w:val="65321EDA"/>
    <w:rsid w:val="65360002"/>
    <w:rsid w:val="653704C3"/>
    <w:rsid w:val="653743A4"/>
    <w:rsid w:val="653C5835"/>
    <w:rsid w:val="653E3543"/>
    <w:rsid w:val="6540272E"/>
    <w:rsid w:val="65447EC4"/>
    <w:rsid w:val="65473EA5"/>
    <w:rsid w:val="6549448C"/>
    <w:rsid w:val="654A5C21"/>
    <w:rsid w:val="654A6BA8"/>
    <w:rsid w:val="654D372E"/>
    <w:rsid w:val="654E55FA"/>
    <w:rsid w:val="65547349"/>
    <w:rsid w:val="65562818"/>
    <w:rsid w:val="65563AD9"/>
    <w:rsid w:val="655767B2"/>
    <w:rsid w:val="6558285F"/>
    <w:rsid w:val="655C298D"/>
    <w:rsid w:val="655C6080"/>
    <w:rsid w:val="65612130"/>
    <w:rsid w:val="65614FD5"/>
    <w:rsid w:val="6562683E"/>
    <w:rsid w:val="65627080"/>
    <w:rsid w:val="65654941"/>
    <w:rsid w:val="65695A21"/>
    <w:rsid w:val="656D36FA"/>
    <w:rsid w:val="656F26C0"/>
    <w:rsid w:val="65715B44"/>
    <w:rsid w:val="65743983"/>
    <w:rsid w:val="657561E5"/>
    <w:rsid w:val="65772B33"/>
    <w:rsid w:val="657B39CD"/>
    <w:rsid w:val="658074D9"/>
    <w:rsid w:val="65815AE7"/>
    <w:rsid w:val="658210F3"/>
    <w:rsid w:val="65841EB8"/>
    <w:rsid w:val="65872767"/>
    <w:rsid w:val="65880AE5"/>
    <w:rsid w:val="658827E6"/>
    <w:rsid w:val="65882DCF"/>
    <w:rsid w:val="658A1C9B"/>
    <w:rsid w:val="658C6220"/>
    <w:rsid w:val="658D448B"/>
    <w:rsid w:val="658E6272"/>
    <w:rsid w:val="658F37AF"/>
    <w:rsid w:val="65901886"/>
    <w:rsid w:val="65932434"/>
    <w:rsid w:val="65947126"/>
    <w:rsid w:val="65956BF8"/>
    <w:rsid w:val="6597328C"/>
    <w:rsid w:val="65985613"/>
    <w:rsid w:val="659C03ED"/>
    <w:rsid w:val="65A14C3D"/>
    <w:rsid w:val="65A61436"/>
    <w:rsid w:val="65A73073"/>
    <w:rsid w:val="65A87AC2"/>
    <w:rsid w:val="65A87D09"/>
    <w:rsid w:val="65A944D1"/>
    <w:rsid w:val="65A96DEB"/>
    <w:rsid w:val="65AB487D"/>
    <w:rsid w:val="65AF19B4"/>
    <w:rsid w:val="65B23E3E"/>
    <w:rsid w:val="65C07C91"/>
    <w:rsid w:val="65C33D89"/>
    <w:rsid w:val="65C42009"/>
    <w:rsid w:val="65C47056"/>
    <w:rsid w:val="65C60064"/>
    <w:rsid w:val="65C736A2"/>
    <w:rsid w:val="65C87C7D"/>
    <w:rsid w:val="65CA0745"/>
    <w:rsid w:val="65CA21E3"/>
    <w:rsid w:val="65CC530A"/>
    <w:rsid w:val="65D04177"/>
    <w:rsid w:val="65D30DD4"/>
    <w:rsid w:val="65D34A0A"/>
    <w:rsid w:val="65D50FED"/>
    <w:rsid w:val="65D53C0E"/>
    <w:rsid w:val="65D76D0B"/>
    <w:rsid w:val="65D80147"/>
    <w:rsid w:val="65D82F0D"/>
    <w:rsid w:val="65DA24AE"/>
    <w:rsid w:val="65DA3772"/>
    <w:rsid w:val="65E62391"/>
    <w:rsid w:val="65E71B19"/>
    <w:rsid w:val="65E95A49"/>
    <w:rsid w:val="65EC1D7F"/>
    <w:rsid w:val="65EF12C2"/>
    <w:rsid w:val="65F02EA7"/>
    <w:rsid w:val="65F03D5D"/>
    <w:rsid w:val="65F83EA0"/>
    <w:rsid w:val="65F95208"/>
    <w:rsid w:val="65F97866"/>
    <w:rsid w:val="65FA157A"/>
    <w:rsid w:val="65FB4CA8"/>
    <w:rsid w:val="65FE7137"/>
    <w:rsid w:val="66014460"/>
    <w:rsid w:val="6601509C"/>
    <w:rsid w:val="66043BA7"/>
    <w:rsid w:val="66080A2C"/>
    <w:rsid w:val="66090B32"/>
    <w:rsid w:val="660B084E"/>
    <w:rsid w:val="660D7D41"/>
    <w:rsid w:val="660F6DA4"/>
    <w:rsid w:val="6611095F"/>
    <w:rsid w:val="6611623A"/>
    <w:rsid w:val="66116CFF"/>
    <w:rsid w:val="66117E97"/>
    <w:rsid w:val="66124991"/>
    <w:rsid w:val="661343F5"/>
    <w:rsid w:val="661544FB"/>
    <w:rsid w:val="66156257"/>
    <w:rsid w:val="66163D28"/>
    <w:rsid w:val="6617003A"/>
    <w:rsid w:val="66182F8B"/>
    <w:rsid w:val="6619442B"/>
    <w:rsid w:val="661D57FF"/>
    <w:rsid w:val="661D5A1D"/>
    <w:rsid w:val="661F20BF"/>
    <w:rsid w:val="6624749C"/>
    <w:rsid w:val="66262C27"/>
    <w:rsid w:val="66272FA8"/>
    <w:rsid w:val="662B402C"/>
    <w:rsid w:val="662B6616"/>
    <w:rsid w:val="662D5327"/>
    <w:rsid w:val="662F1D0C"/>
    <w:rsid w:val="662F72F1"/>
    <w:rsid w:val="66302933"/>
    <w:rsid w:val="66302F0E"/>
    <w:rsid w:val="66323E99"/>
    <w:rsid w:val="663659CF"/>
    <w:rsid w:val="6638708E"/>
    <w:rsid w:val="66393973"/>
    <w:rsid w:val="663B05BA"/>
    <w:rsid w:val="663B3631"/>
    <w:rsid w:val="663C4580"/>
    <w:rsid w:val="663E020B"/>
    <w:rsid w:val="66410070"/>
    <w:rsid w:val="664203C6"/>
    <w:rsid w:val="66425733"/>
    <w:rsid w:val="66430FEE"/>
    <w:rsid w:val="66441805"/>
    <w:rsid w:val="66465D2A"/>
    <w:rsid w:val="66480783"/>
    <w:rsid w:val="664B53EF"/>
    <w:rsid w:val="664D7FDD"/>
    <w:rsid w:val="665029AB"/>
    <w:rsid w:val="665157A1"/>
    <w:rsid w:val="665313FE"/>
    <w:rsid w:val="66534028"/>
    <w:rsid w:val="66545FD0"/>
    <w:rsid w:val="665705F5"/>
    <w:rsid w:val="66580F87"/>
    <w:rsid w:val="665E1AEE"/>
    <w:rsid w:val="665E1EAB"/>
    <w:rsid w:val="66623C4E"/>
    <w:rsid w:val="66630D48"/>
    <w:rsid w:val="666449D7"/>
    <w:rsid w:val="66650333"/>
    <w:rsid w:val="66661088"/>
    <w:rsid w:val="66675A3F"/>
    <w:rsid w:val="66676EFF"/>
    <w:rsid w:val="666773D0"/>
    <w:rsid w:val="666B35D6"/>
    <w:rsid w:val="666F35FC"/>
    <w:rsid w:val="66710207"/>
    <w:rsid w:val="66716CD3"/>
    <w:rsid w:val="66727E44"/>
    <w:rsid w:val="66731904"/>
    <w:rsid w:val="66746D9E"/>
    <w:rsid w:val="6679398A"/>
    <w:rsid w:val="667967BE"/>
    <w:rsid w:val="667B0788"/>
    <w:rsid w:val="667B7220"/>
    <w:rsid w:val="667B7541"/>
    <w:rsid w:val="667D449D"/>
    <w:rsid w:val="667E17A1"/>
    <w:rsid w:val="667F1FB3"/>
    <w:rsid w:val="668138C4"/>
    <w:rsid w:val="66817872"/>
    <w:rsid w:val="6684199D"/>
    <w:rsid w:val="66841E25"/>
    <w:rsid w:val="668533B4"/>
    <w:rsid w:val="66873EAD"/>
    <w:rsid w:val="66887087"/>
    <w:rsid w:val="668A5830"/>
    <w:rsid w:val="668D04BB"/>
    <w:rsid w:val="668E3915"/>
    <w:rsid w:val="66903B07"/>
    <w:rsid w:val="6698536A"/>
    <w:rsid w:val="66991369"/>
    <w:rsid w:val="669A536A"/>
    <w:rsid w:val="669C0C66"/>
    <w:rsid w:val="669F3FE2"/>
    <w:rsid w:val="66A2024B"/>
    <w:rsid w:val="66A2039A"/>
    <w:rsid w:val="66A51361"/>
    <w:rsid w:val="66A53C42"/>
    <w:rsid w:val="66AA3EC9"/>
    <w:rsid w:val="66AC4248"/>
    <w:rsid w:val="66AE597A"/>
    <w:rsid w:val="66AF1164"/>
    <w:rsid w:val="66AF2EAA"/>
    <w:rsid w:val="66B34624"/>
    <w:rsid w:val="66B42A01"/>
    <w:rsid w:val="66B5435C"/>
    <w:rsid w:val="66BB0996"/>
    <w:rsid w:val="66BF691D"/>
    <w:rsid w:val="66C03D7A"/>
    <w:rsid w:val="66C30F2C"/>
    <w:rsid w:val="66C57C55"/>
    <w:rsid w:val="66C85B9B"/>
    <w:rsid w:val="66CB499C"/>
    <w:rsid w:val="66CB557C"/>
    <w:rsid w:val="66CD35AC"/>
    <w:rsid w:val="66CD5AA2"/>
    <w:rsid w:val="66D13077"/>
    <w:rsid w:val="66D84ED4"/>
    <w:rsid w:val="66D97819"/>
    <w:rsid w:val="66E01836"/>
    <w:rsid w:val="66E1368A"/>
    <w:rsid w:val="66E14D33"/>
    <w:rsid w:val="66E16F45"/>
    <w:rsid w:val="66E4151C"/>
    <w:rsid w:val="66E5504E"/>
    <w:rsid w:val="66E64A9D"/>
    <w:rsid w:val="66E9273D"/>
    <w:rsid w:val="66EA1469"/>
    <w:rsid w:val="66EA7D90"/>
    <w:rsid w:val="66EB1982"/>
    <w:rsid w:val="66EB5E66"/>
    <w:rsid w:val="66EB69A4"/>
    <w:rsid w:val="66ED359F"/>
    <w:rsid w:val="66ED5A08"/>
    <w:rsid w:val="66EE1299"/>
    <w:rsid w:val="66EE1F59"/>
    <w:rsid w:val="66F12DB2"/>
    <w:rsid w:val="66F518C9"/>
    <w:rsid w:val="66F54833"/>
    <w:rsid w:val="66F83B20"/>
    <w:rsid w:val="66FA4394"/>
    <w:rsid w:val="66FA66A0"/>
    <w:rsid w:val="66FC236C"/>
    <w:rsid w:val="66FD22ED"/>
    <w:rsid w:val="66FF4276"/>
    <w:rsid w:val="66FF5603"/>
    <w:rsid w:val="670019E8"/>
    <w:rsid w:val="67006EDF"/>
    <w:rsid w:val="67013BA1"/>
    <w:rsid w:val="670455A8"/>
    <w:rsid w:val="670B504D"/>
    <w:rsid w:val="670C4904"/>
    <w:rsid w:val="670F2C7E"/>
    <w:rsid w:val="67107F60"/>
    <w:rsid w:val="6711789F"/>
    <w:rsid w:val="67117A0C"/>
    <w:rsid w:val="6712451C"/>
    <w:rsid w:val="67125EB1"/>
    <w:rsid w:val="67155F23"/>
    <w:rsid w:val="6716426E"/>
    <w:rsid w:val="67176BFA"/>
    <w:rsid w:val="671D1078"/>
    <w:rsid w:val="67203E40"/>
    <w:rsid w:val="67215185"/>
    <w:rsid w:val="67265FBD"/>
    <w:rsid w:val="6727621A"/>
    <w:rsid w:val="672B5CF8"/>
    <w:rsid w:val="672C0FD1"/>
    <w:rsid w:val="672C7778"/>
    <w:rsid w:val="672C7CD4"/>
    <w:rsid w:val="672E75A8"/>
    <w:rsid w:val="67323785"/>
    <w:rsid w:val="6732696D"/>
    <w:rsid w:val="67341D44"/>
    <w:rsid w:val="67386679"/>
    <w:rsid w:val="67395F4D"/>
    <w:rsid w:val="67397CFB"/>
    <w:rsid w:val="673A3D0F"/>
    <w:rsid w:val="673B466F"/>
    <w:rsid w:val="673D3C8F"/>
    <w:rsid w:val="67401089"/>
    <w:rsid w:val="674018FB"/>
    <w:rsid w:val="67407CA1"/>
    <w:rsid w:val="674245AE"/>
    <w:rsid w:val="674325C7"/>
    <w:rsid w:val="67433AB5"/>
    <w:rsid w:val="67437F81"/>
    <w:rsid w:val="6746328E"/>
    <w:rsid w:val="674B4EDA"/>
    <w:rsid w:val="674F5999"/>
    <w:rsid w:val="674F7B65"/>
    <w:rsid w:val="67510E00"/>
    <w:rsid w:val="675238D0"/>
    <w:rsid w:val="67535918"/>
    <w:rsid w:val="6757629C"/>
    <w:rsid w:val="675B4425"/>
    <w:rsid w:val="675F0F6E"/>
    <w:rsid w:val="675F4F83"/>
    <w:rsid w:val="675F500B"/>
    <w:rsid w:val="676062C9"/>
    <w:rsid w:val="67627326"/>
    <w:rsid w:val="6763520A"/>
    <w:rsid w:val="67644050"/>
    <w:rsid w:val="676905E0"/>
    <w:rsid w:val="676F196F"/>
    <w:rsid w:val="677031F3"/>
    <w:rsid w:val="67703AED"/>
    <w:rsid w:val="67707C36"/>
    <w:rsid w:val="67710E9B"/>
    <w:rsid w:val="67734C6B"/>
    <w:rsid w:val="67737A48"/>
    <w:rsid w:val="6774005A"/>
    <w:rsid w:val="6774418F"/>
    <w:rsid w:val="67771251"/>
    <w:rsid w:val="67772079"/>
    <w:rsid w:val="67773A14"/>
    <w:rsid w:val="67774B80"/>
    <w:rsid w:val="6778404D"/>
    <w:rsid w:val="67785374"/>
    <w:rsid w:val="677A06EF"/>
    <w:rsid w:val="67803E76"/>
    <w:rsid w:val="67843C32"/>
    <w:rsid w:val="67852F40"/>
    <w:rsid w:val="67871147"/>
    <w:rsid w:val="678842AA"/>
    <w:rsid w:val="678C1806"/>
    <w:rsid w:val="678E082F"/>
    <w:rsid w:val="67924E3F"/>
    <w:rsid w:val="67925D6F"/>
    <w:rsid w:val="67931B01"/>
    <w:rsid w:val="6794687C"/>
    <w:rsid w:val="6795202A"/>
    <w:rsid w:val="67955879"/>
    <w:rsid w:val="679636D1"/>
    <w:rsid w:val="67983367"/>
    <w:rsid w:val="679976DB"/>
    <w:rsid w:val="679A3B0A"/>
    <w:rsid w:val="679A4E16"/>
    <w:rsid w:val="679D3FE2"/>
    <w:rsid w:val="679D6C04"/>
    <w:rsid w:val="679E0CEC"/>
    <w:rsid w:val="679E685C"/>
    <w:rsid w:val="67A1616C"/>
    <w:rsid w:val="67A33551"/>
    <w:rsid w:val="67A34E92"/>
    <w:rsid w:val="67A948C4"/>
    <w:rsid w:val="67AD7438"/>
    <w:rsid w:val="67AE2840"/>
    <w:rsid w:val="67AE2FC0"/>
    <w:rsid w:val="67B01671"/>
    <w:rsid w:val="67B13D35"/>
    <w:rsid w:val="67B54830"/>
    <w:rsid w:val="67B64153"/>
    <w:rsid w:val="67B80557"/>
    <w:rsid w:val="67B9585D"/>
    <w:rsid w:val="67BA07B7"/>
    <w:rsid w:val="67BB651C"/>
    <w:rsid w:val="67BC7D82"/>
    <w:rsid w:val="67C022C1"/>
    <w:rsid w:val="67C07EA1"/>
    <w:rsid w:val="67C3328D"/>
    <w:rsid w:val="67C915A2"/>
    <w:rsid w:val="67C95B0C"/>
    <w:rsid w:val="67CA2034"/>
    <w:rsid w:val="67CA6E42"/>
    <w:rsid w:val="67CB0EBC"/>
    <w:rsid w:val="67CB2D1F"/>
    <w:rsid w:val="67CD5013"/>
    <w:rsid w:val="67CF4A25"/>
    <w:rsid w:val="67D56680"/>
    <w:rsid w:val="67D619EE"/>
    <w:rsid w:val="67DD2A12"/>
    <w:rsid w:val="67DD5E21"/>
    <w:rsid w:val="67DE5497"/>
    <w:rsid w:val="67DE54D3"/>
    <w:rsid w:val="67DF55EA"/>
    <w:rsid w:val="67E06CCB"/>
    <w:rsid w:val="67E219A0"/>
    <w:rsid w:val="67E4710D"/>
    <w:rsid w:val="67E759A9"/>
    <w:rsid w:val="67E86285"/>
    <w:rsid w:val="67EC6CDA"/>
    <w:rsid w:val="67F06D87"/>
    <w:rsid w:val="67F07B48"/>
    <w:rsid w:val="67F1265F"/>
    <w:rsid w:val="67F50DD3"/>
    <w:rsid w:val="67F70C93"/>
    <w:rsid w:val="67F87BBD"/>
    <w:rsid w:val="67F9589B"/>
    <w:rsid w:val="67FB0406"/>
    <w:rsid w:val="67FB1363"/>
    <w:rsid w:val="67FB3202"/>
    <w:rsid w:val="67FE3985"/>
    <w:rsid w:val="68011756"/>
    <w:rsid w:val="680622D3"/>
    <w:rsid w:val="68093B71"/>
    <w:rsid w:val="68107298"/>
    <w:rsid w:val="6812272C"/>
    <w:rsid w:val="6812626F"/>
    <w:rsid w:val="68193CC3"/>
    <w:rsid w:val="681C1673"/>
    <w:rsid w:val="681D0C42"/>
    <w:rsid w:val="681F0A90"/>
    <w:rsid w:val="68230220"/>
    <w:rsid w:val="68254853"/>
    <w:rsid w:val="682D221F"/>
    <w:rsid w:val="682E2050"/>
    <w:rsid w:val="68337C8D"/>
    <w:rsid w:val="68365511"/>
    <w:rsid w:val="6837444B"/>
    <w:rsid w:val="683A1560"/>
    <w:rsid w:val="683C48D8"/>
    <w:rsid w:val="683D4D80"/>
    <w:rsid w:val="683E4AC0"/>
    <w:rsid w:val="683E5F1D"/>
    <w:rsid w:val="68416C8C"/>
    <w:rsid w:val="68420328"/>
    <w:rsid w:val="6843786F"/>
    <w:rsid w:val="68466B73"/>
    <w:rsid w:val="684B1A15"/>
    <w:rsid w:val="684E3886"/>
    <w:rsid w:val="684F0592"/>
    <w:rsid w:val="6852618C"/>
    <w:rsid w:val="68546785"/>
    <w:rsid w:val="6856342F"/>
    <w:rsid w:val="68593AAB"/>
    <w:rsid w:val="68597173"/>
    <w:rsid w:val="685A4E90"/>
    <w:rsid w:val="685B7586"/>
    <w:rsid w:val="685C3F81"/>
    <w:rsid w:val="685C6397"/>
    <w:rsid w:val="685F4B66"/>
    <w:rsid w:val="686033E7"/>
    <w:rsid w:val="6861575B"/>
    <w:rsid w:val="68632F04"/>
    <w:rsid w:val="686330C8"/>
    <w:rsid w:val="68645699"/>
    <w:rsid w:val="68652E2D"/>
    <w:rsid w:val="6869264D"/>
    <w:rsid w:val="686945FD"/>
    <w:rsid w:val="686C6774"/>
    <w:rsid w:val="686D14DF"/>
    <w:rsid w:val="686D4996"/>
    <w:rsid w:val="68742F6E"/>
    <w:rsid w:val="68774F7F"/>
    <w:rsid w:val="68797233"/>
    <w:rsid w:val="687E455F"/>
    <w:rsid w:val="687F5BE1"/>
    <w:rsid w:val="687F7497"/>
    <w:rsid w:val="688051AD"/>
    <w:rsid w:val="68822E67"/>
    <w:rsid w:val="68833E5E"/>
    <w:rsid w:val="68833F87"/>
    <w:rsid w:val="688365B9"/>
    <w:rsid w:val="6886589A"/>
    <w:rsid w:val="688B4586"/>
    <w:rsid w:val="688D5106"/>
    <w:rsid w:val="68903502"/>
    <w:rsid w:val="68921280"/>
    <w:rsid w:val="689602AA"/>
    <w:rsid w:val="68965D8C"/>
    <w:rsid w:val="68990ECC"/>
    <w:rsid w:val="68993986"/>
    <w:rsid w:val="689A2A1B"/>
    <w:rsid w:val="689D350B"/>
    <w:rsid w:val="689E5861"/>
    <w:rsid w:val="689E69AF"/>
    <w:rsid w:val="689F48B3"/>
    <w:rsid w:val="689F6284"/>
    <w:rsid w:val="689F79A2"/>
    <w:rsid w:val="68A35D74"/>
    <w:rsid w:val="68A36DF2"/>
    <w:rsid w:val="68AA2AD9"/>
    <w:rsid w:val="68AB0C15"/>
    <w:rsid w:val="68AB1161"/>
    <w:rsid w:val="68AE5FF5"/>
    <w:rsid w:val="68AF6F3C"/>
    <w:rsid w:val="68B1588F"/>
    <w:rsid w:val="68B15DF1"/>
    <w:rsid w:val="68B67EB0"/>
    <w:rsid w:val="68B92DDF"/>
    <w:rsid w:val="68B93744"/>
    <w:rsid w:val="68B95597"/>
    <w:rsid w:val="68BC6DE0"/>
    <w:rsid w:val="68BE7511"/>
    <w:rsid w:val="68C01AFA"/>
    <w:rsid w:val="68C3325E"/>
    <w:rsid w:val="68C430D4"/>
    <w:rsid w:val="68C66923"/>
    <w:rsid w:val="68C82DDC"/>
    <w:rsid w:val="68C920DE"/>
    <w:rsid w:val="68C934E8"/>
    <w:rsid w:val="68CB510F"/>
    <w:rsid w:val="68CC3842"/>
    <w:rsid w:val="68CD4B9F"/>
    <w:rsid w:val="68D3113D"/>
    <w:rsid w:val="68D52A47"/>
    <w:rsid w:val="68D60D0B"/>
    <w:rsid w:val="68D66149"/>
    <w:rsid w:val="68D669E8"/>
    <w:rsid w:val="68D76357"/>
    <w:rsid w:val="68DC3F63"/>
    <w:rsid w:val="68DD74D8"/>
    <w:rsid w:val="68DE002C"/>
    <w:rsid w:val="68DF2B2F"/>
    <w:rsid w:val="68E35F57"/>
    <w:rsid w:val="68E751D8"/>
    <w:rsid w:val="68EA0CF6"/>
    <w:rsid w:val="68EA15CB"/>
    <w:rsid w:val="68F05589"/>
    <w:rsid w:val="68F12B19"/>
    <w:rsid w:val="68F13E92"/>
    <w:rsid w:val="68F24605"/>
    <w:rsid w:val="68F4037D"/>
    <w:rsid w:val="68F618C0"/>
    <w:rsid w:val="68F83310"/>
    <w:rsid w:val="68F87883"/>
    <w:rsid w:val="68F9080B"/>
    <w:rsid w:val="68FA0767"/>
    <w:rsid w:val="68FE1607"/>
    <w:rsid w:val="69001095"/>
    <w:rsid w:val="690568E9"/>
    <w:rsid w:val="69057D4D"/>
    <w:rsid w:val="690930FD"/>
    <w:rsid w:val="69095DD2"/>
    <w:rsid w:val="690C701B"/>
    <w:rsid w:val="690D3140"/>
    <w:rsid w:val="6910564D"/>
    <w:rsid w:val="69124CA8"/>
    <w:rsid w:val="69132EFA"/>
    <w:rsid w:val="69150304"/>
    <w:rsid w:val="69160836"/>
    <w:rsid w:val="69180AAD"/>
    <w:rsid w:val="691C5995"/>
    <w:rsid w:val="691C6864"/>
    <w:rsid w:val="692450A6"/>
    <w:rsid w:val="69250BD3"/>
    <w:rsid w:val="69257536"/>
    <w:rsid w:val="692944BE"/>
    <w:rsid w:val="692970CA"/>
    <w:rsid w:val="692C5D69"/>
    <w:rsid w:val="692E3396"/>
    <w:rsid w:val="692E4F0F"/>
    <w:rsid w:val="692E7868"/>
    <w:rsid w:val="69302586"/>
    <w:rsid w:val="6931512E"/>
    <w:rsid w:val="69352F88"/>
    <w:rsid w:val="69362B4B"/>
    <w:rsid w:val="693D6174"/>
    <w:rsid w:val="694006F8"/>
    <w:rsid w:val="69433390"/>
    <w:rsid w:val="694517A8"/>
    <w:rsid w:val="6945614E"/>
    <w:rsid w:val="69465142"/>
    <w:rsid w:val="6946757E"/>
    <w:rsid w:val="694707E8"/>
    <w:rsid w:val="6949691B"/>
    <w:rsid w:val="694A1AEF"/>
    <w:rsid w:val="694D4495"/>
    <w:rsid w:val="694E437E"/>
    <w:rsid w:val="69500385"/>
    <w:rsid w:val="69501796"/>
    <w:rsid w:val="695103DB"/>
    <w:rsid w:val="69552A1B"/>
    <w:rsid w:val="695E0C38"/>
    <w:rsid w:val="69622CCD"/>
    <w:rsid w:val="69623601"/>
    <w:rsid w:val="696372B1"/>
    <w:rsid w:val="6965127B"/>
    <w:rsid w:val="69652736"/>
    <w:rsid w:val="696A7ABF"/>
    <w:rsid w:val="696D34A7"/>
    <w:rsid w:val="696E2179"/>
    <w:rsid w:val="696E2BB6"/>
    <w:rsid w:val="69733973"/>
    <w:rsid w:val="6973504E"/>
    <w:rsid w:val="69752F59"/>
    <w:rsid w:val="69757C9E"/>
    <w:rsid w:val="69774ECA"/>
    <w:rsid w:val="69790883"/>
    <w:rsid w:val="697D058D"/>
    <w:rsid w:val="69826588"/>
    <w:rsid w:val="698350EA"/>
    <w:rsid w:val="6984014C"/>
    <w:rsid w:val="69870F54"/>
    <w:rsid w:val="698728B0"/>
    <w:rsid w:val="69872FA0"/>
    <w:rsid w:val="69893C6E"/>
    <w:rsid w:val="69894145"/>
    <w:rsid w:val="698E6950"/>
    <w:rsid w:val="699128B5"/>
    <w:rsid w:val="6993005D"/>
    <w:rsid w:val="69981A59"/>
    <w:rsid w:val="69983C3D"/>
    <w:rsid w:val="699B3F6B"/>
    <w:rsid w:val="699B7755"/>
    <w:rsid w:val="699C637A"/>
    <w:rsid w:val="699E6716"/>
    <w:rsid w:val="69A101CF"/>
    <w:rsid w:val="69A2427D"/>
    <w:rsid w:val="69A41659"/>
    <w:rsid w:val="69A861F1"/>
    <w:rsid w:val="69A925D4"/>
    <w:rsid w:val="69AC3EED"/>
    <w:rsid w:val="69B054F8"/>
    <w:rsid w:val="69B1626F"/>
    <w:rsid w:val="69B17283"/>
    <w:rsid w:val="69B33316"/>
    <w:rsid w:val="69B53FB1"/>
    <w:rsid w:val="69B813AB"/>
    <w:rsid w:val="69BB5066"/>
    <w:rsid w:val="69BE3996"/>
    <w:rsid w:val="69C04704"/>
    <w:rsid w:val="69C06D62"/>
    <w:rsid w:val="69C33DCB"/>
    <w:rsid w:val="69C60A25"/>
    <w:rsid w:val="69C82AF4"/>
    <w:rsid w:val="69C861C0"/>
    <w:rsid w:val="69CA2B81"/>
    <w:rsid w:val="69CD117B"/>
    <w:rsid w:val="69CD6277"/>
    <w:rsid w:val="69CE335C"/>
    <w:rsid w:val="69CE7204"/>
    <w:rsid w:val="69CF5542"/>
    <w:rsid w:val="69D5773F"/>
    <w:rsid w:val="69D7437F"/>
    <w:rsid w:val="69D74933"/>
    <w:rsid w:val="69DA4EE5"/>
    <w:rsid w:val="69DA7FF0"/>
    <w:rsid w:val="69DB6913"/>
    <w:rsid w:val="69DE3854"/>
    <w:rsid w:val="69DE4E0D"/>
    <w:rsid w:val="69DF12B5"/>
    <w:rsid w:val="69E23126"/>
    <w:rsid w:val="69E35941"/>
    <w:rsid w:val="69E515CC"/>
    <w:rsid w:val="69E61436"/>
    <w:rsid w:val="69E83EC7"/>
    <w:rsid w:val="69E90ABC"/>
    <w:rsid w:val="69EA33D4"/>
    <w:rsid w:val="69F34AD9"/>
    <w:rsid w:val="69F64BF5"/>
    <w:rsid w:val="69F66737"/>
    <w:rsid w:val="69F67C40"/>
    <w:rsid w:val="69F745C9"/>
    <w:rsid w:val="69F83E9D"/>
    <w:rsid w:val="69F92959"/>
    <w:rsid w:val="69FC5D9E"/>
    <w:rsid w:val="69FF16AE"/>
    <w:rsid w:val="6A02233F"/>
    <w:rsid w:val="6A051D26"/>
    <w:rsid w:val="6A07497F"/>
    <w:rsid w:val="6A0A2D42"/>
    <w:rsid w:val="6A105D9C"/>
    <w:rsid w:val="6A125718"/>
    <w:rsid w:val="6A136F29"/>
    <w:rsid w:val="6A137C0B"/>
    <w:rsid w:val="6A187AF5"/>
    <w:rsid w:val="6A1D4F8F"/>
    <w:rsid w:val="6A1E79FF"/>
    <w:rsid w:val="6A233C26"/>
    <w:rsid w:val="6A246DF6"/>
    <w:rsid w:val="6A25387A"/>
    <w:rsid w:val="6A2538F8"/>
    <w:rsid w:val="6A261BB9"/>
    <w:rsid w:val="6A265E94"/>
    <w:rsid w:val="6A2B69CE"/>
    <w:rsid w:val="6A2C6369"/>
    <w:rsid w:val="6A2D3F4B"/>
    <w:rsid w:val="6A2D708C"/>
    <w:rsid w:val="6A32313B"/>
    <w:rsid w:val="6A332C01"/>
    <w:rsid w:val="6A3446C5"/>
    <w:rsid w:val="6A371FD8"/>
    <w:rsid w:val="6A380A11"/>
    <w:rsid w:val="6A387B61"/>
    <w:rsid w:val="6A3A6264"/>
    <w:rsid w:val="6A3F1ACC"/>
    <w:rsid w:val="6A3F47DA"/>
    <w:rsid w:val="6A411EA1"/>
    <w:rsid w:val="6A4216CB"/>
    <w:rsid w:val="6A4575EF"/>
    <w:rsid w:val="6A470981"/>
    <w:rsid w:val="6A491FD5"/>
    <w:rsid w:val="6A4A3723"/>
    <w:rsid w:val="6A4F3FD8"/>
    <w:rsid w:val="6A503A2F"/>
    <w:rsid w:val="6A505A87"/>
    <w:rsid w:val="6A506007"/>
    <w:rsid w:val="6A525B9D"/>
    <w:rsid w:val="6A566298"/>
    <w:rsid w:val="6A60112B"/>
    <w:rsid w:val="6A610A47"/>
    <w:rsid w:val="6A616E64"/>
    <w:rsid w:val="6A6257BB"/>
    <w:rsid w:val="6A633A0D"/>
    <w:rsid w:val="6A644F7E"/>
    <w:rsid w:val="6A6562C3"/>
    <w:rsid w:val="6A6706DD"/>
    <w:rsid w:val="6A6B0DE8"/>
    <w:rsid w:val="6A6B5171"/>
    <w:rsid w:val="6A6B7AE8"/>
    <w:rsid w:val="6A6E2A18"/>
    <w:rsid w:val="6A721EA2"/>
    <w:rsid w:val="6A73698D"/>
    <w:rsid w:val="6A737682"/>
    <w:rsid w:val="6A7735D6"/>
    <w:rsid w:val="6A7A555C"/>
    <w:rsid w:val="6A7D43A3"/>
    <w:rsid w:val="6A7E1D3B"/>
    <w:rsid w:val="6A8219B9"/>
    <w:rsid w:val="6A8A2CF5"/>
    <w:rsid w:val="6A8A71EB"/>
    <w:rsid w:val="6A8D29AE"/>
    <w:rsid w:val="6A8D47A1"/>
    <w:rsid w:val="6A8E0FBE"/>
    <w:rsid w:val="6A8E1183"/>
    <w:rsid w:val="6A8E4661"/>
    <w:rsid w:val="6A8F7E0C"/>
    <w:rsid w:val="6A941B82"/>
    <w:rsid w:val="6A9826DB"/>
    <w:rsid w:val="6A98577E"/>
    <w:rsid w:val="6A9E67F3"/>
    <w:rsid w:val="6AA16F19"/>
    <w:rsid w:val="6AA418C4"/>
    <w:rsid w:val="6AA539DE"/>
    <w:rsid w:val="6AA671EF"/>
    <w:rsid w:val="6AA80C0A"/>
    <w:rsid w:val="6AA840A8"/>
    <w:rsid w:val="6AAB35DC"/>
    <w:rsid w:val="6AAC7AC0"/>
    <w:rsid w:val="6AAE3AE6"/>
    <w:rsid w:val="6AAE40EC"/>
    <w:rsid w:val="6AAE7388"/>
    <w:rsid w:val="6AAF569C"/>
    <w:rsid w:val="6AB115A7"/>
    <w:rsid w:val="6AB23C1E"/>
    <w:rsid w:val="6AB273B1"/>
    <w:rsid w:val="6AB415EF"/>
    <w:rsid w:val="6AB430CE"/>
    <w:rsid w:val="6AB67FFA"/>
    <w:rsid w:val="6AB80908"/>
    <w:rsid w:val="6AB853DB"/>
    <w:rsid w:val="6ABA1BFF"/>
    <w:rsid w:val="6ABA73A5"/>
    <w:rsid w:val="6ABB64E9"/>
    <w:rsid w:val="6ABD3F83"/>
    <w:rsid w:val="6ABE0C2F"/>
    <w:rsid w:val="6ABE7941"/>
    <w:rsid w:val="6AC47A05"/>
    <w:rsid w:val="6AC96BB7"/>
    <w:rsid w:val="6ACA3A8C"/>
    <w:rsid w:val="6ACA78B9"/>
    <w:rsid w:val="6ACE220B"/>
    <w:rsid w:val="6AD3700B"/>
    <w:rsid w:val="6AD404C5"/>
    <w:rsid w:val="6AD409F2"/>
    <w:rsid w:val="6AD63AB1"/>
    <w:rsid w:val="6AD953D9"/>
    <w:rsid w:val="6ADB41D2"/>
    <w:rsid w:val="6ADD45CE"/>
    <w:rsid w:val="6AE013C3"/>
    <w:rsid w:val="6AE217E4"/>
    <w:rsid w:val="6AE43348"/>
    <w:rsid w:val="6AE72A1A"/>
    <w:rsid w:val="6AE77A80"/>
    <w:rsid w:val="6AE93D64"/>
    <w:rsid w:val="6AEE14A6"/>
    <w:rsid w:val="6AF0700F"/>
    <w:rsid w:val="6AF329A3"/>
    <w:rsid w:val="6AF519A5"/>
    <w:rsid w:val="6AF9345D"/>
    <w:rsid w:val="6AF93C50"/>
    <w:rsid w:val="6AFB72D3"/>
    <w:rsid w:val="6AFC64A2"/>
    <w:rsid w:val="6AFD3F76"/>
    <w:rsid w:val="6B00577D"/>
    <w:rsid w:val="6B0074AE"/>
    <w:rsid w:val="6B054E8E"/>
    <w:rsid w:val="6B066E87"/>
    <w:rsid w:val="6B0B6C5E"/>
    <w:rsid w:val="6B0C7694"/>
    <w:rsid w:val="6B113C64"/>
    <w:rsid w:val="6B153A4E"/>
    <w:rsid w:val="6B175E4A"/>
    <w:rsid w:val="6B182EC3"/>
    <w:rsid w:val="6B1A0FA1"/>
    <w:rsid w:val="6B206DDA"/>
    <w:rsid w:val="6B240ECE"/>
    <w:rsid w:val="6B245BD7"/>
    <w:rsid w:val="6B2B735F"/>
    <w:rsid w:val="6B2C6FF4"/>
    <w:rsid w:val="6B2D498A"/>
    <w:rsid w:val="6B2E7BAB"/>
    <w:rsid w:val="6B2F2157"/>
    <w:rsid w:val="6B317D3A"/>
    <w:rsid w:val="6B335507"/>
    <w:rsid w:val="6B347085"/>
    <w:rsid w:val="6B383F7F"/>
    <w:rsid w:val="6B3A4CF7"/>
    <w:rsid w:val="6B3C3132"/>
    <w:rsid w:val="6B3C7088"/>
    <w:rsid w:val="6B433C63"/>
    <w:rsid w:val="6B4A24D7"/>
    <w:rsid w:val="6B51051F"/>
    <w:rsid w:val="6B5477F9"/>
    <w:rsid w:val="6B5479CC"/>
    <w:rsid w:val="6B57098B"/>
    <w:rsid w:val="6B574BF4"/>
    <w:rsid w:val="6B5C4FF0"/>
    <w:rsid w:val="6B5D62CD"/>
    <w:rsid w:val="6B5E26C1"/>
    <w:rsid w:val="6B5E3DB2"/>
    <w:rsid w:val="6B607154"/>
    <w:rsid w:val="6B617C74"/>
    <w:rsid w:val="6B6305F0"/>
    <w:rsid w:val="6B6363E5"/>
    <w:rsid w:val="6B670AA1"/>
    <w:rsid w:val="6B6714C2"/>
    <w:rsid w:val="6B6B4C00"/>
    <w:rsid w:val="6B6C40AD"/>
    <w:rsid w:val="6B6D3829"/>
    <w:rsid w:val="6B6D4DC1"/>
    <w:rsid w:val="6B6E08BB"/>
    <w:rsid w:val="6B7164FF"/>
    <w:rsid w:val="6B721A2E"/>
    <w:rsid w:val="6B731213"/>
    <w:rsid w:val="6B746D42"/>
    <w:rsid w:val="6B787E2A"/>
    <w:rsid w:val="6B7D443A"/>
    <w:rsid w:val="6B827EC3"/>
    <w:rsid w:val="6B83716E"/>
    <w:rsid w:val="6B871E3D"/>
    <w:rsid w:val="6B8B39F9"/>
    <w:rsid w:val="6B920550"/>
    <w:rsid w:val="6B9251A7"/>
    <w:rsid w:val="6B940DD8"/>
    <w:rsid w:val="6B953955"/>
    <w:rsid w:val="6B96396E"/>
    <w:rsid w:val="6B9827B2"/>
    <w:rsid w:val="6B9D4CFC"/>
    <w:rsid w:val="6B9E0765"/>
    <w:rsid w:val="6BA0175F"/>
    <w:rsid w:val="6BA22313"/>
    <w:rsid w:val="6BA60E5B"/>
    <w:rsid w:val="6BA921DE"/>
    <w:rsid w:val="6BAC4F3F"/>
    <w:rsid w:val="6BAD2451"/>
    <w:rsid w:val="6BAD350C"/>
    <w:rsid w:val="6BAD39F0"/>
    <w:rsid w:val="6BAE54E6"/>
    <w:rsid w:val="6BAF7622"/>
    <w:rsid w:val="6BB53A3D"/>
    <w:rsid w:val="6BB53EC1"/>
    <w:rsid w:val="6BB60752"/>
    <w:rsid w:val="6BB86B73"/>
    <w:rsid w:val="6BB946DD"/>
    <w:rsid w:val="6BBA3B00"/>
    <w:rsid w:val="6BC24D36"/>
    <w:rsid w:val="6BC32B90"/>
    <w:rsid w:val="6BC3668D"/>
    <w:rsid w:val="6BC508B1"/>
    <w:rsid w:val="6BC551D1"/>
    <w:rsid w:val="6BC71D79"/>
    <w:rsid w:val="6BC9401A"/>
    <w:rsid w:val="6BD04770"/>
    <w:rsid w:val="6BD07229"/>
    <w:rsid w:val="6BDB3F1B"/>
    <w:rsid w:val="6BDF534D"/>
    <w:rsid w:val="6BE26680"/>
    <w:rsid w:val="6BE55EB2"/>
    <w:rsid w:val="6BE65369"/>
    <w:rsid w:val="6BE956D3"/>
    <w:rsid w:val="6BED2224"/>
    <w:rsid w:val="6BED3EEF"/>
    <w:rsid w:val="6BF6572A"/>
    <w:rsid w:val="6BF658E7"/>
    <w:rsid w:val="6BF65DF2"/>
    <w:rsid w:val="6BF85C3F"/>
    <w:rsid w:val="6BF85D97"/>
    <w:rsid w:val="6BF9021E"/>
    <w:rsid w:val="6BFB051C"/>
    <w:rsid w:val="6BFB400A"/>
    <w:rsid w:val="6BFC06FF"/>
    <w:rsid w:val="6BFC3A7E"/>
    <w:rsid w:val="6BFD27F8"/>
    <w:rsid w:val="6BFE414B"/>
    <w:rsid w:val="6C00662D"/>
    <w:rsid w:val="6C013C57"/>
    <w:rsid w:val="6C091515"/>
    <w:rsid w:val="6C0A644D"/>
    <w:rsid w:val="6C0D6958"/>
    <w:rsid w:val="6C0D7689"/>
    <w:rsid w:val="6C0E2A22"/>
    <w:rsid w:val="6C0F0314"/>
    <w:rsid w:val="6C0F2F9D"/>
    <w:rsid w:val="6C12651B"/>
    <w:rsid w:val="6C134FBF"/>
    <w:rsid w:val="6C140C5E"/>
    <w:rsid w:val="6C14422B"/>
    <w:rsid w:val="6C151BD5"/>
    <w:rsid w:val="6C1765A4"/>
    <w:rsid w:val="6C18649B"/>
    <w:rsid w:val="6C1A459F"/>
    <w:rsid w:val="6C1A7748"/>
    <w:rsid w:val="6C1B20C5"/>
    <w:rsid w:val="6C1C10C7"/>
    <w:rsid w:val="6C1E0AD5"/>
    <w:rsid w:val="6C1E28F4"/>
    <w:rsid w:val="6C213D8D"/>
    <w:rsid w:val="6C226F95"/>
    <w:rsid w:val="6C233FC7"/>
    <w:rsid w:val="6C247FEA"/>
    <w:rsid w:val="6C25118D"/>
    <w:rsid w:val="6C292A66"/>
    <w:rsid w:val="6C2F105D"/>
    <w:rsid w:val="6C30563A"/>
    <w:rsid w:val="6C316CD3"/>
    <w:rsid w:val="6C335E3D"/>
    <w:rsid w:val="6C3B62C3"/>
    <w:rsid w:val="6C4154C4"/>
    <w:rsid w:val="6C46256A"/>
    <w:rsid w:val="6C47032F"/>
    <w:rsid w:val="6C4778D4"/>
    <w:rsid w:val="6C4854D2"/>
    <w:rsid w:val="6C48572B"/>
    <w:rsid w:val="6C490E9D"/>
    <w:rsid w:val="6C494DA4"/>
    <w:rsid w:val="6C4F26F9"/>
    <w:rsid w:val="6C5178A5"/>
    <w:rsid w:val="6C53698A"/>
    <w:rsid w:val="6C53723C"/>
    <w:rsid w:val="6C550AC0"/>
    <w:rsid w:val="6C555862"/>
    <w:rsid w:val="6C570782"/>
    <w:rsid w:val="6C576085"/>
    <w:rsid w:val="6C577FF3"/>
    <w:rsid w:val="6C5A0FB1"/>
    <w:rsid w:val="6C5F4A0E"/>
    <w:rsid w:val="6C61269E"/>
    <w:rsid w:val="6C662FEC"/>
    <w:rsid w:val="6C6677E4"/>
    <w:rsid w:val="6C674506"/>
    <w:rsid w:val="6C690C27"/>
    <w:rsid w:val="6C6A4B89"/>
    <w:rsid w:val="6C6A6517"/>
    <w:rsid w:val="6C6D1EAA"/>
    <w:rsid w:val="6C6D4977"/>
    <w:rsid w:val="6C700940"/>
    <w:rsid w:val="6C70428D"/>
    <w:rsid w:val="6C70755C"/>
    <w:rsid w:val="6C731F01"/>
    <w:rsid w:val="6C751458"/>
    <w:rsid w:val="6C784FDF"/>
    <w:rsid w:val="6C7D4AD5"/>
    <w:rsid w:val="6C7F08A6"/>
    <w:rsid w:val="6C7F4C0F"/>
    <w:rsid w:val="6C830F96"/>
    <w:rsid w:val="6C845C47"/>
    <w:rsid w:val="6C8477D1"/>
    <w:rsid w:val="6C847C6A"/>
    <w:rsid w:val="6C870621"/>
    <w:rsid w:val="6C8720F1"/>
    <w:rsid w:val="6C8B76D2"/>
    <w:rsid w:val="6C8C5016"/>
    <w:rsid w:val="6C8C5ED1"/>
    <w:rsid w:val="6C8E7B77"/>
    <w:rsid w:val="6C8F3A96"/>
    <w:rsid w:val="6C92024E"/>
    <w:rsid w:val="6C976DD4"/>
    <w:rsid w:val="6C9A5082"/>
    <w:rsid w:val="6C9C7133"/>
    <w:rsid w:val="6C9F5185"/>
    <w:rsid w:val="6CA104D3"/>
    <w:rsid w:val="6CA24B4F"/>
    <w:rsid w:val="6CA55AB2"/>
    <w:rsid w:val="6CA6795D"/>
    <w:rsid w:val="6CA72809"/>
    <w:rsid w:val="6CA75A03"/>
    <w:rsid w:val="6CA860FB"/>
    <w:rsid w:val="6CAB169B"/>
    <w:rsid w:val="6CB37450"/>
    <w:rsid w:val="6CB446B3"/>
    <w:rsid w:val="6CB5377E"/>
    <w:rsid w:val="6CBF39D8"/>
    <w:rsid w:val="6CC00119"/>
    <w:rsid w:val="6CC17256"/>
    <w:rsid w:val="6CC32F80"/>
    <w:rsid w:val="6CC511BE"/>
    <w:rsid w:val="6CC54164"/>
    <w:rsid w:val="6CC9075F"/>
    <w:rsid w:val="6CC913B2"/>
    <w:rsid w:val="6CCA6C2C"/>
    <w:rsid w:val="6CCA76B7"/>
    <w:rsid w:val="6CCB2986"/>
    <w:rsid w:val="6CD53CD2"/>
    <w:rsid w:val="6CD7414C"/>
    <w:rsid w:val="6CDB5F37"/>
    <w:rsid w:val="6CDC06CD"/>
    <w:rsid w:val="6CE04FEA"/>
    <w:rsid w:val="6CE34991"/>
    <w:rsid w:val="6CE359EC"/>
    <w:rsid w:val="6CE77299"/>
    <w:rsid w:val="6CE97BA9"/>
    <w:rsid w:val="6CEC0CC7"/>
    <w:rsid w:val="6CED5810"/>
    <w:rsid w:val="6CEE0900"/>
    <w:rsid w:val="6CEE35FB"/>
    <w:rsid w:val="6CEF35DE"/>
    <w:rsid w:val="6CF070AE"/>
    <w:rsid w:val="6CF15EA2"/>
    <w:rsid w:val="6CF41262"/>
    <w:rsid w:val="6CF45C28"/>
    <w:rsid w:val="6CF65DCA"/>
    <w:rsid w:val="6CF748E0"/>
    <w:rsid w:val="6CFC5EFF"/>
    <w:rsid w:val="6D004BFF"/>
    <w:rsid w:val="6D033285"/>
    <w:rsid w:val="6D047B1F"/>
    <w:rsid w:val="6D0644E2"/>
    <w:rsid w:val="6D0665C2"/>
    <w:rsid w:val="6D081D3B"/>
    <w:rsid w:val="6D082D7D"/>
    <w:rsid w:val="6D085009"/>
    <w:rsid w:val="6D094677"/>
    <w:rsid w:val="6D095263"/>
    <w:rsid w:val="6D0B2B1F"/>
    <w:rsid w:val="6D0C2BFA"/>
    <w:rsid w:val="6D0E1788"/>
    <w:rsid w:val="6D0E7A56"/>
    <w:rsid w:val="6D0F5627"/>
    <w:rsid w:val="6D102716"/>
    <w:rsid w:val="6D106DAA"/>
    <w:rsid w:val="6D115469"/>
    <w:rsid w:val="6D143516"/>
    <w:rsid w:val="6D181BA4"/>
    <w:rsid w:val="6D193707"/>
    <w:rsid w:val="6D1C0937"/>
    <w:rsid w:val="6D214B8E"/>
    <w:rsid w:val="6D217093"/>
    <w:rsid w:val="6D2531FB"/>
    <w:rsid w:val="6D275E62"/>
    <w:rsid w:val="6D2879BE"/>
    <w:rsid w:val="6D2C7989"/>
    <w:rsid w:val="6D2E0FA5"/>
    <w:rsid w:val="6D315068"/>
    <w:rsid w:val="6D32763E"/>
    <w:rsid w:val="6D354699"/>
    <w:rsid w:val="6D3A5127"/>
    <w:rsid w:val="6D3E1875"/>
    <w:rsid w:val="6D401A32"/>
    <w:rsid w:val="6D445D4F"/>
    <w:rsid w:val="6D456808"/>
    <w:rsid w:val="6D463172"/>
    <w:rsid w:val="6D46762A"/>
    <w:rsid w:val="6D4904D6"/>
    <w:rsid w:val="6D4E4ADE"/>
    <w:rsid w:val="6D4F2026"/>
    <w:rsid w:val="6D4F3BE3"/>
    <w:rsid w:val="6D4F46E5"/>
    <w:rsid w:val="6D534CB0"/>
    <w:rsid w:val="6D540948"/>
    <w:rsid w:val="6D567DD4"/>
    <w:rsid w:val="6D631F76"/>
    <w:rsid w:val="6D633DCC"/>
    <w:rsid w:val="6D6672C9"/>
    <w:rsid w:val="6D682B11"/>
    <w:rsid w:val="6D6B72A5"/>
    <w:rsid w:val="6D6C64F6"/>
    <w:rsid w:val="6D6E5093"/>
    <w:rsid w:val="6D714C37"/>
    <w:rsid w:val="6D727CF9"/>
    <w:rsid w:val="6D7557D8"/>
    <w:rsid w:val="6D783AE0"/>
    <w:rsid w:val="6D7915EE"/>
    <w:rsid w:val="6D797E92"/>
    <w:rsid w:val="6D7A1E30"/>
    <w:rsid w:val="6D7B06E1"/>
    <w:rsid w:val="6D7B35DF"/>
    <w:rsid w:val="6D7C7517"/>
    <w:rsid w:val="6D7E290C"/>
    <w:rsid w:val="6D840C5B"/>
    <w:rsid w:val="6D856631"/>
    <w:rsid w:val="6D882AC2"/>
    <w:rsid w:val="6D8B2E7C"/>
    <w:rsid w:val="6D8D0DA1"/>
    <w:rsid w:val="6D8D53C7"/>
    <w:rsid w:val="6D8F665B"/>
    <w:rsid w:val="6D8F6F5F"/>
    <w:rsid w:val="6D9138EF"/>
    <w:rsid w:val="6D95190B"/>
    <w:rsid w:val="6D9914F3"/>
    <w:rsid w:val="6D9C5FE6"/>
    <w:rsid w:val="6D9D6E3E"/>
    <w:rsid w:val="6DA25FF6"/>
    <w:rsid w:val="6DA31C56"/>
    <w:rsid w:val="6DA5010B"/>
    <w:rsid w:val="6DA74F38"/>
    <w:rsid w:val="6DA81AEC"/>
    <w:rsid w:val="6DA82D7E"/>
    <w:rsid w:val="6DAA7A77"/>
    <w:rsid w:val="6DAF6F88"/>
    <w:rsid w:val="6DAF74B1"/>
    <w:rsid w:val="6DB0638F"/>
    <w:rsid w:val="6DB13C95"/>
    <w:rsid w:val="6DB17AC5"/>
    <w:rsid w:val="6DB259F2"/>
    <w:rsid w:val="6DB82A31"/>
    <w:rsid w:val="6DB82F34"/>
    <w:rsid w:val="6DBB590E"/>
    <w:rsid w:val="6DBE5545"/>
    <w:rsid w:val="6DC02F24"/>
    <w:rsid w:val="6DC030CA"/>
    <w:rsid w:val="6DC401EF"/>
    <w:rsid w:val="6DC458E1"/>
    <w:rsid w:val="6DC573BB"/>
    <w:rsid w:val="6DC619E8"/>
    <w:rsid w:val="6DC9002B"/>
    <w:rsid w:val="6DCA5A04"/>
    <w:rsid w:val="6DCC153E"/>
    <w:rsid w:val="6DCC6D3F"/>
    <w:rsid w:val="6DCE0E02"/>
    <w:rsid w:val="6DCE5641"/>
    <w:rsid w:val="6DCF2066"/>
    <w:rsid w:val="6DCF3167"/>
    <w:rsid w:val="6DCF760B"/>
    <w:rsid w:val="6DD54680"/>
    <w:rsid w:val="6DD644F6"/>
    <w:rsid w:val="6DDB58A9"/>
    <w:rsid w:val="6DDB6304"/>
    <w:rsid w:val="6DDE33AA"/>
    <w:rsid w:val="6DE23911"/>
    <w:rsid w:val="6DE3143D"/>
    <w:rsid w:val="6DE7633C"/>
    <w:rsid w:val="6DE96A89"/>
    <w:rsid w:val="6DEC3D19"/>
    <w:rsid w:val="6DED4998"/>
    <w:rsid w:val="6DEE5CE3"/>
    <w:rsid w:val="6DF00CE3"/>
    <w:rsid w:val="6DF05121"/>
    <w:rsid w:val="6DF316A7"/>
    <w:rsid w:val="6DF64B98"/>
    <w:rsid w:val="6DF97DCB"/>
    <w:rsid w:val="6DFE033C"/>
    <w:rsid w:val="6DFF3A4C"/>
    <w:rsid w:val="6DFF3F98"/>
    <w:rsid w:val="6E001C2F"/>
    <w:rsid w:val="6E055278"/>
    <w:rsid w:val="6E064069"/>
    <w:rsid w:val="6E07576C"/>
    <w:rsid w:val="6E0804AE"/>
    <w:rsid w:val="6E084EE2"/>
    <w:rsid w:val="6E0B19B1"/>
    <w:rsid w:val="6E0C0437"/>
    <w:rsid w:val="6E0F17E2"/>
    <w:rsid w:val="6E0F1B94"/>
    <w:rsid w:val="6E104136"/>
    <w:rsid w:val="6E123086"/>
    <w:rsid w:val="6E1248CB"/>
    <w:rsid w:val="6E126BF3"/>
    <w:rsid w:val="6E127DA5"/>
    <w:rsid w:val="6E1374F8"/>
    <w:rsid w:val="6E1B0647"/>
    <w:rsid w:val="6E1B34D4"/>
    <w:rsid w:val="6E1B57C6"/>
    <w:rsid w:val="6E1C354D"/>
    <w:rsid w:val="6E1C7B6C"/>
    <w:rsid w:val="6E1F733F"/>
    <w:rsid w:val="6E217E67"/>
    <w:rsid w:val="6E223088"/>
    <w:rsid w:val="6E2279AD"/>
    <w:rsid w:val="6E23280C"/>
    <w:rsid w:val="6E2551EB"/>
    <w:rsid w:val="6E2805F1"/>
    <w:rsid w:val="6E290276"/>
    <w:rsid w:val="6E292877"/>
    <w:rsid w:val="6E2930F1"/>
    <w:rsid w:val="6E2B354E"/>
    <w:rsid w:val="6E2E60E0"/>
    <w:rsid w:val="6E2F772D"/>
    <w:rsid w:val="6E3405DF"/>
    <w:rsid w:val="6E355C2F"/>
    <w:rsid w:val="6E3D0D24"/>
    <w:rsid w:val="6E3F5989"/>
    <w:rsid w:val="6E416394"/>
    <w:rsid w:val="6E4720E0"/>
    <w:rsid w:val="6E4A1A1D"/>
    <w:rsid w:val="6E4B47F4"/>
    <w:rsid w:val="6E4D6A7E"/>
    <w:rsid w:val="6E4E267A"/>
    <w:rsid w:val="6E503125"/>
    <w:rsid w:val="6E512CFB"/>
    <w:rsid w:val="6E5436F5"/>
    <w:rsid w:val="6E587601"/>
    <w:rsid w:val="6E5E0EE8"/>
    <w:rsid w:val="6E615455"/>
    <w:rsid w:val="6E6157BA"/>
    <w:rsid w:val="6E6256BB"/>
    <w:rsid w:val="6E631B44"/>
    <w:rsid w:val="6E664B1F"/>
    <w:rsid w:val="6E676897"/>
    <w:rsid w:val="6E6B7334"/>
    <w:rsid w:val="6E6C1A8F"/>
    <w:rsid w:val="6E6D6AD1"/>
    <w:rsid w:val="6E6F4FA9"/>
    <w:rsid w:val="6E746CF6"/>
    <w:rsid w:val="6E763DDE"/>
    <w:rsid w:val="6E7912F6"/>
    <w:rsid w:val="6E792975"/>
    <w:rsid w:val="6E7A7950"/>
    <w:rsid w:val="6E7E2ECB"/>
    <w:rsid w:val="6E7F2D71"/>
    <w:rsid w:val="6E8B17BF"/>
    <w:rsid w:val="6E9035F7"/>
    <w:rsid w:val="6E9249A9"/>
    <w:rsid w:val="6E9732E0"/>
    <w:rsid w:val="6E974220"/>
    <w:rsid w:val="6E975E65"/>
    <w:rsid w:val="6E992321"/>
    <w:rsid w:val="6E9A632D"/>
    <w:rsid w:val="6E9D4843"/>
    <w:rsid w:val="6E9E24DB"/>
    <w:rsid w:val="6E9F5F0F"/>
    <w:rsid w:val="6EA052D4"/>
    <w:rsid w:val="6EA13A4A"/>
    <w:rsid w:val="6EA14B04"/>
    <w:rsid w:val="6EA6211A"/>
    <w:rsid w:val="6EA67A45"/>
    <w:rsid w:val="6EAE7D63"/>
    <w:rsid w:val="6EB0109A"/>
    <w:rsid w:val="6EB05986"/>
    <w:rsid w:val="6EB505AF"/>
    <w:rsid w:val="6EB6516C"/>
    <w:rsid w:val="6EB92A54"/>
    <w:rsid w:val="6EBA023B"/>
    <w:rsid w:val="6EBC57BB"/>
    <w:rsid w:val="6EBF31D4"/>
    <w:rsid w:val="6EC0611F"/>
    <w:rsid w:val="6EC852CA"/>
    <w:rsid w:val="6ECA2C08"/>
    <w:rsid w:val="6ECA7156"/>
    <w:rsid w:val="6ECD151F"/>
    <w:rsid w:val="6ED31D3C"/>
    <w:rsid w:val="6ED31F21"/>
    <w:rsid w:val="6EDA0016"/>
    <w:rsid w:val="6EDC4272"/>
    <w:rsid w:val="6EE07D7A"/>
    <w:rsid w:val="6EE14E7F"/>
    <w:rsid w:val="6EE371BB"/>
    <w:rsid w:val="6EE42C42"/>
    <w:rsid w:val="6EE45789"/>
    <w:rsid w:val="6EE63431"/>
    <w:rsid w:val="6EE74C2A"/>
    <w:rsid w:val="6EE844E0"/>
    <w:rsid w:val="6EE85E67"/>
    <w:rsid w:val="6EE97E30"/>
    <w:rsid w:val="6EEC1ABE"/>
    <w:rsid w:val="6EEC288E"/>
    <w:rsid w:val="6EF227B9"/>
    <w:rsid w:val="6EF42A20"/>
    <w:rsid w:val="6EF56BFD"/>
    <w:rsid w:val="6EF87E5F"/>
    <w:rsid w:val="6EFB36AC"/>
    <w:rsid w:val="6EFD1169"/>
    <w:rsid w:val="6EFF13A4"/>
    <w:rsid w:val="6F0076B1"/>
    <w:rsid w:val="6F020D66"/>
    <w:rsid w:val="6F03756C"/>
    <w:rsid w:val="6F05645C"/>
    <w:rsid w:val="6F067AF9"/>
    <w:rsid w:val="6F085273"/>
    <w:rsid w:val="6F0F7058"/>
    <w:rsid w:val="6F103D05"/>
    <w:rsid w:val="6F1162CD"/>
    <w:rsid w:val="6F143527"/>
    <w:rsid w:val="6F1C23DC"/>
    <w:rsid w:val="6F1E6154"/>
    <w:rsid w:val="6F200221"/>
    <w:rsid w:val="6F217E08"/>
    <w:rsid w:val="6F2335C5"/>
    <w:rsid w:val="6F27766F"/>
    <w:rsid w:val="6F293A6D"/>
    <w:rsid w:val="6F2A2D4B"/>
    <w:rsid w:val="6F2B114E"/>
    <w:rsid w:val="6F2D7C40"/>
    <w:rsid w:val="6F2E68FB"/>
    <w:rsid w:val="6F2F1A33"/>
    <w:rsid w:val="6F300FF4"/>
    <w:rsid w:val="6F305A34"/>
    <w:rsid w:val="6F317176"/>
    <w:rsid w:val="6F3331BA"/>
    <w:rsid w:val="6F3A6607"/>
    <w:rsid w:val="6F3B202A"/>
    <w:rsid w:val="6F3C781D"/>
    <w:rsid w:val="6F3D7B1F"/>
    <w:rsid w:val="6F3F35BC"/>
    <w:rsid w:val="6F3F7DDB"/>
    <w:rsid w:val="6F476495"/>
    <w:rsid w:val="6F4826E7"/>
    <w:rsid w:val="6F4A519B"/>
    <w:rsid w:val="6F4B4086"/>
    <w:rsid w:val="6F4F4560"/>
    <w:rsid w:val="6F553CE4"/>
    <w:rsid w:val="6F553D2B"/>
    <w:rsid w:val="6F584415"/>
    <w:rsid w:val="6F5B1156"/>
    <w:rsid w:val="6F5C0A2B"/>
    <w:rsid w:val="6F5D1F1D"/>
    <w:rsid w:val="6F5E47A3"/>
    <w:rsid w:val="6F600899"/>
    <w:rsid w:val="6F604EE7"/>
    <w:rsid w:val="6F616041"/>
    <w:rsid w:val="6F622CE1"/>
    <w:rsid w:val="6F670A5E"/>
    <w:rsid w:val="6F6C3318"/>
    <w:rsid w:val="6F751AEC"/>
    <w:rsid w:val="6F766A29"/>
    <w:rsid w:val="6F791BAB"/>
    <w:rsid w:val="6F7A4E7A"/>
    <w:rsid w:val="6F7E0DD9"/>
    <w:rsid w:val="6F801E37"/>
    <w:rsid w:val="6F822C95"/>
    <w:rsid w:val="6F8254D7"/>
    <w:rsid w:val="6F83008F"/>
    <w:rsid w:val="6F8B41AD"/>
    <w:rsid w:val="6F8B567A"/>
    <w:rsid w:val="6F8C18E0"/>
    <w:rsid w:val="6F907BC8"/>
    <w:rsid w:val="6F913D15"/>
    <w:rsid w:val="6F93255C"/>
    <w:rsid w:val="6F961206"/>
    <w:rsid w:val="6F97431D"/>
    <w:rsid w:val="6F9743EE"/>
    <w:rsid w:val="6F977CB5"/>
    <w:rsid w:val="6F9836F2"/>
    <w:rsid w:val="6F99661B"/>
    <w:rsid w:val="6F9C1C49"/>
    <w:rsid w:val="6F9C351D"/>
    <w:rsid w:val="6F9D54D3"/>
    <w:rsid w:val="6F9D656A"/>
    <w:rsid w:val="6FA02219"/>
    <w:rsid w:val="6FA30F8C"/>
    <w:rsid w:val="6FA34D5E"/>
    <w:rsid w:val="6FA4765D"/>
    <w:rsid w:val="6FA52A46"/>
    <w:rsid w:val="6FA72C07"/>
    <w:rsid w:val="6FAB209B"/>
    <w:rsid w:val="6FAB550E"/>
    <w:rsid w:val="6FB23021"/>
    <w:rsid w:val="6FB55355"/>
    <w:rsid w:val="6FB56432"/>
    <w:rsid w:val="6FB940CF"/>
    <w:rsid w:val="6FBA616B"/>
    <w:rsid w:val="6FBB747B"/>
    <w:rsid w:val="6FBD596D"/>
    <w:rsid w:val="6FC30AAA"/>
    <w:rsid w:val="6FC316A4"/>
    <w:rsid w:val="6FC34F4E"/>
    <w:rsid w:val="6FC36F1D"/>
    <w:rsid w:val="6FC56503"/>
    <w:rsid w:val="6FC97CA4"/>
    <w:rsid w:val="6FCB6507"/>
    <w:rsid w:val="6FCD59AE"/>
    <w:rsid w:val="6FD0295A"/>
    <w:rsid w:val="6FD247C4"/>
    <w:rsid w:val="6FD514BF"/>
    <w:rsid w:val="6FD51DC4"/>
    <w:rsid w:val="6FD77526"/>
    <w:rsid w:val="6FD9003F"/>
    <w:rsid w:val="6FDA7528"/>
    <w:rsid w:val="6FDB1851"/>
    <w:rsid w:val="6FDD13FD"/>
    <w:rsid w:val="6FE54DE5"/>
    <w:rsid w:val="6FE72402"/>
    <w:rsid w:val="6FED580B"/>
    <w:rsid w:val="6FED61FD"/>
    <w:rsid w:val="6FEE4E21"/>
    <w:rsid w:val="6FF06616"/>
    <w:rsid w:val="6FF11ABB"/>
    <w:rsid w:val="6FF20E30"/>
    <w:rsid w:val="6FF45107"/>
    <w:rsid w:val="6FF63201"/>
    <w:rsid w:val="6FFB3825"/>
    <w:rsid w:val="700043FB"/>
    <w:rsid w:val="70040549"/>
    <w:rsid w:val="70045CF5"/>
    <w:rsid w:val="700C2451"/>
    <w:rsid w:val="700E262A"/>
    <w:rsid w:val="700F6F22"/>
    <w:rsid w:val="70117CAC"/>
    <w:rsid w:val="70131A31"/>
    <w:rsid w:val="701477CC"/>
    <w:rsid w:val="70152ABE"/>
    <w:rsid w:val="70184615"/>
    <w:rsid w:val="70195B15"/>
    <w:rsid w:val="701A644E"/>
    <w:rsid w:val="701B5775"/>
    <w:rsid w:val="701B6B38"/>
    <w:rsid w:val="701F5C66"/>
    <w:rsid w:val="70215CA2"/>
    <w:rsid w:val="7023225B"/>
    <w:rsid w:val="70242149"/>
    <w:rsid w:val="7026362D"/>
    <w:rsid w:val="702713A8"/>
    <w:rsid w:val="70294DB1"/>
    <w:rsid w:val="70295774"/>
    <w:rsid w:val="702A08B8"/>
    <w:rsid w:val="702C00FF"/>
    <w:rsid w:val="702C25EA"/>
    <w:rsid w:val="702E686B"/>
    <w:rsid w:val="702F3DFE"/>
    <w:rsid w:val="702F5A66"/>
    <w:rsid w:val="70305275"/>
    <w:rsid w:val="70310109"/>
    <w:rsid w:val="70314C82"/>
    <w:rsid w:val="70321101"/>
    <w:rsid w:val="7036688B"/>
    <w:rsid w:val="703674CE"/>
    <w:rsid w:val="703A3942"/>
    <w:rsid w:val="703F608D"/>
    <w:rsid w:val="70403167"/>
    <w:rsid w:val="70410E09"/>
    <w:rsid w:val="70422E0E"/>
    <w:rsid w:val="704240C4"/>
    <w:rsid w:val="70425E72"/>
    <w:rsid w:val="70466EDF"/>
    <w:rsid w:val="70486693"/>
    <w:rsid w:val="704A0AB4"/>
    <w:rsid w:val="704A578B"/>
    <w:rsid w:val="704E7549"/>
    <w:rsid w:val="705753D2"/>
    <w:rsid w:val="705873D4"/>
    <w:rsid w:val="705D052E"/>
    <w:rsid w:val="705F69FF"/>
    <w:rsid w:val="70645DE9"/>
    <w:rsid w:val="70667FFE"/>
    <w:rsid w:val="706806C0"/>
    <w:rsid w:val="706A1742"/>
    <w:rsid w:val="706D41D5"/>
    <w:rsid w:val="706D45F8"/>
    <w:rsid w:val="70725808"/>
    <w:rsid w:val="70754E0C"/>
    <w:rsid w:val="707654F7"/>
    <w:rsid w:val="70771D07"/>
    <w:rsid w:val="70787360"/>
    <w:rsid w:val="707C674C"/>
    <w:rsid w:val="707C7D37"/>
    <w:rsid w:val="707D035D"/>
    <w:rsid w:val="707E6E5C"/>
    <w:rsid w:val="707F7C08"/>
    <w:rsid w:val="70811415"/>
    <w:rsid w:val="70863FD4"/>
    <w:rsid w:val="70865BE6"/>
    <w:rsid w:val="70893D5F"/>
    <w:rsid w:val="708B683E"/>
    <w:rsid w:val="708E332A"/>
    <w:rsid w:val="708E61A7"/>
    <w:rsid w:val="70914020"/>
    <w:rsid w:val="70915DAF"/>
    <w:rsid w:val="70916ECB"/>
    <w:rsid w:val="70922A05"/>
    <w:rsid w:val="70952446"/>
    <w:rsid w:val="70961A2E"/>
    <w:rsid w:val="709739EE"/>
    <w:rsid w:val="7098678E"/>
    <w:rsid w:val="70996E9D"/>
    <w:rsid w:val="709C14ED"/>
    <w:rsid w:val="709D6A6C"/>
    <w:rsid w:val="70A015C7"/>
    <w:rsid w:val="70A36C22"/>
    <w:rsid w:val="70A73D8B"/>
    <w:rsid w:val="70A9273C"/>
    <w:rsid w:val="70AB0C2A"/>
    <w:rsid w:val="70B12FF8"/>
    <w:rsid w:val="70B27495"/>
    <w:rsid w:val="70B30C86"/>
    <w:rsid w:val="70B570F7"/>
    <w:rsid w:val="70B610FC"/>
    <w:rsid w:val="70B636FB"/>
    <w:rsid w:val="70B768A6"/>
    <w:rsid w:val="70BA0A50"/>
    <w:rsid w:val="70BB6365"/>
    <w:rsid w:val="70BC7613"/>
    <w:rsid w:val="70BE3E4B"/>
    <w:rsid w:val="70C11D94"/>
    <w:rsid w:val="70C30FB8"/>
    <w:rsid w:val="70C33D01"/>
    <w:rsid w:val="70C76736"/>
    <w:rsid w:val="70C77DB5"/>
    <w:rsid w:val="70C90926"/>
    <w:rsid w:val="70C932C9"/>
    <w:rsid w:val="70CB51A2"/>
    <w:rsid w:val="70CE5745"/>
    <w:rsid w:val="70D02458"/>
    <w:rsid w:val="70D25448"/>
    <w:rsid w:val="70D557FF"/>
    <w:rsid w:val="70D60DE6"/>
    <w:rsid w:val="70D6173E"/>
    <w:rsid w:val="70D6480D"/>
    <w:rsid w:val="70D66CD1"/>
    <w:rsid w:val="70D838A6"/>
    <w:rsid w:val="70D9082D"/>
    <w:rsid w:val="70DA26BC"/>
    <w:rsid w:val="70DD283C"/>
    <w:rsid w:val="70DD52D8"/>
    <w:rsid w:val="70DE0932"/>
    <w:rsid w:val="70E2541F"/>
    <w:rsid w:val="70E3475F"/>
    <w:rsid w:val="70E62CA2"/>
    <w:rsid w:val="70EA66E4"/>
    <w:rsid w:val="70EA7C45"/>
    <w:rsid w:val="70ED3A41"/>
    <w:rsid w:val="70EE5D63"/>
    <w:rsid w:val="70F141C7"/>
    <w:rsid w:val="70F16514"/>
    <w:rsid w:val="70F67D06"/>
    <w:rsid w:val="70F825FB"/>
    <w:rsid w:val="70F924FA"/>
    <w:rsid w:val="70FB46B2"/>
    <w:rsid w:val="710109F7"/>
    <w:rsid w:val="7101281F"/>
    <w:rsid w:val="71016EA5"/>
    <w:rsid w:val="7103542A"/>
    <w:rsid w:val="7104137A"/>
    <w:rsid w:val="710458DF"/>
    <w:rsid w:val="71081E1F"/>
    <w:rsid w:val="7109378E"/>
    <w:rsid w:val="710A3B6B"/>
    <w:rsid w:val="710D229C"/>
    <w:rsid w:val="710D6C4C"/>
    <w:rsid w:val="710E4026"/>
    <w:rsid w:val="710F4F15"/>
    <w:rsid w:val="711225A3"/>
    <w:rsid w:val="71124C30"/>
    <w:rsid w:val="71153587"/>
    <w:rsid w:val="71190871"/>
    <w:rsid w:val="711B1CD0"/>
    <w:rsid w:val="711C707A"/>
    <w:rsid w:val="711E5E4C"/>
    <w:rsid w:val="712213B9"/>
    <w:rsid w:val="71233116"/>
    <w:rsid w:val="71262903"/>
    <w:rsid w:val="7128373A"/>
    <w:rsid w:val="71294189"/>
    <w:rsid w:val="71295006"/>
    <w:rsid w:val="712A0CBB"/>
    <w:rsid w:val="712B4B58"/>
    <w:rsid w:val="712B57A9"/>
    <w:rsid w:val="712D110A"/>
    <w:rsid w:val="71337972"/>
    <w:rsid w:val="71344B26"/>
    <w:rsid w:val="71346BAD"/>
    <w:rsid w:val="713566F6"/>
    <w:rsid w:val="71365DAB"/>
    <w:rsid w:val="713741DD"/>
    <w:rsid w:val="71397C1D"/>
    <w:rsid w:val="713A194F"/>
    <w:rsid w:val="713B51F4"/>
    <w:rsid w:val="713D33C4"/>
    <w:rsid w:val="713E622C"/>
    <w:rsid w:val="71411DC8"/>
    <w:rsid w:val="7145409B"/>
    <w:rsid w:val="714767C7"/>
    <w:rsid w:val="714A120F"/>
    <w:rsid w:val="714B0D57"/>
    <w:rsid w:val="714B2F76"/>
    <w:rsid w:val="714B407D"/>
    <w:rsid w:val="714B49C8"/>
    <w:rsid w:val="714D094A"/>
    <w:rsid w:val="714D2B0C"/>
    <w:rsid w:val="714E7944"/>
    <w:rsid w:val="715123AB"/>
    <w:rsid w:val="715459EB"/>
    <w:rsid w:val="71551BD5"/>
    <w:rsid w:val="71551C8B"/>
    <w:rsid w:val="71594B6E"/>
    <w:rsid w:val="715A225C"/>
    <w:rsid w:val="715A6CDB"/>
    <w:rsid w:val="715C03A6"/>
    <w:rsid w:val="715C1F07"/>
    <w:rsid w:val="715E3288"/>
    <w:rsid w:val="715E3D75"/>
    <w:rsid w:val="715F209E"/>
    <w:rsid w:val="7161155E"/>
    <w:rsid w:val="716212F8"/>
    <w:rsid w:val="716744AF"/>
    <w:rsid w:val="716804B3"/>
    <w:rsid w:val="716A0C67"/>
    <w:rsid w:val="716A5647"/>
    <w:rsid w:val="716B7E63"/>
    <w:rsid w:val="716D2250"/>
    <w:rsid w:val="716D6F1F"/>
    <w:rsid w:val="716E3798"/>
    <w:rsid w:val="716F2C97"/>
    <w:rsid w:val="716F7097"/>
    <w:rsid w:val="717007BD"/>
    <w:rsid w:val="71701CC0"/>
    <w:rsid w:val="71721D45"/>
    <w:rsid w:val="71722E9B"/>
    <w:rsid w:val="717342CC"/>
    <w:rsid w:val="71762D77"/>
    <w:rsid w:val="71780C0C"/>
    <w:rsid w:val="71796B56"/>
    <w:rsid w:val="717B788E"/>
    <w:rsid w:val="717D3901"/>
    <w:rsid w:val="71812120"/>
    <w:rsid w:val="718343F4"/>
    <w:rsid w:val="71837D60"/>
    <w:rsid w:val="7185734E"/>
    <w:rsid w:val="718657DA"/>
    <w:rsid w:val="71865CDC"/>
    <w:rsid w:val="7189187F"/>
    <w:rsid w:val="718C3B7B"/>
    <w:rsid w:val="718E0305"/>
    <w:rsid w:val="719017A3"/>
    <w:rsid w:val="71910C77"/>
    <w:rsid w:val="719162C1"/>
    <w:rsid w:val="71923FE6"/>
    <w:rsid w:val="7194661E"/>
    <w:rsid w:val="7197665A"/>
    <w:rsid w:val="719B6C5A"/>
    <w:rsid w:val="719D1F0B"/>
    <w:rsid w:val="719D4BAA"/>
    <w:rsid w:val="719F34A1"/>
    <w:rsid w:val="71A03799"/>
    <w:rsid w:val="71A0530C"/>
    <w:rsid w:val="71A05546"/>
    <w:rsid w:val="71A263EF"/>
    <w:rsid w:val="71A27695"/>
    <w:rsid w:val="71A679DC"/>
    <w:rsid w:val="71A736B6"/>
    <w:rsid w:val="71A84A13"/>
    <w:rsid w:val="71AA1416"/>
    <w:rsid w:val="71AB0660"/>
    <w:rsid w:val="71AC4150"/>
    <w:rsid w:val="71AD32E2"/>
    <w:rsid w:val="71AE0FE0"/>
    <w:rsid w:val="71B0505E"/>
    <w:rsid w:val="71B11502"/>
    <w:rsid w:val="71B6757A"/>
    <w:rsid w:val="71B966B5"/>
    <w:rsid w:val="71BC3C7D"/>
    <w:rsid w:val="71BD1173"/>
    <w:rsid w:val="71BF24B7"/>
    <w:rsid w:val="71C07997"/>
    <w:rsid w:val="71C145B5"/>
    <w:rsid w:val="71C47283"/>
    <w:rsid w:val="71C528C3"/>
    <w:rsid w:val="71C53D62"/>
    <w:rsid w:val="71C53DEB"/>
    <w:rsid w:val="71CB47DF"/>
    <w:rsid w:val="71CB61C5"/>
    <w:rsid w:val="71CC0ED0"/>
    <w:rsid w:val="71CD0189"/>
    <w:rsid w:val="71CE0FF8"/>
    <w:rsid w:val="71D12D5E"/>
    <w:rsid w:val="71D560DE"/>
    <w:rsid w:val="71D710AF"/>
    <w:rsid w:val="71D83CDA"/>
    <w:rsid w:val="71D921FA"/>
    <w:rsid w:val="71D945B4"/>
    <w:rsid w:val="71DA5107"/>
    <w:rsid w:val="71DA7A0D"/>
    <w:rsid w:val="71DC6389"/>
    <w:rsid w:val="71DD389D"/>
    <w:rsid w:val="71E205DC"/>
    <w:rsid w:val="71E37746"/>
    <w:rsid w:val="71E425D9"/>
    <w:rsid w:val="71E62378"/>
    <w:rsid w:val="71E96CF5"/>
    <w:rsid w:val="71EA2912"/>
    <w:rsid w:val="71EE649E"/>
    <w:rsid w:val="71F075F6"/>
    <w:rsid w:val="71F229EF"/>
    <w:rsid w:val="71F25309"/>
    <w:rsid w:val="71F25ED0"/>
    <w:rsid w:val="71F44D56"/>
    <w:rsid w:val="71F53225"/>
    <w:rsid w:val="71F54D11"/>
    <w:rsid w:val="71F648D9"/>
    <w:rsid w:val="71F65568"/>
    <w:rsid w:val="71F711EA"/>
    <w:rsid w:val="72004276"/>
    <w:rsid w:val="72030286"/>
    <w:rsid w:val="72040D8D"/>
    <w:rsid w:val="72077956"/>
    <w:rsid w:val="72083B4D"/>
    <w:rsid w:val="720C58E5"/>
    <w:rsid w:val="7210772D"/>
    <w:rsid w:val="72115E0F"/>
    <w:rsid w:val="721C3014"/>
    <w:rsid w:val="721F3415"/>
    <w:rsid w:val="72220260"/>
    <w:rsid w:val="72222576"/>
    <w:rsid w:val="722A08FC"/>
    <w:rsid w:val="722F749A"/>
    <w:rsid w:val="72304916"/>
    <w:rsid w:val="72305223"/>
    <w:rsid w:val="72370F37"/>
    <w:rsid w:val="72380069"/>
    <w:rsid w:val="723A3C08"/>
    <w:rsid w:val="723B6980"/>
    <w:rsid w:val="723C6F9A"/>
    <w:rsid w:val="724142E4"/>
    <w:rsid w:val="72426DB5"/>
    <w:rsid w:val="72467C5C"/>
    <w:rsid w:val="724707FA"/>
    <w:rsid w:val="724E4FA2"/>
    <w:rsid w:val="724F2AC9"/>
    <w:rsid w:val="72503B93"/>
    <w:rsid w:val="72507091"/>
    <w:rsid w:val="72520383"/>
    <w:rsid w:val="725235ED"/>
    <w:rsid w:val="72561E95"/>
    <w:rsid w:val="725A7D3C"/>
    <w:rsid w:val="725C6476"/>
    <w:rsid w:val="725D51E5"/>
    <w:rsid w:val="725D5F19"/>
    <w:rsid w:val="726117BB"/>
    <w:rsid w:val="72621780"/>
    <w:rsid w:val="726244D5"/>
    <w:rsid w:val="72633A90"/>
    <w:rsid w:val="726375F7"/>
    <w:rsid w:val="72672516"/>
    <w:rsid w:val="72694678"/>
    <w:rsid w:val="72695938"/>
    <w:rsid w:val="726A764C"/>
    <w:rsid w:val="726B113B"/>
    <w:rsid w:val="726C217C"/>
    <w:rsid w:val="726F4F19"/>
    <w:rsid w:val="72703371"/>
    <w:rsid w:val="72710C91"/>
    <w:rsid w:val="72716628"/>
    <w:rsid w:val="7272790C"/>
    <w:rsid w:val="727870AD"/>
    <w:rsid w:val="727A6A6D"/>
    <w:rsid w:val="727C288A"/>
    <w:rsid w:val="727E7621"/>
    <w:rsid w:val="728006A7"/>
    <w:rsid w:val="7280323E"/>
    <w:rsid w:val="72812789"/>
    <w:rsid w:val="728160CE"/>
    <w:rsid w:val="728409B0"/>
    <w:rsid w:val="7287566A"/>
    <w:rsid w:val="728A09C1"/>
    <w:rsid w:val="728D2A52"/>
    <w:rsid w:val="728D74C6"/>
    <w:rsid w:val="728F0FB8"/>
    <w:rsid w:val="72903163"/>
    <w:rsid w:val="7290610E"/>
    <w:rsid w:val="729342E1"/>
    <w:rsid w:val="729461B4"/>
    <w:rsid w:val="72967B66"/>
    <w:rsid w:val="72974804"/>
    <w:rsid w:val="72980ED9"/>
    <w:rsid w:val="72983046"/>
    <w:rsid w:val="72984D5B"/>
    <w:rsid w:val="7298500F"/>
    <w:rsid w:val="72985C57"/>
    <w:rsid w:val="729D55E2"/>
    <w:rsid w:val="729F4257"/>
    <w:rsid w:val="72A20A43"/>
    <w:rsid w:val="72A6219B"/>
    <w:rsid w:val="72AC1CC9"/>
    <w:rsid w:val="72AC6031"/>
    <w:rsid w:val="72AE6A82"/>
    <w:rsid w:val="72B01373"/>
    <w:rsid w:val="72B017B9"/>
    <w:rsid w:val="72B01A48"/>
    <w:rsid w:val="72B14BC5"/>
    <w:rsid w:val="72B44F0A"/>
    <w:rsid w:val="72B46EB0"/>
    <w:rsid w:val="72B50D20"/>
    <w:rsid w:val="72B53E85"/>
    <w:rsid w:val="72B646D7"/>
    <w:rsid w:val="72B739D3"/>
    <w:rsid w:val="72B77824"/>
    <w:rsid w:val="72BB5FCF"/>
    <w:rsid w:val="72BC544A"/>
    <w:rsid w:val="72BE599E"/>
    <w:rsid w:val="72BF7092"/>
    <w:rsid w:val="72C00555"/>
    <w:rsid w:val="72C105F1"/>
    <w:rsid w:val="72C26B33"/>
    <w:rsid w:val="72C36201"/>
    <w:rsid w:val="72C7193D"/>
    <w:rsid w:val="72C967C2"/>
    <w:rsid w:val="72CC06E7"/>
    <w:rsid w:val="72D3083C"/>
    <w:rsid w:val="72D3671A"/>
    <w:rsid w:val="72D46EE6"/>
    <w:rsid w:val="72D47447"/>
    <w:rsid w:val="72D710B7"/>
    <w:rsid w:val="72D75D11"/>
    <w:rsid w:val="72D8486C"/>
    <w:rsid w:val="72DD6E1C"/>
    <w:rsid w:val="72DE66DA"/>
    <w:rsid w:val="72E177E5"/>
    <w:rsid w:val="72E31C5A"/>
    <w:rsid w:val="72E619FD"/>
    <w:rsid w:val="72EA6531"/>
    <w:rsid w:val="72EE2BE2"/>
    <w:rsid w:val="72F1732E"/>
    <w:rsid w:val="72F279A4"/>
    <w:rsid w:val="72F4584F"/>
    <w:rsid w:val="72F67CC8"/>
    <w:rsid w:val="72FA71B3"/>
    <w:rsid w:val="72FB455F"/>
    <w:rsid w:val="72FC2845"/>
    <w:rsid w:val="72FF629D"/>
    <w:rsid w:val="730A5666"/>
    <w:rsid w:val="730B4D37"/>
    <w:rsid w:val="730C096F"/>
    <w:rsid w:val="730C58B0"/>
    <w:rsid w:val="73126751"/>
    <w:rsid w:val="731413AD"/>
    <w:rsid w:val="73144457"/>
    <w:rsid w:val="731555C2"/>
    <w:rsid w:val="73182F9D"/>
    <w:rsid w:val="731A6D49"/>
    <w:rsid w:val="73236F81"/>
    <w:rsid w:val="73244E1F"/>
    <w:rsid w:val="73286359"/>
    <w:rsid w:val="73290000"/>
    <w:rsid w:val="732A2245"/>
    <w:rsid w:val="732B52E4"/>
    <w:rsid w:val="732D310F"/>
    <w:rsid w:val="732F3E44"/>
    <w:rsid w:val="733233BB"/>
    <w:rsid w:val="73331E0B"/>
    <w:rsid w:val="73336199"/>
    <w:rsid w:val="73381EFA"/>
    <w:rsid w:val="733C0936"/>
    <w:rsid w:val="733C1AB9"/>
    <w:rsid w:val="733E3EC4"/>
    <w:rsid w:val="73405D5F"/>
    <w:rsid w:val="734153B8"/>
    <w:rsid w:val="73447E6D"/>
    <w:rsid w:val="734546D3"/>
    <w:rsid w:val="734658DC"/>
    <w:rsid w:val="734B52BB"/>
    <w:rsid w:val="734D4038"/>
    <w:rsid w:val="734D5112"/>
    <w:rsid w:val="73506151"/>
    <w:rsid w:val="73507207"/>
    <w:rsid w:val="7351700C"/>
    <w:rsid w:val="73542BB2"/>
    <w:rsid w:val="7354554A"/>
    <w:rsid w:val="735456B5"/>
    <w:rsid w:val="735663D5"/>
    <w:rsid w:val="7358474C"/>
    <w:rsid w:val="735A7977"/>
    <w:rsid w:val="735B6588"/>
    <w:rsid w:val="735C549D"/>
    <w:rsid w:val="735F0AE9"/>
    <w:rsid w:val="73605347"/>
    <w:rsid w:val="73627211"/>
    <w:rsid w:val="736305DA"/>
    <w:rsid w:val="736C08BD"/>
    <w:rsid w:val="736F53BB"/>
    <w:rsid w:val="73706882"/>
    <w:rsid w:val="73710D1C"/>
    <w:rsid w:val="73736917"/>
    <w:rsid w:val="73741D9B"/>
    <w:rsid w:val="737476E8"/>
    <w:rsid w:val="73764B58"/>
    <w:rsid w:val="737E3665"/>
    <w:rsid w:val="737F1136"/>
    <w:rsid w:val="737F127F"/>
    <w:rsid w:val="737F32FB"/>
    <w:rsid w:val="73800811"/>
    <w:rsid w:val="73837B63"/>
    <w:rsid w:val="738523EE"/>
    <w:rsid w:val="738651CE"/>
    <w:rsid w:val="73875706"/>
    <w:rsid w:val="738E253C"/>
    <w:rsid w:val="73915642"/>
    <w:rsid w:val="73922EB9"/>
    <w:rsid w:val="73927D82"/>
    <w:rsid w:val="73946C05"/>
    <w:rsid w:val="73953C94"/>
    <w:rsid w:val="73991184"/>
    <w:rsid w:val="739E082A"/>
    <w:rsid w:val="739E7CE1"/>
    <w:rsid w:val="73A456E0"/>
    <w:rsid w:val="73A6116F"/>
    <w:rsid w:val="73AD47B1"/>
    <w:rsid w:val="73AE46A3"/>
    <w:rsid w:val="73AF3118"/>
    <w:rsid w:val="73B00F21"/>
    <w:rsid w:val="73B0725B"/>
    <w:rsid w:val="73B42EC3"/>
    <w:rsid w:val="73B53E0E"/>
    <w:rsid w:val="73B74FC8"/>
    <w:rsid w:val="73BB1690"/>
    <w:rsid w:val="73BC1AEF"/>
    <w:rsid w:val="73BD1EAB"/>
    <w:rsid w:val="73BF42BD"/>
    <w:rsid w:val="73C23835"/>
    <w:rsid w:val="73C41B53"/>
    <w:rsid w:val="73C41E76"/>
    <w:rsid w:val="73C426B1"/>
    <w:rsid w:val="73C737AB"/>
    <w:rsid w:val="73C80E09"/>
    <w:rsid w:val="73D125F4"/>
    <w:rsid w:val="73D2424A"/>
    <w:rsid w:val="73D55573"/>
    <w:rsid w:val="73D91A70"/>
    <w:rsid w:val="73DF1C77"/>
    <w:rsid w:val="73DF754B"/>
    <w:rsid w:val="73E03C5F"/>
    <w:rsid w:val="73E11AFF"/>
    <w:rsid w:val="73E139EC"/>
    <w:rsid w:val="73E159A2"/>
    <w:rsid w:val="73E24684"/>
    <w:rsid w:val="73E34DC5"/>
    <w:rsid w:val="73E73422"/>
    <w:rsid w:val="73EC2A04"/>
    <w:rsid w:val="73F3425A"/>
    <w:rsid w:val="73F40AA4"/>
    <w:rsid w:val="73F52E83"/>
    <w:rsid w:val="73F76F74"/>
    <w:rsid w:val="73FA6815"/>
    <w:rsid w:val="73FA7F36"/>
    <w:rsid w:val="73FC2C7B"/>
    <w:rsid w:val="73FE5D82"/>
    <w:rsid w:val="740022CC"/>
    <w:rsid w:val="740137FE"/>
    <w:rsid w:val="740151D3"/>
    <w:rsid w:val="74045D62"/>
    <w:rsid w:val="740619C8"/>
    <w:rsid w:val="74061E1E"/>
    <w:rsid w:val="7407365B"/>
    <w:rsid w:val="740815BF"/>
    <w:rsid w:val="740A367E"/>
    <w:rsid w:val="740D478A"/>
    <w:rsid w:val="740D49E9"/>
    <w:rsid w:val="740E3CFE"/>
    <w:rsid w:val="741061D4"/>
    <w:rsid w:val="7411648E"/>
    <w:rsid w:val="74125F52"/>
    <w:rsid w:val="741742EB"/>
    <w:rsid w:val="74183B40"/>
    <w:rsid w:val="741862D2"/>
    <w:rsid w:val="7419744F"/>
    <w:rsid w:val="741A3431"/>
    <w:rsid w:val="741C1F47"/>
    <w:rsid w:val="741F4507"/>
    <w:rsid w:val="742127B4"/>
    <w:rsid w:val="74232BCA"/>
    <w:rsid w:val="74250A7E"/>
    <w:rsid w:val="742B06D2"/>
    <w:rsid w:val="742D7A28"/>
    <w:rsid w:val="742E4DDE"/>
    <w:rsid w:val="742F30B0"/>
    <w:rsid w:val="74366D36"/>
    <w:rsid w:val="7436790F"/>
    <w:rsid w:val="743A6E0D"/>
    <w:rsid w:val="743E110B"/>
    <w:rsid w:val="743E48E9"/>
    <w:rsid w:val="744101B6"/>
    <w:rsid w:val="74420A3A"/>
    <w:rsid w:val="744303C7"/>
    <w:rsid w:val="74431C8C"/>
    <w:rsid w:val="74442574"/>
    <w:rsid w:val="7445696E"/>
    <w:rsid w:val="74456B0E"/>
    <w:rsid w:val="74504465"/>
    <w:rsid w:val="74507489"/>
    <w:rsid w:val="74535DE8"/>
    <w:rsid w:val="74546CE9"/>
    <w:rsid w:val="74560E26"/>
    <w:rsid w:val="745727B9"/>
    <w:rsid w:val="745A6F58"/>
    <w:rsid w:val="745E5954"/>
    <w:rsid w:val="74677093"/>
    <w:rsid w:val="74681C20"/>
    <w:rsid w:val="746842A1"/>
    <w:rsid w:val="74687E72"/>
    <w:rsid w:val="746A0BE7"/>
    <w:rsid w:val="746A3BEA"/>
    <w:rsid w:val="746C7962"/>
    <w:rsid w:val="746F3880"/>
    <w:rsid w:val="74703DEB"/>
    <w:rsid w:val="74711023"/>
    <w:rsid w:val="74736F42"/>
    <w:rsid w:val="74796DC4"/>
    <w:rsid w:val="747C4B86"/>
    <w:rsid w:val="747D70E8"/>
    <w:rsid w:val="747E1083"/>
    <w:rsid w:val="747E6A1C"/>
    <w:rsid w:val="748155FB"/>
    <w:rsid w:val="74826A0C"/>
    <w:rsid w:val="74827F76"/>
    <w:rsid w:val="74886326"/>
    <w:rsid w:val="748F2141"/>
    <w:rsid w:val="749018A2"/>
    <w:rsid w:val="749111D1"/>
    <w:rsid w:val="74934058"/>
    <w:rsid w:val="749447D9"/>
    <w:rsid w:val="74963C97"/>
    <w:rsid w:val="74970896"/>
    <w:rsid w:val="749738A7"/>
    <w:rsid w:val="74975132"/>
    <w:rsid w:val="7499333E"/>
    <w:rsid w:val="749A706A"/>
    <w:rsid w:val="749F6976"/>
    <w:rsid w:val="74A25132"/>
    <w:rsid w:val="74A4534E"/>
    <w:rsid w:val="74A96131"/>
    <w:rsid w:val="74AA363C"/>
    <w:rsid w:val="74AD6775"/>
    <w:rsid w:val="74AE18AE"/>
    <w:rsid w:val="74AF7F23"/>
    <w:rsid w:val="74B3733F"/>
    <w:rsid w:val="74B54D12"/>
    <w:rsid w:val="74B91B0F"/>
    <w:rsid w:val="74BA48FB"/>
    <w:rsid w:val="74BB4767"/>
    <w:rsid w:val="74BB572F"/>
    <w:rsid w:val="74BC4FE4"/>
    <w:rsid w:val="74BD640F"/>
    <w:rsid w:val="74C01A5C"/>
    <w:rsid w:val="74C50FB2"/>
    <w:rsid w:val="74C601E7"/>
    <w:rsid w:val="74C73111"/>
    <w:rsid w:val="74C838E9"/>
    <w:rsid w:val="74C863FC"/>
    <w:rsid w:val="74CC7973"/>
    <w:rsid w:val="74CD5841"/>
    <w:rsid w:val="74CE0E54"/>
    <w:rsid w:val="74D11E2A"/>
    <w:rsid w:val="74D240B1"/>
    <w:rsid w:val="74D774D1"/>
    <w:rsid w:val="74DC3220"/>
    <w:rsid w:val="74E151A7"/>
    <w:rsid w:val="74E65FD4"/>
    <w:rsid w:val="74E70288"/>
    <w:rsid w:val="74E732B2"/>
    <w:rsid w:val="74EC0EA9"/>
    <w:rsid w:val="74EC691F"/>
    <w:rsid w:val="74EE1DE9"/>
    <w:rsid w:val="74EE610A"/>
    <w:rsid w:val="74F71C6F"/>
    <w:rsid w:val="74F776FA"/>
    <w:rsid w:val="74F86286"/>
    <w:rsid w:val="74FA4F6E"/>
    <w:rsid w:val="74FB444B"/>
    <w:rsid w:val="74FD0501"/>
    <w:rsid w:val="74FD4F34"/>
    <w:rsid w:val="7502763E"/>
    <w:rsid w:val="750477E9"/>
    <w:rsid w:val="75070789"/>
    <w:rsid w:val="75072718"/>
    <w:rsid w:val="75083042"/>
    <w:rsid w:val="75092272"/>
    <w:rsid w:val="750C560D"/>
    <w:rsid w:val="750E6C6B"/>
    <w:rsid w:val="750F1EFF"/>
    <w:rsid w:val="7513349A"/>
    <w:rsid w:val="7513602F"/>
    <w:rsid w:val="7514529E"/>
    <w:rsid w:val="75151ACA"/>
    <w:rsid w:val="75175AD8"/>
    <w:rsid w:val="75221FDB"/>
    <w:rsid w:val="75226272"/>
    <w:rsid w:val="75244010"/>
    <w:rsid w:val="75286347"/>
    <w:rsid w:val="752A2FC8"/>
    <w:rsid w:val="752B4ECB"/>
    <w:rsid w:val="752B6590"/>
    <w:rsid w:val="752C3C5C"/>
    <w:rsid w:val="752D0A50"/>
    <w:rsid w:val="752E404F"/>
    <w:rsid w:val="75300721"/>
    <w:rsid w:val="75302BDB"/>
    <w:rsid w:val="75306BE1"/>
    <w:rsid w:val="75330480"/>
    <w:rsid w:val="753328B9"/>
    <w:rsid w:val="753404B6"/>
    <w:rsid w:val="75376C96"/>
    <w:rsid w:val="753F5076"/>
    <w:rsid w:val="754003B2"/>
    <w:rsid w:val="75446665"/>
    <w:rsid w:val="754540FD"/>
    <w:rsid w:val="754601B3"/>
    <w:rsid w:val="75467FE2"/>
    <w:rsid w:val="754851B1"/>
    <w:rsid w:val="754932DD"/>
    <w:rsid w:val="75493644"/>
    <w:rsid w:val="754F3B28"/>
    <w:rsid w:val="754F42E4"/>
    <w:rsid w:val="754F689A"/>
    <w:rsid w:val="7550167C"/>
    <w:rsid w:val="75503FAA"/>
    <w:rsid w:val="755803C6"/>
    <w:rsid w:val="755D717E"/>
    <w:rsid w:val="756518FA"/>
    <w:rsid w:val="75681A7B"/>
    <w:rsid w:val="756B14FF"/>
    <w:rsid w:val="756C6324"/>
    <w:rsid w:val="756C7B75"/>
    <w:rsid w:val="756F1327"/>
    <w:rsid w:val="756F29D4"/>
    <w:rsid w:val="757047BB"/>
    <w:rsid w:val="7570736A"/>
    <w:rsid w:val="75715095"/>
    <w:rsid w:val="757246B5"/>
    <w:rsid w:val="757608D2"/>
    <w:rsid w:val="7577493F"/>
    <w:rsid w:val="757833F5"/>
    <w:rsid w:val="75784617"/>
    <w:rsid w:val="75784795"/>
    <w:rsid w:val="757A264B"/>
    <w:rsid w:val="757B384A"/>
    <w:rsid w:val="757C6F69"/>
    <w:rsid w:val="757F5557"/>
    <w:rsid w:val="757F6260"/>
    <w:rsid w:val="75805E1A"/>
    <w:rsid w:val="75817C4E"/>
    <w:rsid w:val="75846724"/>
    <w:rsid w:val="75862CA5"/>
    <w:rsid w:val="75874327"/>
    <w:rsid w:val="75892660"/>
    <w:rsid w:val="758B3FF4"/>
    <w:rsid w:val="758D0BCA"/>
    <w:rsid w:val="758D440E"/>
    <w:rsid w:val="758D639D"/>
    <w:rsid w:val="758D7196"/>
    <w:rsid w:val="758E3908"/>
    <w:rsid w:val="758F59F8"/>
    <w:rsid w:val="75914881"/>
    <w:rsid w:val="75922E8D"/>
    <w:rsid w:val="7594348E"/>
    <w:rsid w:val="759439EC"/>
    <w:rsid w:val="75982B38"/>
    <w:rsid w:val="759A04F4"/>
    <w:rsid w:val="759A5063"/>
    <w:rsid w:val="759B2F0C"/>
    <w:rsid w:val="759C2F99"/>
    <w:rsid w:val="759E52D7"/>
    <w:rsid w:val="75A1376B"/>
    <w:rsid w:val="75A25FEC"/>
    <w:rsid w:val="75A66E07"/>
    <w:rsid w:val="75A7282A"/>
    <w:rsid w:val="75A827D3"/>
    <w:rsid w:val="75A9111F"/>
    <w:rsid w:val="75AC7EF2"/>
    <w:rsid w:val="75AF799F"/>
    <w:rsid w:val="75B02FC8"/>
    <w:rsid w:val="75B25A6D"/>
    <w:rsid w:val="75B51969"/>
    <w:rsid w:val="75B74C0D"/>
    <w:rsid w:val="75B779ED"/>
    <w:rsid w:val="75BB4D27"/>
    <w:rsid w:val="75BE590F"/>
    <w:rsid w:val="75BE5B60"/>
    <w:rsid w:val="75C02AE8"/>
    <w:rsid w:val="75C15BB2"/>
    <w:rsid w:val="75C2032E"/>
    <w:rsid w:val="75C31597"/>
    <w:rsid w:val="75C82E4E"/>
    <w:rsid w:val="75C94940"/>
    <w:rsid w:val="75CA7503"/>
    <w:rsid w:val="75CB2BDE"/>
    <w:rsid w:val="75D043EA"/>
    <w:rsid w:val="75D05CCE"/>
    <w:rsid w:val="75D42FF1"/>
    <w:rsid w:val="75D45289"/>
    <w:rsid w:val="75D630C7"/>
    <w:rsid w:val="75D73501"/>
    <w:rsid w:val="75D7551D"/>
    <w:rsid w:val="75D84040"/>
    <w:rsid w:val="75D915A6"/>
    <w:rsid w:val="75D923C4"/>
    <w:rsid w:val="75D94843"/>
    <w:rsid w:val="75D94B83"/>
    <w:rsid w:val="75DA6FE6"/>
    <w:rsid w:val="75DB4D9F"/>
    <w:rsid w:val="75DC27CD"/>
    <w:rsid w:val="75DC4673"/>
    <w:rsid w:val="75DD6064"/>
    <w:rsid w:val="75DD751C"/>
    <w:rsid w:val="75E0263D"/>
    <w:rsid w:val="75E179D6"/>
    <w:rsid w:val="75E5516F"/>
    <w:rsid w:val="75E75C56"/>
    <w:rsid w:val="75E94ABB"/>
    <w:rsid w:val="75F046F2"/>
    <w:rsid w:val="75F37BE2"/>
    <w:rsid w:val="75F47C0F"/>
    <w:rsid w:val="75F510C8"/>
    <w:rsid w:val="75F52CE2"/>
    <w:rsid w:val="75F7244C"/>
    <w:rsid w:val="75F86391"/>
    <w:rsid w:val="75FB75BB"/>
    <w:rsid w:val="75FC6AC3"/>
    <w:rsid w:val="75FD0EC8"/>
    <w:rsid w:val="76004795"/>
    <w:rsid w:val="76051E1C"/>
    <w:rsid w:val="76066C68"/>
    <w:rsid w:val="760C1513"/>
    <w:rsid w:val="760D36D7"/>
    <w:rsid w:val="760D6151"/>
    <w:rsid w:val="760E565E"/>
    <w:rsid w:val="76122168"/>
    <w:rsid w:val="761345CE"/>
    <w:rsid w:val="76145385"/>
    <w:rsid w:val="761528A0"/>
    <w:rsid w:val="76164029"/>
    <w:rsid w:val="76166CA1"/>
    <w:rsid w:val="761A4F73"/>
    <w:rsid w:val="761C5D14"/>
    <w:rsid w:val="762045DE"/>
    <w:rsid w:val="76206C56"/>
    <w:rsid w:val="762105CB"/>
    <w:rsid w:val="7625426C"/>
    <w:rsid w:val="7629269B"/>
    <w:rsid w:val="762C2496"/>
    <w:rsid w:val="762E657C"/>
    <w:rsid w:val="763404CD"/>
    <w:rsid w:val="76352589"/>
    <w:rsid w:val="76356946"/>
    <w:rsid w:val="76375131"/>
    <w:rsid w:val="763B77A2"/>
    <w:rsid w:val="763C6B5B"/>
    <w:rsid w:val="763F2515"/>
    <w:rsid w:val="76444F0E"/>
    <w:rsid w:val="76490D10"/>
    <w:rsid w:val="76497DC2"/>
    <w:rsid w:val="764A3CD3"/>
    <w:rsid w:val="764A461A"/>
    <w:rsid w:val="764B1539"/>
    <w:rsid w:val="764D37C3"/>
    <w:rsid w:val="764E2506"/>
    <w:rsid w:val="764E507C"/>
    <w:rsid w:val="764F0E37"/>
    <w:rsid w:val="7653323C"/>
    <w:rsid w:val="7653447C"/>
    <w:rsid w:val="76587EC2"/>
    <w:rsid w:val="765B547C"/>
    <w:rsid w:val="765D360D"/>
    <w:rsid w:val="765E777E"/>
    <w:rsid w:val="7660055D"/>
    <w:rsid w:val="76656DB1"/>
    <w:rsid w:val="76674CA3"/>
    <w:rsid w:val="766C7A30"/>
    <w:rsid w:val="766E46A3"/>
    <w:rsid w:val="766F018D"/>
    <w:rsid w:val="7671125F"/>
    <w:rsid w:val="76747EB3"/>
    <w:rsid w:val="76764AC8"/>
    <w:rsid w:val="767B0B4D"/>
    <w:rsid w:val="767D605E"/>
    <w:rsid w:val="767E572A"/>
    <w:rsid w:val="76835190"/>
    <w:rsid w:val="768659CF"/>
    <w:rsid w:val="768721E2"/>
    <w:rsid w:val="768772DD"/>
    <w:rsid w:val="768A1684"/>
    <w:rsid w:val="76914D2B"/>
    <w:rsid w:val="7692150F"/>
    <w:rsid w:val="76922E3D"/>
    <w:rsid w:val="769301FE"/>
    <w:rsid w:val="769440C7"/>
    <w:rsid w:val="76951700"/>
    <w:rsid w:val="769907B6"/>
    <w:rsid w:val="769C0360"/>
    <w:rsid w:val="769D1A1C"/>
    <w:rsid w:val="76A24716"/>
    <w:rsid w:val="76A258BD"/>
    <w:rsid w:val="76A27F3C"/>
    <w:rsid w:val="76A35191"/>
    <w:rsid w:val="76A431DF"/>
    <w:rsid w:val="76A80CF0"/>
    <w:rsid w:val="76AB08B8"/>
    <w:rsid w:val="76AB5CA1"/>
    <w:rsid w:val="76AC445A"/>
    <w:rsid w:val="76AE7767"/>
    <w:rsid w:val="76B12EA8"/>
    <w:rsid w:val="76B42367"/>
    <w:rsid w:val="76BA0BBC"/>
    <w:rsid w:val="76BA7BAD"/>
    <w:rsid w:val="76BC4671"/>
    <w:rsid w:val="76BD26F7"/>
    <w:rsid w:val="76BD3837"/>
    <w:rsid w:val="76C1348C"/>
    <w:rsid w:val="76C222CF"/>
    <w:rsid w:val="76C355D5"/>
    <w:rsid w:val="76C6563E"/>
    <w:rsid w:val="76CA6544"/>
    <w:rsid w:val="76CB40BB"/>
    <w:rsid w:val="76CE491F"/>
    <w:rsid w:val="76CE5BA2"/>
    <w:rsid w:val="76CF4AD9"/>
    <w:rsid w:val="76D00519"/>
    <w:rsid w:val="76D161A2"/>
    <w:rsid w:val="76D57EE2"/>
    <w:rsid w:val="76DA36C9"/>
    <w:rsid w:val="76DB0DCF"/>
    <w:rsid w:val="76DC3AE0"/>
    <w:rsid w:val="76DE3E86"/>
    <w:rsid w:val="76DE45EB"/>
    <w:rsid w:val="76DE49AA"/>
    <w:rsid w:val="76E30A94"/>
    <w:rsid w:val="76E325D3"/>
    <w:rsid w:val="76E86053"/>
    <w:rsid w:val="76EB321D"/>
    <w:rsid w:val="76EB5F8B"/>
    <w:rsid w:val="76EB6538"/>
    <w:rsid w:val="76EC2C90"/>
    <w:rsid w:val="76EF711F"/>
    <w:rsid w:val="76F043C5"/>
    <w:rsid w:val="76F817F6"/>
    <w:rsid w:val="76F9635A"/>
    <w:rsid w:val="76FA6173"/>
    <w:rsid w:val="77022531"/>
    <w:rsid w:val="770519A8"/>
    <w:rsid w:val="77051EBE"/>
    <w:rsid w:val="77072818"/>
    <w:rsid w:val="77093F05"/>
    <w:rsid w:val="770A4C0F"/>
    <w:rsid w:val="770B2CC1"/>
    <w:rsid w:val="770C45D2"/>
    <w:rsid w:val="770D20EC"/>
    <w:rsid w:val="770E6855"/>
    <w:rsid w:val="770F4C89"/>
    <w:rsid w:val="77122EF9"/>
    <w:rsid w:val="77130569"/>
    <w:rsid w:val="77140CA8"/>
    <w:rsid w:val="771542E1"/>
    <w:rsid w:val="77164CBB"/>
    <w:rsid w:val="77170059"/>
    <w:rsid w:val="771A4868"/>
    <w:rsid w:val="771C1657"/>
    <w:rsid w:val="77201AC0"/>
    <w:rsid w:val="77201FE0"/>
    <w:rsid w:val="77206313"/>
    <w:rsid w:val="77230B05"/>
    <w:rsid w:val="77261655"/>
    <w:rsid w:val="77274014"/>
    <w:rsid w:val="772A6A30"/>
    <w:rsid w:val="772B33F4"/>
    <w:rsid w:val="772C2BCD"/>
    <w:rsid w:val="772F3F3E"/>
    <w:rsid w:val="77333566"/>
    <w:rsid w:val="77370D07"/>
    <w:rsid w:val="77381519"/>
    <w:rsid w:val="77393E03"/>
    <w:rsid w:val="773B1DA0"/>
    <w:rsid w:val="773C73F3"/>
    <w:rsid w:val="773D1FD1"/>
    <w:rsid w:val="7740613C"/>
    <w:rsid w:val="774445A6"/>
    <w:rsid w:val="7745495D"/>
    <w:rsid w:val="77486626"/>
    <w:rsid w:val="77490534"/>
    <w:rsid w:val="774B358B"/>
    <w:rsid w:val="774B7D02"/>
    <w:rsid w:val="774F065B"/>
    <w:rsid w:val="775242E5"/>
    <w:rsid w:val="77526C69"/>
    <w:rsid w:val="775420C0"/>
    <w:rsid w:val="775841CD"/>
    <w:rsid w:val="775A561C"/>
    <w:rsid w:val="775A7F45"/>
    <w:rsid w:val="776364CC"/>
    <w:rsid w:val="776462D6"/>
    <w:rsid w:val="77647558"/>
    <w:rsid w:val="776605E3"/>
    <w:rsid w:val="77674410"/>
    <w:rsid w:val="776A7F94"/>
    <w:rsid w:val="776D7AFE"/>
    <w:rsid w:val="7770626E"/>
    <w:rsid w:val="77711D66"/>
    <w:rsid w:val="77786473"/>
    <w:rsid w:val="777D1E86"/>
    <w:rsid w:val="77820CF6"/>
    <w:rsid w:val="77843518"/>
    <w:rsid w:val="77844142"/>
    <w:rsid w:val="778570B6"/>
    <w:rsid w:val="778616A4"/>
    <w:rsid w:val="778C168E"/>
    <w:rsid w:val="778F5FCB"/>
    <w:rsid w:val="778F600C"/>
    <w:rsid w:val="77975290"/>
    <w:rsid w:val="779B27B0"/>
    <w:rsid w:val="779C1C04"/>
    <w:rsid w:val="779D6084"/>
    <w:rsid w:val="77A05A39"/>
    <w:rsid w:val="77A12D8D"/>
    <w:rsid w:val="77A2025C"/>
    <w:rsid w:val="77A247DE"/>
    <w:rsid w:val="77A37782"/>
    <w:rsid w:val="77A80CB1"/>
    <w:rsid w:val="77A84039"/>
    <w:rsid w:val="77AA5624"/>
    <w:rsid w:val="77AB4B83"/>
    <w:rsid w:val="77AC7BC8"/>
    <w:rsid w:val="77AE0291"/>
    <w:rsid w:val="77B06F30"/>
    <w:rsid w:val="77B34D66"/>
    <w:rsid w:val="77B43AFA"/>
    <w:rsid w:val="77B47436"/>
    <w:rsid w:val="77BA4F27"/>
    <w:rsid w:val="77BA69E0"/>
    <w:rsid w:val="77BB4ABB"/>
    <w:rsid w:val="77BF2FB6"/>
    <w:rsid w:val="77C007A7"/>
    <w:rsid w:val="77C17BAB"/>
    <w:rsid w:val="77C61343"/>
    <w:rsid w:val="77CB7456"/>
    <w:rsid w:val="77CD051F"/>
    <w:rsid w:val="77D94295"/>
    <w:rsid w:val="77DA1220"/>
    <w:rsid w:val="77DB3A18"/>
    <w:rsid w:val="77DC548D"/>
    <w:rsid w:val="77DE5025"/>
    <w:rsid w:val="77DF2D09"/>
    <w:rsid w:val="77E33288"/>
    <w:rsid w:val="77E56912"/>
    <w:rsid w:val="77E636E6"/>
    <w:rsid w:val="77E73B6C"/>
    <w:rsid w:val="77E86A63"/>
    <w:rsid w:val="77EA408D"/>
    <w:rsid w:val="77EA751B"/>
    <w:rsid w:val="77EC3BF6"/>
    <w:rsid w:val="77EC677C"/>
    <w:rsid w:val="77EF3BD4"/>
    <w:rsid w:val="77EF68E0"/>
    <w:rsid w:val="77EF7548"/>
    <w:rsid w:val="77F205C7"/>
    <w:rsid w:val="77F344DE"/>
    <w:rsid w:val="77F42148"/>
    <w:rsid w:val="77F54CE9"/>
    <w:rsid w:val="77FA22EA"/>
    <w:rsid w:val="77FA3C79"/>
    <w:rsid w:val="77FB5948"/>
    <w:rsid w:val="77FD5C9C"/>
    <w:rsid w:val="77FD760F"/>
    <w:rsid w:val="77FE421F"/>
    <w:rsid w:val="77FE5468"/>
    <w:rsid w:val="77FF1AFE"/>
    <w:rsid w:val="780215E9"/>
    <w:rsid w:val="78051B69"/>
    <w:rsid w:val="7807354B"/>
    <w:rsid w:val="7808701D"/>
    <w:rsid w:val="780944AC"/>
    <w:rsid w:val="780B2F2B"/>
    <w:rsid w:val="780D2D02"/>
    <w:rsid w:val="780E3D22"/>
    <w:rsid w:val="780E7F70"/>
    <w:rsid w:val="780F321A"/>
    <w:rsid w:val="7812429A"/>
    <w:rsid w:val="781262C0"/>
    <w:rsid w:val="781400F4"/>
    <w:rsid w:val="781D0AB5"/>
    <w:rsid w:val="78217A9E"/>
    <w:rsid w:val="782255AF"/>
    <w:rsid w:val="78243774"/>
    <w:rsid w:val="78244A42"/>
    <w:rsid w:val="78253F29"/>
    <w:rsid w:val="7826192E"/>
    <w:rsid w:val="78263A61"/>
    <w:rsid w:val="782719D8"/>
    <w:rsid w:val="78272413"/>
    <w:rsid w:val="78280D7F"/>
    <w:rsid w:val="78280FA3"/>
    <w:rsid w:val="782C35A4"/>
    <w:rsid w:val="782D10B8"/>
    <w:rsid w:val="782D15D9"/>
    <w:rsid w:val="78323C8A"/>
    <w:rsid w:val="78387644"/>
    <w:rsid w:val="783A65CB"/>
    <w:rsid w:val="783B1B2D"/>
    <w:rsid w:val="783D5C11"/>
    <w:rsid w:val="783E333C"/>
    <w:rsid w:val="783E5E3A"/>
    <w:rsid w:val="783F62CC"/>
    <w:rsid w:val="78425AFC"/>
    <w:rsid w:val="784275A5"/>
    <w:rsid w:val="784343B6"/>
    <w:rsid w:val="784535F4"/>
    <w:rsid w:val="784659FF"/>
    <w:rsid w:val="7847518F"/>
    <w:rsid w:val="784A07D1"/>
    <w:rsid w:val="784B1241"/>
    <w:rsid w:val="784D7C09"/>
    <w:rsid w:val="784E0BC2"/>
    <w:rsid w:val="7852710F"/>
    <w:rsid w:val="785A42F8"/>
    <w:rsid w:val="785C1A9B"/>
    <w:rsid w:val="7862181E"/>
    <w:rsid w:val="78681648"/>
    <w:rsid w:val="78694D8B"/>
    <w:rsid w:val="786A1830"/>
    <w:rsid w:val="786A6CE8"/>
    <w:rsid w:val="786F2FA0"/>
    <w:rsid w:val="786F3DBF"/>
    <w:rsid w:val="786F5C73"/>
    <w:rsid w:val="78723477"/>
    <w:rsid w:val="78724EDC"/>
    <w:rsid w:val="78742E53"/>
    <w:rsid w:val="7876371A"/>
    <w:rsid w:val="78764386"/>
    <w:rsid w:val="787A277F"/>
    <w:rsid w:val="787A35D7"/>
    <w:rsid w:val="787C3EEC"/>
    <w:rsid w:val="787E48C1"/>
    <w:rsid w:val="787F07F1"/>
    <w:rsid w:val="78827754"/>
    <w:rsid w:val="7883527A"/>
    <w:rsid w:val="78864D0C"/>
    <w:rsid w:val="78881E68"/>
    <w:rsid w:val="788A2F36"/>
    <w:rsid w:val="788A485A"/>
    <w:rsid w:val="788B0D29"/>
    <w:rsid w:val="788B2FC6"/>
    <w:rsid w:val="78961451"/>
    <w:rsid w:val="78962F50"/>
    <w:rsid w:val="78986F77"/>
    <w:rsid w:val="789B7A0B"/>
    <w:rsid w:val="789D026E"/>
    <w:rsid w:val="789D6095"/>
    <w:rsid w:val="78A074AC"/>
    <w:rsid w:val="78A4044B"/>
    <w:rsid w:val="78AA5E1E"/>
    <w:rsid w:val="78B07364"/>
    <w:rsid w:val="78B37938"/>
    <w:rsid w:val="78B5612D"/>
    <w:rsid w:val="78B64010"/>
    <w:rsid w:val="78B746BD"/>
    <w:rsid w:val="78BD189D"/>
    <w:rsid w:val="78BE5594"/>
    <w:rsid w:val="78C00153"/>
    <w:rsid w:val="78C0202A"/>
    <w:rsid w:val="78C034BE"/>
    <w:rsid w:val="78C136E0"/>
    <w:rsid w:val="78C1380A"/>
    <w:rsid w:val="78C17749"/>
    <w:rsid w:val="78C21B98"/>
    <w:rsid w:val="78C253A6"/>
    <w:rsid w:val="78C42189"/>
    <w:rsid w:val="78C55992"/>
    <w:rsid w:val="78C55B78"/>
    <w:rsid w:val="78CE46B1"/>
    <w:rsid w:val="78D21D5D"/>
    <w:rsid w:val="78D36D40"/>
    <w:rsid w:val="78D66C50"/>
    <w:rsid w:val="78D80D9E"/>
    <w:rsid w:val="78D8164E"/>
    <w:rsid w:val="78D93CB9"/>
    <w:rsid w:val="78DA0BC6"/>
    <w:rsid w:val="78DD1047"/>
    <w:rsid w:val="78DD2BF6"/>
    <w:rsid w:val="78DD64A1"/>
    <w:rsid w:val="78DF750A"/>
    <w:rsid w:val="78E1785E"/>
    <w:rsid w:val="78E3624F"/>
    <w:rsid w:val="78E66D81"/>
    <w:rsid w:val="78E92759"/>
    <w:rsid w:val="78E93CB4"/>
    <w:rsid w:val="78EC0092"/>
    <w:rsid w:val="78EC72C3"/>
    <w:rsid w:val="78ED196D"/>
    <w:rsid w:val="78EE4DE9"/>
    <w:rsid w:val="78EE66AB"/>
    <w:rsid w:val="78F013E5"/>
    <w:rsid w:val="78F022CF"/>
    <w:rsid w:val="78F30652"/>
    <w:rsid w:val="78F659D5"/>
    <w:rsid w:val="78F77983"/>
    <w:rsid w:val="78F87A16"/>
    <w:rsid w:val="78FD0E72"/>
    <w:rsid w:val="790068CB"/>
    <w:rsid w:val="790241C6"/>
    <w:rsid w:val="79032BEC"/>
    <w:rsid w:val="79065349"/>
    <w:rsid w:val="790D6DC0"/>
    <w:rsid w:val="790F3A21"/>
    <w:rsid w:val="79134F4C"/>
    <w:rsid w:val="791533BD"/>
    <w:rsid w:val="79153526"/>
    <w:rsid w:val="791B1956"/>
    <w:rsid w:val="791B55C6"/>
    <w:rsid w:val="791B742A"/>
    <w:rsid w:val="791C3E8A"/>
    <w:rsid w:val="79202AC9"/>
    <w:rsid w:val="792265D2"/>
    <w:rsid w:val="79261B25"/>
    <w:rsid w:val="79273D22"/>
    <w:rsid w:val="792B5562"/>
    <w:rsid w:val="792C5912"/>
    <w:rsid w:val="792E7E14"/>
    <w:rsid w:val="79322218"/>
    <w:rsid w:val="79343BD5"/>
    <w:rsid w:val="793448F9"/>
    <w:rsid w:val="79345631"/>
    <w:rsid w:val="79365EBE"/>
    <w:rsid w:val="79383607"/>
    <w:rsid w:val="793912C5"/>
    <w:rsid w:val="79397B42"/>
    <w:rsid w:val="793D0EEE"/>
    <w:rsid w:val="793D25EE"/>
    <w:rsid w:val="793D468D"/>
    <w:rsid w:val="793D72AB"/>
    <w:rsid w:val="79425123"/>
    <w:rsid w:val="794257DD"/>
    <w:rsid w:val="794669D3"/>
    <w:rsid w:val="794B2C2E"/>
    <w:rsid w:val="794B7595"/>
    <w:rsid w:val="79502AD4"/>
    <w:rsid w:val="79506A13"/>
    <w:rsid w:val="79513507"/>
    <w:rsid w:val="795504C3"/>
    <w:rsid w:val="795B7599"/>
    <w:rsid w:val="795C4853"/>
    <w:rsid w:val="79603CD7"/>
    <w:rsid w:val="79614B8B"/>
    <w:rsid w:val="79622EA7"/>
    <w:rsid w:val="79625E60"/>
    <w:rsid w:val="79627E7C"/>
    <w:rsid w:val="7963127B"/>
    <w:rsid w:val="79641131"/>
    <w:rsid w:val="7964241D"/>
    <w:rsid w:val="79664D9C"/>
    <w:rsid w:val="796773F1"/>
    <w:rsid w:val="79681970"/>
    <w:rsid w:val="796827A3"/>
    <w:rsid w:val="796E4312"/>
    <w:rsid w:val="796F257C"/>
    <w:rsid w:val="79711576"/>
    <w:rsid w:val="79714D00"/>
    <w:rsid w:val="79725CF7"/>
    <w:rsid w:val="79751067"/>
    <w:rsid w:val="797807D6"/>
    <w:rsid w:val="79783F8D"/>
    <w:rsid w:val="797918C4"/>
    <w:rsid w:val="797B7F8E"/>
    <w:rsid w:val="797E6BCE"/>
    <w:rsid w:val="797F2105"/>
    <w:rsid w:val="79802EDA"/>
    <w:rsid w:val="798203B6"/>
    <w:rsid w:val="7982796A"/>
    <w:rsid w:val="79832A67"/>
    <w:rsid w:val="79844D2F"/>
    <w:rsid w:val="798474FC"/>
    <w:rsid w:val="79886011"/>
    <w:rsid w:val="79890332"/>
    <w:rsid w:val="798919AA"/>
    <w:rsid w:val="798A379D"/>
    <w:rsid w:val="798B6C7A"/>
    <w:rsid w:val="798D282E"/>
    <w:rsid w:val="798D2D20"/>
    <w:rsid w:val="798E35F3"/>
    <w:rsid w:val="798E6270"/>
    <w:rsid w:val="799009BB"/>
    <w:rsid w:val="79921E9A"/>
    <w:rsid w:val="799240EF"/>
    <w:rsid w:val="79935991"/>
    <w:rsid w:val="7994125F"/>
    <w:rsid w:val="799716D7"/>
    <w:rsid w:val="799956AF"/>
    <w:rsid w:val="799A287B"/>
    <w:rsid w:val="79A755E8"/>
    <w:rsid w:val="79A75887"/>
    <w:rsid w:val="79AB3D81"/>
    <w:rsid w:val="79AC21F8"/>
    <w:rsid w:val="79AD6A52"/>
    <w:rsid w:val="79AD7C87"/>
    <w:rsid w:val="79B03D7F"/>
    <w:rsid w:val="79B32540"/>
    <w:rsid w:val="79B40079"/>
    <w:rsid w:val="79B40257"/>
    <w:rsid w:val="79BB479F"/>
    <w:rsid w:val="79BB4B60"/>
    <w:rsid w:val="79BB7958"/>
    <w:rsid w:val="79BC316C"/>
    <w:rsid w:val="79BE40CF"/>
    <w:rsid w:val="79BE4F71"/>
    <w:rsid w:val="79C72D69"/>
    <w:rsid w:val="79C74D3E"/>
    <w:rsid w:val="79C84572"/>
    <w:rsid w:val="79CE72D2"/>
    <w:rsid w:val="79D121D9"/>
    <w:rsid w:val="79D36A86"/>
    <w:rsid w:val="79D43F4C"/>
    <w:rsid w:val="79D66502"/>
    <w:rsid w:val="79DA7BAF"/>
    <w:rsid w:val="79DB4B23"/>
    <w:rsid w:val="79DC1C46"/>
    <w:rsid w:val="79DC7C4B"/>
    <w:rsid w:val="79DD5005"/>
    <w:rsid w:val="79E3157F"/>
    <w:rsid w:val="79E34E1B"/>
    <w:rsid w:val="79E565C4"/>
    <w:rsid w:val="79E97AF8"/>
    <w:rsid w:val="79EB2E78"/>
    <w:rsid w:val="79EC54FB"/>
    <w:rsid w:val="79ED26CC"/>
    <w:rsid w:val="79EE7154"/>
    <w:rsid w:val="79F971B0"/>
    <w:rsid w:val="79FC4D02"/>
    <w:rsid w:val="7A007B6D"/>
    <w:rsid w:val="7A007C79"/>
    <w:rsid w:val="7A0167F7"/>
    <w:rsid w:val="7A02028B"/>
    <w:rsid w:val="7A033A16"/>
    <w:rsid w:val="7A064D26"/>
    <w:rsid w:val="7A0759E0"/>
    <w:rsid w:val="7A084E75"/>
    <w:rsid w:val="7A0C2543"/>
    <w:rsid w:val="7A0C6CAC"/>
    <w:rsid w:val="7A0E3A3B"/>
    <w:rsid w:val="7A101543"/>
    <w:rsid w:val="7A131B83"/>
    <w:rsid w:val="7A150611"/>
    <w:rsid w:val="7A190D76"/>
    <w:rsid w:val="7A1962C6"/>
    <w:rsid w:val="7A1C21A5"/>
    <w:rsid w:val="7A223E00"/>
    <w:rsid w:val="7A232EB4"/>
    <w:rsid w:val="7A2425A2"/>
    <w:rsid w:val="7A244F40"/>
    <w:rsid w:val="7A255D4E"/>
    <w:rsid w:val="7A260DB6"/>
    <w:rsid w:val="7A265B31"/>
    <w:rsid w:val="7A272F81"/>
    <w:rsid w:val="7A275AA0"/>
    <w:rsid w:val="7A304198"/>
    <w:rsid w:val="7A321689"/>
    <w:rsid w:val="7A3364E3"/>
    <w:rsid w:val="7A394529"/>
    <w:rsid w:val="7A3A61A1"/>
    <w:rsid w:val="7A3C7DD6"/>
    <w:rsid w:val="7A4004ED"/>
    <w:rsid w:val="7A434029"/>
    <w:rsid w:val="7A442F06"/>
    <w:rsid w:val="7A443764"/>
    <w:rsid w:val="7A461828"/>
    <w:rsid w:val="7A473A11"/>
    <w:rsid w:val="7A4822D7"/>
    <w:rsid w:val="7A4C588B"/>
    <w:rsid w:val="7A4D0998"/>
    <w:rsid w:val="7A4F7B0A"/>
    <w:rsid w:val="7A5318FD"/>
    <w:rsid w:val="7A53321E"/>
    <w:rsid w:val="7A5465F2"/>
    <w:rsid w:val="7A54775F"/>
    <w:rsid w:val="7A5532D7"/>
    <w:rsid w:val="7A560E98"/>
    <w:rsid w:val="7A575376"/>
    <w:rsid w:val="7A5B3589"/>
    <w:rsid w:val="7A5D26D8"/>
    <w:rsid w:val="7A5E1AFB"/>
    <w:rsid w:val="7A5E4073"/>
    <w:rsid w:val="7A5E451F"/>
    <w:rsid w:val="7A6024F5"/>
    <w:rsid w:val="7A617723"/>
    <w:rsid w:val="7A621321"/>
    <w:rsid w:val="7A63694D"/>
    <w:rsid w:val="7A645E03"/>
    <w:rsid w:val="7A65118C"/>
    <w:rsid w:val="7A676F40"/>
    <w:rsid w:val="7A6A0DAE"/>
    <w:rsid w:val="7A6B647E"/>
    <w:rsid w:val="7A6C06BC"/>
    <w:rsid w:val="7A6E67D7"/>
    <w:rsid w:val="7A6F3AB2"/>
    <w:rsid w:val="7A735991"/>
    <w:rsid w:val="7A746ADE"/>
    <w:rsid w:val="7A7A60B1"/>
    <w:rsid w:val="7A7C1C70"/>
    <w:rsid w:val="7A7E219D"/>
    <w:rsid w:val="7A7F5193"/>
    <w:rsid w:val="7A820171"/>
    <w:rsid w:val="7A840830"/>
    <w:rsid w:val="7A8A1693"/>
    <w:rsid w:val="7A8A5071"/>
    <w:rsid w:val="7A8D70EE"/>
    <w:rsid w:val="7A94551C"/>
    <w:rsid w:val="7A956286"/>
    <w:rsid w:val="7A962BB0"/>
    <w:rsid w:val="7A971E2C"/>
    <w:rsid w:val="7A97325F"/>
    <w:rsid w:val="7A9A13FE"/>
    <w:rsid w:val="7A9A61C5"/>
    <w:rsid w:val="7A9B2D4F"/>
    <w:rsid w:val="7A9F1A84"/>
    <w:rsid w:val="7AA37E55"/>
    <w:rsid w:val="7AA6573B"/>
    <w:rsid w:val="7AAC351A"/>
    <w:rsid w:val="7AAF1F19"/>
    <w:rsid w:val="7AB035EF"/>
    <w:rsid w:val="7AB70C13"/>
    <w:rsid w:val="7AB75083"/>
    <w:rsid w:val="7ABC0A7A"/>
    <w:rsid w:val="7ABC10AC"/>
    <w:rsid w:val="7AC2754C"/>
    <w:rsid w:val="7AC53D68"/>
    <w:rsid w:val="7AC60E2F"/>
    <w:rsid w:val="7AC71526"/>
    <w:rsid w:val="7ACB28B9"/>
    <w:rsid w:val="7ACB59E5"/>
    <w:rsid w:val="7ACC61BC"/>
    <w:rsid w:val="7ACF29F8"/>
    <w:rsid w:val="7AD51D0D"/>
    <w:rsid w:val="7AD61020"/>
    <w:rsid w:val="7ADA0446"/>
    <w:rsid w:val="7ADE0EAF"/>
    <w:rsid w:val="7ADE2088"/>
    <w:rsid w:val="7AE00D91"/>
    <w:rsid w:val="7AE052B2"/>
    <w:rsid w:val="7AE23DC8"/>
    <w:rsid w:val="7AE55788"/>
    <w:rsid w:val="7AE66BA7"/>
    <w:rsid w:val="7AE758CB"/>
    <w:rsid w:val="7AE84CF3"/>
    <w:rsid w:val="7AE92CA6"/>
    <w:rsid w:val="7AE9595A"/>
    <w:rsid w:val="7AEA5A84"/>
    <w:rsid w:val="7AEA6D39"/>
    <w:rsid w:val="7AEB1A20"/>
    <w:rsid w:val="7AF0273E"/>
    <w:rsid w:val="7AF23D40"/>
    <w:rsid w:val="7AF3441A"/>
    <w:rsid w:val="7AF53E66"/>
    <w:rsid w:val="7AFA6838"/>
    <w:rsid w:val="7AFE3E2F"/>
    <w:rsid w:val="7AFE508C"/>
    <w:rsid w:val="7AFF1306"/>
    <w:rsid w:val="7AFF4192"/>
    <w:rsid w:val="7B010B7A"/>
    <w:rsid w:val="7B01630B"/>
    <w:rsid w:val="7B03447A"/>
    <w:rsid w:val="7B0544AC"/>
    <w:rsid w:val="7B091852"/>
    <w:rsid w:val="7B0C506C"/>
    <w:rsid w:val="7B0C718E"/>
    <w:rsid w:val="7B1228E5"/>
    <w:rsid w:val="7B12600D"/>
    <w:rsid w:val="7B132850"/>
    <w:rsid w:val="7B191912"/>
    <w:rsid w:val="7B1B50BA"/>
    <w:rsid w:val="7B205278"/>
    <w:rsid w:val="7B231514"/>
    <w:rsid w:val="7B24219E"/>
    <w:rsid w:val="7B2A1B70"/>
    <w:rsid w:val="7B2A5CF7"/>
    <w:rsid w:val="7B2C2BEB"/>
    <w:rsid w:val="7B2F28DB"/>
    <w:rsid w:val="7B2F446D"/>
    <w:rsid w:val="7B315BCA"/>
    <w:rsid w:val="7B337648"/>
    <w:rsid w:val="7B353E29"/>
    <w:rsid w:val="7B3938A7"/>
    <w:rsid w:val="7B3B5E3B"/>
    <w:rsid w:val="7B3B62E0"/>
    <w:rsid w:val="7B4145E3"/>
    <w:rsid w:val="7B422313"/>
    <w:rsid w:val="7B4505E6"/>
    <w:rsid w:val="7B454A69"/>
    <w:rsid w:val="7B473508"/>
    <w:rsid w:val="7B4916C8"/>
    <w:rsid w:val="7B491F02"/>
    <w:rsid w:val="7B4F3791"/>
    <w:rsid w:val="7B503133"/>
    <w:rsid w:val="7B5072BD"/>
    <w:rsid w:val="7B510FB8"/>
    <w:rsid w:val="7B526BF4"/>
    <w:rsid w:val="7B533FFE"/>
    <w:rsid w:val="7B541C6F"/>
    <w:rsid w:val="7B5B1AD6"/>
    <w:rsid w:val="7B5D031B"/>
    <w:rsid w:val="7B5F60D4"/>
    <w:rsid w:val="7B601368"/>
    <w:rsid w:val="7B603BD4"/>
    <w:rsid w:val="7B625474"/>
    <w:rsid w:val="7B642A7B"/>
    <w:rsid w:val="7B645139"/>
    <w:rsid w:val="7B64795A"/>
    <w:rsid w:val="7B674972"/>
    <w:rsid w:val="7B6969A9"/>
    <w:rsid w:val="7B6A55AA"/>
    <w:rsid w:val="7B6B619D"/>
    <w:rsid w:val="7B6E5D6D"/>
    <w:rsid w:val="7B70505F"/>
    <w:rsid w:val="7B725FB7"/>
    <w:rsid w:val="7B7438B2"/>
    <w:rsid w:val="7B7578E5"/>
    <w:rsid w:val="7B762E74"/>
    <w:rsid w:val="7B7814D5"/>
    <w:rsid w:val="7B7E1F4F"/>
    <w:rsid w:val="7B7F0D99"/>
    <w:rsid w:val="7B7F5396"/>
    <w:rsid w:val="7B830E66"/>
    <w:rsid w:val="7B835E7C"/>
    <w:rsid w:val="7B837CDD"/>
    <w:rsid w:val="7B842313"/>
    <w:rsid w:val="7B8657AD"/>
    <w:rsid w:val="7B894AC7"/>
    <w:rsid w:val="7B894FB8"/>
    <w:rsid w:val="7B8A69F2"/>
    <w:rsid w:val="7B8B4B71"/>
    <w:rsid w:val="7B8C6B3B"/>
    <w:rsid w:val="7B8C755C"/>
    <w:rsid w:val="7B8D4A9C"/>
    <w:rsid w:val="7B8D5374"/>
    <w:rsid w:val="7B914D59"/>
    <w:rsid w:val="7B916195"/>
    <w:rsid w:val="7B931C78"/>
    <w:rsid w:val="7B960A90"/>
    <w:rsid w:val="7B9641B9"/>
    <w:rsid w:val="7B9B4A67"/>
    <w:rsid w:val="7B9F3406"/>
    <w:rsid w:val="7B9F4FF8"/>
    <w:rsid w:val="7BA06A12"/>
    <w:rsid w:val="7BA5400F"/>
    <w:rsid w:val="7BA5570D"/>
    <w:rsid w:val="7BA95EDC"/>
    <w:rsid w:val="7BB065C4"/>
    <w:rsid w:val="7BB069D7"/>
    <w:rsid w:val="7BB16DC8"/>
    <w:rsid w:val="7BB33B65"/>
    <w:rsid w:val="7BB35E76"/>
    <w:rsid w:val="7BB54C6B"/>
    <w:rsid w:val="7BB971C0"/>
    <w:rsid w:val="7BBA3E6B"/>
    <w:rsid w:val="7BBC0B95"/>
    <w:rsid w:val="7BBE00B7"/>
    <w:rsid w:val="7BC037A4"/>
    <w:rsid w:val="7BC6204D"/>
    <w:rsid w:val="7BC66FBF"/>
    <w:rsid w:val="7BC67971"/>
    <w:rsid w:val="7BC932E8"/>
    <w:rsid w:val="7BC9569A"/>
    <w:rsid w:val="7BD11223"/>
    <w:rsid w:val="7BD41BEC"/>
    <w:rsid w:val="7BD56A74"/>
    <w:rsid w:val="7BD60AFD"/>
    <w:rsid w:val="7BDC46CB"/>
    <w:rsid w:val="7BDF522A"/>
    <w:rsid w:val="7BE1452C"/>
    <w:rsid w:val="7BE14C8B"/>
    <w:rsid w:val="7BE26276"/>
    <w:rsid w:val="7BE3700C"/>
    <w:rsid w:val="7BE371E9"/>
    <w:rsid w:val="7BE56C84"/>
    <w:rsid w:val="7BE65D46"/>
    <w:rsid w:val="7BEA0EC8"/>
    <w:rsid w:val="7BEB1C8A"/>
    <w:rsid w:val="7BEB3862"/>
    <w:rsid w:val="7BEC1ACD"/>
    <w:rsid w:val="7BEC46AF"/>
    <w:rsid w:val="7BF16B41"/>
    <w:rsid w:val="7BF16B55"/>
    <w:rsid w:val="7BF2502D"/>
    <w:rsid w:val="7BF41905"/>
    <w:rsid w:val="7BF5023D"/>
    <w:rsid w:val="7BF52324"/>
    <w:rsid w:val="7BF55BB1"/>
    <w:rsid w:val="7BF641F3"/>
    <w:rsid w:val="7BF67374"/>
    <w:rsid w:val="7BF939AD"/>
    <w:rsid w:val="7BF959DE"/>
    <w:rsid w:val="7BFD1D65"/>
    <w:rsid w:val="7BFD2548"/>
    <w:rsid w:val="7C00038B"/>
    <w:rsid w:val="7C012706"/>
    <w:rsid w:val="7C014989"/>
    <w:rsid w:val="7C052824"/>
    <w:rsid w:val="7C077F9B"/>
    <w:rsid w:val="7C0874A9"/>
    <w:rsid w:val="7C0B048F"/>
    <w:rsid w:val="7C0B467C"/>
    <w:rsid w:val="7C0D37D8"/>
    <w:rsid w:val="7C1014B0"/>
    <w:rsid w:val="7C120E79"/>
    <w:rsid w:val="7C142DB9"/>
    <w:rsid w:val="7C146E1F"/>
    <w:rsid w:val="7C15336B"/>
    <w:rsid w:val="7C181671"/>
    <w:rsid w:val="7C1934EB"/>
    <w:rsid w:val="7C1C1603"/>
    <w:rsid w:val="7C22387A"/>
    <w:rsid w:val="7C226D57"/>
    <w:rsid w:val="7C240B22"/>
    <w:rsid w:val="7C27419D"/>
    <w:rsid w:val="7C2743EB"/>
    <w:rsid w:val="7C276F98"/>
    <w:rsid w:val="7C28420F"/>
    <w:rsid w:val="7C284683"/>
    <w:rsid w:val="7C296138"/>
    <w:rsid w:val="7C2A4C60"/>
    <w:rsid w:val="7C2E5FBD"/>
    <w:rsid w:val="7C2F6C66"/>
    <w:rsid w:val="7C300CF6"/>
    <w:rsid w:val="7C33187C"/>
    <w:rsid w:val="7C3A63A1"/>
    <w:rsid w:val="7C3C5418"/>
    <w:rsid w:val="7C3F51A6"/>
    <w:rsid w:val="7C410773"/>
    <w:rsid w:val="7C4411CB"/>
    <w:rsid w:val="7C451CB1"/>
    <w:rsid w:val="7C4667A2"/>
    <w:rsid w:val="7C4B2553"/>
    <w:rsid w:val="7C4B7077"/>
    <w:rsid w:val="7C4F0C81"/>
    <w:rsid w:val="7C51032C"/>
    <w:rsid w:val="7C5356BC"/>
    <w:rsid w:val="7C536A2F"/>
    <w:rsid w:val="7C546296"/>
    <w:rsid w:val="7C570EF7"/>
    <w:rsid w:val="7C5B009C"/>
    <w:rsid w:val="7C5B4DFB"/>
    <w:rsid w:val="7C5C3F2D"/>
    <w:rsid w:val="7C5C3F51"/>
    <w:rsid w:val="7C613866"/>
    <w:rsid w:val="7C632C28"/>
    <w:rsid w:val="7C66113B"/>
    <w:rsid w:val="7C676D23"/>
    <w:rsid w:val="7C683ACA"/>
    <w:rsid w:val="7C684EB3"/>
    <w:rsid w:val="7C6A2558"/>
    <w:rsid w:val="7C6B542B"/>
    <w:rsid w:val="7C6D2E23"/>
    <w:rsid w:val="7C6E348D"/>
    <w:rsid w:val="7C6F24FD"/>
    <w:rsid w:val="7C6F6241"/>
    <w:rsid w:val="7C712D1C"/>
    <w:rsid w:val="7C723148"/>
    <w:rsid w:val="7C731B3B"/>
    <w:rsid w:val="7C741AA9"/>
    <w:rsid w:val="7C7454BB"/>
    <w:rsid w:val="7C772D47"/>
    <w:rsid w:val="7C773B91"/>
    <w:rsid w:val="7C776864"/>
    <w:rsid w:val="7C7F354B"/>
    <w:rsid w:val="7C8647FA"/>
    <w:rsid w:val="7C87045B"/>
    <w:rsid w:val="7C88517E"/>
    <w:rsid w:val="7C887303"/>
    <w:rsid w:val="7C8C376F"/>
    <w:rsid w:val="7C8D4466"/>
    <w:rsid w:val="7C8F2CBC"/>
    <w:rsid w:val="7C903ADA"/>
    <w:rsid w:val="7C9239B5"/>
    <w:rsid w:val="7C932345"/>
    <w:rsid w:val="7C946748"/>
    <w:rsid w:val="7C965AAC"/>
    <w:rsid w:val="7C9B747B"/>
    <w:rsid w:val="7C9C3CCE"/>
    <w:rsid w:val="7C9C690A"/>
    <w:rsid w:val="7C9D726E"/>
    <w:rsid w:val="7CA00511"/>
    <w:rsid w:val="7CA1521D"/>
    <w:rsid w:val="7CA55A7E"/>
    <w:rsid w:val="7CA6171A"/>
    <w:rsid w:val="7CA65445"/>
    <w:rsid w:val="7CA86417"/>
    <w:rsid w:val="7CAA1B0B"/>
    <w:rsid w:val="7CAE4A4C"/>
    <w:rsid w:val="7CB023B6"/>
    <w:rsid w:val="7CB12460"/>
    <w:rsid w:val="7CB633F9"/>
    <w:rsid w:val="7CB73EFC"/>
    <w:rsid w:val="7CB75E21"/>
    <w:rsid w:val="7CB8526F"/>
    <w:rsid w:val="7CBA34BB"/>
    <w:rsid w:val="7CBA39EA"/>
    <w:rsid w:val="7CBB3B28"/>
    <w:rsid w:val="7CBC17FF"/>
    <w:rsid w:val="7CBE0F77"/>
    <w:rsid w:val="7CBF22FC"/>
    <w:rsid w:val="7CC6603B"/>
    <w:rsid w:val="7CCD0956"/>
    <w:rsid w:val="7CCE2ED0"/>
    <w:rsid w:val="7CCE3573"/>
    <w:rsid w:val="7CCF6054"/>
    <w:rsid w:val="7CD01633"/>
    <w:rsid w:val="7CD2787C"/>
    <w:rsid w:val="7CD50BD5"/>
    <w:rsid w:val="7CD666C0"/>
    <w:rsid w:val="7CD73431"/>
    <w:rsid w:val="7CD73DE6"/>
    <w:rsid w:val="7CD90260"/>
    <w:rsid w:val="7CD97B5E"/>
    <w:rsid w:val="7CDA73C4"/>
    <w:rsid w:val="7CDE38A6"/>
    <w:rsid w:val="7CDE3F14"/>
    <w:rsid w:val="7CDF4F7F"/>
    <w:rsid w:val="7CE000E7"/>
    <w:rsid w:val="7CE26FDA"/>
    <w:rsid w:val="7CE52C25"/>
    <w:rsid w:val="7CE63C3D"/>
    <w:rsid w:val="7CE66F6F"/>
    <w:rsid w:val="7CE776A3"/>
    <w:rsid w:val="7CE83FA6"/>
    <w:rsid w:val="7CF01506"/>
    <w:rsid w:val="7CF13B1C"/>
    <w:rsid w:val="7CF205EE"/>
    <w:rsid w:val="7CF21B12"/>
    <w:rsid w:val="7CFA4A16"/>
    <w:rsid w:val="7CFA58BF"/>
    <w:rsid w:val="7CFB6E74"/>
    <w:rsid w:val="7CFD2990"/>
    <w:rsid w:val="7CFF33B0"/>
    <w:rsid w:val="7D0332BB"/>
    <w:rsid w:val="7D050CA4"/>
    <w:rsid w:val="7D090B3D"/>
    <w:rsid w:val="7D0946B9"/>
    <w:rsid w:val="7D0C5253"/>
    <w:rsid w:val="7D111683"/>
    <w:rsid w:val="7D1135EA"/>
    <w:rsid w:val="7D1312C2"/>
    <w:rsid w:val="7D13400B"/>
    <w:rsid w:val="7D155DDC"/>
    <w:rsid w:val="7D1641A6"/>
    <w:rsid w:val="7D1737F2"/>
    <w:rsid w:val="7D181C5A"/>
    <w:rsid w:val="7D1B0177"/>
    <w:rsid w:val="7D1B47AD"/>
    <w:rsid w:val="7D1D21ED"/>
    <w:rsid w:val="7D1E6BDA"/>
    <w:rsid w:val="7D2264A6"/>
    <w:rsid w:val="7D265E64"/>
    <w:rsid w:val="7D275E14"/>
    <w:rsid w:val="7D276B1C"/>
    <w:rsid w:val="7D2A3B1F"/>
    <w:rsid w:val="7D2A660C"/>
    <w:rsid w:val="7D2F2608"/>
    <w:rsid w:val="7D307734"/>
    <w:rsid w:val="7D325CA7"/>
    <w:rsid w:val="7D33299C"/>
    <w:rsid w:val="7D3914A2"/>
    <w:rsid w:val="7D3A01A3"/>
    <w:rsid w:val="7D3A7510"/>
    <w:rsid w:val="7D3F6B08"/>
    <w:rsid w:val="7D4243D2"/>
    <w:rsid w:val="7D431A10"/>
    <w:rsid w:val="7D433B76"/>
    <w:rsid w:val="7D434792"/>
    <w:rsid w:val="7D44021E"/>
    <w:rsid w:val="7D467074"/>
    <w:rsid w:val="7D486E6E"/>
    <w:rsid w:val="7D4F0EFB"/>
    <w:rsid w:val="7D4F2F12"/>
    <w:rsid w:val="7D5166FB"/>
    <w:rsid w:val="7D5B3272"/>
    <w:rsid w:val="7D5B4443"/>
    <w:rsid w:val="7D5F11C0"/>
    <w:rsid w:val="7D5F4EC8"/>
    <w:rsid w:val="7D6342E1"/>
    <w:rsid w:val="7D644AA1"/>
    <w:rsid w:val="7D6911BF"/>
    <w:rsid w:val="7D6C09D3"/>
    <w:rsid w:val="7D6C376A"/>
    <w:rsid w:val="7D6E474B"/>
    <w:rsid w:val="7D737671"/>
    <w:rsid w:val="7D7C51BA"/>
    <w:rsid w:val="7D7E44DF"/>
    <w:rsid w:val="7D7F5DC9"/>
    <w:rsid w:val="7D823D52"/>
    <w:rsid w:val="7D842A76"/>
    <w:rsid w:val="7D8672A3"/>
    <w:rsid w:val="7D872E48"/>
    <w:rsid w:val="7D874BDB"/>
    <w:rsid w:val="7D8A3A30"/>
    <w:rsid w:val="7D8A470C"/>
    <w:rsid w:val="7D8B5E5A"/>
    <w:rsid w:val="7D8E0B17"/>
    <w:rsid w:val="7D8E26F7"/>
    <w:rsid w:val="7D8E28A3"/>
    <w:rsid w:val="7D8F4F66"/>
    <w:rsid w:val="7D8F7AAC"/>
    <w:rsid w:val="7D902913"/>
    <w:rsid w:val="7D91116C"/>
    <w:rsid w:val="7D913F8C"/>
    <w:rsid w:val="7D930B2B"/>
    <w:rsid w:val="7D96649E"/>
    <w:rsid w:val="7D967CFD"/>
    <w:rsid w:val="7D985324"/>
    <w:rsid w:val="7D9C62F6"/>
    <w:rsid w:val="7D9D25D5"/>
    <w:rsid w:val="7DA04BF8"/>
    <w:rsid w:val="7DA16110"/>
    <w:rsid w:val="7DA37A73"/>
    <w:rsid w:val="7DA37EA8"/>
    <w:rsid w:val="7DA527C6"/>
    <w:rsid w:val="7DA763E1"/>
    <w:rsid w:val="7DA94D18"/>
    <w:rsid w:val="7DAA2B0F"/>
    <w:rsid w:val="7DAC2FE3"/>
    <w:rsid w:val="7DAD5828"/>
    <w:rsid w:val="7DB163E5"/>
    <w:rsid w:val="7DB20D66"/>
    <w:rsid w:val="7DB27FC2"/>
    <w:rsid w:val="7DB357D0"/>
    <w:rsid w:val="7DB40AC7"/>
    <w:rsid w:val="7DB44FD5"/>
    <w:rsid w:val="7DB66A83"/>
    <w:rsid w:val="7DBA25E9"/>
    <w:rsid w:val="7DBC1868"/>
    <w:rsid w:val="7DBD123B"/>
    <w:rsid w:val="7DBF0B02"/>
    <w:rsid w:val="7DC04391"/>
    <w:rsid w:val="7DC046CA"/>
    <w:rsid w:val="7DC06440"/>
    <w:rsid w:val="7DC12ACC"/>
    <w:rsid w:val="7DC205F3"/>
    <w:rsid w:val="7DC2599C"/>
    <w:rsid w:val="7DC43B01"/>
    <w:rsid w:val="7DC44A63"/>
    <w:rsid w:val="7DC66190"/>
    <w:rsid w:val="7DC75C09"/>
    <w:rsid w:val="7DC91A6E"/>
    <w:rsid w:val="7DC92DE1"/>
    <w:rsid w:val="7DCA2DB0"/>
    <w:rsid w:val="7DCC2806"/>
    <w:rsid w:val="7DCC365F"/>
    <w:rsid w:val="7DD2306B"/>
    <w:rsid w:val="7DD67D31"/>
    <w:rsid w:val="7DD72348"/>
    <w:rsid w:val="7DD729DF"/>
    <w:rsid w:val="7DD76857"/>
    <w:rsid w:val="7DD83970"/>
    <w:rsid w:val="7DDA32C6"/>
    <w:rsid w:val="7DDC149F"/>
    <w:rsid w:val="7DDC28AE"/>
    <w:rsid w:val="7DDC2C25"/>
    <w:rsid w:val="7DDC4883"/>
    <w:rsid w:val="7DDC7620"/>
    <w:rsid w:val="7DDD367E"/>
    <w:rsid w:val="7DE052D0"/>
    <w:rsid w:val="7DE20C95"/>
    <w:rsid w:val="7DE37656"/>
    <w:rsid w:val="7DE42355"/>
    <w:rsid w:val="7DE64E68"/>
    <w:rsid w:val="7DE65E29"/>
    <w:rsid w:val="7DE92023"/>
    <w:rsid w:val="7DE93DD1"/>
    <w:rsid w:val="7DEC25DB"/>
    <w:rsid w:val="7DEC6010"/>
    <w:rsid w:val="7DEE7FD8"/>
    <w:rsid w:val="7DF425B0"/>
    <w:rsid w:val="7DF771E4"/>
    <w:rsid w:val="7DF804B8"/>
    <w:rsid w:val="7DFA5AA8"/>
    <w:rsid w:val="7DFB02EB"/>
    <w:rsid w:val="7DFD23E3"/>
    <w:rsid w:val="7E004BE2"/>
    <w:rsid w:val="7E0230E5"/>
    <w:rsid w:val="7E047AF5"/>
    <w:rsid w:val="7E074257"/>
    <w:rsid w:val="7E0829F9"/>
    <w:rsid w:val="7E0A6735"/>
    <w:rsid w:val="7E0C47D2"/>
    <w:rsid w:val="7E0E1A8A"/>
    <w:rsid w:val="7E121690"/>
    <w:rsid w:val="7E135600"/>
    <w:rsid w:val="7E14355A"/>
    <w:rsid w:val="7E171916"/>
    <w:rsid w:val="7E1862D8"/>
    <w:rsid w:val="7E19411C"/>
    <w:rsid w:val="7E19583D"/>
    <w:rsid w:val="7E1A3F8B"/>
    <w:rsid w:val="7E1A42D4"/>
    <w:rsid w:val="7E1A54D7"/>
    <w:rsid w:val="7E1C4171"/>
    <w:rsid w:val="7E1C41E2"/>
    <w:rsid w:val="7E1D51B2"/>
    <w:rsid w:val="7E1E0CEC"/>
    <w:rsid w:val="7E1E3E72"/>
    <w:rsid w:val="7E1F0AC2"/>
    <w:rsid w:val="7E20497A"/>
    <w:rsid w:val="7E211670"/>
    <w:rsid w:val="7E263E11"/>
    <w:rsid w:val="7E284F04"/>
    <w:rsid w:val="7E2A6AD3"/>
    <w:rsid w:val="7E2D4722"/>
    <w:rsid w:val="7E2E098A"/>
    <w:rsid w:val="7E2F603C"/>
    <w:rsid w:val="7E304A0E"/>
    <w:rsid w:val="7E317D6F"/>
    <w:rsid w:val="7E32343F"/>
    <w:rsid w:val="7E36499F"/>
    <w:rsid w:val="7E3724C5"/>
    <w:rsid w:val="7E395600"/>
    <w:rsid w:val="7E395A6D"/>
    <w:rsid w:val="7E4035CB"/>
    <w:rsid w:val="7E410CCB"/>
    <w:rsid w:val="7E432F7E"/>
    <w:rsid w:val="7E436FA6"/>
    <w:rsid w:val="7E454281"/>
    <w:rsid w:val="7E477D9F"/>
    <w:rsid w:val="7E491FC4"/>
    <w:rsid w:val="7E495D03"/>
    <w:rsid w:val="7E4A5C4D"/>
    <w:rsid w:val="7E4A64A9"/>
    <w:rsid w:val="7E4C610E"/>
    <w:rsid w:val="7E4D2406"/>
    <w:rsid w:val="7E4E16CC"/>
    <w:rsid w:val="7E4F7341"/>
    <w:rsid w:val="7E526F7C"/>
    <w:rsid w:val="7E546516"/>
    <w:rsid w:val="7E551A40"/>
    <w:rsid w:val="7E5779DD"/>
    <w:rsid w:val="7E5819BF"/>
    <w:rsid w:val="7E5A7E6C"/>
    <w:rsid w:val="7E5B3260"/>
    <w:rsid w:val="7E5C2DD9"/>
    <w:rsid w:val="7E5E244B"/>
    <w:rsid w:val="7E5E4691"/>
    <w:rsid w:val="7E617E0B"/>
    <w:rsid w:val="7E646442"/>
    <w:rsid w:val="7E646DF2"/>
    <w:rsid w:val="7E65116E"/>
    <w:rsid w:val="7E6548BB"/>
    <w:rsid w:val="7E671069"/>
    <w:rsid w:val="7E6739B9"/>
    <w:rsid w:val="7E6870FF"/>
    <w:rsid w:val="7E6976C7"/>
    <w:rsid w:val="7E6A0581"/>
    <w:rsid w:val="7E6B5D4E"/>
    <w:rsid w:val="7E6C1FB4"/>
    <w:rsid w:val="7E6D21CB"/>
    <w:rsid w:val="7E6F077A"/>
    <w:rsid w:val="7E6F7F53"/>
    <w:rsid w:val="7E70004F"/>
    <w:rsid w:val="7E7025E9"/>
    <w:rsid w:val="7E722078"/>
    <w:rsid w:val="7E7B4885"/>
    <w:rsid w:val="7E7E6F2C"/>
    <w:rsid w:val="7E7E7346"/>
    <w:rsid w:val="7E814DC7"/>
    <w:rsid w:val="7E8674BD"/>
    <w:rsid w:val="7E88183C"/>
    <w:rsid w:val="7E886109"/>
    <w:rsid w:val="7E894814"/>
    <w:rsid w:val="7E897212"/>
    <w:rsid w:val="7E8A55B4"/>
    <w:rsid w:val="7E8C3856"/>
    <w:rsid w:val="7E8E331C"/>
    <w:rsid w:val="7E8F222C"/>
    <w:rsid w:val="7E8F3729"/>
    <w:rsid w:val="7E941F8F"/>
    <w:rsid w:val="7E9B29AD"/>
    <w:rsid w:val="7E9C6A9C"/>
    <w:rsid w:val="7E9D1A10"/>
    <w:rsid w:val="7EA00B9B"/>
    <w:rsid w:val="7EA6710D"/>
    <w:rsid w:val="7EA87732"/>
    <w:rsid w:val="7EB063E5"/>
    <w:rsid w:val="7EB34974"/>
    <w:rsid w:val="7EB40067"/>
    <w:rsid w:val="7EBC3E07"/>
    <w:rsid w:val="7EBF3558"/>
    <w:rsid w:val="7EBF6DE5"/>
    <w:rsid w:val="7EC105EB"/>
    <w:rsid w:val="7EC1201F"/>
    <w:rsid w:val="7EC860DC"/>
    <w:rsid w:val="7ECA6174"/>
    <w:rsid w:val="7ECF4374"/>
    <w:rsid w:val="7ECF76B5"/>
    <w:rsid w:val="7ED05241"/>
    <w:rsid w:val="7ED06176"/>
    <w:rsid w:val="7ED06276"/>
    <w:rsid w:val="7ED145B9"/>
    <w:rsid w:val="7ED14EDD"/>
    <w:rsid w:val="7ED218F5"/>
    <w:rsid w:val="7ED71E7C"/>
    <w:rsid w:val="7ED75855"/>
    <w:rsid w:val="7EDC73CB"/>
    <w:rsid w:val="7EE5665D"/>
    <w:rsid w:val="7EED3E39"/>
    <w:rsid w:val="7EEF721D"/>
    <w:rsid w:val="7EF23592"/>
    <w:rsid w:val="7EF3213F"/>
    <w:rsid w:val="7EF4204E"/>
    <w:rsid w:val="7EF5087A"/>
    <w:rsid w:val="7EF70102"/>
    <w:rsid w:val="7EF7634F"/>
    <w:rsid w:val="7EFA4BB5"/>
    <w:rsid w:val="7EFC0221"/>
    <w:rsid w:val="7EFE4152"/>
    <w:rsid w:val="7F003AA9"/>
    <w:rsid w:val="7F060895"/>
    <w:rsid w:val="7F0B7D77"/>
    <w:rsid w:val="7F0E3EBD"/>
    <w:rsid w:val="7F0E4495"/>
    <w:rsid w:val="7F10573F"/>
    <w:rsid w:val="7F124F6B"/>
    <w:rsid w:val="7F127358"/>
    <w:rsid w:val="7F13147B"/>
    <w:rsid w:val="7F150F67"/>
    <w:rsid w:val="7F155F56"/>
    <w:rsid w:val="7F165567"/>
    <w:rsid w:val="7F16672D"/>
    <w:rsid w:val="7F176A9E"/>
    <w:rsid w:val="7F19289E"/>
    <w:rsid w:val="7F1E0BD7"/>
    <w:rsid w:val="7F1F6188"/>
    <w:rsid w:val="7F201A75"/>
    <w:rsid w:val="7F203823"/>
    <w:rsid w:val="7F216446"/>
    <w:rsid w:val="7F23028A"/>
    <w:rsid w:val="7F241BE8"/>
    <w:rsid w:val="7F245D6F"/>
    <w:rsid w:val="7F2613E4"/>
    <w:rsid w:val="7F2C619E"/>
    <w:rsid w:val="7F2E498A"/>
    <w:rsid w:val="7F2E7198"/>
    <w:rsid w:val="7F332A44"/>
    <w:rsid w:val="7F343E15"/>
    <w:rsid w:val="7F373DDE"/>
    <w:rsid w:val="7F3753D2"/>
    <w:rsid w:val="7F392E6F"/>
    <w:rsid w:val="7F3A38DF"/>
    <w:rsid w:val="7F3E35C2"/>
    <w:rsid w:val="7F44470B"/>
    <w:rsid w:val="7F453D16"/>
    <w:rsid w:val="7F455E86"/>
    <w:rsid w:val="7F470740"/>
    <w:rsid w:val="7F495F30"/>
    <w:rsid w:val="7F4C01F4"/>
    <w:rsid w:val="7F4D3DA2"/>
    <w:rsid w:val="7F4F4F25"/>
    <w:rsid w:val="7F5034BD"/>
    <w:rsid w:val="7F5147EE"/>
    <w:rsid w:val="7F52796A"/>
    <w:rsid w:val="7F5540EC"/>
    <w:rsid w:val="7F556AC1"/>
    <w:rsid w:val="7F564670"/>
    <w:rsid w:val="7F572D0D"/>
    <w:rsid w:val="7F5B5141"/>
    <w:rsid w:val="7F5B57C2"/>
    <w:rsid w:val="7F5C5858"/>
    <w:rsid w:val="7F5D0546"/>
    <w:rsid w:val="7F64316B"/>
    <w:rsid w:val="7F6461E1"/>
    <w:rsid w:val="7F670BE2"/>
    <w:rsid w:val="7F72028F"/>
    <w:rsid w:val="7F725D60"/>
    <w:rsid w:val="7F7467B5"/>
    <w:rsid w:val="7F7C5A63"/>
    <w:rsid w:val="7F7D1CF4"/>
    <w:rsid w:val="7F7E7729"/>
    <w:rsid w:val="7F7F140A"/>
    <w:rsid w:val="7F80073F"/>
    <w:rsid w:val="7F824649"/>
    <w:rsid w:val="7F831D8B"/>
    <w:rsid w:val="7F846B22"/>
    <w:rsid w:val="7F876645"/>
    <w:rsid w:val="7F8B0EB5"/>
    <w:rsid w:val="7F8B2393"/>
    <w:rsid w:val="7F8D022C"/>
    <w:rsid w:val="7F900D31"/>
    <w:rsid w:val="7F9164CE"/>
    <w:rsid w:val="7F9236C9"/>
    <w:rsid w:val="7F926C30"/>
    <w:rsid w:val="7F9420D5"/>
    <w:rsid w:val="7F9606AA"/>
    <w:rsid w:val="7F962ED7"/>
    <w:rsid w:val="7F992580"/>
    <w:rsid w:val="7F996367"/>
    <w:rsid w:val="7F9A7003"/>
    <w:rsid w:val="7F9B6A4C"/>
    <w:rsid w:val="7F9C69D1"/>
    <w:rsid w:val="7F9E5528"/>
    <w:rsid w:val="7F9F5884"/>
    <w:rsid w:val="7FA02ED2"/>
    <w:rsid w:val="7FA06205"/>
    <w:rsid w:val="7FA302F0"/>
    <w:rsid w:val="7FA344A3"/>
    <w:rsid w:val="7FA34FB2"/>
    <w:rsid w:val="7FA41827"/>
    <w:rsid w:val="7FA56366"/>
    <w:rsid w:val="7FA91A6A"/>
    <w:rsid w:val="7FAA3BDB"/>
    <w:rsid w:val="7FAD568F"/>
    <w:rsid w:val="7FAE58A1"/>
    <w:rsid w:val="7FAE7080"/>
    <w:rsid w:val="7FAF47F3"/>
    <w:rsid w:val="7FB604D2"/>
    <w:rsid w:val="7FB648CC"/>
    <w:rsid w:val="7FB90B67"/>
    <w:rsid w:val="7FB92D4B"/>
    <w:rsid w:val="7FBA5F79"/>
    <w:rsid w:val="7FBB3747"/>
    <w:rsid w:val="7FC07B4A"/>
    <w:rsid w:val="7FC07C30"/>
    <w:rsid w:val="7FC6007F"/>
    <w:rsid w:val="7FC94B7F"/>
    <w:rsid w:val="7FCB3255"/>
    <w:rsid w:val="7FCF27AA"/>
    <w:rsid w:val="7FCF50BA"/>
    <w:rsid w:val="7FD1212F"/>
    <w:rsid w:val="7FD5285F"/>
    <w:rsid w:val="7FD533AD"/>
    <w:rsid w:val="7FD6660C"/>
    <w:rsid w:val="7FD71552"/>
    <w:rsid w:val="7FD71792"/>
    <w:rsid w:val="7FD82AE5"/>
    <w:rsid w:val="7FDA4CCA"/>
    <w:rsid w:val="7FDA7E75"/>
    <w:rsid w:val="7FDB09AE"/>
    <w:rsid w:val="7FDD34C2"/>
    <w:rsid w:val="7FDD3720"/>
    <w:rsid w:val="7FDF4CA0"/>
    <w:rsid w:val="7FDF613D"/>
    <w:rsid w:val="7FE46D4D"/>
    <w:rsid w:val="7FE5724F"/>
    <w:rsid w:val="7FE656C9"/>
    <w:rsid w:val="7FE67EBC"/>
    <w:rsid w:val="7FE759C4"/>
    <w:rsid w:val="7FE86341"/>
    <w:rsid w:val="7FE93A38"/>
    <w:rsid w:val="7FE9455C"/>
    <w:rsid w:val="7FEE20EC"/>
    <w:rsid w:val="7FEE32A7"/>
    <w:rsid w:val="7FEE56CF"/>
    <w:rsid w:val="7FF02377"/>
    <w:rsid w:val="7FF205E5"/>
    <w:rsid w:val="7FFA22C6"/>
    <w:rsid w:val="7FFE57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1" endarrow="open"/>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qFormat="1"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480" w:lineRule="exact"/>
      <w:ind w:firstLine="720" w:firstLineChars="200"/>
      <w:jc w:val="both"/>
    </w:pPr>
    <w:rPr>
      <w:rFonts w:ascii="Times New Roman" w:hAnsi="Times New Roman" w:eastAsia="宋体" w:cs="Times New Roman"/>
      <w:kern w:val="2"/>
      <w:sz w:val="24"/>
      <w:szCs w:val="24"/>
      <w:lang w:val="en-US" w:eastAsia="zh-CN" w:bidi="ar-SA"/>
    </w:rPr>
  </w:style>
  <w:style w:type="paragraph" w:styleId="5">
    <w:name w:val="heading 1"/>
    <w:basedOn w:val="6"/>
    <w:next w:val="1"/>
    <w:link w:val="87"/>
    <w:qFormat/>
    <w:uiPriority w:val="0"/>
    <w:pPr>
      <w:keepNext/>
      <w:keepLines/>
      <w:spacing w:beforeLines="0" w:afterLines="0" w:line="480" w:lineRule="exact"/>
      <w:ind w:firstLine="0" w:firstLineChars="0"/>
      <w:outlineLvl w:val="0"/>
    </w:pPr>
    <w:rPr>
      <w:rFonts w:ascii="Times New Roman" w:hAnsi="Times New Roman" w:eastAsia="宋体"/>
      <w:kern w:val="44"/>
      <w:szCs w:val="24"/>
    </w:rPr>
  </w:style>
  <w:style w:type="paragraph" w:styleId="7">
    <w:name w:val="heading 2"/>
    <w:basedOn w:val="1"/>
    <w:next w:val="1"/>
    <w:link w:val="60"/>
    <w:qFormat/>
    <w:uiPriority w:val="0"/>
    <w:pPr>
      <w:keepNext/>
      <w:keepLines/>
      <w:adjustRightInd w:val="0"/>
      <w:spacing w:beforeLines="0" w:afterLines="0" w:line="480" w:lineRule="exact"/>
      <w:ind w:firstLine="0" w:firstLineChars="0"/>
      <w:outlineLvl w:val="1"/>
    </w:pPr>
    <w:rPr>
      <w:b/>
      <w:sz w:val="24"/>
    </w:rPr>
  </w:style>
  <w:style w:type="paragraph" w:styleId="6">
    <w:name w:val="heading 3"/>
    <w:basedOn w:val="1"/>
    <w:next w:val="1"/>
    <w:link w:val="61"/>
    <w:qFormat/>
    <w:uiPriority w:val="0"/>
    <w:pPr>
      <w:keepNext/>
      <w:keepLines/>
      <w:spacing w:beforeLines="0" w:afterLines="0" w:line="480" w:lineRule="exact"/>
      <w:ind w:firstLine="0" w:firstLineChars="0"/>
      <w:outlineLvl w:val="2"/>
    </w:pPr>
    <w:rPr>
      <w:b/>
      <w:bCs/>
    </w:rPr>
  </w:style>
  <w:style w:type="paragraph" w:styleId="8">
    <w:name w:val="heading 4"/>
    <w:basedOn w:val="1"/>
    <w:next w:val="1"/>
    <w:link w:val="62"/>
    <w:qFormat/>
    <w:uiPriority w:val="0"/>
    <w:pPr>
      <w:tabs>
        <w:tab w:val="left" w:pos="360"/>
        <w:tab w:val="left" w:pos="2207"/>
      </w:tabs>
      <w:ind w:firstLine="0" w:firstLineChars="0"/>
      <w:outlineLvl w:val="3"/>
    </w:pPr>
    <w:rPr>
      <w:rFonts w:ascii="宋体" w:hAnsi="宋体" w:eastAsia="宋体"/>
      <w:b/>
      <w:bCs/>
      <w:color w:val="000000"/>
    </w:rPr>
  </w:style>
  <w:style w:type="paragraph" w:styleId="9">
    <w:name w:val="heading 5"/>
    <w:basedOn w:val="1"/>
    <w:next w:val="1"/>
    <w:semiHidden/>
    <w:unhideWhenUsed/>
    <w:qFormat/>
    <w:uiPriority w:val="0"/>
    <w:pPr>
      <w:tabs>
        <w:tab w:val="left" w:pos="1440"/>
        <w:tab w:val="left" w:pos="2627"/>
      </w:tabs>
      <w:spacing w:before="0" w:beforeLines="0" w:after="0" w:afterLines="0"/>
      <w:ind w:left="1440" w:hanging="1440"/>
      <w:outlineLvl w:val="4"/>
    </w:pPr>
    <w:rPr>
      <w:rFonts w:ascii="Times New Roman" w:hAnsi="Times New Roman" w:eastAsia="宋体" w:cs="Times New Roman"/>
    </w:rPr>
  </w:style>
  <w:style w:type="paragraph" w:styleId="10">
    <w:name w:val="heading 6"/>
    <w:basedOn w:val="11"/>
    <w:next w:val="1"/>
    <w:semiHidden/>
    <w:unhideWhenUsed/>
    <w:qFormat/>
    <w:uiPriority w:val="0"/>
    <w:pPr>
      <w:tabs>
        <w:tab w:val="left" w:pos="1800"/>
        <w:tab w:val="left" w:pos="3047"/>
      </w:tabs>
      <w:ind w:firstLine="397" w:firstLineChars="0"/>
      <w:outlineLvl w:val="5"/>
    </w:pPr>
    <w:rPr>
      <w:rFonts w:ascii="Times New Roman" w:hAnsi="Times New Roman" w:cs="Times New Roman"/>
      <w:color w:val="000000"/>
    </w:rPr>
  </w:style>
  <w:style w:type="paragraph" w:styleId="12">
    <w:name w:val="heading 7"/>
    <w:basedOn w:val="1"/>
    <w:next w:val="1"/>
    <w:semiHidden/>
    <w:unhideWhenUsed/>
    <w:qFormat/>
    <w:uiPriority w:val="0"/>
    <w:pPr>
      <w:tabs>
        <w:tab w:val="left" w:pos="2160"/>
        <w:tab w:val="left" w:pos="3467"/>
      </w:tabs>
      <w:ind w:left="2160" w:hanging="2160" w:firstLineChars="0"/>
      <w:outlineLvl w:val="6"/>
    </w:pPr>
    <w:rPr>
      <w:rFonts w:ascii="Times New Roman" w:hAnsi="Times New Roman" w:eastAsia="宋体" w:cs="Times New Roman"/>
    </w:rPr>
  </w:style>
  <w:style w:type="paragraph" w:styleId="13">
    <w:name w:val="heading 8"/>
    <w:basedOn w:val="11"/>
    <w:next w:val="1"/>
    <w:semiHidden/>
    <w:unhideWhenUsed/>
    <w:qFormat/>
    <w:uiPriority w:val="0"/>
    <w:pPr>
      <w:tabs>
        <w:tab w:val="left" w:pos="2160"/>
        <w:tab w:val="left" w:pos="3887"/>
      </w:tabs>
      <w:ind w:left="2160" w:hanging="2160" w:firstLineChars="0"/>
      <w:outlineLvl w:val="7"/>
    </w:pPr>
    <w:rPr>
      <w:rFonts w:ascii="Times New Roman" w:hAnsi="Times New Roman" w:cs="Times New Roman"/>
      <w:color w:val="000000"/>
    </w:rPr>
  </w:style>
  <w:style w:type="paragraph" w:styleId="14">
    <w:name w:val="heading 9"/>
    <w:basedOn w:val="1"/>
    <w:next w:val="1"/>
    <w:semiHidden/>
    <w:unhideWhenUsed/>
    <w:qFormat/>
    <w:uiPriority w:val="0"/>
    <w:pPr>
      <w:keepNext/>
      <w:keepLines/>
      <w:numPr>
        <w:ilvl w:val="8"/>
        <w:numId w:val="1"/>
      </w:numPr>
      <w:adjustRightInd w:val="0"/>
      <w:spacing w:before="240" w:beforeLines="0" w:after="64" w:afterLines="0" w:line="320" w:lineRule="atLeast"/>
      <w:ind w:left="0" w:firstLine="0"/>
      <w:textAlignment w:val="baseline"/>
      <w:outlineLvl w:val="8"/>
    </w:pPr>
    <w:rPr>
      <w:rFonts w:ascii="Arial" w:hAnsi="Arial" w:eastAsia="黑体" w:cs="Times New Roman"/>
      <w:kern w:val="0"/>
      <w:sz w:val="30"/>
    </w:rPr>
  </w:style>
  <w:style w:type="character" w:default="1" w:styleId="50">
    <w:name w:val="Default Paragraph Font"/>
    <w:semiHidden/>
    <w:qFormat/>
    <w:uiPriority w:val="0"/>
  </w:style>
  <w:style w:type="table" w:default="1" w:styleId="47">
    <w:name w:val="Normal Table"/>
    <w:semiHidden/>
    <w:qFormat/>
    <w:uiPriority w:val="0"/>
    <w:tblPr>
      <w:tblCellMar>
        <w:top w:w="0" w:type="dxa"/>
        <w:left w:w="108" w:type="dxa"/>
        <w:bottom w:w="0" w:type="dxa"/>
        <w:right w:w="108" w:type="dxa"/>
      </w:tblCellMar>
    </w:tblPr>
  </w:style>
  <w:style w:type="paragraph" w:styleId="2">
    <w:name w:val="Body Text First Indent 2"/>
    <w:basedOn w:val="3"/>
    <w:next w:val="1"/>
    <w:link w:val="99"/>
    <w:qFormat/>
    <w:uiPriority w:val="0"/>
    <w:pPr>
      <w:spacing w:after="120" w:afterLines="0" w:line="240" w:lineRule="auto"/>
      <w:ind w:left="420" w:leftChars="200" w:firstLine="420" w:firstLineChars="200"/>
    </w:pPr>
    <w:rPr>
      <w:rFonts w:eastAsia="宋体"/>
      <w:kern w:val="2"/>
      <w:sz w:val="21"/>
      <w:lang w:val="en-US" w:eastAsia="zh-CN" w:bidi="ar-SA"/>
    </w:rPr>
  </w:style>
  <w:style w:type="paragraph" w:styleId="3">
    <w:name w:val="Body Text Indent"/>
    <w:basedOn w:val="1"/>
    <w:next w:val="4"/>
    <w:link w:val="93"/>
    <w:qFormat/>
    <w:uiPriority w:val="0"/>
    <w:pPr>
      <w:spacing w:line="440" w:lineRule="atLeast"/>
      <w:ind w:firstLine="482"/>
    </w:pPr>
    <w:rPr>
      <w:rFonts w:ascii="宋体" w:hAnsi="宋体" w:eastAsia="宋体" w:cs="Arial"/>
      <w:kern w:val="2"/>
      <w:sz w:val="24"/>
      <w:szCs w:val="24"/>
      <w:lang w:val="en-US" w:eastAsia="zh-CN" w:bidi="ar-SA"/>
    </w:rPr>
  </w:style>
  <w:style w:type="paragraph" w:styleId="4">
    <w:name w:val="caption"/>
    <w:basedOn w:val="1"/>
    <w:next w:val="1"/>
    <w:qFormat/>
    <w:uiPriority w:val="0"/>
    <w:pPr>
      <w:tabs>
        <w:tab w:val="left" w:pos="1440"/>
        <w:tab w:val="left" w:pos="2627"/>
      </w:tabs>
    </w:pPr>
    <w:rPr>
      <w:rFonts w:ascii="Cambria" w:hAnsi="Cambria" w:eastAsia="黑体"/>
      <w:sz w:val="20"/>
      <w:szCs w:val="20"/>
    </w:rPr>
  </w:style>
  <w:style w:type="paragraph" w:customStyle="1" w:styleId="11">
    <w:name w:val="报告正文"/>
    <w:basedOn w:val="1"/>
    <w:link w:val="89"/>
    <w:qFormat/>
    <w:uiPriority w:val="0"/>
    <w:pPr>
      <w:spacing w:line="480" w:lineRule="exact"/>
      <w:ind w:firstLine="200" w:firstLineChars="200"/>
    </w:pPr>
    <w:rPr>
      <w:rFonts w:ascii="Times New Roman" w:hAnsi="Times New Roman" w:eastAsia="宋体" w:cs="Times New Roman"/>
      <w:color w:val="000000"/>
      <w:kern w:val="2"/>
      <w:sz w:val="24"/>
      <w:szCs w:val="24"/>
      <w:lang w:val="en-US" w:eastAsia="zh-CN" w:bidi="ar-SA"/>
    </w:rPr>
  </w:style>
  <w:style w:type="paragraph" w:styleId="15">
    <w:name w:val="toc 7"/>
    <w:basedOn w:val="1"/>
    <w:next w:val="1"/>
    <w:qFormat/>
    <w:uiPriority w:val="0"/>
    <w:pPr>
      <w:ind w:left="1260"/>
      <w:jc w:val="left"/>
    </w:pPr>
    <w:rPr>
      <w:rFonts w:ascii="Times New Roman" w:hAnsi="Times New Roman" w:eastAsia="宋体" w:cs="Times New Roman"/>
      <w:sz w:val="18"/>
      <w:szCs w:val="18"/>
    </w:rPr>
  </w:style>
  <w:style w:type="paragraph" w:styleId="16">
    <w:name w:val="Normal Indent"/>
    <w:basedOn w:val="1"/>
    <w:next w:val="8"/>
    <w:link w:val="90"/>
    <w:qFormat/>
    <w:uiPriority w:val="0"/>
    <w:pPr>
      <w:ind w:firstLine="420"/>
    </w:pPr>
    <w:rPr>
      <w:rFonts w:eastAsia="宋体"/>
      <w:kern w:val="2"/>
      <w:sz w:val="21"/>
      <w:lang w:val="en-US" w:eastAsia="zh-CN" w:bidi="ar-SA"/>
    </w:rPr>
  </w:style>
  <w:style w:type="paragraph" w:styleId="17">
    <w:name w:val="List Bullet"/>
    <w:basedOn w:val="1"/>
    <w:qFormat/>
    <w:uiPriority w:val="0"/>
    <w:pPr>
      <w:numPr>
        <w:ilvl w:val="0"/>
        <w:numId w:val="2"/>
      </w:numPr>
    </w:pPr>
  </w:style>
  <w:style w:type="paragraph" w:styleId="18">
    <w:name w:val="Document Map"/>
    <w:basedOn w:val="1"/>
    <w:qFormat/>
    <w:uiPriority w:val="0"/>
    <w:pPr>
      <w:shd w:val="clear" w:color="auto" w:fill="000080"/>
    </w:pPr>
    <w:rPr>
      <w:rFonts w:ascii="Times New Roman" w:hAnsi="Times New Roman" w:eastAsia="宋体" w:cs="Times New Roman"/>
    </w:rPr>
  </w:style>
  <w:style w:type="paragraph" w:styleId="19">
    <w:name w:val="annotation text"/>
    <w:basedOn w:val="1"/>
    <w:link w:val="91"/>
    <w:qFormat/>
    <w:uiPriority w:val="0"/>
    <w:pPr>
      <w:jc w:val="left"/>
    </w:pPr>
    <w:rPr>
      <w:kern w:val="2"/>
      <w:sz w:val="21"/>
      <w:szCs w:val="24"/>
    </w:rPr>
  </w:style>
  <w:style w:type="paragraph" w:styleId="20">
    <w:name w:val="Body Text"/>
    <w:basedOn w:val="1"/>
    <w:next w:val="1"/>
    <w:link w:val="92"/>
    <w:qFormat/>
    <w:uiPriority w:val="0"/>
    <w:pPr>
      <w:spacing w:after="120" w:afterLines="0"/>
    </w:pPr>
    <w:rPr>
      <w:rFonts w:eastAsia="宋体"/>
      <w:kern w:val="2"/>
      <w:sz w:val="21"/>
      <w:szCs w:val="24"/>
      <w:lang w:val="en-US" w:eastAsia="zh-CN" w:bidi="ar-SA"/>
    </w:rPr>
  </w:style>
  <w:style w:type="paragraph" w:styleId="21">
    <w:name w:val="Block Text"/>
    <w:basedOn w:val="1"/>
    <w:next w:val="1"/>
    <w:qFormat/>
    <w:uiPriority w:val="0"/>
    <w:pPr>
      <w:ind w:left="1440" w:leftChars="700" w:right="700" w:rightChars="700"/>
    </w:pPr>
  </w:style>
  <w:style w:type="paragraph" w:styleId="22">
    <w:name w:val="toc 5"/>
    <w:basedOn w:val="1"/>
    <w:next w:val="1"/>
    <w:qFormat/>
    <w:uiPriority w:val="0"/>
    <w:pPr>
      <w:ind w:left="840"/>
      <w:jc w:val="left"/>
    </w:pPr>
    <w:rPr>
      <w:rFonts w:ascii="Times New Roman" w:hAnsi="Times New Roman" w:eastAsia="宋体" w:cs="Times New Roman"/>
      <w:sz w:val="18"/>
      <w:szCs w:val="18"/>
    </w:rPr>
  </w:style>
  <w:style w:type="paragraph" w:styleId="23">
    <w:name w:val="toc 3"/>
    <w:basedOn w:val="1"/>
    <w:next w:val="1"/>
    <w:qFormat/>
    <w:uiPriority w:val="0"/>
    <w:pPr>
      <w:ind w:left="420"/>
      <w:jc w:val="left"/>
    </w:pPr>
    <w:rPr>
      <w:rFonts w:ascii="Times New Roman" w:hAnsi="Times New Roman" w:eastAsia="宋体" w:cs="Times New Roman"/>
      <w:i/>
      <w:iCs/>
      <w:sz w:val="20"/>
    </w:rPr>
  </w:style>
  <w:style w:type="paragraph" w:styleId="24">
    <w:name w:val="Plain Text"/>
    <w:basedOn w:val="1"/>
    <w:link w:val="94"/>
    <w:qFormat/>
    <w:uiPriority w:val="0"/>
    <w:rPr>
      <w:rFonts w:ascii="宋体" w:hAnsi="Courier New" w:eastAsia="宋体" w:cs="Times New Roman"/>
      <w:kern w:val="2"/>
      <w:sz w:val="21"/>
      <w:lang w:val="en-US" w:eastAsia="zh-CN" w:bidi="ar-SA"/>
    </w:rPr>
  </w:style>
  <w:style w:type="paragraph" w:styleId="25">
    <w:name w:val="toc 8"/>
    <w:basedOn w:val="1"/>
    <w:next w:val="1"/>
    <w:qFormat/>
    <w:uiPriority w:val="0"/>
    <w:pPr>
      <w:ind w:left="1470"/>
      <w:jc w:val="left"/>
    </w:pPr>
    <w:rPr>
      <w:rFonts w:ascii="Times New Roman" w:hAnsi="Times New Roman" w:eastAsia="宋体" w:cs="Times New Roman"/>
      <w:sz w:val="18"/>
      <w:szCs w:val="18"/>
    </w:rPr>
  </w:style>
  <w:style w:type="paragraph" w:styleId="26">
    <w:name w:val="Date"/>
    <w:basedOn w:val="1"/>
    <w:next w:val="1"/>
    <w:qFormat/>
    <w:uiPriority w:val="0"/>
    <w:rPr>
      <w:rFonts w:ascii="宋体" w:hAnsi="Times New Roman" w:eastAsia="宋体" w:cs="Times New Roman"/>
      <w:sz w:val="28"/>
    </w:rPr>
  </w:style>
  <w:style w:type="paragraph" w:styleId="27">
    <w:name w:val="Body Text Indent 2"/>
    <w:basedOn w:val="1"/>
    <w:qFormat/>
    <w:uiPriority w:val="0"/>
    <w:pPr>
      <w:spacing w:after="120" w:afterLines="0" w:line="480" w:lineRule="auto"/>
      <w:ind w:left="420" w:leftChars="200"/>
    </w:pPr>
    <w:rPr>
      <w:rFonts w:ascii="Times New Roman" w:hAnsi="Times New Roman" w:eastAsia="宋体" w:cs="Times New Roman"/>
    </w:rPr>
  </w:style>
  <w:style w:type="paragraph" w:styleId="28">
    <w:name w:val="endnote text"/>
    <w:basedOn w:val="1"/>
    <w:qFormat/>
    <w:uiPriority w:val="0"/>
    <w:pPr>
      <w:snapToGrid w:val="0"/>
      <w:jc w:val="left"/>
    </w:pPr>
    <w:rPr>
      <w:rFonts w:ascii="Calibri" w:hAnsi="Calibri" w:eastAsia="宋体" w:cs="Times New Roman"/>
      <w:sz w:val="24"/>
      <w:szCs w:val="22"/>
    </w:rPr>
  </w:style>
  <w:style w:type="paragraph" w:styleId="29">
    <w:name w:val="Balloon Text"/>
    <w:basedOn w:val="1"/>
    <w:link w:val="95"/>
    <w:qFormat/>
    <w:uiPriority w:val="0"/>
    <w:rPr>
      <w:rFonts w:ascii="Times New Roman" w:hAnsi="Times New Roman" w:eastAsia="宋体" w:cs="Times New Roman"/>
      <w:kern w:val="2"/>
      <w:sz w:val="18"/>
      <w:szCs w:val="18"/>
    </w:rPr>
  </w:style>
  <w:style w:type="paragraph" w:styleId="30">
    <w:name w:val="footer"/>
    <w:basedOn w:val="1"/>
    <w:next w:val="1"/>
    <w:link w:val="96"/>
    <w:qFormat/>
    <w:uiPriority w:val="0"/>
    <w:pPr>
      <w:tabs>
        <w:tab w:val="center" w:pos="4153"/>
        <w:tab w:val="right" w:pos="8306"/>
      </w:tabs>
      <w:snapToGrid w:val="0"/>
      <w:jc w:val="left"/>
    </w:pPr>
    <w:rPr>
      <w:rFonts w:eastAsia="宋体"/>
      <w:kern w:val="2"/>
      <w:sz w:val="18"/>
      <w:lang w:val="en-US" w:eastAsia="zh-CN" w:bidi="ar-SA"/>
    </w:rPr>
  </w:style>
  <w:style w:type="paragraph" w:styleId="31">
    <w:name w:val="header"/>
    <w:basedOn w:val="1"/>
    <w:next w:val="32"/>
    <w:link w:val="97"/>
    <w:qFormat/>
    <w:uiPriority w:val="0"/>
    <w:pPr>
      <w:pBdr>
        <w:bottom w:val="single" w:color="auto" w:sz="6" w:space="1"/>
      </w:pBdr>
      <w:tabs>
        <w:tab w:val="center" w:pos="4153"/>
        <w:tab w:val="right" w:pos="8306"/>
      </w:tabs>
      <w:snapToGrid w:val="0"/>
      <w:jc w:val="center"/>
    </w:pPr>
    <w:rPr>
      <w:rFonts w:eastAsia="宋体"/>
      <w:kern w:val="2"/>
      <w:sz w:val="18"/>
      <w:lang w:val="en-US" w:eastAsia="zh-CN" w:bidi="ar-SA"/>
    </w:rPr>
  </w:style>
  <w:style w:type="paragraph" w:customStyle="1" w:styleId="32">
    <w:name w:val="样式5"/>
    <w:basedOn w:val="33"/>
    <w:next w:val="28"/>
    <w:qFormat/>
    <w:uiPriority w:val="0"/>
    <w:pPr>
      <w:adjustRightInd w:val="0"/>
      <w:snapToGrid w:val="0"/>
      <w:spacing w:line="460" w:lineRule="exact"/>
      <w:ind w:firstLine="200" w:firstLineChars="200"/>
      <w:textAlignment w:val="baseline"/>
    </w:pPr>
    <w:rPr>
      <w:rFonts w:ascii="Arial" w:hAnsi="Arial"/>
      <w:kern w:val="0"/>
      <w:sz w:val="24"/>
    </w:rPr>
  </w:style>
  <w:style w:type="paragraph" w:customStyle="1" w:styleId="33">
    <w:name w:val="正文1"/>
    <w:basedOn w:val="1"/>
    <w:link w:val="98"/>
    <w:qFormat/>
    <w:uiPriority w:val="0"/>
    <w:pPr>
      <w:widowControl/>
      <w:spacing w:before="78" w:beforeLines="25" w:after="78" w:afterLines="25" w:line="360" w:lineRule="auto"/>
      <w:ind w:firstLine="480" w:firstLineChars="200"/>
      <w:jc w:val="left"/>
    </w:pPr>
    <w:rPr>
      <w:rFonts w:ascii="宋体" w:hAnsi="宋体" w:cs="宋体"/>
      <w:sz w:val="24"/>
      <w:szCs w:val="24"/>
    </w:rPr>
  </w:style>
  <w:style w:type="paragraph" w:styleId="34">
    <w:name w:val="toc 1"/>
    <w:basedOn w:val="1"/>
    <w:next w:val="1"/>
    <w:qFormat/>
    <w:uiPriority w:val="0"/>
    <w:pPr>
      <w:tabs>
        <w:tab w:val="right" w:leader="dot" w:pos="8296"/>
      </w:tabs>
      <w:spacing w:before="120" w:beforeLines="0" w:after="120" w:afterLines="0" w:line="440" w:lineRule="exact"/>
      <w:jc w:val="left"/>
    </w:pPr>
    <w:rPr>
      <w:rFonts w:ascii="Times New Roman" w:hAnsi="Times New Roman" w:eastAsia="宋体" w:cs="Times New Roman"/>
      <w:b/>
      <w:bCs/>
      <w:caps/>
      <w:sz w:val="24"/>
      <w:szCs w:val="24"/>
    </w:rPr>
  </w:style>
  <w:style w:type="paragraph" w:styleId="35">
    <w:name w:val="toc 4"/>
    <w:basedOn w:val="1"/>
    <w:next w:val="1"/>
    <w:qFormat/>
    <w:uiPriority w:val="0"/>
    <w:pPr>
      <w:ind w:left="630"/>
      <w:jc w:val="left"/>
    </w:pPr>
    <w:rPr>
      <w:rFonts w:ascii="Times New Roman" w:hAnsi="Times New Roman" w:eastAsia="宋体" w:cs="Times New Roman"/>
      <w:sz w:val="18"/>
      <w:szCs w:val="18"/>
    </w:rPr>
  </w:style>
  <w:style w:type="paragraph" w:styleId="36">
    <w:name w:val="List"/>
    <w:basedOn w:val="1"/>
    <w:qFormat/>
    <w:uiPriority w:val="0"/>
    <w:pPr>
      <w:ind w:left="200" w:hanging="200" w:hangingChars="200"/>
    </w:pPr>
    <w:rPr>
      <w:rFonts w:ascii="Times New Roman" w:hAnsi="Times New Roman" w:eastAsia="宋体" w:cs="Times New Roman"/>
      <w:szCs w:val="24"/>
    </w:rPr>
  </w:style>
  <w:style w:type="paragraph" w:styleId="37">
    <w:name w:val="toc 6"/>
    <w:basedOn w:val="1"/>
    <w:next w:val="1"/>
    <w:qFormat/>
    <w:uiPriority w:val="0"/>
    <w:pPr>
      <w:ind w:left="1050"/>
      <w:jc w:val="left"/>
    </w:pPr>
    <w:rPr>
      <w:rFonts w:ascii="Times New Roman" w:hAnsi="Times New Roman" w:eastAsia="宋体" w:cs="Times New Roman"/>
      <w:sz w:val="18"/>
      <w:szCs w:val="18"/>
    </w:rPr>
  </w:style>
  <w:style w:type="paragraph" w:styleId="38">
    <w:name w:val="Body Text Indent 3"/>
    <w:basedOn w:val="1"/>
    <w:qFormat/>
    <w:uiPriority w:val="0"/>
    <w:pPr>
      <w:adjustRightInd w:val="0"/>
      <w:snapToGrid w:val="0"/>
      <w:spacing w:line="350" w:lineRule="auto"/>
      <w:ind w:firstLine="560" w:firstLineChars="200"/>
    </w:pPr>
    <w:rPr>
      <w:rFonts w:ascii="Times New Roman" w:hAnsi="Times New Roman" w:eastAsia="宋体" w:cs="Times New Roman"/>
      <w:sz w:val="28"/>
      <w:szCs w:val="24"/>
    </w:rPr>
  </w:style>
  <w:style w:type="paragraph" w:styleId="39">
    <w:name w:val="toc 2"/>
    <w:basedOn w:val="1"/>
    <w:next w:val="1"/>
    <w:qFormat/>
    <w:uiPriority w:val="0"/>
    <w:pPr>
      <w:ind w:left="210"/>
      <w:jc w:val="left"/>
    </w:pPr>
    <w:rPr>
      <w:rFonts w:ascii="Times New Roman" w:hAnsi="Times New Roman" w:eastAsia="宋体" w:cs="Times New Roman"/>
      <w:smallCaps/>
      <w:sz w:val="20"/>
    </w:rPr>
  </w:style>
  <w:style w:type="paragraph" w:styleId="40">
    <w:name w:val="toc 9"/>
    <w:basedOn w:val="1"/>
    <w:next w:val="1"/>
    <w:qFormat/>
    <w:uiPriority w:val="0"/>
    <w:pPr>
      <w:ind w:left="1680"/>
      <w:jc w:val="left"/>
    </w:pPr>
    <w:rPr>
      <w:rFonts w:ascii="Times New Roman" w:hAnsi="Times New Roman" w:eastAsia="宋体" w:cs="Times New Roman"/>
      <w:sz w:val="18"/>
      <w:szCs w:val="18"/>
    </w:rPr>
  </w:style>
  <w:style w:type="paragraph" w:styleId="41">
    <w:name w:val="Body Text 2"/>
    <w:basedOn w:val="1"/>
    <w:qFormat/>
    <w:uiPriority w:val="0"/>
    <w:pPr>
      <w:tabs>
        <w:tab w:val="left" w:pos="0"/>
      </w:tabs>
      <w:jc w:val="center"/>
    </w:pPr>
    <w:rPr>
      <w:rFonts w:ascii="宋体" w:hAnsi="宋体" w:eastAsia="宋体" w:cs="Times New Roman"/>
      <w:sz w:val="28"/>
    </w:rPr>
  </w:style>
  <w:style w:type="paragraph" w:styleId="42">
    <w:name w:val="Normal (Web)"/>
    <w:basedOn w:val="1"/>
    <w:qFormat/>
    <w:uiPriority w:val="0"/>
    <w:pPr>
      <w:widowControl/>
      <w:spacing w:before="100" w:beforeLines="0" w:beforeAutospacing="1" w:after="100" w:afterLines="0" w:afterAutospacing="1"/>
      <w:jc w:val="left"/>
    </w:pPr>
    <w:rPr>
      <w:rFonts w:ascii="宋体" w:hAnsi="宋体"/>
      <w:kern w:val="0"/>
      <w:sz w:val="24"/>
      <w:szCs w:val="24"/>
    </w:rPr>
  </w:style>
  <w:style w:type="paragraph" w:styleId="43">
    <w:name w:val="index 1"/>
    <w:basedOn w:val="1"/>
    <w:next w:val="1"/>
    <w:qFormat/>
    <w:uiPriority w:val="0"/>
    <w:pPr>
      <w:jc w:val="center"/>
    </w:pPr>
    <w:rPr>
      <w:rFonts w:ascii="宋体" w:hAnsi="宋体" w:eastAsia="宋体" w:cs="Times New Roman"/>
      <w:szCs w:val="24"/>
    </w:rPr>
  </w:style>
  <w:style w:type="paragraph" w:styleId="44">
    <w:name w:val="Title"/>
    <w:basedOn w:val="1"/>
    <w:qFormat/>
    <w:uiPriority w:val="0"/>
    <w:pPr>
      <w:spacing w:line="240" w:lineRule="auto"/>
      <w:ind w:firstLine="0" w:firstLineChars="0"/>
      <w:jc w:val="center"/>
    </w:pPr>
    <w:rPr>
      <w:rFonts w:ascii="Times New Roman" w:hAnsi="Times New Roman" w:eastAsia="宋体" w:cs="Times New Roman"/>
      <w:sz w:val="21"/>
      <w:szCs w:val="21"/>
    </w:rPr>
  </w:style>
  <w:style w:type="paragraph" w:styleId="45">
    <w:name w:val="annotation subject"/>
    <w:basedOn w:val="19"/>
    <w:next w:val="19"/>
    <w:qFormat/>
    <w:uiPriority w:val="0"/>
    <w:rPr>
      <w:rFonts w:ascii="Times New Roman" w:hAnsi="Times New Roman" w:eastAsia="宋体" w:cs="Times New Roman"/>
      <w:b/>
      <w:bCs/>
    </w:rPr>
  </w:style>
  <w:style w:type="paragraph" w:styleId="46">
    <w:name w:val="Body Text First Indent"/>
    <w:basedOn w:val="20"/>
    <w:next w:val="1"/>
    <w:qFormat/>
    <w:uiPriority w:val="0"/>
    <w:pPr>
      <w:widowControl/>
      <w:spacing w:after="0" w:afterLines="0"/>
      <w:ind w:firstLine="567"/>
    </w:pPr>
    <w:rPr>
      <w:rFonts w:ascii="Times New Roman" w:hAnsi="Times New Roman" w:cs="Times New Roman"/>
      <w:kern w:val="28"/>
      <w:sz w:val="28"/>
    </w:rPr>
  </w:style>
  <w:style w:type="table" w:styleId="48">
    <w:name w:val="Table Grid"/>
    <w:basedOn w:val="47"/>
    <w:qFormat/>
    <w:uiPriority w:val="0"/>
    <w:rPr>
      <w:lang w:val="en-US" w:eastAsia="zh-CN" w:bidi="ar-S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49">
    <w:name w:val="Table Grid 7"/>
    <w:basedOn w:val="47"/>
    <w:qFormat/>
    <w:uiPriority w:val="0"/>
    <w:pPr>
      <w:widowControl w:val="0"/>
      <w:jc w:val="both"/>
    </w:pPr>
    <w:rPr>
      <w:b/>
      <w:bCs/>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b w:val="0"/>
        <w:bCs w:val="0"/>
      </w:rPr>
      <w:tblPr/>
      <w:tcPr>
        <w:tcBorders>
          <w:top w:val="nil"/>
          <w:left w:val="nil"/>
          <w:bottom w:val="single" w:color="000000" w:sz="12" w:space="0"/>
          <w:right w:val="nil"/>
          <w:insideH w:val="nil"/>
          <w:insideV w:val="nil"/>
          <w:tl2br w:val="nil"/>
          <w:tr2bl w:val="nil"/>
        </w:tcBorders>
      </w:tcPr>
    </w:tblStylePr>
    <w:tblStylePr w:type="lastRow">
      <w:rPr>
        <w:b w:val="0"/>
        <w:bCs w:val="0"/>
      </w:rPr>
      <w:tblPr/>
      <w:tcPr>
        <w:tcBorders>
          <w:top w:val="single" w:color="000000" w:sz="6" w:space="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character" w:styleId="51">
    <w:name w:val="Strong"/>
    <w:basedOn w:val="50"/>
    <w:qFormat/>
    <w:uiPriority w:val="0"/>
    <w:rPr>
      <w:rFonts w:ascii="Times New Roman" w:hAnsi="Times New Roman" w:eastAsia="宋体" w:cs="Times New Roman"/>
      <w:b/>
      <w:bCs/>
      <w:sz w:val="21"/>
    </w:rPr>
  </w:style>
  <w:style w:type="character" w:styleId="52">
    <w:name w:val="page number"/>
    <w:basedOn w:val="50"/>
    <w:qFormat/>
    <w:uiPriority w:val="0"/>
    <w:rPr>
      <w:rFonts w:ascii="Times New Roman" w:hAnsi="Times New Roman" w:eastAsia="宋体" w:cs="Times New Roman"/>
    </w:rPr>
  </w:style>
  <w:style w:type="character" w:styleId="53">
    <w:name w:val="FollowedHyperlink"/>
    <w:basedOn w:val="50"/>
    <w:qFormat/>
    <w:uiPriority w:val="0"/>
    <w:rPr>
      <w:rFonts w:ascii="Times New Roman" w:hAnsi="Times New Roman" w:eastAsia="宋体" w:cs="Times New Roman"/>
      <w:color w:val="800080"/>
      <w:sz w:val="21"/>
      <w:u w:val="none"/>
    </w:rPr>
  </w:style>
  <w:style w:type="character" w:styleId="54">
    <w:name w:val="Emphasis"/>
    <w:basedOn w:val="50"/>
    <w:qFormat/>
    <w:uiPriority w:val="0"/>
    <w:rPr>
      <w:rFonts w:ascii="Times New Roman" w:hAnsi="Times New Roman" w:eastAsia="宋体" w:cs="Times New Roman"/>
      <w:i/>
      <w:iCs/>
    </w:rPr>
  </w:style>
  <w:style w:type="character" w:styleId="55">
    <w:name w:val="Hyperlink"/>
    <w:basedOn w:val="50"/>
    <w:qFormat/>
    <w:uiPriority w:val="0"/>
    <w:rPr>
      <w:rFonts w:ascii="Times New Roman" w:hAnsi="Times New Roman" w:eastAsia="宋体" w:cs="Times New Roman"/>
      <w:color w:val="0000FF"/>
      <w:sz w:val="21"/>
      <w:u w:val="none"/>
    </w:rPr>
  </w:style>
  <w:style w:type="character" w:styleId="56">
    <w:name w:val="annotation reference"/>
    <w:basedOn w:val="50"/>
    <w:qFormat/>
    <w:uiPriority w:val="0"/>
    <w:rPr>
      <w:rFonts w:ascii="Times New Roman" w:hAnsi="Times New Roman" w:eastAsia="宋体" w:cs="Times New Roman"/>
      <w:sz w:val="21"/>
      <w:szCs w:val="21"/>
    </w:rPr>
  </w:style>
  <w:style w:type="paragraph" w:customStyle="1" w:styleId="57">
    <w:name w:val="表格标题"/>
    <w:basedOn w:val="1"/>
    <w:next w:val="1"/>
    <w:link w:val="121"/>
    <w:qFormat/>
    <w:uiPriority w:val="0"/>
    <w:pPr>
      <w:overflowPunct w:val="0"/>
      <w:topLinePunct/>
      <w:autoSpaceDE w:val="0"/>
      <w:autoSpaceDN w:val="0"/>
      <w:adjustRightInd w:val="0"/>
      <w:snapToGrid w:val="0"/>
      <w:spacing w:line="520" w:lineRule="exact"/>
      <w:ind w:firstLine="567"/>
      <w:textAlignment w:val="baseline"/>
    </w:pPr>
    <w:rPr>
      <w:rFonts w:ascii="Times New Roman" w:hAnsi="Times New Roman" w:eastAsia="黑体" w:cs="Times New Roman"/>
      <w:b/>
      <w:spacing w:val="6"/>
      <w:sz w:val="21"/>
      <w:szCs w:val="24"/>
      <w:lang w:val="en-US" w:eastAsia="zh-CN" w:bidi="ar-SA"/>
    </w:rPr>
  </w:style>
  <w:style w:type="paragraph" w:customStyle="1" w:styleId="58">
    <w:name w:val="表格格式"/>
    <w:basedOn w:val="1"/>
    <w:qFormat/>
    <w:uiPriority w:val="0"/>
    <w:pPr>
      <w:spacing w:line="240" w:lineRule="auto"/>
      <w:ind w:firstLine="0" w:firstLineChars="0"/>
      <w:jc w:val="center"/>
    </w:pPr>
    <w:rPr>
      <w:rFonts w:ascii="Times New Roman" w:hAnsi="Times New Roman" w:eastAsia="宋体"/>
      <w:sz w:val="21"/>
      <w:szCs w:val="21"/>
    </w:rPr>
  </w:style>
  <w:style w:type="character" w:customStyle="1" w:styleId="59">
    <w:name w:val="标题 1 Char1"/>
    <w:link w:val="5"/>
    <w:qFormat/>
    <w:uiPriority w:val="0"/>
    <w:rPr>
      <w:rFonts w:ascii="Times New Roman" w:hAnsi="Times New Roman" w:eastAsia="宋体" w:cs="Times New Roman"/>
      <w:b/>
      <w:kern w:val="44"/>
      <w:sz w:val="24"/>
      <w:szCs w:val="24"/>
      <w:lang w:val="en-US" w:eastAsia="zh-CN" w:bidi="ar-SA"/>
    </w:rPr>
  </w:style>
  <w:style w:type="character" w:customStyle="1" w:styleId="60">
    <w:name w:val="标题 2 Char1"/>
    <w:link w:val="7"/>
    <w:qFormat/>
    <w:uiPriority w:val="0"/>
    <w:rPr>
      <w:rFonts w:ascii="Times New Roman" w:hAnsi="Times New Roman" w:eastAsia="宋体" w:cs="Times New Roman"/>
      <w:b/>
      <w:kern w:val="2"/>
      <w:sz w:val="24"/>
      <w:szCs w:val="24"/>
      <w:lang w:val="en-US" w:eastAsia="zh-CN" w:bidi="ar-SA"/>
    </w:rPr>
  </w:style>
  <w:style w:type="character" w:customStyle="1" w:styleId="61">
    <w:name w:val="标题 3 Char"/>
    <w:link w:val="6"/>
    <w:qFormat/>
    <w:uiPriority w:val="0"/>
    <w:rPr>
      <w:rFonts w:ascii="Times New Roman" w:hAnsi="Times New Roman" w:eastAsia="宋体" w:cs="Times New Roman"/>
      <w:b/>
      <w:bCs/>
      <w:kern w:val="2"/>
      <w:sz w:val="24"/>
      <w:szCs w:val="24"/>
      <w:lang w:val="en-US" w:eastAsia="zh-CN" w:bidi="ar-SA"/>
    </w:rPr>
  </w:style>
  <w:style w:type="character" w:customStyle="1" w:styleId="62">
    <w:name w:val="标题 4 Char"/>
    <w:link w:val="8"/>
    <w:qFormat/>
    <w:uiPriority w:val="0"/>
    <w:rPr>
      <w:rFonts w:ascii="宋体" w:hAnsi="宋体" w:eastAsia="宋体" w:cs="Times New Roman"/>
      <w:b/>
      <w:bCs/>
      <w:color w:val="000000"/>
      <w:kern w:val="2"/>
      <w:sz w:val="24"/>
      <w:szCs w:val="24"/>
      <w:lang w:val="en-US" w:eastAsia="zh-CN" w:bidi="ar-SA"/>
    </w:rPr>
  </w:style>
  <w:style w:type="paragraph" w:customStyle="1" w:styleId="63">
    <w:name w:val="Default"/>
    <w:basedOn w:val="64"/>
    <w:next w:val="1"/>
    <w:qFormat/>
    <w:uiPriority w:val="0"/>
    <w:pPr>
      <w:widowControl w:val="0"/>
      <w:autoSpaceDE w:val="0"/>
      <w:autoSpaceDN w:val="0"/>
      <w:adjustRightInd w:val="0"/>
    </w:pPr>
    <w:rPr>
      <w:rFonts w:ascii="Arial" w:hAnsi="宋体" w:eastAsia="Arial" w:cs="Arial"/>
      <w:color w:val="000000"/>
      <w:sz w:val="24"/>
      <w:szCs w:val="24"/>
      <w:lang w:val="en-US" w:eastAsia="zh-CN" w:bidi="ar-SA"/>
    </w:rPr>
  </w:style>
  <w:style w:type="paragraph" w:customStyle="1" w:styleId="64">
    <w:name w:val="纯文本1"/>
    <w:basedOn w:val="1"/>
    <w:qFormat/>
    <w:uiPriority w:val="99"/>
    <w:pPr>
      <w:autoSpaceDE w:val="0"/>
      <w:autoSpaceDN w:val="0"/>
      <w:adjustRightInd w:val="0"/>
      <w:textAlignment w:val="baseline"/>
    </w:pPr>
    <w:rPr>
      <w:rFonts w:ascii="宋体"/>
      <w:szCs w:val="20"/>
    </w:rPr>
  </w:style>
  <w:style w:type="paragraph" w:customStyle="1" w:styleId="65">
    <w:name w:val="（.a正文"/>
    <w:link w:val="136"/>
    <w:qFormat/>
    <w:uiPriority w:val="0"/>
    <w:pPr>
      <w:adjustRightInd w:val="0"/>
      <w:spacing w:line="480" w:lineRule="exact"/>
      <w:ind w:firstLine="200" w:firstLineChars="200"/>
      <w:jc w:val="both"/>
    </w:pPr>
    <w:rPr>
      <w:rFonts w:ascii="Times New Roman" w:hAnsi="Times New Roman" w:eastAsia="宋体" w:cs="Arial"/>
      <w:bCs/>
      <w:kern w:val="2"/>
      <w:sz w:val="24"/>
      <w:szCs w:val="24"/>
      <w:lang w:val="en-US" w:eastAsia="zh-CN" w:bidi="ar-SA"/>
    </w:rPr>
  </w:style>
  <w:style w:type="paragraph" w:customStyle="1" w:styleId="66">
    <w:name w:val="样式 样式 样式 四号 左侧:  1.53 厘米 + 首行缩进:  2 字符 + 居中 左侧:  2 字符 首行缩进:  2..."/>
    <w:basedOn w:val="67"/>
    <w:qFormat/>
    <w:uiPriority w:val="0"/>
    <w:pPr>
      <w:spacing w:line="360" w:lineRule="auto"/>
      <w:jc w:val="center"/>
    </w:pPr>
  </w:style>
  <w:style w:type="paragraph" w:customStyle="1" w:styleId="67">
    <w:name w:val="样式 样式 四号 左侧:  1.53 厘米 + 首行缩进:  2 字符"/>
    <w:basedOn w:val="68"/>
    <w:qFormat/>
    <w:uiPriority w:val="99"/>
    <w:pPr>
      <w:ind w:left="200" w:leftChars="200"/>
    </w:pPr>
    <w:rPr>
      <w:szCs w:val="20"/>
    </w:rPr>
  </w:style>
  <w:style w:type="paragraph" w:customStyle="1" w:styleId="68">
    <w:name w:val="样式 四号 左侧:  1.53 厘米"/>
    <w:basedOn w:val="1"/>
    <w:qFormat/>
    <w:uiPriority w:val="99"/>
    <w:rPr>
      <w:rFonts w:ascii="Times New Roman" w:hAnsi="Times New Roman" w:eastAsia="宋体" w:cs="Times New Roman"/>
      <w:w w:val="90"/>
      <w:sz w:val="28"/>
      <w:szCs w:val="28"/>
    </w:rPr>
  </w:style>
  <w:style w:type="paragraph" w:customStyle="1" w:styleId="69">
    <w:name w:val="样式 正文文本 + 首行缩进:  2 字符"/>
    <w:basedOn w:val="20"/>
    <w:qFormat/>
    <w:uiPriority w:val="0"/>
    <w:pPr>
      <w:widowControl w:val="0"/>
      <w:spacing w:after="0" w:line="480" w:lineRule="exact"/>
      <w:ind w:firstLine="480" w:firstLineChars="200"/>
      <w:jc w:val="both"/>
    </w:pPr>
    <w:rPr>
      <w:rFonts w:ascii="Times New Roman" w:hAnsi="Times New Roman" w:eastAsia="宋体" w:cs="宋体"/>
      <w:kern w:val="2"/>
      <w:sz w:val="24"/>
      <w:szCs w:val="20"/>
      <w:lang w:val="en-US" w:eastAsia="zh-CN" w:bidi="ar-SA"/>
    </w:rPr>
  </w:style>
  <w:style w:type="paragraph" w:customStyle="1" w:styleId="70">
    <w:name w:val="Normal Indent"/>
    <w:basedOn w:val="1"/>
    <w:qFormat/>
    <w:uiPriority w:val="0"/>
    <w:pPr>
      <w:ind w:firstLine="480" w:firstLineChars="200"/>
    </w:pPr>
    <w:rPr>
      <w:rFonts w:ascii="Arial" w:hAnsi="Arial" w:eastAsia="宋体" w:cs="Times New Roman"/>
      <w:snapToGrid w:val="0"/>
      <w:kern w:val="2"/>
      <w:sz w:val="24"/>
      <w:szCs w:val="20"/>
    </w:rPr>
  </w:style>
  <w:style w:type="paragraph" w:customStyle="1" w:styleId="71">
    <w:name w:val="样式 小四 行距: 固定值 24 磅 首行缩进:  2 字符"/>
    <w:basedOn w:val="1"/>
    <w:qFormat/>
    <w:uiPriority w:val="0"/>
    <w:pPr>
      <w:spacing w:line="440" w:lineRule="exact"/>
      <w:ind w:firstLine="200"/>
    </w:pPr>
    <w:rPr>
      <w:spacing w:val="0"/>
      <w:szCs w:val="24"/>
    </w:rPr>
  </w:style>
  <w:style w:type="paragraph" w:customStyle="1" w:styleId="72">
    <w:name w:val="段落"/>
    <w:basedOn w:val="1"/>
    <w:qFormat/>
    <w:uiPriority w:val="0"/>
    <w:pPr>
      <w:ind w:left="0" w:firstLine="480" w:firstLineChars="200"/>
    </w:pPr>
    <w:rPr>
      <w:sz w:val="24"/>
    </w:rPr>
  </w:style>
  <w:style w:type="paragraph" w:customStyle="1" w:styleId="73">
    <w:name w:val="Other|1"/>
    <w:basedOn w:val="1"/>
    <w:qFormat/>
    <w:uiPriority w:val="0"/>
    <w:pPr>
      <w:widowControl w:val="0"/>
      <w:shd w:val="clear" w:color="auto" w:fill="auto"/>
      <w:spacing w:line="427" w:lineRule="auto"/>
      <w:ind w:firstLine="400"/>
    </w:pPr>
    <w:rPr>
      <w:rFonts w:ascii="宋体" w:hAnsi="宋体" w:eastAsia="宋体" w:cs="宋体"/>
      <w:sz w:val="28"/>
      <w:szCs w:val="28"/>
      <w:u w:val="none"/>
      <w:shd w:val="clear" w:color="auto" w:fill="auto"/>
      <w:lang w:val="zh-TW" w:eastAsia="zh-TW" w:bidi="zh-TW"/>
    </w:rPr>
  </w:style>
  <w:style w:type="paragraph" w:styleId="74">
    <w:name w:val="List Paragraph"/>
    <w:basedOn w:val="1"/>
    <w:semiHidden/>
    <w:unhideWhenUsed/>
    <w:qFormat/>
    <w:uiPriority w:val="99"/>
    <w:pPr>
      <w:ind w:firstLine="420" w:firstLineChars="200"/>
    </w:pPr>
  </w:style>
  <w:style w:type="paragraph" w:customStyle="1" w:styleId="75">
    <w:name w:val="样式1"/>
    <w:basedOn w:val="1"/>
    <w:qFormat/>
    <w:uiPriority w:val="0"/>
    <w:pPr>
      <w:widowControl/>
      <w:spacing w:line="440" w:lineRule="exact"/>
      <w:ind w:firstLine="200" w:firstLineChars="200"/>
    </w:pPr>
    <w:rPr>
      <w:rFonts w:ascii="Arial" w:hAnsi="Arial"/>
      <w:snapToGrid w:val="0"/>
      <w:kern w:val="0"/>
      <w:sz w:val="24"/>
      <w:szCs w:val="24"/>
    </w:rPr>
  </w:style>
  <w:style w:type="paragraph" w:customStyle="1" w:styleId="76">
    <w:name w:val="标题二"/>
    <w:basedOn w:val="1"/>
    <w:qFormat/>
    <w:uiPriority w:val="0"/>
    <w:rPr>
      <w:sz w:val="24"/>
      <w:szCs w:val="20"/>
    </w:rPr>
  </w:style>
  <w:style w:type="paragraph" w:customStyle="1" w:styleId="77">
    <w:name w:val=" Char Char11 Char Char"/>
    <w:basedOn w:val="1"/>
    <w:next w:val="1"/>
    <w:qFormat/>
    <w:uiPriority w:val="0"/>
    <w:pPr>
      <w:spacing w:line="360" w:lineRule="auto"/>
      <w:ind w:firstLine="200" w:firstLineChars="200"/>
    </w:pPr>
    <w:rPr>
      <w:rFonts w:ascii="宋体" w:hAnsi="宋体" w:cs="宋体"/>
      <w:sz w:val="24"/>
      <w:szCs w:val="24"/>
    </w:rPr>
  </w:style>
  <w:style w:type="paragraph" w:customStyle="1" w:styleId="78">
    <w:name w:val="yyx表格内容"/>
    <w:basedOn w:val="1"/>
    <w:unhideWhenUsed/>
    <w:qFormat/>
    <w:uiPriority w:val="0"/>
    <w:pPr>
      <w:widowControl/>
      <w:autoSpaceDE w:val="0"/>
      <w:autoSpaceDN w:val="0"/>
      <w:snapToGrid w:val="0"/>
      <w:spacing w:line="440" w:lineRule="exact"/>
      <w:jc w:val="center"/>
    </w:pPr>
    <w:rPr>
      <w:sz w:val="24"/>
      <w:szCs w:val="20"/>
    </w:rPr>
  </w:style>
  <w:style w:type="paragraph" w:customStyle="1" w:styleId="79">
    <w:name w:val="Char Char Char Char Char Char Char Char Char Char Char Char Char Char Char Char"/>
    <w:basedOn w:val="1"/>
    <w:unhideWhenUsed/>
    <w:qFormat/>
    <w:uiPriority w:val="99"/>
    <w:pPr>
      <w:widowControl/>
      <w:spacing w:beforeLines="50" w:afterLines="50" w:line="240" w:lineRule="exact"/>
      <w:ind w:firstLine="200" w:firstLineChars="200"/>
      <w:jc w:val="left"/>
      <w:textAlignment w:val="baseline"/>
    </w:pPr>
    <w:rPr>
      <w:rFonts w:hint="eastAsia" w:ascii="宋体" w:hAnsi="宋体" w:cs="Times New Roman"/>
      <w:color w:val="FF6600"/>
      <w:kern w:val="0"/>
      <w:sz w:val="24"/>
      <w:szCs w:val="20"/>
    </w:rPr>
  </w:style>
  <w:style w:type="paragraph" w:customStyle="1" w:styleId="80">
    <w:name w:val="标题111"/>
    <w:basedOn w:val="1"/>
    <w:qFormat/>
    <w:uiPriority w:val="0"/>
    <w:pPr>
      <w:spacing w:line="480" w:lineRule="exact"/>
    </w:pPr>
    <w:rPr>
      <w:rFonts w:ascii="Times New Roman" w:hAnsi="Times New Roman" w:cs="Times New Roman"/>
      <w:b/>
      <w:sz w:val="24"/>
      <w:szCs w:val="24"/>
    </w:rPr>
  </w:style>
  <w:style w:type="paragraph" w:customStyle="1" w:styleId="81">
    <w:name w:val="表格文字"/>
    <w:basedOn w:val="20"/>
    <w:link w:val="146"/>
    <w:qFormat/>
    <w:uiPriority w:val="0"/>
    <w:pPr>
      <w:spacing w:after="0" w:afterLines="0" w:line="320" w:lineRule="exact"/>
      <w:jc w:val="center"/>
    </w:pPr>
    <w:rPr>
      <w:rFonts w:ascii="宋体" w:hAnsi="Calibri" w:eastAsia="宋体" w:cs="Times New Roman"/>
      <w:kern w:val="2"/>
      <w:sz w:val="21"/>
      <w:szCs w:val="24"/>
      <w:lang w:val="en-US" w:eastAsia="zh-CN" w:bidi="ar-SA"/>
    </w:rPr>
  </w:style>
  <w:style w:type="paragraph" w:customStyle="1" w:styleId="82">
    <w:name w:val="Table Paragraph"/>
    <w:basedOn w:val="1"/>
    <w:qFormat/>
    <w:uiPriority w:val="1"/>
    <w:pPr>
      <w:jc w:val="center"/>
    </w:pPr>
    <w:rPr>
      <w:rFonts w:ascii="宋体" w:hAnsi="宋体" w:eastAsia="宋体" w:cs="宋体"/>
      <w:lang w:val="zh-CN" w:eastAsia="zh-CN" w:bidi="zh-CN"/>
    </w:rPr>
  </w:style>
  <w:style w:type="paragraph" w:customStyle="1" w:styleId="83">
    <w:name w:val="正常格式"/>
    <w:basedOn w:val="84"/>
    <w:qFormat/>
    <w:uiPriority w:val="0"/>
    <w:pPr>
      <w:keepNext w:val="0"/>
      <w:keepLines w:val="0"/>
      <w:widowControl w:val="0"/>
      <w:suppressLineNumbers w:val="0"/>
      <w:snapToGrid w:val="0"/>
      <w:spacing w:before="0" w:beforeAutospacing="0" w:after="0" w:afterAutospacing="0" w:line="480" w:lineRule="exact"/>
      <w:ind w:left="0" w:right="0" w:firstLine="600" w:firstLineChars="200"/>
      <w:jc w:val="both"/>
    </w:pPr>
    <w:rPr>
      <w:rFonts w:hint="default" w:ascii="Times New Roman" w:hAnsi="Times New Roman" w:eastAsia="宋体" w:cs="Times New Roman"/>
      <w:kern w:val="0"/>
      <w:sz w:val="24"/>
      <w:szCs w:val="20"/>
      <w:lang w:val="en-US" w:eastAsia="zh-CN" w:bidi="ar"/>
    </w:rPr>
  </w:style>
  <w:style w:type="paragraph" w:customStyle="1" w:styleId="84">
    <w:name w:val="正文2"/>
    <w:basedOn w:val="1"/>
    <w:qFormat/>
    <w:uiPriority w:val="0"/>
    <w:pPr>
      <w:spacing w:line="360" w:lineRule="auto"/>
      <w:ind w:firstLine="480" w:firstLineChars="200"/>
    </w:pPr>
    <w:rPr>
      <w:rFonts w:ascii="宋体" w:hAnsi="宋体" w:cs="Times New Roman"/>
      <w:sz w:val="24"/>
      <w:szCs w:val="24"/>
    </w:rPr>
  </w:style>
  <w:style w:type="paragraph" w:customStyle="1" w:styleId="85">
    <w:name w:val="小四表文左齐"/>
    <w:basedOn w:val="1"/>
    <w:qFormat/>
    <w:uiPriority w:val="0"/>
    <w:pPr>
      <w:widowControl/>
      <w:adjustRightInd w:val="0"/>
      <w:spacing w:line="360" w:lineRule="exact"/>
      <w:jc w:val="center"/>
    </w:pPr>
    <w:rPr>
      <w:rFonts w:ascii="Times New Roman" w:hAnsi="Times New Roman" w:cs="Times New Roman"/>
      <w:kern w:val="24"/>
      <w:szCs w:val="21"/>
    </w:rPr>
  </w:style>
  <w:style w:type="paragraph" w:customStyle="1" w:styleId="86">
    <w:name w:val="样式 正文文字 + 首行缩进:  2 字符 行距: 最小值 24 磅"/>
    <w:basedOn w:val="1"/>
    <w:link w:val="101"/>
    <w:qFormat/>
    <w:uiPriority w:val="0"/>
    <w:pPr>
      <w:adjustRightInd w:val="0"/>
      <w:snapToGrid w:val="0"/>
      <w:spacing w:line="480" w:lineRule="atLeast"/>
      <w:ind w:firstLine="480" w:firstLineChars="200"/>
    </w:pPr>
    <w:rPr>
      <w:rFonts w:ascii="宋体" w:hAnsi="宋体" w:cs="楷体"/>
      <w:kern w:val="2"/>
      <w:sz w:val="24"/>
    </w:rPr>
  </w:style>
  <w:style w:type="character" w:customStyle="1" w:styleId="87">
    <w:name w:val="标题 1 Char"/>
    <w:link w:val="5"/>
    <w:qFormat/>
    <w:uiPriority w:val="0"/>
    <w:rPr>
      <w:rFonts w:ascii="Times New Roman" w:hAnsi="Times New Roman" w:eastAsia="宋体" w:cs="Times New Roman"/>
      <w:b/>
      <w:kern w:val="44"/>
      <w:sz w:val="30"/>
      <w:lang w:val="en-US" w:eastAsia="zh-CN" w:bidi="ar-SA"/>
    </w:rPr>
  </w:style>
  <w:style w:type="table" w:customStyle="1" w:styleId="88">
    <w:name w:val="Table Normal"/>
    <w:unhideWhenUsed/>
    <w:qFormat/>
    <w:uiPriority w:val="0"/>
    <w:tblPr>
      <w:tblCellMar>
        <w:top w:w="0" w:type="dxa"/>
        <w:left w:w="0" w:type="dxa"/>
        <w:bottom w:w="0" w:type="dxa"/>
        <w:right w:w="0" w:type="dxa"/>
      </w:tblCellMar>
    </w:tblPr>
  </w:style>
  <w:style w:type="character" w:customStyle="1" w:styleId="89">
    <w:name w:val="报告正文 Char Char"/>
    <w:link w:val="11"/>
    <w:qFormat/>
    <w:uiPriority w:val="0"/>
    <w:rPr>
      <w:rFonts w:ascii="Times New Roman" w:hAnsi="Times New Roman" w:eastAsia="宋体" w:cs="Times New Roman"/>
      <w:color w:val="000000"/>
      <w:kern w:val="2"/>
      <w:sz w:val="24"/>
      <w:szCs w:val="24"/>
      <w:lang w:val="en-US" w:eastAsia="zh-CN" w:bidi="ar-SA"/>
    </w:rPr>
  </w:style>
  <w:style w:type="character" w:customStyle="1" w:styleId="90">
    <w:name w:val="正文缩进 Char"/>
    <w:link w:val="16"/>
    <w:qFormat/>
    <w:uiPriority w:val="0"/>
    <w:rPr>
      <w:rFonts w:ascii="Times New Roman" w:hAnsi="Times New Roman" w:eastAsia="宋体" w:cs="Times New Roman"/>
      <w:kern w:val="2"/>
      <w:sz w:val="21"/>
      <w:lang w:val="en-US" w:eastAsia="zh-CN" w:bidi="ar-SA"/>
    </w:rPr>
  </w:style>
  <w:style w:type="character" w:customStyle="1" w:styleId="91">
    <w:name w:val="批注文字 Char1"/>
    <w:link w:val="19"/>
    <w:qFormat/>
    <w:uiPriority w:val="0"/>
    <w:rPr>
      <w:rFonts w:ascii="Times New Roman" w:hAnsi="Times New Roman" w:eastAsia="宋体" w:cs="Times New Roman"/>
      <w:kern w:val="2"/>
      <w:sz w:val="21"/>
      <w:szCs w:val="24"/>
    </w:rPr>
  </w:style>
  <w:style w:type="character" w:customStyle="1" w:styleId="92">
    <w:name w:val="正文文本 Char Char"/>
    <w:link w:val="20"/>
    <w:qFormat/>
    <w:uiPriority w:val="0"/>
    <w:rPr>
      <w:rFonts w:ascii="Times New Roman" w:hAnsi="Times New Roman" w:eastAsia="宋体" w:cs="Times New Roman"/>
      <w:kern w:val="2"/>
      <w:sz w:val="21"/>
      <w:szCs w:val="24"/>
      <w:lang w:val="en-US" w:eastAsia="zh-CN" w:bidi="ar-SA"/>
    </w:rPr>
  </w:style>
  <w:style w:type="character" w:customStyle="1" w:styleId="93">
    <w:name w:val="正文文本缩进 Char1"/>
    <w:link w:val="3"/>
    <w:qFormat/>
    <w:uiPriority w:val="0"/>
    <w:rPr>
      <w:rFonts w:ascii="宋体" w:hAnsi="宋体" w:eastAsia="宋体" w:cs="Arial"/>
      <w:kern w:val="2"/>
      <w:sz w:val="24"/>
      <w:szCs w:val="24"/>
      <w:lang w:val="en-US" w:eastAsia="zh-CN" w:bidi="ar-SA"/>
    </w:rPr>
  </w:style>
  <w:style w:type="character" w:customStyle="1" w:styleId="94">
    <w:name w:val="纯文本 Char Char"/>
    <w:link w:val="24"/>
    <w:qFormat/>
    <w:uiPriority w:val="0"/>
    <w:rPr>
      <w:rFonts w:ascii="宋体" w:hAnsi="Courier New" w:eastAsia="宋体" w:cs="Times New Roman"/>
      <w:kern w:val="2"/>
      <w:sz w:val="21"/>
      <w:lang w:val="en-US" w:eastAsia="zh-CN" w:bidi="ar-SA"/>
    </w:rPr>
  </w:style>
  <w:style w:type="character" w:customStyle="1" w:styleId="95">
    <w:name w:val="批注框文本 Char Char"/>
    <w:link w:val="29"/>
    <w:qFormat/>
    <w:uiPriority w:val="0"/>
    <w:rPr>
      <w:rFonts w:ascii="Times New Roman" w:hAnsi="Times New Roman" w:eastAsia="宋体" w:cs="Times New Roman"/>
      <w:kern w:val="2"/>
      <w:sz w:val="18"/>
      <w:szCs w:val="18"/>
    </w:rPr>
  </w:style>
  <w:style w:type="character" w:customStyle="1" w:styleId="96">
    <w:name w:val="页脚 Char"/>
    <w:link w:val="30"/>
    <w:qFormat/>
    <w:uiPriority w:val="0"/>
    <w:rPr>
      <w:rFonts w:ascii="Times New Roman" w:hAnsi="Times New Roman" w:eastAsia="宋体" w:cs="Times New Roman"/>
      <w:kern w:val="2"/>
      <w:sz w:val="18"/>
      <w:lang w:val="en-US" w:eastAsia="zh-CN" w:bidi="ar-SA"/>
    </w:rPr>
  </w:style>
  <w:style w:type="character" w:customStyle="1" w:styleId="97">
    <w:name w:val="页眉 Char Char"/>
    <w:link w:val="31"/>
    <w:qFormat/>
    <w:uiPriority w:val="0"/>
    <w:rPr>
      <w:rFonts w:ascii="Times New Roman" w:hAnsi="Times New Roman" w:eastAsia="宋体" w:cs="Times New Roman"/>
      <w:kern w:val="2"/>
      <w:sz w:val="18"/>
      <w:lang w:val="en-US" w:eastAsia="zh-CN" w:bidi="ar-SA"/>
    </w:rPr>
  </w:style>
  <w:style w:type="character" w:customStyle="1" w:styleId="98">
    <w:name w:val="正文1 Char Char"/>
    <w:link w:val="33"/>
    <w:qFormat/>
    <w:uiPriority w:val="0"/>
    <w:rPr>
      <w:rFonts w:ascii="宋体" w:hAnsi="宋体" w:eastAsia="宋体" w:cs="宋体"/>
      <w:sz w:val="24"/>
      <w:szCs w:val="24"/>
    </w:rPr>
  </w:style>
  <w:style w:type="character" w:customStyle="1" w:styleId="99">
    <w:name w:val=" Char Char38"/>
    <w:link w:val="2"/>
    <w:qFormat/>
    <w:uiPriority w:val="0"/>
    <w:rPr>
      <w:rFonts w:ascii="Times New Roman" w:hAnsi="Times New Roman" w:eastAsia="宋体" w:cs="Times New Roman"/>
      <w:kern w:val="2"/>
      <w:sz w:val="21"/>
      <w:lang w:val="en-US" w:eastAsia="zh-CN" w:bidi="ar-SA"/>
    </w:rPr>
  </w:style>
  <w:style w:type="paragraph" w:customStyle="1" w:styleId="100">
    <w:name w:val="正文11"/>
    <w:basedOn w:val="1"/>
    <w:next w:val="1"/>
    <w:qFormat/>
    <w:uiPriority w:val="0"/>
    <w:pPr>
      <w:spacing w:line="240" w:lineRule="auto"/>
      <w:ind w:firstLine="0" w:firstLineChars="0"/>
    </w:pPr>
    <w:rPr>
      <w:rFonts w:ascii="Times New Roman" w:hAnsi="Times New Roman" w:eastAsia="宋体" w:cs="Times New Roman"/>
      <w:sz w:val="21"/>
    </w:rPr>
  </w:style>
  <w:style w:type="character" w:customStyle="1" w:styleId="101">
    <w:name w:val="样式 正文文字 + 首行缩进:  2 字符 行距: 最小值 24 磅 Char Char"/>
    <w:link w:val="86"/>
    <w:qFormat/>
    <w:uiPriority w:val="0"/>
    <w:rPr>
      <w:rFonts w:ascii="宋体" w:hAnsi="宋体" w:eastAsia="宋体" w:cs="楷体"/>
      <w:kern w:val="2"/>
      <w:sz w:val="24"/>
    </w:rPr>
  </w:style>
  <w:style w:type="character" w:customStyle="1" w:styleId="102">
    <w:name w:val="正文缩进2 Char Char Char Char Char Char Cha"/>
    <w:qFormat/>
    <w:uiPriority w:val="0"/>
    <w:rPr>
      <w:rFonts w:ascii="宋体" w:hAnsi="Times New Roman" w:eastAsia="宋体" w:cs="Times New Roman"/>
      <w:kern w:val="2"/>
      <w:sz w:val="24"/>
      <w:szCs w:val="24"/>
      <w:lang w:val="en-US" w:eastAsia="zh-CN" w:bidi="ar-SA"/>
    </w:rPr>
  </w:style>
  <w:style w:type="character" w:customStyle="1" w:styleId="103">
    <w:name w:val="LT表头表头表头表头表头表头 Char Char"/>
    <w:link w:val="104"/>
    <w:qFormat/>
    <w:uiPriority w:val="0"/>
    <w:rPr>
      <w:rFonts w:ascii="Times New Roman" w:hAnsi="Times New Roman" w:eastAsia="宋体" w:cs="Times New Roman"/>
      <w:snapToGrid w:val="0"/>
      <w:kern w:val="28"/>
      <w:sz w:val="21"/>
      <w:szCs w:val="24"/>
      <w:lang w:val="en-US" w:eastAsia="zh-CN" w:bidi="ar-SA"/>
    </w:rPr>
  </w:style>
  <w:style w:type="paragraph" w:customStyle="1" w:styleId="104">
    <w:name w:val="LT表头表头表头表头表头表头"/>
    <w:basedOn w:val="1"/>
    <w:link w:val="103"/>
    <w:qFormat/>
    <w:uiPriority w:val="0"/>
    <w:pPr>
      <w:spacing w:before="156" w:beforeLines="50" w:after="156" w:afterLines="50" w:line="360" w:lineRule="auto"/>
      <w:jc w:val="center"/>
    </w:pPr>
    <w:rPr>
      <w:rFonts w:ascii="Times New Roman" w:hAnsi="Times New Roman" w:eastAsia="宋体" w:cs="Times New Roman"/>
      <w:snapToGrid w:val="0"/>
      <w:kern w:val="28"/>
      <w:sz w:val="21"/>
      <w:szCs w:val="24"/>
      <w:lang w:val="en-US" w:eastAsia="zh-CN" w:bidi="ar-SA"/>
    </w:rPr>
  </w:style>
  <w:style w:type="character" w:customStyle="1" w:styleId="105">
    <w:name w:val="正文文本缩进 21"/>
    <w:qFormat/>
    <w:uiPriority w:val="0"/>
    <w:rPr>
      <w:rFonts w:ascii="宋体" w:hAnsi="Matisse ITC" w:eastAsia="宋体" w:cs="Times New Roman"/>
      <w:sz w:val="28"/>
      <w:lang w:val="en-US" w:eastAsia="zh-CN" w:bidi="ar-SA"/>
    </w:rPr>
  </w:style>
  <w:style w:type="character" w:customStyle="1" w:styleId="106">
    <w:name w:val="(.a表格 Char Char"/>
    <w:link w:val="107"/>
    <w:qFormat/>
    <w:uiPriority w:val="0"/>
    <w:rPr>
      <w:rFonts w:ascii="Times New Roman" w:hAnsi="Times New Roman" w:eastAsia="黑体" w:cs="Times New Roman"/>
      <w:kern w:val="2"/>
      <w:sz w:val="24"/>
      <w:szCs w:val="24"/>
      <w:lang w:val="en-US" w:eastAsia="zh-CN" w:bidi="ar-SA"/>
    </w:rPr>
  </w:style>
  <w:style w:type="paragraph" w:customStyle="1" w:styleId="107">
    <w:name w:val="...表格标题"/>
    <w:link w:val="106"/>
    <w:qFormat/>
    <w:uiPriority w:val="0"/>
    <w:pPr>
      <w:spacing w:line="480" w:lineRule="exact"/>
      <w:jc w:val="center"/>
    </w:pPr>
    <w:rPr>
      <w:rFonts w:ascii="Times New Roman" w:hAnsi="Times New Roman" w:eastAsia="黑体" w:cs="Times New Roman"/>
      <w:kern w:val="2"/>
      <w:sz w:val="24"/>
      <w:szCs w:val="24"/>
      <w:lang w:val="en-US" w:eastAsia="zh-CN" w:bidi="ar-SA"/>
    </w:rPr>
  </w:style>
  <w:style w:type="character" w:customStyle="1" w:styleId="108">
    <w:name w:val="fontstyle31"/>
    <w:basedOn w:val="50"/>
    <w:qFormat/>
    <w:uiPriority w:val="0"/>
    <w:rPr>
      <w:rFonts w:hint="default" w:ascii="TimesNewRomanPSMT" w:hAnsi="TimesNewRomanPSMT" w:eastAsia="宋体" w:cs="Times New Roman"/>
      <w:color w:val="000000"/>
      <w:sz w:val="22"/>
      <w:szCs w:val="22"/>
    </w:rPr>
  </w:style>
  <w:style w:type="character" w:customStyle="1" w:styleId="109">
    <w:name w:val="报告书表格 Char Char"/>
    <w:basedOn w:val="50"/>
    <w:link w:val="110"/>
    <w:qFormat/>
    <w:uiPriority w:val="0"/>
    <w:rPr>
      <w:rFonts w:ascii="Times New Roman" w:hAnsi="Times New Roman" w:eastAsia="宋体" w:cs="Times New Roman"/>
      <w:sz w:val="21"/>
      <w:lang w:bidi="ar-SA"/>
    </w:rPr>
  </w:style>
  <w:style w:type="paragraph" w:customStyle="1" w:styleId="110">
    <w:name w:val="报告书表格"/>
    <w:basedOn w:val="1"/>
    <w:link w:val="109"/>
    <w:qFormat/>
    <w:uiPriority w:val="0"/>
    <w:pPr>
      <w:adjustRightInd w:val="0"/>
      <w:spacing w:before="60" w:beforeLines="0" w:after="60" w:afterLines="0" w:line="240" w:lineRule="atLeast"/>
      <w:jc w:val="center"/>
      <w:textAlignment w:val="baseline"/>
    </w:pPr>
    <w:rPr>
      <w:rFonts w:ascii="Times New Roman" w:hAnsi="Times New Roman" w:eastAsia="宋体" w:cs="Times New Roman"/>
      <w:sz w:val="21"/>
      <w:lang w:bidi="ar-SA"/>
    </w:rPr>
  </w:style>
  <w:style w:type="character" w:customStyle="1" w:styleId="111">
    <w:name w:val=" Char Char6"/>
    <w:qFormat/>
    <w:uiPriority w:val="0"/>
    <w:rPr>
      <w:rFonts w:ascii="Times New Roman" w:hAnsi="Times New Roman" w:eastAsia="宋体" w:cs="Times New Roman"/>
      <w:kern w:val="2"/>
      <w:sz w:val="21"/>
      <w:szCs w:val="24"/>
      <w:lang w:val="en-US" w:eastAsia="zh-CN" w:bidi="ar-SA"/>
    </w:rPr>
  </w:style>
  <w:style w:type="character" w:customStyle="1" w:styleId="112">
    <w:name w:val="（.a正文 Char Char Char"/>
    <w:qFormat/>
    <w:uiPriority w:val="0"/>
    <w:rPr>
      <w:rFonts w:ascii="Times New Roman" w:hAnsi="Times New Roman" w:eastAsia="宋体" w:cs="Times New Roman"/>
      <w:kern w:val="2"/>
      <w:sz w:val="24"/>
      <w:szCs w:val="24"/>
      <w:lang w:val="en-US" w:eastAsia="zh-CN" w:bidi="ar-SA"/>
    </w:rPr>
  </w:style>
  <w:style w:type="character" w:customStyle="1" w:styleId="113">
    <w:name w:val="font01"/>
    <w:basedOn w:val="50"/>
    <w:qFormat/>
    <w:uiPriority w:val="0"/>
    <w:rPr>
      <w:rFonts w:hint="eastAsia" w:ascii="宋体" w:hAnsi="宋体" w:eastAsia="宋体" w:cs="宋体"/>
      <w:color w:val="FF0000"/>
      <w:sz w:val="21"/>
      <w:szCs w:val="21"/>
      <w:u w:val="none"/>
    </w:rPr>
  </w:style>
  <w:style w:type="character" w:customStyle="1" w:styleId="114">
    <w:name w:val=" Char Char3"/>
    <w:qFormat/>
    <w:uiPriority w:val="0"/>
    <w:rPr>
      <w:rFonts w:ascii="Times New Roman" w:hAnsi="Times New Roman" w:eastAsia="宋体" w:cs="Times New Roman"/>
      <w:kern w:val="2"/>
      <w:sz w:val="18"/>
      <w:lang w:val="en-US" w:eastAsia="zh-CN" w:bidi="ar-SA"/>
    </w:rPr>
  </w:style>
  <w:style w:type="character" w:customStyle="1" w:styleId="115">
    <w:name w:val=" Char Char8"/>
    <w:qFormat/>
    <w:uiPriority w:val="0"/>
    <w:rPr>
      <w:rFonts w:ascii="Times New Roman" w:hAnsi="Times New Roman" w:eastAsia="宋体" w:cs="Times New Roman"/>
      <w:kern w:val="2"/>
      <w:sz w:val="18"/>
      <w:lang w:val="en-US" w:eastAsia="zh-CN" w:bidi="ar-SA"/>
    </w:rPr>
  </w:style>
  <w:style w:type="character" w:customStyle="1" w:styleId="116">
    <w:name w:val="font11"/>
    <w:basedOn w:val="50"/>
    <w:qFormat/>
    <w:uiPriority w:val="0"/>
    <w:rPr>
      <w:rFonts w:hint="eastAsia" w:ascii="宋体" w:hAnsi="宋体" w:eastAsia="宋体" w:cs="宋体"/>
      <w:color w:val="FF0000"/>
      <w:sz w:val="21"/>
      <w:szCs w:val="21"/>
      <w:u w:val="none"/>
    </w:rPr>
  </w:style>
  <w:style w:type="character" w:customStyle="1" w:styleId="117">
    <w:name w:val="apple-converted-space"/>
    <w:basedOn w:val="50"/>
    <w:qFormat/>
    <w:uiPriority w:val="0"/>
    <w:rPr>
      <w:rFonts w:ascii="Times New Roman" w:hAnsi="Times New Roman" w:eastAsia="宋体" w:cs="Times New Roman"/>
      <w:sz w:val="21"/>
    </w:rPr>
  </w:style>
  <w:style w:type="character" w:customStyle="1" w:styleId="118">
    <w:name w:val="批注文字 Char Char"/>
    <w:qFormat/>
    <w:uiPriority w:val="0"/>
    <w:rPr>
      <w:rFonts w:ascii="Times New Roman" w:hAnsi="Times New Roman" w:eastAsia="宋体" w:cs="Times New Roman"/>
      <w:kern w:val="2"/>
      <w:sz w:val="21"/>
    </w:rPr>
  </w:style>
  <w:style w:type="character" w:customStyle="1" w:styleId="119">
    <w:name w:val="文本正文 Char Char"/>
    <w:basedOn w:val="50"/>
    <w:link w:val="120"/>
    <w:qFormat/>
    <w:uiPriority w:val="0"/>
    <w:rPr>
      <w:rFonts w:ascii="宋体" w:hAnsi="Times New Roman" w:eastAsia="宋体" w:cs="Times New Roman"/>
      <w:spacing w:val="4"/>
      <w:kern w:val="24"/>
      <w:sz w:val="24"/>
      <w:szCs w:val="24"/>
      <w:lang w:val="zh-CN" w:eastAsia="zh-CN" w:bidi="ar-SA"/>
    </w:rPr>
  </w:style>
  <w:style w:type="paragraph" w:customStyle="1" w:styleId="120">
    <w:name w:val="文本正文"/>
    <w:basedOn w:val="1"/>
    <w:link w:val="119"/>
    <w:qFormat/>
    <w:uiPriority w:val="0"/>
    <w:pPr>
      <w:snapToGrid w:val="0"/>
      <w:spacing w:line="360" w:lineRule="auto"/>
      <w:ind w:firstLine="510"/>
      <w:jc w:val="left"/>
    </w:pPr>
    <w:rPr>
      <w:rFonts w:ascii="宋体" w:hAnsi="Times New Roman" w:eastAsia="宋体" w:cs="Times New Roman"/>
      <w:spacing w:val="4"/>
      <w:kern w:val="24"/>
      <w:sz w:val="24"/>
      <w:szCs w:val="24"/>
      <w:lang w:val="zh-CN" w:eastAsia="zh-CN" w:bidi="ar-SA"/>
    </w:rPr>
  </w:style>
  <w:style w:type="character" w:customStyle="1" w:styleId="121">
    <w:name w:val="表格标题 Char"/>
    <w:link w:val="57"/>
    <w:qFormat/>
    <w:uiPriority w:val="0"/>
    <w:rPr>
      <w:rFonts w:ascii="Times New Roman" w:hAnsi="Times New Roman" w:eastAsia="黑体" w:cs="Times New Roman"/>
      <w:b/>
      <w:spacing w:val="6"/>
      <w:sz w:val="21"/>
      <w:szCs w:val="24"/>
      <w:lang w:val="en-US" w:eastAsia="zh-CN" w:bidi="ar-SA"/>
    </w:rPr>
  </w:style>
  <w:style w:type="character" w:customStyle="1" w:styleId="122">
    <w:name w:val="金山正文 Char Char"/>
    <w:link w:val="123"/>
    <w:qFormat/>
    <w:uiPriority w:val="0"/>
    <w:rPr>
      <w:rFonts w:ascii="宋体" w:hAnsi="Times New Roman" w:eastAsia="宋体" w:cs="Times New Roman"/>
      <w:kern w:val="2"/>
      <w:sz w:val="24"/>
      <w:szCs w:val="24"/>
    </w:rPr>
  </w:style>
  <w:style w:type="paragraph" w:customStyle="1" w:styleId="123">
    <w:name w:val="金山正文"/>
    <w:basedOn w:val="1"/>
    <w:link w:val="122"/>
    <w:qFormat/>
    <w:uiPriority w:val="0"/>
    <w:pPr>
      <w:spacing w:line="520" w:lineRule="exact"/>
      <w:ind w:firstLine="200" w:firstLineChars="200"/>
      <w:jc w:val="left"/>
    </w:pPr>
    <w:rPr>
      <w:rFonts w:ascii="宋体" w:hAnsi="Times New Roman" w:eastAsia="宋体" w:cs="Times New Roman"/>
      <w:kern w:val="2"/>
      <w:sz w:val="24"/>
      <w:szCs w:val="24"/>
    </w:rPr>
  </w:style>
  <w:style w:type="character" w:customStyle="1" w:styleId="124">
    <w:name w:val="标题 1 Char Char Char"/>
    <w:qFormat/>
    <w:uiPriority w:val="0"/>
    <w:rPr>
      <w:rFonts w:ascii="宋体" w:hAnsi="宋体" w:eastAsia="宋体" w:cs="Times New Roman"/>
      <w:bCs/>
      <w:sz w:val="28"/>
    </w:rPr>
  </w:style>
  <w:style w:type="character" w:customStyle="1" w:styleId="125">
    <w:name w:val="viewthreadtxt"/>
    <w:basedOn w:val="50"/>
    <w:qFormat/>
    <w:uiPriority w:val="0"/>
    <w:rPr>
      <w:rFonts w:ascii="Times New Roman" w:hAnsi="Times New Roman" w:eastAsia="宋体" w:cs="Times New Roman"/>
      <w:sz w:val="21"/>
    </w:rPr>
  </w:style>
  <w:style w:type="character" w:customStyle="1" w:styleId="126">
    <w:name w:val=" Char Char32"/>
    <w:qFormat/>
    <w:uiPriority w:val="0"/>
    <w:rPr>
      <w:rFonts w:ascii="Times New Roman" w:hAnsi="Times New Roman" w:eastAsia="宋体" w:cs="Times New Roman"/>
      <w:kern w:val="2"/>
      <w:sz w:val="21"/>
      <w:lang w:val="en-US" w:eastAsia="zh-CN" w:bidi="ar-SA"/>
    </w:rPr>
  </w:style>
  <w:style w:type="character" w:customStyle="1" w:styleId="127">
    <w:name w:val="font21"/>
    <w:basedOn w:val="50"/>
    <w:qFormat/>
    <w:uiPriority w:val="0"/>
    <w:rPr>
      <w:rFonts w:hint="eastAsia" w:ascii="宋体" w:hAnsi="宋体" w:eastAsia="宋体" w:cs="宋体"/>
      <w:color w:val="000000"/>
      <w:sz w:val="20"/>
      <w:szCs w:val="20"/>
    </w:rPr>
  </w:style>
  <w:style w:type="character" w:customStyle="1" w:styleId="128">
    <w:name w:val="fontstyle21"/>
    <w:basedOn w:val="50"/>
    <w:qFormat/>
    <w:uiPriority w:val="0"/>
    <w:rPr>
      <w:rFonts w:hint="eastAsia" w:ascii="宋体" w:hAnsi="宋体" w:eastAsia="宋体" w:cs="Times New Roman"/>
      <w:color w:val="000000"/>
      <w:sz w:val="22"/>
      <w:szCs w:val="22"/>
    </w:rPr>
  </w:style>
  <w:style w:type="character" w:customStyle="1" w:styleId="129">
    <w:name w:val="公路正文 Char"/>
    <w:basedOn w:val="50"/>
    <w:link w:val="130"/>
    <w:qFormat/>
    <w:uiPriority w:val="0"/>
    <w:rPr>
      <w:rFonts w:ascii="Arial" w:hAnsi="Arial" w:eastAsia="宋体" w:cs="Times New Roman"/>
      <w:kern w:val="2"/>
      <w:sz w:val="24"/>
      <w:szCs w:val="24"/>
      <w:lang w:val="en-US" w:eastAsia="zh-CN" w:bidi="ar-SA"/>
    </w:rPr>
  </w:style>
  <w:style w:type="paragraph" w:customStyle="1" w:styleId="130">
    <w:name w:val="样式4"/>
    <w:basedOn w:val="16"/>
    <w:link w:val="129"/>
    <w:qFormat/>
    <w:uiPriority w:val="0"/>
    <w:pPr>
      <w:spacing w:line="460" w:lineRule="exact"/>
    </w:pPr>
    <w:rPr>
      <w:rFonts w:ascii="Arial" w:hAnsi="Arial" w:eastAsia="宋体" w:cs="Times New Roman"/>
      <w:kern w:val="2"/>
      <w:sz w:val="24"/>
      <w:szCs w:val="24"/>
      <w:lang w:val="en-US" w:eastAsia="zh-CN" w:bidi="ar-SA"/>
    </w:rPr>
  </w:style>
  <w:style w:type="character" w:customStyle="1" w:styleId="131">
    <w:name w:val="纯文本 Char2"/>
    <w:basedOn w:val="50"/>
    <w:qFormat/>
    <w:uiPriority w:val="0"/>
    <w:rPr>
      <w:rFonts w:ascii="宋体" w:hAnsi="Courier New" w:eastAsia="宋体" w:cs="Times New Roman"/>
      <w:kern w:val="2"/>
      <w:sz w:val="21"/>
      <w:lang w:val="en-US" w:eastAsia="zh-CN" w:bidi="ar-SA"/>
    </w:rPr>
  </w:style>
  <w:style w:type="character" w:customStyle="1" w:styleId="132">
    <w:name w:val="aa1"/>
    <w:qFormat/>
    <w:uiPriority w:val="0"/>
    <w:rPr>
      <w:rFonts w:hint="eastAsia" w:ascii="宋体" w:hAnsi="宋体" w:eastAsia="宋体" w:cs="Times New Roman"/>
      <w:color w:val="000000"/>
      <w:sz w:val="28"/>
      <w:szCs w:val="28"/>
    </w:rPr>
  </w:style>
  <w:style w:type="character" w:customStyle="1" w:styleId="133">
    <w:name w:val="正文01 Char Char"/>
    <w:basedOn w:val="50"/>
    <w:link w:val="134"/>
    <w:qFormat/>
    <w:uiPriority w:val="0"/>
    <w:rPr>
      <w:rFonts w:ascii="Tms Rmn" w:hAnsi="Tms Rmn" w:eastAsia="楷体" w:cs="Times New Roman"/>
      <w:kern w:val="2"/>
      <w:sz w:val="24"/>
      <w:lang w:bidi="ar-SA"/>
    </w:rPr>
  </w:style>
  <w:style w:type="paragraph" w:customStyle="1" w:styleId="134">
    <w:name w:val="正文01"/>
    <w:basedOn w:val="1"/>
    <w:link w:val="133"/>
    <w:qFormat/>
    <w:uiPriority w:val="0"/>
    <w:pPr>
      <w:spacing w:before="60" w:beforeLines="0" w:line="460" w:lineRule="exact"/>
      <w:ind w:firstLine="200" w:firstLineChars="200"/>
    </w:pPr>
    <w:rPr>
      <w:rFonts w:ascii="Tms Rmn" w:hAnsi="Tms Rmn" w:eastAsia="楷体" w:cs="Times New Roman"/>
      <w:kern w:val="2"/>
      <w:sz w:val="24"/>
      <w:lang w:bidi="ar-SA"/>
    </w:rPr>
  </w:style>
  <w:style w:type="character" w:customStyle="1" w:styleId="135">
    <w:name w:val="font31"/>
    <w:basedOn w:val="50"/>
    <w:qFormat/>
    <w:uiPriority w:val="0"/>
    <w:rPr>
      <w:rFonts w:hint="default" w:ascii="Times New Roman" w:hAnsi="Times New Roman" w:eastAsia="宋体" w:cs="Times New Roman"/>
      <w:color w:val="000000"/>
      <w:sz w:val="21"/>
      <w:szCs w:val="21"/>
      <w:u w:val="none"/>
    </w:rPr>
  </w:style>
  <w:style w:type="character" w:customStyle="1" w:styleId="136">
    <w:name w:val="（.a正文 Char Char"/>
    <w:link w:val="65"/>
    <w:qFormat/>
    <w:uiPriority w:val="0"/>
    <w:rPr>
      <w:rFonts w:ascii="Times New Roman" w:hAnsi="Times New Roman" w:eastAsia="宋体" w:cs="Arial"/>
      <w:bCs/>
      <w:kern w:val="2"/>
      <w:sz w:val="24"/>
      <w:szCs w:val="24"/>
      <w:lang w:val="en-US" w:eastAsia="zh-CN" w:bidi="ar-SA"/>
    </w:rPr>
  </w:style>
  <w:style w:type="character" w:customStyle="1" w:styleId="137">
    <w:name w:val="t1"/>
    <w:qFormat/>
    <w:uiPriority w:val="0"/>
    <w:rPr>
      <w:rFonts w:ascii="Times New Roman" w:hAnsi="Times New Roman" w:eastAsia="宋体" w:cs="Times New Roman"/>
      <w:sz w:val="21"/>
      <w:szCs w:val="21"/>
    </w:rPr>
  </w:style>
  <w:style w:type="character" w:customStyle="1" w:styleId="138">
    <w:name w:val="正文(首行缩进)宋旭峰 Char Char"/>
    <w:link w:val="139"/>
    <w:qFormat/>
    <w:uiPriority w:val="0"/>
    <w:rPr>
      <w:rFonts w:ascii="Times New Roman" w:hAnsi="宋体" w:eastAsia="宋体" w:cs="Times New Roman"/>
      <w:bCs/>
      <w:spacing w:val="-6"/>
      <w:kern w:val="2"/>
      <w:sz w:val="24"/>
      <w:szCs w:val="24"/>
      <w:lang w:val="en-US" w:eastAsia="zh-CN" w:bidi="ar-SA"/>
    </w:rPr>
  </w:style>
  <w:style w:type="paragraph" w:customStyle="1" w:styleId="139">
    <w:name w:val="正文(首行缩进)宋旭峰"/>
    <w:basedOn w:val="16"/>
    <w:link w:val="138"/>
    <w:qFormat/>
    <w:uiPriority w:val="0"/>
    <w:pPr>
      <w:spacing w:line="380" w:lineRule="exact"/>
      <w:ind w:firstLine="418" w:firstLineChars="198"/>
      <w:contextualSpacing/>
    </w:pPr>
    <w:rPr>
      <w:rFonts w:ascii="Times New Roman" w:hAnsi="宋体" w:eastAsia="宋体" w:cs="Times New Roman"/>
      <w:bCs/>
      <w:spacing w:val="-6"/>
      <w:kern w:val="2"/>
      <w:sz w:val="24"/>
      <w:szCs w:val="24"/>
      <w:lang w:val="en-US" w:eastAsia="zh-CN" w:bidi="ar-SA"/>
    </w:rPr>
  </w:style>
  <w:style w:type="character" w:customStyle="1" w:styleId="140">
    <w:name w:val="表格 Char Char"/>
    <w:basedOn w:val="50"/>
    <w:qFormat/>
    <w:uiPriority w:val="0"/>
    <w:rPr>
      <w:rFonts w:ascii="宋体" w:hAnsi="宋体" w:eastAsia="宋体" w:cs="Times New Roman"/>
      <w:kern w:val="2"/>
      <w:sz w:val="24"/>
      <w:lang w:val="en-US" w:eastAsia="zh-CN" w:bidi="ar-SA"/>
    </w:rPr>
  </w:style>
  <w:style w:type="character" w:customStyle="1" w:styleId="141">
    <w:name w:val="fontstyle01"/>
    <w:basedOn w:val="50"/>
    <w:qFormat/>
    <w:uiPriority w:val="0"/>
    <w:rPr>
      <w:rFonts w:hint="default" w:ascii="TimesNewRomanPS-ItalicMT" w:hAnsi="TimesNewRomanPS-ItalicMT" w:eastAsia="宋体" w:cs="Times New Roman"/>
      <w:i/>
      <w:iCs/>
      <w:color w:val="000000"/>
      <w:sz w:val="22"/>
      <w:szCs w:val="22"/>
    </w:rPr>
  </w:style>
  <w:style w:type="character" w:customStyle="1" w:styleId="142">
    <w:name w:val="中文报告书样式 Char Char"/>
    <w:link w:val="143"/>
    <w:qFormat/>
    <w:uiPriority w:val="0"/>
    <w:rPr>
      <w:rFonts w:ascii="宋体" w:hAnsi="宋体" w:eastAsia="宋体" w:cs="宋体"/>
      <w:kern w:val="24"/>
      <w:sz w:val="24"/>
    </w:rPr>
  </w:style>
  <w:style w:type="paragraph" w:customStyle="1" w:styleId="143">
    <w:name w:val="中文报告书样式"/>
    <w:basedOn w:val="1"/>
    <w:link w:val="142"/>
    <w:qFormat/>
    <w:uiPriority w:val="0"/>
    <w:pPr>
      <w:adjustRightInd w:val="0"/>
      <w:spacing w:line="480" w:lineRule="atLeast"/>
      <w:ind w:firstLine="482"/>
      <w:textAlignment w:val="baseline"/>
    </w:pPr>
    <w:rPr>
      <w:rFonts w:ascii="宋体" w:hAnsi="宋体" w:eastAsia="宋体" w:cs="宋体"/>
      <w:kern w:val="24"/>
      <w:sz w:val="24"/>
    </w:rPr>
  </w:style>
  <w:style w:type="character" w:customStyle="1" w:styleId="144">
    <w:name w:val="表编号 Char Char"/>
    <w:link w:val="145"/>
    <w:qFormat/>
    <w:uiPriority w:val="0"/>
    <w:rPr>
      <w:rFonts w:ascii="新宋体" w:hAnsi="新宋体" w:eastAsia="楷体" w:cs="Tms Rmn"/>
      <w:kern w:val="2"/>
      <w:sz w:val="24"/>
    </w:rPr>
  </w:style>
  <w:style w:type="paragraph" w:customStyle="1" w:styleId="145">
    <w:name w:val="表编号"/>
    <w:basedOn w:val="4"/>
    <w:link w:val="144"/>
    <w:qFormat/>
    <w:uiPriority w:val="0"/>
    <w:pPr>
      <w:numPr>
        <w:ilvl w:val="0"/>
        <w:numId w:val="3"/>
      </w:numPr>
      <w:spacing w:line="360" w:lineRule="auto"/>
      <w:jc w:val="center"/>
    </w:pPr>
    <w:rPr>
      <w:rFonts w:ascii="新宋体" w:hAnsi="新宋体" w:eastAsia="楷体" w:cs="Tms Rmn"/>
      <w:kern w:val="2"/>
      <w:sz w:val="24"/>
    </w:rPr>
  </w:style>
  <w:style w:type="character" w:customStyle="1" w:styleId="146">
    <w:name w:val="表格文字 Char Char"/>
    <w:link w:val="81"/>
    <w:qFormat/>
    <w:uiPriority w:val="0"/>
    <w:rPr>
      <w:rFonts w:ascii="宋体" w:hAnsi="Calibri" w:eastAsia="宋体" w:cs="Times New Roman"/>
      <w:kern w:val="2"/>
      <w:sz w:val="21"/>
      <w:szCs w:val="24"/>
      <w:lang w:val="en-US" w:eastAsia="zh-CN" w:bidi="ar-SA"/>
    </w:rPr>
  </w:style>
  <w:style w:type="character" w:customStyle="1" w:styleId="147">
    <w:name w:val="mingcheng1"/>
    <w:basedOn w:val="50"/>
    <w:qFormat/>
    <w:uiPriority w:val="0"/>
    <w:rPr>
      <w:rFonts w:ascii="Times New Roman" w:hAnsi="Times New Roman" w:eastAsia="宋体" w:cs="Times New Roman"/>
      <w:sz w:val="21"/>
    </w:rPr>
  </w:style>
  <w:style w:type="character" w:customStyle="1" w:styleId="148">
    <w:name w:val="t_tag"/>
    <w:basedOn w:val="50"/>
    <w:qFormat/>
    <w:uiPriority w:val="0"/>
    <w:rPr>
      <w:rFonts w:ascii="Times New Roman" w:hAnsi="Times New Roman" w:eastAsia="宋体" w:cs="Times New Roman"/>
      <w:sz w:val="21"/>
    </w:rPr>
  </w:style>
  <w:style w:type="character" w:customStyle="1" w:styleId="149">
    <w:name w:val="段 Char"/>
    <w:link w:val="150"/>
    <w:qFormat/>
    <w:uiPriority w:val="0"/>
    <w:rPr>
      <w:rFonts w:ascii="宋体" w:hAnsi="Times New Roman" w:eastAsia="宋体" w:cs="Times New Roman"/>
      <w:kern w:val="2"/>
      <w:sz w:val="24"/>
      <w:szCs w:val="24"/>
      <w:lang w:val="en-US" w:eastAsia="zh-CN" w:bidi="ar-SA"/>
    </w:rPr>
  </w:style>
  <w:style w:type="paragraph" w:customStyle="1" w:styleId="150">
    <w:name w:val="段"/>
    <w:basedOn w:val="1"/>
    <w:link w:val="149"/>
    <w:qFormat/>
    <w:uiPriority w:val="0"/>
    <w:pPr>
      <w:ind w:firstLine="200" w:firstLineChars="200"/>
      <w:jc w:val="left"/>
    </w:pPr>
    <w:rPr>
      <w:rFonts w:ascii="宋体" w:hAnsi="Times New Roman" w:eastAsia="宋体" w:cs="Times New Roman"/>
      <w:kern w:val="2"/>
      <w:sz w:val="24"/>
      <w:szCs w:val="24"/>
      <w:lang w:val="en-US" w:eastAsia="zh-CN" w:bidi="ar-SA"/>
    </w:rPr>
  </w:style>
  <w:style w:type="character" w:customStyle="1" w:styleId="151">
    <w:name w:val="曹文本 Char Char"/>
    <w:link w:val="152"/>
    <w:qFormat/>
    <w:uiPriority w:val="0"/>
    <w:rPr>
      <w:rFonts w:ascii="Times New Roman" w:hAnsi="Times New Roman" w:eastAsia="宋体" w:cs="Times New Roman"/>
      <w:kern w:val="2"/>
      <w:sz w:val="24"/>
      <w:lang w:bidi="ar-SA"/>
    </w:rPr>
  </w:style>
  <w:style w:type="paragraph" w:customStyle="1" w:styleId="152">
    <w:name w:val="曹文本"/>
    <w:basedOn w:val="1"/>
    <w:link w:val="151"/>
    <w:qFormat/>
    <w:uiPriority w:val="0"/>
    <w:pPr>
      <w:spacing w:before="31" w:beforeLines="10" w:after="31" w:afterLines="10" w:line="500" w:lineRule="exact"/>
      <w:ind w:firstLine="200" w:firstLineChars="200"/>
    </w:pPr>
    <w:rPr>
      <w:rFonts w:ascii="Times New Roman" w:hAnsi="Times New Roman" w:eastAsia="宋体" w:cs="Times New Roman"/>
      <w:kern w:val="2"/>
      <w:sz w:val="24"/>
      <w:lang w:bidi="ar-SA"/>
    </w:rPr>
  </w:style>
  <w:style w:type="character" w:customStyle="1" w:styleId="153">
    <w:name w:val="表头 Char Char Char"/>
    <w:link w:val="154"/>
    <w:qFormat/>
    <w:uiPriority w:val="0"/>
    <w:rPr>
      <w:rFonts w:ascii="黑体" w:hAnsi="Times New Roman" w:eastAsia="黑体" w:cs="Times New Roman"/>
      <w:kern w:val="2"/>
      <w:sz w:val="24"/>
      <w:szCs w:val="24"/>
    </w:rPr>
  </w:style>
  <w:style w:type="paragraph" w:customStyle="1" w:styleId="154">
    <w:name w:val="表头"/>
    <w:basedOn w:val="16"/>
    <w:next w:val="16"/>
    <w:link w:val="153"/>
    <w:qFormat/>
    <w:uiPriority w:val="0"/>
    <w:pPr>
      <w:spacing w:line="360" w:lineRule="auto"/>
      <w:ind w:firstLine="300" w:firstLineChars="300"/>
    </w:pPr>
    <w:rPr>
      <w:rFonts w:ascii="黑体" w:hAnsi="Times New Roman" w:eastAsia="黑体" w:cs="Times New Roman"/>
      <w:kern w:val="2"/>
      <w:sz w:val="24"/>
      <w:szCs w:val="24"/>
    </w:rPr>
  </w:style>
  <w:style w:type="character" w:customStyle="1" w:styleId="155">
    <w:name w:val="15"/>
    <w:qFormat/>
    <w:uiPriority w:val="0"/>
    <w:rPr>
      <w:rFonts w:hint="default" w:ascii="Times New Roman" w:hAnsi="Times New Roman" w:eastAsia="宋体" w:cs="Times New Roman"/>
      <w:sz w:val="20"/>
      <w:szCs w:val="20"/>
    </w:rPr>
  </w:style>
  <w:style w:type="character" w:customStyle="1" w:styleId="156">
    <w:name w:val="postbody1"/>
    <w:basedOn w:val="50"/>
    <w:qFormat/>
    <w:uiPriority w:val="0"/>
    <w:rPr>
      <w:rFonts w:ascii="Times New Roman" w:hAnsi="Times New Roman" w:eastAsia="宋体" w:cs="Times New Roman"/>
      <w:sz w:val="21"/>
      <w:szCs w:val="21"/>
    </w:rPr>
  </w:style>
  <w:style w:type="character" w:customStyle="1" w:styleId="157">
    <w:name w:val="正文文本 Char1"/>
    <w:qFormat/>
    <w:uiPriority w:val="0"/>
    <w:rPr>
      <w:rFonts w:ascii="Times New Roman" w:hAnsi="Times New Roman" w:eastAsia="宋体" w:cs="Times New Roman"/>
      <w:kern w:val="2"/>
      <w:sz w:val="21"/>
      <w:szCs w:val="24"/>
    </w:rPr>
  </w:style>
  <w:style w:type="character" w:customStyle="1" w:styleId="158">
    <w:name w:val="表格 Char Char Char"/>
    <w:link w:val="159"/>
    <w:qFormat/>
    <w:uiPriority w:val="0"/>
    <w:rPr>
      <w:rFonts w:ascii="Times New Roman" w:hAnsi="Times New Roman" w:eastAsia="宋体" w:cs="Times New Roman"/>
      <w:sz w:val="21"/>
      <w:szCs w:val="24"/>
      <w:lang w:val="en-US" w:eastAsia="zh-CN" w:bidi="ar-SA"/>
    </w:rPr>
  </w:style>
  <w:style w:type="paragraph" w:customStyle="1" w:styleId="159">
    <w:name w:val="表格"/>
    <w:basedOn w:val="63"/>
    <w:next w:val="20"/>
    <w:link w:val="158"/>
    <w:qFormat/>
    <w:uiPriority w:val="0"/>
    <w:pPr>
      <w:adjustRightInd w:val="0"/>
      <w:snapToGrid w:val="0"/>
      <w:spacing w:line="360" w:lineRule="exact"/>
      <w:jc w:val="center"/>
      <w:textAlignment w:val="baseline"/>
    </w:pPr>
    <w:rPr>
      <w:rFonts w:ascii="Times New Roman" w:hAnsi="Times New Roman" w:eastAsia="宋体" w:cs="Times New Roman"/>
      <w:sz w:val="21"/>
      <w:szCs w:val="24"/>
      <w:lang w:val="en-US" w:eastAsia="zh-CN" w:bidi="ar-SA"/>
    </w:rPr>
  </w:style>
  <w:style w:type="character" w:customStyle="1" w:styleId="160">
    <w:name w:val="正文格式 Char Char"/>
    <w:link w:val="161"/>
    <w:qFormat/>
    <w:uiPriority w:val="0"/>
    <w:rPr>
      <w:rFonts w:ascii="宋体" w:hAnsi="宋体" w:eastAsia="宋体" w:cs="Times New Roman"/>
      <w:kern w:val="2"/>
      <w:sz w:val="24"/>
      <w:szCs w:val="24"/>
      <w:lang w:val="en-US" w:eastAsia="zh-CN" w:bidi="ar-SA"/>
    </w:rPr>
  </w:style>
  <w:style w:type="paragraph" w:customStyle="1" w:styleId="161">
    <w:name w:val="正文格式"/>
    <w:basedOn w:val="1"/>
    <w:link w:val="160"/>
    <w:qFormat/>
    <w:uiPriority w:val="0"/>
    <w:pPr>
      <w:spacing w:before="31" w:beforeLines="10" w:after="31" w:afterLines="10" w:line="360" w:lineRule="auto"/>
      <w:ind w:firstLine="482" w:firstLineChars="200"/>
    </w:pPr>
    <w:rPr>
      <w:rFonts w:ascii="宋体" w:hAnsi="宋体" w:eastAsia="宋体" w:cs="Times New Roman"/>
      <w:kern w:val="2"/>
      <w:sz w:val="24"/>
      <w:szCs w:val="24"/>
      <w:lang w:val="en-US" w:eastAsia="zh-CN" w:bidi="ar-SA"/>
    </w:rPr>
  </w:style>
  <w:style w:type="character" w:customStyle="1" w:styleId="162">
    <w:name w:val="无间隔 Char Char"/>
    <w:link w:val="163"/>
    <w:qFormat/>
    <w:uiPriority w:val="0"/>
    <w:rPr>
      <w:rFonts w:ascii="Times New Roman" w:hAnsi="Times New Roman" w:eastAsia="宋体" w:cs="Times New Roman"/>
      <w:b/>
      <w:kern w:val="2"/>
      <w:sz w:val="21"/>
      <w:szCs w:val="22"/>
    </w:rPr>
  </w:style>
  <w:style w:type="paragraph" w:customStyle="1" w:styleId="163">
    <w:name w:val="无间隔"/>
    <w:basedOn w:val="1"/>
    <w:link w:val="162"/>
    <w:qFormat/>
    <w:uiPriority w:val="0"/>
    <w:pPr>
      <w:adjustRightInd w:val="0"/>
      <w:snapToGrid w:val="0"/>
      <w:spacing w:line="360" w:lineRule="auto"/>
      <w:jc w:val="center"/>
    </w:pPr>
    <w:rPr>
      <w:rFonts w:ascii="Times New Roman" w:hAnsi="Times New Roman" w:eastAsia="宋体" w:cs="Times New Roman"/>
      <w:b/>
      <w:kern w:val="2"/>
      <w:sz w:val="21"/>
      <w:szCs w:val="22"/>
    </w:rPr>
  </w:style>
  <w:style w:type="character" w:customStyle="1" w:styleId="164">
    <w:name w:val=" Char Char22"/>
    <w:qFormat/>
    <w:uiPriority w:val="0"/>
    <w:rPr>
      <w:rFonts w:ascii="Times New Roman" w:hAnsi="Times New Roman" w:eastAsia="宋体" w:cs="Times New Roman"/>
      <w:kern w:val="2"/>
      <w:sz w:val="18"/>
      <w:szCs w:val="18"/>
    </w:rPr>
  </w:style>
  <w:style w:type="character" w:customStyle="1" w:styleId="165">
    <w:name w:val="表头 Char Char"/>
    <w:qFormat/>
    <w:uiPriority w:val="0"/>
    <w:rPr>
      <w:rFonts w:ascii="Times New Roman" w:hAnsi="Times New Roman" w:eastAsia="黑体" w:cs="Times New Roman"/>
      <w:spacing w:val="-10"/>
      <w:sz w:val="21"/>
      <w:szCs w:val="11"/>
      <w:lang w:val="en-US" w:eastAsia="zh-CN" w:bidi="ar-SA"/>
    </w:rPr>
  </w:style>
  <w:style w:type="character" w:customStyle="1" w:styleId="166">
    <w:name w:val=" Char Char5"/>
    <w:qFormat/>
    <w:uiPriority w:val="0"/>
    <w:rPr>
      <w:rFonts w:ascii="Times New Roman" w:hAnsi="Times New Roman" w:eastAsia="宋体" w:cs="Times New Roman"/>
      <w:kern w:val="2"/>
      <w:sz w:val="18"/>
      <w:szCs w:val="18"/>
    </w:rPr>
  </w:style>
  <w:style w:type="character" w:customStyle="1" w:styleId="167">
    <w:name w:val="disabled"/>
    <w:basedOn w:val="50"/>
    <w:qFormat/>
    <w:uiPriority w:val="0"/>
    <w:rPr>
      <w:rFonts w:ascii="Times New Roman" w:hAnsi="Times New Roman" w:eastAsia="宋体" w:cs="Times New Roman"/>
      <w:vanish/>
      <w:sz w:val="21"/>
    </w:rPr>
  </w:style>
  <w:style w:type="character" w:customStyle="1" w:styleId="168">
    <w:name w:val="znspantitle"/>
    <w:basedOn w:val="50"/>
    <w:qFormat/>
    <w:uiPriority w:val="0"/>
    <w:rPr>
      <w:rFonts w:ascii="Times New Roman" w:hAnsi="Times New Roman" w:eastAsia="宋体" w:cs="Times New Roman"/>
      <w:b/>
      <w:color w:val="333333"/>
      <w:sz w:val="21"/>
    </w:rPr>
  </w:style>
  <w:style w:type="paragraph" w:customStyle="1" w:styleId="169">
    <w:name w:val="正文_5"/>
    <w:qFormat/>
    <w:uiPriority w:val="0"/>
    <w:pPr>
      <w:widowControl w:val="0"/>
      <w:jc w:val="both"/>
    </w:pPr>
    <w:rPr>
      <w:rFonts w:ascii="Calibri" w:hAnsi="Calibri" w:eastAsia="宋体" w:cs="Times New Roman"/>
      <w:kern w:val="2"/>
      <w:sz w:val="21"/>
      <w:lang w:val="en-US" w:eastAsia="zh-CN" w:bidi="ar-SA"/>
    </w:rPr>
  </w:style>
  <w:style w:type="paragraph" w:customStyle="1" w:styleId="170">
    <w:name w:val="前言、引言标题"/>
    <w:next w:val="1"/>
    <w:qFormat/>
    <w:uiPriority w:val="0"/>
    <w:pPr>
      <w:numPr>
        <w:ilvl w:val="0"/>
        <w:numId w:val="1"/>
      </w:numPr>
      <w:shd w:val="clear" w:color="FFFFFF" w:fill="FFFFFF"/>
      <w:tabs>
        <w:tab w:val="left" w:pos="903"/>
      </w:tabs>
      <w:spacing w:before="640" w:beforeLines="0" w:after="560" w:afterLines="0"/>
      <w:ind w:left="903" w:hanging="315"/>
      <w:jc w:val="center"/>
      <w:outlineLvl w:val="0"/>
    </w:pPr>
    <w:rPr>
      <w:rFonts w:ascii="黑体" w:hAnsi="Times New Roman" w:eastAsia="黑体" w:cs="Times New Roman"/>
      <w:sz w:val="32"/>
      <w:lang w:val="en-US" w:eastAsia="zh-CN" w:bidi="ar-SA"/>
    </w:rPr>
  </w:style>
  <w:style w:type="paragraph" w:customStyle="1" w:styleId="171">
    <w:name w:val="Char Char Char Char1"/>
    <w:basedOn w:val="1"/>
    <w:qFormat/>
    <w:uiPriority w:val="0"/>
    <w:pPr>
      <w:snapToGrid w:val="0"/>
      <w:spacing w:line="360" w:lineRule="auto"/>
      <w:ind w:firstLine="529" w:firstLineChars="200"/>
    </w:pPr>
    <w:rPr>
      <w:rFonts w:ascii="宋体" w:hAnsi="宋体" w:eastAsia="宋体" w:cs="宋体"/>
      <w:b/>
      <w:bCs/>
      <w:szCs w:val="21"/>
    </w:rPr>
  </w:style>
  <w:style w:type="paragraph" w:customStyle="1" w:styleId="172">
    <w:name w:val="表中文字2015"/>
    <w:basedOn w:val="1"/>
    <w:next w:val="1"/>
    <w:qFormat/>
    <w:uiPriority w:val="39"/>
    <w:pPr>
      <w:spacing w:line="0" w:lineRule="atLeast"/>
      <w:jc w:val="center"/>
    </w:pPr>
    <w:rPr>
      <w:rFonts w:ascii="Times New Roman" w:hAnsi="Times New Roman" w:eastAsia="宋体" w:cs="Times New Roman"/>
      <w:snapToGrid w:val="0"/>
      <w:sz w:val="21"/>
    </w:rPr>
  </w:style>
  <w:style w:type="paragraph" w:customStyle="1" w:styleId="173">
    <w:name w:val="3标题"/>
    <w:basedOn w:val="6"/>
    <w:next w:val="1"/>
    <w:qFormat/>
    <w:uiPriority w:val="0"/>
    <w:pPr>
      <w:autoSpaceDE w:val="0"/>
      <w:autoSpaceDN w:val="0"/>
      <w:spacing w:before="120" w:after="120" w:line="240" w:lineRule="auto"/>
      <w:ind w:firstLine="0" w:firstLineChars="0"/>
    </w:pPr>
    <w:rPr>
      <w:rFonts w:ascii="Cambria" w:hAnsi="Cambria" w:eastAsia="宋体" w:cs="Times New Roman"/>
      <w:sz w:val="24"/>
      <w:szCs w:val="20"/>
    </w:rPr>
  </w:style>
  <w:style w:type="paragraph" w:customStyle="1" w:styleId="174">
    <w:name w:val="列出段落1"/>
    <w:basedOn w:val="1"/>
    <w:qFormat/>
    <w:uiPriority w:val="34"/>
    <w:pPr>
      <w:ind w:firstLine="420" w:firstLineChars="200"/>
    </w:pPr>
    <w:rPr>
      <w:rFonts w:ascii="Times New Roman" w:hAnsi="Times New Roman" w:eastAsia="宋体" w:cs="Times New Roman"/>
    </w:rPr>
  </w:style>
  <w:style w:type="paragraph" w:customStyle="1" w:styleId="175">
    <w:name w:val="2 Char Char Char Char"/>
    <w:basedOn w:val="1"/>
    <w:qFormat/>
    <w:uiPriority w:val="0"/>
    <w:pPr>
      <w:snapToGrid w:val="0"/>
      <w:spacing w:line="360" w:lineRule="auto"/>
      <w:ind w:firstLine="529" w:firstLineChars="200"/>
    </w:pPr>
    <w:rPr>
      <w:rFonts w:ascii="宋体" w:hAnsi="宋体" w:eastAsia="宋体" w:cs="Times New Roman"/>
      <w:b/>
      <w:szCs w:val="24"/>
    </w:rPr>
  </w:style>
  <w:style w:type="paragraph" w:customStyle="1" w:styleId="176">
    <w:name w:val="默认段落字体 Para Char"/>
    <w:basedOn w:val="1"/>
    <w:qFormat/>
    <w:uiPriority w:val="0"/>
    <w:rPr>
      <w:rFonts w:ascii="Times New Roman" w:hAnsi="Times New Roman" w:eastAsia="宋体" w:cs="Times New Roman"/>
      <w:sz w:val="24"/>
      <w:szCs w:val="24"/>
    </w:rPr>
  </w:style>
  <w:style w:type="paragraph" w:customStyle="1" w:styleId="177">
    <w:name w:val="小三"/>
    <w:basedOn w:val="1"/>
    <w:qFormat/>
    <w:uiPriority w:val="0"/>
    <w:pPr>
      <w:spacing w:line="360" w:lineRule="auto"/>
      <w:ind w:firstLine="480" w:firstLineChars="200"/>
    </w:pPr>
    <w:rPr>
      <w:rFonts w:ascii="宋体" w:hAnsi="宋体" w:eastAsia="宋体" w:cs="Times New Roman"/>
      <w:sz w:val="24"/>
      <w:szCs w:val="24"/>
    </w:rPr>
  </w:style>
  <w:style w:type="paragraph" w:customStyle="1" w:styleId="178">
    <w:name w:val="正文标准样式"/>
    <w:basedOn w:val="1"/>
    <w:qFormat/>
    <w:uiPriority w:val="0"/>
    <w:pPr>
      <w:adjustRightInd w:val="0"/>
      <w:spacing w:line="300" w:lineRule="auto"/>
      <w:ind w:firstLine="482"/>
      <w:textAlignment w:val="baseline"/>
    </w:pPr>
    <w:rPr>
      <w:rFonts w:ascii="Times New Roman" w:hAnsi="Times New Roman" w:eastAsia="宋体" w:cs="Times New Roman"/>
      <w:kern w:val="0"/>
      <w:sz w:val="24"/>
      <w:szCs w:val="20"/>
    </w:rPr>
  </w:style>
  <w:style w:type="paragraph" w:customStyle="1" w:styleId="179">
    <w:name w:val="reader-word-layer reader-word-s1-17"/>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180">
    <w:name w:val="Char Char Char Char Char Char Char"/>
    <w:basedOn w:val="1"/>
    <w:qFormat/>
    <w:uiPriority w:val="0"/>
    <w:pPr>
      <w:widowControl/>
      <w:spacing w:line="560" w:lineRule="exact"/>
      <w:ind w:firstLine="200" w:firstLineChars="200"/>
      <w:jc w:val="left"/>
    </w:pPr>
    <w:rPr>
      <w:rFonts w:ascii="Verdana" w:hAnsi="Verdana" w:eastAsia="宋体" w:cs="Times New Roman"/>
      <w:kern w:val="0"/>
      <w:sz w:val="20"/>
      <w:szCs w:val="20"/>
      <w:lang w:eastAsia="en-US"/>
    </w:rPr>
  </w:style>
  <w:style w:type="paragraph" w:customStyle="1" w:styleId="181">
    <w:name w:val="表格中"/>
    <w:basedOn w:val="1"/>
    <w:qFormat/>
    <w:uiPriority w:val="0"/>
    <w:pPr>
      <w:adjustRightInd w:val="0"/>
      <w:snapToGrid w:val="0"/>
      <w:spacing w:line="0" w:lineRule="atLeast"/>
      <w:ind w:right="358" w:rightChars="136"/>
      <w:jc w:val="center"/>
    </w:pPr>
    <w:rPr>
      <w:rFonts w:ascii="Times New Roman" w:hAnsi="Times New Roman" w:eastAsia="宋体" w:cs="Times New Roman"/>
      <w:spacing w:val="0"/>
      <w:sz w:val="18"/>
      <w:szCs w:val="24"/>
    </w:rPr>
  </w:style>
  <w:style w:type="paragraph" w:customStyle="1" w:styleId="182">
    <w:name w:val="样式11"/>
    <w:basedOn w:val="1"/>
    <w:qFormat/>
    <w:uiPriority w:val="0"/>
    <w:pPr>
      <w:spacing w:line="500" w:lineRule="exact"/>
    </w:pPr>
    <w:rPr>
      <w:rFonts w:ascii="黑体" w:hAnsi="Times New Roman" w:eastAsia="黑体" w:cs="Times New Roman"/>
      <w:b/>
      <w:bCs/>
      <w:sz w:val="28"/>
      <w:szCs w:val="24"/>
    </w:rPr>
  </w:style>
  <w:style w:type="paragraph" w:customStyle="1" w:styleId="183">
    <w:name w:val="正文_2"/>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184">
    <w:name w:val=" Char"/>
    <w:basedOn w:val="1"/>
    <w:qFormat/>
    <w:uiPriority w:val="0"/>
    <w:pPr>
      <w:spacing w:line="560" w:lineRule="exact"/>
      <w:ind w:firstLine="200" w:firstLineChars="200"/>
    </w:pPr>
    <w:rPr>
      <w:rFonts w:ascii="宋体" w:hAnsi="宋体" w:eastAsia="宋体" w:cs="宋体"/>
      <w:sz w:val="28"/>
      <w:szCs w:val="28"/>
    </w:rPr>
  </w:style>
  <w:style w:type="paragraph" w:customStyle="1" w:styleId="185">
    <w:name w:val="正文正"/>
    <w:basedOn w:val="1"/>
    <w:qFormat/>
    <w:uiPriority w:val="0"/>
    <w:pPr>
      <w:ind w:firstLine="567"/>
    </w:pPr>
    <w:rPr>
      <w:rFonts w:ascii="宋体" w:hAnsi="Times New Roman" w:eastAsia="宋体" w:cs="Times New Roman"/>
      <w:bCs/>
      <w:sz w:val="24"/>
    </w:rPr>
  </w:style>
  <w:style w:type="paragraph" w:customStyle="1" w:styleId="186">
    <w:name w:val="(.a表格内容"/>
    <w:basedOn w:val="65"/>
    <w:qFormat/>
    <w:uiPriority w:val="0"/>
    <w:pPr>
      <w:spacing w:line="0" w:lineRule="atLeast"/>
      <w:ind w:firstLine="0" w:firstLineChars="0"/>
      <w:jc w:val="center"/>
    </w:pPr>
    <w:rPr>
      <w:sz w:val="21"/>
    </w:rPr>
  </w:style>
  <w:style w:type="paragraph" w:customStyle="1" w:styleId="187">
    <w:name w:val="wtext"/>
    <w:basedOn w:val="1"/>
    <w:qFormat/>
    <w:uiPriority w:val="0"/>
    <w:pPr>
      <w:widowControl/>
      <w:spacing w:before="100" w:beforeLines="0" w:beforeAutospacing="1" w:after="100" w:afterLines="0" w:afterAutospacing="1"/>
      <w:jc w:val="left"/>
    </w:pPr>
    <w:rPr>
      <w:rFonts w:ascii="宋体" w:hAnsi="宋体" w:eastAsia="宋体" w:cs="Times New Roman"/>
      <w:color w:val="000000"/>
      <w:kern w:val="0"/>
      <w:sz w:val="24"/>
      <w:szCs w:val="24"/>
    </w:rPr>
  </w:style>
  <w:style w:type="paragraph" w:customStyle="1" w:styleId="188">
    <w:name w:val="正文内容"/>
    <w:basedOn w:val="1"/>
    <w:qFormat/>
    <w:uiPriority w:val="0"/>
    <w:pPr>
      <w:spacing w:line="360" w:lineRule="auto"/>
      <w:ind w:firstLine="567"/>
    </w:pPr>
    <w:rPr>
      <w:rFonts w:ascii="宋体" w:hAnsi="Times New Roman" w:eastAsia="宋体" w:cs="Times New Roman"/>
      <w:sz w:val="24"/>
      <w:szCs w:val="24"/>
    </w:rPr>
  </w:style>
  <w:style w:type="paragraph" w:customStyle="1" w:styleId="189">
    <w:name w:val="图片1"/>
    <w:basedOn w:val="1"/>
    <w:qFormat/>
    <w:uiPriority w:val="0"/>
    <w:pPr>
      <w:snapToGrid w:val="0"/>
      <w:ind w:firstLine="0" w:firstLineChars="0"/>
      <w:jc w:val="center"/>
    </w:pPr>
    <w:rPr>
      <w:rFonts w:ascii="Times New Roman" w:hAnsi="Times New Roman" w:eastAsia="宋体" w:cs="Times New Roman"/>
      <w:b/>
      <w:kern w:val="0"/>
    </w:rPr>
  </w:style>
  <w:style w:type="paragraph" w:customStyle="1" w:styleId="190">
    <w:name w:val="reader-word-layer reader-word-s1-12"/>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191">
    <w:name w:val="样式10"/>
    <w:basedOn w:val="1"/>
    <w:qFormat/>
    <w:uiPriority w:val="0"/>
    <w:pPr>
      <w:autoSpaceDE w:val="0"/>
      <w:autoSpaceDN w:val="0"/>
      <w:adjustRightInd w:val="0"/>
      <w:spacing w:line="480" w:lineRule="atLeast"/>
      <w:ind w:firstLine="480" w:firstLineChars="200"/>
    </w:pPr>
    <w:rPr>
      <w:rFonts w:ascii="Times New Roman" w:hAnsi="Times New Roman" w:eastAsia="宋体" w:cs="Times New Roman"/>
      <w:b/>
      <w:kern w:val="0"/>
      <w:sz w:val="24"/>
      <w:szCs w:val="28"/>
    </w:rPr>
  </w:style>
  <w:style w:type="paragraph" w:customStyle="1" w:styleId="192">
    <w:name w:val=" Char Char1 Char Char Char Char Char Char Char Char Char Char Char Char Char Char Char Char Char Char"/>
    <w:basedOn w:val="1"/>
    <w:qFormat/>
    <w:uiPriority w:val="0"/>
    <w:pPr>
      <w:spacing w:line="360" w:lineRule="auto"/>
      <w:ind w:firstLine="200" w:firstLineChars="200"/>
    </w:pPr>
    <w:rPr>
      <w:rFonts w:ascii="宋体" w:hAnsi="宋体" w:eastAsia="宋体" w:cs="宋体"/>
      <w:sz w:val="24"/>
    </w:rPr>
  </w:style>
  <w:style w:type="paragraph" w:customStyle="1" w:styleId="193">
    <w:name w:val="X-正文"/>
    <w:basedOn w:val="1"/>
    <w:qFormat/>
    <w:uiPriority w:val="0"/>
    <w:pPr>
      <w:adjustRightInd w:val="0"/>
      <w:snapToGrid w:val="0"/>
      <w:spacing w:line="360" w:lineRule="auto"/>
      <w:ind w:firstLine="200" w:firstLineChars="200"/>
      <w:jc w:val="left"/>
    </w:pPr>
    <w:rPr>
      <w:rFonts w:ascii="宋体" w:hAnsi="宋体" w:eastAsia="楷体_GB2312" w:cs="Times New Roman"/>
      <w:sz w:val="24"/>
      <w:szCs w:val="24"/>
    </w:rPr>
  </w:style>
  <w:style w:type="paragraph" w:customStyle="1" w:styleId="194">
    <w:name w:val="样式6"/>
    <w:basedOn w:val="1"/>
    <w:qFormat/>
    <w:uiPriority w:val="0"/>
    <w:pPr>
      <w:snapToGrid w:val="0"/>
      <w:jc w:val="center"/>
    </w:pPr>
    <w:rPr>
      <w:rFonts w:ascii="Arial" w:hAnsi="Arial" w:eastAsia="宋体" w:cs="Arial"/>
      <w:sz w:val="24"/>
      <w:szCs w:val="24"/>
    </w:rPr>
  </w:style>
  <w:style w:type="paragraph" w:customStyle="1" w:styleId="195">
    <w:name w:val="表格字体"/>
    <w:basedOn w:val="11"/>
    <w:qFormat/>
    <w:uiPriority w:val="0"/>
    <w:pPr>
      <w:adjustRightInd w:val="0"/>
      <w:spacing w:line="300" w:lineRule="exact"/>
      <w:ind w:firstLine="0" w:firstLineChars="0"/>
      <w:jc w:val="center"/>
    </w:pPr>
    <w:rPr>
      <w:rFonts w:ascii="Times New Roman" w:hAnsi="Times New Roman" w:cs="Times New Roman"/>
      <w:color w:val="000000"/>
      <w:sz w:val="18"/>
    </w:rPr>
  </w:style>
  <w:style w:type="paragraph" w:customStyle="1" w:styleId="196">
    <w:name w:val="reader-word-layer reader-word-s1-11"/>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197">
    <w:name w:val="图文框"/>
    <w:basedOn w:val="1"/>
    <w:qFormat/>
    <w:uiPriority w:val="0"/>
    <w:pPr>
      <w:snapToGrid w:val="0"/>
      <w:spacing w:line="320" w:lineRule="atLeast"/>
      <w:jc w:val="center"/>
    </w:pPr>
    <w:rPr>
      <w:rFonts w:ascii="Times New Roman" w:hAnsi="Times New Roman" w:eastAsia="宋体" w:cs="Times New Roman"/>
      <w:szCs w:val="20"/>
    </w:rPr>
  </w:style>
  <w:style w:type="paragraph" w:customStyle="1" w:styleId="198">
    <w:name w:val=" Char1 Char Char Char1 Char Char Char"/>
    <w:basedOn w:val="1"/>
    <w:qFormat/>
    <w:uiPriority w:val="0"/>
    <w:pPr>
      <w:spacing w:line="360" w:lineRule="auto"/>
      <w:ind w:firstLine="200" w:firstLineChars="200"/>
    </w:pPr>
    <w:rPr>
      <w:rFonts w:ascii="宋体" w:hAnsi="宋体" w:eastAsia="宋体" w:cs="宋体"/>
      <w:sz w:val="24"/>
      <w:szCs w:val="24"/>
    </w:rPr>
  </w:style>
  <w:style w:type="paragraph" w:customStyle="1" w:styleId="199">
    <w:name w:val="reader-word-layer reader-word-s1-13"/>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200">
    <w:name w:val="char"/>
    <w:basedOn w:val="1"/>
    <w:qFormat/>
    <w:uiPriority w:val="0"/>
    <w:pPr>
      <w:widowControl/>
      <w:spacing w:after="160" w:afterLines="0" w:line="240" w:lineRule="exact"/>
      <w:jc w:val="left"/>
    </w:pPr>
    <w:rPr>
      <w:rFonts w:ascii="Verdana" w:hAnsi="Verdana" w:eastAsia="仿宋_GB2312" w:cs="”“Times New Roman”“"/>
      <w:kern w:val="0"/>
      <w:sz w:val="24"/>
      <w:szCs w:val="20"/>
      <w:lang w:eastAsia="en-US"/>
    </w:rPr>
  </w:style>
  <w:style w:type="paragraph" w:customStyle="1" w:styleId="201">
    <w:name w:val="样式 样式 正文（赵志杰） + 首行缩进:  0 字符 + 行距: 固定值 24 磅"/>
    <w:basedOn w:val="1"/>
    <w:qFormat/>
    <w:uiPriority w:val="0"/>
    <w:pPr>
      <w:spacing w:line="480" w:lineRule="exact"/>
      <w:ind w:firstLine="200" w:firstLineChars="200"/>
    </w:pPr>
    <w:rPr>
      <w:rFonts w:ascii="Times New Roman" w:hAnsi="Times New Roman" w:eastAsia="宋体" w:cs="宋体"/>
      <w:szCs w:val="20"/>
    </w:rPr>
  </w:style>
  <w:style w:type="paragraph" w:customStyle="1" w:styleId="202">
    <w:name w:val="0正文"/>
    <w:qFormat/>
    <w:uiPriority w:val="0"/>
    <w:pPr>
      <w:widowControl w:val="0"/>
      <w:spacing w:line="360" w:lineRule="auto"/>
      <w:ind w:firstLine="720" w:firstLineChars="200"/>
    </w:pPr>
    <w:rPr>
      <w:rFonts w:ascii="Calibri" w:hAnsi="Calibri" w:eastAsia="宋体" w:cs="Times New Roman"/>
      <w:sz w:val="24"/>
      <w:szCs w:val="22"/>
      <w:lang w:val="en-US" w:eastAsia="zh-CN" w:bidi="ar-SA"/>
    </w:rPr>
  </w:style>
  <w:style w:type="paragraph" w:customStyle="1" w:styleId="203">
    <w:name w:val="正文B"/>
    <w:basedOn w:val="1"/>
    <w:qFormat/>
    <w:uiPriority w:val="0"/>
    <w:pPr>
      <w:spacing w:line="540" w:lineRule="exact"/>
      <w:ind w:firstLine="480" w:firstLineChars="200"/>
    </w:pPr>
    <w:rPr>
      <w:rFonts w:ascii="Times New Roman" w:hAnsi="Times New Roman" w:eastAsia="宋体" w:cs="宋体"/>
      <w:sz w:val="24"/>
    </w:rPr>
  </w:style>
  <w:style w:type="paragraph" w:customStyle="1" w:styleId="204">
    <w:name w:val="样式 表格图文 + 五号 行距: 固定值 18 磅"/>
    <w:basedOn w:val="159"/>
    <w:qFormat/>
    <w:uiPriority w:val="0"/>
    <w:pPr>
      <w:spacing w:line="360" w:lineRule="exact"/>
    </w:pPr>
    <w:rPr>
      <w:rFonts w:cs="宋体"/>
      <w:sz w:val="21"/>
    </w:rPr>
  </w:style>
  <w:style w:type="paragraph" w:customStyle="1" w:styleId="205">
    <w:name w:val="默认段落字体 Para Char Char Char Char"/>
    <w:basedOn w:val="1"/>
    <w:qFormat/>
    <w:uiPriority w:val="0"/>
    <w:rPr>
      <w:rFonts w:ascii="Times New Roman" w:hAnsi="Times New Roman" w:eastAsia="宋体" w:cs="Times New Roman"/>
    </w:rPr>
  </w:style>
  <w:style w:type="paragraph" w:customStyle="1" w:styleId="206">
    <w:name w:val="二级条标题"/>
    <w:basedOn w:val="207"/>
    <w:next w:val="1"/>
    <w:qFormat/>
    <w:uiPriority w:val="0"/>
    <w:pPr>
      <w:numPr>
        <w:ilvl w:val="3"/>
        <w:numId w:val="1"/>
      </w:numPr>
      <w:tabs>
        <w:tab w:val="left" w:pos="360"/>
        <w:tab w:val="left" w:pos="903"/>
      </w:tabs>
      <w:outlineLvl w:val="3"/>
    </w:pPr>
  </w:style>
  <w:style w:type="paragraph" w:customStyle="1" w:styleId="207">
    <w:name w:val="一级条标题"/>
    <w:basedOn w:val="208"/>
    <w:next w:val="1"/>
    <w:qFormat/>
    <w:uiPriority w:val="0"/>
    <w:pPr>
      <w:numPr>
        <w:ilvl w:val="2"/>
        <w:numId w:val="1"/>
      </w:numPr>
      <w:tabs>
        <w:tab w:val="left" w:pos="360"/>
        <w:tab w:val="left" w:pos="903"/>
      </w:tabs>
      <w:spacing w:before="0" w:beforeLines="0" w:after="0" w:afterLines="0"/>
      <w:outlineLvl w:val="2"/>
    </w:pPr>
  </w:style>
  <w:style w:type="paragraph" w:customStyle="1" w:styleId="208">
    <w:name w:val="章标题"/>
    <w:next w:val="1"/>
    <w:qFormat/>
    <w:uiPriority w:val="0"/>
    <w:pPr>
      <w:numPr>
        <w:ilvl w:val="1"/>
        <w:numId w:val="1"/>
      </w:numPr>
      <w:tabs>
        <w:tab w:val="left" w:pos="903"/>
      </w:tabs>
      <w:spacing w:before="50" w:beforeLines="0" w:after="50" w:afterLines="0"/>
      <w:ind w:left="903" w:hanging="315"/>
      <w:jc w:val="both"/>
      <w:outlineLvl w:val="1"/>
    </w:pPr>
    <w:rPr>
      <w:rFonts w:ascii="黑体" w:hAnsi="Times New Roman" w:eastAsia="黑体" w:cs="Times New Roman"/>
      <w:sz w:val="21"/>
      <w:lang w:val="en-US" w:eastAsia="zh-CN" w:bidi="ar-SA"/>
    </w:rPr>
  </w:style>
  <w:style w:type="paragraph" w:customStyle="1" w:styleId="209">
    <w:name w:val="正文A"/>
    <w:basedOn w:val="1"/>
    <w:qFormat/>
    <w:uiPriority w:val="0"/>
    <w:pPr>
      <w:spacing w:line="540" w:lineRule="exact"/>
    </w:pPr>
    <w:rPr>
      <w:rFonts w:ascii="Times New Roman" w:hAnsi="Times New Roman" w:eastAsia="宋体" w:cs="宋体"/>
      <w:sz w:val="24"/>
    </w:rPr>
  </w:style>
  <w:style w:type="paragraph" w:customStyle="1" w:styleId="210">
    <w:name w:val="p21"/>
    <w:basedOn w:val="1"/>
    <w:qFormat/>
    <w:uiPriority w:val="0"/>
    <w:pPr>
      <w:widowControl/>
      <w:spacing w:before="31" w:beforeLines="10" w:after="31" w:afterLines="10" w:line="360" w:lineRule="auto"/>
      <w:ind w:firstLine="420"/>
    </w:pPr>
    <w:rPr>
      <w:rFonts w:ascii="Times New Roman" w:hAnsi="Times New Roman" w:eastAsia="宋体" w:cs="Times New Roman"/>
      <w:color w:val="000000"/>
      <w:kern w:val="0"/>
      <w:sz w:val="24"/>
    </w:rPr>
  </w:style>
  <w:style w:type="paragraph" w:customStyle="1" w:styleId="211">
    <w:name w:val="默认段落字体 Para Char Char Char Char Char Char Char Char Char Char"/>
    <w:basedOn w:val="6"/>
    <w:qFormat/>
    <w:uiPriority w:val="0"/>
    <w:pPr>
      <w:tabs>
        <w:tab w:val="left" w:pos="360"/>
        <w:tab w:val="left" w:pos="900"/>
      </w:tabs>
      <w:snapToGrid w:val="0"/>
      <w:spacing w:before="120" w:beforeLines="0" w:after="120" w:afterLines="0" w:line="360" w:lineRule="auto"/>
      <w:ind w:left="542" w:leftChars="-12" w:firstLine="200" w:firstLineChars="200"/>
      <w:jc w:val="left"/>
    </w:pPr>
    <w:rPr>
      <w:rFonts w:ascii="Times New Roman" w:hAnsi="Times New Roman" w:eastAsia="黑体" w:cs="Times New Roman"/>
      <w:b w:val="0"/>
      <w:bCs w:val="0"/>
      <w:snapToGrid w:val="0"/>
      <w:sz w:val="24"/>
      <w:szCs w:val="24"/>
    </w:rPr>
  </w:style>
  <w:style w:type="paragraph" w:customStyle="1" w:styleId="212">
    <w:name w:val="正文_4"/>
    <w:qFormat/>
    <w:uiPriority w:val="0"/>
    <w:pPr>
      <w:widowControl w:val="0"/>
      <w:jc w:val="both"/>
    </w:pPr>
    <w:rPr>
      <w:rFonts w:ascii="Calibri" w:hAnsi="Calibri" w:eastAsia="宋体" w:cs="Times New Roman"/>
      <w:kern w:val="2"/>
      <w:sz w:val="21"/>
      <w:lang w:val="en-US" w:eastAsia="zh-CN" w:bidi="ar-SA"/>
    </w:rPr>
  </w:style>
  <w:style w:type="paragraph" w:customStyle="1" w:styleId="213">
    <w:name w:val="报告书"/>
    <w:basedOn w:val="1"/>
    <w:qFormat/>
    <w:uiPriority w:val="0"/>
    <w:pPr>
      <w:spacing w:line="360" w:lineRule="auto"/>
      <w:ind w:firstLine="482"/>
    </w:pPr>
    <w:rPr>
      <w:rFonts w:ascii="Times New Roman" w:hAnsi="Times New Roman" w:eastAsia="宋体" w:cs="Times New Roman"/>
      <w:sz w:val="24"/>
      <w:szCs w:val="24"/>
    </w:rPr>
  </w:style>
  <w:style w:type="paragraph" w:customStyle="1" w:styleId="214">
    <w:name w:val="样式 首行缩进:  2 字符1"/>
    <w:basedOn w:val="1"/>
    <w:qFormat/>
    <w:uiPriority w:val="0"/>
    <w:pPr>
      <w:spacing w:line="360" w:lineRule="exact"/>
      <w:ind w:left="-90" w:leftChars="-43"/>
      <w:jc w:val="center"/>
    </w:pPr>
    <w:rPr>
      <w:rFonts w:ascii="Times New Roman" w:hAnsi="Times New Roman" w:eastAsia="宋体" w:cs="宋体"/>
      <w:kern w:val="0"/>
      <w:szCs w:val="21"/>
    </w:rPr>
  </w:style>
  <w:style w:type="paragraph" w:customStyle="1" w:styleId="215">
    <w:name w:val="五级条标题"/>
    <w:basedOn w:val="216"/>
    <w:next w:val="1"/>
    <w:qFormat/>
    <w:uiPriority w:val="0"/>
    <w:pPr>
      <w:numPr>
        <w:ilvl w:val="6"/>
        <w:numId w:val="1"/>
      </w:numPr>
      <w:tabs>
        <w:tab w:val="left" w:pos="360"/>
        <w:tab w:val="left" w:pos="903"/>
      </w:tabs>
      <w:outlineLvl w:val="6"/>
    </w:pPr>
  </w:style>
  <w:style w:type="paragraph" w:customStyle="1" w:styleId="216">
    <w:name w:val="四级条标题"/>
    <w:basedOn w:val="217"/>
    <w:next w:val="1"/>
    <w:qFormat/>
    <w:uiPriority w:val="0"/>
    <w:pPr>
      <w:numPr>
        <w:ilvl w:val="5"/>
        <w:numId w:val="1"/>
      </w:numPr>
      <w:tabs>
        <w:tab w:val="left" w:pos="360"/>
        <w:tab w:val="left" w:pos="903"/>
      </w:tabs>
      <w:outlineLvl w:val="5"/>
    </w:pPr>
  </w:style>
  <w:style w:type="paragraph" w:customStyle="1" w:styleId="217">
    <w:name w:val="三级条标题"/>
    <w:basedOn w:val="206"/>
    <w:next w:val="1"/>
    <w:qFormat/>
    <w:uiPriority w:val="0"/>
    <w:pPr>
      <w:numPr>
        <w:ilvl w:val="4"/>
        <w:numId w:val="1"/>
      </w:numPr>
      <w:outlineLvl w:val="4"/>
    </w:pPr>
  </w:style>
  <w:style w:type="paragraph" w:customStyle="1" w:styleId="218">
    <w:name w:val="reader-word-layer reader-word-s2-5"/>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219">
    <w:name w:val="表文"/>
    <w:basedOn w:val="1"/>
    <w:qFormat/>
    <w:uiPriority w:val="0"/>
    <w:pPr>
      <w:tabs>
        <w:tab w:val="left" w:pos="1021"/>
      </w:tabs>
      <w:spacing w:line="300" w:lineRule="auto"/>
      <w:jc w:val="center"/>
    </w:pPr>
    <w:rPr>
      <w:rFonts w:ascii="Times New Roman" w:hAnsi="Times New Roman" w:eastAsia="宋体" w:cs="Times New Roman"/>
      <w:kern w:val="0"/>
      <w:position w:val="-24"/>
      <w:sz w:val="24"/>
      <w:szCs w:val="21"/>
    </w:rPr>
  </w:style>
  <w:style w:type="paragraph" w:customStyle="1" w:styleId="220">
    <w:name w:val=" Char2"/>
    <w:basedOn w:val="1"/>
    <w:qFormat/>
    <w:uiPriority w:val="0"/>
    <w:rPr>
      <w:rFonts w:ascii="宋体" w:hAnsi="宋体" w:eastAsia="宋体" w:cs="Courier New"/>
      <w:sz w:val="32"/>
      <w:szCs w:val="32"/>
    </w:rPr>
  </w:style>
  <w:style w:type="paragraph" w:customStyle="1" w:styleId="221">
    <w:name w:val="p0"/>
    <w:basedOn w:val="1"/>
    <w:qFormat/>
    <w:uiPriority w:val="0"/>
    <w:pPr>
      <w:widowControl/>
    </w:pPr>
    <w:rPr>
      <w:rFonts w:ascii="Times New Roman" w:hAnsi="Times New Roman" w:eastAsia="宋体" w:cs="Times New Roman"/>
      <w:kern w:val="0"/>
      <w:szCs w:val="21"/>
    </w:rPr>
  </w:style>
  <w:style w:type="paragraph" w:customStyle="1" w:styleId="222">
    <w:name w:val="(1)"/>
    <w:basedOn w:val="1"/>
    <w:qFormat/>
    <w:uiPriority w:val="0"/>
    <w:rPr>
      <w:rFonts w:ascii="Times New Roman" w:hAnsi="Times New Roman" w:eastAsia="宋体" w:cs="Times New Roman"/>
      <w:sz w:val="24"/>
    </w:rPr>
  </w:style>
  <w:style w:type="paragraph" w:customStyle="1" w:styleId="223">
    <w:name w:val="aaa正文"/>
    <w:basedOn w:val="1"/>
    <w:qFormat/>
    <w:uiPriority w:val="0"/>
    <w:pPr>
      <w:ind w:firstLine="200" w:firstLineChars="200"/>
    </w:pPr>
    <w:rPr>
      <w:rFonts w:ascii="Times New Roman" w:hAnsi="Times New Roman" w:eastAsia="宋体" w:cs="Times New Roman"/>
    </w:rPr>
  </w:style>
  <w:style w:type="paragraph" w:customStyle="1" w:styleId="224">
    <w:name w:val="正文_1"/>
    <w:qFormat/>
    <w:uiPriority w:val="0"/>
    <w:pPr>
      <w:widowControl w:val="0"/>
      <w:jc w:val="both"/>
    </w:pPr>
    <w:rPr>
      <w:rFonts w:ascii="Calibri" w:hAnsi="Calibri" w:eastAsia="宋体" w:cs="Times New Roman"/>
      <w:kern w:val="2"/>
      <w:sz w:val="21"/>
      <w:lang w:val="en-US" w:eastAsia="zh-CN" w:bidi="ar-SA"/>
    </w:rPr>
  </w:style>
  <w:style w:type="paragraph" w:customStyle="1" w:styleId="225">
    <w:name w:val="表标题"/>
    <w:basedOn w:val="1"/>
    <w:qFormat/>
    <w:uiPriority w:val="0"/>
    <w:pPr>
      <w:adjustRightInd w:val="0"/>
      <w:snapToGrid w:val="0"/>
      <w:spacing w:before="40" w:beforeLines="0" w:after="40" w:afterLines="0" w:line="360" w:lineRule="auto"/>
      <w:jc w:val="center"/>
    </w:pPr>
    <w:rPr>
      <w:rFonts w:ascii="Times New Roman" w:hAnsi="Times New Roman" w:eastAsia="宋体" w:cs="Times New Roman"/>
      <w:b/>
      <w:snapToGrid w:val="0"/>
      <w:kern w:val="24"/>
      <w:sz w:val="24"/>
    </w:rPr>
  </w:style>
  <w:style w:type="paragraph" w:customStyle="1" w:styleId="226">
    <w:name w:val="reader-word-layer reader-word-s1-14"/>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227">
    <w:name w:val="reader-word-layer reader-word-s1-18"/>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228">
    <w:name w:val="Char Char Char Char Char Char Char Char Char Char Char Char Char Char Char Char Char Char"/>
    <w:basedOn w:val="1"/>
    <w:qFormat/>
    <w:uiPriority w:val="0"/>
    <w:rPr>
      <w:rFonts w:ascii="Times New Roman" w:hAnsi="Times New Roman" w:eastAsia="宋体" w:cs="Times New Roman"/>
      <w:szCs w:val="21"/>
    </w:rPr>
  </w:style>
  <w:style w:type="paragraph" w:customStyle="1" w:styleId="229">
    <w:name w:val="Char"/>
    <w:basedOn w:val="1"/>
    <w:qFormat/>
    <w:uiPriority w:val="0"/>
    <w:pPr>
      <w:widowControl/>
      <w:jc w:val="left"/>
    </w:pPr>
    <w:rPr>
      <w:rFonts w:ascii="Verdana" w:hAnsi="Verdana" w:eastAsia="宋体" w:cs="Times New Roman"/>
      <w:b/>
      <w:bCs/>
      <w:kern w:val="0"/>
      <w:szCs w:val="28"/>
      <w:lang w:eastAsia="en-US"/>
    </w:rPr>
  </w:style>
  <w:style w:type="paragraph" w:customStyle="1" w:styleId="230">
    <w:name w:val="Char Char Char Char Char Char Char1"/>
    <w:basedOn w:val="1"/>
    <w:qFormat/>
    <w:uiPriority w:val="0"/>
    <w:rPr>
      <w:rFonts w:ascii="Times New Roman" w:hAnsi="Times New Roman" w:eastAsia="宋体" w:cs="Times New Roman"/>
      <w:szCs w:val="20"/>
    </w:rPr>
  </w:style>
  <w:style w:type="paragraph" w:customStyle="1" w:styleId="231">
    <w:name w:val="reader-word-layer reader-word-s10-14"/>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232">
    <w:name w:val=" Char Char Char Char"/>
    <w:basedOn w:val="1"/>
    <w:qFormat/>
    <w:uiPriority w:val="0"/>
    <w:pPr>
      <w:tabs>
        <w:tab w:val="left" w:pos="360"/>
      </w:tabs>
      <w:spacing w:line="360" w:lineRule="auto"/>
      <w:ind w:firstLine="482"/>
    </w:pPr>
    <w:rPr>
      <w:rFonts w:ascii="Tahoma" w:hAnsi="Tahoma" w:eastAsia="黑体" w:cs="Times New Roman"/>
      <w:szCs w:val="21"/>
    </w:rPr>
  </w:style>
  <w:style w:type="paragraph" w:customStyle="1" w:styleId="233">
    <w:name w:val="正文（首行缩进两字） Char Char Char"/>
    <w:basedOn w:val="1"/>
    <w:next w:val="16"/>
    <w:qFormat/>
    <w:uiPriority w:val="0"/>
    <w:pPr>
      <w:spacing w:line="440" w:lineRule="exact"/>
      <w:ind w:firstLine="200" w:firstLineChars="200"/>
    </w:pPr>
    <w:rPr>
      <w:rFonts w:ascii="Arial" w:hAnsi="Arial" w:eastAsia="宋体" w:cs="Times New Roman"/>
      <w:snapToGrid w:val="0"/>
      <w:sz w:val="24"/>
      <w:szCs w:val="24"/>
    </w:rPr>
  </w:style>
  <w:style w:type="paragraph" w:customStyle="1" w:styleId="234">
    <w:name w:val="样式 正文文本正文文字body textbt + 黑色 首行缩进:  2 字符1"/>
    <w:basedOn w:val="1"/>
    <w:qFormat/>
    <w:uiPriority w:val="0"/>
    <w:pPr>
      <w:ind w:left="0" w:firstLine="482" w:firstLineChars="200"/>
    </w:pPr>
    <w:rPr>
      <w:rFonts w:ascii="宋体" w:hAnsi="宋体" w:eastAsia="宋体" w:cs="宋体"/>
      <w:color w:val="000000"/>
      <w:kern w:val="0"/>
      <w:sz w:val="24"/>
      <w:szCs w:val="24"/>
    </w:rPr>
  </w:style>
  <w:style w:type="paragraph" w:customStyle="1" w:styleId="235">
    <w:name w:val="reader-word-layer"/>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236">
    <w:name w:val="样式 二级标题（赵志杰） + 段前: 0.5 行 段后: 0.5 行"/>
    <w:basedOn w:val="1"/>
    <w:qFormat/>
    <w:uiPriority w:val="0"/>
    <w:pPr>
      <w:keepNext/>
      <w:keepLines/>
      <w:spacing w:line="360" w:lineRule="auto"/>
      <w:outlineLvl w:val="1"/>
    </w:pPr>
    <w:rPr>
      <w:rFonts w:ascii="Arial" w:hAnsi="Arial" w:eastAsia="黑体" w:cs="宋体"/>
      <w:b/>
      <w:bCs/>
      <w:sz w:val="30"/>
      <w:szCs w:val="20"/>
    </w:rPr>
  </w:style>
  <w:style w:type="paragraph" w:customStyle="1" w:styleId="237">
    <w:name w:val="reader-word-layer reader-word-s1-9"/>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238">
    <w:name w:val="表格13"/>
    <w:basedOn w:val="1"/>
    <w:qFormat/>
    <w:uiPriority w:val="0"/>
    <w:pPr>
      <w:adjustRightInd w:val="0"/>
      <w:spacing w:line="260" w:lineRule="atLeast"/>
      <w:jc w:val="center"/>
      <w:textAlignment w:val="baseline"/>
    </w:pPr>
    <w:rPr>
      <w:rFonts w:ascii="宋体" w:hAnsi="Times New Roman" w:eastAsia="宋体" w:cs="宋体"/>
      <w:kern w:val="0"/>
      <w:sz w:val="18"/>
      <w:szCs w:val="18"/>
      <w:lang w:val="zh-CN"/>
    </w:rPr>
  </w:style>
  <w:style w:type="paragraph" w:customStyle="1" w:styleId="239">
    <w:name w:val="2 Char"/>
    <w:basedOn w:val="1"/>
    <w:qFormat/>
    <w:uiPriority w:val="0"/>
    <w:pPr>
      <w:adjustRightInd w:val="0"/>
      <w:spacing w:line="360" w:lineRule="auto"/>
      <w:textAlignment w:val="baseline"/>
    </w:pPr>
    <w:rPr>
      <w:rFonts w:ascii="Times New Roman" w:hAnsi="Times New Roman" w:eastAsia="宋体" w:cs="Times New Roman"/>
      <w:kern w:val="0"/>
      <w:sz w:val="24"/>
    </w:rPr>
  </w:style>
  <w:style w:type="paragraph" w:customStyle="1" w:styleId="240">
    <w:name w:val="表内"/>
    <w:basedOn w:val="241"/>
    <w:qFormat/>
    <w:uiPriority w:val="0"/>
    <w:pPr>
      <w:spacing w:line="240" w:lineRule="auto"/>
      <w:ind w:firstLine="0" w:firstLineChars="0"/>
      <w:jc w:val="center"/>
    </w:pPr>
    <w:rPr>
      <w:sz w:val="21"/>
    </w:rPr>
  </w:style>
  <w:style w:type="paragraph" w:customStyle="1" w:styleId="241">
    <w:name w:val="文"/>
    <w:basedOn w:val="1"/>
    <w:qFormat/>
    <w:uiPriority w:val="0"/>
    <w:pPr>
      <w:spacing w:line="360" w:lineRule="auto"/>
      <w:ind w:firstLine="480" w:firstLineChars="200"/>
    </w:pPr>
    <w:rPr>
      <w:rFonts w:ascii="Times New Roman" w:hAnsi="Times New Roman" w:eastAsia="宋体" w:cs="Times New Roman"/>
      <w:sz w:val="24"/>
      <w:szCs w:val="24"/>
    </w:rPr>
  </w:style>
  <w:style w:type="paragraph" w:customStyle="1" w:styleId="242">
    <w:name w:val="样式 正文缩进 + 首行缩进:  0 厘米 行距: 固定值 26 磅"/>
    <w:basedOn w:val="16"/>
    <w:qFormat/>
    <w:uiPriority w:val="0"/>
    <w:pPr>
      <w:spacing w:line="520" w:lineRule="exact"/>
      <w:ind w:firstLine="200" w:firstLineChars="200"/>
      <w:jc w:val="left"/>
    </w:pPr>
    <w:rPr>
      <w:rFonts w:ascii="Times New Roman" w:hAnsi="Times New Roman" w:cs="宋体"/>
      <w:sz w:val="28"/>
    </w:rPr>
  </w:style>
  <w:style w:type="paragraph" w:customStyle="1" w:styleId="243">
    <w:name w:val="reader-word-layer reader-word-s1-15"/>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244">
    <w:name w:val="正文_3"/>
    <w:qFormat/>
    <w:uiPriority w:val="0"/>
    <w:pPr>
      <w:widowControl w:val="0"/>
      <w:jc w:val="both"/>
    </w:pPr>
    <w:rPr>
      <w:rFonts w:ascii="Calibri" w:hAnsi="Calibri" w:eastAsia="宋体" w:cs="Times New Roman"/>
      <w:kern w:val="2"/>
      <w:sz w:val="21"/>
      <w:lang w:val="en-US" w:eastAsia="zh-CN" w:bidi="ar-SA"/>
    </w:rPr>
  </w:style>
  <w:style w:type="paragraph" w:customStyle="1" w:styleId="245">
    <w:name w:val="报告书正文"/>
    <w:basedOn w:val="1"/>
    <w:qFormat/>
    <w:uiPriority w:val="0"/>
    <w:pPr>
      <w:spacing w:line="360" w:lineRule="auto"/>
      <w:ind w:firstLine="480" w:firstLineChars="200"/>
    </w:pPr>
    <w:rPr>
      <w:rFonts w:ascii="Times New Roman" w:hAnsi="Times New Roman" w:eastAsia="宋体" w:cs="Times New Roman"/>
      <w:spacing w:val="0"/>
      <w:sz w:val="24"/>
      <w:szCs w:val="24"/>
    </w:rPr>
  </w:style>
  <w:style w:type="paragraph" w:customStyle="1" w:styleId="246">
    <w:name w:val="表格式"/>
    <w:basedOn w:val="36"/>
    <w:qFormat/>
    <w:uiPriority w:val="0"/>
    <w:pPr>
      <w:spacing w:before="156" w:beforeLines="50" w:after="156" w:afterLines="50" w:line="200" w:lineRule="exact"/>
      <w:ind w:left="0" w:firstLine="0" w:firstLineChars="0"/>
      <w:jc w:val="center"/>
    </w:pPr>
    <w:rPr>
      <w:szCs w:val="20"/>
    </w:rPr>
  </w:style>
  <w:style w:type="paragraph" w:customStyle="1" w:styleId="247">
    <w:name w:val="reader-word-layer reader-word-s1-21"/>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248">
    <w:name w:val="Char Char Char Char"/>
    <w:basedOn w:val="1"/>
    <w:qFormat/>
    <w:uiPriority w:val="0"/>
    <w:rPr>
      <w:rFonts w:ascii="Times New Roman" w:hAnsi="Times New Roman" w:eastAsia="宋体" w:cs="Times New Roman"/>
      <w:szCs w:val="21"/>
    </w:rPr>
  </w:style>
  <w:style w:type="paragraph" w:customStyle="1" w:styleId="249">
    <w:name w:val="reader-word-layer reader-word-s10-9"/>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250">
    <w:name w:val="F正文"/>
    <w:qFormat/>
    <w:uiPriority w:val="0"/>
    <w:pPr>
      <w:widowControl w:val="0"/>
      <w:adjustRightInd w:val="0"/>
      <w:spacing w:line="360" w:lineRule="atLeast"/>
      <w:textAlignment w:val="baseline"/>
    </w:pPr>
    <w:rPr>
      <w:rFonts w:ascii="Times New Roman" w:hAnsi="Times New Roman" w:eastAsia="宋体" w:cs="Times New Roman"/>
      <w:spacing w:val="12"/>
      <w:sz w:val="24"/>
      <w:lang w:val="en-US" w:eastAsia="zh-CN" w:bidi="ar-SA"/>
    </w:rPr>
  </w:style>
  <w:style w:type="paragraph" w:customStyle="1" w:styleId="251">
    <w:name w:val="TOC 标题"/>
    <w:basedOn w:val="5"/>
    <w:next w:val="1"/>
    <w:qFormat/>
    <w:uiPriority w:val="0"/>
    <w:pPr>
      <w:widowControl/>
      <w:spacing w:before="480" w:beforeLines="0" w:line="276" w:lineRule="auto"/>
      <w:jc w:val="left"/>
      <w:outlineLvl w:val="9"/>
    </w:pPr>
    <w:rPr>
      <w:rFonts w:ascii="Cambria" w:hAnsi="Cambria" w:eastAsia="宋体" w:cs="Times New Roman"/>
      <w:b w:val="0"/>
      <w:color w:val="365F91"/>
      <w:kern w:val="0"/>
      <w:sz w:val="28"/>
      <w:szCs w:val="28"/>
    </w:rPr>
  </w:style>
  <w:style w:type="paragraph" w:customStyle="1" w:styleId="252">
    <w:name w:val="正文缩进1"/>
    <w:basedOn w:val="1"/>
    <w:qFormat/>
    <w:uiPriority w:val="0"/>
    <w:pPr>
      <w:ind w:firstLine="480" w:firstLineChars="200"/>
    </w:pPr>
    <w:rPr>
      <w:rFonts w:ascii="Arial" w:hAnsi="Arial" w:eastAsia="宋体" w:cs="Times New Roman"/>
      <w:snapToGrid w:val="0"/>
      <w:kern w:val="2"/>
      <w:sz w:val="24"/>
      <w:szCs w:val="20"/>
    </w:rPr>
  </w:style>
  <w:style w:type="paragraph" w:customStyle="1" w:styleId="253">
    <w:name w:val="X-正文-B"/>
    <w:qFormat/>
    <w:uiPriority w:val="0"/>
    <w:pPr>
      <w:spacing w:line="360" w:lineRule="auto"/>
    </w:pPr>
    <w:rPr>
      <w:rFonts w:ascii="宋体" w:hAnsi="宋体" w:eastAsia="楷体_GB2312" w:cs="Times New Roman"/>
      <w:b/>
      <w:kern w:val="2"/>
      <w:sz w:val="24"/>
      <w:szCs w:val="24"/>
      <w:lang w:val="en-US" w:eastAsia="zh-CN" w:bidi="ar-SA"/>
    </w:rPr>
  </w:style>
  <w:style w:type="paragraph" w:customStyle="1" w:styleId="254">
    <w:name w:val=" Char Char Char1 Char"/>
    <w:basedOn w:val="1"/>
    <w:qFormat/>
    <w:uiPriority w:val="0"/>
    <w:pPr>
      <w:spacing w:line="360" w:lineRule="auto"/>
      <w:ind w:firstLine="200" w:firstLineChars="200"/>
    </w:pPr>
    <w:rPr>
      <w:rFonts w:ascii="楷体" w:hAnsi="楷体" w:eastAsia="宋体" w:cs="楷体"/>
      <w:sz w:val="24"/>
    </w:rPr>
  </w:style>
  <w:style w:type="paragraph" w:customStyle="1" w:styleId="255">
    <w:name w:val="1"/>
    <w:basedOn w:val="1"/>
    <w:qFormat/>
    <w:uiPriority w:val="0"/>
    <w:pPr>
      <w:spacing w:before="312" w:beforeLines="100" w:after="156" w:afterLines="50" w:line="360" w:lineRule="auto"/>
    </w:pPr>
    <w:rPr>
      <w:rFonts w:ascii="Times New Roman" w:hAnsi="Times New Roman" w:eastAsia="黑体" w:cs="Times New Roman"/>
      <w:b/>
      <w:sz w:val="30"/>
      <w:szCs w:val="24"/>
    </w:rPr>
  </w:style>
  <w:style w:type="paragraph" w:customStyle="1" w:styleId="256">
    <w:name w:val="宋体 13 磅 行距: 固定值 24 磅"/>
    <w:basedOn w:val="1"/>
    <w:qFormat/>
    <w:uiPriority w:val="0"/>
    <w:pPr>
      <w:spacing w:line="480" w:lineRule="exact"/>
      <w:ind w:firstLine="520" w:firstLineChars="200"/>
    </w:pPr>
    <w:rPr>
      <w:rFonts w:ascii="宋体" w:hAnsi="宋体" w:eastAsia="宋体" w:cs="宋体"/>
      <w:sz w:val="26"/>
      <w:szCs w:val="20"/>
    </w:rPr>
  </w:style>
  <w:style w:type="paragraph" w:customStyle="1" w:styleId="257">
    <w:name w:val="p19"/>
    <w:basedOn w:val="1"/>
    <w:qFormat/>
    <w:uiPriority w:val="0"/>
    <w:pPr>
      <w:widowControl/>
      <w:spacing w:before="10" w:beforeLines="0" w:after="10" w:afterLines="0" w:line="420" w:lineRule="atLeast"/>
      <w:ind w:firstLine="420"/>
    </w:pPr>
    <w:rPr>
      <w:rFonts w:ascii="Times New Roman" w:hAnsi="Times New Roman" w:eastAsia="宋体" w:cs="Times New Roman"/>
      <w:kern w:val="0"/>
      <w:sz w:val="24"/>
    </w:rPr>
  </w:style>
  <w:style w:type="paragraph" w:customStyle="1" w:styleId="258">
    <w:name w:val="表格内容"/>
    <w:basedOn w:val="1"/>
    <w:next w:val="1"/>
    <w:qFormat/>
    <w:uiPriority w:val="0"/>
    <w:pPr>
      <w:adjustRightInd w:val="0"/>
      <w:snapToGrid w:val="0"/>
      <w:jc w:val="center"/>
    </w:pPr>
    <w:rPr>
      <w:rFonts w:ascii="Times New Roman" w:hAnsi="Times New Roman" w:eastAsia="宋体" w:cs="Times New Roman"/>
      <w:szCs w:val="24"/>
    </w:rPr>
  </w:style>
  <w:style w:type="paragraph" w:customStyle="1" w:styleId="259">
    <w:name w:val="3"/>
    <w:basedOn w:val="1"/>
    <w:qFormat/>
    <w:uiPriority w:val="0"/>
    <w:pPr>
      <w:spacing w:line="360" w:lineRule="auto"/>
    </w:pPr>
    <w:rPr>
      <w:rFonts w:ascii="Times New Roman" w:hAnsi="Times New Roman" w:eastAsia="宋体" w:cs="Times New Roman"/>
      <w:sz w:val="24"/>
      <w:szCs w:val="24"/>
    </w:rPr>
  </w:style>
  <w:style w:type="paragraph" w:customStyle="1" w:styleId="260">
    <w:name w:val="reader-word-layer reader-word-s10-10"/>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261">
    <w:name w:val="标题04"/>
    <w:basedOn w:val="8"/>
    <w:qFormat/>
    <w:uiPriority w:val="0"/>
    <w:pPr>
      <w:keepNext/>
      <w:keepLines/>
      <w:widowControl/>
      <w:numPr>
        <w:ilvl w:val="3"/>
        <w:numId w:val="1"/>
      </w:numPr>
      <w:tabs>
        <w:tab w:val="left" w:pos="1890"/>
        <w:tab w:val="clear" w:pos="360"/>
        <w:tab w:val="clear" w:pos="2207"/>
      </w:tabs>
      <w:spacing w:before="156" w:beforeLines="0" w:after="62" w:afterLines="20" w:line="360" w:lineRule="auto"/>
      <w:ind w:left="0"/>
      <w:jc w:val="left"/>
    </w:pPr>
    <w:rPr>
      <w:rFonts w:ascii="Arial" w:hAnsi="Arial" w:eastAsia="仿宋_GB2312" w:cs="Times New Roman"/>
      <w:b w:val="0"/>
      <w:color w:val="auto"/>
      <w:kern w:val="0"/>
      <w:szCs w:val="28"/>
    </w:rPr>
  </w:style>
  <w:style w:type="paragraph" w:customStyle="1" w:styleId="262">
    <w:name w:val="正文_0"/>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63">
    <w:name w:val="reader-word-layer reader-word-s2-3"/>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264">
    <w:name w:val="表名W"/>
    <w:basedOn w:val="1"/>
    <w:next w:val="1"/>
    <w:qFormat/>
    <w:uiPriority w:val="0"/>
    <w:pPr>
      <w:spacing w:line="460" w:lineRule="exact"/>
      <w:jc w:val="center"/>
      <w:textAlignment w:val="baseline"/>
    </w:pPr>
    <w:rPr>
      <w:rFonts w:ascii="Arial" w:hAnsi="Arial" w:eastAsia="宋体" w:cs="Arial"/>
      <w:bCs/>
      <w:snapToGrid w:val="0"/>
      <w:color w:val="000000"/>
      <w:kern w:val="0"/>
      <w:sz w:val="24"/>
    </w:rPr>
  </w:style>
  <w:style w:type="paragraph" w:customStyle="1" w:styleId="265">
    <w:name w:val="正文_6"/>
    <w:qFormat/>
    <w:uiPriority w:val="0"/>
    <w:pPr>
      <w:widowControl w:val="0"/>
      <w:jc w:val="both"/>
    </w:pPr>
    <w:rPr>
      <w:rFonts w:ascii="Calibri" w:hAnsi="Calibri" w:eastAsia="宋体" w:cs="Times New Roman"/>
      <w:kern w:val="2"/>
      <w:sz w:val="21"/>
      <w:lang w:val="en-US" w:eastAsia="zh-CN" w:bidi="ar-SA"/>
    </w:rPr>
  </w:style>
  <w:style w:type="paragraph" w:customStyle="1" w:styleId="266">
    <w:name w:val="reader-word-layer reader-word-s1-16"/>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267">
    <w:name w:val="正"/>
    <w:basedOn w:val="1"/>
    <w:qFormat/>
    <w:uiPriority w:val="0"/>
    <w:pPr>
      <w:ind w:firstLine="200"/>
    </w:pPr>
    <w:rPr>
      <w:rFonts w:ascii="Times New Roman" w:hAnsi="Times New Roman" w:eastAsia="宋体" w:cs="Times New Roman"/>
      <w:kern w:val="2"/>
      <w:szCs w:val="24"/>
    </w:rPr>
  </w:style>
  <w:style w:type="paragraph" w:customStyle="1" w:styleId="268">
    <w:name w:val="表中文字"/>
    <w:basedOn w:val="172"/>
    <w:qFormat/>
    <w:uiPriority w:val="0"/>
    <w:pPr>
      <w:tabs>
        <w:tab w:val="left" w:pos="7937"/>
      </w:tabs>
      <w:spacing w:line="240" w:lineRule="auto"/>
      <w:ind w:firstLine="0" w:firstLineChars="0"/>
    </w:pPr>
    <w:rPr>
      <w:rFonts w:eastAsia="宋体"/>
      <w:color w:val="000000"/>
    </w:rPr>
  </w:style>
  <w:style w:type="paragraph" w:customStyle="1" w:styleId="269">
    <w:name w:val="2.1.1"/>
    <w:basedOn w:val="1"/>
    <w:qFormat/>
    <w:uiPriority w:val="0"/>
    <w:rPr>
      <w:rFonts w:ascii="Times New Roman" w:hAnsi="Times New Roman" w:eastAsia="宋体" w:cs="Times New Roman"/>
      <w:sz w:val="24"/>
      <w:szCs w:val="20"/>
    </w:rPr>
  </w:style>
  <w:style w:type="paragraph" w:customStyle="1" w:styleId="270">
    <w:name w:val="表体宋旭峰"/>
    <w:basedOn w:val="1"/>
    <w:qFormat/>
    <w:uiPriority w:val="0"/>
    <w:pPr>
      <w:overflowPunct w:val="0"/>
      <w:adjustRightInd w:val="0"/>
      <w:spacing w:line="280" w:lineRule="exact"/>
      <w:jc w:val="center"/>
      <w:textAlignment w:val="baseline"/>
    </w:pPr>
    <w:rPr>
      <w:rFonts w:ascii="Times New Roman" w:hAnsi="Times New Roman" w:eastAsia="宋体" w:cs="Courier New"/>
      <w:snapToGrid w:val="0"/>
      <w:color w:val="FF0000"/>
      <w:spacing w:val="-4"/>
      <w:szCs w:val="21"/>
    </w:rPr>
  </w:style>
  <w:style w:type="paragraph" w:customStyle="1" w:styleId="271">
    <w:name w:val="reader-word-layer reader-word-s1-19"/>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272">
    <w:name w:val="【表格】"/>
    <w:next w:val="1"/>
    <w:qFormat/>
    <w:uiPriority w:val="0"/>
    <w:pPr>
      <w:spacing w:line="0" w:lineRule="atLeast"/>
      <w:jc w:val="center"/>
    </w:pPr>
    <w:rPr>
      <w:rFonts w:ascii="Times New Roman" w:hAnsi="Times New Roman" w:eastAsia="宋体" w:cs="Times New Roman"/>
      <w:sz w:val="21"/>
      <w:szCs w:val="24"/>
      <w:lang w:val="en-US" w:eastAsia="zh-CN" w:bidi="ar-SA"/>
    </w:rPr>
  </w:style>
  <w:style w:type="paragraph" w:customStyle="1" w:styleId="273">
    <w:name w:val="reader-word-layer reader-word-s10-6"/>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274">
    <w:name w:val="LT表内容"/>
    <w:basedOn w:val="1"/>
    <w:qFormat/>
    <w:uiPriority w:val="0"/>
    <w:pPr>
      <w:jc w:val="center"/>
    </w:pPr>
    <w:rPr>
      <w:rFonts w:ascii="Times New Roman" w:hAnsi="Times New Roman" w:eastAsia="宋体" w:cs="Times New Roman"/>
      <w:snapToGrid w:val="0"/>
      <w:kern w:val="28"/>
      <w:szCs w:val="24"/>
    </w:rPr>
  </w:style>
  <w:style w:type="paragraph" w:customStyle="1" w:styleId="275">
    <w:name w:val="样式2"/>
    <w:basedOn w:val="1"/>
    <w:qFormat/>
    <w:uiPriority w:val="0"/>
    <w:pPr>
      <w:snapToGrid w:val="0"/>
      <w:spacing w:line="440" w:lineRule="exact"/>
      <w:ind w:firstLine="200" w:firstLineChars="200"/>
    </w:pPr>
    <w:rPr>
      <w:rFonts w:ascii="Times New Roman" w:hAnsi="Times New Roman" w:eastAsia="宋体" w:cs="Times New Roman"/>
      <w:snapToGrid w:val="0"/>
      <w:sz w:val="24"/>
    </w:rPr>
  </w:style>
  <w:style w:type="paragraph" w:customStyle="1" w:styleId="276">
    <w:name w:val="xl34"/>
    <w:basedOn w:val="1"/>
    <w:qFormat/>
    <w:uiPriority w:val="0"/>
    <w:pPr>
      <w:widowControl/>
      <w:spacing w:before="100" w:beforeLines="0" w:beforeAutospacing="1" w:after="100" w:afterLines="0" w:afterAutospacing="1"/>
      <w:jc w:val="center"/>
    </w:pPr>
    <w:rPr>
      <w:rFonts w:ascii="Arial Unicode MS" w:hAnsi="Arial Unicode MS" w:eastAsia="Arial Unicode MS" w:cs="Times New Roman"/>
      <w:kern w:val="0"/>
      <w:sz w:val="24"/>
      <w:szCs w:val="24"/>
    </w:rPr>
  </w:style>
  <w:style w:type="paragraph" w:customStyle="1" w:styleId="277">
    <w:name w:val="二级无标题条"/>
    <w:basedOn w:val="1"/>
    <w:qFormat/>
    <w:uiPriority w:val="0"/>
    <w:rPr>
      <w:rFonts w:ascii="Times New Roman" w:hAnsi="Times New Roman" w:eastAsia="宋体" w:cs="Times New Roman"/>
      <w:szCs w:val="24"/>
    </w:rPr>
  </w:style>
  <w:style w:type="paragraph" w:customStyle="1" w:styleId="278">
    <w:name w:val="样式 标题 2节节1节2节11节3节12节4节13节21节111 Char Char Char Char ..."/>
    <w:basedOn w:val="7"/>
    <w:qFormat/>
    <w:uiPriority w:val="0"/>
    <w:pPr>
      <w:spacing w:before="120" w:after="120" w:line="440" w:lineRule="exact"/>
      <w:jc w:val="both"/>
    </w:pPr>
    <w:rPr>
      <w:rFonts w:ascii="Times New Roman" w:hAnsi="Times New Roman" w:eastAsia="宋体" w:cs="宋体"/>
      <w:bCs/>
      <w:kern w:val="28"/>
    </w:rPr>
  </w:style>
  <w:style w:type="paragraph" w:customStyle="1" w:styleId="279">
    <w:name w:val="xl26"/>
    <w:basedOn w:val="1"/>
    <w:qFormat/>
    <w:uiPriority w:val="0"/>
    <w:pPr>
      <w:widowControl/>
      <w:pBdr>
        <w:left w:val="single" w:color="auto" w:sz="4" w:space="0"/>
        <w:bottom w:val="single" w:color="auto" w:sz="4" w:space="0"/>
      </w:pBdr>
      <w:spacing w:before="100" w:beforeLines="0" w:beforeAutospacing="1" w:after="100" w:afterLines="0" w:afterAutospacing="1"/>
      <w:jc w:val="center"/>
    </w:pPr>
    <w:rPr>
      <w:rFonts w:ascii="Arial Unicode MS" w:hAnsi="Arial Unicode MS" w:eastAsia="Arial Unicode MS" w:cs="Arial Unicode MS"/>
      <w:kern w:val="0"/>
      <w:szCs w:val="21"/>
    </w:rPr>
  </w:style>
  <w:style w:type="paragraph" w:customStyle="1" w:styleId="280">
    <w:name w:val="reader-word-layer reader-word-s1-10"/>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281">
    <w:name w:val="xl31"/>
    <w:basedOn w:val="1"/>
    <w:qFormat/>
    <w:uiPriority w:val="0"/>
    <w:pPr>
      <w:widowControl/>
      <w:spacing w:before="100" w:beforeLines="0" w:beforeAutospacing="1" w:after="100" w:afterLines="0" w:afterAutospacing="1"/>
      <w:jc w:val="center"/>
      <w:textAlignment w:val="center"/>
    </w:pPr>
    <w:rPr>
      <w:rFonts w:ascii="Arial Unicode MS" w:hAnsi="Arial Unicode MS" w:eastAsia="Arial Unicode MS" w:cs="Times New Roman"/>
      <w:kern w:val="0"/>
      <w:sz w:val="24"/>
    </w:rPr>
  </w:style>
  <w:style w:type="paragraph" w:customStyle="1" w:styleId="282">
    <w:name w:val="表"/>
    <w:basedOn w:val="1"/>
    <w:qFormat/>
    <w:uiPriority w:val="0"/>
    <w:pPr>
      <w:spacing w:line="320" w:lineRule="exact"/>
      <w:jc w:val="left"/>
    </w:pPr>
    <w:rPr>
      <w:rFonts w:ascii="Times New Roman" w:hAnsi="Times New Roman" w:eastAsia="宋体" w:cs="Times New Roman"/>
      <w:kern w:val="0"/>
    </w:rPr>
  </w:style>
  <w:style w:type="paragraph" w:customStyle="1" w:styleId="283">
    <w:name w:val="正文段落（song1375）"/>
    <w:basedOn w:val="1"/>
    <w:qFormat/>
    <w:uiPriority w:val="0"/>
    <w:pPr>
      <w:spacing w:line="360" w:lineRule="auto"/>
      <w:ind w:firstLine="200" w:firstLineChars="200"/>
      <w:jc w:val="left"/>
    </w:pPr>
    <w:rPr>
      <w:rFonts w:ascii="Times New Roman" w:hAnsi="Times New Roman" w:eastAsia="宋体" w:cs="Times New Roman"/>
      <w:snapToGrid w:val="0"/>
      <w:kern w:val="0"/>
      <w:sz w:val="24"/>
      <w:szCs w:val="24"/>
    </w:rPr>
  </w:style>
  <w:style w:type="paragraph" w:customStyle="1" w:styleId="284">
    <w:name w:val="reader-word-layer reader-word-s10-3"/>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285">
    <w:name w:val="hhcwt正文"/>
    <w:basedOn w:val="1"/>
    <w:qFormat/>
    <w:uiPriority w:val="0"/>
    <w:rPr>
      <w:rFonts w:ascii="Times New Roman" w:hAnsi="Times New Roman" w:eastAsia="宋体" w:cs="Times New Roman"/>
      <w:szCs w:val="20"/>
    </w:rPr>
  </w:style>
  <w:style w:type="paragraph" w:customStyle="1" w:styleId="286">
    <w:name w:val="reader-word-layer reader-word-s10-7"/>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287">
    <w:name w:val="reader-word-layer reader-word-s10-8"/>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288">
    <w:name w:val="样式 四号 首行缩进:  2 字符"/>
    <w:basedOn w:val="1"/>
    <w:qFormat/>
    <w:uiPriority w:val="0"/>
    <w:pPr>
      <w:spacing w:line="480" w:lineRule="exact"/>
      <w:ind w:firstLine="200" w:firstLineChars="200"/>
    </w:pPr>
    <w:rPr>
      <w:rFonts w:ascii="Times New Roman" w:hAnsi="Times New Roman" w:eastAsia="宋体" w:cs="Times New Roman"/>
      <w:sz w:val="24"/>
    </w:rPr>
  </w:style>
  <w:style w:type="paragraph" w:customStyle="1" w:styleId="289">
    <w:name w:val=" Char1 Char Char Char"/>
    <w:basedOn w:val="1"/>
    <w:qFormat/>
    <w:uiPriority w:val="0"/>
    <w:pPr>
      <w:spacing w:line="360" w:lineRule="auto"/>
      <w:ind w:firstLine="200" w:firstLineChars="200"/>
    </w:pPr>
    <w:rPr>
      <w:rFonts w:ascii="宋体" w:hAnsi="宋体" w:eastAsia="宋体" w:cs="宋体"/>
      <w:sz w:val="24"/>
    </w:rPr>
  </w:style>
  <w:style w:type="paragraph" w:customStyle="1" w:styleId="290">
    <w:name w:val="样式 首行缩进:  2 字符"/>
    <w:basedOn w:val="1"/>
    <w:qFormat/>
    <w:uiPriority w:val="0"/>
    <w:pPr>
      <w:spacing w:line="460" w:lineRule="exact"/>
      <w:ind w:firstLine="471"/>
    </w:pPr>
    <w:rPr>
      <w:rFonts w:ascii="Times New Roman" w:hAnsi="Times New Roman" w:eastAsia="宋体" w:cs="Times New Roman"/>
      <w:sz w:val="24"/>
    </w:rPr>
  </w:style>
  <w:style w:type="paragraph" w:customStyle="1" w:styleId="291">
    <w:name w:val="reader-word-layer reader-word-s2-8"/>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292">
    <w:name w:val=" Char Char Char Char Char Char Char Char Char Char Char Char Char Char Char Char Char Char Char"/>
    <w:basedOn w:val="1"/>
    <w:qFormat/>
    <w:uiPriority w:val="0"/>
    <w:pPr>
      <w:spacing w:line="360" w:lineRule="auto"/>
      <w:ind w:firstLine="200" w:firstLineChars="200"/>
    </w:pPr>
    <w:rPr>
      <w:rFonts w:ascii="宋体" w:hAnsi="宋体" w:eastAsia="宋体" w:cs="Times New Roman"/>
      <w:sz w:val="24"/>
      <w:szCs w:val="20"/>
    </w:rPr>
  </w:style>
  <w:style w:type="paragraph" w:customStyle="1" w:styleId="293">
    <w:name w:val="reader-word-layer reader-word-s2-7"/>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294">
    <w:name w:val=" Char1 Char Char Char Char Char Char"/>
    <w:basedOn w:val="1"/>
    <w:qFormat/>
    <w:uiPriority w:val="0"/>
    <w:pPr>
      <w:spacing w:line="360" w:lineRule="auto"/>
      <w:ind w:firstLine="200" w:firstLineChars="200"/>
    </w:pPr>
    <w:rPr>
      <w:rFonts w:ascii="宋体" w:hAnsi="宋体" w:eastAsia="宋体" w:cs="宋体"/>
      <w:sz w:val="24"/>
      <w:szCs w:val="24"/>
    </w:rPr>
  </w:style>
  <w:style w:type="paragraph" w:customStyle="1" w:styleId="295">
    <w:name w:val="reader-word-layer reader-word-s10-11"/>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296">
    <w:name w:val="xl28"/>
    <w:basedOn w:val="1"/>
    <w:qFormat/>
    <w:uiPriority w:val="0"/>
    <w:pPr>
      <w:widowControl/>
      <w:pBdr>
        <w:bottom w:val="single" w:color="auto" w:sz="4" w:space="0"/>
        <w:right w:val="single" w:color="auto" w:sz="4" w:space="0"/>
      </w:pBdr>
      <w:spacing w:before="100" w:beforeLines="0" w:beforeAutospacing="1" w:after="100" w:afterLines="0" w:afterAutospacing="1"/>
      <w:jc w:val="center"/>
      <w:textAlignment w:val="top"/>
    </w:pPr>
    <w:rPr>
      <w:rFonts w:ascii="Times New Roman" w:hAnsi="Times New Roman" w:eastAsia="宋体" w:cs="Times New Roman"/>
      <w:kern w:val="0"/>
      <w:szCs w:val="21"/>
    </w:rPr>
  </w:style>
  <w:style w:type="paragraph" w:customStyle="1" w:styleId="297">
    <w:name w:val=" Char Char Char Char Char Char Char Char1 Char Char Char Char Char Char Char"/>
    <w:basedOn w:val="1"/>
    <w:qFormat/>
    <w:uiPriority w:val="0"/>
    <w:pPr>
      <w:widowControl/>
      <w:snapToGrid w:val="0"/>
      <w:spacing w:line="360" w:lineRule="auto"/>
      <w:ind w:firstLine="200" w:firstLineChars="200"/>
      <w:jc w:val="left"/>
    </w:pPr>
    <w:rPr>
      <w:rFonts w:ascii="Times New Roman" w:hAnsi="Times New Roman" w:eastAsia="仿宋_GB2312" w:cs="Times New Roman"/>
      <w:kern w:val="0"/>
      <w:sz w:val="24"/>
    </w:rPr>
  </w:style>
  <w:style w:type="paragraph" w:customStyle="1" w:styleId="298">
    <w:name w:val="xl35"/>
    <w:basedOn w:val="1"/>
    <w:qFormat/>
    <w:uiPriority w:val="0"/>
    <w:pPr>
      <w:widowControl/>
      <w:spacing w:before="100" w:beforeLines="0" w:beforeAutospacing="1" w:after="100" w:afterLines="0" w:afterAutospacing="1"/>
      <w:jc w:val="center"/>
      <w:textAlignment w:val="center"/>
    </w:pPr>
    <w:rPr>
      <w:rFonts w:ascii="Arial Unicode MS" w:hAnsi="Arial Unicode MS" w:eastAsia="Arial Unicode MS" w:cs="Times New Roman"/>
      <w:kern w:val="0"/>
      <w:sz w:val="24"/>
      <w:szCs w:val="24"/>
    </w:rPr>
  </w:style>
  <w:style w:type="paragraph" w:customStyle="1" w:styleId="299">
    <w:name w:val="深泽图名"/>
    <w:basedOn w:val="1"/>
    <w:qFormat/>
    <w:uiPriority w:val="0"/>
    <w:pPr>
      <w:spacing w:line="440" w:lineRule="exact"/>
      <w:jc w:val="center"/>
    </w:pPr>
    <w:rPr>
      <w:rFonts w:ascii="Times New Roman" w:hAnsi="Times New Roman" w:eastAsia="宋体" w:cs="Times New Roman"/>
      <w:b/>
      <w:szCs w:val="21"/>
    </w:rPr>
  </w:style>
  <w:style w:type="paragraph" w:customStyle="1" w:styleId="300">
    <w:name w:val="reader-word-layer reader-word-s2-9"/>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301">
    <w:name w:val="reader-word-layer reader-word-s1-20"/>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302">
    <w:name w:val="reader-word-layer reader-word-s10-13"/>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303">
    <w:name w:val="标准"/>
    <w:basedOn w:val="1"/>
    <w:qFormat/>
    <w:uiPriority w:val="0"/>
    <w:pPr>
      <w:adjustRightInd w:val="0"/>
      <w:spacing w:line="312" w:lineRule="atLeast"/>
      <w:jc w:val="center"/>
      <w:textAlignment w:val="baseline"/>
    </w:pPr>
    <w:rPr>
      <w:rFonts w:ascii="Times New Roman" w:hAnsi="Times New Roman" w:eastAsia="宋体" w:cs="Times New Roman"/>
      <w:kern w:val="0"/>
      <w:szCs w:val="21"/>
    </w:rPr>
  </w:style>
  <w:style w:type="paragraph" w:customStyle="1" w:styleId="304">
    <w:name w:val="point101"/>
    <w:basedOn w:val="1"/>
    <w:qFormat/>
    <w:uiPriority w:val="0"/>
    <w:pPr>
      <w:widowControl/>
      <w:spacing w:before="100" w:beforeLines="0" w:beforeAutospacing="1" w:after="100" w:afterLines="0" w:afterAutospacing="1" w:line="390" w:lineRule="atLeast"/>
      <w:jc w:val="left"/>
    </w:pPr>
    <w:rPr>
      <w:rFonts w:ascii="宋体" w:hAnsi="宋体" w:eastAsia="宋体" w:cs="宋体"/>
      <w:kern w:val="0"/>
      <w:sz w:val="18"/>
      <w:szCs w:val="18"/>
    </w:rPr>
  </w:style>
  <w:style w:type="paragraph" w:customStyle="1" w:styleId="305">
    <w:name w:val=" Char Char Char Char Char Char"/>
    <w:basedOn w:val="1"/>
    <w:qFormat/>
    <w:uiPriority w:val="0"/>
    <w:pPr>
      <w:snapToGrid w:val="0"/>
      <w:spacing w:line="360" w:lineRule="auto"/>
      <w:ind w:firstLine="529" w:firstLineChars="200"/>
    </w:pPr>
    <w:rPr>
      <w:rFonts w:ascii="Times New Roman" w:hAnsi="Times New Roman" w:eastAsia="宋体" w:cs="Times New Roman"/>
    </w:rPr>
  </w:style>
  <w:style w:type="paragraph" w:customStyle="1" w:styleId="306">
    <w:name w:val=" Char Char1 Char Char Char Char Char Char Char Char Char Char Char Char Char Char Char Char Char Char Char Char1 Char"/>
    <w:basedOn w:val="1"/>
    <w:qFormat/>
    <w:uiPriority w:val="0"/>
    <w:pPr>
      <w:spacing w:line="360" w:lineRule="auto"/>
      <w:ind w:firstLine="200" w:firstLineChars="200"/>
    </w:pPr>
    <w:rPr>
      <w:rFonts w:ascii="宋体" w:hAnsi="宋体" w:eastAsia="宋体" w:cs="宋体"/>
      <w:sz w:val="24"/>
    </w:rPr>
  </w:style>
  <w:style w:type="paragraph" w:customStyle="1" w:styleId="307">
    <w:name w:val=" Char Char Char Char Char Char Char Char1 Char Char Char Char Char Char Char Char Char Char Char Char1 Char"/>
    <w:basedOn w:val="1"/>
    <w:qFormat/>
    <w:uiPriority w:val="0"/>
    <w:rPr>
      <w:rFonts w:ascii="Times New Roman" w:hAnsi="Times New Roman" w:eastAsia="宋体" w:cs="Times New Roman"/>
      <w:sz w:val="24"/>
    </w:rPr>
  </w:style>
  <w:style w:type="paragraph" w:customStyle="1" w:styleId="308">
    <w:name w:val="reader-word-layer reader-word-s1-7"/>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309">
    <w:name w:val="正文222"/>
    <w:basedOn w:val="1"/>
    <w:qFormat/>
    <w:uiPriority w:val="0"/>
    <w:pPr>
      <w:spacing w:line="480" w:lineRule="exact"/>
      <w:ind w:firstLine="200" w:firstLineChars="200"/>
    </w:pPr>
    <w:rPr>
      <w:rFonts w:ascii="Times New Roman" w:hAnsi="宋体" w:eastAsia="宋体" w:cs="Times New Roman"/>
      <w:sz w:val="24"/>
    </w:rPr>
  </w:style>
  <w:style w:type="paragraph" w:customStyle="1" w:styleId="310">
    <w:name w:val="图用行距"/>
    <w:basedOn w:val="11"/>
    <w:qFormat/>
    <w:uiPriority w:val="0"/>
    <w:pPr>
      <w:keepNext/>
      <w:spacing w:line="480" w:lineRule="atLeast"/>
      <w:jc w:val="center"/>
    </w:pPr>
    <w:rPr>
      <w:rFonts w:ascii="Times New Roman" w:hAnsi="Times New Roman" w:cs="Times New Roman"/>
      <w:color w:val="000000"/>
    </w:rPr>
  </w:style>
  <w:style w:type="paragraph" w:customStyle="1" w:styleId="311">
    <w:name w:val="标题3"/>
    <w:basedOn w:val="6"/>
    <w:next w:val="1"/>
    <w:qFormat/>
    <w:uiPriority w:val="0"/>
    <w:pPr>
      <w:keepNext w:val="0"/>
      <w:keepLines w:val="0"/>
      <w:widowControl w:val="0"/>
      <w:spacing w:before="0" w:after="0" w:line="500" w:lineRule="exact"/>
    </w:pPr>
    <w:rPr>
      <w:rFonts w:ascii="Times New Roman" w:hAnsi="Times New Roman" w:cs="Times New Roman"/>
      <w:sz w:val="24"/>
    </w:rPr>
  </w:style>
  <w:style w:type="table" w:customStyle="1" w:styleId="312">
    <w:name w:val="斜头142111"/>
    <w:basedOn w:val="4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shd w:val="clear" w:color="auto" w:fill="auto"/>
    </w:tcPr>
    <w:tblStylePr w:type="firstRow">
      <w:rPr>
        <w:b w:val="0"/>
        <w:bCs w:val="0"/>
      </w:rPr>
      <w:tcPr>
        <w:tcBorders>
          <w:top w:val="nil"/>
          <w:left w:val="nil"/>
          <w:bottom w:val="single" w:color="000000" w:sz="12" w:space="0"/>
          <w:right w:val="nil"/>
          <w:insideH w:val="nil"/>
          <w:insideV w:val="nil"/>
          <w:tl2br w:val="nil"/>
          <w:tr2bl w:val="nil"/>
        </w:tcBorders>
      </w:tcPr>
    </w:tblStylePr>
    <w:tblStylePr w:type="lastRow">
      <w:rPr>
        <w:b w:val="0"/>
        <w:bCs w:val="0"/>
      </w:rPr>
      <w:tcPr>
        <w:tcBorders>
          <w:top w:val="single" w:color="000000" w:sz="6" w:space="0"/>
          <w:left w:val="nil"/>
          <w:bottom w:val="nil"/>
          <w:right w:val="nil"/>
          <w:insideH w:val="nil"/>
          <w:insideV w:val="nil"/>
          <w:tl2br w:val="nil"/>
          <w:tr2bl w:val="nil"/>
        </w:tcBorders>
      </w:tcPr>
    </w:tblStylePr>
    <w:tblStylePr w:type="firstCol">
      <w:rPr>
        <w:b w:val="0"/>
        <w:bCs w:val="0"/>
      </w:rPr>
      <w:tcPr>
        <w:tcBorders>
          <w:top w:val="nil"/>
          <w:left w:val="nil"/>
          <w:bottom w:val="nil"/>
          <w:right w:val="nil"/>
          <w:insideH w:val="nil"/>
          <w:insideV w:val="nil"/>
          <w:tl2br w:val="nil"/>
          <w:tr2bl w:val="nil"/>
        </w:tcBorders>
      </w:tcPr>
    </w:tblStylePr>
    <w:tblStylePr w:type="lastCol">
      <w:rPr>
        <w:b w:val="0"/>
        <w:bCs w:val="0"/>
      </w:rPr>
      <w:tcPr>
        <w:tcBorders>
          <w:top w:val="nil"/>
          <w:left w:val="nil"/>
          <w:bottom w:val="nil"/>
          <w:right w:val="nil"/>
          <w:insideH w:val="nil"/>
          <w:insideV w:val="nil"/>
          <w:tl2br w:val="nil"/>
          <w:tr2bl w:val="nil"/>
        </w:tcBorders>
      </w:tcPr>
    </w:tblStylePr>
    <w:tblStylePr w:type="nwCell">
      <w:tcPr>
        <w:tcBorders>
          <w:top w:val="nil"/>
          <w:left w:val="nil"/>
          <w:bottom w:val="nil"/>
          <w:right w:val="nil"/>
          <w:insideH w:val="nil"/>
          <w:insideV w:val="nil"/>
          <w:tl2br w:val="single" w:color="000000" w:sz="6" w:space="0"/>
          <w:tr2bl w:val="nil"/>
        </w:tcBorders>
      </w:tcPr>
    </w:tblStylePr>
  </w:style>
  <w:style w:type="table" w:customStyle="1" w:styleId="313">
    <w:name w:val="网格型65"/>
    <w:basedOn w:val="47"/>
    <w:qFormat/>
    <w:uiPriority w:val="0"/>
    <w:rPr>
      <w:rFonts w:ascii="Calibri" w:hAnsi="Calibr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314">
    <w:name w:val="font51"/>
    <w:basedOn w:val="50"/>
    <w:qFormat/>
    <w:uiPriority w:val="0"/>
    <w:rPr>
      <w:rFonts w:hint="default" w:ascii="Times New Roman" w:hAnsi="Times New Roman" w:cs="Times New Roman"/>
      <w:color w:val="000000"/>
      <w:sz w:val="21"/>
      <w:szCs w:val="21"/>
      <w:u w:val="none"/>
      <w:vertAlign w:val="subscript"/>
    </w:rPr>
  </w:style>
  <w:style w:type="character" w:customStyle="1" w:styleId="315">
    <w:name w:val="font41"/>
    <w:basedOn w:val="50"/>
    <w:qFormat/>
    <w:uiPriority w:val="0"/>
    <w:rPr>
      <w:rFonts w:hint="eastAsia" w:ascii="宋体" w:hAnsi="宋体" w:eastAsia="宋体" w:cs="宋体"/>
      <w:color w:val="FF0000"/>
      <w:sz w:val="21"/>
      <w:szCs w:val="21"/>
      <w:u w:val="none"/>
    </w:rPr>
  </w:style>
  <w:style w:type="paragraph" w:customStyle="1" w:styleId="316">
    <w:name w:val="yyp"/>
    <w:basedOn w:val="46"/>
    <w:next w:val="1"/>
    <w:qFormat/>
    <w:uiPriority w:val="0"/>
    <w:pPr>
      <w:spacing w:after="120" w:afterLines="0" w:line="360" w:lineRule="auto"/>
      <w:ind w:firstLine="480" w:firstLineChars="200"/>
    </w:pPr>
    <w:rPr>
      <w:rFonts w:ascii="宋体" w:hAnsi="宋体" w:eastAsia="宋体" w:cs="Times New Roman"/>
      <w:sz w:val="24"/>
    </w:rPr>
  </w:style>
  <w:style w:type="paragraph" w:customStyle="1" w:styleId="317">
    <w:name w:val="Body text|1"/>
    <w:basedOn w:val="1"/>
    <w:qFormat/>
    <w:uiPriority w:val="0"/>
    <w:pPr>
      <w:widowControl w:val="0"/>
      <w:shd w:val="clear" w:color="auto" w:fill="auto"/>
      <w:spacing w:line="360" w:lineRule="auto"/>
      <w:ind w:firstLine="400"/>
    </w:pPr>
    <w:rPr>
      <w:rFonts w:ascii="宋体" w:hAnsi="宋体" w:eastAsia="宋体" w:cs="宋体"/>
      <w:sz w:val="18"/>
      <w:szCs w:val="18"/>
      <w:u w:val="none"/>
      <w:shd w:val="clear" w:color="auto" w:fill="auto"/>
      <w:lang w:val="zh-TW" w:eastAsia="zh-TW" w:bidi="zh-TW"/>
    </w:rPr>
  </w:style>
  <w:style w:type="paragraph" w:customStyle="1" w:styleId="318">
    <w:name w:val="Body text|2"/>
    <w:basedOn w:val="1"/>
    <w:qFormat/>
    <w:uiPriority w:val="0"/>
    <w:pPr>
      <w:widowControl w:val="0"/>
      <w:shd w:val="clear" w:color="auto" w:fill="auto"/>
      <w:spacing w:line="313" w:lineRule="exact"/>
      <w:ind w:firstLine="580"/>
    </w:pPr>
    <w:rPr>
      <w:b/>
      <w:bCs/>
      <w:sz w:val="19"/>
      <w:szCs w:val="19"/>
      <w:u w:val="none"/>
      <w:shd w:val="clear" w:color="auto" w:fill="auto"/>
    </w:rPr>
  </w:style>
  <w:style w:type="character" w:customStyle="1" w:styleId="319">
    <w:name w:val="font61"/>
    <w:basedOn w:val="50"/>
    <w:qFormat/>
    <w:uiPriority w:val="0"/>
    <w:rPr>
      <w:rFonts w:hint="default" w:ascii="Times New Roman" w:hAnsi="Times New Roman" w:cs="Times New Roman"/>
      <w:color w:val="000000"/>
      <w:sz w:val="21"/>
      <w:szCs w:val="21"/>
      <w:u w:val="none"/>
    </w:rPr>
  </w:style>
  <w:style w:type="paragraph" w:customStyle="1" w:styleId="320">
    <w:name w:val="...正文"/>
    <w:basedOn w:val="321"/>
    <w:qFormat/>
    <w:uiPriority w:val="0"/>
    <w:pPr>
      <w:spacing w:before="0" w:after="0"/>
      <w:ind w:firstLine="560" w:firstLineChars="200"/>
    </w:pPr>
    <w:rPr>
      <w:rFonts w:ascii="Times New Roman" w:hAnsi="Times New Roman"/>
      <w:sz w:val="24"/>
    </w:rPr>
  </w:style>
  <w:style w:type="paragraph" w:customStyle="1" w:styleId="321">
    <w:name w:val="——"/>
    <w:basedOn w:val="322"/>
    <w:qFormat/>
    <w:uiPriority w:val="0"/>
    <w:pPr>
      <w:ind w:left="0" w:firstLine="660" w:firstLineChars="300"/>
    </w:pPr>
  </w:style>
  <w:style w:type="paragraph" w:customStyle="1" w:styleId="322">
    <w:name w:val="Texte"/>
    <w:basedOn w:val="1"/>
    <w:qFormat/>
    <w:uiPriority w:val="0"/>
    <w:pPr>
      <w:widowControl/>
      <w:spacing w:before="120" w:after="120" w:line="480" w:lineRule="exact"/>
      <w:ind w:left="851" w:firstLine="200" w:firstLineChars="200"/>
    </w:pPr>
    <w:rPr>
      <w:rFonts w:ascii="Arial" w:hAnsi="Arial"/>
      <w:kern w:val="0"/>
      <w:sz w:val="22"/>
      <w:lang w:val="en-GB"/>
    </w:rPr>
  </w:style>
  <w:style w:type="paragraph" w:customStyle="1" w:styleId="323">
    <w:name w:val="样式 正文11 + 首行缩进:  2 字符"/>
    <w:basedOn w:val="1"/>
    <w:unhideWhenUsed/>
    <w:qFormat/>
    <w:uiPriority w:val="0"/>
    <w:pPr>
      <w:spacing w:line="500" w:lineRule="exact"/>
      <w:ind w:firstLine="560" w:firstLineChars="200"/>
    </w:pPr>
    <w:rPr>
      <w:rFonts w:hint="eastAsia" w:ascii="宋体" w:hAnsi="宋体"/>
      <w:color w:val="FF0000"/>
      <w:sz w:val="28"/>
    </w:rPr>
  </w:style>
  <w:style w:type="character" w:customStyle="1" w:styleId="324">
    <w:name w:val="font71"/>
    <w:basedOn w:val="50"/>
    <w:qFormat/>
    <w:uiPriority w:val="0"/>
    <w:rPr>
      <w:rFonts w:hint="default" w:ascii="Arial" w:hAnsi="Arial" w:cs="Arial"/>
      <w:color w:val="000000"/>
      <w:sz w:val="20"/>
      <w:szCs w:val="20"/>
      <w:u w:val="none"/>
    </w:rPr>
  </w:style>
  <w:style w:type="character" w:customStyle="1" w:styleId="325">
    <w:name w:val="font81"/>
    <w:basedOn w:val="50"/>
    <w:qFormat/>
    <w:uiPriority w:val="0"/>
    <w:rPr>
      <w:rFonts w:hint="default" w:ascii="Times New Roman" w:hAnsi="Times New Roman" w:cs="Times New Roman"/>
      <w:color w:val="000000"/>
      <w:sz w:val="21"/>
      <w:szCs w:val="21"/>
      <w:u w:val="none"/>
      <w:vertAlign w:val="superscript"/>
    </w:rPr>
  </w:style>
  <w:style w:type="paragraph" w:customStyle="1" w:styleId="326">
    <w:name w:val="zhu-正文"/>
    <w:qFormat/>
    <w:uiPriority w:val="0"/>
    <w:pPr>
      <w:spacing w:line="460" w:lineRule="exact"/>
      <w:ind w:firstLine="454"/>
    </w:pPr>
    <w:rPr>
      <w:rFonts w:ascii="Times New Roman" w:hAnsi="Times New Roman" w:eastAsia="宋体" w:cs="宋体"/>
      <w:color w:val="000000"/>
      <w:sz w:val="24"/>
      <w:szCs w:val="24"/>
      <w:lang w:val="en-US" w:eastAsia="zh-CN" w:bidi="ar-SA"/>
    </w:rPr>
  </w:style>
  <w:style w:type="paragraph" w:customStyle="1" w:styleId="327">
    <w:name w:val="1-zhu-表头"/>
    <w:qFormat/>
    <w:uiPriority w:val="0"/>
    <w:pPr>
      <w:spacing w:beforeLines="60" w:line="300" w:lineRule="exact"/>
      <w:ind w:firstLine="200" w:firstLineChars="200"/>
      <w:jc w:val="center"/>
    </w:pPr>
    <w:rPr>
      <w:rFonts w:ascii="Times New Roman" w:hAnsi="Times New Roman" w:eastAsia="宋体" w:cs="Times New Roman"/>
      <w:kern w:val="2"/>
      <w:sz w:val="24"/>
      <w:szCs w:val="22"/>
      <w:lang w:val="en-US" w:eastAsia="zh-CN" w:bidi="ar-SA"/>
    </w:rPr>
  </w:style>
  <w:style w:type="paragraph" w:customStyle="1" w:styleId="328">
    <w:name w:val="Table Text"/>
    <w:basedOn w:val="1"/>
    <w:semiHidden/>
    <w:qFormat/>
    <w:uiPriority w:val="0"/>
    <w:rPr>
      <w:rFonts w:ascii="宋体" w:hAnsi="宋体" w:eastAsia="宋体" w:cs="宋体"/>
      <w:sz w:val="28"/>
      <w:szCs w:val="28"/>
      <w:lang w:val="en-US" w:eastAsia="en-US" w:bidi="ar-SA"/>
    </w:rPr>
  </w:style>
  <w:style w:type="paragraph" w:customStyle="1" w:styleId="329">
    <w:name w:val="【表头】"/>
    <w:basedOn w:val="1"/>
    <w:qFormat/>
    <w:uiPriority w:val="0"/>
    <w:pPr>
      <w:spacing w:beforeLines="10" w:afterLines="10"/>
      <w:jc w:val="center"/>
    </w:pPr>
    <w:rPr>
      <w:rFonts w:ascii="Times New Roman" w:hAnsi="Times New Roman" w:eastAsia="黑体"/>
      <w:b/>
      <w:bCs/>
      <w:kern w:val="0"/>
      <w:sz w:val="20"/>
      <w:szCs w:val="20"/>
    </w:rPr>
  </w:style>
  <w:style w:type="character" w:customStyle="1" w:styleId="330">
    <w:name w:val="fontstyle61"/>
    <w:qFormat/>
    <w:uiPriority w:val="99"/>
    <w:rPr>
      <w:rFonts w:ascii="宋体" w:hAnsi="宋体" w:eastAsia="宋体" w:cs="宋体"/>
      <w:color w:val="000000"/>
      <w:sz w:val="28"/>
      <w:szCs w:val="28"/>
    </w:rPr>
  </w:style>
  <w:style w:type="character" w:customStyle="1" w:styleId="331">
    <w:name w:val="font91"/>
    <w:basedOn w:val="50"/>
    <w:qFormat/>
    <w:uiPriority w:val="0"/>
    <w:rPr>
      <w:rFonts w:hint="default" w:ascii="Times New Roman" w:hAnsi="Times New Roman" w:cs="Times New Roman"/>
      <w:color w:val="FF0000"/>
      <w:sz w:val="21"/>
      <w:szCs w:val="21"/>
      <w:u w:val="none"/>
      <w:vertAlign w:val="subscript"/>
    </w:rPr>
  </w:style>
  <w:style w:type="paragraph" w:customStyle="1" w:styleId="332">
    <w:name w:val="BIG BOLD"/>
    <w:basedOn w:val="1"/>
    <w:semiHidden/>
    <w:qFormat/>
    <w:uiPriority w:val="0"/>
    <w:pPr>
      <w:tabs>
        <w:tab w:val="left" w:leader="underscore" w:pos="1134"/>
      </w:tabs>
    </w:pPr>
    <w:rPr>
      <w:rFonts w:ascii="Times New Roman"/>
      <w:spacing w:val="0"/>
      <w:sz w:val="21"/>
      <w:szCs w:val="20"/>
    </w:rPr>
  </w:style>
  <w:style w:type="paragraph" w:customStyle="1" w:styleId="333">
    <w:name w:val="Char2 Char Char Char1 Char Char Char2"/>
    <w:basedOn w:val="1"/>
    <w:qFormat/>
    <w:uiPriority w:val="0"/>
    <w:pPr>
      <w:widowControl/>
      <w:spacing w:after="160" w:line="240" w:lineRule="exact"/>
      <w:jc w:val="left"/>
    </w:pPr>
    <w:rPr>
      <w:rFonts w:ascii="Arial" w:hAnsi="Arial"/>
      <w:kern w:val="0"/>
      <w:sz w:val="20"/>
      <w:szCs w:val="20"/>
      <w:lang w:eastAsia="en-US"/>
    </w:rPr>
  </w:style>
  <w:style w:type="paragraph" w:customStyle="1" w:styleId="334">
    <w:name w:val="Char38"/>
    <w:basedOn w:val="1"/>
    <w:qFormat/>
    <w:uiPriority w:val="0"/>
    <w:pPr>
      <w:ind w:left="-48"/>
    </w:pPr>
    <w:rPr>
      <w:rFonts w:ascii="Times New Roman"/>
      <w:spacing w:val="0"/>
      <w:sz w:val="21"/>
      <w:szCs w:val="24"/>
    </w:rPr>
  </w:style>
  <w:style w:type="paragraph" w:customStyle="1" w:styleId="335">
    <w:name w:val="Normal"/>
    <w:basedOn w:val="1"/>
    <w:qFormat/>
    <w:uiPriority w:val="0"/>
    <w:pPr>
      <w:adjustRightInd w:val="0"/>
      <w:spacing w:line="480" w:lineRule="exact"/>
      <w:textAlignment w:val="baseline"/>
    </w:pPr>
    <w:rPr>
      <w:rFonts w:ascii="Times New Roman"/>
      <w:spacing w:val="-2"/>
      <w:kern w:val="0"/>
      <w:sz w:val="28"/>
      <w:szCs w:val="20"/>
    </w:rPr>
  </w:style>
  <w:style w:type="paragraph" w:customStyle="1" w:styleId="336">
    <w:name w:val="表内511"/>
    <w:basedOn w:val="1"/>
    <w:qFormat/>
    <w:uiPriority w:val="0"/>
    <w:pPr>
      <w:adjustRightInd w:val="0"/>
      <w:snapToGrid w:val="0"/>
      <w:jc w:val="center"/>
    </w:pPr>
    <w:rPr>
      <w:rFonts w:hAnsi="宋体"/>
      <w:spacing w:val="0"/>
      <w:kern w:val="0"/>
      <w:sz w:val="20"/>
      <w:szCs w:val="20"/>
    </w:rPr>
  </w:style>
  <w:style w:type="table" w:customStyle="1" w:styleId="337">
    <w:name w:val="网格型24"/>
    <w:basedOn w:val="4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38">
    <w:name w:val="表格正文"/>
    <w:basedOn w:val="1"/>
    <w:autoRedefine/>
    <w:qFormat/>
    <w:uiPriority w:val="0"/>
    <w:pPr>
      <w:spacing w:line="360" w:lineRule="exact"/>
      <w:jc w:val="center"/>
    </w:pPr>
  </w:style>
</w:styles>
</file>

<file path=word/_rels/document.xml.rels><?xml version="1.0" encoding="UTF-8" standalone="yes"?>
<Relationships xmlns="http://schemas.openxmlformats.org/package/2006/relationships"><Relationship Id="rId99" Type="http://schemas.openxmlformats.org/officeDocument/2006/relationships/image" Target="media/image49.png"/><Relationship Id="rId98" Type="http://schemas.openxmlformats.org/officeDocument/2006/relationships/image" Target="media/image48.wmf"/><Relationship Id="rId97" Type="http://schemas.openxmlformats.org/officeDocument/2006/relationships/image" Target="media/image47.wmf"/><Relationship Id="rId96" Type="http://schemas.openxmlformats.org/officeDocument/2006/relationships/image" Target="media/image46.wmf"/><Relationship Id="rId95" Type="http://schemas.openxmlformats.org/officeDocument/2006/relationships/image" Target="media/image45.wmf"/><Relationship Id="rId94" Type="http://schemas.openxmlformats.org/officeDocument/2006/relationships/image" Target="media/image44.wmf"/><Relationship Id="rId93" Type="http://schemas.openxmlformats.org/officeDocument/2006/relationships/image" Target="media/image43.wmf"/><Relationship Id="rId92" Type="http://schemas.openxmlformats.org/officeDocument/2006/relationships/image" Target="media/image42.wmf"/><Relationship Id="rId91" Type="http://schemas.openxmlformats.org/officeDocument/2006/relationships/image" Target="media/image41.wmf"/><Relationship Id="rId90" Type="http://schemas.openxmlformats.org/officeDocument/2006/relationships/image" Target="media/image40.wmf"/><Relationship Id="rId9" Type="http://schemas.openxmlformats.org/officeDocument/2006/relationships/footer" Target="footer2.xml"/><Relationship Id="rId89" Type="http://schemas.openxmlformats.org/officeDocument/2006/relationships/image" Target="media/image39.wmf"/><Relationship Id="rId88" Type="http://schemas.openxmlformats.org/officeDocument/2006/relationships/image" Target="media/image38.wmf"/><Relationship Id="rId87" Type="http://schemas.openxmlformats.org/officeDocument/2006/relationships/image" Target="media/image37.wmf"/><Relationship Id="rId86" Type="http://schemas.openxmlformats.org/officeDocument/2006/relationships/image" Target="media/image36.wmf"/><Relationship Id="rId85" Type="http://schemas.openxmlformats.org/officeDocument/2006/relationships/image" Target="media/image35.png"/><Relationship Id="rId84" Type="http://schemas.openxmlformats.org/officeDocument/2006/relationships/image" Target="media/image34.emf"/><Relationship Id="rId83" Type="http://schemas.openxmlformats.org/officeDocument/2006/relationships/oleObject" Target="embeddings/oleObject17.bin"/><Relationship Id="rId82" Type="http://schemas.openxmlformats.org/officeDocument/2006/relationships/image" Target="media/image33.png"/><Relationship Id="rId81" Type="http://schemas.openxmlformats.org/officeDocument/2006/relationships/image" Target="media/image32.png"/><Relationship Id="rId80" Type="http://schemas.openxmlformats.org/officeDocument/2006/relationships/image" Target="media/image31.emf"/><Relationship Id="rId8" Type="http://schemas.openxmlformats.org/officeDocument/2006/relationships/footer" Target="footer1.xml"/><Relationship Id="rId79" Type="http://schemas.openxmlformats.org/officeDocument/2006/relationships/image" Target="media/image30.png"/><Relationship Id="rId78" Type="http://schemas.openxmlformats.org/officeDocument/2006/relationships/image" Target="media/image29.png"/><Relationship Id="rId77" Type="http://schemas.openxmlformats.org/officeDocument/2006/relationships/image" Target="media/image28.jpeg"/><Relationship Id="rId76" Type="http://schemas.openxmlformats.org/officeDocument/2006/relationships/image" Target="media/image27.jpeg"/><Relationship Id="rId75" Type="http://schemas.openxmlformats.org/officeDocument/2006/relationships/image" Target="media/image26.png"/><Relationship Id="rId74" Type="http://schemas.openxmlformats.org/officeDocument/2006/relationships/image" Target="media/image25.png"/><Relationship Id="rId73" Type="http://schemas.openxmlformats.org/officeDocument/2006/relationships/image" Target="media/image24.png"/><Relationship Id="rId72" Type="http://schemas.openxmlformats.org/officeDocument/2006/relationships/chart" Target="charts/chart5.xml"/><Relationship Id="rId71" Type="http://schemas.openxmlformats.org/officeDocument/2006/relationships/chart" Target="charts/chart4.xml"/><Relationship Id="rId70" Type="http://schemas.openxmlformats.org/officeDocument/2006/relationships/chart" Target="charts/chart3.xml"/><Relationship Id="rId7" Type="http://schemas.openxmlformats.org/officeDocument/2006/relationships/header" Target="header3.xml"/><Relationship Id="rId69" Type="http://schemas.openxmlformats.org/officeDocument/2006/relationships/chart" Target="charts/chart2.xml"/><Relationship Id="rId68" Type="http://schemas.openxmlformats.org/officeDocument/2006/relationships/chart" Target="charts/chart1.xml"/><Relationship Id="rId67" Type="http://schemas.openxmlformats.org/officeDocument/2006/relationships/image" Target="media/image23.wmf"/><Relationship Id="rId66" Type="http://schemas.openxmlformats.org/officeDocument/2006/relationships/oleObject" Target="embeddings/oleObject16.bin"/><Relationship Id="rId65" Type="http://schemas.openxmlformats.org/officeDocument/2006/relationships/oleObject" Target="embeddings/oleObject15.bin"/><Relationship Id="rId64" Type="http://schemas.openxmlformats.org/officeDocument/2006/relationships/image" Target="media/image22.emf"/><Relationship Id="rId63" Type="http://schemas.openxmlformats.org/officeDocument/2006/relationships/oleObject" Target="embeddings/oleObject14.bin"/><Relationship Id="rId62" Type="http://schemas.openxmlformats.org/officeDocument/2006/relationships/image" Target="media/image21.jpeg"/><Relationship Id="rId61" Type="http://schemas.openxmlformats.org/officeDocument/2006/relationships/image" Target="media/image20.wmf"/><Relationship Id="rId60" Type="http://schemas.openxmlformats.org/officeDocument/2006/relationships/oleObject" Target="embeddings/oleObject13.bin"/><Relationship Id="rId6" Type="http://schemas.openxmlformats.org/officeDocument/2006/relationships/header" Target="header2.xml"/><Relationship Id="rId59" Type="http://schemas.openxmlformats.org/officeDocument/2006/relationships/image" Target="media/image19.png"/><Relationship Id="rId58" Type="http://schemas.openxmlformats.org/officeDocument/2006/relationships/image" Target="media/image18.jpeg"/><Relationship Id="rId57" Type="http://schemas.openxmlformats.org/officeDocument/2006/relationships/image" Target="media/image17.png"/><Relationship Id="rId56" Type="http://schemas.openxmlformats.org/officeDocument/2006/relationships/image" Target="media/image16.png"/><Relationship Id="rId55" Type="http://schemas.openxmlformats.org/officeDocument/2006/relationships/image" Target="media/image15.emf"/><Relationship Id="rId54" Type="http://schemas.openxmlformats.org/officeDocument/2006/relationships/oleObject" Target="embeddings/oleObject12.bin"/><Relationship Id="rId53" Type="http://schemas.openxmlformats.org/officeDocument/2006/relationships/image" Target="media/image14.emf"/><Relationship Id="rId52" Type="http://schemas.openxmlformats.org/officeDocument/2006/relationships/oleObject" Target="embeddings/oleObject11.bin"/><Relationship Id="rId51" Type="http://schemas.openxmlformats.org/officeDocument/2006/relationships/image" Target="media/image13.emf"/><Relationship Id="rId50" Type="http://schemas.openxmlformats.org/officeDocument/2006/relationships/oleObject" Target="embeddings/oleObject10.bin"/><Relationship Id="rId5" Type="http://schemas.openxmlformats.org/officeDocument/2006/relationships/header" Target="header1.xml"/><Relationship Id="rId49" Type="http://schemas.openxmlformats.org/officeDocument/2006/relationships/image" Target="media/image12.emf"/><Relationship Id="rId48" Type="http://schemas.openxmlformats.org/officeDocument/2006/relationships/oleObject" Target="embeddings/oleObject9.bin"/><Relationship Id="rId47" Type="http://schemas.openxmlformats.org/officeDocument/2006/relationships/image" Target="media/image11.emf"/><Relationship Id="rId46" Type="http://schemas.openxmlformats.org/officeDocument/2006/relationships/oleObject" Target="embeddings/oleObject8.bin"/><Relationship Id="rId45" Type="http://schemas.openxmlformats.org/officeDocument/2006/relationships/image" Target="media/image10.emf"/><Relationship Id="rId44" Type="http://schemas.openxmlformats.org/officeDocument/2006/relationships/oleObject" Target="embeddings/oleObject7.bin"/><Relationship Id="rId43" Type="http://schemas.openxmlformats.org/officeDocument/2006/relationships/image" Target="media/image9.emf"/><Relationship Id="rId42" Type="http://schemas.openxmlformats.org/officeDocument/2006/relationships/oleObject" Target="embeddings/oleObject6.bin"/><Relationship Id="rId41" Type="http://schemas.openxmlformats.org/officeDocument/2006/relationships/image" Target="media/image8.emf"/><Relationship Id="rId40" Type="http://schemas.openxmlformats.org/officeDocument/2006/relationships/oleObject" Target="embeddings/oleObject5.bin"/><Relationship Id="rId4" Type="http://schemas.openxmlformats.org/officeDocument/2006/relationships/endnotes" Target="endnotes.xml"/><Relationship Id="rId39" Type="http://schemas.openxmlformats.org/officeDocument/2006/relationships/image" Target="media/image7.emf"/><Relationship Id="rId38" Type="http://schemas.openxmlformats.org/officeDocument/2006/relationships/oleObject" Target="embeddings/oleObject4.bin"/><Relationship Id="rId37" Type="http://schemas.openxmlformats.org/officeDocument/2006/relationships/image" Target="media/image6.png"/><Relationship Id="rId36" Type="http://schemas.openxmlformats.org/officeDocument/2006/relationships/image" Target="media/image5.emf"/><Relationship Id="rId35" Type="http://schemas.openxmlformats.org/officeDocument/2006/relationships/oleObject" Target="embeddings/oleObject3.bin"/><Relationship Id="rId34" Type="http://schemas.openxmlformats.org/officeDocument/2006/relationships/image" Target="media/image4.png"/><Relationship Id="rId33" Type="http://schemas.openxmlformats.org/officeDocument/2006/relationships/oleObject" Target="embeddings/oleObject2.bin"/><Relationship Id="rId32" Type="http://schemas.openxmlformats.org/officeDocument/2006/relationships/image" Target="media/image3.png"/><Relationship Id="rId31" Type="http://schemas.openxmlformats.org/officeDocument/2006/relationships/image" Target="media/image2.png"/><Relationship Id="rId30" Type="http://schemas.openxmlformats.org/officeDocument/2006/relationships/image" Target="media/image1.emf"/><Relationship Id="rId3" Type="http://schemas.openxmlformats.org/officeDocument/2006/relationships/footnotes" Target="footnotes.xml"/><Relationship Id="rId29" Type="http://schemas.openxmlformats.org/officeDocument/2006/relationships/oleObject" Target="embeddings/oleObject1.bin"/><Relationship Id="rId28" Type="http://schemas.openxmlformats.org/officeDocument/2006/relationships/theme" Target="theme/theme1.xml"/><Relationship Id="rId27" Type="http://schemas.openxmlformats.org/officeDocument/2006/relationships/footer" Target="footer15.xml"/><Relationship Id="rId26" Type="http://schemas.openxmlformats.org/officeDocument/2006/relationships/footer" Target="footer14.xml"/><Relationship Id="rId25" Type="http://schemas.openxmlformats.org/officeDocument/2006/relationships/footer" Target="footer13.xml"/><Relationship Id="rId24" Type="http://schemas.openxmlformats.org/officeDocument/2006/relationships/footer" Target="footer12.xml"/><Relationship Id="rId23" Type="http://schemas.openxmlformats.org/officeDocument/2006/relationships/footer" Target="footer11.xml"/><Relationship Id="rId22" Type="http://schemas.openxmlformats.org/officeDocument/2006/relationships/header" Target="header8.xml"/><Relationship Id="rId21" Type="http://schemas.openxmlformats.org/officeDocument/2006/relationships/footer" Target="footer10.xml"/><Relationship Id="rId20" Type="http://schemas.openxmlformats.org/officeDocument/2006/relationships/header" Target="header7.xml"/><Relationship Id="rId2" Type="http://schemas.openxmlformats.org/officeDocument/2006/relationships/settings" Target="settings.xml"/><Relationship Id="rId19" Type="http://schemas.openxmlformats.org/officeDocument/2006/relationships/footer" Target="footer9.xml"/><Relationship Id="rId18" Type="http://schemas.openxmlformats.org/officeDocument/2006/relationships/header" Target="header6.xml"/><Relationship Id="rId17" Type="http://schemas.openxmlformats.org/officeDocument/2006/relationships/footer" Target="footer8.xml"/><Relationship Id="rId16" Type="http://schemas.openxmlformats.org/officeDocument/2006/relationships/header" Target="header5.xml"/><Relationship Id="rId15" Type="http://schemas.openxmlformats.org/officeDocument/2006/relationships/footer" Target="footer7.xml"/><Relationship Id="rId14" Type="http://schemas.openxmlformats.org/officeDocument/2006/relationships/footer" Target="footer6.xml"/><Relationship Id="rId130" Type="http://schemas.openxmlformats.org/officeDocument/2006/relationships/fontTable" Target="fontTable.xml"/><Relationship Id="rId13" Type="http://schemas.openxmlformats.org/officeDocument/2006/relationships/footer" Target="footer5.xml"/><Relationship Id="rId129" Type="http://schemas.openxmlformats.org/officeDocument/2006/relationships/numbering" Target="numbering.xml"/><Relationship Id="rId128" Type="http://schemas.openxmlformats.org/officeDocument/2006/relationships/customXml" Target="../customXml/item1.xml"/><Relationship Id="rId127" Type="http://schemas.openxmlformats.org/officeDocument/2006/relationships/image" Target="media/image71.emf"/><Relationship Id="rId126" Type="http://schemas.openxmlformats.org/officeDocument/2006/relationships/oleObject" Target="embeddings/oleObject23.bin"/><Relationship Id="rId125" Type="http://schemas.openxmlformats.org/officeDocument/2006/relationships/image" Target="media/image70.wmf"/><Relationship Id="rId124" Type="http://schemas.openxmlformats.org/officeDocument/2006/relationships/image" Target="media/image69.wmf"/><Relationship Id="rId123" Type="http://schemas.openxmlformats.org/officeDocument/2006/relationships/oleObject" Target="embeddings/oleObject22.bin"/><Relationship Id="rId122" Type="http://schemas.openxmlformats.org/officeDocument/2006/relationships/image" Target="media/image68.wmf"/><Relationship Id="rId121" Type="http://schemas.openxmlformats.org/officeDocument/2006/relationships/image" Target="media/image67.wmf"/><Relationship Id="rId120" Type="http://schemas.openxmlformats.org/officeDocument/2006/relationships/image" Target="media/image66.png"/><Relationship Id="rId12" Type="http://schemas.openxmlformats.org/officeDocument/2006/relationships/footer" Target="footer4.xml"/><Relationship Id="rId119" Type="http://schemas.openxmlformats.org/officeDocument/2006/relationships/image" Target="media/image65.emf"/><Relationship Id="rId118" Type="http://schemas.openxmlformats.org/officeDocument/2006/relationships/oleObject" Target="embeddings/oleObject21.bin"/><Relationship Id="rId117" Type="http://schemas.openxmlformats.org/officeDocument/2006/relationships/image" Target="media/image64.png"/><Relationship Id="rId116" Type="http://schemas.openxmlformats.org/officeDocument/2006/relationships/image" Target="media/image63.png"/><Relationship Id="rId115" Type="http://schemas.openxmlformats.org/officeDocument/2006/relationships/image" Target="media/image62.png"/><Relationship Id="rId114" Type="http://schemas.openxmlformats.org/officeDocument/2006/relationships/image" Target="media/image61.png"/><Relationship Id="rId113" Type="http://schemas.openxmlformats.org/officeDocument/2006/relationships/image" Target="media/image60.png"/><Relationship Id="rId112" Type="http://schemas.openxmlformats.org/officeDocument/2006/relationships/image" Target="media/image59.png"/><Relationship Id="rId111" Type="http://schemas.openxmlformats.org/officeDocument/2006/relationships/image" Target="media/image58.png"/><Relationship Id="rId110" Type="http://schemas.openxmlformats.org/officeDocument/2006/relationships/image" Target="media/image57.png"/><Relationship Id="rId11" Type="http://schemas.openxmlformats.org/officeDocument/2006/relationships/header" Target="header4.xml"/><Relationship Id="rId109" Type="http://schemas.openxmlformats.org/officeDocument/2006/relationships/image" Target="media/image56.png"/><Relationship Id="rId108" Type="http://schemas.openxmlformats.org/officeDocument/2006/relationships/image" Target="media/image55.png"/><Relationship Id="rId107" Type="http://schemas.openxmlformats.org/officeDocument/2006/relationships/image" Target="media/image54.wmf"/><Relationship Id="rId106" Type="http://schemas.openxmlformats.org/officeDocument/2006/relationships/oleObject" Target="embeddings/oleObject20.bin"/><Relationship Id="rId105" Type="http://schemas.openxmlformats.org/officeDocument/2006/relationships/image" Target="media/image53.wmf"/><Relationship Id="rId104" Type="http://schemas.openxmlformats.org/officeDocument/2006/relationships/oleObject" Target="embeddings/oleObject19.bin"/><Relationship Id="rId103" Type="http://schemas.openxmlformats.org/officeDocument/2006/relationships/image" Target="media/image52.wmf"/><Relationship Id="rId102" Type="http://schemas.openxmlformats.org/officeDocument/2006/relationships/oleObject" Target="embeddings/oleObject18.bin"/><Relationship Id="rId101" Type="http://schemas.openxmlformats.org/officeDocument/2006/relationships/image" Target="media/image51.wmf"/><Relationship Id="rId100" Type="http://schemas.openxmlformats.org/officeDocument/2006/relationships/image" Target="media/image50.png"/><Relationship Id="rId10" Type="http://schemas.openxmlformats.org/officeDocument/2006/relationships/footer" Target="footer3.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5.xml"/><Relationship Id="rId2" Type="http://schemas.microsoft.com/office/2011/relationships/chartStyle" Target="style5.xml"/><Relationship Id="rId1" Type="http://schemas.openxmlformats.org/officeDocument/2006/relationships/oleObject" Target="file:///F:\&#27491;&#22312;&#36827;&#34892;&#20013;\2&#25253;&#21578;&#20070;\&#26361;&#22915;&#30008;&#23478;&#20855;&#22253;&#21306;&#35268;&#21010;&#29615;&#35780;2023.6.12\&#25253;&#21578;&#21069;&#26399;\&#22320;&#19979;&#27700;+&#36136;&#37327;&#21464;&#21270;&#36235;&#21183;&#39044;&#27979;&#22270;.xlsx"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oleObject" Target="file:///C:\Users\HP\Desktop\&#35745;&#31639;.xls" TargetMode="External"/></Relationships>
</file>

<file path=word/charts/_rels/chart3.xml.rels><?xml version="1.0" encoding="UTF-8" standalone="yes"?>
<Relationships xmlns="http://schemas.openxmlformats.org/package/2006/relationships"><Relationship Id="rId3" Type="http://schemas.microsoft.com/office/2011/relationships/chartColorStyle" Target="colors4.xml"/><Relationship Id="rId2" Type="http://schemas.microsoft.com/office/2011/relationships/chartStyle" Target="style4.xml"/><Relationship Id="rId1" Type="http://schemas.openxmlformats.org/officeDocument/2006/relationships/oleObject" Target="file:///C:\Users\HP\Desktop\&#35745;&#31639;.xls" TargetMode="External"/></Relationships>
</file>

<file path=word/charts/_rels/chart4.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C:\Users\HP\Desktop\&#35745;&#31639;.xls" TargetMode="External"/></Relationships>
</file>

<file path=word/charts/_rels/chart5.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C:\Users\HP\Desktop\&#35745;&#31639;.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0" vertOverflow="ellipsis" vert="horz" wrap="square" anchor="ctr" anchorCtr="1"/>
        <a:lstStyle/>
        <a:p>
          <a:pPr>
            <a:defRPr lang="zh-CN" sz="1400" b="1" i="0" u="none" strike="noStrike" kern="1200" baseline="0">
              <a:solidFill>
                <a:srgbClr val="404040">
                  <a:lumMod val="75000"/>
                  <a:lumOff val="25000"/>
                </a:srgbClr>
              </a:solidFill>
              <a:latin typeface="+mn-lt"/>
              <a:ea typeface="+mn-ea"/>
              <a:cs typeface="+mn-cs"/>
            </a:defRPr>
          </a:pPr>
        </a:p>
      </c:txPr>
    </c:title>
    <c:autoTitleDeleted val="0"/>
    <c:plotArea>
      <c:layout/>
      <c:lineChart>
        <c:grouping val="standard"/>
        <c:varyColors val="0"/>
        <c:ser>
          <c:idx val="0"/>
          <c:order val="0"/>
          <c:tx>
            <c:strRef>
              <c:f>'[地下水+质量变化趋势预测图.xlsx]Sheet2'!$B$72</c:f>
              <c:strCache>
                <c:ptCount val="1"/>
                <c:pt idx="0">
                  <c:v>温度</c:v>
                </c:pt>
              </c:strCache>
            </c:strRef>
          </c:tx>
          <c:spPr>
            <a:ln w="28575" cap="rnd">
              <a:solidFill>
                <a:srgbClr val="4F81BD"/>
              </a:solidFill>
              <a:round/>
            </a:ln>
            <a:effectLst/>
          </c:spPr>
          <c:marker>
            <c:symbol val="none"/>
          </c:marker>
          <c:dLbls>
            <c:delete val="1"/>
          </c:dLbls>
          <c:cat>
            <c:numRef>
              <c:f>'[地下水+质量变化趋势预测图.xlsx]Sheet2'!$C$71:$N$71</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'[地下水+质量变化趋势预测图.xlsx]Sheet2'!$C$72:$N$72</c:f>
              <c:numCache>
                <c:formatCode>General</c:formatCode>
                <c:ptCount val="12"/>
                <c:pt idx="0">
                  <c:v>-3.78</c:v>
                </c:pt>
                <c:pt idx="1">
                  <c:v>-0.86</c:v>
                </c:pt>
                <c:pt idx="2">
                  <c:v>5.91</c:v>
                </c:pt>
                <c:pt idx="3">
                  <c:v>13.2</c:v>
                </c:pt>
                <c:pt idx="4">
                  <c:v>19.75</c:v>
                </c:pt>
                <c:pt idx="5">
                  <c:v>24.72</c:v>
                </c:pt>
                <c:pt idx="6">
                  <c:v>23.49</c:v>
                </c:pt>
                <c:pt idx="7">
                  <c:v>26.09</c:v>
                </c:pt>
                <c:pt idx="8">
                  <c:v>25.51</c:v>
                </c:pt>
                <c:pt idx="9">
                  <c:v>21.15</c:v>
                </c:pt>
                <c:pt idx="10">
                  <c:v>13.74</c:v>
                </c:pt>
                <c:pt idx="11">
                  <c:v>5.2</c:v>
                </c:pt>
              </c:numCache>
            </c:numRef>
          </c:val>
          <c:smooth val="0"/>
        </c:ser>
        <c:dLbls>
          <c:showLegendKey val="0"/>
          <c:showVal val="0"/>
          <c:showCatName val="0"/>
          <c:showSerName val="0"/>
          <c:showPercent val="0"/>
          <c:showBubbleSize val="0"/>
        </c:dLbls>
        <c:marker val="0"/>
        <c:smooth val="0"/>
        <c:axId val="711056898"/>
        <c:axId val="84136736"/>
      </c:lineChart>
      <c:catAx>
        <c:axId val="711056898"/>
        <c:scaling>
          <c:orientation val="minMax"/>
        </c:scaling>
        <c:delete val="0"/>
        <c:axPos val="b"/>
        <c:majorTickMark val="none"/>
        <c:minorTickMark val="none"/>
        <c:tickLblPos val="nextTo"/>
        <c:spPr>
          <a:noFill/>
          <a:ln w="9525" cap="flat" cmpd="sng" algn="ctr">
            <a:solidFill>
              <a:srgbClr val="D9D9D9">
                <a:lumMod val="15000"/>
                <a:lumOff val="85000"/>
              </a:srgbClr>
            </a:solidFill>
            <a:round/>
          </a:ln>
          <a:effectLst/>
        </c:spPr>
        <c:txPr>
          <a:bodyPr rot="-6000000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p>
        </c:txPr>
        <c:crossAx val="84136736"/>
        <c:crosses val="autoZero"/>
        <c:auto val="1"/>
        <c:lblAlgn val="ctr"/>
        <c:lblOffset val="100"/>
        <c:noMultiLvlLbl val="0"/>
      </c:catAx>
      <c:valAx>
        <c:axId val="84136736"/>
        <c:scaling>
          <c:orientation val="minMax"/>
        </c:scaling>
        <c:delete val="0"/>
        <c:axPos val="l"/>
        <c:majorGridlines>
          <c:spPr>
            <a:ln w="9525" cap="flat" cmpd="sng" algn="ctr">
              <a:solidFill>
                <a:srgbClr val="E6E6E6">
                  <a:lumMod val="90200"/>
                </a:srgb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p>
        </c:txPr>
        <c:crossAx val="711056898"/>
        <c:crosses val="autoZero"/>
        <c:crossBetween val="between"/>
      </c:valAx>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p>
      </c:txPr>
    </c:legend>
    <c:plotVisOnly val="1"/>
    <c:dispBlanksAs val="gap"/>
    <c:showDLblsOverMax val="0"/>
    <c:extLst>
      <c:ext uri="{0b15fc19-7d7d-44ad-8c2d-2c3a37ce22c3}">
        <chartProps xmlns="https://web.wps.cn/et/2018/main" chartId="{769b4d44-4e67-4571-90da-4bb19a4b719f}"/>
      </c:ext>
    </c:extLst>
  </c:chart>
  <c:spPr>
    <a:solidFill>
      <a:srgbClr val="FFFFFF"/>
    </a:solidFill>
    <a:ln w="9525" cap="flat" cmpd="sng" algn="ctr">
      <a:solidFill>
        <a:srgbClr val="D9D9D9">
          <a:lumMod val="15000"/>
          <a:lumOff val="85000"/>
        </a:srgb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0" vertOverflow="ellipsis" vert="horz" wrap="square" anchor="ctr" anchorCtr="1"/>
        <a:lstStyle/>
        <a:p>
          <a:pPr>
            <a:defRPr lang="zh-CN" sz="1400" b="0" i="0" u="none" strike="noStrike" kern="1200" spc="0" baseline="0">
              <a:solidFill>
                <a:srgbClr val="595959">
                  <a:lumMod val="65000"/>
                  <a:lumOff val="35000"/>
                </a:srgbClr>
              </a:solidFill>
              <a:latin typeface="+mn-lt"/>
              <a:ea typeface="+mn-ea"/>
              <a:cs typeface="+mn-cs"/>
            </a:defRPr>
          </a:pPr>
        </a:p>
      </c:txPr>
    </c:title>
    <c:autoTitleDeleted val="0"/>
    <c:plotArea>
      <c:layout/>
      <c:lineChart>
        <c:grouping val="standard"/>
        <c:varyColors val="0"/>
        <c:ser>
          <c:idx val="0"/>
          <c:order val="0"/>
          <c:tx>
            <c:strRef>
              <c:f>[计算.xls]Sheet6!$D$65</c:f>
              <c:strCache>
                <c:ptCount val="1"/>
                <c:pt idx="0">
                  <c:v>湿度%</c:v>
                </c:pt>
              </c:strCache>
            </c:strRef>
          </c:tx>
          <c:spPr>
            <a:ln w="28575" cap="rnd">
              <a:solidFill>
                <a:srgbClr val="4F81BD"/>
              </a:solidFill>
              <a:round/>
            </a:ln>
            <a:effectLst/>
          </c:spPr>
          <c:marker>
            <c:symbol val="none"/>
          </c:marker>
          <c:dLbls>
            <c:delete val="1"/>
          </c:dLbls>
          <c:cat>
            <c:strRef>
              <c:f>[计算.xls]Sheet6!$E$64:$P$64</c:f>
              <c:strCache>
                <c:ptCount val="12"/>
                <c:pt idx="0">
                  <c:v>1月</c:v>
                </c:pt>
                <c:pt idx="1">
                  <c:v>2月</c:v>
                </c:pt>
                <c:pt idx="2">
                  <c:v>3月</c:v>
                </c:pt>
                <c:pt idx="3">
                  <c:v>4月</c:v>
                </c:pt>
                <c:pt idx="4">
                  <c:v>5月</c:v>
                </c:pt>
                <c:pt idx="5">
                  <c:v>6月</c:v>
                </c:pt>
                <c:pt idx="6">
                  <c:v>7月</c:v>
                </c:pt>
                <c:pt idx="7">
                  <c:v>8月</c:v>
                </c:pt>
                <c:pt idx="8">
                  <c:v>9月</c:v>
                </c:pt>
                <c:pt idx="9">
                  <c:v>10月</c:v>
                </c:pt>
                <c:pt idx="10">
                  <c:v>11月</c:v>
                </c:pt>
                <c:pt idx="11">
                  <c:v>12月</c:v>
                </c:pt>
              </c:strCache>
            </c:strRef>
          </c:cat>
          <c:val>
            <c:numRef>
              <c:f>[计算.xls]Sheet6!$E$65:$P$65</c:f>
              <c:numCache>
                <c:formatCode>General</c:formatCode>
                <c:ptCount val="12"/>
                <c:pt idx="0">
                  <c:v>59.15</c:v>
                </c:pt>
                <c:pt idx="1">
                  <c:v>61.15</c:v>
                </c:pt>
                <c:pt idx="2">
                  <c:v>55.72</c:v>
                </c:pt>
                <c:pt idx="3">
                  <c:v>55.1</c:v>
                </c:pt>
                <c:pt idx="4">
                  <c:v>59.11</c:v>
                </c:pt>
                <c:pt idx="5">
                  <c:v>70.44</c:v>
                </c:pt>
                <c:pt idx="6">
                  <c:v>78.85</c:v>
                </c:pt>
                <c:pt idx="7">
                  <c:v>79.13</c:v>
                </c:pt>
                <c:pt idx="8">
                  <c:v>73.01</c:v>
                </c:pt>
                <c:pt idx="9">
                  <c:v>67.19</c:v>
                </c:pt>
                <c:pt idx="10">
                  <c:v>63.56</c:v>
                </c:pt>
                <c:pt idx="11">
                  <c:v>59.94</c:v>
                </c:pt>
              </c:numCache>
            </c:numRef>
          </c:val>
          <c:smooth val="0"/>
        </c:ser>
        <c:dLbls>
          <c:showLegendKey val="0"/>
          <c:showVal val="0"/>
          <c:showCatName val="0"/>
          <c:showSerName val="0"/>
          <c:showPercent val="0"/>
          <c:showBubbleSize val="0"/>
        </c:dLbls>
        <c:marker val="0"/>
        <c:smooth val="0"/>
        <c:axId val="442236601"/>
        <c:axId val="846597538"/>
      </c:lineChart>
      <c:catAx>
        <c:axId val="442236601"/>
        <c:scaling>
          <c:orientation val="minMax"/>
        </c:scaling>
        <c:delete val="0"/>
        <c:axPos val="b"/>
        <c:majorTickMark val="none"/>
        <c:minorTickMark val="none"/>
        <c:tickLblPos val="nextTo"/>
        <c:spPr>
          <a:noFill/>
          <a:ln w="9525" cap="flat" cmpd="sng" algn="ctr">
            <a:solidFill>
              <a:srgbClr val="D9D9D9">
                <a:lumMod val="15000"/>
                <a:lumOff val="85000"/>
              </a:srgbClr>
            </a:solidFill>
            <a:round/>
          </a:ln>
          <a:effectLst/>
        </c:spPr>
        <c:txPr>
          <a:bodyPr rot="-6000000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p>
        </c:txPr>
        <c:crossAx val="846597538"/>
        <c:crosses val="autoZero"/>
        <c:auto val="1"/>
        <c:lblAlgn val="ctr"/>
        <c:lblOffset val="100"/>
        <c:noMultiLvlLbl val="0"/>
      </c:catAx>
      <c:valAx>
        <c:axId val="846597538"/>
        <c:scaling>
          <c:orientation val="minMax"/>
        </c:scaling>
        <c:delete val="0"/>
        <c:axPos val="l"/>
        <c:majorGridlines>
          <c:spPr>
            <a:ln w="9525" cap="flat" cmpd="sng" algn="ctr">
              <a:solidFill>
                <a:srgbClr val="D9D9D9">
                  <a:lumMod val="15000"/>
                  <a:lumOff val="85000"/>
                </a:srgb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p>
        </c:txPr>
        <c:crossAx val="442236601"/>
        <c:crosses val="autoZero"/>
        <c:crossBetween val="between"/>
      </c:valAx>
      <c:spPr>
        <a:noFill/>
        <a:ln>
          <a:noFill/>
        </a:ln>
        <a:effectLst/>
      </c:spPr>
    </c:plotArea>
    <c:plotVisOnly val="1"/>
    <c:dispBlanksAs val="gap"/>
    <c:showDLblsOverMax val="0"/>
    <c:extLst>
      <c:ext uri="{0b15fc19-7d7d-44ad-8c2d-2c3a37ce22c3}">
        <chartProps xmlns="https://web.wps.cn/et/2018/main" chartId="{1a0ce67c-7bc4-43af-8289-4fa2436d6ade}"/>
      </c:ext>
    </c:extLst>
  </c:chart>
  <c:spPr>
    <a:solidFill>
      <a:srgbClr val="FFFFFF"/>
    </a:solidFill>
    <a:ln w="9525" cap="flat" cmpd="sng" algn="ctr">
      <a:solidFill>
        <a:srgbClr val="D9D9D9">
          <a:lumMod val="15000"/>
          <a:lumOff val="85000"/>
        </a:srgbClr>
      </a:solidFill>
      <a:round/>
    </a:ln>
    <a:effectLst/>
  </c:spPr>
  <c:txPr>
    <a:bodyPr/>
    <a:lstStyle/>
    <a:p>
      <a:pPr>
        <a:defRPr lang="zh-CN"/>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0" vertOverflow="ellipsis" vert="horz" wrap="square" anchor="ctr" anchorCtr="1"/>
        <a:lstStyle/>
        <a:p>
          <a:pPr>
            <a:defRPr lang="zh-CN" sz="1400" b="0" i="0" u="none" strike="noStrike" kern="1200" spc="0" baseline="0">
              <a:solidFill>
                <a:srgbClr val="595959">
                  <a:lumMod val="65000"/>
                  <a:lumOff val="35000"/>
                </a:srgbClr>
              </a:solidFill>
              <a:latin typeface="+mn-lt"/>
              <a:ea typeface="+mn-ea"/>
              <a:cs typeface="+mn-cs"/>
            </a:defRPr>
          </a:pPr>
        </a:p>
      </c:txPr>
    </c:title>
    <c:autoTitleDeleted val="0"/>
    <c:plotArea>
      <c:layout/>
      <c:lineChart>
        <c:grouping val="standard"/>
        <c:varyColors val="0"/>
        <c:ser>
          <c:idx val="0"/>
          <c:order val="0"/>
          <c:tx>
            <c:strRef>
              <c:f>[计算.xls]Sheet6!$D$65</c:f>
              <c:strCache>
                <c:ptCount val="1"/>
                <c:pt idx="0">
                  <c:v>降水量</c:v>
                </c:pt>
              </c:strCache>
            </c:strRef>
          </c:tx>
          <c:spPr>
            <a:ln w="28575" cap="rnd">
              <a:solidFill>
                <a:srgbClr val="4F81BD"/>
              </a:solidFill>
              <a:round/>
            </a:ln>
            <a:effectLst/>
          </c:spPr>
          <c:marker>
            <c:symbol val="none"/>
          </c:marker>
          <c:dLbls>
            <c:delete val="1"/>
          </c:dLbls>
          <c:cat>
            <c:strRef>
              <c:f>[计算.xls]Sheet6!$E$64:$P$64</c:f>
              <c:strCache>
                <c:ptCount val="12"/>
                <c:pt idx="0">
                  <c:v>1月</c:v>
                </c:pt>
                <c:pt idx="1">
                  <c:v>2月</c:v>
                </c:pt>
                <c:pt idx="2">
                  <c:v>3月</c:v>
                </c:pt>
                <c:pt idx="3">
                  <c:v>4月</c:v>
                </c:pt>
                <c:pt idx="4">
                  <c:v>5月</c:v>
                </c:pt>
                <c:pt idx="5">
                  <c:v>6月</c:v>
                </c:pt>
                <c:pt idx="6">
                  <c:v>7月</c:v>
                </c:pt>
                <c:pt idx="7">
                  <c:v>8月</c:v>
                </c:pt>
                <c:pt idx="8">
                  <c:v>9月</c:v>
                </c:pt>
                <c:pt idx="9">
                  <c:v>10月</c:v>
                </c:pt>
                <c:pt idx="10">
                  <c:v>11月</c:v>
                </c:pt>
                <c:pt idx="11">
                  <c:v>12月</c:v>
                </c:pt>
              </c:strCache>
            </c:strRef>
          </c:cat>
          <c:val>
            <c:numRef>
              <c:f>[计算.xls]Sheet6!$E$65:$P$65</c:f>
              <c:numCache>
                <c:formatCode>General</c:formatCode>
                <c:ptCount val="12"/>
                <c:pt idx="0">
                  <c:v>2.73</c:v>
                </c:pt>
                <c:pt idx="1">
                  <c:v>5.41</c:v>
                </c:pt>
                <c:pt idx="2">
                  <c:v>7.51</c:v>
                </c:pt>
                <c:pt idx="3">
                  <c:v>21.78</c:v>
                </c:pt>
                <c:pt idx="4">
                  <c:v>43.4</c:v>
                </c:pt>
                <c:pt idx="5">
                  <c:v>85.25</c:v>
                </c:pt>
                <c:pt idx="6">
                  <c:v>143.99</c:v>
                </c:pt>
                <c:pt idx="7">
                  <c:v>141.17</c:v>
                </c:pt>
                <c:pt idx="8">
                  <c:v>51.25</c:v>
                </c:pt>
                <c:pt idx="9">
                  <c:v>33.55</c:v>
                </c:pt>
                <c:pt idx="10">
                  <c:v>12.87</c:v>
                </c:pt>
                <c:pt idx="11">
                  <c:v>3.88</c:v>
                </c:pt>
              </c:numCache>
            </c:numRef>
          </c:val>
          <c:smooth val="0"/>
        </c:ser>
        <c:dLbls>
          <c:showLegendKey val="0"/>
          <c:showVal val="0"/>
          <c:showCatName val="0"/>
          <c:showSerName val="0"/>
          <c:showPercent val="0"/>
          <c:showBubbleSize val="0"/>
        </c:dLbls>
        <c:marker val="0"/>
        <c:smooth val="0"/>
        <c:axId val="442236601"/>
        <c:axId val="846597538"/>
      </c:lineChart>
      <c:catAx>
        <c:axId val="442236601"/>
        <c:scaling>
          <c:orientation val="minMax"/>
        </c:scaling>
        <c:delete val="0"/>
        <c:axPos val="b"/>
        <c:majorTickMark val="none"/>
        <c:minorTickMark val="none"/>
        <c:tickLblPos val="nextTo"/>
        <c:spPr>
          <a:noFill/>
          <a:ln w="9525" cap="flat" cmpd="sng" algn="ctr">
            <a:solidFill>
              <a:srgbClr val="D9D9D9">
                <a:lumMod val="15000"/>
                <a:lumOff val="85000"/>
              </a:srgbClr>
            </a:solidFill>
            <a:round/>
          </a:ln>
          <a:effectLst/>
        </c:spPr>
        <c:txPr>
          <a:bodyPr rot="-6000000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p>
        </c:txPr>
        <c:crossAx val="846597538"/>
        <c:crosses val="autoZero"/>
        <c:auto val="1"/>
        <c:lblAlgn val="ctr"/>
        <c:lblOffset val="100"/>
        <c:noMultiLvlLbl val="0"/>
      </c:catAx>
      <c:valAx>
        <c:axId val="846597538"/>
        <c:scaling>
          <c:orientation val="minMax"/>
        </c:scaling>
        <c:delete val="0"/>
        <c:axPos val="l"/>
        <c:majorGridlines>
          <c:spPr>
            <a:ln w="9525" cap="flat" cmpd="sng" algn="ctr">
              <a:solidFill>
                <a:srgbClr val="D9D9D9">
                  <a:lumMod val="15000"/>
                  <a:lumOff val="85000"/>
                </a:srgb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p>
        </c:txPr>
        <c:crossAx val="442236601"/>
        <c:crosses val="autoZero"/>
        <c:crossBetween val="between"/>
      </c:valAx>
      <c:spPr>
        <a:noFill/>
        <a:ln>
          <a:noFill/>
        </a:ln>
        <a:effectLst/>
      </c:spPr>
    </c:plotArea>
    <c:plotVisOnly val="1"/>
    <c:dispBlanksAs val="gap"/>
    <c:showDLblsOverMax val="0"/>
    <c:extLst>
      <c:ext uri="{0b15fc19-7d7d-44ad-8c2d-2c3a37ce22c3}">
        <chartProps xmlns="https://web.wps.cn/et/2018/main" chartId="{2623c53b-cef1-4d6d-9e95-1590ee10a858}"/>
      </c:ext>
    </c:extLst>
  </c:chart>
  <c:spPr>
    <a:solidFill>
      <a:srgbClr val="FFFFFF"/>
    </a:solidFill>
    <a:ln w="9525" cap="flat" cmpd="sng" algn="ctr">
      <a:solidFill>
        <a:srgbClr val="D9D9D9">
          <a:lumMod val="15000"/>
          <a:lumOff val="85000"/>
        </a:srgbClr>
      </a:solidFill>
      <a:round/>
    </a:ln>
    <a:effectLst/>
  </c:spPr>
  <c:txPr>
    <a:bodyPr/>
    <a:lstStyle/>
    <a:p>
      <a:pPr>
        <a:defRPr lang="zh-CN"/>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0" vertOverflow="ellipsis" vert="horz" wrap="square" anchor="ctr" anchorCtr="1"/>
        <a:lstStyle/>
        <a:p>
          <a:pPr>
            <a:defRPr lang="zh-CN" sz="1400" b="0" i="0" u="none" strike="noStrike" kern="1200" spc="0" baseline="0">
              <a:solidFill>
                <a:srgbClr val="595959">
                  <a:lumMod val="65000"/>
                  <a:lumOff val="35000"/>
                </a:srgbClr>
              </a:solidFill>
              <a:latin typeface="+mn-lt"/>
              <a:ea typeface="+mn-ea"/>
              <a:cs typeface="+mn-cs"/>
            </a:defRPr>
          </a:pPr>
        </a:p>
      </c:txPr>
    </c:title>
    <c:autoTitleDeleted val="0"/>
    <c:plotArea>
      <c:layout/>
      <c:lineChart>
        <c:grouping val="standard"/>
        <c:varyColors val="0"/>
        <c:ser>
          <c:idx val="0"/>
          <c:order val="0"/>
          <c:tx>
            <c:strRef>
              <c:f>[计算.xls]Sheet6!$D$65</c:f>
              <c:strCache>
                <c:ptCount val="1"/>
                <c:pt idx="0">
                  <c:v>日照时数h</c:v>
                </c:pt>
              </c:strCache>
            </c:strRef>
          </c:tx>
          <c:spPr>
            <a:ln w="28575" cap="rnd">
              <a:solidFill>
                <a:srgbClr val="4F81BD"/>
              </a:solidFill>
              <a:round/>
            </a:ln>
            <a:effectLst/>
          </c:spPr>
          <c:marker>
            <c:symbol val="none"/>
          </c:marker>
          <c:dLbls>
            <c:delete val="1"/>
          </c:dLbls>
          <c:cat>
            <c:strRef>
              <c:f>[计算.xls]Sheet6!$E$64:$P$64</c:f>
              <c:strCache>
                <c:ptCount val="12"/>
                <c:pt idx="0">
                  <c:v>1月</c:v>
                </c:pt>
                <c:pt idx="1">
                  <c:v>2月</c:v>
                </c:pt>
                <c:pt idx="2">
                  <c:v>3月</c:v>
                </c:pt>
                <c:pt idx="3">
                  <c:v>4月</c:v>
                </c:pt>
                <c:pt idx="4">
                  <c:v>5月</c:v>
                </c:pt>
                <c:pt idx="5">
                  <c:v>6月</c:v>
                </c:pt>
                <c:pt idx="6">
                  <c:v>7月</c:v>
                </c:pt>
                <c:pt idx="7">
                  <c:v>8月</c:v>
                </c:pt>
                <c:pt idx="8">
                  <c:v>9月</c:v>
                </c:pt>
                <c:pt idx="9">
                  <c:v>10月</c:v>
                </c:pt>
                <c:pt idx="10">
                  <c:v>11月</c:v>
                </c:pt>
                <c:pt idx="11">
                  <c:v>12月</c:v>
                </c:pt>
              </c:strCache>
            </c:strRef>
          </c:cat>
          <c:val>
            <c:numRef>
              <c:f>[计算.xls]Sheet6!$E$65:$P$65</c:f>
              <c:numCache>
                <c:formatCode>General</c:formatCode>
                <c:ptCount val="12"/>
                <c:pt idx="0">
                  <c:v>169.68</c:v>
                </c:pt>
                <c:pt idx="1">
                  <c:v>167.73</c:v>
                </c:pt>
                <c:pt idx="2">
                  <c:v>238.14</c:v>
                </c:pt>
                <c:pt idx="3">
                  <c:v>249.1</c:v>
                </c:pt>
                <c:pt idx="4">
                  <c:v>274.05</c:v>
                </c:pt>
                <c:pt idx="5">
                  <c:v>234.64</c:v>
                </c:pt>
                <c:pt idx="6">
                  <c:v>205.62</c:v>
                </c:pt>
                <c:pt idx="7">
                  <c:v>218.21</c:v>
                </c:pt>
                <c:pt idx="8">
                  <c:v>217.39</c:v>
                </c:pt>
                <c:pt idx="9">
                  <c:v>207.38</c:v>
                </c:pt>
                <c:pt idx="10">
                  <c:v>175.05</c:v>
                </c:pt>
                <c:pt idx="11">
                  <c:v>168.61</c:v>
                </c:pt>
              </c:numCache>
            </c:numRef>
          </c:val>
          <c:smooth val="0"/>
        </c:ser>
        <c:dLbls>
          <c:showLegendKey val="0"/>
          <c:showVal val="0"/>
          <c:showCatName val="0"/>
          <c:showSerName val="0"/>
          <c:showPercent val="0"/>
          <c:showBubbleSize val="0"/>
        </c:dLbls>
        <c:marker val="0"/>
        <c:smooth val="0"/>
        <c:axId val="442236601"/>
        <c:axId val="846597538"/>
      </c:lineChart>
      <c:catAx>
        <c:axId val="442236601"/>
        <c:scaling>
          <c:orientation val="minMax"/>
        </c:scaling>
        <c:delete val="0"/>
        <c:axPos val="b"/>
        <c:majorTickMark val="none"/>
        <c:minorTickMark val="none"/>
        <c:tickLblPos val="nextTo"/>
        <c:spPr>
          <a:noFill/>
          <a:ln w="9525" cap="flat" cmpd="sng" algn="ctr">
            <a:solidFill>
              <a:srgbClr val="D9D9D9">
                <a:lumMod val="15000"/>
                <a:lumOff val="85000"/>
              </a:srgbClr>
            </a:solidFill>
            <a:round/>
          </a:ln>
          <a:effectLst/>
        </c:spPr>
        <c:txPr>
          <a:bodyPr rot="-6000000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p>
        </c:txPr>
        <c:crossAx val="846597538"/>
        <c:crosses val="autoZero"/>
        <c:auto val="1"/>
        <c:lblAlgn val="ctr"/>
        <c:lblOffset val="100"/>
        <c:noMultiLvlLbl val="0"/>
      </c:catAx>
      <c:valAx>
        <c:axId val="846597538"/>
        <c:scaling>
          <c:orientation val="minMax"/>
        </c:scaling>
        <c:delete val="0"/>
        <c:axPos val="l"/>
        <c:majorGridlines>
          <c:spPr>
            <a:ln w="9525" cap="flat" cmpd="sng" algn="ctr">
              <a:solidFill>
                <a:srgbClr val="D9D9D9">
                  <a:lumMod val="15000"/>
                  <a:lumOff val="85000"/>
                </a:srgb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p>
        </c:txPr>
        <c:crossAx val="442236601"/>
        <c:crosses val="autoZero"/>
        <c:crossBetween val="between"/>
      </c:valAx>
      <c:spPr>
        <a:noFill/>
        <a:ln>
          <a:noFill/>
        </a:ln>
        <a:effectLst/>
      </c:spPr>
    </c:plotArea>
    <c:plotVisOnly val="1"/>
    <c:dispBlanksAs val="gap"/>
    <c:showDLblsOverMax val="0"/>
    <c:extLst>
      <c:ext uri="{0b15fc19-7d7d-44ad-8c2d-2c3a37ce22c3}">
        <chartProps xmlns="https://web.wps.cn/et/2018/main" chartId="{b63f4b5b-55d6-4689-99b9-1751782d15dc}"/>
      </c:ext>
    </c:extLst>
  </c:chart>
  <c:spPr>
    <a:solidFill>
      <a:srgbClr val="FFFFFF"/>
    </a:solidFill>
    <a:ln w="9525" cap="flat" cmpd="sng" algn="ctr">
      <a:solidFill>
        <a:srgbClr val="D9D9D9">
          <a:lumMod val="15000"/>
          <a:lumOff val="85000"/>
        </a:srgbClr>
      </a:solidFill>
      <a:round/>
    </a:ln>
    <a:effectLst/>
  </c:spPr>
  <c:txPr>
    <a:bodyPr/>
    <a:lstStyle/>
    <a:p>
      <a:pPr>
        <a:defRPr lang="zh-CN"/>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0" vertOverflow="ellipsis" vert="horz" wrap="square" anchor="ctr" anchorCtr="1"/>
        <a:lstStyle/>
        <a:p>
          <a:pPr>
            <a:defRPr lang="zh-CN" sz="1400" b="0" i="0" u="none" strike="noStrike" kern="1200" spc="0" baseline="0">
              <a:solidFill>
                <a:srgbClr val="595959">
                  <a:lumMod val="65000"/>
                  <a:lumOff val="35000"/>
                </a:srgbClr>
              </a:solidFill>
              <a:latin typeface="+mn-lt"/>
              <a:ea typeface="+mn-ea"/>
              <a:cs typeface="+mn-cs"/>
            </a:defRPr>
          </a:pPr>
        </a:p>
      </c:txPr>
    </c:title>
    <c:autoTitleDeleted val="0"/>
    <c:plotArea>
      <c:layout/>
      <c:lineChart>
        <c:grouping val="standard"/>
        <c:varyColors val="0"/>
        <c:ser>
          <c:idx val="0"/>
          <c:order val="0"/>
          <c:tx>
            <c:strRef>
              <c:f>[计算.xls]Sheet6!$D$65</c:f>
              <c:strCache>
                <c:ptCount val="1"/>
                <c:pt idx="0">
                  <c:v>风速m/s</c:v>
                </c:pt>
              </c:strCache>
            </c:strRef>
          </c:tx>
          <c:spPr>
            <a:ln w="28575" cap="rnd">
              <a:solidFill>
                <a:srgbClr val="4F81BD"/>
              </a:solidFill>
              <a:round/>
            </a:ln>
            <a:effectLst/>
          </c:spPr>
          <c:marker>
            <c:symbol val="none"/>
          </c:marker>
          <c:dLbls>
            <c:delete val="1"/>
          </c:dLbls>
          <c:cat>
            <c:strRef>
              <c:f>[计算.xls]Sheet6!$E$64:$P$64</c:f>
              <c:strCache>
                <c:ptCount val="12"/>
                <c:pt idx="0">
                  <c:v>1月</c:v>
                </c:pt>
                <c:pt idx="1">
                  <c:v>2月</c:v>
                </c:pt>
                <c:pt idx="2">
                  <c:v>3月</c:v>
                </c:pt>
                <c:pt idx="3">
                  <c:v>4月</c:v>
                </c:pt>
                <c:pt idx="4">
                  <c:v>5月</c:v>
                </c:pt>
                <c:pt idx="5">
                  <c:v>6月</c:v>
                </c:pt>
                <c:pt idx="6">
                  <c:v>7月</c:v>
                </c:pt>
                <c:pt idx="7">
                  <c:v>8月</c:v>
                </c:pt>
                <c:pt idx="8">
                  <c:v>9月</c:v>
                </c:pt>
                <c:pt idx="9">
                  <c:v>10月</c:v>
                </c:pt>
                <c:pt idx="10">
                  <c:v>11月</c:v>
                </c:pt>
                <c:pt idx="11">
                  <c:v>12月</c:v>
                </c:pt>
              </c:strCache>
            </c:strRef>
          </c:cat>
          <c:val>
            <c:numRef>
              <c:f>[计算.xls]Sheet6!$E$65:$P$65</c:f>
              <c:numCache>
                <c:formatCode>General</c:formatCode>
                <c:ptCount val="12"/>
                <c:pt idx="0">
                  <c:v>2.22</c:v>
                </c:pt>
                <c:pt idx="1">
                  <c:v>2.5</c:v>
                </c:pt>
                <c:pt idx="2">
                  <c:v>3.15</c:v>
                </c:pt>
                <c:pt idx="3">
                  <c:v>3.42</c:v>
                </c:pt>
                <c:pt idx="4">
                  <c:v>3.14</c:v>
                </c:pt>
                <c:pt idx="5">
                  <c:v>2.66</c:v>
                </c:pt>
                <c:pt idx="6">
                  <c:v>2.32</c:v>
                </c:pt>
                <c:pt idx="7">
                  <c:v>2.04</c:v>
                </c:pt>
                <c:pt idx="8">
                  <c:v>2.01</c:v>
                </c:pt>
                <c:pt idx="9">
                  <c:v>2.16</c:v>
                </c:pt>
                <c:pt idx="10">
                  <c:v>2.24</c:v>
                </c:pt>
                <c:pt idx="11">
                  <c:v>2.22</c:v>
                </c:pt>
              </c:numCache>
            </c:numRef>
          </c:val>
          <c:smooth val="0"/>
        </c:ser>
        <c:dLbls>
          <c:showLegendKey val="0"/>
          <c:showVal val="0"/>
          <c:showCatName val="0"/>
          <c:showSerName val="0"/>
          <c:showPercent val="0"/>
          <c:showBubbleSize val="0"/>
        </c:dLbls>
        <c:marker val="0"/>
        <c:smooth val="0"/>
        <c:axId val="442236601"/>
        <c:axId val="846597538"/>
      </c:lineChart>
      <c:catAx>
        <c:axId val="442236601"/>
        <c:scaling>
          <c:orientation val="minMax"/>
        </c:scaling>
        <c:delete val="0"/>
        <c:axPos val="b"/>
        <c:majorTickMark val="none"/>
        <c:minorTickMark val="none"/>
        <c:tickLblPos val="nextTo"/>
        <c:spPr>
          <a:noFill/>
          <a:ln w="9525" cap="flat" cmpd="sng" algn="ctr">
            <a:solidFill>
              <a:srgbClr val="D9D9D9">
                <a:lumMod val="15000"/>
                <a:lumOff val="85000"/>
              </a:srgbClr>
            </a:solidFill>
            <a:round/>
          </a:ln>
          <a:effectLst/>
        </c:spPr>
        <c:txPr>
          <a:bodyPr rot="-6000000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p>
        </c:txPr>
        <c:crossAx val="846597538"/>
        <c:crosses val="autoZero"/>
        <c:auto val="1"/>
        <c:lblAlgn val="ctr"/>
        <c:lblOffset val="100"/>
        <c:noMultiLvlLbl val="0"/>
      </c:catAx>
      <c:valAx>
        <c:axId val="846597538"/>
        <c:scaling>
          <c:orientation val="minMax"/>
        </c:scaling>
        <c:delete val="0"/>
        <c:axPos val="l"/>
        <c:majorGridlines>
          <c:spPr>
            <a:ln w="9525" cap="flat" cmpd="sng" algn="ctr">
              <a:solidFill>
                <a:srgbClr val="D9D9D9">
                  <a:lumMod val="15000"/>
                  <a:lumOff val="85000"/>
                </a:srgb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p>
        </c:txPr>
        <c:crossAx val="442236601"/>
        <c:crosses val="autoZero"/>
        <c:crossBetween val="between"/>
      </c:valAx>
      <c:spPr>
        <a:noFill/>
        <a:ln>
          <a:noFill/>
        </a:ln>
        <a:effectLst/>
      </c:spPr>
    </c:plotArea>
    <c:plotVisOnly val="1"/>
    <c:dispBlanksAs val="gap"/>
    <c:showDLblsOverMax val="0"/>
    <c:extLst>
      <c:ext uri="{0b15fc19-7d7d-44ad-8c2d-2c3a37ce22c3}">
        <chartProps xmlns="https://web.wps.cn/et/2018/main" chartId="{32c4b53e-846e-48dd-a798-2163b2246d66}"/>
      </c:ext>
    </c:extLst>
  </c:chart>
  <c:spPr>
    <a:solidFill>
      <a:srgbClr val="FFFFFF"/>
    </a:solidFill>
    <a:ln w="9525" cap="flat" cmpd="sng" algn="ctr">
      <a:solidFill>
        <a:srgbClr val="D9D9D9">
          <a:lumMod val="15000"/>
          <a:lumOff val="85000"/>
        </a:srgb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rgbClr val="4F81BD"/>
  <a:srgbClr val="C0504D"/>
  <a:srgbClr val="9BBB59"/>
  <a:srgbClr val="8064A2"/>
  <a:srgbClr val="4BACC6"/>
  <a:srgbClr val="F7964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rgbClr val="4F81BD"/>
  <a:srgbClr val="C0504D"/>
  <a:srgbClr val="9BBB59"/>
  <a:srgbClr val="8064A2"/>
  <a:srgbClr val="4BACC6"/>
  <a:srgbClr val="F7964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rgbClr val="4F81BD"/>
  <a:srgbClr val="C0504D"/>
  <a:srgbClr val="9BBB59"/>
  <a:srgbClr val="8064A2"/>
  <a:srgbClr val="4BACC6"/>
  <a:srgbClr val="F7964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rgbClr val="4F81BD"/>
  <a:srgbClr val="C0504D"/>
  <a:srgbClr val="9BBB59"/>
  <a:srgbClr val="8064A2"/>
  <a:srgbClr val="4BACC6"/>
  <a:srgbClr val="F7964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rgbClr val="4F81BD"/>
  <a:srgbClr val="C0504D"/>
  <a:srgbClr val="9BBB59"/>
  <a:srgbClr val="8064A2"/>
  <a:srgbClr val="4BACC6"/>
  <a:srgbClr val="F7964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rgbClr val="595959">
        <a:lumMod val="65000"/>
        <a:lumOff val="35000"/>
      </a:srgbClr>
    </cs:fontRef>
    <cs:defRPr sz="1000" kern="1200"/>
  </cs:axisTitle>
  <cs:categoryAxis>
    <cs:lnRef idx="0"/>
    <cs:fillRef idx="0"/>
    <cs:effectRef idx="0"/>
    <cs:fontRef idx="minor">
      <a:srgbClr val="595959">
        <a:lumMod val="65000"/>
        <a:lumOff val="35000"/>
      </a:srgbClr>
    </cs:fontRef>
    <cs:spPr>
      <a:ln w="9525" cap="flat" cmpd="sng" algn="ctr">
        <a:solidFill>
          <a:srgbClr val="D9D9D9">
            <a:lumMod val="15000"/>
            <a:lumOff val="85000"/>
          </a:srgbClr>
        </a:solidFill>
        <a:round/>
      </a:ln>
    </cs:spPr>
    <cs:defRPr sz="900" kern="1200"/>
  </cs:categoryAxis>
  <cs:chartArea mods="allowNoFillOverride allowNoLineOverride">
    <cs:lnRef idx="0"/>
    <cs:fillRef idx="0"/>
    <cs:effectRef idx="0"/>
    <cs:fontRef idx="minor">
      <a:srgbClr val="000000"/>
    </cs:fontRef>
    <cs:spPr>
      <a:solidFill>
        <a:srgbClr val="FFFFFF"/>
      </a:solidFill>
      <a:ln w="9525" cap="flat" cmpd="sng" algn="ctr">
        <a:solidFill>
          <a:srgbClr val="D9D9D9">
            <a:lumMod val="15000"/>
            <a:lumOff val="85000"/>
          </a:srgbClr>
        </a:solidFill>
        <a:round/>
      </a:ln>
    </cs:spPr>
    <cs:defRPr sz="1000" kern="1200"/>
  </cs:chartArea>
  <cs:dataLabel>
    <cs:lnRef idx="0"/>
    <cs:fillRef idx="0"/>
    <cs:effectRef idx="0"/>
    <cs:fontRef idx="minor">
      <a:srgbClr val="404040">
        <a:lumMod val="75000"/>
        <a:lumOff val="25000"/>
      </a:srgbClr>
    </cs:fontRef>
    <cs:defRPr sz="900" kern="1200"/>
  </cs:dataLabel>
  <cs:dataLabelCallout>
    <cs:lnRef idx="0"/>
    <cs:fillRef idx="0"/>
    <cs:effectRef idx="0"/>
    <cs:fontRef idx="minor">
      <a:srgbClr val="595959">
        <a:lumMod val="65000"/>
        <a:lumOff val="35000"/>
      </a:srgbClr>
    </cs:fontRef>
    <cs:spPr>
      <a:solidFill>
        <a:srgbClr val="FFFFFF"/>
      </a:solidFill>
      <a:ln>
        <a:solidFill>
          <a:srgbClr val="BFBFBF">
            <a:lumMod val="25000"/>
            <a:lumOff val="75000"/>
          </a:srgb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rgbClr val="000000"/>
    </cs:fontRef>
    <cs:spPr>
      <a:solidFill>
        <a:srgbClr val="FFFFFF"/>
      </a:solidFill>
    </cs:spPr>
  </cs:dataPoint>
  <cs:dataPoint3D>
    <cs:lnRef idx="0"/>
    <cs:fillRef idx="1">
      <cs:styleClr val="auto"/>
    </cs:fillRef>
    <cs:effectRef idx="0"/>
    <cs:fontRef idx="minor">
      <a:srgbClr val="000000"/>
    </cs:fontRef>
    <cs:spPr>
      <a:solidFill>
        <a:srgbClr val="FFFFFF"/>
      </a:solidFill>
    </cs:spPr>
  </cs:dataPoint3D>
  <cs:dataPointLine>
    <cs:lnRef idx="0">
      <cs:styleClr val="auto"/>
    </cs:lnRef>
    <cs:fillRef idx="1"/>
    <cs:effectRef idx="0"/>
    <cs:fontRef idx="minor">
      <a:srgbClr val="000000"/>
    </cs:fontRef>
    <cs:spPr>
      <a:ln w="28575" cap="rnd">
        <a:solidFill>
          <a:srgbClr val="FFFFFF"/>
        </a:solidFill>
        <a:round/>
      </a:ln>
    </cs:spPr>
  </cs:dataPointLine>
  <cs:dataPointMarker>
    <cs:lnRef idx="0">
      <cs:styleClr val="auto"/>
    </cs:lnRef>
    <cs:fillRef idx="1">
      <cs:styleClr val="auto"/>
    </cs:fillRef>
    <cs:effectRef idx="0"/>
    <cs:fontRef idx="minor">
      <a:srgbClr val="000000"/>
    </cs:fontRef>
    <cs:spPr>
      <a:solidFill>
        <a:srgbClr val="FFFFFF"/>
      </a:solidFill>
      <a:ln w="9525">
        <a:solidFill>
          <a:srgbClr val="FFFFFF"/>
        </a:solidFill>
      </a:ln>
    </cs:spPr>
  </cs:dataPointMarker>
  <cs:dataPointMarkerLayout symbol="circle" size="5"/>
  <cs:dataPointWireframe>
    <cs:lnRef idx="0">
      <cs:styleClr val="auto"/>
    </cs:lnRef>
    <cs:fillRef idx="1"/>
    <cs:effectRef idx="0"/>
    <cs:fontRef idx="minor">
      <a:srgbClr val="000000"/>
    </cs:fontRef>
    <cs:spPr>
      <a:ln w="9525" cap="rnd">
        <a:solidFill>
          <a:srgbClr val="FFFFFF"/>
        </a:solidFill>
        <a:round/>
      </a:ln>
    </cs:spPr>
  </cs:dataPointWireframe>
  <cs:dataTable>
    <cs:lnRef idx="0"/>
    <cs:fillRef idx="0"/>
    <cs:effectRef idx="0"/>
    <cs:fontRef idx="minor">
      <a:srgbClr val="595959">
        <a:lumMod val="65000"/>
        <a:lumOff val="35000"/>
      </a:srgbClr>
    </cs:fontRef>
    <cs:spPr>
      <a:noFill/>
      <a:ln w="9525" cap="flat" cmpd="sng" algn="ctr">
        <a:solidFill>
          <a:srgbClr val="D9D9D9">
            <a:lumMod val="15000"/>
            <a:lumOff val="85000"/>
          </a:srgbClr>
        </a:solidFill>
        <a:round/>
      </a:ln>
    </cs:spPr>
    <cs:defRPr sz="900" kern="1200"/>
  </cs:dataTable>
  <cs:downBar>
    <cs:lnRef idx="0"/>
    <cs:fillRef idx="0"/>
    <cs:effectRef idx="0"/>
    <cs:fontRef idx="minor">
      <a:srgbClr val="000000"/>
    </cs:fontRef>
    <cs:spPr>
      <a:solidFill>
        <a:srgbClr val="595959">
          <a:lumMod val="65000"/>
          <a:lumOff val="35000"/>
        </a:srgbClr>
      </a:solidFill>
      <a:ln w="9525">
        <a:solidFill>
          <a:srgbClr val="595959">
            <a:lumMod val="65000"/>
            <a:lumOff val="35000"/>
          </a:srgbClr>
        </a:solidFill>
      </a:ln>
    </cs:spPr>
  </cs:downBar>
  <cs:dropLine>
    <cs:lnRef idx="0"/>
    <cs:fillRef idx="0"/>
    <cs:effectRef idx="0"/>
    <cs:fontRef idx="minor">
      <a:srgbClr val="000000"/>
    </cs:fontRef>
    <cs:spPr>
      <a:ln w="9525" cap="flat" cmpd="sng" algn="ctr">
        <a:solidFill>
          <a:srgbClr val="A6A6A6">
            <a:lumMod val="35000"/>
            <a:lumOff val="65000"/>
          </a:srgbClr>
        </a:solidFill>
        <a:round/>
      </a:ln>
    </cs:spPr>
  </cs:dropLine>
  <cs:errorBar>
    <cs:lnRef idx="0"/>
    <cs:fillRef idx="0"/>
    <cs:effectRef idx="0"/>
    <cs:fontRef idx="minor">
      <a:srgbClr val="000000"/>
    </cs:fontRef>
    <cs:spPr>
      <a:ln w="9525" cap="flat" cmpd="sng" algn="ctr">
        <a:solidFill>
          <a:srgbClr val="595959">
            <a:lumMod val="65000"/>
            <a:lumOff val="35000"/>
          </a:srgbClr>
        </a:solidFill>
        <a:round/>
      </a:ln>
    </cs:spPr>
  </cs:errorBar>
  <cs:floor>
    <cs:lnRef idx="0"/>
    <cs:fillRef idx="0"/>
    <cs:effectRef idx="0"/>
    <cs:fontRef idx="minor">
      <a:srgbClr val="000000"/>
    </cs:fontRef>
    <cs:spPr>
      <a:noFill/>
      <a:ln>
        <a:noFill/>
      </a:ln>
    </cs:spPr>
  </cs:floor>
  <cs:gridlineMajor>
    <cs:lnRef idx="0"/>
    <cs:fillRef idx="0"/>
    <cs:effectRef idx="0"/>
    <cs:fontRef idx="minor">
      <a:srgbClr val="000000"/>
    </cs:fontRef>
    <cs:spPr>
      <a:ln w="9525" cap="flat" cmpd="sng" algn="ctr">
        <a:solidFill>
          <a:srgbClr val="D9D9D9">
            <a:lumMod val="15000"/>
            <a:lumOff val="85000"/>
          </a:srgbClr>
        </a:solidFill>
        <a:round/>
      </a:ln>
    </cs:spPr>
  </cs:gridlineMajor>
  <cs:gridlineMinor>
    <cs:lnRef idx="0"/>
    <cs:fillRef idx="0"/>
    <cs:effectRef idx="0"/>
    <cs:fontRef idx="minor">
      <a:srgbClr val="000000"/>
    </cs:fontRef>
    <cs:spPr>
      <a:ln w="9525" cap="flat" cmpd="sng" algn="ctr">
        <a:solidFill>
          <a:srgbClr val="F2F2F2">
            <a:lumMod val="5000"/>
            <a:lumOff val="95000"/>
          </a:srgbClr>
        </a:solidFill>
        <a:round/>
      </a:ln>
    </cs:spPr>
  </cs:gridlineMinor>
  <cs:hiLoLine>
    <cs:lnRef idx="0"/>
    <cs:fillRef idx="0"/>
    <cs:effectRef idx="0"/>
    <cs:fontRef idx="minor">
      <a:srgbClr val="000000"/>
    </cs:fontRef>
    <cs:spPr>
      <a:ln w="9525" cap="flat" cmpd="sng" algn="ctr">
        <a:solidFill>
          <a:srgbClr val="404040">
            <a:lumMod val="75000"/>
            <a:lumOff val="25000"/>
          </a:srgbClr>
        </a:solidFill>
        <a:round/>
      </a:ln>
    </cs:spPr>
  </cs:hiLoLine>
  <cs:leaderLine>
    <cs:lnRef idx="0"/>
    <cs:fillRef idx="0"/>
    <cs:effectRef idx="0"/>
    <cs:fontRef idx="minor">
      <a:srgbClr val="000000"/>
    </cs:fontRef>
    <cs:spPr>
      <a:ln w="9525" cap="flat" cmpd="sng" algn="ctr">
        <a:solidFill>
          <a:srgbClr val="A6A6A6">
            <a:lumMod val="35000"/>
            <a:lumOff val="65000"/>
          </a:srgbClr>
        </a:solidFill>
        <a:round/>
      </a:ln>
    </cs:spPr>
  </cs:leaderLine>
  <cs:legend>
    <cs:lnRef idx="0"/>
    <cs:fillRef idx="0"/>
    <cs:effectRef idx="0"/>
    <cs:fontRef idx="minor">
      <a:srgbClr val="595959">
        <a:lumMod val="65000"/>
        <a:lumOff val="35000"/>
      </a:srgbClr>
    </cs:fontRef>
    <cs:defRPr sz="900" kern="1200"/>
  </cs:legend>
  <cs:plotArea mods="allowNoFillOverride allowNoLineOverride">
    <cs:lnRef idx="0"/>
    <cs:fillRef idx="0"/>
    <cs:effectRef idx="0"/>
    <cs:fontRef idx="minor">
      <a:srgbClr val="000000"/>
    </cs:fontRef>
  </cs:plotArea>
  <cs:plotArea3D mods="allowNoFillOverride allowNoLineOverride">
    <cs:lnRef idx="0"/>
    <cs:fillRef idx="0"/>
    <cs:effectRef idx="0"/>
    <cs:fontRef idx="minor">
      <a:srgbClr val="000000"/>
    </cs:fontRef>
  </cs:plotArea3D>
  <cs:seriesAxis>
    <cs:lnRef idx="0"/>
    <cs:fillRef idx="0"/>
    <cs:effectRef idx="0"/>
    <cs:fontRef idx="minor">
      <a:srgbClr val="595959">
        <a:lumMod val="65000"/>
        <a:lumOff val="35000"/>
      </a:srgbClr>
    </cs:fontRef>
    <cs:defRPr sz="900" kern="1200"/>
  </cs:seriesAxis>
  <cs:seriesLine>
    <cs:lnRef idx="0"/>
    <cs:fillRef idx="0"/>
    <cs:effectRef idx="0"/>
    <cs:fontRef idx="minor">
      <a:srgbClr val="000000"/>
    </cs:fontRef>
    <cs:spPr>
      <a:ln w="9525" cap="flat" cmpd="sng" algn="ctr">
        <a:solidFill>
          <a:srgbClr val="A6A6A6">
            <a:lumMod val="35000"/>
            <a:lumOff val="65000"/>
          </a:srgbClr>
        </a:solidFill>
        <a:round/>
      </a:ln>
    </cs:spPr>
  </cs:seriesLine>
  <cs:title>
    <cs:lnRef idx="0"/>
    <cs:fillRef idx="0"/>
    <cs:effectRef idx="0"/>
    <cs:fontRef idx="minor">
      <a:srgbClr val="595959">
        <a:lumMod val="65000"/>
        <a:lumOff val="35000"/>
      </a:srgbClr>
    </cs:fontRef>
    <cs:defRPr sz="1400" b="0" kern="1200" spc="0" baseline="0"/>
  </cs:title>
  <cs:trendline>
    <cs:lnRef idx="0">
      <cs:styleClr val="auto"/>
    </cs:lnRef>
    <cs:fillRef idx="0"/>
    <cs:effectRef idx="0"/>
    <cs:fontRef idx="minor">
      <a:srgbClr val="000000"/>
    </cs:fontRef>
    <cs:spPr>
      <a:ln w="19050" cap="rnd">
        <a:solidFill>
          <a:srgbClr val="FFFFFF"/>
        </a:solidFill>
        <a:prstDash val="sysDot"/>
      </a:ln>
    </cs:spPr>
  </cs:trendline>
  <cs:trendlineLabel>
    <cs:lnRef idx="0"/>
    <cs:fillRef idx="0"/>
    <cs:effectRef idx="0"/>
    <cs:fontRef idx="minor">
      <a:srgbClr val="595959">
        <a:lumMod val="65000"/>
        <a:lumOff val="35000"/>
      </a:srgbClr>
    </cs:fontRef>
    <cs:defRPr sz="900" kern="1200"/>
  </cs:trendlineLabel>
  <cs:upBar>
    <cs:lnRef idx="0"/>
    <cs:fillRef idx="0"/>
    <cs:effectRef idx="0"/>
    <cs:fontRef idx="minor">
      <a:srgbClr val="000000"/>
    </cs:fontRef>
    <cs:spPr>
      <a:solidFill>
        <a:srgbClr val="FFFFFF"/>
      </a:solidFill>
      <a:ln w="9525">
        <a:solidFill>
          <a:srgbClr val="D9D9D9">
            <a:lumMod val="15000"/>
            <a:lumOff val="85000"/>
          </a:srgbClr>
        </a:solidFill>
      </a:ln>
    </cs:spPr>
  </cs:upBar>
  <cs:valueAxis>
    <cs:lnRef idx="0"/>
    <cs:fillRef idx="0"/>
    <cs:effectRef idx="0"/>
    <cs:fontRef idx="minor">
      <a:srgbClr val="595959">
        <a:lumMod val="65000"/>
        <a:lumOff val="35000"/>
      </a:srgbClr>
    </cs:fontRef>
    <cs:defRPr sz="900" kern="1200"/>
  </cs:valueAxis>
  <cs:wall>
    <cs:lnRef idx="0"/>
    <cs:fillRef idx="0"/>
    <cs:effectRef idx="0"/>
    <cs:fontRef idx="minor">
      <a:srgbClr val="000000"/>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rgbClr val="595959">
        <a:lumMod val="65000"/>
        <a:lumOff val="35000"/>
      </a:srgbClr>
    </cs:fontRef>
    <cs:defRPr sz="1000" kern="1200"/>
  </cs:axisTitle>
  <cs:categoryAxis>
    <cs:lnRef idx="0"/>
    <cs:fillRef idx="0"/>
    <cs:effectRef idx="0"/>
    <cs:fontRef idx="minor">
      <a:srgbClr val="595959">
        <a:lumMod val="65000"/>
        <a:lumOff val="35000"/>
      </a:srgbClr>
    </cs:fontRef>
    <cs:spPr>
      <a:ln w="9525" cap="flat" cmpd="sng" algn="ctr">
        <a:solidFill>
          <a:srgbClr val="D9D9D9">
            <a:lumMod val="15000"/>
            <a:lumOff val="85000"/>
          </a:srgbClr>
        </a:solidFill>
        <a:round/>
      </a:ln>
    </cs:spPr>
    <cs:defRPr sz="900" kern="1200"/>
  </cs:categoryAxis>
  <cs:chartArea mods="allowNoFillOverride allowNoLineOverride">
    <cs:lnRef idx="0"/>
    <cs:fillRef idx="0"/>
    <cs:effectRef idx="0"/>
    <cs:fontRef idx="minor">
      <a:srgbClr val="000000"/>
    </cs:fontRef>
    <cs:spPr>
      <a:solidFill>
        <a:srgbClr val="FFFFFF"/>
      </a:solidFill>
      <a:ln w="9525" cap="flat" cmpd="sng" algn="ctr">
        <a:solidFill>
          <a:srgbClr val="D9D9D9">
            <a:lumMod val="15000"/>
            <a:lumOff val="85000"/>
          </a:srgbClr>
        </a:solidFill>
        <a:round/>
      </a:ln>
    </cs:spPr>
    <cs:defRPr sz="1000" kern="1200"/>
  </cs:chartArea>
  <cs:dataLabel>
    <cs:lnRef idx="0"/>
    <cs:fillRef idx="0"/>
    <cs:effectRef idx="0"/>
    <cs:fontRef idx="minor">
      <a:srgbClr val="404040">
        <a:lumMod val="75000"/>
        <a:lumOff val="25000"/>
      </a:srgbClr>
    </cs:fontRef>
    <cs:defRPr sz="900" kern="1200"/>
  </cs:dataLabel>
  <cs:dataLabelCallout>
    <cs:lnRef idx="0"/>
    <cs:fillRef idx="0"/>
    <cs:effectRef idx="0"/>
    <cs:fontRef idx="minor">
      <a:srgbClr val="595959">
        <a:lumMod val="65000"/>
        <a:lumOff val="35000"/>
      </a:srgbClr>
    </cs:fontRef>
    <cs:spPr>
      <a:solidFill>
        <a:srgbClr val="FFFFFF"/>
      </a:solidFill>
      <a:ln>
        <a:solidFill>
          <a:srgbClr val="BFBFBF">
            <a:lumMod val="25000"/>
            <a:lumOff val="75000"/>
          </a:srgb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rgbClr val="000000"/>
    </cs:fontRef>
    <cs:spPr>
      <a:solidFill>
        <a:srgbClr val="FFFFFF"/>
      </a:solidFill>
    </cs:spPr>
  </cs:dataPoint>
  <cs:dataPoint3D>
    <cs:lnRef idx="0"/>
    <cs:fillRef idx="1">
      <cs:styleClr val="auto"/>
    </cs:fillRef>
    <cs:effectRef idx="0"/>
    <cs:fontRef idx="minor">
      <a:srgbClr val="000000"/>
    </cs:fontRef>
    <cs:spPr>
      <a:solidFill>
        <a:srgbClr val="FFFFFF"/>
      </a:solidFill>
    </cs:spPr>
  </cs:dataPoint3D>
  <cs:dataPointLine>
    <cs:lnRef idx="0">
      <cs:styleClr val="auto"/>
    </cs:lnRef>
    <cs:fillRef idx="1"/>
    <cs:effectRef idx="0"/>
    <cs:fontRef idx="minor">
      <a:srgbClr val="000000"/>
    </cs:fontRef>
    <cs:spPr>
      <a:ln w="28575" cap="rnd">
        <a:solidFill>
          <a:srgbClr val="FFFFFF"/>
        </a:solidFill>
        <a:round/>
      </a:ln>
    </cs:spPr>
  </cs:dataPointLine>
  <cs:dataPointMarker>
    <cs:lnRef idx="0">
      <cs:styleClr val="auto"/>
    </cs:lnRef>
    <cs:fillRef idx="1">
      <cs:styleClr val="auto"/>
    </cs:fillRef>
    <cs:effectRef idx="0"/>
    <cs:fontRef idx="minor">
      <a:srgbClr val="000000"/>
    </cs:fontRef>
    <cs:spPr>
      <a:solidFill>
        <a:srgbClr val="FFFFFF"/>
      </a:solidFill>
      <a:ln w="9525">
        <a:solidFill>
          <a:srgbClr val="FFFFFF"/>
        </a:solidFill>
      </a:ln>
    </cs:spPr>
  </cs:dataPointMarker>
  <cs:dataPointMarkerLayout symbol="circle" size="5"/>
  <cs:dataPointWireframe>
    <cs:lnRef idx="0">
      <cs:styleClr val="auto"/>
    </cs:lnRef>
    <cs:fillRef idx="1"/>
    <cs:effectRef idx="0"/>
    <cs:fontRef idx="minor">
      <a:srgbClr val="000000"/>
    </cs:fontRef>
    <cs:spPr>
      <a:ln w="9525" cap="rnd">
        <a:solidFill>
          <a:srgbClr val="FFFFFF"/>
        </a:solidFill>
        <a:round/>
      </a:ln>
    </cs:spPr>
  </cs:dataPointWireframe>
  <cs:dataTable>
    <cs:lnRef idx="0"/>
    <cs:fillRef idx="0"/>
    <cs:effectRef idx="0"/>
    <cs:fontRef idx="minor">
      <a:srgbClr val="595959">
        <a:lumMod val="65000"/>
        <a:lumOff val="35000"/>
      </a:srgbClr>
    </cs:fontRef>
    <cs:spPr>
      <a:noFill/>
      <a:ln w="9525" cap="flat" cmpd="sng" algn="ctr">
        <a:solidFill>
          <a:srgbClr val="D9D9D9">
            <a:lumMod val="15000"/>
            <a:lumOff val="85000"/>
          </a:srgbClr>
        </a:solidFill>
        <a:round/>
      </a:ln>
    </cs:spPr>
    <cs:defRPr sz="900" kern="1200"/>
  </cs:dataTable>
  <cs:downBar>
    <cs:lnRef idx="0"/>
    <cs:fillRef idx="0"/>
    <cs:effectRef idx="0"/>
    <cs:fontRef idx="minor">
      <a:srgbClr val="000000"/>
    </cs:fontRef>
    <cs:spPr>
      <a:solidFill>
        <a:srgbClr val="595959">
          <a:lumMod val="65000"/>
          <a:lumOff val="35000"/>
        </a:srgbClr>
      </a:solidFill>
      <a:ln w="9525">
        <a:solidFill>
          <a:srgbClr val="595959">
            <a:lumMod val="65000"/>
            <a:lumOff val="35000"/>
          </a:srgbClr>
        </a:solidFill>
      </a:ln>
    </cs:spPr>
  </cs:downBar>
  <cs:dropLine>
    <cs:lnRef idx="0"/>
    <cs:fillRef idx="0"/>
    <cs:effectRef idx="0"/>
    <cs:fontRef idx="minor">
      <a:srgbClr val="000000"/>
    </cs:fontRef>
    <cs:spPr>
      <a:ln w="9525" cap="flat" cmpd="sng" algn="ctr">
        <a:solidFill>
          <a:srgbClr val="A6A6A6">
            <a:lumMod val="35000"/>
            <a:lumOff val="65000"/>
          </a:srgbClr>
        </a:solidFill>
        <a:round/>
      </a:ln>
    </cs:spPr>
  </cs:dropLine>
  <cs:errorBar>
    <cs:lnRef idx="0"/>
    <cs:fillRef idx="0"/>
    <cs:effectRef idx="0"/>
    <cs:fontRef idx="minor">
      <a:srgbClr val="000000"/>
    </cs:fontRef>
    <cs:spPr>
      <a:ln w="9525" cap="flat" cmpd="sng" algn="ctr">
        <a:solidFill>
          <a:srgbClr val="595959">
            <a:lumMod val="65000"/>
            <a:lumOff val="35000"/>
          </a:srgbClr>
        </a:solidFill>
        <a:round/>
      </a:ln>
    </cs:spPr>
  </cs:errorBar>
  <cs:floor>
    <cs:lnRef idx="0"/>
    <cs:fillRef idx="0"/>
    <cs:effectRef idx="0"/>
    <cs:fontRef idx="minor">
      <a:srgbClr val="000000"/>
    </cs:fontRef>
    <cs:spPr>
      <a:noFill/>
      <a:ln>
        <a:noFill/>
      </a:ln>
    </cs:spPr>
  </cs:floor>
  <cs:gridlineMajor>
    <cs:lnRef idx="0"/>
    <cs:fillRef idx="0"/>
    <cs:effectRef idx="0"/>
    <cs:fontRef idx="minor">
      <a:srgbClr val="000000"/>
    </cs:fontRef>
    <cs:spPr>
      <a:ln w="9525" cap="flat" cmpd="sng" algn="ctr">
        <a:solidFill>
          <a:srgbClr val="D9D9D9">
            <a:lumMod val="15000"/>
            <a:lumOff val="85000"/>
          </a:srgbClr>
        </a:solidFill>
        <a:round/>
      </a:ln>
    </cs:spPr>
  </cs:gridlineMajor>
  <cs:gridlineMinor>
    <cs:lnRef idx="0"/>
    <cs:fillRef idx="0"/>
    <cs:effectRef idx="0"/>
    <cs:fontRef idx="minor">
      <a:srgbClr val="000000"/>
    </cs:fontRef>
    <cs:spPr>
      <a:ln w="9525" cap="flat" cmpd="sng" algn="ctr">
        <a:solidFill>
          <a:srgbClr val="F2F2F2">
            <a:lumMod val="5000"/>
            <a:lumOff val="95000"/>
          </a:srgbClr>
        </a:solidFill>
        <a:round/>
      </a:ln>
    </cs:spPr>
  </cs:gridlineMinor>
  <cs:hiLoLine>
    <cs:lnRef idx="0"/>
    <cs:fillRef idx="0"/>
    <cs:effectRef idx="0"/>
    <cs:fontRef idx="minor">
      <a:srgbClr val="000000"/>
    </cs:fontRef>
    <cs:spPr>
      <a:ln w="9525" cap="flat" cmpd="sng" algn="ctr">
        <a:solidFill>
          <a:srgbClr val="404040">
            <a:lumMod val="75000"/>
            <a:lumOff val="25000"/>
          </a:srgbClr>
        </a:solidFill>
        <a:round/>
      </a:ln>
    </cs:spPr>
  </cs:hiLoLine>
  <cs:leaderLine>
    <cs:lnRef idx="0"/>
    <cs:fillRef idx="0"/>
    <cs:effectRef idx="0"/>
    <cs:fontRef idx="minor">
      <a:srgbClr val="000000"/>
    </cs:fontRef>
    <cs:spPr>
      <a:ln w="9525" cap="flat" cmpd="sng" algn="ctr">
        <a:solidFill>
          <a:srgbClr val="A6A6A6">
            <a:lumMod val="35000"/>
            <a:lumOff val="65000"/>
          </a:srgbClr>
        </a:solidFill>
        <a:round/>
      </a:ln>
    </cs:spPr>
  </cs:leaderLine>
  <cs:legend>
    <cs:lnRef idx="0"/>
    <cs:fillRef idx="0"/>
    <cs:effectRef idx="0"/>
    <cs:fontRef idx="minor">
      <a:srgbClr val="595959">
        <a:lumMod val="65000"/>
        <a:lumOff val="35000"/>
      </a:srgbClr>
    </cs:fontRef>
    <cs:defRPr sz="900" kern="1200"/>
  </cs:legend>
  <cs:plotArea mods="allowNoFillOverride allowNoLineOverride">
    <cs:lnRef idx="0"/>
    <cs:fillRef idx="0"/>
    <cs:effectRef idx="0"/>
    <cs:fontRef idx="minor">
      <a:srgbClr val="000000"/>
    </cs:fontRef>
  </cs:plotArea>
  <cs:plotArea3D mods="allowNoFillOverride allowNoLineOverride">
    <cs:lnRef idx="0"/>
    <cs:fillRef idx="0"/>
    <cs:effectRef idx="0"/>
    <cs:fontRef idx="minor">
      <a:srgbClr val="000000"/>
    </cs:fontRef>
  </cs:plotArea3D>
  <cs:seriesAxis>
    <cs:lnRef idx="0"/>
    <cs:fillRef idx="0"/>
    <cs:effectRef idx="0"/>
    <cs:fontRef idx="minor">
      <a:srgbClr val="595959">
        <a:lumMod val="65000"/>
        <a:lumOff val="35000"/>
      </a:srgbClr>
    </cs:fontRef>
    <cs:defRPr sz="900" kern="1200"/>
  </cs:seriesAxis>
  <cs:seriesLine>
    <cs:lnRef idx="0"/>
    <cs:fillRef idx="0"/>
    <cs:effectRef idx="0"/>
    <cs:fontRef idx="minor">
      <a:srgbClr val="000000"/>
    </cs:fontRef>
    <cs:spPr>
      <a:ln w="9525" cap="flat" cmpd="sng" algn="ctr">
        <a:solidFill>
          <a:srgbClr val="A6A6A6">
            <a:lumMod val="35000"/>
            <a:lumOff val="65000"/>
          </a:srgbClr>
        </a:solidFill>
        <a:round/>
      </a:ln>
    </cs:spPr>
  </cs:seriesLine>
  <cs:title>
    <cs:lnRef idx="0"/>
    <cs:fillRef idx="0"/>
    <cs:effectRef idx="0"/>
    <cs:fontRef idx="minor">
      <a:srgbClr val="595959">
        <a:lumMod val="65000"/>
        <a:lumOff val="35000"/>
      </a:srgbClr>
    </cs:fontRef>
    <cs:defRPr sz="1400" b="0" kern="1200" spc="0" baseline="0"/>
  </cs:title>
  <cs:trendline>
    <cs:lnRef idx="0">
      <cs:styleClr val="auto"/>
    </cs:lnRef>
    <cs:fillRef idx="0"/>
    <cs:effectRef idx="0"/>
    <cs:fontRef idx="minor">
      <a:srgbClr val="000000"/>
    </cs:fontRef>
    <cs:spPr>
      <a:ln w="19050" cap="rnd">
        <a:solidFill>
          <a:srgbClr val="FFFFFF"/>
        </a:solidFill>
        <a:prstDash val="sysDot"/>
      </a:ln>
    </cs:spPr>
  </cs:trendline>
  <cs:trendlineLabel>
    <cs:lnRef idx="0"/>
    <cs:fillRef idx="0"/>
    <cs:effectRef idx="0"/>
    <cs:fontRef idx="minor">
      <a:srgbClr val="595959">
        <a:lumMod val="65000"/>
        <a:lumOff val="35000"/>
      </a:srgbClr>
    </cs:fontRef>
    <cs:defRPr sz="900" kern="1200"/>
  </cs:trendlineLabel>
  <cs:upBar>
    <cs:lnRef idx="0"/>
    <cs:fillRef idx="0"/>
    <cs:effectRef idx="0"/>
    <cs:fontRef idx="minor">
      <a:srgbClr val="000000"/>
    </cs:fontRef>
    <cs:spPr>
      <a:solidFill>
        <a:srgbClr val="FFFFFF"/>
      </a:solidFill>
      <a:ln w="9525">
        <a:solidFill>
          <a:srgbClr val="D9D9D9">
            <a:lumMod val="15000"/>
            <a:lumOff val="85000"/>
          </a:srgbClr>
        </a:solidFill>
      </a:ln>
    </cs:spPr>
  </cs:upBar>
  <cs:valueAxis>
    <cs:lnRef idx="0"/>
    <cs:fillRef idx="0"/>
    <cs:effectRef idx="0"/>
    <cs:fontRef idx="minor">
      <a:srgbClr val="595959">
        <a:lumMod val="65000"/>
        <a:lumOff val="35000"/>
      </a:srgbClr>
    </cs:fontRef>
    <cs:defRPr sz="900" kern="1200"/>
  </cs:valueAxis>
  <cs:wall>
    <cs:lnRef idx="0"/>
    <cs:fillRef idx="0"/>
    <cs:effectRef idx="0"/>
    <cs:fontRef idx="minor">
      <a:srgbClr val="000000"/>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rgbClr val="595959">
        <a:lumMod val="65000"/>
        <a:lumOff val="35000"/>
      </a:srgbClr>
    </cs:fontRef>
    <cs:defRPr sz="1000" kern="1200"/>
  </cs:axisTitle>
  <cs:categoryAxis>
    <cs:lnRef idx="0"/>
    <cs:fillRef idx="0"/>
    <cs:effectRef idx="0"/>
    <cs:fontRef idx="minor">
      <a:srgbClr val="595959">
        <a:lumMod val="65000"/>
        <a:lumOff val="35000"/>
      </a:srgbClr>
    </cs:fontRef>
    <cs:spPr>
      <a:ln w="9525" cap="flat" cmpd="sng" algn="ctr">
        <a:solidFill>
          <a:srgbClr val="D9D9D9">
            <a:lumMod val="15000"/>
            <a:lumOff val="85000"/>
          </a:srgbClr>
        </a:solidFill>
        <a:round/>
      </a:ln>
    </cs:spPr>
    <cs:defRPr sz="900" kern="1200"/>
  </cs:categoryAxis>
  <cs:chartArea mods="allowNoFillOverride allowNoLineOverride">
    <cs:lnRef idx="0"/>
    <cs:fillRef idx="0"/>
    <cs:effectRef idx="0"/>
    <cs:fontRef idx="minor">
      <a:srgbClr val="000000"/>
    </cs:fontRef>
    <cs:spPr>
      <a:solidFill>
        <a:srgbClr val="FFFFFF"/>
      </a:solidFill>
      <a:ln w="9525" cap="flat" cmpd="sng" algn="ctr">
        <a:solidFill>
          <a:srgbClr val="D9D9D9">
            <a:lumMod val="15000"/>
            <a:lumOff val="85000"/>
          </a:srgbClr>
        </a:solidFill>
        <a:round/>
      </a:ln>
    </cs:spPr>
    <cs:defRPr sz="1000" kern="1200"/>
  </cs:chartArea>
  <cs:dataLabel>
    <cs:lnRef idx="0"/>
    <cs:fillRef idx="0"/>
    <cs:effectRef idx="0"/>
    <cs:fontRef idx="minor">
      <a:srgbClr val="404040">
        <a:lumMod val="75000"/>
        <a:lumOff val="25000"/>
      </a:srgbClr>
    </cs:fontRef>
    <cs:defRPr sz="900" kern="1200"/>
  </cs:dataLabel>
  <cs:dataLabelCallout>
    <cs:lnRef idx="0"/>
    <cs:fillRef idx="0"/>
    <cs:effectRef idx="0"/>
    <cs:fontRef idx="minor">
      <a:srgbClr val="595959">
        <a:lumMod val="65000"/>
        <a:lumOff val="35000"/>
      </a:srgbClr>
    </cs:fontRef>
    <cs:spPr>
      <a:solidFill>
        <a:srgbClr val="FFFFFF"/>
      </a:solidFill>
      <a:ln>
        <a:solidFill>
          <a:srgbClr val="BFBFBF">
            <a:lumMod val="25000"/>
            <a:lumOff val="75000"/>
          </a:srgb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rgbClr val="000000"/>
    </cs:fontRef>
    <cs:spPr>
      <a:solidFill>
        <a:srgbClr val="FFFFFF"/>
      </a:solidFill>
    </cs:spPr>
  </cs:dataPoint>
  <cs:dataPoint3D>
    <cs:lnRef idx="0"/>
    <cs:fillRef idx="1">
      <cs:styleClr val="auto"/>
    </cs:fillRef>
    <cs:effectRef idx="0"/>
    <cs:fontRef idx="minor">
      <a:srgbClr val="000000"/>
    </cs:fontRef>
    <cs:spPr>
      <a:solidFill>
        <a:srgbClr val="FFFFFF"/>
      </a:solidFill>
    </cs:spPr>
  </cs:dataPoint3D>
  <cs:dataPointLine>
    <cs:lnRef idx="0">
      <cs:styleClr val="auto"/>
    </cs:lnRef>
    <cs:fillRef idx="1"/>
    <cs:effectRef idx="0"/>
    <cs:fontRef idx="minor">
      <a:srgbClr val="000000"/>
    </cs:fontRef>
    <cs:spPr>
      <a:ln w="28575" cap="rnd">
        <a:solidFill>
          <a:srgbClr val="FFFFFF"/>
        </a:solidFill>
        <a:round/>
      </a:ln>
    </cs:spPr>
  </cs:dataPointLine>
  <cs:dataPointMarker>
    <cs:lnRef idx="0">
      <cs:styleClr val="auto"/>
    </cs:lnRef>
    <cs:fillRef idx="1">
      <cs:styleClr val="auto"/>
    </cs:fillRef>
    <cs:effectRef idx="0"/>
    <cs:fontRef idx="minor">
      <a:srgbClr val="000000"/>
    </cs:fontRef>
    <cs:spPr>
      <a:solidFill>
        <a:srgbClr val="FFFFFF"/>
      </a:solidFill>
      <a:ln w="9525">
        <a:solidFill>
          <a:srgbClr val="FFFFFF"/>
        </a:solidFill>
      </a:ln>
    </cs:spPr>
  </cs:dataPointMarker>
  <cs:dataPointMarkerLayout symbol="circle" size="5"/>
  <cs:dataPointWireframe>
    <cs:lnRef idx="0">
      <cs:styleClr val="auto"/>
    </cs:lnRef>
    <cs:fillRef idx="1"/>
    <cs:effectRef idx="0"/>
    <cs:fontRef idx="minor">
      <a:srgbClr val="000000"/>
    </cs:fontRef>
    <cs:spPr>
      <a:ln w="9525" cap="rnd">
        <a:solidFill>
          <a:srgbClr val="FFFFFF"/>
        </a:solidFill>
        <a:round/>
      </a:ln>
    </cs:spPr>
  </cs:dataPointWireframe>
  <cs:dataTable>
    <cs:lnRef idx="0"/>
    <cs:fillRef idx="0"/>
    <cs:effectRef idx="0"/>
    <cs:fontRef idx="minor">
      <a:srgbClr val="595959">
        <a:lumMod val="65000"/>
        <a:lumOff val="35000"/>
      </a:srgbClr>
    </cs:fontRef>
    <cs:spPr>
      <a:noFill/>
      <a:ln w="9525" cap="flat" cmpd="sng" algn="ctr">
        <a:solidFill>
          <a:srgbClr val="D9D9D9">
            <a:lumMod val="15000"/>
            <a:lumOff val="85000"/>
          </a:srgbClr>
        </a:solidFill>
        <a:round/>
      </a:ln>
    </cs:spPr>
    <cs:defRPr sz="900" kern="1200"/>
  </cs:dataTable>
  <cs:downBar>
    <cs:lnRef idx="0"/>
    <cs:fillRef idx="0"/>
    <cs:effectRef idx="0"/>
    <cs:fontRef idx="minor">
      <a:srgbClr val="000000"/>
    </cs:fontRef>
    <cs:spPr>
      <a:solidFill>
        <a:srgbClr val="595959">
          <a:lumMod val="65000"/>
          <a:lumOff val="35000"/>
        </a:srgbClr>
      </a:solidFill>
      <a:ln w="9525">
        <a:solidFill>
          <a:srgbClr val="595959">
            <a:lumMod val="65000"/>
            <a:lumOff val="35000"/>
          </a:srgbClr>
        </a:solidFill>
      </a:ln>
    </cs:spPr>
  </cs:downBar>
  <cs:dropLine>
    <cs:lnRef idx="0"/>
    <cs:fillRef idx="0"/>
    <cs:effectRef idx="0"/>
    <cs:fontRef idx="minor">
      <a:srgbClr val="000000"/>
    </cs:fontRef>
    <cs:spPr>
      <a:ln w="9525" cap="flat" cmpd="sng" algn="ctr">
        <a:solidFill>
          <a:srgbClr val="A6A6A6">
            <a:lumMod val="35000"/>
            <a:lumOff val="65000"/>
          </a:srgbClr>
        </a:solidFill>
        <a:round/>
      </a:ln>
    </cs:spPr>
  </cs:dropLine>
  <cs:errorBar>
    <cs:lnRef idx="0"/>
    <cs:fillRef idx="0"/>
    <cs:effectRef idx="0"/>
    <cs:fontRef idx="minor">
      <a:srgbClr val="000000"/>
    </cs:fontRef>
    <cs:spPr>
      <a:ln w="9525" cap="flat" cmpd="sng" algn="ctr">
        <a:solidFill>
          <a:srgbClr val="595959">
            <a:lumMod val="65000"/>
            <a:lumOff val="35000"/>
          </a:srgbClr>
        </a:solidFill>
        <a:round/>
      </a:ln>
    </cs:spPr>
  </cs:errorBar>
  <cs:floor>
    <cs:lnRef idx="0"/>
    <cs:fillRef idx="0"/>
    <cs:effectRef idx="0"/>
    <cs:fontRef idx="minor">
      <a:srgbClr val="000000"/>
    </cs:fontRef>
    <cs:spPr>
      <a:noFill/>
      <a:ln>
        <a:noFill/>
      </a:ln>
    </cs:spPr>
  </cs:floor>
  <cs:gridlineMajor>
    <cs:lnRef idx="0"/>
    <cs:fillRef idx="0"/>
    <cs:effectRef idx="0"/>
    <cs:fontRef idx="minor">
      <a:srgbClr val="000000"/>
    </cs:fontRef>
    <cs:spPr>
      <a:ln w="9525" cap="flat" cmpd="sng" algn="ctr">
        <a:solidFill>
          <a:srgbClr val="D9D9D9">
            <a:lumMod val="15000"/>
            <a:lumOff val="85000"/>
          </a:srgbClr>
        </a:solidFill>
        <a:round/>
      </a:ln>
    </cs:spPr>
  </cs:gridlineMajor>
  <cs:gridlineMinor>
    <cs:lnRef idx="0"/>
    <cs:fillRef idx="0"/>
    <cs:effectRef idx="0"/>
    <cs:fontRef idx="minor">
      <a:srgbClr val="000000"/>
    </cs:fontRef>
    <cs:spPr>
      <a:ln w="9525" cap="flat" cmpd="sng" algn="ctr">
        <a:solidFill>
          <a:srgbClr val="F2F2F2">
            <a:lumMod val="5000"/>
            <a:lumOff val="95000"/>
          </a:srgbClr>
        </a:solidFill>
        <a:round/>
      </a:ln>
    </cs:spPr>
  </cs:gridlineMinor>
  <cs:hiLoLine>
    <cs:lnRef idx="0"/>
    <cs:fillRef idx="0"/>
    <cs:effectRef idx="0"/>
    <cs:fontRef idx="minor">
      <a:srgbClr val="000000"/>
    </cs:fontRef>
    <cs:spPr>
      <a:ln w="9525" cap="flat" cmpd="sng" algn="ctr">
        <a:solidFill>
          <a:srgbClr val="404040">
            <a:lumMod val="75000"/>
            <a:lumOff val="25000"/>
          </a:srgbClr>
        </a:solidFill>
        <a:round/>
      </a:ln>
    </cs:spPr>
  </cs:hiLoLine>
  <cs:leaderLine>
    <cs:lnRef idx="0"/>
    <cs:fillRef idx="0"/>
    <cs:effectRef idx="0"/>
    <cs:fontRef idx="minor">
      <a:srgbClr val="000000"/>
    </cs:fontRef>
    <cs:spPr>
      <a:ln w="9525" cap="flat" cmpd="sng" algn="ctr">
        <a:solidFill>
          <a:srgbClr val="A6A6A6">
            <a:lumMod val="35000"/>
            <a:lumOff val="65000"/>
          </a:srgbClr>
        </a:solidFill>
        <a:round/>
      </a:ln>
    </cs:spPr>
  </cs:leaderLine>
  <cs:legend>
    <cs:lnRef idx="0"/>
    <cs:fillRef idx="0"/>
    <cs:effectRef idx="0"/>
    <cs:fontRef idx="minor">
      <a:srgbClr val="595959">
        <a:lumMod val="65000"/>
        <a:lumOff val="35000"/>
      </a:srgbClr>
    </cs:fontRef>
    <cs:defRPr sz="900" kern="1200"/>
  </cs:legend>
  <cs:plotArea mods="allowNoFillOverride allowNoLineOverride">
    <cs:lnRef idx="0"/>
    <cs:fillRef idx="0"/>
    <cs:effectRef idx="0"/>
    <cs:fontRef idx="minor">
      <a:srgbClr val="000000"/>
    </cs:fontRef>
  </cs:plotArea>
  <cs:plotArea3D mods="allowNoFillOverride allowNoLineOverride">
    <cs:lnRef idx="0"/>
    <cs:fillRef idx="0"/>
    <cs:effectRef idx="0"/>
    <cs:fontRef idx="minor">
      <a:srgbClr val="000000"/>
    </cs:fontRef>
  </cs:plotArea3D>
  <cs:seriesAxis>
    <cs:lnRef idx="0"/>
    <cs:fillRef idx="0"/>
    <cs:effectRef idx="0"/>
    <cs:fontRef idx="minor">
      <a:srgbClr val="595959">
        <a:lumMod val="65000"/>
        <a:lumOff val="35000"/>
      </a:srgbClr>
    </cs:fontRef>
    <cs:defRPr sz="900" kern="1200"/>
  </cs:seriesAxis>
  <cs:seriesLine>
    <cs:lnRef idx="0"/>
    <cs:fillRef idx="0"/>
    <cs:effectRef idx="0"/>
    <cs:fontRef idx="minor">
      <a:srgbClr val="000000"/>
    </cs:fontRef>
    <cs:spPr>
      <a:ln w="9525" cap="flat" cmpd="sng" algn="ctr">
        <a:solidFill>
          <a:srgbClr val="A6A6A6">
            <a:lumMod val="35000"/>
            <a:lumOff val="65000"/>
          </a:srgbClr>
        </a:solidFill>
        <a:round/>
      </a:ln>
    </cs:spPr>
  </cs:seriesLine>
  <cs:title>
    <cs:lnRef idx="0"/>
    <cs:fillRef idx="0"/>
    <cs:effectRef idx="0"/>
    <cs:fontRef idx="minor">
      <a:srgbClr val="595959">
        <a:lumMod val="65000"/>
        <a:lumOff val="35000"/>
      </a:srgbClr>
    </cs:fontRef>
    <cs:defRPr sz="1400" b="0" kern="1200" spc="0" baseline="0"/>
  </cs:title>
  <cs:trendline>
    <cs:lnRef idx="0">
      <cs:styleClr val="auto"/>
    </cs:lnRef>
    <cs:fillRef idx="0"/>
    <cs:effectRef idx="0"/>
    <cs:fontRef idx="minor">
      <a:srgbClr val="000000"/>
    </cs:fontRef>
    <cs:spPr>
      <a:ln w="19050" cap="rnd">
        <a:solidFill>
          <a:srgbClr val="FFFFFF"/>
        </a:solidFill>
        <a:prstDash val="sysDot"/>
      </a:ln>
    </cs:spPr>
  </cs:trendline>
  <cs:trendlineLabel>
    <cs:lnRef idx="0"/>
    <cs:fillRef idx="0"/>
    <cs:effectRef idx="0"/>
    <cs:fontRef idx="minor">
      <a:srgbClr val="595959">
        <a:lumMod val="65000"/>
        <a:lumOff val="35000"/>
      </a:srgbClr>
    </cs:fontRef>
    <cs:defRPr sz="900" kern="1200"/>
  </cs:trendlineLabel>
  <cs:upBar>
    <cs:lnRef idx="0"/>
    <cs:fillRef idx="0"/>
    <cs:effectRef idx="0"/>
    <cs:fontRef idx="minor">
      <a:srgbClr val="000000"/>
    </cs:fontRef>
    <cs:spPr>
      <a:solidFill>
        <a:srgbClr val="FFFFFF"/>
      </a:solidFill>
      <a:ln w="9525">
        <a:solidFill>
          <a:srgbClr val="D9D9D9">
            <a:lumMod val="15000"/>
            <a:lumOff val="85000"/>
          </a:srgbClr>
        </a:solidFill>
      </a:ln>
    </cs:spPr>
  </cs:upBar>
  <cs:valueAxis>
    <cs:lnRef idx="0"/>
    <cs:fillRef idx="0"/>
    <cs:effectRef idx="0"/>
    <cs:fontRef idx="minor">
      <a:srgbClr val="595959">
        <a:lumMod val="65000"/>
        <a:lumOff val="35000"/>
      </a:srgbClr>
    </cs:fontRef>
    <cs:defRPr sz="900" kern="1200"/>
  </cs:valueAxis>
  <cs:wall>
    <cs:lnRef idx="0"/>
    <cs:fillRef idx="0"/>
    <cs:effectRef idx="0"/>
    <cs:fontRef idx="minor">
      <a:srgbClr val="000000"/>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rgbClr val="595959">
        <a:lumMod val="65000"/>
        <a:lumOff val="35000"/>
      </a:srgbClr>
    </cs:fontRef>
    <cs:defRPr sz="1000" kern="1200"/>
  </cs:axisTitle>
  <cs:categoryAxis>
    <cs:lnRef idx="0"/>
    <cs:fillRef idx="0"/>
    <cs:effectRef idx="0"/>
    <cs:fontRef idx="minor">
      <a:srgbClr val="595959">
        <a:lumMod val="65000"/>
        <a:lumOff val="35000"/>
      </a:srgbClr>
    </cs:fontRef>
    <cs:spPr>
      <a:ln w="9525" cap="flat" cmpd="sng" algn="ctr">
        <a:solidFill>
          <a:srgbClr val="D9D9D9">
            <a:lumMod val="15000"/>
            <a:lumOff val="85000"/>
          </a:srgbClr>
        </a:solidFill>
        <a:round/>
      </a:ln>
    </cs:spPr>
    <cs:defRPr sz="900" kern="1200"/>
  </cs:categoryAxis>
  <cs:chartArea mods="allowNoFillOverride allowNoLineOverride">
    <cs:lnRef idx="0"/>
    <cs:fillRef idx="0"/>
    <cs:effectRef idx="0"/>
    <cs:fontRef idx="minor">
      <a:srgbClr val="000000"/>
    </cs:fontRef>
    <cs:spPr>
      <a:solidFill>
        <a:srgbClr val="FFFFFF"/>
      </a:solidFill>
      <a:ln w="9525" cap="flat" cmpd="sng" algn="ctr">
        <a:solidFill>
          <a:srgbClr val="D9D9D9">
            <a:lumMod val="15000"/>
            <a:lumOff val="85000"/>
          </a:srgbClr>
        </a:solidFill>
        <a:round/>
      </a:ln>
    </cs:spPr>
    <cs:defRPr sz="1000" kern="1200"/>
  </cs:chartArea>
  <cs:dataLabel>
    <cs:lnRef idx="0"/>
    <cs:fillRef idx="0"/>
    <cs:effectRef idx="0"/>
    <cs:fontRef idx="minor">
      <a:srgbClr val="404040">
        <a:lumMod val="75000"/>
        <a:lumOff val="25000"/>
      </a:srgbClr>
    </cs:fontRef>
    <cs:defRPr sz="900" kern="1200"/>
  </cs:dataLabel>
  <cs:dataLabelCallout>
    <cs:lnRef idx="0"/>
    <cs:fillRef idx="0"/>
    <cs:effectRef idx="0"/>
    <cs:fontRef idx="minor">
      <a:srgbClr val="595959">
        <a:lumMod val="65000"/>
        <a:lumOff val="35000"/>
      </a:srgbClr>
    </cs:fontRef>
    <cs:spPr>
      <a:solidFill>
        <a:srgbClr val="FFFFFF"/>
      </a:solidFill>
      <a:ln>
        <a:solidFill>
          <a:srgbClr val="BFBFBF">
            <a:lumMod val="25000"/>
            <a:lumOff val="75000"/>
          </a:srgb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rgbClr val="000000"/>
    </cs:fontRef>
    <cs:spPr>
      <a:solidFill>
        <a:srgbClr val="FFFFFF"/>
      </a:solidFill>
    </cs:spPr>
  </cs:dataPoint>
  <cs:dataPoint3D>
    <cs:lnRef idx="0"/>
    <cs:fillRef idx="1">
      <cs:styleClr val="auto"/>
    </cs:fillRef>
    <cs:effectRef idx="0"/>
    <cs:fontRef idx="minor">
      <a:srgbClr val="000000"/>
    </cs:fontRef>
    <cs:spPr>
      <a:solidFill>
        <a:srgbClr val="FFFFFF"/>
      </a:solidFill>
    </cs:spPr>
  </cs:dataPoint3D>
  <cs:dataPointLine>
    <cs:lnRef idx="0">
      <cs:styleClr val="auto"/>
    </cs:lnRef>
    <cs:fillRef idx="1"/>
    <cs:effectRef idx="0"/>
    <cs:fontRef idx="minor">
      <a:srgbClr val="000000"/>
    </cs:fontRef>
    <cs:spPr>
      <a:ln w="28575" cap="rnd">
        <a:solidFill>
          <a:srgbClr val="FFFFFF"/>
        </a:solidFill>
        <a:round/>
      </a:ln>
    </cs:spPr>
  </cs:dataPointLine>
  <cs:dataPointMarker>
    <cs:lnRef idx="0">
      <cs:styleClr val="auto"/>
    </cs:lnRef>
    <cs:fillRef idx="1">
      <cs:styleClr val="auto"/>
    </cs:fillRef>
    <cs:effectRef idx="0"/>
    <cs:fontRef idx="minor">
      <a:srgbClr val="000000"/>
    </cs:fontRef>
    <cs:spPr>
      <a:solidFill>
        <a:srgbClr val="FFFFFF"/>
      </a:solidFill>
      <a:ln w="9525">
        <a:solidFill>
          <a:srgbClr val="FFFFFF"/>
        </a:solidFill>
      </a:ln>
    </cs:spPr>
  </cs:dataPointMarker>
  <cs:dataPointMarkerLayout symbol="circle" size="5"/>
  <cs:dataPointWireframe>
    <cs:lnRef idx="0">
      <cs:styleClr val="auto"/>
    </cs:lnRef>
    <cs:fillRef idx="1"/>
    <cs:effectRef idx="0"/>
    <cs:fontRef idx="minor">
      <a:srgbClr val="000000"/>
    </cs:fontRef>
    <cs:spPr>
      <a:ln w="9525" cap="rnd">
        <a:solidFill>
          <a:srgbClr val="FFFFFF"/>
        </a:solidFill>
        <a:round/>
      </a:ln>
    </cs:spPr>
  </cs:dataPointWireframe>
  <cs:dataTable>
    <cs:lnRef idx="0"/>
    <cs:fillRef idx="0"/>
    <cs:effectRef idx="0"/>
    <cs:fontRef idx="minor">
      <a:srgbClr val="595959">
        <a:lumMod val="65000"/>
        <a:lumOff val="35000"/>
      </a:srgbClr>
    </cs:fontRef>
    <cs:spPr>
      <a:noFill/>
      <a:ln w="9525" cap="flat" cmpd="sng" algn="ctr">
        <a:solidFill>
          <a:srgbClr val="D9D9D9">
            <a:lumMod val="15000"/>
            <a:lumOff val="85000"/>
          </a:srgbClr>
        </a:solidFill>
        <a:round/>
      </a:ln>
    </cs:spPr>
    <cs:defRPr sz="900" kern="1200"/>
  </cs:dataTable>
  <cs:downBar>
    <cs:lnRef idx="0"/>
    <cs:fillRef idx="0"/>
    <cs:effectRef idx="0"/>
    <cs:fontRef idx="minor">
      <a:srgbClr val="000000"/>
    </cs:fontRef>
    <cs:spPr>
      <a:solidFill>
        <a:srgbClr val="595959">
          <a:lumMod val="65000"/>
          <a:lumOff val="35000"/>
        </a:srgbClr>
      </a:solidFill>
      <a:ln w="9525">
        <a:solidFill>
          <a:srgbClr val="595959">
            <a:lumMod val="65000"/>
            <a:lumOff val="35000"/>
          </a:srgbClr>
        </a:solidFill>
      </a:ln>
    </cs:spPr>
  </cs:downBar>
  <cs:dropLine>
    <cs:lnRef idx="0"/>
    <cs:fillRef idx="0"/>
    <cs:effectRef idx="0"/>
    <cs:fontRef idx="minor">
      <a:srgbClr val="000000"/>
    </cs:fontRef>
    <cs:spPr>
      <a:ln w="9525" cap="flat" cmpd="sng" algn="ctr">
        <a:solidFill>
          <a:srgbClr val="A6A6A6">
            <a:lumMod val="35000"/>
            <a:lumOff val="65000"/>
          </a:srgbClr>
        </a:solidFill>
        <a:round/>
      </a:ln>
    </cs:spPr>
  </cs:dropLine>
  <cs:errorBar>
    <cs:lnRef idx="0"/>
    <cs:fillRef idx="0"/>
    <cs:effectRef idx="0"/>
    <cs:fontRef idx="minor">
      <a:srgbClr val="000000"/>
    </cs:fontRef>
    <cs:spPr>
      <a:ln w="9525" cap="flat" cmpd="sng" algn="ctr">
        <a:solidFill>
          <a:srgbClr val="595959">
            <a:lumMod val="65000"/>
            <a:lumOff val="35000"/>
          </a:srgbClr>
        </a:solidFill>
        <a:round/>
      </a:ln>
    </cs:spPr>
  </cs:errorBar>
  <cs:floor>
    <cs:lnRef idx="0"/>
    <cs:fillRef idx="0"/>
    <cs:effectRef idx="0"/>
    <cs:fontRef idx="minor">
      <a:srgbClr val="000000"/>
    </cs:fontRef>
    <cs:spPr>
      <a:noFill/>
      <a:ln>
        <a:noFill/>
      </a:ln>
    </cs:spPr>
  </cs:floor>
  <cs:gridlineMajor>
    <cs:lnRef idx="0"/>
    <cs:fillRef idx="0"/>
    <cs:effectRef idx="0"/>
    <cs:fontRef idx="minor">
      <a:srgbClr val="000000"/>
    </cs:fontRef>
    <cs:spPr>
      <a:ln w="9525" cap="flat" cmpd="sng" algn="ctr">
        <a:solidFill>
          <a:srgbClr val="D9D9D9">
            <a:lumMod val="15000"/>
            <a:lumOff val="85000"/>
          </a:srgbClr>
        </a:solidFill>
        <a:round/>
      </a:ln>
    </cs:spPr>
  </cs:gridlineMajor>
  <cs:gridlineMinor>
    <cs:lnRef idx="0"/>
    <cs:fillRef idx="0"/>
    <cs:effectRef idx="0"/>
    <cs:fontRef idx="minor">
      <a:srgbClr val="000000"/>
    </cs:fontRef>
    <cs:spPr>
      <a:ln w="9525" cap="flat" cmpd="sng" algn="ctr">
        <a:solidFill>
          <a:srgbClr val="F2F2F2">
            <a:lumMod val="5000"/>
            <a:lumOff val="95000"/>
          </a:srgbClr>
        </a:solidFill>
        <a:round/>
      </a:ln>
    </cs:spPr>
  </cs:gridlineMinor>
  <cs:hiLoLine>
    <cs:lnRef idx="0"/>
    <cs:fillRef idx="0"/>
    <cs:effectRef idx="0"/>
    <cs:fontRef idx="minor">
      <a:srgbClr val="000000"/>
    </cs:fontRef>
    <cs:spPr>
      <a:ln w="9525" cap="flat" cmpd="sng" algn="ctr">
        <a:solidFill>
          <a:srgbClr val="404040">
            <a:lumMod val="75000"/>
            <a:lumOff val="25000"/>
          </a:srgbClr>
        </a:solidFill>
        <a:round/>
      </a:ln>
    </cs:spPr>
  </cs:hiLoLine>
  <cs:leaderLine>
    <cs:lnRef idx="0"/>
    <cs:fillRef idx="0"/>
    <cs:effectRef idx="0"/>
    <cs:fontRef idx="minor">
      <a:srgbClr val="000000"/>
    </cs:fontRef>
    <cs:spPr>
      <a:ln w="9525" cap="flat" cmpd="sng" algn="ctr">
        <a:solidFill>
          <a:srgbClr val="A6A6A6">
            <a:lumMod val="35000"/>
            <a:lumOff val="65000"/>
          </a:srgbClr>
        </a:solidFill>
        <a:round/>
      </a:ln>
    </cs:spPr>
  </cs:leaderLine>
  <cs:legend>
    <cs:lnRef idx="0"/>
    <cs:fillRef idx="0"/>
    <cs:effectRef idx="0"/>
    <cs:fontRef idx="minor">
      <a:srgbClr val="595959">
        <a:lumMod val="65000"/>
        <a:lumOff val="35000"/>
      </a:srgbClr>
    </cs:fontRef>
    <cs:defRPr sz="900" kern="1200"/>
  </cs:legend>
  <cs:plotArea mods="allowNoFillOverride allowNoLineOverride">
    <cs:lnRef idx="0"/>
    <cs:fillRef idx="0"/>
    <cs:effectRef idx="0"/>
    <cs:fontRef idx="minor">
      <a:srgbClr val="000000"/>
    </cs:fontRef>
  </cs:plotArea>
  <cs:plotArea3D mods="allowNoFillOverride allowNoLineOverride">
    <cs:lnRef idx="0"/>
    <cs:fillRef idx="0"/>
    <cs:effectRef idx="0"/>
    <cs:fontRef idx="minor">
      <a:srgbClr val="000000"/>
    </cs:fontRef>
  </cs:plotArea3D>
  <cs:seriesAxis>
    <cs:lnRef idx="0"/>
    <cs:fillRef idx="0"/>
    <cs:effectRef idx="0"/>
    <cs:fontRef idx="minor">
      <a:srgbClr val="595959">
        <a:lumMod val="65000"/>
        <a:lumOff val="35000"/>
      </a:srgbClr>
    </cs:fontRef>
    <cs:defRPr sz="900" kern="1200"/>
  </cs:seriesAxis>
  <cs:seriesLine>
    <cs:lnRef idx="0"/>
    <cs:fillRef idx="0"/>
    <cs:effectRef idx="0"/>
    <cs:fontRef idx="minor">
      <a:srgbClr val="000000"/>
    </cs:fontRef>
    <cs:spPr>
      <a:ln w="9525" cap="flat" cmpd="sng" algn="ctr">
        <a:solidFill>
          <a:srgbClr val="A6A6A6">
            <a:lumMod val="35000"/>
            <a:lumOff val="65000"/>
          </a:srgbClr>
        </a:solidFill>
        <a:round/>
      </a:ln>
    </cs:spPr>
  </cs:seriesLine>
  <cs:title>
    <cs:lnRef idx="0"/>
    <cs:fillRef idx="0"/>
    <cs:effectRef idx="0"/>
    <cs:fontRef idx="minor">
      <a:srgbClr val="595959">
        <a:lumMod val="65000"/>
        <a:lumOff val="35000"/>
      </a:srgbClr>
    </cs:fontRef>
    <cs:defRPr sz="1400" b="0" kern="1200" spc="0" baseline="0"/>
  </cs:title>
  <cs:trendline>
    <cs:lnRef idx="0">
      <cs:styleClr val="auto"/>
    </cs:lnRef>
    <cs:fillRef idx="0"/>
    <cs:effectRef idx="0"/>
    <cs:fontRef idx="minor">
      <a:srgbClr val="000000"/>
    </cs:fontRef>
    <cs:spPr>
      <a:ln w="19050" cap="rnd">
        <a:solidFill>
          <a:srgbClr val="FFFFFF"/>
        </a:solidFill>
        <a:prstDash val="sysDot"/>
      </a:ln>
    </cs:spPr>
  </cs:trendline>
  <cs:trendlineLabel>
    <cs:lnRef idx="0"/>
    <cs:fillRef idx="0"/>
    <cs:effectRef idx="0"/>
    <cs:fontRef idx="minor">
      <a:srgbClr val="595959">
        <a:lumMod val="65000"/>
        <a:lumOff val="35000"/>
      </a:srgbClr>
    </cs:fontRef>
    <cs:defRPr sz="900" kern="1200"/>
  </cs:trendlineLabel>
  <cs:upBar>
    <cs:lnRef idx="0"/>
    <cs:fillRef idx="0"/>
    <cs:effectRef idx="0"/>
    <cs:fontRef idx="minor">
      <a:srgbClr val="000000"/>
    </cs:fontRef>
    <cs:spPr>
      <a:solidFill>
        <a:srgbClr val="FFFFFF"/>
      </a:solidFill>
      <a:ln w="9525">
        <a:solidFill>
          <a:srgbClr val="D9D9D9">
            <a:lumMod val="15000"/>
            <a:lumOff val="85000"/>
          </a:srgbClr>
        </a:solidFill>
      </a:ln>
    </cs:spPr>
  </cs:upBar>
  <cs:valueAxis>
    <cs:lnRef idx="0"/>
    <cs:fillRef idx="0"/>
    <cs:effectRef idx="0"/>
    <cs:fontRef idx="minor">
      <a:srgbClr val="595959">
        <a:lumMod val="65000"/>
        <a:lumOff val="35000"/>
      </a:srgbClr>
    </cs:fontRef>
    <cs:defRPr sz="900" kern="1200"/>
  </cs:valueAxis>
  <cs:wall>
    <cs:lnRef idx="0"/>
    <cs:fillRef idx="0"/>
    <cs:effectRef idx="0"/>
    <cs:fontRef idx="minor">
      <a:srgbClr val="000000"/>
    </cs:fontRef>
    <cs:spPr>
      <a:noFill/>
      <a:ln>
        <a:noFill/>
      </a:ln>
    </cs:spPr>
  </cs:wall>
</cs:chartStyle>
</file>

<file path=word/charts/style5.xml><?xml version="1.0" encoding="utf-8"?>
<cs:chartStyle xmlns:cs="http://schemas.microsoft.com/office/drawing/2012/chartStyle" xmlns:a="http://schemas.openxmlformats.org/drawingml/2006/main" id="10028">
  <cs:axisTitle>
    <cs:lnRef idx="0"/>
    <cs:fillRef idx="0"/>
    <cs:effectRef idx="0"/>
    <cs:fontRef idx="minor">
      <a:srgbClr val="595959">
        <a:lumMod val="65000"/>
        <a:lumOff val="35000"/>
      </a:srgbClr>
    </cs:fontRef>
    <cs:defRPr sz="1000" kern="1200"/>
  </cs:axisTitle>
  <cs:categoryAxis>
    <cs:lnRef idx="0"/>
    <cs:fillRef idx="0"/>
    <cs:effectRef idx="0"/>
    <cs:fontRef idx="minor">
      <a:srgbClr val="595959">
        <a:lumMod val="65000"/>
        <a:lumOff val="35000"/>
      </a:srgbClr>
    </cs:fontRef>
    <cs:spPr>
      <a:ln w="9525" cap="flat" cmpd="sng" algn="ctr">
        <a:solidFill>
          <a:srgbClr val="D9D9D9">
            <a:lumMod val="15000"/>
            <a:lumOff val="85000"/>
          </a:srgbClr>
        </a:solidFill>
        <a:round/>
      </a:ln>
    </cs:spPr>
    <cs:defRPr sz="900" kern="1200"/>
  </cs:categoryAxis>
  <cs:chartArea mods="allowNoFillOverride allowNoLineOverride">
    <cs:lnRef idx="0"/>
    <cs:fillRef idx="0"/>
    <cs:effectRef idx="0"/>
    <cs:fontRef idx="minor">
      <a:srgbClr val="000000"/>
    </cs:fontRef>
    <cs:spPr>
      <a:solidFill>
        <a:srgbClr val="FFFFFF"/>
      </a:solidFill>
      <a:ln w="9525" cap="flat" cmpd="sng" algn="ctr">
        <a:solidFill>
          <a:srgbClr val="D9D9D9">
            <a:lumMod val="15000"/>
            <a:lumOff val="85000"/>
          </a:srgbClr>
        </a:solidFill>
        <a:round/>
      </a:ln>
    </cs:spPr>
    <cs:defRPr sz="1000" kern="1200"/>
  </cs:chartArea>
  <cs:dataLabel>
    <cs:lnRef idx="0"/>
    <cs:fillRef idx="0"/>
    <cs:effectRef idx="0"/>
    <cs:fontRef idx="minor">
      <a:srgbClr val="404040">
        <a:lumMod val="75000"/>
        <a:lumOff val="25000"/>
      </a:srgbClr>
    </cs:fontRef>
    <cs:defRPr sz="1000" kern="1200"/>
  </cs:dataLabel>
  <cs:dataLabelCallout>
    <cs:lnRef idx="0"/>
    <cs:fillRef idx="0"/>
    <cs:effectRef idx="0"/>
    <cs:fontRef idx="minor">
      <a:srgbClr val="595959">
        <a:lumMod val="65000"/>
        <a:lumOff val="35000"/>
      </a:srgbClr>
    </cs:fontRef>
    <cs:spPr>
      <a:solidFill>
        <a:srgbClr val="FFFFFF"/>
      </a:solidFill>
      <a:ln>
        <a:solidFill>
          <a:srgbClr val="BFBFBF">
            <a:lumMod val="25000"/>
            <a:lumOff val="75000"/>
          </a:srgbClr>
        </a:solidFill>
      </a:ln>
    </cs:spPr>
    <cs:defRPr sz="10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rgbClr val="000000"/>
    </cs:fontRef>
  </cs:dataPoint>
  <cs:dataPoint3D>
    <cs:lnRef idx="0"/>
    <cs:fillRef idx="1">
      <cs:styleClr val="auto"/>
    </cs:fillRef>
    <cs:effectRef idx="0"/>
    <cs:fontRef idx="minor">
      <a:srgbClr val="000000"/>
    </cs:fontRef>
  </cs:dataPoint3D>
  <cs:dataPointLine>
    <cs:lnRef idx="0">
      <cs:styleClr val="auto"/>
    </cs:lnRef>
    <cs:fillRef idx="0">
      <cs:styleClr val="auto"/>
    </cs:fillRef>
    <cs:effectRef idx="0"/>
    <cs:fontRef idx="minor">
      <a:srgbClr val="000000"/>
    </cs:fontRef>
    <cs:spPr>
      <a:ln w="28575" cap="rnd">
        <a:solidFill>
          <a:srgbClr val="FFFFFF"/>
        </a:solidFill>
        <a:round/>
      </a:ln>
      <a:effectLst/>
    </cs:spPr>
  </cs:dataPointLine>
  <cs:dataPointMarker>
    <cs:lnRef idx="0">
      <cs:styleClr val="auto"/>
    </cs:lnRef>
    <cs:fillRef idx="1">
      <cs:styleClr val="auto"/>
    </cs:fillRef>
    <cs:effectRef idx="0"/>
    <cs:fontRef idx="minor">
      <a:srgbClr val="000000"/>
    </cs:fontRef>
    <cs:spPr>
      <a:ln w="9525">
        <a:solidFill>
          <a:srgbClr val="FFFFFF"/>
        </a:solidFill>
      </a:ln>
    </cs:spPr>
  </cs:dataPointMarker>
  <cs:dataPointMarkerLayout symbol="circle" size="5"/>
  <cs:dataPointWireframe>
    <cs:lnRef idx="0">
      <cs:styleClr val="auto"/>
    </cs:lnRef>
    <cs:fillRef idx="1"/>
    <cs:effectRef idx="0"/>
    <cs:fontRef idx="minor">
      <a:srgbClr val="000000"/>
    </cs:fontRef>
    <cs:spPr>
      <a:ln w="9525" cap="rnd">
        <a:solidFill>
          <a:srgbClr val="FFFFFF"/>
        </a:solidFill>
        <a:round/>
      </a:ln>
    </cs:spPr>
  </cs:dataPointWireframe>
  <cs:dataTable>
    <cs:lnRef idx="0"/>
    <cs:fillRef idx="0"/>
    <cs:effectRef idx="0"/>
    <cs:fontRef idx="minor">
      <a:srgbClr val="595959">
        <a:lumMod val="65000"/>
        <a:lumOff val="35000"/>
      </a:srgbClr>
    </cs:fontRef>
    <cs:spPr>
      <a:noFill/>
      <a:ln w="9525" cap="flat" cmpd="sng" algn="ctr">
        <a:solidFill>
          <a:srgbClr val="D9D9D9">
            <a:lumMod val="15000"/>
            <a:lumOff val="85000"/>
          </a:srgbClr>
        </a:solidFill>
        <a:round/>
      </a:ln>
    </cs:spPr>
    <cs:defRPr sz="900" kern="1200"/>
  </cs:dataTable>
  <cs:downBar>
    <cs:lnRef idx="0"/>
    <cs:fillRef idx="0"/>
    <cs:effectRef idx="0"/>
    <cs:fontRef idx="minor">
      <a:srgbClr val="000000"/>
    </cs:fontRef>
    <cs:spPr>
      <a:solidFill>
        <a:srgbClr val="595959">
          <a:lumMod val="65000"/>
          <a:lumOff val="35000"/>
        </a:srgbClr>
      </a:solidFill>
      <a:ln w="9525">
        <a:solidFill>
          <a:srgbClr val="595959">
            <a:lumMod val="65000"/>
            <a:lumOff val="35000"/>
          </a:srgbClr>
        </a:solidFill>
      </a:ln>
    </cs:spPr>
  </cs:downBar>
  <cs:dropLine>
    <cs:lnRef idx="0"/>
    <cs:fillRef idx="0"/>
    <cs:effectRef idx="0"/>
    <cs:fontRef idx="minor">
      <a:srgbClr val="000000"/>
    </cs:fontRef>
    <cs:spPr>
      <a:ln w="9525" cap="flat" cmpd="sng" algn="ctr">
        <a:solidFill>
          <a:srgbClr val="A6A6A6">
            <a:lumMod val="35000"/>
            <a:lumOff val="65000"/>
          </a:srgbClr>
        </a:solidFill>
        <a:round/>
      </a:ln>
    </cs:spPr>
  </cs:dropLine>
  <cs:errorBar>
    <cs:lnRef idx="0"/>
    <cs:fillRef idx="0"/>
    <cs:effectRef idx="0"/>
    <cs:fontRef idx="minor">
      <a:srgbClr val="000000"/>
    </cs:fontRef>
    <cs:spPr>
      <a:ln w="9525" cap="flat" cmpd="sng" algn="ctr">
        <a:solidFill>
          <a:srgbClr val="595959">
            <a:lumMod val="65000"/>
            <a:lumOff val="35000"/>
          </a:srgbClr>
        </a:solidFill>
        <a:round/>
      </a:ln>
    </cs:spPr>
  </cs:errorBar>
  <cs:floor>
    <cs:lnRef idx="0"/>
    <cs:fillRef idx="0"/>
    <cs:effectRef idx="0"/>
    <cs:fontRef idx="minor">
      <a:srgbClr val="000000"/>
    </cs:fontRef>
    <cs:spPr>
      <a:noFill/>
      <a:ln>
        <a:noFill/>
      </a:ln>
    </cs:spPr>
  </cs:floor>
  <cs:gridlineMajor>
    <cs:lnRef idx="0"/>
    <cs:fillRef idx="0"/>
    <cs:effectRef idx="0"/>
    <cs:fontRef idx="minor">
      <a:srgbClr val="000000"/>
    </cs:fontRef>
    <cs:spPr>
      <a:ln w="9525" cap="flat" cmpd="sng" algn="ctr">
        <a:solidFill>
          <a:srgbClr val="E6E6E6">
            <a:lumMod val="90200"/>
          </a:srgbClr>
        </a:solidFill>
        <a:round/>
      </a:ln>
    </cs:spPr>
  </cs:gridlineMajor>
  <cs:gridlineMinor>
    <cs:lnRef idx="0"/>
    <cs:fillRef idx="0"/>
    <cs:effectRef idx="0"/>
    <cs:fontRef idx="minor">
      <a:srgbClr val="000000"/>
    </cs:fontRef>
    <cs:spPr>
      <a:ln w="9525" cap="flat" cmpd="sng" algn="ctr">
        <a:solidFill>
          <a:srgbClr val="F2F2F2">
            <a:lumMod val="5000"/>
            <a:lumOff val="95000"/>
          </a:srgbClr>
        </a:solidFill>
        <a:round/>
      </a:ln>
    </cs:spPr>
  </cs:gridlineMinor>
  <cs:hiLoLine>
    <cs:lnRef idx="0"/>
    <cs:fillRef idx="0"/>
    <cs:effectRef idx="0"/>
    <cs:fontRef idx="minor">
      <a:srgbClr val="000000"/>
    </cs:fontRef>
    <cs:spPr>
      <a:ln w="9525" cap="flat" cmpd="sng" algn="ctr">
        <a:solidFill>
          <a:srgbClr val="404040">
            <a:lumMod val="75000"/>
            <a:lumOff val="25000"/>
          </a:srgbClr>
        </a:solidFill>
        <a:round/>
      </a:ln>
    </cs:spPr>
  </cs:hiLoLine>
  <cs:leaderLine>
    <cs:lnRef idx="0"/>
    <cs:fillRef idx="0"/>
    <cs:effectRef idx="0"/>
    <cs:fontRef idx="minor">
      <a:srgbClr val="000000"/>
    </cs:fontRef>
    <cs:spPr>
      <a:ln w="9525" cap="flat" cmpd="sng" algn="ctr">
        <a:solidFill>
          <a:srgbClr val="A6A6A6">
            <a:lumMod val="35000"/>
            <a:lumOff val="65000"/>
          </a:srgbClr>
        </a:solidFill>
        <a:round/>
      </a:ln>
    </cs:spPr>
  </cs:leaderLine>
  <cs:legend>
    <cs:lnRef idx="0"/>
    <cs:fillRef idx="0"/>
    <cs:effectRef idx="0"/>
    <cs:fontRef idx="minor">
      <a:srgbClr val="595959">
        <a:lumMod val="65000"/>
        <a:lumOff val="35000"/>
      </a:srgbClr>
    </cs:fontRef>
    <cs:defRPr sz="900" kern="1200"/>
  </cs:legend>
  <cs:plotArea mods="allowNoFillOverride allowNoLineOverride">
    <cs:lnRef idx="0"/>
    <cs:fillRef idx="0"/>
    <cs:effectRef idx="0"/>
    <cs:fontRef idx="minor">
      <a:srgbClr val="000000"/>
    </cs:fontRef>
  </cs:plotArea>
  <cs:plotArea3D mods="allowNoFillOverride allowNoLineOverride">
    <cs:lnRef idx="0"/>
    <cs:fillRef idx="0"/>
    <cs:effectRef idx="0"/>
    <cs:fontRef idx="minor">
      <a:srgbClr val="000000"/>
    </cs:fontRef>
  </cs:plotArea3D>
  <cs:seriesAxis>
    <cs:lnRef idx="0"/>
    <cs:fillRef idx="0"/>
    <cs:effectRef idx="0"/>
    <cs:fontRef idx="minor">
      <a:srgbClr val="595959">
        <a:lumMod val="65000"/>
        <a:lumOff val="35000"/>
      </a:srgbClr>
    </cs:fontRef>
    <cs:defRPr sz="900" kern="1200"/>
  </cs:seriesAxis>
  <cs:seriesLine>
    <cs:lnRef idx="0"/>
    <cs:fillRef idx="0"/>
    <cs:effectRef idx="0"/>
    <cs:fontRef idx="minor">
      <a:srgbClr val="000000"/>
    </cs:fontRef>
    <cs:spPr>
      <a:ln w="9525" cap="flat" cmpd="sng" algn="ctr">
        <a:solidFill>
          <a:srgbClr val="A6A6A6">
            <a:lumMod val="35000"/>
            <a:lumOff val="65000"/>
          </a:srgbClr>
        </a:solidFill>
        <a:round/>
      </a:ln>
    </cs:spPr>
  </cs:seriesLine>
  <cs:title>
    <cs:lnRef idx="0"/>
    <cs:fillRef idx="0"/>
    <cs:effectRef idx="0"/>
    <cs:fontRef idx="minor">
      <a:srgbClr val="404040">
        <a:lumMod val="75000"/>
        <a:lumOff val="25000"/>
      </a:srgbClr>
    </cs:fontRef>
    <cs:defRPr sz="1400" b="1" kern="1200" baseline="0"/>
  </cs:title>
  <cs:trendline>
    <cs:lnRef idx="0">
      <cs:styleClr val="auto"/>
    </cs:lnRef>
    <cs:fillRef idx="0"/>
    <cs:effectRef idx="0"/>
    <cs:fontRef idx="minor">
      <a:srgbClr val="000000"/>
    </cs:fontRef>
    <cs:spPr>
      <a:ln w="19050" cap="rnd">
        <a:solidFill>
          <a:srgbClr val="FFFFFF"/>
        </a:solidFill>
        <a:prstDash val="sysDot"/>
      </a:ln>
    </cs:spPr>
  </cs:trendline>
  <cs:trendlineLabel>
    <cs:lnRef idx="0"/>
    <cs:fillRef idx="0"/>
    <cs:effectRef idx="0"/>
    <cs:fontRef idx="minor">
      <a:srgbClr val="595959">
        <a:lumMod val="65000"/>
        <a:lumOff val="35000"/>
      </a:srgbClr>
    </cs:fontRef>
    <cs:defRPr sz="900" kern="1200"/>
  </cs:trendlineLabel>
  <cs:upBar>
    <cs:lnRef idx="0"/>
    <cs:fillRef idx="0"/>
    <cs:effectRef idx="0"/>
    <cs:fontRef idx="minor">
      <a:srgbClr val="000000"/>
    </cs:fontRef>
    <cs:spPr>
      <a:solidFill>
        <a:srgbClr val="FFFFFF"/>
      </a:solidFill>
      <a:ln w="9525">
        <a:solidFill>
          <a:srgbClr val="D9D9D9">
            <a:lumMod val="15000"/>
            <a:lumOff val="85000"/>
          </a:srgbClr>
        </a:solidFill>
      </a:ln>
    </cs:spPr>
  </cs:upBar>
  <cs:valueAxis>
    <cs:lnRef idx="0"/>
    <cs:fillRef idx="0"/>
    <cs:effectRef idx="0"/>
    <cs:fontRef idx="minor">
      <a:srgbClr val="595959">
        <a:lumMod val="65000"/>
        <a:lumOff val="35000"/>
      </a:srgbClr>
    </cs:fontRef>
    <cs:defRPr sz="900" kern="1200"/>
  </cs:valueAxis>
  <cs:wall>
    <cs:lnRef idx="0"/>
    <cs:fillRef idx="0"/>
    <cs:effectRef idx="0"/>
    <cs:fontRef idx="minor">
      <a:srgbClr val="000000"/>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059" textRotate="1"/>
    <customShpInfo spid="_x0000_s1079"/>
    <customShpInfo spid="_x0000_s1080"/>
    <customShpInfo spid="_x0000_s1078"/>
    <customShpInfo spid="_x0000_s1059"/>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254</Pages>
  <Words>9384</Words>
  <Characters>10563</Characters>
  <Lines>0</Lines>
  <Paragraphs>0</Paragraphs>
  <TotalTime>18</TotalTime>
  <ScaleCrop>false</ScaleCrop>
  <LinksUpToDate>false</LinksUpToDate>
  <CharactersWithSpaces>10662</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2022-01-12T09:43:00Z</dcterms:created>
  <dc:creator>ㄓㄤㄧㄢ</dc:creator>
  <cp:lastModifiedBy>张家铭</cp:lastModifiedBy>
  <cp:lastPrinted>2023-03-04T02:52:00Z</cp:lastPrinted>
  <dcterms:modified xsi:type="dcterms:W3CDTF">2025-02-14T08:21:24Z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569470C6CA234B8B98A7C3910D2FC02D</vt:lpwstr>
  </property>
  <property fmtid="{D5CDD505-2E9C-101B-9397-08002B2CF9AE}" pid="4" name="commondata">
    <vt:lpwstr>eyJoZGlkIjoiZWJmOGE1NWY1MWE4N2IyOTJlZGVhNzA0YTQwOTJiNDcifQ==</vt:lpwstr>
  </property>
  <property fmtid="{D5CDD505-2E9C-101B-9397-08002B2CF9AE}" pid="5" name="KSOTemplateDocerSaveRecord">
    <vt:lpwstr>eyJoZGlkIjoiM2NiMDMwY2JhOTU3YWM4NTAyMDM5ZWU1NTA3MWE2NDkiLCJ1c2VySWQiOiIxMDY5MjY3MDk2In0=</vt:lpwstr>
  </property>
</Properties>
</file>